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diagrams/data14.xml" ContentType="application/vnd.openxmlformats-officedocument.drawingml.diagramData+xml"/>
  <Override PartName="/word/diagrams/layout14.xml" ContentType="application/vnd.openxmlformats-officedocument.drawingml.diagramLayout+xml"/>
  <Override PartName="/word/diagrams/quickStyle14.xml" ContentType="application/vnd.openxmlformats-officedocument.drawingml.diagramStyle+xml"/>
  <Override PartName="/word/diagrams/colors14.xml" ContentType="application/vnd.openxmlformats-officedocument.drawingml.diagramColors+xml"/>
  <Override PartName="/word/diagrams/drawing14.xml" ContentType="application/vnd.ms-office.drawingml.diagramDrawing+xml"/>
  <Override PartName="/word/diagrams/data15.xml" ContentType="application/vnd.openxmlformats-officedocument.drawingml.diagramData+xml"/>
  <Override PartName="/word/diagrams/layout15.xml" ContentType="application/vnd.openxmlformats-officedocument.drawingml.diagramLayout+xml"/>
  <Override PartName="/word/diagrams/quickStyle15.xml" ContentType="application/vnd.openxmlformats-officedocument.drawingml.diagramStyle+xml"/>
  <Override PartName="/word/diagrams/colors15.xml" ContentType="application/vnd.openxmlformats-officedocument.drawingml.diagramColors+xml"/>
  <Override PartName="/word/diagrams/drawing15.xml" ContentType="application/vnd.ms-office.drawingml.diagramDrawing+xml"/>
  <Override PartName="/word/diagrams/data16.xml" ContentType="application/vnd.openxmlformats-officedocument.drawingml.diagramData+xml"/>
  <Override PartName="/word/diagrams/layout16.xml" ContentType="application/vnd.openxmlformats-officedocument.drawingml.diagramLayout+xml"/>
  <Override PartName="/word/diagrams/quickStyle16.xml" ContentType="application/vnd.openxmlformats-officedocument.drawingml.diagramStyle+xml"/>
  <Override PartName="/word/diagrams/colors16.xml" ContentType="application/vnd.openxmlformats-officedocument.drawingml.diagramColors+xml"/>
  <Override PartName="/word/diagrams/drawing16.xml" ContentType="application/vnd.ms-office.drawingml.diagramDrawing+xml"/>
  <Override PartName="/word/diagrams/data17.xml" ContentType="application/vnd.openxmlformats-officedocument.drawingml.diagramData+xml"/>
  <Override PartName="/word/diagrams/layout17.xml" ContentType="application/vnd.openxmlformats-officedocument.drawingml.diagramLayout+xml"/>
  <Override PartName="/word/diagrams/quickStyle17.xml" ContentType="application/vnd.openxmlformats-officedocument.drawingml.diagramStyle+xml"/>
  <Override PartName="/word/diagrams/colors17.xml" ContentType="application/vnd.openxmlformats-officedocument.drawingml.diagramColors+xml"/>
  <Override PartName="/word/diagrams/drawing17.xml" ContentType="application/vnd.ms-office.drawingml.diagramDrawing+xml"/>
  <Override PartName="/word/diagrams/data18.xml" ContentType="application/vnd.openxmlformats-officedocument.drawingml.diagramData+xml"/>
  <Override PartName="/word/diagrams/layout18.xml" ContentType="application/vnd.openxmlformats-officedocument.drawingml.diagramLayout+xml"/>
  <Override PartName="/word/diagrams/quickStyle18.xml" ContentType="application/vnd.openxmlformats-officedocument.drawingml.diagramStyle+xml"/>
  <Override PartName="/word/diagrams/colors18.xml" ContentType="application/vnd.openxmlformats-officedocument.drawingml.diagramColors+xml"/>
  <Override PartName="/word/diagrams/drawing18.xml" ContentType="application/vnd.ms-office.drawingml.diagramDrawing+xml"/>
  <Override PartName="/word/diagrams/data19.xml" ContentType="application/vnd.openxmlformats-officedocument.drawingml.diagramData+xml"/>
  <Override PartName="/word/diagrams/layout19.xml" ContentType="application/vnd.openxmlformats-officedocument.drawingml.diagramLayout+xml"/>
  <Override PartName="/word/diagrams/quickStyle19.xml" ContentType="application/vnd.openxmlformats-officedocument.drawingml.diagramStyle+xml"/>
  <Override PartName="/word/diagrams/colors19.xml" ContentType="application/vnd.openxmlformats-officedocument.drawingml.diagramColors+xml"/>
  <Override PartName="/word/diagrams/drawing19.xml" ContentType="application/vnd.ms-office.drawingml.diagramDrawing+xml"/>
  <Override PartName="/word/diagrams/data20.xml" ContentType="application/vnd.openxmlformats-officedocument.drawingml.diagramData+xml"/>
  <Override PartName="/word/diagrams/layout20.xml" ContentType="application/vnd.openxmlformats-officedocument.drawingml.diagramLayout+xml"/>
  <Override PartName="/word/diagrams/quickStyle20.xml" ContentType="application/vnd.openxmlformats-officedocument.drawingml.diagramStyle+xml"/>
  <Override PartName="/word/diagrams/colors20.xml" ContentType="application/vnd.openxmlformats-officedocument.drawingml.diagramColors+xml"/>
  <Override PartName="/word/diagrams/drawing20.xml" ContentType="application/vnd.ms-office.drawingml.diagramDrawing+xml"/>
  <Override PartName="/word/diagrams/data21.xml" ContentType="application/vnd.openxmlformats-officedocument.drawingml.diagramData+xml"/>
  <Override PartName="/word/diagrams/layout21.xml" ContentType="application/vnd.openxmlformats-officedocument.drawingml.diagramLayout+xml"/>
  <Override PartName="/word/diagrams/quickStyle21.xml" ContentType="application/vnd.openxmlformats-officedocument.drawingml.diagramStyle+xml"/>
  <Override PartName="/word/diagrams/colors21.xml" ContentType="application/vnd.openxmlformats-officedocument.drawingml.diagramColors+xml"/>
  <Override PartName="/word/diagrams/drawing21.xml" ContentType="application/vnd.ms-office.drawingml.diagramDrawing+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2B601A" w:rsidRPr="00A32AF4" w:rsidTr="00DB48D6">
        <w:tc>
          <w:tcPr>
            <w:tcW w:w="4513" w:type="dxa"/>
            <w:tcBorders>
              <w:bottom w:val="single" w:sz="4" w:space="0" w:color="auto"/>
            </w:tcBorders>
            <w:tcMar>
              <w:bottom w:w="170" w:type="dxa"/>
            </w:tcMar>
          </w:tcPr>
          <w:p w:rsidR="002B601A" w:rsidRPr="00CF7693" w:rsidRDefault="002B601A" w:rsidP="00DB48D6"/>
        </w:tc>
        <w:tc>
          <w:tcPr>
            <w:tcW w:w="4337" w:type="dxa"/>
            <w:tcBorders>
              <w:bottom w:val="single" w:sz="4" w:space="0" w:color="auto"/>
            </w:tcBorders>
            <w:tcMar>
              <w:left w:w="0" w:type="dxa"/>
              <w:right w:w="0" w:type="dxa"/>
            </w:tcMar>
          </w:tcPr>
          <w:p w:rsidR="002B601A" w:rsidRPr="00A32AF4" w:rsidRDefault="002B601A" w:rsidP="00DB48D6">
            <w:r w:rsidRPr="00A32AF4">
              <w:rPr>
                <w:noProof/>
                <w:lang w:eastAsia="fr-FR"/>
              </w:rPr>
              <w:drawing>
                <wp:inline distT="0" distB="0" distL="0" distR="0" wp14:anchorId="3DD96354" wp14:editId="57C46794">
                  <wp:extent cx="1857375" cy="1323975"/>
                  <wp:effectExtent l="0" t="0" r="9525" b="9525"/>
                  <wp:docPr id="20" name="Picture 20"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2B601A" w:rsidRPr="00A32AF4" w:rsidRDefault="002B601A" w:rsidP="00DB48D6">
            <w:pPr>
              <w:jc w:val="right"/>
            </w:pPr>
            <w:r w:rsidRPr="00A32AF4">
              <w:rPr>
                <w:b/>
                <w:sz w:val="40"/>
                <w:szCs w:val="40"/>
              </w:rPr>
              <w:t>F</w:t>
            </w:r>
          </w:p>
        </w:tc>
      </w:tr>
      <w:tr w:rsidR="002B601A" w:rsidRPr="00A32AF4" w:rsidTr="00DB48D6">
        <w:trPr>
          <w:trHeight w:hRule="exact" w:val="340"/>
        </w:trPr>
        <w:tc>
          <w:tcPr>
            <w:tcW w:w="9356" w:type="dxa"/>
            <w:gridSpan w:val="3"/>
            <w:tcBorders>
              <w:top w:val="single" w:sz="4" w:space="0" w:color="auto"/>
            </w:tcBorders>
            <w:tcMar>
              <w:top w:w="170" w:type="dxa"/>
              <w:left w:w="0" w:type="dxa"/>
              <w:right w:w="0" w:type="dxa"/>
            </w:tcMar>
            <w:vAlign w:val="bottom"/>
          </w:tcPr>
          <w:p w:rsidR="002B601A" w:rsidRPr="00A32AF4" w:rsidRDefault="002B601A" w:rsidP="00DB48D6">
            <w:pPr>
              <w:jc w:val="right"/>
              <w:rPr>
                <w:rFonts w:ascii="Arial Black" w:hAnsi="Arial Black"/>
                <w:caps/>
                <w:sz w:val="15"/>
              </w:rPr>
            </w:pPr>
            <w:r w:rsidRPr="00A32AF4">
              <w:rPr>
                <w:rFonts w:ascii="Arial Black" w:hAnsi="Arial Black"/>
                <w:caps/>
                <w:sz w:val="15"/>
              </w:rPr>
              <w:t xml:space="preserve">A/55/5 </w:t>
            </w:r>
            <w:r w:rsidR="00DB48D6" w:rsidRPr="00A32AF4">
              <w:rPr>
                <w:rFonts w:ascii="Arial Black" w:hAnsi="Arial Black"/>
                <w:caps/>
                <w:sz w:val="15"/>
              </w:rPr>
              <w:t>Rev.</w:t>
            </w:r>
          </w:p>
        </w:tc>
      </w:tr>
      <w:tr w:rsidR="002B601A" w:rsidRPr="00A32AF4" w:rsidTr="00DB48D6">
        <w:trPr>
          <w:trHeight w:hRule="exact" w:val="170"/>
        </w:trPr>
        <w:tc>
          <w:tcPr>
            <w:tcW w:w="9356" w:type="dxa"/>
            <w:gridSpan w:val="3"/>
            <w:noWrap/>
            <w:tcMar>
              <w:left w:w="0" w:type="dxa"/>
              <w:right w:w="0" w:type="dxa"/>
            </w:tcMar>
            <w:vAlign w:val="bottom"/>
          </w:tcPr>
          <w:p w:rsidR="002B601A" w:rsidRPr="00A32AF4" w:rsidRDefault="002B601A" w:rsidP="00DB48D6">
            <w:pPr>
              <w:jc w:val="right"/>
              <w:rPr>
                <w:rFonts w:ascii="Arial Black" w:hAnsi="Arial Black"/>
                <w:caps/>
                <w:sz w:val="15"/>
              </w:rPr>
            </w:pPr>
            <w:r w:rsidRPr="00A32AF4">
              <w:rPr>
                <w:rFonts w:ascii="Arial Black" w:hAnsi="Arial Black"/>
                <w:caps/>
                <w:sz w:val="15"/>
              </w:rPr>
              <w:t>ORIGINAL : anglais</w:t>
            </w:r>
          </w:p>
        </w:tc>
      </w:tr>
      <w:tr w:rsidR="002B601A" w:rsidRPr="00A32AF4" w:rsidTr="00DB48D6">
        <w:trPr>
          <w:trHeight w:hRule="exact" w:val="198"/>
        </w:trPr>
        <w:tc>
          <w:tcPr>
            <w:tcW w:w="9356" w:type="dxa"/>
            <w:gridSpan w:val="3"/>
            <w:tcMar>
              <w:left w:w="0" w:type="dxa"/>
              <w:right w:w="0" w:type="dxa"/>
            </w:tcMar>
            <w:vAlign w:val="bottom"/>
          </w:tcPr>
          <w:p w:rsidR="002B601A" w:rsidRPr="00A32AF4" w:rsidRDefault="002B601A" w:rsidP="005E4C3A">
            <w:pPr>
              <w:jc w:val="right"/>
              <w:rPr>
                <w:rFonts w:ascii="Arial Black" w:hAnsi="Arial Black"/>
                <w:caps/>
                <w:sz w:val="15"/>
              </w:rPr>
            </w:pPr>
            <w:r w:rsidRPr="00A32AF4">
              <w:rPr>
                <w:rFonts w:ascii="Arial Black" w:hAnsi="Arial Black"/>
                <w:caps/>
                <w:sz w:val="15"/>
              </w:rPr>
              <w:t xml:space="preserve">DATE : </w:t>
            </w:r>
            <w:r w:rsidR="005E4C3A">
              <w:rPr>
                <w:rFonts w:ascii="Arial Black" w:hAnsi="Arial Black"/>
                <w:caps/>
                <w:sz w:val="15"/>
              </w:rPr>
              <w:t>2 octobre</w:t>
            </w:r>
            <w:r w:rsidRPr="00A32AF4">
              <w:rPr>
                <w:rFonts w:ascii="Arial Black" w:hAnsi="Arial Black"/>
                <w:caps/>
                <w:sz w:val="15"/>
              </w:rPr>
              <w:t> 2015</w:t>
            </w:r>
          </w:p>
        </w:tc>
      </w:tr>
    </w:tbl>
    <w:p w:rsidR="002B601A" w:rsidRPr="00A32AF4" w:rsidRDefault="002B601A" w:rsidP="00DB48D6">
      <w:pPr>
        <w:rPr>
          <w:sz w:val="22"/>
        </w:rPr>
      </w:pPr>
    </w:p>
    <w:p w:rsidR="002B601A" w:rsidRPr="00A32AF4" w:rsidRDefault="002B601A" w:rsidP="00DB48D6">
      <w:pPr>
        <w:rPr>
          <w:sz w:val="22"/>
        </w:rPr>
      </w:pPr>
    </w:p>
    <w:p w:rsidR="002B601A" w:rsidRPr="00A32AF4" w:rsidRDefault="002B601A" w:rsidP="00DB48D6">
      <w:pPr>
        <w:rPr>
          <w:sz w:val="22"/>
        </w:rPr>
      </w:pPr>
    </w:p>
    <w:p w:rsidR="002B601A" w:rsidRPr="00A32AF4" w:rsidRDefault="002B601A" w:rsidP="00DB48D6">
      <w:pPr>
        <w:rPr>
          <w:sz w:val="22"/>
        </w:rPr>
      </w:pPr>
    </w:p>
    <w:p w:rsidR="002B601A" w:rsidRPr="00A32AF4" w:rsidRDefault="002B601A" w:rsidP="00DB48D6">
      <w:pPr>
        <w:rPr>
          <w:sz w:val="22"/>
        </w:rPr>
      </w:pPr>
    </w:p>
    <w:p w:rsidR="002B601A" w:rsidRPr="00A32AF4" w:rsidRDefault="002B601A" w:rsidP="00DB48D6">
      <w:r w:rsidRPr="00A32AF4">
        <w:rPr>
          <w:b/>
          <w:sz w:val="28"/>
          <w:szCs w:val="28"/>
        </w:rPr>
        <w:t>Assemblées des États membres de l’OMPI</w:t>
      </w:r>
    </w:p>
    <w:p w:rsidR="002B601A" w:rsidRPr="00A32AF4" w:rsidRDefault="002B601A" w:rsidP="00DB48D6">
      <w:pPr>
        <w:rPr>
          <w:sz w:val="22"/>
        </w:rPr>
      </w:pPr>
    </w:p>
    <w:p w:rsidR="002B601A" w:rsidRPr="00A32AF4" w:rsidRDefault="002B601A" w:rsidP="00DB48D6">
      <w:pPr>
        <w:rPr>
          <w:sz w:val="22"/>
        </w:rPr>
      </w:pPr>
    </w:p>
    <w:p w:rsidR="002B601A" w:rsidRPr="00A32AF4" w:rsidRDefault="002B601A" w:rsidP="00DB48D6">
      <w:pPr>
        <w:rPr>
          <w:b/>
          <w:sz w:val="24"/>
          <w:szCs w:val="24"/>
        </w:rPr>
      </w:pPr>
      <w:r w:rsidRPr="00A32AF4">
        <w:rPr>
          <w:b/>
          <w:sz w:val="24"/>
          <w:szCs w:val="24"/>
        </w:rPr>
        <w:t>Cinquante</w:t>
      </w:r>
      <w:r w:rsidRPr="00A32AF4">
        <w:rPr>
          <w:b/>
          <w:sz w:val="24"/>
          <w:szCs w:val="24"/>
        </w:rPr>
        <w:noBreakHyphen/>
        <w:t>cinquième série de réunions</w:t>
      </w:r>
    </w:p>
    <w:p w:rsidR="002B601A" w:rsidRPr="00293C7B" w:rsidRDefault="002B601A" w:rsidP="00DB48D6">
      <w:pPr>
        <w:rPr>
          <w:sz w:val="24"/>
          <w:szCs w:val="24"/>
        </w:rPr>
      </w:pPr>
      <w:r w:rsidRPr="00293C7B">
        <w:rPr>
          <w:b/>
          <w:sz w:val="24"/>
          <w:szCs w:val="24"/>
        </w:rPr>
        <w:t>Genève, 5 – 14 octobre 2015</w:t>
      </w:r>
    </w:p>
    <w:p w:rsidR="002B601A" w:rsidRPr="00A32AF4" w:rsidRDefault="002B601A" w:rsidP="00DB48D6">
      <w:pPr>
        <w:rPr>
          <w:sz w:val="22"/>
        </w:rPr>
      </w:pPr>
    </w:p>
    <w:p w:rsidR="002B601A" w:rsidRPr="00A32AF4" w:rsidRDefault="002B601A" w:rsidP="00DB48D6">
      <w:pPr>
        <w:rPr>
          <w:sz w:val="22"/>
        </w:rPr>
      </w:pPr>
    </w:p>
    <w:p w:rsidR="002B601A" w:rsidRPr="00A32AF4" w:rsidRDefault="002B601A" w:rsidP="00DB48D6">
      <w:pPr>
        <w:rPr>
          <w:sz w:val="22"/>
        </w:rPr>
      </w:pPr>
    </w:p>
    <w:p w:rsidR="002B601A" w:rsidRPr="00A32AF4" w:rsidRDefault="002B601A" w:rsidP="00DB48D6">
      <w:pPr>
        <w:rPr>
          <w:caps/>
          <w:sz w:val="24"/>
        </w:rPr>
      </w:pPr>
      <w:bookmarkStart w:id="0" w:name="TitleOfDoc"/>
      <w:bookmarkEnd w:id="0"/>
      <w:r w:rsidRPr="00A32AF4">
        <w:rPr>
          <w:caps/>
          <w:sz w:val="24"/>
        </w:rPr>
        <w:t>Programme et budget proposé pour l’exercice biennal 2016</w:t>
      </w:r>
      <w:r w:rsidRPr="00A32AF4">
        <w:rPr>
          <w:caps/>
          <w:sz w:val="24"/>
        </w:rPr>
        <w:noBreakHyphen/>
        <w:t>2017</w:t>
      </w:r>
    </w:p>
    <w:p w:rsidR="002B601A" w:rsidRPr="00A32AF4" w:rsidRDefault="002B601A" w:rsidP="00DB48D6">
      <w:pPr>
        <w:rPr>
          <w:sz w:val="22"/>
        </w:rPr>
      </w:pPr>
    </w:p>
    <w:p w:rsidR="002B601A" w:rsidRPr="00A32AF4" w:rsidRDefault="002B601A" w:rsidP="00DB48D6">
      <w:pPr>
        <w:rPr>
          <w:i/>
          <w:sz w:val="22"/>
        </w:rPr>
      </w:pPr>
      <w:r w:rsidRPr="00A32AF4">
        <w:rPr>
          <w:i/>
          <w:sz w:val="22"/>
        </w:rPr>
        <w:t>Document établi par le Secrétariat</w:t>
      </w:r>
    </w:p>
    <w:p w:rsidR="002B601A" w:rsidRPr="00A32AF4" w:rsidRDefault="002B601A" w:rsidP="00DB48D6">
      <w:pPr>
        <w:rPr>
          <w:sz w:val="22"/>
        </w:rPr>
      </w:pPr>
    </w:p>
    <w:p w:rsidR="002B601A" w:rsidRPr="00A32AF4" w:rsidRDefault="002B601A" w:rsidP="00DB48D6">
      <w:pPr>
        <w:rPr>
          <w:sz w:val="22"/>
        </w:rPr>
      </w:pPr>
    </w:p>
    <w:p w:rsidR="002B601A" w:rsidRPr="00A32AF4" w:rsidRDefault="002B601A" w:rsidP="00DB48D6">
      <w:pPr>
        <w:rPr>
          <w:sz w:val="22"/>
        </w:rPr>
      </w:pPr>
    </w:p>
    <w:p w:rsidR="002B601A" w:rsidRPr="00A32AF4" w:rsidRDefault="002B601A" w:rsidP="00DB48D6">
      <w:pPr>
        <w:rPr>
          <w:sz w:val="22"/>
        </w:rPr>
      </w:pPr>
    </w:p>
    <w:p w:rsidR="002B601A" w:rsidRPr="00A32AF4" w:rsidRDefault="001F04FB" w:rsidP="001F04FB">
      <w:pPr>
        <w:pStyle w:val="ONUMFS"/>
        <w:jc w:val="left"/>
        <w:rPr>
          <w:sz w:val="22"/>
          <w:szCs w:val="22"/>
        </w:rPr>
      </w:pPr>
      <w:r w:rsidRPr="00A32AF4">
        <w:rPr>
          <w:sz w:val="22"/>
          <w:szCs w:val="22"/>
        </w:rPr>
        <w:t>Ce document révisé du programme et budget proposé pour l’exercice biennal 2016-2017 contient les modifications qui ont été approuvées à la vingt-quatrième session du Comité du programme et budget (14 – 18 septembre 2015) (voir le document A/55/4, “Décisions prises par le Comité du programme et budget”).</w:t>
      </w:r>
    </w:p>
    <w:p w:rsidR="002B601A" w:rsidRPr="00A32AF4" w:rsidRDefault="001F04FB" w:rsidP="001F04FB">
      <w:pPr>
        <w:pStyle w:val="ONUMFS"/>
        <w:ind w:left="5387"/>
        <w:jc w:val="left"/>
        <w:rPr>
          <w:i/>
          <w:spacing w:val="-2"/>
          <w:sz w:val="22"/>
          <w:szCs w:val="22"/>
        </w:rPr>
      </w:pPr>
      <w:r w:rsidRPr="00A32AF4">
        <w:rPr>
          <w:i/>
          <w:spacing w:val="-2"/>
          <w:sz w:val="22"/>
          <w:szCs w:val="22"/>
          <w:lang w:val="fr-CH"/>
        </w:rPr>
        <w:t>Les assemblées des États membres de l’OMPI et des unions, chacune pour ce qui la concerne, sont invitées à approuver le programme et budget pour l’exercice biennal 2016</w:t>
      </w:r>
      <w:r w:rsidRPr="00A32AF4">
        <w:rPr>
          <w:i/>
          <w:spacing w:val="-2"/>
          <w:sz w:val="22"/>
          <w:szCs w:val="22"/>
          <w:lang w:val="fr-CH"/>
        </w:rPr>
        <w:noBreakHyphen/>
        <w:t>2017 (document A/55/5 Rev.).</w:t>
      </w:r>
    </w:p>
    <w:p w:rsidR="002B601A" w:rsidRPr="00A32AF4" w:rsidRDefault="002B601A" w:rsidP="001F04FB">
      <w:pPr>
        <w:pStyle w:val="Endofdocument-Annex"/>
        <w:ind w:left="5387"/>
        <w:rPr>
          <w:sz w:val="22"/>
          <w:lang w:val="fr-FR"/>
        </w:rPr>
      </w:pPr>
    </w:p>
    <w:p w:rsidR="002B601A" w:rsidRPr="00A32AF4" w:rsidRDefault="002B601A" w:rsidP="001F04FB">
      <w:pPr>
        <w:pStyle w:val="Endofdocument-Annex"/>
        <w:ind w:left="5387"/>
        <w:rPr>
          <w:sz w:val="22"/>
          <w:lang w:val="fr-FR"/>
        </w:rPr>
      </w:pPr>
    </w:p>
    <w:p w:rsidR="002B601A" w:rsidRPr="00A32AF4" w:rsidRDefault="002B601A" w:rsidP="001F04FB">
      <w:pPr>
        <w:pStyle w:val="Endofdocument-Annex"/>
        <w:ind w:left="5387"/>
        <w:rPr>
          <w:sz w:val="22"/>
          <w:lang w:val="fr-FR"/>
        </w:rPr>
      </w:pPr>
      <w:r w:rsidRPr="00A32AF4">
        <w:rPr>
          <w:sz w:val="22"/>
          <w:lang w:val="fr-FR"/>
        </w:rPr>
        <w:t>[</w:t>
      </w:r>
      <w:r w:rsidR="001F04FB" w:rsidRPr="00A32AF4">
        <w:rPr>
          <w:sz w:val="22"/>
          <w:lang w:val="fr-FR"/>
        </w:rPr>
        <w:t>Le programme et budget proposé pour l’exercice biennal 2016-2017 suit</w:t>
      </w:r>
      <w:r w:rsidRPr="00A32AF4">
        <w:rPr>
          <w:sz w:val="22"/>
          <w:lang w:val="fr-FR"/>
        </w:rPr>
        <w:t>]</w:t>
      </w:r>
    </w:p>
    <w:p w:rsidR="002B601A" w:rsidRPr="00A32AF4" w:rsidRDefault="002B601A">
      <w:r w:rsidRPr="00A32AF4">
        <w:br w:type="page"/>
      </w:r>
    </w:p>
    <w:p w:rsidR="00DB48D6" w:rsidRPr="00A32AF4" w:rsidRDefault="00DB48D6"/>
    <w:p w:rsidR="002B601A" w:rsidRPr="00A32AF4" w:rsidRDefault="002B601A" w:rsidP="00D612AE">
      <w:pPr>
        <w:sectPr w:rsidR="002B601A" w:rsidRPr="00A32AF4" w:rsidSect="00DB3B94">
          <w:footerReference w:type="even" r:id="rId10"/>
          <w:pgSz w:w="11907" w:h="16840" w:code="9"/>
          <w:pgMar w:top="567" w:right="1134" w:bottom="1417" w:left="1417" w:header="510" w:footer="1020" w:gutter="0"/>
          <w:cols w:space="720"/>
          <w:titlePg/>
          <w:docGrid w:linePitch="272"/>
        </w:sectPr>
      </w:pPr>
    </w:p>
    <w:p w:rsidR="00F93B76" w:rsidRPr="00A32AF4" w:rsidRDefault="00F93B76" w:rsidP="00DC0553"/>
    <w:p w:rsidR="00F93B76" w:rsidRPr="00A32AF4" w:rsidRDefault="00F93B76" w:rsidP="00DC0553">
      <w:pPr>
        <w:jc w:val="center"/>
        <w:rPr>
          <w:rFonts w:cs="Arial"/>
          <w:sz w:val="22"/>
          <w:szCs w:val="24"/>
        </w:rPr>
      </w:pPr>
    </w:p>
    <w:p w:rsidR="00F93B76" w:rsidRPr="00A32AF4" w:rsidRDefault="00F93B76" w:rsidP="00DC0553">
      <w:pPr>
        <w:jc w:val="center"/>
        <w:rPr>
          <w:rFonts w:cs="Arial"/>
          <w:sz w:val="22"/>
          <w:szCs w:val="24"/>
        </w:rPr>
      </w:pPr>
    </w:p>
    <w:p w:rsidR="00F93B76" w:rsidRPr="00A32AF4" w:rsidRDefault="00F93B76" w:rsidP="00DC0553">
      <w:pPr>
        <w:jc w:val="center"/>
        <w:rPr>
          <w:rFonts w:cs="Arial"/>
          <w:sz w:val="22"/>
          <w:szCs w:val="24"/>
        </w:rPr>
      </w:pPr>
    </w:p>
    <w:p w:rsidR="00F93B76" w:rsidRPr="00A32AF4" w:rsidRDefault="00F93B76" w:rsidP="00DC0553">
      <w:pPr>
        <w:jc w:val="center"/>
        <w:rPr>
          <w:rFonts w:cs="Arial"/>
          <w:sz w:val="22"/>
          <w:szCs w:val="24"/>
        </w:rPr>
      </w:pPr>
    </w:p>
    <w:p w:rsidR="00F93B76" w:rsidRPr="00A32AF4" w:rsidRDefault="00F93B76" w:rsidP="00DC0553">
      <w:pPr>
        <w:jc w:val="center"/>
        <w:rPr>
          <w:rFonts w:cs="Arial"/>
          <w:sz w:val="22"/>
          <w:szCs w:val="24"/>
        </w:rPr>
      </w:pPr>
    </w:p>
    <w:p w:rsidR="00F93B76" w:rsidRPr="00A32AF4" w:rsidRDefault="00F93B76" w:rsidP="00DC0553">
      <w:pPr>
        <w:jc w:val="center"/>
        <w:rPr>
          <w:rFonts w:cs="Arial"/>
          <w:sz w:val="22"/>
          <w:szCs w:val="24"/>
        </w:rPr>
      </w:pPr>
    </w:p>
    <w:p w:rsidR="00F93B76" w:rsidRPr="00A32AF4" w:rsidRDefault="00F93B76" w:rsidP="00DC0553">
      <w:pPr>
        <w:jc w:val="center"/>
        <w:rPr>
          <w:rFonts w:cs="Arial"/>
          <w:sz w:val="22"/>
          <w:szCs w:val="24"/>
        </w:rPr>
      </w:pPr>
    </w:p>
    <w:p w:rsidR="00F93B76" w:rsidRPr="00A32AF4" w:rsidRDefault="00F93B76" w:rsidP="00DC0553">
      <w:pPr>
        <w:jc w:val="center"/>
        <w:rPr>
          <w:rFonts w:cs="Arial"/>
          <w:sz w:val="22"/>
          <w:szCs w:val="24"/>
        </w:rPr>
      </w:pPr>
    </w:p>
    <w:p w:rsidR="00F93B76" w:rsidRPr="00A32AF4" w:rsidRDefault="00F93B76" w:rsidP="00DC0553">
      <w:pPr>
        <w:jc w:val="center"/>
        <w:rPr>
          <w:rFonts w:cs="Arial"/>
          <w:sz w:val="22"/>
          <w:szCs w:val="24"/>
        </w:rPr>
      </w:pPr>
    </w:p>
    <w:p w:rsidR="00F93B76" w:rsidRPr="00A32AF4" w:rsidRDefault="00F93B76" w:rsidP="00DC0553">
      <w:pPr>
        <w:jc w:val="center"/>
        <w:rPr>
          <w:rFonts w:cs="Arial"/>
          <w:sz w:val="22"/>
          <w:szCs w:val="24"/>
        </w:rPr>
      </w:pPr>
    </w:p>
    <w:p w:rsidR="00F93B76" w:rsidRPr="00A32AF4" w:rsidRDefault="00925DC3" w:rsidP="00DC0553">
      <w:pPr>
        <w:jc w:val="center"/>
        <w:rPr>
          <w:rFonts w:cs="Arial"/>
          <w:b/>
          <w:sz w:val="22"/>
          <w:szCs w:val="24"/>
        </w:rPr>
      </w:pPr>
      <w:r w:rsidRPr="00A32AF4">
        <w:rPr>
          <w:rFonts w:cs="Arial"/>
          <w:b/>
          <w:sz w:val="22"/>
          <w:szCs w:val="24"/>
        </w:rPr>
        <w:t>ORGANISATION MONDIALE DE LA PROPRIÉTÉ INTELLECTUELLE</w:t>
      </w:r>
    </w:p>
    <w:p w:rsidR="00F93B76" w:rsidRPr="00A32AF4" w:rsidRDefault="00F93B76" w:rsidP="00DC0553">
      <w:pPr>
        <w:jc w:val="center"/>
        <w:rPr>
          <w:rFonts w:cs="Arial"/>
          <w:sz w:val="22"/>
          <w:szCs w:val="24"/>
        </w:rPr>
      </w:pPr>
    </w:p>
    <w:p w:rsidR="00F93B76" w:rsidRPr="00A32AF4" w:rsidRDefault="00F93B76" w:rsidP="00DC0553">
      <w:pPr>
        <w:jc w:val="center"/>
        <w:rPr>
          <w:rFonts w:cs="Arial"/>
          <w:sz w:val="22"/>
          <w:szCs w:val="24"/>
        </w:rPr>
      </w:pPr>
    </w:p>
    <w:p w:rsidR="00F93B76" w:rsidRPr="00A32AF4" w:rsidRDefault="00F93B76" w:rsidP="00DC0553">
      <w:pPr>
        <w:jc w:val="center"/>
        <w:rPr>
          <w:rFonts w:cs="Arial"/>
          <w:sz w:val="22"/>
          <w:szCs w:val="24"/>
        </w:rPr>
      </w:pPr>
    </w:p>
    <w:p w:rsidR="00F93B76" w:rsidRPr="00A32AF4" w:rsidRDefault="00F93B76" w:rsidP="00DC0553">
      <w:pPr>
        <w:jc w:val="center"/>
        <w:rPr>
          <w:rFonts w:cs="Arial"/>
          <w:sz w:val="22"/>
          <w:szCs w:val="24"/>
        </w:rPr>
      </w:pPr>
    </w:p>
    <w:p w:rsidR="00F93B76" w:rsidRPr="00A32AF4" w:rsidRDefault="00925DC3" w:rsidP="00DC0553">
      <w:pPr>
        <w:jc w:val="center"/>
        <w:rPr>
          <w:rFonts w:cs="Arial"/>
          <w:b/>
          <w:bCs/>
          <w:sz w:val="22"/>
          <w:szCs w:val="24"/>
        </w:rPr>
      </w:pPr>
      <w:r w:rsidRPr="00A32AF4">
        <w:rPr>
          <w:rFonts w:cs="Arial"/>
          <w:b/>
          <w:bCs/>
          <w:sz w:val="22"/>
          <w:szCs w:val="24"/>
        </w:rPr>
        <w:t>PROGRAMME ET BUDGET PROPOSÉ POUR L</w:t>
      </w:r>
      <w:r w:rsidR="00E2055A" w:rsidRPr="00A32AF4">
        <w:rPr>
          <w:rFonts w:cs="Arial"/>
          <w:b/>
          <w:bCs/>
          <w:sz w:val="22"/>
          <w:szCs w:val="24"/>
        </w:rPr>
        <w:t>’</w:t>
      </w:r>
      <w:r w:rsidRPr="00A32AF4">
        <w:rPr>
          <w:rFonts w:cs="Arial"/>
          <w:b/>
          <w:bCs/>
          <w:sz w:val="22"/>
          <w:szCs w:val="24"/>
        </w:rPr>
        <w:t>EXERCICE BIENNAL 2016</w:t>
      </w:r>
      <w:r w:rsidR="00EB7F54" w:rsidRPr="00A32AF4">
        <w:rPr>
          <w:rFonts w:cs="Arial"/>
          <w:b/>
          <w:bCs/>
          <w:sz w:val="22"/>
          <w:szCs w:val="24"/>
        </w:rPr>
        <w:noBreakHyphen/>
      </w:r>
      <w:r w:rsidRPr="00A32AF4">
        <w:rPr>
          <w:rFonts w:cs="Arial"/>
          <w:b/>
          <w:bCs/>
          <w:sz w:val="22"/>
          <w:szCs w:val="24"/>
        </w:rPr>
        <w:t>2017</w:t>
      </w:r>
    </w:p>
    <w:p w:rsidR="00F93B76" w:rsidRPr="00A32AF4" w:rsidRDefault="00F93B76" w:rsidP="00DC0553">
      <w:pPr>
        <w:jc w:val="center"/>
        <w:rPr>
          <w:rFonts w:cs="Arial"/>
          <w:b/>
          <w:bCs/>
          <w:sz w:val="22"/>
          <w:szCs w:val="24"/>
        </w:rPr>
      </w:pPr>
    </w:p>
    <w:p w:rsidR="00FF5067" w:rsidRPr="00A32AF4" w:rsidRDefault="00FF5067" w:rsidP="00DC0553">
      <w:r w:rsidRPr="00A32AF4">
        <w:br w:type="page"/>
      </w:r>
    </w:p>
    <w:p w:rsidR="00F93B76" w:rsidRPr="00A32AF4" w:rsidRDefault="00F93B76" w:rsidP="00DC0553"/>
    <w:p w:rsidR="00C64120" w:rsidRPr="00A32AF4" w:rsidRDefault="00C64120" w:rsidP="00DC0553">
      <w:pPr>
        <w:sectPr w:rsidR="00C64120" w:rsidRPr="00A32AF4" w:rsidSect="00FF5067">
          <w:headerReference w:type="even" r:id="rId11"/>
          <w:headerReference w:type="default" r:id="rId12"/>
          <w:footerReference w:type="even" r:id="rId13"/>
          <w:pgSz w:w="11907" w:h="16840" w:code="9"/>
          <w:pgMar w:top="624" w:right="1418" w:bottom="1361" w:left="1418" w:header="567" w:footer="851" w:gutter="0"/>
          <w:pgNumType w:start="1"/>
          <w:cols w:space="720"/>
          <w:docGrid w:linePitch="272"/>
        </w:sectPr>
      </w:pPr>
    </w:p>
    <w:p w:rsidR="00F93B76" w:rsidRPr="00A32AF4" w:rsidRDefault="00F93B76" w:rsidP="00DC0553">
      <w:pPr>
        <w:rPr>
          <w:b/>
          <w:caps/>
          <w:sz w:val="24"/>
        </w:rPr>
      </w:pPr>
    </w:p>
    <w:p w:rsidR="00F93B76" w:rsidRPr="00A32AF4" w:rsidRDefault="00C64120" w:rsidP="00DC0553">
      <w:pPr>
        <w:jc w:val="center"/>
        <w:rPr>
          <w:b/>
          <w:caps/>
          <w:sz w:val="24"/>
        </w:rPr>
      </w:pPr>
      <w:r w:rsidRPr="00A32AF4">
        <w:rPr>
          <w:b/>
          <w:caps/>
          <w:sz w:val="24"/>
        </w:rPr>
        <w:t>Table des matières</w:t>
      </w:r>
    </w:p>
    <w:p w:rsidR="00F93B76" w:rsidRPr="00A32AF4" w:rsidRDefault="00F93B76" w:rsidP="00DC0553"/>
    <w:p w:rsidR="00737FF9" w:rsidRDefault="00F00BFF">
      <w:pPr>
        <w:pStyle w:val="TOC1"/>
        <w:rPr>
          <w:rFonts w:asciiTheme="minorHAnsi" w:eastAsiaTheme="minorEastAsia" w:hAnsiTheme="minorHAnsi" w:cstheme="minorBidi"/>
          <w:b w:val="0"/>
          <w:caps w:val="0"/>
          <w:sz w:val="22"/>
          <w:szCs w:val="22"/>
          <w:lang w:eastAsia="fr-FR"/>
        </w:rPr>
      </w:pPr>
      <w:r w:rsidRPr="00A32AF4">
        <w:rPr>
          <w:noProof w:val="0"/>
        </w:rPr>
        <w:fldChar w:fldCharType="begin"/>
      </w:r>
      <w:r w:rsidRPr="00A32AF4">
        <w:rPr>
          <w:noProof w:val="0"/>
        </w:rPr>
        <w:instrText xml:space="preserve"> TOC \o "1-3" \u </w:instrText>
      </w:r>
      <w:r w:rsidRPr="00A32AF4">
        <w:rPr>
          <w:noProof w:val="0"/>
        </w:rPr>
        <w:fldChar w:fldCharType="separate"/>
      </w:r>
      <w:r w:rsidR="00737FF9">
        <w:t>Avant</w:t>
      </w:r>
      <w:r w:rsidR="00737FF9">
        <w:noBreakHyphen/>
        <w:t>propos du Directeur général</w:t>
      </w:r>
      <w:r w:rsidR="00737FF9">
        <w:tab/>
      </w:r>
      <w:r w:rsidR="00737FF9">
        <w:fldChar w:fldCharType="begin"/>
      </w:r>
      <w:r w:rsidR="00737FF9">
        <w:instrText xml:space="preserve"> PAGEREF _Toc431555426 \h </w:instrText>
      </w:r>
      <w:r w:rsidR="00737FF9">
        <w:fldChar w:fldCharType="separate"/>
      </w:r>
      <w:r w:rsidR="002C1ED1">
        <w:t>7</w:t>
      </w:r>
      <w:r w:rsidR="00737FF9">
        <w:fldChar w:fldCharType="end"/>
      </w:r>
    </w:p>
    <w:p w:rsidR="00737FF9" w:rsidRDefault="00737FF9">
      <w:pPr>
        <w:pStyle w:val="TOC1"/>
        <w:rPr>
          <w:rFonts w:asciiTheme="minorHAnsi" w:eastAsiaTheme="minorEastAsia" w:hAnsiTheme="minorHAnsi" w:cstheme="minorBidi"/>
          <w:b w:val="0"/>
          <w:caps w:val="0"/>
          <w:sz w:val="22"/>
          <w:szCs w:val="22"/>
          <w:lang w:eastAsia="fr-FR"/>
        </w:rPr>
      </w:pPr>
      <w:r>
        <w:t>I.</w:t>
      </w:r>
      <w:r>
        <w:rPr>
          <w:rFonts w:asciiTheme="minorHAnsi" w:eastAsiaTheme="minorEastAsia" w:hAnsiTheme="minorHAnsi" w:cstheme="minorBidi"/>
          <w:b w:val="0"/>
          <w:caps w:val="0"/>
          <w:sz w:val="22"/>
          <w:szCs w:val="22"/>
          <w:lang w:eastAsia="fr-FR"/>
        </w:rPr>
        <w:tab/>
      </w:r>
      <w:r>
        <w:t>présentation générale de la situation financière et des résultats obtenus</w:t>
      </w:r>
      <w:r>
        <w:tab/>
      </w:r>
      <w:r>
        <w:fldChar w:fldCharType="begin"/>
      </w:r>
      <w:r>
        <w:instrText xml:space="preserve"> PAGEREF _Toc431555427 \h </w:instrText>
      </w:r>
      <w:r>
        <w:fldChar w:fldCharType="separate"/>
      </w:r>
      <w:r w:rsidR="002C1ED1">
        <w:t>9</w:t>
      </w:r>
      <w:r>
        <w:fldChar w:fldCharType="end"/>
      </w:r>
    </w:p>
    <w:p w:rsidR="00737FF9" w:rsidRDefault="00737FF9">
      <w:pPr>
        <w:pStyle w:val="TOC3"/>
        <w:rPr>
          <w:rFonts w:asciiTheme="minorHAnsi" w:eastAsiaTheme="minorEastAsia" w:hAnsiTheme="minorHAnsi" w:cstheme="minorBidi"/>
          <w:caps w:val="0"/>
          <w:sz w:val="22"/>
          <w:szCs w:val="22"/>
          <w:lang w:eastAsia="fr-FR"/>
        </w:rPr>
      </w:pPr>
      <w:r>
        <w:t>RECETTES</w:t>
      </w:r>
      <w:r>
        <w:tab/>
      </w:r>
      <w:r>
        <w:tab/>
      </w:r>
      <w:r>
        <w:fldChar w:fldCharType="begin"/>
      </w:r>
      <w:r>
        <w:instrText xml:space="preserve"> PAGEREF _Toc431555428 \h </w:instrText>
      </w:r>
      <w:r>
        <w:fldChar w:fldCharType="separate"/>
      </w:r>
      <w:r w:rsidR="002C1ED1">
        <w:t>9</w:t>
      </w:r>
      <w:r>
        <w:fldChar w:fldCharType="end"/>
      </w:r>
    </w:p>
    <w:p w:rsidR="00737FF9" w:rsidRDefault="00737FF9">
      <w:pPr>
        <w:pStyle w:val="TOC3"/>
        <w:rPr>
          <w:rFonts w:asciiTheme="minorHAnsi" w:eastAsiaTheme="minorEastAsia" w:hAnsiTheme="minorHAnsi" w:cstheme="minorBidi"/>
          <w:caps w:val="0"/>
          <w:sz w:val="22"/>
          <w:szCs w:val="22"/>
          <w:lang w:eastAsia="fr-FR"/>
        </w:rPr>
      </w:pPr>
      <w:r>
        <w:t>RÉSULTATS ET RESSOURCES</w:t>
      </w:r>
      <w:r>
        <w:tab/>
      </w:r>
      <w:r>
        <w:fldChar w:fldCharType="begin"/>
      </w:r>
      <w:r>
        <w:instrText xml:space="preserve"> PAGEREF _Toc431555429 \h </w:instrText>
      </w:r>
      <w:r>
        <w:fldChar w:fldCharType="separate"/>
      </w:r>
      <w:r w:rsidR="002C1ED1">
        <w:t>15</w:t>
      </w:r>
      <w:r>
        <w:fldChar w:fldCharType="end"/>
      </w:r>
    </w:p>
    <w:p w:rsidR="00737FF9" w:rsidRDefault="00737FF9">
      <w:pPr>
        <w:pStyle w:val="TOC3"/>
        <w:rPr>
          <w:rFonts w:asciiTheme="minorHAnsi" w:eastAsiaTheme="minorEastAsia" w:hAnsiTheme="minorHAnsi" w:cstheme="minorBidi"/>
          <w:caps w:val="0"/>
          <w:sz w:val="22"/>
          <w:szCs w:val="22"/>
          <w:lang w:eastAsia="fr-FR"/>
        </w:rPr>
      </w:pPr>
      <w:r>
        <w:t>Autres ressources</w:t>
      </w:r>
      <w:r>
        <w:tab/>
      </w:r>
      <w:r>
        <w:fldChar w:fldCharType="begin"/>
      </w:r>
      <w:r>
        <w:instrText xml:space="preserve"> PAGEREF _Toc431555430 \h </w:instrText>
      </w:r>
      <w:r>
        <w:fldChar w:fldCharType="separate"/>
      </w:r>
      <w:r w:rsidR="002C1ED1">
        <w:t>23</w:t>
      </w:r>
      <w:r>
        <w:fldChar w:fldCharType="end"/>
      </w:r>
    </w:p>
    <w:p w:rsidR="00737FF9" w:rsidRDefault="00737FF9">
      <w:pPr>
        <w:pStyle w:val="TOC3"/>
        <w:rPr>
          <w:rFonts w:asciiTheme="minorHAnsi" w:eastAsiaTheme="minorEastAsia" w:hAnsiTheme="minorHAnsi" w:cstheme="minorBidi"/>
          <w:caps w:val="0"/>
          <w:sz w:val="22"/>
          <w:szCs w:val="22"/>
          <w:lang w:eastAsia="fr-FR"/>
        </w:rPr>
      </w:pPr>
      <w:r>
        <w:t>Dépenses de personnel</w:t>
      </w:r>
      <w:r>
        <w:tab/>
      </w:r>
      <w:r>
        <w:fldChar w:fldCharType="begin"/>
      </w:r>
      <w:r>
        <w:instrText xml:space="preserve"> PAGEREF _Toc431555431 \h </w:instrText>
      </w:r>
      <w:r>
        <w:fldChar w:fldCharType="separate"/>
      </w:r>
      <w:r w:rsidR="002C1ED1">
        <w:t>25</w:t>
      </w:r>
      <w:r>
        <w:fldChar w:fldCharType="end"/>
      </w:r>
    </w:p>
    <w:p w:rsidR="00737FF9" w:rsidRDefault="00737FF9">
      <w:pPr>
        <w:pStyle w:val="TOC3"/>
        <w:rPr>
          <w:rFonts w:asciiTheme="minorHAnsi" w:eastAsiaTheme="minorEastAsia" w:hAnsiTheme="minorHAnsi" w:cstheme="minorBidi"/>
          <w:caps w:val="0"/>
          <w:sz w:val="22"/>
          <w:szCs w:val="22"/>
          <w:lang w:eastAsia="fr-FR"/>
        </w:rPr>
      </w:pPr>
      <w:r>
        <w:t>Ressources allouées aux activités en faveur du développement et du Plan d’action pour le développement</w:t>
      </w:r>
      <w:r>
        <w:tab/>
      </w:r>
      <w:r>
        <w:fldChar w:fldCharType="begin"/>
      </w:r>
      <w:r>
        <w:instrText xml:space="preserve"> PAGEREF _Toc431555432 \h </w:instrText>
      </w:r>
      <w:r>
        <w:fldChar w:fldCharType="separate"/>
      </w:r>
      <w:r w:rsidR="002C1ED1">
        <w:t>27</w:t>
      </w:r>
      <w:r>
        <w:fldChar w:fldCharType="end"/>
      </w:r>
    </w:p>
    <w:p w:rsidR="00737FF9" w:rsidRDefault="00737FF9">
      <w:pPr>
        <w:pStyle w:val="TOC1"/>
        <w:rPr>
          <w:rFonts w:asciiTheme="minorHAnsi" w:eastAsiaTheme="minorEastAsia" w:hAnsiTheme="minorHAnsi" w:cstheme="minorBidi"/>
          <w:b w:val="0"/>
          <w:caps w:val="0"/>
          <w:sz w:val="22"/>
          <w:szCs w:val="22"/>
          <w:lang w:eastAsia="fr-FR"/>
        </w:rPr>
      </w:pPr>
      <w:r>
        <w:t>II.</w:t>
      </w:r>
      <w:r>
        <w:rPr>
          <w:rFonts w:asciiTheme="minorHAnsi" w:eastAsiaTheme="minorEastAsia" w:hAnsiTheme="minorHAnsi" w:cstheme="minorBidi"/>
          <w:b w:val="0"/>
          <w:caps w:val="0"/>
          <w:sz w:val="22"/>
          <w:szCs w:val="22"/>
          <w:lang w:eastAsia="fr-FR"/>
        </w:rPr>
        <w:tab/>
      </w:r>
      <w:r>
        <w:t>Exposé des programmes par objectif stratégique</w:t>
      </w:r>
      <w:r>
        <w:tab/>
      </w:r>
      <w:r>
        <w:fldChar w:fldCharType="begin"/>
      </w:r>
      <w:r>
        <w:instrText xml:space="preserve"> PAGEREF _Toc431555433 \h </w:instrText>
      </w:r>
      <w:r>
        <w:fldChar w:fldCharType="separate"/>
      </w:r>
      <w:r w:rsidR="002C1ED1">
        <w:t>30</w:t>
      </w:r>
      <w:r>
        <w:fldChar w:fldCharType="end"/>
      </w:r>
    </w:p>
    <w:p w:rsidR="00737FF9" w:rsidRDefault="00737FF9">
      <w:pPr>
        <w:pStyle w:val="TOC2"/>
        <w:rPr>
          <w:rFonts w:asciiTheme="minorHAnsi" w:eastAsiaTheme="minorEastAsia" w:hAnsiTheme="minorHAnsi" w:cstheme="minorBidi"/>
          <w:b w:val="0"/>
          <w:caps w:val="0"/>
          <w:sz w:val="22"/>
          <w:szCs w:val="22"/>
          <w:lang w:eastAsia="fr-FR"/>
        </w:rPr>
      </w:pPr>
      <w:r>
        <w:t>Objectif stratégique I</w:t>
      </w:r>
      <w:r>
        <w:rPr>
          <w:rFonts w:asciiTheme="minorHAnsi" w:eastAsiaTheme="minorEastAsia" w:hAnsiTheme="minorHAnsi" w:cstheme="minorBidi"/>
          <w:b w:val="0"/>
          <w:caps w:val="0"/>
          <w:sz w:val="22"/>
          <w:szCs w:val="22"/>
          <w:lang w:eastAsia="fr-FR"/>
        </w:rPr>
        <w:tab/>
      </w:r>
      <w:r>
        <w:t>Évolution équilibrée du cadre normatif international de la propriété intellectuelle</w:t>
      </w:r>
      <w:r>
        <w:tab/>
      </w:r>
      <w:r>
        <w:fldChar w:fldCharType="begin"/>
      </w:r>
      <w:r>
        <w:instrText xml:space="preserve"> PAGEREF _Toc431555434 \h </w:instrText>
      </w:r>
      <w:r>
        <w:fldChar w:fldCharType="separate"/>
      </w:r>
      <w:r w:rsidR="002C1ED1">
        <w:t>30</w:t>
      </w:r>
      <w:r>
        <w:fldChar w:fldCharType="end"/>
      </w:r>
    </w:p>
    <w:p w:rsidR="00737FF9" w:rsidRDefault="00737FF9">
      <w:pPr>
        <w:pStyle w:val="TOC3"/>
        <w:rPr>
          <w:rFonts w:asciiTheme="minorHAnsi" w:eastAsiaTheme="minorEastAsia" w:hAnsiTheme="minorHAnsi" w:cstheme="minorBidi"/>
          <w:caps w:val="0"/>
          <w:sz w:val="22"/>
          <w:szCs w:val="22"/>
          <w:lang w:eastAsia="fr-FR"/>
        </w:rPr>
      </w:pPr>
      <w:r>
        <w:t>PROGRAMME 1</w:t>
      </w:r>
      <w:r>
        <w:rPr>
          <w:rFonts w:asciiTheme="minorHAnsi" w:eastAsiaTheme="minorEastAsia" w:hAnsiTheme="minorHAnsi" w:cstheme="minorBidi"/>
          <w:caps w:val="0"/>
          <w:sz w:val="22"/>
          <w:szCs w:val="22"/>
          <w:lang w:eastAsia="fr-FR"/>
        </w:rPr>
        <w:tab/>
      </w:r>
      <w:r>
        <w:rPr>
          <w:rFonts w:hint="eastAsia"/>
        </w:rPr>
        <w:t>‎</w:t>
      </w:r>
      <w:r>
        <w:t>Droit des brevets</w:t>
      </w:r>
      <w:r>
        <w:tab/>
      </w:r>
      <w:r>
        <w:fldChar w:fldCharType="begin"/>
      </w:r>
      <w:r>
        <w:instrText xml:space="preserve"> PAGEREF _Toc431555435 \h </w:instrText>
      </w:r>
      <w:r>
        <w:fldChar w:fldCharType="separate"/>
      </w:r>
      <w:r w:rsidR="002C1ED1">
        <w:t>32</w:t>
      </w:r>
      <w:r>
        <w:fldChar w:fldCharType="end"/>
      </w:r>
    </w:p>
    <w:p w:rsidR="00737FF9" w:rsidRDefault="00737FF9">
      <w:pPr>
        <w:pStyle w:val="TOC3"/>
        <w:rPr>
          <w:rFonts w:asciiTheme="minorHAnsi" w:eastAsiaTheme="minorEastAsia" w:hAnsiTheme="minorHAnsi" w:cstheme="minorBidi"/>
          <w:caps w:val="0"/>
          <w:sz w:val="22"/>
          <w:szCs w:val="22"/>
          <w:lang w:eastAsia="fr-FR"/>
        </w:rPr>
      </w:pPr>
      <w:r>
        <w:t>Programme 2</w:t>
      </w:r>
      <w:r>
        <w:rPr>
          <w:rFonts w:asciiTheme="minorHAnsi" w:eastAsiaTheme="minorEastAsia" w:hAnsiTheme="minorHAnsi" w:cstheme="minorBidi"/>
          <w:caps w:val="0"/>
          <w:sz w:val="22"/>
          <w:szCs w:val="22"/>
          <w:lang w:eastAsia="fr-FR"/>
        </w:rPr>
        <w:tab/>
      </w:r>
      <w:r>
        <w:rPr>
          <w:rFonts w:hint="eastAsia"/>
        </w:rPr>
        <w:t>‎</w:t>
      </w:r>
      <w:r>
        <w:t>Marques, dessins et modèles industriels et indications géographiques</w:t>
      </w:r>
      <w:r>
        <w:tab/>
      </w:r>
      <w:r>
        <w:fldChar w:fldCharType="begin"/>
      </w:r>
      <w:r>
        <w:instrText xml:space="preserve"> PAGEREF _Toc431555436 \h </w:instrText>
      </w:r>
      <w:r>
        <w:fldChar w:fldCharType="separate"/>
      </w:r>
      <w:r w:rsidR="002C1ED1">
        <w:t>37</w:t>
      </w:r>
      <w:r>
        <w:fldChar w:fldCharType="end"/>
      </w:r>
    </w:p>
    <w:p w:rsidR="00737FF9" w:rsidRDefault="00737FF9">
      <w:pPr>
        <w:pStyle w:val="TOC3"/>
        <w:rPr>
          <w:rFonts w:asciiTheme="minorHAnsi" w:eastAsiaTheme="minorEastAsia" w:hAnsiTheme="minorHAnsi" w:cstheme="minorBidi"/>
          <w:caps w:val="0"/>
          <w:sz w:val="22"/>
          <w:szCs w:val="22"/>
          <w:lang w:eastAsia="fr-FR"/>
        </w:rPr>
      </w:pPr>
      <w:r>
        <w:t>PROGRAMME 3</w:t>
      </w:r>
      <w:r>
        <w:rPr>
          <w:rFonts w:asciiTheme="minorHAnsi" w:eastAsiaTheme="minorEastAsia" w:hAnsiTheme="minorHAnsi" w:cstheme="minorBidi"/>
          <w:caps w:val="0"/>
          <w:sz w:val="22"/>
          <w:szCs w:val="22"/>
          <w:lang w:eastAsia="fr-FR"/>
        </w:rPr>
        <w:tab/>
      </w:r>
      <w:r>
        <w:t>Droit d’auteur et droits connexes</w:t>
      </w:r>
      <w:r>
        <w:tab/>
      </w:r>
      <w:r>
        <w:fldChar w:fldCharType="begin"/>
      </w:r>
      <w:r>
        <w:instrText xml:space="preserve"> PAGEREF _Toc431555437 \h </w:instrText>
      </w:r>
      <w:r>
        <w:fldChar w:fldCharType="separate"/>
      </w:r>
      <w:r w:rsidR="002C1ED1">
        <w:t>41</w:t>
      </w:r>
      <w:r>
        <w:fldChar w:fldCharType="end"/>
      </w:r>
    </w:p>
    <w:p w:rsidR="00737FF9" w:rsidRDefault="00737FF9">
      <w:pPr>
        <w:pStyle w:val="TOC3"/>
        <w:rPr>
          <w:rFonts w:asciiTheme="minorHAnsi" w:eastAsiaTheme="minorEastAsia" w:hAnsiTheme="minorHAnsi" w:cstheme="minorBidi"/>
          <w:caps w:val="0"/>
          <w:sz w:val="22"/>
          <w:szCs w:val="22"/>
          <w:lang w:eastAsia="fr-FR"/>
        </w:rPr>
      </w:pPr>
      <w:r>
        <w:t>PROGRAMME 4</w:t>
      </w:r>
      <w:r>
        <w:rPr>
          <w:rFonts w:asciiTheme="minorHAnsi" w:eastAsiaTheme="minorEastAsia" w:hAnsiTheme="minorHAnsi" w:cstheme="minorBidi"/>
          <w:caps w:val="0"/>
          <w:sz w:val="22"/>
          <w:szCs w:val="22"/>
          <w:lang w:eastAsia="fr-FR"/>
        </w:rPr>
        <w:tab/>
      </w:r>
      <w:r>
        <w:rPr>
          <w:rFonts w:hint="eastAsia"/>
        </w:rPr>
        <w:t>‎</w:t>
      </w:r>
      <w:r>
        <w:t>SAVOIRS TRADITIONNELS, EXPRESSIONS CULTURELLES TRADITIONNELLES ET RESSOURCES GÉNÉTIQUES</w:t>
      </w:r>
      <w:r>
        <w:tab/>
      </w:r>
      <w:r>
        <w:fldChar w:fldCharType="begin"/>
      </w:r>
      <w:r>
        <w:instrText xml:space="preserve"> PAGEREF _Toc431555438 \h </w:instrText>
      </w:r>
      <w:r>
        <w:fldChar w:fldCharType="separate"/>
      </w:r>
      <w:r w:rsidR="002C1ED1">
        <w:t>49</w:t>
      </w:r>
      <w:r>
        <w:fldChar w:fldCharType="end"/>
      </w:r>
    </w:p>
    <w:p w:rsidR="00737FF9" w:rsidRDefault="00737FF9">
      <w:pPr>
        <w:pStyle w:val="TOC2"/>
        <w:rPr>
          <w:rFonts w:asciiTheme="minorHAnsi" w:eastAsiaTheme="minorEastAsia" w:hAnsiTheme="minorHAnsi" w:cstheme="minorBidi"/>
          <w:b w:val="0"/>
          <w:caps w:val="0"/>
          <w:sz w:val="22"/>
          <w:szCs w:val="22"/>
          <w:lang w:eastAsia="fr-FR"/>
        </w:rPr>
      </w:pPr>
      <w:r>
        <w:t>Objectif stratégique II</w:t>
      </w:r>
      <w:r>
        <w:rPr>
          <w:rFonts w:asciiTheme="minorHAnsi" w:eastAsiaTheme="minorEastAsia" w:hAnsiTheme="minorHAnsi" w:cstheme="minorBidi"/>
          <w:b w:val="0"/>
          <w:caps w:val="0"/>
          <w:sz w:val="22"/>
          <w:szCs w:val="22"/>
          <w:lang w:eastAsia="fr-FR"/>
        </w:rPr>
        <w:tab/>
      </w:r>
      <w:r>
        <w:t>Prestation de services mondiaux de propriété intellectuelle de premier ordre</w:t>
      </w:r>
      <w:r>
        <w:tab/>
      </w:r>
      <w:r>
        <w:fldChar w:fldCharType="begin"/>
      </w:r>
      <w:r>
        <w:instrText xml:space="preserve"> PAGEREF _Toc431555439 \h </w:instrText>
      </w:r>
      <w:r>
        <w:fldChar w:fldCharType="separate"/>
      </w:r>
      <w:r w:rsidR="002C1ED1">
        <w:t>54</w:t>
      </w:r>
      <w:r>
        <w:fldChar w:fldCharType="end"/>
      </w:r>
    </w:p>
    <w:p w:rsidR="00737FF9" w:rsidRDefault="00737FF9">
      <w:pPr>
        <w:pStyle w:val="TOC3"/>
        <w:rPr>
          <w:rFonts w:asciiTheme="minorHAnsi" w:eastAsiaTheme="minorEastAsia" w:hAnsiTheme="minorHAnsi" w:cstheme="minorBidi"/>
          <w:caps w:val="0"/>
          <w:sz w:val="22"/>
          <w:szCs w:val="22"/>
          <w:lang w:eastAsia="fr-FR"/>
        </w:rPr>
      </w:pPr>
      <w:r>
        <w:t>Programme 5</w:t>
      </w:r>
      <w:r>
        <w:rPr>
          <w:rFonts w:asciiTheme="minorHAnsi" w:eastAsiaTheme="minorEastAsia" w:hAnsiTheme="minorHAnsi" w:cstheme="minorBidi"/>
          <w:caps w:val="0"/>
          <w:sz w:val="22"/>
          <w:szCs w:val="22"/>
          <w:lang w:eastAsia="fr-FR"/>
        </w:rPr>
        <w:tab/>
      </w:r>
      <w:r>
        <w:t>Système du PCT</w:t>
      </w:r>
      <w:r>
        <w:tab/>
      </w:r>
      <w:r>
        <w:fldChar w:fldCharType="begin"/>
      </w:r>
      <w:r>
        <w:instrText xml:space="preserve"> PAGEREF _Toc431555440 \h </w:instrText>
      </w:r>
      <w:r>
        <w:fldChar w:fldCharType="separate"/>
      </w:r>
      <w:r w:rsidR="002C1ED1">
        <w:t>58</w:t>
      </w:r>
      <w:r>
        <w:fldChar w:fldCharType="end"/>
      </w:r>
    </w:p>
    <w:p w:rsidR="00737FF9" w:rsidRDefault="00737FF9">
      <w:pPr>
        <w:pStyle w:val="TOC3"/>
        <w:rPr>
          <w:rFonts w:asciiTheme="minorHAnsi" w:eastAsiaTheme="minorEastAsia" w:hAnsiTheme="minorHAnsi" w:cstheme="minorBidi"/>
          <w:caps w:val="0"/>
          <w:sz w:val="22"/>
          <w:szCs w:val="22"/>
          <w:lang w:eastAsia="fr-FR"/>
        </w:rPr>
      </w:pPr>
      <w:r>
        <w:t>PROGRAMME 6</w:t>
      </w:r>
      <w:r>
        <w:rPr>
          <w:rFonts w:asciiTheme="minorHAnsi" w:eastAsiaTheme="minorEastAsia" w:hAnsiTheme="minorHAnsi" w:cstheme="minorBidi"/>
          <w:caps w:val="0"/>
          <w:sz w:val="22"/>
          <w:szCs w:val="22"/>
          <w:lang w:eastAsia="fr-FR"/>
        </w:rPr>
        <w:tab/>
      </w:r>
      <w:r>
        <w:t>Système de Madrid</w:t>
      </w:r>
      <w:r>
        <w:tab/>
      </w:r>
      <w:r>
        <w:fldChar w:fldCharType="begin"/>
      </w:r>
      <w:r>
        <w:instrText xml:space="preserve"> PAGEREF _Toc431555441 \h </w:instrText>
      </w:r>
      <w:r>
        <w:fldChar w:fldCharType="separate"/>
      </w:r>
      <w:r w:rsidR="002C1ED1">
        <w:t>63</w:t>
      </w:r>
      <w:r>
        <w:fldChar w:fldCharType="end"/>
      </w:r>
    </w:p>
    <w:p w:rsidR="00737FF9" w:rsidRDefault="00737FF9">
      <w:pPr>
        <w:pStyle w:val="TOC3"/>
        <w:rPr>
          <w:rFonts w:asciiTheme="minorHAnsi" w:eastAsiaTheme="minorEastAsia" w:hAnsiTheme="minorHAnsi" w:cstheme="minorBidi"/>
          <w:caps w:val="0"/>
          <w:sz w:val="22"/>
          <w:szCs w:val="22"/>
          <w:lang w:eastAsia="fr-FR"/>
        </w:rPr>
      </w:pPr>
      <w:r>
        <w:t>PROGRAMME 31</w:t>
      </w:r>
      <w:r>
        <w:rPr>
          <w:rFonts w:asciiTheme="minorHAnsi" w:eastAsiaTheme="minorEastAsia" w:hAnsiTheme="minorHAnsi" w:cstheme="minorBidi"/>
          <w:caps w:val="0"/>
          <w:sz w:val="22"/>
          <w:szCs w:val="22"/>
          <w:lang w:eastAsia="fr-FR"/>
        </w:rPr>
        <w:tab/>
      </w:r>
      <w:r>
        <w:t>le système de La Haye</w:t>
      </w:r>
      <w:r>
        <w:tab/>
      </w:r>
      <w:r>
        <w:fldChar w:fldCharType="begin"/>
      </w:r>
      <w:r>
        <w:instrText xml:space="preserve"> PAGEREF _Toc431555442 \h </w:instrText>
      </w:r>
      <w:r>
        <w:fldChar w:fldCharType="separate"/>
      </w:r>
      <w:r w:rsidR="002C1ED1">
        <w:t>68</w:t>
      </w:r>
      <w:r>
        <w:fldChar w:fldCharType="end"/>
      </w:r>
    </w:p>
    <w:p w:rsidR="00737FF9" w:rsidRDefault="00737FF9">
      <w:pPr>
        <w:pStyle w:val="TOC3"/>
        <w:rPr>
          <w:rFonts w:asciiTheme="minorHAnsi" w:eastAsiaTheme="minorEastAsia" w:hAnsiTheme="minorHAnsi" w:cstheme="minorBidi"/>
          <w:caps w:val="0"/>
          <w:sz w:val="22"/>
          <w:szCs w:val="22"/>
          <w:lang w:eastAsia="fr-FR"/>
        </w:rPr>
      </w:pPr>
      <w:r>
        <w:t>Programme 32</w:t>
      </w:r>
      <w:r>
        <w:rPr>
          <w:rFonts w:asciiTheme="minorHAnsi" w:eastAsiaTheme="minorEastAsia" w:hAnsiTheme="minorHAnsi" w:cstheme="minorBidi"/>
          <w:caps w:val="0"/>
          <w:sz w:val="22"/>
          <w:szCs w:val="22"/>
          <w:lang w:eastAsia="fr-FR"/>
        </w:rPr>
        <w:tab/>
      </w:r>
      <w:r>
        <w:t>système de Lisbonne</w:t>
      </w:r>
      <w:r>
        <w:tab/>
      </w:r>
      <w:r>
        <w:fldChar w:fldCharType="begin"/>
      </w:r>
      <w:r>
        <w:instrText xml:space="preserve"> PAGEREF _Toc431555443 \h </w:instrText>
      </w:r>
      <w:r>
        <w:fldChar w:fldCharType="separate"/>
      </w:r>
      <w:r w:rsidR="002C1ED1">
        <w:t>73</w:t>
      </w:r>
      <w:r>
        <w:fldChar w:fldCharType="end"/>
      </w:r>
    </w:p>
    <w:p w:rsidR="00737FF9" w:rsidRDefault="00737FF9">
      <w:pPr>
        <w:pStyle w:val="TOC3"/>
        <w:rPr>
          <w:rFonts w:asciiTheme="minorHAnsi" w:eastAsiaTheme="minorEastAsia" w:hAnsiTheme="minorHAnsi" w:cstheme="minorBidi"/>
          <w:caps w:val="0"/>
          <w:sz w:val="22"/>
          <w:szCs w:val="22"/>
          <w:lang w:eastAsia="fr-FR"/>
        </w:rPr>
      </w:pPr>
      <w:r>
        <w:t>Programme 7</w:t>
      </w:r>
      <w:r>
        <w:rPr>
          <w:rFonts w:asciiTheme="minorHAnsi" w:eastAsiaTheme="minorEastAsia" w:hAnsiTheme="minorHAnsi" w:cstheme="minorBidi"/>
          <w:caps w:val="0"/>
          <w:sz w:val="22"/>
          <w:szCs w:val="22"/>
          <w:lang w:eastAsia="fr-FR"/>
        </w:rPr>
        <w:tab/>
      </w:r>
      <w:r>
        <w:t>Centre d’arbitrage et de médiation de l’OMPI</w:t>
      </w:r>
      <w:r>
        <w:tab/>
      </w:r>
      <w:r>
        <w:fldChar w:fldCharType="begin"/>
      </w:r>
      <w:r>
        <w:instrText xml:space="preserve"> PAGEREF _Toc431555444 \h </w:instrText>
      </w:r>
      <w:r>
        <w:fldChar w:fldCharType="separate"/>
      </w:r>
      <w:r w:rsidR="002C1ED1">
        <w:t>77</w:t>
      </w:r>
      <w:r>
        <w:fldChar w:fldCharType="end"/>
      </w:r>
    </w:p>
    <w:p w:rsidR="00737FF9" w:rsidRDefault="00737FF9">
      <w:pPr>
        <w:pStyle w:val="TOC2"/>
        <w:rPr>
          <w:rFonts w:asciiTheme="minorHAnsi" w:eastAsiaTheme="minorEastAsia" w:hAnsiTheme="minorHAnsi" w:cstheme="minorBidi"/>
          <w:b w:val="0"/>
          <w:caps w:val="0"/>
          <w:sz w:val="22"/>
          <w:szCs w:val="22"/>
          <w:lang w:eastAsia="fr-FR"/>
        </w:rPr>
      </w:pPr>
      <w:r>
        <w:t>Objectif stratégique III</w:t>
      </w:r>
      <w:r>
        <w:rPr>
          <w:rFonts w:asciiTheme="minorHAnsi" w:eastAsiaTheme="minorEastAsia" w:hAnsiTheme="minorHAnsi" w:cstheme="minorBidi"/>
          <w:b w:val="0"/>
          <w:caps w:val="0"/>
          <w:sz w:val="22"/>
          <w:szCs w:val="22"/>
          <w:lang w:eastAsia="fr-FR"/>
        </w:rPr>
        <w:tab/>
      </w:r>
      <w:r>
        <w:t>Favoriser l’utilisation de la propriété intellectuelle au service du développement</w:t>
      </w:r>
      <w:r>
        <w:tab/>
      </w:r>
      <w:r>
        <w:fldChar w:fldCharType="begin"/>
      </w:r>
      <w:r>
        <w:instrText xml:space="preserve"> PAGEREF _Toc431555445 \h </w:instrText>
      </w:r>
      <w:r>
        <w:fldChar w:fldCharType="separate"/>
      </w:r>
      <w:r w:rsidR="002C1ED1">
        <w:t>82</w:t>
      </w:r>
      <w:r>
        <w:fldChar w:fldCharType="end"/>
      </w:r>
    </w:p>
    <w:p w:rsidR="00737FF9" w:rsidRDefault="00737FF9">
      <w:pPr>
        <w:pStyle w:val="TOC3"/>
        <w:rPr>
          <w:rFonts w:asciiTheme="minorHAnsi" w:eastAsiaTheme="minorEastAsia" w:hAnsiTheme="minorHAnsi" w:cstheme="minorBidi"/>
          <w:caps w:val="0"/>
          <w:sz w:val="22"/>
          <w:szCs w:val="22"/>
          <w:lang w:eastAsia="fr-FR"/>
        </w:rPr>
      </w:pPr>
      <w:r>
        <w:t>Programme 8</w:t>
      </w:r>
      <w:r>
        <w:rPr>
          <w:rFonts w:asciiTheme="minorHAnsi" w:eastAsiaTheme="minorEastAsia" w:hAnsiTheme="minorHAnsi" w:cstheme="minorBidi"/>
          <w:caps w:val="0"/>
          <w:sz w:val="22"/>
          <w:szCs w:val="22"/>
          <w:lang w:eastAsia="fr-FR"/>
        </w:rPr>
        <w:tab/>
      </w:r>
      <w:r>
        <w:t>Coordination du Plan d‏’</w:t>
      </w:r>
      <w:r>
        <w:rPr>
          <w:rFonts w:hint="eastAsia"/>
        </w:rPr>
        <w:t>‎</w:t>
      </w:r>
      <w:r>
        <w:t>action pour le développement</w:t>
      </w:r>
      <w:r>
        <w:tab/>
      </w:r>
      <w:r>
        <w:fldChar w:fldCharType="begin"/>
      </w:r>
      <w:r>
        <w:instrText xml:space="preserve"> PAGEREF _Toc431555446 \h </w:instrText>
      </w:r>
      <w:r>
        <w:fldChar w:fldCharType="separate"/>
      </w:r>
      <w:r w:rsidR="002C1ED1">
        <w:t>86</w:t>
      </w:r>
      <w:r>
        <w:fldChar w:fldCharType="end"/>
      </w:r>
    </w:p>
    <w:p w:rsidR="00737FF9" w:rsidRDefault="00737FF9">
      <w:pPr>
        <w:pStyle w:val="TOC3"/>
        <w:rPr>
          <w:rFonts w:asciiTheme="minorHAnsi" w:eastAsiaTheme="minorEastAsia" w:hAnsiTheme="minorHAnsi" w:cstheme="minorBidi"/>
          <w:caps w:val="0"/>
          <w:sz w:val="22"/>
          <w:szCs w:val="22"/>
          <w:lang w:eastAsia="fr-FR"/>
        </w:rPr>
      </w:pPr>
      <w:r>
        <w:t>PROGRAMME 9</w:t>
      </w:r>
      <w:r>
        <w:rPr>
          <w:rFonts w:asciiTheme="minorHAnsi" w:eastAsiaTheme="minorEastAsia" w:hAnsiTheme="minorHAnsi" w:cstheme="minorBidi"/>
          <w:caps w:val="0"/>
          <w:sz w:val="22"/>
          <w:szCs w:val="22"/>
          <w:lang w:eastAsia="fr-FR"/>
        </w:rPr>
        <w:tab/>
      </w:r>
      <w:r>
        <w:t>Afrique, pays arabes, Asie et Pacifique, pays d‏’</w:t>
      </w:r>
      <w:r>
        <w:rPr>
          <w:rFonts w:hint="eastAsia"/>
        </w:rPr>
        <w:t>‎</w:t>
      </w:r>
      <w:r>
        <w:t>Amérique latine et des Caraïbes, pays les moins avancés</w:t>
      </w:r>
      <w:r>
        <w:tab/>
      </w:r>
      <w:r>
        <w:fldChar w:fldCharType="begin"/>
      </w:r>
      <w:r>
        <w:instrText xml:space="preserve"> PAGEREF _Toc431555447 \h </w:instrText>
      </w:r>
      <w:r>
        <w:fldChar w:fldCharType="separate"/>
      </w:r>
      <w:r w:rsidR="002C1ED1">
        <w:t>90</w:t>
      </w:r>
      <w:r>
        <w:fldChar w:fldCharType="end"/>
      </w:r>
    </w:p>
    <w:p w:rsidR="00737FF9" w:rsidRDefault="00737FF9">
      <w:pPr>
        <w:pStyle w:val="TOC3"/>
        <w:rPr>
          <w:rFonts w:asciiTheme="minorHAnsi" w:eastAsiaTheme="minorEastAsia" w:hAnsiTheme="minorHAnsi" w:cstheme="minorBidi"/>
          <w:caps w:val="0"/>
          <w:sz w:val="22"/>
          <w:szCs w:val="22"/>
          <w:lang w:eastAsia="fr-FR"/>
        </w:rPr>
      </w:pPr>
      <w:r>
        <w:t>PROGRAMME 10</w:t>
      </w:r>
      <w:r>
        <w:rPr>
          <w:rFonts w:asciiTheme="minorHAnsi" w:eastAsiaTheme="minorEastAsia" w:hAnsiTheme="minorHAnsi" w:cstheme="minorBidi"/>
          <w:caps w:val="0"/>
          <w:sz w:val="22"/>
          <w:szCs w:val="22"/>
          <w:lang w:eastAsia="fr-FR"/>
        </w:rPr>
        <w:tab/>
      </w:r>
      <w:r>
        <w:t>PAYS EN TRANSITION ET PAYS DÉVELOPPÉS</w:t>
      </w:r>
      <w:r>
        <w:tab/>
      </w:r>
      <w:r>
        <w:fldChar w:fldCharType="begin"/>
      </w:r>
      <w:r>
        <w:instrText xml:space="preserve"> PAGEREF _Toc431555448 \h </w:instrText>
      </w:r>
      <w:r>
        <w:fldChar w:fldCharType="separate"/>
      </w:r>
      <w:r w:rsidR="002C1ED1">
        <w:t>99</w:t>
      </w:r>
      <w:r>
        <w:fldChar w:fldCharType="end"/>
      </w:r>
    </w:p>
    <w:p w:rsidR="00737FF9" w:rsidRDefault="00737FF9">
      <w:pPr>
        <w:pStyle w:val="TOC3"/>
        <w:rPr>
          <w:rFonts w:asciiTheme="minorHAnsi" w:eastAsiaTheme="minorEastAsia" w:hAnsiTheme="minorHAnsi" w:cstheme="minorBidi"/>
          <w:caps w:val="0"/>
          <w:sz w:val="22"/>
          <w:szCs w:val="22"/>
          <w:lang w:eastAsia="fr-FR"/>
        </w:rPr>
      </w:pPr>
      <w:r>
        <w:t>Programme 11</w:t>
      </w:r>
      <w:r>
        <w:rPr>
          <w:rFonts w:asciiTheme="minorHAnsi" w:eastAsiaTheme="minorEastAsia" w:hAnsiTheme="minorHAnsi" w:cstheme="minorBidi"/>
          <w:caps w:val="0"/>
          <w:sz w:val="22"/>
          <w:szCs w:val="22"/>
          <w:lang w:eastAsia="fr-FR"/>
        </w:rPr>
        <w:tab/>
      </w:r>
      <w:r>
        <w:t>Académie de l‏’OMPI</w:t>
      </w:r>
      <w:r>
        <w:tab/>
      </w:r>
      <w:r>
        <w:fldChar w:fldCharType="begin"/>
      </w:r>
      <w:r>
        <w:instrText xml:space="preserve"> PAGEREF _Toc431555449 \h </w:instrText>
      </w:r>
      <w:r>
        <w:fldChar w:fldCharType="separate"/>
      </w:r>
      <w:r w:rsidR="002C1ED1">
        <w:t>105</w:t>
      </w:r>
      <w:r>
        <w:fldChar w:fldCharType="end"/>
      </w:r>
    </w:p>
    <w:p w:rsidR="00737FF9" w:rsidRDefault="00737FF9">
      <w:pPr>
        <w:pStyle w:val="TOC3"/>
        <w:rPr>
          <w:rFonts w:asciiTheme="minorHAnsi" w:eastAsiaTheme="minorEastAsia" w:hAnsiTheme="minorHAnsi" w:cstheme="minorBidi"/>
          <w:caps w:val="0"/>
          <w:sz w:val="22"/>
          <w:szCs w:val="22"/>
          <w:lang w:eastAsia="fr-FR"/>
        </w:rPr>
      </w:pPr>
      <w:r w:rsidRPr="00A57EBD">
        <w:rPr>
          <w:rFonts w:eastAsia="Arial"/>
        </w:rPr>
        <w:t>Programme 30</w:t>
      </w:r>
      <w:r>
        <w:rPr>
          <w:rFonts w:asciiTheme="minorHAnsi" w:eastAsiaTheme="minorEastAsia" w:hAnsiTheme="minorHAnsi" w:cstheme="minorBidi"/>
          <w:caps w:val="0"/>
          <w:sz w:val="22"/>
          <w:szCs w:val="22"/>
          <w:lang w:eastAsia="fr-FR"/>
        </w:rPr>
        <w:tab/>
      </w:r>
      <w:r w:rsidRPr="00A57EBD">
        <w:rPr>
          <w:rFonts w:eastAsia="Arial"/>
        </w:rPr>
        <w:t>Appui aux petites et moyennes entreprises (PME) et à la création d’entreprises</w:t>
      </w:r>
      <w:r>
        <w:tab/>
      </w:r>
      <w:r>
        <w:fldChar w:fldCharType="begin"/>
      </w:r>
      <w:r>
        <w:instrText xml:space="preserve"> PAGEREF _Toc431555450 \h </w:instrText>
      </w:r>
      <w:r>
        <w:fldChar w:fldCharType="separate"/>
      </w:r>
      <w:r w:rsidR="002C1ED1">
        <w:t>111</w:t>
      </w:r>
      <w:r>
        <w:fldChar w:fldCharType="end"/>
      </w:r>
    </w:p>
    <w:p w:rsidR="00737FF9" w:rsidRDefault="00737FF9">
      <w:pPr>
        <w:pStyle w:val="TOC2"/>
        <w:rPr>
          <w:rFonts w:asciiTheme="minorHAnsi" w:eastAsiaTheme="minorEastAsia" w:hAnsiTheme="minorHAnsi" w:cstheme="minorBidi"/>
          <w:b w:val="0"/>
          <w:caps w:val="0"/>
          <w:sz w:val="22"/>
          <w:szCs w:val="22"/>
          <w:lang w:eastAsia="fr-FR"/>
        </w:rPr>
      </w:pPr>
      <w:r>
        <w:t>Objectif stratégique IV</w:t>
      </w:r>
      <w:r>
        <w:rPr>
          <w:rFonts w:asciiTheme="minorHAnsi" w:eastAsiaTheme="minorEastAsia" w:hAnsiTheme="minorHAnsi" w:cstheme="minorBidi"/>
          <w:b w:val="0"/>
          <w:caps w:val="0"/>
          <w:sz w:val="22"/>
          <w:szCs w:val="22"/>
          <w:lang w:eastAsia="fr-FR"/>
        </w:rPr>
        <w:tab/>
      </w:r>
      <w:r>
        <w:t>Coordination et développement de l’infrastructure mondiale en matière de propriété intellectuelle</w:t>
      </w:r>
      <w:r>
        <w:tab/>
      </w:r>
      <w:r>
        <w:fldChar w:fldCharType="begin"/>
      </w:r>
      <w:r>
        <w:instrText xml:space="preserve"> PAGEREF _Toc431555451 \h </w:instrText>
      </w:r>
      <w:r>
        <w:fldChar w:fldCharType="separate"/>
      </w:r>
      <w:r w:rsidR="002C1ED1">
        <w:t>117</w:t>
      </w:r>
      <w:r>
        <w:fldChar w:fldCharType="end"/>
      </w:r>
    </w:p>
    <w:p w:rsidR="00737FF9" w:rsidRDefault="00737FF9">
      <w:pPr>
        <w:pStyle w:val="TOC3"/>
        <w:rPr>
          <w:rFonts w:asciiTheme="minorHAnsi" w:eastAsiaTheme="minorEastAsia" w:hAnsiTheme="minorHAnsi" w:cstheme="minorBidi"/>
          <w:caps w:val="0"/>
          <w:sz w:val="22"/>
          <w:szCs w:val="22"/>
          <w:lang w:eastAsia="fr-FR"/>
        </w:rPr>
      </w:pPr>
      <w:r>
        <w:t>PROGRAMME 12</w:t>
      </w:r>
      <w:r>
        <w:rPr>
          <w:rFonts w:asciiTheme="minorHAnsi" w:eastAsiaTheme="minorEastAsia" w:hAnsiTheme="minorHAnsi" w:cstheme="minorBidi"/>
          <w:caps w:val="0"/>
          <w:sz w:val="22"/>
          <w:szCs w:val="22"/>
          <w:lang w:eastAsia="fr-FR"/>
        </w:rPr>
        <w:tab/>
      </w:r>
      <w:r>
        <w:t>Classifications internationales et normes</w:t>
      </w:r>
      <w:r>
        <w:tab/>
      </w:r>
      <w:r>
        <w:fldChar w:fldCharType="begin"/>
      </w:r>
      <w:r>
        <w:instrText xml:space="preserve"> PAGEREF _Toc431555452 \h </w:instrText>
      </w:r>
      <w:r>
        <w:fldChar w:fldCharType="separate"/>
      </w:r>
      <w:r w:rsidR="002C1ED1">
        <w:t>120</w:t>
      </w:r>
      <w:r>
        <w:fldChar w:fldCharType="end"/>
      </w:r>
    </w:p>
    <w:p w:rsidR="00737FF9" w:rsidRDefault="00737FF9">
      <w:pPr>
        <w:pStyle w:val="TOC3"/>
        <w:rPr>
          <w:rFonts w:asciiTheme="minorHAnsi" w:eastAsiaTheme="minorEastAsia" w:hAnsiTheme="minorHAnsi" w:cstheme="minorBidi"/>
          <w:caps w:val="0"/>
          <w:sz w:val="22"/>
          <w:szCs w:val="22"/>
          <w:lang w:eastAsia="fr-FR"/>
        </w:rPr>
      </w:pPr>
      <w:r>
        <w:t>PROGRAMME 13</w:t>
      </w:r>
      <w:r>
        <w:rPr>
          <w:rFonts w:asciiTheme="minorHAnsi" w:eastAsiaTheme="minorEastAsia" w:hAnsiTheme="minorHAnsi" w:cstheme="minorBidi"/>
          <w:caps w:val="0"/>
          <w:sz w:val="22"/>
          <w:szCs w:val="22"/>
          <w:lang w:eastAsia="fr-FR"/>
        </w:rPr>
        <w:tab/>
      </w:r>
      <w:r>
        <w:t>Service des bases de données mondiales</w:t>
      </w:r>
      <w:r>
        <w:tab/>
      </w:r>
      <w:r>
        <w:fldChar w:fldCharType="begin"/>
      </w:r>
      <w:r>
        <w:instrText xml:space="preserve"> PAGEREF _Toc431555453 \h </w:instrText>
      </w:r>
      <w:r>
        <w:fldChar w:fldCharType="separate"/>
      </w:r>
      <w:r w:rsidR="002C1ED1">
        <w:t>124</w:t>
      </w:r>
      <w:r>
        <w:fldChar w:fldCharType="end"/>
      </w:r>
    </w:p>
    <w:p w:rsidR="00737FF9" w:rsidRDefault="00737FF9">
      <w:pPr>
        <w:pStyle w:val="TOC3"/>
        <w:rPr>
          <w:rFonts w:asciiTheme="minorHAnsi" w:eastAsiaTheme="minorEastAsia" w:hAnsiTheme="minorHAnsi" w:cstheme="minorBidi"/>
          <w:caps w:val="0"/>
          <w:sz w:val="22"/>
          <w:szCs w:val="22"/>
          <w:lang w:eastAsia="fr-FR"/>
        </w:rPr>
      </w:pPr>
      <w:r>
        <w:t>PROGRAMME 14</w:t>
      </w:r>
      <w:r>
        <w:rPr>
          <w:rFonts w:asciiTheme="minorHAnsi" w:eastAsiaTheme="minorEastAsia" w:hAnsiTheme="minorHAnsi" w:cstheme="minorBidi"/>
          <w:caps w:val="0"/>
          <w:sz w:val="22"/>
          <w:szCs w:val="22"/>
          <w:lang w:eastAsia="fr-FR"/>
        </w:rPr>
        <w:tab/>
      </w:r>
      <w:r>
        <w:t>Services d’accès à l’information et aux savoirs</w:t>
      </w:r>
      <w:r>
        <w:tab/>
      </w:r>
      <w:r>
        <w:fldChar w:fldCharType="begin"/>
      </w:r>
      <w:r>
        <w:instrText xml:space="preserve"> PAGEREF _Toc431555454 \h </w:instrText>
      </w:r>
      <w:r>
        <w:fldChar w:fldCharType="separate"/>
      </w:r>
      <w:r w:rsidR="002C1ED1">
        <w:t>128</w:t>
      </w:r>
      <w:r>
        <w:fldChar w:fldCharType="end"/>
      </w:r>
    </w:p>
    <w:p w:rsidR="00737FF9" w:rsidRDefault="00737FF9">
      <w:pPr>
        <w:pStyle w:val="TOC3"/>
        <w:rPr>
          <w:rFonts w:asciiTheme="minorHAnsi" w:eastAsiaTheme="minorEastAsia" w:hAnsiTheme="minorHAnsi" w:cstheme="minorBidi"/>
          <w:caps w:val="0"/>
          <w:sz w:val="22"/>
          <w:szCs w:val="22"/>
          <w:lang w:eastAsia="fr-FR"/>
        </w:rPr>
      </w:pPr>
      <w:r>
        <w:t>Programme 15</w:t>
      </w:r>
      <w:r>
        <w:rPr>
          <w:rFonts w:asciiTheme="minorHAnsi" w:eastAsiaTheme="minorEastAsia" w:hAnsiTheme="minorHAnsi" w:cstheme="minorBidi"/>
          <w:caps w:val="0"/>
          <w:sz w:val="22"/>
          <w:szCs w:val="22"/>
          <w:lang w:eastAsia="fr-FR"/>
        </w:rPr>
        <w:tab/>
      </w:r>
      <w:r>
        <w:t>Solutions opérationnelles pour les offices de propriété intellectuelle</w:t>
      </w:r>
      <w:r>
        <w:tab/>
      </w:r>
      <w:r>
        <w:fldChar w:fldCharType="begin"/>
      </w:r>
      <w:r>
        <w:instrText xml:space="preserve"> PAGEREF _Toc431555455 \h </w:instrText>
      </w:r>
      <w:r>
        <w:fldChar w:fldCharType="separate"/>
      </w:r>
      <w:r w:rsidR="002C1ED1">
        <w:t>132</w:t>
      </w:r>
      <w:r>
        <w:fldChar w:fldCharType="end"/>
      </w:r>
    </w:p>
    <w:p w:rsidR="00737FF9" w:rsidRDefault="00737FF9">
      <w:pPr>
        <w:pStyle w:val="TOC2"/>
        <w:rPr>
          <w:rFonts w:asciiTheme="minorHAnsi" w:eastAsiaTheme="minorEastAsia" w:hAnsiTheme="minorHAnsi" w:cstheme="minorBidi"/>
          <w:b w:val="0"/>
          <w:caps w:val="0"/>
          <w:sz w:val="22"/>
          <w:szCs w:val="22"/>
          <w:lang w:eastAsia="fr-FR"/>
        </w:rPr>
      </w:pPr>
      <w:r>
        <w:rPr>
          <w:lang w:eastAsia="da-DK"/>
        </w:rPr>
        <w:t>Objectif stratégique V</w:t>
      </w:r>
      <w:r>
        <w:rPr>
          <w:rFonts w:asciiTheme="minorHAnsi" w:eastAsiaTheme="minorEastAsia" w:hAnsiTheme="minorHAnsi" w:cstheme="minorBidi"/>
          <w:b w:val="0"/>
          <w:caps w:val="0"/>
          <w:sz w:val="22"/>
          <w:szCs w:val="22"/>
          <w:lang w:eastAsia="fr-FR"/>
        </w:rPr>
        <w:tab/>
      </w:r>
      <w:r>
        <w:rPr>
          <w:lang w:eastAsia="da-DK"/>
        </w:rPr>
        <w:t>Source de références mondiale pour l’information et l’analyse en matière de propriété intellectuelle</w:t>
      </w:r>
      <w:r>
        <w:tab/>
      </w:r>
      <w:r>
        <w:fldChar w:fldCharType="begin"/>
      </w:r>
      <w:r>
        <w:instrText xml:space="preserve"> PAGEREF _Toc431555456 \h </w:instrText>
      </w:r>
      <w:r>
        <w:fldChar w:fldCharType="separate"/>
      </w:r>
      <w:r w:rsidR="002C1ED1">
        <w:t>136</w:t>
      </w:r>
      <w:r>
        <w:fldChar w:fldCharType="end"/>
      </w:r>
    </w:p>
    <w:p w:rsidR="00737FF9" w:rsidRDefault="00737FF9">
      <w:pPr>
        <w:pStyle w:val="TOC3"/>
        <w:rPr>
          <w:rFonts w:asciiTheme="minorHAnsi" w:eastAsiaTheme="minorEastAsia" w:hAnsiTheme="minorHAnsi" w:cstheme="minorBidi"/>
          <w:caps w:val="0"/>
          <w:sz w:val="22"/>
          <w:szCs w:val="22"/>
          <w:lang w:eastAsia="fr-FR"/>
        </w:rPr>
      </w:pPr>
      <w:r>
        <w:t>PROGRAMME 16</w:t>
      </w:r>
      <w:r>
        <w:rPr>
          <w:rFonts w:asciiTheme="minorHAnsi" w:eastAsiaTheme="minorEastAsia" w:hAnsiTheme="minorHAnsi" w:cstheme="minorBidi"/>
          <w:caps w:val="0"/>
          <w:sz w:val="22"/>
          <w:szCs w:val="22"/>
          <w:lang w:eastAsia="fr-FR"/>
        </w:rPr>
        <w:tab/>
      </w:r>
      <w:r>
        <w:t>‎Économie et statistiques</w:t>
      </w:r>
      <w:r>
        <w:tab/>
      </w:r>
      <w:r>
        <w:fldChar w:fldCharType="begin"/>
      </w:r>
      <w:r>
        <w:instrText xml:space="preserve"> PAGEREF _Toc431555457 \h </w:instrText>
      </w:r>
      <w:r>
        <w:fldChar w:fldCharType="separate"/>
      </w:r>
      <w:r w:rsidR="002C1ED1">
        <w:t>137</w:t>
      </w:r>
      <w:r>
        <w:fldChar w:fldCharType="end"/>
      </w:r>
    </w:p>
    <w:p w:rsidR="00737FF9" w:rsidRDefault="00737FF9">
      <w:pPr>
        <w:pStyle w:val="TOC2"/>
        <w:rPr>
          <w:rFonts w:asciiTheme="minorHAnsi" w:eastAsiaTheme="minorEastAsia" w:hAnsiTheme="minorHAnsi" w:cstheme="minorBidi"/>
          <w:b w:val="0"/>
          <w:caps w:val="0"/>
          <w:sz w:val="22"/>
          <w:szCs w:val="22"/>
          <w:lang w:eastAsia="fr-FR"/>
        </w:rPr>
      </w:pPr>
      <w:r>
        <w:rPr>
          <w:lang w:eastAsia="da-DK"/>
        </w:rPr>
        <w:t>Objectif stratégique VI</w:t>
      </w:r>
      <w:r>
        <w:rPr>
          <w:rFonts w:asciiTheme="minorHAnsi" w:eastAsiaTheme="minorEastAsia" w:hAnsiTheme="minorHAnsi" w:cstheme="minorBidi"/>
          <w:b w:val="0"/>
          <w:caps w:val="0"/>
          <w:sz w:val="22"/>
          <w:szCs w:val="22"/>
          <w:lang w:eastAsia="fr-FR"/>
        </w:rPr>
        <w:tab/>
      </w:r>
      <w:r>
        <w:rPr>
          <w:lang w:eastAsia="da-DK"/>
        </w:rPr>
        <w:t>Coopération internationale pour le respect de la propriété intellectuelle</w:t>
      </w:r>
      <w:r>
        <w:tab/>
      </w:r>
      <w:r>
        <w:fldChar w:fldCharType="begin"/>
      </w:r>
      <w:r>
        <w:instrText xml:space="preserve"> PAGEREF _Toc431555458 \h </w:instrText>
      </w:r>
      <w:r>
        <w:fldChar w:fldCharType="separate"/>
      </w:r>
      <w:r w:rsidR="002C1ED1">
        <w:t>141</w:t>
      </w:r>
      <w:r>
        <w:fldChar w:fldCharType="end"/>
      </w:r>
    </w:p>
    <w:p w:rsidR="00737FF9" w:rsidRDefault="00737FF9">
      <w:pPr>
        <w:pStyle w:val="TOC3"/>
        <w:rPr>
          <w:rFonts w:asciiTheme="minorHAnsi" w:eastAsiaTheme="minorEastAsia" w:hAnsiTheme="minorHAnsi" w:cstheme="minorBidi"/>
          <w:caps w:val="0"/>
          <w:sz w:val="22"/>
          <w:szCs w:val="22"/>
          <w:lang w:eastAsia="fr-FR"/>
        </w:rPr>
      </w:pPr>
      <w:r>
        <w:t>Programme 17‏</w:t>
      </w:r>
      <w:r>
        <w:rPr>
          <w:rFonts w:asciiTheme="minorHAnsi" w:eastAsiaTheme="minorEastAsia" w:hAnsiTheme="minorHAnsi" w:cstheme="minorBidi"/>
          <w:caps w:val="0"/>
          <w:sz w:val="22"/>
          <w:szCs w:val="22"/>
          <w:lang w:eastAsia="fr-FR"/>
        </w:rPr>
        <w:tab/>
      </w:r>
      <w:r>
        <w:t>Promouvoir le respect de la propriété intellectuelle</w:t>
      </w:r>
      <w:r>
        <w:tab/>
      </w:r>
      <w:r>
        <w:fldChar w:fldCharType="begin"/>
      </w:r>
      <w:r>
        <w:instrText xml:space="preserve"> PAGEREF _Toc431555459 \h </w:instrText>
      </w:r>
      <w:r>
        <w:fldChar w:fldCharType="separate"/>
      </w:r>
      <w:r w:rsidR="002C1ED1">
        <w:t>142</w:t>
      </w:r>
      <w:r>
        <w:fldChar w:fldCharType="end"/>
      </w:r>
    </w:p>
    <w:p w:rsidR="00737FF9" w:rsidRDefault="00737FF9">
      <w:pPr>
        <w:pStyle w:val="TOC2"/>
        <w:rPr>
          <w:rFonts w:asciiTheme="minorHAnsi" w:eastAsiaTheme="minorEastAsia" w:hAnsiTheme="minorHAnsi" w:cstheme="minorBidi"/>
          <w:b w:val="0"/>
          <w:caps w:val="0"/>
          <w:sz w:val="22"/>
          <w:szCs w:val="22"/>
          <w:lang w:eastAsia="fr-FR"/>
        </w:rPr>
      </w:pPr>
      <w:r>
        <w:t>Objectif stratégique VII</w:t>
      </w:r>
      <w:r>
        <w:rPr>
          <w:rFonts w:asciiTheme="minorHAnsi" w:eastAsiaTheme="minorEastAsia" w:hAnsiTheme="minorHAnsi" w:cstheme="minorBidi"/>
          <w:b w:val="0"/>
          <w:caps w:val="0"/>
          <w:sz w:val="22"/>
          <w:szCs w:val="22"/>
          <w:lang w:eastAsia="fr-FR"/>
        </w:rPr>
        <w:tab/>
      </w:r>
      <w:r>
        <w:t>Propriété intellectuelle et enjeux mondiaux</w:t>
      </w:r>
      <w:r>
        <w:tab/>
      </w:r>
      <w:r>
        <w:fldChar w:fldCharType="begin"/>
      </w:r>
      <w:r>
        <w:instrText xml:space="preserve"> PAGEREF _Toc431555460 \h </w:instrText>
      </w:r>
      <w:r>
        <w:fldChar w:fldCharType="separate"/>
      </w:r>
      <w:r w:rsidR="002C1ED1">
        <w:t>148</w:t>
      </w:r>
      <w:r>
        <w:fldChar w:fldCharType="end"/>
      </w:r>
    </w:p>
    <w:p w:rsidR="00737FF9" w:rsidRDefault="00737FF9">
      <w:pPr>
        <w:pStyle w:val="TOC3"/>
        <w:rPr>
          <w:rFonts w:asciiTheme="minorHAnsi" w:eastAsiaTheme="minorEastAsia" w:hAnsiTheme="minorHAnsi" w:cstheme="minorBidi"/>
          <w:caps w:val="0"/>
          <w:sz w:val="22"/>
          <w:szCs w:val="22"/>
          <w:lang w:eastAsia="fr-FR"/>
        </w:rPr>
      </w:pPr>
      <w:r>
        <w:t>PROGRAMME 18</w:t>
      </w:r>
      <w:r>
        <w:rPr>
          <w:rFonts w:asciiTheme="minorHAnsi" w:eastAsiaTheme="minorEastAsia" w:hAnsiTheme="minorHAnsi" w:cstheme="minorBidi"/>
          <w:caps w:val="0"/>
          <w:sz w:val="22"/>
          <w:szCs w:val="22"/>
          <w:lang w:eastAsia="fr-FR"/>
        </w:rPr>
        <w:tab/>
      </w:r>
      <w:r>
        <w:t>Propriété intellectuelle et défis mondiaux</w:t>
      </w:r>
      <w:r>
        <w:tab/>
      </w:r>
      <w:r>
        <w:fldChar w:fldCharType="begin"/>
      </w:r>
      <w:r>
        <w:instrText xml:space="preserve"> PAGEREF _Toc431555461 \h </w:instrText>
      </w:r>
      <w:r>
        <w:fldChar w:fldCharType="separate"/>
      </w:r>
      <w:r w:rsidR="002C1ED1">
        <w:t>149</w:t>
      </w:r>
      <w:r>
        <w:fldChar w:fldCharType="end"/>
      </w:r>
    </w:p>
    <w:p w:rsidR="00737FF9" w:rsidRDefault="00737FF9">
      <w:pPr>
        <w:pStyle w:val="TOC2"/>
        <w:rPr>
          <w:rFonts w:asciiTheme="minorHAnsi" w:eastAsiaTheme="minorEastAsia" w:hAnsiTheme="minorHAnsi" w:cstheme="minorBidi"/>
          <w:b w:val="0"/>
          <w:caps w:val="0"/>
          <w:sz w:val="22"/>
          <w:szCs w:val="22"/>
          <w:lang w:eastAsia="fr-FR"/>
        </w:rPr>
      </w:pPr>
      <w:r>
        <w:rPr>
          <w:lang w:eastAsia="da-DK"/>
        </w:rPr>
        <w:t>Objectif stratégique VIII</w:t>
      </w:r>
      <w:r>
        <w:rPr>
          <w:rFonts w:asciiTheme="minorHAnsi" w:eastAsiaTheme="minorEastAsia" w:hAnsiTheme="minorHAnsi" w:cstheme="minorBidi"/>
          <w:b w:val="0"/>
          <w:caps w:val="0"/>
          <w:sz w:val="22"/>
          <w:szCs w:val="22"/>
          <w:lang w:eastAsia="fr-FR"/>
        </w:rPr>
        <w:tab/>
      </w:r>
      <w:r>
        <w:rPr>
          <w:lang w:eastAsia="da-DK"/>
        </w:rPr>
        <w:t>Interface de communication dynamique entre l’OMPI, ses États membres et l’ensemble des parties prenantes</w:t>
      </w:r>
      <w:r>
        <w:tab/>
      </w:r>
      <w:r>
        <w:fldChar w:fldCharType="begin"/>
      </w:r>
      <w:r>
        <w:instrText xml:space="preserve"> PAGEREF _Toc431555462 \h </w:instrText>
      </w:r>
      <w:r>
        <w:fldChar w:fldCharType="separate"/>
      </w:r>
      <w:r w:rsidR="002C1ED1">
        <w:t>156</w:t>
      </w:r>
      <w:r>
        <w:fldChar w:fldCharType="end"/>
      </w:r>
    </w:p>
    <w:p w:rsidR="00737FF9" w:rsidRDefault="00737FF9">
      <w:pPr>
        <w:pStyle w:val="TOC3"/>
        <w:rPr>
          <w:rFonts w:asciiTheme="minorHAnsi" w:eastAsiaTheme="minorEastAsia" w:hAnsiTheme="minorHAnsi" w:cstheme="minorBidi"/>
          <w:caps w:val="0"/>
          <w:sz w:val="22"/>
          <w:szCs w:val="22"/>
          <w:lang w:eastAsia="fr-FR"/>
        </w:rPr>
      </w:pPr>
      <w:r>
        <w:rPr>
          <w:lang w:eastAsia="da-DK"/>
        </w:rPr>
        <w:t>Programme 19</w:t>
      </w:r>
      <w:r>
        <w:rPr>
          <w:rFonts w:asciiTheme="minorHAnsi" w:eastAsiaTheme="minorEastAsia" w:hAnsiTheme="minorHAnsi" w:cstheme="minorBidi"/>
          <w:caps w:val="0"/>
          <w:sz w:val="22"/>
          <w:szCs w:val="22"/>
          <w:lang w:eastAsia="fr-FR"/>
        </w:rPr>
        <w:tab/>
      </w:r>
      <w:r>
        <w:t>Communications</w:t>
      </w:r>
      <w:r>
        <w:tab/>
      </w:r>
      <w:r>
        <w:fldChar w:fldCharType="begin"/>
      </w:r>
      <w:r>
        <w:instrText xml:space="preserve"> PAGEREF _Toc431555463 \h </w:instrText>
      </w:r>
      <w:r>
        <w:fldChar w:fldCharType="separate"/>
      </w:r>
      <w:r w:rsidR="002C1ED1">
        <w:t>158</w:t>
      </w:r>
      <w:r>
        <w:fldChar w:fldCharType="end"/>
      </w:r>
    </w:p>
    <w:p w:rsidR="00737FF9" w:rsidRDefault="00737FF9">
      <w:pPr>
        <w:pStyle w:val="TOC3"/>
        <w:rPr>
          <w:rFonts w:asciiTheme="minorHAnsi" w:eastAsiaTheme="minorEastAsia" w:hAnsiTheme="minorHAnsi" w:cstheme="minorBidi"/>
          <w:caps w:val="0"/>
          <w:sz w:val="22"/>
          <w:szCs w:val="22"/>
          <w:lang w:eastAsia="fr-FR"/>
        </w:rPr>
      </w:pPr>
      <w:r>
        <w:t>Programme 20</w:t>
      </w:r>
      <w:r>
        <w:rPr>
          <w:rFonts w:asciiTheme="minorHAnsi" w:eastAsiaTheme="minorEastAsia" w:hAnsiTheme="minorHAnsi" w:cstheme="minorBidi"/>
          <w:caps w:val="0"/>
          <w:sz w:val="22"/>
          <w:szCs w:val="22"/>
          <w:lang w:eastAsia="fr-FR"/>
        </w:rPr>
        <w:tab/>
      </w:r>
      <w:r>
        <w:t>Relations extérieures, partenariats et bureaux extérieurs</w:t>
      </w:r>
      <w:r>
        <w:tab/>
      </w:r>
      <w:r>
        <w:fldChar w:fldCharType="begin"/>
      </w:r>
      <w:r>
        <w:instrText xml:space="preserve"> PAGEREF _Toc431555464 \h </w:instrText>
      </w:r>
      <w:r>
        <w:fldChar w:fldCharType="separate"/>
      </w:r>
      <w:r w:rsidR="002C1ED1">
        <w:t>164</w:t>
      </w:r>
      <w:r>
        <w:fldChar w:fldCharType="end"/>
      </w:r>
    </w:p>
    <w:p w:rsidR="00737FF9" w:rsidRDefault="00737FF9">
      <w:pPr>
        <w:pStyle w:val="TOC2"/>
        <w:rPr>
          <w:rFonts w:asciiTheme="minorHAnsi" w:eastAsiaTheme="minorEastAsia" w:hAnsiTheme="minorHAnsi" w:cstheme="minorBidi"/>
          <w:b w:val="0"/>
          <w:caps w:val="0"/>
          <w:sz w:val="22"/>
          <w:szCs w:val="22"/>
          <w:lang w:eastAsia="fr-FR"/>
        </w:rPr>
      </w:pPr>
      <w:r>
        <w:rPr>
          <w:lang w:eastAsia="da-DK"/>
        </w:rPr>
        <w:t>Objectif stratégique IX</w:t>
      </w:r>
      <w:r>
        <w:rPr>
          <w:rFonts w:asciiTheme="minorHAnsi" w:eastAsiaTheme="minorEastAsia" w:hAnsiTheme="minorHAnsi" w:cstheme="minorBidi"/>
          <w:b w:val="0"/>
          <w:caps w:val="0"/>
          <w:sz w:val="22"/>
          <w:szCs w:val="22"/>
          <w:lang w:eastAsia="fr-FR"/>
        </w:rPr>
        <w:tab/>
      </w:r>
      <w:r>
        <w:rPr>
          <w:lang w:eastAsia="da-DK"/>
        </w:rPr>
        <w:t>Structure d’appui administratif et financier efficace afin de permettre à l’OMPI d’exécuter ses programmes</w:t>
      </w:r>
      <w:r>
        <w:tab/>
      </w:r>
      <w:r>
        <w:fldChar w:fldCharType="begin"/>
      </w:r>
      <w:r>
        <w:instrText xml:space="preserve"> PAGEREF _Toc431555465 \h </w:instrText>
      </w:r>
      <w:r>
        <w:fldChar w:fldCharType="separate"/>
      </w:r>
      <w:r w:rsidR="002C1ED1">
        <w:t>176</w:t>
      </w:r>
      <w:r>
        <w:fldChar w:fldCharType="end"/>
      </w:r>
    </w:p>
    <w:p w:rsidR="00737FF9" w:rsidRDefault="00737FF9">
      <w:pPr>
        <w:pStyle w:val="TOC3"/>
        <w:rPr>
          <w:rFonts w:asciiTheme="minorHAnsi" w:eastAsiaTheme="minorEastAsia" w:hAnsiTheme="minorHAnsi" w:cstheme="minorBidi"/>
          <w:caps w:val="0"/>
          <w:sz w:val="22"/>
          <w:szCs w:val="22"/>
          <w:lang w:eastAsia="fr-FR"/>
        </w:rPr>
      </w:pPr>
      <w:r>
        <w:t>Programme 21</w:t>
      </w:r>
      <w:r>
        <w:rPr>
          <w:rFonts w:asciiTheme="minorHAnsi" w:eastAsiaTheme="minorEastAsia" w:hAnsiTheme="minorHAnsi" w:cstheme="minorBidi"/>
          <w:caps w:val="0"/>
          <w:sz w:val="22"/>
          <w:szCs w:val="22"/>
          <w:lang w:eastAsia="fr-FR"/>
        </w:rPr>
        <w:tab/>
      </w:r>
      <w:r>
        <w:t>‎Direction générale</w:t>
      </w:r>
      <w:r>
        <w:tab/>
      </w:r>
      <w:r>
        <w:fldChar w:fldCharType="begin"/>
      </w:r>
      <w:r>
        <w:instrText xml:space="preserve"> PAGEREF _Toc431555466 \h </w:instrText>
      </w:r>
      <w:r>
        <w:fldChar w:fldCharType="separate"/>
      </w:r>
      <w:r w:rsidR="002C1ED1">
        <w:t>180</w:t>
      </w:r>
      <w:r>
        <w:fldChar w:fldCharType="end"/>
      </w:r>
    </w:p>
    <w:p w:rsidR="00737FF9" w:rsidRDefault="00737FF9">
      <w:pPr>
        <w:pStyle w:val="TOC3"/>
        <w:rPr>
          <w:rFonts w:asciiTheme="minorHAnsi" w:eastAsiaTheme="minorEastAsia" w:hAnsiTheme="minorHAnsi" w:cstheme="minorBidi"/>
          <w:caps w:val="0"/>
          <w:sz w:val="22"/>
          <w:szCs w:val="22"/>
          <w:lang w:eastAsia="fr-FR"/>
        </w:rPr>
      </w:pPr>
      <w:r w:rsidRPr="00A57EBD">
        <w:rPr>
          <w:rFonts w:eastAsia="SimSun"/>
        </w:rPr>
        <w:t>PROGRAMME 22</w:t>
      </w:r>
      <w:r>
        <w:rPr>
          <w:rFonts w:asciiTheme="minorHAnsi" w:eastAsiaTheme="minorEastAsia" w:hAnsiTheme="minorHAnsi" w:cstheme="minorBidi"/>
          <w:caps w:val="0"/>
          <w:sz w:val="22"/>
          <w:szCs w:val="22"/>
          <w:lang w:eastAsia="fr-FR"/>
        </w:rPr>
        <w:tab/>
      </w:r>
      <w:r w:rsidRPr="00A57EBD">
        <w:rPr>
          <w:rFonts w:eastAsia="SimSun"/>
        </w:rPr>
        <w:t>‎GESTION DU PROGRAMME ET DES RESSOURCES</w:t>
      </w:r>
      <w:r>
        <w:tab/>
      </w:r>
      <w:r>
        <w:fldChar w:fldCharType="begin"/>
      </w:r>
      <w:r>
        <w:instrText xml:space="preserve"> PAGEREF _Toc431555467 \h </w:instrText>
      </w:r>
      <w:r>
        <w:fldChar w:fldCharType="separate"/>
      </w:r>
      <w:r w:rsidR="002C1ED1">
        <w:t>186</w:t>
      </w:r>
      <w:r>
        <w:fldChar w:fldCharType="end"/>
      </w:r>
    </w:p>
    <w:p w:rsidR="00737FF9" w:rsidRDefault="00737FF9">
      <w:pPr>
        <w:pStyle w:val="TOC3"/>
        <w:rPr>
          <w:rFonts w:asciiTheme="minorHAnsi" w:eastAsiaTheme="minorEastAsia" w:hAnsiTheme="minorHAnsi" w:cstheme="minorBidi"/>
          <w:caps w:val="0"/>
          <w:sz w:val="22"/>
          <w:szCs w:val="22"/>
          <w:lang w:eastAsia="fr-FR"/>
        </w:rPr>
      </w:pPr>
      <w:r>
        <w:t xml:space="preserve">Programme 23 </w:t>
      </w:r>
      <w:r>
        <w:rPr>
          <w:rFonts w:asciiTheme="minorHAnsi" w:eastAsiaTheme="minorEastAsia" w:hAnsiTheme="minorHAnsi" w:cstheme="minorBidi"/>
          <w:caps w:val="0"/>
          <w:sz w:val="22"/>
          <w:szCs w:val="22"/>
          <w:lang w:eastAsia="fr-FR"/>
        </w:rPr>
        <w:tab/>
      </w:r>
      <w:r>
        <w:t>Gestion et mise en valeur des ressources humaines</w:t>
      </w:r>
      <w:r>
        <w:tab/>
      </w:r>
      <w:r>
        <w:fldChar w:fldCharType="begin"/>
      </w:r>
      <w:r>
        <w:instrText xml:space="preserve"> PAGEREF _Toc431555468 \h </w:instrText>
      </w:r>
      <w:r>
        <w:fldChar w:fldCharType="separate"/>
      </w:r>
      <w:r w:rsidR="002C1ED1">
        <w:t>191</w:t>
      </w:r>
      <w:r>
        <w:fldChar w:fldCharType="end"/>
      </w:r>
    </w:p>
    <w:p w:rsidR="00737FF9" w:rsidRDefault="00737FF9">
      <w:pPr>
        <w:pStyle w:val="TOC3"/>
        <w:rPr>
          <w:rFonts w:asciiTheme="minorHAnsi" w:eastAsiaTheme="minorEastAsia" w:hAnsiTheme="minorHAnsi" w:cstheme="minorBidi"/>
          <w:caps w:val="0"/>
          <w:sz w:val="22"/>
          <w:szCs w:val="22"/>
          <w:lang w:eastAsia="fr-FR"/>
        </w:rPr>
      </w:pPr>
      <w:r>
        <w:t>Programme 24</w:t>
      </w:r>
      <w:r>
        <w:rPr>
          <w:rFonts w:asciiTheme="minorHAnsi" w:eastAsiaTheme="minorEastAsia" w:hAnsiTheme="minorHAnsi" w:cstheme="minorBidi"/>
          <w:caps w:val="0"/>
          <w:sz w:val="22"/>
          <w:szCs w:val="22"/>
          <w:lang w:eastAsia="fr-FR"/>
        </w:rPr>
        <w:tab/>
      </w:r>
      <w:r>
        <w:t>Services d’appui généraux</w:t>
      </w:r>
      <w:r>
        <w:tab/>
      </w:r>
      <w:r>
        <w:fldChar w:fldCharType="begin"/>
      </w:r>
      <w:r>
        <w:instrText xml:space="preserve"> PAGEREF _Toc431555469 \h </w:instrText>
      </w:r>
      <w:r>
        <w:fldChar w:fldCharType="separate"/>
      </w:r>
      <w:r w:rsidR="002C1ED1">
        <w:t>196</w:t>
      </w:r>
      <w:r>
        <w:fldChar w:fldCharType="end"/>
      </w:r>
    </w:p>
    <w:p w:rsidR="00737FF9" w:rsidRDefault="00737FF9">
      <w:pPr>
        <w:pStyle w:val="TOC3"/>
        <w:rPr>
          <w:rFonts w:asciiTheme="minorHAnsi" w:eastAsiaTheme="minorEastAsia" w:hAnsiTheme="minorHAnsi" w:cstheme="minorBidi"/>
          <w:caps w:val="0"/>
          <w:sz w:val="22"/>
          <w:szCs w:val="22"/>
          <w:lang w:eastAsia="fr-FR"/>
        </w:rPr>
      </w:pPr>
      <w:r>
        <w:t>PROGRAMME 25</w:t>
      </w:r>
      <w:r>
        <w:rPr>
          <w:rFonts w:asciiTheme="minorHAnsi" w:eastAsiaTheme="minorEastAsia" w:hAnsiTheme="minorHAnsi" w:cstheme="minorBidi"/>
          <w:caps w:val="0"/>
          <w:sz w:val="22"/>
          <w:szCs w:val="22"/>
          <w:lang w:eastAsia="fr-FR"/>
        </w:rPr>
        <w:tab/>
      </w:r>
      <w:r>
        <w:t>technologies de l’information et de la communication</w:t>
      </w:r>
      <w:r>
        <w:tab/>
      </w:r>
      <w:r>
        <w:fldChar w:fldCharType="begin"/>
      </w:r>
      <w:r>
        <w:instrText xml:space="preserve"> PAGEREF _Toc431555470 \h </w:instrText>
      </w:r>
      <w:r>
        <w:fldChar w:fldCharType="separate"/>
      </w:r>
      <w:r w:rsidR="002C1ED1">
        <w:t>201</w:t>
      </w:r>
      <w:r>
        <w:fldChar w:fldCharType="end"/>
      </w:r>
    </w:p>
    <w:p w:rsidR="00737FF9" w:rsidRDefault="00737FF9">
      <w:pPr>
        <w:pStyle w:val="TOC3"/>
        <w:rPr>
          <w:rFonts w:asciiTheme="minorHAnsi" w:eastAsiaTheme="minorEastAsia" w:hAnsiTheme="minorHAnsi" w:cstheme="minorBidi"/>
          <w:caps w:val="0"/>
          <w:sz w:val="22"/>
          <w:szCs w:val="22"/>
          <w:lang w:eastAsia="fr-FR"/>
        </w:rPr>
      </w:pPr>
      <w:r>
        <w:t>Programme 26</w:t>
      </w:r>
      <w:r>
        <w:rPr>
          <w:rFonts w:asciiTheme="minorHAnsi" w:eastAsiaTheme="minorEastAsia" w:hAnsiTheme="minorHAnsi" w:cstheme="minorBidi"/>
          <w:caps w:val="0"/>
          <w:sz w:val="22"/>
          <w:szCs w:val="22"/>
          <w:lang w:eastAsia="fr-FR"/>
        </w:rPr>
        <w:tab/>
      </w:r>
      <w:r>
        <w:t>Supervision interne</w:t>
      </w:r>
      <w:r>
        <w:tab/>
      </w:r>
      <w:r>
        <w:fldChar w:fldCharType="begin"/>
      </w:r>
      <w:r>
        <w:instrText xml:space="preserve"> PAGEREF _Toc431555471 \h </w:instrText>
      </w:r>
      <w:r>
        <w:fldChar w:fldCharType="separate"/>
      </w:r>
      <w:r w:rsidR="002C1ED1">
        <w:t>205</w:t>
      </w:r>
      <w:r>
        <w:fldChar w:fldCharType="end"/>
      </w:r>
    </w:p>
    <w:p w:rsidR="00737FF9" w:rsidRDefault="00737FF9">
      <w:pPr>
        <w:pStyle w:val="TOC3"/>
        <w:rPr>
          <w:rFonts w:asciiTheme="minorHAnsi" w:eastAsiaTheme="minorEastAsia" w:hAnsiTheme="minorHAnsi" w:cstheme="minorBidi"/>
          <w:caps w:val="0"/>
          <w:sz w:val="22"/>
          <w:szCs w:val="22"/>
          <w:lang w:eastAsia="fr-FR"/>
        </w:rPr>
      </w:pPr>
      <w:r>
        <w:t>PROGRAMME 27</w:t>
      </w:r>
      <w:r>
        <w:rPr>
          <w:rFonts w:asciiTheme="minorHAnsi" w:eastAsiaTheme="minorEastAsia" w:hAnsiTheme="minorHAnsi" w:cstheme="minorBidi"/>
          <w:caps w:val="0"/>
          <w:sz w:val="22"/>
          <w:szCs w:val="22"/>
          <w:lang w:eastAsia="fr-FR"/>
        </w:rPr>
        <w:tab/>
      </w:r>
      <w:r>
        <w:t>Services de conférences et services linguistiques</w:t>
      </w:r>
      <w:r>
        <w:tab/>
      </w:r>
      <w:r>
        <w:fldChar w:fldCharType="begin"/>
      </w:r>
      <w:r>
        <w:instrText xml:space="preserve"> PAGEREF _Toc431555472 \h </w:instrText>
      </w:r>
      <w:r>
        <w:fldChar w:fldCharType="separate"/>
      </w:r>
      <w:r w:rsidR="002C1ED1">
        <w:t>209</w:t>
      </w:r>
      <w:r>
        <w:fldChar w:fldCharType="end"/>
      </w:r>
    </w:p>
    <w:p w:rsidR="00737FF9" w:rsidRDefault="00737FF9">
      <w:pPr>
        <w:pStyle w:val="TOC3"/>
        <w:rPr>
          <w:rFonts w:asciiTheme="minorHAnsi" w:eastAsiaTheme="minorEastAsia" w:hAnsiTheme="minorHAnsi" w:cstheme="minorBidi"/>
          <w:caps w:val="0"/>
          <w:sz w:val="22"/>
          <w:szCs w:val="22"/>
          <w:lang w:eastAsia="fr-FR"/>
        </w:rPr>
      </w:pPr>
      <w:r>
        <w:t>PROGRAMMe 28</w:t>
      </w:r>
      <w:r>
        <w:rPr>
          <w:rFonts w:asciiTheme="minorHAnsi" w:eastAsiaTheme="minorEastAsia" w:hAnsiTheme="minorHAnsi" w:cstheme="minorBidi"/>
          <w:caps w:val="0"/>
          <w:sz w:val="22"/>
          <w:szCs w:val="22"/>
          <w:lang w:eastAsia="fr-FR"/>
        </w:rPr>
        <w:tab/>
      </w:r>
      <w:r>
        <w:t>SÉCURITÉ de l’information, des biens et des personnes</w:t>
      </w:r>
      <w:r>
        <w:tab/>
      </w:r>
      <w:r>
        <w:fldChar w:fldCharType="begin"/>
      </w:r>
      <w:r>
        <w:instrText xml:space="preserve"> PAGEREF _Toc431555473 \h </w:instrText>
      </w:r>
      <w:r>
        <w:fldChar w:fldCharType="separate"/>
      </w:r>
      <w:r w:rsidR="002C1ED1">
        <w:t>212</w:t>
      </w:r>
      <w:r>
        <w:fldChar w:fldCharType="end"/>
      </w:r>
    </w:p>
    <w:p w:rsidR="00737FF9" w:rsidRDefault="00737FF9">
      <w:pPr>
        <w:pStyle w:val="TOC1"/>
        <w:rPr>
          <w:rFonts w:asciiTheme="minorHAnsi" w:eastAsiaTheme="minorEastAsia" w:hAnsiTheme="minorHAnsi" w:cstheme="minorBidi"/>
          <w:b w:val="0"/>
          <w:caps w:val="0"/>
          <w:sz w:val="22"/>
          <w:szCs w:val="22"/>
          <w:lang w:eastAsia="fr-FR"/>
        </w:rPr>
      </w:pPr>
      <w:r>
        <w:t>III.</w:t>
      </w:r>
      <w:r>
        <w:rPr>
          <w:rFonts w:asciiTheme="minorHAnsi" w:eastAsiaTheme="minorEastAsia" w:hAnsiTheme="minorHAnsi" w:cstheme="minorBidi"/>
          <w:b w:val="0"/>
          <w:caps w:val="0"/>
          <w:sz w:val="22"/>
          <w:szCs w:val="22"/>
          <w:lang w:eastAsia="fr-FR"/>
        </w:rPr>
        <w:tab/>
      </w:r>
      <w:r>
        <w:t>Annexes</w:t>
      </w:r>
      <w:r>
        <w:tab/>
      </w:r>
      <w:r>
        <w:fldChar w:fldCharType="begin"/>
      </w:r>
      <w:r>
        <w:instrText xml:space="preserve"> PAGEREF _Toc431555474 \h </w:instrText>
      </w:r>
      <w:r>
        <w:fldChar w:fldCharType="separate"/>
      </w:r>
      <w:r w:rsidR="002C1ED1">
        <w:t>217</w:t>
      </w:r>
      <w:r>
        <w:fldChar w:fldCharType="end"/>
      </w:r>
    </w:p>
    <w:p w:rsidR="00737FF9" w:rsidRDefault="00737FF9">
      <w:pPr>
        <w:pStyle w:val="TOC3"/>
        <w:rPr>
          <w:rFonts w:asciiTheme="minorHAnsi" w:eastAsiaTheme="minorEastAsia" w:hAnsiTheme="minorHAnsi" w:cstheme="minorBidi"/>
          <w:caps w:val="0"/>
          <w:sz w:val="22"/>
          <w:szCs w:val="22"/>
          <w:lang w:eastAsia="fr-FR"/>
        </w:rPr>
      </w:pPr>
      <w:r>
        <w:rPr>
          <w:lang w:eastAsia="da-DK"/>
        </w:rPr>
        <w:t>Annexe I</w:t>
      </w:r>
      <w:r>
        <w:rPr>
          <w:rFonts w:asciiTheme="minorHAnsi" w:eastAsiaTheme="minorEastAsia" w:hAnsiTheme="minorHAnsi" w:cstheme="minorBidi"/>
          <w:caps w:val="0"/>
          <w:sz w:val="22"/>
          <w:szCs w:val="22"/>
          <w:lang w:eastAsia="fr-FR"/>
        </w:rPr>
        <w:tab/>
      </w:r>
      <w:r>
        <w:rPr>
          <w:lang w:eastAsia="da-DK"/>
        </w:rPr>
        <w:t>BUDGET 2014</w:t>
      </w:r>
      <w:r>
        <w:rPr>
          <w:lang w:eastAsia="da-DK"/>
        </w:rPr>
        <w:noBreakHyphen/>
        <w:t>2015 APRÈS VIREMENTS PAR PROGRAMME</w:t>
      </w:r>
      <w:r>
        <w:tab/>
      </w:r>
      <w:r>
        <w:fldChar w:fldCharType="begin"/>
      </w:r>
      <w:r>
        <w:instrText xml:space="preserve"> PAGEREF _Toc431555475 \h </w:instrText>
      </w:r>
      <w:r>
        <w:fldChar w:fldCharType="separate"/>
      </w:r>
      <w:r w:rsidR="002C1ED1">
        <w:t>217</w:t>
      </w:r>
      <w:r>
        <w:fldChar w:fldCharType="end"/>
      </w:r>
    </w:p>
    <w:p w:rsidR="00737FF9" w:rsidRDefault="00737FF9">
      <w:pPr>
        <w:pStyle w:val="TOC3"/>
        <w:rPr>
          <w:rFonts w:asciiTheme="minorHAnsi" w:eastAsiaTheme="minorEastAsia" w:hAnsiTheme="minorHAnsi" w:cstheme="minorBidi"/>
          <w:caps w:val="0"/>
          <w:sz w:val="22"/>
          <w:szCs w:val="22"/>
          <w:lang w:eastAsia="fr-FR"/>
        </w:rPr>
      </w:pPr>
      <w:r>
        <w:rPr>
          <w:lang w:eastAsia="da-DK"/>
        </w:rPr>
        <w:t>Annexe II</w:t>
      </w:r>
      <w:r>
        <w:rPr>
          <w:rFonts w:asciiTheme="minorHAnsi" w:eastAsiaTheme="minorEastAsia" w:hAnsiTheme="minorHAnsi" w:cstheme="minorBidi"/>
          <w:caps w:val="0"/>
          <w:sz w:val="22"/>
          <w:szCs w:val="22"/>
          <w:lang w:eastAsia="fr-FR"/>
        </w:rPr>
        <w:tab/>
      </w:r>
      <w:r>
        <w:t>Ressources proposées pour 2014</w:t>
      </w:r>
      <w:r>
        <w:noBreakHyphen/>
        <w:t>2015 par programme</w:t>
      </w:r>
      <w:r>
        <w:tab/>
      </w:r>
      <w:r>
        <w:fldChar w:fldCharType="begin"/>
      </w:r>
      <w:r>
        <w:instrText xml:space="preserve"> PAGEREF _Toc431555476 \h </w:instrText>
      </w:r>
      <w:r>
        <w:fldChar w:fldCharType="separate"/>
      </w:r>
      <w:r w:rsidR="002C1ED1">
        <w:t>218</w:t>
      </w:r>
      <w:r>
        <w:fldChar w:fldCharType="end"/>
      </w:r>
    </w:p>
    <w:p w:rsidR="00737FF9" w:rsidRDefault="00737FF9">
      <w:pPr>
        <w:pStyle w:val="TOC3"/>
        <w:rPr>
          <w:rFonts w:asciiTheme="minorHAnsi" w:eastAsiaTheme="minorEastAsia" w:hAnsiTheme="minorHAnsi" w:cstheme="minorBidi"/>
          <w:caps w:val="0"/>
          <w:sz w:val="22"/>
          <w:szCs w:val="22"/>
          <w:lang w:eastAsia="fr-FR"/>
        </w:rPr>
      </w:pPr>
      <w:r>
        <w:t>ANNEXE III</w:t>
      </w:r>
      <w:r>
        <w:rPr>
          <w:rFonts w:asciiTheme="minorHAnsi" w:eastAsiaTheme="minorEastAsia" w:hAnsiTheme="minorHAnsi" w:cstheme="minorBidi"/>
          <w:caps w:val="0"/>
          <w:sz w:val="22"/>
          <w:szCs w:val="22"/>
          <w:lang w:eastAsia="fr-FR"/>
        </w:rPr>
        <w:tab/>
      </w:r>
      <w:r>
        <w:t>RÉPARTITION DES RECETTES ET DES DÉPENSES BUDGÉTAIRES PRÉVUES PAR UNION</w:t>
      </w:r>
      <w:r>
        <w:tab/>
      </w:r>
      <w:r>
        <w:fldChar w:fldCharType="begin"/>
      </w:r>
      <w:r>
        <w:instrText xml:space="preserve"> PAGEREF _Toc431555477 \h </w:instrText>
      </w:r>
      <w:r>
        <w:fldChar w:fldCharType="separate"/>
      </w:r>
      <w:r w:rsidR="002C1ED1">
        <w:t>220</w:t>
      </w:r>
      <w:r>
        <w:fldChar w:fldCharType="end"/>
      </w:r>
    </w:p>
    <w:p w:rsidR="00737FF9" w:rsidRDefault="00737FF9">
      <w:pPr>
        <w:pStyle w:val="TOC3"/>
        <w:rPr>
          <w:rFonts w:asciiTheme="minorHAnsi" w:eastAsiaTheme="minorEastAsia" w:hAnsiTheme="minorHAnsi" w:cstheme="minorBidi"/>
          <w:caps w:val="0"/>
          <w:sz w:val="22"/>
          <w:szCs w:val="22"/>
          <w:lang w:eastAsia="fr-FR"/>
        </w:rPr>
      </w:pPr>
      <w:r>
        <w:t>ANNEXE IV</w:t>
      </w:r>
      <w:r>
        <w:rPr>
          <w:rFonts w:asciiTheme="minorHAnsi" w:eastAsiaTheme="minorEastAsia" w:hAnsiTheme="minorHAnsi" w:cstheme="minorBidi"/>
          <w:caps w:val="0"/>
          <w:sz w:val="22"/>
          <w:szCs w:val="22"/>
          <w:lang w:eastAsia="fr-FR"/>
        </w:rPr>
        <w:tab/>
      </w:r>
      <w:r>
        <w:t>ÉVOLUTION À MOYEN TERME DE LA DEMANDE DE SERVICES AU TITRE DES SYSTÈMES DU PCT, DE MADRID ET DE LA HAYE</w:t>
      </w:r>
      <w:r>
        <w:tab/>
      </w:r>
      <w:r>
        <w:fldChar w:fldCharType="begin"/>
      </w:r>
      <w:r>
        <w:instrText xml:space="preserve"> PAGEREF _Toc431555478 \h </w:instrText>
      </w:r>
      <w:r>
        <w:fldChar w:fldCharType="separate"/>
      </w:r>
      <w:r w:rsidR="002C1ED1">
        <w:t>224</w:t>
      </w:r>
      <w:r>
        <w:fldChar w:fldCharType="end"/>
      </w:r>
    </w:p>
    <w:p w:rsidR="00737FF9" w:rsidRDefault="00737FF9">
      <w:pPr>
        <w:pStyle w:val="TOC3"/>
        <w:rPr>
          <w:rFonts w:asciiTheme="minorHAnsi" w:eastAsiaTheme="minorEastAsia" w:hAnsiTheme="minorHAnsi" w:cstheme="minorBidi"/>
          <w:caps w:val="0"/>
          <w:sz w:val="22"/>
          <w:szCs w:val="22"/>
          <w:lang w:eastAsia="fr-FR"/>
        </w:rPr>
      </w:pPr>
      <w:r>
        <w:t>ANNEXE V</w:t>
      </w:r>
      <w:r>
        <w:rPr>
          <w:rFonts w:asciiTheme="minorHAnsi" w:eastAsiaTheme="minorEastAsia" w:hAnsiTheme="minorHAnsi" w:cstheme="minorBidi"/>
          <w:caps w:val="0"/>
          <w:sz w:val="22"/>
          <w:szCs w:val="22"/>
          <w:lang w:eastAsia="fr-FR"/>
        </w:rPr>
        <w:tab/>
      </w:r>
      <w:r>
        <w:t>INDICATEURS RELATIFS AUX OPÉRATIONS DU PCT</w:t>
      </w:r>
      <w:r>
        <w:tab/>
      </w:r>
      <w:r>
        <w:fldChar w:fldCharType="begin"/>
      </w:r>
      <w:r>
        <w:instrText xml:space="preserve"> PAGEREF _Toc431555479 \h </w:instrText>
      </w:r>
      <w:r>
        <w:fldChar w:fldCharType="separate"/>
      </w:r>
      <w:r w:rsidR="002C1ED1">
        <w:t>241</w:t>
      </w:r>
      <w:r>
        <w:fldChar w:fldCharType="end"/>
      </w:r>
    </w:p>
    <w:p w:rsidR="00737FF9" w:rsidRDefault="00737FF9">
      <w:pPr>
        <w:pStyle w:val="TOC3"/>
        <w:rPr>
          <w:rFonts w:asciiTheme="minorHAnsi" w:eastAsiaTheme="minorEastAsia" w:hAnsiTheme="minorHAnsi" w:cstheme="minorBidi"/>
          <w:caps w:val="0"/>
          <w:sz w:val="22"/>
          <w:szCs w:val="22"/>
          <w:lang w:eastAsia="fr-FR"/>
        </w:rPr>
      </w:pPr>
      <w:r>
        <w:t>ANNEXE VI</w:t>
      </w:r>
      <w:r>
        <w:rPr>
          <w:rFonts w:asciiTheme="minorHAnsi" w:eastAsiaTheme="minorEastAsia" w:hAnsiTheme="minorHAnsi" w:cstheme="minorBidi"/>
          <w:caps w:val="0"/>
          <w:sz w:val="22"/>
          <w:szCs w:val="22"/>
          <w:lang w:eastAsia="fr-FR"/>
        </w:rPr>
        <w:tab/>
      </w:r>
      <w:r>
        <w:t>INDICATeurs relatifs aux opérations du système de Madrid</w:t>
      </w:r>
      <w:r>
        <w:tab/>
      </w:r>
      <w:r>
        <w:fldChar w:fldCharType="begin"/>
      </w:r>
      <w:r>
        <w:instrText xml:space="preserve"> PAGEREF _Toc431555480 \h </w:instrText>
      </w:r>
      <w:r>
        <w:fldChar w:fldCharType="separate"/>
      </w:r>
      <w:r w:rsidR="002C1ED1">
        <w:t>253</w:t>
      </w:r>
      <w:r>
        <w:fldChar w:fldCharType="end"/>
      </w:r>
    </w:p>
    <w:p w:rsidR="00737FF9" w:rsidRDefault="00737FF9">
      <w:pPr>
        <w:pStyle w:val="TOC3"/>
        <w:rPr>
          <w:rFonts w:asciiTheme="minorHAnsi" w:eastAsiaTheme="minorEastAsia" w:hAnsiTheme="minorHAnsi" w:cstheme="minorBidi"/>
          <w:caps w:val="0"/>
          <w:sz w:val="22"/>
          <w:szCs w:val="22"/>
          <w:lang w:eastAsia="fr-FR"/>
        </w:rPr>
      </w:pPr>
      <w:r>
        <w:t>ANNEXE VII</w:t>
      </w:r>
      <w:r>
        <w:rPr>
          <w:rFonts w:asciiTheme="minorHAnsi" w:eastAsiaTheme="minorEastAsia" w:hAnsiTheme="minorHAnsi" w:cstheme="minorBidi"/>
          <w:caps w:val="0"/>
          <w:sz w:val="22"/>
          <w:szCs w:val="22"/>
          <w:lang w:eastAsia="fr-FR"/>
        </w:rPr>
        <w:tab/>
      </w:r>
      <w:r>
        <w:t>INDICATEURS relatifs aux opÉrations du systÈme de La Haye</w:t>
      </w:r>
      <w:r>
        <w:tab/>
      </w:r>
      <w:r>
        <w:fldChar w:fldCharType="begin"/>
      </w:r>
      <w:r>
        <w:instrText xml:space="preserve"> PAGEREF _Toc431555481 \h </w:instrText>
      </w:r>
      <w:r>
        <w:fldChar w:fldCharType="separate"/>
      </w:r>
      <w:r w:rsidR="002C1ED1">
        <w:t>265</w:t>
      </w:r>
      <w:r>
        <w:fldChar w:fldCharType="end"/>
      </w:r>
    </w:p>
    <w:p w:rsidR="00737FF9" w:rsidRDefault="00737FF9">
      <w:pPr>
        <w:pStyle w:val="TOC3"/>
        <w:rPr>
          <w:rFonts w:asciiTheme="minorHAnsi" w:eastAsiaTheme="minorEastAsia" w:hAnsiTheme="minorHAnsi" w:cstheme="minorBidi"/>
          <w:caps w:val="0"/>
          <w:sz w:val="22"/>
          <w:szCs w:val="22"/>
          <w:lang w:eastAsia="fr-FR"/>
        </w:rPr>
      </w:pPr>
      <w:r>
        <w:t>Annexe VIII</w:t>
      </w:r>
      <w:r>
        <w:rPr>
          <w:rFonts w:asciiTheme="minorHAnsi" w:eastAsiaTheme="minorEastAsia" w:hAnsiTheme="minorHAnsi" w:cstheme="minorBidi"/>
          <w:caps w:val="0"/>
          <w:sz w:val="22"/>
          <w:szCs w:val="22"/>
          <w:lang w:eastAsia="fr-FR"/>
        </w:rPr>
        <w:tab/>
      </w:r>
      <w:r>
        <w:t>Ressources au titre de fonds fiduciaires potentiellement disponibles aux fins d’activités de programme en 2016</w:t>
      </w:r>
      <w:r>
        <w:noBreakHyphen/>
        <w:t>2017</w:t>
      </w:r>
      <w:r>
        <w:tab/>
      </w:r>
      <w:r>
        <w:fldChar w:fldCharType="begin"/>
      </w:r>
      <w:r>
        <w:instrText xml:space="preserve"> PAGEREF _Toc431555482 \h </w:instrText>
      </w:r>
      <w:r>
        <w:fldChar w:fldCharType="separate"/>
      </w:r>
      <w:r w:rsidR="002C1ED1">
        <w:t>273</w:t>
      </w:r>
      <w:r>
        <w:fldChar w:fldCharType="end"/>
      </w:r>
    </w:p>
    <w:p w:rsidR="00737FF9" w:rsidRDefault="00737FF9">
      <w:pPr>
        <w:pStyle w:val="TOC3"/>
        <w:rPr>
          <w:rFonts w:asciiTheme="minorHAnsi" w:eastAsiaTheme="minorEastAsia" w:hAnsiTheme="minorHAnsi" w:cstheme="minorBidi"/>
          <w:caps w:val="0"/>
          <w:sz w:val="22"/>
          <w:szCs w:val="22"/>
          <w:lang w:eastAsia="fr-FR"/>
        </w:rPr>
      </w:pPr>
      <w:r>
        <w:t>Annexe IX</w:t>
      </w:r>
      <w:r>
        <w:rPr>
          <w:rFonts w:asciiTheme="minorHAnsi" w:eastAsiaTheme="minorEastAsia" w:hAnsiTheme="minorHAnsi" w:cstheme="minorBidi"/>
          <w:caps w:val="0"/>
          <w:sz w:val="22"/>
          <w:szCs w:val="22"/>
          <w:lang w:eastAsia="fr-FR"/>
        </w:rPr>
        <w:tab/>
      </w:r>
      <w:r>
        <w:t>Incidences de l’adoption des normes IPSAS sur les pratiques budgétaires</w:t>
      </w:r>
      <w:r>
        <w:tab/>
      </w:r>
      <w:r>
        <w:fldChar w:fldCharType="begin"/>
      </w:r>
      <w:r>
        <w:instrText xml:space="preserve"> PAGEREF _Toc431555483 \h </w:instrText>
      </w:r>
      <w:r>
        <w:fldChar w:fldCharType="separate"/>
      </w:r>
      <w:r w:rsidR="002C1ED1">
        <w:t>274</w:t>
      </w:r>
      <w:r>
        <w:fldChar w:fldCharType="end"/>
      </w:r>
    </w:p>
    <w:p w:rsidR="00737FF9" w:rsidRDefault="00737FF9">
      <w:pPr>
        <w:pStyle w:val="TOC3"/>
        <w:rPr>
          <w:rFonts w:asciiTheme="minorHAnsi" w:eastAsiaTheme="minorEastAsia" w:hAnsiTheme="minorHAnsi" w:cstheme="minorBidi"/>
          <w:caps w:val="0"/>
          <w:sz w:val="22"/>
          <w:szCs w:val="22"/>
          <w:lang w:eastAsia="fr-FR"/>
        </w:rPr>
      </w:pPr>
      <w:r>
        <w:t>Annexe X</w:t>
      </w:r>
      <w:r>
        <w:rPr>
          <w:rFonts w:asciiTheme="minorHAnsi" w:eastAsiaTheme="minorEastAsia" w:hAnsiTheme="minorHAnsi" w:cstheme="minorBidi"/>
          <w:caps w:val="0"/>
          <w:sz w:val="22"/>
          <w:szCs w:val="22"/>
          <w:lang w:eastAsia="fr-FR"/>
        </w:rPr>
        <w:tab/>
      </w:r>
      <w:r>
        <w:t>Budget 2016</w:t>
      </w:r>
      <w:r>
        <w:noBreakHyphen/>
        <w:t>2017 par résultat escompté et par programme</w:t>
      </w:r>
      <w:r>
        <w:tab/>
      </w:r>
      <w:r>
        <w:fldChar w:fldCharType="begin"/>
      </w:r>
      <w:r>
        <w:instrText xml:space="preserve"> PAGEREF _Toc431555484 \h </w:instrText>
      </w:r>
      <w:r>
        <w:fldChar w:fldCharType="separate"/>
      </w:r>
      <w:r w:rsidR="002C1ED1">
        <w:t>276</w:t>
      </w:r>
      <w:r>
        <w:fldChar w:fldCharType="end"/>
      </w:r>
    </w:p>
    <w:p w:rsidR="00737FF9" w:rsidRDefault="00737FF9">
      <w:pPr>
        <w:pStyle w:val="TOC3"/>
        <w:rPr>
          <w:rFonts w:asciiTheme="minorHAnsi" w:eastAsiaTheme="minorEastAsia" w:hAnsiTheme="minorHAnsi" w:cstheme="minorBidi"/>
          <w:caps w:val="0"/>
          <w:sz w:val="22"/>
          <w:szCs w:val="22"/>
          <w:lang w:eastAsia="fr-FR"/>
        </w:rPr>
      </w:pPr>
      <w:r>
        <w:t>Annexe XI</w:t>
      </w:r>
      <w:r>
        <w:rPr>
          <w:rFonts w:asciiTheme="minorHAnsi" w:eastAsiaTheme="minorEastAsia" w:hAnsiTheme="minorHAnsi" w:cstheme="minorBidi"/>
          <w:caps w:val="0"/>
          <w:sz w:val="22"/>
          <w:szCs w:val="22"/>
          <w:lang w:eastAsia="fr-FR"/>
        </w:rPr>
        <w:tab/>
      </w:r>
      <w:r>
        <w:t>Budget 2014</w:t>
      </w:r>
      <w:r>
        <w:noBreakHyphen/>
        <w:t>2015 par résultat escompté</w:t>
      </w:r>
      <w:r>
        <w:tab/>
      </w:r>
      <w:r>
        <w:fldChar w:fldCharType="begin"/>
      </w:r>
      <w:r>
        <w:instrText xml:space="preserve"> PAGEREF _Toc431555485 \h </w:instrText>
      </w:r>
      <w:r>
        <w:fldChar w:fldCharType="separate"/>
      </w:r>
      <w:r w:rsidR="002C1ED1">
        <w:t>278</w:t>
      </w:r>
      <w:r>
        <w:fldChar w:fldCharType="end"/>
      </w:r>
    </w:p>
    <w:p w:rsidR="00737FF9" w:rsidRDefault="00737FF9">
      <w:pPr>
        <w:pStyle w:val="TOC3"/>
        <w:rPr>
          <w:rFonts w:asciiTheme="minorHAnsi" w:eastAsiaTheme="minorEastAsia" w:hAnsiTheme="minorHAnsi" w:cstheme="minorBidi"/>
          <w:caps w:val="0"/>
          <w:sz w:val="22"/>
          <w:szCs w:val="22"/>
          <w:lang w:eastAsia="fr-FR"/>
        </w:rPr>
      </w:pPr>
      <w:r>
        <w:t>Annexe XII</w:t>
      </w:r>
      <w:r>
        <w:rPr>
          <w:rFonts w:asciiTheme="minorHAnsi" w:eastAsiaTheme="minorEastAsia" w:hAnsiTheme="minorHAnsi" w:cstheme="minorBidi"/>
          <w:caps w:val="0"/>
          <w:sz w:val="22"/>
          <w:szCs w:val="22"/>
          <w:lang w:eastAsia="fr-FR"/>
        </w:rPr>
        <w:tab/>
      </w:r>
      <w:r>
        <w:t>Organigramme de l’OMPI</w:t>
      </w:r>
      <w:r>
        <w:tab/>
      </w:r>
      <w:r>
        <w:fldChar w:fldCharType="begin"/>
      </w:r>
      <w:r>
        <w:instrText xml:space="preserve"> PAGEREF _Toc431555486 \h </w:instrText>
      </w:r>
      <w:r>
        <w:fldChar w:fldCharType="separate"/>
      </w:r>
      <w:r w:rsidR="002C1ED1">
        <w:t>281</w:t>
      </w:r>
      <w:r>
        <w:fldChar w:fldCharType="end"/>
      </w:r>
    </w:p>
    <w:p w:rsidR="00737FF9" w:rsidRDefault="00737FF9">
      <w:pPr>
        <w:pStyle w:val="TOC1"/>
        <w:rPr>
          <w:rFonts w:asciiTheme="minorHAnsi" w:eastAsiaTheme="minorEastAsia" w:hAnsiTheme="minorHAnsi" w:cstheme="minorBidi"/>
          <w:b w:val="0"/>
          <w:caps w:val="0"/>
          <w:sz w:val="22"/>
          <w:szCs w:val="22"/>
          <w:lang w:eastAsia="fr-FR"/>
        </w:rPr>
      </w:pPr>
      <w:r>
        <w:t>IV.</w:t>
      </w:r>
      <w:r>
        <w:rPr>
          <w:rFonts w:asciiTheme="minorHAnsi" w:eastAsiaTheme="minorEastAsia" w:hAnsiTheme="minorHAnsi" w:cstheme="minorBidi"/>
          <w:b w:val="0"/>
          <w:caps w:val="0"/>
          <w:sz w:val="22"/>
          <w:szCs w:val="22"/>
          <w:lang w:eastAsia="fr-FR"/>
        </w:rPr>
        <w:tab/>
      </w:r>
      <w:r>
        <w:t>Appendices</w:t>
      </w:r>
      <w:r>
        <w:tab/>
      </w:r>
      <w:r>
        <w:fldChar w:fldCharType="begin"/>
      </w:r>
      <w:r>
        <w:instrText xml:space="preserve"> PAGEREF _Toc431555487 \h </w:instrText>
      </w:r>
      <w:r>
        <w:fldChar w:fldCharType="separate"/>
      </w:r>
      <w:r w:rsidR="002C1ED1">
        <w:t>282</w:t>
      </w:r>
      <w:r>
        <w:fldChar w:fldCharType="end"/>
      </w:r>
    </w:p>
    <w:p w:rsidR="00737FF9" w:rsidRDefault="00737FF9">
      <w:pPr>
        <w:pStyle w:val="TOC3"/>
        <w:rPr>
          <w:rFonts w:asciiTheme="minorHAnsi" w:eastAsiaTheme="minorEastAsia" w:hAnsiTheme="minorHAnsi" w:cstheme="minorBidi"/>
          <w:caps w:val="0"/>
          <w:sz w:val="22"/>
          <w:szCs w:val="22"/>
          <w:lang w:eastAsia="fr-FR"/>
        </w:rPr>
      </w:pPr>
      <w:r>
        <w:t>Appendice A    Contributions des États membres</w:t>
      </w:r>
      <w:r>
        <w:tab/>
      </w:r>
      <w:r>
        <w:fldChar w:fldCharType="begin"/>
      </w:r>
      <w:r>
        <w:instrText xml:space="preserve"> PAGEREF _Toc431555488 \h </w:instrText>
      </w:r>
      <w:r>
        <w:fldChar w:fldCharType="separate"/>
      </w:r>
      <w:r w:rsidR="002C1ED1">
        <w:t>282</w:t>
      </w:r>
      <w:r>
        <w:fldChar w:fldCharType="end"/>
      </w:r>
    </w:p>
    <w:p w:rsidR="00737FF9" w:rsidRDefault="00737FF9">
      <w:pPr>
        <w:pStyle w:val="TOC3"/>
        <w:rPr>
          <w:rFonts w:asciiTheme="minorHAnsi" w:eastAsiaTheme="minorEastAsia" w:hAnsiTheme="minorHAnsi" w:cstheme="minorBidi"/>
          <w:caps w:val="0"/>
          <w:sz w:val="22"/>
          <w:szCs w:val="22"/>
          <w:lang w:eastAsia="fr-FR"/>
        </w:rPr>
      </w:pPr>
      <w:r>
        <w:t>Appendice B    Définition des catégories de dépenses</w:t>
      </w:r>
      <w:r>
        <w:tab/>
      </w:r>
      <w:r>
        <w:fldChar w:fldCharType="begin"/>
      </w:r>
      <w:r>
        <w:instrText xml:space="preserve"> PAGEREF _Toc431555489 \h </w:instrText>
      </w:r>
      <w:r>
        <w:fldChar w:fldCharType="separate"/>
      </w:r>
      <w:r w:rsidR="002C1ED1">
        <w:t>286</w:t>
      </w:r>
      <w:r>
        <w:fldChar w:fldCharType="end"/>
      </w:r>
    </w:p>
    <w:p w:rsidR="00737FF9" w:rsidRDefault="00737FF9">
      <w:pPr>
        <w:pStyle w:val="TOC3"/>
        <w:rPr>
          <w:rFonts w:asciiTheme="minorHAnsi" w:eastAsiaTheme="minorEastAsia" w:hAnsiTheme="minorHAnsi" w:cstheme="minorBidi"/>
          <w:caps w:val="0"/>
          <w:sz w:val="22"/>
          <w:szCs w:val="22"/>
          <w:lang w:eastAsia="fr-FR"/>
        </w:rPr>
      </w:pPr>
      <w:r>
        <w:t>Appendice C    calcul des dépenses de personnel</w:t>
      </w:r>
      <w:r>
        <w:tab/>
      </w:r>
      <w:r>
        <w:fldChar w:fldCharType="begin"/>
      </w:r>
      <w:r>
        <w:instrText xml:space="preserve"> PAGEREF _Toc431555490 \h </w:instrText>
      </w:r>
      <w:r>
        <w:fldChar w:fldCharType="separate"/>
      </w:r>
      <w:r w:rsidR="002C1ED1">
        <w:t>288</w:t>
      </w:r>
      <w:r>
        <w:fldChar w:fldCharType="end"/>
      </w:r>
    </w:p>
    <w:p w:rsidR="00737FF9" w:rsidRDefault="00737FF9">
      <w:pPr>
        <w:pStyle w:val="TOC3"/>
        <w:rPr>
          <w:rFonts w:asciiTheme="minorHAnsi" w:eastAsiaTheme="minorEastAsia" w:hAnsiTheme="minorHAnsi" w:cstheme="minorBidi"/>
          <w:caps w:val="0"/>
          <w:sz w:val="22"/>
          <w:szCs w:val="22"/>
          <w:lang w:eastAsia="fr-FR"/>
        </w:rPr>
      </w:pPr>
      <w:r>
        <w:t>Appendice D    Formules de flexibilité</w:t>
      </w:r>
      <w:r>
        <w:tab/>
      </w:r>
      <w:r>
        <w:fldChar w:fldCharType="begin"/>
      </w:r>
      <w:r>
        <w:instrText xml:space="preserve"> PAGEREF _Toc431555491 \h </w:instrText>
      </w:r>
      <w:r>
        <w:fldChar w:fldCharType="separate"/>
      </w:r>
      <w:r w:rsidR="002C1ED1">
        <w:t>290</w:t>
      </w:r>
      <w:r>
        <w:fldChar w:fldCharType="end"/>
      </w:r>
    </w:p>
    <w:p w:rsidR="00737FF9" w:rsidRDefault="00737FF9">
      <w:pPr>
        <w:pStyle w:val="TOC3"/>
        <w:rPr>
          <w:rFonts w:asciiTheme="minorHAnsi" w:eastAsiaTheme="minorEastAsia" w:hAnsiTheme="minorHAnsi" w:cstheme="minorBidi"/>
          <w:caps w:val="0"/>
          <w:sz w:val="22"/>
          <w:szCs w:val="22"/>
          <w:lang w:eastAsia="fr-FR"/>
        </w:rPr>
      </w:pPr>
      <w:r>
        <w:t>Appendice E    Sigles utilisés dans le présent document</w:t>
      </w:r>
      <w:r>
        <w:tab/>
      </w:r>
      <w:r>
        <w:fldChar w:fldCharType="begin"/>
      </w:r>
      <w:r>
        <w:instrText xml:space="preserve"> PAGEREF _Toc431555492 \h </w:instrText>
      </w:r>
      <w:r>
        <w:fldChar w:fldCharType="separate"/>
      </w:r>
      <w:r w:rsidR="002C1ED1">
        <w:t>291</w:t>
      </w:r>
      <w:r>
        <w:fldChar w:fldCharType="end"/>
      </w:r>
    </w:p>
    <w:p w:rsidR="00F93B76" w:rsidRPr="00A32AF4" w:rsidRDefault="00F00BFF" w:rsidP="00DC0553">
      <w:r w:rsidRPr="00A32AF4">
        <w:fldChar w:fldCharType="end"/>
      </w:r>
    </w:p>
    <w:p w:rsidR="00F93B76" w:rsidRPr="00A32AF4" w:rsidRDefault="00C64120" w:rsidP="00DC0553">
      <w:pPr>
        <w:pStyle w:val="Heading1"/>
      </w:pPr>
      <w:r w:rsidRPr="00A32AF4">
        <w:br w:type="page"/>
      </w:r>
      <w:bookmarkStart w:id="1" w:name="_Toc431555426"/>
      <w:r w:rsidR="0095510D" w:rsidRPr="00A32AF4">
        <w:t>Avant</w:t>
      </w:r>
      <w:r w:rsidR="00EB7F54" w:rsidRPr="00A32AF4">
        <w:noBreakHyphen/>
      </w:r>
      <w:r w:rsidRPr="00A32AF4">
        <w:t>propos du Directeur général</w:t>
      </w:r>
      <w:bookmarkEnd w:id="1"/>
    </w:p>
    <w:p w:rsidR="00F93B76" w:rsidRPr="00A32AF4" w:rsidRDefault="00F93B76" w:rsidP="00DC0553"/>
    <w:p w:rsidR="00E01F3A" w:rsidRPr="00A32AF4" w:rsidRDefault="00E01F3A" w:rsidP="00E01F3A">
      <w:pPr>
        <w:jc w:val="both"/>
        <w:rPr>
          <w:rFonts w:eastAsia="MS Mincho"/>
          <w:lang w:eastAsia="ja-JP"/>
        </w:rPr>
      </w:pPr>
      <w:r w:rsidRPr="00A32AF4">
        <w:rPr>
          <w:rFonts w:eastAsia="MS Mincho"/>
          <w:lang w:eastAsia="ja-JP"/>
        </w:rPr>
        <w:t>Le programme et budget fournit aux États membres l</w:t>
      </w:r>
      <w:r w:rsidR="00E2055A" w:rsidRPr="00A32AF4">
        <w:rPr>
          <w:rFonts w:eastAsia="MS Mincho"/>
          <w:lang w:eastAsia="ja-JP"/>
        </w:rPr>
        <w:t>’</w:t>
      </w:r>
      <w:r w:rsidRPr="00A32AF4">
        <w:rPr>
          <w:rFonts w:eastAsia="MS Mincho"/>
          <w:lang w:eastAsia="ja-JP"/>
        </w:rPr>
        <w:t>occasion de définir les résultats qu</w:t>
      </w:r>
      <w:r w:rsidR="00E2055A" w:rsidRPr="00A32AF4">
        <w:rPr>
          <w:rFonts w:eastAsia="MS Mincho"/>
          <w:lang w:eastAsia="ja-JP"/>
        </w:rPr>
        <w:t>’</w:t>
      </w:r>
      <w:r w:rsidRPr="00A32AF4">
        <w:rPr>
          <w:rFonts w:eastAsia="MS Mincho"/>
          <w:lang w:eastAsia="ja-JP"/>
        </w:rPr>
        <w:t>ils veulent que l</w:t>
      </w:r>
      <w:r w:rsidR="00E2055A" w:rsidRPr="00A32AF4">
        <w:rPr>
          <w:rFonts w:eastAsia="MS Mincho"/>
          <w:lang w:eastAsia="ja-JP"/>
        </w:rPr>
        <w:t>’</w:t>
      </w:r>
      <w:r w:rsidRPr="00A32AF4">
        <w:rPr>
          <w:rFonts w:eastAsia="MS Mincho"/>
          <w:lang w:eastAsia="ja-JP"/>
        </w:rPr>
        <w:t>Organisation atteigne au cours de l</w:t>
      </w:r>
      <w:r w:rsidR="00E2055A" w:rsidRPr="00A32AF4">
        <w:rPr>
          <w:rFonts w:eastAsia="MS Mincho"/>
          <w:lang w:eastAsia="ja-JP"/>
        </w:rPr>
        <w:t>’</w:t>
      </w:r>
      <w:r w:rsidRPr="00A32AF4">
        <w:rPr>
          <w:rFonts w:eastAsia="MS Mincho"/>
          <w:lang w:eastAsia="ja-JP"/>
        </w:rPr>
        <w:t>exercice biennal suivant et, à l</w:t>
      </w:r>
      <w:r w:rsidR="00E2055A" w:rsidRPr="00A32AF4">
        <w:rPr>
          <w:rFonts w:eastAsia="MS Mincho"/>
          <w:lang w:eastAsia="ja-JP"/>
        </w:rPr>
        <w:t>’</w:t>
      </w:r>
      <w:r w:rsidRPr="00A32AF4">
        <w:rPr>
          <w:rFonts w:eastAsia="MS Mincho"/>
          <w:lang w:eastAsia="ja-JP"/>
        </w:rPr>
        <w:t>Organisation, la possibilité d</w:t>
      </w:r>
      <w:r w:rsidR="00E2055A" w:rsidRPr="00A32AF4">
        <w:rPr>
          <w:rFonts w:eastAsia="MS Mincho"/>
          <w:lang w:eastAsia="ja-JP"/>
        </w:rPr>
        <w:t>’</w:t>
      </w:r>
      <w:r w:rsidRPr="00A32AF4">
        <w:rPr>
          <w:rFonts w:eastAsia="MS Mincho"/>
          <w:lang w:eastAsia="ja-JP"/>
        </w:rPr>
        <w:t>élaborer les programmes qui permettront d</w:t>
      </w:r>
      <w:r w:rsidR="00E2055A" w:rsidRPr="00A32AF4">
        <w:rPr>
          <w:rFonts w:eastAsia="MS Mincho"/>
          <w:lang w:eastAsia="ja-JP"/>
        </w:rPr>
        <w:t>’</w:t>
      </w:r>
      <w:r w:rsidRPr="00A32AF4">
        <w:rPr>
          <w:rFonts w:eastAsia="MS Mincho"/>
          <w:lang w:eastAsia="ja-JP"/>
        </w:rPr>
        <w:t>atteindre ces résultats.</w:t>
      </w:r>
    </w:p>
    <w:p w:rsidR="00E01F3A" w:rsidRPr="00A32AF4" w:rsidRDefault="00E01F3A" w:rsidP="00E01F3A">
      <w:pPr>
        <w:jc w:val="both"/>
        <w:rPr>
          <w:rFonts w:eastAsia="MS Mincho"/>
          <w:lang w:eastAsia="ja-JP"/>
        </w:rPr>
      </w:pPr>
    </w:p>
    <w:p w:rsidR="00E01F3A" w:rsidRPr="00A32AF4" w:rsidRDefault="00E01F3A" w:rsidP="00E01F3A">
      <w:pPr>
        <w:jc w:val="both"/>
        <w:rPr>
          <w:rFonts w:eastAsia="MS Mincho"/>
          <w:spacing w:val="-2"/>
          <w:lang w:eastAsia="ja-JP"/>
        </w:rPr>
      </w:pPr>
      <w:r w:rsidRPr="00A32AF4">
        <w:rPr>
          <w:rFonts w:eastAsia="MS Mincho"/>
          <w:spacing w:val="-2"/>
          <w:lang w:eastAsia="ja-JP"/>
        </w:rPr>
        <w:t>L</w:t>
      </w:r>
      <w:r w:rsidR="00E2055A" w:rsidRPr="00A32AF4">
        <w:rPr>
          <w:rFonts w:eastAsia="MS Mincho"/>
          <w:spacing w:val="-2"/>
          <w:lang w:eastAsia="ja-JP"/>
        </w:rPr>
        <w:t>’</w:t>
      </w:r>
      <w:r w:rsidRPr="00A32AF4">
        <w:rPr>
          <w:rFonts w:eastAsia="MS Mincho"/>
          <w:spacing w:val="-2"/>
          <w:lang w:eastAsia="ja-JP"/>
        </w:rPr>
        <w:t>Organisation a la chance de disposer d</w:t>
      </w:r>
      <w:r w:rsidR="00E2055A" w:rsidRPr="00A32AF4">
        <w:rPr>
          <w:rFonts w:eastAsia="MS Mincho"/>
          <w:spacing w:val="-2"/>
          <w:lang w:eastAsia="ja-JP"/>
        </w:rPr>
        <w:t>’</w:t>
      </w:r>
      <w:r w:rsidRPr="00A32AF4">
        <w:rPr>
          <w:rFonts w:eastAsia="MS Mincho"/>
          <w:spacing w:val="-2"/>
          <w:lang w:eastAsia="ja-JP"/>
        </w:rPr>
        <w:t xml:space="preserve">une base financière solide sur laquelle </w:t>
      </w:r>
      <w:r w:rsidR="00EE6491" w:rsidRPr="00A32AF4">
        <w:rPr>
          <w:rFonts w:eastAsia="MS Mincho"/>
          <w:spacing w:val="-2"/>
          <w:lang w:eastAsia="ja-JP"/>
        </w:rPr>
        <w:t>elle</w:t>
      </w:r>
      <w:r w:rsidRPr="00A32AF4">
        <w:rPr>
          <w:rFonts w:eastAsia="MS Mincho"/>
          <w:spacing w:val="-2"/>
          <w:lang w:eastAsia="ja-JP"/>
        </w:rPr>
        <w:t xml:space="preserve"> pourra s</w:t>
      </w:r>
      <w:r w:rsidR="00E2055A" w:rsidRPr="00A32AF4">
        <w:rPr>
          <w:rFonts w:eastAsia="MS Mincho"/>
          <w:spacing w:val="-2"/>
          <w:lang w:eastAsia="ja-JP"/>
        </w:rPr>
        <w:t>’</w:t>
      </w:r>
      <w:r w:rsidRPr="00A32AF4">
        <w:rPr>
          <w:rFonts w:eastAsia="MS Mincho"/>
          <w:spacing w:val="-2"/>
          <w:lang w:eastAsia="ja-JP"/>
        </w:rPr>
        <w:t>appuyer pour planifier et mettre en œuvre ce processus de définition des résultats et d</w:t>
      </w:r>
      <w:r w:rsidR="00E2055A" w:rsidRPr="00A32AF4">
        <w:rPr>
          <w:rFonts w:eastAsia="MS Mincho"/>
          <w:spacing w:val="-2"/>
          <w:lang w:eastAsia="ja-JP"/>
        </w:rPr>
        <w:t>’</w:t>
      </w:r>
      <w:r w:rsidRPr="00A32AF4">
        <w:rPr>
          <w:rFonts w:eastAsia="MS Mincho"/>
          <w:spacing w:val="-2"/>
          <w:lang w:eastAsia="ja-JP"/>
        </w:rPr>
        <w:t>élaboration des programmes en vue de l</w:t>
      </w:r>
      <w:r w:rsidR="00E2055A" w:rsidRPr="00A32AF4">
        <w:rPr>
          <w:rFonts w:eastAsia="MS Mincho"/>
          <w:spacing w:val="-2"/>
          <w:lang w:eastAsia="ja-JP"/>
        </w:rPr>
        <w:t>’</w:t>
      </w:r>
      <w:r w:rsidRPr="00A32AF4">
        <w:rPr>
          <w:rFonts w:eastAsia="MS Mincho"/>
          <w:spacing w:val="-2"/>
          <w:lang w:eastAsia="ja-JP"/>
        </w:rPr>
        <w:t>obtention des résultats</w:t>
      </w:r>
      <w:r w:rsidR="00EE6491" w:rsidRPr="00A32AF4">
        <w:rPr>
          <w:rFonts w:eastAsia="MS Mincho"/>
          <w:spacing w:val="-2"/>
          <w:lang w:eastAsia="ja-JP"/>
        </w:rPr>
        <w:t xml:space="preserve"> visés</w:t>
      </w:r>
      <w:r w:rsidRPr="00A32AF4">
        <w:rPr>
          <w:rFonts w:eastAsia="MS Mincho"/>
          <w:spacing w:val="-2"/>
          <w:lang w:eastAsia="ja-JP"/>
        </w:rPr>
        <w:t>.  L</w:t>
      </w:r>
      <w:r w:rsidR="00E2055A" w:rsidRPr="00A32AF4">
        <w:rPr>
          <w:rFonts w:eastAsia="MS Mincho"/>
          <w:spacing w:val="-2"/>
          <w:lang w:eastAsia="ja-JP"/>
        </w:rPr>
        <w:t>’</w:t>
      </w:r>
      <w:r w:rsidRPr="00A32AF4">
        <w:rPr>
          <w:rFonts w:eastAsia="MS Mincho"/>
          <w:spacing w:val="-2"/>
          <w:lang w:eastAsia="ja-JP"/>
        </w:rPr>
        <w:t>exercice biennal en cours (2014</w:t>
      </w:r>
      <w:r w:rsidR="00EB7F54" w:rsidRPr="00A32AF4">
        <w:rPr>
          <w:rFonts w:eastAsia="MS Mincho"/>
          <w:spacing w:val="-2"/>
          <w:lang w:eastAsia="ja-JP"/>
        </w:rPr>
        <w:noBreakHyphen/>
      </w:r>
      <w:r w:rsidRPr="00A32AF4">
        <w:rPr>
          <w:rFonts w:eastAsia="MS Mincho"/>
          <w:spacing w:val="-2"/>
          <w:lang w:eastAsia="ja-JP"/>
        </w:rPr>
        <w:t>2015) devrait se clore avec un léger excédent.  Au cours du prochain exercice (2016</w:t>
      </w:r>
      <w:r w:rsidR="00EB7F54" w:rsidRPr="00A32AF4">
        <w:rPr>
          <w:rFonts w:eastAsia="MS Mincho"/>
          <w:spacing w:val="-2"/>
          <w:lang w:eastAsia="ja-JP"/>
        </w:rPr>
        <w:noBreakHyphen/>
      </w:r>
      <w:r w:rsidRPr="00A32AF4">
        <w:rPr>
          <w:rFonts w:eastAsia="MS Mincho"/>
          <w:spacing w:val="-2"/>
          <w:lang w:eastAsia="ja-JP"/>
        </w:rPr>
        <w:t>2017), les recettes devraient augmenter de 6% pour s</w:t>
      </w:r>
      <w:r w:rsidR="00E2055A" w:rsidRPr="00A32AF4">
        <w:rPr>
          <w:rFonts w:eastAsia="MS Mincho"/>
          <w:spacing w:val="-2"/>
          <w:lang w:eastAsia="ja-JP"/>
        </w:rPr>
        <w:t>’</w:t>
      </w:r>
      <w:r w:rsidRPr="00A32AF4">
        <w:rPr>
          <w:rFonts w:eastAsia="MS Mincho"/>
          <w:spacing w:val="-2"/>
          <w:lang w:eastAsia="ja-JP"/>
        </w:rPr>
        <w:t>établir à 756,3 millions de francs suisses</w:t>
      </w:r>
      <w:r w:rsidR="00EE6491" w:rsidRPr="00A32AF4">
        <w:rPr>
          <w:rFonts w:eastAsia="MS Mincho"/>
          <w:spacing w:val="-2"/>
          <w:lang w:eastAsia="ja-JP"/>
        </w:rPr>
        <w:t>,</w:t>
      </w:r>
      <w:r w:rsidRPr="00A32AF4">
        <w:rPr>
          <w:rFonts w:eastAsia="MS Mincho"/>
          <w:spacing w:val="-2"/>
          <w:lang w:eastAsia="ja-JP"/>
        </w:rPr>
        <w:t xml:space="preserve"> sous l</w:t>
      </w:r>
      <w:r w:rsidR="00E2055A" w:rsidRPr="00A32AF4">
        <w:rPr>
          <w:rFonts w:eastAsia="MS Mincho"/>
          <w:spacing w:val="-2"/>
          <w:lang w:eastAsia="ja-JP"/>
        </w:rPr>
        <w:t>’</w:t>
      </w:r>
      <w:r w:rsidRPr="00A32AF4">
        <w:rPr>
          <w:rFonts w:eastAsia="MS Mincho"/>
          <w:spacing w:val="-2"/>
          <w:lang w:eastAsia="ja-JP"/>
        </w:rPr>
        <w:t>effet de la hausse de la demande dans le cadre des systèmes mondiaux de propriété intellectuelle (essentiellement le Traité de coopération en matière de brevets (PCT), le système de Madrid pour l</w:t>
      </w:r>
      <w:r w:rsidR="00E2055A" w:rsidRPr="00A32AF4">
        <w:rPr>
          <w:rFonts w:eastAsia="MS Mincho"/>
          <w:spacing w:val="-2"/>
          <w:lang w:eastAsia="ja-JP"/>
        </w:rPr>
        <w:t>’</w:t>
      </w:r>
      <w:r w:rsidRPr="00A32AF4">
        <w:rPr>
          <w:rFonts w:eastAsia="MS Mincho"/>
          <w:spacing w:val="-2"/>
          <w:lang w:eastAsia="ja-JP"/>
        </w:rPr>
        <w:t xml:space="preserve">enregistrement des marques et le système de </w:t>
      </w:r>
      <w:r w:rsidR="00E2055A" w:rsidRPr="00A32AF4">
        <w:rPr>
          <w:rFonts w:eastAsia="MS Mincho"/>
          <w:spacing w:val="-2"/>
          <w:lang w:eastAsia="ja-JP"/>
        </w:rPr>
        <w:t>La Haye</w:t>
      </w:r>
      <w:r w:rsidRPr="00A32AF4">
        <w:rPr>
          <w:rFonts w:eastAsia="MS Mincho"/>
          <w:spacing w:val="-2"/>
          <w:lang w:eastAsia="ja-JP"/>
        </w:rPr>
        <w:t xml:space="preserve"> pour l</w:t>
      </w:r>
      <w:r w:rsidR="00E2055A" w:rsidRPr="00A32AF4">
        <w:rPr>
          <w:rFonts w:eastAsia="MS Mincho"/>
          <w:spacing w:val="-2"/>
          <w:lang w:eastAsia="ja-JP"/>
        </w:rPr>
        <w:t>’</w:t>
      </w:r>
      <w:r w:rsidRPr="00A32AF4">
        <w:rPr>
          <w:rFonts w:eastAsia="MS Mincho"/>
          <w:spacing w:val="-2"/>
          <w:lang w:eastAsia="ja-JP"/>
        </w:rPr>
        <w:t>enregistrement des dessins et modèles industriels).  Nous proposons une augmentation des dépenses de l</w:t>
      </w:r>
      <w:r w:rsidR="00E2055A" w:rsidRPr="00A32AF4">
        <w:rPr>
          <w:rFonts w:eastAsia="MS Mincho"/>
          <w:spacing w:val="-2"/>
          <w:lang w:eastAsia="ja-JP"/>
        </w:rPr>
        <w:t>’</w:t>
      </w:r>
      <w:r w:rsidRPr="00A32AF4">
        <w:rPr>
          <w:rFonts w:eastAsia="MS Mincho"/>
          <w:spacing w:val="-2"/>
          <w:lang w:eastAsia="ja-JP"/>
        </w:rPr>
        <w:t xml:space="preserve">ordre de 4,9%, </w:t>
      </w:r>
      <w:r w:rsidR="00EE6491" w:rsidRPr="00A32AF4">
        <w:rPr>
          <w:rFonts w:eastAsia="MS Mincho"/>
          <w:spacing w:val="-2"/>
          <w:lang w:eastAsia="ja-JP"/>
        </w:rPr>
        <w:t xml:space="preserve">pour un montant </w:t>
      </w:r>
      <w:r w:rsidRPr="00A32AF4">
        <w:rPr>
          <w:rFonts w:eastAsia="MS Mincho"/>
          <w:spacing w:val="-2"/>
          <w:lang w:eastAsia="ja-JP"/>
        </w:rPr>
        <w:t>s</w:t>
      </w:r>
      <w:r w:rsidR="00E2055A" w:rsidRPr="00A32AF4">
        <w:rPr>
          <w:rFonts w:eastAsia="MS Mincho"/>
          <w:spacing w:val="-2"/>
          <w:lang w:eastAsia="ja-JP"/>
        </w:rPr>
        <w:t>’</w:t>
      </w:r>
      <w:r w:rsidRPr="00A32AF4">
        <w:rPr>
          <w:rFonts w:eastAsia="MS Mincho"/>
          <w:spacing w:val="-2"/>
          <w:lang w:eastAsia="ja-JP"/>
        </w:rPr>
        <w:t xml:space="preserve">établissant à 707 millions de francs suisses, ce qui </w:t>
      </w:r>
      <w:r w:rsidR="00EE6491" w:rsidRPr="00A32AF4">
        <w:rPr>
          <w:rFonts w:eastAsia="MS Mincho"/>
          <w:spacing w:val="-2"/>
          <w:lang w:eastAsia="ja-JP"/>
        </w:rPr>
        <w:t xml:space="preserve">devrait se traduire par des </w:t>
      </w:r>
      <w:r w:rsidRPr="00A32AF4">
        <w:rPr>
          <w:rFonts w:eastAsia="MS Mincho"/>
          <w:spacing w:val="-2"/>
          <w:lang w:eastAsia="ja-JP"/>
        </w:rPr>
        <w:t>excédent</w:t>
      </w:r>
      <w:r w:rsidR="00EE6491" w:rsidRPr="00A32AF4">
        <w:rPr>
          <w:rFonts w:eastAsia="MS Mincho"/>
          <w:spacing w:val="-2"/>
          <w:lang w:eastAsia="ja-JP"/>
        </w:rPr>
        <w:t>s</w:t>
      </w:r>
      <w:r w:rsidRPr="00A32AF4">
        <w:rPr>
          <w:rFonts w:eastAsia="MS Mincho"/>
          <w:spacing w:val="-2"/>
          <w:lang w:eastAsia="ja-JP"/>
        </w:rPr>
        <w:t>, après les ajustements prévus dans le cadre des Normes comptables internationales du secteur public (normes IPSAS) de 20,8 millions de francs suisses, qu</w:t>
      </w:r>
      <w:r w:rsidR="00E2055A" w:rsidRPr="00A32AF4">
        <w:rPr>
          <w:rFonts w:eastAsia="MS Mincho"/>
          <w:spacing w:val="-2"/>
          <w:lang w:eastAsia="ja-JP"/>
        </w:rPr>
        <w:t>’</w:t>
      </w:r>
      <w:r w:rsidRPr="00A32AF4">
        <w:rPr>
          <w:rFonts w:eastAsia="MS Mincho"/>
          <w:spacing w:val="-2"/>
          <w:lang w:eastAsia="ja-JP"/>
        </w:rPr>
        <w:t>il est proposé d</w:t>
      </w:r>
      <w:r w:rsidR="00E2055A" w:rsidRPr="00A32AF4">
        <w:rPr>
          <w:rFonts w:eastAsia="MS Mincho"/>
          <w:spacing w:val="-2"/>
          <w:lang w:eastAsia="ja-JP"/>
        </w:rPr>
        <w:t>’</w:t>
      </w:r>
      <w:r w:rsidRPr="00A32AF4">
        <w:rPr>
          <w:rFonts w:eastAsia="MS Mincho"/>
          <w:spacing w:val="-2"/>
          <w:lang w:eastAsia="ja-JP"/>
        </w:rPr>
        <w:t>utiliser essentiellement afin de sécuriser le niveau des réserves.</w:t>
      </w:r>
    </w:p>
    <w:p w:rsidR="00E01F3A" w:rsidRPr="00A32AF4" w:rsidRDefault="00E01F3A" w:rsidP="00E01F3A">
      <w:pPr>
        <w:jc w:val="both"/>
        <w:rPr>
          <w:rFonts w:eastAsia="MS Mincho"/>
          <w:lang w:eastAsia="ja-JP"/>
        </w:rPr>
      </w:pPr>
    </w:p>
    <w:p w:rsidR="00E01F3A" w:rsidRPr="00A32AF4" w:rsidRDefault="00E01F3A" w:rsidP="00E01F3A">
      <w:pPr>
        <w:jc w:val="both"/>
        <w:rPr>
          <w:rFonts w:eastAsia="MS Mincho"/>
          <w:lang w:eastAsia="ja-JP"/>
        </w:rPr>
      </w:pPr>
      <w:r w:rsidRPr="00A32AF4">
        <w:rPr>
          <w:rFonts w:eastAsia="MS Mincho"/>
          <w:lang w:eastAsia="ja-JP"/>
        </w:rPr>
        <w:t>La situation financière saine de l</w:t>
      </w:r>
      <w:r w:rsidR="00E2055A" w:rsidRPr="00A32AF4">
        <w:rPr>
          <w:rFonts w:eastAsia="MS Mincho"/>
          <w:lang w:eastAsia="ja-JP"/>
        </w:rPr>
        <w:t>’</w:t>
      </w:r>
      <w:r w:rsidRPr="00A32AF4">
        <w:rPr>
          <w:rFonts w:eastAsia="MS Mincho"/>
          <w:lang w:eastAsia="ja-JP"/>
        </w:rPr>
        <w:t xml:space="preserve">Organisation ne doit pas être considérée comme allant de soi.  Elle </w:t>
      </w:r>
      <w:r w:rsidR="00EE6491" w:rsidRPr="00A32AF4">
        <w:rPr>
          <w:rFonts w:eastAsia="MS Mincho"/>
          <w:lang w:eastAsia="ja-JP"/>
        </w:rPr>
        <w:t>se fonde</w:t>
      </w:r>
      <w:r w:rsidRPr="00A32AF4">
        <w:rPr>
          <w:rFonts w:eastAsia="MS Mincho"/>
          <w:lang w:eastAsia="ja-JP"/>
        </w:rPr>
        <w:t xml:space="preserve"> sur le développement des systèmes mondiaux de propriété intellectuelle.  Alors que nous escomptons une croissance relativement rapide des systèmes de Madrid et de </w:t>
      </w:r>
      <w:r w:rsidR="00E2055A" w:rsidRPr="00A32AF4">
        <w:rPr>
          <w:rFonts w:eastAsia="MS Mincho"/>
          <w:lang w:eastAsia="ja-JP"/>
        </w:rPr>
        <w:t>La Haye</w:t>
      </w:r>
      <w:r w:rsidRPr="00A32AF4">
        <w:rPr>
          <w:rFonts w:eastAsia="MS Mincho"/>
          <w:lang w:eastAsia="ja-JP"/>
        </w:rPr>
        <w:t xml:space="preserve"> ces prochaines années, la principale source de recettes reste le système du PCT (environ 76% des recettes totales).  L</w:t>
      </w:r>
      <w:r w:rsidR="00E2055A" w:rsidRPr="00A32AF4">
        <w:rPr>
          <w:rFonts w:eastAsia="MS Mincho"/>
          <w:lang w:eastAsia="ja-JP"/>
        </w:rPr>
        <w:t>’</w:t>
      </w:r>
      <w:r w:rsidRPr="00A32AF4">
        <w:rPr>
          <w:rFonts w:eastAsia="MS Mincho"/>
          <w:lang w:eastAsia="ja-JP"/>
        </w:rPr>
        <w:t>augmentation de la demande dans le cadre du PCT est déterminée par un large éventail de facteurs, dont certains donnent à penser que l</w:t>
      </w:r>
      <w:r w:rsidR="00E2055A" w:rsidRPr="00A32AF4">
        <w:rPr>
          <w:rFonts w:eastAsia="MS Mincho"/>
          <w:lang w:eastAsia="ja-JP"/>
        </w:rPr>
        <w:t>’</w:t>
      </w:r>
      <w:r w:rsidRPr="00A32AF4">
        <w:rPr>
          <w:rFonts w:eastAsia="MS Mincho"/>
          <w:lang w:eastAsia="ja-JP"/>
        </w:rPr>
        <w:t>augmentation de la demande enregistrée récemment pourrait ne pas se poursuivre au même niveau à moyen terme.</w:t>
      </w:r>
    </w:p>
    <w:p w:rsidR="00E01F3A" w:rsidRPr="00A32AF4" w:rsidRDefault="00E01F3A" w:rsidP="00E01F3A">
      <w:pPr>
        <w:jc w:val="both"/>
        <w:rPr>
          <w:rFonts w:eastAsia="MS Mincho"/>
          <w:lang w:eastAsia="ja-JP"/>
        </w:rPr>
      </w:pPr>
    </w:p>
    <w:p w:rsidR="00E01F3A" w:rsidRPr="00A32AF4" w:rsidRDefault="00E01F3A" w:rsidP="00E01F3A">
      <w:pPr>
        <w:jc w:val="both"/>
        <w:rPr>
          <w:rFonts w:eastAsia="MS Mincho"/>
          <w:spacing w:val="-2"/>
          <w:lang w:eastAsia="ja-JP"/>
        </w:rPr>
      </w:pPr>
      <w:r w:rsidRPr="00A32AF4">
        <w:rPr>
          <w:rFonts w:eastAsia="MS Mincho"/>
          <w:spacing w:val="-2"/>
          <w:lang w:eastAsia="ja-JP"/>
        </w:rPr>
        <w:t>Parallèlement, l</w:t>
      </w:r>
      <w:r w:rsidR="00E2055A" w:rsidRPr="00A32AF4">
        <w:rPr>
          <w:rFonts w:eastAsia="MS Mincho"/>
          <w:spacing w:val="-2"/>
          <w:lang w:eastAsia="ja-JP"/>
        </w:rPr>
        <w:t>’</w:t>
      </w:r>
      <w:r w:rsidRPr="00A32AF4">
        <w:rPr>
          <w:rFonts w:eastAsia="MS Mincho"/>
          <w:spacing w:val="-2"/>
          <w:lang w:eastAsia="ja-JP"/>
        </w:rPr>
        <w:t>Organisation est confrontée à des besoins majeurs en matière d</w:t>
      </w:r>
      <w:r w:rsidR="00E2055A" w:rsidRPr="00A32AF4">
        <w:rPr>
          <w:rFonts w:eastAsia="MS Mincho"/>
          <w:spacing w:val="-2"/>
          <w:lang w:eastAsia="ja-JP"/>
        </w:rPr>
        <w:t>’</w:t>
      </w:r>
      <w:r w:rsidRPr="00A32AF4">
        <w:rPr>
          <w:rFonts w:eastAsia="MS Mincho"/>
          <w:spacing w:val="-2"/>
          <w:lang w:eastAsia="ja-JP"/>
        </w:rPr>
        <w:t>investissements dans plusieurs domaines.  Les systèmes mondiaux de protection dépendent, pour leurs recettes, de services de qualité et économiquement avantageux, fournis par l</w:t>
      </w:r>
      <w:r w:rsidR="00E2055A" w:rsidRPr="00A32AF4">
        <w:rPr>
          <w:rFonts w:eastAsia="MS Mincho"/>
          <w:spacing w:val="-2"/>
          <w:lang w:eastAsia="ja-JP"/>
        </w:rPr>
        <w:t>’</w:t>
      </w:r>
      <w:r w:rsidRPr="00A32AF4">
        <w:rPr>
          <w:rFonts w:eastAsia="MS Mincho"/>
          <w:spacing w:val="-2"/>
          <w:lang w:eastAsia="ja-JP"/>
        </w:rPr>
        <w:t>intermédiaire de plates</w:t>
      </w:r>
      <w:r w:rsidR="00EB7F54" w:rsidRPr="00A32AF4">
        <w:rPr>
          <w:rFonts w:eastAsia="MS Mincho"/>
          <w:spacing w:val="-2"/>
          <w:lang w:eastAsia="ja-JP"/>
        </w:rPr>
        <w:noBreakHyphen/>
      </w:r>
      <w:r w:rsidRPr="00A32AF4">
        <w:rPr>
          <w:rFonts w:eastAsia="MS Mincho"/>
          <w:spacing w:val="-2"/>
          <w:lang w:eastAsia="ja-JP"/>
        </w:rPr>
        <w:t>formes informatiques de pointe.  Ces plates</w:t>
      </w:r>
      <w:r w:rsidR="00EB7F54" w:rsidRPr="00A32AF4">
        <w:rPr>
          <w:rFonts w:eastAsia="MS Mincho"/>
          <w:spacing w:val="-2"/>
          <w:lang w:eastAsia="ja-JP"/>
        </w:rPr>
        <w:noBreakHyphen/>
      </w:r>
      <w:r w:rsidRPr="00A32AF4">
        <w:rPr>
          <w:rFonts w:eastAsia="MS Mincho"/>
          <w:spacing w:val="-2"/>
          <w:lang w:eastAsia="ja-JP"/>
        </w:rPr>
        <w:t>formes informatiques, qui ont permis de réaliser d</w:t>
      </w:r>
      <w:r w:rsidR="00E2055A" w:rsidRPr="00A32AF4">
        <w:rPr>
          <w:rFonts w:eastAsia="MS Mincho"/>
          <w:spacing w:val="-2"/>
          <w:lang w:eastAsia="ja-JP"/>
        </w:rPr>
        <w:t>’</w:t>
      </w:r>
      <w:r w:rsidRPr="00A32AF4">
        <w:rPr>
          <w:rFonts w:eastAsia="MS Mincho"/>
          <w:spacing w:val="-2"/>
          <w:lang w:eastAsia="ja-JP"/>
        </w:rPr>
        <w:t>importants gains de productivité et de limiter les dépenses de personnel, nécessitent d</w:t>
      </w:r>
      <w:r w:rsidR="00E2055A" w:rsidRPr="00A32AF4">
        <w:rPr>
          <w:rFonts w:eastAsia="MS Mincho"/>
          <w:spacing w:val="-2"/>
          <w:lang w:eastAsia="ja-JP"/>
        </w:rPr>
        <w:t>’</w:t>
      </w:r>
      <w:r w:rsidRPr="00A32AF4">
        <w:rPr>
          <w:rFonts w:eastAsia="MS Mincho"/>
          <w:spacing w:val="-2"/>
          <w:lang w:eastAsia="ja-JP"/>
        </w:rPr>
        <w:t>être constamment améliorées et mises à niveau.  Par ailleurs, comme toutes les autres organisations et entreprises dans le monde interconnecté d</w:t>
      </w:r>
      <w:r w:rsidR="00E2055A" w:rsidRPr="00A32AF4">
        <w:rPr>
          <w:rFonts w:eastAsia="MS Mincho"/>
          <w:spacing w:val="-2"/>
          <w:lang w:eastAsia="ja-JP"/>
        </w:rPr>
        <w:t>’</w:t>
      </w:r>
      <w:r w:rsidRPr="00A32AF4">
        <w:rPr>
          <w:rFonts w:eastAsia="MS Mincho"/>
          <w:spacing w:val="-2"/>
          <w:lang w:eastAsia="ja-JP"/>
        </w:rPr>
        <w:t>aujourd</w:t>
      </w:r>
      <w:r w:rsidR="00E2055A" w:rsidRPr="00A32AF4">
        <w:rPr>
          <w:rFonts w:eastAsia="MS Mincho"/>
          <w:spacing w:val="-2"/>
          <w:lang w:eastAsia="ja-JP"/>
        </w:rPr>
        <w:t>’</w:t>
      </w:r>
      <w:r w:rsidRPr="00A32AF4">
        <w:rPr>
          <w:rFonts w:eastAsia="MS Mincho"/>
          <w:spacing w:val="-2"/>
          <w:lang w:eastAsia="ja-JP"/>
        </w:rPr>
        <w:t>hui, l</w:t>
      </w:r>
      <w:r w:rsidR="00E2055A" w:rsidRPr="00A32AF4">
        <w:rPr>
          <w:rFonts w:eastAsia="MS Mincho"/>
          <w:spacing w:val="-2"/>
          <w:lang w:eastAsia="ja-JP"/>
        </w:rPr>
        <w:t>’</w:t>
      </w:r>
      <w:r w:rsidRPr="00A32AF4">
        <w:rPr>
          <w:rFonts w:eastAsia="MS Mincho"/>
          <w:spacing w:val="-2"/>
          <w:lang w:eastAsia="ja-JP"/>
        </w:rPr>
        <w:t>Organisation est exposée aux risques de l</w:t>
      </w:r>
      <w:r w:rsidR="00E2055A" w:rsidRPr="00A32AF4">
        <w:rPr>
          <w:rFonts w:eastAsia="MS Mincho"/>
          <w:spacing w:val="-2"/>
          <w:lang w:eastAsia="ja-JP"/>
        </w:rPr>
        <w:t>’</w:t>
      </w:r>
      <w:r w:rsidRPr="00A32AF4">
        <w:rPr>
          <w:rFonts w:eastAsia="MS Mincho"/>
          <w:spacing w:val="-2"/>
          <w:lang w:eastAsia="ja-JP"/>
        </w:rPr>
        <w:t>environnement en ligne.  En vue d</w:t>
      </w:r>
      <w:r w:rsidR="00E2055A" w:rsidRPr="00A32AF4">
        <w:rPr>
          <w:rFonts w:eastAsia="MS Mincho"/>
          <w:spacing w:val="-2"/>
          <w:lang w:eastAsia="ja-JP"/>
        </w:rPr>
        <w:t>’</w:t>
      </w:r>
      <w:r w:rsidRPr="00A32AF4">
        <w:rPr>
          <w:rFonts w:eastAsia="MS Mincho"/>
          <w:spacing w:val="-2"/>
          <w:lang w:eastAsia="ja-JP"/>
        </w:rPr>
        <w:t>atténuer ces risques, il est fondamental de réaliser des investissements majeurs dans la sécurité informatique et dans la gestion de la continuité des opérations et de la résilience de l</w:t>
      </w:r>
      <w:r w:rsidR="00E2055A" w:rsidRPr="00A32AF4">
        <w:rPr>
          <w:rFonts w:eastAsia="MS Mincho"/>
          <w:spacing w:val="-2"/>
          <w:lang w:eastAsia="ja-JP"/>
        </w:rPr>
        <w:t>’</w:t>
      </w:r>
      <w:r w:rsidRPr="00A32AF4">
        <w:rPr>
          <w:rFonts w:eastAsia="MS Mincho"/>
          <w:spacing w:val="-2"/>
          <w:lang w:eastAsia="ja-JP"/>
        </w:rPr>
        <w:t>Organisation.</w:t>
      </w:r>
    </w:p>
    <w:p w:rsidR="00E01F3A" w:rsidRPr="00A32AF4" w:rsidRDefault="00E01F3A" w:rsidP="00E01F3A">
      <w:pPr>
        <w:jc w:val="both"/>
        <w:rPr>
          <w:rFonts w:eastAsia="MS Mincho"/>
          <w:lang w:eastAsia="ja-JP"/>
        </w:rPr>
      </w:pPr>
    </w:p>
    <w:p w:rsidR="00E01F3A" w:rsidRPr="00A32AF4" w:rsidRDefault="00E01F3A" w:rsidP="00E01F3A">
      <w:pPr>
        <w:jc w:val="both"/>
        <w:rPr>
          <w:rFonts w:eastAsia="MS Mincho"/>
          <w:lang w:eastAsia="ja-JP"/>
        </w:rPr>
      </w:pPr>
      <w:r w:rsidRPr="00A32AF4">
        <w:rPr>
          <w:rFonts w:eastAsia="MS Mincho"/>
          <w:lang w:eastAsia="ja-JP"/>
        </w:rPr>
        <w:t>Nous proposons de mettre en œuvre ces investissements majeurs supplémentaires au cours du prochain exercice biennal sans pour autant procéder à une augmentation des taxes dans le cadre des systèmes mondiaux de propriété intellectuelle.  Cela s</w:t>
      </w:r>
      <w:r w:rsidR="00E2055A" w:rsidRPr="00A32AF4">
        <w:rPr>
          <w:rFonts w:eastAsia="MS Mincho"/>
          <w:lang w:eastAsia="ja-JP"/>
        </w:rPr>
        <w:t>’</w:t>
      </w:r>
      <w:r w:rsidRPr="00A32AF4">
        <w:rPr>
          <w:rFonts w:eastAsia="MS Mincho"/>
          <w:lang w:eastAsia="ja-JP"/>
        </w:rPr>
        <w:t>inscrirait dans la suite de ces sept dernières années où aucune augmentation de taxe n</w:t>
      </w:r>
      <w:r w:rsidR="00E2055A" w:rsidRPr="00A32AF4">
        <w:rPr>
          <w:rFonts w:eastAsia="MS Mincho"/>
          <w:lang w:eastAsia="ja-JP"/>
        </w:rPr>
        <w:t>’</w:t>
      </w:r>
      <w:r w:rsidRPr="00A32AF4">
        <w:rPr>
          <w:rFonts w:eastAsia="MS Mincho"/>
          <w:lang w:eastAsia="ja-JP"/>
        </w:rPr>
        <w:t>a été enregistrée.  Cette situation est, toutefois, sans précédent au regard des augmentations de taxes dans les offices nationaux et régionaux de propriété intellectuelle et le moment viendra, bien entendu, où il conviendra de procéder à une augmentation raisonnable des taxes.</w:t>
      </w:r>
    </w:p>
    <w:p w:rsidR="00E01F3A" w:rsidRPr="00A32AF4" w:rsidRDefault="00E01F3A" w:rsidP="00E01F3A">
      <w:pPr>
        <w:jc w:val="both"/>
        <w:rPr>
          <w:rFonts w:eastAsia="MS Mincho"/>
          <w:lang w:eastAsia="ja-JP"/>
        </w:rPr>
      </w:pPr>
    </w:p>
    <w:p w:rsidR="00E01F3A" w:rsidRPr="00A32AF4" w:rsidRDefault="00E01F3A" w:rsidP="00E01F3A">
      <w:pPr>
        <w:jc w:val="both"/>
        <w:rPr>
          <w:rFonts w:eastAsia="MS Mincho"/>
          <w:lang w:eastAsia="ja-JP"/>
        </w:rPr>
      </w:pPr>
      <w:r w:rsidRPr="00A32AF4">
        <w:rPr>
          <w:rFonts w:eastAsia="MS Mincho"/>
          <w:lang w:eastAsia="ja-JP"/>
        </w:rPr>
        <w:t>L</w:t>
      </w:r>
      <w:r w:rsidR="00E2055A" w:rsidRPr="00A32AF4">
        <w:rPr>
          <w:rFonts w:eastAsia="MS Mincho"/>
          <w:lang w:eastAsia="ja-JP"/>
        </w:rPr>
        <w:t>’</w:t>
      </w:r>
      <w:r w:rsidRPr="00A32AF4">
        <w:rPr>
          <w:rFonts w:eastAsia="MS Mincho"/>
          <w:lang w:eastAsia="ja-JP"/>
        </w:rPr>
        <w:t>instabilité actuelle de l</w:t>
      </w:r>
      <w:r w:rsidR="00E2055A" w:rsidRPr="00A32AF4">
        <w:rPr>
          <w:rFonts w:eastAsia="MS Mincho"/>
          <w:lang w:eastAsia="ja-JP"/>
        </w:rPr>
        <w:t>’</w:t>
      </w:r>
      <w:r w:rsidRPr="00A32AF4">
        <w:rPr>
          <w:rFonts w:eastAsia="MS Mincho"/>
          <w:lang w:eastAsia="ja-JP"/>
        </w:rPr>
        <w:t>environnement économique mondial et, plus particulièrement, l</w:t>
      </w:r>
      <w:r w:rsidR="00E2055A" w:rsidRPr="00A32AF4">
        <w:rPr>
          <w:rFonts w:eastAsia="MS Mincho"/>
          <w:lang w:eastAsia="ja-JP"/>
        </w:rPr>
        <w:t>’</w:t>
      </w:r>
      <w:r w:rsidRPr="00A32AF4">
        <w:rPr>
          <w:rFonts w:eastAsia="MS Mincho"/>
          <w:lang w:eastAsia="ja-JP"/>
        </w:rPr>
        <w:t>incidence des taux d</w:t>
      </w:r>
      <w:r w:rsidR="00E2055A" w:rsidRPr="00A32AF4">
        <w:rPr>
          <w:rFonts w:eastAsia="MS Mincho"/>
          <w:lang w:eastAsia="ja-JP"/>
        </w:rPr>
        <w:t>’</w:t>
      </w:r>
      <w:r w:rsidRPr="00A32AF4">
        <w:rPr>
          <w:rFonts w:eastAsia="MS Mincho"/>
          <w:lang w:eastAsia="ja-JP"/>
        </w:rPr>
        <w:t>intérêt négatifs, constitue un enjeu supplémentaire sur le plan financier.  Les taux d</w:t>
      </w:r>
      <w:r w:rsidR="00E2055A" w:rsidRPr="00A32AF4">
        <w:rPr>
          <w:rFonts w:eastAsia="MS Mincho"/>
          <w:lang w:eastAsia="ja-JP"/>
        </w:rPr>
        <w:t>’</w:t>
      </w:r>
      <w:r w:rsidRPr="00A32AF4">
        <w:rPr>
          <w:rFonts w:eastAsia="MS Mincho"/>
          <w:lang w:eastAsia="ja-JP"/>
        </w:rPr>
        <w:t>intérêt négatifs coïncident avec le moment où l</w:t>
      </w:r>
      <w:r w:rsidR="00E2055A" w:rsidRPr="00A32AF4">
        <w:rPr>
          <w:rFonts w:eastAsia="MS Mincho"/>
          <w:lang w:eastAsia="ja-JP"/>
        </w:rPr>
        <w:t>’</w:t>
      </w:r>
      <w:r w:rsidRPr="00A32AF4">
        <w:rPr>
          <w:rFonts w:eastAsia="MS Mincho"/>
          <w:lang w:eastAsia="ja-JP"/>
        </w:rPr>
        <w:t>Organisation est tenue de renoncer à sa source d</w:t>
      </w:r>
      <w:r w:rsidR="00E2055A" w:rsidRPr="00A32AF4">
        <w:rPr>
          <w:rFonts w:eastAsia="MS Mincho"/>
          <w:lang w:eastAsia="ja-JP"/>
        </w:rPr>
        <w:t>’</w:t>
      </w:r>
      <w:r w:rsidRPr="00A32AF4">
        <w:rPr>
          <w:rFonts w:eastAsia="MS Mincho"/>
          <w:lang w:eastAsia="ja-JP"/>
        </w:rPr>
        <w:t>investissement sécurisée traditionnelle auprès de l</w:t>
      </w:r>
      <w:r w:rsidR="00E2055A" w:rsidRPr="00A32AF4">
        <w:rPr>
          <w:rFonts w:eastAsia="MS Mincho"/>
          <w:lang w:eastAsia="ja-JP"/>
        </w:rPr>
        <w:t>’</w:t>
      </w:r>
      <w:r w:rsidRPr="00A32AF4">
        <w:rPr>
          <w:rFonts w:eastAsia="MS Mincho"/>
          <w:lang w:eastAsia="ja-JP"/>
        </w:rPr>
        <w:t>Administration fédérale des finances de la Confédération suisse.  Ces facteurs nécessiteront d</w:t>
      </w:r>
      <w:r w:rsidR="00E2055A" w:rsidRPr="00A32AF4">
        <w:rPr>
          <w:rFonts w:eastAsia="MS Mincho"/>
          <w:lang w:eastAsia="ja-JP"/>
        </w:rPr>
        <w:t>’</w:t>
      </w:r>
      <w:r w:rsidRPr="00A32AF4">
        <w:rPr>
          <w:rFonts w:eastAsia="MS Mincho"/>
          <w:lang w:eastAsia="ja-JP"/>
        </w:rPr>
        <w:t>adopter une politique prudente et responsable en matière d</w:t>
      </w:r>
      <w:r w:rsidR="00E2055A" w:rsidRPr="00A32AF4">
        <w:rPr>
          <w:rFonts w:eastAsia="MS Mincho"/>
          <w:lang w:eastAsia="ja-JP"/>
        </w:rPr>
        <w:t>’</w:t>
      </w:r>
      <w:r w:rsidRPr="00A32AF4">
        <w:rPr>
          <w:rFonts w:eastAsia="MS Mincho"/>
          <w:lang w:eastAsia="ja-JP"/>
        </w:rPr>
        <w:t>investissements afin de permettre à l</w:t>
      </w:r>
      <w:r w:rsidR="00E2055A" w:rsidRPr="00A32AF4">
        <w:rPr>
          <w:rFonts w:eastAsia="MS Mincho"/>
          <w:lang w:eastAsia="ja-JP"/>
        </w:rPr>
        <w:t>’</w:t>
      </w:r>
      <w:r w:rsidRPr="00A32AF4">
        <w:rPr>
          <w:rFonts w:eastAsia="MS Mincho"/>
          <w:lang w:eastAsia="ja-JP"/>
        </w:rPr>
        <w:t>Organisation de préserver son capital, ainsi qu</w:t>
      </w:r>
      <w:r w:rsidR="00E2055A" w:rsidRPr="00A32AF4">
        <w:rPr>
          <w:rFonts w:eastAsia="MS Mincho"/>
          <w:lang w:eastAsia="ja-JP"/>
        </w:rPr>
        <w:t>’</w:t>
      </w:r>
      <w:r w:rsidRPr="00A32AF4">
        <w:rPr>
          <w:rFonts w:eastAsia="MS Mincho"/>
          <w:lang w:eastAsia="ja-JP"/>
        </w:rPr>
        <w:t>une politique prudente en matière de couverture eu égard au risque de change découlant du système de paiement des taxes du PCT.</w:t>
      </w:r>
    </w:p>
    <w:p w:rsidR="00E01F3A" w:rsidRPr="00A32AF4" w:rsidRDefault="00E01F3A" w:rsidP="00E01F3A">
      <w:pPr>
        <w:jc w:val="both"/>
        <w:rPr>
          <w:rFonts w:eastAsia="MS Mincho"/>
          <w:lang w:eastAsia="ja-JP"/>
        </w:rPr>
      </w:pPr>
    </w:p>
    <w:p w:rsidR="00E01F3A" w:rsidRPr="00A32AF4" w:rsidRDefault="00E01F3A" w:rsidP="00E01F3A">
      <w:pPr>
        <w:jc w:val="both"/>
        <w:rPr>
          <w:rFonts w:eastAsia="MS Mincho"/>
          <w:lang w:eastAsia="ja-JP"/>
        </w:rPr>
      </w:pPr>
      <w:r w:rsidRPr="00A32AF4">
        <w:rPr>
          <w:rFonts w:eastAsia="MS Mincho"/>
          <w:lang w:eastAsia="ja-JP"/>
        </w:rPr>
        <w:t>Les principales priorités du programme pour le prochain exercice biennal sont exposées aux paragraphes 17 à 39.  Permettez</w:t>
      </w:r>
      <w:r w:rsidR="00EB7F54" w:rsidRPr="00A32AF4">
        <w:rPr>
          <w:rFonts w:eastAsia="MS Mincho"/>
          <w:lang w:eastAsia="ja-JP"/>
        </w:rPr>
        <w:noBreakHyphen/>
      </w:r>
      <w:r w:rsidRPr="00A32AF4">
        <w:rPr>
          <w:rFonts w:eastAsia="MS Mincho"/>
          <w:lang w:eastAsia="ja-JP"/>
        </w:rPr>
        <w:t>moi de formuler des observations sur quatre domaines en particulier, dans une perspective plus large que l</w:t>
      </w:r>
      <w:r w:rsidR="00E2055A" w:rsidRPr="00A32AF4">
        <w:rPr>
          <w:rFonts w:eastAsia="MS Mincho"/>
          <w:lang w:eastAsia="ja-JP"/>
        </w:rPr>
        <w:t>’</w:t>
      </w:r>
      <w:r w:rsidRPr="00A32AF4">
        <w:rPr>
          <w:rFonts w:eastAsia="MS Mincho"/>
          <w:lang w:eastAsia="ja-JP"/>
        </w:rPr>
        <w:t>exercice biennal à venir.</w:t>
      </w:r>
    </w:p>
    <w:p w:rsidR="00E01F3A" w:rsidRPr="00A32AF4" w:rsidRDefault="00E01F3A" w:rsidP="00E01F3A">
      <w:pPr>
        <w:jc w:val="both"/>
        <w:rPr>
          <w:rFonts w:eastAsia="MS Mincho"/>
          <w:lang w:eastAsia="ja-JP"/>
        </w:rPr>
      </w:pPr>
    </w:p>
    <w:p w:rsidR="00E01F3A" w:rsidRPr="00A32AF4" w:rsidRDefault="00E01F3A" w:rsidP="00E01F3A">
      <w:pPr>
        <w:jc w:val="both"/>
        <w:rPr>
          <w:rFonts w:eastAsia="MS Mincho"/>
          <w:lang w:eastAsia="ja-JP"/>
        </w:rPr>
      </w:pPr>
      <w:r w:rsidRPr="00A32AF4">
        <w:rPr>
          <w:rFonts w:eastAsia="MS Mincho"/>
          <w:lang w:eastAsia="ja-JP"/>
        </w:rPr>
        <w:t>Le premier domaine est le programme de travail de l</w:t>
      </w:r>
      <w:r w:rsidR="00E2055A" w:rsidRPr="00A32AF4">
        <w:rPr>
          <w:rFonts w:eastAsia="MS Mincho"/>
          <w:lang w:eastAsia="ja-JP"/>
        </w:rPr>
        <w:t>’</w:t>
      </w:r>
      <w:r w:rsidRPr="00A32AF4">
        <w:rPr>
          <w:rFonts w:eastAsia="MS Mincho"/>
          <w:lang w:eastAsia="ja-JP"/>
        </w:rPr>
        <w:t>Organisation en matière d</w:t>
      </w:r>
      <w:r w:rsidR="00E2055A" w:rsidRPr="00A32AF4">
        <w:rPr>
          <w:rFonts w:eastAsia="MS Mincho"/>
          <w:lang w:eastAsia="ja-JP"/>
        </w:rPr>
        <w:t>’</w:t>
      </w:r>
      <w:r w:rsidRPr="00A32AF4">
        <w:rPr>
          <w:rFonts w:eastAsia="MS Mincho"/>
          <w:lang w:eastAsia="ja-JP"/>
        </w:rPr>
        <w:t xml:space="preserve">établissement de normes (objectif stratégique I).  Les États membres ont conclu trois accords internationaux au cours des quatre dernières années, </w:t>
      </w:r>
      <w:r w:rsidR="00E2055A" w:rsidRPr="00A32AF4">
        <w:rPr>
          <w:rFonts w:eastAsia="MS Mincho"/>
          <w:lang w:eastAsia="ja-JP"/>
        </w:rPr>
        <w:t>à savoir</w:t>
      </w:r>
      <w:r w:rsidRPr="00A32AF4">
        <w:rPr>
          <w:rFonts w:eastAsia="MS Mincho"/>
          <w:lang w:eastAsia="ja-JP"/>
        </w:rPr>
        <w:t xml:space="preserve"> le Traité de Beijing sur les interprétations et exécutions audiovisuelles, le Traité de Marrakech visant à faciliter l</w:t>
      </w:r>
      <w:r w:rsidR="00E2055A" w:rsidRPr="00A32AF4">
        <w:rPr>
          <w:rFonts w:eastAsia="MS Mincho"/>
          <w:lang w:eastAsia="ja-JP"/>
        </w:rPr>
        <w:t>’</w:t>
      </w:r>
      <w:r w:rsidRPr="00A32AF4">
        <w:rPr>
          <w:rFonts w:eastAsia="MS Mincho"/>
          <w:lang w:eastAsia="ja-JP"/>
        </w:rPr>
        <w:t>accès des aveugles, des déficients visuels et des personnes ayant d</w:t>
      </w:r>
      <w:r w:rsidR="00E2055A" w:rsidRPr="00A32AF4">
        <w:rPr>
          <w:rFonts w:eastAsia="MS Mincho"/>
          <w:lang w:eastAsia="ja-JP"/>
        </w:rPr>
        <w:t>’</w:t>
      </w:r>
      <w:r w:rsidRPr="00A32AF4">
        <w:rPr>
          <w:rFonts w:eastAsia="MS Mincho"/>
          <w:lang w:eastAsia="ja-JP"/>
        </w:rPr>
        <w:t>autres difficultés de lecture des textes imprimés aux œuvres publiées et l</w:t>
      </w:r>
      <w:r w:rsidR="00E2055A" w:rsidRPr="00A32AF4">
        <w:rPr>
          <w:rFonts w:eastAsia="MS Mincho"/>
          <w:lang w:eastAsia="ja-JP"/>
        </w:rPr>
        <w:t>’</w:t>
      </w:r>
      <w:r w:rsidRPr="00A32AF4">
        <w:rPr>
          <w:rFonts w:eastAsia="MS Mincho"/>
          <w:lang w:eastAsia="ja-JP"/>
        </w:rPr>
        <w:t>Acte de Genève de l</w:t>
      </w:r>
      <w:r w:rsidR="00E2055A" w:rsidRPr="00A32AF4">
        <w:rPr>
          <w:rFonts w:eastAsia="MS Mincho"/>
          <w:lang w:eastAsia="ja-JP"/>
        </w:rPr>
        <w:t>’</w:t>
      </w:r>
      <w:r w:rsidRPr="00A32AF4">
        <w:rPr>
          <w:rFonts w:eastAsia="MS Mincho"/>
          <w:lang w:eastAsia="ja-JP"/>
        </w:rPr>
        <w:t>Arrangement de Lisbonne sur les appellations d</w:t>
      </w:r>
      <w:r w:rsidR="00E2055A" w:rsidRPr="00A32AF4">
        <w:rPr>
          <w:rFonts w:eastAsia="MS Mincho"/>
          <w:lang w:eastAsia="ja-JP"/>
        </w:rPr>
        <w:t>’</w:t>
      </w:r>
      <w:r w:rsidRPr="00A32AF4">
        <w:rPr>
          <w:rFonts w:eastAsia="MS Mincho"/>
          <w:lang w:eastAsia="ja-JP"/>
        </w:rPr>
        <w:t>origine et les indications géographiques.  L</w:t>
      </w:r>
      <w:r w:rsidR="00E2055A" w:rsidRPr="00A32AF4">
        <w:rPr>
          <w:rFonts w:eastAsia="MS Mincho"/>
          <w:lang w:eastAsia="ja-JP"/>
        </w:rPr>
        <w:t>’</w:t>
      </w:r>
      <w:r w:rsidRPr="00A32AF4">
        <w:rPr>
          <w:rFonts w:eastAsia="MS Mincho"/>
          <w:lang w:eastAsia="ja-JP"/>
        </w:rPr>
        <w:t>impact et la légitimité de ces accords dépendront de leur ratification rapide et généralisée par les États membres.  Des questions essentielles inscrites au programme de travail en matière d</w:t>
      </w:r>
      <w:r w:rsidR="00E2055A" w:rsidRPr="00A32AF4">
        <w:rPr>
          <w:rFonts w:eastAsia="MS Mincho"/>
          <w:lang w:eastAsia="ja-JP"/>
        </w:rPr>
        <w:t>’</w:t>
      </w:r>
      <w:r w:rsidRPr="00A32AF4">
        <w:rPr>
          <w:rFonts w:eastAsia="MS Mincho"/>
          <w:lang w:eastAsia="ja-JP"/>
        </w:rPr>
        <w:t>établissement de normes, dont certaines depuis très longtemps, n</w:t>
      </w:r>
      <w:r w:rsidR="00E2055A" w:rsidRPr="00A32AF4">
        <w:rPr>
          <w:rFonts w:eastAsia="MS Mincho"/>
          <w:lang w:eastAsia="ja-JP"/>
        </w:rPr>
        <w:t>’</w:t>
      </w:r>
      <w:r w:rsidRPr="00A32AF4">
        <w:rPr>
          <w:rFonts w:eastAsia="MS Mincho"/>
          <w:lang w:eastAsia="ja-JP"/>
        </w:rPr>
        <w:t>ont toujours pas été réglées.  En outre, à l</w:t>
      </w:r>
      <w:r w:rsidR="00E2055A" w:rsidRPr="00A32AF4">
        <w:rPr>
          <w:rFonts w:eastAsia="MS Mincho"/>
          <w:lang w:eastAsia="ja-JP"/>
        </w:rPr>
        <w:t>’</w:t>
      </w:r>
      <w:r w:rsidRPr="00A32AF4">
        <w:rPr>
          <w:rFonts w:eastAsia="MS Mincho"/>
          <w:lang w:eastAsia="ja-JP"/>
        </w:rPr>
        <w:t>ère de la mondialisation, dans un monde complexe qui se caractérise par des changements technologiques très rapides et fondamentaux et dans lequel la propriété intellectuelle joue un rôle de plus en plus déterminant, il est temps qu</w:t>
      </w:r>
      <w:r w:rsidR="00E2055A" w:rsidRPr="00A32AF4">
        <w:rPr>
          <w:rFonts w:eastAsia="MS Mincho"/>
          <w:lang w:eastAsia="ja-JP"/>
        </w:rPr>
        <w:t>’</w:t>
      </w:r>
      <w:r w:rsidRPr="00A32AF4">
        <w:rPr>
          <w:rFonts w:eastAsia="MS Mincho"/>
          <w:lang w:eastAsia="ja-JP"/>
        </w:rPr>
        <w:t>un débat soit lancé sur le futur programme de travail en matière d</w:t>
      </w:r>
      <w:r w:rsidR="00E2055A" w:rsidRPr="00A32AF4">
        <w:rPr>
          <w:rFonts w:eastAsia="MS Mincho"/>
          <w:lang w:eastAsia="ja-JP"/>
        </w:rPr>
        <w:t>’</w:t>
      </w:r>
      <w:r w:rsidRPr="00A32AF4">
        <w:rPr>
          <w:rFonts w:eastAsia="MS Mincho"/>
          <w:lang w:eastAsia="ja-JP"/>
        </w:rPr>
        <w:t>établissement de normes de l</w:t>
      </w:r>
      <w:r w:rsidR="00E2055A" w:rsidRPr="00A32AF4">
        <w:rPr>
          <w:rFonts w:eastAsia="MS Mincho"/>
          <w:lang w:eastAsia="ja-JP"/>
        </w:rPr>
        <w:t>’</w:t>
      </w:r>
      <w:r w:rsidRPr="00A32AF4">
        <w:rPr>
          <w:rFonts w:eastAsia="MS Mincho"/>
          <w:lang w:eastAsia="ja-JP"/>
        </w:rPr>
        <w:t>Organisation en tant qu</w:t>
      </w:r>
      <w:r w:rsidR="00E2055A" w:rsidRPr="00A32AF4">
        <w:rPr>
          <w:rFonts w:eastAsia="MS Mincho"/>
          <w:lang w:eastAsia="ja-JP"/>
        </w:rPr>
        <w:t>’</w:t>
      </w:r>
      <w:r w:rsidRPr="00A32AF4">
        <w:rPr>
          <w:rFonts w:eastAsia="MS Mincho"/>
          <w:lang w:eastAsia="ja-JP"/>
        </w:rPr>
        <w:t>instance multilatérale d</w:t>
      </w:r>
      <w:r w:rsidR="00E2055A" w:rsidRPr="00A32AF4">
        <w:rPr>
          <w:rFonts w:eastAsia="MS Mincho"/>
          <w:lang w:eastAsia="ja-JP"/>
        </w:rPr>
        <w:t>’</w:t>
      </w:r>
      <w:r w:rsidRPr="00A32AF4">
        <w:rPr>
          <w:rFonts w:eastAsia="MS Mincho"/>
          <w:lang w:eastAsia="ja-JP"/>
        </w:rPr>
        <w:t>élaboration d</w:t>
      </w:r>
      <w:r w:rsidR="00E2055A" w:rsidRPr="00A32AF4">
        <w:rPr>
          <w:rFonts w:eastAsia="MS Mincho"/>
          <w:lang w:eastAsia="ja-JP"/>
        </w:rPr>
        <w:t>’</w:t>
      </w:r>
      <w:r w:rsidRPr="00A32AF4">
        <w:rPr>
          <w:rFonts w:eastAsia="MS Mincho"/>
          <w:lang w:eastAsia="ja-JP"/>
        </w:rPr>
        <w:t>une politique internationale dans le domaine de la propriété intellectuelle.  Ces problématiques et les questions qu</w:t>
      </w:r>
      <w:r w:rsidR="00E2055A" w:rsidRPr="00A32AF4">
        <w:rPr>
          <w:rFonts w:eastAsia="MS Mincho"/>
          <w:lang w:eastAsia="ja-JP"/>
        </w:rPr>
        <w:t>’</w:t>
      </w:r>
      <w:r w:rsidRPr="00A32AF4">
        <w:rPr>
          <w:rFonts w:eastAsia="MS Mincho"/>
          <w:lang w:eastAsia="ja-JP"/>
        </w:rPr>
        <w:t xml:space="preserve">elles soulèvent sont du ressort des États membres.  Elles nécessitent de leur part un engagement en faveur du multilatéralisme, de la volonté et un consensus approprié.  Sans cela, il </w:t>
      </w:r>
      <w:r w:rsidR="00EE6491" w:rsidRPr="00A32AF4">
        <w:rPr>
          <w:rFonts w:eastAsia="MS Mincho"/>
          <w:lang w:eastAsia="ja-JP"/>
        </w:rPr>
        <w:t xml:space="preserve">ne </w:t>
      </w:r>
      <w:r w:rsidRPr="00A32AF4">
        <w:rPr>
          <w:rFonts w:eastAsia="MS Mincho"/>
          <w:lang w:eastAsia="ja-JP"/>
        </w:rPr>
        <w:t xml:space="preserve">sera possible de définir </w:t>
      </w:r>
      <w:r w:rsidR="00EE6491" w:rsidRPr="00A32AF4">
        <w:rPr>
          <w:rFonts w:eastAsia="MS Mincho"/>
          <w:lang w:eastAsia="ja-JP"/>
        </w:rPr>
        <w:t>qu</w:t>
      </w:r>
      <w:r w:rsidR="00E2055A" w:rsidRPr="00A32AF4">
        <w:rPr>
          <w:rFonts w:eastAsia="MS Mincho"/>
          <w:lang w:eastAsia="ja-JP"/>
        </w:rPr>
        <w:t>’</w:t>
      </w:r>
      <w:r w:rsidRPr="00A32AF4">
        <w:rPr>
          <w:rFonts w:eastAsia="MS Mincho"/>
          <w:lang w:eastAsia="ja-JP"/>
        </w:rPr>
        <w:t>un cadre multilatéral statique</w:t>
      </w:r>
      <w:r w:rsidR="00EE6491" w:rsidRPr="00A32AF4">
        <w:rPr>
          <w:rFonts w:eastAsia="MS Mincho"/>
          <w:lang w:eastAsia="ja-JP"/>
        </w:rPr>
        <w:t>, sans</w:t>
      </w:r>
      <w:r w:rsidRPr="00A32AF4">
        <w:rPr>
          <w:rFonts w:eastAsia="MS Mincho"/>
          <w:lang w:eastAsia="ja-JP"/>
        </w:rPr>
        <w:t xml:space="preserve"> que des progrès puissent être accomplis.</w:t>
      </w:r>
    </w:p>
    <w:p w:rsidR="00E01F3A" w:rsidRPr="00A32AF4" w:rsidRDefault="00E01F3A" w:rsidP="00E01F3A">
      <w:pPr>
        <w:jc w:val="both"/>
        <w:rPr>
          <w:rFonts w:eastAsia="MS Mincho"/>
          <w:lang w:eastAsia="ja-JP"/>
        </w:rPr>
      </w:pPr>
    </w:p>
    <w:p w:rsidR="00E01F3A" w:rsidRPr="00A32AF4" w:rsidRDefault="00E01F3A" w:rsidP="00E01F3A">
      <w:pPr>
        <w:jc w:val="both"/>
        <w:rPr>
          <w:rFonts w:eastAsia="MS Mincho"/>
          <w:lang w:eastAsia="ja-JP"/>
        </w:rPr>
      </w:pPr>
      <w:r w:rsidRPr="00A32AF4">
        <w:rPr>
          <w:rFonts w:eastAsia="MS Mincho"/>
          <w:lang w:eastAsia="ja-JP"/>
        </w:rPr>
        <w:t>Le deuxième domaine concerne les systèmes mondiaux de propriété intellectuelle de l</w:t>
      </w:r>
      <w:r w:rsidR="00E2055A" w:rsidRPr="00A32AF4">
        <w:rPr>
          <w:rFonts w:eastAsia="MS Mincho"/>
          <w:lang w:eastAsia="ja-JP"/>
        </w:rPr>
        <w:t>’</w:t>
      </w:r>
      <w:r w:rsidRPr="00A32AF4">
        <w:rPr>
          <w:rFonts w:eastAsia="MS Mincho"/>
          <w:lang w:eastAsia="ja-JP"/>
        </w:rPr>
        <w:t>Organisation (objectif stratégique II).  Ils constituent le fondement des sources de recettes de l</w:t>
      </w:r>
      <w:r w:rsidR="00E2055A" w:rsidRPr="00A32AF4">
        <w:rPr>
          <w:rFonts w:eastAsia="MS Mincho"/>
          <w:lang w:eastAsia="ja-JP"/>
        </w:rPr>
        <w:t>’</w:t>
      </w:r>
      <w:r w:rsidRPr="00A32AF4">
        <w:rPr>
          <w:rFonts w:eastAsia="MS Mincho"/>
          <w:lang w:eastAsia="ja-JP"/>
        </w:rPr>
        <w:t xml:space="preserve">Organisation, comptant pour environ 95% des recettes totales.  Le nombre de parties à ces systèmes, en particulier le système de Madrid et le système de </w:t>
      </w:r>
      <w:r w:rsidR="00E2055A" w:rsidRPr="00A32AF4">
        <w:rPr>
          <w:rFonts w:eastAsia="MS Mincho"/>
          <w:lang w:eastAsia="ja-JP"/>
        </w:rPr>
        <w:t>La Haye</w:t>
      </w:r>
      <w:r w:rsidRPr="00A32AF4">
        <w:rPr>
          <w:rFonts w:eastAsia="MS Mincho"/>
          <w:lang w:eastAsia="ja-JP"/>
        </w:rPr>
        <w:t>, enregistre une expansion géographique rapide à partir d</w:t>
      </w:r>
      <w:r w:rsidR="00E2055A" w:rsidRPr="00A32AF4">
        <w:rPr>
          <w:rFonts w:eastAsia="MS Mincho"/>
          <w:lang w:eastAsia="ja-JP"/>
        </w:rPr>
        <w:t>’</w:t>
      </w:r>
      <w:r w:rsidRPr="00A32AF4">
        <w:rPr>
          <w:rFonts w:eastAsia="MS Mincho"/>
          <w:lang w:eastAsia="ja-JP"/>
        </w:rPr>
        <w:t>une base relativement limitée (à l</w:t>
      </w:r>
      <w:r w:rsidR="00E2055A" w:rsidRPr="00A32AF4">
        <w:rPr>
          <w:rFonts w:eastAsia="MS Mincho"/>
          <w:lang w:eastAsia="ja-JP"/>
        </w:rPr>
        <w:t>’</w:t>
      </w:r>
      <w:r w:rsidRPr="00A32AF4">
        <w:rPr>
          <w:rFonts w:eastAsia="MS Mincho"/>
          <w:lang w:eastAsia="ja-JP"/>
        </w:rPr>
        <w:t>heure actuelle, 95 parties contractantes en ce qui concerne le système de Madrid et 49 parties contractantes pour ce qui est du tout dernier Acte de l</w:t>
      </w:r>
      <w:r w:rsidR="00E2055A" w:rsidRPr="00A32AF4">
        <w:rPr>
          <w:rFonts w:eastAsia="MS Mincho"/>
          <w:lang w:eastAsia="ja-JP"/>
        </w:rPr>
        <w:t>’</w:t>
      </w:r>
      <w:r w:rsidRPr="00A32AF4">
        <w:rPr>
          <w:rFonts w:eastAsia="MS Mincho"/>
          <w:lang w:eastAsia="ja-JP"/>
        </w:rPr>
        <w:t xml:space="preserve">Arrangement de </w:t>
      </w:r>
      <w:r w:rsidR="00E2055A" w:rsidRPr="00A32AF4">
        <w:rPr>
          <w:rFonts w:eastAsia="MS Mincho"/>
          <w:lang w:eastAsia="ja-JP"/>
        </w:rPr>
        <w:t>La Haye</w:t>
      </w:r>
      <w:r w:rsidRPr="00A32AF4">
        <w:rPr>
          <w:rFonts w:eastAsia="MS Mincho"/>
          <w:lang w:eastAsia="ja-JP"/>
        </w:rPr>
        <w:t>).  Il est essentiel, afin d</w:t>
      </w:r>
      <w:r w:rsidR="00E2055A" w:rsidRPr="00A32AF4">
        <w:rPr>
          <w:rFonts w:eastAsia="MS Mincho"/>
          <w:lang w:eastAsia="ja-JP"/>
        </w:rPr>
        <w:t>’</w:t>
      </w:r>
      <w:r w:rsidRPr="00A32AF4">
        <w:rPr>
          <w:rFonts w:eastAsia="MS Mincho"/>
          <w:lang w:eastAsia="ja-JP"/>
        </w:rPr>
        <w:t>assurer la légitimité et la viabilité de ces systèmes, de faire en sorte qu</w:t>
      </w:r>
      <w:r w:rsidR="00E2055A" w:rsidRPr="00A32AF4">
        <w:rPr>
          <w:rFonts w:eastAsia="MS Mincho"/>
          <w:lang w:eastAsia="ja-JP"/>
        </w:rPr>
        <w:t>’</w:t>
      </w:r>
      <w:r w:rsidRPr="00A32AF4">
        <w:rPr>
          <w:rFonts w:eastAsia="MS Mincho"/>
          <w:lang w:eastAsia="ja-JP"/>
        </w:rPr>
        <w:t>ils continuent de croître et suscitent une adhésion de plus en plus large sur le plan géographique.  Il est également fondamental qu</w:t>
      </w:r>
      <w:r w:rsidR="00E2055A" w:rsidRPr="00A32AF4">
        <w:rPr>
          <w:rFonts w:eastAsia="MS Mincho"/>
          <w:lang w:eastAsia="ja-JP"/>
        </w:rPr>
        <w:t>’</w:t>
      </w:r>
      <w:r w:rsidRPr="00A32AF4">
        <w:rPr>
          <w:rFonts w:eastAsia="MS Mincho"/>
          <w:lang w:eastAsia="ja-JP"/>
        </w:rPr>
        <w:t>ils continuent d</w:t>
      </w:r>
      <w:r w:rsidR="00E2055A" w:rsidRPr="00A32AF4">
        <w:rPr>
          <w:rFonts w:eastAsia="MS Mincho"/>
          <w:lang w:eastAsia="ja-JP"/>
        </w:rPr>
        <w:t>’</w:t>
      </w:r>
      <w:r w:rsidRPr="00A32AF4">
        <w:rPr>
          <w:rFonts w:eastAsia="MS Mincho"/>
          <w:lang w:eastAsia="ja-JP"/>
        </w:rPr>
        <w:t>être modernisés, un travail accompli par les groupes de travail établis par les États membres dans le cadre des traités respectifs.</w:t>
      </w:r>
    </w:p>
    <w:p w:rsidR="00E01F3A" w:rsidRPr="00A32AF4" w:rsidRDefault="00E01F3A" w:rsidP="00E01F3A">
      <w:pPr>
        <w:jc w:val="both"/>
        <w:rPr>
          <w:rFonts w:eastAsia="MS Mincho"/>
          <w:lang w:eastAsia="ja-JP"/>
        </w:rPr>
      </w:pPr>
    </w:p>
    <w:p w:rsidR="00E01F3A" w:rsidRPr="00A32AF4" w:rsidRDefault="00E01F3A" w:rsidP="00E01F3A">
      <w:pPr>
        <w:jc w:val="both"/>
        <w:rPr>
          <w:rFonts w:eastAsia="MS Mincho"/>
          <w:lang w:eastAsia="ja-JP"/>
        </w:rPr>
      </w:pPr>
      <w:r w:rsidRPr="00A32AF4">
        <w:rPr>
          <w:rFonts w:eastAsia="MS Mincho"/>
          <w:lang w:eastAsia="ja-JP"/>
        </w:rPr>
        <w:t>Le troisième domaine concerne le large éventail de plates</w:t>
      </w:r>
      <w:r w:rsidR="00EB7F54" w:rsidRPr="00A32AF4">
        <w:rPr>
          <w:rFonts w:eastAsia="MS Mincho"/>
          <w:lang w:eastAsia="ja-JP"/>
        </w:rPr>
        <w:noBreakHyphen/>
      </w:r>
      <w:r w:rsidRPr="00A32AF4">
        <w:rPr>
          <w:rFonts w:eastAsia="MS Mincho"/>
          <w:lang w:eastAsia="ja-JP"/>
        </w:rPr>
        <w:t>formes informatiques administrées par l</w:t>
      </w:r>
      <w:r w:rsidR="00E2055A" w:rsidRPr="00A32AF4">
        <w:rPr>
          <w:rFonts w:eastAsia="MS Mincho"/>
          <w:lang w:eastAsia="ja-JP"/>
        </w:rPr>
        <w:t>’</w:t>
      </w:r>
      <w:r w:rsidRPr="00A32AF4">
        <w:rPr>
          <w:rFonts w:eastAsia="MS Mincho"/>
          <w:lang w:eastAsia="ja-JP"/>
        </w:rPr>
        <w:t xml:space="preserve">Organisation (objectif stratégique IV), sur lesquelles repose le fonctionnement du système de la propriété intellectuelle dans le monde entier.  Des progrès considérables ont été réalisés dans ce domaine au cours des dernières années.  </w:t>
      </w:r>
      <w:proofErr w:type="gramStart"/>
      <w:r w:rsidRPr="00A32AF4">
        <w:rPr>
          <w:rFonts w:eastAsia="MS Mincho"/>
          <w:lang w:eastAsia="ja-JP"/>
        </w:rPr>
        <w:t>Avec les plates</w:t>
      </w:r>
      <w:r w:rsidR="00EB7F54" w:rsidRPr="00A32AF4">
        <w:rPr>
          <w:rFonts w:eastAsia="MS Mincho"/>
          <w:lang w:eastAsia="ja-JP"/>
        </w:rPr>
        <w:noBreakHyphen/>
      </w:r>
      <w:r w:rsidRPr="00A32AF4">
        <w:rPr>
          <w:rFonts w:eastAsia="MS Mincho"/>
          <w:lang w:eastAsia="ja-JP"/>
        </w:rPr>
        <w:t xml:space="preserve">formes informatiques du PCT, du système de Madrid et du système de </w:t>
      </w:r>
      <w:r w:rsidR="00E2055A" w:rsidRPr="00A32AF4">
        <w:rPr>
          <w:rFonts w:eastAsia="MS Mincho"/>
          <w:lang w:eastAsia="ja-JP"/>
        </w:rPr>
        <w:t>La Haye</w:t>
      </w:r>
      <w:r w:rsidRPr="00A32AF4">
        <w:rPr>
          <w:rFonts w:eastAsia="MS Mincho"/>
          <w:lang w:eastAsia="ja-JP"/>
        </w:rPr>
        <w:t>, les bases de données mondiales de propriété intellectuelle (PATENTSCOPE, Base de données mondiale sur les marques et Base de données mondiale sur les dessins et modèles) et les plates</w:t>
      </w:r>
      <w:r w:rsidR="00EB7F54" w:rsidRPr="00A32AF4">
        <w:rPr>
          <w:rFonts w:eastAsia="MS Mincho"/>
          <w:lang w:eastAsia="ja-JP"/>
        </w:rPr>
        <w:noBreakHyphen/>
      </w:r>
      <w:r w:rsidRPr="00A32AF4">
        <w:rPr>
          <w:rFonts w:eastAsia="MS Mincho"/>
          <w:lang w:eastAsia="ja-JP"/>
        </w:rPr>
        <w:t>formes telles que le Service d</w:t>
      </w:r>
      <w:r w:rsidR="00E2055A" w:rsidRPr="00A32AF4">
        <w:rPr>
          <w:rFonts w:eastAsia="MS Mincho"/>
          <w:lang w:eastAsia="ja-JP"/>
        </w:rPr>
        <w:t>’</w:t>
      </w:r>
      <w:r w:rsidRPr="00A32AF4">
        <w:rPr>
          <w:rFonts w:eastAsia="MS Mincho"/>
          <w:lang w:eastAsia="ja-JP"/>
        </w:rPr>
        <w:t>accès numérique aux documents de priorité (DAS), le WIPO CASE (système d</w:t>
      </w:r>
      <w:r w:rsidR="00E2055A" w:rsidRPr="00A32AF4">
        <w:rPr>
          <w:rFonts w:eastAsia="MS Mincho"/>
          <w:lang w:eastAsia="ja-JP"/>
        </w:rPr>
        <w:t>’</w:t>
      </w:r>
      <w:r w:rsidRPr="00A32AF4">
        <w:rPr>
          <w:rFonts w:eastAsia="MS Mincho"/>
          <w:lang w:eastAsia="ja-JP"/>
        </w:rPr>
        <w:t>accès centralisé aux informations relatives à la recherche et à l</w:t>
      </w:r>
      <w:r w:rsidR="00E2055A" w:rsidRPr="00A32AF4">
        <w:rPr>
          <w:rFonts w:eastAsia="MS Mincho"/>
          <w:lang w:eastAsia="ja-JP"/>
        </w:rPr>
        <w:t>’</w:t>
      </w:r>
      <w:r w:rsidRPr="00A32AF4">
        <w:rPr>
          <w:rFonts w:eastAsia="MS Mincho"/>
          <w:lang w:eastAsia="ja-JP"/>
        </w:rPr>
        <w:t>examen) et l</w:t>
      </w:r>
      <w:r w:rsidR="00E2055A" w:rsidRPr="00A32AF4">
        <w:rPr>
          <w:rFonts w:eastAsia="MS Mincho"/>
          <w:lang w:eastAsia="ja-JP"/>
        </w:rPr>
        <w:t>’</w:t>
      </w:r>
      <w:r w:rsidRPr="00A32AF4">
        <w:rPr>
          <w:rFonts w:eastAsia="MS Mincho"/>
          <w:lang w:eastAsia="ja-JP"/>
        </w:rPr>
        <w:t>IPAS (système d</w:t>
      </w:r>
      <w:r w:rsidR="00E2055A" w:rsidRPr="00A32AF4">
        <w:rPr>
          <w:rFonts w:eastAsia="MS Mincho"/>
          <w:lang w:eastAsia="ja-JP"/>
        </w:rPr>
        <w:t>’</w:t>
      </w:r>
      <w:r w:rsidRPr="00A32AF4">
        <w:rPr>
          <w:rFonts w:eastAsia="MS Mincho"/>
          <w:lang w:eastAsia="ja-JP"/>
        </w:rPr>
        <w:t>automatisation de la propriété industrielle), qui est utilisé dans plus de 80 pays, la plupart des éléments d</w:t>
      </w:r>
      <w:r w:rsidR="00E2055A" w:rsidRPr="00A32AF4">
        <w:rPr>
          <w:rFonts w:eastAsia="MS Mincho"/>
          <w:lang w:eastAsia="ja-JP"/>
        </w:rPr>
        <w:t>’</w:t>
      </w:r>
      <w:r w:rsidRPr="00A32AF4">
        <w:rPr>
          <w:rFonts w:eastAsia="MS Mincho"/>
          <w:lang w:eastAsia="ja-JP"/>
        </w:rPr>
        <w:t>une véritable infrastructure mondiale de propriété intellectuelle existent.</w:t>
      </w:r>
      <w:proofErr w:type="gramEnd"/>
      <w:r w:rsidRPr="00A32AF4">
        <w:rPr>
          <w:rFonts w:eastAsia="MS Mincho"/>
          <w:lang w:eastAsia="ja-JP"/>
        </w:rPr>
        <w:t xml:space="preserve">  Toutes ces plates</w:t>
      </w:r>
      <w:r w:rsidR="00EB7F54" w:rsidRPr="00A32AF4">
        <w:rPr>
          <w:rFonts w:eastAsia="MS Mincho"/>
          <w:lang w:eastAsia="ja-JP"/>
        </w:rPr>
        <w:noBreakHyphen/>
      </w:r>
      <w:r w:rsidRPr="00A32AF4">
        <w:rPr>
          <w:rFonts w:eastAsia="MS Mincho"/>
          <w:lang w:eastAsia="ja-JP"/>
        </w:rPr>
        <w:t>formes sont largement utilisées dans les pays développés comme dans les pays en développement et enregistrent une large participation des différents milieux concernés, qu</w:t>
      </w:r>
      <w:r w:rsidR="00E2055A" w:rsidRPr="00A32AF4">
        <w:rPr>
          <w:rFonts w:eastAsia="MS Mincho"/>
          <w:lang w:eastAsia="ja-JP"/>
        </w:rPr>
        <w:t>’</w:t>
      </w:r>
      <w:r w:rsidRPr="00A32AF4">
        <w:rPr>
          <w:rFonts w:eastAsia="MS Mincho"/>
          <w:lang w:eastAsia="ja-JP"/>
        </w:rPr>
        <w:t>il s</w:t>
      </w:r>
      <w:r w:rsidR="00E2055A" w:rsidRPr="00A32AF4">
        <w:rPr>
          <w:rFonts w:eastAsia="MS Mincho"/>
          <w:lang w:eastAsia="ja-JP"/>
        </w:rPr>
        <w:t>’</w:t>
      </w:r>
      <w:r w:rsidRPr="00A32AF4">
        <w:rPr>
          <w:rFonts w:eastAsia="MS Mincho"/>
          <w:lang w:eastAsia="ja-JP"/>
        </w:rPr>
        <w:t>agisse des offices de propriété intellectuelle, des entreprises, des ONG ou du grand public.  Nous espérons voir ces diverses plates</w:t>
      </w:r>
      <w:r w:rsidR="00EB7F54" w:rsidRPr="00A32AF4">
        <w:rPr>
          <w:rFonts w:eastAsia="MS Mincho"/>
          <w:lang w:eastAsia="ja-JP"/>
        </w:rPr>
        <w:noBreakHyphen/>
      </w:r>
      <w:r w:rsidRPr="00A32AF4">
        <w:rPr>
          <w:rFonts w:eastAsia="MS Mincho"/>
          <w:lang w:eastAsia="ja-JP"/>
        </w:rPr>
        <w:t>formes s</w:t>
      </w:r>
      <w:r w:rsidR="00E2055A" w:rsidRPr="00A32AF4">
        <w:rPr>
          <w:rFonts w:eastAsia="MS Mincho"/>
          <w:lang w:eastAsia="ja-JP"/>
        </w:rPr>
        <w:t>’</w:t>
      </w:r>
      <w:r w:rsidRPr="00A32AF4">
        <w:rPr>
          <w:rFonts w:eastAsia="MS Mincho"/>
          <w:lang w:eastAsia="ja-JP"/>
        </w:rPr>
        <w:t>intégrer progressivement dans le cadre d</w:t>
      </w:r>
      <w:r w:rsidR="00E2055A" w:rsidRPr="00A32AF4">
        <w:rPr>
          <w:rFonts w:eastAsia="MS Mincho"/>
          <w:lang w:eastAsia="ja-JP"/>
        </w:rPr>
        <w:t>’</w:t>
      </w:r>
      <w:r w:rsidRPr="00A32AF4">
        <w:rPr>
          <w:rFonts w:eastAsia="MS Mincho"/>
          <w:lang w:eastAsia="ja-JP"/>
        </w:rPr>
        <w:t>un système mondial de propriété intellectuelle.</w:t>
      </w:r>
    </w:p>
    <w:p w:rsidR="00E01F3A" w:rsidRPr="00A32AF4" w:rsidRDefault="00E01F3A" w:rsidP="00E01F3A">
      <w:pPr>
        <w:jc w:val="both"/>
        <w:rPr>
          <w:rFonts w:eastAsia="MS Mincho"/>
          <w:lang w:eastAsia="ja-JP"/>
        </w:rPr>
      </w:pPr>
    </w:p>
    <w:p w:rsidR="00E01F3A" w:rsidRPr="00A32AF4" w:rsidRDefault="00E01F3A" w:rsidP="00E01F3A">
      <w:pPr>
        <w:tabs>
          <w:tab w:val="left" w:pos="5529"/>
        </w:tabs>
        <w:jc w:val="both"/>
        <w:rPr>
          <w:rFonts w:eastAsia="MS Mincho"/>
          <w:spacing w:val="-2"/>
          <w:lang w:eastAsia="ja-JP"/>
        </w:rPr>
      </w:pPr>
      <w:r w:rsidRPr="00A32AF4">
        <w:rPr>
          <w:rFonts w:eastAsia="MS Mincho"/>
          <w:spacing w:val="-2"/>
          <w:lang w:eastAsia="ja-JP"/>
        </w:rPr>
        <w:t>Le dernier domaine est celui des vastes programmes mis en œuvre par l</w:t>
      </w:r>
      <w:r w:rsidR="00E2055A" w:rsidRPr="00A32AF4">
        <w:rPr>
          <w:rFonts w:eastAsia="MS Mincho"/>
          <w:spacing w:val="-2"/>
          <w:lang w:eastAsia="ja-JP"/>
        </w:rPr>
        <w:t>’</w:t>
      </w:r>
      <w:r w:rsidRPr="00A32AF4">
        <w:rPr>
          <w:rFonts w:eastAsia="MS Mincho"/>
          <w:spacing w:val="-2"/>
          <w:lang w:eastAsia="ja-JP"/>
        </w:rPr>
        <w:t>Organisation en matière de développement.  Conformément aux orientations des États membres, le développement a été pris en considération dans tous les objectifs stratégiques de fond de l</w:t>
      </w:r>
      <w:r w:rsidR="00E2055A" w:rsidRPr="00A32AF4">
        <w:rPr>
          <w:rFonts w:eastAsia="MS Mincho"/>
          <w:spacing w:val="-2"/>
          <w:lang w:eastAsia="ja-JP"/>
        </w:rPr>
        <w:t>’</w:t>
      </w:r>
      <w:r w:rsidRPr="00A32AF4">
        <w:rPr>
          <w:rFonts w:eastAsia="MS Mincho"/>
          <w:spacing w:val="-2"/>
          <w:lang w:eastAsia="ja-JP"/>
        </w:rPr>
        <w:t>Organisation.  Les programmes dédiés exclusivement au développement, notamment les bureaux régionaux, l</w:t>
      </w:r>
      <w:r w:rsidR="00E2055A" w:rsidRPr="00A32AF4">
        <w:rPr>
          <w:rFonts w:eastAsia="MS Mincho"/>
          <w:spacing w:val="-2"/>
          <w:lang w:eastAsia="ja-JP"/>
        </w:rPr>
        <w:t>’</w:t>
      </w:r>
      <w:r w:rsidRPr="00A32AF4">
        <w:rPr>
          <w:rFonts w:eastAsia="MS Mincho"/>
          <w:spacing w:val="-2"/>
          <w:lang w:eastAsia="ja-JP"/>
        </w:rPr>
        <w:t>Académie et la coordination du Plan d</w:t>
      </w:r>
      <w:r w:rsidR="00E2055A" w:rsidRPr="00A32AF4">
        <w:rPr>
          <w:rFonts w:eastAsia="MS Mincho"/>
          <w:spacing w:val="-2"/>
          <w:lang w:eastAsia="ja-JP"/>
        </w:rPr>
        <w:t>’</w:t>
      </w:r>
      <w:r w:rsidRPr="00A32AF4">
        <w:rPr>
          <w:rFonts w:eastAsia="MS Mincho"/>
          <w:spacing w:val="-2"/>
          <w:lang w:eastAsia="ja-JP"/>
        </w:rPr>
        <w:t>action pour le développement, font face à des défis croissants au regard de l</w:t>
      </w:r>
      <w:r w:rsidR="00E2055A" w:rsidRPr="00A32AF4">
        <w:rPr>
          <w:rFonts w:eastAsia="MS Mincho"/>
          <w:spacing w:val="-2"/>
          <w:lang w:eastAsia="ja-JP"/>
        </w:rPr>
        <w:t>’</w:t>
      </w:r>
      <w:r w:rsidRPr="00A32AF4">
        <w:rPr>
          <w:rFonts w:eastAsia="MS Mincho"/>
          <w:spacing w:val="-2"/>
          <w:lang w:eastAsia="ja-JP"/>
        </w:rPr>
        <w:t>augmentation de la demande de services qui découle naturellement du rôle de plus en plus en plus important joué par la propriété intellectuelle dans l</w:t>
      </w:r>
      <w:r w:rsidR="00E2055A" w:rsidRPr="00A32AF4">
        <w:rPr>
          <w:rFonts w:eastAsia="MS Mincho"/>
          <w:spacing w:val="-2"/>
          <w:lang w:eastAsia="ja-JP"/>
        </w:rPr>
        <w:t>’</w:t>
      </w:r>
      <w:r w:rsidRPr="00A32AF4">
        <w:rPr>
          <w:rFonts w:eastAsia="MS Mincho"/>
          <w:spacing w:val="-2"/>
          <w:lang w:eastAsia="ja-JP"/>
        </w:rPr>
        <w:t>économie.  Une partie de la réponse à ce défi à laquelle nous continuons à travailler réside dans une plus grande cohérence dans l</w:t>
      </w:r>
      <w:r w:rsidR="00E2055A" w:rsidRPr="00A32AF4">
        <w:rPr>
          <w:rFonts w:eastAsia="MS Mincho"/>
          <w:spacing w:val="-2"/>
          <w:lang w:eastAsia="ja-JP"/>
        </w:rPr>
        <w:t>’</w:t>
      </w:r>
      <w:r w:rsidRPr="00A32AF4">
        <w:rPr>
          <w:rFonts w:eastAsia="MS Mincho"/>
          <w:spacing w:val="-2"/>
          <w:lang w:eastAsia="ja-JP"/>
        </w:rPr>
        <w:t>attribution des responsabilités en matière de renforcement des capacités qui, à présent, s</w:t>
      </w:r>
      <w:r w:rsidR="00E2055A" w:rsidRPr="00A32AF4">
        <w:rPr>
          <w:rFonts w:eastAsia="MS Mincho"/>
          <w:spacing w:val="-2"/>
          <w:lang w:eastAsia="ja-JP"/>
        </w:rPr>
        <w:t>’</w:t>
      </w:r>
      <w:r w:rsidRPr="00A32AF4">
        <w:rPr>
          <w:rFonts w:eastAsia="MS Mincho"/>
          <w:spacing w:val="-2"/>
          <w:lang w:eastAsia="ja-JP"/>
        </w:rPr>
        <w:t>applique à l</w:t>
      </w:r>
      <w:r w:rsidR="00E2055A" w:rsidRPr="00A32AF4">
        <w:rPr>
          <w:rFonts w:eastAsia="MS Mincho"/>
          <w:spacing w:val="-2"/>
          <w:lang w:eastAsia="ja-JP"/>
        </w:rPr>
        <w:t>’</w:t>
      </w:r>
      <w:r w:rsidRPr="00A32AF4">
        <w:rPr>
          <w:rFonts w:eastAsia="MS Mincho"/>
          <w:spacing w:val="-2"/>
          <w:lang w:eastAsia="ja-JP"/>
        </w:rPr>
        <w:t>ensemble des programmes de l</w:t>
      </w:r>
      <w:r w:rsidR="00E2055A" w:rsidRPr="00A32AF4">
        <w:rPr>
          <w:rFonts w:eastAsia="MS Mincho"/>
          <w:spacing w:val="-2"/>
          <w:lang w:eastAsia="ja-JP"/>
        </w:rPr>
        <w:t>’</w:t>
      </w:r>
      <w:r w:rsidRPr="00A32AF4">
        <w:rPr>
          <w:rFonts w:eastAsia="MS Mincho"/>
          <w:spacing w:val="-2"/>
          <w:lang w:eastAsia="ja-JP"/>
        </w:rPr>
        <w:t>Organisation.</w:t>
      </w:r>
    </w:p>
    <w:p w:rsidR="00E01F3A" w:rsidRPr="00A32AF4" w:rsidRDefault="00E01F3A" w:rsidP="00E01F3A">
      <w:pPr>
        <w:jc w:val="both"/>
        <w:rPr>
          <w:rFonts w:eastAsia="MS Mincho"/>
          <w:lang w:eastAsia="ja-JP"/>
        </w:rPr>
      </w:pPr>
    </w:p>
    <w:p w:rsidR="00E01F3A" w:rsidRPr="00A32AF4" w:rsidRDefault="00E01F3A" w:rsidP="00E01F3A">
      <w:pPr>
        <w:jc w:val="both"/>
        <w:rPr>
          <w:rFonts w:eastAsia="MS Mincho"/>
          <w:lang w:eastAsia="ja-JP"/>
        </w:rPr>
      </w:pPr>
    </w:p>
    <w:p w:rsidR="00E01F3A" w:rsidRPr="00A32AF4" w:rsidRDefault="00E01F3A" w:rsidP="00E01F3A">
      <w:pPr>
        <w:ind w:left="5387" w:firstLine="567"/>
        <w:jc w:val="both"/>
        <w:rPr>
          <w:rFonts w:eastAsia="MS Mincho"/>
          <w:szCs w:val="22"/>
          <w:lang w:eastAsia="ja-JP"/>
        </w:rPr>
      </w:pPr>
      <w:r w:rsidRPr="00A32AF4">
        <w:rPr>
          <w:rFonts w:eastAsia="MS Mincho"/>
          <w:szCs w:val="22"/>
          <w:lang w:eastAsia="ja-JP"/>
        </w:rPr>
        <w:t>Le Directeur général :</w:t>
      </w:r>
    </w:p>
    <w:p w:rsidR="00E01F3A" w:rsidRPr="00A32AF4" w:rsidRDefault="00E01F3A" w:rsidP="00E01F3A">
      <w:pPr>
        <w:ind w:left="5670"/>
        <w:rPr>
          <w:rFonts w:eastAsia="MS Mincho"/>
          <w:lang w:eastAsia="ja-JP"/>
        </w:rPr>
      </w:pPr>
      <w:r w:rsidRPr="00A32AF4">
        <w:rPr>
          <w:rFonts w:ascii="Calibri" w:eastAsia="MS Mincho" w:hAnsi="Calibri"/>
          <w:noProof/>
          <w:szCs w:val="22"/>
          <w:lang w:eastAsia="fr-FR"/>
        </w:rPr>
        <w:drawing>
          <wp:inline distT="0" distB="0" distL="0" distR="0" wp14:anchorId="09B6B6D7" wp14:editId="41910B01">
            <wp:extent cx="1598295" cy="508635"/>
            <wp:effectExtent l="0" t="0" r="0" b="57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98295" cy="508635"/>
                    </a:xfrm>
                    <a:prstGeom prst="rect">
                      <a:avLst/>
                    </a:prstGeom>
                    <a:noFill/>
                    <a:ln>
                      <a:noFill/>
                    </a:ln>
                  </pic:spPr>
                </pic:pic>
              </a:graphicData>
            </a:graphic>
          </wp:inline>
        </w:drawing>
      </w:r>
    </w:p>
    <w:p w:rsidR="00E01F3A" w:rsidRPr="00A32AF4" w:rsidRDefault="00E01F3A" w:rsidP="00E01F3A">
      <w:pPr>
        <w:rPr>
          <w:rFonts w:eastAsia="MS Mincho"/>
          <w:lang w:eastAsia="ja-JP"/>
        </w:rPr>
      </w:pPr>
    </w:p>
    <w:p w:rsidR="00E01F3A" w:rsidRPr="00A32AF4" w:rsidRDefault="00E01F3A" w:rsidP="00E01F3A">
      <w:pPr>
        <w:ind w:left="5387" w:firstLine="567"/>
        <w:jc w:val="both"/>
        <w:rPr>
          <w:rFonts w:eastAsia="Calibri"/>
        </w:rPr>
      </w:pPr>
      <w:r w:rsidRPr="00A32AF4">
        <w:rPr>
          <w:rFonts w:eastAsia="Calibri"/>
        </w:rPr>
        <w:t>Francis Gurry</w:t>
      </w:r>
    </w:p>
    <w:p w:rsidR="007A1906" w:rsidRPr="00A32AF4" w:rsidRDefault="007A1906" w:rsidP="00DC0553">
      <w:pPr>
        <w:pStyle w:val="Heading1"/>
      </w:pPr>
      <w:bookmarkStart w:id="2" w:name="_Toc420062036"/>
      <w:bookmarkStart w:id="3" w:name="_Toc419283233"/>
      <w:bookmarkStart w:id="4" w:name="_Toc367350562"/>
      <w:bookmarkStart w:id="5" w:name="_Toc431555427"/>
      <w:r w:rsidRPr="00A32AF4">
        <w:t>I.</w:t>
      </w:r>
      <w:r w:rsidRPr="00A32AF4">
        <w:tab/>
      </w:r>
      <w:bookmarkEnd w:id="2"/>
      <w:bookmarkEnd w:id="3"/>
      <w:bookmarkEnd w:id="4"/>
      <w:r w:rsidRPr="00A32AF4">
        <w:t>présentation générale de la situation financière et des résultats obtenus</w:t>
      </w:r>
      <w:bookmarkEnd w:id="5"/>
    </w:p>
    <w:p w:rsidR="007A1906" w:rsidRPr="00A32AF4" w:rsidRDefault="007A1906" w:rsidP="00DC0553">
      <w:pPr>
        <w:jc w:val="both"/>
      </w:pPr>
    </w:p>
    <w:p w:rsidR="007A1906" w:rsidRPr="00A32AF4" w:rsidRDefault="007A1906" w:rsidP="00DC0553">
      <w:pPr>
        <w:jc w:val="both"/>
      </w:pPr>
    </w:p>
    <w:p w:rsidR="007A1906" w:rsidRPr="00A32AF4" w:rsidRDefault="007A1906" w:rsidP="00DC0553">
      <w:pPr>
        <w:pStyle w:val="ListParagraph"/>
        <w:numPr>
          <w:ilvl w:val="0"/>
          <w:numId w:val="72"/>
        </w:numPr>
        <w:tabs>
          <w:tab w:val="left" w:pos="567"/>
        </w:tabs>
        <w:spacing w:after="0" w:line="240" w:lineRule="auto"/>
        <w:ind w:left="0" w:firstLine="0"/>
        <w:jc w:val="both"/>
        <w:rPr>
          <w:rFonts w:ascii="Arial" w:hAnsi="Arial" w:cs="Arial"/>
        </w:rPr>
      </w:pPr>
      <w:r w:rsidRPr="00A32AF4">
        <w:rPr>
          <w:rFonts w:ascii="Arial" w:hAnsi="Arial"/>
        </w:rPr>
        <w:t>Le présent programme et budget établit la planification pour l</w:t>
      </w:r>
      <w:r w:rsidR="00E2055A" w:rsidRPr="00A32AF4">
        <w:rPr>
          <w:rFonts w:ascii="Arial" w:hAnsi="Arial"/>
        </w:rPr>
        <w:t>’</w:t>
      </w:r>
      <w:r w:rsidRPr="00A32AF4">
        <w:rPr>
          <w:rFonts w:ascii="Arial" w:hAnsi="Arial"/>
        </w:rPr>
        <w:t>exercice biennal 2016</w:t>
      </w:r>
      <w:r w:rsidR="00EB7F54" w:rsidRPr="00A32AF4">
        <w:rPr>
          <w:rFonts w:ascii="Arial" w:hAnsi="Arial"/>
        </w:rPr>
        <w:noBreakHyphen/>
      </w:r>
      <w:r w:rsidRPr="00A32AF4">
        <w:rPr>
          <w:rFonts w:ascii="Arial" w:hAnsi="Arial"/>
        </w:rPr>
        <w:t>2017, inspirée des contributions reçues des États membres.  On trouvera dans le tableau 1 ci</w:t>
      </w:r>
      <w:r w:rsidR="00EB7F54" w:rsidRPr="00A32AF4">
        <w:rPr>
          <w:rFonts w:ascii="Arial" w:hAnsi="Arial"/>
        </w:rPr>
        <w:noBreakHyphen/>
      </w:r>
      <w:r w:rsidRPr="00A32AF4">
        <w:rPr>
          <w:rFonts w:ascii="Arial" w:hAnsi="Arial"/>
        </w:rPr>
        <w:t>dessous un aperçu des principaux paramètres de planification financière pour 2016</w:t>
      </w:r>
      <w:r w:rsidR="00EB7F54" w:rsidRPr="00A32AF4">
        <w:rPr>
          <w:rFonts w:ascii="Arial" w:hAnsi="Arial"/>
        </w:rPr>
        <w:noBreakHyphen/>
      </w:r>
      <w:r w:rsidRPr="00A32AF4">
        <w:rPr>
          <w:rFonts w:ascii="Arial" w:hAnsi="Arial"/>
        </w:rPr>
        <w:t>2017.</w:t>
      </w:r>
    </w:p>
    <w:p w:rsidR="007A1906" w:rsidRPr="00A32AF4" w:rsidRDefault="007A1906" w:rsidP="00DC0553">
      <w:pPr>
        <w:jc w:val="both"/>
        <w:rPr>
          <w:rFonts w:cs="Arial"/>
          <w:bCs/>
        </w:rPr>
      </w:pPr>
    </w:p>
    <w:p w:rsidR="007A1906" w:rsidRPr="00A32AF4" w:rsidRDefault="007A1906" w:rsidP="00DC0553">
      <w:pPr>
        <w:pStyle w:val="ListParagraph"/>
        <w:numPr>
          <w:ilvl w:val="0"/>
          <w:numId w:val="72"/>
        </w:numPr>
        <w:tabs>
          <w:tab w:val="left" w:pos="567"/>
        </w:tabs>
        <w:spacing w:after="0" w:line="240" w:lineRule="auto"/>
        <w:ind w:left="0" w:firstLine="0"/>
        <w:jc w:val="both"/>
        <w:rPr>
          <w:rFonts w:ascii="Arial" w:hAnsi="Arial" w:cs="Arial"/>
          <w:bCs/>
        </w:rPr>
      </w:pPr>
      <w:r w:rsidRPr="00A32AF4">
        <w:rPr>
          <w:rFonts w:ascii="Arial" w:hAnsi="Arial" w:cs="Arial"/>
          <w:bCs/>
        </w:rPr>
        <w:t>Pour l</w:t>
      </w:r>
      <w:r w:rsidR="00E2055A" w:rsidRPr="00A32AF4">
        <w:rPr>
          <w:rFonts w:ascii="Arial" w:hAnsi="Arial" w:cs="Arial"/>
          <w:bCs/>
        </w:rPr>
        <w:t>’</w:t>
      </w:r>
      <w:r w:rsidRPr="00A32AF4">
        <w:rPr>
          <w:rFonts w:ascii="Arial" w:hAnsi="Arial" w:cs="Arial"/>
          <w:bCs/>
        </w:rPr>
        <w:t>exercice biennal 2016</w:t>
      </w:r>
      <w:r w:rsidR="00EB7F54" w:rsidRPr="00A32AF4">
        <w:rPr>
          <w:rFonts w:ascii="Arial" w:hAnsi="Arial" w:cs="Arial"/>
          <w:bCs/>
        </w:rPr>
        <w:noBreakHyphen/>
      </w:r>
      <w:r w:rsidRPr="00A32AF4">
        <w:rPr>
          <w:rFonts w:ascii="Arial" w:hAnsi="Arial" w:cs="Arial"/>
          <w:bCs/>
        </w:rPr>
        <w:t>2017, les recettes prévisionnelles sont estimées à 756,3 millions de francs suisses avec un budget de dépenses proposé de 707 millions de francs suisses.</w:t>
      </w:r>
      <w:r w:rsidRPr="00A32AF4">
        <w:rPr>
          <w:rFonts w:ascii="Arial" w:hAnsi="Arial"/>
        </w:rPr>
        <w:t xml:space="preserve">  </w:t>
      </w:r>
      <w:r w:rsidRPr="00A32AF4">
        <w:rPr>
          <w:rFonts w:ascii="Arial" w:hAnsi="Arial" w:cs="Arial"/>
          <w:bCs/>
        </w:rPr>
        <w:t>Après les ajustements des Normes comptables internationales du secteur public (normes IPSAS) estimés apportés aux recettes et aux dépenses, l</w:t>
      </w:r>
      <w:r w:rsidR="00E2055A" w:rsidRPr="00A32AF4">
        <w:rPr>
          <w:rFonts w:ascii="Arial" w:hAnsi="Arial" w:cs="Arial"/>
          <w:bCs/>
        </w:rPr>
        <w:t>’</w:t>
      </w:r>
      <w:r w:rsidRPr="00A32AF4">
        <w:rPr>
          <w:rFonts w:ascii="Arial" w:hAnsi="Arial" w:cs="Arial"/>
          <w:bCs/>
        </w:rPr>
        <w:t>excédent prévisionnel à la fin de l</w:t>
      </w:r>
      <w:r w:rsidR="00E2055A" w:rsidRPr="00A32AF4">
        <w:rPr>
          <w:rFonts w:ascii="Arial" w:hAnsi="Arial" w:cs="Arial"/>
          <w:bCs/>
        </w:rPr>
        <w:t>’</w:t>
      </w:r>
      <w:r w:rsidRPr="00A32AF4">
        <w:rPr>
          <w:rFonts w:ascii="Arial" w:hAnsi="Arial" w:cs="Arial"/>
          <w:bCs/>
        </w:rPr>
        <w:t>exercice biennal devrait s</w:t>
      </w:r>
      <w:r w:rsidR="00E2055A" w:rsidRPr="00A32AF4">
        <w:rPr>
          <w:rFonts w:ascii="Arial" w:hAnsi="Arial" w:cs="Arial"/>
          <w:bCs/>
        </w:rPr>
        <w:t>’</w:t>
      </w:r>
      <w:r w:rsidRPr="00A32AF4">
        <w:rPr>
          <w:rFonts w:ascii="Arial" w:hAnsi="Arial" w:cs="Arial"/>
          <w:bCs/>
        </w:rPr>
        <w:t>établir à environ 20,8 millions de francs suisses.</w:t>
      </w:r>
    </w:p>
    <w:p w:rsidR="007A1906" w:rsidRPr="00A32AF4" w:rsidRDefault="007A1906" w:rsidP="00DC0553">
      <w:pPr>
        <w:pStyle w:val="Body1"/>
        <w:jc w:val="center"/>
        <w:rPr>
          <w:rFonts w:ascii="Arial" w:hAnsi="Arial" w:cs="Arial"/>
          <w:color w:val="auto"/>
          <w:sz w:val="20"/>
        </w:rPr>
      </w:pPr>
    </w:p>
    <w:p w:rsidR="007A1906" w:rsidRPr="00A32AF4" w:rsidRDefault="007A1906" w:rsidP="00DC0553">
      <w:pPr>
        <w:pStyle w:val="Body1"/>
        <w:jc w:val="center"/>
        <w:rPr>
          <w:rFonts w:ascii="Arial" w:hAnsi="Arial" w:cs="Arial"/>
          <w:b/>
          <w:color w:val="auto"/>
          <w:sz w:val="20"/>
        </w:rPr>
      </w:pPr>
      <w:r w:rsidRPr="00A32AF4">
        <w:rPr>
          <w:rFonts w:ascii="Arial" w:hAnsi="Arial" w:cs="Arial"/>
          <w:b/>
          <w:color w:val="auto"/>
          <w:sz w:val="20"/>
        </w:rPr>
        <w:t>Tableau 1.</w:t>
      </w:r>
      <w:r w:rsidRPr="00A32AF4">
        <w:rPr>
          <w:rFonts w:ascii="Arial" w:hAnsi="Arial"/>
          <w:b/>
          <w:color w:val="auto"/>
          <w:sz w:val="20"/>
        </w:rPr>
        <w:t xml:space="preserve">  </w:t>
      </w:r>
      <w:r w:rsidRPr="00A32AF4">
        <w:rPr>
          <w:rFonts w:ascii="Arial" w:hAnsi="Arial" w:cs="Arial"/>
          <w:b/>
          <w:color w:val="auto"/>
          <w:sz w:val="20"/>
        </w:rPr>
        <w:t>Budget proposé pour 2016</w:t>
      </w:r>
      <w:r w:rsidR="00EB7F54" w:rsidRPr="00A32AF4">
        <w:rPr>
          <w:rFonts w:ascii="Arial" w:hAnsi="Arial" w:cs="Arial"/>
          <w:b/>
          <w:color w:val="auto"/>
          <w:sz w:val="20"/>
        </w:rPr>
        <w:noBreakHyphen/>
      </w:r>
      <w:r w:rsidRPr="00A32AF4">
        <w:rPr>
          <w:rFonts w:ascii="Arial" w:hAnsi="Arial" w:cs="Arial"/>
          <w:b/>
          <w:color w:val="auto"/>
          <w:sz w:val="20"/>
        </w:rPr>
        <w:t>2017 et principaux paramètres de planification</w:t>
      </w:r>
    </w:p>
    <w:p w:rsidR="007A1906" w:rsidRPr="00A32AF4" w:rsidRDefault="007A1906" w:rsidP="00DC0553">
      <w:pPr>
        <w:pStyle w:val="Body1"/>
        <w:jc w:val="center"/>
        <w:rPr>
          <w:rFonts w:ascii="Arial" w:hAnsi="Arial" w:cs="Arial"/>
          <w:i/>
          <w:color w:val="auto"/>
          <w:sz w:val="20"/>
        </w:rPr>
      </w:pPr>
      <w:r w:rsidRPr="00A32AF4">
        <w:rPr>
          <w:rFonts w:ascii="Arial" w:hAnsi="Arial" w:cs="Arial"/>
          <w:i/>
          <w:color w:val="auto"/>
          <w:sz w:val="20"/>
        </w:rPr>
        <w:t>(</w:t>
      </w:r>
      <w:proofErr w:type="gramStart"/>
      <w:r w:rsidRPr="00A32AF4">
        <w:rPr>
          <w:rFonts w:ascii="Arial" w:hAnsi="Arial" w:cs="Arial"/>
          <w:i/>
          <w:color w:val="auto"/>
          <w:sz w:val="20"/>
        </w:rPr>
        <w:t>en</w:t>
      </w:r>
      <w:proofErr w:type="gramEnd"/>
      <w:r w:rsidRPr="00A32AF4">
        <w:rPr>
          <w:rFonts w:ascii="Arial" w:hAnsi="Arial" w:cs="Arial"/>
          <w:i/>
          <w:color w:val="auto"/>
          <w:sz w:val="20"/>
        </w:rPr>
        <w:t xml:space="preserve"> millions de francs suisses)</w:t>
      </w:r>
    </w:p>
    <w:p w:rsidR="00F93B76" w:rsidRPr="00A32AF4" w:rsidRDefault="00F93B76" w:rsidP="00DC0553">
      <w:pPr>
        <w:pStyle w:val="Body1"/>
        <w:jc w:val="center"/>
        <w:rPr>
          <w:rFonts w:ascii="Arial" w:hAnsi="Arial" w:cs="Arial"/>
          <w:sz w:val="20"/>
        </w:rPr>
      </w:pPr>
    </w:p>
    <w:p w:rsidR="00F93B76" w:rsidRPr="00A32AF4" w:rsidRDefault="003251C6" w:rsidP="00DC0553">
      <w:pPr>
        <w:pStyle w:val="Body1"/>
        <w:jc w:val="center"/>
      </w:pPr>
      <w:r w:rsidRPr="00A32AF4">
        <w:rPr>
          <w:noProof/>
        </w:rPr>
        <w:drawing>
          <wp:inline distT="0" distB="0" distL="0" distR="0" wp14:anchorId="74600857" wp14:editId="232CEFC9">
            <wp:extent cx="4255750" cy="2363273"/>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55741" cy="2363268"/>
                    </a:xfrm>
                    <a:prstGeom prst="rect">
                      <a:avLst/>
                    </a:prstGeom>
                    <a:noFill/>
                    <a:ln>
                      <a:noFill/>
                    </a:ln>
                  </pic:spPr>
                </pic:pic>
              </a:graphicData>
            </a:graphic>
          </wp:inline>
        </w:drawing>
      </w:r>
    </w:p>
    <w:p w:rsidR="00F93B76" w:rsidRPr="00A32AF4" w:rsidRDefault="00F93B76" w:rsidP="00DC0553">
      <w:pPr>
        <w:pStyle w:val="Body1"/>
        <w:jc w:val="center"/>
        <w:rPr>
          <w:rFonts w:ascii="Arial" w:hAnsi="Arial" w:cs="Arial"/>
          <w:sz w:val="20"/>
        </w:rPr>
      </w:pPr>
    </w:p>
    <w:p w:rsidR="00F93B76" w:rsidRPr="00A32AF4" w:rsidRDefault="00F93B76" w:rsidP="00DC0553">
      <w:pPr>
        <w:pStyle w:val="Body1"/>
        <w:jc w:val="center"/>
        <w:rPr>
          <w:rFonts w:ascii="Arial" w:hAnsi="Arial" w:cs="Arial"/>
          <w:sz w:val="20"/>
        </w:rPr>
      </w:pPr>
    </w:p>
    <w:p w:rsidR="007A1906" w:rsidRPr="00A32AF4" w:rsidRDefault="007A1906" w:rsidP="00FB1F61">
      <w:pPr>
        <w:pStyle w:val="Heading3"/>
      </w:pPr>
      <w:bookmarkStart w:id="6" w:name="_Toc431555428"/>
      <w:r w:rsidRPr="00A32AF4">
        <w:t>RECETTES</w:t>
      </w:r>
      <w:bookmarkEnd w:id="6"/>
    </w:p>
    <w:p w:rsidR="007A1906" w:rsidRPr="00A32AF4" w:rsidRDefault="007A1906" w:rsidP="00DC0553">
      <w:pPr>
        <w:pStyle w:val="ListParagraph"/>
        <w:spacing w:line="240" w:lineRule="auto"/>
        <w:ind w:left="0"/>
        <w:rPr>
          <w:rFonts w:ascii="Arial" w:hAnsi="Arial" w:cs="Arial"/>
        </w:rPr>
      </w:pPr>
    </w:p>
    <w:p w:rsidR="007A1906" w:rsidRPr="00A32AF4" w:rsidRDefault="007A1906" w:rsidP="00DC0553">
      <w:pPr>
        <w:pStyle w:val="ListParagraph"/>
        <w:numPr>
          <w:ilvl w:val="0"/>
          <w:numId w:val="72"/>
        </w:numPr>
        <w:tabs>
          <w:tab w:val="left" w:pos="567"/>
        </w:tabs>
        <w:spacing w:after="0" w:line="240" w:lineRule="auto"/>
        <w:ind w:left="0" w:firstLine="0"/>
        <w:jc w:val="both"/>
        <w:rPr>
          <w:rFonts w:ascii="Arial" w:hAnsi="Arial"/>
        </w:rPr>
      </w:pPr>
      <w:r w:rsidRPr="00A32AF4">
        <w:rPr>
          <w:rFonts w:ascii="Arial" w:hAnsi="Arial"/>
        </w:rPr>
        <w:t>La demande relative aux services d</w:t>
      </w:r>
      <w:r w:rsidR="00E2055A" w:rsidRPr="00A32AF4">
        <w:rPr>
          <w:rFonts w:ascii="Arial" w:hAnsi="Arial"/>
        </w:rPr>
        <w:t>’</w:t>
      </w:r>
      <w:r w:rsidRPr="00A32AF4">
        <w:rPr>
          <w:rFonts w:ascii="Arial" w:hAnsi="Arial"/>
        </w:rPr>
        <w:t>enregistrement international de l</w:t>
      </w:r>
      <w:r w:rsidR="00E2055A" w:rsidRPr="00A32AF4">
        <w:rPr>
          <w:rFonts w:ascii="Arial" w:hAnsi="Arial"/>
        </w:rPr>
        <w:t>’</w:t>
      </w:r>
      <w:r w:rsidRPr="00A32AF4">
        <w:rPr>
          <w:rFonts w:ascii="Arial" w:hAnsi="Arial"/>
        </w:rPr>
        <w:t>Organisation devrait continuer d</w:t>
      </w:r>
      <w:r w:rsidR="00E2055A" w:rsidRPr="00A32AF4">
        <w:rPr>
          <w:rFonts w:ascii="Arial" w:hAnsi="Arial"/>
        </w:rPr>
        <w:t>’</w:t>
      </w:r>
      <w:r w:rsidRPr="00A32AF4">
        <w:rPr>
          <w:rFonts w:ascii="Arial" w:hAnsi="Arial"/>
        </w:rPr>
        <w:t>augmenter.  Les paramètres de planification du volume des enregistrements pour le budget 2016</w:t>
      </w:r>
      <w:r w:rsidR="00EB7F54" w:rsidRPr="00A32AF4">
        <w:rPr>
          <w:rFonts w:ascii="Arial" w:hAnsi="Arial"/>
        </w:rPr>
        <w:noBreakHyphen/>
      </w:r>
      <w:r w:rsidRPr="00A32AF4">
        <w:rPr>
          <w:rFonts w:ascii="Arial" w:hAnsi="Arial"/>
        </w:rPr>
        <w:t>2017 sont synthétisés dans le tableau 2.</w:t>
      </w:r>
    </w:p>
    <w:p w:rsidR="007A1906" w:rsidRPr="00A32AF4" w:rsidRDefault="007A1906" w:rsidP="00DC0553">
      <w:pPr>
        <w:tabs>
          <w:tab w:val="left" w:pos="567"/>
        </w:tabs>
        <w:jc w:val="both"/>
        <w:rPr>
          <w:rFonts w:cs="Arial"/>
          <w:bCs/>
        </w:rPr>
      </w:pPr>
    </w:p>
    <w:p w:rsidR="007A1906" w:rsidRPr="00A32AF4" w:rsidRDefault="007A1906" w:rsidP="00DC0553">
      <w:pPr>
        <w:pStyle w:val="ListParagraph"/>
        <w:numPr>
          <w:ilvl w:val="0"/>
          <w:numId w:val="72"/>
        </w:numPr>
        <w:tabs>
          <w:tab w:val="left" w:pos="567"/>
        </w:tabs>
        <w:spacing w:after="0" w:line="240" w:lineRule="auto"/>
        <w:ind w:left="0" w:firstLine="0"/>
        <w:jc w:val="both"/>
        <w:rPr>
          <w:rFonts w:ascii="Arial" w:hAnsi="Arial" w:cs="Arial"/>
          <w:bCs/>
        </w:rPr>
      </w:pPr>
      <w:r w:rsidRPr="00A32AF4">
        <w:rPr>
          <w:rFonts w:ascii="Arial" w:hAnsi="Arial"/>
        </w:rPr>
        <w:t>Les estimations pour 2016</w:t>
      </w:r>
      <w:r w:rsidR="00EB7F54" w:rsidRPr="00A32AF4">
        <w:rPr>
          <w:rFonts w:ascii="Arial" w:hAnsi="Arial"/>
        </w:rPr>
        <w:noBreakHyphen/>
      </w:r>
      <w:r w:rsidRPr="00A32AF4">
        <w:rPr>
          <w:rFonts w:ascii="Arial" w:hAnsi="Arial"/>
        </w:rPr>
        <w:t>2017 sont, comme pour l</w:t>
      </w:r>
      <w:r w:rsidR="00E2055A" w:rsidRPr="00A32AF4">
        <w:rPr>
          <w:rFonts w:ascii="Arial" w:hAnsi="Arial"/>
        </w:rPr>
        <w:t>’</w:t>
      </w:r>
      <w:r w:rsidRPr="00A32AF4">
        <w:rPr>
          <w:rFonts w:ascii="Arial" w:hAnsi="Arial"/>
        </w:rPr>
        <w:t>exercice biennal précédent, établies sur la base des prévisions du Bureau de l</w:t>
      </w:r>
      <w:r w:rsidR="00E2055A" w:rsidRPr="00A32AF4">
        <w:rPr>
          <w:rFonts w:ascii="Arial" w:hAnsi="Arial"/>
        </w:rPr>
        <w:t>’</w:t>
      </w:r>
      <w:r w:rsidRPr="00A32AF4">
        <w:rPr>
          <w:rFonts w:ascii="Arial" w:hAnsi="Arial"/>
        </w:rPr>
        <w:t>économiste en chef</w:t>
      </w:r>
      <w:r w:rsidRPr="00A32AF4">
        <w:rPr>
          <w:rStyle w:val="FootnoteReference"/>
          <w:rFonts w:ascii="Arial" w:hAnsi="Arial"/>
        </w:rPr>
        <w:footnoteReference w:id="2"/>
      </w:r>
      <w:r w:rsidRPr="00A32AF4">
        <w:rPr>
          <w:rFonts w:ascii="Arial" w:hAnsi="Arial"/>
        </w:rPr>
        <w:t>.  Les chiffres relatifs aux enregistrements figurant dans l</w:t>
      </w:r>
      <w:r w:rsidR="00E2055A" w:rsidRPr="00A32AF4">
        <w:rPr>
          <w:rFonts w:ascii="Arial" w:hAnsi="Arial"/>
        </w:rPr>
        <w:t>’</w:t>
      </w:r>
      <w:r w:rsidRPr="00A32AF4">
        <w:rPr>
          <w:rFonts w:ascii="Arial" w:hAnsi="Arial"/>
        </w:rPr>
        <w:t>hypothèse de base du Bureau de l</w:t>
      </w:r>
      <w:r w:rsidR="00E2055A" w:rsidRPr="00A32AF4">
        <w:rPr>
          <w:rFonts w:ascii="Arial" w:hAnsi="Arial"/>
        </w:rPr>
        <w:t>’</w:t>
      </w:r>
      <w:r w:rsidRPr="00A32AF4">
        <w:rPr>
          <w:rFonts w:ascii="Arial" w:hAnsi="Arial"/>
        </w:rPr>
        <w:t>économiste en chef constituent des paramètres de planification pour les systèmes d</w:t>
      </w:r>
      <w:r w:rsidR="00E2055A" w:rsidRPr="00A32AF4">
        <w:rPr>
          <w:rFonts w:ascii="Arial" w:hAnsi="Arial"/>
        </w:rPr>
        <w:t>’</w:t>
      </w:r>
      <w:r w:rsidRPr="00A32AF4">
        <w:rPr>
          <w:rFonts w:ascii="Arial" w:hAnsi="Arial"/>
        </w:rPr>
        <w:t xml:space="preserve">enregistrement du PCT et de </w:t>
      </w:r>
      <w:r w:rsidR="00E2055A" w:rsidRPr="00A32AF4">
        <w:rPr>
          <w:rFonts w:ascii="Arial" w:hAnsi="Arial"/>
        </w:rPr>
        <w:t>La Haye</w:t>
      </w:r>
      <w:r w:rsidRPr="00A32AF4">
        <w:rPr>
          <w:rFonts w:ascii="Arial" w:hAnsi="Arial"/>
        </w:rPr>
        <w:t xml:space="preserve"> pour l</w:t>
      </w:r>
      <w:r w:rsidR="00E2055A" w:rsidRPr="00A32AF4">
        <w:rPr>
          <w:rFonts w:ascii="Arial" w:hAnsi="Arial"/>
        </w:rPr>
        <w:t>’</w:t>
      </w:r>
      <w:r w:rsidRPr="00A32AF4">
        <w:rPr>
          <w:rFonts w:ascii="Arial" w:hAnsi="Arial"/>
        </w:rPr>
        <w:t>exercice biennal 2016</w:t>
      </w:r>
      <w:r w:rsidR="00EB7F54" w:rsidRPr="00A32AF4">
        <w:rPr>
          <w:rFonts w:ascii="Arial" w:hAnsi="Arial"/>
        </w:rPr>
        <w:noBreakHyphen/>
      </w:r>
      <w:r w:rsidRPr="00A32AF4">
        <w:rPr>
          <w:rFonts w:ascii="Arial" w:hAnsi="Arial"/>
        </w:rPr>
        <w:t>2017.  Les hypothèses de planification pour le système d</w:t>
      </w:r>
      <w:r w:rsidR="00E2055A" w:rsidRPr="00A32AF4">
        <w:rPr>
          <w:rFonts w:ascii="Arial" w:hAnsi="Arial"/>
        </w:rPr>
        <w:t>’</w:t>
      </w:r>
      <w:r w:rsidRPr="00A32AF4">
        <w:rPr>
          <w:rFonts w:ascii="Arial" w:hAnsi="Arial"/>
        </w:rPr>
        <w:t>enregistrement de Madrid sont légèrement en dessous de l</w:t>
      </w:r>
      <w:r w:rsidR="00E2055A" w:rsidRPr="00A32AF4">
        <w:rPr>
          <w:rFonts w:ascii="Arial" w:hAnsi="Arial"/>
        </w:rPr>
        <w:t>’</w:t>
      </w:r>
      <w:r w:rsidRPr="00A32AF4">
        <w:rPr>
          <w:rFonts w:ascii="Arial" w:hAnsi="Arial"/>
        </w:rPr>
        <w:t xml:space="preserve">hypothèse de base établie par les modèles.  </w:t>
      </w:r>
      <w:r w:rsidRPr="00A32AF4">
        <w:rPr>
          <w:rFonts w:ascii="Arial" w:hAnsi="Arial" w:cs="Arial"/>
          <w:bCs/>
        </w:rPr>
        <w:t>De multiples facteurs sont pris en considération, comme les incertitudes relatives aux volumes de demandes émanant des nouveaux membres de ces systèmes.</w:t>
      </w:r>
    </w:p>
    <w:p w:rsidR="00F93B76" w:rsidRPr="00A32AF4" w:rsidRDefault="00F93B76" w:rsidP="00DC0553"/>
    <w:p w:rsidR="00F93B76" w:rsidRPr="00A32AF4" w:rsidRDefault="00F00BFF" w:rsidP="00DC0553">
      <w:r w:rsidRPr="00A32AF4">
        <w:br w:type="page"/>
      </w:r>
    </w:p>
    <w:p w:rsidR="00F93B76" w:rsidRPr="00A32AF4" w:rsidRDefault="00D52EFC" w:rsidP="00DC0553">
      <w:pPr>
        <w:pStyle w:val="BodyText"/>
        <w:jc w:val="center"/>
        <w:rPr>
          <w:b/>
        </w:rPr>
      </w:pPr>
      <w:r w:rsidRPr="00A32AF4">
        <w:rPr>
          <w:b/>
        </w:rPr>
        <w:t>Tableau 2.  Estimations concernant la demande de services dans le cadre des systèmes du</w:t>
      </w:r>
      <w:r w:rsidR="007A1906" w:rsidRPr="00A32AF4">
        <w:rPr>
          <w:b/>
        </w:rPr>
        <w:t> </w:t>
      </w:r>
      <w:r w:rsidRPr="00A32AF4">
        <w:rPr>
          <w:b/>
        </w:rPr>
        <w:t xml:space="preserve">PCT, de Madrid et de </w:t>
      </w:r>
      <w:r w:rsidR="00E2055A" w:rsidRPr="00A32AF4">
        <w:rPr>
          <w:b/>
        </w:rPr>
        <w:t>La Haye</w:t>
      </w:r>
    </w:p>
    <w:p w:rsidR="00F93B76" w:rsidRPr="00A32AF4" w:rsidRDefault="003251C6" w:rsidP="00DC0553">
      <w:pPr>
        <w:pStyle w:val="BodyText"/>
        <w:rPr>
          <w:caps/>
        </w:rPr>
      </w:pPr>
      <w:bookmarkStart w:id="7" w:name="_Toc310950754"/>
      <w:bookmarkStart w:id="8" w:name="_Toc367350564"/>
      <w:r w:rsidRPr="00A32AF4">
        <w:rPr>
          <w:noProof/>
          <w:lang w:eastAsia="fr-FR"/>
        </w:rPr>
        <w:drawing>
          <wp:inline distT="0" distB="0" distL="0" distR="0" wp14:anchorId="0DF7C75E" wp14:editId="75A8105A">
            <wp:extent cx="5911403" cy="219951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08304" cy="2198357"/>
                    </a:xfrm>
                    <a:prstGeom prst="rect">
                      <a:avLst/>
                    </a:prstGeom>
                    <a:noFill/>
                    <a:ln>
                      <a:noFill/>
                    </a:ln>
                  </pic:spPr>
                </pic:pic>
              </a:graphicData>
            </a:graphic>
          </wp:inline>
        </w:drawing>
      </w:r>
    </w:p>
    <w:bookmarkEnd w:id="7"/>
    <w:bookmarkEnd w:id="8"/>
    <w:p w:rsidR="00F93B76" w:rsidRPr="00A32AF4" w:rsidRDefault="00F93B76" w:rsidP="00DC0553">
      <w:pPr>
        <w:jc w:val="both"/>
        <w:rPr>
          <w:rFonts w:cs="Arial"/>
        </w:rPr>
      </w:pPr>
    </w:p>
    <w:p w:rsidR="007A1906" w:rsidRPr="00A32AF4" w:rsidRDefault="007A1906" w:rsidP="00DC0553">
      <w:pPr>
        <w:pStyle w:val="ListParagraph"/>
        <w:numPr>
          <w:ilvl w:val="0"/>
          <w:numId w:val="72"/>
        </w:numPr>
        <w:tabs>
          <w:tab w:val="left" w:pos="567"/>
        </w:tabs>
        <w:spacing w:after="0" w:line="240" w:lineRule="auto"/>
        <w:ind w:left="0" w:firstLine="0"/>
        <w:jc w:val="both"/>
        <w:rPr>
          <w:rFonts w:ascii="Arial" w:hAnsi="Arial" w:cs="Arial"/>
        </w:rPr>
      </w:pPr>
      <w:r w:rsidRPr="00A32AF4">
        <w:rPr>
          <w:rFonts w:ascii="Arial" w:hAnsi="Arial" w:cs="Arial"/>
        </w:rPr>
        <w:t>Les recettes prévisionnelles globales pour 2016</w:t>
      </w:r>
      <w:r w:rsidR="00EB7F54" w:rsidRPr="00A32AF4">
        <w:rPr>
          <w:rFonts w:ascii="Arial" w:hAnsi="Arial" w:cs="Arial"/>
        </w:rPr>
        <w:noBreakHyphen/>
      </w:r>
      <w:r w:rsidRPr="00A32AF4">
        <w:rPr>
          <w:rFonts w:ascii="Arial" w:hAnsi="Arial" w:cs="Arial"/>
        </w:rPr>
        <w:t>2017, estimées à 756,3 millions de francs suisses, représentent une augmentation de 6% par rapport aux recettes prévues dans le budget 2014</w:t>
      </w:r>
      <w:r w:rsidR="00EB7F54" w:rsidRPr="00A32AF4">
        <w:rPr>
          <w:rFonts w:ascii="Arial" w:hAnsi="Arial" w:cs="Arial"/>
        </w:rPr>
        <w:noBreakHyphen/>
      </w:r>
      <w:r w:rsidRPr="00A32AF4">
        <w:rPr>
          <w:rFonts w:ascii="Arial" w:hAnsi="Arial" w:cs="Arial"/>
        </w:rPr>
        <w:t>2015.  La hausse est de 2,1% par rapport aux recettes prévisionnelles actualisées pour 2014</w:t>
      </w:r>
      <w:r w:rsidR="00EB7F54" w:rsidRPr="00A32AF4">
        <w:rPr>
          <w:rFonts w:ascii="Arial" w:hAnsi="Arial" w:cs="Arial"/>
        </w:rPr>
        <w:noBreakHyphen/>
      </w:r>
      <w:r w:rsidRPr="00A32AF4">
        <w:rPr>
          <w:rFonts w:ascii="Arial" w:hAnsi="Arial" w:cs="Arial"/>
        </w:rPr>
        <w:t>2015 (en avril 2015).</w:t>
      </w:r>
    </w:p>
    <w:p w:rsidR="00F93B76" w:rsidRPr="00A32AF4" w:rsidRDefault="00F93B76" w:rsidP="00DC0553">
      <w:pPr>
        <w:jc w:val="both"/>
        <w:rPr>
          <w:rFonts w:cs="Arial"/>
        </w:rPr>
      </w:pPr>
    </w:p>
    <w:p w:rsidR="00F93B76" w:rsidRPr="00A32AF4" w:rsidRDefault="00F93B76" w:rsidP="00DC0553">
      <w:pPr>
        <w:jc w:val="both"/>
        <w:rPr>
          <w:rFonts w:cs="Arial"/>
        </w:rPr>
      </w:pPr>
    </w:p>
    <w:p w:rsidR="00F93B76" w:rsidRPr="00A32AF4" w:rsidRDefault="00D52EFC" w:rsidP="00DC0553">
      <w:pPr>
        <w:keepNext/>
        <w:keepLines/>
        <w:jc w:val="center"/>
        <w:rPr>
          <w:rFonts w:cs="Arial"/>
          <w:b/>
        </w:rPr>
      </w:pPr>
      <w:r w:rsidRPr="00A32AF4">
        <w:rPr>
          <w:rFonts w:cs="Arial"/>
          <w:b/>
        </w:rPr>
        <w:t>Tableau 3.  Évolution des recettes de l</w:t>
      </w:r>
      <w:r w:rsidR="00E2055A" w:rsidRPr="00A32AF4">
        <w:rPr>
          <w:rFonts w:cs="Arial"/>
          <w:b/>
        </w:rPr>
        <w:t>’</w:t>
      </w:r>
      <w:r w:rsidRPr="00A32AF4">
        <w:rPr>
          <w:rFonts w:cs="Arial"/>
          <w:b/>
        </w:rPr>
        <w:t>Organisation de 2006</w:t>
      </w:r>
      <w:r w:rsidR="00EB7F54" w:rsidRPr="00A32AF4">
        <w:rPr>
          <w:rFonts w:cs="Arial"/>
          <w:b/>
        </w:rPr>
        <w:noBreakHyphen/>
      </w:r>
      <w:r w:rsidRPr="00A32AF4">
        <w:rPr>
          <w:rFonts w:cs="Arial"/>
          <w:b/>
        </w:rPr>
        <w:t>2007 à 2016</w:t>
      </w:r>
      <w:r w:rsidR="00EB7F54" w:rsidRPr="00A32AF4">
        <w:rPr>
          <w:rFonts w:cs="Arial"/>
          <w:b/>
        </w:rPr>
        <w:noBreakHyphen/>
      </w:r>
      <w:r w:rsidRPr="00A32AF4">
        <w:rPr>
          <w:rFonts w:cs="Arial"/>
          <w:b/>
        </w:rPr>
        <w:t>2017</w:t>
      </w:r>
    </w:p>
    <w:p w:rsidR="00F93B76" w:rsidRPr="00A32AF4" w:rsidRDefault="00D52EFC" w:rsidP="00DC0553">
      <w:pPr>
        <w:keepNext/>
        <w:keepLines/>
        <w:jc w:val="center"/>
        <w:rPr>
          <w:rFonts w:cs="Arial"/>
          <w:i/>
        </w:rPr>
      </w:pPr>
      <w:r w:rsidRPr="00A32AF4">
        <w:rPr>
          <w:rFonts w:cs="Arial"/>
          <w:i/>
        </w:rPr>
        <w:t>(</w:t>
      </w:r>
      <w:proofErr w:type="gramStart"/>
      <w:r w:rsidRPr="00A32AF4">
        <w:rPr>
          <w:rFonts w:cs="Arial"/>
          <w:i/>
        </w:rPr>
        <w:t>en</w:t>
      </w:r>
      <w:proofErr w:type="gramEnd"/>
      <w:r w:rsidRPr="00A32AF4">
        <w:rPr>
          <w:rFonts w:cs="Arial"/>
          <w:i/>
        </w:rPr>
        <w:t xml:space="preserve"> millions de francs suisses)</w:t>
      </w:r>
    </w:p>
    <w:p w:rsidR="00F93B76" w:rsidRPr="00A32AF4" w:rsidRDefault="00F93B76" w:rsidP="00DC0553">
      <w:pPr>
        <w:keepNext/>
        <w:keepLines/>
        <w:jc w:val="center"/>
        <w:rPr>
          <w:rFonts w:cs="Arial"/>
          <w:i/>
          <w:sz w:val="18"/>
          <w:szCs w:val="18"/>
        </w:rPr>
      </w:pPr>
    </w:p>
    <w:p w:rsidR="00F93B76" w:rsidRPr="00A32AF4" w:rsidRDefault="00B07844" w:rsidP="00DC0553">
      <w:pPr>
        <w:jc w:val="center"/>
      </w:pPr>
      <w:r w:rsidRPr="00A32AF4">
        <w:rPr>
          <w:noProof/>
          <w:lang w:eastAsia="fr-FR"/>
        </w:rPr>
        <w:drawing>
          <wp:inline distT="0" distB="0" distL="0" distR="0" wp14:anchorId="4B88372B" wp14:editId="43B94ACE">
            <wp:extent cx="5898524" cy="2834736"/>
            <wp:effectExtent l="0" t="0" r="6985"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96920" cy="2833965"/>
                    </a:xfrm>
                    <a:prstGeom prst="rect">
                      <a:avLst/>
                    </a:prstGeom>
                    <a:noFill/>
                    <a:ln>
                      <a:noFill/>
                    </a:ln>
                  </pic:spPr>
                </pic:pic>
              </a:graphicData>
            </a:graphic>
          </wp:inline>
        </w:drawing>
      </w:r>
    </w:p>
    <w:p w:rsidR="003251C6" w:rsidRPr="00A32AF4" w:rsidRDefault="003251C6" w:rsidP="00DC0553">
      <w:pPr>
        <w:shd w:val="clear" w:color="auto" w:fill="FFFFFF"/>
        <w:jc w:val="both"/>
        <w:rPr>
          <w:rFonts w:cs="Arial"/>
        </w:rPr>
      </w:pPr>
    </w:p>
    <w:p w:rsidR="007A1906" w:rsidRPr="00A32AF4" w:rsidRDefault="007A1906" w:rsidP="00DC0553">
      <w:pPr>
        <w:pStyle w:val="ListParagraph"/>
        <w:numPr>
          <w:ilvl w:val="0"/>
          <w:numId w:val="72"/>
        </w:numPr>
        <w:tabs>
          <w:tab w:val="left" w:pos="567"/>
        </w:tabs>
        <w:spacing w:after="0" w:line="240" w:lineRule="auto"/>
        <w:ind w:left="0" w:firstLine="0"/>
        <w:jc w:val="both"/>
        <w:rPr>
          <w:rFonts w:ascii="Arial" w:hAnsi="Arial" w:cs="Arial"/>
        </w:rPr>
      </w:pPr>
      <w:r w:rsidRPr="00A32AF4">
        <w:rPr>
          <w:rFonts w:ascii="Arial" w:hAnsi="Arial" w:cs="Arial"/>
        </w:rPr>
        <w:t>D</w:t>
      </w:r>
      <w:r w:rsidR="00E2055A" w:rsidRPr="00A32AF4">
        <w:rPr>
          <w:rFonts w:ascii="Arial" w:hAnsi="Arial" w:cs="Arial"/>
        </w:rPr>
        <w:t>’</w:t>
      </w:r>
      <w:r w:rsidRPr="00A32AF4">
        <w:rPr>
          <w:rFonts w:ascii="Arial" w:hAnsi="Arial" w:cs="Arial"/>
        </w:rPr>
        <w:t>après les estimations, en 2016</w:t>
      </w:r>
      <w:r w:rsidR="00EB7F54" w:rsidRPr="00A32AF4">
        <w:rPr>
          <w:rFonts w:ascii="Arial" w:hAnsi="Arial" w:cs="Arial"/>
        </w:rPr>
        <w:noBreakHyphen/>
      </w:r>
      <w:r w:rsidRPr="00A32AF4">
        <w:rPr>
          <w:rFonts w:ascii="Arial" w:hAnsi="Arial" w:cs="Arial"/>
        </w:rPr>
        <w:t>2017, les recettes devraient augmenter pour tous les systèmes d</w:t>
      </w:r>
      <w:r w:rsidR="00E2055A" w:rsidRPr="00A32AF4">
        <w:rPr>
          <w:rFonts w:ascii="Arial" w:hAnsi="Arial" w:cs="Arial"/>
        </w:rPr>
        <w:t>’</w:t>
      </w:r>
      <w:r w:rsidRPr="00A32AF4">
        <w:rPr>
          <w:rFonts w:ascii="Arial" w:hAnsi="Arial" w:cs="Arial"/>
        </w:rPr>
        <w:t>enregistrement par rapport au budget de l</w:t>
      </w:r>
      <w:r w:rsidR="00E2055A" w:rsidRPr="00A32AF4">
        <w:rPr>
          <w:rFonts w:ascii="Arial" w:hAnsi="Arial" w:cs="Arial"/>
        </w:rPr>
        <w:t>’</w:t>
      </w:r>
      <w:r w:rsidRPr="00A32AF4">
        <w:rPr>
          <w:rFonts w:ascii="Arial" w:hAnsi="Arial" w:cs="Arial"/>
        </w:rPr>
        <w:t>exercice 2014</w:t>
      </w:r>
      <w:r w:rsidR="00EB7F54" w:rsidRPr="00A32AF4">
        <w:rPr>
          <w:rFonts w:ascii="Arial" w:hAnsi="Arial" w:cs="Arial"/>
        </w:rPr>
        <w:noBreakHyphen/>
      </w:r>
      <w:r w:rsidRPr="00A32AF4">
        <w:rPr>
          <w:rFonts w:ascii="Arial" w:hAnsi="Arial" w:cs="Arial"/>
        </w:rPr>
        <w:t xml:space="preserve">2015, avec des hausses respectives de 5,5%, 12,3% et 20,3% pour les systèmes du PCT, de Madrid et de </w:t>
      </w:r>
      <w:r w:rsidR="00E2055A" w:rsidRPr="00A32AF4">
        <w:rPr>
          <w:rFonts w:ascii="Arial" w:hAnsi="Arial" w:cs="Arial"/>
        </w:rPr>
        <w:t>La Haye</w:t>
      </w:r>
      <w:r w:rsidRPr="00A32AF4">
        <w:rPr>
          <w:rStyle w:val="FootnoteReference"/>
          <w:rFonts w:ascii="Arial" w:hAnsi="Arial" w:cs="Arial"/>
        </w:rPr>
        <w:footnoteReference w:id="3"/>
      </w:r>
      <w:r w:rsidRPr="00A32AF4">
        <w:rPr>
          <w:rFonts w:ascii="Arial" w:hAnsi="Arial" w:cs="Arial"/>
        </w:rPr>
        <w:t>.</w:t>
      </w:r>
    </w:p>
    <w:p w:rsidR="007A1906" w:rsidRPr="00A32AF4" w:rsidRDefault="007A1906" w:rsidP="00DC0553">
      <w:pPr>
        <w:shd w:val="clear" w:color="auto" w:fill="FFFFFF"/>
        <w:jc w:val="both"/>
        <w:rPr>
          <w:rFonts w:cs="Arial"/>
        </w:rPr>
      </w:pPr>
    </w:p>
    <w:p w:rsidR="007A1906" w:rsidRPr="00A32AF4" w:rsidRDefault="007A1906" w:rsidP="00DC0553">
      <w:pPr>
        <w:pStyle w:val="ListParagraph"/>
        <w:numPr>
          <w:ilvl w:val="0"/>
          <w:numId w:val="72"/>
        </w:numPr>
        <w:tabs>
          <w:tab w:val="left" w:pos="567"/>
        </w:tabs>
        <w:spacing w:after="0" w:line="240" w:lineRule="auto"/>
        <w:ind w:left="0" w:firstLine="0"/>
        <w:jc w:val="both"/>
        <w:rPr>
          <w:rFonts w:ascii="Arial" w:hAnsi="Arial" w:cs="Arial"/>
          <w:bCs/>
        </w:rPr>
      </w:pPr>
      <w:r w:rsidRPr="00A32AF4">
        <w:rPr>
          <w:rFonts w:ascii="Arial" w:hAnsi="Arial" w:cs="Arial"/>
          <w:bCs/>
        </w:rPr>
        <w:t>Les recettes provenant des contributions des États membres s</w:t>
      </w:r>
      <w:r w:rsidR="00E2055A" w:rsidRPr="00A32AF4">
        <w:rPr>
          <w:rFonts w:ascii="Arial" w:hAnsi="Arial" w:cs="Arial"/>
          <w:bCs/>
        </w:rPr>
        <w:t>’</w:t>
      </w:r>
      <w:r w:rsidRPr="00A32AF4">
        <w:rPr>
          <w:rFonts w:ascii="Arial" w:hAnsi="Arial" w:cs="Arial"/>
          <w:bCs/>
        </w:rPr>
        <w:t>élèvent à 34,7 millions de francs suisses pour l</w:t>
      </w:r>
      <w:r w:rsidR="00E2055A" w:rsidRPr="00A32AF4">
        <w:rPr>
          <w:rFonts w:ascii="Arial" w:hAnsi="Arial" w:cs="Arial"/>
          <w:bCs/>
        </w:rPr>
        <w:t>’</w:t>
      </w:r>
      <w:r w:rsidRPr="00A32AF4">
        <w:rPr>
          <w:rFonts w:ascii="Arial" w:hAnsi="Arial" w:cs="Arial"/>
          <w:bCs/>
        </w:rPr>
        <w:t>exercice biennal 2016</w:t>
      </w:r>
      <w:r w:rsidR="00EB7F54" w:rsidRPr="00A32AF4">
        <w:rPr>
          <w:rFonts w:ascii="Arial" w:hAnsi="Arial" w:cs="Arial"/>
          <w:bCs/>
        </w:rPr>
        <w:noBreakHyphen/>
      </w:r>
      <w:r w:rsidRPr="00A32AF4">
        <w:rPr>
          <w:rFonts w:ascii="Arial" w:hAnsi="Arial" w:cs="Arial"/>
          <w:bCs/>
        </w:rPr>
        <w:t>2017, soit une légère diminution par rapport à l</w:t>
      </w:r>
      <w:r w:rsidR="00E2055A" w:rsidRPr="00A32AF4">
        <w:rPr>
          <w:rFonts w:ascii="Arial" w:hAnsi="Arial" w:cs="Arial"/>
          <w:bCs/>
        </w:rPr>
        <w:t>’</w:t>
      </w:r>
      <w:r w:rsidRPr="00A32AF4">
        <w:rPr>
          <w:rFonts w:ascii="Arial" w:hAnsi="Arial" w:cs="Arial"/>
          <w:bCs/>
        </w:rPr>
        <w:t>exercice 2014</w:t>
      </w:r>
      <w:r w:rsidR="00EB7F54" w:rsidRPr="00A32AF4">
        <w:rPr>
          <w:rFonts w:ascii="Arial" w:hAnsi="Arial" w:cs="Arial"/>
          <w:bCs/>
        </w:rPr>
        <w:noBreakHyphen/>
      </w:r>
      <w:r w:rsidRPr="00A32AF4">
        <w:rPr>
          <w:rFonts w:ascii="Arial" w:hAnsi="Arial" w:cs="Arial"/>
          <w:bCs/>
        </w:rPr>
        <w:t>2015.  La valeur d</w:t>
      </w:r>
      <w:r w:rsidR="00E2055A" w:rsidRPr="00A32AF4">
        <w:rPr>
          <w:rFonts w:ascii="Arial" w:hAnsi="Arial" w:cs="Arial"/>
          <w:bCs/>
        </w:rPr>
        <w:t>’</w:t>
      </w:r>
      <w:r w:rsidRPr="00A32AF4">
        <w:rPr>
          <w:rFonts w:ascii="Arial" w:hAnsi="Arial" w:cs="Arial"/>
          <w:bCs/>
        </w:rPr>
        <w:t>une unité de contribution des États membres demeure inchangée pour 2016 et 2017</w:t>
      </w:r>
      <w:r w:rsidRPr="00A32AF4">
        <w:rPr>
          <w:rStyle w:val="FootnoteReference"/>
          <w:rFonts w:ascii="Arial" w:hAnsi="Arial" w:cs="Arial"/>
          <w:bCs/>
        </w:rPr>
        <w:footnoteReference w:id="4"/>
      </w:r>
      <w:r w:rsidRPr="00A32AF4">
        <w:rPr>
          <w:rFonts w:ascii="Arial" w:hAnsi="Arial" w:cs="Arial"/>
          <w:bCs/>
        </w:rPr>
        <w:t xml:space="preserve"> par rapport à 2014 et 2015.</w:t>
      </w:r>
    </w:p>
    <w:p w:rsidR="007A1906" w:rsidRPr="00A32AF4" w:rsidRDefault="007A1906" w:rsidP="00DC0553">
      <w:pPr>
        <w:shd w:val="clear" w:color="auto" w:fill="FFFFFF"/>
        <w:jc w:val="both"/>
        <w:rPr>
          <w:rFonts w:cs="Arial"/>
        </w:rPr>
      </w:pPr>
    </w:p>
    <w:p w:rsidR="007A1906" w:rsidRPr="00A32AF4" w:rsidRDefault="007A1906" w:rsidP="008C2839">
      <w:pPr>
        <w:pStyle w:val="ListParagraph"/>
        <w:numPr>
          <w:ilvl w:val="0"/>
          <w:numId w:val="72"/>
        </w:numPr>
        <w:tabs>
          <w:tab w:val="left" w:pos="567"/>
          <w:tab w:val="left" w:pos="3261"/>
        </w:tabs>
        <w:spacing w:after="0" w:line="240" w:lineRule="auto"/>
        <w:ind w:left="0" w:firstLine="0"/>
        <w:jc w:val="both"/>
        <w:rPr>
          <w:rFonts w:ascii="Arial" w:hAnsi="Arial" w:cs="Arial"/>
        </w:rPr>
      </w:pPr>
      <w:r w:rsidRPr="00A32AF4">
        <w:rPr>
          <w:rFonts w:ascii="Arial" w:hAnsi="Arial" w:cs="Arial"/>
        </w:rPr>
        <w:t>D</w:t>
      </w:r>
      <w:r w:rsidR="00E2055A" w:rsidRPr="00A32AF4">
        <w:rPr>
          <w:rFonts w:ascii="Arial" w:hAnsi="Arial" w:cs="Arial"/>
        </w:rPr>
        <w:t>’</w:t>
      </w:r>
      <w:r w:rsidRPr="00A32AF4">
        <w:rPr>
          <w:rFonts w:ascii="Arial" w:hAnsi="Arial" w:cs="Arial"/>
        </w:rPr>
        <w:t>après les estimations, les recettes provenant d</w:t>
      </w:r>
      <w:r w:rsidR="00E2055A" w:rsidRPr="00A32AF4">
        <w:rPr>
          <w:rFonts w:ascii="Arial" w:hAnsi="Arial" w:cs="Arial"/>
        </w:rPr>
        <w:t>’</w:t>
      </w:r>
      <w:r w:rsidRPr="00A32AF4">
        <w:rPr>
          <w:rFonts w:ascii="Arial" w:hAnsi="Arial" w:cs="Arial"/>
        </w:rPr>
        <w:t>autres sources</w:t>
      </w:r>
      <w:r w:rsidRPr="00A32AF4">
        <w:rPr>
          <w:rStyle w:val="FootnoteReference"/>
          <w:rFonts w:ascii="Arial" w:hAnsi="Arial" w:cs="Arial"/>
        </w:rPr>
        <w:footnoteReference w:id="5"/>
      </w:r>
      <w:r w:rsidRPr="00A32AF4">
        <w:rPr>
          <w:rFonts w:ascii="Arial" w:hAnsi="Arial" w:cs="Arial"/>
        </w:rPr>
        <w:t xml:space="preserve"> – les services fournis par le Centre d</w:t>
      </w:r>
      <w:r w:rsidR="00E2055A" w:rsidRPr="00A32AF4">
        <w:rPr>
          <w:rFonts w:ascii="Arial" w:hAnsi="Arial" w:cs="Arial"/>
        </w:rPr>
        <w:t>’</w:t>
      </w:r>
      <w:r w:rsidRPr="00A32AF4">
        <w:rPr>
          <w:rFonts w:ascii="Arial" w:hAnsi="Arial" w:cs="Arial"/>
        </w:rPr>
        <w:t>arbitrage et de médiation, les publications et le produit des intérêts – devraient diminuer respectivement de 10,7%, 74,2% et 100% par rapport au budget 2014</w:t>
      </w:r>
      <w:r w:rsidR="00EB7F54" w:rsidRPr="00A32AF4">
        <w:rPr>
          <w:rFonts w:ascii="Arial" w:hAnsi="Arial" w:cs="Arial"/>
        </w:rPr>
        <w:noBreakHyphen/>
      </w:r>
      <w:r w:rsidRPr="00A32AF4">
        <w:rPr>
          <w:rFonts w:ascii="Arial" w:hAnsi="Arial" w:cs="Arial"/>
        </w:rPr>
        <w:t>2015.</w:t>
      </w:r>
      <w:r w:rsidRPr="00A32AF4">
        <w:rPr>
          <w:rFonts w:ascii="Arial" w:hAnsi="Arial"/>
        </w:rPr>
        <w:t xml:space="preserve"> </w:t>
      </w:r>
      <w:r w:rsidRPr="00A32AF4">
        <w:rPr>
          <w:rFonts w:ascii="Arial" w:hAnsi="Arial" w:cs="Arial"/>
        </w:rPr>
        <w:t xml:space="preserve"> Les autres recettes devraient rester stables.</w:t>
      </w:r>
    </w:p>
    <w:p w:rsidR="007A1906" w:rsidRPr="00A32AF4" w:rsidRDefault="007A1906" w:rsidP="00DC0553">
      <w:pPr>
        <w:shd w:val="clear" w:color="auto" w:fill="FFFFFF"/>
        <w:jc w:val="both"/>
        <w:rPr>
          <w:rFonts w:cs="Arial"/>
        </w:rPr>
      </w:pPr>
    </w:p>
    <w:p w:rsidR="007A1906" w:rsidRPr="00A32AF4" w:rsidRDefault="007A1906" w:rsidP="00DC0553">
      <w:pPr>
        <w:pStyle w:val="ListParagraph"/>
        <w:numPr>
          <w:ilvl w:val="0"/>
          <w:numId w:val="72"/>
        </w:numPr>
        <w:tabs>
          <w:tab w:val="left" w:pos="567"/>
        </w:tabs>
        <w:spacing w:after="0" w:line="240" w:lineRule="auto"/>
        <w:ind w:left="0" w:firstLine="0"/>
        <w:jc w:val="both"/>
        <w:rPr>
          <w:rFonts w:ascii="Arial" w:hAnsi="Arial" w:cs="Arial"/>
          <w:bCs/>
        </w:rPr>
      </w:pPr>
      <w:r w:rsidRPr="00A32AF4">
        <w:rPr>
          <w:rFonts w:ascii="Arial" w:hAnsi="Arial" w:cs="Arial"/>
          <w:bCs/>
        </w:rPr>
        <w:t>La baisse des recettes prévisionnelles provenant du Centre d</w:t>
      </w:r>
      <w:r w:rsidR="00E2055A" w:rsidRPr="00A32AF4">
        <w:rPr>
          <w:rFonts w:ascii="Arial" w:hAnsi="Arial" w:cs="Arial"/>
          <w:bCs/>
        </w:rPr>
        <w:t>’</w:t>
      </w:r>
      <w:r w:rsidRPr="00A32AF4">
        <w:rPr>
          <w:rFonts w:ascii="Arial" w:hAnsi="Arial" w:cs="Arial"/>
          <w:bCs/>
        </w:rPr>
        <w:t>arbitrage et de médiation s</w:t>
      </w:r>
      <w:r w:rsidR="00E2055A" w:rsidRPr="00A32AF4">
        <w:rPr>
          <w:rFonts w:ascii="Arial" w:hAnsi="Arial" w:cs="Arial"/>
          <w:bCs/>
        </w:rPr>
        <w:t>’</w:t>
      </w:r>
      <w:r w:rsidRPr="00A32AF4">
        <w:rPr>
          <w:rFonts w:ascii="Arial" w:hAnsi="Arial" w:cs="Arial"/>
          <w:bCs/>
        </w:rPr>
        <w:t>explique essentiellement par l</w:t>
      </w:r>
      <w:r w:rsidR="00E2055A" w:rsidRPr="00A32AF4">
        <w:rPr>
          <w:rFonts w:ascii="Arial" w:hAnsi="Arial" w:cs="Arial"/>
          <w:bCs/>
        </w:rPr>
        <w:t>’</w:t>
      </w:r>
      <w:r w:rsidRPr="00A32AF4">
        <w:rPr>
          <w:rFonts w:ascii="Arial" w:hAnsi="Arial" w:cs="Arial"/>
          <w:bCs/>
        </w:rPr>
        <w:t>impact négatif qu</w:t>
      </w:r>
      <w:r w:rsidR="00E2055A" w:rsidRPr="00A32AF4">
        <w:rPr>
          <w:rFonts w:ascii="Arial" w:hAnsi="Arial" w:cs="Arial"/>
          <w:bCs/>
        </w:rPr>
        <w:t>’</w:t>
      </w:r>
      <w:r w:rsidRPr="00A32AF4">
        <w:rPr>
          <w:rFonts w:ascii="Arial" w:hAnsi="Arial" w:cs="Arial"/>
          <w:bCs/>
        </w:rPr>
        <w:t>une concurrence accrue sur le marché pourrait avoir sur le nombre de litiges administrés par l</w:t>
      </w:r>
      <w:r w:rsidR="00E2055A" w:rsidRPr="00A32AF4">
        <w:rPr>
          <w:rFonts w:ascii="Arial" w:hAnsi="Arial" w:cs="Arial"/>
          <w:bCs/>
        </w:rPr>
        <w:t>’</w:t>
      </w:r>
      <w:r w:rsidRPr="00A32AF4">
        <w:rPr>
          <w:rFonts w:ascii="Arial" w:hAnsi="Arial" w:cs="Arial"/>
          <w:bCs/>
        </w:rPr>
        <w:t>OMPI en vertu des principes UDRP.</w:t>
      </w:r>
      <w:r w:rsidRPr="00A32AF4">
        <w:rPr>
          <w:rFonts w:ascii="Arial" w:hAnsi="Arial"/>
        </w:rPr>
        <w:t xml:space="preserve">  </w:t>
      </w:r>
      <w:r w:rsidRPr="00A32AF4">
        <w:rPr>
          <w:rFonts w:ascii="Arial" w:hAnsi="Arial" w:cs="Arial"/>
          <w:bCs/>
        </w:rPr>
        <w:t>Les recettes provenant de la vente de publications devraient diminuer avec la nouvelle politique en matière de diffusion des données qui mettra les publications de l</w:t>
      </w:r>
      <w:r w:rsidR="00E2055A" w:rsidRPr="00A32AF4">
        <w:rPr>
          <w:rFonts w:ascii="Arial" w:hAnsi="Arial" w:cs="Arial"/>
          <w:bCs/>
        </w:rPr>
        <w:t>’</w:t>
      </w:r>
      <w:r w:rsidRPr="00A32AF4">
        <w:rPr>
          <w:rFonts w:ascii="Arial" w:hAnsi="Arial" w:cs="Arial"/>
          <w:bCs/>
        </w:rPr>
        <w:t>OMPI à la disposition du grand public pour un coût modique ou gratuitement.</w:t>
      </w:r>
      <w:r w:rsidRPr="00A32AF4">
        <w:rPr>
          <w:rFonts w:ascii="Arial" w:hAnsi="Arial"/>
        </w:rPr>
        <w:t xml:space="preserve">  </w:t>
      </w:r>
      <w:r w:rsidRPr="00A32AF4">
        <w:rPr>
          <w:rFonts w:ascii="Arial" w:hAnsi="Arial" w:cs="Arial"/>
          <w:bCs/>
        </w:rPr>
        <w:t>Les taux d</w:t>
      </w:r>
      <w:r w:rsidR="00E2055A" w:rsidRPr="00A32AF4">
        <w:rPr>
          <w:rFonts w:ascii="Arial" w:hAnsi="Arial" w:cs="Arial"/>
          <w:bCs/>
        </w:rPr>
        <w:t>’</w:t>
      </w:r>
      <w:r w:rsidRPr="00A32AF4">
        <w:rPr>
          <w:rFonts w:ascii="Arial" w:hAnsi="Arial" w:cs="Arial"/>
          <w:bCs/>
        </w:rPr>
        <w:t>intérêt négatifs appliqués aux dépôts en francs suisses pourraient ramener à zéro le produit des intérêts de l</w:t>
      </w:r>
      <w:r w:rsidR="00E2055A" w:rsidRPr="00A32AF4">
        <w:rPr>
          <w:rFonts w:ascii="Arial" w:hAnsi="Arial" w:cs="Arial"/>
          <w:bCs/>
        </w:rPr>
        <w:t>’</w:t>
      </w:r>
      <w:r w:rsidRPr="00A32AF4">
        <w:rPr>
          <w:rFonts w:ascii="Arial" w:hAnsi="Arial" w:cs="Arial"/>
          <w:bCs/>
        </w:rPr>
        <w:t>OMPI.</w:t>
      </w:r>
      <w:r w:rsidRPr="00A32AF4">
        <w:rPr>
          <w:rFonts w:ascii="Arial" w:hAnsi="Arial"/>
        </w:rPr>
        <w:t xml:space="preserve">  </w:t>
      </w:r>
      <w:r w:rsidRPr="00A32AF4">
        <w:rPr>
          <w:rFonts w:ascii="Arial" w:hAnsi="Arial" w:cs="Arial"/>
          <w:bCs/>
        </w:rPr>
        <w:t>Les autres recettes prévues pour le prochain exercice biennal restent au même niveau que dans le budget 2014</w:t>
      </w:r>
      <w:r w:rsidR="00EB7F54" w:rsidRPr="00A32AF4">
        <w:rPr>
          <w:rFonts w:ascii="Arial" w:hAnsi="Arial" w:cs="Arial"/>
          <w:bCs/>
        </w:rPr>
        <w:noBreakHyphen/>
      </w:r>
      <w:r w:rsidRPr="00A32AF4">
        <w:rPr>
          <w:rFonts w:ascii="Arial" w:hAnsi="Arial" w:cs="Arial"/>
          <w:bCs/>
        </w:rPr>
        <w:t>2015 approuvé.</w:t>
      </w:r>
    </w:p>
    <w:p w:rsidR="007A1906" w:rsidRPr="00A32AF4" w:rsidRDefault="007A1906" w:rsidP="00DC0553">
      <w:pPr>
        <w:jc w:val="both"/>
        <w:rPr>
          <w:rFonts w:cs="Arial"/>
          <w:bCs/>
        </w:rPr>
      </w:pPr>
    </w:p>
    <w:p w:rsidR="007A1906" w:rsidRPr="00A32AF4" w:rsidRDefault="007A1906" w:rsidP="00DC0553">
      <w:pPr>
        <w:pStyle w:val="ListParagraph"/>
        <w:numPr>
          <w:ilvl w:val="0"/>
          <w:numId w:val="72"/>
        </w:numPr>
        <w:tabs>
          <w:tab w:val="left" w:pos="567"/>
        </w:tabs>
        <w:spacing w:after="0" w:line="240" w:lineRule="auto"/>
        <w:ind w:left="0" w:firstLine="0"/>
        <w:jc w:val="both"/>
        <w:rPr>
          <w:rFonts w:ascii="Arial" w:hAnsi="Arial" w:cs="Arial"/>
          <w:bCs/>
        </w:rPr>
      </w:pPr>
      <w:r w:rsidRPr="00A32AF4">
        <w:rPr>
          <w:rFonts w:ascii="Arial" w:hAnsi="Arial" w:cs="Arial"/>
          <w:bCs/>
        </w:rPr>
        <w:t>Le niveau global des recettes a continué d</w:t>
      </w:r>
      <w:r w:rsidR="00E2055A" w:rsidRPr="00A32AF4">
        <w:rPr>
          <w:rFonts w:ascii="Arial" w:hAnsi="Arial" w:cs="Arial"/>
          <w:bCs/>
        </w:rPr>
        <w:t>’</w:t>
      </w:r>
      <w:r w:rsidRPr="00A32AF4">
        <w:rPr>
          <w:rFonts w:ascii="Arial" w:hAnsi="Arial" w:cs="Arial"/>
          <w:bCs/>
        </w:rPr>
        <w:t>augmenter de manière constante au cours des 10 dernières années, ainsi qu</w:t>
      </w:r>
      <w:r w:rsidR="00E2055A" w:rsidRPr="00A32AF4">
        <w:rPr>
          <w:rFonts w:ascii="Arial" w:hAnsi="Arial" w:cs="Arial"/>
          <w:bCs/>
        </w:rPr>
        <w:t>’</w:t>
      </w:r>
      <w:r w:rsidRPr="00A32AF4">
        <w:rPr>
          <w:rFonts w:ascii="Arial" w:hAnsi="Arial" w:cs="Arial"/>
          <w:bCs/>
        </w:rPr>
        <w:t>il ressort du diagramme 1 ci</w:t>
      </w:r>
      <w:r w:rsidR="00EB7F54" w:rsidRPr="00A32AF4">
        <w:rPr>
          <w:rFonts w:ascii="Arial" w:hAnsi="Arial" w:cs="Arial"/>
          <w:bCs/>
        </w:rPr>
        <w:noBreakHyphen/>
      </w:r>
      <w:r w:rsidRPr="00A32AF4">
        <w:rPr>
          <w:rFonts w:ascii="Arial" w:hAnsi="Arial" w:cs="Arial"/>
          <w:bCs/>
        </w:rPr>
        <w:t>dessous.</w:t>
      </w:r>
    </w:p>
    <w:p w:rsidR="00F93B76" w:rsidRPr="00A32AF4" w:rsidRDefault="00F93B76" w:rsidP="00DC0553">
      <w:pPr>
        <w:jc w:val="both"/>
        <w:rPr>
          <w:rFonts w:cs="Arial"/>
          <w:bCs/>
        </w:rPr>
      </w:pPr>
    </w:p>
    <w:p w:rsidR="00F93B76" w:rsidRPr="00A32AF4" w:rsidRDefault="00F93B76" w:rsidP="00DC0553">
      <w:pPr>
        <w:jc w:val="center"/>
      </w:pPr>
    </w:p>
    <w:p w:rsidR="00F93B76" w:rsidRPr="00A32AF4" w:rsidRDefault="00D52EFC" w:rsidP="00DC0553">
      <w:pPr>
        <w:keepNext/>
        <w:keepLines/>
        <w:jc w:val="center"/>
        <w:rPr>
          <w:rFonts w:cs="Arial"/>
          <w:b/>
          <w:szCs w:val="16"/>
        </w:rPr>
      </w:pPr>
      <w:r w:rsidRPr="00A32AF4">
        <w:rPr>
          <w:rFonts w:cs="Arial"/>
          <w:b/>
          <w:szCs w:val="16"/>
        </w:rPr>
        <w:t>Diagramme 1.  Évolution des recettes de 1990</w:t>
      </w:r>
      <w:r w:rsidR="00EB7F54" w:rsidRPr="00A32AF4">
        <w:rPr>
          <w:rFonts w:cs="Arial"/>
          <w:b/>
          <w:szCs w:val="16"/>
        </w:rPr>
        <w:noBreakHyphen/>
      </w:r>
      <w:r w:rsidRPr="00A32AF4">
        <w:rPr>
          <w:rFonts w:cs="Arial"/>
          <w:b/>
          <w:szCs w:val="16"/>
        </w:rPr>
        <w:t>1991 à 2016</w:t>
      </w:r>
      <w:r w:rsidR="00EB7F54" w:rsidRPr="00A32AF4">
        <w:rPr>
          <w:rFonts w:cs="Arial"/>
          <w:b/>
          <w:szCs w:val="16"/>
        </w:rPr>
        <w:noBreakHyphen/>
      </w:r>
      <w:r w:rsidRPr="00A32AF4">
        <w:rPr>
          <w:rFonts w:cs="Arial"/>
          <w:b/>
          <w:szCs w:val="16"/>
        </w:rPr>
        <w:t>2017*</w:t>
      </w:r>
    </w:p>
    <w:p w:rsidR="00F93B76" w:rsidRPr="00A32AF4" w:rsidRDefault="00F93B76" w:rsidP="00DC0553">
      <w:pPr>
        <w:keepNext/>
        <w:keepLines/>
        <w:jc w:val="center"/>
        <w:rPr>
          <w:rFonts w:cs="Arial"/>
          <w:sz w:val="18"/>
          <w:szCs w:val="18"/>
        </w:rPr>
      </w:pPr>
    </w:p>
    <w:p w:rsidR="00F93B76" w:rsidRPr="00A32AF4" w:rsidRDefault="000E3C8A" w:rsidP="00DC0553">
      <w:pPr>
        <w:keepNext/>
        <w:keepLines/>
        <w:rPr>
          <w:rFonts w:cs="Arial"/>
          <w:bCs/>
        </w:rPr>
      </w:pPr>
      <w:r w:rsidRPr="00A32AF4">
        <w:rPr>
          <w:noProof/>
          <w:lang w:eastAsia="fr-FR"/>
        </w:rPr>
        <w:drawing>
          <wp:inline distT="0" distB="0" distL="0" distR="0" wp14:anchorId="3677A70A" wp14:editId="274FFB2F">
            <wp:extent cx="5866327" cy="3721269"/>
            <wp:effectExtent l="0" t="0" r="127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870689" cy="3724036"/>
                    </a:xfrm>
                    <a:prstGeom prst="rect">
                      <a:avLst/>
                    </a:prstGeom>
                    <a:noFill/>
                    <a:ln>
                      <a:noFill/>
                    </a:ln>
                  </pic:spPr>
                </pic:pic>
              </a:graphicData>
            </a:graphic>
          </wp:inline>
        </w:drawing>
      </w:r>
    </w:p>
    <w:p w:rsidR="00F93B76" w:rsidRPr="00A32AF4" w:rsidRDefault="00F93B76" w:rsidP="00DC0553">
      <w:pPr>
        <w:keepNext/>
        <w:keepLines/>
        <w:rPr>
          <w:rFonts w:cs="Arial"/>
          <w:i/>
          <w:sz w:val="16"/>
          <w:szCs w:val="16"/>
        </w:rPr>
      </w:pPr>
    </w:p>
    <w:p w:rsidR="007A1906" w:rsidRPr="00A32AF4" w:rsidRDefault="007A1906" w:rsidP="00DC0553">
      <w:pPr>
        <w:keepNext/>
        <w:keepLines/>
        <w:rPr>
          <w:rFonts w:cs="Arial"/>
          <w:i/>
          <w:sz w:val="16"/>
          <w:szCs w:val="16"/>
        </w:rPr>
      </w:pPr>
      <w:r w:rsidRPr="00A32AF4">
        <w:rPr>
          <w:rFonts w:cs="Arial"/>
          <w:i/>
          <w:sz w:val="16"/>
          <w:szCs w:val="16"/>
        </w:rPr>
        <w:tab/>
        <w:t>*Les chiffres pour 2014</w:t>
      </w:r>
      <w:r w:rsidR="00EB7F54" w:rsidRPr="00A32AF4">
        <w:rPr>
          <w:rFonts w:cs="Arial"/>
          <w:i/>
          <w:sz w:val="16"/>
          <w:szCs w:val="16"/>
        </w:rPr>
        <w:noBreakHyphen/>
      </w:r>
      <w:r w:rsidRPr="00A32AF4">
        <w:rPr>
          <w:rFonts w:cs="Arial"/>
          <w:i/>
          <w:sz w:val="16"/>
          <w:szCs w:val="16"/>
        </w:rPr>
        <w:t>2015 et 2016</w:t>
      </w:r>
      <w:r w:rsidR="00EB7F54" w:rsidRPr="00A32AF4">
        <w:rPr>
          <w:rFonts w:cs="Arial"/>
          <w:i/>
          <w:sz w:val="16"/>
          <w:szCs w:val="16"/>
        </w:rPr>
        <w:noBreakHyphen/>
      </w:r>
      <w:r w:rsidRPr="00A32AF4">
        <w:rPr>
          <w:rFonts w:cs="Arial"/>
          <w:i/>
          <w:sz w:val="16"/>
          <w:szCs w:val="16"/>
        </w:rPr>
        <w:t>2017 sont des estimations de recettes inscrites au budget.</w:t>
      </w:r>
    </w:p>
    <w:p w:rsidR="007A1906" w:rsidRPr="00A32AF4" w:rsidRDefault="007A1906" w:rsidP="00DC0553">
      <w:pPr>
        <w:rPr>
          <w:rFonts w:cs="Arial"/>
        </w:rPr>
      </w:pPr>
    </w:p>
    <w:p w:rsidR="007A1906" w:rsidRPr="00A32AF4" w:rsidRDefault="007A1906" w:rsidP="00DC0553">
      <w:pPr>
        <w:pStyle w:val="ListParagraph"/>
        <w:numPr>
          <w:ilvl w:val="0"/>
          <w:numId w:val="72"/>
        </w:numPr>
        <w:tabs>
          <w:tab w:val="left" w:pos="567"/>
        </w:tabs>
        <w:spacing w:after="0" w:line="240" w:lineRule="auto"/>
        <w:ind w:left="0" w:firstLine="0"/>
        <w:jc w:val="both"/>
        <w:rPr>
          <w:rFonts w:ascii="Arial" w:hAnsi="Arial" w:cs="Arial"/>
          <w:bCs/>
        </w:rPr>
      </w:pPr>
      <w:r w:rsidRPr="00A32AF4">
        <w:rPr>
          <w:rFonts w:ascii="Arial" w:hAnsi="Arial" w:cs="Arial"/>
          <w:bCs/>
        </w:rPr>
        <w:t>Les taxes perçues au titre des services d</w:t>
      </w:r>
      <w:r w:rsidR="00E2055A" w:rsidRPr="00A32AF4">
        <w:rPr>
          <w:rFonts w:ascii="Arial" w:hAnsi="Arial" w:cs="Arial"/>
          <w:bCs/>
        </w:rPr>
        <w:t>’</w:t>
      </w:r>
      <w:r w:rsidRPr="00A32AF4">
        <w:rPr>
          <w:rFonts w:ascii="Arial" w:hAnsi="Arial" w:cs="Arial"/>
          <w:bCs/>
        </w:rPr>
        <w:t xml:space="preserve">enregistrement international restent la principale source de </w:t>
      </w:r>
      <w:r w:rsidR="00154EC2" w:rsidRPr="00A32AF4">
        <w:rPr>
          <w:rFonts w:ascii="Arial" w:hAnsi="Arial" w:cs="Arial"/>
          <w:bCs/>
        </w:rPr>
        <w:t>recettes</w:t>
      </w:r>
      <w:r w:rsidRPr="00A32AF4">
        <w:rPr>
          <w:rFonts w:ascii="Arial" w:hAnsi="Arial" w:cs="Arial"/>
          <w:bCs/>
        </w:rPr>
        <w:t xml:space="preserve"> de l</w:t>
      </w:r>
      <w:r w:rsidR="00E2055A" w:rsidRPr="00A32AF4">
        <w:rPr>
          <w:rFonts w:ascii="Arial" w:hAnsi="Arial" w:cs="Arial"/>
          <w:bCs/>
        </w:rPr>
        <w:t>’</w:t>
      </w:r>
      <w:r w:rsidRPr="00A32AF4">
        <w:rPr>
          <w:rFonts w:ascii="Arial" w:hAnsi="Arial" w:cs="Arial"/>
          <w:bCs/>
        </w:rPr>
        <w:t>Organisation.</w:t>
      </w:r>
      <w:r w:rsidRPr="00A32AF4">
        <w:rPr>
          <w:rFonts w:ascii="Arial" w:hAnsi="Arial"/>
        </w:rPr>
        <w:t xml:space="preserve"> </w:t>
      </w:r>
      <w:r w:rsidRPr="00A32AF4">
        <w:rPr>
          <w:rFonts w:ascii="Arial" w:hAnsi="Arial" w:cs="Arial"/>
          <w:bCs/>
        </w:rPr>
        <w:t xml:space="preserve"> La part des recettes provenant des taxes perçues dans le volume total des recettes de l</w:t>
      </w:r>
      <w:r w:rsidR="00E2055A" w:rsidRPr="00A32AF4">
        <w:rPr>
          <w:rFonts w:ascii="Arial" w:hAnsi="Arial" w:cs="Arial"/>
          <w:bCs/>
        </w:rPr>
        <w:t>’</w:t>
      </w:r>
      <w:r w:rsidRPr="00A32AF4">
        <w:rPr>
          <w:rFonts w:ascii="Arial" w:hAnsi="Arial" w:cs="Arial"/>
          <w:bCs/>
        </w:rPr>
        <w:t xml:space="preserve">Organisation a continué </w:t>
      </w:r>
      <w:proofErr w:type="gramStart"/>
      <w:r w:rsidRPr="00A32AF4">
        <w:rPr>
          <w:rFonts w:ascii="Arial" w:hAnsi="Arial" w:cs="Arial"/>
          <w:bCs/>
        </w:rPr>
        <w:t>d</w:t>
      </w:r>
      <w:r w:rsidR="00E2055A" w:rsidRPr="00A32AF4">
        <w:rPr>
          <w:rFonts w:ascii="Arial" w:hAnsi="Arial" w:cs="Arial"/>
          <w:bCs/>
        </w:rPr>
        <w:t>’</w:t>
      </w:r>
      <w:r w:rsidRPr="00A32AF4">
        <w:rPr>
          <w:rFonts w:ascii="Arial" w:hAnsi="Arial" w:cs="Arial"/>
          <w:bCs/>
        </w:rPr>
        <w:t>augmenter;</w:t>
      </w:r>
      <w:proofErr w:type="gramEnd"/>
      <w:r w:rsidRPr="00A32AF4">
        <w:rPr>
          <w:rFonts w:ascii="Arial" w:hAnsi="Arial" w:cs="Arial"/>
          <w:bCs/>
        </w:rPr>
        <w:t xml:space="preserve">  elle est estimée à 94,5% pour 2016</w:t>
      </w:r>
      <w:r w:rsidR="00EB7F54" w:rsidRPr="00A32AF4">
        <w:rPr>
          <w:rFonts w:ascii="Arial" w:hAnsi="Arial" w:cs="Arial"/>
          <w:bCs/>
        </w:rPr>
        <w:noBreakHyphen/>
      </w:r>
      <w:r w:rsidRPr="00A32AF4">
        <w:rPr>
          <w:rFonts w:ascii="Arial" w:hAnsi="Arial" w:cs="Arial"/>
          <w:bCs/>
        </w:rPr>
        <w:t>2017, ainsi qu</w:t>
      </w:r>
      <w:r w:rsidR="00E2055A" w:rsidRPr="00A32AF4">
        <w:rPr>
          <w:rFonts w:ascii="Arial" w:hAnsi="Arial" w:cs="Arial"/>
          <w:bCs/>
        </w:rPr>
        <w:t>’</w:t>
      </w:r>
      <w:r w:rsidRPr="00A32AF4">
        <w:rPr>
          <w:rFonts w:ascii="Arial" w:hAnsi="Arial" w:cs="Arial"/>
          <w:bCs/>
        </w:rPr>
        <w:t>il ressort du diagramme ci</w:t>
      </w:r>
      <w:r w:rsidR="00EB7F54" w:rsidRPr="00A32AF4">
        <w:rPr>
          <w:rFonts w:ascii="Arial" w:hAnsi="Arial" w:cs="Arial"/>
          <w:bCs/>
        </w:rPr>
        <w:noBreakHyphen/>
      </w:r>
      <w:r w:rsidRPr="00A32AF4">
        <w:rPr>
          <w:rFonts w:ascii="Arial" w:hAnsi="Arial" w:cs="Arial"/>
          <w:bCs/>
        </w:rPr>
        <w:t>dessous.</w:t>
      </w:r>
    </w:p>
    <w:p w:rsidR="007A1906" w:rsidRPr="00A32AF4" w:rsidRDefault="007A1906" w:rsidP="00DC0553">
      <w:pPr>
        <w:jc w:val="both"/>
      </w:pPr>
    </w:p>
    <w:p w:rsidR="007A1906" w:rsidRPr="00A32AF4" w:rsidRDefault="007A1906" w:rsidP="00DC0553">
      <w:pPr>
        <w:keepNext/>
        <w:keepLines/>
        <w:jc w:val="center"/>
        <w:rPr>
          <w:rFonts w:cs="Arial"/>
          <w:b/>
          <w:szCs w:val="16"/>
        </w:rPr>
      </w:pPr>
      <w:r w:rsidRPr="00A32AF4">
        <w:rPr>
          <w:rFonts w:cs="Arial"/>
          <w:b/>
          <w:szCs w:val="16"/>
        </w:rPr>
        <w:t xml:space="preserve">Diagramme 2.  Part des recettes provenant des taxes perçues dans le </w:t>
      </w:r>
      <w:r w:rsidR="003777B4" w:rsidRPr="00A32AF4">
        <w:rPr>
          <w:rFonts w:cs="Arial"/>
          <w:b/>
          <w:szCs w:val="16"/>
        </w:rPr>
        <w:t xml:space="preserve">montant </w:t>
      </w:r>
      <w:r w:rsidRPr="00A32AF4">
        <w:rPr>
          <w:rFonts w:cs="Arial"/>
          <w:b/>
          <w:szCs w:val="16"/>
        </w:rPr>
        <w:t xml:space="preserve">total </w:t>
      </w:r>
      <w:r w:rsidR="00B23142" w:rsidRPr="00A32AF4">
        <w:rPr>
          <w:rFonts w:cs="Arial"/>
          <w:b/>
          <w:szCs w:val="16"/>
        </w:rPr>
        <w:br/>
      </w:r>
      <w:r w:rsidRPr="00A32AF4">
        <w:rPr>
          <w:rFonts w:cs="Arial"/>
          <w:b/>
          <w:szCs w:val="16"/>
        </w:rPr>
        <w:t>des recettes de 2004</w:t>
      </w:r>
      <w:r w:rsidR="00EB7F54" w:rsidRPr="00A32AF4">
        <w:rPr>
          <w:rFonts w:cs="Arial"/>
          <w:b/>
          <w:szCs w:val="16"/>
        </w:rPr>
        <w:noBreakHyphen/>
      </w:r>
      <w:r w:rsidRPr="00A32AF4">
        <w:rPr>
          <w:rFonts w:cs="Arial"/>
          <w:b/>
          <w:szCs w:val="16"/>
        </w:rPr>
        <w:t>2005 à 2016</w:t>
      </w:r>
      <w:r w:rsidR="00EB7F54" w:rsidRPr="00A32AF4">
        <w:rPr>
          <w:rFonts w:cs="Arial"/>
          <w:b/>
          <w:szCs w:val="16"/>
        </w:rPr>
        <w:noBreakHyphen/>
      </w:r>
      <w:r w:rsidRPr="00A32AF4">
        <w:rPr>
          <w:rFonts w:cs="Arial"/>
          <w:b/>
          <w:szCs w:val="16"/>
        </w:rPr>
        <w:t>2017</w:t>
      </w:r>
    </w:p>
    <w:p w:rsidR="00F93B76" w:rsidRPr="00A32AF4" w:rsidRDefault="00F93B76" w:rsidP="00DC0553">
      <w:pPr>
        <w:keepNext/>
        <w:keepLines/>
        <w:jc w:val="both"/>
      </w:pPr>
    </w:p>
    <w:p w:rsidR="00F93B76" w:rsidRPr="00A32AF4" w:rsidRDefault="005444AC" w:rsidP="00DC0553">
      <w:pPr>
        <w:keepNext/>
        <w:keepLines/>
        <w:jc w:val="both"/>
      </w:pPr>
      <w:r w:rsidRPr="00A32AF4">
        <w:rPr>
          <w:noProof/>
          <w:lang w:eastAsia="fr-FR"/>
        </w:rPr>
        <w:drawing>
          <wp:inline distT="0" distB="0" distL="0" distR="0" wp14:anchorId="4263F7AA" wp14:editId="10211A70">
            <wp:extent cx="6010722" cy="3045854"/>
            <wp:effectExtent l="0" t="0" r="0" b="2540"/>
            <wp:docPr id="992" name="Picture 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014394" cy="3047715"/>
                    </a:xfrm>
                    <a:prstGeom prst="rect">
                      <a:avLst/>
                    </a:prstGeom>
                    <a:noFill/>
                    <a:ln>
                      <a:noFill/>
                    </a:ln>
                  </pic:spPr>
                </pic:pic>
              </a:graphicData>
            </a:graphic>
          </wp:inline>
        </w:drawing>
      </w:r>
    </w:p>
    <w:p w:rsidR="00F93B76" w:rsidRPr="00A32AF4" w:rsidRDefault="00F93B76" w:rsidP="00DC0553">
      <w:pPr>
        <w:keepNext/>
        <w:keepLines/>
        <w:jc w:val="both"/>
      </w:pPr>
    </w:p>
    <w:p w:rsidR="007A1906" w:rsidRPr="00A32AF4" w:rsidRDefault="007A1906" w:rsidP="00DC0553">
      <w:pPr>
        <w:pStyle w:val="ListParagraph"/>
        <w:numPr>
          <w:ilvl w:val="0"/>
          <w:numId w:val="72"/>
        </w:numPr>
        <w:tabs>
          <w:tab w:val="left" w:pos="567"/>
        </w:tabs>
        <w:spacing w:after="0" w:line="240" w:lineRule="auto"/>
        <w:ind w:left="0" w:firstLine="0"/>
        <w:jc w:val="both"/>
        <w:rPr>
          <w:rFonts w:ascii="Arial" w:hAnsi="Arial" w:cs="Arial"/>
          <w:sz w:val="18"/>
          <w:szCs w:val="18"/>
        </w:rPr>
      </w:pPr>
      <w:r w:rsidRPr="00A32AF4">
        <w:rPr>
          <w:rFonts w:ascii="Arial" w:hAnsi="Arial"/>
        </w:rPr>
        <w:t>L</w:t>
      </w:r>
      <w:r w:rsidR="00E2055A" w:rsidRPr="00A32AF4">
        <w:rPr>
          <w:rFonts w:ascii="Arial" w:hAnsi="Arial"/>
        </w:rPr>
        <w:t>’</w:t>
      </w:r>
      <w:r w:rsidRPr="00A32AF4">
        <w:rPr>
          <w:rFonts w:ascii="Arial" w:hAnsi="Arial"/>
        </w:rPr>
        <w:t>Organisation reste tributaire des taxes du PCT pour environ 76% de ses recettes (en 2016</w:t>
      </w:r>
      <w:r w:rsidR="00EB7F54" w:rsidRPr="00A32AF4">
        <w:rPr>
          <w:rFonts w:ascii="Arial" w:hAnsi="Arial"/>
        </w:rPr>
        <w:noBreakHyphen/>
      </w:r>
      <w:r w:rsidRPr="00A32AF4">
        <w:rPr>
          <w:rFonts w:ascii="Arial" w:hAnsi="Arial"/>
        </w:rPr>
        <w:t>2017), ce qui est beaucoup pour une seule source de revenu.  Face à ce risque stratégique, elle continuera d</w:t>
      </w:r>
      <w:r w:rsidR="00E2055A" w:rsidRPr="00A32AF4">
        <w:rPr>
          <w:rFonts w:ascii="Arial" w:hAnsi="Arial"/>
        </w:rPr>
        <w:t>’</w:t>
      </w:r>
      <w:r w:rsidRPr="00A32AF4">
        <w:rPr>
          <w:rFonts w:ascii="Arial" w:hAnsi="Arial"/>
        </w:rPr>
        <w:t>étudier les possibilités d</w:t>
      </w:r>
      <w:r w:rsidR="00E2055A" w:rsidRPr="00A32AF4">
        <w:rPr>
          <w:rFonts w:ascii="Arial" w:hAnsi="Arial"/>
        </w:rPr>
        <w:t>’</w:t>
      </w:r>
      <w:r w:rsidRPr="00A32AF4">
        <w:rPr>
          <w:rFonts w:ascii="Arial" w:hAnsi="Arial"/>
        </w:rPr>
        <w:t>améliorer sa viabilité financière en développant d</w:t>
      </w:r>
      <w:r w:rsidR="00E2055A" w:rsidRPr="00A32AF4">
        <w:rPr>
          <w:rFonts w:ascii="Arial" w:hAnsi="Arial"/>
        </w:rPr>
        <w:t>’</w:t>
      </w:r>
      <w:r w:rsidRPr="00A32AF4">
        <w:rPr>
          <w:rFonts w:ascii="Arial" w:hAnsi="Arial"/>
        </w:rPr>
        <w:t xml:space="preserve">autres sources de </w:t>
      </w:r>
      <w:r w:rsidR="00154EC2" w:rsidRPr="00A32AF4">
        <w:rPr>
          <w:rFonts w:ascii="Arial" w:hAnsi="Arial"/>
        </w:rPr>
        <w:t>recettes</w:t>
      </w:r>
      <w:r w:rsidRPr="00A32AF4">
        <w:rPr>
          <w:rFonts w:ascii="Arial" w:hAnsi="Arial"/>
        </w:rPr>
        <w:t xml:space="preserve">, </w:t>
      </w:r>
      <w:r w:rsidR="00E2055A" w:rsidRPr="00A32AF4">
        <w:rPr>
          <w:rFonts w:ascii="Arial" w:hAnsi="Arial"/>
        </w:rPr>
        <w:t>y compris</w:t>
      </w:r>
      <w:r w:rsidRPr="00A32AF4">
        <w:rPr>
          <w:rFonts w:ascii="Arial" w:hAnsi="Arial"/>
        </w:rPr>
        <w:t xml:space="preserve"> en matière de recouvrement des coûts.</w:t>
      </w:r>
    </w:p>
    <w:p w:rsidR="007A1906" w:rsidRPr="00A32AF4" w:rsidRDefault="007A1906" w:rsidP="00DC0553">
      <w:pPr>
        <w:rPr>
          <w:rFonts w:cs="Arial"/>
        </w:rPr>
      </w:pPr>
    </w:p>
    <w:p w:rsidR="007A1906" w:rsidRPr="00A32AF4" w:rsidRDefault="007A1906" w:rsidP="00DC0553">
      <w:pPr>
        <w:keepNext/>
        <w:keepLines/>
        <w:jc w:val="center"/>
        <w:rPr>
          <w:rFonts w:cs="Arial"/>
          <w:b/>
          <w:szCs w:val="16"/>
        </w:rPr>
      </w:pPr>
      <w:r w:rsidRPr="00A32AF4">
        <w:rPr>
          <w:rFonts w:cs="Arial"/>
          <w:b/>
          <w:szCs w:val="16"/>
        </w:rPr>
        <w:t xml:space="preserve">Diagramme 3.  Part des recettes provenant des taxes du PCT dans le montant total </w:t>
      </w:r>
      <w:r w:rsidR="00B23142" w:rsidRPr="00A32AF4">
        <w:rPr>
          <w:rFonts w:cs="Arial"/>
          <w:b/>
          <w:szCs w:val="16"/>
        </w:rPr>
        <w:br/>
      </w:r>
      <w:r w:rsidRPr="00A32AF4">
        <w:rPr>
          <w:rFonts w:cs="Arial"/>
          <w:b/>
          <w:szCs w:val="16"/>
        </w:rPr>
        <w:t>des recettes de 2004</w:t>
      </w:r>
      <w:r w:rsidR="00EB7F54" w:rsidRPr="00A32AF4">
        <w:rPr>
          <w:rFonts w:cs="Arial"/>
          <w:b/>
          <w:szCs w:val="16"/>
        </w:rPr>
        <w:noBreakHyphen/>
      </w:r>
      <w:r w:rsidRPr="00A32AF4">
        <w:rPr>
          <w:rFonts w:cs="Arial"/>
          <w:b/>
          <w:szCs w:val="16"/>
        </w:rPr>
        <w:t>2005 à 2016</w:t>
      </w:r>
      <w:r w:rsidR="00EB7F54" w:rsidRPr="00A32AF4">
        <w:rPr>
          <w:rFonts w:cs="Arial"/>
          <w:b/>
          <w:szCs w:val="16"/>
        </w:rPr>
        <w:noBreakHyphen/>
      </w:r>
      <w:r w:rsidRPr="00A32AF4">
        <w:rPr>
          <w:rFonts w:cs="Arial"/>
          <w:b/>
          <w:szCs w:val="16"/>
        </w:rPr>
        <w:t>2017</w:t>
      </w:r>
    </w:p>
    <w:p w:rsidR="007A1906" w:rsidRPr="00A32AF4" w:rsidRDefault="007A1906" w:rsidP="00DC0553">
      <w:pPr>
        <w:keepNext/>
        <w:keepLines/>
        <w:rPr>
          <w:rFonts w:cs="Arial"/>
        </w:rPr>
      </w:pPr>
    </w:p>
    <w:p w:rsidR="00F93B76" w:rsidRPr="00A32AF4" w:rsidRDefault="005444AC" w:rsidP="00DC0553">
      <w:pPr>
        <w:keepNext/>
        <w:keepLines/>
        <w:rPr>
          <w:rFonts w:cs="Arial"/>
          <w:sz w:val="18"/>
        </w:rPr>
      </w:pPr>
      <w:r w:rsidRPr="00A32AF4">
        <w:rPr>
          <w:noProof/>
          <w:lang w:eastAsia="fr-FR"/>
        </w:rPr>
        <w:drawing>
          <wp:inline distT="0" distB="0" distL="0" distR="0" wp14:anchorId="610000D2" wp14:editId="582C52BA">
            <wp:extent cx="6061551" cy="3071611"/>
            <wp:effectExtent l="0" t="0" r="0" b="0"/>
            <wp:docPr id="1019" name="Picture 1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061551" cy="3071611"/>
                    </a:xfrm>
                    <a:prstGeom prst="rect">
                      <a:avLst/>
                    </a:prstGeom>
                    <a:noFill/>
                    <a:ln>
                      <a:noFill/>
                    </a:ln>
                  </pic:spPr>
                </pic:pic>
              </a:graphicData>
            </a:graphic>
          </wp:inline>
        </w:drawing>
      </w:r>
    </w:p>
    <w:p w:rsidR="00F93B76" w:rsidRPr="00A32AF4" w:rsidRDefault="00F93B76" w:rsidP="00DC0553">
      <w:pPr>
        <w:keepNext/>
        <w:keepLines/>
        <w:rPr>
          <w:rFonts w:cs="Arial"/>
        </w:rPr>
      </w:pPr>
    </w:p>
    <w:p w:rsidR="00F93B76" w:rsidRPr="00A32AF4" w:rsidRDefault="007A1906" w:rsidP="00DC0553">
      <w:pPr>
        <w:tabs>
          <w:tab w:val="num" w:pos="690"/>
        </w:tabs>
        <w:rPr>
          <w:caps/>
        </w:rPr>
      </w:pPr>
      <w:r w:rsidRPr="00A32AF4">
        <w:t>Les estimations de recettes par union figurent à l</w:t>
      </w:r>
      <w:r w:rsidR="00E2055A" w:rsidRPr="00A32AF4">
        <w:t>’</w:t>
      </w:r>
      <w:r w:rsidRPr="00A32AF4">
        <w:t>annexe III</w:t>
      </w:r>
      <w:r w:rsidRPr="00A32AF4">
        <w:rPr>
          <w:caps/>
        </w:rPr>
        <w:t>.</w:t>
      </w:r>
    </w:p>
    <w:p w:rsidR="00A4309E" w:rsidRPr="00A32AF4" w:rsidRDefault="00A4309E" w:rsidP="00DC0553">
      <w:pPr>
        <w:sectPr w:rsidR="00A4309E" w:rsidRPr="00A32AF4" w:rsidSect="00FF5067">
          <w:headerReference w:type="even" r:id="rId21"/>
          <w:headerReference w:type="default" r:id="rId22"/>
          <w:footerReference w:type="even" r:id="rId23"/>
          <w:footerReference w:type="default" r:id="rId24"/>
          <w:pgSz w:w="11907" w:h="16840" w:code="9"/>
          <w:pgMar w:top="624" w:right="1418" w:bottom="1361" w:left="1418" w:header="567" w:footer="851" w:gutter="0"/>
          <w:cols w:space="720"/>
          <w:docGrid w:linePitch="272"/>
        </w:sectPr>
      </w:pPr>
    </w:p>
    <w:p w:rsidR="00A4309E" w:rsidRPr="00A32AF4" w:rsidRDefault="00D52EFC" w:rsidP="00DC0553">
      <w:pPr>
        <w:tabs>
          <w:tab w:val="num" w:pos="690"/>
        </w:tabs>
        <w:jc w:val="center"/>
        <w:rPr>
          <w:rFonts w:eastAsia="SimSun" w:cs="Arial"/>
          <w:b/>
          <w:i/>
          <w:color w:val="000000"/>
          <w:sz w:val="18"/>
          <w:lang w:eastAsia="zh-CN"/>
        </w:rPr>
      </w:pPr>
      <w:r w:rsidRPr="00A32AF4">
        <w:rPr>
          <w:rFonts w:eastAsia="SimSun" w:cs="Arial"/>
          <w:b/>
          <w:color w:val="000000"/>
          <w:lang w:eastAsia="zh-CN"/>
        </w:rPr>
        <w:t>TABLEAU SYNOPTIQUE DES RÉSULTATS ET DU PROGRAMME ET BUDGET POUR 20</w:t>
      </w:r>
      <w:r w:rsidR="004D49FC" w:rsidRPr="00A32AF4">
        <w:rPr>
          <w:rFonts w:eastAsia="SimSun" w:cs="Arial"/>
          <w:b/>
          <w:color w:val="000000"/>
          <w:lang w:eastAsia="zh-CN"/>
        </w:rPr>
        <w:t>16-2017</w:t>
      </w:r>
      <w:r w:rsidRPr="00A32AF4">
        <w:rPr>
          <w:rFonts w:eastAsia="SimSun" w:cs="Arial"/>
          <w:b/>
          <w:color w:val="000000"/>
          <w:lang w:eastAsia="zh-CN"/>
        </w:rPr>
        <w:t xml:space="preserve">, </w:t>
      </w:r>
      <w:r w:rsidR="00E2055A" w:rsidRPr="00A32AF4">
        <w:rPr>
          <w:rFonts w:eastAsia="SimSun" w:cs="Arial"/>
          <w:b/>
          <w:color w:val="000000"/>
          <w:lang w:eastAsia="zh-CN"/>
        </w:rPr>
        <w:t>Y COMPRIS</w:t>
      </w:r>
      <w:r w:rsidRPr="00A32AF4">
        <w:rPr>
          <w:rFonts w:eastAsia="SimSun" w:cs="Arial"/>
          <w:b/>
          <w:color w:val="000000"/>
          <w:lang w:eastAsia="zh-CN"/>
        </w:rPr>
        <w:t xml:space="preserve"> LA PART CONSACRÉE AU DÉVELOPPEMENT PAR RÉSULTAT</w:t>
      </w:r>
      <w:r w:rsidR="00A4309E" w:rsidRPr="00A32AF4">
        <w:rPr>
          <w:rFonts w:eastAsia="SimSun" w:cs="Arial"/>
          <w:b/>
          <w:color w:val="000000"/>
          <w:lang w:eastAsia="zh-CN"/>
        </w:rPr>
        <w:br/>
      </w:r>
      <w:r w:rsidR="00A4309E" w:rsidRPr="00A32AF4">
        <w:rPr>
          <w:rFonts w:eastAsia="SimSun" w:cs="Arial"/>
          <w:b/>
          <w:i/>
          <w:color w:val="000000"/>
          <w:sz w:val="18"/>
          <w:lang w:eastAsia="zh-CN"/>
        </w:rPr>
        <w:t>(</w:t>
      </w:r>
      <w:r w:rsidRPr="00A32AF4">
        <w:rPr>
          <w:rFonts w:eastAsia="SimSun" w:cs="Arial"/>
          <w:b/>
          <w:i/>
          <w:color w:val="000000"/>
          <w:sz w:val="18"/>
          <w:lang w:eastAsia="zh-CN"/>
        </w:rPr>
        <w:t>en milliers de francs suisses</w:t>
      </w:r>
      <w:r w:rsidR="00A4309E" w:rsidRPr="00A32AF4">
        <w:rPr>
          <w:rFonts w:eastAsia="SimSun" w:cs="Arial"/>
          <w:b/>
          <w:i/>
          <w:color w:val="000000"/>
          <w:sz w:val="18"/>
          <w:lang w:eastAsia="zh-CN"/>
        </w:rPr>
        <w:t>)</w:t>
      </w:r>
    </w:p>
    <w:tbl>
      <w:tblPr>
        <w:tblW w:w="21679" w:type="dxa"/>
        <w:tblLayout w:type="fixed"/>
        <w:tblCellMar>
          <w:left w:w="28" w:type="dxa"/>
          <w:right w:w="28" w:type="dxa"/>
        </w:tblCellMar>
        <w:tblLook w:val="0000" w:firstRow="0" w:lastRow="0" w:firstColumn="0" w:lastColumn="0" w:noHBand="0" w:noVBand="0"/>
      </w:tblPr>
      <w:tblGrid>
        <w:gridCol w:w="389"/>
        <w:gridCol w:w="3041"/>
        <w:gridCol w:w="3042"/>
        <w:gridCol w:w="3041"/>
        <w:gridCol w:w="3041"/>
        <w:gridCol w:w="3040"/>
        <w:gridCol w:w="3041"/>
        <w:gridCol w:w="3044"/>
      </w:tblGrid>
      <w:tr w:rsidR="00A4309E" w:rsidRPr="00A32AF4" w:rsidTr="001B004D">
        <w:trPr>
          <w:trHeight w:val="294"/>
        </w:trPr>
        <w:tc>
          <w:tcPr>
            <w:tcW w:w="389" w:type="dxa"/>
            <w:vMerge w:val="restart"/>
            <w:tcBorders>
              <w:top w:val="single" w:sz="8" w:space="0" w:color="auto"/>
              <w:left w:val="single" w:sz="8" w:space="0" w:color="auto"/>
              <w:bottom w:val="single" w:sz="4" w:space="0" w:color="000000"/>
              <w:right w:val="nil"/>
            </w:tcBorders>
            <w:shd w:val="clear" w:color="auto" w:fill="99CCFF"/>
            <w:textDirection w:val="btLr"/>
            <w:vAlign w:val="center"/>
          </w:tcPr>
          <w:p w:rsidR="00A4309E" w:rsidRPr="00A32AF4" w:rsidRDefault="00D52EFC" w:rsidP="00DC0553">
            <w:pPr>
              <w:tabs>
                <w:tab w:val="right" w:pos="2835"/>
              </w:tabs>
              <w:jc w:val="center"/>
              <w:rPr>
                <w:rFonts w:cs="Arial"/>
                <w:b/>
                <w:bCs/>
                <w:sz w:val="16"/>
                <w:szCs w:val="16"/>
              </w:rPr>
            </w:pPr>
            <w:r w:rsidRPr="00A32AF4">
              <w:rPr>
                <w:rFonts w:cs="Arial"/>
                <w:b/>
                <w:bCs/>
                <w:sz w:val="16"/>
                <w:szCs w:val="16"/>
              </w:rPr>
              <w:t>Intégration de l</w:t>
            </w:r>
            <w:r w:rsidR="00E2055A" w:rsidRPr="00A32AF4">
              <w:rPr>
                <w:rFonts w:cs="Arial"/>
                <w:b/>
                <w:bCs/>
                <w:sz w:val="16"/>
                <w:szCs w:val="16"/>
              </w:rPr>
              <w:t>’</w:t>
            </w:r>
            <w:r w:rsidRPr="00A32AF4">
              <w:rPr>
                <w:rFonts w:cs="Arial"/>
                <w:b/>
                <w:bCs/>
                <w:sz w:val="16"/>
                <w:szCs w:val="16"/>
              </w:rPr>
              <w:t>objectif stratégique III</w:t>
            </w:r>
            <w:r w:rsidR="00E2055A" w:rsidRPr="00A32AF4">
              <w:rPr>
                <w:rFonts w:cs="Arial"/>
                <w:b/>
                <w:bCs/>
                <w:sz w:val="16"/>
                <w:szCs w:val="16"/>
              </w:rPr>
              <w:t xml:space="preserve"> – </w:t>
            </w:r>
            <w:r w:rsidRPr="00A32AF4">
              <w:rPr>
                <w:rFonts w:cs="Arial"/>
                <w:b/>
                <w:bCs/>
                <w:sz w:val="16"/>
                <w:szCs w:val="16"/>
              </w:rPr>
              <w:t>Favoriser l</w:t>
            </w:r>
            <w:r w:rsidR="00E2055A" w:rsidRPr="00A32AF4">
              <w:rPr>
                <w:rFonts w:cs="Arial"/>
                <w:b/>
                <w:bCs/>
                <w:sz w:val="16"/>
                <w:szCs w:val="16"/>
              </w:rPr>
              <w:t>’</w:t>
            </w:r>
            <w:r w:rsidRPr="00A32AF4">
              <w:rPr>
                <w:rFonts w:cs="Arial"/>
                <w:b/>
                <w:bCs/>
                <w:sz w:val="16"/>
                <w:szCs w:val="16"/>
              </w:rPr>
              <w:t>utilisation de la propriété intellectuelle au service du développement</w:t>
            </w:r>
          </w:p>
        </w:tc>
        <w:tc>
          <w:tcPr>
            <w:tcW w:w="21290" w:type="dxa"/>
            <w:gridSpan w:val="7"/>
            <w:tcBorders>
              <w:top w:val="single" w:sz="4" w:space="0" w:color="auto"/>
              <w:left w:val="single" w:sz="4" w:space="0" w:color="auto"/>
              <w:bottom w:val="single" w:sz="4" w:space="0" w:color="auto"/>
              <w:right w:val="single" w:sz="4" w:space="0" w:color="000000"/>
            </w:tcBorders>
            <w:shd w:val="clear" w:color="auto" w:fill="CCFFFF"/>
            <w:vAlign w:val="center"/>
          </w:tcPr>
          <w:p w:rsidR="00A4309E" w:rsidRPr="00A32AF4" w:rsidRDefault="00D52EFC" w:rsidP="00DC0553">
            <w:pPr>
              <w:tabs>
                <w:tab w:val="right" w:pos="2835"/>
              </w:tabs>
              <w:jc w:val="center"/>
              <w:rPr>
                <w:rFonts w:cs="Arial"/>
                <w:b/>
                <w:bCs/>
                <w:sz w:val="16"/>
                <w:szCs w:val="16"/>
              </w:rPr>
            </w:pPr>
            <w:r w:rsidRPr="00A32AF4">
              <w:rPr>
                <w:rFonts w:cs="Arial"/>
                <w:b/>
                <w:bCs/>
                <w:sz w:val="16"/>
                <w:szCs w:val="16"/>
              </w:rPr>
              <w:t>Objectif stratégique VIII : Interface de communication dynamique entre l</w:t>
            </w:r>
            <w:r w:rsidR="00E2055A" w:rsidRPr="00A32AF4">
              <w:rPr>
                <w:rFonts w:cs="Arial"/>
                <w:b/>
                <w:bCs/>
                <w:sz w:val="16"/>
                <w:szCs w:val="16"/>
              </w:rPr>
              <w:t>’</w:t>
            </w:r>
            <w:r w:rsidRPr="00A32AF4">
              <w:rPr>
                <w:rFonts w:cs="Arial"/>
                <w:b/>
                <w:bCs/>
                <w:sz w:val="16"/>
                <w:szCs w:val="16"/>
              </w:rPr>
              <w:t>OMPI, ses États membres et l</w:t>
            </w:r>
            <w:r w:rsidR="00E2055A" w:rsidRPr="00A32AF4">
              <w:rPr>
                <w:rFonts w:cs="Arial"/>
                <w:b/>
                <w:bCs/>
                <w:sz w:val="16"/>
                <w:szCs w:val="16"/>
              </w:rPr>
              <w:t>’</w:t>
            </w:r>
            <w:r w:rsidRPr="00A32AF4">
              <w:rPr>
                <w:rFonts w:cs="Arial"/>
                <w:b/>
                <w:bCs/>
                <w:sz w:val="16"/>
                <w:szCs w:val="16"/>
              </w:rPr>
              <w:t>ensemble des parties prenantes</w:t>
            </w:r>
          </w:p>
        </w:tc>
      </w:tr>
      <w:tr w:rsidR="00A4309E" w:rsidRPr="00A32AF4" w:rsidTr="001B004D">
        <w:trPr>
          <w:trHeight w:val="145"/>
        </w:trPr>
        <w:tc>
          <w:tcPr>
            <w:tcW w:w="389" w:type="dxa"/>
            <w:vMerge/>
            <w:tcBorders>
              <w:top w:val="single" w:sz="8" w:space="0" w:color="auto"/>
              <w:left w:val="single" w:sz="8" w:space="0" w:color="auto"/>
              <w:bottom w:val="single" w:sz="4" w:space="0" w:color="000000"/>
              <w:right w:val="nil"/>
            </w:tcBorders>
            <w:vAlign w:val="center"/>
          </w:tcPr>
          <w:p w:rsidR="00A4309E" w:rsidRPr="00A32AF4" w:rsidRDefault="00A4309E" w:rsidP="00DC0553">
            <w:pPr>
              <w:tabs>
                <w:tab w:val="right" w:pos="2835"/>
              </w:tabs>
              <w:rPr>
                <w:rFonts w:cs="Arial"/>
                <w:b/>
                <w:bCs/>
                <w:sz w:val="16"/>
                <w:szCs w:val="16"/>
              </w:rPr>
            </w:pPr>
          </w:p>
        </w:tc>
        <w:tc>
          <w:tcPr>
            <w:tcW w:w="3041" w:type="dxa"/>
            <w:tcBorders>
              <w:top w:val="nil"/>
              <w:left w:val="single" w:sz="4" w:space="0" w:color="auto"/>
              <w:bottom w:val="nil"/>
              <w:right w:val="nil"/>
            </w:tcBorders>
            <w:shd w:val="clear" w:color="auto" w:fill="auto"/>
            <w:vAlign w:val="center"/>
          </w:tcPr>
          <w:p w:rsidR="00A4309E" w:rsidRPr="00A32AF4" w:rsidRDefault="00A4309E" w:rsidP="00DC0553">
            <w:pPr>
              <w:tabs>
                <w:tab w:val="right" w:pos="2835"/>
              </w:tabs>
              <w:jc w:val="center"/>
              <w:rPr>
                <w:rFonts w:cs="Arial"/>
                <w:sz w:val="15"/>
                <w:szCs w:val="15"/>
              </w:rPr>
            </w:pPr>
            <w:r w:rsidRPr="00A32AF4">
              <w:rPr>
                <w:rFonts w:cs="Arial"/>
                <w:sz w:val="15"/>
                <w:szCs w:val="15"/>
              </w:rPr>
              <w:t> </w:t>
            </w:r>
          </w:p>
        </w:tc>
        <w:tc>
          <w:tcPr>
            <w:tcW w:w="3042" w:type="dxa"/>
            <w:tcBorders>
              <w:top w:val="nil"/>
              <w:left w:val="nil"/>
              <w:bottom w:val="nil"/>
              <w:right w:val="nil"/>
            </w:tcBorders>
            <w:shd w:val="clear" w:color="auto" w:fill="auto"/>
          </w:tcPr>
          <w:p w:rsidR="00F93B76" w:rsidRPr="00A32AF4" w:rsidRDefault="00F93B76" w:rsidP="00DC0553">
            <w:pPr>
              <w:tabs>
                <w:tab w:val="right" w:pos="2835"/>
              </w:tabs>
              <w:rPr>
                <w:rFonts w:cs="Arial"/>
                <w:sz w:val="14"/>
                <w:szCs w:val="14"/>
              </w:rPr>
            </w:pPr>
          </w:p>
          <w:p w:rsidR="00F93B76" w:rsidRPr="00A32AF4" w:rsidRDefault="00D52EFC" w:rsidP="00DC0553">
            <w:pPr>
              <w:tabs>
                <w:tab w:val="right" w:pos="2835"/>
              </w:tabs>
              <w:spacing w:after="60"/>
              <w:rPr>
                <w:rFonts w:cs="Arial"/>
                <w:sz w:val="14"/>
                <w:szCs w:val="14"/>
              </w:rPr>
            </w:pPr>
            <w:r w:rsidRPr="00A32AF4">
              <w:rPr>
                <w:rFonts w:cs="Arial"/>
                <w:sz w:val="14"/>
                <w:szCs w:val="14"/>
              </w:rPr>
              <w:t>VIII.1</w:t>
            </w:r>
            <w:r w:rsidRPr="00A32AF4">
              <w:rPr>
                <w:rFonts w:cs="Arial"/>
                <w:color w:val="000000"/>
                <w:sz w:val="14"/>
                <w:szCs w:val="14"/>
              </w:rPr>
              <w:t xml:space="preserve">. </w:t>
            </w:r>
            <w:r w:rsidRPr="00A32AF4">
              <w:rPr>
                <w:rFonts w:cs="Arial"/>
                <w:sz w:val="14"/>
                <w:szCs w:val="14"/>
              </w:rPr>
              <w:t>Communication plus efficace avec le grand public concernant la propriété intellectuelle et le rôle de l</w:t>
            </w:r>
            <w:r w:rsidR="00E2055A" w:rsidRPr="00A32AF4">
              <w:rPr>
                <w:rFonts w:cs="Arial"/>
                <w:sz w:val="14"/>
                <w:szCs w:val="14"/>
              </w:rPr>
              <w:t>’</w:t>
            </w:r>
            <w:r w:rsidRPr="00A32AF4">
              <w:rPr>
                <w:rFonts w:cs="Arial"/>
                <w:sz w:val="14"/>
                <w:szCs w:val="14"/>
              </w:rPr>
              <w:t>OMPI</w:t>
            </w:r>
            <w:r w:rsidR="003A20B3" w:rsidRPr="00A32AF4">
              <w:rPr>
                <w:rFonts w:cs="Arial"/>
                <w:sz w:val="14"/>
                <w:szCs w:val="14"/>
              </w:rPr>
              <w:br/>
            </w:r>
          </w:p>
          <w:p w:rsidR="00F93B76" w:rsidRPr="00A32AF4" w:rsidRDefault="00A4309E" w:rsidP="00DC0553">
            <w:pPr>
              <w:tabs>
                <w:tab w:val="left" w:pos="284"/>
                <w:tab w:val="right" w:pos="2949"/>
              </w:tabs>
              <w:rPr>
                <w:rFonts w:cs="Arial"/>
                <w:i/>
                <w:iCs/>
                <w:sz w:val="14"/>
                <w:szCs w:val="14"/>
              </w:rPr>
            </w:pPr>
            <w:r w:rsidRPr="00A32AF4">
              <w:rPr>
                <w:rFonts w:cs="Arial"/>
                <w:i/>
                <w:iCs/>
                <w:sz w:val="14"/>
                <w:szCs w:val="14"/>
              </w:rPr>
              <w:tab/>
            </w:r>
            <w:r w:rsidR="00D52EFC" w:rsidRPr="00A32AF4">
              <w:rPr>
                <w:rFonts w:cs="Arial"/>
                <w:i/>
                <w:iCs/>
                <w:sz w:val="14"/>
                <w:szCs w:val="14"/>
              </w:rPr>
              <w:t>Budget proposé pour 2016</w:t>
            </w:r>
            <w:r w:rsidR="00EB7F54" w:rsidRPr="00A32AF4">
              <w:rPr>
                <w:rFonts w:cs="Arial"/>
                <w:i/>
                <w:iCs/>
                <w:sz w:val="14"/>
                <w:szCs w:val="14"/>
              </w:rPr>
              <w:noBreakHyphen/>
            </w:r>
            <w:r w:rsidR="00D52EFC" w:rsidRPr="00A32AF4">
              <w:rPr>
                <w:rFonts w:cs="Arial"/>
                <w:i/>
                <w:iCs/>
                <w:sz w:val="14"/>
                <w:szCs w:val="14"/>
              </w:rPr>
              <w:t>2017 :</w:t>
            </w:r>
            <w:r w:rsidR="003A20B3" w:rsidRPr="00A32AF4">
              <w:rPr>
                <w:rFonts w:cs="Arial"/>
                <w:i/>
                <w:iCs/>
                <w:sz w:val="14"/>
                <w:szCs w:val="14"/>
              </w:rPr>
              <w:tab/>
            </w:r>
            <w:r w:rsidRPr="00A32AF4">
              <w:rPr>
                <w:rFonts w:cs="Arial"/>
                <w:i/>
                <w:iCs/>
                <w:sz w:val="14"/>
                <w:szCs w:val="14"/>
              </w:rPr>
              <w:t>1</w:t>
            </w:r>
            <w:r w:rsidR="00D52EFC" w:rsidRPr="00A32AF4">
              <w:rPr>
                <w:rFonts w:cs="Arial"/>
                <w:i/>
                <w:iCs/>
                <w:sz w:val="14"/>
                <w:szCs w:val="14"/>
              </w:rPr>
              <w:t>2 0</w:t>
            </w:r>
            <w:r w:rsidRPr="00A32AF4">
              <w:rPr>
                <w:rFonts w:cs="Arial"/>
                <w:i/>
                <w:iCs/>
                <w:sz w:val="14"/>
                <w:szCs w:val="14"/>
              </w:rPr>
              <w:t>33</w:t>
            </w:r>
          </w:p>
          <w:p w:rsidR="00A4309E" w:rsidRPr="00A32AF4" w:rsidRDefault="00A4309E" w:rsidP="00DC0553">
            <w:pPr>
              <w:tabs>
                <w:tab w:val="left" w:pos="284"/>
                <w:tab w:val="right" w:pos="2949"/>
              </w:tabs>
              <w:rPr>
                <w:rFonts w:cs="Arial"/>
                <w:sz w:val="14"/>
                <w:szCs w:val="14"/>
              </w:rPr>
            </w:pPr>
            <w:r w:rsidRPr="00A32AF4">
              <w:rPr>
                <w:rFonts w:cs="Arial"/>
                <w:i/>
                <w:iCs/>
                <w:color w:val="0000FF"/>
                <w:sz w:val="14"/>
                <w:szCs w:val="14"/>
              </w:rPr>
              <w:tab/>
            </w:r>
            <w:r w:rsidR="00D52EFC" w:rsidRPr="00A32AF4">
              <w:rPr>
                <w:rFonts w:cs="Arial"/>
                <w:i/>
                <w:iCs/>
                <w:color w:val="0000FF"/>
                <w:sz w:val="14"/>
                <w:szCs w:val="14"/>
              </w:rPr>
              <w:t>Part consacrée au développement :</w:t>
            </w:r>
            <w:r w:rsidR="003A20B3" w:rsidRPr="00A32AF4">
              <w:rPr>
                <w:rFonts w:cs="Arial"/>
                <w:i/>
                <w:iCs/>
                <w:color w:val="0000FF"/>
                <w:sz w:val="14"/>
                <w:szCs w:val="14"/>
              </w:rPr>
              <w:tab/>
            </w:r>
            <w:r w:rsidR="00D52EFC" w:rsidRPr="00A32AF4">
              <w:rPr>
                <w:rFonts w:cs="Arial"/>
                <w:i/>
                <w:iCs/>
                <w:color w:val="0000FF"/>
                <w:sz w:val="14"/>
                <w:szCs w:val="14"/>
              </w:rPr>
              <w:t>4 2</w:t>
            </w:r>
            <w:r w:rsidRPr="00A32AF4">
              <w:rPr>
                <w:rFonts w:cs="Arial"/>
                <w:i/>
                <w:iCs/>
                <w:color w:val="0000FF"/>
                <w:sz w:val="14"/>
                <w:szCs w:val="14"/>
              </w:rPr>
              <w:t>68</w:t>
            </w:r>
          </w:p>
        </w:tc>
        <w:tc>
          <w:tcPr>
            <w:tcW w:w="3041" w:type="dxa"/>
            <w:tcBorders>
              <w:top w:val="nil"/>
              <w:left w:val="nil"/>
              <w:bottom w:val="nil"/>
              <w:right w:val="nil"/>
            </w:tcBorders>
            <w:shd w:val="clear" w:color="auto" w:fill="auto"/>
          </w:tcPr>
          <w:p w:rsidR="00F93B76" w:rsidRPr="00A32AF4" w:rsidRDefault="00F93B76" w:rsidP="00DC0553">
            <w:pPr>
              <w:tabs>
                <w:tab w:val="right" w:pos="2835"/>
              </w:tabs>
              <w:rPr>
                <w:rFonts w:cs="Arial"/>
                <w:sz w:val="14"/>
                <w:szCs w:val="14"/>
              </w:rPr>
            </w:pPr>
          </w:p>
          <w:p w:rsidR="00F93B76" w:rsidRPr="00A32AF4" w:rsidRDefault="001C3CA9" w:rsidP="00DC0553">
            <w:pPr>
              <w:tabs>
                <w:tab w:val="right" w:pos="2835"/>
              </w:tabs>
              <w:spacing w:after="60"/>
              <w:rPr>
                <w:rFonts w:cs="Arial"/>
                <w:sz w:val="14"/>
                <w:szCs w:val="14"/>
              </w:rPr>
            </w:pPr>
            <w:r w:rsidRPr="00A32AF4">
              <w:rPr>
                <w:rFonts w:cs="Arial"/>
                <w:sz w:val="14"/>
                <w:szCs w:val="14"/>
              </w:rPr>
              <w:t>VIII.2</w:t>
            </w:r>
            <w:r w:rsidRPr="00A32AF4">
              <w:rPr>
                <w:rFonts w:cs="Arial"/>
                <w:color w:val="000000"/>
                <w:sz w:val="14"/>
                <w:szCs w:val="14"/>
              </w:rPr>
              <w:t xml:space="preserve">. </w:t>
            </w:r>
            <w:r w:rsidRPr="00A32AF4">
              <w:rPr>
                <w:rFonts w:cs="Arial"/>
                <w:sz w:val="14"/>
                <w:szCs w:val="14"/>
              </w:rPr>
              <w:t>Amélioration de l</w:t>
            </w:r>
            <w:r w:rsidR="00E2055A" w:rsidRPr="00A32AF4">
              <w:rPr>
                <w:rFonts w:cs="Arial"/>
                <w:sz w:val="14"/>
                <w:szCs w:val="14"/>
              </w:rPr>
              <w:t>’</w:t>
            </w:r>
            <w:r w:rsidRPr="00A32AF4">
              <w:rPr>
                <w:rFonts w:cs="Arial"/>
                <w:sz w:val="14"/>
                <w:szCs w:val="14"/>
              </w:rPr>
              <w:t>orientation vers les services et de la réactivité à la demande</w:t>
            </w:r>
            <w:r w:rsidR="003A20B3" w:rsidRPr="00A32AF4">
              <w:rPr>
                <w:rFonts w:cs="Arial"/>
                <w:sz w:val="14"/>
                <w:szCs w:val="14"/>
              </w:rPr>
              <w:br/>
            </w:r>
          </w:p>
          <w:p w:rsidR="00F93B76" w:rsidRPr="00A32AF4" w:rsidRDefault="00F93B76" w:rsidP="00DC0553">
            <w:pPr>
              <w:tabs>
                <w:tab w:val="left" w:pos="325"/>
                <w:tab w:val="right" w:pos="2040"/>
              </w:tabs>
              <w:rPr>
                <w:rFonts w:cs="Arial"/>
                <w:i/>
                <w:iCs/>
                <w:sz w:val="14"/>
                <w:szCs w:val="14"/>
              </w:rPr>
            </w:pPr>
          </w:p>
          <w:p w:rsidR="00F93B76" w:rsidRPr="00A32AF4" w:rsidRDefault="00A4309E" w:rsidP="00DC0553">
            <w:pPr>
              <w:tabs>
                <w:tab w:val="left" w:pos="284"/>
                <w:tab w:val="right" w:pos="2948"/>
              </w:tabs>
              <w:rPr>
                <w:rFonts w:cs="Arial"/>
                <w:i/>
                <w:iCs/>
                <w:sz w:val="14"/>
                <w:szCs w:val="14"/>
              </w:rPr>
            </w:pPr>
            <w:r w:rsidRPr="00A32AF4">
              <w:rPr>
                <w:rFonts w:cs="Arial"/>
                <w:i/>
                <w:iCs/>
                <w:sz w:val="14"/>
                <w:szCs w:val="14"/>
              </w:rPr>
              <w:tab/>
            </w:r>
            <w:r w:rsidR="00D52EFC" w:rsidRPr="00A32AF4">
              <w:rPr>
                <w:rFonts w:cs="Arial"/>
                <w:i/>
                <w:iCs/>
                <w:sz w:val="14"/>
                <w:szCs w:val="14"/>
              </w:rPr>
              <w:t>Budget proposé pour 2016</w:t>
            </w:r>
            <w:r w:rsidR="00EB7F54" w:rsidRPr="00A32AF4">
              <w:rPr>
                <w:rFonts w:cs="Arial"/>
                <w:i/>
                <w:iCs/>
                <w:sz w:val="14"/>
                <w:szCs w:val="14"/>
              </w:rPr>
              <w:noBreakHyphen/>
            </w:r>
            <w:r w:rsidR="00D52EFC" w:rsidRPr="00A32AF4">
              <w:rPr>
                <w:rFonts w:cs="Arial"/>
                <w:i/>
                <w:iCs/>
                <w:sz w:val="14"/>
                <w:szCs w:val="14"/>
              </w:rPr>
              <w:t>2017 :</w:t>
            </w:r>
            <w:r w:rsidR="003A20B3" w:rsidRPr="00A32AF4">
              <w:rPr>
                <w:rFonts w:cs="Arial"/>
                <w:i/>
                <w:iCs/>
                <w:sz w:val="14"/>
                <w:szCs w:val="14"/>
              </w:rPr>
              <w:tab/>
            </w:r>
            <w:r w:rsidR="00D52EFC" w:rsidRPr="00A32AF4">
              <w:rPr>
                <w:rFonts w:cs="Arial"/>
                <w:i/>
                <w:iCs/>
                <w:sz w:val="14"/>
                <w:szCs w:val="14"/>
              </w:rPr>
              <w:t>6</w:t>
            </w:r>
            <w:r w:rsidR="00A74326" w:rsidRPr="00A32AF4">
              <w:rPr>
                <w:rFonts w:cs="Arial"/>
                <w:i/>
                <w:iCs/>
                <w:sz w:val="14"/>
                <w:szCs w:val="14"/>
              </w:rPr>
              <w:t> </w:t>
            </w:r>
            <w:r w:rsidR="00D52EFC" w:rsidRPr="00A32AF4">
              <w:rPr>
                <w:rFonts w:cs="Arial"/>
                <w:i/>
                <w:iCs/>
                <w:sz w:val="14"/>
                <w:szCs w:val="14"/>
              </w:rPr>
              <w:t>2</w:t>
            </w:r>
            <w:r w:rsidRPr="00A32AF4">
              <w:rPr>
                <w:rFonts w:cs="Arial"/>
                <w:i/>
                <w:iCs/>
                <w:sz w:val="14"/>
                <w:szCs w:val="14"/>
              </w:rPr>
              <w:t>19</w:t>
            </w:r>
          </w:p>
          <w:p w:rsidR="00A4309E" w:rsidRPr="00A32AF4" w:rsidRDefault="00A4309E" w:rsidP="00DC0553">
            <w:pPr>
              <w:tabs>
                <w:tab w:val="left" w:pos="284"/>
                <w:tab w:val="right" w:pos="2948"/>
              </w:tabs>
              <w:rPr>
                <w:rFonts w:cs="Arial"/>
                <w:sz w:val="14"/>
                <w:szCs w:val="14"/>
              </w:rPr>
            </w:pPr>
            <w:r w:rsidRPr="00A32AF4">
              <w:rPr>
                <w:rFonts w:cs="Arial"/>
                <w:i/>
                <w:iCs/>
                <w:color w:val="0000FF"/>
                <w:sz w:val="14"/>
                <w:szCs w:val="14"/>
              </w:rPr>
              <w:tab/>
            </w:r>
            <w:r w:rsidR="00D52EFC" w:rsidRPr="00A32AF4">
              <w:rPr>
                <w:rFonts w:cs="Arial"/>
                <w:i/>
                <w:iCs/>
                <w:color w:val="0000FF"/>
                <w:sz w:val="14"/>
                <w:szCs w:val="14"/>
              </w:rPr>
              <w:t>P</w:t>
            </w:r>
            <w:r w:rsidR="003A20B3" w:rsidRPr="00A32AF4">
              <w:rPr>
                <w:rFonts w:cs="Arial"/>
                <w:i/>
                <w:iCs/>
                <w:color w:val="0000FF"/>
                <w:sz w:val="14"/>
                <w:szCs w:val="14"/>
              </w:rPr>
              <w:t>art consacrée au développement :</w:t>
            </w:r>
            <w:r w:rsidR="003A20B3" w:rsidRPr="00A32AF4">
              <w:rPr>
                <w:rFonts w:cs="Arial"/>
                <w:i/>
                <w:iCs/>
                <w:color w:val="0000FF"/>
                <w:sz w:val="14"/>
                <w:szCs w:val="14"/>
              </w:rPr>
              <w:tab/>
            </w:r>
            <w:r w:rsidR="00D52EFC" w:rsidRPr="00A32AF4">
              <w:rPr>
                <w:rFonts w:cs="Arial"/>
                <w:i/>
                <w:iCs/>
                <w:color w:val="0000FF"/>
                <w:sz w:val="14"/>
                <w:szCs w:val="14"/>
              </w:rPr>
              <w:t>2 7</w:t>
            </w:r>
            <w:r w:rsidRPr="00A32AF4">
              <w:rPr>
                <w:rFonts w:cs="Arial"/>
                <w:i/>
                <w:iCs/>
                <w:color w:val="0000FF"/>
                <w:sz w:val="14"/>
                <w:szCs w:val="14"/>
              </w:rPr>
              <w:t>79</w:t>
            </w:r>
          </w:p>
        </w:tc>
        <w:tc>
          <w:tcPr>
            <w:tcW w:w="3041" w:type="dxa"/>
            <w:tcBorders>
              <w:top w:val="nil"/>
              <w:left w:val="nil"/>
              <w:bottom w:val="nil"/>
              <w:right w:val="nil"/>
            </w:tcBorders>
            <w:shd w:val="clear" w:color="auto" w:fill="auto"/>
          </w:tcPr>
          <w:p w:rsidR="00F93B76" w:rsidRPr="00A32AF4" w:rsidRDefault="00F93B76" w:rsidP="00DC0553">
            <w:pPr>
              <w:tabs>
                <w:tab w:val="right" w:pos="2835"/>
              </w:tabs>
              <w:rPr>
                <w:rFonts w:cs="Arial"/>
                <w:sz w:val="14"/>
                <w:szCs w:val="14"/>
              </w:rPr>
            </w:pPr>
          </w:p>
          <w:p w:rsidR="00F93B76" w:rsidRPr="00A32AF4" w:rsidRDefault="001C3CA9" w:rsidP="00DC0553">
            <w:pPr>
              <w:tabs>
                <w:tab w:val="right" w:pos="2835"/>
              </w:tabs>
              <w:spacing w:after="60"/>
              <w:rPr>
                <w:rFonts w:cs="Arial"/>
                <w:sz w:val="14"/>
                <w:szCs w:val="14"/>
              </w:rPr>
            </w:pPr>
            <w:r w:rsidRPr="00A32AF4">
              <w:rPr>
                <w:rFonts w:cs="Arial"/>
                <w:sz w:val="14"/>
                <w:szCs w:val="14"/>
              </w:rPr>
              <w:t>VIII.3</w:t>
            </w:r>
            <w:r w:rsidRPr="00A32AF4">
              <w:rPr>
                <w:rFonts w:cs="Arial"/>
                <w:color w:val="000000"/>
                <w:sz w:val="14"/>
                <w:szCs w:val="14"/>
              </w:rPr>
              <w:t xml:space="preserve">. </w:t>
            </w:r>
            <w:r w:rsidRPr="00A32AF4">
              <w:rPr>
                <w:rFonts w:cs="Arial"/>
                <w:sz w:val="14"/>
                <w:szCs w:val="14"/>
              </w:rPr>
              <w:t>Engagement réel auprès des États membres</w:t>
            </w:r>
            <w:r w:rsidR="003A20B3" w:rsidRPr="00A32AF4">
              <w:rPr>
                <w:rFonts w:cs="Arial"/>
                <w:sz w:val="14"/>
                <w:szCs w:val="14"/>
              </w:rPr>
              <w:br/>
            </w:r>
          </w:p>
          <w:p w:rsidR="00F93B76" w:rsidRPr="00A32AF4" w:rsidRDefault="00F93B76" w:rsidP="00DC0553">
            <w:pPr>
              <w:tabs>
                <w:tab w:val="left" w:pos="378"/>
                <w:tab w:val="right" w:pos="2040"/>
              </w:tabs>
              <w:rPr>
                <w:rFonts w:cs="Arial"/>
                <w:i/>
                <w:iCs/>
                <w:sz w:val="14"/>
                <w:szCs w:val="14"/>
              </w:rPr>
            </w:pPr>
          </w:p>
          <w:p w:rsidR="00F93B76" w:rsidRPr="00A32AF4" w:rsidRDefault="00A4309E" w:rsidP="00DC0553">
            <w:pPr>
              <w:tabs>
                <w:tab w:val="left" w:pos="284"/>
                <w:tab w:val="right" w:pos="2948"/>
              </w:tabs>
              <w:rPr>
                <w:rFonts w:cs="Arial"/>
                <w:i/>
                <w:iCs/>
                <w:sz w:val="14"/>
                <w:szCs w:val="14"/>
              </w:rPr>
            </w:pPr>
            <w:r w:rsidRPr="00A32AF4">
              <w:rPr>
                <w:rFonts w:cs="Arial"/>
                <w:i/>
                <w:iCs/>
                <w:sz w:val="14"/>
                <w:szCs w:val="14"/>
              </w:rPr>
              <w:tab/>
            </w:r>
            <w:r w:rsidR="00D52EFC" w:rsidRPr="00A32AF4">
              <w:rPr>
                <w:rFonts w:cs="Arial"/>
                <w:i/>
                <w:iCs/>
                <w:sz w:val="14"/>
                <w:szCs w:val="14"/>
              </w:rPr>
              <w:t>Budget proposé pour 2016</w:t>
            </w:r>
            <w:r w:rsidR="00EB7F54" w:rsidRPr="00A32AF4">
              <w:rPr>
                <w:rFonts w:cs="Arial"/>
                <w:i/>
                <w:iCs/>
                <w:sz w:val="14"/>
                <w:szCs w:val="14"/>
              </w:rPr>
              <w:noBreakHyphen/>
            </w:r>
            <w:r w:rsidR="00D52EFC" w:rsidRPr="00A32AF4">
              <w:rPr>
                <w:rFonts w:cs="Arial"/>
                <w:i/>
                <w:iCs/>
                <w:sz w:val="14"/>
                <w:szCs w:val="14"/>
              </w:rPr>
              <w:t>2017 :</w:t>
            </w:r>
            <w:r w:rsidRPr="00A32AF4">
              <w:rPr>
                <w:rFonts w:cs="Arial"/>
                <w:i/>
                <w:iCs/>
                <w:sz w:val="14"/>
                <w:szCs w:val="14"/>
              </w:rPr>
              <w:t xml:space="preserve"> </w:t>
            </w:r>
            <w:r w:rsidR="00D52EFC" w:rsidRPr="00A32AF4">
              <w:rPr>
                <w:rFonts w:cs="Arial"/>
                <w:i/>
                <w:iCs/>
                <w:sz w:val="14"/>
                <w:szCs w:val="14"/>
              </w:rPr>
              <w:t>7</w:t>
            </w:r>
            <w:r w:rsidR="003A20B3" w:rsidRPr="00A32AF4">
              <w:rPr>
                <w:rFonts w:cs="Arial"/>
                <w:i/>
                <w:iCs/>
                <w:sz w:val="14"/>
                <w:szCs w:val="14"/>
              </w:rPr>
              <w:t> </w:t>
            </w:r>
            <w:r w:rsidR="00D52EFC" w:rsidRPr="00A32AF4">
              <w:rPr>
                <w:rFonts w:cs="Arial"/>
                <w:i/>
                <w:iCs/>
                <w:sz w:val="14"/>
                <w:szCs w:val="14"/>
              </w:rPr>
              <w:t>0</w:t>
            </w:r>
            <w:r w:rsidRPr="00A32AF4">
              <w:rPr>
                <w:rFonts w:cs="Arial"/>
                <w:i/>
                <w:iCs/>
                <w:sz w:val="14"/>
                <w:szCs w:val="14"/>
              </w:rPr>
              <w:t>99</w:t>
            </w:r>
          </w:p>
          <w:p w:rsidR="00A4309E" w:rsidRPr="00A32AF4" w:rsidRDefault="00A4309E" w:rsidP="00DC0553">
            <w:pPr>
              <w:tabs>
                <w:tab w:val="left" w:pos="284"/>
                <w:tab w:val="right" w:pos="2948"/>
              </w:tabs>
              <w:rPr>
                <w:rFonts w:cs="Arial"/>
                <w:color w:val="000000"/>
                <w:sz w:val="14"/>
                <w:szCs w:val="14"/>
              </w:rPr>
            </w:pPr>
            <w:r w:rsidRPr="00A32AF4">
              <w:rPr>
                <w:rFonts w:cs="Arial"/>
                <w:i/>
                <w:iCs/>
                <w:sz w:val="14"/>
                <w:szCs w:val="14"/>
              </w:rPr>
              <w:tab/>
            </w:r>
            <w:r w:rsidR="003A20B3" w:rsidRPr="00A32AF4">
              <w:rPr>
                <w:rFonts w:cs="Arial"/>
                <w:i/>
                <w:iCs/>
                <w:color w:val="0000FF"/>
                <w:sz w:val="14"/>
                <w:szCs w:val="14"/>
              </w:rPr>
              <w:t>Part consacrée au développement :</w:t>
            </w:r>
            <w:r w:rsidRPr="00A32AF4">
              <w:rPr>
                <w:rFonts w:cs="Arial"/>
                <w:i/>
                <w:iCs/>
                <w:color w:val="0000FF"/>
                <w:sz w:val="14"/>
                <w:szCs w:val="14"/>
              </w:rPr>
              <w:tab/>
            </w:r>
            <w:r w:rsidR="003A20B3" w:rsidRPr="00A32AF4">
              <w:rPr>
                <w:rFonts w:cs="Arial"/>
                <w:i/>
                <w:iCs/>
                <w:color w:val="0000FF"/>
                <w:sz w:val="14"/>
                <w:szCs w:val="14"/>
              </w:rPr>
              <w:t>–</w:t>
            </w:r>
          </w:p>
        </w:tc>
        <w:tc>
          <w:tcPr>
            <w:tcW w:w="3040" w:type="dxa"/>
            <w:tcBorders>
              <w:top w:val="nil"/>
              <w:left w:val="nil"/>
              <w:bottom w:val="nil"/>
              <w:right w:val="nil"/>
            </w:tcBorders>
            <w:shd w:val="clear" w:color="auto" w:fill="auto"/>
          </w:tcPr>
          <w:p w:rsidR="00F93B76" w:rsidRPr="00A32AF4" w:rsidRDefault="00F93B76" w:rsidP="00DC0553">
            <w:pPr>
              <w:tabs>
                <w:tab w:val="right" w:pos="2835"/>
              </w:tabs>
              <w:rPr>
                <w:rFonts w:cs="Arial"/>
                <w:sz w:val="14"/>
                <w:szCs w:val="14"/>
              </w:rPr>
            </w:pPr>
          </w:p>
          <w:p w:rsidR="00F93B76" w:rsidRPr="00A32AF4" w:rsidRDefault="001C3CA9" w:rsidP="00DC0553">
            <w:pPr>
              <w:tabs>
                <w:tab w:val="right" w:pos="2835"/>
              </w:tabs>
              <w:spacing w:after="60"/>
              <w:rPr>
                <w:rFonts w:cs="Arial"/>
                <w:sz w:val="14"/>
                <w:szCs w:val="14"/>
              </w:rPr>
            </w:pPr>
            <w:r w:rsidRPr="00A32AF4">
              <w:rPr>
                <w:rFonts w:cs="Arial"/>
                <w:sz w:val="14"/>
                <w:szCs w:val="14"/>
              </w:rPr>
              <w:t>VIII.4</w:t>
            </w:r>
            <w:r w:rsidRPr="00A32AF4">
              <w:rPr>
                <w:rFonts w:cs="Arial"/>
                <w:color w:val="000000"/>
                <w:sz w:val="14"/>
                <w:szCs w:val="14"/>
              </w:rPr>
              <w:t xml:space="preserve">. </w:t>
            </w:r>
            <w:r w:rsidRPr="00A32AF4">
              <w:rPr>
                <w:rFonts w:cs="Arial"/>
                <w:sz w:val="14"/>
                <w:szCs w:val="14"/>
              </w:rPr>
              <w:t>Échanges ouverts, transparents et dynamiques avec les parties prenantes non gouvernementales</w:t>
            </w:r>
            <w:r w:rsidR="003A20B3" w:rsidRPr="00A32AF4">
              <w:rPr>
                <w:rFonts w:cs="Arial"/>
                <w:sz w:val="14"/>
                <w:szCs w:val="14"/>
              </w:rPr>
              <w:br/>
            </w:r>
          </w:p>
          <w:p w:rsidR="00F93B76" w:rsidRPr="00A32AF4" w:rsidRDefault="00A4309E" w:rsidP="00DC0553">
            <w:pPr>
              <w:tabs>
                <w:tab w:val="left" w:pos="284"/>
                <w:tab w:val="right" w:pos="2948"/>
              </w:tabs>
              <w:rPr>
                <w:rFonts w:cs="Arial"/>
                <w:i/>
                <w:iCs/>
                <w:sz w:val="14"/>
                <w:szCs w:val="14"/>
              </w:rPr>
            </w:pPr>
            <w:r w:rsidRPr="00A32AF4">
              <w:rPr>
                <w:rFonts w:cs="Arial"/>
                <w:i/>
                <w:iCs/>
                <w:sz w:val="14"/>
                <w:szCs w:val="14"/>
              </w:rPr>
              <w:tab/>
            </w:r>
            <w:r w:rsidR="00D52EFC" w:rsidRPr="00A32AF4">
              <w:rPr>
                <w:rFonts w:cs="Arial"/>
                <w:i/>
                <w:iCs/>
                <w:sz w:val="14"/>
                <w:szCs w:val="14"/>
              </w:rPr>
              <w:t>Budget proposé pour 2016</w:t>
            </w:r>
            <w:r w:rsidR="00EB7F54" w:rsidRPr="00A32AF4">
              <w:rPr>
                <w:rFonts w:cs="Arial"/>
                <w:i/>
                <w:iCs/>
                <w:sz w:val="14"/>
                <w:szCs w:val="14"/>
              </w:rPr>
              <w:noBreakHyphen/>
            </w:r>
            <w:r w:rsidR="00D52EFC" w:rsidRPr="00A32AF4">
              <w:rPr>
                <w:rFonts w:cs="Arial"/>
                <w:i/>
                <w:iCs/>
                <w:sz w:val="14"/>
                <w:szCs w:val="14"/>
              </w:rPr>
              <w:t>2017 :</w:t>
            </w:r>
            <w:r w:rsidR="003A20B3" w:rsidRPr="00A32AF4">
              <w:rPr>
                <w:rFonts w:cs="Arial"/>
                <w:i/>
                <w:iCs/>
                <w:sz w:val="14"/>
                <w:szCs w:val="14"/>
              </w:rPr>
              <w:t xml:space="preserve"> </w:t>
            </w:r>
            <w:r w:rsidRPr="00A32AF4">
              <w:rPr>
                <w:rFonts w:cs="Arial"/>
                <w:i/>
                <w:iCs/>
                <w:sz w:val="14"/>
                <w:szCs w:val="14"/>
              </w:rPr>
              <w:tab/>
            </w:r>
            <w:r w:rsidR="00D52EFC" w:rsidRPr="00A32AF4">
              <w:rPr>
                <w:rFonts w:cs="Arial"/>
                <w:i/>
                <w:iCs/>
                <w:sz w:val="14"/>
                <w:szCs w:val="14"/>
              </w:rPr>
              <w:t>1 1</w:t>
            </w:r>
            <w:r w:rsidRPr="00A32AF4">
              <w:rPr>
                <w:rFonts w:cs="Arial"/>
                <w:i/>
                <w:iCs/>
                <w:sz w:val="14"/>
                <w:szCs w:val="14"/>
              </w:rPr>
              <w:t>28</w:t>
            </w:r>
          </w:p>
          <w:p w:rsidR="00A4309E" w:rsidRPr="00A32AF4" w:rsidRDefault="00A4309E" w:rsidP="00DC0553">
            <w:pPr>
              <w:tabs>
                <w:tab w:val="left" w:pos="284"/>
                <w:tab w:val="right" w:pos="2948"/>
              </w:tabs>
              <w:rPr>
                <w:rFonts w:cs="Arial"/>
                <w:sz w:val="14"/>
                <w:szCs w:val="14"/>
              </w:rPr>
            </w:pPr>
            <w:r w:rsidRPr="00A32AF4">
              <w:rPr>
                <w:rFonts w:cs="Arial"/>
                <w:i/>
                <w:iCs/>
                <w:color w:val="0000FF"/>
                <w:sz w:val="14"/>
                <w:szCs w:val="14"/>
              </w:rPr>
              <w:tab/>
            </w:r>
            <w:r w:rsidR="00D52EFC" w:rsidRPr="00A32AF4">
              <w:rPr>
                <w:rFonts w:cs="Arial"/>
                <w:i/>
                <w:iCs/>
                <w:color w:val="0000FF"/>
                <w:sz w:val="14"/>
                <w:szCs w:val="14"/>
              </w:rPr>
              <w:t>Part consacrée au développement :</w:t>
            </w:r>
            <w:r w:rsidR="003A20B3" w:rsidRPr="00A32AF4">
              <w:rPr>
                <w:rFonts w:cs="Arial"/>
                <w:i/>
                <w:iCs/>
                <w:color w:val="0000FF"/>
                <w:sz w:val="14"/>
                <w:szCs w:val="14"/>
              </w:rPr>
              <w:tab/>
              <w:t>–</w:t>
            </w:r>
          </w:p>
        </w:tc>
        <w:tc>
          <w:tcPr>
            <w:tcW w:w="3041" w:type="dxa"/>
            <w:tcBorders>
              <w:top w:val="nil"/>
              <w:left w:val="nil"/>
              <w:bottom w:val="nil"/>
              <w:right w:val="nil"/>
            </w:tcBorders>
            <w:shd w:val="clear" w:color="auto" w:fill="auto"/>
          </w:tcPr>
          <w:p w:rsidR="00F93B76" w:rsidRPr="00A32AF4" w:rsidRDefault="00F93B76" w:rsidP="00DC0553">
            <w:pPr>
              <w:tabs>
                <w:tab w:val="right" w:pos="2835"/>
              </w:tabs>
              <w:rPr>
                <w:rFonts w:cs="Arial"/>
                <w:color w:val="000000"/>
                <w:sz w:val="14"/>
                <w:szCs w:val="14"/>
              </w:rPr>
            </w:pPr>
          </w:p>
          <w:p w:rsidR="00F93B76" w:rsidRPr="00A32AF4" w:rsidRDefault="001C3CA9" w:rsidP="00DC0553">
            <w:pPr>
              <w:tabs>
                <w:tab w:val="right" w:pos="2835"/>
              </w:tabs>
              <w:spacing w:after="60"/>
              <w:rPr>
                <w:rFonts w:cs="Arial"/>
                <w:color w:val="000000"/>
                <w:sz w:val="14"/>
                <w:szCs w:val="14"/>
              </w:rPr>
            </w:pPr>
            <w:r w:rsidRPr="00A32AF4">
              <w:rPr>
                <w:rFonts w:cs="Arial"/>
                <w:sz w:val="14"/>
                <w:szCs w:val="14"/>
              </w:rPr>
              <w:t>VIII.5</w:t>
            </w:r>
            <w:r w:rsidRPr="00A32AF4">
              <w:rPr>
                <w:rFonts w:cs="Arial"/>
                <w:color w:val="000000"/>
                <w:sz w:val="14"/>
                <w:szCs w:val="14"/>
              </w:rPr>
              <w:t xml:space="preserve">. </w:t>
            </w:r>
            <w:r w:rsidRPr="00A32AF4">
              <w:rPr>
                <w:rFonts w:cs="Arial"/>
                <w:sz w:val="14"/>
                <w:szCs w:val="14"/>
              </w:rPr>
              <w:t>L</w:t>
            </w:r>
            <w:r w:rsidR="00E2055A" w:rsidRPr="00A32AF4">
              <w:rPr>
                <w:rFonts w:cs="Arial"/>
                <w:sz w:val="14"/>
                <w:szCs w:val="14"/>
              </w:rPr>
              <w:t>’</w:t>
            </w:r>
            <w:r w:rsidRPr="00A32AF4">
              <w:rPr>
                <w:rFonts w:cs="Arial"/>
                <w:sz w:val="14"/>
                <w:szCs w:val="14"/>
              </w:rPr>
              <w:t>OMPI collabore efficacement avec d</w:t>
            </w:r>
            <w:r w:rsidR="00E2055A" w:rsidRPr="00A32AF4">
              <w:rPr>
                <w:rFonts w:cs="Arial"/>
                <w:sz w:val="14"/>
                <w:szCs w:val="14"/>
              </w:rPr>
              <w:t>’</w:t>
            </w:r>
            <w:r w:rsidRPr="00A32AF4">
              <w:rPr>
                <w:rFonts w:cs="Arial"/>
                <w:sz w:val="14"/>
                <w:szCs w:val="14"/>
              </w:rPr>
              <w:t>autres processus et instances de négociation de l</w:t>
            </w:r>
            <w:r w:rsidR="00E2055A" w:rsidRPr="00A32AF4">
              <w:rPr>
                <w:rFonts w:cs="Arial"/>
                <w:sz w:val="14"/>
                <w:szCs w:val="14"/>
              </w:rPr>
              <w:t>’</w:t>
            </w:r>
            <w:r w:rsidRPr="00A32AF4">
              <w:rPr>
                <w:rFonts w:cs="Arial"/>
                <w:sz w:val="14"/>
                <w:szCs w:val="14"/>
              </w:rPr>
              <w:t>ONU et d</w:t>
            </w:r>
            <w:r w:rsidR="00E2055A" w:rsidRPr="00A32AF4">
              <w:rPr>
                <w:rFonts w:cs="Arial"/>
                <w:sz w:val="14"/>
                <w:szCs w:val="14"/>
              </w:rPr>
              <w:t>’</w:t>
            </w:r>
            <w:r w:rsidRPr="00A32AF4">
              <w:rPr>
                <w:rFonts w:cs="Arial"/>
                <w:sz w:val="14"/>
                <w:szCs w:val="14"/>
              </w:rPr>
              <w:t>autres organisations intergouvernementales</w:t>
            </w:r>
          </w:p>
          <w:p w:rsidR="00F93B76" w:rsidRPr="00A32AF4" w:rsidRDefault="00A4309E" w:rsidP="00DC0553">
            <w:pPr>
              <w:tabs>
                <w:tab w:val="left" w:pos="284"/>
                <w:tab w:val="right" w:pos="2948"/>
              </w:tabs>
              <w:rPr>
                <w:rFonts w:cs="Arial"/>
                <w:i/>
                <w:iCs/>
                <w:color w:val="000000"/>
                <w:sz w:val="14"/>
                <w:szCs w:val="14"/>
              </w:rPr>
            </w:pPr>
            <w:r w:rsidRPr="00A32AF4">
              <w:rPr>
                <w:rFonts w:cs="Arial"/>
                <w:i/>
                <w:iCs/>
                <w:color w:val="000000"/>
                <w:sz w:val="14"/>
                <w:szCs w:val="14"/>
              </w:rPr>
              <w:tab/>
            </w:r>
            <w:r w:rsidR="00D52EFC" w:rsidRPr="00A32AF4">
              <w:rPr>
                <w:rFonts w:cs="Arial"/>
                <w:i/>
                <w:iCs/>
                <w:color w:val="000000"/>
                <w:sz w:val="14"/>
                <w:szCs w:val="14"/>
              </w:rPr>
              <w:t>Budget proposé pour 2016</w:t>
            </w:r>
            <w:r w:rsidR="00EB7F54" w:rsidRPr="00A32AF4">
              <w:rPr>
                <w:rFonts w:cs="Arial"/>
                <w:i/>
                <w:iCs/>
                <w:color w:val="000000"/>
                <w:sz w:val="14"/>
                <w:szCs w:val="14"/>
              </w:rPr>
              <w:noBreakHyphen/>
            </w:r>
            <w:r w:rsidR="00D52EFC" w:rsidRPr="00A32AF4">
              <w:rPr>
                <w:rFonts w:cs="Arial"/>
                <w:i/>
                <w:iCs/>
                <w:color w:val="000000"/>
                <w:sz w:val="14"/>
                <w:szCs w:val="14"/>
              </w:rPr>
              <w:t>2017 :</w:t>
            </w:r>
            <w:r w:rsidRPr="00A32AF4">
              <w:rPr>
                <w:rFonts w:cs="Arial"/>
                <w:i/>
                <w:iCs/>
                <w:color w:val="000000"/>
                <w:sz w:val="14"/>
                <w:szCs w:val="14"/>
              </w:rPr>
              <w:t xml:space="preserve">  </w:t>
            </w:r>
            <w:r w:rsidRPr="00A32AF4">
              <w:rPr>
                <w:rFonts w:cs="Arial"/>
                <w:i/>
                <w:iCs/>
                <w:color w:val="000000"/>
                <w:sz w:val="14"/>
                <w:szCs w:val="14"/>
              </w:rPr>
              <w:tab/>
            </w:r>
            <w:r w:rsidR="00D52EFC" w:rsidRPr="00A32AF4">
              <w:rPr>
                <w:rFonts w:cs="Arial"/>
                <w:i/>
                <w:iCs/>
                <w:color w:val="000000"/>
                <w:sz w:val="14"/>
                <w:szCs w:val="14"/>
              </w:rPr>
              <w:t>6 1</w:t>
            </w:r>
            <w:r w:rsidRPr="00A32AF4">
              <w:rPr>
                <w:rFonts w:cs="Arial"/>
                <w:i/>
                <w:iCs/>
                <w:color w:val="000000"/>
                <w:sz w:val="14"/>
                <w:szCs w:val="14"/>
              </w:rPr>
              <w:t>96</w:t>
            </w:r>
          </w:p>
          <w:p w:rsidR="00A4309E" w:rsidRPr="00A32AF4" w:rsidRDefault="00A4309E" w:rsidP="00DC0553">
            <w:pPr>
              <w:tabs>
                <w:tab w:val="left" w:pos="284"/>
                <w:tab w:val="right" w:pos="2948"/>
              </w:tabs>
              <w:rPr>
                <w:rFonts w:cs="Arial"/>
                <w:i/>
                <w:iCs/>
                <w:color w:val="0000FF"/>
                <w:sz w:val="14"/>
                <w:szCs w:val="14"/>
              </w:rPr>
            </w:pPr>
            <w:r w:rsidRPr="00A32AF4">
              <w:rPr>
                <w:rFonts w:cs="Arial"/>
                <w:i/>
                <w:iCs/>
                <w:color w:val="0000FF"/>
                <w:sz w:val="14"/>
                <w:szCs w:val="14"/>
              </w:rPr>
              <w:tab/>
            </w:r>
            <w:r w:rsidR="00D52EFC" w:rsidRPr="00A32AF4">
              <w:rPr>
                <w:rFonts w:cs="Arial"/>
                <w:i/>
                <w:iCs/>
                <w:color w:val="0000FF"/>
                <w:sz w:val="14"/>
                <w:szCs w:val="14"/>
              </w:rPr>
              <w:t>Part consacrée au développement :</w:t>
            </w:r>
            <w:r w:rsidR="003A20B3" w:rsidRPr="00A32AF4">
              <w:rPr>
                <w:rFonts w:cs="Arial"/>
                <w:i/>
                <w:iCs/>
                <w:color w:val="0000FF"/>
                <w:sz w:val="14"/>
                <w:szCs w:val="14"/>
              </w:rPr>
              <w:tab/>
            </w:r>
            <w:r w:rsidRPr="00A32AF4">
              <w:rPr>
                <w:rFonts w:cs="Arial"/>
                <w:i/>
                <w:iCs/>
                <w:color w:val="0000FF"/>
                <w:sz w:val="14"/>
                <w:szCs w:val="14"/>
              </w:rPr>
              <w:t xml:space="preserve"> </w:t>
            </w:r>
            <w:r w:rsidR="00D52EFC" w:rsidRPr="00A32AF4">
              <w:rPr>
                <w:rFonts w:cs="Arial"/>
                <w:i/>
                <w:iCs/>
                <w:color w:val="0000FF"/>
                <w:sz w:val="14"/>
                <w:szCs w:val="14"/>
              </w:rPr>
              <w:t>3 7</w:t>
            </w:r>
            <w:r w:rsidRPr="00A32AF4">
              <w:rPr>
                <w:rFonts w:cs="Arial"/>
                <w:i/>
                <w:iCs/>
                <w:color w:val="0000FF"/>
                <w:sz w:val="14"/>
                <w:szCs w:val="14"/>
              </w:rPr>
              <w:t>84</w:t>
            </w:r>
          </w:p>
        </w:tc>
        <w:tc>
          <w:tcPr>
            <w:tcW w:w="3044" w:type="dxa"/>
            <w:tcBorders>
              <w:top w:val="nil"/>
              <w:left w:val="nil"/>
              <w:bottom w:val="nil"/>
              <w:right w:val="single" w:sz="4" w:space="0" w:color="auto"/>
            </w:tcBorders>
            <w:shd w:val="clear" w:color="auto" w:fill="auto"/>
            <w:vAlign w:val="bottom"/>
          </w:tcPr>
          <w:p w:rsidR="00F93B76" w:rsidRPr="00A32AF4" w:rsidRDefault="003A20B3" w:rsidP="00DC0553">
            <w:pPr>
              <w:tabs>
                <w:tab w:val="left" w:pos="284"/>
                <w:tab w:val="right" w:pos="2948"/>
              </w:tabs>
              <w:rPr>
                <w:rFonts w:cs="Arial"/>
                <w:i/>
                <w:iCs/>
                <w:sz w:val="14"/>
                <w:szCs w:val="14"/>
              </w:rPr>
            </w:pPr>
            <w:r w:rsidRPr="00A32AF4">
              <w:rPr>
                <w:rFonts w:cs="Arial"/>
                <w:i/>
                <w:iCs/>
                <w:sz w:val="14"/>
                <w:szCs w:val="14"/>
              </w:rPr>
              <w:t xml:space="preserve">Budget total </w:t>
            </w:r>
            <w:r w:rsidRPr="00A32AF4">
              <w:rPr>
                <w:rFonts w:cs="Arial"/>
                <w:i/>
                <w:iCs/>
                <w:color w:val="000000"/>
                <w:sz w:val="14"/>
                <w:szCs w:val="14"/>
              </w:rPr>
              <w:t>proposé</w:t>
            </w:r>
            <w:r w:rsidRPr="00A32AF4">
              <w:rPr>
                <w:rFonts w:cs="Arial"/>
                <w:i/>
                <w:iCs/>
                <w:sz w:val="14"/>
                <w:szCs w:val="14"/>
              </w:rPr>
              <w:t xml:space="preserve"> pour l</w:t>
            </w:r>
            <w:r w:rsidR="00E2055A" w:rsidRPr="00A32AF4">
              <w:rPr>
                <w:rFonts w:cs="Arial"/>
                <w:i/>
                <w:iCs/>
                <w:sz w:val="14"/>
                <w:szCs w:val="14"/>
              </w:rPr>
              <w:t>’</w:t>
            </w:r>
            <w:r w:rsidRPr="00A32AF4">
              <w:rPr>
                <w:rFonts w:cs="Arial"/>
                <w:i/>
                <w:iCs/>
                <w:sz w:val="14"/>
                <w:szCs w:val="14"/>
              </w:rPr>
              <w:t>OS</w:t>
            </w:r>
            <w:r w:rsidR="00A4309E" w:rsidRPr="00A32AF4">
              <w:rPr>
                <w:rFonts w:cs="Arial"/>
                <w:i/>
                <w:iCs/>
                <w:sz w:val="14"/>
                <w:szCs w:val="14"/>
              </w:rPr>
              <w:t xml:space="preserve"> VIII</w:t>
            </w:r>
            <w:r w:rsidRPr="00A32AF4">
              <w:rPr>
                <w:rFonts w:cs="Arial"/>
                <w:i/>
                <w:iCs/>
                <w:sz w:val="14"/>
                <w:szCs w:val="14"/>
              </w:rPr>
              <w:t> </w:t>
            </w:r>
            <w:r w:rsidR="00A4309E" w:rsidRPr="00A32AF4">
              <w:rPr>
                <w:rFonts w:cs="Arial"/>
                <w:i/>
                <w:iCs/>
                <w:sz w:val="14"/>
                <w:szCs w:val="14"/>
              </w:rPr>
              <w:t>:</w:t>
            </w:r>
            <w:r w:rsidRPr="00A32AF4">
              <w:rPr>
                <w:rFonts w:cs="Arial"/>
                <w:i/>
                <w:iCs/>
                <w:sz w:val="14"/>
                <w:szCs w:val="14"/>
              </w:rPr>
              <w:tab/>
            </w:r>
            <w:r w:rsidR="00A4309E" w:rsidRPr="00A32AF4">
              <w:rPr>
                <w:rFonts w:cs="Arial"/>
                <w:i/>
                <w:iCs/>
                <w:sz w:val="14"/>
                <w:szCs w:val="14"/>
              </w:rPr>
              <w:t>3</w:t>
            </w:r>
            <w:r w:rsidR="00D52EFC" w:rsidRPr="00A32AF4">
              <w:rPr>
                <w:rFonts w:cs="Arial"/>
                <w:i/>
                <w:iCs/>
                <w:sz w:val="14"/>
                <w:szCs w:val="14"/>
              </w:rPr>
              <w:t>2 6</w:t>
            </w:r>
            <w:r w:rsidR="00A4309E" w:rsidRPr="00A32AF4">
              <w:rPr>
                <w:rFonts w:cs="Arial"/>
                <w:i/>
                <w:iCs/>
                <w:sz w:val="14"/>
                <w:szCs w:val="14"/>
              </w:rPr>
              <w:t>75</w:t>
            </w:r>
          </w:p>
          <w:p w:rsidR="00A4309E" w:rsidRPr="00A32AF4" w:rsidRDefault="003A20B3" w:rsidP="00DC0553">
            <w:pPr>
              <w:tabs>
                <w:tab w:val="left" w:pos="284"/>
                <w:tab w:val="right" w:pos="2948"/>
              </w:tabs>
              <w:rPr>
                <w:rFonts w:cs="Arial"/>
                <w:i/>
                <w:iCs/>
                <w:sz w:val="14"/>
                <w:szCs w:val="14"/>
              </w:rPr>
            </w:pPr>
            <w:r w:rsidRPr="00A32AF4">
              <w:rPr>
                <w:rFonts w:cs="Arial"/>
                <w:i/>
                <w:iCs/>
                <w:color w:val="0000FF"/>
                <w:sz w:val="14"/>
                <w:szCs w:val="14"/>
              </w:rPr>
              <w:t>Part totale du budget de l</w:t>
            </w:r>
            <w:r w:rsidR="00E2055A" w:rsidRPr="00A32AF4">
              <w:rPr>
                <w:rFonts w:cs="Arial"/>
                <w:i/>
                <w:iCs/>
                <w:color w:val="0000FF"/>
                <w:sz w:val="14"/>
                <w:szCs w:val="14"/>
              </w:rPr>
              <w:t>’</w:t>
            </w:r>
            <w:r w:rsidRPr="00A32AF4">
              <w:rPr>
                <w:rFonts w:cs="Arial"/>
                <w:i/>
                <w:iCs/>
                <w:color w:val="0000FF"/>
                <w:sz w:val="14"/>
                <w:szCs w:val="14"/>
              </w:rPr>
              <w:t xml:space="preserve">OS VIII </w:t>
            </w:r>
            <w:r w:rsidRPr="00A32AF4">
              <w:rPr>
                <w:rFonts w:cs="Arial"/>
                <w:i/>
                <w:iCs/>
                <w:color w:val="0000FF"/>
                <w:sz w:val="14"/>
                <w:szCs w:val="14"/>
              </w:rPr>
              <w:br/>
              <w:t>consacrée au développement :</w:t>
            </w:r>
            <w:r w:rsidRPr="00A32AF4">
              <w:rPr>
                <w:rFonts w:cs="Arial"/>
                <w:i/>
                <w:iCs/>
                <w:color w:val="0000FF"/>
                <w:sz w:val="14"/>
                <w:szCs w:val="14"/>
              </w:rPr>
              <w:tab/>
            </w:r>
            <w:r w:rsidR="00A4309E" w:rsidRPr="00A32AF4">
              <w:rPr>
                <w:rFonts w:cs="Arial"/>
                <w:i/>
                <w:iCs/>
                <w:color w:val="0000FF"/>
                <w:sz w:val="14"/>
                <w:szCs w:val="14"/>
              </w:rPr>
              <w:t>1</w:t>
            </w:r>
            <w:r w:rsidR="00D52EFC" w:rsidRPr="00A32AF4">
              <w:rPr>
                <w:rFonts w:cs="Arial"/>
                <w:i/>
                <w:iCs/>
                <w:color w:val="0000FF"/>
                <w:sz w:val="14"/>
                <w:szCs w:val="14"/>
              </w:rPr>
              <w:t>0 8</w:t>
            </w:r>
            <w:r w:rsidR="00A4309E" w:rsidRPr="00A32AF4">
              <w:rPr>
                <w:rFonts w:cs="Arial"/>
                <w:i/>
                <w:iCs/>
                <w:color w:val="0000FF"/>
                <w:sz w:val="14"/>
                <w:szCs w:val="14"/>
              </w:rPr>
              <w:t>31</w:t>
            </w:r>
          </w:p>
        </w:tc>
      </w:tr>
      <w:tr w:rsidR="001B004D" w:rsidRPr="00A32AF4" w:rsidTr="001B004D">
        <w:trPr>
          <w:trHeight w:val="559"/>
        </w:trPr>
        <w:tc>
          <w:tcPr>
            <w:tcW w:w="389" w:type="dxa"/>
            <w:vMerge/>
            <w:tcBorders>
              <w:top w:val="single" w:sz="8" w:space="0" w:color="auto"/>
              <w:left w:val="single" w:sz="8" w:space="0" w:color="auto"/>
              <w:bottom w:val="single" w:sz="4" w:space="0" w:color="000000"/>
              <w:right w:val="nil"/>
            </w:tcBorders>
            <w:vAlign w:val="center"/>
          </w:tcPr>
          <w:p w:rsidR="001B004D" w:rsidRPr="00A32AF4" w:rsidRDefault="001B004D" w:rsidP="00DC0553">
            <w:pPr>
              <w:tabs>
                <w:tab w:val="right" w:pos="2835"/>
              </w:tabs>
              <w:rPr>
                <w:rFonts w:cs="Arial"/>
                <w:b/>
                <w:bCs/>
                <w:sz w:val="16"/>
                <w:szCs w:val="16"/>
              </w:rPr>
            </w:pPr>
          </w:p>
        </w:tc>
        <w:tc>
          <w:tcPr>
            <w:tcW w:w="3041" w:type="dxa"/>
            <w:tcBorders>
              <w:top w:val="single" w:sz="4" w:space="0" w:color="auto"/>
              <w:left w:val="single" w:sz="4" w:space="0" w:color="auto"/>
              <w:bottom w:val="single" w:sz="4" w:space="0" w:color="auto"/>
              <w:right w:val="single" w:sz="4" w:space="0" w:color="auto"/>
            </w:tcBorders>
            <w:shd w:val="clear" w:color="auto" w:fill="CCFFFF"/>
            <w:vAlign w:val="center"/>
          </w:tcPr>
          <w:p w:rsidR="00F93B76" w:rsidRPr="00A32AF4" w:rsidRDefault="001B004D" w:rsidP="00DC0553">
            <w:pPr>
              <w:tabs>
                <w:tab w:val="right" w:pos="2835"/>
              </w:tabs>
              <w:jc w:val="center"/>
              <w:rPr>
                <w:rFonts w:cs="Arial"/>
                <w:b/>
                <w:bCs/>
                <w:sz w:val="16"/>
                <w:szCs w:val="16"/>
              </w:rPr>
            </w:pPr>
            <w:r w:rsidRPr="00A32AF4">
              <w:rPr>
                <w:rFonts w:cs="Arial"/>
                <w:b/>
                <w:bCs/>
                <w:color w:val="000000"/>
                <w:sz w:val="16"/>
                <w:szCs w:val="16"/>
              </w:rPr>
              <w:t>Objectif stratégique</w:t>
            </w:r>
            <w:r w:rsidRPr="00A32AF4">
              <w:rPr>
                <w:rFonts w:cs="Arial"/>
                <w:b/>
                <w:bCs/>
                <w:sz w:val="16"/>
                <w:szCs w:val="16"/>
              </w:rPr>
              <w:t xml:space="preserve"> I :</w:t>
            </w:r>
          </w:p>
          <w:p w:rsidR="001B004D" w:rsidRPr="00A32AF4" w:rsidRDefault="001B004D" w:rsidP="00DC0553">
            <w:pPr>
              <w:tabs>
                <w:tab w:val="right" w:pos="2835"/>
              </w:tabs>
              <w:jc w:val="center"/>
              <w:rPr>
                <w:rFonts w:cs="Arial"/>
                <w:b/>
                <w:bCs/>
                <w:sz w:val="16"/>
                <w:szCs w:val="16"/>
              </w:rPr>
            </w:pPr>
            <w:r w:rsidRPr="00A32AF4">
              <w:rPr>
                <w:rFonts w:cs="Arial"/>
                <w:b/>
                <w:bCs/>
                <w:sz w:val="16"/>
                <w:szCs w:val="16"/>
              </w:rPr>
              <w:t>Évolution équilibrée du cadre normatif international de la propriété intellectuelle</w:t>
            </w:r>
          </w:p>
        </w:tc>
        <w:tc>
          <w:tcPr>
            <w:tcW w:w="3042" w:type="dxa"/>
            <w:tcBorders>
              <w:top w:val="single" w:sz="4" w:space="0" w:color="auto"/>
              <w:left w:val="nil"/>
              <w:bottom w:val="single" w:sz="4" w:space="0" w:color="auto"/>
              <w:right w:val="single" w:sz="4" w:space="0" w:color="auto"/>
            </w:tcBorders>
            <w:shd w:val="clear" w:color="auto" w:fill="CCFFFF"/>
            <w:vAlign w:val="center"/>
          </w:tcPr>
          <w:p w:rsidR="00F93B76" w:rsidRPr="00A32AF4" w:rsidRDefault="001B004D" w:rsidP="00DC0553">
            <w:pPr>
              <w:tabs>
                <w:tab w:val="right" w:pos="2835"/>
              </w:tabs>
              <w:jc w:val="center"/>
              <w:rPr>
                <w:rFonts w:cs="Arial"/>
                <w:b/>
                <w:bCs/>
                <w:sz w:val="16"/>
                <w:szCs w:val="16"/>
              </w:rPr>
            </w:pPr>
            <w:r w:rsidRPr="00A32AF4">
              <w:rPr>
                <w:rFonts w:cs="Arial"/>
                <w:b/>
                <w:bCs/>
                <w:color w:val="000000"/>
                <w:sz w:val="16"/>
                <w:szCs w:val="16"/>
              </w:rPr>
              <w:t>Objectif stratégique</w:t>
            </w:r>
            <w:r w:rsidRPr="00A32AF4">
              <w:rPr>
                <w:rFonts w:cs="Arial"/>
                <w:b/>
                <w:bCs/>
                <w:sz w:val="16"/>
                <w:szCs w:val="16"/>
              </w:rPr>
              <w:t xml:space="preserve"> II :</w:t>
            </w:r>
          </w:p>
          <w:p w:rsidR="001B004D" w:rsidRPr="00A32AF4" w:rsidRDefault="001B004D" w:rsidP="00DC0553">
            <w:pPr>
              <w:tabs>
                <w:tab w:val="right" w:pos="2835"/>
              </w:tabs>
              <w:jc w:val="center"/>
              <w:rPr>
                <w:rFonts w:cs="Arial"/>
                <w:b/>
                <w:bCs/>
                <w:sz w:val="16"/>
                <w:szCs w:val="16"/>
              </w:rPr>
            </w:pPr>
            <w:r w:rsidRPr="00A32AF4">
              <w:rPr>
                <w:rFonts w:cs="Arial"/>
                <w:b/>
                <w:bCs/>
                <w:sz w:val="16"/>
                <w:szCs w:val="16"/>
              </w:rPr>
              <w:t>Prestation de services mondiaux de</w:t>
            </w:r>
            <w:r w:rsidR="00411DB7" w:rsidRPr="00A32AF4">
              <w:rPr>
                <w:rFonts w:cs="Arial"/>
                <w:b/>
                <w:bCs/>
                <w:sz w:val="16"/>
                <w:szCs w:val="16"/>
              </w:rPr>
              <w:t> </w:t>
            </w:r>
            <w:r w:rsidRPr="00A32AF4">
              <w:rPr>
                <w:rFonts w:cs="Arial"/>
                <w:b/>
                <w:bCs/>
                <w:sz w:val="16"/>
                <w:szCs w:val="16"/>
              </w:rPr>
              <w:t>propriété intellectuelle de</w:t>
            </w:r>
            <w:r w:rsidR="00411DB7" w:rsidRPr="00A32AF4">
              <w:rPr>
                <w:rFonts w:cs="Arial"/>
                <w:b/>
                <w:bCs/>
                <w:sz w:val="16"/>
                <w:szCs w:val="16"/>
              </w:rPr>
              <w:t> </w:t>
            </w:r>
            <w:r w:rsidRPr="00A32AF4">
              <w:rPr>
                <w:rFonts w:cs="Arial"/>
                <w:b/>
                <w:bCs/>
                <w:sz w:val="16"/>
                <w:szCs w:val="16"/>
              </w:rPr>
              <w:t>premier</w:t>
            </w:r>
            <w:r w:rsidR="00411DB7" w:rsidRPr="00A32AF4">
              <w:rPr>
                <w:rFonts w:cs="Arial"/>
                <w:b/>
                <w:bCs/>
                <w:sz w:val="16"/>
                <w:szCs w:val="16"/>
              </w:rPr>
              <w:t> </w:t>
            </w:r>
            <w:r w:rsidRPr="00A32AF4">
              <w:rPr>
                <w:rFonts w:cs="Arial"/>
                <w:b/>
                <w:bCs/>
                <w:sz w:val="16"/>
                <w:szCs w:val="16"/>
              </w:rPr>
              <w:t>ordre</w:t>
            </w:r>
          </w:p>
        </w:tc>
        <w:tc>
          <w:tcPr>
            <w:tcW w:w="3041" w:type="dxa"/>
            <w:tcBorders>
              <w:top w:val="single" w:sz="4" w:space="0" w:color="auto"/>
              <w:left w:val="nil"/>
              <w:bottom w:val="single" w:sz="4" w:space="0" w:color="auto"/>
              <w:right w:val="single" w:sz="4" w:space="0" w:color="auto"/>
            </w:tcBorders>
            <w:shd w:val="clear" w:color="auto" w:fill="CCFFFF"/>
            <w:vAlign w:val="center"/>
          </w:tcPr>
          <w:p w:rsidR="00F93B76" w:rsidRPr="00A32AF4" w:rsidRDefault="001B004D" w:rsidP="00DC0553">
            <w:pPr>
              <w:tabs>
                <w:tab w:val="right" w:pos="2835"/>
              </w:tabs>
              <w:jc w:val="center"/>
              <w:rPr>
                <w:rFonts w:cs="Arial"/>
                <w:b/>
                <w:bCs/>
                <w:sz w:val="16"/>
                <w:szCs w:val="16"/>
              </w:rPr>
            </w:pPr>
            <w:r w:rsidRPr="00A32AF4">
              <w:rPr>
                <w:rFonts w:cs="Arial"/>
                <w:b/>
                <w:bCs/>
                <w:color w:val="000000"/>
                <w:sz w:val="16"/>
                <w:szCs w:val="16"/>
              </w:rPr>
              <w:t>Objectif stratégique</w:t>
            </w:r>
            <w:r w:rsidRPr="00A32AF4">
              <w:rPr>
                <w:rFonts w:cs="Arial"/>
                <w:b/>
                <w:bCs/>
                <w:sz w:val="16"/>
                <w:szCs w:val="16"/>
              </w:rPr>
              <w:t xml:space="preserve"> III :</w:t>
            </w:r>
          </w:p>
          <w:p w:rsidR="001B004D" w:rsidRPr="00A32AF4" w:rsidRDefault="001B004D" w:rsidP="00DC0553">
            <w:pPr>
              <w:tabs>
                <w:tab w:val="right" w:pos="2835"/>
              </w:tabs>
              <w:jc w:val="center"/>
              <w:rPr>
                <w:rFonts w:cs="Arial"/>
                <w:b/>
                <w:bCs/>
                <w:sz w:val="16"/>
                <w:szCs w:val="16"/>
              </w:rPr>
            </w:pPr>
            <w:r w:rsidRPr="00A32AF4">
              <w:rPr>
                <w:rFonts w:cs="Arial"/>
                <w:b/>
                <w:bCs/>
                <w:sz w:val="16"/>
                <w:szCs w:val="16"/>
              </w:rPr>
              <w:t>Favoriser l</w:t>
            </w:r>
            <w:r w:rsidR="00E2055A" w:rsidRPr="00A32AF4">
              <w:rPr>
                <w:rFonts w:cs="Arial"/>
                <w:b/>
                <w:bCs/>
                <w:sz w:val="16"/>
                <w:szCs w:val="16"/>
              </w:rPr>
              <w:t>’</w:t>
            </w:r>
            <w:r w:rsidRPr="00A32AF4">
              <w:rPr>
                <w:rFonts w:cs="Arial"/>
                <w:b/>
                <w:bCs/>
                <w:sz w:val="16"/>
                <w:szCs w:val="16"/>
              </w:rPr>
              <w:t>utilisation de la propriété intellectuelle au service du</w:t>
            </w:r>
            <w:r w:rsidR="00411DB7" w:rsidRPr="00A32AF4">
              <w:rPr>
                <w:rFonts w:cs="Arial"/>
                <w:b/>
                <w:bCs/>
                <w:sz w:val="16"/>
                <w:szCs w:val="16"/>
              </w:rPr>
              <w:t> </w:t>
            </w:r>
            <w:r w:rsidRPr="00A32AF4">
              <w:rPr>
                <w:rFonts w:cs="Arial"/>
                <w:b/>
                <w:bCs/>
                <w:sz w:val="16"/>
                <w:szCs w:val="16"/>
              </w:rPr>
              <w:t>développement</w:t>
            </w:r>
          </w:p>
        </w:tc>
        <w:tc>
          <w:tcPr>
            <w:tcW w:w="3041" w:type="dxa"/>
            <w:tcBorders>
              <w:top w:val="single" w:sz="4" w:space="0" w:color="auto"/>
              <w:left w:val="nil"/>
              <w:bottom w:val="single" w:sz="4" w:space="0" w:color="auto"/>
              <w:right w:val="single" w:sz="4" w:space="0" w:color="auto"/>
            </w:tcBorders>
            <w:shd w:val="clear" w:color="auto" w:fill="CCFFFF"/>
            <w:vAlign w:val="center"/>
          </w:tcPr>
          <w:p w:rsidR="00F93B76" w:rsidRPr="00A32AF4" w:rsidRDefault="001B004D" w:rsidP="00DC0553">
            <w:pPr>
              <w:tabs>
                <w:tab w:val="right" w:pos="2835"/>
              </w:tabs>
              <w:jc w:val="center"/>
              <w:rPr>
                <w:rFonts w:cs="Arial"/>
                <w:b/>
                <w:bCs/>
                <w:sz w:val="16"/>
                <w:szCs w:val="16"/>
              </w:rPr>
            </w:pPr>
            <w:r w:rsidRPr="00A32AF4">
              <w:rPr>
                <w:rFonts w:cs="Arial"/>
                <w:b/>
                <w:bCs/>
                <w:color w:val="000000"/>
                <w:sz w:val="16"/>
                <w:szCs w:val="16"/>
              </w:rPr>
              <w:t>Objectif stratégique</w:t>
            </w:r>
            <w:r w:rsidRPr="00A32AF4">
              <w:rPr>
                <w:rFonts w:cs="Arial"/>
                <w:b/>
                <w:bCs/>
                <w:sz w:val="16"/>
                <w:szCs w:val="16"/>
              </w:rPr>
              <w:t xml:space="preserve"> IV :</w:t>
            </w:r>
          </w:p>
          <w:p w:rsidR="001B004D" w:rsidRPr="00A32AF4" w:rsidRDefault="001B004D" w:rsidP="00DC0553">
            <w:pPr>
              <w:tabs>
                <w:tab w:val="right" w:pos="2835"/>
              </w:tabs>
              <w:jc w:val="center"/>
              <w:rPr>
                <w:rFonts w:cs="Arial"/>
                <w:b/>
                <w:bCs/>
                <w:sz w:val="16"/>
                <w:szCs w:val="16"/>
              </w:rPr>
            </w:pPr>
            <w:r w:rsidRPr="00A32AF4">
              <w:rPr>
                <w:rFonts w:cs="Arial"/>
                <w:b/>
                <w:bCs/>
                <w:sz w:val="16"/>
                <w:szCs w:val="16"/>
              </w:rPr>
              <w:t>Coordination et développement de l</w:t>
            </w:r>
            <w:r w:rsidR="00E2055A" w:rsidRPr="00A32AF4">
              <w:rPr>
                <w:rFonts w:cs="Arial"/>
                <w:b/>
                <w:bCs/>
                <w:sz w:val="16"/>
                <w:szCs w:val="16"/>
              </w:rPr>
              <w:t>’</w:t>
            </w:r>
            <w:r w:rsidRPr="00A32AF4">
              <w:rPr>
                <w:rFonts w:cs="Arial"/>
                <w:b/>
                <w:bCs/>
                <w:sz w:val="16"/>
                <w:szCs w:val="16"/>
              </w:rPr>
              <w:t>infrastructure mondiale en matière de propriété intellectuelle</w:t>
            </w:r>
          </w:p>
        </w:tc>
        <w:tc>
          <w:tcPr>
            <w:tcW w:w="3040" w:type="dxa"/>
            <w:tcBorders>
              <w:top w:val="single" w:sz="4" w:space="0" w:color="auto"/>
              <w:left w:val="nil"/>
              <w:bottom w:val="single" w:sz="4" w:space="0" w:color="auto"/>
              <w:right w:val="single" w:sz="4" w:space="0" w:color="auto"/>
            </w:tcBorders>
            <w:shd w:val="clear" w:color="auto" w:fill="CCFFFF"/>
            <w:vAlign w:val="center"/>
          </w:tcPr>
          <w:p w:rsidR="00F93B76" w:rsidRPr="00A32AF4" w:rsidRDefault="001B004D" w:rsidP="00DC0553">
            <w:pPr>
              <w:tabs>
                <w:tab w:val="right" w:pos="2835"/>
              </w:tabs>
              <w:jc w:val="center"/>
              <w:rPr>
                <w:rFonts w:cs="Arial"/>
                <w:b/>
                <w:bCs/>
                <w:sz w:val="16"/>
                <w:szCs w:val="16"/>
              </w:rPr>
            </w:pPr>
            <w:r w:rsidRPr="00A32AF4">
              <w:rPr>
                <w:rFonts w:cs="Arial"/>
                <w:b/>
                <w:bCs/>
                <w:color w:val="000000"/>
                <w:sz w:val="16"/>
                <w:szCs w:val="16"/>
              </w:rPr>
              <w:t>Objectif stratégique</w:t>
            </w:r>
            <w:r w:rsidRPr="00A32AF4">
              <w:rPr>
                <w:rFonts w:cs="Arial"/>
                <w:b/>
                <w:bCs/>
                <w:sz w:val="16"/>
                <w:szCs w:val="16"/>
              </w:rPr>
              <w:t xml:space="preserve"> V :</w:t>
            </w:r>
          </w:p>
          <w:p w:rsidR="001B004D" w:rsidRPr="00A32AF4" w:rsidRDefault="001B004D" w:rsidP="00DC0553">
            <w:pPr>
              <w:tabs>
                <w:tab w:val="right" w:pos="2835"/>
              </w:tabs>
              <w:jc w:val="center"/>
              <w:rPr>
                <w:rFonts w:cs="Arial"/>
                <w:b/>
                <w:bCs/>
                <w:sz w:val="16"/>
                <w:szCs w:val="16"/>
              </w:rPr>
            </w:pPr>
            <w:r w:rsidRPr="00A32AF4">
              <w:rPr>
                <w:rFonts w:cs="Arial"/>
                <w:b/>
                <w:bCs/>
                <w:sz w:val="16"/>
                <w:szCs w:val="16"/>
              </w:rPr>
              <w:t>Source de références mondiale pour l</w:t>
            </w:r>
            <w:r w:rsidR="00E2055A" w:rsidRPr="00A32AF4">
              <w:rPr>
                <w:rFonts w:cs="Arial"/>
                <w:b/>
                <w:bCs/>
                <w:sz w:val="16"/>
                <w:szCs w:val="16"/>
              </w:rPr>
              <w:t>’</w:t>
            </w:r>
            <w:r w:rsidRPr="00A32AF4">
              <w:rPr>
                <w:rFonts w:cs="Arial"/>
                <w:b/>
                <w:bCs/>
                <w:sz w:val="16"/>
                <w:szCs w:val="16"/>
              </w:rPr>
              <w:t>information et l</w:t>
            </w:r>
            <w:r w:rsidR="00E2055A" w:rsidRPr="00A32AF4">
              <w:rPr>
                <w:rFonts w:cs="Arial"/>
                <w:b/>
                <w:bCs/>
                <w:sz w:val="16"/>
                <w:szCs w:val="16"/>
              </w:rPr>
              <w:t>’</w:t>
            </w:r>
            <w:r w:rsidRPr="00A32AF4">
              <w:rPr>
                <w:rFonts w:cs="Arial"/>
                <w:b/>
                <w:bCs/>
                <w:sz w:val="16"/>
                <w:szCs w:val="16"/>
              </w:rPr>
              <w:t>analyse</w:t>
            </w:r>
            <w:r w:rsidRPr="00A32AF4">
              <w:rPr>
                <w:rFonts w:cs="Arial"/>
                <w:b/>
                <w:bCs/>
                <w:color w:val="000000"/>
                <w:sz w:val="16"/>
                <w:szCs w:val="16"/>
              </w:rPr>
              <w:t xml:space="preserve"> </w:t>
            </w:r>
            <w:r w:rsidRPr="00A32AF4">
              <w:rPr>
                <w:rFonts w:cs="Arial"/>
                <w:b/>
                <w:bCs/>
                <w:sz w:val="16"/>
                <w:szCs w:val="16"/>
              </w:rPr>
              <w:t>en matière de propriété intellectuelle</w:t>
            </w:r>
          </w:p>
        </w:tc>
        <w:tc>
          <w:tcPr>
            <w:tcW w:w="3041" w:type="dxa"/>
            <w:tcBorders>
              <w:top w:val="single" w:sz="4" w:space="0" w:color="auto"/>
              <w:left w:val="nil"/>
              <w:bottom w:val="single" w:sz="4" w:space="0" w:color="auto"/>
              <w:right w:val="single" w:sz="4" w:space="0" w:color="auto"/>
            </w:tcBorders>
            <w:shd w:val="clear" w:color="auto" w:fill="CCFFFF"/>
            <w:vAlign w:val="center"/>
          </w:tcPr>
          <w:p w:rsidR="00F93B76" w:rsidRPr="00A32AF4" w:rsidRDefault="001B004D" w:rsidP="00DC0553">
            <w:pPr>
              <w:tabs>
                <w:tab w:val="right" w:pos="2835"/>
              </w:tabs>
              <w:jc w:val="center"/>
              <w:rPr>
                <w:rFonts w:cs="Arial"/>
                <w:b/>
                <w:bCs/>
                <w:sz w:val="16"/>
                <w:szCs w:val="16"/>
              </w:rPr>
            </w:pPr>
            <w:r w:rsidRPr="00A32AF4">
              <w:rPr>
                <w:rFonts w:cs="Arial"/>
                <w:b/>
                <w:bCs/>
                <w:sz w:val="16"/>
                <w:szCs w:val="16"/>
              </w:rPr>
              <w:t>Objectif stratégique VI :</w:t>
            </w:r>
          </w:p>
          <w:p w:rsidR="001B004D" w:rsidRPr="00A32AF4" w:rsidRDefault="001B004D" w:rsidP="00DC0553">
            <w:pPr>
              <w:tabs>
                <w:tab w:val="right" w:pos="2835"/>
              </w:tabs>
              <w:jc w:val="center"/>
              <w:rPr>
                <w:rFonts w:cs="Arial"/>
                <w:b/>
                <w:bCs/>
                <w:sz w:val="16"/>
                <w:szCs w:val="16"/>
              </w:rPr>
            </w:pPr>
            <w:r w:rsidRPr="00A32AF4">
              <w:rPr>
                <w:rFonts w:cs="Arial"/>
                <w:b/>
                <w:bCs/>
                <w:sz w:val="16"/>
                <w:szCs w:val="16"/>
              </w:rPr>
              <w:t>Coopération internationale pour le respect de la propriété intellectuelle</w:t>
            </w:r>
          </w:p>
        </w:tc>
        <w:tc>
          <w:tcPr>
            <w:tcW w:w="3044" w:type="dxa"/>
            <w:tcBorders>
              <w:top w:val="single" w:sz="4" w:space="0" w:color="auto"/>
              <w:left w:val="nil"/>
              <w:bottom w:val="single" w:sz="4" w:space="0" w:color="auto"/>
              <w:right w:val="single" w:sz="4" w:space="0" w:color="auto"/>
            </w:tcBorders>
            <w:shd w:val="clear" w:color="auto" w:fill="CCFFFF"/>
            <w:vAlign w:val="center"/>
          </w:tcPr>
          <w:p w:rsidR="00F93B76" w:rsidRPr="00A32AF4" w:rsidRDefault="001B004D" w:rsidP="00DC0553">
            <w:pPr>
              <w:tabs>
                <w:tab w:val="right" w:pos="2835"/>
              </w:tabs>
              <w:jc w:val="center"/>
              <w:rPr>
                <w:rFonts w:cs="Arial"/>
                <w:b/>
                <w:bCs/>
                <w:sz w:val="16"/>
                <w:szCs w:val="16"/>
              </w:rPr>
            </w:pPr>
            <w:r w:rsidRPr="00A32AF4">
              <w:rPr>
                <w:rFonts w:cs="Arial"/>
                <w:b/>
                <w:bCs/>
                <w:sz w:val="16"/>
                <w:szCs w:val="16"/>
              </w:rPr>
              <w:t>Objectif stratégique VII :</w:t>
            </w:r>
          </w:p>
          <w:p w:rsidR="001B004D" w:rsidRPr="00A32AF4" w:rsidRDefault="001B004D" w:rsidP="00DC0553">
            <w:pPr>
              <w:tabs>
                <w:tab w:val="right" w:pos="2835"/>
              </w:tabs>
              <w:jc w:val="center"/>
              <w:rPr>
                <w:rFonts w:cs="Arial"/>
                <w:b/>
                <w:bCs/>
                <w:sz w:val="16"/>
                <w:szCs w:val="16"/>
              </w:rPr>
            </w:pPr>
            <w:r w:rsidRPr="00A32AF4">
              <w:rPr>
                <w:rFonts w:cs="Arial"/>
                <w:b/>
                <w:bCs/>
                <w:sz w:val="16"/>
                <w:szCs w:val="16"/>
              </w:rPr>
              <w:t>Propriété intellectuelle et enjeux mondiaux</w:t>
            </w:r>
          </w:p>
        </w:tc>
      </w:tr>
      <w:tr w:rsidR="00A4309E" w:rsidRPr="00A32AF4" w:rsidTr="001B004D">
        <w:trPr>
          <w:trHeight w:val="145"/>
        </w:trPr>
        <w:tc>
          <w:tcPr>
            <w:tcW w:w="389" w:type="dxa"/>
            <w:vMerge/>
            <w:tcBorders>
              <w:top w:val="single" w:sz="8" w:space="0" w:color="auto"/>
              <w:left w:val="single" w:sz="8" w:space="0" w:color="auto"/>
              <w:bottom w:val="single" w:sz="4" w:space="0" w:color="000000"/>
              <w:right w:val="nil"/>
            </w:tcBorders>
            <w:vAlign w:val="center"/>
          </w:tcPr>
          <w:p w:rsidR="00A4309E" w:rsidRPr="00A32AF4" w:rsidRDefault="00A4309E" w:rsidP="00DC0553">
            <w:pPr>
              <w:tabs>
                <w:tab w:val="right" w:pos="2835"/>
              </w:tabs>
              <w:rPr>
                <w:rFonts w:cs="Arial"/>
                <w:b/>
                <w:bCs/>
                <w:sz w:val="16"/>
                <w:szCs w:val="16"/>
              </w:rPr>
            </w:pPr>
          </w:p>
        </w:tc>
        <w:tc>
          <w:tcPr>
            <w:tcW w:w="3041" w:type="dxa"/>
            <w:tcBorders>
              <w:top w:val="nil"/>
              <w:left w:val="single" w:sz="4" w:space="0" w:color="auto"/>
              <w:right w:val="nil"/>
            </w:tcBorders>
            <w:shd w:val="clear" w:color="auto" w:fill="auto"/>
          </w:tcPr>
          <w:p w:rsidR="00E2055A" w:rsidRPr="00A32AF4" w:rsidRDefault="00F55F88" w:rsidP="00DC0553">
            <w:pPr>
              <w:tabs>
                <w:tab w:val="left" w:pos="284"/>
                <w:tab w:val="right" w:pos="2948"/>
              </w:tabs>
              <w:spacing w:after="60"/>
              <w:rPr>
                <w:rFonts w:cs="Arial"/>
                <w:sz w:val="14"/>
                <w:szCs w:val="14"/>
              </w:rPr>
            </w:pPr>
            <w:r w:rsidRPr="00A32AF4">
              <w:rPr>
                <w:rFonts w:cs="Arial"/>
                <w:sz w:val="14"/>
                <w:szCs w:val="14"/>
              </w:rPr>
              <w:br/>
            </w:r>
            <w:r w:rsidR="001C3CA9" w:rsidRPr="00A32AF4">
              <w:rPr>
                <w:rFonts w:cs="Arial"/>
                <w:sz w:val="14"/>
                <w:szCs w:val="14"/>
              </w:rPr>
              <w:t>I.1</w:t>
            </w:r>
            <w:r w:rsidR="001C3CA9" w:rsidRPr="00A32AF4">
              <w:rPr>
                <w:rFonts w:cs="Arial"/>
                <w:color w:val="000000"/>
                <w:sz w:val="14"/>
                <w:szCs w:val="14"/>
              </w:rPr>
              <w:t xml:space="preserve">. </w:t>
            </w:r>
            <w:r w:rsidR="001C3CA9" w:rsidRPr="00A32AF4">
              <w:rPr>
                <w:rFonts w:cs="Arial"/>
                <w:sz w:val="14"/>
                <w:szCs w:val="14"/>
              </w:rPr>
              <w:t>Renforcement de la coopération entre les États membres en ce qui concerne l</w:t>
            </w:r>
            <w:r w:rsidR="00E2055A" w:rsidRPr="00A32AF4">
              <w:rPr>
                <w:rFonts w:cs="Arial"/>
                <w:sz w:val="14"/>
                <w:szCs w:val="14"/>
              </w:rPr>
              <w:t>’</w:t>
            </w:r>
            <w:r w:rsidR="001C3CA9" w:rsidRPr="00A32AF4">
              <w:rPr>
                <w:rFonts w:cs="Arial"/>
                <w:sz w:val="14"/>
                <w:szCs w:val="14"/>
              </w:rPr>
              <w:t>élaboration de cadres normatifs internationaux équilibrés dans le domaine de la propriété intellectuelle</w:t>
            </w:r>
          </w:p>
          <w:p w:rsidR="00F93B76" w:rsidRPr="00A32AF4" w:rsidRDefault="00A4309E" w:rsidP="00DC0553">
            <w:pPr>
              <w:tabs>
                <w:tab w:val="left" w:pos="284"/>
                <w:tab w:val="right" w:pos="2948"/>
              </w:tabs>
              <w:rPr>
                <w:rFonts w:cs="Arial"/>
                <w:i/>
                <w:iCs/>
                <w:sz w:val="14"/>
                <w:szCs w:val="14"/>
              </w:rPr>
            </w:pPr>
            <w:r w:rsidRPr="00A32AF4">
              <w:rPr>
                <w:rFonts w:cs="Arial"/>
                <w:i/>
                <w:iCs/>
                <w:sz w:val="14"/>
                <w:szCs w:val="14"/>
              </w:rPr>
              <w:tab/>
            </w:r>
            <w:r w:rsidR="00D52EFC" w:rsidRPr="00A32AF4">
              <w:rPr>
                <w:rFonts w:cs="Arial"/>
                <w:i/>
                <w:iCs/>
                <w:sz w:val="14"/>
                <w:szCs w:val="14"/>
              </w:rPr>
              <w:t>Budget proposé pour 2016</w:t>
            </w:r>
            <w:r w:rsidR="00EB7F54" w:rsidRPr="00A32AF4">
              <w:rPr>
                <w:rFonts w:cs="Arial"/>
                <w:i/>
                <w:iCs/>
                <w:sz w:val="14"/>
                <w:szCs w:val="14"/>
              </w:rPr>
              <w:noBreakHyphen/>
            </w:r>
            <w:r w:rsidR="00D52EFC" w:rsidRPr="00A32AF4">
              <w:rPr>
                <w:rFonts w:cs="Arial"/>
                <w:i/>
                <w:iCs/>
                <w:sz w:val="14"/>
                <w:szCs w:val="14"/>
              </w:rPr>
              <w:t>2017 :</w:t>
            </w:r>
            <w:r w:rsidRPr="00A32AF4">
              <w:rPr>
                <w:rFonts w:cs="Arial"/>
                <w:i/>
                <w:iCs/>
                <w:sz w:val="14"/>
                <w:szCs w:val="14"/>
              </w:rPr>
              <w:tab/>
              <w:t>1</w:t>
            </w:r>
            <w:r w:rsidR="00D52EFC" w:rsidRPr="00A32AF4">
              <w:rPr>
                <w:rFonts w:cs="Arial"/>
                <w:i/>
                <w:iCs/>
                <w:sz w:val="14"/>
                <w:szCs w:val="14"/>
              </w:rPr>
              <w:t>3</w:t>
            </w:r>
            <w:r w:rsidR="00411DB7" w:rsidRPr="00A32AF4">
              <w:rPr>
                <w:rFonts w:cs="Arial"/>
                <w:i/>
                <w:iCs/>
                <w:sz w:val="14"/>
                <w:szCs w:val="14"/>
              </w:rPr>
              <w:t> </w:t>
            </w:r>
            <w:r w:rsidR="00D52EFC" w:rsidRPr="00A32AF4">
              <w:rPr>
                <w:rFonts w:cs="Arial"/>
                <w:i/>
                <w:iCs/>
                <w:sz w:val="14"/>
                <w:szCs w:val="14"/>
              </w:rPr>
              <w:t>9</w:t>
            </w:r>
            <w:r w:rsidRPr="00A32AF4">
              <w:rPr>
                <w:rFonts w:cs="Arial"/>
                <w:i/>
                <w:iCs/>
                <w:sz w:val="14"/>
                <w:szCs w:val="14"/>
              </w:rPr>
              <w:t>76</w:t>
            </w:r>
          </w:p>
          <w:p w:rsidR="00F93B76" w:rsidRPr="00A32AF4" w:rsidRDefault="00A4309E" w:rsidP="00DC0553">
            <w:pPr>
              <w:tabs>
                <w:tab w:val="left" w:pos="284"/>
                <w:tab w:val="right" w:pos="2948"/>
              </w:tabs>
              <w:rPr>
                <w:rFonts w:cs="Arial"/>
                <w:i/>
                <w:iCs/>
                <w:color w:val="0000FF"/>
                <w:sz w:val="14"/>
                <w:szCs w:val="14"/>
              </w:rPr>
            </w:pPr>
            <w:r w:rsidRPr="00A32AF4">
              <w:rPr>
                <w:rFonts w:cs="Arial"/>
                <w:i/>
                <w:iCs/>
                <w:sz w:val="14"/>
                <w:szCs w:val="14"/>
              </w:rPr>
              <w:tab/>
            </w:r>
            <w:r w:rsidR="00D52EFC" w:rsidRPr="00A32AF4">
              <w:rPr>
                <w:rFonts w:cs="Arial"/>
                <w:i/>
                <w:iCs/>
                <w:color w:val="0000FF"/>
                <w:sz w:val="14"/>
                <w:szCs w:val="14"/>
              </w:rPr>
              <w:t>Part consacrée au développement :</w:t>
            </w:r>
            <w:r w:rsidRPr="00A32AF4">
              <w:rPr>
                <w:rFonts w:cs="Arial"/>
                <w:i/>
                <w:iCs/>
                <w:color w:val="0000FF"/>
                <w:sz w:val="14"/>
                <w:szCs w:val="14"/>
              </w:rPr>
              <w:tab/>
            </w:r>
            <w:r w:rsidR="00D52EFC" w:rsidRPr="00A32AF4">
              <w:rPr>
                <w:rFonts w:cs="Arial"/>
                <w:i/>
                <w:iCs/>
                <w:color w:val="0000FF"/>
                <w:sz w:val="14"/>
                <w:szCs w:val="14"/>
              </w:rPr>
              <w:t>8 7</w:t>
            </w:r>
            <w:r w:rsidRPr="00A32AF4">
              <w:rPr>
                <w:rFonts w:cs="Arial"/>
                <w:i/>
                <w:iCs/>
                <w:color w:val="0000FF"/>
                <w:sz w:val="14"/>
                <w:szCs w:val="14"/>
              </w:rPr>
              <w:t>12</w:t>
            </w:r>
          </w:p>
          <w:p w:rsidR="00F93B76" w:rsidRPr="00A32AF4" w:rsidRDefault="00F93B76" w:rsidP="00DC0553">
            <w:pPr>
              <w:tabs>
                <w:tab w:val="left" w:pos="284"/>
                <w:tab w:val="right" w:pos="2948"/>
              </w:tabs>
              <w:rPr>
                <w:rFonts w:cs="Arial"/>
                <w:sz w:val="14"/>
                <w:szCs w:val="14"/>
              </w:rPr>
            </w:pPr>
          </w:p>
          <w:p w:rsidR="00F93B76" w:rsidRPr="00A32AF4" w:rsidRDefault="001C3CA9" w:rsidP="00DC0553">
            <w:pPr>
              <w:tabs>
                <w:tab w:val="left" w:pos="284"/>
                <w:tab w:val="right" w:pos="2948"/>
              </w:tabs>
              <w:spacing w:after="60"/>
              <w:rPr>
                <w:rFonts w:cs="Arial"/>
                <w:sz w:val="14"/>
                <w:szCs w:val="14"/>
              </w:rPr>
            </w:pPr>
            <w:r w:rsidRPr="00A32AF4">
              <w:rPr>
                <w:rFonts w:cs="Arial"/>
                <w:sz w:val="14"/>
                <w:szCs w:val="14"/>
              </w:rPr>
              <w:t>I.2</w:t>
            </w:r>
            <w:r w:rsidRPr="00A32AF4">
              <w:rPr>
                <w:rFonts w:cs="Arial"/>
                <w:color w:val="000000"/>
                <w:sz w:val="14"/>
                <w:szCs w:val="14"/>
              </w:rPr>
              <w:t xml:space="preserve">. </w:t>
            </w:r>
            <w:r w:rsidRPr="00A32AF4">
              <w:rPr>
                <w:rFonts w:cs="Arial"/>
                <w:sz w:val="14"/>
                <w:szCs w:val="14"/>
              </w:rPr>
              <w:t>Cadres législatifs, réglementaires et politiques de propriété intellectuelle adaptés et équilibrés</w:t>
            </w:r>
          </w:p>
          <w:p w:rsidR="00F93B76" w:rsidRPr="00A32AF4" w:rsidRDefault="00A4309E" w:rsidP="00DC0553">
            <w:pPr>
              <w:tabs>
                <w:tab w:val="left" w:pos="284"/>
                <w:tab w:val="right" w:pos="2948"/>
              </w:tabs>
              <w:rPr>
                <w:rFonts w:cs="Arial"/>
                <w:i/>
                <w:iCs/>
                <w:sz w:val="14"/>
                <w:szCs w:val="14"/>
              </w:rPr>
            </w:pPr>
            <w:r w:rsidRPr="00A32AF4">
              <w:rPr>
                <w:rFonts w:cs="Arial"/>
                <w:i/>
                <w:iCs/>
                <w:sz w:val="14"/>
                <w:szCs w:val="14"/>
              </w:rPr>
              <w:tab/>
            </w:r>
            <w:r w:rsidR="00D52EFC" w:rsidRPr="00A32AF4">
              <w:rPr>
                <w:rFonts w:cs="Arial"/>
                <w:i/>
                <w:iCs/>
                <w:sz w:val="14"/>
                <w:szCs w:val="14"/>
              </w:rPr>
              <w:t>Budget proposé pour 2016</w:t>
            </w:r>
            <w:r w:rsidR="00EB7F54" w:rsidRPr="00A32AF4">
              <w:rPr>
                <w:rFonts w:cs="Arial"/>
                <w:i/>
                <w:iCs/>
                <w:sz w:val="14"/>
                <w:szCs w:val="14"/>
              </w:rPr>
              <w:noBreakHyphen/>
            </w:r>
            <w:r w:rsidR="00D52EFC" w:rsidRPr="00A32AF4">
              <w:rPr>
                <w:rFonts w:cs="Arial"/>
                <w:i/>
                <w:iCs/>
                <w:sz w:val="14"/>
                <w:szCs w:val="14"/>
              </w:rPr>
              <w:t>2017 :</w:t>
            </w:r>
            <w:r w:rsidRPr="00A32AF4">
              <w:rPr>
                <w:rFonts w:cs="Arial"/>
                <w:i/>
                <w:iCs/>
                <w:sz w:val="14"/>
                <w:szCs w:val="14"/>
              </w:rPr>
              <w:tab/>
            </w:r>
            <w:r w:rsidR="00D52EFC" w:rsidRPr="00A32AF4">
              <w:rPr>
                <w:rFonts w:cs="Arial"/>
                <w:i/>
                <w:iCs/>
                <w:sz w:val="14"/>
                <w:szCs w:val="14"/>
              </w:rPr>
              <w:t>9</w:t>
            </w:r>
            <w:r w:rsidR="00411DB7" w:rsidRPr="00A32AF4">
              <w:rPr>
                <w:rFonts w:cs="Arial"/>
                <w:i/>
                <w:iCs/>
                <w:sz w:val="14"/>
                <w:szCs w:val="14"/>
              </w:rPr>
              <w:t> </w:t>
            </w:r>
            <w:r w:rsidR="00D52EFC" w:rsidRPr="00A32AF4">
              <w:rPr>
                <w:rFonts w:cs="Arial"/>
                <w:i/>
                <w:iCs/>
                <w:sz w:val="14"/>
                <w:szCs w:val="14"/>
              </w:rPr>
              <w:t>7</w:t>
            </w:r>
            <w:r w:rsidRPr="00A32AF4">
              <w:rPr>
                <w:rFonts w:cs="Arial"/>
                <w:i/>
                <w:iCs/>
                <w:sz w:val="14"/>
                <w:szCs w:val="14"/>
              </w:rPr>
              <w:t>48</w:t>
            </w:r>
          </w:p>
          <w:p w:rsidR="00F93B76" w:rsidRPr="00A32AF4" w:rsidRDefault="00A4309E" w:rsidP="00DC0553">
            <w:pPr>
              <w:tabs>
                <w:tab w:val="left" w:pos="284"/>
                <w:tab w:val="right" w:pos="2948"/>
              </w:tabs>
              <w:rPr>
                <w:rFonts w:cs="Arial"/>
                <w:i/>
                <w:iCs/>
                <w:color w:val="0000FF"/>
                <w:sz w:val="14"/>
                <w:szCs w:val="14"/>
              </w:rPr>
            </w:pPr>
            <w:r w:rsidRPr="00A32AF4">
              <w:rPr>
                <w:rFonts w:cs="Arial"/>
                <w:i/>
                <w:iCs/>
                <w:color w:val="0000FF"/>
                <w:sz w:val="14"/>
                <w:szCs w:val="14"/>
              </w:rPr>
              <w:tab/>
            </w:r>
            <w:r w:rsidR="00D52EFC" w:rsidRPr="00A32AF4">
              <w:rPr>
                <w:rFonts w:cs="Arial"/>
                <w:i/>
                <w:iCs/>
                <w:color w:val="0000FF"/>
                <w:sz w:val="14"/>
                <w:szCs w:val="14"/>
              </w:rPr>
              <w:t>Part consacrée au développement :</w:t>
            </w:r>
            <w:r w:rsidRPr="00A32AF4">
              <w:rPr>
                <w:rFonts w:cs="Arial"/>
                <w:i/>
                <w:iCs/>
                <w:color w:val="0000FF"/>
                <w:sz w:val="14"/>
                <w:szCs w:val="14"/>
              </w:rPr>
              <w:tab/>
            </w:r>
            <w:r w:rsidR="00D52EFC" w:rsidRPr="00A32AF4">
              <w:rPr>
                <w:rFonts w:cs="Arial"/>
                <w:i/>
                <w:iCs/>
                <w:color w:val="0000FF"/>
                <w:sz w:val="14"/>
                <w:szCs w:val="14"/>
              </w:rPr>
              <w:t>8</w:t>
            </w:r>
            <w:r w:rsidR="00411DB7" w:rsidRPr="00A32AF4">
              <w:rPr>
                <w:rFonts w:cs="Arial"/>
                <w:i/>
                <w:iCs/>
                <w:color w:val="0000FF"/>
                <w:sz w:val="14"/>
                <w:szCs w:val="14"/>
              </w:rPr>
              <w:t> </w:t>
            </w:r>
            <w:r w:rsidR="00D52EFC" w:rsidRPr="00A32AF4">
              <w:rPr>
                <w:rFonts w:cs="Arial"/>
                <w:i/>
                <w:iCs/>
                <w:color w:val="0000FF"/>
                <w:sz w:val="14"/>
                <w:szCs w:val="14"/>
              </w:rPr>
              <w:t>2</w:t>
            </w:r>
            <w:r w:rsidRPr="00A32AF4">
              <w:rPr>
                <w:rFonts w:cs="Arial"/>
                <w:i/>
                <w:iCs/>
                <w:color w:val="0000FF"/>
                <w:sz w:val="14"/>
                <w:szCs w:val="14"/>
              </w:rPr>
              <w:t>92</w:t>
            </w:r>
          </w:p>
          <w:p w:rsidR="00F93B76" w:rsidRPr="00A32AF4" w:rsidRDefault="00F93B76" w:rsidP="00DC0553">
            <w:pPr>
              <w:tabs>
                <w:tab w:val="left" w:pos="284"/>
                <w:tab w:val="right" w:pos="2948"/>
              </w:tabs>
              <w:rPr>
                <w:rFonts w:cs="Arial"/>
                <w:sz w:val="14"/>
                <w:szCs w:val="14"/>
              </w:rPr>
            </w:pPr>
          </w:p>
          <w:p w:rsidR="00F93B76" w:rsidRPr="00A32AF4" w:rsidRDefault="001C3CA9" w:rsidP="00DC0553">
            <w:pPr>
              <w:tabs>
                <w:tab w:val="left" w:pos="284"/>
                <w:tab w:val="right" w:pos="2948"/>
              </w:tabs>
              <w:spacing w:after="60"/>
              <w:rPr>
                <w:rFonts w:cs="Arial"/>
                <w:sz w:val="14"/>
                <w:szCs w:val="14"/>
              </w:rPr>
            </w:pPr>
            <w:r w:rsidRPr="00A32AF4">
              <w:rPr>
                <w:rFonts w:cs="Arial"/>
                <w:sz w:val="14"/>
                <w:szCs w:val="14"/>
              </w:rPr>
              <w:t>I.3</w:t>
            </w:r>
            <w:r w:rsidRPr="00A32AF4">
              <w:rPr>
                <w:rFonts w:cs="Arial"/>
                <w:color w:val="000000"/>
                <w:sz w:val="14"/>
                <w:szCs w:val="14"/>
              </w:rPr>
              <w:t xml:space="preserve">. </w:t>
            </w:r>
            <w:r w:rsidRPr="00A32AF4">
              <w:rPr>
                <w:rFonts w:cs="Arial"/>
                <w:sz w:val="14"/>
                <w:szCs w:val="14"/>
              </w:rPr>
              <w:t>Protection renforcée des emblèmes d</w:t>
            </w:r>
            <w:r w:rsidR="00E2055A" w:rsidRPr="00A32AF4">
              <w:rPr>
                <w:rFonts w:cs="Arial"/>
                <w:sz w:val="14"/>
                <w:szCs w:val="14"/>
              </w:rPr>
              <w:t>’</w:t>
            </w:r>
            <w:r w:rsidRPr="00A32AF4">
              <w:rPr>
                <w:rFonts w:cs="Arial"/>
                <w:sz w:val="14"/>
                <w:szCs w:val="14"/>
              </w:rPr>
              <w:t>États et des noms et emblèmes d</w:t>
            </w:r>
            <w:r w:rsidR="00E2055A" w:rsidRPr="00A32AF4">
              <w:rPr>
                <w:rFonts w:cs="Arial"/>
                <w:sz w:val="14"/>
                <w:szCs w:val="14"/>
              </w:rPr>
              <w:t>’</w:t>
            </w:r>
            <w:r w:rsidRPr="00A32AF4">
              <w:rPr>
                <w:rFonts w:cs="Arial"/>
                <w:sz w:val="14"/>
                <w:szCs w:val="14"/>
              </w:rPr>
              <w:t>organisations internationales intergouvernementales</w:t>
            </w:r>
          </w:p>
          <w:p w:rsidR="00F93B76" w:rsidRPr="00A32AF4" w:rsidRDefault="00A4309E" w:rsidP="00DC0553">
            <w:pPr>
              <w:tabs>
                <w:tab w:val="left" w:pos="284"/>
                <w:tab w:val="right" w:pos="2948"/>
              </w:tabs>
              <w:rPr>
                <w:rFonts w:cs="Arial"/>
                <w:i/>
                <w:iCs/>
                <w:sz w:val="14"/>
                <w:szCs w:val="14"/>
              </w:rPr>
            </w:pPr>
            <w:r w:rsidRPr="00A32AF4">
              <w:rPr>
                <w:rFonts w:cs="Arial"/>
                <w:i/>
                <w:iCs/>
                <w:sz w:val="14"/>
                <w:szCs w:val="14"/>
              </w:rPr>
              <w:tab/>
            </w:r>
            <w:r w:rsidR="00D52EFC" w:rsidRPr="00A32AF4">
              <w:rPr>
                <w:rFonts w:cs="Arial"/>
                <w:i/>
                <w:iCs/>
                <w:sz w:val="14"/>
                <w:szCs w:val="14"/>
              </w:rPr>
              <w:t>Budget proposé pour 2016</w:t>
            </w:r>
            <w:r w:rsidR="00EB7F54" w:rsidRPr="00A32AF4">
              <w:rPr>
                <w:rFonts w:cs="Arial"/>
                <w:i/>
                <w:iCs/>
                <w:sz w:val="14"/>
                <w:szCs w:val="14"/>
              </w:rPr>
              <w:noBreakHyphen/>
            </w:r>
            <w:r w:rsidR="00D52EFC" w:rsidRPr="00A32AF4">
              <w:rPr>
                <w:rFonts w:cs="Arial"/>
                <w:i/>
                <w:iCs/>
                <w:sz w:val="14"/>
                <w:szCs w:val="14"/>
              </w:rPr>
              <w:t>2017 :</w:t>
            </w:r>
            <w:r w:rsidRPr="00A32AF4">
              <w:rPr>
                <w:rFonts w:cs="Arial"/>
                <w:i/>
                <w:iCs/>
                <w:sz w:val="14"/>
                <w:szCs w:val="14"/>
              </w:rPr>
              <w:tab/>
              <w:t>544</w:t>
            </w:r>
          </w:p>
          <w:p w:rsidR="00F93B76" w:rsidRPr="00A32AF4" w:rsidRDefault="00A4309E" w:rsidP="00DC0553">
            <w:pPr>
              <w:tabs>
                <w:tab w:val="left" w:pos="284"/>
                <w:tab w:val="right" w:pos="2948"/>
              </w:tabs>
              <w:rPr>
                <w:rFonts w:cs="Arial"/>
                <w:i/>
                <w:iCs/>
                <w:color w:val="0000FF"/>
                <w:sz w:val="14"/>
                <w:szCs w:val="14"/>
              </w:rPr>
            </w:pPr>
            <w:r w:rsidRPr="00A32AF4">
              <w:rPr>
                <w:rFonts w:cs="Arial"/>
                <w:i/>
                <w:iCs/>
                <w:color w:val="0000FF"/>
                <w:sz w:val="14"/>
                <w:szCs w:val="14"/>
              </w:rPr>
              <w:tab/>
            </w:r>
            <w:r w:rsidR="00D52EFC" w:rsidRPr="00A32AF4">
              <w:rPr>
                <w:rFonts w:cs="Arial"/>
                <w:i/>
                <w:iCs/>
                <w:color w:val="0000FF"/>
                <w:sz w:val="14"/>
                <w:szCs w:val="14"/>
              </w:rPr>
              <w:t>Part consacrée au développement :</w:t>
            </w:r>
            <w:r w:rsidRPr="00A32AF4">
              <w:rPr>
                <w:rFonts w:cs="Arial"/>
                <w:i/>
                <w:iCs/>
                <w:color w:val="0000FF"/>
                <w:sz w:val="14"/>
                <w:szCs w:val="14"/>
              </w:rPr>
              <w:tab/>
            </w:r>
            <w:r w:rsidR="00411DB7" w:rsidRPr="00A32AF4">
              <w:rPr>
                <w:rFonts w:cs="Arial"/>
                <w:i/>
                <w:iCs/>
                <w:color w:val="0000FF"/>
                <w:sz w:val="14"/>
                <w:szCs w:val="14"/>
              </w:rPr>
              <w:t>–</w:t>
            </w:r>
          </w:p>
          <w:p w:rsidR="00F93B76" w:rsidRPr="00A32AF4" w:rsidRDefault="00F93B76" w:rsidP="00DC0553">
            <w:pPr>
              <w:tabs>
                <w:tab w:val="left" w:pos="284"/>
                <w:tab w:val="right" w:pos="2948"/>
              </w:tabs>
              <w:rPr>
                <w:rFonts w:cs="Arial"/>
                <w:color w:val="000000"/>
                <w:sz w:val="14"/>
                <w:szCs w:val="14"/>
              </w:rPr>
            </w:pPr>
          </w:p>
          <w:p w:rsidR="00F93B76" w:rsidRPr="00A32AF4" w:rsidRDefault="001C3CA9" w:rsidP="00DC0553">
            <w:pPr>
              <w:tabs>
                <w:tab w:val="left" w:pos="284"/>
                <w:tab w:val="right" w:pos="2948"/>
              </w:tabs>
              <w:spacing w:after="80"/>
              <w:rPr>
                <w:rFonts w:cs="Arial"/>
                <w:sz w:val="14"/>
                <w:szCs w:val="14"/>
              </w:rPr>
            </w:pPr>
            <w:r w:rsidRPr="00A32AF4">
              <w:rPr>
                <w:rFonts w:cs="Arial"/>
                <w:sz w:val="14"/>
                <w:szCs w:val="14"/>
              </w:rPr>
              <w:t>I.4</w:t>
            </w:r>
            <w:r w:rsidRPr="00A32AF4">
              <w:rPr>
                <w:rFonts w:cs="Arial"/>
                <w:color w:val="000000"/>
                <w:sz w:val="14"/>
                <w:szCs w:val="14"/>
              </w:rPr>
              <w:t xml:space="preserve">. </w:t>
            </w:r>
            <w:r w:rsidRPr="00A32AF4">
              <w:rPr>
                <w:rFonts w:cs="Arial"/>
                <w:sz w:val="14"/>
                <w:szCs w:val="14"/>
              </w:rPr>
              <w:t>Intérêt croissant pour l</w:t>
            </w:r>
            <w:r w:rsidR="00E2055A" w:rsidRPr="00A32AF4">
              <w:rPr>
                <w:rFonts w:cs="Arial"/>
                <w:sz w:val="14"/>
                <w:szCs w:val="14"/>
              </w:rPr>
              <w:t>’</w:t>
            </w:r>
            <w:r w:rsidRPr="00A32AF4">
              <w:rPr>
                <w:rFonts w:cs="Arial"/>
                <w:sz w:val="14"/>
                <w:szCs w:val="14"/>
              </w:rPr>
              <w:t>OMPI en tant qu</w:t>
            </w:r>
            <w:r w:rsidR="00E2055A" w:rsidRPr="00A32AF4">
              <w:rPr>
                <w:rFonts w:cs="Arial"/>
                <w:sz w:val="14"/>
                <w:szCs w:val="14"/>
              </w:rPr>
              <w:t>’</w:t>
            </w:r>
            <w:r w:rsidRPr="00A32AF4">
              <w:rPr>
                <w:rFonts w:cs="Arial"/>
                <w:sz w:val="14"/>
                <w:szCs w:val="14"/>
              </w:rPr>
              <w:t>instance d</w:t>
            </w:r>
            <w:r w:rsidR="00E2055A" w:rsidRPr="00A32AF4">
              <w:rPr>
                <w:rFonts w:cs="Arial"/>
                <w:sz w:val="14"/>
                <w:szCs w:val="14"/>
              </w:rPr>
              <w:t>’</w:t>
            </w:r>
            <w:r w:rsidRPr="00A32AF4">
              <w:rPr>
                <w:rFonts w:cs="Arial"/>
                <w:sz w:val="14"/>
                <w:szCs w:val="14"/>
              </w:rPr>
              <w:t>analyse des questions relatives à la protection internationale des</w:t>
            </w:r>
            <w:r w:rsidR="002913E7" w:rsidRPr="00A32AF4">
              <w:rPr>
                <w:rFonts w:cs="Arial"/>
                <w:sz w:val="14"/>
                <w:szCs w:val="14"/>
              </w:rPr>
              <w:t xml:space="preserve"> </w:t>
            </w:r>
            <w:r w:rsidR="00A977C7" w:rsidRPr="00A32AF4">
              <w:rPr>
                <w:rFonts w:cs="Arial"/>
                <w:sz w:val="14"/>
                <w:szCs w:val="14"/>
              </w:rPr>
              <w:t>brevets, modèles d</w:t>
            </w:r>
            <w:r w:rsidR="00E2055A" w:rsidRPr="00A32AF4">
              <w:rPr>
                <w:rFonts w:cs="Arial"/>
                <w:sz w:val="14"/>
                <w:szCs w:val="14"/>
              </w:rPr>
              <w:t>’</w:t>
            </w:r>
            <w:r w:rsidR="00A977C7" w:rsidRPr="00A32AF4">
              <w:rPr>
                <w:rFonts w:cs="Arial"/>
                <w:sz w:val="14"/>
                <w:szCs w:val="14"/>
              </w:rPr>
              <w:t xml:space="preserve">utilité, schémas de configuration (topographies) de circuits intégrés et </w:t>
            </w:r>
            <w:r w:rsidRPr="00A32AF4">
              <w:rPr>
                <w:rFonts w:cs="Arial"/>
                <w:sz w:val="14"/>
                <w:szCs w:val="14"/>
              </w:rPr>
              <w:t>informations confidentielles</w:t>
            </w:r>
          </w:p>
          <w:p w:rsidR="00F93B76" w:rsidRPr="00A32AF4" w:rsidRDefault="00A4309E" w:rsidP="00DC0553">
            <w:pPr>
              <w:tabs>
                <w:tab w:val="left" w:pos="284"/>
                <w:tab w:val="right" w:pos="2948"/>
              </w:tabs>
              <w:rPr>
                <w:rFonts w:cs="Arial"/>
                <w:i/>
                <w:iCs/>
                <w:sz w:val="14"/>
                <w:szCs w:val="14"/>
              </w:rPr>
            </w:pPr>
            <w:r w:rsidRPr="00A32AF4">
              <w:rPr>
                <w:rFonts w:cs="Arial"/>
                <w:i/>
                <w:iCs/>
                <w:sz w:val="14"/>
                <w:szCs w:val="14"/>
              </w:rPr>
              <w:tab/>
            </w:r>
            <w:r w:rsidR="00D52EFC" w:rsidRPr="00A32AF4">
              <w:rPr>
                <w:rFonts w:cs="Arial"/>
                <w:i/>
                <w:iCs/>
                <w:sz w:val="14"/>
                <w:szCs w:val="14"/>
              </w:rPr>
              <w:t>Budget proposé pour 2016</w:t>
            </w:r>
            <w:r w:rsidR="00EB7F54" w:rsidRPr="00A32AF4">
              <w:rPr>
                <w:rFonts w:cs="Arial"/>
                <w:i/>
                <w:iCs/>
                <w:sz w:val="14"/>
                <w:szCs w:val="14"/>
              </w:rPr>
              <w:noBreakHyphen/>
            </w:r>
            <w:r w:rsidR="00D52EFC" w:rsidRPr="00A32AF4">
              <w:rPr>
                <w:rFonts w:cs="Arial"/>
                <w:i/>
                <w:iCs/>
                <w:sz w:val="14"/>
                <w:szCs w:val="14"/>
              </w:rPr>
              <w:t>2017 :</w:t>
            </w:r>
            <w:r w:rsidRPr="00A32AF4">
              <w:rPr>
                <w:rFonts w:cs="Arial"/>
                <w:i/>
                <w:iCs/>
                <w:sz w:val="14"/>
                <w:szCs w:val="14"/>
              </w:rPr>
              <w:tab/>
              <w:t>494</w:t>
            </w:r>
          </w:p>
          <w:p w:rsidR="00A4309E" w:rsidRPr="00A32AF4" w:rsidRDefault="00411DB7" w:rsidP="00DC0553">
            <w:pPr>
              <w:tabs>
                <w:tab w:val="left" w:pos="284"/>
                <w:tab w:val="right" w:pos="2948"/>
              </w:tabs>
              <w:rPr>
                <w:rFonts w:cs="Arial"/>
                <w:sz w:val="14"/>
                <w:szCs w:val="14"/>
              </w:rPr>
            </w:pPr>
            <w:r w:rsidRPr="00A32AF4">
              <w:rPr>
                <w:rFonts w:cs="Arial"/>
                <w:i/>
                <w:iCs/>
                <w:color w:val="0000FF"/>
                <w:sz w:val="14"/>
                <w:szCs w:val="14"/>
              </w:rPr>
              <w:tab/>
            </w:r>
            <w:r w:rsidR="00D52EFC" w:rsidRPr="00A32AF4">
              <w:rPr>
                <w:rFonts w:cs="Arial"/>
                <w:i/>
                <w:iCs/>
                <w:color w:val="0000FF"/>
                <w:sz w:val="14"/>
                <w:szCs w:val="14"/>
              </w:rPr>
              <w:t>Part consacrée au développement :</w:t>
            </w:r>
            <w:r w:rsidR="00A4309E" w:rsidRPr="00A32AF4">
              <w:rPr>
                <w:rFonts w:cs="Arial"/>
                <w:i/>
                <w:iCs/>
                <w:color w:val="0000FF"/>
                <w:sz w:val="14"/>
                <w:szCs w:val="14"/>
              </w:rPr>
              <w:tab/>
            </w:r>
            <w:r w:rsidRPr="00A32AF4">
              <w:rPr>
                <w:rFonts w:cs="Arial"/>
                <w:i/>
                <w:iCs/>
                <w:color w:val="0000FF"/>
                <w:sz w:val="14"/>
                <w:szCs w:val="14"/>
              </w:rPr>
              <w:t>–</w:t>
            </w:r>
          </w:p>
        </w:tc>
        <w:tc>
          <w:tcPr>
            <w:tcW w:w="3042" w:type="dxa"/>
            <w:tcBorders>
              <w:top w:val="nil"/>
              <w:left w:val="nil"/>
              <w:right w:val="nil"/>
            </w:tcBorders>
            <w:shd w:val="clear" w:color="auto" w:fill="auto"/>
          </w:tcPr>
          <w:p w:rsidR="00E2055A" w:rsidRPr="00A32AF4" w:rsidRDefault="00F55F88" w:rsidP="00DC0553">
            <w:pPr>
              <w:tabs>
                <w:tab w:val="left" w:pos="284"/>
                <w:tab w:val="right" w:pos="2948"/>
              </w:tabs>
              <w:spacing w:after="60"/>
              <w:rPr>
                <w:rFonts w:cs="Arial"/>
                <w:sz w:val="14"/>
                <w:szCs w:val="14"/>
              </w:rPr>
            </w:pPr>
            <w:r w:rsidRPr="00A32AF4">
              <w:rPr>
                <w:rFonts w:cs="Arial"/>
                <w:sz w:val="14"/>
                <w:szCs w:val="14"/>
              </w:rPr>
              <w:br/>
            </w:r>
            <w:r w:rsidR="001C3CA9" w:rsidRPr="00A32AF4">
              <w:rPr>
                <w:rFonts w:cs="Arial"/>
                <w:sz w:val="14"/>
                <w:szCs w:val="14"/>
              </w:rPr>
              <w:t>II.1</w:t>
            </w:r>
            <w:r w:rsidR="001C3CA9" w:rsidRPr="00A32AF4">
              <w:rPr>
                <w:rFonts w:cs="Arial"/>
                <w:color w:val="000000"/>
                <w:sz w:val="14"/>
                <w:szCs w:val="14"/>
              </w:rPr>
              <w:t xml:space="preserve">. </w:t>
            </w:r>
            <w:r w:rsidR="001C3CA9" w:rsidRPr="00A32AF4">
              <w:rPr>
                <w:rFonts w:cs="Arial"/>
                <w:sz w:val="14"/>
                <w:szCs w:val="14"/>
              </w:rPr>
              <w:t>Utilisation élargie et plus efficace du système</w:t>
            </w:r>
            <w:r w:rsidR="00E2055A" w:rsidRPr="00A32AF4">
              <w:rPr>
                <w:rFonts w:cs="Arial"/>
                <w:sz w:val="14"/>
                <w:szCs w:val="14"/>
              </w:rPr>
              <w:t xml:space="preserve"> du PCT</w:t>
            </w:r>
            <w:r w:rsidR="001C3CA9" w:rsidRPr="00A32AF4">
              <w:rPr>
                <w:rFonts w:cs="Arial"/>
                <w:sz w:val="14"/>
                <w:szCs w:val="14"/>
              </w:rPr>
              <w:t xml:space="preserve"> pour le dépôt des demandes internationales de brevet</w:t>
            </w:r>
          </w:p>
          <w:p w:rsidR="00F93B76" w:rsidRPr="00A32AF4" w:rsidRDefault="00A4309E" w:rsidP="00DC0553">
            <w:pPr>
              <w:tabs>
                <w:tab w:val="left" w:pos="284"/>
                <w:tab w:val="right" w:pos="2948"/>
              </w:tabs>
              <w:rPr>
                <w:rFonts w:cs="Arial"/>
                <w:i/>
                <w:iCs/>
                <w:sz w:val="14"/>
                <w:szCs w:val="14"/>
              </w:rPr>
            </w:pPr>
            <w:r w:rsidRPr="00A32AF4">
              <w:rPr>
                <w:rFonts w:cs="Arial"/>
                <w:i/>
                <w:iCs/>
                <w:sz w:val="14"/>
                <w:szCs w:val="14"/>
              </w:rPr>
              <w:tab/>
            </w:r>
            <w:r w:rsidR="00D52EFC" w:rsidRPr="00A32AF4">
              <w:rPr>
                <w:rFonts w:cs="Arial"/>
                <w:i/>
                <w:iCs/>
                <w:sz w:val="14"/>
                <w:szCs w:val="14"/>
              </w:rPr>
              <w:t>Budget proposé pour 2016</w:t>
            </w:r>
            <w:r w:rsidR="00EB7F54" w:rsidRPr="00A32AF4">
              <w:rPr>
                <w:rFonts w:cs="Arial"/>
                <w:i/>
                <w:iCs/>
                <w:sz w:val="14"/>
                <w:szCs w:val="14"/>
              </w:rPr>
              <w:noBreakHyphen/>
            </w:r>
            <w:r w:rsidR="00D52EFC" w:rsidRPr="00A32AF4">
              <w:rPr>
                <w:rFonts w:cs="Arial"/>
                <w:i/>
                <w:iCs/>
                <w:sz w:val="14"/>
                <w:szCs w:val="14"/>
              </w:rPr>
              <w:t>2017 :</w:t>
            </w:r>
            <w:r w:rsidRPr="00A32AF4">
              <w:rPr>
                <w:rFonts w:cs="Arial"/>
                <w:i/>
                <w:iCs/>
                <w:sz w:val="14"/>
                <w:szCs w:val="14"/>
              </w:rPr>
              <w:tab/>
              <w:t>2</w:t>
            </w:r>
            <w:r w:rsidR="00D52EFC" w:rsidRPr="00A32AF4">
              <w:rPr>
                <w:rFonts w:cs="Arial"/>
                <w:i/>
                <w:iCs/>
                <w:sz w:val="14"/>
                <w:szCs w:val="14"/>
              </w:rPr>
              <w:t>9 1</w:t>
            </w:r>
            <w:r w:rsidRPr="00A32AF4">
              <w:rPr>
                <w:rFonts w:cs="Arial"/>
                <w:i/>
                <w:iCs/>
                <w:sz w:val="14"/>
                <w:szCs w:val="14"/>
              </w:rPr>
              <w:t>56</w:t>
            </w:r>
          </w:p>
          <w:p w:rsidR="00F93B76" w:rsidRPr="00A32AF4" w:rsidRDefault="00A4309E" w:rsidP="00DC0553">
            <w:pPr>
              <w:tabs>
                <w:tab w:val="left" w:pos="284"/>
                <w:tab w:val="right" w:pos="2948"/>
              </w:tabs>
              <w:rPr>
                <w:rFonts w:cs="Arial"/>
                <w:sz w:val="14"/>
                <w:szCs w:val="14"/>
              </w:rPr>
            </w:pPr>
            <w:r w:rsidRPr="00A32AF4">
              <w:rPr>
                <w:rFonts w:cs="Arial"/>
                <w:i/>
                <w:iCs/>
                <w:color w:val="0000FF"/>
                <w:sz w:val="14"/>
                <w:szCs w:val="14"/>
              </w:rPr>
              <w:tab/>
            </w:r>
            <w:r w:rsidR="00D52EFC" w:rsidRPr="00A32AF4">
              <w:rPr>
                <w:rFonts w:cs="Arial"/>
                <w:i/>
                <w:iCs/>
                <w:color w:val="0000FF"/>
                <w:sz w:val="14"/>
                <w:szCs w:val="14"/>
              </w:rPr>
              <w:t>Part consacrée au développement :</w:t>
            </w:r>
            <w:r w:rsidRPr="00A32AF4">
              <w:rPr>
                <w:rFonts w:cs="Arial"/>
                <w:sz w:val="14"/>
                <w:szCs w:val="14"/>
              </w:rPr>
              <w:tab/>
            </w:r>
            <w:r w:rsidR="00D52EFC" w:rsidRPr="00A32AF4">
              <w:rPr>
                <w:rFonts w:cs="Arial"/>
                <w:i/>
                <w:iCs/>
                <w:color w:val="0000FF"/>
                <w:sz w:val="14"/>
                <w:szCs w:val="14"/>
              </w:rPr>
              <w:t>7</w:t>
            </w:r>
            <w:r w:rsidR="00411DB7" w:rsidRPr="00A32AF4">
              <w:rPr>
                <w:rFonts w:cs="Arial"/>
                <w:i/>
                <w:iCs/>
                <w:color w:val="0000FF"/>
                <w:sz w:val="14"/>
                <w:szCs w:val="14"/>
              </w:rPr>
              <w:t> </w:t>
            </w:r>
            <w:r w:rsidR="00D52EFC" w:rsidRPr="00A32AF4">
              <w:rPr>
                <w:rFonts w:cs="Arial"/>
                <w:i/>
                <w:iCs/>
                <w:color w:val="0000FF"/>
                <w:sz w:val="14"/>
                <w:szCs w:val="14"/>
              </w:rPr>
              <w:t>0</w:t>
            </w:r>
            <w:r w:rsidRPr="00A32AF4">
              <w:rPr>
                <w:rFonts w:cs="Arial"/>
                <w:i/>
                <w:iCs/>
                <w:color w:val="0000FF"/>
                <w:sz w:val="14"/>
                <w:szCs w:val="14"/>
              </w:rPr>
              <w:t>02</w:t>
            </w:r>
          </w:p>
          <w:p w:rsidR="00F93B76" w:rsidRPr="00A32AF4" w:rsidRDefault="00F93B76" w:rsidP="00DC0553">
            <w:pPr>
              <w:tabs>
                <w:tab w:val="left" w:pos="284"/>
                <w:tab w:val="right" w:pos="2948"/>
              </w:tabs>
              <w:rPr>
                <w:rFonts w:cs="Arial"/>
                <w:sz w:val="14"/>
                <w:szCs w:val="14"/>
              </w:rPr>
            </w:pPr>
          </w:p>
          <w:p w:rsidR="00F93B76" w:rsidRPr="00A32AF4" w:rsidRDefault="001C3CA9" w:rsidP="00DC0553">
            <w:pPr>
              <w:tabs>
                <w:tab w:val="left" w:pos="284"/>
                <w:tab w:val="right" w:pos="2948"/>
              </w:tabs>
              <w:autoSpaceDE w:val="0"/>
              <w:autoSpaceDN w:val="0"/>
              <w:adjustRightInd w:val="0"/>
              <w:rPr>
                <w:rFonts w:cs="Arial"/>
                <w:sz w:val="14"/>
                <w:szCs w:val="14"/>
                <w:lang w:eastAsia="zh-CN" w:bidi="th-TH"/>
              </w:rPr>
            </w:pPr>
            <w:r w:rsidRPr="00A32AF4">
              <w:rPr>
                <w:rFonts w:cs="Arial"/>
                <w:sz w:val="14"/>
                <w:szCs w:val="14"/>
                <w:lang w:eastAsia="zh-CN" w:bidi="th-TH"/>
              </w:rPr>
              <w:t>II.3</w:t>
            </w:r>
            <w:r w:rsidRPr="00A32AF4">
              <w:rPr>
                <w:rFonts w:cs="Arial"/>
                <w:color w:val="000000"/>
                <w:sz w:val="14"/>
                <w:szCs w:val="14"/>
                <w:lang w:eastAsia="zh-CN" w:bidi="th-TH"/>
              </w:rPr>
              <w:t xml:space="preserve">. </w:t>
            </w:r>
            <w:r w:rsidRPr="00A32AF4">
              <w:rPr>
                <w:rFonts w:cs="Arial"/>
                <w:sz w:val="14"/>
                <w:szCs w:val="14"/>
                <w:lang w:eastAsia="zh-CN" w:bidi="th-TH"/>
              </w:rPr>
              <w:t>Amélioration de la productivité et de la qualité de service des opérations</w:t>
            </w:r>
            <w:r w:rsidR="00E2055A" w:rsidRPr="00A32AF4">
              <w:rPr>
                <w:rFonts w:cs="Arial"/>
                <w:sz w:val="14"/>
                <w:szCs w:val="14"/>
                <w:lang w:eastAsia="zh-CN" w:bidi="th-TH"/>
              </w:rPr>
              <w:t xml:space="preserve"> du PCT</w:t>
            </w:r>
          </w:p>
          <w:p w:rsidR="00F93B76" w:rsidRPr="00A32AF4" w:rsidRDefault="00A4309E" w:rsidP="00DC0553">
            <w:pPr>
              <w:tabs>
                <w:tab w:val="left" w:pos="284"/>
                <w:tab w:val="right" w:pos="2948"/>
              </w:tabs>
              <w:rPr>
                <w:rFonts w:cs="Arial"/>
                <w:i/>
                <w:iCs/>
                <w:sz w:val="14"/>
                <w:szCs w:val="14"/>
              </w:rPr>
            </w:pPr>
            <w:r w:rsidRPr="00A32AF4">
              <w:rPr>
                <w:rFonts w:cs="Arial"/>
                <w:i/>
                <w:iCs/>
                <w:sz w:val="14"/>
                <w:szCs w:val="14"/>
              </w:rPr>
              <w:tab/>
            </w:r>
            <w:r w:rsidR="00D52EFC" w:rsidRPr="00A32AF4">
              <w:rPr>
                <w:rFonts w:cs="Arial"/>
                <w:i/>
                <w:iCs/>
                <w:sz w:val="14"/>
                <w:szCs w:val="14"/>
              </w:rPr>
              <w:t>Budget proposé pour 2016</w:t>
            </w:r>
            <w:r w:rsidR="00EB7F54" w:rsidRPr="00A32AF4">
              <w:rPr>
                <w:rFonts w:cs="Arial"/>
                <w:i/>
                <w:iCs/>
                <w:sz w:val="14"/>
                <w:szCs w:val="14"/>
              </w:rPr>
              <w:noBreakHyphen/>
            </w:r>
            <w:r w:rsidR="00D52EFC" w:rsidRPr="00A32AF4">
              <w:rPr>
                <w:rFonts w:cs="Arial"/>
                <w:i/>
                <w:iCs/>
                <w:sz w:val="14"/>
                <w:szCs w:val="14"/>
              </w:rPr>
              <w:t>2017 :</w:t>
            </w:r>
            <w:r w:rsidRPr="00A32AF4">
              <w:rPr>
                <w:rFonts w:cs="Arial"/>
                <w:i/>
                <w:iCs/>
                <w:sz w:val="14"/>
                <w:szCs w:val="14"/>
              </w:rPr>
              <w:tab/>
              <w:t>18</w:t>
            </w:r>
            <w:r w:rsidR="00D52EFC" w:rsidRPr="00A32AF4">
              <w:rPr>
                <w:rFonts w:cs="Arial"/>
                <w:i/>
                <w:iCs/>
                <w:sz w:val="14"/>
                <w:szCs w:val="14"/>
              </w:rPr>
              <w:t>1 0</w:t>
            </w:r>
            <w:r w:rsidRPr="00A32AF4">
              <w:rPr>
                <w:rFonts w:cs="Arial"/>
                <w:i/>
                <w:iCs/>
                <w:sz w:val="14"/>
                <w:szCs w:val="14"/>
              </w:rPr>
              <w:t>80</w:t>
            </w:r>
          </w:p>
          <w:p w:rsidR="00F93B76" w:rsidRPr="00A32AF4" w:rsidRDefault="00A4309E" w:rsidP="00DC0553">
            <w:pPr>
              <w:tabs>
                <w:tab w:val="left" w:pos="284"/>
                <w:tab w:val="right" w:pos="2948"/>
              </w:tabs>
              <w:rPr>
                <w:rFonts w:cs="Arial"/>
                <w:i/>
                <w:iCs/>
                <w:color w:val="0000FF"/>
                <w:sz w:val="14"/>
                <w:szCs w:val="14"/>
              </w:rPr>
            </w:pPr>
            <w:r w:rsidRPr="00A32AF4">
              <w:rPr>
                <w:rFonts w:cs="Arial"/>
                <w:i/>
                <w:iCs/>
                <w:color w:val="0000FF"/>
                <w:sz w:val="14"/>
                <w:szCs w:val="14"/>
              </w:rPr>
              <w:tab/>
            </w:r>
            <w:r w:rsidR="00D52EFC" w:rsidRPr="00A32AF4">
              <w:rPr>
                <w:rFonts w:cs="Arial"/>
                <w:i/>
                <w:iCs/>
                <w:color w:val="0000FF"/>
                <w:sz w:val="14"/>
                <w:szCs w:val="14"/>
              </w:rPr>
              <w:t>Part consacrée au développement :</w:t>
            </w:r>
            <w:r w:rsidRPr="00A32AF4">
              <w:rPr>
                <w:rFonts w:cs="Arial"/>
                <w:sz w:val="14"/>
                <w:szCs w:val="14"/>
              </w:rPr>
              <w:t xml:space="preserve"> </w:t>
            </w:r>
            <w:r w:rsidRPr="00A32AF4">
              <w:rPr>
                <w:rFonts w:cs="Arial"/>
                <w:sz w:val="14"/>
                <w:szCs w:val="14"/>
              </w:rPr>
              <w:tab/>
            </w:r>
            <w:r w:rsidR="00411DB7" w:rsidRPr="00A32AF4">
              <w:rPr>
                <w:rFonts w:cs="Arial"/>
                <w:sz w:val="14"/>
                <w:szCs w:val="14"/>
              </w:rPr>
              <w:t>–</w:t>
            </w:r>
          </w:p>
          <w:p w:rsidR="00F93B76" w:rsidRPr="00A32AF4" w:rsidRDefault="00F93B76" w:rsidP="00DC0553">
            <w:pPr>
              <w:tabs>
                <w:tab w:val="left" w:pos="284"/>
                <w:tab w:val="right" w:pos="2948"/>
              </w:tabs>
              <w:rPr>
                <w:rFonts w:cs="Arial"/>
                <w:sz w:val="14"/>
                <w:szCs w:val="14"/>
              </w:rPr>
            </w:pPr>
          </w:p>
          <w:p w:rsidR="00F93B76" w:rsidRPr="00A32AF4" w:rsidRDefault="001C3CA9" w:rsidP="00DC0553">
            <w:pPr>
              <w:tabs>
                <w:tab w:val="left" w:pos="284"/>
                <w:tab w:val="right" w:pos="2948"/>
              </w:tabs>
              <w:spacing w:after="60"/>
              <w:rPr>
                <w:rFonts w:cs="Arial"/>
                <w:sz w:val="14"/>
                <w:szCs w:val="14"/>
              </w:rPr>
            </w:pPr>
            <w:r w:rsidRPr="00A32AF4">
              <w:rPr>
                <w:rFonts w:cs="Arial"/>
                <w:sz w:val="14"/>
                <w:szCs w:val="14"/>
              </w:rPr>
              <w:t>II.4</w:t>
            </w:r>
            <w:r w:rsidRPr="00A32AF4">
              <w:rPr>
                <w:rFonts w:cs="Arial"/>
                <w:color w:val="000000"/>
                <w:sz w:val="14"/>
                <w:szCs w:val="14"/>
              </w:rPr>
              <w:t xml:space="preserve">. </w:t>
            </w:r>
            <w:r w:rsidRPr="00A32AF4">
              <w:rPr>
                <w:rFonts w:cs="Arial"/>
                <w:sz w:val="14"/>
                <w:szCs w:val="14"/>
              </w:rPr>
              <w:t xml:space="preserve">Utilisation élargie et plus efficace du système de </w:t>
            </w:r>
            <w:r w:rsidR="00E2055A" w:rsidRPr="00A32AF4">
              <w:rPr>
                <w:rFonts w:cs="Arial"/>
                <w:sz w:val="14"/>
                <w:szCs w:val="14"/>
              </w:rPr>
              <w:t>La Haye</w:t>
            </w:r>
            <w:r w:rsidRPr="00A32AF4">
              <w:rPr>
                <w:rFonts w:cs="Arial"/>
                <w:sz w:val="14"/>
                <w:szCs w:val="14"/>
              </w:rPr>
              <w:t>, notamment par les pays en développement et</w:t>
            </w:r>
            <w:r w:rsidR="00E2055A" w:rsidRPr="00A32AF4">
              <w:rPr>
                <w:rFonts w:cs="Arial"/>
                <w:sz w:val="14"/>
                <w:szCs w:val="14"/>
              </w:rPr>
              <w:t xml:space="preserve"> les PMA</w:t>
            </w:r>
          </w:p>
          <w:p w:rsidR="00F93B76" w:rsidRPr="00A32AF4" w:rsidRDefault="00A4309E" w:rsidP="00DC0553">
            <w:pPr>
              <w:tabs>
                <w:tab w:val="left" w:pos="284"/>
                <w:tab w:val="right" w:pos="2948"/>
              </w:tabs>
              <w:rPr>
                <w:rFonts w:cs="Arial"/>
                <w:i/>
                <w:iCs/>
                <w:sz w:val="14"/>
                <w:szCs w:val="14"/>
              </w:rPr>
            </w:pPr>
            <w:r w:rsidRPr="00A32AF4">
              <w:rPr>
                <w:rFonts w:cs="Arial"/>
                <w:i/>
                <w:iCs/>
                <w:sz w:val="14"/>
                <w:szCs w:val="14"/>
              </w:rPr>
              <w:tab/>
            </w:r>
            <w:r w:rsidR="00D52EFC" w:rsidRPr="00A32AF4">
              <w:rPr>
                <w:rFonts w:cs="Arial"/>
                <w:i/>
                <w:iCs/>
                <w:sz w:val="14"/>
                <w:szCs w:val="14"/>
              </w:rPr>
              <w:t>Budget proposé pour 2016</w:t>
            </w:r>
            <w:r w:rsidR="00EB7F54" w:rsidRPr="00A32AF4">
              <w:rPr>
                <w:rFonts w:cs="Arial"/>
                <w:i/>
                <w:iCs/>
                <w:sz w:val="14"/>
                <w:szCs w:val="14"/>
              </w:rPr>
              <w:noBreakHyphen/>
            </w:r>
            <w:r w:rsidR="00D52EFC" w:rsidRPr="00A32AF4">
              <w:rPr>
                <w:rFonts w:cs="Arial"/>
                <w:i/>
                <w:iCs/>
                <w:sz w:val="14"/>
                <w:szCs w:val="14"/>
              </w:rPr>
              <w:t>2017 :</w:t>
            </w:r>
            <w:r w:rsidRPr="00A32AF4">
              <w:rPr>
                <w:rFonts w:cs="Arial"/>
                <w:i/>
                <w:iCs/>
                <w:sz w:val="14"/>
                <w:szCs w:val="14"/>
              </w:rPr>
              <w:tab/>
            </w:r>
            <w:r w:rsidR="00D52EFC" w:rsidRPr="00A32AF4">
              <w:rPr>
                <w:rFonts w:cs="Arial"/>
                <w:i/>
                <w:iCs/>
                <w:sz w:val="14"/>
                <w:szCs w:val="14"/>
              </w:rPr>
              <w:t>6 6</w:t>
            </w:r>
            <w:r w:rsidRPr="00A32AF4">
              <w:rPr>
                <w:rFonts w:cs="Arial"/>
                <w:i/>
                <w:iCs/>
                <w:sz w:val="14"/>
                <w:szCs w:val="14"/>
              </w:rPr>
              <w:t>17</w:t>
            </w:r>
          </w:p>
          <w:p w:rsidR="00F93B76" w:rsidRPr="00A32AF4" w:rsidRDefault="00A4309E" w:rsidP="00DC0553">
            <w:pPr>
              <w:tabs>
                <w:tab w:val="left" w:pos="284"/>
                <w:tab w:val="right" w:pos="2948"/>
              </w:tabs>
              <w:rPr>
                <w:rFonts w:cs="Arial"/>
                <w:i/>
                <w:iCs/>
                <w:color w:val="0000FF"/>
                <w:sz w:val="14"/>
                <w:szCs w:val="14"/>
              </w:rPr>
            </w:pPr>
            <w:r w:rsidRPr="00A32AF4">
              <w:rPr>
                <w:rFonts w:cs="Arial"/>
                <w:i/>
                <w:iCs/>
                <w:color w:val="0000FF"/>
                <w:sz w:val="14"/>
                <w:szCs w:val="14"/>
              </w:rPr>
              <w:tab/>
            </w:r>
            <w:r w:rsidR="00D52EFC" w:rsidRPr="00A32AF4">
              <w:rPr>
                <w:rFonts w:cs="Arial"/>
                <w:i/>
                <w:iCs/>
                <w:color w:val="0000FF"/>
                <w:sz w:val="14"/>
                <w:szCs w:val="14"/>
              </w:rPr>
              <w:t>Part consacrée au développement :</w:t>
            </w:r>
            <w:r w:rsidR="00411DB7" w:rsidRPr="00A32AF4">
              <w:rPr>
                <w:rFonts w:cs="Arial"/>
                <w:i/>
                <w:iCs/>
                <w:color w:val="0000FF"/>
                <w:sz w:val="14"/>
                <w:szCs w:val="14"/>
              </w:rPr>
              <w:tab/>
            </w:r>
            <w:r w:rsidR="00D52EFC" w:rsidRPr="00A32AF4">
              <w:rPr>
                <w:rFonts w:cs="Arial"/>
                <w:i/>
                <w:iCs/>
                <w:color w:val="0000FF"/>
                <w:sz w:val="14"/>
                <w:szCs w:val="14"/>
              </w:rPr>
              <w:t>1</w:t>
            </w:r>
            <w:r w:rsidR="00411DB7" w:rsidRPr="00A32AF4">
              <w:rPr>
                <w:rFonts w:cs="Arial"/>
                <w:i/>
                <w:iCs/>
                <w:color w:val="0000FF"/>
                <w:sz w:val="14"/>
                <w:szCs w:val="14"/>
              </w:rPr>
              <w:t> </w:t>
            </w:r>
            <w:r w:rsidR="00D52EFC" w:rsidRPr="00A32AF4">
              <w:rPr>
                <w:rFonts w:cs="Arial"/>
                <w:i/>
                <w:iCs/>
                <w:color w:val="0000FF"/>
                <w:sz w:val="14"/>
                <w:szCs w:val="14"/>
              </w:rPr>
              <w:t>0</w:t>
            </w:r>
            <w:r w:rsidRPr="00A32AF4">
              <w:rPr>
                <w:rFonts w:cs="Arial"/>
                <w:i/>
                <w:iCs/>
                <w:color w:val="0000FF"/>
                <w:sz w:val="14"/>
                <w:szCs w:val="14"/>
              </w:rPr>
              <w:t>85</w:t>
            </w:r>
          </w:p>
          <w:p w:rsidR="00F93B76" w:rsidRPr="00A32AF4" w:rsidRDefault="00F93B76" w:rsidP="00DC0553">
            <w:pPr>
              <w:tabs>
                <w:tab w:val="left" w:pos="284"/>
                <w:tab w:val="right" w:pos="2948"/>
              </w:tabs>
              <w:rPr>
                <w:rFonts w:cs="Arial"/>
                <w:sz w:val="14"/>
                <w:szCs w:val="14"/>
              </w:rPr>
            </w:pPr>
          </w:p>
          <w:p w:rsidR="00F93B76" w:rsidRPr="00A32AF4" w:rsidRDefault="001C3CA9" w:rsidP="00DC0553">
            <w:pPr>
              <w:tabs>
                <w:tab w:val="left" w:pos="284"/>
                <w:tab w:val="right" w:pos="2948"/>
              </w:tabs>
              <w:spacing w:after="60"/>
              <w:rPr>
                <w:rFonts w:cs="Arial"/>
                <w:sz w:val="14"/>
                <w:szCs w:val="14"/>
              </w:rPr>
            </w:pPr>
            <w:r w:rsidRPr="00A32AF4">
              <w:rPr>
                <w:rFonts w:cs="Arial"/>
                <w:sz w:val="14"/>
                <w:szCs w:val="14"/>
              </w:rPr>
              <w:t>II.5</w:t>
            </w:r>
            <w:r w:rsidRPr="00A32AF4">
              <w:rPr>
                <w:rFonts w:cs="Arial"/>
                <w:color w:val="000000"/>
                <w:sz w:val="14"/>
                <w:szCs w:val="14"/>
              </w:rPr>
              <w:t xml:space="preserve">. </w:t>
            </w:r>
            <w:r w:rsidRPr="00A32AF4">
              <w:rPr>
                <w:rFonts w:cs="Arial"/>
                <w:sz w:val="14"/>
                <w:szCs w:val="14"/>
              </w:rPr>
              <w:t xml:space="preserve">Amélioration de la productivité et de la qualité de service des opérations de </w:t>
            </w:r>
            <w:r w:rsidR="00E2055A" w:rsidRPr="00A32AF4">
              <w:rPr>
                <w:rFonts w:cs="Arial"/>
                <w:sz w:val="14"/>
                <w:szCs w:val="14"/>
              </w:rPr>
              <w:t>La Haye</w:t>
            </w:r>
          </w:p>
          <w:p w:rsidR="00F93B76" w:rsidRPr="00A32AF4" w:rsidRDefault="00A4309E" w:rsidP="00DC0553">
            <w:pPr>
              <w:tabs>
                <w:tab w:val="left" w:pos="284"/>
                <w:tab w:val="right" w:pos="2948"/>
              </w:tabs>
              <w:rPr>
                <w:rFonts w:cs="Arial"/>
                <w:i/>
                <w:iCs/>
                <w:sz w:val="14"/>
                <w:szCs w:val="14"/>
              </w:rPr>
            </w:pPr>
            <w:r w:rsidRPr="00A32AF4">
              <w:rPr>
                <w:rFonts w:cs="Arial"/>
                <w:i/>
                <w:iCs/>
                <w:sz w:val="14"/>
                <w:szCs w:val="14"/>
              </w:rPr>
              <w:tab/>
            </w:r>
            <w:r w:rsidR="00D52EFC" w:rsidRPr="00A32AF4">
              <w:rPr>
                <w:rFonts w:cs="Arial"/>
                <w:i/>
                <w:iCs/>
                <w:sz w:val="14"/>
                <w:szCs w:val="14"/>
              </w:rPr>
              <w:t>Budget proposé pour 2016</w:t>
            </w:r>
            <w:r w:rsidR="00EB7F54" w:rsidRPr="00A32AF4">
              <w:rPr>
                <w:rFonts w:cs="Arial"/>
                <w:i/>
                <w:iCs/>
                <w:sz w:val="14"/>
                <w:szCs w:val="14"/>
              </w:rPr>
              <w:noBreakHyphen/>
            </w:r>
            <w:r w:rsidR="00D52EFC" w:rsidRPr="00A32AF4">
              <w:rPr>
                <w:rFonts w:cs="Arial"/>
                <w:i/>
                <w:iCs/>
                <w:sz w:val="14"/>
                <w:szCs w:val="14"/>
              </w:rPr>
              <w:t>2017 :</w:t>
            </w:r>
            <w:r w:rsidRPr="00A32AF4">
              <w:rPr>
                <w:rFonts w:cs="Arial"/>
                <w:i/>
                <w:iCs/>
                <w:sz w:val="14"/>
                <w:szCs w:val="14"/>
              </w:rPr>
              <w:tab/>
            </w:r>
            <w:r w:rsidR="00D52EFC" w:rsidRPr="00A32AF4">
              <w:rPr>
                <w:rFonts w:cs="Arial"/>
                <w:i/>
                <w:iCs/>
                <w:sz w:val="14"/>
                <w:szCs w:val="14"/>
              </w:rPr>
              <w:t>2 2</w:t>
            </w:r>
            <w:r w:rsidRPr="00A32AF4">
              <w:rPr>
                <w:rFonts w:cs="Arial"/>
                <w:i/>
                <w:iCs/>
                <w:sz w:val="14"/>
                <w:szCs w:val="14"/>
              </w:rPr>
              <w:t>34</w:t>
            </w:r>
          </w:p>
          <w:p w:rsidR="00F93B76" w:rsidRPr="00A32AF4" w:rsidRDefault="00A4309E" w:rsidP="00DC0553">
            <w:pPr>
              <w:tabs>
                <w:tab w:val="left" w:pos="284"/>
                <w:tab w:val="right" w:pos="2948"/>
              </w:tabs>
              <w:rPr>
                <w:rFonts w:cs="Arial"/>
                <w:sz w:val="14"/>
                <w:szCs w:val="14"/>
              </w:rPr>
            </w:pPr>
            <w:r w:rsidRPr="00A32AF4">
              <w:rPr>
                <w:rFonts w:cs="Arial"/>
                <w:i/>
                <w:iCs/>
                <w:color w:val="0000FF"/>
                <w:sz w:val="14"/>
                <w:szCs w:val="14"/>
              </w:rPr>
              <w:tab/>
            </w:r>
            <w:r w:rsidR="00D52EFC" w:rsidRPr="00A32AF4">
              <w:rPr>
                <w:rFonts w:cs="Arial"/>
                <w:i/>
                <w:iCs/>
                <w:color w:val="0000FF"/>
                <w:sz w:val="14"/>
                <w:szCs w:val="14"/>
              </w:rPr>
              <w:t>Part consacrée au développement :</w:t>
            </w:r>
            <w:r w:rsidRPr="00A32AF4">
              <w:rPr>
                <w:rFonts w:cs="Arial"/>
                <w:sz w:val="14"/>
                <w:szCs w:val="14"/>
              </w:rPr>
              <w:tab/>
            </w:r>
            <w:r w:rsidR="00411DB7" w:rsidRPr="00A32AF4">
              <w:rPr>
                <w:rFonts w:cs="Arial"/>
                <w:sz w:val="14"/>
                <w:szCs w:val="14"/>
              </w:rPr>
              <w:t>–</w:t>
            </w:r>
          </w:p>
          <w:p w:rsidR="00F93B76" w:rsidRPr="00A32AF4" w:rsidRDefault="00F93B76" w:rsidP="00DC0553">
            <w:pPr>
              <w:tabs>
                <w:tab w:val="left" w:pos="284"/>
                <w:tab w:val="right" w:pos="2948"/>
              </w:tabs>
              <w:rPr>
                <w:rFonts w:cs="Arial"/>
                <w:sz w:val="14"/>
                <w:szCs w:val="14"/>
              </w:rPr>
            </w:pPr>
          </w:p>
          <w:p w:rsidR="00F93B76" w:rsidRPr="00A32AF4" w:rsidRDefault="001C3CA9" w:rsidP="00DC0553">
            <w:pPr>
              <w:tabs>
                <w:tab w:val="left" w:pos="284"/>
                <w:tab w:val="right" w:pos="2948"/>
              </w:tabs>
              <w:spacing w:after="60"/>
              <w:rPr>
                <w:rFonts w:cs="Arial"/>
                <w:sz w:val="14"/>
                <w:szCs w:val="14"/>
              </w:rPr>
            </w:pPr>
            <w:r w:rsidRPr="00A32AF4">
              <w:rPr>
                <w:rFonts w:cs="Arial"/>
                <w:sz w:val="14"/>
                <w:szCs w:val="14"/>
              </w:rPr>
              <w:t>II.6</w:t>
            </w:r>
            <w:r w:rsidRPr="00A32AF4">
              <w:rPr>
                <w:rFonts w:cs="Arial"/>
                <w:color w:val="000000"/>
                <w:sz w:val="14"/>
                <w:szCs w:val="14"/>
              </w:rPr>
              <w:t xml:space="preserve">. </w:t>
            </w:r>
            <w:r w:rsidRPr="00A32AF4">
              <w:rPr>
                <w:rFonts w:cs="Arial"/>
                <w:sz w:val="14"/>
                <w:szCs w:val="14"/>
              </w:rPr>
              <w:t>Utilisation élargie et plus efficace d</w:t>
            </w:r>
            <w:r w:rsidR="00BB40A7" w:rsidRPr="00A32AF4">
              <w:rPr>
                <w:rFonts w:cs="Arial"/>
                <w:sz w:val="14"/>
                <w:szCs w:val="14"/>
              </w:rPr>
              <w:t>u système</w:t>
            </w:r>
            <w:r w:rsidRPr="00A32AF4">
              <w:rPr>
                <w:rFonts w:cs="Arial"/>
                <w:sz w:val="14"/>
                <w:szCs w:val="14"/>
              </w:rPr>
              <w:t xml:space="preserve"> de Madrid, notamment par les pays en développement et</w:t>
            </w:r>
            <w:r w:rsidR="00E2055A" w:rsidRPr="00A32AF4">
              <w:rPr>
                <w:rFonts w:cs="Arial"/>
                <w:sz w:val="14"/>
                <w:szCs w:val="14"/>
              </w:rPr>
              <w:t xml:space="preserve"> les PMA</w:t>
            </w:r>
          </w:p>
          <w:p w:rsidR="00F93B76" w:rsidRPr="00A32AF4" w:rsidRDefault="00A4309E" w:rsidP="00DC0553">
            <w:pPr>
              <w:tabs>
                <w:tab w:val="left" w:pos="284"/>
                <w:tab w:val="right" w:pos="2948"/>
              </w:tabs>
              <w:rPr>
                <w:rFonts w:cs="Arial"/>
                <w:i/>
                <w:iCs/>
                <w:sz w:val="14"/>
                <w:szCs w:val="14"/>
              </w:rPr>
            </w:pPr>
            <w:r w:rsidRPr="00A32AF4">
              <w:rPr>
                <w:rFonts w:cs="Arial"/>
                <w:i/>
                <w:iCs/>
                <w:sz w:val="14"/>
                <w:szCs w:val="14"/>
              </w:rPr>
              <w:tab/>
            </w:r>
            <w:r w:rsidR="00D52EFC" w:rsidRPr="00A32AF4">
              <w:rPr>
                <w:rFonts w:cs="Arial"/>
                <w:i/>
                <w:iCs/>
                <w:sz w:val="14"/>
                <w:szCs w:val="14"/>
              </w:rPr>
              <w:t>Budget proposé pour 2016</w:t>
            </w:r>
            <w:r w:rsidR="00EB7F54" w:rsidRPr="00A32AF4">
              <w:rPr>
                <w:rFonts w:cs="Arial"/>
                <w:i/>
                <w:iCs/>
                <w:sz w:val="14"/>
                <w:szCs w:val="14"/>
              </w:rPr>
              <w:noBreakHyphen/>
            </w:r>
            <w:r w:rsidR="00D52EFC" w:rsidRPr="00A32AF4">
              <w:rPr>
                <w:rFonts w:cs="Arial"/>
                <w:i/>
                <w:iCs/>
                <w:sz w:val="14"/>
                <w:szCs w:val="14"/>
              </w:rPr>
              <w:t>2017 :</w:t>
            </w:r>
            <w:r w:rsidRPr="00A32AF4">
              <w:rPr>
                <w:rFonts w:cs="Arial"/>
                <w:i/>
                <w:iCs/>
                <w:sz w:val="14"/>
                <w:szCs w:val="14"/>
              </w:rPr>
              <w:tab/>
            </w:r>
            <w:r w:rsidR="00A977C7" w:rsidRPr="00A32AF4">
              <w:rPr>
                <w:rFonts w:cs="Arial"/>
                <w:i/>
                <w:iCs/>
                <w:sz w:val="14"/>
                <w:szCs w:val="14"/>
              </w:rPr>
              <w:t>17 </w:t>
            </w:r>
            <w:r w:rsidR="00BB40A7" w:rsidRPr="00A32AF4">
              <w:rPr>
                <w:rFonts w:cs="Arial"/>
                <w:i/>
                <w:iCs/>
                <w:sz w:val="14"/>
                <w:szCs w:val="14"/>
              </w:rPr>
              <w:t>069</w:t>
            </w:r>
          </w:p>
          <w:p w:rsidR="00F93B76" w:rsidRPr="00A32AF4" w:rsidRDefault="00A4309E" w:rsidP="00DC0553">
            <w:pPr>
              <w:tabs>
                <w:tab w:val="left" w:pos="284"/>
                <w:tab w:val="right" w:pos="2948"/>
              </w:tabs>
              <w:rPr>
                <w:rFonts w:cs="Arial"/>
                <w:i/>
                <w:iCs/>
                <w:color w:val="0000FF"/>
                <w:sz w:val="14"/>
                <w:szCs w:val="14"/>
              </w:rPr>
            </w:pPr>
            <w:r w:rsidRPr="00A32AF4">
              <w:rPr>
                <w:rFonts w:cs="Arial"/>
                <w:i/>
                <w:iCs/>
                <w:color w:val="0000FF"/>
                <w:sz w:val="14"/>
                <w:szCs w:val="14"/>
              </w:rPr>
              <w:tab/>
            </w:r>
            <w:r w:rsidR="00D52EFC" w:rsidRPr="00A32AF4">
              <w:rPr>
                <w:rFonts w:cs="Arial"/>
                <w:i/>
                <w:iCs/>
                <w:color w:val="0000FF"/>
                <w:sz w:val="14"/>
                <w:szCs w:val="14"/>
              </w:rPr>
              <w:t>Part consacrée au développement :</w:t>
            </w:r>
            <w:r w:rsidRPr="00A32AF4">
              <w:rPr>
                <w:rFonts w:cs="Arial"/>
                <w:i/>
                <w:iCs/>
                <w:color w:val="0000FF"/>
                <w:sz w:val="14"/>
                <w:szCs w:val="14"/>
              </w:rPr>
              <w:tab/>
            </w:r>
            <w:r w:rsidR="00A977C7" w:rsidRPr="00A32AF4">
              <w:rPr>
                <w:rFonts w:cs="Arial"/>
                <w:i/>
                <w:iCs/>
                <w:color w:val="0000FF"/>
                <w:sz w:val="14"/>
                <w:szCs w:val="14"/>
              </w:rPr>
              <w:t>11 </w:t>
            </w:r>
            <w:r w:rsidR="00BB40A7" w:rsidRPr="00A32AF4">
              <w:rPr>
                <w:rFonts w:cs="Arial"/>
                <w:i/>
                <w:iCs/>
                <w:color w:val="0000FF"/>
                <w:sz w:val="14"/>
                <w:szCs w:val="14"/>
              </w:rPr>
              <w:t>188</w:t>
            </w:r>
          </w:p>
          <w:p w:rsidR="00F93B76" w:rsidRPr="00A32AF4" w:rsidRDefault="00F93B76" w:rsidP="00DC0553">
            <w:pPr>
              <w:tabs>
                <w:tab w:val="left" w:pos="284"/>
                <w:tab w:val="right" w:pos="2948"/>
              </w:tabs>
              <w:rPr>
                <w:rFonts w:cs="Arial"/>
                <w:sz w:val="14"/>
                <w:szCs w:val="14"/>
              </w:rPr>
            </w:pPr>
          </w:p>
          <w:p w:rsidR="00F93B76" w:rsidRPr="00A32AF4" w:rsidRDefault="001C3CA9" w:rsidP="00DC0553">
            <w:pPr>
              <w:tabs>
                <w:tab w:val="left" w:pos="284"/>
                <w:tab w:val="right" w:pos="2948"/>
              </w:tabs>
              <w:spacing w:after="60"/>
              <w:rPr>
                <w:rFonts w:cs="Arial"/>
                <w:sz w:val="14"/>
                <w:szCs w:val="14"/>
              </w:rPr>
            </w:pPr>
            <w:r w:rsidRPr="00A32AF4">
              <w:rPr>
                <w:rFonts w:cs="Arial"/>
                <w:sz w:val="14"/>
                <w:szCs w:val="14"/>
              </w:rPr>
              <w:t>II.7</w:t>
            </w:r>
            <w:r w:rsidRPr="00A32AF4">
              <w:rPr>
                <w:rFonts w:cs="Arial"/>
                <w:color w:val="000000"/>
                <w:sz w:val="14"/>
                <w:szCs w:val="14"/>
              </w:rPr>
              <w:t xml:space="preserve">. </w:t>
            </w:r>
            <w:r w:rsidRPr="00A32AF4">
              <w:rPr>
                <w:rFonts w:cs="Arial"/>
                <w:sz w:val="14"/>
                <w:szCs w:val="14"/>
              </w:rPr>
              <w:t xml:space="preserve">Amélioration de la productivité et de la qualité de service des opérations </w:t>
            </w:r>
            <w:r w:rsidR="00BB40A7" w:rsidRPr="00A32AF4">
              <w:rPr>
                <w:rFonts w:cs="Arial"/>
                <w:sz w:val="14"/>
                <w:szCs w:val="14"/>
              </w:rPr>
              <w:t>du système</w:t>
            </w:r>
            <w:r w:rsidRPr="00A32AF4">
              <w:rPr>
                <w:rFonts w:cs="Arial"/>
                <w:sz w:val="14"/>
                <w:szCs w:val="14"/>
              </w:rPr>
              <w:t xml:space="preserve"> de Ma</w:t>
            </w:r>
            <w:r w:rsidR="00BB40A7" w:rsidRPr="00A32AF4">
              <w:rPr>
                <w:rFonts w:cs="Arial"/>
                <w:sz w:val="14"/>
                <w:szCs w:val="14"/>
              </w:rPr>
              <w:t>drid</w:t>
            </w:r>
          </w:p>
          <w:p w:rsidR="00F93B76" w:rsidRPr="00A32AF4" w:rsidRDefault="00A4309E" w:rsidP="00DC0553">
            <w:pPr>
              <w:tabs>
                <w:tab w:val="left" w:pos="284"/>
                <w:tab w:val="right" w:pos="2948"/>
              </w:tabs>
              <w:rPr>
                <w:rFonts w:cs="Arial"/>
                <w:i/>
                <w:iCs/>
                <w:sz w:val="14"/>
                <w:szCs w:val="14"/>
              </w:rPr>
            </w:pPr>
            <w:r w:rsidRPr="00A32AF4">
              <w:rPr>
                <w:rFonts w:cs="Arial"/>
                <w:i/>
                <w:iCs/>
                <w:sz w:val="14"/>
                <w:szCs w:val="14"/>
              </w:rPr>
              <w:tab/>
            </w:r>
            <w:r w:rsidR="00D52EFC" w:rsidRPr="00A32AF4">
              <w:rPr>
                <w:rFonts w:cs="Arial"/>
                <w:i/>
                <w:iCs/>
                <w:sz w:val="14"/>
                <w:szCs w:val="14"/>
              </w:rPr>
              <w:t>Budget proposé pour 2016</w:t>
            </w:r>
            <w:r w:rsidR="00EB7F54" w:rsidRPr="00A32AF4">
              <w:rPr>
                <w:rFonts w:cs="Arial"/>
                <w:i/>
                <w:iCs/>
                <w:sz w:val="14"/>
                <w:szCs w:val="14"/>
              </w:rPr>
              <w:noBreakHyphen/>
            </w:r>
            <w:r w:rsidR="00D52EFC" w:rsidRPr="00A32AF4">
              <w:rPr>
                <w:rFonts w:cs="Arial"/>
                <w:i/>
                <w:iCs/>
                <w:sz w:val="14"/>
                <w:szCs w:val="14"/>
              </w:rPr>
              <w:t>2017 :</w:t>
            </w:r>
            <w:r w:rsidRPr="00A32AF4">
              <w:rPr>
                <w:rFonts w:cs="Arial"/>
                <w:i/>
                <w:iCs/>
                <w:sz w:val="14"/>
                <w:szCs w:val="14"/>
              </w:rPr>
              <w:tab/>
            </w:r>
            <w:r w:rsidR="00A977C7" w:rsidRPr="00A32AF4">
              <w:rPr>
                <w:rFonts w:cs="Arial"/>
                <w:i/>
                <w:iCs/>
                <w:sz w:val="14"/>
                <w:szCs w:val="14"/>
              </w:rPr>
              <w:t>42 </w:t>
            </w:r>
            <w:r w:rsidR="00BB40A7" w:rsidRPr="00A32AF4">
              <w:rPr>
                <w:rFonts w:cs="Arial"/>
                <w:i/>
                <w:iCs/>
                <w:sz w:val="14"/>
                <w:szCs w:val="14"/>
              </w:rPr>
              <w:t>253</w:t>
            </w:r>
          </w:p>
          <w:p w:rsidR="00F93B76" w:rsidRPr="00A32AF4" w:rsidRDefault="00A4309E" w:rsidP="00DC0553">
            <w:pPr>
              <w:tabs>
                <w:tab w:val="left" w:pos="284"/>
                <w:tab w:val="right" w:pos="2948"/>
              </w:tabs>
              <w:rPr>
                <w:rFonts w:cs="Arial"/>
                <w:i/>
                <w:iCs/>
                <w:color w:val="0000FF"/>
                <w:sz w:val="14"/>
                <w:szCs w:val="14"/>
              </w:rPr>
            </w:pPr>
            <w:r w:rsidRPr="00A32AF4">
              <w:rPr>
                <w:rFonts w:cs="Arial"/>
                <w:i/>
                <w:iCs/>
                <w:color w:val="0000FF"/>
                <w:sz w:val="14"/>
                <w:szCs w:val="14"/>
              </w:rPr>
              <w:tab/>
            </w:r>
            <w:r w:rsidR="00D52EFC" w:rsidRPr="00A32AF4">
              <w:rPr>
                <w:rFonts w:cs="Arial"/>
                <w:i/>
                <w:iCs/>
                <w:color w:val="0000FF"/>
                <w:sz w:val="14"/>
                <w:szCs w:val="14"/>
              </w:rPr>
              <w:t>Part consacrée au développement :</w:t>
            </w:r>
            <w:r w:rsidRPr="00A32AF4">
              <w:rPr>
                <w:rFonts w:cs="Arial"/>
                <w:i/>
                <w:iCs/>
                <w:color w:val="0000FF"/>
                <w:sz w:val="14"/>
                <w:szCs w:val="14"/>
              </w:rPr>
              <w:tab/>
            </w:r>
            <w:r w:rsidR="00A977C7" w:rsidRPr="00A32AF4">
              <w:rPr>
                <w:rFonts w:cs="Arial"/>
                <w:i/>
                <w:iCs/>
                <w:color w:val="0000FF"/>
                <w:sz w:val="14"/>
                <w:szCs w:val="14"/>
              </w:rPr>
              <w:t>893</w:t>
            </w:r>
          </w:p>
          <w:p w:rsidR="00F93B76" w:rsidRPr="00A32AF4" w:rsidRDefault="00F93B76" w:rsidP="00DC0553">
            <w:pPr>
              <w:tabs>
                <w:tab w:val="left" w:pos="284"/>
                <w:tab w:val="right" w:pos="2948"/>
              </w:tabs>
              <w:rPr>
                <w:rFonts w:cs="Arial"/>
                <w:i/>
                <w:iCs/>
                <w:sz w:val="14"/>
                <w:szCs w:val="14"/>
              </w:rPr>
            </w:pPr>
          </w:p>
          <w:p w:rsidR="00F93B76" w:rsidRPr="00A32AF4" w:rsidRDefault="001C3CA9" w:rsidP="00DC0553">
            <w:pPr>
              <w:tabs>
                <w:tab w:val="left" w:pos="284"/>
                <w:tab w:val="right" w:pos="2948"/>
              </w:tabs>
              <w:spacing w:after="60"/>
              <w:rPr>
                <w:rFonts w:cs="Arial"/>
                <w:sz w:val="14"/>
                <w:szCs w:val="14"/>
              </w:rPr>
            </w:pPr>
            <w:r w:rsidRPr="00A32AF4">
              <w:rPr>
                <w:rFonts w:cs="Arial"/>
                <w:sz w:val="14"/>
                <w:szCs w:val="14"/>
              </w:rPr>
              <w:t>II.8</w:t>
            </w:r>
            <w:r w:rsidRPr="00A32AF4">
              <w:rPr>
                <w:rFonts w:cs="Arial"/>
                <w:color w:val="000000"/>
                <w:sz w:val="14"/>
                <w:szCs w:val="14"/>
              </w:rPr>
              <w:t xml:space="preserve">. </w:t>
            </w:r>
            <w:r w:rsidRPr="00A32AF4">
              <w:rPr>
                <w:rFonts w:cs="Arial"/>
                <w:sz w:val="14"/>
                <w:szCs w:val="14"/>
              </w:rPr>
              <w:t>De plus en plus de litiges internationaux ou nationaux de propriété intellectuelle sont évités ou réglés par la médiation, l</w:t>
            </w:r>
            <w:r w:rsidR="00E2055A" w:rsidRPr="00A32AF4">
              <w:rPr>
                <w:rFonts w:cs="Arial"/>
                <w:sz w:val="14"/>
                <w:szCs w:val="14"/>
              </w:rPr>
              <w:t>’</w:t>
            </w:r>
            <w:r w:rsidRPr="00A32AF4">
              <w:rPr>
                <w:rFonts w:cs="Arial"/>
                <w:sz w:val="14"/>
                <w:szCs w:val="14"/>
              </w:rPr>
              <w:t>arbitrage et les autres modes extrajudiciaires de règlement des litiges de l</w:t>
            </w:r>
            <w:r w:rsidR="00E2055A" w:rsidRPr="00A32AF4">
              <w:rPr>
                <w:rFonts w:cs="Arial"/>
                <w:sz w:val="14"/>
                <w:szCs w:val="14"/>
              </w:rPr>
              <w:t>’</w:t>
            </w:r>
            <w:r w:rsidRPr="00A32AF4">
              <w:rPr>
                <w:rFonts w:cs="Arial"/>
                <w:sz w:val="14"/>
                <w:szCs w:val="14"/>
              </w:rPr>
              <w:t>OMPI</w:t>
            </w:r>
          </w:p>
          <w:p w:rsidR="00F93B76" w:rsidRPr="00A32AF4" w:rsidRDefault="00A4309E" w:rsidP="00DC0553">
            <w:pPr>
              <w:tabs>
                <w:tab w:val="left" w:pos="284"/>
                <w:tab w:val="right" w:pos="2948"/>
              </w:tabs>
              <w:rPr>
                <w:rFonts w:cs="Arial"/>
                <w:i/>
                <w:iCs/>
                <w:sz w:val="14"/>
                <w:szCs w:val="14"/>
              </w:rPr>
            </w:pPr>
            <w:r w:rsidRPr="00A32AF4">
              <w:rPr>
                <w:rFonts w:cs="Arial"/>
                <w:i/>
                <w:iCs/>
                <w:sz w:val="14"/>
                <w:szCs w:val="14"/>
              </w:rPr>
              <w:tab/>
            </w:r>
            <w:r w:rsidR="00D52EFC" w:rsidRPr="00A32AF4">
              <w:rPr>
                <w:rFonts w:cs="Arial"/>
                <w:i/>
                <w:iCs/>
                <w:sz w:val="14"/>
                <w:szCs w:val="14"/>
              </w:rPr>
              <w:t>Budget proposé pour 2016</w:t>
            </w:r>
            <w:r w:rsidR="00EB7F54" w:rsidRPr="00A32AF4">
              <w:rPr>
                <w:rFonts w:cs="Arial"/>
                <w:i/>
                <w:iCs/>
                <w:sz w:val="14"/>
                <w:szCs w:val="14"/>
              </w:rPr>
              <w:noBreakHyphen/>
            </w:r>
            <w:r w:rsidR="00D52EFC" w:rsidRPr="00A32AF4">
              <w:rPr>
                <w:rFonts w:cs="Arial"/>
                <w:i/>
                <w:iCs/>
                <w:sz w:val="14"/>
                <w:szCs w:val="14"/>
              </w:rPr>
              <w:t>2017 :</w:t>
            </w:r>
            <w:r w:rsidRPr="00A32AF4">
              <w:rPr>
                <w:rFonts w:cs="Arial"/>
                <w:i/>
                <w:iCs/>
                <w:sz w:val="14"/>
                <w:szCs w:val="14"/>
              </w:rPr>
              <w:tab/>
            </w:r>
            <w:r w:rsidR="00D52EFC" w:rsidRPr="00A32AF4">
              <w:rPr>
                <w:rFonts w:cs="Arial"/>
                <w:i/>
                <w:iCs/>
                <w:sz w:val="14"/>
                <w:szCs w:val="14"/>
              </w:rPr>
              <w:t>4 8</w:t>
            </w:r>
            <w:r w:rsidRPr="00A32AF4">
              <w:rPr>
                <w:rFonts w:cs="Arial"/>
                <w:i/>
                <w:iCs/>
                <w:sz w:val="14"/>
                <w:szCs w:val="14"/>
              </w:rPr>
              <w:t>02</w:t>
            </w:r>
          </w:p>
          <w:p w:rsidR="00F93B76" w:rsidRPr="00A32AF4" w:rsidRDefault="00A4309E" w:rsidP="00DC0553">
            <w:pPr>
              <w:tabs>
                <w:tab w:val="left" w:pos="284"/>
                <w:tab w:val="right" w:pos="2948"/>
              </w:tabs>
              <w:rPr>
                <w:rFonts w:cs="Arial"/>
                <w:i/>
                <w:iCs/>
                <w:color w:val="0000FF"/>
                <w:sz w:val="14"/>
                <w:szCs w:val="14"/>
              </w:rPr>
            </w:pPr>
            <w:r w:rsidRPr="00A32AF4">
              <w:rPr>
                <w:rFonts w:cs="Arial"/>
                <w:i/>
                <w:iCs/>
                <w:color w:val="0000FF"/>
                <w:sz w:val="14"/>
                <w:szCs w:val="14"/>
              </w:rPr>
              <w:tab/>
            </w:r>
            <w:r w:rsidR="00D52EFC" w:rsidRPr="00A32AF4">
              <w:rPr>
                <w:rFonts w:cs="Arial"/>
                <w:i/>
                <w:iCs/>
                <w:color w:val="0000FF"/>
                <w:sz w:val="14"/>
                <w:szCs w:val="14"/>
              </w:rPr>
              <w:t>Part consacrée au développement :</w:t>
            </w:r>
            <w:r w:rsidRPr="00A32AF4">
              <w:rPr>
                <w:rFonts w:cs="Arial"/>
                <w:i/>
                <w:iCs/>
                <w:color w:val="0000FF"/>
                <w:sz w:val="14"/>
                <w:szCs w:val="14"/>
              </w:rPr>
              <w:tab/>
              <w:t>661</w:t>
            </w:r>
          </w:p>
          <w:p w:rsidR="00F93B76" w:rsidRPr="00A32AF4" w:rsidRDefault="00F93B76" w:rsidP="00DC0553">
            <w:pPr>
              <w:tabs>
                <w:tab w:val="left" w:pos="284"/>
                <w:tab w:val="right" w:pos="2948"/>
              </w:tabs>
              <w:rPr>
                <w:rFonts w:cs="Arial"/>
                <w:i/>
                <w:iCs/>
                <w:color w:val="0000FF"/>
                <w:sz w:val="14"/>
                <w:szCs w:val="14"/>
              </w:rPr>
            </w:pPr>
          </w:p>
          <w:p w:rsidR="00F93B76" w:rsidRPr="00A32AF4" w:rsidRDefault="001C3CA9" w:rsidP="00DC0553">
            <w:pPr>
              <w:tabs>
                <w:tab w:val="left" w:pos="284"/>
                <w:tab w:val="right" w:pos="2948"/>
              </w:tabs>
              <w:spacing w:after="60"/>
              <w:rPr>
                <w:rFonts w:cs="Arial"/>
                <w:sz w:val="14"/>
                <w:szCs w:val="14"/>
              </w:rPr>
            </w:pPr>
            <w:r w:rsidRPr="00A32AF4">
              <w:rPr>
                <w:rFonts w:cs="Arial"/>
                <w:sz w:val="14"/>
                <w:szCs w:val="14"/>
              </w:rPr>
              <w:t>II.9</w:t>
            </w:r>
            <w:r w:rsidRPr="00A32AF4">
              <w:rPr>
                <w:rFonts w:cs="Arial"/>
                <w:color w:val="000000"/>
                <w:sz w:val="14"/>
                <w:szCs w:val="14"/>
              </w:rPr>
              <w:t xml:space="preserve">. </w:t>
            </w:r>
            <w:r w:rsidRPr="00A32AF4">
              <w:rPr>
                <w:rFonts w:cs="Arial"/>
                <w:sz w:val="14"/>
                <w:szCs w:val="14"/>
              </w:rPr>
              <w:t>Protection efficace de la propriété intellectuelle dans les gTLD et les ccTLD</w:t>
            </w:r>
          </w:p>
          <w:p w:rsidR="00F93B76" w:rsidRPr="00A32AF4" w:rsidRDefault="00A4309E" w:rsidP="00DC0553">
            <w:pPr>
              <w:tabs>
                <w:tab w:val="left" w:pos="284"/>
                <w:tab w:val="right" w:pos="2948"/>
              </w:tabs>
              <w:rPr>
                <w:rFonts w:cs="Arial"/>
                <w:i/>
                <w:iCs/>
                <w:sz w:val="14"/>
                <w:szCs w:val="14"/>
              </w:rPr>
            </w:pPr>
            <w:r w:rsidRPr="00A32AF4">
              <w:rPr>
                <w:rFonts w:cs="Arial"/>
                <w:i/>
                <w:iCs/>
                <w:sz w:val="14"/>
                <w:szCs w:val="14"/>
              </w:rPr>
              <w:tab/>
            </w:r>
            <w:r w:rsidR="00D52EFC" w:rsidRPr="00A32AF4">
              <w:rPr>
                <w:rFonts w:cs="Arial"/>
                <w:i/>
                <w:iCs/>
                <w:sz w:val="14"/>
                <w:szCs w:val="14"/>
              </w:rPr>
              <w:t>Budget proposé pour 2016</w:t>
            </w:r>
            <w:r w:rsidR="00EB7F54" w:rsidRPr="00A32AF4">
              <w:rPr>
                <w:rFonts w:cs="Arial"/>
                <w:i/>
                <w:iCs/>
                <w:sz w:val="14"/>
                <w:szCs w:val="14"/>
              </w:rPr>
              <w:noBreakHyphen/>
            </w:r>
            <w:r w:rsidR="00D52EFC" w:rsidRPr="00A32AF4">
              <w:rPr>
                <w:rFonts w:cs="Arial"/>
                <w:i/>
                <w:iCs/>
                <w:sz w:val="14"/>
                <w:szCs w:val="14"/>
              </w:rPr>
              <w:t>2017 :</w:t>
            </w:r>
            <w:r w:rsidRPr="00A32AF4">
              <w:rPr>
                <w:rFonts w:cs="Arial"/>
                <w:i/>
                <w:iCs/>
                <w:sz w:val="14"/>
                <w:szCs w:val="14"/>
              </w:rPr>
              <w:tab/>
            </w:r>
            <w:r w:rsidR="00D52EFC" w:rsidRPr="00A32AF4">
              <w:rPr>
                <w:rFonts w:cs="Arial"/>
                <w:i/>
                <w:iCs/>
                <w:sz w:val="14"/>
                <w:szCs w:val="14"/>
              </w:rPr>
              <w:t>6 8</w:t>
            </w:r>
            <w:r w:rsidRPr="00A32AF4">
              <w:rPr>
                <w:rFonts w:cs="Arial"/>
                <w:i/>
                <w:iCs/>
                <w:sz w:val="14"/>
                <w:szCs w:val="14"/>
              </w:rPr>
              <w:t>99</w:t>
            </w:r>
          </w:p>
          <w:p w:rsidR="00F93B76" w:rsidRPr="00A32AF4" w:rsidRDefault="00A4309E" w:rsidP="00DC0553">
            <w:pPr>
              <w:tabs>
                <w:tab w:val="left" w:pos="284"/>
                <w:tab w:val="right" w:pos="2948"/>
              </w:tabs>
              <w:rPr>
                <w:rFonts w:cs="Arial"/>
                <w:i/>
                <w:iCs/>
                <w:color w:val="0000FF"/>
                <w:sz w:val="14"/>
                <w:szCs w:val="14"/>
              </w:rPr>
            </w:pPr>
            <w:r w:rsidRPr="00A32AF4">
              <w:rPr>
                <w:rFonts w:cs="Arial"/>
                <w:i/>
                <w:iCs/>
                <w:color w:val="0000FF"/>
                <w:sz w:val="14"/>
                <w:szCs w:val="14"/>
              </w:rPr>
              <w:tab/>
            </w:r>
            <w:r w:rsidR="00D52EFC" w:rsidRPr="00A32AF4">
              <w:rPr>
                <w:rFonts w:cs="Arial"/>
                <w:i/>
                <w:iCs/>
                <w:color w:val="0000FF"/>
                <w:sz w:val="14"/>
                <w:szCs w:val="14"/>
              </w:rPr>
              <w:t>Part consacrée au développement :</w:t>
            </w:r>
            <w:r w:rsidRPr="00A32AF4">
              <w:rPr>
                <w:rFonts w:cs="Arial"/>
                <w:i/>
                <w:iCs/>
                <w:color w:val="0000FF"/>
                <w:sz w:val="14"/>
                <w:szCs w:val="14"/>
              </w:rPr>
              <w:tab/>
              <w:t>101</w:t>
            </w:r>
          </w:p>
          <w:p w:rsidR="00BB40A7" w:rsidRPr="00A32AF4" w:rsidRDefault="00BB40A7" w:rsidP="00BB40A7">
            <w:pPr>
              <w:tabs>
                <w:tab w:val="left" w:pos="284"/>
                <w:tab w:val="right" w:pos="2948"/>
              </w:tabs>
              <w:rPr>
                <w:rFonts w:cs="Arial"/>
                <w:sz w:val="14"/>
                <w:szCs w:val="14"/>
              </w:rPr>
            </w:pPr>
          </w:p>
          <w:p w:rsidR="00BB40A7" w:rsidRPr="00A32AF4" w:rsidRDefault="00BB40A7" w:rsidP="00BB40A7">
            <w:pPr>
              <w:tabs>
                <w:tab w:val="left" w:pos="284"/>
                <w:tab w:val="right" w:pos="2948"/>
              </w:tabs>
              <w:spacing w:after="60"/>
              <w:rPr>
                <w:rFonts w:cs="Arial"/>
                <w:sz w:val="14"/>
                <w:szCs w:val="14"/>
              </w:rPr>
            </w:pPr>
            <w:r w:rsidRPr="00A32AF4">
              <w:rPr>
                <w:rFonts w:cs="Arial"/>
                <w:sz w:val="14"/>
                <w:szCs w:val="14"/>
              </w:rPr>
              <w:t>II.10</w:t>
            </w:r>
            <w:r w:rsidRPr="00A32AF4">
              <w:rPr>
                <w:rFonts w:cs="Arial"/>
                <w:color w:val="000000"/>
                <w:sz w:val="14"/>
                <w:szCs w:val="14"/>
              </w:rPr>
              <w:t xml:space="preserve">. </w:t>
            </w:r>
            <w:r w:rsidRPr="00A32AF4">
              <w:rPr>
                <w:rFonts w:cs="Arial"/>
                <w:sz w:val="14"/>
                <w:szCs w:val="14"/>
              </w:rPr>
              <w:t>Utilisation élargie et plus efficace du système de Lisbonne, notamment par les pays en développement et les PMA</w:t>
            </w:r>
          </w:p>
          <w:p w:rsidR="00BB40A7" w:rsidRPr="00A32AF4" w:rsidRDefault="00BB40A7" w:rsidP="00BB40A7">
            <w:pPr>
              <w:tabs>
                <w:tab w:val="left" w:pos="284"/>
                <w:tab w:val="right" w:pos="2948"/>
              </w:tabs>
              <w:rPr>
                <w:rFonts w:cs="Arial"/>
                <w:i/>
                <w:iCs/>
                <w:sz w:val="14"/>
                <w:szCs w:val="14"/>
              </w:rPr>
            </w:pPr>
            <w:r w:rsidRPr="00A32AF4">
              <w:rPr>
                <w:rFonts w:cs="Arial"/>
                <w:i/>
                <w:iCs/>
                <w:sz w:val="14"/>
                <w:szCs w:val="14"/>
              </w:rPr>
              <w:tab/>
              <w:t>Budget proposé pour 2016</w:t>
            </w:r>
            <w:r w:rsidRPr="00A32AF4">
              <w:rPr>
                <w:rFonts w:cs="Arial"/>
                <w:i/>
                <w:iCs/>
                <w:sz w:val="14"/>
                <w:szCs w:val="14"/>
              </w:rPr>
              <w:noBreakHyphen/>
              <w:t>2017 :</w:t>
            </w:r>
            <w:r w:rsidRPr="00A32AF4">
              <w:rPr>
                <w:rFonts w:cs="Arial"/>
                <w:i/>
                <w:iCs/>
                <w:sz w:val="14"/>
                <w:szCs w:val="14"/>
              </w:rPr>
              <w:tab/>
              <w:t>896</w:t>
            </w:r>
          </w:p>
          <w:p w:rsidR="00BB40A7" w:rsidRPr="00A32AF4" w:rsidRDefault="00BB40A7" w:rsidP="00BB40A7">
            <w:pPr>
              <w:tabs>
                <w:tab w:val="left" w:pos="284"/>
                <w:tab w:val="right" w:pos="2948"/>
              </w:tabs>
              <w:rPr>
                <w:rFonts w:cs="Arial"/>
                <w:i/>
                <w:iCs/>
                <w:color w:val="0000FF"/>
                <w:sz w:val="14"/>
                <w:szCs w:val="14"/>
              </w:rPr>
            </w:pPr>
            <w:r w:rsidRPr="00A32AF4">
              <w:rPr>
                <w:rFonts w:cs="Arial"/>
                <w:i/>
                <w:iCs/>
                <w:color w:val="0000FF"/>
                <w:sz w:val="14"/>
                <w:szCs w:val="14"/>
              </w:rPr>
              <w:tab/>
              <w:t>Part consacrée au développement :</w:t>
            </w:r>
            <w:r w:rsidRPr="00A32AF4">
              <w:rPr>
                <w:rFonts w:cs="Arial"/>
                <w:i/>
                <w:iCs/>
                <w:color w:val="0000FF"/>
                <w:sz w:val="14"/>
                <w:szCs w:val="14"/>
              </w:rPr>
              <w:tab/>
              <w:t>597</w:t>
            </w:r>
          </w:p>
          <w:p w:rsidR="00BB40A7" w:rsidRPr="00A32AF4" w:rsidRDefault="00BB40A7" w:rsidP="00BB40A7">
            <w:pPr>
              <w:tabs>
                <w:tab w:val="left" w:pos="284"/>
                <w:tab w:val="right" w:pos="2948"/>
              </w:tabs>
              <w:rPr>
                <w:rFonts w:cs="Arial"/>
                <w:sz w:val="14"/>
                <w:szCs w:val="14"/>
              </w:rPr>
            </w:pPr>
          </w:p>
          <w:p w:rsidR="00BB40A7" w:rsidRPr="00A32AF4" w:rsidRDefault="00BB40A7" w:rsidP="00BB40A7">
            <w:pPr>
              <w:tabs>
                <w:tab w:val="left" w:pos="284"/>
                <w:tab w:val="right" w:pos="2948"/>
              </w:tabs>
              <w:spacing w:after="60"/>
              <w:rPr>
                <w:rFonts w:cs="Arial"/>
                <w:sz w:val="14"/>
                <w:szCs w:val="14"/>
              </w:rPr>
            </w:pPr>
            <w:r w:rsidRPr="00A32AF4">
              <w:rPr>
                <w:rFonts w:cs="Arial"/>
                <w:sz w:val="14"/>
                <w:szCs w:val="14"/>
              </w:rPr>
              <w:t>II.11</w:t>
            </w:r>
            <w:r w:rsidRPr="00A32AF4">
              <w:rPr>
                <w:rFonts w:cs="Arial"/>
                <w:color w:val="000000"/>
                <w:sz w:val="14"/>
                <w:szCs w:val="14"/>
              </w:rPr>
              <w:t xml:space="preserve">. </w:t>
            </w:r>
            <w:r w:rsidRPr="00A32AF4">
              <w:rPr>
                <w:rFonts w:cs="Arial"/>
                <w:sz w:val="14"/>
                <w:szCs w:val="14"/>
              </w:rPr>
              <w:t>Amélioration de la productivité et de la qualité de service des opérations du système de Lisbonne</w:t>
            </w:r>
          </w:p>
          <w:p w:rsidR="00BB40A7" w:rsidRPr="00A32AF4" w:rsidRDefault="00BB40A7" w:rsidP="00BB40A7">
            <w:pPr>
              <w:tabs>
                <w:tab w:val="left" w:pos="284"/>
                <w:tab w:val="right" w:pos="2948"/>
              </w:tabs>
              <w:rPr>
                <w:rFonts w:cs="Arial"/>
                <w:i/>
                <w:iCs/>
                <w:sz w:val="14"/>
                <w:szCs w:val="14"/>
              </w:rPr>
            </w:pPr>
            <w:r w:rsidRPr="00A32AF4">
              <w:rPr>
                <w:rFonts w:cs="Arial"/>
                <w:i/>
                <w:iCs/>
                <w:sz w:val="14"/>
                <w:szCs w:val="14"/>
              </w:rPr>
              <w:tab/>
              <w:t>Budget proposé pour 2016</w:t>
            </w:r>
            <w:r w:rsidRPr="00A32AF4">
              <w:rPr>
                <w:rFonts w:cs="Arial"/>
                <w:i/>
                <w:iCs/>
                <w:sz w:val="14"/>
                <w:szCs w:val="14"/>
              </w:rPr>
              <w:noBreakHyphen/>
              <w:t>2017 :</w:t>
            </w:r>
            <w:r w:rsidRPr="00A32AF4">
              <w:rPr>
                <w:rFonts w:cs="Arial"/>
                <w:i/>
                <w:iCs/>
                <w:sz w:val="14"/>
                <w:szCs w:val="14"/>
              </w:rPr>
              <w:tab/>
              <w:t>648</w:t>
            </w:r>
          </w:p>
          <w:p w:rsidR="00BB40A7" w:rsidRPr="00A32AF4" w:rsidRDefault="00BB40A7" w:rsidP="00BB40A7">
            <w:pPr>
              <w:tabs>
                <w:tab w:val="left" w:pos="284"/>
                <w:tab w:val="right" w:pos="2948"/>
              </w:tabs>
              <w:rPr>
                <w:rFonts w:cs="Arial"/>
                <w:i/>
                <w:iCs/>
                <w:color w:val="0000FF"/>
                <w:sz w:val="14"/>
                <w:szCs w:val="14"/>
              </w:rPr>
            </w:pPr>
            <w:r w:rsidRPr="00A32AF4">
              <w:rPr>
                <w:rFonts w:cs="Arial"/>
                <w:i/>
                <w:iCs/>
                <w:color w:val="0000FF"/>
                <w:sz w:val="14"/>
                <w:szCs w:val="14"/>
              </w:rPr>
              <w:tab/>
              <w:t>Part consacrée au développement :</w:t>
            </w:r>
            <w:r w:rsidRPr="00A32AF4">
              <w:rPr>
                <w:rFonts w:cs="Arial"/>
                <w:i/>
                <w:iCs/>
                <w:color w:val="0000FF"/>
                <w:sz w:val="14"/>
                <w:szCs w:val="14"/>
              </w:rPr>
              <w:tab/>
              <w:t>–</w:t>
            </w:r>
          </w:p>
          <w:p w:rsidR="00A4309E" w:rsidRPr="00A32AF4" w:rsidRDefault="00A4309E" w:rsidP="00DC0553">
            <w:pPr>
              <w:tabs>
                <w:tab w:val="left" w:pos="284"/>
                <w:tab w:val="right" w:pos="2948"/>
              </w:tabs>
              <w:rPr>
                <w:rFonts w:cs="Arial"/>
                <w:i/>
                <w:iCs/>
                <w:color w:val="0000FF"/>
                <w:sz w:val="14"/>
                <w:szCs w:val="14"/>
              </w:rPr>
            </w:pPr>
          </w:p>
        </w:tc>
        <w:tc>
          <w:tcPr>
            <w:tcW w:w="3041" w:type="dxa"/>
            <w:tcBorders>
              <w:top w:val="nil"/>
              <w:left w:val="nil"/>
              <w:right w:val="nil"/>
            </w:tcBorders>
            <w:shd w:val="clear" w:color="auto" w:fill="auto"/>
          </w:tcPr>
          <w:p w:rsidR="00E2055A" w:rsidRPr="00A32AF4" w:rsidRDefault="00F55F88" w:rsidP="00DC0553">
            <w:pPr>
              <w:tabs>
                <w:tab w:val="left" w:pos="284"/>
                <w:tab w:val="right" w:pos="2948"/>
              </w:tabs>
              <w:spacing w:after="60"/>
              <w:rPr>
                <w:rFonts w:cs="Arial"/>
                <w:sz w:val="14"/>
                <w:szCs w:val="14"/>
              </w:rPr>
            </w:pPr>
            <w:r w:rsidRPr="00A32AF4">
              <w:rPr>
                <w:rFonts w:cs="Arial"/>
                <w:sz w:val="14"/>
                <w:szCs w:val="14"/>
              </w:rPr>
              <w:br/>
            </w:r>
            <w:r w:rsidR="001C3CA9" w:rsidRPr="00A32AF4">
              <w:rPr>
                <w:rFonts w:cs="Arial"/>
                <w:sz w:val="14"/>
                <w:szCs w:val="14"/>
              </w:rPr>
              <w:t>III.1</w:t>
            </w:r>
            <w:r w:rsidR="001C3CA9" w:rsidRPr="00A32AF4">
              <w:rPr>
                <w:rFonts w:cs="Arial"/>
                <w:color w:val="000000"/>
                <w:sz w:val="14"/>
                <w:szCs w:val="14"/>
              </w:rPr>
              <w:t xml:space="preserve">. </w:t>
            </w:r>
            <w:r w:rsidR="001C3CA9" w:rsidRPr="00A32AF4">
              <w:rPr>
                <w:rFonts w:cs="Arial"/>
                <w:sz w:val="14"/>
                <w:szCs w:val="14"/>
              </w:rPr>
              <w:t>Stratégies et plans nationaux en matière d</w:t>
            </w:r>
            <w:r w:rsidR="00E2055A" w:rsidRPr="00A32AF4">
              <w:rPr>
                <w:rFonts w:cs="Arial"/>
                <w:sz w:val="14"/>
                <w:szCs w:val="14"/>
              </w:rPr>
              <w:t>’</w:t>
            </w:r>
            <w:r w:rsidR="001C3CA9" w:rsidRPr="00A32AF4">
              <w:rPr>
                <w:rFonts w:cs="Arial"/>
                <w:sz w:val="14"/>
                <w:szCs w:val="14"/>
              </w:rPr>
              <w:t>innovation et de propriété intellectuelle conformes aux objectifs de développement nationaux</w:t>
            </w:r>
          </w:p>
          <w:p w:rsidR="00F93B76" w:rsidRPr="00A32AF4" w:rsidRDefault="00A4309E" w:rsidP="00DC0553">
            <w:pPr>
              <w:tabs>
                <w:tab w:val="left" w:pos="284"/>
                <w:tab w:val="right" w:pos="2948"/>
              </w:tabs>
              <w:rPr>
                <w:rFonts w:cs="Arial"/>
                <w:i/>
                <w:iCs/>
                <w:color w:val="0000FF"/>
                <w:sz w:val="14"/>
                <w:szCs w:val="14"/>
              </w:rPr>
            </w:pPr>
            <w:r w:rsidRPr="00A32AF4">
              <w:rPr>
                <w:rFonts w:cs="Arial"/>
                <w:i/>
                <w:iCs/>
                <w:sz w:val="14"/>
                <w:szCs w:val="14"/>
              </w:rPr>
              <w:tab/>
            </w:r>
            <w:r w:rsidR="00D52EFC" w:rsidRPr="00A32AF4">
              <w:rPr>
                <w:rFonts w:cs="Arial"/>
                <w:i/>
                <w:iCs/>
                <w:sz w:val="14"/>
                <w:szCs w:val="14"/>
              </w:rPr>
              <w:t>Budget proposé pour 2016</w:t>
            </w:r>
            <w:r w:rsidR="00EB7F54" w:rsidRPr="00A32AF4">
              <w:rPr>
                <w:rFonts w:cs="Arial"/>
                <w:i/>
                <w:iCs/>
                <w:sz w:val="14"/>
                <w:szCs w:val="14"/>
              </w:rPr>
              <w:noBreakHyphen/>
            </w:r>
            <w:r w:rsidR="00D52EFC" w:rsidRPr="00A32AF4">
              <w:rPr>
                <w:rFonts w:cs="Arial"/>
                <w:i/>
                <w:iCs/>
                <w:sz w:val="14"/>
                <w:szCs w:val="14"/>
              </w:rPr>
              <w:t>2017 :</w:t>
            </w:r>
            <w:r w:rsidRPr="00A32AF4">
              <w:rPr>
                <w:rFonts w:cs="Arial"/>
                <w:i/>
                <w:iCs/>
                <w:sz w:val="14"/>
                <w:szCs w:val="14"/>
              </w:rPr>
              <w:tab/>
              <w:t>1</w:t>
            </w:r>
            <w:r w:rsidR="00D52EFC" w:rsidRPr="00A32AF4">
              <w:rPr>
                <w:rFonts w:cs="Arial"/>
                <w:i/>
                <w:iCs/>
                <w:sz w:val="14"/>
                <w:szCs w:val="14"/>
              </w:rPr>
              <w:t>0 9</w:t>
            </w:r>
            <w:r w:rsidRPr="00A32AF4">
              <w:rPr>
                <w:rFonts w:cs="Arial"/>
                <w:i/>
                <w:iCs/>
                <w:sz w:val="14"/>
                <w:szCs w:val="14"/>
              </w:rPr>
              <w:t>57</w:t>
            </w:r>
            <w:r w:rsidRPr="00A32AF4">
              <w:rPr>
                <w:rFonts w:cs="Arial"/>
                <w:i/>
                <w:iCs/>
                <w:color w:val="0000FF"/>
                <w:sz w:val="14"/>
                <w:szCs w:val="14"/>
              </w:rPr>
              <w:tab/>
            </w:r>
            <w:r w:rsidR="00D52EFC" w:rsidRPr="00A32AF4">
              <w:rPr>
                <w:rFonts w:cs="Arial"/>
                <w:i/>
                <w:iCs/>
                <w:color w:val="0000FF"/>
                <w:sz w:val="14"/>
                <w:szCs w:val="14"/>
              </w:rPr>
              <w:t>Part consacrée au développement :</w:t>
            </w:r>
            <w:r w:rsidRPr="00A32AF4">
              <w:rPr>
                <w:rFonts w:cs="Arial"/>
                <w:i/>
                <w:iCs/>
                <w:color w:val="0000FF"/>
                <w:sz w:val="14"/>
                <w:szCs w:val="14"/>
              </w:rPr>
              <w:tab/>
              <w:t>1</w:t>
            </w:r>
            <w:r w:rsidR="00D52EFC" w:rsidRPr="00A32AF4">
              <w:rPr>
                <w:rFonts w:cs="Arial"/>
                <w:i/>
                <w:iCs/>
                <w:color w:val="0000FF"/>
                <w:sz w:val="14"/>
                <w:szCs w:val="14"/>
              </w:rPr>
              <w:t>0</w:t>
            </w:r>
            <w:r w:rsidR="00411DB7" w:rsidRPr="00A32AF4">
              <w:rPr>
                <w:rFonts w:cs="Arial"/>
                <w:i/>
                <w:iCs/>
                <w:color w:val="0000FF"/>
                <w:sz w:val="14"/>
                <w:szCs w:val="14"/>
              </w:rPr>
              <w:t> </w:t>
            </w:r>
            <w:r w:rsidR="00D52EFC" w:rsidRPr="00A32AF4">
              <w:rPr>
                <w:rFonts w:cs="Arial"/>
                <w:i/>
                <w:iCs/>
                <w:color w:val="0000FF"/>
                <w:sz w:val="14"/>
                <w:szCs w:val="14"/>
              </w:rPr>
              <w:t>9</w:t>
            </w:r>
            <w:r w:rsidRPr="00A32AF4">
              <w:rPr>
                <w:rFonts w:cs="Arial"/>
                <w:i/>
                <w:iCs/>
                <w:color w:val="0000FF"/>
                <w:sz w:val="14"/>
                <w:szCs w:val="14"/>
              </w:rPr>
              <w:t>57</w:t>
            </w:r>
          </w:p>
          <w:p w:rsidR="00F93B76" w:rsidRPr="00A32AF4" w:rsidRDefault="00F93B76" w:rsidP="00DC0553">
            <w:pPr>
              <w:tabs>
                <w:tab w:val="left" w:pos="284"/>
                <w:tab w:val="right" w:pos="2948"/>
              </w:tabs>
              <w:rPr>
                <w:rFonts w:cs="Arial"/>
                <w:sz w:val="14"/>
                <w:szCs w:val="14"/>
              </w:rPr>
            </w:pPr>
          </w:p>
          <w:p w:rsidR="00F93B76" w:rsidRPr="00A32AF4" w:rsidRDefault="001C3CA9" w:rsidP="00DC0553">
            <w:pPr>
              <w:tabs>
                <w:tab w:val="left" w:pos="284"/>
                <w:tab w:val="right" w:pos="2948"/>
              </w:tabs>
              <w:spacing w:after="60"/>
              <w:rPr>
                <w:rFonts w:cs="Arial"/>
                <w:sz w:val="14"/>
                <w:szCs w:val="14"/>
              </w:rPr>
            </w:pPr>
            <w:r w:rsidRPr="00A32AF4">
              <w:rPr>
                <w:rFonts w:cs="Arial"/>
                <w:sz w:val="14"/>
                <w:szCs w:val="14"/>
              </w:rPr>
              <w:t>III.2</w:t>
            </w:r>
            <w:r w:rsidRPr="00A32AF4">
              <w:rPr>
                <w:rFonts w:cs="Arial"/>
                <w:color w:val="000000"/>
                <w:sz w:val="14"/>
                <w:szCs w:val="14"/>
              </w:rPr>
              <w:t xml:space="preserve">. </w:t>
            </w:r>
            <w:r w:rsidRPr="00A32AF4">
              <w:rPr>
                <w:rFonts w:cs="Arial"/>
                <w:sz w:val="14"/>
                <w:szCs w:val="14"/>
              </w:rPr>
              <w:t>Mise en valeur des ressources humaines pour répondre aux diverses exigences en matière d</w:t>
            </w:r>
            <w:r w:rsidR="00E2055A" w:rsidRPr="00A32AF4">
              <w:rPr>
                <w:rFonts w:cs="Arial"/>
                <w:sz w:val="14"/>
                <w:szCs w:val="14"/>
              </w:rPr>
              <w:t>’</w:t>
            </w:r>
            <w:r w:rsidRPr="00A32AF4">
              <w:rPr>
                <w:rFonts w:cs="Arial"/>
                <w:sz w:val="14"/>
                <w:szCs w:val="14"/>
              </w:rPr>
              <w:t>utilisation efficace de la propriété intellectuelle au service du développement dans les pays en développement,</w:t>
            </w:r>
            <w:r w:rsidR="00E2055A" w:rsidRPr="00A32AF4">
              <w:rPr>
                <w:rFonts w:cs="Arial"/>
                <w:sz w:val="14"/>
                <w:szCs w:val="14"/>
              </w:rPr>
              <w:t xml:space="preserve"> les PMA</w:t>
            </w:r>
            <w:r w:rsidRPr="00A32AF4">
              <w:rPr>
                <w:rFonts w:cs="Arial"/>
                <w:sz w:val="14"/>
                <w:szCs w:val="14"/>
              </w:rPr>
              <w:t xml:space="preserve"> et les pays en transition</w:t>
            </w:r>
          </w:p>
          <w:p w:rsidR="00F93B76" w:rsidRPr="00A32AF4" w:rsidRDefault="00A4309E" w:rsidP="00DC0553">
            <w:pPr>
              <w:tabs>
                <w:tab w:val="left" w:pos="284"/>
                <w:tab w:val="right" w:pos="2948"/>
              </w:tabs>
              <w:rPr>
                <w:rFonts w:cs="Arial"/>
                <w:i/>
                <w:iCs/>
                <w:sz w:val="14"/>
                <w:szCs w:val="14"/>
              </w:rPr>
            </w:pPr>
            <w:r w:rsidRPr="00A32AF4">
              <w:rPr>
                <w:rFonts w:cs="Arial"/>
                <w:i/>
                <w:iCs/>
                <w:sz w:val="14"/>
                <w:szCs w:val="14"/>
              </w:rPr>
              <w:tab/>
            </w:r>
            <w:r w:rsidR="00D52EFC" w:rsidRPr="00A32AF4">
              <w:rPr>
                <w:rFonts w:cs="Arial"/>
                <w:i/>
                <w:iCs/>
                <w:sz w:val="14"/>
                <w:szCs w:val="14"/>
              </w:rPr>
              <w:t>Budget proposé pour 2016</w:t>
            </w:r>
            <w:r w:rsidR="00EB7F54" w:rsidRPr="00A32AF4">
              <w:rPr>
                <w:rFonts w:cs="Arial"/>
                <w:i/>
                <w:iCs/>
                <w:sz w:val="14"/>
                <w:szCs w:val="14"/>
              </w:rPr>
              <w:noBreakHyphen/>
            </w:r>
            <w:r w:rsidR="00D52EFC" w:rsidRPr="00A32AF4">
              <w:rPr>
                <w:rFonts w:cs="Arial"/>
                <w:i/>
                <w:iCs/>
                <w:sz w:val="14"/>
                <w:szCs w:val="14"/>
              </w:rPr>
              <w:t>2017 :</w:t>
            </w:r>
            <w:r w:rsidRPr="00A32AF4">
              <w:rPr>
                <w:rFonts w:cs="Arial"/>
                <w:i/>
                <w:iCs/>
                <w:sz w:val="14"/>
                <w:szCs w:val="14"/>
              </w:rPr>
              <w:tab/>
              <w:t>3</w:t>
            </w:r>
            <w:r w:rsidR="00D52EFC" w:rsidRPr="00A32AF4">
              <w:rPr>
                <w:rFonts w:cs="Arial"/>
                <w:i/>
                <w:iCs/>
                <w:sz w:val="14"/>
                <w:szCs w:val="14"/>
              </w:rPr>
              <w:t>9 7</w:t>
            </w:r>
            <w:r w:rsidRPr="00A32AF4">
              <w:rPr>
                <w:rFonts w:cs="Arial"/>
                <w:i/>
                <w:iCs/>
                <w:sz w:val="14"/>
                <w:szCs w:val="14"/>
              </w:rPr>
              <w:t>34</w:t>
            </w:r>
          </w:p>
          <w:p w:rsidR="00F93B76" w:rsidRPr="00A32AF4" w:rsidRDefault="00A4309E" w:rsidP="00DC0553">
            <w:pPr>
              <w:tabs>
                <w:tab w:val="left" w:pos="284"/>
                <w:tab w:val="right" w:pos="2948"/>
              </w:tabs>
              <w:rPr>
                <w:rFonts w:cs="Arial"/>
                <w:i/>
                <w:iCs/>
                <w:color w:val="0000FF"/>
                <w:sz w:val="14"/>
                <w:szCs w:val="14"/>
              </w:rPr>
            </w:pPr>
            <w:r w:rsidRPr="00A32AF4">
              <w:rPr>
                <w:rFonts w:cs="Arial"/>
                <w:i/>
                <w:iCs/>
                <w:color w:val="0000FF"/>
                <w:sz w:val="14"/>
                <w:szCs w:val="14"/>
              </w:rPr>
              <w:tab/>
            </w:r>
            <w:r w:rsidR="00D52EFC" w:rsidRPr="00A32AF4">
              <w:rPr>
                <w:rFonts w:cs="Arial"/>
                <w:i/>
                <w:iCs/>
                <w:color w:val="0000FF"/>
                <w:sz w:val="14"/>
                <w:szCs w:val="14"/>
              </w:rPr>
              <w:t>Part consacrée au développement :</w:t>
            </w:r>
            <w:r w:rsidRPr="00A32AF4">
              <w:rPr>
                <w:rFonts w:cs="Arial"/>
                <w:i/>
                <w:iCs/>
                <w:color w:val="0000FF"/>
                <w:sz w:val="14"/>
                <w:szCs w:val="14"/>
              </w:rPr>
              <w:tab/>
              <w:t>3</w:t>
            </w:r>
            <w:r w:rsidR="00D52EFC" w:rsidRPr="00A32AF4">
              <w:rPr>
                <w:rFonts w:cs="Arial"/>
                <w:i/>
                <w:iCs/>
                <w:color w:val="0000FF"/>
                <w:sz w:val="14"/>
                <w:szCs w:val="14"/>
              </w:rPr>
              <w:t>9</w:t>
            </w:r>
            <w:r w:rsidR="00411DB7" w:rsidRPr="00A32AF4">
              <w:rPr>
                <w:rFonts w:cs="Arial"/>
                <w:i/>
                <w:iCs/>
                <w:color w:val="0000FF"/>
                <w:sz w:val="14"/>
                <w:szCs w:val="14"/>
              </w:rPr>
              <w:t> </w:t>
            </w:r>
            <w:r w:rsidR="00D52EFC" w:rsidRPr="00A32AF4">
              <w:rPr>
                <w:rFonts w:cs="Arial"/>
                <w:i/>
                <w:iCs/>
                <w:color w:val="0000FF"/>
                <w:sz w:val="14"/>
                <w:szCs w:val="14"/>
              </w:rPr>
              <w:t>3</w:t>
            </w:r>
            <w:r w:rsidRPr="00A32AF4">
              <w:rPr>
                <w:rFonts w:cs="Arial"/>
                <w:i/>
                <w:iCs/>
                <w:color w:val="0000FF"/>
                <w:sz w:val="14"/>
                <w:szCs w:val="14"/>
              </w:rPr>
              <w:t>22</w:t>
            </w:r>
          </w:p>
          <w:p w:rsidR="00F93B76" w:rsidRPr="00A32AF4" w:rsidRDefault="00F93B76" w:rsidP="00DC0553">
            <w:pPr>
              <w:tabs>
                <w:tab w:val="left" w:pos="284"/>
                <w:tab w:val="right" w:pos="2948"/>
              </w:tabs>
              <w:rPr>
                <w:rFonts w:cs="Arial"/>
                <w:sz w:val="14"/>
                <w:szCs w:val="14"/>
              </w:rPr>
            </w:pPr>
          </w:p>
          <w:p w:rsidR="00F93B76" w:rsidRPr="00A32AF4" w:rsidRDefault="001C3CA9" w:rsidP="00DC0553">
            <w:pPr>
              <w:tabs>
                <w:tab w:val="left" w:pos="284"/>
                <w:tab w:val="right" w:pos="2948"/>
              </w:tabs>
              <w:spacing w:after="60"/>
              <w:rPr>
                <w:rFonts w:cs="Arial"/>
                <w:sz w:val="14"/>
                <w:szCs w:val="14"/>
              </w:rPr>
            </w:pPr>
            <w:r w:rsidRPr="00A32AF4">
              <w:rPr>
                <w:rFonts w:cs="Arial"/>
                <w:sz w:val="14"/>
                <w:szCs w:val="14"/>
              </w:rPr>
              <w:t>III.3</w:t>
            </w:r>
            <w:r w:rsidRPr="00A32AF4">
              <w:rPr>
                <w:rFonts w:cs="Arial"/>
                <w:color w:val="000000"/>
                <w:sz w:val="14"/>
                <w:szCs w:val="14"/>
              </w:rPr>
              <w:t xml:space="preserve">. </w:t>
            </w:r>
            <w:r w:rsidRPr="00A32AF4">
              <w:rPr>
                <w:rFonts w:cs="Arial"/>
                <w:sz w:val="14"/>
                <w:szCs w:val="14"/>
              </w:rPr>
              <w:t>Intégration des recommandations du Plan d</w:t>
            </w:r>
            <w:r w:rsidR="00E2055A" w:rsidRPr="00A32AF4">
              <w:rPr>
                <w:rFonts w:cs="Arial"/>
                <w:sz w:val="14"/>
                <w:szCs w:val="14"/>
              </w:rPr>
              <w:t>’</w:t>
            </w:r>
            <w:r w:rsidRPr="00A32AF4">
              <w:rPr>
                <w:rFonts w:cs="Arial"/>
                <w:sz w:val="14"/>
                <w:szCs w:val="14"/>
              </w:rPr>
              <w:t>action pour le développement dans les travaux de l</w:t>
            </w:r>
            <w:r w:rsidR="00E2055A" w:rsidRPr="00A32AF4">
              <w:rPr>
                <w:rFonts w:cs="Arial"/>
                <w:sz w:val="14"/>
                <w:szCs w:val="14"/>
              </w:rPr>
              <w:t>’</w:t>
            </w:r>
            <w:r w:rsidRPr="00A32AF4">
              <w:rPr>
                <w:rFonts w:cs="Arial"/>
                <w:sz w:val="14"/>
                <w:szCs w:val="14"/>
              </w:rPr>
              <w:t>OMPI</w:t>
            </w:r>
          </w:p>
          <w:p w:rsidR="00F93B76" w:rsidRPr="00A32AF4" w:rsidRDefault="00A4309E" w:rsidP="00DC0553">
            <w:pPr>
              <w:tabs>
                <w:tab w:val="left" w:pos="284"/>
                <w:tab w:val="right" w:pos="2948"/>
              </w:tabs>
              <w:rPr>
                <w:rFonts w:cs="Arial"/>
                <w:i/>
                <w:iCs/>
                <w:sz w:val="14"/>
                <w:szCs w:val="14"/>
              </w:rPr>
            </w:pPr>
            <w:r w:rsidRPr="00A32AF4">
              <w:rPr>
                <w:rFonts w:cs="Arial"/>
                <w:i/>
                <w:iCs/>
                <w:sz w:val="14"/>
                <w:szCs w:val="14"/>
              </w:rPr>
              <w:tab/>
            </w:r>
            <w:r w:rsidR="00D52EFC" w:rsidRPr="00A32AF4">
              <w:rPr>
                <w:rFonts w:cs="Arial"/>
                <w:i/>
                <w:iCs/>
                <w:sz w:val="14"/>
                <w:szCs w:val="14"/>
              </w:rPr>
              <w:t>Budget proposé pour 2016</w:t>
            </w:r>
            <w:r w:rsidR="00EB7F54" w:rsidRPr="00A32AF4">
              <w:rPr>
                <w:rFonts w:cs="Arial"/>
                <w:i/>
                <w:iCs/>
                <w:sz w:val="14"/>
                <w:szCs w:val="14"/>
              </w:rPr>
              <w:noBreakHyphen/>
            </w:r>
            <w:r w:rsidR="00D52EFC" w:rsidRPr="00A32AF4">
              <w:rPr>
                <w:rFonts w:cs="Arial"/>
                <w:i/>
                <w:iCs/>
                <w:sz w:val="14"/>
                <w:szCs w:val="14"/>
              </w:rPr>
              <w:t>2017 :</w:t>
            </w:r>
            <w:r w:rsidRPr="00A32AF4">
              <w:rPr>
                <w:rFonts w:cs="Arial"/>
                <w:i/>
                <w:iCs/>
                <w:sz w:val="14"/>
                <w:szCs w:val="14"/>
              </w:rPr>
              <w:tab/>
            </w:r>
            <w:r w:rsidR="00D52EFC" w:rsidRPr="00A32AF4">
              <w:rPr>
                <w:rFonts w:cs="Arial"/>
                <w:i/>
                <w:iCs/>
                <w:sz w:val="14"/>
                <w:szCs w:val="14"/>
              </w:rPr>
              <w:t>2 4</w:t>
            </w:r>
            <w:r w:rsidRPr="00A32AF4">
              <w:rPr>
                <w:rFonts w:cs="Arial"/>
                <w:i/>
                <w:iCs/>
                <w:sz w:val="14"/>
                <w:szCs w:val="14"/>
              </w:rPr>
              <w:t>92</w:t>
            </w:r>
          </w:p>
          <w:p w:rsidR="00F93B76" w:rsidRPr="00A32AF4" w:rsidRDefault="00A4309E" w:rsidP="00DC0553">
            <w:pPr>
              <w:tabs>
                <w:tab w:val="left" w:pos="284"/>
                <w:tab w:val="right" w:pos="2948"/>
              </w:tabs>
              <w:rPr>
                <w:rFonts w:cs="Arial"/>
                <w:i/>
                <w:iCs/>
                <w:color w:val="0000FF"/>
                <w:sz w:val="14"/>
                <w:szCs w:val="14"/>
              </w:rPr>
            </w:pPr>
            <w:r w:rsidRPr="00A32AF4">
              <w:rPr>
                <w:rFonts w:cs="Arial"/>
                <w:i/>
                <w:iCs/>
                <w:color w:val="0000FF"/>
                <w:sz w:val="14"/>
                <w:szCs w:val="14"/>
              </w:rPr>
              <w:tab/>
            </w:r>
            <w:r w:rsidR="00D52EFC" w:rsidRPr="00A32AF4">
              <w:rPr>
                <w:rFonts w:cs="Arial"/>
                <w:i/>
                <w:iCs/>
                <w:color w:val="0000FF"/>
                <w:sz w:val="14"/>
                <w:szCs w:val="14"/>
              </w:rPr>
              <w:t>Part consacrée au développement :</w:t>
            </w:r>
            <w:r w:rsidRPr="00A32AF4">
              <w:rPr>
                <w:rFonts w:cs="Arial"/>
                <w:i/>
                <w:iCs/>
                <w:color w:val="0000FF"/>
                <w:sz w:val="14"/>
                <w:szCs w:val="14"/>
              </w:rPr>
              <w:tab/>
            </w:r>
            <w:r w:rsidR="00D52EFC" w:rsidRPr="00A32AF4">
              <w:rPr>
                <w:rFonts w:cs="Arial"/>
                <w:i/>
                <w:iCs/>
                <w:color w:val="0000FF"/>
                <w:sz w:val="14"/>
                <w:szCs w:val="14"/>
              </w:rPr>
              <w:t>2</w:t>
            </w:r>
            <w:r w:rsidR="00411DB7" w:rsidRPr="00A32AF4">
              <w:rPr>
                <w:rFonts w:cs="Arial"/>
                <w:i/>
                <w:iCs/>
                <w:color w:val="0000FF"/>
                <w:sz w:val="14"/>
                <w:szCs w:val="14"/>
              </w:rPr>
              <w:t> </w:t>
            </w:r>
            <w:r w:rsidR="00D52EFC" w:rsidRPr="00A32AF4">
              <w:rPr>
                <w:rFonts w:cs="Arial"/>
                <w:i/>
                <w:iCs/>
                <w:color w:val="0000FF"/>
                <w:sz w:val="14"/>
                <w:szCs w:val="14"/>
              </w:rPr>
              <w:t>4</w:t>
            </w:r>
            <w:r w:rsidRPr="00A32AF4">
              <w:rPr>
                <w:rFonts w:cs="Arial"/>
                <w:i/>
                <w:iCs/>
                <w:color w:val="0000FF"/>
                <w:sz w:val="14"/>
                <w:szCs w:val="14"/>
              </w:rPr>
              <w:t>92</w:t>
            </w:r>
          </w:p>
          <w:p w:rsidR="00F93B76" w:rsidRPr="00A32AF4" w:rsidRDefault="00F93B76" w:rsidP="00DC0553">
            <w:pPr>
              <w:tabs>
                <w:tab w:val="left" w:pos="284"/>
                <w:tab w:val="right" w:pos="2948"/>
              </w:tabs>
              <w:rPr>
                <w:rFonts w:cs="Arial"/>
                <w:i/>
                <w:iCs/>
                <w:color w:val="0000FF"/>
                <w:sz w:val="14"/>
                <w:szCs w:val="14"/>
              </w:rPr>
            </w:pPr>
          </w:p>
          <w:p w:rsidR="00F93B76" w:rsidRPr="00A32AF4" w:rsidRDefault="001C3CA9" w:rsidP="00DC0553">
            <w:pPr>
              <w:tabs>
                <w:tab w:val="left" w:pos="284"/>
                <w:tab w:val="right" w:pos="2948"/>
              </w:tabs>
              <w:spacing w:after="60"/>
              <w:rPr>
                <w:rFonts w:cs="Arial"/>
                <w:sz w:val="14"/>
                <w:szCs w:val="14"/>
              </w:rPr>
            </w:pPr>
            <w:r w:rsidRPr="00A32AF4">
              <w:rPr>
                <w:rFonts w:cs="Arial"/>
                <w:sz w:val="14"/>
                <w:szCs w:val="14"/>
              </w:rPr>
              <w:t>III.4</w:t>
            </w:r>
            <w:r w:rsidRPr="00A32AF4">
              <w:rPr>
                <w:rFonts w:cs="Arial"/>
                <w:color w:val="000000"/>
                <w:sz w:val="14"/>
                <w:szCs w:val="14"/>
              </w:rPr>
              <w:t xml:space="preserve">. </w:t>
            </w:r>
            <w:r w:rsidRPr="00A32AF4">
              <w:rPr>
                <w:rFonts w:cs="Arial"/>
                <w:sz w:val="14"/>
                <w:szCs w:val="14"/>
              </w:rPr>
              <w:t>Mécanismes et programmes de coopération renforcés, adaptés aux besoins des pays en développement</w:t>
            </w:r>
            <w:r w:rsidR="00A977C7" w:rsidRPr="00A32AF4">
              <w:rPr>
                <w:rFonts w:cs="Arial"/>
                <w:sz w:val="14"/>
                <w:szCs w:val="14"/>
              </w:rPr>
              <w:t>,</w:t>
            </w:r>
            <w:r w:rsidR="00E2055A" w:rsidRPr="00A32AF4">
              <w:rPr>
                <w:rFonts w:cs="Arial"/>
                <w:sz w:val="14"/>
                <w:szCs w:val="14"/>
              </w:rPr>
              <w:t xml:space="preserve"> des PMA</w:t>
            </w:r>
            <w:r w:rsidR="00A977C7" w:rsidRPr="00A32AF4">
              <w:rPr>
                <w:rFonts w:cs="Arial"/>
                <w:sz w:val="14"/>
                <w:szCs w:val="14"/>
              </w:rPr>
              <w:t xml:space="preserve"> et des pays en transition</w:t>
            </w:r>
          </w:p>
          <w:p w:rsidR="00F93B76" w:rsidRPr="00A32AF4" w:rsidRDefault="00A4309E" w:rsidP="00DC0553">
            <w:pPr>
              <w:tabs>
                <w:tab w:val="left" w:pos="284"/>
                <w:tab w:val="right" w:pos="2948"/>
              </w:tabs>
              <w:rPr>
                <w:rFonts w:cs="Arial"/>
                <w:i/>
                <w:iCs/>
                <w:sz w:val="14"/>
                <w:szCs w:val="14"/>
              </w:rPr>
            </w:pPr>
            <w:r w:rsidRPr="00A32AF4">
              <w:rPr>
                <w:rFonts w:cs="Arial"/>
                <w:i/>
                <w:iCs/>
                <w:sz w:val="14"/>
                <w:szCs w:val="14"/>
              </w:rPr>
              <w:tab/>
            </w:r>
            <w:r w:rsidR="00D52EFC" w:rsidRPr="00A32AF4">
              <w:rPr>
                <w:rFonts w:cs="Arial"/>
                <w:i/>
                <w:iCs/>
                <w:sz w:val="14"/>
                <w:szCs w:val="14"/>
              </w:rPr>
              <w:t>Budget proposé pour 2016</w:t>
            </w:r>
            <w:r w:rsidR="00EB7F54" w:rsidRPr="00A32AF4">
              <w:rPr>
                <w:rFonts w:cs="Arial"/>
                <w:i/>
                <w:iCs/>
                <w:sz w:val="14"/>
                <w:szCs w:val="14"/>
              </w:rPr>
              <w:noBreakHyphen/>
            </w:r>
            <w:r w:rsidR="00D52EFC" w:rsidRPr="00A32AF4">
              <w:rPr>
                <w:rFonts w:cs="Arial"/>
                <w:i/>
                <w:iCs/>
                <w:sz w:val="14"/>
                <w:szCs w:val="14"/>
              </w:rPr>
              <w:t>2017 :</w:t>
            </w:r>
            <w:r w:rsidRPr="00A32AF4">
              <w:rPr>
                <w:rFonts w:cs="Arial"/>
                <w:i/>
                <w:iCs/>
                <w:sz w:val="14"/>
                <w:szCs w:val="14"/>
              </w:rPr>
              <w:tab/>
            </w:r>
            <w:r w:rsidR="00D52EFC" w:rsidRPr="00A32AF4">
              <w:rPr>
                <w:rFonts w:cs="Arial"/>
                <w:i/>
                <w:iCs/>
                <w:sz w:val="14"/>
                <w:szCs w:val="14"/>
              </w:rPr>
              <w:t>6 2</w:t>
            </w:r>
            <w:r w:rsidRPr="00A32AF4">
              <w:rPr>
                <w:rFonts w:cs="Arial"/>
                <w:i/>
                <w:iCs/>
                <w:sz w:val="14"/>
                <w:szCs w:val="14"/>
              </w:rPr>
              <w:t>73</w:t>
            </w:r>
          </w:p>
          <w:p w:rsidR="00F93B76" w:rsidRPr="00A32AF4" w:rsidRDefault="00A4309E" w:rsidP="00DC0553">
            <w:pPr>
              <w:tabs>
                <w:tab w:val="left" w:pos="284"/>
                <w:tab w:val="right" w:pos="2948"/>
              </w:tabs>
              <w:rPr>
                <w:rFonts w:cs="Arial"/>
                <w:i/>
                <w:iCs/>
                <w:color w:val="0000FF"/>
                <w:sz w:val="14"/>
                <w:szCs w:val="14"/>
              </w:rPr>
            </w:pPr>
            <w:r w:rsidRPr="00A32AF4">
              <w:rPr>
                <w:rFonts w:cs="Arial"/>
                <w:i/>
                <w:iCs/>
                <w:color w:val="0000FF"/>
                <w:sz w:val="14"/>
                <w:szCs w:val="14"/>
              </w:rPr>
              <w:tab/>
            </w:r>
            <w:r w:rsidR="00D52EFC" w:rsidRPr="00A32AF4">
              <w:rPr>
                <w:rFonts w:cs="Arial"/>
                <w:i/>
                <w:iCs/>
                <w:color w:val="0000FF"/>
                <w:sz w:val="14"/>
                <w:szCs w:val="14"/>
              </w:rPr>
              <w:t>Part consacrée au développement :</w:t>
            </w:r>
            <w:r w:rsidRPr="00A32AF4">
              <w:rPr>
                <w:rFonts w:cs="Arial"/>
                <w:i/>
                <w:iCs/>
                <w:color w:val="0000FF"/>
                <w:sz w:val="14"/>
                <w:szCs w:val="14"/>
              </w:rPr>
              <w:tab/>
            </w:r>
            <w:r w:rsidR="00D52EFC" w:rsidRPr="00A32AF4">
              <w:rPr>
                <w:rFonts w:cs="Arial"/>
                <w:i/>
                <w:iCs/>
                <w:color w:val="0000FF"/>
                <w:sz w:val="14"/>
                <w:szCs w:val="14"/>
              </w:rPr>
              <w:t>5 8</w:t>
            </w:r>
            <w:r w:rsidRPr="00A32AF4">
              <w:rPr>
                <w:rFonts w:cs="Arial"/>
                <w:i/>
                <w:iCs/>
                <w:color w:val="0000FF"/>
                <w:sz w:val="14"/>
                <w:szCs w:val="14"/>
              </w:rPr>
              <w:t>53</w:t>
            </w:r>
          </w:p>
          <w:p w:rsidR="00F93B76" w:rsidRPr="00A32AF4" w:rsidRDefault="00F93B76" w:rsidP="00DC0553">
            <w:pPr>
              <w:tabs>
                <w:tab w:val="left" w:pos="284"/>
                <w:tab w:val="right" w:pos="2948"/>
              </w:tabs>
              <w:rPr>
                <w:rFonts w:cs="Arial"/>
                <w:color w:val="0000FF"/>
                <w:sz w:val="14"/>
                <w:szCs w:val="14"/>
              </w:rPr>
            </w:pPr>
          </w:p>
          <w:p w:rsidR="00F93B76" w:rsidRPr="00A32AF4" w:rsidRDefault="001C3CA9" w:rsidP="00DC0553">
            <w:pPr>
              <w:tabs>
                <w:tab w:val="left" w:pos="284"/>
                <w:tab w:val="right" w:pos="2948"/>
              </w:tabs>
              <w:spacing w:after="60"/>
              <w:rPr>
                <w:rFonts w:cs="Arial"/>
                <w:sz w:val="14"/>
                <w:szCs w:val="14"/>
              </w:rPr>
            </w:pPr>
            <w:r w:rsidRPr="00A32AF4">
              <w:rPr>
                <w:rFonts w:cs="Arial"/>
                <w:sz w:val="14"/>
                <w:szCs w:val="14"/>
              </w:rPr>
              <w:t>III.5</w:t>
            </w:r>
            <w:r w:rsidRPr="00A32AF4">
              <w:rPr>
                <w:rFonts w:cs="Arial"/>
                <w:color w:val="000000"/>
                <w:sz w:val="14"/>
                <w:szCs w:val="14"/>
              </w:rPr>
              <w:t xml:space="preserve">. </w:t>
            </w:r>
            <w:r w:rsidRPr="00A32AF4">
              <w:rPr>
                <w:rFonts w:cs="Arial"/>
                <w:sz w:val="14"/>
                <w:szCs w:val="14"/>
              </w:rPr>
              <w:t>Meilleure connaissance du Plan d</w:t>
            </w:r>
            <w:r w:rsidR="00E2055A" w:rsidRPr="00A32AF4">
              <w:rPr>
                <w:rFonts w:cs="Arial"/>
                <w:sz w:val="14"/>
                <w:szCs w:val="14"/>
              </w:rPr>
              <w:t>’</w:t>
            </w:r>
            <w:r w:rsidRPr="00A32AF4">
              <w:rPr>
                <w:rFonts w:cs="Arial"/>
                <w:sz w:val="14"/>
                <w:szCs w:val="14"/>
              </w:rPr>
              <w:t>action pour le développement de la part des États membres, des organisations intergouvernementales, de la société civile et d</w:t>
            </w:r>
            <w:r w:rsidR="00E2055A" w:rsidRPr="00A32AF4">
              <w:rPr>
                <w:rFonts w:cs="Arial"/>
                <w:sz w:val="14"/>
                <w:szCs w:val="14"/>
              </w:rPr>
              <w:t>’</w:t>
            </w:r>
            <w:r w:rsidRPr="00A32AF4">
              <w:rPr>
                <w:rFonts w:cs="Arial"/>
                <w:sz w:val="14"/>
                <w:szCs w:val="14"/>
              </w:rPr>
              <w:t>autres parties prenantes</w:t>
            </w:r>
          </w:p>
          <w:p w:rsidR="00F93B76" w:rsidRPr="00A32AF4" w:rsidRDefault="00A4309E" w:rsidP="00DC0553">
            <w:pPr>
              <w:tabs>
                <w:tab w:val="left" w:pos="284"/>
                <w:tab w:val="right" w:pos="2948"/>
              </w:tabs>
              <w:rPr>
                <w:rFonts w:cs="Arial"/>
                <w:i/>
                <w:iCs/>
                <w:sz w:val="14"/>
                <w:szCs w:val="14"/>
              </w:rPr>
            </w:pPr>
            <w:r w:rsidRPr="00A32AF4">
              <w:rPr>
                <w:rFonts w:cs="Arial"/>
                <w:i/>
                <w:iCs/>
                <w:sz w:val="14"/>
                <w:szCs w:val="14"/>
              </w:rPr>
              <w:tab/>
            </w:r>
            <w:r w:rsidR="00D52EFC" w:rsidRPr="00A32AF4">
              <w:rPr>
                <w:rFonts w:cs="Arial"/>
                <w:i/>
                <w:iCs/>
                <w:sz w:val="14"/>
                <w:szCs w:val="14"/>
              </w:rPr>
              <w:t>Budget proposé pour 2016</w:t>
            </w:r>
            <w:r w:rsidR="00EB7F54" w:rsidRPr="00A32AF4">
              <w:rPr>
                <w:rFonts w:cs="Arial"/>
                <w:i/>
                <w:iCs/>
                <w:sz w:val="14"/>
                <w:szCs w:val="14"/>
              </w:rPr>
              <w:noBreakHyphen/>
            </w:r>
            <w:r w:rsidR="00D52EFC" w:rsidRPr="00A32AF4">
              <w:rPr>
                <w:rFonts w:cs="Arial"/>
                <w:i/>
                <w:iCs/>
                <w:sz w:val="14"/>
                <w:szCs w:val="14"/>
              </w:rPr>
              <w:t>2017 :</w:t>
            </w:r>
            <w:r w:rsidR="00411DB7" w:rsidRPr="00A32AF4">
              <w:rPr>
                <w:rFonts w:cs="Arial"/>
                <w:i/>
                <w:iCs/>
                <w:sz w:val="14"/>
                <w:szCs w:val="14"/>
              </w:rPr>
              <w:tab/>
            </w:r>
            <w:r w:rsidR="00D52EFC" w:rsidRPr="00A32AF4">
              <w:rPr>
                <w:rFonts w:cs="Arial"/>
                <w:i/>
                <w:iCs/>
                <w:sz w:val="14"/>
                <w:szCs w:val="14"/>
              </w:rPr>
              <w:t>1 3</w:t>
            </w:r>
            <w:r w:rsidRPr="00A32AF4">
              <w:rPr>
                <w:rFonts w:cs="Arial"/>
                <w:i/>
                <w:iCs/>
                <w:sz w:val="14"/>
                <w:szCs w:val="14"/>
              </w:rPr>
              <w:t>93</w:t>
            </w:r>
          </w:p>
          <w:p w:rsidR="00F93B76" w:rsidRPr="00A32AF4" w:rsidRDefault="00A4309E" w:rsidP="00DC0553">
            <w:pPr>
              <w:tabs>
                <w:tab w:val="left" w:pos="284"/>
                <w:tab w:val="right" w:pos="2948"/>
              </w:tabs>
              <w:rPr>
                <w:rFonts w:cs="Arial"/>
                <w:i/>
                <w:iCs/>
                <w:color w:val="0000FF"/>
                <w:sz w:val="14"/>
                <w:szCs w:val="14"/>
              </w:rPr>
            </w:pPr>
            <w:r w:rsidRPr="00A32AF4">
              <w:rPr>
                <w:rFonts w:cs="Arial"/>
                <w:i/>
                <w:iCs/>
                <w:color w:val="0000FF"/>
                <w:sz w:val="14"/>
                <w:szCs w:val="14"/>
              </w:rPr>
              <w:tab/>
            </w:r>
            <w:r w:rsidR="00D52EFC" w:rsidRPr="00A32AF4">
              <w:rPr>
                <w:rFonts w:cs="Arial"/>
                <w:i/>
                <w:iCs/>
                <w:color w:val="0000FF"/>
                <w:sz w:val="14"/>
                <w:szCs w:val="14"/>
              </w:rPr>
              <w:t>Part consacrée au développement :</w:t>
            </w:r>
            <w:r w:rsidRPr="00A32AF4">
              <w:rPr>
                <w:rFonts w:cs="Arial"/>
                <w:i/>
                <w:iCs/>
                <w:color w:val="0000FF"/>
                <w:sz w:val="14"/>
                <w:szCs w:val="14"/>
              </w:rPr>
              <w:tab/>
              <w:t xml:space="preserve">  </w:t>
            </w:r>
            <w:r w:rsidR="00D52EFC" w:rsidRPr="00A32AF4">
              <w:rPr>
                <w:rFonts w:cs="Arial"/>
                <w:i/>
                <w:iCs/>
                <w:color w:val="0000FF"/>
                <w:sz w:val="14"/>
                <w:szCs w:val="14"/>
              </w:rPr>
              <w:t>1 3</w:t>
            </w:r>
            <w:r w:rsidRPr="00A32AF4">
              <w:rPr>
                <w:rFonts w:cs="Arial"/>
                <w:i/>
                <w:iCs/>
                <w:color w:val="0000FF"/>
                <w:sz w:val="14"/>
                <w:szCs w:val="14"/>
              </w:rPr>
              <w:t>93</w:t>
            </w:r>
          </w:p>
          <w:p w:rsidR="00F93B76" w:rsidRPr="00A32AF4" w:rsidRDefault="00F93B76" w:rsidP="00DC0553">
            <w:pPr>
              <w:tabs>
                <w:tab w:val="left" w:pos="284"/>
                <w:tab w:val="right" w:pos="2948"/>
              </w:tabs>
              <w:spacing w:after="60"/>
              <w:rPr>
                <w:rFonts w:cs="Arial"/>
                <w:sz w:val="14"/>
                <w:szCs w:val="14"/>
              </w:rPr>
            </w:pPr>
          </w:p>
          <w:p w:rsidR="00F93B76" w:rsidRPr="00A32AF4" w:rsidRDefault="001C3CA9" w:rsidP="00DC0553">
            <w:pPr>
              <w:tabs>
                <w:tab w:val="left" w:pos="284"/>
                <w:tab w:val="right" w:pos="2948"/>
              </w:tabs>
              <w:spacing w:after="60"/>
              <w:rPr>
                <w:rFonts w:cs="Arial"/>
                <w:sz w:val="14"/>
                <w:szCs w:val="14"/>
              </w:rPr>
            </w:pPr>
            <w:r w:rsidRPr="00A32AF4">
              <w:rPr>
                <w:rFonts w:cs="Arial"/>
                <w:sz w:val="14"/>
                <w:szCs w:val="14"/>
              </w:rPr>
              <w:t>III.6</w:t>
            </w:r>
            <w:r w:rsidRPr="00A32AF4">
              <w:rPr>
                <w:rFonts w:cs="Arial"/>
                <w:color w:val="000000"/>
                <w:sz w:val="14"/>
                <w:szCs w:val="14"/>
              </w:rPr>
              <w:t xml:space="preserve">. </w:t>
            </w:r>
            <w:r w:rsidRPr="00A32AF4">
              <w:rPr>
                <w:rFonts w:cs="Arial"/>
                <w:sz w:val="14"/>
                <w:szCs w:val="14"/>
              </w:rPr>
              <w:t>Renforcement des capacités</w:t>
            </w:r>
            <w:r w:rsidR="00E2055A" w:rsidRPr="00A32AF4">
              <w:rPr>
                <w:rFonts w:cs="Arial"/>
                <w:sz w:val="14"/>
                <w:szCs w:val="14"/>
              </w:rPr>
              <w:t xml:space="preserve"> des PME</w:t>
            </w:r>
            <w:r w:rsidRPr="00A32AF4">
              <w:rPr>
                <w:rFonts w:cs="Arial"/>
                <w:sz w:val="14"/>
                <w:szCs w:val="14"/>
              </w:rPr>
              <w:t xml:space="preserve"> s</w:t>
            </w:r>
            <w:r w:rsidR="00E2055A" w:rsidRPr="00A32AF4">
              <w:rPr>
                <w:rFonts w:cs="Arial"/>
                <w:sz w:val="14"/>
                <w:szCs w:val="14"/>
              </w:rPr>
              <w:t>’</w:t>
            </w:r>
            <w:r w:rsidRPr="00A32AF4">
              <w:rPr>
                <w:rFonts w:cs="Arial"/>
                <w:sz w:val="14"/>
                <w:szCs w:val="14"/>
              </w:rPr>
              <w:t>agissant de mettre la propriété intellectuelle au service de l</w:t>
            </w:r>
            <w:r w:rsidR="00E2055A" w:rsidRPr="00A32AF4">
              <w:rPr>
                <w:rFonts w:cs="Arial"/>
                <w:sz w:val="14"/>
                <w:szCs w:val="14"/>
              </w:rPr>
              <w:t>’</w:t>
            </w:r>
            <w:r w:rsidRPr="00A32AF4">
              <w:rPr>
                <w:rFonts w:cs="Arial"/>
                <w:sz w:val="14"/>
                <w:szCs w:val="14"/>
              </w:rPr>
              <w:t>innovation</w:t>
            </w:r>
          </w:p>
          <w:p w:rsidR="00F93B76" w:rsidRPr="00A32AF4" w:rsidRDefault="00A4309E" w:rsidP="00DC0553">
            <w:pPr>
              <w:tabs>
                <w:tab w:val="left" w:pos="284"/>
                <w:tab w:val="right" w:pos="2948"/>
              </w:tabs>
              <w:rPr>
                <w:rFonts w:cs="Arial"/>
                <w:i/>
                <w:iCs/>
                <w:sz w:val="14"/>
                <w:szCs w:val="14"/>
              </w:rPr>
            </w:pPr>
            <w:r w:rsidRPr="00A32AF4">
              <w:rPr>
                <w:rFonts w:cs="Arial"/>
                <w:i/>
                <w:iCs/>
                <w:sz w:val="14"/>
                <w:szCs w:val="14"/>
              </w:rPr>
              <w:tab/>
            </w:r>
            <w:r w:rsidR="00D52EFC" w:rsidRPr="00A32AF4">
              <w:rPr>
                <w:rFonts w:cs="Arial"/>
                <w:i/>
                <w:iCs/>
                <w:sz w:val="14"/>
                <w:szCs w:val="14"/>
              </w:rPr>
              <w:t>Budget proposé pour 2016</w:t>
            </w:r>
            <w:r w:rsidR="00EB7F54" w:rsidRPr="00A32AF4">
              <w:rPr>
                <w:rFonts w:cs="Arial"/>
                <w:i/>
                <w:iCs/>
                <w:sz w:val="14"/>
                <w:szCs w:val="14"/>
              </w:rPr>
              <w:noBreakHyphen/>
            </w:r>
            <w:r w:rsidR="00D52EFC" w:rsidRPr="00A32AF4">
              <w:rPr>
                <w:rFonts w:cs="Arial"/>
                <w:i/>
                <w:iCs/>
                <w:sz w:val="14"/>
                <w:szCs w:val="14"/>
              </w:rPr>
              <w:t>2017 :</w:t>
            </w:r>
            <w:r w:rsidR="00411DB7" w:rsidRPr="00A32AF4">
              <w:rPr>
                <w:rFonts w:cs="Arial"/>
                <w:i/>
                <w:iCs/>
                <w:sz w:val="14"/>
                <w:szCs w:val="14"/>
              </w:rPr>
              <w:tab/>
            </w:r>
            <w:r w:rsidR="00D52EFC" w:rsidRPr="00A32AF4">
              <w:rPr>
                <w:rFonts w:cs="Arial"/>
                <w:i/>
                <w:iCs/>
                <w:sz w:val="14"/>
                <w:szCs w:val="14"/>
              </w:rPr>
              <w:t>3</w:t>
            </w:r>
            <w:r w:rsidR="00411DB7" w:rsidRPr="00A32AF4">
              <w:rPr>
                <w:rFonts w:cs="Arial"/>
                <w:i/>
                <w:iCs/>
                <w:sz w:val="14"/>
                <w:szCs w:val="14"/>
              </w:rPr>
              <w:t> </w:t>
            </w:r>
            <w:r w:rsidR="00D52EFC" w:rsidRPr="00A32AF4">
              <w:rPr>
                <w:rFonts w:cs="Arial"/>
                <w:i/>
                <w:iCs/>
                <w:sz w:val="14"/>
                <w:szCs w:val="14"/>
              </w:rPr>
              <w:t>1</w:t>
            </w:r>
            <w:r w:rsidRPr="00A32AF4">
              <w:rPr>
                <w:rFonts w:cs="Arial"/>
                <w:i/>
                <w:iCs/>
                <w:sz w:val="14"/>
                <w:szCs w:val="14"/>
              </w:rPr>
              <w:t>25</w:t>
            </w:r>
          </w:p>
          <w:p w:rsidR="00F93B76" w:rsidRPr="00A32AF4" w:rsidRDefault="00A4309E" w:rsidP="00DC0553">
            <w:pPr>
              <w:tabs>
                <w:tab w:val="left" w:pos="284"/>
                <w:tab w:val="right" w:pos="2948"/>
              </w:tabs>
              <w:rPr>
                <w:rFonts w:cs="Arial"/>
                <w:i/>
                <w:iCs/>
                <w:color w:val="0000FF"/>
                <w:sz w:val="14"/>
                <w:szCs w:val="14"/>
              </w:rPr>
            </w:pPr>
            <w:r w:rsidRPr="00A32AF4">
              <w:rPr>
                <w:rFonts w:cs="Arial"/>
                <w:i/>
                <w:iCs/>
                <w:color w:val="0000FF"/>
                <w:sz w:val="14"/>
                <w:szCs w:val="14"/>
              </w:rPr>
              <w:tab/>
            </w:r>
            <w:r w:rsidR="00D52EFC" w:rsidRPr="00A32AF4">
              <w:rPr>
                <w:rFonts w:cs="Arial"/>
                <w:i/>
                <w:iCs/>
                <w:color w:val="0000FF"/>
                <w:sz w:val="14"/>
                <w:szCs w:val="14"/>
              </w:rPr>
              <w:t>Part consacrée au développement :</w:t>
            </w:r>
            <w:r w:rsidRPr="00A32AF4">
              <w:rPr>
                <w:rFonts w:cs="Arial"/>
                <w:i/>
                <w:iCs/>
                <w:color w:val="0000FF"/>
                <w:sz w:val="14"/>
                <w:szCs w:val="14"/>
              </w:rPr>
              <w:tab/>
            </w:r>
            <w:r w:rsidR="00D52EFC" w:rsidRPr="00A32AF4">
              <w:rPr>
                <w:rFonts w:cs="Arial"/>
                <w:i/>
                <w:iCs/>
                <w:color w:val="0000FF"/>
                <w:sz w:val="14"/>
                <w:szCs w:val="14"/>
              </w:rPr>
              <w:t>3 1</w:t>
            </w:r>
            <w:r w:rsidRPr="00A32AF4">
              <w:rPr>
                <w:rFonts w:cs="Arial"/>
                <w:i/>
                <w:iCs/>
                <w:color w:val="0000FF"/>
                <w:sz w:val="14"/>
                <w:szCs w:val="14"/>
              </w:rPr>
              <w:t>25</w:t>
            </w:r>
          </w:p>
          <w:p w:rsidR="00A4309E" w:rsidRPr="00A32AF4" w:rsidRDefault="00A4309E" w:rsidP="00DC0553">
            <w:pPr>
              <w:tabs>
                <w:tab w:val="left" w:pos="284"/>
                <w:tab w:val="right" w:pos="2948"/>
              </w:tabs>
              <w:rPr>
                <w:rFonts w:cs="Arial"/>
                <w:sz w:val="14"/>
                <w:szCs w:val="14"/>
              </w:rPr>
            </w:pPr>
          </w:p>
        </w:tc>
        <w:tc>
          <w:tcPr>
            <w:tcW w:w="3041" w:type="dxa"/>
            <w:tcBorders>
              <w:top w:val="nil"/>
              <w:left w:val="nil"/>
              <w:right w:val="nil"/>
            </w:tcBorders>
            <w:shd w:val="clear" w:color="auto" w:fill="auto"/>
          </w:tcPr>
          <w:p w:rsidR="00F93B76" w:rsidRPr="00A32AF4" w:rsidRDefault="00F55F88" w:rsidP="00DC0553">
            <w:pPr>
              <w:tabs>
                <w:tab w:val="left" w:pos="284"/>
                <w:tab w:val="right" w:pos="2948"/>
              </w:tabs>
              <w:spacing w:after="60"/>
              <w:rPr>
                <w:rFonts w:cs="Arial"/>
                <w:sz w:val="14"/>
                <w:szCs w:val="14"/>
              </w:rPr>
            </w:pPr>
            <w:r w:rsidRPr="00A32AF4">
              <w:rPr>
                <w:rFonts w:cs="Arial"/>
                <w:sz w:val="14"/>
                <w:szCs w:val="14"/>
              </w:rPr>
              <w:br/>
            </w:r>
            <w:r w:rsidR="001C3CA9" w:rsidRPr="00A32AF4">
              <w:rPr>
                <w:rFonts w:cs="Arial"/>
                <w:sz w:val="14"/>
                <w:szCs w:val="14"/>
              </w:rPr>
              <w:t>IV.1</w:t>
            </w:r>
            <w:r w:rsidR="001C3CA9" w:rsidRPr="00A32AF4">
              <w:rPr>
                <w:rFonts w:cs="Arial"/>
                <w:color w:val="000000"/>
                <w:sz w:val="14"/>
                <w:szCs w:val="14"/>
              </w:rPr>
              <w:t xml:space="preserve">. </w:t>
            </w:r>
            <w:r w:rsidR="001C3CA9" w:rsidRPr="00A32AF4">
              <w:rPr>
                <w:rFonts w:cs="Arial"/>
                <w:sz w:val="14"/>
                <w:szCs w:val="14"/>
              </w:rPr>
              <w:t>Système actualisé et mondialement accepté des classifications internationales et des normes de l</w:t>
            </w:r>
            <w:r w:rsidR="00E2055A" w:rsidRPr="00A32AF4">
              <w:rPr>
                <w:rFonts w:cs="Arial"/>
                <w:sz w:val="14"/>
                <w:szCs w:val="14"/>
              </w:rPr>
              <w:t>’</w:t>
            </w:r>
            <w:r w:rsidR="001C3CA9" w:rsidRPr="00A32AF4">
              <w:rPr>
                <w:rFonts w:cs="Arial"/>
                <w:sz w:val="14"/>
                <w:szCs w:val="14"/>
              </w:rPr>
              <w:t>OMPI pour faciliter l</w:t>
            </w:r>
            <w:r w:rsidR="00E2055A" w:rsidRPr="00A32AF4">
              <w:rPr>
                <w:rFonts w:cs="Arial"/>
                <w:sz w:val="14"/>
                <w:szCs w:val="14"/>
              </w:rPr>
              <w:t>’</w:t>
            </w:r>
            <w:r w:rsidR="001C3CA9" w:rsidRPr="00A32AF4">
              <w:rPr>
                <w:rFonts w:cs="Arial"/>
                <w:sz w:val="14"/>
                <w:szCs w:val="14"/>
              </w:rPr>
              <w:t>accès des parties prenantes du monde entier à l</w:t>
            </w:r>
            <w:r w:rsidR="00E2055A" w:rsidRPr="00A32AF4">
              <w:rPr>
                <w:rFonts w:cs="Arial"/>
                <w:sz w:val="14"/>
                <w:szCs w:val="14"/>
              </w:rPr>
              <w:t>’</w:t>
            </w:r>
            <w:r w:rsidR="001C3CA9" w:rsidRPr="00A32AF4">
              <w:rPr>
                <w:rFonts w:cs="Arial"/>
                <w:sz w:val="14"/>
                <w:szCs w:val="14"/>
              </w:rPr>
              <w:t>information en matière de propriété intellectuelle, ainsi que son utilisation et sa diffusion</w:t>
            </w:r>
          </w:p>
          <w:p w:rsidR="00F93B76" w:rsidRPr="00A32AF4" w:rsidRDefault="00A4309E" w:rsidP="00DC0553">
            <w:pPr>
              <w:tabs>
                <w:tab w:val="left" w:pos="284"/>
                <w:tab w:val="right" w:pos="2948"/>
              </w:tabs>
              <w:rPr>
                <w:rFonts w:cs="Arial"/>
                <w:i/>
                <w:iCs/>
                <w:sz w:val="14"/>
                <w:szCs w:val="14"/>
              </w:rPr>
            </w:pPr>
            <w:r w:rsidRPr="00A32AF4">
              <w:rPr>
                <w:rFonts w:cs="Arial"/>
                <w:i/>
                <w:iCs/>
                <w:sz w:val="14"/>
                <w:szCs w:val="14"/>
              </w:rPr>
              <w:tab/>
            </w:r>
            <w:r w:rsidR="00D52EFC" w:rsidRPr="00A32AF4">
              <w:rPr>
                <w:rFonts w:cs="Arial"/>
                <w:i/>
                <w:iCs/>
                <w:sz w:val="14"/>
                <w:szCs w:val="14"/>
              </w:rPr>
              <w:t>Budget proposé pour 2016</w:t>
            </w:r>
            <w:r w:rsidR="00EB7F54" w:rsidRPr="00A32AF4">
              <w:rPr>
                <w:rFonts w:cs="Arial"/>
                <w:i/>
                <w:iCs/>
                <w:sz w:val="14"/>
                <w:szCs w:val="14"/>
              </w:rPr>
              <w:noBreakHyphen/>
            </w:r>
            <w:r w:rsidR="00D52EFC" w:rsidRPr="00A32AF4">
              <w:rPr>
                <w:rFonts w:cs="Arial"/>
                <w:i/>
                <w:iCs/>
                <w:sz w:val="14"/>
                <w:szCs w:val="14"/>
              </w:rPr>
              <w:t>2017 :</w:t>
            </w:r>
            <w:r w:rsidRPr="00A32AF4">
              <w:rPr>
                <w:rFonts w:cs="Arial"/>
                <w:i/>
                <w:iCs/>
                <w:sz w:val="14"/>
                <w:szCs w:val="14"/>
              </w:rPr>
              <w:tab/>
            </w:r>
            <w:r w:rsidR="00D52EFC" w:rsidRPr="00A32AF4">
              <w:rPr>
                <w:rFonts w:cs="Arial"/>
                <w:i/>
                <w:iCs/>
                <w:sz w:val="14"/>
                <w:szCs w:val="14"/>
              </w:rPr>
              <w:t>7 0</w:t>
            </w:r>
            <w:r w:rsidRPr="00A32AF4">
              <w:rPr>
                <w:rFonts w:cs="Arial"/>
                <w:i/>
                <w:iCs/>
                <w:sz w:val="14"/>
                <w:szCs w:val="14"/>
              </w:rPr>
              <w:t>70</w:t>
            </w:r>
          </w:p>
          <w:p w:rsidR="00F93B76" w:rsidRPr="00A32AF4" w:rsidRDefault="00A4309E" w:rsidP="00DC0553">
            <w:pPr>
              <w:tabs>
                <w:tab w:val="left" w:pos="284"/>
                <w:tab w:val="right" w:pos="2948"/>
              </w:tabs>
              <w:rPr>
                <w:rFonts w:cs="Arial"/>
                <w:i/>
                <w:iCs/>
                <w:color w:val="0000FF"/>
                <w:sz w:val="14"/>
                <w:szCs w:val="14"/>
              </w:rPr>
            </w:pPr>
            <w:r w:rsidRPr="00A32AF4">
              <w:rPr>
                <w:rFonts w:cs="Arial"/>
                <w:i/>
                <w:iCs/>
                <w:color w:val="0000FF"/>
                <w:sz w:val="14"/>
                <w:szCs w:val="14"/>
              </w:rPr>
              <w:tab/>
            </w:r>
            <w:r w:rsidR="00D52EFC" w:rsidRPr="00A32AF4">
              <w:rPr>
                <w:rFonts w:cs="Arial"/>
                <w:i/>
                <w:iCs/>
                <w:color w:val="0000FF"/>
                <w:sz w:val="14"/>
                <w:szCs w:val="14"/>
              </w:rPr>
              <w:t>Part consacrée au développement :</w:t>
            </w:r>
            <w:r w:rsidRPr="00A32AF4">
              <w:rPr>
                <w:rFonts w:cs="Arial"/>
                <w:i/>
                <w:iCs/>
                <w:color w:val="0000FF"/>
                <w:sz w:val="14"/>
                <w:szCs w:val="14"/>
              </w:rPr>
              <w:tab/>
            </w:r>
            <w:r w:rsidR="00D52EFC" w:rsidRPr="00A32AF4">
              <w:rPr>
                <w:rFonts w:cs="Arial"/>
                <w:i/>
                <w:iCs/>
                <w:color w:val="0000FF"/>
                <w:sz w:val="14"/>
                <w:szCs w:val="14"/>
              </w:rPr>
              <w:t>1</w:t>
            </w:r>
            <w:r w:rsidR="00F55F88" w:rsidRPr="00A32AF4">
              <w:rPr>
                <w:rFonts w:cs="Arial"/>
                <w:i/>
                <w:iCs/>
                <w:color w:val="0000FF"/>
                <w:sz w:val="14"/>
                <w:szCs w:val="14"/>
              </w:rPr>
              <w:t> </w:t>
            </w:r>
            <w:r w:rsidR="00D52EFC" w:rsidRPr="00A32AF4">
              <w:rPr>
                <w:rFonts w:cs="Arial"/>
                <w:i/>
                <w:iCs/>
                <w:color w:val="0000FF"/>
                <w:sz w:val="14"/>
                <w:szCs w:val="14"/>
              </w:rPr>
              <w:t>0</w:t>
            </w:r>
            <w:r w:rsidRPr="00A32AF4">
              <w:rPr>
                <w:rFonts w:cs="Arial"/>
                <w:i/>
                <w:iCs/>
                <w:color w:val="0000FF"/>
                <w:sz w:val="14"/>
                <w:szCs w:val="14"/>
              </w:rPr>
              <w:t>78</w:t>
            </w:r>
          </w:p>
          <w:p w:rsidR="00F93B76" w:rsidRPr="00A32AF4" w:rsidRDefault="00841682" w:rsidP="00DC0553">
            <w:pPr>
              <w:tabs>
                <w:tab w:val="left" w:pos="284"/>
                <w:tab w:val="right" w:pos="2948"/>
              </w:tabs>
              <w:rPr>
                <w:rFonts w:cs="Arial"/>
                <w:sz w:val="14"/>
                <w:szCs w:val="14"/>
              </w:rPr>
            </w:pPr>
            <w:r w:rsidRPr="00A32AF4">
              <w:rPr>
                <w:noProof/>
                <w:lang w:eastAsia="fr-FR"/>
              </w:rPr>
              <mc:AlternateContent>
                <mc:Choice Requires="wps">
                  <w:drawing>
                    <wp:anchor distT="4294967294" distB="4294967294" distL="114298" distR="114298" simplePos="0" relativeHeight="251659264" behindDoc="0" locked="0" layoutInCell="0" allowOverlap="1" wp14:anchorId="376E8CA0" wp14:editId="2715B4E9">
                      <wp:simplePos x="0" y="0"/>
                      <wp:positionH relativeFrom="column">
                        <wp:posOffset>8083549</wp:posOffset>
                      </wp:positionH>
                      <wp:positionV relativeFrom="paragraph">
                        <wp:posOffset>668654</wp:posOffset>
                      </wp:positionV>
                      <wp:extent cx="0" cy="0"/>
                      <wp:effectExtent l="0" t="0" r="0" b="0"/>
                      <wp:wrapNone/>
                      <wp:docPr id="964" name="Straight Connector 9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64" o:spid="_x0000_s1026" style="position:absolute;z-index:251659264;visibility:visible;mso-wrap-style:square;mso-width-percent:0;mso-height-percent:0;mso-wrap-distance-left:3.17494mm;mso-wrap-distance-top:-6e-5mm;mso-wrap-distance-right:3.17494mm;mso-wrap-distance-bottom:-6e-5mm;mso-position-horizontal:absolute;mso-position-horizontal-relative:text;mso-position-vertical:absolute;mso-position-vertical-relative:text;mso-width-percent:0;mso-height-percent:0;mso-width-relative:page;mso-height-relative:page" from="636.5pt,52.65pt" to="636.5pt,5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" o:allowincell="f">
                      <v:stroke endarrow="block"/>
                    </v:line>
                  </w:pict>
                </mc:Fallback>
              </mc:AlternateContent>
            </w:r>
          </w:p>
          <w:p w:rsidR="00E2055A" w:rsidRPr="00A32AF4" w:rsidRDefault="001C3CA9" w:rsidP="00DC0553">
            <w:pPr>
              <w:tabs>
                <w:tab w:val="left" w:pos="284"/>
                <w:tab w:val="right" w:pos="2948"/>
              </w:tabs>
              <w:spacing w:after="60"/>
              <w:rPr>
                <w:rFonts w:cs="Arial"/>
                <w:sz w:val="14"/>
                <w:szCs w:val="14"/>
              </w:rPr>
            </w:pPr>
            <w:r w:rsidRPr="00A32AF4">
              <w:rPr>
                <w:rFonts w:cs="Arial"/>
                <w:sz w:val="14"/>
                <w:szCs w:val="14"/>
              </w:rPr>
              <w:t>IV.2</w:t>
            </w:r>
            <w:r w:rsidRPr="00A32AF4">
              <w:rPr>
                <w:rFonts w:cs="Arial"/>
                <w:color w:val="000000"/>
                <w:sz w:val="14"/>
                <w:szCs w:val="14"/>
              </w:rPr>
              <w:t xml:space="preserve">. </w:t>
            </w:r>
            <w:r w:rsidRPr="00A32AF4">
              <w:rPr>
                <w:rFonts w:cs="Arial"/>
                <w:sz w:val="14"/>
                <w:szCs w:val="14"/>
              </w:rPr>
              <w:t>Amélioration de l</w:t>
            </w:r>
            <w:r w:rsidR="00E2055A" w:rsidRPr="00A32AF4">
              <w:rPr>
                <w:rFonts w:cs="Arial"/>
                <w:sz w:val="14"/>
                <w:szCs w:val="14"/>
              </w:rPr>
              <w:t>’</w:t>
            </w:r>
            <w:r w:rsidRPr="00A32AF4">
              <w:rPr>
                <w:rFonts w:cs="Arial"/>
                <w:sz w:val="14"/>
                <w:szCs w:val="14"/>
              </w:rPr>
              <w:t>accessibilité et de l</w:t>
            </w:r>
            <w:r w:rsidR="00E2055A" w:rsidRPr="00A32AF4">
              <w:rPr>
                <w:rFonts w:cs="Arial"/>
                <w:sz w:val="14"/>
                <w:szCs w:val="14"/>
              </w:rPr>
              <w:t>’</w:t>
            </w:r>
            <w:r w:rsidRPr="00A32AF4">
              <w:rPr>
                <w:rFonts w:cs="Arial"/>
                <w:sz w:val="14"/>
                <w:szCs w:val="14"/>
              </w:rPr>
              <w:t>utilisation de l</w:t>
            </w:r>
            <w:r w:rsidR="00E2055A" w:rsidRPr="00A32AF4">
              <w:rPr>
                <w:rFonts w:cs="Arial"/>
                <w:sz w:val="14"/>
                <w:szCs w:val="14"/>
              </w:rPr>
              <w:t>’</w:t>
            </w:r>
            <w:r w:rsidRPr="00A32AF4">
              <w:rPr>
                <w:rFonts w:cs="Arial"/>
                <w:sz w:val="14"/>
                <w:szCs w:val="14"/>
              </w:rPr>
              <w:t>information en matière de propriété intellectuelle par les institutions compétentes et le public afin de promouvoir l</w:t>
            </w:r>
            <w:r w:rsidR="00E2055A" w:rsidRPr="00A32AF4">
              <w:rPr>
                <w:rFonts w:cs="Arial"/>
                <w:sz w:val="14"/>
                <w:szCs w:val="14"/>
              </w:rPr>
              <w:t>’</w:t>
            </w:r>
            <w:r w:rsidRPr="00A32AF4">
              <w:rPr>
                <w:rFonts w:cs="Arial"/>
                <w:sz w:val="14"/>
                <w:szCs w:val="14"/>
              </w:rPr>
              <w:t>innovation et la créativité</w:t>
            </w:r>
          </w:p>
          <w:p w:rsidR="00F93B76" w:rsidRPr="00A32AF4" w:rsidRDefault="00A4309E" w:rsidP="00DC0553">
            <w:pPr>
              <w:tabs>
                <w:tab w:val="left" w:pos="284"/>
                <w:tab w:val="right" w:pos="2948"/>
              </w:tabs>
              <w:rPr>
                <w:rFonts w:cs="Arial"/>
                <w:i/>
                <w:iCs/>
                <w:sz w:val="14"/>
                <w:szCs w:val="14"/>
              </w:rPr>
            </w:pPr>
            <w:r w:rsidRPr="00A32AF4">
              <w:rPr>
                <w:rFonts w:cs="Arial"/>
                <w:i/>
                <w:iCs/>
                <w:sz w:val="14"/>
                <w:szCs w:val="14"/>
              </w:rPr>
              <w:tab/>
            </w:r>
            <w:r w:rsidR="00D52EFC" w:rsidRPr="00A32AF4">
              <w:rPr>
                <w:rFonts w:cs="Arial"/>
                <w:i/>
                <w:iCs/>
                <w:sz w:val="14"/>
                <w:szCs w:val="14"/>
              </w:rPr>
              <w:t>Budget proposé pour 2016</w:t>
            </w:r>
            <w:r w:rsidR="00EB7F54" w:rsidRPr="00A32AF4">
              <w:rPr>
                <w:rFonts w:cs="Arial"/>
                <w:i/>
                <w:iCs/>
                <w:sz w:val="14"/>
                <w:szCs w:val="14"/>
              </w:rPr>
              <w:noBreakHyphen/>
            </w:r>
            <w:r w:rsidR="00D52EFC" w:rsidRPr="00A32AF4">
              <w:rPr>
                <w:rFonts w:cs="Arial"/>
                <w:i/>
                <w:iCs/>
                <w:sz w:val="14"/>
                <w:szCs w:val="14"/>
              </w:rPr>
              <w:t>2017 :</w:t>
            </w:r>
            <w:r w:rsidRPr="00A32AF4">
              <w:rPr>
                <w:rFonts w:cs="Arial"/>
                <w:i/>
                <w:iCs/>
                <w:sz w:val="14"/>
                <w:szCs w:val="14"/>
              </w:rPr>
              <w:tab/>
              <w:t>2</w:t>
            </w:r>
            <w:r w:rsidR="00D52EFC" w:rsidRPr="00A32AF4">
              <w:rPr>
                <w:rFonts w:cs="Arial"/>
                <w:i/>
                <w:iCs/>
                <w:sz w:val="14"/>
                <w:szCs w:val="14"/>
              </w:rPr>
              <w:t>2 5</w:t>
            </w:r>
            <w:r w:rsidRPr="00A32AF4">
              <w:rPr>
                <w:rFonts w:cs="Arial"/>
                <w:i/>
                <w:iCs/>
                <w:sz w:val="14"/>
                <w:szCs w:val="14"/>
              </w:rPr>
              <w:t>39</w:t>
            </w:r>
          </w:p>
          <w:p w:rsidR="00F93B76" w:rsidRPr="00A32AF4" w:rsidRDefault="00A4309E" w:rsidP="00DC0553">
            <w:pPr>
              <w:tabs>
                <w:tab w:val="left" w:pos="284"/>
                <w:tab w:val="right" w:pos="2948"/>
              </w:tabs>
              <w:rPr>
                <w:rFonts w:cs="Arial"/>
                <w:sz w:val="14"/>
                <w:szCs w:val="14"/>
              </w:rPr>
            </w:pPr>
            <w:r w:rsidRPr="00A32AF4">
              <w:rPr>
                <w:rFonts w:cs="Arial"/>
                <w:i/>
                <w:iCs/>
                <w:color w:val="0000FF"/>
                <w:sz w:val="14"/>
                <w:szCs w:val="14"/>
              </w:rPr>
              <w:tab/>
            </w:r>
            <w:r w:rsidR="00D52EFC" w:rsidRPr="00A32AF4">
              <w:rPr>
                <w:rFonts w:cs="Arial"/>
                <w:i/>
                <w:iCs/>
                <w:color w:val="0000FF"/>
                <w:sz w:val="14"/>
                <w:szCs w:val="14"/>
              </w:rPr>
              <w:t>Part consacrée au développement :</w:t>
            </w:r>
            <w:r w:rsidRPr="00A32AF4">
              <w:rPr>
                <w:rFonts w:cs="Arial"/>
                <w:i/>
                <w:iCs/>
                <w:color w:val="0000FF"/>
                <w:sz w:val="14"/>
                <w:szCs w:val="14"/>
              </w:rPr>
              <w:tab/>
              <w:t>1</w:t>
            </w:r>
            <w:r w:rsidR="00D52EFC" w:rsidRPr="00A32AF4">
              <w:rPr>
                <w:rFonts w:cs="Arial"/>
                <w:i/>
                <w:iCs/>
                <w:color w:val="0000FF"/>
                <w:sz w:val="14"/>
                <w:szCs w:val="14"/>
              </w:rPr>
              <w:t>6 9</w:t>
            </w:r>
            <w:r w:rsidRPr="00A32AF4">
              <w:rPr>
                <w:rFonts w:cs="Arial"/>
                <w:i/>
                <w:iCs/>
                <w:color w:val="0000FF"/>
                <w:sz w:val="14"/>
                <w:szCs w:val="14"/>
              </w:rPr>
              <w:t>37</w:t>
            </w:r>
          </w:p>
          <w:p w:rsidR="00F93B76" w:rsidRPr="00A32AF4" w:rsidRDefault="00F93B76" w:rsidP="00DC0553">
            <w:pPr>
              <w:tabs>
                <w:tab w:val="left" w:pos="284"/>
                <w:tab w:val="right" w:pos="2948"/>
              </w:tabs>
              <w:rPr>
                <w:rFonts w:cs="Arial"/>
                <w:sz w:val="14"/>
                <w:szCs w:val="14"/>
              </w:rPr>
            </w:pPr>
          </w:p>
          <w:p w:rsidR="00E2055A" w:rsidRPr="00A32AF4" w:rsidRDefault="001C3CA9" w:rsidP="00DC0553">
            <w:pPr>
              <w:tabs>
                <w:tab w:val="left" w:pos="284"/>
                <w:tab w:val="right" w:pos="2948"/>
              </w:tabs>
              <w:spacing w:after="60"/>
              <w:rPr>
                <w:rFonts w:cs="Arial"/>
                <w:sz w:val="14"/>
                <w:szCs w:val="14"/>
              </w:rPr>
            </w:pPr>
            <w:r w:rsidRPr="00A32AF4">
              <w:rPr>
                <w:rFonts w:cs="Arial"/>
                <w:sz w:val="14"/>
                <w:szCs w:val="14"/>
              </w:rPr>
              <w:t>IV.3</w:t>
            </w:r>
            <w:r w:rsidRPr="00A32AF4">
              <w:rPr>
                <w:rFonts w:cs="Arial"/>
                <w:color w:val="000000"/>
                <w:sz w:val="14"/>
                <w:szCs w:val="14"/>
              </w:rPr>
              <w:t xml:space="preserve">. </w:t>
            </w:r>
            <w:r w:rsidRPr="00A32AF4">
              <w:rPr>
                <w:rFonts w:cs="Arial"/>
                <w:sz w:val="14"/>
                <w:szCs w:val="14"/>
              </w:rPr>
              <w:t>Élargissement de la portée géographique du contenu et de l</w:t>
            </w:r>
            <w:r w:rsidR="00E2055A" w:rsidRPr="00A32AF4">
              <w:rPr>
                <w:rFonts w:cs="Arial"/>
                <w:sz w:val="14"/>
                <w:szCs w:val="14"/>
              </w:rPr>
              <w:t>’</w:t>
            </w:r>
            <w:r w:rsidRPr="00A32AF4">
              <w:rPr>
                <w:rFonts w:cs="Arial"/>
                <w:sz w:val="14"/>
                <w:szCs w:val="14"/>
              </w:rPr>
              <w:t>utilisation des bases de données mondiales de l</w:t>
            </w:r>
            <w:r w:rsidR="00E2055A" w:rsidRPr="00A32AF4">
              <w:rPr>
                <w:rFonts w:cs="Arial"/>
                <w:sz w:val="14"/>
                <w:szCs w:val="14"/>
              </w:rPr>
              <w:t>’</w:t>
            </w:r>
            <w:r w:rsidRPr="00A32AF4">
              <w:rPr>
                <w:rFonts w:cs="Arial"/>
                <w:sz w:val="14"/>
                <w:szCs w:val="14"/>
              </w:rPr>
              <w:t>OMPI en matière de propriété intellectuelle</w:t>
            </w:r>
          </w:p>
          <w:p w:rsidR="00F93B76" w:rsidRPr="00A32AF4" w:rsidRDefault="00A4309E" w:rsidP="00DC0553">
            <w:pPr>
              <w:tabs>
                <w:tab w:val="left" w:pos="284"/>
                <w:tab w:val="right" w:pos="2948"/>
              </w:tabs>
              <w:rPr>
                <w:rFonts w:cs="Arial"/>
                <w:i/>
                <w:iCs/>
                <w:sz w:val="14"/>
                <w:szCs w:val="14"/>
              </w:rPr>
            </w:pPr>
            <w:r w:rsidRPr="00A32AF4">
              <w:rPr>
                <w:rFonts w:cs="Arial"/>
                <w:i/>
                <w:iCs/>
                <w:sz w:val="14"/>
                <w:szCs w:val="14"/>
              </w:rPr>
              <w:tab/>
            </w:r>
            <w:r w:rsidR="00D52EFC" w:rsidRPr="00A32AF4">
              <w:rPr>
                <w:rFonts w:cs="Arial"/>
                <w:i/>
                <w:iCs/>
                <w:sz w:val="14"/>
                <w:szCs w:val="14"/>
              </w:rPr>
              <w:t>Budget proposé pour 2016</w:t>
            </w:r>
            <w:r w:rsidR="00EB7F54" w:rsidRPr="00A32AF4">
              <w:rPr>
                <w:rFonts w:cs="Arial"/>
                <w:i/>
                <w:iCs/>
                <w:sz w:val="14"/>
                <w:szCs w:val="14"/>
              </w:rPr>
              <w:noBreakHyphen/>
            </w:r>
            <w:r w:rsidR="00D52EFC" w:rsidRPr="00A32AF4">
              <w:rPr>
                <w:rFonts w:cs="Arial"/>
                <w:i/>
                <w:iCs/>
                <w:sz w:val="14"/>
                <w:szCs w:val="14"/>
              </w:rPr>
              <w:t>2017 :</w:t>
            </w:r>
            <w:r w:rsidRPr="00A32AF4">
              <w:rPr>
                <w:rFonts w:cs="Arial"/>
                <w:i/>
                <w:iCs/>
                <w:sz w:val="14"/>
                <w:szCs w:val="14"/>
              </w:rPr>
              <w:tab/>
            </w:r>
            <w:r w:rsidR="00D52EFC" w:rsidRPr="00A32AF4">
              <w:rPr>
                <w:rFonts w:cs="Arial"/>
                <w:i/>
                <w:iCs/>
                <w:sz w:val="14"/>
                <w:szCs w:val="14"/>
              </w:rPr>
              <w:t>1 9</w:t>
            </w:r>
            <w:r w:rsidRPr="00A32AF4">
              <w:rPr>
                <w:rFonts w:cs="Arial"/>
                <w:i/>
                <w:iCs/>
                <w:sz w:val="14"/>
                <w:szCs w:val="14"/>
              </w:rPr>
              <w:t>56</w:t>
            </w:r>
          </w:p>
          <w:p w:rsidR="00F93B76" w:rsidRPr="00A32AF4" w:rsidRDefault="00A4309E" w:rsidP="00DC0553">
            <w:pPr>
              <w:tabs>
                <w:tab w:val="left" w:pos="284"/>
                <w:tab w:val="right" w:pos="2948"/>
              </w:tabs>
              <w:rPr>
                <w:rFonts w:cs="Arial"/>
                <w:i/>
                <w:iCs/>
                <w:color w:val="0000FF"/>
                <w:sz w:val="14"/>
                <w:szCs w:val="14"/>
              </w:rPr>
            </w:pPr>
            <w:r w:rsidRPr="00A32AF4">
              <w:rPr>
                <w:rFonts w:cs="Arial"/>
                <w:i/>
                <w:iCs/>
                <w:color w:val="0000FF"/>
                <w:sz w:val="14"/>
                <w:szCs w:val="14"/>
              </w:rPr>
              <w:tab/>
            </w:r>
            <w:r w:rsidR="00D52EFC" w:rsidRPr="00A32AF4">
              <w:rPr>
                <w:rFonts w:cs="Arial"/>
                <w:i/>
                <w:iCs/>
                <w:color w:val="0000FF"/>
                <w:sz w:val="14"/>
                <w:szCs w:val="14"/>
              </w:rPr>
              <w:t>Part consacrée au développement :</w:t>
            </w:r>
            <w:r w:rsidRPr="00A32AF4">
              <w:rPr>
                <w:rFonts w:cs="Arial"/>
                <w:i/>
                <w:iCs/>
                <w:color w:val="0000FF"/>
                <w:sz w:val="14"/>
                <w:szCs w:val="14"/>
              </w:rPr>
              <w:tab/>
              <w:t>489</w:t>
            </w:r>
          </w:p>
          <w:p w:rsidR="00F93B76" w:rsidRPr="00A32AF4" w:rsidRDefault="00F93B76" w:rsidP="00DC0553">
            <w:pPr>
              <w:tabs>
                <w:tab w:val="left" w:pos="284"/>
                <w:tab w:val="right" w:pos="2948"/>
              </w:tabs>
              <w:rPr>
                <w:rFonts w:cs="Arial"/>
                <w:sz w:val="14"/>
                <w:szCs w:val="14"/>
              </w:rPr>
            </w:pPr>
          </w:p>
          <w:p w:rsidR="00F93B76" w:rsidRPr="00A32AF4" w:rsidRDefault="001C3CA9" w:rsidP="00DC0553">
            <w:pPr>
              <w:tabs>
                <w:tab w:val="left" w:pos="284"/>
                <w:tab w:val="right" w:pos="2948"/>
              </w:tabs>
              <w:spacing w:after="60"/>
              <w:rPr>
                <w:rFonts w:cs="Arial"/>
                <w:sz w:val="14"/>
                <w:szCs w:val="14"/>
              </w:rPr>
            </w:pPr>
            <w:r w:rsidRPr="00A32AF4">
              <w:rPr>
                <w:rFonts w:cs="Arial"/>
                <w:sz w:val="14"/>
                <w:szCs w:val="14"/>
              </w:rPr>
              <w:t>IV.4</w:t>
            </w:r>
            <w:r w:rsidRPr="00A32AF4">
              <w:rPr>
                <w:rFonts w:cs="Arial"/>
                <w:color w:val="000000"/>
                <w:sz w:val="14"/>
                <w:szCs w:val="14"/>
              </w:rPr>
              <w:t xml:space="preserve">. </w:t>
            </w:r>
            <w:r w:rsidRPr="00A32AF4">
              <w:rPr>
                <w:rFonts w:cs="Arial"/>
                <w:sz w:val="14"/>
                <w:szCs w:val="14"/>
              </w:rPr>
              <w:t>Amélioration de l</w:t>
            </w:r>
            <w:r w:rsidR="00E2055A" w:rsidRPr="00A32AF4">
              <w:rPr>
                <w:rFonts w:cs="Arial"/>
                <w:sz w:val="14"/>
                <w:szCs w:val="14"/>
              </w:rPr>
              <w:t>’</w:t>
            </w:r>
            <w:r w:rsidRPr="00A32AF4">
              <w:rPr>
                <w:rFonts w:cs="Arial"/>
                <w:sz w:val="14"/>
                <w:szCs w:val="14"/>
              </w:rPr>
              <w:t>infrastructure technique et du savoir pour les offices de propriété intellectuelle et les autres institutions de propriété intellectuelle, leur permettant de fournir à leurs parties prenantes des services améliorés (moins chers, plus rapides, de meilleure qualité) et d</w:t>
            </w:r>
            <w:r w:rsidR="00E2055A" w:rsidRPr="00A32AF4">
              <w:rPr>
                <w:rFonts w:cs="Arial"/>
                <w:sz w:val="14"/>
                <w:szCs w:val="14"/>
              </w:rPr>
              <w:t>’</w:t>
            </w:r>
            <w:r w:rsidRPr="00A32AF4">
              <w:rPr>
                <w:rFonts w:cs="Arial"/>
                <w:sz w:val="14"/>
                <w:szCs w:val="14"/>
              </w:rPr>
              <w:t>obtenir un meilleur résultat pour ce qui concerne l</w:t>
            </w:r>
            <w:r w:rsidR="00E2055A" w:rsidRPr="00A32AF4">
              <w:rPr>
                <w:rFonts w:cs="Arial"/>
                <w:sz w:val="14"/>
                <w:szCs w:val="14"/>
              </w:rPr>
              <w:t>’</w:t>
            </w:r>
            <w:r w:rsidRPr="00A32AF4">
              <w:rPr>
                <w:rFonts w:cs="Arial"/>
                <w:sz w:val="14"/>
                <w:szCs w:val="14"/>
              </w:rPr>
              <w:t>administration de la propriété intellectuelle</w:t>
            </w:r>
          </w:p>
          <w:p w:rsidR="00F93B76" w:rsidRPr="00A32AF4" w:rsidRDefault="00A4309E" w:rsidP="00DC0553">
            <w:pPr>
              <w:tabs>
                <w:tab w:val="left" w:pos="284"/>
                <w:tab w:val="right" w:pos="2948"/>
              </w:tabs>
              <w:rPr>
                <w:rFonts w:cs="Arial"/>
                <w:i/>
                <w:iCs/>
                <w:sz w:val="14"/>
                <w:szCs w:val="14"/>
              </w:rPr>
            </w:pPr>
            <w:r w:rsidRPr="00A32AF4">
              <w:rPr>
                <w:rFonts w:cs="Arial"/>
                <w:i/>
                <w:iCs/>
                <w:sz w:val="14"/>
                <w:szCs w:val="14"/>
              </w:rPr>
              <w:tab/>
            </w:r>
            <w:r w:rsidR="00D52EFC" w:rsidRPr="00A32AF4">
              <w:rPr>
                <w:rFonts w:cs="Arial"/>
                <w:i/>
                <w:iCs/>
                <w:sz w:val="14"/>
                <w:szCs w:val="14"/>
              </w:rPr>
              <w:t>Budget proposé pour 2016</w:t>
            </w:r>
            <w:r w:rsidR="00EB7F54" w:rsidRPr="00A32AF4">
              <w:rPr>
                <w:rFonts w:cs="Arial"/>
                <w:i/>
                <w:iCs/>
                <w:sz w:val="14"/>
                <w:szCs w:val="14"/>
              </w:rPr>
              <w:noBreakHyphen/>
            </w:r>
            <w:r w:rsidR="00D52EFC" w:rsidRPr="00A32AF4">
              <w:rPr>
                <w:rFonts w:cs="Arial"/>
                <w:i/>
                <w:iCs/>
                <w:sz w:val="14"/>
                <w:szCs w:val="14"/>
              </w:rPr>
              <w:t>2017 :</w:t>
            </w:r>
            <w:r w:rsidRPr="00A32AF4">
              <w:rPr>
                <w:rFonts w:cs="Arial"/>
                <w:i/>
                <w:iCs/>
                <w:sz w:val="14"/>
                <w:szCs w:val="14"/>
              </w:rPr>
              <w:tab/>
              <w:t>1</w:t>
            </w:r>
            <w:r w:rsidR="00D52EFC" w:rsidRPr="00A32AF4">
              <w:rPr>
                <w:rFonts w:cs="Arial"/>
                <w:i/>
                <w:iCs/>
                <w:sz w:val="14"/>
                <w:szCs w:val="14"/>
              </w:rPr>
              <w:t>5 4</w:t>
            </w:r>
            <w:r w:rsidRPr="00A32AF4">
              <w:rPr>
                <w:rFonts w:cs="Arial"/>
                <w:i/>
                <w:iCs/>
                <w:sz w:val="14"/>
                <w:szCs w:val="14"/>
              </w:rPr>
              <w:t>09</w:t>
            </w:r>
          </w:p>
          <w:p w:rsidR="00A4309E" w:rsidRPr="00A32AF4" w:rsidRDefault="00A4309E" w:rsidP="00DC0553">
            <w:pPr>
              <w:tabs>
                <w:tab w:val="left" w:pos="284"/>
                <w:tab w:val="right" w:pos="2948"/>
              </w:tabs>
              <w:rPr>
                <w:rFonts w:cs="Arial"/>
                <w:i/>
                <w:iCs/>
                <w:color w:val="0000FF"/>
                <w:sz w:val="14"/>
                <w:szCs w:val="14"/>
              </w:rPr>
            </w:pPr>
            <w:r w:rsidRPr="00A32AF4">
              <w:rPr>
                <w:rFonts w:cs="Arial"/>
                <w:i/>
                <w:iCs/>
                <w:color w:val="0000FF"/>
                <w:sz w:val="14"/>
                <w:szCs w:val="14"/>
              </w:rPr>
              <w:tab/>
            </w:r>
            <w:r w:rsidR="00D52EFC" w:rsidRPr="00A32AF4">
              <w:rPr>
                <w:rFonts w:cs="Arial"/>
                <w:i/>
                <w:iCs/>
                <w:color w:val="0000FF"/>
                <w:sz w:val="14"/>
                <w:szCs w:val="14"/>
              </w:rPr>
              <w:t>Part consacrée au développement :</w:t>
            </w:r>
            <w:r w:rsidRPr="00A32AF4">
              <w:rPr>
                <w:rFonts w:cs="Arial"/>
                <w:i/>
                <w:iCs/>
                <w:color w:val="0000FF"/>
                <w:sz w:val="14"/>
                <w:szCs w:val="14"/>
              </w:rPr>
              <w:tab/>
              <w:t>1</w:t>
            </w:r>
            <w:r w:rsidR="00D52EFC" w:rsidRPr="00A32AF4">
              <w:rPr>
                <w:rFonts w:cs="Arial"/>
                <w:i/>
                <w:iCs/>
                <w:color w:val="0000FF"/>
                <w:sz w:val="14"/>
                <w:szCs w:val="14"/>
              </w:rPr>
              <w:t>3 4</w:t>
            </w:r>
            <w:r w:rsidRPr="00A32AF4">
              <w:rPr>
                <w:rFonts w:cs="Arial"/>
                <w:i/>
                <w:iCs/>
                <w:color w:val="0000FF"/>
                <w:sz w:val="14"/>
                <w:szCs w:val="14"/>
              </w:rPr>
              <w:t>99</w:t>
            </w:r>
          </w:p>
        </w:tc>
        <w:tc>
          <w:tcPr>
            <w:tcW w:w="3040" w:type="dxa"/>
            <w:tcBorders>
              <w:top w:val="nil"/>
              <w:left w:val="nil"/>
              <w:right w:val="nil"/>
            </w:tcBorders>
            <w:shd w:val="clear" w:color="auto" w:fill="auto"/>
          </w:tcPr>
          <w:p w:rsidR="00E2055A" w:rsidRPr="00A32AF4" w:rsidRDefault="00F70CA0" w:rsidP="00DC0553">
            <w:pPr>
              <w:tabs>
                <w:tab w:val="left" w:pos="284"/>
                <w:tab w:val="right" w:pos="2948"/>
              </w:tabs>
              <w:spacing w:after="60"/>
              <w:rPr>
                <w:rFonts w:cs="Arial"/>
                <w:sz w:val="14"/>
                <w:szCs w:val="14"/>
              </w:rPr>
            </w:pPr>
            <w:r w:rsidRPr="00A32AF4">
              <w:rPr>
                <w:rFonts w:cs="Arial"/>
                <w:sz w:val="14"/>
                <w:szCs w:val="14"/>
              </w:rPr>
              <w:br/>
            </w:r>
            <w:r w:rsidR="001C3CA9" w:rsidRPr="00A32AF4">
              <w:rPr>
                <w:rFonts w:cs="Arial"/>
                <w:sz w:val="14"/>
                <w:szCs w:val="14"/>
              </w:rPr>
              <w:t>V.1</w:t>
            </w:r>
            <w:r w:rsidR="001C3CA9" w:rsidRPr="00A32AF4">
              <w:rPr>
                <w:rFonts w:cs="Arial"/>
                <w:color w:val="000000"/>
                <w:sz w:val="14"/>
                <w:szCs w:val="14"/>
              </w:rPr>
              <w:t xml:space="preserve">. </w:t>
            </w:r>
            <w:r w:rsidR="001C3CA9" w:rsidRPr="00A32AF4">
              <w:rPr>
                <w:rFonts w:cs="Arial"/>
                <w:sz w:val="14"/>
                <w:szCs w:val="14"/>
              </w:rPr>
              <w:t>Utilisation élargie et améliorée de l</w:t>
            </w:r>
            <w:r w:rsidR="00E2055A" w:rsidRPr="00A32AF4">
              <w:rPr>
                <w:rFonts w:cs="Arial"/>
                <w:sz w:val="14"/>
                <w:szCs w:val="14"/>
              </w:rPr>
              <w:t>’</w:t>
            </w:r>
            <w:r w:rsidR="001C3CA9" w:rsidRPr="00A32AF4">
              <w:rPr>
                <w:rFonts w:cs="Arial"/>
                <w:sz w:val="14"/>
                <w:szCs w:val="14"/>
              </w:rPr>
              <w:t>information statistique de l</w:t>
            </w:r>
            <w:r w:rsidR="00E2055A" w:rsidRPr="00A32AF4">
              <w:rPr>
                <w:rFonts w:cs="Arial"/>
                <w:sz w:val="14"/>
                <w:szCs w:val="14"/>
              </w:rPr>
              <w:t>’</w:t>
            </w:r>
            <w:r w:rsidR="001C3CA9" w:rsidRPr="00A32AF4">
              <w:rPr>
                <w:rFonts w:cs="Arial"/>
                <w:sz w:val="14"/>
                <w:szCs w:val="14"/>
              </w:rPr>
              <w:t>OMPI relative à la propriété intellectuelle</w:t>
            </w:r>
          </w:p>
          <w:p w:rsidR="00F93B76" w:rsidRPr="00A32AF4" w:rsidRDefault="00A4309E" w:rsidP="00DC0553">
            <w:pPr>
              <w:tabs>
                <w:tab w:val="left" w:pos="284"/>
                <w:tab w:val="right" w:pos="2948"/>
              </w:tabs>
              <w:rPr>
                <w:rFonts w:cs="Arial"/>
                <w:i/>
                <w:iCs/>
                <w:sz w:val="14"/>
                <w:szCs w:val="14"/>
              </w:rPr>
            </w:pPr>
            <w:r w:rsidRPr="00A32AF4">
              <w:rPr>
                <w:rFonts w:cs="Arial"/>
                <w:i/>
                <w:iCs/>
                <w:sz w:val="14"/>
                <w:szCs w:val="14"/>
              </w:rPr>
              <w:tab/>
            </w:r>
            <w:r w:rsidR="00D52EFC" w:rsidRPr="00A32AF4">
              <w:rPr>
                <w:rFonts w:cs="Arial"/>
                <w:i/>
                <w:iCs/>
                <w:sz w:val="14"/>
                <w:szCs w:val="14"/>
              </w:rPr>
              <w:t>Budget proposé pour 2016</w:t>
            </w:r>
            <w:r w:rsidR="00EB7F54" w:rsidRPr="00A32AF4">
              <w:rPr>
                <w:rFonts w:cs="Arial"/>
                <w:i/>
                <w:iCs/>
                <w:sz w:val="14"/>
                <w:szCs w:val="14"/>
              </w:rPr>
              <w:noBreakHyphen/>
            </w:r>
            <w:r w:rsidR="00D52EFC" w:rsidRPr="00A32AF4">
              <w:rPr>
                <w:rFonts w:cs="Arial"/>
                <w:i/>
                <w:iCs/>
                <w:sz w:val="14"/>
                <w:szCs w:val="14"/>
              </w:rPr>
              <w:t>2017 :</w:t>
            </w:r>
            <w:r w:rsidRPr="00A32AF4">
              <w:rPr>
                <w:rFonts w:cs="Arial"/>
                <w:i/>
                <w:iCs/>
                <w:sz w:val="14"/>
                <w:szCs w:val="14"/>
              </w:rPr>
              <w:tab/>
            </w:r>
            <w:r w:rsidR="00D52EFC" w:rsidRPr="00A32AF4">
              <w:rPr>
                <w:rFonts w:cs="Arial"/>
                <w:i/>
                <w:iCs/>
                <w:sz w:val="14"/>
                <w:szCs w:val="14"/>
              </w:rPr>
              <w:t>2 6</w:t>
            </w:r>
            <w:r w:rsidRPr="00A32AF4">
              <w:rPr>
                <w:rFonts w:cs="Arial"/>
                <w:i/>
                <w:iCs/>
                <w:sz w:val="14"/>
                <w:szCs w:val="14"/>
              </w:rPr>
              <w:t>77</w:t>
            </w:r>
          </w:p>
          <w:p w:rsidR="00F93B76" w:rsidRPr="00A32AF4" w:rsidRDefault="00A4309E" w:rsidP="00DC0553">
            <w:pPr>
              <w:tabs>
                <w:tab w:val="left" w:pos="284"/>
                <w:tab w:val="right" w:pos="2948"/>
              </w:tabs>
              <w:rPr>
                <w:rFonts w:cs="Arial"/>
                <w:i/>
                <w:iCs/>
                <w:color w:val="0000FF"/>
                <w:sz w:val="14"/>
                <w:szCs w:val="14"/>
              </w:rPr>
            </w:pPr>
            <w:r w:rsidRPr="00A32AF4">
              <w:rPr>
                <w:rFonts w:cs="Arial"/>
                <w:i/>
                <w:iCs/>
                <w:color w:val="0000FF"/>
                <w:sz w:val="14"/>
                <w:szCs w:val="14"/>
              </w:rPr>
              <w:tab/>
            </w:r>
            <w:r w:rsidR="00D52EFC" w:rsidRPr="00A32AF4">
              <w:rPr>
                <w:rFonts w:cs="Arial"/>
                <w:i/>
                <w:iCs/>
                <w:color w:val="0000FF"/>
                <w:sz w:val="14"/>
                <w:szCs w:val="14"/>
              </w:rPr>
              <w:t>Part consacrée au développement :</w:t>
            </w:r>
            <w:r w:rsidRPr="00A32AF4">
              <w:rPr>
                <w:rFonts w:cs="Arial"/>
                <w:i/>
                <w:iCs/>
                <w:color w:val="0000FF"/>
                <w:sz w:val="14"/>
                <w:szCs w:val="14"/>
              </w:rPr>
              <w:tab/>
            </w:r>
            <w:r w:rsidR="00F70CA0" w:rsidRPr="00A32AF4">
              <w:rPr>
                <w:rFonts w:cs="Arial"/>
                <w:i/>
                <w:iCs/>
                <w:color w:val="0000FF"/>
                <w:sz w:val="14"/>
                <w:szCs w:val="14"/>
              </w:rPr>
              <w:t>–</w:t>
            </w:r>
          </w:p>
          <w:p w:rsidR="00F93B76" w:rsidRPr="00A32AF4" w:rsidRDefault="00F93B76" w:rsidP="00DC0553">
            <w:pPr>
              <w:tabs>
                <w:tab w:val="left" w:pos="284"/>
                <w:tab w:val="right" w:pos="2948"/>
              </w:tabs>
              <w:rPr>
                <w:rFonts w:cs="Arial"/>
                <w:sz w:val="14"/>
                <w:szCs w:val="14"/>
              </w:rPr>
            </w:pPr>
          </w:p>
          <w:p w:rsidR="00E2055A" w:rsidRPr="00A32AF4" w:rsidRDefault="001C3CA9" w:rsidP="00DC0553">
            <w:pPr>
              <w:tabs>
                <w:tab w:val="left" w:pos="284"/>
                <w:tab w:val="right" w:pos="2948"/>
              </w:tabs>
              <w:spacing w:after="60"/>
              <w:rPr>
                <w:rFonts w:cs="Arial"/>
                <w:sz w:val="14"/>
                <w:szCs w:val="14"/>
              </w:rPr>
            </w:pPr>
            <w:r w:rsidRPr="00A32AF4">
              <w:rPr>
                <w:rFonts w:cs="Arial"/>
                <w:sz w:val="14"/>
                <w:szCs w:val="14"/>
              </w:rPr>
              <w:t>V.2</w:t>
            </w:r>
            <w:r w:rsidRPr="00A32AF4">
              <w:rPr>
                <w:rFonts w:cs="Arial"/>
                <w:color w:val="000000"/>
                <w:sz w:val="14"/>
                <w:szCs w:val="14"/>
              </w:rPr>
              <w:t xml:space="preserve">. </w:t>
            </w:r>
            <w:r w:rsidRPr="00A32AF4">
              <w:rPr>
                <w:rFonts w:cs="Arial"/>
                <w:sz w:val="14"/>
                <w:szCs w:val="14"/>
              </w:rPr>
              <w:t>Utilisation élargie et améliorée des analyses économiques de l</w:t>
            </w:r>
            <w:r w:rsidR="00E2055A" w:rsidRPr="00A32AF4">
              <w:rPr>
                <w:rFonts w:cs="Arial"/>
                <w:sz w:val="14"/>
                <w:szCs w:val="14"/>
              </w:rPr>
              <w:t>’</w:t>
            </w:r>
            <w:r w:rsidRPr="00A32AF4">
              <w:rPr>
                <w:rFonts w:cs="Arial"/>
                <w:sz w:val="14"/>
                <w:szCs w:val="14"/>
              </w:rPr>
              <w:t>OMPI aux fins de l</w:t>
            </w:r>
            <w:r w:rsidR="00E2055A" w:rsidRPr="00A32AF4">
              <w:rPr>
                <w:rFonts w:cs="Arial"/>
                <w:sz w:val="14"/>
                <w:szCs w:val="14"/>
              </w:rPr>
              <w:t>’</w:t>
            </w:r>
            <w:r w:rsidRPr="00A32AF4">
              <w:rPr>
                <w:rFonts w:cs="Arial"/>
                <w:sz w:val="14"/>
                <w:szCs w:val="14"/>
              </w:rPr>
              <w:t>élaboration des politiques</w:t>
            </w:r>
          </w:p>
          <w:p w:rsidR="00F93B76" w:rsidRPr="00A32AF4" w:rsidRDefault="00A4309E" w:rsidP="00DC0553">
            <w:pPr>
              <w:tabs>
                <w:tab w:val="left" w:pos="284"/>
                <w:tab w:val="right" w:pos="2948"/>
              </w:tabs>
              <w:rPr>
                <w:rFonts w:cs="Arial"/>
                <w:i/>
                <w:iCs/>
                <w:sz w:val="14"/>
                <w:szCs w:val="14"/>
              </w:rPr>
            </w:pPr>
            <w:r w:rsidRPr="00A32AF4">
              <w:rPr>
                <w:rFonts w:cs="Arial"/>
                <w:i/>
                <w:iCs/>
                <w:sz w:val="14"/>
                <w:szCs w:val="14"/>
              </w:rPr>
              <w:tab/>
            </w:r>
            <w:r w:rsidR="00D52EFC" w:rsidRPr="00A32AF4">
              <w:rPr>
                <w:rFonts w:cs="Arial"/>
                <w:i/>
                <w:iCs/>
                <w:sz w:val="14"/>
                <w:szCs w:val="14"/>
              </w:rPr>
              <w:t>Budget proposé pour 2016</w:t>
            </w:r>
            <w:r w:rsidR="00EB7F54" w:rsidRPr="00A32AF4">
              <w:rPr>
                <w:rFonts w:cs="Arial"/>
                <w:i/>
                <w:iCs/>
                <w:sz w:val="14"/>
                <w:szCs w:val="14"/>
              </w:rPr>
              <w:noBreakHyphen/>
            </w:r>
            <w:r w:rsidR="00D52EFC" w:rsidRPr="00A32AF4">
              <w:rPr>
                <w:rFonts w:cs="Arial"/>
                <w:i/>
                <w:iCs/>
                <w:sz w:val="14"/>
                <w:szCs w:val="14"/>
              </w:rPr>
              <w:t>2017 :</w:t>
            </w:r>
            <w:r w:rsidRPr="00A32AF4">
              <w:rPr>
                <w:rFonts w:cs="Arial"/>
                <w:i/>
                <w:iCs/>
                <w:sz w:val="14"/>
                <w:szCs w:val="14"/>
              </w:rPr>
              <w:tab/>
            </w:r>
            <w:r w:rsidR="00D52EFC" w:rsidRPr="00A32AF4">
              <w:rPr>
                <w:rFonts w:cs="Arial"/>
                <w:i/>
                <w:iCs/>
                <w:sz w:val="14"/>
                <w:szCs w:val="14"/>
              </w:rPr>
              <w:t>3 3</w:t>
            </w:r>
            <w:r w:rsidRPr="00A32AF4">
              <w:rPr>
                <w:rFonts w:cs="Arial"/>
                <w:i/>
                <w:iCs/>
                <w:sz w:val="14"/>
                <w:szCs w:val="14"/>
              </w:rPr>
              <w:t>95</w:t>
            </w:r>
          </w:p>
          <w:p w:rsidR="00F93B76" w:rsidRPr="00A32AF4" w:rsidRDefault="00A4309E" w:rsidP="00DC0553">
            <w:pPr>
              <w:tabs>
                <w:tab w:val="left" w:pos="284"/>
                <w:tab w:val="right" w:pos="2948"/>
              </w:tabs>
              <w:rPr>
                <w:rFonts w:cs="Arial"/>
                <w:sz w:val="14"/>
                <w:szCs w:val="14"/>
              </w:rPr>
            </w:pPr>
            <w:r w:rsidRPr="00A32AF4">
              <w:rPr>
                <w:rFonts w:cs="Arial"/>
                <w:i/>
                <w:iCs/>
                <w:color w:val="0000FF"/>
                <w:sz w:val="14"/>
                <w:szCs w:val="14"/>
              </w:rPr>
              <w:tab/>
            </w:r>
            <w:r w:rsidR="00D52EFC" w:rsidRPr="00A32AF4">
              <w:rPr>
                <w:rFonts w:cs="Arial"/>
                <w:i/>
                <w:iCs/>
                <w:color w:val="0000FF"/>
                <w:sz w:val="14"/>
                <w:szCs w:val="14"/>
              </w:rPr>
              <w:t>Part consacrée au développement :</w:t>
            </w:r>
            <w:r w:rsidRPr="00A32AF4">
              <w:rPr>
                <w:rFonts w:cs="Arial"/>
                <w:i/>
                <w:iCs/>
                <w:color w:val="0000FF"/>
                <w:sz w:val="14"/>
                <w:szCs w:val="14"/>
              </w:rPr>
              <w:tab/>
            </w:r>
            <w:r w:rsidR="00D52EFC" w:rsidRPr="00A32AF4">
              <w:rPr>
                <w:rFonts w:cs="Arial"/>
                <w:i/>
                <w:iCs/>
                <w:color w:val="0000FF"/>
                <w:sz w:val="14"/>
                <w:szCs w:val="14"/>
              </w:rPr>
              <w:t>1</w:t>
            </w:r>
            <w:r w:rsidR="00F70CA0" w:rsidRPr="00A32AF4">
              <w:rPr>
                <w:rFonts w:cs="Arial"/>
                <w:i/>
                <w:iCs/>
                <w:color w:val="0000FF"/>
                <w:sz w:val="14"/>
                <w:szCs w:val="14"/>
              </w:rPr>
              <w:t> </w:t>
            </w:r>
            <w:r w:rsidR="00D52EFC" w:rsidRPr="00A32AF4">
              <w:rPr>
                <w:rFonts w:cs="Arial"/>
                <w:i/>
                <w:iCs/>
                <w:color w:val="0000FF"/>
                <w:sz w:val="14"/>
                <w:szCs w:val="14"/>
              </w:rPr>
              <w:t>5</w:t>
            </w:r>
            <w:r w:rsidRPr="00A32AF4">
              <w:rPr>
                <w:rFonts w:cs="Arial"/>
                <w:i/>
                <w:iCs/>
                <w:color w:val="0000FF"/>
                <w:sz w:val="14"/>
                <w:szCs w:val="14"/>
              </w:rPr>
              <w:t>25</w:t>
            </w:r>
          </w:p>
          <w:p w:rsidR="00A4309E" w:rsidRPr="00A32AF4" w:rsidRDefault="00A4309E" w:rsidP="00DC0553">
            <w:pPr>
              <w:tabs>
                <w:tab w:val="left" w:pos="284"/>
                <w:tab w:val="right" w:pos="2948"/>
              </w:tabs>
              <w:rPr>
                <w:rFonts w:cs="Arial"/>
                <w:color w:val="0000FF"/>
                <w:sz w:val="14"/>
                <w:szCs w:val="14"/>
              </w:rPr>
            </w:pPr>
          </w:p>
        </w:tc>
        <w:tc>
          <w:tcPr>
            <w:tcW w:w="3041" w:type="dxa"/>
            <w:tcBorders>
              <w:top w:val="nil"/>
              <w:left w:val="nil"/>
              <w:right w:val="nil"/>
            </w:tcBorders>
            <w:shd w:val="clear" w:color="auto" w:fill="auto"/>
          </w:tcPr>
          <w:p w:rsidR="00F93B76" w:rsidRPr="00A32AF4" w:rsidRDefault="00F70CA0" w:rsidP="00DC0553">
            <w:pPr>
              <w:tabs>
                <w:tab w:val="left" w:pos="284"/>
                <w:tab w:val="right" w:pos="2948"/>
              </w:tabs>
              <w:spacing w:after="60"/>
              <w:rPr>
                <w:rFonts w:cs="Arial"/>
                <w:sz w:val="14"/>
                <w:szCs w:val="14"/>
              </w:rPr>
            </w:pPr>
            <w:r w:rsidRPr="00A32AF4">
              <w:rPr>
                <w:rFonts w:cs="Arial"/>
                <w:sz w:val="14"/>
                <w:szCs w:val="14"/>
              </w:rPr>
              <w:br/>
            </w:r>
            <w:r w:rsidR="001C3CA9" w:rsidRPr="00A32AF4">
              <w:rPr>
                <w:rFonts w:cs="Arial"/>
                <w:sz w:val="14"/>
                <w:szCs w:val="14"/>
              </w:rPr>
              <w:t>VI.1</w:t>
            </w:r>
            <w:r w:rsidR="001C3CA9" w:rsidRPr="00A32AF4">
              <w:rPr>
                <w:rFonts w:cs="Arial"/>
                <w:color w:val="000000"/>
                <w:sz w:val="14"/>
                <w:szCs w:val="14"/>
              </w:rPr>
              <w:t xml:space="preserve">. </w:t>
            </w:r>
            <w:r w:rsidR="001C3CA9" w:rsidRPr="00A32AF4">
              <w:rPr>
                <w:rFonts w:cs="Arial"/>
                <w:sz w:val="14"/>
                <w:szCs w:val="14"/>
              </w:rPr>
              <w:t>Progrès du dialogue international de politique générale entre les États membres de l</w:t>
            </w:r>
            <w:r w:rsidR="00E2055A" w:rsidRPr="00A32AF4">
              <w:rPr>
                <w:rFonts w:cs="Arial"/>
                <w:sz w:val="14"/>
                <w:szCs w:val="14"/>
              </w:rPr>
              <w:t>’</w:t>
            </w:r>
            <w:r w:rsidR="001C3CA9" w:rsidRPr="00A32AF4">
              <w:rPr>
                <w:rFonts w:cs="Arial"/>
                <w:sz w:val="14"/>
                <w:szCs w:val="14"/>
              </w:rPr>
              <w:t>OMPI en ce qui concerne la promotion du respect de la propriété intellectuelle, compte tenu de la recommandation n° 45 du Plan d</w:t>
            </w:r>
            <w:r w:rsidR="00E2055A" w:rsidRPr="00A32AF4">
              <w:rPr>
                <w:rFonts w:cs="Arial"/>
                <w:sz w:val="14"/>
                <w:szCs w:val="14"/>
              </w:rPr>
              <w:t>’</w:t>
            </w:r>
            <w:r w:rsidR="001C3CA9" w:rsidRPr="00A32AF4">
              <w:rPr>
                <w:rFonts w:cs="Arial"/>
                <w:sz w:val="14"/>
                <w:szCs w:val="14"/>
              </w:rPr>
              <w:t>action pour le développement</w:t>
            </w:r>
          </w:p>
          <w:p w:rsidR="00F93B76" w:rsidRPr="00A32AF4" w:rsidRDefault="00A4309E" w:rsidP="00DC0553">
            <w:pPr>
              <w:tabs>
                <w:tab w:val="left" w:pos="284"/>
                <w:tab w:val="right" w:pos="2948"/>
              </w:tabs>
              <w:rPr>
                <w:rFonts w:cs="Arial"/>
                <w:i/>
                <w:iCs/>
                <w:sz w:val="14"/>
                <w:szCs w:val="14"/>
              </w:rPr>
            </w:pPr>
            <w:r w:rsidRPr="00A32AF4">
              <w:rPr>
                <w:rFonts w:cs="Arial"/>
                <w:i/>
                <w:iCs/>
                <w:sz w:val="14"/>
                <w:szCs w:val="14"/>
              </w:rPr>
              <w:tab/>
            </w:r>
            <w:r w:rsidR="00D52EFC" w:rsidRPr="00A32AF4">
              <w:rPr>
                <w:rFonts w:cs="Arial"/>
                <w:i/>
                <w:iCs/>
                <w:sz w:val="14"/>
                <w:szCs w:val="14"/>
              </w:rPr>
              <w:t>Budget proposé pour 2016</w:t>
            </w:r>
            <w:r w:rsidR="00EB7F54" w:rsidRPr="00A32AF4">
              <w:rPr>
                <w:rFonts w:cs="Arial"/>
                <w:i/>
                <w:iCs/>
                <w:sz w:val="14"/>
                <w:szCs w:val="14"/>
              </w:rPr>
              <w:noBreakHyphen/>
            </w:r>
            <w:r w:rsidR="00D52EFC" w:rsidRPr="00A32AF4">
              <w:rPr>
                <w:rFonts w:cs="Arial"/>
                <w:i/>
                <w:iCs/>
                <w:sz w:val="14"/>
                <w:szCs w:val="14"/>
              </w:rPr>
              <w:t>2017 :</w:t>
            </w:r>
            <w:r w:rsidRPr="00A32AF4">
              <w:rPr>
                <w:rFonts w:cs="Arial"/>
                <w:i/>
                <w:iCs/>
                <w:sz w:val="14"/>
                <w:szCs w:val="14"/>
              </w:rPr>
              <w:tab/>
              <w:t>756</w:t>
            </w:r>
          </w:p>
          <w:p w:rsidR="00F93B76" w:rsidRPr="00A32AF4" w:rsidRDefault="00A4309E" w:rsidP="00DC0553">
            <w:pPr>
              <w:tabs>
                <w:tab w:val="left" w:pos="284"/>
                <w:tab w:val="right" w:pos="2948"/>
              </w:tabs>
              <w:rPr>
                <w:rFonts w:cs="Arial"/>
                <w:color w:val="0000FF"/>
                <w:sz w:val="14"/>
                <w:szCs w:val="14"/>
              </w:rPr>
            </w:pPr>
            <w:r w:rsidRPr="00A32AF4">
              <w:rPr>
                <w:rFonts w:cs="Arial"/>
                <w:i/>
                <w:iCs/>
                <w:color w:val="0000FF"/>
                <w:sz w:val="14"/>
                <w:szCs w:val="14"/>
              </w:rPr>
              <w:tab/>
            </w:r>
            <w:r w:rsidR="00D52EFC" w:rsidRPr="00A32AF4">
              <w:rPr>
                <w:rFonts w:cs="Arial"/>
                <w:i/>
                <w:iCs/>
                <w:color w:val="0000FF"/>
                <w:sz w:val="14"/>
                <w:szCs w:val="14"/>
              </w:rPr>
              <w:t>Part consacrée au développement :</w:t>
            </w:r>
            <w:r w:rsidRPr="00A32AF4">
              <w:rPr>
                <w:rFonts w:cs="Arial"/>
                <w:i/>
                <w:iCs/>
                <w:color w:val="0000FF"/>
                <w:sz w:val="14"/>
                <w:szCs w:val="14"/>
              </w:rPr>
              <w:tab/>
              <w:t>507</w:t>
            </w:r>
          </w:p>
          <w:p w:rsidR="00F93B76" w:rsidRPr="00A32AF4" w:rsidRDefault="00F93B76" w:rsidP="00DC0553">
            <w:pPr>
              <w:tabs>
                <w:tab w:val="left" w:pos="284"/>
                <w:tab w:val="right" w:pos="2948"/>
              </w:tabs>
              <w:rPr>
                <w:rFonts w:cs="Arial"/>
                <w:sz w:val="14"/>
                <w:szCs w:val="14"/>
              </w:rPr>
            </w:pPr>
          </w:p>
          <w:p w:rsidR="00F93B76" w:rsidRPr="00A32AF4" w:rsidRDefault="001C3CA9" w:rsidP="00DC0553">
            <w:pPr>
              <w:tabs>
                <w:tab w:val="left" w:pos="284"/>
                <w:tab w:val="right" w:pos="2948"/>
              </w:tabs>
              <w:spacing w:after="60"/>
              <w:rPr>
                <w:rFonts w:cs="Arial"/>
                <w:sz w:val="14"/>
                <w:szCs w:val="14"/>
              </w:rPr>
            </w:pPr>
            <w:r w:rsidRPr="00A32AF4">
              <w:rPr>
                <w:rFonts w:cs="Arial"/>
                <w:sz w:val="14"/>
                <w:szCs w:val="14"/>
              </w:rPr>
              <w:t>VI.2</w:t>
            </w:r>
            <w:r w:rsidRPr="00A32AF4">
              <w:rPr>
                <w:rFonts w:cs="Arial"/>
                <w:color w:val="000000"/>
                <w:sz w:val="14"/>
                <w:szCs w:val="14"/>
              </w:rPr>
              <w:t xml:space="preserve">. </w:t>
            </w:r>
            <w:r w:rsidRPr="00A32AF4">
              <w:rPr>
                <w:rFonts w:cs="Arial"/>
                <w:sz w:val="14"/>
                <w:szCs w:val="14"/>
              </w:rPr>
              <w:t>Coopération et coordination systématiques, efficaces et transparentes entre les travaux de l</w:t>
            </w:r>
            <w:r w:rsidR="00E2055A" w:rsidRPr="00A32AF4">
              <w:rPr>
                <w:rFonts w:cs="Arial"/>
                <w:sz w:val="14"/>
                <w:szCs w:val="14"/>
              </w:rPr>
              <w:t>’</w:t>
            </w:r>
            <w:r w:rsidRPr="00A32AF4">
              <w:rPr>
                <w:rFonts w:cs="Arial"/>
                <w:sz w:val="14"/>
                <w:szCs w:val="14"/>
              </w:rPr>
              <w:t>OMPI et ceux d</w:t>
            </w:r>
            <w:r w:rsidR="00E2055A" w:rsidRPr="00A32AF4">
              <w:rPr>
                <w:rFonts w:cs="Arial"/>
                <w:sz w:val="14"/>
                <w:szCs w:val="14"/>
              </w:rPr>
              <w:t>’</w:t>
            </w:r>
            <w:r w:rsidRPr="00A32AF4">
              <w:rPr>
                <w:rFonts w:cs="Arial"/>
                <w:sz w:val="14"/>
                <w:szCs w:val="14"/>
              </w:rPr>
              <w:t>autres organisations internationales dans le domaine de la promotion du respect de la propriété intellectuelle</w:t>
            </w:r>
          </w:p>
          <w:p w:rsidR="00F93B76" w:rsidRPr="00A32AF4" w:rsidRDefault="00A4309E" w:rsidP="00DC0553">
            <w:pPr>
              <w:tabs>
                <w:tab w:val="left" w:pos="284"/>
                <w:tab w:val="right" w:pos="2948"/>
              </w:tabs>
              <w:rPr>
                <w:rFonts w:cs="Arial"/>
                <w:i/>
                <w:iCs/>
                <w:sz w:val="14"/>
                <w:szCs w:val="14"/>
              </w:rPr>
            </w:pPr>
            <w:r w:rsidRPr="00A32AF4">
              <w:rPr>
                <w:rFonts w:cs="Arial"/>
                <w:i/>
                <w:iCs/>
                <w:sz w:val="14"/>
                <w:szCs w:val="14"/>
              </w:rPr>
              <w:tab/>
            </w:r>
            <w:r w:rsidR="00D52EFC" w:rsidRPr="00A32AF4">
              <w:rPr>
                <w:rFonts w:cs="Arial"/>
                <w:i/>
                <w:iCs/>
                <w:sz w:val="14"/>
                <w:szCs w:val="14"/>
              </w:rPr>
              <w:t>Budget proposé pour 2016</w:t>
            </w:r>
            <w:r w:rsidR="00EB7F54" w:rsidRPr="00A32AF4">
              <w:rPr>
                <w:rFonts w:cs="Arial"/>
                <w:i/>
                <w:iCs/>
                <w:sz w:val="14"/>
                <w:szCs w:val="14"/>
              </w:rPr>
              <w:noBreakHyphen/>
            </w:r>
            <w:r w:rsidR="00D52EFC" w:rsidRPr="00A32AF4">
              <w:rPr>
                <w:rFonts w:cs="Arial"/>
                <w:i/>
                <w:iCs/>
                <w:sz w:val="14"/>
                <w:szCs w:val="14"/>
              </w:rPr>
              <w:t>2017 :</w:t>
            </w:r>
            <w:r w:rsidRPr="00A32AF4">
              <w:rPr>
                <w:rFonts w:cs="Arial"/>
                <w:i/>
                <w:iCs/>
                <w:sz w:val="14"/>
                <w:szCs w:val="14"/>
              </w:rPr>
              <w:tab/>
            </w:r>
            <w:r w:rsidR="00D52EFC" w:rsidRPr="00A32AF4">
              <w:rPr>
                <w:rFonts w:cs="Arial"/>
                <w:i/>
                <w:iCs/>
                <w:sz w:val="14"/>
                <w:szCs w:val="14"/>
              </w:rPr>
              <w:t>1 3</w:t>
            </w:r>
            <w:r w:rsidRPr="00A32AF4">
              <w:rPr>
                <w:rFonts w:cs="Arial"/>
                <w:i/>
                <w:iCs/>
                <w:sz w:val="14"/>
                <w:szCs w:val="14"/>
              </w:rPr>
              <w:t>08</w:t>
            </w:r>
          </w:p>
          <w:p w:rsidR="00A4309E" w:rsidRPr="00A32AF4" w:rsidRDefault="00A4309E" w:rsidP="00DC0553">
            <w:pPr>
              <w:tabs>
                <w:tab w:val="left" w:pos="284"/>
                <w:tab w:val="right" w:pos="2948"/>
              </w:tabs>
              <w:rPr>
                <w:rFonts w:cs="Arial"/>
                <w:color w:val="0000FF"/>
                <w:sz w:val="14"/>
                <w:szCs w:val="14"/>
              </w:rPr>
            </w:pPr>
            <w:r w:rsidRPr="00A32AF4">
              <w:rPr>
                <w:rFonts w:cs="Arial"/>
                <w:i/>
                <w:iCs/>
                <w:color w:val="0000FF"/>
                <w:sz w:val="14"/>
                <w:szCs w:val="14"/>
              </w:rPr>
              <w:tab/>
            </w:r>
            <w:r w:rsidR="00D52EFC" w:rsidRPr="00A32AF4">
              <w:rPr>
                <w:rFonts w:cs="Arial"/>
                <w:i/>
                <w:iCs/>
                <w:color w:val="0000FF"/>
                <w:sz w:val="14"/>
                <w:szCs w:val="14"/>
              </w:rPr>
              <w:t>Part consacrée au développement :</w:t>
            </w:r>
            <w:r w:rsidRPr="00A32AF4">
              <w:rPr>
                <w:rFonts w:cs="Arial"/>
                <w:i/>
                <w:iCs/>
                <w:color w:val="0000FF"/>
                <w:sz w:val="14"/>
                <w:szCs w:val="14"/>
              </w:rPr>
              <w:tab/>
              <w:t xml:space="preserve">981  </w:t>
            </w:r>
          </w:p>
        </w:tc>
        <w:tc>
          <w:tcPr>
            <w:tcW w:w="3044" w:type="dxa"/>
            <w:tcBorders>
              <w:top w:val="nil"/>
              <w:left w:val="nil"/>
              <w:right w:val="single" w:sz="4" w:space="0" w:color="auto"/>
            </w:tcBorders>
            <w:shd w:val="clear" w:color="auto" w:fill="auto"/>
          </w:tcPr>
          <w:p w:rsidR="00E2055A" w:rsidRPr="00A32AF4" w:rsidRDefault="00F70CA0" w:rsidP="00DC0553">
            <w:pPr>
              <w:tabs>
                <w:tab w:val="left" w:pos="284"/>
                <w:tab w:val="right" w:pos="2948"/>
              </w:tabs>
              <w:spacing w:after="60"/>
              <w:rPr>
                <w:rFonts w:cs="Arial"/>
                <w:sz w:val="14"/>
                <w:szCs w:val="14"/>
              </w:rPr>
            </w:pPr>
            <w:r w:rsidRPr="00A32AF4">
              <w:rPr>
                <w:rFonts w:cs="Arial"/>
                <w:sz w:val="14"/>
                <w:szCs w:val="14"/>
              </w:rPr>
              <w:br/>
            </w:r>
            <w:r w:rsidR="001C3CA9" w:rsidRPr="00A32AF4">
              <w:rPr>
                <w:rFonts w:cs="Arial"/>
                <w:sz w:val="14"/>
                <w:szCs w:val="14"/>
              </w:rPr>
              <w:t>VII.2</w:t>
            </w:r>
            <w:r w:rsidR="001C3CA9" w:rsidRPr="00A32AF4">
              <w:rPr>
                <w:rFonts w:cs="Arial"/>
                <w:color w:val="000000"/>
                <w:sz w:val="14"/>
                <w:szCs w:val="14"/>
              </w:rPr>
              <w:t xml:space="preserve">. </w:t>
            </w:r>
            <w:r w:rsidR="001C3CA9" w:rsidRPr="00A32AF4">
              <w:rPr>
                <w:rFonts w:cs="Arial"/>
                <w:sz w:val="14"/>
                <w:szCs w:val="14"/>
              </w:rPr>
              <w:t>Plates</w:t>
            </w:r>
            <w:r w:rsidR="00EB7F54" w:rsidRPr="00A32AF4">
              <w:rPr>
                <w:rFonts w:cs="Arial"/>
                <w:sz w:val="14"/>
                <w:szCs w:val="14"/>
              </w:rPr>
              <w:noBreakHyphen/>
            </w:r>
            <w:r w:rsidR="001C3CA9" w:rsidRPr="00A32AF4">
              <w:rPr>
                <w:rFonts w:cs="Arial"/>
                <w:sz w:val="14"/>
                <w:szCs w:val="14"/>
              </w:rPr>
              <w:t>formes et instruments fondés sur la propriété intellectuelle pour le transfert de connaissances et l</w:t>
            </w:r>
            <w:r w:rsidR="00E2055A" w:rsidRPr="00A32AF4">
              <w:rPr>
                <w:rFonts w:cs="Arial"/>
                <w:sz w:val="14"/>
                <w:szCs w:val="14"/>
              </w:rPr>
              <w:t>’</w:t>
            </w:r>
            <w:r w:rsidR="001C3CA9" w:rsidRPr="00A32AF4">
              <w:rPr>
                <w:rFonts w:cs="Arial"/>
                <w:sz w:val="14"/>
                <w:szCs w:val="14"/>
              </w:rPr>
              <w:t>adaptation et la diffusion de la technologie entre les pays développés et les pays en développement, notamment</w:t>
            </w:r>
            <w:r w:rsidR="00E2055A" w:rsidRPr="00A32AF4">
              <w:rPr>
                <w:rFonts w:cs="Arial"/>
                <w:sz w:val="14"/>
                <w:szCs w:val="14"/>
              </w:rPr>
              <w:t xml:space="preserve"> les PMA</w:t>
            </w:r>
            <w:r w:rsidR="001C3CA9" w:rsidRPr="00A32AF4">
              <w:rPr>
                <w:rFonts w:cs="Arial"/>
                <w:sz w:val="14"/>
                <w:szCs w:val="14"/>
              </w:rPr>
              <w:t>, pour relever des défis mondiaux</w:t>
            </w:r>
          </w:p>
          <w:p w:rsidR="00F93B76" w:rsidRPr="00A32AF4" w:rsidRDefault="00A4309E" w:rsidP="00DC0553">
            <w:pPr>
              <w:tabs>
                <w:tab w:val="left" w:pos="284"/>
                <w:tab w:val="right" w:pos="2948"/>
              </w:tabs>
              <w:rPr>
                <w:rFonts w:cs="Arial"/>
                <w:i/>
                <w:iCs/>
                <w:sz w:val="14"/>
                <w:szCs w:val="14"/>
              </w:rPr>
            </w:pPr>
            <w:r w:rsidRPr="00A32AF4">
              <w:rPr>
                <w:rFonts w:cs="Arial"/>
                <w:i/>
                <w:iCs/>
                <w:sz w:val="14"/>
                <w:szCs w:val="14"/>
              </w:rPr>
              <w:tab/>
            </w:r>
            <w:r w:rsidR="00D52EFC" w:rsidRPr="00A32AF4">
              <w:rPr>
                <w:rFonts w:cs="Arial"/>
                <w:i/>
                <w:iCs/>
                <w:sz w:val="14"/>
                <w:szCs w:val="14"/>
              </w:rPr>
              <w:t>Budget proposé pour 2016</w:t>
            </w:r>
            <w:r w:rsidR="00EB7F54" w:rsidRPr="00A32AF4">
              <w:rPr>
                <w:rFonts w:cs="Arial"/>
                <w:i/>
                <w:iCs/>
                <w:sz w:val="14"/>
                <w:szCs w:val="14"/>
              </w:rPr>
              <w:noBreakHyphen/>
            </w:r>
            <w:r w:rsidR="00D52EFC" w:rsidRPr="00A32AF4">
              <w:rPr>
                <w:rFonts w:cs="Arial"/>
                <w:i/>
                <w:iCs/>
                <w:sz w:val="14"/>
                <w:szCs w:val="14"/>
              </w:rPr>
              <w:t>2017 :</w:t>
            </w:r>
            <w:r w:rsidRPr="00A32AF4">
              <w:rPr>
                <w:rFonts w:cs="Arial"/>
                <w:i/>
                <w:iCs/>
                <w:sz w:val="14"/>
                <w:szCs w:val="14"/>
              </w:rPr>
              <w:tab/>
            </w:r>
            <w:r w:rsidR="00D52EFC" w:rsidRPr="00A32AF4">
              <w:rPr>
                <w:rFonts w:cs="Arial"/>
                <w:i/>
                <w:iCs/>
                <w:sz w:val="14"/>
                <w:szCs w:val="14"/>
              </w:rPr>
              <w:t>3 9</w:t>
            </w:r>
            <w:r w:rsidRPr="00A32AF4">
              <w:rPr>
                <w:rFonts w:cs="Arial"/>
                <w:i/>
                <w:iCs/>
                <w:sz w:val="14"/>
                <w:szCs w:val="14"/>
              </w:rPr>
              <w:t>50</w:t>
            </w:r>
          </w:p>
          <w:p w:rsidR="00A4309E" w:rsidRPr="00A32AF4" w:rsidRDefault="00A4309E" w:rsidP="00DC0553">
            <w:pPr>
              <w:tabs>
                <w:tab w:val="left" w:pos="284"/>
                <w:tab w:val="right" w:pos="2948"/>
              </w:tabs>
              <w:rPr>
                <w:rFonts w:cs="Arial"/>
                <w:color w:val="0000FF"/>
                <w:sz w:val="14"/>
                <w:szCs w:val="14"/>
              </w:rPr>
            </w:pPr>
            <w:r w:rsidRPr="00A32AF4">
              <w:rPr>
                <w:rFonts w:cs="Arial"/>
                <w:i/>
                <w:iCs/>
                <w:color w:val="0000FF"/>
                <w:sz w:val="14"/>
                <w:szCs w:val="14"/>
              </w:rPr>
              <w:tab/>
            </w:r>
            <w:r w:rsidR="00D52EFC" w:rsidRPr="00A32AF4">
              <w:rPr>
                <w:rFonts w:cs="Arial"/>
                <w:i/>
                <w:iCs/>
                <w:color w:val="0000FF"/>
                <w:sz w:val="14"/>
                <w:szCs w:val="14"/>
              </w:rPr>
              <w:t>Part consacrée au développement :</w:t>
            </w:r>
            <w:r w:rsidRPr="00A32AF4">
              <w:rPr>
                <w:rFonts w:cs="Arial"/>
                <w:i/>
                <w:iCs/>
                <w:color w:val="0000FF"/>
                <w:sz w:val="14"/>
                <w:szCs w:val="14"/>
              </w:rPr>
              <w:tab/>
            </w:r>
            <w:r w:rsidR="00D52EFC" w:rsidRPr="00A32AF4">
              <w:rPr>
                <w:rFonts w:cs="Arial"/>
                <w:i/>
                <w:iCs/>
                <w:color w:val="0000FF"/>
                <w:sz w:val="14"/>
                <w:szCs w:val="14"/>
              </w:rPr>
              <w:t>3 0</w:t>
            </w:r>
            <w:r w:rsidRPr="00A32AF4">
              <w:rPr>
                <w:rFonts w:cs="Arial"/>
                <w:i/>
                <w:iCs/>
                <w:color w:val="0000FF"/>
                <w:sz w:val="14"/>
                <w:szCs w:val="14"/>
              </w:rPr>
              <w:t>16</w:t>
            </w:r>
          </w:p>
        </w:tc>
      </w:tr>
      <w:tr w:rsidR="00A4309E" w:rsidRPr="00A32AF4" w:rsidTr="001B004D">
        <w:trPr>
          <w:trHeight w:val="145"/>
        </w:trPr>
        <w:tc>
          <w:tcPr>
            <w:tcW w:w="389" w:type="dxa"/>
            <w:vMerge/>
            <w:tcBorders>
              <w:top w:val="single" w:sz="8" w:space="0" w:color="auto"/>
              <w:left w:val="single" w:sz="8" w:space="0" w:color="auto"/>
              <w:bottom w:val="single" w:sz="4" w:space="0" w:color="000000"/>
              <w:right w:val="nil"/>
            </w:tcBorders>
            <w:vAlign w:val="center"/>
          </w:tcPr>
          <w:p w:rsidR="00A4309E" w:rsidRPr="00A32AF4" w:rsidRDefault="00A4309E" w:rsidP="00DC0553">
            <w:pPr>
              <w:tabs>
                <w:tab w:val="right" w:pos="2835"/>
              </w:tabs>
              <w:rPr>
                <w:rFonts w:cs="Arial"/>
                <w:b/>
                <w:bCs/>
                <w:sz w:val="16"/>
                <w:szCs w:val="16"/>
              </w:rPr>
            </w:pPr>
          </w:p>
        </w:tc>
        <w:tc>
          <w:tcPr>
            <w:tcW w:w="3041" w:type="dxa"/>
            <w:tcBorders>
              <w:top w:val="nil"/>
              <w:left w:val="single" w:sz="4" w:space="0" w:color="auto"/>
              <w:bottom w:val="nil"/>
              <w:right w:val="nil"/>
            </w:tcBorders>
            <w:shd w:val="clear" w:color="auto" w:fill="auto"/>
          </w:tcPr>
          <w:p w:rsidR="00F93B76" w:rsidRPr="00A32AF4" w:rsidRDefault="00F70CA0" w:rsidP="00DC0553">
            <w:pPr>
              <w:tabs>
                <w:tab w:val="left" w:pos="284"/>
                <w:tab w:val="right" w:pos="2948"/>
              </w:tabs>
              <w:rPr>
                <w:rFonts w:cs="Arial"/>
                <w:i/>
                <w:iCs/>
                <w:sz w:val="14"/>
                <w:szCs w:val="14"/>
              </w:rPr>
            </w:pPr>
            <w:r w:rsidRPr="00A32AF4">
              <w:rPr>
                <w:rFonts w:cs="Arial"/>
                <w:i/>
                <w:iCs/>
                <w:sz w:val="14"/>
                <w:szCs w:val="14"/>
              </w:rPr>
              <w:t>Budget total proposé pour l</w:t>
            </w:r>
            <w:r w:rsidR="00E2055A" w:rsidRPr="00A32AF4">
              <w:rPr>
                <w:rFonts w:cs="Arial"/>
                <w:i/>
                <w:iCs/>
                <w:sz w:val="14"/>
                <w:szCs w:val="14"/>
              </w:rPr>
              <w:t>’</w:t>
            </w:r>
            <w:r w:rsidRPr="00A32AF4">
              <w:rPr>
                <w:rFonts w:cs="Arial"/>
                <w:i/>
                <w:iCs/>
                <w:sz w:val="14"/>
                <w:szCs w:val="14"/>
              </w:rPr>
              <w:t>OS I :</w:t>
            </w:r>
            <w:r w:rsidR="00A4309E" w:rsidRPr="00A32AF4">
              <w:rPr>
                <w:rFonts w:cs="Arial"/>
                <w:i/>
                <w:iCs/>
                <w:sz w:val="14"/>
                <w:szCs w:val="14"/>
              </w:rPr>
              <w:tab/>
              <w:t>2</w:t>
            </w:r>
            <w:r w:rsidR="00D52EFC" w:rsidRPr="00A32AF4">
              <w:rPr>
                <w:rFonts w:cs="Arial"/>
                <w:i/>
                <w:iCs/>
                <w:sz w:val="14"/>
                <w:szCs w:val="14"/>
              </w:rPr>
              <w:t>4 7</w:t>
            </w:r>
            <w:r w:rsidR="00A4309E" w:rsidRPr="00A32AF4">
              <w:rPr>
                <w:rFonts w:cs="Arial"/>
                <w:i/>
                <w:iCs/>
                <w:sz w:val="14"/>
                <w:szCs w:val="14"/>
              </w:rPr>
              <w:t>62</w:t>
            </w:r>
          </w:p>
          <w:p w:rsidR="00F70CA0" w:rsidRPr="00A32AF4" w:rsidRDefault="00F70CA0" w:rsidP="00DC0553">
            <w:pPr>
              <w:tabs>
                <w:tab w:val="left" w:pos="284"/>
                <w:tab w:val="right" w:pos="2948"/>
              </w:tabs>
              <w:rPr>
                <w:rFonts w:cs="Arial"/>
                <w:i/>
                <w:iCs/>
                <w:color w:val="0000FF"/>
                <w:sz w:val="14"/>
                <w:szCs w:val="14"/>
              </w:rPr>
            </w:pPr>
            <w:r w:rsidRPr="00A32AF4">
              <w:rPr>
                <w:rFonts w:cs="Arial"/>
                <w:i/>
                <w:iCs/>
                <w:color w:val="0000FF"/>
                <w:sz w:val="14"/>
                <w:szCs w:val="14"/>
              </w:rPr>
              <w:t>Part totale du budget de l</w:t>
            </w:r>
            <w:r w:rsidR="00E2055A" w:rsidRPr="00A32AF4">
              <w:rPr>
                <w:rFonts w:cs="Arial"/>
                <w:i/>
                <w:iCs/>
                <w:color w:val="0000FF"/>
                <w:sz w:val="14"/>
                <w:szCs w:val="14"/>
              </w:rPr>
              <w:t>’</w:t>
            </w:r>
            <w:r w:rsidRPr="00A32AF4">
              <w:rPr>
                <w:rFonts w:cs="Arial"/>
                <w:i/>
                <w:iCs/>
                <w:color w:val="0000FF"/>
                <w:sz w:val="14"/>
                <w:szCs w:val="14"/>
              </w:rPr>
              <w:t xml:space="preserve">OS I </w:t>
            </w:r>
            <w:r w:rsidRPr="00A32AF4">
              <w:rPr>
                <w:rFonts w:cs="Arial"/>
                <w:i/>
                <w:iCs/>
                <w:color w:val="0000FF"/>
                <w:sz w:val="14"/>
                <w:szCs w:val="14"/>
              </w:rPr>
              <w:br/>
              <w:t>consacrée au développement :</w:t>
            </w:r>
            <w:r w:rsidR="00A4309E" w:rsidRPr="00A32AF4">
              <w:rPr>
                <w:rFonts w:cs="Arial"/>
                <w:i/>
                <w:iCs/>
                <w:color w:val="0000FF"/>
                <w:sz w:val="14"/>
                <w:szCs w:val="14"/>
              </w:rPr>
              <w:tab/>
              <w:t>1</w:t>
            </w:r>
            <w:r w:rsidR="00D52EFC" w:rsidRPr="00A32AF4">
              <w:rPr>
                <w:rFonts w:cs="Arial"/>
                <w:i/>
                <w:iCs/>
                <w:color w:val="0000FF"/>
                <w:sz w:val="14"/>
                <w:szCs w:val="14"/>
              </w:rPr>
              <w:t>7</w:t>
            </w:r>
            <w:r w:rsidRPr="00A32AF4">
              <w:rPr>
                <w:rFonts w:cs="Arial"/>
                <w:i/>
                <w:iCs/>
                <w:color w:val="0000FF"/>
                <w:sz w:val="14"/>
                <w:szCs w:val="14"/>
              </w:rPr>
              <w:t> </w:t>
            </w:r>
            <w:r w:rsidR="00D52EFC" w:rsidRPr="00A32AF4">
              <w:rPr>
                <w:rFonts w:cs="Arial"/>
                <w:i/>
                <w:iCs/>
                <w:color w:val="0000FF"/>
                <w:sz w:val="14"/>
                <w:szCs w:val="14"/>
              </w:rPr>
              <w:t>0</w:t>
            </w:r>
            <w:r w:rsidR="00A4309E" w:rsidRPr="00A32AF4">
              <w:rPr>
                <w:rFonts w:cs="Arial"/>
                <w:i/>
                <w:iCs/>
                <w:color w:val="0000FF"/>
                <w:sz w:val="14"/>
                <w:szCs w:val="14"/>
              </w:rPr>
              <w:t>05</w:t>
            </w:r>
          </w:p>
          <w:p w:rsidR="009813C6" w:rsidRPr="00A32AF4" w:rsidRDefault="009813C6" w:rsidP="00DC0553">
            <w:pPr>
              <w:tabs>
                <w:tab w:val="left" w:pos="284"/>
                <w:tab w:val="right" w:pos="2948"/>
              </w:tabs>
              <w:rPr>
                <w:rFonts w:cs="Arial"/>
                <w:i/>
                <w:iCs/>
                <w:color w:val="0000FF"/>
                <w:sz w:val="14"/>
                <w:szCs w:val="14"/>
              </w:rPr>
            </w:pPr>
          </w:p>
          <w:p w:rsidR="009813C6" w:rsidRPr="00A32AF4" w:rsidRDefault="009813C6" w:rsidP="00DC0553">
            <w:pPr>
              <w:tabs>
                <w:tab w:val="left" w:pos="284"/>
                <w:tab w:val="right" w:pos="2948"/>
              </w:tabs>
              <w:rPr>
                <w:rFonts w:cs="Arial"/>
                <w:i/>
                <w:iCs/>
                <w:color w:val="0000FF"/>
                <w:sz w:val="14"/>
                <w:szCs w:val="14"/>
              </w:rPr>
            </w:pPr>
          </w:p>
          <w:p w:rsidR="009813C6" w:rsidRPr="00A32AF4" w:rsidRDefault="009813C6" w:rsidP="00DC0553">
            <w:pPr>
              <w:tabs>
                <w:tab w:val="left" w:pos="284"/>
                <w:tab w:val="right" w:pos="2948"/>
              </w:tabs>
              <w:rPr>
                <w:rFonts w:cs="Arial"/>
                <w:i/>
                <w:iCs/>
                <w:color w:val="0000FF"/>
                <w:sz w:val="14"/>
                <w:szCs w:val="14"/>
              </w:rPr>
            </w:pPr>
          </w:p>
          <w:p w:rsidR="009813C6" w:rsidRPr="00A32AF4" w:rsidRDefault="009813C6" w:rsidP="00DC0553">
            <w:pPr>
              <w:tabs>
                <w:tab w:val="left" w:pos="284"/>
                <w:tab w:val="right" w:pos="2948"/>
              </w:tabs>
              <w:rPr>
                <w:rFonts w:cs="Arial"/>
                <w:i/>
                <w:iCs/>
                <w:color w:val="0000FF"/>
                <w:sz w:val="14"/>
                <w:szCs w:val="14"/>
              </w:rPr>
            </w:pPr>
          </w:p>
          <w:p w:rsidR="009813C6" w:rsidRPr="00A32AF4" w:rsidRDefault="009813C6" w:rsidP="00DC0553">
            <w:pPr>
              <w:tabs>
                <w:tab w:val="left" w:pos="284"/>
                <w:tab w:val="right" w:pos="2948"/>
              </w:tabs>
              <w:rPr>
                <w:rFonts w:cs="Arial"/>
                <w:i/>
                <w:iCs/>
                <w:color w:val="0000FF"/>
                <w:sz w:val="14"/>
                <w:szCs w:val="14"/>
              </w:rPr>
            </w:pPr>
          </w:p>
          <w:p w:rsidR="009813C6" w:rsidRPr="00A32AF4" w:rsidRDefault="009813C6" w:rsidP="00DC0553">
            <w:pPr>
              <w:tabs>
                <w:tab w:val="left" w:pos="284"/>
                <w:tab w:val="right" w:pos="2948"/>
              </w:tabs>
              <w:rPr>
                <w:rFonts w:cs="Arial"/>
                <w:i/>
                <w:iCs/>
                <w:sz w:val="14"/>
                <w:szCs w:val="14"/>
              </w:rPr>
            </w:pPr>
          </w:p>
        </w:tc>
        <w:tc>
          <w:tcPr>
            <w:tcW w:w="3042" w:type="dxa"/>
            <w:tcBorders>
              <w:top w:val="nil"/>
              <w:left w:val="nil"/>
              <w:bottom w:val="nil"/>
              <w:right w:val="nil"/>
            </w:tcBorders>
            <w:shd w:val="clear" w:color="auto" w:fill="auto"/>
          </w:tcPr>
          <w:p w:rsidR="00F93B76" w:rsidRPr="00A32AF4" w:rsidRDefault="00F70CA0" w:rsidP="00DC0553">
            <w:pPr>
              <w:tabs>
                <w:tab w:val="left" w:pos="284"/>
                <w:tab w:val="right" w:pos="2948"/>
              </w:tabs>
              <w:rPr>
                <w:rFonts w:cs="Arial"/>
                <w:i/>
                <w:iCs/>
                <w:sz w:val="14"/>
                <w:szCs w:val="14"/>
              </w:rPr>
            </w:pPr>
            <w:r w:rsidRPr="00A32AF4">
              <w:rPr>
                <w:rFonts w:cs="Arial"/>
                <w:i/>
                <w:iCs/>
                <w:sz w:val="14"/>
                <w:szCs w:val="14"/>
              </w:rPr>
              <w:t>Budget total proposé pour l</w:t>
            </w:r>
            <w:r w:rsidR="00E2055A" w:rsidRPr="00A32AF4">
              <w:rPr>
                <w:rFonts w:cs="Arial"/>
                <w:i/>
                <w:iCs/>
                <w:sz w:val="14"/>
                <w:szCs w:val="14"/>
              </w:rPr>
              <w:t>’</w:t>
            </w:r>
            <w:r w:rsidRPr="00A32AF4">
              <w:rPr>
                <w:rFonts w:cs="Arial"/>
                <w:i/>
                <w:iCs/>
                <w:sz w:val="14"/>
                <w:szCs w:val="14"/>
              </w:rPr>
              <w:t>OS II :</w:t>
            </w:r>
            <w:r w:rsidR="00A4309E" w:rsidRPr="00A32AF4">
              <w:rPr>
                <w:rFonts w:cs="Arial"/>
                <w:i/>
                <w:iCs/>
                <w:sz w:val="14"/>
                <w:szCs w:val="14"/>
              </w:rPr>
              <w:tab/>
              <w:t>29</w:t>
            </w:r>
            <w:r w:rsidR="00D52EFC" w:rsidRPr="00A32AF4">
              <w:rPr>
                <w:rFonts w:cs="Arial"/>
                <w:i/>
                <w:iCs/>
                <w:sz w:val="14"/>
                <w:szCs w:val="14"/>
              </w:rPr>
              <w:t>1 6</w:t>
            </w:r>
            <w:r w:rsidR="00A4309E" w:rsidRPr="00A32AF4">
              <w:rPr>
                <w:rFonts w:cs="Arial"/>
                <w:i/>
                <w:iCs/>
                <w:sz w:val="14"/>
                <w:szCs w:val="14"/>
              </w:rPr>
              <w:t>55</w:t>
            </w:r>
          </w:p>
          <w:p w:rsidR="00A4309E" w:rsidRPr="00A32AF4" w:rsidRDefault="00F70CA0">
            <w:pPr>
              <w:tabs>
                <w:tab w:val="left" w:pos="284"/>
                <w:tab w:val="right" w:pos="2948"/>
              </w:tabs>
            </w:pPr>
            <w:r w:rsidRPr="00A32AF4">
              <w:rPr>
                <w:rFonts w:cs="Arial"/>
                <w:i/>
                <w:iCs/>
                <w:color w:val="0000FF"/>
                <w:sz w:val="14"/>
                <w:szCs w:val="14"/>
              </w:rPr>
              <w:t>Part totale du budget de l</w:t>
            </w:r>
            <w:r w:rsidR="00E2055A" w:rsidRPr="00A32AF4">
              <w:rPr>
                <w:rFonts w:cs="Arial"/>
                <w:i/>
                <w:iCs/>
                <w:color w:val="0000FF"/>
                <w:sz w:val="14"/>
                <w:szCs w:val="14"/>
              </w:rPr>
              <w:t>’</w:t>
            </w:r>
            <w:r w:rsidRPr="00A32AF4">
              <w:rPr>
                <w:rFonts w:cs="Arial"/>
                <w:i/>
                <w:iCs/>
                <w:color w:val="0000FF"/>
                <w:sz w:val="14"/>
                <w:szCs w:val="14"/>
              </w:rPr>
              <w:t xml:space="preserve">OS II </w:t>
            </w:r>
            <w:r w:rsidRPr="00A32AF4">
              <w:rPr>
                <w:rFonts w:cs="Arial"/>
                <w:i/>
                <w:iCs/>
                <w:color w:val="0000FF"/>
                <w:sz w:val="14"/>
                <w:szCs w:val="14"/>
              </w:rPr>
              <w:br/>
              <w:t>consacrée au développement :</w:t>
            </w:r>
            <w:r w:rsidR="00A4309E" w:rsidRPr="00A32AF4">
              <w:rPr>
                <w:rFonts w:cs="Arial"/>
                <w:i/>
                <w:iCs/>
                <w:color w:val="0000FF"/>
                <w:sz w:val="14"/>
                <w:szCs w:val="14"/>
              </w:rPr>
              <w:tab/>
            </w:r>
            <w:r w:rsidR="00A977C7" w:rsidRPr="00A32AF4">
              <w:rPr>
                <w:rFonts w:cs="Arial"/>
                <w:i/>
                <w:iCs/>
                <w:color w:val="0000FF"/>
                <w:sz w:val="14"/>
                <w:szCs w:val="14"/>
              </w:rPr>
              <w:t>21 527</w:t>
            </w:r>
          </w:p>
        </w:tc>
        <w:tc>
          <w:tcPr>
            <w:tcW w:w="3041" w:type="dxa"/>
            <w:tcBorders>
              <w:top w:val="nil"/>
              <w:left w:val="nil"/>
              <w:bottom w:val="nil"/>
              <w:right w:val="nil"/>
            </w:tcBorders>
            <w:shd w:val="clear" w:color="auto" w:fill="auto"/>
          </w:tcPr>
          <w:p w:rsidR="00F93B76" w:rsidRPr="00A32AF4" w:rsidRDefault="00F70CA0" w:rsidP="00DC0553">
            <w:pPr>
              <w:tabs>
                <w:tab w:val="left" w:pos="284"/>
                <w:tab w:val="right" w:pos="2948"/>
              </w:tabs>
              <w:rPr>
                <w:rFonts w:cs="Arial"/>
                <w:i/>
                <w:iCs/>
                <w:sz w:val="14"/>
                <w:szCs w:val="14"/>
              </w:rPr>
            </w:pPr>
            <w:r w:rsidRPr="00A32AF4">
              <w:rPr>
                <w:rFonts w:cs="Arial"/>
                <w:i/>
                <w:iCs/>
                <w:sz w:val="14"/>
                <w:szCs w:val="14"/>
              </w:rPr>
              <w:t>Budget total proposé pour l</w:t>
            </w:r>
            <w:r w:rsidR="00E2055A" w:rsidRPr="00A32AF4">
              <w:rPr>
                <w:rFonts w:cs="Arial"/>
                <w:i/>
                <w:iCs/>
                <w:sz w:val="14"/>
                <w:szCs w:val="14"/>
              </w:rPr>
              <w:t>’</w:t>
            </w:r>
            <w:r w:rsidRPr="00A32AF4">
              <w:rPr>
                <w:rFonts w:cs="Arial"/>
                <w:i/>
                <w:iCs/>
                <w:sz w:val="14"/>
                <w:szCs w:val="14"/>
              </w:rPr>
              <w:t>OS III :</w:t>
            </w:r>
            <w:r w:rsidR="00A4309E" w:rsidRPr="00A32AF4">
              <w:rPr>
                <w:rFonts w:cs="Arial"/>
                <w:i/>
                <w:iCs/>
                <w:sz w:val="14"/>
                <w:szCs w:val="14"/>
              </w:rPr>
              <w:tab/>
              <w:t>6</w:t>
            </w:r>
            <w:r w:rsidR="00D52EFC" w:rsidRPr="00A32AF4">
              <w:rPr>
                <w:rFonts w:cs="Arial"/>
                <w:i/>
                <w:iCs/>
                <w:sz w:val="14"/>
                <w:szCs w:val="14"/>
              </w:rPr>
              <w:t>3 9</w:t>
            </w:r>
            <w:r w:rsidR="00A4309E" w:rsidRPr="00A32AF4">
              <w:rPr>
                <w:rFonts w:cs="Arial"/>
                <w:i/>
                <w:iCs/>
                <w:sz w:val="14"/>
                <w:szCs w:val="14"/>
              </w:rPr>
              <w:t>74</w:t>
            </w:r>
          </w:p>
          <w:p w:rsidR="00A4309E" w:rsidRPr="00A32AF4" w:rsidRDefault="00F70CA0" w:rsidP="00DC0553">
            <w:pPr>
              <w:tabs>
                <w:tab w:val="left" w:pos="284"/>
                <w:tab w:val="right" w:pos="2948"/>
              </w:tabs>
              <w:rPr>
                <w:rFonts w:cs="Arial"/>
                <w:i/>
                <w:iCs/>
                <w:color w:val="0000FF"/>
                <w:sz w:val="14"/>
                <w:szCs w:val="14"/>
              </w:rPr>
            </w:pPr>
            <w:r w:rsidRPr="00A32AF4">
              <w:rPr>
                <w:rFonts w:cs="Arial"/>
                <w:i/>
                <w:iCs/>
                <w:color w:val="0000FF"/>
                <w:sz w:val="14"/>
                <w:szCs w:val="14"/>
              </w:rPr>
              <w:t>Part totale du budget de l</w:t>
            </w:r>
            <w:r w:rsidR="00E2055A" w:rsidRPr="00A32AF4">
              <w:rPr>
                <w:rFonts w:cs="Arial"/>
                <w:i/>
                <w:iCs/>
                <w:color w:val="0000FF"/>
                <w:sz w:val="14"/>
                <w:szCs w:val="14"/>
              </w:rPr>
              <w:t>’</w:t>
            </w:r>
            <w:r w:rsidRPr="00A32AF4">
              <w:rPr>
                <w:rFonts w:cs="Arial"/>
                <w:i/>
                <w:iCs/>
                <w:color w:val="0000FF"/>
                <w:sz w:val="14"/>
                <w:szCs w:val="14"/>
              </w:rPr>
              <w:t xml:space="preserve">OS III </w:t>
            </w:r>
            <w:r w:rsidRPr="00A32AF4">
              <w:rPr>
                <w:rFonts w:cs="Arial"/>
                <w:i/>
                <w:iCs/>
                <w:color w:val="0000FF"/>
                <w:sz w:val="14"/>
                <w:szCs w:val="14"/>
              </w:rPr>
              <w:br/>
              <w:t>consacrée au développement :</w:t>
            </w:r>
            <w:r w:rsidR="00A4309E" w:rsidRPr="00A32AF4">
              <w:rPr>
                <w:rFonts w:cs="Arial"/>
                <w:i/>
                <w:iCs/>
                <w:color w:val="0000FF"/>
                <w:sz w:val="14"/>
                <w:szCs w:val="14"/>
              </w:rPr>
              <w:t xml:space="preserve"> </w:t>
            </w:r>
            <w:r w:rsidR="00A4309E" w:rsidRPr="00A32AF4">
              <w:rPr>
                <w:rFonts w:cs="Arial"/>
                <w:i/>
                <w:iCs/>
                <w:color w:val="0000FF"/>
                <w:sz w:val="14"/>
                <w:szCs w:val="14"/>
              </w:rPr>
              <w:tab/>
              <w:t>6</w:t>
            </w:r>
            <w:r w:rsidR="00D52EFC" w:rsidRPr="00A32AF4">
              <w:rPr>
                <w:rFonts w:cs="Arial"/>
                <w:i/>
                <w:iCs/>
                <w:color w:val="0000FF"/>
                <w:sz w:val="14"/>
                <w:szCs w:val="14"/>
              </w:rPr>
              <w:t>3 1</w:t>
            </w:r>
            <w:r w:rsidR="00A4309E" w:rsidRPr="00A32AF4">
              <w:rPr>
                <w:rFonts w:cs="Arial"/>
                <w:i/>
                <w:iCs/>
                <w:color w:val="0000FF"/>
                <w:sz w:val="14"/>
                <w:szCs w:val="14"/>
              </w:rPr>
              <w:t>42</w:t>
            </w:r>
          </w:p>
        </w:tc>
        <w:tc>
          <w:tcPr>
            <w:tcW w:w="3041" w:type="dxa"/>
            <w:tcBorders>
              <w:top w:val="nil"/>
              <w:left w:val="nil"/>
              <w:bottom w:val="nil"/>
              <w:right w:val="nil"/>
            </w:tcBorders>
            <w:shd w:val="clear" w:color="auto" w:fill="auto"/>
          </w:tcPr>
          <w:p w:rsidR="00F93B76" w:rsidRPr="00A32AF4" w:rsidRDefault="00F70CA0" w:rsidP="00DC0553">
            <w:pPr>
              <w:tabs>
                <w:tab w:val="left" w:pos="284"/>
                <w:tab w:val="right" w:pos="2948"/>
              </w:tabs>
              <w:rPr>
                <w:rFonts w:cs="Arial"/>
                <w:i/>
                <w:iCs/>
                <w:sz w:val="14"/>
                <w:szCs w:val="14"/>
              </w:rPr>
            </w:pPr>
            <w:r w:rsidRPr="00A32AF4">
              <w:rPr>
                <w:rFonts w:cs="Arial"/>
                <w:i/>
                <w:iCs/>
                <w:sz w:val="14"/>
                <w:szCs w:val="14"/>
              </w:rPr>
              <w:t>Budget total proposé pour l</w:t>
            </w:r>
            <w:r w:rsidR="00E2055A" w:rsidRPr="00A32AF4">
              <w:rPr>
                <w:rFonts w:cs="Arial"/>
                <w:i/>
                <w:iCs/>
                <w:sz w:val="14"/>
                <w:szCs w:val="14"/>
              </w:rPr>
              <w:t>’</w:t>
            </w:r>
            <w:r w:rsidRPr="00A32AF4">
              <w:rPr>
                <w:rFonts w:cs="Arial"/>
                <w:i/>
                <w:iCs/>
                <w:sz w:val="14"/>
                <w:szCs w:val="14"/>
              </w:rPr>
              <w:t>OS IV :</w:t>
            </w:r>
            <w:r w:rsidR="00A4309E" w:rsidRPr="00A32AF4">
              <w:rPr>
                <w:rFonts w:cs="Arial"/>
                <w:i/>
                <w:iCs/>
                <w:sz w:val="14"/>
                <w:szCs w:val="14"/>
              </w:rPr>
              <w:tab/>
              <w:t>4</w:t>
            </w:r>
            <w:r w:rsidR="00D52EFC" w:rsidRPr="00A32AF4">
              <w:rPr>
                <w:rFonts w:cs="Arial"/>
                <w:i/>
                <w:iCs/>
                <w:sz w:val="14"/>
                <w:szCs w:val="14"/>
              </w:rPr>
              <w:t>6 9</w:t>
            </w:r>
            <w:r w:rsidR="00A4309E" w:rsidRPr="00A32AF4">
              <w:rPr>
                <w:rFonts w:cs="Arial"/>
                <w:i/>
                <w:iCs/>
                <w:sz w:val="14"/>
                <w:szCs w:val="14"/>
              </w:rPr>
              <w:t>74</w:t>
            </w:r>
          </w:p>
          <w:p w:rsidR="00A4309E" w:rsidRPr="00A32AF4" w:rsidRDefault="00F70CA0" w:rsidP="00DC0553">
            <w:pPr>
              <w:tabs>
                <w:tab w:val="left" w:pos="284"/>
                <w:tab w:val="right" w:pos="2948"/>
              </w:tabs>
              <w:rPr>
                <w:rFonts w:cs="Arial"/>
                <w:i/>
                <w:iCs/>
                <w:color w:val="0000FF"/>
                <w:sz w:val="14"/>
                <w:szCs w:val="14"/>
              </w:rPr>
            </w:pPr>
            <w:r w:rsidRPr="00A32AF4">
              <w:rPr>
                <w:rFonts w:cs="Arial"/>
                <w:i/>
                <w:iCs/>
                <w:color w:val="0000FF"/>
                <w:sz w:val="14"/>
                <w:szCs w:val="14"/>
              </w:rPr>
              <w:t>Part totale du budget de l</w:t>
            </w:r>
            <w:r w:rsidR="00E2055A" w:rsidRPr="00A32AF4">
              <w:rPr>
                <w:rFonts w:cs="Arial"/>
                <w:i/>
                <w:iCs/>
                <w:color w:val="0000FF"/>
                <w:sz w:val="14"/>
                <w:szCs w:val="14"/>
              </w:rPr>
              <w:t>’</w:t>
            </w:r>
            <w:r w:rsidRPr="00A32AF4">
              <w:rPr>
                <w:rFonts w:cs="Arial"/>
                <w:i/>
                <w:iCs/>
                <w:color w:val="0000FF"/>
                <w:sz w:val="14"/>
                <w:szCs w:val="14"/>
              </w:rPr>
              <w:t xml:space="preserve">OS IV </w:t>
            </w:r>
            <w:r w:rsidRPr="00A32AF4">
              <w:rPr>
                <w:rFonts w:cs="Arial"/>
                <w:i/>
                <w:iCs/>
                <w:color w:val="0000FF"/>
                <w:sz w:val="14"/>
                <w:szCs w:val="14"/>
              </w:rPr>
              <w:br/>
              <w:t>consacrée au développement :</w:t>
            </w:r>
            <w:r w:rsidR="00A4309E" w:rsidRPr="00A32AF4">
              <w:rPr>
                <w:rFonts w:cs="Arial"/>
                <w:i/>
                <w:iCs/>
                <w:color w:val="0000FF"/>
                <w:sz w:val="14"/>
                <w:szCs w:val="14"/>
              </w:rPr>
              <w:tab/>
              <w:t>3</w:t>
            </w:r>
            <w:r w:rsidR="00D52EFC" w:rsidRPr="00A32AF4">
              <w:rPr>
                <w:rFonts w:cs="Arial"/>
                <w:i/>
                <w:iCs/>
                <w:color w:val="0000FF"/>
                <w:sz w:val="14"/>
                <w:szCs w:val="14"/>
              </w:rPr>
              <w:t>2 0</w:t>
            </w:r>
            <w:r w:rsidR="00A4309E" w:rsidRPr="00A32AF4">
              <w:rPr>
                <w:rFonts w:cs="Arial"/>
                <w:i/>
                <w:iCs/>
                <w:color w:val="0000FF"/>
                <w:sz w:val="14"/>
                <w:szCs w:val="14"/>
              </w:rPr>
              <w:t>03</w:t>
            </w:r>
          </w:p>
        </w:tc>
        <w:tc>
          <w:tcPr>
            <w:tcW w:w="3040" w:type="dxa"/>
            <w:tcBorders>
              <w:top w:val="nil"/>
              <w:left w:val="nil"/>
              <w:bottom w:val="nil"/>
              <w:right w:val="nil"/>
            </w:tcBorders>
            <w:shd w:val="clear" w:color="auto" w:fill="auto"/>
          </w:tcPr>
          <w:p w:rsidR="00F93B76" w:rsidRPr="00A32AF4" w:rsidRDefault="00F70CA0" w:rsidP="00DC0553">
            <w:pPr>
              <w:tabs>
                <w:tab w:val="left" w:pos="284"/>
                <w:tab w:val="right" w:pos="2948"/>
              </w:tabs>
              <w:rPr>
                <w:rFonts w:cs="Arial"/>
                <w:i/>
                <w:iCs/>
                <w:sz w:val="14"/>
                <w:szCs w:val="14"/>
              </w:rPr>
            </w:pPr>
            <w:r w:rsidRPr="00A32AF4">
              <w:rPr>
                <w:rFonts w:cs="Arial"/>
                <w:i/>
                <w:iCs/>
                <w:sz w:val="14"/>
                <w:szCs w:val="14"/>
              </w:rPr>
              <w:t>Budget total proposé pour l</w:t>
            </w:r>
            <w:r w:rsidR="00E2055A" w:rsidRPr="00A32AF4">
              <w:rPr>
                <w:rFonts w:cs="Arial"/>
                <w:i/>
                <w:iCs/>
                <w:sz w:val="14"/>
                <w:szCs w:val="14"/>
              </w:rPr>
              <w:t>’</w:t>
            </w:r>
            <w:r w:rsidRPr="00A32AF4">
              <w:rPr>
                <w:rFonts w:cs="Arial"/>
                <w:i/>
                <w:iCs/>
                <w:sz w:val="14"/>
                <w:szCs w:val="14"/>
              </w:rPr>
              <w:t>OS V :</w:t>
            </w:r>
            <w:r w:rsidR="00A4309E" w:rsidRPr="00A32AF4">
              <w:rPr>
                <w:rFonts w:cs="Arial"/>
                <w:i/>
                <w:iCs/>
                <w:sz w:val="14"/>
                <w:szCs w:val="14"/>
              </w:rPr>
              <w:tab/>
            </w:r>
            <w:r w:rsidR="00D52EFC" w:rsidRPr="00A32AF4">
              <w:rPr>
                <w:rFonts w:cs="Arial"/>
                <w:i/>
                <w:iCs/>
                <w:sz w:val="14"/>
                <w:szCs w:val="14"/>
              </w:rPr>
              <w:t>6 0</w:t>
            </w:r>
            <w:r w:rsidR="00A4309E" w:rsidRPr="00A32AF4">
              <w:rPr>
                <w:rFonts w:cs="Arial"/>
                <w:i/>
                <w:iCs/>
                <w:sz w:val="14"/>
                <w:szCs w:val="14"/>
              </w:rPr>
              <w:t>72</w:t>
            </w:r>
          </w:p>
          <w:p w:rsidR="00A4309E" w:rsidRPr="00A32AF4" w:rsidRDefault="00F70CA0" w:rsidP="00DC0553">
            <w:pPr>
              <w:tabs>
                <w:tab w:val="left" w:pos="284"/>
                <w:tab w:val="right" w:pos="2948"/>
              </w:tabs>
              <w:rPr>
                <w:rFonts w:cs="Arial"/>
                <w:i/>
                <w:iCs/>
                <w:color w:val="0000FF"/>
                <w:sz w:val="14"/>
                <w:szCs w:val="14"/>
              </w:rPr>
            </w:pPr>
            <w:r w:rsidRPr="00A32AF4">
              <w:rPr>
                <w:rFonts w:cs="Arial"/>
                <w:i/>
                <w:iCs/>
                <w:color w:val="0000FF"/>
                <w:sz w:val="14"/>
                <w:szCs w:val="14"/>
              </w:rPr>
              <w:t>Part totale du budget de l</w:t>
            </w:r>
            <w:r w:rsidR="00E2055A" w:rsidRPr="00A32AF4">
              <w:rPr>
                <w:rFonts w:cs="Arial"/>
                <w:i/>
                <w:iCs/>
                <w:color w:val="0000FF"/>
                <w:sz w:val="14"/>
                <w:szCs w:val="14"/>
              </w:rPr>
              <w:t>’</w:t>
            </w:r>
            <w:r w:rsidRPr="00A32AF4">
              <w:rPr>
                <w:rFonts w:cs="Arial"/>
                <w:i/>
                <w:iCs/>
                <w:color w:val="0000FF"/>
                <w:sz w:val="14"/>
                <w:szCs w:val="14"/>
              </w:rPr>
              <w:t xml:space="preserve">OS V </w:t>
            </w:r>
            <w:r w:rsidRPr="00A32AF4">
              <w:rPr>
                <w:rFonts w:cs="Arial"/>
                <w:i/>
                <w:iCs/>
                <w:color w:val="0000FF"/>
                <w:sz w:val="14"/>
                <w:szCs w:val="14"/>
              </w:rPr>
              <w:br/>
              <w:t>consacrée au développement :</w:t>
            </w:r>
            <w:r w:rsidR="00A4309E" w:rsidRPr="00A32AF4">
              <w:rPr>
                <w:rFonts w:cs="Arial"/>
                <w:i/>
                <w:iCs/>
                <w:color w:val="0000FF"/>
                <w:sz w:val="14"/>
                <w:szCs w:val="14"/>
              </w:rPr>
              <w:tab/>
            </w:r>
            <w:r w:rsidR="00D52EFC" w:rsidRPr="00A32AF4">
              <w:rPr>
                <w:rFonts w:cs="Arial"/>
                <w:i/>
                <w:iCs/>
                <w:color w:val="0000FF"/>
                <w:sz w:val="14"/>
                <w:szCs w:val="14"/>
              </w:rPr>
              <w:t>1 5</w:t>
            </w:r>
            <w:r w:rsidR="00A4309E" w:rsidRPr="00A32AF4">
              <w:rPr>
                <w:rFonts w:cs="Arial"/>
                <w:i/>
                <w:iCs/>
                <w:color w:val="0000FF"/>
                <w:sz w:val="14"/>
                <w:szCs w:val="14"/>
              </w:rPr>
              <w:t>25</w:t>
            </w:r>
          </w:p>
        </w:tc>
        <w:tc>
          <w:tcPr>
            <w:tcW w:w="3041" w:type="dxa"/>
            <w:tcBorders>
              <w:top w:val="nil"/>
              <w:left w:val="nil"/>
              <w:bottom w:val="nil"/>
              <w:right w:val="nil"/>
            </w:tcBorders>
            <w:shd w:val="clear" w:color="auto" w:fill="auto"/>
          </w:tcPr>
          <w:p w:rsidR="00F93B76" w:rsidRPr="00A32AF4" w:rsidRDefault="00F70CA0" w:rsidP="00DC0553">
            <w:pPr>
              <w:tabs>
                <w:tab w:val="left" w:pos="284"/>
                <w:tab w:val="right" w:pos="2948"/>
              </w:tabs>
              <w:rPr>
                <w:rFonts w:cs="Arial"/>
                <w:i/>
                <w:iCs/>
                <w:sz w:val="14"/>
                <w:szCs w:val="14"/>
              </w:rPr>
            </w:pPr>
            <w:r w:rsidRPr="00A32AF4">
              <w:rPr>
                <w:rFonts w:cs="Arial"/>
                <w:i/>
                <w:iCs/>
                <w:sz w:val="14"/>
                <w:szCs w:val="14"/>
              </w:rPr>
              <w:t>Budget total proposé pour l</w:t>
            </w:r>
            <w:r w:rsidR="00E2055A" w:rsidRPr="00A32AF4">
              <w:rPr>
                <w:rFonts w:cs="Arial"/>
                <w:i/>
                <w:iCs/>
                <w:sz w:val="14"/>
                <w:szCs w:val="14"/>
              </w:rPr>
              <w:t>’</w:t>
            </w:r>
            <w:r w:rsidRPr="00A32AF4">
              <w:rPr>
                <w:rFonts w:cs="Arial"/>
                <w:i/>
                <w:iCs/>
                <w:sz w:val="14"/>
                <w:szCs w:val="14"/>
              </w:rPr>
              <w:t>OS VI :</w:t>
            </w:r>
            <w:r w:rsidR="00A4309E" w:rsidRPr="00A32AF4">
              <w:rPr>
                <w:rFonts w:cs="Arial"/>
                <w:i/>
                <w:iCs/>
                <w:sz w:val="14"/>
                <w:szCs w:val="14"/>
              </w:rPr>
              <w:tab/>
            </w:r>
            <w:r w:rsidR="00D52EFC" w:rsidRPr="00A32AF4">
              <w:rPr>
                <w:rFonts w:cs="Arial"/>
                <w:i/>
                <w:iCs/>
                <w:sz w:val="14"/>
                <w:szCs w:val="14"/>
              </w:rPr>
              <w:t>2 0</w:t>
            </w:r>
            <w:r w:rsidR="00A4309E" w:rsidRPr="00A32AF4">
              <w:rPr>
                <w:rFonts w:cs="Arial"/>
                <w:i/>
                <w:iCs/>
                <w:sz w:val="14"/>
                <w:szCs w:val="14"/>
              </w:rPr>
              <w:t>64</w:t>
            </w:r>
          </w:p>
          <w:p w:rsidR="00A4309E" w:rsidRPr="00A32AF4" w:rsidRDefault="00F70CA0" w:rsidP="00DC0553">
            <w:pPr>
              <w:tabs>
                <w:tab w:val="left" w:pos="284"/>
                <w:tab w:val="right" w:pos="2948"/>
              </w:tabs>
              <w:rPr>
                <w:rFonts w:cs="Arial"/>
                <w:i/>
                <w:iCs/>
                <w:color w:val="0000FF"/>
                <w:sz w:val="14"/>
                <w:szCs w:val="14"/>
              </w:rPr>
            </w:pPr>
            <w:r w:rsidRPr="00A32AF4">
              <w:rPr>
                <w:rFonts w:cs="Arial"/>
                <w:i/>
                <w:iCs/>
                <w:color w:val="0000FF"/>
                <w:sz w:val="14"/>
                <w:szCs w:val="14"/>
              </w:rPr>
              <w:t>Part totale du budget de l</w:t>
            </w:r>
            <w:r w:rsidR="00E2055A" w:rsidRPr="00A32AF4">
              <w:rPr>
                <w:rFonts w:cs="Arial"/>
                <w:i/>
                <w:iCs/>
                <w:color w:val="0000FF"/>
                <w:sz w:val="14"/>
                <w:szCs w:val="14"/>
              </w:rPr>
              <w:t>’</w:t>
            </w:r>
            <w:r w:rsidRPr="00A32AF4">
              <w:rPr>
                <w:rFonts w:cs="Arial"/>
                <w:i/>
                <w:iCs/>
                <w:color w:val="0000FF"/>
                <w:sz w:val="14"/>
                <w:szCs w:val="14"/>
              </w:rPr>
              <w:t xml:space="preserve">OS VI </w:t>
            </w:r>
            <w:r w:rsidRPr="00A32AF4">
              <w:rPr>
                <w:rFonts w:cs="Arial"/>
                <w:i/>
                <w:iCs/>
                <w:color w:val="0000FF"/>
                <w:sz w:val="14"/>
                <w:szCs w:val="14"/>
              </w:rPr>
              <w:br/>
              <w:t>consacrée au développement :</w:t>
            </w:r>
            <w:r w:rsidR="00A4309E" w:rsidRPr="00A32AF4">
              <w:rPr>
                <w:rFonts w:cs="Arial"/>
                <w:i/>
                <w:iCs/>
                <w:color w:val="0000FF"/>
                <w:sz w:val="14"/>
                <w:szCs w:val="14"/>
              </w:rPr>
              <w:tab/>
            </w:r>
            <w:r w:rsidR="00D52EFC" w:rsidRPr="00A32AF4">
              <w:rPr>
                <w:rFonts w:cs="Arial"/>
                <w:i/>
                <w:iCs/>
                <w:color w:val="0000FF"/>
                <w:sz w:val="14"/>
                <w:szCs w:val="14"/>
              </w:rPr>
              <w:t>1 4</w:t>
            </w:r>
            <w:r w:rsidR="00A4309E" w:rsidRPr="00A32AF4">
              <w:rPr>
                <w:rFonts w:cs="Arial"/>
                <w:i/>
                <w:iCs/>
                <w:color w:val="0000FF"/>
                <w:sz w:val="14"/>
                <w:szCs w:val="14"/>
              </w:rPr>
              <w:t>88</w:t>
            </w:r>
          </w:p>
        </w:tc>
        <w:tc>
          <w:tcPr>
            <w:tcW w:w="3044" w:type="dxa"/>
            <w:tcBorders>
              <w:top w:val="nil"/>
              <w:left w:val="nil"/>
              <w:bottom w:val="nil"/>
              <w:right w:val="single" w:sz="4" w:space="0" w:color="auto"/>
            </w:tcBorders>
            <w:shd w:val="clear" w:color="auto" w:fill="auto"/>
          </w:tcPr>
          <w:p w:rsidR="00F93B76" w:rsidRPr="00A32AF4" w:rsidRDefault="00F70CA0" w:rsidP="00DC0553">
            <w:pPr>
              <w:tabs>
                <w:tab w:val="left" w:pos="284"/>
                <w:tab w:val="right" w:pos="2948"/>
              </w:tabs>
              <w:rPr>
                <w:rFonts w:cs="Arial"/>
                <w:i/>
                <w:iCs/>
                <w:sz w:val="14"/>
                <w:szCs w:val="14"/>
              </w:rPr>
            </w:pPr>
            <w:r w:rsidRPr="00A32AF4">
              <w:rPr>
                <w:rFonts w:cs="Arial"/>
                <w:i/>
                <w:iCs/>
                <w:sz w:val="14"/>
                <w:szCs w:val="14"/>
              </w:rPr>
              <w:t>Budget total proposé pour l</w:t>
            </w:r>
            <w:r w:rsidR="00E2055A" w:rsidRPr="00A32AF4">
              <w:rPr>
                <w:rFonts w:cs="Arial"/>
                <w:i/>
                <w:iCs/>
                <w:sz w:val="14"/>
                <w:szCs w:val="14"/>
              </w:rPr>
              <w:t>’</w:t>
            </w:r>
            <w:r w:rsidRPr="00A32AF4">
              <w:rPr>
                <w:rFonts w:cs="Arial"/>
                <w:i/>
                <w:iCs/>
                <w:sz w:val="14"/>
                <w:szCs w:val="14"/>
              </w:rPr>
              <w:t>OS VII :</w:t>
            </w:r>
            <w:r w:rsidR="00A4309E" w:rsidRPr="00A32AF4">
              <w:rPr>
                <w:rFonts w:cs="Arial"/>
                <w:i/>
                <w:iCs/>
                <w:sz w:val="14"/>
                <w:szCs w:val="14"/>
              </w:rPr>
              <w:tab/>
            </w:r>
            <w:r w:rsidR="00D52EFC" w:rsidRPr="00A32AF4">
              <w:rPr>
                <w:rFonts w:cs="Arial"/>
                <w:i/>
                <w:iCs/>
                <w:sz w:val="14"/>
                <w:szCs w:val="14"/>
              </w:rPr>
              <w:t>3 9</w:t>
            </w:r>
            <w:r w:rsidR="00A4309E" w:rsidRPr="00A32AF4">
              <w:rPr>
                <w:rFonts w:cs="Arial"/>
                <w:i/>
                <w:iCs/>
                <w:sz w:val="14"/>
                <w:szCs w:val="14"/>
              </w:rPr>
              <w:t>50</w:t>
            </w:r>
          </w:p>
          <w:p w:rsidR="00A4309E" w:rsidRPr="00A32AF4" w:rsidRDefault="00F70CA0" w:rsidP="00DC0553">
            <w:pPr>
              <w:tabs>
                <w:tab w:val="left" w:pos="284"/>
                <w:tab w:val="right" w:pos="2948"/>
              </w:tabs>
              <w:rPr>
                <w:rFonts w:cs="Arial"/>
                <w:i/>
                <w:iCs/>
                <w:color w:val="0000FF"/>
                <w:sz w:val="14"/>
                <w:szCs w:val="14"/>
              </w:rPr>
            </w:pPr>
            <w:r w:rsidRPr="00A32AF4">
              <w:rPr>
                <w:rFonts w:cs="Arial"/>
                <w:i/>
                <w:iCs/>
                <w:color w:val="0000FF"/>
                <w:sz w:val="14"/>
                <w:szCs w:val="14"/>
              </w:rPr>
              <w:t>Part totale du budget de l</w:t>
            </w:r>
            <w:r w:rsidR="00E2055A" w:rsidRPr="00A32AF4">
              <w:rPr>
                <w:rFonts w:cs="Arial"/>
                <w:i/>
                <w:iCs/>
                <w:color w:val="0000FF"/>
                <w:sz w:val="14"/>
                <w:szCs w:val="14"/>
              </w:rPr>
              <w:t>’</w:t>
            </w:r>
            <w:r w:rsidRPr="00A32AF4">
              <w:rPr>
                <w:rFonts w:cs="Arial"/>
                <w:i/>
                <w:iCs/>
                <w:color w:val="0000FF"/>
                <w:sz w:val="14"/>
                <w:szCs w:val="14"/>
              </w:rPr>
              <w:t xml:space="preserve">OS VII </w:t>
            </w:r>
            <w:r w:rsidRPr="00A32AF4">
              <w:rPr>
                <w:rFonts w:cs="Arial"/>
                <w:i/>
                <w:iCs/>
                <w:color w:val="0000FF"/>
                <w:sz w:val="14"/>
                <w:szCs w:val="14"/>
              </w:rPr>
              <w:br/>
              <w:t>consacrée au développement :</w:t>
            </w:r>
            <w:r w:rsidR="00A4309E" w:rsidRPr="00A32AF4">
              <w:rPr>
                <w:rFonts w:cs="Arial"/>
                <w:i/>
                <w:iCs/>
                <w:color w:val="0000FF"/>
                <w:sz w:val="14"/>
                <w:szCs w:val="14"/>
              </w:rPr>
              <w:tab/>
            </w:r>
            <w:r w:rsidR="00D52EFC" w:rsidRPr="00A32AF4">
              <w:rPr>
                <w:rFonts w:cs="Arial"/>
                <w:i/>
                <w:iCs/>
                <w:color w:val="0000FF"/>
                <w:sz w:val="14"/>
                <w:szCs w:val="14"/>
              </w:rPr>
              <w:t>3 0</w:t>
            </w:r>
            <w:r w:rsidR="00A4309E" w:rsidRPr="00A32AF4">
              <w:rPr>
                <w:rFonts w:cs="Arial"/>
                <w:i/>
                <w:iCs/>
                <w:color w:val="0000FF"/>
                <w:sz w:val="14"/>
                <w:szCs w:val="14"/>
              </w:rPr>
              <w:t>16</w:t>
            </w:r>
          </w:p>
        </w:tc>
      </w:tr>
      <w:tr w:rsidR="00A4309E" w:rsidRPr="00A32AF4" w:rsidTr="00E977A3">
        <w:trPr>
          <w:cantSplit/>
          <w:trHeight w:val="294"/>
        </w:trPr>
        <w:tc>
          <w:tcPr>
            <w:tcW w:w="389" w:type="dxa"/>
            <w:vMerge/>
            <w:tcBorders>
              <w:top w:val="single" w:sz="8" w:space="0" w:color="auto"/>
              <w:left w:val="single" w:sz="8" w:space="0" w:color="auto"/>
              <w:bottom w:val="single" w:sz="4" w:space="0" w:color="000000"/>
              <w:right w:val="nil"/>
            </w:tcBorders>
            <w:vAlign w:val="center"/>
          </w:tcPr>
          <w:p w:rsidR="00A4309E" w:rsidRPr="00A32AF4" w:rsidRDefault="00A4309E" w:rsidP="00DC0553">
            <w:pPr>
              <w:tabs>
                <w:tab w:val="right" w:pos="2835"/>
              </w:tabs>
              <w:rPr>
                <w:rFonts w:cs="Arial"/>
                <w:b/>
                <w:bCs/>
                <w:sz w:val="16"/>
                <w:szCs w:val="16"/>
              </w:rPr>
            </w:pPr>
          </w:p>
        </w:tc>
        <w:tc>
          <w:tcPr>
            <w:tcW w:w="21290" w:type="dxa"/>
            <w:gridSpan w:val="7"/>
            <w:tcBorders>
              <w:top w:val="single" w:sz="4" w:space="0" w:color="auto"/>
              <w:left w:val="single" w:sz="4" w:space="0" w:color="auto"/>
              <w:bottom w:val="single" w:sz="4" w:space="0" w:color="auto"/>
              <w:right w:val="single" w:sz="4" w:space="0" w:color="000000"/>
            </w:tcBorders>
            <w:shd w:val="clear" w:color="auto" w:fill="CCFFFF"/>
            <w:vAlign w:val="center"/>
          </w:tcPr>
          <w:p w:rsidR="00A4309E" w:rsidRPr="00A32AF4" w:rsidRDefault="00F70CA0" w:rsidP="00E977A3">
            <w:pPr>
              <w:tabs>
                <w:tab w:val="right" w:pos="2835"/>
              </w:tabs>
              <w:jc w:val="center"/>
              <w:rPr>
                <w:rFonts w:cs="Arial"/>
                <w:b/>
                <w:bCs/>
                <w:sz w:val="16"/>
                <w:szCs w:val="16"/>
              </w:rPr>
            </w:pPr>
            <w:r w:rsidRPr="00A32AF4">
              <w:rPr>
                <w:rFonts w:cs="Arial"/>
                <w:b/>
                <w:bCs/>
                <w:sz w:val="16"/>
                <w:szCs w:val="16"/>
              </w:rPr>
              <w:t>Objectif stratégique IX : Structure d</w:t>
            </w:r>
            <w:r w:rsidR="00E2055A" w:rsidRPr="00A32AF4">
              <w:rPr>
                <w:rFonts w:cs="Arial"/>
                <w:b/>
                <w:bCs/>
                <w:sz w:val="16"/>
                <w:szCs w:val="16"/>
              </w:rPr>
              <w:t>’</w:t>
            </w:r>
            <w:r w:rsidRPr="00A32AF4">
              <w:rPr>
                <w:rFonts w:cs="Arial"/>
                <w:b/>
                <w:bCs/>
                <w:sz w:val="16"/>
                <w:szCs w:val="16"/>
              </w:rPr>
              <w:t>appui administratif et financier efficace afin de permettre à l</w:t>
            </w:r>
            <w:r w:rsidR="00E2055A" w:rsidRPr="00A32AF4">
              <w:rPr>
                <w:rFonts w:cs="Arial"/>
                <w:b/>
                <w:bCs/>
                <w:sz w:val="16"/>
                <w:szCs w:val="16"/>
              </w:rPr>
              <w:t>’</w:t>
            </w:r>
            <w:r w:rsidRPr="00A32AF4">
              <w:rPr>
                <w:rFonts w:cs="Arial"/>
                <w:b/>
                <w:bCs/>
                <w:sz w:val="16"/>
                <w:szCs w:val="16"/>
              </w:rPr>
              <w:t>OMPI d</w:t>
            </w:r>
            <w:r w:rsidR="00E2055A" w:rsidRPr="00A32AF4">
              <w:rPr>
                <w:rFonts w:cs="Arial"/>
                <w:b/>
                <w:bCs/>
                <w:sz w:val="16"/>
                <w:szCs w:val="16"/>
              </w:rPr>
              <w:t>’</w:t>
            </w:r>
            <w:r w:rsidRPr="00A32AF4">
              <w:rPr>
                <w:rFonts w:cs="Arial"/>
                <w:b/>
                <w:bCs/>
                <w:sz w:val="16"/>
                <w:szCs w:val="16"/>
              </w:rPr>
              <w:t>exécuter ses programmes</w:t>
            </w:r>
          </w:p>
        </w:tc>
      </w:tr>
      <w:tr w:rsidR="00A4309E" w:rsidRPr="00A32AF4" w:rsidTr="00E977A3">
        <w:trPr>
          <w:cantSplit/>
        </w:trPr>
        <w:tc>
          <w:tcPr>
            <w:tcW w:w="389" w:type="dxa"/>
            <w:vMerge/>
            <w:tcBorders>
              <w:top w:val="single" w:sz="8" w:space="0" w:color="auto"/>
              <w:left w:val="single" w:sz="8" w:space="0" w:color="auto"/>
              <w:bottom w:val="single" w:sz="4" w:space="0" w:color="000000"/>
              <w:right w:val="nil"/>
            </w:tcBorders>
            <w:vAlign w:val="center"/>
          </w:tcPr>
          <w:p w:rsidR="00A4309E" w:rsidRPr="00A32AF4" w:rsidRDefault="00A4309E" w:rsidP="00DC0553">
            <w:pPr>
              <w:tabs>
                <w:tab w:val="right" w:pos="2835"/>
              </w:tabs>
              <w:rPr>
                <w:rFonts w:cs="Arial"/>
                <w:b/>
                <w:bCs/>
                <w:sz w:val="16"/>
                <w:szCs w:val="16"/>
              </w:rPr>
            </w:pPr>
          </w:p>
        </w:tc>
        <w:tc>
          <w:tcPr>
            <w:tcW w:w="3041" w:type="dxa"/>
            <w:tcBorders>
              <w:top w:val="nil"/>
              <w:left w:val="single" w:sz="4" w:space="0" w:color="auto"/>
              <w:bottom w:val="single" w:sz="4" w:space="0" w:color="auto"/>
              <w:right w:val="nil"/>
            </w:tcBorders>
            <w:shd w:val="clear" w:color="auto" w:fill="auto"/>
          </w:tcPr>
          <w:p w:rsidR="00A4309E" w:rsidRPr="00A32AF4" w:rsidRDefault="00A4309E" w:rsidP="00E977A3">
            <w:pPr>
              <w:tabs>
                <w:tab w:val="left" w:pos="284"/>
                <w:tab w:val="right" w:pos="2948"/>
              </w:tabs>
              <w:rPr>
                <w:rFonts w:cs="Arial"/>
                <w:color w:val="0000FF"/>
                <w:sz w:val="15"/>
                <w:szCs w:val="15"/>
              </w:rPr>
            </w:pPr>
          </w:p>
        </w:tc>
        <w:tc>
          <w:tcPr>
            <w:tcW w:w="3042" w:type="dxa"/>
            <w:tcBorders>
              <w:top w:val="nil"/>
              <w:left w:val="nil"/>
              <w:bottom w:val="single" w:sz="4" w:space="0" w:color="auto"/>
              <w:right w:val="nil"/>
            </w:tcBorders>
            <w:shd w:val="clear" w:color="auto" w:fill="auto"/>
          </w:tcPr>
          <w:p w:rsidR="00F93B76" w:rsidRPr="00A32AF4" w:rsidRDefault="001C3CA9" w:rsidP="00E977A3">
            <w:pPr>
              <w:tabs>
                <w:tab w:val="left" w:pos="284"/>
                <w:tab w:val="right" w:pos="2948"/>
              </w:tabs>
              <w:spacing w:after="60"/>
              <w:rPr>
                <w:rFonts w:cs="Arial"/>
                <w:sz w:val="14"/>
                <w:szCs w:val="14"/>
              </w:rPr>
            </w:pPr>
            <w:r w:rsidRPr="00A32AF4">
              <w:rPr>
                <w:rFonts w:cs="Arial"/>
                <w:sz w:val="14"/>
                <w:szCs w:val="14"/>
              </w:rPr>
              <w:t>IX.1</w:t>
            </w:r>
            <w:r w:rsidRPr="00A32AF4">
              <w:rPr>
                <w:rFonts w:cs="Arial"/>
                <w:color w:val="000000"/>
                <w:sz w:val="14"/>
                <w:szCs w:val="14"/>
              </w:rPr>
              <w:t xml:space="preserve">. </w:t>
            </w:r>
            <w:r w:rsidRPr="00A32AF4">
              <w:rPr>
                <w:rFonts w:cs="Arial"/>
                <w:sz w:val="14"/>
                <w:szCs w:val="14"/>
              </w:rPr>
              <w:t>Services d</w:t>
            </w:r>
            <w:r w:rsidR="00E2055A" w:rsidRPr="00A32AF4">
              <w:rPr>
                <w:rFonts w:cs="Arial"/>
                <w:sz w:val="14"/>
                <w:szCs w:val="14"/>
              </w:rPr>
              <w:t>’</w:t>
            </w:r>
            <w:r w:rsidRPr="00A32AF4">
              <w:rPr>
                <w:rFonts w:cs="Arial"/>
                <w:sz w:val="14"/>
                <w:szCs w:val="14"/>
              </w:rPr>
              <w:t>appui efficaces, efficients, de qualité et tournés vers la clientèle, à l</w:t>
            </w:r>
            <w:r w:rsidR="00E2055A" w:rsidRPr="00A32AF4">
              <w:rPr>
                <w:rFonts w:cs="Arial"/>
                <w:sz w:val="14"/>
                <w:szCs w:val="14"/>
              </w:rPr>
              <w:t>’</w:t>
            </w:r>
            <w:r w:rsidRPr="00A32AF4">
              <w:rPr>
                <w:rFonts w:cs="Arial"/>
                <w:sz w:val="14"/>
                <w:szCs w:val="14"/>
              </w:rPr>
              <w:t>intention à la fois des clients internes et des parties prenantes externes</w:t>
            </w:r>
            <w:r w:rsidR="007F5B79" w:rsidRPr="00A32AF4">
              <w:rPr>
                <w:rFonts w:cs="Arial"/>
                <w:sz w:val="14"/>
                <w:szCs w:val="14"/>
              </w:rPr>
              <w:br/>
            </w:r>
          </w:p>
          <w:p w:rsidR="00F93B76" w:rsidRPr="00A32AF4" w:rsidRDefault="00F93B76" w:rsidP="00E977A3">
            <w:pPr>
              <w:tabs>
                <w:tab w:val="left" w:pos="284"/>
                <w:tab w:val="right" w:pos="2948"/>
              </w:tabs>
              <w:rPr>
                <w:rFonts w:cs="Arial"/>
                <w:i/>
                <w:iCs/>
                <w:sz w:val="14"/>
                <w:szCs w:val="14"/>
              </w:rPr>
            </w:pPr>
          </w:p>
          <w:p w:rsidR="00F93B76" w:rsidRPr="00A32AF4" w:rsidRDefault="00A4309E" w:rsidP="00E977A3">
            <w:pPr>
              <w:tabs>
                <w:tab w:val="left" w:pos="284"/>
                <w:tab w:val="right" w:pos="2948"/>
              </w:tabs>
              <w:rPr>
                <w:rFonts w:cs="Arial"/>
                <w:i/>
                <w:iCs/>
                <w:sz w:val="14"/>
                <w:szCs w:val="14"/>
              </w:rPr>
            </w:pPr>
            <w:r w:rsidRPr="00A32AF4">
              <w:rPr>
                <w:rFonts w:cs="Arial"/>
                <w:i/>
                <w:iCs/>
                <w:sz w:val="14"/>
                <w:szCs w:val="14"/>
              </w:rPr>
              <w:tab/>
            </w:r>
            <w:r w:rsidR="00D52EFC" w:rsidRPr="00A32AF4">
              <w:rPr>
                <w:rFonts w:cs="Arial"/>
                <w:i/>
                <w:iCs/>
                <w:sz w:val="14"/>
                <w:szCs w:val="14"/>
              </w:rPr>
              <w:t>Budget proposé pour 2016</w:t>
            </w:r>
            <w:r w:rsidR="00EB7F54" w:rsidRPr="00A32AF4">
              <w:rPr>
                <w:rFonts w:cs="Arial"/>
                <w:i/>
                <w:iCs/>
                <w:sz w:val="14"/>
                <w:szCs w:val="14"/>
              </w:rPr>
              <w:noBreakHyphen/>
            </w:r>
            <w:r w:rsidR="00D52EFC" w:rsidRPr="00A32AF4">
              <w:rPr>
                <w:rFonts w:cs="Arial"/>
                <w:i/>
                <w:iCs/>
                <w:sz w:val="14"/>
                <w:szCs w:val="14"/>
              </w:rPr>
              <w:t>2017 :</w:t>
            </w:r>
            <w:r w:rsidRPr="00A32AF4">
              <w:rPr>
                <w:rFonts w:cs="Arial"/>
                <w:i/>
                <w:iCs/>
                <w:sz w:val="14"/>
                <w:szCs w:val="14"/>
              </w:rPr>
              <w:tab/>
              <w:t>16</w:t>
            </w:r>
            <w:r w:rsidR="00D52EFC" w:rsidRPr="00A32AF4">
              <w:rPr>
                <w:rFonts w:cs="Arial"/>
                <w:i/>
                <w:iCs/>
                <w:sz w:val="14"/>
                <w:szCs w:val="14"/>
              </w:rPr>
              <w:t>5 3</w:t>
            </w:r>
            <w:r w:rsidRPr="00A32AF4">
              <w:rPr>
                <w:rFonts w:cs="Arial"/>
                <w:i/>
                <w:iCs/>
                <w:sz w:val="14"/>
                <w:szCs w:val="14"/>
              </w:rPr>
              <w:t>56</w:t>
            </w:r>
          </w:p>
          <w:p w:rsidR="00A4309E" w:rsidRPr="00A32AF4" w:rsidRDefault="00A4309E" w:rsidP="00E977A3">
            <w:pPr>
              <w:tabs>
                <w:tab w:val="left" w:pos="284"/>
                <w:tab w:val="right" w:pos="2948"/>
              </w:tabs>
              <w:rPr>
                <w:rFonts w:cs="Arial"/>
                <w:color w:val="0000FF"/>
                <w:sz w:val="14"/>
                <w:szCs w:val="14"/>
              </w:rPr>
            </w:pPr>
            <w:r w:rsidRPr="00A32AF4">
              <w:rPr>
                <w:rFonts w:cs="Arial"/>
                <w:i/>
                <w:iCs/>
                <w:color w:val="0000FF"/>
                <w:sz w:val="14"/>
                <w:szCs w:val="14"/>
              </w:rPr>
              <w:tab/>
            </w:r>
            <w:r w:rsidR="00D52EFC" w:rsidRPr="00A32AF4">
              <w:rPr>
                <w:rFonts w:cs="Arial"/>
                <w:i/>
                <w:iCs/>
                <w:color w:val="0000FF"/>
                <w:sz w:val="14"/>
                <w:szCs w:val="14"/>
              </w:rPr>
              <w:t>Part consacrée au développement :</w:t>
            </w:r>
            <w:r w:rsidR="00E91336" w:rsidRPr="00A32AF4">
              <w:rPr>
                <w:rFonts w:cs="Arial"/>
                <w:i/>
                <w:iCs/>
                <w:color w:val="0000FF"/>
                <w:sz w:val="14"/>
                <w:szCs w:val="14"/>
              </w:rPr>
              <w:tab/>
              <w:t>–</w:t>
            </w:r>
          </w:p>
        </w:tc>
        <w:tc>
          <w:tcPr>
            <w:tcW w:w="3041" w:type="dxa"/>
            <w:tcBorders>
              <w:top w:val="nil"/>
              <w:left w:val="nil"/>
              <w:bottom w:val="single" w:sz="4" w:space="0" w:color="auto"/>
              <w:right w:val="nil"/>
            </w:tcBorders>
            <w:shd w:val="clear" w:color="auto" w:fill="auto"/>
          </w:tcPr>
          <w:p w:rsidR="00F93B76" w:rsidRPr="00A32AF4" w:rsidRDefault="001C3CA9" w:rsidP="00E977A3">
            <w:pPr>
              <w:tabs>
                <w:tab w:val="left" w:pos="284"/>
                <w:tab w:val="right" w:pos="2948"/>
              </w:tabs>
              <w:spacing w:after="60"/>
              <w:rPr>
                <w:rFonts w:cs="Arial"/>
                <w:sz w:val="14"/>
                <w:szCs w:val="14"/>
              </w:rPr>
            </w:pPr>
            <w:r w:rsidRPr="00A32AF4">
              <w:rPr>
                <w:rFonts w:cs="Arial"/>
                <w:sz w:val="14"/>
                <w:szCs w:val="14"/>
              </w:rPr>
              <w:t>IX.2</w:t>
            </w:r>
            <w:r w:rsidRPr="00A32AF4">
              <w:rPr>
                <w:rFonts w:cs="Arial"/>
                <w:color w:val="000000"/>
                <w:sz w:val="14"/>
                <w:szCs w:val="14"/>
              </w:rPr>
              <w:t xml:space="preserve">. </w:t>
            </w:r>
            <w:r w:rsidRPr="00A32AF4">
              <w:rPr>
                <w:rFonts w:cs="Arial"/>
                <w:sz w:val="14"/>
                <w:szCs w:val="14"/>
              </w:rPr>
              <w:t>Un Secrétariat réactif, fonctionnant harmonieusement et doté de ressources humaines bien gérées et compétentes, à même d</w:t>
            </w:r>
            <w:r w:rsidR="00E2055A" w:rsidRPr="00A32AF4">
              <w:rPr>
                <w:rFonts w:cs="Arial"/>
                <w:sz w:val="14"/>
                <w:szCs w:val="14"/>
              </w:rPr>
              <w:t>’</w:t>
            </w:r>
            <w:r w:rsidRPr="00A32AF4">
              <w:rPr>
                <w:rFonts w:cs="Arial"/>
                <w:sz w:val="14"/>
                <w:szCs w:val="14"/>
              </w:rPr>
              <w:t>obtenir des résultats concrets</w:t>
            </w:r>
            <w:r w:rsidR="007F5B79" w:rsidRPr="00A32AF4">
              <w:rPr>
                <w:rFonts w:cs="Arial"/>
                <w:sz w:val="14"/>
                <w:szCs w:val="14"/>
              </w:rPr>
              <w:br/>
            </w:r>
          </w:p>
          <w:p w:rsidR="00F93B76" w:rsidRPr="00A32AF4" w:rsidRDefault="00F93B76" w:rsidP="00E977A3">
            <w:pPr>
              <w:tabs>
                <w:tab w:val="left" w:pos="284"/>
                <w:tab w:val="right" w:pos="2948"/>
              </w:tabs>
              <w:rPr>
                <w:rFonts w:cs="Arial"/>
                <w:i/>
                <w:iCs/>
                <w:sz w:val="14"/>
                <w:szCs w:val="14"/>
              </w:rPr>
            </w:pPr>
          </w:p>
          <w:p w:rsidR="00F93B76" w:rsidRPr="00A32AF4" w:rsidRDefault="00A4309E" w:rsidP="00E977A3">
            <w:pPr>
              <w:tabs>
                <w:tab w:val="left" w:pos="284"/>
                <w:tab w:val="right" w:pos="2948"/>
              </w:tabs>
              <w:rPr>
                <w:rFonts w:cs="Arial"/>
                <w:i/>
                <w:iCs/>
                <w:sz w:val="14"/>
                <w:szCs w:val="14"/>
              </w:rPr>
            </w:pPr>
            <w:r w:rsidRPr="00A32AF4">
              <w:rPr>
                <w:rFonts w:cs="Arial"/>
                <w:i/>
                <w:iCs/>
                <w:sz w:val="14"/>
                <w:szCs w:val="14"/>
              </w:rPr>
              <w:tab/>
            </w:r>
            <w:r w:rsidR="00D52EFC" w:rsidRPr="00A32AF4">
              <w:rPr>
                <w:rFonts w:cs="Arial"/>
                <w:i/>
                <w:iCs/>
                <w:sz w:val="14"/>
                <w:szCs w:val="14"/>
              </w:rPr>
              <w:t>Budget proposé pour 2016</w:t>
            </w:r>
            <w:r w:rsidR="00EB7F54" w:rsidRPr="00A32AF4">
              <w:rPr>
                <w:rFonts w:cs="Arial"/>
                <w:i/>
                <w:iCs/>
                <w:sz w:val="14"/>
                <w:szCs w:val="14"/>
              </w:rPr>
              <w:noBreakHyphen/>
            </w:r>
            <w:r w:rsidR="00D52EFC" w:rsidRPr="00A32AF4">
              <w:rPr>
                <w:rFonts w:cs="Arial"/>
                <w:i/>
                <w:iCs/>
                <w:sz w:val="14"/>
                <w:szCs w:val="14"/>
              </w:rPr>
              <w:t>2017 :</w:t>
            </w:r>
            <w:r w:rsidRPr="00A32AF4">
              <w:rPr>
                <w:rFonts w:cs="Arial"/>
                <w:i/>
                <w:iCs/>
                <w:sz w:val="14"/>
                <w:szCs w:val="14"/>
              </w:rPr>
              <w:tab/>
              <w:t>3</w:t>
            </w:r>
            <w:r w:rsidR="00D52EFC" w:rsidRPr="00A32AF4">
              <w:rPr>
                <w:rFonts w:cs="Arial"/>
                <w:i/>
                <w:iCs/>
                <w:sz w:val="14"/>
                <w:szCs w:val="14"/>
              </w:rPr>
              <w:t>5</w:t>
            </w:r>
            <w:r w:rsidR="00E91336" w:rsidRPr="00A32AF4">
              <w:rPr>
                <w:rFonts w:cs="Arial"/>
                <w:i/>
                <w:iCs/>
                <w:sz w:val="14"/>
                <w:szCs w:val="14"/>
              </w:rPr>
              <w:t> </w:t>
            </w:r>
            <w:r w:rsidR="00D52EFC" w:rsidRPr="00A32AF4">
              <w:rPr>
                <w:rFonts w:cs="Arial"/>
                <w:i/>
                <w:iCs/>
                <w:sz w:val="14"/>
                <w:szCs w:val="14"/>
              </w:rPr>
              <w:t>2</w:t>
            </w:r>
            <w:r w:rsidRPr="00A32AF4">
              <w:rPr>
                <w:rFonts w:cs="Arial"/>
                <w:i/>
                <w:iCs/>
                <w:sz w:val="14"/>
                <w:szCs w:val="14"/>
              </w:rPr>
              <w:t>57</w:t>
            </w:r>
          </w:p>
          <w:p w:rsidR="00A4309E" w:rsidRPr="00A32AF4" w:rsidRDefault="00A4309E" w:rsidP="00E977A3">
            <w:pPr>
              <w:tabs>
                <w:tab w:val="left" w:pos="284"/>
                <w:tab w:val="right" w:pos="2948"/>
              </w:tabs>
              <w:rPr>
                <w:rFonts w:cs="Arial"/>
                <w:color w:val="0000FF"/>
                <w:sz w:val="14"/>
                <w:szCs w:val="14"/>
              </w:rPr>
            </w:pPr>
            <w:r w:rsidRPr="00A32AF4">
              <w:rPr>
                <w:rFonts w:cs="Arial"/>
                <w:i/>
                <w:iCs/>
                <w:color w:val="0000FF"/>
                <w:sz w:val="14"/>
                <w:szCs w:val="14"/>
              </w:rPr>
              <w:tab/>
            </w:r>
            <w:r w:rsidR="00D52EFC" w:rsidRPr="00A32AF4">
              <w:rPr>
                <w:rFonts w:cs="Arial"/>
                <w:i/>
                <w:iCs/>
                <w:color w:val="0000FF"/>
                <w:sz w:val="14"/>
                <w:szCs w:val="14"/>
              </w:rPr>
              <w:t>Part consacrée au développement :</w:t>
            </w:r>
            <w:r w:rsidRPr="00A32AF4">
              <w:rPr>
                <w:rFonts w:cs="Arial"/>
                <w:i/>
                <w:iCs/>
                <w:color w:val="0000FF"/>
                <w:sz w:val="14"/>
                <w:szCs w:val="14"/>
              </w:rPr>
              <w:tab/>
            </w:r>
            <w:r w:rsidR="00E91336" w:rsidRPr="00A32AF4">
              <w:rPr>
                <w:rFonts w:cs="Arial"/>
                <w:i/>
                <w:iCs/>
                <w:color w:val="0000FF"/>
                <w:sz w:val="14"/>
                <w:szCs w:val="14"/>
              </w:rPr>
              <w:t>–</w:t>
            </w:r>
          </w:p>
        </w:tc>
        <w:tc>
          <w:tcPr>
            <w:tcW w:w="3041" w:type="dxa"/>
            <w:tcBorders>
              <w:top w:val="nil"/>
              <w:left w:val="nil"/>
              <w:bottom w:val="single" w:sz="4" w:space="0" w:color="auto"/>
              <w:right w:val="nil"/>
            </w:tcBorders>
            <w:shd w:val="clear" w:color="auto" w:fill="auto"/>
          </w:tcPr>
          <w:p w:rsidR="00F93B76" w:rsidRPr="00A32AF4" w:rsidRDefault="001C3CA9" w:rsidP="00E977A3">
            <w:pPr>
              <w:tabs>
                <w:tab w:val="left" w:pos="284"/>
                <w:tab w:val="right" w:pos="2948"/>
              </w:tabs>
              <w:spacing w:after="60"/>
              <w:rPr>
                <w:rFonts w:cs="Arial"/>
                <w:sz w:val="14"/>
                <w:szCs w:val="14"/>
              </w:rPr>
            </w:pPr>
            <w:r w:rsidRPr="00A32AF4">
              <w:rPr>
                <w:rFonts w:cs="Arial"/>
                <w:sz w:val="14"/>
                <w:szCs w:val="14"/>
              </w:rPr>
              <w:t>IX.3</w:t>
            </w:r>
            <w:r w:rsidRPr="00A32AF4">
              <w:rPr>
                <w:rFonts w:cs="Arial"/>
                <w:color w:val="000000"/>
                <w:sz w:val="14"/>
                <w:szCs w:val="14"/>
              </w:rPr>
              <w:t xml:space="preserve">. </w:t>
            </w:r>
            <w:r w:rsidRPr="00A32AF4">
              <w:rPr>
                <w:rFonts w:cs="Arial"/>
                <w:sz w:val="14"/>
                <w:szCs w:val="14"/>
              </w:rPr>
              <w:t>Un environnement de travail stimulant étayé par un cadre réglementaire efficace et des voies appropriées pour répondre aux préoccupations du personnel</w:t>
            </w:r>
            <w:r w:rsidR="007F5B79" w:rsidRPr="00A32AF4">
              <w:rPr>
                <w:rFonts w:cs="Arial"/>
                <w:sz w:val="14"/>
                <w:szCs w:val="14"/>
              </w:rPr>
              <w:br/>
            </w:r>
          </w:p>
          <w:p w:rsidR="00F93B76" w:rsidRPr="00A32AF4" w:rsidRDefault="00F93B76" w:rsidP="00E977A3">
            <w:pPr>
              <w:tabs>
                <w:tab w:val="left" w:pos="284"/>
                <w:tab w:val="right" w:pos="2948"/>
              </w:tabs>
              <w:rPr>
                <w:rFonts w:cs="Arial"/>
                <w:i/>
                <w:iCs/>
                <w:sz w:val="14"/>
                <w:szCs w:val="14"/>
              </w:rPr>
            </w:pPr>
          </w:p>
          <w:p w:rsidR="00F93B76" w:rsidRPr="00A32AF4" w:rsidRDefault="00A4309E" w:rsidP="00E977A3">
            <w:pPr>
              <w:tabs>
                <w:tab w:val="left" w:pos="284"/>
                <w:tab w:val="right" w:pos="2948"/>
              </w:tabs>
              <w:rPr>
                <w:rFonts w:cs="Arial"/>
                <w:i/>
                <w:iCs/>
                <w:sz w:val="14"/>
                <w:szCs w:val="14"/>
              </w:rPr>
            </w:pPr>
            <w:r w:rsidRPr="00A32AF4">
              <w:rPr>
                <w:rFonts w:cs="Arial"/>
                <w:i/>
                <w:iCs/>
                <w:sz w:val="14"/>
                <w:szCs w:val="14"/>
              </w:rPr>
              <w:tab/>
            </w:r>
            <w:r w:rsidR="00D52EFC" w:rsidRPr="00A32AF4">
              <w:rPr>
                <w:rFonts w:cs="Arial"/>
                <w:i/>
                <w:iCs/>
                <w:sz w:val="14"/>
                <w:szCs w:val="14"/>
              </w:rPr>
              <w:t>Budget proposé pour 2016</w:t>
            </w:r>
            <w:r w:rsidR="00EB7F54" w:rsidRPr="00A32AF4">
              <w:rPr>
                <w:rFonts w:cs="Arial"/>
                <w:i/>
                <w:iCs/>
                <w:sz w:val="14"/>
                <w:szCs w:val="14"/>
              </w:rPr>
              <w:noBreakHyphen/>
            </w:r>
            <w:r w:rsidR="00D52EFC" w:rsidRPr="00A32AF4">
              <w:rPr>
                <w:rFonts w:cs="Arial"/>
                <w:i/>
                <w:iCs/>
                <w:sz w:val="14"/>
                <w:szCs w:val="14"/>
              </w:rPr>
              <w:t>2017 :</w:t>
            </w:r>
            <w:r w:rsidRPr="00A32AF4">
              <w:rPr>
                <w:rFonts w:cs="Arial"/>
                <w:i/>
                <w:iCs/>
                <w:sz w:val="14"/>
                <w:szCs w:val="14"/>
              </w:rPr>
              <w:tab/>
            </w:r>
            <w:r w:rsidR="00D52EFC" w:rsidRPr="00A32AF4">
              <w:rPr>
                <w:rFonts w:cs="Arial"/>
                <w:i/>
                <w:iCs/>
                <w:sz w:val="14"/>
                <w:szCs w:val="14"/>
              </w:rPr>
              <w:t>2</w:t>
            </w:r>
            <w:r w:rsidR="00E91336" w:rsidRPr="00A32AF4">
              <w:rPr>
                <w:rFonts w:cs="Arial"/>
                <w:i/>
                <w:iCs/>
                <w:sz w:val="14"/>
                <w:szCs w:val="14"/>
              </w:rPr>
              <w:t> </w:t>
            </w:r>
            <w:r w:rsidR="00D52EFC" w:rsidRPr="00A32AF4">
              <w:rPr>
                <w:rFonts w:cs="Arial"/>
                <w:i/>
                <w:iCs/>
                <w:sz w:val="14"/>
                <w:szCs w:val="14"/>
              </w:rPr>
              <w:t>5</w:t>
            </w:r>
            <w:r w:rsidRPr="00A32AF4">
              <w:rPr>
                <w:rFonts w:cs="Arial"/>
                <w:i/>
                <w:iCs/>
                <w:sz w:val="14"/>
                <w:szCs w:val="14"/>
              </w:rPr>
              <w:t>40</w:t>
            </w:r>
          </w:p>
          <w:p w:rsidR="00A4309E" w:rsidRPr="00A32AF4" w:rsidRDefault="00A4309E" w:rsidP="00E977A3">
            <w:pPr>
              <w:tabs>
                <w:tab w:val="left" w:pos="284"/>
                <w:tab w:val="right" w:pos="2948"/>
              </w:tabs>
              <w:rPr>
                <w:rFonts w:cs="Arial"/>
                <w:i/>
                <w:iCs/>
                <w:color w:val="0000FF"/>
                <w:sz w:val="14"/>
                <w:szCs w:val="14"/>
              </w:rPr>
            </w:pPr>
            <w:r w:rsidRPr="00A32AF4">
              <w:rPr>
                <w:rFonts w:cs="Arial"/>
                <w:i/>
                <w:iCs/>
                <w:color w:val="0000FF"/>
                <w:sz w:val="14"/>
                <w:szCs w:val="14"/>
              </w:rPr>
              <w:tab/>
            </w:r>
            <w:r w:rsidR="00D52EFC" w:rsidRPr="00A32AF4">
              <w:rPr>
                <w:rFonts w:cs="Arial"/>
                <w:i/>
                <w:iCs/>
                <w:color w:val="0000FF"/>
                <w:sz w:val="14"/>
                <w:szCs w:val="14"/>
              </w:rPr>
              <w:t>Part consacrée au développement :</w:t>
            </w:r>
            <w:r w:rsidR="007F5B79" w:rsidRPr="00A32AF4">
              <w:rPr>
                <w:rFonts w:cs="Arial"/>
                <w:i/>
                <w:iCs/>
                <w:color w:val="0000FF"/>
                <w:sz w:val="14"/>
                <w:szCs w:val="14"/>
              </w:rPr>
              <w:tab/>
              <w:t>–</w:t>
            </w:r>
          </w:p>
        </w:tc>
        <w:tc>
          <w:tcPr>
            <w:tcW w:w="3040" w:type="dxa"/>
            <w:tcBorders>
              <w:top w:val="nil"/>
              <w:left w:val="nil"/>
              <w:bottom w:val="single" w:sz="4" w:space="0" w:color="auto"/>
              <w:right w:val="nil"/>
            </w:tcBorders>
            <w:shd w:val="clear" w:color="auto" w:fill="auto"/>
          </w:tcPr>
          <w:p w:rsidR="00F93B76" w:rsidRPr="00A32AF4" w:rsidRDefault="001C3CA9" w:rsidP="00E977A3">
            <w:pPr>
              <w:tabs>
                <w:tab w:val="left" w:pos="284"/>
                <w:tab w:val="right" w:pos="2948"/>
              </w:tabs>
              <w:spacing w:after="60"/>
              <w:rPr>
                <w:rFonts w:cs="Arial"/>
                <w:sz w:val="14"/>
                <w:szCs w:val="14"/>
              </w:rPr>
            </w:pPr>
            <w:r w:rsidRPr="00A32AF4">
              <w:rPr>
                <w:rFonts w:cs="Arial"/>
                <w:sz w:val="14"/>
                <w:szCs w:val="14"/>
              </w:rPr>
              <w:t>IX.4</w:t>
            </w:r>
            <w:r w:rsidRPr="00A32AF4">
              <w:rPr>
                <w:rFonts w:cs="Arial"/>
                <w:color w:val="000000"/>
                <w:sz w:val="14"/>
                <w:szCs w:val="14"/>
              </w:rPr>
              <w:t xml:space="preserve">. </w:t>
            </w:r>
            <w:r w:rsidRPr="00A32AF4">
              <w:rPr>
                <w:rFonts w:cs="Arial"/>
                <w:sz w:val="14"/>
                <w:szCs w:val="14"/>
              </w:rPr>
              <w:t>Une Organisation écologiquement et socialement responsable assurant la sûreté et la sécurité du personnel, des délégués, des visiteurs, de l</w:t>
            </w:r>
            <w:r w:rsidR="00E2055A" w:rsidRPr="00A32AF4">
              <w:rPr>
                <w:rFonts w:cs="Arial"/>
                <w:sz w:val="14"/>
                <w:szCs w:val="14"/>
              </w:rPr>
              <w:t>’</w:t>
            </w:r>
            <w:r w:rsidRPr="00A32AF4">
              <w:rPr>
                <w:rFonts w:cs="Arial"/>
                <w:sz w:val="14"/>
                <w:szCs w:val="14"/>
              </w:rPr>
              <w:t>information et des biens</w:t>
            </w:r>
            <w:r w:rsidR="007F5B79" w:rsidRPr="00A32AF4">
              <w:rPr>
                <w:rFonts w:cs="Arial"/>
                <w:sz w:val="14"/>
                <w:szCs w:val="14"/>
              </w:rPr>
              <w:br/>
            </w:r>
          </w:p>
          <w:p w:rsidR="00F93B76" w:rsidRPr="00A32AF4" w:rsidRDefault="00F93B76" w:rsidP="00E977A3">
            <w:pPr>
              <w:tabs>
                <w:tab w:val="left" w:pos="284"/>
                <w:tab w:val="right" w:pos="2948"/>
              </w:tabs>
              <w:rPr>
                <w:rFonts w:cs="Arial"/>
                <w:i/>
                <w:iCs/>
                <w:sz w:val="14"/>
                <w:szCs w:val="14"/>
              </w:rPr>
            </w:pPr>
          </w:p>
          <w:p w:rsidR="00F93B76" w:rsidRPr="00A32AF4" w:rsidRDefault="00A4309E" w:rsidP="00E977A3">
            <w:pPr>
              <w:tabs>
                <w:tab w:val="left" w:pos="284"/>
                <w:tab w:val="right" w:pos="2948"/>
              </w:tabs>
              <w:rPr>
                <w:rFonts w:cs="Arial"/>
                <w:i/>
                <w:iCs/>
                <w:sz w:val="14"/>
                <w:szCs w:val="14"/>
              </w:rPr>
            </w:pPr>
            <w:r w:rsidRPr="00A32AF4">
              <w:rPr>
                <w:rFonts w:cs="Arial"/>
                <w:i/>
                <w:iCs/>
                <w:sz w:val="14"/>
                <w:szCs w:val="14"/>
              </w:rPr>
              <w:tab/>
            </w:r>
            <w:r w:rsidR="00D52EFC" w:rsidRPr="00A32AF4">
              <w:rPr>
                <w:rFonts w:cs="Arial"/>
                <w:i/>
                <w:iCs/>
                <w:sz w:val="14"/>
                <w:szCs w:val="14"/>
              </w:rPr>
              <w:t>Budget proposé pour 2016</w:t>
            </w:r>
            <w:r w:rsidR="00EB7F54" w:rsidRPr="00A32AF4">
              <w:rPr>
                <w:rFonts w:cs="Arial"/>
                <w:i/>
                <w:iCs/>
                <w:sz w:val="14"/>
                <w:szCs w:val="14"/>
              </w:rPr>
              <w:noBreakHyphen/>
            </w:r>
            <w:r w:rsidR="00D52EFC" w:rsidRPr="00A32AF4">
              <w:rPr>
                <w:rFonts w:cs="Arial"/>
                <w:i/>
                <w:iCs/>
                <w:sz w:val="14"/>
                <w:szCs w:val="14"/>
              </w:rPr>
              <w:t>2017 :</w:t>
            </w:r>
            <w:r w:rsidRPr="00A32AF4">
              <w:rPr>
                <w:rFonts w:cs="Arial"/>
                <w:i/>
                <w:iCs/>
                <w:sz w:val="14"/>
                <w:szCs w:val="14"/>
              </w:rPr>
              <w:tab/>
              <w:t>1</w:t>
            </w:r>
            <w:r w:rsidR="00D52EFC" w:rsidRPr="00A32AF4">
              <w:rPr>
                <w:rFonts w:cs="Arial"/>
                <w:i/>
                <w:iCs/>
                <w:sz w:val="14"/>
                <w:szCs w:val="14"/>
              </w:rPr>
              <w:t>8</w:t>
            </w:r>
            <w:r w:rsidR="007F5B79" w:rsidRPr="00A32AF4">
              <w:rPr>
                <w:rFonts w:cs="Arial"/>
                <w:i/>
                <w:iCs/>
                <w:sz w:val="14"/>
                <w:szCs w:val="14"/>
              </w:rPr>
              <w:t> </w:t>
            </w:r>
            <w:r w:rsidR="00D52EFC" w:rsidRPr="00A32AF4">
              <w:rPr>
                <w:rFonts w:cs="Arial"/>
                <w:i/>
                <w:iCs/>
                <w:sz w:val="14"/>
                <w:szCs w:val="14"/>
              </w:rPr>
              <w:t>4</w:t>
            </w:r>
            <w:r w:rsidRPr="00A32AF4">
              <w:rPr>
                <w:rFonts w:cs="Arial"/>
                <w:i/>
                <w:iCs/>
                <w:sz w:val="14"/>
                <w:szCs w:val="14"/>
              </w:rPr>
              <w:t>03</w:t>
            </w:r>
          </w:p>
          <w:p w:rsidR="00F93B76" w:rsidRPr="00A32AF4" w:rsidRDefault="00A4309E" w:rsidP="00E977A3">
            <w:pPr>
              <w:tabs>
                <w:tab w:val="left" w:pos="284"/>
                <w:tab w:val="right" w:pos="2948"/>
              </w:tabs>
              <w:rPr>
                <w:rFonts w:cs="Arial"/>
                <w:color w:val="0000FF"/>
                <w:sz w:val="14"/>
                <w:szCs w:val="14"/>
              </w:rPr>
            </w:pPr>
            <w:r w:rsidRPr="00A32AF4">
              <w:rPr>
                <w:rFonts w:cs="Arial"/>
                <w:i/>
                <w:iCs/>
                <w:color w:val="0000FF"/>
                <w:sz w:val="14"/>
                <w:szCs w:val="14"/>
              </w:rPr>
              <w:tab/>
            </w:r>
            <w:r w:rsidR="00D52EFC" w:rsidRPr="00A32AF4">
              <w:rPr>
                <w:rFonts w:cs="Arial"/>
                <w:i/>
                <w:iCs/>
                <w:color w:val="0000FF"/>
                <w:sz w:val="14"/>
                <w:szCs w:val="14"/>
              </w:rPr>
              <w:t>Part consacrée au développement :</w:t>
            </w:r>
            <w:r w:rsidR="007F5B79" w:rsidRPr="00A32AF4">
              <w:rPr>
                <w:rFonts w:cs="Arial"/>
                <w:i/>
                <w:iCs/>
                <w:color w:val="0000FF"/>
                <w:sz w:val="14"/>
                <w:szCs w:val="14"/>
              </w:rPr>
              <w:tab/>
              <w:t>–</w:t>
            </w:r>
          </w:p>
          <w:p w:rsidR="00A4309E" w:rsidRPr="00A32AF4" w:rsidRDefault="00A4309E" w:rsidP="00E977A3">
            <w:pPr>
              <w:tabs>
                <w:tab w:val="left" w:pos="284"/>
                <w:tab w:val="right" w:pos="2948"/>
              </w:tabs>
              <w:rPr>
                <w:rFonts w:cs="Arial"/>
                <w:i/>
                <w:iCs/>
                <w:color w:val="0000FF"/>
                <w:sz w:val="14"/>
                <w:szCs w:val="14"/>
              </w:rPr>
            </w:pPr>
          </w:p>
        </w:tc>
        <w:tc>
          <w:tcPr>
            <w:tcW w:w="3041" w:type="dxa"/>
            <w:tcBorders>
              <w:top w:val="nil"/>
              <w:left w:val="nil"/>
              <w:bottom w:val="single" w:sz="4" w:space="0" w:color="auto"/>
              <w:right w:val="nil"/>
            </w:tcBorders>
            <w:shd w:val="clear" w:color="auto" w:fill="auto"/>
          </w:tcPr>
          <w:p w:rsidR="00F93B76" w:rsidRPr="00A32AF4" w:rsidRDefault="001C3CA9" w:rsidP="00E977A3">
            <w:pPr>
              <w:tabs>
                <w:tab w:val="left" w:pos="284"/>
                <w:tab w:val="right" w:pos="2948"/>
              </w:tabs>
              <w:spacing w:after="60"/>
              <w:rPr>
                <w:rFonts w:cs="Arial"/>
                <w:sz w:val="14"/>
                <w:szCs w:val="14"/>
                <w:lang w:eastAsia="zh-CN" w:bidi="th-TH"/>
              </w:rPr>
            </w:pPr>
            <w:r w:rsidRPr="00A32AF4">
              <w:rPr>
                <w:rFonts w:cs="Arial"/>
                <w:sz w:val="14"/>
                <w:szCs w:val="14"/>
                <w:lang w:eastAsia="zh-CN" w:bidi="th-TH"/>
              </w:rPr>
              <w:t>IX.8</w:t>
            </w:r>
            <w:r w:rsidRPr="00A32AF4">
              <w:rPr>
                <w:rFonts w:cs="Arial"/>
                <w:color w:val="000000"/>
                <w:sz w:val="14"/>
                <w:szCs w:val="14"/>
                <w:lang w:eastAsia="zh-CN" w:bidi="th-TH"/>
              </w:rPr>
              <w:t xml:space="preserve">. </w:t>
            </w:r>
            <w:r w:rsidRPr="00A32AF4">
              <w:rPr>
                <w:rFonts w:cs="Arial"/>
                <w:sz w:val="14"/>
                <w:szCs w:val="14"/>
                <w:lang w:eastAsia="zh-CN" w:bidi="th-TH"/>
              </w:rPr>
              <w:t>Renforcement de l</w:t>
            </w:r>
            <w:r w:rsidR="00E2055A" w:rsidRPr="00A32AF4">
              <w:rPr>
                <w:rFonts w:cs="Arial"/>
                <w:sz w:val="14"/>
                <w:szCs w:val="14"/>
                <w:lang w:eastAsia="zh-CN" w:bidi="th-TH"/>
              </w:rPr>
              <w:t>’</w:t>
            </w:r>
            <w:r w:rsidRPr="00A32AF4">
              <w:rPr>
                <w:rFonts w:cs="Arial"/>
                <w:sz w:val="14"/>
                <w:szCs w:val="14"/>
                <w:lang w:eastAsia="zh-CN" w:bidi="th-TH"/>
              </w:rPr>
              <w:t>obligation redditionnelle, de l</w:t>
            </w:r>
            <w:r w:rsidR="00E2055A" w:rsidRPr="00A32AF4">
              <w:rPr>
                <w:rFonts w:cs="Arial"/>
                <w:sz w:val="14"/>
                <w:szCs w:val="14"/>
                <w:lang w:eastAsia="zh-CN" w:bidi="th-TH"/>
              </w:rPr>
              <w:t>’</w:t>
            </w:r>
            <w:r w:rsidRPr="00A32AF4">
              <w:rPr>
                <w:rFonts w:cs="Arial"/>
                <w:sz w:val="14"/>
                <w:szCs w:val="14"/>
                <w:lang w:eastAsia="zh-CN" w:bidi="th-TH"/>
              </w:rPr>
              <w:t>apprentissage institutionnel, de l</w:t>
            </w:r>
            <w:r w:rsidR="00E2055A" w:rsidRPr="00A32AF4">
              <w:rPr>
                <w:rFonts w:cs="Arial"/>
                <w:sz w:val="14"/>
                <w:szCs w:val="14"/>
                <w:lang w:eastAsia="zh-CN" w:bidi="th-TH"/>
              </w:rPr>
              <w:t>’</w:t>
            </w:r>
            <w:r w:rsidRPr="00A32AF4">
              <w:rPr>
                <w:rFonts w:cs="Arial"/>
                <w:sz w:val="14"/>
                <w:szCs w:val="14"/>
                <w:lang w:eastAsia="zh-CN" w:bidi="th-TH"/>
              </w:rPr>
              <w:t>optimisation des ressources financières, de l</w:t>
            </w:r>
            <w:r w:rsidR="00E2055A" w:rsidRPr="00A32AF4">
              <w:rPr>
                <w:rFonts w:cs="Arial"/>
                <w:sz w:val="14"/>
                <w:szCs w:val="14"/>
                <w:lang w:eastAsia="zh-CN" w:bidi="th-TH"/>
              </w:rPr>
              <w:t>’</w:t>
            </w:r>
            <w:r w:rsidRPr="00A32AF4">
              <w:rPr>
                <w:rFonts w:cs="Arial"/>
                <w:sz w:val="14"/>
                <w:szCs w:val="14"/>
                <w:lang w:eastAsia="zh-CN" w:bidi="th-TH"/>
              </w:rPr>
              <w:t>administration, du contrôle interne et de la gestion institutionnelle avec le concours d</w:t>
            </w:r>
            <w:r w:rsidR="00E2055A" w:rsidRPr="00A32AF4">
              <w:rPr>
                <w:rFonts w:cs="Arial"/>
                <w:sz w:val="14"/>
                <w:szCs w:val="14"/>
                <w:lang w:eastAsia="zh-CN" w:bidi="th-TH"/>
              </w:rPr>
              <w:t>’</w:t>
            </w:r>
            <w:r w:rsidRPr="00A32AF4">
              <w:rPr>
                <w:rFonts w:cs="Arial"/>
                <w:sz w:val="14"/>
                <w:szCs w:val="14"/>
                <w:lang w:eastAsia="zh-CN" w:bidi="th-TH"/>
              </w:rPr>
              <w:t>une supervision indépendante efficace</w:t>
            </w:r>
          </w:p>
          <w:p w:rsidR="00F93B76" w:rsidRPr="00A32AF4" w:rsidRDefault="00A4309E" w:rsidP="00E977A3">
            <w:pPr>
              <w:tabs>
                <w:tab w:val="left" w:pos="284"/>
                <w:tab w:val="right" w:pos="2948"/>
              </w:tabs>
              <w:rPr>
                <w:rFonts w:cs="Arial"/>
                <w:i/>
                <w:iCs/>
                <w:sz w:val="14"/>
                <w:szCs w:val="14"/>
              </w:rPr>
            </w:pPr>
            <w:r w:rsidRPr="00A32AF4">
              <w:rPr>
                <w:rFonts w:cs="Arial"/>
                <w:i/>
                <w:iCs/>
                <w:sz w:val="14"/>
                <w:szCs w:val="14"/>
              </w:rPr>
              <w:tab/>
            </w:r>
            <w:r w:rsidR="00D52EFC" w:rsidRPr="00A32AF4">
              <w:rPr>
                <w:rFonts w:cs="Arial"/>
                <w:i/>
                <w:iCs/>
                <w:sz w:val="14"/>
                <w:szCs w:val="14"/>
              </w:rPr>
              <w:t>Budget proposé pour 2016</w:t>
            </w:r>
            <w:r w:rsidR="00EB7F54" w:rsidRPr="00A32AF4">
              <w:rPr>
                <w:rFonts w:cs="Arial"/>
                <w:i/>
                <w:iCs/>
                <w:sz w:val="14"/>
                <w:szCs w:val="14"/>
              </w:rPr>
              <w:noBreakHyphen/>
            </w:r>
            <w:r w:rsidR="00D52EFC" w:rsidRPr="00A32AF4">
              <w:rPr>
                <w:rFonts w:cs="Arial"/>
                <w:i/>
                <w:iCs/>
                <w:sz w:val="14"/>
                <w:szCs w:val="14"/>
              </w:rPr>
              <w:t>2017 :</w:t>
            </w:r>
            <w:r w:rsidRPr="00A32AF4">
              <w:rPr>
                <w:rFonts w:cs="Arial"/>
                <w:i/>
                <w:iCs/>
                <w:sz w:val="14"/>
                <w:szCs w:val="14"/>
              </w:rPr>
              <w:tab/>
            </w:r>
            <w:r w:rsidR="00D52EFC" w:rsidRPr="00A32AF4">
              <w:rPr>
                <w:rFonts w:cs="Arial"/>
                <w:i/>
                <w:iCs/>
                <w:sz w:val="14"/>
                <w:szCs w:val="14"/>
              </w:rPr>
              <w:t>7 0</w:t>
            </w:r>
            <w:r w:rsidRPr="00A32AF4">
              <w:rPr>
                <w:rFonts w:cs="Arial"/>
                <w:i/>
                <w:iCs/>
                <w:sz w:val="14"/>
                <w:szCs w:val="14"/>
              </w:rPr>
              <w:t>35</w:t>
            </w:r>
          </w:p>
          <w:p w:rsidR="00A4309E" w:rsidRPr="00A32AF4" w:rsidRDefault="00A4309E" w:rsidP="00E977A3">
            <w:pPr>
              <w:tabs>
                <w:tab w:val="left" w:pos="284"/>
                <w:tab w:val="right" w:pos="2948"/>
              </w:tabs>
              <w:rPr>
                <w:rFonts w:cs="Arial"/>
                <w:color w:val="0000FF"/>
                <w:sz w:val="14"/>
                <w:szCs w:val="14"/>
              </w:rPr>
            </w:pPr>
            <w:r w:rsidRPr="00A32AF4">
              <w:rPr>
                <w:rFonts w:cs="Arial"/>
                <w:i/>
                <w:iCs/>
                <w:color w:val="0000FF"/>
                <w:sz w:val="14"/>
                <w:szCs w:val="14"/>
              </w:rPr>
              <w:tab/>
            </w:r>
            <w:r w:rsidR="00D52EFC" w:rsidRPr="00A32AF4">
              <w:rPr>
                <w:rFonts w:cs="Arial"/>
                <w:i/>
                <w:iCs/>
                <w:color w:val="0000FF"/>
                <w:sz w:val="14"/>
                <w:szCs w:val="14"/>
              </w:rPr>
              <w:t>Part consacrée au développement :</w:t>
            </w:r>
            <w:r w:rsidRPr="00A32AF4">
              <w:rPr>
                <w:rFonts w:cs="Arial"/>
                <w:i/>
                <w:iCs/>
                <w:color w:val="0000FF"/>
                <w:sz w:val="14"/>
                <w:szCs w:val="14"/>
              </w:rPr>
              <w:tab/>
              <w:t>963</w:t>
            </w:r>
          </w:p>
        </w:tc>
        <w:tc>
          <w:tcPr>
            <w:tcW w:w="3044" w:type="dxa"/>
            <w:tcBorders>
              <w:top w:val="nil"/>
              <w:left w:val="nil"/>
              <w:bottom w:val="single" w:sz="4" w:space="0" w:color="auto"/>
              <w:right w:val="single" w:sz="4" w:space="0" w:color="auto"/>
            </w:tcBorders>
            <w:shd w:val="clear" w:color="auto" w:fill="auto"/>
          </w:tcPr>
          <w:p w:rsidR="00F93B76" w:rsidRPr="00A32AF4" w:rsidRDefault="007F5B79" w:rsidP="00E977A3">
            <w:pPr>
              <w:tabs>
                <w:tab w:val="left" w:pos="284"/>
                <w:tab w:val="right" w:pos="2948"/>
              </w:tabs>
              <w:spacing w:after="60"/>
              <w:rPr>
                <w:rFonts w:cs="Arial"/>
                <w:i/>
                <w:iCs/>
                <w:color w:val="999999"/>
                <w:sz w:val="14"/>
                <w:szCs w:val="14"/>
              </w:rPr>
            </w:pPr>
            <w:r w:rsidRPr="00A32AF4">
              <w:rPr>
                <w:rFonts w:cs="Arial"/>
                <w:sz w:val="14"/>
                <w:szCs w:val="14"/>
              </w:rPr>
              <w:br/>
            </w:r>
            <w:r w:rsidRPr="00A32AF4">
              <w:rPr>
                <w:rFonts w:cs="Arial"/>
                <w:sz w:val="14"/>
                <w:szCs w:val="14"/>
              </w:rPr>
              <w:br/>
            </w:r>
            <w:r w:rsidRPr="00A32AF4">
              <w:rPr>
                <w:rFonts w:cs="Arial"/>
                <w:sz w:val="14"/>
                <w:szCs w:val="14"/>
              </w:rPr>
              <w:br/>
            </w:r>
            <w:r w:rsidR="00A4309E" w:rsidRPr="00A32AF4">
              <w:rPr>
                <w:rFonts w:cs="Arial"/>
                <w:sz w:val="14"/>
                <w:szCs w:val="14"/>
              </w:rPr>
              <w:br/>
            </w:r>
          </w:p>
          <w:p w:rsidR="00F93B76" w:rsidRPr="00A32AF4" w:rsidRDefault="007F5B79" w:rsidP="00E977A3">
            <w:pPr>
              <w:tabs>
                <w:tab w:val="left" w:pos="284"/>
                <w:tab w:val="right" w:pos="2948"/>
              </w:tabs>
              <w:rPr>
                <w:rFonts w:cs="Arial"/>
                <w:i/>
                <w:iCs/>
                <w:sz w:val="14"/>
                <w:szCs w:val="14"/>
              </w:rPr>
            </w:pPr>
            <w:r w:rsidRPr="00A32AF4">
              <w:rPr>
                <w:rFonts w:cs="Arial"/>
                <w:i/>
                <w:iCs/>
                <w:sz w:val="14"/>
                <w:szCs w:val="14"/>
              </w:rPr>
              <w:t>Budget total proposé pour l</w:t>
            </w:r>
            <w:r w:rsidR="00E2055A" w:rsidRPr="00A32AF4">
              <w:rPr>
                <w:rFonts w:cs="Arial"/>
                <w:i/>
                <w:iCs/>
                <w:sz w:val="14"/>
                <w:szCs w:val="14"/>
              </w:rPr>
              <w:t>’</w:t>
            </w:r>
            <w:r w:rsidRPr="00A32AF4">
              <w:rPr>
                <w:rFonts w:cs="Arial"/>
                <w:i/>
                <w:iCs/>
                <w:sz w:val="14"/>
                <w:szCs w:val="14"/>
              </w:rPr>
              <w:t xml:space="preserve">OS </w:t>
            </w:r>
            <w:r w:rsidR="00A4309E" w:rsidRPr="00A32AF4">
              <w:rPr>
                <w:rFonts w:cs="Arial"/>
                <w:i/>
                <w:iCs/>
                <w:sz w:val="14"/>
                <w:szCs w:val="14"/>
              </w:rPr>
              <w:t>IX</w:t>
            </w:r>
            <w:r w:rsidRPr="00A32AF4">
              <w:rPr>
                <w:rFonts w:cs="Arial"/>
                <w:i/>
                <w:iCs/>
                <w:sz w:val="14"/>
                <w:szCs w:val="14"/>
              </w:rPr>
              <w:t> </w:t>
            </w:r>
            <w:r w:rsidR="00A4309E" w:rsidRPr="00A32AF4">
              <w:rPr>
                <w:rFonts w:cs="Arial"/>
                <w:i/>
                <w:iCs/>
                <w:sz w:val="14"/>
                <w:szCs w:val="14"/>
              </w:rPr>
              <w:t>:</w:t>
            </w:r>
            <w:r w:rsidR="00A4309E" w:rsidRPr="00A32AF4">
              <w:rPr>
                <w:rFonts w:cs="Arial"/>
                <w:i/>
                <w:iCs/>
                <w:sz w:val="14"/>
                <w:szCs w:val="14"/>
              </w:rPr>
              <w:tab/>
              <w:t xml:space="preserve">  22</w:t>
            </w:r>
            <w:r w:rsidR="00D52EFC" w:rsidRPr="00A32AF4">
              <w:rPr>
                <w:rFonts w:cs="Arial"/>
                <w:i/>
                <w:iCs/>
                <w:sz w:val="14"/>
                <w:szCs w:val="14"/>
              </w:rPr>
              <w:t>8 5</w:t>
            </w:r>
            <w:r w:rsidR="00A4309E" w:rsidRPr="00A32AF4">
              <w:rPr>
                <w:rFonts w:cs="Arial"/>
                <w:i/>
                <w:iCs/>
                <w:sz w:val="14"/>
                <w:szCs w:val="14"/>
              </w:rPr>
              <w:t>91</w:t>
            </w:r>
          </w:p>
          <w:p w:rsidR="00A4309E" w:rsidRPr="00A32AF4" w:rsidRDefault="007F5B79" w:rsidP="00E977A3">
            <w:pPr>
              <w:tabs>
                <w:tab w:val="left" w:pos="284"/>
                <w:tab w:val="right" w:pos="2948"/>
              </w:tabs>
              <w:rPr>
                <w:rFonts w:cs="Arial"/>
                <w:color w:val="0000FF"/>
                <w:sz w:val="14"/>
                <w:szCs w:val="14"/>
              </w:rPr>
            </w:pPr>
            <w:r w:rsidRPr="00A32AF4">
              <w:rPr>
                <w:rFonts w:cs="Arial"/>
                <w:i/>
                <w:iCs/>
                <w:color w:val="0000FF"/>
                <w:sz w:val="14"/>
                <w:szCs w:val="14"/>
              </w:rPr>
              <w:t>Part totale du budget de l</w:t>
            </w:r>
            <w:r w:rsidR="00E2055A" w:rsidRPr="00A32AF4">
              <w:rPr>
                <w:rFonts w:cs="Arial"/>
                <w:i/>
                <w:iCs/>
                <w:color w:val="0000FF"/>
                <w:sz w:val="14"/>
                <w:szCs w:val="14"/>
              </w:rPr>
              <w:t>’</w:t>
            </w:r>
            <w:r w:rsidRPr="00A32AF4">
              <w:rPr>
                <w:rFonts w:cs="Arial"/>
                <w:i/>
                <w:iCs/>
                <w:color w:val="0000FF"/>
                <w:sz w:val="14"/>
                <w:szCs w:val="14"/>
              </w:rPr>
              <w:t xml:space="preserve">OS VII </w:t>
            </w:r>
            <w:r w:rsidRPr="00A32AF4">
              <w:rPr>
                <w:rFonts w:cs="Arial"/>
                <w:i/>
                <w:iCs/>
                <w:color w:val="0000FF"/>
                <w:sz w:val="14"/>
                <w:szCs w:val="14"/>
              </w:rPr>
              <w:br/>
              <w:t>consacrée au développement :</w:t>
            </w:r>
            <w:r w:rsidRPr="00A32AF4">
              <w:rPr>
                <w:rFonts w:cs="Arial"/>
                <w:i/>
                <w:iCs/>
                <w:color w:val="0000FF"/>
                <w:sz w:val="14"/>
                <w:szCs w:val="14"/>
              </w:rPr>
              <w:tab/>
            </w:r>
            <w:r w:rsidR="00A4309E" w:rsidRPr="00A32AF4">
              <w:rPr>
                <w:rFonts w:cs="Arial"/>
                <w:i/>
                <w:iCs/>
                <w:color w:val="0000FF"/>
                <w:sz w:val="14"/>
                <w:szCs w:val="14"/>
              </w:rPr>
              <w:t>963</w:t>
            </w:r>
          </w:p>
        </w:tc>
      </w:tr>
      <w:tr w:rsidR="00A4309E" w:rsidRPr="00A32AF4" w:rsidTr="001B004D">
        <w:trPr>
          <w:trHeight w:val="684"/>
        </w:trPr>
        <w:tc>
          <w:tcPr>
            <w:tcW w:w="389" w:type="dxa"/>
            <w:tcBorders>
              <w:top w:val="nil"/>
              <w:left w:val="nil"/>
              <w:bottom w:val="nil"/>
              <w:right w:val="nil"/>
            </w:tcBorders>
            <w:shd w:val="clear" w:color="auto" w:fill="auto"/>
            <w:noWrap/>
            <w:vAlign w:val="bottom"/>
          </w:tcPr>
          <w:p w:rsidR="00A4309E" w:rsidRPr="00A32AF4" w:rsidRDefault="00A4309E" w:rsidP="00DC0553">
            <w:pPr>
              <w:tabs>
                <w:tab w:val="right" w:pos="2835"/>
              </w:tabs>
              <w:rPr>
                <w:rFonts w:cs="Arial"/>
                <w:sz w:val="16"/>
                <w:szCs w:val="16"/>
              </w:rPr>
            </w:pPr>
          </w:p>
        </w:tc>
        <w:tc>
          <w:tcPr>
            <w:tcW w:w="9124" w:type="dxa"/>
            <w:gridSpan w:val="3"/>
            <w:tcBorders>
              <w:top w:val="single" w:sz="4" w:space="0" w:color="auto"/>
              <w:left w:val="nil"/>
              <w:bottom w:val="nil"/>
              <w:right w:val="nil"/>
            </w:tcBorders>
            <w:shd w:val="clear" w:color="auto" w:fill="auto"/>
            <w:vAlign w:val="center"/>
          </w:tcPr>
          <w:p w:rsidR="00F93B76" w:rsidRPr="00A32AF4" w:rsidRDefault="002A0049" w:rsidP="00DC0553">
            <w:pPr>
              <w:tabs>
                <w:tab w:val="left" w:pos="284"/>
              </w:tabs>
              <w:rPr>
                <w:rFonts w:cs="Arial"/>
                <w:i/>
                <w:iCs/>
                <w:sz w:val="12"/>
                <w:szCs w:val="14"/>
              </w:rPr>
            </w:pPr>
            <w:r w:rsidRPr="00A32AF4">
              <w:rPr>
                <w:rFonts w:cs="Arial"/>
                <w:iCs/>
                <w:sz w:val="12"/>
                <w:szCs w:val="14"/>
              </w:rPr>
              <w:t xml:space="preserve">1 </w:t>
            </w:r>
            <w:r w:rsidRPr="00A32AF4">
              <w:rPr>
                <w:rFonts w:cs="Arial"/>
                <w:iCs/>
                <w:sz w:val="12"/>
                <w:szCs w:val="14"/>
              </w:rPr>
              <w:tab/>
              <w:t>Le budget proposé par résultat ne tient pas compte des ressources non affectées proposées : 6319 millions de francs suisses</w:t>
            </w:r>
          </w:p>
          <w:p w:rsidR="00F93B76" w:rsidRPr="00A32AF4" w:rsidRDefault="002A0049" w:rsidP="00DC0553">
            <w:pPr>
              <w:tabs>
                <w:tab w:val="left" w:pos="284"/>
              </w:tabs>
              <w:rPr>
                <w:rFonts w:cs="Arial"/>
                <w:i/>
                <w:iCs/>
                <w:sz w:val="12"/>
                <w:szCs w:val="14"/>
              </w:rPr>
            </w:pPr>
            <w:r w:rsidRPr="00A32AF4">
              <w:rPr>
                <w:rFonts w:cs="Arial"/>
                <w:iCs/>
                <w:sz w:val="12"/>
                <w:szCs w:val="14"/>
              </w:rPr>
              <w:t xml:space="preserve">2 </w:t>
            </w:r>
            <w:r w:rsidRPr="00A32AF4">
              <w:rPr>
                <w:rFonts w:cs="Arial"/>
                <w:iCs/>
                <w:sz w:val="12"/>
                <w:szCs w:val="14"/>
              </w:rPr>
              <w:tab/>
              <w:t>Part consacrée au développement : Les ressources sont indiquées comme dépenses consacrées au développement uniquement lorsque le bénéficiaire est un pays en développement et que des dépenses équivalentes ne sont pas prévues pour les pays développés (conformément à la pratique passée, les pays en transition économique sont inclus aux fins du programme et budget)</w:t>
            </w:r>
          </w:p>
          <w:p w:rsidR="00F93B76" w:rsidRPr="00A32AF4" w:rsidRDefault="002A0049" w:rsidP="00DC0553">
            <w:pPr>
              <w:tabs>
                <w:tab w:val="left" w:pos="284"/>
              </w:tabs>
              <w:rPr>
                <w:rFonts w:cs="Arial"/>
                <w:i/>
                <w:iCs/>
                <w:sz w:val="12"/>
                <w:szCs w:val="14"/>
              </w:rPr>
            </w:pPr>
            <w:r w:rsidRPr="00A32AF4">
              <w:rPr>
                <w:rFonts w:cs="Arial"/>
                <w:iCs/>
                <w:sz w:val="12"/>
                <w:szCs w:val="14"/>
              </w:rPr>
              <w:t xml:space="preserve">3 </w:t>
            </w:r>
            <w:r w:rsidRPr="00A32AF4">
              <w:rPr>
                <w:rFonts w:cs="Arial"/>
                <w:iCs/>
                <w:sz w:val="12"/>
                <w:szCs w:val="14"/>
              </w:rPr>
              <w:tab/>
              <w:t>Les chiffres indiqués pour la part consacrée au développement tiennent compte des ressources affectées aux projets relevant du Plan d</w:t>
            </w:r>
            <w:r w:rsidR="00E2055A" w:rsidRPr="00A32AF4">
              <w:rPr>
                <w:rFonts w:cs="Arial"/>
                <w:iCs/>
                <w:sz w:val="12"/>
                <w:szCs w:val="14"/>
              </w:rPr>
              <w:t>’</w:t>
            </w:r>
            <w:r w:rsidRPr="00A32AF4">
              <w:rPr>
                <w:rFonts w:cs="Arial"/>
                <w:iCs/>
                <w:sz w:val="12"/>
                <w:szCs w:val="14"/>
              </w:rPr>
              <w:t>action pour le développement</w:t>
            </w:r>
          </w:p>
          <w:p w:rsidR="00A4309E" w:rsidRPr="00A32AF4" w:rsidRDefault="002A0049" w:rsidP="00DC0553">
            <w:pPr>
              <w:tabs>
                <w:tab w:val="left" w:pos="284"/>
                <w:tab w:val="right" w:pos="2835"/>
              </w:tabs>
              <w:rPr>
                <w:rFonts w:cs="Arial"/>
                <w:i/>
                <w:iCs/>
                <w:sz w:val="12"/>
                <w:szCs w:val="12"/>
              </w:rPr>
            </w:pPr>
            <w:r w:rsidRPr="00A32AF4">
              <w:rPr>
                <w:rFonts w:cs="Arial"/>
                <w:iCs/>
                <w:sz w:val="12"/>
                <w:szCs w:val="14"/>
              </w:rPr>
              <w:t>4</w:t>
            </w:r>
            <w:r w:rsidRPr="00A32AF4">
              <w:rPr>
                <w:rFonts w:cs="Arial"/>
                <w:iCs/>
                <w:sz w:val="12"/>
                <w:szCs w:val="14"/>
              </w:rPr>
              <w:tab/>
            </w:r>
            <w:r w:rsidRPr="00A32AF4">
              <w:rPr>
                <w:rFonts w:cs="Arial"/>
                <w:iCs/>
                <w:sz w:val="12"/>
                <w:szCs w:val="14"/>
              </w:rPr>
              <w:tab/>
              <w:t>La somme des différents éléments du budget ne correspond pas forcément au total, les chiffres ayant été arrondis</w:t>
            </w:r>
          </w:p>
        </w:tc>
        <w:tc>
          <w:tcPr>
            <w:tcW w:w="3041" w:type="dxa"/>
            <w:tcBorders>
              <w:top w:val="nil"/>
              <w:left w:val="nil"/>
              <w:bottom w:val="nil"/>
              <w:right w:val="nil"/>
            </w:tcBorders>
            <w:shd w:val="clear" w:color="auto" w:fill="auto"/>
            <w:noWrap/>
            <w:vAlign w:val="bottom"/>
          </w:tcPr>
          <w:p w:rsidR="00A4309E" w:rsidRPr="00A32AF4" w:rsidRDefault="00A4309E" w:rsidP="00DC0553">
            <w:pPr>
              <w:tabs>
                <w:tab w:val="right" w:pos="2835"/>
              </w:tabs>
              <w:rPr>
                <w:rFonts w:cs="Arial"/>
                <w:sz w:val="16"/>
                <w:szCs w:val="16"/>
              </w:rPr>
            </w:pPr>
          </w:p>
        </w:tc>
        <w:tc>
          <w:tcPr>
            <w:tcW w:w="3040" w:type="dxa"/>
            <w:tcBorders>
              <w:top w:val="nil"/>
              <w:left w:val="nil"/>
              <w:bottom w:val="nil"/>
              <w:right w:val="nil"/>
            </w:tcBorders>
            <w:shd w:val="clear" w:color="auto" w:fill="auto"/>
            <w:noWrap/>
            <w:vAlign w:val="bottom"/>
          </w:tcPr>
          <w:p w:rsidR="00A4309E" w:rsidRPr="00A32AF4" w:rsidRDefault="00A4309E" w:rsidP="00DC0553">
            <w:pPr>
              <w:tabs>
                <w:tab w:val="right" w:pos="2835"/>
              </w:tabs>
              <w:rPr>
                <w:rFonts w:cs="Arial"/>
                <w:sz w:val="16"/>
                <w:szCs w:val="16"/>
              </w:rPr>
            </w:pPr>
          </w:p>
        </w:tc>
        <w:tc>
          <w:tcPr>
            <w:tcW w:w="6085" w:type="dxa"/>
            <w:gridSpan w:val="2"/>
            <w:tcBorders>
              <w:top w:val="nil"/>
              <w:left w:val="nil"/>
              <w:bottom w:val="nil"/>
              <w:right w:val="nil"/>
            </w:tcBorders>
            <w:shd w:val="clear" w:color="auto" w:fill="auto"/>
            <w:noWrap/>
          </w:tcPr>
          <w:p w:rsidR="00F93B76" w:rsidRPr="00A32AF4" w:rsidRDefault="00F93B76" w:rsidP="00DC0553">
            <w:pPr>
              <w:tabs>
                <w:tab w:val="right" w:pos="2835"/>
              </w:tabs>
              <w:rPr>
                <w:rFonts w:cs="Arial"/>
                <w:b/>
                <w:bCs/>
                <w:i/>
                <w:iCs/>
                <w:sz w:val="16"/>
                <w:szCs w:val="16"/>
              </w:rPr>
            </w:pPr>
          </w:p>
          <w:p w:rsidR="00F93B76" w:rsidRPr="00A32AF4" w:rsidRDefault="007F5B79" w:rsidP="00DC0553">
            <w:pPr>
              <w:tabs>
                <w:tab w:val="right" w:pos="2835"/>
              </w:tabs>
              <w:rPr>
                <w:rFonts w:cs="Arial"/>
                <w:b/>
                <w:bCs/>
                <w:i/>
                <w:iCs/>
                <w:sz w:val="16"/>
                <w:szCs w:val="16"/>
              </w:rPr>
            </w:pPr>
            <w:r w:rsidRPr="00A32AF4">
              <w:rPr>
                <w:rFonts w:cs="Arial"/>
                <w:b/>
                <w:bCs/>
                <w:i/>
                <w:iCs/>
                <w:sz w:val="16"/>
                <w:szCs w:val="16"/>
              </w:rPr>
              <w:t>Budget total proposé pour 2016</w:t>
            </w:r>
            <w:r w:rsidR="00EB7F54" w:rsidRPr="00A32AF4">
              <w:rPr>
                <w:rFonts w:cs="Arial"/>
                <w:b/>
                <w:bCs/>
                <w:i/>
                <w:iCs/>
                <w:sz w:val="16"/>
                <w:szCs w:val="16"/>
              </w:rPr>
              <w:noBreakHyphen/>
            </w:r>
            <w:r w:rsidRPr="00A32AF4">
              <w:rPr>
                <w:rFonts w:cs="Arial"/>
                <w:b/>
                <w:bCs/>
                <w:i/>
                <w:iCs/>
                <w:sz w:val="16"/>
                <w:szCs w:val="16"/>
              </w:rPr>
              <w:t>2017 </w:t>
            </w:r>
            <w:r w:rsidR="00A4309E" w:rsidRPr="00A32AF4">
              <w:rPr>
                <w:rFonts w:cs="Arial"/>
                <w:b/>
                <w:bCs/>
                <w:i/>
                <w:iCs/>
                <w:sz w:val="16"/>
                <w:szCs w:val="16"/>
              </w:rPr>
              <w:t xml:space="preserve">: </w:t>
            </w:r>
            <w:r w:rsidRPr="00A32AF4">
              <w:rPr>
                <w:rFonts w:cs="Arial"/>
                <w:b/>
                <w:bCs/>
                <w:i/>
                <w:iCs/>
                <w:sz w:val="16"/>
                <w:szCs w:val="16"/>
              </w:rPr>
              <w:tab/>
            </w:r>
            <w:r w:rsidR="00A4309E" w:rsidRPr="00A32AF4">
              <w:rPr>
                <w:rFonts w:cs="Arial"/>
                <w:b/>
                <w:bCs/>
                <w:i/>
                <w:iCs/>
                <w:sz w:val="16"/>
                <w:szCs w:val="16"/>
              </w:rPr>
              <w:t>70</w:t>
            </w:r>
            <w:r w:rsidR="00D52EFC" w:rsidRPr="00A32AF4">
              <w:rPr>
                <w:rFonts w:cs="Arial"/>
                <w:b/>
                <w:bCs/>
                <w:i/>
                <w:iCs/>
                <w:sz w:val="16"/>
                <w:szCs w:val="16"/>
              </w:rPr>
              <w:t>7 0</w:t>
            </w:r>
            <w:r w:rsidR="00A4309E" w:rsidRPr="00A32AF4">
              <w:rPr>
                <w:rFonts w:cs="Arial"/>
                <w:b/>
                <w:bCs/>
                <w:i/>
                <w:iCs/>
                <w:sz w:val="16"/>
                <w:szCs w:val="16"/>
              </w:rPr>
              <w:t>36</w:t>
            </w:r>
          </w:p>
          <w:p w:rsidR="00A4309E" w:rsidRPr="00A32AF4" w:rsidRDefault="007F5B79">
            <w:pPr>
              <w:tabs>
                <w:tab w:val="right" w:pos="2663"/>
              </w:tabs>
              <w:rPr>
                <w:rFonts w:cs="Arial"/>
                <w:b/>
                <w:bCs/>
                <w:i/>
                <w:iCs/>
                <w:color w:val="0000FF"/>
                <w:sz w:val="16"/>
                <w:szCs w:val="16"/>
              </w:rPr>
            </w:pPr>
            <w:r w:rsidRPr="00A32AF4">
              <w:rPr>
                <w:rFonts w:cs="Arial"/>
                <w:b/>
                <w:bCs/>
                <w:i/>
                <w:iCs/>
                <w:color w:val="0000FF"/>
                <w:sz w:val="16"/>
                <w:szCs w:val="16"/>
              </w:rPr>
              <w:t>Part totale consacrée au développement</w:t>
            </w:r>
            <w:r w:rsidR="00D52EFC" w:rsidRPr="00A32AF4">
              <w:rPr>
                <w:rFonts w:cs="Arial"/>
                <w:b/>
                <w:bCs/>
                <w:i/>
                <w:iCs/>
                <w:color w:val="0000FF"/>
                <w:sz w:val="16"/>
                <w:szCs w:val="16"/>
              </w:rPr>
              <w:t> :</w:t>
            </w:r>
            <w:r w:rsidR="00A4309E" w:rsidRPr="00A32AF4">
              <w:rPr>
                <w:rFonts w:cs="Arial"/>
                <w:b/>
                <w:bCs/>
                <w:i/>
                <w:iCs/>
                <w:color w:val="0000FF"/>
                <w:sz w:val="16"/>
                <w:szCs w:val="16"/>
              </w:rPr>
              <w:tab/>
              <w:t>15</w:t>
            </w:r>
            <w:r w:rsidR="00A977C7" w:rsidRPr="00A32AF4">
              <w:rPr>
                <w:rFonts w:cs="Arial"/>
                <w:b/>
                <w:bCs/>
                <w:i/>
                <w:iCs/>
                <w:color w:val="0000FF"/>
                <w:sz w:val="16"/>
                <w:szCs w:val="16"/>
              </w:rPr>
              <w:t>1 500</w:t>
            </w:r>
          </w:p>
        </w:tc>
      </w:tr>
    </w:tbl>
    <w:p w:rsidR="008C6DE3" w:rsidRPr="00A32AF4" w:rsidRDefault="008C6DE3" w:rsidP="00DC0553"/>
    <w:p w:rsidR="008C6DE3" w:rsidRPr="00A32AF4" w:rsidRDefault="008C6DE3">
      <w:r w:rsidRPr="00A32AF4">
        <w:br w:type="page"/>
      </w:r>
    </w:p>
    <w:p w:rsidR="00A4309E" w:rsidRPr="00A32AF4" w:rsidRDefault="00A4309E" w:rsidP="00DC0553">
      <w:pPr>
        <w:sectPr w:rsidR="00A4309E" w:rsidRPr="00A32AF4" w:rsidSect="00A4309E">
          <w:pgSz w:w="23814" w:h="16840" w:orient="landscape" w:code="8"/>
          <w:pgMar w:top="1134" w:right="624" w:bottom="624" w:left="964" w:header="567" w:footer="851" w:gutter="0"/>
          <w:cols w:space="720"/>
          <w:docGrid w:linePitch="272"/>
        </w:sectPr>
      </w:pPr>
    </w:p>
    <w:p w:rsidR="007A1906" w:rsidRPr="00A32AF4" w:rsidRDefault="007A1906" w:rsidP="00FB1F61">
      <w:pPr>
        <w:pStyle w:val="Heading3"/>
      </w:pPr>
      <w:bookmarkStart w:id="9" w:name="_Toc431555429"/>
      <w:r w:rsidRPr="00A32AF4">
        <w:t>RÉSULTATS ET RESSOURCES</w:t>
      </w:r>
      <w:bookmarkEnd w:id="9"/>
    </w:p>
    <w:p w:rsidR="007A1906" w:rsidRPr="00A32AF4" w:rsidRDefault="007A1906" w:rsidP="00DC0553">
      <w:pPr>
        <w:jc w:val="both"/>
      </w:pPr>
    </w:p>
    <w:p w:rsidR="007A1906" w:rsidRPr="00A32AF4" w:rsidRDefault="007A1906" w:rsidP="00DC0553">
      <w:pPr>
        <w:jc w:val="both"/>
      </w:pPr>
    </w:p>
    <w:p w:rsidR="007A1906" w:rsidRPr="00A32AF4" w:rsidRDefault="007A1906" w:rsidP="00DC0553">
      <w:pPr>
        <w:pStyle w:val="ListParagraph"/>
        <w:numPr>
          <w:ilvl w:val="0"/>
          <w:numId w:val="72"/>
        </w:numPr>
        <w:tabs>
          <w:tab w:val="left" w:pos="567"/>
        </w:tabs>
        <w:spacing w:after="0" w:line="240" w:lineRule="auto"/>
        <w:ind w:left="0" w:firstLine="0"/>
        <w:jc w:val="both"/>
        <w:rPr>
          <w:rFonts w:ascii="Arial" w:eastAsia="SimSun" w:hAnsi="Arial" w:cs="Arial"/>
          <w:lang w:eastAsia="zh-CN"/>
        </w:rPr>
      </w:pPr>
      <w:r w:rsidRPr="00A32AF4">
        <w:rPr>
          <w:rFonts w:ascii="Arial" w:hAnsi="Arial"/>
        </w:rPr>
        <w:t>La proposition pour l</w:t>
      </w:r>
      <w:r w:rsidR="00E2055A" w:rsidRPr="00A32AF4">
        <w:rPr>
          <w:rFonts w:ascii="Arial" w:hAnsi="Arial"/>
        </w:rPr>
        <w:t>’</w:t>
      </w:r>
      <w:r w:rsidRPr="00A32AF4">
        <w:rPr>
          <w:rFonts w:ascii="Arial" w:hAnsi="Arial"/>
        </w:rPr>
        <w:t>exercice biennal 2016</w:t>
      </w:r>
      <w:r w:rsidR="00EB7F54" w:rsidRPr="00A32AF4">
        <w:rPr>
          <w:rFonts w:ascii="Arial" w:hAnsi="Arial"/>
        </w:rPr>
        <w:noBreakHyphen/>
      </w:r>
      <w:r w:rsidRPr="00A32AF4">
        <w:rPr>
          <w:rFonts w:ascii="Arial" w:hAnsi="Arial"/>
        </w:rPr>
        <w:t>2017 vise par conséquent à faire en sorte que les ressources de l</w:t>
      </w:r>
      <w:r w:rsidR="00E2055A" w:rsidRPr="00A32AF4">
        <w:rPr>
          <w:rFonts w:ascii="Arial" w:hAnsi="Arial"/>
        </w:rPr>
        <w:t>’</w:t>
      </w:r>
      <w:r w:rsidRPr="00A32AF4">
        <w:rPr>
          <w:rFonts w:ascii="Arial" w:hAnsi="Arial"/>
        </w:rPr>
        <w:t>Organisation continuent d</w:t>
      </w:r>
      <w:r w:rsidR="00E2055A" w:rsidRPr="00A32AF4">
        <w:rPr>
          <w:rFonts w:ascii="Arial" w:hAnsi="Arial"/>
        </w:rPr>
        <w:t>’</w:t>
      </w:r>
      <w:r w:rsidRPr="00A32AF4">
        <w:rPr>
          <w:rFonts w:ascii="Arial" w:hAnsi="Arial"/>
        </w:rPr>
        <w:t>être affectées en premier lieu à l</w:t>
      </w:r>
      <w:r w:rsidR="00E2055A" w:rsidRPr="00A32AF4">
        <w:rPr>
          <w:rFonts w:ascii="Arial" w:hAnsi="Arial"/>
        </w:rPr>
        <w:t>’</w:t>
      </w:r>
      <w:r w:rsidRPr="00A32AF4">
        <w:rPr>
          <w:rFonts w:ascii="Arial" w:hAnsi="Arial"/>
        </w:rPr>
        <w:t>obtention des résultats auxquels nos États membres et nos parties prenantes attachent la plus haute importance.  Le montant total des dépenses proposées pour l</w:t>
      </w:r>
      <w:r w:rsidR="00E2055A" w:rsidRPr="00A32AF4">
        <w:rPr>
          <w:rFonts w:ascii="Arial" w:hAnsi="Arial"/>
        </w:rPr>
        <w:t>’</w:t>
      </w:r>
      <w:r w:rsidRPr="00A32AF4">
        <w:rPr>
          <w:rFonts w:ascii="Arial" w:hAnsi="Arial"/>
        </w:rPr>
        <w:t>exercice 2016</w:t>
      </w:r>
      <w:r w:rsidR="00EB7F54" w:rsidRPr="00A32AF4">
        <w:rPr>
          <w:rFonts w:ascii="Arial" w:hAnsi="Arial"/>
        </w:rPr>
        <w:noBreakHyphen/>
      </w:r>
      <w:r w:rsidRPr="00A32AF4">
        <w:rPr>
          <w:rFonts w:ascii="Arial" w:hAnsi="Arial"/>
        </w:rPr>
        <w:t>2017 s</w:t>
      </w:r>
      <w:r w:rsidR="00E2055A" w:rsidRPr="00A32AF4">
        <w:rPr>
          <w:rFonts w:ascii="Arial" w:hAnsi="Arial"/>
        </w:rPr>
        <w:t>’</w:t>
      </w:r>
      <w:r w:rsidRPr="00A32AF4">
        <w:rPr>
          <w:rFonts w:ascii="Arial" w:hAnsi="Arial"/>
        </w:rPr>
        <w:t>élève à 707 millions de francs suisses, soit une augmentation de 33 millions de francs suisses ou 4,9% par rapport au budget 2014</w:t>
      </w:r>
      <w:r w:rsidR="00EB7F54" w:rsidRPr="00A32AF4">
        <w:rPr>
          <w:rFonts w:ascii="Arial" w:hAnsi="Arial"/>
        </w:rPr>
        <w:noBreakHyphen/>
      </w:r>
      <w:r w:rsidRPr="00A32AF4">
        <w:rPr>
          <w:rFonts w:ascii="Arial" w:hAnsi="Arial"/>
        </w:rPr>
        <w:t>2015 approuvé de 674 millions de francs suisses.</w:t>
      </w:r>
      <w:r w:rsidRPr="00A32AF4">
        <w:rPr>
          <w:rFonts w:ascii="Arial" w:eastAsia="SimSun" w:hAnsi="Arial" w:cs="Arial"/>
          <w:lang w:eastAsia="zh-CN"/>
        </w:rPr>
        <w:t xml:space="preserve">  Ces chiffres doivent être considérés au regard d</w:t>
      </w:r>
      <w:r w:rsidR="00E2055A" w:rsidRPr="00A32AF4">
        <w:rPr>
          <w:rFonts w:ascii="Arial" w:eastAsia="SimSun" w:hAnsi="Arial" w:cs="Arial"/>
          <w:lang w:eastAsia="zh-CN"/>
        </w:rPr>
        <w:t>’</w:t>
      </w:r>
      <w:r w:rsidRPr="00A32AF4">
        <w:rPr>
          <w:rFonts w:ascii="Arial" w:eastAsia="SimSun" w:hAnsi="Arial" w:cs="Arial"/>
          <w:lang w:eastAsia="zh-CN"/>
        </w:rPr>
        <w:t>une augmentation prévisionnelle des recettes de 6% par rapport au budget 2014</w:t>
      </w:r>
      <w:r w:rsidR="00EB7F54" w:rsidRPr="00A32AF4">
        <w:rPr>
          <w:rFonts w:ascii="Arial" w:eastAsia="SimSun" w:hAnsi="Arial" w:cs="Arial"/>
          <w:lang w:eastAsia="zh-CN"/>
        </w:rPr>
        <w:noBreakHyphen/>
      </w:r>
      <w:r w:rsidRPr="00A32AF4">
        <w:rPr>
          <w:rFonts w:ascii="Arial" w:eastAsia="SimSun" w:hAnsi="Arial" w:cs="Arial"/>
          <w:lang w:eastAsia="zh-CN"/>
        </w:rPr>
        <w:t>2015 approuvé.  Ils illustrent les efforts déployés par le Secrétariat pour maîtriser les dépenses malgré l</w:t>
      </w:r>
      <w:r w:rsidR="00E2055A" w:rsidRPr="00A32AF4">
        <w:rPr>
          <w:rFonts w:ascii="Arial" w:eastAsia="SimSun" w:hAnsi="Arial" w:cs="Arial"/>
          <w:lang w:eastAsia="zh-CN"/>
        </w:rPr>
        <w:t>’</w:t>
      </w:r>
      <w:r w:rsidRPr="00A32AF4">
        <w:rPr>
          <w:rFonts w:ascii="Arial" w:eastAsia="SimSun" w:hAnsi="Arial" w:cs="Arial"/>
          <w:lang w:eastAsia="zh-CN"/>
        </w:rPr>
        <w:t>augmentation continue de la demande relative à ses services.</w:t>
      </w:r>
    </w:p>
    <w:p w:rsidR="007A1906" w:rsidRPr="00A32AF4" w:rsidRDefault="007A1906" w:rsidP="00DC0553">
      <w:pPr>
        <w:jc w:val="both"/>
      </w:pPr>
    </w:p>
    <w:p w:rsidR="007A1906" w:rsidRPr="00A32AF4" w:rsidRDefault="007A1906" w:rsidP="00DC0553">
      <w:pPr>
        <w:pStyle w:val="ListParagraph"/>
        <w:numPr>
          <w:ilvl w:val="0"/>
          <w:numId w:val="72"/>
        </w:numPr>
        <w:tabs>
          <w:tab w:val="left" w:pos="567"/>
        </w:tabs>
        <w:spacing w:after="0" w:line="240" w:lineRule="auto"/>
        <w:ind w:left="0" w:firstLine="0"/>
        <w:jc w:val="both"/>
        <w:rPr>
          <w:rFonts w:ascii="Arial" w:hAnsi="Arial"/>
        </w:rPr>
      </w:pPr>
      <w:r w:rsidRPr="00A32AF4">
        <w:rPr>
          <w:rFonts w:ascii="Arial" w:hAnsi="Arial"/>
        </w:rPr>
        <w:t>Le tableau synoptique des résultats présente les 37 résultats escomptés au niveau de l</w:t>
      </w:r>
      <w:r w:rsidR="00E2055A" w:rsidRPr="00A32AF4">
        <w:rPr>
          <w:rFonts w:ascii="Arial" w:hAnsi="Arial"/>
        </w:rPr>
        <w:t>’</w:t>
      </w:r>
      <w:r w:rsidRPr="00A32AF4">
        <w:rPr>
          <w:rFonts w:ascii="Arial" w:hAnsi="Arial"/>
        </w:rPr>
        <w:t>Organisation pour l</w:t>
      </w:r>
      <w:r w:rsidR="00E2055A" w:rsidRPr="00A32AF4">
        <w:rPr>
          <w:rFonts w:ascii="Arial" w:hAnsi="Arial"/>
        </w:rPr>
        <w:t>’</w:t>
      </w:r>
      <w:r w:rsidRPr="00A32AF4">
        <w:rPr>
          <w:rFonts w:ascii="Arial" w:hAnsi="Arial"/>
        </w:rPr>
        <w:t>exercice 2016</w:t>
      </w:r>
      <w:r w:rsidR="00EB7F54" w:rsidRPr="00A32AF4">
        <w:rPr>
          <w:rFonts w:ascii="Arial" w:hAnsi="Arial"/>
        </w:rPr>
        <w:noBreakHyphen/>
      </w:r>
      <w:r w:rsidRPr="00A32AF4">
        <w:rPr>
          <w:rFonts w:ascii="Arial" w:hAnsi="Arial"/>
        </w:rPr>
        <w:t>2017 avec indication du mandat attaché à chacun des programmes contribuant à leur obtention.  Il contient également une présentation fondée sur les résultats du budget de l</w:t>
      </w:r>
      <w:r w:rsidR="00E2055A" w:rsidRPr="00A32AF4">
        <w:rPr>
          <w:rFonts w:ascii="Arial" w:hAnsi="Arial"/>
        </w:rPr>
        <w:t>’</w:t>
      </w:r>
      <w:r w:rsidRPr="00A32AF4">
        <w:rPr>
          <w:rFonts w:ascii="Arial" w:hAnsi="Arial"/>
        </w:rPr>
        <w:t>exercice biennal 2016</w:t>
      </w:r>
      <w:r w:rsidR="00EB7F54" w:rsidRPr="00A32AF4">
        <w:rPr>
          <w:rFonts w:ascii="Arial" w:hAnsi="Arial"/>
        </w:rPr>
        <w:noBreakHyphen/>
      </w:r>
      <w:r w:rsidRPr="00A32AF4">
        <w:rPr>
          <w:rFonts w:ascii="Arial" w:hAnsi="Arial"/>
        </w:rPr>
        <w:t>2017 et de la part des ressources consacrées au développement pour chaque résultat.  Une répartition des ressources extrabudgétaires potentiellement disponibles au titre de chaque programme est également indiquée au niveau des programmes et dans l</w:t>
      </w:r>
      <w:r w:rsidR="00E2055A" w:rsidRPr="00A32AF4">
        <w:rPr>
          <w:rFonts w:ascii="Arial" w:hAnsi="Arial"/>
        </w:rPr>
        <w:t>’</w:t>
      </w:r>
      <w:r w:rsidRPr="00A32AF4">
        <w:rPr>
          <w:rFonts w:ascii="Arial" w:hAnsi="Arial"/>
        </w:rPr>
        <w:t>annexe VIII.</w:t>
      </w:r>
    </w:p>
    <w:p w:rsidR="007A1906" w:rsidRPr="00A32AF4" w:rsidRDefault="007A1906" w:rsidP="00DC0553">
      <w:pPr>
        <w:jc w:val="both"/>
      </w:pPr>
    </w:p>
    <w:p w:rsidR="007A1906" w:rsidRPr="00A32AF4" w:rsidRDefault="007A1906" w:rsidP="00DC0553">
      <w:pPr>
        <w:pStyle w:val="ListParagraph"/>
        <w:numPr>
          <w:ilvl w:val="0"/>
          <w:numId w:val="72"/>
        </w:numPr>
        <w:tabs>
          <w:tab w:val="left" w:pos="567"/>
        </w:tabs>
        <w:spacing w:after="0" w:line="240" w:lineRule="auto"/>
        <w:ind w:left="0" w:firstLine="0"/>
        <w:jc w:val="both"/>
        <w:rPr>
          <w:rFonts w:ascii="Arial" w:hAnsi="Arial" w:cs="Arial"/>
        </w:rPr>
      </w:pPr>
      <w:r w:rsidRPr="00A32AF4">
        <w:rPr>
          <w:rFonts w:ascii="Arial" w:eastAsia="SimSun" w:hAnsi="Arial" w:cs="Arial"/>
          <w:lang w:eastAsia="zh-CN"/>
        </w:rPr>
        <w:t>Le budget 2016</w:t>
      </w:r>
      <w:r w:rsidR="00EB7F54" w:rsidRPr="00A32AF4">
        <w:rPr>
          <w:rFonts w:ascii="Arial" w:eastAsia="SimSun" w:hAnsi="Arial" w:cs="Arial"/>
          <w:lang w:eastAsia="zh-CN"/>
        </w:rPr>
        <w:noBreakHyphen/>
      </w:r>
      <w:r w:rsidRPr="00A32AF4">
        <w:rPr>
          <w:rFonts w:ascii="Arial" w:eastAsia="SimSun" w:hAnsi="Arial" w:cs="Arial"/>
          <w:lang w:eastAsia="zh-CN"/>
        </w:rPr>
        <w:t>2017 par programme et par catégorie de dépenses est résumé dans les tableaux 4 et 5.  La structure des programmes est inchangée par rapport à l</w:t>
      </w:r>
      <w:r w:rsidR="00E2055A" w:rsidRPr="00A32AF4">
        <w:rPr>
          <w:rFonts w:ascii="Arial" w:eastAsia="SimSun" w:hAnsi="Arial" w:cs="Arial"/>
          <w:lang w:eastAsia="zh-CN"/>
        </w:rPr>
        <w:t>’</w:t>
      </w:r>
      <w:r w:rsidRPr="00A32AF4">
        <w:rPr>
          <w:rFonts w:ascii="Arial" w:eastAsia="SimSun" w:hAnsi="Arial" w:cs="Arial"/>
          <w:lang w:eastAsia="zh-CN"/>
        </w:rPr>
        <w:t>exercice biennal 2014</w:t>
      </w:r>
      <w:r w:rsidR="00EB7F54" w:rsidRPr="00A32AF4">
        <w:rPr>
          <w:rFonts w:ascii="Arial" w:eastAsia="SimSun" w:hAnsi="Arial" w:cs="Arial"/>
          <w:lang w:eastAsia="zh-CN"/>
        </w:rPr>
        <w:noBreakHyphen/>
      </w:r>
      <w:r w:rsidRPr="00A32AF4">
        <w:rPr>
          <w:rFonts w:ascii="Arial" w:eastAsia="SimSun" w:hAnsi="Arial" w:cs="Arial"/>
          <w:lang w:eastAsia="zh-CN"/>
        </w:rPr>
        <w:t>2015, sauf en ce qui concerne i) le programme 29 (Nouvelle salle de conférence) qui, compte tenu de l</w:t>
      </w:r>
      <w:r w:rsidR="00E2055A" w:rsidRPr="00A32AF4">
        <w:rPr>
          <w:rFonts w:ascii="Arial" w:eastAsia="SimSun" w:hAnsi="Arial" w:cs="Arial"/>
          <w:lang w:eastAsia="zh-CN"/>
        </w:rPr>
        <w:t>’</w:t>
      </w:r>
      <w:r w:rsidRPr="00A32AF4">
        <w:rPr>
          <w:rFonts w:ascii="Arial" w:eastAsia="SimSun" w:hAnsi="Arial" w:cs="Arial"/>
          <w:lang w:eastAsia="zh-CN"/>
        </w:rPr>
        <w:t>achèvement de la construction, n</w:t>
      </w:r>
      <w:r w:rsidR="00E2055A" w:rsidRPr="00A32AF4">
        <w:rPr>
          <w:rFonts w:ascii="Arial" w:eastAsia="SimSun" w:hAnsi="Arial" w:cs="Arial"/>
          <w:lang w:eastAsia="zh-CN"/>
        </w:rPr>
        <w:t>’</w:t>
      </w:r>
      <w:r w:rsidRPr="00A32AF4">
        <w:rPr>
          <w:rFonts w:ascii="Arial" w:eastAsia="SimSun" w:hAnsi="Arial" w:cs="Arial"/>
          <w:lang w:eastAsia="zh-CN"/>
        </w:rPr>
        <w:t>est plus nécessaire pour l</w:t>
      </w:r>
      <w:r w:rsidR="00E2055A" w:rsidRPr="00A32AF4">
        <w:rPr>
          <w:rFonts w:ascii="Arial" w:eastAsia="SimSun" w:hAnsi="Arial" w:cs="Arial"/>
          <w:lang w:eastAsia="zh-CN"/>
        </w:rPr>
        <w:t>’</w:t>
      </w:r>
      <w:r w:rsidRPr="00A32AF4">
        <w:rPr>
          <w:rFonts w:ascii="Arial" w:eastAsia="SimSun" w:hAnsi="Arial" w:cs="Arial"/>
          <w:lang w:eastAsia="zh-CN"/>
        </w:rPr>
        <w:t>exercice 2016</w:t>
      </w:r>
      <w:r w:rsidR="00EB7F54" w:rsidRPr="00A32AF4">
        <w:rPr>
          <w:rFonts w:ascii="Arial" w:eastAsia="SimSun" w:hAnsi="Arial" w:cs="Arial"/>
          <w:lang w:eastAsia="zh-CN"/>
        </w:rPr>
        <w:noBreakHyphen/>
      </w:r>
      <w:r w:rsidRPr="00A32AF4">
        <w:rPr>
          <w:rFonts w:ascii="Arial" w:eastAsia="SimSun" w:hAnsi="Arial" w:cs="Arial"/>
          <w:lang w:eastAsia="zh-CN"/>
        </w:rPr>
        <w:t>2017, et ii) le programme 28 qui englobe désormais la sécurité des informations (qui relevait auparavant du programme 25 (Technologies de l</w:t>
      </w:r>
      <w:r w:rsidR="00E2055A" w:rsidRPr="00A32AF4">
        <w:rPr>
          <w:rFonts w:ascii="Arial" w:eastAsia="SimSun" w:hAnsi="Arial" w:cs="Arial"/>
          <w:lang w:eastAsia="zh-CN"/>
        </w:rPr>
        <w:t>’</w:t>
      </w:r>
      <w:r w:rsidRPr="00A32AF4">
        <w:rPr>
          <w:rFonts w:ascii="Arial" w:eastAsia="SimSun" w:hAnsi="Arial" w:cs="Arial"/>
          <w:lang w:eastAsia="zh-CN"/>
        </w:rPr>
        <w:t>information et de la communication)), des biens et des personnes.  La comparaison du budget 2016</w:t>
      </w:r>
      <w:r w:rsidR="00EB7F54" w:rsidRPr="00A32AF4">
        <w:rPr>
          <w:rFonts w:ascii="Arial" w:eastAsia="SimSun" w:hAnsi="Arial" w:cs="Arial"/>
          <w:lang w:eastAsia="zh-CN"/>
        </w:rPr>
        <w:noBreakHyphen/>
      </w:r>
      <w:r w:rsidRPr="00A32AF4">
        <w:rPr>
          <w:rFonts w:ascii="Arial" w:eastAsia="SimSun" w:hAnsi="Arial" w:cs="Arial"/>
          <w:lang w:eastAsia="zh-CN"/>
        </w:rPr>
        <w:t>2017 par programme avec le budget 2014</w:t>
      </w:r>
      <w:r w:rsidR="00EB7F54" w:rsidRPr="00A32AF4">
        <w:rPr>
          <w:rFonts w:ascii="Arial" w:eastAsia="SimSun" w:hAnsi="Arial" w:cs="Arial"/>
          <w:lang w:eastAsia="zh-CN"/>
        </w:rPr>
        <w:noBreakHyphen/>
      </w:r>
      <w:r w:rsidRPr="00A32AF4">
        <w:rPr>
          <w:rFonts w:ascii="Arial" w:eastAsia="SimSun" w:hAnsi="Arial" w:cs="Arial"/>
          <w:lang w:eastAsia="zh-CN"/>
        </w:rPr>
        <w:t>2015 approuvé et le budget 2014</w:t>
      </w:r>
      <w:r w:rsidR="00EB7F54" w:rsidRPr="00A32AF4">
        <w:rPr>
          <w:rFonts w:ascii="Arial" w:eastAsia="SimSun" w:hAnsi="Arial" w:cs="Arial"/>
          <w:lang w:eastAsia="zh-CN"/>
        </w:rPr>
        <w:noBreakHyphen/>
      </w:r>
      <w:r w:rsidRPr="00A32AF4">
        <w:rPr>
          <w:rFonts w:ascii="Arial" w:eastAsia="SimSun" w:hAnsi="Arial" w:cs="Arial"/>
          <w:lang w:eastAsia="zh-CN"/>
        </w:rPr>
        <w:t>2015 après virements figure à l</w:t>
      </w:r>
      <w:r w:rsidR="00E2055A" w:rsidRPr="00A32AF4">
        <w:rPr>
          <w:rFonts w:ascii="Arial" w:eastAsia="SimSun" w:hAnsi="Arial" w:cs="Arial"/>
          <w:lang w:eastAsia="zh-CN"/>
        </w:rPr>
        <w:t>’</w:t>
      </w:r>
      <w:r w:rsidRPr="00A32AF4">
        <w:rPr>
          <w:rFonts w:ascii="Arial" w:eastAsia="SimSun" w:hAnsi="Arial" w:cs="Arial"/>
          <w:lang w:eastAsia="zh-CN"/>
        </w:rPr>
        <w:t>annexe I.  À l</w:t>
      </w:r>
      <w:r w:rsidR="00E2055A" w:rsidRPr="00A32AF4">
        <w:rPr>
          <w:rFonts w:ascii="Arial" w:eastAsia="SimSun" w:hAnsi="Arial" w:cs="Arial"/>
          <w:lang w:eastAsia="zh-CN"/>
        </w:rPr>
        <w:t>’</w:t>
      </w:r>
      <w:r w:rsidRPr="00A32AF4">
        <w:rPr>
          <w:rFonts w:ascii="Arial" w:eastAsia="SimSun" w:hAnsi="Arial" w:cs="Arial"/>
          <w:lang w:eastAsia="zh-CN"/>
        </w:rPr>
        <w:t>annexe III, le tableau 13 contient le budget pour 2016</w:t>
      </w:r>
      <w:r w:rsidR="00EB7F54" w:rsidRPr="00A32AF4">
        <w:rPr>
          <w:rFonts w:ascii="Arial" w:eastAsia="SimSun" w:hAnsi="Arial" w:cs="Arial"/>
          <w:lang w:eastAsia="zh-CN"/>
        </w:rPr>
        <w:noBreakHyphen/>
      </w:r>
      <w:r w:rsidRPr="00A32AF4">
        <w:rPr>
          <w:rFonts w:ascii="Arial" w:eastAsia="SimSun" w:hAnsi="Arial" w:cs="Arial"/>
          <w:lang w:eastAsia="zh-CN"/>
        </w:rPr>
        <w:t>2017 par programme et par union.</w:t>
      </w:r>
    </w:p>
    <w:p w:rsidR="007A1906" w:rsidRPr="00A32AF4" w:rsidRDefault="007A1906" w:rsidP="00DC0553">
      <w:pPr>
        <w:tabs>
          <w:tab w:val="num" w:pos="690"/>
        </w:tabs>
        <w:jc w:val="both"/>
        <w:rPr>
          <w:rFonts w:cs="Arial"/>
        </w:rPr>
      </w:pPr>
    </w:p>
    <w:p w:rsidR="007A1906" w:rsidRPr="00A32AF4" w:rsidRDefault="007A1906" w:rsidP="00DC0553">
      <w:pPr>
        <w:pStyle w:val="ListParagraph"/>
        <w:numPr>
          <w:ilvl w:val="0"/>
          <w:numId w:val="72"/>
        </w:numPr>
        <w:tabs>
          <w:tab w:val="left" w:pos="567"/>
        </w:tabs>
        <w:spacing w:after="0" w:line="240" w:lineRule="auto"/>
        <w:ind w:left="0" w:firstLine="0"/>
        <w:jc w:val="both"/>
        <w:rPr>
          <w:rFonts w:ascii="Arial" w:hAnsi="Arial" w:cs="Arial"/>
        </w:rPr>
      </w:pPr>
      <w:r w:rsidRPr="00A32AF4">
        <w:rPr>
          <w:rFonts w:ascii="Arial" w:hAnsi="Arial" w:cs="Arial"/>
        </w:rPr>
        <w:t>Le budget de l</w:t>
      </w:r>
      <w:r w:rsidR="00E2055A" w:rsidRPr="00A32AF4">
        <w:rPr>
          <w:rFonts w:ascii="Arial" w:hAnsi="Arial" w:cs="Arial"/>
        </w:rPr>
        <w:t>’</w:t>
      </w:r>
      <w:r w:rsidRPr="00A32AF4">
        <w:rPr>
          <w:rFonts w:ascii="Arial" w:hAnsi="Arial" w:cs="Arial"/>
        </w:rPr>
        <w:t>OMPI est établi sur la base d</w:t>
      </w:r>
      <w:r w:rsidR="00E2055A" w:rsidRPr="00A32AF4">
        <w:rPr>
          <w:rFonts w:ascii="Arial" w:hAnsi="Arial" w:cs="Arial"/>
        </w:rPr>
        <w:t>’</w:t>
      </w:r>
      <w:r w:rsidRPr="00A32AF4">
        <w:rPr>
          <w:rFonts w:ascii="Arial" w:hAnsi="Arial" w:cs="Arial"/>
        </w:rPr>
        <w:t>une comptabilité d</w:t>
      </w:r>
      <w:r w:rsidR="00E2055A" w:rsidRPr="00A32AF4">
        <w:rPr>
          <w:rFonts w:ascii="Arial" w:hAnsi="Arial" w:cs="Arial"/>
        </w:rPr>
        <w:t>’</w:t>
      </w:r>
      <w:r w:rsidRPr="00A32AF4">
        <w:rPr>
          <w:rFonts w:ascii="Arial" w:hAnsi="Arial" w:cs="Arial"/>
        </w:rPr>
        <w:t>exercice modifiée</w:t>
      </w:r>
      <w:r w:rsidRPr="00A32AF4">
        <w:rPr>
          <w:rStyle w:val="FootnoteReference"/>
          <w:rFonts w:ascii="Arial" w:hAnsi="Arial" w:cs="Arial"/>
        </w:rPr>
        <w:footnoteReference w:id="6"/>
      </w:r>
      <w:r w:rsidRPr="00A32AF4">
        <w:rPr>
          <w:rFonts w:ascii="Arial" w:hAnsi="Arial" w:cs="Arial"/>
        </w:rPr>
        <w:t xml:space="preserve"> conformément au Règlement financier et au règlement d</w:t>
      </w:r>
      <w:r w:rsidR="00E2055A" w:rsidRPr="00A32AF4">
        <w:rPr>
          <w:rFonts w:ascii="Arial" w:hAnsi="Arial" w:cs="Arial"/>
        </w:rPr>
        <w:t>’</w:t>
      </w:r>
      <w:r w:rsidRPr="00A32AF4">
        <w:rPr>
          <w:rFonts w:ascii="Arial" w:hAnsi="Arial" w:cs="Arial"/>
        </w:rPr>
        <w:t>exécution du Règlement financier de l</w:t>
      </w:r>
      <w:r w:rsidR="00E2055A" w:rsidRPr="00A32AF4">
        <w:rPr>
          <w:rFonts w:ascii="Arial" w:hAnsi="Arial" w:cs="Arial"/>
        </w:rPr>
        <w:t>’</w:t>
      </w:r>
      <w:r w:rsidRPr="00A32AF4">
        <w:rPr>
          <w:rFonts w:ascii="Arial" w:hAnsi="Arial" w:cs="Arial"/>
        </w:rPr>
        <w:t>Organisation.</w:t>
      </w:r>
      <w:r w:rsidRPr="00A32AF4">
        <w:rPr>
          <w:rFonts w:ascii="Arial" w:hAnsi="Arial"/>
        </w:rPr>
        <w:t xml:space="preserve">  </w:t>
      </w:r>
      <w:r w:rsidRPr="00A32AF4">
        <w:rPr>
          <w:rFonts w:ascii="Arial" w:hAnsi="Arial" w:cs="Arial"/>
        </w:rPr>
        <w:t>Il continue d</w:t>
      </w:r>
      <w:r w:rsidR="00E2055A" w:rsidRPr="00A32AF4">
        <w:rPr>
          <w:rFonts w:ascii="Arial" w:hAnsi="Arial" w:cs="Arial"/>
        </w:rPr>
        <w:t>’</w:t>
      </w:r>
      <w:r w:rsidRPr="00A32AF4">
        <w:rPr>
          <w:rFonts w:ascii="Arial" w:hAnsi="Arial" w:cs="Arial"/>
        </w:rPr>
        <w:t>être présenté et adopté par les assemblées sur une base biennale.</w:t>
      </w:r>
      <w:r w:rsidRPr="00A32AF4">
        <w:rPr>
          <w:rFonts w:ascii="Arial" w:hAnsi="Arial"/>
        </w:rPr>
        <w:t xml:space="preserve">  </w:t>
      </w:r>
      <w:r w:rsidRPr="00A32AF4">
        <w:rPr>
          <w:rFonts w:ascii="Arial" w:hAnsi="Arial" w:cs="Arial"/>
        </w:rPr>
        <w:t>L</w:t>
      </w:r>
      <w:r w:rsidR="00E2055A" w:rsidRPr="00A32AF4">
        <w:rPr>
          <w:rFonts w:ascii="Arial" w:hAnsi="Arial" w:cs="Arial"/>
        </w:rPr>
        <w:t>’</w:t>
      </w:r>
      <w:r w:rsidRPr="00A32AF4">
        <w:rPr>
          <w:rFonts w:ascii="Arial" w:hAnsi="Arial" w:cs="Arial"/>
        </w:rPr>
        <w:t>exigence découlant des normes IPSAS relative à l</w:t>
      </w:r>
      <w:r w:rsidR="00E2055A" w:rsidRPr="00A32AF4">
        <w:rPr>
          <w:rFonts w:ascii="Arial" w:hAnsi="Arial" w:cs="Arial"/>
        </w:rPr>
        <w:t>’</w:t>
      </w:r>
      <w:r w:rsidRPr="00A32AF4">
        <w:rPr>
          <w:rFonts w:ascii="Arial" w:hAnsi="Arial" w:cs="Arial"/>
        </w:rPr>
        <w:t>établissement de rapports annuels sur les états financiers de l</w:t>
      </w:r>
      <w:r w:rsidR="00E2055A" w:rsidRPr="00A32AF4">
        <w:rPr>
          <w:rFonts w:ascii="Arial" w:hAnsi="Arial" w:cs="Arial"/>
        </w:rPr>
        <w:t>’</w:t>
      </w:r>
      <w:r w:rsidRPr="00A32AF4">
        <w:rPr>
          <w:rFonts w:ascii="Arial" w:hAnsi="Arial" w:cs="Arial"/>
        </w:rPr>
        <w:t>Organisation impose également à l</w:t>
      </w:r>
      <w:r w:rsidR="00E2055A" w:rsidRPr="00A32AF4">
        <w:rPr>
          <w:rFonts w:ascii="Arial" w:hAnsi="Arial" w:cs="Arial"/>
        </w:rPr>
        <w:t>’</w:t>
      </w:r>
      <w:r w:rsidRPr="00A32AF4">
        <w:rPr>
          <w:rFonts w:ascii="Arial" w:hAnsi="Arial" w:cs="Arial"/>
        </w:rPr>
        <w:t>OMPI de présenter son budget chaque année.</w:t>
      </w:r>
      <w:r w:rsidRPr="00A32AF4">
        <w:rPr>
          <w:rFonts w:ascii="Arial" w:hAnsi="Arial"/>
        </w:rPr>
        <w:t xml:space="preserve">  </w:t>
      </w:r>
      <w:r w:rsidRPr="00A32AF4">
        <w:rPr>
          <w:rFonts w:ascii="Arial" w:hAnsi="Arial" w:cs="Arial"/>
        </w:rPr>
        <w:t>À cette fin, les montants relatifs au budget annuel pour les recettes et les dépenses figurent à l</w:t>
      </w:r>
      <w:r w:rsidR="00E2055A" w:rsidRPr="00A32AF4">
        <w:rPr>
          <w:rFonts w:ascii="Arial" w:hAnsi="Arial" w:cs="Arial"/>
        </w:rPr>
        <w:t>’</w:t>
      </w:r>
      <w:r w:rsidRPr="00A32AF4">
        <w:rPr>
          <w:rFonts w:ascii="Arial" w:hAnsi="Arial" w:cs="Arial"/>
        </w:rPr>
        <w:t>annexe IX du présent document.</w:t>
      </w:r>
    </w:p>
    <w:p w:rsidR="007A1906" w:rsidRPr="00A32AF4" w:rsidRDefault="007A1906" w:rsidP="00DC0553">
      <w:pPr>
        <w:tabs>
          <w:tab w:val="num" w:pos="690"/>
        </w:tabs>
        <w:jc w:val="both"/>
        <w:rPr>
          <w:rFonts w:cs="Arial"/>
        </w:rPr>
      </w:pPr>
    </w:p>
    <w:p w:rsidR="007A1906" w:rsidRPr="00A32AF4" w:rsidRDefault="007A1906" w:rsidP="00DC0553">
      <w:pPr>
        <w:keepNext/>
        <w:keepLines/>
        <w:jc w:val="center"/>
        <w:rPr>
          <w:rFonts w:cs="Arial"/>
          <w:b/>
        </w:rPr>
      </w:pPr>
      <w:r w:rsidRPr="00A32AF4">
        <w:rPr>
          <w:rFonts w:cs="Arial"/>
          <w:b/>
        </w:rPr>
        <w:t>Tableau 4.  Budget proposé pour 2016</w:t>
      </w:r>
      <w:r w:rsidR="00EB7F54" w:rsidRPr="00A32AF4">
        <w:rPr>
          <w:rFonts w:cs="Arial"/>
          <w:b/>
        </w:rPr>
        <w:noBreakHyphen/>
      </w:r>
      <w:r w:rsidRPr="00A32AF4">
        <w:rPr>
          <w:rFonts w:cs="Arial"/>
          <w:b/>
        </w:rPr>
        <w:t>2017 par programme</w:t>
      </w:r>
    </w:p>
    <w:p w:rsidR="007A1906" w:rsidRPr="00A32AF4" w:rsidRDefault="007A1906" w:rsidP="00DC0553">
      <w:pPr>
        <w:keepNext/>
        <w:keepLines/>
        <w:jc w:val="center"/>
        <w:rPr>
          <w:rFonts w:cs="Arial"/>
          <w:i/>
        </w:rPr>
      </w:pPr>
      <w:r w:rsidRPr="00A32AF4">
        <w:rPr>
          <w:rFonts w:cs="Arial"/>
          <w:i/>
        </w:rPr>
        <w:t>(</w:t>
      </w:r>
      <w:proofErr w:type="gramStart"/>
      <w:r w:rsidRPr="00A32AF4">
        <w:rPr>
          <w:rFonts w:cs="Arial"/>
          <w:i/>
        </w:rPr>
        <w:t>en</w:t>
      </w:r>
      <w:proofErr w:type="gramEnd"/>
      <w:r w:rsidRPr="00A32AF4">
        <w:rPr>
          <w:rFonts w:cs="Arial"/>
          <w:i/>
        </w:rPr>
        <w:t xml:space="preserve"> milliers de francs suisses)</w:t>
      </w:r>
    </w:p>
    <w:p w:rsidR="00F93B76" w:rsidRPr="00A32AF4" w:rsidRDefault="00F93B76" w:rsidP="00DC0553">
      <w:pPr>
        <w:keepNext/>
        <w:keepLines/>
        <w:tabs>
          <w:tab w:val="num" w:pos="690"/>
        </w:tabs>
        <w:jc w:val="both"/>
        <w:rPr>
          <w:rFonts w:cs="Arial"/>
        </w:rPr>
      </w:pPr>
    </w:p>
    <w:p w:rsidR="00F83184" w:rsidRPr="00A32AF4" w:rsidRDefault="003A005E" w:rsidP="00DC0553">
      <w:pPr>
        <w:keepNext/>
        <w:keepLines/>
        <w:tabs>
          <w:tab w:val="num" w:pos="690"/>
        </w:tabs>
        <w:jc w:val="both"/>
        <w:rPr>
          <w:rFonts w:cs="Arial"/>
        </w:rPr>
      </w:pPr>
      <w:r w:rsidRPr="00A32AF4">
        <w:rPr>
          <w:noProof/>
          <w:lang w:eastAsia="fr-FR"/>
        </w:rPr>
        <w:drawing>
          <wp:inline distT="0" distB="0" distL="0" distR="0" wp14:anchorId="06CA1FDF" wp14:editId="13355D98">
            <wp:extent cx="5760085" cy="6393537"/>
            <wp:effectExtent l="0" t="0" r="0" b="762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0085" cy="6393537"/>
                    </a:xfrm>
                    <a:prstGeom prst="rect">
                      <a:avLst/>
                    </a:prstGeom>
                    <a:noFill/>
                    <a:ln>
                      <a:noFill/>
                    </a:ln>
                  </pic:spPr>
                </pic:pic>
              </a:graphicData>
            </a:graphic>
          </wp:inline>
        </w:drawing>
      </w:r>
    </w:p>
    <w:p w:rsidR="00F93B76" w:rsidRPr="00A32AF4" w:rsidRDefault="00F93B76" w:rsidP="00DC0553">
      <w:pPr>
        <w:tabs>
          <w:tab w:val="num" w:pos="690"/>
        </w:tabs>
        <w:jc w:val="both"/>
        <w:rPr>
          <w:rFonts w:eastAsia="SimSun" w:cs="Arial"/>
          <w:color w:val="000000"/>
          <w:lang w:eastAsia="zh-CN"/>
        </w:rPr>
      </w:pPr>
    </w:p>
    <w:p w:rsidR="00F93B76" w:rsidRPr="00A32AF4" w:rsidRDefault="00F93B76" w:rsidP="00DC0553">
      <w:pPr>
        <w:tabs>
          <w:tab w:val="num" w:pos="690"/>
        </w:tabs>
        <w:jc w:val="both"/>
        <w:rPr>
          <w:rFonts w:eastAsia="SimSun" w:cs="Arial"/>
          <w:color w:val="000000"/>
          <w:lang w:eastAsia="zh-CN"/>
        </w:rPr>
      </w:pPr>
    </w:p>
    <w:p w:rsidR="00DC0553" w:rsidRPr="00A32AF4" w:rsidRDefault="00DC0553" w:rsidP="00DC0553">
      <w:pPr>
        <w:tabs>
          <w:tab w:val="num" w:pos="690"/>
        </w:tabs>
        <w:jc w:val="both"/>
        <w:rPr>
          <w:rFonts w:eastAsia="SimSun" w:cs="Arial"/>
          <w:b/>
          <w:lang w:eastAsia="zh-CN"/>
        </w:rPr>
      </w:pPr>
      <w:r w:rsidRPr="00A32AF4">
        <w:rPr>
          <w:rFonts w:eastAsia="SimSun" w:cs="Arial"/>
          <w:b/>
          <w:lang w:eastAsia="zh-CN"/>
        </w:rPr>
        <w:t>Priorités essentielles pour l</w:t>
      </w:r>
      <w:r w:rsidR="00E2055A" w:rsidRPr="00A32AF4">
        <w:rPr>
          <w:rFonts w:eastAsia="SimSun" w:cs="Arial"/>
          <w:b/>
          <w:lang w:eastAsia="zh-CN"/>
        </w:rPr>
        <w:t>’</w:t>
      </w:r>
      <w:r w:rsidRPr="00A32AF4">
        <w:rPr>
          <w:rFonts w:eastAsia="SimSun" w:cs="Arial"/>
          <w:b/>
          <w:lang w:eastAsia="zh-CN"/>
        </w:rPr>
        <w:t>exercice biennal</w:t>
      </w:r>
    </w:p>
    <w:p w:rsidR="00F93B76" w:rsidRPr="00A32AF4" w:rsidRDefault="00F93B76" w:rsidP="00DC0553">
      <w:pPr>
        <w:tabs>
          <w:tab w:val="num" w:pos="690"/>
        </w:tabs>
        <w:jc w:val="both"/>
        <w:rPr>
          <w:rFonts w:eastAsia="SimSun" w:cs="Arial"/>
          <w:color w:val="000000"/>
          <w:lang w:eastAsia="zh-CN"/>
        </w:rPr>
      </w:pPr>
    </w:p>
    <w:p w:rsidR="00F93B76" w:rsidRPr="00A32AF4" w:rsidRDefault="00DC0553" w:rsidP="00DC0553">
      <w:pPr>
        <w:pStyle w:val="ListParagraph"/>
        <w:numPr>
          <w:ilvl w:val="0"/>
          <w:numId w:val="10"/>
        </w:numPr>
        <w:tabs>
          <w:tab w:val="left" w:pos="567"/>
        </w:tabs>
        <w:spacing w:after="0" w:line="240" w:lineRule="auto"/>
        <w:ind w:left="0" w:firstLine="0"/>
        <w:jc w:val="both"/>
        <w:rPr>
          <w:rFonts w:ascii="Arial" w:hAnsi="Arial" w:cs="Arial"/>
          <w:sz w:val="18"/>
        </w:rPr>
      </w:pPr>
      <w:r w:rsidRPr="00A32AF4">
        <w:rPr>
          <w:rFonts w:ascii="Arial" w:hAnsi="Arial" w:cs="Arial"/>
        </w:rPr>
        <w:t>Élargir et améliorer l</w:t>
      </w:r>
      <w:r w:rsidR="00E2055A" w:rsidRPr="00A32AF4">
        <w:rPr>
          <w:rFonts w:ascii="Arial" w:hAnsi="Arial" w:cs="Arial"/>
        </w:rPr>
        <w:t>’</w:t>
      </w:r>
      <w:r w:rsidRPr="00A32AF4">
        <w:rPr>
          <w:rFonts w:ascii="Arial" w:hAnsi="Arial" w:cs="Arial"/>
        </w:rPr>
        <w:t>utilisation des services assurés par les systèmes mondiaux d</w:t>
      </w:r>
      <w:r w:rsidR="00E2055A" w:rsidRPr="00A32AF4">
        <w:rPr>
          <w:rFonts w:ascii="Arial" w:hAnsi="Arial" w:cs="Arial"/>
        </w:rPr>
        <w:t>’</w:t>
      </w:r>
      <w:r w:rsidRPr="00A32AF4">
        <w:rPr>
          <w:rFonts w:ascii="Arial" w:hAnsi="Arial" w:cs="Arial"/>
        </w:rPr>
        <w:t>enregistrement de l</w:t>
      </w:r>
      <w:r w:rsidR="00E2055A" w:rsidRPr="00A32AF4">
        <w:rPr>
          <w:rFonts w:ascii="Arial" w:hAnsi="Arial" w:cs="Arial"/>
        </w:rPr>
        <w:t>’</w:t>
      </w:r>
      <w:r w:rsidRPr="00A32AF4">
        <w:rPr>
          <w:rFonts w:ascii="Arial" w:hAnsi="Arial" w:cs="Arial"/>
        </w:rPr>
        <w:t xml:space="preserve">OMPI, notamment les systèmes du PCT, de Madrid et de </w:t>
      </w:r>
      <w:r w:rsidR="00E2055A" w:rsidRPr="00A32AF4">
        <w:rPr>
          <w:rFonts w:ascii="Arial" w:hAnsi="Arial" w:cs="Arial"/>
        </w:rPr>
        <w:t>La Haye</w:t>
      </w:r>
      <w:r w:rsidRPr="00A32AF4">
        <w:rPr>
          <w:rFonts w:ascii="Arial" w:hAnsi="Arial" w:cs="Arial"/>
        </w:rPr>
        <w:t>, restera l</w:t>
      </w:r>
      <w:r w:rsidR="00E2055A" w:rsidRPr="00A32AF4">
        <w:rPr>
          <w:rFonts w:ascii="Arial" w:hAnsi="Arial" w:cs="Arial"/>
        </w:rPr>
        <w:t>’</w:t>
      </w:r>
      <w:r w:rsidRPr="00A32AF4">
        <w:rPr>
          <w:rFonts w:ascii="Arial" w:hAnsi="Arial" w:cs="Arial"/>
        </w:rPr>
        <w:t>une des grandes priorités en 2016</w:t>
      </w:r>
      <w:r w:rsidR="00EB7F54" w:rsidRPr="00A32AF4">
        <w:rPr>
          <w:rFonts w:ascii="Arial" w:hAnsi="Arial" w:cs="Arial"/>
        </w:rPr>
        <w:noBreakHyphen/>
      </w:r>
      <w:r w:rsidRPr="00A32AF4">
        <w:rPr>
          <w:rFonts w:ascii="Arial" w:hAnsi="Arial" w:cs="Arial"/>
        </w:rPr>
        <w:t>2017.  L</w:t>
      </w:r>
      <w:r w:rsidR="00E2055A" w:rsidRPr="00A32AF4">
        <w:rPr>
          <w:rFonts w:ascii="Arial" w:hAnsi="Arial" w:cs="Arial"/>
        </w:rPr>
        <w:t>’</w:t>
      </w:r>
      <w:r w:rsidRPr="00A32AF4">
        <w:rPr>
          <w:rFonts w:ascii="Arial" w:hAnsi="Arial" w:cs="Arial"/>
        </w:rPr>
        <w:t>allocation de ressources appropriées et adéquates aux programmes qui proposent des services d</w:t>
      </w:r>
      <w:r w:rsidR="00E2055A" w:rsidRPr="00A32AF4">
        <w:rPr>
          <w:rFonts w:ascii="Arial" w:hAnsi="Arial" w:cs="Arial"/>
        </w:rPr>
        <w:t>’</w:t>
      </w:r>
      <w:r w:rsidRPr="00A32AF4">
        <w:rPr>
          <w:rFonts w:ascii="Arial" w:hAnsi="Arial" w:cs="Arial"/>
        </w:rPr>
        <w:t>enregistrement étant l</w:t>
      </w:r>
      <w:r w:rsidR="00E2055A" w:rsidRPr="00A32AF4">
        <w:rPr>
          <w:rFonts w:ascii="Arial" w:hAnsi="Arial" w:cs="Arial"/>
        </w:rPr>
        <w:t>’</w:t>
      </w:r>
      <w:r w:rsidRPr="00A32AF4">
        <w:rPr>
          <w:rFonts w:ascii="Arial" w:hAnsi="Arial" w:cs="Arial"/>
        </w:rPr>
        <w:t>un des principaux éléments de la viabilité financière à long terme de l</w:t>
      </w:r>
      <w:r w:rsidR="00E2055A" w:rsidRPr="00A32AF4">
        <w:rPr>
          <w:rFonts w:ascii="Arial" w:hAnsi="Arial" w:cs="Arial"/>
        </w:rPr>
        <w:t>’</w:t>
      </w:r>
      <w:r w:rsidRPr="00A32AF4">
        <w:rPr>
          <w:rFonts w:ascii="Arial" w:hAnsi="Arial" w:cs="Arial"/>
        </w:rPr>
        <w:t>Organisation, elle est essentielle pour permettre à l</w:t>
      </w:r>
      <w:r w:rsidR="00E2055A" w:rsidRPr="00A32AF4">
        <w:rPr>
          <w:rFonts w:ascii="Arial" w:hAnsi="Arial" w:cs="Arial"/>
        </w:rPr>
        <w:t>’</w:t>
      </w:r>
      <w:r w:rsidRPr="00A32AF4">
        <w:rPr>
          <w:rFonts w:ascii="Arial" w:hAnsi="Arial" w:cs="Arial"/>
        </w:rPr>
        <w:t>OMPI d</w:t>
      </w:r>
      <w:r w:rsidR="00E2055A" w:rsidRPr="00A32AF4">
        <w:rPr>
          <w:rFonts w:ascii="Arial" w:hAnsi="Arial" w:cs="Arial"/>
        </w:rPr>
        <w:t>’</w:t>
      </w:r>
      <w:r w:rsidRPr="00A32AF4">
        <w:rPr>
          <w:rFonts w:ascii="Arial" w:hAnsi="Arial" w:cs="Arial"/>
        </w:rPr>
        <w:t>exécuter ses obligations découlant des traités et de continuer de satisfaire les déposants en fournissant des services de qualité.  À cet égard, il faudra notamment relever les défis liés à l</w:t>
      </w:r>
      <w:r w:rsidR="00E2055A" w:rsidRPr="00A32AF4">
        <w:rPr>
          <w:rFonts w:ascii="Arial" w:hAnsi="Arial" w:cs="Arial"/>
        </w:rPr>
        <w:t>’</w:t>
      </w:r>
      <w:r w:rsidRPr="00A32AF4">
        <w:rPr>
          <w:rFonts w:ascii="Arial" w:hAnsi="Arial" w:cs="Arial"/>
        </w:rPr>
        <w:t>évolution de la composition géographique de la demande relative à ces services et s</w:t>
      </w:r>
      <w:r w:rsidR="00E2055A" w:rsidRPr="00A32AF4">
        <w:rPr>
          <w:rFonts w:ascii="Arial" w:hAnsi="Arial" w:cs="Arial"/>
        </w:rPr>
        <w:t>’</w:t>
      </w:r>
      <w:r w:rsidRPr="00A32AF4">
        <w:rPr>
          <w:rFonts w:ascii="Arial" w:hAnsi="Arial" w:cs="Arial"/>
        </w:rPr>
        <w:t>adapter notamment aux nouvelles exigences en matière de compétences linguistiques et à l</w:t>
      </w:r>
      <w:r w:rsidR="00E2055A" w:rsidRPr="00A32AF4">
        <w:rPr>
          <w:rFonts w:ascii="Arial" w:hAnsi="Arial" w:cs="Arial"/>
        </w:rPr>
        <w:t>’</w:t>
      </w:r>
      <w:r w:rsidRPr="00A32AF4">
        <w:rPr>
          <w:rFonts w:ascii="Arial" w:hAnsi="Arial" w:cs="Arial"/>
        </w:rPr>
        <w:t xml:space="preserve">augmentation rapide du nombre de membres des systèmes de Madrid et de </w:t>
      </w:r>
      <w:r w:rsidR="00E2055A" w:rsidRPr="00A32AF4">
        <w:rPr>
          <w:rFonts w:ascii="Arial" w:hAnsi="Arial" w:cs="Arial"/>
        </w:rPr>
        <w:t>La Haye</w:t>
      </w:r>
      <w:r w:rsidRPr="00A32AF4">
        <w:rPr>
          <w:rFonts w:ascii="Arial" w:hAnsi="Arial" w:cs="Arial"/>
        </w:rPr>
        <w:t>, en particulier.  L</w:t>
      </w:r>
      <w:r w:rsidR="00E2055A" w:rsidRPr="00A32AF4">
        <w:rPr>
          <w:rFonts w:ascii="Arial" w:hAnsi="Arial" w:cs="Arial"/>
        </w:rPr>
        <w:t>’</w:t>
      </w:r>
      <w:r w:rsidRPr="00A32AF4">
        <w:rPr>
          <w:rFonts w:ascii="Arial" w:hAnsi="Arial" w:cs="Arial"/>
        </w:rPr>
        <w:t>efficacité opérationnelle des systèmes d</w:t>
      </w:r>
      <w:r w:rsidR="00E2055A" w:rsidRPr="00A32AF4">
        <w:rPr>
          <w:rFonts w:ascii="Arial" w:hAnsi="Arial" w:cs="Arial"/>
        </w:rPr>
        <w:t>’</w:t>
      </w:r>
      <w:r w:rsidRPr="00A32AF4">
        <w:rPr>
          <w:rFonts w:ascii="Arial" w:hAnsi="Arial" w:cs="Arial"/>
        </w:rPr>
        <w:t>enregistrement restera une priorité tant que l</w:t>
      </w:r>
      <w:r w:rsidR="00E2055A" w:rsidRPr="00A32AF4">
        <w:rPr>
          <w:rFonts w:ascii="Arial" w:hAnsi="Arial" w:cs="Arial"/>
        </w:rPr>
        <w:t>’</w:t>
      </w:r>
      <w:r w:rsidRPr="00A32AF4">
        <w:rPr>
          <w:rFonts w:ascii="Arial" w:hAnsi="Arial" w:cs="Arial"/>
        </w:rPr>
        <w:t>OMPI poursuivra ses efforts en vue de la création d</w:t>
      </w:r>
      <w:r w:rsidR="00E2055A" w:rsidRPr="00A32AF4">
        <w:rPr>
          <w:rFonts w:ascii="Arial" w:hAnsi="Arial" w:cs="Arial"/>
        </w:rPr>
        <w:t>’</w:t>
      </w:r>
      <w:r w:rsidRPr="00A32AF4">
        <w:rPr>
          <w:rFonts w:ascii="Arial" w:hAnsi="Arial" w:cs="Arial"/>
        </w:rPr>
        <w:t xml:space="preserve">un environnement intégralement électronique pour les systèmes du PCT, de Madrid et de </w:t>
      </w:r>
      <w:r w:rsidR="00E2055A" w:rsidRPr="00A32AF4">
        <w:rPr>
          <w:rFonts w:ascii="Arial" w:hAnsi="Arial" w:cs="Arial"/>
        </w:rPr>
        <w:t>La Haye</w:t>
      </w:r>
      <w:r w:rsidRPr="00A32AF4">
        <w:rPr>
          <w:rFonts w:ascii="Arial" w:hAnsi="Arial" w:cs="Arial"/>
        </w:rPr>
        <w:t>.</w:t>
      </w:r>
    </w:p>
    <w:p w:rsidR="00F93B76" w:rsidRPr="00A32AF4" w:rsidRDefault="00F93B76" w:rsidP="00DC0553">
      <w:pPr>
        <w:pStyle w:val="ListParagraph"/>
        <w:tabs>
          <w:tab w:val="left" w:pos="567"/>
        </w:tabs>
        <w:spacing w:line="240" w:lineRule="auto"/>
        <w:ind w:left="0"/>
        <w:jc w:val="both"/>
        <w:rPr>
          <w:rFonts w:ascii="Arial" w:hAnsi="Arial"/>
        </w:rPr>
      </w:pPr>
    </w:p>
    <w:p w:rsidR="00F93B76" w:rsidRPr="00A32AF4" w:rsidRDefault="00DC0553" w:rsidP="00DC0553">
      <w:pPr>
        <w:pStyle w:val="ListParagraph"/>
        <w:numPr>
          <w:ilvl w:val="0"/>
          <w:numId w:val="12"/>
        </w:numPr>
        <w:tabs>
          <w:tab w:val="right" w:pos="1134"/>
        </w:tabs>
        <w:spacing w:after="0" w:line="240" w:lineRule="auto"/>
        <w:ind w:left="1134" w:hanging="567"/>
        <w:jc w:val="both"/>
        <w:rPr>
          <w:rFonts w:ascii="Arial" w:hAnsi="Arial" w:cs="Arial"/>
          <w:i/>
          <w:sz w:val="18"/>
        </w:rPr>
      </w:pPr>
      <w:r w:rsidRPr="00A32AF4">
        <w:rPr>
          <w:rFonts w:ascii="Arial" w:hAnsi="Arial" w:cs="Arial"/>
          <w:i/>
        </w:rPr>
        <w:t xml:space="preserve">Les ressources totales correspondantes pour le système de </w:t>
      </w:r>
      <w:r w:rsidR="00E2055A" w:rsidRPr="00A32AF4">
        <w:rPr>
          <w:rFonts w:ascii="Arial" w:hAnsi="Arial" w:cs="Arial"/>
          <w:i/>
        </w:rPr>
        <w:t>La Haye</w:t>
      </w:r>
      <w:r w:rsidRPr="00A32AF4">
        <w:rPr>
          <w:rFonts w:ascii="Arial" w:hAnsi="Arial" w:cs="Arial"/>
          <w:i/>
        </w:rPr>
        <w:t xml:space="preserve"> sont prises en considération dans le programme 31 (Système de </w:t>
      </w:r>
      <w:r w:rsidR="00E2055A" w:rsidRPr="00A32AF4">
        <w:rPr>
          <w:rFonts w:ascii="Arial" w:hAnsi="Arial" w:cs="Arial"/>
          <w:i/>
        </w:rPr>
        <w:t>La Haye</w:t>
      </w:r>
      <w:r w:rsidRPr="00A32AF4">
        <w:rPr>
          <w:rFonts w:ascii="Arial" w:hAnsi="Arial" w:cs="Arial"/>
          <w:i/>
        </w:rPr>
        <w:t>) et les augmentations correspondantes pour les systèmes du PCT et de Madrid figurent dans les programmes 5 (PCT) et 6 (Système de Madrid).</w:t>
      </w:r>
    </w:p>
    <w:p w:rsidR="00F93B76" w:rsidRPr="00A32AF4" w:rsidRDefault="00F93B76" w:rsidP="00DC0553">
      <w:pPr>
        <w:tabs>
          <w:tab w:val="left" w:pos="567"/>
        </w:tabs>
        <w:jc w:val="both"/>
      </w:pPr>
    </w:p>
    <w:p w:rsidR="00DC0553" w:rsidRPr="00A32AF4" w:rsidRDefault="00DC0553" w:rsidP="00DC0553">
      <w:pPr>
        <w:pStyle w:val="ListParagraph"/>
        <w:numPr>
          <w:ilvl w:val="0"/>
          <w:numId w:val="72"/>
        </w:numPr>
        <w:tabs>
          <w:tab w:val="left" w:pos="567"/>
        </w:tabs>
        <w:spacing w:after="0" w:line="240" w:lineRule="auto"/>
        <w:ind w:left="0" w:firstLine="0"/>
        <w:jc w:val="both"/>
        <w:rPr>
          <w:rFonts w:ascii="Arial" w:hAnsi="Arial"/>
        </w:rPr>
      </w:pPr>
      <w:r w:rsidRPr="00A32AF4">
        <w:rPr>
          <w:rFonts w:ascii="Arial" w:hAnsi="Arial"/>
        </w:rPr>
        <w:t>Alors que l</w:t>
      </w:r>
      <w:r w:rsidR="00E2055A" w:rsidRPr="00A32AF4">
        <w:rPr>
          <w:rFonts w:ascii="Arial" w:hAnsi="Arial"/>
        </w:rPr>
        <w:t>’</w:t>
      </w:r>
      <w:r w:rsidRPr="00A32AF4">
        <w:rPr>
          <w:rFonts w:ascii="Arial" w:hAnsi="Arial"/>
        </w:rPr>
        <w:t>environnement extérieur fait peser de plus en plus de risques sur les activités de l</w:t>
      </w:r>
      <w:r w:rsidR="00E2055A" w:rsidRPr="00A32AF4">
        <w:rPr>
          <w:rFonts w:ascii="Arial" w:hAnsi="Arial"/>
        </w:rPr>
        <w:t>’</w:t>
      </w:r>
      <w:r w:rsidRPr="00A32AF4">
        <w:rPr>
          <w:rFonts w:ascii="Arial" w:hAnsi="Arial"/>
        </w:rPr>
        <w:t>OMPI, les capacités de planification des mesures d</w:t>
      </w:r>
      <w:r w:rsidR="00E2055A" w:rsidRPr="00A32AF4">
        <w:rPr>
          <w:rFonts w:ascii="Arial" w:hAnsi="Arial"/>
        </w:rPr>
        <w:t>’</w:t>
      </w:r>
      <w:r w:rsidRPr="00A32AF4">
        <w:rPr>
          <w:rFonts w:ascii="Arial" w:hAnsi="Arial"/>
        </w:rPr>
        <w:t>urgence de l</w:t>
      </w:r>
      <w:r w:rsidR="00E2055A" w:rsidRPr="00A32AF4">
        <w:rPr>
          <w:rFonts w:ascii="Arial" w:hAnsi="Arial"/>
        </w:rPr>
        <w:t>’</w:t>
      </w:r>
      <w:r w:rsidRPr="00A32AF4">
        <w:rPr>
          <w:rFonts w:ascii="Arial" w:hAnsi="Arial"/>
        </w:rPr>
        <w:t>OMPI seront renforcées avec l</w:t>
      </w:r>
      <w:r w:rsidR="00E2055A" w:rsidRPr="00A32AF4">
        <w:rPr>
          <w:rFonts w:ascii="Arial" w:hAnsi="Arial"/>
        </w:rPr>
        <w:t>’</w:t>
      </w:r>
      <w:r w:rsidRPr="00A32AF4">
        <w:rPr>
          <w:rFonts w:ascii="Arial" w:hAnsi="Arial"/>
        </w:rPr>
        <w:t>établissement d</w:t>
      </w:r>
      <w:r w:rsidR="00E2055A" w:rsidRPr="00A32AF4">
        <w:rPr>
          <w:rFonts w:ascii="Arial" w:hAnsi="Arial"/>
        </w:rPr>
        <w:t>’</w:t>
      </w:r>
      <w:r w:rsidRPr="00A32AF4">
        <w:rPr>
          <w:rFonts w:ascii="Arial" w:hAnsi="Arial"/>
        </w:rPr>
        <w:t>un cadre de gestion de la résilience de l</w:t>
      </w:r>
      <w:r w:rsidR="00E2055A" w:rsidRPr="00A32AF4">
        <w:rPr>
          <w:rFonts w:ascii="Arial" w:hAnsi="Arial"/>
        </w:rPr>
        <w:t>’</w:t>
      </w:r>
      <w:r w:rsidRPr="00A32AF4">
        <w:rPr>
          <w:rFonts w:ascii="Arial" w:hAnsi="Arial"/>
        </w:rPr>
        <w:t>Organisation, destiné à atténuer ou à limiter, dans la mesure du possible, l</w:t>
      </w:r>
      <w:r w:rsidR="00E2055A" w:rsidRPr="00A32AF4">
        <w:rPr>
          <w:rFonts w:ascii="Arial" w:hAnsi="Arial"/>
        </w:rPr>
        <w:t>’</w:t>
      </w:r>
      <w:r w:rsidRPr="00A32AF4">
        <w:rPr>
          <w:rFonts w:ascii="Arial" w:hAnsi="Arial"/>
        </w:rPr>
        <w:t>impact des interruptions des opérations essentielles de l</w:t>
      </w:r>
      <w:r w:rsidR="00E2055A" w:rsidRPr="00A32AF4">
        <w:rPr>
          <w:rFonts w:ascii="Arial" w:hAnsi="Arial"/>
        </w:rPr>
        <w:t>’</w:t>
      </w:r>
      <w:r w:rsidRPr="00A32AF4">
        <w:rPr>
          <w:rFonts w:ascii="Arial" w:hAnsi="Arial"/>
        </w:rPr>
        <w:t>Organisation.</w:t>
      </w:r>
    </w:p>
    <w:p w:rsidR="00DC0553" w:rsidRPr="00A32AF4" w:rsidRDefault="00DC0553" w:rsidP="00DC0553">
      <w:pPr>
        <w:pStyle w:val="ListParagraph"/>
        <w:tabs>
          <w:tab w:val="left" w:pos="567"/>
        </w:tabs>
        <w:spacing w:line="240" w:lineRule="auto"/>
        <w:ind w:left="0"/>
        <w:jc w:val="both"/>
        <w:rPr>
          <w:rFonts w:ascii="Arial" w:hAnsi="Arial" w:cs="Arial"/>
        </w:rPr>
      </w:pPr>
    </w:p>
    <w:p w:rsidR="00DC0553" w:rsidRPr="00A32AF4" w:rsidRDefault="00DC0553" w:rsidP="00DC0553">
      <w:pPr>
        <w:pStyle w:val="ListParagraph"/>
        <w:numPr>
          <w:ilvl w:val="0"/>
          <w:numId w:val="73"/>
        </w:numPr>
        <w:tabs>
          <w:tab w:val="left" w:pos="567"/>
        </w:tabs>
        <w:spacing w:after="0" w:line="240" w:lineRule="auto"/>
        <w:ind w:left="1170" w:hanging="630"/>
        <w:jc w:val="both"/>
        <w:rPr>
          <w:rFonts w:ascii="Arial" w:hAnsi="Arial"/>
          <w:i/>
        </w:rPr>
      </w:pPr>
      <w:r w:rsidRPr="00A32AF4">
        <w:rPr>
          <w:rFonts w:ascii="Arial" w:hAnsi="Arial"/>
          <w:i/>
        </w:rPr>
        <w:t>Les ressources totales correspondantes sont prises en considération dans le programme 21 (Direction générale).</w:t>
      </w:r>
    </w:p>
    <w:p w:rsidR="00DC0553" w:rsidRPr="00A32AF4" w:rsidRDefault="00DC0553" w:rsidP="00DC0553">
      <w:pPr>
        <w:pStyle w:val="ListParagraph"/>
        <w:tabs>
          <w:tab w:val="left" w:pos="567"/>
        </w:tabs>
        <w:spacing w:line="240" w:lineRule="auto"/>
        <w:ind w:left="0"/>
        <w:jc w:val="both"/>
        <w:rPr>
          <w:rFonts w:ascii="Arial" w:hAnsi="Arial"/>
        </w:rPr>
      </w:pPr>
    </w:p>
    <w:p w:rsidR="00DC0553" w:rsidRPr="00A32AF4" w:rsidRDefault="00DC0553" w:rsidP="00DC0553">
      <w:pPr>
        <w:pStyle w:val="ListParagraph"/>
        <w:numPr>
          <w:ilvl w:val="0"/>
          <w:numId w:val="72"/>
        </w:numPr>
        <w:tabs>
          <w:tab w:val="left" w:pos="567"/>
        </w:tabs>
        <w:spacing w:after="0" w:line="240" w:lineRule="auto"/>
        <w:ind w:left="0" w:firstLine="0"/>
        <w:jc w:val="both"/>
        <w:rPr>
          <w:rFonts w:ascii="Arial" w:hAnsi="Arial"/>
        </w:rPr>
      </w:pPr>
      <w:r w:rsidRPr="00A32AF4">
        <w:rPr>
          <w:rFonts w:ascii="Arial" w:hAnsi="Arial" w:cs="Arial"/>
          <w:bCs/>
        </w:rPr>
        <w:t>L</w:t>
      </w:r>
      <w:r w:rsidR="00E2055A" w:rsidRPr="00A32AF4">
        <w:rPr>
          <w:rFonts w:ascii="Arial" w:hAnsi="Arial" w:cs="Arial"/>
          <w:bCs/>
        </w:rPr>
        <w:t>’</w:t>
      </w:r>
      <w:r w:rsidRPr="00A32AF4">
        <w:rPr>
          <w:rFonts w:ascii="Arial" w:hAnsi="Arial" w:cs="Arial"/>
          <w:bCs/>
        </w:rPr>
        <w:t>Organisation est plus que jamais tributaire d</w:t>
      </w:r>
      <w:r w:rsidR="00E2055A" w:rsidRPr="00A32AF4">
        <w:rPr>
          <w:rFonts w:ascii="Arial" w:hAnsi="Arial" w:cs="Arial"/>
          <w:bCs/>
        </w:rPr>
        <w:t>’</w:t>
      </w:r>
      <w:r w:rsidRPr="00A32AF4">
        <w:rPr>
          <w:rFonts w:ascii="Arial" w:hAnsi="Arial" w:cs="Arial"/>
          <w:bCs/>
        </w:rPr>
        <w:t>une infrastructure et de services informatiques fiables et efficaces.</w:t>
      </w:r>
      <w:r w:rsidRPr="00A32AF4">
        <w:rPr>
          <w:rFonts w:ascii="Arial" w:hAnsi="Arial"/>
        </w:rPr>
        <w:t xml:space="preserve"> </w:t>
      </w:r>
      <w:r w:rsidRPr="00A32AF4">
        <w:rPr>
          <w:rFonts w:ascii="Arial" w:hAnsi="Arial" w:cs="Arial"/>
          <w:bCs/>
        </w:rPr>
        <w:t xml:space="preserve"> Dans le monde entier, les clients attendent de l</w:t>
      </w:r>
      <w:r w:rsidR="00E2055A" w:rsidRPr="00A32AF4">
        <w:rPr>
          <w:rFonts w:ascii="Arial" w:hAnsi="Arial" w:cs="Arial"/>
          <w:bCs/>
        </w:rPr>
        <w:t>’</w:t>
      </w:r>
      <w:r w:rsidRPr="00A32AF4">
        <w:rPr>
          <w:rFonts w:ascii="Arial" w:hAnsi="Arial" w:cs="Arial"/>
          <w:bCs/>
        </w:rPr>
        <w:t>OMPI qu</w:t>
      </w:r>
      <w:r w:rsidR="00E2055A" w:rsidRPr="00A32AF4">
        <w:rPr>
          <w:rFonts w:ascii="Arial" w:hAnsi="Arial" w:cs="Arial"/>
          <w:bCs/>
        </w:rPr>
        <w:t>’</w:t>
      </w:r>
      <w:r w:rsidRPr="00A32AF4">
        <w:rPr>
          <w:rFonts w:ascii="Arial" w:hAnsi="Arial" w:cs="Arial"/>
          <w:bCs/>
        </w:rPr>
        <w:t>elle fournisse des services dans le domaine des technologies de l</w:t>
      </w:r>
      <w:r w:rsidR="00E2055A" w:rsidRPr="00A32AF4">
        <w:rPr>
          <w:rFonts w:ascii="Arial" w:hAnsi="Arial" w:cs="Arial"/>
          <w:bCs/>
        </w:rPr>
        <w:t>’</w:t>
      </w:r>
      <w:r w:rsidRPr="00A32AF4">
        <w:rPr>
          <w:rFonts w:ascii="Arial" w:hAnsi="Arial" w:cs="Arial"/>
          <w:bCs/>
        </w:rPr>
        <w:t>information et de la communication qui répondent mieux à leurs besoins et soient de plus en plus fiables, accessibles et protégés contre les catastrophes d</w:t>
      </w:r>
      <w:r w:rsidR="00E2055A" w:rsidRPr="00A32AF4">
        <w:rPr>
          <w:rFonts w:ascii="Arial" w:hAnsi="Arial" w:cs="Arial"/>
          <w:bCs/>
        </w:rPr>
        <w:t>’</w:t>
      </w:r>
      <w:r w:rsidRPr="00A32AF4">
        <w:rPr>
          <w:rFonts w:ascii="Arial" w:hAnsi="Arial" w:cs="Arial"/>
          <w:bCs/>
        </w:rPr>
        <w:t>origine naturelle et humaine, telles que les cyberattaques.</w:t>
      </w:r>
      <w:r w:rsidRPr="00A32AF4">
        <w:rPr>
          <w:rFonts w:ascii="Arial" w:hAnsi="Arial"/>
        </w:rPr>
        <w:t xml:space="preserve"> </w:t>
      </w:r>
      <w:r w:rsidRPr="00A32AF4">
        <w:rPr>
          <w:rFonts w:ascii="Arial" w:hAnsi="Arial" w:cs="Arial"/>
          <w:bCs/>
        </w:rPr>
        <w:t xml:space="preserve"> La sécurité informatique et la continuité des opérations sont alors de la plus haute importance et seront la priorité tout au long de l</w:t>
      </w:r>
      <w:r w:rsidR="00E2055A" w:rsidRPr="00A32AF4">
        <w:rPr>
          <w:rFonts w:ascii="Arial" w:hAnsi="Arial" w:cs="Arial"/>
          <w:bCs/>
        </w:rPr>
        <w:t>’</w:t>
      </w:r>
      <w:r w:rsidRPr="00A32AF4">
        <w:rPr>
          <w:rFonts w:ascii="Arial" w:hAnsi="Arial" w:cs="Arial"/>
          <w:bCs/>
        </w:rPr>
        <w:t>exercice biennal.</w:t>
      </w:r>
    </w:p>
    <w:p w:rsidR="00DC0553" w:rsidRPr="00A32AF4" w:rsidRDefault="00DC0553" w:rsidP="00DC0553">
      <w:pPr>
        <w:pStyle w:val="ListParagraph"/>
        <w:tabs>
          <w:tab w:val="left" w:pos="567"/>
        </w:tabs>
        <w:spacing w:line="240" w:lineRule="auto"/>
        <w:ind w:left="0"/>
        <w:jc w:val="both"/>
        <w:rPr>
          <w:rFonts w:ascii="Arial" w:hAnsi="Arial"/>
        </w:rPr>
      </w:pPr>
    </w:p>
    <w:p w:rsidR="00DC0553" w:rsidRPr="00A32AF4" w:rsidRDefault="00DC0553" w:rsidP="00DC0553">
      <w:pPr>
        <w:pStyle w:val="ListParagraph"/>
        <w:numPr>
          <w:ilvl w:val="0"/>
          <w:numId w:val="73"/>
        </w:numPr>
        <w:tabs>
          <w:tab w:val="right" w:pos="1134"/>
        </w:tabs>
        <w:spacing w:after="0" w:line="240" w:lineRule="auto"/>
        <w:ind w:left="1134" w:hanging="567"/>
        <w:jc w:val="both"/>
        <w:rPr>
          <w:rFonts w:ascii="Arial" w:hAnsi="Arial"/>
          <w:i/>
        </w:rPr>
      </w:pPr>
      <w:r w:rsidRPr="00A32AF4">
        <w:rPr>
          <w:rFonts w:ascii="Arial" w:hAnsi="Arial"/>
          <w:i/>
        </w:rPr>
        <w:t>Les augmentations correspondantes des ressources totales sont prises en considération dans les programmes 5 (PCT), 25 (Techniques de l</w:t>
      </w:r>
      <w:r w:rsidR="00E2055A" w:rsidRPr="00A32AF4">
        <w:rPr>
          <w:rFonts w:ascii="Arial" w:hAnsi="Arial"/>
          <w:i/>
        </w:rPr>
        <w:t>’</w:t>
      </w:r>
      <w:r w:rsidRPr="00A32AF4">
        <w:rPr>
          <w:rFonts w:ascii="Arial" w:hAnsi="Arial"/>
          <w:i/>
        </w:rPr>
        <w:t>information et de la communication) et 28 (Sécurité des informations, des biens et des personnes).</w:t>
      </w:r>
    </w:p>
    <w:p w:rsidR="00DC0553" w:rsidRPr="00A32AF4" w:rsidRDefault="00DC0553" w:rsidP="00DC0553"/>
    <w:p w:rsidR="00DC0553" w:rsidRPr="00A32AF4" w:rsidRDefault="00DC0553" w:rsidP="00DC0553">
      <w:pPr>
        <w:pStyle w:val="ListParagraph"/>
        <w:numPr>
          <w:ilvl w:val="0"/>
          <w:numId w:val="72"/>
        </w:numPr>
        <w:tabs>
          <w:tab w:val="left" w:pos="567"/>
        </w:tabs>
        <w:spacing w:after="0" w:line="240" w:lineRule="auto"/>
        <w:ind w:left="0" w:firstLine="0"/>
        <w:jc w:val="both"/>
        <w:rPr>
          <w:rFonts w:ascii="Arial" w:hAnsi="Arial"/>
        </w:rPr>
      </w:pPr>
      <w:r w:rsidRPr="00A32AF4">
        <w:rPr>
          <w:rFonts w:ascii="Arial" w:hAnsi="Arial"/>
        </w:rPr>
        <w:t>La facilitation de la coopération et de l</w:t>
      </w:r>
      <w:r w:rsidR="00E2055A" w:rsidRPr="00A32AF4">
        <w:rPr>
          <w:rFonts w:ascii="Arial" w:hAnsi="Arial"/>
        </w:rPr>
        <w:t>’</w:t>
      </w:r>
      <w:r w:rsidRPr="00A32AF4">
        <w:rPr>
          <w:rFonts w:ascii="Arial" w:hAnsi="Arial"/>
        </w:rPr>
        <w:t>entente entre les États membres concernant le développement d</w:t>
      </w:r>
      <w:r w:rsidR="00E2055A" w:rsidRPr="00A32AF4">
        <w:rPr>
          <w:rFonts w:ascii="Arial" w:hAnsi="Arial"/>
        </w:rPr>
        <w:t>’</w:t>
      </w:r>
      <w:r w:rsidRPr="00A32AF4">
        <w:rPr>
          <w:rFonts w:ascii="Arial" w:hAnsi="Arial"/>
        </w:rPr>
        <w:t>un cadre normatif international équilibré de la propriété intellectuelle se poursuivra en 2016</w:t>
      </w:r>
      <w:r w:rsidR="00EB7F54" w:rsidRPr="00A32AF4">
        <w:rPr>
          <w:rFonts w:ascii="Arial" w:hAnsi="Arial"/>
        </w:rPr>
        <w:noBreakHyphen/>
      </w:r>
      <w:r w:rsidRPr="00A32AF4">
        <w:rPr>
          <w:rFonts w:ascii="Arial" w:hAnsi="Arial"/>
        </w:rPr>
        <w:t xml:space="preserve">2017 sur la base des décisions prises par les États membres.  </w:t>
      </w:r>
      <w:proofErr w:type="gramStart"/>
      <w:r w:rsidRPr="00A32AF4">
        <w:rPr>
          <w:rFonts w:ascii="Arial" w:hAnsi="Arial"/>
        </w:rPr>
        <w:t>Les hypothèses de planification pour 2016</w:t>
      </w:r>
      <w:r w:rsidR="00EB7F54" w:rsidRPr="00A32AF4">
        <w:rPr>
          <w:rFonts w:ascii="Arial" w:hAnsi="Arial"/>
        </w:rPr>
        <w:noBreakHyphen/>
      </w:r>
      <w:r w:rsidRPr="00A32AF4">
        <w:rPr>
          <w:rFonts w:ascii="Arial" w:hAnsi="Arial"/>
        </w:rPr>
        <w:t>2017 prévoient jusqu</w:t>
      </w:r>
      <w:r w:rsidR="00E2055A" w:rsidRPr="00A32AF4">
        <w:rPr>
          <w:rFonts w:ascii="Arial" w:hAnsi="Arial"/>
        </w:rPr>
        <w:t>’</w:t>
      </w:r>
      <w:r w:rsidRPr="00A32AF4">
        <w:rPr>
          <w:rFonts w:ascii="Arial" w:hAnsi="Arial"/>
        </w:rPr>
        <w:t>à trois sessions du Comité permanent du droit des brevets (SCP) et du Comité permanent du droit des marques, des dessins et modèles industriels et des indications géographiques (SCT) et jusqu</w:t>
      </w:r>
      <w:r w:rsidR="00E2055A" w:rsidRPr="00A32AF4">
        <w:rPr>
          <w:rFonts w:ascii="Arial" w:hAnsi="Arial"/>
        </w:rPr>
        <w:t>’</w:t>
      </w:r>
      <w:r w:rsidRPr="00A32AF4">
        <w:rPr>
          <w:rFonts w:ascii="Arial" w:hAnsi="Arial"/>
        </w:rPr>
        <w:t>à quatre sessions du Comité permanent du droit d</w:t>
      </w:r>
      <w:r w:rsidR="00E2055A" w:rsidRPr="00A32AF4">
        <w:rPr>
          <w:rFonts w:ascii="Arial" w:hAnsi="Arial"/>
        </w:rPr>
        <w:t>’</w:t>
      </w:r>
      <w:r w:rsidRPr="00A32AF4">
        <w:rPr>
          <w:rFonts w:ascii="Arial" w:hAnsi="Arial"/>
        </w:rPr>
        <w:t>auteur et des droits connexes (SCCR) et du Comité intergouvernemental de la propriété intellectuelle relative aux ressources génétiques, aux savoirs traditionnels et au folklore (IGC), prises en considération dans les programmes 1 (Droit des brevets), 2 (Marques, dessins et modèles industriels et indications géographiques), 3 (Droit d</w:t>
      </w:r>
      <w:r w:rsidR="00E2055A" w:rsidRPr="00A32AF4">
        <w:rPr>
          <w:rFonts w:ascii="Arial" w:hAnsi="Arial"/>
        </w:rPr>
        <w:t>’</w:t>
      </w:r>
      <w:r w:rsidRPr="00A32AF4">
        <w:rPr>
          <w:rFonts w:ascii="Arial" w:hAnsi="Arial"/>
        </w:rPr>
        <w:t>auteur et droits connexes) et 4 (Savoirs traditionnels, expressions culturelles traditionnelles et ressources génétiques).</w:t>
      </w:r>
      <w:proofErr w:type="gramEnd"/>
    </w:p>
    <w:p w:rsidR="00DC0553" w:rsidRPr="00A32AF4" w:rsidRDefault="00DC0553" w:rsidP="00DC0553">
      <w:pPr>
        <w:pStyle w:val="ListParagraph"/>
        <w:tabs>
          <w:tab w:val="left" w:pos="567"/>
        </w:tabs>
        <w:spacing w:line="240" w:lineRule="auto"/>
        <w:ind w:left="0"/>
        <w:jc w:val="both"/>
        <w:rPr>
          <w:rFonts w:ascii="Arial" w:hAnsi="Arial"/>
        </w:rPr>
      </w:pPr>
    </w:p>
    <w:p w:rsidR="00DC0553" w:rsidRPr="00A32AF4" w:rsidRDefault="00DC0553" w:rsidP="00DC0553">
      <w:pPr>
        <w:pStyle w:val="ListParagraph"/>
        <w:numPr>
          <w:ilvl w:val="0"/>
          <w:numId w:val="73"/>
        </w:numPr>
        <w:tabs>
          <w:tab w:val="right" w:pos="1134"/>
        </w:tabs>
        <w:spacing w:after="0" w:line="240" w:lineRule="auto"/>
        <w:ind w:left="1134" w:hanging="567"/>
        <w:jc w:val="both"/>
        <w:rPr>
          <w:rFonts w:ascii="Arial" w:hAnsi="Arial"/>
          <w:i/>
        </w:rPr>
      </w:pPr>
      <w:r w:rsidRPr="00A32AF4">
        <w:rPr>
          <w:rFonts w:ascii="Arial" w:hAnsi="Arial"/>
          <w:i/>
        </w:rPr>
        <w:t>Une provision d</w:t>
      </w:r>
      <w:r w:rsidR="00E2055A" w:rsidRPr="00A32AF4">
        <w:rPr>
          <w:rFonts w:ascii="Arial" w:hAnsi="Arial"/>
          <w:i/>
        </w:rPr>
        <w:t>’</w:t>
      </w:r>
      <w:r w:rsidRPr="00A32AF4">
        <w:rPr>
          <w:rFonts w:ascii="Arial" w:hAnsi="Arial"/>
          <w:i/>
        </w:rPr>
        <w:t>un million de francs suisses a été inscrite au budget pour couvrir les frais d</w:t>
      </w:r>
      <w:r w:rsidR="00E2055A" w:rsidRPr="00A32AF4">
        <w:rPr>
          <w:rFonts w:ascii="Arial" w:hAnsi="Arial"/>
          <w:i/>
        </w:rPr>
        <w:t>’</w:t>
      </w:r>
      <w:r w:rsidRPr="00A32AF4">
        <w:rPr>
          <w:rFonts w:ascii="Arial" w:hAnsi="Arial"/>
          <w:i/>
        </w:rPr>
        <w:t>une conférence diplomatique si les États membres décident d</w:t>
      </w:r>
      <w:r w:rsidR="00E2055A" w:rsidRPr="00A32AF4">
        <w:rPr>
          <w:rFonts w:ascii="Arial" w:hAnsi="Arial"/>
          <w:i/>
        </w:rPr>
        <w:t>’</w:t>
      </w:r>
      <w:r w:rsidRPr="00A32AF4">
        <w:rPr>
          <w:rFonts w:ascii="Arial" w:hAnsi="Arial"/>
          <w:i/>
        </w:rPr>
        <w:t>en convoquer une au cours de l</w:t>
      </w:r>
      <w:r w:rsidR="00E2055A" w:rsidRPr="00A32AF4">
        <w:rPr>
          <w:rFonts w:ascii="Arial" w:hAnsi="Arial"/>
          <w:i/>
        </w:rPr>
        <w:t>’</w:t>
      </w:r>
      <w:r w:rsidRPr="00A32AF4">
        <w:rPr>
          <w:rFonts w:ascii="Arial" w:hAnsi="Arial"/>
          <w:i/>
        </w:rPr>
        <w:t>exercice biennal 2016</w:t>
      </w:r>
      <w:r w:rsidR="00EB7F54" w:rsidRPr="00A32AF4">
        <w:rPr>
          <w:rFonts w:ascii="Arial" w:hAnsi="Arial"/>
          <w:i/>
        </w:rPr>
        <w:noBreakHyphen/>
      </w:r>
      <w:r w:rsidRPr="00A32AF4">
        <w:rPr>
          <w:rFonts w:ascii="Arial" w:hAnsi="Arial"/>
          <w:i/>
        </w:rPr>
        <w:t>2017.  Elle est prise en considération dans la catégorie “Crédits non affectés”.</w:t>
      </w:r>
    </w:p>
    <w:p w:rsidR="00DC0553" w:rsidRPr="00A32AF4" w:rsidRDefault="00DC0553" w:rsidP="00DC0553">
      <w:pPr>
        <w:tabs>
          <w:tab w:val="left" w:pos="567"/>
        </w:tabs>
        <w:jc w:val="both"/>
      </w:pPr>
    </w:p>
    <w:p w:rsidR="00DC0553" w:rsidRPr="00A32AF4" w:rsidRDefault="00DC0553" w:rsidP="00DC0553">
      <w:pPr>
        <w:pStyle w:val="ListParagraph"/>
        <w:numPr>
          <w:ilvl w:val="0"/>
          <w:numId w:val="72"/>
        </w:numPr>
        <w:tabs>
          <w:tab w:val="left" w:pos="567"/>
        </w:tabs>
        <w:spacing w:after="0" w:line="240" w:lineRule="auto"/>
        <w:ind w:left="0" w:firstLine="0"/>
        <w:jc w:val="both"/>
        <w:rPr>
          <w:rFonts w:ascii="Arial" w:hAnsi="Arial" w:cs="Arial"/>
        </w:rPr>
      </w:pPr>
      <w:r w:rsidRPr="00A32AF4">
        <w:rPr>
          <w:rFonts w:ascii="Arial" w:hAnsi="Arial" w:cs="Arial"/>
        </w:rPr>
        <w:t>Les travaux visant à encourager l</w:t>
      </w:r>
      <w:r w:rsidR="00E2055A" w:rsidRPr="00A32AF4">
        <w:rPr>
          <w:rFonts w:ascii="Arial" w:hAnsi="Arial" w:cs="Arial"/>
        </w:rPr>
        <w:t>’</w:t>
      </w:r>
      <w:r w:rsidRPr="00A32AF4">
        <w:rPr>
          <w:rFonts w:ascii="Arial" w:hAnsi="Arial" w:cs="Arial"/>
        </w:rPr>
        <w:t>adhésion aux traités de l</w:t>
      </w:r>
      <w:r w:rsidR="00E2055A" w:rsidRPr="00A32AF4">
        <w:rPr>
          <w:rFonts w:ascii="Arial" w:hAnsi="Arial" w:cs="Arial"/>
        </w:rPr>
        <w:t>’</w:t>
      </w:r>
      <w:r w:rsidRPr="00A32AF4">
        <w:rPr>
          <w:rFonts w:ascii="Arial" w:hAnsi="Arial" w:cs="Arial"/>
        </w:rPr>
        <w:t>OMPI, notamment au Traité de Beijing, au Traité de Marrakech, aux traités Internet de l</w:t>
      </w:r>
      <w:r w:rsidR="00E2055A" w:rsidRPr="00A32AF4">
        <w:rPr>
          <w:rFonts w:ascii="Arial" w:hAnsi="Arial" w:cs="Arial"/>
        </w:rPr>
        <w:t>’</w:t>
      </w:r>
      <w:r w:rsidRPr="00A32AF4">
        <w:rPr>
          <w:rFonts w:ascii="Arial" w:hAnsi="Arial" w:cs="Arial"/>
        </w:rPr>
        <w:t>OMPI, au Traité de Singapour et au Traité sur le droit des brevets, ainsi que leur mise en œuvre se poursuivront.</w:t>
      </w:r>
    </w:p>
    <w:p w:rsidR="00DC0553" w:rsidRPr="00A32AF4" w:rsidRDefault="00DC0553" w:rsidP="00DC0553">
      <w:pPr>
        <w:pStyle w:val="ListParagraph"/>
        <w:tabs>
          <w:tab w:val="left" w:pos="567"/>
        </w:tabs>
        <w:spacing w:after="0" w:line="240" w:lineRule="auto"/>
        <w:ind w:left="0"/>
        <w:jc w:val="both"/>
        <w:rPr>
          <w:rFonts w:ascii="Arial" w:hAnsi="Arial"/>
        </w:rPr>
      </w:pPr>
    </w:p>
    <w:p w:rsidR="00DC0553" w:rsidRPr="00A32AF4" w:rsidRDefault="00DC0553" w:rsidP="00DC0553">
      <w:pPr>
        <w:pStyle w:val="ListParagraph"/>
        <w:numPr>
          <w:ilvl w:val="0"/>
          <w:numId w:val="73"/>
        </w:numPr>
        <w:tabs>
          <w:tab w:val="right" w:pos="1134"/>
        </w:tabs>
        <w:spacing w:after="0" w:line="240" w:lineRule="auto"/>
        <w:ind w:left="1134" w:hanging="567"/>
        <w:jc w:val="both"/>
        <w:rPr>
          <w:rFonts w:ascii="Arial" w:hAnsi="Arial"/>
          <w:i/>
        </w:rPr>
      </w:pPr>
      <w:r w:rsidRPr="00A32AF4">
        <w:rPr>
          <w:rFonts w:ascii="Arial" w:hAnsi="Arial"/>
          <w:i/>
        </w:rPr>
        <w:t>Les ressources totales correspondantes sont prises en considération dans les programmes 1 (Droit des brevets), 2 (Marques, dessins et modèles industriels et indications géographiques) et 3 (Droit d</w:t>
      </w:r>
      <w:r w:rsidR="00E2055A" w:rsidRPr="00A32AF4">
        <w:rPr>
          <w:rFonts w:ascii="Arial" w:hAnsi="Arial"/>
          <w:i/>
        </w:rPr>
        <w:t>’</w:t>
      </w:r>
      <w:r w:rsidRPr="00A32AF4">
        <w:rPr>
          <w:rFonts w:ascii="Arial" w:hAnsi="Arial"/>
          <w:i/>
        </w:rPr>
        <w:t>auteur et droits connexes).</w:t>
      </w:r>
    </w:p>
    <w:p w:rsidR="00DC0553" w:rsidRPr="00A32AF4" w:rsidRDefault="00DC0553" w:rsidP="00DC0553"/>
    <w:p w:rsidR="00DC0553" w:rsidRPr="00A32AF4" w:rsidRDefault="00DC0553" w:rsidP="00DC0553">
      <w:pPr>
        <w:pStyle w:val="ListParagraph"/>
        <w:numPr>
          <w:ilvl w:val="0"/>
          <w:numId w:val="72"/>
        </w:numPr>
        <w:tabs>
          <w:tab w:val="left" w:pos="567"/>
        </w:tabs>
        <w:spacing w:after="0" w:line="240" w:lineRule="auto"/>
        <w:ind w:left="0" w:firstLine="0"/>
        <w:jc w:val="both"/>
        <w:rPr>
          <w:rFonts w:ascii="Arial" w:hAnsi="Arial" w:cs="Arial"/>
        </w:rPr>
      </w:pPr>
      <w:r w:rsidRPr="00A32AF4">
        <w:rPr>
          <w:rFonts w:ascii="Arial" w:hAnsi="Arial" w:cs="Arial"/>
        </w:rPr>
        <w:t>Le Centre de données statistiques de propriété intellectuelle continuera de mettre toutes les données statistiques disponibles à la disposition des utilisateurs du monde entier.</w:t>
      </w:r>
      <w:r w:rsidRPr="00A32AF4">
        <w:rPr>
          <w:rFonts w:ascii="Arial" w:hAnsi="Arial"/>
        </w:rPr>
        <w:t xml:space="preserve"> </w:t>
      </w:r>
      <w:r w:rsidRPr="00A32AF4">
        <w:rPr>
          <w:rFonts w:ascii="Arial" w:hAnsi="Arial" w:cs="Arial"/>
        </w:rPr>
        <w:t xml:space="preserve"> Des mesures particulières seront prises pour collecter et diffuser les nouvelles statistiques de l</w:t>
      </w:r>
      <w:r w:rsidR="00E2055A" w:rsidRPr="00A32AF4">
        <w:rPr>
          <w:rFonts w:ascii="Arial" w:hAnsi="Arial" w:cs="Arial"/>
        </w:rPr>
        <w:t>’</w:t>
      </w:r>
      <w:r w:rsidRPr="00A32AF4">
        <w:rPr>
          <w:rFonts w:ascii="Arial" w:hAnsi="Arial" w:cs="Arial"/>
        </w:rPr>
        <w:t>OMPI sur les activités relatives aux indications géographiques et au droit d</w:t>
      </w:r>
      <w:r w:rsidR="00E2055A" w:rsidRPr="00A32AF4">
        <w:rPr>
          <w:rFonts w:ascii="Arial" w:hAnsi="Arial" w:cs="Arial"/>
        </w:rPr>
        <w:t>’</w:t>
      </w:r>
      <w:r w:rsidRPr="00A32AF4">
        <w:rPr>
          <w:rFonts w:ascii="Arial" w:hAnsi="Arial" w:cs="Arial"/>
        </w:rPr>
        <w:t>auteur, et faciliter leur utilisation.</w:t>
      </w:r>
      <w:r w:rsidRPr="00A32AF4">
        <w:rPr>
          <w:rFonts w:ascii="Arial" w:hAnsi="Arial"/>
        </w:rPr>
        <w:t xml:space="preserve"> </w:t>
      </w:r>
      <w:r w:rsidRPr="00A32AF4">
        <w:rPr>
          <w:rFonts w:ascii="Arial" w:hAnsi="Arial" w:cs="Arial"/>
        </w:rPr>
        <w:t xml:space="preserve"> En ce qui concerne l</w:t>
      </w:r>
      <w:r w:rsidR="00E2055A" w:rsidRPr="00A32AF4">
        <w:rPr>
          <w:rFonts w:ascii="Arial" w:hAnsi="Arial" w:cs="Arial"/>
        </w:rPr>
        <w:t>’</w:t>
      </w:r>
      <w:r w:rsidRPr="00A32AF4">
        <w:rPr>
          <w:rFonts w:ascii="Arial" w:hAnsi="Arial" w:cs="Arial"/>
        </w:rPr>
        <w:t>analyse économique, l</w:t>
      </w:r>
      <w:r w:rsidR="00E2055A" w:rsidRPr="00A32AF4">
        <w:rPr>
          <w:rFonts w:ascii="Arial" w:hAnsi="Arial" w:cs="Arial"/>
        </w:rPr>
        <w:t>’</w:t>
      </w:r>
      <w:r w:rsidRPr="00A32AF4">
        <w:rPr>
          <w:rFonts w:ascii="Arial" w:hAnsi="Arial" w:cs="Arial"/>
        </w:rPr>
        <w:t>OMPI continuera de coéditer l</w:t>
      </w:r>
      <w:r w:rsidR="00E2055A" w:rsidRPr="00A32AF4">
        <w:rPr>
          <w:rFonts w:ascii="Arial" w:hAnsi="Arial" w:cs="Arial"/>
        </w:rPr>
        <w:t>’</w:t>
      </w:r>
      <w:r w:rsidRPr="00A32AF4">
        <w:rPr>
          <w:rFonts w:ascii="Arial" w:hAnsi="Arial" w:cs="Arial"/>
        </w:rPr>
        <w:t>Indice mondial de l</w:t>
      </w:r>
      <w:r w:rsidR="00E2055A" w:rsidRPr="00A32AF4">
        <w:rPr>
          <w:rFonts w:ascii="Arial" w:hAnsi="Arial" w:cs="Arial"/>
        </w:rPr>
        <w:t>’</w:t>
      </w:r>
      <w:r w:rsidRPr="00A32AF4">
        <w:rPr>
          <w:rFonts w:ascii="Arial" w:hAnsi="Arial" w:cs="Arial"/>
        </w:rPr>
        <w:t>innovation, qui vise à mesurer l</w:t>
      </w:r>
      <w:r w:rsidR="00E2055A" w:rsidRPr="00A32AF4">
        <w:rPr>
          <w:rFonts w:ascii="Arial" w:hAnsi="Arial" w:cs="Arial"/>
        </w:rPr>
        <w:t>’</w:t>
      </w:r>
      <w:r w:rsidRPr="00A32AF4">
        <w:rPr>
          <w:rFonts w:ascii="Arial" w:hAnsi="Arial" w:cs="Arial"/>
        </w:rPr>
        <w:t>innovation et à fournir aux responsables de l</w:t>
      </w:r>
      <w:r w:rsidR="00E2055A" w:rsidRPr="00A32AF4">
        <w:rPr>
          <w:rFonts w:ascii="Arial" w:hAnsi="Arial" w:cs="Arial"/>
        </w:rPr>
        <w:t>’</w:t>
      </w:r>
      <w:r w:rsidRPr="00A32AF4">
        <w:rPr>
          <w:rFonts w:ascii="Arial" w:hAnsi="Arial" w:cs="Arial"/>
        </w:rPr>
        <w:t>élaboration des politiques un outil de référence pour évaluer les résultats en matière d</w:t>
      </w:r>
      <w:r w:rsidR="00E2055A" w:rsidRPr="00A32AF4">
        <w:rPr>
          <w:rFonts w:ascii="Arial" w:hAnsi="Arial" w:cs="Arial"/>
        </w:rPr>
        <w:t>’</w:t>
      </w:r>
      <w:r w:rsidRPr="00A32AF4">
        <w:rPr>
          <w:rFonts w:ascii="Arial" w:hAnsi="Arial" w:cs="Arial"/>
        </w:rPr>
        <w:t>innovation.</w:t>
      </w:r>
      <w:r w:rsidRPr="00A32AF4">
        <w:rPr>
          <w:rFonts w:ascii="Arial" w:hAnsi="Arial"/>
        </w:rPr>
        <w:t xml:space="preserve">  </w:t>
      </w:r>
      <w:r w:rsidRPr="00A32AF4">
        <w:rPr>
          <w:rFonts w:ascii="Arial" w:hAnsi="Arial" w:cs="Arial"/>
        </w:rPr>
        <w:t>De même, la série des Rapports mondiaux sur la propriété intellectuelle de l</w:t>
      </w:r>
      <w:r w:rsidR="00E2055A" w:rsidRPr="00A32AF4">
        <w:rPr>
          <w:rFonts w:ascii="Arial" w:hAnsi="Arial" w:cs="Arial"/>
        </w:rPr>
        <w:t>’</w:t>
      </w:r>
      <w:r w:rsidRPr="00A32AF4">
        <w:rPr>
          <w:rFonts w:ascii="Arial" w:hAnsi="Arial" w:cs="Arial"/>
        </w:rPr>
        <w:t>OMPI, qui s</w:t>
      </w:r>
      <w:r w:rsidR="00E2055A" w:rsidRPr="00A32AF4">
        <w:rPr>
          <w:rFonts w:ascii="Arial" w:hAnsi="Arial" w:cs="Arial"/>
        </w:rPr>
        <w:t>’</w:t>
      </w:r>
      <w:r w:rsidRPr="00A32AF4">
        <w:rPr>
          <w:rFonts w:ascii="Arial" w:hAnsi="Arial" w:cs="Arial"/>
        </w:rPr>
        <w:t>attache à étudier de nouveaux thèmes et à enrichir l</w:t>
      </w:r>
      <w:r w:rsidR="00E2055A" w:rsidRPr="00A32AF4">
        <w:rPr>
          <w:rFonts w:ascii="Arial" w:hAnsi="Arial" w:cs="Arial"/>
        </w:rPr>
        <w:t>’</w:t>
      </w:r>
      <w:r w:rsidRPr="00A32AF4">
        <w:rPr>
          <w:rFonts w:ascii="Arial" w:hAnsi="Arial" w:cs="Arial"/>
        </w:rPr>
        <w:t>analyse relative à des questions mondiales de propriété intellectuelle, sera maintenue.</w:t>
      </w:r>
      <w:r w:rsidRPr="00A32AF4">
        <w:rPr>
          <w:rFonts w:ascii="Arial" w:hAnsi="Arial"/>
        </w:rPr>
        <w:t xml:space="preserve">  </w:t>
      </w:r>
      <w:r w:rsidRPr="00A32AF4">
        <w:rPr>
          <w:rFonts w:ascii="Arial" w:hAnsi="Arial" w:cs="Arial"/>
        </w:rPr>
        <w:t>En outre, un nouvel axe de recherche sur la politique et les résultats des sociétés opérant dans le domaine du droit d</w:t>
      </w:r>
      <w:r w:rsidR="00E2055A" w:rsidRPr="00A32AF4">
        <w:rPr>
          <w:rFonts w:ascii="Arial" w:hAnsi="Arial" w:cs="Arial"/>
        </w:rPr>
        <w:t>’</w:t>
      </w:r>
      <w:r w:rsidRPr="00A32AF4">
        <w:rPr>
          <w:rFonts w:ascii="Arial" w:hAnsi="Arial" w:cs="Arial"/>
        </w:rPr>
        <w:t>auteur sera établi en 2016</w:t>
      </w:r>
      <w:r w:rsidR="00EB7F54" w:rsidRPr="00A32AF4">
        <w:rPr>
          <w:rFonts w:ascii="Arial" w:hAnsi="Arial" w:cs="Arial"/>
        </w:rPr>
        <w:noBreakHyphen/>
      </w:r>
      <w:r w:rsidRPr="00A32AF4">
        <w:rPr>
          <w:rFonts w:ascii="Arial" w:hAnsi="Arial" w:cs="Arial"/>
        </w:rPr>
        <w:t>2017.</w:t>
      </w:r>
    </w:p>
    <w:p w:rsidR="00DC0553" w:rsidRPr="00A32AF4" w:rsidRDefault="00DC0553" w:rsidP="00DC0553">
      <w:pPr>
        <w:pStyle w:val="ListParagraph"/>
        <w:tabs>
          <w:tab w:val="left" w:pos="567"/>
        </w:tabs>
        <w:spacing w:line="240" w:lineRule="auto"/>
        <w:ind w:left="0"/>
        <w:jc w:val="both"/>
        <w:rPr>
          <w:rFonts w:ascii="Arial" w:hAnsi="Arial"/>
        </w:rPr>
      </w:pPr>
    </w:p>
    <w:p w:rsidR="00DC0553" w:rsidRPr="00A32AF4" w:rsidRDefault="00DC0553" w:rsidP="00DC0553">
      <w:pPr>
        <w:pStyle w:val="ListParagraph"/>
        <w:numPr>
          <w:ilvl w:val="0"/>
          <w:numId w:val="73"/>
        </w:numPr>
        <w:tabs>
          <w:tab w:val="right" w:pos="1134"/>
        </w:tabs>
        <w:spacing w:after="0" w:line="240" w:lineRule="auto"/>
        <w:ind w:left="1134" w:hanging="567"/>
        <w:jc w:val="both"/>
        <w:rPr>
          <w:rFonts w:ascii="Arial" w:hAnsi="Arial"/>
          <w:i/>
        </w:rPr>
      </w:pPr>
      <w:r w:rsidRPr="00A32AF4">
        <w:rPr>
          <w:rFonts w:ascii="Arial" w:hAnsi="Arial"/>
          <w:i/>
        </w:rPr>
        <w:t>L</w:t>
      </w:r>
      <w:r w:rsidR="00E2055A" w:rsidRPr="00A32AF4">
        <w:rPr>
          <w:rFonts w:ascii="Arial" w:hAnsi="Arial"/>
          <w:i/>
        </w:rPr>
        <w:t>’</w:t>
      </w:r>
      <w:r w:rsidRPr="00A32AF4">
        <w:rPr>
          <w:rFonts w:ascii="Arial" w:hAnsi="Arial"/>
          <w:i/>
        </w:rPr>
        <w:t>augmentation correspondante des ressources totales est prise en considération dans le programme 16 (Économie et statistiques).</w:t>
      </w:r>
    </w:p>
    <w:p w:rsidR="00DC0553" w:rsidRPr="00A32AF4" w:rsidRDefault="00DC0553" w:rsidP="00DC0553"/>
    <w:p w:rsidR="00DC0553" w:rsidRPr="00A32AF4" w:rsidRDefault="00DC0553" w:rsidP="00DC0553">
      <w:pPr>
        <w:pStyle w:val="ListParagraph"/>
        <w:numPr>
          <w:ilvl w:val="0"/>
          <w:numId w:val="72"/>
        </w:numPr>
        <w:tabs>
          <w:tab w:val="left" w:pos="567"/>
        </w:tabs>
        <w:spacing w:after="0" w:line="240" w:lineRule="auto"/>
        <w:ind w:left="0" w:firstLine="0"/>
        <w:jc w:val="both"/>
        <w:rPr>
          <w:rFonts w:ascii="Arial" w:hAnsi="Arial"/>
        </w:rPr>
      </w:pPr>
      <w:r w:rsidRPr="00A32AF4">
        <w:rPr>
          <w:rFonts w:ascii="Arial" w:hAnsi="Arial"/>
        </w:rPr>
        <w:t>Le développement reste une priorité pour l</w:t>
      </w:r>
      <w:r w:rsidR="00E2055A" w:rsidRPr="00A32AF4">
        <w:rPr>
          <w:rFonts w:ascii="Arial" w:hAnsi="Arial"/>
        </w:rPr>
        <w:t>’</w:t>
      </w:r>
      <w:r w:rsidRPr="00A32AF4">
        <w:rPr>
          <w:rFonts w:ascii="Arial" w:hAnsi="Arial"/>
        </w:rPr>
        <w:t>exercice biennal 2016</w:t>
      </w:r>
      <w:r w:rsidR="00EB7F54" w:rsidRPr="00A32AF4">
        <w:rPr>
          <w:rFonts w:ascii="Arial" w:hAnsi="Arial"/>
        </w:rPr>
        <w:noBreakHyphen/>
      </w:r>
      <w:r w:rsidRPr="00A32AF4">
        <w:rPr>
          <w:rFonts w:ascii="Arial" w:hAnsi="Arial"/>
        </w:rPr>
        <w:t>2017.  Cela a eu pour conséquence de maintenir la part du développement à un niveau stable, 21,</w:t>
      </w:r>
      <w:r w:rsidR="00A977C7" w:rsidRPr="00A32AF4">
        <w:rPr>
          <w:rFonts w:ascii="Arial" w:hAnsi="Arial"/>
        </w:rPr>
        <w:t>1</w:t>
      </w:r>
      <w:r w:rsidRPr="00A32AF4">
        <w:rPr>
          <w:rFonts w:ascii="Arial" w:hAnsi="Arial"/>
        </w:rPr>
        <w:t>%, pour le prochain exercice biennal</w:t>
      </w:r>
      <w:r w:rsidRPr="00A32AF4">
        <w:rPr>
          <w:rStyle w:val="FootnoteReference"/>
          <w:rFonts w:ascii="Arial" w:hAnsi="Arial"/>
        </w:rPr>
        <w:footnoteReference w:id="7"/>
      </w:r>
      <w:r w:rsidRPr="00A32AF4">
        <w:rPr>
          <w:rFonts w:ascii="Arial" w:hAnsi="Arial"/>
        </w:rPr>
        <w:t>.</w:t>
      </w:r>
    </w:p>
    <w:p w:rsidR="00DC0553" w:rsidRPr="00A32AF4" w:rsidRDefault="00DC0553" w:rsidP="00DC0553">
      <w:pPr>
        <w:pStyle w:val="ListParagraph"/>
        <w:tabs>
          <w:tab w:val="left" w:pos="567"/>
        </w:tabs>
        <w:spacing w:line="240" w:lineRule="auto"/>
        <w:ind w:left="0"/>
        <w:jc w:val="both"/>
        <w:rPr>
          <w:rFonts w:ascii="Arial" w:hAnsi="Arial"/>
        </w:rPr>
      </w:pPr>
    </w:p>
    <w:p w:rsidR="00DC0553" w:rsidRPr="00A32AF4" w:rsidRDefault="00DC0553" w:rsidP="00DC0553">
      <w:pPr>
        <w:pStyle w:val="ListParagraph"/>
        <w:numPr>
          <w:ilvl w:val="0"/>
          <w:numId w:val="73"/>
        </w:numPr>
        <w:tabs>
          <w:tab w:val="right" w:pos="1134"/>
        </w:tabs>
        <w:spacing w:after="0" w:line="240" w:lineRule="auto"/>
        <w:ind w:left="1134" w:hanging="567"/>
        <w:jc w:val="both"/>
        <w:rPr>
          <w:rFonts w:ascii="Arial" w:hAnsi="Arial"/>
          <w:i/>
        </w:rPr>
      </w:pPr>
      <w:r w:rsidRPr="00A32AF4">
        <w:rPr>
          <w:rFonts w:ascii="Arial" w:hAnsi="Arial"/>
          <w:i/>
        </w:rPr>
        <w:t xml:space="preserve">Cela représente une augmentation absolue des dépenses prévisionnelles de développement de </w:t>
      </w:r>
      <w:r w:rsidR="00A977C7" w:rsidRPr="00A32AF4">
        <w:rPr>
          <w:rFonts w:ascii="Arial" w:hAnsi="Arial"/>
          <w:i/>
        </w:rPr>
        <w:t>4</w:t>
      </w:r>
      <w:r w:rsidRPr="00A32AF4">
        <w:rPr>
          <w:rFonts w:ascii="Arial" w:hAnsi="Arial"/>
          <w:i/>
        </w:rPr>
        <w:t>% par rapport au budget 2014</w:t>
      </w:r>
      <w:r w:rsidR="00EB7F54" w:rsidRPr="00A32AF4">
        <w:rPr>
          <w:rFonts w:ascii="Arial" w:hAnsi="Arial"/>
          <w:i/>
        </w:rPr>
        <w:noBreakHyphen/>
      </w:r>
      <w:r w:rsidRPr="00A32AF4">
        <w:rPr>
          <w:rFonts w:ascii="Arial" w:hAnsi="Arial"/>
          <w:i/>
        </w:rPr>
        <w:t>2015 approuvé.</w:t>
      </w:r>
    </w:p>
    <w:p w:rsidR="00DC0553" w:rsidRPr="00A32AF4" w:rsidRDefault="00DC0553" w:rsidP="00DC0553">
      <w:pPr>
        <w:jc w:val="both"/>
      </w:pPr>
    </w:p>
    <w:p w:rsidR="00DC0553" w:rsidRPr="00A32AF4" w:rsidRDefault="00DC0553" w:rsidP="00DC0553">
      <w:pPr>
        <w:pStyle w:val="ListParagraph"/>
        <w:numPr>
          <w:ilvl w:val="0"/>
          <w:numId w:val="72"/>
        </w:numPr>
        <w:tabs>
          <w:tab w:val="left" w:pos="567"/>
        </w:tabs>
        <w:spacing w:after="0" w:line="240" w:lineRule="auto"/>
        <w:ind w:left="0" w:firstLine="0"/>
        <w:jc w:val="both"/>
        <w:rPr>
          <w:rFonts w:ascii="Arial" w:hAnsi="Arial"/>
        </w:rPr>
      </w:pPr>
      <w:r w:rsidRPr="00A32AF4">
        <w:rPr>
          <w:rFonts w:ascii="Arial" w:hAnsi="Arial"/>
        </w:rPr>
        <w:t>Les recommandations du Plan d</w:t>
      </w:r>
      <w:r w:rsidR="00E2055A" w:rsidRPr="00A32AF4">
        <w:rPr>
          <w:rFonts w:ascii="Arial" w:hAnsi="Arial"/>
        </w:rPr>
        <w:t>’</w:t>
      </w:r>
      <w:r w:rsidRPr="00A32AF4">
        <w:rPr>
          <w:rFonts w:ascii="Arial" w:hAnsi="Arial"/>
        </w:rPr>
        <w:t>action pour le développement continuent de guider les activités de développement de l</w:t>
      </w:r>
      <w:r w:rsidR="00E2055A" w:rsidRPr="00A32AF4">
        <w:rPr>
          <w:rFonts w:ascii="Arial" w:hAnsi="Arial"/>
        </w:rPr>
        <w:t>’</w:t>
      </w:r>
      <w:r w:rsidRPr="00A32AF4">
        <w:rPr>
          <w:rFonts w:ascii="Arial" w:hAnsi="Arial"/>
        </w:rPr>
        <w:t>OMPI.  Les liens entre les différents programmes et ces recommandations continuent d</w:t>
      </w:r>
      <w:r w:rsidR="00E2055A" w:rsidRPr="00A32AF4">
        <w:rPr>
          <w:rFonts w:ascii="Arial" w:hAnsi="Arial"/>
        </w:rPr>
        <w:t>’</w:t>
      </w:r>
      <w:r w:rsidRPr="00A32AF4">
        <w:rPr>
          <w:rFonts w:ascii="Arial" w:hAnsi="Arial"/>
        </w:rPr>
        <w:t>être pris en considération dans les exposés de programme correspondants.  Les projets relevant du Plan d</w:t>
      </w:r>
      <w:r w:rsidR="00E2055A" w:rsidRPr="00A32AF4">
        <w:rPr>
          <w:rFonts w:ascii="Arial" w:hAnsi="Arial"/>
        </w:rPr>
        <w:t>’</w:t>
      </w:r>
      <w:r w:rsidRPr="00A32AF4">
        <w:rPr>
          <w:rFonts w:ascii="Arial" w:hAnsi="Arial"/>
        </w:rPr>
        <w:t>action pour le développement ont été intégrés, en termes de contenu et de ressources, dans les différents programmes, conformément à la procédure budgétaire appliquée aux projets proposés par le Comité du développement et de la propriété intellectuelle (CDIP) pour la mise en œuvre des recommandations du Plan d</w:t>
      </w:r>
      <w:r w:rsidR="00E2055A" w:rsidRPr="00A32AF4">
        <w:rPr>
          <w:rFonts w:ascii="Arial" w:hAnsi="Arial"/>
        </w:rPr>
        <w:t>’</w:t>
      </w:r>
      <w:r w:rsidRPr="00A32AF4">
        <w:rPr>
          <w:rFonts w:ascii="Arial" w:hAnsi="Arial"/>
        </w:rPr>
        <w:t>action pour le développement, approuvée par les assemblées des États membres de l</w:t>
      </w:r>
      <w:r w:rsidR="00E2055A" w:rsidRPr="00A32AF4">
        <w:rPr>
          <w:rFonts w:ascii="Arial" w:hAnsi="Arial"/>
        </w:rPr>
        <w:t>’</w:t>
      </w:r>
      <w:r w:rsidRPr="00A32AF4">
        <w:rPr>
          <w:rFonts w:ascii="Arial" w:hAnsi="Arial"/>
        </w:rPr>
        <w:t>OMPI en 2010</w:t>
      </w:r>
      <w:r w:rsidRPr="00A32AF4">
        <w:rPr>
          <w:rStyle w:val="FootnoteReference"/>
          <w:rFonts w:ascii="Arial" w:hAnsi="Arial"/>
        </w:rPr>
        <w:footnoteReference w:id="8"/>
      </w:r>
      <w:r w:rsidRPr="00A32AF4">
        <w:rPr>
          <w:rFonts w:ascii="Arial" w:hAnsi="Arial"/>
        </w:rPr>
        <w:t>.</w:t>
      </w:r>
    </w:p>
    <w:p w:rsidR="00DC0553" w:rsidRPr="00A32AF4" w:rsidRDefault="00DC0553" w:rsidP="00DC0553">
      <w:pPr>
        <w:pStyle w:val="ListParagraph"/>
        <w:tabs>
          <w:tab w:val="left" w:pos="567"/>
        </w:tabs>
        <w:spacing w:line="240" w:lineRule="auto"/>
        <w:ind w:left="0"/>
        <w:jc w:val="both"/>
        <w:rPr>
          <w:rFonts w:ascii="Arial" w:hAnsi="Arial" w:cs="Arial"/>
          <w:bCs/>
        </w:rPr>
      </w:pPr>
    </w:p>
    <w:p w:rsidR="00DC0553" w:rsidRPr="00A32AF4" w:rsidRDefault="00DC0553" w:rsidP="00DC0553">
      <w:pPr>
        <w:pStyle w:val="ListParagraph"/>
        <w:numPr>
          <w:ilvl w:val="0"/>
          <w:numId w:val="73"/>
        </w:numPr>
        <w:tabs>
          <w:tab w:val="right" w:pos="1134"/>
        </w:tabs>
        <w:spacing w:after="0" w:line="240" w:lineRule="auto"/>
        <w:ind w:left="1134" w:hanging="567"/>
        <w:jc w:val="both"/>
        <w:rPr>
          <w:rFonts w:ascii="Arial" w:hAnsi="Arial"/>
          <w:i/>
        </w:rPr>
      </w:pPr>
      <w:r w:rsidRPr="00A32AF4">
        <w:rPr>
          <w:rFonts w:ascii="Arial" w:hAnsi="Arial"/>
          <w:i/>
        </w:rPr>
        <w:t>Au total, six projets relevant du Plan d</w:t>
      </w:r>
      <w:r w:rsidR="00E2055A" w:rsidRPr="00A32AF4">
        <w:rPr>
          <w:rFonts w:ascii="Arial" w:hAnsi="Arial"/>
          <w:i/>
        </w:rPr>
        <w:t>’</w:t>
      </w:r>
      <w:r w:rsidRPr="00A32AF4">
        <w:rPr>
          <w:rFonts w:ascii="Arial" w:hAnsi="Arial"/>
          <w:i/>
        </w:rPr>
        <w:t>action pour le développement sont proposés pour l</w:t>
      </w:r>
      <w:r w:rsidR="00E2055A" w:rsidRPr="00A32AF4">
        <w:rPr>
          <w:rFonts w:ascii="Arial" w:hAnsi="Arial"/>
          <w:i/>
        </w:rPr>
        <w:t>’</w:t>
      </w:r>
      <w:r w:rsidRPr="00A32AF4">
        <w:rPr>
          <w:rFonts w:ascii="Arial" w:hAnsi="Arial"/>
          <w:i/>
        </w:rPr>
        <w:t>exercice biennal 2016</w:t>
      </w:r>
      <w:r w:rsidR="00EB7F54" w:rsidRPr="00A32AF4">
        <w:rPr>
          <w:rFonts w:ascii="Arial" w:hAnsi="Arial"/>
          <w:i/>
        </w:rPr>
        <w:noBreakHyphen/>
      </w:r>
      <w:r w:rsidRPr="00A32AF4">
        <w:rPr>
          <w:rFonts w:ascii="Arial" w:hAnsi="Arial"/>
          <w:i/>
        </w:rPr>
        <w:t>2017</w:t>
      </w:r>
      <w:r w:rsidRPr="00A32AF4">
        <w:rPr>
          <w:rStyle w:val="FootnoteReference"/>
          <w:rFonts w:ascii="Arial" w:hAnsi="Arial"/>
          <w:i/>
        </w:rPr>
        <w:footnoteReference w:id="9"/>
      </w:r>
      <w:r w:rsidRPr="00A32AF4">
        <w:rPr>
          <w:rFonts w:ascii="Arial" w:hAnsi="Arial"/>
          <w:i/>
        </w:rPr>
        <w:t>, sous réserve de l</w:t>
      </w:r>
      <w:r w:rsidR="00E2055A" w:rsidRPr="00A32AF4">
        <w:rPr>
          <w:rFonts w:ascii="Arial" w:hAnsi="Arial"/>
          <w:i/>
        </w:rPr>
        <w:t>’</w:t>
      </w:r>
      <w:r w:rsidRPr="00A32AF4">
        <w:rPr>
          <w:rFonts w:ascii="Arial" w:hAnsi="Arial"/>
          <w:i/>
        </w:rPr>
        <w:t>approbation du CDIP, avec une enveloppe budgétaire totale correspondante de 2,5 millions de francs suisses</w:t>
      </w:r>
      <w:r w:rsidRPr="00A32AF4">
        <w:rPr>
          <w:rStyle w:val="FootnoteReference"/>
          <w:rFonts w:ascii="Arial" w:hAnsi="Arial"/>
          <w:i/>
        </w:rPr>
        <w:footnoteReference w:id="10"/>
      </w:r>
      <w:r w:rsidRPr="00A32AF4">
        <w:rPr>
          <w:rFonts w:ascii="Arial" w:hAnsi="Arial"/>
          <w:i/>
        </w:rPr>
        <w:t>.</w:t>
      </w:r>
    </w:p>
    <w:p w:rsidR="00DC0553" w:rsidRPr="00A32AF4" w:rsidRDefault="00DC0553" w:rsidP="00DC0553">
      <w:pPr>
        <w:jc w:val="both"/>
        <w:rPr>
          <w:i/>
        </w:rPr>
      </w:pPr>
    </w:p>
    <w:p w:rsidR="00DC0553" w:rsidRPr="00A32AF4" w:rsidRDefault="00DC0553" w:rsidP="00DC0553">
      <w:pPr>
        <w:pStyle w:val="ListParagraph"/>
        <w:numPr>
          <w:ilvl w:val="0"/>
          <w:numId w:val="72"/>
        </w:numPr>
        <w:tabs>
          <w:tab w:val="left" w:pos="567"/>
        </w:tabs>
        <w:spacing w:after="0" w:line="240" w:lineRule="auto"/>
        <w:ind w:left="0" w:firstLine="0"/>
        <w:jc w:val="both"/>
        <w:rPr>
          <w:rFonts w:ascii="Arial" w:hAnsi="Arial" w:cs="Arial"/>
        </w:rPr>
      </w:pPr>
      <w:r w:rsidRPr="00A32AF4">
        <w:rPr>
          <w:rFonts w:ascii="Arial" w:hAnsi="Arial" w:cs="Arial"/>
        </w:rPr>
        <w:t>Avec l</w:t>
      </w:r>
      <w:r w:rsidR="00E2055A" w:rsidRPr="00A32AF4">
        <w:rPr>
          <w:rFonts w:ascii="Arial" w:hAnsi="Arial" w:cs="Arial"/>
        </w:rPr>
        <w:t>’</w:t>
      </w:r>
      <w:r w:rsidRPr="00A32AF4">
        <w:rPr>
          <w:rFonts w:ascii="Arial" w:hAnsi="Arial" w:cs="Arial"/>
        </w:rPr>
        <w:t>adoption anticipée par les États membres de l</w:t>
      </w:r>
      <w:r w:rsidR="00E2055A" w:rsidRPr="00A32AF4">
        <w:rPr>
          <w:rFonts w:ascii="Arial" w:hAnsi="Arial" w:cs="Arial"/>
        </w:rPr>
        <w:t>’</w:t>
      </w:r>
      <w:r w:rsidRPr="00A32AF4">
        <w:rPr>
          <w:rFonts w:ascii="Arial" w:hAnsi="Arial" w:cs="Arial"/>
        </w:rPr>
        <w:t>ONU du Programme de développement pour l</w:t>
      </w:r>
      <w:r w:rsidR="00E2055A" w:rsidRPr="00A32AF4">
        <w:rPr>
          <w:rFonts w:ascii="Arial" w:hAnsi="Arial" w:cs="Arial"/>
        </w:rPr>
        <w:t>’</w:t>
      </w:r>
      <w:r w:rsidRPr="00A32AF4">
        <w:rPr>
          <w:rFonts w:ascii="Arial" w:hAnsi="Arial" w:cs="Arial"/>
        </w:rPr>
        <w:t>après</w:t>
      </w:r>
      <w:r w:rsidR="00EB7F54" w:rsidRPr="00A32AF4">
        <w:rPr>
          <w:rFonts w:ascii="Arial" w:hAnsi="Arial" w:cs="Arial"/>
        </w:rPr>
        <w:noBreakHyphen/>
      </w:r>
      <w:r w:rsidRPr="00A32AF4">
        <w:rPr>
          <w:rFonts w:ascii="Arial" w:hAnsi="Arial" w:cs="Arial"/>
        </w:rPr>
        <w:t xml:space="preserve">2015 et un nouvel accord international sur les changements climatiques, les </w:t>
      </w:r>
      <w:r w:rsidR="00E2055A" w:rsidRPr="00A32AF4">
        <w:rPr>
          <w:rFonts w:ascii="Arial" w:hAnsi="Arial" w:cs="Arial"/>
        </w:rPr>
        <w:t>Nations Unies</w:t>
      </w:r>
      <w:r w:rsidRPr="00A32AF4">
        <w:rPr>
          <w:rFonts w:ascii="Arial" w:hAnsi="Arial" w:cs="Arial"/>
        </w:rPr>
        <w:t xml:space="preserve"> sont prêtes, après la négociation, à passer à l</w:t>
      </w:r>
      <w:r w:rsidR="00E2055A" w:rsidRPr="00A32AF4">
        <w:rPr>
          <w:rFonts w:ascii="Arial" w:hAnsi="Arial" w:cs="Arial"/>
        </w:rPr>
        <w:t>’</w:t>
      </w:r>
      <w:r w:rsidRPr="00A32AF4">
        <w:rPr>
          <w:rFonts w:ascii="Arial" w:hAnsi="Arial" w:cs="Arial"/>
        </w:rPr>
        <w:t>action.</w:t>
      </w:r>
      <w:r w:rsidRPr="00A32AF4">
        <w:rPr>
          <w:rFonts w:ascii="Arial" w:hAnsi="Arial"/>
        </w:rPr>
        <w:t xml:space="preserve"> </w:t>
      </w:r>
      <w:r w:rsidRPr="00A32AF4">
        <w:rPr>
          <w:rFonts w:ascii="Arial" w:hAnsi="Arial" w:cs="Arial"/>
        </w:rPr>
        <w:t xml:space="preserve"> L</w:t>
      </w:r>
      <w:r w:rsidR="00E2055A" w:rsidRPr="00A32AF4">
        <w:rPr>
          <w:rFonts w:ascii="Arial" w:hAnsi="Arial" w:cs="Arial"/>
        </w:rPr>
        <w:t>’</w:t>
      </w:r>
      <w:r w:rsidRPr="00A32AF4">
        <w:rPr>
          <w:rFonts w:ascii="Arial" w:hAnsi="Arial" w:cs="Arial"/>
        </w:rPr>
        <w:t xml:space="preserve">OMPI, en tant que membre très déterminé du système des </w:t>
      </w:r>
      <w:r w:rsidR="00E2055A" w:rsidRPr="00A32AF4">
        <w:rPr>
          <w:rFonts w:ascii="Arial" w:hAnsi="Arial" w:cs="Arial"/>
        </w:rPr>
        <w:t>Nations Unies</w:t>
      </w:r>
      <w:r w:rsidRPr="00A32AF4">
        <w:rPr>
          <w:rFonts w:ascii="Arial" w:hAnsi="Arial" w:cs="Arial"/>
        </w:rPr>
        <w:t>, adhérant à la fois à l</w:t>
      </w:r>
      <w:r w:rsidR="00E2055A" w:rsidRPr="00A32AF4">
        <w:rPr>
          <w:rFonts w:ascii="Arial" w:hAnsi="Arial" w:cs="Arial"/>
        </w:rPr>
        <w:t>’</w:t>
      </w:r>
      <w:r w:rsidRPr="00A32AF4">
        <w:rPr>
          <w:rFonts w:ascii="Arial" w:hAnsi="Arial" w:cs="Arial"/>
        </w:rPr>
        <w:t>esprit et aux recommandations du Plan d</w:t>
      </w:r>
      <w:r w:rsidR="00E2055A" w:rsidRPr="00A32AF4">
        <w:rPr>
          <w:rFonts w:ascii="Arial" w:hAnsi="Arial" w:cs="Arial"/>
        </w:rPr>
        <w:t>’</w:t>
      </w:r>
      <w:r w:rsidRPr="00A32AF4">
        <w:rPr>
          <w:rFonts w:ascii="Arial" w:hAnsi="Arial" w:cs="Arial"/>
        </w:rPr>
        <w:t>action de l</w:t>
      </w:r>
      <w:r w:rsidR="00E2055A" w:rsidRPr="00A32AF4">
        <w:rPr>
          <w:rFonts w:ascii="Arial" w:hAnsi="Arial" w:cs="Arial"/>
        </w:rPr>
        <w:t>’</w:t>
      </w:r>
      <w:r w:rsidRPr="00A32AF4">
        <w:rPr>
          <w:rFonts w:ascii="Arial" w:hAnsi="Arial" w:cs="Arial"/>
        </w:rPr>
        <w:t>OMPI pour le développement, jouera pleinement son rôle dans le partenariat mondial pour le développement afin d</w:t>
      </w:r>
      <w:r w:rsidR="00E2055A" w:rsidRPr="00A32AF4">
        <w:rPr>
          <w:rFonts w:ascii="Arial" w:hAnsi="Arial" w:cs="Arial"/>
        </w:rPr>
        <w:t>’</w:t>
      </w:r>
      <w:r w:rsidRPr="00A32AF4">
        <w:rPr>
          <w:rFonts w:ascii="Arial" w:hAnsi="Arial" w:cs="Arial"/>
        </w:rPr>
        <w:t>appuyer la mise en œuvre de tous les éléments du Programme de développement pour l</w:t>
      </w:r>
      <w:r w:rsidR="00E2055A" w:rsidRPr="00A32AF4">
        <w:rPr>
          <w:rFonts w:ascii="Arial" w:hAnsi="Arial" w:cs="Arial"/>
        </w:rPr>
        <w:t>’</w:t>
      </w:r>
      <w:r w:rsidRPr="00A32AF4">
        <w:rPr>
          <w:rFonts w:ascii="Arial" w:hAnsi="Arial" w:cs="Arial"/>
        </w:rPr>
        <w:t>après</w:t>
      </w:r>
      <w:r w:rsidR="00EB7F54" w:rsidRPr="00A32AF4">
        <w:rPr>
          <w:rFonts w:ascii="Arial" w:hAnsi="Arial" w:cs="Arial"/>
        </w:rPr>
        <w:noBreakHyphen/>
      </w:r>
      <w:r w:rsidRPr="00A32AF4">
        <w:rPr>
          <w:rFonts w:ascii="Arial" w:hAnsi="Arial" w:cs="Arial"/>
        </w:rPr>
        <w:t>2015.</w:t>
      </w:r>
    </w:p>
    <w:p w:rsidR="00DC0553" w:rsidRPr="00A32AF4" w:rsidRDefault="00DC0553" w:rsidP="00DC0553">
      <w:pPr>
        <w:pStyle w:val="ListParagraph"/>
        <w:tabs>
          <w:tab w:val="left" w:pos="567"/>
        </w:tabs>
        <w:spacing w:line="240" w:lineRule="auto"/>
        <w:ind w:left="0"/>
        <w:jc w:val="both"/>
        <w:rPr>
          <w:rFonts w:ascii="Arial" w:hAnsi="Arial" w:cs="Arial"/>
        </w:rPr>
      </w:pPr>
    </w:p>
    <w:p w:rsidR="00DC0553" w:rsidRPr="00A32AF4" w:rsidRDefault="00DC0553" w:rsidP="00DC0553">
      <w:pPr>
        <w:pStyle w:val="ListParagraph"/>
        <w:numPr>
          <w:ilvl w:val="0"/>
          <w:numId w:val="73"/>
        </w:numPr>
        <w:tabs>
          <w:tab w:val="right" w:pos="1134"/>
        </w:tabs>
        <w:spacing w:after="0" w:line="240" w:lineRule="auto"/>
        <w:ind w:left="1134" w:hanging="567"/>
        <w:jc w:val="both"/>
        <w:rPr>
          <w:rFonts w:ascii="Arial" w:hAnsi="Arial"/>
          <w:i/>
        </w:rPr>
      </w:pPr>
      <w:r w:rsidRPr="00A32AF4">
        <w:rPr>
          <w:rFonts w:ascii="Arial" w:hAnsi="Arial"/>
          <w:i/>
        </w:rPr>
        <w:t>Les ressources totales correspondantes sont essentiellement prises en considération dans les programmes 9 (Afrique, pays arabes, Asie et Pacifique, pays d</w:t>
      </w:r>
      <w:r w:rsidR="00E2055A" w:rsidRPr="00A32AF4">
        <w:rPr>
          <w:rFonts w:ascii="Arial" w:hAnsi="Arial"/>
          <w:i/>
        </w:rPr>
        <w:t>’</w:t>
      </w:r>
      <w:r w:rsidRPr="00A32AF4">
        <w:rPr>
          <w:rFonts w:ascii="Arial" w:hAnsi="Arial"/>
          <w:i/>
        </w:rPr>
        <w:t>Amérique latine et des Caraïbes, pays les moins avancés), 10 (Pays en transition et pays développés), 18 (Propriété intellectuelle et défis mondiaux) et 20 (Relations extérieures, partenariats et bureaux extérieurs).</w:t>
      </w:r>
    </w:p>
    <w:p w:rsidR="00DC0553" w:rsidRPr="00A32AF4" w:rsidRDefault="00DC0553" w:rsidP="00DC0553">
      <w:pPr>
        <w:tabs>
          <w:tab w:val="left" w:pos="567"/>
        </w:tabs>
        <w:jc w:val="both"/>
      </w:pPr>
    </w:p>
    <w:p w:rsidR="00DC0553" w:rsidRPr="00A32AF4" w:rsidRDefault="00DC0553" w:rsidP="00DC0553">
      <w:pPr>
        <w:pStyle w:val="ListParagraph"/>
        <w:numPr>
          <w:ilvl w:val="0"/>
          <w:numId w:val="72"/>
        </w:numPr>
        <w:tabs>
          <w:tab w:val="left" w:pos="567"/>
        </w:tabs>
        <w:spacing w:after="0" w:line="240" w:lineRule="auto"/>
        <w:ind w:left="0" w:firstLine="0"/>
        <w:jc w:val="both"/>
        <w:rPr>
          <w:rFonts w:ascii="Arial" w:hAnsi="Arial" w:cs="Arial"/>
        </w:rPr>
      </w:pPr>
      <w:r w:rsidRPr="00A32AF4">
        <w:rPr>
          <w:rFonts w:ascii="Arial" w:hAnsi="Arial"/>
        </w:rPr>
        <w:t>L</w:t>
      </w:r>
      <w:r w:rsidR="00E2055A" w:rsidRPr="00A32AF4">
        <w:rPr>
          <w:rFonts w:ascii="Arial" w:hAnsi="Arial"/>
        </w:rPr>
        <w:t>’</w:t>
      </w:r>
      <w:r w:rsidRPr="00A32AF4">
        <w:rPr>
          <w:rFonts w:ascii="Arial" w:hAnsi="Arial"/>
        </w:rPr>
        <w:t>amélioration de l</w:t>
      </w:r>
      <w:r w:rsidR="00E2055A" w:rsidRPr="00A32AF4">
        <w:rPr>
          <w:rFonts w:ascii="Arial" w:hAnsi="Arial"/>
        </w:rPr>
        <w:t>’</w:t>
      </w:r>
      <w:r w:rsidRPr="00A32AF4">
        <w:rPr>
          <w:rFonts w:ascii="Arial" w:hAnsi="Arial"/>
        </w:rPr>
        <w:t>accessibilité et de l</w:t>
      </w:r>
      <w:r w:rsidR="00E2055A" w:rsidRPr="00A32AF4">
        <w:rPr>
          <w:rFonts w:ascii="Arial" w:hAnsi="Arial"/>
        </w:rPr>
        <w:t>’</w:t>
      </w:r>
      <w:r w:rsidRPr="00A32AF4">
        <w:rPr>
          <w:rFonts w:ascii="Arial" w:hAnsi="Arial"/>
        </w:rPr>
        <w:t>utilisation de l</w:t>
      </w:r>
      <w:r w:rsidR="00E2055A" w:rsidRPr="00A32AF4">
        <w:rPr>
          <w:rFonts w:ascii="Arial" w:hAnsi="Arial"/>
        </w:rPr>
        <w:t>’</w:t>
      </w:r>
      <w:r w:rsidRPr="00A32AF4">
        <w:rPr>
          <w:rFonts w:ascii="Arial" w:hAnsi="Arial"/>
        </w:rPr>
        <w:t>information en matière de propriété intellectuelle par les institutions compétentes et le public afin de promouvoir l</w:t>
      </w:r>
      <w:r w:rsidR="00E2055A" w:rsidRPr="00A32AF4">
        <w:rPr>
          <w:rFonts w:ascii="Arial" w:hAnsi="Arial"/>
        </w:rPr>
        <w:t>’</w:t>
      </w:r>
      <w:r w:rsidRPr="00A32AF4">
        <w:rPr>
          <w:rFonts w:ascii="Arial" w:hAnsi="Arial"/>
        </w:rPr>
        <w:t>innovation et la créativité se poursuivra.  Les bases de données mondiales seront développées sur le plan de la couverture géographique des collections nationales, notamment en ce qui concerne la base de données mondiale sur les dessins et modèles créée durant l</w:t>
      </w:r>
      <w:r w:rsidR="00E2055A" w:rsidRPr="00A32AF4">
        <w:rPr>
          <w:rFonts w:ascii="Arial" w:hAnsi="Arial"/>
        </w:rPr>
        <w:t>’</w:t>
      </w:r>
      <w:r w:rsidRPr="00A32AF4">
        <w:rPr>
          <w:rFonts w:ascii="Arial" w:hAnsi="Arial"/>
        </w:rPr>
        <w:t>exercice biennal 2014</w:t>
      </w:r>
      <w:r w:rsidR="00EB7F54" w:rsidRPr="00A32AF4">
        <w:rPr>
          <w:rFonts w:ascii="Arial" w:hAnsi="Arial"/>
        </w:rPr>
        <w:noBreakHyphen/>
      </w:r>
      <w:r w:rsidRPr="00A32AF4">
        <w:rPr>
          <w:rFonts w:ascii="Arial" w:hAnsi="Arial"/>
        </w:rPr>
        <w:t>2015.</w:t>
      </w:r>
    </w:p>
    <w:p w:rsidR="00DC0553" w:rsidRPr="00A32AF4" w:rsidRDefault="00DC0553" w:rsidP="00DC0553">
      <w:pPr>
        <w:pStyle w:val="ListParagraph"/>
        <w:tabs>
          <w:tab w:val="left" w:pos="567"/>
        </w:tabs>
        <w:spacing w:line="240" w:lineRule="auto"/>
        <w:ind w:left="0"/>
        <w:jc w:val="both"/>
        <w:rPr>
          <w:rFonts w:ascii="Arial" w:hAnsi="Arial"/>
        </w:rPr>
      </w:pPr>
    </w:p>
    <w:p w:rsidR="00DC0553" w:rsidRPr="00A32AF4" w:rsidRDefault="00DC0553" w:rsidP="00DC0553">
      <w:pPr>
        <w:pStyle w:val="ListParagraph"/>
        <w:numPr>
          <w:ilvl w:val="0"/>
          <w:numId w:val="73"/>
        </w:numPr>
        <w:tabs>
          <w:tab w:val="right" w:pos="1134"/>
        </w:tabs>
        <w:spacing w:after="0" w:line="240" w:lineRule="auto"/>
        <w:ind w:left="1134" w:hanging="567"/>
        <w:jc w:val="both"/>
        <w:rPr>
          <w:rFonts w:ascii="Arial" w:hAnsi="Arial"/>
          <w:i/>
        </w:rPr>
      </w:pPr>
      <w:r w:rsidRPr="00A32AF4">
        <w:rPr>
          <w:rFonts w:ascii="Arial" w:hAnsi="Arial"/>
          <w:i/>
        </w:rPr>
        <w:t>L</w:t>
      </w:r>
      <w:r w:rsidR="00E2055A" w:rsidRPr="00A32AF4">
        <w:rPr>
          <w:rFonts w:ascii="Arial" w:hAnsi="Arial"/>
          <w:i/>
        </w:rPr>
        <w:t>’</w:t>
      </w:r>
      <w:r w:rsidRPr="00A32AF4">
        <w:rPr>
          <w:rFonts w:ascii="Arial" w:hAnsi="Arial"/>
          <w:i/>
        </w:rPr>
        <w:t>augmentation correspondante des ressources totales est prise en considération dans le programme 13 (Bases de données mondiales).</w:t>
      </w:r>
    </w:p>
    <w:p w:rsidR="00DC0553" w:rsidRPr="00A32AF4" w:rsidRDefault="00DC0553" w:rsidP="00DC0553">
      <w:pPr>
        <w:tabs>
          <w:tab w:val="left" w:pos="567"/>
        </w:tabs>
        <w:jc w:val="both"/>
      </w:pPr>
    </w:p>
    <w:p w:rsidR="00DC0553" w:rsidRPr="00A32AF4" w:rsidRDefault="00DC0553" w:rsidP="00DC0553">
      <w:pPr>
        <w:pStyle w:val="ListParagraph"/>
        <w:keepNext/>
        <w:keepLines/>
        <w:numPr>
          <w:ilvl w:val="0"/>
          <w:numId w:val="72"/>
        </w:numPr>
        <w:tabs>
          <w:tab w:val="left" w:pos="567"/>
        </w:tabs>
        <w:spacing w:after="0" w:line="240" w:lineRule="auto"/>
        <w:ind w:left="0" w:firstLine="0"/>
        <w:jc w:val="both"/>
        <w:rPr>
          <w:rFonts w:ascii="Arial" w:hAnsi="Arial"/>
        </w:rPr>
      </w:pPr>
      <w:r w:rsidRPr="00A32AF4">
        <w:rPr>
          <w:rFonts w:ascii="Arial" w:hAnsi="Arial"/>
        </w:rPr>
        <w:t>L</w:t>
      </w:r>
      <w:r w:rsidR="00E2055A" w:rsidRPr="00A32AF4">
        <w:rPr>
          <w:rFonts w:ascii="Arial" w:hAnsi="Arial"/>
        </w:rPr>
        <w:t>’</w:t>
      </w:r>
      <w:r w:rsidRPr="00A32AF4">
        <w:rPr>
          <w:rFonts w:ascii="Arial" w:hAnsi="Arial"/>
        </w:rPr>
        <w:t>amélioration de l</w:t>
      </w:r>
      <w:r w:rsidR="00E2055A" w:rsidRPr="00A32AF4">
        <w:rPr>
          <w:rFonts w:ascii="Arial" w:hAnsi="Arial"/>
        </w:rPr>
        <w:t>’</w:t>
      </w:r>
      <w:r w:rsidRPr="00A32AF4">
        <w:rPr>
          <w:rFonts w:ascii="Arial" w:hAnsi="Arial"/>
        </w:rPr>
        <w:t>accès au savoir en matière de propriété intellectuelle continuera d</w:t>
      </w:r>
      <w:r w:rsidR="00E2055A" w:rsidRPr="00A32AF4">
        <w:rPr>
          <w:rFonts w:ascii="Arial" w:hAnsi="Arial"/>
        </w:rPr>
        <w:t>’</w:t>
      </w:r>
      <w:r w:rsidRPr="00A32AF4">
        <w:rPr>
          <w:rFonts w:ascii="Arial" w:hAnsi="Arial"/>
        </w:rPr>
        <w:t>être facilitée par la création et le renforcement de réseaux durables de centres d</w:t>
      </w:r>
      <w:r w:rsidR="00E2055A" w:rsidRPr="00A32AF4">
        <w:rPr>
          <w:rFonts w:ascii="Arial" w:hAnsi="Arial"/>
        </w:rPr>
        <w:t>’</w:t>
      </w:r>
      <w:r w:rsidRPr="00A32AF4">
        <w:rPr>
          <w:rFonts w:ascii="Arial" w:hAnsi="Arial"/>
        </w:rPr>
        <w:t>appui à la technologie et à l</w:t>
      </w:r>
      <w:r w:rsidR="00E2055A" w:rsidRPr="00A32AF4">
        <w:rPr>
          <w:rFonts w:ascii="Arial" w:hAnsi="Arial"/>
        </w:rPr>
        <w:t>’</w:t>
      </w:r>
      <w:r w:rsidRPr="00A32AF4">
        <w:rPr>
          <w:rFonts w:ascii="Arial" w:hAnsi="Arial"/>
        </w:rPr>
        <w:t>innovation (CATI) et de projets spéciaux visant à faciliter l</w:t>
      </w:r>
      <w:r w:rsidR="00E2055A" w:rsidRPr="00A32AF4">
        <w:rPr>
          <w:rFonts w:ascii="Arial" w:hAnsi="Arial"/>
        </w:rPr>
        <w:t>’</w:t>
      </w:r>
      <w:r w:rsidRPr="00A32AF4">
        <w:rPr>
          <w:rFonts w:ascii="Arial" w:hAnsi="Arial"/>
        </w:rPr>
        <w:t>accès aux bases de données commerciales.</w:t>
      </w:r>
    </w:p>
    <w:p w:rsidR="00DC0553" w:rsidRPr="00A32AF4" w:rsidRDefault="00DC0553" w:rsidP="00DC0553">
      <w:pPr>
        <w:pStyle w:val="ListParagraph"/>
        <w:keepNext/>
        <w:keepLines/>
        <w:tabs>
          <w:tab w:val="left" w:pos="567"/>
        </w:tabs>
        <w:spacing w:line="240" w:lineRule="auto"/>
        <w:ind w:left="0"/>
        <w:jc w:val="both"/>
        <w:rPr>
          <w:rFonts w:ascii="Arial" w:hAnsi="Arial"/>
        </w:rPr>
      </w:pPr>
    </w:p>
    <w:p w:rsidR="00DC0553" w:rsidRPr="00A32AF4" w:rsidRDefault="00DC0553" w:rsidP="00DC0553">
      <w:pPr>
        <w:pStyle w:val="ListParagraph"/>
        <w:keepNext/>
        <w:keepLines/>
        <w:numPr>
          <w:ilvl w:val="0"/>
          <w:numId w:val="73"/>
        </w:numPr>
        <w:tabs>
          <w:tab w:val="right" w:pos="1134"/>
        </w:tabs>
        <w:spacing w:after="0" w:line="240" w:lineRule="auto"/>
        <w:ind w:left="1134" w:hanging="567"/>
        <w:jc w:val="both"/>
        <w:rPr>
          <w:rFonts w:ascii="Arial" w:hAnsi="Arial"/>
          <w:i/>
        </w:rPr>
      </w:pPr>
      <w:r w:rsidRPr="00A32AF4">
        <w:rPr>
          <w:rFonts w:ascii="Arial" w:hAnsi="Arial"/>
          <w:i/>
        </w:rPr>
        <w:t>Les ressources totales correspondantes sont prises en considération dans le programme 14 (Services d</w:t>
      </w:r>
      <w:r w:rsidR="00E2055A" w:rsidRPr="00A32AF4">
        <w:rPr>
          <w:rFonts w:ascii="Arial" w:hAnsi="Arial"/>
          <w:i/>
        </w:rPr>
        <w:t>’</w:t>
      </w:r>
      <w:r w:rsidRPr="00A32AF4">
        <w:rPr>
          <w:rFonts w:ascii="Arial" w:hAnsi="Arial"/>
          <w:i/>
        </w:rPr>
        <w:t>accès à l</w:t>
      </w:r>
      <w:r w:rsidR="00E2055A" w:rsidRPr="00A32AF4">
        <w:rPr>
          <w:rFonts w:ascii="Arial" w:hAnsi="Arial"/>
          <w:i/>
        </w:rPr>
        <w:t>’</w:t>
      </w:r>
      <w:r w:rsidRPr="00A32AF4">
        <w:rPr>
          <w:rFonts w:ascii="Arial" w:hAnsi="Arial"/>
          <w:i/>
        </w:rPr>
        <w:t>information et aux savoirs).</w:t>
      </w:r>
    </w:p>
    <w:p w:rsidR="00DC0553" w:rsidRPr="00A32AF4" w:rsidRDefault="00DC0553" w:rsidP="00DC0553">
      <w:pPr>
        <w:pStyle w:val="ListParagraph"/>
        <w:tabs>
          <w:tab w:val="left" w:pos="567"/>
        </w:tabs>
        <w:spacing w:line="240" w:lineRule="auto"/>
        <w:ind w:left="0"/>
        <w:jc w:val="both"/>
        <w:rPr>
          <w:rFonts w:ascii="Arial" w:hAnsi="Arial"/>
        </w:rPr>
      </w:pPr>
    </w:p>
    <w:p w:rsidR="00DC0553" w:rsidRPr="00A32AF4" w:rsidRDefault="00DC0553" w:rsidP="00DC0553">
      <w:pPr>
        <w:pStyle w:val="ListParagraph"/>
        <w:numPr>
          <w:ilvl w:val="0"/>
          <w:numId w:val="72"/>
        </w:numPr>
        <w:tabs>
          <w:tab w:val="left" w:pos="567"/>
        </w:tabs>
        <w:spacing w:after="0" w:line="240" w:lineRule="auto"/>
        <w:ind w:left="0" w:firstLine="0"/>
        <w:jc w:val="both"/>
        <w:rPr>
          <w:rFonts w:ascii="Arial" w:hAnsi="Arial" w:cs="Arial"/>
          <w:szCs w:val="21"/>
        </w:rPr>
      </w:pPr>
      <w:r w:rsidRPr="00A32AF4">
        <w:rPr>
          <w:rFonts w:ascii="Arial" w:hAnsi="Arial" w:cs="Arial"/>
        </w:rPr>
        <w:t>Le renforcement de l</w:t>
      </w:r>
      <w:r w:rsidR="00E2055A" w:rsidRPr="00A32AF4">
        <w:rPr>
          <w:rFonts w:ascii="Arial" w:hAnsi="Arial" w:cs="Arial"/>
        </w:rPr>
        <w:t>’</w:t>
      </w:r>
      <w:r w:rsidRPr="00A32AF4">
        <w:rPr>
          <w:rFonts w:ascii="Arial" w:hAnsi="Arial" w:cs="Arial"/>
        </w:rPr>
        <w:t>infrastructure des offices de propriété intellectuelle au moyen d</w:t>
      </w:r>
      <w:r w:rsidR="00E2055A" w:rsidRPr="00A32AF4">
        <w:rPr>
          <w:rFonts w:ascii="Arial" w:hAnsi="Arial" w:cs="Arial"/>
        </w:rPr>
        <w:t>’</w:t>
      </w:r>
      <w:r w:rsidRPr="00A32AF4">
        <w:rPr>
          <w:rFonts w:ascii="Arial" w:hAnsi="Arial" w:cs="Arial"/>
        </w:rPr>
        <w:t>un modèle d</w:t>
      </w:r>
      <w:r w:rsidR="00E2055A" w:rsidRPr="00A32AF4">
        <w:rPr>
          <w:rFonts w:ascii="Arial" w:hAnsi="Arial" w:cs="Arial"/>
        </w:rPr>
        <w:t>’</w:t>
      </w:r>
      <w:r w:rsidRPr="00A32AF4">
        <w:rPr>
          <w:rFonts w:ascii="Arial" w:hAnsi="Arial" w:cs="Arial"/>
        </w:rPr>
        <w:t>assistance technique révisé, axé sur l</w:t>
      </w:r>
      <w:r w:rsidR="00E2055A" w:rsidRPr="00A32AF4">
        <w:rPr>
          <w:rFonts w:ascii="Arial" w:hAnsi="Arial" w:cs="Arial"/>
        </w:rPr>
        <w:t>’</w:t>
      </w:r>
      <w:r w:rsidRPr="00A32AF4">
        <w:rPr>
          <w:rFonts w:ascii="Arial" w:hAnsi="Arial" w:cs="Arial"/>
        </w:rPr>
        <w:t>obtention de résultats durables au niveau national, se poursuivra en 2016</w:t>
      </w:r>
      <w:r w:rsidR="00EB7F54" w:rsidRPr="00A32AF4">
        <w:rPr>
          <w:rFonts w:ascii="Arial" w:hAnsi="Arial" w:cs="Arial"/>
        </w:rPr>
        <w:noBreakHyphen/>
      </w:r>
      <w:r w:rsidRPr="00A32AF4">
        <w:rPr>
          <w:rFonts w:ascii="Arial" w:hAnsi="Arial" w:cs="Arial"/>
        </w:rPr>
        <w:t xml:space="preserve">2017. </w:t>
      </w:r>
      <w:r w:rsidRPr="00A32AF4">
        <w:rPr>
          <w:rFonts w:ascii="Arial" w:hAnsi="Arial"/>
        </w:rPr>
        <w:t xml:space="preserve"> </w:t>
      </w:r>
      <w:r w:rsidRPr="00A32AF4">
        <w:rPr>
          <w:rFonts w:ascii="Arial" w:hAnsi="Arial" w:cs="Arial"/>
        </w:rPr>
        <w:t>En outre, une version initiale du système du Réseau du droit d</w:t>
      </w:r>
      <w:r w:rsidR="00E2055A" w:rsidRPr="00A32AF4">
        <w:rPr>
          <w:rFonts w:ascii="Arial" w:hAnsi="Arial" w:cs="Arial"/>
        </w:rPr>
        <w:t>’</w:t>
      </w:r>
      <w:r w:rsidRPr="00A32AF4">
        <w:rPr>
          <w:rFonts w:ascii="Arial" w:hAnsi="Arial" w:cs="Arial"/>
        </w:rPr>
        <w:t>auteur de l</w:t>
      </w:r>
      <w:r w:rsidR="00E2055A" w:rsidRPr="00A32AF4">
        <w:rPr>
          <w:rFonts w:ascii="Arial" w:hAnsi="Arial" w:cs="Arial"/>
        </w:rPr>
        <w:t>’</w:t>
      </w:r>
      <w:r w:rsidRPr="00A32AF4">
        <w:rPr>
          <w:rFonts w:ascii="Arial" w:hAnsi="Arial" w:cs="Arial"/>
        </w:rPr>
        <w:t>OMPI sera mise à la disposition d</w:t>
      </w:r>
      <w:r w:rsidR="00E2055A" w:rsidRPr="00A32AF4">
        <w:rPr>
          <w:rFonts w:ascii="Arial" w:hAnsi="Arial" w:cs="Arial"/>
        </w:rPr>
        <w:t>’</w:t>
      </w:r>
      <w:r w:rsidRPr="00A32AF4">
        <w:rPr>
          <w:rFonts w:ascii="Arial" w:hAnsi="Arial" w:cs="Arial"/>
        </w:rPr>
        <w:t>un premier groupe d</w:t>
      </w:r>
      <w:r w:rsidR="00E2055A" w:rsidRPr="00A32AF4">
        <w:rPr>
          <w:rFonts w:ascii="Arial" w:hAnsi="Arial" w:cs="Arial"/>
        </w:rPr>
        <w:t>’</w:t>
      </w:r>
      <w:r w:rsidRPr="00A32AF4">
        <w:rPr>
          <w:rFonts w:ascii="Arial" w:hAnsi="Arial" w:cs="Arial"/>
        </w:rPr>
        <w:t>organismes de gestion collective dans les pays en développement ou les PMA.</w:t>
      </w:r>
    </w:p>
    <w:p w:rsidR="00DC0553" w:rsidRPr="00A32AF4" w:rsidRDefault="00DC0553" w:rsidP="00DC0553">
      <w:pPr>
        <w:pStyle w:val="ListParagraph"/>
        <w:tabs>
          <w:tab w:val="left" w:pos="567"/>
        </w:tabs>
        <w:spacing w:line="240" w:lineRule="auto"/>
        <w:ind w:left="0"/>
        <w:jc w:val="both"/>
        <w:rPr>
          <w:rFonts w:ascii="Arial" w:hAnsi="Arial"/>
        </w:rPr>
      </w:pPr>
    </w:p>
    <w:p w:rsidR="00DC0553" w:rsidRPr="00A32AF4" w:rsidRDefault="00DC0553" w:rsidP="00DC0553">
      <w:pPr>
        <w:pStyle w:val="ListParagraph"/>
        <w:numPr>
          <w:ilvl w:val="0"/>
          <w:numId w:val="73"/>
        </w:numPr>
        <w:tabs>
          <w:tab w:val="right" w:pos="1134"/>
        </w:tabs>
        <w:spacing w:after="0" w:line="240" w:lineRule="auto"/>
        <w:ind w:left="1134" w:hanging="567"/>
        <w:jc w:val="both"/>
        <w:rPr>
          <w:rFonts w:ascii="Arial" w:hAnsi="Arial" w:cs="Arial"/>
          <w:i/>
          <w:szCs w:val="21"/>
        </w:rPr>
      </w:pPr>
      <w:r w:rsidRPr="00A32AF4">
        <w:rPr>
          <w:rFonts w:ascii="Arial" w:hAnsi="Arial" w:cs="Arial"/>
          <w:i/>
          <w:szCs w:val="21"/>
        </w:rPr>
        <w:t>L</w:t>
      </w:r>
      <w:r w:rsidR="00E2055A" w:rsidRPr="00A32AF4">
        <w:rPr>
          <w:rFonts w:ascii="Arial" w:hAnsi="Arial" w:cs="Arial"/>
          <w:i/>
          <w:szCs w:val="21"/>
        </w:rPr>
        <w:t>’</w:t>
      </w:r>
      <w:r w:rsidRPr="00A32AF4">
        <w:rPr>
          <w:rFonts w:ascii="Arial" w:hAnsi="Arial" w:cs="Arial"/>
          <w:i/>
          <w:szCs w:val="21"/>
        </w:rPr>
        <w:t>augmentation correspondante des ressources totales est prise en considération dans le programme 15 (Solutions opérationnelles pour les offices de propriété intellectuelle).</w:t>
      </w:r>
    </w:p>
    <w:p w:rsidR="00DC0553" w:rsidRPr="00A32AF4" w:rsidRDefault="00DC0553" w:rsidP="00DC0553">
      <w:pPr>
        <w:tabs>
          <w:tab w:val="left" w:pos="567"/>
        </w:tabs>
        <w:jc w:val="both"/>
        <w:rPr>
          <w:rFonts w:cs="Arial"/>
        </w:rPr>
      </w:pPr>
    </w:p>
    <w:p w:rsidR="00DC0553" w:rsidRPr="00A32AF4" w:rsidRDefault="00DC0553" w:rsidP="00DC0553">
      <w:pPr>
        <w:pStyle w:val="ListParagraph"/>
        <w:numPr>
          <w:ilvl w:val="0"/>
          <w:numId w:val="72"/>
        </w:numPr>
        <w:tabs>
          <w:tab w:val="left" w:pos="567"/>
        </w:tabs>
        <w:spacing w:after="0" w:line="240" w:lineRule="auto"/>
        <w:ind w:left="0" w:firstLine="0"/>
        <w:jc w:val="both"/>
        <w:rPr>
          <w:rFonts w:ascii="Arial" w:hAnsi="Arial" w:cs="Arial"/>
        </w:rPr>
      </w:pPr>
      <w:r w:rsidRPr="00A32AF4">
        <w:rPr>
          <w:rFonts w:ascii="Arial" w:hAnsi="Arial" w:cs="Arial"/>
        </w:rPr>
        <w:t>Les travaux menés dans le domaine de l</w:t>
      </w:r>
      <w:r w:rsidR="00E2055A" w:rsidRPr="00A32AF4">
        <w:rPr>
          <w:rFonts w:ascii="Arial" w:hAnsi="Arial" w:cs="Arial"/>
        </w:rPr>
        <w:t>’</w:t>
      </w:r>
      <w:r w:rsidRPr="00A32AF4">
        <w:rPr>
          <w:rFonts w:ascii="Arial" w:hAnsi="Arial" w:cs="Arial"/>
        </w:rPr>
        <w:t>infrastructure du droit d</w:t>
      </w:r>
      <w:r w:rsidR="00E2055A" w:rsidRPr="00A32AF4">
        <w:rPr>
          <w:rFonts w:ascii="Arial" w:hAnsi="Arial" w:cs="Arial"/>
        </w:rPr>
        <w:t>’</w:t>
      </w:r>
      <w:r w:rsidRPr="00A32AF4">
        <w:rPr>
          <w:rFonts w:ascii="Arial" w:hAnsi="Arial" w:cs="Arial"/>
        </w:rPr>
        <w:t>auteur et des droits connexes seront axés sur la création d</w:t>
      </w:r>
      <w:r w:rsidR="00E2055A" w:rsidRPr="00A32AF4">
        <w:rPr>
          <w:rFonts w:ascii="Arial" w:hAnsi="Arial" w:cs="Arial"/>
        </w:rPr>
        <w:t>’</w:t>
      </w:r>
      <w:r w:rsidRPr="00A32AF4">
        <w:rPr>
          <w:rFonts w:ascii="Arial" w:hAnsi="Arial" w:cs="Arial"/>
        </w:rPr>
        <w:t>une norme internationale d</w:t>
      </w:r>
      <w:r w:rsidR="00E2055A" w:rsidRPr="00A32AF4">
        <w:rPr>
          <w:rFonts w:ascii="Arial" w:hAnsi="Arial" w:cs="Arial"/>
        </w:rPr>
        <w:t>’</w:t>
      </w:r>
      <w:r w:rsidRPr="00A32AF4">
        <w:rPr>
          <w:rFonts w:ascii="Arial" w:hAnsi="Arial" w:cs="Arial"/>
        </w:rPr>
        <w:t>assurance qualité en matière de transparence, de responsabilité et de gouvernance (“TAG of Excellence”) pour les organismes de gestion collective et d</w:t>
      </w:r>
      <w:r w:rsidR="00E2055A" w:rsidRPr="00A32AF4">
        <w:rPr>
          <w:rFonts w:ascii="Arial" w:hAnsi="Arial" w:cs="Arial"/>
        </w:rPr>
        <w:t>’</w:t>
      </w:r>
      <w:r w:rsidRPr="00A32AF4">
        <w:rPr>
          <w:rFonts w:ascii="Arial" w:hAnsi="Arial" w:cs="Arial"/>
        </w:rPr>
        <w:t>un programme de formation sur la transparence, la responsabilité et la gouvernance des organismes de gestion collective.</w:t>
      </w:r>
      <w:r w:rsidRPr="00A32AF4">
        <w:rPr>
          <w:rFonts w:ascii="Arial" w:hAnsi="Arial"/>
        </w:rPr>
        <w:t xml:space="preserve"> </w:t>
      </w:r>
      <w:r w:rsidRPr="00A32AF4">
        <w:rPr>
          <w:rFonts w:ascii="Arial" w:hAnsi="Arial" w:cs="Arial"/>
        </w:rPr>
        <w:t xml:space="preserve"> Pour compléter les activités dans ce domaine, un nouveau portail sera créé et mis en service pour l</w:t>
      </w:r>
      <w:r w:rsidR="00E2055A" w:rsidRPr="00A32AF4">
        <w:rPr>
          <w:rFonts w:ascii="Arial" w:hAnsi="Arial" w:cs="Arial"/>
        </w:rPr>
        <w:t>’</w:t>
      </w:r>
      <w:r w:rsidRPr="00A32AF4">
        <w:rPr>
          <w:rFonts w:ascii="Arial" w:hAnsi="Arial" w:cs="Arial"/>
        </w:rPr>
        <w:t>exécution de nombreux projets de l</w:t>
      </w:r>
      <w:r w:rsidR="00E2055A" w:rsidRPr="00A32AF4">
        <w:rPr>
          <w:rFonts w:ascii="Arial" w:hAnsi="Arial" w:cs="Arial"/>
        </w:rPr>
        <w:t>’</w:t>
      </w:r>
      <w:r w:rsidRPr="00A32AF4">
        <w:rPr>
          <w:rFonts w:ascii="Arial" w:hAnsi="Arial" w:cs="Arial"/>
        </w:rPr>
        <w:t>OMPI relatifs à l</w:t>
      </w:r>
      <w:r w:rsidR="00E2055A" w:rsidRPr="00A32AF4">
        <w:rPr>
          <w:rFonts w:ascii="Arial" w:hAnsi="Arial" w:cs="Arial"/>
        </w:rPr>
        <w:t>’</w:t>
      </w:r>
      <w:r w:rsidRPr="00A32AF4">
        <w:rPr>
          <w:rFonts w:ascii="Arial" w:hAnsi="Arial" w:cs="Arial"/>
        </w:rPr>
        <w:t>infrastructure du droit d</w:t>
      </w:r>
      <w:r w:rsidR="00E2055A" w:rsidRPr="00A32AF4">
        <w:rPr>
          <w:rFonts w:ascii="Arial" w:hAnsi="Arial" w:cs="Arial"/>
        </w:rPr>
        <w:t>’</w:t>
      </w:r>
      <w:r w:rsidRPr="00A32AF4">
        <w:rPr>
          <w:rFonts w:ascii="Arial" w:hAnsi="Arial" w:cs="Arial"/>
        </w:rPr>
        <w:t>auteur par le biais de l</w:t>
      </w:r>
      <w:r w:rsidR="00E2055A" w:rsidRPr="00A32AF4">
        <w:rPr>
          <w:rFonts w:ascii="Arial" w:hAnsi="Arial" w:cs="Arial"/>
        </w:rPr>
        <w:t>’</w:t>
      </w:r>
      <w:r w:rsidRPr="00A32AF4">
        <w:rPr>
          <w:rFonts w:ascii="Arial" w:hAnsi="Arial" w:cs="Arial"/>
        </w:rPr>
        <w:t>Internet et en partenariat avec des tiers.</w:t>
      </w:r>
      <w:r w:rsidRPr="00A32AF4">
        <w:rPr>
          <w:rFonts w:ascii="Arial" w:hAnsi="Arial"/>
        </w:rPr>
        <w:t xml:space="preserve"> </w:t>
      </w:r>
      <w:r w:rsidRPr="00A32AF4">
        <w:rPr>
          <w:rFonts w:ascii="Arial" w:hAnsi="Arial" w:cs="Arial"/>
        </w:rPr>
        <w:t xml:space="preserve"> Les travaux se poursuivront également pour faire d</w:t>
      </w:r>
      <w:r w:rsidR="00E2055A" w:rsidRPr="00A32AF4">
        <w:rPr>
          <w:rFonts w:ascii="Arial" w:hAnsi="Arial" w:cs="Arial"/>
        </w:rPr>
        <w:t>’</w:t>
      </w:r>
      <w:r w:rsidRPr="00A32AF4">
        <w:rPr>
          <w:rFonts w:ascii="Arial" w:hAnsi="Arial" w:cs="Arial"/>
        </w:rPr>
        <w:t>Accessible Books Consortium (ABC) la première entité mondiale permettant de faciliter l</w:t>
      </w:r>
      <w:r w:rsidR="00E2055A" w:rsidRPr="00A32AF4">
        <w:rPr>
          <w:rFonts w:ascii="Arial" w:hAnsi="Arial" w:cs="Arial"/>
        </w:rPr>
        <w:t>’</w:t>
      </w:r>
      <w:r w:rsidRPr="00A32AF4">
        <w:rPr>
          <w:rFonts w:ascii="Arial" w:hAnsi="Arial" w:cs="Arial"/>
        </w:rPr>
        <w:t>accès aux livres pour les personnes ayant des difficultés de lecture des textes imprimés dans le monde entier.</w:t>
      </w:r>
    </w:p>
    <w:p w:rsidR="00DC0553" w:rsidRPr="00A32AF4" w:rsidRDefault="00DC0553" w:rsidP="00DC0553">
      <w:pPr>
        <w:pStyle w:val="ListParagraph"/>
        <w:tabs>
          <w:tab w:val="left" w:pos="567"/>
        </w:tabs>
        <w:spacing w:line="240" w:lineRule="auto"/>
        <w:ind w:left="0"/>
        <w:jc w:val="both"/>
        <w:rPr>
          <w:rFonts w:ascii="Arial" w:hAnsi="Arial" w:cs="Arial"/>
        </w:rPr>
      </w:pPr>
    </w:p>
    <w:p w:rsidR="00DC0553" w:rsidRPr="00A32AF4" w:rsidRDefault="00DC0553" w:rsidP="00DC0553">
      <w:pPr>
        <w:pStyle w:val="ListParagraph"/>
        <w:numPr>
          <w:ilvl w:val="0"/>
          <w:numId w:val="73"/>
        </w:numPr>
        <w:tabs>
          <w:tab w:val="right" w:pos="1134"/>
        </w:tabs>
        <w:spacing w:after="0" w:line="240" w:lineRule="auto"/>
        <w:ind w:left="1134" w:hanging="567"/>
        <w:jc w:val="both"/>
        <w:rPr>
          <w:rFonts w:ascii="Arial" w:hAnsi="Arial" w:cs="Arial"/>
          <w:i/>
        </w:rPr>
      </w:pPr>
      <w:r w:rsidRPr="00A32AF4">
        <w:rPr>
          <w:rFonts w:ascii="Arial" w:hAnsi="Arial" w:cs="Arial"/>
          <w:i/>
        </w:rPr>
        <w:t>Les ressources totales correspondantes sont prises en considération dans le programme 3 (Droit d</w:t>
      </w:r>
      <w:r w:rsidR="00E2055A" w:rsidRPr="00A32AF4">
        <w:rPr>
          <w:rFonts w:ascii="Arial" w:hAnsi="Arial" w:cs="Arial"/>
          <w:i/>
        </w:rPr>
        <w:t>’</w:t>
      </w:r>
      <w:r w:rsidRPr="00A32AF4">
        <w:rPr>
          <w:rFonts w:ascii="Arial" w:hAnsi="Arial" w:cs="Arial"/>
          <w:i/>
        </w:rPr>
        <w:t>auteur et droits connexes).</w:t>
      </w:r>
    </w:p>
    <w:p w:rsidR="00DC0553" w:rsidRPr="00A32AF4" w:rsidRDefault="00DC0553" w:rsidP="00DC0553">
      <w:pPr>
        <w:autoSpaceDE w:val="0"/>
        <w:autoSpaceDN w:val="0"/>
        <w:adjustRightInd w:val="0"/>
        <w:jc w:val="both"/>
        <w:rPr>
          <w:rFonts w:cs="Arial"/>
        </w:rPr>
      </w:pPr>
    </w:p>
    <w:p w:rsidR="00DC0553" w:rsidRPr="00A32AF4" w:rsidRDefault="00DC0553" w:rsidP="00DC0553">
      <w:pPr>
        <w:pStyle w:val="ListParagraph"/>
        <w:numPr>
          <w:ilvl w:val="0"/>
          <w:numId w:val="72"/>
        </w:numPr>
        <w:tabs>
          <w:tab w:val="left" w:pos="567"/>
        </w:tabs>
        <w:spacing w:after="0" w:line="240" w:lineRule="auto"/>
        <w:ind w:left="0" w:firstLine="0"/>
        <w:jc w:val="both"/>
        <w:rPr>
          <w:rFonts w:ascii="Arial" w:hAnsi="Arial" w:cs="Arial"/>
          <w:szCs w:val="21"/>
        </w:rPr>
      </w:pPr>
      <w:r w:rsidRPr="00A32AF4">
        <w:rPr>
          <w:rFonts w:ascii="Arial" w:hAnsi="Arial" w:cs="Arial"/>
          <w:szCs w:val="21"/>
        </w:rPr>
        <w:t>L</w:t>
      </w:r>
      <w:r w:rsidR="00E2055A" w:rsidRPr="00A32AF4">
        <w:rPr>
          <w:rFonts w:ascii="Arial" w:hAnsi="Arial" w:cs="Arial"/>
          <w:szCs w:val="21"/>
        </w:rPr>
        <w:t>’</w:t>
      </w:r>
      <w:r w:rsidRPr="00A32AF4">
        <w:rPr>
          <w:rFonts w:ascii="Arial" w:hAnsi="Arial" w:cs="Arial"/>
          <w:szCs w:val="21"/>
        </w:rPr>
        <w:t>amélioration de la mise en œuvre et de la cohérence des activités de coopération technique de l</w:t>
      </w:r>
      <w:r w:rsidR="00E2055A" w:rsidRPr="00A32AF4">
        <w:rPr>
          <w:rFonts w:ascii="Arial" w:hAnsi="Arial" w:cs="Arial"/>
          <w:szCs w:val="21"/>
        </w:rPr>
        <w:t>’</w:t>
      </w:r>
      <w:r w:rsidRPr="00A32AF4">
        <w:rPr>
          <w:rFonts w:ascii="Arial" w:hAnsi="Arial" w:cs="Arial"/>
          <w:szCs w:val="21"/>
        </w:rPr>
        <w:t>OMPI dans les pays en développement, les pays les moins avancés (PMA) et les pays en transition retiendra particulièrement l</w:t>
      </w:r>
      <w:r w:rsidR="00E2055A" w:rsidRPr="00A32AF4">
        <w:rPr>
          <w:rFonts w:ascii="Arial" w:hAnsi="Arial" w:cs="Arial"/>
          <w:szCs w:val="21"/>
        </w:rPr>
        <w:t>’</w:t>
      </w:r>
      <w:r w:rsidRPr="00A32AF4">
        <w:rPr>
          <w:rFonts w:ascii="Arial" w:hAnsi="Arial" w:cs="Arial"/>
          <w:szCs w:val="21"/>
        </w:rPr>
        <w:t>attention en 2016</w:t>
      </w:r>
      <w:r w:rsidR="00EB7F54" w:rsidRPr="00A32AF4">
        <w:rPr>
          <w:rFonts w:ascii="Arial" w:hAnsi="Arial" w:cs="Arial"/>
          <w:szCs w:val="21"/>
        </w:rPr>
        <w:noBreakHyphen/>
      </w:r>
      <w:r w:rsidRPr="00A32AF4">
        <w:rPr>
          <w:rFonts w:ascii="Arial" w:hAnsi="Arial" w:cs="Arial"/>
          <w:szCs w:val="21"/>
        </w:rPr>
        <w:t>2017, dans la continuité des progrès réalisés dans l</w:t>
      </w:r>
      <w:r w:rsidR="00E2055A" w:rsidRPr="00A32AF4">
        <w:rPr>
          <w:rFonts w:ascii="Arial" w:hAnsi="Arial" w:cs="Arial"/>
          <w:szCs w:val="21"/>
        </w:rPr>
        <w:t>’</w:t>
      </w:r>
      <w:r w:rsidRPr="00A32AF4">
        <w:rPr>
          <w:rFonts w:ascii="Arial" w:hAnsi="Arial" w:cs="Arial"/>
          <w:szCs w:val="21"/>
        </w:rPr>
        <w:t>élaboration des stratégies nationales de propriété intellectuelle en 2014</w:t>
      </w:r>
      <w:r w:rsidR="00EB7F54" w:rsidRPr="00A32AF4">
        <w:rPr>
          <w:rFonts w:ascii="Arial" w:hAnsi="Arial" w:cs="Arial"/>
          <w:szCs w:val="21"/>
        </w:rPr>
        <w:noBreakHyphen/>
      </w:r>
      <w:r w:rsidRPr="00A32AF4">
        <w:rPr>
          <w:rFonts w:ascii="Arial" w:hAnsi="Arial" w:cs="Arial"/>
          <w:szCs w:val="21"/>
        </w:rPr>
        <w:t>2015.  À cette fin, les plans nationaux, élaborés et gérés par les bureaux régionaux en fonction des besoins et des réalités des pays destinataires et incluant l</w:t>
      </w:r>
      <w:r w:rsidR="00E2055A" w:rsidRPr="00A32AF4">
        <w:rPr>
          <w:rFonts w:ascii="Arial" w:hAnsi="Arial" w:cs="Arial"/>
          <w:szCs w:val="21"/>
        </w:rPr>
        <w:t>’</w:t>
      </w:r>
      <w:r w:rsidRPr="00A32AF4">
        <w:rPr>
          <w:rFonts w:ascii="Arial" w:hAnsi="Arial" w:cs="Arial"/>
          <w:szCs w:val="21"/>
        </w:rPr>
        <w:t>ensemble des projets et des activités qui seront mis en œuvre dans chaque pays, seront institutionnalisés.  Les activités de coopération technique seront également de plus en plus menées selon des stratégies fondées sur des projets, mettant à profit l</w:t>
      </w:r>
      <w:r w:rsidR="00E2055A" w:rsidRPr="00A32AF4">
        <w:rPr>
          <w:rFonts w:ascii="Arial" w:hAnsi="Arial" w:cs="Arial"/>
          <w:szCs w:val="21"/>
        </w:rPr>
        <w:t>’</w:t>
      </w:r>
      <w:r w:rsidRPr="00A32AF4">
        <w:rPr>
          <w:rFonts w:ascii="Arial" w:hAnsi="Arial" w:cs="Arial"/>
          <w:szCs w:val="21"/>
        </w:rPr>
        <w:t>expérience acquise au cours des dernières années dans le cadre de la mise en œuvre du Plan d</w:t>
      </w:r>
      <w:r w:rsidR="00E2055A" w:rsidRPr="00A32AF4">
        <w:rPr>
          <w:rFonts w:ascii="Arial" w:hAnsi="Arial" w:cs="Arial"/>
          <w:szCs w:val="21"/>
        </w:rPr>
        <w:t>’</w:t>
      </w:r>
      <w:r w:rsidRPr="00A32AF4">
        <w:rPr>
          <w:rFonts w:ascii="Arial" w:hAnsi="Arial" w:cs="Arial"/>
          <w:szCs w:val="21"/>
        </w:rPr>
        <w:t>action pour le développement et d</w:t>
      </w:r>
      <w:r w:rsidR="00E2055A" w:rsidRPr="00A32AF4">
        <w:rPr>
          <w:rFonts w:ascii="Arial" w:hAnsi="Arial" w:cs="Arial"/>
          <w:szCs w:val="21"/>
        </w:rPr>
        <w:t>’</w:t>
      </w:r>
      <w:r w:rsidRPr="00A32AF4">
        <w:rPr>
          <w:rFonts w:ascii="Arial" w:hAnsi="Arial" w:cs="Arial"/>
          <w:szCs w:val="21"/>
        </w:rPr>
        <w:t>autres projets spéciaux de développement.  Un mécanisme cohérent de planification et d</w:t>
      </w:r>
      <w:r w:rsidR="00E2055A" w:rsidRPr="00A32AF4">
        <w:rPr>
          <w:rFonts w:ascii="Arial" w:hAnsi="Arial" w:cs="Arial"/>
          <w:szCs w:val="21"/>
        </w:rPr>
        <w:t>’</w:t>
      </w:r>
      <w:r w:rsidRPr="00A32AF4">
        <w:rPr>
          <w:rFonts w:ascii="Arial" w:hAnsi="Arial" w:cs="Arial"/>
          <w:szCs w:val="21"/>
        </w:rPr>
        <w:t>établissement de rapports concernant les activités Sud</w:t>
      </w:r>
      <w:r w:rsidR="00EB7F54" w:rsidRPr="00A32AF4">
        <w:rPr>
          <w:rFonts w:ascii="Arial" w:hAnsi="Arial" w:cs="Arial"/>
          <w:szCs w:val="21"/>
        </w:rPr>
        <w:noBreakHyphen/>
      </w:r>
      <w:r w:rsidRPr="00A32AF4">
        <w:rPr>
          <w:rFonts w:ascii="Arial" w:hAnsi="Arial" w:cs="Arial"/>
          <w:szCs w:val="21"/>
        </w:rPr>
        <w:t>Sud au niveau de l</w:t>
      </w:r>
      <w:r w:rsidR="00E2055A" w:rsidRPr="00A32AF4">
        <w:rPr>
          <w:rFonts w:ascii="Arial" w:hAnsi="Arial" w:cs="Arial"/>
          <w:szCs w:val="21"/>
        </w:rPr>
        <w:t>’</w:t>
      </w:r>
      <w:r w:rsidRPr="00A32AF4">
        <w:rPr>
          <w:rFonts w:ascii="Arial" w:hAnsi="Arial" w:cs="Arial"/>
          <w:szCs w:val="21"/>
        </w:rPr>
        <w:t>Organisation et l</w:t>
      </w:r>
      <w:r w:rsidR="00E2055A" w:rsidRPr="00A32AF4">
        <w:rPr>
          <w:rFonts w:ascii="Arial" w:hAnsi="Arial" w:cs="Arial"/>
          <w:szCs w:val="21"/>
        </w:rPr>
        <w:t>’</w:t>
      </w:r>
      <w:r w:rsidRPr="00A32AF4">
        <w:rPr>
          <w:rFonts w:ascii="Arial" w:hAnsi="Arial" w:cs="Arial"/>
          <w:szCs w:val="21"/>
        </w:rPr>
        <w:t>interface avec l</w:t>
      </w:r>
      <w:r w:rsidR="00E2055A" w:rsidRPr="00A32AF4">
        <w:rPr>
          <w:rFonts w:ascii="Arial" w:hAnsi="Arial" w:cs="Arial"/>
          <w:szCs w:val="21"/>
        </w:rPr>
        <w:t>’</w:t>
      </w:r>
      <w:r w:rsidRPr="00A32AF4">
        <w:rPr>
          <w:rFonts w:ascii="Arial" w:hAnsi="Arial" w:cs="Arial"/>
          <w:szCs w:val="21"/>
        </w:rPr>
        <w:t>ensemble des parties prenantes internes et externes seront aussi assurés.</w:t>
      </w:r>
    </w:p>
    <w:p w:rsidR="00DC0553" w:rsidRPr="00A32AF4" w:rsidRDefault="00DC0553" w:rsidP="00DC0553">
      <w:pPr>
        <w:pStyle w:val="ListParagraph"/>
        <w:tabs>
          <w:tab w:val="left" w:pos="567"/>
        </w:tabs>
        <w:spacing w:line="240" w:lineRule="auto"/>
        <w:ind w:left="0"/>
        <w:jc w:val="both"/>
        <w:rPr>
          <w:rFonts w:ascii="Arial" w:hAnsi="Arial" w:cs="Arial"/>
          <w:szCs w:val="21"/>
        </w:rPr>
      </w:pPr>
    </w:p>
    <w:p w:rsidR="00DC0553" w:rsidRPr="00A32AF4" w:rsidRDefault="00DC0553" w:rsidP="00DC0553">
      <w:pPr>
        <w:pStyle w:val="ListParagraph"/>
        <w:numPr>
          <w:ilvl w:val="0"/>
          <w:numId w:val="73"/>
        </w:numPr>
        <w:tabs>
          <w:tab w:val="right" w:pos="1134"/>
        </w:tabs>
        <w:spacing w:after="0" w:line="240" w:lineRule="auto"/>
        <w:ind w:left="1134" w:hanging="567"/>
        <w:jc w:val="both"/>
        <w:rPr>
          <w:rFonts w:ascii="Arial" w:hAnsi="Arial"/>
          <w:i/>
        </w:rPr>
      </w:pPr>
      <w:r w:rsidRPr="00A32AF4">
        <w:rPr>
          <w:rFonts w:ascii="Arial" w:hAnsi="Arial"/>
          <w:i/>
        </w:rPr>
        <w:t>Les ressources totales correspondantes sont prises en considération dans les programmes 9 (Afrique, pays arabes, Asie et Pacifique, pays d</w:t>
      </w:r>
      <w:r w:rsidR="00E2055A" w:rsidRPr="00A32AF4">
        <w:rPr>
          <w:rFonts w:ascii="Arial" w:hAnsi="Arial"/>
          <w:i/>
        </w:rPr>
        <w:t>’</w:t>
      </w:r>
      <w:r w:rsidRPr="00A32AF4">
        <w:rPr>
          <w:rFonts w:ascii="Arial" w:hAnsi="Arial"/>
          <w:i/>
        </w:rPr>
        <w:t>Amérique latine et des Caraïbes, pays les moins avancés) et 10 (Pays en transition et pays développés).</w:t>
      </w:r>
    </w:p>
    <w:p w:rsidR="00DC0553" w:rsidRPr="00A32AF4" w:rsidRDefault="00DC0553" w:rsidP="00DC0553">
      <w:pPr>
        <w:tabs>
          <w:tab w:val="left" w:pos="567"/>
        </w:tabs>
        <w:jc w:val="both"/>
        <w:rPr>
          <w:rFonts w:cs="Arial"/>
          <w:szCs w:val="21"/>
        </w:rPr>
      </w:pPr>
    </w:p>
    <w:p w:rsidR="00DC0553" w:rsidRPr="00A32AF4" w:rsidRDefault="00DC0553" w:rsidP="00DC0553">
      <w:pPr>
        <w:pStyle w:val="ListParagraph"/>
        <w:numPr>
          <w:ilvl w:val="0"/>
          <w:numId w:val="72"/>
        </w:numPr>
        <w:tabs>
          <w:tab w:val="left" w:pos="567"/>
        </w:tabs>
        <w:spacing w:after="0" w:line="240" w:lineRule="auto"/>
        <w:ind w:left="0" w:firstLine="0"/>
        <w:jc w:val="both"/>
        <w:rPr>
          <w:rFonts w:ascii="Arial" w:hAnsi="Arial"/>
        </w:rPr>
      </w:pPr>
      <w:r w:rsidRPr="00A32AF4">
        <w:rPr>
          <w:rFonts w:ascii="Arial" w:hAnsi="Arial"/>
        </w:rPr>
        <w:t>L</w:t>
      </w:r>
      <w:r w:rsidR="00E2055A" w:rsidRPr="00A32AF4">
        <w:rPr>
          <w:rFonts w:ascii="Arial" w:hAnsi="Arial"/>
        </w:rPr>
        <w:t>’</w:t>
      </w:r>
      <w:r w:rsidRPr="00A32AF4">
        <w:rPr>
          <w:rFonts w:ascii="Arial" w:hAnsi="Arial"/>
        </w:rPr>
        <w:t>intérêt particulier porté aux PMA sera renforcé pour répondre aux besoins individuels et collectifs croissants.  Une attention spéciale sera accordée au renforcement de leur capacité technologique nationale en matière de propriété intellectuelle en vue de faciliter la réalisation de leurs principaux objectifs, tels que l</w:t>
      </w:r>
      <w:r w:rsidR="00E2055A" w:rsidRPr="00A32AF4">
        <w:rPr>
          <w:rFonts w:ascii="Arial" w:hAnsi="Arial"/>
        </w:rPr>
        <w:t>’</w:t>
      </w:r>
      <w:r w:rsidRPr="00A32AF4">
        <w:rPr>
          <w:rFonts w:ascii="Arial" w:hAnsi="Arial"/>
        </w:rPr>
        <w:t>éradication de la pauvreté, la croissance économique et d</w:t>
      </w:r>
      <w:r w:rsidR="00E2055A" w:rsidRPr="00A32AF4">
        <w:rPr>
          <w:rFonts w:ascii="Arial" w:hAnsi="Arial"/>
        </w:rPr>
        <w:t>’</w:t>
      </w:r>
      <w:r w:rsidRPr="00A32AF4">
        <w:rPr>
          <w:rFonts w:ascii="Arial" w:hAnsi="Arial"/>
        </w:rPr>
        <w:t>autres politiques de développement.  Le projet du Plan d</w:t>
      </w:r>
      <w:r w:rsidR="00E2055A" w:rsidRPr="00A32AF4">
        <w:rPr>
          <w:rFonts w:ascii="Arial" w:hAnsi="Arial"/>
        </w:rPr>
        <w:t>’</w:t>
      </w:r>
      <w:r w:rsidRPr="00A32AF4">
        <w:rPr>
          <w:rFonts w:ascii="Arial" w:hAnsi="Arial"/>
        </w:rPr>
        <w:t>action pour le développement relatif au renforcement des capacités d</w:t>
      </w:r>
      <w:r w:rsidR="00E2055A" w:rsidRPr="00A32AF4">
        <w:rPr>
          <w:rFonts w:ascii="Arial" w:hAnsi="Arial"/>
        </w:rPr>
        <w:t>’</w:t>
      </w:r>
      <w:r w:rsidRPr="00A32AF4">
        <w:rPr>
          <w:rFonts w:ascii="Arial" w:hAnsi="Arial"/>
        </w:rPr>
        <w:t>utilisation de l</w:t>
      </w:r>
      <w:r w:rsidR="00E2055A" w:rsidRPr="00A32AF4">
        <w:rPr>
          <w:rFonts w:ascii="Arial" w:hAnsi="Arial"/>
        </w:rPr>
        <w:t>’</w:t>
      </w:r>
      <w:r w:rsidRPr="00A32AF4">
        <w:rPr>
          <w:rFonts w:ascii="Arial" w:hAnsi="Arial"/>
        </w:rPr>
        <w:t>information technique et scientifique axée sur les technologies appropriées pour répondre à certains enjeux de développement est le principal instrument d</w:t>
      </w:r>
      <w:r w:rsidR="00E2055A" w:rsidRPr="00A32AF4">
        <w:rPr>
          <w:rFonts w:ascii="Arial" w:hAnsi="Arial"/>
        </w:rPr>
        <w:t>’</w:t>
      </w:r>
      <w:r w:rsidRPr="00A32AF4">
        <w:rPr>
          <w:rFonts w:ascii="Arial" w:hAnsi="Arial"/>
        </w:rPr>
        <w:t>appui dans ce domaine.  Par ailleurs, l</w:t>
      </w:r>
      <w:r w:rsidR="00E2055A" w:rsidRPr="00A32AF4">
        <w:rPr>
          <w:rFonts w:ascii="Arial" w:hAnsi="Arial"/>
        </w:rPr>
        <w:t>’</w:t>
      </w:r>
      <w:r w:rsidRPr="00A32AF4">
        <w:rPr>
          <w:rFonts w:ascii="Arial" w:hAnsi="Arial"/>
        </w:rPr>
        <w:t>OMPI continuera d</w:t>
      </w:r>
      <w:r w:rsidR="00E2055A" w:rsidRPr="00A32AF4">
        <w:rPr>
          <w:rFonts w:ascii="Arial" w:hAnsi="Arial"/>
        </w:rPr>
        <w:t>’</w:t>
      </w:r>
      <w:r w:rsidRPr="00A32AF4">
        <w:rPr>
          <w:rFonts w:ascii="Arial" w:hAnsi="Arial"/>
        </w:rPr>
        <w:t>appuyer en particulier des activités relevant des domaines d</w:t>
      </w:r>
      <w:r w:rsidR="00E2055A" w:rsidRPr="00A32AF4">
        <w:rPr>
          <w:rFonts w:ascii="Arial" w:hAnsi="Arial"/>
        </w:rPr>
        <w:t>’</w:t>
      </w:r>
      <w:r w:rsidRPr="00A32AF4">
        <w:rPr>
          <w:rFonts w:ascii="Arial" w:hAnsi="Arial"/>
        </w:rPr>
        <w:t>action prioritaires définis dans les engagements adoptés par l</w:t>
      </w:r>
      <w:r w:rsidR="00E2055A" w:rsidRPr="00A32AF4">
        <w:rPr>
          <w:rFonts w:ascii="Arial" w:hAnsi="Arial"/>
        </w:rPr>
        <w:t>’</w:t>
      </w:r>
      <w:r w:rsidRPr="00A32AF4">
        <w:rPr>
          <w:rFonts w:ascii="Arial" w:hAnsi="Arial"/>
        </w:rPr>
        <w:t xml:space="preserve">Organisation lors de la quatrième Conférence des </w:t>
      </w:r>
      <w:r w:rsidR="00E2055A" w:rsidRPr="00A32AF4">
        <w:rPr>
          <w:rFonts w:ascii="Arial" w:hAnsi="Arial"/>
        </w:rPr>
        <w:t>Nations Unies</w:t>
      </w:r>
      <w:r w:rsidRPr="00A32AF4">
        <w:rPr>
          <w:rFonts w:ascii="Arial" w:hAnsi="Arial"/>
        </w:rPr>
        <w:t xml:space="preserve"> sur les pays les moins avancés et destinés à faciliter la mise en œuvre du programme d</w:t>
      </w:r>
      <w:r w:rsidR="00E2055A" w:rsidRPr="00A32AF4">
        <w:rPr>
          <w:rFonts w:ascii="Arial" w:hAnsi="Arial"/>
        </w:rPr>
        <w:t>’</w:t>
      </w:r>
      <w:r w:rsidRPr="00A32AF4">
        <w:rPr>
          <w:rFonts w:ascii="Arial" w:hAnsi="Arial"/>
        </w:rPr>
        <w:t>action d</w:t>
      </w:r>
      <w:r w:rsidR="00E2055A" w:rsidRPr="00A32AF4">
        <w:rPr>
          <w:rFonts w:ascii="Arial" w:hAnsi="Arial"/>
        </w:rPr>
        <w:t>’</w:t>
      </w:r>
      <w:r w:rsidRPr="00A32AF4">
        <w:rPr>
          <w:rFonts w:ascii="Arial" w:hAnsi="Arial"/>
        </w:rPr>
        <w:t>Istanbul (IPoA).</w:t>
      </w:r>
    </w:p>
    <w:p w:rsidR="00DC0553" w:rsidRPr="00A32AF4" w:rsidRDefault="00DC0553" w:rsidP="00DC0553">
      <w:pPr>
        <w:pStyle w:val="ListParagraph"/>
        <w:tabs>
          <w:tab w:val="left" w:pos="567"/>
        </w:tabs>
        <w:spacing w:line="240" w:lineRule="auto"/>
        <w:ind w:left="0"/>
        <w:jc w:val="both"/>
        <w:rPr>
          <w:rFonts w:ascii="Arial" w:hAnsi="Arial" w:cs="Arial"/>
          <w:szCs w:val="21"/>
        </w:rPr>
      </w:pPr>
    </w:p>
    <w:p w:rsidR="00DC0553" w:rsidRPr="00A32AF4" w:rsidRDefault="00DC0553" w:rsidP="00DC0553">
      <w:pPr>
        <w:pStyle w:val="ListParagraph"/>
        <w:numPr>
          <w:ilvl w:val="0"/>
          <w:numId w:val="73"/>
        </w:numPr>
        <w:tabs>
          <w:tab w:val="right" w:pos="1134"/>
        </w:tabs>
        <w:spacing w:after="0" w:line="240" w:lineRule="auto"/>
        <w:ind w:left="1134" w:hanging="567"/>
        <w:jc w:val="both"/>
        <w:rPr>
          <w:rFonts w:ascii="Arial" w:hAnsi="Arial" w:cs="Arial"/>
          <w:i/>
          <w:szCs w:val="21"/>
        </w:rPr>
      </w:pPr>
      <w:r w:rsidRPr="00A32AF4">
        <w:rPr>
          <w:rFonts w:ascii="Arial" w:hAnsi="Arial" w:cs="Arial"/>
          <w:i/>
          <w:szCs w:val="21"/>
        </w:rPr>
        <w:t>Les ressources totales correspondantes sont prises en considération dans le programme 9 (Afrique, pays arabes, Asie et Pacifique, pays d</w:t>
      </w:r>
      <w:r w:rsidR="00E2055A" w:rsidRPr="00A32AF4">
        <w:rPr>
          <w:rFonts w:ascii="Arial" w:hAnsi="Arial" w:cs="Arial"/>
          <w:i/>
          <w:szCs w:val="21"/>
        </w:rPr>
        <w:t>’</w:t>
      </w:r>
      <w:r w:rsidRPr="00A32AF4">
        <w:rPr>
          <w:rFonts w:ascii="Arial" w:hAnsi="Arial" w:cs="Arial"/>
          <w:i/>
          <w:szCs w:val="21"/>
        </w:rPr>
        <w:t>Amérique latine et des Caraïbes, pays les moins avancés).</w:t>
      </w:r>
    </w:p>
    <w:p w:rsidR="00DC0553" w:rsidRPr="00A32AF4" w:rsidRDefault="00DC0553" w:rsidP="00DC0553">
      <w:pPr>
        <w:pStyle w:val="ListParagraph"/>
        <w:tabs>
          <w:tab w:val="left" w:pos="567"/>
          <w:tab w:val="left" w:pos="709"/>
        </w:tabs>
        <w:spacing w:line="240" w:lineRule="auto"/>
        <w:ind w:left="0"/>
        <w:jc w:val="both"/>
        <w:rPr>
          <w:rFonts w:ascii="Arial" w:hAnsi="Arial"/>
        </w:rPr>
      </w:pPr>
    </w:p>
    <w:p w:rsidR="00DC0553" w:rsidRPr="00A32AF4" w:rsidRDefault="00DC0553" w:rsidP="00DC0553">
      <w:pPr>
        <w:pStyle w:val="ListParagraph"/>
        <w:numPr>
          <w:ilvl w:val="0"/>
          <w:numId w:val="72"/>
        </w:numPr>
        <w:tabs>
          <w:tab w:val="left" w:pos="567"/>
        </w:tabs>
        <w:spacing w:after="0" w:line="240" w:lineRule="auto"/>
        <w:ind w:left="0" w:firstLine="0"/>
        <w:jc w:val="both"/>
        <w:rPr>
          <w:rFonts w:ascii="Arial" w:hAnsi="Arial" w:cs="Arial"/>
        </w:rPr>
      </w:pPr>
      <w:r w:rsidRPr="00A32AF4">
        <w:rPr>
          <w:rFonts w:ascii="Arial" w:hAnsi="Arial" w:cs="Arial"/>
          <w:szCs w:val="20"/>
        </w:rPr>
        <w:t>Afin de mieux intégrer la planification et l</w:t>
      </w:r>
      <w:r w:rsidR="00E2055A" w:rsidRPr="00A32AF4">
        <w:rPr>
          <w:rFonts w:ascii="Arial" w:hAnsi="Arial" w:cs="Arial"/>
          <w:szCs w:val="20"/>
        </w:rPr>
        <w:t>’</w:t>
      </w:r>
      <w:r w:rsidRPr="00A32AF4">
        <w:rPr>
          <w:rFonts w:ascii="Arial" w:hAnsi="Arial" w:cs="Arial"/>
          <w:szCs w:val="20"/>
        </w:rPr>
        <w:t>exécution des activités de formation et de renforcement des capacités de l</w:t>
      </w:r>
      <w:r w:rsidR="00E2055A" w:rsidRPr="00A32AF4">
        <w:rPr>
          <w:rFonts w:ascii="Arial" w:hAnsi="Arial" w:cs="Arial"/>
          <w:szCs w:val="20"/>
        </w:rPr>
        <w:t>’</w:t>
      </w:r>
      <w:r w:rsidRPr="00A32AF4">
        <w:rPr>
          <w:rFonts w:ascii="Arial" w:hAnsi="Arial" w:cs="Arial"/>
          <w:szCs w:val="20"/>
        </w:rPr>
        <w:t>OMPI et d</w:t>
      </w:r>
      <w:r w:rsidR="00E2055A" w:rsidRPr="00A32AF4">
        <w:rPr>
          <w:rFonts w:ascii="Arial" w:hAnsi="Arial" w:cs="Arial"/>
          <w:szCs w:val="20"/>
        </w:rPr>
        <w:t>’</w:t>
      </w:r>
      <w:r w:rsidRPr="00A32AF4">
        <w:rPr>
          <w:rFonts w:ascii="Arial" w:hAnsi="Arial" w:cs="Arial"/>
          <w:szCs w:val="20"/>
        </w:rPr>
        <w:t>en améliorer la qualité et le rapport coût</w:t>
      </w:r>
      <w:r w:rsidR="00EB7F54" w:rsidRPr="00A32AF4">
        <w:rPr>
          <w:rFonts w:ascii="Arial" w:hAnsi="Arial" w:cs="Arial"/>
          <w:szCs w:val="20"/>
        </w:rPr>
        <w:noBreakHyphen/>
      </w:r>
      <w:r w:rsidRPr="00A32AF4">
        <w:rPr>
          <w:rFonts w:ascii="Arial" w:hAnsi="Arial" w:cs="Arial"/>
          <w:szCs w:val="20"/>
        </w:rPr>
        <w:t>efficacité, l</w:t>
      </w:r>
      <w:r w:rsidR="00E2055A" w:rsidRPr="00A32AF4">
        <w:rPr>
          <w:rFonts w:ascii="Arial" w:hAnsi="Arial" w:cs="Arial"/>
          <w:szCs w:val="20"/>
        </w:rPr>
        <w:t>’</w:t>
      </w:r>
      <w:r w:rsidRPr="00A32AF4">
        <w:rPr>
          <w:rFonts w:ascii="Arial" w:hAnsi="Arial" w:cs="Arial"/>
          <w:szCs w:val="20"/>
        </w:rPr>
        <w:t>Académie de l</w:t>
      </w:r>
      <w:r w:rsidR="00E2055A" w:rsidRPr="00A32AF4">
        <w:rPr>
          <w:rFonts w:ascii="Arial" w:hAnsi="Arial" w:cs="Arial"/>
          <w:szCs w:val="20"/>
        </w:rPr>
        <w:t>’</w:t>
      </w:r>
      <w:r w:rsidRPr="00A32AF4">
        <w:rPr>
          <w:rFonts w:ascii="Arial" w:hAnsi="Arial" w:cs="Arial"/>
          <w:szCs w:val="20"/>
        </w:rPr>
        <w:t>OMPI s</w:t>
      </w:r>
      <w:r w:rsidR="00E2055A" w:rsidRPr="00A32AF4">
        <w:rPr>
          <w:rFonts w:ascii="Arial" w:hAnsi="Arial" w:cs="Arial"/>
          <w:szCs w:val="20"/>
        </w:rPr>
        <w:t>’</w:t>
      </w:r>
      <w:r w:rsidRPr="00A32AF4">
        <w:rPr>
          <w:rFonts w:ascii="Arial" w:hAnsi="Arial" w:cs="Arial"/>
          <w:szCs w:val="20"/>
        </w:rPr>
        <w:t>est lancée dans un processus de réforme progressive et méthodique visant à faire d</w:t>
      </w:r>
      <w:r w:rsidR="00E2055A" w:rsidRPr="00A32AF4">
        <w:rPr>
          <w:rFonts w:ascii="Arial" w:hAnsi="Arial" w:cs="Arial"/>
          <w:szCs w:val="20"/>
        </w:rPr>
        <w:t>’</w:t>
      </w:r>
      <w:r w:rsidRPr="00A32AF4">
        <w:rPr>
          <w:rFonts w:ascii="Arial" w:hAnsi="Arial" w:cs="Arial"/>
          <w:szCs w:val="20"/>
        </w:rPr>
        <w:t>elle un vecteur central de l</w:t>
      </w:r>
      <w:r w:rsidR="00E2055A" w:rsidRPr="00A32AF4">
        <w:rPr>
          <w:rFonts w:ascii="Arial" w:hAnsi="Arial" w:cs="Arial"/>
          <w:szCs w:val="20"/>
        </w:rPr>
        <w:t>’</w:t>
      </w:r>
      <w:r w:rsidRPr="00A32AF4">
        <w:rPr>
          <w:rFonts w:ascii="Arial" w:hAnsi="Arial" w:cs="Arial"/>
          <w:szCs w:val="20"/>
        </w:rPr>
        <w:t>Organisation en matière de formation professionnelle et de renforcement des capacités.</w:t>
      </w:r>
      <w:r w:rsidRPr="00A32AF4">
        <w:rPr>
          <w:rFonts w:ascii="Arial" w:hAnsi="Arial"/>
        </w:rPr>
        <w:t xml:space="preserve">  </w:t>
      </w:r>
      <w:r w:rsidRPr="00A32AF4">
        <w:rPr>
          <w:rFonts w:ascii="Arial" w:hAnsi="Arial" w:cs="Arial"/>
          <w:szCs w:val="20"/>
        </w:rPr>
        <w:t>Ce processus se poursuivra en 2016</w:t>
      </w:r>
      <w:r w:rsidR="00EB7F54" w:rsidRPr="00A32AF4">
        <w:rPr>
          <w:rFonts w:ascii="Arial" w:hAnsi="Arial" w:cs="Arial"/>
          <w:szCs w:val="20"/>
        </w:rPr>
        <w:noBreakHyphen/>
      </w:r>
      <w:r w:rsidRPr="00A32AF4">
        <w:rPr>
          <w:rFonts w:ascii="Arial" w:hAnsi="Arial" w:cs="Arial"/>
          <w:szCs w:val="20"/>
        </w:rPr>
        <w:t>2017.</w:t>
      </w:r>
    </w:p>
    <w:p w:rsidR="00DC0553" w:rsidRPr="00A32AF4" w:rsidRDefault="00DC0553" w:rsidP="00DC0553">
      <w:pPr>
        <w:pStyle w:val="ListParagraph"/>
        <w:tabs>
          <w:tab w:val="left" w:pos="567"/>
        </w:tabs>
        <w:spacing w:line="240" w:lineRule="auto"/>
        <w:ind w:left="0"/>
        <w:jc w:val="both"/>
        <w:rPr>
          <w:rFonts w:ascii="Arial" w:hAnsi="Arial" w:cs="Arial"/>
        </w:rPr>
      </w:pPr>
    </w:p>
    <w:p w:rsidR="00DC0553" w:rsidRPr="00A32AF4" w:rsidRDefault="00DC0553" w:rsidP="00DC0553">
      <w:pPr>
        <w:pStyle w:val="ListParagraph"/>
        <w:numPr>
          <w:ilvl w:val="0"/>
          <w:numId w:val="73"/>
        </w:numPr>
        <w:tabs>
          <w:tab w:val="right" w:pos="1134"/>
        </w:tabs>
        <w:spacing w:after="0" w:line="240" w:lineRule="auto"/>
        <w:ind w:left="1134" w:hanging="567"/>
        <w:jc w:val="both"/>
        <w:rPr>
          <w:rFonts w:ascii="Arial" w:hAnsi="Arial" w:cs="Arial"/>
          <w:i/>
        </w:rPr>
      </w:pPr>
      <w:r w:rsidRPr="00A32AF4">
        <w:rPr>
          <w:rFonts w:ascii="Arial" w:hAnsi="Arial" w:cs="Arial"/>
          <w:i/>
        </w:rPr>
        <w:t>Les ressources totales correspondantes sont prises en considération dans le programme 11 (Académie de l</w:t>
      </w:r>
      <w:r w:rsidR="00E2055A" w:rsidRPr="00A32AF4">
        <w:rPr>
          <w:rFonts w:ascii="Arial" w:hAnsi="Arial" w:cs="Arial"/>
          <w:i/>
        </w:rPr>
        <w:t>’</w:t>
      </w:r>
      <w:r w:rsidRPr="00A32AF4">
        <w:rPr>
          <w:rFonts w:ascii="Arial" w:hAnsi="Arial" w:cs="Arial"/>
          <w:i/>
        </w:rPr>
        <w:t>OMPI).</w:t>
      </w:r>
    </w:p>
    <w:p w:rsidR="00DC0553" w:rsidRPr="00A32AF4" w:rsidRDefault="00DC0553" w:rsidP="00DC0553">
      <w:pPr>
        <w:pStyle w:val="ListParagraph"/>
        <w:tabs>
          <w:tab w:val="left" w:pos="567"/>
          <w:tab w:val="left" w:pos="709"/>
        </w:tabs>
        <w:spacing w:line="240" w:lineRule="auto"/>
        <w:ind w:left="0"/>
        <w:jc w:val="both"/>
        <w:rPr>
          <w:rFonts w:ascii="Arial" w:hAnsi="Arial" w:cs="Arial"/>
          <w:szCs w:val="20"/>
        </w:rPr>
      </w:pPr>
    </w:p>
    <w:p w:rsidR="00DC0553" w:rsidRPr="00A32AF4" w:rsidRDefault="00DC0553" w:rsidP="00DC0553">
      <w:pPr>
        <w:pStyle w:val="ListParagraph"/>
        <w:numPr>
          <w:ilvl w:val="0"/>
          <w:numId w:val="72"/>
        </w:numPr>
        <w:tabs>
          <w:tab w:val="left" w:pos="567"/>
        </w:tabs>
        <w:spacing w:after="0" w:line="240" w:lineRule="auto"/>
        <w:ind w:left="0" w:firstLine="0"/>
        <w:jc w:val="both"/>
        <w:rPr>
          <w:rFonts w:ascii="Arial" w:hAnsi="Arial" w:cs="Arial"/>
        </w:rPr>
      </w:pPr>
      <w:r w:rsidRPr="00A32AF4">
        <w:rPr>
          <w:rFonts w:ascii="Arial" w:hAnsi="Arial" w:cs="Arial"/>
        </w:rPr>
        <w:t>Dans la continuité des initiatives lancées en 2014</w:t>
      </w:r>
      <w:r w:rsidR="00EB7F54" w:rsidRPr="00A32AF4">
        <w:rPr>
          <w:rFonts w:ascii="Arial" w:hAnsi="Arial" w:cs="Arial"/>
        </w:rPr>
        <w:noBreakHyphen/>
      </w:r>
      <w:r w:rsidRPr="00A32AF4">
        <w:rPr>
          <w:rFonts w:ascii="Arial" w:hAnsi="Arial" w:cs="Arial"/>
        </w:rPr>
        <w:t>2015 pour accroître la valeur ajoutée et améliorer la productivité et l</w:t>
      </w:r>
      <w:r w:rsidR="00E2055A" w:rsidRPr="00A32AF4">
        <w:rPr>
          <w:rFonts w:ascii="Arial" w:hAnsi="Arial" w:cs="Arial"/>
        </w:rPr>
        <w:t>’</w:t>
      </w:r>
      <w:r w:rsidRPr="00A32AF4">
        <w:rPr>
          <w:rFonts w:ascii="Arial" w:hAnsi="Arial" w:cs="Arial"/>
        </w:rPr>
        <w:t>efficience des bureaux extérieurs, les efforts se poursuivront en 2016</w:t>
      </w:r>
      <w:r w:rsidR="00EB7F54" w:rsidRPr="00A32AF4">
        <w:rPr>
          <w:rFonts w:ascii="Arial" w:hAnsi="Arial" w:cs="Arial"/>
        </w:rPr>
        <w:noBreakHyphen/>
      </w:r>
      <w:r w:rsidRPr="00A32AF4">
        <w:rPr>
          <w:rFonts w:ascii="Arial" w:hAnsi="Arial" w:cs="Arial"/>
        </w:rPr>
        <w:t>2017 pour renforcer l</w:t>
      </w:r>
      <w:r w:rsidR="00E2055A" w:rsidRPr="00A32AF4">
        <w:rPr>
          <w:rFonts w:ascii="Arial" w:hAnsi="Arial" w:cs="Arial"/>
        </w:rPr>
        <w:t>’</w:t>
      </w:r>
      <w:r w:rsidRPr="00A32AF4">
        <w:rPr>
          <w:rFonts w:ascii="Arial" w:hAnsi="Arial" w:cs="Arial"/>
        </w:rPr>
        <w:t xml:space="preserve">intégration homogène des bureaux extérieurs existants dans toutes les activités </w:t>
      </w:r>
      <w:r w:rsidR="003A005E" w:rsidRPr="00A32AF4">
        <w:rPr>
          <w:rFonts w:ascii="Arial" w:hAnsi="Arial" w:cs="Arial"/>
        </w:rPr>
        <w:t xml:space="preserve">pertinentes </w:t>
      </w:r>
      <w:r w:rsidRPr="00A32AF4">
        <w:rPr>
          <w:rFonts w:ascii="Arial" w:hAnsi="Arial" w:cs="Arial"/>
        </w:rPr>
        <w:t>de l</w:t>
      </w:r>
      <w:r w:rsidR="00E2055A" w:rsidRPr="00A32AF4">
        <w:rPr>
          <w:rFonts w:ascii="Arial" w:hAnsi="Arial" w:cs="Arial"/>
        </w:rPr>
        <w:t>’</w:t>
      </w:r>
      <w:r w:rsidRPr="00A32AF4">
        <w:rPr>
          <w:rFonts w:ascii="Arial" w:hAnsi="Arial" w:cs="Arial"/>
        </w:rPr>
        <w:t>Organisation.</w:t>
      </w:r>
      <w:r w:rsidRPr="00A32AF4">
        <w:rPr>
          <w:rFonts w:ascii="Arial" w:hAnsi="Arial"/>
        </w:rPr>
        <w:t xml:space="preserve"> </w:t>
      </w:r>
      <w:r w:rsidRPr="00A32AF4">
        <w:rPr>
          <w:rFonts w:ascii="Arial" w:hAnsi="Arial" w:cs="Arial"/>
        </w:rPr>
        <w:t xml:space="preserve"> Ils s</w:t>
      </w:r>
      <w:r w:rsidR="00E2055A" w:rsidRPr="00A32AF4">
        <w:rPr>
          <w:rFonts w:ascii="Arial" w:hAnsi="Arial" w:cs="Arial"/>
        </w:rPr>
        <w:t>’</w:t>
      </w:r>
      <w:r w:rsidRPr="00A32AF4">
        <w:rPr>
          <w:rFonts w:ascii="Arial" w:hAnsi="Arial" w:cs="Arial"/>
        </w:rPr>
        <w:t>accompagneront du déploiement d</w:t>
      </w:r>
      <w:r w:rsidR="00E2055A" w:rsidRPr="00A32AF4">
        <w:rPr>
          <w:rFonts w:ascii="Arial" w:hAnsi="Arial" w:cs="Arial"/>
        </w:rPr>
        <w:t>’</w:t>
      </w:r>
      <w:r w:rsidRPr="00A32AF4">
        <w:rPr>
          <w:rFonts w:ascii="Arial" w:hAnsi="Arial" w:cs="Arial"/>
        </w:rPr>
        <w:t>un système et d</w:t>
      </w:r>
      <w:r w:rsidR="00E2055A" w:rsidRPr="00A32AF4">
        <w:rPr>
          <w:rFonts w:ascii="Arial" w:hAnsi="Arial" w:cs="Arial"/>
        </w:rPr>
        <w:t>’</w:t>
      </w:r>
      <w:r w:rsidRPr="00A32AF4">
        <w:rPr>
          <w:rFonts w:ascii="Arial" w:hAnsi="Arial" w:cs="Arial"/>
        </w:rPr>
        <w:t xml:space="preserve">une architecture de bureau mondial standard. </w:t>
      </w:r>
      <w:r w:rsidRPr="00A32AF4">
        <w:rPr>
          <w:rFonts w:ascii="Arial" w:hAnsi="Arial"/>
        </w:rPr>
        <w:t xml:space="preserve"> </w:t>
      </w:r>
      <w:r w:rsidRPr="00A32AF4">
        <w:rPr>
          <w:rFonts w:ascii="Arial" w:hAnsi="Arial" w:cs="Arial"/>
        </w:rPr>
        <w:t>Ce sera essentiel pour permettre à l</w:t>
      </w:r>
      <w:r w:rsidR="00E2055A" w:rsidRPr="00A32AF4">
        <w:rPr>
          <w:rFonts w:ascii="Arial" w:hAnsi="Arial" w:cs="Arial"/>
        </w:rPr>
        <w:t>’</w:t>
      </w:r>
      <w:r w:rsidRPr="00A32AF4">
        <w:rPr>
          <w:rFonts w:ascii="Arial" w:hAnsi="Arial" w:cs="Arial"/>
        </w:rPr>
        <w:t>OMPI de continuer d</w:t>
      </w:r>
      <w:r w:rsidR="00E2055A" w:rsidRPr="00A32AF4">
        <w:rPr>
          <w:rFonts w:ascii="Arial" w:hAnsi="Arial" w:cs="Arial"/>
        </w:rPr>
        <w:t>’</w:t>
      </w:r>
      <w:r w:rsidRPr="00A32AF4">
        <w:rPr>
          <w:rFonts w:ascii="Arial" w:hAnsi="Arial" w:cs="Arial"/>
        </w:rPr>
        <w:t>évoluer en tant qu</w:t>
      </w:r>
      <w:r w:rsidR="00E2055A" w:rsidRPr="00A32AF4">
        <w:rPr>
          <w:rFonts w:ascii="Arial" w:hAnsi="Arial" w:cs="Arial"/>
        </w:rPr>
        <w:t>’</w:t>
      </w:r>
      <w:r w:rsidRPr="00A32AF4">
        <w:rPr>
          <w:rFonts w:ascii="Arial" w:hAnsi="Arial" w:cs="Arial"/>
        </w:rPr>
        <w:t>organisation véritablement mondiale, réactive face à ses États membres et à ses parties prenantes et capable d</w:t>
      </w:r>
      <w:r w:rsidR="00E2055A" w:rsidRPr="00A32AF4">
        <w:rPr>
          <w:rFonts w:ascii="Arial" w:hAnsi="Arial" w:cs="Arial"/>
        </w:rPr>
        <w:t>’</w:t>
      </w:r>
      <w:r w:rsidRPr="00A32AF4">
        <w:rPr>
          <w:rFonts w:ascii="Arial" w:hAnsi="Arial" w:cs="Arial"/>
        </w:rPr>
        <w:t>atteindre son objectif ambitieux d</w:t>
      </w:r>
      <w:r w:rsidR="00E2055A" w:rsidRPr="00A32AF4">
        <w:rPr>
          <w:rFonts w:ascii="Arial" w:hAnsi="Arial" w:cs="Arial"/>
        </w:rPr>
        <w:t>’</w:t>
      </w:r>
      <w:r w:rsidRPr="00A32AF4">
        <w:rPr>
          <w:rFonts w:ascii="Arial" w:hAnsi="Arial" w:cs="Arial"/>
        </w:rPr>
        <w:t>offrir ses services de manière plus efficiente grâce à une coopération plus étroite.</w:t>
      </w:r>
    </w:p>
    <w:p w:rsidR="00DC0553" w:rsidRPr="00A32AF4" w:rsidRDefault="00DC0553" w:rsidP="00DC0553">
      <w:pPr>
        <w:pStyle w:val="ListParagraph"/>
        <w:tabs>
          <w:tab w:val="left" w:pos="567"/>
        </w:tabs>
        <w:spacing w:line="240" w:lineRule="auto"/>
        <w:ind w:left="0"/>
        <w:jc w:val="both"/>
        <w:rPr>
          <w:rFonts w:ascii="Arial" w:hAnsi="Arial" w:cs="Arial"/>
        </w:rPr>
      </w:pPr>
    </w:p>
    <w:p w:rsidR="00DC0553" w:rsidRPr="00A32AF4" w:rsidRDefault="00DC0553" w:rsidP="00DC0553">
      <w:pPr>
        <w:pStyle w:val="ListParagraph"/>
        <w:numPr>
          <w:ilvl w:val="0"/>
          <w:numId w:val="73"/>
        </w:numPr>
        <w:tabs>
          <w:tab w:val="right" w:pos="1134"/>
        </w:tabs>
        <w:spacing w:after="0" w:line="240" w:lineRule="auto"/>
        <w:ind w:left="1134" w:hanging="567"/>
        <w:jc w:val="both"/>
        <w:rPr>
          <w:rFonts w:ascii="Arial" w:hAnsi="Arial" w:cs="Arial"/>
          <w:i/>
        </w:rPr>
      </w:pPr>
      <w:r w:rsidRPr="00A32AF4">
        <w:rPr>
          <w:rFonts w:ascii="Arial" w:hAnsi="Arial"/>
          <w:i/>
        </w:rPr>
        <w:t>Les ressources totales correspondantes sont prises en considération dans le programme 20 (Relations extérieures, partenariats et bureaux extérieurs).  Dans le cas où les États membres décideraient d</w:t>
      </w:r>
      <w:r w:rsidR="00E2055A" w:rsidRPr="00A32AF4">
        <w:rPr>
          <w:rFonts w:ascii="Arial" w:hAnsi="Arial"/>
          <w:i/>
        </w:rPr>
        <w:t>’</w:t>
      </w:r>
      <w:r w:rsidRPr="00A32AF4">
        <w:rPr>
          <w:rFonts w:ascii="Arial" w:hAnsi="Arial"/>
          <w:i/>
        </w:rPr>
        <w:t>ouvrir de nouveaux bureaux extérieurs en 2016</w:t>
      </w:r>
      <w:r w:rsidR="00EB7F54" w:rsidRPr="00A32AF4">
        <w:rPr>
          <w:rFonts w:ascii="Arial" w:hAnsi="Arial"/>
          <w:i/>
        </w:rPr>
        <w:noBreakHyphen/>
      </w:r>
      <w:r w:rsidRPr="00A32AF4">
        <w:rPr>
          <w:rFonts w:ascii="Arial" w:hAnsi="Arial"/>
          <w:i/>
        </w:rPr>
        <w:t>2017, ces derniers pourraient être financés au titre de la provision d</w:t>
      </w:r>
      <w:r w:rsidR="00E2055A" w:rsidRPr="00A32AF4">
        <w:rPr>
          <w:rFonts w:ascii="Arial" w:hAnsi="Arial"/>
          <w:i/>
        </w:rPr>
        <w:t>’</w:t>
      </w:r>
      <w:r w:rsidRPr="00A32AF4">
        <w:rPr>
          <w:rFonts w:ascii="Arial" w:hAnsi="Arial"/>
          <w:i/>
        </w:rPr>
        <w:t>un million de francs suisses effectuée pour les dépenses autres que les dépenses de personnel dans la catégorie “Crédits non affectés”.</w:t>
      </w:r>
    </w:p>
    <w:p w:rsidR="00DC0553" w:rsidRPr="00A32AF4" w:rsidRDefault="00DC0553" w:rsidP="00DC0553">
      <w:pPr>
        <w:pStyle w:val="ListParagraph"/>
        <w:tabs>
          <w:tab w:val="left" w:pos="567"/>
          <w:tab w:val="left" w:pos="709"/>
        </w:tabs>
        <w:spacing w:line="240" w:lineRule="auto"/>
        <w:ind w:left="0"/>
        <w:jc w:val="both"/>
        <w:rPr>
          <w:rFonts w:ascii="Arial" w:hAnsi="Arial" w:cs="Arial"/>
        </w:rPr>
      </w:pPr>
    </w:p>
    <w:p w:rsidR="00DC0553" w:rsidRPr="00A32AF4" w:rsidRDefault="00DC0553" w:rsidP="00DC0553">
      <w:pPr>
        <w:pStyle w:val="ListParagraph"/>
        <w:numPr>
          <w:ilvl w:val="0"/>
          <w:numId w:val="72"/>
        </w:numPr>
        <w:tabs>
          <w:tab w:val="left" w:pos="567"/>
        </w:tabs>
        <w:spacing w:after="0" w:line="240" w:lineRule="auto"/>
        <w:ind w:left="0" w:firstLine="0"/>
        <w:jc w:val="both"/>
        <w:rPr>
          <w:rFonts w:ascii="Arial" w:hAnsi="Arial"/>
        </w:rPr>
      </w:pPr>
      <w:r w:rsidRPr="00A32AF4">
        <w:rPr>
          <w:rFonts w:ascii="Arial" w:hAnsi="Arial"/>
        </w:rPr>
        <w:t>Les efforts déployés pour disposer d</w:t>
      </w:r>
      <w:r w:rsidR="00E2055A" w:rsidRPr="00A32AF4">
        <w:rPr>
          <w:rFonts w:ascii="Arial" w:hAnsi="Arial"/>
        </w:rPr>
        <w:t>’</w:t>
      </w:r>
      <w:r w:rsidRPr="00A32AF4">
        <w:rPr>
          <w:rFonts w:ascii="Arial" w:hAnsi="Arial"/>
        </w:rPr>
        <w:t>un Secrétariat réactif, fonctionnant harmonieusement et doté de ressources humaines bien gérées et compétentes, capables d</w:t>
      </w:r>
      <w:r w:rsidR="00E2055A" w:rsidRPr="00A32AF4">
        <w:rPr>
          <w:rFonts w:ascii="Arial" w:hAnsi="Arial"/>
        </w:rPr>
        <w:t>’</w:t>
      </w:r>
      <w:r w:rsidRPr="00A32AF4">
        <w:rPr>
          <w:rFonts w:ascii="Arial" w:hAnsi="Arial"/>
        </w:rPr>
        <w:t>obtenir des résultats concrets, se poursuivront au titre de l</w:t>
      </w:r>
      <w:r w:rsidR="00E2055A" w:rsidRPr="00A32AF4">
        <w:rPr>
          <w:rFonts w:ascii="Arial" w:hAnsi="Arial"/>
        </w:rPr>
        <w:t>’</w:t>
      </w:r>
      <w:r w:rsidRPr="00A32AF4">
        <w:rPr>
          <w:rFonts w:ascii="Arial" w:hAnsi="Arial"/>
        </w:rPr>
        <w:t>objectif stratégique IX.  Une attention particulière sera accordée à la promotion de la parité et de la diversité géographique au cours de l</w:t>
      </w:r>
      <w:r w:rsidR="00E2055A" w:rsidRPr="00A32AF4">
        <w:rPr>
          <w:rFonts w:ascii="Arial" w:hAnsi="Arial"/>
        </w:rPr>
        <w:t>’</w:t>
      </w:r>
      <w:r w:rsidRPr="00A32AF4">
        <w:rPr>
          <w:rFonts w:ascii="Arial" w:hAnsi="Arial"/>
        </w:rPr>
        <w:t>exercice biennal.  D</w:t>
      </w:r>
      <w:r w:rsidR="00E2055A" w:rsidRPr="00A32AF4">
        <w:rPr>
          <w:rFonts w:ascii="Arial" w:hAnsi="Arial"/>
        </w:rPr>
        <w:t>’</w:t>
      </w:r>
      <w:r w:rsidRPr="00A32AF4">
        <w:rPr>
          <w:rFonts w:ascii="Arial" w:hAnsi="Arial"/>
        </w:rPr>
        <w:t>autres mesures seront prises pour renforcer les compétences des femmes dans l</w:t>
      </w:r>
      <w:r w:rsidR="00E2055A" w:rsidRPr="00A32AF4">
        <w:rPr>
          <w:rFonts w:ascii="Arial" w:hAnsi="Arial"/>
        </w:rPr>
        <w:t>’</w:t>
      </w:r>
      <w:r w:rsidRPr="00A32AF4">
        <w:rPr>
          <w:rFonts w:ascii="Arial" w:hAnsi="Arial"/>
        </w:rPr>
        <w:t>Organisation en matière de gestion de programmes et de ressources financières et humaines, et leur permettre d</w:t>
      </w:r>
      <w:r w:rsidR="00E2055A" w:rsidRPr="00A32AF4">
        <w:rPr>
          <w:rFonts w:ascii="Arial" w:hAnsi="Arial"/>
        </w:rPr>
        <w:t>’</w:t>
      </w:r>
      <w:r w:rsidRPr="00A32AF4">
        <w:rPr>
          <w:rFonts w:ascii="Arial" w:hAnsi="Arial"/>
        </w:rPr>
        <w:t>occuper des postes élevés, tout en poursuivant l</w:t>
      </w:r>
      <w:r w:rsidR="00E2055A" w:rsidRPr="00A32AF4">
        <w:rPr>
          <w:rFonts w:ascii="Arial" w:hAnsi="Arial"/>
        </w:rPr>
        <w:t>’</w:t>
      </w:r>
      <w:r w:rsidRPr="00A32AF4">
        <w:rPr>
          <w:rFonts w:ascii="Arial" w:hAnsi="Arial"/>
        </w:rPr>
        <w:t>action auprès des femmes éventuellement intéressées.  En ce qui concerne la diversité géographique, des efforts énergiques accrus seront déployés, avec l</w:t>
      </w:r>
      <w:r w:rsidR="00E2055A" w:rsidRPr="00A32AF4">
        <w:rPr>
          <w:rFonts w:ascii="Arial" w:hAnsi="Arial"/>
        </w:rPr>
        <w:t>’</w:t>
      </w:r>
      <w:r w:rsidRPr="00A32AF4">
        <w:rPr>
          <w:rFonts w:ascii="Arial" w:hAnsi="Arial"/>
        </w:rPr>
        <w:t>appui des États membres, pour informer les candidats potentiels de pays qui ne sont pas bien représentés parmi les administrateurs et les fonctionnaires de rang supérieur.  Après la mise en œuvre du Statut et Règlement du personnel révisé approuvé par le Comité de coordination en 2012 et 2013, et notamment le renforcement du système de justice interne, la prévention et l</w:t>
      </w:r>
      <w:r w:rsidR="00E2055A" w:rsidRPr="00A32AF4">
        <w:rPr>
          <w:rFonts w:ascii="Arial" w:hAnsi="Arial"/>
        </w:rPr>
        <w:t>’</w:t>
      </w:r>
      <w:r w:rsidRPr="00A32AF4">
        <w:rPr>
          <w:rFonts w:ascii="Arial" w:hAnsi="Arial"/>
        </w:rPr>
        <w:t>atténuation des conflits et la gestion efficace des dossiers dans le cadre du système de justice interne constitueront un domaine d</w:t>
      </w:r>
      <w:r w:rsidR="00E2055A" w:rsidRPr="00A32AF4">
        <w:rPr>
          <w:rFonts w:ascii="Arial" w:hAnsi="Arial"/>
        </w:rPr>
        <w:t>’</w:t>
      </w:r>
      <w:r w:rsidRPr="00A32AF4">
        <w:rPr>
          <w:rFonts w:ascii="Arial" w:hAnsi="Arial"/>
        </w:rPr>
        <w:t>action important en 2016</w:t>
      </w:r>
      <w:r w:rsidR="00EB7F54" w:rsidRPr="00A32AF4">
        <w:rPr>
          <w:rFonts w:ascii="Arial" w:hAnsi="Arial"/>
        </w:rPr>
        <w:noBreakHyphen/>
      </w:r>
      <w:r w:rsidRPr="00A32AF4">
        <w:rPr>
          <w:rFonts w:ascii="Arial" w:hAnsi="Arial"/>
        </w:rPr>
        <w:t>2017.  L</w:t>
      </w:r>
      <w:r w:rsidR="00E2055A" w:rsidRPr="00A32AF4">
        <w:rPr>
          <w:rFonts w:ascii="Arial" w:hAnsi="Arial"/>
        </w:rPr>
        <w:t>’</w:t>
      </w:r>
      <w:r w:rsidRPr="00A32AF4">
        <w:rPr>
          <w:rFonts w:ascii="Arial" w:hAnsi="Arial"/>
        </w:rPr>
        <w:t>Organisation continuera également de participer à l</w:t>
      </w:r>
      <w:r w:rsidR="00E2055A" w:rsidRPr="00A32AF4">
        <w:rPr>
          <w:rFonts w:ascii="Arial" w:hAnsi="Arial"/>
        </w:rPr>
        <w:t>’</w:t>
      </w:r>
      <w:r w:rsidRPr="00A32AF4">
        <w:rPr>
          <w:rFonts w:ascii="Arial" w:hAnsi="Arial"/>
        </w:rPr>
        <w:t>examen de l</w:t>
      </w:r>
      <w:r w:rsidR="00E2055A" w:rsidRPr="00A32AF4">
        <w:rPr>
          <w:rFonts w:ascii="Arial" w:hAnsi="Arial"/>
        </w:rPr>
        <w:t>’</w:t>
      </w:r>
      <w:r w:rsidRPr="00A32AF4">
        <w:rPr>
          <w:rFonts w:ascii="Arial" w:hAnsi="Arial"/>
        </w:rPr>
        <w:t xml:space="preserve">ensemble des prestations offertes par les organisations appliquant le régime commun des </w:t>
      </w:r>
      <w:r w:rsidR="00E2055A" w:rsidRPr="00A32AF4">
        <w:rPr>
          <w:rFonts w:ascii="Arial" w:hAnsi="Arial"/>
        </w:rPr>
        <w:t>Nations Unies</w:t>
      </w:r>
      <w:r w:rsidRPr="00A32AF4">
        <w:rPr>
          <w:rFonts w:ascii="Arial" w:hAnsi="Arial"/>
        </w:rPr>
        <w:t>.</w:t>
      </w:r>
    </w:p>
    <w:p w:rsidR="00DC0553" w:rsidRPr="00A32AF4" w:rsidRDefault="00DC0553" w:rsidP="00DC0553">
      <w:pPr>
        <w:pStyle w:val="ListParagraph"/>
        <w:tabs>
          <w:tab w:val="left" w:pos="567"/>
        </w:tabs>
        <w:spacing w:line="240" w:lineRule="auto"/>
        <w:ind w:left="0"/>
        <w:jc w:val="both"/>
        <w:rPr>
          <w:rFonts w:ascii="Arial" w:hAnsi="Arial" w:cs="Arial"/>
        </w:rPr>
      </w:pPr>
    </w:p>
    <w:p w:rsidR="00DC0553" w:rsidRPr="00A32AF4" w:rsidRDefault="00DC0553" w:rsidP="00DC0553">
      <w:pPr>
        <w:pStyle w:val="ListParagraph"/>
        <w:numPr>
          <w:ilvl w:val="0"/>
          <w:numId w:val="73"/>
        </w:numPr>
        <w:tabs>
          <w:tab w:val="right" w:pos="1134"/>
        </w:tabs>
        <w:spacing w:after="0" w:line="240" w:lineRule="auto"/>
        <w:ind w:left="1134" w:hanging="567"/>
        <w:jc w:val="both"/>
        <w:rPr>
          <w:rFonts w:ascii="Arial" w:hAnsi="Arial"/>
          <w:i/>
        </w:rPr>
      </w:pPr>
      <w:r w:rsidRPr="00A32AF4">
        <w:rPr>
          <w:rFonts w:ascii="Arial" w:hAnsi="Arial"/>
          <w:i/>
        </w:rPr>
        <w:t>Les ressources totales correspondantes sont prises en considération dans le programme 23 (Gestion et mise en valeur des ressources humaines).</w:t>
      </w:r>
    </w:p>
    <w:p w:rsidR="00DC0553" w:rsidRPr="00A32AF4" w:rsidRDefault="00DC0553" w:rsidP="00DC0553">
      <w:pPr>
        <w:pStyle w:val="ListParagraph"/>
        <w:tabs>
          <w:tab w:val="left" w:pos="567"/>
          <w:tab w:val="left" w:pos="709"/>
        </w:tabs>
        <w:spacing w:line="240" w:lineRule="auto"/>
        <w:ind w:left="0"/>
        <w:jc w:val="both"/>
        <w:rPr>
          <w:rFonts w:ascii="Arial" w:hAnsi="Arial" w:cs="Arial"/>
        </w:rPr>
      </w:pPr>
    </w:p>
    <w:p w:rsidR="00DC0553" w:rsidRPr="00A32AF4" w:rsidRDefault="00DC0553" w:rsidP="00DC0553">
      <w:pPr>
        <w:pStyle w:val="ListParagraph"/>
        <w:numPr>
          <w:ilvl w:val="0"/>
          <w:numId w:val="72"/>
        </w:numPr>
        <w:tabs>
          <w:tab w:val="left" w:pos="567"/>
        </w:tabs>
        <w:spacing w:after="0" w:line="240" w:lineRule="auto"/>
        <w:ind w:left="0" w:firstLine="0"/>
        <w:jc w:val="both"/>
        <w:rPr>
          <w:rFonts w:ascii="Arial" w:hAnsi="Arial" w:cs="Arial"/>
        </w:rPr>
      </w:pPr>
      <w:r w:rsidRPr="00A32AF4">
        <w:rPr>
          <w:rFonts w:ascii="Arial" w:hAnsi="Arial" w:cs="Arial"/>
        </w:rPr>
        <w:t>Avec l</w:t>
      </w:r>
      <w:r w:rsidR="00E2055A" w:rsidRPr="00A32AF4">
        <w:rPr>
          <w:rFonts w:ascii="Arial" w:hAnsi="Arial" w:cs="Arial"/>
        </w:rPr>
        <w:t>’</w:t>
      </w:r>
      <w:r w:rsidRPr="00A32AF4">
        <w:rPr>
          <w:rFonts w:ascii="Arial" w:hAnsi="Arial" w:cs="Arial"/>
        </w:rPr>
        <w:t>adoption de la politique linguistique par les États membres en 2011, et l</w:t>
      </w:r>
      <w:r w:rsidR="00E2055A" w:rsidRPr="00A32AF4">
        <w:rPr>
          <w:rFonts w:ascii="Arial" w:hAnsi="Arial" w:cs="Arial"/>
        </w:rPr>
        <w:t>’</w:t>
      </w:r>
      <w:r w:rsidRPr="00A32AF4">
        <w:rPr>
          <w:rFonts w:ascii="Arial" w:hAnsi="Arial" w:cs="Arial"/>
        </w:rPr>
        <w:t>extension de la couverture en six langues à toute la documentation destinée aux comités et aux principaux organes de l</w:t>
      </w:r>
      <w:r w:rsidR="00E2055A" w:rsidRPr="00A32AF4">
        <w:rPr>
          <w:rFonts w:ascii="Arial" w:hAnsi="Arial" w:cs="Arial"/>
        </w:rPr>
        <w:t>’</w:t>
      </w:r>
      <w:r w:rsidRPr="00A32AF4">
        <w:rPr>
          <w:rFonts w:ascii="Arial" w:hAnsi="Arial" w:cs="Arial"/>
        </w:rPr>
        <w:t>OMPI au cours de l</w:t>
      </w:r>
      <w:r w:rsidR="00E2055A" w:rsidRPr="00A32AF4">
        <w:rPr>
          <w:rFonts w:ascii="Arial" w:hAnsi="Arial" w:cs="Arial"/>
        </w:rPr>
        <w:t>’</w:t>
      </w:r>
      <w:r w:rsidRPr="00A32AF4">
        <w:rPr>
          <w:rFonts w:ascii="Arial" w:hAnsi="Arial" w:cs="Arial"/>
        </w:rPr>
        <w:t>exercice biennal 2012</w:t>
      </w:r>
      <w:r w:rsidR="00EB7F54" w:rsidRPr="00A32AF4">
        <w:rPr>
          <w:rFonts w:ascii="Arial" w:hAnsi="Arial" w:cs="Arial"/>
        </w:rPr>
        <w:noBreakHyphen/>
      </w:r>
      <w:r w:rsidRPr="00A32AF4">
        <w:rPr>
          <w:rFonts w:ascii="Arial" w:hAnsi="Arial" w:cs="Arial"/>
        </w:rPr>
        <w:t>2013, plusieurs groupes de travail ont aussi bénéficié de cette couverture durant l</w:t>
      </w:r>
      <w:r w:rsidR="00E2055A" w:rsidRPr="00A32AF4">
        <w:rPr>
          <w:rFonts w:ascii="Arial" w:hAnsi="Arial" w:cs="Arial"/>
        </w:rPr>
        <w:t>’</w:t>
      </w:r>
      <w:r w:rsidRPr="00A32AF4">
        <w:rPr>
          <w:rFonts w:ascii="Arial" w:hAnsi="Arial" w:cs="Arial"/>
        </w:rPr>
        <w:t>exercice biennal 2014</w:t>
      </w:r>
      <w:r w:rsidR="00EB7F54" w:rsidRPr="00A32AF4">
        <w:rPr>
          <w:rFonts w:ascii="Arial" w:hAnsi="Arial" w:cs="Arial"/>
        </w:rPr>
        <w:noBreakHyphen/>
      </w:r>
      <w:r w:rsidRPr="00A32AF4">
        <w:rPr>
          <w:rFonts w:ascii="Arial" w:hAnsi="Arial" w:cs="Arial"/>
        </w:rPr>
        <w:t>2015.</w:t>
      </w:r>
      <w:r w:rsidRPr="00A32AF4">
        <w:rPr>
          <w:rFonts w:ascii="Arial" w:hAnsi="Arial"/>
        </w:rPr>
        <w:t xml:space="preserve">  </w:t>
      </w:r>
      <w:r w:rsidRPr="00A32AF4">
        <w:rPr>
          <w:rFonts w:ascii="Arial" w:hAnsi="Arial" w:cs="Arial"/>
        </w:rPr>
        <w:t>Les groupes de travail non encore concernés devraient se voir accorder le même régime au cours de l</w:t>
      </w:r>
      <w:r w:rsidR="00E2055A" w:rsidRPr="00A32AF4">
        <w:rPr>
          <w:rFonts w:ascii="Arial" w:hAnsi="Arial" w:cs="Arial"/>
        </w:rPr>
        <w:t>’</w:t>
      </w:r>
      <w:r w:rsidRPr="00A32AF4">
        <w:rPr>
          <w:rFonts w:ascii="Arial" w:hAnsi="Arial" w:cs="Arial"/>
        </w:rPr>
        <w:t>exercice biennal 2016</w:t>
      </w:r>
      <w:r w:rsidR="00EB7F54" w:rsidRPr="00A32AF4">
        <w:rPr>
          <w:rFonts w:ascii="Arial" w:hAnsi="Arial" w:cs="Arial"/>
        </w:rPr>
        <w:noBreakHyphen/>
      </w:r>
      <w:r w:rsidRPr="00A32AF4">
        <w:rPr>
          <w:rFonts w:ascii="Arial" w:hAnsi="Arial" w:cs="Arial"/>
        </w:rPr>
        <w:t>2017.</w:t>
      </w:r>
      <w:r w:rsidRPr="00A32AF4">
        <w:rPr>
          <w:rFonts w:ascii="Arial" w:hAnsi="Arial"/>
        </w:rPr>
        <w:t xml:space="preserve">  </w:t>
      </w:r>
      <w:r w:rsidRPr="00A32AF4">
        <w:rPr>
          <w:rFonts w:ascii="Arial" w:hAnsi="Arial" w:cs="Arial"/>
        </w:rPr>
        <w:t>Afin de maîtriser les coûts de traduction, le réseau de cabinets de traduction et de traducteurs indépendants externes a été renforcé pour assurer le traitement adéquat des travaux de traduction et de nouveaux outils technologiques ont été mis à disposition pour améliorer l</w:t>
      </w:r>
      <w:r w:rsidR="00E2055A" w:rsidRPr="00A32AF4">
        <w:rPr>
          <w:rFonts w:ascii="Arial" w:hAnsi="Arial" w:cs="Arial"/>
        </w:rPr>
        <w:t>’</w:t>
      </w:r>
      <w:r w:rsidRPr="00A32AF4">
        <w:rPr>
          <w:rFonts w:ascii="Arial" w:hAnsi="Arial" w:cs="Arial"/>
        </w:rPr>
        <w:t xml:space="preserve">environnement de la traduction, construire des bases de données terminologiques et assurer le contrôle de la qualité. </w:t>
      </w:r>
      <w:r w:rsidRPr="00A32AF4">
        <w:rPr>
          <w:rFonts w:ascii="Arial" w:hAnsi="Arial"/>
        </w:rPr>
        <w:t xml:space="preserve"> </w:t>
      </w:r>
      <w:r w:rsidRPr="00A32AF4">
        <w:rPr>
          <w:rFonts w:ascii="Arial" w:hAnsi="Arial" w:cs="Arial"/>
        </w:rPr>
        <w:t>La longueur et le nombre de documents continueront d</w:t>
      </w:r>
      <w:r w:rsidR="00E2055A" w:rsidRPr="00A32AF4">
        <w:rPr>
          <w:rFonts w:ascii="Arial" w:hAnsi="Arial" w:cs="Arial"/>
        </w:rPr>
        <w:t>’</w:t>
      </w:r>
      <w:r w:rsidRPr="00A32AF4">
        <w:rPr>
          <w:rFonts w:ascii="Arial" w:hAnsi="Arial" w:cs="Arial"/>
        </w:rPr>
        <w:t>être suivis de près.</w:t>
      </w:r>
      <w:r w:rsidRPr="00A32AF4">
        <w:rPr>
          <w:rFonts w:ascii="Arial" w:hAnsi="Arial"/>
        </w:rPr>
        <w:t xml:space="preserve"> </w:t>
      </w:r>
      <w:r w:rsidRPr="00A32AF4">
        <w:rPr>
          <w:rFonts w:ascii="Arial" w:hAnsi="Arial" w:cs="Arial"/>
        </w:rPr>
        <w:t xml:space="preserve"> Ces mesures de rationalisation ont permis de maîtriser les coûts de traduction.</w:t>
      </w:r>
    </w:p>
    <w:p w:rsidR="00DC0553" w:rsidRPr="00A32AF4" w:rsidRDefault="00DC0553" w:rsidP="00DC0553">
      <w:pPr>
        <w:pStyle w:val="ListParagraph"/>
        <w:tabs>
          <w:tab w:val="left" w:pos="567"/>
        </w:tabs>
        <w:spacing w:line="240" w:lineRule="auto"/>
        <w:ind w:left="0"/>
        <w:jc w:val="both"/>
        <w:rPr>
          <w:rFonts w:ascii="Arial" w:hAnsi="Arial" w:cs="Arial"/>
        </w:rPr>
      </w:pPr>
    </w:p>
    <w:p w:rsidR="00DC0553" w:rsidRPr="00A32AF4" w:rsidRDefault="00DC0553" w:rsidP="00DC0553">
      <w:pPr>
        <w:pStyle w:val="ListParagraph"/>
        <w:numPr>
          <w:ilvl w:val="0"/>
          <w:numId w:val="73"/>
        </w:numPr>
        <w:tabs>
          <w:tab w:val="right" w:pos="1134"/>
        </w:tabs>
        <w:spacing w:after="0" w:line="240" w:lineRule="auto"/>
        <w:ind w:left="1134" w:hanging="567"/>
        <w:jc w:val="both"/>
        <w:rPr>
          <w:rFonts w:ascii="Arial" w:hAnsi="Arial" w:cs="Arial"/>
          <w:i/>
        </w:rPr>
      </w:pPr>
      <w:r w:rsidRPr="00A32AF4">
        <w:rPr>
          <w:rFonts w:ascii="Arial" w:hAnsi="Arial"/>
          <w:i/>
        </w:rPr>
        <w:t>Les ressources totales correspondantes sont prises en considération dans le programme 27 (Services de conférence et services linguistiques).  Une part de l</w:t>
      </w:r>
      <w:r w:rsidR="00E2055A" w:rsidRPr="00A32AF4">
        <w:rPr>
          <w:rFonts w:ascii="Arial" w:hAnsi="Arial"/>
          <w:i/>
        </w:rPr>
        <w:t>’</w:t>
      </w:r>
      <w:r w:rsidRPr="00A32AF4">
        <w:rPr>
          <w:rFonts w:ascii="Arial" w:hAnsi="Arial"/>
          <w:i/>
        </w:rPr>
        <w:t>augmentation du budget 2014</w:t>
      </w:r>
      <w:r w:rsidR="00EB7F54" w:rsidRPr="00A32AF4">
        <w:rPr>
          <w:rFonts w:ascii="Arial" w:hAnsi="Arial"/>
          <w:i/>
        </w:rPr>
        <w:noBreakHyphen/>
      </w:r>
      <w:r w:rsidRPr="00A32AF4">
        <w:rPr>
          <w:rFonts w:ascii="Arial" w:hAnsi="Arial"/>
          <w:i/>
        </w:rPr>
        <w:t>2015 hors dépenses de personnel approuvé pour le programme ne devrait donc pas être nécessaire en 2016</w:t>
      </w:r>
      <w:r w:rsidR="00EB7F54" w:rsidRPr="00A32AF4">
        <w:rPr>
          <w:rFonts w:ascii="Arial" w:hAnsi="Arial"/>
          <w:i/>
        </w:rPr>
        <w:noBreakHyphen/>
      </w:r>
      <w:r w:rsidRPr="00A32AF4">
        <w:rPr>
          <w:rFonts w:ascii="Arial" w:hAnsi="Arial"/>
          <w:i/>
        </w:rPr>
        <w:t>2017, d</w:t>
      </w:r>
      <w:r w:rsidR="00E2055A" w:rsidRPr="00A32AF4">
        <w:rPr>
          <w:rFonts w:ascii="Arial" w:hAnsi="Arial"/>
          <w:i/>
        </w:rPr>
        <w:t>’</w:t>
      </w:r>
      <w:r w:rsidRPr="00A32AF4">
        <w:rPr>
          <w:rFonts w:ascii="Arial" w:hAnsi="Arial"/>
          <w:i/>
        </w:rPr>
        <w:t>après les estimations.</w:t>
      </w:r>
    </w:p>
    <w:p w:rsidR="00DC0553" w:rsidRPr="00A32AF4" w:rsidRDefault="00DC0553" w:rsidP="00DC0553">
      <w:pPr>
        <w:pStyle w:val="ListParagraph"/>
        <w:tabs>
          <w:tab w:val="left" w:pos="709"/>
        </w:tabs>
        <w:autoSpaceDE w:val="0"/>
        <w:autoSpaceDN w:val="0"/>
        <w:adjustRightInd w:val="0"/>
        <w:spacing w:line="240" w:lineRule="auto"/>
        <w:ind w:left="0"/>
        <w:jc w:val="both"/>
        <w:rPr>
          <w:rFonts w:ascii="Arial" w:hAnsi="Arial" w:cs="Arial"/>
        </w:rPr>
      </w:pPr>
    </w:p>
    <w:p w:rsidR="00DC0553" w:rsidRPr="00A32AF4" w:rsidRDefault="00DC0553" w:rsidP="00DC0553">
      <w:pPr>
        <w:pStyle w:val="ListParagraph"/>
        <w:numPr>
          <w:ilvl w:val="0"/>
          <w:numId w:val="72"/>
        </w:numPr>
        <w:tabs>
          <w:tab w:val="left" w:pos="567"/>
        </w:tabs>
        <w:spacing w:after="0" w:line="240" w:lineRule="auto"/>
        <w:ind w:left="0" w:firstLine="0"/>
        <w:jc w:val="both"/>
        <w:rPr>
          <w:rFonts w:ascii="Arial" w:hAnsi="Arial" w:cs="Arial"/>
        </w:rPr>
      </w:pPr>
      <w:r w:rsidRPr="00A32AF4">
        <w:rPr>
          <w:rFonts w:ascii="Arial" w:hAnsi="Arial" w:cs="Arial"/>
        </w:rPr>
        <w:t>Le prochain exercice biennal sera marqué par plusieurs changements touchant le domaine de la banque et des investissements, compte tenu de l</w:t>
      </w:r>
      <w:r w:rsidR="00E2055A" w:rsidRPr="00A32AF4">
        <w:rPr>
          <w:rFonts w:ascii="Arial" w:hAnsi="Arial" w:cs="Arial"/>
        </w:rPr>
        <w:t>’</w:t>
      </w:r>
      <w:r w:rsidRPr="00A32AF4">
        <w:rPr>
          <w:rFonts w:ascii="Arial" w:hAnsi="Arial" w:cs="Arial"/>
        </w:rPr>
        <w:t>expiration en décembre 2015 des conditions bancaires avantageuses actuellement accordées à l</w:t>
      </w:r>
      <w:r w:rsidR="00E2055A" w:rsidRPr="00A32AF4">
        <w:rPr>
          <w:rFonts w:ascii="Arial" w:hAnsi="Arial" w:cs="Arial"/>
        </w:rPr>
        <w:t>’</w:t>
      </w:r>
      <w:r w:rsidRPr="00A32AF4">
        <w:rPr>
          <w:rFonts w:ascii="Arial" w:hAnsi="Arial" w:cs="Arial"/>
        </w:rPr>
        <w:t>OMPI par le Département fédéral des finances de la Suisse et de l</w:t>
      </w:r>
      <w:r w:rsidR="00E2055A" w:rsidRPr="00A32AF4">
        <w:rPr>
          <w:rFonts w:ascii="Arial" w:hAnsi="Arial" w:cs="Arial"/>
        </w:rPr>
        <w:t>’</w:t>
      </w:r>
      <w:r w:rsidRPr="00A32AF4">
        <w:rPr>
          <w:rFonts w:ascii="Arial" w:hAnsi="Arial" w:cs="Arial"/>
        </w:rPr>
        <w:t>introduction de taux d</w:t>
      </w:r>
      <w:r w:rsidR="00E2055A" w:rsidRPr="00A32AF4">
        <w:rPr>
          <w:rFonts w:ascii="Arial" w:hAnsi="Arial" w:cs="Arial"/>
        </w:rPr>
        <w:t>’</w:t>
      </w:r>
      <w:r w:rsidRPr="00A32AF4">
        <w:rPr>
          <w:rFonts w:ascii="Arial" w:hAnsi="Arial" w:cs="Arial"/>
        </w:rPr>
        <w:t>intérêts négatifs pour les dépôts en francs suisses.</w:t>
      </w:r>
      <w:r w:rsidRPr="00A32AF4">
        <w:rPr>
          <w:rFonts w:ascii="Arial" w:hAnsi="Arial"/>
        </w:rPr>
        <w:t xml:space="preserve">  </w:t>
      </w:r>
      <w:r w:rsidRPr="00A32AF4">
        <w:rPr>
          <w:rFonts w:ascii="Arial" w:hAnsi="Arial" w:cs="Arial"/>
        </w:rPr>
        <w:t>Il sera donc nécessaire d</w:t>
      </w:r>
      <w:r w:rsidR="00E2055A" w:rsidRPr="00A32AF4">
        <w:rPr>
          <w:rFonts w:ascii="Arial" w:hAnsi="Arial" w:cs="Arial"/>
        </w:rPr>
        <w:t>’</w:t>
      </w:r>
      <w:r w:rsidRPr="00A32AF4">
        <w:rPr>
          <w:rFonts w:ascii="Arial" w:hAnsi="Arial" w:cs="Arial"/>
        </w:rPr>
        <w:t>adopter une stratégie de planification et de gestion des investissements plus active mais prudente, fondée sur une politique d</w:t>
      </w:r>
      <w:r w:rsidR="00E2055A" w:rsidRPr="00A32AF4">
        <w:rPr>
          <w:rFonts w:ascii="Arial" w:hAnsi="Arial" w:cs="Arial"/>
        </w:rPr>
        <w:t>’</w:t>
      </w:r>
      <w:r w:rsidRPr="00A32AF4">
        <w:rPr>
          <w:rFonts w:ascii="Arial" w:hAnsi="Arial" w:cs="Arial"/>
        </w:rPr>
        <w:t>investissement révisée approuvée par les États membres.</w:t>
      </w:r>
    </w:p>
    <w:p w:rsidR="00DC0553" w:rsidRPr="00A32AF4" w:rsidRDefault="00DC0553" w:rsidP="00DC0553">
      <w:pPr>
        <w:pStyle w:val="ListParagraph"/>
        <w:tabs>
          <w:tab w:val="left" w:pos="567"/>
        </w:tabs>
        <w:spacing w:line="240" w:lineRule="auto"/>
        <w:ind w:left="0"/>
        <w:jc w:val="both"/>
        <w:rPr>
          <w:rFonts w:ascii="Arial" w:hAnsi="Arial" w:cs="Arial"/>
        </w:rPr>
      </w:pPr>
    </w:p>
    <w:p w:rsidR="00DC0553" w:rsidRPr="00A32AF4" w:rsidRDefault="00DC0553" w:rsidP="00DC0553">
      <w:pPr>
        <w:pStyle w:val="ListParagraph"/>
        <w:numPr>
          <w:ilvl w:val="0"/>
          <w:numId w:val="73"/>
        </w:numPr>
        <w:tabs>
          <w:tab w:val="right" w:pos="1134"/>
        </w:tabs>
        <w:spacing w:after="0" w:line="240" w:lineRule="auto"/>
        <w:ind w:left="1134" w:hanging="567"/>
        <w:jc w:val="both"/>
        <w:rPr>
          <w:rFonts w:ascii="Arial" w:hAnsi="Arial" w:cs="Arial"/>
          <w:i/>
        </w:rPr>
      </w:pPr>
      <w:r w:rsidRPr="00A32AF4">
        <w:rPr>
          <w:rFonts w:ascii="Arial" w:hAnsi="Arial" w:cs="Arial"/>
          <w:i/>
        </w:rPr>
        <w:t>Une provision de 2,4 millions de francs suisses a donc été effectuée dans le budget hors dépenses de personnel pour le paiement des taux d</w:t>
      </w:r>
      <w:r w:rsidR="00E2055A" w:rsidRPr="00A32AF4">
        <w:rPr>
          <w:rFonts w:ascii="Arial" w:hAnsi="Arial" w:cs="Arial"/>
          <w:i/>
        </w:rPr>
        <w:t>’</w:t>
      </w:r>
      <w:r w:rsidRPr="00A32AF4">
        <w:rPr>
          <w:rFonts w:ascii="Arial" w:hAnsi="Arial" w:cs="Arial"/>
          <w:i/>
        </w:rPr>
        <w:t>intérêt négatifs appliqués aux dépôts de l</w:t>
      </w:r>
      <w:r w:rsidR="00E2055A" w:rsidRPr="00A32AF4">
        <w:rPr>
          <w:rFonts w:ascii="Arial" w:hAnsi="Arial" w:cs="Arial"/>
          <w:i/>
        </w:rPr>
        <w:t>’</w:t>
      </w:r>
      <w:r w:rsidRPr="00A32AF4">
        <w:rPr>
          <w:rFonts w:ascii="Arial" w:hAnsi="Arial" w:cs="Arial"/>
          <w:i/>
        </w:rPr>
        <w:t>OMPI.</w:t>
      </w:r>
    </w:p>
    <w:p w:rsidR="00DC0553" w:rsidRPr="00A32AF4" w:rsidRDefault="00DC0553" w:rsidP="00DC0553">
      <w:pPr>
        <w:pStyle w:val="ListParagraph"/>
        <w:tabs>
          <w:tab w:val="left" w:pos="567"/>
          <w:tab w:val="left" w:pos="709"/>
        </w:tabs>
        <w:spacing w:line="240" w:lineRule="auto"/>
        <w:ind w:left="0"/>
        <w:jc w:val="both"/>
        <w:rPr>
          <w:rFonts w:ascii="Arial" w:hAnsi="Arial" w:cs="Arial"/>
        </w:rPr>
      </w:pPr>
    </w:p>
    <w:p w:rsidR="00DC0553" w:rsidRPr="00A32AF4" w:rsidRDefault="00DC0553" w:rsidP="00DC0553">
      <w:pPr>
        <w:pStyle w:val="ListParagraph"/>
        <w:numPr>
          <w:ilvl w:val="0"/>
          <w:numId w:val="72"/>
        </w:numPr>
        <w:tabs>
          <w:tab w:val="left" w:pos="567"/>
        </w:tabs>
        <w:spacing w:after="0" w:line="240" w:lineRule="auto"/>
        <w:ind w:left="0" w:firstLine="0"/>
        <w:jc w:val="both"/>
        <w:rPr>
          <w:rFonts w:ascii="Arial" w:hAnsi="Arial" w:cs="Arial"/>
        </w:rPr>
      </w:pPr>
      <w:r w:rsidRPr="00A32AF4">
        <w:rPr>
          <w:rFonts w:ascii="Arial" w:hAnsi="Arial" w:cs="Arial"/>
        </w:rPr>
        <w:t>L</w:t>
      </w:r>
      <w:r w:rsidR="00E2055A" w:rsidRPr="00A32AF4">
        <w:rPr>
          <w:rFonts w:ascii="Arial" w:hAnsi="Arial" w:cs="Arial"/>
        </w:rPr>
        <w:t>’</w:t>
      </w:r>
      <w:r w:rsidRPr="00A32AF4">
        <w:rPr>
          <w:rFonts w:ascii="Arial" w:hAnsi="Arial" w:cs="Arial"/>
        </w:rPr>
        <w:t>intégration des nouveaux modules et des nouvelles fonctions du système ERP dans les opérations s</w:t>
      </w:r>
      <w:r w:rsidR="00E2055A" w:rsidRPr="00A32AF4">
        <w:rPr>
          <w:rFonts w:ascii="Arial" w:hAnsi="Arial" w:cs="Arial"/>
        </w:rPr>
        <w:t>’</w:t>
      </w:r>
      <w:r w:rsidRPr="00A32AF4">
        <w:rPr>
          <w:rFonts w:ascii="Arial" w:hAnsi="Arial" w:cs="Arial"/>
        </w:rPr>
        <w:t>intensifiera en 2016</w:t>
      </w:r>
      <w:r w:rsidR="00EB7F54" w:rsidRPr="00A32AF4">
        <w:rPr>
          <w:rFonts w:ascii="Arial" w:hAnsi="Arial" w:cs="Arial"/>
        </w:rPr>
        <w:noBreakHyphen/>
      </w:r>
      <w:r w:rsidRPr="00A32AF4">
        <w:rPr>
          <w:rFonts w:ascii="Arial" w:hAnsi="Arial" w:cs="Arial"/>
        </w:rPr>
        <w:t>2017, entraînant la nécessité de soutenir et d</w:t>
      </w:r>
      <w:r w:rsidR="00E2055A" w:rsidRPr="00A32AF4">
        <w:rPr>
          <w:rFonts w:ascii="Arial" w:hAnsi="Arial" w:cs="Arial"/>
        </w:rPr>
        <w:t>’</w:t>
      </w:r>
      <w:r w:rsidRPr="00A32AF4">
        <w:rPr>
          <w:rFonts w:ascii="Arial" w:hAnsi="Arial" w:cs="Arial"/>
        </w:rPr>
        <w:t>encourager un système ERP complexe et pleinement intégré selon une logique axée sur les services et présentant un bon rapport coût</w:t>
      </w:r>
      <w:r w:rsidR="00EB7F54" w:rsidRPr="00A32AF4">
        <w:rPr>
          <w:rFonts w:ascii="Arial" w:hAnsi="Arial" w:cs="Arial"/>
        </w:rPr>
        <w:noBreakHyphen/>
      </w:r>
      <w:r w:rsidRPr="00A32AF4">
        <w:rPr>
          <w:rFonts w:ascii="Arial" w:hAnsi="Arial" w:cs="Arial"/>
        </w:rPr>
        <w:t>efficacité.</w:t>
      </w:r>
      <w:r w:rsidRPr="00A32AF4">
        <w:rPr>
          <w:rFonts w:ascii="Arial" w:hAnsi="Arial"/>
        </w:rPr>
        <w:t xml:space="preserve">  </w:t>
      </w:r>
      <w:r w:rsidRPr="00A32AF4">
        <w:rPr>
          <w:rFonts w:ascii="Arial" w:hAnsi="Arial" w:cs="Arial"/>
        </w:rPr>
        <w:t>L</w:t>
      </w:r>
      <w:r w:rsidR="00E2055A" w:rsidRPr="00A32AF4">
        <w:rPr>
          <w:rFonts w:ascii="Arial" w:hAnsi="Arial" w:cs="Arial"/>
        </w:rPr>
        <w:t>’</w:t>
      </w:r>
      <w:r w:rsidRPr="00A32AF4">
        <w:rPr>
          <w:rFonts w:ascii="Arial" w:hAnsi="Arial" w:cs="Arial"/>
        </w:rPr>
        <w:t>externalisation des activités d</w:t>
      </w:r>
      <w:r w:rsidR="00E2055A" w:rsidRPr="00A32AF4">
        <w:rPr>
          <w:rFonts w:ascii="Arial" w:hAnsi="Arial" w:cs="Arial"/>
        </w:rPr>
        <w:t>’</w:t>
      </w:r>
      <w:r w:rsidRPr="00A32AF4">
        <w:rPr>
          <w:rFonts w:ascii="Arial" w:hAnsi="Arial" w:cs="Arial"/>
        </w:rPr>
        <w:t>assistance, de maintenance et de développement technique dans un cadre solide de gestion et d</w:t>
      </w:r>
      <w:r w:rsidR="00E2055A" w:rsidRPr="00A32AF4">
        <w:rPr>
          <w:rFonts w:ascii="Arial" w:hAnsi="Arial" w:cs="Arial"/>
        </w:rPr>
        <w:t>’</w:t>
      </w:r>
      <w:r w:rsidRPr="00A32AF4">
        <w:rPr>
          <w:rFonts w:ascii="Arial" w:hAnsi="Arial" w:cs="Arial"/>
        </w:rPr>
        <w:t>assurance</w:t>
      </w:r>
      <w:r w:rsidR="00EB7F54" w:rsidRPr="00A32AF4">
        <w:rPr>
          <w:rFonts w:ascii="Arial" w:hAnsi="Arial" w:cs="Arial"/>
        </w:rPr>
        <w:noBreakHyphen/>
      </w:r>
      <w:r w:rsidRPr="00A32AF4">
        <w:rPr>
          <w:rFonts w:ascii="Arial" w:hAnsi="Arial" w:cs="Arial"/>
        </w:rPr>
        <w:t>qualité restera une stratégie essentielle.</w:t>
      </w:r>
    </w:p>
    <w:p w:rsidR="00DC0553" w:rsidRPr="00A32AF4" w:rsidRDefault="00DC0553" w:rsidP="00DC0553">
      <w:pPr>
        <w:pStyle w:val="ListParagraph"/>
        <w:tabs>
          <w:tab w:val="left" w:pos="567"/>
        </w:tabs>
        <w:spacing w:line="240" w:lineRule="auto"/>
        <w:ind w:left="0"/>
        <w:jc w:val="both"/>
        <w:rPr>
          <w:rFonts w:ascii="Arial" w:hAnsi="Arial" w:cs="Arial"/>
        </w:rPr>
      </w:pPr>
    </w:p>
    <w:p w:rsidR="00DC0553" w:rsidRPr="00A32AF4" w:rsidRDefault="00DC0553" w:rsidP="00DC0553">
      <w:pPr>
        <w:pStyle w:val="ListParagraph"/>
        <w:numPr>
          <w:ilvl w:val="0"/>
          <w:numId w:val="73"/>
        </w:numPr>
        <w:tabs>
          <w:tab w:val="right" w:pos="1134"/>
        </w:tabs>
        <w:spacing w:after="0" w:line="240" w:lineRule="auto"/>
        <w:ind w:left="1134" w:hanging="567"/>
        <w:jc w:val="both"/>
        <w:rPr>
          <w:rFonts w:ascii="Arial" w:hAnsi="Arial" w:cs="Arial"/>
          <w:i/>
        </w:rPr>
      </w:pPr>
      <w:r w:rsidRPr="00A32AF4">
        <w:rPr>
          <w:rFonts w:ascii="Arial" w:hAnsi="Arial" w:cs="Arial"/>
          <w:i/>
        </w:rPr>
        <w:t>Une provision de 1,6 million de francs suisses a été effectuée pour l</w:t>
      </w:r>
      <w:r w:rsidR="00E2055A" w:rsidRPr="00A32AF4">
        <w:rPr>
          <w:rFonts w:ascii="Arial" w:hAnsi="Arial" w:cs="Arial"/>
          <w:i/>
        </w:rPr>
        <w:t>’</w:t>
      </w:r>
      <w:r w:rsidRPr="00A32AF4">
        <w:rPr>
          <w:rFonts w:ascii="Arial" w:hAnsi="Arial" w:cs="Arial"/>
          <w:i/>
        </w:rPr>
        <w:t>augmentation de l</w:t>
      </w:r>
      <w:r w:rsidR="00E2055A" w:rsidRPr="00A32AF4">
        <w:rPr>
          <w:rFonts w:ascii="Arial" w:hAnsi="Arial" w:cs="Arial"/>
          <w:i/>
        </w:rPr>
        <w:t>’</w:t>
      </w:r>
      <w:r w:rsidRPr="00A32AF4">
        <w:rPr>
          <w:rFonts w:ascii="Arial" w:hAnsi="Arial" w:cs="Arial"/>
          <w:i/>
        </w:rPr>
        <w:t>impact du système ERP dans le budget hors dépenses de personnel du programme 22 (Gestion du programme et des ressources).</w:t>
      </w:r>
    </w:p>
    <w:p w:rsidR="00DC0553" w:rsidRPr="00A32AF4" w:rsidRDefault="00DC0553" w:rsidP="00DC0553">
      <w:pPr>
        <w:pStyle w:val="ListParagraph"/>
        <w:tabs>
          <w:tab w:val="left" w:pos="567"/>
          <w:tab w:val="left" w:pos="709"/>
        </w:tabs>
        <w:spacing w:line="240" w:lineRule="auto"/>
        <w:ind w:left="0"/>
        <w:jc w:val="both"/>
        <w:rPr>
          <w:rFonts w:ascii="Arial" w:hAnsi="Arial" w:cs="Arial"/>
          <w:i/>
        </w:rPr>
      </w:pPr>
    </w:p>
    <w:p w:rsidR="00DC0553" w:rsidRPr="00A32AF4" w:rsidRDefault="00DC0553" w:rsidP="00DC0553">
      <w:pPr>
        <w:pStyle w:val="ListParagraph"/>
        <w:numPr>
          <w:ilvl w:val="0"/>
          <w:numId w:val="72"/>
        </w:numPr>
        <w:tabs>
          <w:tab w:val="left" w:pos="567"/>
        </w:tabs>
        <w:spacing w:after="0" w:line="240" w:lineRule="auto"/>
        <w:ind w:left="0" w:firstLine="0"/>
        <w:jc w:val="both"/>
        <w:rPr>
          <w:rFonts w:ascii="Arial" w:hAnsi="Arial"/>
        </w:rPr>
      </w:pPr>
      <w:r w:rsidRPr="00A32AF4">
        <w:rPr>
          <w:rFonts w:ascii="Arial" w:hAnsi="Arial"/>
        </w:rPr>
        <w:t>De nouvelles améliorations ont été apportées aux paramètres d</w:t>
      </w:r>
      <w:r w:rsidR="00E2055A" w:rsidRPr="00A32AF4">
        <w:rPr>
          <w:rFonts w:ascii="Arial" w:hAnsi="Arial"/>
        </w:rPr>
        <w:t>’</w:t>
      </w:r>
      <w:r w:rsidRPr="00A32AF4">
        <w:rPr>
          <w:rFonts w:ascii="Arial" w:hAnsi="Arial"/>
        </w:rPr>
        <w:t xml:space="preserve">évaluation, </w:t>
      </w:r>
      <w:r w:rsidR="00E2055A" w:rsidRPr="00A32AF4">
        <w:rPr>
          <w:rFonts w:ascii="Arial" w:hAnsi="Arial"/>
        </w:rPr>
        <w:t>à savoir</w:t>
      </w:r>
      <w:r w:rsidRPr="00A32AF4">
        <w:rPr>
          <w:rFonts w:ascii="Arial" w:hAnsi="Arial"/>
        </w:rPr>
        <w:t xml:space="preserve"> les indicateurs d</w:t>
      </w:r>
      <w:r w:rsidR="00E2055A" w:rsidRPr="00A32AF4">
        <w:rPr>
          <w:rFonts w:ascii="Arial" w:hAnsi="Arial"/>
        </w:rPr>
        <w:t>’</w:t>
      </w:r>
      <w:r w:rsidRPr="00A32AF4">
        <w:rPr>
          <w:rFonts w:ascii="Arial" w:hAnsi="Arial"/>
        </w:rPr>
        <w:t>exécution, les niveaux de référence et les objectifs visés, conformément aux recommandations issues de l</w:t>
      </w:r>
      <w:r w:rsidR="00E2055A" w:rsidRPr="00A32AF4">
        <w:rPr>
          <w:rFonts w:ascii="Arial" w:hAnsi="Arial"/>
        </w:rPr>
        <w:t>’</w:t>
      </w:r>
      <w:r w:rsidRPr="00A32AF4">
        <w:rPr>
          <w:rFonts w:ascii="Arial" w:hAnsi="Arial"/>
        </w:rPr>
        <w:t>évaluation indépendante effectuée par la Division de la supervision interne et aux améliorations demandées par les États membres concernant le rapport sur l</w:t>
      </w:r>
      <w:r w:rsidR="00E2055A" w:rsidRPr="00A32AF4">
        <w:rPr>
          <w:rFonts w:ascii="Arial" w:hAnsi="Arial"/>
        </w:rPr>
        <w:t>’</w:t>
      </w:r>
      <w:r w:rsidRPr="00A32AF4">
        <w:rPr>
          <w:rFonts w:ascii="Arial" w:hAnsi="Arial"/>
        </w:rPr>
        <w:t>exécution du programme.  Les niveaux de référence dans le programme et budget ont, dans la mesure du possible, été alignés sur les données relatives à l</w:t>
      </w:r>
      <w:r w:rsidR="00E2055A" w:rsidRPr="00A32AF4">
        <w:rPr>
          <w:rFonts w:ascii="Arial" w:hAnsi="Arial"/>
        </w:rPr>
        <w:t>’</w:t>
      </w:r>
      <w:r w:rsidRPr="00A32AF4">
        <w:rPr>
          <w:rFonts w:ascii="Arial" w:hAnsi="Arial"/>
        </w:rPr>
        <w:t>exécution figurant dans le rapport sur l</w:t>
      </w:r>
      <w:r w:rsidR="00E2055A" w:rsidRPr="00A32AF4">
        <w:rPr>
          <w:rFonts w:ascii="Arial" w:hAnsi="Arial"/>
        </w:rPr>
        <w:t>’</w:t>
      </w:r>
      <w:r w:rsidRPr="00A32AF4">
        <w:rPr>
          <w:rFonts w:ascii="Arial" w:hAnsi="Arial"/>
        </w:rPr>
        <w:t>exécution du programme en 2014</w:t>
      </w:r>
      <w:r w:rsidRPr="00A32AF4">
        <w:rPr>
          <w:rStyle w:val="FootnoteReference"/>
          <w:rFonts w:ascii="Arial" w:hAnsi="Arial"/>
        </w:rPr>
        <w:footnoteReference w:id="11"/>
      </w:r>
      <w:r w:rsidRPr="00A32AF4">
        <w:rPr>
          <w:rFonts w:ascii="Arial" w:hAnsi="Arial"/>
        </w:rPr>
        <w:t>.</w:t>
      </w:r>
    </w:p>
    <w:p w:rsidR="00DC0553" w:rsidRPr="00A32AF4" w:rsidRDefault="00DC0553" w:rsidP="00DC0553"/>
    <w:p w:rsidR="00DC0553" w:rsidRPr="00A32AF4" w:rsidRDefault="00DC0553" w:rsidP="00DC0553">
      <w:pPr>
        <w:pStyle w:val="ListParagraph"/>
        <w:numPr>
          <w:ilvl w:val="0"/>
          <w:numId w:val="72"/>
        </w:numPr>
        <w:tabs>
          <w:tab w:val="left" w:pos="567"/>
        </w:tabs>
        <w:spacing w:after="0" w:line="240" w:lineRule="auto"/>
        <w:ind w:left="0" w:firstLine="0"/>
        <w:jc w:val="both"/>
        <w:rPr>
          <w:rFonts w:ascii="Arial" w:hAnsi="Arial"/>
        </w:rPr>
      </w:pPr>
      <w:r w:rsidRPr="00A32AF4">
        <w:rPr>
          <w:rFonts w:ascii="Arial" w:hAnsi="Arial"/>
        </w:rPr>
        <w:t>La mise en œuvre d</w:t>
      </w:r>
      <w:r w:rsidR="00E2055A" w:rsidRPr="00A32AF4">
        <w:rPr>
          <w:rFonts w:ascii="Arial" w:hAnsi="Arial"/>
        </w:rPr>
        <w:t>’</w:t>
      </w:r>
      <w:r w:rsidRPr="00A32AF4">
        <w:rPr>
          <w:rFonts w:ascii="Arial" w:hAnsi="Arial"/>
        </w:rPr>
        <w:t>une procédure de gestion des risques à l</w:t>
      </w:r>
      <w:r w:rsidR="00E2055A" w:rsidRPr="00A32AF4">
        <w:rPr>
          <w:rFonts w:ascii="Arial" w:hAnsi="Arial"/>
        </w:rPr>
        <w:t>’</w:t>
      </w:r>
      <w:r w:rsidRPr="00A32AF4">
        <w:rPr>
          <w:rFonts w:ascii="Arial" w:hAnsi="Arial"/>
        </w:rPr>
        <w:t>échelle de l</w:t>
      </w:r>
      <w:r w:rsidR="00E2055A" w:rsidRPr="00A32AF4">
        <w:rPr>
          <w:rFonts w:ascii="Arial" w:hAnsi="Arial"/>
        </w:rPr>
        <w:t>’</w:t>
      </w:r>
      <w:r w:rsidRPr="00A32AF4">
        <w:rPr>
          <w:rFonts w:ascii="Arial" w:hAnsi="Arial"/>
        </w:rPr>
        <w:t>Organisation s</w:t>
      </w:r>
      <w:r w:rsidR="00E2055A" w:rsidRPr="00A32AF4">
        <w:rPr>
          <w:rFonts w:ascii="Arial" w:hAnsi="Arial"/>
        </w:rPr>
        <w:t>’</w:t>
      </w:r>
      <w:r w:rsidRPr="00A32AF4">
        <w:rPr>
          <w:rFonts w:ascii="Arial" w:hAnsi="Arial"/>
        </w:rPr>
        <w:t>est traduite par une amélioration de la planification et de la compréhension des événements susceptibles d</w:t>
      </w:r>
      <w:r w:rsidR="00E2055A" w:rsidRPr="00A32AF4">
        <w:rPr>
          <w:rFonts w:ascii="Arial" w:hAnsi="Arial"/>
        </w:rPr>
        <w:t>’</w:t>
      </w:r>
      <w:r w:rsidRPr="00A32AF4">
        <w:rPr>
          <w:rFonts w:ascii="Arial" w:hAnsi="Arial"/>
        </w:rPr>
        <w:t>entraver l</w:t>
      </w:r>
      <w:r w:rsidR="00E2055A" w:rsidRPr="00A32AF4">
        <w:rPr>
          <w:rFonts w:ascii="Arial" w:hAnsi="Arial"/>
        </w:rPr>
        <w:t>’</w:t>
      </w:r>
      <w:r w:rsidRPr="00A32AF4">
        <w:rPr>
          <w:rFonts w:ascii="Arial" w:hAnsi="Arial"/>
        </w:rPr>
        <w:t>obtention des résultats escomptés.  Tous les programmes procèdent désormais à des évaluations des risques dans le cadre de la planification biennale et de l</w:t>
      </w:r>
      <w:r w:rsidR="00E2055A" w:rsidRPr="00A32AF4">
        <w:rPr>
          <w:rFonts w:ascii="Arial" w:hAnsi="Arial"/>
        </w:rPr>
        <w:t>’</w:t>
      </w:r>
      <w:r w:rsidRPr="00A32AF4">
        <w:rPr>
          <w:rFonts w:ascii="Arial" w:hAnsi="Arial"/>
        </w:rPr>
        <w:t>élaboration de leurs programmes de travail annuels.  Dans le présent document, les principaux risques et les mesures permettant de les réduire sont détaillés à fin de chaque exposé de programme.</w:t>
      </w:r>
    </w:p>
    <w:p w:rsidR="00F93B76" w:rsidRPr="00A32AF4" w:rsidRDefault="00F93B76" w:rsidP="00B23142"/>
    <w:p w:rsidR="00F93B76" w:rsidRPr="00A32AF4" w:rsidRDefault="00A4309E" w:rsidP="00DC0553">
      <w:pPr>
        <w:rPr>
          <w:rFonts w:cs="Arial"/>
          <w:b/>
          <w:sz w:val="16"/>
          <w:szCs w:val="16"/>
        </w:rPr>
      </w:pPr>
      <w:r w:rsidRPr="00A32AF4">
        <w:rPr>
          <w:rFonts w:cs="Arial"/>
          <w:b/>
          <w:sz w:val="16"/>
          <w:szCs w:val="16"/>
        </w:rPr>
        <w:br w:type="page"/>
      </w:r>
    </w:p>
    <w:p w:rsidR="00DC0553" w:rsidRPr="00A32AF4" w:rsidRDefault="00DC0553" w:rsidP="00DC0553">
      <w:pPr>
        <w:tabs>
          <w:tab w:val="num" w:pos="690"/>
        </w:tabs>
        <w:jc w:val="center"/>
        <w:rPr>
          <w:rFonts w:cs="Arial"/>
          <w:b/>
          <w:szCs w:val="16"/>
        </w:rPr>
      </w:pPr>
      <w:r w:rsidRPr="00A32AF4">
        <w:rPr>
          <w:rFonts w:cs="Arial"/>
          <w:b/>
          <w:szCs w:val="16"/>
        </w:rPr>
        <w:t>Tableau 5.  Budget proposé pour 2016</w:t>
      </w:r>
      <w:r w:rsidR="00EB7F54" w:rsidRPr="00A32AF4">
        <w:rPr>
          <w:rFonts w:cs="Arial"/>
          <w:b/>
          <w:szCs w:val="16"/>
        </w:rPr>
        <w:noBreakHyphen/>
      </w:r>
      <w:r w:rsidRPr="00A32AF4">
        <w:rPr>
          <w:rFonts w:cs="Arial"/>
          <w:b/>
          <w:szCs w:val="16"/>
        </w:rPr>
        <w:t>2017 par objet de dépense</w:t>
      </w:r>
    </w:p>
    <w:p w:rsidR="00DC0553" w:rsidRPr="00A32AF4" w:rsidRDefault="00DC0553" w:rsidP="00DC0553">
      <w:pPr>
        <w:tabs>
          <w:tab w:val="num" w:pos="690"/>
        </w:tabs>
        <w:jc w:val="center"/>
        <w:rPr>
          <w:rFonts w:cs="Arial"/>
          <w:i/>
          <w:szCs w:val="16"/>
        </w:rPr>
      </w:pPr>
      <w:r w:rsidRPr="00A32AF4">
        <w:rPr>
          <w:rFonts w:cs="Arial"/>
          <w:i/>
          <w:szCs w:val="16"/>
        </w:rPr>
        <w:t>(</w:t>
      </w:r>
      <w:proofErr w:type="gramStart"/>
      <w:r w:rsidRPr="00A32AF4">
        <w:rPr>
          <w:rFonts w:cs="Arial"/>
          <w:i/>
          <w:szCs w:val="16"/>
        </w:rPr>
        <w:t>en</w:t>
      </w:r>
      <w:proofErr w:type="gramEnd"/>
      <w:r w:rsidRPr="00A32AF4">
        <w:rPr>
          <w:rFonts w:cs="Arial"/>
          <w:i/>
          <w:szCs w:val="16"/>
        </w:rPr>
        <w:t xml:space="preserve"> milliers de francs suisses)</w:t>
      </w:r>
    </w:p>
    <w:p w:rsidR="00F93B76" w:rsidRPr="00A32AF4" w:rsidRDefault="00F93B76" w:rsidP="00DC0553">
      <w:pPr>
        <w:tabs>
          <w:tab w:val="num" w:pos="690"/>
        </w:tabs>
        <w:jc w:val="both"/>
        <w:rPr>
          <w:rFonts w:eastAsia="SimSun" w:cs="Arial"/>
          <w:color w:val="000000"/>
          <w:lang w:eastAsia="zh-CN"/>
        </w:rPr>
      </w:pPr>
    </w:p>
    <w:p w:rsidR="00F93B76" w:rsidRPr="00A32AF4" w:rsidRDefault="00B07844" w:rsidP="00DC0553">
      <w:pPr>
        <w:tabs>
          <w:tab w:val="num" w:pos="690"/>
        </w:tabs>
        <w:jc w:val="center"/>
        <w:rPr>
          <w:rFonts w:eastAsia="SimSun"/>
        </w:rPr>
      </w:pPr>
      <w:r w:rsidRPr="00A32AF4">
        <w:rPr>
          <w:noProof/>
          <w:lang w:eastAsia="fr-FR"/>
        </w:rPr>
        <w:drawing>
          <wp:inline distT="0" distB="0" distL="0" distR="0" wp14:anchorId="015450D0" wp14:editId="1AACDEB5">
            <wp:extent cx="5760085" cy="622352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0085" cy="6223520"/>
                    </a:xfrm>
                    <a:prstGeom prst="rect">
                      <a:avLst/>
                    </a:prstGeom>
                    <a:noFill/>
                    <a:ln>
                      <a:noFill/>
                    </a:ln>
                  </pic:spPr>
                </pic:pic>
              </a:graphicData>
            </a:graphic>
          </wp:inline>
        </w:drawing>
      </w:r>
    </w:p>
    <w:p w:rsidR="00DC0553" w:rsidRPr="00A32AF4" w:rsidRDefault="00DC0553" w:rsidP="00DC0553">
      <w:pPr>
        <w:tabs>
          <w:tab w:val="num" w:pos="690"/>
        </w:tabs>
        <w:rPr>
          <w:rFonts w:eastAsia="SimSun" w:cs="Arial"/>
          <w:i/>
          <w:sz w:val="16"/>
          <w:szCs w:val="14"/>
        </w:rPr>
      </w:pPr>
      <w:proofErr w:type="gramStart"/>
      <w:r w:rsidRPr="00A32AF4">
        <w:rPr>
          <w:rFonts w:eastAsia="SimSun" w:cs="Arial"/>
          <w:i/>
          <w:sz w:val="16"/>
          <w:szCs w:val="14"/>
        </w:rPr>
        <w:t>Notes</w:t>
      </w:r>
      <w:proofErr w:type="gramEnd"/>
      <w:r w:rsidRPr="00A32AF4">
        <w:rPr>
          <w:rFonts w:eastAsia="SimSun" w:cs="Arial"/>
          <w:i/>
          <w:sz w:val="16"/>
          <w:szCs w:val="14"/>
        </w:rPr>
        <w:t> </w:t>
      </w:r>
      <w:r w:rsidRPr="00A32AF4">
        <w:rPr>
          <w:rFonts w:eastAsia="SimSun"/>
          <w:i/>
          <w:sz w:val="16"/>
        </w:rPr>
        <w:t>:</w:t>
      </w:r>
    </w:p>
    <w:p w:rsidR="00DC0553" w:rsidRPr="00A32AF4" w:rsidRDefault="00DC0553" w:rsidP="00DC0553">
      <w:pPr>
        <w:pStyle w:val="ListParagraph"/>
        <w:numPr>
          <w:ilvl w:val="0"/>
          <w:numId w:val="74"/>
        </w:numPr>
        <w:spacing w:after="60" w:line="240" w:lineRule="auto"/>
        <w:ind w:left="181" w:hanging="181"/>
        <w:rPr>
          <w:rFonts w:ascii="Arial" w:eastAsia="SimSun" w:hAnsi="Arial" w:cs="Arial"/>
          <w:i/>
          <w:sz w:val="16"/>
          <w:szCs w:val="14"/>
        </w:rPr>
      </w:pPr>
      <w:proofErr w:type="gramStart"/>
      <w:r w:rsidRPr="00A32AF4">
        <w:rPr>
          <w:rFonts w:ascii="Arial" w:eastAsia="SimSun" w:hAnsi="Arial" w:cs="Arial"/>
          <w:i/>
          <w:sz w:val="16"/>
          <w:szCs w:val="14"/>
        </w:rPr>
        <w:t>Le budget 2014</w:t>
      </w:r>
      <w:r w:rsidR="00EB7F54" w:rsidRPr="00A32AF4">
        <w:rPr>
          <w:rFonts w:ascii="Arial" w:eastAsia="SimSun" w:hAnsi="Arial" w:cs="Arial"/>
          <w:i/>
          <w:sz w:val="16"/>
          <w:szCs w:val="14"/>
        </w:rPr>
        <w:noBreakHyphen/>
      </w:r>
      <w:r w:rsidRPr="00A32AF4">
        <w:rPr>
          <w:rFonts w:ascii="Arial" w:eastAsia="SimSun" w:hAnsi="Arial" w:cs="Arial"/>
          <w:i/>
          <w:sz w:val="16"/>
          <w:szCs w:val="14"/>
        </w:rPr>
        <w:t>2015 après virements tient compte des virements effectués pour répondre aux besoins durant l</w:t>
      </w:r>
      <w:r w:rsidR="00E2055A" w:rsidRPr="00A32AF4">
        <w:rPr>
          <w:rFonts w:ascii="Arial" w:eastAsia="SimSun" w:hAnsi="Arial" w:cs="Arial"/>
          <w:i/>
          <w:sz w:val="16"/>
          <w:szCs w:val="14"/>
        </w:rPr>
        <w:t>’</w:t>
      </w:r>
      <w:r w:rsidRPr="00A32AF4">
        <w:rPr>
          <w:rFonts w:ascii="Arial" w:eastAsia="SimSun" w:hAnsi="Arial" w:cs="Arial"/>
          <w:i/>
          <w:sz w:val="16"/>
          <w:szCs w:val="14"/>
        </w:rPr>
        <w:t>exercice biennal 2014</w:t>
      </w:r>
      <w:r w:rsidR="00EB7F54" w:rsidRPr="00A32AF4">
        <w:rPr>
          <w:rFonts w:ascii="Arial" w:eastAsia="SimSun" w:hAnsi="Arial" w:cs="Arial"/>
          <w:i/>
          <w:sz w:val="16"/>
          <w:szCs w:val="14"/>
        </w:rPr>
        <w:noBreakHyphen/>
      </w:r>
      <w:r w:rsidRPr="00A32AF4">
        <w:rPr>
          <w:rFonts w:ascii="Arial" w:eastAsia="SimSun" w:hAnsi="Arial" w:cs="Arial"/>
          <w:i/>
          <w:sz w:val="16"/>
          <w:szCs w:val="14"/>
        </w:rPr>
        <w:t>2015 conformément à l</w:t>
      </w:r>
      <w:r w:rsidR="00E2055A" w:rsidRPr="00A32AF4">
        <w:rPr>
          <w:rFonts w:ascii="Arial" w:eastAsia="SimSun" w:hAnsi="Arial" w:cs="Arial"/>
          <w:i/>
          <w:sz w:val="16"/>
          <w:szCs w:val="14"/>
        </w:rPr>
        <w:t>’</w:t>
      </w:r>
      <w:r w:rsidRPr="00A32AF4">
        <w:rPr>
          <w:rFonts w:ascii="Arial" w:eastAsia="SimSun" w:hAnsi="Arial" w:cs="Arial"/>
          <w:i/>
          <w:sz w:val="16"/>
          <w:szCs w:val="14"/>
        </w:rPr>
        <w:t>article 5.5 du Règlement financier : “Le Directeur général peut procéder à des virements d</w:t>
      </w:r>
      <w:r w:rsidR="00E2055A" w:rsidRPr="00A32AF4">
        <w:rPr>
          <w:rFonts w:ascii="Arial" w:eastAsia="SimSun" w:hAnsi="Arial" w:cs="Arial"/>
          <w:i/>
          <w:sz w:val="16"/>
          <w:szCs w:val="14"/>
        </w:rPr>
        <w:t>’</w:t>
      </w:r>
      <w:r w:rsidRPr="00A32AF4">
        <w:rPr>
          <w:rFonts w:ascii="Arial" w:eastAsia="SimSun" w:hAnsi="Arial" w:cs="Arial"/>
          <w:i/>
          <w:sz w:val="16"/>
          <w:szCs w:val="14"/>
        </w:rPr>
        <w:t>un programme du programme et budget à un autre pour chaque exercice financier à raison d</w:t>
      </w:r>
      <w:r w:rsidR="00E2055A" w:rsidRPr="00A32AF4">
        <w:rPr>
          <w:rFonts w:ascii="Arial" w:eastAsia="SimSun" w:hAnsi="Arial" w:cs="Arial"/>
          <w:i/>
          <w:sz w:val="16"/>
          <w:szCs w:val="14"/>
        </w:rPr>
        <w:t>’</w:t>
      </w:r>
      <w:r w:rsidRPr="00A32AF4">
        <w:rPr>
          <w:rFonts w:ascii="Arial" w:eastAsia="SimSun" w:hAnsi="Arial" w:cs="Arial"/>
          <w:i/>
          <w:sz w:val="16"/>
          <w:szCs w:val="14"/>
        </w:rPr>
        <w:t>un maximum de 5% du montant correspondant à la dotation biennale du programme bénéficiaire ou de 1% du budget total, le montant le plus élevé étant retenu, lorsque ces virements sont nécessaires au bon fonctionnement des services”.</w:t>
      </w:r>
      <w:proofErr w:type="gramEnd"/>
      <w:r w:rsidRPr="00A32AF4">
        <w:rPr>
          <w:rFonts w:ascii="Arial" w:eastAsia="SimSun" w:hAnsi="Arial"/>
          <w:i/>
          <w:sz w:val="16"/>
        </w:rPr>
        <w:t xml:space="preserve">  </w:t>
      </w:r>
      <w:r w:rsidRPr="00A32AF4">
        <w:rPr>
          <w:rFonts w:ascii="Arial" w:eastAsia="SimSun" w:hAnsi="Arial" w:cs="Arial"/>
          <w:i/>
          <w:sz w:val="16"/>
          <w:szCs w:val="14"/>
        </w:rPr>
        <w:t>Le budget 2014</w:t>
      </w:r>
      <w:r w:rsidR="00EB7F54" w:rsidRPr="00A32AF4">
        <w:rPr>
          <w:rFonts w:ascii="Arial" w:eastAsia="SimSun" w:hAnsi="Arial" w:cs="Arial"/>
          <w:i/>
          <w:sz w:val="16"/>
          <w:szCs w:val="14"/>
        </w:rPr>
        <w:noBreakHyphen/>
      </w:r>
      <w:r w:rsidRPr="00A32AF4">
        <w:rPr>
          <w:rFonts w:ascii="Arial" w:eastAsia="SimSun" w:hAnsi="Arial" w:cs="Arial"/>
          <w:i/>
          <w:sz w:val="16"/>
          <w:szCs w:val="14"/>
        </w:rPr>
        <w:t>2015 après virements est daté du 31 mars 2015.</w:t>
      </w:r>
    </w:p>
    <w:p w:rsidR="00E2055A" w:rsidRPr="00A32AF4" w:rsidRDefault="00DC0553" w:rsidP="00DC0553">
      <w:pPr>
        <w:pStyle w:val="ListParagraph"/>
        <w:numPr>
          <w:ilvl w:val="0"/>
          <w:numId w:val="74"/>
        </w:numPr>
        <w:spacing w:after="0" w:line="240" w:lineRule="auto"/>
        <w:ind w:left="180" w:hanging="180"/>
        <w:rPr>
          <w:rFonts w:ascii="Arial" w:eastAsia="SimSun" w:hAnsi="Arial"/>
          <w:i/>
          <w:sz w:val="16"/>
        </w:rPr>
      </w:pPr>
      <w:r w:rsidRPr="00A32AF4">
        <w:rPr>
          <w:rFonts w:ascii="Arial" w:eastAsia="SimSun" w:hAnsi="Arial" w:cs="Arial"/>
          <w:i/>
          <w:sz w:val="16"/>
          <w:szCs w:val="14"/>
        </w:rPr>
        <w:t>Les modifications des catégories de dépenses entre les exercices biennaux 2014</w:t>
      </w:r>
      <w:r w:rsidR="00EB7F54" w:rsidRPr="00A32AF4">
        <w:rPr>
          <w:rFonts w:ascii="Arial" w:eastAsia="SimSun" w:hAnsi="Arial" w:cs="Arial"/>
          <w:i/>
          <w:sz w:val="16"/>
          <w:szCs w:val="14"/>
        </w:rPr>
        <w:noBreakHyphen/>
      </w:r>
      <w:r w:rsidRPr="00A32AF4">
        <w:rPr>
          <w:rFonts w:ascii="Arial" w:eastAsia="SimSun" w:hAnsi="Arial" w:cs="Arial"/>
          <w:i/>
          <w:sz w:val="16"/>
          <w:szCs w:val="14"/>
        </w:rPr>
        <w:t>2015 et 2016</w:t>
      </w:r>
      <w:r w:rsidR="00EB7F54" w:rsidRPr="00A32AF4">
        <w:rPr>
          <w:rFonts w:ascii="Arial" w:eastAsia="SimSun" w:hAnsi="Arial" w:cs="Arial"/>
          <w:i/>
          <w:sz w:val="16"/>
          <w:szCs w:val="14"/>
        </w:rPr>
        <w:noBreakHyphen/>
      </w:r>
      <w:r w:rsidRPr="00A32AF4">
        <w:rPr>
          <w:rFonts w:ascii="Arial" w:eastAsia="SimSun" w:hAnsi="Arial" w:cs="Arial"/>
          <w:i/>
          <w:sz w:val="16"/>
          <w:szCs w:val="14"/>
        </w:rPr>
        <w:t>2017 sont expliquées dans la section “Modifications des catégories de dépenses” ci</w:t>
      </w:r>
      <w:r w:rsidR="00EB7F54" w:rsidRPr="00A32AF4">
        <w:rPr>
          <w:rFonts w:ascii="Arial" w:eastAsia="SimSun" w:hAnsi="Arial" w:cs="Arial"/>
          <w:i/>
          <w:sz w:val="16"/>
          <w:szCs w:val="14"/>
        </w:rPr>
        <w:noBreakHyphen/>
      </w:r>
      <w:r w:rsidRPr="00A32AF4">
        <w:rPr>
          <w:rFonts w:ascii="Arial" w:eastAsia="SimSun" w:hAnsi="Arial" w:cs="Arial"/>
          <w:i/>
          <w:sz w:val="16"/>
          <w:szCs w:val="14"/>
        </w:rPr>
        <w:t>dessous.</w:t>
      </w:r>
    </w:p>
    <w:p w:rsidR="00F93B76" w:rsidRPr="00A32AF4" w:rsidRDefault="00F93B76" w:rsidP="00DC0553">
      <w:pPr>
        <w:rPr>
          <w:rFonts w:eastAsia="SimSun"/>
        </w:rPr>
      </w:pPr>
    </w:p>
    <w:p w:rsidR="00F93B76" w:rsidRPr="00A32AF4" w:rsidRDefault="00F93B76" w:rsidP="00DC0553">
      <w:pPr>
        <w:rPr>
          <w:rFonts w:eastAsia="SimSun"/>
        </w:rPr>
      </w:pPr>
    </w:p>
    <w:p w:rsidR="00DC0553" w:rsidRPr="00A32AF4" w:rsidRDefault="00DC0553" w:rsidP="00FB1F61">
      <w:pPr>
        <w:pStyle w:val="Heading3"/>
      </w:pPr>
      <w:bookmarkStart w:id="10" w:name="_Toc420062039"/>
      <w:bookmarkStart w:id="11" w:name="_Toc431555430"/>
      <w:r w:rsidRPr="00A32AF4">
        <w:t>Autres ressources</w:t>
      </w:r>
      <w:bookmarkEnd w:id="10"/>
      <w:bookmarkEnd w:id="11"/>
    </w:p>
    <w:p w:rsidR="00DC0553" w:rsidRPr="00A32AF4" w:rsidRDefault="00DC0553" w:rsidP="00420ED3">
      <w:pPr>
        <w:keepNext/>
        <w:keepLines/>
        <w:rPr>
          <w:rFonts w:eastAsia="SimSun"/>
        </w:rPr>
      </w:pPr>
    </w:p>
    <w:p w:rsidR="00DC0553" w:rsidRPr="00A32AF4" w:rsidRDefault="00DC0553" w:rsidP="00420ED3">
      <w:pPr>
        <w:pStyle w:val="ListParagraph"/>
        <w:keepNext/>
        <w:keepLines/>
        <w:numPr>
          <w:ilvl w:val="0"/>
          <w:numId w:val="72"/>
        </w:numPr>
        <w:tabs>
          <w:tab w:val="left" w:pos="567"/>
        </w:tabs>
        <w:spacing w:after="0" w:line="240" w:lineRule="auto"/>
        <w:ind w:left="0" w:firstLine="0"/>
        <w:jc w:val="both"/>
        <w:rPr>
          <w:rFonts w:ascii="Arial" w:eastAsia="SimSun" w:hAnsi="Arial" w:cs="Arial"/>
          <w:lang w:eastAsia="zh-CN"/>
        </w:rPr>
      </w:pPr>
      <w:r w:rsidRPr="00A32AF4">
        <w:rPr>
          <w:rFonts w:ascii="Arial" w:eastAsia="SimSun" w:hAnsi="Arial" w:cs="Arial"/>
          <w:lang w:eastAsia="zh-CN"/>
        </w:rPr>
        <w:t>Le montant des dépenses autres que les dépenses de personnel prévu pour 2016</w:t>
      </w:r>
      <w:r w:rsidR="00EB7F54" w:rsidRPr="00A32AF4">
        <w:rPr>
          <w:rFonts w:ascii="Arial" w:eastAsia="SimSun" w:hAnsi="Arial" w:cs="Arial"/>
          <w:lang w:eastAsia="zh-CN"/>
        </w:rPr>
        <w:noBreakHyphen/>
      </w:r>
      <w:r w:rsidRPr="00A32AF4">
        <w:rPr>
          <w:rFonts w:ascii="Arial" w:eastAsia="SimSun" w:hAnsi="Arial" w:cs="Arial"/>
          <w:lang w:eastAsia="zh-CN"/>
        </w:rPr>
        <w:t xml:space="preserve">2017 </w:t>
      </w:r>
      <w:proofErr w:type="gramStart"/>
      <w:r w:rsidRPr="00A32AF4">
        <w:rPr>
          <w:rFonts w:ascii="Arial" w:eastAsia="SimSun" w:hAnsi="Arial" w:cs="Arial"/>
          <w:lang w:eastAsia="zh-CN"/>
        </w:rPr>
        <w:t>augmente</w:t>
      </w:r>
      <w:proofErr w:type="gramEnd"/>
      <w:r w:rsidRPr="00A32AF4">
        <w:rPr>
          <w:rFonts w:ascii="Arial" w:eastAsia="SimSun" w:hAnsi="Arial" w:cs="Arial"/>
          <w:lang w:eastAsia="zh-CN"/>
        </w:rPr>
        <w:t xml:space="preserve"> de 22,8 millions de francs suisses, soit 10%, par rapport au budget 2014</w:t>
      </w:r>
      <w:r w:rsidR="00EB7F54" w:rsidRPr="00A32AF4">
        <w:rPr>
          <w:rFonts w:ascii="Arial" w:eastAsia="SimSun" w:hAnsi="Arial" w:cs="Arial"/>
          <w:lang w:eastAsia="zh-CN"/>
        </w:rPr>
        <w:noBreakHyphen/>
      </w:r>
      <w:r w:rsidRPr="00A32AF4">
        <w:rPr>
          <w:rFonts w:ascii="Arial" w:eastAsia="SimSun" w:hAnsi="Arial" w:cs="Arial"/>
          <w:lang w:eastAsia="zh-CN"/>
        </w:rPr>
        <w:t xml:space="preserve">2015 </w:t>
      </w:r>
      <w:r w:rsidR="002841E4" w:rsidRPr="00A32AF4">
        <w:rPr>
          <w:rFonts w:ascii="Arial" w:eastAsia="SimSun" w:hAnsi="Arial" w:cs="Arial"/>
          <w:lang w:eastAsia="zh-CN"/>
        </w:rPr>
        <w:t>approuvé</w:t>
      </w:r>
      <w:r w:rsidRPr="00A32AF4">
        <w:rPr>
          <w:rFonts w:ascii="Arial" w:eastAsia="SimSun" w:hAnsi="Arial" w:cs="Arial"/>
          <w:lang w:eastAsia="zh-CN"/>
        </w:rPr>
        <w:t>.  Toutefois, par rapport au budget 2012</w:t>
      </w:r>
      <w:r w:rsidR="00EB7F54" w:rsidRPr="00A32AF4">
        <w:rPr>
          <w:rFonts w:ascii="Arial" w:eastAsia="SimSun" w:hAnsi="Arial" w:cs="Arial"/>
          <w:lang w:eastAsia="zh-CN"/>
        </w:rPr>
        <w:noBreakHyphen/>
      </w:r>
      <w:r w:rsidRPr="00A32AF4">
        <w:rPr>
          <w:rFonts w:ascii="Arial" w:eastAsia="SimSun" w:hAnsi="Arial" w:cs="Arial"/>
          <w:lang w:eastAsia="zh-CN"/>
        </w:rPr>
        <w:t>2013 hors dépenses de personnel approuvé</w:t>
      </w:r>
      <w:r w:rsidRPr="00A32AF4">
        <w:rPr>
          <w:rStyle w:val="FootnoteReference"/>
          <w:rFonts w:ascii="Arial" w:eastAsia="SimSun" w:hAnsi="Arial" w:cs="Arial"/>
          <w:lang w:eastAsia="zh-CN"/>
        </w:rPr>
        <w:footnoteReference w:id="12"/>
      </w:r>
      <w:r w:rsidRPr="00A32AF4">
        <w:rPr>
          <w:rFonts w:ascii="Arial" w:eastAsia="SimSun" w:hAnsi="Arial" w:cs="Arial"/>
          <w:lang w:eastAsia="zh-CN"/>
        </w:rPr>
        <w:t>, il représente une augmentation de 4,9% seulement.</w:t>
      </w:r>
    </w:p>
    <w:p w:rsidR="00DC0553" w:rsidRPr="00A32AF4" w:rsidRDefault="00DC0553" w:rsidP="00DC0553">
      <w:pPr>
        <w:tabs>
          <w:tab w:val="num" w:pos="690"/>
        </w:tabs>
        <w:autoSpaceDE w:val="0"/>
        <w:autoSpaceDN w:val="0"/>
        <w:adjustRightInd w:val="0"/>
        <w:jc w:val="both"/>
        <w:rPr>
          <w:rFonts w:eastAsia="SimSun" w:cs="Arial"/>
          <w:lang w:eastAsia="zh-CN"/>
        </w:rPr>
      </w:pPr>
    </w:p>
    <w:p w:rsidR="00DC0553" w:rsidRPr="00A32AF4" w:rsidRDefault="00DC0553" w:rsidP="00DC0553">
      <w:pPr>
        <w:pStyle w:val="ListParagraph"/>
        <w:numPr>
          <w:ilvl w:val="0"/>
          <w:numId w:val="72"/>
        </w:numPr>
        <w:tabs>
          <w:tab w:val="left" w:pos="567"/>
        </w:tabs>
        <w:spacing w:after="0" w:line="240" w:lineRule="auto"/>
        <w:ind w:left="0" w:firstLine="0"/>
        <w:jc w:val="both"/>
        <w:rPr>
          <w:rFonts w:ascii="Arial" w:eastAsia="SimSun" w:hAnsi="Arial" w:cs="Arial"/>
          <w:lang w:eastAsia="zh-CN"/>
        </w:rPr>
      </w:pPr>
      <w:r w:rsidRPr="00A32AF4">
        <w:rPr>
          <w:rFonts w:ascii="Arial" w:eastAsia="SimSun" w:hAnsi="Arial" w:cs="Arial"/>
          <w:lang w:eastAsia="zh-CN"/>
        </w:rPr>
        <w:t>L</w:t>
      </w:r>
      <w:r w:rsidR="00E2055A" w:rsidRPr="00A32AF4">
        <w:rPr>
          <w:rFonts w:ascii="Arial" w:eastAsia="SimSun" w:hAnsi="Arial" w:cs="Arial"/>
          <w:lang w:eastAsia="zh-CN"/>
        </w:rPr>
        <w:t>’</w:t>
      </w:r>
      <w:r w:rsidRPr="00A32AF4">
        <w:rPr>
          <w:rFonts w:ascii="Arial" w:eastAsia="SimSun" w:hAnsi="Arial" w:cs="Arial"/>
          <w:lang w:eastAsia="zh-CN"/>
        </w:rPr>
        <w:t>augmentation des dépenses autres que les dépenses de personnel s</w:t>
      </w:r>
      <w:r w:rsidR="00E2055A" w:rsidRPr="00A32AF4">
        <w:rPr>
          <w:rFonts w:ascii="Arial" w:eastAsia="SimSun" w:hAnsi="Arial" w:cs="Arial"/>
          <w:lang w:eastAsia="zh-CN"/>
        </w:rPr>
        <w:t>’</w:t>
      </w:r>
      <w:r w:rsidRPr="00A32AF4">
        <w:rPr>
          <w:rFonts w:ascii="Arial" w:eastAsia="SimSun" w:hAnsi="Arial" w:cs="Arial"/>
          <w:lang w:eastAsia="zh-CN"/>
        </w:rPr>
        <w:t>est inscrite dans le cadre d</w:t>
      </w:r>
      <w:r w:rsidR="00E2055A" w:rsidRPr="00A32AF4">
        <w:rPr>
          <w:rFonts w:ascii="Arial" w:eastAsia="SimSun" w:hAnsi="Arial" w:cs="Arial"/>
          <w:lang w:eastAsia="zh-CN"/>
        </w:rPr>
        <w:t>’</w:t>
      </w:r>
      <w:r w:rsidRPr="00A32AF4">
        <w:rPr>
          <w:rFonts w:ascii="Arial" w:eastAsia="SimSun" w:hAnsi="Arial" w:cs="Arial"/>
          <w:lang w:eastAsia="zh-CN"/>
        </w:rPr>
        <w:t>une stratégie délibérée de passage à un schéma des ressources plus souple permettant une maîtrise des dépenses de personnel.</w:t>
      </w:r>
    </w:p>
    <w:p w:rsidR="00DC0553" w:rsidRPr="00A32AF4" w:rsidRDefault="00DC0553" w:rsidP="00DC0553">
      <w:pPr>
        <w:tabs>
          <w:tab w:val="num" w:pos="690"/>
        </w:tabs>
        <w:jc w:val="both"/>
        <w:rPr>
          <w:rFonts w:eastAsia="SimSun" w:cs="Arial"/>
          <w:lang w:eastAsia="zh-CN"/>
        </w:rPr>
      </w:pPr>
    </w:p>
    <w:p w:rsidR="00DC0553" w:rsidRPr="00A32AF4" w:rsidRDefault="00DC0553" w:rsidP="00DC0553">
      <w:pPr>
        <w:pStyle w:val="ListParagraph"/>
        <w:numPr>
          <w:ilvl w:val="0"/>
          <w:numId w:val="72"/>
        </w:numPr>
        <w:tabs>
          <w:tab w:val="left" w:pos="567"/>
        </w:tabs>
        <w:spacing w:after="0" w:line="240" w:lineRule="auto"/>
        <w:ind w:left="0" w:firstLine="0"/>
        <w:jc w:val="both"/>
        <w:rPr>
          <w:rFonts w:ascii="Arial" w:eastAsia="SimSun" w:hAnsi="Arial" w:cs="Arial"/>
          <w:lang w:eastAsia="zh-CN"/>
        </w:rPr>
      </w:pPr>
      <w:r w:rsidRPr="00A32AF4">
        <w:rPr>
          <w:rFonts w:ascii="Arial" w:eastAsia="SimSun" w:hAnsi="Arial" w:cs="Arial"/>
          <w:lang w:eastAsia="zh-CN"/>
        </w:rPr>
        <w:t>L</w:t>
      </w:r>
      <w:r w:rsidR="00E2055A" w:rsidRPr="00A32AF4">
        <w:rPr>
          <w:rFonts w:ascii="Arial" w:eastAsia="SimSun" w:hAnsi="Arial" w:cs="Arial"/>
          <w:lang w:eastAsia="zh-CN"/>
        </w:rPr>
        <w:t>’</w:t>
      </w:r>
      <w:r w:rsidRPr="00A32AF4">
        <w:rPr>
          <w:rFonts w:ascii="Arial" w:eastAsia="SimSun" w:hAnsi="Arial" w:cs="Arial"/>
          <w:lang w:eastAsia="zh-CN"/>
        </w:rPr>
        <w:t>augmentation des dépenses autres que les dépenses de personnel est essentiellement due aux facteurs suivants :</w:t>
      </w:r>
    </w:p>
    <w:p w:rsidR="00DC0553" w:rsidRPr="00A32AF4" w:rsidRDefault="00DC0553" w:rsidP="00DC0553">
      <w:pPr>
        <w:pStyle w:val="ListParagraph"/>
        <w:spacing w:line="240" w:lineRule="auto"/>
        <w:rPr>
          <w:rFonts w:ascii="Arial" w:eastAsia="SimSun" w:hAnsi="Arial" w:cs="Arial"/>
          <w:lang w:eastAsia="zh-CN"/>
        </w:rPr>
      </w:pPr>
    </w:p>
    <w:p w:rsidR="00DC0553" w:rsidRPr="00A32AF4" w:rsidRDefault="00DC0553" w:rsidP="00DC0553">
      <w:pPr>
        <w:pStyle w:val="ListParagraph"/>
        <w:numPr>
          <w:ilvl w:val="0"/>
          <w:numId w:val="73"/>
        </w:numPr>
        <w:tabs>
          <w:tab w:val="right" w:pos="1134"/>
        </w:tabs>
        <w:spacing w:after="240" w:line="240" w:lineRule="auto"/>
        <w:ind w:left="1134" w:hanging="567"/>
        <w:jc w:val="both"/>
        <w:rPr>
          <w:rFonts w:ascii="Arial" w:eastAsia="SimSun" w:hAnsi="Arial" w:cs="Arial"/>
          <w:lang w:eastAsia="zh-CN"/>
        </w:rPr>
      </w:pPr>
      <w:r w:rsidRPr="00A32AF4">
        <w:rPr>
          <w:rFonts w:ascii="Arial" w:eastAsia="SimSun" w:hAnsi="Arial" w:cs="Arial"/>
          <w:lang w:eastAsia="zh-CN"/>
        </w:rPr>
        <w:t>Augmentation des volumes de traduction du PCT</w:t>
      </w:r>
    </w:p>
    <w:p w:rsidR="00DC0553" w:rsidRPr="00A32AF4" w:rsidRDefault="00DC0553" w:rsidP="00DC0553">
      <w:pPr>
        <w:pStyle w:val="ListParagraph"/>
        <w:tabs>
          <w:tab w:val="right" w:pos="1134"/>
        </w:tabs>
        <w:spacing w:after="220" w:line="240" w:lineRule="auto"/>
        <w:ind w:left="1134"/>
        <w:jc w:val="both"/>
        <w:rPr>
          <w:rFonts w:ascii="Arial" w:eastAsia="SimSun" w:hAnsi="Arial" w:cs="Arial"/>
          <w:lang w:eastAsia="zh-CN"/>
        </w:rPr>
      </w:pPr>
    </w:p>
    <w:p w:rsidR="00DC0553" w:rsidRPr="00A32AF4" w:rsidRDefault="00DC0553" w:rsidP="00DC0553">
      <w:pPr>
        <w:pStyle w:val="ListParagraph"/>
        <w:numPr>
          <w:ilvl w:val="0"/>
          <w:numId w:val="75"/>
        </w:numPr>
        <w:spacing w:after="120" w:line="240" w:lineRule="auto"/>
        <w:ind w:left="1985" w:hanging="425"/>
        <w:jc w:val="both"/>
        <w:rPr>
          <w:rFonts w:ascii="Arial" w:eastAsia="SimSun" w:hAnsi="Arial" w:cs="Arial"/>
          <w:i/>
          <w:lang w:eastAsia="zh-CN"/>
        </w:rPr>
      </w:pPr>
      <w:r w:rsidRPr="00A32AF4">
        <w:rPr>
          <w:rFonts w:ascii="Arial" w:eastAsia="SimSun" w:hAnsi="Arial" w:cs="Arial"/>
          <w:i/>
          <w:lang w:eastAsia="zh-CN"/>
        </w:rPr>
        <w:t>Coûts de traduction additionnels estimés à 4,2 millions de francs suisses (pris en considération dans le programme 5 – Système du PCT)</w:t>
      </w:r>
    </w:p>
    <w:p w:rsidR="00DC0553" w:rsidRPr="00A32AF4" w:rsidRDefault="00DC0553" w:rsidP="00B23142">
      <w:pPr>
        <w:pStyle w:val="ListParagraph"/>
        <w:spacing w:after="120" w:line="240" w:lineRule="auto"/>
        <w:ind w:left="1134"/>
        <w:jc w:val="both"/>
        <w:rPr>
          <w:rFonts w:ascii="Arial" w:eastAsia="SimSun" w:hAnsi="Arial" w:cs="Arial"/>
          <w:lang w:eastAsia="zh-CN"/>
        </w:rPr>
      </w:pPr>
    </w:p>
    <w:p w:rsidR="00DC0553" w:rsidRPr="00A32AF4" w:rsidRDefault="00DC0553" w:rsidP="00DC0553">
      <w:pPr>
        <w:pStyle w:val="ListParagraph"/>
        <w:numPr>
          <w:ilvl w:val="0"/>
          <w:numId w:val="73"/>
        </w:numPr>
        <w:tabs>
          <w:tab w:val="right" w:pos="1134"/>
        </w:tabs>
        <w:spacing w:after="0" w:line="240" w:lineRule="auto"/>
        <w:ind w:left="1134" w:hanging="567"/>
        <w:jc w:val="both"/>
        <w:rPr>
          <w:rFonts w:ascii="Arial" w:eastAsia="SimSun" w:hAnsi="Arial" w:cs="Arial"/>
          <w:lang w:eastAsia="zh-CN"/>
        </w:rPr>
      </w:pPr>
      <w:r w:rsidRPr="00A32AF4">
        <w:rPr>
          <w:rFonts w:ascii="Arial" w:eastAsia="SimSun" w:hAnsi="Arial" w:cs="Arial"/>
          <w:lang w:eastAsia="zh-CN"/>
        </w:rPr>
        <w:t>Augmentation du nombre de membres du système de Madrid et des économies d</w:t>
      </w:r>
      <w:r w:rsidR="00E2055A" w:rsidRPr="00A32AF4">
        <w:rPr>
          <w:rFonts w:ascii="Arial" w:eastAsia="SimSun" w:hAnsi="Arial" w:cs="Arial"/>
          <w:lang w:eastAsia="zh-CN"/>
        </w:rPr>
        <w:t>’</w:t>
      </w:r>
      <w:r w:rsidRPr="00A32AF4">
        <w:rPr>
          <w:rFonts w:ascii="Arial" w:eastAsia="SimSun" w:hAnsi="Arial" w:cs="Arial"/>
          <w:lang w:eastAsia="zh-CN"/>
        </w:rPr>
        <w:t>exploitation du système</w:t>
      </w:r>
    </w:p>
    <w:p w:rsidR="00DC0553" w:rsidRPr="00A32AF4" w:rsidRDefault="00DC0553" w:rsidP="00DC0553">
      <w:pPr>
        <w:pStyle w:val="ListParagraph"/>
        <w:tabs>
          <w:tab w:val="right" w:pos="1134"/>
        </w:tabs>
        <w:spacing w:after="220" w:line="240" w:lineRule="auto"/>
        <w:ind w:left="1134"/>
        <w:jc w:val="both"/>
        <w:rPr>
          <w:rFonts w:ascii="Arial" w:eastAsia="SimSun" w:hAnsi="Arial" w:cs="Arial"/>
          <w:lang w:eastAsia="zh-CN"/>
        </w:rPr>
      </w:pPr>
    </w:p>
    <w:p w:rsidR="00DC0553" w:rsidRPr="00A32AF4" w:rsidRDefault="00DC0553" w:rsidP="00DC0553">
      <w:pPr>
        <w:pStyle w:val="ListParagraph"/>
        <w:numPr>
          <w:ilvl w:val="0"/>
          <w:numId w:val="75"/>
        </w:numPr>
        <w:spacing w:after="120" w:line="240" w:lineRule="auto"/>
        <w:ind w:left="1985" w:hanging="425"/>
        <w:jc w:val="both"/>
        <w:rPr>
          <w:rFonts w:ascii="Arial" w:eastAsia="SimSun" w:hAnsi="Arial" w:cs="Arial"/>
          <w:i/>
          <w:lang w:eastAsia="zh-CN"/>
        </w:rPr>
      </w:pPr>
      <w:r w:rsidRPr="00A32AF4">
        <w:rPr>
          <w:rFonts w:ascii="Arial" w:eastAsia="SimSun" w:hAnsi="Arial" w:cs="Arial"/>
          <w:i/>
          <w:lang w:eastAsia="zh-CN"/>
        </w:rPr>
        <w:t>Besoins additionnels en ressources autres que les ressources en personnel pour le système de Madrid estimés à 2,5 millions de francs suisses (pris en considération dans le programme 6 – Système de Madrid)</w:t>
      </w:r>
    </w:p>
    <w:p w:rsidR="00DC0553" w:rsidRPr="00A32AF4" w:rsidRDefault="00DC0553" w:rsidP="00B23142">
      <w:pPr>
        <w:pStyle w:val="ListParagraph"/>
        <w:spacing w:after="120" w:line="240" w:lineRule="auto"/>
        <w:ind w:left="1134"/>
        <w:jc w:val="both"/>
        <w:rPr>
          <w:rFonts w:ascii="Arial" w:eastAsia="SimSun" w:hAnsi="Arial" w:cs="Arial"/>
          <w:lang w:eastAsia="zh-CN"/>
        </w:rPr>
      </w:pPr>
    </w:p>
    <w:p w:rsidR="00DC0553" w:rsidRPr="00A32AF4" w:rsidRDefault="00DC0553" w:rsidP="00DC0553">
      <w:pPr>
        <w:pStyle w:val="ListParagraph"/>
        <w:numPr>
          <w:ilvl w:val="0"/>
          <w:numId w:val="73"/>
        </w:numPr>
        <w:tabs>
          <w:tab w:val="right" w:pos="1134"/>
        </w:tabs>
        <w:spacing w:after="220" w:line="240" w:lineRule="auto"/>
        <w:ind w:left="1134" w:hanging="567"/>
        <w:jc w:val="both"/>
        <w:rPr>
          <w:rFonts w:ascii="Arial" w:eastAsia="SimSun" w:hAnsi="Arial" w:cs="Arial"/>
          <w:lang w:eastAsia="zh-CN"/>
        </w:rPr>
      </w:pPr>
      <w:r w:rsidRPr="00A32AF4">
        <w:rPr>
          <w:rFonts w:ascii="Arial" w:eastAsia="SimSun" w:hAnsi="Arial" w:cs="Arial"/>
          <w:lang w:eastAsia="zh-CN"/>
        </w:rPr>
        <w:t>Dépendance accrue aux technologies de l</w:t>
      </w:r>
      <w:r w:rsidR="00E2055A" w:rsidRPr="00A32AF4">
        <w:rPr>
          <w:rFonts w:ascii="Arial" w:eastAsia="SimSun" w:hAnsi="Arial" w:cs="Arial"/>
          <w:lang w:eastAsia="zh-CN"/>
        </w:rPr>
        <w:t>’</w:t>
      </w:r>
      <w:r w:rsidRPr="00A32AF4">
        <w:rPr>
          <w:rFonts w:ascii="Arial" w:eastAsia="SimSun" w:hAnsi="Arial" w:cs="Arial"/>
          <w:lang w:eastAsia="zh-CN"/>
        </w:rPr>
        <w:t>information et de la communication et nécessité de renforcer la résilience du PCT et la sécurité des technologies de l</w:t>
      </w:r>
      <w:r w:rsidR="00E2055A" w:rsidRPr="00A32AF4">
        <w:rPr>
          <w:rFonts w:ascii="Arial" w:eastAsia="SimSun" w:hAnsi="Arial" w:cs="Arial"/>
          <w:lang w:eastAsia="zh-CN"/>
        </w:rPr>
        <w:t>’</w:t>
      </w:r>
      <w:r w:rsidRPr="00A32AF4">
        <w:rPr>
          <w:rFonts w:ascii="Arial" w:eastAsia="SimSun" w:hAnsi="Arial" w:cs="Arial"/>
          <w:lang w:eastAsia="zh-CN"/>
        </w:rPr>
        <w:t>information et de la communication</w:t>
      </w:r>
    </w:p>
    <w:p w:rsidR="00DC0553" w:rsidRPr="00A32AF4" w:rsidRDefault="00DC0553" w:rsidP="00DC0553">
      <w:pPr>
        <w:pStyle w:val="ListParagraph"/>
        <w:tabs>
          <w:tab w:val="right" w:pos="1134"/>
          <w:tab w:val="left" w:pos="7587"/>
        </w:tabs>
        <w:spacing w:after="220" w:line="240" w:lineRule="auto"/>
        <w:ind w:left="1134"/>
        <w:jc w:val="both"/>
        <w:rPr>
          <w:rFonts w:ascii="Arial" w:eastAsia="SimSun" w:hAnsi="Arial" w:cs="Arial"/>
          <w:lang w:eastAsia="zh-CN"/>
        </w:rPr>
      </w:pPr>
    </w:p>
    <w:p w:rsidR="00DC0553" w:rsidRPr="00A32AF4" w:rsidRDefault="00DC0553" w:rsidP="00DC0553">
      <w:pPr>
        <w:pStyle w:val="ListParagraph"/>
        <w:numPr>
          <w:ilvl w:val="0"/>
          <w:numId w:val="75"/>
        </w:numPr>
        <w:spacing w:after="120" w:line="240" w:lineRule="auto"/>
        <w:ind w:left="1985" w:hanging="425"/>
        <w:jc w:val="both"/>
        <w:rPr>
          <w:rFonts w:ascii="Arial" w:eastAsia="SimSun" w:hAnsi="Arial" w:cs="Arial"/>
          <w:i/>
          <w:lang w:eastAsia="zh-CN"/>
        </w:rPr>
      </w:pPr>
      <w:r w:rsidRPr="00A32AF4">
        <w:rPr>
          <w:rFonts w:ascii="Arial" w:eastAsia="SimSun" w:hAnsi="Arial" w:cs="Arial"/>
          <w:i/>
          <w:lang w:eastAsia="zh-CN"/>
        </w:rPr>
        <w:t>Besoins additionnels en ressources autres que les ressources en personnel estimés à 1,4 million de francs suisses (pris en considération dans le programme 5 – Système du PCT), 6,9 millions de francs suisses (pris en considération dans le programme 25 – Technologies de l</w:t>
      </w:r>
      <w:r w:rsidR="00E2055A" w:rsidRPr="00A32AF4">
        <w:rPr>
          <w:rFonts w:ascii="Arial" w:eastAsia="SimSun" w:hAnsi="Arial" w:cs="Arial"/>
          <w:i/>
          <w:lang w:eastAsia="zh-CN"/>
        </w:rPr>
        <w:t>’</w:t>
      </w:r>
      <w:r w:rsidRPr="00A32AF4">
        <w:rPr>
          <w:rFonts w:ascii="Arial" w:eastAsia="SimSun" w:hAnsi="Arial" w:cs="Arial"/>
          <w:i/>
          <w:lang w:eastAsia="zh-CN"/>
        </w:rPr>
        <w:t>information et de la communication) et 3,9 millions de francs suisses (pris en considération dans le programme 28 – Sécurité des informations, des biens et des personnes)</w:t>
      </w:r>
    </w:p>
    <w:p w:rsidR="00DC0553" w:rsidRPr="00A32AF4" w:rsidRDefault="00DC0553" w:rsidP="00DC0553">
      <w:pPr>
        <w:pStyle w:val="ListParagraph"/>
        <w:spacing w:after="120" w:line="240" w:lineRule="auto"/>
        <w:ind w:left="1985"/>
        <w:jc w:val="both"/>
        <w:rPr>
          <w:rFonts w:ascii="Arial" w:eastAsia="SimSun" w:hAnsi="Arial" w:cs="Arial"/>
          <w:lang w:eastAsia="zh-CN"/>
        </w:rPr>
      </w:pPr>
    </w:p>
    <w:p w:rsidR="00DC0553" w:rsidRPr="00A32AF4" w:rsidRDefault="00DC0553" w:rsidP="00DC0553">
      <w:pPr>
        <w:pStyle w:val="ListParagraph"/>
        <w:numPr>
          <w:ilvl w:val="0"/>
          <w:numId w:val="73"/>
        </w:numPr>
        <w:tabs>
          <w:tab w:val="right" w:pos="1134"/>
        </w:tabs>
        <w:spacing w:after="220" w:line="240" w:lineRule="auto"/>
        <w:ind w:left="1134" w:hanging="567"/>
        <w:jc w:val="both"/>
        <w:rPr>
          <w:rFonts w:ascii="Arial" w:eastAsia="SimSun" w:hAnsi="Arial" w:cs="Arial"/>
          <w:lang w:eastAsia="zh-CN"/>
        </w:rPr>
      </w:pPr>
      <w:r w:rsidRPr="00A32AF4">
        <w:rPr>
          <w:rFonts w:ascii="Arial" w:eastAsia="SimSun" w:hAnsi="Arial" w:cs="Arial"/>
          <w:lang w:eastAsia="zh-CN"/>
        </w:rPr>
        <w:t>Augmentation de l</w:t>
      </w:r>
      <w:r w:rsidR="00E2055A" w:rsidRPr="00A32AF4">
        <w:rPr>
          <w:rFonts w:ascii="Arial" w:eastAsia="SimSun" w:hAnsi="Arial" w:cs="Arial"/>
          <w:lang w:eastAsia="zh-CN"/>
        </w:rPr>
        <w:t>’</w:t>
      </w:r>
      <w:r w:rsidRPr="00A32AF4">
        <w:rPr>
          <w:rFonts w:ascii="Arial" w:eastAsia="SimSun" w:hAnsi="Arial" w:cs="Arial"/>
          <w:lang w:eastAsia="zh-CN"/>
        </w:rPr>
        <w:t>impact du système ERP sur les activités</w:t>
      </w:r>
    </w:p>
    <w:p w:rsidR="00DC0553" w:rsidRPr="00A32AF4" w:rsidRDefault="00DC0553" w:rsidP="00DC0553">
      <w:pPr>
        <w:pStyle w:val="ListParagraph"/>
        <w:tabs>
          <w:tab w:val="right" w:pos="1134"/>
        </w:tabs>
        <w:spacing w:after="220" w:line="240" w:lineRule="auto"/>
        <w:ind w:left="1134"/>
        <w:jc w:val="both"/>
        <w:rPr>
          <w:rFonts w:ascii="Arial" w:eastAsia="SimSun" w:hAnsi="Arial" w:cs="Arial"/>
          <w:lang w:eastAsia="zh-CN"/>
        </w:rPr>
      </w:pPr>
    </w:p>
    <w:p w:rsidR="00DC0553" w:rsidRPr="00A32AF4" w:rsidRDefault="00DC0553" w:rsidP="00DC0553">
      <w:pPr>
        <w:pStyle w:val="ListParagraph"/>
        <w:numPr>
          <w:ilvl w:val="0"/>
          <w:numId w:val="75"/>
        </w:numPr>
        <w:spacing w:after="120" w:line="240" w:lineRule="auto"/>
        <w:ind w:left="1985" w:hanging="425"/>
        <w:jc w:val="both"/>
        <w:rPr>
          <w:rFonts w:ascii="Arial" w:eastAsia="SimSun" w:hAnsi="Arial" w:cs="Arial"/>
          <w:i/>
          <w:lang w:eastAsia="zh-CN"/>
        </w:rPr>
      </w:pPr>
      <w:r w:rsidRPr="00A32AF4">
        <w:rPr>
          <w:rFonts w:ascii="Arial" w:eastAsia="SimSun" w:hAnsi="Arial" w:cs="Arial"/>
          <w:i/>
          <w:lang w:eastAsia="zh-CN"/>
        </w:rPr>
        <w:t>Besoins additionnels en ressources autres que les ressources en personnel estimés à 1,6 million de francs suisses (pris en considération dans le programme 22 – Gestion du programme et des ressources)</w:t>
      </w:r>
    </w:p>
    <w:p w:rsidR="00DC0553" w:rsidRPr="00A32AF4" w:rsidRDefault="00DC0553" w:rsidP="00DC0553">
      <w:pPr>
        <w:pStyle w:val="ListParagraph"/>
        <w:spacing w:after="120" w:line="240" w:lineRule="auto"/>
        <w:ind w:left="1985"/>
        <w:jc w:val="both"/>
        <w:rPr>
          <w:rFonts w:ascii="Arial" w:eastAsia="SimSun" w:hAnsi="Arial" w:cs="Arial"/>
          <w:i/>
          <w:lang w:eastAsia="zh-CN"/>
        </w:rPr>
      </w:pPr>
    </w:p>
    <w:p w:rsidR="00DC0553" w:rsidRPr="00A32AF4" w:rsidRDefault="00DC0553" w:rsidP="00DC0553">
      <w:pPr>
        <w:pStyle w:val="ListParagraph"/>
        <w:numPr>
          <w:ilvl w:val="0"/>
          <w:numId w:val="73"/>
        </w:numPr>
        <w:tabs>
          <w:tab w:val="right" w:pos="1134"/>
        </w:tabs>
        <w:spacing w:after="220" w:line="240" w:lineRule="auto"/>
        <w:ind w:left="1134" w:hanging="567"/>
        <w:jc w:val="both"/>
        <w:rPr>
          <w:rFonts w:ascii="Arial" w:eastAsia="SimSun" w:hAnsi="Arial" w:cs="Arial"/>
          <w:lang w:eastAsia="zh-CN"/>
        </w:rPr>
      </w:pPr>
      <w:r w:rsidRPr="00A32AF4">
        <w:rPr>
          <w:rFonts w:ascii="Arial" w:eastAsia="SimSun" w:hAnsi="Arial" w:cs="Arial"/>
          <w:lang w:eastAsia="zh-CN"/>
        </w:rPr>
        <w:t>Taux d</w:t>
      </w:r>
      <w:r w:rsidR="00E2055A" w:rsidRPr="00A32AF4">
        <w:rPr>
          <w:rFonts w:ascii="Arial" w:eastAsia="SimSun" w:hAnsi="Arial" w:cs="Arial"/>
          <w:lang w:eastAsia="zh-CN"/>
        </w:rPr>
        <w:t>’</w:t>
      </w:r>
      <w:r w:rsidRPr="00A32AF4">
        <w:rPr>
          <w:rFonts w:ascii="Arial" w:eastAsia="SimSun" w:hAnsi="Arial" w:cs="Arial"/>
          <w:lang w:eastAsia="zh-CN"/>
        </w:rPr>
        <w:t>intérêt négatifs appliqués aux dépôts en francs suisses</w:t>
      </w:r>
    </w:p>
    <w:p w:rsidR="00DC0553" w:rsidRPr="00A32AF4" w:rsidRDefault="00DC0553" w:rsidP="00DC0553">
      <w:pPr>
        <w:pStyle w:val="ListParagraph"/>
        <w:tabs>
          <w:tab w:val="right" w:pos="1134"/>
        </w:tabs>
        <w:spacing w:after="220" w:line="240" w:lineRule="auto"/>
        <w:ind w:left="1134"/>
        <w:jc w:val="both"/>
        <w:rPr>
          <w:rFonts w:ascii="Arial" w:eastAsia="SimSun" w:hAnsi="Arial" w:cs="Arial"/>
          <w:lang w:eastAsia="zh-CN"/>
        </w:rPr>
      </w:pPr>
    </w:p>
    <w:p w:rsidR="00DC0553" w:rsidRPr="00A32AF4" w:rsidRDefault="00DC0553" w:rsidP="00DC0553">
      <w:pPr>
        <w:pStyle w:val="ListParagraph"/>
        <w:numPr>
          <w:ilvl w:val="0"/>
          <w:numId w:val="75"/>
        </w:numPr>
        <w:spacing w:after="120" w:line="240" w:lineRule="auto"/>
        <w:ind w:left="1985" w:hanging="425"/>
        <w:jc w:val="both"/>
        <w:rPr>
          <w:rFonts w:ascii="Arial" w:eastAsia="SimSun" w:hAnsi="Arial" w:cs="Arial"/>
          <w:i/>
          <w:lang w:eastAsia="zh-CN"/>
        </w:rPr>
      </w:pPr>
      <w:r w:rsidRPr="00A32AF4">
        <w:rPr>
          <w:rFonts w:ascii="Arial" w:eastAsia="SimSun" w:hAnsi="Arial" w:cs="Arial"/>
          <w:i/>
          <w:lang w:eastAsia="zh-CN"/>
        </w:rPr>
        <w:t>Besoins additionnels en ressources autres que les ressources en personnel estimés à 2,4 millions de francs suisses (pris en considération dans le programme 22 – Gestion du programme et des ressources)</w:t>
      </w:r>
    </w:p>
    <w:p w:rsidR="002841E4" w:rsidRPr="00A32AF4" w:rsidRDefault="002841E4" w:rsidP="00801C81">
      <w:pPr>
        <w:pStyle w:val="ListParagraph"/>
        <w:tabs>
          <w:tab w:val="left" w:pos="567"/>
        </w:tabs>
        <w:spacing w:line="240" w:lineRule="auto"/>
        <w:ind w:left="0"/>
        <w:jc w:val="both"/>
        <w:rPr>
          <w:rFonts w:ascii="Arial" w:eastAsia="SimSun" w:hAnsi="Arial" w:cs="Arial"/>
          <w:lang w:eastAsia="zh-CN"/>
        </w:rPr>
      </w:pPr>
    </w:p>
    <w:p w:rsidR="00E2055A" w:rsidRPr="00A32AF4" w:rsidRDefault="002841E4" w:rsidP="00801C81">
      <w:pPr>
        <w:pStyle w:val="ListParagraph"/>
        <w:numPr>
          <w:ilvl w:val="0"/>
          <w:numId w:val="72"/>
        </w:numPr>
        <w:tabs>
          <w:tab w:val="left" w:pos="567"/>
        </w:tabs>
        <w:spacing w:after="0" w:line="240" w:lineRule="auto"/>
        <w:ind w:left="0" w:firstLine="0"/>
        <w:jc w:val="both"/>
        <w:rPr>
          <w:rFonts w:ascii="Arial" w:eastAsia="SimSun" w:hAnsi="Arial" w:cs="Arial"/>
          <w:lang w:eastAsia="zh-CN"/>
        </w:rPr>
      </w:pPr>
      <w:r w:rsidRPr="00A32AF4">
        <w:rPr>
          <w:rFonts w:ascii="Arial" w:eastAsia="SimSun" w:hAnsi="Arial" w:cs="Arial"/>
          <w:lang w:eastAsia="zh-CN"/>
        </w:rPr>
        <w:t>Le Secrétariat a inscrit les dépenses relatives aux exigences en matière de rénovations, de transformations ou de modernisation des locaux au budget ordinaire du programme 24 (</w:t>
      </w:r>
      <w:r w:rsidR="00B2713C" w:rsidRPr="00A32AF4">
        <w:rPr>
          <w:rFonts w:ascii="Arial" w:eastAsia="SimSun" w:hAnsi="Arial" w:cs="Arial"/>
          <w:lang w:eastAsia="zh-CN"/>
        </w:rPr>
        <w:t>Services d</w:t>
      </w:r>
      <w:r w:rsidR="00E2055A" w:rsidRPr="00A32AF4">
        <w:rPr>
          <w:rFonts w:ascii="Arial" w:eastAsia="SimSun" w:hAnsi="Arial" w:cs="Arial"/>
          <w:lang w:eastAsia="zh-CN"/>
        </w:rPr>
        <w:t>’</w:t>
      </w:r>
      <w:r w:rsidR="00B2713C" w:rsidRPr="00A32AF4">
        <w:rPr>
          <w:rFonts w:ascii="Arial" w:eastAsia="SimSun" w:hAnsi="Arial" w:cs="Arial"/>
          <w:lang w:eastAsia="zh-CN"/>
        </w:rPr>
        <w:t>appui généraux).</w:t>
      </w:r>
    </w:p>
    <w:p w:rsidR="00B2713C" w:rsidRPr="00A32AF4" w:rsidRDefault="00B2713C" w:rsidP="00801C81">
      <w:pPr>
        <w:pStyle w:val="ListParagraph"/>
        <w:tabs>
          <w:tab w:val="left" w:pos="0"/>
        </w:tabs>
        <w:spacing w:after="0" w:line="240" w:lineRule="auto"/>
        <w:ind w:left="0"/>
        <w:jc w:val="both"/>
        <w:rPr>
          <w:rFonts w:ascii="Arial" w:eastAsia="SimSun" w:hAnsi="Arial" w:cs="Arial"/>
          <w:lang w:eastAsia="zh-CN"/>
        </w:rPr>
      </w:pPr>
    </w:p>
    <w:p w:rsidR="00E2055A" w:rsidRPr="00A32AF4" w:rsidRDefault="002841E4" w:rsidP="00801C81">
      <w:pPr>
        <w:pStyle w:val="ListParagraph"/>
        <w:numPr>
          <w:ilvl w:val="0"/>
          <w:numId w:val="72"/>
        </w:numPr>
        <w:tabs>
          <w:tab w:val="left" w:pos="567"/>
        </w:tabs>
        <w:spacing w:after="0" w:line="240" w:lineRule="auto"/>
        <w:ind w:left="0" w:firstLine="0"/>
        <w:jc w:val="both"/>
        <w:rPr>
          <w:rFonts w:ascii="Arial" w:eastAsia="SimSun" w:hAnsi="Arial" w:cs="Arial"/>
          <w:lang w:eastAsia="zh-CN"/>
        </w:rPr>
      </w:pPr>
      <w:r w:rsidRPr="00A32AF4">
        <w:rPr>
          <w:rFonts w:ascii="Arial" w:eastAsia="SimSun" w:hAnsi="Arial" w:cs="Arial"/>
          <w:lang w:eastAsia="zh-CN"/>
        </w:rPr>
        <w:t>Les mesures de maîtrise des coûts prises durant l</w:t>
      </w:r>
      <w:r w:rsidR="00E2055A" w:rsidRPr="00A32AF4">
        <w:rPr>
          <w:rFonts w:ascii="Arial" w:eastAsia="SimSun" w:hAnsi="Arial" w:cs="Arial"/>
          <w:lang w:eastAsia="zh-CN"/>
        </w:rPr>
        <w:t>’</w:t>
      </w:r>
      <w:r w:rsidRPr="00A32AF4">
        <w:rPr>
          <w:rFonts w:ascii="Arial" w:eastAsia="SimSun" w:hAnsi="Arial" w:cs="Arial"/>
          <w:lang w:eastAsia="zh-CN"/>
        </w:rPr>
        <w:t>exercice biennal 2014</w:t>
      </w:r>
      <w:r w:rsidR="00EB7F54" w:rsidRPr="00A32AF4">
        <w:rPr>
          <w:rFonts w:ascii="Arial" w:eastAsia="SimSun" w:hAnsi="Arial" w:cs="Arial"/>
          <w:lang w:eastAsia="zh-CN"/>
        </w:rPr>
        <w:noBreakHyphen/>
      </w:r>
      <w:r w:rsidRPr="00A32AF4">
        <w:rPr>
          <w:rFonts w:ascii="Arial" w:eastAsia="SimSun" w:hAnsi="Arial" w:cs="Arial"/>
          <w:lang w:eastAsia="zh-CN"/>
        </w:rPr>
        <w:t>2015 ont été intégrées aux niveaux de référence dans le programme et budget pour 2016</w:t>
      </w:r>
      <w:r w:rsidR="00EB7F54" w:rsidRPr="00A32AF4">
        <w:rPr>
          <w:rFonts w:ascii="Arial" w:eastAsia="SimSun" w:hAnsi="Arial" w:cs="Arial"/>
          <w:lang w:eastAsia="zh-CN"/>
        </w:rPr>
        <w:noBreakHyphen/>
      </w:r>
      <w:r w:rsidRPr="00A32AF4">
        <w:rPr>
          <w:rFonts w:ascii="Arial" w:eastAsia="SimSun" w:hAnsi="Arial" w:cs="Arial"/>
          <w:lang w:eastAsia="zh-CN"/>
        </w:rPr>
        <w:t>2017 (maîtrise des coûts en matière de voyage et de contrats, réduction des coûts d</w:t>
      </w:r>
      <w:r w:rsidR="00E2055A" w:rsidRPr="00A32AF4">
        <w:rPr>
          <w:rFonts w:ascii="Arial" w:eastAsia="SimSun" w:hAnsi="Arial" w:cs="Arial"/>
          <w:lang w:eastAsia="zh-CN"/>
        </w:rPr>
        <w:t>’</w:t>
      </w:r>
      <w:r w:rsidRPr="00A32AF4">
        <w:rPr>
          <w:rFonts w:ascii="Arial" w:eastAsia="SimSun" w:hAnsi="Arial" w:cs="Arial"/>
          <w:lang w:eastAsia="zh-CN"/>
        </w:rPr>
        <w:t>impression, traitement adéquat des travaux de traduction, etc.).  D</w:t>
      </w:r>
      <w:r w:rsidR="00E2055A" w:rsidRPr="00A32AF4">
        <w:rPr>
          <w:rFonts w:ascii="Arial" w:eastAsia="SimSun" w:hAnsi="Arial" w:cs="Arial"/>
          <w:lang w:eastAsia="zh-CN"/>
        </w:rPr>
        <w:t>’</w:t>
      </w:r>
      <w:r w:rsidRPr="00A32AF4">
        <w:rPr>
          <w:rFonts w:ascii="Arial" w:eastAsia="SimSun" w:hAnsi="Arial" w:cs="Arial"/>
          <w:lang w:eastAsia="zh-CN"/>
        </w:rPr>
        <w:t>autres mesures d</w:t>
      </w:r>
      <w:r w:rsidR="00E2055A" w:rsidRPr="00A32AF4">
        <w:rPr>
          <w:rFonts w:ascii="Arial" w:eastAsia="SimSun" w:hAnsi="Arial" w:cs="Arial"/>
          <w:lang w:eastAsia="zh-CN"/>
        </w:rPr>
        <w:t>’</w:t>
      </w:r>
      <w:r w:rsidRPr="00A32AF4">
        <w:rPr>
          <w:rFonts w:ascii="Arial" w:eastAsia="SimSun" w:hAnsi="Arial" w:cs="Arial"/>
          <w:lang w:eastAsia="zh-CN"/>
        </w:rPr>
        <w:t>économie continueront d</w:t>
      </w:r>
      <w:r w:rsidR="00E2055A" w:rsidRPr="00A32AF4">
        <w:rPr>
          <w:rFonts w:ascii="Arial" w:eastAsia="SimSun" w:hAnsi="Arial" w:cs="Arial"/>
          <w:lang w:eastAsia="zh-CN"/>
        </w:rPr>
        <w:t>’</w:t>
      </w:r>
      <w:r w:rsidRPr="00A32AF4">
        <w:rPr>
          <w:rFonts w:ascii="Arial" w:eastAsia="SimSun" w:hAnsi="Arial" w:cs="Arial"/>
          <w:lang w:eastAsia="zh-CN"/>
        </w:rPr>
        <w:t>être prises et mises en œuvre durant l</w:t>
      </w:r>
      <w:r w:rsidR="00E2055A" w:rsidRPr="00A32AF4">
        <w:rPr>
          <w:rFonts w:ascii="Arial" w:eastAsia="SimSun" w:hAnsi="Arial" w:cs="Arial"/>
          <w:lang w:eastAsia="zh-CN"/>
        </w:rPr>
        <w:t>’</w:t>
      </w:r>
      <w:r w:rsidRPr="00A32AF4">
        <w:rPr>
          <w:rFonts w:ascii="Arial" w:eastAsia="SimSun" w:hAnsi="Arial" w:cs="Arial"/>
          <w:lang w:eastAsia="zh-CN"/>
        </w:rPr>
        <w:t>exercice biennal, notamment dans le cadre du Groupe de collaboration internationale de Genève, groupe informel d</w:t>
      </w:r>
      <w:r w:rsidR="00E2055A" w:rsidRPr="00A32AF4">
        <w:rPr>
          <w:rFonts w:ascii="Arial" w:eastAsia="SimSun" w:hAnsi="Arial" w:cs="Arial"/>
          <w:lang w:eastAsia="zh-CN"/>
        </w:rPr>
        <w:t>’</w:t>
      </w:r>
      <w:r w:rsidRPr="00A32AF4">
        <w:rPr>
          <w:rFonts w:ascii="Arial" w:eastAsia="SimSun" w:hAnsi="Arial" w:cs="Arial"/>
          <w:lang w:eastAsia="zh-CN"/>
        </w:rPr>
        <w:t>organisations internationales basées à Genève créé en 2014.  Ce groupe a pour objectif de réaliser des économies d</w:t>
      </w:r>
      <w:r w:rsidR="00E2055A" w:rsidRPr="00A32AF4">
        <w:rPr>
          <w:rFonts w:ascii="Arial" w:eastAsia="SimSun" w:hAnsi="Arial" w:cs="Arial"/>
          <w:lang w:eastAsia="zh-CN"/>
        </w:rPr>
        <w:t>’</w:t>
      </w:r>
      <w:r w:rsidRPr="00A32AF4">
        <w:rPr>
          <w:rFonts w:ascii="Arial" w:eastAsia="SimSun" w:hAnsi="Arial" w:cs="Arial"/>
          <w:lang w:eastAsia="zh-CN"/>
        </w:rPr>
        <w:t>échelle dans des domaines tels que les services d</w:t>
      </w:r>
      <w:r w:rsidR="00E2055A" w:rsidRPr="00A32AF4">
        <w:rPr>
          <w:rFonts w:ascii="Arial" w:eastAsia="SimSun" w:hAnsi="Arial" w:cs="Arial"/>
          <w:lang w:eastAsia="zh-CN"/>
        </w:rPr>
        <w:t>’</w:t>
      </w:r>
      <w:r w:rsidRPr="00A32AF4">
        <w:rPr>
          <w:rFonts w:ascii="Arial" w:eastAsia="SimSun" w:hAnsi="Arial" w:cs="Arial"/>
          <w:lang w:eastAsia="zh-CN"/>
        </w:rPr>
        <w:t>assurance, de conférence et d</w:t>
      </w:r>
      <w:r w:rsidR="00E2055A" w:rsidRPr="00A32AF4">
        <w:rPr>
          <w:rFonts w:ascii="Arial" w:eastAsia="SimSun" w:hAnsi="Arial" w:cs="Arial"/>
          <w:lang w:eastAsia="zh-CN"/>
        </w:rPr>
        <w:t>’</w:t>
      </w:r>
      <w:r w:rsidRPr="00A32AF4">
        <w:rPr>
          <w:rFonts w:ascii="Arial" w:eastAsia="SimSun" w:hAnsi="Arial" w:cs="Arial"/>
          <w:lang w:eastAsia="zh-CN"/>
        </w:rPr>
        <w:t>impression et les services du pays hôte.</w:t>
      </w:r>
    </w:p>
    <w:p w:rsidR="00DC0553" w:rsidRPr="00A32AF4" w:rsidRDefault="00DC0553" w:rsidP="00DC0553">
      <w:pPr>
        <w:tabs>
          <w:tab w:val="num" w:pos="690"/>
        </w:tabs>
        <w:jc w:val="both"/>
        <w:rPr>
          <w:rFonts w:cs="Arial"/>
        </w:rPr>
      </w:pPr>
    </w:p>
    <w:p w:rsidR="00DC0553" w:rsidRPr="00A32AF4" w:rsidRDefault="00DC0553" w:rsidP="00DC0553">
      <w:pPr>
        <w:tabs>
          <w:tab w:val="num" w:pos="690"/>
        </w:tabs>
        <w:jc w:val="both"/>
        <w:rPr>
          <w:rFonts w:cs="Arial"/>
        </w:rPr>
      </w:pPr>
    </w:p>
    <w:p w:rsidR="00DC0553" w:rsidRPr="00A32AF4" w:rsidRDefault="00DC0553" w:rsidP="00DC0553">
      <w:pPr>
        <w:keepNext/>
        <w:keepLines/>
        <w:jc w:val="both"/>
        <w:rPr>
          <w:b/>
        </w:rPr>
      </w:pPr>
      <w:r w:rsidRPr="00A32AF4">
        <w:rPr>
          <w:b/>
        </w:rPr>
        <w:t>Modifications des catégories de dépenses</w:t>
      </w:r>
    </w:p>
    <w:p w:rsidR="00DC0553" w:rsidRPr="00A32AF4" w:rsidRDefault="00DC0553" w:rsidP="00DC0553">
      <w:pPr>
        <w:keepNext/>
        <w:keepLines/>
        <w:jc w:val="both"/>
      </w:pPr>
    </w:p>
    <w:p w:rsidR="00DC0553" w:rsidRPr="00A32AF4" w:rsidRDefault="00DC0553" w:rsidP="00DC0553">
      <w:pPr>
        <w:pStyle w:val="ListParagraph"/>
        <w:keepNext/>
        <w:keepLines/>
        <w:numPr>
          <w:ilvl w:val="0"/>
          <w:numId w:val="72"/>
        </w:numPr>
        <w:tabs>
          <w:tab w:val="left" w:pos="567"/>
        </w:tabs>
        <w:spacing w:after="0" w:line="240" w:lineRule="auto"/>
        <w:ind w:left="0" w:firstLine="0"/>
        <w:jc w:val="both"/>
        <w:rPr>
          <w:rFonts w:ascii="Arial" w:hAnsi="Arial"/>
        </w:rPr>
      </w:pPr>
      <w:r w:rsidRPr="00A32AF4">
        <w:rPr>
          <w:rFonts w:ascii="Arial" w:hAnsi="Arial"/>
        </w:rPr>
        <w:t>Les modifications des catégories de dépenses pour l</w:t>
      </w:r>
      <w:r w:rsidR="00E2055A" w:rsidRPr="00A32AF4">
        <w:rPr>
          <w:rFonts w:ascii="Arial" w:hAnsi="Arial"/>
        </w:rPr>
        <w:t>’</w:t>
      </w:r>
      <w:r w:rsidRPr="00A32AF4">
        <w:rPr>
          <w:rFonts w:ascii="Arial" w:hAnsi="Arial"/>
        </w:rPr>
        <w:t>exercice biennal 2016</w:t>
      </w:r>
      <w:r w:rsidR="00EB7F54" w:rsidRPr="00A32AF4">
        <w:rPr>
          <w:rFonts w:ascii="Arial" w:hAnsi="Arial"/>
        </w:rPr>
        <w:noBreakHyphen/>
      </w:r>
      <w:r w:rsidRPr="00A32AF4">
        <w:rPr>
          <w:rFonts w:ascii="Arial" w:hAnsi="Arial"/>
        </w:rPr>
        <w:t>2017</w:t>
      </w:r>
      <w:r w:rsidRPr="00A32AF4">
        <w:rPr>
          <w:rStyle w:val="FootnoteReference"/>
          <w:rFonts w:ascii="Arial" w:hAnsi="Arial"/>
        </w:rPr>
        <w:footnoteReference w:id="13"/>
      </w:r>
      <w:r w:rsidRPr="00A32AF4">
        <w:rPr>
          <w:rFonts w:ascii="Arial" w:hAnsi="Arial"/>
        </w:rPr>
        <w:t xml:space="preserve"> sont indiquées ci</w:t>
      </w:r>
      <w:r w:rsidR="00EB7F54" w:rsidRPr="00A32AF4">
        <w:rPr>
          <w:rFonts w:ascii="Arial" w:hAnsi="Arial"/>
        </w:rPr>
        <w:noBreakHyphen/>
      </w:r>
      <w:r w:rsidRPr="00A32AF4">
        <w:rPr>
          <w:rFonts w:ascii="Arial" w:hAnsi="Arial"/>
        </w:rPr>
        <w:t>après.</w:t>
      </w:r>
    </w:p>
    <w:p w:rsidR="00DC0553" w:rsidRPr="00A32AF4" w:rsidRDefault="00DC0553" w:rsidP="00DC0553">
      <w:pPr>
        <w:keepNext/>
        <w:keepLines/>
        <w:jc w:val="both"/>
      </w:pPr>
    </w:p>
    <w:p w:rsidR="00DC0553" w:rsidRPr="00A32AF4" w:rsidRDefault="00DC0553" w:rsidP="00DC0553">
      <w:pPr>
        <w:pStyle w:val="ListParagraph"/>
        <w:numPr>
          <w:ilvl w:val="0"/>
          <w:numId w:val="72"/>
        </w:numPr>
        <w:tabs>
          <w:tab w:val="left" w:pos="567"/>
        </w:tabs>
        <w:spacing w:after="0" w:line="240" w:lineRule="auto"/>
        <w:ind w:left="0" w:firstLine="0"/>
        <w:jc w:val="both"/>
        <w:rPr>
          <w:rFonts w:ascii="Arial" w:hAnsi="Arial"/>
        </w:rPr>
      </w:pPr>
      <w:r w:rsidRPr="00A32AF4">
        <w:rPr>
          <w:rFonts w:ascii="Arial" w:hAnsi="Arial"/>
        </w:rPr>
        <w:t>Une nouvelle catégorie de dépenses intitulée “Coûts financiers” a été créée pour faire suite à la recommandation du vérificateur externe des comptes invitant à rendre compte séparément du versement des intérêts relatifs à l</w:t>
      </w:r>
      <w:r w:rsidR="00E2055A" w:rsidRPr="00A32AF4">
        <w:rPr>
          <w:rFonts w:ascii="Arial" w:hAnsi="Arial"/>
        </w:rPr>
        <w:t>’</w:t>
      </w:r>
      <w:r w:rsidRPr="00A32AF4">
        <w:rPr>
          <w:rFonts w:ascii="Arial" w:hAnsi="Arial"/>
        </w:rPr>
        <w:t xml:space="preserve">emprunt contracté pour le nouveau bâtiment (inscrit au budget au titre du programme 24) et des frais bancaires, </w:t>
      </w:r>
      <w:r w:rsidR="00E2055A" w:rsidRPr="00A32AF4">
        <w:rPr>
          <w:rFonts w:ascii="Arial" w:hAnsi="Arial"/>
        </w:rPr>
        <w:t>y compris</w:t>
      </w:r>
      <w:r w:rsidRPr="00A32AF4">
        <w:rPr>
          <w:rFonts w:ascii="Arial" w:hAnsi="Arial"/>
        </w:rPr>
        <w:t xml:space="preserve"> le paiement de taux d</w:t>
      </w:r>
      <w:r w:rsidR="00E2055A" w:rsidRPr="00A32AF4">
        <w:rPr>
          <w:rFonts w:ascii="Arial" w:hAnsi="Arial"/>
        </w:rPr>
        <w:t>’</w:t>
      </w:r>
      <w:r w:rsidRPr="00A32AF4">
        <w:rPr>
          <w:rFonts w:ascii="Arial" w:hAnsi="Arial"/>
        </w:rPr>
        <w:t>intérêt négatifs pour les dépôts en francs suisses (inscrits au budget au titre du programme 22).  Par conséquent, une hausse de 6,4 millions de francs suisses apparaît dans la catégorie “Coûts financiers”, en partie compensée par une diminution de 3,5 millions de francs suisses dans la catégorie “Locaux et entretien” (les intérêts dus au titre de l</w:t>
      </w:r>
      <w:r w:rsidR="00E2055A" w:rsidRPr="00A32AF4">
        <w:rPr>
          <w:rFonts w:ascii="Arial" w:hAnsi="Arial"/>
        </w:rPr>
        <w:t>’</w:t>
      </w:r>
      <w:r w:rsidRPr="00A32AF4">
        <w:rPr>
          <w:rFonts w:ascii="Arial" w:hAnsi="Arial"/>
        </w:rPr>
        <w:t>emprunt étaient auparavant inscrits au budget dans cette catégorie de dépenses).  Pour 2016</w:t>
      </w:r>
      <w:r w:rsidR="00EB7F54" w:rsidRPr="00A32AF4">
        <w:rPr>
          <w:rFonts w:ascii="Arial" w:hAnsi="Arial"/>
        </w:rPr>
        <w:noBreakHyphen/>
      </w:r>
      <w:r w:rsidRPr="00A32AF4">
        <w:rPr>
          <w:rFonts w:ascii="Arial" w:hAnsi="Arial"/>
        </w:rPr>
        <w:t>2017, l</w:t>
      </w:r>
      <w:r w:rsidR="00E2055A" w:rsidRPr="00A32AF4">
        <w:rPr>
          <w:rFonts w:ascii="Arial" w:hAnsi="Arial"/>
        </w:rPr>
        <w:t>’</w:t>
      </w:r>
      <w:r w:rsidRPr="00A32AF4">
        <w:rPr>
          <w:rFonts w:ascii="Arial" w:hAnsi="Arial"/>
        </w:rPr>
        <w:t>ancienne catégorie “Frais administratifs et bancaires” est donc remplacée par la catégorie “Coûts financiers”.</w:t>
      </w:r>
    </w:p>
    <w:p w:rsidR="00DC0553" w:rsidRPr="00A32AF4" w:rsidRDefault="00DC0553" w:rsidP="00DC0553">
      <w:pPr>
        <w:jc w:val="both"/>
      </w:pPr>
    </w:p>
    <w:p w:rsidR="00DC0553" w:rsidRPr="00A32AF4" w:rsidRDefault="00DC0553" w:rsidP="00DC0553">
      <w:pPr>
        <w:pStyle w:val="ListParagraph"/>
        <w:numPr>
          <w:ilvl w:val="0"/>
          <w:numId w:val="72"/>
        </w:numPr>
        <w:tabs>
          <w:tab w:val="left" w:pos="567"/>
        </w:tabs>
        <w:spacing w:after="0" w:line="240" w:lineRule="auto"/>
        <w:ind w:left="0" w:firstLine="0"/>
        <w:jc w:val="both"/>
        <w:rPr>
          <w:rFonts w:ascii="Arial" w:hAnsi="Arial"/>
        </w:rPr>
      </w:pPr>
      <w:r w:rsidRPr="00A32AF4">
        <w:rPr>
          <w:rFonts w:ascii="Arial" w:hAnsi="Arial"/>
        </w:rPr>
        <w:t>Une nouvelle catégorie intitulée “Frais de représentation et autres frais de fonctionnement” regroupe les frais de représentation et les autres frais de fonctionnement (inscrits dans la catégorie “Frais administratifs et bancaires” du budget 2014</w:t>
      </w:r>
      <w:r w:rsidR="00EB7F54" w:rsidRPr="00A32AF4">
        <w:rPr>
          <w:rFonts w:ascii="Arial" w:hAnsi="Arial"/>
        </w:rPr>
        <w:noBreakHyphen/>
      </w:r>
      <w:r w:rsidRPr="00A32AF4">
        <w:rPr>
          <w:rFonts w:ascii="Arial" w:hAnsi="Arial"/>
        </w:rPr>
        <w:t>2015).  Il en résulte une augmentation de 0,3 million de francs suisses pour l</w:t>
      </w:r>
      <w:r w:rsidR="00E2055A" w:rsidRPr="00A32AF4">
        <w:rPr>
          <w:rFonts w:ascii="Arial" w:hAnsi="Arial"/>
        </w:rPr>
        <w:t>’</w:t>
      </w:r>
      <w:r w:rsidRPr="00A32AF4">
        <w:rPr>
          <w:rFonts w:ascii="Arial" w:hAnsi="Arial"/>
        </w:rPr>
        <w:t>exercice biennal 2016</w:t>
      </w:r>
      <w:r w:rsidR="00EB7F54" w:rsidRPr="00A32AF4">
        <w:rPr>
          <w:rFonts w:ascii="Arial" w:hAnsi="Arial"/>
        </w:rPr>
        <w:noBreakHyphen/>
      </w:r>
      <w:r w:rsidRPr="00A32AF4">
        <w:rPr>
          <w:rFonts w:ascii="Arial" w:hAnsi="Arial"/>
        </w:rPr>
        <w:t>2017.</w:t>
      </w:r>
    </w:p>
    <w:p w:rsidR="00DC0553" w:rsidRPr="00A32AF4" w:rsidRDefault="00DC0553" w:rsidP="00DC0553">
      <w:pPr>
        <w:jc w:val="both"/>
      </w:pPr>
    </w:p>
    <w:p w:rsidR="00DC0553" w:rsidRPr="00A32AF4" w:rsidRDefault="00DC0553" w:rsidP="00DC0553">
      <w:pPr>
        <w:pStyle w:val="ListParagraph"/>
        <w:numPr>
          <w:ilvl w:val="0"/>
          <w:numId w:val="72"/>
        </w:numPr>
        <w:tabs>
          <w:tab w:val="left" w:pos="567"/>
        </w:tabs>
        <w:spacing w:after="0" w:line="240" w:lineRule="auto"/>
        <w:ind w:left="0" w:firstLine="0"/>
        <w:jc w:val="both"/>
        <w:rPr>
          <w:rFonts w:ascii="Arial" w:hAnsi="Arial"/>
        </w:rPr>
      </w:pPr>
      <w:r w:rsidRPr="00A32AF4">
        <w:rPr>
          <w:rFonts w:ascii="Arial" w:hAnsi="Arial"/>
        </w:rPr>
        <w:t>L</w:t>
      </w:r>
      <w:r w:rsidR="00E2055A" w:rsidRPr="00A32AF4">
        <w:rPr>
          <w:rFonts w:ascii="Arial" w:hAnsi="Arial"/>
        </w:rPr>
        <w:t>’</w:t>
      </w:r>
      <w:r w:rsidRPr="00A32AF4">
        <w:rPr>
          <w:rFonts w:ascii="Arial" w:hAnsi="Arial"/>
        </w:rPr>
        <w:t xml:space="preserve">ancienne catégorie de dépenses “Autres bourses” a été renommée “Formations et demandes de paiement des frais de voyage y relatifs” afin de permettre une meilleure </w:t>
      </w:r>
      <w:r w:rsidR="00A977C7" w:rsidRPr="00A32AF4">
        <w:rPr>
          <w:rFonts w:ascii="Arial" w:hAnsi="Arial"/>
        </w:rPr>
        <w:t xml:space="preserve">distinction </w:t>
      </w:r>
      <w:r w:rsidRPr="00A32AF4">
        <w:rPr>
          <w:rFonts w:ascii="Arial" w:hAnsi="Arial"/>
        </w:rPr>
        <w:t>entre la nature de ces dépenses et celle des “Bourses de l</w:t>
      </w:r>
      <w:r w:rsidR="00E2055A" w:rsidRPr="00A32AF4">
        <w:rPr>
          <w:rFonts w:ascii="Arial" w:hAnsi="Arial"/>
        </w:rPr>
        <w:t>’</w:t>
      </w:r>
      <w:r w:rsidRPr="00A32AF4">
        <w:rPr>
          <w:rFonts w:ascii="Arial" w:hAnsi="Arial"/>
        </w:rPr>
        <w:t>OMPI”.  Si la diminution du montant de cette catégorie de dépenses par rapport au budget 2014</w:t>
      </w:r>
      <w:r w:rsidR="00EB7F54" w:rsidRPr="00A32AF4">
        <w:rPr>
          <w:rFonts w:ascii="Arial" w:hAnsi="Arial"/>
        </w:rPr>
        <w:noBreakHyphen/>
      </w:r>
      <w:r w:rsidRPr="00A32AF4">
        <w:rPr>
          <w:rFonts w:ascii="Arial" w:hAnsi="Arial"/>
        </w:rPr>
        <w:t>2015 après virements s</w:t>
      </w:r>
      <w:r w:rsidR="00E2055A" w:rsidRPr="00A32AF4">
        <w:rPr>
          <w:rFonts w:ascii="Arial" w:hAnsi="Arial"/>
        </w:rPr>
        <w:t>’</w:t>
      </w:r>
      <w:r w:rsidRPr="00A32AF4">
        <w:rPr>
          <w:rFonts w:ascii="Arial" w:hAnsi="Arial"/>
        </w:rPr>
        <w:t>élève à 0,8 million de francs suisses, elle n</w:t>
      </w:r>
      <w:r w:rsidR="00E2055A" w:rsidRPr="00A32AF4">
        <w:rPr>
          <w:rFonts w:ascii="Arial" w:hAnsi="Arial"/>
        </w:rPr>
        <w:t>’</w:t>
      </w:r>
      <w:r w:rsidRPr="00A32AF4">
        <w:rPr>
          <w:rFonts w:ascii="Arial" w:hAnsi="Arial"/>
        </w:rPr>
        <w:t>atteint que 0,2 million de francs suisses par rapport au budget 2014</w:t>
      </w:r>
      <w:r w:rsidR="00EB7F54" w:rsidRPr="00A32AF4">
        <w:rPr>
          <w:rFonts w:ascii="Arial" w:hAnsi="Arial"/>
        </w:rPr>
        <w:noBreakHyphen/>
      </w:r>
      <w:r w:rsidRPr="00A32AF4">
        <w:rPr>
          <w:rFonts w:ascii="Arial" w:hAnsi="Arial"/>
        </w:rPr>
        <w:t>2015 approuvé.  Les modifications constatées indiquent une nouvelle répartition des dépenses concernant l</w:t>
      </w:r>
      <w:r w:rsidR="00E2055A" w:rsidRPr="00A32AF4">
        <w:rPr>
          <w:rFonts w:ascii="Arial" w:hAnsi="Arial"/>
        </w:rPr>
        <w:t>’</w:t>
      </w:r>
      <w:r w:rsidRPr="00A32AF4">
        <w:rPr>
          <w:rFonts w:ascii="Arial" w:hAnsi="Arial"/>
        </w:rPr>
        <w:t>Académie de l</w:t>
      </w:r>
      <w:r w:rsidR="00E2055A" w:rsidRPr="00A32AF4">
        <w:rPr>
          <w:rFonts w:ascii="Arial" w:hAnsi="Arial"/>
        </w:rPr>
        <w:t>’</w:t>
      </w:r>
      <w:r w:rsidRPr="00A32AF4">
        <w:rPr>
          <w:rFonts w:ascii="Arial" w:hAnsi="Arial"/>
        </w:rPr>
        <w:t>OMPI et le programme 3 (Droit d</w:t>
      </w:r>
      <w:r w:rsidR="00E2055A" w:rsidRPr="00A32AF4">
        <w:rPr>
          <w:rFonts w:ascii="Arial" w:hAnsi="Arial"/>
        </w:rPr>
        <w:t>’</w:t>
      </w:r>
      <w:r w:rsidRPr="00A32AF4">
        <w:rPr>
          <w:rFonts w:ascii="Arial" w:hAnsi="Arial"/>
        </w:rPr>
        <w:t>auteur et droits connexes).</w:t>
      </w:r>
    </w:p>
    <w:p w:rsidR="00DC0553" w:rsidRPr="00A32AF4" w:rsidRDefault="00DC0553" w:rsidP="00DC0553">
      <w:pPr>
        <w:jc w:val="both"/>
      </w:pPr>
    </w:p>
    <w:p w:rsidR="00DC0553" w:rsidRPr="00A32AF4" w:rsidRDefault="00DC0553" w:rsidP="00DC0553">
      <w:pPr>
        <w:pStyle w:val="ListParagraph"/>
        <w:numPr>
          <w:ilvl w:val="0"/>
          <w:numId w:val="72"/>
        </w:numPr>
        <w:tabs>
          <w:tab w:val="left" w:pos="567"/>
        </w:tabs>
        <w:spacing w:after="0" w:line="240" w:lineRule="auto"/>
        <w:ind w:left="0" w:firstLine="0"/>
        <w:jc w:val="both"/>
        <w:rPr>
          <w:rFonts w:ascii="Arial" w:hAnsi="Arial"/>
        </w:rPr>
      </w:pPr>
      <w:r w:rsidRPr="00A32AF4">
        <w:rPr>
          <w:rFonts w:ascii="Arial" w:hAnsi="Arial"/>
        </w:rPr>
        <w:t>L</w:t>
      </w:r>
      <w:r w:rsidR="00E2055A" w:rsidRPr="00A32AF4">
        <w:rPr>
          <w:rFonts w:ascii="Arial" w:hAnsi="Arial"/>
        </w:rPr>
        <w:t>’</w:t>
      </w:r>
      <w:r w:rsidRPr="00A32AF4">
        <w:rPr>
          <w:rFonts w:ascii="Arial" w:hAnsi="Arial"/>
        </w:rPr>
        <w:t>augmentation des dépenses au titre des “Autres services contractuels” de 21,4 millions, soit 21,6%, par rapport au budget 2014</w:t>
      </w:r>
      <w:r w:rsidR="00EB7F54" w:rsidRPr="00A32AF4">
        <w:rPr>
          <w:rFonts w:ascii="Arial" w:hAnsi="Arial"/>
        </w:rPr>
        <w:noBreakHyphen/>
      </w:r>
      <w:r w:rsidRPr="00A32AF4">
        <w:rPr>
          <w:rFonts w:ascii="Arial" w:hAnsi="Arial"/>
        </w:rPr>
        <w:t>2015 après virements est essentiellement due à l</w:t>
      </w:r>
      <w:r w:rsidR="00E2055A" w:rsidRPr="00A32AF4">
        <w:rPr>
          <w:rFonts w:ascii="Arial" w:hAnsi="Arial"/>
        </w:rPr>
        <w:t>’</w:t>
      </w:r>
      <w:r w:rsidRPr="00A32AF4">
        <w:rPr>
          <w:rFonts w:ascii="Arial" w:hAnsi="Arial"/>
        </w:rPr>
        <w:t>accroissement des volumes de traduction du PCT, à la nécessité de conférer au PCT une capacité de résilience accrue, à l</w:t>
      </w:r>
      <w:r w:rsidR="00E2055A" w:rsidRPr="00A32AF4">
        <w:rPr>
          <w:rFonts w:ascii="Arial" w:hAnsi="Arial"/>
        </w:rPr>
        <w:t>’</w:t>
      </w:r>
      <w:r w:rsidRPr="00A32AF4">
        <w:rPr>
          <w:rFonts w:ascii="Arial" w:hAnsi="Arial"/>
        </w:rPr>
        <w:t>augmentation de la dépendance aux techniques de l</w:t>
      </w:r>
      <w:r w:rsidR="00E2055A" w:rsidRPr="00A32AF4">
        <w:rPr>
          <w:rFonts w:ascii="Arial" w:hAnsi="Arial"/>
        </w:rPr>
        <w:t>’</w:t>
      </w:r>
      <w:r w:rsidRPr="00A32AF4">
        <w:rPr>
          <w:rFonts w:ascii="Arial" w:hAnsi="Arial"/>
        </w:rPr>
        <w:t>information et de la communication et à la sécurité des informations.  Ce dernier élément entraîne également une augmentation des dépenses dans les “Fournitures” (notamment avec la hausse du coût des logiciels et des licences).</w:t>
      </w:r>
    </w:p>
    <w:p w:rsidR="00DC0553" w:rsidRPr="00A32AF4" w:rsidRDefault="00DC0553" w:rsidP="00DC0553">
      <w:pPr>
        <w:jc w:val="both"/>
      </w:pPr>
    </w:p>
    <w:p w:rsidR="00DC0553" w:rsidRPr="00A32AF4" w:rsidRDefault="00DC0553" w:rsidP="00DC0553">
      <w:pPr>
        <w:pStyle w:val="ListParagraph"/>
        <w:numPr>
          <w:ilvl w:val="0"/>
          <w:numId w:val="72"/>
        </w:numPr>
        <w:tabs>
          <w:tab w:val="left" w:pos="567"/>
        </w:tabs>
        <w:spacing w:after="0" w:line="240" w:lineRule="auto"/>
        <w:ind w:left="0" w:firstLine="0"/>
        <w:jc w:val="both"/>
        <w:rPr>
          <w:rFonts w:ascii="Arial" w:hAnsi="Arial"/>
        </w:rPr>
      </w:pPr>
      <w:r w:rsidRPr="00A32AF4">
        <w:rPr>
          <w:rFonts w:ascii="Arial" w:hAnsi="Arial"/>
        </w:rPr>
        <w:t>L</w:t>
      </w:r>
      <w:r w:rsidR="00E2055A" w:rsidRPr="00A32AF4">
        <w:rPr>
          <w:rFonts w:ascii="Arial" w:hAnsi="Arial"/>
        </w:rPr>
        <w:t>’</w:t>
      </w:r>
      <w:r w:rsidRPr="00A32AF4">
        <w:rPr>
          <w:rFonts w:ascii="Arial" w:hAnsi="Arial"/>
        </w:rPr>
        <w:t>augmentation des besoins opérationnels dans le cadre des systèmes d</w:t>
      </w:r>
      <w:r w:rsidR="00E2055A" w:rsidRPr="00A32AF4">
        <w:rPr>
          <w:rFonts w:ascii="Arial" w:hAnsi="Arial"/>
        </w:rPr>
        <w:t>’</w:t>
      </w:r>
      <w:r w:rsidRPr="00A32AF4">
        <w:rPr>
          <w:rFonts w:ascii="Arial" w:hAnsi="Arial"/>
        </w:rPr>
        <w:t>enregistrement international conduit à une hausse de 0,7 million de francs suisses des dotations budgétaires pour les “Bourses de l</w:t>
      </w:r>
      <w:r w:rsidR="00E2055A" w:rsidRPr="00A32AF4">
        <w:rPr>
          <w:rFonts w:ascii="Arial" w:hAnsi="Arial"/>
        </w:rPr>
        <w:t>’</w:t>
      </w:r>
      <w:r w:rsidRPr="00A32AF4">
        <w:rPr>
          <w:rFonts w:ascii="Arial" w:hAnsi="Arial"/>
        </w:rPr>
        <w:t>OMPI” en 2016</w:t>
      </w:r>
      <w:r w:rsidR="00EB7F54" w:rsidRPr="00A32AF4">
        <w:rPr>
          <w:rFonts w:ascii="Arial" w:hAnsi="Arial"/>
        </w:rPr>
        <w:noBreakHyphen/>
      </w:r>
      <w:r w:rsidRPr="00A32AF4">
        <w:rPr>
          <w:rFonts w:ascii="Arial" w:hAnsi="Arial"/>
        </w:rPr>
        <w:t>2017 par rapport au budget 2014</w:t>
      </w:r>
      <w:r w:rsidR="00EB7F54" w:rsidRPr="00A32AF4">
        <w:rPr>
          <w:rFonts w:ascii="Arial" w:hAnsi="Arial"/>
        </w:rPr>
        <w:noBreakHyphen/>
      </w:r>
      <w:r w:rsidRPr="00A32AF4">
        <w:rPr>
          <w:rFonts w:ascii="Arial" w:hAnsi="Arial"/>
        </w:rPr>
        <w:t>2015 après virements.</w:t>
      </w:r>
    </w:p>
    <w:p w:rsidR="00DC0553" w:rsidRPr="00A32AF4" w:rsidRDefault="00DC0553" w:rsidP="00DC0553">
      <w:pPr>
        <w:jc w:val="both"/>
      </w:pPr>
    </w:p>
    <w:p w:rsidR="00DC0553" w:rsidRPr="00A32AF4" w:rsidRDefault="00DC0553" w:rsidP="00DC0553">
      <w:pPr>
        <w:pStyle w:val="ListParagraph"/>
        <w:numPr>
          <w:ilvl w:val="0"/>
          <w:numId w:val="72"/>
        </w:numPr>
        <w:tabs>
          <w:tab w:val="left" w:pos="567"/>
        </w:tabs>
        <w:spacing w:after="0" w:line="240" w:lineRule="auto"/>
        <w:ind w:left="0" w:firstLine="0"/>
        <w:jc w:val="both"/>
        <w:rPr>
          <w:rFonts w:ascii="Arial" w:hAnsi="Arial"/>
        </w:rPr>
      </w:pPr>
      <w:r w:rsidRPr="00A32AF4">
        <w:rPr>
          <w:rFonts w:ascii="Arial" w:hAnsi="Arial"/>
        </w:rPr>
        <w:t>La baisse de 0,5 million de francs suisses des dotations budgétaires pour les “Conférences” s</w:t>
      </w:r>
      <w:r w:rsidR="00E2055A" w:rsidRPr="00A32AF4">
        <w:rPr>
          <w:rFonts w:ascii="Arial" w:hAnsi="Arial"/>
        </w:rPr>
        <w:t>’</w:t>
      </w:r>
      <w:r w:rsidRPr="00A32AF4">
        <w:rPr>
          <w:rFonts w:ascii="Arial" w:hAnsi="Arial"/>
        </w:rPr>
        <w:t>explique par le fait qu</w:t>
      </w:r>
      <w:r w:rsidR="00E2055A" w:rsidRPr="00A32AF4">
        <w:rPr>
          <w:rFonts w:ascii="Arial" w:hAnsi="Arial"/>
        </w:rPr>
        <w:t>’</w:t>
      </w:r>
      <w:r w:rsidRPr="00A32AF4">
        <w:rPr>
          <w:rFonts w:ascii="Arial" w:hAnsi="Arial"/>
        </w:rPr>
        <w:t>une provision pour deux conférences diplomatiques a été effectuée au titre des programmes 2 et 4 pour 2014</w:t>
      </w:r>
      <w:r w:rsidR="00EB7F54" w:rsidRPr="00A32AF4">
        <w:rPr>
          <w:rFonts w:ascii="Arial" w:hAnsi="Arial"/>
        </w:rPr>
        <w:noBreakHyphen/>
      </w:r>
      <w:r w:rsidRPr="00A32AF4">
        <w:rPr>
          <w:rFonts w:ascii="Arial" w:hAnsi="Arial"/>
        </w:rPr>
        <w:t>2015 contre une provision pour une éventuelle conférence diplomatique inscrite au budget 2016</w:t>
      </w:r>
      <w:r w:rsidR="00EB7F54" w:rsidRPr="00A32AF4">
        <w:rPr>
          <w:rFonts w:ascii="Arial" w:hAnsi="Arial"/>
        </w:rPr>
        <w:noBreakHyphen/>
      </w:r>
      <w:r w:rsidRPr="00A32AF4">
        <w:rPr>
          <w:rFonts w:ascii="Arial" w:hAnsi="Arial"/>
        </w:rPr>
        <w:t>2017 au titre des “Ressources autres que les crédits alloués aux dépenses de personnel non affectés”.</w:t>
      </w:r>
    </w:p>
    <w:p w:rsidR="00DC0553" w:rsidRPr="00A32AF4" w:rsidRDefault="00DC0553" w:rsidP="00DC0553">
      <w:pPr>
        <w:jc w:val="both"/>
      </w:pPr>
    </w:p>
    <w:p w:rsidR="00DC0553" w:rsidRPr="00A32AF4" w:rsidRDefault="00DC0553" w:rsidP="00DC0553">
      <w:pPr>
        <w:pStyle w:val="ListParagraph"/>
        <w:numPr>
          <w:ilvl w:val="0"/>
          <w:numId w:val="72"/>
        </w:numPr>
        <w:tabs>
          <w:tab w:val="left" w:pos="567"/>
        </w:tabs>
        <w:spacing w:after="0" w:line="240" w:lineRule="auto"/>
        <w:ind w:left="0" w:firstLine="0"/>
        <w:jc w:val="both"/>
        <w:rPr>
          <w:rFonts w:ascii="Arial" w:hAnsi="Arial"/>
        </w:rPr>
      </w:pPr>
      <w:r w:rsidRPr="00A32AF4">
        <w:rPr>
          <w:rFonts w:ascii="Arial" w:hAnsi="Arial"/>
        </w:rPr>
        <w:t>Pour l</w:t>
      </w:r>
      <w:r w:rsidR="00E2055A" w:rsidRPr="00A32AF4">
        <w:rPr>
          <w:rFonts w:ascii="Arial" w:hAnsi="Arial"/>
        </w:rPr>
        <w:t>’</w:t>
      </w:r>
      <w:r w:rsidRPr="00A32AF4">
        <w:rPr>
          <w:rFonts w:ascii="Arial" w:hAnsi="Arial"/>
        </w:rPr>
        <w:t>exercice biennal 2016</w:t>
      </w:r>
      <w:r w:rsidR="00EB7F54" w:rsidRPr="00A32AF4">
        <w:rPr>
          <w:rFonts w:ascii="Arial" w:hAnsi="Arial"/>
        </w:rPr>
        <w:noBreakHyphen/>
      </w:r>
      <w:r w:rsidRPr="00A32AF4">
        <w:rPr>
          <w:rFonts w:ascii="Arial" w:hAnsi="Arial"/>
        </w:rPr>
        <w:t>2017, les bourses ne sont plus inscrites au budget au titre du seul programme 23 (Gestion et mise en valeur des ressources humaines), elles ont été décentralisées dans plusieurs programmes.  La dotation budgétaire pour 2016</w:t>
      </w:r>
      <w:r w:rsidR="00EB7F54" w:rsidRPr="00A32AF4">
        <w:rPr>
          <w:rFonts w:ascii="Arial" w:hAnsi="Arial"/>
        </w:rPr>
        <w:noBreakHyphen/>
      </w:r>
      <w:r w:rsidRPr="00A32AF4">
        <w:rPr>
          <w:rFonts w:ascii="Arial" w:hAnsi="Arial"/>
        </w:rPr>
        <w:t>2017 représente une hausse de 0,1 million de francs suisses par rapport au budget 2014</w:t>
      </w:r>
      <w:r w:rsidR="00EB7F54" w:rsidRPr="00A32AF4">
        <w:rPr>
          <w:rFonts w:ascii="Arial" w:hAnsi="Arial"/>
        </w:rPr>
        <w:noBreakHyphen/>
      </w:r>
      <w:r w:rsidRPr="00A32AF4">
        <w:rPr>
          <w:rFonts w:ascii="Arial" w:hAnsi="Arial"/>
        </w:rPr>
        <w:t>2015 approuvé, ce qui témoigne d</w:t>
      </w:r>
      <w:r w:rsidR="00E2055A" w:rsidRPr="00A32AF4">
        <w:rPr>
          <w:rFonts w:ascii="Arial" w:hAnsi="Arial"/>
        </w:rPr>
        <w:t>’</w:t>
      </w:r>
      <w:r w:rsidRPr="00A32AF4">
        <w:rPr>
          <w:rFonts w:ascii="Arial" w:hAnsi="Arial"/>
        </w:rPr>
        <w:t>une hypothèse de planification plus réaliste, fondée sur les besoins attendus.</w:t>
      </w:r>
    </w:p>
    <w:p w:rsidR="00801C81" w:rsidRPr="00A32AF4" w:rsidRDefault="00801C81">
      <w:pPr>
        <w:rPr>
          <w:rFonts w:ascii="Arial Bold" w:hAnsi="Arial Bold" w:cs="Arial"/>
          <w:b/>
          <w:caps/>
          <w:szCs w:val="22"/>
        </w:rPr>
      </w:pPr>
      <w:bookmarkStart w:id="12" w:name="_Toc420062040"/>
      <w:r w:rsidRPr="00A32AF4">
        <w:br w:type="page"/>
      </w:r>
    </w:p>
    <w:p w:rsidR="00DC0553" w:rsidRPr="00A32AF4" w:rsidRDefault="00DC0553" w:rsidP="00FB1F61">
      <w:pPr>
        <w:pStyle w:val="Heading3"/>
      </w:pPr>
      <w:bookmarkStart w:id="13" w:name="_Toc431555431"/>
      <w:r w:rsidRPr="00A32AF4">
        <w:t>Dépenses de personnel</w:t>
      </w:r>
      <w:bookmarkEnd w:id="12"/>
      <w:bookmarkEnd w:id="13"/>
    </w:p>
    <w:p w:rsidR="00DC0553" w:rsidRPr="00A32AF4" w:rsidRDefault="00DC0553" w:rsidP="00DC0553"/>
    <w:p w:rsidR="00DC0553" w:rsidRPr="00A32AF4" w:rsidRDefault="00DC0553" w:rsidP="00DC0553">
      <w:pPr>
        <w:pStyle w:val="NormalWeb"/>
        <w:shd w:val="clear" w:color="auto" w:fill="FFFFFF"/>
        <w:spacing w:before="0" w:beforeAutospacing="0" w:after="0" w:afterAutospacing="0"/>
        <w:jc w:val="both"/>
        <w:rPr>
          <w:b/>
          <w:sz w:val="20"/>
          <w:szCs w:val="20"/>
        </w:rPr>
      </w:pPr>
      <w:r w:rsidRPr="00A32AF4">
        <w:rPr>
          <w:b/>
          <w:sz w:val="20"/>
          <w:szCs w:val="20"/>
        </w:rPr>
        <w:t>Méthode</w:t>
      </w:r>
    </w:p>
    <w:p w:rsidR="00DC0553" w:rsidRPr="00A32AF4" w:rsidRDefault="00DC0553" w:rsidP="00DC0553"/>
    <w:p w:rsidR="00DC0553" w:rsidRPr="00A32AF4" w:rsidRDefault="00DC0553" w:rsidP="00DC0553">
      <w:pPr>
        <w:pStyle w:val="ListParagraph"/>
        <w:numPr>
          <w:ilvl w:val="0"/>
          <w:numId w:val="72"/>
        </w:numPr>
        <w:tabs>
          <w:tab w:val="left" w:pos="567"/>
        </w:tabs>
        <w:spacing w:after="0" w:line="240" w:lineRule="auto"/>
        <w:ind w:left="0" w:firstLine="0"/>
        <w:jc w:val="both"/>
        <w:rPr>
          <w:rFonts w:ascii="Arial" w:hAnsi="Arial" w:cs="Arial"/>
          <w:szCs w:val="20"/>
        </w:rPr>
      </w:pPr>
      <w:r w:rsidRPr="00A32AF4">
        <w:rPr>
          <w:rFonts w:ascii="Arial" w:hAnsi="Arial" w:cs="Arial"/>
          <w:szCs w:val="20"/>
        </w:rPr>
        <w:t>Une modification a été apportée à la méthode utilisée pour le calcul des dépenses de personnel dans le budget, avec le passage d</w:t>
      </w:r>
      <w:r w:rsidR="00E2055A" w:rsidRPr="00A32AF4">
        <w:rPr>
          <w:rFonts w:ascii="Arial" w:hAnsi="Arial" w:cs="Arial"/>
          <w:szCs w:val="20"/>
        </w:rPr>
        <w:t>’</w:t>
      </w:r>
      <w:r w:rsidRPr="00A32AF4">
        <w:rPr>
          <w:rFonts w:ascii="Arial" w:hAnsi="Arial" w:cs="Arial"/>
          <w:szCs w:val="20"/>
        </w:rPr>
        <w:t>une méthode fondée sur les coûts annuels moyens à un calcul sur la base des montants réels.  Cette nouvelle méthode vise à renforcer la solidité des hypothèses de dépenses de personnel fondées sur les engagements effectifs de candidats retenus.</w:t>
      </w:r>
    </w:p>
    <w:p w:rsidR="00DC0553" w:rsidRPr="00A32AF4" w:rsidRDefault="00DC0553" w:rsidP="00DC0553">
      <w:pPr>
        <w:pStyle w:val="ListParagraph"/>
        <w:tabs>
          <w:tab w:val="left" w:pos="567"/>
        </w:tabs>
        <w:spacing w:line="240" w:lineRule="auto"/>
        <w:ind w:left="0"/>
        <w:jc w:val="both"/>
        <w:rPr>
          <w:rFonts w:ascii="Arial" w:hAnsi="Arial" w:cs="Arial"/>
          <w:szCs w:val="20"/>
        </w:rPr>
      </w:pPr>
    </w:p>
    <w:p w:rsidR="00DC0553" w:rsidRPr="00A32AF4" w:rsidRDefault="00DC0553" w:rsidP="00DC0553">
      <w:pPr>
        <w:pStyle w:val="ListParagraph"/>
        <w:numPr>
          <w:ilvl w:val="0"/>
          <w:numId w:val="72"/>
        </w:numPr>
        <w:tabs>
          <w:tab w:val="left" w:pos="567"/>
        </w:tabs>
        <w:spacing w:after="0" w:line="240" w:lineRule="auto"/>
        <w:ind w:left="0" w:firstLine="0"/>
        <w:jc w:val="both"/>
        <w:rPr>
          <w:rFonts w:ascii="Arial" w:hAnsi="Arial" w:cs="Arial"/>
          <w:szCs w:val="20"/>
        </w:rPr>
      </w:pPr>
      <w:r w:rsidRPr="00A32AF4">
        <w:rPr>
          <w:rFonts w:ascii="Arial" w:hAnsi="Arial" w:cs="Arial"/>
          <w:szCs w:val="20"/>
        </w:rPr>
        <w:t>Si les dépenses relatives aux postes occupés sont fondées sur les derniers barèmes de l</w:t>
      </w:r>
      <w:r w:rsidR="00E2055A" w:rsidRPr="00A32AF4">
        <w:rPr>
          <w:rFonts w:ascii="Arial" w:hAnsi="Arial" w:cs="Arial"/>
          <w:szCs w:val="20"/>
        </w:rPr>
        <w:t>’</w:t>
      </w:r>
      <w:r w:rsidRPr="00A32AF4">
        <w:rPr>
          <w:rFonts w:ascii="Arial" w:hAnsi="Arial" w:cs="Arial"/>
          <w:szCs w:val="20"/>
        </w:rPr>
        <w:t>ONU disponibles en matière de traitement et de rémunération considérée aux fins de la pension, d</w:t>
      </w:r>
      <w:r w:rsidR="00E2055A" w:rsidRPr="00A32AF4">
        <w:rPr>
          <w:rFonts w:ascii="Arial" w:hAnsi="Arial" w:cs="Arial"/>
          <w:szCs w:val="20"/>
        </w:rPr>
        <w:t>’</w:t>
      </w:r>
      <w:r w:rsidRPr="00A32AF4">
        <w:rPr>
          <w:rFonts w:ascii="Arial" w:hAnsi="Arial" w:cs="Arial"/>
          <w:szCs w:val="20"/>
        </w:rPr>
        <w:t>avantages et de prestations (conformément aux politiques et prestations applicables), les dépenses relatives aux postes à pourvoir sont fondées sur les dépenses moyennes standard.</w:t>
      </w:r>
    </w:p>
    <w:p w:rsidR="00DC0553" w:rsidRPr="00A32AF4" w:rsidRDefault="00DC0553" w:rsidP="00DC0553">
      <w:pPr>
        <w:pStyle w:val="ListParagraph"/>
        <w:tabs>
          <w:tab w:val="left" w:pos="567"/>
        </w:tabs>
        <w:spacing w:line="240" w:lineRule="auto"/>
        <w:ind w:left="0"/>
        <w:jc w:val="both"/>
        <w:rPr>
          <w:rFonts w:ascii="Arial" w:hAnsi="Arial" w:cs="Arial"/>
          <w:szCs w:val="20"/>
        </w:rPr>
      </w:pPr>
    </w:p>
    <w:p w:rsidR="00DC0553" w:rsidRPr="00A32AF4" w:rsidRDefault="00DC0553" w:rsidP="00DC0553">
      <w:pPr>
        <w:pStyle w:val="ListParagraph"/>
        <w:numPr>
          <w:ilvl w:val="0"/>
          <w:numId w:val="72"/>
        </w:numPr>
        <w:tabs>
          <w:tab w:val="left" w:pos="567"/>
        </w:tabs>
        <w:spacing w:after="0" w:line="240" w:lineRule="auto"/>
        <w:ind w:left="0" w:firstLine="0"/>
        <w:jc w:val="both"/>
        <w:rPr>
          <w:rFonts w:ascii="Arial" w:hAnsi="Arial" w:cs="Arial"/>
          <w:szCs w:val="20"/>
        </w:rPr>
      </w:pPr>
      <w:r w:rsidRPr="00A32AF4">
        <w:rPr>
          <w:rFonts w:ascii="Arial" w:hAnsi="Arial" w:cs="Arial"/>
          <w:szCs w:val="20"/>
        </w:rPr>
        <w:t>L</w:t>
      </w:r>
      <w:r w:rsidR="00E2055A" w:rsidRPr="00A32AF4">
        <w:rPr>
          <w:rFonts w:ascii="Arial" w:hAnsi="Arial" w:cs="Arial"/>
          <w:szCs w:val="20"/>
        </w:rPr>
        <w:t>’</w:t>
      </w:r>
      <w:r w:rsidRPr="00A32AF4">
        <w:rPr>
          <w:rFonts w:ascii="Arial" w:hAnsi="Arial" w:cs="Arial"/>
          <w:szCs w:val="20"/>
        </w:rPr>
        <w:t>application de la nouvelle méthode a été facilitée par l</w:t>
      </w:r>
      <w:r w:rsidR="00E2055A" w:rsidRPr="00A32AF4">
        <w:rPr>
          <w:rFonts w:ascii="Arial" w:hAnsi="Arial" w:cs="Arial"/>
          <w:szCs w:val="20"/>
        </w:rPr>
        <w:t>’</w:t>
      </w:r>
      <w:r w:rsidRPr="00A32AF4">
        <w:rPr>
          <w:rFonts w:ascii="Arial" w:hAnsi="Arial" w:cs="Arial"/>
          <w:szCs w:val="20"/>
        </w:rPr>
        <w:t>introduction du système ERP, qui est actuellement en cours de planification et permettra au Secrétariat de mieux suivre les dépenses de personnel effectives par niveau de poste durant la mise en œuvre du système.</w:t>
      </w:r>
    </w:p>
    <w:p w:rsidR="00DC0553" w:rsidRPr="00A32AF4" w:rsidRDefault="00DC0553" w:rsidP="00DC0553"/>
    <w:p w:rsidR="00B23142" w:rsidRPr="00A32AF4" w:rsidRDefault="00B23142" w:rsidP="00DC0553"/>
    <w:p w:rsidR="00DC0553" w:rsidRPr="00A32AF4" w:rsidRDefault="00DC0553" w:rsidP="00B23142">
      <w:pPr>
        <w:rPr>
          <w:b/>
        </w:rPr>
      </w:pPr>
      <w:r w:rsidRPr="00A32AF4">
        <w:rPr>
          <w:b/>
        </w:rPr>
        <w:t>Hypothèses de planification</w:t>
      </w:r>
    </w:p>
    <w:p w:rsidR="00B23142" w:rsidRPr="00A32AF4" w:rsidRDefault="00B23142" w:rsidP="00B23142">
      <w:pPr>
        <w:rPr>
          <w:b/>
        </w:rPr>
      </w:pPr>
    </w:p>
    <w:p w:rsidR="00DC0553" w:rsidRPr="00A32AF4" w:rsidRDefault="00DC0553" w:rsidP="00AE43FE">
      <w:pPr>
        <w:keepNext/>
        <w:keepLines/>
        <w:numPr>
          <w:ilvl w:val="0"/>
          <w:numId w:val="76"/>
        </w:numPr>
        <w:shd w:val="clear" w:color="auto" w:fill="FFFFFF"/>
        <w:tabs>
          <w:tab w:val="clear" w:pos="720"/>
        </w:tabs>
        <w:jc w:val="both"/>
        <w:rPr>
          <w:rFonts w:cs="Arial"/>
        </w:rPr>
      </w:pPr>
      <w:r w:rsidRPr="00A32AF4">
        <w:rPr>
          <w:rFonts w:cs="Arial"/>
        </w:rPr>
        <w:t>En ce qui concerne les postes occupés, le calcul des traitements pour 2016</w:t>
      </w:r>
      <w:r w:rsidR="00EB7F54" w:rsidRPr="00A32AF4">
        <w:rPr>
          <w:rFonts w:cs="Arial"/>
        </w:rPr>
        <w:noBreakHyphen/>
      </w:r>
      <w:r w:rsidRPr="00A32AF4">
        <w:rPr>
          <w:rFonts w:cs="Arial"/>
        </w:rPr>
        <w:t>2017 tient compte de l</w:t>
      </w:r>
      <w:r w:rsidR="00E2055A" w:rsidRPr="00A32AF4">
        <w:rPr>
          <w:rFonts w:cs="Arial"/>
        </w:rPr>
        <w:t>’</w:t>
      </w:r>
      <w:r w:rsidRPr="00A32AF4">
        <w:rPr>
          <w:rFonts w:cs="Arial"/>
        </w:rPr>
        <w:t>avancement d</w:t>
      </w:r>
      <w:r w:rsidR="00E2055A" w:rsidRPr="00A32AF4">
        <w:rPr>
          <w:rFonts w:cs="Arial"/>
        </w:rPr>
        <w:t>’</w:t>
      </w:r>
      <w:r w:rsidRPr="00A32AF4">
        <w:rPr>
          <w:rFonts w:cs="Arial"/>
        </w:rPr>
        <w:t>échelon (dans le grade) conformément au barème des traitements de la Commission de la fonction publique internationale (CFPI) applicable au moment du calcul et au Statut et Règlement du personnel.</w:t>
      </w:r>
    </w:p>
    <w:p w:rsidR="00DC0553" w:rsidRPr="00A32AF4" w:rsidRDefault="00DC0553" w:rsidP="00AE43FE">
      <w:pPr>
        <w:shd w:val="clear" w:color="auto" w:fill="FFFFFF"/>
        <w:ind w:left="1134" w:hanging="567"/>
        <w:jc w:val="both"/>
        <w:rPr>
          <w:rFonts w:cs="Arial"/>
        </w:rPr>
      </w:pPr>
    </w:p>
    <w:p w:rsidR="00DC0553" w:rsidRPr="00A32AF4" w:rsidRDefault="00DC0553" w:rsidP="00AE43FE">
      <w:pPr>
        <w:numPr>
          <w:ilvl w:val="0"/>
          <w:numId w:val="76"/>
        </w:numPr>
        <w:shd w:val="clear" w:color="auto" w:fill="FFFFFF"/>
        <w:tabs>
          <w:tab w:val="clear" w:pos="720"/>
        </w:tabs>
        <w:jc w:val="both"/>
        <w:rPr>
          <w:rFonts w:cs="Arial"/>
        </w:rPr>
      </w:pPr>
      <w:r w:rsidRPr="00A32AF4">
        <w:rPr>
          <w:rFonts w:cs="Arial"/>
        </w:rPr>
        <w:t>Le taux de change et le coefficient d</w:t>
      </w:r>
      <w:r w:rsidR="00E2055A" w:rsidRPr="00A32AF4">
        <w:rPr>
          <w:rFonts w:cs="Arial"/>
        </w:rPr>
        <w:t>’</w:t>
      </w:r>
      <w:r w:rsidRPr="00A32AF4">
        <w:rPr>
          <w:rFonts w:cs="Arial"/>
        </w:rPr>
        <w:t>ajustement de poste sont appliqués à compter de février 2015, le cas échéant (pour les traitements des administrateurs et des fonctionnaires de rang supérieur).</w:t>
      </w:r>
    </w:p>
    <w:p w:rsidR="00DC0553" w:rsidRPr="00A32AF4" w:rsidRDefault="00DC0553" w:rsidP="00AE43FE">
      <w:pPr>
        <w:ind w:left="1134" w:hanging="567"/>
      </w:pPr>
    </w:p>
    <w:p w:rsidR="00DC0553" w:rsidRPr="00A32AF4" w:rsidRDefault="00DC0553" w:rsidP="00AE43FE">
      <w:pPr>
        <w:numPr>
          <w:ilvl w:val="0"/>
          <w:numId w:val="76"/>
        </w:numPr>
        <w:shd w:val="clear" w:color="auto" w:fill="FFFFFF"/>
        <w:tabs>
          <w:tab w:val="clear" w:pos="720"/>
        </w:tabs>
        <w:jc w:val="both"/>
        <w:rPr>
          <w:rFonts w:cs="Arial"/>
        </w:rPr>
      </w:pPr>
      <w:r w:rsidRPr="00A32AF4">
        <w:rPr>
          <w:rFonts w:cs="Arial"/>
        </w:rPr>
        <w:t>La conversion USD/CHF s</w:t>
      </w:r>
      <w:r w:rsidR="00E2055A" w:rsidRPr="00A32AF4">
        <w:rPr>
          <w:rFonts w:cs="Arial"/>
        </w:rPr>
        <w:t>’</w:t>
      </w:r>
      <w:r w:rsidRPr="00A32AF4">
        <w:rPr>
          <w:rFonts w:cs="Arial"/>
        </w:rPr>
        <w:t>effectue selon un rapport 1:1 pour les rémunérations considérées aux fins de la pension selon le barème des traitements de la CFPI applicable au moment du calcul.</w:t>
      </w:r>
    </w:p>
    <w:p w:rsidR="00DC0553" w:rsidRPr="00A32AF4" w:rsidRDefault="00DC0553" w:rsidP="00AE43FE">
      <w:pPr>
        <w:ind w:left="1134" w:hanging="567"/>
      </w:pPr>
    </w:p>
    <w:p w:rsidR="00DC0553" w:rsidRPr="00A32AF4" w:rsidRDefault="00DC0553" w:rsidP="00AE43FE">
      <w:pPr>
        <w:numPr>
          <w:ilvl w:val="0"/>
          <w:numId w:val="76"/>
        </w:numPr>
        <w:shd w:val="clear" w:color="auto" w:fill="FFFFFF"/>
        <w:tabs>
          <w:tab w:val="clear" w:pos="720"/>
        </w:tabs>
        <w:jc w:val="both"/>
        <w:rPr>
          <w:rFonts w:cs="Arial"/>
        </w:rPr>
      </w:pPr>
      <w:r w:rsidRPr="00A32AF4">
        <w:rPr>
          <w:rFonts w:cs="Arial"/>
        </w:rPr>
        <w:t>Les avantages et prestations sont estimés par niveau de poste compte tenu des dernières informations provenant du système de paie pour les postes occupés.  Un coût moyen a été défini pour les postes vacants.</w:t>
      </w:r>
    </w:p>
    <w:p w:rsidR="00DC0553" w:rsidRPr="00A32AF4" w:rsidRDefault="00DC0553" w:rsidP="00AE43FE">
      <w:pPr>
        <w:ind w:left="1134" w:hanging="567"/>
      </w:pPr>
    </w:p>
    <w:p w:rsidR="00DC0553" w:rsidRPr="00A32AF4" w:rsidRDefault="00DC0553" w:rsidP="00AE43FE">
      <w:pPr>
        <w:numPr>
          <w:ilvl w:val="0"/>
          <w:numId w:val="76"/>
        </w:numPr>
        <w:shd w:val="clear" w:color="auto" w:fill="FFFFFF"/>
        <w:tabs>
          <w:tab w:val="clear" w:pos="720"/>
        </w:tabs>
        <w:jc w:val="both"/>
        <w:rPr>
          <w:rFonts w:cs="Arial"/>
        </w:rPr>
      </w:pPr>
      <w:r w:rsidRPr="00A32AF4">
        <w:rPr>
          <w:rFonts w:cs="Arial"/>
        </w:rPr>
        <w:t>Les provisions relatives au congé dans les foyers ont été réduites pour tenir compte des économies prévues d</w:t>
      </w:r>
      <w:r w:rsidR="00E2055A" w:rsidRPr="00A32AF4">
        <w:rPr>
          <w:rFonts w:cs="Arial"/>
        </w:rPr>
        <w:t>’</w:t>
      </w:r>
      <w:r w:rsidRPr="00A32AF4">
        <w:rPr>
          <w:rFonts w:cs="Arial"/>
        </w:rPr>
        <w:t>environ 4 millions de francs suisses pour l</w:t>
      </w:r>
      <w:r w:rsidR="00E2055A" w:rsidRPr="00A32AF4">
        <w:rPr>
          <w:rFonts w:cs="Arial"/>
        </w:rPr>
        <w:t>’</w:t>
      </w:r>
      <w:r w:rsidRPr="00A32AF4">
        <w:rPr>
          <w:rFonts w:cs="Arial"/>
        </w:rPr>
        <w:t>exercice biennal, résultant de la pleine application de la nouvelle politique relative au congé dans les foyers.</w:t>
      </w:r>
    </w:p>
    <w:p w:rsidR="00DC0553" w:rsidRPr="00A32AF4" w:rsidRDefault="00DC0553" w:rsidP="00AE43FE">
      <w:pPr>
        <w:ind w:left="1134" w:hanging="567"/>
      </w:pPr>
    </w:p>
    <w:p w:rsidR="00DC0553" w:rsidRPr="00A32AF4" w:rsidRDefault="00DC0553" w:rsidP="00AE43FE">
      <w:pPr>
        <w:numPr>
          <w:ilvl w:val="0"/>
          <w:numId w:val="76"/>
        </w:numPr>
        <w:shd w:val="clear" w:color="auto" w:fill="FFFFFF"/>
        <w:tabs>
          <w:tab w:val="clear" w:pos="720"/>
        </w:tabs>
        <w:jc w:val="both"/>
        <w:rPr>
          <w:rFonts w:cs="Arial"/>
        </w:rPr>
      </w:pPr>
      <w:r w:rsidRPr="00A32AF4">
        <w:rPr>
          <w:rFonts w:cs="Arial"/>
        </w:rPr>
        <w:t>Aucun nouveau poste n</w:t>
      </w:r>
      <w:r w:rsidR="00E2055A" w:rsidRPr="00A32AF4">
        <w:rPr>
          <w:rFonts w:cs="Arial"/>
        </w:rPr>
        <w:t>’</w:t>
      </w:r>
      <w:r w:rsidRPr="00A32AF4">
        <w:rPr>
          <w:rFonts w:cs="Arial"/>
        </w:rPr>
        <w:t>est prévu en 2016</w:t>
      </w:r>
      <w:r w:rsidR="00EB7F54" w:rsidRPr="00A32AF4">
        <w:rPr>
          <w:rFonts w:cs="Arial"/>
        </w:rPr>
        <w:noBreakHyphen/>
      </w:r>
      <w:r w:rsidRPr="00A32AF4">
        <w:rPr>
          <w:rFonts w:cs="Arial"/>
        </w:rPr>
        <w:t>2017.  Un taux de vacance global de 3% a été appliqué au calcul global des dépenses à partir de l</w:t>
      </w:r>
      <w:r w:rsidR="00E2055A" w:rsidRPr="00A32AF4">
        <w:rPr>
          <w:rFonts w:cs="Arial"/>
        </w:rPr>
        <w:t>’</w:t>
      </w:r>
      <w:r w:rsidRPr="00A32AF4">
        <w:rPr>
          <w:rFonts w:cs="Arial"/>
        </w:rPr>
        <w:t>hypothèse selon laquelle les améliorations en termes de productivité et l</w:t>
      </w:r>
      <w:r w:rsidR="00E2055A" w:rsidRPr="00A32AF4">
        <w:rPr>
          <w:rFonts w:cs="Arial"/>
        </w:rPr>
        <w:t>’</w:t>
      </w:r>
      <w:r w:rsidRPr="00A32AF4">
        <w:rPr>
          <w:rFonts w:cs="Arial"/>
        </w:rPr>
        <w:t>automatisation des procédures déboucheraient sur la non</w:t>
      </w:r>
      <w:r w:rsidR="00EB7F54" w:rsidRPr="00A32AF4">
        <w:rPr>
          <w:rFonts w:cs="Arial"/>
        </w:rPr>
        <w:noBreakHyphen/>
      </w:r>
      <w:r w:rsidRPr="00A32AF4">
        <w:rPr>
          <w:rFonts w:cs="Arial"/>
        </w:rPr>
        <w:t>attribution d</w:t>
      </w:r>
      <w:r w:rsidR="00E2055A" w:rsidRPr="00A32AF4">
        <w:rPr>
          <w:rFonts w:cs="Arial"/>
        </w:rPr>
        <w:t>’</w:t>
      </w:r>
      <w:r w:rsidRPr="00A32AF4">
        <w:rPr>
          <w:rFonts w:cs="Arial"/>
        </w:rPr>
        <w:t>une vingtaine de postes durant l</w:t>
      </w:r>
      <w:r w:rsidR="00E2055A" w:rsidRPr="00A32AF4">
        <w:rPr>
          <w:rFonts w:cs="Arial"/>
        </w:rPr>
        <w:t>’</w:t>
      </w:r>
      <w:r w:rsidRPr="00A32AF4">
        <w:rPr>
          <w:rFonts w:cs="Arial"/>
        </w:rPr>
        <w:t>exercice biennal sans que cela ait d</w:t>
      </w:r>
      <w:r w:rsidR="00E2055A" w:rsidRPr="00A32AF4">
        <w:rPr>
          <w:rFonts w:cs="Arial"/>
        </w:rPr>
        <w:t>’</w:t>
      </w:r>
      <w:r w:rsidRPr="00A32AF4">
        <w:rPr>
          <w:rFonts w:cs="Arial"/>
        </w:rPr>
        <w:t>incidence sur l</w:t>
      </w:r>
      <w:r w:rsidR="00E2055A" w:rsidRPr="00A32AF4">
        <w:rPr>
          <w:rFonts w:cs="Arial"/>
        </w:rPr>
        <w:t>’</w:t>
      </w:r>
      <w:r w:rsidRPr="00A32AF4">
        <w:rPr>
          <w:rFonts w:cs="Arial"/>
        </w:rPr>
        <w:t>obtention des résultats escomptés.  Les recrutements seront aussi gérés de manière prudente pour s</w:t>
      </w:r>
      <w:r w:rsidR="00E2055A" w:rsidRPr="00A32AF4">
        <w:rPr>
          <w:rFonts w:cs="Arial"/>
        </w:rPr>
        <w:t>’</w:t>
      </w:r>
      <w:r w:rsidRPr="00A32AF4">
        <w:rPr>
          <w:rFonts w:cs="Arial"/>
        </w:rPr>
        <w:t>assurer que 10 autres postes restent vacants à tout moment.</w:t>
      </w:r>
    </w:p>
    <w:p w:rsidR="00DC0553" w:rsidRPr="00A32AF4" w:rsidRDefault="00DC0553" w:rsidP="00AE43FE">
      <w:pPr>
        <w:ind w:left="1134" w:hanging="567"/>
      </w:pPr>
    </w:p>
    <w:p w:rsidR="00DC0553" w:rsidRPr="00A32AF4" w:rsidRDefault="00DC0553" w:rsidP="00AE43FE">
      <w:pPr>
        <w:numPr>
          <w:ilvl w:val="0"/>
          <w:numId w:val="76"/>
        </w:numPr>
        <w:shd w:val="clear" w:color="auto" w:fill="FFFFFF"/>
        <w:tabs>
          <w:tab w:val="clear" w:pos="720"/>
        </w:tabs>
        <w:jc w:val="both"/>
        <w:rPr>
          <w:rFonts w:cs="Arial"/>
        </w:rPr>
      </w:pPr>
      <w:r w:rsidRPr="00A32AF4">
        <w:rPr>
          <w:rFonts w:cs="Arial"/>
        </w:rPr>
        <w:t>Les provisions au titre de l</w:t>
      </w:r>
      <w:r w:rsidR="00E2055A" w:rsidRPr="00A32AF4">
        <w:rPr>
          <w:rFonts w:cs="Arial"/>
        </w:rPr>
        <w:t>’</w:t>
      </w:r>
      <w:r w:rsidRPr="00A32AF4">
        <w:rPr>
          <w:rFonts w:cs="Arial"/>
        </w:rPr>
        <w:t>assurance maladie après la cessation de service ont été maintenues à 6% pour les engagements pour une durée déterminée ou à titre continu.</w:t>
      </w:r>
    </w:p>
    <w:p w:rsidR="00DC0553" w:rsidRPr="00A32AF4" w:rsidRDefault="00DC0553" w:rsidP="00AE43FE">
      <w:pPr>
        <w:shd w:val="clear" w:color="auto" w:fill="FFFFFF"/>
        <w:ind w:left="1134" w:hanging="567"/>
        <w:jc w:val="both"/>
        <w:rPr>
          <w:rFonts w:cs="Arial"/>
        </w:rPr>
      </w:pPr>
    </w:p>
    <w:p w:rsidR="00DC0553" w:rsidRPr="00A32AF4" w:rsidRDefault="00DC0553" w:rsidP="00AE43FE">
      <w:pPr>
        <w:numPr>
          <w:ilvl w:val="0"/>
          <w:numId w:val="76"/>
        </w:numPr>
        <w:shd w:val="clear" w:color="auto" w:fill="FFFFFF"/>
        <w:tabs>
          <w:tab w:val="clear" w:pos="720"/>
        </w:tabs>
        <w:jc w:val="both"/>
        <w:rPr>
          <w:rFonts w:cs="Arial"/>
        </w:rPr>
      </w:pPr>
      <w:r w:rsidRPr="00A32AF4">
        <w:rPr>
          <w:rFonts w:eastAsia="SimSun" w:cs="Arial"/>
          <w:lang w:eastAsia="zh-CN"/>
        </w:rPr>
        <w:t>Les autres dépenses de personnel incluent les provisions budgétaires biennales pour l</w:t>
      </w:r>
      <w:r w:rsidR="00E2055A" w:rsidRPr="00A32AF4">
        <w:rPr>
          <w:rFonts w:eastAsia="SimSun" w:cs="Arial"/>
          <w:lang w:eastAsia="zh-CN"/>
        </w:rPr>
        <w:t>’</w:t>
      </w:r>
      <w:r w:rsidRPr="00A32AF4">
        <w:rPr>
          <w:rFonts w:eastAsia="SimSun" w:cs="Arial"/>
          <w:lang w:eastAsia="zh-CN"/>
        </w:rPr>
        <w:t>assurance accidents professionnels (900 000 francs suisses), les contributions à la caisse de retraite fermée (700 000 francs suisses), les frais de justice (400 000 francs suisses) et le programme de récompenses et de reconnaissance de l</w:t>
      </w:r>
      <w:r w:rsidR="00E2055A" w:rsidRPr="00A32AF4">
        <w:rPr>
          <w:rFonts w:eastAsia="SimSun" w:cs="Arial"/>
          <w:lang w:eastAsia="zh-CN"/>
        </w:rPr>
        <w:t>’</w:t>
      </w:r>
      <w:r w:rsidRPr="00A32AF4">
        <w:rPr>
          <w:rFonts w:eastAsia="SimSun" w:cs="Arial"/>
          <w:lang w:eastAsia="zh-CN"/>
        </w:rPr>
        <w:t>OMPI (120 000 francs suisses) introduit en 2014.</w:t>
      </w:r>
    </w:p>
    <w:p w:rsidR="00DC0553" w:rsidRPr="00A32AF4" w:rsidRDefault="00DC0553" w:rsidP="00AE43FE">
      <w:pPr>
        <w:shd w:val="clear" w:color="auto" w:fill="FFFFFF"/>
        <w:ind w:left="1134" w:hanging="567"/>
        <w:jc w:val="both"/>
        <w:rPr>
          <w:rFonts w:cs="Arial"/>
        </w:rPr>
      </w:pPr>
    </w:p>
    <w:p w:rsidR="00DC0553" w:rsidRPr="00A32AF4" w:rsidRDefault="00DC0553" w:rsidP="00AE43FE">
      <w:pPr>
        <w:numPr>
          <w:ilvl w:val="0"/>
          <w:numId w:val="76"/>
        </w:numPr>
        <w:shd w:val="clear" w:color="auto" w:fill="FFFFFF"/>
        <w:tabs>
          <w:tab w:val="clear" w:pos="720"/>
        </w:tabs>
        <w:jc w:val="both"/>
        <w:rPr>
          <w:rFonts w:cs="Arial"/>
        </w:rPr>
      </w:pPr>
      <w:r w:rsidRPr="00A32AF4">
        <w:rPr>
          <w:rFonts w:cs="Arial"/>
        </w:rPr>
        <w:t>Les provisions budgétaires pour les reclassements sont fixées à 1,5 million de francs suisses dans les “Crédits non affectés (Personnel)” sur la base des coûts réels des reclassements en 2014</w:t>
      </w:r>
      <w:r w:rsidR="00EB7F54" w:rsidRPr="00A32AF4">
        <w:rPr>
          <w:rFonts w:cs="Arial"/>
        </w:rPr>
        <w:noBreakHyphen/>
      </w:r>
      <w:r w:rsidRPr="00A32AF4">
        <w:rPr>
          <w:rFonts w:cs="Arial"/>
        </w:rPr>
        <w:t>2015.</w:t>
      </w:r>
    </w:p>
    <w:p w:rsidR="00DC0553" w:rsidRPr="00A32AF4" w:rsidRDefault="00DC0553" w:rsidP="00AE43FE">
      <w:pPr>
        <w:ind w:left="1134" w:hanging="567"/>
        <w:jc w:val="both"/>
        <w:rPr>
          <w:rFonts w:eastAsia="SimSun" w:cs="Arial"/>
          <w:lang w:eastAsia="zh-CN"/>
        </w:rPr>
      </w:pPr>
    </w:p>
    <w:p w:rsidR="00DC0553" w:rsidRPr="00A32AF4" w:rsidRDefault="00DC0553" w:rsidP="00AE43FE">
      <w:pPr>
        <w:numPr>
          <w:ilvl w:val="0"/>
          <w:numId w:val="76"/>
        </w:numPr>
        <w:tabs>
          <w:tab w:val="clear" w:pos="720"/>
        </w:tabs>
        <w:jc w:val="both"/>
        <w:rPr>
          <w:rFonts w:eastAsia="SimSun" w:cs="Arial"/>
          <w:lang w:eastAsia="zh-CN"/>
        </w:rPr>
      </w:pPr>
      <w:r w:rsidRPr="00A32AF4">
        <w:rPr>
          <w:rFonts w:eastAsia="SimSun" w:cs="Arial"/>
          <w:lang w:eastAsia="zh-CN"/>
        </w:rPr>
        <w:t>Le processus de régularisation des agents temporaires de longue durée exerçant des fonctions continues sera presque achevé au cours de l</w:t>
      </w:r>
      <w:r w:rsidR="00E2055A" w:rsidRPr="00A32AF4">
        <w:rPr>
          <w:rFonts w:eastAsia="SimSun" w:cs="Arial"/>
          <w:lang w:eastAsia="zh-CN"/>
        </w:rPr>
        <w:t>’</w:t>
      </w:r>
      <w:r w:rsidRPr="00A32AF4">
        <w:rPr>
          <w:rFonts w:eastAsia="SimSun" w:cs="Arial"/>
          <w:lang w:eastAsia="zh-CN"/>
        </w:rPr>
        <w:t>exercice biennal 2014</w:t>
      </w:r>
      <w:r w:rsidR="00EB7F54" w:rsidRPr="00A32AF4">
        <w:rPr>
          <w:rFonts w:eastAsia="SimSun" w:cs="Arial"/>
          <w:lang w:eastAsia="zh-CN"/>
        </w:rPr>
        <w:noBreakHyphen/>
      </w:r>
      <w:r w:rsidRPr="00A32AF4">
        <w:rPr>
          <w:rFonts w:eastAsia="SimSun" w:cs="Arial"/>
          <w:lang w:eastAsia="zh-CN"/>
        </w:rPr>
        <w:t>2015, établissant une base solide pour les besoins en personnel de l</w:t>
      </w:r>
      <w:r w:rsidR="00E2055A" w:rsidRPr="00A32AF4">
        <w:rPr>
          <w:rFonts w:eastAsia="SimSun" w:cs="Arial"/>
          <w:lang w:eastAsia="zh-CN"/>
        </w:rPr>
        <w:t>’</w:t>
      </w:r>
      <w:r w:rsidRPr="00A32AF4">
        <w:rPr>
          <w:rFonts w:eastAsia="SimSun" w:cs="Arial"/>
          <w:lang w:eastAsia="zh-CN"/>
        </w:rPr>
        <w:t>Organisation.  Durant le prochain exercice biennal, l</w:t>
      </w:r>
      <w:r w:rsidR="00E2055A" w:rsidRPr="00A32AF4">
        <w:rPr>
          <w:rFonts w:eastAsia="SimSun" w:cs="Arial"/>
          <w:lang w:eastAsia="zh-CN"/>
        </w:rPr>
        <w:t>’</w:t>
      </w:r>
      <w:r w:rsidRPr="00A32AF4">
        <w:rPr>
          <w:rFonts w:eastAsia="SimSun" w:cs="Arial"/>
          <w:lang w:eastAsia="zh-CN"/>
        </w:rPr>
        <w:t>accent sera mis sur les moyens de satisfaire la demande croissante grâce à des schémas plus novateurs et viables de renouvellement des effectifs.  Un montant de 800 000 francs suisses a été alloué aux “Crédits non affectés (Personnel)” pour la régularisation des derniers agents temporaires exerçant des fonctions continues, dans le cadre des 156 postes dont la création a été approuvée en principe par les États membres durant l</w:t>
      </w:r>
      <w:r w:rsidR="00E2055A" w:rsidRPr="00A32AF4">
        <w:rPr>
          <w:rFonts w:eastAsia="SimSun" w:cs="Arial"/>
          <w:lang w:eastAsia="zh-CN"/>
        </w:rPr>
        <w:t>’</w:t>
      </w:r>
      <w:r w:rsidRPr="00A32AF4">
        <w:rPr>
          <w:rFonts w:eastAsia="SimSun" w:cs="Arial"/>
          <w:lang w:eastAsia="zh-CN"/>
        </w:rPr>
        <w:t>Assemblée générale de 2010 (document de référence WO/CC/63/5).  Au total, 41 régularisations sont actuellement en suspens.</w:t>
      </w:r>
    </w:p>
    <w:p w:rsidR="00DC0553" w:rsidRPr="00A32AF4" w:rsidRDefault="00DC0553" w:rsidP="00AE43FE">
      <w:pPr>
        <w:shd w:val="clear" w:color="auto" w:fill="FFFFFF"/>
        <w:ind w:left="1134" w:hanging="567"/>
        <w:jc w:val="both"/>
        <w:rPr>
          <w:rFonts w:cs="Arial"/>
        </w:rPr>
      </w:pPr>
    </w:p>
    <w:p w:rsidR="00DC0553" w:rsidRPr="00A32AF4" w:rsidRDefault="00DC0553" w:rsidP="00AE43FE">
      <w:pPr>
        <w:numPr>
          <w:ilvl w:val="0"/>
          <w:numId w:val="76"/>
        </w:numPr>
        <w:shd w:val="clear" w:color="auto" w:fill="FFFFFF"/>
        <w:tabs>
          <w:tab w:val="clear" w:pos="720"/>
        </w:tabs>
        <w:jc w:val="both"/>
        <w:rPr>
          <w:rFonts w:cs="Arial"/>
        </w:rPr>
      </w:pPr>
      <w:r w:rsidRPr="00A32AF4">
        <w:rPr>
          <w:rFonts w:eastAsia="SimSun" w:cs="Arial"/>
          <w:lang w:eastAsia="zh-CN"/>
        </w:rPr>
        <w:t>Afin de permettre au Secrétariat de mieux suivre et contrôler les dépenses relatives aux heures supplémentaires, les coûts estimés dans ce domaine font l</w:t>
      </w:r>
      <w:r w:rsidR="00E2055A" w:rsidRPr="00A32AF4">
        <w:rPr>
          <w:rFonts w:eastAsia="SimSun" w:cs="Arial"/>
          <w:lang w:eastAsia="zh-CN"/>
        </w:rPr>
        <w:t>’</w:t>
      </w:r>
      <w:r w:rsidRPr="00A32AF4">
        <w:rPr>
          <w:rFonts w:eastAsia="SimSun" w:cs="Arial"/>
          <w:lang w:eastAsia="zh-CN"/>
        </w:rPr>
        <w:t>objet d</w:t>
      </w:r>
      <w:r w:rsidR="00E2055A" w:rsidRPr="00A32AF4">
        <w:rPr>
          <w:rFonts w:eastAsia="SimSun" w:cs="Arial"/>
          <w:lang w:eastAsia="zh-CN"/>
        </w:rPr>
        <w:t>’</w:t>
      </w:r>
      <w:r w:rsidRPr="00A32AF4">
        <w:rPr>
          <w:rFonts w:eastAsia="SimSun" w:cs="Arial"/>
          <w:lang w:eastAsia="zh-CN"/>
        </w:rPr>
        <w:t>une provision budgétaire distincte dans les “Crédits non affectés (Personnel)”.  Cette provision, établie sur la base des budgets précédents, s</w:t>
      </w:r>
      <w:r w:rsidR="00E2055A" w:rsidRPr="00A32AF4">
        <w:rPr>
          <w:rFonts w:eastAsia="SimSun" w:cs="Arial"/>
          <w:lang w:eastAsia="zh-CN"/>
        </w:rPr>
        <w:t>’</w:t>
      </w:r>
      <w:r w:rsidRPr="00A32AF4">
        <w:rPr>
          <w:rFonts w:eastAsia="SimSun" w:cs="Arial"/>
          <w:lang w:eastAsia="zh-CN"/>
        </w:rPr>
        <w:t>élève à 2 millions de francs suisses.  Les dépenses relatives aux heures supplémentaires seront suivies de près, en coordination avec le programme 23 (Gestion et mise en valeur des ressources humaines) et les autres programmes concernés.</w:t>
      </w:r>
    </w:p>
    <w:p w:rsidR="00DC0553" w:rsidRPr="00A32AF4" w:rsidRDefault="00DC0553" w:rsidP="00DC0553">
      <w:pPr>
        <w:tabs>
          <w:tab w:val="num" w:pos="690"/>
        </w:tabs>
        <w:jc w:val="both"/>
        <w:rPr>
          <w:rFonts w:cs="Arial"/>
        </w:rPr>
      </w:pPr>
    </w:p>
    <w:p w:rsidR="00DC0553" w:rsidRPr="00A32AF4" w:rsidRDefault="00DC0553" w:rsidP="00DC0553">
      <w:pPr>
        <w:pStyle w:val="ListParagraph"/>
        <w:numPr>
          <w:ilvl w:val="0"/>
          <w:numId w:val="72"/>
        </w:numPr>
        <w:tabs>
          <w:tab w:val="left" w:pos="567"/>
        </w:tabs>
        <w:spacing w:after="0" w:line="240" w:lineRule="auto"/>
        <w:ind w:left="0" w:firstLine="0"/>
        <w:jc w:val="both"/>
        <w:rPr>
          <w:rFonts w:ascii="Arial" w:eastAsia="SimSun" w:hAnsi="Arial" w:cs="Arial"/>
          <w:lang w:eastAsia="zh-CN"/>
        </w:rPr>
      </w:pPr>
      <w:r w:rsidRPr="00A32AF4">
        <w:rPr>
          <w:rFonts w:ascii="Arial" w:hAnsi="Arial" w:cs="Arial"/>
        </w:rPr>
        <w:t>Reposant sur les hypothèses de planification présentées ci</w:t>
      </w:r>
      <w:r w:rsidR="00EB7F54" w:rsidRPr="00A32AF4">
        <w:rPr>
          <w:rFonts w:ascii="Arial" w:hAnsi="Arial" w:cs="Arial"/>
        </w:rPr>
        <w:noBreakHyphen/>
      </w:r>
      <w:r w:rsidRPr="00A32AF4">
        <w:rPr>
          <w:rFonts w:ascii="Arial" w:hAnsi="Arial" w:cs="Arial"/>
        </w:rPr>
        <w:t>dessus, l</w:t>
      </w:r>
      <w:r w:rsidR="00E2055A" w:rsidRPr="00A32AF4">
        <w:rPr>
          <w:rFonts w:ascii="Arial" w:hAnsi="Arial" w:cs="Arial"/>
        </w:rPr>
        <w:t>’</w:t>
      </w:r>
      <w:r w:rsidRPr="00A32AF4">
        <w:rPr>
          <w:rFonts w:ascii="Arial" w:hAnsi="Arial" w:cs="Arial"/>
        </w:rPr>
        <w:t>augmentation des dépenses de personnel en 2016</w:t>
      </w:r>
      <w:r w:rsidR="00EB7F54" w:rsidRPr="00A32AF4">
        <w:rPr>
          <w:rFonts w:ascii="Arial" w:hAnsi="Arial" w:cs="Arial"/>
        </w:rPr>
        <w:noBreakHyphen/>
      </w:r>
      <w:r w:rsidRPr="00A32AF4">
        <w:rPr>
          <w:rFonts w:ascii="Arial" w:hAnsi="Arial" w:cs="Arial"/>
        </w:rPr>
        <w:t>2017 a été limitée à 9,6 millions de francs suisses, soit 2,1%, par rapport au budget 2014</w:t>
      </w:r>
      <w:r w:rsidR="00EB7F54" w:rsidRPr="00A32AF4">
        <w:rPr>
          <w:rFonts w:ascii="Arial" w:hAnsi="Arial" w:cs="Arial"/>
        </w:rPr>
        <w:noBreakHyphen/>
      </w:r>
      <w:r w:rsidRPr="00A32AF4">
        <w:rPr>
          <w:rFonts w:ascii="Arial" w:hAnsi="Arial" w:cs="Arial"/>
        </w:rPr>
        <w:t>2015 approuvé.  Elle s</w:t>
      </w:r>
      <w:r w:rsidR="00E2055A" w:rsidRPr="00A32AF4">
        <w:rPr>
          <w:rFonts w:ascii="Arial" w:hAnsi="Arial" w:cs="Arial"/>
        </w:rPr>
        <w:t>’</w:t>
      </w:r>
      <w:r w:rsidRPr="00A32AF4">
        <w:rPr>
          <w:rFonts w:ascii="Arial" w:hAnsi="Arial" w:cs="Arial"/>
        </w:rPr>
        <w:t>élève à 10,3 millions de francs suisses, soit 2,3%</w:t>
      </w:r>
      <w:r w:rsidR="006D0119" w:rsidRPr="00A32AF4">
        <w:rPr>
          <w:rFonts w:ascii="Arial" w:hAnsi="Arial" w:cs="Arial"/>
        </w:rPr>
        <w:t>,</w:t>
      </w:r>
      <w:r w:rsidRPr="00A32AF4">
        <w:rPr>
          <w:rFonts w:ascii="Arial" w:hAnsi="Arial" w:cs="Arial"/>
        </w:rPr>
        <w:t xml:space="preserve"> par rapport au budget 2014</w:t>
      </w:r>
      <w:r w:rsidR="00EB7F54" w:rsidRPr="00A32AF4">
        <w:rPr>
          <w:rFonts w:ascii="Arial" w:hAnsi="Arial" w:cs="Arial"/>
        </w:rPr>
        <w:noBreakHyphen/>
      </w:r>
      <w:r w:rsidRPr="00A32AF4">
        <w:rPr>
          <w:rFonts w:ascii="Arial" w:hAnsi="Arial" w:cs="Arial"/>
        </w:rPr>
        <w:t>2015 après virements.</w:t>
      </w:r>
      <w:r w:rsidRPr="00A32AF4">
        <w:rPr>
          <w:rFonts w:ascii="Arial" w:eastAsia="SimSun" w:hAnsi="Arial" w:cs="Arial"/>
          <w:lang w:eastAsia="zh-CN"/>
        </w:rPr>
        <w:t xml:space="preserve"> </w:t>
      </w:r>
      <w:r w:rsidRPr="00A32AF4">
        <w:rPr>
          <w:rFonts w:ascii="Arial" w:hAnsi="Arial" w:cs="Arial"/>
        </w:rPr>
        <w:t xml:space="preserve"> </w:t>
      </w:r>
      <w:r w:rsidRPr="00A32AF4">
        <w:rPr>
          <w:rFonts w:ascii="Arial" w:eastAsia="SimSun" w:hAnsi="Arial" w:cs="Arial"/>
          <w:lang w:eastAsia="zh-CN"/>
        </w:rPr>
        <w:t>La part des dépenses de personnel prévues dans le budget total est passée de 66,3% en 2014</w:t>
      </w:r>
      <w:r w:rsidR="00EB7F54" w:rsidRPr="00A32AF4">
        <w:rPr>
          <w:rFonts w:ascii="Arial" w:eastAsia="SimSun" w:hAnsi="Arial" w:cs="Arial"/>
          <w:lang w:eastAsia="zh-CN"/>
        </w:rPr>
        <w:noBreakHyphen/>
      </w:r>
      <w:r w:rsidRPr="00A32AF4">
        <w:rPr>
          <w:rFonts w:ascii="Arial" w:eastAsia="SimSun" w:hAnsi="Arial" w:cs="Arial"/>
          <w:lang w:eastAsia="zh-CN"/>
        </w:rPr>
        <w:t>2015 à 64,6% en 2016</w:t>
      </w:r>
      <w:r w:rsidR="00EB7F54" w:rsidRPr="00A32AF4">
        <w:rPr>
          <w:rFonts w:ascii="Arial" w:eastAsia="SimSun" w:hAnsi="Arial" w:cs="Arial"/>
          <w:lang w:eastAsia="zh-CN"/>
        </w:rPr>
        <w:noBreakHyphen/>
      </w:r>
      <w:r w:rsidRPr="00A32AF4">
        <w:rPr>
          <w:rFonts w:ascii="Arial" w:eastAsia="SimSun" w:hAnsi="Arial" w:cs="Arial"/>
          <w:lang w:eastAsia="zh-CN"/>
        </w:rPr>
        <w:t>2017.  Cette baisse est le résultat d</w:t>
      </w:r>
      <w:r w:rsidR="00E2055A" w:rsidRPr="00A32AF4">
        <w:rPr>
          <w:rFonts w:ascii="Arial" w:eastAsia="SimSun" w:hAnsi="Arial" w:cs="Arial"/>
          <w:lang w:eastAsia="zh-CN"/>
        </w:rPr>
        <w:t>’</w:t>
      </w:r>
      <w:r w:rsidRPr="00A32AF4">
        <w:rPr>
          <w:rFonts w:ascii="Arial" w:eastAsia="SimSun" w:hAnsi="Arial" w:cs="Arial"/>
          <w:lang w:eastAsia="zh-CN"/>
        </w:rPr>
        <w:t>une stratégie délibérée de maîtrise des dépenses de personnel, et de leur part dans les dépenses totales de l</w:t>
      </w:r>
      <w:r w:rsidR="00E2055A" w:rsidRPr="00A32AF4">
        <w:rPr>
          <w:rFonts w:ascii="Arial" w:eastAsia="SimSun" w:hAnsi="Arial" w:cs="Arial"/>
          <w:lang w:eastAsia="zh-CN"/>
        </w:rPr>
        <w:t>’</w:t>
      </w:r>
      <w:r w:rsidRPr="00A32AF4">
        <w:rPr>
          <w:rFonts w:ascii="Arial" w:eastAsia="SimSun" w:hAnsi="Arial" w:cs="Arial"/>
          <w:lang w:eastAsia="zh-CN"/>
        </w:rPr>
        <w:t>Organisation, et d</w:t>
      </w:r>
      <w:r w:rsidR="00E2055A" w:rsidRPr="00A32AF4">
        <w:rPr>
          <w:rFonts w:ascii="Arial" w:eastAsia="SimSun" w:hAnsi="Arial" w:cs="Arial"/>
          <w:lang w:eastAsia="zh-CN"/>
        </w:rPr>
        <w:t>’</w:t>
      </w:r>
      <w:r w:rsidRPr="00A32AF4">
        <w:rPr>
          <w:rFonts w:ascii="Arial" w:eastAsia="SimSun" w:hAnsi="Arial" w:cs="Arial"/>
          <w:lang w:eastAsia="zh-CN"/>
        </w:rPr>
        <w:t>évolution vers un personnel plus réactif et flexible, capable de s</w:t>
      </w:r>
      <w:r w:rsidR="00E2055A" w:rsidRPr="00A32AF4">
        <w:rPr>
          <w:rFonts w:ascii="Arial" w:eastAsia="SimSun" w:hAnsi="Arial" w:cs="Arial"/>
          <w:lang w:eastAsia="zh-CN"/>
        </w:rPr>
        <w:t>’</w:t>
      </w:r>
      <w:r w:rsidRPr="00A32AF4">
        <w:rPr>
          <w:rFonts w:ascii="Arial" w:eastAsia="SimSun" w:hAnsi="Arial" w:cs="Arial"/>
          <w:lang w:eastAsia="zh-CN"/>
        </w:rPr>
        <w:t>adapter facilement pour répondre aux besoins opérationnels.</w:t>
      </w:r>
    </w:p>
    <w:p w:rsidR="00DC0553" w:rsidRPr="00A32AF4" w:rsidRDefault="00DC0553" w:rsidP="00DC0553">
      <w:pPr>
        <w:tabs>
          <w:tab w:val="num" w:pos="690"/>
        </w:tabs>
        <w:jc w:val="both"/>
        <w:rPr>
          <w:rFonts w:eastAsia="SimSun" w:cs="Arial"/>
          <w:lang w:eastAsia="zh-CN"/>
        </w:rPr>
      </w:pPr>
    </w:p>
    <w:p w:rsidR="00DC0553" w:rsidRPr="00A32AF4" w:rsidRDefault="00DC0553" w:rsidP="00DC0553">
      <w:pPr>
        <w:pStyle w:val="ListParagraph"/>
        <w:numPr>
          <w:ilvl w:val="0"/>
          <w:numId w:val="72"/>
        </w:numPr>
        <w:tabs>
          <w:tab w:val="left" w:pos="567"/>
        </w:tabs>
        <w:spacing w:after="0" w:line="240" w:lineRule="auto"/>
        <w:ind w:left="0" w:firstLine="0"/>
        <w:jc w:val="both"/>
        <w:rPr>
          <w:rFonts w:ascii="Arial" w:hAnsi="Arial"/>
        </w:rPr>
      </w:pPr>
      <w:r w:rsidRPr="00A32AF4">
        <w:rPr>
          <w:rFonts w:ascii="Arial" w:hAnsi="Arial"/>
        </w:rPr>
        <w:t>L</w:t>
      </w:r>
      <w:r w:rsidR="00E2055A" w:rsidRPr="00A32AF4">
        <w:rPr>
          <w:rFonts w:ascii="Arial" w:hAnsi="Arial"/>
        </w:rPr>
        <w:t>’</w:t>
      </w:r>
      <w:r w:rsidRPr="00A32AF4">
        <w:rPr>
          <w:rFonts w:ascii="Arial" w:hAnsi="Arial"/>
        </w:rPr>
        <w:t>augmentation globale des dotations pour 2016</w:t>
      </w:r>
      <w:r w:rsidR="00EB7F54" w:rsidRPr="00A32AF4">
        <w:rPr>
          <w:rFonts w:ascii="Arial" w:hAnsi="Arial"/>
        </w:rPr>
        <w:noBreakHyphen/>
      </w:r>
      <w:r w:rsidRPr="00A32AF4">
        <w:rPr>
          <w:rFonts w:ascii="Arial" w:hAnsi="Arial"/>
        </w:rPr>
        <w:t>2017 dans la rubrique “Postes”</w:t>
      </w:r>
      <w:r w:rsidRPr="00A32AF4">
        <w:rPr>
          <w:rStyle w:val="FootnoteReference"/>
          <w:rFonts w:ascii="Arial" w:hAnsi="Arial"/>
        </w:rPr>
        <w:footnoteReference w:id="14"/>
      </w:r>
      <w:r w:rsidRPr="00A32AF4">
        <w:rPr>
          <w:rFonts w:ascii="Arial" w:hAnsi="Arial"/>
        </w:rPr>
        <w:t xml:space="preserve"> par rapport au budget 2014</w:t>
      </w:r>
      <w:r w:rsidR="00EB7F54" w:rsidRPr="00A32AF4">
        <w:rPr>
          <w:rFonts w:ascii="Arial" w:hAnsi="Arial"/>
        </w:rPr>
        <w:noBreakHyphen/>
      </w:r>
      <w:r w:rsidRPr="00A32AF4">
        <w:rPr>
          <w:rFonts w:ascii="Arial" w:hAnsi="Arial"/>
        </w:rPr>
        <w:t>2015 approuvé résulte principalement d</w:t>
      </w:r>
      <w:r w:rsidR="00E2055A" w:rsidRPr="00A32AF4">
        <w:rPr>
          <w:rFonts w:ascii="Arial" w:hAnsi="Arial"/>
        </w:rPr>
        <w:t>’</w:t>
      </w:r>
      <w:r w:rsidRPr="00A32AF4">
        <w:rPr>
          <w:rFonts w:ascii="Arial" w:hAnsi="Arial"/>
        </w:rPr>
        <w:t>augmentations statutaires.  Elle tient également compte des régularisations, compensées par une diminution du nombre de “fonctionnaires temporaires”</w:t>
      </w:r>
      <w:r w:rsidRPr="00A32AF4">
        <w:rPr>
          <w:rStyle w:val="FootnoteReference"/>
          <w:rFonts w:ascii="Arial" w:hAnsi="Arial"/>
        </w:rPr>
        <w:footnoteReference w:id="15"/>
      </w:r>
      <w:r w:rsidRPr="00A32AF4">
        <w:rPr>
          <w:rFonts w:ascii="Arial" w:hAnsi="Arial"/>
        </w:rPr>
        <w:t>.</w:t>
      </w:r>
    </w:p>
    <w:p w:rsidR="00DC0553" w:rsidRPr="00A32AF4" w:rsidRDefault="00DC0553" w:rsidP="00DC0553">
      <w:pPr>
        <w:pStyle w:val="NormalWeb"/>
        <w:shd w:val="clear" w:color="auto" w:fill="FFFFFF"/>
        <w:spacing w:before="0" w:beforeAutospacing="0" w:after="0" w:afterAutospacing="0"/>
        <w:jc w:val="both"/>
        <w:rPr>
          <w:sz w:val="20"/>
          <w:szCs w:val="20"/>
        </w:rPr>
      </w:pPr>
    </w:p>
    <w:p w:rsidR="00DC0553" w:rsidRPr="00A32AF4" w:rsidRDefault="00DC0553" w:rsidP="00DC0553">
      <w:pPr>
        <w:pStyle w:val="ListParagraph"/>
        <w:numPr>
          <w:ilvl w:val="0"/>
          <w:numId w:val="72"/>
        </w:numPr>
        <w:tabs>
          <w:tab w:val="left" w:pos="567"/>
        </w:tabs>
        <w:spacing w:after="0" w:line="240" w:lineRule="auto"/>
        <w:ind w:left="0" w:firstLine="0"/>
        <w:jc w:val="both"/>
        <w:rPr>
          <w:rFonts w:ascii="Arial" w:hAnsi="Arial"/>
        </w:rPr>
      </w:pPr>
      <w:r w:rsidRPr="00A32AF4">
        <w:rPr>
          <w:rFonts w:ascii="Arial" w:hAnsi="Arial"/>
        </w:rPr>
        <w:t>La réduction nette des “Autres dépenses de personnel” résulte des économies estimées à 400 000 francs suisses pour l</w:t>
      </w:r>
      <w:r w:rsidR="00E2055A" w:rsidRPr="00A32AF4">
        <w:rPr>
          <w:rFonts w:ascii="Arial" w:hAnsi="Arial"/>
        </w:rPr>
        <w:t>’</w:t>
      </w:r>
      <w:r w:rsidRPr="00A32AF4">
        <w:rPr>
          <w:rFonts w:ascii="Arial" w:hAnsi="Arial"/>
        </w:rPr>
        <w:t>assurance accidents professionnels, en partie compensées par une hausse de 50 000 francs suisses des contributions à la caisse de retraite fermée et d</w:t>
      </w:r>
      <w:r w:rsidR="00E2055A" w:rsidRPr="00A32AF4">
        <w:rPr>
          <w:rFonts w:ascii="Arial" w:hAnsi="Arial"/>
        </w:rPr>
        <w:t>’</w:t>
      </w:r>
      <w:r w:rsidRPr="00A32AF4">
        <w:rPr>
          <w:rFonts w:ascii="Arial" w:hAnsi="Arial"/>
        </w:rPr>
        <w:t>environ 120 000 francs suisses de la dotation du programme de récompenses et de reconnaissance de l</w:t>
      </w:r>
      <w:r w:rsidR="00E2055A" w:rsidRPr="00A32AF4">
        <w:rPr>
          <w:rFonts w:ascii="Arial" w:hAnsi="Arial"/>
        </w:rPr>
        <w:t>’</w:t>
      </w:r>
      <w:r w:rsidRPr="00A32AF4">
        <w:rPr>
          <w:rFonts w:ascii="Arial" w:hAnsi="Arial"/>
        </w:rPr>
        <w:t>OMPI.</w:t>
      </w:r>
    </w:p>
    <w:p w:rsidR="00DC0553" w:rsidRPr="00A32AF4" w:rsidRDefault="00DC0553" w:rsidP="00DC0553">
      <w:pPr>
        <w:pStyle w:val="NormalWeb"/>
        <w:shd w:val="clear" w:color="auto" w:fill="FFFFFF"/>
        <w:spacing w:before="0" w:beforeAutospacing="0" w:after="0" w:afterAutospacing="0"/>
        <w:jc w:val="both"/>
        <w:rPr>
          <w:sz w:val="20"/>
          <w:szCs w:val="20"/>
        </w:rPr>
      </w:pPr>
    </w:p>
    <w:p w:rsidR="00DC0553" w:rsidRPr="00A32AF4" w:rsidRDefault="00DC0553" w:rsidP="00DC0553">
      <w:pPr>
        <w:pStyle w:val="ListParagraph"/>
        <w:numPr>
          <w:ilvl w:val="0"/>
          <w:numId w:val="72"/>
        </w:numPr>
        <w:tabs>
          <w:tab w:val="left" w:pos="567"/>
        </w:tabs>
        <w:spacing w:after="0" w:line="240" w:lineRule="auto"/>
        <w:ind w:left="0" w:firstLine="0"/>
        <w:jc w:val="both"/>
        <w:rPr>
          <w:rFonts w:ascii="Arial" w:hAnsi="Arial"/>
        </w:rPr>
      </w:pPr>
      <w:r w:rsidRPr="00A32AF4">
        <w:rPr>
          <w:rFonts w:ascii="Arial" w:hAnsi="Arial"/>
        </w:rPr>
        <w:t>L</w:t>
      </w:r>
      <w:r w:rsidR="00E2055A" w:rsidRPr="00A32AF4">
        <w:rPr>
          <w:rFonts w:ascii="Arial" w:hAnsi="Arial"/>
        </w:rPr>
        <w:t>’</w:t>
      </w:r>
      <w:r w:rsidRPr="00A32AF4">
        <w:rPr>
          <w:rFonts w:ascii="Arial" w:hAnsi="Arial"/>
        </w:rPr>
        <w:t>augmentation nette des “Crédits non affectés (Personnel)” est principalement due à la constitution d</w:t>
      </w:r>
      <w:r w:rsidR="00E2055A" w:rsidRPr="00A32AF4">
        <w:rPr>
          <w:rFonts w:ascii="Arial" w:hAnsi="Arial"/>
        </w:rPr>
        <w:t>’</w:t>
      </w:r>
      <w:r w:rsidRPr="00A32AF4">
        <w:rPr>
          <w:rFonts w:ascii="Arial" w:hAnsi="Arial"/>
        </w:rPr>
        <w:t>une provision de 2 millions de francs suisses pour les dépenses relatives aux heures supplémentaires, précédemment allouée aux “Postes” et en partie compensée par une réduction globale de 500 000 francs suisses pour les reclassements et d</w:t>
      </w:r>
      <w:r w:rsidR="00E2055A" w:rsidRPr="00A32AF4">
        <w:rPr>
          <w:rFonts w:ascii="Arial" w:hAnsi="Arial"/>
        </w:rPr>
        <w:t>’</w:t>
      </w:r>
      <w:r w:rsidRPr="00A32AF4">
        <w:rPr>
          <w:rFonts w:ascii="Arial" w:hAnsi="Arial"/>
        </w:rPr>
        <w:t>environ 500 000 francs suisses pour les régularisations par rapport au budget 2014</w:t>
      </w:r>
      <w:r w:rsidR="00EB7F54" w:rsidRPr="00A32AF4">
        <w:rPr>
          <w:rFonts w:ascii="Arial" w:hAnsi="Arial"/>
        </w:rPr>
        <w:noBreakHyphen/>
      </w:r>
      <w:r w:rsidRPr="00A32AF4">
        <w:rPr>
          <w:rFonts w:ascii="Arial" w:hAnsi="Arial"/>
        </w:rPr>
        <w:t>2015 approuvé.</w:t>
      </w:r>
    </w:p>
    <w:p w:rsidR="00DC0553" w:rsidRPr="00A32AF4" w:rsidRDefault="00DC0553" w:rsidP="00DC0553">
      <w:pPr>
        <w:pStyle w:val="ListParagraph"/>
        <w:tabs>
          <w:tab w:val="left" w:pos="567"/>
        </w:tabs>
        <w:spacing w:after="0" w:line="240" w:lineRule="auto"/>
        <w:ind w:left="0"/>
        <w:jc w:val="both"/>
        <w:rPr>
          <w:rFonts w:ascii="Arial" w:hAnsi="Arial"/>
        </w:rPr>
      </w:pPr>
    </w:p>
    <w:p w:rsidR="00DC0553" w:rsidRPr="00A32AF4" w:rsidRDefault="00DC0553" w:rsidP="00DC0553">
      <w:pPr>
        <w:keepNext/>
        <w:keepLines/>
        <w:jc w:val="center"/>
        <w:rPr>
          <w:rFonts w:cs="Arial"/>
          <w:b/>
          <w:szCs w:val="16"/>
        </w:rPr>
      </w:pPr>
      <w:r w:rsidRPr="00A32AF4">
        <w:rPr>
          <w:rFonts w:cs="Arial"/>
          <w:b/>
          <w:szCs w:val="16"/>
        </w:rPr>
        <w:t>Diagramme 4.  Évolution de la structure des dépenses de 1990</w:t>
      </w:r>
      <w:r w:rsidR="00EB7F54" w:rsidRPr="00A32AF4">
        <w:rPr>
          <w:rFonts w:cs="Arial"/>
          <w:b/>
          <w:szCs w:val="16"/>
        </w:rPr>
        <w:noBreakHyphen/>
      </w:r>
      <w:r w:rsidRPr="00A32AF4">
        <w:rPr>
          <w:rFonts w:cs="Arial"/>
          <w:b/>
          <w:szCs w:val="16"/>
        </w:rPr>
        <w:t>1991 à 2016</w:t>
      </w:r>
      <w:r w:rsidR="00EB7F54" w:rsidRPr="00A32AF4">
        <w:rPr>
          <w:rFonts w:cs="Arial"/>
          <w:b/>
          <w:szCs w:val="16"/>
        </w:rPr>
        <w:noBreakHyphen/>
      </w:r>
      <w:r w:rsidRPr="00A32AF4">
        <w:rPr>
          <w:rFonts w:cs="Arial"/>
          <w:b/>
          <w:szCs w:val="16"/>
        </w:rPr>
        <w:t>2017</w:t>
      </w:r>
    </w:p>
    <w:p w:rsidR="00F93B76" w:rsidRPr="00A32AF4" w:rsidRDefault="00F93B76" w:rsidP="00DC0553">
      <w:pPr>
        <w:keepNext/>
        <w:keepLines/>
        <w:tabs>
          <w:tab w:val="num" w:pos="690"/>
        </w:tabs>
        <w:jc w:val="both"/>
        <w:rPr>
          <w:rFonts w:eastAsia="SimSun" w:cs="Arial"/>
          <w:color w:val="000000"/>
          <w:lang w:eastAsia="zh-CN"/>
        </w:rPr>
      </w:pPr>
    </w:p>
    <w:p w:rsidR="00F93B76" w:rsidRPr="00A32AF4" w:rsidRDefault="001411D8" w:rsidP="00DC0553">
      <w:pPr>
        <w:keepNext/>
        <w:keepLines/>
        <w:tabs>
          <w:tab w:val="num" w:pos="690"/>
        </w:tabs>
        <w:jc w:val="both"/>
        <w:rPr>
          <w:rFonts w:eastAsia="SimSun" w:cs="Arial"/>
          <w:color w:val="000000"/>
          <w:lang w:eastAsia="zh-CN"/>
        </w:rPr>
      </w:pPr>
      <w:r w:rsidRPr="00A32AF4">
        <w:rPr>
          <w:rFonts w:eastAsia="SimSun"/>
          <w:noProof/>
          <w:lang w:eastAsia="fr-FR"/>
        </w:rPr>
        <w:drawing>
          <wp:inline distT="0" distB="0" distL="0" distR="0" wp14:anchorId="74E8807F" wp14:editId="16967D11">
            <wp:extent cx="6018895" cy="2343955"/>
            <wp:effectExtent l="0" t="0" r="1270" b="0"/>
            <wp:docPr id="1028" name="Pictur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024917" cy="2346300"/>
                    </a:xfrm>
                    <a:prstGeom prst="rect">
                      <a:avLst/>
                    </a:prstGeom>
                    <a:noFill/>
                    <a:ln>
                      <a:noFill/>
                    </a:ln>
                  </pic:spPr>
                </pic:pic>
              </a:graphicData>
            </a:graphic>
          </wp:inline>
        </w:drawing>
      </w:r>
    </w:p>
    <w:p w:rsidR="00F93B76" w:rsidRPr="00A32AF4" w:rsidRDefault="00F93B76" w:rsidP="00DC0553">
      <w:pPr>
        <w:tabs>
          <w:tab w:val="num" w:pos="690"/>
        </w:tabs>
        <w:jc w:val="both"/>
        <w:rPr>
          <w:rFonts w:eastAsia="SimSun" w:cs="Arial"/>
          <w:color w:val="000000"/>
          <w:lang w:eastAsia="zh-CN"/>
        </w:rPr>
      </w:pPr>
    </w:p>
    <w:p w:rsidR="00F93B76" w:rsidRPr="00A32AF4" w:rsidRDefault="00F93B76" w:rsidP="00DC0553">
      <w:pPr>
        <w:tabs>
          <w:tab w:val="num" w:pos="690"/>
        </w:tabs>
        <w:jc w:val="both"/>
        <w:rPr>
          <w:rFonts w:eastAsia="SimSun" w:cs="Arial"/>
          <w:color w:val="000000"/>
          <w:lang w:eastAsia="zh-CN"/>
        </w:rPr>
      </w:pPr>
    </w:p>
    <w:p w:rsidR="00DC0553" w:rsidRPr="00A32AF4" w:rsidRDefault="00DC0553" w:rsidP="00276F6E">
      <w:pPr>
        <w:pStyle w:val="Heading3"/>
        <w:tabs>
          <w:tab w:val="clear" w:pos="2268"/>
        </w:tabs>
        <w:ind w:left="0" w:firstLine="0"/>
      </w:pPr>
      <w:bookmarkStart w:id="14" w:name="_Toc420062041"/>
      <w:bookmarkStart w:id="15" w:name="_Toc431555432"/>
      <w:r w:rsidRPr="00A32AF4">
        <w:t>Ressources allouées aux activités en faveur du développement et du Plan d</w:t>
      </w:r>
      <w:r w:rsidR="00E2055A" w:rsidRPr="00A32AF4">
        <w:t>’</w:t>
      </w:r>
      <w:r w:rsidRPr="00A32AF4">
        <w:t>action pour le développement</w:t>
      </w:r>
      <w:bookmarkEnd w:id="14"/>
      <w:bookmarkEnd w:id="15"/>
    </w:p>
    <w:p w:rsidR="00DC0553" w:rsidRPr="00A32AF4" w:rsidRDefault="00DC0553" w:rsidP="00DC0553">
      <w:pPr>
        <w:widowControl w:val="0"/>
        <w:jc w:val="both"/>
        <w:rPr>
          <w:rFonts w:cs="Arial"/>
          <w:bCs/>
        </w:rPr>
      </w:pPr>
    </w:p>
    <w:p w:rsidR="00DC0553" w:rsidRPr="00A32AF4" w:rsidRDefault="00DC0553" w:rsidP="00DC0553">
      <w:pPr>
        <w:pStyle w:val="ListParagraph"/>
        <w:widowControl w:val="0"/>
        <w:numPr>
          <w:ilvl w:val="0"/>
          <w:numId w:val="72"/>
        </w:numPr>
        <w:tabs>
          <w:tab w:val="left" w:pos="567"/>
        </w:tabs>
        <w:spacing w:after="0" w:line="240" w:lineRule="auto"/>
        <w:ind w:left="0" w:firstLine="0"/>
        <w:jc w:val="both"/>
        <w:rPr>
          <w:rFonts w:ascii="Arial" w:hAnsi="Arial" w:cs="Arial"/>
        </w:rPr>
      </w:pPr>
      <w:r w:rsidRPr="00A32AF4">
        <w:rPr>
          <w:rFonts w:ascii="Arial" w:hAnsi="Arial"/>
        </w:rPr>
        <w:t>Le développement reste une priorité pour l</w:t>
      </w:r>
      <w:r w:rsidR="00E2055A" w:rsidRPr="00A32AF4">
        <w:rPr>
          <w:rFonts w:ascii="Arial" w:hAnsi="Arial"/>
        </w:rPr>
        <w:t>’</w:t>
      </w:r>
      <w:r w:rsidRPr="00A32AF4">
        <w:rPr>
          <w:rFonts w:ascii="Arial" w:hAnsi="Arial"/>
        </w:rPr>
        <w:t>exercice biennal 2016</w:t>
      </w:r>
      <w:r w:rsidR="00EB7F54" w:rsidRPr="00A32AF4">
        <w:rPr>
          <w:rFonts w:ascii="Arial" w:hAnsi="Arial"/>
        </w:rPr>
        <w:noBreakHyphen/>
      </w:r>
      <w:r w:rsidRPr="00A32AF4">
        <w:rPr>
          <w:rFonts w:ascii="Arial" w:hAnsi="Arial"/>
        </w:rPr>
        <w:t>2017, comme en témoigne la part stable du développement à 21,</w:t>
      </w:r>
      <w:r w:rsidR="00663B05" w:rsidRPr="00A32AF4">
        <w:rPr>
          <w:rFonts w:ascii="Arial" w:hAnsi="Arial"/>
        </w:rPr>
        <w:t>1</w:t>
      </w:r>
      <w:r w:rsidRPr="00A32AF4">
        <w:rPr>
          <w:rFonts w:ascii="Arial" w:hAnsi="Arial"/>
        </w:rPr>
        <w:t>% pour le prochain exercice biennal.  L</w:t>
      </w:r>
      <w:r w:rsidR="00E2055A" w:rsidRPr="00A32AF4">
        <w:rPr>
          <w:rFonts w:ascii="Arial" w:hAnsi="Arial"/>
        </w:rPr>
        <w:t>’</w:t>
      </w:r>
      <w:r w:rsidRPr="00A32AF4">
        <w:rPr>
          <w:rFonts w:ascii="Arial" w:hAnsi="Arial"/>
        </w:rPr>
        <w:t>augmentation en termes absolus des dépenses de développement en 2016</w:t>
      </w:r>
      <w:r w:rsidR="00EB7F54" w:rsidRPr="00A32AF4">
        <w:rPr>
          <w:rFonts w:ascii="Arial" w:hAnsi="Arial"/>
        </w:rPr>
        <w:noBreakHyphen/>
      </w:r>
      <w:r w:rsidRPr="00A32AF4">
        <w:rPr>
          <w:rFonts w:ascii="Arial" w:hAnsi="Arial"/>
        </w:rPr>
        <w:t>2017 s</w:t>
      </w:r>
      <w:r w:rsidR="00E2055A" w:rsidRPr="00A32AF4">
        <w:rPr>
          <w:rFonts w:ascii="Arial" w:hAnsi="Arial"/>
        </w:rPr>
        <w:t>’</w:t>
      </w:r>
      <w:r w:rsidRPr="00A32AF4">
        <w:rPr>
          <w:rFonts w:ascii="Arial" w:hAnsi="Arial"/>
        </w:rPr>
        <w:t xml:space="preserve">élève à </w:t>
      </w:r>
      <w:r w:rsidR="00663B05" w:rsidRPr="00A32AF4">
        <w:rPr>
          <w:rFonts w:ascii="Arial" w:hAnsi="Arial"/>
        </w:rPr>
        <w:t>5,8</w:t>
      </w:r>
      <w:r w:rsidRPr="00A32AF4">
        <w:rPr>
          <w:rFonts w:ascii="Arial" w:hAnsi="Arial"/>
        </w:rPr>
        <w:t xml:space="preserve"> millions de francs suisses, soit </w:t>
      </w:r>
      <w:r w:rsidR="00663B05" w:rsidRPr="00A32AF4">
        <w:rPr>
          <w:rFonts w:ascii="Arial" w:hAnsi="Arial"/>
        </w:rPr>
        <w:t>4</w:t>
      </w:r>
      <w:r w:rsidRPr="00A32AF4">
        <w:rPr>
          <w:rFonts w:ascii="Arial" w:hAnsi="Arial"/>
        </w:rPr>
        <w:t>%, par rapport au budget 2014</w:t>
      </w:r>
      <w:r w:rsidR="00EB7F54" w:rsidRPr="00A32AF4">
        <w:rPr>
          <w:rFonts w:ascii="Arial" w:hAnsi="Arial"/>
        </w:rPr>
        <w:noBreakHyphen/>
      </w:r>
      <w:r w:rsidRPr="00A32AF4">
        <w:rPr>
          <w:rFonts w:ascii="Arial" w:hAnsi="Arial"/>
        </w:rPr>
        <w:t>2015 approuvé.  Le tableau ci</w:t>
      </w:r>
      <w:r w:rsidR="00EB7F54" w:rsidRPr="00A32AF4">
        <w:rPr>
          <w:rFonts w:ascii="Arial" w:hAnsi="Arial"/>
        </w:rPr>
        <w:noBreakHyphen/>
      </w:r>
      <w:r w:rsidRPr="00A32AF4">
        <w:rPr>
          <w:rFonts w:ascii="Arial" w:hAnsi="Arial"/>
        </w:rPr>
        <w:t>dessous indique le détail des dépenses de développement pour 2016</w:t>
      </w:r>
      <w:r w:rsidR="00EB7F54" w:rsidRPr="00A32AF4">
        <w:rPr>
          <w:rFonts w:ascii="Arial" w:hAnsi="Arial"/>
        </w:rPr>
        <w:noBreakHyphen/>
      </w:r>
      <w:r w:rsidRPr="00A32AF4">
        <w:rPr>
          <w:rFonts w:ascii="Arial" w:hAnsi="Arial"/>
        </w:rPr>
        <w:t xml:space="preserve">2017 par programme.  </w:t>
      </w:r>
      <w:r w:rsidRPr="00A32AF4">
        <w:rPr>
          <w:rFonts w:ascii="Arial" w:hAnsi="Arial" w:cs="Arial"/>
        </w:rPr>
        <w:t>Ces ressources sont qualifiées de dépenses consacrées au développement uniquement lorsque le bénéficiaire est un pays en développement, et que des ressources équivalentes ne sont pas disponibles pour des pays développés.</w:t>
      </w:r>
      <w:r w:rsidRPr="00A32AF4">
        <w:rPr>
          <w:rFonts w:ascii="Arial" w:hAnsi="Arial"/>
        </w:rPr>
        <w:t xml:space="preserve">  </w:t>
      </w:r>
      <w:r w:rsidRPr="00A32AF4">
        <w:rPr>
          <w:rFonts w:ascii="Arial" w:hAnsi="Arial" w:cs="Arial"/>
        </w:rPr>
        <w:t>Les montants indiqués ne tiennent pas compte des réductions de taxes accordées aux déposants de pays en développement dans le cadre des systèmes d</w:t>
      </w:r>
      <w:r w:rsidR="00E2055A" w:rsidRPr="00A32AF4">
        <w:rPr>
          <w:rFonts w:ascii="Arial" w:hAnsi="Arial" w:cs="Arial"/>
        </w:rPr>
        <w:t>’</w:t>
      </w:r>
      <w:r w:rsidRPr="00A32AF4">
        <w:rPr>
          <w:rFonts w:ascii="Arial" w:hAnsi="Arial" w:cs="Arial"/>
        </w:rPr>
        <w:t>enregistrement international</w:t>
      </w:r>
      <w:r w:rsidRPr="00A32AF4">
        <w:rPr>
          <w:rStyle w:val="FootnoteReference"/>
          <w:rFonts w:ascii="Arial" w:hAnsi="Arial" w:cs="Arial"/>
        </w:rPr>
        <w:footnoteReference w:id="16"/>
      </w:r>
      <w:r w:rsidRPr="00A32AF4">
        <w:rPr>
          <w:rFonts w:ascii="Arial" w:hAnsi="Arial" w:cs="Arial"/>
        </w:rPr>
        <w:t>.</w:t>
      </w:r>
      <w:r w:rsidRPr="00A32AF4">
        <w:rPr>
          <w:rFonts w:ascii="Arial" w:hAnsi="Arial"/>
        </w:rPr>
        <w:t xml:space="preserve">  </w:t>
      </w:r>
      <w:r w:rsidRPr="00A32AF4">
        <w:rPr>
          <w:rFonts w:ascii="Arial" w:hAnsi="Arial" w:cs="Arial"/>
        </w:rPr>
        <w:t>Si elles étaient prises en considération, le montant global des dépenses consacrées au développement serait plus élevé.</w:t>
      </w:r>
    </w:p>
    <w:p w:rsidR="00F93B76" w:rsidRPr="00A32AF4" w:rsidRDefault="00F93B76" w:rsidP="00420ED3"/>
    <w:p w:rsidR="00DC0553" w:rsidRPr="00A32AF4" w:rsidRDefault="00DC0553" w:rsidP="003A005E">
      <w:pPr>
        <w:keepNext/>
        <w:keepLines/>
        <w:ind w:left="-425"/>
        <w:jc w:val="center"/>
        <w:rPr>
          <w:rFonts w:cs="Arial"/>
          <w:b/>
        </w:rPr>
      </w:pPr>
      <w:r w:rsidRPr="00A32AF4">
        <w:rPr>
          <w:rFonts w:cs="Arial"/>
          <w:b/>
        </w:rPr>
        <w:t>Tableau 6.  Dépenses de développement en 2016</w:t>
      </w:r>
      <w:r w:rsidR="00EB7F54" w:rsidRPr="00A32AF4">
        <w:rPr>
          <w:rFonts w:cs="Arial"/>
          <w:b/>
        </w:rPr>
        <w:noBreakHyphen/>
      </w:r>
      <w:r w:rsidRPr="00A32AF4">
        <w:rPr>
          <w:rFonts w:cs="Arial"/>
          <w:b/>
        </w:rPr>
        <w:t>2017 par programme</w:t>
      </w:r>
    </w:p>
    <w:p w:rsidR="00DC0553" w:rsidRPr="00A32AF4" w:rsidRDefault="00DC0553" w:rsidP="003A005E">
      <w:pPr>
        <w:keepNext/>
        <w:keepLines/>
        <w:ind w:left="-425"/>
        <w:jc w:val="center"/>
        <w:rPr>
          <w:rFonts w:cs="Arial"/>
          <w:i/>
        </w:rPr>
      </w:pPr>
      <w:r w:rsidRPr="00A32AF4">
        <w:rPr>
          <w:rFonts w:cs="Arial"/>
          <w:i/>
        </w:rPr>
        <w:t>(</w:t>
      </w:r>
      <w:proofErr w:type="gramStart"/>
      <w:r w:rsidRPr="00A32AF4">
        <w:rPr>
          <w:rFonts w:cs="Arial"/>
          <w:i/>
        </w:rPr>
        <w:t>en</w:t>
      </w:r>
      <w:proofErr w:type="gramEnd"/>
      <w:r w:rsidRPr="00A32AF4">
        <w:rPr>
          <w:rFonts w:cs="Arial"/>
          <w:i/>
        </w:rPr>
        <w:t xml:space="preserve"> milliers de francs suisses)</w:t>
      </w:r>
    </w:p>
    <w:p w:rsidR="00F93B76" w:rsidRPr="00A32AF4" w:rsidRDefault="00F93B76" w:rsidP="003A005E">
      <w:pPr>
        <w:keepNext/>
      </w:pPr>
    </w:p>
    <w:p w:rsidR="003A005E" w:rsidRPr="00A32AF4" w:rsidRDefault="003A005E" w:rsidP="003A005E">
      <w:pPr>
        <w:jc w:val="center"/>
      </w:pPr>
      <w:r w:rsidRPr="00A32AF4">
        <w:rPr>
          <w:noProof/>
          <w:lang w:eastAsia="fr-FR"/>
        </w:rPr>
        <w:drawing>
          <wp:inline distT="0" distB="0" distL="0" distR="0" wp14:anchorId="2648A6B5" wp14:editId="4C3023B4">
            <wp:extent cx="5760085" cy="4110127"/>
            <wp:effectExtent l="0" t="0" r="0" b="508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0085" cy="4110127"/>
                    </a:xfrm>
                    <a:prstGeom prst="rect">
                      <a:avLst/>
                    </a:prstGeom>
                    <a:noFill/>
                    <a:ln>
                      <a:noFill/>
                    </a:ln>
                  </pic:spPr>
                </pic:pic>
              </a:graphicData>
            </a:graphic>
          </wp:inline>
        </w:drawing>
      </w:r>
    </w:p>
    <w:p w:rsidR="002E3C69" w:rsidRPr="00A32AF4" w:rsidRDefault="002E3C69" w:rsidP="003A005E"/>
    <w:p w:rsidR="00DC0553" w:rsidRPr="00A32AF4" w:rsidRDefault="00DC0553" w:rsidP="00DC0553">
      <w:pPr>
        <w:pStyle w:val="ListParagraph"/>
        <w:widowControl w:val="0"/>
        <w:numPr>
          <w:ilvl w:val="0"/>
          <w:numId w:val="72"/>
        </w:numPr>
        <w:tabs>
          <w:tab w:val="left" w:pos="567"/>
        </w:tabs>
        <w:spacing w:after="0" w:line="240" w:lineRule="auto"/>
        <w:ind w:left="0" w:firstLine="0"/>
        <w:jc w:val="both"/>
        <w:rPr>
          <w:rFonts w:ascii="Arial" w:hAnsi="Arial" w:cs="Arial"/>
        </w:rPr>
      </w:pPr>
      <w:r w:rsidRPr="00A32AF4">
        <w:rPr>
          <w:rFonts w:ascii="Arial" w:hAnsi="Arial" w:cs="Arial"/>
        </w:rPr>
        <w:t>La méthode utilisée pour estimer la part consacrée au développement dans le budget 2016</w:t>
      </w:r>
      <w:r w:rsidR="00EB7F54" w:rsidRPr="00A32AF4">
        <w:rPr>
          <w:rFonts w:ascii="Arial" w:hAnsi="Arial" w:cs="Arial"/>
        </w:rPr>
        <w:noBreakHyphen/>
      </w:r>
      <w:r w:rsidRPr="00A32AF4">
        <w:rPr>
          <w:rFonts w:ascii="Arial" w:hAnsi="Arial" w:cs="Arial"/>
        </w:rPr>
        <w:t>2017 suit parfaitement la méthode adoptée en 2014</w:t>
      </w:r>
      <w:r w:rsidR="00EB7F54" w:rsidRPr="00A32AF4">
        <w:rPr>
          <w:rFonts w:ascii="Arial" w:hAnsi="Arial" w:cs="Arial"/>
        </w:rPr>
        <w:noBreakHyphen/>
      </w:r>
      <w:r w:rsidRPr="00A32AF4">
        <w:rPr>
          <w:rFonts w:ascii="Arial" w:hAnsi="Arial" w:cs="Arial"/>
        </w:rPr>
        <w:t>2015.</w:t>
      </w:r>
    </w:p>
    <w:p w:rsidR="00DC0553" w:rsidRPr="00A32AF4" w:rsidRDefault="00DC0553" w:rsidP="00DC0553">
      <w:pPr>
        <w:widowControl w:val="0"/>
        <w:jc w:val="both"/>
        <w:rPr>
          <w:rFonts w:cs="Arial"/>
        </w:rPr>
      </w:pPr>
    </w:p>
    <w:p w:rsidR="00DC0553" w:rsidRPr="00A32AF4" w:rsidRDefault="00DC0553" w:rsidP="00DC0553">
      <w:pPr>
        <w:pStyle w:val="ListParagraph"/>
        <w:widowControl w:val="0"/>
        <w:numPr>
          <w:ilvl w:val="0"/>
          <w:numId w:val="72"/>
        </w:numPr>
        <w:tabs>
          <w:tab w:val="left" w:pos="567"/>
        </w:tabs>
        <w:spacing w:after="0" w:line="240" w:lineRule="auto"/>
        <w:ind w:left="0" w:firstLine="0"/>
        <w:jc w:val="both"/>
        <w:rPr>
          <w:rFonts w:ascii="Arial" w:hAnsi="Arial" w:cs="Arial"/>
        </w:rPr>
      </w:pPr>
      <w:r w:rsidRPr="00A32AF4">
        <w:rPr>
          <w:rFonts w:ascii="Arial" w:hAnsi="Arial" w:cs="Arial"/>
        </w:rPr>
        <w:t>Un montant total de 2,5 millions de francs suisses a été spécialement prévu dans le budget 2016</w:t>
      </w:r>
      <w:r w:rsidR="00EB7F54" w:rsidRPr="00A32AF4">
        <w:rPr>
          <w:rFonts w:ascii="Arial" w:hAnsi="Arial" w:cs="Arial"/>
        </w:rPr>
        <w:noBreakHyphen/>
      </w:r>
      <w:r w:rsidRPr="00A32AF4">
        <w:rPr>
          <w:rFonts w:ascii="Arial" w:hAnsi="Arial" w:cs="Arial"/>
        </w:rPr>
        <w:t>2017 pour la mise en œuvre du Plan d</w:t>
      </w:r>
      <w:r w:rsidR="00E2055A" w:rsidRPr="00A32AF4">
        <w:rPr>
          <w:rFonts w:ascii="Arial" w:hAnsi="Arial" w:cs="Arial"/>
        </w:rPr>
        <w:t>’</w:t>
      </w:r>
      <w:r w:rsidRPr="00A32AF4">
        <w:rPr>
          <w:rFonts w:ascii="Arial" w:hAnsi="Arial" w:cs="Arial"/>
        </w:rPr>
        <w:t>action pour le développement, sous réserve de l</w:t>
      </w:r>
      <w:r w:rsidR="00E2055A" w:rsidRPr="00A32AF4">
        <w:rPr>
          <w:rFonts w:ascii="Arial" w:hAnsi="Arial" w:cs="Arial"/>
        </w:rPr>
        <w:t>’</w:t>
      </w:r>
      <w:r w:rsidRPr="00A32AF4">
        <w:rPr>
          <w:rFonts w:ascii="Arial" w:hAnsi="Arial" w:cs="Arial"/>
        </w:rPr>
        <w:t>approbation du CDIP.</w:t>
      </w:r>
    </w:p>
    <w:p w:rsidR="00F93B76" w:rsidRPr="00A32AF4" w:rsidRDefault="00F93B76" w:rsidP="00DC0553">
      <w:pPr>
        <w:jc w:val="both"/>
        <w:rPr>
          <w:rFonts w:cs="Arial"/>
        </w:rPr>
      </w:pPr>
    </w:p>
    <w:p w:rsidR="00F93B76" w:rsidRPr="00A32AF4" w:rsidRDefault="00F93B76" w:rsidP="00DC0553">
      <w:pPr>
        <w:jc w:val="both"/>
        <w:rPr>
          <w:rFonts w:cs="Arial"/>
        </w:rPr>
      </w:pPr>
    </w:p>
    <w:p w:rsidR="00DC0553" w:rsidRPr="00A32AF4" w:rsidRDefault="00DC0553" w:rsidP="00420ED3">
      <w:pPr>
        <w:keepNext/>
        <w:jc w:val="center"/>
        <w:rPr>
          <w:rFonts w:cs="Arial"/>
          <w:b/>
        </w:rPr>
      </w:pPr>
      <w:r w:rsidRPr="00A32AF4">
        <w:rPr>
          <w:rFonts w:cs="Arial"/>
          <w:b/>
        </w:rPr>
        <w:t>Tableau 7.  Projets relevant du Plan d</w:t>
      </w:r>
      <w:r w:rsidR="00E2055A" w:rsidRPr="00A32AF4">
        <w:rPr>
          <w:rFonts w:cs="Arial"/>
          <w:b/>
        </w:rPr>
        <w:t>’</w:t>
      </w:r>
      <w:r w:rsidRPr="00A32AF4">
        <w:rPr>
          <w:rFonts w:cs="Arial"/>
          <w:b/>
        </w:rPr>
        <w:t>action pour le développement en 2016</w:t>
      </w:r>
      <w:r w:rsidR="00EB7F54" w:rsidRPr="00A32AF4">
        <w:rPr>
          <w:rFonts w:cs="Arial"/>
          <w:b/>
        </w:rPr>
        <w:noBreakHyphen/>
      </w:r>
      <w:r w:rsidRPr="00A32AF4">
        <w:rPr>
          <w:rFonts w:cs="Arial"/>
          <w:b/>
        </w:rPr>
        <w:t>2017</w:t>
      </w:r>
    </w:p>
    <w:p w:rsidR="00DC0553" w:rsidRPr="00A32AF4" w:rsidRDefault="00DC0553" w:rsidP="00420ED3">
      <w:pPr>
        <w:keepNext/>
        <w:jc w:val="center"/>
        <w:rPr>
          <w:rFonts w:cs="Arial"/>
          <w:i/>
        </w:rPr>
      </w:pPr>
      <w:r w:rsidRPr="00A32AF4">
        <w:rPr>
          <w:rFonts w:cs="Arial"/>
          <w:i/>
        </w:rPr>
        <w:t>(</w:t>
      </w:r>
      <w:proofErr w:type="gramStart"/>
      <w:r w:rsidRPr="00A32AF4">
        <w:rPr>
          <w:rFonts w:cs="Arial"/>
          <w:i/>
        </w:rPr>
        <w:t>en</w:t>
      </w:r>
      <w:proofErr w:type="gramEnd"/>
      <w:r w:rsidRPr="00A32AF4">
        <w:rPr>
          <w:rFonts w:cs="Arial"/>
          <w:i/>
        </w:rPr>
        <w:t xml:space="preserve"> milliers de francs suisses)</w:t>
      </w:r>
    </w:p>
    <w:p w:rsidR="00F93B76" w:rsidRPr="00A32AF4" w:rsidRDefault="00F93B76" w:rsidP="00420ED3">
      <w:pPr>
        <w:keepNext/>
        <w:jc w:val="center"/>
        <w:rPr>
          <w:rFonts w:cs="Arial"/>
          <w:i/>
        </w:rPr>
      </w:pPr>
    </w:p>
    <w:p w:rsidR="00F93B76" w:rsidRPr="00A32AF4" w:rsidRDefault="001411D8" w:rsidP="00420ED3">
      <w:pPr>
        <w:keepNext/>
        <w:jc w:val="center"/>
      </w:pPr>
      <w:r w:rsidRPr="00A32AF4">
        <w:rPr>
          <w:noProof/>
          <w:lang w:eastAsia="fr-FR"/>
        </w:rPr>
        <w:drawing>
          <wp:inline distT="0" distB="0" distL="0" distR="0" wp14:anchorId="6DD681D6" wp14:editId="593FD997">
            <wp:extent cx="5760085" cy="3070363"/>
            <wp:effectExtent l="0" t="0" r="0" b="0"/>
            <wp:docPr id="1031" name="Pictur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60085" cy="3070363"/>
                    </a:xfrm>
                    <a:prstGeom prst="rect">
                      <a:avLst/>
                    </a:prstGeom>
                    <a:noFill/>
                    <a:ln>
                      <a:noFill/>
                    </a:ln>
                  </pic:spPr>
                </pic:pic>
              </a:graphicData>
            </a:graphic>
          </wp:inline>
        </w:drawing>
      </w:r>
    </w:p>
    <w:p w:rsidR="00F93B76" w:rsidRPr="00A32AF4" w:rsidRDefault="00F93B76" w:rsidP="00420ED3">
      <w:pPr>
        <w:keepNext/>
        <w:jc w:val="center"/>
        <w:rPr>
          <w:rFonts w:cs="Arial"/>
          <w:sz w:val="18"/>
          <w:szCs w:val="18"/>
        </w:rPr>
      </w:pPr>
    </w:p>
    <w:p w:rsidR="00E25577" w:rsidRPr="00A32AF4" w:rsidRDefault="00E25577" w:rsidP="00420ED3">
      <w:pPr>
        <w:keepNext/>
        <w:jc w:val="center"/>
        <w:rPr>
          <w:rFonts w:cs="Arial"/>
          <w:sz w:val="18"/>
          <w:szCs w:val="18"/>
        </w:rPr>
      </w:pPr>
    </w:p>
    <w:p w:rsidR="008C6DE3" w:rsidRPr="00A32AF4" w:rsidRDefault="008C6DE3" w:rsidP="008C6DE3"/>
    <w:p w:rsidR="008C6DE3" w:rsidRPr="00A32AF4" w:rsidRDefault="008C6DE3" w:rsidP="008C6DE3"/>
    <w:p w:rsidR="00F93B76" w:rsidRPr="00A32AF4" w:rsidRDefault="00A4309E" w:rsidP="00DC0553">
      <w:pPr>
        <w:pStyle w:val="Heading1"/>
      </w:pPr>
      <w:bookmarkStart w:id="16" w:name="_Toc431555433"/>
      <w:r w:rsidRPr="00A32AF4">
        <w:t>II.</w:t>
      </w:r>
      <w:r w:rsidRPr="00A32AF4">
        <w:tab/>
        <w:t>Exposé des programmes par objectif stratégique</w:t>
      </w:r>
      <w:bookmarkEnd w:id="16"/>
    </w:p>
    <w:p w:rsidR="002E3C69" w:rsidRPr="00A32AF4" w:rsidRDefault="002E3C69" w:rsidP="00EF7899">
      <w:bookmarkStart w:id="17" w:name="_Toc367350571"/>
      <w:bookmarkStart w:id="18" w:name="_Toc419283240"/>
    </w:p>
    <w:p w:rsidR="002E3C69" w:rsidRPr="00A32AF4" w:rsidRDefault="002E3C69" w:rsidP="002E3C69"/>
    <w:p w:rsidR="00F93B76" w:rsidRPr="00A32AF4" w:rsidRDefault="007575E1" w:rsidP="00FB1F61">
      <w:pPr>
        <w:pStyle w:val="Heading2"/>
        <w:rPr>
          <w:rFonts w:hint="eastAsia"/>
        </w:rPr>
      </w:pPr>
      <w:bookmarkStart w:id="19" w:name="_Toc431555434"/>
      <w:r w:rsidRPr="00A32AF4">
        <w:t>Objectif stratégique I</w:t>
      </w:r>
      <w:r w:rsidRPr="00A32AF4">
        <w:tab/>
      </w:r>
      <w:bookmarkEnd w:id="17"/>
      <w:bookmarkEnd w:id="18"/>
      <w:r w:rsidRPr="00A32AF4">
        <w:t>Évolution équilibrée du cadre normatif international de la propriété intellectuelle</w:t>
      </w:r>
      <w:bookmarkEnd w:id="19"/>
    </w:p>
    <w:p w:rsidR="00F93B76" w:rsidRPr="00A32AF4" w:rsidRDefault="00F93B76" w:rsidP="00DC0553">
      <w:pPr>
        <w:autoSpaceDE w:val="0"/>
        <w:autoSpaceDN w:val="0"/>
        <w:adjustRightInd w:val="0"/>
        <w:jc w:val="both"/>
        <w:rPr>
          <w:rFonts w:cs="Arial"/>
        </w:rPr>
      </w:pPr>
    </w:p>
    <w:p w:rsidR="00F93B76" w:rsidRPr="00A32AF4" w:rsidRDefault="00F93B76" w:rsidP="00DC0553">
      <w:pPr>
        <w:autoSpaceDE w:val="0"/>
        <w:autoSpaceDN w:val="0"/>
        <w:adjustRightInd w:val="0"/>
        <w:jc w:val="both"/>
        <w:rPr>
          <w:rFonts w:cs="Arial"/>
        </w:rPr>
      </w:pPr>
    </w:p>
    <w:p w:rsidR="00F93B76" w:rsidRPr="00A32AF4" w:rsidRDefault="0074225F" w:rsidP="00DC0553">
      <w:pPr>
        <w:jc w:val="both"/>
      </w:pPr>
      <w:r w:rsidRPr="00A32AF4">
        <w:t>Le présent objectif stratégique a pour objet de veiller à ce que le développement du droit international de la propriété intellectuelle suive l</w:t>
      </w:r>
      <w:r w:rsidR="00E2055A" w:rsidRPr="00A32AF4">
        <w:t>’</w:t>
      </w:r>
      <w:r w:rsidRPr="00A32AF4">
        <w:t>évolution rapide observée dans les domaines technologique, géoéconomique, social et culturel, tout en tenant compte de la mise en œuvre des recommandations du Plan d</w:t>
      </w:r>
      <w:r w:rsidR="00E2055A" w:rsidRPr="00A32AF4">
        <w:t>’</w:t>
      </w:r>
      <w:r w:rsidRPr="00A32AF4">
        <w:t>action pour le développement relatives à l</w:t>
      </w:r>
      <w:r w:rsidR="00E2055A" w:rsidRPr="00A32AF4">
        <w:t>’</w:t>
      </w:r>
      <w:r w:rsidRPr="00A32AF4">
        <w:t xml:space="preserve">établissement de normes.  </w:t>
      </w:r>
      <w:proofErr w:type="gramStart"/>
      <w:r w:rsidRPr="00A32AF4">
        <w:t>Une évolution équilibrée est essentielle pour que le cadre normatif international de la propriété intellectuelle continue à jouer son rôle fondamental d</w:t>
      </w:r>
      <w:r w:rsidR="00E2055A" w:rsidRPr="00A32AF4">
        <w:t>’</w:t>
      </w:r>
      <w:r w:rsidRPr="00A32AF4">
        <w:t>encouragement de l</w:t>
      </w:r>
      <w:r w:rsidR="00E2055A" w:rsidRPr="00A32AF4">
        <w:t>’</w:t>
      </w:r>
      <w:r w:rsidRPr="00A32AF4">
        <w:t>innovation et de la créativité, qu</w:t>
      </w:r>
      <w:r w:rsidR="00E2055A" w:rsidRPr="00A32AF4">
        <w:t>’</w:t>
      </w:r>
      <w:r w:rsidRPr="00A32AF4">
        <w:t xml:space="preserve">il tienne compte des besoins et des intérêts de pays aux niveaux de développement différents, </w:t>
      </w:r>
      <w:r w:rsidR="00E2055A" w:rsidRPr="00A32AF4">
        <w:t>y compris</w:t>
      </w:r>
      <w:r w:rsidRPr="00A32AF4">
        <w:t xml:space="preserve"> au moyen des éléments de flexibilité prévus dans les instruments internationaux relatifs à la propriété intellectuelle, et qu</w:t>
      </w:r>
      <w:r w:rsidR="00E2055A" w:rsidRPr="00A32AF4">
        <w:t>’</w:t>
      </w:r>
      <w:r w:rsidRPr="00A32AF4">
        <w:t>il établisse un équilibre entre i) les droits des créateurs et des détenteurs d</w:t>
      </w:r>
      <w:r w:rsidR="00E2055A" w:rsidRPr="00A32AF4">
        <w:t>’</w:t>
      </w:r>
      <w:r w:rsidRPr="00A32AF4">
        <w:t>actifs de propriété intellectuelle et les droits des utilisateurs et du public et ii) l</w:t>
      </w:r>
      <w:r w:rsidR="00E2055A" w:rsidRPr="00A32AF4">
        <w:t>’</w:t>
      </w:r>
      <w:r w:rsidRPr="00A32AF4">
        <w:t>encouragement de l</w:t>
      </w:r>
      <w:r w:rsidR="00E2055A" w:rsidRPr="00A32AF4">
        <w:t>’</w:t>
      </w:r>
      <w:r w:rsidRPr="00A32AF4">
        <w:t>innovation et de la créativité et la diffusion des avantages sociaux des œuvres innovantes et créatives.</w:t>
      </w:r>
      <w:proofErr w:type="gramEnd"/>
    </w:p>
    <w:p w:rsidR="00F93B76" w:rsidRPr="00A32AF4" w:rsidRDefault="00F93B76" w:rsidP="00DC0553">
      <w:pPr>
        <w:autoSpaceDE w:val="0"/>
        <w:autoSpaceDN w:val="0"/>
        <w:adjustRightInd w:val="0"/>
        <w:jc w:val="both"/>
        <w:rPr>
          <w:rFonts w:cs="Arial"/>
        </w:rPr>
      </w:pPr>
    </w:p>
    <w:p w:rsidR="007575E1" w:rsidRPr="00A32AF4" w:rsidRDefault="007575E1" w:rsidP="00DC0553">
      <w:pPr>
        <w:rPr>
          <w:rFonts w:cs="Arial"/>
        </w:rPr>
      </w:pPr>
    </w:p>
    <w:tbl>
      <w:tblPr>
        <w:tblW w:w="4855"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190"/>
        <w:gridCol w:w="3898"/>
        <w:gridCol w:w="1930"/>
      </w:tblGrid>
      <w:tr w:rsidR="000D0EE9" w:rsidRPr="00A32AF4" w:rsidTr="000D0EE9">
        <w:trPr>
          <w:cantSplit/>
          <w:tblHeader/>
        </w:trPr>
        <w:tc>
          <w:tcPr>
            <w:tcW w:w="1769" w:type="pct"/>
            <w:tcBorders>
              <w:top w:val="single" w:sz="4" w:space="0" w:color="auto"/>
              <w:bottom w:val="single" w:sz="4" w:space="0" w:color="auto"/>
            </w:tcBorders>
            <w:shd w:val="clear" w:color="auto" w:fill="C6D9F1" w:themeFill="text2" w:themeFillTint="33"/>
            <w:tcMar>
              <w:top w:w="113" w:type="dxa"/>
              <w:bottom w:w="113" w:type="dxa"/>
            </w:tcMar>
            <w:vAlign w:val="center"/>
          </w:tcPr>
          <w:p w:rsidR="007575E1" w:rsidRPr="00A32AF4" w:rsidRDefault="0074225F" w:rsidP="00DC0553">
            <w:pPr>
              <w:jc w:val="center"/>
              <w:rPr>
                <w:rFonts w:cs="Arial"/>
                <w:b/>
                <w:bCs/>
                <w:sz w:val="18"/>
                <w:szCs w:val="18"/>
              </w:rPr>
            </w:pPr>
            <w:r w:rsidRPr="00A32AF4">
              <w:rPr>
                <w:rFonts w:cs="Arial"/>
                <w:b/>
                <w:bCs/>
                <w:sz w:val="18"/>
                <w:szCs w:val="18"/>
              </w:rPr>
              <w:t>Résultats escomptés</w:t>
            </w:r>
          </w:p>
        </w:tc>
        <w:tc>
          <w:tcPr>
            <w:tcW w:w="2161" w:type="pct"/>
            <w:tcBorders>
              <w:top w:val="single" w:sz="4" w:space="0" w:color="auto"/>
              <w:bottom w:val="single" w:sz="4" w:space="0" w:color="auto"/>
            </w:tcBorders>
            <w:shd w:val="clear" w:color="auto" w:fill="C6D9F1" w:themeFill="text2" w:themeFillTint="33"/>
            <w:tcMar>
              <w:top w:w="113" w:type="dxa"/>
              <w:bottom w:w="113" w:type="dxa"/>
            </w:tcMar>
            <w:vAlign w:val="center"/>
          </w:tcPr>
          <w:p w:rsidR="007575E1" w:rsidRPr="00A32AF4" w:rsidRDefault="0074225F" w:rsidP="00DC0553">
            <w:pPr>
              <w:jc w:val="center"/>
              <w:rPr>
                <w:rFonts w:cs="Arial"/>
                <w:b/>
                <w:sz w:val="18"/>
                <w:szCs w:val="18"/>
              </w:rPr>
            </w:pPr>
            <w:r w:rsidRPr="00A32AF4">
              <w:rPr>
                <w:rFonts w:cs="Arial"/>
                <w:b/>
                <w:sz w:val="18"/>
                <w:szCs w:val="18"/>
              </w:rPr>
              <w:t>Indicateurs d</w:t>
            </w:r>
            <w:r w:rsidR="00E2055A" w:rsidRPr="00A32AF4">
              <w:rPr>
                <w:rFonts w:cs="Arial"/>
                <w:b/>
                <w:sz w:val="18"/>
                <w:szCs w:val="18"/>
              </w:rPr>
              <w:t>’</w:t>
            </w:r>
            <w:r w:rsidRPr="00A32AF4">
              <w:rPr>
                <w:rFonts w:cs="Arial"/>
                <w:b/>
                <w:sz w:val="18"/>
                <w:szCs w:val="18"/>
              </w:rPr>
              <w:t>exécution</w:t>
            </w:r>
          </w:p>
        </w:tc>
        <w:tc>
          <w:tcPr>
            <w:tcW w:w="1070" w:type="pct"/>
            <w:tcBorders>
              <w:top w:val="single" w:sz="4" w:space="0" w:color="auto"/>
              <w:bottom w:val="single" w:sz="4" w:space="0" w:color="auto"/>
            </w:tcBorders>
            <w:shd w:val="clear" w:color="auto" w:fill="C6D9F1" w:themeFill="text2" w:themeFillTint="33"/>
            <w:tcMar>
              <w:top w:w="113" w:type="dxa"/>
              <w:bottom w:w="113" w:type="dxa"/>
            </w:tcMar>
            <w:vAlign w:val="center"/>
          </w:tcPr>
          <w:p w:rsidR="007575E1" w:rsidRPr="00A32AF4" w:rsidRDefault="0074225F" w:rsidP="00DC0553">
            <w:pPr>
              <w:jc w:val="center"/>
              <w:rPr>
                <w:rFonts w:cs="Arial"/>
                <w:sz w:val="18"/>
                <w:szCs w:val="18"/>
              </w:rPr>
            </w:pPr>
            <w:r w:rsidRPr="00A32AF4">
              <w:rPr>
                <w:rFonts w:cs="Arial"/>
                <w:b/>
                <w:sz w:val="18"/>
                <w:szCs w:val="18"/>
              </w:rPr>
              <w:t>Programme(s) concerné(s)</w:t>
            </w:r>
          </w:p>
        </w:tc>
      </w:tr>
      <w:tr w:rsidR="006B4680" w:rsidRPr="00A32AF4" w:rsidTr="000D0EE9">
        <w:trPr>
          <w:cantSplit/>
        </w:trPr>
        <w:tc>
          <w:tcPr>
            <w:tcW w:w="1769" w:type="pct"/>
            <w:tcBorders>
              <w:top w:val="single" w:sz="4" w:space="0" w:color="auto"/>
            </w:tcBorders>
            <w:shd w:val="clear" w:color="auto" w:fill="auto"/>
            <w:tcMar>
              <w:top w:w="113" w:type="dxa"/>
              <w:bottom w:w="113" w:type="dxa"/>
            </w:tcMar>
          </w:tcPr>
          <w:p w:rsidR="006B4680" w:rsidRPr="00A32AF4" w:rsidRDefault="006B4680" w:rsidP="00DC0553">
            <w:pPr>
              <w:rPr>
                <w:rFonts w:cs="Arial"/>
                <w:sz w:val="16"/>
                <w:szCs w:val="16"/>
              </w:rPr>
            </w:pPr>
            <w:r w:rsidRPr="00A32AF4">
              <w:rPr>
                <w:rFonts w:cs="Arial"/>
                <w:sz w:val="16"/>
                <w:szCs w:val="16"/>
              </w:rPr>
              <w:t>I.1 Renforcement de la coopération entre les États membres en ce qui concerne l</w:t>
            </w:r>
            <w:r w:rsidR="00E2055A" w:rsidRPr="00A32AF4">
              <w:rPr>
                <w:rFonts w:cs="Arial"/>
                <w:sz w:val="16"/>
                <w:szCs w:val="16"/>
              </w:rPr>
              <w:t>’</w:t>
            </w:r>
            <w:r w:rsidRPr="00A32AF4">
              <w:rPr>
                <w:rFonts w:cs="Arial"/>
                <w:sz w:val="16"/>
                <w:szCs w:val="16"/>
              </w:rPr>
              <w:t xml:space="preserve">élaboration de cadres normatifs internationaux équilibrés dans le domaine de la propriété intellectuelle </w:t>
            </w:r>
          </w:p>
        </w:tc>
        <w:tc>
          <w:tcPr>
            <w:tcW w:w="2161" w:type="pct"/>
            <w:tcBorders>
              <w:top w:val="single" w:sz="4" w:space="0" w:color="auto"/>
            </w:tcBorders>
            <w:shd w:val="clear" w:color="auto" w:fill="auto"/>
            <w:tcMar>
              <w:top w:w="113" w:type="dxa"/>
              <w:bottom w:w="113" w:type="dxa"/>
            </w:tcMar>
          </w:tcPr>
          <w:p w:rsidR="006B4680" w:rsidRPr="00A32AF4" w:rsidRDefault="006B4680" w:rsidP="00DC0553">
            <w:pPr>
              <w:ind w:right="176"/>
              <w:rPr>
                <w:rFonts w:cs="Arial"/>
                <w:sz w:val="16"/>
                <w:szCs w:val="16"/>
              </w:rPr>
            </w:pPr>
            <w:r w:rsidRPr="00A32AF4">
              <w:rPr>
                <w:rFonts w:cs="Arial"/>
                <w:sz w:val="16"/>
                <w:szCs w:val="16"/>
              </w:rPr>
              <w:t>État d</w:t>
            </w:r>
            <w:r w:rsidR="00E2055A" w:rsidRPr="00A32AF4">
              <w:rPr>
                <w:rFonts w:cs="Arial"/>
                <w:sz w:val="16"/>
                <w:szCs w:val="16"/>
              </w:rPr>
              <w:t>’</w:t>
            </w:r>
            <w:r w:rsidRPr="00A32AF4">
              <w:rPr>
                <w:rFonts w:cs="Arial"/>
                <w:sz w:val="16"/>
                <w:szCs w:val="16"/>
              </w:rPr>
              <w:t>avancement de la mise en œuvre des travaux convenus selon l</w:t>
            </w:r>
            <w:r w:rsidR="00E2055A" w:rsidRPr="00A32AF4">
              <w:rPr>
                <w:rFonts w:cs="Arial"/>
                <w:sz w:val="16"/>
                <w:szCs w:val="16"/>
              </w:rPr>
              <w:t>’</w:t>
            </w:r>
            <w:r w:rsidRPr="00A32AF4">
              <w:rPr>
                <w:rFonts w:cs="Arial"/>
                <w:sz w:val="16"/>
                <w:szCs w:val="16"/>
              </w:rPr>
              <w:t>ordre du jour du SCP</w:t>
            </w:r>
          </w:p>
        </w:tc>
        <w:tc>
          <w:tcPr>
            <w:tcW w:w="1070" w:type="pct"/>
            <w:tcBorders>
              <w:top w:val="single" w:sz="4" w:space="0" w:color="auto"/>
            </w:tcBorders>
            <w:shd w:val="clear" w:color="auto" w:fill="FFFFFF"/>
            <w:tcMar>
              <w:top w:w="113" w:type="dxa"/>
              <w:bottom w:w="113" w:type="dxa"/>
            </w:tcMar>
          </w:tcPr>
          <w:p w:rsidR="006B4680" w:rsidRPr="00A32AF4" w:rsidRDefault="006B4680" w:rsidP="00DC0553">
            <w:pPr>
              <w:jc w:val="center"/>
              <w:rPr>
                <w:rFonts w:cs="Arial"/>
                <w:sz w:val="16"/>
                <w:szCs w:val="16"/>
              </w:rPr>
            </w:pPr>
            <w:r w:rsidRPr="00A32AF4">
              <w:rPr>
                <w:rFonts w:cs="Arial"/>
                <w:sz w:val="16"/>
                <w:szCs w:val="16"/>
                <w:lang w:bidi="th-TH"/>
              </w:rPr>
              <w:t>Programme 1</w:t>
            </w:r>
          </w:p>
        </w:tc>
      </w:tr>
      <w:tr w:rsidR="006B4680" w:rsidRPr="00A32AF4" w:rsidTr="000D0EE9">
        <w:trPr>
          <w:cantSplit/>
        </w:trPr>
        <w:tc>
          <w:tcPr>
            <w:tcW w:w="1769" w:type="pct"/>
            <w:shd w:val="clear" w:color="auto" w:fill="auto"/>
            <w:tcMar>
              <w:top w:w="113" w:type="dxa"/>
              <w:bottom w:w="113" w:type="dxa"/>
            </w:tcMar>
          </w:tcPr>
          <w:p w:rsidR="006B4680" w:rsidRPr="00A32AF4" w:rsidRDefault="006B4680" w:rsidP="00DC0553">
            <w:pPr>
              <w:rPr>
                <w:rFonts w:cs="Arial"/>
                <w:sz w:val="16"/>
                <w:szCs w:val="16"/>
              </w:rPr>
            </w:pPr>
          </w:p>
        </w:tc>
        <w:tc>
          <w:tcPr>
            <w:tcW w:w="2161" w:type="pct"/>
            <w:shd w:val="clear" w:color="auto" w:fill="auto"/>
            <w:tcMar>
              <w:top w:w="113" w:type="dxa"/>
              <w:bottom w:w="113" w:type="dxa"/>
            </w:tcMar>
          </w:tcPr>
          <w:p w:rsidR="006B4680" w:rsidRPr="00A32AF4" w:rsidRDefault="006B4680" w:rsidP="00DC0553">
            <w:pPr>
              <w:ind w:right="176"/>
              <w:rPr>
                <w:rFonts w:cs="Arial"/>
                <w:sz w:val="16"/>
                <w:szCs w:val="16"/>
              </w:rPr>
            </w:pPr>
            <w:r w:rsidRPr="00A32AF4">
              <w:rPr>
                <w:rFonts w:cs="Arial"/>
                <w:sz w:val="16"/>
                <w:szCs w:val="16"/>
              </w:rPr>
              <w:t>Niveau de satisfaction des participants des ateliers ou séminaires organisés sur des thèmes spécifiques relatifs aux brevets</w:t>
            </w:r>
          </w:p>
        </w:tc>
        <w:tc>
          <w:tcPr>
            <w:tcW w:w="1070" w:type="pct"/>
            <w:shd w:val="clear" w:color="auto" w:fill="FFFFFF"/>
            <w:tcMar>
              <w:top w:w="113" w:type="dxa"/>
              <w:bottom w:w="113" w:type="dxa"/>
            </w:tcMar>
          </w:tcPr>
          <w:p w:rsidR="006B4680" w:rsidRPr="00A32AF4" w:rsidRDefault="006B4680" w:rsidP="00DC0553">
            <w:pPr>
              <w:jc w:val="center"/>
              <w:rPr>
                <w:rFonts w:cs="Arial"/>
                <w:sz w:val="16"/>
                <w:szCs w:val="16"/>
              </w:rPr>
            </w:pPr>
            <w:r w:rsidRPr="00A32AF4">
              <w:rPr>
                <w:rFonts w:cs="Arial"/>
                <w:sz w:val="16"/>
                <w:szCs w:val="16"/>
              </w:rPr>
              <w:t>Programme 1</w:t>
            </w:r>
          </w:p>
        </w:tc>
      </w:tr>
      <w:tr w:rsidR="006B4680" w:rsidRPr="00A32AF4" w:rsidTr="000D0EE9">
        <w:trPr>
          <w:cantSplit/>
        </w:trPr>
        <w:tc>
          <w:tcPr>
            <w:tcW w:w="1769" w:type="pct"/>
            <w:shd w:val="clear" w:color="auto" w:fill="auto"/>
            <w:tcMar>
              <w:top w:w="113" w:type="dxa"/>
              <w:bottom w:w="113" w:type="dxa"/>
            </w:tcMar>
          </w:tcPr>
          <w:p w:rsidR="006B4680" w:rsidRPr="00A32AF4" w:rsidRDefault="006B4680" w:rsidP="00DC0553">
            <w:pPr>
              <w:rPr>
                <w:rFonts w:cs="Arial"/>
                <w:sz w:val="16"/>
                <w:szCs w:val="16"/>
              </w:rPr>
            </w:pPr>
          </w:p>
        </w:tc>
        <w:tc>
          <w:tcPr>
            <w:tcW w:w="2161" w:type="pct"/>
            <w:shd w:val="clear" w:color="auto" w:fill="auto"/>
            <w:tcMar>
              <w:top w:w="113" w:type="dxa"/>
              <w:bottom w:w="113" w:type="dxa"/>
            </w:tcMar>
          </w:tcPr>
          <w:p w:rsidR="006B4680" w:rsidRPr="00A32AF4" w:rsidRDefault="006B4680" w:rsidP="00DC0553">
            <w:pPr>
              <w:ind w:right="176"/>
              <w:rPr>
                <w:rFonts w:cs="Arial"/>
                <w:sz w:val="16"/>
                <w:szCs w:val="16"/>
              </w:rPr>
            </w:pPr>
            <w:r w:rsidRPr="00A32AF4">
              <w:rPr>
                <w:rFonts w:cs="Arial"/>
                <w:sz w:val="16"/>
                <w:szCs w:val="16"/>
              </w:rPr>
              <w:t>Niveau de sa</w:t>
            </w:r>
            <w:r w:rsidR="000274B9" w:rsidRPr="00A32AF4">
              <w:rPr>
                <w:rFonts w:cs="Arial"/>
                <w:sz w:val="16"/>
                <w:szCs w:val="16"/>
              </w:rPr>
              <w:t>tisfaction des participants du p</w:t>
            </w:r>
            <w:r w:rsidRPr="00A32AF4">
              <w:rPr>
                <w:rFonts w:cs="Arial"/>
                <w:sz w:val="16"/>
                <w:szCs w:val="16"/>
              </w:rPr>
              <w:t>rogramme d</w:t>
            </w:r>
            <w:r w:rsidR="00E2055A" w:rsidRPr="00A32AF4">
              <w:rPr>
                <w:rFonts w:cs="Arial"/>
                <w:sz w:val="16"/>
                <w:szCs w:val="16"/>
              </w:rPr>
              <w:t>’</w:t>
            </w:r>
            <w:r w:rsidRPr="00A32AF4">
              <w:rPr>
                <w:rFonts w:cs="Arial"/>
                <w:sz w:val="16"/>
                <w:szCs w:val="16"/>
              </w:rPr>
              <w:t>aide aux inventeurs</w:t>
            </w:r>
          </w:p>
        </w:tc>
        <w:tc>
          <w:tcPr>
            <w:tcW w:w="1070" w:type="pct"/>
            <w:shd w:val="clear" w:color="auto" w:fill="FFFFFF"/>
            <w:tcMar>
              <w:top w:w="113" w:type="dxa"/>
              <w:bottom w:w="113" w:type="dxa"/>
            </w:tcMar>
          </w:tcPr>
          <w:p w:rsidR="006B4680" w:rsidRPr="00A32AF4" w:rsidRDefault="006B4680" w:rsidP="00DC0553">
            <w:pPr>
              <w:jc w:val="center"/>
              <w:rPr>
                <w:rFonts w:cs="Arial"/>
                <w:sz w:val="16"/>
                <w:szCs w:val="16"/>
              </w:rPr>
            </w:pPr>
            <w:r w:rsidRPr="00A32AF4">
              <w:rPr>
                <w:rFonts w:cs="Arial"/>
                <w:sz w:val="16"/>
                <w:szCs w:val="16"/>
              </w:rPr>
              <w:t>Programme 1</w:t>
            </w:r>
          </w:p>
        </w:tc>
      </w:tr>
      <w:tr w:rsidR="006B4680" w:rsidRPr="00A32AF4" w:rsidTr="000D0EE9">
        <w:trPr>
          <w:cantSplit/>
        </w:trPr>
        <w:tc>
          <w:tcPr>
            <w:tcW w:w="1769" w:type="pct"/>
            <w:shd w:val="clear" w:color="auto" w:fill="auto"/>
            <w:tcMar>
              <w:top w:w="113" w:type="dxa"/>
              <w:bottom w:w="113" w:type="dxa"/>
            </w:tcMar>
          </w:tcPr>
          <w:p w:rsidR="006B4680" w:rsidRPr="00A32AF4" w:rsidRDefault="006B4680" w:rsidP="00DC0553">
            <w:pPr>
              <w:rPr>
                <w:rFonts w:cs="Arial"/>
                <w:sz w:val="16"/>
                <w:szCs w:val="16"/>
              </w:rPr>
            </w:pPr>
          </w:p>
        </w:tc>
        <w:tc>
          <w:tcPr>
            <w:tcW w:w="2161" w:type="pct"/>
            <w:shd w:val="clear" w:color="auto" w:fill="auto"/>
            <w:tcMar>
              <w:top w:w="113" w:type="dxa"/>
              <w:bottom w:w="113" w:type="dxa"/>
            </w:tcMar>
          </w:tcPr>
          <w:p w:rsidR="006B4680" w:rsidRPr="00A32AF4" w:rsidRDefault="006B4680" w:rsidP="00DC0553">
            <w:pPr>
              <w:rPr>
                <w:rFonts w:cs="Arial"/>
                <w:i/>
                <w:sz w:val="16"/>
                <w:szCs w:val="16"/>
              </w:rPr>
            </w:pPr>
            <w:r w:rsidRPr="00A32AF4">
              <w:rPr>
                <w:rFonts w:cs="Arial"/>
                <w:sz w:val="16"/>
                <w:szCs w:val="16"/>
                <w:lang w:bidi="th-TH"/>
              </w:rPr>
              <w:t>Avancement des travaux en vue d</w:t>
            </w:r>
            <w:r w:rsidR="00E2055A" w:rsidRPr="00A32AF4">
              <w:rPr>
                <w:rFonts w:cs="Arial"/>
                <w:sz w:val="16"/>
                <w:szCs w:val="16"/>
                <w:lang w:bidi="th-TH"/>
              </w:rPr>
              <w:t>’</w:t>
            </w:r>
            <w:r w:rsidRPr="00A32AF4">
              <w:rPr>
                <w:rFonts w:cs="Arial"/>
                <w:sz w:val="16"/>
                <w:szCs w:val="16"/>
                <w:lang w:bidi="th-TH"/>
              </w:rPr>
              <w:t>un accord sur les questions actuellement à l</w:t>
            </w:r>
            <w:r w:rsidR="00E2055A" w:rsidRPr="00A32AF4">
              <w:rPr>
                <w:rFonts w:cs="Arial"/>
                <w:sz w:val="16"/>
                <w:szCs w:val="16"/>
                <w:lang w:bidi="th-TH"/>
              </w:rPr>
              <w:t>’</w:t>
            </w:r>
            <w:r w:rsidRPr="00A32AF4">
              <w:rPr>
                <w:rFonts w:cs="Arial"/>
                <w:sz w:val="16"/>
                <w:szCs w:val="16"/>
                <w:lang w:bidi="th-TH"/>
              </w:rPr>
              <w:t>ordre du jour du SCT</w:t>
            </w:r>
          </w:p>
        </w:tc>
        <w:tc>
          <w:tcPr>
            <w:tcW w:w="1070" w:type="pct"/>
            <w:shd w:val="clear" w:color="auto" w:fill="FFFFFF"/>
            <w:tcMar>
              <w:top w:w="113" w:type="dxa"/>
              <w:bottom w:w="113" w:type="dxa"/>
            </w:tcMar>
          </w:tcPr>
          <w:p w:rsidR="006B4680" w:rsidRPr="00A32AF4" w:rsidRDefault="006B4680" w:rsidP="00DC0553">
            <w:pPr>
              <w:jc w:val="center"/>
              <w:rPr>
                <w:rFonts w:cs="Arial"/>
                <w:sz w:val="16"/>
                <w:szCs w:val="16"/>
              </w:rPr>
            </w:pPr>
            <w:r w:rsidRPr="00A32AF4">
              <w:rPr>
                <w:rFonts w:cs="Arial"/>
                <w:sz w:val="16"/>
                <w:szCs w:val="16"/>
                <w:lang w:bidi="th-TH"/>
              </w:rPr>
              <w:t>Programme 2</w:t>
            </w:r>
          </w:p>
        </w:tc>
      </w:tr>
      <w:tr w:rsidR="006B4680" w:rsidRPr="00A32AF4" w:rsidTr="000D0EE9">
        <w:trPr>
          <w:cantSplit/>
        </w:trPr>
        <w:tc>
          <w:tcPr>
            <w:tcW w:w="1769" w:type="pct"/>
            <w:shd w:val="clear" w:color="auto" w:fill="auto"/>
            <w:tcMar>
              <w:top w:w="113" w:type="dxa"/>
              <w:bottom w:w="113" w:type="dxa"/>
            </w:tcMar>
          </w:tcPr>
          <w:p w:rsidR="006B4680" w:rsidRPr="00A32AF4" w:rsidRDefault="006B4680" w:rsidP="00DC0553">
            <w:pPr>
              <w:rPr>
                <w:rFonts w:cs="Arial"/>
                <w:sz w:val="16"/>
                <w:szCs w:val="16"/>
              </w:rPr>
            </w:pPr>
          </w:p>
        </w:tc>
        <w:tc>
          <w:tcPr>
            <w:tcW w:w="2161" w:type="pct"/>
            <w:shd w:val="clear" w:color="auto" w:fill="auto"/>
            <w:tcMar>
              <w:top w:w="113" w:type="dxa"/>
              <w:bottom w:w="113" w:type="dxa"/>
            </w:tcMar>
          </w:tcPr>
          <w:p w:rsidR="006B4680" w:rsidRPr="00A32AF4" w:rsidRDefault="00834E1C" w:rsidP="00DC0553">
            <w:pPr>
              <w:rPr>
                <w:rFonts w:cs="Arial"/>
                <w:sz w:val="16"/>
                <w:szCs w:val="16"/>
              </w:rPr>
            </w:pPr>
            <w:r w:rsidRPr="00A32AF4">
              <w:rPr>
                <w:sz w:val="16"/>
                <w:szCs w:val="16"/>
              </w:rPr>
              <w:t>Avancement de l</w:t>
            </w:r>
            <w:r w:rsidR="00E2055A" w:rsidRPr="00A32AF4">
              <w:rPr>
                <w:sz w:val="16"/>
                <w:szCs w:val="16"/>
              </w:rPr>
              <w:t>’</w:t>
            </w:r>
            <w:r w:rsidRPr="00A32AF4">
              <w:rPr>
                <w:sz w:val="16"/>
                <w:szCs w:val="16"/>
              </w:rPr>
              <w:t>exécution des plans de travail convenus conformément à l</w:t>
            </w:r>
            <w:r w:rsidR="00E2055A" w:rsidRPr="00A32AF4">
              <w:rPr>
                <w:sz w:val="16"/>
                <w:szCs w:val="16"/>
              </w:rPr>
              <w:t>’</w:t>
            </w:r>
            <w:r w:rsidRPr="00A32AF4">
              <w:rPr>
                <w:sz w:val="16"/>
                <w:szCs w:val="16"/>
              </w:rPr>
              <w:t>ordre du jour du SCCR</w:t>
            </w:r>
          </w:p>
        </w:tc>
        <w:tc>
          <w:tcPr>
            <w:tcW w:w="1070" w:type="pct"/>
            <w:shd w:val="clear" w:color="auto" w:fill="FFFFFF"/>
            <w:tcMar>
              <w:top w:w="113" w:type="dxa"/>
              <w:bottom w:w="113" w:type="dxa"/>
            </w:tcMar>
          </w:tcPr>
          <w:p w:rsidR="006B4680" w:rsidRPr="00A32AF4" w:rsidRDefault="006B4680" w:rsidP="00DC0553">
            <w:pPr>
              <w:jc w:val="center"/>
              <w:rPr>
                <w:rFonts w:cs="Arial"/>
                <w:sz w:val="16"/>
                <w:szCs w:val="16"/>
                <w:lang w:bidi="th-TH"/>
              </w:rPr>
            </w:pPr>
            <w:r w:rsidRPr="00A32AF4">
              <w:rPr>
                <w:rFonts w:cs="Arial"/>
                <w:sz w:val="16"/>
                <w:szCs w:val="16"/>
                <w:lang w:bidi="th-TH"/>
              </w:rPr>
              <w:t>Programme 3</w:t>
            </w:r>
          </w:p>
        </w:tc>
      </w:tr>
      <w:tr w:rsidR="006B4680" w:rsidRPr="00A32AF4" w:rsidTr="000D0EE9">
        <w:trPr>
          <w:cantSplit/>
        </w:trPr>
        <w:tc>
          <w:tcPr>
            <w:tcW w:w="1769" w:type="pct"/>
            <w:shd w:val="clear" w:color="auto" w:fill="auto"/>
            <w:tcMar>
              <w:top w:w="113" w:type="dxa"/>
              <w:bottom w:w="113" w:type="dxa"/>
            </w:tcMar>
          </w:tcPr>
          <w:p w:rsidR="006B4680" w:rsidRPr="00A32AF4" w:rsidRDefault="006B4680" w:rsidP="00DC0553">
            <w:pPr>
              <w:rPr>
                <w:rFonts w:cs="Arial"/>
                <w:sz w:val="16"/>
                <w:szCs w:val="16"/>
              </w:rPr>
            </w:pPr>
          </w:p>
        </w:tc>
        <w:tc>
          <w:tcPr>
            <w:tcW w:w="2161" w:type="pct"/>
            <w:shd w:val="clear" w:color="auto" w:fill="auto"/>
            <w:tcMar>
              <w:top w:w="113" w:type="dxa"/>
              <w:bottom w:w="113" w:type="dxa"/>
            </w:tcMar>
          </w:tcPr>
          <w:p w:rsidR="006B4680" w:rsidRPr="00A32AF4" w:rsidRDefault="002F6FCA" w:rsidP="00DC0553">
            <w:pPr>
              <w:rPr>
                <w:rFonts w:cs="Arial"/>
                <w:sz w:val="16"/>
                <w:szCs w:val="16"/>
              </w:rPr>
            </w:pPr>
            <w:r w:rsidRPr="00A32AF4">
              <w:rPr>
                <w:rFonts w:cs="Arial"/>
                <w:sz w:val="16"/>
                <w:szCs w:val="16"/>
              </w:rPr>
              <w:t>Progrès accomplis en vue de la mise en œuvre des activités d</w:t>
            </w:r>
            <w:r w:rsidR="00E2055A" w:rsidRPr="00A32AF4">
              <w:rPr>
                <w:rFonts w:cs="Arial"/>
                <w:sz w:val="16"/>
                <w:szCs w:val="16"/>
              </w:rPr>
              <w:t>’</w:t>
            </w:r>
            <w:r w:rsidRPr="00A32AF4">
              <w:rPr>
                <w:rFonts w:cs="Arial"/>
                <w:sz w:val="16"/>
                <w:szCs w:val="16"/>
              </w:rPr>
              <w:t>établissement de normes sur la propriété intellectuelle relative aux ressources génétiques, aux savoirs traditionnels et aux expressions culturelles traditionnelles, conformément à la décision des États membres</w:t>
            </w:r>
          </w:p>
        </w:tc>
        <w:tc>
          <w:tcPr>
            <w:tcW w:w="1070" w:type="pct"/>
            <w:shd w:val="clear" w:color="auto" w:fill="FFFFFF"/>
            <w:tcMar>
              <w:top w:w="113" w:type="dxa"/>
              <w:bottom w:w="113" w:type="dxa"/>
            </w:tcMar>
          </w:tcPr>
          <w:p w:rsidR="006B4680" w:rsidRPr="00A32AF4" w:rsidRDefault="006B4680" w:rsidP="00DC0553">
            <w:pPr>
              <w:jc w:val="center"/>
              <w:rPr>
                <w:rFonts w:cs="Arial"/>
                <w:sz w:val="16"/>
                <w:szCs w:val="16"/>
                <w:lang w:bidi="th-TH"/>
              </w:rPr>
            </w:pPr>
            <w:r w:rsidRPr="00A32AF4">
              <w:rPr>
                <w:rFonts w:cs="Arial"/>
                <w:sz w:val="16"/>
                <w:szCs w:val="16"/>
                <w:lang w:bidi="th-TH"/>
              </w:rPr>
              <w:t>Programme 4</w:t>
            </w:r>
          </w:p>
        </w:tc>
      </w:tr>
      <w:tr w:rsidR="006B4680" w:rsidRPr="00A32AF4" w:rsidTr="000D0EE9">
        <w:trPr>
          <w:cantSplit/>
        </w:trPr>
        <w:tc>
          <w:tcPr>
            <w:tcW w:w="1769" w:type="pct"/>
            <w:shd w:val="clear" w:color="auto" w:fill="auto"/>
            <w:tcMar>
              <w:top w:w="113" w:type="dxa"/>
              <w:bottom w:w="113" w:type="dxa"/>
            </w:tcMar>
          </w:tcPr>
          <w:p w:rsidR="006B4680" w:rsidRPr="00A32AF4" w:rsidRDefault="006B4680" w:rsidP="00DC0553">
            <w:pPr>
              <w:rPr>
                <w:rFonts w:cs="Arial"/>
                <w:sz w:val="16"/>
                <w:szCs w:val="16"/>
              </w:rPr>
            </w:pPr>
          </w:p>
        </w:tc>
        <w:tc>
          <w:tcPr>
            <w:tcW w:w="2161" w:type="pct"/>
            <w:shd w:val="clear" w:color="auto" w:fill="auto"/>
            <w:tcMar>
              <w:top w:w="113" w:type="dxa"/>
              <w:bottom w:w="113" w:type="dxa"/>
            </w:tcMar>
          </w:tcPr>
          <w:p w:rsidR="006B4680" w:rsidRPr="00A32AF4" w:rsidRDefault="006B4680" w:rsidP="00DC0553">
            <w:pPr>
              <w:rPr>
                <w:rFonts w:cs="Arial"/>
                <w:sz w:val="16"/>
                <w:szCs w:val="16"/>
              </w:rPr>
            </w:pPr>
            <w:r w:rsidRPr="00A32AF4">
              <w:rPr>
                <w:rFonts w:cs="Arial"/>
                <w:sz w:val="16"/>
                <w:szCs w:val="16"/>
              </w:rPr>
              <w:t>Nombre de ratifications du Traité de Singapour ou d</w:t>
            </w:r>
            <w:r w:rsidR="00E2055A" w:rsidRPr="00A32AF4">
              <w:rPr>
                <w:rFonts w:cs="Arial"/>
                <w:sz w:val="16"/>
                <w:szCs w:val="16"/>
              </w:rPr>
              <w:t>’</w:t>
            </w:r>
            <w:r w:rsidRPr="00A32AF4">
              <w:rPr>
                <w:rFonts w:cs="Arial"/>
                <w:sz w:val="16"/>
                <w:szCs w:val="16"/>
              </w:rPr>
              <w:t>adhésions à ce traité</w:t>
            </w:r>
          </w:p>
        </w:tc>
        <w:tc>
          <w:tcPr>
            <w:tcW w:w="1070" w:type="pct"/>
            <w:shd w:val="clear" w:color="auto" w:fill="FFFFFF"/>
            <w:tcMar>
              <w:top w:w="113" w:type="dxa"/>
              <w:bottom w:w="113" w:type="dxa"/>
            </w:tcMar>
          </w:tcPr>
          <w:p w:rsidR="00F93B76" w:rsidRPr="00A32AF4" w:rsidRDefault="006B4680" w:rsidP="00DC0553">
            <w:pPr>
              <w:jc w:val="center"/>
              <w:rPr>
                <w:rFonts w:cs="Arial"/>
                <w:sz w:val="16"/>
                <w:szCs w:val="16"/>
                <w:lang w:bidi="th-TH"/>
              </w:rPr>
            </w:pPr>
            <w:r w:rsidRPr="00A32AF4">
              <w:rPr>
                <w:rFonts w:cs="Arial"/>
                <w:sz w:val="16"/>
                <w:szCs w:val="16"/>
                <w:lang w:bidi="th-TH"/>
              </w:rPr>
              <w:t>Programme 2</w:t>
            </w:r>
          </w:p>
          <w:p w:rsidR="006B4680" w:rsidRPr="00A32AF4" w:rsidRDefault="006B4680" w:rsidP="00DC0553">
            <w:pPr>
              <w:jc w:val="center"/>
              <w:rPr>
                <w:rFonts w:cs="Arial"/>
                <w:sz w:val="16"/>
                <w:szCs w:val="16"/>
                <w:lang w:bidi="th-TH"/>
              </w:rPr>
            </w:pPr>
            <w:r w:rsidRPr="00A32AF4">
              <w:rPr>
                <w:rFonts w:cs="Arial"/>
                <w:sz w:val="16"/>
                <w:szCs w:val="16"/>
                <w:lang w:bidi="th-TH"/>
              </w:rPr>
              <w:t>Programme 20</w:t>
            </w:r>
          </w:p>
        </w:tc>
      </w:tr>
      <w:tr w:rsidR="006B4680" w:rsidRPr="00A32AF4" w:rsidTr="000D0EE9">
        <w:trPr>
          <w:cantSplit/>
        </w:trPr>
        <w:tc>
          <w:tcPr>
            <w:tcW w:w="1769" w:type="pct"/>
            <w:shd w:val="clear" w:color="auto" w:fill="auto"/>
            <w:tcMar>
              <w:top w:w="113" w:type="dxa"/>
              <w:bottom w:w="113" w:type="dxa"/>
            </w:tcMar>
          </w:tcPr>
          <w:p w:rsidR="006B4680" w:rsidRPr="00A32AF4" w:rsidRDefault="006B4680" w:rsidP="00DC0553">
            <w:pPr>
              <w:rPr>
                <w:rFonts w:cs="Arial"/>
                <w:sz w:val="16"/>
                <w:szCs w:val="16"/>
              </w:rPr>
            </w:pPr>
            <w:r w:rsidRPr="00A32AF4">
              <w:rPr>
                <w:rFonts w:cs="Arial"/>
                <w:sz w:val="16"/>
                <w:szCs w:val="16"/>
              </w:rPr>
              <w:t>I.2 Cadres législatifs, réglementaires et politiques de propriété intellectuelle adaptés et équilibrés</w:t>
            </w:r>
          </w:p>
        </w:tc>
        <w:tc>
          <w:tcPr>
            <w:tcW w:w="2161" w:type="pct"/>
            <w:shd w:val="clear" w:color="auto" w:fill="auto"/>
            <w:tcMar>
              <w:top w:w="113" w:type="dxa"/>
              <w:bottom w:w="113" w:type="dxa"/>
            </w:tcMar>
          </w:tcPr>
          <w:p w:rsidR="006B4680" w:rsidRPr="00A32AF4" w:rsidRDefault="006B4680" w:rsidP="00DC0553">
            <w:pPr>
              <w:ind w:right="176"/>
              <w:rPr>
                <w:rFonts w:cs="Arial"/>
                <w:sz w:val="16"/>
                <w:szCs w:val="16"/>
              </w:rPr>
            </w:pPr>
            <w:r w:rsidRPr="00A32AF4">
              <w:rPr>
                <w:rFonts w:cs="Arial"/>
                <w:sz w:val="16"/>
                <w:szCs w:val="16"/>
              </w:rPr>
              <w:t>Pourcentage de bénéficiaires ayant trouvé utiles les informations fournies concernant les principes et les pratiques juridiques des systèmes des brevets, des modèles d</w:t>
            </w:r>
            <w:r w:rsidR="00E2055A" w:rsidRPr="00A32AF4">
              <w:rPr>
                <w:rFonts w:cs="Arial"/>
                <w:sz w:val="16"/>
                <w:szCs w:val="16"/>
              </w:rPr>
              <w:t>’</w:t>
            </w:r>
            <w:r w:rsidRPr="00A32AF4">
              <w:rPr>
                <w:rFonts w:cs="Arial"/>
                <w:sz w:val="16"/>
                <w:szCs w:val="16"/>
              </w:rPr>
              <w:t xml:space="preserve">utilité et des circuits intégrés, </w:t>
            </w:r>
            <w:r w:rsidR="00E2055A" w:rsidRPr="00A32AF4">
              <w:rPr>
                <w:rFonts w:cs="Arial"/>
                <w:sz w:val="16"/>
                <w:szCs w:val="16"/>
              </w:rPr>
              <w:t>y compris</w:t>
            </w:r>
            <w:r w:rsidRPr="00A32AF4">
              <w:rPr>
                <w:rFonts w:cs="Arial"/>
                <w:sz w:val="16"/>
                <w:szCs w:val="16"/>
              </w:rPr>
              <w:t xml:space="preserve"> les éléments de flexibilité</w:t>
            </w:r>
          </w:p>
        </w:tc>
        <w:tc>
          <w:tcPr>
            <w:tcW w:w="1070" w:type="pct"/>
            <w:shd w:val="clear" w:color="auto" w:fill="FFFFFF"/>
            <w:tcMar>
              <w:top w:w="113" w:type="dxa"/>
              <w:bottom w:w="113" w:type="dxa"/>
            </w:tcMar>
          </w:tcPr>
          <w:p w:rsidR="006B4680" w:rsidRPr="00A32AF4" w:rsidRDefault="006B4680" w:rsidP="00DC0553">
            <w:pPr>
              <w:jc w:val="center"/>
              <w:rPr>
                <w:rFonts w:cs="Arial"/>
                <w:sz w:val="16"/>
                <w:szCs w:val="16"/>
                <w:lang w:bidi="th-TH"/>
              </w:rPr>
            </w:pPr>
            <w:r w:rsidRPr="00A32AF4">
              <w:rPr>
                <w:rFonts w:cs="Arial"/>
                <w:sz w:val="16"/>
                <w:szCs w:val="16"/>
                <w:lang w:bidi="th-TH"/>
              </w:rPr>
              <w:t>Programme 1</w:t>
            </w:r>
          </w:p>
        </w:tc>
      </w:tr>
      <w:tr w:rsidR="006B4680" w:rsidRPr="00A32AF4" w:rsidTr="000D0EE9">
        <w:trPr>
          <w:cantSplit/>
        </w:trPr>
        <w:tc>
          <w:tcPr>
            <w:tcW w:w="1769" w:type="pct"/>
            <w:shd w:val="clear" w:color="auto" w:fill="auto"/>
            <w:tcMar>
              <w:top w:w="113" w:type="dxa"/>
              <w:bottom w:w="113" w:type="dxa"/>
            </w:tcMar>
          </w:tcPr>
          <w:p w:rsidR="006B4680" w:rsidRPr="00A32AF4" w:rsidRDefault="006B4680" w:rsidP="00DC0553">
            <w:pPr>
              <w:rPr>
                <w:rFonts w:cs="Arial"/>
                <w:sz w:val="16"/>
                <w:szCs w:val="16"/>
              </w:rPr>
            </w:pPr>
          </w:p>
        </w:tc>
        <w:tc>
          <w:tcPr>
            <w:tcW w:w="2161" w:type="pct"/>
            <w:shd w:val="clear" w:color="auto" w:fill="auto"/>
            <w:tcMar>
              <w:top w:w="113" w:type="dxa"/>
              <w:bottom w:w="113" w:type="dxa"/>
            </w:tcMar>
          </w:tcPr>
          <w:p w:rsidR="006B4680" w:rsidRPr="00A32AF4" w:rsidRDefault="006B4680" w:rsidP="00DC0553">
            <w:pPr>
              <w:ind w:right="176"/>
              <w:rPr>
                <w:rFonts w:cs="Arial"/>
                <w:sz w:val="16"/>
                <w:szCs w:val="16"/>
              </w:rPr>
            </w:pPr>
            <w:r w:rsidRPr="00A32AF4">
              <w:rPr>
                <w:rFonts w:cs="Arial"/>
                <w:sz w:val="16"/>
                <w:szCs w:val="16"/>
              </w:rPr>
              <w:t>Nombre et pourcentage d</w:t>
            </w:r>
            <w:r w:rsidR="00E2055A" w:rsidRPr="00A32AF4">
              <w:rPr>
                <w:rFonts w:cs="Arial"/>
                <w:sz w:val="16"/>
                <w:szCs w:val="16"/>
              </w:rPr>
              <w:t>’</w:t>
            </w:r>
            <w:r w:rsidRPr="00A32AF4">
              <w:rPr>
                <w:rFonts w:cs="Arial"/>
                <w:sz w:val="16"/>
                <w:szCs w:val="16"/>
              </w:rPr>
              <w:t>États membres satisfaits des conseils juridiques et pratiques fournis</w:t>
            </w:r>
          </w:p>
        </w:tc>
        <w:tc>
          <w:tcPr>
            <w:tcW w:w="1070" w:type="pct"/>
            <w:shd w:val="clear" w:color="auto" w:fill="FFFFFF"/>
            <w:tcMar>
              <w:top w:w="113" w:type="dxa"/>
              <w:bottom w:w="113" w:type="dxa"/>
            </w:tcMar>
          </w:tcPr>
          <w:p w:rsidR="006B4680" w:rsidRPr="00A32AF4" w:rsidRDefault="006B4680" w:rsidP="00DC0553">
            <w:pPr>
              <w:jc w:val="center"/>
              <w:rPr>
                <w:rFonts w:cs="Arial"/>
                <w:sz w:val="16"/>
                <w:szCs w:val="16"/>
                <w:lang w:bidi="th-TH"/>
              </w:rPr>
            </w:pPr>
            <w:r w:rsidRPr="00A32AF4">
              <w:rPr>
                <w:rFonts w:cs="Arial"/>
                <w:sz w:val="16"/>
                <w:szCs w:val="16"/>
                <w:lang w:bidi="th-TH"/>
              </w:rPr>
              <w:t>Programme 1</w:t>
            </w:r>
          </w:p>
        </w:tc>
      </w:tr>
      <w:tr w:rsidR="006B4680" w:rsidRPr="00A32AF4" w:rsidTr="000D0EE9">
        <w:trPr>
          <w:cantSplit/>
        </w:trPr>
        <w:tc>
          <w:tcPr>
            <w:tcW w:w="1769" w:type="pct"/>
            <w:shd w:val="clear" w:color="auto" w:fill="auto"/>
            <w:tcMar>
              <w:top w:w="113" w:type="dxa"/>
              <w:bottom w:w="113" w:type="dxa"/>
            </w:tcMar>
          </w:tcPr>
          <w:p w:rsidR="006B4680" w:rsidRPr="00A32AF4" w:rsidRDefault="006B4680" w:rsidP="00DC0553">
            <w:pPr>
              <w:rPr>
                <w:rFonts w:cs="Arial"/>
                <w:sz w:val="16"/>
                <w:szCs w:val="16"/>
              </w:rPr>
            </w:pPr>
          </w:p>
        </w:tc>
        <w:tc>
          <w:tcPr>
            <w:tcW w:w="2161" w:type="pct"/>
            <w:shd w:val="clear" w:color="auto" w:fill="auto"/>
            <w:tcMar>
              <w:top w:w="113" w:type="dxa"/>
              <w:bottom w:w="113" w:type="dxa"/>
            </w:tcMar>
          </w:tcPr>
          <w:p w:rsidR="006B4680" w:rsidRPr="00A32AF4" w:rsidRDefault="006B4680" w:rsidP="00DC0553">
            <w:pPr>
              <w:rPr>
                <w:rFonts w:cs="Arial"/>
                <w:sz w:val="16"/>
                <w:szCs w:val="16"/>
              </w:rPr>
            </w:pPr>
            <w:r w:rsidRPr="00A32AF4">
              <w:rPr>
                <w:rFonts w:cs="Arial"/>
                <w:sz w:val="16"/>
                <w:szCs w:val="16"/>
              </w:rPr>
              <w:t>Nombre et pourcentage d</w:t>
            </w:r>
            <w:r w:rsidR="00E2055A" w:rsidRPr="00A32AF4">
              <w:rPr>
                <w:rFonts w:cs="Arial"/>
                <w:sz w:val="16"/>
                <w:szCs w:val="16"/>
              </w:rPr>
              <w:t>’</w:t>
            </w:r>
            <w:r w:rsidRPr="00A32AF4">
              <w:rPr>
                <w:rFonts w:cs="Arial"/>
                <w:sz w:val="16"/>
                <w:szCs w:val="16"/>
              </w:rPr>
              <w:t>États membres et d</w:t>
            </w:r>
            <w:r w:rsidR="00E2055A" w:rsidRPr="00A32AF4">
              <w:rPr>
                <w:rFonts w:cs="Arial"/>
                <w:sz w:val="16"/>
                <w:szCs w:val="16"/>
              </w:rPr>
              <w:t>’</w:t>
            </w:r>
            <w:r w:rsidRPr="00A32AF4">
              <w:rPr>
                <w:rFonts w:cs="Arial"/>
                <w:sz w:val="16"/>
                <w:szCs w:val="16"/>
              </w:rPr>
              <w:t>organisations régionales ayant donné un retour d</w:t>
            </w:r>
            <w:r w:rsidR="00E2055A" w:rsidRPr="00A32AF4">
              <w:rPr>
                <w:rFonts w:cs="Arial"/>
                <w:sz w:val="16"/>
                <w:szCs w:val="16"/>
              </w:rPr>
              <w:t>’</w:t>
            </w:r>
            <w:r w:rsidRPr="00A32AF4">
              <w:rPr>
                <w:rFonts w:cs="Arial"/>
                <w:sz w:val="16"/>
                <w:szCs w:val="16"/>
              </w:rPr>
              <w:t xml:space="preserve">information positif sur les conseils législatifs fournis dans le domaine des marques, des dessins et modèles industriels et des indications géographiques </w:t>
            </w:r>
          </w:p>
        </w:tc>
        <w:tc>
          <w:tcPr>
            <w:tcW w:w="1070" w:type="pct"/>
            <w:shd w:val="clear" w:color="auto" w:fill="FFFFFF"/>
            <w:tcMar>
              <w:top w:w="113" w:type="dxa"/>
              <w:bottom w:w="113" w:type="dxa"/>
            </w:tcMar>
          </w:tcPr>
          <w:p w:rsidR="006B4680" w:rsidRPr="00A32AF4" w:rsidRDefault="006B4680" w:rsidP="00A02EB5">
            <w:pPr>
              <w:jc w:val="center"/>
              <w:rPr>
                <w:rFonts w:cs="Arial"/>
                <w:sz w:val="16"/>
                <w:szCs w:val="16"/>
                <w:lang w:bidi="th-TH"/>
              </w:rPr>
            </w:pPr>
            <w:r w:rsidRPr="00A32AF4">
              <w:rPr>
                <w:rFonts w:cs="Arial"/>
                <w:sz w:val="16"/>
                <w:szCs w:val="16"/>
                <w:lang w:bidi="th-TH"/>
              </w:rPr>
              <w:t>Programme 2</w:t>
            </w:r>
          </w:p>
        </w:tc>
      </w:tr>
      <w:tr w:rsidR="00DB1CFC" w:rsidRPr="00A32AF4" w:rsidTr="000D0EE9">
        <w:trPr>
          <w:cantSplit/>
        </w:trPr>
        <w:tc>
          <w:tcPr>
            <w:tcW w:w="1769" w:type="pct"/>
            <w:shd w:val="clear" w:color="auto" w:fill="auto"/>
            <w:tcMar>
              <w:top w:w="113" w:type="dxa"/>
              <w:bottom w:w="113" w:type="dxa"/>
            </w:tcMar>
          </w:tcPr>
          <w:p w:rsidR="00DB1CFC" w:rsidRPr="00A32AF4" w:rsidRDefault="00DB1CFC" w:rsidP="00DC0553">
            <w:pPr>
              <w:rPr>
                <w:rFonts w:cs="Arial"/>
                <w:sz w:val="16"/>
                <w:szCs w:val="16"/>
              </w:rPr>
            </w:pPr>
          </w:p>
        </w:tc>
        <w:tc>
          <w:tcPr>
            <w:tcW w:w="2161" w:type="pct"/>
            <w:shd w:val="clear" w:color="auto" w:fill="auto"/>
            <w:tcMar>
              <w:top w:w="113" w:type="dxa"/>
              <w:bottom w:w="113" w:type="dxa"/>
            </w:tcMar>
          </w:tcPr>
          <w:p w:rsidR="00DB1CFC" w:rsidRPr="00A32AF4" w:rsidRDefault="00DB1CFC" w:rsidP="00DC0553">
            <w:pPr>
              <w:rPr>
                <w:sz w:val="16"/>
                <w:szCs w:val="16"/>
              </w:rPr>
            </w:pPr>
            <w:r w:rsidRPr="00A32AF4">
              <w:rPr>
                <w:sz w:val="16"/>
                <w:szCs w:val="16"/>
              </w:rPr>
              <w:t xml:space="preserve">Nombre de pays ayant ratifié le Traité de Beijing ou y ayant adhéré </w:t>
            </w:r>
          </w:p>
        </w:tc>
        <w:tc>
          <w:tcPr>
            <w:tcW w:w="1070" w:type="pct"/>
            <w:shd w:val="clear" w:color="auto" w:fill="FFFFFF"/>
            <w:tcMar>
              <w:top w:w="113" w:type="dxa"/>
              <w:bottom w:w="113" w:type="dxa"/>
            </w:tcMar>
          </w:tcPr>
          <w:p w:rsidR="00F93B76" w:rsidRPr="00A32AF4" w:rsidRDefault="00DB1CFC" w:rsidP="00DC0553">
            <w:pPr>
              <w:jc w:val="center"/>
              <w:rPr>
                <w:rFonts w:cs="Arial"/>
                <w:sz w:val="16"/>
                <w:szCs w:val="16"/>
                <w:lang w:bidi="th-TH"/>
              </w:rPr>
            </w:pPr>
            <w:r w:rsidRPr="00A32AF4">
              <w:rPr>
                <w:rFonts w:cs="Arial"/>
                <w:sz w:val="16"/>
                <w:szCs w:val="16"/>
                <w:lang w:bidi="th-TH"/>
              </w:rPr>
              <w:t>Programme 3</w:t>
            </w:r>
          </w:p>
          <w:p w:rsidR="00DB1CFC" w:rsidRPr="00A32AF4" w:rsidRDefault="00DB1CFC" w:rsidP="00DC0553">
            <w:pPr>
              <w:jc w:val="center"/>
              <w:rPr>
                <w:rFonts w:cs="Arial"/>
                <w:sz w:val="16"/>
                <w:szCs w:val="16"/>
                <w:lang w:bidi="th-TH"/>
              </w:rPr>
            </w:pPr>
            <w:r w:rsidRPr="00A32AF4">
              <w:rPr>
                <w:rFonts w:cs="Arial"/>
                <w:sz w:val="16"/>
                <w:szCs w:val="16"/>
                <w:lang w:bidi="th-TH"/>
              </w:rPr>
              <w:t>Programme 20</w:t>
            </w:r>
          </w:p>
        </w:tc>
      </w:tr>
      <w:tr w:rsidR="00DB1CFC" w:rsidRPr="00A32AF4" w:rsidTr="000D0EE9">
        <w:trPr>
          <w:cantSplit/>
        </w:trPr>
        <w:tc>
          <w:tcPr>
            <w:tcW w:w="1769" w:type="pct"/>
            <w:shd w:val="clear" w:color="auto" w:fill="auto"/>
            <w:tcMar>
              <w:top w:w="113" w:type="dxa"/>
              <w:bottom w:w="113" w:type="dxa"/>
            </w:tcMar>
          </w:tcPr>
          <w:p w:rsidR="00DB1CFC" w:rsidRPr="00A32AF4" w:rsidRDefault="00DB1CFC" w:rsidP="00DC0553">
            <w:pPr>
              <w:rPr>
                <w:rFonts w:cs="Arial"/>
                <w:sz w:val="16"/>
                <w:szCs w:val="16"/>
              </w:rPr>
            </w:pPr>
          </w:p>
        </w:tc>
        <w:tc>
          <w:tcPr>
            <w:tcW w:w="2161" w:type="pct"/>
            <w:shd w:val="clear" w:color="auto" w:fill="auto"/>
            <w:tcMar>
              <w:top w:w="113" w:type="dxa"/>
              <w:bottom w:w="113" w:type="dxa"/>
            </w:tcMar>
          </w:tcPr>
          <w:p w:rsidR="00DB1CFC" w:rsidRPr="00A32AF4" w:rsidRDefault="00DB1CFC" w:rsidP="00DC0553">
            <w:pPr>
              <w:rPr>
                <w:sz w:val="16"/>
                <w:szCs w:val="16"/>
              </w:rPr>
            </w:pPr>
            <w:r w:rsidRPr="00A32AF4">
              <w:rPr>
                <w:sz w:val="16"/>
                <w:szCs w:val="16"/>
              </w:rPr>
              <w:t>Nombre de pays ayant ratifié le Traité de Marrakech ou y ayant adhéré</w:t>
            </w:r>
          </w:p>
        </w:tc>
        <w:tc>
          <w:tcPr>
            <w:tcW w:w="1070" w:type="pct"/>
            <w:shd w:val="clear" w:color="auto" w:fill="FFFFFF"/>
            <w:tcMar>
              <w:top w:w="113" w:type="dxa"/>
              <w:bottom w:w="113" w:type="dxa"/>
            </w:tcMar>
          </w:tcPr>
          <w:p w:rsidR="00F93B76" w:rsidRPr="00A32AF4" w:rsidRDefault="00DB1CFC" w:rsidP="00DC0553">
            <w:pPr>
              <w:jc w:val="center"/>
              <w:rPr>
                <w:rFonts w:cs="Arial"/>
                <w:sz w:val="16"/>
                <w:szCs w:val="16"/>
                <w:lang w:bidi="th-TH"/>
              </w:rPr>
            </w:pPr>
            <w:r w:rsidRPr="00A32AF4">
              <w:rPr>
                <w:rFonts w:cs="Arial"/>
                <w:sz w:val="16"/>
                <w:szCs w:val="16"/>
                <w:lang w:bidi="th-TH"/>
              </w:rPr>
              <w:t>Programme 3</w:t>
            </w:r>
          </w:p>
          <w:p w:rsidR="00DB1CFC" w:rsidRPr="00A32AF4" w:rsidRDefault="00DB1CFC" w:rsidP="00DC0553">
            <w:pPr>
              <w:jc w:val="center"/>
              <w:rPr>
                <w:rFonts w:cs="Arial"/>
                <w:sz w:val="16"/>
                <w:szCs w:val="16"/>
                <w:lang w:bidi="th-TH"/>
              </w:rPr>
            </w:pPr>
            <w:r w:rsidRPr="00A32AF4">
              <w:rPr>
                <w:rFonts w:cs="Arial"/>
                <w:sz w:val="16"/>
                <w:szCs w:val="16"/>
                <w:lang w:bidi="th-TH"/>
              </w:rPr>
              <w:t>Programme 20</w:t>
            </w:r>
          </w:p>
        </w:tc>
      </w:tr>
      <w:tr w:rsidR="00DB1CFC" w:rsidRPr="00A32AF4" w:rsidTr="000D0EE9">
        <w:trPr>
          <w:cantSplit/>
        </w:trPr>
        <w:tc>
          <w:tcPr>
            <w:tcW w:w="1769" w:type="pct"/>
            <w:shd w:val="clear" w:color="auto" w:fill="auto"/>
            <w:tcMar>
              <w:top w:w="113" w:type="dxa"/>
              <w:bottom w:w="113" w:type="dxa"/>
            </w:tcMar>
          </w:tcPr>
          <w:p w:rsidR="00DB1CFC" w:rsidRPr="00A32AF4" w:rsidRDefault="00DB1CFC" w:rsidP="00DC0553">
            <w:pPr>
              <w:rPr>
                <w:rFonts w:cs="Arial"/>
                <w:sz w:val="16"/>
                <w:szCs w:val="16"/>
              </w:rPr>
            </w:pPr>
          </w:p>
        </w:tc>
        <w:tc>
          <w:tcPr>
            <w:tcW w:w="2161" w:type="pct"/>
            <w:shd w:val="clear" w:color="auto" w:fill="auto"/>
            <w:tcMar>
              <w:top w:w="113" w:type="dxa"/>
              <w:bottom w:w="113" w:type="dxa"/>
            </w:tcMar>
          </w:tcPr>
          <w:p w:rsidR="00DB1CFC" w:rsidRPr="00A32AF4" w:rsidRDefault="00707FDD" w:rsidP="00DC0553">
            <w:pPr>
              <w:rPr>
                <w:rFonts w:cs="Arial"/>
                <w:sz w:val="16"/>
                <w:szCs w:val="16"/>
              </w:rPr>
            </w:pPr>
            <w:r w:rsidRPr="00A32AF4">
              <w:rPr>
                <w:sz w:val="16"/>
                <w:szCs w:val="16"/>
              </w:rPr>
              <w:t>Nombre de ratifications ou d</w:t>
            </w:r>
            <w:r w:rsidR="00E2055A" w:rsidRPr="00A32AF4">
              <w:rPr>
                <w:sz w:val="16"/>
                <w:szCs w:val="16"/>
              </w:rPr>
              <w:t>’</w:t>
            </w:r>
            <w:r w:rsidRPr="00A32AF4">
              <w:rPr>
                <w:sz w:val="16"/>
                <w:szCs w:val="16"/>
              </w:rPr>
              <w:t>adhésions relatives aux traités de droit d</w:t>
            </w:r>
            <w:r w:rsidR="00E2055A" w:rsidRPr="00A32AF4">
              <w:rPr>
                <w:sz w:val="16"/>
                <w:szCs w:val="16"/>
              </w:rPr>
              <w:t>’</w:t>
            </w:r>
            <w:r w:rsidRPr="00A32AF4">
              <w:rPr>
                <w:sz w:val="16"/>
                <w:szCs w:val="16"/>
              </w:rPr>
              <w:t>auteur en vigueur, notamment la Convention de Berne, la Convention de Rome et les traités Internet</w:t>
            </w:r>
          </w:p>
        </w:tc>
        <w:tc>
          <w:tcPr>
            <w:tcW w:w="1070" w:type="pct"/>
            <w:shd w:val="clear" w:color="auto" w:fill="FFFFFF"/>
            <w:tcMar>
              <w:top w:w="113" w:type="dxa"/>
              <w:bottom w:w="113" w:type="dxa"/>
            </w:tcMar>
          </w:tcPr>
          <w:p w:rsidR="00F93B76" w:rsidRPr="00A32AF4" w:rsidRDefault="00DB1CFC" w:rsidP="00DC0553">
            <w:pPr>
              <w:jc w:val="center"/>
              <w:rPr>
                <w:rFonts w:cs="Arial"/>
                <w:sz w:val="16"/>
                <w:szCs w:val="16"/>
                <w:lang w:bidi="th-TH"/>
              </w:rPr>
            </w:pPr>
            <w:r w:rsidRPr="00A32AF4">
              <w:rPr>
                <w:rFonts w:cs="Arial"/>
                <w:sz w:val="16"/>
                <w:szCs w:val="16"/>
                <w:lang w:bidi="th-TH"/>
              </w:rPr>
              <w:t>Programme 3</w:t>
            </w:r>
          </w:p>
          <w:p w:rsidR="00DB1CFC" w:rsidRPr="00A32AF4" w:rsidRDefault="00DB1CFC" w:rsidP="00DC0553">
            <w:pPr>
              <w:jc w:val="center"/>
              <w:rPr>
                <w:rFonts w:cs="Arial"/>
                <w:sz w:val="16"/>
                <w:szCs w:val="16"/>
                <w:lang w:bidi="th-TH"/>
              </w:rPr>
            </w:pPr>
            <w:r w:rsidRPr="00A32AF4">
              <w:rPr>
                <w:rFonts w:cs="Arial"/>
                <w:sz w:val="16"/>
                <w:szCs w:val="16"/>
                <w:lang w:bidi="th-TH"/>
              </w:rPr>
              <w:t>Programme 20</w:t>
            </w:r>
          </w:p>
        </w:tc>
      </w:tr>
      <w:tr w:rsidR="00DB1CFC" w:rsidRPr="00A32AF4" w:rsidTr="000D0EE9">
        <w:trPr>
          <w:cantSplit/>
        </w:trPr>
        <w:tc>
          <w:tcPr>
            <w:tcW w:w="1769" w:type="pct"/>
            <w:shd w:val="clear" w:color="auto" w:fill="auto"/>
            <w:tcMar>
              <w:top w:w="113" w:type="dxa"/>
              <w:bottom w:w="113" w:type="dxa"/>
            </w:tcMar>
          </w:tcPr>
          <w:p w:rsidR="00DB1CFC" w:rsidRPr="00A32AF4" w:rsidRDefault="00DB1CFC" w:rsidP="00DC0553">
            <w:pPr>
              <w:rPr>
                <w:rFonts w:cs="Arial"/>
                <w:sz w:val="16"/>
                <w:szCs w:val="16"/>
              </w:rPr>
            </w:pPr>
          </w:p>
        </w:tc>
        <w:tc>
          <w:tcPr>
            <w:tcW w:w="2161" w:type="pct"/>
            <w:shd w:val="clear" w:color="auto" w:fill="auto"/>
            <w:tcMar>
              <w:top w:w="113" w:type="dxa"/>
              <w:bottom w:w="113" w:type="dxa"/>
            </w:tcMar>
          </w:tcPr>
          <w:p w:rsidR="00DB1CFC" w:rsidRPr="00A32AF4" w:rsidRDefault="00DB1CFC" w:rsidP="00DC0553">
            <w:pPr>
              <w:rPr>
                <w:rFonts w:cs="Arial"/>
                <w:sz w:val="16"/>
                <w:szCs w:val="16"/>
              </w:rPr>
            </w:pPr>
            <w:r w:rsidRPr="00A32AF4">
              <w:rPr>
                <w:sz w:val="16"/>
                <w:szCs w:val="16"/>
              </w:rPr>
              <w:t>Pourcentage de pays ayant donné un retour d</w:t>
            </w:r>
            <w:r w:rsidR="00E2055A" w:rsidRPr="00A32AF4">
              <w:rPr>
                <w:sz w:val="16"/>
                <w:szCs w:val="16"/>
              </w:rPr>
              <w:t>’</w:t>
            </w:r>
            <w:r w:rsidRPr="00A32AF4">
              <w:rPr>
                <w:sz w:val="16"/>
                <w:szCs w:val="16"/>
              </w:rPr>
              <w:t>information positif sur les conseils législatifs fournis par l</w:t>
            </w:r>
            <w:r w:rsidR="00E2055A" w:rsidRPr="00A32AF4">
              <w:rPr>
                <w:sz w:val="16"/>
                <w:szCs w:val="16"/>
              </w:rPr>
              <w:t>’</w:t>
            </w:r>
            <w:r w:rsidRPr="00A32AF4">
              <w:rPr>
                <w:sz w:val="16"/>
                <w:szCs w:val="16"/>
              </w:rPr>
              <w:t>OMPI</w:t>
            </w:r>
          </w:p>
        </w:tc>
        <w:tc>
          <w:tcPr>
            <w:tcW w:w="1070" w:type="pct"/>
            <w:shd w:val="clear" w:color="auto" w:fill="FFFFFF"/>
            <w:tcMar>
              <w:top w:w="113" w:type="dxa"/>
              <w:bottom w:w="113" w:type="dxa"/>
            </w:tcMar>
          </w:tcPr>
          <w:p w:rsidR="00F93B76" w:rsidRPr="00A32AF4" w:rsidRDefault="00DB1CFC" w:rsidP="00DC0553">
            <w:pPr>
              <w:jc w:val="center"/>
              <w:rPr>
                <w:rFonts w:cs="Arial"/>
                <w:sz w:val="16"/>
                <w:szCs w:val="16"/>
                <w:lang w:bidi="th-TH"/>
              </w:rPr>
            </w:pPr>
            <w:r w:rsidRPr="00A32AF4">
              <w:rPr>
                <w:rFonts w:cs="Arial"/>
                <w:sz w:val="16"/>
                <w:szCs w:val="16"/>
                <w:lang w:bidi="th-TH"/>
              </w:rPr>
              <w:t>Programme 3</w:t>
            </w:r>
          </w:p>
          <w:p w:rsidR="00DB1CFC" w:rsidRPr="00A32AF4" w:rsidRDefault="00DB1CFC" w:rsidP="00DC0553">
            <w:pPr>
              <w:jc w:val="center"/>
              <w:rPr>
                <w:rFonts w:cs="Arial"/>
                <w:sz w:val="16"/>
                <w:szCs w:val="16"/>
                <w:lang w:bidi="th-TH"/>
              </w:rPr>
            </w:pPr>
          </w:p>
        </w:tc>
      </w:tr>
      <w:tr w:rsidR="00DB1CFC" w:rsidRPr="00A32AF4" w:rsidTr="000D0EE9">
        <w:trPr>
          <w:cantSplit/>
        </w:trPr>
        <w:tc>
          <w:tcPr>
            <w:tcW w:w="1769" w:type="pct"/>
            <w:shd w:val="clear" w:color="auto" w:fill="auto"/>
            <w:tcMar>
              <w:top w:w="113" w:type="dxa"/>
              <w:bottom w:w="113" w:type="dxa"/>
            </w:tcMar>
          </w:tcPr>
          <w:p w:rsidR="00DB1CFC" w:rsidRPr="00A32AF4" w:rsidRDefault="00DB1CFC" w:rsidP="00DC0553">
            <w:pPr>
              <w:rPr>
                <w:rFonts w:cs="Arial"/>
                <w:sz w:val="16"/>
                <w:szCs w:val="16"/>
              </w:rPr>
            </w:pPr>
          </w:p>
        </w:tc>
        <w:tc>
          <w:tcPr>
            <w:tcW w:w="2161" w:type="pct"/>
            <w:shd w:val="clear" w:color="auto" w:fill="auto"/>
            <w:tcMar>
              <w:top w:w="113" w:type="dxa"/>
              <w:bottom w:w="113" w:type="dxa"/>
            </w:tcMar>
          </w:tcPr>
          <w:p w:rsidR="00DB1CFC" w:rsidRPr="00A32AF4" w:rsidRDefault="00834E1C" w:rsidP="00DC0553">
            <w:pPr>
              <w:rPr>
                <w:rFonts w:cs="Arial"/>
                <w:sz w:val="16"/>
                <w:szCs w:val="16"/>
              </w:rPr>
            </w:pPr>
            <w:r w:rsidRPr="00A32AF4">
              <w:rPr>
                <w:sz w:val="16"/>
                <w:szCs w:val="16"/>
              </w:rPr>
              <w:t>Nombre ou pourcentage de pays ayant donné un retour d</w:t>
            </w:r>
            <w:r w:rsidR="00E2055A" w:rsidRPr="00A32AF4">
              <w:rPr>
                <w:sz w:val="16"/>
                <w:szCs w:val="16"/>
              </w:rPr>
              <w:t>’</w:t>
            </w:r>
            <w:r w:rsidRPr="00A32AF4">
              <w:rPr>
                <w:sz w:val="16"/>
                <w:szCs w:val="16"/>
              </w:rPr>
              <w:t>information positif sur les conseils fournis par l</w:t>
            </w:r>
            <w:r w:rsidR="00E2055A" w:rsidRPr="00A32AF4">
              <w:rPr>
                <w:sz w:val="16"/>
                <w:szCs w:val="16"/>
              </w:rPr>
              <w:t>’</w:t>
            </w:r>
            <w:r w:rsidRPr="00A32AF4">
              <w:rPr>
                <w:sz w:val="16"/>
                <w:szCs w:val="16"/>
              </w:rPr>
              <w:t>OMPI dans le domaine législatif</w:t>
            </w:r>
          </w:p>
        </w:tc>
        <w:tc>
          <w:tcPr>
            <w:tcW w:w="1070" w:type="pct"/>
            <w:shd w:val="clear" w:color="auto" w:fill="FFFFFF"/>
            <w:tcMar>
              <w:top w:w="113" w:type="dxa"/>
              <w:bottom w:w="113" w:type="dxa"/>
            </w:tcMar>
          </w:tcPr>
          <w:p w:rsidR="00DB1CFC" w:rsidRPr="00A32AF4" w:rsidRDefault="00DB1CFC" w:rsidP="00DC0553">
            <w:pPr>
              <w:jc w:val="center"/>
              <w:rPr>
                <w:rFonts w:cs="Arial"/>
                <w:sz w:val="16"/>
                <w:szCs w:val="16"/>
                <w:lang w:bidi="th-TH"/>
              </w:rPr>
            </w:pPr>
            <w:r w:rsidRPr="00A32AF4">
              <w:rPr>
                <w:rFonts w:cs="Arial"/>
                <w:sz w:val="16"/>
                <w:szCs w:val="16"/>
                <w:lang w:bidi="th-TH"/>
              </w:rPr>
              <w:t>Programme 9</w:t>
            </w:r>
          </w:p>
        </w:tc>
      </w:tr>
      <w:tr w:rsidR="00DB1CFC" w:rsidRPr="00A32AF4" w:rsidTr="000D0EE9">
        <w:trPr>
          <w:cantSplit/>
        </w:trPr>
        <w:tc>
          <w:tcPr>
            <w:tcW w:w="1769" w:type="pct"/>
            <w:shd w:val="clear" w:color="auto" w:fill="auto"/>
            <w:tcMar>
              <w:top w:w="113" w:type="dxa"/>
              <w:bottom w:w="113" w:type="dxa"/>
            </w:tcMar>
          </w:tcPr>
          <w:p w:rsidR="00DB1CFC" w:rsidRPr="00A32AF4" w:rsidRDefault="00DB1CFC" w:rsidP="00DC0553">
            <w:pPr>
              <w:rPr>
                <w:rFonts w:cs="Arial"/>
                <w:sz w:val="16"/>
                <w:szCs w:val="16"/>
              </w:rPr>
            </w:pPr>
          </w:p>
        </w:tc>
        <w:tc>
          <w:tcPr>
            <w:tcW w:w="2161" w:type="pct"/>
            <w:shd w:val="clear" w:color="auto" w:fill="auto"/>
            <w:tcMar>
              <w:top w:w="113" w:type="dxa"/>
              <w:bottom w:w="113" w:type="dxa"/>
            </w:tcMar>
          </w:tcPr>
          <w:p w:rsidR="00DB1CFC" w:rsidRPr="00A32AF4" w:rsidRDefault="00834E1C" w:rsidP="00DC0553">
            <w:pPr>
              <w:rPr>
                <w:rFonts w:cs="Arial"/>
                <w:sz w:val="16"/>
                <w:szCs w:val="16"/>
              </w:rPr>
            </w:pPr>
            <w:r w:rsidRPr="00A32AF4">
              <w:rPr>
                <w:sz w:val="16"/>
                <w:szCs w:val="16"/>
              </w:rPr>
              <w:t>Nombre de pays en transition ayant actualisé leurs lois et réglementations</w:t>
            </w:r>
          </w:p>
        </w:tc>
        <w:tc>
          <w:tcPr>
            <w:tcW w:w="1070" w:type="pct"/>
            <w:shd w:val="clear" w:color="auto" w:fill="FFFFFF"/>
            <w:tcMar>
              <w:top w:w="113" w:type="dxa"/>
              <w:bottom w:w="113" w:type="dxa"/>
            </w:tcMar>
          </w:tcPr>
          <w:p w:rsidR="00DB1CFC" w:rsidRPr="00A32AF4" w:rsidRDefault="00DB1CFC" w:rsidP="00DC0553">
            <w:pPr>
              <w:jc w:val="center"/>
              <w:rPr>
                <w:rFonts w:cs="Arial"/>
                <w:sz w:val="16"/>
                <w:szCs w:val="16"/>
                <w:lang w:bidi="th-TH"/>
              </w:rPr>
            </w:pPr>
            <w:r w:rsidRPr="00A32AF4">
              <w:rPr>
                <w:rFonts w:cs="Arial"/>
                <w:sz w:val="16"/>
                <w:szCs w:val="16"/>
                <w:lang w:bidi="th-TH"/>
              </w:rPr>
              <w:t>Programme 10</w:t>
            </w:r>
          </w:p>
        </w:tc>
      </w:tr>
      <w:tr w:rsidR="00DB1CFC" w:rsidRPr="00A32AF4" w:rsidTr="000D0EE9">
        <w:trPr>
          <w:cantSplit/>
        </w:trPr>
        <w:tc>
          <w:tcPr>
            <w:tcW w:w="1769" w:type="pct"/>
            <w:shd w:val="clear" w:color="auto" w:fill="auto"/>
            <w:tcMar>
              <w:top w:w="113" w:type="dxa"/>
              <w:bottom w:w="113" w:type="dxa"/>
            </w:tcMar>
          </w:tcPr>
          <w:p w:rsidR="00DB1CFC" w:rsidRPr="00A32AF4" w:rsidRDefault="00DB1CFC" w:rsidP="00DC0553">
            <w:pPr>
              <w:rPr>
                <w:rFonts w:cs="Arial"/>
                <w:sz w:val="16"/>
                <w:szCs w:val="16"/>
              </w:rPr>
            </w:pPr>
          </w:p>
        </w:tc>
        <w:tc>
          <w:tcPr>
            <w:tcW w:w="2161" w:type="pct"/>
            <w:shd w:val="clear" w:color="auto" w:fill="auto"/>
            <w:tcMar>
              <w:top w:w="113" w:type="dxa"/>
              <w:bottom w:w="113" w:type="dxa"/>
            </w:tcMar>
          </w:tcPr>
          <w:p w:rsidR="00DB1CFC" w:rsidRPr="00A32AF4" w:rsidRDefault="00834E1C" w:rsidP="00DC0553">
            <w:pPr>
              <w:rPr>
                <w:rFonts w:cs="Arial"/>
                <w:sz w:val="16"/>
                <w:szCs w:val="16"/>
              </w:rPr>
            </w:pPr>
            <w:r w:rsidRPr="00A32AF4">
              <w:rPr>
                <w:sz w:val="16"/>
                <w:szCs w:val="16"/>
              </w:rPr>
              <w:t>Nombre de ratifications de traités administrés par l</w:t>
            </w:r>
            <w:r w:rsidR="00E2055A" w:rsidRPr="00A32AF4">
              <w:rPr>
                <w:sz w:val="16"/>
                <w:szCs w:val="16"/>
              </w:rPr>
              <w:t>’</w:t>
            </w:r>
            <w:r w:rsidRPr="00A32AF4">
              <w:rPr>
                <w:sz w:val="16"/>
                <w:szCs w:val="16"/>
              </w:rPr>
              <w:t>OMPI</w:t>
            </w:r>
          </w:p>
        </w:tc>
        <w:tc>
          <w:tcPr>
            <w:tcW w:w="1070" w:type="pct"/>
            <w:shd w:val="clear" w:color="auto" w:fill="FFFFFF"/>
            <w:tcMar>
              <w:top w:w="113" w:type="dxa"/>
              <w:bottom w:w="113" w:type="dxa"/>
            </w:tcMar>
          </w:tcPr>
          <w:p w:rsidR="00DB1CFC" w:rsidRPr="00A32AF4" w:rsidRDefault="00DB1CFC" w:rsidP="00DC0553">
            <w:pPr>
              <w:jc w:val="center"/>
              <w:rPr>
                <w:rFonts w:cs="Arial"/>
                <w:sz w:val="16"/>
                <w:szCs w:val="16"/>
                <w:lang w:bidi="th-TH"/>
              </w:rPr>
            </w:pPr>
            <w:r w:rsidRPr="00A32AF4">
              <w:rPr>
                <w:rFonts w:cs="Arial"/>
                <w:sz w:val="16"/>
                <w:szCs w:val="16"/>
                <w:lang w:bidi="th-TH"/>
              </w:rPr>
              <w:t>Programme 10</w:t>
            </w:r>
          </w:p>
        </w:tc>
      </w:tr>
      <w:tr w:rsidR="00DB1CFC" w:rsidRPr="00A32AF4" w:rsidTr="000D0EE9">
        <w:trPr>
          <w:cantSplit/>
        </w:trPr>
        <w:tc>
          <w:tcPr>
            <w:tcW w:w="1769" w:type="pct"/>
            <w:shd w:val="clear" w:color="auto" w:fill="auto"/>
            <w:tcMar>
              <w:top w:w="113" w:type="dxa"/>
              <w:bottom w:w="113" w:type="dxa"/>
            </w:tcMar>
          </w:tcPr>
          <w:p w:rsidR="00DB1CFC" w:rsidRPr="00A32AF4" w:rsidRDefault="00DB1CFC" w:rsidP="00DC0553">
            <w:pPr>
              <w:rPr>
                <w:rFonts w:cs="Arial"/>
                <w:sz w:val="16"/>
                <w:szCs w:val="16"/>
              </w:rPr>
            </w:pPr>
          </w:p>
        </w:tc>
        <w:tc>
          <w:tcPr>
            <w:tcW w:w="2161" w:type="pct"/>
            <w:shd w:val="clear" w:color="auto" w:fill="auto"/>
            <w:tcMar>
              <w:top w:w="113" w:type="dxa"/>
              <w:bottom w:w="113" w:type="dxa"/>
            </w:tcMar>
          </w:tcPr>
          <w:p w:rsidR="00DB1CFC" w:rsidRPr="00A32AF4" w:rsidRDefault="00707FDD">
            <w:pPr>
              <w:rPr>
                <w:rFonts w:cs="Arial"/>
                <w:sz w:val="16"/>
                <w:szCs w:val="16"/>
              </w:rPr>
            </w:pPr>
            <w:r w:rsidRPr="00A32AF4">
              <w:rPr>
                <w:sz w:val="16"/>
                <w:szCs w:val="16"/>
              </w:rPr>
              <w:t>Nombre de pays ou d</w:t>
            </w:r>
            <w:r w:rsidR="00E2055A" w:rsidRPr="00A32AF4">
              <w:rPr>
                <w:sz w:val="16"/>
                <w:szCs w:val="16"/>
              </w:rPr>
              <w:t>’</w:t>
            </w:r>
            <w:r w:rsidRPr="00A32AF4">
              <w:rPr>
                <w:sz w:val="16"/>
                <w:szCs w:val="16"/>
              </w:rPr>
              <w:t>organisations régionales ayant adopté ou modifié leurs cadres de référence aux fins de l</w:t>
            </w:r>
            <w:r w:rsidR="00E2055A" w:rsidRPr="00A32AF4">
              <w:rPr>
                <w:sz w:val="16"/>
                <w:szCs w:val="16"/>
              </w:rPr>
              <w:t>’</w:t>
            </w:r>
            <w:r w:rsidRPr="00A32AF4">
              <w:rPr>
                <w:sz w:val="16"/>
                <w:szCs w:val="16"/>
              </w:rPr>
              <w:t>application effective des droits de propriété intellectuelle au regard du titre III de l</w:t>
            </w:r>
            <w:r w:rsidR="00E2055A" w:rsidRPr="00A32AF4">
              <w:rPr>
                <w:sz w:val="16"/>
                <w:szCs w:val="16"/>
              </w:rPr>
              <w:t>’</w:t>
            </w:r>
            <w:r w:rsidRPr="00A32AF4">
              <w:rPr>
                <w:sz w:val="16"/>
                <w:szCs w:val="16"/>
              </w:rPr>
              <w:t>Accord sur les ADPIC</w:t>
            </w:r>
            <w:r w:rsidR="004E1AE6" w:rsidRPr="00A32AF4">
              <w:rPr>
                <w:sz w:val="16"/>
                <w:szCs w:val="16"/>
              </w:rPr>
              <w:t xml:space="preserve"> et de la recommandation n° 45 du Plan d</w:t>
            </w:r>
            <w:r w:rsidR="00E2055A" w:rsidRPr="00A32AF4">
              <w:rPr>
                <w:sz w:val="16"/>
                <w:szCs w:val="16"/>
              </w:rPr>
              <w:t>’</w:t>
            </w:r>
            <w:r w:rsidR="004E1AE6" w:rsidRPr="00A32AF4">
              <w:rPr>
                <w:sz w:val="16"/>
                <w:szCs w:val="16"/>
              </w:rPr>
              <w:t>action pour le développement</w:t>
            </w:r>
            <w:r w:rsidRPr="00A32AF4">
              <w:rPr>
                <w:sz w:val="16"/>
                <w:szCs w:val="16"/>
              </w:rPr>
              <w:t>, ou s</w:t>
            </w:r>
            <w:r w:rsidR="00E2055A" w:rsidRPr="00A32AF4">
              <w:rPr>
                <w:sz w:val="16"/>
                <w:szCs w:val="16"/>
              </w:rPr>
              <w:t>’</w:t>
            </w:r>
            <w:r w:rsidRPr="00A32AF4">
              <w:rPr>
                <w:sz w:val="16"/>
                <w:szCs w:val="16"/>
              </w:rPr>
              <w:t>apprêtant à le faire, suite à l</w:t>
            </w:r>
            <w:r w:rsidR="00E2055A" w:rsidRPr="00A32AF4">
              <w:rPr>
                <w:sz w:val="16"/>
                <w:szCs w:val="16"/>
              </w:rPr>
              <w:t>’</w:t>
            </w:r>
            <w:r w:rsidRPr="00A32AF4">
              <w:rPr>
                <w:sz w:val="16"/>
                <w:szCs w:val="16"/>
              </w:rPr>
              <w:t>assistance fournie par l</w:t>
            </w:r>
            <w:r w:rsidR="00E2055A" w:rsidRPr="00A32AF4">
              <w:rPr>
                <w:sz w:val="16"/>
                <w:szCs w:val="16"/>
              </w:rPr>
              <w:t>’</w:t>
            </w:r>
            <w:r w:rsidRPr="00A32AF4">
              <w:rPr>
                <w:sz w:val="16"/>
                <w:szCs w:val="16"/>
              </w:rPr>
              <w:t>OMPI</w:t>
            </w:r>
          </w:p>
        </w:tc>
        <w:tc>
          <w:tcPr>
            <w:tcW w:w="1070" w:type="pct"/>
            <w:shd w:val="clear" w:color="auto" w:fill="FFFFFF"/>
            <w:tcMar>
              <w:top w:w="113" w:type="dxa"/>
              <w:bottom w:w="113" w:type="dxa"/>
            </w:tcMar>
          </w:tcPr>
          <w:p w:rsidR="00DB1CFC" w:rsidRPr="00A32AF4" w:rsidRDefault="00DB1CFC" w:rsidP="00DC0553">
            <w:pPr>
              <w:jc w:val="center"/>
              <w:rPr>
                <w:rFonts w:cs="Arial"/>
                <w:sz w:val="16"/>
                <w:szCs w:val="16"/>
                <w:lang w:bidi="th-TH"/>
              </w:rPr>
            </w:pPr>
            <w:r w:rsidRPr="00A32AF4">
              <w:rPr>
                <w:rFonts w:cs="Arial"/>
                <w:sz w:val="16"/>
                <w:szCs w:val="16"/>
                <w:lang w:bidi="th-TH"/>
              </w:rPr>
              <w:t>Programme 17</w:t>
            </w:r>
          </w:p>
        </w:tc>
      </w:tr>
      <w:tr w:rsidR="00DB1CFC" w:rsidRPr="00A32AF4" w:rsidTr="000D0EE9">
        <w:trPr>
          <w:cantSplit/>
        </w:trPr>
        <w:tc>
          <w:tcPr>
            <w:tcW w:w="1769" w:type="pct"/>
            <w:shd w:val="clear" w:color="auto" w:fill="auto"/>
            <w:tcMar>
              <w:top w:w="113" w:type="dxa"/>
              <w:bottom w:w="113" w:type="dxa"/>
            </w:tcMar>
          </w:tcPr>
          <w:p w:rsidR="00DB1CFC" w:rsidRPr="00A32AF4" w:rsidRDefault="00DB1CFC" w:rsidP="00DC0553">
            <w:pPr>
              <w:rPr>
                <w:rFonts w:cs="Arial"/>
                <w:sz w:val="16"/>
                <w:szCs w:val="16"/>
              </w:rPr>
            </w:pPr>
          </w:p>
        </w:tc>
        <w:tc>
          <w:tcPr>
            <w:tcW w:w="2161" w:type="pct"/>
            <w:shd w:val="clear" w:color="auto" w:fill="auto"/>
            <w:tcMar>
              <w:top w:w="113" w:type="dxa"/>
              <w:bottom w:w="113" w:type="dxa"/>
            </w:tcMar>
          </w:tcPr>
          <w:p w:rsidR="00DB1CFC" w:rsidRPr="00A32AF4" w:rsidRDefault="00707FDD" w:rsidP="00DC0553">
            <w:pPr>
              <w:rPr>
                <w:rFonts w:cs="Arial"/>
                <w:sz w:val="16"/>
                <w:szCs w:val="16"/>
              </w:rPr>
            </w:pPr>
            <w:r w:rsidRPr="00A32AF4">
              <w:rPr>
                <w:sz w:val="16"/>
                <w:szCs w:val="16"/>
              </w:rPr>
              <w:t>Nombre de pays ayant adopté ou mis en œuvre une stratégie nationale de promotion du respect de la propriété intellectuelle, ou étant engagés dans un tel processus, avec l</w:t>
            </w:r>
            <w:r w:rsidR="00E2055A" w:rsidRPr="00A32AF4">
              <w:rPr>
                <w:sz w:val="16"/>
                <w:szCs w:val="16"/>
              </w:rPr>
              <w:t>’</w:t>
            </w:r>
            <w:r w:rsidRPr="00A32AF4">
              <w:rPr>
                <w:sz w:val="16"/>
                <w:szCs w:val="16"/>
              </w:rPr>
              <w:t>assistance de l</w:t>
            </w:r>
            <w:r w:rsidR="00E2055A" w:rsidRPr="00A32AF4">
              <w:rPr>
                <w:sz w:val="16"/>
                <w:szCs w:val="16"/>
              </w:rPr>
              <w:t>’</w:t>
            </w:r>
            <w:r w:rsidRPr="00A32AF4">
              <w:rPr>
                <w:sz w:val="16"/>
                <w:szCs w:val="16"/>
              </w:rPr>
              <w:t>OMPI</w:t>
            </w:r>
          </w:p>
        </w:tc>
        <w:tc>
          <w:tcPr>
            <w:tcW w:w="1070" w:type="pct"/>
            <w:shd w:val="clear" w:color="auto" w:fill="FFFFFF"/>
            <w:tcMar>
              <w:top w:w="113" w:type="dxa"/>
              <w:bottom w:w="113" w:type="dxa"/>
            </w:tcMar>
          </w:tcPr>
          <w:p w:rsidR="00DB1CFC" w:rsidRPr="00A32AF4" w:rsidRDefault="00DB1CFC" w:rsidP="00DC0553">
            <w:pPr>
              <w:jc w:val="center"/>
              <w:rPr>
                <w:rFonts w:cs="Arial"/>
                <w:sz w:val="16"/>
                <w:szCs w:val="16"/>
                <w:lang w:bidi="th-TH"/>
              </w:rPr>
            </w:pPr>
            <w:r w:rsidRPr="00A32AF4">
              <w:rPr>
                <w:rFonts w:cs="Arial"/>
                <w:sz w:val="16"/>
                <w:szCs w:val="16"/>
                <w:lang w:bidi="th-TH"/>
              </w:rPr>
              <w:t>Programme 17</w:t>
            </w:r>
          </w:p>
        </w:tc>
      </w:tr>
      <w:tr w:rsidR="00D91041" w:rsidRPr="00A32AF4" w:rsidTr="000D0EE9">
        <w:trPr>
          <w:cantSplit/>
        </w:trPr>
        <w:tc>
          <w:tcPr>
            <w:tcW w:w="1769" w:type="pct"/>
            <w:shd w:val="clear" w:color="auto" w:fill="auto"/>
            <w:tcMar>
              <w:top w:w="113" w:type="dxa"/>
              <w:bottom w:w="113" w:type="dxa"/>
            </w:tcMar>
          </w:tcPr>
          <w:p w:rsidR="00D91041" w:rsidRPr="00A32AF4" w:rsidRDefault="00D91041" w:rsidP="00DC0553">
            <w:pPr>
              <w:rPr>
                <w:rFonts w:cs="Arial"/>
                <w:sz w:val="16"/>
                <w:szCs w:val="16"/>
              </w:rPr>
            </w:pPr>
          </w:p>
        </w:tc>
        <w:tc>
          <w:tcPr>
            <w:tcW w:w="2161" w:type="pct"/>
            <w:shd w:val="clear" w:color="auto" w:fill="auto"/>
            <w:tcMar>
              <w:top w:w="113" w:type="dxa"/>
              <w:bottom w:w="113" w:type="dxa"/>
            </w:tcMar>
          </w:tcPr>
          <w:p w:rsidR="00D91041" w:rsidRPr="00A32AF4" w:rsidRDefault="00A43633">
            <w:pPr>
              <w:rPr>
                <w:sz w:val="16"/>
                <w:szCs w:val="16"/>
              </w:rPr>
            </w:pPr>
            <w:r w:rsidRPr="00A32AF4">
              <w:rPr>
                <w:sz w:val="16"/>
                <w:szCs w:val="16"/>
              </w:rPr>
              <w:t>Nombre de pays demandant à l</w:t>
            </w:r>
            <w:r w:rsidR="00E2055A" w:rsidRPr="00A32AF4">
              <w:rPr>
                <w:sz w:val="16"/>
                <w:szCs w:val="16"/>
              </w:rPr>
              <w:t>’</w:t>
            </w:r>
            <w:r w:rsidRPr="00A32AF4">
              <w:rPr>
                <w:sz w:val="16"/>
                <w:szCs w:val="16"/>
              </w:rPr>
              <w:t>OMPI une contribution dans le domaine de la propriété intellectuelle en rapport avec des questions relatives à la politique en matière de concurrence</w:t>
            </w:r>
          </w:p>
        </w:tc>
        <w:tc>
          <w:tcPr>
            <w:tcW w:w="1070" w:type="pct"/>
            <w:shd w:val="clear" w:color="auto" w:fill="FFFFFF"/>
            <w:tcMar>
              <w:top w:w="113" w:type="dxa"/>
              <w:bottom w:w="113" w:type="dxa"/>
            </w:tcMar>
          </w:tcPr>
          <w:p w:rsidR="00D91041" w:rsidRPr="00A32AF4" w:rsidRDefault="00D91041" w:rsidP="00DC0553">
            <w:pPr>
              <w:jc w:val="center"/>
              <w:rPr>
                <w:rFonts w:cs="Arial"/>
                <w:sz w:val="16"/>
                <w:szCs w:val="16"/>
                <w:lang w:bidi="th-TH"/>
              </w:rPr>
            </w:pPr>
            <w:r w:rsidRPr="00A32AF4">
              <w:rPr>
                <w:rFonts w:cs="Arial"/>
                <w:sz w:val="16"/>
                <w:szCs w:val="16"/>
                <w:lang w:bidi="th-TH"/>
              </w:rPr>
              <w:t>Programme 18</w:t>
            </w:r>
          </w:p>
        </w:tc>
      </w:tr>
      <w:tr w:rsidR="00D91041" w:rsidRPr="00A32AF4" w:rsidTr="000D0EE9">
        <w:trPr>
          <w:cantSplit/>
        </w:trPr>
        <w:tc>
          <w:tcPr>
            <w:tcW w:w="1769" w:type="pct"/>
            <w:shd w:val="clear" w:color="auto" w:fill="auto"/>
            <w:tcMar>
              <w:top w:w="113" w:type="dxa"/>
              <w:bottom w:w="113" w:type="dxa"/>
            </w:tcMar>
          </w:tcPr>
          <w:p w:rsidR="00D91041" w:rsidRPr="00A32AF4" w:rsidRDefault="00D91041" w:rsidP="00DC0553">
            <w:pPr>
              <w:rPr>
                <w:rFonts w:cs="Arial"/>
                <w:sz w:val="16"/>
                <w:szCs w:val="16"/>
              </w:rPr>
            </w:pPr>
          </w:p>
        </w:tc>
        <w:tc>
          <w:tcPr>
            <w:tcW w:w="2161" w:type="pct"/>
            <w:shd w:val="clear" w:color="auto" w:fill="auto"/>
            <w:tcMar>
              <w:top w:w="113" w:type="dxa"/>
              <w:bottom w:w="113" w:type="dxa"/>
            </w:tcMar>
          </w:tcPr>
          <w:p w:rsidR="00D91041" w:rsidRPr="00A32AF4" w:rsidRDefault="00D8574A" w:rsidP="00DC0553">
            <w:pPr>
              <w:rPr>
                <w:sz w:val="16"/>
                <w:szCs w:val="16"/>
              </w:rPr>
            </w:pPr>
            <w:r w:rsidRPr="00A32AF4">
              <w:rPr>
                <w:rFonts w:eastAsia="MS Mincho" w:cs="Courier New"/>
                <w:sz w:val="16"/>
                <w:szCs w:val="16"/>
                <w:lang w:bidi="th-TH"/>
              </w:rPr>
              <w:t>Nombre et éventail de parties prenantes (offices de propriété intellectuelle, services chargés de l</w:t>
            </w:r>
            <w:r w:rsidR="00E2055A" w:rsidRPr="00A32AF4">
              <w:rPr>
                <w:rFonts w:eastAsia="MS Mincho" w:cs="Courier New"/>
                <w:sz w:val="16"/>
                <w:szCs w:val="16"/>
                <w:lang w:bidi="th-TH"/>
              </w:rPr>
              <w:t>’</w:t>
            </w:r>
            <w:r w:rsidRPr="00A32AF4">
              <w:rPr>
                <w:rFonts w:eastAsia="MS Mincho" w:cs="Courier New"/>
                <w:sz w:val="16"/>
                <w:szCs w:val="16"/>
                <w:lang w:bidi="th-TH"/>
              </w:rPr>
              <w:t>application du droit de la concurrence, organisations intergouvernementales et ONG compétentes) ayant engagé un dialogue avec l</w:t>
            </w:r>
            <w:r w:rsidR="00E2055A" w:rsidRPr="00A32AF4">
              <w:rPr>
                <w:rFonts w:eastAsia="MS Mincho" w:cs="Courier New"/>
                <w:sz w:val="16"/>
                <w:szCs w:val="16"/>
                <w:lang w:bidi="th-TH"/>
              </w:rPr>
              <w:t>’</w:t>
            </w:r>
            <w:r w:rsidRPr="00A32AF4">
              <w:rPr>
                <w:rFonts w:eastAsia="MS Mincho" w:cs="Courier New"/>
                <w:sz w:val="16"/>
                <w:szCs w:val="16"/>
                <w:lang w:bidi="th-TH"/>
              </w:rPr>
              <w:t>OMPI</w:t>
            </w:r>
          </w:p>
        </w:tc>
        <w:tc>
          <w:tcPr>
            <w:tcW w:w="1070" w:type="pct"/>
            <w:shd w:val="clear" w:color="auto" w:fill="FFFFFF"/>
            <w:tcMar>
              <w:top w:w="113" w:type="dxa"/>
              <w:bottom w:w="113" w:type="dxa"/>
            </w:tcMar>
          </w:tcPr>
          <w:p w:rsidR="00D91041" w:rsidRPr="00A32AF4" w:rsidRDefault="00D91041" w:rsidP="00DC0553">
            <w:pPr>
              <w:jc w:val="center"/>
              <w:rPr>
                <w:rFonts w:cs="Arial"/>
                <w:sz w:val="16"/>
                <w:szCs w:val="16"/>
                <w:lang w:bidi="th-TH"/>
              </w:rPr>
            </w:pPr>
            <w:r w:rsidRPr="00A32AF4">
              <w:rPr>
                <w:rFonts w:cs="Arial"/>
                <w:sz w:val="16"/>
                <w:szCs w:val="16"/>
                <w:lang w:bidi="th-TH"/>
              </w:rPr>
              <w:t>Programme 18</w:t>
            </w:r>
          </w:p>
        </w:tc>
      </w:tr>
      <w:tr w:rsidR="00DB1CFC" w:rsidRPr="00A32AF4" w:rsidTr="000D0EE9">
        <w:trPr>
          <w:cantSplit/>
        </w:trPr>
        <w:tc>
          <w:tcPr>
            <w:tcW w:w="1769" w:type="pct"/>
            <w:shd w:val="clear" w:color="auto" w:fill="auto"/>
            <w:tcMar>
              <w:top w:w="113" w:type="dxa"/>
              <w:bottom w:w="113" w:type="dxa"/>
            </w:tcMar>
          </w:tcPr>
          <w:p w:rsidR="00DB1CFC" w:rsidRPr="00A32AF4" w:rsidRDefault="00DB1CFC" w:rsidP="00DC0553">
            <w:pPr>
              <w:rPr>
                <w:rFonts w:cs="Arial"/>
                <w:sz w:val="16"/>
                <w:szCs w:val="16"/>
              </w:rPr>
            </w:pPr>
            <w:r w:rsidRPr="00A32AF4">
              <w:rPr>
                <w:rFonts w:cs="Arial"/>
                <w:sz w:val="16"/>
                <w:szCs w:val="16"/>
              </w:rPr>
              <w:t>I.3 Protection renforcée des emblèmes d</w:t>
            </w:r>
            <w:r w:rsidR="00E2055A" w:rsidRPr="00A32AF4">
              <w:rPr>
                <w:rFonts w:cs="Arial"/>
                <w:sz w:val="16"/>
                <w:szCs w:val="16"/>
              </w:rPr>
              <w:t>’</w:t>
            </w:r>
            <w:r w:rsidRPr="00A32AF4">
              <w:rPr>
                <w:rFonts w:cs="Arial"/>
                <w:sz w:val="16"/>
                <w:szCs w:val="16"/>
              </w:rPr>
              <w:t>États et des noms et emblèmes d</w:t>
            </w:r>
            <w:r w:rsidR="00E2055A" w:rsidRPr="00A32AF4">
              <w:rPr>
                <w:rFonts w:cs="Arial"/>
                <w:sz w:val="16"/>
                <w:szCs w:val="16"/>
              </w:rPr>
              <w:t>’</w:t>
            </w:r>
            <w:r w:rsidRPr="00A32AF4">
              <w:rPr>
                <w:rFonts w:cs="Arial"/>
                <w:sz w:val="16"/>
                <w:szCs w:val="16"/>
              </w:rPr>
              <w:t>organisations internationales intergouvernementales</w:t>
            </w:r>
          </w:p>
        </w:tc>
        <w:tc>
          <w:tcPr>
            <w:tcW w:w="2161" w:type="pct"/>
            <w:shd w:val="clear" w:color="auto" w:fill="auto"/>
            <w:tcMar>
              <w:top w:w="113" w:type="dxa"/>
              <w:bottom w:w="113" w:type="dxa"/>
            </w:tcMar>
          </w:tcPr>
          <w:p w:rsidR="00DB1CFC" w:rsidRPr="00A32AF4" w:rsidRDefault="00DB1CFC" w:rsidP="00DC0553">
            <w:pPr>
              <w:rPr>
                <w:rFonts w:cs="Arial"/>
                <w:sz w:val="16"/>
                <w:szCs w:val="16"/>
              </w:rPr>
            </w:pPr>
            <w:r w:rsidRPr="00A32AF4">
              <w:rPr>
                <w:sz w:val="16"/>
                <w:szCs w:val="16"/>
              </w:rPr>
              <w:t>Nombre de signes contenus dans la base de données sur l</w:t>
            </w:r>
            <w:r w:rsidR="00E2055A" w:rsidRPr="00A32AF4">
              <w:rPr>
                <w:sz w:val="16"/>
                <w:szCs w:val="16"/>
              </w:rPr>
              <w:t>’</w:t>
            </w:r>
            <w:r w:rsidRPr="00A32AF4">
              <w:rPr>
                <w:sz w:val="16"/>
                <w:szCs w:val="16"/>
              </w:rPr>
              <w:t>article 6</w:t>
            </w:r>
            <w:r w:rsidRPr="00A32AF4">
              <w:rPr>
                <w:i/>
                <w:sz w:val="16"/>
                <w:szCs w:val="16"/>
              </w:rPr>
              <w:t>ter</w:t>
            </w:r>
          </w:p>
        </w:tc>
        <w:tc>
          <w:tcPr>
            <w:tcW w:w="1070" w:type="pct"/>
            <w:shd w:val="clear" w:color="auto" w:fill="FFFFFF"/>
            <w:tcMar>
              <w:top w:w="113" w:type="dxa"/>
              <w:bottom w:w="113" w:type="dxa"/>
            </w:tcMar>
          </w:tcPr>
          <w:p w:rsidR="00DB1CFC" w:rsidRPr="00A32AF4" w:rsidRDefault="00DB1CFC" w:rsidP="00DC0553">
            <w:pPr>
              <w:jc w:val="center"/>
              <w:rPr>
                <w:rFonts w:cs="Arial"/>
                <w:sz w:val="16"/>
                <w:szCs w:val="16"/>
                <w:lang w:bidi="th-TH"/>
              </w:rPr>
            </w:pPr>
            <w:r w:rsidRPr="00A32AF4">
              <w:rPr>
                <w:rFonts w:cs="Arial"/>
                <w:sz w:val="16"/>
                <w:szCs w:val="16"/>
                <w:lang w:bidi="th-TH"/>
              </w:rPr>
              <w:t>Programme 2</w:t>
            </w:r>
          </w:p>
        </w:tc>
      </w:tr>
      <w:tr w:rsidR="00DB1CFC" w:rsidRPr="00A32AF4" w:rsidTr="000D0EE9">
        <w:trPr>
          <w:cantSplit/>
        </w:trPr>
        <w:tc>
          <w:tcPr>
            <w:tcW w:w="1769" w:type="pct"/>
            <w:shd w:val="clear" w:color="auto" w:fill="auto"/>
            <w:tcMar>
              <w:top w:w="113" w:type="dxa"/>
              <w:bottom w:w="113" w:type="dxa"/>
            </w:tcMar>
          </w:tcPr>
          <w:p w:rsidR="00DB1CFC" w:rsidRPr="00A32AF4" w:rsidRDefault="00DB1CFC" w:rsidP="002E3C69">
            <w:pPr>
              <w:rPr>
                <w:rFonts w:cs="Arial"/>
                <w:sz w:val="16"/>
                <w:szCs w:val="16"/>
              </w:rPr>
            </w:pPr>
            <w:r w:rsidRPr="00A32AF4">
              <w:rPr>
                <w:rFonts w:cs="Arial"/>
                <w:sz w:val="16"/>
                <w:szCs w:val="16"/>
              </w:rPr>
              <w:t>I.4 Intérêt croissant pour l</w:t>
            </w:r>
            <w:r w:rsidR="00E2055A" w:rsidRPr="00A32AF4">
              <w:rPr>
                <w:rFonts w:cs="Arial"/>
                <w:sz w:val="16"/>
                <w:szCs w:val="16"/>
              </w:rPr>
              <w:t>’</w:t>
            </w:r>
            <w:r w:rsidRPr="00A32AF4">
              <w:rPr>
                <w:rFonts w:cs="Arial"/>
                <w:sz w:val="16"/>
                <w:szCs w:val="16"/>
              </w:rPr>
              <w:t>OMPI en tant qu</w:t>
            </w:r>
            <w:r w:rsidR="00E2055A" w:rsidRPr="00A32AF4">
              <w:rPr>
                <w:rFonts w:cs="Arial"/>
                <w:sz w:val="16"/>
                <w:szCs w:val="16"/>
              </w:rPr>
              <w:t>’</w:t>
            </w:r>
            <w:r w:rsidRPr="00A32AF4">
              <w:rPr>
                <w:rFonts w:cs="Arial"/>
                <w:sz w:val="16"/>
                <w:szCs w:val="16"/>
              </w:rPr>
              <w:t>instance d</w:t>
            </w:r>
            <w:r w:rsidR="00E2055A" w:rsidRPr="00A32AF4">
              <w:rPr>
                <w:rFonts w:cs="Arial"/>
                <w:sz w:val="16"/>
                <w:szCs w:val="16"/>
              </w:rPr>
              <w:t>’</w:t>
            </w:r>
            <w:r w:rsidRPr="00A32AF4">
              <w:rPr>
                <w:rFonts w:cs="Arial"/>
                <w:sz w:val="16"/>
                <w:szCs w:val="16"/>
              </w:rPr>
              <w:t xml:space="preserve">analyse des questions relatives à la protection internationale des </w:t>
            </w:r>
            <w:r w:rsidR="00580EE2" w:rsidRPr="00A32AF4">
              <w:rPr>
                <w:rFonts w:cs="Arial"/>
                <w:sz w:val="16"/>
                <w:szCs w:val="16"/>
              </w:rPr>
              <w:t>brevets, modèles d</w:t>
            </w:r>
            <w:r w:rsidR="00E2055A" w:rsidRPr="00A32AF4">
              <w:rPr>
                <w:rFonts w:cs="Arial"/>
                <w:sz w:val="16"/>
                <w:szCs w:val="16"/>
              </w:rPr>
              <w:t>’</w:t>
            </w:r>
            <w:r w:rsidR="00580EE2" w:rsidRPr="00A32AF4">
              <w:rPr>
                <w:rFonts w:cs="Arial"/>
                <w:sz w:val="16"/>
                <w:szCs w:val="16"/>
              </w:rPr>
              <w:t xml:space="preserve">utilité, schémas de configuration (topographies) de circuits intégrés et </w:t>
            </w:r>
            <w:r w:rsidRPr="00A32AF4">
              <w:rPr>
                <w:rFonts w:cs="Arial"/>
                <w:sz w:val="16"/>
                <w:szCs w:val="16"/>
              </w:rPr>
              <w:t>informations confidentielles</w:t>
            </w:r>
          </w:p>
        </w:tc>
        <w:tc>
          <w:tcPr>
            <w:tcW w:w="2161" w:type="pct"/>
            <w:shd w:val="clear" w:color="auto" w:fill="auto"/>
            <w:tcMar>
              <w:top w:w="113" w:type="dxa"/>
              <w:bottom w:w="113" w:type="dxa"/>
            </w:tcMar>
          </w:tcPr>
          <w:p w:rsidR="00DB1CFC" w:rsidRPr="00A32AF4" w:rsidRDefault="00DB1CFC" w:rsidP="002E3C69">
            <w:pPr>
              <w:ind w:right="176"/>
              <w:rPr>
                <w:rFonts w:cs="Arial"/>
                <w:sz w:val="16"/>
                <w:szCs w:val="16"/>
              </w:rPr>
            </w:pPr>
            <w:r w:rsidRPr="00A32AF4">
              <w:rPr>
                <w:rFonts w:cs="Arial"/>
                <w:sz w:val="16"/>
                <w:szCs w:val="16"/>
              </w:rPr>
              <w:t xml:space="preserve">Pourcentage de bénéficiaires ayant trouvé utiles les informations fournies concernant les principes et les pratiques juridiques relatifs à la protection des </w:t>
            </w:r>
            <w:r w:rsidR="007452A7" w:rsidRPr="00A32AF4">
              <w:rPr>
                <w:rFonts w:cs="Arial"/>
                <w:sz w:val="16"/>
                <w:szCs w:val="16"/>
              </w:rPr>
              <w:t>brevets, modèles d</w:t>
            </w:r>
            <w:r w:rsidR="00E2055A" w:rsidRPr="00A32AF4">
              <w:rPr>
                <w:rFonts w:cs="Arial"/>
                <w:sz w:val="16"/>
                <w:szCs w:val="16"/>
              </w:rPr>
              <w:t>’</w:t>
            </w:r>
            <w:r w:rsidR="007452A7" w:rsidRPr="00A32AF4">
              <w:rPr>
                <w:rFonts w:cs="Arial"/>
                <w:sz w:val="16"/>
                <w:szCs w:val="16"/>
              </w:rPr>
              <w:t xml:space="preserve">utilité, schémas de configuration (topographies) de circuits intégrés et </w:t>
            </w:r>
            <w:r w:rsidRPr="00A32AF4">
              <w:rPr>
                <w:rFonts w:cs="Arial"/>
                <w:sz w:val="16"/>
                <w:szCs w:val="16"/>
              </w:rPr>
              <w:t>renseignements confidentiels</w:t>
            </w:r>
          </w:p>
        </w:tc>
        <w:tc>
          <w:tcPr>
            <w:tcW w:w="1070" w:type="pct"/>
            <w:shd w:val="clear" w:color="auto" w:fill="FFFFFF"/>
            <w:tcMar>
              <w:top w:w="113" w:type="dxa"/>
              <w:bottom w:w="113" w:type="dxa"/>
            </w:tcMar>
          </w:tcPr>
          <w:p w:rsidR="00DB1CFC" w:rsidRPr="00A32AF4" w:rsidRDefault="00DB1CFC" w:rsidP="00DC0553">
            <w:pPr>
              <w:jc w:val="center"/>
              <w:rPr>
                <w:rFonts w:cs="Arial"/>
                <w:sz w:val="16"/>
                <w:szCs w:val="16"/>
                <w:lang w:bidi="th-TH"/>
              </w:rPr>
            </w:pPr>
            <w:r w:rsidRPr="00A32AF4">
              <w:rPr>
                <w:rFonts w:cs="Arial"/>
                <w:sz w:val="16"/>
                <w:szCs w:val="16"/>
                <w:lang w:bidi="th-TH"/>
              </w:rPr>
              <w:t>Programme 1</w:t>
            </w:r>
          </w:p>
        </w:tc>
      </w:tr>
    </w:tbl>
    <w:p w:rsidR="00F93B76" w:rsidRPr="00A32AF4" w:rsidRDefault="00D12195" w:rsidP="00FB1F61">
      <w:pPr>
        <w:pStyle w:val="Heading3"/>
      </w:pPr>
      <w:bookmarkStart w:id="20" w:name="_Toc431555435"/>
      <w:r w:rsidRPr="00A32AF4">
        <w:t>PROGRAMME</w:t>
      </w:r>
      <w:r w:rsidR="00D21583" w:rsidRPr="00A32AF4">
        <w:t> </w:t>
      </w:r>
      <w:r w:rsidRPr="00A32AF4">
        <w:t>1</w:t>
      </w:r>
      <w:r w:rsidR="002A5E19" w:rsidRPr="00A32AF4">
        <w:tab/>
      </w:r>
      <w:r w:rsidRPr="00A32AF4">
        <w:t>‎D</w:t>
      </w:r>
      <w:r w:rsidR="00906594" w:rsidRPr="00A32AF4">
        <w:t>roit des brevets</w:t>
      </w:r>
      <w:bookmarkEnd w:id="20"/>
    </w:p>
    <w:p w:rsidR="00F93B76" w:rsidRPr="00A32AF4" w:rsidRDefault="00F93B76" w:rsidP="00DC0553">
      <w:pPr>
        <w:tabs>
          <w:tab w:val="left" w:pos="1701"/>
        </w:tabs>
        <w:ind w:left="1701" w:hanging="1701"/>
        <w:rPr>
          <w:bCs/>
          <w:iCs/>
        </w:rPr>
      </w:pPr>
    </w:p>
    <w:p w:rsidR="00F93B76" w:rsidRPr="00A32AF4" w:rsidRDefault="00F93B76" w:rsidP="00DC0553">
      <w:pPr>
        <w:rPr>
          <w:bCs/>
        </w:rPr>
      </w:pPr>
    </w:p>
    <w:p w:rsidR="00F93B76" w:rsidRPr="00A32AF4" w:rsidRDefault="00D12195" w:rsidP="00DC0553">
      <w:pPr>
        <w:autoSpaceDE w:val="0"/>
        <w:autoSpaceDN w:val="0"/>
        <w:adjustRightInd w:val="0"/>
        <w:ind w:right="-59"/>
        <w:jc w:val="both"/>
        <w:rPr>
          <w:rFonts w:cs="ArialMT"/>
        </w:rPr>
      </w:pPr>
      <w:r w:rsidRPr="00A32AF4">
        <w:rPr>
          <w:rFonts w:cs="ArialMT"/>
        </w:rPr>
        <w:t>CONTEXTE DE PLANIFICATION</w:t>
      </w:r>
    </w:p>
    <w:p w:rsidR="00F93B76" w:rsidRPr="00A32AF4" w:rsidRDefault="00F93B76" w:rsidP="00DC0553">
      <w:pPr>
        <w:autoSpaceDE w:val="0"/>
        <w:autoSpaceDN w:val="0"/>
        <w:adjustRightInd w:val="0"/>
        <w:ind w:right="-59"/>
        <w:jc w:val="both"/>
        <w:rPr>
          <w:rFonts w:cs="ArialMT"/>
        </w:rPr>
      </w:pPr>
    </w:p>
    <w:p w:rsidR="00F93B76" w:rsidRPr="00A32AF4" w:rsidRDefault="00D12195" w:rsidP="00DC0553">
      <w:pPr>
        <w:numPr>
          <w:ilvl w:val="0"/>
          <w:numId w:val="4"/>
        </w:numPr>
        <w:jc w:val="both"/>
        <w:rPr>
          <w:rFonts w:cs="Arial"/>
        </w:rPr>
      </w:pPr>
      <w:r w:rsidRPr="00A32AF4">
        <w:rPr>
          <w:rFonts w:cs="Arial"/>
        </w:rPr>
        <w:t>Le programme 1 traite des questions relatives aux brevets, aux modèles d</w:t>
      </w:r>
      <w:r w:rsidR="00E2055A" w:rsidRPr="00A32AF4">
        <w:rPr>
          <w:rFonts w:cs="Arial"/>
        </w:rPr>
        <w:t>’</w:t>
      </w:r>
      <w:r w:rsidRPr="00A32AF4">
        <w:rPr>
          <w:rFonts w:cs="Arial"/>
        </w:rPr>
        <w:t>utilité, aux schémas de configuration (topographies) de circuits intégrés et à la protection des renseignements techniques ou commerciaux confidentiels (ci</w:t>
      </w:r>
      <w:r w:rsidR="00EB7F54" w:rsidRPr="00A32AF4">
        <w:rPr>
          <w:rFonts w:cs="Arial"/>
        </w:rPr>
        <w:noBreakHyphen/>
      </w:r>
      <w:r w:rsidRPr="00A32AF4">
        <w:rPr>
          <w:rFonts w:cs="Arial"/>
        </w:rPr>
        <w:t xml:space="preserve">après dénommés </w:t>
      </w:r>
      <w:r w:rsidR="00B63C9F" w:rsidRPr="00A32AF4">
        <w:rPr>
          <w:rFonts w:cs="Arial"/>
        </w:rPr>
        <w:t>“</w:t>
      </w:r>
      <w:r w:rsidRPr="00A32AF4">
        <w:rPr>
          <w:rFonts w:cs="Arial"/>
        </w:rPr>
        <w:t>renseignements confidentiels</w:t>
      </w:r>
      <w:r w:rsidR="00B63C9F" w:rsidRPr="00A32AF4">
        <w:rPr>
          <w:rFonts w:cs="Arial"/>
        </w:rPr>
        <w:t>”</w:t>
      </w:r>
      <w:r w:rsidRPr="00A32AF4">
        <w:rPr>
          <w:rFonts w:cs="Arial"/>
        </w:rPr>
        <w:t>).  Les principaux défis à relever au titre de ce programme consistent à promouvoir des solutions multilatérales de manière à ce que le développement du droit international des brevets suive l</w:t>
      </w:r>
      <w:r w:rsidR="00E2055A" w:rsidRPr="00A32AF4">
        <w:rPr>
          <w:rFonts w:cs="Arial"/>
        </w:rPr>
        <w:t>’</w:t>
      </w:r>
      <w:r w:rsidRPr="00A32AF4">
        <w:rPr>
          <w:rFonts w:cs="Arial"/>
        </w:rPr>
        <w:t>évolution rapide observée dans les domaines technologique, économique et social.</w:t>
      </w:r>
      <w:r w:rsidRPr="00A32AF4">
        <w:t xml:space="preserve">  </w:t>
      </w:r>
      <w:r w:rsidRPr="00A32AF4">
        <w:rPr>
          <w:rFonts w:cs="Arial"/>
        </w:rPr>
        <w:t>Les défis les plus importants qui se poseront pendant l</w:t>
      </w:r>
      <w:r w:rsidR="00E2055A" w:rsidRPr="00A32AF4">
        <w:rPr>
          <w:rFonts w:cs="Arial"/>
        </w:rPr>
        <w:t>’</w:t>
      </w:r>
      <w:r w:rsidRPr="00A32AF4">
        <w:rPr>
          <w:rFonts w:cs="Arial"/>
        </w:rPr>
        <w:t>exercice biennal 2016</w:t>
      </w:r>
      <w:r w:rsidR="00EB7F54" w:rsidRPr="00A32AF4">
        <w:rPr>
          <w:rFonts w:cs="Arial"/>
        </w:rPr>
        <w:noBreakHyphen/>
      </w:r>
      <w:r w:rsidRPr="00A32AF4">
        <w:rPr>
          <w:rFonts w:cs="Arial"/>
        </w:rPr>
        <w:t>2017 sont les suivants :</w:t>
      </w:r>
    </w:p>
    <w:p w:rsidR="00F93B76" w:rsidRPr="00A32AF4" w:rsidRDefault="00F93B76" w:rsidP="00DC0553">
      <w:pPr>
        <w:tabs>
          <w:tab w:val="left" w:pos="1134"/>
        </w:tabs>
        <w:ind w:left="1134" w:hanging="567"/>
        <w:jc w:val="both"/>
        <w:rPr>
          <w:rFonts w:cs="Arial"/>
        </w:rPr>
      </w:pPr>
    </w:p>
    <w:p w:rsidR="00F93B76" w:rsidRPr="00A32AF4" w:rsidRDefault="00D12195" w:rsidP="00DC0553">
      <w:pPr>
        <w:pStyle w:val="ListParagraph"/>
        <w:numPr>
          <w:ilvl w:val="1"/>
          <w:numId w:val="15"/>
        </w:numPr>
        <w:tabs>
          <w:tab w:val="left" w:pos="1134"/>
        </w:tabs>
        <w:spacing w:after="0" w:line="240" w:lineRule="auto"/>
        <w:ind w:left="1134" w:hanging="567"/>
        <w:jc w:val="both"/>
        <w:rPr>
          <w:rFonts w:ascii="Arial" w:hAnsi="Arial" w:cs="Arial"/>
          <w:szCs w:val="20"/>
        </w:rPr>
      </w:pPr>
      <w:r w:rsidRPr="00A32AF4">
        <w:rPr>
          <w:rFonts w:ascii="Arial" w:hAnsi="Arial" w:cs="Arial"/>
          <w:szCs w:val="20"/>
        </w:rPr>
        <w:t>le rôle du système des brevets dans les mécanismes d</w:t>
      </w:r>
      <w:r w:rsidR="00E2055A" w:rsidRPr="00A32AF4">
        <w:rPr>
          <w:rFonts w:ascii="Arial" w:hAnsi="Arial" w:cs="Arial"/>
          <w:szCs w:val="20"/>
        </w:rPr>
        <w:t>’</w:t>
      </w:r>
      <w:r w:rsidRPr="00A32AF4">
        <w:rPr>
          <w:rFonts w:ascii="Arial" w:hAnsi="Arial" w:cs="Arial"/>
          <w:szCs w:val="20"/>
        </w:rPr>
        <w:t>innovation de plus en plus complexes et mondialisés, et les différences de perception quant à son rôle, notamment ses avantages pour l</w:t>
      </w:r>
      <w:r w:rsidR="00E2055A" w:rsidRPr="00A32AF4">
        <w:rPr>
          <w:rFonts w:ascii="Arial" w:hAnsi="Arial" w:cs="Arial"/>
          <w:szCs w:val="20"/>
        </w:rPr>
        <w:t>’</w:t>
      </w:r>
      <w:r w:rsidRPr="00A32AF4">
        <w:rPr>
          <w:rFonts w:ascii="Arial" w:hAnsi="Arial" w:cs="Arial"/>
          <w:szCs w:val="20"/>
        </w:rPr>
        <w:t xml:space="preserve">ensemble de la </w:t>
      </w:r>
      <w:proofErr w:type="gramStart"/>
      <w:r w:rsidRPr="00A32AF4">
        <w:rPr>
          <w:rFonts w:ascii="Arial" w:hAnsi="Arial" w:cs="Arial"/>
          <w:szCs w:val="20"/>
        </w:rPr>
        <w:t>société;</w:t>
      </w:r>
      <w:proofErr w:type="gramEnd"/>
    </w:p>
    <w:p w:rsidR="00F93B76" w:rsidRPr="00A32AF4" w:rsidRDefault="00F93B76" w:rsidP="00DC0553">
      <w:pPr>
        <w:tabs>
          <w:tab w:val="left" w:pos="1134"/>
        </w:tabs>
        <w:ind w:left="1134" w:hanging="567"/>
        <w:jc w:val="both"/>
        <w:rPr>
          <w:rFonts w:cs="Arial"/>
        </w:rPr>
      </w:pPr>
    </w:p>
    <w:p w:rsidR="00F93B76" w:rsidRPr="00A32AF4" w:rsidRDefault="00D12195" w:rsidP="00DC0553">
      <w:pPr>
        <w:pStyle w:val="ListParagraph"/>
        <w:numPr>
          <w:ilvl w:val="1"/>
          <w:numId w:val="15"/>
        </w:numPr>
        <w:tabs>
          <w:tab w:val="left" w:pos="1134"/>
        </w:tabs>
        <w:spacing w:after="0" w:line="240" w:lineRule="auto"/>
        <w:ind w:left="1134" w:hanging="567"/>
        <w:jc w:val="both"/>
        <w:rPr>
          <w:rFonts w:ascii="Arial" w:hAnsi="Arial" w:cs="Arial"/>
          <w:szCs w:val="20"/>
        </w:rPr>
      </w:pPr>
      <w:r w:rsidRPr="00A32AF4">
        <w:rPr>
          <w:rFonts w:ascii="Arial" w:hAnsi="Arial" w:cs="Arial"/>
          <w:szCs w:val="20"/>
        </w:rPr>
        <w:t>la demande croissante d</w:t>
      </w:r>
      <w:r w:rsidR="00E2055A" w:rsidRPr="00A32AF4">
        <w:rPr>
          <w:rFonts w:ascii="Arial" w:hAnsi="Arial" w:cs="Arial"/>
          <w:szCs w:val="20"/>
        </w:rPr>
        <w:t>’</w:t>
      </w:r>
      <w:r w:rsidRPr="00A32AF4">
        <w:rPr>
          <w:rFonts w:ascii="Arial" w:hAnsi="Arial" w:cs="Arial"/>
          <w:szCs w:val="20"/>
        </w:rPr>
        <w:t>informations concrètes pour aider les responsables de l</w:t>
      </w:r>
      <w:r w:rsidR="00E2055A" w:rsidRPr="00A32AF4">
        <w:rPr>
          <w:rFonts w:ascii="Arial" w:hAnsi="Arial" w:cs="Arial"/>
          <w:szCs w:val="20"/>
        </w:rPr>
        <w:t>’</w:t>
      </w:r>
      <w:r w:rsidRPr="00A32AF4">
        <w:rPr>
          <w:rFonts w:ascii="Arial" w:hAnsi="Arial" w:cs="Arial"/>
          <w:szCs w:val="20"/>
        </w:rPr>
        <w:t>élaboration des politiques à prendre des décisions d</w:t>
      </w:r>
      <w:r w:rsidR="00E2055A" w:rsidRPr="00A32AF4">
        <w:rPr>
          <w:rFonts w:ascii="Arial" w:hAnsi="Arial" w:cs="Arial"/>
          <w:szCs w:val="20"/>
        </w:rPr>
        <w:t>’</w:t>
      </w:r>
      <w:r w:rsidRPr="00A32AF4">
        <w:rPr>
          <w:rFonts w:ascii="Arial" w:hAnsi="Arial" w:cs="Arial"/>
          <w:szCs w:val="20"/>
        </w:rPr>
        <w:t>intérêt général en ce qui concerne la portée et l</w:t>
      </w:r>
      <w:r w:rsidR="00E2055A" w:rsidRPr="00A32AF4">
        <w:rPr>
          <w:rFonts w:ascii="Arial" w:hAnsi="Arial" w:cs="Arial"/>
          <w:szCs w:val="20"/>
        </w:rPr>
        <w:t>’</w:t>
      </w:r>
      <w:r w:rsidRPr="00A32AF4">
        <w:rPr>
          <w:rFonts w:ascii="Arial" w:hAnsi="Arial" w:cs="Arial"/>
          <w:szCs w:val="20"/>
        </w:rPr>
        <w:t>application appropriées du système des brevets;</w:t>
      </w:r>
    </w:p>
    <w:p w:rsidR="00F93B76" w:rsidRPr="00A32AF4" w:rsidRDefault="00F93B76" w:rsidP="00DC0553">
      <w:pPr>
        <w:tabs>
          <w:tab w:val="left" w:pos="1134"/>
        </w:tabs>
        <w:ind w:left="1134" w:hanging="567"/>
        <w:jc w:val="both"/>
        <w:rPr>
          <w:rFonts w:cs="Arial"/>
        </w:rPr>
      </w:pPr>
    </w:p>
    <w:p w:rsidR="00F93B76" w:rsidRPr="00A32AF4" w:rsidRDefault="00D12195" w:rsidP="00DC0553">
      <w:pPr>
        <w:pStyle w:val="ListParagraph"/>
        <w:numPr>
          <w:ilvl w:val="1"/>
          <w:numId w:val="15"/>
        </w:numPr>
        <w:tabs>
          <w:tab w:val="left" w:pos="1134"/>
        </w:tabs>
        <w:spacing w:after="0" w:line="240" w:lineRule="auto"/>
        <w:ind w:left="1134" w:hanging="567"/>
        <w:jc w:val="both"/>
        <w:rPr>
          <w:rFonts w:ascii="Arial" w:hAnsi="Arial" w:cs="Arial"/>
          <w:szCs w:val="20"/>
        </w:rPr>
      </w:pPr>
      <w:r w:rsidRPr="00A32AF4">
        <w:rPr>
          <w:rFonts w:ascii="Arial" w:hAnsi="Arial" w:cs="Arial"/>
          <w:szCs w:val="20"/>
        </w:rPr>
        <w:t>des informations plus ciblées sur le rôle, l</w:t>
      </w:r>
      <w:r w:rsidR="00E2055A" w:rsidRPr="00A32AF4">
        <w:rPr>
          <w:rFonts w:ascii="Arial" w:hAnsi="Arial" w:cs="Arial"/>
          <w:szCs w:val="20"/>
        </w:rPr>
        <w:t>’</w:t>
      </w:r>
      <w:r w:rsidRPr="00A32AF4">
        <w:rPr>
          <w:rFonts w:ascii="Arial" w:hAnsi="Arial" w:cs="Arial"/>
          <w:szCs w:val="20"/>
        </w:rPr>
        <w:t xml:space="preserve">incidence et la mise en œuvre du système international des brevets, </w:t>
      </w:r>
      <w:r w:rsidR="00E2055A" w:rsidRPr="00A32AF4">
        <w:rPr>
          <w:rFonts w:ascii="Arial" w:hAnsi="Arial" w:cs="Arial"/>
          <w:szCs w:val="20"/>
        </w:rPr>
        <w:t>y compris</w:t>
      </w:r>
      <w:r w:rsidRPr="00A32AF4">
        <w:rPr>
          <w:rFonts w:ascii="Arial" w:hAnsi="Arial" w:cs="Arial"/>
          <w:szCs w:val="20"/>
        </w:rPr>
        <w:t xml:space="preserve"> les éléments de flexibilité, que ce soit dans les instances multilatérales ou par la fourniture de conseils en matière de législation et de politique aux États membres;</w:t>
      </w:r>
    </w:p>
    <w:p w:rsidR="00F93B76" w:rsidRPr="00A32AF4" w:rsidRDefault="00F93B76" w:rsidP="00DC0553">
      <w:pPr>
        <w:tabs>
          <w:tab w:val="left" w:pos="1134"/>
        </w:tabs>
        <w:ind w:left="1134" w:hanging="567"/>
        <w:jc w:val="both"/>
        <w:rPr>
          <w:rFonts w:cs="Arial"/>
        </w:rPr>
      </w:pPr>
    </w:p>
    <w:p w:rsidR="00F93B76" w:rsidRPr="00A32AF4" w:rsidRDefault="00D12195" w:rsidP="00DC0553">
      <w:pPr>
        <w:pStyle w:val="ListParagraph"/>
        <w:numPr>
          <w:ilvl w:val="1"/>
          <w:numId w:val="15"/>
        </w:numPr>
        <w:tabs>
          <w:tab w:val="left" w:pos="1134"/>
        </w:tabs>
        <w:spacing w:after="0" w:line="240" w:lineRule="auto"/>
        <w:ind w:left="1134" w:hanging="567"/>
        <w:jc w:val="both"/>
        <w:rPr>
          <w:rFonts w:ascii="Arial" w:hAnsi="Arial" w:cs="Arial"/>
          <w:szCs w:val="20"/>
        </w:rPr>
      </w:pPr>
      <w:r w:rsidRPr="00A32AF4">
        <w:rPr>
          <w:rFonts w:ascii="Arial" w:hAnsi="Arial" w:cs="Arial"/>
          <w:szCs w:val="20"/>
        </w:rPr>
        <w:t xml:space="preserve">la demande croissante des États membres en ce qui concerne la fourniture de conseils en matière de législation et de </w:t>
      </w:r>
      <w:proofErr w:type="gramStart"/>
      <w:r w:rsidRPr="00A32AF4">
        <w:rPr>
          <w:rFonts w:ascii="Arial" w:hAnsi="Arial" w:cs="Arial"/>
          <w:szCs w:val="20"/>
        </w:rPr>
        <w:t>politique;</w:t>
      </w:r>
      <w:proofErr w:type="gramEnd"/>
    </w:p>
    <w:p w:rsidR="00F93B76" w:rsidRPr="00A32AF4" w:rsidRDefault="00F93B76" w:rsidP="00DC0553">
      <w:pPr>
        <w:tabs>
          <w:tab w:val="left" w:pos="1134"/>
        </w:tabs>
        <w:ind w:left="1134" w:hanging="567"/>
        <w:jc w:val="both"/>
        <w:rPr>
          <w:rFonts w:cs="Arial"/>
        </w:rPr>
      </w:pPr>
    </w:p>
    <w:p w:rsidR="00F93B76" w:rsidRPr="00A32AF4" w:rsidRDefault="00D12195" w:rsidP="00DC0553">
      <w:pPr>
        <w:pStyle w:val="ListParagraph"/>
        <w:numPr>
          <w:ilvl w:val="1"/>
          <w:numId w:val="15"/>
        </w:numPr>
        <w:tabs>
          <w:tab w:val="left" w:pos="1134"/>
        </w:tabs>
        <w:spacing w:after="0" w:line="240" w:lineRule="auto"/>
        <w:ind w:left="1134" w:hanging="567"/>
        <w:jc w:val="both"/>
        <w:rPr>
          <w:rFonts w:ascii="Arial" w:hAnsi="Arial" w:cs="Arial"/>
          <w:szCs w:val="20"/>
        </w:rPr>
      </w:pPr>
      <w:r w:rsidRPr="00A32AF4">
        <w:rPr>
          <w:rFonts w:ascii="Arial" w:hAnsi="Arial" w:cs="Arial"/>
          <w:szCs w:val="20"/>
        </w:rPr>
        <w:t>dans le contexte de l</w:t>
      </w:r>
      <w:r w:rsidR="00E2055A" w:rsidRPr="00A32AF4">
        <w:rPr>
          <w:rFonts w:ascii="Arial" w:hAnsi="Arial" w:cs="Arial"/>
          <w:szCs w:val="20"/>
        </w:rPr>
        <w:t>’</w:t>
      </w:r>
      <w:r w:rsidRPr="00A32AF4">
        <w:rPr>
          <w:rFonts w:ascii="Arial" w:hAnsi="Arial" w:cs="Arial"/>
          <w:szCs w:val="20"/>
        </w:rPr>
        <w:t>augmentation de l</w:t>
      </w:r>
      <w:r w:rsidR="00E2055A" w:rsidRPr="00A32AF4">
        <w:rPr>
          <w:rFonts w:ascii="Arial" w:hAnsi="Arial" w:cs="Arial"/>
          <w:szCs w:val="20"/>
        </w:rPr>
        <w:t>’</w:t>
      </w:r>
      <w:r w:rsidRPr="00A32AF4">
        <w:rPr>
          <w:rFonts w:ascii="Arial" w:hAnsi="Arial" w:cs="Arial"/>
          <w:szCs w:val="20"/>
        </w:rPr>
        <w:t>utilisation du système des brevets, la nécessité d</w:t>
      </w:r>
      <w:r w:rsidR="00E2055A" w:rsidRPr="00A32AF4">
        <w:rPr>
          <w:rFonts w:ascii="Arial" w:hAnsi="Arial" w:cs="Arial"/>
          <w:szCs w:val="20"/>
        </w:rPr>
        <w:t>’</w:t>
      </w:r>
      <w:r w:rsidRPr="00A32AF4">
        <w:rPr>
          <w:rFonts w:ascii="Arial" w:hAnsi="Arial" w:cs="Arial"/>
          <w:szCs w:val="20"/>
        </w:rPr>
        <w:t>accroître l</w:t>
      </w:r>
      <w:r w:rsidR="00E2055A" w:rsidRPr="00A32AF4">
        <w:rPr>
          <w:rFonts w:ascii="Arial" w:hAnsi="Arial" w:cs="Arial"/>
          <w:szCs w:val="20"/>
        </w:rPr>
        <w:t>’</w:t>
      </w:r>
      <w:r w:rsidRPr="00A32AF4">
        <w:rPr>
          <w:rFonts w:ascii="Arial" w:hAnsi="Arial" w:cs="Arial"/>
          <w:szCs w:val="20"/>
        </w:rPr>
        <w:t>efficacité, l</w:t>
      </w:r>
      <w:r w:rsidR="00E2055A" w:rsidRPr="00A32AF4">
        <w:rPr>
          <w:rFonts w:ascii="Arial" w:hAnsi="Arial" w:cs="Arial"/>
          <w:szCs w:val="20"/>
        </w:rPr>
        <w:t>’</w:t>
      </w:r>
      <w:r w:rsidRPr="00A32AF4">
        <w:rPr>
          <w:rFonts w:ascii="Arial" w:hAnsi="Arial" w:cs="Arial"/>
          <w:szCs w:val="20"/>
        </w:rPr>
        <w:t>efficience et la qualité des activités d</w:t>
      </w:r>
      <w:r w:rsidR="00E2055A" w:rsidRPr="00A32AF4">
        <w:rPr>
          <w:rFonts w:ascii="Arial" w:hAnsi="Arial" w:cs="Arial"/>
          <w:szCs w:val="20"/>
        </w:rPr>
        <w:t>’</w:t>
      </w:r>
      <w:r w:rsidRPr="00A32AF4">
        <w:rPr>
          <w:rFonts w:ascii="Arial" w:hAnsi="Arial" w:cs="Arial"/>
          <w:szCs w:val="20"/>
        </w:rPr>
        <w:t>administration des brevets qui contribuent à la réalisation des objectifs du système des brevets;</w:t>
      </w:r>
    </w:p>
    <w:p w:rsidR="00F93B76" w:rsidRPr="00A32AF4" w:rsidRDefault="00F93B76" w:rsidP="00DC0553">
      <w:pPr>
        <w:tabs>
          <w:tab w:val="left" w:pos="1134"/>
        </w:tabs>
        <w:ind w:left="1134" w:hanging="567"/>
        <w:jc w:val="both"/>
        <w:rPr>
          <w:rFonts w:cs="Arial"/>
        </w:rPr>
      </w:pPr>
    </w:p>
    <w:p w:rsidR="00F93B76" w:rsidRPr="00A32AF4" w:rsidRDefault="00D12195" w:rsidP="00DC0553">
      <w:pPr>
        <w:pStyle w:val="ListParagraph"/>
        <w:numPr>
          <w:ilvl w:val="1"/>
          <w:numId w:val="15"/>
        </w:numPr>
        <w:tabs>
          <w:tab w:val="left" w:pos="1134"/>
        </w:tabs>
        <w:spacing w:after="0" w:line="240" w:lineRule="auto"/>
        <w:ind w:left="1134" w:hanging="567"/>
        <w:rPr>
          <w:rFonts w:ascii="Arial" w:hAnsi="Arial" w:cs="Arial"/>
          <w:szCs w:val="20"/>
        </w:rPr>
      </w:pPr>
      <w:r w:rsidRPr="00A32AF4">
        <w:rPr>
          <w:rFonts w:ascii="Arial" w:hAnsi="Arial" w:cs="Arial"/>
          <w:szCs w:val="20"/>
        </w:rPr>
        <w:t>les capacités insuffisantes pour l</w:t>
      </w:r>
      <w:r w:rsidR="00E2055A" w:rsidRPr="00A32AF4">
        <w:rPr>
          <w:rFonts w:ascii="Arial" w:hAnsi="Arial" w:cs="Arial"/>
          <w:szCs w:val="20"/>
        </w:rPr>
        <w:t>’</w:t>
      </w:r>
      <w:r w:rsidRPr="00A32AF4">
        <w:rPr>
          <w:rFonts w:ascii="Arial" w:hAnsi="Arial" w:cs="Arial"/>
          <w:szCs w:val="20"/>
        </w:rPr>
        <w:t xml:space="preserve">établissement, le dépôt et le traitement des demandes de </w:t>
      </w:r>
      <w:proofErr w:type="gramStart"/>
      <w:r w:rsidRPr="00A32AF4">
        <w:rPr>
          <w:rFonts w:ascii="Arial" w:hAnsi="Arial" w:cs="Arial"/>
          <w:szCs w:val="20"/>
        </w:rPr>
        <w:t>brevet;</w:t>
      </w:r>
      <w:proofErr w:type="gramEnd"/>
    </w:p>
    <w:p w:rsidR="00F93B76" w:rsidRPr="00A32AF4" w:rsidRDefault="00F93B76" w:rsidP="00DC0553">
      <w:pPr>
        <w:tabs>
          <w:tab w:val="left" w:pos="1134"/>
        </w:tabs>
        <w:ind w:left="1134" w:hanging="567"/>
        <w:jc w:val="both"/>
        <w:rPr>
          <w:rFonts w:cs="Arial"/>
        </w:rPr>
      </w:pPr>
    </w:p>
    <w:p w:rsidR="00F93B76" w:rsidRPr="00A32AF4" w:rsidRDefault="00D12195" w:rsidP="00DC0553">
      <w:pPr>
        <w:pStyle w:val="ListParagraph"/>
        <w:numPr>
          <w:ilvl w:val="1"/>
          <w:numId w:val="15"/>
        </w:numPr>
        <w:tabs>
          <w:tab w:val="left" w:pos="1134"/>
        </w:tabs>
        <w:spacing w:after="0" w:line="240" w:lineRule="auto"/>
        <w:ind w:left="1134" w:hanging="567"/>
        <w:jc w:val="both"/>
        <w:rPr>
          <w:rFonts w:ascii="Arial" w:hAnsi="Arial" w:cs="Arial"/>
          <w:szCs w:val="20"/>
        </w:rPr>
      </w:pPr>
      <w:r w:rsidRPr="00A32AF4">
        <w:rPr>
          <w:rFonts w:ascii="Arial" w:hAnsi="Arial" w:cs="Arial"/>
          <w:szCs w:val="20"/>
        </w:rPr>
        <w:t>du fait d</w:t>
      </w:r>
      <w:r w:rsidR="00E2055A" w:rsidRPr="00A32AF4">
        <w:rPr>
          <w:rFonts w:ascii="Arial" w:hAnsi="Arial" w:cs="Arial"/>
          <w:szCs w:val="20"/>
        </w:rPr>
        <w:t>’</w:t>
      </w:r>
      <w:r w:rsidRPr="00A32AF4">
        <w:rPr>
          <w:rFonts w:ascii="Arial" w:hAnsi="Arial" w:cs="Arial"/>
          <w:szCs w:val="20"/>
        </w:rPr>
        <w:t>une meilleure évaluation de la complexité des mécanismes de transfert des connaissances, la nécessité d</w:t>
      </w:r>
      <w:r w:rsidR="00E2055A" w:rsidRPr="00A32AF4">
        <w:rPr>
          <w:rFonts w:ascii="Arial" w:hAnsi="Arial" w:cs="Arial"/>
          <w:szCs w:val="20"/>
        </w:rPr>
        <w:t>’</w:t>
      </w:r>
      <w:r w:rsidRPr="00A32AF4">
        <w:rPr>
          <w:rFonts w:ascii="Arial" w:hAnsi="Arial" w:cs="Arial"/>
          <w:szCs w:val="20"/>
        </w:rPr>
        <w:t>aborder le droit des brevets dans le contexte d</w:t>
      </w:r>
      <w:r w:rsidR="00E2055A" w:rsidRPr="00A32AF4">
        <w:rPr>
          <w:rFonts w:ascii="Arial" w:hAnsi="Arial" w:cs="Arial"/>
          <w:szCs w:val="20"/>
        </w:rPr>
        <w:t>’</w:t>
      </w:r>
      <w:r w:rsidRPr="00A32AF4">
        <w:rPr>
          <w:rFonts w:ascii="Arial" w:hAnsi="Arial" w:cs="Arial"/>
          <w:szCs w:val="20"/>
        </w:rPr>
        <w:t>autres catégories d</w:t>
      </w:r>
      <w:r w:rsidR="00E2055A" w:rsidRPr="00A32AF4">
        <w:rPr>
          <w:rFonts w:ascii="Arial" w:hAnsi="Arial" w:cs="Arial"/>
          <w:szCs w:val="20"/>
        </w:rPr>
        <w:t>’</w:t>
      </w:r>
      <w:r w:rsidRPr="00A32AF4">
        <w:rPr>
          <w:rFonts w:ascii="Arial" w:hAnsi="Arial" w:cs="Arial"/>
          <w:szCs w:val="20"/>
        </w:rPr>
        <w:t xml:space="preserve">actifs de propriété intellectuelle étroitement liées, comme la protection des </w:t>
      </w:r>
      <w:r w:rsidR="009E2B79" w:rsidRPr="00A32AF4">
        <w:rPr>
          <w:rFonts w:ascii="Arial" w:hAnsi="Arial" w:cs="Arial"/>
          <w:szCs w:val="20"/>
        </w:rPr>
        <w:t>brevets, modèles d</w:t>
      </w:r>
      <w:r w:rsidR="00E2055A" w:rsidRPr="00A32AF4">
        <w:rPr>
          <w:rFonts w:ascii="Arial" w:hAnsi="Arial" w:cs="Arial"/>
          <w:szCs w:val="20"/>
        </w:rPr>
        <w:t>’</w:t>
      </w:r>
      <w:r w:rsidR="009E2B79" w:rsidRPr="00A32AF4">
        <w:rPr>
          <w:rFonts w:ascii="Arial" w:hAnsi="Arial" w:cs="Arial"/>
          <w:szCs w:val="20"/>
        </w:rPr>
        <w:t xml:space="preserve">utilité, schémas de configuration (topographies) de circuits intégrés et </w:t>
      </w:r>
      <w:r w:rsidRPr="00A32AF4">
        <w:rPr>
          <w:rFonts w:ascii="Arial" w:hAnsi="Arial" w:cs="Arial"/>
          <w:szCs w:val="20"/>
        </w:rPr>
        <w:t>renseignements confidentiels;  et</w:t>
      </w:r>
    </w:p>
    <w:p w:rsidR="00F93B76" w:rsidRPr="00A32AF4" w:rsidRDefault="00F93B76" w:rsidP="00DC0553">
      <w:pPr>
        <w:tabs>
          <w:tab w:val="left" w:pos="1134"/>
        </w:tabs>
        <w:ind w:left="1134" w:hanging="567"/>
        <w:jc w:val="both"/>
        <w:rPr>
          <w:rFonts w:cs="Arial"/>
        </w:rPr>
      </w:pPr>
    </w:p>
    <w:p w:rsidR="00F93B76" w:rsidRPr="00A32AF4" w:rsidRDefault="00D12195" w:rsidP="00DC0553">
      <w:pPr>
        <w:pStyle w:val="ListParagraph"/>
        <w:numPr>
          <w:ilvl w:val="1"/>
          <w:numId w:val="15"/>
        </w:numPr>
        <w:tabs>
          <w:tab w:val="left" w:pos="1134"/>
        </w:tabs>
        <w:spacing w:after="0" w:line="240" w:lineRule="auto"/>
        <w:ind w:left="1134" w:hanging="567"/>
        <w:jc w:val="both"/>
        <w:rPr>
          <w:rFonts w:ascii="Arial" w:hAnsi="Arial" w:cs="Arial"/>
          <w:szCs w:val="20"/>
        </w:rPr>
      </w:pPr>
      <w:r w:rsidRPr="00A32AF4">
        <w:rPr>
          <w:rFonts w:ascii="Arial" w:hAnsi="Arial" w:cs="Arial"/>
          <w:szCs w:val="20"/>
        </w:rPr>
        <w:t>suivre le rythme de l</w:t>
      </w:r>
      <w:r w:rsidR="00E2055A" w:rsidRPr="00A32AF4">
        <w:rPr>
          <w:rFonts w:ascii="Arial" w:hAnsi="Arial" w:cs="Arial"/>
          <w:szCs w:val="20"/>
        </w:rPr>
        <w:t>’</w:t>
      </w:r>
      <w:r w:rsidRPr="00A32AF4">
        <w:rPr>
          <w:rFonts w:ascii="Arial" w:hAnsi="Arial" w:cs="Arial"/>
          <w:szCs w:val="20"/>
        </w:rPr>
        <w:t>évolution technologique afin de déterminer les éventuelles mesures à prendre pour faire face aux faits nouveaux intervenus sur le plan international, en tenant compte des besoins divers des pays se trouvant à des niveaux de développement différents et en respectant leurs obligations internationales.</w:t>
      </w:r>
    </w:p>
    <w:p w:rsidR="00F93B76" w:rsidRPr="00A32AF4" w:rsidRDefault="00F93B76" w:rsidP="00DC0553">
      <w:pPr>
        <w:ind w:left="1134" w:hanging="567"/>
        <w:jc w:val="both"/>
        <w:rPr>
          <w:rFonts w:cs="Arial"/>
        </w:rPr>
      </w:pPr>
    </w:p>
    <w:p w:rsidR="00F93B76" w:rsidRPr="00A32AF4" w:rsidRDefault="00F93B76" w:rsidP="00DC0553">
      <w:pPr>
        <w:ind w:left="1134" w:hanging="567"/>
        <w:jc w:val="both"/>
        <w:rPr>
          <w:rFonts w:cs="Arial"/>
        </w:rPr>
      </w:pPr>
    </w:p>
    <w:p w:rsidR="00F93B76" w:rsidRPr="00A32AF4" w:rsidRDefault="00D12195" w:rsidP="00DC0553">
      <w:pPr>
        <w:jc w:val="both"/>
        <w:rPr>
          <w:rFonts w:cs="Arial"/>
        </w:rPr>
      </w:pPr>
      <w:r w:rsidRPr="00A32AF4">
        <w:rPr>
          <w:rFonts w:cs="Arial"/>
        </w:rPr>
        <w:t>STRATÉGIES DE MISE EN ŒUVRE</w:t>
      </w:r>
    </w:p>
    <w:p w:rsidR="00F93B76" w:rsidRPr="00A32AF4" w:rsidRDefault="00F93B76" w:rsidP="00DC0553">
      <w:pPr>
        <w:jc w:val="both"/>
        <w:rPr>
          <w:rFonts w:cs="Arial"/>
        </w:rPr>
      </w:pPr>
    </w:p>
    <w:p w:rsidR="00F93B76" w:rsidRPr="00A32AF4" w:rsidRDefault="00D12195" w:rsidP="00DC0553">
      <w:pPr>
        <w:numPr>
          <w:ilvl w:val="0"/>
          <w:numId w:val="4"/>
        </w:numPr>
        <w:jc w:val="both"/>
        <w:rPr>
          <w:rFonts w:cs="Arial"/>
        </w:rPr>
      </w:pPr>
      <w:r w:rsidRPr="00A32AF4">
        <w:rPr>
          <w:rFonts w:cs="Arial"/>
        </w:rPr>
        <w:t>Les travaux du Comité permanent du droit des brevets (SCP) ne progressent plus en raison de l</w:t>
      </w:r>
      <w:r w:rsidR="00E2055A" w:rsidRPr="00A32AF4">
        <w:rPr>
          <w:rFonts w:cs="Arial"/>
        </w:rPr>
        <w:t>’</w:t>
      </w:r>
      <w:r w:rsidRPr="00A32AF4">
        <w:rPr>
          <w:rFonts w:cs="Arial"/>
        </w:rPr>
        <w:t>absence d</w:t>
      </w:r>
      <w:r w:rsidR="00E2055A" w:rsidRPr="00A32AF4">
        <w:rPr>
          <w:rFonts w:cs="Arial"/>
        </w:rPr>
        <w:t>’</w:t>
      </w:r>
      <w:r w:rsidRPr="00A32AF4">
        <w:rPr>
          <w:rFonts w:cs="Arial"/>
        </w:rPr>
        <w:t xml:space="preserve">accord entre les États membres. </w:t>
      </w:r>
      <w:r w:rsidRPr="00A32AF4">
        <w:t xml:space="preserve"> </w:t>
      </w:r>
      <w:r w:rsidRPr="00A32AF4">
        <w:rPr>
          <w:rFonts w:cs="Arial"/>
        </w:rPr>
        <w:t>Le processus d</w:t>
      </w:r>
      <w:r w:rsidR="00E2055A" w:rsidRPr="00A32AF4">
        <w:rPr>
          <w:rFonts w:cs="Arial"/>
        </w:rPr>
        <w:t>’</w:t>
      </w:r>
      <w:r w:rsidRPr="00A32AF4">
        <w:rPr>
          <w:rFonts w:cs="Arial"/>
        </w:rPr>
        <w:t>établissement de normes étant mené par les États membres, ce programme visera en particulier à fournir des informations fiables et à créer un environnement favorable à la participation et au dialogue entre les États membres dans les domaines d</w:t>
      </w:r>
      <w:r w:rsidR="00E2055A" w:rsidRPr="00A32AF4">
        <w:rPr>
          <w:rFonts w:cs="Arial"/>
        </w:rPr>
        <w:t>’</w:t>
      </w:r>
      <w:r w:rsidRPr="00A32AF4">
        <w:rPr>
          <w:rFonts w:cs="Arial"/>
        </w:rPr>
        <w:t>intérêt commun.</w:t>
      </w:r>
      <w:r w:rsidRPr="00A32AF4">
        <w:t xml:space="preserve">  </w:t>
      </w:r>
      <w:r w:rsidRPr="00A32AF4">
        <w:rPr>
          <w:rFonts w:cs="Arial"/>
        </w:rPr>
        <w:t>Le Secrétariat s</w:t>
      </w:r>
      <w:r w:rsidR="00E2055A" w:rsidRPr="00A32AF4">
        <w:rPr>
          <w:rFonts w:cs="Arial"/>
        </w:rPr>
        <w:t>’</w:t>
      </w:r>
      <w:r w:rsidRPr="00A32AF4">
        <w:rPr>
          <w:rFonts w:cs="Arial"/>
        </w:rPr>
        <w:t>efforcera aussi d</w:t>
      </w:r>
      <w:r w:rsidR="00E2055A" w:rsidRPr="00A32AF4">
        <w:rPr>
          <w:rFonts w:cs="Arial"/>
        </w:rPr>
        <w:t>’</w:t>
      </w:r>
      <w:r w:rsidRPr="00A32AF4">
        <w:rPr>
          <w:rFonts w:cs="Arial"/>
        </w:rPr>
        <w:t>aider les États membres à tenir des réunions efficaces, permettant au SCP d</w:t>
      </w:r>
      <w:r w:rsidR="00E2055A" w:rsidRPr="00A32AF4">
        <w:rPr>
          <w:rFonts w:cs="Arial"/>
        </w:rPr>
        <w:t>’</w:t>
      </w:r>
      <w:r w:rsidRPr="00A32AF4">
        <w:rPr>
          <w:rFonts w:cs="Arial"/>
        </w:rPr>
        <w:t>obtenir des résultats correspondant mieux aux moyens mis en œuvre.</w:t>
      </w:r>
      <w:r w:rsidRPr="00A32AF4">
        <w:t xml:space="preserve">  </w:t>
      </w:r>
      <w:r w:rsidRPr="00A32AF4">
        <w:rPr>
          <w:rFonts w:cs="Arial"/>
        </w:rPr>
        <w:t>Le programme visera également à répondre plus rapidement et plus précisément encore aux demandes d</w:t>
      </w:r>
      <w:r w:rsidR="00E2055A" w:rsidRPr="00A32AF4">
        <w:rPr>
          <w:rFonts w:cs="Arial"/>
        </w:rPr>
        <w:t>’</w:t>
      </w:r>
      <w:r w:rsidRPr="00A32AF4">
        <w:rPr>
          <w:rFonts w:cs="Arial"/>
        </w:rPr>
        <w:t>assistance en matière de législation et de politique.</w:t>
      </w:r>
      <w:r w:rsidRPr="00A32AF4">
        <w:t xml:space="preserve">  </w:t>
      </w:r>
      <w:r w:rsidRPr="00A32AF4">
        <w:rPr>
          <w:rFonts w:cs="Arial"/>
        </w:rPr>
        <w:t>Les recommandations pertinentes du Plan d</w:t>
      </w:r>
      <w:r w:rsidR="00E2055A" w:rsidRPr="00A32AF4">
        <w:rPr>
          <w:rFonts w:cs="Arial"/>
        </w:rPr>
        <w:t>’</w:t>
      </w:r>
      <w:r w:rsidRPr="00A32AF4">
        <w:rPr>
          <w:rFonts w:cs="Arial"/>
        </w:rPr>
        <w:t>action pour le développement seront prises en considération dans le cadre de l</w:t>
      </w:r>
      <w:r w:rsidR="00E2055A" w:rsidRPr="00A32AF4">
        <w:rPr>
          <w:rFonts w:cs="Arial"/>
        </w:rPr>
        <w:t>’</w:t>
      </w:r>
      <w:r w:rsidRPr="00A32AF4">
        <w:rPr>
          <w:rFonts w:cs="Arial"/>
        </w:rPr>
        <w:t>ensemble des activités de ce programme pendant l</w:t>
      </w:r>
      <w:r w:rsidR="00E2055A" w:rsidRPr="00A32AF4">
        <w:rPr>
          <w:rFonts w:cs="Arial"/>
        </w:rPr>
        <w:t>’</w:t>
      </w:r>
      <w:r w:rsidRPr="00A32AF4">
        <w:rPr>
          <w:rFonts w:cs="Arial"/>
        </w:rPr>
        <w:t>exercice biennal.</w:t>
      </w:r>
      <w:r w:rsidRPr="00A32AF4">
        <w:t xml:space="preserve">  </w:t>
      </w:r>
      <w:proofErr w:type="gramStart"/>
      <w:r w:rsidRPr="00A32AF4">
        <w:rPr>
          <w:rFonts w:cs="Arial"/>
        </w:rPr>
        <w:t>En particulier, la fourniture d</w:t>
      </w:r>
      <w:r w:rsidR="00E2055A" w:rsidRPr="00A32AF4">
        <w:rPr>
          <w:rFonts w:cs="Arial"/>
        </w:rPr>
        <w:t>’</w:t>
      </w:r>
      <w:r w:rsidRPr="00A32AF4">
        <w:rPr>
          <w:rFonts w:cs="Arial"/>
        </w:rPr>
        <w:t>informations sur les brevets et de conseils en matière de législation tient pleinement compte des recommandations pertinentes, contribuant ainsi à la réalisation des objectifs du Plan d</w:t>
      </w:r>
      <w:r w:rsidR="00E2055A" w:rsidRPr="00A32AF4">
        <w:rPr>
          <w:rFonts w:cs="Arial"/>
        </w:rPr>
        <w:t>’</w:t>
      </w:r>
      <w:r w:rsidRPr="00A32AF4">
        <w:rPr>
          <w:rFonts w:cs="Arial"/>
        </w:rPr>
        <w:t xml:space="preserve">action pour le développement que sont une </w:t>
      </w:r>
      <w:r w:rsidR="00B63C9F" w:rsidRPr="00A32AF4">
        <w:rPr>
          <w:rFonts w:cs="Arial"/>
        </w:rPr>
        <w:t>“</w:t>
      </w:r>
      <w:r w:rsidRPr="00A32AF4">
        <w:rPr>
          <w:rFonts w:cs="Arial"/>
        </w:rPr>
        <w:t>politique nationale et internationale et une prise de décisions en matière de propriété intellectuelle fondées sur des données probantes</w:t>
      </w:r>
      <w:r w:rsidR="00B63C9F" w:rsidRPr="00A32AF4">
        <w:rPr>
          <w:rFonts w:cs="Arial"/>
        </w:rPr>
        <w:t>”</w:t>
      </w:r>
      <w:r w:rsidRPr="00A32AF4">
        <w:rPr>
          <w:rFonts w:cs="Arial"/>
        </w:rPr>
        <w:t xml:space="preserve"> et des </w:t>
      </w:r>
      <w:r w:rsidR="00B63C9F" w:rsidRPr="00A32AF4">
        <w:rPr>
          <w:rFonts w:cs="Arial"/>
        </w:rPr>
        <w:t>“</w:t>
      </w:r>
      <w:r w:rsidRPr="00A32AF4">
        <w:rPr>
          <w:rFonts w:cs="Arial"/>
        </w:rPr>
        <w:t>cadres réglementaires nationaux et internationaux en matière de propriété intellectuelle encourageant la créativité et l</w:t>
      </w:r>
      <w:r w:rsidR="00E2055A" w:rsidRPr="00A32AF4">
        <w:rPr>
          <w:rFonts w:cs="Arial"/>
        </w:rPr>
        <w:t>’</w:t>
      </w:r>
      <w:r w:rsidRPr="00A32AF4">
        <w:rPr>
          <w:rFonts w:cs="Arial"/>
        </w:rPr>
        <w:t>innovation et tenant compte des niveaux de développement différents des États membres de l</w:t>
      </w:r>
      <w:r w:rsidR="00E2055A" w:rsidRPr="00A32AF4">
        <w:rPr>
          <w:rFonts w:cs="Arial"/>
        </w:rPr>
        <w:t>’</w:t>
      </w:r>
      <w:r w:rsidRPr="00A32AF4">
        <w:rPr>
          <w:rFonts w:cs="Arial"/>
        </w:rPr>
        <w:t>OMPI</w:t>
      </w:r>
      <w:r w:rsidR="00B63C9F" w:rsidRPr="00A32AF4">
        <w:rPr>
          <w:rFonts w:cs="Arial"/>
        </w:rPr>
        <w:t>”</w:t>
      </w:r>
      <w:r w:rsidRPr="00A32AF4">
        <w:rPr>
          <w:rFonts w:cs="Arial"/>
        </w:rPr>
        <w:t>.</w:t>
      </w:r>
      <w:proofErr w:type="gramEnd"/>
      <w:r w:rsidRPr="00A32AF4">
        <w:t xml:space="preserve">  </w:t>
      </w:r>
      <w:r w:rsidRPr="00A32AF4">
        <w:rPr>
          <w:rFonts w:cs="Arial"/>
        </w:rPr>
        <w:t>Il sera par ailleurs tenu compte des travaux menés dans le cadre des projets achevés du Plan d</w:t>
      </w:r>
      <w:r w:rsidR="00E2055A" w:rsidRPr="00A32AF4">
        <w:rPr>
          <w:rFonts w:cs="Arial"/>
        </w:rPr>
        <w:t>’</w:t>
      </w:r>
      <w:r w:rsidRPr="00A32AF4">
        <w:rPr>
          <w:rFonts w:cs="Arial"/>
        </w:rPr>
        <w:t>action pour le développement, notamment dans le domaine de la propriété intellectuelle et du domaine public et dans celui des brevets et du domaine public.</w:t>
      </w:r>
    </w:p>
    <w:p w:rsidR="00F93B76" w:rsidRPr="00A32AF4" w:rsidRDefault="00F93B76" w:rsidP="00DC0553">
      <w:pPr>
        <w:jc w:val="both"/>
        <w:rPr>
          <w:rFonts w:cs="Arial"/>
        </w:rPr>
      </w:pPr>
    </w:p>
    <w:p w:rsidR="00F93B76" w:rsidRPr="00A32AF4" w:rsidRDefault="00D12195" w:rsidP="00DC0553">
      <w:pPr>
        <w:numPr>
          <w:ilvl w:val="0"/>
          <w:numId w:val="4"/>
        </w:numPr>
        <w:jc w:val="both"/>
        <w:rPr>
          <w:rFonts w:cs="Arial"/>
        </w:rPr>
      </w:pPr>
      <w:r w:rsidRPr="00A32AF4">
        <w:rPr>
          <w:rFonts w:cs="Arial"/>
        </w:rPr>
        <w:t>Concrètement, durant le prochain exercice biennal, ce programme comprendra les tâches suivantes :</w:t>
      </w:r>
    </w:p>
    <w:p w:rsidR="00F93B76" w:rsidRPr="00A32AF4" w:rsidRDefault="00F93B76" w:rsidP="00DC0553">
      <w:pPr>
        <w:jc w:val="both"/>
        <w:rPr>
          <w:rFonts w:cs="Arial"/>
        </w:rPr>
      </w:pPr>
    </w:p>
    <w:p w:rsidR="00F93B76" w:rsidRPr="00A32AF4" w:rsidRDefault="00D12195" w:rsidP="00DC0553">
      <w:pPr>
        <w:pStyle w:val="ListParagraph"/>
        <w:numPr>
          <w:ilvl w:val="1"/>
          <w:numId w:val="15"/>
        </w:numPr>
        <w:tabs>
          <w:tab w:val="left" w:pos="1134"/>
        </w:tabs>
        <w:spacing w:after="0" w:line="240" w:lineRule="auto"/>
        <w:ind w:left="1134" w:hanging="567"/>
        <w:jc w:val="both"/>
        <w:rPr>
          <w:rFonts w:ascii="Arial" w:hAnsi="Arial" w:cs="Arial"/>
          <w:szCs w:val="20"/>
        </w:rPr>
      </w:pPr>
      <w:r w:rsidRPr="00A32AF4">
        <w:rPr>
          <w:rFonts w:ascii="Arial" w:hAnsi="Arial" w:cs="Arial"/>
          <w:szCs w:val="20"/>
        </w:rPr>
        <w:t xml:space="preserve">organiser </w:t>
      </w:r>
      <w:r w:rsidR="006B23F8" w:rsidRPr="00A32AF4">
        <w:rPr>
          <w:rFonts w:ascii="Arial" w:hAnsi="Arial" w:cs="Arial"/>
          <w:szCs w:val="20"/>
        </w:rPr>
        <w:t>les sessions</w:t>
      </w:r>
      <w:r w:rsidRPr="00A32AF4">
        <w:rPr>
          <w:rFonts w:ascii="Arial" w:hAnsi="Arial" w:cs="Arial"/>
          <w:szCs w:val="20"/>
        </w:rPr>
        <w:t xml:space="preserve"> du </w:t>
      </w:r>
      <w:proofErr w:type="gramStart"/>
      <w:r w:rsidRPr="00A32AF4">
        <w:rPr>
          <w:rFonts w:ascii="Arial" w:hAnsi="Arial" w:cs="Arial"/>
          <w:szCs w:val="20"/>
        </w:rPr>
        <w:t>SCP;</w:t>
      </w:r>
      <w:proofErr w:type="gramEnd"/>
    </w:p>
    <w:p w:rsidR="00F93B76" w:rsidRPr="00A32AF4" w:rsidRDefault="00F93B76" w:rsidP="00DC0553">
      <w:pPr>
        <w:tabs>
          <w:tab w:val="left" w:pos="1134"/>
        </w:tabs>
        <w:ind w:left="1134" w:hanging="567"/>
        <w:jc w:val="both"/>
        <w:rPr>
          <w:rFonts w:cs="Arial"/>
        </w:rPr>
      </w:pPr>
    </w:p>
    <w:p w:rsidR="00F93B76" w:rsidRPr="00A32AF4" w:rsidRDefault="00D12195" w:rsidP="00DC0553">
      <w:pPr>
        <w:pStyle w:val="ListParagraph"/>
        <w:numPr>
          <w:ilvl w:val="1"/>
          <w:numId w:val="15"/>
        </w:numPr>
        <w:tabs>
          <w:tab w:val="left" w:pos="1134"/>
        </w:tabs>
        <w:spacing w:after="0" w:line="240" w:lineRule="auto"/>
        <w:ind w:left="1134" w:hanging="567"/>
        <w:jc w:val="both"/>
        <w:rPr>
          <w:rFonts w:ascii="Arial" w:hAnsi="Arial" w:cs="Arial"/>
          <w:szCs w:val="20"/>
        </w:rPr>
      </w:pPr>
      <w:r w:rsidRPr="00A32AF4">
        <w:rPr>
          <w:rFonts w:ascii="Arial" w:hAnsi="Arial" w:cs="Arial"/>
          <w:szCs w:val="20"/>
        </w:rPr>
        <w:t>organiser, sur demande, des réunions d</w:t>
      </w:r>
      <w:r w:rsidR="00E2055A" w:rsidRPr="00A32AF4">
        <w:rPr>
          <w:rFonts w:ascii="Arial" w:hAnsi="Arial" w:cs="Arial"/>
          <w:szCs w:val="20"/>
        </w:rPr>
        <w:t>’</w:t>
      </w:r>
      <w:r w:rsidRPr="00A32AF4">
        <w:rPr>
          <w:rFonts w:ascii="Arial" w:hAnsi="Arial" w:cs="Arial"/>
          <w:szCs w:val="20"/>
        </w:rPr>
        <w:t>information pour les représentants des États membres, afin de leur fournir des informations sur des questions de politique, de droit et de pratiques en matière de brevets, compte dûment tenu des recommandations n° 15 et 16 du Plan d</w:t>
      </w:r>
      <w:r w:rsidR="00E2055A" w:rsidRPr="00A32AF4">
        <w:rPr>
          <w:rFonts w:ascii="Arial" w:hAnsi="Arial" w:cs="Arial"/>
          <w:szCs w:val="20"/>
        </w:rPr>
        <w:t>’</w:t>
      </w:r>
      <w:r w:rsidRPr="00A32AF4">
        <w:rPr>
          <w:rFonts w:ascii="Arial" w:hAnsi="Arial" w:cs="Arial"/>
          <w:szCs w:val="20"/>
        </w:rPr>
        <w:t>action pour le développement;</w:t>
      </w:r>
    </w:p>
    <w:p w:rsidR="00F93B76" w:rsidRPr="00A32AF4" w:rsidRDefault="00F93B76" w:rsidP="00DC0553">
      <w:pPr>
        <w:tabs>
          <w:tab w:val="left" w:pos="1134"/>
        </w:tabs>
        <w:ind w:left="1134" w:hanging="567"/>
        <w:jc w:val="both"/>
        <w:rPr>
          <w:rFonts w:cs="Arial"/>
        </w:rPr>
      </w:pPr>
    </w:p>
    <w:p w:rsidR="00F93B76" w:rsidRPr="00A32AF4" w:rsidRDefault="00D12195" w:rsidP="00DC0553">
      <w:pPr>
        <w:pStyle w:val="ListParagraph"/>
        <w:numPr>
          <w:ilvl w:val="1"/>
          <w:numId w:val="15"/>
        </w:numPr>
        <w:tabs>
          <w:tab w:val="left" w:pos="1134"/>
        </w:tabs>
        <w:spacing w:after="0" w:line="240" w:lineRule="auto"/>
        <w:ind w:left="1134" w:hanging="567"/>
        <w:jc w:val="both"/>
        <w:rPr>
          <w:rFonts w:ascii="Arial" w:hAnsi="Arial" w:cs="Arial"/>
          <w:szCs w:val="20"/>
        </w:rPr>
      </w:pPr>
      <w:r w:rsidRPr="00A32AF4">
        <w:rPr>
          <w:rFonts w:ascii="Arial" w:hAnsi="Arial" w:cs="Arial"/>
          <w:szCs w:val="20"/>
        </w:rPr>
        <w:t>continuer de fournir aux États membres, sur demande, des avis juridiques sur les brevets, les modèles d</w:t>
      </w:r>
      <w:r w:rsidR="00E2055A" w:rsidRPr="00A32AF4">
        <w:rPr>
          <w:rFonts w:ascii="Arial" w:hAnsi="Arial" w:cs="Arial"/>
          <w:szCs w:val="20"/>
        </w:rPr>
        <w:t>’</w:t>
      </w:r>
      <w:r w:rsidRPr="00A32AF4">
        <w:rPr>
          <w:rFonts w:ascii="Arial" w:hAnsi="Arial" w:cs="Arial"/>
          <w:szCs w:val="20"/>
        </w:rPr>
        <w:t>utilité, les schémas de configuration (topographies) de circuits intégrés et les renseignements confidentiels, conformément aux recommandations n° 17, 20 et 22 du Plan d</w:t>
      </w:r>
      <w:r w:rsidR="00E2055A" w:rsidRPr="00A32AF4">
        <w:rPr>
          <w:rFonts w:ascii="Arial" w:hAnsi="Arial" w:cs="Arial"/>
          <w:szCs w:val="20"/>
        </w:rPr>
        <w:t>’</w:t>
      </w:r>
      <w:r w:rsidRPr="00A32AF4">
        <w:rPr>
          <w:rFonts w:ascii="Arial" w:hAnsi="Arial" w:cs="Arial"/>
          <w:szCs w:val="20"/>
        </w:rPr>
        <w:t>action pour le développement;</w:t>
      </w:r>
    </w:p>
    <w:p w:rsidR="00F93B76" w:rsidRPr="00A32AF4" w:rsidRDefault="00F93B76" w:rsidP="00DC0553">
      <w:pPr>
        <w:tabs>
          <w:tab w:val="left" w:pos="1134"/>
        </w:tabs>
        <w:ind w:left="1134" w:hanging="567"/>
        <w:jc w:val="both"/>
        <w:rPr>
          <w:rFonts w:cs="Arial"/>
        </w:rPr>
      </w:pPr>
    </w:p>
    <w:p w:rsidR="00F93B76" w:rsidRPr="00A32AF4" w:rsidRDefault="00D12195" w:rsidP="00DC0553">
      <w:pPr>
        <w:pStyle w:val="ListParagraph"/>
        <w:numPr>
          <w:ilvl w:val="1"/>
          <w:numId w:val="15"/>
        </w:numPr>
        <w:tabs>
          <w:tab w:val="left" w:pos="1134"/>
        </w:tabs>
        <w:spacing w:after="0" w:line="240" w:lineRule="auto"/>
        <w:ind w:left="1134" w:hanging="567"/>
        <w:jc w:val="both"/>
        <w:rPr>
          <w:rFonts w:ascii="Arial" w:hAnsi="Arial" w:cs="Arial"/>
          <w:szCs w:val="20"/>
        </w:rPr>
      </w:pPr>
      <w:r w:rsidRPr="00A32AF4">
        <w:rPr>
          <w:rFonts w:ascii="Arial" w:hAnsi="Arial" w:cs="Arial"/>
          <w:szCs w:val="20"/>
        </w:rPr>
        <w:t>continuer d</w:t>
      </w:r>
      <w:r w:rsidR="00E2055A" w:rsidRPr="00A32AF4">
        <w:rPr>
          <w:rFonts w:ascii="Arial" w:hAnsi="Arial" w:cs="Arial"/>
          <w:szCs w:val="20"/>
        </w:rPr>
        <w:t>’</w:t>
      </w:r>
      <w:r w:rsidRPr="00A32AF4">
        <w:rPr>
          <w:rFonts w:ascii="Arial" w:hAnsi="Arial" w:cs="Arial"/>
          <w:szCs w:val="20"/>
        </w:rPr>
        <w:t xml:space="preserve">appuyer les États membres et de leur fournir une assistance en ce qui concerne la Convention de Paris, le Traité de Budapest et le Traité sur le droit des </w:t>
      </w:r>
      <w:proofErr w:type="gramStart"/>
      <w:r w:rsidRPr="00A32AF4">
        <w:rPr>
          <w:rFonts w:ascii="Arial" w:hAnsi="Arial" w:cs="Arial"/>
          <w:szCs w:val="20"/>
        </w:rPr>
        <w:t>brevets;</w:t>
      </w:r>
      <w:proofErr w:type="gramEnd"/>
    </w:p>
    <w:p w:rsidR="00F93B76" w:rsidRPr="00A32AF4" w:rsidRDefault="00F93B76" w:rsidP="00DC0553">
      <w:pPr>
        <w:tabs>
          <w:tab w:val="left" w:pos="1134"/>
        </w:tabs>
        <w:ind w:left="1134" w:hanging="567"/>
        <w:jc w:val="both"/>
        <w:rPr>
          <w:rFonts w:cs="Arial"/>
        </w:rPr>
      </w:pPr>
    </w:p>
    <w:p w:rsidR="00F93B76" w:rsidRPr="00A32AF4" w:rsidRDefault="00D12195" w:rsidP="00DC0553">
      <w:pPr>
        <w:pStyle w:val="ListParagraph"/>
        <w:numPr>
          <w:ilvl w:val="1"/>
          <w:numId w:val="15"/>
        </w:numPr>
        <w:tabs>
          <w:tab w:val="left" w:pos="1134"/>
        </w:tabs>
        <w:spacing w:after="0" w:line="240" w:lineRule="auto"/>
        <w:ind w:left="1134" w:hanging="567"/>
        <w:jc w:val="both"/>
        <w:rPr>
          <w:rFonts w:ascii="Arial" w:hAnsi="Arial" w:cs="Arial"/>
          <w:szCs w:val="20"/>
        </w:rPr>
      </w:pPr>
      <w:r w:rsidRPr="00A32AF4">
        <w:rPr>
          <w:rFonts w:ascii="Arial" w:hAnsi="Arial" w:cs="Arial"/>
          <w:szCs w:val="20"/>
        </w:rPr>
        <w:t>continuer d</w:t>
      </w:r>
      <w:r w:rsidR="00E2055A" w:rsidRPr="00A32AF4">
        <w:rPr>
          <w:rFonts w:ascii="Arial" w:hAnsi="Arial" w:cs="Arial"/>
          <w:szCs w:val="20"/>
        </w:rPr>
        <w:t>’</w:t>
      </w:r>
      <w:r w:rsidRPr="00A32AF4">
        <w:rPr>
          <w:rFonts w:ascii="Arial" w:hAnsi="Arial" w:cs="Arial"/>
          <w:szCs w:val="20"/>
        </w:rPr>
        <w:t>appuyer les États membres et de leur fournir une assistance en vue de renforcer leurs capacités en matière de conception de systèmes fonctionnels dans le domaine des brevets, des modèles d</w:t>
      </w:r>
      <w:r w:rsidR="00E2055A" w:rsidRPr="00A32AF4">
        <w:rPr>
          <w:rFonts w:ascii="Arial" w:hAnsi="Arial" w:cs="Arial"/>
          <w:szCs w:val="20"/>
        </w:rPr>
        <w:t>’</w:t>
      </w:r>
      <w:r w:rsidRPr="00A32AF4">
        <w:rPr>
          <w:rFonts w:ascii="Arial" w:hAnsi="Arial" w:cs="Arial"/>
          <w:szCs w:val="20"/>
        </w:rPr>
        <w:t xml:space="preserve">utilité, des schémas de configuration (topographies) de circuits intégrés et de la protection des renseignements </w:t>
      </w:r>
      <w:proofErr w:type="gramStart"/>
      <w:r w:rsidRPr="00A32AF4">
        <w:rPr>
          <w:rFonts w:ascii="Arial" w:hAnsi="Arial" w:cs="Arial"/>
          <w:szCs w:val="20"/>
        </w:rPr>
        <w:t>confidentiels;</w:t>
      </w:r>
      <w:proofErr w:type="gramEnd"/>
    </w:p>
    <w:p w:rsidR="00F93B76" w:rsidRPr="00A32AF4" w:rsidRDefault="00F93B76" w:rsidP="00DC0553">
      <w:pPr>
        <w:tabs>
          <w:tab w:val="left" w:pos="1134"/>
        </w:tabs>
        <w:ind w:left="1134" w:hanging="567"/>
        <w:jc w:val="both"/>
        <w:rPr>
          <w:rFonts w:cs="Arial"/>
        </w:rPr>
      </w:pPr>
    </w:p>
    <w:p w:rsidR="00F93B76" w:rsidRPr="00A32AF4" w:rsidRDefault="00D12195" w:rsidP="00DC0553">
      <w:pPr>
        <w:pStyle w:val="ListParagraph"/>
        <w:numPr>
          <w:ilvl w:val="1"/>
          <w:numId w:val="15"/>
        </w:numPr>
        <w:tabs>
          <w:tab w:val="left" w:pos="1134"/>
        </w:tabs>
        <w:spacing w:after="0" w:line="240" w:lineRule="auto"/>
        <w:ind w:left="1134" w:hanging="567"/>
        <w:jc w:val="both"/>
        <w:rPr>
          <w:rFonts w:ascii="Arial" w:hAnsi="Arial" w:cs="Arial"/>
          <w:szCs w:val="20"/>
        </w:rPr>
      </w:pPr>
      <w:r w:rsidRPr="00A32AF4">
        <w:rPr>
          <w:rFonts w:ascii="Arial" w:hAnsi="Arial" w:cs="Arial"/>
          <w:szCs w:val="20"/>
        </w:rPr>
        <w:t xml:space="preserve">traiter des questions relatives à la protection des </w:t>
      </w:r>
      <w:r w:rsidR="00C922DC" w:rsidRPr="00A32AF4">
        <w:rPr>
          <w:rFonts w:ascii="Arial" w:hAnsi="Arial" w:cs="Arial"/>
          <w:szCs w:val="20"/>
        </w:rPr>
        <w:t>brevets, modèles d</w:t>
      </w:r>
      <w:r w:rsidR="00E2055A" w:rsidRPr="00A32AF4">
        <w:rPr>
          <w:rFonts w:ascii="Arial" w:hAnsi="Arial" w:cs="Arial"/>
          <w:szCs w:val="20"/>
        </w:rPr>
        <w:t>’</w:t>
      </w:r>
      <w:r w:rsidR="00C922DC" w:rsidRPr="00A32AF4">
        <w:rPr>
          <w:rFonts w:ascii="Arial" w:hAnsi="Arial" w:cs="Arial"/>
          <w:szCs w:val="20"/>
        </w:rPr>
        <w:t xml:space="preserve">utilité, schémas de configuration (topographies) de circuits intégrés et </w:t>
      </w:r>
      <w:r w:rsidRPr="00A32AF4">
        <w:rPr>
          <w:rFonts w:ascii="Arial" w:hAnsi="Arial" w:cs="Arial"/>
          <w:szCs w:val="20"/>
        </w:rPr>
        <w:t>renseignements confidentiels dans le cadre de la promotion de l</w:t>
      </w:r>
      <w:r w:rsidR="00E2055A" w:rsidRPr="00A32AF4">
        <w:rPr>
          <w:rFonts w:ascii="Arial" w:hAnsi="Arial" w:cs="Arial"/>
          <w:szCs w:val="20"/>
        </w:rPr>
        <w:t>’</w:t>
      </w:r>
      <w:r w:rsidRPr="00A32AF4">
        <w:rPr>
          <w:rFonts w:ascii="Arial" w:hAnsi="Arial" w:cs="Arial"/>
          <w:szCs w:val="20"/>
        </w:rPr>
        <w:t xml:space="preserve">innovation et de la diffusion de la </w:t>
      </w:r>
      <w:proofErr w:type="gramStart"/>
      <w:r w:rsidRPr="00A32AF4">
        <w:rPr>
          <w:rFonts w:ascii="Arial" w:hAnsi="Arial" w:cs="Arial"/>
          <w:szCs w:val="20"/>
        </w:rPr>
        <w:t>technologie;</w:t>
      </w:r>
      <w:proofErr w:type="gramEnd"/>
      <w:r w:rsidR="00115F7D" w:rsidRPr="00A32AF4">
        <w:rPr>
          <w:rFonts w:ascii="Arial" w:hAnsi="Arial" w:cs="Arial"/>
          <w:szCs w:val="20"/>
        </w:rPr>
        <w:t xml:space="preserve">  et</w:t>
      </w:r>
    </w:p>
    <w:p w:rsidR="00F93B76" w:rsidRPr="00A32AF4" w:rsidRDefault="00F93B76" w:rsidP="00DC0553">
      <w:pPr>
        <w:tabs>
          <w:tab w:val="left" w:pos="1134"/>
        </w:tabs>
        <w:ind w:left="1134" w:hanging="567"/>
        <w:jc w:val="both"/>
        <w:rPr>
          <w:rFonts w:cs="Arial"/>
        </w:rPr>
      </w:pPr>
    </w:p>
    <w:p w:rsidR="00F93B76" w:rsidRPr="00A32AF4" w:rsidRDefault="00D12195" w:rsidP="00DC0553">
      <w:pPr>
        <w:pStyle w:val="ListParagraph"/>
        <w:numPr>
          <w:ilvl w:val="1"/>
          <w:numId w:val="15"/>
        </w:numPr>
        <w:tabs>
          <w:tab w:val="left" w:pos="1134"/>
        </w:tabs>
        <w:spacing w:after="0" w:line="240" w:lineRule="auto"/>
        <w:ind w:left="1134" w:hanging="567"/>
        <w:jc w:val="both"/>
        <w:rPr>
          <w:rFonts w:ascii="Arial" w:hAnsi="Arial" w:cs="Arial"/>
          <w:szCs w:val="20"/>
        </w:rPr>
      </w:pPr>
      <w:r w:rsidRPr="00A32AF4">
        <w:rPr>
          <w:rFonts w:ascii="Arial" w:hAnsi="Arial" w:cs="Arial"/>
          <w:szCs w:val="20"/>
        </w:rPr>
        <w:t>continuer d</w:t>
      </w:r>
      <w:r w:rsidR="00E2055A" w:rsidRPr="00A32AF4">
        <w:rPr>
          <w:rFonts w:ascii="Arial" w:hAnsi="Arial" w:cs="Arial"/>
          <w:szCs w:val="20"/>
        </w:rPr>
        <w:t>’</w:t>
      </w:r>
      <w:r w:rsidRPr="00A32AF4">
        <w:rPr>
          <w:rFonts w:ascii="Arial" w:hAnsi="Arial" w:cs="Arial"/>
          <w:szCs w:val="20"/>
        </w:rPr>
        <w:t>appuyer les activités menées au titre du programme 9 (Afrique, pays arabes, Asie et Pacifique, pays d</w:t>
      </w:r>
      <w:r w:rsidR="00E2055A" w:rsidRPr="00A32AF4">
        <w:rPr>
          <w:rFonts w:ascii="Arial" w:hAnsi="Arial" w:cs="Arial"/>
          <w:szCs w:val="20"/>
        </w:rPr>
        <w:t>’</w:t>
      </w:r>
      <w:r w:rsidRPr="00A32AF4">
        <w:rPr>
          <w:rFonts w:ascii="Arial" w:hAnsi="Arial" w:cs="Arial"/>
          <w:szCs w:val="20"/>
        </w:rPr>
        <w:t xml:space="preserve">Amérique latine et des Caraïbes, pays les moins avancés) en ce qui concerne les questions de droit des brevets, </w:t>
      </w:r>
      <w:r w:rsidR="00E2055A" w:rsidRPr="00A32AF4">
        <w:rPr>
          <w:rFonts w:ascii="Arial" w:hAnsi="Arial" w:cs="Arial"/>
          <w:szCs w:val="20"/>
        </w:rPr>
        <w:t>y compris</w:t>
      </w:r>
      <w:r w:rsidRPr="00A32AF4">
        <w:rPr>
          <w:rFonts w:ascii="Arial" w:hAnsi="Arial" w:cs="Arial"/>
          <w:szCs w:val="20"/>
        </w:rPr>
        <w:t xml:space="preserve"> la réalisation d</w:t>
      </w:r>
      <w:r w:rsidR="00E2055A" w:rsidRPr="00A32AF4">
        <w:rPr>
          <w:rFonts w:ascii="Arial" w:hAnsi="Arial" w:cs="Arial"/>
          <w:szCs w:val="20"/>
        </w:rPr>
        <w:t>’</w:t>
      </w:r>
      <w:r w:rsidRPr="00A32AF4">
        <w:rPr>
          <w:rFonts w:ascii="Arial" w:hAnsi="Arial" w:cs="Arial"/>
          <w:szCs w:val="20"/>
        </w:rPr>
        <w:t>études présentant un intérêt dans le cadre des recommandations n° 12, 13 et 14, ainsi qu</w:t>
      </w:r>
      <w:r w:rsidR="00E2055A" w:rsidRPr="00A32AF4">
        <w:rPr>
          <w:rFonts w:ascii="Arial" w:hAnsi="Arial" w:cs="Arial"/>
          <w:szCs w:val="20"/>
        </w:rPr>
        <w:t>’</w:t>
      </w:r>
      <w:r w:rsidRPr="00A32AF4">
        <w:rPr>
          <w:rFonts w:ascii="Arial" w:hAnsi="Arial" w:cs="Arial"/>
          <w:szCs w:val="20"/>
        </w:rPr>
        <w:t>i</w:t>
      </w:r>
      <w:r w:rsidR="00115F7D" w:rsidRPr="00A32AF4">
        <w:rPr>
          <w:rFonts w:ascii="Arial" w:hAnsi="Arial" w:cs="Arial"/>
          <w:szCs w:val="20"/>
        </w:rPr>
        <w:t>l a été demandé par le CDIP.</w:t>
      </w:r>
    </w:p>
    <w:p w:rsidR="00F93B76" w:rsidRPr="00A32AF4" w:rsidRDefault="00F93B76" w:rsidP="00DC0553">
      <w:pPr>
        <w:tabs>
          <w:tab w:val="left" w:pos="1134"/>
        </w:tabs>
        <w:ind w:left="1134" w:hanging="567"/>
        <w:jc w:val="both"/>
        <w:rPr>
          <w:rFonts w:cs="Arial"/>
        </w:rPr>
      </w:pPr>
    </w:p>
    <w:p w:rsidR="00F93B76" w:rsidRPr="00A32AF4" w:rsidRDefault="00663F74" w:rsidP="00DC0553">
      <w:pPr>
        <w:numPr>
          <w:ilvl w:val="0"/>
          <w:numId w:val="4"/>
        </w:numPr>
        <w:jc w:val="both"/>
        <w:rPr>
          <w:rFonts w:cs="Arial"/>
        </w:rPr>
      </w:pPr>
      <w:r w:rsidRPr="00A32AF4">
        <w:rPr>
          <w:rFonts w:cs="Arial"/>
        </w:rPr>
        <w:t>Le programme 1 collabore essentiellement</w:t>
      </w:r>
      <w:r w:rsidR="00D12195" w:rsidRPr="00A32AF4">
        <w:rPr>
          <w:rFonts w:cs="Arial"/>
        </w:rPr>
        <w:t xml:space="preserve"> avec les autres programmes indiqué</w:t>
      </w:r>
      <w:r w:rsidRPr="00A32AF4">
        <w:rPr>
          <w:rFonts w:cs="Arial"/>
        </w:rPr>
        <w:t>s</w:t>
      </w:r>
      <w:r w:rsidR="00DB7EF4" w:rsidRPr="00A32AF4">
        <w:rPr>
          <w:rFonts w:cs="Arial"/>
        </w:rPr>
        <w:t xml:space="preserve"> ci</w:t>
      </w:r>
      <w:r w:rsidR="00EB7F54" w:rsidRPr="00A32AF4">
        <w:rPr>
          <w:rFonts w:cs="Arial"/>
        </w:rPr>
        <w:noBreakHyphen/>
      </w:r>
      <w:r w:rsidR="00D12195" w:rsidRPr="00A32AF4">
        <w:rPr>
          <w:rFonts w:cs="Arial"/>
        </w:rPr>
        <w:t>dessous :</w:t>
      </w:r>
    </w:p>
    <w:p w:rsidR="00F93B76" w:rsidRPr="00A32AF4" w:rsidRDefault="000D5FD7" w:rsidP="00DC0553">
      <w:pPr>
        <w:ind w:left="720"/>
        <w:rPr>
          <w:rFonts w:cs="Arial"/>
          <w:shd w:val="clear" w:color="auto" w:fill="FFFF00"/>
        </w:rPr>
      </w:pPr>
      <w:r w:rsidRPr="00A32AF4">
        <w:rPr>
          <w:noProof/>
          <w:lang w:eastAsia="fr-FR"/>
        </w:rPr>
        <w:drawing>
          <wp:anchor distT="0" distB="0" distL="114300" distR="114300" simplePos="0" relativeHeight="251661312" behindDoc="0" locked="0" layoutInCell="1" allowOverlap="1" wp14:anchorId="018B5073" wp14:editId="5899F00B">
            <wp:simplePos x="0" y="0"/>
            <wp:positionH relativeFrom="column">
              <wp:posOffset>-57150</wp:posOffset>
            </wp:positionH>
            <wp:positionV relativeFrom="paragraph">
              <wp:posOffset>167640</wp:posOffset>
            </wp:positionV>
            <wp:extent cx="6123305" cy="2691130"/>
            <wp:effectExtent l="57150" t="0" r="0" b="0"/>
            <wp:wrapTopAndBottom/>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14:sizeRelH relativeFrom="page">
              <wp14:pctWidth>0</wp14:pctWidth>
            </wp14:sizeRelH>
            <wp14:sizeRelV relativeFrom="page">
              <wp14:pctHeight>0</wp14:pctHeight>
            </wp14:sizeRelV>
          </wp:anchor>
        </w:drawing>
      </w:r>
    </w:p>
    <w:p w:rsidR="00F93B76" w:rsidRPr="00A32AF4" w:rsidRDefault="00D12195" w:rsidP="00DC0553">
      <w:pPr>
        <w:keepNext/>
        <w:keepLines/>
        <w:autoSpaceDE w:val="0"/>
        <w:autoSpaceDN w:val="0"/>
        <w:adjustRightInd w:val="0"/>
        <w:ind w:right="-59"/>
        <w:rPr>
          <w:rFonts w:cs="Arial"/>
        </w:rPr>
      </w:pPr>
      <w:r w:rsidRPr="00A32AF4">
        <w:rPr>
          <w:rFonts w:cs="Arial"/>
        </w:rPr>
        <w:t>PRINCIPAUX RISQUES ET STRATÉGIES D</w:t>
      </w:r>
      <w:r w:rsidR="00E2055A" w:rsidRPr="00A32AF4">
        <w:rPr>
          <w:rFonts w:cs="Arial"/>
        </w:rPr>
        <w:t>’</w:t>
      </w:r>
      <w:r w:rsidRPr="00A32AF4">
        <w:rPr>
          <w:rFonts w:cs="Arial"/>
        </w:rPr>
        <w:t>ATTÉNUATION</w:t>
      </w:r>
    </w:p>
    <w:p w:rsidR="00D12195" w:rsidRPr="00A32AF4" w:rsidRDefault="00D12195" w:rsidP="00DC0553">
      <w:pPr>
        <w:keepNext/>
        <w:keepLines/>
        <w:autoSpaceDE w:val="0"/>
        <w:autoSpaceDN w:val="0"/>
        <w:adjustRightInd w:val="0"/>
        <w:ind w:right="-59"/>
        <w:rPr>
          <w:rFonts w:cs="Arial"/>
        </w:rPr>
      </w:pPr>
    </w:p>
    <w:tbl>
      <w:tblPr>
        <w:tblW w:w="9214"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253"/>
        <w:gridCol w:w="4961"/>
      </w:tblGrid>
      <w:tr w:rsidR="0038294E" w:rsidRPr="00A32AF4" w:rsidTr="00906594">
        <w:trPr>
          <w:trHeight w:val="424"/>
        </w:trPr>
        <w:tc>
          <w:tcPr>
            <w:tcW w:w="4253" w:type="dxa"/>
            <w:tcBorders>
              <w:top w:val="single" w:sz="4" w:space="0" w:color="auto"/>
              <w:bottom w:val="single" w:sz="4" w:space="0" w:color="auto"/>
            </w:tcBorders>
            <w:shd w:val="clear" w:color="auto" w:fill="C6D9F1" w:themeFill="text2" w:themeFillTint="33"/>
            <w:vAlign w:val="center"/>
          </w:tcPr>
          <w:p w:rsidR="00D12195" w:rsidRPr="00A32AF4" w:rsidRDefault="00D12195" w:rsidP="00DC0553">
            <w:pPr>
              <w:keepNext/>
              <w:keepLines/>
              <w:jc w:val="center"/>
              <w:rPr>
                <w:rFonts w:cs="Arial"/>
                <w:b/>
                <w:bCs/>
                <w:sz w:val="18"/>
                <w:szCs w:val="18"/>
              </w:rPr>
            </w:pPr>
            <w:r w:rsidRPr="00A32AF4">
              <w:rPr>
                <w:rFonts w:cs="Arial"/>
                <w:b/>
                <w:bCs/>
                <w:sz w:val="18"/>
                <w:szCs w:val="18"/>
              </w:rPr>
              <w:t>Risque</w:t>
            </w:r>
            <w:r w:rsidR="00D27E4C" w:rsidRPr="00A32AF4">
              <w:rPr>
                <w:rFonts w:cs="Arial"/>
                <w:b/>
                <w:bCs/>
                <w:sz w:val="18"/>
                <w:szCs w:val="18"/>
              </w:rPr>
              <w:t>s</w:t>
            </w:r>
          </w:p>
        </w:tc>
        <w:tc>
          <w:tcPr>
            <w:tcW w:w="4961" w:type="dxa"/>
            <w:tcBorders>
              <w:top w:val="single" w:sz="4" w:space="0" w:color="auto"/>
              <w:bottom w:val="single" w:sz="4" w:space="0" w:color="auto"/>
            </w:tcBorders>
            <w:shd w:val="clear" w:color="auto" w:fill="C6D9F1" w:themeFill="text2" w:themeFillTint="33"/>
            <w:vAlign w:val="center"/>
          </w:tcPr>
          <w:p w:rsidR="00D12195" w:rsidRPr="00A32AF4" w:rsidRDefault="00FD3E7B" w:rsidP="00DC0553">
            <w:pPr>
              <w:keepNext/>
              <w:keepLines/>
              <w:jc w:val="center"/>
              <w:rPr>
                <w:rFonts w:cs="Arial"/>
                <w:b/>
                <w:bCs/>
                <w:sz w:val="18"/>
                <w:szCs w:val="18"/>
              </w:rPr>
            </w:pPr>
            <w:r w:rsidRPr="00A32AF4">
              <w:rPr>
                <w:rFonts w:cs="Arial"/>
                <w:b/>
                <w:bCs/>
                <w:sz w:val="18"/>
                <w:szCs w:val="18"/>
              </w:rPr>
              <w:t>Stratégie</w:t>
            </w:r>
            <w:r w:rsidR="00D27E4C" w:rsidRPr="00A32AF4">
              <w:rPr>
                <w:rFonts w:cs="Arial"/>
                <w:b/>
                <w:bCs/>
                <w:sz w:val="18"/>
                <w:szCs w:val="18"/>
              </w:rPr>
              <w:t>s</w:t>
            </w:r>
            <w:r w:rsidRPr="00A32AF4">
              <w:rPr>
                <w:rFonts w:cs="Arial"/>
                <w:b/>
                <w:bCs/>
                <w:sz w:val="18"/>
                <w:szCs w:val="18"/>
              </w:rPr>
              <w:t xml:space="preserve"> d</w:t>
            </w:r>
            <w:r w:rsidR="00E2055A" w:rsidRPr="00A32AF4">
              <w:rPr>
                <w:rFonts w:cs="Arial"/>
                <w:b/>
                <w:bCs/>
                <w:sz w:val="18"/>
                <w:szCs w:val="18"/>
              </w:rPr>
              <w:t>’</w:t>
            </w:r>
            <w:r w:rsidRPr="00A32AF4">
              <w:rPr>
                <w:rFonts w:cs="Arial"/>
                <w:b/>
                <w:bCs/>
                <w:sz w:val="18"/>
                <w:szCs w:val="18"/>
              </w:rPr>
              <w:t>atténuation</w:t>
            </w:r>
          </w:p>
        </w:tc>
      </w:tr>
      <w:tr w:rsidR="0038294E" w:rsidRPr="00A32AF4" w:rsidTr="007902B3">
        <w:trPr>
          <w:trHeight w:val="345"/>
        </w:trPr>
        <w:tc>
          <w:tcPr>
            <w:tcW w:w="4253" w:type="dxa"/>
            <w:tcBorders>
              <w:top w:val="single" w:sz="4" w:space="0" w:color="auto"/>
              <w:left w:val="single" w:sz="4" w:space="0" w:color="auto"/>
              <w:bottom w:val="nil"/>
              <w:right w:val="nil"/>
            </w:tcBorders>
            <w:shd w:val="clear" w:color="auto" w:fill="auto"/>
            <w:tcMar>
              <w:top w:w="113" w:type="dxa"/>
              <w:bottom w:w="113" w:type="dxa"/>
            </w:tcMar>
          </w:tcPr>
          <w:p w:rsidR="00D12195" w:rsidRPr="00A32AF4" w:rsidRDefault="00D12195" w:rsidP="00DC0553">
            <w:pPr>
              <w:keepNext/>
              <w:keepLines/>
              <w:rPr>
                <w:rFonts w:cs="Arial"/>
                <w:sz w:val="16"/>
                <w:szCs w:val="16"/>
              </w:rPr>
            </w:pPr>
            <w:r w:rsidRPr="00A32AF4">
              <w:rPr>
                <w:rFonts w:cs="Arial"/>
                <w:sz w:val="16"/>
                <w:szCs w:val="16"/>
              </w:rPr>
              <w:t>Amoindrissement du rôle du SCP en tant que tribune multilatérale.</w:t>
            </w:r>
          </w:p>
        </w:tc>
        <w:tc>
          <w:tcPr>
            <w:tcW w:w="4961" w:type="dxa"/>
            <w:tcBorders>
              <w:top w:val="single" w:sz="4" w:space="0" w:color="auto"/>
              <w:left w:val="nil"/>
              <w:bottom w:val="nil"/>
              <w:right w:val="single" w:sz="4" w:space="0" w:color="auto"/>
            </w:tcBorders>
            <w:shd w:val="clear" w:color="auto" w:fill="auto"/>
            <w:tcMar>
              <w:top w:w="113" w:type="dxa"/>
              <w:bottom w:w="113" w:type="dxa"/>
            </w:tcMar>
          </w:tcPr>
          <w:p w:rsidR="00D12195" w:rsidRPr="00A32AF4" w:rsidRDefault="00D12195" w:rsidP="00DC0553">
            <w:pPr>
              <w:keepNext/>
              <w:keepLines/>
              <w:rPr>
                <w:rFonts w:ascii="Times New Roman" w:hAnsi="Times New Roman"/>
                <w:sz w:val="16"/>
                <w:szCs w:val="16"/>
              </w:rPr>
            </w:pPr>
            <w:r w:rsidRPr="00A32AF4">
              <w:rPr>
                <w:rFonts w:cs="Arial"/>
                <w:sz w:val="16"/>
                <w:szCs w:val="16"/>
              </w:rPr>
              <w:t>Mise à disposition d</w:t>
            </w:r>
            <w:r w:rsidR="00E2055A" w:rsidRPr="00A32AF4">
              <w:rPr>
                <w:rFonts w:cs="Arial"/>
                <w:sz w:val="16"/>
                <w:szCs w:val="16"/>
              </w:rPr>
              <w:t>’</w:t>
            </w:r>
            <w:r w:rsidRPr="00A32AF4">
              <w:rPr>
                <w:rFonts w:cs="Arial"/>
                <w:sz w:val="16"/>
                <w:szCs w:val="16"/>
              </w:rPr>
              <w:t>un environnement impartial, professionnel et ouvert à tous dans lequel pourront dialoguer les États membres.</w:t>
            </w:r>
            <w:r w:rsidRPr="00A32AF4">
              <w:rPr>
                <w:sz w:val="16"/>
              </w:rPr>
              <w:t xml:space="preserve"> </w:t>
            </w:r>
            <w:r w:rsidRPr="00A32AF4">
              <w:rPr>
                <w:rFonts w:cs="Arial"/>
                <w:sz w:val="16"/>
                <w:szCs w:val="16"/>
              </w:rPr>
              <w:t xml:space="preserve"> </w:t>
            </w:r>
          </w:p>
        </w:tc>
      </w:tr>
      <w:tr w:rsidR="00D12195" w:rsidRPr="00A32AF4" w:rsidTr="007902B3">
        <w:trPr>
          <w:trHeight w:val="409"/>
        </w:trPr>
        <w:tc>
          <w:tcPr>
            <w:tcW w:w="4253" w:type="dxa"/>
            <w:tcBorders>
              <w:top w:val="nil"/>
              <w:left w:val="single" w:sz="4" w:space="0" w:color="auto"/>
              <w:bottom w:val="single" w:sz="4" w:space="0" w:color="auto"/>
              <w:right w:val="nil"/>
            </w:tcBorders>
            <w:shd w:val="clear" w:color="auto" w:fill="auto"/>
            <w:tcMar>
              <w:top w:w="113" w:type="dxa"/>
              <w:bottom w:w="113" w:type="dxa"/>
            </w:tcMar>
          </w:tcPr>
          <w:p w:rsidR="00D12195" w:rsidRPr="00A32AF4" w:rsidRDefault="00D12195" w:rsidP="00DC0553">
            <w:pPr>
              <w:keepNext/>
              <w:keepLines/>
              <w:rPr>
                <w:rFonts w:cs="Arial"/>
                <w:sz w:val="16"/>
                <w:szCs w:val="16"/>
              </w:rPr>
            </w:pPr>
          </w:p>
        </w:tc>
        <w:tc>
          <w:tcPr>
            <w:tcW w:w="4961" w:type="dxa"/>
            <w:tcBorders>
              <w:top w:val="nil"/>
              <w:left w:val="nil"/>
              <w:bottom w:val="single" w:sz="4" w:space="0" w:color="auto"/>
              <w:right w:val="single" w:sz="4" w:space="0" w:color="auto"/>
            </w:tcBorders>
            <w:shd w:val="clear" w:color="auto" w:fill="auto"/>
            <w:tcMar>
              <w:top w:w="113" w:type="dxa"/>
              <w:bottom w:w="113" w:type="dxa"/>
            </w:tcMar>
          </w:tcPr>
          <w:p w:rsidR="00D12195" w:rsidRPr="00A32AF4" w:rsidRDefault="00D12195" w:rsidP="00DC0553">
            <w:pPr>
              <w:keepNext/>
              <w:keepLines/>
              <w:rPr>
                <w:rFonts w:cs="Arial"/>
                <w:sz w:val="16"/>
                <w:szCs w:val="16"/>
              </w:rPr>
            </w:pPr>
            <w:r w:rsidRPr="00A32AF4">
              <w:rPr>
                <w:rFonts w:cs="Arial"/>
                <w:sz w:val="16"/>
                <w:szCs w:val="16"/>
              </w:rPr>
              <w:t>Fourniture d</w:t>
            </w:r>
            <w:r w:rsidR="00E2055A" w:rsidRPr="00A32AF4">
              <w:rPr>
                <w:rFonts w:cs="Arial"/>
                <w:sz w:val="16"/>
                <w:szCs w:val="16"/>
              </w:rPr>
              <w:t>’</w:t>
            </w:r>
            <w:r w:rsidRPr="00A32AF4">
              <w:rPr>
                <w:rFonts w:cs="Arial"/>
                <w:sz w:val="16"/>
                <w:szCs w:val="16"/>
              </w:rPr>
              <w:t xml:space="preserve">informations de fond, actualisées et précises aux États membres.  </w:t>
            </w:r>
          </w:p>
        </w:tc>
      </w:tr>
    </w:tbl>
    <w:p w:rsidR="00F93B76" w:rsidRPr="00A32AF4" w:rsidRDefault="00F93B76" w:rsidP="00DC0553"/>
    <w:p w:rsidR="00F93B76" w:rsidRPr="00A32AF4" w:rsidRDefault="00F93B76" w:rsidP="00DC0553"/>
    <w:p w:rsidR="00F93B76" w:rsidRPr="00A32AF4" w:rsidRDefault="00D12195" w:rsidP="00DC0553">
      <w:r w:rsidRPr="00A32AF4">
        <w:t>TABLEAU DES RÉSULTATS</w:t>
      </w:r>
    </w:p>
    <w:p w:rsidR="00D12195" w:rsidRPr="00A32AF4" w:rsidRDefault="00D12195" w:rsidP="00DC0553"/>
    <w:tbl>
      <w:tblPr>
        <w:tblW w:w="9229" w:type="dxa"/>
        <w:tblInd w:w="93" w:type="dxa"/>
        <w:tblLook w:val="04A0" w:firstRow="1" w:lastRow="0" w:firstColumn="1" w:lastColumn="0" w:noHBand="0" w:noVBand="1"/>
      </w:tblPr>
      <w:tblGrid>
        <w:gridCol w:w="2000"/>
        <w:gridCol w:w="2977"/>
        <w:gridCol w:w="2551"/>
        <w:gridCol w:w="1701"/>
      </w:tblGrid>
      <w:tr w:rsidR="0038294E" w:rsidRPr="00A32AF4" w:rsidTr="00906594">
        <w:tc>
          <w:tcPr>
            <w:tcW w:w="2000" w:type="dxa"/>
            <w:tcBorders>
              <w:top w:val="single" w:sz="4" w:space="0" w:color="auto"/>
              <w:left w:val="single" w:sz="4" w:space="0" w:color="auto"/>
              <w:bottom w:val="single" w:sz="4" w:space="0" w:color="auto"/>
              <w:right w:val="nil"/>
            </w:tcBorders>
            <w:shd w:val="clear" w:color="auto" w:fill="C6D9F1" w:themeFill="text2" w:themeFillTint="33"/>
            <w:noWrap/>
            <w:tcMar>
              <w:top w:w="113" w:type="dxa"/>
              <w:bottom w:w="113" w:type="dxa"/>
            </w:tcMar>
            <w:vAlign w:val="center"/>
            <w:hideMark/>
          </w:tcPr>
          <w:p w:rsidR="00D12195" w:rsidRPr="00A32AF4" w:rsidRDefault="00D12195" w:rsidP="00DC0553">
            <w:pPr>
              <w:jc w:val="center"/>
              <w:rPr>
                <w:rFonts w:cs="Arial"/>
                <w:b/>
                <w:bCs/>
                <w:sz w:val="18"/>
                <w:szCs w:val="18"/>
              </w:rPr>
            </w:pPr>
            <w:r w:rsidRPr="00A32AF4">
              <w:rPr>
                <w:rFonts w:cs="Arial"/>
                <w:b/>
                <w:bCs/>
                <w:sz w:val="18"/>
                <w:szCs w:val="18"/>
              </w:rPr>
              <w:t>Résultats escomptés</w:t>
            </w:r>
          </w:p>
        </w:tc>
        <w:tc>
          <w:tcPr>
            <w:tcW w:w="2977" w:type="dxa"/>
            <w:tcBorders>
              <w:top w:val="single" w:sz="4" w:space="0" w:color="auto"/>
              <w:left w:val="nil"/>
              <w:bottom w:val="single" w:sz="4" w:space="0" w:color="auto"/>
              <w:right w:val="nil"/>
            </w:tcBorders>
            <w:shd w:val="clear" w:color="auto" w:fill="C6D9F1" w:themeFill="text2" w:themeFillTint="33"/>
            <w:noWrap/>
            <w:tcMar>
              <w:top w:w="113" w:type="dxa"/>
              <w:bottom w:w="113" w:type="dxa"/>
            </w:tcMar>
            <w:vAlign w:val="center"/>
            <w:hideMark/>
          </w:tcPr>
          <w:p w:rsidR="00D12195" w:rsidRPr="00A32AF4" w:rsidRDefault="00D12195" w:rsidP="00DC0553">
            <w:pPr>
              <w:jc w:val="center"/>
              <w:rPr>
                <w:rFonts w:cs="Arial"/>
                <w:b/>
                <w:bCs/>
                <w:sz w:val="18"/>
                <w:szCs w:val="18"/>
              </w:rPr>
            </w:pPr>
            <w:r w:rsidRPr="00A32AF4">
              <w:rPr>
                <w:rFonts w:cs="Arial"/>
                <w:b/>
                <w:bCs/>
                <w:sz w:val="18"/>
                <w:szCs w:val="18"/>
              </w:rPr>
              <w:t>Indicateurs d</w:t>
            </w:r>
            <w:r w:rsidR="00E2055A" w:rsidRPr="00A32AF4">
              <w:rPr>
                <w:rFonts w:cs="Arial"/>
                <w:b/>
                <w:bCs/>
                <w:sz w:val="18"/>
                <w:szCs w:val="18"/>
              </w:rPr>
              <w:t>’</w:t>
            </w:r>
            <w:r w:rsidRPr="00A32AF4">
              <w:rPr>
                <w:rFonts w:cs="Arial"/>
                <w:b/>
                <w:bCs/>
                <w:sz w:val="18"/>
                <w:szCs w:val="18"/>
              </w:rPr>
              <w:t>exécution</w:t>
            </w:r>
          </w:p>
        </w:tc>
        <w:tc>
          <w:tcPr>
            <w:tcW w:w="2551" w:type="dxa"/>
            <w:tcBorders>
              <w:top w:val="single" w:sz="4" w:space="0" w:color="auto"/>
              <w:left w:val="nil"/>
              <w:bottom w:val="single" w:sz="4" w:space="0" w:color="auto"/>
              <w:right w:val="nil"/>
            </w:tcBorders>
            <w:shd w:val="clear" w:color="auto" w:fill="C6D9F1" w:themeFill="text2" w:themeFillTint="33"/>
            <w:noWrap/>
            <w:tcMar>
              <w:top w:w="113" w:type="dxa"/>
              <w:bottom w:w="113" w:type="dxa"/>
            </w:tcMar>
            <w:vAlign w:val="center"/>
            <w:hideMark/>
          </w:tcPr>
          <w:p w:rsidR="00D12195" w:rsidRPr="00A32AF4" w:rsidRDefault="00D12195" w:rsidP="00DC0553">
            <w:pPr>
              <w:ind w:left="176" w:hanging="142"/>
              <w:jc w:val="center"/>
              <w:rPr>
                <w:rFonts w:cs="Arial"/>
                <w:b/>
                <w:bCs/>
                <w:sz w:val="18"/>
                <w:szCs w:val="18"/>
              </w:rPr>
            </w:pPr>
            <w:r w:rsidRPr="00A32AF4">
              <w:rPr>
                <w:rFonts w:cs="Arial"/>
                <w:b/>
                <w:bCs/>
                <w:sz w:val="18"/>
                <w:szCs w:val="18"/>
              </w:rPr>
              <w:t>Niveaux de référence</w:t>
            </w:r>
          </w:p>
        </w:tc>
        <w:tc>
          <w:tcPr>
            <w:tcW w:w="1701" w:type="dxa"/>
            <w:tcBorders>
              <w:top w:val="single" w:sz="4" w:space="0" w:color="auto"/>
              <w:left w:val="nil"/>
              <w:bottom w:val="single" w:sz="4" w:space="0" w:color="auto"/>
              <w:right w:val="single" w:sz="4" w:space="0" w:color="auto"/>
            </w:tcBorders>
            <w:shd w:val="clear" w:color="auto" w:fill="C6D9F1" w:themeFill="text2" w:themeFillTint="33"/>
            <w:noWrap/>
            <w:tcMar>
              <w:top w:w="113" w:type="dxa"/>
              <w:bottom w:w="113" w:type="dxa"/>
            </w:tcMar>
            <w:vAlign w:val="center"/>
            <w:hideMark/>
          </w:tcPr>
          <w:p w:rsidR="00D12195" w:rsidRPr="00A32AF4" w:rsidRDefault="00D12195" w:rsidP="00DC0553">
            <w:pPr>
              <w:jc w:val="center"/>
              <w:rPr>
                <w:rFonts w:cs="Arial"/>
                <w:b/>
                <w:bCs/>
                <w:sz w:val="18"/>
                <w:szCs w:val="18"/>
              </w:rPr>
            </w:pPr>
            <w:r w:rsidRPr="00A32AF4">
              <w:rPr>
                <w:rFonts w:cs="Arial"/>
                <w:b/>
                <w:bCs/>
                <w:sz w:val="18"/>
                <w:szCs w:val="18"/>
              </w:rPr>
              <w:t>Objectifs visés</w:t>
            </w:r>
          </w:p>
        </w:tc>
      </w:tr>
      <w:tr w:rsidR="006B4680" w:rsidRPr="00A32AF4" w:rsidTr="006B4680">
        <w:tc>
          <w:tcPr>
            <w:tcW w:w="2000" w:type="dxa"/>
            <w:vMerge w:val="restart"/>
            <w:tcBorders>
              <w:top w:val="nil"/>
              <w:left w:val="single" w:sz="4" w:space="0" w:color="auto"/>
              <w:bottom w:val="nil"/>
              <w:right w:val="nil"/>
            </w:tcBorders>
            <w:shd w:val="clear" w:color="000000" w:fill="FFFFFF"/>
            <w:tcMar>
              <w:top w:w="113" w:type="dxa"/>
              <w:bottom w:w="113" w:type="dxa"/>
            </w:tcMar>
            <w:hideMark/>
          </w:tcPr>
          <w:p w:rsidR="006B4680" w:rsidRPr="00A32AF4" w:rsidRDefault="006B4680" w:rsidP="00DC0553">
            <w:pPr>
              <w:keepNext/>
              <w:keepLines/>
              <w:rPr>
                <w:rFonts w:cs="Arial"/>
                <w:sz w:val="16"/>
                <w:szCs w:val="16"/>
              </w:rPr>
            </w:pPr>
            <w:r w:rsidRPr="00A32AF4">
              <w:rPr>
                <w:rFonts w:cs="Arial"/>
                <w:sz w:val="16"/>
                <w:szCs w:val="16"/>
              </w:rPr>
              <w:t>I.1 Renforcement de la coopération entre les États membres en ce qui concerne l</w:t>
            </w:r>
            <w:r w:rsidR="00E2055A" w:rsidRPr="00A32AF4">
              <w:rPr>
                <w:rFonts w:cs="Arial"/>
                <w:sz w:val="16"/>
                <w:szCs w:val="16"/>
              </w:rPr>
              <w:t>’</w:t>
            </w:r>
            <w:r w:rsidRPr="00A32AF4">
              <w:rPr>
                <w:rFonts w:cs="Arial"/>
                <w:sz w:val="16"/>
                <w:szCs w:val="16"/>
              </w:rPr>
              <w:t xml:space="preserve">élaboration de cadres normatifs internationaux équilibrés dans le domaine de la propriété intellectuelle </w:t>
            </w:r>
          </w:p>
        </w:tc>
        <w:tc>
          <w:tcPr>
            <w:tcW w:w="2977" w:type="dxa"/>
            <w:tcBorders>
              <w:top w:val="nil"/>
              <w:left w:val="nil"/>
              <w:bottom w:val="nil"/>
              <w:right w:val="nil"/>
            </w:tcBorders>
            <w:shd w:val="clear" w:color="000000" w:fill="FFFFFF"/>
            <w:tcMar>
              <w:top w:w="113" w:type="dxa"/>
              <w:bottom w:w="113" w:type="dxa"/>
            </w:tcMar>
            <w:hideMark/>
          </w:tcPr>
          <w:p w:rsidR="006B4680" w:rsidRPr="00A32AF4" w:rsidRDefault="006B4680" w:rsidP="00DC0553">
            <w:pPr>
              <w:rPr>
                <w:rFonts w:cs="Arial"/>
                <w:sz w:val="16"/>
                <w:szCs w:val="16"/>
              </w:rPr>
            </w:pPr>
            <w:r w:rsidRPr="00A32AF4">
              <w:rPr>
                <w:rFonts w:cs="Arial"/>
                <w:sz w:val="16"/>
                <w:szCs w:val="16"/>
              </w:rPr>
              <w:t>État d</w:t>
            </w:r>
            <w:r w:rsidR="00E2055A" w:rsidRPr="00A32AF4">
              <w:rPr>
                <w:rFonts w:cs="Arial"/>
                <w:sz w:val="16"/>
                <w:szCs w:val="16"/>
              </w:rPr>
              <w:t>’</w:t>
            </w:r>
            <w:r w:rsidRPr="00A32AF4">
              <w:rPr>
                <w:rFonts w:cs="Arial"/>
                <w:sz w:val="16"/>
                <w:szCs w:val="16"/>
              </w:rPr>
              <w:t>avancement de la mise en œuvre des travaux convenus selon l</w:t>
            </w:r>
            <w:r w:rsidR="00E2055A" w:rsidRPr="00A32AF4">
              <w:rPr>
                <w:rFonts w:cs="Arial"/>
                <w:sz w:val="16"/>
                <w:szCs w:val="16"/>
              </w:rPr>
              <w:t>’</w:t>
            </w:r>
            <w:r w:rsidRPr="00A32AF4">
              <w:rPr>
                <w:rFonts w:cs="Arial"/>
                <w:sz w:val="16"/>
                <w:szCs w:val="16"/>
              </w:rPr>
              <w:t>ordre du jour du SCP</w:t>
            </w:r>
          </w:p>
        </w:tc>
        <w:tc>
          <w:tcPr>
            <w:tcW w:w="2551" w:type="dxa"/>
            <w:tcBorders>
              <w:top w:val="nil"/>
              <w:left w:val="nil"/>
              <w:bottom w:val="nil"/>
              <w:right w:val="nil"/>
            </w:tcBorders>
            <w:shd w:val="clear" w:color="000000" w:fill="FFFFFF"/>
            <w:tcMar>
              <w:top w:w="113" w:type="dxa"/>
              <w:bottom w:w="113" w:type="dxa"/>
            </w:tcMar>
            <w:hideMark/>
          </w:tcPr>
          <w:p w:rsidR="006B4680" w:rsidRPr="00A32AF4" w:rsidRDefault="006B4680" w:rsidP="00DC0553">
            <w:pPr>
              <w:rPr>
                <w:rFonts w:cs="Arial"/>
                <w:sz w:val="16"/>
                <w:szCs w:val="16"/>
              </w:rPr>
            </w:pPr>
            <w:r w:rsidRPr="00A32AF4">
              <w:rPr>
                <w:rFonts w:cs="Arial"/>
                <w:sz w:val="16"/>
                <w:szCs w:val="16"/>
              </w:rPr>
              <w:t>État d</w:t>
            </w:r>
            <w:r w:rsidR="00E2055A" w:rsidRPr="00A32AF4">
              <w:rPr>
                <w:rFonts w:cs="Arial"/>
                <w:sz w:val="16"/>
                <w:szCs w:val="16"/>
              </w:rPr>
              <w:t>’</w:t>
            </w:r>
            <w:r w:rsidRPr="00A32AF4">
              <w:rPr>
                <w:rFonts w:cs="Arial"/>
                <w:sz w:val="16"/>
                <w:szCs w:val="16"/>
              </w:rPr>
              <w:t>avancement des travaux menés au sein du comité dans le rapport sur la vingt et unième session du SCP</w:t>
            </w:r>
          </w:p>
        </w:tc>
        <w:tc>
          <w:tcPr>
            <w:tcW w:w="1701" w:type="dxa"/>
            <w:tcBorders>
              <w:top w:val="nil"/>
              <w:left w:val="nil"/>
              <w:bottom w:val="nil"/>
              <w:right w:val="single" w:sz="4" w:space="0" w:color="auto"/>
            </w:tcBorders>
            <w:shd w:val="clear" w:color="000000" w:fill="FFFFFF"/>
            <w:tcMar>
              <w:top w:w="113" w:type="dxa"/>
              <w:bottom w:w="113" w:type="dxa"/>
            </w:tcMar>
            <w:hideMark/>
          </w:tcPr>
          <w:p w:rsidR="006B4680" w:rsidRPr="00A32AF4" w:rsidRDefault="006B4680" w:rsidP="00DC0553">
            <w:pPr>
              <w:rPr>
                <w:rFonts w:cs="Arial"/>
                <w:sz w:val="16"/>
                <w:szCs w:val="16"/>
              </w:rPr>
            </w:pPr>
            <w:r w:rsidRPr="00A32AF4">
              <w:rPr>
                <w:rFonts w:cs="Arial"/>
                <w:sz w:val="16"/>
                <w:szCs w:val="16"/>
              </w:rPr>
              <w:t>Résultats convenus par le SCP</w:t>
            </w:r>
          </w:p>
        </w:tc>
      </w:tr>
      <w:tr w:rsidR="006B4680" w:rsidRPr="00A32AF4" w:rsidTr="006B4680">
        <w:tc>
          <w:tcPr>
            <w:tcW w:w="2000" w:type="dxa"/>
            <w:vMerge/>
            <w:tcBorders>
              <w:top w:val="nil"/>
              <w:left w:val="single" w:sz="4" w:space="0" w:color="auto"/>
              <w:bottom w:val="nil"/>
              <w:right w:val="nil"/>
            </w:tcBorders>
            <w:tcMar>
              <w:top w:w="113" w:type="dxa"/>
              <w:bottom w:w="113" w:type="dxa"/>
            </w:tcMar>
            <w:vAlign w:val="center"/>
            <w:hideMark/>
          </w:tcPr>
          <w:p w:rsidR="006B4680" w:rsidRPr="00A32AF4" w:rsidRDefault="006B4680" w:rsidP="00DC0553">
            <w:pPr>
              <w:rPr>
                <w:rFonts w:cs="Arial"/>
                <w:sz w:val="16"/>
                <w:szCs w:val="16"/>
              </w:rPr>
            </w:pPr>
          </w:p>
        </w:tc>
        <w:tc>
          <w:tcPr>
            <w:tcW w:w="2977" w:type="dxa"/>
            <w:tcBorders>
              <w:top w:val="nil"/>
              <w:left w:val="nil"/>
              <w:bottom w:val="nil"/>
              <w:right w:val="nil"/>
            </w:tcBorders>
            <w:shd w:val="clear" w:color="000000" w:fill="FFFFFF"/>
            <w:tcMar>
              <w:top w:w="113" w:type="dxa"/>
              <w:bottom w:w="113" w:type="dxa"/>
            </w:tcMar>
            <w:hideMark/>
          </w:tcPr>
          <w:p w:rsidR="006B4680" w:rsidRPr="00A32AF4" w:rsidRDefault="006B4680" w:rsidP="00DC0553">
            <w:pPr>
              <w:rPr>
                <w:rFonts w:cs="Arial"/>
                <w:sz w:val="16"/>
                <w:szCs w:val="16"/>
              </w:rPr>
            </w:pPr>
            <w:r w:rsidRPr="00A32AF4">
              <w:rPr>
                <w:rFonts w:cs="Arial"/>
                <w:sz w:val="16"/>
                <w:szCs w:val="16"/>
              </w:rPr>
              <w:t>Niveau de satisfaction des participants des ateliers ou séminaires organisés sur des thèmes spécifiques relatifs aux brevets</w:t>
            </w:r>
          </w:p>
        </w:tc>
        <w:tc>
          <w:tcPr>
            <w:tcW w:w="2551" w:type="dxa"/>
            <w:tcBorders>
              <w:top w:val="nil"/>
              <w:left w:val="nil"/>
              <w:bottom w:val="nil"/>
              <w:right w:val="nil"/>
            </w:tcBorders>
            <w:shd w:val="clear" w:color="000000" w:fill="FFFFFF"/>
            <w:tcMar>
              <w:top w:w="113" w:type="dxa"/>
              <w:bottom w:w="113" w:type="dxa"/>
            </w:tcMar>
            <w:hideMark/>
          </w:tcPr>
          <w:p w:rsidR="006B4680" w:rsidRPr="00A32AF4" w:rsidRDefault="006B4680" w:rsidP="00DC0553">
            <w:pPr>
              <w:rPr>
                <w:rFonts w:cs="Arial"/>
                <w:sz w:val="16"/>
                <w:szCs w:val="16"/>
              </w:rPr>
            </w:pPr>
            <w:r w:rsidRPr="00A32AF4">
              <w:rPr>
                <w:rFonts w:cs="Arial"/>
                <w:sz w:val="16"/>
                <w:szCs w:val="16"/>
              </w:rPr>
              <w:t xml:space="preserve">92,75% – enquête de 2014 </w:t>
            </w:r>
          </w:p>
        </w:tc>
        <w:tc>
          <w:tcPr>
            <w:tcW w:w="1701" w:type="dxa"/>
            <w:tcBorders>
              <w:top w:val="nil"/>
              <w:left w:val="nil"/>
              <w:bottom w:val="nil"/>
              <w:right w:val="single" w:sz="4" w:space="0" w:color="auto"/>
            </w:tcBorders>
            <w:shd w:val="clear" w:color="000000" w:fill="FFFFFF"/>
            <w:tcMar>
              <w:top w:w="113" w:type="dxa"/>
              <w:bottom w:w="113" w:type="dxa"/>
            </w:tcMar>
            <w:hideMark/>
          </w:tcPr>
          <w:p w:rsidR="006B4680" w:rsidRPr="00A32AF4" w:rsidRDefault="006B4680" w:rsidP="00DC0553">
            <w:pPr>
              <w:rPr>
                <w:rFonts w:cs="Arial"/>
                <w:sz w:val="16"/>
                <w:szCs w:val="16"/>
              </w:rPr>
            </w:pPr>
            <w:r w:rsidRPr="00A32AF4">
              <w:rPr>
                <w:rFonts w:cs="Arial"/>
                <w:sz w:val="16"/>
                <w:szCs w:val="16"/>
              </w:rPr>
              <w:t>90%</w:t>
            </w:r>
          </w:p>
        </w:tc>
      </w:tr>
      <w:tr w:rsidR="006B4680" w:rsidRPr="00A32AF4" w:rsidTr="006B4680">
        <w:tc>
          <w:tcPr>
            <w:tcW w:w="2000" w:type="dxa"/>
            <w:vMerge/>
            <w:tcBorders>
              <w:top w:val="nil"/>
              <w:left w:val="single" w:sz="4" w:space="0" w:color="auto"/>
              <w:bottom w:val="nil"/>
              <w:right w:val="nil"/>
            </w:tcBorders>
            <w:tcMar>
              <w:top w:w="113" w:type="dxa"/>
              <w:bottom w:w="113" w:type="dxa"/>
            </w:tcMar>
            <w:vAlign w:val="center"/>
            <w:hideMark/>
          </w:tcPr>
          <w:p w:rsidR="006B4680" w:rsidRPr="00A32AF4" w:rsidRDefault="006B4680" w:rsidP="00DC0553">
            <w:pPr>
              <w:rPr>
                <w:rFonts w:cs="Arial"/>
                <w:sz w:val="16"/>
                <w:szCs w:val="16"/>
              </w:rPr>
            </w:pPr>
          </w:p>
        </w:tc>
        <w:tc>
          <w:tcPr>
            <w:tcW w:w="2977" w:type="dxa"/>
            <w:tcBorders>
              <w:top w:val="nil"/>
              <w:left w:val="nil"/>
              <w:bottom w:val="nil"/>
              <w:right w:val="nil"/>
            </w:tcBorders>
            <w:shd w:val="clear" w:color="000000" w:fill="FFFFFF"/>
            <w:tcMar>
              <w:top w:w="113" w:type="dxa"/>
              <w:bottom w:w="113" w:type="dxa"/>
            </w:tcMar>
            <w:hideMark/>
          </w:tcPr>
          <w:p w:rsidR="006B4680" w:rsidRPr="00A32AF4" w:rsidRDefault="006B4680" w:rsidP="00DC0553">
            <w:pPr>
              <w:rPr>
                <w:rFonts w:cs="Arial"/>
                <w:sz w:val="16"/>
                <w:szCs w:val="16"/>
              </w:rPr>
            </w:pPr>
            <w:r w:rsidRPr="00A32AF4">
              <w:rPr>
                <w:rFonts w:cs="Arial"/>
                <w:sz w:val="16"/>
                <w:szCs w:val="16"/>
              </w:rPr>
              <w:t>Niveau de sa</w:t>
            </w:r>
            <w:r w:rsidR="000274B9" w:rsidRPr="00A32AF4">
              <w:rPr>
                <w:rFonts w:cs="Arial"/>
                <w:sz w:val="16"/>
                <w:szCs w:val="16"/>
              </w:rPr>
              <w:t>tisfaction des participants du p</w:t>
            </w:r>
            <w:r w:rsidRPr="00A32AF4">
              <w:rPr>
                <w:rFonts w:cs="Arial"/>
                <w:sz w:val="16"/>
                <w:szCs w:val="16"/>
              </w:rPr>
              <w:t>rogramme d</w:t>
            </w:r>
            <w:r w:rsidR="00E2055A" w:rsidRPr="00A32AF4">
              <w:rPr>
                <w:rFonts w:cs="Arial"/>
                <w:sz w:val="16"/>
                <w:szCs w:val="16"/>
              </w:rPr>
              <w:t>’</w:t>
            </w:r>
            <w:r w:rsidRPr="00A32AF4">
              <w:rPr>
                <w:rFonts w:cs="Arial"/>
                <w:sz w:val="16"/>
                <w:szCs w:val="16"/>
              </w:rPr>
              <w:t>aide aux inventeurs</w:t>
            </w:r>
          </w:p>
        </w:tc>
        <w:tc>
          <w:tcPr>
            <w:tcW w:w="2551" w:type="dxa"/>
            <w:tcBorders>
              <w:top w:val="nil"/>
              <w:left w:val="nil"/>
              <w:bottom w:val="nil"/>
              <w:right w:val="nil"/>
            </w:tcBorders>
            <w:shd w:val="clear" w:color="000000" w:fill="FFFFFF"/>
            <w:tcMar>
              <w:top w:w="113" w:type="dxa"/>
              <w:bottom w:w="113" w:type="dxa"/>
            </w:tcMar>
            <w:hideMark/>
          </w:tcPr>
          <w:p w:rsidR="006B4680" w:rsidRPr="00A32AF4" w:rsidRDefault="006B4680" w:rsidP="00DC0553">
            <w:pPr>
              <w:rPr>
                <w:rFonts w:cs="Arial"/>
                <w:sz w:val="16"/>
                <w:szCs w:val="16"/>
              </w:rPr>
            </w:pPr>
            <w:r w:rsidRPr="00A32AF4">
              <w:rPr>
                <w:rFonts w:cs="Arial"/>
                <w:sz w:val="16"/>
                <w:szCs w:val="16"/>
              </w:rPr>
              <w:t>n.d.</w:t>
            </w:r>
          </w:p>
        </w:tc>
        <w:tc>
          <w:tcPr>
            <w:tcW w:w="1701" w:type="dxa"/>
            <w:tcBorders>
              <w:top w:val="nil"/>
              <w:left w:val="nil"/>
              <w:bottom w:val="nil"/>
              <w:right w:val="single" w:sz="4" w:space="0" w:color="auto"/>
            </w:tcBorders>
            <w:shd w:val="clear" w:color="000000" w:fill="FFFFFF"/>
            <w:tcMar>
              <w:top w:w="113" w:type="dxa"/>
              <w:bottom w:w="113" w:type="dxa"/>
            </w:tcMar>
            <w:hideMark/>
          </w:tcPr>
          <w:p w:rsidR="006B4680" w:rsidRPr="00A32AF4" w:rsidRDefault="006B4680" w:rsidP="00DC0553">
            <w:pPr>
              <w:rPr>
                <w:rFonts w:cs="Arial"/>
                <w:sz w:val="16"/>
                <w:szCs w:val="16"/>
              </w:rPr>
            </w:pPr>
            <w:r w:rsidRPr="00A32AF4">
              <w:rPr>
                <w:rFonts w:cs="Arial"/>
                <w:sz w:val="16"/>
                <w:szCs w:val="16"/>
              </w:rPr>
              <w:t>90%</w:t>
            </w:r>
          </w:p>
        </w:tc>
      </w:tr>
      <w:tr w:rsidR="006B4680" w:rsidRPr="00A32AF4" w:rsidTr="006B4680">
        <w:tc>
          <w:tcPr>
            <w:tcW w:w="2000" w:type="dxa"/>
            <w:vMerge w:val="restart"/>
            <w:tcBorders>
              <w:top w:val="nil"/>
              <w:left w:val="single" w:sz="4" w:space="0" w:color="auto"/>
              <w:bottom w:val="nil"/>
              <w:right w:val="nil"/>
            </w:tcBorders>
            <w:shd w:val="clear" w:color="000000" w:fill="FFFFFF"/>
            <w:tcMar>
              <w:top w:w="113" w:type="dxa"/>
              <w:bottom w:w="113" w:type="dxa"/>
            </w:tcMar>
            <w:hideMark/>
          </w:tcPr>
          <w:p w:rsidR="006B4680" w:rsidRPr="00A32AF4" w:rsidRDefault="006B4680" w:rsidP="00DC0553">
            <w:pPr>
              <w:rPr>
                <w:rFonts w:cs="Arial"/>
                <w:sz w:val="16"/>
                <w:szCs w:val="16"/>
              </w:rPr>
            </w:pPr>
            <w:r w:rsidRPr="00A32AF4">
              <w:rPr>
                <w:rFonts w:cs="Arial"/>
                <w:sz w:val="16"/>
                <w:szCs w:val="16"/>
              </w:rPr>
              <w:t>I.2 Cadres législatifs, réglementaires et politiques de propriété intellectuelle adaptés et équilibrés</w:t>
            </w:r>
          </w:p>
        </w:tc>
        <w:tc>
          <w:tcPr>
            <w:tcW w:w="2977" w:type="dxa"/>
            <w:tcBorders>
              <w:top w:val="nil"/>
              <w:left w:val="nil"/>
              <w:bottom w:val="nil"/>
              <w:right w:val="nil"/>
            </w:tcBorders>
            <w:shd w:val="clear" w:color="000000" w:fill="FFFFFF"/>
            <w:tcMar>
              <w:top w:w="113" w:type="dxa"/>
              <w:bottom w:w="113" w:type="dxa"/>
            </w:tcMar>
            <w:hideMark/>
          </w:tcPr>
          <w:p w:rsidR="006B4680" w:rsidRPr="00A32AF4" w:rsidRDefault="006B4680" w:rsidP="00DC0553">
            <w:pPr>
              <w:rPr>
                <w:rFonts w:cs="Arial"/>
                <w:sz w:val="16"/>
                <w:szCs w:val="16"/>
              </w:rPr>
            </w:pPr>
            <w:r w:rsidRPr="00A32AF4">
              <w:rPr>
                <w:rFonts w:cs="Arial"/>
                <w:sz w:val="16"/>
                <w:szCs w:val="16"/>
              </w:rPr>
              <w:t>Pourcentage de bénéficiaires ayant trouvé utiles les informations fournies concernant les principes et les pratiques juridiques des systèmes des brevets, des modèles d</w:t>
            </w:r>
            <w:r w:rsidR="00E2055A" w:rsidRPr="00A32AF4">
              <w:rPr>
                <w:rFonts w:cs="Arial"/>
                <w:sz w:val="16"/>
                <w:szCs w:val="16"/>
              </w:rPr>
              <w:t>’</w:t>
            </w:r>
            <w:r w:rsidRPr="00A32AF4">
              <w:rPr>
                <w:rFonts w:cs="Arial"/>
                <w:sz w:val="16"/>
                <w:szCs w:val="16"/>
              </w:rPr>
              <w:t xml:space="preserve">utilité et des circuits intégrés, </w:t>
            </w:r>
            <w:r w:rsidR="00E2055A" w:rsidRPr="00A32AF4">
              <w:rPr>
                <w:rFonts w:cs="Arial"/>
                <w:sz w:val="16"/>
                <w:szCs w:val="16"/>
              </w:rPr>
              <w:t>y compris</w:t>
            </w:r>
            <w:r w:rsidRPr="00A32AF4">
              <w:rPr>
                <w:rFonts w:cs="Arial"/>
                <w:sz w:val="16"/>
                <w:szCs w:val="16"/>
              </w:rPr>
              <w:t xml:space="preserve"> les éléments de flexibilité</w:t>
            </w:r>
          </w:p>
        </w:tc>
        <w:tc>
          <w:tcPr>
            <w:tcW w:w="2551" w:type="dxa"/>
            <w:tcBorders>
              <w:top w:val="nil"/>
              <w:left w:val="nil"/>
              <w:bottom w:val="nil"/>
              <w:right w:val="nil"/>
            </w:tcBorders>
            <w:shd w:val="clear" w:color="000000" w:fill="FFFFFF"/>
            <w:tcMar>
              <w:top w:w="113" w:type="dxa"/>
              <w:bottom w:w="113" w:type="dxa"/>
            </w:tcMar>
            <w:hideMark/>
          </w:tcPr>
          <w:p w:rsidR="006B4680" w:rsidRPr="00A32AF4" w:rsidRDefault="006B4680" w:rsidP="00DC0553">
            <w:pPr>
              <w:rPr>
                <w:rFonts w:cs="Arial"/>
                <w:sz w:val="16"/>
                <w:szCs w:val="16"/>
              </w:rPr>
            </w:pPr>
            <w:r w:rsidRPr="00A32AF4">
              <w:rPr>
                <w:rFonts w:cs="Arial"/>
                <w:sz w:val="16"/>
                <w:szCs w:val="16"/>
              </w:rPr>
              <w:t xml:space="preserve">7 pays/participants (85,7%) – </w:t>
            </w:r>
            <w:proofErr w:type="gramStart"/>
            <w:r w:rsidRPr="00A32AF4">
              <w:rPr>
                <w:rFonts w:cs="Arial"/>
                <w:sz w:val="16"/>
                <w:szCs w:val="16"/>
              </w:rPr>
              <w:t>enquête</w:t>
            </w:r>
            <w:proofErr w:type="gramEnd"/>
            <w:r w:rsidRPr="00A32AF4">
              <w:rPr>
                <w:rFonts w:cs="Arial"/>
                <w:sz w:val="16"/>
                <w:szCs w:val="16"/>
              </w:rPr>
              <w:t xml:space="preserve"> de 2014</w:t>
            </w:r>
          </w:p>
        </w:tc>
        <w:tc>
          <w:tcPr>
            <w:tcW w:w="1701" w:type="dxa"/>
            <w:tcBorders>
              <w:top w:val="nil"/>
              <w:left w:val="nil"/>
              <w:bottom w:val="nil"/>
              <w:right w:val="single" w:sz="4" w:space="0" w:color="auto"/>
            </w:tcBorders>
            <w:shd w:val="clear" w:color="000000" w:fill="FFFFFF"/>
            <w:tcMar>
              <w:top w:w="113" w:type="dxa"/>
              <w:bottom w:w="113" w:type="dxa"/>
            </w:tcMar>
            <w:hideMark/>
          </w:tcPr>
          <w:p w:rsidR="006B4680" w:rsidRPr="00A32AF4" w:rsidRDefault="006B4680" w:rsidP="00DC0553">
            <w:pPr>
              <w:rPr>
                <w:rFonts w:cs="Arial"/>
                <w:sz w:val="16"/>
                <w:szCs w:val="16"/>
              </w:rPr>
            </w:pPr>
            <w:r w:rsidRPr="00A32AF4">
              <w:rPr>
                <w:rFonts w:cs="Arial"/>
                <w:sz w:val="16"/>
                <w:szCs w:val="16"/>
              </w:rPr>
              <w:t>90%</w:t>
            </w:r>
          </w:p>
        </w:tc>
      </w:tr>
      <w:tr w:rsidR="006B4680" w:rsidRPr="00A32AF4" w:rsidTr="006B4680">
        <w:tc>
          <w:tcPr>
            <w:tcW w:w="2000" w:type="dxa"/>
            <w:vMerge/>
            <w:tcBorders>
              <w:top w:val="nil"/>
              <w:left w:val="single" w:sz="4" w:space="0" w:color="auto"/>
              <w:bottom w:val="nil"/>
              <w:right w:val="nil"/>
            </w:tcBorders>
            <w:tcMar>
              <w:top w:w="113" w:type="dxa"/>
              <w:bottom w:w="113" w:type="dxa"/>
            </w:tcMar>
            <w:vAlign w:val="center"/>
            <w:hideMark/>
          </w:tcPr>
          <w:p w:rsidR="006B4680" w:rsidRPr="00A32AF4" w:rsidRDefault="006B4680" w:rsidP="00DC0553">
            <w:pPr>
              <w:rPr>
                <w:rFonts w:cs="Arial"/>
                <w:sz w:val="16"/>
                <w:szCs w:val="16"/>
              </w:rPr>
            </w:pPr>
          </w:p>
        </w:tc>
        <w:tc>
          <w:tcPr>
            <w:tcW w:w="2977" w:type="dxa"/>
            <w:tcBorders>
              <w:top w:val="nil"/>
              <w:left w:val="nil"/>
              <w:bottom w:val="nil"/>
              <w:right w:val="nil"/>
            </w:tcBorders>
            <w:shd w:val="clear" w:color="000000" w:fill="FFFFFF"/>
            <w:tcMar>
              <w:top w:w="113" w:type="dxa"/>
              <w:bottom w:w="113" w:type="dxa"/>
            </w:tcMar>
            <w:hideMark/>
          </w:tcPr>
          <w:p w:rsidR="006B4680" w:rsidRPr="00A32AF4" w:rsidRDefault="006B4680" w:rsidP="00DC0553">
            <w:pPr>
              <w:rPr>
                <w:rFonts w:cs="Arial"/>
                <w:sz w:val="16"/>
                <w:szCs w:val="16"/>
              </w:rPr>
            </w:pPr>
            <w:r w:rsidRPr="00A32AF4">
              <w:rPr>
                <w:rFonts w:cs="Arial"/>
                <w:sz w:val="16"/>
                <w:szCs w:val="16"/>
              </w:rPr>
              <w:t>Nombre et pourcentage d</w:t>
            </w:r>
            <w:r w:rsidR="00E2055A" w:rsidRPr="00A32AF4">
              <w:rPr>
                <w:rFonts w:cs="Arial"/>
                <w:sz w:val="16"/>
                <w:szCs w:val="16"/>
              </w:rPr>
              <w:t>’</w:t>
            </w:r>
            <w:r w:rsidRPr="00A32AF4">
              <w:rPr>
                <w:rFonts w:cs="Arial"/>
                <w:sz w:val="16"/>
                <w:szCs w:val="16"/>
              </w:rPr>
              <w:t>États membres satisfaits des conseils juridiques et pratiques fournis</w:t>
            </w:r>
          </w:p>
        </w:tc>
        <w:tc>
          <w:tcPr>
            <w:tcW w:w="2551" w:type="dxa"/>
            <w:tcBorders>
              <w:top w:val="nil"/>
              <w:left w:val="nil"/>
              <w:bottom w:val="nil"/>
              <w:right w:val="nil"/>
            </w:tcBorders>
            <w:shd w:val="clear" w:color="000000" w:fill="FFFFFF"/>
            <w:tcMar>
              <w:top w:w="113" w:type="dxa"/>
              <w:bottom w:w="113" w:type="dxa"/>
            </w:tcMar>
            <w:hideMark/>
          </w:tcPr>
          <w:p w:rsidR="006B4680" w:rsidRPr="00A32AF4" w:rsidRDefault="006B4680" w:rsidP="00DC0553">
            <w:pPr>
              <w:rPr>
                <w:rFonts w:cs="Arial"/>
                <w:sz w:val="16"/>
                <w:szCs w:val="16"/>
              </w:rPr>
            </w:pPr>
            <w:r w:rsidRPr="00A32AF4">
              <w:rPr>
                <w:rFonts w:cs="Arial"/>
                <w:sz w:val="16"/>
                <w:szCs w:val="16"/>
              </w:rPr>
              <w:t xml:space="preserve">8 États membres (90%) – </w:t>
            </w:r>
            <w:proofErr w:type="gramStart"/>
            <w:r w:rsidRPr="00A32AF4">
              <w:rPr>
                <w:rFonts w:cs="Arial"/>
                <w:sz w:val="16"/>
                <w:szCs w:val="16"/>
              </w:rPr>
              <w:t>enquête</w:t>
            </w:r>
            <w:proofErr w:type="gramEnd"/>
            <w:r w:rsidRPr="00A32AF4">
              <w:rPr>
                <w:rFonts w:cs="Arial"/>
                <w:sz w:val="16"/>
                <w:szCs w:val="16"/>
              </w:rPr>
              <w:t xml:space="preserve"> de 2014</w:t>
            </w:r>
          </w:p>
        </w:tc>
        <w:tc>
          <w:tcPr>
            <w:tcW w:w="1701" w:type="dxa"/>
            <w:tcBorders>
              <w:top w:val="nil"/>
              <w:left w:val="nil"/>
              <w:bottom w:val="nil"/>
              <w:right w:val="single" w:sz="4" w:space="0" w:color="auto"/>
            </w:tcBorders>
            <w:shd w:val="clear" w:color="000000" w:fill="FFFFFF"/>
            <w:tcMar>
              <w:top w:w="113" w:type="dxa"/>
              <w:bottom w:w="113" w:type="dxa"/>
            </w:tcMar>
            <w:hideMark/>
          </w:tcPr>
          <w:p w:rsidR="006B4680" w:rsidRPr="00A32AF4" w:rsidRDefault="006B4680" w:rsidP="00DC0553">
            <w:pPr>
              <w:rPr>
                <w:rFonts w:cs="Arial"/>
                <w:sz w:val="16"/>
                <w:szCs w:val="16"/>
              </w:rPr>
            </w:pPr>
            <w:r w:rsidRPr="00A32AF4">
              <w:rPr>
                <w:rFonts w:cs="Arial"/>
                <w:sz w:val="16"/>
                <w:szCs w:val="16"/>
              </w:rPr>
              <w:t>90%</w:t>
            </w:r>
          </w:p>
        </w:tc>
      </w:tr>
      <w:tr w:rsidR="006B4680" w:rsidRPr="00A32AF4" w:rsidTr="006B4680">
        <w:tc>
          <w:tcPr>
            <w:tcW w:w="2000" w:type="dxa"/>
            <w:tcBorders>
              <w:top w:val="nil"/>
              <w:left w:val="single" w:sz="4" w:space="0" w:color="auto"/>
              <w:bottom w:val="single" w:sz="4" w:space="0" w:color="auto"/>
              <w:right w:val="nil"/>
            </w:tcBorders>
            <w:shd w:val="clear" w:color="000000" w:fill="FFFFFF"/>
            <w:tcMar>
              <w:top w:w="113" w:type="dxa"/>
              <w:bottom w:w="113" w:type="dxa"/>
            </w:tcMar>
            <w:hideMark/>
          </w:tcPr>
          <w:p w:rsidR="006B4680" w:rsidRPr="00A32AF4" w:rsidRDefault="006B4680" w:rsidP="00DC0553">
            <w:pPr>
              <w:rPr>
                <w:rFonts w:cs="Arial"/>
                <w:sz w:val="16"/>
                <w:szCs w:val="16"/>
              </w:rPr>
            </w:pPr>
            <w:r w:rsidRPr="00A32AF4">
              <w:rPr>
                <w:rFonts w:cs="Arial"/>
                <w:sz w:val="16"/>
                <w:szCs w:val="16"/>
              </w:rPr>
              <w:t>I.4 Intérêt croissant pour l</w:t>
            </w:r>
            <w:r w:rsidR="00E2055A" w:rsidRPr="00A32AF4">
              <w:rPr>
                <w:rFonts w:cs="Arial"/>
                <w:sz w:val="16"/>
                <w:szCs w:val="16"/>
              </w:rPr>
              <w:t>’</w:t>
            </w:r>
            <w:r w:rsidRPr="00A32AF4">
              <w:rPr>
                <w:rFonts w:cs="Arial"/>
                <w:sz w:val="16"/>
                <w:szCs w:val="16"/>
              </w:rPr>
              <w:t>OMPI en tant qu</w:t>
            </w:r>
            <w:r w:rsidR="00E2055A" w:rsidRPr="00A32AF4">
              <w:rPr>
                <w:rFonts w:cs="Arial"/>
                <w:sz w:val="16"/>
                <w:szCs w:val="16"/>
              </w:rPr>
              <w:t>’</w:t>
            </w:r>
            <w:r w:rsidRPr="00A32AF4">
              <w:rPr>
                <w:rFonts w:cs="Arial"/>
                <w:sz w:val="16"/>
                <w:szCs w:val="16"/>
              </w:rPr>
              <w:t>instance d</w:t>
            </w:r>
            <w:r w:rsidR="00E2055A" w:rsidRPr="00A32AF4">
              <w:rPr>
                <w:rFonts w:cs="Arial"/>
                <w:sz w:val="16"/>
                <w:szCs w:val="16"/>
              </w:rPr>
              <w:t>’</w:t>
            </w:r>
            <w:r w:rsidRPr="00A32AF4">
              <w:rPr>
                <w:rFonts w:cs="Arial"/>
                <w:sz w:val="16"/>
                <w:szCs w:val="16"/>
              </w:rPr>
              <w:t xml:space="preserve">analyse des questions relatives à la protection internationale des </w:t>
            </w:r>
            <w:r w:rsidR="00B32801" w:rsidRPr="00A32AF4">
              <w:rPr>
                <w:rFonts w:cs="Arial"/>
                <w:sz w:val="16"/>
                <w:szCs w:val="16"/>
              </w:rPr>
              <w:t>brevets, modèles d</w:t>
            </w:r>
            <w:r w:rsidR="00E2055A" w:rsidRPr="00A32AF4">
              <w:rPr>
                <w:rFonts w:cs="Arial"/>
                <w:sz w:val="16"/>
                <w:szCs w:val="16"/>
              </w:rPr>
              <w:t>’</w:t>
            </w:r>
            <w:r w:rsidR="00B32801" w:rsidRPr="00A32AF4">
              <w:rPr>
                <w:rFonts w:cs="Arial"/>
                <w:sz w:val="16"/>
                <w:szCs w:val="16"/>
              </w:rPr>
              <w:t xml:space="preserve">utilité, schémas de configuration (topographies) de circuits intégrés et </w:t>
            </w:r>
            <w:r w:rsidRPr="00A32AF4">
              <w:rPr>
                <w:rFonts w:cs="Arial"/>
                <w:sz w:val="16"/>
                <w:szCs w:val="16"/>
              </w:rPr>
              <w:t>informations confidentielles</w:t>
            </w:r>
          </w:p>
        </w:tc>
        <w:tc>
          <w:tcPr>
            <w:tcW w:w="2977" w:type="dxa"/>
            <w:tcBorders>
              <w:top w:val="nil"/>
              <w:left w:val="nil"/>
              <w:bottom w:val="single" w:sz="4" w:space="0" w:color="auto"/>
              <w:right w:val="nil"/>
            </w:tcBorders>
            <w:shd w:val="clear" w:color="000000" w:fill="FFFFFF"/>
            <w:tcMar>
              <w:top w:w="113" w:type="dxa"/>
              <w:bottom w:w="113" w:type="dxa"/>
            </w:tcMar>
            <w:hideMark/>
          </w:tcPr>
          <w:p w:rsidR="006B4680" w:rsidRPr="00A32AF4" w:rsidRDefault="006B4680" w:rsidP="00DC0553">
            <w:pPr>
              <w:rPr>
                <w:rFonts w:cs="Arial"/>
                <w:sz w:val="16"/>
                <w:szCs w:val="16"/>
              </w:rPr>
            </w:pPr>
            <w:r w:rsidRPr="00A32AF4">
              <w:rPr>
                <w:rFonts w:cs="Arial"/>
                <w:sz w:val="16"/>
                <w:szCs w:val="16"/>
              </w:rPr>
              <w:t xml:space="preserve">Pourcentage de bénéficiaires ayant trouvé utiles les informations fournies concernant les principes et les pratiques juridiques relatifs à la protection des </w:t>
            </w:r>
            <w:r w:rsidR="00B32801" w:rsidRPr="00A32AF4">
              <w:rPr>
                <w:rFonts w:cs="Arial"/>
                <w:sz w:val="16"/>
                <w:szCs w:val="16"/>
              </w:rPr>
              <w:t>brevets, modèles d</w:t>
            </w:r>
            <w:r w:rsidR="00E2055A" w:rsidRPr="00A32AF4">
              <w:rPr>
                <w:rFonts w:cs="Arial"/>
                <w:sz w:val="16"/>
                <w:szCs w:val="16"/>
              </w:rPr>
              <w:t>’</w:t>
            </w:r>
            <w:r w:rsidR="00B32801" w:rsidRPr="00A32AF4">
              <w:rPr>
                <w:rFonts w:cs="Arial"/>
                <w:sz w:val="16"/>
                <w:szCs w:val="16"/>
              </w:rPr>
              <w:t xml:space="preserve">utilité, schémas de configuration (topographies) de circuits intégrés et </w:t>
            </w:r>
            <w:r w:rsidRPr="00A32AF4">
              <w:rPr>
                <w:rFonts w:cs="Arial"/>
                <w:sz w:val="16"/>
                <w:szCs w:val="16"/>
              </w:rPr>
              <w:t>renseignements confidentiels</w:t>
            </w:r>
          </w:p>
        </w:tc>
        <w:tc>
          <w:tcPr>
            <w:tcW w:w="2551" w:type="dxa"/>
            <w:tcBorders>
              <w:top w:val="nil"/>
              <w:left w:val="nil"/>
              <w:bottom w:val="single" w:sz="4" w:space="0" w:color="auto"/>
              <w:right w:val="nil"/>
            </w:tcBorders>
            <w:shd w:val="clear" w:color="000000" w:fill="FFFFFF"/>
            <w:tcMar>
              <w:top w:w="113" w:type="dxa"/>
              <w:bottom w:w="113" w:type="dxa"/>
            </w:tcMar>
            <w:hideMark/>
          </w:tcPr>
          <w:p w:rsidR="006B4680" w:rsidRPr="00A32AF4" w:rsidRDefault="006B4680" w:rsidP="00DC0553">
            <w:pPr>
              <w:rPr>
                <w:rFonts w:cs="Arial"/>
                <w:sz w:val="16"/>
                <w:szCs w:val="16"/>
              </w:rPr>
            </w:pPr>
            <w:r w:rsidRPr="00A32AF4">
              <w:rPr>
                <w:rFonts w:cs="Arial"/>
                <w:sz w:val="16"/>
                <w:szCs w:val="16"/>
              </w:rPr>
              <w:t>n.d.</w:t>
            </w:r>
          </w:p>
        </w:tc>
        <w:tc>
          <w:tcPr>
            <w:tcW w:w="1701" w:type="dxa"/>
            <w:tcBorders>
              <w:top w:val="nil"/>
              <w:left w:val="nil"/>
              <w:bottom w:val="single" w:sz="4" w:space="0" w:color="auto"/>
              <w:right w:val="single" w:sz="4" w:space="0" w:color="auto"/>
            </w:tcBorders>
            <w:shd w:val="clear" w:color="000000" w:fill="FFFFFF"/>
            <w:tcMar>
              <w:top w:w="113" w:type="dxa"/>
              <w:bottom w:w="113" w:type="dxa"/>
            </w:tcMar>
            <w:hideMark/>
          </w:tcPr>
          <w:p w:rsidR="006B4680" w:rsidRPr="00A32AF4" w:rsidRDefault="006B4680" w:rsidP="00DC0553">
            <w:pPr>
              <w:rPr>
                <w:rFonts w:cs="Arial"/>
                <w:sz w:val="16"/>
                <w:szCs w:val="16"/>
              </w:rPr>
            </w:pPr>
            <w:r w:rsidRPr="00A32AF4">
              <w:rPr>
                <w:rFonts w:cs="Arial"/>
                <w:sz w:val="16"/>
                <w:szCs w:val="16"/>
              </w:rPr>
              <w:t>90%</w:t>
            </w:r>
          </w:p>
        </w:tc>
      </w:tr>
    </w:tbl>
    <w:p w:rsidR="00F93B76" w:rsidRPr="00A32AF4" w:rsidRDefault="00F93B76" w:rsidP="00DC0553">
      <w:pPr>
        <w:autoSpaceDE w:val="0"/>
        <w:autoSpaceDN w:val="0"/>
        <w:rPr>
          <w:rFonts w:cs="Arial"/>
        </w:rPr>
      </w:pPr>
    </w:p>
    <w:p w:rsidR="00F93B76" w:rsidRPr="00A32AF4" w:rsidRDefault="00F93B76" w:rsidP="00DC0553">
      <w:pPr>
        <w:autoSpaceDE w:val="0"/>
        <w:autoSpaceDN w:val="0"/>
        <w:rPr>
          <w:rFonts w:cs="Arial"/>
        </w:rPr>
      </w:pPr>
    </w:p>
    <w:p w:rsidR="00623711" w:rsidRPr="00A32AF4" w:rsidRDefault="00623711">
      <w:pPr>
        <w:rPr>
          <w:caps/>
        </w:rPr>
      </w:pPr>
      <w:r w:rsidRPr="00A32AF4">
        <w:rPr>
          <w:caps/>
        </w:rPr>
        <w:br w:type="page"/>
      </w:r>
    </w:p>
    <w:p w:rsidR="00F93B76" w:rsidRPr="00A32AF4" w:rsidRDefault="00DC2AF7" w:rsidP="00DC0553">
      <w:pPr>
        <w:rPr>
          <w:caps/>
        </w:rPr>
      </w:pPr>
      <w:r w:rsidRPr="00A32AF4">
        <w:rPr>
          <w:caps/>
        </w:rPr>
        <w:t>RESSOURCES ALLOUÉES AU PROGRAMME</w:t>
      </w:r>
      <w:r w:rsidR="00DB1CFC" w:rsidRPr="00A32AF4">
        <w:rPr>
          <w:caps/>
        </w:rPr>
        <w:t xml:space="preserve"> 1</w:t>
      </w:r>
    </w:p>
    <w:p w:rsidR="00F93B76" w:rsidRPr="00A32AF4" w:rsidRDefault="00F93B76" w:rsidP="00DC0553"/>
    <w:p w:rsidR="00F93B76" w:rsidRPr="00A32AF4" w:rsidRDefault="009D068F" w:rsidP="00DC0553">
      <w:pPr>
        <w:numPr>
          <w:ilvl w:val="0"/>
          <w:numId w:val="4"/>
        </w:numPr>
        <w:jc w:val="both"/>
      </w:pPr>
      <w:proofErr w:type="gramStart"/>
      <w:r w:rsidRPr="00A32AF4">
        <w:t>La légère augmentation de</w:t>
      </w:r>
      <w:r w:rsidR="00A10FDA" w:rsidRPr="00A32AF4">
        <w:t>s</w:t>
      </w:r>
      <w:r w:rsidRPr="00A32AF4">
        <w:t xml:space="preserve"> </w:t>
      </w:r>
      <w:r w:rsidR="00A10FDA" w:rsidRPr="00A32AF4">
        <w:t>ressources</w:t>
      </w:r>
      <w:r w:rsidRPr="00A32AF4">
        <w:t xml:space="preserve"> globale</w:t>
      </w:r>
      <w:r w:rsidR="00A10FDA" w:rsidRPr="00A32AF4">
        <w:t>s</w:t>
      </w:r>
      <w:r w:rsidRPr="00A32AF4">
        <w:t xml:space="preserve"> allouée</w:t>
      </w:r>
      <w:r w:rsidR="00A10FDA" w:rsidRPr="00A32AF4">
        <w:t>s</w:t>
      </w:r>
      <w:r w:rsidR="00906594" w:rsidRPr="00A32AF4">
        <w:t xml:space="preserve"> au programme 1 en</w:t>
      </w:r>
      <w:r w:rsidR="00FD43E3" w:rsidRPr="00A32AF4">
        <w:t> </w:t>
      </w:r>
      <w:r w:rsidR="00906594" w:rsidRPr="00A32AF4">
        <w:t>2016</w:t>
      </w:r>
      <w:r w:rsidR="00EB7F54" w:rsidRPr="00A32AF4">
        <w:noBreakHyphen/>
      </w:r>
      <w:r w:rsidR="00906594" w:rsidRPr="00A32AF4">
        <w:t>2017 par rapport au budget 2014</w:t>
      </w:r>
      <w:r w:rsidR="00EB7F54" w:rsidRPr="00A32AF4">
        <w:noBreakHyphen/>
      </w:r>
      <w:r w:rsidRPr="00A32AF4">
        <w:t xml:space="preserve">2015 après virements découle i) du transfert des responsabilités en matière de rédaction des demandes de brevet depuis </w:t>
      </w:r>
      <w:r w:rsidR="00906594" w:rsidRPr="00A32AF4">
        <w:t>le programme </w:t>
      </w:r>
      <w:r w:rsidRPr="00A32AF4">
        <w:t>30 (Appui</w:t>
      </w:r>
      <w:r w:rsidR="00E2055A" w:rsidRPr="00A32AF4">
        <w:t xml:space="preserve"> aux PME</w:t>
      </w:r>
      <w:r w:rsidRPr="00A32AF4">
        <w:t xml:space="preserve"> et à la création d</w:t>
      </w:r>
      <w:r w:rsidR="00E2055A" w:rsidRPr="00A32AF4">
        <w:t>’</w:t>
      </w:r>
      <w:r w:rsidRPr="00A32AF4">
        <w:t>entreprises) et ii)</w:t>
      </w:r>
      <w:r w:rsidR="00FD43E3" w:rsidRPr="00A32AF4">
        <w:t> </w:t>
      </w:r>
      <w:r w:rsidRPr="00A32AF4">
        <w:t xml:space="preserve">des activités liées au traitement des questions relatives à la protection des </w:t>
      </w:r>
      <w:r w:rsidR="00F962FC" w:rsidRPr="00A32AF4">
        <w:t>brevets, modèles d</w:t>
      </w:r>
      <w:r w:rsidR="00E2055A" w:rsidRPr="00A32AF4">
        <w:t>’</w:t>
      </w:r>
      <w:r w:rsidR="00F962FC" w:rsidRPr="00A32AF4">
        <w:t xml:space="preserve">utilité, schémas de configuration (topographies) de circuits intégrés et </w:t>
      </w:r>
      <w:r w:rsidRPr="00A32AF4">
        <w:t>informations confidentielles dans le contexte de la promotion de l</w:t>
      </w:r>
      <w:r w:rsidR="00E2055A" w:rsidRPr="00A32AF4">
        <w:t>’</w:t>
      </w:r>
      <w:r w:rsidRPr="00A32AF4">
        <w:t>innovation et de la diffusion de la technologie.</w:t>
      </w:r>
      <w:proofErr w:type="gramEnd"/>
    </w:p>
    <w:p w:rsidR="00F93B76" w:rsidRPr="00A32AF4" w:rsidRDefault="00F93B76" w:rsidP="00DC0553">
      <w:pPr>
        <w:autoSpaceDE w:val="0"/>
        <w:autoSpaceDN w:val="0"/>
        <w:rPr>
          <w:rFonts w:cs="Arial"/>
        </w:rPr>
      </w:pPr>
    </w:p>
    <w:p w:rsidR="00F93B76" w:rsidRPr="00A32AF4" w:rsidRDefault="00F93B76" w:rsidP="00DC0553">
      <w:pPr>
        <w:autoSpaceDE w:val="0"/>
        <w:autoSpaceDN w:val="0"/>
        <w:rPr>
          <w:rFonts w:cs="Arial"/>
        </w:rPr>
      </w:pPr>
    </w:p>
    <w:p w:rsidR="00F93B76" w:rsidRPr="00A32AF4" w:rsidRDefault="00DE0EB8" w:rsidP="00DC0553">
      <w:pPr>
        <w:keepNext/>
        <w:keepLines/>
        <w:autoSpaceDE w:val="0"/>
        <w:autoSpaceDN w:val="0"/>
        <w:jc w:val="center"/>
        <w:rPr>
          <w:rFonts w:cs="Arial"/>
          <w:b/>
        </w:rPr>
      </w:pPr>
      <w:r w:rsidRPr="00A32AF4">
        <w:rPr>
          <w:rFonts w:cs="Arial"/>
          <w:b/>
        </w:rPr>
        <w:t>Programme 1 : ressources par résultat</w:t>
      </w:r>
    </w:p>
    <w:p w:rsidR="00F93B76" w:rsidRPr="00A32AF4" w:rsidRDefault="00E64CB4" w:rsidP="00DC0553">
      <w:pPr>
        <w:keepNext/>
        <w:keepLines/>
        <w:autoSpaceDE w:val="0"/>
        <w:autoSpaceDN w:val="0"/>
        <w:jc w:val="center"/>
        <w:rPr>
          <w:rFonts w:cs="Arial"/>
          <w:i/>
        </w:rPr>
      </w:pPr>
      <w:r w:rsidRPr="00A32AF4">
        <w:rPr>
          <w:rFonts w:cs="Arial"/>
          <w:i/>
        </w:rPr>
        <w:t>(</w:t>
      </w:r>
      <w:proofErr w:type="gramStart"/>
      <w:r w:rsidRPr="00A32AF4">
        <w:rPr>
          <w:rFonts w:cs="Arial"/>
          <w:i/>
        </w:rPr>
        <w:t>en</w:t>
      </w:r>
      <w:proofErr w:type="gramEnd"/>
      <w:r w:rsidRPr="00A32AF4">
        <w:rPr>
          <w:rFonts w:cs="Arial"/>
          <w:i/>
        </w:rPr>
        <w:t xml:space="preserve"> milliers de francs suisses)</w:t>
      </w:r>
    </w:p>
    <w:p w:rsidR="00DE0EB8" w:rsidRPr="00A32AF4" w:rsidRDefault="00DE0EB8" w:rsidP="00DC0553">
      <w:pPr>
        <w:keepNext/>
        <w:keepLines/>
        <w:autoSpaceDE w:val="0"/>
        <w:autoSpaceDN w:val="0"/>
        <w:rPr>
          <w:rFonts w:cs="Arial"/>
        </w:rPr>
      </w:pPr>
    </w:p>
    <w:tbl>
      <w:tblPr>
        <w:tblW w:w="8980" w:type="dxa"/>
        <w:tblInd w:w="55" w:type="dxa"/>
        <w:tblCellMar>
          <w:left w:w="70" w:type="dxa"/>
          <w:right w:w="70" w:type="dxa"/>
        </w:tblCellMar>
        <w:tblLook w:val="04A0" w:firstRow="1" w:lastRow="0" w:firstColumn="1" w:lastColumn="0" w:noHBand="0" w:noVBand="1"/>
      </w:tblPr>
      <w:tblGrid>
        <w:gridCol w:w="577"/>
        <w:gridCol w:w="4443"/>
        <w:gridCol w:w="1260"/>
        <w:gridCol w:w="1440"/>
        <w:gridCol w:w="1260"/>
      </w:tblGrid>
      <w:tr w:rsidR="006D7D6D" w:rsidRPr="00A32AF4" w:rsidTr="006D7D6D">
        <w:tc>
          <w:tcPr>
            <w:tcW w:w="5020" w:type="dxa"/>
            <w:gridSpan w:val="2"/>
            <w:tcBorders>
              <w:top w:val="single" w:sz="4" w:space="0" w:color="auto"/>
              <w:left w:val="single" w:sz="4" w:space="0" w:color="auto"/>
              <w:bottom w:val="single" w:sz="4" w:space="0" w:color="auto"/>
              <w:right w:val="single" w:sz="4" w:space="0" w:color="000000"/>
            </w:tcBorders>
            <w:shd w:val="clear" w:color="000000" w:fill="C5D9F1"/>
            <w:noWrap/>
            <w:tcMar>
              <w:top w:w="113" w:type="dxa"/>
              <w:bottom w:w="113" w:type="dxa"/>
            </w:tcMar>
            <w:vAlign w:val="center"/>
            <w:hideMark/>
          </w:tcPr>
          <w:p w:rsidR="006D7D6D" w:rsidRPr="00A32AF4" w:rsidRDefault="006D7D6D" w:rsidP="00DC0553">
            <w:pPr>
              <w:keepNext/>
              <w:jc w:val="center"/>
              <w:rPr>
                <w:rFonts w:cs="Arial"/>
                <w:i/>
                <w:iCs/>
                <w:sz w:val="16"/>
                <w:szCs w:val="16"/>
                <w:lang w:eastAsia="fr-FR"/>
              </w:rPr>
            </w:pPr>
            <w:r w:rsidRPr="00A32AF4">
              <w:rPr>
                <w:rFonts w:cs="Arial"/>
                <w:i/>
                <w:iCs/>
                <w:sz w:val="16"/>
                <w:szCs w:val="16"/>
                <w:lang w:eastAsia="fr-FR"/>
              </w:rPr>
              <w:t xml:space="preserve">Numéro et description du résultat escompté </w:t>
            </w:r>
          </w:p>
        </w:tc>
        <w:tc>
          <w:tcPr>
            <w:tcW w:w="126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6D7D6D" w:rsidRPr="00A32AF4" w:rsidRDefault="006D7D6D" w:rsidP="00DC0553">
            <w:pPr>
              <w:keepNext/>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2014</w:t>
            </w:r>
            <w:r w:rsidR="00EB7F54" w:rsidRPr="00A32AF4">
              <w:rPr>
                <w:rFonts w:cs="Arial"/>
                <w:i/>
                <w:iCs/>
                <w:sz w:val="16"/>
                <w:szCs w:val="16"/>
                <w:lang w:eastAsia="fr-FR"/>
              </w:rPr>
              <w:noBreakHyphen/>
            </w:r>
            <w:r w:rsidRPr="00A32AF4">
              <w:rPr>
                <w:rFonts w:cs="Arial"/>
                <w:i/>
                <w:iCs/>
                <w:sz w:val="16"/>
                <w:szCs w:val="16"/>
                <w:lang w:eastAsia="fr-FR"/>
              </w:rPr>
              <w:t>2015 approuvé</w:t>
            </w:r>
          </w:p>
        </w:tc>
        <w:tc>
          <w:tcPr>
            <w:tcW w:w="144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6D7D6D" w:rsidRPr="00A32AF4" w:rsidRDefault="006D7D6D" w:rsidP="00DC0553">
            <w:pPr>
              <w:keepNext/>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2014</w:t>
            </w:r>
            <w:r w:rsidR="00EB7F54" w:rsidRPr="00A32AF4">
              <w:rPr>
                <w:rFonts w:cs="Arial"/>
                <w:i/>
                <w:iCs/>
                <w:sz w:val="16"/>
                <w:szCs w:val="16"/>
                <w:lang w:eastAsia="fr-FR"/>
              </w:rPr>
              <w:noBreakHyphen/>
            </w:r>
            <w:r w:rsidRPr="00A32AF4">
              <w:rPr>
                <w:rFonts w:cs="Arial"/>
                <w:i/>
                <w:iCs/>
                <w:sz w:val="16"/>
                <w:szCs w:val="16"/>
                <w:lang w:eastAsia="fr-FR"/>
              </w:rPr>
              <w:t>2015 après virements</w:t>
            </w:r>
          </w:p>
        </w:tc>
        <w:tc>
          <w:tcPr>
            <w:tcW w:w="126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6D7D6D" w:rsidRPr="00A32AF4" w:rsidRDefault="006D7D6D" w:rsidP="00DC0553">
            <w:pPr>
              <w:keepNext/>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2016</w:t>
            </w:r>
            <w:r w:rsidR="00EB7F54" w:rsidRPr="00A32AF4">
              <w:rPr>
                <w:rFonts w:cs="Arial"/>
                <w:i/>
                <w:iCs/>
                <w:sz w:val="16"/>
                <w:szCs w:val="16"/>
                <w:lang w:eastAsia="fr-FR"/>
              </w:rPr>
              <w:noBreakHyphen/>
            </w:r>
            <w:r w:rsidRPr="00A32AF4">
              <w:rPr>
                <w:rFonts w:cs="Arial"/>
                <w:i/>
                <w:iCs/>
                <w:sz w:val="16"/>
                <w:szCs w:val="16"/>
                <w:lang w:eastAsia="fr-FR"/>
              </w:rPr>
              <w:t>2017 proposé</w:t>
            </w:r>
          </w:p>
        </w:tc>
      </w:tr>
      <w:tr w:rsidR="006D7D6D" w:rsidRPr="00A32AF4" w:rsidTr="006D7D6D">
        <w:tc>
          <w:tcPr>
            <w:tcW w:w="577" w:type="dxa"/>
            <w:tcBorders>
              <w:top w:val="single" w:sz="4" w:space="0" w:color="auto"/>
              <w:left w:val="single" w:sz="4" w:space="0" w:color="auto"/>
            </w:tcBorders>
            <w:shd w:val="clear" w:color="auto" w:fill="auto"/>
            <w:noWrap/>
            <w:tcMar>
              <w:top w:w="113" w:type="dxa"/>
              <w:bottom w:w="113" w:type="dxa"/>
            </w:tcMar>
            <w:vAlign w:val="center"/>
            <w:hideMark/>
          </w:tcPr>
          <w:p w:rsidR="006D7D6D" w:rsidRPr="00A32AF4" w:rsidRDefault="006D7D6D" w:rsidP="00DC0553">
            <w:pPr>
              <w:rPr>
                <w:rFonts w:cs="Arial"/>
                <w:sz w:val="16"/>
                <w:szCs w:val="16"/>
                <w:lang w:eastAsia="fr-FR"/>
              </w:rPr>
            </w:pPr>
            <w:r w:rsidRPr="00A32AF4">
              <w:rPr>
                <w:rFonts w:cs="Arial"/>
                <w:sz w:val="16"/>
                <w:szCs w:val="16"/>
                <w:lang w:eastAsia="fr-FR"/>
              </w:rPr>
              <w:t>I.1</w:t>
            </w:r>
          </w:p>
        </w:tc>
        <w:tc>
          <w:tcPr>
            <w:tcW w:w="4443" w:type="dxa"/>
            <w:tcBorders>
              <w:top w:val="single" w:sz="4" w:space="0" w:color="auto"/>
            </w:tcBorders>
            <w:shd w:val="clear" w:color="auto" w:fill="auto"/>
            <w:tcMar>
              <w:top w:w="113" w:type="dxa"/>
              <w:bottom w:w="113" w:type="dxa"/>
            </w:tcMar>
            <w:vAlign w:val="center"/>
            <w:hideMark/>
          </w:tcPr>
          <w:p w:rsidR="006D7D6D" w:rsidRPr="00A32AF4" w:rsidRDefault="006D7D6D" w:rsidP="00DC0553">
            <w:pPr>
              <w:rPr>
                <w:rFonts w:cs="Arial"/>
                <w:sz w:val="16"/>
                <w:szCs w:val="16"/>
                <w:lang w:eastAsia="fr-FR"/>
              </w:rPr>
            </w:pPr>
            <w:r w:rsidRPr="00A32AF4">
              <w:rPr>
                <w:rFonts w:cs="Arial"/>
                <w:sz w:val="16"/>
                <w:szCs w:val="16"/>
                <w:lang w:eastAsia="fr-FR"/>
              </w:rPr>
              <w:t>Renforcement de la coopération entre les États membres en ce qui concerne l</w:t>
            </w:r>
            <w:r w:rsidR="00E2055A" w:rsidRPr="00A32AF4">
              <w:rPr>
                <w:rFonts w:cs="Arial"/>
                <w:sz w:val="16"/>
                <w:szCs w:val="16"/>
                <w:lang w:eastAsia="fr-FR"/>
              </w:rPr>
              <w:t>’</w:t>
            </w:r>
            <w:r w:rsidRPr="00A32AF4">
              <w:rPr>
                <w:rFonts w:cs="Arial"/>
                <w:sz w:val="16"/>
                <w:szCs w:val="16"/>
                <w:lang w:eastAsia="fr-FR"/>
              </w:rPr>
              <w:t>élaboration de cadres normatifs internationaux équilibrés dans le domaine de la propriété intellectuelle</w:t>
            </w:r>
          </w:p>
        </w:tc>
        <w:tc>
          <w:tcPr>
            <w:tcW w:w="1260" w:type="dxa"/>
            <w:tcBorders>
              <w:top w:val="single" w:sz="4" w:space="0" w:color="auto"/>
            </w:tcBorders>
            <w:shd w:val="clear" w:color="auto" w:fill="auto"/>
            <w:tcMar>
              <w:top w:w="113" w:type="dxa"/>
              <w:bottom w:w="113" w:type="dxa"/>
            </w:tcMar>
            <w:vAlign w:val="center"/>
            <w:hideMark/>
          </w:tcPr>
          <w:p w:rsidR="006D7D6D" w:rsidRPr="00A32AF4" w:rsidRDefault="006D7D6D" w:rsidP="00DC0553">
            <w:pPr>
              <w:jc w:val="right"/>
              <w:rPr>
                <w:rFonts w:cs="Arial"/>
                <w:sz w:val="16"/>
                <w:szCs w:val="16"/>
                <w:lang w:eastAsia="fr-FR"/>
              </w:rPr>
            </w:pPr>
            <w:r w:rsidRPr="00A32AF4">
              <w:rPr>
                <w:rFonts w:cs="Arial"/>
                <w:sz w:val="16"/>
                <w:szCs w:val="16"/>
                <w:lang w:eastAsia="fr-FR"/>
              </w:rPr>
              <w:t xml:space="preserve">2 285 </w:t>
            </w:r>
          </w:p>
        </w:tc>
        <w:tc>
          <w:tcPr>
            <w:tcW w:w="1440" w:type="dxa"/>
            <w:tcBorders>
              <w:top w:val="single" w:sz="4" w:space="0" w:color="auto"/>
            </w:tcBorders>
            <w:shd w:val="clear" w:color="auto" w:fill="auto"/>
            <w:tcMar>
              <w:top w:w="113" w:type="dxa"/>
              <w:bottom w:w="113" w:type="dxa"/>
            </w:tcMar>
            <w:vAlign w:val="center"/>
            <w:hideMark/>
          </w:tcPr>
          <w:p w:rsidR="006D7D6D" w:rsidRPr="00A32AF4" w:rsidRDefault="006D7D6D" w:rsidP="00DC0553">
            <w:pPr>
              <w:jc w:val="right"/>
              <w:rPr>
                <w:rFonts w:cs="Arial"/>
                <w:sz w:val="16"/>
                <w:szCs w:val="16"/>
                <w:lang w:eastAsia="fr-FR"/>
              </w:rPr>
            </w:pPr>
            <w:r w:rsidRPr="00A32AF4">
              <w:rPr>
                <w:rFonts w:cs="Arial"/>
                <w:sz w:val="16"/>
                <w:szCs w:val="16"/>
                <w:lang w:eastAsia="fr-FR"/>
              </w:rPr>
              <w:t xml:space="preserve">2 051 </w:t>
            </w:r>
          </w:p>
        </w:tc>
        <w:tc>
          <w:tcPr>
            <w:tcW w:w="1260" w:type="dxa"/>
            <w:tcBorders>
              <w:top w:val="single" w:sz="4" w:space="0" w:color="auto"/>
              <w:right w:val="single" w:sz="4" w:space="0" w:color="auto"/>
            </w:tcBorders>
            <w:shd w:val="clear" w:color="auto" w:fill="auto"/>
            <w:noWrap/>
            <w:tcMar>
              <w:top w:w="113" w:type="dxa"/>
              <w:bottom w:w="113" w:type="dxa"/>
            </w:tcMar>
            <w:vAlign w:val="center"/>
            <w:hideMark/>
          </w:tcPr>
          <w:p w:rsidR="006D7D6D" w:rsidRPr="00A32AF4" w:rsidRDefault="006D7D6D" w:rsidP="00DC0553">
            <w:pPr>
              <w:jc w:val="right"/>
              <w:rPr>
                <w:rFonts w:cs="Arial"/>
                <w:color w:val="000000"/>
                <w:sz w:val="16"/>
                <w:szCs w:val="16"/>
                <w:lang w:eastAsia="fr-FR"/>
              </w:rPr>
            </w:pPr>
            <w:r w:rsidRPr="00A32AF4">
              <w:rPr>
                <w:rFonts w:cs="Arial"/>
                <w:color w:val="000000"/>
                <w:sz w:val="16"/>
                <w:szCs w:val="16"/>
                <w:lang w:eastAsia="fr-FR"/>
              </w:rPr>
              <w:t xml:space="preserve">2 239 </w:t>
            </w:r>
          </w:p>
        </w:tc>
      </w:tr>
      <w:tr w:rsidR="006D7D6D" w:rsidRPr="00A32AF4" w:rsidTr="006D7D6D">
        <w:tc>
          <w:tcPr>
            <w:tcW w:w="577" w:type="dxa"/>
            <w:tcBorders>
              <w:left w:val="single" w:sz="4" w:space="0" w:color="auto"/>
            </w:tcBorders>
            <w:shd w:val="clear" w:color="auto" w:fill="auto"/>
            <w:noWrap/>
            <w:tcMar>
              <w:top w:w="113" w:type="dxa"/>
              <w:bottom w:w="113" w:type="dxa"/>
            </w:tcMar>
            <w:vAlign w:val="center"/>
            <w:hideMark/>
          </w:tcPr>
          <w:p w:rsidR="006D7D6D" w:rsidRPr="00A32AF4" w:rsidRDefault="006D7D6D" w:rsidP="00DC0553">
            <w:pPr>
              <w:rPr>
                <w:rFonts w:cs="Arial"/>
                <w:sz w:val="16"/>
                <w:szCs w:val="16"/>
                <w:lang w:eastAsia="fr-FR"/>
              </w:rPr>
            </w:pPr>
            <w:r w:rsidRPr="00A32AF4">
              <w:rPr>
                <w:rFonts w:cs="Arial"/>
                <w:sz w:val="16"/>
                <w:szCs w:val="16"/>
                <w:lang w:eastAsia="fr-FR"/>
              </w:rPr>
              <w:t>I.2</w:t>
            </w:r>
          </w:p>
        </w:tc>
        <w:tc>
          <w:tcPr>
            <w:tcW w:w="4443" w:type="dxa"/>
            <w:shd w:val="clear" w:color="auto" w:fill="auto"/>
            <w:tcMar>
              <w:top w:w="113" w:type="dxa"/>
              <w:bottom w:w="113" w:type="dxa"/>
            </w:tcMar>
            <w:vAlign w:val="center"/>
            <w:hideMark/>
          </w:tcPr>
          <w:p w:rsidR="006D7D6D" w:rsidRPr="00A32AF4" w:rsidRDefault="006D7D6D" w:rsidP="00DC0553">
            <w:pPr>
              <w:rPr>
                <w:rFonts w:cs="Arial"/>
                <w:sz w:val="16"/>
                <w:szCs w:val="16"/>
                <w:lang w:eastAsia="fr-FR"/>
              </w:rPr>
            </w:pPr>
            <w:r w:rsidRPr="00A32AF4">
              <w:rPr>
                <w:rFonts w:cs="Arial"/>
                <w:sz w:val="16"/>
                <w:szCs w:val="16"/>
                <w:lang w:eastAsia="fr-FR"/>
              </w:rPr>
              <w:t>Cadres législatifs, réglementaires et politiques de propriété intellectuelle adaptés et équilibrés</w:t>
            </w:r>
          </w:p>
        </w:tc>
        <w:tc>
          <w:tcPr>
            <w:tcW w:w="1260" w:type="dxa"/>
            <w:shd w:val="clear" w:color="auto" w:fill="auto"/>
            <w:tcMar>
              <w:top w:w="113" w:type="dxa"/>
              <w:bottom w:w="113" w:type="dxa"/>
            </w:tcMar>
            <w:vAlign w:val="center"/>
            <w:hideMark/>
          </w:tcPr>
          <w:p w:rsidR="006D7D6D" w:rsidRPr="00A32AF4" w:rsidRDefault="006D7D6D" w:rsidP="00DC0553">
            <w:pPr>
              <w:jc w:val="right"/>
              <w:rPr>
                <w:rFonts w:cs="Arial"/>
                <w:sz w:val="16"/>
                <w:szCs w:val="16"/>
                <w:lang w:eastAsia="fr-FR"/>
              </w:rPr>
            </w:pPr>
            <w:r w:rsidRPr="00A32AF4">
              <w:rPr>
                <w:rFonts w:cs="Arial"/>
                <w:sz w:val="16"/>
                <w:szCs w:val="16"/>
                <w:lang w:eastAsia="fr-FR"/>
              </w:rPr>
              <w:t xml:space="preserve">2 665 </w:t>
            </w:r>
          </w:p>
        </w:tc>
        <w:tc>
          <w:tcPr>
            <w:tcW w:w="1440" w:type="dxa"/>
            <w:shd w:val="clear" w:color="auto" w:fill="auto"/>
            <w:tcMar>
              <w:top w:w="113" w:type="dxa"/>
              <w:bottom w:w="113" w:type="dxa"/>
            </w:tcMar>
            <w:vAlign w:val="center"/>
            <w:hideMark/>
          </w:tcPr>
          <w:p w:rsidR="006D7D6D" w:rsidRPr="00A32AF4" w:rsidRDefault="006D7D6D" w:rsidP="00DC0553">
            <w:pPr>
              <w:jc w:val="right"/>
              <w:rPr>
                <w:rFonts w:cs="Arial"/>
                <w:sz w:val="16"/>
                <w:szCs w:val="16"/>
                <w:lang w:eastAsia="fr-FR"/>
              </w:rPr>
            </w:pPr>
            <w:r w:rsidRPr="00A32AF4">
              <w:rPr>
                <w:rFonts w:cs="Arial"/>
                <w:sz w:val="16"/>
                <w:szCs w:val="16"/>
                <w:lang w:eastAsia="fr-FR"/>
              </w:rPr>
              <w:t xml:space="preserve">3 104 </w:t>
            </w:r>
          </w:p>
        </w:tc>
        <w:tc>
          <w:tcPr>
            <w:tcW w:w="1260" w:type="dxa"/>
            <w:tcBorders>
              <w:right w:val="single" w:sz="4" w:space="0" w:color="auto"/>
            </w:tcBorders>
            <w:shd w:val="clear" w:color="auto" w:fill="auto"/>
            <w:noWrap/>
            <w:tcMar>
              <w:top w:w="113" w:type="dxa"/>
              <w:bottom w:w="113" w:type="dxa"/>
            </w:tcMar>
            <w:vAlign w:val="center"/>
            <w:hideMark/>
          </w:tcPr>
          <w:p w:rsidR="006D7D6D" w:rsidRPr="00A32AF4" w:rsidRDefault="006D7D6D" w:rsidP="00DC0553">
            <w:pPr>
              <w:jc w:val="right"/>
              <w:rPr>
                <w:rFonts w:cs="Arial"/>
                <w:color w:val="000000"/>
                <w:sz w:val="16"/>
                <w:szCs w:val="16"/>
                <w:lang w:eastAsia="fr-FR"/>
              </w:rPr>
            </w:pPr>
            <w:r w:rsidRPr="00A32AF4">
              <w:rPr>
                <w:rFonts w:cs="Arial"/>
                <w:color w:val="000000"/>
                <w:sz w:val="16"/>
                <w:szCs w:val="16"/>
                <w:lang w:eastAsia="fr-FR"/>
              </w:rPr>
              <w:t xml:space="preserve">2 559 </w:t>
            </w:r>
          </w:p>
        </w:tc>
      </w:tr>
      <w:tr w:rsidR="006D7D6D" w:rsidRPr="00A32AF4" w:rsidTr="006D7D6D">
        <w:tc>
          <w:tcPr>
            <w:tcW w:w="577" w:type="dxa"/>
            <w:tcBorders>
              <w:left w:val="single" w:sz="4" w:space="0" w:color="auto"/>
              <w:bottom w:val="single" w:sz="4" w:space="0" w:color="auto"/>
            </w:tcBorders>
            <w:shd w:val="clear" w:color="auto" w:fill="auto"/>
            <w:noWrap/>
            <w:tcMar>
              <w:top w:w="113" w:type="dxa"/>
              <w:bottom w:w="113" w:type="dxa"/>
            </w:tcMar>
            <w:vAlign w:val="center"/>
            <w:hideMark/>
          </w:tcPr>
          <w:p w:rsidR="006D7D6D" w:rsidRPr="00A32AF4" w:rsidRDefault="006D7D6D" w:rsidP="00DC0553">
            <w:pPr>
              <w:rPr>
                <w:rFonts w:cs="Arial"/>
                <w:sz w:val="16"/>
                <w:szCs w:val="16"/>
                <w:lang w:eastAsia="fr-FR"/>
              </w:rPr>
            </w:pPr>
            <w:r w:rsidRPr="00A32AF4">
              <w:rPr>
                <w:rFonts w:cs="Arial"/>
                <w:sz w:val="16"/>
                <w:szCs w:val="16"/>
                <w:lang w:eastAsia="fr-FR"/>
              </w:rPr>
              <w:t>I.4</w:t>
            </w:r>
          </w:p>
        </w:tc>
        <w:tc>
          <w:tcPr>
            <w:tcW w:w="4443" w:type="dxa"/>
            <w:tcBorders>
              <w:bottom w:val="single" w:sz="4" w:space="0" w:color="auto"/>
            </w:tcBorders>
            <w:shd w:val="clear" w:color="auto" w:fill="auto"/>
            <w:tcMar>
              <w:top w:w="113" w:type="dxa"/>
              <w:bottom w:w="113" w:type="dxa"/>
            </w:tcMar>
            <w:vAlign w:val="center"/>
            <w:hideMark/>
          </w:tcPr>
          <w:p w:rsidR="006D7D6D" w:rsidRPr="00A32AF4" w:rsidRDefault="006D7D6D" w:rsidP="00EF7899">
            <w:pPr>
              <w:rPr>
                <w:rFonts w:cs="Arial"/>
                <w:sz w:val="16"/>
                <w:szCs w:val="16"/>
                <w:lang w:eastAsia="fr-FR"/>
              </w:rPr>
            </w:pPr>
            <w:r w:rsidRPr="00A32AF4">
              <w:rPr>
                <w:rFonts w:cs="Arial"/>
                <w:sz w:val="16"/>
                <w:szCs w:val="16"/>
                <w:lang w:eastAsia="fr-FR"/>
              </w:rPr>
              <w:t>Intérêt croissant pour l</w:t>
            </w:r>
            <w:r w:rsidR="00E2055A" w:rsidRPr="00A32AF4">
              <w:rPr>
                <w:rFonts w:cs="Arial"/>
                <w:sz w:val="16"/>
                <w:szCs w:val="16"/>
                <w:lang w:eastAsia="fr-FR"/>
              </w:rPr>
              <w:t>’</w:t>
            </w:r>
            <w:r w:rsidRPr="00A32AF4">
              <w:rPr>
                <w:rFonts w:cs="Arial"/>
                <w:sz w:val="16"/>
                <w:szCs w:val="16"/>
                <w:lang w:eastAsia="fr-FR"/>
              </w:rPr>
              <w:t>OMPI en tant qu</w:t>
            </w:r>
            <w:r w:rsidR="00E2055A" w:rsidRPr="00A32AF4">
              <w:rPr>
                <w:rFonts w:cs="Arial"/>
                <w:sz w:val="16"/>
                <w:szCs w:val="16"/>
                <w:lang w:eastAsia="fr-FR"/>
              </w:rPr>
              <w:t>’</w:t>
            </w:r>
            <w:r w:rsidRPr="00A32AF4">
              <w:rPr>
                <w:rFonts w:cs="Arial"/>
                <w:sz w:val="16"/>
                <w:szCs w:val="16"/>
                <w:lang w:eastAsia="fr-FR"/>
              </w:rPr>
              <w:t>instance d</w:t>
            </w:r>
            <w:r w:rsidR="00E2055A" w:rsidRPr="00A32AF4">
              <w:rPr>
                <w:rFonts w:cs="Arial"/>
                <w:sz w:val="16"/>
                <w:szCs w:val="16"/>
                <w:lang w:eastAsia="fr-FR"/>
              </w:rPr>
              <w:t>’</w:t>
            </w:r>
            <w:r w:rsidRPr="00A32AF4">
              <w:rPr>
                <w:rFonts w:cs="Arial"/>
                <w:sz w:val="16"/>
                <w:szCs w:val="16"/>
                <w:lang w:eastAsia="fr-FR"/>
              </w:rPr>
              <w:t xml:space="preserve">analyse des questions relatives à la protection internationale des </w:t>
            </w:r>
            <w:r w:rsidR="00F962FC" w:rsidRPr="00A32AF4">
              <w:rPr>
                <w:rFonts w:cs="Arial"/>
                <w:sz w:val="16"/>
                <w:szCs w:val="16"/>
                <w:lang w:eastAsia="fr-FR"/>
              </w:rPr>
              <w:t>brevets, modèles d</w:t>
            </w:r>
            <w:r w:rsidR="00E2055A" w:rsidRPr="00A32AF4">
              <w:rPr>
                <w:rFonts w:cs="Arial"/>
                <w:sz w:val="16"/>
                <w:szCs w:val="16"/>
                <w:lang w:eastAsia="fr-FR"/>
              </w:rPr>
              <w:t>’</w:t>
            </w:r>
            <w:r w:rsidR="00F962FC" w:rsidRPr="00A32AF4">
              <w:rPr>
                <w:rFonts w:cs="Arial"/>
                <w:sz w:val="16"/>
                <w:szCs w:val="16"/>
                <w:lang w:eastAsia="fr-FR"/>
              </w:rPr>
              <w:t xml:space="preserve">utilité, schémas de configuration (topographies) de circuits intégrés et </w:t>
            </w:r>
            <w:r w:rsidRPr="00A32AF4">
              <w:rPr>
                <w:rFonts w:cs="Arial"/>
                <w:sz w:val="16"/>
                <w:szCs w:val="16"/>
                <w:lang w:eastAsia="fr-FR"/>
              </w:rPr>
              <w:t>informations confidentielles</w:t>
            </w:r>
          </w:p>
        </w:tc>
        <w:tc>
          <w:tcPr>
            <w:tcW w:w="1260" w:type="dxa"/>
            <w:tcBorders>
              <w:bottom w:val="single" w:sz="4" w:space="0" w:color="auto"/>
            </w:tcBorders>
            <w:shd w:val="clear" w:color="auto" w:fill="auto"/>
            <w:tcMar>
              <w:top w:w="113" w:type="dxa"/>
              <w:bottom w:w="113" w:type="dxa"/>
            </w:tcMar>
            <w:vAlign w:val="center"/>
            <w:hideMark/>
          </w:tcPr>
          <w:p w:rsidR="006D7D6D" w:rsidRPr="00A32AF4" w:rsidRDefault="006D7D6D" w:rsidP="00DC0553">
            <w:pPr>
              <w:jc w:val="right"/>
              <w:rPr>
                <w:rFonts w:cs="Arial"/>
                <w:sz w:val="16"/>
                <w:szCs w:val="16"/>
                <w:lang w:eastAsia="fr-FR"/>
              </w:rPr>
            </w:pPr>
            <w:r w:rsidRPr="00A32AF4">
              <w:rPr>
                <w:rFonts w:cs="Arial"/>
                <w:sz w:val="16"/>
                <w:szCs w:val="16"/>
                <w:lang w:eastAsia="fr-FR"/>
              </w:rPr>
              <w:t>–</w:t>
            </w:r>
          </w:p>
        </w:tc>
        <w:tc>
          <w:tcPr>
            <w:tcW w:w="1440" w:type="dxa"/>
            <w:tcBorders>
              <w:bottom w:val="single" w:sz="4" w:space="0" w:color="auto"/>
            </w:tcBorders>
            <w:shd w:val="clear" w:color="auto" w:fill="auto"/>
            <w:tcMar>
              <w:top w:w="113" w:type="dxa"/>
              <w:bottom w:w="113" w:type="dxa"/>
            </w:tcMar>
            <w:vAlign w:val="center"/>
            <w:hideMark/>
          </w:tcPr>
          <w:p w:rsidR="006D7D6D" w:rsidRPr="00A32AF4" w:rsidRDefault="006D7D6D" w:rsidP="00DC0553">
            <w:pPr>
              <w:jc w:val="right"/>
              <w:rPr>
                <w:rFonts w:cs="Arial"/>
                <w:sz w:val="16"/>
                <w:szCs w:val="16"/>
                <w:lang w:eastAsia="fr-FR"/>
              </w:rPr>
            </w:pPr>
            <w:r w:rsidRPr="00A32AF4">
              <w:rPr>
                <w:rFonts w:cs="Arial"/>
                <w:sz w:val="16"/>
                <w:szCs w:val="16"/>
                <w:lang w:eastAsia="fr-FR"/>
              </w:rPr>
              <w:t>–</w:t>
            </w:r>
          </w:p>
        </w:tc>
        <w:tc>
          <w:tcPr>
            <w:tcW w:w="1260" w:type="dxa"/>
            <w:tcBorders>
              <w:bottom w:val="single" w:sz="4" w:space="0" w:color="auto"/>
              <w:right w:val="single" w:sz="4" w:space="0" w:color="auto"/>
            </w:tcBorders>
            <w:shd w:val="clear" w:color="auto" w:fill="auto"/>
            <w:noWrap/>
            <w:tcMar>
              <w:top w:w="113" w:type="dxa"/>
              <w:bottom w:w="113" w:type="dxa"/>
            </w:tcMar>
            <w:vAlign w:val="center"/>
            <w:hideMark/>
          </w:tcPr>
          <w:p w:rsidR="006D7D6D" w:rsidRPr="00A32AF4" w:rsidRDefault="006D7D6D" w:rsidP="00DC0553">
            <w:pPr>
              <w:jc w:val="right"/>
              <w:rPr>
                <w:rFonts w:cs="Arial"/>
                <w:color w:val="000000"/>
                <w:sz w:val="16"/>
                <w:szCs w:val="16"/>
                <w:lang w:eastAsia="fr-FR"/>
              </w:rPr>
            </w:pPr>
            <w:r w:rsidRPr="00A32AF4">
              <w:rPr>
                <w:rFonts w:cs="Arial"/>
                <w:color w:val="000000"/>
                <w:sz w:val="16"/>
                <w:szCs w:val="16"/>
                <w:lang w:eastAsia="fr-FR"/>
              </w:rPr>
              <w:t xml:space="preserve">494 </w:t>
            </w:r>
          </w:p>
        </w:tc>
      </w:tr>
      <w:tr w:rsidR="006D7D6D" w:rsidRPr="00A32AF4" w:rsidTr="006D7D6D">
        <w:tc>
          <w:tcPr>
            <w:tcW w:w="577" w:type="dxa"/>
            <w:tcBorders>
              <w:top w:val="single" w:sz="4" w:space="0" w:color="auto"/>
              <w:left w:val="single" w:sz="4" w:space="0" w:color="auto"/>
              <w:bottom w:val="single" w:sz="4" w:space="0" w:color="auto"/>
              <w:right w:val="nil"/>
            </w:tcBorders>
            <w:shd w:val="clear" w:color="000000" w:fill="C5D9F1"/>
            <w:noWrap/>
            <w:tcMar>
              <w:top w:w="113" w:type="dxa"/>
              <w:bottom w:w="113" w:type="dxa"/>
            </w:tcMar>
            <w:vAlign w:val="bottom"/>
            <w:hideMark/>
          </w:tcPr>
          <w:p w:rsidR="006D7D6D" w:rsidRPr="00A32AF4" w:rsidRDefault="006D7D6D" w:rsidP="00DC0553">
            <w:pPr>
              <w:rPr>
                <w:rFonts w:cs="Arial"/>
                <w:sz w:val="16"/>
                <w:szCs w:val="16"/>
                <w:lang w:eastAsia="fr-FR"/>
              </w:rPr>
            </w:pPr>
            <w:r w:rsidRPr="00A32AF4">
              <w:rPr>
                <w:rFonts w:cs="Arial"/>
                <w:sz w:val="16"/>
                <w:szCs w:val="16"/>
                <w:lang w:eastAsia="fr-FR"/>
              </w:rPr>
              <w:t> </w:t>
            </w:r>
          </w:p>
        </w:tc>
        <w:tc>
          <w:tcPr>
            <w:tcW w:w="4443"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6D7D6D" w:rsidRPr="00A32AF4" w:rsidRDefault="006D7D6D" w:rsidP="00DC0553">
            <w:pPr>
              <w:rPr>
                <w:rFonts w:cs="Arial"/>
                <w:b/>
                <w:bCs/>
                <w:sz w:val="16"/>
                <w:szCs w:val="16"/>
                <w:lang w:eastAsia="fr-FR"/>
              </w:rPr>
            </w:pPr>
            <w:r w:rsidRPr="00A32AF4">
              <w:rPr>
                <w:rFonts w:cs="Arial"/>
                <w:b/>
                <w:bCs/>
                <w:sz w:val="16"/>
                <w:szCs w:val="16"/>
                <w:lang w:eastAsia="fr-FR"/>
              </w:rPr>
              <w:t>Total</w:t>
            </w:r>
          </w:p>
        </w:tc>
        <w:tc>
          <w:tcPr>
            <w:tcW w:w="1260"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6D7D6D" w:rsidRPr="00A32AF4" w:rsidRDefault="006D7D6D" w:rsidP="00DC0553">
            <w:pPr>
              <w:jc w:val="right"/>
              <w:rPr>
                <w:rFonts w:cs="Arial"/>
                <w:b/>
                <w:bCs/>
                <w:sz w:val="16"/>
                <w:szCs w:val="16"/>
                <w:lang w:eastAsia="fr-FR"/>
              </w:rPr>
            </w:pPr>
            <w:r w:rsidRPr="00A32AF4">
              <w:rPr>
                <w:rFonts w:cs="Arial"/>
                <w:b/>
                <w:bCs/>
                <w:sz w:val="16"/>
                <w:szCs w:val="16"/>
                <w:lang w:eastAsia="fr-FR"/>
              </w:rPr>
              <w:t xml:space="preserve">4 950 </w:t>
            </w:r>
          </w:p>
        </w:tc>
        <w:tc>
          <w:tcPr>
            <w:tcW w:w="1440"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6D7D6D" w:rsidRPr="00A32AF4" w:rsidRDefault="006D7D6D" w:rsidP="00DC0553">
            <w:pPr>
              <w:jc w:val="right"/>
              <w:rPr>
                <w:rFonts w:cs="Arial"/>
                <w:b/>
                <w:bCs/>
                <w:sz w:val="16"/>
                <w:szCs w:val="16"/>
                <w:lang w:eastAsia="fr-FR"/>
              </w:rPr>
            </w:pPr>
            <w:r w:rsidRPr="00A32AF4">
              <w:rPr>
                <w:rFonts w:cs="Arial"/>
                <w:b/>
                <w:bCs/>
                <w:sz w:val="16"/>
                <w:szCs w:val="16"/>
                <w:lang w:eastAsia="fr-FR"/>
              </w:rPr>
              <w:t xml:space="preserve">5 155 </w:t>
            </w:r>
          </w:p>
        </w:tc>
        <w:tc>
          <w:tcPr>
            <w:tcW w:w="1260"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6D7D6D" w:rsidRPr="00A32AF4" w:rsidRDefault="006D7D6D" w:rsidP="00DC0553">
            <w:pPr>
              <w:jc w:val="right"/>
              <w:rPr>
                <w:rFonts w:cs="Arial"/>
                <w:b/>
                <w:bCs/>
                <w:sz w:val="16"/>
                <w:szCs w:val="16"/>
                <w:lang w:eastAsia="fr-FR"/>
              </w:rPr>
            </w:pPr>
            <w:r w:rsidRPr="00A32AF4">
              <w:rPr>
                <w:rFonts w:cs="Arial"/>
                <w:b/>
                <w:bCs/>
                <w:sz w:val="16"/>
                <w:szCs w:val="16"/>
                <w:lang w:eastAsia="fr-FR"/>
              </w:rPr>
              <w:t xml:space="preserve">5 291 </w:t>
            </w:r>
          </w:p>
        </w:tc>
      </w:tr>
    </w:tbl>
    <w:p w:rsidR="00F93B76" w:rsidRPr="00A32AF4" w:rsidRDefault="00F93B76" w:rsidP="00DC0553"/>
    <w:p w:rsidR="00F93B76" w:rsidRPr="00A32AF4" w:rsidRDefault="00F93B76" w:rsidP="00DC0553"/>
    <w:p w:rsidR="00F93B76" w:rsidRPr="00A32AF4" w:rsidRDefault="006D7D6D" w:rsidP="00DC0553">
      <w:pPr>
        <w:keepNext/>
        <w:keepLines/>
        <w:autoSpaceDE w:val="0"/>
        <w:autoSpaceDN w:val="0"/>
        <w:jc w:val="center"/>
        <w:rPr>
          <w:rFonts w:cs="Arial"/>
          <w:b/>
        </w:rPr>
      </w:pPr>
      <w:r w:rsidRPr="00A32AF4">
        <w:rPr>
          <w:rFonts w:cs="Arial"/>
          <w:b/>
        </w:rPr>
        <w:t xml:space="preserve">Programme 1 : </w:t>
      </w:r>
      <w:r w:rsidR="00005D74" w:rsidRPr="00A32AF4">
        <w:rPr>
          <w:rFonts w:cs="Arial"/>
          <w:b/>
        </w:rPr>
        <w:t xml:space="preserve">ressources </w:t>
      </w:r>
      <w:r w:rsidRPr="00A32AF4">
        <w:rPr>
          <w:rFonts w:cs="Arial"/>
          <w:b/>
        </w:rPr>
        <w:t>par objet de dépense</w:t>
      </w:r>
    </w:p>
    <w:p w:rsidR="00F93B76" w:rsidRPr="00A32AF4" w:rsidRDefault="006D7D6D" w:rsidP="00DC0553">
      <w:pPr>
        <w:keepNext/>
        <w:keepLines/>
        <w:autoSpaceDE w:val="0"/>
        <w:autoSpaceDN w:val="0"/>
        <w:jc w:val="center"/>
        <w:rPr>
          <w:rFonts w:cs="Arial"/>
          <w:i/>
        </w:rPr>
      </w:pPr>
      <w:r w:rsidRPr="00A32AF4">
        <w:rPr>
          <w:rFonts w:cs="Arial"/>
          <w:i/>
        </w:rPr>
        <w:t>(</w:t>
      </w:r>
      <w:proofErr w:type="gramStart"/>
      <w:r w:rsidR="00E64CB4" w:rsidRPr="00A32AF4">
        <w:rPr>
          <w:rFonts w:cs="Arial"/>
          <w:i/>
        </w:rPr>
        <w:t>en</w:t>
      </w:r>
      <w:proofErr w:type="gramEnd"/>
      <w:r w:rsidR="00E64CB4" w:rsidRPr="00A32AF4">
        <w:rPr>
          <w:rFonts w:cs="Arial"/>
          <w:i/>
        </w:rPr>
        <w:t xml:space="preserve"> milliers de francs suisses)</w:t>
      </w:r>
    </w:p>
    <w:p w:rsidR="00F93B76" w:rsidRPr="00A32AF4" w:rsidRDefault="00F93B76" w:rsidP="00DC0553">
      <w:pPr>
        <w:keepNext/>
        <w:keepLines/>
        <w:autoSpaceDE w:val="0"/>
        <w:autoSpaceDN w:val="0"/>
        <w:jc w:val="center"/>
        <w:rPr>
          <w:rFonts w:cs="Arial"/>
          <w:i/>
        </w:rPr>
      </w:pPr>
    </w:p>
    <w:p w:rsidR="00F93B76" w:rsidRPr="00A32AF4" w:rsidRDefault="00F70ECD" w:rsidP="00DC0553">
      <w:pPr>
        <w:jc w:val="center"/>
      </w:pPr>
      <w:r w:rsidRPr="00A32AF4">
        <w:rPr>
          <w:noProof/>
          <w:lang w:eastAsia="fr-FR"/>
        </w:rPr>
        <w:drawing>
          <wp:inline distT="0" distB="0" distL="0" distR="0" wp14:anchorId="249AAC8B" wp14:editId="5CDA0791">
            <wp:extent cx="5512435" cy="6555105"/>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512435" cy="6555105"/>
                    </a:xfrm>
                    <a:prstGeom prst="rect">
                      <a:avLst/>
                    </a:prstGeom>
                    <a:noFill/>
                    <a:ln>
                      <a:noFill/>
                    </a:ln>
                  </pic:spPr>
                </pic:pic>
              </a:graphicData>
            </a:graphic>
          </wp:inline>
        </w:drawing>
      </w:r>
    </w:p>
    <w:p w:rsidR="00F93B76" w:rsidRPr="00A32AF4" w:rsidRDefault="007575E1" w:rsidP="00DC0553">
      <w:pPr>
        <w:rPr>
          <w:rFonts w:ascii="Arial Bold" w:eastAsia="SimSun" w:hAnsi="Arial Bold" w:cs="Arial" w:hint="eastAsia"/>
          <w:iCs/>
          <w:caps/>
          <w:sz w:val="24"/>
          <w:szCs w:val="22"/>
        </w:rPr>
      </w:pPr>
      <w:r w:rsidRPr="00A32AF4">
        <w:br w:type="page"/>
      </w:r>
    </w:p>
    <w:p w:rsidR="00F93B76" w:rsidRPr="00A32AF4" w:rsidRDefault="00D21583" w:rsidP="00FB1F61">
      <w:pPr>
        <w:pStyle w:val="Heading3"/>
      </w:pPr>
      <w:bookmarkStart w:id="21" w:name="_Toc431555436"/>
      <w:r w:rsidRPr="00A32AF4">
        <w:t>Programme </w:t>
      </w:r>
      <w:r w:rsidR="00D12195" w:rsidRPr="00A32AF4">
        <w:t>2</w:t>
      </w:r>
      <w:r w:rsidR="002A5E19" w:rsidRPr="00A32AF4">
        <w:tab/>
      </w:r>
      <w:r w:rsidR="00D12195" w:rsidRPr="00A32AF4">
        <w:t>‎Marques, dessins et modèles industriels et indications géographiques</w:t>
      </w:r>
      <w:bookmarkEnd w:id="21"/>
    </w:p>
    <w:p w:rsidR="00F93B76" w:rsidRPr="00A32AF4" w:rsidRDefault="00F93B76" w:rsidP="00DC0553"/>
    <w:p w:rsidR="00F93B76" w:rsidRPr="00A32AF4" w:rsidRDefault="00F93B76" w:rsidP="00DC0553"/>
    <w:p w:rsidR="00F93B76" w:rsidRPr="00A32AF4" w:rsidRDefault="00D12195" w:rsidP="00DC0553">
      <w:r w:rsidRPr="00A32AF4">
        <w:t>CONTEXTE DE PLANIFICATION</w:t>
      </w:r>
    </w:p>
    <w:p w:rsidR="00F93B76" w:rsidRPr="00A32AF4" w:rsidRDefault="00F93B76" w:rsidP="00DC0553"/>
    <w:p w:rsidR="00F93B76" w:rsidRPr="00A32AF4" w:rsidRDefault="00D12195" w:rsidP="00DC0553">
      <w:pPr>
        <w:numPr>
          <w:ilvl w:val="0"/>
          <w:numId w:val="5"/>
        </w:numPr>
        <w:jc w:val="both"/>
      </w:pPr>
      <w:r w:rsidRPr="00A32AF4">
        <w:t>Les marques sont l</w:t>
      </w:r>
      <w:r w:rsidR="00E2055A" w:rsidRPr="00A32AF4">
        <w:t>’</w:t>
      </w:r>
      <w:r w:rsidRPr="00A32AF4">
        <w:t>une des sources majeures d</w:t>
      </w:r>
      <w:r w:rsidR="00E2055A" w:rsidRPr="00A32AF4">
        <w:t>’</w:t>
      </w:r>
      <w:r w:rsidRPr="00A32AF4">
        <w:t>avantages concurrentiels.  Elles jouent un rôle essentiel dans la commercialisation de nouveaux produits (</w:t>
      </w:r>
      <w:r w:rsidR="00E2055A" w:rsidRPr="00A32AF4">
        <w:t>y compris</w:t>
      </w:r>
      <w:r w:rsidRPr="00A32AF4">
        <w:t xml:space="preserve"> les services), et renseignent les consommateurs sur les produits dans une économie en constante évolution.  Un nombre croissant d</w:t>
      </w:r>
      <w:r w:rsidR="00E2055A" w:rsidRPr="00A32AF4">
        <w:t>’</w:t>
      </w:r>
      <w:r w:rsidRPr="00A32AF4">
        <w:t>études économiques démontrent le rôle que jouent les marques en termes d</w:t>
      </w:r>
      <w:r w:rsidR="00E2055A" w:rsidRPr="00A32AF4">
        <w:t>’</w:t>
      </w:r>
      <w:r w:rsidRPr="00A32AF4">
        <w:t>innovation et leur importance économique globale.  De même, le rôle des dessins et modèles dans l</w:t>
      </w:r>
      <w:r w:rsidR="00E2055A" w:rsidRPr="00A32AF4">
        <w:t>’</w:t>
      </w:r>
      <w:r w:rsidRPr="00A32AF4">
        <w:t>économie mondiale s</w:t>
      </w:r>
      <w:r w:rsidR="00E2055A" w:rsidRPr="00A32AF4">
        <w:t>’</w:t>
      </w:r>
      <w:r w:rsidRPr="00A32AF4">
        <w:t>impose toujours davantage et les preuves de leur fonction en tant que source d</w:t>
      </w:r>
      <w:r w:rsidR="00E2055A" w:rsidRPr="00A32AF4">
        <w:t>’</w:t>
      </w:r>
      <w:r w:rsidRPr="00A32AF4">
        <w:t>innovation et de croissance économique se multiplient.  Dans ce contexte, les décideurs doivent continuer d</w:t>
      </w:r>
      <w:r w:rsidR="00E2055A" w:rsidRPr="00A32AF4">
        <w:t>’</w:t>
      </w:r>
      <w:r w:rsidRPr="00A32AF4">
        <w:t>étudier attentivement le cadre juridique pour la protection des marques et des dessins et modèles en vue de favoriser l</w:t>
      </w:r>
      <w:r w:rsidR="00E2055A" w:rsidRPr="00A32AF4">
        <w:t>’</w:t>
      </w:r>
      <w:r w:rsidRPr="00A32AF4">
        <w:t>innovation et les résultats commerciaux et d</w:t>
      </w:r>
      <w:r w:rsidR="00E2055A" w:rsidRPr="00A32AF4">
        <w:t>’</w:t>
      </w:r>
      <w:r w:rsidRPr="00A32AF4">
        <w:t>élaborer des solutions éclairées pour répondre aux nouveaux défis qui se posent.  Le programme 2 s</w:t>
      </w:r>
      <w:r w:rsidR="00E2055A" w:rsidRPr="00A32AF4">
        <w:t>’</w:t>
      </w:r>
      <w:r w:rsidRPr="00A32AF4">
        <w:t>emploiera à obtenir des résultats qui permettront à l</w:t>
      </w:r>
      <w:r w:rsidR="00E2055A" w:rsidRPr="00A32AF4">
        <w:t>’</w:t>
      </w:r>
      <w:r w:rsidRPr="00A32AF4">
        <w:t>OMPI de favoriser une évolution équilibrée du cadre normatif international régissant les marques et les dessins et modèles et de contribuer à la création d</w:t>
      </w:r>
      <w:r w:rsidR="00E2055A" w:rsidRPr="00A32AF4">
        <w:t>’</w:t>
      </w:r>
      <w:r w:rsidRPr="00A32AF4">
        <w:t>un environnement juridique apte à répondre aux besoins et aux exigences spécifiques des États membres dans le domaine des marques et des dessins et modèles.</w:t>
      </w:r>
    </w:p>
    <w:p w:rsidR="00F93B76" w:rsidRPr="00A32AF4" w:rsidRDefault="00F93B76" w:rsidP="00DC0553"/>
    <w:p w:rsidR="00F93B76" w:rsidRPr="00A32AF4" w:rsidRDefault="00F93B76" w:rsidP="00DC0553"/>
    <w:p w:rsidR="00F93B76" w:rsidRPr="00A32AF4" w:rsidRDefault="00D12195" w:rsidP="00DC0553">
      <w:r w:rsidRPr="00A32AF4">
        <w:t>STRATÉGIES DE MISE EN ŒUVRE</w:t>
      </w:r>
    </w:p>
    <w:p w:rsidR="00F93B76" w:rsidRPr="00A32AF4" w:rsidRDefault="00F93B76" w:rsidP="00DC0553"/>
    <w:p w:rsidR="00F93B76" w:rsidRPr="00A32AF4" w:rsidRDefault="00D12195" w:rsidP="00DC0553">
      <w:pPr>
        <w:numPr>
          <w:ilvl w:val="0"/>
          <w:numId w:val="5"/>
        </w:numPr>
        <w:jc w:val="both"/>
      </w:pPr>
      <w:r w:rsidRPr="00A32AF4">
        <w:t>Ce programme a pour principal objectif de réaliser des progrès dans l</w:t>
      </w:r>
      <w:r w:rsidR="00E2055A" w:rsidRPr="00A32AF4">
        <w:t>’</w:t>
      </w:r>
      <w:r w:rsidRPr="00A32AF4">
        <w:t>élaboration d</w:t>
      </w:r>
      <w:r w:rsidR="00E2055A" w:rsidRPr="00A32AF4">
        <w:t>’</w:t>
      </w:r>
      <w:r w:rsidRPr="00A32AF4">
        <w:t>un cadre juridique international équilibré pour les marques et les dessins et modèles, favorable à l</w:t>
      </w:r>
      <w:r w:rsidR="00E2055A" w:rsidRPr="00A32AF4">
        <w:t>’</w:t>
      </w:r>
      <w:r w:rsidRPr="00A32AF4">
        <w:t>innovation et à la croissance économique.  S</w:t>
      </w:r>
      <w:r w:rsidR="00E2055A" w:rsidRPr="00A32AF4">
        <w:t>’</w:t>
      </w:r>
      <w:r w:rsidRPr="00A32AF4">
        <w:t>agissant d</w:t>
      </w:r>
      <w:r w:rsidR="00E2055A" w:rsidRPr="00A32AF4">
        <w:t>’</w:t>
      </w:r>
      <w:r w:rsidRPr="00A32AF4">
        <w:t>un futur cadre réglementaire international pour les procédures d</w:t>
      </w:r>
      <w:r w:rsidR="00E2055A" w:rsidRPr="00A32AF4">
        <w:t>’</w:t>
      </w:r>
      <w:r w:rsidRPr="00A32AF4">
        <w:t>enregistrement des dessins et modèles industriels, le Comité permanent du droit des marques, des dessins et modèles industriels et des indications géographiques (SCT) a accompli des progrès considérables dans l</w:t>
      </w:r>
      <w:r w:rsidR="00E2055A" w:rsidRPr="00A32AF4">
        <w:t>’</w:t>
      </w:r>
      <w:r w:rsidRPr="00A32AF4">
        <w:t>élaboration d</w:t>
      </w:r>
      <w:r w:rsidR="00E2055A" w:rsidRPr="00A32AF4">
        <w:t>’</w:t>
      </w:r>
      <w:r w:rsidRPr="00A32AF4">
        <w:t>un projet de traité sur le droit des marques visant à simplifier les procédures d</w:t>
      </w:r>
      <w:r w:rsidR="00E2055A" w:rsidRPr="00A32AF4">
        <w:t>’</w:t>
      </w:r>
      <w:r w:rsidRPr="00A32AF4">
        <w:t>enregistrement des dessins et modèles.  Sous réserve d</w:t>
      </w:r>
      <w:r w:rsidR="00E2055A" w:rsidRPr="00A32AF4">
        <w:t>’</w:t>
      </w:r>
      <w:r w:rsidRPr="00A32AF4">
        <w:t>une décision de l</w:t>
      </w:r>
      <w:r w:rsidR="00E2055A" w:rsidRPr="00A32AF4">
        <w:t>’</w:t>
      </w:r>
      <w:r w:rsidRPr="00A32AF4">
        <w:t>Assemblée générale de l</w:t>
      </w:r>
      <w:r w:rsidR="00E2055A" w:rsidRPr="00A32AF4">
        <w:t>’</w:t>
      </w:r>
      <w:r w:rsidRPr="00A32AF4">
        <w:t>OMPI, ces travaux pourraient aboutir à la tenue d</w:t>
      </w:r>
      <w:r w:rsidR="00E2055A" w:rsidRPr="00A32AF4">
        <w:t>’</w:t>
      </w:r>
      <w:r w:rsidRPr="00A32AF4">
        <w:t>une conférence diplomatique pour l</w:t>
      </w:r>
      <w:r w:rsidR="00E2055A" w:rsidRPr="00A32AF4">
        <w:t>’</w:t>
      </w:r>
      <w:r w:rsidRPr="00A32AF4">
        <w:t>adoption d</w:t>
      </w:r>
      <w:r w:rsidR="00E2055A" w:rsidRPr="00A32AF4">
        <w:t>’</w:t>
      </w:r>
      <w:r w:rsidRPr="00A32AF4">
        <w:t>un traité sur les dessins et modèles durant l</w:t>
      </w:r>
      <w:r w:rsidR="00E2055A" w:rsidRPr="00A32AF4">
        <w:t>’</w:t>
      </w:r>
      <w:r w:rsidRPr="00A32AF4">
        <w:t xml:space="preserve">exercice biennal.  Par ailleurs, le SCT continuera à assister les </w:t>
      </w:r>
      <w:r w:rsidR="00154EC2" w:rsidRPr="00A32AF4">
        <w:t>États membres</w:t>
      </w:r>
      <w:r w:rsidRPr="00A32AF4">
        <w:t xml:space="preserve"> dans leurs travaux sur les thèmes convenus dans le domaine des marques, des dessins et modèles industriels et des indications géographiques.  Le SCT continuera d</w:t>
      </w:r>
      <w:r w:rsidR="00E2055A" w:rsidRPr="00A32AF4">
        <w:t>’</w:t>
      </w:r>
      <w:r w:rsidRPr="00A32AF4">
        <w:t>observer l</w:t>
      </w:r>
      <w:r w:rsidR="00E2055A" w:rsidRPr="00A32AF4">
        <w:t>’</w:t>
      </w:r>
      <w:r w:rsidRPr="00A32AF4">
        <w:t>évolution du système des noms de domaine</w:t>
      </w:r>
      <w:r w:rsidR="00D70931" w:rsidRPr="00A32AF4">
        <w:t xml:space="preserve"> (DNS)</w:t>
      </w:r>
      <w:r w:rsidRPr="00A32AF4">
        <w:t xml:space="preserve"> (en coopération avec le programme 7) et celle des dénominations communes internationales (DCI) pour les substances pharmaceutiques.  </w:t>
      </w:r>
      <w:proofErr w:type="gramStart"/>
      <w:r w:rsidRPr="00A32AF4">
        <w:t>Une attention particulière sera accordée au groupe B des recommandations du Plan d</w:t>
      </w:r>
      <w:r w:rsidR="00E2055A" w:rsidRPr="00A32AF4">
        <w:t>’</w:t>
      </w:r>
      <w:r w:rsidRPr="00A32AF4">
        <w:t>action pour le développement (recommandations n</w:t>
      </w:r>
      <w:r w:rsidRPr="00A32AF4">
        <w:rPr>
          <w:vertAlign w:val="superscript"/>
        </w:rPr>
        <w:t>os</w:t>
      </w:r>
      <w:r w:rsidRPr="00A32AF4">
        <w:t> 15 à 17 et 20 à 22), afin de veiller à ce que soient pris en considération les différents niveaux de développement des États membres de l</w:t>
      </w:r>
      <w:r w:rsidR="00E2055A" w:rsidRPr="00A32AF4">
        <w:t>’</w:t>
      </w:r>
      <w:r w:rsidRPr="00A32AF4">
        <w:t xml:space="preserve">OMPI, les différents intérêts des pays en développement et des PMA, les points de vue de tous les États membres et autres parties prenantes, et les objectifs de développement convenus au sein du système des </w:t>
      </w:r>
      <w:r w:rsidR="00E2055A" w:rsidRPr="00A32AF4">
        <w:t>Nations Unies</w:t>
      </w:r>
      <w:r w:rsidRPr="00A32AF4">
        <w:t>.</w:t>
      </w:r>
      <w:proofErr w:type="gramEnd"/>
      <w:r w:rsidRPr="00A32AF4">
        <w:t xml:space="preserve">  L</w:t>
      </w:r>
      <w:r w:rsidR="00E2055A" w:rsidRPr="00A32AF4">
        <w:t>’</w:t>
      </w:r>
      <w:r w:rsidRPr="00A32AF4">
        <w:t>OMPI fournira également une assistance juridique et administrative appropriée aux États membres et à certaines organisations internationales intergouvernementales pour la protection de certains de leurs emblèmes selon l</w:t>
      </w:r>
      <w:r w:rsidR="00E2055A" w:rsidRPr="00A32AF4">
        <w:t>’</w:t>
      </w:r>
      <w:r w:rsidRPr="00A32AF4">
        <w:t>article 6</w:t>
      </w:r>
      <w:r w:rsidRPr="00A32AF4">
        <w:rPr>
          <w:i/>
        </w:rPr>
        <w:t>ter</w:t>
      </w:r>
      <w:r w:rsidRPr="00A32AF4">
        <w:t xml:space="preserve"> de la Convention de Paris.</w:t>
      </w:r>
    </w:p>
    <w:p w:rsidR="00F93B76" w:rsidRPr="00A32AF4" w:rsidRDefault="00F93B76" w:rsidP="00DC0553">
      <w:pPr>
        <w:jc w:val="both"/>
      </w:pPr>
    </w:p>
    <w:p w:rsidR="00F93B76" w:rsidRPr="00A32AF4" w:rsidRDefault="00D12195" w:rsidP="00DC0553">
      <w:pPr>
        <w:numPr>
          <w:ilvl w:val="0"/>
          <w:numId w:val="5"/>
        </w:numPr>
        <w:jc w:val="both"/>
      </w:pPr>
      <w:r w:rsidRPr="00A32AF4">
        <w:t>La mise en œuvre du programme 2 comprendra l</w:t>
      </w:r>
      <w:r w:rsidR="00E2055A" w:rsidRPr="00A32AF4">
        <w:t>’</w:t>
      </w:r>
      <w:r w:rsidRPr="00A32AF4">
        <w:t>organisation des sessions du SCT.  Conformément à la recommandation n° 15 du Plan d</w:t>
      </w:r>
      <w:r w:rsidR="00E2055A" w:rsidRPr="00A32AF4">
        <w:t>’</w:t>
      </w:r>
      <w:r w:rsidRPr="00A32AF4">
        <w:t>action pour le développement, les sessions du SCT seront ouvertes à tous les États membres et aux observateurs accrédités.  Les documents de travail seront établis par le Secrétariat et présentés dans les six langues officielles de l</w:t>
      </w:r>
      <w:r w:rsidR="00E2055A" w:rsidRPr="00A32AF4">
        <w:t>’</w:t>
      </w:r>
      <w:r w:rsidRPr="00A32AF4">
        <w:t>ONU.</w:t>
      </w:r>
    </w:p>
    <w:p w:rsidR="00F93B76" w:rsidRPr="00A32AF4" w:rsidRDefault="00F93B76" w:rsidP="00DC0553">
      <w:pPr>
        <w:jc w:val="both"/>
      </w:pPr>
    </w:p>
    <w:p w:rsidR="00F93B76" w:rsidRPr="00A32AF4" w:rsidRDefault="00D12195" w:rsidP="00DC0553">
      <w:pPr>
        <w:numPr>
          <w:ilvl w:val="0"/>
          <w:numId w:val="5"/>
        </w:numPr>
        <w:jc w:val="both"/>
      </w:pPr>
      <w:r w:rsidRPr="00A32AF4">
        <w:t>Le Secrétariat continuera d</w:t>
      </w:r>
      <w:r w:rsidR="00E2055A" w:rsidRPr="00A32AF4">
        <w:t>’</w:t>
      </w:r>
      <w:r w:rsidRPr="00A32AF4">
        <w:t>assurer l</w:t>
      </w:r>
      <w:r w:rsidR="00E2055A" w:rsidRPr="00A32AF4">
        <w:t>’</w:t>
      </w:r>
      <w:r w:rsidRPr="00A32AF4">
        <w:t>administration efficace des procédures de communication au titre de l</w:t>
      </w:r>
      <w:r w:rsidR="00E2055A" w:rsidRPr="00A32AF4">
        <w:t>’</w:t>
      </w:r>
      <w:r w:rsidRPr="00A32AF4">
        <w:t>article 6</w:t>
      </w:r>
      <w:r w:rsidRPr="00A32AF4">
        <w:rPr>
          <w:i/>
        </w:rPr>
        <w:t>ter</w:t>
      </w:r>
      <w:r w:rsidRPr="00A32AF4">
        <w:t xml:space="preserve"> de la Convention de Paris et de produire des publications électroniques semestrielles contenant tous les signes qui doivent être communiqués en vertu de l</w:t>
      </w:r>
      <w:r w:rsidR="00E2055A" w:rsidRPr="00A32AF4">
        <w:t>’</w:t>
      </w:r>
      <w:r w:rsidRPr="00A32AF4">
        <w:t>article 6</w:t>
      </w:r>
      <w:r w:rsidRPr="00A32AF4">
        <w:rPr>
          <w:i/>
        </w:rPr>
        <w:t>ter.</w:t>
      </w:r>
      <w:r w:rsidRPr="00A32AF4">
        <w:t>3).</w:t>
      </w:r>
    </w:p>
    <w:p w:rsidR="00F70ECD" w:rsidRPr="00A32AF4" w:rsidRDefault="00F70ECD" w:rsidP="00F70ECD">
      <w:pPr>
        <w:jc w:val="both"/>
      </w:pPr>
    </w:p>
    <w:p w:rsidR="00F93B76" w:rsidRPr="00A32AF4" w:rsidRDefault="00D12195" w:rsidP="00F70ECD">
      <w:pPr>
        <w:numPr>
          <w:ilvl w:val="0"/>
          <w:numId w:val="5"/>
        </w:numPr>
        <w:jc w:val="both"/>
      </w:pPr>
      <w:r w:rsidRPr="00A32AF4">
        <w:t>En ce qui concerne l</w:t>
      </w:r>
      <w:r w:rsidR="00E2055A" w:rsidRPr="00A32AF4">
        <w:t>’</w:t>
      </w:r>
      <w:r w:rsidRPr="00A32AF4">
        <w:t>objectif stratégique III (favoriser l</w:t>
      </w:r>
      <w:r w:rsidR="00E2055A" w:rsidRPr="00A32AF4">
        <w:t>’</w:t>
      </w:r>
      <w:r w:rsidRPr="00A32AF4">
        <w:t>utilisation de la propriété intellectuelle au service du développement), le programme 2 fournira des conseils spécifiques par pays aux États membres conformément aux priorités définies dans le cadre de leurs stratégies nationales en matière de propriété intellectuelle.  La fourniture de conseils d</w:t>
      </w:r>
      <w:r w:rsidR="00E2055A" w:rsidRPr="00A32AF4">
        <w:t>’</w:t>
      </w:r>
      <w:r w:rsidRPr="00A32AF4">
        <w:t>ordre juridique sera coordonnée dans le cadre d</w:t>
      </w:r>
      <w:r w:rsidR="00E2055A" w:rsidRPr="00A32AF4">
        <w:t>’</w:t>
      </w:r>
      <w:r w:rsidRPr="00A32AF4">
        <w:t>autres programmes, comme indiqué ci</w:t>
      </w:r>
      <w:r w:rsidR="00EB7F54" w:rsidRPr="00A32AF4">
        <w:noBreakHyphen/>
      </w:r>
      <w:r w:rsidRPr="00A32AF4">
        <w:t>dessous.</w:t>
      </w:r>
    </w:p>
    <w:p w:rsidR="00F93B76" w:rsidRPr="00A32AF4" w:rsidRDefault="00F93B76" w:rsidP="00F70ECD">
      <w:pPr>
        <w:jc w:val="both"/>
      </w:pPr>
    </w:p>
    <w:p w:rsidR="00F93B76" w:rsidRPr="00A32AF4" w:rsidRDefault="00D12195" w:rsidP="00DC0553">
      <w:pPr>
        <w:keepNext/>
        <w:keepLines/>
        <w:jc w:val="both"/>
      </w:pPr>
      <w:r w:rsidRPr="00A32AF4">
        <w:rPr>
          <w:noProof/>
          <w:lang w:eastAsia="fr-FR"/>
        </w:rPr>
        <w:drawing>
          <wp:inline distT="0" distB="0" distL="0" distR="0" wp14:anchorId="336132EC" wp14:editId="32EB5B21">
            <wp:extent cx="5753100" cy="1485900"/>
            <wp:effectExtent l="0" t="0" r="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rsidR="00F93B76" w:rsidRPr="00A32AF4" w:rsidRDefault="00F93B76" w:rsidP="00DC0553"/>
    <w:p w:rsidR="00F93B76" w:rsidRPr="00A32AF4" w:rsidRDefault="00F93B76" w:rsidP="00DC0553"/>
    <w:p w:rsidR="00F93B76" w:rsidRPr="00A32AF4" w:rsidRDefault="00263CAC" w:rsidP="00DC0553">
      <w:r w:rsidRPr="00A32AF4">
        <w:t>PRINCIPAUX RISQUES ET STRATÉGIES D</w:t>
      </w:r>
      <w:r w:rsidR="00E2055A" w:rsidRPr="00A32AF4">
        <w:t>’</w:t>
      </w:r>
      <w:r w:rsidRPr="00A32AF4">
        <w:t>ATTÉNUATION</w:t>
      </w:r>
    </w:p>
    <w:p w:rsidR="00D12195" w:rsidRPr="00A32AF4" w:rsidRDefault="00D12195" w:rsidP="00DC0553">
      <w:pPr>
        <w:rPr>
          <w:szCs w:val="22"/>
        </w:rPr>
      </w:pPr>
    </w:p>
    <w:tbl>
      <w:tblPr>
        <w:tblW w:w="9214"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11"/>
        <w:gridCol w:w="5103"/>
      </w:tblGrid>
      <w:tr w:rsidR="0038294E" w:rsidRPr="00A32AF4" w:rsidTr="00D27E4C">
        <w:trPr>
          <w:trHeight w:val="577"/>
        </w:trPr>
        <w:tc>
          <w:tcPr>
            <w:tcW w:w="4111" w:type="dxa"/>
            <w:tcBorders>
              <w:top w:val="single" w:sz="4" w:space="0" w:color="auto"/>
              <w:bottom w:val="single" w:sz="4" w:space="0" w:color="auto"/>
            </w:tcBorders>
            <w:shd w:val="clear" w:color="auto" w:fill="C6D9F1" w:themeFill="text2" w:themeFillTint="33"/>
            <w:vAlign w:val="center"/>
          </w:tcPr>
          <w:p w:rsidR="00D12195" w:rsidRPr="00A32AF4" w:rsidRDefault="00D12195" w:rsidP="00DC0553">
            <w:pPr>
              <w:jc w:val="center"/>
              <w:rPr>
                <w:b/>
                <w:bCs/>
                <w:sz w:val="18"/>
                <w:szCs w:val="18"/>
              </w:rPr>
            </w:pPr>
            <w:r w:rsidRPr="00A32AF4">
              <w:rPr>
                <w:b/>
                <w:bCs/>
                <w:sz w:val="18"/>
                <w:szCs w:val="18"/>
              </w:rPr>
              <w:t>Risque</w:t>
            </w:r>
            <w:r w:rsidR="00D27E4C" w:rsidRPr="00A32AF4">
              <w:rPr>
                <w:b/>
                <w:bCs/>
                <w:sz w:val="18"/>
                <w:szCs w:val="18"/>
              </w:rPr>
              <w:t>s</w:t>
            </w:r>
          </w:p>
        </w:tc>
        <w:tc>
          <w:tcPr>
            <w:tcW w:w="5103" w:type="dxa"/>
            <w:tcBorders>
              <w:top w:val="single" w:sz="4" w:space="0" w:color="auto"/>
              <w:bottom w:val="single" w:sz="4" w:space="0" w:color="auto"/>
            </w:tcBorders>
            <w:shd w:val="clear" w:color="auto" w:fill="C6D9F1" w:themeFill="text2" w:themeFillTint="33"/>
            <w:vAlign w:val="center"/>
          </w:tcPr>
          <w:p w:rsidR="00D12195" w:rsidRPr="00A32AF4" w:rsidRDefault="00FD3E7B" w:rsidP="00DC0553">
            <w:pPr>
              <w:jc w:val="center"/>
              <w:rPr>
                <w:b/>
                <w:bCs/>
                <w:sz w:val="18"/>
                <w:szCs w:val="18"/>
              </w:rPr>
            </w:pPr>
            <w:r w:rsidRPr="00A32AF4">
              <w:rPr>
                <w:b/>
                <w:bCs/>
                <w:sz w:val="18"/>
                <w:szCs w:val="18"/>
              </w:rPr>
              <w:t>Stratégie</w:t>
            </w:r>
            <w:r w:rsidR="00D27E4C" w:rsidRPr="00A32AF4">
              <w:rPr>
                <w:b/>
                <w:bCs/>
                <w:sz w:val="18"/>
                <w:szCs w:val="18"/>
              </w:rPr>
              <w:t>s</w:t>
            </w:r>
            <w:r w:rsidRPr="00A32AF4">
              <w:rPr>
                <w:b/>
                <w:bCs/>
                <w:sz w:val="18"/>
                <w:szCs w:val="18"/>
              </w:rPr>
              <w:t xml:space="preserve"> d</w:t>
            </w:r>
            <w:r w:rsidR="00E2055A" w:rsidRPr="00A32AF4">
              <w:rPr>
                <w:b/>
                <w:bCs/>
                <w:sz w:val="18"/>
                <w:szCs w:val="18"/>
              </w:rPr>
              <w:t>’</w:t>
            </w:r>
            <w:r w:rsidRPr="00A32AF4">
              <w:rPr>
                <w:b/>
                <w:bCs/>
                <w:sz w:val="18"/>
                <w:szCs w:val="18"/>
              </w:rPr>
              <w:t>atténuation</w:t>
            </w:r>
          </w:p>
        </w:tc>
      </w:tr>
      <w:tr w:rsidR="0038294E" w:rsidRPr="00A32AF4" w:rsidTr="007902B3">
        <w:trPr>
          <w:trHeight w:val="1160"/>
        </w:trPr>
        <w:tc>
          <w:tcPr>
            <w:tcW w:w="4111" w:type="dxa"/>
            <w:tcBorders>
              <w:top w:val="single" w:sz="4" w:space="0" w:color="auto"/>
              <w:left w:val="single" w:sz="4" w:space="0" w:color="auto"/>
              <w:bottom w:val="single" w:sz="4" w:space="0" w:color="auto"/>
              <w:right w:val="nil"/>
            </w:tcBorders>
            <w:shd w:val="clear" w:color="auto" w:fill="auto"/>
            <w:tcMar>
              <w:top w:w="113" w:type="dxa"/>
              <w:bottom w:w="113" w:type="dxa"/>
            </w:tcMar>
          </w:tcPr>
          <w:p w:rsidR="00D12195" w:rsidRPr="00A32AF4" w:rsidRDefault="00D12195" w:rsidP="00DC0553">
            <w:pPr>
              <w:rPr>
                <w:sz w:val="16"/>
              </w:rPr>
            </w:pPr>
            <w:r w:rsidRPr="00A32AF4">
              <w:rPr>
                <w:sz w:val="16"/>
              </w:rPr>
              <w:t>Les accords au niveau multilatéral restent difficiles et la réussite des activités normatives en vertu du programme 2 dépendra, dans une large mesure, de l</w:t>
            </w:r>
            <w:r w:rsidR="00E2055A" w:rsidRPr="00A32AF4">
              <w:rPr>
                <w:sz w:val="16"/>
              </w:rPr>
              <w:t>’</w:t>
            </w:r>
            <w:r w:rsidRPr="00A32AF4">
              <w:rPr>
                <w:sz w:val="16"/>
              </w:rPr>
              <w:t>engagement des États membres à définir des objectifs adoptés d</w:t>
            </w:r>
            <w:r w:rsidR="00E2055A" w:rsidRPr="00A32AF4">
              <w:rPr>
                <w:sz w:val="16"/>
              </w:rPr>
              <w:t>’</w:t>
            </w:r>
            <w:r w:rsidRPr="00A32AF4">
              <w:rPr>
                <w:sz w:val="16"/>
              </w:rPr>
              <w:t>un commun accord.</w:t>
            </w:r>
          </w:p>
        </w:tc>
        <w:tc>
          <w:tcPr>
            <w:tcW w:w="5103" w:type="dxa"/>
            <w:tcBorders>
              <w:top w:val="single" w:sz="4" w:space="0" w:color="auto"/>
              <w:left w:val="nil"/>
              <w:bottom w:val="single" w:sz="4" w:space="0" w:color="auto"/>
              <w:right w:val="single" w:sz="4" w:space="0" w:color="auto"/>
            </w:tcBorders>
            <w:shd w:val="clear" w:color="auto" w:fill="auto"/>
            <w:tcMar>
              <w:top w:w="113" w:type="dxa"/>
              <w:bottom w:w="113" w:type="dxa"/>
            </w:tcMar>
          </w:tcPr>
          <w:p w:rsidR="00D12195" w:rsidRPr="00A32AF4" w:rsidRDefault="00D12195" w:rsidP="00DC0553">
            <w:pPr>
              <w:autoSpaceDE w:val="0"/>
              <w:autoSpaceDN w:val="0"/>
              <w:adjustRightInd w:val="0"/>
              <w:ind w:right="-59"/>
              <w:rPr>
                <w:rFonts w:ascii="Times New Roman" w:hAnsi="Times New Roman"/>
                <w:sz w:val="16"/>
                <w:szCs w:val="16"/>
              </w:rPr>
            </w:pPr>
            <w:r w:rsidRPr="00A32AF4">
              <w:rPr>
                <w:sz w:val="16"/>
              </w:rPr>
              <w:t>Il s</w:t>
            </w:r>
            <w:r w:rsidR="00E2055A" w:rsidRPr="00A32AF4">
              <w:rPr>
                <w:sz w:val="16"/>
              </w:rPr>
              <w:t>’</w:t>
            </w:r>
            <w:r w:rsidRPr="00A32AF4">
              <w:rPr>
                <w:sz w:val="16"/>
              </w:rPr>
              <w:t>agit d</w:t>
            </w:r>
            <w:r w:rsidR="00E2055A" w:rsidRPr="00A32AF4">
              <w:rPr>
                <w:sz w:val="16"/>
              </w:rPr>
              <w:t>’</w:t>
            </w:r>
            <w:r w:rsidRPr="00A32AF4">
              <w:rPr>
                <w:sz w:val="16"/>
              </w:rPr>
              <w:t>un risque inhérent à toute activité d</w:t>
            </w:r>
            <w:r w:rsidR="00E2055A" w:rsidRPr="00A32AF4">
              <w:rPr>
                <w:sz w:val="16"/>
              </w:rPr>
              <w:t>’</w:t>
            </w:r>
            <w:r w:rsidRPr="00A32AF4">
              <w:rPr>
                <w:sz w:val="16"/>
              </w:rPr>
              <w:t>établissement de normes qui, de par sa nature, devra être pris en compte par le programme.  Cependant, certaines activités menées dans le cadre du programme, notamment les sessions du SCT, permettront d</w:t>
            </w:r>
            <w:r w:rsidR="00E2055A" w:rsidRPr="00A32AF4">
              <w:rPr>
                <w:sz w:val="16"/>
              </w:rPr>
              <w:t>’</w:t>
            </w:r>
            <w:r w:rsidRPr="00A32AF4">
              <w:rPr>
                <w:sz w:val="16"/>
              </w:rPr>
              <w:t>instaurer un dialogue et un échange de vues permanents afin de recenser les domaines de convergence où il y a communauté de vues et les possibilités de s</w:t>
            </w:r>
            <w:r w:rsidR="00E2055A" w:rsidRPr="00A32AF4">
              <w:rPr>
                <w:sz w:val="16"/>
              </w:rPr>
              <w:t>’</w:t>
            </w:r>
            <w:r w:rsidRPr="00A32AF4">
              <w:rPr>
                <w:sz w:val="16"/>
              </w:rPr>
              <w:t>entendre sur les résultats visés.</w:t>
            </w:r>
          </w:p>
        </w:tc>
      </w:tr>
    </w:tbl>
    <w:p w:rsidR="00F93B76" w:rsidRPr="00A32AF4" w:rsidRDefault="00F93B76" w:rsidP="00DC0553"/>
    <w:p w:rsidR="00F93B76" w:rsidRPr="00A32AF4" w:rsidRDefault="00F93B76" w:rsidP="00DC0553"/>
    <w:p w:rsidR="00F93B76" w:rsidRPr="00A32AF4" w:rsidRDefault="00263CAC" w:rsidP="00DC0553">
      <w:r w:rsidRPr="00A32AF4">
        <w:t>TABLEAU DES RÉSULTATS</w:t>
      </w:r>
    </w:p>
    <w:p w:rsidR="00D12195" w:rsidRPr="00A32AF4" w:rsidRDefault="00D12195" w:rsidP="00DC0553"/>
    <w:tbl>
      <w:tblPr>
        <w:tblW w:w="9248" w:type="dxa"/>
        <w:tblInd w:w="9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14"/>
        <w:gridCol w:w="2248"/>
        <w:gridCol w:w="2699"/>
        <w:gridCol w:w="2287"/>
      </w:tblGrid>
      <w:tr w:rsidR="0038294E" w:rsidRPr="00A32AF4" w:rsidTr="00D27E4C">
        <w:trPr>
          <w:cantSplit/>
          <w:tblHeader/>
        </w:trPr>
        <w:tc>
          <w:tcPr>
            <w:tcW w:w="2014" w:type="dxa"/>
            <w:tcBorders>
              <w:top w:val="single" w:sz="4" w:space="0" w:color="auto"/>
              <w:bottom w:val="single" w:sz="4" w:space="0" w:color="auto"/>
            </w:tcBorders>
            <w:shd w:val="clear" w:color="auto" w:fill="C6D9F1" w:themeFill="text2" w:themeFillTint="33"/>
            <w:noWrap/>
            <w:tcMar>
              <w:top w:w="113" w:type="dxa"/>
              <w:bottom w:w="113" w:type="dxa"/>
            </w:tcMar>
            <w:vAlign w:val="center"/>
            <w:hideMark/>
          </w:tcPr>
          <w:p w:rsidR="00D12195" w:rsidRPr="00A32AF4" w:rsidRDefault="00D12195" w:rsidP="00DC0553">
            <w:pPr>
              <w:jc w:val="center"/>
              <w:rPr>
                <w:b/>
                <w:bCs/>
                <w:sz w:val="18"/>
                <w:szCs w:val="16"/>
              </w:rPr>
            </w:pPr>
            <w:r w:rsidRPr="00A32AF4">
              <w:rPr>
                <w:b/>
                <w:bCs/>
                <w:sz w:val="18"/>
                <w:szCs w:val="16"/>
              </w:rPr>
              <w:t>Résultats escomptés</w:t>
            </w:r>
          </w:p>
        </w:tc>
        <w:tc>
          <w:tcPr>
            <w:tcW w:w="2248" w:type="dxa"/>
            <w:tcBorders>
              <w:top w:val="single" w:sz="4" w:space="0" w:color="auto"/>
              <w:bottom w:val="single" w:sz="4" w:space="0" w:color="auto"/>
            </w:tcBorders>
            <w:shd w:val="clear" w:color="auto" w:fill="C6D9F1" w:themeFill="text2" w:themeFillTint="33"/>
            <w:noWrap/>
            <w:tcMar>
              <w:top w:w="113" w:type="dxa"/>
              <w:bottom w:w="113" w:type="dxa"/>
            </w:tcMar>
            <w:vAlign w:val="center"/>
            <w:hideMark/>
          </w:tcPr>
          <w:p w:rsidR="00D12195" w:rsidRPr="00A32AF4" w:rsidRDefault="00D12195" w:rsidP="00DC0553">
            <w:pPr>
              <w:jc w:val="center"/>
              <w:rPr>
                <w:b/>
                <w:bCs/>
                <w:sz w:val="18"/>
                <w:szCs w:val="16"/>
              </w:rPr>
            </w:pPr>
            <w:r w:rsidRPr="00A32AF4">
              <w:rPr>
                <w:b/>
                <w:bCs/>
                <w:sz w:val="18"/>
                <w:szCs w:val="16"/>
              </w:rPr>
              <w:t>Indicateurs d</w:t>
            </w:r>
            <w:r w:rsidR="00E2055A" w:rsidRPr="00A32AF4">
              <w:rPr>
                <w:b/>
                <w:bCs/>
                <w:sz w:val="18"/>
                <w:szCs w:val="16"/>
              </w:rPr>
              <w:t>’</w:t>
            </w:r>
            <w:r w:rsidRPr="00A32AF4">
              <w:rPr>
                <w:b/>
                <w:bCs/>
                <w:sz w:val="18"/>
                <w:szCs w:val="16"/>
              </w:rPr>
              <w:t>exécution</w:t>
            </w:r>
          </w:p>
        </w:tc>
        <w:tc>
          <w:tcPr>
            <w:tcW w:w="2699" w:type="dxa"/>
            <w:tcBorders>
              <w:top w:val="single" w:sz="4" w:space="0" w:color="auto"/>
              <w:bottom w:val="single" w:sz="4" w:space="0" w:color="auto"/>
            </w:tcBorders>
            <w:shd w:val="clear" w:color="auto" w:fill="C6D9F1" w:themeFill="text2" w:themeFillTint="33"/>
            <w:noWrap/>
            <w:tcMar>
              <w:top w:w="113" w:type="dxa"/>
              <w:bottom w:w="113" w:type="dxa"/>
            </w:tcMar>
            <w:vAlign w:val="center"/>
            <w:hideMark/>
          </w:tcPr>
          <w:p w:rsidR="00D12195" w:rsidRPr="00A32AF4" w:rsidRDefault="00D12195" w:rsidP="00DC0553">
            <w:pPr>
              <w:jc w:val="center"/>
              <w:rPr>
                <w:b/>
                <w:bCs/>
                <w:sz w:val="18"/>
                <w:szCs w:val="16"/>
              </w:rPr>
            </w:pPr>
            <w:r w:rsidRPr="00A32AF4">
              <w:rPr>
                <w:b/>
                <w:bCs/>
                <w:sz w:val="18"/>
                <w:szCs w:val="16"/>
              </w:rPr>
              <w:t>Niveau de référence</w:t>
            </w:r>
          </w:p>
        </w:tc>
        <w:tc>
          <w:tcPr>
            <w:tcW w:w="2287" w:type="dxa"/>
            <w:tcBorders>
              <w:top w:val="single" w:sz="4" w:space="0" w:color="auto"/>
              <w:bottom w:val="single" w:sz="4" w:space="0" w:color="auto"/>
            </w:tcBorders>
            <w:shd w:val="clear" w:color="auto" w:fill="C6D9F1" w:themeFill="text2" w:themeFillTint="33"/>
            <w:noWrap/>
            <w:tcMar>
              <w:top w:w="113" w:type="dxa"/>
              <w:bottom w:w="113" w:type="dxa"/>
            </w:tcMar>
            <w:vAlign w:val="center"/>
            <w:hideMark/>
          </w:tcPr>
          <w:p w:rsidR="00D12195" w:rsidRPr="00A32AF4" w:rsidRDefault="00D12195" w:rsidP="00DC0553">
            <w:pPr>
              <w:jc w:val="center"/>
              <w:rPr>
                <w:b/>
                <w:bCs/>
                <w:sz w:val="18"/>
                <w:szCs w:val="16"/>
              </w:rPr>
            </w:pPr>
            <w:r w:rsidRPr="00A32AF4">
              <w:rPr>
                <w:b/>
                <w:bCs/>
                <w:sz w:val="18"/>
                <w:szCs w:val="16"/>
              </w:rPr>
              <w:t>Objectifs visés</w:t>
            </w:r>
          </w:p>
        </w:tc>
      </w:tr>
      <w:tr w:rsidR="0038294E" w:rsidRPr="00A32AF4" w:rsidTr="0039611C">
        <w:trPr>
          <w:cantSplit/>
        </w:trPr>
        <w:tc>
          <w:tcPr>
            <w:tcW w:w="2014" w:type="dxa"/>
            <w:vMerge w:val="restart"/>
            <w:tcBorders>
              <w:top w:val="single" w:sz="4" w:space="0" w:color="auto"/>
            </w:tcBorders>
            <w:shd w:val="clear" w:color="000000" w:fill="FFFFFF"/>
            <w:tcMar>
              <w:top w:w="113" w:type="dxa"/>
              <w:bottom w:w="113" w:type="dxa"/>
            </w:tcMar>
            <w:hideMark/>
          </w:tcPr>
          <w:p w:rsidR="00D12195" w:rsidRPr="00A32AF4" w:rsidRDefault="00D12195" w:rsidP="00DC0553">
            <w:pPr>
              <w:rPr>
                <w:sz w:val="16"/>
                <w:szCs w:val="16"/>
              </w:rPr>
            </w:pPr>
            <w:r w:rsidRPr="00A32AF4">
              <w:rPr>
                <w:sz w:val="16"/>
                <w:szCs w:val="16"/>
              </w:rPr>
              <w:t xml:space="preserve">I.1 </w:t>
            </w:r>
            <w:r w:rsidR="0039611C" w:rsidRPr="00A32AF4">
              <w:rPr>
                <w:sz w:val="16"/>
                <w:szCs w:val="16"/>
              </w:rPr>
              <w:t>Renforcement de la coopération entre les États membres en ce qui concerne l</w:t>
            </w:r>
            <w:r w:rsidR="00E2055A" w:rsidRPr="00A32AF4">
              <w:rPr>
                <w:sz w:val="16"/>
                <w:szCs w:val="16"/>
              </w:rPr>
              <w:t>’</w:t>
            </w:r>
            <w:r w:rsidR="0039611C" w:rsidRPr="00A32AF4">
              <w:rPr>
                <w:sz w:val="16"/>
                <w:szCs w:val="16"/>
              </w:rPr>
              <w:t>élaboration de cadres normatifs internationaux équilibrés dans le domaine de la propriété intellectuelle</w:t>
            </w:r>
          </w:p>
        </w:tc>
        <w:tc>
          <w:tcPr>
            <w:tcW w:w="2248" w:type="dxa"/>
            <w:tcBorders>
              <w:top w:val="single" w:sz="4" w:space="0" w:color="auto"/>
            </w:tcBorders>
            <w:shd w:val="clear" w:color="000000" w:fill="FFFFFF"/>
            <w:tcMar>
              <w:top w:w="113" w:type="dxa"/>
              <w:bottom w:w="113" w:type="dxa"/>
            </w:tcMar>
            <w:hideMark/>
          </w:tcPr>
          <w:p w:rsidR="00D12195" w:rsidRPr="00A32AF4" w:rsidRDefault="00D12195" w:rsidP="00DC0553">
            <w:pPr>
              <w:rPr>
                <w:sz w:val="16"/>
                <w:szCs w:val="16"/>
              </w:rPr>
            </w:pPr>
            <w:r w:rsidRPr="00A32AF4">
              <w:rPr>
                <w:sz w:val="16"/>
                <w:szCs w:val="16"/>
              </w:rPr>
              <w:t>Progrès visant à parvenir à un accord sur les points en cours de l</w:t>
            </w:r>
            <w:r w:rsidR="00E2055A" w:rsidRPr="00A32AF4">
              <w:rPr>
                <w:sz w:val="16"/>
                <w:szCs w:val="16"/>
              </w:rPr>
              <w:t>’</w:t>
            </w:r>
            <w:r w:rsidRPr="00A32AF4">
              <w:rPr>
                <w:sz w:val="16"/>
                <w:szCs w:val="16"/>
              </w:rPr>
              <w:t>ordre du jour du SCT</w:t>
            </w:r>
          </w:p>
        </w:tc>
        <w:tc>
          <w:tcPr>
            <w:tcW w:w="2699" w:type="dxa"/>
            <w:tcBorders>
              <w:top w:val="single" w:sz="4" w:space="0" w:color="auto"/>
            </w:tcBorders>
            <w:shd w:val="clear" w:color="000000" w:fill="FFFFFF"/>
            <w:tcMar>
              <w:top w:w="113" w:type="dxa"/>
              <w:bottom w:w="113" w:type="dxa"/>
            </w:tcMar>
            <w:hideMark/>
          </w:tcPr>
          <w:p w:rsidR="00D12195" w:rsidRPr="00A32AF4" w:rsidRDefault="00D12195" w:rsidP="00DC0553">
            <w:pPr>
              <w:tabs>
                <w:tab w:val="left" w:pos="2024"/>
              </w:tabs>
              <w:rPr>
                <w:sz w:val="16"/>
                <w:szCs w:val="16"/>
              </w:rPr>
            </w:pPr>
            <w:r w:rsidRPr="00A32AF4">
              <w:rPr>
                <w:sz w:val="16"/>
                <w:szCs w:val="16"/>
              </w:rPr>
              <w:t>État d</w:t>
            </w:r>
            <w:r w:rsidR="00E2055A" w:rsidRPr="00A32AF4">
              <w:rPr>
                <w:sz w:val="16"/>
                <w:szCs w:val="16"/>
              </w:rPr>
              <w:t>’</w:t>
            </w:r>
            <w:r w:rsidRPr="00A32AF4">
              <w:rPr>
                <w:sz w:val="16"/>
                <w:szCs w:val="16"/>
              </w:rPr>
              <w:t>avancement des travaux du SCT à la fin de 2015 selon les documents de travail pertinents</w:t>
            </w:r>
          </w:p>
        </w:tc>
        <w:tc>
          <w:tcPr>
            <w:tcW w:w="2287" w:type="dxa"/>
            <w:tcBorders>
              <w:top w:val="single" w:sz="4" w:space="0" w:color="auto"/>
            </w:tcBorders>
            <w:shd w:val="clear" w:color="000000" w:fill="FFFFFF"/>
            <w:tcMar>
              <w:top w:w="113" w:type="dxa"/>
              <w:bottom w:w="113" w:type="dxa"/>
            </w:tcMar>
            <w:hideMark/>
          </w:tcPr>
          <w:p w:rsidR="00D12195" w:rsidRPr="00A32AF4" w:rsidRDefault="00D12195" w:rsidP="00DC0553">
            <w:pPr>
              <w:rPr>
                <w:sz w:val="16"/>
                <w:szCs w:val="16"/>
              </w:rPr>
            </w:pPr>
            <w:r w:rsidRPr="00A32AF4">
              <w:rPr>
                <w:sz w:val="16"/>
                <w:szCs w:val="16"/>
              </w:rPr>
              <w:t>Résultats convenus par le SCT</w:t>
            </w:r>
          </w:p>
        </w:tc>
      </w:tr>
      <w:tr w:rsidR="0038294E" w:rsidRPr="00A32AF4" w:rsidTr="0039611C">
        <w:trPr>
          <w:cantSplit/>
        </w:trPr>
        <w:tc>
          <w:tcPr>
            <w:tcW w:w="2014" w:type="dxa"/>
            <w:vMerge/>
            <w:tcMar>
              <w:top w:w="113" w:type="dxa"/>
              <w:bottom w:w="113" w:type="dxa"/>
            </w:tcMar>
            <w:vAlign w:val="center"/>
            <w:hideMark/>
          </w:tcPr>
          <w:p w:rsidR="00D12195" w:rsidRPr="00A32AF4" w:rsidRDefault="00D12195" w:rsidP="00DC0553">
            <w:pPr>
              <w:rPr>
                <w:sz w:val="16"/>
                <w:szCs w:val="16"/>
              </w:rPr>
            </w:pPr>
          </w:p>
        </w:tc>
        <w:tc>
          <w:tcPr>
            <w:tcW w:w="2248" w:type="dxa"/>
            <w:shd w:val="clear" w:color="000000" w:fill="FFFFFF"/>
            <w:tcMar>
              <w:top w:w="113" w:type="dxa"/>
              <w:bottom w:w="113" w:type="dxa"/>
            </w:tcMar>
            <w:hideMark/>
          </w:tcPr>
          <w:p w:rsidR="00D12195" w:rsidRPr="00A32AF4" w:rsidRDefault="00D12195" w:rsidP="00DC0553">
            <w:pPr>
              <w:rPr>
                <w:sz w:val="16"/>
                <w:szCs w:val="16"/>
              </w:rPr>
            </w:pPr>
            <w:r w:rsidRPr="00A32AF4">
              <w:rPr>
                <w:sz w:val="16"/>
                <w:szCs w:val="16"/>
              </w:rPr>
              <w:t>Nombre de ratifications du Traité de Singapour ou d</w:t>
            </w:r>
            <w:r w:rsidR="00E2055A" w:rsidRPr="00A32AF4">
              <w:rPr>
                <w:sz w:val="16"/>
                <w:szCs w:val="16"/>
              </w:rPr>
              <w:t>’</w:t>
            </w:r>
            <w:r w:rsidRPr="00A32AF4">
              <w:rPr>
                <w:sz w:val="16"/>
                <w:szCs w:val="16"/>
              </w:rPr>
              <w:t>adhésions à ce traité</w:t>
            </w:r>
          </w:p>
        </w:tc>
        <w:tc>
          <w:tcPr>
            <w:tcW w:w="2699" w:type="dxa"/>
            <w:shd w:val="clear" w:color="000000" w:fill="FFFFFF"/>
            <w:tcMar>
              <w:top w:w="113" w:type="dxa"/>
              <w:bottom w:w="113" w:type="dxa"/>
            </w:tcMar>
            <w:hideMark/>
          </w:tcPr>
          <w:p w:rsidR="00D12195" w:rsidRPr="00A32AF4" w:rsidRDefault="00D12195" w:rsidP="00DC0553">
            <w:pPr>
              <w:rPr>
                <w:sz w:val="16"/>
                <w:szCs w:val="16"/>
              </w:rPr>
            </w:pPr>
            <w:r w:rsidRPr="00A32AF4">
              <w:rPr>
                <w:sz w:val="16"/>
                <w:szCs w:val="16"/>
              </w:rPr>
              <w:t xml:space="preserve">Sept nouvelles parties contractantes en 2014 : Bélarus, Belgique, </w:t>
            </w:r>
            <w:r w:rsidR="00A62AF7" w:rsidRPr="00A32AF4">
              <w:rPr>
                <w:sz w:val="16"/>
                <w:szCs w:val="16"/>
              </w:rPr>
              <w:t>Iraq</w:t>
            </w:r>
            <w:r w:rsidRPr="00A32AF4">
              <w:rPr>
                <w:sz w:val="16"/>
                <w:szCs w:val="16"/>
              </w:rPr>
              <w:t xml:space="preserve">, Luxembourg, Organisation Benelux de la </w:t>
            </w:r>
            <w:r w:rsidR="00A62AF7" w:rsidRPr="00A32AF4">
              <w:rPr>
                <w:sz w:val="16"/>
                <w:szCs w:val="16"/>
              </w:rPr>
              <w:t>p</w:t>
            </w:r>
            <w:r w:rsidRPr="00A32AF4">
              <w:rPr>
                <w:sz w:val="16"/>
                <w:szCs w:val="16"/>
              </w:rPr>
              <w:t xml:space="preserve">ropriété </w:t>
            </w:r>
            <w:r w:rsidR="00A62AF7" w:rsidRPr="00A32AF4">
              <w:rPr>
                <w:sz w:val="16"/>
                <w:szCs w:val="16"/>
              </w:rPr>
              <w:t>i</w:t>
            </w:r>
            <w:r w:rsidRPr="00A32AF4">
              <w:rPr>
                <w:sz w:val="16"/>
                <w:szCs w:val="16"/>
              </w:rPr>
              <w:t>ntellectuelle (OBPI), Pays</w:t>
            </w:r>
            <w:r w:rsidR="00EB7F54" w:rsidRPr="00A32AF4">
              <w:rPr>
                <w:sz w:val="16"/>
                <w:szCs w:val="16"/>
              </w:rPr>
              <w:noBreakHyphen/>
            </w:r>
            <w:r w:rsidRPr="00A32AF4">
              <w:rPr>
                <w:sz w:val="16"/>
                <w:szCs w:val="16"/>
              </w:rPr>
              <w:t>Bas et Tadjikistan, portant le nombre total de parties contractantes à 38 à la fin de 2014.</w:t>
            </w:r>
          </w:p>
        </w:tc>
        <w:tc>
          <w:tcPr>
            <w:tcW w:w="2287" w:type="dxa"/>
            <w:shd w:val="clear" w:color="000000" w:fill="FFFFFF"/>
            <w:tcMar>
              <w:top w:w="113" w:type="dxa"/>
              <w:bottom w:w="113" w:type="dxa"/>
            </w:tcMar>
            <w:hideMark/>
          </w:tcPr>
          <w:p w:rsidR="00D12195" w:rsidRPr="00A32AF4" w:rsidRDefault="00D12195" w:rsidP="00DC0553">
            <w:pPr>
              <w:rPr>
                <w:sz w:val="16"/>
                <w:szCs w:val="16"/>
              </w:rPr>
            </w:pPr>
            <w:r w:rsidRPr="00A32AF4">
              <w:rPr>
                <w:sz w:val="16"/>
                <w:szCs w:val="16"/>
              </w:rPr>
              <w:t>Huit nouvelles ratifications/adhésions</w:t>
            </w:r>
          </w:p>
        </w:tc>
      </w:tr>
      <w:tr w:rsidR="0038294E" w:rsidRPr="00A32AF4" w:rsidTr="0039611C">
        <w:trPr>
          <w:cantSplit/>
        </w:trPr>
        <w:tc>
          <w:tcPr>
            <w:tcW w:w="2014" w:type="dxa"/>
            <w:shd w:val="clear" w:color="000000" w:fill="FFFFFF"/>
            <w:tcMar>
              <w:top w:w="113" w:type="dxa"/>
              <w:bottom w:w="113" w:type="dxa"/>
            </w:tcMar>
            <w:hideMark/>
          </w:tcPr>
          <w:p w:rsidR="00D12195" w:rsidRPr="00A32AF4" w:rsidRDefault="00D12195" w:rsidP="00DC0553">
            <w:pPr>
              <w:tabs>
                <w:tab w:val="left" w:pos="1284"/>
                <w:tab w:val="left" w:pos="1585"/>
              </w:tabs>
              <w:rPr>
                <w:sz w:val="16"/>
                <w:szCs w:val="16"/>
              </w:rPr>
            </w:pPr>
            <w:r w:rsidRPr="00A32AF4">
              <w:rPr>
                <w:sz w:val="16"/>
                <w:szCs w:val="16"/>
              </w:rPr>
              <w:t xml:space="preserve">I.2 </w:t>
            </w:r>
            <w:r w:rsidR="0039611C" w:rsidRPr="00A32AF4">
              <w:rPr>
                <w:sz w:val="16"/>
                <w:szCs w:val="16"/>
              </w:rPr>
              <w:t>Cadres législatifs, réglementaires et politiques de propriété intellectuelle adaptés et équilibrés</w:t>
            </w:r>
          </w:p>
        </w:tc>
        <w:tc>
          <w:tcPr>
            <w:tcW w:w="2248" w:type="dxa"/>
            <w:shd w:val="clear" w:color="000000" w:fill="FFFFFF"/>
            <w:tcMar>
              <w:top w:w="113" w:type="dxa"/>
              <w:bottom w:w="113" w:type="dxa"/>
            </w:tcMar>
            <w:hideMark/>
          </w:tcPr>
          <w:p w:rsidR="00D12195" w:rsidRPr="00A32AF4" w:rsidRDefault="00D12195" w:rsidP="00DC0553">
            <w:pPr>
              <w:tabs>
                <w:tab w:val="left" w:pos="1537"/>
                <w:tab w:val="left" w:pos="1875"/>
              </w:tabs>
              <w:rPr>
                <w:sz w:val="16"/>
                <w:szCs w:val="16"/>
              </w:rPr>
            </w:pPr>
            <w:r w:rsidRPr="00A32AF4">
              <w:rPr>
                <w:sz w:val="16"/>
                <w:szCs w:val="16"/>
              </w:rPr>
              <w:t>Nombre et pourcentage d</w:t>
            </w:r>
            <w:r w:rsidR="00E2055A" w:rsidRPr="00A32AF4">
              <w:rPr>
                <w:sz w:val="16"/>
                <w:szCs w:val="16"/>
              </w:rPr>
              <w:t>’</w:t>
            </w:r>
            <w:r w:rsidRPr="00A32AF4">
              <w:rPr>
                <w:sz w:val="16"/>
                <w:szCs w:val="16"/>
              </w:rPr>
              <w:t>États membres et d</w:t>
            </w:r>
            <w:r w:rsidR="00E2055A" w:rsidRPr="00A32AF4">
              <w:rPr>
                <w:sz w:val="16"/>
                <w:szCs w:val="16"/>
              </w:rPr>
              <w:t>’</w:t>
            </w:r>
            <w:r w:rsidRPr="00A32AF4">
              <w:rPr>
                <w:sz w:val="16"/>
                <w:szCs w:val="16"/>
              </w:rPr>
              <w:t>organisations régionales ayant donné un retour d</w:t>
            </w:r>
            <w:r w:rsidR="00E2055A" w:rsidRPr="00A32AF4">
              <w:rPr>
                <w:sz w:val="16"/>
                <w:szCs w:val="16"/>
              </w:rPr>
              <w:t>’</w:t>
            </w:r>
            <w:r w:rsidRPr="00A32AF4">
              <w:rPr>
                <w:sz w:val="16"/>
                <w:szCs w:val="16"/>
              </w:rPr>
              <w:t>information positif sur les conseils législatifs fournis dans le domaine des marques, des dessins et modèles industriels et des indications géographiques</w:t>
            </w:r>
          </w:p>
        </w:tc>
        <w:tc>
          <w:tcPr>
            <w:tcW w:w="2699" w:type="dxa"/>
            <w:shd w:val="clear" w:color="000000" w:fill="FFFFFF"/>
            <w:tcMar>
              <w:top w:w="113" w:type="dxa"/>
              <w:bottom w:w="113" w:type="dxa"/>
            </w:tcMar>
            <w:hideMark/>
          </w:tcPr>
          <w:p w:rsidR="00D12195" w:rsidRPr="00A32AF4" w:rsidRDefault="00D12195" w:rsidP="00DC0553">
            <w:pPr>
              <w:rPr>
                <w:sz w:val="16"/>
                <w:szCs w:val="16"/>
              </w:rPr>
            </w:pPr>
            <w:r w:rsidRPr="00A32AF4">
              <w:rPr>
                <w:sz w:val="16"/>
                <w:szCs w:val="16"/>
              </w:rPr>
              <w:t>2014 : des conseils ont été fournis à 20 États membres ou organisations régionales.  Sept États membres ou organisations régionales ont donné un retour d</w:t>
            </w:r>
            <w:r w:rsidR="00E2055A" w:rsidRPr="00A32AF4">
              <w:rPr>
                <w:sz w:val="16"/>
                <w:szCs w:val="16"/>
              </w:rPr>
              <w:t>’</w:t>
            </w:r>
            <w:r w:rsidRPr="00A32AF4">
              <w:rPr>
                <w:sz w:val="16"/>
                <w:szCs w:val="16"/>
              </w:rPr>
              <w:t xml:space="preserve">information.  Tous (100%) ont fait part de leur satisfaction </w:t>
            </w:r>
            <w:r w:rsidR="00E2055A" w:rsidRPr="00A32AF4">
              <w:rPr>
                <w:sz w:val="16"/>
                <w:szCs w:val="16"/>
              </w:rPr>
              <w:t>à l’égard</w:t>
            </w:r>
            <w:r w:rsidRPr="00A32AF4">
              <w:rPr>
                <w:sz w:val="16"/>
                <w:szCs w:val="16"/>
              </w:rPr>
              <w:t xml:space="preserve"> des conseils fournis.</w:t>
            </w:r>
          </w:p>
        </w:tc>
        <w:tc>
          <w:tcPr>
            <w:tcW w:w="2287" w:type="dxa"/>
            <w:shd w:val="clear" w:color="000000" w:fill="FFFFFF"/>
            <w:tcMar>
              <w:top w:w="113" w:type="dxa"/>
              <w:bottom w:w="113" w:type="dxa"/>
            </w:tcMar>
            <w:hideMark/>
          </w:tcPr>
          <w:p w:rsidR="00D12195" w:rsidRPr="00A32AF4" w:rsidRDefault="00D12195" w:rsidP="00DC0553">
            <w:pPr>
              <w:rPr>
                <w:sz w:val="16"/>
                <w:szCs w:val="16"/>
              </w:rPr>
            </w:pPr>
            <w:r w:rsidRPr="00A32AF4">
              <w:rPr>
                <w:sz w:val="16"/>
                <w:szCs w:val="16"/>
              </w:rPr>
              <w:t xml:space="preserve">90% des personnes interrogées satisfaits des conseils fournis </w:t>
            </w:r>
          </w:p>
        </w:tc>
      </w:tr>
      <w:tr w:rsidR="0038294E" w:rsidRPr="00A32AF4" w:rsidTr="0039611C">
        <w:trPr>
          <w:cantSplit/>
        </w:trPr>
        <w:tc>
          <w:tcPr>
            <w:tcW w:w="2014" w:type="dxa"/>
            <w:shd w:val="clear" w:color="000000" w:fill="FFFFFF"/>
            <w:tcMar>
              <w:top w:w="113" w:type="dxa"/>
              <w:bottom w:w="113" w:type="dxa"/>
            </w:tcMar>
            <w:hideMark/>
          </w:tcPr>
          <w:p w:rsidR="00D12195" w:rsidRPr="00A32AF4" w:rsidRDefault="00D12195" w:rsidP="00DC0553">
            <w:pPr>
              <w:rPr>
                <w:sz w:val="16"/>
                <w:szCs w:val="16"/>
              </w:rPr>
            </w:pPr>
            <w:r w:rsidRPr="00A32AF4">
              <w:rPr>
                <w:sz w:val="16"/>
                <w:szCs w:val="16"/>
              </w:rPr>
              <w:t xml:space="preserve">I.3 </w:t>
            </w:r>
            <w:r w:rsidR="0039611C" w:rsidRPr="00A32AF4">
              <w:rPr>
                <w:sz w:val="16"/>
                <w:szCs w:val="16"/>
              </w:rPr>
              <w:t>Protection renforcée des emblèmes d</w:t>
            </w:r>
            <w:r w:rsidR="00E2055A" w:rsidRPr="00A32AF4">
              <w:rPr>
                <w:sz w:val="16"/>
                <w:szCs w:val="16"/>
              </w:rPr>
              <w:t>’</w:t>
            </w:r>
            <w:r w:rsidR="0039611C" w:rsidRPr="00A32AF4">
              <w:rPr>
                <w:sz w:val="16"/>
                <w:szCs w:val="16"/>
              </w:rPr>
              <w:t>États et des noms et emblèmes d</w:t>
            </w:r>
            <w:r w:rsidR="00E2055A" w:rsidRPr="00A32AF4">
              <w:rPr>
                <w:sz w:val="16"/>
                <w:szCs w:val="16"/>
              </w:rPr>
              <w:t>’</w:t>
            </w:r>
            <w:r w:rsidR="0039611C" w:rsidRPr="00A32AF4">
              <w:rPr>
                <w:sz w:val="16"/>
                <w:szCs w:val="16"/>
              </w:rPr>
              <w:t>organisations internationales intergouvernementales</w:t>
            </w:r>
          </w:p>
        </w:tc>
        <w:tc>
          <w:tcPr>
            <w:tcW w:w="2248" w:type="dxa"/>
            <w:shd w:val="clear" w:color="000000" w:fill="FFFFFF"/>
            <w:tcMar>
              <w:top w:w="113" w:type="dxa"/>
              <w:bottom w:w="113" w:type="dxa"/>
            </w:tcMar>
            <w:hideMark/>
          </w:tcPr>
          <w:p w:rsidR="00D12195" w:rsidRPr="00A32AF4" w:rsidRDefault="00D12195" w:rsidP="00DC0553">
            <w:pPr>
              <w:rPr>
                <w:sz w:val="16"/>
                <w:szCs w:val="16"/>
              </w:rPr>
            </w:pPr>
            <w:r w:rsidRPr="00A32AF4">
              <w:rPr>
                <w:sz w:val="16"/>
                <w:szCs w:val="16"/>
              </w:rPr>
              <w:t>Nombre de signes contenus dans la base de données sur l</w:t>
            </w:r>
            <w:r w:rsidR="00E2055A" w:rsidRPr="00A32AF4">
              <w:rPr>
                <w:sz w:val="16"/>
                <w:szCs w:val="16"/>
              </w:rPr>
              <w:t>’</w:t>
            </w:r>
            <w:r w:rsidRPr="00A32AF4">
              <w:rPr>
                <w:sz w:val="16"/>
                <w:szCs w:val="16"/>
              </w:rPr>
              <w:t>article 6</w:t>
            </w:r>
            <w:r w:rsidRPr="00A32AF4">
              <w:rPr>
                <w:i/>
                <w:sz w:val="16"/>
                <w:szCs w:val="16"/>
              </w:rPr>
              <w:t>ter</w:t>
            </w:r>
          </w:p>
        </w:tc>
        <w:tc>
          <w:tcPr>
            <w:tcW w:w="2699" w:type="dxa"/>
            <w:shd w:val="clear" w:color="000000" w:fill="FFFFFF"/>
            <w:tcMar>
              <w:top w:w="113" w:type="dxa"/>
              <w:bottom w:w="113" w:type="dxa"/>
            </w:tcMar>
            <w:hideMark/>
          </w:tcPr>
          <w:p w:rsidR="00D12195" w:rsidRPr="00A32AF4" w:rsidRDefault="00D12195" w:rsidP="00DC0553">
            <w:pPr>
              <w:rPr>
                <w:sz w:val="16"/>
                <w:szCs w:val="16"/>
              </w:rPr>
            </w:pPr>
            <w:r w:rsidRPr="00A32AF4">
              <w:rPr>
                <w:sz w:val="16"/>
                <w:szCs w:val="16"/>
              </w:rPr>
              <w:t>3103 (au 15 avril 2015)</w:t>
            </w:r>
          </w:p>
        </w:tc>
        <w:tc>
          <w:tcPr>
            <w:tcW w:w="2287" w:type="dxa"/>
            <w:shd w:val="clear" w:color="000000" w:fill="FFFFFF"/>
            <w:tcMar>
              <w:top w:w="113" w:type="dxa"/>
              <w:bottom w:w="113" w:type="dxa"/>
            </w:tcMar>
            <w:hideMark/>
          </w:tcPr>
          <w:p w:rsidR="00D12195" w:rsidRPr="00A32AF4" w:rsidRDefault="00D12195" w:rsidP="00DC0553">
            <w:pPr>
              <w:rPr>
                <w:sz w:val="16"/>
                <w:szCs w:val="16"/>
              </w:rPr>
            </w:pPr>
            <w:r w:rsidRPr="00A32AF4">
              <w:rPr>
                <w:sz w:val="16"/>
                <w:szCs w:val="16"/>
              </w:rPr>
              <w:t>120 nouveaux signes publiés au cours de l</w:t>
            </w:r>
            <w:r w:rsidR="00E2055A" w:rsidRPr="00A32AF4">
              <w:rPr>
                <w:sz w:val="16"/>
                <w:szCs w:val="16"/>
              </w:rPr>
              <w:t>’</w:t>
            </w:r>
            <w:r w:rsidRPr="00A32AF4">
              <w:rPr>
                <w:sz w:val="16"/>
                <w:szCs w:val="16"/>
              </w:rPr>
              <w:t xml:space="preserve">exercice biennal </w:t>
            </w:r>
          </w:p>
        </w:tc>
      </w:tr>
    </w:tbl>
    <w:p w:rsidR="00F93B76" w:rsidRPr="00A32AF4" w:rsidRDefault="00F93B76" w:rsidP="00DC0553"/>
    <w:p w:rsidR="00F93B76" w:rsidRPr="00A32AF4" w:rsidRDefault="00F93B76" w:rsidP="00DC0553"/>
    <w:p w:rsidR="00F93B76" w:rsidRPr="00A32AF4" w:rsidRDefault="00DB1CFC" w:rsidP="00F70ECD">
      <w:pPr>
        <w:keepNext/>
        <w:rPr>
          <w:rFonts w:cs="Arial"/>
          <w:caps/>
        </w:rPr>
      </w:pPr>
      <w:r w:rsidRPr="00A32AF4">
        <w:rPr>
          <w:rFonts w:cs="Arial"/>
          <w:caps/>
        </w:rPr>
        <w:t>Ressource pour le programme 2</w:t>
      </w:r>
    </w:p>
    <w:p w:rsidR="00F93B76" w:rsidRPr="00A32AF4" w:rsidRDefault="00F93B76" w:rsidP="00F70ECD">
      <w:pPr>
        <w:keepNext/>
        <w:rPr>
          <w:rFonts w:cs="Arial"/>
        </w:rPr>
      </w:pPr>
    </w:p>
    <w:p w:rsidR="00E2055A" w:rsidRPr="00A32AF4" w:rsidRDefault="00A10FDA" w:rsidP="00DC0553">
      <w:pPr>
        <w:keepNext/>
        <w:keepLines/>
        <w:numPr>
          <w:ilvl w:val="0"/>
          <w:numId w:val="5"/>
        </w:numPr>
        <w:jc w:val="both"/>
        <w:rPr>
          <w:rFonts w:cs="Arial"/>
        </w:rPr>
      </w:pPr>
      <w:r w:rsidRPr="00A32AF4">
        <w:rPr>
          <w:rFonts w:cs="Arial"/>
          <w:color w:val="000000"/>
        </w:rPr>
        <w:t>Les ressources globales al</w:t>
      </w:r>
      <w:r w:rsidR="00B31A7E" w:rsidRPr="00A32AF4">
        <w:rPr>
          <w:rFonts w:cs="Arial"/>
          <w:color w:val="000000"/>
        </w:rPr>
        <w:t>louées au programme 2 pour</w:t>
      </w:r>
      <w:r w:rsidR="00FD43E3" w:rsidRPr="00A32AF4">
        <w:rPr>
          <w:rFonts w:cs="Arial"/>
          <w:color w:val="000000"/>
        </w:rPr>
        <w:t> </w:t>
      </w:r>
      <w:r w:rsidR="00B31A7E" w:rsidRPr="00A32AF4">
        <w:rPr>
          <w:rFonts w:cs="Arial"/>
          <w:color w:val="000000"/>
        </w:rPr>
        <w:t>2016</w:t>
      </w:r>
      <w:r w:rsidR="00EB7F54" w:rsidRPr="00A32AF4">
        <w:rPr>
          <w:rFonts w:cs="Arial"/>
          <w:color w:val="000000"/>
        </w:rPr>
        <w:noBreakHyphen/>
      </w:r>
      <w:r w:rsidRPr="00A32AF4">
        <w:rPr>
          <w:rFonts w:cs="Arial"/>
          <w:color w:val="000000"/>
        </w:rPr>
        <w:t>2017 sont en diminution à la fois par rapport au budget 2014</w:t>
      </w:r>
      <w:r w:rsidR="00EB7F54" w:rsidRPr="00A32AF4">
        <w:rPr>
          <w:rFonts w:cs="Arial"/>
          <w:color w:val="000000"/>
        </w:rPr>
        <w:noBreakHyphen/>
      </w:r>
      <w:r w:rsidR="00B31A7E" w:rsidRPr="00A32AF4">
        <w:rPr>
          <w:rFonts w:cs="Arial"/>
          <w:color w:val="000000"/>
        </w:rPr>
        <w:t>2015 approuvé et au budget 2014</w:t>
      </w:r>
      <w:r w:rsidR="00EB7F54" w:rsidRPr="00A32AF4">
        <w:rPr>
          <w:rFonts w:cs="Arial"/>
          <w:color w:val="000000"/>
        </w:rPr>
        <w:noBreakHyphen/>
      </w:r>
      <w:r w:rsidRPr="00A32AF4">
        <w:rPr>
          <w:rFonts w:cs="Arial"/>
          <w:color w:val="000000"/>
        </w:rPr>
        <w:t>2015 après virements.</w:t>
      </w:r>
      <w:r w:rsidR="00E64CB4" w:rsidRPr="00A32AF4">
        <w:rPr>
          <w:color w:val="000000"/>
        </w:rPr>
        <w:t xml:space="preserve"> </w:t>
      </w:r>
      <w:r w:rsidR="00B31A7E" w:rsidRPr="00A32AF4">
        <w:rPr>
          <w:color w:val="000000"/>
        </w:rPr>
        <w:t xml:space="preserve"> </w:t>
      </w:r>
      <w:r w:rsidR="00A225C4" w:rsidRPr="00A32AF4">
        <w:rPr>
          <w:rFonts w:cs="Arial"/>
          <w:color w:val="000000"/>
        </w:rPr>
        <w:t>Cette diminution découle : i)</w:t>
      </w:r>
      <w:r w:rsidR="00FD43E3" w:rsidRPr="00A32AF4">
        <w:rPr>
          <w:rFonts w:cs="Arial"/>
          <w:color w:val="000000"/>
        </w:rPr>
        <w:t> </w:t>
      </w:r>
      <w:r w:rsidR="00A225C4" w:rsidRPr="00A32AF4">
        <w:rPr>
          <w:rFonts w:cs="Arial"/>
          <w:color w:val="000000"/>
        </w:rPr>
        <w:t>d</w:t>
      </w:r>
      <w:r w:rsidR="00E2055A" w:rsidRPr="00A32AF4">
        <w:rPr>
          <w:rFonts w:cs="Arial"/>
          <w:color w:val="000000"/>
        </w:rPr>
        <w:t>’</w:t>
      </w:r>
      <w:r w:rsidR="00A225C4" w:rsidRPr="00A32AF4">
        <w:rPr>
          <w:rFonts w:cs="Arial"/>
          <w:color w:val="000000"/>
        </w:rPr>
        <w:t>une provision budgétaire pour trois</w:t>
      </w:r>
      <w:r w:rsidR="00FD43E3" w:rsidRPr="00A32AF4">
        <w:rPr>
          <w:rFonts w:cs="Arial"/>
          <w:color w:val="000000"/>
        </w:rPr>
        <w:t> </w:t>
      </w:r>
      <w:r w:rsidR="00A225C4" w:rsidRPr="00A32AF4">
        <w:rPr>
          <w:rFonts w:cs="Arial"/>
          <w:color w:val="000000"/>
        </w:rPr>
        <w:t>sessions</w:t>
      </w:r>
      <w:r w:rsidR="00E2055A" w:rsidRPr="00A32AF4">
        <w:rPr>
          <w:rFonts w:cs="Arial"/>
          <w:color w:val="000000"/>
        </w:rPr>
        <w:t xml:space="preserve"> du SCT</w:t>
      </w:r>
      <w:r w:rsidR="00A225C4" w:rsidRPr="00A32AF4">
        <w:rPr>
          <w:rFonts w:cs="Arial"/>
          <w:color w:val="000000"/>
        </w:rPr>
        <w:t xml:space="preserve"> en</w:t>
      </w:r>
      <w:r w:rsidR="00FD43E3" w:rsidRPr="00A32AF4">
        <w:rPr>
          <w:rFonts w:cs="Arial"/>
          <w:color w:val="000000"/>
        </w:rPr>
        <w:t> </w:t>
      </w:r>
      <w:r w:rsidR="00B31A7E" w:rsidRPr="00A32AF4">
        <w:rPr>
          <w:rFonts w:cs="Arial"/>
          <w:color w:val="000000"/>
        </w:rPr>
        <w:t>2016</w:t>
      </w:r>
      <w:r w:rsidR="00EB7F54" w:rsidRPr="00A32AF4">
        <w:rPr>
          <w:rFonts w:cs="Arial"/>
          <w:color w:val="000000"/>
        </w:rPr>
        <w:noBreakHyphen/>
      </w:r>
      <w:r w:rsidR="00A225C4" w:rsidRPr="00A32AF4">
        <w:rPr>
          <w:rFonts w:cs="Arial"/>
          <w:color w:val="000000"/>
        </w:rPr>
        <w:t>2017</w:t>
      </w:r>
      <w:r w:rsidR="00B31A7E" w:rsidRPr="00A32AF4">
        <w:rPr>
          <w:rFonts w:cs="Arial"/>
          <w:color w:val="000000"/>
        </w:rPr>
        <w:t xml:space="preserve"> contre quatre</w:t>
      </w:r>
      <w:r w:rsidR="00FD43E3" w:rsidRPr="00A32AF4">
        <w:rPr>
          <w:rFonts w:cs="Arial"/>
          <w:color w:val="000000"/>
        </w:rPr>
        <w:t> </w:t>
      </w:r>
      <w:r w:rsidR="00B31A7E" w:rsidRPr="00A32AF4">
        <w:rPr>
          <w:rFonts w:cs="Arial"/>
          <w:color w:val="000000"/>
        </w:rPr>
        <w:t>sessions en</w:t>
      </w:r>
      <w:r w:rsidR="00FD43E3" w:rsidRPr="00A32AF4">
        <w:rPr>
          <w:rFonts w:cs="Arial"/>
          <w:color w:val="000000"/>
        </w:rPr>
        <w:t> </w:t>
      </w:r>
      <w:r w:rsidR="00B31A7E" w:rsidRPr="00A32AF4">
        <w:rPr>
          <w:rFonts w:cs="Arial"/>
          <w:color w:val="000000"/>
        </w:rPr>
        <w:t>2014</w:t>
      </w:r>
      <w:r w:rsidR="00EB7F54" w:rsidRPr="00A32AF4">
        <w:rPr>
          <w:rFonts w:cs="Arial"/>
          <w:color w:val="000000"/>
        </w:rPr>
        <w:noBreakHyphen/>
      </w:r>
      <w:r w:rsidR="00A225C4" w:rsidRPr="00A32AF4">
        <w:rPr>
          <w:rFonts w:cs="Arial"/>
          <w:color w:val="000000"/>
        </w:rPr>
        <w:t>2015 et ii)</w:t>
      </w:r>
      <w:r w:rsidR="00FD43E3" w:rsidRPr="00A32AF4">
        <w:rPr>
          <w:rFonts w:cs="Arial"/>
          <w:color w:val="000000"/>
        </w:rPr>
        <w:t> </w:t>
      </w:r>
      <w:r w:rsidR="00A225C4" w:rsidRPr="00A32AF4">
        <w:rPr>
          <w:rFonts w:cs="Arial"/>
          <w:color w:val="000000"/>
        </w:rPr>
        <w:t>d</w:t>
      </w:r>
      <w:r w:rsidR="00E2055A" w:rsidRPr="00A32AF4">
        <w:rPr>
          <w:rFonts w:cs="Arial"/>
          <w:color w:val="000000"/>
        </w:rPr>
        <w:t>’</w:t>
      </w:r>
      <w:r w:rsidR="00A225C4" w:rsidRPr="00A32AF4">
        <w:rPr>
          <w:rFonts w:cs="Arial"/>
          <w:color w:val="000000"/>
        </w:rPr>
        <w:t>une provision budgétaire pour une éventuelle conférence diplomatique en</w:t>
      </w:r>
      <w:r w:rsidR="00FD43E3" w:rsidRPr="00A32AF4">
        <w:rPr>
          <w:rFonts w:cs="Arial"/>
          <w:color w:val="000000"/>
        </w:rPr>
        <w:t> </w:t>
      </w:r>
      <w:r w:rsidR="00A225C4" w:rsidRPr="00A32AF4">
        <w:rPr>
          <w:rFonts w:cs="Arial"/>
          <w:color w:val="000000"/>
        </w:rPr>
        <w:t>2016</w:t>
      </w:r>
      <w:r w:rsidR="00EB7F54" w:rsidRPr="00A32AF4">
        <w:rPr>
          <w:rFonts w:cs="Arial"/>
          <w:color w:val="000000"/>
        </w:rPr>
        <w:noBreakHyphen/>
      </w:r>
      <w:r w:rsidR="00A225C4" w:rsidRPr="00A32AF4">
        <w:rPr>
          <w:rFonts w:cs="Arial"/>
          <w:color w:val="000000"/>
        </w:rPr>
        <w:t xml:space="preserve">2017 qui figure à présent sous </w:t>
      </w:r>
      <w:r w:rsidR="00B63C9F" w:rsidRPr="00A32AF4">
        <w:rPr>
          <w:rFonts w:cs="Arial"/>
          <w:color w:val="000000"/>
        </w:rPr>
        <w:t>“</w:t>
      </w:r>
      <w:r w:rsidR="00A225C4" w:rsidRPr="00A32AF4">
        <w:rPr>
          <w:rFonts w:cs="Arial"/>
          <w:color w:val="000000"/>
        </w:rPr>
        <w:t>Non affecté</w:t>
      </w:r>
      <w:r w:rsidR="00B63C9F" w:rsidRPr="00A32AF4">
        <w:rPr>
          <w:rFonts w:cs="Arial"/>
          <w:color w:val="000000"/>
        </w:rPr>
        <w:t>”</w:t>
      </w:r>
      <w:r w:rsidR="00A225C4" w:rsidRPr="00A32AF4">
        <w:rPr>
          <w:rFonts w:cs="Arial"/>
          <w:color w:val="000000"/>
        </w:rPr>
        <w:t>.</w:t>
      </w:r>
      <w:r w:rsidR="00E64CB4" w:rsidRPr="00A32AF4">
        <w:rPr>
          <w:color w:val="000000"/>
        </w:rPr>
        <w:t xml:space="preserve">  </w:t>
      </w:r>
      <w:r w:rsidR="00D44067" w:rsidRPr="00A32AF4">
        <w:rPr>
          <w:rFonts w:cs="Arial"/>
          <w:color w:val="000000"/>
        </w:rPr>
        <w:t xml:space="preserve">Cette diminution se traduit </w:t>
      </w:r>
      <w:r w:rsidR="00B31A7E" w:rsidRPr="00A32AF4">
        <w:rPr>
          <w:rFonts w:cs="Arial"/>
          <w:color w:val="000000"/>
        </w:rPr>
        <w:t>par</w:t>
      </w:r>
      <w:r w:rsidR="00D44067" w:rsidRPr="00A32AF4">
        <w:rPr>
          <w:rFonts w:cs="Arial"/>
          <w:color w:val="000000"/>
        </w:rPr>
        <w:t xml:space="preserve"> la baisse des ressources allouées au titre du résultat escompté I.1.</w:t>
      </w:r>
    </w:p>
    <w:p w:rsidR="00F93B76" w:rsidRPr="00A32AF4" w:rsidRDefault="00F93B76" w:rsidP="00DC0553">
      <w:pPr>
        <w:jc w:val="both"/>
        <w:rPr>
          <w:rFonts w:cs="Arial"/>
        </w:rPr>
      </w:pPr>
    </w:p>
    <w:p w:rsidR="00F93B76" w:rsidRPr="00A32AF4" w:rsidRDefault="00D44067" w:rsidP="00DC0553">
      <w:pPr>
        <w:keepNext/>
        <w:keepLines/>
        <w:numPr>
          <w:ilvl w:val="0"/>
          <w:numId w:val="5"/>
        </w:numPr>
        <w:jc w:val="both"/>
        <w:rPr>
          <w:rFonts w:cs="Arial"/>
        </w:rPr>
      </w:pPr>
      <w:r w:rsidRPr="00A32AF4">
        <w:rPr>
          <w:rFonts w:cs="Arial"/>
          <w:color w:val="000000"/>
        </w:rPr>
        <w:t>Les ressources allouées au titre du résultat esc</w:t>
      </w:r>
      <w:r w:rsidR="00B31A7E" w:rsidRPr="00A32AF4">
        <w:rPr>
          <w:rFonts w:cs="Arial"/>
          <w:color w:val="000000"/>
        </w:rPr>
        <w:t>ompté III.4 dans le budget 2014</w:t>
      </w:r>
      <w:r w:rsidR="00EB7F54" w:rsidRPr="00A32AF4">
        <w:rPr>
          <w:rFonts w:cs="Arial"/>
          <w:color w:val="000000"/>
        </w:rPr>
        <w:noBreakHyphen/>
      </w:r>
      <w:r w:rsidRPr="00A32AF4">
        <w:rPr>
          <w:rFonts w:cs="Arial"/>
          <w:color w:val="000000"/>
        </w:rPr>
        <w:t>2015 approuvé tiennent compte du projet du Plan d</w:t>
      </w:r>
      <w:r w:rsidR="00E2055A" w:rsidRPr="00A32AF4">
        <w:rPr>
          <w:rFonts w:cs="Arial"/>
          <w:color w:val="000000"/>
        </w:rPr>
        <w:t>’</w:t>
      </w:r>
      <w:r w:rsidRPr="00A32AF4">
        <w:rPr>
          <w:rFonts w:cs="Arial"/>
          <w:color w:val="000000"/>
        </w:rPr>
        <w:t>action pour le développement sur la propriété intellectuelle et la création de dessins et modèles aux fins du développement des entreprises dans les pays en développement et les pays les moins avancés, qui doit être achevé d</w:t>
      </w:r>
      <w:r w:rsidR="00E2055A" w:rsidRPr="00A32AF4">
        <w:rPr>
          <w:rFonts w:cs="Arial"/>
          <w:color w:val="000000"/>
        </w:rPr>
        <w:t>’</w:t>
      </w:r>
      <w:r w:rsidRPr="00A32AF4">
        <w:rPr>
          <w:rFonts w:cs="Arial"/>
          <w:color w:val="000000"/>
        </w:rPr>
        <w:t>ici la fin de</w:t>
      </w:r>
      <w:r w:rsidR="00FD43E3" w:rsidRPr="00A32AF4">
        <w:rPr>
          <w:rFonts w:cs="Arial"/>
          <w:color w:val="000000"/>
        </w:rPr>
        <w:t> </w:t>
      </w:r>
      <w:r w:rsidRPr="00A32AF4">
        <w:rPr>
          <w:rFonts w:cs="Arial"/>
          <w:color w:val="000000"/>
        </w:rPr>
        <w:t>2015.</w:t>
      </w:r>
      <w:r w:rsidR="00FD43E3" w:rsidRPr="00A32AF4">
        <w:rPr>
          <w:rFonts w:cs="Arial"/>
          <w:color w:val="000000"/>
        </w:rPr>
        <w:t xml:space="preserve"> </w:t>
      </w:r>
      <w:r w:rsidR="00E64CB4" w:rsidRPr="00A32AF4">
        <w:rPr>
          <w:color w:val="000000"/>
        </w:rPr>
        <w:t xml:space="preserve"> </w:t>
      </w:r>
      <w:r w:rsidRPr="00A32AF4">
        <w:rPr>
          <w:rFonts w:cs="Arial"/>
          <w:color w:val="000000"/>
        </w:rPr>
        <w:t>C</w:t>
      </w:r>
      <w:r w:rsidR="00E2055A" w:rsidRPr="00A32AF4">
        <w:rPr>
          <w:rFonts w:cs="Arial"/>
          <w:color w:val="000000"/>
        </w:rPr>
        <w:t>’</w:t>
      </w:r>
      <w:r w:rsidRPr="00A32AF4">
        <w:rPr>
          <w:rFonts w:cs="Arial"/>
          <w:color w:val="000000"/>
        </w:rPr>
        <w:t>est pourquoi il n</w:t>
      </w:r>
      <w:r w:rsidR="00E2055A" w:rsidRPr="00A32AF4">
        <w:rPr>
          <w:rFonts w:cs="Arial"/>
          <w:color w:val="000000"/>
        </w:rPr>
        <w:t>’</w:t>
      </w:r>
      <w:r w:rsidRPr="00A32AF4">
        <w:rPr>
          <w:rFonts w:cs="Arial"/>
          <w:color w:val="000000"/>
        </w:rPr>
        <w:t>est pas prévu d</w:t>
      </w:r>
      <w:r w:rsidR="00E2055A" w:rsidRPr="00A32AF4">
        <w:rPr>
          <w:rFonts w:cs="Arial"/>
          <w:color w:val="000000"/>
        </w:rPr>
        <w:t>’</w:t>
      </w:r>
      <w:r w:rsidRPr="00A32AF4">
        <w:rPr>
          <w:rFonts w:cs="Arial"/>
          <w:color w:val="000000"/>
        </w:rPr>
        <w:t>allouer de ressources au titre de ce résultat escomp</w:t>
      </w:r>
      <w:r w:rsidR="00B31A7E" w:rsidRPr="00A32AF4">
        <w:rPr>
          <w:rFonts w:cs="Arial"/>
          <w:color w:val="000000"/>
        </w:rPr>
        <w:t>té en</w:t>
      </w:r>
      <w:r w:rsidR="00FD43E3" w:rsidRPr="00A32AF4">
        <w:rPr>
          <w:rFonts w:cs="Arial"/>
          <w:color w:val="000000"/>
        </w:rPr>
        <w:t> </w:t>
      </w:r>
      <w:r w:rsidR="00B31A7E" w:rsidRPr="00A32AF4">
        <w:rPr>
          <w:rFonts w:cs="Arial"/>
          <w:color w:val="000000"/>
        </w:rPr>
        <w:t>2016</w:t>
      </w:r>
      <w:r w:rsidR="00EB7F54" w:rsidRPr="00A32AF4">
        <w:rPr>
          <w:rFonts w:cs="Arial"/>
          <w:color w:val="000000"/>
        </w:rPr>
        <w:noBreakHyphen/>
      </w:r>
      <w:r w:rsidRPr="00A32AF4">
        <w:rPr>
          <w:rFonts w:cs="Arial"/>
          <w:color w:val="000000"/>
        </w:rPr>
        <w:t>2017.</w:t>
      </w:r>
    </w:p>
    <w:p w:rsidR="00F93B76" w:rsidRPr="00A32AF4" w:rsidRDefault="00F93B76" w:rsidP="00DC0553">
      <w:pPr>
        <w:jc w:val="both"/>
      </w:pPr>
    </w:p>
    <w:p w:rsidR="00F93B76" w:rsidRPr="00A32AF4" w:rsidRDefault="00F93B76" w:rsidP="00DC0553">
      <w:pPr>
        <w:jc w:val="both"/>
      </w:pPr>
    </w:p>
    <w:p w:rsidR="00F93B76" w:rsidRPr="00A32AF4" w:rsidRDefault="00E64CB4" w:rsidP="00DC0553">
      <w:pPr>
        <w:keepNext/>
        <w:keepLines/>
        <w:autoSpaceDE w:val="0"/>
        <w:autoSpaceDN w:val="0"/>
        <w:jc w:val="center"/>
        <w:rPr>
          <w:rFonts w:cs="Arial"/>
          <w:b/>
        </w:rPr>
      </w:pPr>
      <w:r w:rsidRPr="00A32AF4">
        <w:rPr>
          <w:rFonts w:cs="Arial"/>
          <w:b/>
        </w:rPr>
        <w:t>Programme 2 : ressources par résultat</w:t>
      </w:r>
    </w:p>
    <w:p w:rsidR="00F93B76" w:rsidRPr="00A32AF4" w:rsidRDefault="00E64CB4" w:rsidP="00DC0553">
      <w:pPr>
        <w:keepNext/>
        <w:keepLines/>
        <w:autoSpaceDE w:val="0"/>
        <w:autoSpaceDN w:val="0"/>
        <w:jc w:val="center"/>
        <w:rPr>
          <w:rFonts w:cs="Arial"/>
          <w:i/>
        </w:rPr>
      </w:pPr>
      <w:r w:rsidRPr="00A32AF4">
        <w:rPr>
          <w:rFonts w:cs="Arial"/>
          <w:i/>
        </w:rPr>
        <w:t>(</w:t>
      </w:r>
      <w:proofErr w:type="gramStart"/>
      <w:r w:rsidRPr="00A32AF4">
        <w:rPr>
          <w:rFonts w:cs="Arial"/>
          <w:i/>
        </w:rPr>
        <w:t>en</w:t>
      </w:r>
      <w:proofErr w:type="gramEnd"/>
      <w:r w:rsidRPr="00A32AF4">
        <w:rPr>
          <w:rFonts w:cs="Arial"/>
          <w:i/>
        </w:rPr>
        <w:t xml:space="preserve"> milliers de francs suisses)</w:t>
      </w:r>
    </w:p>
    <w:p w:rsidR="00E64CB4" w:rsidRPr="00A32AF4" w:rsidRDefault="00E64CB4" w:rsidP="00DC0553">
      <w:pPr>
        <w:jc w:val="both"/>
      </w:pPr>
    </w:p>
    <w:tbl>
      <w:tblPr>
        <w:tblW w:w="8980" w:type="dxa"/>
        <w:tblInd w:w="55" w:type="dxa"/>
        <w:tblCellMar>
          <w:left w:w="70" w:type="dxa"/>
          <w:right w:w="70" w:type="dxa"/>
        </w:tblCellMar>
        <w:tblLook w:val="04A0" w:firstRow="1" w:lastRow="0" w:firstColumn="1" w:lastColumn="0" w:noHBand="0" w:noVBand="1"/>
      </w:tblPr>
      <w:tblGrid>
        <w:gridCol w:w="582"/>
        <w:gridCol w:w="4438"/>
        <w:gridCol w:w="1260"/>
        <w:gridCol w:w="1440"/>
        <w:gridCol w:w="1260"/>
      </w:tblGrid>
      <w:tr w:rsidR="00E64CB4" w:rsidRPr="00A32AF4" w:rsidTr="00E64CB4">
        <w:tc>
          <w:tcPr>
            <w:tcW w:w="5020" w:type="dxa"/>
            <w:gridSpan w:val="2"/>
            <w:tcBorders>
              <w:top w:val="single" w:sz="4" w:space="0" w:color="auto"/>
              <w:left w:val="single" w:sz="4" w:space="0" w:color="auto"/>
              <w:bottom w:val="single" w:sz="4" w:space="0" w:color="auto"/>
              <w:right w:val="single" w:sz="4" w:space="0" w:color="000000"/>
            </w:tcBorders>
            <w:shd w:val="clear" w:color="000000" w:fill="C5D9F1"/>
            <w:noWrap/>
            <w:tcMar>
              <w:top w:w="113" w:type="dxa"/>
              <w:bottom w:w="113" w:type="dxa"/>
            </w:tcMar>
            <w:vAlign w:val="center"/>
            <w:hideMark/>
          </w:tcPr>
          <w:p w:rsidR="00E64CB4" w:rsidRPr="00A32AF4" w:rsidRDefault="00E64CB4" w:rsidP="00DC0553">
            <w:pPr>
              <w:jc w:val="center"/>
              <w:rPr>
                <w:rFonts w:cs="Arial"/>
                <w:i/>
                <w:iCs/>
                <w:sz w:val="16"/>
                <w:szCs w:val="16"/>
                <w:lang w:eastAsia="fr-FR"/>
              </w:rPr>
            </w:pPr>
            <w:r w:rsidRPr="00A32AF4">
              <w:rPr>
                <w:rFonts w:cs="Arial"/>
                <w:i/>
                <w:iCs/>
                <w:sz w:val="16"/>
                <w:szCs w:val="16"/>
                <w:lang w:eastAsia="fr-FR"/>
              </w:rPr>
              <w:t xml:space="preserve">Numéro et description du résultat escompté </w:t>
            </w:r>
          </w:p>
        </w:tc>
        <w:tc>
          <w:tcPr>
            <w:tcW w:w="126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E64CB4" w:rsidRPr="00A32AF4" w:rsidRDefault="00E64CB4" w:rsidP="00DC0553">
            <w:pPr>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2014</w:t>
            </w:r>
            <w:r w:rsidR="00EB7F54" w:rsidRPr="00A32AF4">
              <w:rPr>
                <w:rFonts w:cs="Arial"/>
                <w:i/>
                <w:iCs/>
                <w:sz w:val="16"/>
                <w:szCs w:val="16"/>
                <w:lang w:eastAsia="fr-FR"/>
              </w:rPr>
              <w:noBreakHyphen/>
            </w:r>
            <w:r w:rsidRPr="00A32AF4">
              <w:rPr>
                <w:rFonts w:cs="Arial"/>
                <w:i/>
                <w:iCs/>
                <w:sz w:val="16"/>
                <w:szCs w:val="16"/>
                <w:lang w:eastAsia="fr-FR"/>
              </w:rPr>
              <w:t>2015 approuvé</w:t>
            </w:r>
          </w:p>
        </w:tc>
        <w:tc>
          <w:tcPr>
            <w:tcW w:w="144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E64CB4" w:rsidRPr="00A32AF4" w:rsidRDefault="00E64CB4" w:rsidP="00DC0553">
            <w:pPr>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2014</w:t>
            </w:r>
            <w:r w:rsidR="00EB7F54" w:rsidRPr="00A32AF4">
              <w:rPr>
                <w:rFonts w:cs="Arial"/>
                <w:i/>
                <w:iCs/>
                <w:sz w:val="16"/>
                <w:szCs w:val="16"/>
                <w:lang w:eastAsia="fr-FR"/>
              </w:rPr>
              <w:noBreakHyphen/>
            </w:r>
            <w:r w:rsidRPr="00A32AF4">
              <w:rPr>
                <w:rFonts w:cs="Arial"/>
                <w:i/>
                <w:iCs/>
                <w:sz w:val="16"/>
                <w:szCs w:val="16"/>
                <w:lang w:eastAsia="fr-FR"/>
              </w:rPr>
              <w:t>2015 après virements</w:t>
            </w:r>
          </w:p>
        </w:tc>
        <w:tc>
          <w:tcPr>
            <w:tcW w:w="126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E64CB4" w:rsidRPr="00A32AF4" w:rsidRDefault="00E64CB4" w:rsidP="00DC0553">
            <w:pPr>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2016</w:t>
            </w:r>
            <w:r w:rsidR="00EB7F54" w:rsidRPr="00A32AF4">
              <w:rPr>
                <w:rFonts w:cs="Arial"/>
                <w:i/>
                <w:iCs/>
                <w:sz w:val="16"/>
                <w:szCs w:val="16"/>
                <w:lang w:eastAsia="fr-FR"/>
              </w:rPr>
              <w:noBreakHyphen/>
            </w:r>
            <w:r w:rsidRPr="00A32AF4">
              <w:rPr>
                <w:rFonts w:cs="Arial"/>
                <w:i/>
                <w:iCs/>
                <w:sz w:val="16"/>
                <w:szCs w:val="16"/>
                <w:lang w:eastAsia="fr-FR"/>
              </w:rPr>
              <w:t>2017 proposé</w:t>
            </w:r>
          </w:p>
        </w:tc>
      </w:tr>
      <w:tr w:rsidR="00E64CB4" w:rsidRPr="00A32AF4" w:rsidTr="00E64CB4">
        <w:tc>
          <w:tcPr>
            <w:tcW w:w="582" w:type="dxa"/>
            <w:tcBorders>
              <w:top w:val="nil"/>
              <w:left w:val="single" w:sz="4" w:space="0" w:color="auto"/>
              <w:bottom w:val="nil"/>
              <w:right w:val="nil"/>
            </w:tcBorders>
            <w:shd w:val="clear" w:color="auto" w:fill="auto"/>
            <w:noWrap/>
            <w:tcMar>
              <w:top w:w="113" w:type="dxa"/>
              <w:bottom w:w="113" w:type="dxa"/>
            </w:tcMar>
            <w:vAlign w:val="center"/>
            <w:hideMark/>
          </w:tcPr>
          <w:p w:rsidR="00E64CB4" w:rsidRPr="00A32AF4" w:rsidRDefault="00E64CB4" w:rsidP="00DC0553">
            <w:pPr>
              <w:rPr>
                <w:rFonts w:cs="Arial"/>
                <w:sz w:val="16"/>
                <w:szCs w:val="16"/>
                <w:lang w:eastAsia="fr-FR"/>
              </w:rPr>
            </w:pPr>
            <w:r w:rsidRPr="00A32AF4">
              <w:rPr>
                <w:rFonts w:cs="Arial"/>
                <w:sz w:val="16"/>
                <w:szCs w:val="16"/>
                <w:lang w:eastAsia="fr-FR"/>
              </w:rPr>
              <w:t>I.1</w:t>
            </w:r>
          </w:p>
        </w:tc>
        <w:tc>
          <w:tcPr>
            <w:tcW w:w="4438" w:type="dxa"/>
            <w:tcBorders>
              <w:top w:val="nil"/>
              <w:left w:val="nil"/>
              <w:bottom w:val="nil"/>
              <w:right w:val="nil"/>
            </w:tcBorders>
            <w:shd w:val="clear" w:color="auto" w:fill="auto"/>
            <w:tcMar>
              <w:top w:w="113" w:type="dxa"/>
              <w:bottom w:w="113" w:type="dxa"/>
            </w:tcMar>
            <w:vAlign w:val="center"/>
            <w:hideMark/>
          </w:tcPr>
          <w:p w:rsidR="00E64CB4" w:rsidRPr="00A32AF4" w:rsidRDefault="00E64CB4" w:rsidP="00DC0553">
            <w:pPr>
              <w:rPr>
                <w:rFonts w:cs="Arial"/>
                <w:sz w:val="16"/>
                <w:szCs w:val="16"/>
                <w:lang w:eastAsia="fr-FR"/>
              </w:rPr>
            </w:pPr>
            <w:r w:rsidRPr="00A32AF4">
              <w:rPr>
                <w:rFonts w:cs="Arial"/>
                <w:sz w:val="16"/>
                <w:szCs w:val="16"/>
                <w:lang w:eastAsia="fr-FR"/>
              </w:rPr>
              <w:t>Renforcement de la coopération entre les États membres en ce qui concerne l</w:t>
            </w:r>
            <w:r w:rsidR="00E2055A" w:rsidRPr="00A32AF4">
              <w:rPr>
                <w:rFonts w:cs="Arial"/>
                <w:sz w:val="16"/>
                <w:szCs w:val="16"/>
                <w:lang w:eastAsia="fr-FR"/>
              </w:rPr>
              <w:t>’</w:t>
            </w:r>
            <w:r w:rsidRPr="00A32AF4">
              <w:rPr>
                <w:rFonts w:cs="Arial"/>
                <w:sz w:val="16"/>
                <w:szCs w:val="16"/>
                <w:lang w:eastAsia="fr-FR"/>
              </w:rPr>
              <w:t xml:space="preserve">élaboration de cadres normatifs internationaux équilibrés dans le domaine de la propriété intellectuelle </w:t>
            </w:r>
          </w:p>
        </w:tc>
        <w:tc>
          <w:tcPr>
            <w:tcW w:w="1260" w:type="dxa"/>
            <w:tcBorders>
              <w:top w:val="nil"/>
              <w:left w:val="nil"/>
              <w:bottom w:val="nil"/>
              <w:right w:val="nil"/>
            </w:tcBorders>
            <w:shd w:val="clear" w:color="auto" w:fill="auto"/>
            <w:tcMar>
              <w:top w:w="113" w:type="dxa"/>
              <w:bottom w:w="113" w:type="dxa"/>
            </w:tcMar>
            <w:vAlign w:val="center"/>
            <w:hideMark/>
          </w:tcPr>
          <w:p w:rsidR="00E64CB4" w:rsidRPr="00A32AF4" w:rsidRDefault="00E64CB4" w:rsidP="00DC0553">
            <w:pPr>
              <w:jc w:val="right"/>
              <w:rPr>
                <w:rFonts w:cs="Arial"/>
                <w:sz w:val="16"/>
                <w:szCs w:val="16"/>
                <w:lang w:eastAsia="fr-FR"/>
              </w:rPr>
            </w:pPr>
            <w:r w:rsidRPr="00A32AF4">
              <w:rPr>
                <w:rFonts w:cs="Arial"/>
                <w:sz w:val="16"/>
                <w:szCs w:val="16"/>
                <w:lang w:eastAsia="fr-FR"/>
              </w:rPr>
              <w:t xml:space="preserve">3 808 </w:t>
            </w:r>
          </w:p>
        </w:tc>
        <w:tc>
          <w:tcPr>
            <w:tcW w:w="1440" w:type="dxa"/>
            <w:tcBorders>
              <w:top w:val="nil"/>
              <w:left w:val="nil"/>
              <w:bottom w:val="nil"/>
              <w:right w:val="nil"/>
            </w:tcBorders>
            <w:shd w:val="clear" w:color="auto" w:fill="auto"/>
            <w:tcMar>
              <w:top w:w="113" w:type="dxa"/>
              <w:bottom w:w="113" w:type="dxa"/>
            </w:tcMar>
            <w:vAlign w:val="center"/>
            <w:hideMark/>
          </w:tcPr>
          <w:p w:rsidR="00E64CB4" w:rsidRPr="00A32AF4" w:rsidRDefault="00E64CB4" w:rsidP="00DC0553">
            <w:pPr>
              <w:jc w:val="right"/>
              <w:rPr>
                <w:rFonts w:cs="Arial"/>
                <w:sz w:val="16"/>
                <w:szCs w:val="16"/>
                <w:lang w:eastAsia="fr-FR"/>
              </w:rPr>
            </w:pPr>
            <w:r w:rsidRPr="00A32AF4">
              <w:rPr>
                <w:rFonts w:cs="Arial"/>
                <w:sz w:val="16"/>
                <w:szCs w:val="16"/>
                <w:lang w:eastAsia="fr-FR"/>
              </w:rPr>
              <w:t xml:space="preserve">3 227 </w:t>
            </w:r>
          </w:p>
        </w:tc>
        <w:tc>
          <w:tcPr>
            <w:tcW w:w="1260" w:type="dxa"/>
            <w:tcBorders>
              <w:top w:val="nil"/>
              <w:left w:val="nil"/>
              <w:bottom w:val="nil"/>
              <w:right w:val="single" w:sz="4" w:space="0" w:color="auto"/>
            </w:tcBorders>
            <w:shd w:val="clear" w:color="auto" w:fill="auto"/>
            <w:noWrap/>
            <w:tcMar>
              <w:top w:w="113" w:type="dxa"/>
              <w:bottom w:w="113" w:type="dxa"/>
            </w:tcMar>
            <w:vAlign w:val="center"/>
            <w:hideMark/>
          </w:tcPr>
          <w:p w:rsidR="00E64CB4" w:rsidRPr="00A32AF4" w:rsidRDefault="00E64CB4" w:rsidP="00DC0553">
            <w:pPr>
              <w:jc w:val="right"/>
              <w:rPr>
                <w:rFonts w:cs="Arial"/>
                <w:color w:val="000000"/>
                <w:sz w:val="16"/>
                <w:szCs w:val="16"/>
                <w:lang w:eastAsia="fr-FR"/>
              </w:rPr>
            </w:pPr>
            <w:r w:rsidRPr="00A32AF4">
              <w:rPr>
                <w:rFonts w:cs="Arial"/>
                <w:color w:val="000000"/>
                <w:sz w:val="16"/>
                <w:szCs w:val="16"/>
                <w:lang w:eastAsia="fr-FR"/>
              </w:rPr>
              <w:t xml:space="preserve">3 210 </w:t>
            </w:r>
          </w:p>
        </w:tc>
      </w:tr>
      <w:tr w:rsidR="00E64CB4" w:rsidRPr="00A32AF4" w:rsidTr="00E64CB4">
        <w:tc>
          <w:tcPr>
            <w:tcW w:w="582" w:type="dxa"/>
            <w:tcBorders>
              <w:top w:val="nil"/>
              <w:left w:val="single" w:sz="4" w:space="0" w:color="auto"/>
              <w:bottom w:val="nil"/>
              <w:right w:val="nil"/>
            </w:tcBorders>
            <w:shd w:val="clear" w:color="auto" w:fill="auto"/>
            <w:noWrap/>
            <w:tcMar>
              <w:top w:w="113" w:type="dxa"/>
              <w:bottom w:w="113" w:type="dxa"/>
            </w:tcMar>
            <w:vAlign w:val="center"/>
            <w:hideMark/>
          </w:tcPr>
          <w:p w:rsidR="00E64CB4" w:rsidRPr="00A32AF4" w:rsidRDefault="00E64CB4" w:rsidP="00DC0553">
            <w:pPr>
              <w:rPr>
                <w:rFonts w:cs="Arial"/>
                <w:sz w:val="16"/>
                <w:szCs w:val="16"/>
                <w:lang w:eastAsia="fr-FR"/>
              </w:rPr>
            </w:pPr>
            <w:r w:rsidRPr="00A32AF4">
              <w:rPr>
                <w:rFonts w:cs="Arial"/>
                <w:sz w:val="16"/>
                <w:szCs w:val="16"/>
                <w:lang w:eastAsia="fr-FR"/>
              </w:rPr>
              <w:t>I.2</w:t>
            </w:r>
          </w:p>
        </w:tc>
        <w:tc>
          <w:tcPr>
            <w:tcW w:w="4438" w:type="dxa"/>
            <w:tcBorders>
              <w:top w:val="nil"/>
              <w:left w:val="nil"/>
              <w:bottom w:val="nil"/>
              <w:right w:val="nil"/>
            </w:tcBorders>
            <w:shd w:val="clear" w:color="auto" w:fill="auto"/>
            <w:tcMar>
              <w:top w:w="113" w:type="dxa"/>
              <w:bottom w:w="113" w:type="dxa"/>
            </w:tcMar>
            <w:vAlign w:val="center"/>
            <w:hideMark/>
          </w:tcPr>
          <w:p w:rsidR="00E64CB4" w:rsidRPr="00A32AF4" w:rsidRDefault="00E64CB4" w:rsidP="00DC0553">
            <w:pPr>
              <w:rPr>
                <w:rFonts w:cs="Arial"/>
                <w:sz w:val="16"/>
                <w:szCs w:val="16"/>
                <w:lang w:eastAsia="fr-FR"/>
              </w:rPr>
            </w:pPr>
            <w:r w:rsidRPr="00A32AF4">
              <w:rPr>
                <w:rFonts w:cs="Arial"/>
                <w:sz w:val="16"/>
                <w:szCs w:val="16"/>
                <w:lang w:eastAsia="fr-FR"/>
              </w:rPr>
              <w:t>Cadres législatifs, réglementaires et politiques de propriété intellectuelle adaptés et équilibrés</w:t>
            </w:r>
          </w:p>
        </w:tc>
        <w:tc>
          <w:tcPr>
            <w:tcW w:w="1260" w:type="dxa"/>
            <w:tcBorders>
              <w:top w:val="nil"/>
              <w:left w:val="nil"/>
              <w:bottom w:val="nil"/>
              <w:right w:val="nil"/>
            </w:tcBorders>
            <w:shd w:val="clear" w:color="auto" w:fill="auto"/>
            <w:tcMar>
              <w:top w:w="113" w:type="dxa"/>
              <w:bottom w:w="113" w:type="dxa"/>
            </w:tcMar>
            <w:vAlign w:val="center"/>
            <w:hideMark/>
          </w:tcPr>
          <w:p w:rsidR="00E64CB4" w:rsidRPr="00A32AF4" w:rsidRDefault="00E64CB4" w:rsidP="00DC0553">
            <w:pPr>
              <w:jc w:val="right"/>
              <w:rPr>
                <w:rFonts w:cs="Arial"/>
                <w:sz w:val="16"/>
                <w:szCs w:val="16"/>
                <w:lang w:eastAsia="fr-FR"/>
              </w:rPr>
            </w:pPr>
            <w:r w:rsidRPr="00A32AF4">
              <w:rPr>
                <w:rFonts w:cs="Arial"/>
                <w:sz w:val="16"/>
                <w:szCs w:val="16"/>
                <w:lang w:eastAsia="fr-FR"/>
              </w:rPr>
              <w:t xml:space="preserve">1 429 </w:t>
            </w:r>
          </w:p>
        </w:tc>
        <w:tc>
          <w:tcPr>
            <w:tcW w:w="1440" w:type="dxa"/>
            <w:tcBorders>
              <w:top w:val="nil"/>
              <w:left w:val="nil"/>
              <w:bottom w:val="nil"/>
              <w:right w:val="nil"/>
            </w:tcBorders>
            <w:shd w:val="clear" w:color="auto" w:fill="auto"/>
            <w:tcMar>
              <w:top w:w="113" w:type="dxa"/>
              <w:bottom w:w="113" w:type="dxa"/>
            </w:tcMar>
            <w:vAlign w:val="center"/>
            <w:hideMark/>
          </w:tcPr>
          <w:p w:rsidR="00E64CB4" w:rsidRPr="00A32AF4" w:rsidRDefault="00E64CB4" w:rsidP="00DC0553">
            <w:pPr>
              <w:jc w:val="right"/>
              <w:rPr>
                <w:rFonts w:cs="Arial"/>
                <w:sz w:val="16"/>
                <w:szCs w:val="16"/>
                <w:lang w:eastAsia="fr-FR"/>
              </w:rPr>
            </w:pPr>
            <w:r w:rsidRPr="00A32AF4">
              <w:rPr>
                <w:rFonts w:cs="Arial"/>
                <w:sz w:val="16"/>
                <w:szCs w:val="16"/>
                <w:lang w:eastAsia="fr-FR"/>
              </w:rPr>
              <w:t xml:space="preserve">1 058 </w:t>
            </w:r>
          </w:p>
        </w:tc>
        <w:tc>
          <w:tcPr>
            <w:tcW w:w="1260" w:type="dxa"/>
            <w:tcBorders>
              <w:top w:val="nil"/>
              <w:left w:val="nil"/>
              <w:bottom w:val="nil"/>
              <w:right w:val="single" w:sz="4" w:space="0" w:color="auto"/>
            </w:tcBorders>
            <w:shd w:val="clear" w:color="auto" w:fill="auto"/>
            <w:noWrap/>
            <w:tcMar>
              <w:top w:w="113" w:type="dxa"/>
              <w:bottom w:w="113" w:type="dxa"/>
            </w:tcMar>
            <w:vAlign w:val="center"/>
            <w:hideMark/>
          </w:tcPr>
          <w:p w:rsidR="00E64CB4" w:rsidRPr="00A32AF4" w:rsidRDefault="00E64CB4" w:rsidP="00DC0553">
            <w:pPr>
              <w:jc w:val="right"/>
              <w:rPr>
                <w:rFonts w:cs="Arial"/>
                <w:color w:val="000000"/>
                <w:sz w:val="16"/>
                <w:szCs w:val="16"/>
                <w:lang w:eastAsia="fr-FR"/>
              </w:rPr>
            </w:pPr>
            <w:r w:rsidRPr="00A32AF4">
              <w:rPr>
                <w:rFonts w:cs="Arial"/>
                <w:color w:val="000000"/>
                <w:sz w:val="16"/>
                <w:szCs w:val="16"/>
                <w:lang w:eastAsia="fr-FR"/>
              </w:rPr>
              <w:t xml:space="preserve">1 100 </w:t>
            </w:r>
          </w:p>
        </w:tc>
      </w:tr>
      <w:tr w:rsidR="00E64CB4" w:rsidRPr="00A32AF4" w:rsidTr="00E64CB4">
        <w:tc>
          <w:tcPr>
            <w:tcW w:w="582" w:type="dxa"/>
            <w:tcBorders>
              <w:top w:val="nil"/>
              <w:left w:val="single" w:sz="4" w:space="0" w:color="auto"/>
              <w:bottom w:val="nil"/>
              <w:right w:val="nil"/>
            </w:tcBorders>
            <w:shd w:val="clear" w:color="auto" w:fill="auto"/>
            <w:noWrap/>
            <w:tcMar>
              <w:top w:w="113" w:type="dxa"/>
              <w:bottom w:w="113" w:type="dxa"/>
            </w:tcMar>
            <w:vAlign w:val="center"/>
            <w:hideMark/>
          </w:tcPr>
          <w:p w:rsidR="00E64CB4" w:rsidRPr="00A32AF4" w:rsidRDefault="00E64CB4" w:rsidP="00DC0553">
            <w:pPr>
              <w:rPr>
                <w:rFonts w:cs="Arial"/>
                <w:sz w:val="16"/>
                <w:szCs w:val="16"/>
                <w:lang w:eastAsia="fr-FR"/>
              </w:rPr>
            </w:pPr>
            <w:r w:rsidRPr="00A32AF4">
              <w:rPr>
                <w:rFonts w:cs="Arial"/>
                <w:sz w:val="16"/>
                <w:szCs w:val="16"/>
                <w:lang w:eastAsia="fr-FR"/>
              </w:rPr>
              <w:t>I.3</w:t>
            </w:r>
          </w:p>
        </w:tc>
        <w:tc>
          <w:tcPr>
            <w:tcW w:w="4438" w:type="dxa"/>
            <w:tcBorders>
              <w:top w:val="nil"/>
              <w:left w:val="nil"/>
              <w:bottom w:val="nil"/>
              <w:right w:val="nil"/>
            </w:tcBorders>
            <w:shd w:val="clear" w:color="auto" w:fill="auto"/>
            <w:tcMar>
              <w:top w:w="113" w:type="dxa"/>
              <w:bottom w:w="113" w:type="dxa"/>
            </w:tcMar>
            <w:vAlign w:val="center"/>
            <w:hideMark/>
          </w:tcPr>
          <w:p w:rsidR="00E64CB4" w:rsidRPr="00A32AF4" w:rsidRDefault="00E64CB4" w:rsidP="00DC0553">
            <w:pPr>
              <w:rPr>
                <w:rFonts w:cs="Arial"/>
                <w:sz w:val="16"/>
                <w:szCs w:val="16"/>
                <w:lang w:eastAsia="fr-FR"/>
              </w:rPr>
            </w:pPr>
            <w:r w:rsidRPr="00A32AF4">
              <w:rPr>
                <w:rFonts w:cs="Arial"/>
                <w:sz w:val="16"/>
                <w:szCs w:val="16"/>
                <w:lang w:eastAsia="fr-FR"/>
              </w:rPr>
              <w:t>Protection renforcée des emblèmes d</w:t>
            </w:r>
            <w:r w:rsidR="00E2055A" w:rsidRPr="00A32AF4">
              <w:rPr>
                <w:rFonts w:cs="Arial"/>
                <w:sz w:val="16"/>
                <w:szCs w:val="16"/>
                <w:lang w:eastAsia="fr-FR"/>
              </w:rPr>
              <w:t>’</w:t>
            </w:r>
            <w:r w:rsidRPr="00A32AF4">
              <w:rPr>
                <w:rFonts w:cs="Arial"/>
                <w:sz w:val="16"/>
                <w:szCs w:val="16"/>
                <w:lang w:eastAsia="fr-FR"/>
              </w:rPr>
              <w:t>États et des noms et emblèmes d</w:t>
            </w:r>
            <w:r w:rsidR="00E2055A" w:rsidRPr="00A32AF4">
              <w:rPr>
                <w:rFonts w:cs="Arial"/>
                <w:sz w:val="16"/>
                <w:szCs w:val="16"/>
                <w:lang w:eastAsia="fr-FR"/>
              </w:rPr>
              <w:t>’</w:t>
            </w:r>
            <w:r w:rsidRPr="00A32AF4">
              <w:rPr>
                <w:rFonts w:cs="Arial"/>
                <w:sz w:val="16"/>
                <w:szCs w:val="16"/>
                <w:lang w:eastAsia="fr-FR"/>
              </w:rPr>
              <w:t>organisations internationales intergouvernementales</w:t>
            </w:r>
          </w:p>
        </w:tc>
        <w:tc>
          <w:tcPr>
            <w:tcW w:w="1260" w:type="dxa"/>
            <w:tcBorders>
              <w:top w:val="nil"/>
              <w:left w:val="nil"/>
              <w:bottom w:val="nil"/>
              <w:right w:val="nil"/>
            </w:tcBorders>
            <w:shd w:val="clear" w:color="auto" w:fill="auto"/>
            <w:tcMar>
              <w:top w:w="113" w:type="dxa"/>
              <w:bottom w:w="113" w:type="dxa"/>
            </w:tcMar>
            <w:vAlign w:val="center"/>
            <w:hideMark/>
          </w:tcPr>
          <w:p w:rsidR="00E64CB4" w:rsidRPr="00A32AF4" w:rsidRDefault="00E64CB4" w:rsidP="00DC0553">
            <w:pPr>
              <w:jc w:val="right"/>
              <w:rPr>
                <w:rFonts w:cs="Arial"/>
                <w:sz w:val="16"/>
                <w:szCs w:val="16"/>
                <w:lang w:eastAsia="fr-FR"/>
              </w:rPr>
            </w:pPr>
            <w:r w:rsidRPr="00A32AF4">
              <w:rPr>
                <w:rFonts w:cs="Arial"/>
                <w:sz w:val="16"/>
                <w:szCs w:val="16"/>
                <w:lang w:eastAsia="fr-FR"/>
              </w:rPr>
              <w:t xml:space="preserve">439 </w:t>
            </w:r>
          </w:p>
        </w:tc>
        <w:tc>
          <w:tcPr>
            <w:tcW w:w="1440" w:type="dxa"/>
            <w:tcBorders>
              <w:top w:val="nil"/>
              <w:left w:val="nil"/>
              <w:bottom w:val="nil"/>
              <w:right w:val="nil"/>
            </w:tcBorders>
            <w:shd w:val="clear" w:color="auto" w:fill="auto"/>
            <w:tcMar>
              <w:top w:w="113" w:type="dxa"/>
              <w:bottom w:w="113" w:type="dxa"/>
            </w:tcMar>
            <w:vAlign w:val="center"/>
            <w:hideMark/>
          </w:tcPr>
          <w:p w:rsidR="00E64CB4" w:rsidRPr="00A32AF4" w:rsidRDefault="00E64CB4" w:rsidP="00DC0553">
            <w:pPr>
              <w:jc w:val="right"/>
              <w:rPr>
                <w:rFonts w:cs="Arial"/>
                <w:sz w:val="16"/>
                <w:szCs w:val="16"/>
                <w:lang w:eastAsia="fr-FR"/>
              </w:rPr>
            </w:pPr>
            <w:r w:rsidRPr="00A32AF4">
              <w:rPr>
                <w:rFonts w:cs="Arial"/>
                <w:sz w:val="16"/>
                <w:szCs w:val="16"/>
                <w:lang w:eastAsia="fr-FR"/>
              </w:rPr>
              <w:t xml:space="preserve">767 </w:t>
            </w:r>
          </w:p>
        </w:tc>
        <w:tc>
          <w:tcPr>
            <w:tcW w:w="1260" w:type="dxa"/>
            <w:tcBorders>
              <w:top w:val="nil"/>
              <w:left w:val="nil"/>
              <w:bottom w:val="nil"/>
              <w:right w:val="single" w:sz="4" w:space="0" w:color="auto"/>
            </w:tcBorders>
            <w:shd w:val="clear" w:color="auto" w:fill="auto"/>
            <w:noWrap/>
            <w:tcMar>
              <w:top w:w="113" w:type="dxa"/>
              <w:bottom w:w="113" w:type="dxa"/>
            </w:tcMar>
            <w:vAlign w:val="center"/>
            <w:hideMark/>
          </w:tcPr>
          <w:p w:rsidR="00E64CB4" w:rsidRPr="00A32AF4" w:rsidRDefault="00E64CB4" w:rsidP="00DC0553">
            <w:pPr>
              <w:jc w:val="right"/>
              <w:rPr>
                <w:rFonts w:cs="Arial"/>
                <w:color w:val="000000"/>
                <w:sz w:val="16"/>
                <w:szCs w:val="16"/>
                <w:lang w:eastAsia="fr-FR"/>
              </w:rPr>
            </w:pPr>
            <w:r w:rsidRPr="00A32AF4">
              <w:rPr>
                <w:rFonts w:cs="Arial"/>
                <w:color w:val="000000"/>
                <w:sz w:val="16"/>
                <w:szCs w:val="16"/>
                <w:lang w:eastAsia="fr-FR"/>
              </w:rPr>
              <w:t xml:space="preserve">544 </w:t>
            </w:r>
          </w:p>
        </w:tc>
      </w:tr>
      <w:tr w:rsidR="00E64CB4" w:rsidRPr="00A32AF4" w:rsidTr="00E64CB4">
        <w:tc>
          <w:tcPr>
            <w:tcW w:w="582" w:type="dxa"/>
            <w:tcBorders>
              <w:top w:val="nil"/>
              <w:left w:val="single" w:sz="4" w:space="0" w:color="auto"/>
              <w:bottom w:val="nil"/>
              <w:right w:val="nil"/>
            </w:tcBorders>
            <w:shd w:val="clear" w:color="auto" w:fill="auto"/>
            <w:noWrap/>
            <w:tcMar>
              <w:top w:w="113" w:type="dxa"/>
              <w:bottom w:w="113" w:type="dxa"/>
            </w:tcMar>
            <w:vAlign w:val="center"/>
            <w:hideMark/>
          </w:tcPr>
          <w:p w:rsidR="00E64CB4" w:rsidRPr="00A32AF4" w:rsidRDefault="00E64CB4" w:rsidP="00DC0553">
            <w:pPr>
              <w:rPr>
                <w:rFonts w:cs="Arial"/>
                <w:sz w:val="16"/>
                <w:szCs w:val="16"/>
                <w:lang w:eastAsia="fr-FR"/>
              </w:rPr>
            </w:pPr>
            <w:r w:rsidRPr="00A32AF4">
              <w:rPr>
                <w:rFonts w:cs="Arial"/>
                <w:sz w:val="16"/>
                <w:szCs w:val="16"/>
                <w:lang w:eastAsia="fr-FR"/>
              </w:rPr>
              <w:t>III.4</w:t>
            </w:r>
          </w:p>
        </w:tc>
        <w:tc>
          <w:tcPr>
            <w:tcW w:w="4438" w:type="dxa"/>
            <w:tcBorders>
              <w:top w:val="nil"/>
              <w:left w:val="nil"/>
              <w:bottom w:val="nil"/>
              <w:right w:val="nil"/>
            </w:tcBorders>
            <w:shd w:val="clear" w:color="auto" w:fill="auto"/>
            <w:tcMar>
              <w:top w:w="113" w:type="dxa"/>
              <w:bottom w:w="113" w:type="dxa"/>
            </w:tcMar>
            <w:vAlign w:val="center"/>
            <w:hideMark/>
          </w:tcPr>
          <w:p w:rsidR="00E64CB4" w:rsidRPr="00A32AF4" w:rsidRDefault="00E64CB4" w:rsidP="0038345F">
            <w:pPr>
              <w:autoSpaceDE w:val="0"/>
              <w:autoSpaceDN w:val="0"/>
              <w:adjustRightInd w:val="0"/>
              <w:rPr>
                <w:rFonts w:cs="Arial"/>
                <w:sz w:val="16"/>
                <w:szCs w:val="16"/>
                <w:lang w:eastAsia="fr-FR"/>
              </w:rPr>
            </w:pPr>
            <w:r w:rsidRPr="00A32AF4">
              <w:rPr>
                <w:rFonts w:cs="Arial"/>
                <w:sz w:val="16"/>
                <w:szCs w:val="16"/>
                <w:lang w:eastAsia="fr-FR"/>
              </w:rPr>
              <w:t>Mécanismes et programmes de coopération renforcés, adaptés aux besoins des pays en développement</w:t>
            </w:r>
            <w:r w:rsidR="004A7AE4" w:rsidRPr="00A32AF4">
              <w:rPr>
                <w:rFonts w:cs="Arial"/>
                <w:sz w:val="16"/>
                <w:szCs w:val="16"/>
                <w:lang w:eastAsia="fr-FR"/>
              </w:rPr>
              <w:t>,</w:t>
            </w:r>
            <w:r w:rsidR="00E2055A" w:rsidRPr="00A32AF4">
              <w:rPr>
                <w:rFonts w:cs="Arial"/>
                <w:sz w:val="16"/>
                <w:szCs w:val="16"/>
                <w:lang w:eastAsia="fr-FR"/>
              </w:rPr>
              <w:t xml:space="preserve"> des PMA</w:t>
            </w:r>
            <w:r w:rsidR="004A7AE4" w:rsidRPr="00A32AF4">
              <w:rPr>
                <w:rFonts w:cs="Arial"/>
                <w:sz w:val="16"/>
                <w:szCs w:val="16"/>
                <w:lang w:eastAsia="fr-FR"/>
              </w:rPr>
              <w:t xml:space="preserve"> et des pays en</w:t>
            </w:r>
            <w:r w:rsidR="0044400E" w:rsidRPr="00A32AF4">
              <w:rPr>
                <w:rFonts w:cs="Arial"/>
                <w:sz w:val="16"/>
                <w:szCs w:val="16"/>
                <w:lang w:eastAsia="fr-FR"/>
              </w:rPr>
              <w:t xml:space="preserve"> </w:t>
            </w:r>
            <w:r w:rsidR="004A7AE4" w:rsidRPr="00A32AF4">
              <w:rPr>
                <w:rFonts w:cs="Arial"/>
                <w:sz w:val="16"/>
                <w:szCs w:val="16"/>
                <w:lang w:eastAsia="fr-FR"/>
              </w:rPr>
              <w:t>transition</w:t>
            </w:r>
          </w:p>
        </w:tc>
        <w:tc>
          <w:tcPr>
            <w:tcW w:w="1260" w:type="dxa"/>
            <w:tcBorders>
              <w:top w:val="nil"/>
              <w:left w:val="nil"/>
              <w:bottom w:val="nil"/>
              <w:right w:val="nil"/>
            </w:tcBorders>
            <w:shd w:val="clear" w:color="auto" w:fill="auto"/>
            <w:tcMar>
              <w:top w:w="113" w:type="dxa"/>
              <w:bottom w:w="113" w:type="dxa"/>
            </w:tcMar>
            <w:vAlign w:val="center"/>
            <w:hideMark/>
          </w:tcPr>
          <w:p w:rsidR="00E64CB4" w:rsidRPr="00A32AF4" w:rsidRDefault="00E64CB4" w:rsidP="00DC0553">
            <w:pPr>
              <w:jc w:val="right"/>
              <w:rPr>
                <w:rFonts w:cs="Arial"/>
                <w:sz w:val="16"/>
                <w:szCs w:val="16"/>
                <w:lang w:eastAsia="fr-FR"/>
              </w:rPr>
            </w:pPr>
            <w:r w:rsidRPr="00A32AF4">
              <w:rPr>
                <w:rFonts w:cs="Arial"/>
                <w:sz w:val="16"/>
                <w:szCs w:val="16"/>
                <w:lang w:eastAsia="fr-FR"/>
              </w:rPr>
              <w:t xml:space="preserve">487 </w:t>
            </w:r>
          </w:p>
        </w:tc>
        <w:tc>
          <w:tcPr>
            <w:tcW w:w="1440" w:type="dxa"/>
            <w:tcBorders>
              <w:top w:val="nil"/>
              <w:left w:val="nil"/>
              <w:bottom w:val="nil"/>
              <w:right w:val="nil"/>
            </w:tcBorders>
            <w:shd w:val="clear" w:color="auto" w:fill="auto"/>
            <w:tcMar>
              <w:top w:w="113" w:type="dxa"/>
              <w:bottom w:w="113" w:type="dxa"/>
            </w:tcMar>
            <w:vAlign w:val="center"/>
            <w:hideMark/>
          </w:tcPr>
          <w:p w:rsidR="00E64CB4" w:rsidRPr="00A32AF4" w:rsidRDefault="00E64CB4" w:rsidP="00DC0553">
            <w:pPr>
              <w:jc w:val="right"/>
              <w:rPr>
                <w:rFonts w:cs="Arial"/>
                <w:sz w:val="16"/>
                <w:szCs w:val="16"/>
                <w:lang w:eastAsia="fr-FR"/>
              </w:rPr>
            </w:pPr>
            <w:r w:rsidRPr="00A32AF4">
              <w:rPr>
                <w:rFonts w:cs="Arial"/>
                <w:sz w:val="16"/>
                <w:szCs w:val="16"/>
                <w:lang w:eastAsia="fr-FR"/>
              </w:rPr>
              <w:t xml:space="preserve">487 </w:t>
            </w:r>
          </w:p>
        </w:tc>
        <w:tc>
          <w:tcPr>
            <w:tcW w:w="1260" w:type="dxa"/>
            <w:tcBorders>
              <w:top w:val="nil"/>
              <w:left w:val="nil"/>
              <w:bottom w:val="nil"/>
              <w:right w:val="single" w:sz="4" w:space="0" w:color="auto"/>
            </w:tcBorders>
            <w:shd w:val="clear" w:color="auto" w:fill="auto"/>
            <w:tcMar>
              <w:top w:w="113" w:type="dxa"/>
              <w:bottom w:w="113" w:type="dxa"/>
            </w:tcMar>
            <w:vAlign w:val="center"/>
            <w:hideMark/>
          </w:tcPr>
          <w:p w:rsidR="00E64CB4" w:rsidRPr="00A32AF4" w:rsidRDefault="00E64CB4" w:rsidP="00DC0553">
            <w:pPr>
              <w:jc w:val="right"/>
              <w:rPr>
                <w:rFonts w:cs="Arial"/>
                <w:sz w:val="16"/>
                <w:szCs w:val="16"/>
                <w:lang w:eastAsia="fr-FR"/>
              </w:rPr>
            </w:pPr>
          </w:p>
        </w:tc>
      </w:tr>
      <w:tr w:rsidR="00E64CB4" w:rsidRPr="00A32AF4" w:rsidTr="00E64CB4">
        <w:tc>
          <w:tcPr>
            <w:tcW w:w="582" w:type="dxa"/>
            <w:tcBorders>
              <w:top w:val="single" w:sz="4" w:space="0" w:color="auto"/>
              <w:left w:val="single" w:sz="4" w:space="0" w:color="auto"/>
              <w:bottom w:val="single" w:sz="4" w:space="0" w:color="auto"/>
              <w:right w:val="nil"/>
            </w:tcBorders>
            <w:shd w:val="clear" w:color="000000" w:fill="C5D9F1"/>
            <w:noWrap/>
            <w:tcMar>
              <w:top w:w="113" w:type="dxa"/>
              <w:bottom w:w="113" w:type="dxa"/>
            </w:tcMar>
            <w:vAlign w:val="bottom"/>
            <w:hideMark/>
          </w:tcPr>
          <w:p w:rsidR="00E64CB4" w:rsidRPr="00A32AF4" w:rsidRDefault="00E64CB4" w:rsidP="00DC0553">
            <w:pPr>
              <w:rPr>
                <w:rFonts w:cs="Arial"/>
                <w:sz w:val="16"/>
                <w:szCs w:val="16"/>
                <w:lang w:eastAsia="fr-FR"/>
              </w:rPr>
            </w:pPr>
            <w:r w:rsidRPr="00A32AF4">
              <w:rPr>
                <w:rFonts w:cs="Arial"/>
                <w:sz w:val="16"/>
                <w:szCs w:val="16"/>
                <w:lang w:eastAsia="fr-FR"/>
              </w:rPr>
              <w:t> </w:t>
            </w:r>
          </w:p>
        </w:tc>
        <w:tc>
          <w:tcPr>
            <w:tcW w:w="4438"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E64CB4" w:rsidRPr="00A32AF4" w:rsidRDefault="00E64CB4" w:rsidP="00DC0553">
            <w:pPr>
              <w:rPr>
                <w:rFonts w:cs="Arial"/>
                <w:b/>
                <w:bCs/>
                <w:sz w:val="16"/>
                <w:szCs w:val="16"/>
                <w:lang w:eastAsia="fr-FR"/>
              </w:rPr>
            </w:pPr>
            <w:r w:rsidRPr="00A32AF4">
              <w:rPr>
                <w:rFonts w:cs="Arial"/>
                <w:b/>
                <w:bCs/>
                <w:sz w:val="16"/>
                <w:szCs w:val="16"/>
                <w:lang w:eastAsia="fr-FR"/>
              </w:rPr>
              <w:t>Total</w:t>
            </w:r>
          </w:p>
        </w:tc>
        <w:tc>
          <w:tcPr>
            <w:tcW w:w="1260"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E64CB4" w:rsidRPr="00A32AF4" w:rsidRDefault="00E64CB4" w:rsidP="00DC0553">
            <w:pPr>
              <w:jc w:val="right"/>
              <w:rPr>
                <w:rFonts w:cs="Arial"/>
                <w:b/>
                <w:bCs/>
                <w:sz w:val="16"/>
                <w:szCs w:val="16"/>
                <w:lang w:eastAsia="fr-FR"/>
              </w:rPr>
            </w:pPr>
            <w:r w:rsidRPr="00A32AF4">
              <w:rPr>
                <w:rFonts w:cs="Arial"/>
                <w:b/>
                <w:bCs/>
                <w:sz w:val="16"/>
                <w:szCs w:val="16"/>
                <w:lang w:eastAsia="fr-FR"/>
              </w:rPr>
              <w:t xml:space="preserve">6 162 </w:t>
            </w:r>
          </w:p>
        </w:tc>
        <w:tc>
          <w:tcPr>
            <w:tcW w:w="1440"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E64CB4" w:rsidRPr="00A32AF4" w:rsidRDefault="00E64CB4" w:rsidP="00DC0553">
            <w:pPr>
              <w:jc w:val="right"/>
              <w:rPr>
                <w:rFonts w:cs="Arial"/>
                <w:b/>
                <w:bCs/>
                <w:sz w:val="16"/>
                <w:szCs w:val="16"/>
                <w:lang w:eastAsia="fr-FR"/>
              </w:rPr>
            </w:pPr>
            <w:r w:rsidRPr="00A32AF4">
              <w:rPr>
                <w:rFonts w:cs="Arial"/>
                <w:b/>
                <w:bCs/>
                <w:sz w:val="16"/>
                <w:szCs w:val="16"/>
                <w:lang w:eastAsia="fr-FR"/>
              </w:rPr>
              <w:t xml:space="preserve">5 539 </w:t>
            </w:r>
          </w:p>
        </w:tc>
        <w:tc>
          <w:tcPr>
            <w:tcW w:w="1260"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E64CB4" w:rsidRPr="00A32AF4" w:rsidRDefault="00E64CB4" w:rsidP="00DC0553">
            <w:pPr>
              <w:jc w:val="right"/>
              <w:rPr>
                <w:rFonts w:cs="Arial"/>
                <w:b/>
                <w:bCs/>
                <w:sz w:val="16"/>
                <w:szCs w:val="16"/>
                <w:lang w:eastAsia="fr-FR"/>
              </w:rPr>
            </w:pPr>
            <w:r w:rsidRPr="00A32AF4">
              <w:rPr>
                <w:rFonts w:cs="Arial"/>
                <w:b/>
                <w:bCs/>
                <w:sz w:val="16"/>
                <w:szCs w:val="16"/>
                <w:lang w:eastAsia="fr-FR"/>
              </w:rPr>
              <w:t xml:space="preserve">4 854 </w:t>
            </w:r>
          </w:p>
        </w:tc>
      </w:tr>
    </w:tbl>
    <w:p w:rsidR="00F93B76" w:rsidRPr="00A32AF4" w:rsidRDefault="00F93B76" w:rsidP="00DC0553">
      <w:pPr>
        <w:jc w:val="both"/>
      </w:pPr>
    </w:p>
    <w:p w:rsidR="00F93B76" w:rsidRPr="00A32AF4" w:rsidRDefault="00F93B76" w:rsidP="00DC0553">
      <w:pPr>
        <w:jc w:val="both"/>
      </w:pPr>
    </w:p>
    <w:p w:rsidR="00F93B76" w:rsidRPr="00A32AF4" w:rsidRDefault="00E64CB4" w:rsidP="00DC0553">
      <w:pPr>
        <w:keepNext/>
        <w:keepLines/>
        <w:autoSpaceDE w:val="0"/>
        <w:autoSpaceDN w:val="0"/>
        <w:jc w:val="center"/>
        <w:rPr>
          <w:rFonts w:cs="Arial"/>
          <w:b/>
        </w:rPr>
      </w:pPr>
      <w:r w:rsidRPr="00A32AF4">
        <w:rPr>
          <w:rFonts w:cs="Arial"/>
          <w:b/>
        </w:rPr>
        <w:t>Programme 2 : ressources par objet de dépense</w:t>
      </w:r>
    </w:p>
    <w:p w:rsidR="00F93B76" w:rsidRPr="00A32AF4" w:rsidRDefault="00E64CB4" w:rsidP="00DC0553">
      <w:pPr>
        <w:keepNext/>
        <w:keepLines/>
        <w:autoSpaceDE w:val="0"/>
        <w:autoSpaceDN w:val="0"/>
        <w:jc w:val="center"/>
        <w:rPr>
          <w:rFonts w:cs="Arial"/>
          <w:i/>
        </w:rPr>
      </w:pPr>
      <w:r w:rsidRPr="00A32AF4">
        <w:rPr>
          <w:rFonts w:cs="Arial"/>
          <w:i/>
        </w:rPr>
        <w:t>(</w:t>
      </w:r>
      <w:proofErr w:type="gramStart"/>
      <w:r w:rsidRPr="00A32AF4">
        <w:rPr>
          <w:rFonts w:cs="Arial"/>
          <w:i/>
        </w:rPr>
        <w:t>en</w:t>
      </w:r>
      <w:proofErr w:type="gramEnd"/>
      <w:r w:rsidRPr="00A32AF4">
        <w:rPr>
          <w:rFonts w:cs="Arial"/>
          <w:i/>
        </w:rPr>
        <w:t xml:space="preserve"> milliers de francs suisses)</w:t>
      </w:r>
    </w:p>
    <w:p w:rsidR="00F93B76" w:rsidRPr="00A32AF4" w:rsidRDefault="00F93B76" w:rsidP="00DC0553">
      <w:pPr>
        <w:keepNext/>
        <w:jc w:val="both"/>
      </w:pPr>
    </w:p>
    <w:p w:rsidR="00F93B76" w:rsidRPr="00A32AF4" w:rsidRDefault="00F70ECD" w:rsidP="00DC0553">
      <w:pPr>
        <w:jc w:val="both"/>
      </w:pPr>
      <w:r w:rsidRPr="00A32AF4">
        <w:rPr>
          <w:noProof/>
          <w:lang w:eastAsia="fr-FR"/>
        </w:rPr>
        <w:drawing>
          <wp:inline distT="0" distB="0" distL="0" distR="0" wp14:anchorId="0A13E133" wp14:editId="37B31DB2">
            <wp:extent cx="5512435" cy="6555105"/>
            <wp:effectExtent l="0" t="0" r="0" b="0"/>
            <wp:docPr id="969" name="Picture 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512435" cy="6555105"/>
                    </a:xfrm>
                    <a:prstGeom prst="rect">
                      <a:avLst/>
                    </a:prstGeom>
                    <a:noFill/>
                    <a:ln>
                      <a:noFill/>
                    </a:ln>
                  </pic:spPr>
                </pic:pic>
              </a:graphicData>
            </a:graphic>
          </wp:inline>
        </w:drawing>
      </w:r>
    </w:p>
    <w:p w:rsidR="00F93B76" w:rsidRPr="00A32AF4" w:rsidRDefault="00F93B76" w:rsidP="00DC0553">
      <w:pPr>
        <w:jc w:val="both"/>
      </w:pPr>
    </w:p>
    <w:p w:rsidR="00F93B76" w:rsidRPr="00A32AF4" w:rsidRDefault="00E64CB4" w:rsidP="00DC0553">
      <w:r w:rsidRPr="00A32AF4">
        <w:br w:type="page"/>
      </w:r>
    </w:p>
    <w:p w:rsidR="00F93B76" w:rsidRPr="00A32AF4" w:rsidRDefault="00D12195" w:rsidP="00FB1F61">
      <w:pPr>
        <w:pStyle w:val="Heading3"/>
      </w:pPr>
      <w:bookmarkStart w:id="22" w:name="_Toc367350574"/>
      <w:bookmarkStart w:id="23" w:name="_Toc431555437"/>
      <w:r w:rsidRPr="00A32AF4">
        <w:t>PROGRAMME 3</w:t>
      </w:r>
      <w:bookmarkEnd w:id="22"/>
      <w:r w:rsidR="002A5E19" w:rsidRPr="00A32AF4">
        <w:tab/>
      </w:r>
      <w:r w:rsidRPr="00A32AF4">
        <w:t>Droit d</w:t>
      </w:r>
      <w:r w:rsidR="00E2055A" w:rsidRPr="00A32AF4">
        <w:t>’</w:t>
      </w:r>
      <w:r w:rsidRPr="00A32AF4">
        <w:t>auteur et droits connexes</w:t>
      </w:r>
      <w:bookmarkEnd w:id="23"/>
    </w:p>
    <w:p w:rsidR="00F93B76" w:rsidRPr="00A32AF4" w:rsidRDefault="00F93B76" w:rsidP="00DC0553"/>
    <w:p w:rsidR="00F93B76" w:rsidRPr="00A32AF4" w:rsidRDefault="00F93B76" w:rsidP="00DC0553"/>
    <w:p w:rsidR="00F93B76" w:rsidRPr="00A32AF4" w:rsidRDefault="00E64CB4" w:rsidP="00DC0553">
      <w:pPr>
        <w:rPr>
          <w:szCs w:val="24"/>
        </w:rPr>
      </w:pPr>
      <w:r w:rsidRPr="00A32AF4">
        <w:t>CONTEXTE DE PLANIFICATION</w:t>
      </w:r>
    </w:p>
    <w:p w:rsidR="00F93B76" w:rsidRPr="00A32AF4" w:rsidRDefault="00F93B76" w:rsidP="00DC0553">
      <w:pPr>
        <w:rPr>
          <w:szCs w:val="22"/>
        </w:rPr>
      </w:pPr>
    </w:p>
    <w:p w:rsidR="00F93B76" w:rsidRPr="00A32AF4" w:rsidRDefault="00D12195" w:rsidP="00DC0553">
      <w:pPr>
        <w:numPr>
          <w:ilvl w:val="0"/>
          <w:numId w:val="7"/>
        </w:numPr>
        <w:autoSpaceDE w:val="0"/>
        <w:autoSpaceDN w:val="0"/>
        <w:adjustRightInd w:val="0"/>
        <w:jc w:val="both"/>
        <w:rPr>
          <w:szCs w:val="22"/>
        </w:rPr>
      </w:pPr>
      <w:r w:rsidRPr="00A32AF4">
        <w:rPr>
          <w:szCs w:val="22"/>
        </w:rPr>
        <w:t>Une évolution fondamentale s</w:t>
      </w:r>
      <w:r w:rsidR="00E2055A" w:rsidRPr="00A32AF4">
        <w:rPr>
          <w:szCs w:val="22"/>
        </w:rPr>
        <w:t>’</w:t>
      </w:r>
      <w:r w:rsidRPr="00A32AF4">
        <w:rPr>
          <w:szCs w:val="22"/>
        </w:rPr>
        <w:t>est opérée dans le panorama international en ce qui concerne les œuvres de création, ce qui se traduit par des défis et des opportunités pour l</w:t>
      </w:r>
      <w:r w:rsidR="00E2055A" w:rsidRPr="00A32AF4">
        <w:rPr>
          <w:szCs w:val="22"/>
        </w:rPr>
        <w:t>’</w:t>
      </w:r>
      <w:r w:rsidRPr="00A32AF4">
        <w:rPr>
          <w:szCs w:val="22"/>
        </w:rPr>
        <w:t>OMPI.  Elle est la plus manifeste dans le domaine du droit d</w:t>
      </w:r>
      <w:r w:rsidR="00E2055A" w:rsidRPr="00A32AF4">
        <w:rPr>
          <w:szCs w:val="22"/>
        </w:rPr>
        <w:t>’</w:t>
      </w:r>
      <w:r w:rsidRPr="00A32AF4">
        <w:rPr>
          <w:szCs w:val="22"/>
        </w:rPr>
        <w:t>auteur et des droits connexes, où la technologie numérique, l</w:t>
      </w:r>
      <w:r w:rsidR="00E2055A" w:rsidRPr="00A32AF4">
        <w:rPr>
          <w:szCs w:val="22"/>
        </w:rPr>
        <w:t>’</w:t>
      </w:r>
      <w:r w:rsidRPr="00A32AF4">
        <w:rPr>
          <w:szCs w:val="22"/>
        </w:rPr>
        <w:t>Internet et les applications mobiles modifient profondément la culture et les industries de la création.</w:t>
      </w:r>
    </w:p>
    <w:p w:rsidR="00F93B76" w:rsidRPr="00A32AF4" w:rsidRDefault="00F93B76" w:rsidP="00DC0553">
      <w:pPr>
        <w:autoSpaceDE w:val="0"/>
        <w:autoSpaceDN w:val="0"/>
        <w:adjustRightInd w:val="0"/>
        <w:jc w:val="both"/>
        <w:rPr>
          <w:szCs w:val="22"/>
        </w:rPr>
      </w:pPr>
    </w:p>
    <w:p w:rsidR="00F93B76" w:rsidRPr="00A32AF4" w:rsidRDefault="00D12195" w:rsidP="00DC0553">
      <w:pPr>
        <w:numPr>
          <w:ilvl w:val="0"/>
          <w:numId w:val="7"/>
        </w:numPr>
        <w:autoSpaceDE w:val="0"/>
        <w:autoSpaceDN w:val="0"/>
        <w:adjustRightInd w:val="0"/>
        <w:jc w:val="both"/>
        <w:rPr>
          <w:szCs w:val="22"/>
        </w:rPr>
      </w:pPr>
      <w:r w:rsidRPr="00A32AF4">
        <w:rPr>
          <w:szCs w:val="22"/>
        </w:rPr>
        <w:t>Les thèmes et enjeux ci</w:t>
      </w:r>
      <w:r w:rsidR="00EB7F54" w:rsidRPr="00A32AF4">
        <w:rPr>
          <w:szCs w:val="22"/>
        </w:rPr>
        <w:noBreakHyphen/>
      </w:r>
      <w:r w:rsidRPr="00A32AF4">
        <w:rPr>
          <w:szCs w:val="22"/>
        </w:rPr>
        <w:t>dessous resteront d</w:t>
      </w:r>
      <w:r w:rsidR="00E2055A" w:rsidRPr="00A32AF4">
        <w:rPr>
          <w:szCs w:val="22"/>
        </w:rPr>
        <w:t>’</w:t>
      </w:r>
      <w:r w:rsidRPr="00A32AF4">
        <w:rPr>
          <w:szCs w:val="22"/>
        </w:rPr>
        <w:t>actualité durant le prochain exercice biennal.</w:t>
      </w:r>
      <w:r w:rsidR="00E64CB4" w:rsidRPr="00A32AF4">
        <w:rPr>
          <w:szCs w:val="22"/>
        </w:rPr>
        <w:t xml:space="preserve">  </w:t>
      </w:r>
      <w:r w:rsidRPr="00A32AF4">
        <w:rPr>
          <w:szCs w:val="22"/>
        </w:rPr>
        <w:t>En ce qui concerne les travaux en matière d</w:t>
      </w:r>
      <w:r w:rsidR="00E2055A" w:rsidRPr="00A32AF4">
        <w:rPr>
          <w:szCs w:val="22"/>
        </w:rPr>
        <w:t>’</w:t>
      </w:r>
      <w:r w:rsidRPr="00A32AF4">
        <w:rPr>
          <w:szCs w:val="22"/>
        </w:rPr>
        <w:t>élaboration de normes et de politiques, un certain nombre de questions en suspens figurant dans le programme de travail normatif sur le droit d</w:t>
      </w:r>
      <w:r w:rsidR="00E2055A" w:rsidRPr="00A32AF4">
        <w:rPr>
          <w:szCs w:val="22"/>
        </w:rPr>
        <w:t>’</w:t>
      </w:r>
      <w:r w:rsidRPr="00A32AF4">
        <w:rPr>
          <w:szCs w:val="22"/>
        </w:rPr>
        <w:t xml:space="preserve">auteur doivent encore être </w:t>
      </w:r>
      <w:proofErr w:type="gramStart"/>
      <w:r w:rsidRPr="00A32AF4">
        <w:rPr>
          <w:szCs w:val="22"/>
        </w:rPr>
        <w:t>résolues</w:t>
      </w:r>
      <w:proofErr w:type="gramEnd"/>
      <w:r w:rsidRPr="00A32AF4">
        <w:rPr>
          <w:szCs w:val="22"/>
        </w:rPr>
        <w:t>.  Les thèmes qui seront inscrits au futur programme de travail du Comité permanent du droit d</w:t>
      </w:r>
      <w:r w:rsidR="00E2055A" w:rsidRPr="00A32AF4">
        <w:rPr>
          <w:szCs w:val="22"/>
        </w:rPr>
        <w:t>’</w:t>
      </w:r>
      <w:r w:rsidRPr="00A32AF4">
        <w:rPr>
          <w:szCs w:val="22"/>
        </w:rPr>
        <w:t>auteur et des droits connexes (SCCR) seront également définis.</w:t>
      </w:r>
    </w:p>
    <w:p w:rsidR="00F93B76" w:rsidRPr="00A32AF4" w:rsidRDefault="00F93B76" w:rsidP="00DC0553">
      <w:pPr>
        <w:autoSpaceDE w:val="0"/>
        <w:autoSpaceDN w:val="0"/>
        <w:adjustRightInd w:val="0"/>
        <w:jc w:val="both"/>
        <w:rPr>
          <w:szCs w:val="22"/>
        </w:rPr>
      </w:pPr>
    </w:p>
    <w:p w:rsidR="00F93B76" w:rsidRPr="00A32AF4" w:rsidRDefault="00D12195" w:rsidP="006A6F31">
      <w:pPr>
        <w:numPr>
          <w:ilvl w:val="0"/>
          <w:numId w:val="7"/>
        </w:numPr>
        <w:autoSpaceDE w:val="0"/>
        <w:autoSpaceDN w:val="0"/>
        <w:adjustRightInd w:val="0"/>
        <w:jc w:val="both"/>
        <w:rPr>
          <w:szCs w:val="22"/>
        </w:rPr>
      </w:pPr>
      <w:r w:rsidRPr="00A32AF4">
        <w:rPr>
          <w:szCs w:val="22"/>
        </w:rPr>
        <w:t>En outre, un enjeu essentiel pour le Secrétariat sera de répondre aux demandes de conseil formulées par les États membres qui souhaitent rendre leur législation interne compatible avec leurs obligations internationales</w:t>
      </w:r>
      <w:r w:rsidR="006A6F31" w:rsidRPr="00A32AF4">
        <w:rPr>
          <w:szCs w:val="22"/>
        </w:rPr>
        <w:t>, en tenant compte des éléments de flexibilité prévus dans le système</w:t>
      </w:r>
      <w:r w:rsidR="00E96218" w:rsidRPr="00A32AF4">
        <w:rPr>
          <w:szCs w:val="22"/>
        </w:rPr>
        <w:t xml:space="preserve"> multilatéral</w:t>
      </w:r>
      <w:r w:rsidRPr="00A32AF4">
        <w:rPr>
          <w:szCs w:val="22"/>
        </w:rPr>
        <w:t>.</w:t>
      </w:r>
    </w:p>
    <w:p w:rsidR="00F93B76" w:rsidRPr="00A32AF4" w:rsidRDefault="00F93B76" w:rsidP="00DC0553">
      <w:pPr>
        <w:autoSpaceDE w:val="0"/>
        <w:autoSpaceDN w:val="0"/>
        <w:adjustRightInd w:val="0"/>
        <w:jc w:val="both"/>
        <w:rPr>
          <w:szCs w:val="22"/>
        </w:rPr>
      </w:pPr>
    </w:p>
    <w:p w:rsidR="00F93B76" w:rsidRPr="00A32AF4" w:rsidRDefault="00D12195" w:rsidP="00DC0553">
      <w:pPr>
        <w:numPr>
          <w:ilvl w:val="0"/>
          <w:numId w:val="7"/>
        </w:numPr>
        <w:autoSpaceDE w:val="0"/>
        <w:autoSpaceDN w:val="0"/>
        <w:adjustRightInd w:val="0"/>
        <w:jc w:val="both"/>
        <w:rPr>
          <w:szCs w:val="22"/>
        </w:rPr>
      </w:pPr>
      <w:r w:rsidRPr="00A32AF4">
        <w:rPr>
          <w:szCs w:val="22"/>
        </w:rPr>
        <w:t>Les pays en développement et les pays les moins avancés sont toujours confrontés aux évolutions rapides des technologies et du lien de ces technologies avec les systèmes de protection par le droit d</w:t>
      </w:r>
      <w:r w:rsidR="00E2055A" w:rsidRPr="00A32AF4">
        <w:rPr>
          <w:szCs w:val="22"/>
        </w:rPr>
        <w:t>’</w:t>
      </w:r>
      <w:r w:rsidRPr="00A32AF4">
        <w:rPr>
          <w:szCs w:val="22"/>
        </w:rPr>
        <w:t>auteur.  Par conséquent, l</w:t>
      </w:r>
      <w:r w:rsidR="00E2055A" w:rsidRPr="00A32AF4">
        <w:rPr>
          <w:szCs w:val="22"/>
        </w:rPr>
        <w:t>’</w:t>
      </w:r>
      <w:r w:rsidRPr="00A32AF4">
        <w:rPr>
          <w:szCs w:val="22"/>
        </w:rPr>
        <w:t>OMPI doit impérativement mettre en place des programmes d</w:t>
      </w:r>
      <w:r w:rsidR="00E2055A" w:rsidRPr="00A32AF4">
        <w:rPr>
          <w:szCs w:val="22"/>
        </w:rPr>
        <w:t>’</w:t>
      </w:r>
      <w:r w:rsidRPr="00A32AF4">
        <w:rPr>
          <w:szCs w:val="22"/>
        </w:rPr>
        <w:t xml:space="preserve">assistance technique durables qui aideront ces pays à </w:t>
      </w:r>
      <w:r w:rsidR="00F8220C" w:rsidRPr="00A32AF4">
        <w:rPr>
          <w:szCs w:val="22"/>
        </w:rPr>
        <w:t>relever les défis dans ce domaine</w:t>
      </w:r>
      <w:r w:rsidRPr="00A32AF4">
        <w:rPr>
          <w:szCs w:val="22"/>
        </w:rPr>
        <w:t>.</w:t>
      </w:r>
    </w:p>
    <w:p w:rsidR="00F93B76" w:rsidRPr="00A32AF4" w:rsidRDefault="00F93B76" w:rsidP="00DC0553">
      <w:pPr>
        <w:autoSpaceDE w:val="0"/>
        <w:autoSpaceDN w:val="0"/>
        <w:adjustRightInd w:val="0"/>
        <w:jc w:val="both"/>
        <w:rPr>
          <w:szCs w:val="22"/>
        </w:rPr>
      </w:pPr>
    </w:p>
    <w:p w:rsidR="00F93B76" w:rsidRPr="00A32AF4" w:rsidRDefault="00D12195" w:rsidP="00DC0553">
      <w:pPr>
        <w:numPr>
          <w:ilvl w:val="0"/>
          <w:numId w:val="7"/>
        </w:numPr>
        <w:autoSpaceDE w:val="0"/>
        <w:autoSpaceDN w:val="0"/>
        <w:adjustRightInd w:val="0"/>
        <w:jc w:val="both"/>
        <w:rPr>
          <w:szCs w:val="22"/>
        </w:rPr>
      </w:pPr>
      <w:r w:rsidRPr="00A32AF4">
        <w:rPr>
          <w:szCs w:val="22"/>
        </w:rPr>
        <w:t>Dans un monde qui évolue rapidement et qui dépend de plus en plus des technologies numériques, le défi le plus important en termes d</w:t>
      </w:r>
      <w:r w:rsidR="00E2055A" w:rsidRPr="00A32AF4">
        <w:rPr>
          <w:szCs w:val="22"/>
        </w:rPr>
        <w:t>’</w:t>
      </w:r>
      <w:r w:rsidRPr="00A32AF4">
        <w:rPr>
          <w:szCs w:val="22"/>
        </w:rPr>
        <w:t>infrastructure sera de garantir que les titulaires de droits reçoivent l</w:t>
      </w:r>
      <w:r w:rsidR="00E2055A" w:rsidRPr="00A32AF4">
        <w:rPr>
          <w:szCs w:val="22"/>
        </w:rPr>
        <w:t>’</w:t>
      </w:r>
      <w:r w:rsidRPr="00A32AF4">
        <w:rPr>
          <w:szCs w:val="22"/>
        </w:rPr>
        <w:t>intégralité de ce qui leur est dû et que les utilisateurs de droits aient facilement un accès légal au contenu du droit d</w:t>
      </w:r>
      <w:r w:rsidR="00E2055A" w:rsidRPr="00A32AF4">
        <w:rPr>
          <w:szCs w:val="22"/>
        </w:rPr>
        <w:t>’</w:t>
      </w:r>
      <w:r w:rsidRPr="00A32AF4">
        <w:rPr>
          <w:szCs w:val="22"/>
        </w:rPr>
        <w:t>auteur de leur choix.</w:t>
      </w:r>
    </w:p>
    <w:p w:rsidR="00F93B76" w:rsidRPr="00A32AF4" w:rsidRDefault="00F93B76" w:rsidP="00DC0553"/>
    <w:p w:rsidR="00F93B76" w:rsidRPr="00A32AF4" w:rsidRDefault="00F93B76" w:rsidP="00DC0553"/>
    <w:p w:rsidR="00F93B76" w:rsidRPr="00A32AF4" w:rsidRDefault="00E64CB4" w:rsidP="00DC0553">
      <w:pPr>
        <w:rPr>
          <w:szCs w:val="24"/>
        </w:rPr>
      </w:pPr>
      <w:r w:rsidRPr="00A32AF4">
        <w:t>STRATÉGIES DE MISE EN ŒUVRE</w:t>
      </w:r>
    </w:p>
    <w:p w:rsidR="00F93B76" w:rsidRPr="00A32AF4" w:rsidRDefault="00F93B76" w:rsidP="00DC0553"/>
    <w:p w:rsidR="00F93B76" w:rsidRPr="00A32AF4" w:rsidRDefault="00D12195" w:rsidP="00DC0553">
      <w:pPr>
        <w:numPr>
          <w:ilvl w:val="0"/>
          <w:numId w:val="7"/>
        </w:numPr>
        <w:autoSpaceDE w:val="0"/>
        <w:autoSpaceDN w:val="0"/>
        <w:adjustRightInd w:val="0"/>
        <w:jc w:val="both"/>
        <w:rPr>
          <w:bCs/>
          <w:szCs w:val="22"/>
        </w:rPr>
      </w:pPr>
      <w:r w:rsidRPr="00A32AF4">
        <w:rPr>
          <w:bCs/>
          <w:szCs w:val="22"/>
        </w:rPr>
        <w:t>Dans ce contexte, au cours du prochain exercice biennal, le programme mettra l</w:t>
      </w:r>
      <w:r w:rsidR="00E2055A" w:rsidRPr="00A32AF4">
        <w:rPr>
          <w:bCs/>
          <w:szCs w:val="22"/>
        </w:rPr>
        <w:t>’</w:t>
      </w:r>
      <w:r w:rsidRPr="00A32AF4">
        <w:rPr>
          <w:bCs/>
          <w:szCs w:val="22"/>
        </w:rPr>
        <w:t>accent sur les priorités ci</w:t>
      </w:r>
      <w:r w:rsidR="00EB7F54" w:rsidRPr="00A32AF4">
        <w:rPr>
          <w:bCs/>
          <w:szCs w:val="22"/>
        </w:rPr>
        <w:noBreakHyphen/>
      </w:r>
      <w:r w:rsidRPr="00A32AF4">
        <w:rPr>
          <w:bCs/>
          <w:szCs w:val="22"/>
        </w:rPr>
        <w:t>dessous dont la mise en œuvre tiendra dûment compte des recommandations n</w:t>
      </w:r>
      <w:r w:rsidRPr="00A32AF4">
        <w:rPr>
          <w:bCs/>
          <w:szCs w:val="22"/>
          <w:vertAlign w:val="superscript"/>
        </w:rPr>
        <w:t>os</w:t>
      </w:r>
      <w:r w:rsidRPr="00A32AF4">
        <w:rPr>
          <w:bCs/>
          <w:szCs w:val="22"/>
        </w:rPr>
        <w:t> 1, 6, 12 à 17, 19 et 20 du Plan d</w:t>
      </w:r>
      <w:r w:rsidR="00E2055A" w:rsidRPr="00A32AF4">
        <w:rPr>
          <w:bCs/>
          <w:szCs w:val="22"/>
        </w:rPr>
        <w:t>’</w:t>
      </w:r>
      <w:r w:rsidRPr="00A32AF4">
        <w:rPr>
          <w:bCs/>
          <w:szCs w:val="22"/>
        </w:rPr>
        <w:t>action pour le développement.</w:t>
      </w:r>
    </w:p>
    <w:p w:rsidR="00F93B76" w:rsidRPr="00A32AF4" w:rsidRDefault="00F93B76" w:rsidP="00DC0553">
      <w:pPr>
        <w:jc w:val="both"/>
        <w:rPr>
          <w:szCs w:val="22"/>
        </w:rPr>
      </w:pPr>
    </w:p>
    <w:p w:rsidR="00F93B76" w:rsidRPr="00A32AF4" w:rsidRDefault="00F93B76" w:rsidP="00DC0553">
      <w:pPr>
        <w:jc w:val="both"/>
        <w:rPr>
          <w:szCs w:val="22"/>
        </w:rPr>
      </w:pPr>
    </w:p>
    <w:p w:rsidR="00F93B76" w:rsidRPr="00A32AF4" w:rsidRDefault="00D12195" w:rsidP="00DC0553">
      <w:pPr>
        <w:keepNext/>
        <w:keepLines/>
        <w:jc w:val="both"/>
        <w:rPr>
          <w:szCs w:val="22"/>
          <w:u w:val="single"/>
        </w:rPr>
      </w:pPr>
      <w:r w:rsidRPr="00A32AF4">
        <w:rPr>
          <w:szCs w:val="22"/>
          <w:u w:val="single"/>
        </w:rPr>
        <w:t>Travaux en matière d</w:t>
      </w:r>
      <w:r w:rsidR="00E2055A" w:rsidRPr="00A32AF4">
        <w:rPr>
          <w:szCs w:val="22"/>
          <w:u w:val="single"/>
        </w:rPr>
        <w:t>’</w:t>
      </w:r>
      <w:r w:rsidRPr="00A32AF4">
        <w:rPr>
          <w:szCs w:val="22"/>
          <w:u w:val="single"/>
        </w:rPr>
        <w:t>élaboration de normes et de politiques</w:t>
      </w:r>
    </w:p>
    <w:p w:rsidR="00F93B76" w:rsidRPr="00A32AF4" w:rsidRDefault="00F93B76" w:rsidP="00DC0553">
      <w:pPr>
        <w:keepNext/>
        <w:keepLines/>
        <w:jc w:val="both"/>
        <w:rPr>
          <w:szCs w:val="22"/>
        </w:rPr>
      </w:pPr>
    </w:p>
    <w:p w:rsidR="00F93B76" w:rsidRPr="00A32AF4" w:rsidRDefault="00D12195" w:rsidP="00DC0553">
      <w:pPr>
        <w:keepNext/>
        <w:keepLines/>
        <w:numPr>
          <w:ilvl w:val="0"/>
          <w:numId w:val="7"/>
        </w:numPr>
        <w:autoSpaceDE w:val="0"/>
        <w:autoSpaceDN w:val="0"/>
        <w:adjustRightInd w:val="0"/>
        <w:jc w:val="both"/>
        <w:rPr>
          <w:szCs w:val="22"/>
        </w:rPr>
      </w:pPr>
      <w:r w:rsidRPr="00A32AF4">
        <w:rPr>
          <w:szCs w:val="22"/>
        </w:rPr>
        <w:t>Deux réunions du SCCR seront programmées chaque année.  La promotion du programme d</w:t>
      </w:r>
      <w:r w:rsidR="00E2055A" w:rsidRPr="00A32AF4">
        <w:rPr>
          <w:szCs w:val="22"/>
        </w:rPr>
        <w:t>’</w:t>
      </w:r>
      <w:r w:rsidRPr="00A32AF4">
        <w:rPr>
          <w:szCs w:val="22"/>
        </w:rPr>
        <w:t>établissement de normes s</w:t>
      </w:r>
      <w:r w:rsidR="00E2055A" w:rsidRPr="00A32AF4">
        <w:rPr>
          <w:szCs w:val="22"/>
        </w:rPr>
        <w:t>’</w:t>
      </w:r>
      <w:r w:rsidRPr="00A32AF4">
        <w:rPr>
          <w:szCs w:val="22"/>
        </w:rPr>
        <w:t>efforcera avant tout de faciliter les négociations concernant les points de l</w:t>
      </w:r>
      <w:r w:rsidR="00E2055A" w:rsidRPr="00A32AF4">
        <w:rPr>
          <w:szCs w:val="22"/>
        </w:rPr>
        <w:t>’</w:t>
      </w:r>
      <w:r w:rsidRPr="00A32AF4">
        <w:rPr>
          <w:szCs w:val="22"/>
        </w:rPr>
        <w:t>ordre du jour du SCCR et de répondre aux demandes des États membres concernant l</w:t>
      </w:r>
      <w:r w:rsidR="00E2055A" w:rsidRPr="00A32AF4">
        <w:rPr>
          <w:szCs w:val="22"/>
        </w:rPr>
        <w:t>’</w:t>
      </w:r>
      <w:r w:rsidRPr="00A32AF4">
        <w:rPr>
          <w:szCs w:val="22"/>
        </w:rPr>
        <w:t>application de traités nouveaux et anciens.  Les travaux de facilitation porteront sur le projet de traité sur la radiodiffusion et les limitations et exceptions en faveur des bibliothèques, des services d</w:t>
      </w:r>
      <w:r w:rsidR="00E2055A" w:rsidRPr="00A32AF4">
        <w:rPr>
          <w:szCs w:val="22"/>
        </w:rPr>
        <w:t>’</w:t>
      </w:r>
      <w:r w:rsidRPr="00A32AF4">
        <w:rPr>
          <w:szCs w:val="22"/>
        </w:rPr>
        <w:t>archives et des établissements d</w:t>
      </w:r>
      <w:r w:rsidR="00E2055A" w:rsidRPr="00A32AF4">
        <w:rPr>
          <w:szCs w:val="22"/>
        </w:rPr>
        <w:t>’</w:t>
      </w:r>
      <w:r w:rsidRPr="00A32AF4">
        <w:rPr>
          <w:szCs w:val="22"/>
        </w:rPr>
        <w:t>enseignement</w:t>
      </w:r>
      <w:r w:rsidR="00E209C8" w:rsidRPr="00A32AF4">
        <w:rPr>
          <w:szCs w:val="22"/>
        </w:rPr>
        <w:t xml:space="preserve"> et de recherche</w:t>
      </w:r>
      <w:r w:rsidRPr="00A32AF4">
        <w:rPr>
          <w:szCs w:val="22"/>
        </w:rPr>
        <w:t>, ainsi que des personnes handicapées (autres que les personnes ayant des difficultés de lecture des textes imprimés).</w:t>
      </w:r>
    </w:p>
    <w:p w:rsidR="00F93B76" w:rsidRPr="00A32AF4" w:rsidRDefault="00F93B76" w:rsidP="00DC0553">
      <w:pPr>
        <w:autoSpaceDE w:val="0"/>
        <w:autoSpaceDN w:val="0"/>
        <w:adjustRightInd w:val="0"/>
        <w:jc w:val="both"/>
        <w:rPr>
          <w:szCs w:val="22"/>
        </w:rPr>
      </w:pPr>
    </w:p>
    <w:p w:rsidR="00F93B76" w:rsidRPr="00A32AF4" w:rsidRDefault="00D12195" w:rsidP="00DC0553">
      <w:pPr>
        <w:numPr>
          <w:ilvl w:val="0"/>
          <w:numId w:val="7"/>
        </w:numPr>
        <w:autoSpaceDE w:val="0"/>
        <w:autoSpaceDN w:val="0"/>
        <w:adjustRightInd w:val="0"/>
        <w:jc w:val="both"/>
        <w:rPr>
          <w:szCs w:val="22"/>
        </w:rPr>
      </w:pPr>
      <w:r w:rsidRPr="00A32AF4">
        <w:rPr>
          <w:szCs w:val="22"/>
        </w:rPr>
        <w:t>Les nouveaux traités à mettre en œuvre sont le Traité de Beijing sur les interprétations et exécutions audiovisuelles et le Traité de Marrakech visant à faciliter l</w:t>
      </w:r>
      <w:r w:rsidR="00E2055A" w:rsidRPr="00A32AF4">
        <w:rPr>
          <w:szCs w:val="22"/>
        </w:rPr>
        <w:t>’</w:t>
      </w:r>
      <w:r w:rsidRPr="00A32AF4">
        <w:rPr>
          <w:szCs w:val="22"/>
        </w:rPr>
        <w:t>accès des aveugles, des déficients visuels et des personnes ayant d</w:t>
      </w:r>
      <w:r w:rsidR="00E2055A" w:rsidRPr="00A32AF4">
        <w:rPr>
          <w:szCs w:val="22"/>
        </w:rPr>
        <w:t>’</w:t>
      </w:r>
      <w:r w:rsidRPr="00A32AF4">
        <w:rPr>
          <w:szCs w:val="22"/>
        </w:rPr>
        <w:t>autres difficultés de lecture des textes imprimés aux œuvres publiées.  Pour encourager la mise en œuvre de ces traités, des travaux seront effectués conjointement avec les représentants des bénéficiaires des traités, des intermédiaires impliqués dans la mise en œuvre et les États parties.</w:t>
      </w:r>
    </w:p>
    <w:p w:rsidR="00F93B76" w:rsidRPr="00A32AF4" w:rsidRDefault="00F93B76" w:rsidP="00DC0553"/>
    <w:p w:rsidR="00F93B76" w:rsidRPr="00A32AF4" w:rsidRDefault="00D12195" w:rsidP="00DC0553">
      <w:pPr>
        <w:numPr>
          <w:ilvl w:val="0"/>
          <w:numId w:val="7"/>
        </w:numPr>
        <w:autoSpaceDE w:val="0"/>
        <w:autoSpaceDN w:val="0"/>
        <w:adjustRightInd w:val="0"/>
        <w:jc w:val="both"/>
        <w:rPr>
          <w:szCs w:val="22"/>
        </w:rPr>
      </w:pPr>
      <w:r w:rsidRPr="00A32AF4">
        <w:rPr>
          <w:szCs w:val="22"/>
        </w:rPr>
        <w:t>Un certain nombre d</w:t>
      </w:r>
      <w:r w:rsidR="00E2055A" w:rsidRPr="00A32AF4">
        <w:rPr>
          <w:szCs w:val="22"/>
        </w:rPr>
        <w:t>’</w:t>
      </w:r>
      <w:r w:rsidR="00B2713C" w:rsidRPr="00A32AF4">
        <w:rPr>
          <w:szCs w:val="22"/>
        </w:rPr>
        <w:t>études command</w:t>
      </w:r>
      <w:r w:rsidRPr="00A32AF4">
        <w:rPr>
          <w:szCs w:val="22"/>
        </w:rPr>
        <w:t>ées par le SCCR</w:t>
      </w:r>
      <w:r w:rsidR="00B2713C" w:rsidRPr="00A32AF4">
        <w:rPr>
          <w:szCs w:val="22"/>
        </w:rPr>
        <w:t>, ainsi que des conférences sur des thèmes d</w:t>
      </w:r>
      <w:r w:rsidR="00E2055A" w:rsidRPr="00A32AF4">
        <w:rPr>
          <w:szCs w:val="22"/>
        </w:rPr>
        <w:t>’</w:t>
      </w:r>
      <w:r w:rsidR="00B2713C" w:rsidRPr="00A32AF4">
        <w:rPr>
          <w:szCs w:val="22"/>
        </w:rPr>
        <w:t xml:space="preserve">actualité, </w:t>
      </w:r>
      <w:r w:rsidRPr="00A32AF4">
        <w:rPr>
          <w:szCs w:val="22"/>
        </w:rPr>
        <w:t>seront réalisées au cours de cet exercice biennal.</w:t>
      </w:r>
    </w:p>
    <w:p w:rsidR="00F93B76" w:rsidRPr="00A32AF4" w:rsidRDefault="00F93B76" w:rsidP="00DC0553">
      <w:pPr>
        <w:autoSpaceDE w:val="0"/>
        <w:autoSpaceDN w:val="0"/>
        <w:adjustRightInd w:val="0"/>
        <w:rPr>
          <w:szCs w:val="22"/>
          <w:u w:val="single"/>
        </w:rPr>
      </w:pPr>
    </w:p>
    <w:p w:rsidR="00F93B76" w:rsidRPr="00A32AF4" w:rsidRDefault="00F93B76" w:rsidP="00DC0553">
      <w:pPr>
        <w:autoSpaceDE w:val="0"/>
        <w:autoSpaceDN w:val="0"/>
        <w:adjustRightInd w:val="0"/>
        <w:rPr>
          <w:szCs w:val="22"/>
          <w:u w:val="single"/>
        </w:rPr>
      </w:pPr>
    </w:p>
    <w:p w:rsidR="00F93B76" w:rsidRPr="00A32AF4" w:rsidRDefault="00D12195" w:rsidP="00DC0553">
      <w:pPr>
        <w:keepNext/>
        <w:autoSpaceDE w:val="0"/>
        <w:autoSpaceDN w:val="0"/>
        <w:adjustRightInd w:val="0"/>
        <w:rPr>
          <w:szCs w:val="22"/>
          <w:u w:val="single"/>
        </w:rPr>
      </w:pPr>
      <w:r w:rsidRPr="00A32AF4">
        <w:rPr>
          <w:szCs w:val="22"/>
          <w:u w:val="single"/>
        </w:rPr>
        <w:t>Fourniture d</w:t>
      </w:r>
      <w:r w:rsidR="00E2055A" w:rsidRPr="00A32AF4">
        <w:rPr>
          <w:szCs w:val="22"/>
          <w:u w:val="single"/>
        </w:rPr>
        <w:t>’</w:t>
      </w:r>
      <w:r w:rsidRPr="00A32AF4">
        <w:rPr>
          <w:szCs w:val="22"/>
          <w:u w:val="single"/>
        </w:rPr>
        <w:t>une assistance technique en faveur des pays en développement et des PMA</w:t>
      </w:r>
    </w:p>
    <w:p w:rsidR="00F93B76" w:rsidRPr="00A32AF4" w:rsidRDefault="00F93B76" w:rsidP="00DC0553">
      <w:pPr>
        <w:keepNext/>
        <w:autoSpaceDE w:val="0"/>
        <w:autoSpaceDN w:val="0"/>
        <w:adjustRightInd w:val="0"/>
        <w:rPr>
          <w:szCs w:val="22"/>
        </w:rPr>
      </w:pPr>
    </w:p>
    <w:p w:rsidR="00F93B76" w:rsidRPr="00A32AF4" w:rsidRDefault="00D12195" w:rsidP="00DC0553">
      <w:pPr>
        <w:numPr>
          <w:ilvl w:val="0"/>
          <w:numId w:val="7"/>
        </w:numPr>
        <w:autoSpaceDE w:val="0"/>
        <w:autoSpaceDN w:val="0"/>
        <w:adjustRightInd w:val="0"/>
        <w:jc w:val="both"/>
      </w:pPr>
      <w:r w:rsidRPr="00A32AF4">
        <w:t>L</w:t>
      </w:r>
      <w:r w:rsidR="00E2055A" w:rsidRPr="00A32AF4">
        <w:t>’</w:t>
      </w:r>
      <w:r w:rsidRPr="00A32AF4">
        <w:t xml:space="preserve">assistance technique fournie aux pays en développement et aux PMA visera encore à renforcer </w:t>
      </w:r>
      <w:r w:rsidR="00F8220C" w:rsidRPr="00A32AF4">
        <w:t>les</w:t>
      </w:r>
      <w:r w:rsidRPr="00A32AF4">
        <w:t xml:space="preserve"> </w:t>
      </w:r>
      <w:r w:rsidRPr="00A32AF4">
        <w:rPr>
          <w:szCs w:val="22"/>
        </w:rPr>
        <w:t>capacité</w:t>
      </w:r>
      <w:r w:rsidR="00F8220C" w:rsidRPr="00A32AF4">
        <w:rPr>
          <w:szCs w:val="22"/>
        </w:rPr>
        <w:t>s</w:t>
      </w:r>
      <w:r w:rsidRPr="00A32AF4">
        <w:t xml:space="preserve"> technique</w:t>
      </w:r>
      <w:r w:rsidR="00F8220C" w:rsidRPr="00A32AF4">
        <w:t>s</w:t>
      </w:r>
      <w:r w:rsidRPr="00A32AF4">
        <w:t xml:space="preserve"> et les connaissances au sein d</w:t>
      </w:r>
      <w:r w:rsidR="00E2055A" w:rsidRPr="00A32AF4">
        <w:t>’</w:t>
      </w:r>
      <w:r w:rsidRPr="00A32AF4">
        <w:t xml:space="preserve">institutions telles que les </w:t>
      </w:r>
      <w:r w:rsidR="00F8220C" w:rsidRPr="00A32AF4">
        <w:t>bureaux</w:t>
      </w:r>
      <w:r w:rsidRPr="00A32AF4">
        <w:t xml:space="preserve"> nationaux d</w:t>
      </w:r>
      <w:r w:rsidR="00F8220C" w:rsidRPr="00A32AF4">
        <w:t>e</w:t>
      </w:r>
      <w:r w:rsidRPr="00A32AF4">
        <w:t xml:space="preserve"> droit d</w:t>
      </w:r>
      <w:r w:rsidR="00E2055A" w:rsidRPr="00A32AF4">
        <w:t>’</w:t>
      </w:r>
      <w:r w:rsidRPr="00A32AF4">
        <w:t>auteu</w:t>
      </w:r>
      <w:r w:rsidR="00F8220C" w:rsidRPr="00A32AF4">
        <w:t>r, et ent</w:t>
      </w:r>
      <w:r w:rsidRPr="00A32AF4">
        <w:t>r</w:t>
      </w:r>
      <w:r w:rsidR="00F8220C" w:rsidRPr="00A32AF4">
        <w:t>e parties prenantes,</w:t>
      </w:r>
      <w:r w:rsidRPr="00A32AF4">
        <w:t xml:space="preserve"> afin de faciliter l</w:t>
      </w:r>
      <w:r w:rsidR="00E2055A" w:rsidRPr="00A32AF4">
        <w:t>’</w:t>
      </w:r>
      <w:r w:rsidRPr="00A32AF4">
        <w:t>utilisation effective du système du droit d</w:t>
      </w:r>
      <w:r w:rsidR="00E2055A" w:rsidRPr="00A32AF4">
        <w:t>’</w:t>
      </w:r>
      <w:r w:rsidRPr="00A32AF4">
        <w:t>auteur aux fins de développement social, culturel et économique.  À cet effet, la coordination interne avec d</w:t>
      </w:r>
      <w:r w:rsidR="00E2055A" w:rsidRPr="00A32AF4">
        <w:t>’</w:t>
      </w:r>
      <w:r w:rsidRPr="00A32AF4">
        <w:t>autres programmes d</w:t>
      </w:r>
      <w:r w:rsidR="00E2055A" w:rsidRPr="00A32AF4">
        <w:t>’</w:t>
      </w:r>
      <w:r w:rsidRPr="00A32AF4">
        <w:t xml:space="preserve">assistance technique sera renforcée et des </w:t>
      </w:r>
      <w:r w:rsidR="00F8220C" w:rsidRPr="00A32AF4">
        <w:t xml:space="preserve">programmes ou instruments de sensibilisation et de renforcement des capacités </w:t>
      </w:r>
      <w:r w:rsidRPr="00A32AF4">
        <w:t xml:space="preserve">seront conçus et mis au point </w:t>
      </w:r>
      <w:r w:rsidR="00F8220C" w:rsidRPr="00A32AF4">
        <w:t>à l</w:t>
      </w:r>
      <w:r w:rsidR="00E2055A" w:rsidRPr="00A32AF4">
        <w:t>’</w:t>
      </w:r>
      <w:r w:rsidR="00F8220C" w:rsidRPr="00A32AF4">
        <w:t>intention des bureaux</w:t>
      </w:r>
      <w:r w:rsidRPr="00A32AF4">
        <w:t xml:space="preserve"> nationaux </w:t>
      </w:r>
      <w:r w:rsidR="00F8220C" w:rsidRPr="00A32AF4">
        <w:t xml:space="preserve">de </w:t>
      </w:r>
      <w:r w:rsidRPr="00A32AF4">
        <w:t>droit d</w:t>
      </w:r>
      <w:r w:rsidR="00E2055A" w:rsidRPr="00A32AF4">
        <w:t>’</w:t>
      </w:r>
      <w:r w:rsidRPr="00A32AF4">
        <w:t>auteur.</w:t>
      </w:r>
    </w:p>
    <w:p w:rsidR="00F93B76" w:rsidRPr="00A32AF4" w:rsidRDefault="00F93B76" w:rsidP="00DC0553"/>
    <w:p w:rsidR="00F93B76" w:rsidRPr="00A32AF4" w:rsidRDefault="00F93B76" w:rsidP="00DC0553">
      <w:pPr>
        <w:rPr>
          <w:u w:val="single"/>
        </w:rPr>
      </w:pPr>
    </w:p>
    <w:p w:rsidR="00F93B76" w:rsidRPr="00A32AF4" w:rsidRDefault="00D12195" w:rsidP="00DC0553">
      <w:pPr>
        <w:rPr>
          <w:u w:val="single"/>
        </w:rPr>
      </w:pPr>
      <w:r w:rsidRPr="00A32AF4">
        <w:rPr>
          <w:u w:val="single"/>
        </w:rPr>
        <w:t>Poursuite du développement de l</w:t>
      </w:r>
      <w:r w:rsidR="00E2055A" w:rsidRPr="00A32AF4">
        <w:rPr>
          <w:u w:val="single"/>
        </w:rPr>
        <w:t>’</w:t>
      </w:r>
      <w:r w:rsidRPr="00A32AF4">
        <w:rPr>
          <w:u w:val="single"/>
        </w:rPr>
        <w:t>infrastructure du droit d</w:t>
      </w:r>
      <w:r w:rsidR="00E2055A" w:rsidRPr="00A32AF4">
        <w:rPr>
          <w:u w:val="single"/>
        </w:rPr>
        <w:t>’</w:t>
      </w:r>
      <w:r w:rsidRPr="00A32AF4">
        <w:rPr>
          <w:u w:val="single"/>
        </w:rPr>
        <w:t>auteur et des droits connexes</w:t>
      </w:r>
    </w:p>
    <w:p w:rsidR="00F93B76" w:rsidRPr="00A32AF4" w:rsidRDefault="00F93B76" w:rsidP="00DC0553"/>
    <w:p w:rsidR="00F93B76" w:rsidRPr="00A32AF4" w:rsidRDefault="00D12195" w:rsidP="00DC0553">
      <w:pPr>
        <w:numPr>
          <w:ilvl w:val="0"/>
          <w:numId w:val="7"/>
        </w:numPr>
        <w:autoSpaceDE w:val="0"/>
        <w:autoSpaceDN w:val="0"/>
        <w:adjustRightInd w:val="0"/>
        <w:jc w:val="both"/>
      </w:pPr>
      <w:r w:rsidRPr="00A32AF4">
        <w:t>Les travaux dans le domaine de l</w:t>
      </w:r>
      <w:r w:rsidR="00E2055A" w:rsidRPr="00A32AF4">
        <w:t>’</w:t>
      </w:r>
      <w:r w:rsidRPr="00A32AF4">
        <w:t>infrastructure du droit d</w:t>
      </w:r>
      <w:r w:rsidR="00E2055A" w:rsidRPr="00A32AF4">
        <w:t>’</w:t>
      </w:r>
      <w:r w:rsidRPr="00A32AF4">
        <w:t>auteur et des droits connexes porteront sur la mise en place de la norme internationale d</w:t>
      </w:r>
      <w:r w:rsidR="00E2055A" w:rsidRPr="00A32AF4">
        <w:t>’</w:t>
      </w:r>
      <w:r w:rsidRPr="00A32AF4">
        <w:t xml:space="preserve">assurance qualité </w:t>
      </w:r>
      <w:r w:rsidR="00B63C9F" w:rsidRPr="00A32AF4">
        <w:t>“</w:t>
      </w:r>
      <w:r w:rsidR="00F8220C" w:rsidRPr="00A32AF4">
        <w:t>TAG of Excellence</w:t>
      </w:r>
      <w:r w:rsidR="00B63C9F" w:rsidRPr="00A32AF4">
        <w:t>”</w:t>
      </w:r>
      <w:r w:rsidR="00F8220C" w:rsidRPr="00A32AF4">
        <w:t xml:space="preserve"> </w:t>
      </w:r>
      <w:r w:rsidR="002A0544" w:rsidRPr="00A32AF4">
        <w:t xml:space="preserve">(TAG) </w:t>
      </w:r>
      <w:r w:rsidRPr="00A32AF4">
        <w:t>pour les organisations de gestion collective, ainsi que d</w:t>
      </w:r>
      <w:r w:rsidR="00E2055A" w:rsidRPr="00A32AF4">
        <w:t>’</w:t>
      </w:r>
      <w:r w:rsidRPr="00A32AF4">
        <w:t>un programme d</w:t>
      </w:r>
      <w:r w:rsidR="00E2055A" w:rsidRPr="00A32AF4">
        <w:t>’</w:t>
      </w:r>
      <w:r w:rsidRPr="00A32AF4">
        <w:t>éducation sur la transparence, la responsabilité et la gouvernance de ces organisations</w:t>
      </w:r>
      <w:r w:rsidR="00A32AF4" w:rsidRPr="00A32AF4">
        <w:t>.  Le projet TAG se veut inclusif et comprendra un processus de consultation préalable avec les États membres de l’OMPI, les bureaux nationaux du droit d’auteur et d’autres acteurs clés.</w:t>
      </w:r>
    </w:p>
    <w:p w:rsidR="00F93B76" w:rsidRPr="00A32AF4" w:rsidRDefault="00F93B76" w:rsidP="00DC0553">
      <w:pPr>
        <w:autoSpaceDE w:val="0"/>
        <w:autoSpaceDN w:val="0"/>
        <w:adjustRightInd w:val="0"/>
        <w:jc w:val="both"/>
      </w:pPr>
    </w:p>
    <w:p w:rsidR="00E2055A" w:rsidRPr="00A32AF4" w:rsidRDefault="00D12195" w:rsidP="00DC0553">
      <w:pPr>
        <w:numPr>
          <w:ilvl w:val="0"/>
          <w:numId w:val="7"/>
        </w:numPr>
        <w:autoSpaceDE w:val="0"/>
        <w:autoSpaceDN w:val="0"/>
        <w:adjustRightInd w:val="0"/>
        <w:jc w:val="both"/>
      </w:pPr>
      <w:r w:rsidRPr="00A32AF4">
        <w:t xml:space="preserve">Pour compléter les activités </w:t>
      </w:r>
      <w:r w:rsidR="00F8220C" w:rsidRPr="00A32AF4">
        <w:t>susmentionnées</w:t>
      </w:r>
      <w:r w:rsidRPr="00A32AF4">
        <w:t xml:space="preserve">, un nouveau portail sera conçu et développé </w:t>
      </w:r>
      <w:r w:rsidR="00F8220C" w:rsidRPr="00A32AF4">
        <w:t xml:space="preserve">en temps utile </w:t>
      </w:r>
      <w:r w:rsidRPr="00A32AF4">
        <w:t>afin que de nombreux projets de l</w:t>
      </w:r>
      <w:r w:rsidR="00E2055A" w:rsidRPr="00A32AF4">
        <w:t>’</w:t>
      </w:r>
      <w:r w:rsidRPr="00A32AF4">
        <w:t>OMPI concernant l</w:t>
      </w:r>
      <w:r w:rsidR="00E2055A" w:rsidRPr="00A32AF4">
        <w:t>’</w:t>
      </w:r>
      <w:r w:rsidRPr="00A32AF4">
        <w:t>infrastructure du droit d</w:t>
      </w:r>
      <w:r w:rsidR="00E2055A" w:rsidRPr="00A32AF4">
        <w:t>’</w:t>
      </w:r>
      <w:r w:rsidRPr="00A32AF4">
        <w:t>auteur puissent être gérés en ligne et en partenariat avec des parties tierces.</w:t>
      </w:r>
    </w:p>
    <w:p w:rsidR="009862B4" w:rsidRPr="00A32AF4" w:rsidRDefault="009862B4" w:rsidP="009862B4">
      <w:pPr>
        <w:autoSpaceDE w:val="0"/>
        <w:autoSpaceDN w:val="0"/>
        <w:adjustRightInd w:val="0"/>
        <w:jc w:val="both"/>
      </w:pPr>
    </w:p>
    <w:p w:rsidR="00FA6CAA" w:rsidRPr="00A32AF4" w:rsidRDefault="009862B4" w:rsidP="009862B4">
      <w:pPr>
        <w:numPr>
          <w:ilvl w:val="0"/>
          <w:numId w:val="7"/>
        </w:numPr>
        <w:autoSpaceDE w:val="0"/>
        <w:autoSpaceDN w:val="0"/>
        <w:adjustRightInd w:val="0"/>
        <w:jc w:val="both"/>
      </w:pPr>
      <w:r w:rsidRPr="00A32AF4">
        <w:t>Le programme </w:t>
      </w:r>
      <w:r w:rsidR="00FA6CAA" w:rsidRPr="00A32AF4">
        <w:t xml:space="preserve">3 </w:t>
      </w:r>
      <w:r w:rsidRPr="00A32AF4">
        <w:t>fournira</w:t>
      </w:r>
      <w:r w:rsidR="00FA6CAA" w:rsidRPr="00A32AF4">
        <w:t xml:space="preserve"> une expertise dans le domaine du droit d</w:t>
      </w:r>
      <w:r w:rsidR="00E2055A" w:rsidRPr="00A32AF4">
        <w:t>’</w:t>
      </w:r>
      <w:r w:rsidR="00FA6CAA" w:rsidRPr="00A32AF4">
        <w:t>auteur et contribuera à l</w:t>
      </w:r>
      <w:r w:rsidR="00E2055A" w:rsidRPr="00A32AF4">
        <w:t>’</w:t>
      </w:r>
      <w:r w:rsidR="00FA6CAA" w:rsidRPr="00A32AF4">
        <w:t>élaboration d</w:t>
      </w:r>
      <w:r w:rsidR="00E2055A" w:rsidRPr="00A32AF4">
        <w:t>’</w:t>
      </w:r>
      <w:r w:rsidR="00FA6CAA" w:rsidRPr="00A32AF4">
        <w:t>études en collabor</w:t>
      </w:r>
      <w:r w:rsidRPr="00A32AF4">
        <w:t>ation étroite avec le programme </w:t>
      </w:r>
      <w:r w:rsidR="00FA6CAA" w:rsidRPr="00A32AF4">
        <w:t>16.</w:t>
      </w:r>
    </w:p>
    <w:p w:rsidR="00F93B76" w:rsidRPr="00A32AF4" w:rsidRDefault="00F93B76" w:rsidP="00DC0553">
      <w:pPr>
        <w:autoSpaceDE w:val="0"/>
        <w:autoSpaceDN w:val="0"/>
        <w:adjustRightInd w:val="0"/>
        <w:jc w:val="both"/>
      </w:pPr>
    </w:p>
    <w:p w:rsidR="00E2055A" w:rsidRPr="00A32AF4" w:rsidRDefault="00F8220C" w:rsidP="00DC0553">
      <w:pPr>
        <w:numPr>
          <w:ilvl w:val="0"/>
          <w:numId w:val="7"/>
        </w:numPr>
        <w:autoSpaceDE w:val="0"/>
        <w:autoSpaceDN w:val="0"/>
        <w:adjustRightInd w:val="0"/>
        <w:jc w:val="both"/>
        <w:rPr>
          <w:rFonts w:cs="Arial"/>
        </w:rPr>
      </w:pPr>
      <w:r w:rsidRPr="00A32AF4">
        <w:rPr>
          <w:rFonts w:cs="Arial"/>
        </w:rPr>
        <w:t>Le p</w:t>
      </w:r>
      <w:r w:rsidR="00E209C8" w:rsidRPr="00A32AF4">
        <w:rPr>
          <w:rFonts w:cs="Arial"/>
        </w:rPr>
        <w:t>rogram</w:t>
      </w:r>
      <w:r w:rsidRPr="00A32AF4">
        <w:rPr>
          <w:rFonts w:cs="Arial"/>
        </w:rPr>
        <w:t>me</w:t>
      </w:r>
      <w:r w:rsidR="009862B4" w:rsidRPr="00A32AF4">
        <w:rPr>
          <w:rFonts w:cs="Arial"/>
        </w:rPr>
        <w:t> </w:t>
      </w:r>
      <w:r w:rsidR="00E209C8" w:rsidRPr="00A32AF4">
        <w:rPr>
          <w:rFonts w:cs="Arial"/>
        </w:rPr>
        <w:t>3 collab</w:t>
      </w:r>
      <w:r w:rsidRPr="00A32AF4">
        <w:rPr>
          <w:rFonts w:cs="Arial"/>
        </w:rPr>
        <w:t>or</w:t>
      </w:r>
      <w:r w:rsidR="00E209C8" w:rsidRPr="00A32AF4">
        <w:rPr>
          <w:rFonts w:cs="Arial"/>
        </w:rPr>
        <w:t xml:space="preserve">e </w:t>
      </w:r>
      <w:r w:rsidRPr="00A32AF4">
        <w:rPr>
          <w:rFonts w:cs="Arial"/>
        </w:rPr>
        <w:t>essentiellement avec le</w:t>
      </w:r>
      <w:r w:rsidR="00B31A7E" w:rsidRPr="00A32AF4">
        <w:rPr>
          <w:rFonts w:cs="Arial"/>
        </w:rPr>
        <w:t>s autres programmes indiqués ci</w:t>
      </w:r>
      <w:r w:rsidR="00EB7F54" w:rsidRPr="00A32AF4">
        <w:rPr>
          <w:rFonts w:cs="Arial"/>
        </w:rPr>
        <w:noBreakHyphen/>
      </w:r>
      <w:r w:rsidRPr="00A32AF4">
        <w:rPr>
          <w:rFonts w:cs="Arial"/>
        </w:rPr>
        <w:t>dessous </w:t>
      </w:r>
      <w:r w:rsidR="00E209C8" w:rsidRPr="00A32AF4">
        <w:rPr>
          <w:rFonts w:cs="Arial"/>
        </w:rPr>
        <w:t>:</w:t>
      </w:r>
    </w:p>
    <w:p w:rsidR="00F93B76" w:rsidRPr="00A32AF4" w:rsidRDefault="00F93B76" w:rsidP="00DC0553"/>
    <w:p w:rsidR="00F93B76" w:rsidRPr="00A32AF4" w:rsidRDefault="00F93B76" w:rsidP="00DC0553"/>
    <w:p w:rsidR="00F93B76" w:rsidRPr="00A32AF4" w:rsidRDefault="000B7C6D" w:rsidP="00DC0553">
      <w:r w:rsidRPr="00A32AF4">
        <w:rPr>
          <w:noProof/>
          <w:lang w:eastAsia="fr-FR"/>
        </w:rPr>
        <w:drawing>
          <wp:inline distT="0" distB="0" distL="0" distR="0" wp14:anchorId="6D870A08" wp14:editId="7098C2F9">
            <wp:extent cx="5760000" cy="2656800"/>
            <wp:effectExtent l="0" t="19050" r="50800" b="144145"/>
            <wp:docPr id="968" name="Diagram 968"/>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inline>
        </w:drawing>
      </w:r>
    </w:p>
    <w:p w:rsidR="00F93B76" w:rsidRPr="00A32AF4" w:rsidRDefault="00F93B76" w:rsidP="00DC0553"/>
    <w:p w:rsidR="00F70ECD" w:rsidRPr="00A32AF4" w:rsidRDefault="00F70ECD" w:rsidP="00DC0553"/>
    <w:p w:rsidR="00EF7899" w:rsidRPr="00A32AF4" w:rsidRDefault="00EF7899">
      <w:r w:rsidRPr="00A32AF4">
        <w:br w:type="page"/>
      </w:r>
    </w:p>
    <w:p w:rsidR="00F93B76" w:rsidRPr="00A32AF4" w:rsidRDefault="00553F92" w:rsidP="00DC0553">
      <w:r w:rsidRPr="00A32AF4">
        <w:t>PRINCIPAUX RISQUES ET STRATÉGIES D</w:t>
      </w:r>
      <w:r w:rsidR="00E2055A" w:rsidRPr="00A32AF4">
        <w:t>’</w:t>
      </w:r>
      <w:r w:rsidRPr="00A32AF4">
        <w:t>ATTÉNUATION</w:t>
      </w:r>
    </w:p>
    <w:p w:rsidR="00D12195" w:rsidRPr="00A32AF4" w:rsidRDefault="00D12195" w:rsidP="00DC0553">
      <w:pPr>
        <w:rPr>
          <w:szCs w:val="22"/>
        </w:rPr>
      </w:pPr>
    </w:p>
    <w:tbl>
      <w:tblPr>
        <w:tblW w:w="9214"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11"/>
        <w:gridCol w:w="5103"/>
      </w:tblGrid>
      <w:tr w:rsidR="0038294E" w:rsidRPr="00A32AF4" w:rsidTr="007902B3">
        <w:trPr>
          <w:trHeight w:val="498"/>
        </w:trPr>
        <w:tc>
          <w:tcPr>
            <w:tcW w:w="4111" w:type="dxa"/>
            <w:tcBorders>
              <w:top w:val="single" w:sz="4" w:space="0" w:color="auto"/>
              <w:bottom w:val="single" w:sz="4" w:space="0" w:color="auto"/>
            </w:tcBorders>
            <w:shd w:val="clear" w:color="auto" w:fill="C6D9F1" w:themeFill="text2" w:themeFillTint="33"/>
            <w:vAlign w:val="center"/>
          </w:tcPr>
          <w:p w:rsidR="00D12195" w:rsidRPr="00A32AF4" w:rsidRDefault="00D12195" w:rsidP="00DC0553">
            <w:pPr>
              <w:jc w:val="center"/>
              <w:rPr>
                <w:b/>
                <w:bCs/>
                <w:sz w:val="18"/>
                <w:szCs w:val="18"/>
              </w:rPr>
            </w:pPr>
            <w:r w:rsidRPr="00A32AF4">
              <w:rPr>
                <w:b/>
                <w:bCs/>
                <w:sz w:val="18"/>
                <w:szCs w:val="18"/>
              </w:rPr>
              <w:t>Risque</w:t>
            </w:r>
            <w:r w:rsidR="00D27E4C" w:rsidRPr="00A32AF4">
              <w:rPr>
                <w:b/>
                <w:bCs/>
                <w:sz w:val="18"/>
                <w:szCs w:val="18"/>
              </w:rPr>
              <w:t>s</w:t>
            </w:r>
          </w:p>
        </w:tc>
        <w:tc>
          <w:tcPr>
            <w:tcW w:w="5103" w:type="dxa"/>
            <w:tcBorders>
              <w:top w:val="single" w:sz="4" w:space="0" w:color="auto"/>
              <w:bottom w:val="single" w:sz="4" w:space="0" w:color="auto"/>
            </w:tcBorders>
            <w:shd w:val="clear" w:color="auto" w:fill="C6D9F1" w:themeFill="text2" w:themeFillTint="33"/>
            <w:vAlign w:val="center"/>
          </w:tcPr>
          <w:p w:rsidR="00D12195" w:rsidRPr="00A32AF4" w:rsidRDefault="00FD3E7B" w:rsidP="00DC0553">
            <w:pPr>
              <w:jc w:val="center"/>
              <w:rPr>
                <w:b/>
                <w:bCs/>
                <w:sz w:val="18"/>
                <w:szCs w:val="18"/>
              </w:rPr>
            </w:pPr>
            <w:r w:rsidRPr="00A32AF4">
              <w:rPr>
                <w:b/>
                <w:bCs/>
                <w:sz w:val="18"/>
                <w:szCs w:val="18"/>
              </w:rPr>
              <w:t>Stratégie</w:t>
            </w:r>
            <w:r w:rsidR="00D27E4C" w:rsidRPr="00A32AF4">
              <w:rPr>
                <w:b/>
                <w:bCs/>
                <w:sz w:val="18"/>
                <w:szCs w:val="18"/>
              </w:rPr>
              <w:t>s</w:t>
            </w:r>
            <w:r w:rsidRPr="00A32AF4">
              <w:rPr>
                <w:b/>
                <w:bCs/>
                <w:sz w:val="18"/>
                <w:szCs w:val="18"/>
              </w:rPr>
              <w:t xml:space="preserve"> d</w:t>
            </w:r>
            <w:r w:rsidR="00E2055A" w:rsidRPr="00A32AF4">
              <w:rPr>
                <w:b/>
                <w:bCs/>
                <w:sz w:val="18"/>
                <w:szCs w:val="18"/>
              </w:rPr>
              <w:t>’</w:t>
            </w:r>
            <w:r w:rsidRPr="00A32AF4">
              <w:rPr>
                <w:b/>
                <w:bCs/>
                <w:sz w:val="18"/>
                <w:szCs w:val="18"/>
              </w:rPr>
              <w:t>atténuation</w:t>
            </w:r>
          </w:p>
        </w:tc>
      </w:tr>
      <w:tr w:rsidR="00D12195" w:rsidRPr="00A32AF4" w:rsidTr="007902B3">
        <w:trPr>
          <w:trHeight w:val="638"/>
        </w:trPr>
        <w:tc>
          <w:tcPr>
            <w:tcW w:w="4111" w:type="dxa"/>
            <w:tcBorders>
              <w:top w:val="single" w:sz="4" w:space="0" w:color="auto"/>
            </w:tcBorders>
            <w:shd w:val="clear" w:color="auto" w:fill="auto"/>
            <w:tcMar>
              <w:top w:w="113" w:type="dxa"/>
              <w:bottom w:w="113" w:type="dxa"/>
            </w:tcMar>
          </w:tcPr>
          <w:p w:rsidR="00D12195" w:rsidRPr="00A32AF4" w:rsidRDefault="00D12195" w:rsidP="00DC0553">
            <w:pPr>
              <w:rPr>
                <w:b/>
                <w:i/>
                <w:sz w:val="16"/>
                <w:szCs w:val="16"/>
              </w:rPr>
            </w:pPr>
            <w:r w:rsidRPr="00A32AF4">
              <w:rPr>
                <w:sz w:val="16"/>
                <w:szCs w:val="16"/>
              </w:rPr>
              <w:t>L</w:t>
            </w:r>
            <w:r w:rsidR="00E2055A" w:rsidRPr="00A32AF4">
              <w:rPr>
                <w:sz w:val="16"/>
                <w:szCs w:val="16"/>
              </w:rPr>
              <w:t>’</w:t>
            </w:r>
            <w:r w:rsidRPr="00A32AF4">
              <w:rPr>
                <w:sz w:val="16"/>
                <w:szCs w:val="16"/>
              </w:rPr>
              <w:t>utilité du système du droit d</w:t>
            </w:r>
            <w:r w:rsidR="00E2055A" w:rsidRPr="00A32AF4">
              <w:rPr>
                <w:sz w:val="16"/>
                <w:szCs w:val="16"/>
              </w:rPr>
              <w:t>’</w:t>
            </w:r>
            <w:r w:rsidRPr="00A32AF4">
              <w:rPr>
                <w:sz w:val="16"/>
                <w:szCs w:val="16"/>
              </w:rPr>
              <w:t>auteur est compromise par l</w:t>
            </w:r>
            <w:r w:rsidR="00E2055A" w:rsidRPr="00A32AF4">
              <w:rPr>
                <w:sz w:val="16"/>
                <w:szCs w:val="16"/>
              </w:rPr>
              <w:t>’</w:t>
            </w:r>
            <w:r w:rsidRPr="00A32AF4">
              <w:rPr>
                <w:sz w:val="16"/>
                <w:szCs w:val="16"/>
              </w:rPr>
              <w:t>incapacité à s</w:t>
            </w:r>
            <w:r w:rsidR="00E2055A" w:rsidRPr="00A32AF4">
              <w:rPr>
                <w:sz w:val="16"/>
                <w:szCs w:val="16"/>
              </w:rPr>
              <w:t>’</w:t>
            </w:r>
            <w:r w:rsidRPr="00A32AF4">
              <w:rPr>
                <w:sz w:val="16"/>
                <w:szCs w:val="16"/>
              </w:rPr>
              <w:t>adapter à la rapide évolution des technologies.</w:t>
            </w:r>
          </w:p>
        </w:tc>
        <w:tc>
          <w:tcPr>
            <w:tcW w:w="5103" w:type="dxa"/>
            <w:tcBorders>
              <w:top w:val="single" w:sz="4" w:space="0" w:color="auto"/>
            </w:tcBorders>
            <w:shd w:val="clear" w:color="auto" w:fill="auto"/>
            <w:tcMar>
              <w:top w:w="113" w:type="dxa"/>
              <w:bottom w:w="113" w:type="dxa"/>
            </w:tcMar>
          </w:tcPr>
          <w:p w:rsidR="00D12195" w:rsidRPr="00A32AF4" w:rsidRDefault="00D12195" w:rsidP="00DC0553">
            <w:pPr>
              <w:autoSpaceDE w:val="0"/>
              <w:autoSpaceDN w:val="0"/>
              <w:adjustRightInd w:val="0"/>
              <w:ind w:right="-59"/>
              <w:rPr>
                <w:sz w:val="16"/>
                <w:szCs w:val="16"/>
              </w:rPr>
            </w:pPr>
            <w:r w:rsidRPr="00A32AF4">
              <w:rPr>
                <w:sz w:val="16"/>
              </w:rPr>
              <w:t>Poursuivre les activités et les initiatives de sensibilisation visant à démontrer l</w:t>
            </w:r>
            <w:r w:rsidR="00E2055A" w:rsidRPr="00A32AF4">
              <w:rPr>
                <w:sz w:val="16"/>
              </w:rPr>
              <w:t>’</w:t>
            </w:r>
            <w:r w:rsidRPr="00A32AF4">
              <w:rPr>
                <w:sz w:val="16"/>
              </w:rPr>
              <w:t>importance du droit d</w:t>
            </w:r>
            <w:r w:rsidR="00E2055A" w:rsidRPr="00A32AF4">
              <w:rPr>
                <w:sz w:val="16"/>
              </w:rPr>
              <w:t>’</w:t>
            </w:r>
            <w:r w:rsidRPr="00A32AF4">
              <w:rPr>
                <w:sz w:val="16"/>
              </w:rPr>
              <w:t>auteur.</w:t>
            </w:r>
          </w:p>
        </w:tc>
      </w:tr>
    </w:tbl>
    <w:p w:rsidR="00F93B76" w:rsidRPr="00A32AF4" w:rsidRDefault="00F93B76" w:rsidP="00DC0553"/>
    <w:p w:rsidR="00F93B76" w:rsidRPr="00A32AF4" w:rsidRDefault="00F93B76" w:rsidP="00DC0553"/>
    <w:p w:rsidR="00F93B76" w:rsidRPr="00A32AF4" w:rsidRDefault="00553F92" w:rsidP="00DC0553">
      <w:pPr>
        <w:keepNext/>
      </w:pPr>
      <w:r w:rsidRPr="00A32AF4">
        <w:t>TABLEAU DES RÉSULTATS</w:t>
      </w:r>
    </w:p>
    <w:p w:rsidR="00D12195" w:rsidRPr="00A32AF4" w:rsidRDefault="00D12195" w:rsidP="00DC0553">
      <w:pPr>
        <w:keepNext/>
      </w:pPr>
    </w:p>
    <w:tbl>
      <w:tblPr>
        <w:tblW w:w="9195" w:type="dxa"/>
        <w:tblInd w:w="9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40"/>
        <w:gridCol w:w="2360"/>
        <w:gridCol w:w="2480"/>
        <w:gridCol w:w="1915"/>
      </w:tblGrid>
      <w:tr w:rsidR="0038294E" w:rsidRPr="00A32AF4" w:rsidTr="00527B80">
        <w:trPr>
          <w:cantSplit/>
          <w:tblHeader/>
        </w:trPr>
        <w:tc>
          <w:tcPr>
            <w:tcW w:w="2440" w:type="dxa"/>
            <w:tcBorders>
              <w:top w:val="single" w:sz="4" w:space="0" w:color="auto"/>
              <w:bottom w:val="single" w:sz="4" w:space="0" w:color="auto"/>
            </w:tcBorders>
            <w:shd w:val="clear" w:color="auto" w:fill="C6D9F1" w:themeFill="text2" w:themeFillTint="33"/>
            <w:tcMar>
              <w:top w:w="113" w:type="dxa"/>
              <w:bottom w:w="113" w:type="dxa"/>
            </w:tcMar>
            <w:vAlign w:val="center"/>
            <w:hideMark/>
          </w:tcPr>
          <w:p w:rsidR="00D12195" w:rsidRPr="00A32AF4" w:rsidRDefault="00D12195" w:rsidP="00DC0553">
            <w:pPr>
              <w:keepNext/>
              <w:jc w:val="center"/>
              <w:rPr>
                <w:b/>
                <w:bCs/>
                <w:sz w:val="18"/>
                <w:szCs w:val="18"/>
              </w:rPr>
            </w:pPr>
            <w:r w:rsidRPr="00A32AF4">
              <w:rPr>
                <w:rFonts w:eastAsia="SimSun"/>
                <w:b/>
                <w:bCs/>
                <w:sz w:val="18"/>
              </w:rPr>
              <w:t>Résultats escomptés</w:t>
            </w:r>
          </w:p>
        </w:tc>
        <w:tc>
          <w:tcPr>
            <w:tcW w:w="2360" w:type="dxa"/>
            <w:tcBorders>
              <w:top w:val="single" w:sz="4" w:space="0" w:color="auto"/>
              <w:bottom w:val="single" w:sz="4" w:space="0" w:color="auto"/>
            </w:tcBorders>
            <w:shd w:val="clear" w:color="auto" w:fill="C6D9F1" w:themeFill="text2" w:themeFillTint="33"/>
            <w:tcMar>
              <w:top w:w="113" w:type="dxa"/>
              <w:bottom w:w="113" w:type="dxa"/>
            </w:tcMar>
            <w:vAlign w:val="center"/>
            <w:hideMark/>
          </w:tcPr>
          <w:p w:rsidR="00D12195" w:rsidRPr="00A32AF4" w:rsidRDefault="00D12195" w:rsidP="00DC0553">
            <w:pPr>
              <w:keepNext/>
              <w:jc w:val="center"/>
              <w:rPr>
                <w:b/>
                <w:bCs/>
                <w:sz w:val="18"/>
                <w:szCs w:val="18"/>
              </w:rPr>
            </w:pPr>
            <w:r w:rsidRPr="00A32AF4">
              <w:rPr>
                <w:rFonts w:eastAsia="SimSun"/>
                <w:b/>
                <w:bCs/>
                <w:sz w:val="18"/>
              </w:rPr>
              <w:t>Indicateurs d</w:t>
            </w:r>
            <w:r w:rsidR="00E2055A" w:rsidRPr="00A32AF4">
              <w:rPr>
                <w:rFonts w:eastAsia="SimSun"/>
                <w:b/>
                <w:bCs/>
                <w:sz w:val="18"/>
              </w:rPr>
              <w:t>’</w:t>
            </w:r>
            <w:r w:rsidRPr="00A32AF4">
              <w:rPr>
                <w:rFonts w:eastAsia="SimSun"/>
                <w:b/>
                <w:bCs/>
                <w:sz w:val="18"/>
              </w:rPr>
              <w:t>exécution</w:t>
            </w:r>
          </w:p>
        </w:tc>
        <w:tc>
          <w:tcPr>
            <w:tcW w:w="2480" w:type="dxa"/>
            <w:tcBorders>
              <w:top w:val="single" w:sz="4" w:space="0" w:color="auto"/>
              <w:bottom w:val="single" w:sz="4" w:space="0" w:color="auto"/>
            </w:tcBorders>
            <w:shd w:val="clear" w:color="auto" w:fill="C6D9F1" w:themeFill="text2" w:themeFillTint="33"/>
            <w:tcMar>
              <w:top w:w="113" w:type="dxa"/>
              <w:bottom w:w="113" w:type="dxa"/>
            </w:tcMar>
            <w:vAlign w:val="center"/>
            <w:hideMark/>
          </w:tcPr>
          <w:p w:rsidR="00D12195" w:rsidRPr="00A32AF4" w:rsidRDefault="00D12195" w:rsidP="00DC0553">
            <w:pPr>
              <w:keepNext/>
              <w:jc w:val="center"/>
              <w:rPr>
                <w:b/>
                <w:bCs/>
                <w:sz w:val="18"/>
                <w:szCs w:val="18"/>
              </w:rPr>
            </w:pPr>
            <w:r w:rsidRPr="00A32AF4">
              <w:rPr>
                <w:rFonts w:eastAsia="SimSun"/>
                <w:b/>
                <w:bCs/>
                <w:sz w:val="18"/>
              </w:rPr>
              <w:t>Niveaux de référence</w:t>
            </w:r>
          </w:p>
        </w:tc>
        <w:tc>
          <w:tcPr>
            <w:tcW w:w="1915" w:type="dxa"/>
            <w:tcBorders>
              <w:top w:val="single" w:sz="4" w:space="0" w:color="auto"/>
              <w:bottom w:val="single" w:sz="4" w:space="0" w:color="auto"/>
            </w:tcBorders>
            <w:shd w:val="clear" w:color="auto" w:fill="C6D9F1" w:themeFill="text2" w:themeFillTint="33"/>
            <w:tcMar>
              <w:top w:w="113" w:type="dxa"/>
              <w:bottom w:w="113" w:type="dxa"/>
            </w:tcMar>
            <w:vAlign w:val="center"/>
            <w:hideMark/>
          </w:tcPr>
          <w:p w:rsidR="00D12195" w:rsidRPr="00A32AF4" w:rsidRDefault="00D12195" w:rsidP="00DC0553">
            <w:pPr>
              <w:keepNext/>
              <w:jc w:val="center"/>
              <w:rPr>
                <w:b/>
                <w:bCs/>
                <w:sz w:val="18"/>
                <w:szCs w:val="18"/>
              </w:rPr>
            </w:pPr>
            <w:r w:rsidRPr="00A32AF4">
              <w:rPr>
                <w:rFonts w:eastAsia="SimSun"/>
                <w:b/>
                <w:bCs/>
                <w:sz w:val="18"/>
              </w:rPr>
              <w:t>Objectifs visés</w:t>
            </w:r>
          </w:p>
        </w:tc>
      </w:tr>
      <w:tr w:rsidR="0038294E" w:rsidRPr="00A32AF4" w:rsidTr="00527B80">
        <w:trPr>
          <w:cantSplit/>
        </w:trPr>
        <w:tc>
          <w:tcPr>
            <w:tcW w:w="2440" w:type="dxa"/>
            <w:tcBorders>
              <w:top w:val="single" w:sz="4" w:space="0" w:color="auto"/>
            </w:tcBorders>
            <w:shd w:val="clear" w:color="000000" w:fill="FFFFFF"/>
            <w:tcMar>
              <w:top w:w="113" w:type="dxa"/>
              <w:bottom w:w="113" w:type="dxa"/>
            </w:tcMar>
            <w:hideMark/>
          </w:tcPr>
          <w:p w:rsidR="00D12195" w:rsidRPr="00A32AF4" w:rsidRDefault="00D12195" w:rsidP="00DC0553">
            <w:pPr>
              <w:rPr>
                <w:sz w:val="16"/>
                <w:szCs w:val="16"/>
              </w:rPr>
            </w:pPr>
            <w:r w:rsidRPr="00A32AF4">
              <w:rPr>
                <w:sz w:val="16"/>
                <w:szCs w:val="16"/>
              </w:rPr>
              <w:t xml:space="preserve">I.1 </w:t>
            </w:r>
            <w:r w:rsidR="00F50477" w:rsidRPr="00A32AF4">
              <w:rPr>
                <w:sz w:val="16"/>
                <w:szCs w:val="16"/>
              </w:rPr>
              <w:t>Renforcement de la coopération entre les États membres en ce qui concerne l</w:t>
            </w:r>
            <w:r w:rsidR="00E2055A" w:rsidRPr="00A32AF4">
              <w:rPr>
                <w:sz w:val="16"/>
                <w:szCs w:val="16"/>
              </w:rPr>
              <w:t>’</w:t>
            </w:r>
            <w:r w:rsidR="00F50477" w:rsidRPr="00A32AF4">
              <w:rPr>
                <w:sz w:val="16"/>
                <w:szCs w:val="16"/>
              </w:rPr>
              <w:t>élaboration de cadres normatifs internationaux équilibrés dans le domaine de la propriété intellectuelle</w:t>
            </w:r>
          </w:p>
        </w:tc>
        <w:tc>
          <w:tcPr>
            <w:tcW w:w="2360" w:type="dxa"/>
            <w:tcBorders>
              <w:top w:val="single" w:sz="4" w:space="0" w:color="auto"/>
            </w:tcBorders>
            <w:shd w:val="clear" w:color="000000" w:fill="FFFFFF"/>
            <w:tcMar>
              <w:top w:w="113" w:type="dxa"/>
              <w:bottom w:w="113" w:type="dxa"/>
            </w:tcMar>
            <w:hideMark/>
          </w:tcPr>
          <w:p w:rsidR="00D12195" w:rsidRPr="00A32AF4" w:rsidRDefault="00D12195" w:rsidP="00DC0553">
            <w:pPr>
              <w:rPr>
                <w:sz w:val="16"/>
                <w:szCs w:val="16"/>
              </w:rPr>
            </w:pPr>
            <w:r w:rsidRPr="00A32AF4">
              <w:rPr>
                <w:sz w:val="16"/>
                <w:szCs w:val="16"/>
              </w:rPr>
              <w:t>Avancement de l</w:t>
            </w:r>
            <w:r w:rsidR="00E2055A" w:rsidRPr="00A32AF4">
              <w:rPr>
                <w:sz w:val="16"/>
                <w:szCs w:val="16"/>
              </w:rPr>
              <w:t>’</w:t>
            </w:r>
            <w:r w:rsidRPr="00A32AF4">
              <w:rPr>
                <w:sz w:val="16"/>
                <w:szCs w:val="16"/>
              </w:rPr>
              <w:t>exécution des plans de travail convenus conformément à l</w:t>
            </w:r>
            <w:r w:rsidR="00E2055A" w:rsidRPr="00A32AF4">
              <w:rPr>
                <w:sz w:val="16"/>
                <w:szCs w:val="16"/>
              </w:rPr>
              <w:t>’</w:t>
            </w:r>
            <w:r w:rsidRPr="00A32AF4">
              <w:rPr>
                <w:sz w:val="16"/>
                <w:szCs w:val="16"/>
              </w:rPr>
              <w:t xml:space="preserve">ordre du jour du SCCR </w:t>
            </w:r>
          </w:p>
        </w:tc>
        <w:tc>
          <w:tcPr>
            <w:tcW w:w="2480" w:type="dxa"/>
            <w:tcBorders>
              <w:top w:val="single" w:sz="4" w:space="0" w:color="auto"/>
            </w:tcBorders>
            <w:shd w:val="clear" w:color="000000" w:fill="FFFFFF"/>
            <w:tcMar>
              <w:top w:w="113" w:type="dxa"/>
              <w:bottom w:w="113" w:type="dxa"/>
            </w:tcMar>
            <w:hideMark/>
          </w:tcPr>
          <w:p w:rsidR="00F93B76" w:rsidRPr="00A32AF4" w:rsidRDefault="00D12195" w:rsidP="00DC0553">
            <w:pPr>
              <w:rPr>
                <w:sz w:val="16"/>
                <w:szCs w:val="16"/>
              </w:rPr>
            </w:pPr>
            <w:r w:rsidRPr="00A32AF4">
              <w:rPr>
                <w:sz w:val="16"/>
                <w:szCs w:val="16"/>
              </w:rPr>
              <w:t>Le SCCR et l</w:t>
            </w:r>
            <w:r w:rsidR="00E2055A" w:rsidRPr="00A32AF4">
              <w:rPr>
                <w:sz w:val="16"/>
                <w:szCs w:val="16"/>
              </w:rPr>
              <w:t>’</w:t>
            </w:r>
            <w:r w:rsidRPr="00A32AF4">
              <w:rPr>
                <w:sz w:val="16"/>
                <w:szCs w:val="16"/>
              </w:rPr>
              <w:t>Assemblée générale de l</w:t>
            </w:r>
            <w:r w:rsidR="00E2055A" w:rsidRPr="00A32AF4">
              <w:rPr>
                <w:sz w:val="16"/>
                <w:szCs w:val="16"/>
              </w:rPr>
              <w:t>’</w:t>
            </w:r>
            <w:r w:rsidRPr="00A32AF4">
              <w:rPr>
                <w:sz w:val="16"/>
                <w:szCs w:val="16"/>
              </w:rPr>
              <w:t>OMPI de 2014 ne sont pas parvenus à un accord sur les mesures à prendre pour convoquer une conférence diplomatique en vue du traité sur la protection des organismes de radiodiffusion</w:t>
            </w:r>
          </w:p>
          <w:p w:rsidR="00D12195" w:rsidRPr="00A32AF4" w:rsidRDefault="00D12195" w:rsidP="00DC0553">
            <w:pPr>
              <w:rPr>
                <w:sz w:val="16"/>
                <w:szCs w:val="16"/>
              </w:rPr>
            </w:pPr>
            <w:r w:rsidRPr="00A32AF4">
              <w:rPr>
                <w:sz w:val="16"/>
                <w:szCs w:val="16"/>
              </w:rPr>
              <w:t>(2014 PPR)</w:t>
            </w:r>
          </w:p>
        </w:tc>
        <w:tc>
          <w:tcPr>
            <w:tcW w:w="1915" w:type="dxa"/>
            <w:tcBorders>
              <w:top w:val="single" w:sz="4" w:space="0" w:color="auto"/>
            </w:tcBorders>
            <w:shd w:val="clear" w:color="000000" w:fill="FFFFFF"/>
            <w:tcMar>
              <w:top w:w="113" w:type="dxa"/>
              <w:bottom w:w="113" w:type="dxa"/>
            </w:tcMar>
            <w:hideMark/>
          </w:tcPr>
          <w:p w:rsidR="00D12195" w:rsidRPr="00A32AF4" w:rsidRDefault="00D12195" w:rsidP="00DC0553">
            <w:pPr>
              <w:rPr>
                <w:sz w:val="16"/>
                <w:szCs w:val="16"/>
              </w:rPr>
            </w:pPr>
            <w:r w:rsidRPr="00A32AF4">
              <w:rPr>
                <w:sz w:val="16"/>
                <w:szCs w:val="16"/>
              </w:rPr>
              <w:t>Objectifs convenus du SCCR</w:t>
            </w:r>
          </w:p>
        </w:tc>
      </w:tr>
      <w:tr w:rsidR="0038294E" w:rsidRPr="00A32AF4" w:rsidTr="00527B80">
        <w:trPr>
          <w:cantSplit/>
        </w:trPr>
        <w:tc>
          <w:tcPr>
            <w:tcW w:w="2440" w:type="dxa"/>
            <w:vMerge w:val="restart"/>
            <w:shd w:val="clear" w:color="000000" w:fill="FFFFFF"/>
            <w:tcMar>
              <w:top w:w="113" w:type="dxa"/>
              <w:bottom w:w="113" w:type="dxa"/>
            </w:tcMar>
            <w:hideMark/>
          </w:tcPr>
          <w:p w:rsidR="00D12195" w:rsidRPr="00A32AF4" w:rsidRDefault="00D12195" w:rsidP="00DC0553">
            <w:pPr>
              <w:keepNext/>
              <w:rPr>
                <w:sz w:val="16"/>
                <w:szCs w:val="16"/>
              </w:rPr>
            </w:pPr>
            <w:r w:rsidRPr="00A32AF4">
              <w:rPr>
                <w:sz w:val="16"/>
                <w:szCs w:val="16"/>
              </w:rPr>
              <w:t xml:space="preserve">I.2 </w:t>
            </w:r>
            <w:r w:rsidR="00F50477" w:rsidRPr="00A32AF4">
              <w:rPr>
                <w:sz w:val="16"/>
                <w:szCs w:val="16"/>
              </w:rPr>
              <w:t>Cadres législatifs, réglementaires et politiques de propriété intellectuelle adaptés et équilibrés</w:t>
            </w:r>
          </w:p>
        </w:tc>
        <w:tc>
          <w:tcPr>
            <w:tcW w:w="2360" w:type="dxa"/>
            <w:shd w:val="clear" w:color="000000" w:fill="FFFFFF"/>
            <w:tcMar>
              <w:top w:w="113" w:type="dxa"/>
              <w:bottom w:w="113" w:type="dxa"/>
            </w:tcMar>
            <w:hideMark/>
          </w:tcPr>
          <w:p w:rsidR="00D12195" w:rsidRPr="00A32AF4" w:rsidRDefault="00D12195" w:rsidP="00DC0553">
            <w:pPr>
              <w:keepNext/>
              <w:rPr>
                <w:sz w:val="16"/>
                <w:szCs w:val="16"/>
              </w:rPr>
            </w:pPr>
            <w:r w:rsidRPr="00A32AF4">
              <w:rPr>
                <w:sz w:val="16"/>
                <w:szCs w:val="16"/>
              </w:rPr>
              <w:t xml:space="preserve">Nombre de pays ayant ratifié le Traité de Beijing ou y ayant adhéré </w:t>
            </w:r>
          </w:p>
        </w:tc>
        <w:tc>
          <w:tcPr>
            <w:tcW w:w="2480" w:type="dxa"/>
            <w:shd w:val="clear" w:color="000000" w:fill="FFFFFF"/>
            <w:tcMar>
              <w:top w:w="113" w:type="dxa"/>
              <w:bottom w:w="113" w:type="dxa"/>
            </w:tcMar>
            <w:hideMark/>
          </w:tcPr>
          <w:p w:rsidR="00D12195" w:rsidRPr="00A32AF4" w:rsidRDefault="00D12195" w:rsidP="00DC0553">
            <w:pPr>
              <w:keepNext/>
              <w:rPr>
                <w:sz w:val="16"/>
                <w:szCs w:val="16"/>
              </w:rPr>
            </w:pPr>
            <w:r w:rsidRPr="00A32AF4">
              <w:rPr>
                <w:sz w:val="16"/>
                <w:szCs w:val="16"/>
              </w:rPr>
              <w:t>6 (fin 2014)</w:t>
            </w:r>
          </w:p>
        </w:tc>
        <w:tc>
          <w:tcPr>
            <w:tcW w:w="1915" w:type="dxa"/>
            <w:shd w:val="clear" w:color="000000" w:fill="FFFFFF"/>
            <w:tcMar>
              <w:top w:w="113" w:type="dxa"/>
              <w:bottom w:w="113" w:type="dxa"/>
            </w:tcMar>
            <w:hideMark/>
          </w:tcPr>
          <w:p w:rsidR="00D12195" w:rsidRPr="00A32AF4" w:rsidRDefault="00D12195" w:rsidP="00DC0553">
            <w:pPr>
              <w:keepNext/>
              <w:rPr>
                <w:sz w:val="16"/>
                <w:szCs w:val="16"/>
              </w:rPr>
            </w:pPr>
            <w:r w:rsidRPr="00A32AF4">
              <w:rPr>
                <w:sz w:val="16"/>
                <w:szCs w:val="16"/>
              </w:rPr>
              <w:t xml:space="preserve">30 </w:t>
            </w:r>
          </w:p>
        </w:tc>
      </w:tr>
      <w:tr w:rsidR="0038294E" w:rsidRPr="00A32AF4" w:rsidTr="00527B80">
        <w:trPr>
          <w:cantSplit/>
        </w:trPr>
        <w:tc>
          <w:tcPr>
            <w:tcW w:w="2440" w:type="dxa"/>
            <w:vMerge/>
            <w:tcMar>
              <w:top w:w="113" w:type="dxa"/>
              <w:bottom w:w="113" w:type="dxa"/>
            </w:tcMar>
            <w:vAlign w:val="center"/>
            <w:hideMark/>
          </w:tcPr>
          <w:p w:rsidR="00D12195" w:rsidRPr="00A32AF4" w:rsidRDefault="00D12195" w:rsidP="00DC0553">
            <w:pPr>
              <w:rPr>
                <w:sz w:val="16"/>
                <w:szCs w:val="16"/>
              </w:rPr>
            </w:pPr>
          </w:p>
        </w:tc>
        <w:tc>
          <w:tcPr>
            <w:tcW w:w="2360" w:type="dxa"/>
            <w:shd w:val="clear" w:color="000000" w:fill="FFFFFF"/>
            <w:tcMar>
              <w:top w:w="113" w:type="dxa"/>
              <w:bottom w:w="113" w:type="dxa"/>
            </w:tcMar>
            <w:hideMark/>
          </w:tcPr>
          <w:p w:rsidR="00D12195" w:rsidRPr="00A32AF4" w:rsidRDefault="00D12195" w:rsidP="00DC0553">
            <w:pPr>
              <w:rPr>
                <w:sz w:val="16"/>
                <w:szCs w:val="16"/>
              </w:rPr>
            </w:pPr>
            <w:r w:rsidRPr="00A32AF4">
              <w:rPr>
                <w:sz w:val="16"/>
                <w:szCs w:val="16"/>
              </w:rPr>
              <w:t>Nombre de pays ayant ratifié le Traité de Marrakech ou y ayant adhéré</w:t>
            </w:r>
          </w:p>
        </w:tc>
        <w:tc>
          <w:tcPr>
            <w:tcW w:w="2480" w:type="dxa"/>
            <w:shd w:val="clear" w:color="000000" w:fill="FFFFFF"/>
            <w:tcMar>
              <w:top w:w="113" w:type="dxa"/>
              <w:bottom w:w="113" w:type="dxa"/>
            </w:tcMar>
            <w:hideMark/>
          </w:tcPr>
          <w:p w:rsidR="00D12195" w:rsidRPr="00A32AF4" w:rsidRDefault="00D12195" w:rsidP="00DC0553">
            <w:pPr>
              <w:rPr>
                <w:sz w:val="16"/>
                <w:szCs w:val="16"/>
              </w:rPr>
            </w:pPr>
            <w:r w:rsidRPr="00A32AF4">
              <w:rPr>
                <w:sz w:val="16"/>
                <w:szCs w:val="16"/>
              </w:rPr>
              <w:t>5 (fin 2014)</w:t>
            </w:r>
          </w:p>
        </w:tc>
        <w:tc>
          <w:tcPr>
            <w:tcW w:w="1915" w:type="dxa"/>
            <w:shd w:val="clear" w:color="000000" w:fill="FFFFFF"/>
            <w:tcMar>
              <w:top w:w="113" w:type="dxa"/>
              <w:bottom w:w="113" w:type="dxa"/>
            </w:tcMar>
            <w:hideMark/>
          </w:tcPr>
          <w:p w:rsidR="00D12195" w:rsidRPr="00A32AF4" w:rsidRDefault="00D12195" w:rsidP="00DC0553">
            <w:pPr>
              <w:rPr>
                <w:sz w:val="16"/>
                <w:szCs w:val="16"/>
              </w:rPr>
            </w:pPr>
            <w:r w:rsidRPr="00A32AF4">
              <w:rPr>
                <w:sz w:val="16"/>
                <w:szCs w:val="16"/>
              </w:rPr>
              <w:t xml:space="preserve">20 </w:t>
            </w:r>
          </w:p>
        </w:tc>
      </w:tr>
      <w:tr w:rsidR="0038294E" w:rsidRPr="00A32AF4" w:rsidTr="00527B80">
        <w:trPr>
          <w:cantSplit/>
        </w:trPr>
        <w:tc>
          <w:tcPr>
            <w:tcW w:w="2440" w:type="dxa"/>
            <w:vMerge/>
            <w:tcMar>
              <w:top w:w="113" w:type="dxa"/>
              <w:bottom w:w="113" w:type="dxa"/>
            </w:tcMar>
            <w:vAlign w:val="center"/>
            <w:hideMark/>
          </w:tcPr>
          <w:p w:rsidR="00D12195" w:rsidRPr="00A32AF4" w:rsidRDefault="00D12195" w:rsidP="00DC0553">
            <w:pPr>
              <w:rPr>
                <w:sz w:val="16"/>
                <w:szCs w:val="16"/>
              </w:rPr>
            </w:pPr>
          </w:p>
        </w:tc>
        <w:tc>
          <w:tcPr>
            <w:tcW w:w="2360" w:type="dxa"/>
            <w:shd w:val="clear" w:color="000000" w:fill="FFFFFF"/>
            <w:tcMar>
              <w:top w:w="113" w:type="dxa"/>
              <w:bottom w:w="113" w:type="dxa"/>
            </w:tcMar>
            <w:hideMark/>
          </w:tcPr>
          <w:p w:rsidR="00D12195" w:rsidRPr="00A32AF4" w:rsidRDefault="00D12195" w:rsidP="00DC0553">
            <w:pPr>
              <w:rPr>
                <w:sz w:val="16"/>
                <w:szCs w:val="16"/>
              </w:rPr>
            </w:pPr>
            <w:r w:rsidRPr="00A32AF4">
              <w:rPr>
                <w:sz w:val="16"/>
                <w:szCs w:val="16"/>
              </w:rPr>
              <w:t>Nombre de ratifications ou d</w:t>
            </w:r>
            <w:r w:rsidR="00E2055A" w:rsidRPr="00A32AF4">
              <w:rPr>
                <w:sz w:val="16"/>
                <w:szCs w:val="16"/>
              </w:rPr>
              <w:t>’</w:t>
            </w:r>
            <w:r w:rsidRPr="00A32AF4">
              <w:rPr>
                <w:sz w:val="16"/>
                <w:szCs w:val="16"/>
              </w:rPr>
              <w:t xml:space="preserve">adhésions </w:t>
            </w:r>
            <w:r w:rsidR="00C013B0" w:rsidRPr="00A32AF4">
              <w:rPr>
                <w:sz w:val="16"/>
                <w:szCs w:val="16"/>
              </w:rPr>
              <w:t xml:space="preserve">relatives aux </w:t>
            </w:r>
            <w:r w:rsidRPr="00A32AF4">
              <w:rPr>
                <w:sz w:val="16"/>
                <w:szCs w:val="16"/>
              </w:rPr>
              <w:t xml:space="preserve">traités de </w:t>
            </w:r>
            <w:r w:rsidR="00F8220C" w:rsidRPr="00A32AF4">
              <w:rPr>
                <w:sz w:val="16"/>
                <w:szCs w:val="16"/>
              </w:rPr>
              <w:t>droit d</w:t>
            </w:r>
            <w:r w:rsidR="00E2055A" w:rsidRPr="00A32AF4">
              <w:rPr>
                <w:sz w:val="16"/>
                <w:szCs w:val="16"/>
              </w:rPr>
              <w:t>’</w:t>
            </w:r>
            <w:r w:rsidR="00F8220C" w:rsidRPr="00A32AF4">
              <w:rPr>
                <w:sz w:val="16"/>
                <w:szCs w:val="16"/>
              </w:rPr>
              <w:t xml:space="preserve">auteur en vigueur, notamment la Convention de Berne, la Convention de Rome et les traités </w:t>
            </w:r>
            <w:r w:rsidRPr="00A32AF4">
              <w:rPr>
                <w:sz w:val="16"/>
                <w:szCs w:val="16"/>
              </w:rPr>
              <w:t xml:space="preserve">Internet </w:t>
            </w:r>
          </w:p>
        </w:tc>
        <w:tc>
          <w:tcPr>
            <w:tcW w:w="2480" w:type="dxa"/>
            <w:shd w:val="clear" w:color="000000" w:fill="FFFFFF"/>
            <w:tcMar>
              <w:top w:w="113" w:type="dxa"/>
              <w:bottom w:w="113" w:type="dxa"/>
            </w:tcMar>
            <w:hideMark/>
          </w:tcPr>
          <w:p w:rsidR="00D12195" w:rsidRPr="00A32AF4" w:rsidRDefault="00F8220C" w:rsidP="00DC0553">
            <w:pPr>
              <w:rPr>
                <w:sz w:val="16"/>
                <w:szCs w:val="16"/>
              </w:rPr>
            </w:pPr>
            <w:r w:rsidRPr="00A32AF4">
              <w:rPr>
                <w:sz w:val="16"/>
                <w:szCs w:val="16"/>
              </w:rPr>
              <w:t>s.o.</w:t>
            </w:r>
            <w:r w:rsidR="00D12195" w:rsidRPr="00A32AF4">
              <w:rPr>
                <w:sz w:val="16"/>
                <w:szCs w:val="16"/>
              </w:rPr>
              <w:t xml:space="preserve"> (</w:t>
            </w:r>
            <w:r w:rsidRPr="00A32AF4">
              <w:rPr>
                <w:sz w:val="16"/>
                <w:szCs w:val="16"/>
              </w:rPr>
              <w:t>indicateur révisé</w:t>
            </w:r>
            <w:r w:rsidR="00D12195" w:rsidRPr="00A32AF4">
              <w:rPr>
                <w:sz w:val="16"/>
                <w:szCs w:val="16"/>
              </w:rPr>
              <w:t>)</w:t>
            </w:r>
          </w:p>
        </w:tc>
        <w:tc>
          <w:tcPr>
            <w:tcW w:w="1915" w:type="dxa"/>
            <w:shd w:val="clear" w:color="000000" w:fill="FFFFFF"/>
            <w:tcMar>
              <w:top w:w="113" w:type="dxa"/>
              <w:bottom w:w="113" w:type="dxa"/>
            </w:tcMar>
            <w:hideMark/>
          </w:tcPr>
          <w:p w:rsidR="00D12195" w:rsidRPr="00A32AF4" w:rsidRDefault="00527B80" w:rsidP="00DC0553">
            <w:pPr>
              <w:rPr>
                <w:sz w:val="16"/>
                <w:szCs w:val="16"/>
              </w:rPr>
            </w:pPr>
            <w:r w:rsidRPr="00A32AF4">
              <w:rPr>
                <w:sz w:val="16"/>
                <w:szCs w:val="16"/>
              </w:rPr>
              <w:t>10</w:t>
            </w:r>
          </w:p>
        </w:tc>
      </w:tr>
      <w:tr w:rsidR="0038294E" w:rsidRPr="00A32AF4" w:rsidTr="00527B80">
        <w:trPr>
          <w:cantSplit/>
        </w:trPr>
        <w:tc>
          <w:tcPr>
            <w:tcW w:w="2440" w:type="dxa"/>
            <w:vMerge/>
            <w:tcMar>
              <w:top w:w="113" w:type="dxa"/>
              <w:bottom w:w="113" w:type="dxa"/>
            </w:tcMar>
            <w:vAlign w:val="center"/>
            <w:hideMark/>
          </w:tcPr>
          <w:p w:rsidR="00D12195" w:rsidRPr="00A32AF4" w:rsidRDefault="00D12195" w:rsidP="00DC0553">
            <w:pPr>
              <w:rPr>
                <w:sz w:val="16"/>
                <w:szCs w:val="16"/>
              </w:rPr>
            </w:pPr>
          </w:p>
        </w:tc>
        <w:tc>
          <w:tcPr>
            <w:tcW w:w="2360" w:type="dxa"/>
            <w:shd w:val="clear" w:color="000000" w:fill="FFFFFF"/>
            <w:tcMar>
              <w:top w:w="113" w:type="dxa"/>
              <w:bottom w:w="113" w:type="dxa"/>
            </w:tcMar>
            <w:hideMark/>
          </w:tcPr>
          <w:p w:rsidR="00D12195" w:rsidRPr="00A32AF4" w:rsidRDefault="00D12195" w:rsidP="00DC0553">
            <w:pPr>
              <w:rPr>
                <w:sz w:val="16"/>
                <w:szCs w:val="16"/>
              </w:rPr>
            </w:pPr>
            <w:r w:rsidRPr="00A32AF4">
              <w:rPr>
                <w:sz w:val="16"/>
                <w:szCs w:val="16"/>
              </w:rPr>
              <w:t>Pourcentage de pays ayant donné un retour d</w:t>
            </w:r>
            <w:r w:rsidR="00E2055A" w:rsidRPr="00A32AF4">
              <w:rPr>
                <w:sz w:val="16"/>
                <w:szCs w:val="16"/>
              </w:rPr>
              <w:t>’</w:t>
            </w:r>
            <w:r w:rsidRPr="00A32AF4">
              <w:rPr>
                <w:sz w:val="16"/>
                <w:szCs w:val="16"/>
              </w:rPr>
              <w:t>information positif sur les conseils législatifs fournis par l</w:t>
            </w:r>
            <w:r w:rsidR="00E2055A" w:rsidRPr="00A32AF4">
              <w:rPr>
                <w:sz w:val="16"/>
                <w:szCs w:val="16"/>
              </w:rPr>
              <w:t>’</w:t>
            </w:r>
            <w:r w:rsidRPr="00A32AF4">
              <w:rPr>
                <w:sz w:val="16"/>
                <w:szCs w:val="16"/>
              </w:rPr>
              <w:t>OMPI</w:t>
            </w:r>
          </w:p>
        </w:tc>
        <w:tc>
          <w:tcPr>
            <w:tcW w:w="2480" w:type="dxa"/>
            <w:shd w:val="clear" w:color="000000" w:fill="FFFFFF"/>
            <w:tcMar>
              <w:top w:w="113" w:type="dxa"/>
              <w:bottom w:w="113" w:type="dxa"/>
            </w:tcMar>
            <w:hideMark/>
          </w:tcPr>
          <w:p w:rsidR="00F93B76" w:rsidRPr="00A32AF4" w:rsidRDefault="00D12195" w:rsidP="00DC0553">
            <w:pPr>
              <w:rPr>
                <w:sz w:val="16"/>
                <w:szCs w:val="16"/>
              </w:rPr>
            </w:pPr>
            <w:r w:rsidRPr="00A32AF4">
              <w:rPr>
                <w:sz w:val="16"/>
                <w:szCs w:val="16"/>
              </w:rPr>
              <w:t>s.o. en 2014</w:t>
            </w:r>
          </w:p>
          <w:p w:rsidR="00D12195" w:rsidRPr="00A32AF4" w:rsidRDefault="00D12195" w:rsidP="00DC0553">
            <w:pPr>
              <w:rPr>
                <w:sz w:val="16"/>
                <w:szCs w:val="16"/>
              </w:rPr>
            </w:pPr>
            <w:r w:rsidRPr="00A32AF4">
              <w:rPr>
                <w:sz w:val="16"/>
                <w:szCs w:val="16"/>
              </w:rPr>
              <w:t>(l</w:t>
            </w:r>
            <w:r w:rsidR="00E2055A" w:rsidRPr="00A32AF4">
              <w:rPr>
                <w:sz w:val="16"/>
                <w:szCs w:val="16"/>
              </w:rPr>
              <w:t>’</w:t>
            </w:r>
            <w:r w:rsidRPr="00A32AF4">
              <w:rPr>
                <w:sz w:val="16"/>
                <w:szCs w:val="16"/>
              </w:rPr>
              <w:t xml:space="preserve">enquête biennale doit être menée en 2015) </w:t>
            </w:r>
          </w:p>
        </w:tc>
        <w:tc>
          <w:tcPr>
            <w:tcW w:w="1915" w:type="dxa"/>
            <w:shd w:val="clear" w:color="000000" w:fill="FFFFFF"/>
            <w:tcMar>
              <w:top w:w="113" w:type="dxa"/>
              <w:bottom w:w="113" w:type="dxa"/>
            </w:tcMar>
            <w:hideMark/>
          </w:tcPr>
          <w:p w:rsidR="00D12195" w:rsidRPr="00A32AF4" w:rsidRDefault="00527B80" w:rsidP="00DC0553">
            <w:pPr>
              <w:rPr>
                <w:sz w:val="16"/>
                <w:szCs w:val="16"/>
              </w:rPr>
            </w:pPr>
            <w:r w:rsidRPr="00A32AF4">
              <w:rPr>
                <w:sz w:val="16"/>
                <w:szCs w:val="16"/>
              </w:rPr>
              <w:t>7</w:t>
            </w:r>
            <w:r w:rsidR="00D12195" w:rsidRPr="00A32AF4">
              <w:rPr>
                <w:sz w:val="16"/>
                <w:szCs w:val="16"/>
              </w:rPr>
              <w:t xml:space="preserve">0% de répondants satisfaits des conseils fournis </w:t>
            </w:r>
          </w:p>
        </w:tc>
      </w:tr>
      <w:tr w:rsidR="00A32AF4" w:rsidRPr="00A32AF4" w:rsidTr="00E52D10">
        <w:trPr>
          <w:cantSplit/>
        </w:trPr>
        <w:tc>
          <w:tcPr>
            <w:tcW w:w="2440" w:type="dxa"/>
            <w:vMerge w:val="restart"/>
            <w:shd w:val="clear" w:color="000000" w:fill="FFFFFF"/>
            <w:tcMar>
              <w:top w:w="113" w:type="dxa"/>
              <w:bottom w:w="113" w:type="dxa"/>
            </w:tcMar>
            <w:hideMark/>
          </w:tcPr>
          <w:p w:rsidR="00A32AF4" w:rsidRPr="00A32AF4" w:rsidRDefault="00A32AF4" w:rsidP="00DC0553">
            <w:pPr>
              <w:rPr>
                <w:sz w:val="16"/>
                <w:szCs w:val="16"/>
              </w:rPr>
            </w:pPr>
            <w:r w:rsidRPr="00A32AF4">
              <w:rPr>
                <w:sz w:val="16"/>
                <w:szCs w:val="16"/>
              </w:rPr>
              <w:t>III.2 Mise en valeur des ressources humaines pour répondre aux diverses exigences en matière d’utilisation efficace de la propriété intellectuelle au service du développement dans les pays en développement, les PMA et les pays en transition</w:t>
            </w:r>
          </w:p>
        </w:tc>
        <w:tc>
          <w:tcPr>
            <w:tcW w:w="2360" w:type="dxa"/>
            <w:shd w:val="clear" w:color="000000" w:fill="FFFFFF"/>
            <w:tcMar>
              <w:top w:w="113" w:type="dxa"/>
              <w:bottom w:w="113" w:type="dxa"/>
            </w:tcMar>
          </w:tcPr>
          <w:p w:rsidR="00A32AF4" w:rsidRPr="00A32AF4" w:rsidRDefault="00A32AF4" w:rsidP="002C1ED1">
            <w:pPr>
              <w:keepNext/>
              <w:keepLines/>
              <w:rPr>
                <w:sz w:val="16"/>
                <w:szCs w:val="16"/>
              </w:rPr>
            </w:pPr>
            <w:r w:rsidRPr="00A32AF4">
              <w:rPr>
                <w:sz w:val="16"/>
                <w:szCs w:val="16"/>
              </w:rPr>
              <w:t>Nombre de bureaux nationaux du droit d’auteur participant activement au processus de consultation dans le cadre du projet TAG</w:t>
            </w:r>
          </w:p>
        </w:tc>
        <w:tc>
          <w:tcPr>
            <w:tcW w:w="2480" w:type="dxa"/>
            <w:shd w:val="clear" w:color="000000" w:fill="FFFFFF"/>
            <w:tcMar>
              <w:top w:w="113" w:type="dxa"/>
              <w:bottom w:w="113" w:type="dxa"/>
            </w:tcMar>
          </w:tcPr>
          <w:p w:rsidR="00A32AF4" w:rsidRPr="00A32AF4" w:rsidRDefault="00A32AF4" w:rsidP="002C1ED1">
            <w:pPr>
              <w:keepNext/>
              <w:keepLines/>
              <w:rPr>
                <w:sz w:val="16"/>
                <w:szCs w:val="16"/>
              </w:rPr>
            </w:pPr>
            <w:r w:rsidRPr="00A32AF4">
              <w:rPr>
                <w:sz w:val="16"/>
                <w:szCs w:val="16"/>
              </w:rPr>
              <w:t>s.o.</w:t>
            </w:r>
          </w:p>
        </w:tc>
        <w:tc>
          <w:tcPr>
            <w:tcW w:w="1915" w:type="dxa"/>
            <w:shd w:val="clear" w:color="000000" w:fill="FFFFFF"/>
            <w:tcMar>
              <w:top w:w="113" w:type="dxa"/>
              <w:bottom w:w="113" w:type="dxa"/>
            </w:tcMar>
          </w:tcPr>
          <w:p w:rsidR="00A32AF4" w:rsidRPr="00A32AF4" w:rsidRDefault="00A32AF4" w:rsidP="002C1ED1">
            <w:pPr>
              <w:keepNext/>
              <w:keepLines/>
              <w:rPr>
                <w:sz w:val="16"/>
                <w:szCs w:val="16"/>
              </w:rPr>
            </w:pPr>
            <w:r w:rsidRPr="00A32AF4">
              <w:rPr>
                <w:sz w:val="16"/>
                <w:szCs w:val="16"/>
              </w:rPr>
              <w:t>25 bureaux nationaux du droit d’auteur</w:t>
            </w:r>
          </w:p>
        </w:tc>
      </w:tr>
      <w:tr w:rsidR="00A32AF4" w:rsidRPr="00A32AF4" w:rsidTr="003A005E">
        <w:trPr>
          <w:cantSplit/>
        </w:trPr>
        <w:tc>
          <w:tcPr>
            <w:tcW w:w="2440" w:type="dxa"/>
            <w:vMerge/>
            <w:shd w:val="clear" w:color="000000" w:fill="FFFFFF"/>
            <w:tcMar>
              <w:top w:w="113" w:type="dxa"/>
              <w:bottom w:w="113" w:type="dxa"/>
            </w:tcMar>
          </w:tcPr>
          <w:p w:rsidR="00A32AF4" w:rsidRPr="00A32AF4" w:rsidRDefault="00A32AF4" w:rsidP="00DC0553">
            <w:pPr>
              <w:rPr>
                <w:sz w:val="16"/>
                <w:szCs w:val="16"/>
              </w:rPr>
            </w:pPr>
          </w:p>
        </w:tc>
        <w:tc>
          <w:tcPr>
            <w:tcW w:w="2360" w:type="dxa"/>
            <w:shd w:val="clear" w:color="000000" w:fill="FFFFFF"/>
            <w:tcMar>
              <w:top w:w="113" w:type="dxa"/>
              <w:bottom w:w="113" w:type="dxa"/>
            </w:tcMar>
          </w:tcPr>
          <w:p w:rsidR="00A32AF4" w:rsidRPr="00A32AF4" w:rsidRDefault="00A32AF4" w:rsidP="000F45B2">
            <w:pPr>
              <w:keepNext/>
              <w:keepLines/>
              <w:rPr>
                <w:sz w:val="16"/>
                <w:szCs w:val="16"/>
              </w:rPr>
            </w:pPr>
            <w:r w:rsidRPr="00A32AF4">
              <w:rPr>
                <w:sz w:val="16"/>
                <w:szCs w:val="16"/>
              </w:rPr>
              <w:t xml:space="preserve">Nombre d’organismes de gestion collective demandant une accréditation TAG </w:t>
            </w:r>
          </w:p>
        </w:tc>
        <w:tc>
          <w:tcPr>
            <w:tcW w:w="2480" w:type="dxa"/>
            <w:shd w:val="clear" w:color="000000" w:fill="FFFFFF"/>
            <w:tcMar>
              <w:top w:w="113" w:type="dxa"/>
              <w:bottom w:w="113" w:type="dxa"/>
            </w:tcMar>
          </w:tcPr>
          <w:p w:rsidR="00A32AF4" w:rsidRPr="00A32AF4" w:rsidRDefault="00A32AF4" w:rsidP="000F45B2">
            <w:pPr>
              <w:keepNext/>
              <w:keepLines/>
              <w:rPr>
                <w:sz w:val="16"/>
                <w:szCs w:val="16"/>
              </w:rPr>
            </w:pPr>
            <w:r w:rsidRPr="00A32AF4">
              <w:rPr>
                <w:sz w:val="16"/>
                <w:szCs w:val="16"/>
              </w:rPr>
              <w:t>0 (fin 2014)</w:t>
            </w:r>
          </w:p>
        </w:tc>
        <w:tc>
          <w:tcPr>
            <w:tcW w:w="1915" w:type="dxa"/>
            <w:shd w:val="clear" w:color="000000" w:fill="FFFFFF"/>
            <w:tcMar>
              <w:top w:w="113" w:type="dxa"/>
              <w:bottom w:w="113" w:type="dxa"/>
            </w:tcMar>
          </w:tcPr>
          <w:p w:rsidR="00A32AF4" w:rsidRPr="00A32AF4" w:rsidRDefault="00A32AF4" w:rsidP="000F45B2">
            <w:pPr>
              <w:keepNext/>
              <w:keepLines/>
              <w:rPr>
                <w:sz w:val="16"/>
                <w:szCs w:val="16"/>
              </w:rPr>
            </w:pPr>
            <w:r w:rsidRPr="00A32AF4">
              <w:rPr>
                <w:sz w:val="16"/>
                <w:szCs w:val="16"/>
              </w:rPr>
              <w:t>0 (2016)</w:t>
            </w:r>
          </w:p>
          <w:p w:rsidR="00A32AF4" w:rsidRPr="00A32AF4" w:rsidRDefault="00A32AF4" w:rsidP="00E52D10">
            <w:pPr>
              <w:keepNext/>
              <w:keepLines/>
              <w:rPr>
                <w:sz w:val="16"/>
                <w:szCs w:val="16"/>
              </w:rPr>
            </w:pPr>
            <w:r w:rsidRPr="00A32AF4">
              <w:rPr>
                <w:sz w:val="16"/>
                <w:szCs w:val="16"/>
              </w:rPr>
              <w:t>Deux organismes de gestion collective demandant une accréditation</w:t>
            </w:r>
            <w:r w:rsidRPr="00A32AF4">
              <w:rPr>
                <w:rFonts w:cs="Arial"/>
                <w:color w:val="000000"/>
                <w:sz w:val="16"/>
                <w:szCs w:val="16"/>
              </w:rPr>
              <w:t xml:space="preserve"> (2017)</w:t>
            </w:r>
            <w:r w:rsidRPr="00A32AF4">
              <w:rPr>
                <w:rStyle w:val="FootnoteReference"/>
                <w:rFonts w:cs="Arial"/>
                <w:color w:val="000000"/>
                <w:sz w:val="16"/>
                <w:szCs w:val="16"/>
              </w:rPr>
              <w:footnoteReference w:id="17"/>
            </w:r>
          </w:p>
        </w:tc>
      </w:tr>
      <w:tr w:rsidR="00A32AF4" w:rsidRPr="00A32AF4" w:rsidTr="00527B80">
        <w:trPr>
          <w:cantSplit/>
        </w:trPr>
        <w:tc>
          <w:tcPr>
            <w:tcW w:w="2440" w:type="dxa"/>
            <w:vMerge/>
            <w:tcMar>
              <w:top w:w="113" w:type="dxa"/>
              <w:bottom w:w="113" w:type="dxa"/>
            </w:tcMar>
            <w:vAlign w:val="center"/>
          </w:tcPr>
          <w:p w:rsidR="00A32AF4" w:rsidRPr="00A32AF4" w:rsidRDefault="00A32AF4" w:rsidP="00DC0553">
            <w:pPr>
              <w:keepNext/>
              <w:keepLines/>
              <w:rPr>
                <w:sz w:val="16"/>
                <w:szCs w:val="16"/>
              </w:rPr>
            </w:pPr>
          </w:p>
        </w:tc>
        <w:tc>
          <w:tcPr>
            <w:tcW w:w="2360" w:type="dxa"/>
            <w:shd w:val="clear" w:color="000000" w:fill="FFFFFF"/>
            <w:tcMar>
              <w:top w:w="113" w:type="dxa"/>
              <w:bottom w:w="113" w:type="dxa"/>
            </w:tcMar>
          </w:tcPr>
          <w:p w:rsidR="00A32AF4" w:rsidRPr="00A32AF4" w:rsidRDefault="00A32AF4" w:rsidP="00DC0553">
            <w:pPr>
              <w:keepNext/>
              <w:keepLines/>
              <w:rPr>
                <w:sz w:val="16"/>
                <w:szCs w:val="16"/>
              </w:rPr>
            </w:pPr>
            <w:r w:rsidRPr="00A32AF4">
              <w:rPr>
                <w:sz w:val="16"/>
                <w:szCs w:val="16"/>
              </w:rPr>
              <w:t xml:space="preserve">Pourcentage de participants ayant présenté un rapport positif sur les programmes de renforcement des capacités en matière de gestion collective </w:t>
            </w:r>
          </w:p>
        </w:tc>
        <w:tc>
          <w:tcPr>
            <w:tcW w:w="2480" w:type="dxa"/>
            <w:shd w:val="clear" w:color="000000" w:fill="FFFFFF"/>
            <w:tcMar>
              <w:top w:w="113" w:type="dxa"/>
              <w:bottom w:w="113" w:type="dxa"/>
            </w:tcMar>
          </w:tcPr>
          <w:p w:rsidR="00A32AF4" w:rsidRPr="00A32AF4" w:rsidRDefault="00A32AF4" w:rsidP="00DC0553">
            <w:pPr>
              <w:keepNext/>
              <w:keepLines/>
              <w:rPr>
                <w:sz w:val="16"/>
                <w:szCs w:val="16"/>
              </w:rPr>
            </w:pPr>
            <w:r w:rsidRPr="00A32AF4">
              <w:rPr>
                <w:sz w:val="16"/>
                <w:szCs w:val="16"/>
              </w:rPr>
              <w:t xml:space="preserve">0 (fin 2014).  </w:t>
            </w:r>
          </w:p>
        </w:tc>
        <w:tc>
          <w:tcPr>
            <w:tcW w:w="1915" w:type="dxa"/>
            <w:shd w:val="clear" w:color="000000" w:fill="FFFFFF"/>
            <w:tcMar>
              <w:top w:w="113" w:type="dxa"/>
              <w:bottom w:w="113" w:type="dxa"/>
            </w:tcMar>
          </w:tcPr>
          <w:p w:rsidR="00A32AF4" w:rsidRPr="00A32AF4" w:rsidRDefault="00A32AF4" w:rsidP="00DC0553">
            <w:pPr>
              <w:keepNext/>
              <w:keepLines/>
              <w:rPr>
                <w:sz w:val="16"/>
                <w:szCs w:val="16"/>
              </w:rPr>
            </w:pPr>
            <w:r w:rsidRPr="00A32AF4">
              <w:rPr>
                <w:sz w:val="16"/>
                <w:szCs w:val="16"/>
              </w:rPr>
              <w:t>70% des participants ayant participé à l’enquête d’accord ou tout à fait d’accord</w:t>
            </w:r>
          </w:p>
        </w:tc>
      </w:tr>
      <w:tr w:rsidR="00A32AF4" w:rsidRPr="00A32AF4" w:rsidTr="00527B80">
        <w:trPr>
          <w:cantSplit/>
        </w:trPr>
        <w:tc>
          <w:tcPr>
            <w:tcW w:w="2440" w:type="dxa"/>
            <w:vMerge/>
            <w:tcMar>
              <w:top w:w="113" w:type="dxa"/>
              <w:bottom w:w="113" w:type="dxa"/>
            </w:tcMar>
            <w:vAlign w:val="center"/>
          </w:tcPr>
          <w:p w:rsidR="00A32AF4" w:rsidRPr="00A32AF4" w:rsidRDefault="00A32AF4" w:rsidP="00DC0553">
            <w:pPr>
              <w:keepNext/>
              <w:keepLines/>
              <w:rPr>
                <w:sz w:val="16"/>
                <w:szCs w:val="16"/>
              </w:rPr>
            </w:pPr>
          </w:p>
        </w:tc>
        <w:tc>
          <w:tcPr>
            <w:tcW w:w="2360" w:type="dxa"/>
            <w:shd w:val="clear" w:color="000000" w:fill="FFFFFF"/>
            <w:tcMar>
              <w:top w:w="113" w:type="dxa"/>
              <w:bottom w:w="113" w:type="dxa"/>
            </w:tcMar>
          </w:tcPr>
          <w:p w:rsidR="00A32AF4" w:rsidRPr="00A32AF4" w:rsidRDefault="00A32AF4" w:rsidP="00DC0553">
            <w:pPr>
              <w:keepNext/>
              <w:keepLines/>
              <w:rPr>
                <w:sz w:val="16"/>
                <w:szCs w:val="16"/>
              </w:rPr>
            </w:pPr>
            <w:r w:rsidRPr="00A32AF4">
              <w:rPr>
                <w:sz w:val="16"/>
                <w:szCs w:val="16"/>
              </w:rPr>
              <w:t xml:space="preserve">Nombre de visites sur le Portail de l’infrastructure du droit d’auteur </w:t>
            </w:r>
          </w:p>
        </w:tc>
        <w:tc>
          <w:tcPr>
            <w:tcW w:w="2480" w:type="dxa"/>
            <w:shd w:val="clear" w:color="000000" w:fill="FFFFFF"/>
            <w:tcMar>
              <w:top w:w="113" w:type="dxa"/>
              <w:bottom w:w="113" w:type="dxa"/>
            </w:tcMar>
          </w:tcPr>
          <w:p w:rsidR="00A32AF4" w:rsidRPr="00A32AF4" w:rsidRDefault="00A32AF4" w:rsidP="00DC0553">
            <w:pPr>
              <w:keepNext/>
              <w:keepLines/>
              <w:rPr>
                <w:sz w:val="16"/>
                <w:szCs w:val="16"/>
              </w:rPr>
            </w:pPr>
            <w:r w:rsidRPr="00A32AF4">
              <w:rPr>
                <w:sz w:val="16"/>
                <w:szCs w:val="16"/>
              </w:rPr>
              <w:t>0 (fin 2014)</w:t>
            </w:r>
          </w:p>
        </w:tc>
        <w:tc>
          <w:tcPr>
            <w:tcW w:w="1915" w:type="dxa"/>
            <w:shd w:val="clear" w:color="000000" w:fill="FFFFFF"/>
            <w:tcMar>
              <w:top w:w="113" w:type="dxa"/>
              <w:bottom w:w="113" w:type="dxa"/>
            </w:tcMar>
          </w:tcPr>
          <w:p w:rsidR="00A32AF4" w:rsidRPr="00A32AF4" w:rsidRDefault="00A32AF4" w:rsidP="00DC0553">
            <w:pPr>
              <w:keepNext/>
              <w:keepLines/>
              <w:rPr>
                <w:sz w:val="16"/>
                <w:szCs w:val="16"/>
              </w:rPr>
            </w:pPr>
            <w:r w:rsidRPr="00A32AF4">
              <w:rPr>
                <w:sz w:val="16"/>
                <w:szCs w:val="16"/>
              </w:rPr>
              <w:t>500 visites</w:t>
            </w:r>
          </w:p>
        </w:tc>
      </w:tr>
      <w:tr w:rsidR="00A32AF4" w:rsidRPr="00A32AF4" w:rsidTr="00527B80">
        <w:trPr>
          <w:cantSplit/>
        </w:trPr>
        <w:tc>
          <w:tcPr>
            <w:tcW w:w="2440" w:type="dxa"/>
            <w:vMerge/>
            <w:tcMar>
              <w:top w:w="113" w:type="dxa"/>
              <w:bottom w:w="113" w:type="dxa"/>
            </w:tcMar>
            <w:vAlign w:val="center"/>
          </w:tcPr>
          <w:p w:rsidR="00A32AF4" w:rsidRPr="00A32AF4" w:rsidRDefault="00A32AF4" w:rsidP="00DC0553">
            <w:pPr>
              <w:rPr>
                <w:sz w:val="16"/>
                <w:szCs w:val="16"/>
              </w:rPr>
            </w:pPr>
          </w:p>
        </w:tc>
        <w:tc>
          <w:tcPr>
            <w:tcW w:w="2360" w:type="dxa"/>
            <w:shd w:val="clear" w:color="000000" w:fill="FFFFFF"/>
            <w:tcMar>
              <w:top w:w="113" w:type="dxa"/>
              <w:bottom w:w="113" w:type="dxa"/>
            </w:tcMar>
          </w:tcPr>
          <w:p w:rsidR="00A32AF4" w:rsidRPr="00A32AF4" w:rsidRDefault="00A32AF4" w:rsidP="00DC0553">
            <w:pPr>
              <w:rPr>
                <w:sz w:val="16"/>
                <w:szCs w:val="16"/>
              </w:rPr>
            </w:pPr>
            <w:r w:rsidRPr="00A32AF4">
              <w:rPr>
                <w:sz w:val="16"/>
                <w:szCs w:val="16"/>
              </w:rPr>
              <w:t>Nombre de maisons d’édition signant la Charte ABC de l’édition en format accessible (“Charte”</w:t>
            </w:r>
            <w:proofErr w:type="gramStart"/>
            <w:r w:rsidRPr="00A32AF4">
              <w:rPr>
                <w:sz w:val="16"/>
                <w:szCs w:val="16"/>
              </w:rPr>
              <w:t>)</w:t>
            </w:r>
            <w:proofErr w:type="gramEnd"/>
            <w:r w:rsidRPr="00A32AF4">
              <w:rPr>
                <w:sz w:val="16"/>
                <w:szCs w:val="16"/>
              </w:rPr>
              <w:br/>
            </w:r>
            <w:r w:rsidRPr="00A32AF4">
              <w:rPr>
                <w:sz w:val="16"/>
                <w:szCs w:val="16"/>
              </w:rPr>
              <w:br/>
              <w:t xml:space="preserve">Nombre de livres en format accessible prêtés à des personnes ayant des difficultés de lecture </w:t>
            </w:r>
          </w:p>
        </w:tc>
        <w:tc>
          <w:tcPr>
            <w:tcW w:w="2480" w:type="dxa"/>
            <w:shd w:val="clear" w:color="000000" w:fill="FFFFFF"/>
            <w:tcMar>
              <w:top w:w="113" w:type="dxa"/>
              <w:bottom w:w="113" w:type="dxa"/>
            </w:tcMar>
          </w:tcPr>
          <w:p w:rsidR="00A32AF4" w:rsidRPr="00A32AF4" w:rsidRDefault="00A32AF4" w:rsidP="00DC0553">
            <w:pPr>
              <w:rPr>
                <w:sz w:val="16"/>
                <w:szCs w:val="16"/>
              </w:rPr>
            </w:pPr>
            <w:r w:rsidRPr="00A32AF4">
              <w:rPr>
                <w:sz w:val="16"/>
                <w:szCs w:val="16"/>
              </w:rPr>
              <w:t xml:space="preserve">Neuf maisons d’édition ont signé la Charte ABC </w:t>
            </w:r>
            <w:r w:rsidRPr="00A32AF4">
              <w:rPr>
                <w:sz w:val="16"/>
                <w:szCs w:val="16"/>
              </w:rPr>
              <w:br/>
            </w:r>
            <w:r w:rsidRPr="00A32AF4">
              <w:rPr>
                <w:sz w:val="16"/>
                <w:szCs w:val="16"/>
              </w:rPr>
              <w:br/>
            </w:r>
            <w:r w:rsidRPr="00A32AF4">
              <w:rPr>
                <w:sz w:val="16"/>
                <w:szCs w:val="16"/>
              </w:rPr>
              <w:br/>
            </w:r>
            <w:r w:rsidRPr="00A32AF4">
              <w:rPr>
                <w:sz w:val="16"/>
                <w:szCs w:val="16"/>
              </w:rPr>
              <w:br/>
              <w:t xml:space="preserve">16 000 prêts à des personnes ayant des difficultés de lecture </w:t>
            </w:r>
          </w:p>
        </w:tc>
        <w:tc>
          <w:tcPr>
            <w:tcW w:w="1915" w:type="dxa"/>
            <w:shd w:val="clear" w:color="000000" w:fill="FFFFFF"/>
            <w:tcMar>
              <w:top w:w="113" w:type="dxa"/>
              <w:bottom w:w="113" w:type="dxa"/>
            </w:tcMar>
          </w:tcPr>
          <w:p w:rsidR="00A32AF4" w:rsidRPr="00A32AF4" w:rsidRDefault="00A32AF4" w:rsidP="00DC0553">
            <w:pPr>
              <w:rPr>
                <w:sz w:val="16"/>
                <w:szCs w:val="16"/>
              </w:rPr>
            </w:pPr>
            <w:r w:rsidRPr="00A32AF4">
              <w:rPr>
                <w:sz w:val="16"/>
                <w:szCs w:val="16"/>
              </w:rPr>
              <w:t>15 signatures de maisons d’édition (cumul</w:t>
            </w:r>
            <w:proofErr w:type="gramStart"/>
            <w:r w:rsidRPr="00A32AF4">
              <w:rPr>
                <w:sz w:val="16"/>
                <w:szCs w:val="16"/>
              </w:rPr>
              <w:t>)</w:t>
            </w:r>
            <w:proofErr w:type="gramEnd"/>
            <w:r w:rsidRPr="00A32AF4">
              <w:rPr>
                <w:sz w:val="16"/>
                <w:szCs w:val="16"/>
              </w:rPr>
              <w:br/>
            </w:r>
            <w:r w:rsidRPr="00A32AF4">
              <w:rPr>
                <w:sz w:val="16"/>
                <w:szCs w:val="16"/>
              </w:rPr>
              <w:br/>
            </w:r>
            <w:r w:rsidRPr="00A32AF4">
              <w:rPr>
                <w:sz w:val="16"/>
                <w:szCs w:val="16"/>
              </w:rPr>
              <w:br/>
              <w:t>20 000 prêts (cumul)</w:t>
            </w:r>
          </w:p>
        </w:tc>
      </w:tr>
      <w:tr w:rsidR="00A32AF4" w:rsidRPr="00A32AF4" w:rsidTr="00527B80">
        <w:trPr>
          <w:cantSplit/>
        </w:trPr>
        <w:tc>
          <w:tcPr>
            <w:tcW w:w="2440" w:type="dxa"/>
            <w:vMerge/>
            <w:tcMar>
              <w:top w:w="113" w:type="dxa"/>
              <w:bottom w:w="113" w:type="dxa"/>
            </w:tcMar>
            <w:vAlign w:val="center"/>
            <w:hideMark/>
          </w:tcPr>
          <w:p w:rsidR="00A32AF4" w:rsidRPr="00A32AF4" w:rsidRDefault="00A32AF4" w:rsidP="00DC0553">
            <w:pPr>
              <w:rPr>
                <w:sz w:val="16"/>
                <w:szCs w:val="16"/>
              </w:rPr>
            </w:pPr>
          </w:p>
        </w:tc>
        <w:tc>
          <w:tcPr>
            <w:tcW w:w="2360" w:type="dxa"/>
            <w:shd w:val="clear" w:color="000000" w:fill="FFFFFF"/>
            <w:tcMar>
              <w:top w:w="113" w:type="dxa"/>
              <w:bottom w:w="113" w:type="dxa"/>
            </w:tcMar>
            <w:hideMark/>
          </w:tcPr>
          <w:p w:rsidR="00A32AF4" w:rsidRPr="00A32AF4" w:rsidRDefault="00A32AF4" w:rsidP="00DC0553">
            <w:pPr>
              <w:rPr>
                <w:sz w:val="16"/>
                <w:szCs w:val="16"/>
              </w:rPr>
            </w:pPr>
            <w:r w:rsidRPr="00A32AF4">
              <w:rPr>
                <w:sz w:val="16"/>
                <w:szCs w:val="16"/>
              </w:rPr>
              <w:t xml:space="preserve">Pourcentage de participants satisfaits des réunions et des ateliers de renforcement des capacités liées au droit d’auteur et aux droits connexes, et les ayant évalués comme utiles </w:t>
            </w:r>
          </w:p>
        </w:tc>
        <w:tc>
          <w:tcPr>
            <w:tcW w:w="2480" w:type="dxa"/>
            <w:shd w:val="clear" w:color="000000" w:fill="FFFFFF"/>
            <w:tcMar>
              <w:top w:w="113" w:type="dxa"/>
              <w:bottom w:w="113" w:type="dxa"/>
            </w:tcMar>
            <w:hideMark/>
          </w:tcPr>
          <w:p w:rsidR="00A32AF4" w:rsidRPr="00A32AF4" w:rsidRDefault="00A32AF4" w:rsidP="00DC0553">
            <w:pPr>
              <w:rPr>
                <w:sz w:val="16"/>
                <w:szCs w:val="16"/>
              </w:rPr>
            </w:pPr>
            <w:r w:rsidRPr="00A32AF4">
              <w:rPr>
                <w:sz w:val="16"/>
                <w:szCs w:val="16"/>
              </w:rPr>
              <w:t xml:space="preserve">70% </w:t>
            </w:r>
          </w:p>
        </w:tc>
        <w:tc>
          <w:tcPr>
            <w:tcW w:w="1915" w:type="dxa"/>
            <w:shd w:val="clear" w:color="000000" w:fill="FFFFFF"/>
            <w:tcMar>
              <w:top w:w="113" w:type="dxa"/>
              <w:bottom w:w="113" w:type="dxa"/>
            </w:tcMar>
            <w:hideMark/>
          </w:tcPr>
          <w:p w:rsidR="00A32AF4" w:rsidRPr="00A32AF4" w:rsidRDefault="00A32AF4" w:rsidP="00DC0553">
            <w:pPr>
              <w:rPr>
                <w:sz w:val="16"/>
                <w:szCs w:val="16"/>
              </w:rPr>
            </w:pPr>
            <w:r w:rsidRPr="00A32AF4">
              <w:rPr>
                <w:sz w:val="16"/>
                <w:szCs w:val="16"/>
              </w:rPr>
              <w:t xml:space="preserve">70% des participants satisfaits ou très satisfaits </w:t>
            </w:r>
          </w:p>
        </w:tc>
      </w:tr>
      <w:tr w:rsidR="00A32AF4" w:rsidRPr="00A32AF4" w:rsidTr="00527B80">
        <w:trPr>
          <w:cantSplit/>
        </w:trPr>
        <w:tc>
          <w:tcPr>
            <w:tcW w:w="2440" w:type="dxa"/>
            <w:vMerge/>
            <w:tcMar>
              <w:top w:w="113" w:type="dxa"/>
              <w:bottom w:w="113" w:type="dxa"/>
            </w:tcMar>
            <w:vAlign w:val="center"/>
            <w:hideMark/>
          </w:tcPr>
          <w:p w:rsidR="00A32AF4" w:rsidRPr="00A32AF4" w:rsidRDefault="00A32AF4" w:rsidP="00DC0553">
            <w:pPr>
              <w:rPr>
                <w:sz w:val="16"/>
                <w:szCs w:val="16"/>
              </w:rPr>
            </w:pPr>
          </w:p>
        </w:tc>
        <w:tc>
          <w:tcPr>
            <w:tcW w:w="2360" w:type="dxa"/>
            <w:shd w:val="clear" w:color="000000" w:fill="FFFFFF"/>
            <w:tcMar>
              <w:top w:w="113" w:type="dxa"/>
              <w:bottom w:w="113" w:type="dxa"/>
            </w:tcMar>
            <w:hideMark/>
          </w:tcPr>
          <w:p w:rsidR="00A32AF4" w:rsidRPr="00A32AF4" w:rsidRDefault="00A32AF4" w:rsidP="00DC0553">
            <w:pPr>
              <w:rPr>
                <w:sz w:val="16"/>
                <w:szCs w:val="16"/>
              </w:rPr>
            </w:pPr>
            <w:r w:rsidRPr="00A32AF4">
              <w:rPr>
                <w:sz w:val="16"/>
                <w:szCs w:val="16"/>
              </w:rPr>
              <w:t>Pourcentage des participants à des ateliers de renforcement des capacités ayant indiqué utiliser en pratique les connaissances acquises neuf mois après la participation aux ateliers</w:t>
            </w:r>
          </w:p>
        </w:tc>
        <w:tc>
          <w:tcPr>
            <w:tcW w:w="2480" w:type="dxa"/>
            <w:shd w:val="clear" w:color="000000" w:fill="FFFFFF"/>
            <w:tcMar>
              <w:top w:w="113" w:type="dxa"/>
              <w:bottom w:w="113" w:type="dxa"/>
            </w:tcMar>
            <w:hideMark/>
          </w:tcPr>
          <w:p w:rsidR="00A32AF4" w:rsidRPr="00A32AF4" w:rsidRDefault="00A32AF4" w:rsidP="00DC0553">
            <w:pPr>
              <w:rPr>
                <w:sz w:val="16"/>
                <w:szCs w:val="16"/>
              </w:rPr>
            </w:pPr>
            <w:r w:rsidRPr="00A32AF4">
              <w:rPr>
                <w:sz w:val="16"/>
                <w:szCs w:val="16"/>
              </w:rPr>
              <w:t xml:space="preserve">Près de 70% </w:t>
            </w:r>
          </w:p>
        </w:tc>
        <w:tc>
          <w:tcPr>
            <w:tcW w:w="1915" w:type="dxa"/>
            <w:shd w:val="clear" w:color="000000" w:fill="FFFFFF"/>
            <w:tcMar>
              <w:top w:w="113" w:type="dxa"/>
              <w:bottom w:w="113" w:type="dxa"/>
            </w:tcMar>
            <w:hideMark/>
          </w:tcPr>
          <w:p w:rsidR="00A32AF4" w:rsidRPr="00A32AF4" w:rsidRDefault="00A32AF4" w:rsidP="00DC0553">
            <w:pPr>
              <w:rPr>
                <w:sz w:val="16"/>
                <w:szCs w:val="16"/>
              </w:rPr>
            </w:pPr>
            <w:r w:rsidRPr="00A32AF4">
              <w:rPr>
                <w:sz w:val="16"/>
                <w:szCs w:val="16"/>
              </w:rPr>
              <w:t>Près de 80% des participants</w:t>
            </w:r>
          </w:p>
        </w:tc>
      </w:tr>
      <w:tr w:rsidR="00A32AF4" w:rsidRPr="00A32AF4" w:rsidTr="00527B80">
        <w:trPr>
          <w:cantSplit/>
        </w:trPr>
        <w:tc>
          <w:tcPr>
            <w:tcW w:w="2440" w:type="dxa"/>
            <w:vMerge/>
            <w:tcMar>
              <w:top w:w="113" w:type="dxa"/>
              <w:bottom w:w="113" w:type="dxa"/>
            </w:tcMar>
            <w:vAlign w:val="center"/>
            <w:hideMark/>
          </w:tcPr>
          <w:p w:rsidR="00A32AF4" w:rsidRPr="00A32AF4" w:rsidRDefault="00A32AF4" w:rsidP="00DC0553">
            <w:pPr>
              <w:rPr>
                <w:sz w:val="16"/>
                <w:szCs w:val="16"/>
              </w:rPr>
            </w:pPr>
          </w:p>
        </w:tc>
        <w:tc>
          <w:tcPr>
            <w:tcW w:w="2360" w:type="dxa"/>
            <w:shd w:val="clear" w:color="000000" w:fill="FFFFFF"/>
            <w:tcMar>
              <w:top w:w="113" w:type="dxa"/>
              <w:bottom w:w="113" w:type="dxa"/>
            </w:tcMar>
            <w:hideMark/>
          </w:tcPr>
          <w:p w:rsidR="00A32AF4" w:rsidRPr="00A32AF4" w:rsidRDefault="00A32AF4" w:rsidP="00DC0553">
            <w:pPr>
              <w:rPr>
                <w:sz w:val="16"/>
                <w:szCs w:val="16"/>
              </w:rPr>
            </w:pPr>
            <w:r w:rsidRPr="00A32AF4">
              <w:rPr>
                <w:sz w:val="16"/>
                <w:szCs w:val="16"/>
              </w:rPr>
              <w:t xml:space="preserve">Pourcentage de participants ayant des connaissances et des compétences accrues en matière de mise en œuvre d’activités de formation dans leurs pays respectifs </w:t>
            </w:r>
          </w:p>
        </w:tc>
        <w:tc>
          <w:tcPr>
            <w:tcW w:w="2480" w:type="dxa"/>
            <w:shd w:val="clear" w:color="000000" w:fill="FFFFFF"/>
            <w:tcMar>
              <w:top w:w="113" w:type="dxa"/>
              <w:bottom w:w="113" w:type="dxa"/>
            </w:tcMar>
            <w:hideMark/>
          </w:tcPr>
          <w:p w:rsidR="00A32AF4" w:rsidRPr="00A32AF4" w:rsidRDefault="00A32AF4" w:rsidP="00DC0553">
            <w:pPr>
              <w:rPr>
                <w:sz w:val="16"/>
                <w:szCs w:val="16"/>
              </w:rPr>
            </w:pPr>
            <w:r w:rsidRPr="00A32AF4">
              <w:rPr>
                <w:sz w:val="16"/>
                <w:szCs w:val="16"/>
              </w:rPr>
              <w:t>s.o. (nouvel indicateur)</w:t>
            </w:r>
          </w:p>
        </w:tc>
        <w:tc>
          <w:tcPr>
            <w:tcW w:w="1915" w:type="dxa"/>
            <w:shd w:val="clear" w:color="000000" w:fill="FFFFFF"/>
            <w:tcMar>
              <w:top w:w="113" w:type="dxa"/>
              <w:bottom w:w="113" w:type="dxa"/>
            </w:tcMar>
            <w:hideMark/>
          </w:tcPr>
          <w:p w:rsidR="00A32AF4" w:rsidRPr="00A32AF4" w:rsidRDefault="00A32AF4" w:rsidP="00DC0553">
            <w:pPr>
              <w:rPr>
                <w:sz w:val="16"/>
                <w:szCs w:val="16"/>
              </w:rPr>
            </w:pPr>
            <w:r w:rsidRPr="00A32AF4">
              <w:rPr>
                <w:sz w:val="16"/>
                <w:szCs w:val="16"/>
              </w:rPr>
              <w:t xml:space="preserve">70% des participants ayant reçu une formation </w:t>
            </w:r>
          </w:p>
        </w:tc>
      </w:tr>
      <w:tr w:rsidR="00A32AF4" w:rsidRPr="00A32AF4" w:rsidTr="00527B80">
        <w:trPr>
          <w:cantSplit/>
        </w:trPr>
        <w:tc>
          <w:tcPr>
            <w:tcW w:w="2440" w:type="dxa"/>
            <w:vMerge w:val="restart"/>
            <w:shd w:val="clear" w:color="000000" w:fill="FFFFFF"/>
            <w:tcMar>
              <w:top w:w="113" w:type="dxa"/>
              <w:bottom w:w="113" w:type="dxa"/>
            </w:tcMar>
            <w:hideMark/>
          </w:tcPr>
          <w:p w:rsidR="00A32AF4" w:rsidRPr="00A32AF4" w:rsidRDefault="00A32AF4" w:rsidP="00DC0553">
            <w:pPr>
              <w:rPr>
                <w:sz w:val="16"/>
                <w:szCs w:val="16"/>
              </w:rPr>
            </w:pPr>
            <w:r w:rsidRPr="00A32AF4">
              <w:rPr>
                <w:sz w:val="16"/>
                <w:szCs w:val="16"/>
              </w:rPr>
              <w:t>IV.2 Amélioration de l’accessibilité et de l’utilisation de l’information en matière de propriété intellectuelle par les institutions compétentes et le public afin de promouvoir l’innovation et la créativité</w:t>
            </w:r>
          </w:p>
        </w:tc>
        <w:tc>
          <w:tcPr>
            <w:tcW w:w="2360" w:type="dxa"/>
            <w:shd w:val="clear" w:color="000000" w:fill="FFFFFF"/>
            <w:tcMar>
              <w:top w:w="113" w:type="dxa"/>
              <w:bottom w:w="113" w:type="dxa"/>
            </w:tcMar>
            <w:hideMark/>
          </w:tcPr>
          <w:p w:rsidR="00A32AF4" w:rsidRPr="00A32AF4" w:rsidRDefault="00A32AF4" w:rsidP="00DC0553">
            <w:pPr>
              <w:rPr>
                <w:sz w:val="16"/>
                <w:szCs w:val="16"/>
              </w:rPr>
            </w:pPr>
            <w:r w:rsidRPr="00A32AF4">
              <w:rPr>
                <w:sz w:val="16"/>
                <w:szCs w:val="16"/>
              </w:rPr>
              <w:t xml:space="preserve">Nombre de membres constitutifs du Consortium pour des livres accessibles </w:t>
            </w:r>
            <w:r w:rsidRPr="00A32AF4">
              <w:rPr>
                <w:sz w:val="16"/>
                <w:szCs w:val="16"/>
              </w:rPr>
              <w:br/>
            </w:r>
            <w:r w:rsidRPr="00A32AF4">
              <w:rPr>
                <w:sz w:val="16"/>
                <w:szCs w:val="16"/>
              </w:rPr>
              <w:br/>
            </w:r>
          </w:p>
          <w:p w:rsidR="00A32AF4" w:rsidRPr="00A32AF4" w:rsidRDefault="00A32AF4" w:rsidP="00DC0553">
            <w:pPr>
              <w:rPr>
                <w:sz w:val="16"/>
                <w:szCs w:val="16"/>
              </w:rPr>
            </w:pPr>
          </w:p>
          <w:p w:rsidR="00A32AF4" w:rsidRPr="00A32AF4" w:rsidRDefault="00A32AF4" w:rsidP="00DC0553">
            <w:pPr>
              <w:rPr>
                <w:sz w:val="16"/>
                <w:szCs w:val="16"/>
              </w:rPr>
            </w:pPr>
            <w:r w:rsidRPr="00A32AF4">
              <w:rPr>
                <w:sz w:val="16"/>
                <w:szCs w:val="16"/>
              </w:rPr>
              <w:t>Nombre de donateurs</w:t>
            </w:r>
          </w:p>
        </w:tc>
        <w:tc>
          <w:tcPr>
            <w:tcW w:w="2480" w:type="dxa"/>
            <w:shd w:val="clear" w:color="000000" w:fill="FFFFFF"/>
            <w:tcMar>
              <w:top w:w="113" w:type="dxa"/>
              <w:bottom w:w="113" w:type="dxa"/>
            </w:tcMar>
            <w:hideMark/>
          </w:tcPr>
          <w:p w:rsidR="00A32AF4" w:rsidRPr="00A32AF4" w:rsidRDefault="00A32AF4" w:rsidP="00DC0553">
            <w:pPr>
              <w:rPr>
                <w:sz w:val="16"/>
                <w:szCs w:val="16"/>
              </w:rPr>
            </w:pPr>
            <w:r w:rsidRPr="00A32AF4">
              <w:rPr>
                <w:sz w:val="16"/>
                <w:szCs w:val="16"/>
              </w:rPr>
              <w:t>10 membres constitutifs du Consortium pour des livres accessibles</w:t>
            </w:r>
            <w:r w:rsidRPr="00A32AF4">
              <w:rPr>
                <w:sz w:val="16"/>
                <w:szCs w:val="16"/>
              </w:rPr>
              <w:br/>
            </w:r>
            <w:r w:rsidRPr="00A32AF4">
              <w:rPr>
                <w:sz w:val="16"/>
                <w:szCs w:val="16"/>
              </w:rPr>
              <w:br/>
            </w:r>
            <w:r w:rsidRPr="00A32AF4">
              <w:rPr>
                <w:sz w:val="16"/>
                <w:szCs w:val="16"/>
              </w:rPr>
              <w:br/>
            </w:r>
          </w:p>
          <w:p w:rsidR="00A32AF4" w:rsidRPr="00A32AF4" w:rsidRDefault="00A32AF4" w:rsidP="00DC0553">
            <w:pPr>
              <w:rPr>
                <w:sz w:val="16"/>
                <w:szCs w:val="16"/>
              </w:rPr>
            </w:pPr>
            <w:r w:rsidRPr="00A32AF4">
              <w:rPr>
                <w:sz w:val="16"/>
                <w:szCs w:val="16"/>
              </w:rPr>
              <w:t xml:space="preserve">Deux donateurs contribuant au financement </w:t>
            </w:r>
          </w:p>
        </w:tc>
        <w:tc>
          <w:tcPr>
            <w:tcW w:w="1915" w:type="dxa"/>
            <w:shd w:val="clear" w:color="000000" w:fill="FFFFFF"/>
            <w:tcMar>
              <w:top w:w="113" w:type="dxa"/>
              <w:bottom w:w="113" w:type="dxa"/>
            </w:tcMar>
            <w:hideMark/>
          </w:tcPr>
          <w:p w:rsidR="00A32AF4" w:rsidRPr="00A32AF4" w:rsidRDefault="00A32AF4" w:rsidP="00DC0553">
            <w:pPr>
              <w:rPr>
                <w:sz w:val="16"/>
                <w:szCs w:val="16"/>
              </w:rPr>
            </w:pPr>
            <w:r w:rsidRPr="00A32AF4">
              <w:rPr>
                <w:sz w:val="16"/>
                <w:szCs w:val="16"/>
              </w:rPr>
              <w:t>15 membres constitutifs du Consortium pour des livres accessibles enregistrés</w:t>
            </w:r>
          </w:p>
          <w:p w:rsidR="00A32AF4" w:rsidRPr="00A32AF4" w:rsidRDefault="00A32AF4" w:rsidP="00DC0553">
            <w:pPr>
              <w:rPr>
                <w:sz w:val="16"/>
                <w:szCs w:val="16"/>
              </w:rPr>
            </w:pPr>
            <w:r w:rsidRPr="00A32AF4">
              <w:rPr>
                <w:sz w:val="16"/>
                <w:szCs w:val="16"/>
              </w:rPr>
              <w:t>(cumul)</w:t>
            </w:r>
            <w:r w:rsidRPr="00A32AF4">
              <w:rPr>
                <w:sz w:val="16"/>
                <w:szCs w:val="16"/>
              </w:rPr>
              <w:br/>
            </w:r>
            <w:r w:rsidRPr="00A32AF4">
              <w:rPr>
                <w:sz w:val="16"/>
                <w:szCs w:val="16"/>
              </w:rPr>
              <w:br/>
              <w:t>Quatre donateurs contribuant au financement (cumul)</w:t>
            </w:r>
          </w:p>
        </w:tc>
      </w:tr>
      <w:tr w:rsidR="00A32AF4" w:rsidRPr="00A32AF4" w:rsidTr="00842E21">
        <w:trPr>
          <w:cantSplit/>
          <w:trHeight w:val="2218"/>
        </w:trPr>
        <w:tc>
          <w:tcPr>
            <w:tcW w:w="2440" w:type="dxa"/>
            <w:vMerge/>
            <w:tcMar>
              <w:top w:w="113" w:type="dxa"/>
              <w:bottom w:w="113" w:type="dxa"/>
            </w:tcMar>
            <w:vAlign w:val="center"/>
            <w:hideMark/>
          </w:tcPr>
          <w:p w:rsidR="00A32AF4" w:rsidRPr="00A32AF4" w:rsidRDefault="00A32AF4" w:rsidP="00DC0553">
            <w:pPr>
              <w:rPr>
                <w:sz w:val="16"/>
                <w:szCs w:val="16"/>
              </w:rPr>
            </w:pPr>
          </w:p>
        </w:tc>
        <w:tc>
          <w:tcPr>
            <w:tcW w:w="2360" w:type="dxa"/>
            <w:shd w:val="clear" w:color="000000" w:fill="FFFFFF"/>
            <w:tcMar>
              <w:top w:w="113" w:type="dxa"/>
              <w:bottom w:w="113" w:type="dxa"/>
            </w:tcMar>
            <w:hideMark/>
          </w:tcPr>
          <w:p w:rsidR="00A32AF4" w:rsidRPr="00A32AF4" w:rsidRDefault="00A32AF4" w:rsidP="00DC0553">
            <w:pPr>
              <w:rPr>
                <w:sz w:val="16"/>
                <w:szCs w:val="16"/>
              </w:rPr>
            </w:pPr>
            <w:r w:rsidRPr="00A32AF4">
              <w:rPr>
                <w:sz w:val="16"/>
                <w:szCs w:val="16"/>
              </w:rPr>
              <w:t>Nombre d’instruments juridiques, de lignes directrices, de déclarations de principes autres que les instruments contraignants avec la participation de parties prenantes concernées dans des domaines tels que les nouveaux traités sur le droit d’auteur et le droit d’auteur dans l’environnement numérique</w:t>
            </w:r>
          </w:p>
        </w:tc>
        <w:tc>
          <w:tcPr>
            <w:tcW w:w="2480" w:type="dxa"/>
            <w:shd w:val="clear" w:color="000000" w:fill="FFFFFF"/>
            <w:tcMar>
              <w:top w:w="113" w:type="dxa"/>
              <w:bottom w:w="113" w:type="dxa"/>
            </w:tcMar>
            <w:hideMark/>
          </w:tcPr>
          <w:p w:rsidR="00A32AF4" w:rsidRPr="00A32AF4" w:rsidRDefault="00A32AF4" w:rsidP="00DC0553">
            <w:pPr>
              <w:rPr>
                <w:sz w:val="16"/>
                <w:szCs w:val="16"/>
              </w:rPr>
            </w:pPr>
            <w:r w:rsidRPr="00A32AF4">
              <w:rPr>
                <w:sz w:val="16"/>
                <w:szCs w:val="16"/>
              </w:rPr>
              <w:t xml:space="preserve">Un (lignes directrices relatives à la propriété intellectuelle et aux sports) </w:t>
            </w:r>
          </w:p>
        </w:tc>
        <w:tc>
          <w:tcPr>
            <w:tcW w:w="1915" w:type="dxa"/>
            <w:shd w:val="clear" w:color="000000" w:fill="FFFFFF"/>
            <w:tcMar>
              <w:top w:w="113" w:type="dxa"/>
              <w:bottom w:w="113" w:type="dxa"/>
            </w:tcMar>
            <w:hideMark/>
          </w:tcPr>
          <w:p w:rsidR="00A32AF4" w:rsidRPr="00A32AF4" w:rsidRDefault="00A32AF4" w:rsidP="00DC0553">
            <w:pPr>
              <w:rPr>
                <w:sz w:val="16"/>
                <w:szCs w:val="16"/>
              </w:rPr>
            </w:pPr>
            <w:r w:rsidRPr="00A32AF4">
              <w:rPr>
                <w:sz w:val="16"/>
                <w:szCs w:val="16"/>
              </w:rPr>
              <w:t>Un</w:t>
            </w:r>
          </w:p>
        </w:tc>
      </w:tr>
    </w:tbl>
    <w:p w:rsidR="00F93B76" w:rsidRPr="00A32AF4" w:rsidRDefault="00F93B76" w:rsidP="00DC0553"/>
    <w:p w:rsidR="00F93B76" w:rsidRPr="00A32AF4" w:rsidRDefault="00F93B76" w:rsidP="00DC0553"/>
    <w:p w:rsidR="00F93B76" w:rsidRPr="00A32AF4" w:rsidRDefault="00DB1CFC" w:rsidP="00DC0553">
      <w:pPr>
        <w:rPr>
          <w:rFonts w:cs="Arial"/>
        </w:rPr>
      </w:pPr>
      <w:r w:rsidRPr="00A32AF4">
        <w:rPr>
          <w:rFonts w:cs="Arial"/>
        </w:rPr>
        <w:t>RESSOURCE POUR LE PROGRAMME 3</w:t>
      </w:r>
    </w:p>
    <w:p w:rsidR="00F93B76" w:rsidRPr="00A32AF4" w:rsidRDefault="00F93B76" w:rsidP="00DC0553">
      <w:pPr>
        <w:rPr>
          <w:rFonts w:cs="Arial"/>
        </w:rPr>
      </w:pPr>
    </w:p>
    <w:p w:rsidR="00E2055A" w:rsidRPr="00A32AF4" w:rsidRDefault="00626DA2" w:rsidP="00DC0553">
      <w:pPr>
        <w:pStyle w:val="ListParagraph"/>
        <w:numPr>
          <w:ilvl w:val="0"/>
          <w:numId w:val="7"/>
        </w:numPr>
        <w:autoSpaceDE w:val="0"/>
        <w:autoSpaceDN w:val="0"/>
        <w:adjustRightInd w:val="0"/>
        <w:spacing w:after="0" w:line="240" w:lineRule="auto"/>
        <w:jc w:val="both"/>
        <w:rPr>
          <w:rFonts w:ascii="Arial" w:hAnsi="Arial" w:cs="Arial"/>
        </w:rPr>
      </w:pPr>
      <w:r w:rsidRPr="00A32AF4">
        <w:rPr>
          <w:rFonts w:ascii="Arial" w:hAnsi="Arial" w:cs="Arial"/>
        </w:rPr>
        <w:t>Les ressources globales allouées au programme </w:t>
      </w:r>
      <w:r w:rsidR="00DB1CFC" w:rsidRPr="00A32AF4">
        <w:rPr>
          <w:rFonts w:ascii="Arial" w:hAnsi="Arial" w:cs="Arial"/>
        </w:rPr>
        <w:t xml:space="preserve">3 </w:t>
      </w:r>
      <w:r w:rsidR="00A32CDD" w:rsidRPr="00A32AF4">
        <w:rPr>
          <w:rFonts w:ascii="Arial" w:hAnsi="Arial" w:cs="Arial"/>
        </w:rPr>
        <w:t>en</w:t>
      </w:r>
      <w:r w:rsidR="00FD43E3" w:rsidRPr="00A32AF4">
        <w:rPr>
          <w:rFonts w:ascii="Arial" w:hAnsi="Arial" w:cs="Arial"/>
        </w:rPr>
        <w:t> </w:t>
      </w:r>
      <w:r w:rsidR="00A32CDD" w:rsidRPr="00A32AF4">
        <w:rPr>
          <w:rFonts w:ascii="Arial" w:hAnsi="Arial" w:cs="Arial"/>
        </w:rPr>
        <w:t>2016</w:t>
      </w:r>
      <w:r w:rsidR="00EB7F54" w:rsidRPr="00A32AF4">
        <w:rPr>
          <w:rFonts w:ascii="Arial" w:hAnsi="Arial" w:cs="Arial"/>
        </w:rPr>
        <w:noBreakHyphen/>
      </w:r>
      <w:r w:rsidRPr="00A32AF4">
        <w:rPr>
          <w:rFonts w:ascii="Arial" w:hAnsi="Arial" w:cs="Arial"/>
        </w:rPr>
        <w:t>20</w:t>
      </w:r>
      <w:r w:rsidR="00DB1CFC" w:rsidRPr="00A32AF4">
        <w:rPr>
          <w:rFonts w:ascii="Arial" w:hAnsi="Arial" w:cs="Arial"/>
        </w:rPr>
        <w:t>17 re</w:t>
      </w:r>
      <w:r w:rsidRPr="00A32AF4">
        <w:rPr>
          <w:rFonts w:ascii="Arial" w:hAnsi="Arial" w:cs="Arial"/>
        </w:rPr>
        <w:t>stent au même niveau qu</w:t>
      </w:r>
      <w:r w:rsidR="00E2055A" w:rsidRPr="00A32AF4">
        <w:rPr>
          <w:rFonts w:ascii="Arial" w:hAnsi="Arial" w:cs="Arial"/>
        </w:rPr>
        <w:t>’</w:t>
      </w:r>
      <w:r w:rsidRPr="00A32AF4">
        <w:rPr>
          <w:rFonts w:ascii="Arial" w:hAnsi="Arial" w:cs="Arial"/>
        </w:rPr>
        <w:t>en</w:t>
      </w:r>
      <w:r w:rsidR="00FD43E3" w:rsidRPr="00A32AF4">
        <w:rPr>
          <w:rFonts w:ascii="Arial" w:hAnsi="Arial" w:cs="Arial"/>
        </w:rPr>
        <w:t> </w:t>
      </w:r>
      <w:r w:rsidR="00DB1CFC" w:rsidRPr="00A32AF4">
        <w:rPr>
          <w:rFonts w:ascii="Arial" w:hAnsi="Arial" w:cs="Arial"/>
        </w:rPr>
        <w:t>2014</w:t>
      </w:r>
      <w:r w:rsidR="00EB7F54" w:rsidRPr="00A32AF4">
        <w:rPr>
          <w:rFonts w:ascii="Arial" w:hAnsi="Arial" w:cs="Arial"/>
        </w:rPr>
        <w:noBreakHyphen/>
      </w:r>
      <w:r w:rsidRPr="00A32AF4">
        <w:rPr>
          <w:rFonts w:ascii="Arial" w:hAnsi="Arial" w:cs="Arial"/>
        </w:rPr>
        <w:t>20</w:t>
      </w:r>
      <w:r w:rsidR="00DB1CFC" w:rsidRPr="00A32AF4">
        <w:rPr>
          <w:rFonts w:ascii="Arial" w:hAnsi="Arial" w:cs="Arial"/>
        </w:rPr>
        <w:t xml:space="preserve">15. </w:t>
      </w:r>
      <w:r w:rsidRPr="00A32AF4">
        <w:rPr>
          <w:rFonts w:ascii="Arial" w:hAnsi="Arial" w:cs="Arial"/>
        </w:rPr>
        <w:t xml:space="preserve"> </w:t>
      </w:r>
      <w:proofErr w:type="gramStart"/>
      <w:r w:rsidRPr="00A32AF4">
        <w:rPr>
          <w:rFonts w:ascii="Arial" w:hAnsi="Arial" w:cs="Arial"/>
        </w:rPr>
        <w:t xml:space="preserve">Une légère diminution peut être observée dans les ressources en </w:t>
      </w:r>
      <w:r w:rsidR="00DB1CFC" w:rsidRPr="00A32AF4">
        <w:rPr>
          <w:rFonts w:ascii="Arial" w:hAnsi="Arial" w:cs="Arial"/>
        </w:rPr>
        <w:t xml:space="preserve">personnel </w:t>
      </w:r>
      <w:r w:rsidRPr="00A32AF4">
        <w:rPr>
          <w:rFonts w:ascii="Arial" w:hAnsi="Arial" w:cs="Arial"/>
        </w:rPr>
        <w:t xml:space="preserve">suite au </w:t>
      </w:r>
      <w:r w:rsidR="00DB1CFC" w:rsidRPr="00A32AF4">
        <w:rPr>
          <w:rFonts w:ascii="Arial" w:hAnsi="Arial" w:cs="Arial"/>
        </w:rPr>
        <w:t>transfer</w:t>
      </w:r>
      <w:r w:rsidRPr="00A32AF4">
        <w:rPr>
          <w:rFonts w:ascii="Arial" w:hAnsi="Arial" w:cs="Arial"/>
        </w:rPr>
        <w:t xml:space="preserve">t des </w:t>
      </w:r>
      <w:r w:rsidR="00DB1CFC" w:rsidRPr="00A32AF4">
        <w:rPr>
          <w:rFonts w:ascii="Arial" w:hAnsi="Arial" w:cs="Arial"/>
        </w:rPr>
        <w:t>res</w:t>
      </w:r>
      <w:r w:rsidRPr="00A32AF4">
        <w:rPr>
          <w:rFonts w:ascii="Arial" w:hAnsi="Arial" w:cs="Arial"/>
        </w:rPr>
        <w:t>ponsabilité</w:t>
      </w:r>
      <w:r w:rsidR="00DB1CFC" w:rsidRPr="00A32AF4">
        <w:rPr>
          <w:rFonts w:ascii="Arial" w:hAnsi="Arial" w:cs="Arial"/>
        </w:rPr>
        <w:t xml:space="preserve">s </w:t>
      </w:r>
      <w:r w:rsidRPr="00A32AF4">
        <w:rPr>
          <w:rFonts w:ascii="Arial" w:hAnsi="Arial" w:cs="Arial"/>
        </w:rPr>
        <w:t>relatives au Réseau du droit d</w:t>
      </w:r>
      <w:r w:rsidR="00E2055A" w:rsidRPr="00A32AF4">
        <w:rPr>
          <w:rFonts w:ascii="Arial" w:hAnsi="Arial" w:cs="Arial"/>
        </w:rPr>
        <w:t>’</w:t>
      </w:r>
      <w:r w:rsidRPr="00A32AF4">
        <w:rPr>
          <w:rFonts w:ascii="Arial" w:hAnsi="Arial" w:cs="Arial"/>
        </w:rPr>
        <w:t>auteur au programme </w:t>
      </w:r>
      <w:r w:rsidR="00DB1CFC" w:rsidRPr="00A32AF4">
        <w:rPr>
          <w:rFonts w:ascii="Arial" w:hAnsi="Arial" w:cs="Arial"/>
        </w:rPr>
        <w:t>15 (</w:t>
      </w:r>
      <w:r w:rsidRPr="00A32AF4">
        <w:rPr>
          <w:rFonts w:ascii="Arial" w:hAnsi="Arial" w:cs="Arial"/>
        </w:rPr>
        <w:t>Solutions opérationnelles pour les offices de propriété intellectuelle</w:t>
      </w:r>
      <w:r w:rsidR="00DB1CFC" w:rsidRPr="00A32AF4">
        <w:rPr>
          <w:rFonts w:ascii="Arial" w:hAnsi="Arial" w:cs="Arial"/>
        </w:rPr>
        <w:t>)</w:t>
      </w:r>
      <w:r w:rsidRPr="00A32AF4">
        <w:rPr>
          <w:rFonts w:ascii="Arial" w:hAnsi="Arial" w:cs="Arial"/>
        </w:rPr>
        <w:t>, compensée par une augmentation nette des autres dépenses découlant, d</w:t>
      </w:r>
      <w:r w:rsidR="00E2055A" w:rsidRPr="00A32AF4">
        <w:rPr>
          <w:rFonts w:ascii="Arial" w:hAnsi="Arial" w:cs="Arial"/>
        </w:rPr>
        <w:t>’</w:t>
      </w:r>
      <w:r w:rsidR="00A32CDD" w:rsidRPr="00A32AF4">
        <w:rPr>
          <w:rFonts w:ascii="Arial" w:hAnsi="Arial" w:cs="Arial"/>
        </w:rPr>
        <w:t>une part,</w:t>
      </w:r>
      <w:r w:rsidR="00DB1CFC" w:rsidRPr="00A32AF4">
        <w:rPr>
          <w:rFonts w:ascii="Arial" w:hAnsi="Arial" w:cs="Arial"/>
        </w:rPr>
        <w:t xml:space="preserve"> a)</w:t>
      </w:r>
      <w:r w:rsidR="00FD43E3" w:rsidRPr="00A32AF4">
        <w:rPr>
          <w:rFonts w:ascii="Arial" w:hAnsi="Arial" w:cs="Arial"/>
        </w:rPr>
        <w:t> </w:t>
      </w:r>
      <w:r w:rsidRPr="00A32AF4">
        <w:rPr>
          <w:rFonts w:ascii="Arial" w:hAnsi="Arial" w:cs="Arial"/>
        </w:rPr>
        <w:t xml:space="preserve">du </w:t>
      </w:r>
      <w:r w:rsidR="00DB1CFC" w:rsidRPr="00A32AF4">
        <w:rPr>
          <w:rFonts w:ascii="Arial" w:hAnsi="Arial" w:cs="Arial"/>
        </w:rPr>
        <w:t>transfer</w:t>
      </w:r>
      <w:r w:rsidRPr="00A32AF4">
        <w:rPr>
          <w:rFonts w:ascii="Arial" w:hAnsi="Arial" w:cs="Arial"/>
        </w:rPr>
        <w:t>t</w:t>
      </w:r>
      <w:r w:rsidR="00DB1CFC" w:rsidRPr="00A32AF4">
        <w:rPr>
          <w:rFonts w:ascii="Arial" w:hAnsi="Arial" w:cs="Arial"/>
        </w:rPr>
        <w:t xml:space="preserve"> </w:t>
      </w:r>
      <w:r w:rsidRPr="00A32AF4">
        <w:rPr>
          <w:rFonts w:ascii="Arial" w:hAnsi="Arial" w:cs="Arial"/>
        </w:rPr>
        <w:t>des responsabilités relatives aux études économiques sur le droit d</w:t>
      </w:r>
      <w:r w:rsidR="00E2055A" w:rsidRPr="00A32AF4">
        <w:rPr>
          <w:rFonts w:ascii="Arial" w:hAnsi="Arial" w:cs="Arial"/>
        </w:rPr>
        <w:t>’</w:t>
      </w:r>
      <w:r w:rsidRPr="00A32AF4">
        <w:rPr>
          <w:rFonts w:ascii="Arial" w:hAnsi="Arial" w:cs="Arial"/>
        </w:rPr>
        <w:t>auteur au programme </w:t>
      </w:r>
      <w:r w:rsidR="00DB1CFC" w:rsidRPr="00A32AF4">
        <w:rPr>
          <w:rFonts w:ascii="Arial" w:hAnsi="Arial" w:cs="Arial"/>
        </w:rPr>
        <w:t>16 (</w:t>
      </w:r>
      <w:r w:rsidRPr="00A32AF4">
        <w:rPr>
          <w:rFonts w:ascii="Arial" w:hAnsi="Arial" w:cs="Arial"/>
        </w:rPr>
        <w:t>Économie</w:t>
      </w:r>
      <w:r w:rsidR="00DB1CFC" w:rsidRPr="00A32AF4">
        <w:rPr>
          <w:rFonts w:ascii="Arial" w:hAnsi="Arial" w:cs="Arial"/>
        </w:rPr>
        <w:t xml:space="preserve"> </w:t>
      </w:r>
      <w:r w:rsidRPr="00A32AF4">
        <w:rPr>
          <w:rFonts w:ascii="Arial" w:hAnsi="Arial" w:cs="Arial"/>
        </w:rPr>
        <w:t>et statistiques</w:t>
      </w:r>
      <w:r w:rsidR="00DB1CFC" w:rsidRPr="00A32AF4">
        <w:rPr>
          <w:rFonts w:ascii="Arial" w:hAnsi="Arial" w:cs="Arial"/>
        </w:rPr>
        <w:t xml:space="preserve">) </w:t>
      </w:r>
      <w:r w:rsidRPr="00A32AF4">
        <w:rPr>
          <w:rFonts w:ascii="Arial" w:hAnsi="Arial" w:cs="Arial"/>
        </w:rPr>
        <w:t>et</w:t>
      </w:r>
      <w:r w:rsidR="00DB1CFC" w:rsidRPr="00A32AF4">
        <w:rPr>
          <w:rFonts w:ascii="Arial" w:hAnsi="Arial" w:cs="Arial"/>
        </w:rPr>
        <w:t xml:space="preserve">, </w:t>
      </w:r>
      <w:r w:rsidRPr="00A32AF4">
        <w:rPr>
          <w:rFonts w:ascii="Arial" w:hAnsi="Arial" w:cs="Arial"/>
        </w:rPr>
        <w:t>d</w:t>
      </w:r>
      <w:r w:rsidR="00E2055A" w:rsidRPr="00A32AF4">
        <w:rPr>
          <w:rFonts w:ascii="Arial" w:hAnsi="Arial" w:cs="Arial"/>
        </w:rPr>
        <w:t>’</w:t>
      </w:r>
      <w:r w:rsidRPr="00A32AF4">
        <w:rPr>
          <w:rFonts w:ascii="Arial" w:hAnsi="Arial" w:cs="Arial"/>
        </w:rPr>
        <w:t>autre part</w:t>
      </w:r>
      <w:r w:rsidR="00DB1CFC" w:rsidRPr="00A32AF4">
        <w:rPr>
          <w:rFonts w:ascii="Arial" w:hAnsi="Arial" w:cs="Arial"/>
        </w:rPr>
        <w:t>, b)</w:t>
      </w:r>
      <w:r w:rsidR="00FD43E3" w:rsidRPr="00A32AF4">
        <w:rPr>
          <w:rFonts w:ascii="Arial" w:hAnsi="Arial" w:cs="Arial"/>
        </w:rPr>
        <w:t> </w:t>
      </w:r>
      <w:r w:rsidRPr="00A32AF4">
        <w:rPr>
          <w:rFonts w:ascii="Arial" w:hAnsi="Arial" w:cs="Arial"/>
        </w:rPr>
        <w:t>de l</w:t>
      </w:r>
      <w:r w:rsidR="00E2055A" w:rsidRPr="00A32AF4">
        <w:rPr>
          <w:rFonts w:ascii="Arial" w:hAnsi="Arial" w:cs="Arial"/>
        </w:rPr>
        <w:t>’</w:t>
      </w:r>
      <w:r w:rsidRPr="00A32AF4">
        <w:rPr>
          <w:rFonts w:ascii="Arial" w:hAnsi="Arial" w:cs="Arial"/>
        </w:rPr>
        <w:t xml:space="preserve">accent mis sur la norme internationale </w:t>
      </w:r>
      <w:r w:rsidR="00DB1CFC" w:rsidRPr="00A32AF4">
        <w:rPr>
          <w:rFonts w:ascii="Arial" w:hAnsi="Arial" w:cs="Arial"/>
          <w:i/>
        </w:rPr>
        <w:t xml:space="preserve">TAG </w:t>
      </w:r>
      <w:r w:rsidRPr="00A32AF4">
        <w:rPr>
          <w:rFonts w:ascii="Arial" w:hAnsi="Arial" w:cs="Arial"/>
        </w:rPr>
        <w:t>d</w:t>
      </w:r>
      <w:r w:rsidR="00E2055A" w:rsidRPr="00A32AF4">
        <w:rPr>
          <w:rFonts w:ascii="Arial" w:hAnsi="Arial" w:cs="Arial"/>
        </w:rPr>
        <w:t>’</w:t>
      </w:r>
      <w:r w:rsidRPr="00A32AF4">
        <w:rPr>
          <w:rFonts w:ascii="Arial" w:hAnsi="Arial" w:cs="Arial"/>
        </w:rPr>
        <w:t>assurance qualité pour les organisations de gestion collective</w:t>
      </w:r>
      <w:r w:rsidR="00DB1CFC" w:rsidRPr="00A32AF4">
        <w:rPr>
          <w:rFonts w:ascii="Arial" w:hAnsi="Arial" w:cs="Arial"/>
        </w:rPr>
        <w:t xml:space="preserve">; </w:t>
      </w:r>
      <w:r w:rsidRPr="00A32AF4">
        <w:rPr>
          <w:rFonts w:ascii="Arial" w:hAnsi="Arial" w:cs="Arial"/>
        </w:rPr>
        <w:t xml:space="preserve"> un nouveau portail sur l</w:t>
      </w:r>
      <w:r w:rsidR="00E2055A" w:rsidRPr="00A32AF4">
        <w:rPr>
          <w:rFonts w:ascii="Arial" w:hAnsi="Arial" w:cs="Arial"/>
        </w:rPr>
        <w:t>’</w:t>
      </w:r>
      <w:r w:rsidRPr="00A32AF4">
        <w:rPr>
          <w:rFonts w:ascii="Arial" w:hAnsi="Arial" w:cs="Arial"/>
        </w:rPr>
        <w:t>infrastructure du droit d</w:t>
      </w:r>
      <w:r w:rsidR="00E2055A" w:rsidRPr="00A32AF4">
        <w:rPr>
          <w:rFonts w:ascii="Arial" w:hAnsi="Arial" w:cs="Arial"/>
        </w:rPr>
        <w:t>’</w:t>
      </w:r>
      <w:r w:rsidRPr="00A32AF4">
        <w:rPr>
          <w:rFonts w:ascii="Arial" w:hAnsi="Arial" w:cs="Arial"/>
        </w:rPr>
        <w:t>auteur</w:t>
      </w:r>
      <w:r w:rsidR="00DB1CFC" w:rsidRPr="00A32AF4">
        <w:rPr>
          <w:rFonts w:ascii="Arial" w:hAnsi="Arial" w:cs="Arial"/>
        </w:rPr>
        <w:t xml:space="preserve">; </w:t>
      </w:r>
      <w:r w:rsidRPr="00A32AF4">
        <w:rPr>
          <w:rFonts w:ascii="Arial" w:hAnsi="Arial" w:cs="Arial"/>
        </w:rPr>
        <w:t xml:space="preserve"> et le </w:t>
      </w:r>
      <w:r w:rsidR="00DB1CFC" w:rsidRPr="00A32AF4">
        <w:rPr>
          <w:rFonts w:ascii="Arial" w:hAnsi="Arial" w:cs="Arial"/>
        </w:rPr>
        <w:t xml:space="preserve">Consortium </w:t>
      </w:r>
      <w:r w:rsidRPr="00A32AF4">
        <w:rPr>
          <w:rFonts w:ascii="Arial" w:hAnsi="Arial" w:cs="Arial"/>
        </w:rPr>
        <w:t xml:space="preserve">pour des livres accessibles </w:t>
      </w:r>
      <w:r w:rsidR="00DB1CFC" w:rsidRPr="00A32AF4">
        <w:rPr>
          <w:rFonts w:ascii="Arial" w:hAnsi="Arial" w:cs="Arial"/>
        </w:rPr>
        <w:t>(ABC).</w:t>
      </w:r>
      <w:proofErr w:type="gramEnd"/>
      <w:r w:rsidR="00DB1CFC" w:rsidRPr="00A32AF4">
        <w:rPr>
          <w:rFonts w:ascii="Arial" w:hAnsi="Arial" w:cs="Arial"/>
        </w:rPr>
        <w:t xml:space="preserve"> </w:t>
      </w:r>
      <w:r w:rsidR="00FD27C8" w:rsidRPr="00A32AF4">
        <w:rPr>
          <w:rFonts w:ascii="Arial" w:hAnsi="Arial" w:cs="Arial"/>
        </w:rPr>
        <w:t xml:space="preserve"> Ces modifications sont répercutées</w:t>
      </w:r>
      <w:r w:rsidR="00DB1CFC" w:rsidRPr="00A32AF4">
        <w:rPr>
          <w:rFonts w:ascii="Arial" w:hAnsi="Arial" w:cs="Arial"/>
        </w:rPr>
        <w:t xml:space="preserve"> </w:t>
      </w:r>
      <w:r w:rsidR="00FD27C8" w:rsidRPr="00A32AF4">
        <w:rPr>
          <w:rFonts w:ascii="Arial" w:hAnsi="Arial" w:cs="Arial"/>
        </w:rPr>
        <w:t xml:space="preserve">dans les </w:t>
      </w:r>
      <w:r w:rsidR="00DB1CFC" w:rsidRPr="00A32AF4">
        <w:rPr>
          <w:rFonts w:ascii="Arial" w:hAnsi="Arial" w:cs="Arial"/>
        </w:rPr>
        <w:t xml:space="preserve">variations </w:t>
      </w:r>
      <w:r w:rsidR="00FD27C8" w:rsidRPr="00A32AF4">
        <w:rPr>
          <w:rFonts w:ascii="Arial" w:hAnsi="Arial" w:cs="Arial"/>
        </w:rPr>
        <w:t>de ressources entre les deux</w:t>
      </w:r>
      <w:r w:rsidR="00FD43E3" w:rsidRPr="00A32AF4">
        <w:rPr>
          <w:rFonts w:ascii="Arial" w:hAnsi="Arial" w:cs="Arial"/>
        </w:rPr>
        <w:t> </w:t>
      </w:r>
      <w:r w:rsidR="00FD27C8" w:rsidRPr="00A32AF4">
        <w:rPr>
          <w:rFonts w:ascii="Arial" w:hAnsi="Arial" w:cs="Arial"/>
        </w:rPr>
        <w:t xml:space="preserve">exercices biennaux pour les résultats escomptés </w:t>
      </w:r>
      <w:r w:rsidR="00DB1CFC" w:rsidRPr="00A32AF4">
        <w:rPr>
          <w:rFonts w:ascii="Arial" w:hAnsi="Arial" w:cs="Arial"/>
        </w:rPr>
        <w:t>IV.</w:t>
      </w:r>
      <w:r w:rsidR="005F1F60" w:rsidRPr="00A32AF4">
        <w:rPr>
          <w:rFonts w:ascii="Arial" w:hAnsi="Arial" w:cs="Arial"/>
        </w:rPr>
        <w:t>4</w:t>
      </w:r>
      <w:r w:rsidR="00DB1CFC" w:rsidRPr="00A32AF4">
        <w:rPr>
          <w:rFonts w:ascii="Arial" w:hAnsi="Arial" w:cs="Arial"/>
        </w:rPr>
        <w:t xml:space="preserve">, V.2 </w:t>
      </w:r>
      <w:r w:rsidR="00FD27C8" w:rsidRPr="00A32AF4">
        <w:rPr>
          <w:rFonts w:ascii="Arial" w:hAnsi="Arial" w:cs="Arial"/>
        </w:rPr>
        <w:t xml:space="preserve">et </w:t>
      </w:r>
      <w:r w:rsidR="00DB1CFC" w:rsidRPr="00A32AF4">
        <w:rPr>
          <w:rFonts w:ascii="Arial" w:hAnsi="Arial" w:cs="Arial"/>
        </w:rPr>
        <w:t>III.2.</w:t>
      </w:r>
    </w:p>
    <w:p w:rsidR="00F93B76" w:rsidRPr="00A32AF4" w:rsidRDefault="00F93B76" w:rsidP="00DC0553"/>
    <w:p w:rsidR="00F93B76" w:rsidRPr="00A32AF4" w:rsidRDefault="00F93B76" w:rsidP="00DC0553"/>
    <w:p w:rsidR="00F93B76" w:rsidRPr="00A32AF4" w:rsidRDefault="00DB1CFC" w:rsidP="00DC0553">
      <w:pPr>
        <w:rPr>
          <w:rFonts w:cs="Arial"/>
          <w:b/>
        </w:rPr>
      </w:pPr>
      <w:r w:rsidRPr="00A32AF4">
        <w:rPr>
          <w:rFonts w:cs="Arial"/>
          <w:b/>
        </w:rPr>
        <w:br w:type="page"/>
      </w:r>
    </w:p>
    <w:p w:rsidR="00F93B76" w:rsidRPr="00A32AF4" w:rsidRDefault="00DB1CFC" w:rsidP="00DC0553">
      <w:pPr>
        <w:keepNext/>
        <w:keepLines/>
        <w:autoSpaceDE w:val="0"/>
        <w:autoSpaceDN w:val="0"/>
        <w:jc w:val="center"/>
        <w:rPr>
          <w:rFonts w:cs="Arial"/>
          <w:b/>
        </w:rPr>
      </w:pPr>
      <w:r w:rsidRPr="00A32AF4">
        <w:rPr>
          <w:rFonts w:cs="Arial"/>
          <w:b/>
        </w:rPr>
        <w:t>Programme 3 : ressources par résultat</w:t>
      </w:r>
    </w:p>
    <w:p w:rsidR="00F93B76" w:rsidRPr="00A32AF4" w:rsidRDefault="00DB1CFC" w:rsidP="00DC0553">
      <w:pPr>
        <w:keepNext/>
        <w:keepLines/>
        <w:autoSpaceDE w:val="0"/>
        <w:autoSpaceDN w:val="0"/>
        <w:jc w:val="center"/>
        <w:rPr>
          <w:rFonts w:cs="Arial"/>
          <w:i/>
        </w:rPr>
      </w:pPr>
      <w:r w:rsidRPr="00A32AF4">
        <w:rPr>
          <w:rFonts w:cs="Arial"/>
          <w:i/>
        </w:rPr>
        <w:t>(</w:t>
      </w:r>
      <w:proofErr w:type="gramStart"/>
      <w:r w:rsidRPr="00A32AF4">
        <w:rPr>
          <w:rFonts w:cs="Arial"/>
          <w:i/>
        </w:rPr>
        <w:t>en</w:t>
      </w:r>
      <w:proofErr w:type="gramEnd"/>
      <w:r w:rsidRPr="00A32AF4">
        <w:rPr>
          <w:rFonts w:cs="Arial"/>
          <w:i/>
        </w:rPr>
        <w:t xml:space="preserve"> milliers de francs suisses)</w:t>
      </w:r>
    </w:p>
    <w:p w:rsidR="00DB1CFC" w:rsidRPr="00A32AF4" w:rsidRDefault="00DB1CFC" w:rsidP="00DC0553"/>
    <w:tbl>
      <w:tblPr>
        <w:tblW w:w="8980" w:type="dxa"/>
        <w:tblInd w:w="55" w:type="dxa"/>
        <w:tblCellMar>
          <w:left w:w="70" w:type="dxa"/>
          <w:right w:w="70" w:type="dxa"/>
        </w:tblCellMar>
        <w:tblLook w:val="04A0" w:firstRow="1" w:lastRow="0" w:firstColumn="1" w:lastColumn="0" w:noHBand="0" w:noVBand="1"/>
      </w:tblPr>
      <w:tblGrid>
        <w:gridCol w:w="638"/>
        <w:gridCol w:w="4382"/>
        <w:gridCol w:w="1260"/>
        <w:gridCol w:w="1440"/>
        <w:gridCol w:w="1260"/>
      </w:tblGrid>
      <w:tr w:rsidR="00DB1CFC" w:rsidRPr="00A32AF4" w:rsidTr="00DB1CFC">
        <w:trPr>
          <w:cantSplit/>
        </w:trPr>
        <w:tc>
          <w:tcPr>
            <w:tcW w:w="5020" w:type="dxa"/>
            <w:gridSpan w:val="2"/>
            <w:tcBorders>
              <w:top w:val="single" w:sz="4" w:space="0" w:color="auto"/>
              <w:left w:val="single" w:sz="4" w:space="0" w:color="auto"/>
              <w:bottom w:val="single" w:sz="4" w:space="0" w:color="auto"/>
              <w:right w:val="single" w:sz="4" w:space="0" w:color="000000"/>
            </w:tcBorders>
            <w:shd w:val="clear" w:color="000000" w:fill="C5D9F1"/>
            <w:noWrap/>
            <w:tcMar>
              <w:top w:w="113" w:type="dxa"/>
              <w:bottom w:w="113" w:type="dxa"/>
            </w:tcMar>
            <w:vAlign w:val="center"/>
            <w:hideMark/>
          </w:tcPr>
          <w:p w:rsidR="00DB1CFC" w:rsidRPr="00A32AF4" w:rsidRDefault="00DB1CFC" w:rsidP="00DC0553">
            <w:pPr>
              <w:jc w:val="center"/>
              <w:rPr>
                <w:rFonts w:cs="Arial"/>
                <w:i/>
                <w:iCs/>
                <w:sz w:val="16"/>
                <w:szCs w:val="16"/>
                <w:lang w:eastAsia="fr-FR"/>
              </w:rPr>
            </w:pPr>
            <w:r w:rsidRPr="00A32AF4">
              <w:rPr>
                <w:rFonts w:cs="Arial"/>
                <w:i/>
                <w:iCs/>
                <w:sz w:val="16"/>
                <w:szCs w:val="16"/>
                <w:lang w:eastAsia="fr-FR"/>
              </w:rPr>
              <w:t xml:space="preserve">Numéro et description du résultat escompté </w:t>
            </w:r>
          </w:p>
        </w:tc>
        <w:tc>
          <w:tcPr>
            <w:tcW w:w="126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DB1CFC" w:rsidRPr="00A32AF4" w:rsidRDefault="00DB1CFC" w:rsidP="00DC0553">
            <w:pPr>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2014</w:t>
            </w:r>
            <w:r w:rsidR="00EB7F54" w:rsidRPr="00A32AF4">
              <w:rPr>
                <w:rFonts w:cs="Arial"/>
                <w:i/>
                <w:iCs/>
                <w:sz w:val="16"/>
                <w:szCs w:val="16"/>
                <w:lang w:eastAsia="fr-FR"/>
              </w:rPr>
              <w:noBreakHyphen/>
            </w:r>
            <w:r w:rsidRPr="00A32AF4">
              <w:rPr>
                <w:rFonts w:cs="Arial"/>
                <w:i/>
                <w:iCs/>
                <w:sz w:val="16"/>
                <w:szCs w:val="16"/>
                <w:lang w:eastAsia="fr-FR"/>
              </w:rPr>
              <w:t>2015 approuvé</w:t>
            </w:r>
          </w:p>
        </w:tc>
        <w:tc>
          <w:tcPr>
            <w:tcW w:w="144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DB1CFC" w:rsidRPr="00A32AF4" w:rsidRDefault="00DB1CFC" w:rsidP="00DC0553">
            <w:pPr>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2014</w:t>
            </w:r>
            <w:r w:rsidR="00EB7F54" w:rsidRPr="00A32AF4">
              <w:rPr>
                <w:rFonts w:cs="Arial"/>
                <w:i/>
                <w:iCs/>
                <w:sz w:val="16"/>
                <w:szCs w:val="16"/>
                <w:lang w:eastAsia="fr-FR"/>
              </w:rPr>
              <w:noBreakHyphen/>
            </w:r>
            <w:r w:rsidRPr="00A32AF4">
              <w:rPr>
                <w:rFonts w:cs="Arial"/>
                <w:i/>
                <w:iCs/>
                <w:sz w:val="16"/>
                <w:szCs w:val="16"/>
                <w:lang w:eastAsia="fr-FR"/>
              </w:rPr>
              <w:t>2015 après virements</w:t>
            </w:r>
          </w:p>
        </w:tc>
        <w:tc>
          <w:tcPr>
            <w:tcW w:w="126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DB1CFC" w:rsidRPr="00A32AF4" w:rsidRDefault="00DB1CFC" w:rsidP="00DC0553">
            <w:pPr>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2016</w:t>
            </w:r>
            <w:r w:rsidR="00EB7F54" w:rsidRPr="00A32AF4">
              <w:rPr>
                <w:rFonts w:cs="Arial"/>
                <w:i/>
                <w:iCs/>
                <w:sz w:val="16"/>
                <w:szCs w:val="16"/>
                <w:lang w:eastAsia="fr-FR"/>
              </w:rPr>
              <w:noBreakHyphen/>
            </w:r>
            <w:r w:rsidRPr="00A32AF4">
              <w:rPr>
                <w:rFonts w:cs="Arial"/>
                <w:i/>
                <w:iCs/>
                <w:sz w:val="16"/>
                <w:szCs w:val="16"/>
                <w:lang w:eastAsia="fr-FR"/>
              </w:rPr>
              <w:t>2017 proposé</w:t>
            </w:r>
          </w:p>
        </w:tc>
      </w:tr>
      <w:tr w:rsidR="00DB1CFC" w:rsidRPr="00A32AF4" w:rsidTr="00DB1CFC">
        <w:trPr>
          <w:cantSplit/>
        </w:trPr>
        <w:tc>
          <w:tcPr>
            <w:tcW w:w="638" w:type="dxa"/>
            <w:tcBorders>
              <w:top w:val="nil"/>
              <w:left w:val="single" w:sz="4" w:space="0" w:color="auto"/>
              <w:bottom w:val="nil"/>
              <w:right w:val="nil"/>
            </w:tcBorders>
            <w:shd w:val="clear" w:color="auto" w:fill="auto"/>
            <w:noWrap/>
            <w:tcMar>
              <w:top w:w="113" w:type="dxa"/>
              <w:bottom w:w="113" w:type="dxa"/>
            </w:tcMar>
            <w:vAlign w:val="center"/>
            <w:hideMark/>
          </w:tcPr>
          <w:p w:rsidR="00DB1CFC" w:rsidRPr="00A32AF4" w:rsidRDefault="00DB1CFC" w:rsidP="00DC0553">
            <w:pPr>
              <w:rPr>
                <w:rFonts w:cs="Arial"/>
                <w:sz w:val="16"/>
                <w:szCs w:val="16"/>
                <w:lang w:eastAsia="fr-FR"/>
              </w:rPr>
            </w:pPr>
            <w:r w:rsidRPr="00A32AF4">
              <w:rPr>
                <w:rFonts w:cs="Arial"/>
                <w:sz w:val="16"/>
                <w:szCs w:val="16"/>
                <w:lang w:eastAsia="fr-FR"/>
              </w:rPr>
              <w:t>I.1</w:t>
            </w:r>
          </w:p>
        </w:tc>
        <w:tc>
          <w:tcPr>
            <w:tcW w:w="4382" w:type="dxa"/>
            <w:tcBorders>
              <w:top w:val="nil"/>
              <w:left w:val="nil"/>
              <w:bottom w:val="nil"/>
              <w:right w:val="nil"/>
            </w:tcBorders>
            <w:shd w:val="clear" w:color="auto" w:fill="auto"/>
            <w:tcMar>
              <w:top w:w="113" w:type="dxa"/>
              <w:bottom w:w="113" w:type="dxa"/>
            </w:tcMar>
            <w:vAlign w:val="center"/>
            <w:hideMark/>
          </w:tcPr>
          <w:p w:rsidR="00DB1CFC" w:rsidRPr="00A32AF4" w:rsidRDefault="00DB1CFC" w:rsidP="00DC0553">
            <w:pPr>
              <w:rPr>
                <w:rFonts w:cs="Arial"/>
                <w:sz w:val="16"/>
                <w:szCs w:val="16"/>
                <w:lang w:eastAsia="fr-FR"/>
              </w:rPr>
            </w:pPr>
            <w:r w:rsidRPr="00A32AF4">
              <w:rPr>
                <w:rFonts w:cs="Arial"/>
                <w:sz w:val="16"/>
                <w:szCs w:val="16"/>
                <w:lang w:eastAsia="fr-FR"/>
              </w:rPr>
              <w:t>Renforcement de la coopération entre les États membres en ce qui concerne l</w:t>
            </w:r>
            <w:r w:rsidR="00E2055A" w:rsidRPr="00A32AF4">
              <w:rPr>
                <w:rFonts w:cs="Arial"/>
                <w:sz w:val="16"/>
                <w:szCs w:val="16"/>
                <w:lang w:eastAsia="fr-FR"/>
              </w:rPr>
              <w:t>’</w:t>
            </w:r>
            <w:r w:rsidRPr="00A32AF4">
              <w:rPr>
                <w:rFonts w:cs="Arial"/>
                <w:sz w:val="16"/>
                <w:szCs w:val="16"/>
                <w:lang w:eastAsia="fr-FR"/>
              </w:rPr>
              <w:t xml:space="preserve">élaboration de cadres normatifs internationaux équilibrés dans le domaine de la propriété intellectuelle </w:t>
            </w:r>
          </w:p>
        </w:tc>
        <w:tc>
          <w:tcPr>
            <w:tcW w:w="1260" w:type="dxa"/>
            <w:tcBorders>
              <w:top w:val="nil"/>
              <w:left w:val="nil"/>
              <w:bottom w:val="nil"/>
              <w:right w:val="nil"/>
            </w:tcBorders>
            <w:shd w:val="clear" w:color="auto" w:fill="auto"/>
            <w:tcMar>
              <w:top w:w="113" w:type="dxa"/>
              <w:bottom w:w="113" w:type="dxa"/>
            </w:tcMar>
            <w:vAlign w:val="center"/>
            <w:hideMark/>
          </w:tcPr>
          <w:p w:rsidR="00DB1CFC" w:rsidRPr="00A32AF4" w:rsidRDefault="00DB1CFC" w:rsidP="00DC0553">
            <w:pPr>
              <w:jc w:val="right"/>
              <w:rPr>
                <w:rFonts w:cs="Arial"/>
                <w:sz w:val="16"/>
                <w:szCs w:val="16"/>
                <w:lang w:eastAsia="fr-FR"/>
              </w:rPr>
            </w:pPr>
            <w:r w:rsidRPr="00A32AF4">
              <w:rPr>
                <w:rFonts w:cs="Arial"/>
                <w:sz w:val="16"/>
                <w:szCs w:val="16"/>
                <w:lang w:eastAsia="fr-FR"/>
              </w:rPr>
              <w:t>3 916</w:t>
            </w:r>
          </w:p>
        </w:tc>
        <w:tc>
          <w:tcPr>
            <w:tcW w:w="1440" w:type="dxa"/>
            <w:tcBorders>
              <w:top w:val="nil"/>
              <w:left w:val="nil"/>
              <w:bottom w:val="nil"/>
              <w:right w:val="nil"/>
            </w:tcBorders>
            <w:shd w:val="clear" w:color="auto" w:fill="auto"/>
            <w:tcMar>
              <w:top w:w="113" w:type="dxa"/>
              <w:bottom w:w="113" w:type="dxa"/>
            </w:tcMar>
            <w:vAlign w:val="center"/>
            <w:hideMark/>
          </w:tcPr>
          <w:p w:rsidR="00DB1CFC" w:rsidRPr="00A32AF4" w:rsidRDefault="00DB1CFC" w:rsidP="00DC0553">
            <w:pPr>
              <w:jc w:val="right"/>
              <w:rPr>
                <w:rFonts w:cs="Arial"/>
                <w:sz w:val="16"/>
                <w:szCs w:val="16"/>
                <w:lang w:eastAsia="fr-FR"/>
              </w:rPr>
            </w:pPr>
            <w:r w:rsidRPr="00A32AF4">
              <w:rPr>
                <w:rFonts w:cs="Arial"/>
                <w:sz w:val="16"/>
                <w:szCs w:val="16"/>
                <w:lang w:eastAsia="fr-FR"/>
              </w:rPr>
              <w:t>2 699</w:t>
            </w:r>
          </w:p>
        </w:tc>
        <w:tc>
          <w:tcPr>
            <w:tcW w:w="1260" w:type="dxa"/>
            <w:tcBorders>
              <w:top w:val="nil"/>
              <w:left w:val="nil"/>
              <w:bottom w:val="nil"/>
              <w:right w:val="single" w:sz="4" w:space="0" w:color="auto"/>
            </w:tcBorders>
            <w:shd w:val="clear" w:color="auto" w:fill="auto"/>
            <w:noWrap/>
            <w:tcMar>
              <w:top w:w="113" w:type="dxa"/>
              <w:bottom w:w="113" w:type="dxa"/>
            </w:tcMar>
            <w:vAlign w:val="center"/>
            <w:hideMark/>
          </w:tcPr>
          <w:p w:rsidR="00DB1CFC" w:rsidRPr="00A32AF4" w:rsidRDefault="00DB1CFC" w:rsidP="00DC0553">
            <w:pPr>
              <w:jc w:val="right"/>
              <w:rPr>
                <w:rFonts w:cs="Arial"/>
                <w:color w:val="000000"/>
                <w:sz w:val="16"/>
                <w:szCs w:val="16"/>
                <w:lang w:eastAsia="fr-FR"/>
              </w:rPr>
            </w:pPr>
            <w:r w:rsidRPr="00A32AF4">
              <w:rPr>
                <w:rFonts w:cs="Arial"/>
                <w:color w:val="000000"/>
                <w:sz w:val="16"/>
                <w:szCs w:val="16"/>
                <w:lang w:eastAsia="fr-FR"/>
              </w:rPr>
              <w:t>3 339</w:t>
            </w:r>
          </w:p>
        </w:tc>
      </w:tr>
      <w:tr w:rsidR="00DB1CFC" w:rsidRPr="00A32AF4" w:rsidTr="00DB1CFC">
        <w:trPr>
          <w:cantSplit/>
        </w:trPr>
        <w:tc>
          <w:tcPr>
            <w:tcW w:w="638" w:type="dxa"/>
            <w:tcBorders>
              <w:top w:val="nil"/>
              <w:left w:val="single" w:sz="4" w:space="0" w:color="auto"/>
              <w:bottom w:val="nil"/>
              <w:right w:val="nil"/>
            </w:tcBorders>
            <w:shd w:val="clear" w:color="auto" w:fill="auto"/>
            <w:noWrap/>
            <w:tcMar>
              <w:top w:w="113" w:type="dxa"/>
              <w:bottom w:w="113" w:type="dxa"/>
            </w:tcMar>
            <w:vAlign w:val="center"/>
            <w:hideMark/>
          </w:tcPr>
          <w:p w:rsidR="00DB1CFC" w:rsidRPr="00A32AF4" w:rsidRDefault="00DB1CFC" w:rsidP="00DC0553">
            <w:pPr>
              <w:rPr>
                <w:rFonts w:cs="Arial"/>
                <w:sz w:val="16"/>
                <w:szCs w:val="16"/>
                <w:lang w:eastAsia="fr-FR"/>
              </w:rPr>
            </w:pPr>
            <w:r w:rsidRPr="00A32AF4">
              <w:rPr>
                <w:rFonts w:cs="Arial"/>
                <w:sz w:val="16"/>
                <w:szCs w:val="16"/>
                <w:lang w:eastAsia="fr-FR"/>
              </w:rPr>
              <w:t>I.2</w:t>
            </w:r>
          </w:p>
        </w:tc>
        <w:tc>
          <w:tcPr>
            <w:tcW w:w="4382" w:type="dxa"/>
            <w:tcBorders>
              <w:top w:val="nil"/>
              <w:left w:val="nil"/>
              <w:bottom w:val="nil"/>
              <w:right w:val="nil"/>
            </w:tcBorders>
            <w:shd w:val="clear" w:color="auto" w:fill="auto"/>
            <w:tcMar>
              <w:top w:w="113" w:type="dxa"/>
              <w:bottom w:w="113" w:type="dxa"/>
            </w:tcMar>
            <w:vAlign w:val="center"/>
            <w:hideMark/>
          </w:tcPr>
          <w:p w:rsidR="00DB1CFC" w:rsidRPr="00A32AF4" w:rsidRDefault="00DB1CFC" w:rsidP="00DC0553">
            <w:pPr>
              <w:rPr>
                <w:rFonts w:cs="Arial"/>
                <w:sz w:val="16"/>
                <w:szCs w:val="16"/>
                <w:lang w:eastAsia="fr-FR"/>
              </w:rPr>
            </w:pPr>
            <w:r w:rsidRPr="00A32AF4">
              <w:rPr>
                <w:rFonts w:cs="Arial"/>
                <w:sz w:val="16"/>
                <w:szCs w:val="16"/>
                <w:lang w:eastAsia="fr-FR"/>
              </w:rPr>
              <w:t>Cadres législatifs, réglementaires et politiques de propriété intellectuelle adaptés et équilibrés</w:t>
            </w:r>
          </w:p>
        </w:tc>
        <w:tc>
          <w:tcPr>
            <w:tcW w:w="1260" w:type="dxa"/>
            <w:tcBorders>
              <w:top w:val="nil"/>
              <w:left w:val="nil"/>
              <w:bottom w:val="nil"/>
              <w:right w:val="nil"/>
            </w:tcBorders>
            <w:shd w:val="clear" w:color="auto" w:fill="auto"/>
            <w:tcMar>
              <w:top w:w="113" w:type="dxa"/>
              <w:bottom w:w="113" w:type="dxa"/>
            </w:tcMar>
            <w:vAlign w:val="center"/>
            <w:hideMark/>
          </w:tcPr>
          <w:p w:rsidR="00DB1CFC" w:rsidRPr="00A32AF4" w:rsidRDefault="00DB1CFC" w:rsidP="00DC0553">
            <w:pPr>
              <w:jc w:val="right"/>
              <w:rPr>
                <w:rFonts w:cs="Arial"/>
                <w:sz w:val="16"/>
                <w:szCs w:val="16"/>
                <w:lang w:eastAsia="fr-FR"/>
              </w:rPr>
            </w:pPr>
            <w:r w:rsidRPr="00A32AF4">
              <w:rPr>
                <w:rFonts w:cs="Arial"/>
                <w:sz w:val="16"/>
                <w:szCs w:val="16"/>
                <w:lang w:eastAsia="fr-FR"/>
              </w:rPr>
              <w:t>1 841</w:t>
            </w:r>
          </w:p>
        </w:tc>
        <w:tc>
          <w:tcPr>
            <w:tcW w:w="1440" w:type="dxa"/>
            <w:tcBorders>
              <w:top w:val="nil"/>
              <w:left w:val="nil"/>
              <w:bottom w:val="nil"/>
              <w:right w:val="nil"/>
            </w:tcBorders>
            <w:shd w:val="clear" w:color="auto" w:fill="auto"/>
            <w:tcMar>
              <w:top w:w="113" w:type="dxa"/>
              <w:bottom w:w="113" w:type="dxa"/>
            </w:tcMar>
            <w:vAlign w:val="center"/>
            <w:hideMark/>
          </w:tcPr>
          <w:p w:rsidR="00DB1CFC" w:rsidRPr="00A32AF4" w:rsidRDefault="00DB1CFC" w:rsidP="00DC0553">
            <w:pPr>
              <w:jc w:val="right"/>
              <w:rPr>
                <w:rFonts w:cs="Arial"/>
                <w:sz w:val="16"/>
                <w:szCs w:val="16"/>
                <w:lang w:eastAsia="fr-FR"/>
              </w:rPr>
            </w:pPr>
            <w:r w:rsidRPr="00A32AF4">
              <w:rPr>
                <w:rFonts w:cs="Arial"/>
                <w:sz w:val="16"/>
                <w:szCs w:val="16"/>
                <w:lang w:eastAsia="fr-FR"/>
              </w:rPr>
              <w:t>3 273</w:t>
            </w:r>
          </w:p>
        </w:tc>
        <w:tc>
          <w:tcPr>
            <w:tcW w:w="1260" w:type="dxa"/>
            <w:tcBorders>
              <w:top w:val="nil"/>
              <w:left w:val="nil"/>
              <w:bottom w:val="nil"/>
              <w:right w:val="single" w:sz="4" w:space="0" w:color="auto"/>
            </w:tcBorders>
            <w:shd w:val="clear" w:color="auto" w:fill="auto"/>
            <w:noWrap/>
            <w:tcMar>
              <w:top w:w="113" w:type="dxa"/>
              <w:bottom w:w="113" w:type="dxa"/>
            </w:tcMar>
            <w:vAlign w:val="center"/>
            <w:hideMark/>
          </w:tcPr>
          <w:p w:rsidR="00DB1CFC" w:rsidRPr="00A32AF4" w:rsidRDefault="00DB1CFC" w:rsidP="00DC0553">
            <w:pPr>
              <w:jc w:val="right"/>
              <w:rPr>
                <w:rFonts w:cs="Arial"/>
                <w:color w:val="000000"/>
                <w:sz w:val="16"/>
                <w:szCs w:val="16"/>
                <w:lang w:eastAsia="fr-FR"/>
              </w:rPr>
            </w:pPr>
            <w:r w:rsidRPr="00A32AF4">
              <w:rPr>
                <w:rFonts w:cs="Arial"/>
                <w:color w:val="000000"/>
                <w:sz w:val="16"/>
                <w:szCs w:val="16"/>
                <w:lang w:eastAsia="fr-FR"/>
              </w:rPr>
              <w:t>2 325</w:t>
            </w:r>
          </w:p>
        </w:tc>
      </w:tr>
      <w:tr w:rsidR="00DB1CFC" w:rsidRPr="00A32AF4" w:rsidTr="00DB1CFC">
        <w:trPr>
          <w:cantSplit/>
        </w:trPr>
        <w:tc>
          <w:tcPr>
            <w:tcW w:w="638" w:type="dxa"/>
            <w:tcBorders>
              <w:top w:val="nil"/>
              <w:left w:val="single" w:sz="4" w:space="0" w:color="auto"/>
              <w:bottom w:val="nil"/>
              <w:right w:val="nil"/>
            </w:tcBorders>
            <w:shd w:val="clear" w:color="auto" w:fill="auto"/>
            <w:noWrap/>
            <w:tcMar>
              <w:top w:w="113" w:type="dxa"/>
              <w:bottom w:w="113" w:type="dxa"/>
            </w:tcMar>
            <w:vAlign w:val="center"/>
            <w:hideMark/>
          </w:tcPr>
          <w:p w:rsidR="00DB1CFC" w:rsidRPr="00A32AF4" w:rsidRDefault="00DB1CFC" w:rsidP="00DC0553">
            <w:pPr>
              <w:rPr>
                <w:rFonts w:cs="Arial"/>
                <w:sz w:val="16"/>
                <w:szCs w:val="16"/>
                <w:lang w:eastAsia="fr-FR"/>
              </w:rPr>
            </w:pPr>
            <w:r w:rsidRPr="00A32AF4">
              <w:rPr>
                <w:rFonts w:cs="Arial"/>
                <w:sz w:val="16"/>
                <w:szCs w:val="16"/>
                <w:lang w:eastAsia="fr-FR"/>
              </w:rPr>
              <w:t>III.2</w:t>
            </w:r>
          </w:p>
        </w:tc>
        <w:tc>
          <w:tcPr>
            <w:tcW w:w="4382" w:type="dxa"/>
            <w:tcBorders>
              <w:top w:val="nil"/>
              <w:left w:val="nil"/>
              <w:bottom w:val="nil"/>
              <w:right w:val="nil"/>
            </w:tcBorders>
            <w:shd w:val="clear" w:color="auto" w:fill="auto"/>
            <w:tcMar>
              <w:top w:w="113" w:type="dxa"/>
              <w:bottom w:w="113" w:type="dxa"/>
            </w:tcMar>
            <w:vAlign w:val="center"/>
            <w:hideMark/>
          </w:tcPr>
          <w:p w:rsidR="00DB1CFC" w:rsidRPr="00A32AF4" w:rsidRDefault="00DB1CFC" w:rsidP="00DC0553">
            <w:pPr>
              <w:rPr>
                <w:rFonts w:cs="Arial"/>
                <w:sz w:val="16"/>
                <w:szCs w:val="16"/>
                <w:lang w:eastAsia="fr-FR"/>
              </w:rPr>
            </w:pPr>
            <w:r w:rsidRPr="00A32AF4">
              <w:rPr>
                <w:rFonts w:cs="Arial"/>
                <w:sz w:val="16"/>
                <w:szCs w:val="16"/>
                <w:lang w:eastAsia="fr-FR"/>
              </w:rPr>
              <w:t>Mise en valeur des ressources humaines pour répondre aux diverses exigences en matière d</w:t>
            </w:r>
            <w:r w:rsidR="00E2055A" w:rsidRPr="00A32AF4">
              <w:rPr>
                <w:rFonts w:cs="Arial"/>
                <w:sz w:val="16"/>
                <w:szCs w:val="16"/>
                <w:lang w:eastAsia="fr-FR"/>
              </w:rPr>
              <w:t>’</w:t>
            </w:r>
            <w:r w:rsidRPr="00A32AF4">
              <w:rPr>
                <w:rFonts w:cs="Arial"/>
                <w:sz w:val="16"/>
                <w:szCs w:val="16"/>
                <w:lang w:eastAsia="fr-FR"/>
              </w:rPr>
              <w:t>utilisation efficace de la propriété intellectuelle au service du développement dans les pays en développement,</w:t>
            </w:r>
            <w:r w:rsidR="00E2055A" w:rsidRPr="00A32AF4">
              <w:rPr>
                <w:rFonts w:cs="Arial"/>
                <w:sz w:val="16"/>
                <w:szCs w:val="16"/>
                <w:lang w:eastAsia="fr-FR"/>
              </w:rPr>
              <w:t xml:space="preserve"> les PMA</w:t>
            </w:r>
            <w:r w:rsidRPr="00A32AF4">
              <w:rPr>
                <w:rFonts w:cs="Arial"/>
                <w:sz w:val="16"/>
                <w:szCs w:val="16"/>
                <w:lang w:eastAsia="fr-FR"/>
              </w:rPr>
              <w:t xml:space="preserve"> et les pays en transition</w:t>
            </w:r>
          </w:p>
        </w:tc>
        <w:tc>
          <w:tcPr>
            <w:tcW w:w="1260" w:type="dxa"/>
            <w:tcBorders>
              <w:top w:val="nil"/>
              <w:left w:val="nil"/>
              <w:bottom w:val="nil"/>
              <w:right w:val="nil"/>
            </w:tcBorders>
            <w:shd w:val="clear" w:color="auto" w:fill="auto"/>
            <w:tcMar>
              <w:top w:w="113" w:type="dxa"/>
              <w:bottom w:w="113" w:type="dxa"/>
            </w:tcMar>
            <w:vAlign w:val="center"/>
            <w:hideMark/>
          </w:tcPr>
          <w:p w:rsidR="00DB1CFC" w:rsidRPr="00A32AF4" w:rsidRDefault="00DB1CFC" w:rsidP="00DC0553">
            <w:pPr>
              <w:jc w:val="right"/>
              <w:rPr>
                <w:rFonts w:cs="Arial"/>
                <w:sz w:val="16"/>
                <w:szCs w:val="16"/>
                <w:lang w:eastAsia="fr-FR"/>
              </w:rPr>
            </w:pPr>
            <w:r w:rsidRPr="00A32AF4">
              <w:rPr>
                <w:rFonts w:cs="Arial"/>
                <w:sz w:val="16"/>
                <w:szCs w:val="16"/>
                <w:lang w:eastAsia="fr-FR"/>
              </w:rPr>
              <w:t>4 188</w:t>
            </w:r>
          </w:p>
        </w:tc>
        <w:tc>
          <w:tcPr>
            <w:tcW w:w="1440" w:type="dxa"/>
            <w:tcBorders>
              <w:top w:val="nil"/>
              <w:left w:val="nil"/>
              <w:bottom w:val="nil"/>
              <w:right w:val="nil"/>
            </w:tcBorders>
            <w:shd w:val="clear" w:color="auto" w:fill="auto"/>
            <w:tcMar>
              <w:top w:w="113" w:type="dxa"/>
              <w:bottom w:w="113" w:type="dxa"/>
            </w:tcMar>
            <w:vAlign w:val="center"/>
            <w:hideMark/>
          </w:tcPr>
          <w:p w:rsidR="00DB1CFC" w:rsidRPr="00A32AF4" w:rsidRDefault="00DB1CFC" w:rsidP="00DC0553">
            <w:pPr>
              <w:jc w:val="right"/>
              <w:rPr>
                <w:rFonts w:cs="Arial"/>
                <w:sz w:val="16"/>
                <w:szCs w:val="16"/>
                <w:lang w:eastAsia="fr-FR"/>
              </w:rPr>
            </w:pPr>
            <w:r w:rsidRPr="00A32AF4">
              <w:rPr>
                <w:rFonts w:cs="Arial"/>
                <w:sz w:val="16"/>
                <w:szCs w:val="16"/>
                <w:lang w:eastAsia="fr-FR"/>
              </w:rPr>
              <w:t>3 936</w:t>
            </w:r>
          </w:p>
        </w:tc>
        <w:tc>
          <w:tcPr>
            <w:tcW w:w="1260" w:type="dxa"/>
            <w:tcBorders>
              <w:top w:val="nil"/>
              <w:left w:val="nil"/>
              <w:bottom w:val="nil"/>
              <w:right w:val="single" w:sz="4" w:space="0" w:color="auto"/>
            </w:tcBorders>
            <w:shd w:val="clear" w:color="auto" w:fill="auto"/>
            <w:noWrap/>
            <w:tcMar>
              <w:top w:w="113" w:type="dxa"/>
              <w:bottom w:w="113" w:type="dxa"/>
            </w:tcMar>
            <w:vAlign w:val="center"/>
            <w:hideMark/>
          </w:tcPr>
          <w:p w:rsidR="00DB1CFC" w:rsidRPr="00A32AF4" w:rsidRDefault="00DB1CFC" w:rsidP="00DC0553">
            <w:pPr>
              <w:jc w:val="right"/>
              <w:rPr>
                <w:rFonts w:cs="Arial"/>
                <w:color w:val="000000"/>
                <w:sz w:val="16"/>
                <w:szCs w:val="16"/>
                <w:lang w:eastAsia="fr-FR"/>
              </w:rPr>
            </w:pPr>
            <w:r w:rsidRPr="00A32AF4">
              <w:rPr>
                <w:rFonts w:cs="Arial"/>
                <w:color w:val="000000"/>
                <w:sz w:val="16"/>
                <w:szCs w:val="16"/>
                <w:lang w:eastAsia="fr-FR"/>
              </w:rPr>
              <w:t>8 409</w:t>
            </w:r>
          </w:p>
        </w:tc>
      </w:tr>
      <w:tr w:rsidR="00DB1CFC" w:rsidRPr="00A32AF4" w:rsidTr="00DB1CFC">
        <w:trPr>
          <w:cantSplit/>
        </w:trPr>
        <w:tc>
          <w:tcPr>
            <w:tcW w:w="638" w:type="dxa"/>
            <w:tcBorders>
              <w:top w:val="nil"/>
              <w:left w:val="single" w:sz="4" w:space="0" w:color="auto"/>
              <w:bottom w:val="nil"/>
              <w:right w:val="nil"/>
            </w:tcBorders>
            <w:shd w:val="clear" w:color="auto" w:fill="auto"/>
            <w:noWrap/>
            <w:tcMar>
              <w:top w:w="113" w:type="dxa"/>
              <w:bottom w:w="113" w:type="dxa"/>
            </w:tcMar>
            <w:vAlign w:val="center"/>
            <w:hideMark/>
          </w:tcPr>
          <w:p w:rsidR="00DB1CFC" w:rsidRPr="00A32AF4" w:rsidRDefault="00DB1CFC" w:rsidP="00DC0553">
            <w:pPr>
              <w:rPr>
                <w:rFonts w:cs="Arial"/>
                <w:sz w:val="16"/>
                <w:szCs w:val="16"/>
                <w:lang w:eastAsia="fr-FR"/>
              </w:rPr>
            </w:pPr>
            <w:r w:rsidRPr="00A32AF4">
              <w:rPr>
                <w:rFonts w:cs="Arial"/>
                <w:sz w:val="16"/>
                <w:szCs w:val="16"/>
                <w:lang w:eastAsia="fr-FR"/>
              </w:rPr>
              <w:t>IV.2</w:t>
            </w:r>
          </w:p>
        </w:tc>
        <w:tc>
          <w:tcPr>
            <w:tcW w:w="4382" w:type="dxa"/>
            <w:tcBorders>
              <w:top w:val="nil"/>
              <w:left w:val="nil"/>
              <w:bottom w:val="nil"/>
              <w:right w:val="nil"/>
            </w:tcBorders>
            <w:shd w:val="clear" w:color="auto" w:fill="auto"/>
            <w:tcMar>
              <w:top w:w="113" w:type="dxa"/>
              <w:bottom w:w="113" w:type="dxa"/>
            </w:tcMar>
            <w:vAlign w:val="center"/>
            <w:hideMark/>
          </w:tcPr>
          <w:p w:rsidR="00DB1CFC" w:rsidRPr="00A32AF4" w:rsidRDefault="00DB1CFC" w:rsidP="00DC0553">
            <w:pPr>
              <w:rPr>
                <w:rFonts w:cs="Arial"/>
                <w:sz w:val="16"/>
                <w:szCs w:val="16"/>
                <w:lang w:eastAsia="fr-FR"/>
              </w:rPr>
            </w:pPr>
            <w:r w:rsidRPr="00A32AF4">
              <w:rPr>
                <w:rFonts w:cs="Arial"/>
                <w:sz w:val="16"/>
                <w:szCs w:val="16"/>
                <w:lang w:eastAsia="fr-FR"/>
              </w:rPr>
              <w:t>Amélioration de l</w:t>
            </w:r>
            <w:r w:rsidR="00E2055A" w:rsidRPr="00A32AF4">
              <w:rPr>
                <w:rFonts w:cs="Arial"/>
                <w:sz w:val="16"/>
                <w:szCs w:val="16"/>
                <w:lang w:eastAsia="fr-FR"/>
              </w:rPr>
              <w:t>’</w:t>
            </w:r>
            <w:r w:rsidRPr="00A32AF4">
              <w:rPr>
                <w:rFonts w:cs="Arial"/>
                <w:sz w:val="16"/>
                <w:szCs w:val="16"/>
                <w:lang w:eastAsia="fr-FR"/>
              </w:rPr>
              <w:t>accessibilité et de l</w:t>
            </w:r>
            <w:r w:rsidR="00E2055A" w:rsidRPr="00A32AF4">
              <w:rPr>
                <w:rFonts w:cs="Arial"/>
                <w:sz w:val="16"/>
                <w:szCs w:val="16"/>
                <w:lang w:eastAsia="fr-FR"/>
              </w:rPr>
              <w:t>’</w:t>
            </w:r>
            <w:r w:rsidRPr="00A32AF4">
              <w:rPr>
                <w:rFonts w:cs="Arial"/>
                <w:sz w:val="16"/>
                <w:szCs w:val="16"/>
                <w:lang w:eastAsia="fr-FR"/>
              </w:rPr>
              <w:t>utilisation de l</w:t>
            </w:r>
            <w:r w:rsidR="00E2055A" w:rsidRPr="00A32AF4">
              <w:rPr>
                <w:rFonts w:cs="Arial"/>
                <w:sz w:val="16"/>
                <w:szCs w:val="16"/>
                <w:lang w:eastAsia="fr-FR"/>
              </w:rPr>
              <w:t>’</w:t>
            </w:r>
            <w:r w:rsidRPr="00A32AF4">
              <w:rPr>
                <w:rFonts w:cs="Arial"/>
                <w:sz w:val="16"/>
                <w:szCs w:val="16"/>
                <w:lang w:eastAsia="fr-FR"/>
              </w:rPr>
              <w:t>information en matière de propriété intellectuelle par les institutions compétentes et le public afin de promouvoir l</w:t>
            </w:r>
            <w:r w:rsidR="00E2055A" w:rsidRPr="00A32AF4">
              <w:rPr>
                <w:rFonts w:cs="Arial"/>
                <w:sz w:val="16"/>
                <w:szCs w:val="16"/>
                <w:lang w:eastAsia="fr-FR"/>
              </w:rPr>
              <w:t>’</w:t>
            </w:r>
            <w:r w:rsidRPr="00A32AF4">
              <w:rPr>
                <w:rFonts w:cs="Arial"/>
                <w:sz w:val="16"/>
                <w:szCs w:val="16"/>
                <w:lang w:eastAsia="fr-FR"/>
              </w:rPr>
              <w:t>innovation et la créativité</w:t>
            </w:r>
          </w:p>
        </w:tc>
        <w:tc>
          <w:tcPr>
            <w:tcW w:w="1260" w:type="dxa"/>
            <w:tcBorders>
              <w:top w:val="nil"/>
              <w:left w:val="nil"/>
              <w:bottom w:val="nil"/>
              <w:right w:val="nil"/>
            </w:tcBorders>
            <w:shd w:val="clear" w:color="auto" w:fill="auto"/>
            <w:tcMar>
              <w:top w:w="113" w:type="dxa"/>
              <w:bottom w:w="113" w:type="dxa"/>
            </w:tcMar>
            <w:vAlign w:val="center"/>
            <w:hideMark/>
          </w:tcPr>
          <w:p w:rsidR="00DB1CFC" w:rsidRPr="00A32AF4" w:rsidRDefault="00DB1CFC" w:rsidP="00DC0553">
            <w:pPr>
              <w:jc w:val="right"/>
              <w:rPr>
                <w:rFonts w:cs="Arial"/>
                <w:sz w:val="16"/>
                <w:szCs w:val="16"/>
                <w:lang w:eastAsia="fr-FR"/>
              </w:rPr>
            </w:pPr>
            <w:r w:rsidRPr="00A32AF4">
              <w:rPr>
                <w:rFonts w:cs="Arial"/>
                <w:sz w:val="16"/>
                <w:szCs w:val="16"/>
                <w:lang w:eastAsia="fr-FR"/>
              </w:rPr>
              <w:t>2 536</w:t>
            </w:r>
          </w:p>
        </w:tc>
        <w:tc>
          <w:tcPr>
            <w:tcW w:w="1440" w:type="dxa"/>
            <w:tcBorders>
              <w:top w:val="nil"/>
              <w:left w:val="nil"/>
              <w:bottom w:val="nil"/>
              <w:right w:val="nil"/>
            </w:tcBorders>
            <w:shd w:val="clear" w:color="auto" w:fill="auto"/>
            <w:tcMar>
              <w:top w:w="113" w:type="dxa"/>
              <w:bottom w:w="113" w:type="dxa"/>
            </w:tcMar>
            <w:vAlign w:val="center"/>
            <w:hideMark/>
          </w:tcPr>
          <w:p w:rsidR="00DB1CFC" w:rsidRPr="00A32AF4" w:rsidRDefault="00DB1CFC" w:rsidP="00DC0553">
            <w:pPr>
              <w:jc w:val="right"/>
              <w:rPr>
                <w:rFonts w:cs="Arial"/>
                <w:sz w:val="16"/>
                <w:szCs w:val="16"/>
                <w:lang w:eastAsia="fr-FR"/>
              </w:rPr>
            </w:pPr>
            <w:r w:rsidRPr="00A32AF4">
              <w:rPr>
                <w:rFonts w:cs="Arial"/>
                <w:sz w:val="16"/>
                <w:szCs w:val="16"/>
                <w:lang w:eastAsia="fr-FR"/>
              </w:rPr>
              <w:t>3 276</w:t>
            </w:r>
          </w:p>
        </w:tc>
        <w:tc>
          <w:tcPr>
            <w:tcW w:w="1260" w:type="dxa"/>
            <w:tcBorders>
              <w:top w:val="nil"/>
              <w:left w:val="nil"/>
              <w:bottom w:val="nil"/>
              <w:right w:val="single" w:sz="4" w:space="0" w:color="auto"/>
            </w:tcBorders>
            <w:shd w:val="clear" w:color="auto" w:fill="auto"/>
            <w:noWrap/>
            <w:tcMar>
              <w:top w:w="113" w:type="dxa"/>
              <w:bottom w:w="113" w:type="dxa"/>
            </w:tcMar>
            <w:vAlign w:val="center"/>
            <w:hideMark/>
          </w:tcPr>
          <w:p w:rsidR="00DB1CFC" w:rsidRPr="00A32AF4" w:rsidRDefault="00DB1CFC" w:rsidP="00DC0553">
            <w:pPr>
              <w:jc w:val="right"/>
              <w:rPr>
                <w:rFonts w:cs="Arial"/>
                <w:color w:val="000000"/>
                <w:sz w:val="16"/>
                <w:szCs w:val="16"/>
                <w:lang w:eastAsia="fr-FR"/>
              </w:rPr>
            </w:pPr>
            <w:r w:rsidRPr="00A32AF4">
              <w:rPr>
                <w:rFonts w:cs="Arial"/>
                <w:color w:val="000000"/>
                <w:sz w:val="16"/>
                <w:szCs w:val="16"/>
                <w:lang w:eastAsia="fr-FR"/>
              </w:rPr>
              <w:t>2 640</w:t>
            </w:r>
          </w:p>
        </w:tc>
      </w:tr>
      <w:tr w:rsidR="00DB1CFC" w:rsidRPr="00A32AF4" w:rsidTr="00DB1CFC">
        <w:trPr>
          <w:cantSplit/>
        </w:trPr>
        <w:tc>
          <w:tcPr>
            <w:tcW w:w="638" w:type="dxa"/>
            <w:tcBorders>
              <w:top w:val="nil"/>
              <w:left w:val="single" w:sz="4" w:space="0" w:color="auto"/>
              <w:bottom w:val="nil"/>
              <w:right w:val="nil"/>
            </w:tcBorders>
            <w:shd w:val="clear" w:color="auto" w:fill="auto"/>
            <w:noWrap/>
            <w:tcMar>
              <w:top w:w="113" w:type="dxa"/>
              <w:bottom w:w="113" w:type="dxa"/>
            </w:tcMar>
            <w:vAlign w:val="center"/>
            <w:hideMark/>
          </w:tcPr>
          <w:p w:rsidR="00DB1CFC" w:rsidRPr="00A32AF4" w:rsidRDefault="00DB1CFC" w:rsidP="00DC0553">
            <w:pPr>
              <w:rPr>
                <w:rFonts w:cs="Arial"/>
                <w:sz w:val="16"/>
                <w:szCs w:val="16"/>
                <w:lang w:eastAsia="fr-FR"/>
              </w:rPr>
            </w:pPr>
            <w:r w:rsidRPr="00A32AF4">
              <w:rPr>
                <w:rFonts w:cs="Arial"/>
                <w:sz w:val="16"/>
                <w:szCs w:val="16"/>
                <w:lang w:eastAsia="fr-FR"/>
              </w:rPr>
              <w:t>IV.4</w:t>
            </w:r>
          </w:p>
        </w:tc>
        <w:tc>
          <w:tcPr>
            <w:tcW w:w="4382" w:type="dxa"/>
            <w:tcBorders>
              <w:top w:val="nil"/>
              <w:left w:val="nil"/>
              <w:bottom w:val="nil"/>
              <w:right w:val="nil"/>
            </w:tcBorders>
            <w:shd w:val="clear" w:color="auto" w:fill="auto"/>
            <w:tcMar>
              <w:top w:w="113" w:type="dxa"/>
              <w:bottom w:w="113" w:type="dxa"/>
            </w:tcMar>
            <w:vAlign w:val="center"/>
            <w:hideMark/>
          </w:tcPr>
          <w:p w:rsidR="00DB1CFC" w:rsidRPr="00A32AF4" w:rsidRDefault="00DB1CFC" w:rsidP="00DC0553">
            <w:pPr>
              <w:rPr>
                <w:rFonts w:cs="Arial"/>
                <w:sz w:val="16"/>
                <w:szCs w:val="16"/>
                <w:lang w:eastAsia="fr-FR"/>
              </w:rPr>
            </w:pPr>
            <w:r w:rsidRPr="00A32AF4">
              <w:rPr>
                <w:rFonts w:cs="Arial"/>
                <w:sz w:val="16"/>
                <w:szCs w:val="16"/>
                <w:lang w:eastAsia="fr-FR"/>
              </w:rPr>
              <w:t>Amélioration de l</w:t>
            </w:r>
            <w:r w:rsidR="00E2055A" w:rsidRPr="00A32AF4">
              <w:rPr>
                <w:rFonts w:cs="Arial"/>
                <w:sz w:val="16"/>
                <w:szCs w:val="16"/>
                <w:lang w:eastAsia="fr-FR"/>
              </w:rPr>
              <w:t>’</w:t>
            </w:r>
            <w:r w:rsidRPr="00A32AF4">
              <w:rPr>
                <w:rFonts w:cs="Arial"/>
                <w:sz w:val="16"/>
                <w:szCs w:val="16"/>
                <w:lang w:eastAsia="fr-FR"/>
              </w:rPr>
              <w:t>infrastructure technique et du savoir pour les offices de propriété intellectuelle et les autres institutions de propriété intellectuelle, leur permettant de fournir à leurs parties prenantes des services améliorés (moins chers, plus rapides, de meilleure qualité) et d</w:t>
            </w:r>
            <w:r w:rsidR="00E2055A" w:rsidRPr="00A32AF4">
              <w:rPr>
                <w:rFonts w:cs="Arial"/>
                <w:sz w:val="16"/>
                <w:szCs w:val="16"/>
                <w:lang w:eastAsia="fr-FR"/>
              </w:rPr>
              <w:t>’</w:t>
            </w:r>
            <w:r w:rsidRPr="00A32AF4">
              <w:rPr>
                <w:rFonts w:cs="Arial"/>
                <w:sz w:val="16"/>
                <w:szCs w:val="16"/>
                <w:lang w:eastAsia="fr-FR"/>
              </w:rPr>
              <w:t>obtenir un meilleur résultat pour ce qui concerne l</w:t>
            </w:r>
            <w:r w:rsidR="00E2055A" w:rsidRPr="00A32AF4">
              <w:rPr>
                <w:rFonts w:cs="Arial"/>
                <w:sz w:val="16"/>
                <w:szCs w:val="16"/>
                <w:lang w:eastAsia="fr-FR"/>
              </w:rPr>
              <w:t>’</w:t>
            </w:r>
            <w:r w:rsidRPr="00A32AF4">
              <w:rPr>
                <w:rFonts w:cs="Arial"/>
                <w:sz w:val="16"/>
                <w:szCs w:val="16"/>
                <w:lang w:eastAsia="fr-FR"/>
              </w:rPr>
              <w:t>administration de la propriété intellectuelle</w:t>
            </w:r>
          </w:p>
        </w:tc>
        <w:tc>
          <w:tcPr>
            <w:tcW w:w="1260" w:type="dxa"/>
            <w:tcBorders>
              <w:top w:val="nil"/>
              <w:left w:val="nil"/>
              <w:bottom w:val="nil"/>
              <w:right w:val="nil"/>
            </w:tcBorders>
            <w:shd w:val="clear" w:color="auto" w:fill="auto"/>
            <w:tcMar>
              <w:top w:w="113" w:type="dxa"/>
              <w:bottom w:w="113" w:type="dxa"/>
            </w:tcMar>
            <w:vAlign w:val="center"/>
            <w:hideMark/>
          </w:tcPr>
          <w:p w:rsidR="00DB1CFC" w:rsidRPr="00A32AF4" w:rsidRDefault="00DB1CFC" w:rsidP="00DC0553">
            <w:pPr>
              <w:jc w:val="right"/>
              <w:rPr>
                <w:rFonts w:cs="Arial"/>
                <w:sz w:val="16"/>
                <w:szCs w:val="16"/>
                <w:lang w:eastAsia="fr-FR"/>
              </w:rPr>
            </w:pPr>
            <w:r w:rsidRPr="00A32AF4">
              <w:rPr>
                <w:rFonts w:cs="Arial"/>
                <w:sz w:val="16"/>
                <w:szCs w:val="16"/>
                <w:lang w:eastAsia="fr-FR"/>
              </w:rPr>
              <w:t>2 883</w:t>
            </w:r>
          </w:p>
        </w:tc>
        <w:tc>
          <w:tcPr>
            <w:tcW w:w="1440" w:type="dxa"/>
            <w:tcBorders>
              <w:top w:val="nil"/>
              <w:left w:val="nil"/>
              <w:bottom w:val="nil"/>
              <w:right w:val="nil"/>
            </w:tcBorders>
            <w:shd w:val="clear" w:color="auto" w:fill="auto"/>
            <w:tcMar>
              <w:top w:w="113" w:type="dxa"/>
              <w:bottom w:w="113" w:type="dxa"/>
            </w:tcMar>
            <w:vAlign w:val="center"/>
            <w:hideMark/>
          </w:tcPr>
          <w:p w:rsidR="00DB1CFC" w:rsidRPr="00A32AF4" w:rsidRDefault="00DB1CFC" w:rsidP="00DC0553">
            <w:pPr>
              <w:jc w:val="right"/>
              <w:rPr>
                <w:rFonts w:cs="Arial"/>
                <w:sz w:val="16"/>
                <w:szCs w:val="16"/>
                <w:lang w:eastAsia="fr-FR"/>
              </w:rPr>
            </w:pPr>
            <w:r w:rsidRPr="00A32AF4">
              <w:rPr>
                <w:rFonts w:cs="Arial"/>
                <w:sz w:val="16"/>
                <w:szCs w:val="16"/>
                <w:lang w:eastAsia="fr-FR"/>
              </w:rPr>
              <w:t>2 479</w:t>
            </w:r>
          </w:p>
        </w:tc>
        <w:tc>
          <w:tcPr>
            <w:tcW w:w="1260" w:type="dxa"/>
            <w:tcBorders>
              <w:top w:val="nil"/>
              <w:left w:val="nil"/>
              <w:bottom w:val="nil"/>
              <w:right w:val="single" w:sz="4" w:space="0" w:color="auto"/>
            </w:tcBorders>
            <w:shd w:val="clear" w:color="auto" w:fill="auto"/>
            <w:tcMar>
              <w:top w:w="113" w:type="dxa"/>
              <w:bottom w:w="113" w:type="dxa"/>
            </w:tcMar>
            <w:vAlign w:val="center"/>
            <w:hideMark/>
          </w:tcPr>
          <w:p w:rsidR="00DB1CFC" w:rsidRPr="00A32AF4" w:rsidRDefault="0045209B" w:rsidP="00DC0553">
            <w:pPr>
              <w:jc w:val="right"/>
              <w:rPr>
                <w:rFonts w:cs="Arial"/>
                <w:sz w:val="16"/>
                <w:szCs w:val="16"/>
                <w:lang w:eastAsia="fr-FR"/>
              </w:rPr>
            </w:pPr>
            <w:r w:rsidRPr="00A32AF4">
              <w:rPr>
                <w:rFonts w:cs="Arial"/>
                <w:sz w:val="16"/>
                <w:szCs w:val="16"/>
                <w:lang w:eastAsia="fr-FR"/>
              </w:rPr>
              <w:t>–</w:t>
            </w:r>
          </w:p>
        </w:tc>
      </w:tr>
      <w:tr w:rsidR="00DB1CFC" w:rsidRPr="00A32AF4" w:rsidTr="00DB1CFC">
        <w:trPr>
          <w:cantSplit/>
        </w:trPr>
        <w:tc>
          <w:tcPr>
            <w:tcW w:w="638" w:type="dxa"/>
            <w:tcBorders>
              <w:top w:val="nil"/>
              <w:left w:val="single" w:sz="4" w:space="0" w:color="auto"/>
              <w:bottom w:val="nil"/>
              <w:right w:val="nil"/>
            </w:tcBorders>
            <w:shd w:val="clear" w:color="auto" w:fill="auto"/>
            <w:noWrap/>
            <w:tcMar>
              <w:top w:w="113" w:type="dxa"/>
              <w:bottom w:w="113" w:type="dxa"/>
            </w:tcMar>
            <w:vAlign w:val="center"/>
            <w:hideMark/>
          </w:tcPr>
          <w:p w:rsidR="00DB1CFC" w:rsidRPr="00A32AF4" w:rsidRDefault="00DB1CFC" w:rsidP="00DC0553">
            <w:pPr>
              <w:rPr>
                <w:rFonts w:cs="Arial"/>
                <w:sz w:val="16"/>
                <w:szCs w:val="16"/>
                <w:lang w:eastAsia="fr-FR"/>
              </w:rPr>
            </w:pPr>
            <w:r w:rsidRPr="00A32AF4">
              <w:rPr>
                <w:rFonts w:cs="Arial"/>
                <w:sz w:val="16"/>
                <w:szCs w:val="16"/>
                <w:lang w:eastAsia="fr-FR"/>
              </w:rPr>
              <w:t>V.2</w:t>
            </w:r>
          </w:p>
        </w:tc>
        <w:tc>
          <w:tcPr>
            <w:tcW w:w="4382" w:type="dxa"/>
            <w:tcBorders>
              <w:top w:val="nil"/>
              <w:left w:val="nil"/>
              <w:bottom w:val="nil"/>
              <w:right w:val="nil"/>
            </w:tcBorders>
            <w:shd w:val="clear" w:color="auto" w:fill="auto"/>
            <w:tcMar>
              <w:top w:w="113" w:type="dxa"/>
              <w:bottom w:w="113" w:type="dxa"/>
            </w:tcMar>
            <w:vAlign w:val="center"/>
            <w:hideMark/>
          </w:tcPr>
          <w:p w:rsidR="00DB1CFC" w:rsidRPr="00A32AF4" w:rsidRDefault="00DB1CFC" w:rsidP="00DC0553">
            <w:pPr>
              <w:rPr>
                <w:rFonts w:cs="Arial"/>
                <w:sz w:val="16"/>
                <w:szCs w:val="16"/>
                <w:lang w:eastAsia="fr-FR"/>
              </w:rPr>
            </w:pPr>
            <w:r w:rsidRPr="00A32AF4">
              <w:rPr>
                <w:rFonts w:cs="Arial"/>
                <w:sz w:val="16"/>
                <w:szCs w:val="16"/>
                <w:lang w:eastAsia="fr-FR"/>
              </w:rPr>
              <w:t>Utilisation élargie et améliorée des analyses économiques de l</w:t>
            </w:r>
            <w:r w:rsidR="00E2055A" w:rsidRPr="00A32AF4">
              <w:rPr>
                <w:rFonts w:cs="Arial"/>
                <w:sz w:val="16"/>
                <w:szCs w:val="16"/>
                <w:lang w:eastAsia="fr-FR"/>
              </w:rPr>
              <w:t>’</w:t>
            </w:r>
            <w:r w:rsidRPr="00A32AF4">
              <w:rPr>
                <w:rFonts w:cs="Arial"/>
                <w:sz w:val="16"/>
                <w:szCs w:val="16"/>
                <w:lang w:eastAsia="fr-FR"/>
              </w:rPr>
              <w:t>OMPI aux fins de l</w:t>
            </w:r>
            <w:r w:rsidR="00E2055A" w:rsidRPr="00A32AF4">
              <w:rPr>
                <w:rFonts w:cs="Arial"/>
                <w:sz w:val="16"/>
                <w:szCs w:val="16"/>
                <w:lang w:eastAsia="fr-FR"/>
              </w:rPr>
              <w:t>’</w:t>
            </w:r>
            <w:r w:rsidRPr="00A32AF4">
              <w:rPr>
                <w:rFonts w:cs="Arial"/>
                <w:sz w:val="16"/>
                <w:szCs w:val="16"/>
                <w:lang w:eastAsia="fr-FR"/>
              </w:rPr>
              <w:t>élaboration des politiques</w:t>
            </w:r>
          </w:p>
        </w:tc>
        <w:tc>
          <w:tcPr>
            <w:tcW w:w="1260" w:type="dxa"/>
            <w:tcBorders>
              <w:top w:val="nil"/>
              <w:left w:val="nil"/>
              <w:bottom w:val="nil"/>
              <w:right w:val="nil"/>
            </w:tcBorders>
            <w:shd w:val="clear" w:color="auto" w:fill="auto"/>
            <w:tcMar>
              <w:top w:w="113" w:type="dxa"/>
              <w:bottom w:w="113" w:type="dxa"/>
            </w:tcMar>
            <w:vAlign w:val="center"/>
            <w:hideMark/>
          </w:tcPr>
          <w:p w:rsidR="00DB1CFC" w:rsidRPr="00A32AF4" w:rsidRDefault="00DB1CFC" w:rsidP="00DC0553">
            <w:pPr>
              <w:jc w:val="right"/>
              <w:rPr>
                <w:rFonts w:cs="Arial"/>
                <w:sz w:val="16"/>
                <w:szCs w:val="16"/>
                <w:lang w:eastAsia="fr-FR"/>
              </w:rPr>
            </w:pPr>
            <w:r w:rsidRPr="00A32AF4">
              <w:rPr>
                <w:rFonts w:cs="Arial"/>
                <w:sz w:val="16"/>
                <w:szCs w:val="16"/>
                <w:lang w:eastAsia="fr-FR"/>
              </w:rPr>
              <w:t>1 065</w:t>
            </w:r>
          </w:p>
        </w:tc>
        <w:tc>
          <w:tcPr>
            <w:tcW w:w="1440" w:type="dxa"/>
            <w:tcBorders>
              <w:top w:val="nil"/>
              <w:left w:val="nil"/>
              <w:bottom w:val="nil"/>
              <w:right w:val="nil"/>
            </w:tcBorders>
            <w:shd w:val="clear" w:color="auto" w:fill="auto"/>
            <w:tcMar>
              <w:top w:w="113" w:type="dxa"/>
              <w:bottom w:w="113" w:type="dxa"/>
            </w:tcMar>
            <w:vAlign w:val="center"/>
            <w:hideMark/>
          </w:tcPr>
          <w:p w:rsidR="00DB1CFC" w:rsidRPr="00A32AF4" w:rsidRDefault="00DB1CFC" w:rsidP="00DC0553">
            <w:pPr>
              <w:jc w:val="right"/>
              <w:rPr>
                <w:rFonts w:cs="Arial"/>
                <w:sz w:val="16"/>
                <w:szCs w:val="16"/>
                <w:lang w:eastAsia="fr-FR"/>
              </w:rPr>
            </w:pPr>
            <w:r w:rsidRPr="00A32AF4">
              <w:rPr>
                <w:rFonts w:cs="Arial"/>
                <w:sz w:val="16"/>
                <w:szCs w:val="16"/>
                <w:lang w:eastAsia="fr-FR"/>
              </w:rPr>
              <w:t>1 018</w:t>
            </w:r>
          </w:p>
        </w:tc>
        <w:tc>
          <w:tcPr>
            <w:tcW w:w="1260" w:type="dxa"/>
            <w:tcBorders>
              <w:top w:val="nil"/>
              <w:left w:val="nil"/>
              <w:bottom w:val="nil"/>
              <w:right w:val="single" w:sz="4" w:space="0" w:color="auto"/>
            </w:tcBorders>
            <w:shd w:val="clear" w:color="auto" w:fill="auto"/>
            <w:tcMar>
              <w:top w:w="113" w:type="dxa"/>
              <w:bottom w:w="113" w:type="dxa"/>
            </w:tcMar>
            <w:vAlign w:val="center"/>
            <w:hideMark/>
          </w:tcPr>
          <w:p w:rsidR="00DB1CFC" w:rsidRPr="00A32AF4" w:rsidRDefault="0045209B" w:rsidP="00DC0553">
            <w:pPr>
              <w:jc w:val="right"/>
              <w:rPr>
                <w:rFonts w:cs="Arial"/>
                <w:sz w:val="16"/>
                <w:szCs w:val="16"/>
                <w:lang w:eastAsia="fr-FR"/>
              </w:rPr>
            </w:pPr>
            <w:r w:rsidRPr="00A32AF4">
              <w:rPr>
                <w:rFonts w:cs="Arial"/>
                <w:sz w:val="16"/>
                <w:szCs w:val="16"/>
                <w:lang w:eastAsia="fr-FR"/>
              </w:rPr>
              <w:t>–</w:t>
            </w:r>
          </w:p>
        </w:tc>
      </w:tr>
      <w:tr w:rsidR="00DB1CFC" w:rsidRPr="00A32AF4" w:rsidTr="00DB1CFC">
        <w:trPr>
          <w:cantSplit/>
        </w:trPr>
        <w:tc>
          <w:tcPr>
            <w:tcW w:w="638" w:type="dxa"/>
            <w:tcBorders>
              <w:top w:val="nil"/>
              <w:left w:val="single" w:sz="4" w:space="0" w:color="auto"/>
              <w:bottom w:val="nil"/>
              <w:right w:val="nil"/>
            </w:tcBorders>
            <w:shd w:val="clear" w:color="auto" w:fill="auto"/>
            <w:noWrap/>
            <w:tcMar>
              <w:top w:w="113" w:type="dxa"/>
              <w:bottom w:w="113" w:type="dxa"/>
            </w:tcMar>
            <w:vAlign w:val="center"/>
            <w:hideMark/>
          </w:tcPr>
          <w:p w:rsidR="00DB1CFC" w:rsidRPr="00A32AF4" w:rsidRDefault="00DB1CFC" w:rsidP="00DC0553">
            <w:pPr>
              <w:rPr>
                <w:rFonts w:cs="Arial"/>
                <w:sz w:val="16"/>
                <w:szCs w:val="16"/>
                <w:lang w:eastAsia="fr-FR"/>
              </w:rPr>
            </w:pPr>
            <w:r w:rsidRPr="00A32AF4">
              <w:rPr>
                <w:rFonts w:cs="Arial"/>
                <w:sz w:val="16"/>
                <w:szCs w:val="16"/>
                <w:lang w:eastAsia="fr-FR"/>
              </w:rPr>
              <w:t>VIII.1</w:t>
            </w:r>
          </w:p>
        </w:tc>
        <w:tc>
          <w:tcPr>
            <w:tcW w:w="4382" w:type="dxa"/>
            <w:tcBorders>
              <w:top w:val="nil"/>
              <w:left w:val="nil"/>
              <w:bottom w:val="nil"/>
              <w:right w:val="nil"/>
            </w:tcBorders>
            <w:shd w:val="clear" w:color="auto" w:fill="auto"/>
            <w:tcMar>
              <w:top w:w="113" w:type="dxa"/>
              <w:bottom w:w="113" w:type="dxa"/>
            </w:tcMar>
            <w:vAlign w:val="center"/>
            <w:hideMark/>
          </w:tcPr>
          <w:p w:rsidR="00DB1CFC" w:rsidRPr="00A32AF4" w:rsidRDefault="00DB1CFC" w:rsidP="00DC0553">
            <w:pPr>
              <w:rPr>
                <w:rFonts w:cs="Arial"/>
                <w:sz w:val="16"/>
                <w:szCs w:val="16"/>
                <w:lang w:eastAsia="fr-FR"/>
              </w:rPr>
            </w:pPr>
            <w:r w:rsidRPr="00A32AF4">
              <w:rPr>
                <w:rFonts w:cs="Arial"/>
                <w:sz w:val="16"/>
                <w:szCs w:val="16"/>
                <w:lang w:eastAsia="fr-FR"/>
              </w:rPr>
              <w:t>Communication plus efficace avec le grand public concernant la propriété intellectuelle et le rôle de l</w:t>
            </w:r>
            <w:r w:rsidR="00E2055A" w:rsidRPr="00A32AF4">
              <w:rPr>
                <w:rFonts w:cs="Arial"/>
                <w:sz w:val="16"/>
                <w:szCs w:val="16"/>
                <w:lang w:eastAsia="fr-FR"/>
              </w:rPr>
              <w:t>’</w:t>
            </w:r>
            <w:r w:rsidRPr="00A32AF4">
              <w:rPr>
                <w:rFonts w:cs="Arial"/>
                <w:sz w:val="16"/>
                <w:szCs w:val="16"/>
                <w:lang w:eastAsia="fr-FR"/>
              </w:rPr>
              <w:t>OMPI</w:t>
            </w:r>
          </w:p>
        </w:tc>
        <w:tc>
          <w:tcPr>
            <w:tcW w:w="1260" w:type="dxa"/>
            <w:tcBorders>
              <w:top w:val="nil"/>
              <w:left w:val="nil"/>
              <w:bottom w:val="nil"/>
              <w:right w:val="nil"/>
            </w:tcBorders>
            <w:shd w:val="clear" w:color="auto" w:fill="auto"/>
            <w:tcMar>
              <w:top w:w="113" w:type="dxa"/>
              <w:bottom w:w="113" w:type="dxa"/>
            </w:tcMar>
            <w:vAlign w:val="center"/>
            <w:hideMark/>
          </w:tcPr>
          <w:p w:rsidR="00DB1CFC" w:rsidRPr="00A32AF4" w:rsidRDefault="0045209B" w:rsidP="00DC0553">
            <w:pPr>
              <w:jc w:val="right"/>
              <w:rPr>
                <w:rFonts w:cs="Arial"/>
                <w:sz w:val="16"/>
                <w:szCs w:val="16"/>
                <w:lang w:eastAsia="fr-FR"/>
              </w:rPr>
            </w:pPr>
            <w:r w:rsidRPr="00A32AF4">
              <w:rPr>
                <w:rFonts w:cs="Arial"/>
                <w:sz w:val="16"/>
                <w:szCs w:val="16"/>
                <w:lang w:eastAsia="fr-FR"/>
              </w:rPr>
              <w:t>–</w:t>
            </w:r>
          </w:p>
        </w:tc>
        <w:tc>
          <w:tcPr>
            <w:tcW w:w="1440" w:type="dxa"/>
            <w:tcBorders>
              <w:top w:val="nil"/>
              <w:left w:val="nil"/>
              <w:bottom w:val="nil"/>
              <w:right w:val="nil"/>
            </w:tcBorders>
            <w:shd w:val="clear" w:color="auto" w:fill="auto"/>
            <w:tcMar>
              <w:top w:w="113" w:type="dxa"/>
              <w:bottom w:w="113" w:type="dxa"/>
            </w:tcMar>
            <w:vAlign w:val="center"/>
            <w:hideMark/>
          </w:tcPr>
          <w:p w:rsidR="00DB1CFC" w:rsidRPr="00A32AF4" w:rsidRDefault="00DB1CFC" w:rsidP="00DC0553">
            <w:pPr>
              <w:jc w:val="right"/>
              <w:rPr>
                <w:rFonts w:cs="Arial"/>
                <w:sz w:val="16"/>
                <w:szCs w:val="16"/>
                <w:lang w:eastAsia="fr-FR"/>
              </w:rPr>
            </w:pPr>
            <w:r w:rsidRPr="00A32AF4">
              <w:rPr>
                <w:rFonts w:cs="Arial"/>
                <w:sz w:val="16"/>
                <w:szCs w:val="16"/>
                <w:lang w:eastAsia="fr-FR"/>
              </w:rPr>
              <w:t>123</w:t>
            </w:r>
          </w:p>
        </w:tc>
        <w:tc>
          <w:tcPr>
            <w:tcW w:w="1260" w:type="dxa"/>
            <w:tcBorders>
              <w:top w:val="nil"/>
              <w:left w:val="nil"/>
              <w:bottom w:val="nil"/>
              <w:right w:val="single" w:sz="4" w:space="0" w:color="auto"/>
            </w:tcBorders>
            <w:shd w:val="clear" w:color="auto" w:fill="auto"/>
            <w:tcMar>
              <w:top w:w="113" w:type="dxa"/>
              <w:bottom w:w="113" w:type="dxa"/>
            </w:tcMar>
            <w:vAlign w:val="center"/>
            <w:hideMark/>
          </w:tcPr>
          <w:p w:rsidR="00DB1CFC" w:rsidRPr="00A32AF4" w:rsidRDefault="00DB1CFC" w:rsidP="00DC0553">
            <w:pPr>
              <w:jc w:val="right"/>
              <w:rPr>
                <w:rFonts w:cs="Arial"/>
                <w:sz w:val="16"/>
                <w:szCs w:val="16"/>
                <w:lang w:eastAsia="fr-FR"/>
              </w:rPr>
            </w:pPr>
            <w:r w:rsidRPr="00A32AF4">
              <w:rPr>
                <w:rFonts w:cs="Arial"/>
                <w:sz w:val="16"/>
                <w:szCs w:val="16"/>
                <w:lang w:eastAsia="fr-FR"/>
              </w:rPr>
              <w:t>20</w:t>
            </w:r>
          </w:p>
        </w:tc>
      </w:tr>
      <w:tr w:rsidR="00DB1CFC" w:rsidRPr="00A32AF4" w:rsidTr="00DB1CFC">
        <w:trPr>
          <w:cantSplit/>
        </w:trPr>
        <w:tc>
          <w:tcPr>
            <w:tcW w:w="638" w:type="dxa"/>
            <w:tcBorders>
              <w:top w:val="single" w:sz="4" w:space="0" w:color="auto"/>
              <w:left w:val="single" w:sz="4" w:space="0" w:color="auto"/>
              <w:bottom w:val="single" w:sz="4" w:space="0" w:color="auto"/>
              <w:right w:val="nil"/>
            </w:tcBorders>
            <w:shd w:val="clear" w:color="000000" w:fill="C5D9F1"/>
            <w:noWrap/>
            <w:tcMar>
              <w:top w:w="113" w:type="dxa"/>
              <w:bottom w:w="113" w:type="dxa"/>
            </w:tcMar>
            <w:vAlign w:val="bottom"/>
            <w:hideMark/>
          </w:tcPr>
          <w:p w:rsidR="00DB1CFC" w:rsidRPr="00A32AF4" w:rsidRDefault="00DB1CFC" w:rsidP="00DC0553">
            <w:pPr>
              <w:rPr>
                <w:rFonts w:cs="Arial"/>
                <w:sz w:val="16"/>
                <w:szCs w:val="16"/>
                <w:lang w:eastAsia="fr-FR"/>
              </w:rPr>
            </w:pPr>
            <w:r w:rsidRPr="00A32AF4">
              <w:rPr>
                <w:rFonts w:cs="Arial"/>
                <w:sz w:val="16"/>
                <w:szCs w:val="16"/>
                <w:lang w:eastAsia="fr-FR"/>
              </w:rPr>
              <w:t> </w:t>
            </w:r>
          </w:p>
        </w:tc>
        <w:tc>
          <w:tcPr>
            <w:tcW w:w="4382"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DB1CFC" w:rsidRPr="00A32AF4" w:rsidRDefault="00DB1CFC" w:rsidP="00DC0553">
            <w:pPr>
              <w:rPr>
                <w:rFonts w:cs="Arial"/>
                <w:b/>
                <w:bCs/>
                <w:sz w:val="16"/>
                <w:szCs w:val="16"/>
                <w:lang w:eastAsia="fr-FR"/>
              </w:rPr>
            </w:pPr>
            <w:r w:rsidRPr="00A32AF4">
              <w:rPr>
                <w:rFonts w:cs="Arial"/>
                <w:b/>
                <w:bCs/>
                <w:sz w:val="16"/>
                <w:szCs w:val="16"/>
                <w:lang w:eastAsia="fr-FR"/>
              </w:rPr>
              <w:t>Total</w:t>
            </w:r>
          </w:p>
        </w:tc>
        <w:tc>
          <w:tcPr>
            <w:tcW w:w="1260"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DB1CFC" w:rsidRPr="00A32AF4" w:rsidRDefault="00DB1CFC" w:rsidP="00DC0553">
            <w:pPr>
              <w:jc w:val="right"/>
              <w:rPr>
                <w:rFonts w:cs="Arial"/>
                <w:b/>
                <w:bCs/>
                <w:sz w:val="16"/>
                <w:szCs w:val="16"/>
                <w:lang w:eastAsia="fr-FR"/>
              </w:rPr>
            </w:pPr>
            <w:r w:rsidRPr="00A32AF4">
              <w:rPr>
                <w:rFonts w:cs="Arial"/>
                <w:b/>
                <w:bCs/>
                <w:sz w:val="16"/>
                <w:szCs w:val="16"/>
                <w:lang w:eastAsia="fr-FR"/>
              </w:rPr>
              <w:t>16</w:t>
            </w:r>
            <w:r w:rsidR="00FD43E3" w:rsidRPr="00A32AF4">
              <w:rPr>
                <w:rFonts w:cs="Arial"/>
                <w:b/>
                <w:bCs/>
                <w:sz w:val="16"/>
                <w:szCs w:val="16"/>
                <w:lang w:eastAsia="fr-FR"/>
              </w:rPr>
              <w:t> </w:t>
            </w:r>
            <w:r w:rsidRPr="00A32AF4">
              <w:rPr>
                <w:rFonts w:cs="Arial"/>
                <w:b/>
                <w:bCs/>
                <w:sz w:val="16"/>
                <w:szCs w:val="16"/>
                <w:lang w:eastAsia="fr-FR"/>
              </w:rPr>
              <w:t>430</w:t>
            </w:r>
          </w:p>
        </w:tc>
        <w:tc>
          <w:tcPr>
            <w:tcW w:w="1440"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DB1CFC" w:rsidRPr="00A32AF4" w:rsidRDefault="00DB1CFC" w:rsidP="00DC0553">
            <w:pPr>
              <w:jc w:val="right"/>
              <w:rPr>
                <w:rFonts w:cs="Arial"/>
                <w:b/>
                <w:bCs/>
                <w:sz w:val="16"/>
                <w:szCs w:val="16"/>
                <w:lang w:eastAsia="fr-FR"/>
              </w:rPr>
            </w:pPr>
            <w:r w:rsidRPr="00A32AF4">
              <w:rPr>
                <w:rFonts w:cs="Arial"/>
                <w:b/>
                <w:bCs/>
                <w:sz w:val="16"/>
                <w:szCs w:val="16"/>
                <w:lang w:eastAsia="fr-FR"/>
              </w:rPr>
              <w:t>16</w:t>
            </w:r>
            <w:r w:rsidR="00FD43E3" w:rsidRPr="00A32AF4">
              <w:rPr>
                <w:rFonts w:cs="Arial"/>
                <w:b/>
                <w:bCs/>
                <w:sz w:val="16"/>
                <w:szCs w:val="16"/>
                <w:lang w:eastAsia="fr-FR"/>
              </w:rPr>
              <w:t> </w:t>
            </w:r>
            <w:r w:rsidRPr="00A32AF4">
              <w:rPr>
                <w:rFonts w:cs="Arial"/>
                <w:b/>
                <w:bCs/>
                <w:sz w:val="16"/>
                <w:szCs w:val="16"/>
                <w:lang w:eastAsia="fr-FR"/>
              </w:rPr>
              <w:t>805</w:t>
            </w:r>
          </w:p>
        </w:tc>
        <w:tc>
          <w:tcPr>
            <w:tcW w:w="1260"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DB1CFC" w:rsidRPr="00A32AF4" w:rsidRDefault="00DB1CFC" w:rsidP="00DC0553">
            <w:pPr>
              <w:jc w:val="right"/>
              <w:rPr>
                <w:rFonts w:cs="Arial"/>
                <w:b/>
                <w:bCs/>
                <w:sz w:val="16"/>
                <w:szCs w:val="16"/>
                <w:lang w:eastAsia="fr-FR"/>
              </w:rPr>
            </w:pPr>
            <w:r w:rsidRPr="00A32AF4">
              <w:rPr>
                <w:rFonts w:cs="Arial"/>
                <w:b/>
                <w:bCs/>
                <w:sz w:val="16"/>
                <w:szCs w:val="16"/>
                <w:lang w:eastAsia="fr-FR"/>
              </w:rPr>
              <w:t>16</w:t>
            </w:r>
            <w:r w:rsidR="00FD43E3" w:rsidRPr="00A32AF4">
              <w:rPr>
                <w:rFonts w:cs="Arial"/>
                <w:b/>
                <w:bCs/>
                <w:sz w:val="16"/>
                <w:szCs w:val="16"/>
                <w:lang w:eastAsia="fr-FR"/>
              </w:rPr>
              <w:t> </w:t>
            </w:r>
            <w:r w:rsidRPr="00A32AF4">
              <w:rPr>
                <w:rFonts w:cs="Arial"/>
                <w:b/>
                <w:bCs/>
                <w:sz w:val="16"/>
                <w:szCs w:val="16"/>
                <w:lang w:eastAsia="fr-FR"/>
              </w:rPr>
              <w:t>733</w:t>
            </w:r>
          </w:p>
        </w:tc>
      </w:tr>
    </w:tbl>
    <w:p w:rsidR="00F93B76" w:rsidRPr="00A32AF4" w:rsidRDefault="00F93B76" w:rsidP="00DC0553"/>
    <w:p w:rsidR="00F93B76" w:rsidRPr="00A32AF4" w:rsidRDefault="00F93B76" w:rsidP="00DC0553"/>
    <w:p w:rsidR="00F93B76" w:rsidRPr="00A32AF4" w:rsidRDefault="0045209B" w:rsidP="00DC0553">
      <w:pPr>
        <w:keepNext/>
        <w:keepLines/>
        <w:autoSpaceDE w:val="0"/>
        <w:autoSpaceDN w:val="0"/>
        <w:jc w:val="center"/>
        <w:rPr>
          <w:rFonts w:cs="Arial"/>
          <w:b/>
        </w:rPr>
      </w:pPr>
      <w:r w:rsidRPr="00A32AF4">
        <w:rPr>
          <w:rFonts w:cs="Arial"/>
          <w:b/>
        </w:rPr>
        <w:t>Programme 3 : ressources par objet de dépense</w:t>
      </w:r>
    </w:p>
    <w:p w:rsidR="00F93B76" w:rsidRPr="00A32AF4" w:rsidRDefault="0045209B" w:rsidP="00DC0553">
      <w:pPr>
        <w:keepNext/>
        <w:keepLines/>
        <w:autoSpaceDE w:val="0"/>
        <w:autoSpaceDN w:val="0"/>
        <w:jc w:val="center"/>
        <w:rPr>
          <w:rFonts w:cs="Arial"/>
          <w:i/>
        </w:rPr>
      </w:pPr>
      <w:r w:rsidRPr="00A32AF4">
        <w:rPr>
          <w:rFonts w:cs="Arial"/>
          <w:i/>
        </w:rPr>
        <w:t>(</w:t>
      </w:r>
      <w:proofErr w:type="gramStart"/>
      <w:r w:rsidRPr="00A32AF4">
        <w:rPr>
          <w:rFonts w:cs="Arial"/>
          <w:i/>
        </w:rPr>
        <w:t>en</w:t>
      </w:r>
      <w:proofErr w:type="gramEnd"/>
      <w:r w:rsidRPr="00A32AF4">
        <w:rPr>
          <w:rFonts w:cs="Arial"/>
          <w:i/>
        </w:rPr>
        <w:t xml:space="preserve"> milliers de francs suisses)</w:t>
      </w:r>
    </w:p>
    <w:p w:rsidR="00F93B76" w:rsidRPr="00A32AF4" w:rsidRDefault="00F93B76" w:rsidP="00DC0553">
      <w:pPr>
        <w:keepNext/>
      </w:pPr>
    </w:p>
    <w:p w:rsidR="00F93B76" w:rsidRPr="00A32AF4" w:rsidRDefault="00C836BC" w:rsidP="00DC0553">
      <w:r w:rsidRPr="00A32AF4">
        <w:rPr>
          <w:noProof/>
          <w:lang w:eastAsia="fr-FR"/>
        </w:rPr>
        <w:drawing>
          <wp:inline distT="0" distB="0" distL="0" distR="0" wp14:anchorId="2F7CC438" wp14:editId="60805243">
            <wp:extent cx="5512435" cy="7051040"/>
            <wp:effectExtent l="0" t="0" r="0" b="0"/>
            <wp:docPr id="1043" name="Pictur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512435" cy="7051040"/>
                    </a:xfrm>
                    <a:prstGeom prst="rect">
                      <a:avLst/>
                    </a:prstGeom>
                    <a:noFill/>
                    <a:ln>
                      <a:noFill/>
                    </a:ln>
                  </pic:spPr>
                </pic:pic>
              </a:graphicData>
            </a:graphic>
          </wp:inline>
        </w:drawing>
      </w:r>
    </w:p>
    <w:p w:rsidR="00F93B76" w:rsidRPr="00A32AF4" w:rsidRDefault="00F93B76" w:rsidP="00DC0553">
      <w:pPr>
        <w:rPr>
          <w:rStyle w:val="StyleStyleHeading3ComplexItalicLatin12ptChar"/>
          <w:b w:val="0"/>
          <w:lang w:val="fr-FR"/>
        </w:rPr>
      </w:pPr>
    </w:p>
    <w:p w:rsidR="00F93B76" w:rsidRPr="00A32AF4" w:rsidRDefault="00F93B76" w:rsidP="00DC0553">
      <w:pPr>
        <w:rPr>
          <w:rStyle w:val="StyleStyleHeading3ComplexItalicLatin12ptChar"/>
          <w:b w:val="0"/>
          <w:lang w:val="fr-FR"/>
        </w:rPr>
      </w:pPr>
    </w:p>
    <w:p w:rsidR="00F93B76" w:rsidRPr="00A32AF4" w:rsidRDefault="0045209B" w:rsidP="00DC0553">
      <w:pPr>
        <w:keepNext/>
        <w:jc w:val="center"/>
        <w:rPr>
          <w:b/>
        </w:rPr>
      </w:pPr>
      <w:r w:rsidRPr="00A32AF4">
        <w:rPr>
          <w:b/>
        </w:rPr>
        <w:t>Ressources au titre des fonds fiduciaires potentiellement disponibles pour les activités de</w:t>
      </w:r>
      <w:r w:rsidR="00466DC3" w:rsidRPr="00A32AF4">
        <w:rPr>
          <w:b/>
        </w:rPr>
        <w:t> </w:t>
      </w:r>
      <w:r w:rsidRPr="00A32AF4">
        <w:rPr>
          <w:b/>
        </w:rPr>
        <w:t>programme en</w:t>
      </w:r>
      <w:r w:rsidR="00FD43E3" w:rsidRPr="00A32AF4">
        <w:rPr>
          <w:b/>
        </w:rPr>
        <w:t> </w:t>
      </w:r>
      <w:r w:rsidRPr="00A32AF4">
        <w:rPr>
          <w:b/>
        </w:rPr>
        <w:t>2016</w:t>
      </w:r>
      <w:r w:rsidR="00EB7F54" w:rsidRPr="00A32AF4">
        <w:rPr>
          <w:b/>
        </w:rPr>
        <w:noBreakHyphen/>
      </w:r>
      <w:r w:rsidRPr="00A32AF4">
        <w:rPr>
          <w:b/>
        </w:rPr>
        <w:t>2017 (PAR PROGRAMME</w:t>
      </w:r>
      <w:proofErr w:type="gramStart"/>
      <w:r w:rsidRPr="00A32AF4">
        <w:rPr>
          <w:b/>
        </w:rPr>
        <w:t>)</w:t>
      </w:r>
      <w:r w:rsidR="007343F6" w:rsidRPr="00A32AF4">
        <w:rPr>
          <w:vertAlign w:val="superscript"/>
        </w:rPr>
        <w:t>1</w:t>
      </w:r>
      <w:proofErr w:type="gramEnd"/>
    </w:p>
    <w:p w:rsidR="00F93B76" w:rsidRPr="00A32AF4" w:rsidRDefault="0045209B" w:rsidP="00DC0553">
      <w:pPr>
        <w:keepNext/>
        <w:jc w:val="center"/>
        <w:rPr>
          <w:i/>
        </w:rPr>
      </w:pPr>
      <w:r w:rsidRPr="00A32AF4">
        <w:rPr>
          <w:i/>
        </w:rPr>
        <w:t>(</w:t>
      </w:r>
      <w:proofErr w:type="gramStart"/>
      <w:r w:rsidRPr="00A32AF4">
        <w:rPr>
          <w:i/>
        </w:rPr>
        <w:t>en</w:t>
      </w:r>
      <w:proofErr w:type="gramEnd"/>
      <w:r w:rsidRPr="00A32AF4">
        <w:rPr>
          <w:i/>
        </w:rPr>
        <w:t xml:space="preserve"> milliers de francs suisses)</w:t>
      </w:r>
    </w:p>
    <w:p w:rsidR="00F93B76" w:rsidRPr="00A32AF4" w:rsidRDefault="00F93B76" w:rsidP="00DC0553">
      <w:pPr>
        <w:keepNext/>
        <w:jc w:val="center"/>
        <w:rPr>
          <w:rStyle w:val="StyleStyleHeading3ComplexItalicLatin12ptChar"/>
          <w:b w:val="0"/>
          <w:i/>
          <w:lang w:val="fr-FR"/>
        </w:rPr>
      </w:pPr>
    </w:p>
    <w:p w:rsidR="00F93B76" w:rsidRPr="00A32AF4" w:rsidRDefault="00CB4C6A" w:rsidP="00DC0553">
      <w:pPr>
        <w:rPr>
          <w:rStyle w:val="StyleStyleHeading3ComplexItalicLatin12ptChar"/>
          <w:b w:val="0"/>
          <w:i/>
          <w:lang w:val="fr-FR"/>
        </w:rPr>
      </w:pPr>
      <w:r w:rsidRPr="00A32AF4">
        <w:rPr>
          <w:noProof/>
          <w:lang w:eastAsia="fr-FR"/>
        </w:rPr>
        <w:drawing>
          <wp:inline distT="0" distB="0" distL="0" distR="0" wp14:anchorId="35E0BDD7" wp14:editId="09DFB15B">
            <wp:extent cx="5760085" cy="116702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60085" cy="1167026"/>
                    </a:xfrm>
                    <a:prstGeom prst="rect">
                      <a:avLst/>
                    </a:prstGeom>
                    <a:noFill/>
                    <a:ln>
                      <a:noFill/>
                    </a:ln>
                  </pic:spPr>
                </pic:pic>
              </a:graphicData>
            </a:graphic>
          </wp:inline>
        </w:drawing>
      </w:r>
    </w:p>
    <w:p w:rsidR="00F93B76" w:rsidRPr="00A32AF4" w:rsidRDefault="000D2FF6" w:rsidP="00DC0553">
      <w:pPr>
        <w:rPr>
          <w:i/>
          <w:sz w:val="16"/>
        </w:rPr>
      </w:pPr>
      <w:r w:rsidRPr="00A32AF4">
        <w:rPr>
          <w:i/>
          <w:sz w:val="16"/>
          <w:vertAlign w:val="superscript"/>
        </w:rPr>
        <w:t>1</w:t>
      </w:r>
      <w:r w:rsidRPr="00A32AF4">
        <w:rPr>
          <w:i/>
          <w:sz w:val="16"/>
        </w:rPr>
        <w:t xml:space="preserve"> Les chiffres ne comprennent pas les ajustements pour intérêts et taux de change.  Il est à noter également que ces fonds financent en général des activités qui portent sur une période excédant un exercice biennal ou qui sont à cheval sur deux</w:t>
      </w:r>
      <w:r w:rsidR="00FD43E3" w:rsidRPr="00A32AF4">
        <w:rPr>
          <w:i/>
          <w:sz w:val="16"/>
        </w:rPr>
        <w:t> </w:t>
      </w:r>
      <w:r w:rsidRPr="00A32AF4">
        <w:rPr>
          <w:i/>
          <w:sz w:val="16"/>
        </w:rPr>
        <w:t>exercices, à mesure que les recettes sont perçues et les dépenses encourues.</w:t>
      </w:r>
    </w:p>
    <w:p w:rsidR="00F93B76" w:rsidRPr="00A32AF4" w:rsidRDefault="000D2FF6" w:rsidP="00DC0553">
      <w:pPr>
        <w:rPr>
          <w:i/>
          <w:sz w:val="16"/>
        </w:rPr>
      </w:pPr>
      <w:r w:rsidRPr="00A32AF4">
        <w:rPr>
          <w:i/>
          <w:sz w:val="16"/>
          <w:vertAlign w:val="superscript"/>
        </w:rPr>
        <w:t>2</w:t>
      </w:r>
      <w:r w:rsidRPr="00A32AF4">
        <w:rPr>
          <w:i/>
          <w:sz w:val="16"/>
        </w:rPr>
        <w:t xml:space="preserve"> Ces chiffres purement indicatifs découlent des modes de financement précédents.  Ils ne représentent pas des engagements de la part des États membres, sauf dans les cas où l</w:t>
      </w:r>
      <w:r w:rsidR="00E2055A" w:rsidRPr="00A32AF4">
        <w:rPr>
          <w:i/>
          <w:sz w:val="16"/>
        </w:rPr>
        <w:t>’</w:t>
      </w:r>
      <w:r w:rsidRPr="00A32AF4">
        <w:rPr>
          <w:i/>
          <w:sz w:val="16"/>
        </w:rPr>
        <w:t>accord de fonds fiduciaire comprend un tel engagement.</w:t>
      </w:r>
    </w:p>
    <w:p w:rsidR="00F93B76" w:rsidRPr="00A32AF4" w:rsidRDefault="000D2FF6" w:rsidP="00DC0553">
      <w:pPr>
        <w:rPr>
          <w:i/>
          <w:sz w:val="16"/>
        </w:rPr>
      </w:pPr>
      <w:r w:rsidRPr="00A32AF4">
        <w:rPr>
          <w:i/>
          <w:sz w:val="16"/>
          <w:vertAlign w:val="superscript"/>
        </w:rPr>
        <w:t>3</w:t>
      </w:r>
      <w:r w:rsidRPr="00A32AF4">
        <w:rPr>
          <w:i/>
          <w:sz w:val="16"/>
        </w:rPr>
        <w:t xml:space="preserve"> Les contributions annuelles sont variables, des fluctuations ayant été constatées d</w:t>
      </w:r>
      <w:r w:rsidR="00E2055A" w:rsidRPr="00A32AF4">
        <w:rPr>
          <w:i/>
          <w:sz w:val="16"/>
        </w:rPr>
        <w:t>’</w:t>
      </w:r>
      <w:r w:rsidRPr="00A32AF4">
        <w:rPr>
          <w:i/>
          <w:sz w:val="16"/>
        </w:rPr>
        <w:t>une année à l</w:t>
      </w:r>
      <w:r w:rsidR="00E2055A" w:rsidRPr="00A32AF4">
        <w:rPr>
          <w:i/>
          <w:sz w:val="16"/>
        </w:rPr>
        <w:t>’</w:t>
      </w:r>
      <w:r w:rsidRPr="00A32AF4">
        <w:rPr>
          <w:i/>
          <w:sz w:val="16"/>
        </w:rPr>
        <w:t>autre.</w:t>
      </w:r>
    </w:p>
    <w:p w:rsidR="00F93B76" w:rsidRPr="00A32AF4" w:rsidRDefault="00F93B76" w:rsidP="00DC0553">
      <w:pPr>
        <w:rPr>
          <w:rStyle w:val="StyleStyleHeading3ComplexItalicLatin12ptChar"/>
          <w:b w:val="0"/>
          <w:lang w:val="fr-FR"/>
        </w:rPr>
      </w:pPr>
    </w:p>
    <w:p w:rsidR="00F93B76" w:rsidRPr="00A32AF4" w:rsidRDefault="00DB1CFC" w:rsidP="00DC0553">
      <w:pPr>
        <w:rPr>
          <w:rStyle w:val="StyleStyleHeading3ComplexItalicLatin12ptChar"/>
          <w:caps w:val="0"/>
          <w:lang w:val="fr-FR"/>
        </w:rPr>
      </w:pPr>
      <w:r w:rsidRPr="00A32AF4">
        <w:rPr>
          <w:rStyle w:val="StyleStyleHeading3ComplexItalicLatin12ptChar"/>
          <w:b w:val="0"/>
          <w:lang w:val="fr-FR"/>
        </w:rPr>
        <w:br w:type="page"/>
      </w:r>
    </w:p>
    <w:p w:rsidR="00F93B76" w:rsidRPr="00A32AF4" w:rsidRDefault="00D21583" w:rsidP="00FB1F61">
      <w:pPr>
        <w:pStyle w:val="Heading3"/>
        <w:rPr>
          <w:rStyle w:val="StyleStyleHeading3ComplexItalicLatin12ptChar"/>
          <w:rFonts w:ascii="Arial Bold" w:hAnsi="Arial Bold"/>
          <w:b/>
          <w:iCs w:val="0"/>
          <w:caps/>
          <w:lang w:val="fr-FR"/>
        </w:rPr>
      </w:pPr>
      <w:bookmarkStart w:id="24" w:name="_Toc431555438"/>
      <w:r w:rsidRPr="00A32AF4">
        <w:rPr>
          <w:rStyle w:val="StyleStyleHeading3ComplexItalicLatin12ptChar"/>
          <w:rFonts w:ascii="Arial Bold" w:hAnsi="Arial Bold"/>
          <w:b/>
          <w:iCs w:val="0"/>
          <w:caps/>
          <w:lang w:val="fr-FR"/>
        </w:rPr>
        <w:t>PROGRAMME </w:t>
      </w:r>
      <w:r w:rsidR="00CD1430" w:rsidRPr="00A32AF4">
        <w:rPr>
          <w:rStyle w:val="StyleStyleHeading3ComplexItalicLatin12ptChar"/>
          <w:rFonts w:ascii="Arial Bold" w:hAnsi="Arial Bold"/>
          <w:b/>
          <w:iCs w:val="0"/>
          <w:caps/>
          <w:lang w:val="fr-FR"/>
        </w:rPr>
        <w:t>4</w:t>
      </w:r>
      <w:r w:rsidR="0045209B" w:rsidRPr="00A32AF4">
        <w:rPr>
          <w:rStyle w:val="StyleStyleHeading3ComplexItalicLatin12ptChar"/>
          <w:rFonts w:ascii="Arial Bold" w:hAnsi="Arial Bold"/>
          <w:b/>
          <w:iCs w:val="0"/>
          <w:caps/>
          <w:lang w:val="fr-FR"/>
        </w:rPr>
        <w:tab/>
      </w:r>
      <w:r w:rsidR="00CD1430" w:rsidRPr="00A32AF4">
        <w:rPr>
          <w:rStyle w:val="StyleStyleHeading3ComplexItalicLatin12ptChar"/>
          <w:rFonts w:ascii="Arial Bold" w:hAnsi="Arial Bold"/>
          <w:b/>
          <w:iCs w:val="0"/>
          <w:caps/>
          <w:lang w:val="fr-FR"/>
        </w:rPr>
        <w:t>‎SAVOIRS TRADITIONNELS, EXPRESSIONS CULTURELLES TRADITIONNELLES ET RESSOURCES GÉNÉTIQUES</w:t>
      </w:r>
      <w:bookmarkEnd w:id="24"/>
    </w:p>
    <w:p w:rsidR="00F93B76" w:rsidRPr="00A32AF4" w:rsidRDefault="00F93B76" w:rsidP="00DC0553"/>
    <w:p w:rsidR="00F93B76" w:rsidRPr="00A32AF4" w:rsidRDefault="00F93B76" w:rsidP="00DC0553"/>
    <w:p w:rsidR="00F93B76" w:rsidRPr="00A32AF4" w:rsidRDefault="00CD1430" w:rsidP="00DC0553">
      <w:r w:rsidRPr="00A32AF4">
        <w:t>CONTEXTE DE PLANIFICATION</w:t>
      </w:r>
    </w:p>
    <w:p w:rsidR="00F93B76" w:rsidRPr="00A32AF4" w:rsidRDefault="00F93B76" w:rsidP="00DC0553"/>
    <w:p w:rsidR="00F93B76" w:rsidRPr="00A32AF4" w:rsidRDefault="00CD1430" w:rsidP="00DC0553">
      <w:pPr>
        <w:numPr>
          <w:ilvl w:val="0"/>
          <w:numId w:val="6"/>
        </w:numPr>
        <w:jc w:val="both"/>
        <w:rPr>
          <w:rFonts w:cs="Arial"/>
        </w:rPr>
      </w:pPr>
      <w:r w:rsidRPr="00A32AF4">
        <w:rPr>
          <w:rFonts w:cs="Arial"/>
        </w:rPr>
        <w:t>Ce programme vise à améliorer l</w:t>
      </w:r>
      <w:r w:rsidR="00E2055A" w:rsidRPr="00A32AF4">
        <w:rPr>
          <w:rFonts w:cs="Arial"/>
        </w:rPr>
        <w:t>’</w:t>
      </w:r>
      <w:r w:rsidRPr="00A32AF4">
        <w:rPr>
          <w:rFonts w:cs="Arial"/>
        </w:rPr>
        <w:t>utilisation des principes, des systèmes et des instruments de propriété intellectuelle, actuels et nouveaux, pour la protection des savoirs traditionnels et des expressions culturelles traditionnelles contre l</w:t>
      </w:r>
      <w:r w:rsidR="00E2055A" w:rsidRPr="00A32AF4">
        <w:rPr>
          <w:rFonts w:cs="Arial"/>
        </w:rPr>
        <w:t>’</w:t>
      </w:r>
      <w:r w:rsidRPr="00A32AF4">
        <w:rPr>
          <w:rFonts w:cs="Arial"/>
        </w:rPr>
        <w:t>appropriation illicite et l</w:t>
      </w:r>
      <w:r w:rsidR="00E2055A" w:rsidRPr="00A32AF4">
        <w:rPr>
          <w:rFonts w:cs="Arial"/>
        </w:rPr>
        <w:t>’</w:t>
      </w:r>
      <w:r w:rsidRPr="00A32AF4">
        <w:rPr>
          <w:rFonts w:cs="Arial"/>
        </w:rPr>
        <w:t>utilisation abusive, et pour répondre aux questions de propriété intellectuelle qui se posent dans le domaine des ressources génétiques, notamment en ce qui concerne l</w:t>
      </w:r>
      <w:r w:rsidR="00E2055A" w:rsidRPr="00A32AF4">
        <w:rPr>
          <w:rFonts w:cs="Arial"/>
        </w:rPr>
        <w:t>’</w:t>
      </w:r>
      <w:r w:rsidRPr="00A32AF4">
        <w:rPr>
          <w:rFonts w:cs="Arial"/>
        </w:rPr>
        <w:t>accès aux ressources génétiques et le partage équitable des avantages qui en découlent.</w:t>
      </w:r>
    </w:p>
    <w:p w:rsidR="00F93B76" w:rsidRPr="00A32AF4" w:rsidRDefault="00F93B76" w:rsidP="00DC0553">
      <w:pPr>
        <w:tabs>
          <w:tab w:val="num" w:pos="709"/>
        </w:tabs>
        <w:jc w:val="both"/>
        <w:rPr>
          <w:rFonts w:cs="Arial"/>
        </w:rPr>
      </w:pPr>
    </w:p>
    <w:p w:rsidR="00F93B76" w:rsidRPr="00A32AF4" w:rsidRDefault="00CD1430" w:rsidP="00DC0553">
      <w:pPr>
        <w:numPr>
          <w:ilvl w:val="0"/>
          <w:numId w:val="6"/>
        </w:numPr>
        <w:jc w:val="both"/>
        <w:rPr>
          <w:rFonts w:cs="Arial"/>
          <w:bCs/>
        </w:rPr>
      </w:pPr>
      <w:r w:rsidRPr="00A32AF4">
        <w:rPr>
          <w:rFonts w:cs="Arial"/>
          <w:bCs/>
        </w:rPr>
        <w:t>Dans ce contexte, le programme 4 vise à réunir les États membres autour de la question des activités d</w:t>
      </w:r>
      <w:r w:rsidR="00E2055A" w:rsidRPr="00A32AF4">
        <w:rPr>
          <w:rFonts w:cs="Arial"/>
          <w:bCs/>
        </w:rPr>
        <w:t>’</w:t>
      </w:r>
      <w:r w:rsidRPr="00A32AF4">
        <w:rPr>
          <w:rFonts w:cs="Arial"/>
          <w:bCs/>
        </w:rPr>
        <w:t>établissement de normes dans le domaine de la propriété intellectuelle relative aux savoirs traditionnels, aux expressions culturelles traditionnelles et aux ressources génétiques.  Les négociations internationales fondées sur le texte d</w:t>
      </w:r>
      <w:r w:rsidR="00E2055A" w:rsidRPr="00A32AF4">
        <w:rPr>
          <w:rFonts w:cs="Arial"/>
          <w:bCs/>
        </w:rPr>
        <w:t>’</w:t>
      </w:r>
      <w:r w:rsidRPr="00A32AF4">
        <w:rPr>
          <w:rFonts w:cs="Arial"/>
          <w:bCs/>
        </w:rPr>
        <w:t>un ou plusieurs instruments juridiques internationaux assurant la protection des savoirs traditionnels, des expressions culturelles traditionnelles et des ressources génétiques ont eu lieu au sein du Comité intergouvernemental de la propriété intellectuelle relative aux ressources génétiques, aux savoirs traditionnels et au folklore (ci</w:t>
      </w:r>
      <w:r w:rsidR="00EB7F54" w:rsidRPr="00A32AF4">
        <w:rPr>
          <w:rFonts w:cs="Arial"/>
          <w:bCs/>
        </w:rPr>
        <w:noBreakHyphen/>
      </w:r>
      <w:r w:rsidRPr="00A32AF4">
        <w:rPr>
          <w:rFonts w:cs="Arial"/>
          <w:bCs/>
        </w:rPr>
        <w:t xml:space="preserve">après dénommé </w:t>
      </w:r>
      <w:r w:rsidR="00B63C9F" w:rsidRPr="00A32AF4">
        <w:rPr>
          <w:rFonts w:cs="Arial"/>
          <w:bCs/>
        </w:rPr>
        <w:t>“</w:t>
      </w:r>
      <w:r w:rsidRPr="00A32AF4">
        <w:rPr>
          <w:rFonts w:cs="Arial"/>
          <w:bCs/>
        </w:rPr>
        <w:t>IGC</w:t>
      </w:r>
      <w:r w:rsidR="00B63C9F" w:rsidRPr="00A32AF4">
        <w:rPr>
          <w:rFonts w:cs="Arial"/>
          <w:bCs/>
        </w:rPr>
        <w:t>”</w:t>
      </w:r>
      <w:r w:rsidRPr="00A32AF4">
        <w:rPr>
          <w:rFonts w:cs="Arial"/>
          <w:bCs/>
        </w:rPr>
        <w:t>).  L</w:t>
      </w:r>
      <w:r w:rsidR="00E2055A" w:rsidRPr="00A32AF4">
        <w:rPr>
          <w:rFonts w:cs="Arial"/>
          <w:bCs/>
        </w:rPr>
        <w:t>’</w:t>
      </w:r>
      <w:r w:rsidRPr="00A32AF4">
        <w:rPr>
          <w:rFonts w:cs="Arial"/>
          <w:bCs/>
        </w:rPr>
        <w:t>Assemblée générale sera invitée à se prononcer sur le renouvellement du mandat de l</w:t>
      </w:r>
      <w:r w:rsidR="00E2055A" w:rsidRPr="00A32AF4">
        <w:rPr>
          <w:rFonts w:cs="Arial"/>
          <w:bCs/>
        </w:rPr>
        <w:t>’</w:t>
      </w:r>
      <w:r w:rsidRPr="00A32AF4">
        <w:rPr>
          <w:rFonts w:cs="Arial"/>
          <w:bCs/>
        </w:rPr>
        <w:t>IGC et les conditions y relatives.</w:t>
      </w:r>
    </w:p>
    <w:p w:rsidR="00F93B76" w:rsidRPr="00A32AF4" w:rsidRDefault="00F93B76" w:rsidP="00DC0553">
      <w:pPr>
        <w:tabs>
          <w:tab w:val="num" w:pos="709"/>
        </w:tabs>
        <w:jc w:val="both"/>
        <w:rPr>
          <w:rFonts w:cs="Arial"/>
          <w:bCs/>
        </w:rPr>
      </w:pPr>
    </w:p>
    <w:p w:rsidR="00F93B76" w:rsidRPr="00A32AF4" w:rsidRDefault="00CD1430" w:rsidP="00DC0553">
      <w:pPr>
        <w:numPr>
          <w:ilvl w:val="0"/>
          <w:numId w:val="6"/>
        </w:numPr>
        <w:jc w:val="both"/>
        <w:rPr>
          <w:rFonts w:cs="Arial"/>
          <w:bCs/>
        </w:rPr>
      </w:pPr>
      <w:r w:rsidRPr="00A32AF4">
        <w:rPr>
          <w:rFonts w:cs="Arial"/>
          <w:bCs/>
        </w:rPr>
        <w:t>L</w:t>
      </w:r>
      <w:r w:rsidR="00E2055A" w:rsidRPr="00A32AF4">
        <w:rPr>
          <w:rFonts w:cs="Arial"/>
          <w:bCs/>
        </w:rPr>
        <w:t>’</w:t>
      </w:r>
      <w:r w:rsidRPr="00A32AF4">
        <w:rPr>
          <w:rFonts w:cs="Arial"/>
          <w:bCs/>
        </w:rPr>
        <w:t>assistance pratique sous forme d</w:t>
      </w:r>
      <w:r w:rsidR="00E2055A" w:rsidRPr="00A32AF4">
        <w:rPr>
          <w:rFonts w:cs="Arial"/>
          <w:bCs/>
        </w:rPr>
        <w:t>’</w:t>
      </w:r>
      <w:r w:rsidRPr="00A32AF4">
        <w:rPr>
          <w:rFonts w:cs="Arial"/>
          <w:bCs/>
        </w:rPr>
        <w:t>activités ciblées de sensibilisation, de renforcement des capacités, de formation et d</w:t>
      </w:r>
      <w:r w:rsidR="00E2055A" w:rsidRPr="00A32AF4">
        <w:rPr>
          <w:rFonts w:cs="Arial"/>
          <w:bCs/>
        </w:rPr>
        <w:t>’</w:t>
      </w:r>
      <w:r w:rsidRPr="00A32AF4">
        <w:rPr>
          <w:rFonts w:cs="Arial"/>
          <w:bCs/>
        </w:rPr>
        <w:t>assistance technico</w:t>
      </w:r>
      <w:r w:rsidR="00EB7F54" w:rsidRPr="00A32AF4">
        <w:rPr>
          <w:rFonts w:cs="Arial"/>
          <w:bCs/>
        </w:rPr>
        <w:noBreakHyphen/>
      </w:r>
      <w:r w:rsidRPr="00A32AF4">
        <w:rPr>
          <w:rFonts w:cs="Arial"/>
          <w:bCs/>
        </w:rPr>
        <w:t>juridique continuera d</w:t>
      </w:r>
      <w:r w:rsidR="00E2055A" w:rsidRPr="00A32AF4">
        <w:rPr>
          <w:rFonts w:cs="Arial"/>
          <w:bCs/>
        </w:rPr>
        <w:t>’</w:t>
      </w:r>
      <w:r w:rsidRPr="00A32AF4">
        <w:rPr>
          <w:rFonts w:cs="Arial"/>
          <w:bCs/>
        </w:rPr>
        <w:t>être fournie aux États membres, aux peuples autochtones et aux communautés locales, ainsi qu</w:t>
      </w:r>
      <w:r w:rsidR="00E2055A" w:rsidRPr="00A32AF4">
        <w:rPr>
          <w:rFonts w:cs="Arial"/>
          <w:bCs/>
        </w:rPr>
        <w:t>’</w:t>
      </w:r>
      <w:r w:rsidRPr="00A32AF4">
        <w:rPr>
          <w:rFonts w:cs="Arial"/>
          <w:bCs/>
        </w:rPr>
        <w:t xml:space="preserve">aux autres parties prenantes. </w:t>
      </w:r>
      <w:r w:rsidR="00FD43E3" w:rsidRPr="00A32AF4">
        <w:rPr>
          <w:rFonts w:cs="Arial"/>
          <w:bCs/>
        </w:rPr>
        <w:t xml:space="preserve"> </w:t>
      </w:r>
      <w:r w:rsidRPr="00A32AF4">
        <w:rPr>
          <w:rFonts w:cs="Arial"/>
          <w:bCs/>
        </w:rPr>
        <w:t>Ce programme donne accès à une large palette d</w:t>
      </w:r>
      <w:r w:rsidR="00E2055A" w:rsidRPr="00A32AF4">
        <w:rPr>
          <w:rFonts w:cs="Arial"/>
          <w:bCs/>
        </w:rPr>
        <w:t>’</w:t>
      </w:r>
      <w:r w:rsidRPr="00A32AF4">
        <w:rPr>
          <w:rFonts w:cs="Arial"/>
          <w:bCs/>
        </w:rPr>
        <w:t>instruments, de cours de formation, de publications et d</w:t>
      </w:r>
      <w:r w:rsidR="00E2055A" w:rsidRPr="00A32AF4">
        <w:rPr>
          <w:rFonts w:cs="Arial"/>
          <w:bCs/>
        </w:rPr>
        <w:t>’</w:t>
      </w:r>
      <w:r w:rsidRPr="00A32AF4">
        <w:rPr>
          <w:rFonts w:cs="Arial"/>
          <w:bCs/>
        </w:rPr>
        <w:t>autres sources d</w:t>
      </w:r>
      <w:r w:rsidR="00E2055A" w:rsidRPr="00A32AF4">
        <w:rPr>
          <w:rFonts w:cs="Arial"/>
          <w:bCs/>
        </w:rPr>
        <w:t>’</w:t>
      </w:r>
      <w:r w:rsidRPr="00A32AF4">
        <w:rPr>
          <w:rFonts w:cs="Arial"/>
          <w:bCs/>
        </w:rPr>
        <w:t>informations très utiles.</w:t>
      </w:r>
    </w:p>
    <w:p w:rsidR="00F93B76" w:rsidRPr="00A32AF4" w:rsidRDefault="00F93B76" w:rsidP="00DC0553">
      <w:pPr>
        <w:tabs>
          <w:tab w:val="num" w:pos="709"/>
        </w:tabs>
        <w:jc w:val="both"/>
        <w:rPr>
          <w:rFonts w:cs="Arial"/>
          <w:bCs/>
        </w:rPr>
      </w:pPr>
    </w:p>
    <w:p w:rsidR="00F93B76" w:rsidRPr="00A32AF4" w:rsidRDefault="00CD1430" w:rsidP="00DC0553">
      <w:pPr>
        <w:numPr>
          <w:ilvl w:val="0"/>
          <w:numId w:val="6"/>
        </w:numPr>
        <w:jc w:val="both"/>
        <w:rPr>
          <w:rFonts w:cs="Arial"/>
          <w:bCs/>
        </w:rPr>
      </w:pPr>
      <w:r w:rsidRPr="00A32AF4">
        <w:rPr>
          <w:rFonts w:cs="Arial"/>
          <w:bCs/>
        </w:rPr>
        <w:t>Ce programme repose sur des piliers normatifs et pratiques qui sont à la fois complémentaires et liés entre eux.</w:t>
      </w:r>
    </w:p>
    <w:p w:rsidR="00F93B76" w:rsidRPr="00A32AF4" w:rsidRDefault="00F93B76" w:rsidP="00DC0553"/>
    <w:p w:rsidR="00F93B76" w:rsidRPr="00A32AF4" w:rsidRDefault="00F93B76" w:rsidP="00DC0553"/>
    <w:p w:rsidR="00F93B76" w:rsidRPr="00A32AF4" w:rsidRDefault="00CD1430" w:rsidP="00DC0553">
      <w:r w:rsidRPr="00A32AF4">
        <w:t>STRATÉGIES DE MISE EN ŒUVRE</w:t>
      </w:r>
    </w:p>
    <w:p w:rsidR="00F93B76" w:rsidRPr="00A32AF4" w:rsidRDefault="00F93B76" w:rsidP="00DC0553"/>
    <w:p w:rsidR="00F93B76" w:rsidRPr="00A32AF4" w:rsidRDefault="00CD1430" w:rsidP="00DC0553">
      <w:pPr>
        <w:numPr>
          <w:ilvl w:val="0"/>
          <w:numId w:val="6"/>
        </w:numPr>
        <w:jc w:val="both"/>
        <w:rPr>
          <w:rFonts w:cs="Arial"/>
        </w:rPr>
      </w:pPr>
      <w:r w:rsidRPr="00A32AF4">
        <w:rPr>
          <w:rFonts w:cs="Arial"/>
        </w:rPr>
        <w:t>En tant que processus régi par les États membres, les progrès vers des résultats à l</w:t>
      </w:r>
      <w:r w:rsidR="00E2055A" w:rsidRPr="00A32AF4">
        <w:rPr>
          <w:rFonts w:cs="Arial"/>
        </w:rPr>
        <w:t>’</w:t>
      </w:r>
      <w:r w:rsidRPr="00A32AF4">
        <w:rPr>
          <w:rFonts w:cs="Arial"/>
        </w:rPr>
        <w:t xml:space="preserve">échelle internationale dépendent en grande partie des décisions des États membres. </w:t>
      </w:r>
      <w:r w:rsidR="00FD43E3" w:rsidRPr="00A32AF4">
        <w:rPr>
          <w:rFonts w:cs="Arial"/>
        </w:rPr>
        <w:t xml:space="preserve"> </w:t>
      </w:r>
      <w:r w:rsidRPr="00A32AF4">
        <w:rPr>
          <w:rFonts w:cs="Arial"/>
        </w:rPr>
        <w:t>Ce programme devrait donc viser, en premier lieu, à créer un environnement propice à la mise en œuvre d</w:t>
      </w:r>
      <w:r w:rsidR="00E2055A" w:rsidRPr="00A32AF4">
        <w:rPr>
          <w:rFonts w:cs="Arial"/>
        </w:rPr>
        <w:t>’</w:t>
      </w:r>
      <w:r w:rsidRPr="00A32AF4">
        <w:rPr>
          <w:rFonts w:cs="Arial"/>
        </w:rPr>
        <w:t>activités d</w:t>
      </w:r>
      <w:r w:rsidR="00E2055A" w:rsidRPr="00A32AF4">
        <w:rPr>
          <w:rFonts w:cs="Arial"/>
        </w:rPr>
        <w:t>’</w:t>
      </w:r>
      <w:r w:rsidRPr="00A32AF4">
        <w:rPr>
          <w:rFonts w:cs="Arial"/>
        </w:rPr>
        <w:t>établissement de normes ciblées, selon la décision de l</w:t>
      </w:r>
      <w:r w:rsidR="00E2055A" w:rsidRPr="00A32AF4">
        <w:rPr>
          <w:rFonts w:cs="Arial"/>
        </w:rPr>
        <w:t>’</w:t>
      </w:r>
      <w:r w:rsidRPr="00A32AF4">
        <w:rPr>
          <w:rFonts w:cs="Arial"/>
        </w:rPr>
        <w:t>Assemblée générale, qui pourraient déboucher sur une perspective commune, une convergence de vues et, enfin, des décisions des États membres.</w:t>
      </w:r>
    </w:p>
    <w:p w:rsidR="00F93B76" w:rsidRPr="00A32AF4" w:rsidRDefault="00F93B76" w:rsidP="00DC0553">
      <w:pPr>
        <w:tabs>
          <w:tab w:val="left" w:pos="0"/>
          <w:tab w:val="left" w:pos="1985"/>
        </w:tabs>
        <w:jc w:val="both"/>
        <w:rPr>
          <w:rFonts w:cs="Arial"/>
        </w:rPr>
      </w:pPr>
    </w:p>
    <w:p w:rsidR="00F93B76" w:rsidRPr="00A32AF4" w:rsidRDefault="00CD1430" w:rsidP="00DC0553">
      <w:pPr>
        <w:numPr>
          <w:ilvl w:val="0"/>
          <w:numId w:val="6"/>
        </w:numPr>
        <w:jc w:val="both"/>
        <w:rPr>
          <w:rFonts w:cs="Arial"/>
        </w:rPr>
      </w:pPr>
      <w:proofErr w:type="gramStart"/>
      <w:r w:rsidRPr="00A32AF4">
        <w:rPr>
          <w:rFonts w:cs="Arial"/>
        </w:rPr>
        <w:t>Le programme devrait également viser à ce que les États, les peuples autochtones et les communautés locales (</w:t>
      </w:r>
      <w:r w:rsidR="00E2055A" w:rsidRPr="00A32AF4">
        <w:rPr>
          <w:rFonts w:cs="Arial"/>
        </w:rPr>
        <w:t>y compris</w:t>
      </w:r>
      <w:r w:rsidRPr="00A32AF4">
        <w:rPr>
          <w:rFonts w:cs="Arial"/>
        </w:rPr>
        <w:t xml:space="preserve"> les femmes), ainsi que les autres parties prenantes prennent davantage conscience que le lien entre la propriété intellectuelle et les savoirs traditionnels, les expressions culturelles traditionnelles et les ressources génétiques fait partie intégrante de l</w:t>
      </w:r>
      <w:r w:rsidR="00E2055A" w:rsidRPr="00A32AF4">
        <w:rPr>
          <w:rFonts w:cs="Arial"/>
        </w:rPr>
        <w:t>’</w:t>
      </w:r>
      <w:r w:rsidRPr="00A32AF4">
        <w:rPr>
          <w:rFonts w:cs="Arial"/>
        </w:rPr>
        <w:t>élaboration des stratégies de développement nationales et des politiques culturelles et en matière d</w:t>
      </w:r>
      <w:r w:rsidR="00E2055A" w:rsidRPr="00A32AF4">
        <w:rPr>
          <w:rFonts w:cs="Arial"/>
        </w:rPr>
        <w:t>’</w:t>
      </w:r>
      <w:r w:rsidRPr="00A32AF4">
        <w:rPr>
          <w:rFonts w:cs="Arial"/>
        </w:rPr>
        <w:t>innovation et, plus précisément, à ce qu</w:t>
      </w:r>
      <w:r w:rsidR="00E2055A" w:rsidRPr="00A32AF4">
        <w:rPr>
          <w:rFonts w:cs="Arial"/>
        </w:rPr>
        <w:t>’</w:t>
      </w:r>
      <w:r w:rsidRPr="00A32AF4">
        <w:rPr>
          <w:rFonts w:cs="Arial"/>
        </w:rPr>
        <w:t>ils utilisent de manière accrue les principes et les systèmes de propriété intellectuelle pour assurer la protection efficace des savoirs traditionnels et des expressions culturelles traditionnelles et la gestion du lien entre la propriété intellectuelle et les ressources génétiques à des fins de développement économique, social et culturel.</w:t>
      </w:r>
      <w:proofErr w:type="gramEnd"/>
    </w:p>
    <w:p w:rsidR="00F93B76" w:rsidRPr="00A32AF4" w:rsidRDefault="00F93B76" w:rsidP="00DC0553">
      <w:pPr>
        <w:jc w:val="both"/>
        <w:rPr>
          <w:rFonts w:cs="Arial"/>
          <w:bCs/>
        </w:rPr>
      </w:pPr>
    </w:p>
    <w:p w:rsidR="00F93B76" w:rsidRPr="00A32AF4" w:rsidRDefault="00CD1430" w:rsidP="00DC0553">
      <w:pPr>
        <w:numPr>
          <w:ilvl w:val="0"/>
          <w:numId w:val="6"/>
        </w:numPr>
        <w:jc w:val="both"/>
        <w:rPr>
          <w:rFonts w:cs="Arial"/>
        </w:rPr>
      </w:pPr>
      <w:r w:rsidRPr="00A32AF4">
        <w:rPr>
          <w:rFonts w:cs="Arial"/>
        </w:rPr>
        <w:t>Pour parvenir aux résultats escomptés, le programme visera à mettre en œuvre les trois</w:t>
      </w:r>
      <w:r w:rsidR="00FD43E3" w:rsidRPr="00A32AF4">
        <w:rPr>
          <w:rFonts w:cs="Arial"/>
        </w:rPr>
        <w:t> </w:t>
      </w:r>
      <w:r w:rsidRPr="00A32AF4">
        <w:rPr>
          <w:rFonts w:cs="Arial"/>
        </w:rPr>
        <w:t>stratégies complémentaires et liées entre elles ci</w:t>
      </w:r>
      <w:r w:rsidR="00EB7F54" w:rsidRPr="00A32AF4">
        <w:rPr>
          <w:rFonts w:cs="Arial"/>
        </w:rPr>
        <w:noBreakHyphen/>
      </w:r>
      <w:r w:rsidRPr="00A32AF4">
        <w:rPr>
          <w:rFonts w:cs="Arial"/>
        </w:rPr>
        <w:t>après :</w:t>
      </w:r>
    </w:p>
    <w:p w:rsidR="00F93B76" w:rsidRPr="00A32AF4" w:rsidRDefault="00F93B76" w:rsidP="00DC0553">
      <w:pPr>
        <w:jc w:val="both"/>
        <w:rPr>
          <w:rFonts w:cs="Arial"/>
          <w:bCs/>
        </w:rPr>
      </w:pPr>
    </w:p>
    <w:p w:rsidR="00E2055A" w:rsidRPr="00A32AF4" w:rsidRDefault="00CD1430" w:rsidP="00DC0553">
      <w:pPr>
        <w:pStyle w:val="ListParagraph"/>
        <w:numPr>
          <w:ilvl w:val="1"/>
          <w:numId w:val="15"/>
        </w:numPr>
        <w:tabs>
          <w:tab w:val="left" w:pos="1134"/>
        </w:tabs>
        <w:spacing w:after="0" w:line="240" w:lineRule="auto"/>
        <w:ind w:left="1134" w:hanging="567"/>
        <w:jc w:val="both"/>
        <w:rPr>
          <w:rFonts w:ascii="Arial" w:hAnsi="Arial" w:cs="Arial"/>
        </w:rPr>
      </w:pPr>
      <w:proofErr w:type="gramStart"/>
      <w:r w:rsidRPr="00A32AF4">
        <w:rPr>
          <w:rFonts w:ascii="Arial" w:hAnsi="Arial" w:cs="Arial"/>
        </w:rPr>
        <w:t>fournir, de manière professionnelle et neutre, un appui logistique, technique et administratif pour les réunions et les conférences sur les activités d</w:t>
      </w:r>
      <w:r w:rsidR="00E2055A" w:rsidRPr="00A32AF4">
        <w:rPr>
          <w:rFonts w:ascii="Arial" w:hAnsi="Arial" w:cs="Arial"/>
        </w:rPr>
        <w:t>’</w:t>
      </w:r>
      <w:r w:rsidRPr="00A32AF4">
        <w:rPr>
          <w:rFonts w:ascii="Arial" w:hAnsi="Arial" w:cs="Arial"/>
        </w:rPr>
        <w:t>établissement de normes décidées par l</w:t>
      </w:r>
      <w:r w:rsidR="00E2055A" w:rsidRPr="00A32AF4">
        <w:rPr>
          <w:rFonts w:ascii="Arial" w:hAnsi="Arial" w:cs="Arial"/>
        </w:rPr>
        <w:t>’</w:t>
      </w:r>
      <w:r w:rsidRPr="00A32AF4">
        <w:rPr>
          <w:rFonts w:ascii="Arial" w:hAnsi="Arial" w:cs="Arial"/>
        </w:rPr>
        <w:t>Assemblée générale;  fournir un appui administratif en faveur d</w:t>
      </w:r>
      <w:r w:rsidR="00E2055A" w:rsidRPr="00A32AF4">
        <w:rPr>
          <w:rFonts w:ascii="Arial" w:hAnsi="Arial" w:cs="Arial"/>
        </w:rPr>
        <w:t>’</w:t>
      </w:r>
      <w:r w:rsidRPr="00A32AF4">
        <w:rPr>
          <w:rFonts w:ascii="Arial" w:hAnsi="Arial" w:cs="Arial"/>
        </w:rPr>
        <w:t>initiatives visant à renforcer la participation effective des représentants des peuples autochtones et des communautés locales aux travaux de l</w:t>
      </w:r>
      <w:r w:rsidR="00E2055A" w:rsidRPr="00A32AF4">
        <w:rPr>
          <w:rFonts w:ascii="Arial" w:hAnsi="Arial" w:cs="Arial"/>
        </w:rPr>
        <w:t>’</w:t>
      </w:r>
      <w:r w:rsidRPr="00A32AF4">
        <w:rPr>
          <w:rFonts w:ascii="Arial" w:hAnsi="Arial" w:cs="Arial"/>
        </w:rPr>
        <w:t xml:space="preserve">OMPI, </w:t>
      </w:r>
      <w:r w:rsidR="00E2055A" w:rsidRPr="00A32AF4">
        <w:rPr>
          <w:rFonts w:ascii="Arial" w:hAnsi="Arial" w:cs="Arial"/>
        </w:rPr>
        <w:t>y compris</w:t>
      </w:r>
      <w:r w:rsidRPr="00A32AF4">
        <w:rPr>
          <w:rFonts w:ascii="Arial" w:hAnsi="Arial" w:cs="Arial"/>
        </w:rPr>
        <w:t xml:space="preserve"> en ce qui concerne la gestion logistique du Fonds de contributions volontaires de l</w:t>
      </w:r>
      <w:r w:rsidR="00E2055A" w:rsidRPr="00A32AF4">
        <w:rPr>
          <w:rFonts w:ascii="Arial" w:hAnsi="Arial" w:cs="Arial"/>
        </w:rPr>
        <w:t>’</w:t>
      </w:r>
      <w:r w:rsidRPr="00A32AF4">
        <w:rPr>
          <w:rFonts w:ascii="Arial" w:hAnsi="Arial" w:cs="Arial"/>
        </w:rPr>
        <w:t>OMPI pour les communautés autochtones et locales accréditées, et assurer une coordination et une coopération étroites avec d</w:t>
      </w:r>
      <w:r w:rsidR="00E2055A" w:rsidRPr="00A32AF4">
        <w:rPr>
          <w:rFonts w:ascii="Arial" w:hAnsi="Arial" w:cs="Arial"/>
        </w:rPr>
        <w:t>’</w:t>
      </w:r>
      <w:r w:rsidRPr="00A32AF4">
        <w:rPr>
          <w:rFonts w:ascii="Arial" w:hAnsi="Arial" w:cs="Arial"/>
        </w:rPr>
        <w:t>autres organisations et instances intergouvernementales;</w:t>
      </w:r>
      <w:proofErr w:type="gramEnd"/>
    </w:p>
    <w:p w:rsidR="00F93B76" w:rsidRPr="00A32AF4" w:rsidRDefault="00F93B76" w:rsidP="00DC0553">
      <w:pPr>
        <w:pStyle w:val="ListParagraph"/>
        <w:tabs>
          <w:tab w:val="left" w:pos="1134"/>
        </w:tabs>
        <w:spacing w:line="240" w:lineRule="auto"/>
        <w:ind w:left="1134"/>
        <w:jc w:val="both"/>
        <w:rPr>
          <w:rFonts w:ascii="Arial" w:hAnsi="Arial" w:cs="Arial"/>
        </w:rPr>
      </w:pPr>
    </w:p>
    <w:p w:rsidR="00F93B76" w:rsidRPr="00A32AF4" w:rsidRDefault="00CD1430" w:rsidP="00DC0553">
      <w:pPr>
        <w:pStyle w:val="ListParagraph"/>
        <w:numPr>
          <w:ilvl w:val="1"/>
          <w:numId w:val="15"/>
        </w:numPr>
        <w:tabs>
          <w:tab w:val="left" w:pos="1134"/>
        </w:tabs>
        <w:spacing w:after="0" w:line="240" w:lineRule="auto"/>
        <w:ind w:left="1134" w:hanging="567"/>
        <w:jc w:val="both"/>
        <w:rPr>
          <w:rFonts w:ascii="Arial" w:hAnsi="Arial" w:cs="Arial"/>
        </w:rPr>
      </w:pPr>
      <w:r w:rsidRPr="00A32AF4">
        <w:rPr>
          <w:rFonts w:ascii="Arial" w:hAnsi="Arial" w:cs="Arial"/>
        </w:rPr>
        <w:t>développer et mettre à disposition un ensemble rationnel et intégré de ressources, de programmes et d</w:t>
      </w:r>
      <w:r w:rsidR="00E2055A" w:rsidRPr="00A32AF4">
        <w:rPr>
          <w:rFonts w:ascii="Arial" w:hAnsi="Arial" w:cs="Arial"/>
        </w:rPr>
        <w:t>’</w:t>
      </w:r>
      <w:r w:rsidRPr="00A32AF4">
        <w:rPr>
          <w:rFonts w:ascii="Arial" w:hAnsi="Arial" w:cs="Arial"/>
        </w:rPr>
        <w:t>instruments pertinents et efficaces en matière de renforcement des capacités et d</w:t>
      </w:r>
      <w:r w:rsidR="00E2055A" w:rsidRPr="00A32AF4">
        <w:rPr>
          <w:rFonts w:ascii="Arial" w:hAnsi="Arial" w:cs="Arial"/>
        </w:rPr>
        <w:t>’</w:t>
      </w:r>
      <w:r w:rsidRPr="00A32AF4">
        <w:rPr>
          <w:rFonts w:ascii="Arial" w:hAnsi="Arial" w:cs="Arial"/>
        </w:rPr>
        <w:t>assistance technique juridique, conformément aux stratégies et aux politiques de développement nationales et, si possible, en concertation avec les organisations intergouvernementales et autres organisations compétentes;  et</w:t>
      </w:r>
    </w:p>
    <w:p w:rsidR="00F93B76" w:rsidRPr="00A32AF4" w:rsidRDefault="00F93B76" w:rsidP="00DC0553">
      <w:pPr>
        <w:pStyle w:val="ListParagraph"/>
        <w:tabs>
          <w:tab w:val="left" w:pos="1134"/>
        </w:tabs>
        <w:spacing w:line="240" w:lineRule="auto"/>
        <w:ind w:left="1134" w:hanging="567"/>
        <w:jc w:val="both"/>
        <w:rPr>
          <w:rFonts w:ascii="Arial" w:hAnsi="Arial" w:cs="Arial"/>
        </w:rPr>
      </w:pPr>
    </w:p>
    <w:p w:rsidR="00F93B76" w:rsidRPr="00A32AF4" w:rsidRDefault="00CD1430" w:rsidP="00DC0553">
      <w:pPr>
        <w:pStyle w:val="ListParagraph"/>
        <w:numPr>
          <w:ilvl w:val="1"/>
          <w:numId w:val="15"/>
        </w:numPr>
        <w:tabs>
          <w:tab w:val="left" w:pos="1134"/>
        </w:tabs>
        <w:spacing w:after="0" w:line="240" w:lineRule="auto"/>
        <w:ind w:left="1134" w:hanging="567"/>
        <w:jc w:val="both"/>
        <w:rPr>
          <w:rFonts w:ascii="Arial" w:hAnsi="Arial" w:cs="Arial"/>
        </w:rPr>
      </w:pPr>
      <w:r w:rsidRPr="00A32AF4">
        <w:rPr>
          <w:rFonts w:ascii="Arial" w:hAnsi="Arial" w:cs="Arial"/>
        </w:rPr>
        <w:t>fournir des conseils en ce qui concerne les aspects de propriété intellectuelle de la mise en place des bases de données, des inventaires, des registres et d</w:t>
      </w:r>
      <w:r w:rsidR="00E2055A" w:rsidRPr="00A32AF4">
        <w:rPr>
          <w:rFonts w:ascii="Arial" w:hAnsi="Arial" w:cs="Arial"/>
        </w:rPr>
        <w:t>’</w:t>
      </w:r>
      <w:r w:rsidRPr="00A32AF4">
        <w:rPr>
          <w:rFonts w:ascii="Arial" w:hAnsi="Arial" w:cs="Arial"/>
        </w:rPr>
        <w:t>autres plates</w:t>
      </w:r>
      <w:r w:rsidR="00EB7F54" w:rsidRPr="00A32AF4">
        <w:rPr>
          <w:rFonts w:ascii="Arial" w:hAnsi="Arial" w:cs="Arial"/>
        </w:rPr>
        <w:noBreakHyphen/>
      </w:r>
      <w:r w:rsidRPr="00A32AF4">
        <w:rPr>
          <w:rFonts w:ascii="Arial" w:hAnsi="Arial" w:cs="Arial"/>
        </w:rPr>
        <w:t>formes, ainsi que des institutions, des administrations et des agences, qui pourraient compléter et participer à la mise en œuvre des cadres juridiques et politiques que les États, les organisations régionales et les communautés pourraient décider de développer.</w:t>
      </w:r>
    </w:p>
    <w:p w:rsidR="00F93B76" w:rsidRPr="00A32AF4" w:rsidRDefault="00F93B76" w:rsidP="00DC0553">
      <w:pPr>
        <w:tabs>
          <w:tab w:val="left" w:pos="567"/>
          <w:tab w:val="left" w:pos="1985"/>
        </w:tabs>
        <w:ind w:left="360"/>
        <w:jc w:val="both"/>
        <w:rPr>
          <w:rFonts w:cs="Arial"/>
        </w:rPr>
      </w:pPr>
    </w:p>
    <w:p w:rsidR="00F93B76" w:rsidRPr="00A32AF4" w:rsidRDefault="00CD1430" w:rsidP="00DC0553">
      <w:pPr>
        <w:numPr>
          <w:ilvl w:val="0"/>
          <w:numId w:val="6"/>
        </w:numPr>
        <w:tabs>
          <w:tab w:val="left" w:pos="567"/>
        </w:tabs>
        <w:jc w:val="both"/>
        <w:rPr>
          <w:rFonts w:eastAsia="SimSun" w:cs="Arial"/>
          <w:lang w:eastAsia="zh-CN"/>
        </w:rPr>
      </w:pPr>
      <w:r w:rsidRPr="00A32AF4">
        <w:rPr>
          <w:rFonts w:eastAsia="SimSun" w:cs="Arial"/>
          <w:lang w:eastAsia="zh-CN"/>
        </w:rPr>
        <w:t>La recommandation n° 18 du Plan d</w:t>
      </w:r>
      <w:r w:rsidR="00E2055A" w:rsidRPr="00A32AF4">
        <w:rPr>
          <w:rFonts w:eastAsia="SimSun" w:cs="Arial"/>
          <w:lang w:eastAsia="zh-CN"/>
        </w:rPr>
        <w:t>’</w:t>
      </w:r>
      <w:r w:rsidRPr="00A32AF4">
        <w:rPr>
          <w:rFonts w:eastAsia="SimSun" w:cs="Arial"/>
          <w:lang w:eastAsia="zh-CN"/>
        </w:rPr>
        <w:t>action pour le développement mentionne explicitement l</w:t>
      </w:r>
      <w:r w:rsidR="00E2055A" w:rsidRPr="00A32AF4">
        <w:rPr>
          <w:rFonts w:eastAsia="SimSun" w:cs="Arial"/>
          <w:lang w:eastAsia="zh-CN"/>
        </w:rPr>
        <w:t>’</w:t>
      </w:r>
      <w:r w:rsidRPr="00A32AF4">
        <w:rPr>
          <w:rFonts w:eastAsia="SimSun" w:cs="Arial"/>
          <w:lang w:eastAsia="zh-CN"/>
        </w:rPr>
        <w:t xml:space="preserve">IGC.  </w:t>
      </w:r>
      <w:proofErr w:type="gramStart"/>
      <w:r w:rsidRPr="00A32AF4">
        <w:rPr>
          <w:rFonts w:eastAsia="SimSun" w:cs="Arial"/>
          <w:lang w:eastAsia="zh-CN"/>
        </w:rPr>
        <w:t>Les activités d</w:t>
      </w:r>
      <w:r w:rsidR="00E2055A" w:rsidRPr="00A32AF4">
        <w:rPr>
          <w:rFonts w:eastAsia="SimSun" w:cs="Arial"/>
          <w:lang w:eastAsia="zh-CN"/>
        </w:rPr>
        <w:t>’</w:t>
      </w:r>
      <w:r w:rsidRPr="00A32AF4">
        <w:rPr>
          <w:rFonts w:eastAsia="SimSun" w:cs="Arial"/>
          <w:lang w:eastAsia="zh-CN"/>
        </w:rPr>
        <w:t>établissement de normes au sein de l</w:t>
      </w:r>
      <w:r w:rsidR="00E2055A" w:rsidRPr="00A32AF4">
        <w:rPr>
          <w:rFonts w:eastAsia="SimSun" w:cs="Arial"/>
          <w:lang w:eastAsia="zh-CN"/>
        </w:rPr>
        <w:t>’</w:t>
      </w:r>
      <w:r w:rsidRPr="00A32AF4">
        <w:rPr>
          <w:rFonts w:eastAsia="SimSun" w:cs="Arial"/>
          <w:lang w:eastAsia="zh-CN"/>
        </w:rPr>
        <w:t>IGC sont réalisées à l</w:t>
      </w:r>
      <w:r w:rsidR="00E2055A" w:rsidRPr="00A32AF4">
        <w:rPr>
          <w:rFonts w:eastAsia="SimSun" w:cs="Arial"/>
          <w:lang w:eastAsia="zh-CN"/>
        </w:rPr>
        <w:t>’</w:t>
      </w:r>
      <w:r w:rsidRPr="00A32AF4">
        <w:rPr>
          <w:rFonts w:eastAsia="SimSun" w:cs="Arial"/>
          <w:lang w:eastAsia="zh-CN"/>
        </w:rPr>
        <w:t>initiative des États membres, constituent un processus participatif et reposent sur des consultations ouvertes et équilibrées (recommandations n</w:t>
      </w:r>
      <w:r w:rsidRPr="00A32AF4">
        <w:rPr>
          <w:rFonts w:eastAsia="SimSun" w:cs="Arial"/>
          <w:vertAlign w:val="superscript"/>
          <w:lang w:eastAsia="zh-CN"/>
        </w:rPr>
        <w:t>os</w:t>
      </w:r>
      <w:r w:rsidRPr="00A32AF4">
        <w:rPr>
          <w:rFonts w:eastAsia="SimSun" w:cs="Arial"/>
          <w:lang w:eastAsia="zh-CN"/>
        </w:rPr>
        <w:t> 15, 21 et</w:t>
      </w:r>
      <w:r w:rsidR="00D55598" w:rsidRPr="00A32AF4">
        <w:rPr>
          <w:rFonts w:eastAsia="SimSun" w:cs="Arial"/>
          <w:lang w:eastAsia="zh-CN"/>
        </w:rPr>
        <w:t xml:space="preserve"> </w:t>
      </w:r>
      <w:r w:rsidRPr="00A32AF4">
        <w:rPr>
          <w:rFonts w:eastAsia="SimSun" w:cs="Arial"/>
          <w:lang w:eastAsia="zh-CN"/>
        </w:rPr>
        <w:t>42), tiennent compte du domaine public (recommandations</w:t>
      </w:r>
      <w:r w:rsidR="00FB1F61" w:rsidRPr="00A32AF4">
        <w:rPr>
          <w:rFonts w:eastAsia="SimSun" w:cs="Arial"/>
          <w:lang w:eastAsia="zh-CN"/>
        </w:rPr>
        <w:t xml:space="preserve"> </w:t>
      </w:r>
      <w:r w:rsidRPr="00A32AF4">
        <w:rPr>
          <w:rFonts w:eastAsia="SimSun" w:cs="Arial"/>
          <w:lang w:eastAsia="zh-CN"/>
        </w:rPr>
        <w:t>n</w:t>
      </w:r>
      <w:r w:rsidRPr="00A32AF4">
        <w:rPr>
          <w:rFonts w:eastAsia="SimSun" w:cs="Arial"/>
          <w:vertAlign w:val="superscript"/>
          <w:lang w:eastAsia="zh-CN"/>
        </w:rPr>
        <w:t>os</w:t>
      </w:r>
      <w:r w:rsidRPr="00A32AF4">
        <w:rPr>
          <w:rFonts w:eastAsia="SimSun" w:cs="Arial"/>
          <w:lang w:eastAsia="zh-CN"/>
        </w:rPr>
        <w:t> 16 et 20) et des éléments de flexibilité visés dans les accords internationaux de propriété intellectuelle (recommandations n</w:t>
      </w:r>
      <w:r w:rsidRPr="00A32AF4">
        <w:rPr>
          <w:rFonts w:eastAsia="SimSun" w:cs="Arial"/>
          <w:vertAlign w:val="superscript"/>
          <w:lang w:eastAsia="zh-CN"/>
        </w:rPr>
        <w:t>os</w:t>
      </w:r>
      <w:r w:rsidRPr="00A32AF4">
        <w:rPr>
          <w:rFonts w:eastAsia="SimSun" w:cs="Arial"/>
          <w:lang w:eastAsia="zh-CN"/>
        </w:rPr>
        <w:t xml:space="preserve"> 12, 14 et 17), et créent les conditions favorables à la réalisation des objectifs de développement des </w:t>
      </w:r>
      <w:r w:rsidR="00E2055A" w:rsidRPr="00A32AF4">
        <w:rPr>
          <w:rFonts w:eastAsia="SimSun" w:cs="Arial"/>
          <w:lang w:eastAsia="zh-CN"/>
        </w:rPr>
        <w:t>Nations Unies</w:t>
      </w:r>
      <w:r w:rsidRPr="00A32AF4">
        <w:rPr>
          <w:rFonts w:eastAsia="SimSun" w:cs="Arial"/>
          <w:lang w:eastAsia="zh-CN"/>
        </w:rPr>
        <w:t xml:space="preserve"> (recommandation n° 22).</w:t>
      </w:r>
      <w:proofErr w:type="gramEnd"/>
      <w:r w:rsidRPr="00A32AF4">
        <w:rPr>
          <w:rFonts w:eastAsia="SimSun" w:cs="Arial"/>
          <w:lang w:eastAsia="zh-CN"/>
        </w:rPr>
        <w:t xml:space="preserve">  </w:t>
      </w:r>
      <w:proofErr w:type="gramStart"/>
      <w:r w:rsidRPr="00A32AF4">
        <w:rPr>
          <w:rFonts w:eastAsia="SimSun" w:cs="Arial"/>
          <w:lang w:eastAsia="zh-CN"/>
        </w:rPr>
        <w:t>Ce programme contribue donc directement et précisément au développement et à la réalisation d</w:t>
      </w:r>
      <w:r w:rsidR="00E2055A" w:rsidRPr="00A32AF4">
        <w:rPr>
          <w:rFonts w:eastAsia="SimSun" w:cs="Arial"/>
          <w:lang w:eastAsia="zh-CN"/>
        </w:rPr>
        <w:t>’</w:t>
      </w:r>
      <w:r w:rsidRPr="00A32AF4">
        <w:rPr>
          <w:rFonts w:eastAsia="SimSun" w:cs="Arial"/>
          <w:lang w:eastAsia="zh-CN"/>
        </w:rPr>
        <w:t>autres recommandations du Plan d</w:t>
      </w:r>
      <w:r w:rsidR="00E2055A" w:rsidRPr="00A32AF4">
        <w:rPr>
          <w:rFonts w:eastAsia="SimSun" w:cs="Arial"/>
          <w:lang w:eastAsia="zh-CN"/>
        </w:rPr>
        <w:t>’</w:t>
      </w:r>
      <w:r w:rsidRPr="00A32AF4">
        <w:rPr>
          <w:rFonts w:eastAsia="SimSun" w:cs="Arial"/>
          <w:lang w:eastAsia="zh-CN"/>
        </w:rPr>
        <w:t>action pour le développement, notamment en veillant à ce que l</w:t>
      </w:r>
      <w:r w:rsidR="00E2055A" w:rsidRPr="00A32AF4">
        <w:rPr>
          <w:rFonts w:eastAsia="SimSun" w:cs="Arial"/>
          <w:lang w:eastAsia="zh-CN"/>
        </w:rPr>
        <w:t>’</w:t>
      </w:r>
      <w:r w:rsidRPr="00A32AF4">
        <w:rPr>
          <w:rFonts w:eastAsia="SimSun" w:cs="Arial"/>
          <w:lang w:eastAsia="zh-CN"/>
        </w:rPr>
        <w:t>assistance technique soit axée sur le développement et sur la demande (recommandations n</w:t>
      </w:r>
      <w:r w:rsidRPr="00A32AF4">
        <w:rPr>
          <w:rFonts w:eastAsia="SimSun" w:cs="Arial"/>
          <w:vertAlign w:val="superscript"/>
          <w:lang w:eastAsia="zh-CN"/>
        </w:rPr>
        <w:t>os</w:t>
      </w:r>
      <w:r w:rsidRPr="00A32AF4">
        <w:rPr>
          <w:rFonts w:eastAsia="SimSun" w:cs="Arial"/>
          <w:lang w:eastAsia="zh-CN"/>
        </w:rPr>
        <w:t> 1 et 12), en aidant les groupements régionaux à élaborer et à mettre en œuvre des politiques et des cadres régionaux (recommandations </w:t>
      </w:r>
      <w:r w:rsidRPr="00A32AF4">
        <w:rPr>
          <w:rFonts w:eastAsia="SimSun" w:cs="Arial"/>
          <w:vertAlign w:val="superscript"/>
          <w:lang w:eastAsia="zh-CN"/>
        </w:rPr>
        <w:t>nos</w:t>
      </w:r>
      <w:r w:rsidRPr="00A32AF4">
        <w:rPr>
          <w:rFonts w:eastAsia="SimSun" w:cs="Arial"/>
          <w:lang w:eastAsia="zh-CN"/>
        </w:rPr>
        <w:t> 10, 11, 13 et 14), en fournissant des informations en matière de législation et de politique aux États membres concernant leur législation nationale (recommandations n</w:t>
      </w:r>
      <w:r w:rsidRPr="00A32AF4">
        <w:rPr>
          <w:rFonts w:eastAsia="SimSun" w:cs="Arial"/>
          <w:vertAlign w:val="superscript"/>
          <w:lang w:eastAsia="zh-CN"/>
        </w:rPr>
        <w:t>os</w:t>
      </w:r>
      <w:r w:rsidRPr="00A32AF4">
        <w:rPr>
          <w:rFonts w:eastAsia="SimSun" w:cs="Arial"/>
          <w:lang w:eastAsia="zh-CN"/>
        </w:rPr>
        <w:t xml:space="preserve"> 11, 13 et 14), en sensibilisant aux questions de propriété intellectuelle relatives aux savoirs traditionnels, aux expressions culturelles traditionnelles et aux ressources génétiques (recommandation n° 3), et en coopérant sur les questions de propriété intellectuelle avec les institutions des </w:t>
      </w:r>
      <w:r w:rsidR="00E2055A" w:rsidRPr="00A32AF4">
        <w:rPr>
          <w:rFonts w:eastAsia="SimSun" w:cs="Arial"/>
          <w:lang w:eastAsia="zh-CN"/>
        </w:rPr>
        <w:t>Nations Unies</w:t>
      </w:r>
      <w:r w:rsidRPr="00A32AF4">
        <w:rPr>
          <w:rFonts w:eastAsia="SimSun" w:cs="Arial"/>
          <w:lang w:eastAsia="zh-CN"/>
        </w:rPr>
        <w:t xml:space="preserve"> (recommandation n° 40).</w:t>
      </w:r>
      <w:proofErr w:type="gramEnd"/>
    </w:p>
    <w:p w:rsidR="00F93B76" w:rsidRPr="00A32AF4" w:rsidRDefault="00F93B76" w:rsidP="00DC0553">
      <w:pPr>
        <w:jc w:val="both"/>
        <w:rPr>
          <w:rFonts w:eastAsia="SimSun" w:cs="Arial"/>
          <w:lang w:eastAsia="zh-CN"/>
        </w:rPr>
      </w:pPr>
    </w:p>
    <w:p w:rsidR="00F93B76" w:rsidRPr="00A32AF4" w:rsidRDefault="00CD1430" w:rsidP="00DC0553">
      <w:pPr>
        <w:numPr>
          <w:ilvl w:val="0"/>
          <w:numId w:val="6"/>
        </w:numPr>
        <w:jc w:val="both"/>
        <w:rPr>
          <w:rFonts w:cs="Arial"/>
        </w:rPr>
      </w:pPr>
      <w:r w:rsidRPr="00A32AF4">
        <w:rPr>
          <w:rFonts w:cs="Arial"/>
        </w:rPr>
        <w:t>Les résultats escomptés du programme 4 seront également obtenus, le cas échéant, grâce à la coopération et la coordination avec d</w:t>
      </w:r>
      <w:r w:rsidR="00E2055A" w:rsidRPr="00A32AF4">
        <w:rPr>
          <w:rFonts w:cs="Arial"/>
        </w:rPr>
        <w:t>’</w:t>
      </w:r>
      <w:r w:rsidRPr="00A32AF4">
        <w:rPr>
          <w:rFonts w:cs="Arial"/>
        </w:rPr>
        <w:t>autres programmes de l</w:t>
      </w:r>
      <w:r w:rsidR="00E2055A" w:rsidRPr="00A32AF4">
        <w:rPr>
          <w:rFonts w:cs="Arial"/>
        </w:rPr>
        <w:t>’</w:t>
      </w:r>
      <w:r w:rsidRPr="00A32AF4">
        <w:rPr>
          <w:rFonts w:cs="Arial"/>
        </w:rPr>
        <w:t>OMPI, comme indiqué ci</w:t>
      </w:r>
      <w:r w:rsidR="00EB7F54" w:rsidRPr="00A32AF4">
        <w:rPr>
          <w:rFonts w:cs="Arial"/>
        </w:rPr>
        <w:noBreakHyphen/>
      </w:r>
      <w:r w:rsidRPr="00A32AF4">
        <w:rPr>
          <w:rFonts w:cs="Arial"/>
        </w:rPr>
        <w:t>dessous.</w:t>
      </w:r>
    </w:p>
    <w:p w:rsidR="00F93B76" w:rsidRPr="00A32AF4" w:rsidRDefault="00F93B76" w:rsidP="00DC0553">
      <w:pPr>
        <w:jc w:val="both"/>
        <w:rPr>
          <w:rFonts w:cs="Arial"/>
          <w:szCs w:val="22"/>
        </w:rPr>
      </w:pPr>
    </w:p>
    <w:p w:rsidR="00F93B76" w:rsidRPr="00A32AF4" w:rsidRDefault="00CD1430" w:rsidP="00DC0553">
      <w:pPr>
        <w:jc w:val="both"/>
        <w:rPr>
          <w:rFonts w:cs="Arial"/>
          <w:szCs w:val="22"/>
        </w:rPr>
      </w:pPr>
      <w:r w:rsidRPr="00A32AF4">
        <w:rPr>
          <w:noProof/>
          <w:lang w:eastAsia="fr-FR"/>
        </w:rPr>
        <w:drawing>
          <wp:inline distT="0" distB="0" distL="0" distR="0" wp14:anchorId="65A3B823" wp14:editId="54DC0CE0">
            <wp:extent cx="6055200" cy="2426400"/>
            <wp:effectExtent l="57150" t="19050" r="0" b="50165"/>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inline>
        </w:drawing>
      </w:r>
    </w:p>
    <w:p w:rsidR="00F93B76" w:rsidRPr="00A32AF4" w:rsidRDefault="00F93B76" w:rsidP="00DC0553">
      <w:pPr>
        <w:tabs>
          <w:tab w:val="num" w:pos="709"/>
        </w:tabs>
        <w:jc w:val="both"/>
        <w:rPr>
          <w:rFonts w:cs="Arial"/>
          <w:bCs/>
          <w:szCs w:val="22"/>
        </w:rPr>
      </w:pPr>
    </w:p>
    <w:p w:rsidR="00F93B76" w:rsidRPr="00A32AF4" w:rsidRDefault="00F93B76" w:rsidP="00DC0553">
      <w:pPr>
        <w:tabs>
          <w:tab w:val="num" w:pos="709"/>
        </w:tabs>
        <w:jc w:val="both"/>
        <w:rPr>
          <w:rFonts w:cs="Arial"/>
          <w:bCs/>
          <w:szCs w:val="22"/>
        </w:rPr>
      </w:pPr>
    </w:p>
    <w:p w:rsidR="00F93B76" w:rsidRPr="00A32AF4" w:rsidRDefault="00CD1430" w:rsidP="00DC0553">
      <w:pPr>
        <w:rPr>
          <w:rFonts w:cs="Arial"/>
          <w:bCs/>
          <w:szCs w:val="22"/>
        </w:rPr>
      </w:pPr>
      <w:r w:rsidRPr="00A32AF4">
        <w:rPr>
          <w:rFonts w:cs="Arial"/>
          <w:bCs/>
          <w:szCs w:val="22"/>
        </w:rPr>
        <w:br w:type="page"/>
      </w:r>
    </w:p>
    <w:p w:rsidR="00F93B76" w:rsidRPr="00A32AF4" w:rsidRDefault="00CD1430" w:rsidP="00DC0553">
      <w:pPr>
        <w:tabs>
          <w:tab w:val="num" w:pos="709"/>
        </w:tabs>
        <w:jc w:val="both"/>
        <w:rPr>
          <w:rFonts w:cs="Arial"/>
          <w:szCs w:val="22"/>
        </w:rPr>
      </w:pPr>
      <w:r w:rsidRPr="00A32AF4">
        <w:rPr>
          <w:rFonts w:cs="Arial"/>
          <w:szCs w:val="22"/>
        </w:rPr>
        <w:t>PRINCIPAUX RISQUES ET STRATÉGIES D</w:t>
      </w:r>
      <w:r w:rsidR="00E2055A" w:rsidRPr="00A32AF4">
        <w:rPr>
          <w:rFonts w:cs="Arial"/>
          <w:szCs w:val="22"/>
        </w:rPr>
        <w:t>’</w:t>
      </w:r>
      <w:r w:rsidRPr="00A32AF4">
        <w:rPr>
          <w:rFonts w:cs="Arial"/>
          <w:szCs w:val="22"/>
        </w:rPr>
        <w:t>ATTÉNUATION</w:t>
      </w:r>
    </w:p>
    <w:p w:rsidR="00CD1430" w:rsidRPr="00A32AF4" w:rsidRDefault="00CD1430" w:rsidP="00DC0553">
      <w:pPr>
        <w:keepNext/>
        <w:keepLines/>
        <w:rPr>
          <w:rFonts w:cs="Arial"/>
          <w:szCs w:val="22"/>
        </w:rPr>
      </w:pPr>
    </w:p>
    <w:tbl>
      <w:tblPr>
        <w:tblW w:w="9214"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11"/>
        <w:gridCol w:w="5103"/>
      </w:tblGrid>
      <w:tr w:rsidR="0038294E" w:rsidRPr="00A32AF4" w:rsidTr="00D27E4C">
        <w:trPr>
          <w:trHeight w:val="474"/>
        </w:trPr>
        <w:tc>
          <w:tcPr>
            <w:tcW w:w="4111" w:type="dxa"/>
            <w:tcBorders>
              <w:top w:val="single" w:sz="4" w:space="0" w:color="auto"/>
              <w:bottom w:val="single" w:sz="4" w:space="0" w:color="auto"/>
            </w:tcBorders>
            <w:shd w:val="clear" w:color="auto" w:fill="C6D9F1" w:themeFill="text2" w:themeFillTint="33"/>
            <w:vAlign w:val="center"/>
          </w:tcPr>
          <w:p w:rsidR="00CD1430" w:rsidRPr="00A32AF4" w:rsidRDefault="00CD1430" w:rsidP="00DC0553">
            <w:pPr>
              <w:keepNext/>
              <w:keepLines/>
              <w:jc w:val="center"/>
              <w:rPr>
                <w:rFonts w:cs="Arial"/>
                <w:b/>
                <w:bCs/>
                <w:sz w:val="18"/>
                <w:szCs w:val="18"/>
              </w:rPr>
            </w:pPr>
            <w:r w:rsidRPr="00A32AF4">
              <w:rPr>
                <w:rFonts w:cs="Arial"/>
                <w:b/>
                <w:bCs/>
                <w:sz w:val="18"/>
                <w:szCs w:val="18"/>
              </w:rPr>
              <w:t>Risque</w:t>
            </w:r>
            <w:r w:rsidR="00D27E4C" w:rsidRPr="00A32AF4">
              <w:rPr>
                <w:rFonts w:cs="Arial"/>
                <w:b/>
                <w:bCs/>
                <w:sz w:val="18"/>
                <w:szCs w:val="18"/>
              </w:rPr>
              <w:t>s</w:t>
            </w:r>
          </w:p>
        </w:tc>
        <w:tc>
          <w:tcPr>
            <w:tcW w:w="5103" w:type="dxa"/>
            <w:tcBorders>
              <w:top w:val="single" w:sz="4" w:space="0" w:color="auto"/>
              <w:bottom w:val="single" w:sz="4" w:space="0" w:color="auto"/>
            </w:tcBorders>
            <w:shd w:val="clear" w:color="auto" w:fill="C6D9F1" w:themeFill="text2" w:themeFillTint="33"/>
            <w:vAlign w:val="center"/>
          </w:tcPr>
          <w:p w:rsidR="00CD1430" w:rsidRPr="00A32AF4" w:rsidRDefault="00CD1430" w:rsidP="00DC0553">
            <w:pPr>
              <w:keepNext/>
              <w:keepLines/>
              <w:jc w:val="center"/>
              <w:rPr>
                <w:rFonts w:cs="Arial"/>
                <w:b/>
                <w:bCs/>
                <w:sz w:val="18"/>
                <w:szCs w:val="18"/>
              </w:rPr>
            </w:pPr>
            <w:r w:rsidRPr="00A32AF4">
              <w:rPr>
                <w:rFonts w:cs="Arial"/>
                <w:b/>
                <w:bCs/>
                <w:sz w:val="18"/>
                <w:szCs w:val="18"/>
              </w:rPr>
              <w:t>Stratégie</w:t>
            </w:r>
            <w:r w:rsidR="00D27E4C" w:rsidRPr="00A32AF4">
              <w:rPr>
                <w:rFonts w:cs="Arial"/>
                <w:b/>
                <w:bCs/>
                <w:sz w:val="18"/>
                <w:szCs w:val="18"/>
              </w:rPr>
              <w:t>s</w:t>
            </w:r>
            <w:r w:rsidRPr="00A32AF4">
              <w:rPr>
                <w:rFonts w:cs="Arial"/>
                <w:b/>
                <w:bCs/>
                <w:sz w:val="18"/>
                <w:szCs w:val="18"/>
              </w:rPr>
              <w:t xml:space="preserve"> d</w:t>
            </w:r>
            <w:r w:rsidR="00E2055A" w:rsidRPr="00A32AF4">
              <w:rPr>
                <w:rFonts w:cs="Arial"/>
                <w:b/>
                <w:bCs/>
                <w:sz w:val="18"/>
                <w:szCs w:val="18"/>
              </w:rPr>
              <w:t>’</w:t>
            </w:r>
            <w:r w:rsidRPr="00A32AF4">
              <w:rPr>
                <w:rFonts w:cs="Arial"/>
                <w:b/>
                <w:bCs/>
                <w:sz w:val="18"/>
                <w:szCs w:val="18"/>
              </w:rPr>
              <w:t>atténuation</w:t>
            </w:r>
          </w:p>
        </w:tc>
      </w:tr>
      <w:tr w:rsidR="0038294E" w:rsidRPr="00A32AF4" w:rsidTr="007575E1">
        <w:trPr>
          <w:trHeight w:val="696"/>
        </w:trPr>
        <w:tc>
          <w:tcPr>
            <w:tcW w:w="4111" w:type="dxa"/>
            <w:tcBorders>
              <w:top w:val="single" w:sz="4" w:space="0" w:color="auto"/>
            </w:tcBorders>
            <w:shd w:val="clear" w:color="auto" w:fill="auto"/>
            <w:tcMar>
              <w:top w:w="113" w:type="dxa"/>
              <w:bottom w:w="113" w:type="dxa"/>
            </w:tcMar>
          </w:tcPr>
          <w:p w:rsidR="00CD1430" w:rsidRPr="00A32AF4" w:rsidRDefault="00CD1430" w:rsidP="00DC0553">
            <w:pPr>
              <w:rPr>
                <w:rFonts w:cs="Arial"/>
                <w:b/>
                <w:i/>
                <w:sz w:val="16"/>
                <w:szCs w:val="16"/>
              </w:rPr>
            </w:pPr>
            <w:r w:rsidRPr="00A32AF4">
              <w:rPr>
                <w:rFonts w:cs="Arial"/>
                <w:sz w:val="16"/>
                <w:szCs w:val="16"/>
              </w:rPr>
              <w:t xml:space="preserve">Incapacité des </w:t>
            </w:r>
            <w:r w:rsidR="00A62AF7" w:rsidRPr="00A32AF4">
              <w:rPr>
                <w:rFonts w:cs="Arial"/>
                <w:sz w:val="16"/>
                <w:szCs w:val="16"/>
              </w:rPr>
              <w:t>États</w:t>
            </w:r>
            <w:r w:rsidRPr="00A32AF4">
              <w:rPr>
                <w:rFonts w:cs="Arial"/>
                <w:sz w:val="16"/>
                <w:szCs w:val="16"/>
              </w:rPr>
              <w:t xml:space="preserve"> membres à mettre en œuvre le mandat décidé par l</w:t>
            </w:r>
            <w:r w:rsidR="00E2055A" w:rsidRPr="00A32AF4">
              <w:rPr>
                <w:rFonts w:cs="Arial"/>
                <w:sz w:val="16"/>
                <w:szCs w:val="16"/>
              </w:rPr>
              <w:t>’</w:t>
            </w:r>
            <w:r w:rsidRPr="00A32AF4">
              <w:rPr>
                <w:rFonts w:cs="Arial"/>
                <w:sz w:val="16"/>
                <w:szCs w:val="16"/>
              </w:rPr>
              <w:t>Assemblée générale en ce qui concerne les activités d</w:t>
            </w:r>
            <w:r w:rsidR="00E2055A" w:rsidRPr="00A32AF4">
              <w:rPr>
                <w:rFonts w:cs="Arial"/>
                <w:sz w:val="16"/>
                <w:szCs w:val="16"/>
              </w:rPr>
              <w:t>’</w:t>
            </w:r>
            <w:r w:rsidRPr="00A32AF4">
              <w:rPr>
                <w:rFonts w:cs="Arial"/>
                <w:sz w:val="16"/>
                <w:szCs w:val="16"/>
              </w:rPr>
              <w:t xml:space="preserve">établissement de normes. </w:t>
            </w:r>
            <w:r w:rsidR="00FD43E3" w:rsidRPr="00A32AF4">
              <w:rPr>
                <w:rFonts w:cs="Arial"/>
                <w:sz w:val="16"/>
                <w:szCs w:val="16"/>
              </w:rPr>
              <w:t xml:space="preserve"> </w:t>
            </w:r>
          </w:p>
        </w:tc>
        <w:tc>
          <w:tcPr>
            <w:tcW w:w="5103" w:type="dxa"/>
            <w:tcBorders>
              <w:top w:val="single" w:sz="4" w:space="0" w:color="auto"/>
            </w:tcBorders>
            <w:shd w:val="clear" w:color="auto" w:fill="auto"/>
            <w:tcMar>
              <w:top w:w="113" w:type="dxa"/>
              <w:bottom w:w="113" w:type="dxa"/>
            </w:tcMar>
          </w:tcPr>
          <w:p w:rsidR="00CD1430" w:rsidRPr="00A32AF4" w:rsidRDefault="00CD1430" w:rsidP="00DC0553">
            <w:pPr>
              <w:rPr>
                <w:rFonts w:cs="Arial"/>
                <w:sz w:val="16"/>
                <w:szCs w:val="16"/>
              </w:rPr>
            </w:pPr>
            <w:r w:rsidRPr="00A32AF4">
              <w:rPr>
                <w:rFonts w:cs="Arial"/>
                <w:sz w:val="16"/>
                <w:szCs w:val="16"/>
              </w:rPr>
              <w:t>Le Secrétariat s</w:t>
            </w:r>
            <w:r w:rsidR="00E2055A" w:rsidRPr="00A32AF4">
              <w:rPr>
                <w:rFonts w:cs="Arial"/>
                <w:sz w:val="16"/>
                <w:szCs w:val="16"/>
              </w:rPr>
              <w:t>’</w:t>
            </w:r>
            <w:r w:rsidRPr="00A32AF4">
              <w:rPr>
                <w:rFonts w:cs="Arial"/>
                <w:sz w:val="16"/>
                <w:szCs w:val="16"/>
              </w:rPr>
              <w:t>emploie à favoriser et créer un environnement propice aux activités d</w:t>
            </w:r>
            <w:r w:rsidR="00E2055A" w:rsidRPr="00A32AF4">
              <w:rPr>
                <w:rFonts w:cs="Arial"/>
                <w:sz w:val="16"/>
                <w:szCs w:val="16"/>
              </w:rPr>
              <w:t>’</w:t>
            </w:r>
            <w:r w:rsidRPr="00A32AF4">
              <w:rPr>
                <w:rFonts w:cs="Arial"/>
                <w:sz w:val="16"/>
                <w:szCs w:val="16"/>
              </w:rPr>
              <w:t>établissement de normes, par exemple en donnant des informations claires et objectives sur les questions examinées et en fournissant un service de secrétariat neutre et efficace.</w:t>
            </w:r>
          </w:p>
        </w:tc>
      </w:tr>
      <w:tr w:rsidR="00CD1430" w:rsidRPr="00A32AF4" w:rsidTr="007575E1">
        <w:trPr>
          <w:trHeight w:val="873"/>
        </w:trPr>
        <w:tc>
          <w:tcPr>
            <w:tcW w:w="4111" w:type="dxa"/>
            <w:shd w:val="clear" w:color="auto" w:fill="auto"/>
            <w:tcMar>
              <w:top w:w="113" w:type="dxa"/>
              <w:bottom w:w="113" w:type="dxa"/>
            </w:tcMar>
          </w:tcPr>
          <w:p w:rsidR="00CD1430" w:rsidRPr="00A32AF4" w:rsidRDefault="00CD1430" w:rsidP="00DC0553">
            <w:pPr>
              <w:rPr>
                <w:rFonts w:cs="Arial"/>
                <w:sz w:val="16"/>
                <w:szCs w:val="16"/>
              </w:rPr>
            </w:pPr>
            <w:r w:rsidRPr="00A32AF4">
              <w:rPr>
                <w:rFonts w:cs="Arial"/>
                <w:sz w:val="16"/>
                <w:szCs w:val="16"/>
              </w:rPr>
              <w:t>Perte de pertinence des activités d</w:t>
            </w:r>
            <w:r w:rsidR="00E2055A" w:rsidRPr="00A32AF4">
              <w:rPr>
                <w:rFonts w:cs="Arial"/>
                <w:sz w:val="16"/>
                <w:szCs w:val="16"/>
              </w:rPr>
              <w:t>’</w:t>
            </w:r>
            <w:r w:rsidRPr="00A32AF4">
              <w:rPr>
                <w:rFonts w:cs="Arial"/>
                <w:sz w:val="16"/>
                <w:szCs w:val="16"/>
              </w:rPr>
              <w:t>établissement de normes sur ces questions à l</w:t>
            </w:r>
            <w:r w:rsidR="00E2055A" w:rsidRPr="00A32AF4">
              <w:rPr>
                <w:rFonts w:cs="Arial"/>
                <w:sz w:val="16"/>
                <w:szCs w:val="16"/>
              </w:rPr>
              <w:t>’</w:t>
            </w:r>
            <w:r w:rsidRPr="00A32AF4">
              <w:rPr>
                <w:rFonts w:cs="Arial"/>
                <w:sz w:val="16"/>
                <w:szCs w:val="16"/>
              </w:rPr>
              <w:t>OMPI si les États membres font passer les questions de propriété intellectuelle relatives aux savoirs traditionnels, aux expressions culturelles traditionnelles et aux ressources génétiques au second plan ou estiment que d</w:t>
            </w:r>
            <w:r w:rsidR="00E2055A" w:rsidRPr="00A32AF4">
              <w:rPr>
                <w:rFonts w:cs="Arial"/>
                <w:sz w:val="16"/>
                <w:szCs w:val="16"/>
              </w:rPr>
              <w:t>’</w:t>
            </w:r>
            <w:r w:rsidRPr="00A32AF4">
              <w:rPr>
                <w:rFonts w:cs="Arial"/>
                <w:sz w:val="16"/>
                <w:szCs w:val="16"/>
              </w:rPr>
              <w:t>autres instances sont plus susceptibles de produire les résultats escomptés.</w:t>
            </w:r>
          </w:p>
        </w:tc>
        <w:tc>
          <w:tcPr>
            <w:tcW w:w="5103" w:type="dxa"/>
            <w:shd w:val="clear" w:color="auto" w:fill="auto"/>
            <w:tcMar>
              <w:top w:w="113" w:type="dxa"/>
              <w:bottom w:w="113" w:type="dxa"/>
            </w:tcMar>
          </w:tcPr>
          <w:p w:rsidR="00CD1430" w:rsidRPr="00A32AF4" w:rsidRDefault="00CD1430" w:rsidP="00DC0553">
            <w:pPr>
              <w:rPr>
                <w:rFonts w:cs="Arial"/>
                <w:sz w:val="16"/>
                <w:szCs w:val="16"/>
              </w:rPr>
            </w:pPr>
            <w:r w:rsidRPr="00A32AF4">
              <w:rPr>
                <w:rFonts w:cs="Arial"/>
                <w:sz w:val="16"/>
                <w:szCs w:val="16"/>
                <w:lang w:eastAsia="zh-CN"/>
              </w:rPr>
              <w:t>Le Secrétariat sensibilise à l</w:t>
            </w:r>
            <w:r w:rsidR="00E2055A" w:rsidRPr="00A32AF4">
              <w:rPr>
                <w:rFonts w:cs="Arial"/>
                <w:sz w:val="16"/>
                <w:szCs w:val="16"/>
                <w:lang w:eastAsia="zh-CN"/>
              </w:rPr>
              <w:t>’</w:t>
            </w:r>
            <w:r w:rsidRPr="00A32AF4">
              <w:rPr>
                <w:rFonts w:cs="Arial"/>
                <w:sz w:val="16"/>
                <w:szCs w:val="16"/>
                <w:lang w:eastAsia="zh-CN"/>
              </w:rPr>
              <w:t>importance des questions relatives aux savoirs traditionnels, aux expressions culturelles traditionnelles et aux ressources génétiques pour la politique en matière de propriété intellectuelle.  Le Secrétariat suit de près les négociations se déroulant dans d</w:t>
            </w:r>
            <w:r w:rsidR="00E2055A" w:rsidRPr="00A32AF4">
              <w:rPr>
                <w:rFonts w:cs="Arial"/>
                <w:sz w:val="16"/>
                <w:szCs w:val="16"/>
                <w:lang w:eastAsia="zh-CN"/>
              </w:rPr>
              <w:t>’</w:t>
            </w:r>
            <w:r w:rsidRPr="00A32AF4">
              <w:rPr>
                <w:rFonts w:cs="Arial"/>
                <w:sz w:val="16"/>
                <w:szCs w:val="16"/>
                <w:lang w:eastAsia="zh-CN"/>
              </w:rPr>
              <w:t>autres instances, afin de pouvoir fournir des informations neutres aux États membres dans ces autres instances, et agit en coordination avec les autres secrétariats pour éviter les chevauchements d</w:t>
            </w:r>
            <w:r w:rsidR="00E2055A" w:rsidRPr="00A32AF4">
              <w:rPr>
                <w:rFonts w:cs="Arial"/>
                <w:sz w:val="16"/>
                <w:szCs w:val="16"/>
                <w:lang w:eastAsia="zh-CN"/>
              </w:rPr>
              <w:t>’</w:t>
            </w:r>
            <w:r w:rsidRPr="00A32AF4">
              <w:rPr>
                <w:rFonts w:cs="Arial"/>
                <w:sz w:val="16"/>
                <w:szCs w:val="16"/>
                <w:lang w:eastAsia="zh-CN"/>
              </w:rPr>
              <w:t>activités entre eux qui pourraient faire naître la confusion dans l</w:t>
            </w:r>
            <w:r w:rsidR="00E2055A" w:rsidRPr="00A32AF4">
              <w:rPr>
                <w:rFonts w:cs="Arial"/>
                <w:sz w:val="16"/>
                <w:szCs w:val="16"/>
                <w:lang w:eastAsia="zh-CN"/>
              </w:rPr>
              <w:t>’</w:t>
            </w:r>
            <w:r w:rsidRPr="00A32AF4">
              <w:rPr>
                <w:rFonts w:cs="Arial"/>
                <w:sz w:val="16"/>
                <w:szCs w:val="16"/>
                <w:lang w:eastAsia="zh-CN"/>
              </w:rPr>
              <w:t>esprit des États membres.</w:t>
            </w:r>
          </w:p>
        </w:tc>
      </w:tr>
    </w:tbl>
    <w:p w:rsidR="00F93B76" w:rsidRPr="00A32AF4" w:rsidRDefault="00F93B76" w:rsidP="00DC0553">
      <w:pPr>
        <w:rPr>
          <w:rFonts w:cs="Arial"/>
          <w:szCs w:val="22"/>
        </w:rPr>
      </w:pPr>
    </w:p>
    <w:p w:rsidR="00F93B76" w:rsidRPr="00A32AF4" w:rsidRDefault="00F93B76" w:rsidP="00DC0553">
      <w:pPr>
        <w:keepNext/>
        <w:keepLines/>
        <w:jc w:val="both"/>
        <w:rPr>
          <w:rFonts w:cs="Arial"/>
          <w:bCs/>
          <w:szCs w:val="22"/>
        </w:rPr>
      </w:pPr>
    </w:p>
    <w:p w:rsidR="00F93B76" w:rsidRPr="00A32AF4" w:rsidRDefault="00CD1430" w:rsidP="00DC0553">
      <w:pPr>
        <w:keepNext/>
        <w:keepLines/>
        <w:jc w:val="both"/>
        <w:rPr>
          <w:rFonts w:cs="Arial"/>
          <w:bCs/>
          <w:szCs w:val="22"/>
        </w:rPr>
      </w:pPr>
      <w:r w:rsidRPr="00A32AF4">
        <w:rPr>
          <w:rFonts w:cs="Arial"/>
          <w:bCs/>
          <w:szCs w:val="22"/>
        </w:rPr>
        <w:t>TABLEAU DES RÉSULTATS</w:t>
      </w:r>
    </w:p>
    <w:p w:rsidR="00CD1430" w:rsidRPr="00A32AF4" w:rsidRDefault="00CD1430" w:rsidP="00DC0553">
      <w:pPr>
        <w:keepNext/>
        <w:keepLines/>
        <w:jc w:val="both"/>
        <w:rPr>
          <w:rFonts w:cs="Arial"/>
          <w:bCs/>
          <w:szCs w:val="22"/>
        </w:rPr>
      </w:pPr>
    </w:p>
    <w:tbl>
      <w:tblPr>
        <w:tblW w:w="9229" w:type="dxa"/>
        <w:tblInd w:w="93" w:type="dxa"/>
        <w:tblLook w:val="04A0" w:firstRow="1" w:lastRow="0" w:firstColumn="1" w:lastColumn="0" w:noHBand="0" w:noVBand="1"/>
      </w:tblPr>
      <w:tblGrid>
        <w:gridCol w:w="2400"/>
        <w:gridCol w:w="2600"/>
        <w:gridCol w:w="2520"/>
        <w:gridCol w:w="1709"/>
      </w:tblGrid>
      <w:tr w:rsidR="0038294E" w:rsidRPr="00A32AF4" w:rsidTr="00D27E4C">
        <w:tc>
          <w:tcPr>
            <w:tcW w:w="2400" w:type="dxa"/>
            <w:tcBorders>
              <w:top w:val="single" w:sz="4" w:space="0" w:color="auto"/>
              <w:left w:val="single" w:sz="4" w:space="0" w:color="auto"/>
              <w:bottom w:val="single" w:sz="4" w:space="0" w:color="auto"/>
              <w:right w:val="nil"/>
            </w:tcBorders>
            <w:shd w:val="clear" w:color="auto" w:fill="C6D9F1" w:themeFill="text2" w:themeFillTint="33"/>
            <w:noWrap/>
            <w:tcMar>
              <w:top w:w="113" w:type="dxa"/>
              <w:bottom w:w="113" w:type="dxa"/>
            </w:tcMar>
            <w:vAlign w:val="center"/>
            <w:hideMark/>
          </w:tcPr>
          <w:p w:rsidR="00CD1430" w:rsidRPr="00A32AF4" w:rsidRDefault="00CD1430" w:rsidP="00DC0553">
            <w:pPr>
              <w:keepNext/>
              <w:keepLines/>
              <w:jc w:val="center"/>
              <w:rPr>
                <w:rFonts w:cs="Arial"/>
                <w:b/>
                <w:bCs/>
                <w:sz w:val="18"/>
              </w:rPr>
            </w:pPr>
            <w:r w:rsidRPr="00A32AF4">
              <w:rPr>
                <w:rFonts w:cs="Arial"/>
                <w:b/>
                <w:bCs/>
                <w:sz w:val="18"/>
              </w:rPr>
              <w:t>Résultats escomptés</w:t>
            </w:r>
          </w:p>
        </w:tc>
        <w:tc>
          <w:tcPr>
            <w:tcW w:w="2600" w:type="dxa"/>
            <w:tcBorders>
              <w:top w:val="single" w:sz="4" w:space="0" w:color="auto"/>
              <w:left w:val="nil"/>
              <w:bottom w:val="single" w:sz="4" w:space="0" w:color="auto"/>
              <w:right w:val="nil"/>
            </w:tcBorders>
            <w:shd w:val="clear" w:color="auto" w:fill="C6D9F1" w:themeFill="text2" w:themeFillTint="33"/>
            <w:noWrap/>
            <w:tcMar>
              <w:top w:w="113" w:type="dxa"/>
              <w:bottom w:w="113" w:type="dxa"/>
            </w:tcMar>
            <w:vAlign w:val="center"/>
            <w:hideMark/>
          </w:tcPr>
          <w:p w:rsidR="00CD1430" w:rsidRPr="00A32AF4" w:rsidRDefault="00CD1430" w:rsidP="00DC0553">
            <w:pPr>
              <w:keepNext/>
              <w:keepLines/>
              <w:jc w:val="center"/>
              <w:rPr>
                <w:rFonts w:cs="Arial"/>
                <w:b/>
                <w:bCs/>
                <w:sz w:val="18"/>
              </w:rPr>
            </w:pPr>
            <w:r w:rsidRPr="00A32AF4">
              <w:rPr>
                <w:rFonts w:cs="Arial"/>
                <w:b/>
                <w:bCs/>
                <w:sz w:val="18"/>
              </w:rPr>
              <w:t>Indicateurs d</w:t>
            </w:r>
            <w:r w:rsidR="00E2055A" w:rsidRPr="00A32AF4">
              <w:rPr>
                <w:rFonts w:cs="Arial"/>
                <w:b/>
                <w:bCs/>
                <w:sz w:val="18"/>
              </w:rPr>
              <w:t>’</w:t>
            </w:r>
            <w:r w:rsidRPr="00A32AF4">
              <w:rPr>
                <w:rFonts w:cs="Arial"/>
                <w:b/>
                <w:bCs/>
                <w:sz w:val="18"/>
              </w:rPr>
              <w:t>exécution</w:t>
            </w:r>
          </w:p>
        </w:tc>
        <w:tc>
          <w:tcPr>
            <w:tcW w:w="2520" w:type="dxa"/>
            <w:tcBorders>
              <w:top w:val="single" w:sz="4" w:space="0" w:color="auto"/>
              <w:left w:val="nil"/>
              <w:bottom w:val="single" w:sz="4" w:space="0" w:color="auto"/>
              <w:right w:val="nil"/>
            </w:tcBorders>
            <w:shd w:val="clear" w:color="auto" w:fill="C6D9F1" w:themeFill="text2" w:themeFillTint="33"/>
            <w:noWrap/>
            <w:tcMar>
              <w:top w:w="113" w:type="dxa"/>
              <w:bottom w:w="113" w:type="dxa"/>
            </w:tcMar>
            <w:vAlign w:val="center"/>
            <w:hideMark/>
          </w:tcPr>
          <w:p w:rsidR="00CD1430" w:rsidRPr="00A32AF4" w:rsidRDefault="00CD1430" w:rsidP="00DC0553">
            <w:pPr>
              <w:keepNext/>
              <w:keepLines/>
              <w:jc w:val="center"/>
              <w:rPr>
                <w:rFonts w:cs="Arial"/>
                <w:b/>
                <w:bCs/>
                <w:sz w:val="18"/>
              </w:rPr>
            </w:pPr>
            <w:r w:rsidRPr="00A32AF4">
              <w:rPr>
                <w:rFonts w:cs="Arial"/>
                <w:b/>
                <w:bCs/>
                <w:sz w:val="18"/>
              </w:rPr>
              <w:t>Niveau de référence</w:t>
            </w:r>
          </w:p>
        </w:tc>
        <w:tc>
          <w:tcPr>
            <w:tcW w:w="1709" w:type="dxa"/>
            <w:tcBorders>
              <w:top w:val="single" w:sz="4" w:space="0" w:color="auto"/>
              <w:left w:val="nil"/>
              <w:bottom w:val="single" w:sz="4" w:space="0" w:color="auto"/>
              <w:right w:val="single" w:sz="4" w:space="0" w:color="auto"/>
            </w:tcBorders>
            <w:shd w:val="clear" w:color="auto" w:fill="C6D9F1" w:themeFill="text2" w:themeFillTint="33"/>
            <w:noWrap/>
            <w:tcMar>
              <w:top w:w="113" w:type="dxa"/>
              <w:bottom w:w="113" w:type="dxa"/>
            </w:tcMar>
            <w:vAlign w:val="center"/>
            <w:hideMark/>
          </w:tcPr>
          <w:p w:rsidR="00CD1430" w:rsidRPr="00A32AF4" w:rsidRDefault="00CD1430" w:rsidP="00DC0553">
            <w:pPr>
              <w:keepNext/>
              <w:keepLines/>
              <w:jc w:val="center"/>
              <w:rPr>
                <w:rFonts w:cs="Arial"/>
                <w:b/>
                <w:bCs/>
                <w:sz w:val="18"/>
              </w:rPr>
            </w:pPr>
            <w:r w:rsidRPr="00A32AF4">
              <w:rPr>
                <w:rFonts w:cs="Arial"/>
                <w:b/>
                <w:bCs/>
                <w:sz w:val="18"/>
              </w:rPr>
              <w:t>Objectifs visés</w:t>
            </w:r>
          </w:p>
        </w:tc>
      </w:tr>
      <w:tr w:rsidR="002A5E19" w:rsidRPr="00A32AF4" w:rsidTr="002A5E19">
        <w:tc>
          <w:tcPr>
            <w:tcW w:w="2400" w:type="dxa"/>
            <w:tcBorders>
              <w:top w:val="nil"/>
              <w:left w:val="single" w:sz="4" w:space="0" w:color="auto"/>
              <w:bottom w:val="nil"/>
              <w:right w:val="nil"/>
            </w:tcBorders>
            <w:shd w:val="clear" w:color="000000" w:fill="FFFFFF"/>
            <w:tcMar>
              <w:top w:w="113" w:type="dxa"/>
              <w:bottom w:w="113" w:type="dxa"/>
            </w:tcMar>
            <w:hideMark/>
          </w:tcPr>
          <w:p w:rsidR="002A5E19" w:rsidRPr="00A32AF4" w:rsidRDefault="002A5E19" w:rsidP="00DC0553">
            <w:pPr>
              <w:keepNext/>
              <w:keepLines/>
              <w:ind w:right="292"/>
              <w:rPr>
                <w:rFonts w:cs="Arial"/>
                <w:sz w:val="16"/>
                <w:szCs w:val="16"/>
              </w:rPr>
            </w:pPr>
            <w:r w:rsidRPr="00A32AF4">
              <w:rPr>
                <w:rFonts w:cs="Arial"/>
                <w:sz w:val="16"/>
                <w:szCs w:val="16"/>
              </w:rPr>
              <w:t xml:space="preserve">I.1 </w:t>
            </w:r>
            <w:r w:rsidR="002F6FCA" w:rsidRPr="00A32AF4">
              <w:rPr>
                <w:rFonts w:cs="Arial"/>
                <w:sz w:val="16"/>
                <w:szCs w:val="16"/>
              </w:rPr>
              <w:t>Renforcement de la coopération entre les États membres en ce qui concerne l</w:t>
            </w:r>
            <w:r w:rsidR="00E2055A" w:rsidRPr="00A32AF4">
              <w:rPr>
                <w:rFonts w:cs="Arial"/>
                <w:sz w:val="16"/>
                <w:szCs w:val="16"/>
              </w:rPr>
              <w:t>’</w:t>
            </w:r>
            <w:r w:rsidR="002F6FCA" w:rsidRPr="00A32AF4">
              <w:rPr>
                <w:rFonts w:cs="Arial"/>
                <w:sz w:val="16"/>
                <w:szCs w:val="16"/>
              </w:rPr>
              <w:t>élaboration de cadres normatifs internationaux équilibrés dans le domaine de la propriété intellectuelle</w:t>
            </w:r>
          </w:p>
        </w:tc>
        <w:tc>
          <w:tcPr>
            <w:tcW w:w="2600" w:type="dxa"/>
            <w:tcBorders>
              <w:top w:val="nil"/>
              <w:left w:val="nil"/>
              <w:right w:val="nil"/>
            </w:tcBorders>
            <w:shd w:val="clear" w:color="000000" w:fill="FFFFFF"/>
            <w:tcMar>
              <w:top w:w="113" w:type="dxa"/>
              <w:bottom w:w="113" w:type="dxa"/>
            </w:tcMar>
            <w:hideMark/>
          </w:tcPr>
          <w:p w:rsidR="002A5E19" w:rsidRPr="00A32AF4" w:rsidRDefault="002A5E19" w:rsidP="00DC0553">
            <w:pPr>
              <w:keepNext/>
              <w:keepLines/>
              <w:ind w:right="199"/>
              <w:rPr>
                <w:rFonts w:cs="Arial"/>
                <w:sz w:val="16"/>
                <w:szCs w:val="16"/>
              </w:rPr>
            </w:pPr>
            <w:r w:rsidRPr="00A32AF4">
              <w:rPr>
                <w:rFonts w:cs="Arial"/>
                <w:sz w:val="16"/>
                <w:szCs w:val="16"/>
              </w:rPr>
              <w:t>Progrès accomplis en vue de la mise en œuvre des activités d</w:t>
            </w:r>
            <w:r w:rsidR="00E2055A" w:rsidRPr="00A32AF4">
              <w:rPr>
                <w:rFonts w:cs="Arial"/>
                <w:sz w:val="16"/>
                <w:szCs w:val="16"/>
              </w:rPr>
              <w:t>’</w:t>
            </w:r>
            <w:r w:rsidRPr="00A32AF4">
              <w:rPr>
                <w:rFonts w:cs="Arial"/>
                <w:sz w:val="16"/>
                <w:szCs w:val="16"/>
              </w:rPr>
              <w:t>établissement de normes sur la propriété intellectuelle relative aux ressources génétiques, aux savoirs traditionnels et aux expressions culturelles traditionnelles, conformément à la décision des États membres</w:t>
            </w:r>
          </w:p>
        </w:tc>
        <w:tc>
          <w:tcPr>
            <w:tcW w:w="2520" w:type="dxa"/>
            <w:tcBorders>
              <w:top w:val="nil"/>
              <w:left w:val="nil"/>
              <w:right w:val="nil"/>
            </w:tcBorders>
            <w:shd w:val="clear" w:color="000000" w:fill="FFFFFF"/>
            <w:tcMar>
              <w:top w:w="113" w:type="dxa"/>
              <w:bottom w:w="113" w:type="dxa"/>
            </w:tcMar>
            <w:hideMark/>
          </w:tcPr>
          <w:p w:rsidR="002A5E19" w:rsidRPr="00A32AF4" w:rsidRDefault="002A5E19" w:rsidP="00DC0553">
            <w:pPr>
              <w:keepNext/>
              <w:keepLines/>
              <w:ind w:right="309"/>
              <w:rPr>
                <w:rFonts w:cs="Arial"/>
                <w:sz w:val="16"/>
                <w:szCs w:val="16"/>
              </w:rPr>
            </w:pPr>
            <w:r w:rsidRPr="00A32AF4">
              <w:rPr>
                <w:rFonts w:cs="Arial"/>
                <w:sz w:val="16"/>
                <w:szCs w:val="16"/>
              </w:rPr>
              <w:t>Stade actuel des négociations entre les États membres sur la propriété intellectuelle relatives aux ressources génétiques, aux savoirs traditionnels et aux expressions culturelles traditionnelles, comme il ressort des documents WIPO/GRTKF/IC/28/4, WIPO/GRTKF/IC/28/5 et WIPO/GRTKF/IC/28/6, respectivement</w:t>
            </w:r>
          </w:p>
        </w:tc>
        <w:tc>
          <w:tcPr>
            <w:tcW w:w="1709" w:type="dxa"/>
            <w:tcBorders>
              <w:top w:val="nil"/>
              <w:left w:val="nil"/>
              <w:right w:val="single" w:sz="4" w:space="0" w:color="auto"/>
            </w:tcBorders>
            <w:shd w:val="clear" w:color="000000" w:fill="FFFFFF"/>
            <w:tcMar>
              <w:top w:w="113" w:type="dxa"/>
              <w:bottom w:w="113" w:type="dxa"/>
            </w:tcMar>
            <w:hideMark/>
          </w:tcPr>
          <w:p w:rsidR="002A5E19" w:rsidRPr="00A32AF4" w:rsidRDefault="002A5E19" w:rsidP="00DC0553">
            <w:pPr>
              <w:keepNext/>
              <w:keepLines/>
              <w:rPr>
                <w:rFonts w:cs="Arial"/>
                <w:sz w:val="16"/>
                <w:szCs w:val="16"/>
              </w:rPr>
            </w:pPr>
            <w:r w:rsidRPr="00A32AF4">
              <w:rPr>
                <w:rFonts w:cs="Arial"/>
                <w:sz w:val="16"/>
                <w:szCs w:val="16"/>
              </w:rPr>
              <w:t>Résultats convenus en ce qui concerne les activités d</w:t>
            </w:r>
            <w:r w:rsidR="00E2055A" w:rsidRPr="00A32AF4">
              <w:rPr>
                <w:rFonts w:cs="Arial"/>
                <w:sz w:val="16"/>
                <w:szCs w:val="16"/>
              </w:rPr>
              <w:t>’</w:t>
            </w:r>
            <w:r w:rsidRPr="00A32AF4">
              <w:rPr>
                <w:rFonts w:cs="Arial"/>
                <w:sz w:val="16"/>
                <w:szCs w:val="16"/>
              </w:rPr>
              <w:t>établissement de normes.</w:t>
            </w:r>
          </w:p>
        </w:tc>
      </w:tr>
      <w:tr w:rsidR="0038294E" w:rsidRPr="00A32AF4" w:rsidTr="002A5E19">
        <w:tc>
          <w:tcPr>
            <w:tcW w:w="2400" w:type="dxa"/>
            <w:tcBorders>
              <w:top w:val="nil"/>
              <w:left w:val="single" w:sz="4" w:space="0" w:color="auto"/>
              <w:bottom w:val="single" w:sz="4" w:space="0" w:color="auto"/>
              <w:right w:val="nil"/>
            </w:tcBorders>
            <w:shd w:val="clear" w:color="000000" w:fill="FFFFFF"/>
            <w:tcMar>
              <w:top w:w="113" w:type="dxa"/>
              <w:bottom w:w="113" w:type="dxa"/>
            </w:tcMar>
            <w:hideMark/>
          </w:tcPr>
          <w:p w:rsidR="00CD1430" w:rsidRPr="00A32AF4" w:rsidRDefault="00CD1430" w:rsidP="00DC0553">
            <w:pPr>
              <w:ind w:right="292"/>
              <w:rPr>
                <w:rFonts w:cs="Arial"/>
                <w:sz w:val="16"/>
                <w:szCs w:val="16"/>
              </w:rPr>
            </w:pPr>
            <w:r w:rsidRPr="00A32AF4">
              <w:rPr>
                <w:rFonts w:cs="Arial"/>
                <w:sz w:val="16"/>
                <w:szCs w:val="16"/>
              </w:rPr>
              <w:t>III.2 Mise en valeur des ressources humaines pour répondre aux diverses exigences en matière d</w:t>
            </w:r>
            <w:r w:rsidR="00E2055A" w:rsidRPr="00A32AF4">
              <w:rPr>
                <w:rFonts w:cs="Arial"/>
                <w:sz w:val="16"/>
                <w:szCs w:val="16"/>
              </w:rPr>
              <w:t>’</w:t>
            </w:r>
            <w:r w:rsidRPr="00A32AF4">
              <w:rPr>
                <w:rFonts w:cs="Arial"/>
                <w:sz w:val="16"/>
                <w:szCs w:val="16"/>
              </w:rPr>
              <w:t>utilisation efficace de la propriété intellectuelle au service du développement dans les pays en développement, les PMA et les pays en transition</w:t>
            </w:r>
          </w:p>
        </w:tc>
        <w:tc>
          <w:tcPr>
            <w:tcW w:w="2600" w:type="dxa"/>
            <w:tcBorders>
              <w:top w:val="nil"/>
              <w:left w:val="nil"/>
              <w:bottom w:val="single" w:sz="4" w:space="0" w:color="auto"/>
              <w:right w:val="nil"/>
            </w:tcBorders>
            <w:shd w:val="clear" w:color="000000" w:fill="FFFFFF"/>
            <w:tcMar>
              <w:top w:w="113" w:type="dxa"/>
              <w:bottom w:w="113" w:type="dxa"/>
            </w:tcMar>
            <w:hideMark/>
          </w:tcPr>
          <w:p w:rsidR="00CD1430" w:rsidRPr="00A32AF4" w:rsidRDefault="00CD1430" w:rsidP="00DC0553">
            <w:pPr>
              <w:tabs>
                <w:tab w:val="left" w:pos="2043"/>
              </w:tabs>
              <w:ind w:right="199"/>
              <w:rPr>
                <w:rFonts w:cs="Arial"/>
                <w:sz w:val="16"/>
                <w:szCs w:val="16"/>
              </w:rPr>
            </w:pPr>
            <w:r w:rsidRPr="00A32AF4">
              <w:rPr>
                <w:rFonts w:cs="Arial"/>
                <w:sz w:val="16"/>
                <w:szCs w:val="16"/>
              </w:rPr>
              <w:t>Pourcentage de participants aux activités de l</w:t>
            </w:r>
            <w:r w:rsidR="00E2055A" w:rsidRPr="00A32AF4">
              <w:rPr>
                <w:rFonts w:cs="Arial"/>
                <w:sz w:val="16"/>
                <w:szCs w:val="16"/>
              </w:rPr>
              <w:t>’</w:t>
            </w:r>
            <w:r w:rsidRPr="00A32AF4">
              <w:rPr>
                <w:rFonts w:cs="Arial"/>
                <w:sz w:val="16"/>
                <w:szCs w:val="16"/>
              </w:rPr>
              <w:t>OMPI ayant fait part d</w:t>
            </w:r>
            <w:r w:rsidR="00E2055A" w:rsidRPr="00A32AF4">
              <w:rPr>
                <w:rFonts w:cs="Arial"/>
                <w:sz w:val="16"/>
                <w:szCs w:val="16"/>
              </w:rPr>
              <w:t>’</w:t>
            </w:r>
            <w:r w:rsidRPr="00A32AF4">
              <w:rPr>
                <w:rFonts w:cs="Arial"/>
                <w:sz w:val="16"/>
                <w:szCs w:val="16"/>
              </w:rPr>
              <w:t>un renforcement des capacités en ce qui concerne la compréhension des principes, des systèmes et des instruments de propriété intellectuelle et leur utilisation pour la protection des savoirs traditionnels et des expressions culturelles traditionnelles, et pour la gestion du lien qui existe entre propriété intellectuelle et ressources génétiques</w:t>
            </w:r>
          </w:p>
        </w:tc>
        <w:tc>
          <w:tcPr>
            <w:tcW w:w="2520" w:type="dxa"/>
            <w:tcBorders>
              <w:top w:val="nil"/>
              <w:left w:val="nil"/>
              <w:bottom w:val="single" w:sz="4" w:space="0" w:color="auto"/>
              <w:right w:val="nil"/>
            </w:tcBorders>
            <w:shd w:val="clear" w:color="000000" w:fill="FFFFFF"/>
            <w:tcMar>
              <w:top w:w="113" w:type="dxa"/>
              <w:bottom w:w="113" w:type="dxa"/>
            </w:tcMar>
            <w:hideMark/>
          </w:tcPr>
          <w:p w:rsidR="00CD1430" w:rsidRPr="00A32AF4" w:rsidRDefault="00CD1430" w:rsidP="00DC0553">
            <w:pPr>
              <w:ind w:right="309"/>
              <w:rPr>
                <w:rFonts w:cs="Arial"/>
                <w:sz w:val="16"/>
                <w:szCs w:val="16"/>
              </w:rPr>
            </w:pPr>
            <w:r w:rsidRPr="00A32AF4">
              <w:rPr>
                <w:rFonts w:cs="Arial"/>
                <w:sz w:val="16"/>
                <w:szCs w:val="16"/>
              </w:rPr>
              <w:t>91% (163 sur 179) participants ont présenté un rapport positif (questionnaire de satisfaction utilisé dans neuf activités organisées par la Division des savoirs traditionnels en 2014)</w:t>
            </w:r>
          </w:p>
        </w:tc>
        <w:tc>
          <w:tcPr>
            <w:tcW w:w="1709" w:type="dxa"/>
            <w:tcBorders>
              <w:top w:val="nil"/>
              <w:left w:val="nil"/>
              <w:bottom w:val="single" w:sz="4" w:space="0" w:color="auto"/>
              <w:right w:val="single" w:sz="4" w:space="0" w:color="auto"/>
            </w:tcBorders>
            <w:shd w:val="clear" w:color="000000" w:fill="FFFFFF"/>
            <w:tcMar>
              <w:top w:w="113" w:type="dxa"/>
              <w:bottom w:w="113" w:type="dxa"/>
            </w:tcMar>
            <w:hideMark/>
          </w:tcPr>
          <w:p w:rsidR="00CD1430" w:rsidRPr="00A32AF4" w:rsidRDefault="00CD1430" w:rsidP="00DC0553">
            <w:pPr>
              <w:rPr>
                <w:rFonts w:cs="Arial"/>
                <w:sz w:val="16"/>
                <w:szCs w:val="16"/>
              </w:rPr>
            </w:pPr>
            <w:r w:rsidRPr="00A32AF4">
              <w:rPr>
                <w:rFonts w:cs="Arial"/>
                <w:sz w:val="16"/>
                <w:szCs w:val="16"/>
              </w:rPr>
              <w:t>80%</w:t>
            </w:r>
          </w:p>
        </w:tc>
      </w:tr>
    </w:tbl>
    <w:p w:rsidR="00F93B76" w:rsidRPr="00A32AF4" w:rsidRDefault="00F93B76" w:rsidP="00DC0553">
      <w:pPr>
        <w:jc w:val="both"/>
        <w:rPr>
          <w:rFonts w:cs="Arial"/>
          <w:bCs/>
          <w:szCs w:val="22"/>
        </w:rPr>
      </w:pPr>
    </w:p>
    <w:p w:rsidR="00F93B76" w:rsidRPr="00A32AF4" w:rsidRDefault="00F93B76" w:rsidP="00DC0553">
      <w:pPr>
        <w:jc w:val="both"/>
        <w:rPr>
          <w:rFonts w:cs="Arial"/>
          <w:bCs/>
          <w:szCs w:val="22"/>
        </w:rPr>
      </w:pPr>
    </w:p>
    <w:p w:rsidR="00F93B76" w:rsidRPr="00A32AF4" w:rsidRDefault="00DC2AF7" w:rsidP="00DC0553">
      <w:pPr>
        <w:jc w:val="both"/>
        <w:rPr>
          <w:rFonts w:cs="Arial"/>
          <w:bCs/>
          <w:caps/>
          <w:szCs w:val="22"/>
        </w:rPr>
      </w:pPr>
      <w:r w:rsidRPr="00A32AF4">
        <w:rPr>
          <w:rFonts w:cs="Arial"/>
          <w:bCs/>
          <w:caps/>
          <w:szCs w:val="22"/>
        </w:rPr>
        <w:t>RESSOURCES ALLOUÉES AU PROGRAMME</w:t>
      </w:r>
      <w:r w:rsidR="002F6FCA" w:rsidRPr="00A32AF4">
        <w:rPr>
          <w:rFonts w:cs="Arial"/>
          <w:bCs/>
          <w:caps/>
          <w:szCs w:val="22"/>
        </w:rPr>
        <w:t xml:space="preserve"> 4</w:t>
      </w:r>
    </w:p>
    <w:p w:rsidR="00F93B76" w:rsidRPr="00A32AF4" w:rsidRDefault="00F93B76" w:rsidP="00DC0553">
      <w:pPr>
        <w:jc w:val="both"/>
        <w:rPr>
          <w:rFonts w:cs="Arial"/>
          <w:bCs/>
          <w:szCs w:val="22"/>
        </w:rPr>
      </w:pPr>
    </w:p>
    <w:p w:rsidR="00F93B76" w:rsidRPr="00A32AF4" w:rsidRDefault="00FD27C8" w:rsidP="00DC0553">
      <w:pPr>
        <w:numPr>
          <w:ilvl w:val="0"/>
          <w:numId w:val="6"/>
        </w:numPr>
        <w:jc w:val="both"/>
        <w:rPr>
          <w:rFonts w:cs="Arial"/>
        </w:rPr>
      </w:pPr>
      <w:r w:rsidRPr="00A32AF4">
        <w:rPr>
          <w:rFonts w:cs="Arial"/>
        </w:rPr>
        <w:t xml:space="preserve">Les </w:t>
      </w:r>
      <w:r w:rsidR="002F6FCA" w:rsidRPr="00A32AF4">
        <w:rPr>
          <w:rFonts w:cs="Arial"/>
        </w:rPr>
        <w:t>res</w:t>
      </w:r>
      <w:r w:rsidRPr="00A32AF4">
        <w:rPr>
          <w:rFonts w:cs="Arial"/>
        </w:rPr>
        <w:t>s</w:t>
      </w:r>
      <w:r w:rsidR="002F6FCA" w:rsidRPr="00A32AF4">
        <w:rPr>
          <w:rFonts w:cs="Arial"/>
        </w:rPr>
        <w:t xml:space="preserve">ources </w:t>
      </w:r>
      <w:r w:rsidRPr="00A32AF4">
        <w:rPr>
          <w:rFonts w:cs="Arial"/>
        </w:rPr>
        <w:t xml:space="preserve">globales allouées au programme </w:t>
      </w:r>
      <w:r w:rsidR="002F6FCA" w:rsidRPr="00A32AF4">
        <w:rPr>
          <w:rFonts w:cs="Arial"/>
        </w:rPr>
        <w:t xml:space="preserve">4 </w:t>
      </w:r>
      <w:r w:rsidRPr="00A32AF4">
        <w:rPr>
          <w:rFonts w:cs="Arial"/>
        </w:rPr>
        <w:t>pour</w:t>
      </w:r>
      <w:r w:rsidR="00FD43E3" w:rsidRPr="00A32AF4">
        <w:rPr>
          <w:rFonts w:cs="Arial"/>
        </w:rPr>
        <w:t> </w:t>
      </w:r>
      <w:r w:rsidR="002F6FCA" w:rsidRPr="00A32AF4">
        <w:rPr>
          <w:rFonts w:cs="Arial"/>
        </w:rPr>
        <w:t>2016</w:t>
      </w:r>
      <w:r w:rsidR="00EB7F54" w:rsidRPr="00A32AF4">
        <w:rPr>
          <w:rFonts w:cs="Arial"/>
        </w:rPr>
        <w:noBreakHyphen/>
      </w:r>
      <w:r w:rsidRPr="00A32AF4">
        <w:rPr>
          <w:rFonts w:cs="Arial"/>
        </w:rPr>
        <w:t>20</w:t>
      </w:r>
      <w:r w:rsidR="002F6FCA" w:rsidRPr="00A32AF4">
        <w:rPr>
          <w:rFonts w:cs="Arial"/>
        </w:rPr>
        <w:t xml:space="preserve">17 </w:t>
      </w:r>
      <w:r w:rsidRPr="00A32AF4">
        <w:rPr>
          <w:rFonts w:cs="Arial"/>
        </w:rPr>
        <w:t xml:space="preserve">font apparaître une légère diminution par rapport au budget </w:t>
      </w:r>
      <w:r w:rsidR="002F6FCA" w:rsidRPr="00A32AF4">
        <w:rPr>
          <w:rFonts w:cs="Arial"/>
        </w:rPr>
        <w:t>2014</w:t>
      </w:r>
      <w:r w:rsidR="00EB7F54" w:rsidRPr="00A32AF4">
        <w:rPr>
          <w:rFonts w:cs="Arial"/>
        </w:rPr>
        <w:noBreakHyphen/>
      </w:r>
      <w:r w:rsidRPr="00A32AF4">
        <w:rPr>
          <w:rFonts w:cs="Arial"/>
        </w:rPr>
        <w:t>20</w:t>
      </w:r>
      <w:r w:rsidR="002F6FCA" w:rsidRPr="00A32AF4">
        <w:rPr>
          <w:rFonts w:cs="Arial"/>
        </w:rPr>
        <w:t>15 </w:t>
      </w:r>
      <w:r w:rsidRPr="00A32AF4">
        <w:rPr>
          <w:rFonts w:cs="Arial"/>
        </w:rPr>
        <w:t>après virements</w:t>
      </w:r>
      <w:r w:rsidR="002F6FCA" w:rsidRPr="00A32AF4">
        <w:rPr>
          <w:rFonts w:cs="Arial"/>
        </w:rPr>
        <w:t xml:space="preserve">.  </w:t>
      </w:r>
      <w:r w:rsidR="00DF3E49" w:rsidRPr="00A32AF4">
        <w:rPr>
          <w:rFonts w:cs="Arial"/>
        </w:rPr>
        <w:t>Cette dim</w:t>
      </w:r>
      <w:r w:rsidR="00A32CDD" w:rsidRPr="00A32AF4">
        <w:rPr>
          <w:rFonts w:cs="Arial"/>
        </w:rPr>
        <w:t>in</w:t>
      </w:r>
      <w:r w:rsidR="00DF3E49" w:rsidRPr="00A32AF4">
        <w:rPr>
          <w:rFonts w:cs="Arial"/>
        </w:rPr>
        <w:t>ution découle du changement de méthode de comptabilisation des dépenses de personnel pour</w:t>
      </w:r>
      <w:r w:rsidR="00FD43E3" w:rsidRPr="00A32AF4">
        <w:rPr>
          <w:rFonts w:cs="Arial"/>
        </w:rPr>
        <w:t> </w:t>
      </w:r>
      <w:r w:rsidR="002F6FCA" w:rsidRPr="00A32AF4">
        <w:rPr>
          <w:rFonts w:cs="Arial"/>
        </w:rPr>
        <w:t>2016</w:t>
      </w:r>
      <w:r w:rsidR="00EB7F54" w:rsidRPr="00A32AF4">
        <w:rPr>
          <w:rFonts w:cs="Arial"/>
        </w:rPr>
        <w:noBreakHyphen/>
      </w:r>
      <w:r w:rsidR="00DF3E49" w:rsidRPr="00A32AF4">
        <w:rPr>
          <w:rFonts w:cs="Arial"/>
        </w:rPr>
        <w:t>20</w:t>
      </w:r>
      <w:r w:rsidR="002F6FCA" w:rsidRPr="00A32AF4">
        <w:rPr>
          <w:rFonts w:cs="Arial"/>
        </w:rPr>
        <w:t>17</w:t>
      </w:r>
      <w:r w:rsidR="00DF3E49" w:rsidRPr="00A32AF4">
        <w:rPr>
          <w:rFonts w:cs="Arial"/>
        </w:rPr>
        <w:t xml:space="preserve">, fondée sur les montants </w:t>
      </w:r>
      <w:r w:rsidR="00A32CDD" w:rsidRPr="00A32AF4">
        <w:rPr>
          <w:rFonts w:cs="Arial"/>
        </w:rPr>
        <w:t>effectifs</w:t>
      </w:r>
      <w:r w:rsidR="002F6FCA" w:rsidRPr="00A32AF4">
        <w:rPr>
          <w:rFonts w:cs="Arial"/>
        </w:rPr>
        <w:t>.</w:t>
      </w:r>
    </w:p>
    <w:p w:rsidR="00F93B76" w:rsidRPr="00A32AF4" w:rsidRDefault="00F93B76" w:rsidP="00DC0553">
      <w:pPr>
        <w:jc w:val="both"/>
        <w:rPr>
          <w:rFonts w:cs="Arial"/>
        </w:rPr>
      </w:pPr>
    </w:p>
    <w:p w:rsidR="00F93B76" w:rsidRPr="00A32AF4" w:rsidRDefault="00DF3E49" w:rsidP="00DC0553">
      <w:pPr>
        <w:numPr>
          <w:ilvl w:val="0"/>
          <w:numId w:val="6"/>
        </w:numPr>
        <w:jc w:val="both"/>
        <w:rPr>
          <w:rFonts w:cs="Arial"/>
        </w:rPr>
      </w:pPr>
      <w:r w:rsidRPr="00A32AF4">
        <w:rPr>
          <w:rFonts w:cs="Arial"/>
        </w:rPr>
        <w:t>La diminution des autres dépenses en</w:t>
      </w:r>
      <w:r w:rsidR="00FD43E3" w:rsidRPr="00A32AF4">
        <w:rPr>
          <w:rFonts w:cs="Arial"/>
        </w:rPr>
        <w:t> </w:t>
      </w:r>
      <w:r w:rsidR="002F6FCA" w:rsidRPr="00A32AF4">
        <w:rPr>
          <w:rFonts w:cs="Arial"/>
        </w:rPr>
        <w:t>2016</w:t>
      </w:r>
      <w:r w:rsidR="00EB7F54" w:rsidRPr="00A32AF4">
        <w:rPr>
          <w:rFonts w:cs="Arial"/>
        </w:rPr>
        <w:noBreakHyphen/>
      </w:r>
      <w:r w:rsidRPr="00A32AF4">
        <w:rPr>
          <w:rFonts w:cs="Arial"/>
        </w:rPr>
        <w:t>20</w:t>
      </w:r>
      <w:r w:rsidR="002F6FCA" w:rsidRPr="00A32AF4">
        <w:rPr>
          <w:rFonts w:cs="Arial"/>
        </w:rPr>
        <w:t xml:space="preserve">17 </w:t>
      </w:r>
      <w:r w:rsidRPr="00A32AF4">
        <w:rPr>
          <w:rFonts w:cs="Arial"/>
        </w:rPr>
        <w:t xml:space="preserve">par rapport au budget </w:t>
      </w:r>
      <w:r w:rsidR="002F6FCA" w:rsidRPr="00A32AF4">
        <w:rPr>
          <w:rFonts w:cs="Arial"/>
        </w:rPr>
        <w:t>2014</w:t>
      </w:r>
      <w:r w:rsidR="00EB7F54" w:rsidRPr="00A32AF4">
        <w:rPr>
          <w:rFonts w:cs="Arial"/>
        </w:rPr>
        <w:noBreakHyphen/>
      </w:r>
      <w:r w:rsidRPr="00A32AF4">
        <w:rPr>
          <w:rFonts w:cs="Arial"/>
        </w:rPr>
        <w:t>20</w:t>
      </w:r>
      <w:r w:rsidR="002F6FCA" w:rsidRPr="00A32AF4">
        <w:rPr>
          <w:rFonts w:cs="Arial"/>
        </w:rPr>
        <w:t xml:space="preserve">15 </w:t>
      </w:r>
      <w:r w:rsidRPr="00A32AF4">
        <w:rPr>
          <w:rFonts w:cs="Arial"/>
        </w:rPr>
        <w:t xml:space="preserve">après virements est due à une </w:t>
      </w:r>
      <w:r w:rsidR="002F6FCA" w:rsidRPr="00A32AF4">
        <w:rPr>
          <w:rFonts w:cs="Arial"/>
        </w:rPr>
        <w:t xml:space="preserve">provision </w:t>
      </w:r>
      <w:r w:rsidRPr="00A32AF4">
        <w:rPr>
          <w:rFonts w:cs="Arial"/>
        </w:rPr>
        <w:t>budgétaire pour une éventuelle conférence diplomatique en</w:t>
      </w:r>
      <w:r w:rsidR="00FD43E3" w:rsidRPr="00A32AF4">
        <w:rPr>
          <w:rFonts w:cs="Arial"/>
        </w:rPr>
        <w:t> </w:t>
      </w:r>
      <w:r w:rsidR="002F6FCA" w:rsidRPr="00A32AF4">
        <w:rPr>
          <w:rFonts w:cs="Arial"/>
        </w:rPr>
        <w:t>2016</w:t>
      </w:r>
      <w:r w:rsidR="00EB7F54" w:rsidRPr="00A32AF4">
        <w:rPr>
          <w:rFonts w:cs="Arial"/>
        </w:rPr>
        <w:noBreakHyphen/>
      </w:r>
      <w:r w:rsidRPr="00A32AF4">
        <w:rPr>
          <w:rFonts w:cs="Arial"/>
        </w:rPr>
        <w:t xml:space="preserve">2017, qui figure à présent sous </w:t>
      </w:r>
      <w:r w:rsidR="00B63C9F" w:rsidRPr="00A32AF4">
        <w:rPr>
          <w:rFonts w:cs="Arial"/>
        </w:rPr>
        <w:t>“</w:t>
      </w:r>
      <w:r w:rsidRPr="00A32AF4">
        <w:rPr>
          <w:rFonts w:cs="Arial"/>
        </w:rPr>
        <w:t>Non affecté</w:t>
      </w:r>
      <w:r w:rsidR="00B63C9F" w:rsidRPr="00A32AF4">
        <w:rPr>
          <w:rFonts w:cs="Arial"/>
        </w:rPr>
        <w:t>”</w:t>
      </w:r>
      <w:r w:rsidR="00AE25BB" w:rsidRPr="00A32AF4">
        <w:rPr>
          <w:rFonts w:cs="Arial"/>
        </w:rPr>
        <w:t>.</w:t>
      </w:r>
    </w:p>
    <w:p w:rsidR="00A62254" w:rsidRPr="00A32AF4" w:rsidRDefault="00A62254">
      <w:pPr>
        <w:rPr>
          <w:rFonts w:cs="Arial"/>
          <w:b/>
        </w:rPr>
      </w:pPr>
      <w:r w:rsidRPr="00A32AF4">
        <w:rPr>
          <w:rFonts w:cs="Arial"/>
          <w:b/>
        </w:rPr>
        <w:br w:type="page"/>
      </w:r>
    </w:p>
    <w:p w:rsidR="00F93B76" w:rsidRPr="00A32AF4" w:rsidRDefault="002F6FCA" w:rsidP="00DC0553">
      <w:pPr>
        <w:keepNext/>
        <w:keepLines/>
        <w:autoSpaceDE w:val="0"/>
        <w:autoSpaceDN w:val="0"/>
        <w:jc w:val="center"/>
        <w:rPr>
          <w:rFonts w:cs="Arial"/>
          <w:b/>
        </w:rPr>
      </w:pPr>
      <w:r w:rsidRPr="00A32AF4">
        <w:rPr>
          <w:rFonts w:cs="Arial"/>
          <w:b/>
        </w:rPr>
        <w:t>Programme 4 : ressources par résultat</w:t>
      </w:r>
    </w:p>
    <w:p w:rsidR="00F93B76" w:rsidRPr="00A32AF4" w:rsidRDefault="002F6FCA" w:rsidP="00DC0553">
      <w:pPr>
        <w:keepNext/>
        <w:keepLines/>
        <w:autoSpaceDE w:val="0"/>
        <w:autoSpaceDN w:val="0"/>
        <w:jc w:val="center"/>
        <w:rPr>
          <w:rFonts w:cs="Arial"/>
          <w:i/>
        </w:rPr>
      </w:pPr>
      <w:r w:rsidRPr="00A32AF4">
        <w:rPr>
          <w:rFonts w:cs="Arial"/>
          <w:i/>
        </w:rPr>
        <w:t>(</w:t>
      </w:r>
      <w:proofErr w:type="gramStart"/>
      <w:r w:rsidRPr="00A32AF4">
        <w:rPr>
          <w:rFonts w:cs="Arial"/>
          <w:i/>
        </w:rPr>
        <w:t>en</w:t>
      </w:r>
      <w:proofErr w:type="gramEnd"/>
      <w:r w:rsidRPr="00A32AF4">
        <w:rPr>
          <w:rFonts w:cs="Arial"/>
          <w:i/>
        </w:rPr>
        <w:t xml:space="preserve"> milliers de francs suisses)</w:t>
      </w:r>
    </w:p>
    <w:p w:rsidR="0074225F" w:rsidRPr="00A32AF4" w:rsidRDefault="0074225F" w:rsidP="00DC0553">
      <w:pPr>
        <w:jc w:val="both"/>
        <w:rPr>
          <w:rFonts w:cs="Arial"/>
          <w:bCs/>
          <w:szCs w:val="22"/>
        </w:rPr>
      </w:pPr>
    </w:p>
    <w:tbl>
      <w:tblPr>
        <w:tblW w:w="8980" w:type="dxa"/>
        <w:tblInd w:w="55" w:type="dxa"/>
        <w:tblCellMar>
          <w:left w:w="70" w:type="dxa"/>
          <w:right w:w="70" w:type="dxa"/>
        </w:tblCellMar>
        <w:tblLook w:val="04A0" w:firstRow="1" w:lastRow="0" w:firstColumn="1" w:lastColumn="0" w:noHBand="0" w:noVBand="1"/>
      </w:tblPr>
      <w:tblGrid>
        <w:gridCol w:w="577"/>
        <w:gridCol w:w="4443"/>
        <w:gridCol w:w="1260"/>
        <w:gridCol w:w="1440"/>
        <w:gridCol w:w="1260"/>
      </w:tblGrid>
      <w:tr w:rsidR="002F6FCA" w:rsidRPr="00A32AF4" w:rsidTr="002F6FCA">
        <w:tc>
          <w:tcPr>
            <w:tcW w:w="5020" w:type="dxa"/>
            <w:gridSpan w:val="2"/>
            <w:tcBorders>
              <w:top w:val="single" w:sz="4" w:space="0" w:color="auto"/>
              <w:left w:val="single" w:sz="4" w:space="0" w:color="auto"/>
              <w:bottom w:val="single" w:sz="4" w:space="0" w:color="auto"/>
              <w:right w:val="single" w:sz="4" w:space="0" w:color="000000"/>
            </w:tcBorders>
            <w:shd w:val="clear" w:color="000000" w:fill="C5D9F1"/>
            <w:noWrap/>
            <w:tcMar>
              <w:top w:w="113" w:type="dxa"/>
              <w:bottom w:w="113" w:type="dxa"/>
            </w:tcMar>
            <w:vAlign w:val="center"/>
            <w:hideMark/>
          </w:tcPr>
          <w:p w:rsidR="002F6FCA" w:rsidRPr="00A32AF4" w:rsidRDefault="002F6FCA" w:rsidP="00DC0553">
            <w:pPr>
              <w:jc w:val="center"/>
              <w:rPr>
                <w:rFonts w:cs="Arial"/>
                <w:i/>
                <w:iCs/>
                <w:sz w:val="16"/>
                <w:szCs w:val="16"/>
                <w:lang w:eastAsia="fr-FR"/>
              </w:rPr>
            </w:pPr>
            <w:r w:rsidRPr="00A32AF4">
              <w:rPr>
                <w:rFonts w:cs="Arial"/>
                <w:i/>
                <w:iCs/>
                <w:sz w:val="16"/>
                <w:szCs w:val="16"/>
                <w:lang w:eastAsia="fr-FR"/>
              </w:rPr>
              <w:t xml:space="preserve">Numéro et description du résultat escompté </w:t>
            </w:r>
          </w:p>
        </w:tc>
        <w:tc>
          <w:tcPr>
            <w:tcW w:w="126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2F6FCA" w:rsidRPr="00A32AF4" w:rsidRDefault="002F6FCA" w:rsidP="00DC0553">
            <w:pPr>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2014</w:t>
            </w:r>
            <w:r w:rsidR="00EB7F54" w:rsidRPr="00A32AF4">
              <w:rPr>
                <w:rFonts w:cs="Arial"/>
                <w:i/>
                <w:iCs/>
                <w:sz w:val="16"/>
                <w:szCs w:val="16"/>
                <w:lang w:eastAsia="fr-FR"/>
              </w:rPr>
              <w:noBreakHyphen/>
            </w:r>
            <w:r w:rsidRPr="00A32AF4">
              <w:rPr>
                <w:rFonts w:cs="Arial"/>
                <w:i/>
                <w:iCs/>
                <w:sz w:val="16"/>
                <w:szCs w:val="16"/>
                <w:lang w:eastAsia="fr-FR"/>
              </w:rPr>
              <w:t>2015 approuvé</w:t>
            </w:r>
          </w:p>
        </w:tc>
        <w:tc>
          <w:tcPr>
            <w:tcW w:w="144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2F6FCA" w:rsidRPr="00A32AF4" w:rsidRDefault="002F6FCA" w:rsidP="00DC0553">
            <w:pPr>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2014</w:t>
            </w:r>
            <w:r w:rsidR="00EB7F54" w:rsidRPr="00A32AF4">
              <w:rPr>
                <w:rFonts w:cs="Arial"/>
                <w:i/>
                <w:iCs/>
                <w:sz w:val="16"/>
                <w:szCs w:val="16"/>
                <w:lang w:eastAsia="fr-FR"/>
              </w:rPr>
              <w:noBreakHyphen/>
            </w:r>
            <w:r w:rsidRPr="00A32AF4">
              <w:rPr>
                <w:rFonts w:cs="Arial"/>
                <w:i/>
                <w:iCs/>
                <w:sz w:val="16"/>
                <w:szCs w:val="16"/>
                <w:lang w:eastAsia="fr-FR"/>
              </w:rPr>
              <w:t>2015 après virements</w:t>
            </w:r>
          </w:p>
        </w:tc>
        <w:tc>
          <w:tcPr>
            <w:tcW w:w="126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2F6FCA" w:rsidRPr="00A32AF4" w:rsidRDefault="002F6FCA" w:rsidP="00DC0553">
            <w:pPr>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2016</w:t>
            </w:r>
            <w:r w:rsidR="00EB7F54" w:rsidRPr="00A32AF4">
              <w:rPr>
                <w:rFonts w:cs="Arial"/>
                <w:i/>
                <w:iCs/>
                <w:sz w:val="16"/>
                <w:szCs w:val="16"/>
                <w:lang w:eastAsia="fr-FR"/>
              </w:rPr>
              <w:noBreakHyphen/>
            </w:r>
            <w:r w:rsidRPr="00A32AF4">
              <w:rPr>
                <w:rFonts w:cs="Arial"/>
                <w:i/>
                <w:iCs/>
                <w:sz w:val="16"/>
                <w:szCs w:val="16"/>
                <w:lang w:eastAsia="fr-FR"/>
              </w:rPr>
              <w:t>2017 proposé</w:t>
            </w:r>
          </w:p>
        </w:tc>
      </w:tr>
      <w:tr w:rsidR="002F6FCA" w:rsidRPr="00A32AF4" w:rsidTr="002F6FCA">
        <w:tc>
          <w:tcPr>
            <w:tcW w:w="577" w:type="dxa"/>
            <w:tcBorders>
              <w:top w:val="nil"/>
              <w:left w:val="single" w:sz="4" w:space="0" w:color="auto"/>
              <w:bottom w:val="nil"/>
              <w:right w:val="nil"/>
            </w:tcBorders>
            <w:shd w:val="clear" w:color="auto" w:fill="auto"/>
            <w:noWrap/>
            <w:tcMar>
              <w:top w:w="113" w:type="dxa"/>
              <w:bottom w:w="113" w:type="dxa"/>
            </w:tcMar>
            <w:vAlign w:val="center"/>
            <w:hideMark/>
          </w:tcPr>
          <w:p w:rsidR="002F6FCA" w:rsidRPr="00A32AF4" w:rsidRDefault="002F6FCA" w:rsidP="00DC0553">
            <w:pPr>
              <w:rPr>
                <w:rFonts w:cs="Arial"/>
                <w:sz w:val="16"/>
                <w:szCs w:val="16"/>
                <w:lang w:eastAsia="fr-FR"/>
              </w:rPr>
            </w:pPr>
            <w:r w:rsidRPr="00A32AF4">
              <w:rPr>
                <w:rFonts w:cs="Arial"/>
                <w:sz w:val="16"/>
                <w:szCs w:val="16"/>
                <w:lang w:eastAsia="fr-FR"/>
              </w:rPr>
              <w:t>I.1</w:t>
            </w:r>
          </w:p>
        </w:tc>
        <w:tc>
          <w:tcPr>
            <w:tcW w:w="4443" w:type="dxa"/>
            <w:tcBorders>
              <w:top w:val="nil"/>
              <w:left w:val="nil"/>
              <w:bottom w:val="nil"/>
              <w:right w:val="nil"/>
            </w:tcBorders>
            <w:shd w:val="clear" w:color="auto" w:fill="auto"/>
            <w:tcMar>
              <w:top w:w="113" w:type="dxa"/>
              <w:bottom w:w="113" w:type="dxa"/>
            </w:tcMar>
            <w:vAlign w:val="center"/>
            <w:hideMark/>
          </w:tcPr>
          <w:p w:rsidR="002F6FCA" w:rsidRPr="00A32AF4" w:rsidRDefault="002F6FCA" w:rsidP="00DC0553">
            <w:pPr>
              <w:rPr>
                <w:rFonts w:cs="Arial"/>
                <w:sz w:val="16"/>
                <w:szCs w:val="16"/>
                <w:lang w:eastAsia="fr-FR"/>
              </w:rPr>
            </w:pPr>
            <w:r w:rsidRPr="00A32AF4">
              <w:rPr>
                <w:rFonts w:cs="Arial"/>
                <w:sz w:val="16"/>
                <w:szCs w:val="16"/>
                <w:lang w:eastAsia="fr-FR"/>
              </w:rPr>
              <w:t>Renforcement de la coopération entre les États membres en ce qui concerne l</w:t>
            </w:r>
            <w:r w:rsidR="00E2055A" w:rsidRPr="00A32AF4">
              <w:rPr>
                <w:rFonts w:cs="Arial"/>
                <w:sz w:val="16"/>
                <w:szCs w:val="16"/>
                <w:lang w:eastAsia="fr-FR"/>
              </w:rPr>
              <w:t>’</w:t>
            </w:r>
            <w:r w:rsidRPr="00A32AF4">
              <w:rPr>
                <w:rFonts w:cs="Arial"/>
                <w:sz w:val="16"/>
                <w:szCs w:val="16"/>
                <w:lang w:eastAsia="fr-FR"/>
              </w:rPr>
              <w:t xml:space="preserve">élaboration de cadres normatifs internationaux équilibrés dans le domaine de la propriété intellectuelle </w:t>
            </w:r>
          </w:p>
        </w:tc>
        <w:tc>
          <w:tcPr>
            <w:tcW w:w="1260" w:type="dxa"/>
            <w:tcBorders>
              <w:top w:val="nil"/>
              <w:left w:val="nil"/>
              <w:bottom w:val="nil"/>
              <w:right w:val="nil"/>
            </w:tcBorders>
            <w:shd w:val="clear" w:color="auto" w:fill="auto"/>
            <w:tcMar>
              <w:top w:w="113" w:type="dxa"/>
              <w:bottom w:w="113" w:type="dxa"/>
            </w:tcMar>
            <w:vAlign w:val="center"/>
            <w:hideMark/>
          </w:tcPr>
          <w:p w:rsidR="002F6FCA" w:rsidRPr="00A32AF4" w:rsidRDefault="002F6FCA" w:rsidP="00DC0553">
            <w:pPr>
              <w:jc w:val="right"/>
              <w:rPr>
                <w:rFonts w:cs="Arial"/>
                <w:sz w:val="16"/>
                <w:szCs w:val="16"/>
                <w:lang w:eastAsia="fr-FR"/>
              </w:rPr>
            </w:pPr>
            <w:r w:rsidRPr="00A32AF4">
              <w:rPr>
                <w:rFonts w:cs="Arial"/>
                <w:sz w:val="16"/>
                <w:szCs w:val="16"/>
                <w:lang w:eastAsia="fr-FR"/>
              </w:rPr>
              <w:t xml:space="preserve">5 725 </w:t>
            </w:r>
          </w:p>
        </w:tc>
        <w:tc>
          <w:tcPr>
            <w:tcW w:w="1440" w:type="dxa"/>
            <w:tcBorders>
              <w:top w:val="nil"/>
              <w:left w:val="nil"/>
              <w:bottom w:val="nil"/>
              <w:right w:val="nil"/>
            </w:tcBorders>
            <w:shd w:val="clear" w:color="auto" w:fill="auto"/>
            <w:tcMar>
              <w:top w:w="113" w:type="dxa"/>
              <w:bottom w:w="113" w:type="dxa"/>
            </w:tcMar>
            <w:vAlign w:val="center"/>
            <w:hideMark/>
          </w:tcPr>
          <w:p w:rsidR="002F6FCA" w:rsidRPr="00A32AF4" w:rsidRDefault="002F6FCA" w:rsidP="00DC0553">
            <w:pPr>
              <w:jc w:val="right"/>
              <w:rPr>
                <w:rFonts w:cs="Arial"/>
                <w:sz w:val="16"/>
                <w:szCs w:val="16"/>
                <w:lang w:eastAsia="fr-FR"/>
              </w:rPr>
            </w:pPr>
            <w:r w:rsidRPr="00A32AF4">
              <w:rPr>
                <w:rFonts w:cs="Arial"/>
                <w:sz w:val="16"/>
                <w:szCs w:val="16"/>
                <w:lang w:eastAsia="fr-FR"/>
              </w:rPr>
              <w:t xml:space="preserve">4 149 </w:t>
            </w:r>
          </w:p>
        </w:tc>
        <w:tc>
          <w:tcPr>
            <w:tcW w:w="1260" w:type="dxa"/>
            <w:tcBorders>
              <w:top w:val="nil"/>
              <w:left w:val="nil"/>
              <w:bottom w:val="nil"/>
              <w:right w:val="single" w:sz="4" w:space="0" w:color="auto"/>
            </w:tcBorders>
            <w:shd w:val="clear" w:color="auto" w:fill="auto"/>
            <w:noWrap/>
            <w:tcMar>
              <w:top w:w="113" w:type="dxa"/>
              <w:bottom w:w="113" w:type="dxa"/>
            </w:tcMar>
            <w:vAlign w:val="center"/>
            <w:hideMark/>
          </w:tcPr>
          <w:p w:rsidR="002F6FCA" w:rsidRPr="00A32AF4" w:rsidRDefault="002F6FCA" w:rsidP="00DC0553">
            <w:pPr>
              <w:jc w:val="right"/>
              <w:rPr>
                <w:rFonts w:cs="Arial"/>
                <w:color w:val="000000"/>
                <w:sz w:val="16"/>
                <w:szCs w:val="16"/>
                <w:lang w:eastAsia="fr-FR"/>
              </w:rPr>
            </w:pPr>
            <w:r w:rsidRPr="00A32AF4">
              <w:rPr>
                <w:rFonts w:cs="Arial"/>
                <w:color w:val="000000"/>
                <w:sz w:val="16"/>
                <w:szCs w:val="16"/>
                <w:lang w:eastAsia="fr-FR"/>
              </w:rPr>
              <w:t xml:space="preserve">4 116 </w:t>
            </w:r>
          </w:p>
        </w:tc>
      </w:tr>
      <w:tr w:rsidR="002F6FCA" w:rsidRPr="00A32AF4" w:rsidTr="002F6FCA">
        <w:tc>
          <w:tcPr>
            <w:tcW w:w="577" w:type="dxa"/>
            <w:tcBorders>
              <w:top w:val="nil"/>
              <w:left w:val="single" w:sz="4" w:space="0" w:color="auto"/>
              <w:bottom w:val="nil"/>
              <w:right w:val="nil"/>
            </w:tcBorders>
            <w:shd w:val="clear" w:color="auto" w:fill="auto"/>
            <w:noWrap/>
            <w:tcMar>
              <w:top w:w="113" w:type="dxa"/>
              <w:bottom w:w="113" w:type="dxa"/>
            </w:tcMar>
            <w:vAlign w:val="center"/>
            <w:hideMark/>
          </w:tcPr>
          <w:p w:rsidR="002F6FCA" w:rsidRPr="00A32AF4" w:rsidRDefault="002F6FCA" w:rsidP="00DC0553">
            <w:pPr>
              <w:rPr>
                <w:rFonts w:cs="Arial"/>
                <w:sz w:val="16"/>
                <w:szCs w:val="16"/>
                <w:lang w:eastAsia="fr-FR"/>
              </w:rPr>
            </w:pPr>
            <w:r w:rsidRPr="00A32AF4">
              <w:rPr>
                <w:rFonts w:cs="Arial"/>
                <w:sz w:val="16"/>
                <w:szCs w:val="16"/>
                <w:lang w:eastAsia="fr-FR"/>
              </w:rPr>
              <w:t>III.2</w:t>
            </w:r>
          </w:p>
        </w:tc>
        <w:tc>
          <w:tcPr>
            <w:tcW w:w="4443" w:type="dxa"/>
            <w:tcBorders>
              <w:top w:val="nil"/>
              <w:left w:val="nil"/>
              <w:bottom w:val="nil"/>
              <w:right w:val="nil"/>
            </w:tcBorders>
            <w:shd w:val="clear" w:color="auto" w:fill="auto"/>
            <w:tcMar>
              <w:top w:w="113" w:type="dxa"/>
              <w:bottom w:w="113" w:type="dxa"/>
            </w:tcMar>
            <w:vAlign w:val="center"/>
            <w:hideMark/>
          </w:tcPr>
          <w:p w:rsidR="002F6FCA" w:rsidRPr="00A32AF4" w:rsidRDefault="002F6FCA" w:rsidP="00DC0553">
            <w:pPr>
              <w:rPr>
                <w:rFonts w:cs="Arial"/>
                <w:sz w:val="16"/>
                <w:szCs w:val="16"/>
                <w:lang w:eastAsia="fr-FR"/>
              </w:rPr>
            </w:pPr>
            <w:r w:rsidRPr="00A32AF4">
              <w:rPr>
                <w:rFonts w:cs="Arial"/>
                <w:sz w:val="16"/>
                <w:szCs w:val="16"/>
                <w:lang w:eastAsia="fr-FR"/>
              </w:rPr>
              <w:t>Mise en valeur des ressources humaines pour répondre aux diverses exigences en matière d</w:t>
            </w:r>
            <w:r w:rsidR="00E2055A" w:rsidRPr="00A32AF4">
              <w:rPr>
                <w:rFonts w:cs="Arial"/>
                <w:sz w:val="16"/>
                <w:szCs w:val="16"/>
                <w:lang w:eastAsia="fr-FR"/>
              </w:rPr>
              <w:t>’</w:t>
            </w:r>
            <w:r w:rsidRPr="00A32AF4">
              <w:rPr>
                <w:rFonts w:cs="Arial"/>
                <w:sz w:val="16"/>
                <w:szCs w:val="16"/>
                <w:lang w:eastAsia="fr-FR"/>
              </w:rPr>
              <w:t>utilisation efficace de la propriété intellectuelle au service du développement dans les pays en développement,</w:t>
            </w:r>
            <w:r w:rsidR="00E2055A" w:rsidRPr="00A32AF4">
              <w:rPr>
                <w:rFonts w:cs="Arial"/>
                <w:sz w:val="16"/>
                <w:szCs w:val="16"/>
                <w:lang w:eastAsia="fr-FR"/>
              </w:rPr>
              <w:t xml:space="preserve"> les PMA</w:t>
            </w:r>
            <w:r w:rsidRPr="00A32AF4">
              <w:rPr>
                <w:rFonts w:cs="Arial"/>
                <w:sz w:val="16"/>
                <w:szCs w:val="16"/>
                <w:lang w:eastAsia="fr-FR"/>
              </w:rPr>
              <w:t xml:space="preserve"> et les pays en transition</w:t>
            </w:r>
          </w:p>
        </w:tc>
        <w:tc>
          <w:tcPr>
            <w:tcW w:w="1260" w:type="dxa"/>
            <w:tcBorders>
              <w:top w:val="nil"/>
              <w:left w:val="nil"/>
              <w:bottom w:val="nil"/>
              <w:right w:val="nil"/>
            </w:tcBorders>
            <w:shd w:val="clear" w:color="auto" w:fill="auto"/>
            <w:tcMar>
              <w:top w:w="113" w:type="dxa"/>
              <w:bottom w:w="113" w:type="dxa"/>
            </w:tcMar>
            <w:vAlign w:val="center"/>
            <w:hideMark/>
          </w:tcPr>
          <w:p w:rsidR="002F6FCA" w:rsidRPr="00A32AF4" w:rsidRDefault="002F6FCA" w:rsidP="00DC0553">
            <w:pPr>
              <w:jc w:val="right"/>
              <w:rPr>
                <w:rFonts w:cs="Arial"/>
                <w:sz w:val="16"/>
                <w:szCs w:val="16"/>
                <w:lang w:eastAsia="fr-FR"/>
              </w:rPr>
            </w:pPr>
            <w:r w:rsidRPr="00A32AF4">
              <w:rPr>
                <w:rFonts w:cs="Arial"/>
                <w:sz w:val="16"/>
                <w:szCs w:val="16"/>
                <w:lang w:eastAsia="fr-FR"/>
              </w:rPr>
              <w:t xml:space="preserve">2 139 </w:t>
            </w:r>
          </w:p>
        </w:tc>
        <w:tc>
          <w:tcPr>
            <w:tcW w:w="1440" w:type="dxa"/>
            <w:tcBorders>
              <w:top w:val="nil"/>
              <w:left w:val="nil"/>
              <w:bottom w:val="nil"/>
              <w:right w:val="nil"/>
            </w:tcBorders>
            <w:shd w:val="clear" w:color="auto" w:fill="auto"/>
            <w:tcMar>
              <w:top w:w="113" w:type="dxa"/>
              <w:bottom w:w="113" w:type="dxa"/>
            </w:tcMar>
            <w:vAlign w:val="center"/>
            <w:hideMark/>
          </w:tcPr>
          <w:p w:rsidR="002F6FCA" w:rsidRPr="00A32AF4" w:rsidRDefault="002F6FCA" w:rsidP="00DC0553">
            <w:pPr>
              <w:jc w:val="right"/>
              <w:rPr>
                <w:rFonts w:cs="Arial"/>
                <w:sz w:val="16"/>
                <w:szCs w:val="16"/>
                <w:lang w:eastAsia="fr-FR"/>
              </w:rPr>
            </w:pPr>
            <w:r w:rsidRPr="00A32AF4">
              <w:rPr>
                <w:rFonts w:cs="Arial"/>
                <w:sz w:val="16"/>
                <w:szCs w:val="16"/>
                <w:lang w:eastAsia="fr-FR"/>
              </w:rPr>
              <w:t xml:space="preserve">2 099 </w:t>
            </w:r>
          </w:p>
        </w:tc>
        <w:tc>
          <w:tcPr>
            <w:tcW w:w="1260" w:type="dxa"/>
            <w:tcBorders>
              <w:top w:val="nil"/>
              <w:left w:val="nil"/>
              <w:bottom w:val="nil"/>
              <w:right w:val="single" w:sz="4" w:space="0" w:color="auto"/>
            </w:tcBorders>
            <w:shd w:val="clear" w:color="auto" w:fill="auto"/>
            <w:noWrap/>
            <w:tcMar>
              <w:top w:w="113" w:type="dxa"/>
              <w:bottom w:w="113" w:type="dxa"/>
            </w:tcMar>
            <w:vAlign w:val="center"/>
            <w:hideMark/>
          </w:tcPr>
          <w:p w:rsidR="002F6FCA" w:rsidRPr="00A32AF4" w:rsidRDefault="002F6FCA" w:rsidP="00DC0553">
            <w:pPr>
              <w:jc w:val="right"/>
              <w:rPr>
                <w:rFonts w:cs="Arial"/>
                <w:color w:val="000000"/>
                <w:sz w:val="16"/>
                <w:szCs w:val="16"/>
                <w:lang w:eastAsia="fr-FR"/>
              </w:rPr>
            </w:pPr>
            <w:r w:rsidRPr="00A32AF4">
              <w:rPr>
                <w:rFonts w:cs="Arial"/>
                <w:color w:val="000000"/>
                <w:sz w:val="16"/>
                <w:szCs w:val="16"/>
                <w:lang w:eastAsia="fr-FR"/>
              </w:rPr>
              <w:t xml:space="preserve">1 999 </w:t>
            </w:r>
          </w:p>
        </w:tc>
      </w:tr>
      <w:tr w:rsidR="002F6FCA" w:rsidRPr="00A32AF4" w:rsidTr="002F6FCA">
        <w:tc>
          <w:tcPr>
            <w:tcW w:w="577" w:type="dxa"/>
            <w:tcBorders>
              <w:top w:val="nil"/>
              <w:left w:val="single" w:sz="4" w:space="0" w:color="auto"/>
              <w:bottom w:val="nil"/>
              <w:right w:val="nil"/>
            </w:tcBorders>
            <w:shd w:val="clear" w:color="auto" w:fill="auto"/>
            <w:noWrap/>
            <w:tcMar>
              <w:top w:w="113" w:type="dxa"/>
              <w:bottom w:w="113" w:type="dxa"/>
            </w:tcMar>
            <w:vAlign w:val="center"/>
            <w:hideMark/>
          </w:tcPr>
          <w:p w:rsidR="002F6FCA" w:rsidRPr="00A32AF4" w:rsidRDefault="002F6FCA" w:rsidP="00DC0553">
            <w:pPr>
              <w:rPr>
                <w:rFonts w:cs="Arial"/>
                <w:sz w:val="16"/>
                <w:szCs w:val="16"/>
                <w:lang w:eastAsia="fr-FR"/>
              </w:rPr>
            </w:pPr>
            <w:r w:rsidRPr="00A32AF4">
              <w:rPr>
                <w:rFonts w:cs="Arial"/>
                <w:sz w:val="16"/>
                <w:szCs w:val="16"/>
                <w:lang w:eastAsia="fr-FR"/>
              </w:rPr>
              <w:t>VII.2</w:t>
            </w:r>
          </w:p>
        </w:tc>
        <w:tc>
          <w:tcPr>
            <w:tcW w:w="4443" w:type="dxa"/>
            <w:tcBorders>
              <w:top w:val="nil"/>
              <w:left w:val="nil"/>
              <w:bottom w:val="nil"/>
              <w:right w:val="nil"/>
            </w:tcBorders>
            <w:shd w:val="clear" w:color="auto" w:fill="auto"/>
            <w:tcMar>
              <w:top w:w="113" w:type="dxa"/>
              <w:bottom w:w="113" w:type="dxa"/>
            </w:tcMar>
            <w:vAlign w:val="center"/>
            <w:hideMark/>
          </w:tcPr>
          <w:p w:rsidR="002F6FCA" w:rsidRPr="00A32AF4" w:rsidRDefault="002F6FCA" w:rsidP="00DC0553">
            <w:pPr>
              <w:rPr>
                <w:rFonts w:cs="Arial"/>
                <w:sz w:val="16"/>
                <w:szCs w:val="16"/>
                <w:lang w:eastAsia="fr-FR"/>
              </w:rPr>
            </w:pPr>
            <w:r w:rsidRPr="00A32AF4">
              <w:rPr>
                <w:rFonts w:cs="Arial"/>
                <w:sz w:val="16"/>
                <w:szCs w:val="16"/>
                <w:lang w:eastAsia="fr-FR"/>
              </w:rPr>
              <w:t>Plates</w:t>
            </w:r>
            <w:r w:rsidR="00EB7F54" w:rsidRPr="00A32AF4">
              <w:rPr>
                <w:rFonts w:cs="Arial"/>
                <w:sz w:val="16"/>
                <w:szCs w:val="16"/>
                <w:lang w:eastAsia="fr-FR"/>
              </w:rPr>
              <w:noBreakHyphen/>
            </w:r>
            <w:r w:rsidRPr="00A32AF4">
              <w:rPr>
                <w:rFonts w:cs="Arial"/>
                <w:sz w:val="16"/>
                <w:szCs w:val="16"/>
                <w:lang w:eastAsia="fr-FR"/>
              </w:rPr>
              <w:t>formes et instruments fondés sur la propriété intellectuelle pour le transfert de connaissances et l</w:t>
            </w:r>
            <w:r w:rsidR="00E2055A" w:rsidRPr="00A32AF4">
              <w:rPr>
                <w:rFonts w:cs="Arial"/>
                <w:sz w:val="16"/>
                <w:szCs w:val="16"/>
                <w:lang w:eastAsia="fr-FR"/>
              </w:rPr>
              <w:t>’</w:t>
            </w:r>
            <w:r w:rsidRPr="00A32AF4">
              <w:rPr>
                <w:rFonts w:cs="Arial"/>
                <w:sz w:val="16"/>
                <w:szCs w:val="16"/>
                <w:lang w:eastAsia="fr-FR"/>
              </w:rPr>
              <w:t>adaptation et la diffusion de la technologie entre les pays développés et les pays en développement, notamment</w:t>
            </w:r>
            <w:r w:rsidR="00E2055A" w:rsidRPr="00A32AF4">
              <w:rPr>
                <w:rFonts w:cs="Arial"/>
                <w:sz w:val="16"/>
                <w:szCs w:val="16"/>
                <w:lang w:eastAsia="fr-FR"/>
              </w:rPr>
              <w:t xml:space="preserve"> les PMA</w:t>
            </w:r>
            <w:r w:rsidRPr="00A32AF4">
              <w:rPr>
                <w:rFonts w:cs="Arial"/>
                <w:sz w:val="16"/>
                <w:szCs w:val="16"/>
                <w:lang w:eastAsia="fr-FR"/>
              </w:rPr>
              <w:t>, pour relever des défis mondiaux</w:t>
            </w:r>
          </w:p>
        </w:tc>
        <w:tc>
          <w:tcPr>
            <w:tcW w:w="1260" w:type="dxa"/>
            <w:tcBorders>
              <w:top w:val="nil"/>
              <w:left w:val="nil"/>
              <w:bottom w:val="nil"/>
              <w:right w:val="nil"/>
            </w:tcBorders>
            <w:shd w:val="clear" w:color="auto" w:fill="auto"/>
            <w:tcMar>
              <w:top w:w="113" w:type="dxa"/>
              <w:bottom w:w="113" w:type="dxa"/>
            </w:tcMar>
            <w:vAlign w:val="center"/>
            <w:hideMark/>
          </w:tcPr>
          <w:p w:rsidR="002F6FCA" w:rsidRPr="00A32AF4" w:rsidRDefault="002F6FCA" w:rsidP="00DC0553">
            <w:pPr>
              <w:jc w:val="right"/>
              <w:rPr>
                <w:rFonts w:cs="Arial"/>
                <w:sz w:val="16"/>
                <w:szCs w:val="16"/>
                <w:lang w:eastAsia="fr-FR"/>
              </w:rPr>
            </w:pPr>
            <w:r w:rsidRPr="00A32AF4">
              <w:rPr>
                <w:rFonts w:cs="Arial"/>
                <w:sz w:val="16"/>
                <w:szCs w:val="16"/>
                <w:lang w:eastAsia="fr-FR"/>
              </w:rPr>
              <w:t>–</w:t>
            </w:r>
          </w:p>
        </w:tc>
        <w:tc>
          <w:tcPr>
            <w:tcW w:w="1440" w:type="dxa"/>
            <w:tcBorders>
              <w:top w:val="nil"/>
              <w:left w:val="nil"/>
              <w:bottom w:val="nil"/>
              <w:right w:val="nil"/>
            </w:tcBorders>
            <w:shd w:val="clear" w:color="auto" w:fill="auto"/>
            <w:tcMar>
              <w:top w:w="113" w:type="dxa"/>
              <w:bottom w:w="113" w:type="dxa"/>
            </w:tcMar>
            <w:vAlign w:val="center"/>
            <w:hideMark/>
          </w:tcPr>
          <w:p w:rsidR="002F6FCA" w:rsidRPr="00A32AF4" w:rsidRDefault="002F6FCA" w:rsidP="00DC0553">
            <w:pPr>
              <w:jc w:val="right"/>
              <w:rPr>
                <w:rFonts w:cs="Arial"/>
                <w:sz w:val="16"/>
                <w:szCs w:val="16"/>
                <w:lang w:eastAsia="fr-FR"/>
              </w:rPr>
            </w:pPr>
            <w:r w:rsidRPr="00A32AF4">
              <w:rPr>
                <w:rFonts w:cs="Arial"/>
                <w:sz w:val="16"/>
                <w:szCs w:val="16"/>
                <w:lang w:eastAsia="fr-FR"/>
              </w:rPr>
              <w:t xml:space="preserve">124 </w:t>
            </w:r>
          </w:p>
        </w:tc>
        <w:tc>
          <w:tcPr>
            <w:tcW w:w="1260" w:type="dxa"/>
            <w:tcBorders>
              <w:top w:val="nil"/>
              <w:left w:val="nil"/>
              <w:bottom w:val="nil"/>
              <w:right w:val="single" w:sz="4" w:space="0" w:color="auto"/>
            </w:tcBorders>
            <w:shd w:val="clear" w:color="auto" w:fill="auto"/>
            <w:tcMar>
              <w:top w:w="113" w:type="dxa"/>
              <w:bottom w:w="113" w:type="dxa"/>
            </w:tcMar>
            <w:vAlign w:val="center"/>
            <w:hideMark/>
          </w:tcPr>
          <w:p w:rsidR="002F6FCA" w:rsidRPr="00A32AF4" w:rsidRDefault="002F6FCA" w:rsidP="00DC0553">
            <w:pPr>
              <w:jc w:val="right"/>
              <w:rPr>
                <w:rFonts w:cs="Arial"/>
                <w:sz w:val="16"/>
                <w:szCs w:val="16"/>
                <w:lang w:eastAsia="fr-FR"/>
              </w:rPr>
            </w:pPr>
            <w:r w:rsidRPr="00A32AF4">
              <w:rPr>
                <w:rFonts w:cs="Arial"/>
                <w:sz w:val="16"/>
                <w:szCs w:val="16"/>
                <w:lang w:eastAsia="fr-FR"/>
              </w:rPr>
              <w:t>–</w:t>
            </w:r>
          </w:p>
        </w:tc>
      </w:tr>
      <w:tr w:rsidR="002F6FCA" w:rsidRPr="00A32AF4" w:rsidTr="002F6FCA">
        <w:tc>
          <w:tcPr>
            <w:tcW w:w="577" w:type="dxa"/>
            <w:tcBorders>
              <w:top w:val="single" w:sz="4" w:space="0" w:color="auto"/>
              <w:left w:val="single" w:sz="4" w:space="0" w:color="auto"/>
              <w:bottom w:val="single" w:sz="4" w:space="0" w:color="auto"/>
              <w:right w:val="nil"/>
            </w:tcBorders>
            <w:shd w:val="clear" w:color="000000" w:fill="C5D9F1"/>
            <w:noWrap/>
            <w:tcMar>
              <w:top w:w="113" w:type="dxa"/>
              <w:bottom w:w="113" w:type="dxa"/>
            </w:tcMar>
            <w:vAlign w:val="bottom"/>
            <w:hideMark/>
          </w:tcPr>
          <w:p w:rsidR="002F6FCA" w:rsidRPr="00A32AF4" w:rsidRDefault="002F6FCA" w:rsidP="00DC0553">
            <w:pPr>
              <w:rPr>
                <w:rFonts w:cs="Arial"/>
                <w:sz w:val="16"/>
                <w:szCs w:val="16"/>
                <w:lang w:eastAsia="fr-FR"/>
              </w:rPr>
            </w:pPr>
            <w:r w:rsidRPr="00A32AF4">
              <w:rPr>
                <w:rFonts w:cs="Arial"/>
                <w:sz w:val="16"/>
                <w:szCs w:val="16"/>
                <w:lang w:eastAsia="fr-FR"/>
              </w:rPr>
              <w:t> </w:t>
            </w:r>
          </w:p>
        </w:tc>
        <w:tc>
          <w:tcPr>
            <w:tcW w:w="4443"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2F6FCA" w:rsidRPr="00A32AF4" w:rsidRDefault="002F6FCA" w:rsidP="00DC0553">
            <w:pPr>
              <w:rPr>
                <w:rFonts w:cs="Arial"/>
                <w:b/>
                <w:bCs/>
                <w:sz w:val="16"/>
                <w:szCs w:val="16"/>
                <w:lang w:eastAsia="fr-FR"/>
              </w:rPr>
            </w:pPr>
            <w:r w:rsidRPr="00A32AF4">
              <w:rPr>
                <w:rFonts w:cs="Arial"/>
                <w:b/>
                <w:bCs/>
                <w:sz w:val="16"/>
                <w:szCs w:val="16"/>
                <w:lang w:eastAsia="fr-FR"/>
              </w:rPr>
              <w:t>Total</w:t>
            </w:r>
          </w:p>
        </w:tc>
        <w:tc>
          <w:tcPr>
            <w:tcW w:w="1260"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2F6FCA" w:rsidRPr="00A32AF4" w:rsidRDefault="002F6FCA" w:rsidP="00DC0553">
            <w:pPr>
              <w:jc w:val="right"/>
              <w:rPr>
                <w:rFonts w:cs="Arial"/>
                <w:b/>
                <w:bCs/>
                <w:sz w:val="16"/>
                <w:szCs w:val="16"/>
                <w:lang w:eastAsia="fr-FR"/>
              </w:rPr>
            </w:pPr>
            <w:r w:rsidRPr="00A32AF4">
              <w:rPr>
                <w:rFonts w:cs="Arial"/>
                <w:b/>
                <w:bCs/>
                <w:sz w:val="16"/>
                <w:szCs w:val="16"/>
                <w:lang w:eastAsia="fr-FR"/>
              </w:rPr>
              <w:t xml:space="preserve">7 864 </w:t>
            </w:r>
          </w:p>
        </w:tc>
        <w:tc>
          <w:tcPr>
            <w:tcW w:w="1440"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2F6FCA" w:rsidRPr="00A32AF4" w:rsidRDefault="002F6FCA" w:rsidP="00DC0553">
            <w:pPr>
              <w:jc w:val="right"/>
              <w:rPr>
                <w:rFonts w:cs="Arial"/>
                <w:b/>
                <w:bCs/>
                <w:sz w:val="16"/>
                <w:szCs w:val="16"/>
                <w:lang w:eastAsia="fr-FR"/>
              </w:rPr>
            </w:pPr>
            <w:r w:rsidRPr="00A32AF4">
              <w:rPr>
                <w:rFonts w:cs="Arial"/>
                <w:b/>
                <w:bCs/>
                <w:sz w:val="16"/>
                <w:szCs w:val="16"/>
                <w:lang w:eastAsia="fr-FR"/>
              </w:rPr>
              <w:t xml:space="preserve">6 372 </w:t>
            </w:r>
          </w:p>
        </w:tc>
        <w:tc>
          <w:tcPr>
            <w:tcW w:w="1260"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2F6FCA" w:rsidRPr="00A32AF4" w:rsidRDefault="002F6FCA" w:rsidP="00DC0553">
            <w:pPr>
              <w:jc w:val="right"/>
              <w:rPr>
                <w:rFonts w:cs="Arial"/>
                <w:b/>
                <w:bCs/>
                <w:sz w:val="16"/>
                <w:szCs w:val="16"/>
                <w:lang w:eastAsia="fr-FR"/>
              </w:rPr>
            </w:pPr>
            <w:r w:rsidRPr="00A32AF4">
              <w:rPr>
                <w:rFonts w:cs="Arial"/>
                <w:b/>
                <w:bCs/>
                <w:sz w:val="16"/>
                <w:szCs w:val="16"/>
                <w:lang w:eastAsia="fr-FR"/>
              </w:rPr>
              <w:t xml:space="preserve">6 115 </w:t>
            </w:r>
          </w:p>
        </w:tc>
      </w:tr>
    </w:tbl>
    <w:p w:rsidR="00F93B76" w:rsidRPr="00A32AF4" w:rsidRDefault="00F93B76" w:rsidP="00DC0553">
      <w:pPr>
        <w:jc w:val="both"/>
        <w:rPr>
          <w:rFonts w:cs="Arial"/>
          <w:bCs/>
          <w:szCs w:val="22"/>
        </w:rPr>
      </w:pPr>
    </w:p>
    <w:p w:rsidR="00F93B76" w:rsidRPr="00A32AF4" w:rsidRDefault="00F93B76" w:rsidP="00DC0553">
      <w:pPr>
        <w:jc w:val="both"/>
        <w:rPr>
          <w:rFonts w:cs="Arial"/>
          <w:bCs/>
          <w:szCs w:val="22"/>
        </w:rPr>
      </w:pPr>
    </w:p>
    <w:p w:rsidR="00F93B76" w:rsidRPr="00A32AF4" w:rsidRDefault="002F6FCA" w:rsidP="00DC0553">
      <w:pPr>
        <w:keepNext/>
        <w:keepLines/>
        <w:autoSpaceDE w:val="0"/>
        <w:autoSpaceDN w:val="0"/>
        <w:jc w:val="center"/>
        <w:rPr>
          <w:rFonts w:cs="Arial"/>
          <w:b/>
        </w:rPr>
      </w:pPr>
      <w:r w:rsidRPr="00A32AF4">
        <w:rPr>
          <w:rFonts w:cs="Arial"/>
          <w:b/>
        </w:rPr>
        <w:t>Programme 4 : ressources par objet de dépense</w:t>
      </w:r>
    </w:p>
    <w:p w:rsidR="00F93B76" w:rsidRPr="00A32AF4" w:rsidRDefault="002F6FCA" w:rsidP="00DC0553">
      <w:pPr>
        <w:keepNext/>
        <w:keepLines/>
        <w:autoSpaceDE w:val="0"/>
        <w:autoSpaceDN w:val="0"/>
        <w:jc w:val="center"/>
        <w:rPr>
          <w:rFonts w:cs="Arial"/>
          <w:i/>
        </w:rPr>
      </w:pPr>
      <w:r w:rsidRPr="00A32AF4">
        <w:rPr>
          <w:rFonts w:cs="Arial"/>
          <w:i/>
        </w:rPr>
        <w:t>(</w:t>
      </w:r>
      <w:proofErr w:type="gramStart"/>
      <w:r w:rsidRPr="00A32AF4">
        <w:rPr>
          <w:rFonts w:cs="Arial"/>
          <w:i/>
        </w:rPr>
        <w:t>en</w:t>
      </w:r>
      <w:proofErr w:type="gramEnd"/>
      <w:r w:rsidRPr="00A32AF4">
        <w:rPr>
          <w:rFonts w:cs="Arial"/>
          <w:i/>
        </w:rPr>
        <w:t xml:space="preserve"> milliers de francs suisses)</w:t>
      </w:r>
    </w:p>
    <w:p w:rsidR="00F93B76" w:rsidRPr="00A32AF4" w:rsidRDefault="00F93B76" w:rsidP="00DC0553">
      <w:pPr>
        <w:keepNext/>
        <w:jc w:val="both"/>
        <w:rPr>
          <w:rFonts w:cs="Arial"/>
          <w:bCs/>
          <w:szCs w:val="22"/>
        </w:rPr>
      </w:pPr>
    </w:p>
    <w:p w:rsidR="00F93B76" w:rsidRPr="00A32AF4" w:rsidRDefault="00A62254" w:rsidP="00DC0553">
      <w:r w:rsidRPr="00A32AF4">
        <w:rPr>
          <w:noProof/>
          <w:lang w:eastAsia="fr-FR"/>
        </w:rPr>
        <w:drawing>
          <wp:inline distT="0" distB="0" distL="0" distR="0" wp14:anchorId="18E6D860" wp14:editId="6B079D09">
            <wp:extent cx="5512435" cy="6555105"/>
            <wp:effectExtent l="0" t="0" r="0" b="0"/>
            <wp:docPr id="1026" name="Pictur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512435" cy="6555105"/>
                    </a:xfrm>
                    <a:prstGeom prst="rect">
                      <a:avLst/>
                    </a:prstGeom>
                    <a:noFill/>
                    <a:ln>
                      <a:noFill/>
                    </a:ln>
                  </pic:spPr>
                </pic:pic>
              </a:graphicData>
            </a:graphic>
          </wp:inline>
        </w:drawing>
      </w:r>
    </w:p>
    <w:p w:rsidR="00F93B76" w:rsidRPr="00A32AF4" w:rsidRDefault="00F93B76" w:rsidP="00DC0553"/>
    <w:p w:rsidR="00F93B76" w:rsidRPr="00A32AF4" w:rsidRDefault="00AB6A19" w:rsidP="00DC0553">
      <w:bookmarkStart w:id="25" w:name="_Toc367350577"/>
      <w:r w:rsidRPr="00A32AF4">
        <w:br w:type="page"/>
      </w:r>
    </w:p>
    <w:p w:rsidR="00F93B76" w:rsidRPr="00A32AF4" w:rsidRDefault="00AB6A19" w:rsidP="00FB1F61">
      <w:pPr>
        <w:pStyle w:val="Heading2"/>
        <w:rPr>
          <w:rFonts w:hint="eastAsia"/>
        </w:rPr>
      </w:pPr>
      <w:bookmarkStart w:id="26" w:name="_Toc431555439"/>
      <w:r w:rsidRPr="00A32AF4">
        <w:t>Objectif stratégique II</w:t>
      </w:r>
      <w:r w:rsidRPr="00A32AF4">
        <w:tab/>
      </w:r>
      <w:r w:rsidR="000D0EE9" w:rsidRPr="00A32AF4">
        <w:t>Prestation de services mondiaux de propriété intellectuelle de premier ordre</w:t>
      </w:r>
      <w:bookmarkEnd w:id="26"/>
    </w:p>
    <w:p w:rsidR="00F93B76" w:rsidRPr="00A32AF4" w:rsidRDefault="00F93B76" w:rsidP="00DC0553"/>
    <w:p w:rsidR="00F93B76" w:rsidRPr="00A32AF4" w:rsidRDefault="00F93B76" w:rsidP="00DC0553"/>
    <w:p w:rsidR="00F93B76" w:rsidRPr="00A32AF4" w:rsidRDefault="000D0EE9" w:rsidP="00DC0553">
      <w:pPr>
        <w:autoSpaceDE w:val="0"/>
        <w:autoSpaceDN w:val="0"/>
        <w:adjustRightInd w:val="0"/>
        <w:jc w:val="both"/>
      </w:pPr>
      <w:r w:rsidRPr="00A32AF4">
        <w:rPr>
          <w:rFonts w:cs="Arial"/>
        </w:rPr>
        <w:t>Cet objectif stratégique concerne les services fondamentaux de l</w:t>
      </w:r>
      <w:r w:rsidR="00E2055A" w:rsidRPr="00A32AF4">
        <w:rPr>
          <w:rFonts w:cs="Arial"/>
        </w:rPr>
        <w:t>’</w:t>
      </w:r>
      <w:r w:rsidRPr="00A32AF4">
        <w:rPr>
          <w:rFonts w:cs="Arial"/>
        </w:rPr>
        <w:t>OMPI, qui correspondent aussi aux opérations génératrices de recettes pour l</w:t>
      </w:r>
      <w:r w:rsidR="00E2055A" w:rsidRPr="00A32AF4">
        <w:rPr>
          <w:rFonts w:cs="Arial"/>
        </w:rPr>
        <w:t>’</w:t>
      </w:r>
      <w:r w:rsidRPr="00A32AF4">
        <w:rPr>
          <w:rFonts w:cs="Arial"/>
        </w:rPr>
        <w:t>Organisation.  L</w:t>
      </w:r>
      <w:r w:rsidR="00E2055A" w:rsidRPr="00A32AF4">
        <w:rPr>
          <w:rFonts w:cs="Arial"/>
        </w:rPr>
        <w:t>’</w:t>
      </w:r>
      <w:r w:rsidRPr="00A32AF4">
        <w:rPr>
          <w:rFonts w:cs="Arial"/>
        </w:rPr>
        <w:t>objectif visé est de faire des systèmes mondiaux de l</w:t>
      </w:r>
      <w:r w:rsidR="00E2055A" w:rsidRPr="00A32AF4">
        <w:rPr>
          <w:rFonts w:cs="Arial"/>
        </w:rPr>
        <w:t>’</w:t>
      </w:r>
      <w:r w:rsidRPr="00A32AF4">
        <w:rPr>
          <w:rFonts w:cs="Arial"/>
        </w:rPr>
        <w:t>OMPI et des services offerts par l</w:t>
      </w:r>
      <w:r w:rsidR="00E2055A" w:rsidRPr="00A32AF4">
        <w:rPr>
          <w:rFonts w:cs="Arial"/>
        </w:rPr>
        <w:t>’</w:t>
      </w:r>
      <w:r w:rsidRPr="00A32AF4">
        <w:rPr>
          <w:rFonts w:cs="Arial"/>
        </w:rPr>
        <w:t>Organisation en matière de règlement extrajudiciaire des litiges des systèmes privilégiés par les utilisateurs, grâce à des prestations intéressantes et d</w:t>
      </w:r>
      <w:r w:rsidR="00E2055A" w:rsidRPr="00A32AF4">
        <w:rPr>
          <w:rFonts w:cs="Arial"/>
        </w:rPr>
        <w:t>’</w:t>
      </w:r>
      <w:r w:rsidRPr="00A32AF4">
        <w:rPr>
          <w:rFonts w:cs="Arial"/>
        </w:rPr>
        <w:t>un bon rapport coût</w:t>
      </w:r>
      <w:r w:rsidR="00EB7F54" w:rsidRPr="00A32AF4">
        <w:rPr>
          <w:rFonts w:cs="Arial"/>
        </w:rPr>
        <w:noBreakHyphen/>
      </w:r>
      <w:r w:rsidRPr="00A32AF4">
        <w:rPr>
          <w:rFonts w:cs="Arial"/>
        </w:rPr>
        <w:t>efficacité apportant une valeur ajoutée pour les utilisateurs.</w:t>
      </w:r>
    </w:p>
    <w:p w:rsidR="00F93B76" w:rsidRPr="00A32AF4" w:rsidRDefault="00F93B76" w:rsidP="00DC0553"/>
    <w:p w:rsidR="000D0EE9" w:rsidRPr="00A32AF4" w:rsidRDefault="000D0EE9" w:rsidP="00DC0553"/>
    <w:tbl>
      <w:tblPr>
        <w:tblW w:w="4855"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190"/>
        <w:gridCol w:w="3898"/>
        <w:gridCol w:w="1930"/>
      </w:tblGrid>
      <w:tr w:rsidR="005808EF" w:rsidRPr="00A32AF4" w:rsidTr="000D0EE9">
        <w:trPr>
          <w:cantSplit/>
          <w:tblHeader/>
        </w:trPr>
        <w:tc>
          <w:tcPr>
            <w:tcW w:w="1769" w:type="pct"/>
            <w:tcBorders>
              <w:top w:val="single" w:sz="4" w:space="0" w:color="auto"/>
              <w:bottom w:val="single" w:sz="4" w:space="0" w:color="auto"/>
            </w:tcBorders>
            <w:shd w:val="clear" w:color="auto" w:fill="C6D9F1" w:themeFill="text2" w:themeFillTint="33"/>
            <w:tcMar>
              <w:top w:w="113" w:type="dxa"/>
              <w:bottom w:w="113" w:type="dxa"/>
            </w:tcMar>
            <w:vAlign w:val="center"/>
          </w:tcPr>
          <w:p w:rsidR="000D0EE9" w:rsidRPr="00A32AF4" w:rsidRDefault="000D0EE9" w:rsidP="00DC0553">
            <w:pPr>
              <w:jc w:val="center"/>
              <w:rPr>
                <w:rFonts w:cs="Arial"/>
                <w:b/>
                <w:bCs/>
                <w:sz w:val="18"/>
                <w:szCs w:val="18"/>
              </w:rPr>
            </w:pPr>
            <w:r w:rsidRPr="00A32AF4">
              <w:rPr>
                <w:rFonts w:cs="Arial"/>
                <w:b/>
                <w:bCs/>
                <w:sz w:val="18"/>
                <w:szCs w:val="18"/>
              </w:rPr>
              <w:t>Résultats escomptés</w:t>
            </w:r>
          </w:p>
        </w:tc>
        <w:tc>
          <w:tcPr>
            <w:tcW w:w="2161" w:type="pct"/>
            <w:tcBorders>
              <w:top w:val="single" w:sz="4" w:space="0" w:color="auto"/>
              <w:bottom w:val="single" w:sz="4" w:space="0" w:color="auto"/>
            </w:tcBorders>
            <w:shd w:val="clear" w:color="auto" w:fill="C6D9F1" w:themeFill="text2" w:themeFillTint="33"/>
            <w:tcMar>
              <w:top w:w="113" w:type="dxa"/>
              <w:bottom w:w="113" w:type="dxa"/>
            </w:tcMar>
            <w:vAlign w:val="center"/>
          </w:tcPr>
          <w:p w:rsidR="000D0EE9" w:rsidRPr="00A32AF4" w:rsidRDefault="000D0EE9" w:rsidP="00DC0553">
            <w:pPr>
              <w:jc w:val="center"/>
              <w:rPr>
                <w:rFonts w:cs="Arial"/>
                <w:b/>
                <w:sz w:val="18"/>
                <w:szCs w:val="18"/>
              </w:rPr>
            </w:pPr>
            <w:r w:rsidRPr="00A32AF4">
              <w:rPr>
                <w:rFonts w:cs="Arial"/>
                <w:b/>
                <w:sz w:val="18"/>
                <w:szCs w:val="18"/>
              </w:rPr>
              <w:t>Indicateurs d</w:t>
            </w:r>
            <w:r w:rsidR="00E2055A" w:rsidRPr="00A32AF4">
              <w:rPr>
                <w:rFonts w:cs="Arial"/>
                <w:b/>
                <w:sz w:val="18"/>
                <w:szCs w:val="18"/>
              </w:rPr>
              <w:t>’</w:t>
            </w:r>
            <w:r w:rsidRPr="00A32AF4">
              <w:rPr>
                <w:rFonts w:cs="Arial"/>
                <w:b/>
                <w:sz w:val="18"/>
                <w:szCs w:val="18"/>
              </w:rPr>
              <w:t>exécution</w:t>
            </w:r>
          </w:p>
        </w:tc>
        <w:tc>
          <w:tcPr>
            <w:tcW w:w="1070" w:type="pct"/>
            <w:tcBorders>
              <w:top w:val="single" w:sz="4" w:space="0" w:color="auto"/>
              <w:bottom w:val="single" w:sz="4" w:space="0" w:color="auto"/>
            </w:tcBorders>
            <w:shd w:val="clear" w:color="auto" w:fill="C6D9F1" w:themeFill="text2" w:themeFillTint="33"/>
            <w:tcMar>
              <w:top w:w="113" w:type="dxa"/>
              <w:bottom w:w="113" w:type="dxa"/>
            </w:tcMar>
            <w:vAlign w:val="center"/>
          </w:tcPr>
          <w:p w:rsidR="000D0EE9" w:rsidRPr="00A32AF4" w:rsidRDefault="000D0EE9" w:rsidP="00DC0553">
            <w:pPr>
              <w:jc w:val="center"/>
              <w:rPr>
                <w:rFonts w:cs="Arial"/>
                <w:sz w:val="18"/>
                <w:szCs w:val="18"/>
              </w:rPr>
            </w:pPr>
            <w:r w:rsidRPr="00A32AF4">
              <w:rPr>
                <w:rFonts w:cs="Arial"/>
                <w:b/>
                <w:sz w:val="18"/>
                <w:szCs w:val="18"/>
              </w:rPr>
              <w:t>Programme(s) concerné(s)</w:t>
            </w:r>
          </w:p>
        </w:tc>
      </w:tr>
      <w:tr w:rsidR="005808EF" w:rsidRPr="00A32AF4" w:rsidTr="000D0EE9">
        <w:trPr>
          <w:cantSplit/>
        </w:trPr>
        <w:tc>
          <w:tcPr>
            <w:tcW w:w="1769" w:type="pct"/>
            <w:shd w:val="clear" w:color="auto" w:fill="auto"/>
            <w:tcMar>
              <w:top w:w="113" w:type="dxa"/>
              <w:bottom w:w="113" w:type="dxa"/>
            </w:tcMar>
          </w:tcPr>
          <w:p w:rsidR="0023745E" w:rsidRPr="00A32AF4" w:rsidRDefault="0023745E" w:rsidP="00DC0553">
            <w:pPr>
              <w:rPr>
                <w:rFonts w:cs="Arial"/>
                <w:sz w:val="16"/>
                <w:szCs w:val="16"/>
              </w:rPr>
            </w:pPr>
            <w:r w:rsidRPr="00A32AF4">
              <w:rPr>
                <w:rFonts w:cs="Arial"/>
                <w:sz w:val="16"/>
                <w:szCs w:val="16"/>
              </w:rPr>
              <w:t>II.1 Utilisation élargie et plus efficace du système</w:t>
            </w:r>
            <w:r w:rsidR="00E2055A" w:rsidRPr="00A32AF4">
              <w:rPr>
                <w:rFonts w:cs="Arial"/>
                <w:sz w:val="16"/>
                <w:szCs w:val="16"/>
              </w:rPr>
              <w:t xml:space="preserve"> du PCT</w:t>
            </w:r>
            <w:r w:rsidRPr="00A32AF4">
              <w:rPr>
                <w:rFonts w:cs="Arial"/>
                <w:sz w:val="16"/>
                <w:szCs w:val="16"/>
              </w:rPr>
              <w:t xml:space="preserve"> pour le dépôt des demandes internationales de brevet</w:t>
            </w:r>
          </w:p>
        </w:tc>
        <w:tc>
          <w:tcPr>
            <w:tcW w:w="2161" w:type="pct"/>
            <w:shd w:val="clear" w:color="auto" w:fill="auto"/>
            <w:tcMar>
              <w:top w:w="113" w:type="dxa"/>
              <w:bottom w:w="113" w:type="dxa"/>
            </w:tcMar>
          </w:tcPr>
          <w:p w:rsidR="0023745E" w:rsidRPr="00A32AF4" w:rsidRDefault="00FF3B37" w:rsidP="00DC0553">
            <w:pPr>
              <w:rPr>
                <w:rFonts w:cs="Arial"/>
                <w:sz w:val="16"/>
                <w:szCs w:val="16"/>
              </w:rPr>
            </w:pPr>
            <w:r w:rsidRPr="00A32AF4">
              <w:rPr>
                <w:rFonts w:eastAsia="SimSun"/>
                <w:sz w:val="16"/>
                <w:szCs w:val="16"/>
              </w:rPr>
              <w:t xml:space="preserve">Degré de satisfaction des utilisateurs du PCT </w:t>
            </w:r>
            <w:r w:rsidR="00E2055A" w:rsidRPr="00A32AF4">
              <w:rPr>
                <w:rFonts w:eastAsia="SimSun"/>
                <w:sz w:val="16"/>
                <w:szCs w:val="16"/>
              </w:rPr>
              <w:t>à l’égard</w:t>
            </w:r>
            <w:r w:rsidRPr="00A32AF4">
              <w:rPr>
                <w:rFonts w:eastAsia="SimSun"/>
                <w:sz w:val="16"/>
                <w:szCs w:val="16"/>
              </w:rPr>
              <w:t xml:space="preserve"> des conseils juridiques, des informations, des formations et du service client du PCT</w:t>
            </w:r>
          </w:p>
        </w:tc>
        <w:tc>
          <w:tcPr>
            <w:tcW w:w="1070" w:type="pct"/>
            <w:shd w:val="clear" w:color="auto" w:fill="FFFFFF"/>
            <w:tcMar>
              <w:top w:w="113" w:type="dxa"/>
              <w:bottom w:w="113" w:type="dxa"/>
            </w:tcMar>
          </w:tcPr>
          <w:p w:rsidR="0023745E" w:rsidRPr="00A32AF4" w:rsidRDefault="0023745E" w:rsidP="00DC0553">
            <w:pPr>
              <w:jc w:val="center"/>
              <w:rPr>
                <w:rFonts w:cs="Arial"/>
                <w:sz w:val="16"/>
                <w:szCs w:val="16"/>
              </w:rPr>
            </w:pPr>
            <w:r w:rsidRPr="00A32AF4">
              <w:rPr>
                <w:rFonts w:cs="Arial"/>
                <w:sz w:val="16"/>
                <w:szCs w:val="16"/>
                <w:lang w:bidi="th-TH"/>
              </w:rPr>
              <w:t>Programme 5</w:t>
            </w:r>
          </w:p>
        </w:tc>
      </w:tr>
      <w:tr w:rsidR="005808EF" w:rsidRPr="00A32AF4" w:rsidTr="000D0EE9">
        <w:trPr>
          <w:cantSplit/>
        </w:trPr>
        <w:tc>
          <w:tcPr>
            <w:tcW w:w="1769" w:type="pct"/>
            <w:shd w:val="clear" w:color="auto" w:fill="auto"/>
            <w:tcMar>
              <w:top w:w="113" w:type="dxa"/>
              <w:bottom w:w="113" w:type="dxa"/>
            </w:tcMar>
          </w:tcPr>
          <w:p w:rsidR="0023745E" w:rsidRPr="00A32AF4" w:rsidRDefault="0023745E" w:rsidP="00DC0553">
            <w:pPr>
              <w:rPr>
                <w:rFonts w:cs="Arial"/>
                <w:sz w:val="16"/>
                <w:szCs w:val="16"/>
              </w:rPr>
            </w:pPr>
          </w:p>
        </w:tc>
        <w:tc>
          <w:tcPr>
            <w:tcW w:w="2161" w:type="pct"/>
            <w:shd w:val="clear" w:color="auto" w:fill="auto"/>
            <w:tcMar>
              <w:top w:w="113" w:type="dxa"/>
              <w:bottom w:w="113" w:type="dxa"/>
            </w:tcMar>
          </w:tcPr>
          <w:p w:rsidR="0023745E" w:rsidRPr="00A32AF4" w:rsidRDefault="00FF3B37" w:rsidP="00DC0553">
            <w:pPr>
              <w:rPr>
                <w:rFonts w:cs="Arial"/>
                <w:sz w:val="16"/>
                <w:szCs w:val="16"/>
              </w:rPr>
            </w:pPr>
            <w:r w:rsidRPr="00A32AF4">
              <w:rPr>
                <w:rFonts w:eastAsia="SimSun"/>
                <w:sz w:val="16"/>
                <w:szCs w:val="16"/>
              </w:rPr>
              <w:t xml:space="preserve">Satisfaction des offices et des administrations internationales </w:t>
            </w:r>
            <w:r w:rsidR="00E2055A" w:rsidRPr="00A32AF4">
              <w:rPr>
                <w:rFonts w:eastAsia="SimSun"/>
                <w:sz w:val="16"/>
                <w:szCs w:val="16"/>
              </w:rPr>
              <w:t>à l’égard</w:t>
            </w:r>
            <w:r w:rsidRPr="00A32AF4">
              <w:rPr>
                <w:rFonts w:eastAsia="SimSun"/>
                <w:sz w:val="16"/>
                <w:szCs w:val="16"/>
              </w:rPr>
              <w:t xml:space="preserve"> des activités de coopération du PCT</w:t>
            </w:r>
          </w:p>
        </w:tc>
        <w:tc>
          <w:tcPr>
            <w:tcW w:w="1070" w:type="pct"/>
            <w:shd w:val="clear" w:color="auto" w:fill="FFFFFF"/>
            <w:tcMar>
              <w:top w:w="113" w:type="dxa"/>
              <w:bottom w:w="113" w:type="dxa"/>
            </w:tcMar>
          </w:tcPr>
          <w:p w:rsidR="0023745E" w:rsidRPr="00A32AF4" w:rsidRDefault="0023745E" w:rsidP="00DC0553">
            <w:pPr>
              <w:jc w:val="center"/>
              <w:rPr>
                <w:rFonts w:cs="Arial"/>
                <w:sz w:val="16"/>
                <w:szCs w:val="16"/>
                <w:lang w:bidi="th-TH"/>
              </w:rPr>
            </w:pPr>
            <w:r w:rsidRPr="00A32AF4">
              <w:rPr>
                <w:rFonts w:cs="Arial"/>
                <w:sz w:val="16"/>
                <w:szCs w:val="16"/>
                <w:lang w:bidi="th-TH"/>
              </w:rPr>
              <w:t>Programme 5</w:t>
            </w:r>
          </w:p>
        </w:tc>
      </w:tr>
      <w:tr w:rsidR="005808EF" w:rsidRPr="00A32AF4" w:rsidTr="000D0EE9">
        <w:trPr>
          <w:cantSplit/>
        </w:trPr>
        <w:tc>
          <w:tcPr>
            <w:tcW w:w="1769" w:type="pct"/>
            <w:shd w:val="clear" w:color="auto" w:fill="auto"/>
            <w:tcMar>
              <w:top w:w="113" w:type="dxa"/>
              <w:bottom w:w="113" w:type="dxa"/>
            </w:tcMar>
          </w:tcPr>
          <w:p w:rsidR="0023745E" w:rsidRPr="00A32AF4" w:rsidRDefault="0023745E" w:rsidP="00DC0553">
            <w:pPr>
              <w:rPr>
                <w:rFonts w:cs="Arial"/>
                <w:sz w:val="16"/>
                <w:szCs w:val="16"/>
              </w:rPr>
            </w:pPr>
          </w:p>
        </w:tc>
        <w:tc>
          <w:tcPr>
            <w:tcW w:w="2161" w:type="pct"/>
            <w:shd w:val="clear" w:color="auto" w:fill="auto"/>
            <w:tcMar>
              <w:top w:w="113" w:type="dxa"/>
              <w:bottom w:w="113" w:type="dxa"/>
            </w:tcMar>
          </w:tcPr>
          <w:p w:rsidR="0023745E" w:rsidRPr="00A32AF4" w:rsidRDefault="00FF3B37" w:rsidP="00DC0553">
            <w:pPr>
              <w:rPr>
                <w:rFonts w:eastAsia="SimSun" w:cs="Arial"/>
                <w:sz w:val="16"/>
                <w:szCs w:val="16"/>
              </w:rPr>
            </w:pPr>
            <w:r w:rsidRPr="00A32AF4">
              <w:rPr>
                <w:rFonts w:eastAsia="SimSun"/>
                <w:sz w:val="16"/>
                <w:szCs w:val="16"/>
              </w:rPr>
              <w:t>Amélioration du système du PCT, notamment mise en œuvre des recommandations formulées dans les lignes directrices du PCT approuvées par les États membres du PCT</w:t>
            </w:r>
          </w:p>
        </w:tc>
        <w:tc>
          <w:tcPr>
            <w:tcW w:w="1070" w:type="pct"/>
            <w:shd w:val="clear" w:color="auto" w:fill="FFFFFF"/>
            <w:tcMar>
              <w:top w:w="113" w:type="dxa"/>
              <w:bottom w:w="113" w:type="dxa"/>
            </w:tcMar>
          </w:tcPr>
          <w:p w:rsidR="0023745E" w:rsidRPr="00A32AF4" w:rsidRDefault="0023745E" w:rsidP="00DC0553">
            <w:pPr>
              <w:jc w:val="center"/>
              <w:rPr>
                <w:rFonts w:cs="Arial"/>
                <w:sz w:val="16"/>
                <w:szCs w:val="16"/>
                <w:lang w:bidi="th-TH"/>
              </w:rPr>
            </w:pPr>
            <w:r w:rsidRPr="00A32AF4">
              <w:rPr>
                <w:rFonts w:cs="Arial"/>
                <w:sz w:val="16"/>
                <w:szCs w:val="16"/>
                <w:lang w:bidi="th-TH"/>
              </w:rPr>
              <w:t>Programme 5</w:t>
            </w:r>
          </w:p>
        </w:tc>
      </w:tr>
      <w:tr w:rsidR="005808EF" w:rsidRPr="00A32AF4" w:rsidTr="000D0EE9">
        <w:trPr>
          <w:cantSplit/>
        </w:trPr>
        <w:tc>
          <w:tcPr>
            <w:tcW w:w="1769" w:type="pct"/>
            <w:shd w:val="clear" w:color="auto" w:fill="auto"/>
            <w:tcMar>
              <w:top w:w="113" w:type="dxa"/>
              <w:bottom w:w="113" w:type="dxa"/>
            </w:tcMar>
          </w:tcPr>
          <w:p w:rsidR="0023745E" w:rsidRPr="00A32AF4" w:rsidRDefault="0023745E" w:rsidP="00DC0553">
            <w:pPr>
              <w:rPr>
                <w:rFonts w:cs="Arial"/>
                <w:sz w:val="16"/>
                <w:szCs w:val="16"/>
              </w:rPr>
            </w:pPr>
          </w:p>
        </w:tc>
        <w:tc>
          <w:tcPr>
            <w:tcW w:w="2161" w:type="pct"/>
            <w:shd w:val="clear" w:color="auto" w:fill="auto"/>
            <w:tcMar>
              <w:top w:w="113" w:type="dxa"/>
              <w:bottom w:w="113" w:type="dxa"/>
            </w:tcMar>
          </w:tcPr>
          <w:p w:rsidR="0023745E" w:rsidRPr="00A32AF4" w:rsidRDefault="00FF3B37" w:rsidP="00DC0553">
            <w:pPr>
              <w:rPr>
                <w:rFonts w:eastAsia="SimSun" w:cs="Arial"/>
                <w:sz w:val="16"/>
                <w:szCs w:val="16"/>
              </w:rPr>
            </w:pPr>
            <w:r w:rsidRPr="00A32AF4">
              <w:rPr>
                <w:rFonts w:eastAsia="SimSun"/>
                <w:sz w:val="16"/>
                <w:szCs w:val="16"/>
              </w:rPr>
              <w:t>Amélioration des services électroniques pour les déposants, les tiers, les offices et les administrations</w:t>
            </w:r>
          </w:p>
        </w:tc>
        <w:tc>
          <w:tcPr>
            <w:tcW w:w="1070" w:type="pct"/>
            <w:shd w:val="clear" w:color="auto" w:fill="FFFFFF"/>
            <w:tcMar>
              <w:top w:w="113" w:type="dxa"/>
              <w:bottom w:w="113" w:type="dxa"/>
            </w:tcMar>
          </w:tcPr>
          <w:p w:rsidR="0023745E" w:rsidRPr="00A32AF4" w:rsidRDefault="0023745E" w:rsidP="00DC0553">
            <w:pPr>
              <w:jc w:val="center"/>
              <w:rPr>
                <w:rFonts w:cs="Arial"/>
                <w:sz w:val="16"/>
                <w:szCs w:val="16"/>
                <w:lang w:bidi="th-TH"/>
              </w:rPr>
            </w:pPr>
            <w:r w:rsidRPr="00A32AF4">
              <w:rPr>
                <w:rFonts w:cs="Arial"/>
                <w:sz w:val="16"/>
                <w:szCs w:val="16"/>
                <w:lang w:bidi="th-TH"/>
              </w:rPr>
              <w:t>Programme 5</w:t>
            </w:r>
          </w:p>
        </w:tc>
      </w:tr>
      <w:tr w:rsidR="005808EF" w:rsidRPr="00A32AF4" w:rsidTr="000D0EE9">
        <w:trPr>
          <w:cantSplit/>
        </w:trPr>
        <w:tc>
          <w:tcPr>
            <w:tcW w:w="1769" w:type="pct"/>
            <w:shd w:val="clear" w:color="auto" w:fill="auto"/>
            <w:tcMar>
              <w:top w:w="113" w:type="dxa"/>
              <w:bottom w:w="113" w:type="dxa"/>
            </w:tcMar>
          </w:tcPr>
          <w:p w:rsidR="0023745E" w:rsidRPr="00A32AF4" w:rsidRDefault="0023745E" w:rsidP="00DC0553">
            <w:pPr>
              <w:rPr>
                <w:rFonts w:cs="Arial"/>
                <w:sz w:val="16"/>
                <w:szCs w:val="16"/>
              </w:rPr>
            </w:pPr>
          </w:p>
        </w:tc>
        <w:tc>
          <w:tcPr>
            <w:tcW w:w="2161" w:type="pct"/>
            <w:shd w:val="clear" w:color="auto" w:fill="auto"/>
            <w:tcMar>
              <w:top w:w="113" w:type="dxa"/>
              <w:bottom w:w="113" w:type="dxa"/>
            </w:tcMar>
          </w:tcPr>
          <w:p w:rsidR="0023745E" w:rsidRPr="00A32AF4" w:rsidRDefault="00C42B14" w:rsidP="00DC0553">
            <w:pPr>
              <w:rPr>
                <w:rFonts w:cs="Arial"/>
                <w:sz w:val="16"/>
                <w:szCs w:val="16"/>
              </w:rPr>
            </w:pPr>
            <w:r w:rsidRPr="00A32AF4">
              <w:rPr>
                <w:sz w:val="16"/>
                <w:szCs w:val="16"/>
              </w:rPr>
              <w:t>Nombre de demandes selon le PCT originaires de pays en développement, de pays en transition et de pays développés</w:t>
            </w:r>
          </w:p>
        </w:tc>
        <w:tc>
          <w:tcPr>
            <w:tcW w:w="1070" w:type="pct"/>
            <w:shd w:val="clear" w:color="auto" w:fill="FFFFFF"/>
            <w:tcMar>
              <w:top w:w="113" w:type="dxa"/>
              <w:bottom w:w="113" w:type="dxa"/>
            </w:tcMar>
          </w:tcPr>
          <w:p w:rsidR="000D5BF7" w:rsidRPr="00A32AF4" w:rsidRDefault="000D5BF7" w:rsidP="00DC0553">
            <w:pPr>
              <w:jc w:val="center"/>
              <w:rPr>
                <w:rFonts w:cs="Arial"/>
                <w:sz w:val="16"/>
                <w:szCs w:val="16"/>
                <w:lang w:bidi="th-TH"/>
              </w:rPr>
            </w:pPr>
            <w:r w:rsidRPr="00A32AF4">
              <w:rPr>
                <w:rFonts w:cs="Arial"/>
                <w:sz w:val="16"/>
                <w:szCs w:val="16"/>
                <w:lang w:bidi="th-TH"/>
              </w:rPr>
              <w:t>Programme 9</w:t>
            </w:r>
          </w:p>
          <w:p w:rsidR="00F93B76" w:rsidRPr="00A32AF4" w:rsidRDefault="0023745E" w:rsidP="00DC0553">
            <w:pPr>
              <w:jc w:val="center"/>
              <w:rPr>
                <w:rFonts w:cs="Arial"/>
                <w:sz w:val="16"/>
                <w:szCs w:val="16"/>
                <w:lang w:bidi="th-TH"/>
              </w:rPr>
            </w:pPr>
            <w:r w:rsidRPr="00A32AF4">
              <w:rPr>
                <w:rFonts w:cs="Arial"/>
                <w:sz w:val="16"/>
                <w:szCs w:val="16"/>
                <w:lang w:bidi="th-TH"/>
              </w:rPr>
              <w:t>Programme 10</w:t>
            </w:r>
          </w:p>
          <w:p w:rsidR="0023745E" w:rsidRPr="00A32AF4" w:rsidRDefault="0023745E" w:rsidP="00DC0553">
            <w:pPr>
              <w:jc w:val="center"/>
              <w:rPr>
                <w:rFonts w:cs="Arial"/>
                <w:sz w:val="16"/>
                <w:szCs w:val="16"/>
                <w:lang w:bidi="th-TH"/>
              </w:rPr>
            </w:pPr>
            <w:r w:rsidRPr="00A32AF4">
              <w:rPr>
                <w:rFonts w:cs="Arial"/>
                <w:sz w:val="16"/>
                <w:szCs w:val="16"/>
                <w:lang w:bidi="th-TH"/>
              </w:rPr>
              <w:t>Programme 20</w:t>
            </w:r>
          </w:p>
        </w:tc>
      </w:tr>
      <w:tr w:rsidR="005808EF" w:rsidRPr="00A32AF4" w:rsidTr="000D0EE9">
        <w:trPr>
          <w:cantSplit/>
        </w:trPr>
        <w:tc>
          <w:tcPr>
            <w:tcW w:w="1769" w:type="pct"/>
            <w:shd w:val="clear" w:color="auto" w:fill="auto"/>
            <w:tcMar>
              <w:top w:w="113" w:type="dxa"/>
              <w:bottom w:w="113" w:type="dxa"/>
            </w:tcMar>
          </w:tcPr>
          <w:p w:rsidR="0023745E" w:rsidRPr="00A32AF4" w:rsidRDefault="0023745E" w:rsidP="00DC0553">
            <w:pPr>
              <w:rPr>
                <w:rFonts w:cs="Arial"/>
                <w:sz w:val="16"/>
                <w:szCs w:val="16"/>
              </w:rPr>
            </w:pPr>
          </w:p>
        </w:tc>
        <w:tc>
          <w:tcPr>
            <w:tcW w:w="2161" w:type="pct"/>
            <w:shd w:val="clear" w:color="auto" w:fill="auto"/>
            <w:tcMar>
              <w:top w:w="113" w:type="dxa"/>
              <w:bottom w:w="113" w:type="dxa"/>
            </w:tcMar>
          </w:tcPr>
          <w:p w:rsidR="0023745E" w:rsidRPr="00A32AF4" w:rsidRDefault="00C42B14" w:rsidP="00DC0553">
            <w:pPr>
              <w:rPr>
                <w:rFonts w:cs="Arial"/>
                <w:sz w:val="16"/>
                <w:szCs w:val="16"/>
              </w:rPr>
            </w:pPr>
            <w:r w:rsidRPr="00A32AF4">
              <w:rPr>
                <w:rFonts w:cs="Arial"/>
                <w:sz w:val="16"/>
                <w:szCs w:val="16"/>
              </w:rPr>
              <w:t xml:space="preserve">Nombre </w:t>
            </w:r>
            <w:r w:rsidRPr="00A32AF4">
              <w:rPr>
                <w:sz w:val="16"/>
                <w:szCs w:val="16"/>
              </w:rPr>
              <w:t>de répondants ayant utilisé plus fréquemment les services de l</w:t>
            </w:r>
            <w:r w:rsidR="00E2055A" w:rsidRPr="00A32AF4">
              <w:rPr>
                <w:sz w:val="16"/>
                <w:szCs w:val="16"/>
              </w:rPr>
              <w:t>’</w:t>
            </w:r>
            <w:r w:rsidRPr="00A32AF4">
              <w:rPr>
                <w:sz w:val="16"/>
                <w:szCs w:val="16"/>
              </w:rPr>
              <w:t>OMPI dans les six</w:t>
            </w:r>
            <w:r w:rsidR="00FD43E3" w:rsidRPr="00A32AF4">
              <w:rPr>
                <w:sz w:val="16"/>
                <w:szCs w:val="16"/>
              </w:rPr>
              <w:t> </w:t>
            </w:r>
            <w:r w:rsidRPr="00A32AF4">
              <w:rPr>
                <w:sz w:val="16"/>
                <w:szCs w:val="16"/>
              </w:rPr>
              <w:t>mois suivant leur participation aux Séminaires itinérants consacrés aux services et initiatives de l</w:t>
            </w:r>
            <w:r w:rsidR="00E2055A" w:rsidRPr="00A32AF4">
              <w:rPr>
                <w:sz w:val="16"/>
                <w:szCs w:val="16"/>
              </w:rPr>
              <w:t>’</w:t>
            </w:r>
            <w:r w:rsidRPr="00A32AF4">
              <w:rPr>
                <w:sz w:val="16"/>
                <w:szCs w:val="16"/>
              </w:rPr>
              <w:t>OMPI</w:t>
            </w:r>
          </w:p>
        </w:tc>
        <w:tc>
          <w:tcPr>
            <w:tcW w:w="1070" w:type="pct"/>
            <w:shd w:val="clear" w:color="auto" w:fill="FFFFFF"/>
            <w:tcMar>
              <w:top w:w="113" w:type="dxa"/>
              <w:bottom w:w="113" w:type="dxa"/>
            </w:tcMar>
          </w:tcPr>
          <w:p w:rsidR="0023745E" w:rsidRPr="00A32AF4" w:rsidRDefault="0023745E" w:rsidP="00DC0553">
            <w:pPr>
              <w:jc w:val="center"/>
              <w:rPr>
                <w:rFonts w:cs="Arial"/>
                <w:sz w:val="16"/>
                <w:szCs w:val="16"/>
                <w:lang w:bidi="th-TH"/>
              </w:rPr>
            </w:pPr>
            <w:r w:rsidRPr="00A32AF4">
              <w:rPr>
                <w:rFonts w:cs="Arial"/>
                <w:sz w:val="16"/>
                <w:szCs w:val="16"/>
                <w:lang w:bidi="th-TH"/>
              </w:rPr>
              <w:t>Programme 10</w:t>
            </w:r>
          </w:p>
        </w:tc>
      </w:tr>
      <w:tr w:rsidR="005808EF" w:rsidRPr="00A32AF4" w:rsidTr="000D0EE9">
        <w:trPr>
          <w:cantSplit/>
        </w:trPr>
        <w:tc>
          <w:tcPr>
            <w:tcW w:w="1769" w:type="pct"/>
            <w:shd w:val="clear" w:color="auto" w:fill="auto"/>
            <w:tcMar>
              <w:top w:w="113" w:type="dxa"/>
              <w:bottom w:w="113" w:type="dxa"/>
            </w:tcMar>
          </w:tcPr>
          <w:p w:rsidR="0023745E" w:rsidRPr="00A32AF4" w:rsidRDefault="0023745E" w:rsidP="00DC0553">
            <w:pPr>
              <w:rPr>
                <w:rFonts w:cs="Arial"/>
                <w:sz w:val="16"/>
                <w:szCs w:val="16"/>
              </w:rPr>
            </w:pPr>
          </w:p>
        </w:tc>
        <w:tc>
          <w:tcPr>
            <w:tcW w:w="2161" w:type="pct"/>
            <w:shd w:val="clear" w:color="auto" w:fill="auto"/>
            <w:tcMar>
              <w:top w:w="113" w:type="dxa"/>
              <w:bottom w:w="113" w:type="dxa"/>
            </w:tcMar>
          </w:tcPr>
          <w:p w:rsidR="0023745E" w:rsidRPr="00A32AF4" w:rsidRDefault="00486722" w:rsidP="00DC0553">
            <w:pPr>
              <w:rPr>
                <w:rFonts w:cs="Arial"/>
                <w:sz w:val="16"/>
                <w:szCs w:val="16"/>
              </w:rPr>
            </w:pPr>
            <w:r w:rsidRPr="00A32AF4">
              <w:rPr>
                <w:rFonts w:cs="Arial"/>
                <w:sz w:val="16"/>
                <w:szCs w:val="16"/>
              </w:rPr>
              <w:t>Pourcentage de décideurs, de fonctionnaires gouvernementaux, de spécialistes de la propriété intellectuelle et de participants à des séminaires ciblés ayant une meilleure connaissance du PCT et de thèmes connexes</w:t>
            </w:r>
          </w:p>
        </w:tc>
        <w:tc>
          <w:tcPr>
            <w:tcW w:w="1070" w:type="pct"/>
            <w:shd w:val="clear" w:color="auto" w:fill="FFFFFF"/>
            <w:tcMar>
              <w:top w:w="113" w:type="dxa"/>
              <w:bottom w:w="113" w:type="dxa"/>
            </w:tcMar>
          </w:tcPr>
          <w:p w:rsidR="0023745E" w:rsidRPr="00A32AF4" w:rsidRDefault="0023745E" w:rsidP="00DC0553">
            <w:pPr>
              <w:jc w:val="center"/>
              <w:rPr>
                <w:rFonts w:cs="Arial"/>
                <w:sz w:val="16"/>
                <w:szCs w:val="16"/>
                <w:lang w:bidi="th-TH"/>
              </w:rPr>
            </w:pPr>
            <w:r w:rsidRPr="00A32AF4">
              <w:rPr>
                <w:rFonts w:cs="Arial"/>
                <w:sz w:val="16"/>
                <w:szCs w:val="16"/>
                <w:lang w:bidi="th-TH"/>
              </w:rPr>
              <w:t>Programme 20</w:t>
            </w:r>
          </w:p>
        </w:tc>
      </w:tr>
      <w:tr w:rsidR="005808EF" w:rsidRPr="00A32AF4" w:rsidTr="000D0EE9">
        <w:trPr>
          <w:cantSplit/>
        </w:trPr>
        <w:tc>
          <w:tcPr>
            <w:tcW w:w="1769" w:type="pct"/>
            <w:shd w:val="clear" w:color="auto" w:fill="auto"/>
            <w:tcMar>
              <w:top w:w="113" w:type="dxa"/>
              <w:bottom w:w="113" w:type="dxa"/>
            </w:tcMar>
          </w:tcPr>
          <w:p w:rsidR="0023745E" w:rsidRPr="00A32AF4" w:rsidRDefault="0023745E" w:rsidP="00DC0553">
            <w:pPr>
              <w:rPr>
                <w:rFonts w:cs="Arial"/>
                <w:sz w:val="16"/>
                <w:szCs w:val="16"/>
              </w:rPr>
            </w:pPr>
            <w:r w:rsidRPr="00A32AF4">
              <w:rPr>
                <w:rFonts w:cs="Arial"/>
                <w:sz w:val="16"/>
                <w:szCs w:val="16"/>
              </w:rPr>
              <w:t>II.3 Amélioration de la productivité et de la qualité de service des opérations</w:t>
            </w:r>
            <w:r w:rsidR="00E2055A" w:rsidRPr="00A32AF4">
              <w:rPr>
                <w:rFonts w:cs="Arial"/>
                <w:sz w:val="16"/>
                <w:szCs w:val="16"/>
              </w:rPr>
              <w:t xml:space="preserve"> du PCT</w:t>
            </w:r>
          </w:p>
        </w:tc>
        <w:tc>
          <w:tcPr>
            <w:tcW w:w="2161" w:type="pct"/>
            <w:shd w:val="clear" w:color="auto" w:fill="auto"/>
            <w:tcMar>
              <w:top w:w="113" w:type="dxa"/>
              <w:bottom w:w="113" w:type="dxa"/>
            </w:tcMar>
          </w:tcPr>
          <w:p w:rsidR="0023745E" w:rsidRPr="00A32AF4" w:rsidRDefault="00FF3B37" w:rsidP="00DC0553">
            <w:pPr>
              <w:rPr>
                <w:rFonts w:cs="Arial"/>
                <w:sz w:val="16"/>
                <w:szCs w:val="16"/>
              </w:rPr>
            </w:pPr>
            <w:r w:rsidRPr="00A32AF4">
              <w:rPr>
                <w:rFonts w:eastAsia="SimSun"/>
                <w:sz w:val="16"/>
                <w:szCs w:val="16"/>
              </w:rPr>
              <w:t>Coût unitaire du traitement d</w:t>
            </w:r>
            <w:r w:rsidR="00E2055A" w:rsidRPr="00A32AF4">
              <w:rPr>
                <w:rFonts w:eastAsia="SimSun"/>
                <w:sz w:val="16"/>
                <w:szCs w:val="16"/>
              </w:rPr>
              <w:t>’</w:t>
            </w:r>
            <w:r w:rsidRPr="00A32AF4">
              <w:rPr>
                <w:rFonts w:eastAsia="SimSun"/>
                <w:sz w:val="16"/>
                <w:szCs w:val="16"/>
              </w:rPr>
              <w:t>une demande</w:t>
            </w:r>
          </w:p>
        </w:tc>
        <w:tc>
          <w:tcPr>
            <w:tcW w:w="1070" w:type="pct"/>
            <w:shd w:val="clear" w:color="auto" w:fill="FFFFFF"/>
            <w:tcMar>
              <w:top w:w="113" w:type="dxa"/>
              <w:bottom w:w="113" w:type="dxa"/>
            </w:tcMar>
          </w:tcPr>
          <w:p w:rsidR="0023745E" w:rsidRPr="00A32AF4" w:rsidRDefault="0023745E" w:rsidP="00A02EB5">
            <w:pPr>
              <w:jc w:val="center"/>
              <w:rPr>
                <w:rFonts w:cs="Arial"/>
                <w:sz w:val="16"/>
                <w:szCs w:val="16"/>
                <w:lang w:bidi="th-TH"/>
              </w:rPr>
            </w:pPr>
            <w:r w:rsidRPr="00A32AF4">
              <w:rPr>
                <w:rFonts w:cs="Arial"/>
                <w:sz w:val="16"/>
                <w:szCs w:val="16"/>
                <w:lang w:bidi="th-TH"/>
              </w:rPr>
              <w:t>Programme 5</w:t>
            </w:r>
          </w:p>
        </w:tc>
      </w:tr>
      <w:tr w:rsidR="00A02EB5" w:rsidRPr="00A32AF4" w:rsidTr="000D0EE9">
        <w:trPr>
          <w:cantSplit/>
        </w:trPr>
        <w:tc>
          <w:tcPr>
            <w:tcW w:w="1769" w:type="pct"/>
            <w:shd w:val="clear" w:color="auto" w:fill="auto"/>
            <w:tcMar>
              <w:top w:w="113" w:type="dxa"/>
              <w:bottom w:w="113" w:type="dxa"/>
            </w:tcMar>
          </w:tcPr>
          <w:p w:rsidR="00A02EB5" w:rsidRPr="00A32AF4" w:rsidRDefault="00A02EB5" w:rsidP="00DC0553">
            <w:pPr>
              <w:rPr>
                <w:rFonts w:cs="Arial"/>
                <w:sz w:val="16"/>
                <w:szCs w:val="16"/>
              </w:rPr>
            </w:pPr>
          </w:p>
        </w:tc>
        <w:tc>
          <w:tcPr>
            <w:tcW w:w="2161" w:type="pct"/>
            <w:shd w:val="clear" w:color="auto" w:fill="auto"/>
            <w:tcMar>
              <w:top w:w="113" w:type="dxa"/>
              <w:bottom w:w="113" w:type="dxa"/>
            </w:tcMar>
          </w:tcPr>
          <w:p w:rsidR="00A02EB5" w:rsidRPr="00A32AF4" w:rsidRDefault="00A02EB5" w:rsidP="00DC0553">
            <w:pPr>
              <w:rPr>
                <w:rFonts w:eastAsia="SimSun"/>
                <w:sz w:val="16"/>
                <w:szCs w:val="16"/>
              </w:rPr>
            </w:pPr>
            <w:r w:rsidRPr="00A32AF4">
              <w:rPr>
                <w:rFonts w:eastAsia="SimSun"/>
                <w:sz w:val="16"/>
                <w:szCs w:val="16"/>
              </w:rPr>
              <w:t>Qualité globale de l</w:t>
            </w:r>
            <w:r w:rsidR="00E2055A" w:rsidRPr="00A32AF4">
              <w:rPr>
                <w:rFonts w:eastAsia="SimSun"/>
                <w:sz w:val="16"/>
                <w:szCs w:val="16"/>
              </w:rPr>
              <w:t>’</w:t>
            </w:r>
            <w:r w:rsidRPr="00A32AF4">
              <w:rPr>
                <w:rFonts w:eastAsia="SimSun"/>
                <w:sz w:val="16"/>
                <w:szCs w:val="16"/>
              </w:rPr>
              <w:t>examen de forme (</w:t>
            </w:r>
            <w:r w:rsidR="00E2055A" w:rsidRPr="00A32AF4">
              <w:rPr>
                <w:rFonts w:eastAsia="SimSun"/>
                <w:sz w:val="16"/>
                <w:szCs w:val="16"/>
              </w:rPr>
              <w:t>y compris</w:t>
            </w:r>
            <w:r w:rsidRPr="00A32AF4">
              <w:rPr>
                <w:rFonts w:eastAsia="SimSun"/>
                <w:sz w:val="16"/>
                <w:szCs w:val="16"/>
              </w:rPr>
              <w:t xml:space="preserve"> les délais)</w:t>
            </w:r>
          </w:p>
        </w:tc>
        <w:tc>
          <w:tcPr>
            <w:tcW w:w="1070" w:type="pct"/>
            <w:shd w:val="clear" w:color="auto" w:fill="FFFFFF"/>
            <w:tcMar>
              <w:top w:w="113" w:type="dxa"/>
              <w:bottom w:w="113" w:type="dxa"/>
            </w:tcMar>
          </w:tcPr>
          <w:p w:rsidR="00A02EB5" w:rsidRPr="00A32AF4" w:rsidRDefault="00A02EB5" w:rsidP="00DC0553">
            <w:pPr>
              <w:jc w:val="center"/>
              <w:rPr>
                <w:rFonts w:cs="Arial"/>
                <w:sz w:val="16"/>
                <w:szCs w:val="16"/>
                <w:lang w:bidi="th-TH"/>
              </w:rPr>
            </w:pPr>
            <w:r w:rsidRPr="00A32AF4">
              <w:rPr>
                <w:rFonts w:cs="Arial"/>
                <w:sz w:val="16"/>
                <w:szCs w:val="16"/>
                <w:lang w:bidi="th-TH"/>
              </w:rPr>
              <w:t>Programme 5</w:t>
            </w:r>
          </w:p>
        </w:tc>
      </w:tr>
      <w:tr w:rsidR="005808EF" w:rsidRPr="00A32AF4" w:rsidTr="000D0EE9">
        <w:trPr>
          <w:cantSplit/>
        </w:trPr>
        <w:tc>
          <w:tcPr>
            <w:tcW w:w="1769" w:type="pct"/>
            <w:shd w:val="clear" w:color="auto" w:fill="auto"/>
            <w:tcMar>
              <w:top w:w="113" w:type="dxa"/>
              <w:bottom w:w="113" w:type="dxa"/>
            </w:tcMar>
          </w:tcPr>
          <w:p w:rsidR="00FF3B37" w:rsidRPr="00A32AF4" w:rsidRDefault="00FF3B37" w:rsidP="00DC0553">
            <w:pPr>
              <w:rPr>
                <w:rFonts w:cs="Arial"/>
                <w:sz w:val="16"/>
                <w:szCs w:val="16"/>
              </w:rPr>
            </w:pPr>
          </w:p>
        </w:tc>
        <w:tc>
          <w:tcPr>
            <w:tcW w:w="2161" w:type="pct"/>
            <w:shd w:val="clear" w:color="auto" w:fill="auto"/>
            <w:tcMar>
              <w:top w:w="113" w:type="dxa"/>
              <w:bottom w:w="113" w:type="dxa"/>
            </w:tcMar>
          </w:tcPr>
          <w:p w:rsidR="00FF3B37" w:rsidRPr="00A32AF4" w:rsidRDefault="00FF3B37" w:rsidP="00DC0553">
            <w:pPr>
              <w:autoSpaceDE w:val="0"/>
              <w:autoSpaceDN w:val="0"/>
              <w:adjustRightInd w:val="0"/>
              <w:rPr>
                <w:rFonts w:eastAsia="SimSun"/>
                <w:sz w:val="16"/>
                <w:szCs w:val="16"/>
              </w:rPr>
            </w:pPr>
            <w:r w:rsidRPr="00A32AF4">
              <w:rPr>
                <w:rFonts w:eastAsia="SimSun"/>
                <w:sz w:val="16"/>
                <w:szCs w:val="16"/>
              </w:rPr>
              <w:t>Délais de traduction des rapports</w:t>
            </w:r>
          </w:p>
        </w:tc>
        <w:tc>
          <w:tcPr>
            <w:tcW w:w="1070" w:type="pct"/>
            <w:shd w:val="clear" w:color="auto" w:fill="FFFFFF"/>
            <w:tcMar>
              <w:top w:w="113" w:type="dxa"/>
              <w:bottom w:w="113" w:type="dxa"/>
            </w:tcMar>
          </w:tcPr>
          <w:p w:rsidR="00FF3B37" w:rsidRPr="00A32AF4" w:rsidRDefault="00FF3B37" w:rsidP="00DC0553">
            <w:pPr>
              <w:jc w:val="center"/>
              <w:rPr>
                <w:rFonts w:cs="Arial"/>
                <w:sz w:val="16"/>
                <w:szCs w:val="16"/>
                <w:lang w:bidi="th-TH"/>
              </w:rPr>
            </w:pPr>
            <w:r w:rsidRPr="00A32AF4">
              <w:rPr>
                <w:rFonts w:cs="Arial"/>
                <w:sz w:val="16"/>
                <w:szCs w:val="16"/>
                <w:lang w:bidi="th-TH"/>
              </w:rPr>
              <w:t>Programme 5</w:t>
            </w:r>
          </w:p>
        </w:tc>
      </w:tr>
      <w:tr w:rsidR="005808EF" w:rsidRPr="00A32AF4" w:rsidTr="000D0EE9">
        <w:trPr>
          <w:cantSplit/>
        </w:trPr>
        <w:tc>
          <w:tcPr>
            <w:tcW w:w="1769" w:type="pct"/>
            <w:shd w:val="clear" w:color="auto" w:fill="auto"/>
            <w:tcMar>
              <w:top w:w="113" w:type="dxa"/>
              <w:bottom w:w="113" w:type="dxa"/>
            </w:tcMar>
          </w:tcPr>
          <w:p w:rsidR="00FF3B37" w:rsidRPr="00A32AF4" w:rsidRDefault="00FF3B37" w:rsidP="00DC0553">
            <w:pPr>
              <w:rPr>
                <w:rFonts w:cs="Arial"/>
                <w:sz w:val="16"/>
                <w:szCs w:val="16"/>
              </w:rPr>
            </w:pPr>
          </w:p>
        </w:tc>
        <w:tc>
          <w:tcPr>
            <w:tcW w:w="2161" w:type="pct"/>
            <w:shd w:val="clear" w:color="auto" w:fill="auto"/>
            <w:tcMar>
              <w:top w:w="113" w:type="dxa"/>
              <w:bottom w:w="113" w:type="dxa"/>
            </w:tcMar>
          </w:tcPr>
          <w:p w:rsidR="00FF3B37" w:rsidRPr="00A32AF4" w:rsidRDefault="00FF3B37" w:rsidP="00DC0553">
            <w:pPr>
              <w:autoSpaceDE w:val="0"/>
              <w:autoSpaceDN w:val="0"/>
              <w:adjustRightInd w:val="0"/>
              <w:rPr>
                <w:rFonts w:eastAsia="SimSun"/>
                <w:sz w:val="16"/>
                <w:szCs w:val="16"/>
              </w:rPr>
            </w:pPr>
            <w:r w:rsidRPr="00A32AF4">
              <w:rPr>
                <w:rFonts w:eastAsia="SimSun"/>
                <w:sz w:val="16"/>
                <w:szCs w:val="16"/>
              </w:rPr>
              <w:t>Qualité de la traduction</w:t>
            </w:r>
          </w:p>
        </w:tc>
        <w:tc>
          <w:tcPr>
            <w:tcW w:w="1070" w:type="pct"/>
            <w:shd w:val="clear" w:color="auto" w:fill="FFFFFF"/>
            <w:tcMar>
              <w:top w:w="113" w:type="dxa"/>
              <w:bottom w:w="113" w:type="dxa"/>
            </w:tcMar>
          </w:tcPr>
          <w:p w:rsidR="00FF3B37" w:rsidRPr="00A32AF4" w:rsidRDefault="00FF3B37" w:rsidP="00DC0553">
            <w:pPr>
              <w:jc w:val="center"/>
              <w:rPr>
                <w:rFonts w:cs="Arial"/>
                <w:sz w:val="16"/>
                <w:szCs w:val="16"/>
                <w:lang w:bidi="th-TH"/>
              </w:rPr>
            </w:pPr>
            <w:r w:rsidRPr="00A32AF4">
              <w:rPr>
                <w:rFonts w:cs="Arial"/>
                <w:sz w:val="16"/>
                <w:szCs w:val="16"/>
                <w:lang w:bidi="th-TH"/>
              </w:rPr>
              <w:t>Programme 5</w:t>
            </w:r>
          </w:p>
        </w:tc>
      </w:tr>
      <w:tr w:rsidR="005808EF" w:rsidRPr="00A32AF4" w:rsidTr="000D0EE9">
        <w:trPr>
          <w:cantSplit/>
        </w:trPr>
        <w:tc>
          <w:tcPr>
            <w:tcW w:w="1769" w:type="pct"/>
            <w:shd w:val="clear" w:color="auto" w:fill="auto"/>
            <w:tcMar>
              <w:top w:w="113" w:type="dxa"/>
              <w:bottom w:w="113" w:type="dxa"/>
            </w:tcMar>
          </w:tcPr>
          <w:p w:rsidR="00FF3B37" w:rsidRPr="00A32AF4" w:rsidRDefault="00FF3B37" w:rsidP="00DC0553">
            <w:pPr>
              <w:rPr>
                <w:rFonts w:cs="Arial"/>
                <w:sz w:val="16"/>
                <w:szCs w:val="16"/>
              </w:rPr>
            </w:pPr>
          </w:p>
        </w:tc>
        <w:tc>
          <w:tcPr>
            <w:tcW w:w="2161" w:type="pct"/>
            <w:shd w:val="clear" w:color="auto" w:fill="auto"/>
            <w:tcMar>
              <w:top w:w="113" w:type="dxa"/>
              <w:bottom w:w="113" w:type="dxa"/>
            </w:tcMar>
          </w:tcPr>
          <w:p w:rsidR="00FF3B37" w:rsidRPr="00A32AF4" w:rsidRDefault="00FF3B37" w:rsidP="00DC0553">
            <w:pPr>
              <w:autoSpaceDE w:val="0"/>
              <w:autoSpaceDN w:val="0"/>
              <w:adjustRightInd w:val="0"/>
              <w:rPr>
                <w:rFonts w:eastAsia="SimSun"/>
                <w:sz w:val="16"/>
                <w:szCs w:val="16"/>
              </w:rPr>
            </w:pPr>
            <w:r w:rsidRPr="00A32AF4">
              <w:rPr>
                <w:rFonts w:eastAsia="SimSun"/>
                <w:sz w:val="16"/>
                <w:szCs w:val="16"/>
              </w:rPr>
              <w:t>Qualité du développement de logiciels</w:t>
            </w:r>
          </w:p>
        </w:tc>
        <w:tc>
          <w:tcPr>
            <w:tcW w:w="1070" w:type="pct"/>
            <w:shd w:val="clear" w:color="auto" w:fill="FFFFFF"/>
            <w:tcMar>
              <w:top w:w="113" w:type="dxa"/>
              <w:bottom w:w="113" w:type="dxa"/>
            </w:tcMar>
          </w:tcPr>
          <w:p w:rsidR="00FF3B37" w:rsidRPr="00A32AF4" w:rsidRDefault="00FF3B37" w:rsidP="00DC0553">
            <w:pPr>
              <w:jc w:val="center"/>
              <w:rPr>
                <w:rFonts w:cs="Arial"/>
                <w:sz w:val="16"/>
                <w:szCs w:val="16"/>
                <w:lang w:bidi="th-TH"/>
              </w:rPr>
            </w:pPr>
            <w:r w:rsidRPr="00A32AF4">
              <w:rPr>
                <w:rFonts w:cs="Arial"/>
                <w:sz w:val="16"/>
                <w:szCs w:val="16"/>
                <w:lang w:bidi="th-TH"/>
              </w:rPr>
              <w:t>Programme 5</w:t>
            </w:r>
          </w:p>
        </w:tc>
      </w:tr>
      <w:tr w:rsidR="005808EF" w:rsidRPr="00A32AF4" w:rsidTr="000D0EE9">
        <w:trPr>
          <w:cantSplit/>
        </w:trPr>
        <w:tc>
          <w:tcPr>
            <w:tcW w:w="1769" w:type="pct"/>
            <w:shd w:val="clear" w:color="auto" w:fill="auto"/>
            <w:tcMar>
              <w:top w:w="113" w:type="dxa"/>
              <w:bottom w:w="113" w:type="dxa"/>
            </w:tcMar>
          </w:tcPr>
          <w:p w:rsidR="00FF3B37" w:rsidRPr="00A32AF4" w:rsidRDefault="00FF3B37" w:rsidP="00DC0553">
            <w:pPr>
              <w:rPr>
                <w:rFonts w:cs="Arial"/>
                <w:sz w:val="16"/>
                <w:szCs w:val="16"/>
              </w:rPr>
            </w:pPr>
          </w:p>
        </w:tc>
        <w:tc>
          <w:tcPr>
            <w:tcW w:w="2161" w:type="pct"/>
            <w:shd w:val="clear" w:color="auto" w:fill="auto"/>
            <w:tcMar>
              <w:top w:w="113" w:type="dxa"/>
              <w:bottom w:w="113" w:type="dxa"/>
            </w:tcMar>
          </w:tcPr>
          <w:p w:rsidR="00FF3B37" w:rsidRPr="00A32AF4" w:rsidRDefault="00FF3B37" w:rsidP="00DC0553">
            <w:pPr>
              <w:autoSpaceDE w:val="0"/>
              <w:autoSpaceDN w:val="0"/>
              <w:adjustRightInd w:val="0"/>
              <w:rPr>
                <w:rFonts w:eastAsia="SimSun"/>
                <w:sz w:val="16"/>
                <w:szCs w:val="16"/>
              </w:rPr>
            </w:pPr>
            <w:r w:rsidRPr="00A32AF4">
              <w:rPr>
                <w:rFonts w:eastAsia="SimSun"/>
                <w:sz w:val="16"/>
                <w:szCs w:val="16"/>
              </w:rPr>
              <w:t>Niveaux de service des systèmes d</w:t>
            </w:r>
            <w:r w:rsidR="00E2055A" w:rsidRPr="00A32AF4">
              <w:rPr>
                <w:rFonts w:eastAsia="SimSun"/>
                <w:sz w:val="16"/>
                <w:szCs w:val="16"/>
              </w:rPr>
              <w:t>’</w:t>
            </w:r>
            <w:r w:rsidRPr="00A32AF4">
              <w:rPr>
                <w:rFonts w:eastAsia="SimSun"/>
                <w:sz w:val="16"/>
                <w:szCs w:val="16"/>
              </w:rPr>
              <w:t>information</w:t>
            </w:r>
          </w:p>
        </w:tc>
        <w:tc>
          <w:tcPr>
            <w:tcW w:w="1070" w:type="pct"/>
            <w:shd w:val="clear" w:color="auto" w:fill="FFFFFF"/>
            <w:tcMar>
              <w:top w:w="113" w:type="dxa"/>
              <w:bottom w:w="113" w:type="dxa"/>
            </w:tcMar>
          </w:tcPr>
          <w:p w:rsidR="00FF3B37" w:rsidRPr="00A32AF4" w:rsidRDefault="00FF3B37" w:rsidP="00DC0553">
            <w:pPr>
              <w:jc w:val="center"/>
              <w:rPr>
                <w:rFonts w:cs="Arial"/>
                <w:sz w:val="16"/>
                <w:szCs w:val="16"/>
                <w:lang w:bidi="th-TH"/>
              </w:rPr>
            </w:pPr>
            <w:r w:rsidRPr="00A32AF4">
              <w:rPr>
                <w:rFonts w:cs="Arial"/>
                <w:sz w:val="16"/>
                <w:szCs w:val="16"/>
                <w:lang w:bidi="th-TH"/>
              </w:rPr>
              <w:t>Programme 5</w:t>
            </w:r>
          </w:p>
        </w:tc>
      </w:tr>
      <w:tr w:rsidR="005808EF" w:rsidRPr="00A32AF4" w:rsidTr="000D0EE9">
        <w:trPr>
          <w:cantSplit/>
        </w:trPr>
        <w:tc>
          <w:tcPr>
            <w:tcW w:w="1769" w:type="pct"/>
            <w:shd w:val="clear" w:color="auto" w:fill="auto"/>
            <w:tcMar>
              <w:top w:w="113" w:type="dxa"/>
              <w:bottom w:w="113" w:type="dxa"/>
            </w:tcMar>
          </w:tcPr>
          <w:p w:rsidR="0023745E" w:rsidRPr="00A32AF4" w:rsidRDefault="0023745E" w:rsidP="00DC0553">
            <w:pPr>
              <w:rPr>
                <w:rFonts w:cs="Arial"/>
                <w:sz w:val="16"/>
                <w:szCs w:val="16"/>
              </w:rPr>
            </w:pPr>
            <w:r w:rsidRPr="00A32AF4">
              <w:rPr>
                <w:rFonts w:cs="Arial"/>
                <w:sz w:val="16"/>
                <w:szCs w:val="16"/>
              </w:rPr>
              <w:t xml:space="preserve">II.4 Utilisation élargie et plus efficace du système de </w:t>
            </w:r>
            <w:r w:rsidR="00E2055A" w:rsidRPr="00A32AF4">
              <w:rPr>
                <w:rFonts w:cs="Arial"/>
                <w:sz w:val="16"/>
                <w:szCs w:val="16"/>
              </w:rPr>
              <w:t>La Haye</w:t>
            </w:r>
            <w:r w:rsidRPr="00A32AF4">
              <w:rPr>
                <w:rFonts w:cs="Arial"/>
                <w:sz w:val="16"/>
                <w:szCs w:val="16"/>
              </w:rPr>
              <w:t>, notamment par les pays en développement et</w:t>
            </w:r>
            <w:r w:rsidR="00E2055A" w:rsidRPr="00A32AF4">
              <w:rPr>
                <w:rFonts w:cs="Arial"/>
                <w:sz w:val="16"/>
                <w:szCs w:val="16"/>
              </w:rPr>
              <w:t xml:space="preserve"> les PMA</w:t>
            </w:r>
          </w:p>
        </w:tc>
        <w:tc>
          <w:tcPr>
            <w:tcW w:w="2161" w:type="pct"/>
            <w:shd w:val="clear" w:color="auto" w:fill="auto"/>
            <w:tcMar>
              <w:top w:w="113" w:type="dxa"/>
              <w:bottom w:w="113" w:type="dxa"/>
            </w:tcMar>
          </w:tcPr>
          <w:p w:rsidR="0023745E" w:rsidRPr="00A32AF4" w:rsidRDefault="00172EB5" w:rsidP="00DC0553">
            <w:pPr>
              <w:rPr>
                <w:rFonts w:cs="Arial"/>
                <w:sz w:val="16"/>
                <w:szCs w:val="16"/>
              </w:rPr>
            </w:pPr>
            <w:r w:rsidRPr="00A32AF4">
              <w:rPr>
                <w:sz w:val="16"/>
                <w:szCs w:val="16"/>
              </w:rPr>
              <w:t xml:space="preserve">Nombre de demandes déposées selon le système de </w:t>
            </w:r>
            <w:r w:rsidR="00E2055A" w:rsidRPr="00A32AF4">
              <w:rPr>
                <w:sz w:val="16"/>
                <w:szCs w:val="16"/>
              </w:rPr>
              <w:t>La Haye</w:t>
            </w:r>
            <w:r w:rsidRPr="00A32AF4">
              <w:rPr>
                <w:sz w:val="16"/>
                <w:szCs w:val="16"/>
              </w:rPr>
              <w:t xml:space="preserve"> émanant de pays en développement, de pays en transition et de pays développés</w:t>
            </w:r>
          </w:p>
        </w:tc>
        <w:tc>
          <w:tcPr>
            <w:tcW w:w="1070" w:type="pct"/>
            <w:shd w:val="clear" w:color="auto" w:fill="FFFFFF"/>
            <w:tcMar>
              <w:top w:w="113" w:type="dxa"/>
              <w:bottom w:w="113" w:type="dxa"/>
            </w:tcMar>
          </w:tcPr>
          <w:p w:rsidR="00E2055A" w:rsidRPr="00A32AF4" w:rsidRDefault="005F1F60">
            <w:pPr>
              <w:jc w:val="center"/>
              <w:rPr>
                <w:rFonts w:cs="Arial"/>
                <w:sz w:val="16"/>
                <w:szCs w:val="16"/>
                <w:lang w:bidi="th-TH"/>
              </w:rPr>
            </w:pPr>
            <w:r w:rsidRPr="00A32AF4">
              <w:rPr>
                <w:rFonts w:cs="Arial"/>
                <w:sz w:val="16"/>
                <w:szCs w:val="16"/>
                <w:lang w:bidi="th-TH"/>
              </w:rPr>
              <w:t>Programme 9</w:t>
            </w:r>
          </w:p>
          <w:p w:rsidR="00F93B76" w:rsidRPr="00A32AF4" w:rsidRDefault="0023745E" w:rsidP="00DC0553">
            <w:pPr>
              <w:jc w:val="center"/>
              <w:rPr>
                <w:rFonts w:cs="Arial"/>
                <w:sz w:val="16"/>
                <w:szCs w:val="16"/>
                <w:lang w:bidi="th-TH"/>
              </w:rPr>
            </w:pPr>
            <w:r w:rsidRPr="00A32AF4">
              <w:rPr>
                <w:rFonts w:cs="Arial"/>
                <w:sz w:val="16"/>
                <w:szCs w:val="16"/>
                <w:lang w:bidi="th-TH"/>
              </w:rPr>
              <w:t>Programme 10</w:t>
            </w:r>
          </w:p>
          <w:p w:rsidR="0023745E" w:rsidRPr="00A32AF4" w:rsidRDefault="0023745E" w:rsidP="00DC0553">
            <w:pPr>
              <w:jc w:val="center"/>
              <w:rPr>
                <w:rFonts w:cs="Arial"/>
                <w:sz w:val="16"/>
                <w:szCs w:val="16"/>
                <w:lang w:bidi="th-TH"/>
              </w:rPr>
            </w:pPr>
            <w:r w:rsidRPr="00A32AF4">
              <w:rPr>
                <w:rFonts w:cs="Arial"/>
                <w:sz w:val="16"/>
                <w:szCs w:val="16"/>
                <w:lang w:bidi="th-TH"/>
              </w:rPr>
              <w:t>Programme 20</w:t>
            </w:r>
          </w:p>
        </w:tc>
      </w:tr>
      <w:tr w:rsidR="005808EF" w:rsidRPr="00A32AF4" w:rsidTr="000D0EE9">
        <w:trPr>
          <w:cantSplit/>
        </w:trPr>
        <w:tc>
          <w:tcPr>
            <w:tcW w:w="1769" w:type="pct"/>
            <w:shd w:val="clear" w:color="auto" w:fill="auto"/>
            <w:tcMar>
              <w:top w:w="113" w:type="dxa"/>
              <w:bottom w:w="113" w:type="dxa"/>
            </w:tcMar>
          </w:tcPr>
          <w:p w:rsidR="0023745E" w:rsidRPr="00A32AF4" w:rsidRDefault="0023745E" w:rsidP="00DC0553">
            <w:pPr>
              <w:rPr>
                <w:rFonts w:cs="Arial"/>
                <w:sz w:val="16"/>
                <w:szCs w:val="16"/>
              </w:rPr>
            </w:pPr>
          </w:p>
        </w:tc>
        <w:tc>
          <w:tcPr>
            <w:tcW w:w="2161" w:type="pct"/>
            <w:shd w:val="clear" w:color="auto" w:fill="auto"/>
            <w:tcMar>
              <w:top w:w="113" w:type="dxa"/>
              <w:bottom w:w="113" w:type="dxa"/>
            </w:tcMar>
          </w:tcPr>
          <w:p w:rsidR="0023745E" w:rsidRPr="00A32AF4" w:rsidRDefault="00486722" w:rsidP="00DC0553">
            <w:pPr>
              <w:rPr>
                <w:rFonts w:cs="Arial"/>
                <w:sz w:val="16"/>
                <w:szCs w:val="16"/>
              </w:rPr>
            </w:pPr>
            <w:r w:rsidRPr="00A32AF4">
              <w:rPr>
                <w:rFonts w:cs="Arial"/>
                <w:sz w:val="16"/>
                <w:szCs w:val="16"/>
              </w:rPr>
              <w:t>Parties contractantes à l</w:t>
            </w:r>
            <w:r w:rsidR="00E2055A" w:rsidRPr="00A32AF4">
              <w:rPr>
                <w:rFonts w:cs="Arial"/>
                <w:sz w:val="16"/>
                <w:szCs w:val="16"/>
              </w:rPr>
              <w:t>’</w:t>
            </w:r>
            <w:r w:rsidRPr="00A32AF4">
              <w:rPr>
                <w:rFonts w:cs="Arial"/>
                <w:sz w:val="16"/>
                <w:szCs w:val="16"/>
              </w:rPr>
              <w:t>Acte de Genève (1999)</w:t>
            </w:r>
          </w:p>
        </w:tc>
        <w:tc>
          <w:tcPr>
            <w:tcW w:w="1070" w:type="pct"/>
            <w:shd w:val="clear" w:color="auto" w:fill="FFFFFF"/>
            <w:tcMar>
              <w:top w:w="113" w:type="dxa"/>
              <w:bottom w:w="113" w:type="dxa"/>
            </w:tcMar>
          </w:tcPr>
          <w:p w:rsidR="00F93B76" w:rsidRPr="00A32AF4" w:rsidRDefault="0023745E" w:rsidP="00DC0553">
            <w:pPr>
              <w:jc w:val="center"/>
              <w:rPr>
                <w:rFonts w:cs="Arial"/>
                <w:sz w:val="16"/>
                <w:szCs w:val="16"/>
                <w:lang w:bidi="th-TH"/>
              </w:rPr>
            </w:pPr>
            <w:r w:rsidRPr="00A32AF4">
              <w:rPr>
                <w:rFonts w:cs="Arial"/>
                <w:sz w:val="16"/>
                <w:szCs w:val="16"/>
                <w:lang w:bidi="th-TH"/>
              </w:rPr>
              <w:t>Programme 20</w:t>
            </w:r>
          </w:p>
          <w:p w:rsidR="0023745E" w:rsidRPr="00A32AF4" w:rsidRDefault="0023745E" w:rsidP="00DC0553">
            <w:pPr>
              <w:jc w:val="center"/>
              <w:rPr>
                <w:rFonts w:cs="Arial"/>
                <w:sz w:val="16"/>
                <w:szCs w:val="16"/>
                <w:lang w:bidi="th-TH"/>
              </w:rPr>
            </w:pPr>
            <w:r w:rsidRPr="00A32AF4">
              <w:rPr>
                <w:rFonts w:cs="Arial"/>
                <w:sz w:val="16"/>
                <w:szCs w:val="16"/>
                <w:lang w:bidi="th-TH"/>
              </w:rPr>
              <w:t>Programme 31</w:t>
            </w:r>
          </w:p>
        </w:tc>
      </w:tr>
      <w:tr w:rsidR="005808EF" w:rsidRPr="00A32AF4" w:rsidTr="000D0EE9">
        <w:trPr>
          <w:cantSplit/>
        </w:trPr>
        <w:tc>
          <w:tcPr>
            <w:tcW w:w="1769" w:type="pct"/>
            <w:shd w:val="clear" w:color="auto" w:fill="auto"/>
            <w:tcMar>
              <w:top w:w="113" w:type="dxa"/>
              <w:bottom w:w="113" w:type="dxa"/>
            </w:tcMar>
          </w:tcPr>
          <w:p w:rsidR="0023745E" w:rsidRPr="00A32AF4" w:rsidRDefault="0023745E" w:rsidP="00DC0553">
            <w:pPr>
              <w:rPr>
                <w:rFonts w:cs="Arial"/>
                <w:sz w:val="16"/>
                <w:szCs w:val="16"/>
              </w:rPr>
            </w:pPr>
          </w:p>
        </w:tc>
        <w:tc>
          <w:tcPr>
            <w:tcW w:w="2161" w:type="pct"/>
            <w:shd w:val="clear" w:color="auto" w:fill="auto"/>
            <w:tcMar>
              <w:top w:w="113" w:type="dxa"/>
              <w:bottom w:w="113" w:type="dxa"/>
            </w:tcMar>
          </w:tcPr>
          <w:p w:rsidR="0023745E" w:rsidRPr="00A32AF4" w:rsidRDefault="00486722" w:rsidP="00DC0553">
            <w:pPr>
              <w:rPr>
                <w:rFonts w:cs="Arial"/>
                <w:sz w:val="16"/>
                <w:szCs w:val="16"/>
              </w:rPr>
            </w:pPr>
            <w:r w:rsidRPr="00A32AF4">
              <w:rPr>
                <w:rFonts w:cs="Arial"/>
                <w:sz w:val="16"/>
                <w:szCs w:val="16"/>
              </w:rPr>
              <w:t xml:space="preserve">Pourcentage de décideurs, de fonctionnaires gouvernementaux, de spécialistes de la propriété intellectuelle et de participants à des séminaires ciblés ayant une meilleure connaissance du système de </w:t>
            </w:r>
            <w:r w:rsidR="00E2055A" w:rsidRPr="00A32AF4">
              <w:rPr>
                <w:rFonts w:cs="Arial"/>
                <w:sz w:val="16"/>
                <w:szCs w:val="16"/>
              </w:rPr>
              <w:t>La Haye</w:t>
            </w:r>
          </w:p>
        </w:tc>
        <w:tc>
          <w:tcPr>
            <w:tcW w:w="1070" w:type="pct"/>
            <w:shd w:val="clear" w:color="auto" w:fill="FFFFFF"/>
            <w:tcMar>
              <w:top w:w="113" w:type="dxa"/>
              <w:bottom w:w="113" w:type="dxa"/>
            </w:tcMar>
          </w:tcPr>
          <w:p w:rsidR="0023745E" w:rsidRPr="00A32AF4" w:rsidRDefault="0023745E" w:rsidP="00DC0553">
            <w:pPr>
              <w:jc w:val="center"/>
              <w:rPr>
                <w:rFonts w:cs="Arial"/>
                <w:sz w:val="16"/>
                <w:szCs w:val="16"/>
                <w:lang w:bidi="th-TH"/>
              </w:rPr>
            </w:pPr>
            <w:r w:rsidRPr="00A32AF4">
              <w:rPr>
                <w:rFonts w:cs="Arial"/>
                <w:sz w:val="16"/>
                <w:szCs w:val="16"/>
                <w:lang w:bidi="th-TH"/>
              </w:rPr>
              <w:t>Programme 20</w:t>
            </w:r>
          </w:p>
        </w:tc>
      </w:tr>
      <w:tr w:rsidR="005808EF" w:rsidRPr="00A32AF4" w:rsidTr="000D0EE9">
        <w:trPr>
          <w:cantSplit/>
        </w:trPr>
        <w:tc>
          <w:tcPr>
            <w:tcW w:w="1769" w:type="pct"/>
            <w:shd w:val="clear" w:color="auto" w:fill="auto"/>
            <w:tcMar>
              <w:top w:w="113" w:type="dxa"/>
              <w:bottom w:w="113" w:type="dxa"/>
            </w:tcMar>
          </w:tcPr>
          <w:p w:rsidR="005808EF" w:rsidRPr="00A32AF4" w:rsidRDefault="005808EF" w:rsidP="00DC0553">
            <w:pPr>
              <w:rPr>
                <w:rFonts w:cs="Arial"/>
                <w:sz w:val="16"/>
                <w:szCs w:val="16"/>
              </w:rPr>
            </w:pPr>
          </w:p>
        </w:tc>
        <w:tc>
          <w:tcPr>
            <w:tcW w:w="2161" w:type="pct"/>
            <w:shd w:val="clear" w:color="auto" w:fill="auto"/>
            <w:tcMar>
              <w:top w:w="113" w:type="dxa"/>
              <w:bottom w:w="113" w:type="dxa"/>
            </w:tcMar>
          </w:tcPr>
          <w:p w:rsidR="005808EF" w:rsidRPr="00A32AF4" w:rsidRDefault="005808EF" w:rsidP="00DC0553">
            <w:pPr>
              <w:rPr>
                <w:rFonts w:cs="Arial"/>
                <w:sz w:val="16"/>
                <w:szCs w:val="16"/>
              </w:rPr>
            </w:pPr>
            <w:r w:rsidRPr="00A32AF4">
              <w:rPr>
                <w:rFonts w:cs="Arial"/>
                <w:sz w:val="16"/>
                <w:szCs w:val="16"/>
              </w:rPr>
              <w:t>Nombre d</w:t>
            </w:r>
            <w:r w:rsidR="00E2055A" w:rsidRPr="00A32AF4">
              <w:rPr>
                <w:rFonts w:cs="Arial"/>
                <w:sz w:val="16"/>
                <w:szCs w:val="16"/>
              </w:rPr>
              <w:t>’</w:t>
            </w:r>
            <w:r w:rsidRPr="00A32AF4">
              <w:rPr>
                <w:rFonts w:cs="Arial"/>
                <w:sz w:val="16"/>
                <w:szCs w:val="16"/>
              </w:rPr>
              <w:t xml:space="preserve">offices fournissant des informations sur le système de </w:t>
            </w:r>
            <w:r w:rsidR="00E2055A" w:rsidRPr="00A32AF4">
              <w:rPr>
                <w:rFonts w:cs="Arial"/>
                <w:sz w:val="16"/>
                <w:szCs w:val="16"/>
              </w:rPr>
              <w:t>La Haye</w:t>
            </w:r>
            <w:r w:rsidRPr="00A32AF4">
              <w:rPr>
                <w:rFonts w:cs="Arial"/>
                <w:sz w:val="16"/>
                <w:szCs w:val="16"/>
              </w:rPr>
              <w:t xml:space="preserve"> à leurs utilisateurs.</w:t>
            </w:r>
          </w:p>
        </w:tc>
        <w:tc>
          <w:tcPr>
            <w:tcW w:w="1070" w:type="pct"/>
            <w:shd w:val="clear" w:color="auto" w:fill="FFFFFF"/>
            <w:tcMar>
              <w:top w:w="113" w:type="dxa"/>
              <w:bottom w:w="113" w:type="dxa"/>
            </w:tcMar>
          </w:tcPr>
          <w:p w:rsidR="005808EF" w:rsidRPr="00A32AF4" w:rsidRDefault="005808EF" w:rsidP="00DC0553">
            <w:pPr>
              <w:jc w:val="center"/>
              <w:rPr>
                <w:rFonts w:cs="Arial"/>
                <w:sz w:val="16"/>
                <w:szCs w:val="16"/>
                <w:lang w:bidi="th-TH"/>
              </w:rPr>
            </w:pPr>
            <w:r w:rsidRPr="00A32AF4">
              <w:rPr>
                <w:rFonts w:cs="Arial"/>
                <w:sz w:val="16"/>
                <w:szCs w:val="16"/>
                <w:lang w:bidi="th-TH"/>
              </w:rPr>
              <w:t>Programme 31</w:t>
            </w:r>
          </w:p>
        </w:tc>
      </w:tr>
      <w:tr w:rsidR="005808EF" w:rsidRPr="00A32AF4" w:rsidTr="000D0EE9">
        <w:trPr>
          <w:cantSplit/>
        </w:trPr>
        <w:tc>
          <w:tcPr>
            <w:tcW w:w="1769" w:type="pct"/>
            <w:shd w:val="clear" w:color="auto" w:fill="auto"/>
            <w:tcMar>
              <w:top w:w="113" w:type="dxa"/>
              <w:bottom w:w="113" w:type="dxa"/>
            </w:tcMar>
          </w:tcPr>
          <w:p w:rsidR="005808EF" w:rsidRPr="00A32AF4" w:rsidRDefault="005808EF" w:rsidP="00DC0553">
            <w:pPr>
              <w:rPr>
                <w:rFonts w:cs="Arial"/>
                <w:sz w:val="16"/>
                <w:szCs w:val="16"/>
              </w:rPr>
            </w:pPr>
          </w:p>
        </w:tc>
        <w:tc>
          <w:tcPr>
            <w:tcW w:w="2161" w:type="pct"/>
            <w:shd w:val="clear" w:color="auto" w:fill="auto"/>
            <w:tcMar>
              <w:top w:w="113" w:type="dxa"/>
              <w:bottom w:w="113" w:type="dxa"/>
            </w:tcMar>
          </w:tcPr>
          <w:p w:rsidR="005808EF" w:rsidRPr="00A32AF4" w:rsidRDefault="005808EF" w:rsidP="00DC0553">
            <w:pPr>
              <w:rPr>
                <w:rFonts w:cs="Arial"/>
                <w:sz w:val="16"/>
                <w:szCs w:val="16"/>
              </w:rPr>
            </w:pPr>
            <w:r w:rsidRPr="00A32AF4">
              <w:rPr>
                <w:rFonts w:cs="Arial"/>
                <w:sz w:val="16"/>
                <w:szCs w:val="16"/>
              </w:rPr>
              <w:t xml:space="preserve">Dépôts de demandes et renouvellements au titre du système de </w:t>
            </w:r>
            <w:r w:rsidR="00E2055A" w:rsidRPr="00A32AF4">
              <w:rPr>
                <w:rFonts w:cs="Arial"/>
                <w:sz w:val="16"/>
                <w:szCs w:val="16"/>
              </w:rPr>
              <w:t>La Haye</w:t>
            </w:r>
            <w:r w:rsidRPr="00A32AF4">
              <w:rPr>
                <w:rFonts w:cs="Arial"/>
                <w:sz w:val="16"/>
                <w:szCs w:val="16"/>
              </w:rPr>
              <w:t xml:space="preserve"> </w:t>
            </w:r>
          </w:p>
        </w:tc>
        <w:tc>
          <w:tcPr>
            <w:tcW w:w="1070" w:type="pct"/>
            <w:shd w:val="clear" w:color="auto" w:fill="FFFFFF"/>
            <w:tcMar>
              <w:top w:w="113" w:type="dxa"/>
              <w:bottom w:w="113" w:type="dxa"/>
            </w:tcMar>
          </w:tcPr>
          <w:p w:rsidR="005808EF" w:rsidRPr="00A32AF4" w:rsidRDefault="005808EF" w:rsidP="00DC0553">
            <w:pPr>
              <w:jc w:val="center"/>
              <w:rPr>
                <w:rFonts w:cs="Arial"/>
                <w:sz w:val="16"/>
                <w:szCs w:val="16"/>
                <w:lang w:bidi="th-TH"/>
              </w:rPr>
            </w:pPr>
            <w:r w:rsidRPr="00A32AF4">
              <w:rPr>
                <w:rFonts w:cs="Arial"/>
                <w:sz w:val="16"/>
                <w:szCs w:val="16"/>
                <w:lang w:bidi="th-TH"/>
              </w:rPr>
              <w:t>Programme 31</w:t>
            </w:r>
          </w:p>
        </w:tc>
      </w:tr>
      <w:tr w:rsidR="005808EF" w:rsidRPr="00A32AF4" w:rsidTr="000D0EE9">
        <w:trPr>
          <w:cantSplit/>
        </w:trPr>
        <w:tc>
          <w:tcPr>
            <w:tcW w:w="1769" w:type="pct"/>
            <w:shd w:val="clear" w:color="auto" w:fill="auto"/>
            <w:tcMar>
              <w:top w:w="113" w:type="dxa"/>
              <w:bottom w:w="113" w:type="dxa"/>
            </w:tcMar>
          </w:tcPr>
          <w:p w:rsidR="005808EF" w:rsidRPr="00A32AF4" w:rsidRDefault="005808EF" w:rsidP="00DC0553">
            <w:pPr>
              <w:rPr>
                <w:rFonts w:cs="Arial"/>
                <w:sz w:val="16"/>
                <w:szCs w:val="16"/>
              </w:rPr>
            </w:pPr>
            <w:r w:rsidRPr="00A32AF4">
              <w:rPr>
                <w:rFonts w:cs="Arial"/>
                <w:sz w:val="16"/>
                <w:szCs w:val="16"/>
              </w:rPr>
              <w:t xml:space="preserve">II.5 Amélioration de la productivité et de la qualité de service des opérations de </w:t>
            </w:r>
            <w:r w:rsidR="00E2055A" w:rsidRPr="00A32AF4">
              <w:rPr>
                <w:rFonts w:cs="Arial"/>
                <w:sz w:val="16"/>
                <w:szCs w:val="16"/>
              </w:rPr>
              <w:t>La Haye</w:t>
            </w:r>
          </w:p>
        </w:tc>
        <w:tc>
          <w:tcPr>
            <w:tcW w:w="2161" w:type="pct"/>
            <w:shd w:val="clear" w:color="auto" w:fill="auto"/>
            <w:tcMar>
              <w:top w:w="113" w:type="dxa"/>
              <w:bottom w:w="113" w:type="dxa"/>
            </w:tcMar>
          </w:tcPr>
          <w:p w:rsidR="005808EF" w:rsidRPr="00A32AF4" w:rsidRDefault="005808EF" w:rsidP="00DC0553">
            <w:pPr>
              <w:rPr>
                <w:rFonts w:cs="Arial"/>
                <w:sz w:val="16"/>
                <w:szCs w:val="16"/>
              </w:rPr>
            </w:pPr>
            <w:r w:rsidRPr="00A32AF4">
              <w:rPr>
                <w:rFonts w:cs="Arial"/>
                <w:sz w:val="16"/>
                <w:szCs w:val="16"/>
              </w:rPr>
              <w:t>Prédominance de l</w:t>
            </w:r>
            <w:r w:rsidR="00E2055A" w:rsidRPr="00A32AF4">
              <w:rPr>
                <w:rFonts w:cs="Arial"/>
                <w:sz w:val="16"/>
                <w:szCs w:val="16"/>
              </w:rPr>
              <w:t>’</w:t>
            </w:r>
            <w:r w:rsidRPr="00A32AF4">
              <w:rPr>
                <w:rFonts w:cs="Arial"/>
                <w:sz w:val="16"/>
                <w:szCs w:val="16"/>
              </w:rPr>
              <w:t xml:space="preserve">Acte de Genève (1999) dans le système de </w:t>
            </w:r>
            <w:r w:rsidR="00E2055A" w:rsidRPr="00A32AF4">
              <w:rPr>
                <w:rFonts w:cs="Arial"/>
                <w:sz w:val="16"/>
                <w:szCs w:val="16"/>
              </w:rPr>
              <w:t>La Haye</w:t>
            </w:r>
          </w:p>
        </w:tc>
        <w:tc>
          <w:tcPr>
            <w:tcW w:w="1070" w:type="pct"/>
            <w:shd w:val="clear" w:color="auto" w:fill="FFFFFF"/>
            <w:tcMar>
              <w:top w:w="113" w:type="dxa"/>
              <w:bottom w:w="113" w:type="dxa"/>
            </w:tcMar>
          </w:tcPr>
          <w:p w:rsidR="005808EF" w:rsidRPr="00A32AF4" w:rsidRDefault="005808EF" w:rsidP="00DC0553">
            <w:pPr>
              <w:jc w:val="center"/>
              <w:rPr>
                <w:rFonts w:cs="Arial"/>
                <w:sz w:val="16"/>
                <w:szCs w:val="16"/>
                <w:lang w:bidi="th-TH"/>
              </w:rPr>
            </w:pPr>
            <w:r w:rsidRPr="00A32AF4">
              <w:rPr>
                <w:rFonts w:cs="Arial"/>
                <w:sz w:val="16"/>
                <w:szCs w:val="16"/>
                <w:lang w:bidi="th-TH"/>
              </w:rPr>
              <w:t>Programme 31</w:t>
            </w:r>
          </w:p>
        </w:tc>
      </w:tr>
      <w:tr w:rsidR="005808EF" w:rsidRPr="00A32AF4" w:rsidTr="000D0EE9">
        <w:trPr>
          <w:cantSplit/>
        </w:trPr>
        <w:tc>
          <w:tcPr>
            <w:tcW w:w="1769" w:type="pct"/>
            <w:shd w:val="clear" w:color="auto" w:fill="auto"/>
            <w:tcMar>
              <w:top w:w="113" w:type="dxa"/>
              <w:bottom w:w="113" w:type="dxa"/>
            </w:tcMar>
          </w:tcPr>
          <w:p w:rsidR="005808EF" w:rsidRPr="00A32AF4" w:rsidRDefault="005808EF" w:rsidP="00DC0553">
            <w:pPr>
              <w:tabs>
                <w:tab w:val="right" w:pos="2835"/>
              </w:tabs>
              <w:spacing w:after="60"/>
              <w:rPr>
                <w:rFonts w:cs="Arial"/>
                <w:sz w:val="16"/>
                <w:szCs w:val="16"/>
              </w:rPr>
            </w:pPr>
          </w:p>
        </w:tc>
        <w:tc>
          <w:tcPr>
            <w:tcW w:w="2161" w:type="pct"/>
            <w:shd w:val="clear" w:color="auto" w:fill="auto"/>
            <w:tcMar>
              <w:top w:w="113" w:type="dxa"/>
              <w:bottom w:w="113" w:type="dxa"/>
            </w:tcMar>
          </w:tcPr>
          <w:p w:rsidR="005808EF" w:rsidRPr="00A32AF4" w:rsidRDefault="005808EF" w:rsidP="00DC0553">
            <w:pPr>
              <w:rPr>
                <w:rFonts w:cs="Arial"/>
                <w:sz w:val="16"/>
                <w:szCs w:val="16"/>
              </w:rPr>
            </w:pPr>
            <w:r w:rsidRPr="00A32AF4">
              <w:rPr>
                <w:rFonts w:cs="Arial"/>
                <w:sz w:val="16"/>
                <w:szCs w:val="16"/>
              </w:rPr>
              <w:t>Processus et procédures adaptées aux évolutions géographique et juridique du système</w:t>
            </w:r>
          </w:p>
        </w:tc>
        <w:tc>
          <w:tcPr>
            <w:tcW w:w="1070" w:type="pct"/>
            <w:shd w:val="clear" w:color="auto" w:fill="FFFFFF"/>
            <w:tcMar>
              <w:top w:w="113" w:type="dxa"/>
              <w:bottom w:w="113" w:type="dxa"/>
            </w:tcMar>
          </w:tcPr>
          <w:p w:rsidR="005808EF" w:rsidRPr="00A32AF4" w:rsidRDefault="005808EF" w:rsidP="00DC0553">
            <w:pPr>
              <w:jc w:val="center"/>
              <w:rPr>
                <w:rFonts w:cs="Arial"/>
                <w:sz w:val="16"/>
                <w:szCs w:val="16"/>
                <w:lang w:bidi="th-TH"/>
              </w:rPr>
            </w:pPr>
            <w:r w:rsidRPr="00A32AF4">
              <w:rPr>
                <w:rFonts w:cs="Arial"/>
                <w:sz w:val="16"/>
                <w:szCs w:val="16"/>
                <w:lang w:bidi="th-TH"/>
              </w:rPr>
              <w:t>Programme 31</w:t>
            </w:r>
          </w:p>
        </w:tc>
      </w:tr>
      <w:tr w:rsidR="005808EF" w:rsidRPr="00A32AF4" w:rsidTr="000D0EE9">
        <w:trPr>
          <w:cantSplit/>
        </w:trPr>
        <w:tc>
          <w:tcPr>
            <w:tcW w:w="1769" w:type="pct"/>
            <w:shd w:val="clear" w:color="auto" w:fill="auto"/>
            <w:tcMar>
              <w:top w:w="113" w:type="dxa"/>
              <w:bottom w:w="113" w:type="dxa"/>
            </w:tcMar>
          </w:tcPr>
          <w:p w:rsidR="005808EF" w:rsidRPr="00A32AF4" w:rsidRDefault="005808EF" w:rsidP="00DC0553">
            <w:pPr>
              <w:rPr>
                <w:rFonts w:cs="Arial"/>
                <w:sz w:val="16"/>
                <w:szCs w:val="16"/>
              </w:rPr>
            </w:pPr>
          </w:p>
        </w:tc>
        <w:tc>
          <w:tcPr>
            <w:tcW w:w="2161" w:type="pct"/>
            <w:shd w:val="clear" w:color="auto" w:fill="auto"/>
            <w:tcMar>
              <w:top w:w="113" w:type="dxa"/>
              <w:bottom w:w="113" w:type="dxa"/>
            </w:tcMar>
          </w:tcPr>
          <w:p w:rsidR="005808EF" w:rsidRPr="00A32AF4" w:rsidRDefault="005808EF" w:rsidP="00DC0553">
            <w:pPr>
              <w:rPr>
                <w:rFonts w:cs="Arial"/>
                <w:sz w:val="16"/>
                <w:szCs w:val="16"/>
              </w:rPr>
            </w:pPr>
            <w:r w:rsidRPr="00A32AF4">
              <w:rPr>
                <w:rFonts w:cs="Arial"/>
                <w:sz w:val="16"/>
                <w:szCs w:val="16"/>
              </w:rPr>
              <w:t>Progrès accomplis en vue de l</w:t>
            </w:r>
            <w:r w:rsidR="00E2055A" w:rsidRPr="00A32AF4">
              <w:rPr>
                <w:rFonts w:cs="Arial"/>
                <w:sz w:val="16"/>
                <w:szCs w:val="16"/>
              </w:rPr>
              <w:t>’</w:t>
            </w:r>
            <w:r w:rsidRPr="00A32AF4">
              <w:rPr>
                <w:rFonts w:cs="Arial"/>
                <w:sz w:val="16"/>
                <w:szCs w:val="16"/>
              </w:rPr>
              <w:t>amélioration du cadre juridique</w:t>
            </w:r>
          </w:p>
        </w:tc>
        <w:tc>
          <w:tcPr>
            <w:tcW w:w="1070" w:type="pct"/>
            <w:shd w:val="clear" w:color="auto" w:fill="FFFFFF"/>
            <w:tcMar>
              <w:top w:w="113" w:type="dxa"/>
              <w:bottom w:w="113" w:type="dxa"/>
            </w:tcMar>
          </w:tcPr>
          <w:p w:rsidR="005808EF" w:rsidRPr="00A32AF4" w:rsidRDefault="005808EF" w:rsidP="00DC0553">
            <w:pPr>
              <w:jc w:val="center"/>
              <w:rPr>
                <w:rFonts w:cs="Arial"/>
                <w:sz w:val="16"/>
                <w:szCs w:val="16"/>
                <w:lang w:bidi="th-TH"/>
              </w:rPr>
            </w:pPr>
            <w:r w:rsidRPr="00A32AF4">
              <w:rPr>
                <w:rFonts w:cs="Arial"/>
                <w:sz w:val="16"/>
                <w:szCs w:val="16"/>
                <w:lang w:bidi="th-TH"/>
              </w:rPr>
              <w:t>Programme 31</w:t>
            </w:r>
          </w:p>
        </w:tc>
      </w:tr>
      <w:tr w:rsidR="005808EF" w:rsidRPr="00A32AF4" w:rsidTr="000D0EE9">
        <w:trPr>
          <w:cantSplit/>
        </w:trPr>
        <w:tc>
          <w:tcPr>
            <w:tcW w:w="1769" w:type="pct"/>
            <w:shd w:val="clear" w:color="auto" w:fill="auto"/>
            <w:tcMar>
              <w:top w:w="113" w:type="dxa"/>
              <w:bottom w:w="113" w:type="dxa"/>
            </w:tcMar>
          </w:tcPr>
          <w:p w:rsidR="005808EF" w:rsidRPr="00A32AF4" w:rsidRDefault="005808EF" w:rsidP="00DC0553">
            <w:pPr>
              <w:rPr>
                <w:rFonts w:cs="Arial"/>
                <w:sz w:val="16"/>
                <w:szCs w:val="16"/>
              </w:rPr>
            </w:pPr>
          </w:p>
        </w:tc>
        <w:tc>
          <w:tcPr>
            <w:tcW w:w="2161" w:type="pct"/>
            <w:shd w:val="clear" w:color="auto" w:fill="auto"/>
            <w:tcMar>
              <w:top w:w="113" w:type="dxa"/>
              <w:bottom w:w="113" w:type="dxa"/>
            </w:tcMar>
          </w:tcPr>
          <w:p w:rsidR="005808EF" w:rsidRPr="00A32AF4" w:rsidRDefault="005808EF" w:rsidP="00DC0553">
            <w:pPr>
              <w:rPr>
                <w:rFonts w:cs="Arial"/>
                <w:sz w:val="16"/>
                <w:szCs w:val="16"/>
              </w:rPr>
            </w:pPr>
            <w:r w:rsidRPr="00A32AF4">
              <w:rPr>
                <w:rFonts w:cs="Arial"/>
                <w:sz w:val="16"/>
                <w:szCs w:val="16"/>
              </w:rPr>
              <w:t>Amélioration du fonctionnement du système d</w:t>
            </w:r>
            <w:r w:rsidR="00E2055A" w:rsidRPr="00A32AF4">
              <w:rPr>
                <w:rFonts w:cs="Arial"/>
                <w:sz w:val="16"/>
                <w:szCs w:val="16"/>
              </w:rPr>
              <w:t>’</w:t>
            </w:r>
            <w:r w:rsidRPr="00A32AF4">
              <w:rPr>
                <w:rFonts w:cs="Arial"/>
                <w:sz w:val="16"/>
                <w:szCs w:val="16"/>
              </w:rPr>
              <w:t xml:space="preserve">enregistrement de </w:t>
            </w:r>
            <w:r w:rsidR="00E2055A" w:rsidRPr="00A32AF4">
              <w:rPr>
                <w:rFonts w:cs="Arial"/>
                <w:sz w:val="16"/>
                <w:szCs w:val="16"/>
              </w:rPr>
              <w:t>La Haye</w:t>
            </w:r>
            <w:r w:rsidRPr="00A32AF4">
              <w:rPr>
                <w:rFonts w:cs="Arial"/>
                <w:sz w:val="16"/>
                <w:szCs w:val="16"/>
              </w:rPr>
              <w:t xml:space="preserve">, </w:t>
            </w:r>
            <w:r w:rsidR="00E2055A" w:rsidRPr="00A32AF4">
              <w:rPr>
                <w:rFonts w:cs="Arial"/>
                <w:sz w:val="16"/>
                <w:szCs w:val="16"/>
              </w:rPr>
              <w:t>y compris</w:t>
            </w:r>
            <w:r w:rsidRPr="00A32AF4">
              <w:rPr>
                <w:rFonts w:cs="Arial"/>
                <w:sz w:val="16"/>
                <w:szCs w:val="16"/>
              </w:rPr>
              <w:t xml:space="preserve"> des processus et procédures électroniques</w:t>
            </w:r>
          </w:p>
        </w:tc>
        <w:tc>
          <w:tcPr>
            <w:tcW w:w="1070" w:type="pct"/>
            <w:shd w:val="clear" w:color="auto" w:fill="FFFFFF"/>
            <w:tcMar>
              <w:top w:w="113" w:type="dxa"/>
              <w:bottom w:w="113" w:type="dxa"/>
            </w:tcMar>
          </w:tcPr>
          <w:p w:rsidR="005808EF" w:rsidRPr="00A32AF4" w:rsidRDefault="005808EF" w:rsidP="00DC0553">
            <w:pPr>
              <w:jc w:val="center"/>
              <w:rPr>
                <w:rFonts w:cs="Arial"/>
                <w:sz w:val="16"/>
                <w:szCs w:val="16"/>
                <w:lang w:bidi="th-TH"/>
              </w:rPr>
            </w:pPr>
            <w:r w:rsidRPr="00A32AF4">
              <w:rPr>
                <w:rFonts w:cs="Arial"/>
                <w:sz w:val="16"/>
                <w:szCs w:val="16"/>
                <w:lang w:bidi="th-TH"/>
              </w:rPr>
              <w:t>Programme 31</w:t>
            </w:r>
          </w:p>
        </w:tc>
      </w:tr>
      <w:tr w:rsidR="005808EF" w:rsidRPr="00A32AF4" w:rsidTr="000D0EE9">
        <w:trPr>
          <w:cantSplit/>
        </w:trPr>
        <w:tc>
          <w:tcPr>
            <w:tcW w:w="1769" w:type="pct"/>
            <w:shd w:val="clear" w:color="auto" w:fill="auto"/>
            <w:tcMar>
              <w:top w:w="113" w:type="dxa"/>
              <w:bottom w:w="113" w:type="dxa"/>
            </w:tcMar>
          </w:tcPr>
          <w:p w:rsidR="005808EF" w:rsidRPr="00A32AF4" w:rsidRDefault="005808EF" w:rsidP="00DC0553">
            <w:pPr>
              <w:rPr>
                <w:rFonts w:cs="Arial"/>
                <w:sz w:val="16"/>
                <w:szCs w:val="16"/>
              </w:rPr>
            </w:pPr>
          </w:p>
        </w:tc>
        <w:tc>
          <w:tcPr>
            <w:tcW w:w="2161" w:type="pct"/>
            <w:shd w:val="clear" w:color="auto" w:fill="auto"/>
            <w:tcMar>
              <w:top w:w="113" w:type="dxa"/>
              <w:bottom w:w="113" w:type="dxa"/>
            </w:tcMar>
          </w:tcPr>
          <w:p w:rsidR="005808EF" w:rsidRPr="00A32AF4" w:rsidRDefault="005808EF" w:rsidP="00DC0553">
            <w:pPr>
              <w:rPr>
                <w:rFonts w:cs="Arial"/>
                <w:sz w:val="16"/>
                <w:szCs w:val="16"/>
              </w:rPr>
            </w:pPr>
            <w:r w:rsidRPr="00A32AF4">
              <w:rPr>
                <w:rFonts w:cs="Arial"/>
                <w:sz w:val="16"/>
                <w:szCs w:val="16"/>
              </w:rPr>
              <w:t>Flexibilité des données enregistrées dans le registre international</w:t>
            </w:r>
          </w:p>
        </w:tc>
        <w:tc>
          <w:tcPr>
            <w:tcW w:w="1070" w:type="pct"/>
            <w:shd w:val="clear" w:color="auto" w:fill="FFFFFF"/>
            <w:tcMar>
              <w:top w:w="113" w:type="dxa"/>
              <w:bottom w:w="113" w:type="dxa"/>
            </w:tcMar>
          </w:tcPr>
          <w:p w:rsidR="005808EF" w:rsidRPr="00A32AF4" w:rsidRDefault="005808EF" w:rsidP="00DC0553">
            <w:pPr>
              <w:jc w:val="center"/>
              <w:rPr>
                <w:rFonts w:cs="Arial"/>
                <w:sz w:val="16"/>
                <w:szCs w:val="16"/>
                <w:lang w:bidi="th-TH"/>
              </w:rPr>
            </w:pPr>
            <w:r w:rsidRPr="00A32AF4">
              <w:rPr>
                <w:rFonts w:cs="Arial"/>
                <w:sz w:val="16"/>
                <w:szCs w:val="16"/>
                <w:lang w:bidi="th-TH"/>
              </w:rPr>
              <w:t>Programme 31</w:t>
            </w:r>
          </w:p>
        </w:tc>
      </w:tr>
      <w:tr w:rsidR="005808EF" w:rsidRPr="00A32AF4" w:rsidTr="000D0EE9">
        <w:trPr>
          <w:cantSplit/>
        </w:trPr>
        <w:tc>
          <w:tcPr>
            <w:tcW w:w="1769" w:type="pct"/>
            <w:shd w:val="clear" w:color="auto" w:fill="auto"/>
            <w:tcMar>
              <w:top w:w="113" w:type="dxa"/>
              <w:bottom w:w="113" w:type="dxa"/>
            </w:tcMar>
          </w:tcPr>
          <w:p w:rsidR="005808EF" w:rsidRPr="00A32AF4" w:rsidRDefault="005808EF" w:rsidP="00DC0553">
            <w:pPr>
              <w:rPr>
                <w:rFonts w:cs="Arial"/>
                <w:sz w:val="16"/>
                <w:szCs w:val="16"/>
              </w:rPr>
            </w:pPr>
          </w:p>
        </w:tc>
        <w:tc>
          <w:tcPr>
            <w:tcW w:w="2161" w:type="pct"/>
            <w:shd w:val="clear" w:color="auto" w:fill="auto"/>
            <w:tcMar>
              <w:top w:w="113" w:type="dxa"/>
              <w:bottom w:w="113" w:type="dxa"/>
            </w:tcMar>
          </w:tcPr>
          <w:p w:rsidR="005808EF" w:rsidRPr="00A32AF4" w:rsidRDefault="005808EF" w:rsidP="00DC0553">
            <w:pPr>
              <w:rPr>
                <w:rFonts w:cs="Arial"/>
                <w:sz w:val="16"/>
                <w:szCs w:val="16"/>
              </w:rPr>
            </w:pPr>
            <w:r w:rsidRPr="00A32AF4">
              <w:rPr>
                <w:rFonts w:cs="Arial"/>
                <w:sz w:val="16"/>
                <w:szCs w:val="16"/>
              </w:rPr>
              <w:t>Une évolution stable des services d</w:t>
            </w:r>
            <w:r w:rsidR="00E2055A" w:rsidRPr="00A32AF4">
              <w:rPr>
                <w:rFonts w:cs="Arial"/>
                <w:sz w:val="16"/>
                <w:szCs w:val="16"/>
              </w:rPr>
              <w:t>’</w:t>
            </w:r>
            <w:r w:rsidRPr="00A32AF4">
              <w:rPr>
                <w:rFonts w:cs="Arial"/>
                <w:sz w:val="16"/>
                <w:szCs w:val="16"/>
              </w:rPr>
              <w:t xml:space="preserve">appui informatique du système de </w:t>
            </w:r>
            <w:r w:rsidR="00E2055A" w:rsidRPr="00A32AF4">
              <w:rPr>
                <w:rFonts w:cs="Arial"/>
                <w:sz w:val="16"/>
                <w:szCs w:val="16"/>
              </w:rPr>
              <w:t>La Haye</w:t>
            </w:r>
          </w:p>
        </w:tc>
        <w:tc>
          <w:tcPr>
            <w:tcW w:w="1070" w:type="pct"/>
            <w:shd w:val="clear" w:color="auto" w:fill="FFFFFF"/>
            <w:tcMar>
              <w:top w:w="113" w:type="dxa"/>
              <w:bottom w:w="113" w:type="dxa"/>
            </w:tcMar>
          </w:tcPr>
          <w:p w:rsidR="005808EF" w:rsidRPr="00A32AF4" w:rsidRDefault="005808EF" w:rsidP="00DC0553">
            <w:pPr>
              <w:jc w:val="center"/>
              <w:rPr>
                <w:rFonts w:cs="Arial"/>
                <w:sz w:val="16"/>
                <w:szCs w:val="16"/>
                <w:lang w:bidi="th-TH"/>
              </w:rPr>
            </w:pPr>
            <w:r w:rsidRPr="00A32AF4">
              <w:rPr>
                <w:rFonts w:cs="Arial"/>
                <w:sz w:val="16"/>
                <w:szCs w:val="16"/>
                <w:lang w:bidi="th-TH"/>
              </w:rPr>
              <w:t>Programme 31</w:t>
            </w:r>
          </w:p>
        </w:tc>
      </w:tr>
      <w:tr w:rsidR="005808EF" w:rsidRPr="00A32AF4" w:rsidTr="000D0EE9">
        <w:trPr>
          <w:cantSplit/>
        </w:trPr>
        <w:tc>
          <w:tcPr>
            <w:tcW w:w="1769" w:type="pct"/>
            <w:shd w:val="clear" w:color="auto" w:fill="auto"/>
            <w:tcMar>
              <w:top w:w="113" w:type="dxa"/>
              <w:bottom w:w="113" w:type="dxa"/>
            </w:tcMar>
          </w:tcPr>
          <w:p w:rsidR="005808EF" w:rsidRPr="00A32AF4" w:rsidRDefault="005808EF" w:rsidP="00DC0553">
            <w:pPr>
              <w:rPr>
                <w:rFonts w:cs="Arial"/>
                <w:sz w:val="16"/>
                <w:szCs w:val="16"/>
              </w:rPr>
            </w:pPr>
          </w:p>
        </w:tc>
        <w:tc>
          <w:tcPr>
            <w:tcW w:w="2161" w:type="pct"/>
            <w:shd w:val="clear" w:color="auto" w:fill="auto"/>
            <w:tcMar>
              <w:top w:w="113" w:type="dxa"/>
              <w:bottom w:w="113" w:type="dxa"/>
            </w:tcMar>
          </w:tcPr>
          <w:p w:rsidR="005808EF" w:rsidRPr="00A32AF4" w:rsidRDefault="005808EF" w:rsidP="00DC0553">
            <w:pPr>
              <w:rPr>
                <w:rFonts w:cs="Arial"/>
                <w:sz w:val="16"/>
                <w:szCs w:val="16"/>
              </w:rPr>
            </w:pPr>
            <w:r w:rsidRPr="00A32AF4">
              <w:rPr>
                <w:rFonts w:cs="Arial"/>
                <w:sz w:val="16"/>
                <w:szCs w:val="16"/>
              </w:rPr>
              <w:t>Flexibilité des données enregistrées dans le registre international</w:t>
            </w:r>
          </w:p>
        </w:tc>
        <w:tc>
          <w:tcPr>
            <w:tcW w:w="1070" w:type="pct"/>
            <w:shd w:val="clear" w:color="auto" w:fill="FFFFFF"/>
            <w:tcMar>
              <w:top w:w="113" w:type="dxa"/>
              <w:bottom w:w="113" w:type="dxa"/>
            </w:tcMar>
          </w:tcPr>
          <w:p w:rsidR="005808EF" w:rsidRPr="00A32AF4" w:rsidRDefault="005808EF" w:rsidP="00DC0553">
            <w:pPr>
              <w:jc w:val="center"/>
              <w:rPr>
                <w:rFonts w:cs="Arial"/>
                <w:sz w:val="16"/>
                <w:szCs w:val="16"/>
                <w:lang w:bidi="th-TH"/>
              </w:rPr>
            </w:pPr>
            <w:r w:rsidRPr="00A32AF4">
              <w:rPr>
                <w:rFonts w:cs="Arial"/>
                <w:sz w:val="16"/>
                <w:szCs w:val="16"/>
                <w:lang w:bidi="th-TH"/>
              </w:rPr>
              <w:t>Programme 31</w:t>
            </w:r>
          </w:p>
        </w:tc>
      </w:tr>
      <w:tr w:rsidR="005808EF" w:rsidRPr="00A32AF4" w:rsidTr="000D0EE9">
        <w:trPr>
          <w:cantSplit/>
        </w:trPr>
        <w:tc>
          <w:tcPr>
            <w:tcW w:w="1769" w:type="pct"/>
            <w:shd w:val="clear" w:color="auto" w:fill="auto"/>
            <w:tcMar>
              <w:top w:w="113" w:type="dxa"/>
              <w:bottom w:w="113" w:type="dxa"/>
            </w:tcMar>
          </w:tcPr>
          <w:p w:rsidR="005808EF" w:rsidRPr="00A32AF4" w:rsidRDefault="005808EF" w:rsidP="00DC0553">
            <w:pPr>
              <w:rPr>
                <w:rFonts w:cs="Arial"/>
                <w:sz w:val="16"/>
                <w:szCs w:val="16"/>
              </w:rPr>
            </w:pPr>
          </w:p>
        </w:tc>
        <w:tc>
          <w:tcPr>
            <w:tcW w:w="2161" w:type="pct"/>
            <w:shd w:val="clear" w:color="auto" w:fill="auto"/>
            <w:tcMar>
              <w:top w:w="113" w:type="dxa"/>
              <w:bottom w:w="113" w:type="dxa"/>
            </w:tcMar>
          </w:tcPr>
          <w:p w:rsidR="005808EF" w:rsidRPr="00A32AF4" w:rsidRDefault="005808EF" w:rsidP="00DC0553">
            <w:pPr>
              <w:rPr>
                <w:rFonts w:cs="Arial"/>
                <w:sz w:val="16"/>
                <w:szCs w:val="16"/>
              </w:rPr>
            </w:pPr>
            <w:r w:rsidRPr="00A32AF4">
              <w:rPr>
                <w:rFonts w:cs="Arial"/>
                <w:sz w:val="16"/>
                <w:szCs w:val="16"/>
              </w:rPr>
              <w:t xml:space="preserve">3 versions de DIRIS déployées et 3 versions du système de dépôt électronique du système de </w:t>
            </w:r>
            <w:r w:rsidR="00E2055A" w:rsidRPr="00A32AF4">
              <w:rPr>
                <w:rFonts w:cs="Arial"/>
                <w:sz w:val="16"/>
                <w:szCs w:val="16"/>
              </w:rPr>
              <w:t>La Haye</w:t>
            </w:r>
            <w:r w:rsidRPr="00A32AF4">
              <w:rPr>
                <w:rFonts w:cs="Arial"/>
                <w:sz w:val="16"/>
                <w:szCs w:val="16"/>
              </w:rPr>
              <w:t xml:space="preserve"> déployées</w:t>
            </w:r>
          </w:p>
        </w:tc>
        <w:tc>
          <w:tcPr>
            <w:tcW w:w="1070" w:type="pct"/>
            <w:shd w:val="clear" w:color="auto" w:fill="FFFFFF"/>
            <w:tcMar>
              <w:top w:w="113" w:type="dxa"/>
              <w:bottom w:w="113" w:type="dxa"/>
            </w:tcMar>
          </w:tcPr>
          <w:p w:rsidR="005808EF" w:rsidRPr="00A32AF4" w:rsidRDefault="005808EF" w:rsidP="00DC0553">
            <w:pPr>
              <w:jc w:val="center"/>
              <w:rPr>
                <w:rFonts w:cs="Arial"/>
                <w:sz w:val="16"/>
                <w:szCs w:val="16"/>
                <w:lang w:bidi="th-TH"/>
              </w:rPr>
            </w:pPr>
            <w:r w:rsidRPr="00A32AF4">
              <w:rPr>
                <w:rFonts w:cs="Arial"/>
                <w:sz w:val="16"/>
                <w:szCs w:val="16"/>
                <w:lang w:bidi="th-TH"/>
              </w:rPr>
              <w:t>Programme 31</w:t>
            </w:r>
          </w:p>
        </w:tc>
      </w:tr>
      <w:tr w:rsidR="005808EF" w:rsidRPr="00A32AF4" w:rsidTr="000D0EE9">
        <w:trPr>
          <w:cantSplit/>
        </w:trPr>
        <w:tc>
          <w:tcPr>
            <w:tcW w:w="1769" w:type="pct"/>
            <w:shd w:val="clear" w:color="auto" w:fill="auto"/>
            <w:tcMar>
              <w:top w:w="113" w:type="dxa"/>
              <w:bottom w:w="113" w:type="dxa"/>
            </w:tcMar>
          </w:tcPr>
          <w:p w:rsidR="0023745E" w:rsidRPr="00A32AF4" w:rsidRDefault="0023745E" w:rsidP="00CA4A87">
            <w:pPr>
              <w:rPr>
                <w:rFonts w:cs="Arial"/>
                <w:sz w:val="16"/>
                <w:szCs w:val="16"/>
              </w:rPr>
            </w:pPr>
            <w:r w:rsidRPr="00A32AF4">
              <w:rPr>
                <w:rFonts w:cs="Arial"/>
                <w:sz w:val="16"/>
                <w:szCs w:val="16"/>
              </w:rPr>
              <w:t>II.6 Utilisation élargie et plus efficace d</w:t>
            </w:r>
            <w:r w:rsidR="00CA4A87" w:rsidRPr="00A32AF4">
              <w:rPr>
                <w:rFonts w:cs="Arial"/>
                <w:sz w:val="16"/>
                <w:szCs w:val="16"/>
              </w:rPr>
              <w:t>u système</w:t>
            </w:r>
            <w:r w:rsidRPr="00A32AF4">
              <w:rPr>
                <w:rFonts w:cs="Arial"/>
                <w:sz w:val="16"/>
                <w:szCs w:val="16"/>
              </w:rPr>
              <w:t xml:space="preserve"> de Madrid, notamment par les pays en développement et</w:t>
            </w:r>
            <w:r w:rsidR="00E2055A" w:rsidRPr="00A32AF4">
              <w:rPr>
                <w:rFonts w:cs="Arial"/>
                <w:sz w:val="16"/>
                <w:szCs w:val="16"/>
              </w:rPr>
              <w:t xml:space="preserve"> les PMA</w:t>
            </w:r>
          </w:p>
        </w:tc>
        <w:tc>
          <w:tcPr>
            <w:tcW w:w="2161" w:type="pct"/>
            <w:shd w:val="clear" w:color="auto" w:fill="auto"/>
            <w:tcMar>
              <w:top w:w="113" w:type="dxa"/>
              <w:bottom w:w="113" w:type="dxa"/>
            </w:tcMar>
          </w:tcPr>
          <w:p w:rsidR="0023745E" w:rsidRPr="00A32AF4" w:rsidRDefault="00975790" w:rsidP="00A02EB5">
            <w:pPr>
              <w:rPr>
                <w:rFonts w:cs="Arial"/>
                <w:sz w:val="16"/>
                <w:szCs w:val="16"/>
              </w:rPr>
            </w:pPr>
            <w:r w:rsidRPr="00A32AF4">
              <w:rPr>
                <w:sz w:val="16"/>
                <w:szCs w:val="16"/>
              </w:rPr>
              <w:t>Nombre total des membres du système de Madrid</w:t>
            </w:r>
          </w:p>
        </w:tc>
        <w:tc>
          <w:tcPr>
            <w:tcW w:w="1070" w:type="pct"/>
            <w:shd w:val="clear" w:color="auto" w:fill="FFFFFF"/>
            <w:tcMar>
              <w:top w:w="113" w:type="dxa"/>
              <w:bottom w:w="113" w:type="dxa"/>
            </w:tcMar>
          </w:tcPr>
          <w:p w:rsidR="00F93B76" w:rsidRPr="00A32AF4" w:rsidRDefault="0023745E" w:rsidP="00DC0553">
            <w:pPr>
              <w:jc w:val="center"/>
              <w:rPr>
                <w:rFonts w:cs="Arial"/>
                <w:sz w:val="16"/>
                <w:szCs w:val="16"/>
                <w:lang w:bidi="th-TH"/>
              </w:rPr>
            </w:pPr>
            <w:r w:rsidRPr="00A32AF4">
              <w:rPr>
                <w:rFonts w:cs="Arial"/>
                <w:sz w:val="16"/>
                <w:szCs w:val="16"/>
                <w:lang w:bidi="th-TH"/>
              </w:rPr>
              <w:t>Programme 6</w:t>
            </w:r>
          </w:p>
          <w:p w:rsidR="0023745E" w:rsidRPr="00A32AF4" w:rsidRDefault="0023745E" w:rsidP="00A02EB5">
            <w:pPr>
              <w:jc w:val="center"/>
              <w:rPr>
                <w:rFonts w:cs="Arial"/>
                <w:sz w:val="16"/>
                <w:szCs w:val="16"/>
                <w:lang w:bidi="th-TH"/>
              </w:rPr>
            </w:pPr>
            <w:r w:rsidRPr="00A32AF4">
              <w:rPr>
                <w:rFonts w:cs="Arial"/>
                <w:sz w:val="16"/>
                <w:szCs w:val="16"/>
                <w:lang w:bidi="th-TH"/>
              </w:rPr>
              <w:t>Programme 20</w:t>
            </w:r>
          </w:p>
        </w:tc>
      </w:tr>
      <w:tr w:rsidR="00A02EB5" w:rsidRPr="00A32AF4" w:rsidTr="000D0EE9">
        <w:trPr>
          <w:cantSplit/>
        </w:trPr>
        <w:tc>
          <w:tcPr>
            <w:tcW w:w="1769" w:type="pct"/>
            <w:shd w:val="clear" w:color="auto" w:fill="auto"/>
            <w:tcMar>
              <w:top w:w="113" w:type="dxa"/>
              <w:bottom w:w="113" w:type="dxa"/>
            </w:tcMar>
          </w:tcPr>
          <w:p w:rsidR="00A02EB5" w:rsidRPr="00A32AF4" w:rsidRDefault="00A02EB5" w:rsidP="00DC0553">
            <w:pPr>
              <w:rPr>
                <w:rFonts w:cs="Arial"/>
                <w:sz w:val="16"/>
                <w:szCs w:val="16"/>
              </w:rPr>
            </w:pPr>
          </w:p>
        </w:tc>
        <w:tc>
          <w:tcPr>
            <w:tcW w:w="2161" w:type="pct"/>
            <w:shd w:val="clear" w:color="auto" w:fill="auto"/>
            <w:tcMar>
              <w:top w:w="113" w:type="dxa"/>
              <w:bottom w:w="113" w:type="dxa"/>
            </w:tcMar>
          </w:tcPr>
          <w:p w:rsidR="00A02EB5" w:rsidRPr="00A32AF4" w:rsidRDefault="00A02EB5" w:rsidP="00DC0553">
            <w:pPr>
              <w:rPr>
                <w:sz w:val="16"/>
                <w:szCs w:val="16"/>
              </w:rPr>
            </w:pPr>
            <w:r w:rsidRPr="00A32AF4">
              <w:rPr>
                <w:sz w:val="16"/>
                <w:szCs w:val="16"/>
              </w:rPr>
              <w:t>Part de marché (c.</w:t>
            </w:r>
            <w:r w:rsidR="00EB7F54" w:rsidRPr="00A32AF4">
              <w:rPr>
                <w:sz w:val="16"/>
                <w:szCs w:val="16"/>
              </w:rPr>
              <w:noBreakHyphen/>
            </w:r>
            <w:r w:rsidRPr="00A32AF4">
              <w:rPr>
                <w:sz w:val="16"/>
                <w:szCs w:val="16"/>
              </w:rPr>
              <w:t>à</w:t>
            </w:r>
            <w:r w:rsidR="00EB7F54" w:rsidRPr="00A32AF4">
              <w:rPr>
                <w:sz w:val="16"/>
                <w:szCs w:val="16"/>
              </w:rPr>
              <w:noBreakHyphen/>
            </w:r>
            <w:r w:rsidRPr="00A32AF4">
              <w:rPr>
                <w:sz w:val="16"/>
                <w:szCs w:val="16"/>
              </w:rPr>
              <w:t>d. la voie nationale par rapport à la voie de Madrid)</w:t>
            </w:r>
            <w:r w:rsidR="008A43D0" w:rsidRPr="00A32AF4">
              <w:rPr>
                <w:sz w:val="16"/>
                <w:szCs w:val="16"/>
              </w:rPr>
              <w:t xml:space="preserve"> (Madrid)</w:t>
            </w:r>
          </w:p>
        </w:tc>
        <w:tc>
          <w:tcPr>
            <w:tcW w:w="1070" w:type="pct"/>
            <w:shd w:val="clear" w:color="auto" w:fill="FFFFFF"/>
            <w:tcMar>
              <w:top w:w="113" w:type="dxa"/>
              <w:bottom w:w="113" w:type="dxa"/>
            </w:tcMar>
          </w:tcPr>
          <w:p w:rsidR="00A02EB5" w:rsidRPr="00A32AF4" w:rsidRDefault="00A02EB5" w:rsidP="00DC0553">
            <w:pPr>
              <w:jc w:val="center"/>
              <w:rPr>
                <w:rFonts w:cs="Arial"/>
                <w:sz w:val="16"/>
                <w:szCs w:val="16"/>
                <w:lang w:bidi="th-TH"/>
              </w:rPr>
            </w:pPr>
            <w:r w:rsidRPr="00A32AF4">
              <w:rPr>
                <w:rFonts w:cs="Arial"/>
                <w:sz w:val="16"/>
                <w:szCs w:val="16"/>
                <w:lang w:bidi="th-TH"/>
              </w:rPr>
              <w:t>Programme 6</w:t>
            </w:r>
          </w:p>
        </w:tc>
      </w:tr>
      <w:tr w:rsidR="005808EF" w:rsidRPr="00A32AF4" w:rsidTr="000D0EE9">
        <w:trPr>
          <w:cantSplit/>
        </w:trPr>
        <w:tc>
          <w:tcPr>
            <w:tcW w:w="1769" w:type="pct"/>
            <w:shd w:val="clear" w:color="auto" w:fill="auto"/>
            <w:tcMar>
              <w:top w:w="113" w:type="dxa"/>
              <w:bottom w:w="113" w:type="dxa"/>
            </w:tcMar>
          </w:tcPr>
          <w:p w:rsidR="0023745E" w:rsidRPr="00A32AF4" w:rsidRDefault="0023745E" w:rsidP="00DC0553">
            <w:pPr>
              <w:rPr>
                <w:rFonts w:cs="Arial"/>
                <w:sz w:val="16"/>
                <w:szCs w:val="16"/>
              </w:rPr>
            </w:pPr>
          </w:p>
        </w:tc>
        <w:tc>
          <w:tcPr>
            <w:tcW w:w="2161" w:type="pct"/>
            <w:shd w:val="clear" w:color="auto" w:fill="auto"/>
            <w:tcMar>
              <w:top w:w="113" w:type="dxa"/>
              <w:bottom w:w="113" w:type="dxa"/>
            </w:tcMar>
          </w:tcPr>
          <w:p w:rsidR="0023745E" w:rsidRPr="00A32AF4" w:rsidRDefault="00975790" w:rsidP="00DC0553">
            <w:pPr>
              <w:rPr>
                <w:rFonts w:cs="Arial"/>
                <w:sz w:val="16"/>
                <w:szCs w:val="16"/>
              </w:rPr>
            </w:pPr>
            <w:r w:rsidRPr="00A32AF4">
              <w:rPr>
                <w:sz w:val="16"/>
                <w:szCs w:val="16"/>
              </w:rPr>
              <w:t>Taux de dépôt</w:t>
            </w:r>
            <w:r w:rsidR="00DF0C4B" w:rsidRPr="00A32AF4">
              <w:rPr>
                <w:sz w:val="16"/>
                <w:szCs w:val="16"/>
              </w:rPr>
              <w:t xml:space="preserve"> (Madrid)</w:t>
            </w:r>
          </w:p>
        </w:tc>
        <w:tc>
          <w:tcPr>
            <w:tcW w:w="1070" w:type="pct"/>
            <w:shd w:val="clear" w:color="auto" w:fill="FFFFFF"/>
            <w:tcMar>
              <w:top w:w="113" w:type="dxa"/>
              <w:bottom w:w="113" w:type="dxa"/>
            </w:tcMar>
          </w:tcPr>
          <w:p w:rsidR="0023745E" w:rsidRPr="00A32AF4" w:rsidRDefault="0023745E" w:rsidP="00DC0553">
            <w:pPr>
              <w:jc w:val="center"/>
              <w:rPr>
                <w:rFonts w:cs="Arial"/>
                <w:sz w:val="16"/>
                <w:szCs w:val="16"/>
                <w:lang w:bidi="th-TH"/>
              </w:rPr>
            </w:pPr>
            <w:r w:rsidRPr="00A32AF4">
              <w:rPr>
                <w:rFonts w:cs="Arial"/>
                <w:sz w:val="16"/>
                <w:szCs w:val="16"/>
                <w:lang w:bidi="th-TH"/>
              </w:rPr>
              <w:t>Programme 6</w:t>
            </w:r>
          </w:p>
        </w:tc>
      </w:tr>
      <w:tr w:rsidR="005808EF" w:rsidRPr="00A32AF4" w:rsidTr="000D0EE9">
        <w:trPr>
          <w:cantSplit/>
        </w:trPr>
        <w:tc>
          <w:tcPr>
            <w:tcW w:w="1769" w:type="pct"/>
            <w:shd w:val="clear" w:color="auto" w:fill="auto"/>
            <w:tcMar>
              <w:top w:w="113" w:type="dxa"/>
              <w:bottom w:w="113" w:type="dxa"/>
            </w:tcMar>
          </w:tcPr>
          <w:p w:rsidR="0023745E" w:rsidRPr="00A32AF4" w:rsidRDefault="0023745E" w:rsidP="00DC0553">
            <w:pPr>
              <w:rPr>
                <w:rFonts w:cs="Arial"/>
                <w:sz w:val="16"/>
                <w:szCs w:val="16"/>
              </w:rPr>
            </w:pPr>
          </w:p>
        </w:tc>
        <w:tc>
          <w:tcPr>
            <w:tcW w:w="2161" w:type="pct"/>
            <w:shd w:val="clear" w:color="auto" w:fill="auto"/>
            <w:tcMar>
              <w:top w:w="113" w:type="dxa"/>
              <w:bottom w:w="113" w:type="dxa"/>
            </w:tcMar>
          </w:tcPr>
          <w:p w:rsidR="0023745E" w:rsidRPr="00A32AF4" w:rsidRDefault="00975790">
            <w:pPr>
              <w:rPr>
                <w:rFonts w:cs="Arial"/>
                <w:sz w:val="16"/>
                <w:szCs w:val="16"/>
              </w:rPr>
            </w:pPr>
            <w:r w:rsidRPr="00A32AF4">
              <w:rPr>
                <w:rFonts w:cs="Arial"/>
                <w:sz w:val="16"/>
                <w:szCs w:val="16"/>
              </w:rPr>
              <w:t>Enregistrements</w:t>
            </w:r>
            <w:r w:rsidR="0023745E" w:rsidRPr="00A32AF4">
              <w:rPr>
                <w:rFonts w:cs="Arial"/>
                <w:sz w:val="16"/>
                <w:szCs w:val="16"/>
              </w:rPr>
              <w:t xml:space="preserve"> </w:t>
            </w:r>
            <w:r w:rsidR="00DF0C4B" w:rsidRPr="00A32AF4">
              <w:rPr>
                <w:sz w:val="16"/>
                <w:szCs w:val="16"/>
              </w:rPr>
              <w:t>(Madrid)</w:t>
            </w:r>
          </w:p>
        </w:tc>
        <w:tc>
          <w:tcPr>
            <w:tcW w:w="1070" w:type="pct"/>
            <w:shd w:val="clear" w:color="auto" w:fill="FFFFFF"/>
            <w:tcMar>
              <w:top w:w="113" w:type="dxa"/>
              <w:bottom w:w="113" w:type="dxa"/>
            </w:tcMar>
          </w:tcPr>
          <w:p w:rsidR="0023745E" w:rsidRPr="00A32AF4" w:rsidRDefault="0023745E" w:rsidP="00DC0553">
            <w:pPr>
              <w:jc w:val="center"/>
              <w:rPr>
                <w:rFonts w:cs="Arial"/>
                <w:sz w:val="16"/>
                <w:szCs w:val="16"/>
                <w:lang w:bidi="th-TH"/>
              </w:rPr>
            </w:pPr>
            <w:r w:rsidRPr="00A32AF4">
              <w:rPr>
                <w:rFonts w:cs="Arial"/>
                <w:sz w:val="16"/>
                <w:szCs w:val="16"/>
                <w:lang w:bidi="th-TH"/>
              </w:rPr>
              <w:t>Programme 6</w:t>
            </w:r>
          </w:p>
        </w:tc>
      </w:tr>
      <w:tr w:rsidR="005808EF" w:rsidRPr="00A32AF4" w:rsidTr="000D0EE9">
        <w:trPr>
          <w:cantSplit/>
        </w:trPr>
        <w:tc>
          <w:tcPr>
            <w:tcW w:w="1769" w:type="pct"/>
            <w:shd w:val="clear" w:color="auto" w:fill="auto"/>
            <w:tcMar>
              <w:top w:w="113" w:type="dxa"/>
              <w:bottom w:w="113" w:type="dxa"/>
            </w:tcMar>
          </w:tcPr>
          <w:p w:rsidR="0023745E" w:rsidRPr="00A32AF4" w:rsidRDefault="0023745E" w:rsidP="00DC0553">
            <w:pPr>
              <w:rPr>
                <w:rFonts w:cs="Arial"/>
                <w:sz w:val="16"/>
                <w:szCs w:val="16"/>
              </w:rPr>
            </w:pPr>
          </w:p>
        </w:tc>
        <w:tc>
          <w:tcPr>
            <w:tcW w:w="2161" w:type="pct"/>
            <w:shd w:val="clear" w:color="auto" w:fill="auto"/>
            <w:tcMar>
              <w:top w:w="113" w:type="dxa"/>
              <w:bottom w:w="113" w:type="dxa"/>
            </w:tcMar>
          </w:tcPr>
          <w:p w:rsidR="0023745E" w:rsidRPr="00A32AF4" w:rsidRDefault="00975790" w:rsidP="00DC0553">
            <w:pPr>
              <w:rPr>
                <w:rFonts w:cs="Arial"/>
                <w:sz w:val="16"/>
                <w:szCs w:val="16"/>
              </w:rPr>
            </w:pPr>
            <w:r w:rsidRPr="00A32AF4">
              <w:rPr>
                <w:rFonts w:cs="Arial"/>
                <w:sz w:val="16"/>
                <w:szCs w:val="16"/>
              </w:rPr>
              <w:t>Renouvellements</w:t>
            </w:r>
            <w:r w:rsidR="00DF0C4B" w:rsidRPr="00A32AF4">
              <w:rPr>
                <w:sz w:val="16"/>
                <w:szCs w:val="16"/>
              </w:rPr>
              <w:t xml:space="preserve"> (Madrid)</w:t>
            </w:r>
          </w:p>
        </w:tc>
        <w:tc>
          <w:tcPr>
            <w:tcW w:w="1070" w:type="pct"/>
            <w:shd w:val="clear" w:color="auto" w:fill="FFFFFF"/>
            <w:tcMar>
              <w:top w:w="113" w:type="dxa"/>
              <w:bottom w:w="113" w:type="dxa"/>
            </w:tcMar>
          </w:tcPr>
          <w:p w:rsidR="0023745E" w:rsidRPr="00A32AF4" w:rsidRDefault="0023745E" w:rsidP="00DC0553">
            <w:pPr>
              <w:jc w:val="center"/>
              <w:rPr>
                <w:rFonts w:cs="Arial"/>
                <w:sz w:val="16"/>
                <w:szCs w:val="16"/>
                <w:lang w:bidi="th-TH"/>
              </w:rPr>
            </w:pPr>
            <w:r w:rsidRPr="00A32AF4">
              <w:rPr>
                <w:rFonts w:cs="Arial"/>
                <w:sz w:val="16"/>
                <w:szCs w:val="16"/>
                <w:lang w:bidi="th-TH"/>
              </w:rPr>
              <w:t>Programme 6</w:t>
            </w:r>
          </w:p>
        </w:tc>
      </w:tr>
      <w:tr w:rsidR="005808EF" w:rsidRPr="00A32AF4" w:rsidTr="000D0EE9">
        <w:trPr>
          <w:cantSplit/>
        </w:trPr>
        <w:tc>
          <w:tcPr>
            <w:tcW w:w="1769" w:type="pct"/>
            <w:shd w:val="clear" w:color="auto" w:fill="auto"/>
            <w:tcMar>
              <w:top w:w="113" w:type="dxa"/>
              <w:bottom w:w="113" w:type="dxa"/>
            </w:tcMar>
          </w:tcPr>
          <w:p w:rsidR="0023745E" w:rsidRPr="00A32AF4" w:rsidRDefault="0023745E" w:rsidP="00DC0553">
            <w:pPr>
              <w:rPr>
                <w:rFonts w:cs="Arial"/>
                <w:sz w:val="16"/>
                <w:szCs w:val="16"/>
              </w:rPr>
            </w:pPr>
          </w:p>
        </w:tc>
        <w:tc>
          <w:tcPr>
            <w:tcW w:w="2161" w:type="pct"/>
            <w:shd w:val="clear" w:color="auto" w:fill="auto"/>
            <w:tcMar>
              <w:top w:w="113" w:type="dxa"/>
              <w:bottom w:w="113" w:type="dxa"/>
            </w:tcMar>
          </w:tcPr>
          <w:p w:rsidR="0023745E" w:rsidRPr="00A32AF4" w:rsidRDefault="00975790" w:rsidP="00DC0553">
            <w:pPr>
              <w:rPr>
                <w:rFonts w:cs="Arial"/>
                <w:sz w:val="16"/>
                <w:szCs w:val="16"/>
              </w:rPr>
            </w:pPr>
            <w:r w:rsidRPr="00A32AF4">
              <w:rPr>
                <w:sz w:val="16"/>
                <w:szCs w:val="16"/>
              </w:rPr>
              <w:t>Nombre total d</w:t>
            </w:r>
            <w:r w:rsidR="00E2055A" w:rsidRPr="00A32AF4">
              <w:rPr>
                <w:sz w:val="16"/>
                <w:szCs w:val="16"/>
              </w:rPr>
              <w:t>’</w:t>
            </w:r>
            <w:r w:rsidRPr="00A32AF4">
              <w:rPr>
                <w:sz w:val="16"/>
                <w:szCs w:val="16"/>
              </w:rPr>
              <w:t>enregistrements</w:t>
            </w:r>
            <w:r w:rsidR="00DF0C4B" w:rsidRPr="00A32AF4">
              <w:rPr>
                <w:sz w:val="16"/>
                <w:szCs w:val="16"/>
              </w:rPr>
              <w:t xml:space="preserve"> (Madrid)</w:t>
            </w:r>
          </w:p>
        </w:tc>
        <w:tc>
          <w:tcPr>
            <w:tcW w:w="1070" w:type="pct"/>
            <w:shd w:val="clear" w:color="auto" w:fill="FFFFFF"/>
            <w:tcMar>
              <w:top w:w="113" w:type="dxa"/>
              <w:bottom w:w="113" w:type="dxa"/>
            </w:tcMar>
          </w:tcPr>
          <w:p w:rsidR="0023745E" w:rsidRPr="00A32AF4" w:rsidRDefault="0023745E" w:rsidP="00DC0553">
            <w:pPr>
              <w:jc w:val="center"/>
              <w:rPr>
                <w:rFonts w:cs="Arial"/>
                <w:sz w:val="16"/>
                <w:szCs w:val="16"/>
                <w:lang w:bidi="th-TH"/>
              </w:rPr>
            </w:pPr>
            <w:r w:rsidRPr="00A32AF4">
              <w:rPr>
                <w:rFonts w:cs="Arial"/>
                <w:sz w:val="16"/>
                <w:szCs w:val="16"/>
                <w:lang w:bidi="th-TH"/>
              </w:rPr>
              <w:t>Programme 6</w:t>
            </w:r>
          </w:p>
        </w:tc>
      </w:tr>
      <w:tr w:rsidR="005808EF" w:rsidRPr="00A32AF4" w:rsidTr="000D0EE9">
        <w:trPr>
          <w:cantSplit/>
        </w:trPr>
        <w:tc>
          <w:tcPr>
            <w:tcW w:w="1769" w:type="pct"/>
            <w:shd w:val="clear" w:color="auto" w:fill="auto"/>
            <w:tcMar>
              <w:top w:w="113" w:type="dxa"/>
              <w:bottom w:w="113" w:type="dxa"/>
            </w:tcMar>
          </w:tcPr>
          <w:p w:rsidR="0023745E" w:rsidRPr="00A32AF4" w:rsidRDefault="0023745E" w:rsidP="00DC0553">
            <w:pPr>
              <w:rPr>
                <w:rFonts w:cs="Arial"/>
                <w:sz w:val="16"/>
                <w:szCs w:val="16"/>
              </w:rPr>
            </w:pPr>
          </w:p>
        </w:tc>
        <w:tc>
          <w:tcPr>
            <w:tcW w:w="2161" w:type="pct"/>
            <w:shd w:val="clear" w:color="auto" w:fill="auto"/>
            <w:tcMar>
              <w:top w:w="113" w:type="dxa"/>
              <w:bottom w:w="113" w:type="dxa"/>
            </w:tcMar>
          </w:tcPr>
          <w:p w:rsidR="0023745E" w:rsidRPr="00A32AF4" w:rsidRDefault="00975790" w:rsidP="00DC0553">
            <w:pPr>
              <w:rPr>
                <w:rFonts w:cs="Arial"/>
                <w:sz w:val="16"/>
                <w:szCs w:val="16"/>
              </w:rPr>
            </w:pPr>
            <w:r w:rsidRPr="00A32AF4">
              <w:rPr>
                <w:sz w:val="16"/>
                <w:szCs w:val="16"/>
              </w:rPr>
              <w:t>Nombre total de désignations</w:t>
            </w:r>
            <w:r w:rsidR="00DF0C4B" w:rsidRPr="00A32AF4">
              <w:rPr>
                <w:sz w:val="16"/>
                <w:szCs w:val="16"/>
              </w:rPr>
              <w:t xml:space="preserve"> (Madrid)</w:t>
            </w:r>
          </w:p>
        </w:tc>
        <w:tc>
          <w:tcPr>
            <w:tcW w:w="1070" w:type="pct"/>
            <w:shd w:val="clear" w:color="auto" w:fill="FFFFFF"/>
            <w:tcMar>
              <w:top w:w="113" w:type="dxa"/>
              <w:bottom w:w="113" w:type="dxa"/>
            </w:tcMar>
          </w:tcPr>
          <w:p w:rsidR="0023745E" w:rsidRPr="00A32AF4" w:rsidRDefault="0023745E" w:rsidP="00DC0553">
            <w:pPr>
              <w:jc w:val="center"/>
              <w:rPr>
                <w:rFonts w:cs="Arial"/>
                <w:sz w:val="16"/>
                <w:szCs w:val="16"/>
                <w:lang w:bidi="th-TH"/>
              </w:rPr>
            </w:pPr>
            <w:r w:rsidRPr="00A32AF4">
              <w:rPr>
                <w:rFonts w:cs="Arial"/>
                <w:sz w:val="16"/>
                <w:szCs w:val="16"/>
                <w:lang w:bidi="th-TH"/>
              </w:rPr>
              <w:t>Programme 6</w:t>
            </w:r>
          </w:p>
        </w:tc>
      </w:tr>
      <w:tr w:rsidR="005808EF" w:rsidRPr="00A32AF4" w:rsidTr="000D0EE9">
        <w:trPr>
          <w:cantSplit/>
        </w:trPr>
        <w:tc>
          <w:tcPr>
            <w:tcW w:w="1769" w:type="pct"/>
            <w:shd w:val="clear" w:color="auto" w:fill="auto"/>
            <w:tcMar>
              <w:top w:w="113" w:type="dxa"/>
              <w:bottom w:w="113" w:type="dxa"/>
            </w:tcMar>
          </w:tcPr>
          <w:p w:rsidR="00975790" w:rsidRPr="00A32AF4" w:rsidRDefault="00975790" w:rsidP="00DC0553">
            <w:pPr>
              <w:rPr>
                <w:rFonts w:cs="Arial"/>
                <w:sz w:val="16"/>
                <w:szCs w:val="16"/>
              </w:rPr>
            </w:pPr>
          </w:p>
        </w:tc>
        <w:tc>
          <w:tcPr>
            <w:tcW w:w="2161" w:type="pct"/>
            <w:shd w:val="clear" w:color="auto" w:fill="auto"/>
            <w:tcMar>
              <w:top w:w="113" w:type="dxa"/>
              <w:bottom w:w="113" w:type="dxa"/>
            </w:tcMar>
          </w:tcPr>
          <w:p w:rsidR="00975790" w:rsidRPr="00A32AF4" w:rsidRDefault="00975790" w:rsidP="00DC0553">
            <w:pPr>
              <w:rPr>
                <w:sz w:val="16"/>
                <w:szCs w:val="16"/>
              </w:rPr>
            </w:pPr>
            <w:r w:rsidRPr="00A32AF4">
              <w:rPr>
                <w:sz w:val="16"/>
                <w:szCs w:val="16"/>
              </w:rPr>
              <w:t>Taux d</w:t>
            </w:r>
            <w:r w:rsidR="00E2055A" w:rsidRPr="00A32AF4">
              <w:rPr>
                <w:sz w:val="16"/>
                <w:szCs w:val="16"/>
              </w:rPr>
              <w:t>’</w:t>
            </w:r>
            <w:r w:rsidRPr="00A32AF4">
              <w:rPr>
                <w:sz w:val="16"/>
                <w:szCs w:val="16"/>
              </w:rPr>
              <w:t>irrégularité (articles 12 et 13)</w:t>
            </w:r>
            <w:r w:rsidR="00DF0C4B" w:rsidRPr="00A32AF4">
              <w:rPr>
                <w:sz w:val="16"/>
                <w:szCs w:val="16"/>
              </w:rPr>
              <w:t xml:space="preserve"> (Madrid)</w:t>
            </w:r>
          </w:p>
        </w:tc>
        <w:tc>
          <w:tcPr>
            <w:tcW w:w="1070" w:type="pct"/>
            <w:shd w:val="clear" w:color="auto" w:fill="FFFFFF"/>
            <w:tcMar>
              <w:top w:w="113" w:type="dxa"/>
              <w:bottom w:w="113" w:type="dxa"/>
            </w:tcMar>
          </w:tcPr>
          <w:p w:rsidR="00975790" w:rsidRPr="00A32AF4" w:rsidRDefault="00975790" w:rsidP="00DC0553">
            <w:pPr>
              <w:jc w:val="center"/>
              <w:rPr>
                <w:rFonts w:cs="Arial"/>
                <w:sz w:val="16"/>
                <w:szCs w:val="16"/>
                <w:lang w:bidi="th-TH"/>
              </w:rPr>
            </w:pPr>
            <w:r w:rsidRPr="00A32AF4">
              <w:rPr>
                <w:rFonts w:cs="Arial"/>
                <w:sz w:val="16"/>
                <w:szCs w:val="16"/>
                <w:lang w:bidi="th-TH"/>
              </w:rPr>
              <w:t>Programme 6</w:t>
            </w:r>
          </w:p>
        </w:tc>
      </w:tr>
      <w:tr w:rsidR="005808EF" w:rsidRPr="00A32AF4" w:rsidTr="000D0EE9">
        <w:trPr>
          <w:cantSplit/>
        </w:trPr>
        <w:tc>
          <w:tcPr>
            <w:tcW w:w="1769" w:type="pct"/>
            <w:shd w:val="clear" w:color="auto" w:fill="auto"/>
            <w:tcMar>
              <w:top w:w="113" w:type="dxa"/>
              <w:bottom w:w="113" w:type="dxa"/>
            </w:tcMar>
          </w:tcPr>
          <w:p w:rsidR="00975790" w:rsidRPr="00A32AF4" w:rsidRDefault="00975790" w:rsidP="00DC0553">
            <w:pPr>
              <w:rPr>
                <w:rFonts w:cs="Arial"/>
                <w:sz w:val="16"/>
                <w:szCs w:val="16"/>
              </w:rPr>
            </w:pPr>
          </w:p>
        </w:tc>
        <w:tc>
          <w:tcPr>
            <w:tcW w:w="2161" w:type="pct"/>
            <w:shd w:val="clear" w:color="auto" w:fill="auto"/>
            <w:tcMar>
              <w:top w:w="113" w:type="dxa"/>
              <w:bottom w:w="113" w:type="dxa"/>
            </w:tcMar>
          </w:tcPr>
          <w:p w:rsidR="00975790" w:rsidRPr="00A32AF4" w:rsidRDefault="00975790" w:rsidP="00DC0553">
            <w:pPr>
              <w:rPr>
                <w:sz w:val="16"/>
                <w:szCs w:val="16"/>
              </w:rPr>
            </w:pPr>
            <w:r w:rsidRPr="00A32AF4">
              <w:rPr>
                <w:sz w:val="16"/>
                <w:szCs w:val="16"/>
              </w:rPr>
              <w:t xml:space="preserve">Améliorations fonctionnelles du système de Madrid </w:t>
            </w:r>
          </w:p>
        </w:tc>
        <w:tc>
          <w:tcPr>
            <w:tcW w:w="1070" w:type="pct"/>
            <w:shd w:val="clear" w:color="auto" w:fill="FFFFFF"/>
            <w:tcMar>
              <w:top w:w="113" w:type="dxa"/>
              <w:bottom w:w="113" w:type="dxa"/>
            </w:tcMar>
          </w:tcPr>
          <w:p w:rsidR="00975790" w:rsidRPr="00A32AF4" w:rsidRDefault="00975790" w:rsidP="00DC0553">
            <w:pPr>
              <w:jc w:val="center"/>
              <w:rPr>
                <w:rFonts w:cs="Arial"/>
                <w:sz w:val="16"/>
                <w:szCs w:val="16"/>
                <w:lang w:bidi="th-TH"/>
              </w:rPr>
            </w:pPr>
            <w:r w:rsidRPr="00A32AF4">
              <w:rPr>
                <w:rFonts w:cs="Arial"/>
                <w:sz w:val="16"/>
                <w:szCs w:val="16"/>
                <w:lang w:bidi="th-TH"/>
              </w:rPr>
              <w:t>Programme 6</w:t>
            </w:r>
          </w:p>
        </w:tc>
      </w:tr>
      <w:tr w:rsidR="005808EF" w:rsidRPr="00A32AF4" w:rsidTr="000D0EE9">
        <w:trPr>
          <w:cantSplit/>
        </w:trPr>
        <w:tc>
          <w:tcPr>
            <w:tcW w:w="1769" w:type="pct"/>
            <w:shd w:val="clear" w:color="auto" w:fill="auto"/>
            <w:tcMar>
              <w:top w:w="113" w:type="dxa"/>
              <w:bottom w:w="113" w:type="dxa"/>
            </w:tcMar>
          </w:tcPr>
          <w:p w:rsidR="00975790" w:rsidRPr="00A32AF4" w:rsidRDefault="00975790" w:rsidP="00DC0553">
            <w:pPr>
              <w:rPr>
                <w:rFonts w:cs="Arial"/>
                <w:sz w:val="16"/>
                <w:szCs w:val="16"/>
              </w:rPr>
            </w:pPr>
          </w:p>
        </w:tc>
        <w:tc>
          <w:tcPr>
            <w:tcW w:w="2161" w:type="pct"/>
            <w:shd w:val="clear" w:color="auto" w:fill="auto"/>
            <w:tcMar>
              <w:top w:w="113" w:type="dxa"/>
              <w:bottom w:w="113" w:type="dxa"/>
            </w:tcMar>
          </w:tcPr>
          <w:p w:rsidR="00975790" w:rsidRPr="00A32AF4" w:rsidRDefault="00C42B14" w:rsidP="00DC0553">
            <w:pPr>
              <w:rPr>
                <w:rFonts w:cs="Arial"/>
                <w:sz w:val="16"/>
                <w:szCs w:val="16"/>
              </w:rPr>
            </w:pPr>
            <w:r w:rsidRPr="00A32AF4">
              <w:rPr>
                <w:sz w:val="16"/>
                <w:szCs w:val="16"/>
              </w:rPr>
              <w:t>Nombre de demandes déposées selon le système de Madrid émanant de pays en développement, de pays en transition et de pays développés</w:t>
            </w:r>
          </w:p>
        </w:tc>
        <w:tc>
          <w:tcPr>
            <w:tcW w:w="1070" w:type="pct"/>
            <w:shd w:val="clear" w:color="auto" w:fill="FFFFFF"/>
            <w:tcMar>
              <w:top w:w="113" w:type="dxa"/>
              <w:bottom w:w="113" w:type="dxa"/>
            </w:tcMar>
          </w:tcPr>
          <w:p w:rsidR="008F27CD" w:rsidRPr="00A32AF4" w:rsidRDefault="008F27CD" w:rsidP="00DC0553">
            <w:pPr>
              <w:jc w:val="center"/>
              <w:rPr>
                <w:rFonts w:cs="Arial"/>
                <w:sz w:val="16"/>
                <w:szCs w:val="16"/>
                <w:lang w:bidi="th-TH"/>
              </w:rPr>
            </w:pPr>
            <w:r w:rsidRPr="00A32AF4">
              <w:rPr>
                <w:rFonts w:cs="Arial"/>
                <w:sz w:val="16"/>
                <w:szCs w:val="16"/>
                <w:lang w:bidi="th-TH"/>
              </w:rPr>
              <w:t>Programme 9</w:t>
            </w:r>
          </w:p>
          <w:p w:rsidR="00F93B76" w:rsidRPr="00A32AF4" w:rsidRDefault="00975790" w:rsidP="00DC0553">
            <w:pPr>
              <w:jc w:val="center"/>
              <w:rPr>
                <w:rFonts w:cs="Arial"/>
                <w:sz w:val="16"/>
                <w:szCs w:val="16"/>
                <w:lang w:bidi="th-TH"/>
              </w:rPr>
            </w:pPr>
            <w:r w:rsidRPr="00A32AF4">
              <w:rPr>
                <w:rFonts w:cs="Arial"/>
                <w:sz w:val="16"/>
                <w:szCs w:val="16"/>
                <w:lang w:bidi="th-TH"/>
              </w:rPr>
              <w:t>Programme 10</w:t>
            </w:r>
          </w:p>
          <w:p w:rsidR="00975790" w:rsidRPr="00A32AF4" w:rsidRDefault="00975790" w:rsidP="00DC0553">
            <w:pPr>
              <w:jc w:val="center"/>
              <w:rPr>
                <w:rFonts w:cs="Arial"/>
                <w:sz w:val="16"/>
                <w:szCs w:val="16"/>
                <w:lang w:bidi="th-TH"/>
              </w:rPr>
            </w:pPr>
            <w:r w:rsidRPr="00A32AF4">
              <w:rPr>
                <w:rFonts w:cs="Arial"/>
                <w:sz w:val="16"/>
                <w:szCs w:val="16"/>
                <w:lang w:bidi="th-TH"/>
              </w:rPr>
              <w:t>Programme 20</w:t>
            </w:r>
          </w:p>
        </w:tc>
      </w:tr>
      <w:tr w:rsidR="005808EF" w:rsidRPr="00A32AF4" w:rsidTr="000D0EE9">
        <w:trPr>
          <w:cantSplit/>
        </w:trPr>
        <w:tc>
          <w:tcPr>
            <w:tcW w:w="1769" w:type="pct"/>
            <w:shd w:val="clear" w:color="auto" w:fill="auto"/>
            <w:tcMar>
              <w:top w:w="113" w:type="dxa"/>
              <w:bottom w:w="113" w:type="dxa"/>
            </w:tcMar>
          </w:tcPr>
          <w:p w:rsidR="00975790" w:rsidRPr="00A32AF4" w:rsidRDefault="00975790" w:rsidP="00DC0553">
            <w:pPr>
              <w:rPr>
                <w:rFonts w:cs="Arial"/>
                <w:sz w:val="16"/>
                <w:szCs w:val="16"/>
              </w:rPr>
            </w:pPr>
          </w:p>
        </w:tc>
        <w:tc>
          <w:tcPr>
            <w:tcW w:w="2161" w:type="pct"/>
            <w:shd w:val="clear" w:color="auto" w:fill="auto"/>
            <w:tcMar>
              <w:top w:w="113" w:type="dxa"/>
              <w:bottom w:w="113" w:type="dxa"/>
            </w:tcMar>
          </w:tcPr>
          <w:p w:rsidR="00975790" w:rsidRPr="00A32AF4" w:rsidRDefault="00486722" w:rsidP="00DC0553">
            <w:pPr>
              <w:rPr>
                <w:rFonts w:cs="Arial"/>
                <w:sz w:val="16"/>
                <w:szCs w:val="16"/>
              </w:rPr>
            </w:pPr>
            <w:r w:rsidRPr="00A32AF4">
              <w:rPr>
                <w:rFonts w:cs="Arial"/>
                <w:sz w:val="16"/>
                <w:szCs w:val="16"/>
              </w:rPr>
              <w:t>Pourcentage de décideurs, de fonctionnaires gouvernementaux, de spécialistes de la propriété intellectuelle et de participants à des séminaires ciblés ayant une meilleure connaissance du système de Madrid</w:t>
            </w:r>
          </w:p>
        </w:tc>
        <w:tc>
          <w:tcPr>
            <w:tcW w:w="1070" w:type="pct"/>
            <w:shd w:val="clear" w:color="auto" w:fill="FFFFFF"/>
            <w:tcMar>
              <w:top w:w="113" w:type="dxa"/>
              <w:bottom w:w="113" w:type="dxa"/>
            </w:tcMar>
          </w:tcPr>
          <w:p w:rsidR="00975790" w:rsidRPr="00A32AF4" w:rsidRDefault="00975790" w:rsidP="00DC0553">
            <w:pPr>
              <w:jc w:val="center"/>
              <w:rPr>
                <w:rFonts w:cs="Arial"/>
                <w:sz w:val="16"/>
                <w:szCs w:val="16"/>
                <w:lang w:bidi="th-TH"/>
              </w:rPr>
            </w:pPr>
            <w:r w:rsidRPr="00A32AF4">
              <w:rPr>
                <w:rFonts w:cs="Arial"/>
                <w:sz w:val="16"/>
                <w:szCs w:val="16"/>
                <w:lang w:bidi="th-TH"/>
              </w:rPr>
              <w:t>Programme 20</w:t>
            </w:r>
          </w:p>
        </w:tc>
      </w:tr>
      <w:tr w:rsidR="005808EF" w:rsidRPr="00A32AF4" w:rsidTr="000D0EE9">
        <w:trPr>
          <w:cantSplit/>
        </w:trPr>
        <w:tc>
          <w:tcPr>
            <w:tcW w:w="1769" w:type="pct"/>
            <w:shd w:val="clear" w:color="auto" w:fill="auto"/>
            <w:tcMar>
              <w:top w:w="113" w:type="dxa"/>
              <w:bottom w:w="113" w:type="dxa"/>
            </w:tcMar>
          </w:tcPr>
          <w:p w:rsidR="00975790" w:rsidRPr="00A32AF4" w:rsidRDefault="00975790" w:rsidP="00CA4A87">
            <w:pPr>
              <w:rPr>
                <w:rFonts w:cs="Arial"/>
                <w:sz w:val="16"/>
                <w:szCs w:val="16"/>
              </w:rPr>
            </w:pPr>
            <w:r w:rsidRPr="00A32AF4">
              <w:rPr>
                <w:rFonts w:cs="Arial"/>
                <w:sz w:val="16"/>
                <w:szCs w:val="16"/>
              </w:rPr>
              <w:t>II.7 Amélioration de la productivité et de la qualité de service des opérations d</w:t>
            </w:r>
            <w:r w:rsidR="00CA4A87" w:rsidRPr="00A32AF4">
              <w:rPr>
                <w:rFonts w:cs="Arial"/>
                <w:sz w:val="16"/>
                <w:szCs w:val="16"/>
              </w:rPr>
              <w:t>u système</w:t>
            </w:r>
            <w:r w:rsidRPr="00A32AF4">
              <w:rPr>
                <w:rFonts w:cs="Arial"/>
                <w:sz w:val="16"/>
                <w:szCs w:val="16"/>
              </w:rPr>
              <w:t xml:space="preserve"> de Madrid </w:t>
            </w:r>
          </w:p>
        </w:tc>
        <w:tc>
          <w:tcPr>
            <w:tcW w:w="2161" w:type="pct"/>
            <w:shd w:val="clear" w:color="auto" w:fill="auto"/>
            <w:tcMar>
              <w:top w:w="113" w:type="dxa"/>
              <w:bottom w:w="113" w:type="dxa"/>
            </w:tcMar>
          </w:tcPr>
          <w:p w:rsidR="00975790" w:rsidRPr="00A32AF4" w:rsidRDefault="00975790" w:rsidP="00DC0553">
            <w:pPr>
              <w:rPr>
                <w:sz w:val="16"/>
                <w:szCs w:val="16"/>
              </w:rPr>
            </w:pPr>
            <w:r w:rsidRPr="00A32AF4">
              <w:rPr>
                <w:sz w:val="16"/>
                <w:szCs w:val="16"/>
              </w:rPr>
              <w:t>Satisfaction des clients</w:t>
            </w:r>
            <w:r w:rsidR="009D0518" w:rsidRPr="00A32AF4">
              <w:rPr>
                <w:sz w:val="16"/>
                <w:szCs w:val="16"/>
              </w:rPr>
              <w:t xml:space="preserve"> (Madrid)</w:t>
            </w:r>
          </w:p>
        </w:tc>
        <w:tc>
          <w:tcPr>
            <w:tcW w:w="1070" w:type="pct"/>
            <w:shd w:val="clear" w:color="auto" w:fill="FFFFFF"/>
            <w:tcMar>
              <w:top w:w="113" w:type="dxa"/>
              <w:bottom w:w="113" w:type="dxa"/>
            </w:tcMar>
          </w:tcPr>
          <w:p w:rsidR="00975790" w:rsidRPr="00A32AF4" w:rsidRDefault="00975790" w:rsidP="00DC0553">
            <w:pPr>
              <w:jc w:val="center"/>
              <w:rPr>
                <w:rFonts w:cs="Arial"/>
                <w:sz w:val="16"/>
                <w:szCs w:val="16"/>
                <w:lang w:bidi="th-TH"/>
              </w:rPr>
            </w:pPr>
            <w:r w:rsidRPr="00A32AF4">
              <w:rPr>
                <w:rFonts w:cs="Arial"/>
                <w:sz w:val="16"/>
                <w:szCs w:val="16"/>
                <w:lang w:bidi="th-TH"/>
              </w:rPr>
              <w:t>Programme 6</w:t>
            </w:r>
          </w:p>
        </w:tc>
      </w:tr>
      <w:tr w:rsidR="005808EF" w:rsidRPr="00A32AF4" w:rsidTr="000D0EE9">
        <w:trPr>
          <w:cantSplit/>
        </w:trPr>
        <w:tc>
          <w:tcPr>
            <w:tcW w:w="1769" w:type="pct"/>
            <w:shd w:val="clear" w:color="auto" w:fill="auto"/>
            <w:tcMar>
              <w:top w:w="113" w:type="dxa"/>
              <w:bottom w:w="113" w:type="dxa"/>
            </w:tcMar>
          </w:tcPr>
          <w:p w:rsidR="00975790" w:rsidRPr="00A32AF4" w:rsidRDefault="00975790" w:rsidP="00DC0553">
            <w:pPr>
              <w:rPr>
                <w:rFonts w:cs="Arial"/>
                <w:sz w:val="16"/>
                <w:szCs w:val="16"/>
              </w:rPr>
            </w:pPr>
          </w:p>
        </w:tc>
        <w:tc>
          <w:tcPr>
            <w:tcW w:w="2161" w:type="pct"/>
            <w:shd w:val="clear" w:color="auto" w:fill="auto"/>
            <w:tcMar>
              <w:top w:w="113" w:type="dxa"/>
              <w:bottom w:w="113" w:type="dxa"/>
            </w:tcMar>
          </w:tcPr>
          <w:p w:rsidR="00975790" w:rsidRPr="00A32AF4" w:rsidRDefault="00975790" w:rsidP="00DC0553">
            <w:pPr>
              <w:rPr>
                <w:sz w:val="16"/>
                <w:szCs w:val="16"/>
              </w:rPr>
            </w:pPr>
            <w:r w:rsidRPr="00A32AF4">
              <w:rPr>
                <w:sz w:val="16"/>
                <w:szCs w:val="16"/>
              </w:rPr>
              <w:t>Coût unitaire</w:t>
            </w:r>
            <w:r w:rsidR="009D0518" w:rsidRPr="00A32AF4">
              <w:rPr>
                <w:sz w:val="16"/>
                <w:szCs w:val="16"/>
              </w:rPr>
              <w:t xml:space="preserve"> (Madrid)</w:t>
            </w:r>
          </w:p>
        </w:tc>
        <w:tc>
          <w:tcPr>
            <w:tcW w:w="1070" w:type="pct"/>
            <w:shd w:val="clear" w:color="auto" w:fill="FFFFFF"/>
            <w:tcMar>
              <w:top w:w="113" w:type="dxa"/>
              <w:bottom w:w="113" w:type="dxa"/>
            </w:tcMar>
          </w:tcPr>
          <w:p w:rsidR="00975790" w:rsidRPr="00A32AF4" w:rsidRDefault="00975790" w:rsidP="00DC0553">
            <w:pPr>
              <w:jc w:val="center"/>
              <w:rPr>
                <w:rFonts w:cs="Arial"/>
                <w:sz w:val="16"/>
                <w:szCs w:val="16"/>
                <w:lang w:bidi="th-TH"/>
              </w:rPr>
            </w:pPr>
            <w:r w:rsidRPr="00A32AF4">
              <w:rPr>
                <w:rFonts w:cs="Arial"/>
                <w:sz w:val="16"/>
                <w:szCs w:val="16"/>
                <w:lang w:bidi="th-TH"/>
              </w:rPr>
              <w:t>Programme 6</w:t>
            </w:r>
          </w:p>
        </w:tc>
      </w:tr>
      <w:tr w:rsidR="005808EF" w:rsidRPr="00A32AF4" w:rsidTr="000D0EE9">
        <w:trPr>
          <w:cantSplit/>
        </w:trPr>
        <w:tc>
          <w:tcPr>
            <w:tcW w:w="1769" w:type="pct"/>
            <w:shd w:val="clear" w:color="auto" w:fill="auto"/>
            <w:tcMar>
              <w:top w:w="113" w:type="dxa"/>
              <w:bottom w:w="113" w:type="dxa"/>
            </w:tcMar>
          </w:tcPr>
          <w:p w:rsidR="00975790" w:rsidRPr="00A32AF4" w:rsidRDefault="00975790" w:rsidP="00DC0553">
            <w:pPr>
              <w:rPr>
                <w:rFonts w:cs="Arial"/>
                <w:sz w:val="16"/>
                <w:szCs w:val="16"/>
              </w:rPr>
            </w:pPr>
          </w:p>
        </w:tc>
        <w:tc>
          <w:tcPr>
            <w:tcW w:w="2161" w:type="pct"/>
            <w:shd w:val="clear" w:color="auto" w:fill="auto"/>
            <w:tcMar>
              <w:top w:w="113" w:type="dxa"/>
              <w:bottom w:w="113" w:type="dxa"/>
            </w:tcMar>
          </w:tcPr>
          <w:p w:rsidR="00975790" w:rsidRPr="00A32AF4" w:rsidRDefault="00975790" w:rsidP="00DC0553">
            <w:pPr>
              <w:rPr>
                <w:sz w:val="16"/>
                <w:szCs w:val="16"/>
              </w:rPr>
            </w:pPr>
            <w:r w:rsidRPr="00A32AF4">
              <w:rPr>
                <w:sz w:val="16"/>
                <w:szCs w:val="16"/>
              </w:rPr>
              <w:t>Rapidité des transactions</w:t>
            </w:r>
            <w:r w:rsidR="005808EF" w:rsidRPr="00A32AF4">
              <w:rPr>
                <w:sz w:val="16"/>
                <w:szCs w:val="16"/>
              </w:rPr>
              <w:t xml:space="preserve"> </w:t>
            </w:r>
            <w:r w:rsidR="005808EF" w:rsidRPr="00A32AF4">
              <w:rPr>
                <w:sz w:val="16"/>
                <w:szCs w:val="16"/>
              </w:rPr>
              <w:br/>
            </w:r>
            <w:r w:rsidRPr="00A32AF4">
              <w:rPr>
                <w:sz w:val="16"/>
                <w:szCs w:val="16"/>
              </w:rPr>
              <w:t>(jours)</w:t>
            </w:r>
            <w:r w:rsidR="00A91A41" w:rsidRPr="00A32AF4">
              <w:rPr>
                <w:sz w:val="16"/>
                <w:szCs w:val="16"/>
              </w:rPr>
              <w:t xml:space="preserve"> (Madrid)</w:t>
            </w:r>
          </w:p>
        </w:tc>
        <w:tc>
          <w:tcPr>
            <w:tcW w:w="1070" w:type="pct"/>
            <w:shd w:val="clear" w:color="auto" w:fill="FFFFFF"/>
            <w:tcMar>
              <w:top w:w="113" w:type="dxa"/>
              <w:bottom w:w="113" w:type="dxa"/>
            </w:tcMar>
          </w:tcPr>
          <w:p w:rsidR="00975790" w:rsidRPr="00A32AF4" w:rsidRDefault="00975790" w:rsidP="00DC0553">
            <w:pPr>
              <w:jc w:val="center"/>
              <w:rPr>
                <w:rFonts w:cs="Arial"/>
                <w:sz w:val="16"/>
                <w:szCs w:val="16"/>
                <w:lang w:bidi="th-TH"/>
              </w:rPr>
            </w:pPr>
            <w:r w:rsidRPr="00A32AF4">
              <w:rPr>
                <w:rFonts w:cs="Arial"/>
                <w:sz w:val="16"/>
                <w:szCs w:val="16"/>
                <w:lang w:bidi="th-TH"/>
              </w:rPr>
              <w:t>Programme 6</w:t>
            </w:r>
          </w:p>
        </w:tc>
      </w:tr>
      <w:tr w:rsidR="005808EF" w:rsidRPr="00A32AF4" w:rsidTr="000D0EE9">
        <w:trPr>
          <w:cantSplit/>
        </w:trPr>
        <w:tc>
          <w:tcPr>
            <w:tcW w:w="1769" w:type="pct"/>
            <w:shd w:val="clear" w:color="auto" w:fill="auto"/>
            <w:tcMar>
              <w:top w:w="113" w:type="dxa"/>
              <w:bottom w:w="113" w:type="dxa"/>
            </w:tcMar>
          </w:tcPr>
          <w:p w:rsidR="00975790" w:rsidRPr="00A32AF4" w:rsidRDefault="00975790" w:rsidP="00DC0553">
            <w:pPr>
              <w:rPr>
                <w:rFonts w:cs="Arial"/>
                <w:sz w:val="16"/>
                <w:szCs w:val="16"/>
              </w:rPr>
            </w:pPr>
          </w:p>
        </w:tc>
        <w:tc>
          <w:tcPr>
            <w:tcW w:w="2161" w:type="pct"/>
            <w:shd w:val="clear" w:color="auto" w:fill="auto"/>
            <w:tcMar>
              <w:top w:w="113" w:type="dxa"/>
              <w:bottom w:w="113" w:type="dxa"/>
            </w:tcMar>
          </w:tcPr>
          <w:p w:rsidR="00975790" w:rsidRPr="00A32AF4" w:rsidRDefault="00975790" w:rsidP="00DC0553">
            <w:pPr>
              <w:rPr>
                <w:sz w:val="16"/>
                <w:szCs w:val="16"/>
              </w:rPr>
            </w:pPr>
            <w:r w:rsidRPr="00A32AF4">
              <w:rPr>
                <w:sz w:val="16"/>
                <w:szCs w:val="16"/>
              </w:rPr>
              <w:t>Qualité</w:t>
            </w:r>
            <w:r w:rsidR="00A91A41" w:rsidRPr="00A32AF4">
              <w:rPr>
                <w:sz w:val="16"/>
                <w:szCs w:val="16"/>
              </w:rPr>
              <w:t xml:space="preserve"> (Madrid)</w:t>
            </w:r>
          </w:p>
        </w:tc>
        <w:tc>
          <w:tcPr>
            <w:tcW w:w="1070" w:type="pct"/>
            <w:shd w:val="clear" w:color="auto" w:fill="FFFFFF"/>
            <w:tcMar>
              <w:top w:w="113" w:type="dxa"/>
              <w:bottom w:w="113" w:type="dxa"/>
            </w:tcMar>
          </w:tcPr>
          <w:p w:rsidR="00975790" w:rsidRPr="00A32AF4" w:rsidRDefault="00975790" w:rsidP="00DC0553">
            <w:pPr>
              <w:jc w:val="center"/>
              <w:rPr>
                <w:rFonts w:cs="Arial"/>
                <w:sz w:val="16"/>
                <w:szCs w:val="16"/>
                <w:lang w:bidi="th-TH"/>
              </w:rPr>
            </w:pPr>
            <w:r w:rsidRPr="00A32AF4">
              <w:rPr>
                <w:rFonts w:cs="Arial"/>
                <w:sz w:val="16"/>
                <w:szCs w:val="16"/>
                <w:lang w:bidi="th-TH"/>
              </w:rPr>
              <w:t>Programme 6</w:t>
            </w:r>
          </w:p>
        </w:tc>
      </w:tr>
      <w:tr w:rsidR="005808EF" w:rsidRPr="00A32AF4" w:rsidTr="000D0EE9">
        <w:trPr>
          <w:cantSplit/>
        </w:trPr>
        <w:tc>
          <w:tcPr>
            <w:tcW w:w="1769" w:type="pct"/>
            <w:shd w:val="clear" w:color="auto" w:fill="auto"/>
            <w:tcMar>
              <w:top w:w="113" w:type="dxa"/>
              <w:bottom w:w="113" w:type="dxa"/>
            </w:tcMar>
          </w:tcPr>
          <w:p w:rsidR="00975790" w:rsidRPr="00A32AF4" w:rsidRDefault="00975790" w:rsidP="00DC0553">
            <w:pPr>
              <w:rPr>
                <w:rFonts w:cs="Arial"/>
                <w:sz w:val="16"/>
                <w:szCs w:val="16"/>
              </w:rPr>
            </w:pPr>
          </w:p>
        </w:tc>
        <w:tc>
          <w:tcPr>
            <w:tcW w:w="2161" w:type="pct"/>
            <w:shd w:val="clear" w:color="auto" w:fill="auto"/>
            <w:tcMar>
              <w:top w:w="113" w:type="dxa"/>
              <w:bottom w:w="113" w:type="dxa"/>
            </w:tcMar>
          </w:tcPr>
          <w:p w:rsidR="00975790" w:rsidRPr="00A32AF4" w:rsidRDefault="00975790" w:rsidP="00DC0553">
            <w:pPr>
              <w:rPr>
                <w:sz w:val="16"/>
                <w:szCs w:val="16"/>
              </w:rPr>
            </w:pPr>
            <w:r w:rsidRPr="00A32AF4">
              <w:rPr>
                <w:sz w:val="16"/>
                <w:szCs w:val="16"/>
              </w:rPr>
              <w:t>Amélioration du fonctionnement du Service d</w:t>
            </w:r>
            <w:r w:rsidR="00E2055A" w:rsidRPr="00A32AF4">
              <w:rPr>
                <w:sz w:val="16"/>
                <w:szCs w:val="16"/>
              </w:rPr>
              <w:t>’</w:t>
            </w:r>
            <w:r w:rsidRPr="00A32AF4">
              <w:rPr>
                <w:sz w:val="16"/>
                <w:szCs w:val="16"/>
              </w:rPr>
              <w:t xml:space="preserve">enregistrement de Madrid, </w:t>
            </w:r>
            <w:r w:rsidR="00E2055A" w:rsidRPr="00A32AF4">
              <w:rPr>
                <w:sz w:val="16"/>
                <w:szCs w:val="16"/>
              </w:rPr>
              <w:t>y compris</w:t>
            </w:r>
            <w:r w:rsidRPr="00A32AF4">
              <w:rPr>
                <w:sz w:val="16"/>
                <w:szCs w:val="16"/>
              </w:rPr>
              <w:t xml:space="preserve"> des processus et des procédures électroniques </w:t>
            </w:r>
          </w:p>
        </w:tc>
        <w:tc>
          <w:tcPr>
            <w:tcW w:w="1070" w:type="pct"/>
            <w:shd w:val="clear" w:color="auto" w:fill="FFFFFF"/>
            <w:tcMar>
              <w:top w:w="113" w:type="dxa"/>
              <w:bottom w:w="113" w:type="dxa"/>
            </w:tcMar>
          </w:tcPr>
          <w:p w:rsidR="00975790" w:rsidRPr="00A32AF4" w:rsidRDefault="00975790" w:rsidP="00DC0553">
            <w:pPr>
              <w:jc w:val="center"/>
              <w:rPr>
                <w:rFonts w:cs="Arial"/>
                <w:sz w:val="16"/>
                <w:szCs w:val="16"/>
                <w:lang w:bidi="th-TH"/>
              </w:rPr>
            </w:pPr>
            <w:r w:rsidRPr="00A32AF4">
              <w:rPr>
                <w:rFonts w:cs="Arial"/>
                <w:sz w:val="16"/>
                <w:szCs w:val="16"/>
                <w:lang w:bidi="th-TH"/>
              </w:rPr>
              <w:t>Programme 6</w:t>
            </w:r>
          </w:p>
        </w:tc>
      </w:tr>
      <w:tr w:rsidR="005808EF" w:rsidRPr="00A32AF4" w:rsidTr="000D0EE9">
        <w:trPr>
          <w:cantSplit/>
        </w:trPr>
        <w:tc>
          <w:tcPr>
            <w:tcW w:w="1769" w:type="pct"/>
            <w:shd w:val="clear" w:color="auto" w:fill="auto"/>
            <w:tcMar>
              <w:top w:w="113" w:type="dxa"/>
              <w:bottom w:w="113" w:type="dxa"/>
            </w:tcMar>
          </w:tcPr>
          <w:p w:rsidR="003463A9" w:rsidRPr="00A32AF4" w:rsidRDefault="003463A9" w:rsidP="00DC0553">
            <w:pPr>
              <w:rPr>
                <w:rFonts w:cs="Arial"/>
                <w:sz w:val="16"/>
                <w:szCs w:val="16"/>
              </w:rPr>
            </w:pPr>
          </w:p>
        </w:tc>
        <w:tc>
          <w:tcPr>
            <w:tcW w:w="2161" w:type="pct"/>
            <w:shd w:val="clear" w:color="auto" w:fill="auto"/>
            <w:tcMar>
              <w:top w:w="113" w:type="dxa"/>
              <w:bottom w:w="113" w:type="dxa"/>
            </w:tcMar>
          </w:tcPr>
          <w:p w:rsidR="003463A9" w:rsidRPr="00A32AF4" w:rsidRDefault="003463A9" w:rsidP="00DC0553">
            <w:pPr>
              <w:rPr>
                <w:sz w:val="16"/>
                <w:szCs w:val="16"/>
              </w:rPr>
            </w:pPr>
            <w:r w:rsidRPr="00A32AF4">
              <w:rPr>
                <w:sz w:val="16"/>
                <w:szCs w:val="16"/>
              </w:rPr>
              <w:t>Stabilité des services informatiques d</w:t>
            </w:r>
            <w:r w:rsidR="00E2055A" w:rsidRPr="00A32AF4">
              <w:rPr>
                <w:sz w:val="16"/>
                <w:szCs w:val="16"/>
              </w:rPr>
              <w:t>’</w:t>
            </w:r>
            <w:r w:rsidRPr="00A32AF4">
              <w:rPr>
                <w:sz w:val="16"/>
                <w:szCs w:val="16"/>
              </w:rPr>
              <w:t>appui dans le cadre du système de Madrid</w:t>
            </w:r>
          </w:p>
        </w:tc>
        <w:tc>
          <w:tcPr>
            <w:tcW w:w="1070" w:type="pct"/>
            <w:shd w:val="clear" w:color="auto" w:fill="FFFFFF"/>
            <w:tcMar>
              <w:top w:w="113" w:type="dxa"/>
              <w:bottom w:w="113" w:type="dxa"/>
            </w:tcMar>
          </w:tcPr>
          <w:p w:rsidR="003463A9" w:rsidRPr="00A32AF4" w:rsidRDefault="003463A9" w:rsidP="00DC0553">
            <w:pPr>
              <w:jc w:val="center"/>
              <w:rPr>
                <w:rFonts w:cs="Arial"/>
                <w:sz w:val="16"/>
                <w:szCs w:val="16"/>
                <w:lang w:bidi="th-TH"/>
              </w:rPr>
            </w:pPr>
            <w:r w:rsidRPr="00A32AF4">
              <w:rPr>
                <w:rFonts w:cs="Arial"/>
                <w:sz w:val="16"/>
                <w:szCs w:val="16"/>
                <w:lang w:bidi="th-TH"/>
              </w:rPr>
              <w:t>Programme 6</w:t>
            </w:r>
          </w:p>
        </w:tc>
      </w:tr>
      <w:tr w:rsidR="005808EF" w:rsidRPr="00A32AF4" w:rsidTr="000D0EE9">
        <w:trPr>
          <w:cantSplit/>
        </w:trPr>
        <w:tc>
          <w:tcPr>
            <w:tcW w:w="1769" w:type="pct"/>
            <w:shd w:val="clear" w:color="auto" w:fill="auto"/>
            <w:tcMar>
              <w:top w:w="113" w:type="dxa"/>
              <w:bottom w:w="113" w:type="dxa"/>
            </w:tcMar>
          </w:tcPr>
          <w:p w:rsidR="003463A9" w:rsidRPr="00A32AF4" w:rsidRDefault="003463A9" w:rsidP="00DC0553">
            <w:pPr>
              <w:rPr>
                <w:rFonts w:cs="Arial"/>
                <w:sz w:val="16"/>
                <w:szCs w:val="16"/>
              </w:rPr>
            </w:pPr>
          </w:p>
        </w:tc>
        <w:tc>
          <w:tcPr>
            <w:tcW w:w="2161" w:type="pct"/>
            <w:shd w:val="clear" w:color="auto" w:fill="auto"/>
            <w:tcMar>
              <w:top w:w="113" w:type="dxa"/>
              <w:bottom w:w="113" w:type="dxa"/>
            </w:tcMar>
          </w:tcPr>
          <w:p w:rsidR="003463A9" w:rsidRPr="00A32AF4" w:rsidRDefault="003463A9" w:rsidP="00DC0553">
            <w:pPr>
              <w:rPr>
                <w:sz w:val="16"/>
                <w:szCs w:val="16"/>
              </w:rPr>
            </w:pPr>
            <w:r w:rsidRPr="00A32AF4">
              <w:rPr>
                <w:sz w:val="16"/>
                <w:szCs w:val="16"/>
              </w:rPr>
              <w:t>3 versions installées du système MIRIS et 3 versions installées du système Madrid eFiling (IRPI)</w:t>
            </w:r>
          </w:p>
        </w:tc>
        <w:tc>
          <w:tcPr>
            <w:tcW w:w="1070" w:type="pct"/>
            <w:shd w:val="clear" w:color="auto" w:fill="FFFFFF"/>
            <w:tcMar>
              <w:top w:w="113" w:type="dxa"/>
              <w:bottom w:w="113" w:type="dxa"/>
            </w:tcMar>
          </w:tcPr>
          <w:p w:rsidR="003463A9" w:rsidRPr="00A32AF4" w:rsidRDefault="003463A9" w:rsidP="00DC0553">
            <w:pPr>
              <w:jc w:val="center"/>
              <w:rPr>
                <w:rFonts w:cs="Arial"/>
                <w:sz w:val="16"/>
                <w:szCs w:val="16"/>
                <w:lang w:bidi="th-TH"/>
              </w:rPr>
            </w:pPr>
            <w:r w:rsidRPr="00A32AF4">
              <w:rPr>
                <w:rFonts w:cs="Arial"/>
                <w:sz w:val="16"/>
                <w:szCs w:val="16"/>
                <w:lang w:bidi="th-TH"/>
              </w:rPr>
              <w:t>Programme 6</w:t>
            </w:r>
          </w:p>
        </w:tc>
      </w:tr>
      <w:tr w:rsidR="005808EF" w:rsidRPr="00A32AF4" w:rsidTr="000D0EE9">
        <w:trPr>
          <w:cantSplit/>
        </w:trPr>
        <w:tc>
          <w:tcPr>
            <w:tcW w:w="1769" w:type="pct"/>
            <w:shd w:val="clear" w:color="auto" w:fill="auto"/>
            <w:tcMar>
              <w:top w:w="113" w:type="dxa"/>
              <w:bottom w:w="113" w:type="dxa"/>
            </w:tcMar>
          </w:tcPr>
          <w:p w:rsidR="003463A9" w:rsidRPr="00A32AF4" w:rsidRDefault="003463A9" w:rsidP="00DC0553">
            <w:pPr>
              <w:rPr>
                <w:rFonts w:cs="Arial"/>
                <w:sz w:val="16"/>
                <w:szCs w:val="16"/>
              </w:rPr>
            </w:pPr>
            <w:r w:rsidRPr="00A32AF4">
              <w:rPr>
                <w:rFonts w:cs="Arial"/>
                <w:sz w:val="16"/>
                <w:szCs w:val="16"/>
              </w:rPr>
              <w:t>II.8 De plus en plus de litiges internationaux ou nationaux de propriété intellectuelle sont évités ou réglés par la médiation, l</w:t>
            </w:r>
            <w:r w:rsidR="00E2055A" w:rsidRPr="00A32AF4">
              <w:rPr>
                <w:rFonts w:cs="Arial"/>
                <w:sz w:val="16"/>
                <w:szCs w:val="16"/>
              </w:rPr>
              <w:t>’</w:t>
            </w:r>
            <w:r w:rsidRPr="00A32AF4">
              <w:rPr>
                <w:rFonts w:cs="Arial"/>
                <w:sz w:val="16"/>
                <w:szCs w:val="16"/>
              </w:rPr>
              <w:t>arbitrage et les autres modes extrajudiciaires de règlement des litiges de l</w:t>
            </w:r>
            <w:r w:rsidR="00E2055A" w:rsidRPr="00A32AF4">
              <w:rPr>
                <w:rFonts w:cs="Arial"/>
                <w:sz w:val="16"/>
                <w:szCs w:val="16"/>
              </w:rPr>
              <w:t>’</w:t>
            </w:r>
            <w:r w:rsidRPr="00A32AF4">
              <w:rPr>
                <w:rFonts w:cs="Arial"/>
                <w:sz w:val="16"/>
                <w:szCs w:val="16"/>
              </w:rPr>
              <w:t>OMPI</w:t>
            </w:r>
          </w:p>
        </w:tc>
        <w:tc>
          <w:tcPr>
            <w:tcW w:w="2161" w:type="pct"/>
            <w:shd w:val="clear" w:color="auto" w:fill="auto"/>
            <w:tcMar>
              <w:top w:w="113" w:type="dxa"/>
              <w:bottom w:w="113" w:type="dxa"/>
            </w:tcMar>
          </w:tcPr>
          <w:p w:rsidR="003463A9" w:rsidRPr="00A32AF4" w:rsidRDefault="00442CEC" w:rsidP="00A02EB5">
            <w:pPr>
              <w:rPr>
                <w:rFonts w:cs="Arial"/>
                <w:sz w:val="16"/>
                <w:szCs w:val="16"/>
              </w:rPr>
            </w:pPr>
            <w:r w:rsidRPr="00A32AF4">
              <w:rPr>
                <w:rFonts w:cs="Arial"/>
                <w:sz w:val="16"/>
                <w:szCs w:val="16"/>
              </w:rPr>
              <w:t>Utilisation accrue de services et de clauses de règlement extrajudiciaire des litiges dans les transactions et les enregistrements de titres de propriété intellectuelle, notamment par le recours aux procédures de l</w:t>
            </w:r>
            <w:r w:rsidR="00E2055A" w:rsidRPr="00A32AF4">
              <w:rPr>
                <w:rFonts w:cs="Arial"/>
                <w:sz w:val="16"/>
                <w:szCs w:val="16"/>
              </w:rPr>
              <w:t>’</w:t>
            </w:r>
            <w:r w:rsidRPr="00A32AF4">
              <w:rPr>
                <w:rFonts w:cs="Arial"/>
                <w:sz w:val="16"/>
                <w:szCs w:val="16"/>
              </w:rPr>
              <w:t>OMPI</w:t>
            </w:r>
          </w:p>
        </w:tc>
        <w:tc>
          <w:tcPr>
            <w:tcW w:w="1070" w:type="pct"/>
            <w:shd w:val="clear" w:color="auto" w:fill="FFFFFF"/>
            <w:tcMar>
              <w:top w:w="113" w:type="dxa"/>
              <w:bottom w:w="113" w:type="dxa"/>
            </w:tcMar>
          </w:tcPr>
          <w:p w:rsidR="003463A9" w:rsidRPr="00A32AF4" w:rsidRDefault="003463A9" w:rsidP="00A02EB5">
            <w:pPr>
              <w:jc w:val="center"/>
              <w:rPr>
                <w:rFonts w:cs="Arial"/>
                <w:sz w:val="16"/>
                <w:szCs w:val="16"/>
                <w:lang w:bidi="th-TH"/>
              </w:rPr>
            </w:pPr>
            <w:r w:rsidRPr="00A32AF4">
              <w:rPr>
                <w:rFonts w:cs="Arial"/>
                <w:sz w:val="16"/>
                <w:szCs w:val="16"/>
                <w:lang w:bidi="th-TH"/>
              </w:rPr>
              <w:t>Programme 7</w:t>
            </w:r>
          </w:p>
        </w:tc>
      </w:tr>
      <w:tr w:rsidR="00A02EB5" w:rsidRPr="00A32AF4" w:rsidTr="000D0EE9">
        <w:trPr>
          <w:cantSplit/>
        </w:trPr>
        <w:tc>
          <w:tcPr>
            <w:tcW w:w="1769" w:type="pct"/>
            <w:shd w:val="clear" w:color="auto" w:fill="auto"/>
            <w:tcMar>
              <w:top w:w="113" w:type="dxa"/>
              <w:bottom w:w="113" w:type="dxa"/>
            </w:tcMar>
          </w:tcPr>
          <w:p w:rsidR="00A02EB5" w:rsidRPr="00A32AF4" w:rsidRDefault="00A02EB5" w:rsidP="00DC0553">
            <w:pPr>
              <w:rPr>
                <w:rFonts w:cs="Arial"/>
                <w:sz w:val="16"/>
                <w:szCs w:val="16"/>
              </w:rPr>
            </w:pPr>
          </w:p>
        </w:tc>
        <w:tc>
          <w:tcPr>
            <w:tcW w:w="2161" w:type="pct"/>
            <w:shd w:val="clear" w:color="auto" w:fill="auto"/>
            <w:tcMar>
              <w:top w:w="113" w:type="dxa"/>
              <w:bottom w:w="113" w:type="dxa"/>
            </w:tcMar>
          </w:tcPr>
          <w:p w:rsidR="00A02EB5" w:rsidRPr="00A32AF4" w:rsidRDefault="00A02EB5" w:rsidP="00DC0553">
            <w:pPr>
              <w:rPr>
                <w:rFonts w:cs="Arial"/>
                <w:sz w:val="16"/>
                <w:szCs w:val="16"/>
              </w:rPr>
            </w:pPr>
            <w:r w:rsidRPr="00A32AF4">
              <w:rPr>
                <w:rFonts w:cs="Arial"/>
                <w:sz w:val="16"/>
                <w:szCs w:val="16"/>
              </w:rPr>
              <w:t xml:space="preserve">Politiques de règlement extrajudiciaire des litiges pour </w:t>
            </w:r>
            <w:r w:rsidR="001A00FE" w:rsidRPr="00A32AF4">
              <w:rPr>
                <w:rFonts w:cs="Arial"/>
                <w:sz w:val="16"/>
                <w:szCs w:val="16"/>
              </w:rPr>
              <w:t>lesquelles</w:t>
            </w:r>
            <w:r w:rsidRPr="00A32AF4">
              <w:rPr>
                <w:rFonts w:cs="Arial"/>
                <w:sz w:val="16"/>
                <w:szCs w:val="16"/>
              </w:rPr>
              <w:t xml:space="preserve"> le Centre a contribué à l</w:t>
            </w:r>
            <w:r w:rsidR="00E2055A" w:rsidRPr="00A32AF4">
              <w:rPr>
                <w:rFonts w:cs="Arial"/>
                <w:sz w:val="16"/>
                <w:szCs w:val="16"/>
              </w:rPr>
              <w:t>’</w:t>
            </w:r>
            <w:r w:rsidRPr="00A32AF4">
              <w:rPr>
                <w:rFonts w:cs="Arial"/>
                <w:sz w:val="16"/>
                <w:szCs w:val="16"/>
              </w:rPr>
              <w:t>élaboration et à la mise en œuvre</w:t>
            </w:r>
          </w:p>
        </w:tc>
        <w:tc>
          <w:tcPr>
            <w:tcW w:w="1070" w:type="pct"/>
            <w:shd w:val="clear" w:color="auto" w:fill="FFFFFF"/>
            <w:tcMar>
              <w:top w:w="113" w:type="dxa"/>
              <w:bottom w:w="113" w:type="dxa"/>
            </w:tcMar>
          </w:tcPr>
          <w:p w:rsidR="00A02EB5" w:rsidRPr="00A32AF4" w:rsidRDefault="00A02EB5" w:rsidP="00DC0553">
            <w:pPr>
              <w:jc w:val="center"/>
              <w:rPr>
                <w:rFonts w:cs="Arial"/>
                <w:sz w:val="16"/>
                <w:szCs w:val="16"/>
                <w:lang w:bidi="th-TH"/>
              </w:rPr>
            </w:pPr>
            <w:r w:rsidRPr="00A32AF4">
              <w:rPr>
                <w:rFonts w:cs="Arial"/>
                <w:sz w:val="16"/>
                <w:szCs w:val="16"/>
                <w:lang w:bidi="th-TH"/>
              </w:rPr>
              <w:t>Programme 7</w:t>
            </w:r>
          </w:p>
        </w:tc>
      </w:tr>
      <w:tr w:rsidR="00A02EB5" w:rsidRPr="00A32AF4" w:rsidTr="000D0EE9">
        <w:trPr>
          <w:cantSplit/>
        </w:trPr>
        <w:tc>
          <w:tcPr>
            <w:tcW w:w="1769" w:type="pct"/>
            <w:shd w:val="clear" w:color="auto" w:fill="auto"/>
            <w:tcMar>
              <w:top w:w="113" w:type="dxa"/>
              <w:bottom w:w="113" w:type="dxa"/>
            </w:tcMar>
          </w:tcPr>
          <w:p w:rsidR="00A02EB5" w:rsidRPr="00A32AF4" w:rsidRDefault="00A02EB5" w:rsidP="00DC0553">
            <w:pPr>
              <w:rPr>
                <w:rFonts w:cs="Arial"/>
                <w:sz w:val="16"/>
                <w:szCs w:val="16"/>
              </w:rPr>
            </w:pPr>
          </w:p>
        </w:tc>
        <w:tc>
          <w:tcPr>
            <w:tcW w:w="2161" w:type="pct"/>
            <w:shd w:val="clear" w:color="auto" w:fill="auto"/>
            <w:tcMar>
              <w:top w:w="113" w:type="dxa"/>
              <w:bottom w:w="113" w:type="dxa"/>
            </w:tcMar>
          </w:tcPr>
          <w:p w:rsidR="00A02EB5" w:rsidRPr="00A32AF4" w:rsidRDefault="00A02EB5" w:rsidP="00A02EB5">
            <w:pPr>
              <w:rPr>
                <w:rFonts w:cs="Arial"/>
                <w:sz w:val="16"/>
                <w:szCs w:val="16"/>
              </w:rPr>
            </w:pPr>
            <w:r w:rsidRPr="00A32AF4">
              <w:rPr>
                <w:sz w:val="16"/>
                <w:szCs w:val="16"/>
              </w:rPr>
              <w:t>Nombre de litiges en matière de propriété intellectuelle originaires de pays en transition ou de pays développés ayant été prévenus/réglés grâce à la médiation, à l</w:t>
            </w:r>
            <w:r w:rsidR="00E2055A" w:rsidRPr="00A32AF4">
              <w:rPr>
                <w:sz w:val="16"/>
                <w:szCs w:val="16"/>
              </w:rPr>
              <w:t>’</w:t>
            </w:r>
            <w:r w:rsidRPr="00A32AF4">
              <w:rPr>
                <w:sz w:val="16"/>
                <w:szCs w:val="16"/>
              </w:rPr>
              <w:t>arbitrage et à d</w:t>
            </w:r>
            <w:r w:rsidR="00E2055A" w:rsidRPr="00A32AF4">
              <w:rPr>
                <w:sz w:val="16"/>
                <w:szCs w:val="16"/>
              </w:rPr>
              <w:t>’</w:t>
            </w:r>
            <w:r w:rsidRPr="00A32AF4">
              <w:rPr>
                <w:sz w:val="16"/>
                <w:szCs w:val="16"/>
              </w:rPr>
              <w:t>autres modes extrajudiciaires de règlement des litiges de l</w:t>
            </w:r>
            <w:r w:rsidR="00E2055A" w:rsidRPr="00A32AF4">
              <w:rPr>
                <w:sz w:val="16"/>
                <w:szCs w:val="16"/>
              </w:rPr>
              <w:t>’</w:t>
            </w:r>
            <w:r w:rsidRPr="00A32AF4">
              <w:rPr>
                <w:sz w:val="16"/>
                <w:szCs w:val="16"/>
              </w:rPr>
              <w:t>OMPI</w:t>
            </w:r>
          </w:p>
        </w:tc>
        <w:tc>
          <w:tcPr>
            <w:tcW w:w="1070" w:type="pct"/>
            <w:shd w:val="clear" w:color="auto" w:fill="FFFFFF"/>
            <w:tcMar>
              <w:top w:w="113" w:type="dxa"/>
              <w:bottom w:w="113" w:type="dxa"/>
            </w:tcMar>
          </w:tcPr>
          <w:p w:rsidR="00A02EB5" w:rsidRPr="00A32AF4" w:rsidRDefault="00A02EB5" w:rsidP="00A02EB5">
            <w:pPr>
              <w:jc w:val="center"/>
              <w:rPr>
                <w:rFonts w:cs="Arial"/>
                <w:sz w:val="16"/>
                <w:szCs w:val="16"/>
                <w:lang w:bidi="th-TH"/>
              </w:rPr>
            </w:pPr>
            <w:r w:rsidRPr="00A32AF4">
              <w:rPr>
                <w:rFonts w:cs="Arial"/>
                <w:sz w:val="16"/>
                <w:szCs w:val="16"/>
                <w:lang w:bidi="th-TH"/>
              </w:rPr>
              <w:t>Programme 10</w:t>
            </w:r>
          </w:p>
        </w:tc>
      </w:tr>
      <w:tr w:rsidR="005808EF" w:rsidRPr="00A32AF4" w:rsidTr="000D0EE9">
        <w:trPr>
          <w:cantSplit/>
        </w:trPr>
        <w:tc>
          <w:tcPr>
            <w:tcW w:w="1769" w:type="pct"/>
            <w:shd w:val="clear" w:color="auto" w:fill="auto"/>
            <w:tcMar>
              <w:top w:w="113" w:type="dxa"/>
              <w:bottom w:w="113" w:type="dxa"/>
            </w:tcMar>
          </w:tcPr>
          <w:p w:rsidR="003463A9" w:rsidRPr="00A32AF4" w:rsidRDefault="003463A9" w:rsidP="00DC0553">
            <w:pPr>
              <w:rPr>
                <w:rFonts w:cs="Arial"/>
                <w:sz w:val="16"/>
                <w:szCs w:val="16"/>
              </w:rPr>
            </w:pPr>
          </w:p>
        </w:tc>
        <w:tc>
          <w:tcPr>
            <w:tcW w:w="2161" w:type="pct"/>
            <w:shd w:val="clear" w:color="auto" w:fill="auto"/>
            <w:tcMar>
              <w:top w:w="113" w:type="dxa"/>
              <w:bottom w:w="113" w:type="dxa"/>
            </w:tcMar>
          </w:tcPr>
          <w:p w:rsidR="003463A9" w:rsidRPr="00A32AF4" w:rsidRDefault="00486722" w:rsidP="00DC0553">
            <w:pPr>
              <w:rPr>
                <w:rFonts w:cs="Arial"/>
                <w:sz w:val="16"/>
                <w:szCs w:val="16"/>
              </w:rPr>
            </w:pPr>
            <w:r w:rsidRPr="00A32AF4">
              <w:rPr>
                <w:rFonts w:cs="Arial"/>
                <w:sz w:val="16"/>
                <w:szCs w:val="16"/>
              </w:rPr>
              <w:t>Prise en considération accrue de l</w:t>
            </w:r>
            <w:r w:rsidR="00E2055A" w:rsidRPr="00A32AF4">
              <w:rPr>
                <w:rFonts w:cs="Arial"/>
                <w:sz w:val="16"/>
                <w:szCs w:val="16"/>
              </w:rPr>
              <w:t>’</w:t>
            </w:r>
            <w:r w:rsidRPr="00A32AF4">
              <w:rPr>
                <w:rFonts w:cs="Arial"/>
                <w:sz w:val="16"/>
                <w:szCs w:val="16"/>
              </w:rPr>
              <w:t>utilisation de services de règlement extrajudiciaire des litiges dans les transactions de propriété intellectuelle, notamment par le recours aux procédures de l</w:t>
            </w:r>
            <w:r w:rsidR="00E2055A" w:rsidRPr="00A32AF4">
              <w:rPr>
                <w:rFonts w:cs="Arial"/>
                <w:sz w:val="16"/>
                <w:szCs w:val="16"/>
              </w:rPr>
              <w:t>’</w:t>
            </w:r>
            <w:r w:rsidRPr="00A32AF4">
              <w:rPr>
                <w:rFonts w:cs="Arial"/>
                <w:sz w:val="16"/>
                <w:szCs w:val="16"/>
              </w:rPr>
              <w:t>OMPI</w:t>
            </w:r>
          </w:p>
        </w:tc>
        <w:tc>
          <w:tcPr>
            <w:tcW w:w="1070" w:type="pct"/>
            <w:shd w:val="clear" w:color="auto" w:fill="FFFFFF"/>
            <w:tcMar>
              <w:top w:w="113" w:type="dxa"/>
              <w:bottom w:w="113" w:type="dxa"/>
            </w:tcMar>
          </w:tcPr>
          <w:p w:rsidR="003463A9" w:rsidRPr="00A32AF4" w:rsidRDefault="003463A9" w:rsidP="00DC0553">
            <w:pPr>
              <w:jc w:val="center"/>
              <w:rPr>
                <w:rFonts w:cs="Arial"/>
                <w:sz w:val="16"/>
                <w:szCs w:val="16"/>
                <w:lang w:bidi="th-TH"/>
              </w:rPr>
            </w:pPr>
            <w:r w:rsidRPr="00A32AF4">
              <w:rPr>
                <w:rFonts w:cs="Arial"/>
                <w:sz w:val="16"/>
                <w:szCs w:val="16"/>
                <w:lang w:bidi="th-TH"/>
              </w:rPr>
              <w:t>Programme 20</w:t>
            </w:r>
          </w:p>
        </w:tc>
      </w:tr>
      <w:tr w:rsidR="005808EF" w:rsidRPr="00A32AF4" w:rsidTr="000D0EE9">
        <w:trPr>
          <w:cantSplit/>
        </w:trPr>
        <w:tc>
          <w:tcPr>
            <w:tcW w:w="1769" w:type="pct"/>
            <w:shd w:val="clear" w:color="auto" w:fill="auto"/>
            <w:tcMar>
              <w:top w:w="113" w:type="dxa"/>
              <w:bottom w:w="113" w:type="dxa"/>
            </w:tcMar>
          </w:tcPr>
          <w:p w:rsidR="003463A9" w:rsidRPr="00A32AF4" w:rsidRDefault="003463A9" w:rsidP="00DC0553">
            <w:pPr>
              <w:rPr>
                <w:rFonts w:cs="Arial"/>
                <w:sz w:val="16"/>
                <w:szCs w:val="16"/>
              </w:rPr>
            </w:pPr>
            <w:r w:rsidRPr="00A32AF4">
              <w:rPr>
                <w:rFonts w:cs="Arial"/>
                <w:sz w:val="16"/>
                <w:szCs w:val="16"/>
              </w:rPr>
              <w:t>II.9 Protection efficace de la propriété intellectuelle dans les gTLD et les ccTLD</w:t>
            </w:r>
          </w:p>
        </w:tc>
        <w:tc>
          <w:tcPr>
            <w:tcW w:w="2161" w:type="pct"/>
            <w:shd w:val="clear" w:color="auto" w:fill="auto"/>
            <w:tcMar>
              <w:top w:w="113" w:type="dxa"/>
              <w:bottom w:w="113" w:type="dxa"/>
            </w:tcMar>
          </w:tcPr>
          <w:p w:rsidR="003463A9" w:rsidRPr="00A32AF4" w:rsidRDefault="00442CEC" w:rsidP="00DC0553">
            <w:pPr>
              <w:rPr>
                <w:rFonts w:cs="Arial"/>
                <w:sz w:val="16"/>
                <w:szCs w:val="16"/>
              </w:rPr>
            </w:pPr>
            <w:r w:rsidRPr="00A32AF4">
              <w:rPr>
                <w:rFonts w:cs="Arial"/>
                <w:sz w:val="16"/>
                <w:szCs w:val="16"/>
              </w:rPr>
              <w:t>Nombre de litiges relatifs à des gTLD et des ccTLD administrés par le Centre au titre des principes UDRP</w:t>
            </w:r>
          </w:p>
        </w:tc>
        <w:tc>
          <w:tcPr>
            <w:tcW w:w="1070" w:type="pct"/>
            <w:shd w:val="clear" w:color="auto" w:fill="FFFFFF"/>
            <w:tcMar>
              <w:top w:w="113" w:type="dxa"/>
              <w:bottom w:w="113" w:type="dxa"/>
            </w:tcMar>
          </w:tcPr>
          <w:p w:rsidR="003463A9" w:rsidRPr="00A32AF4" w:rsidRDefault="003463A9" w:rsidP="00DC0553">
            <w:pPr>
              <w:jc w:val="center"/>
              <w:rPr>
                <w:rFonts w:cs="Arial"/>
                <w:sz w:val="16"/>
                <w:szCs w:val="16"/>
                <w:lang w:bidi="th-TH"/>
              </w:rPr>
            </w:pPr>
            <w:r w:rsidRPr="00A32AF4">
              <w:rPr>
                <w:rFonts w:cs="Arial"/>
                <w:sz w:val="16"/>
                <w:szCs w:val="16"/>
                <w:lang w:bidi="th-TH"/>
              </w:rPr>
              <w:t>Programme 7</w:t>
            </w:r>
          </w:p>
        </w:tc>
      </w:tr>
      <w:tr w:rsidR="005808EF" w:rsidRPr="00A32AF4" w:rsidTr="000D0EE9">
        <w:trPr>
          <w:cantSplit/>
        </w:trPr>
        <w:tc>
          <w:tcPr>
            <w:tcW w:w="1769" w:type="pct"/>
            <w:shd w:val="clear" w:color="auto" w:fill="auto"/>
            <w:tcMar>
              <w:top w:w="113" w:type="dxa"/>
              <w:bottom w:w="113" w:type="dxa"/>
            </w:tcMar>
          </w:tcPr>
          <w:p w:rsidR="003463A9" w:rsidRPr="00A32AF4" w:rsidRDefault="003463A9" w:rsidP="00DC0553">
            <w:pPr>
              <w:rPr>
                <w:rFonts w:cs="Arial"/>
                <w:sz w:val="16"/>
                <w:szCs w:val="16"/>
              </w:rPr>
            </w:pPr>
          </w:p>
        </w:tc>
        <w:tc>
          <w:tcPr>
            <w:tcW w:w="2161" w:type="pct"/>
            <w:shd w:val="clear" w:color="auto" w:fill="auto"/>
            <w:tcMar>
              <w:top w:w="113" w:type="dxa"/>
              <w:bottom w:w="113" w:type="dxa"/>
            </w:tcMar>
          </w:tcPr>
          <w:p w:rsidR="003463A9" w:rsidRPr="00A32AF4" w:rsidRDefault="00442CEC" w:rsidP="00DC0553">
            <w:pPr>
              <w:rPr>
                <w:rFonts w:cs="Arial"/>
                <w:sz w:val="16"/>
                <w:szCs w:val="16"/>
              </w:rPr>
            </w:pPr>
            <w:r w:rsidRPr="00A32AF4">
              <w:rPr>
                <w:rFonts w:cs="Arial"/>
                <w:sz w:val="16"/>
                <w:szCs w:val="16"/>
              </w:rPr>
              <w:t>Politiques de règlement des litiges dans le système des noms de domaine pour lesquelles le Centre a contribué à l</w:t>
            </w:r>
            <w:r w:rsidR="00E2055A" w:rsidRPr="00A32AF4">
              <w:rPr>
                <w:rFonts w:cs="Arial"/>
                <w:sz w:val="16"/>
                <w:szCs w:val="16"/>
              </w:rPr>
              <w:t>’</w:t>
            </w:r>
            <w:r w:rsidRPr="00A32AF4">
              <w:rPr>
                <w:rFonts w:cs="Arial"/>
                <w:sz w:val="16"/>
                <w:szCs w:val="16"/>
              </w:rPr>
              <w:t>élaboration et à la mise en œuvre</w:t>
            </w:r>
          </w:p>
        </w:tc>
        <w:tc>
          <w:tcPr>
            <w:tcW w:w="1070" w:type="pct"/>
            <w:shd w:val="clear" w:color="auto" w:fill="FFFFFF"/>
            <w:tcMar>
              <w:top w:w="113" w:type="dxa"/>
              <w:bottom w:w="113" w:type="dxa"/>
            </w:tcMar>
          </w:tcPr>
          <w:p w:rsidR="003463A9" w:rsidRPr="00A32AF4" w:rsidRDefault="003463A9" w:rsidP="00DC0553">
            <w:pPr>
              <w:jc w:val="center"/>
              <w:rPr>
                <w:rFonts w:cs="Arial"/>
                <w:sz w:val="16"/>
                <w:szCs w:val="16"/>
                <w:lang w:bidi="th-TH"/>
              </w:rPr>
            </w:pPr>
            <w:r w:rsidRPr="00A32AF4">
              <w:rPr>
                <w:rFonts w:cs="Arial"/>
                <w:sz w:val="16"/>
                <w:szCs w:val="16"/>
                <w:lang w:bidi="th-TH"/>
              </w:rPr>
              <w:t>Programme 7</w:t>
            </w:r>
          </w:p>
        </w:tc>
      </w:tr>
      <w:tr w:rsidR="009A7BF8" w:rsidRPr="00A32AF4" w:rsidTr="009A7BF8">
        <w:trPr>
          <w:cantSplit/>
        </w:trPr>
        <w:tc>
          <w:tcPr>
            <w:tcW w:w="1769" w:type="pct"/>
            <w:tcBorders>
              <w:left w:val="single" w:sz="4" w:space="0" w:color="auto"/>
            </w:tcBorders>
            <w:shd w:val="clear" w:color="auto" w:fill="auto"/>
            <w:tcMar>
              <w:top w:w="113" w:type="dxa"/>
              <w:bottom w:w="113" w:type="dxa"/>
            </w:tcMar>
          </w:tcPr>
          <w:p w:rsidR="009A7BF8" w:rsidRPr="00A32AF4" w:rsidRDefault="009A7BF8" w:rsidP="000F45B2">
            <w:pPr>
              <w:rPr>
                <w:rFonts w:cs="Arial"/>
                <w:sz w:val="16"/>
                <w:szCs w:val="16"/>
              </w:rPr>
            </w:pPr>
            <w:r w:rsidRPr="00A32AF4">
              <w:rPr>
                <w:rFonts w:cs="Arial"/>
                <w:sz w:val="16"/>
                <w:szCs w:val="16"/>
              </w:rPr>
              <w:t>II.10 Utilisation élargie et plus efficace du système de Lisbonne, notamment par les pays en développement et les PMA</w:t>
            </w:r>
          </w:p>
        </w:tc>
        <w:tc>
          <w:tcPr>
            <w:tcW w:w="2161" w:type="pct"/>
            <w:shd w:val="clear" w:color="auto" w:fill="auto"/>
            <w:tcMar>
              <w:top w:w="113" w:type="dxa"/>
              <w:bottom w:w="113" w:type="dxa"/>
            </w:tcMar>
          </w:tcPr>
          <w:p w:rsidR="009A7BF8" w:rsidRPr="00A32AF4" w:rsidRDefault="009A7BF8" w:rsidP="000F45B2">
            <w:pPr>
              <w:rPr>
                <w:rFonts w:cs="Arial"/>
                <w:sz w:val="16"/>
                <w:szCs w:val="16"/>
              </w:rPr>
            </w:pPr>
            <w:r w:rsidRPr="00A32AF4">
              <w:rPr>
                <w:rFonts w:cs="Arial"/>
                <w:sz w:val="16"/>
                <w:szCs w:val="16"/>
              </w:rPr>
              <w:t xml:space="preserve">Extension de la portée géographique du système de Lisbonne </w:t>
            </w:r>
          </w:p>
        </w:tc>
        <w:tc>
          <w:tcPr>
            <w:tcW w:w="1070" w:type="pct"/>
            <w:tcBorders>
              <w:right w:val="single" w:sz="4" w:space="0" w:color="auto"/>
            </w:tcBorders>
            <w:shd w:val="clear" w:color="auto" w:fill="FFFFFF"/>
            <w:tcMar>
              <w:top w:w="113" w:type="dxa"/>
              <w:bottom w:w="113" w:type="dxa"/>
            </w:tcMar>
          </w:tcPr>
          <w:p w:rsidR="009A7BF8" w:rsidRPr="00A32AF4" w:rsidRDefault="009A7BF8" w:rsidP="000F45B2">
            <w:pPr>
              <w:jc w:val="center"/>
              <w:rPr>
                <w:rFonts w:cs="Arial"/>
                <w:sz w:val="16"/>
                <w:szCs w:val="16"/>
                <w:lang w:bidi="th-TH"/>
              </w:rPr>
            </w:pPr>
            <w:r w:rsidRPr="00A32AF4">
              <w:rPr>
                <w:rFonts w:cs="Arial"/>
                <w:sz w:val="16"/>
                <w:szCs w:val="16"/>
                <w:lang w:bidi="th-TH"/>
              </w:rPr>
              <w:t>Programme 32</w:t>
            </w:r>
          </w:p>
        </w:tc>
      </w:tr>
      <w:tr w:rsidR="009A7BF8" w:rsidRPr="00A32AF4" w:rsidTr="009A7BF8">
        <w:trPr>
          <w:cantSplit/>
        </w:trPr>
        <w:tc>
          <w:tcPr>
            <w:tcW w:w="1769" w:type="pct"/>
            <w:tcBorders>
              <w:left w:val="single" w:sz="4" w:space="0" w:color="auto"/>
            </w:tcBorders>
            <w:shd w:val="clear" w:color="auto" w:fill="auto"/>
            <w:tcMar>
              <w:top w:w="113" w:type="dxa"/>
              <w:bottom w:w="113" w:type="dxa"/>
            </w:tcMar>
          </w:tcPr>
          <w:p w:rsidR="009A7BF8" w:rsidRPr="00A32AF4" w:rsidRDefault="009A7BF8" w:rsidP="000F45B2">
            <w:pPr>
              <w:rPr>
                <w:rFonts w:cs="Arial"/>
                <w:sz w:val="16"/>
                <w:szCs w:val="16"/>
              </w:rPr>
            </w:pPr>
          </w:p>
        </w:tc>
        <w:tc>
          <w:tcPr>
            <w:tcW w:w="2161" w:type="pct"/>
            <w:shd w:val="clear" w:color="auto" w:fill="auto"/>
            <w:tcMar>
              <w:top w:w="113" w:type="dxa"/>
              <w:bottom w:w="113" w:type="dxa"/>
            </w:tcMar>
          </w:tcPr>
          <w:p w:rsidR="009A7BF8" w:rsidRPr="00A32AF4" w:rsidRDefault="009A7BF8" w:rsidP="000F45B2">
            <w:pPr>
              <w:rPr>
                <w:rFonts w:cs="Arial"/>
                <w:sz w:val="16"/>
                <w:szCs w:val="16"/>
              </w:rPr>
            </w:pPr>
            <w:r w:rsidRPr="00A32AF4">
              <w:rPr>
                <w:rFonts w:cs="Arial"/>
                <w:sz w:val="16"/>
                <w:szCs w:val="16"/>
              </w:rPr>
              <w:t>Pourcentage de participants à des manifestations associées au système de Lisbonne qui font part de leur satisfaction et d’une meilleure compréhension du système à la suite d’une manifestation</w:t>
            </w:r>
          </w:p>
        </w:tc>
        <w:tc>
          <w:tcPr>
            <w:tcW w:w="1070" w:type="pct"/>
            <w:tcBorders>
              <w:right w:val="single" w:sz="4" w:space="0" w:color="auto"/>
            </w:tcBorders>
            <w:shd w:val="clear" w:color="auto" w:fill="FFFFFF"/>
            <w:tcMar>
              <w:top w:w="113" w:type="dxa"/>
              <w:bottom w:w="113" w:type="dxa"/>
            </w:tcMar>
          </w:tcPr>
          <w:p w:rsidR="009A7BF8" w:rsidRPr="00A32AF4" w:rsidRDefault="009A7BF8" w:rsidP="000F45B2">
            <w:pPr>
              <w:jc w:val="center"/>
              <w:rPr>
                <w:rFonts w:cs="Arial"/>
                <w:sz w:val="16"/>
                <w:szCs w:val="16"/>
                <w:lang w:bidi="th-TH"/>
              </w:rPr>
            </w:pPr>
            <w:r w:rsidRPr="00A32AF4">
              <w:rPr>
                <w:rFonts w:cs="Arial"/>
                <w:sz w:val="16"/>
                <w:szCs w:val="16"/>
                <w:lang w:bidi="th-TH"/>
              </w:rPr>
              <w:t>Programme 32</w:t>
            </w:r>
          </w:p>
        </w:tc>
      </w:tr>
      <w:tr w:rsidR="009A7BF8" w:rsidRPr="00A32AF4" w:rsidTr="009A7BF8">
        <w:trPr>
          <w:cantSplit/>
        </w:trPr>
        <w:tc>
          <w:tcPr>
            <w:tcW w:w="1769" w:type="pct"/>
            <w:tcBorders>
              <w:left w:val="single" w:sz="4" w:space="0" w:color="auto"/>
            </w:tcBorders>
            <w:shd w:val="clear" w:color="auto" w:fill="auto"/>
            <w:tcMar>
              <w:top w:w="113" w:type="dxa"/>
              <w:bottom w:w="113" w:type="dxa"/>
            </w:tcMar>
          </w:tcPr>
          <w:p w:rsidR="009A7BF8" w:rsidRPr="00A32AF4" w:rsidRDefault="009A7BF8" w:rsidP="000F45B2">
            <w:pPr>
              <w:rPr>
                <w:rFonts w:cs="Arial"/>
                <w:sz w:val="16"/>
                <w:szCs w:val="16"/>
              </w:rPr>
            </w:pPr>
          </w:p>
        </w:tc>
        <w:tc>
          <w:tcPr>
            <w:tcW w:w="2161" w:type="pct"/>
            <w:shd w:val="clear" w:color="auto" w:fill="auto"/>
            <w:tcMar>
              <w:top w:w="113" w:type="dxa"/>
              <w:bottom w:w="113" w:type="dxa"/>
            </w:tcMar>
          </w:tcPr>
          <w:p w:rsidR="009A7BF8" w:rsidRPr="00A32AF4" w:rsidRDefault="009A7BF8" w:rsidP="000F45B2">
            <w:pPr>
              <w:rPr>
                <w:rFonts w:cs="Arial"/>
                <w:sz w:val="16"/>
                <w:szCs w:val="16"/>
              </w:rPr>
            </w:pPr>
            <w:r w:rsidRPr="00A32AF4">
              <w:rPr>
                <w:rFonts w:cs="Arial"/>
                <w:sz w:val="16"/>
                <w:szCs w:val="16"/>
              </w:rPr>
              <w:t>Nombre de demandes internationales et d’autres transactions (Lisbonne)</w:t>
            </w:r>
          </w:p>
        </w:tc>
        <w:tc>
          <w:tcPr>
            <w:tcW w:w="1070" w:type="pct"/>
            <w:tcBorders>
              <w:right w:val="single" w:sz="4" w:space="0" w:color="auto"/>
            </w:tcBorders>
            <w:shd w:val="clear" w:color="auto" w:fill="FFFFFF"/>
            <w:tcMar>
              <w:top w:w="113" w:type="dxa"/>
              <w:bottom w:w="113" w:type="dxa"/>
            </w:tcMar>
          </w:tcPr>
          <w:p w:rsidR="009A7BF8" w:rsidRPr="00A32AF4" w:rsidRDefault="009A7BF8" w:rsidP="000F45B2">
            <w:pPr>
              <w:jc w:val="center"/>
              <w:rPr>
                <w:rFonts w:cs="Arial"/>
                <w:sz w:val="16"/>
                <w:szCs w:val="16"/>
                <w:lang w:bidi="th-TH"/>
              </w:rPr>
            </w:pPr>
            <w:r w:rsidRPr="00A32AF4">
              <w:rPr>
                <w:rFonts w:cs="Arial"/>
                <w:sz w:val="16"/>
                <w:szCs w:val="16"/>
                <w:lang w:bidi="th-TH"/>
              </w:rPr>
              <w:t>Programme 32</w:t>
            </w:r>
          </w:p>
        </w:tc>
      </w:tr>
      <w:tr w:rsidR="009A7BF8" w:rsidRPr="00A32AF4" w:rsidTr="009A7BF8">
        <w:trPr>
          <w:cantSplit/>
        </w:trPr>
        <w:tc>
          <w:tcPr>
            <w:tcW w:w="1769" w:type="pct"/>
            <w:tcBorders>
              <w:left w:val="single" w:sz="4" w:space="0" w:color="auto"/>
            </w:tcBorders>
            <w:shd w:val="clear" w:color="auto" w:fill="auto"/>
            <w:tcMar>
              <w:top w:w="113" w:type="dxa"/>
              <w:bottom w:w="113" w:type="dxa"/>
            </w:tcMar>
          </w:tcPr>
          <w:p w:rsidR="009A7BF8" w:rsidRPr="00A32AF4" w:rsidRDefault="009A7BF8" w:rsidP="000F45B2">
            <w:pPr>
              <w:rPr>
                <w:rFonts w:cs="Arial"/>
                <w:sz w:val="16"/>
                <w:szCs w:val="16"/>
              </w:rPr>
            </w:pPr>
          </w:p>
        </w:tc>
        <w:tc>
          <w:tcPr>
            <w:tcW w:w="2161" w:type="pct"/>
            <w:shd w:val="clear" w:color="auto" w:fill="auto"/>
            <w:tcMar>
              <w:top w:w="113" w:type="dxa"/>
              <w:bottom w:w="113" w:type="dxa"/>
            </w:tcMar>
          </w:tcPr>
          <w:p w:rsidR="009A7BF8" w:rsidRPr="00A32AF4" w:rsidRDefault="009A7BF8" w:rsidP="000F45B2">
            <w:pPr>
              <w:rPr>
                <w:rFonts w:cs="Arial"/>
                <w:sz w:val="16"/>
                <w:szCs w:val="16"/>
              </w:rPr>
            </w:pPr>
            <w:r w:rsidRPr="00A32AF4">
              <w:rPr>
                <w:rFonts w:cs="Arial"/>
                <w:sz w:val="16"/>
                <w:szCs w:val="16"/>
              </w:rPr>
              <w:t xml:space="preserve">Nombre d’enregistrements internationaux en vigueur en vertu du système de Lisbonne concernant des pays en développement et des PMA (par rapport au nombre total) </w:t>
            </w:r>
          </w:p>
        </w:tc>
        <w:tc>
          <w:tcPr>
            <w:tcW w:w="1070" w:type="pct"/>
            <w:tcBorders>
              <w:right w:val="single" w:sz="4" w:space="0" w:color="auto"/>
            </w:tcBorders>
            <w:shd w:val="clear" w:color="auto" w:fill="FFFFFF"/>
            <w:tcMar>
              <w:top w:w="113" w:type="dxa"/>
              <w:bottom w:w="113" w:type="dxa"/>
            </w:tcMar>
          </w:tcPr>
          <w:p w:rsidR="009A7BF8" w:rsidRPr="00A32AF4" w:rsidRDefault="009A7BF8" w:rsidP="000F45B2">
            <w:pPr>
              <w:jc w:val="center"/>
              <w:rPr>
                <w:rFonts w:cs="Arial"/>
                <w:sz w:val="16"/>
                <w:szCs w:val="16"/>
                <w:lang w:bidi="th-TH"/>
              </w:rPr>
            </w:pPr>
            <w:r w:rsidRPr="00A32AF4">
              <w:rPr>
                <w:rFonts w:cs="Arial"/>
                <w:sz w:val="16"/>
                <w:szCs w:val="16"/>
                <w:lang w:bidi="th-TH"/>
              </w:rPr>
              <w:t>Programme 32</w:t>
            </w:r>
          </w:p>
          <w:p w:rsidR="009A7BF8" w:rsidRPr="00A32AF4" w:rsidRDefault="009A7BF8" w:rsidP="000F45B2">
            <w:pPr>
              <w:jc w:val="center"/>
              <w:rPr>
                <w:rFonts w:cs="Arial"/>
                <w:sz w:val="16"/>
                <w:szCs w:val="16"/>
                <w:lang w:bidi="th-TH"/>
              </w:rPr>
            </w:pPr>
            <w:r w:rsidRPr="00A32AF4">
              <w:rPr>
                <w:rFonts w:cs="Arial"/>
                <w:sz w:val="16"/>
                <w:szCs w:val="16"/>
                <w:lang w:bidi="th-TH"/>
              </w:rPr>
              <w:t>Programme 9</w:t>
            </w:r>
          </w:p>
        </w:tc>
      </w:tr>
      <w:tr w:rsidR="009A7BF8" w:rsidRPr="00A32AF4" w:rsidTr="009A7BF8">
        <w:trPr>
          <w:cantSplit/>
        </w:trPr>
        <w:tc>
          <w:tcPr>
            <w:tcW w:w="1769" w:type="pct"/>
            <w:tcBorders>
              <w:left w:val="single" w:sz="4" w:space="0" w:color="auto"/>
            </w:tcBorders>
            <w:shd w:val="clear" w:color="auto" w:fill="auto"/>
            <w:tcMar>
              <w:top w:w="113" w:type="dxa"/>
              <w:bottom w:w="113" w:type="dxa"/>
            </w:tcMar>
          </w:tcPr>
          <w:p w:rsidR="009A7BF8" w:rsidRPr="00A32AF4" w:rsidRDefault="009A7BF8" w:rsidP="000F45B2">
            <w:pPr>
              <w:rPr>
                <w:rFonts w:cs="Arial"/>
                <w:sz w:val="16"/>
                <w:szCs w:val="16"/>
              </w:rPr>
            </w:pPr>
          </w:p>
        </w:tc>
        <w:tc>
          <w:tcPr>
            <w:tcW w:w="2161" w:type="pct"/>
            <w:shd w:val="clear" w:color="auto" w:fill="auto"/>
            <w:tcMar>
              <w:top w:w="113" w:type="dxa"/>
              <w:bottom w:w="113" w:type="dxa"/>
            </w:tcMar>
          </w:tcPr>
          <w:p w:rsidR="009A7BF8" w:rsidRPr="00A32AF4" w:rsidRDefault="009A7BF8" w:rsidP="000F45B2">
            <w:pPr>
              <w:rPr>
                <w:rFonts w:cs="Arial"/>
                <w:sz w:val="16"/>
                <w:szCs w:val="16"/>
              </w:rPr>
            </w:pPr>
            <w:r w:rsidRPr="00A32AF4">
              <w:rPr>
                <w:rFonts w:cs="Arial"/>
                <w:sz w:val="16"/>
                <w:szCs w:val="16"/>
              </w:rPr>
              <w:t>Nombre d’enregistrements internationaux dans le cadre du système de Lisbonne en vigueur pour les pays en transition et les pays développés</w:t>
            </w:r>
          </w:p>
        </w:tc>
        <w:tc>
          <w:tcPr>
            <w:tcW w:w="1070" w:type="pct"/>
            <w:tcBorders>
              <w:right w:val="single" w:sz="4" w:space="0" w:color="auto"/>
            </w:tcBorders>
            <w:shd w:val="clear" w:color="auto" w:fill="FFFFFF"/>
            <w:tcMar>
              <w:top w:w="113" w:type="dxa"/>
              <w:bottom w:w="113" w:type="dxa"/>
            </w:tcMar>
          </w:tcPr>
          <w:p w:rsidR="009A7BF8" w:rsidRPr="00A32AF4" w:rsidRDefault="009A7BF8" w:rsidP="000F45B2">
            <w:pPr>
              <w:jc w:val="center"/>
              <w:rPr>
                <w:rFonts w:cs="Arial"/>
                <w:sz w:val="16"/>
                <w:szCs w:val="16"/>
                <w:lang w:bidi="th-TH"/>
              </w:rPr>
            </w:pPr>
            <w:r w:rsidRPr="00A32AF4">
              <w:rPr>
                <w:rFonts w:cs="Arial"/>
                <w:sz w:val="16"/>
                <w:szCs w:val="16"/>
                <w:lang w:bidi="th-TH"/>
              </w:rPr>
              <w:t>Programme 10</w:t>
            </w:r>
          </w:p>
        </w:tc>
      </w:tr>
      <w:tr w:rsidR="009A7BF8" w:rsidRPr="00A32AF4" w:rsidTr="009A7BF8">
        <w:trPr>
          <w:cantSplit/>
        </w:trPr>
        <w:tc>
          <w:tcPr>
            <w:tcW w:w="1769" w:type="pct"/>
            <w:tcBorders>
              <w:left w:val="single" w:sz="4" w:space="0" w:color="auto"/>
            </w:tcBorders>
            <w:shd w:val="clear" w:color="auto" w:fill="auto"/>
            <w:tcMar>
              <w:top w:w="113" w:type="dxa"/>
              <w:bottom w:w="113" w:type="dxa"/>
            </w:tcMar>
          </w:tcPr>
          <w:p w:rsidR="009A7BF8" w:rsidRPr="00A32AF4" w:rsidRDefault="009A7BF8" w:rsidP="000F45B2">
            <w:pPr>
              <w:rPr>
                <w:rFonts w:cs="Arial"/>
                <w:sz w:val="16"/>
                <w:szCs w:val="16"/>
              </w:rPr>
            </w:pPr>
            <w:r w:rsidRPr="00A32AF4">
              <w:rPr>
                <w:rFonts w:cs="Arial"/>
                <w:sz w:val="16"/>
                <w:szCs w:val="16"/>
              </w:rPr>
              <w:t>II.11 Amélioration de la productivité et de la qualité de service des opérations du système de Lisbonne</w:t>
            </w:r>
          </w:p>
        </w:tc>
        <w:tc>
          <w:tcPr>
            <w:tcW w:w="2161" w:type="pct"/>
            <w:shd w:val="clear" w:color="auto" w:fill="auto"/>
            <w:tcMar>
              <w:top w:w="113" w:type="dxa"/>
              <w:bottom w:w="113" w:type="dxa"/>
            </w:tcMar>
          </w:tcPr>
          <w:p w:rsidR="009A7BF8" w:rsidRPr="00A32AF4" w:rsidRDefault="009A7BF8" w:rsidP="000F45B2">
            <w:pPr>
              <w:rPr>
                <w:rFonts w:cs="Arial"/>
                <w:sz w:val="16"/>
                <w:szCs w:val="16"/>
              </w:rPr>
            </w:pPr>
            <w:r w:rsidRPr="00A32AF4">
              <w:rPr>
                <w:rFonts w:cs="Arial"/>
                <w:sz w:val="16"/>
                <w:szCs w:val="16"/>
              </w:rPr>
              <w:t>Adoption de dispositions rationalisant le cadre juridique du système de Lisbonne</w:t>
            </w:r>
          </w:p>
        </w:tc>
        <w:tc>
          <w:tcPr>
            <w:tcW w:w="1070" w:type="pct"/>
            <w:tcBorders>
              <w:right w:val="single" w:sz="4" w:space="0" w:color="auto"/>
            </w:tcBorders>
            <w:shd w:val="clear" w:color="auto" w:fill="FFFFFF"/>
            <w:tcMar>
              <w:top w:w="113" w:type="dxa"/>
              <w:bottom w:w="113" w:type="dxa"/>
            </w:tcMar>
          </w:tcPr>
          <w:p w:rsidR="009A7BF8" w:rsidRPr="00A32AF4" w:rsidRDefault="009A7BF8" w:rsidP="000F45B2">
            <w:pPr>
              <w:jc w:val="center"/>
              <w:rPr>
                <w:rFonts w:cs="Arial"/>
                <w:sz w:val="16"/>
                <w:szCs w:val="16"/>
                <w:lang w:bidi="th-TH"/>
              </w:rPr>
            </w:pPr>
            <w:r w:rsidRPr="00A32AF4">
              <w:rPr>
                <w:rFonts w:cs="Arial"/>
                <w:sz w:val="16"/>
                <w:szCs w:val="16"/>
                <w:lang w:bidi="th-TH"/>
              </w:rPr>
              <w:t>Programme 32</w:t>
            </w:r>
          </w:p>
        </w:tc>
      </w:tr>
      <w:tr w:rsidR="009A7BF8" w:rsidRPr="00A32AF4" w:rsidTr="009A7BF8">
        <w:trPr>
          <w:cantSplit/>
        </w:trPr>
        <w:tc>
          <w:tcPr>
            <w:tcW w:w="1769" w:type="pct"/>
            <w:tcBorders>
              <w:left w:val="single" w:sz="4" w:space="0" w:color="auto"/>
            </w:tcBorders>
            <w:shd w:val="clear" w:color="auto" w:fill="auto"/>
            <w:tcMar>
              <w:top w:w="113" w:type="dxa"/>
              <w:bottom w:w="113" w:type="dxa"/>
            </w:tcMar>
          </w:tcPr>
          <w:p w:rsidR="009A7BF8" w:rsidRPr="00A32AF4" w:rsidRDefault="009A7BF8" w:rsidP="000F45B2">
            <w:pPr>
              <w:rPr>
                <w:rFonts w:cs="Arial"/>
                <w:sz w:val="16"/>
                <w:szCs w:val="16"/>
              </w:rPr>
            </w:pPr>
          </w:p>
        </w:tc>
        <w:tc>
          <w:tcPr>
            <w:tcW w:w="2161" w:type="pct"/>
            <w:shd w:val="clear" w:color="auto" w:fill="auto"/>
            <w:tcMar>
              <w:top w:w="113" w:type="dxa"/>
              <w:bottom w:w="113" w:type="dxa"/>
            </w:tcMar>
          </w:tcPr>
          <w:p w:rsidR="009A7BF8" w:rsidRPr="00A32AF4" w:rsidRDefault="009A7BF8" w:rsidP="000F45B2">
            <w:pPr>
              <w:rPr>
                <w:rFonts w:cs="Arial"/>
                <w:sz w:val="16"/>
                <w:szCs w:val="16"/>
              </w:rPr>
            </w:pPr>
            <w:r w:rsidRPr="00A32AF4">
              <w:rPr>
                <w:rFonts w:cs="Arial"/>
                <w:sz w:val="16"/>
                <w:szCs w:val="16"/>
              </w:rPr>
              <w:t>Utilisation accrue des moyens électroniques pour l’envoi et le traitement des demandes internationales et d’autres transactions (Lisbonne)</w:t>
            </w:r>
          </w:p>
        </w:tc>
        <w:tc>
          <w:tcPr>
            <w:tcW w:w="1070" w:type="pct"/>
            <w:tcBorders>
              <w:right w:val="single" w:sz="4" w:space="0" w:color="auto"/>
            </w:tcBorders>
            <w:shd w:val="clear" w:color="auto" w:fill="FFFFFF"/>
            <w:tcMar>
              <w:top w:w="113" w:type="dxa"/>
              <w:bottom w:w="113" w:type="dxa"/>
            </w:tcMar>
          </w:tcPr>
          <w:p w:rsidR="009A7BF8" w:rsidRPr="00A32AF4" w:rsidRDefault="009A7BF8" w:rsidP="000F45B2">
            <w:pPr>
              <w:jc w:val="center"/>
              <w:rPr>
                <w:rFonts w:cs="Arial"/>
                <w:sz w:val="16"/>
                <w:szCs w:val="16"/>
                <w:lang w:bidi="th-TH"/>
              </w:rPr>
            </w:pPr>
            <w:r w:rsidRPr="00A32AF4">
              <w:rPr>
                <w:rFonts w:cs="Arial"/>
                <w:sz w:val="16"/>
                <w:szCs w:val="16"/>
                <w:lang w:bidi="th-TH"/>
              </w:rPr>
              <w:t>Programme 32</w:t>
            </w:r>
          </w:p>
        </w:tc>
      </w:tr>
      <w:tr w:rsidR="009A7BF8" w:rsidRPr="00A32AF4" w:rsidTr="009A7BF8">
        <w:trPr>
          <w:cantSplit/>
        </w:trPr>
        <w:tc>
          <w:tcPr>
            <w:tcW w:w="1769" w:type="pct"/>
            <w:tcBorders>
              <w:left w:val="single" w:sz="4" w:space="0" w:color="auto"/>
              <w:bottom w:val="single" w:sz="4" w:space="0" w:color="auto"/>
            </w:tcBorders>
            <w:shd w:val="clear" w:color="auto" w:fill="auto"/>
            <w:tcMar>
              <w:top w:w="113" w:type="dxa"/>
              <w:bottom w:w="113" w:type="dxa"/>
            </w:tcMar>
          </w:tcPr>
          <w:p w:rsidR="009A7BF8" w:rsidRPr="00A32AF4" w:rsidRDefault="009A7BF8" w:rsidP="000F45B2">
            <w:pPr>
              <w:rPr>
                <w:rFonts w:cs="Arial"/>
                <w:sz w:val="16"/>
                <w:szCs w:val="16"/>
              </w:rPr>
            </w:pPr>
          </w:p>
        </w:tc>
        <w:tc>
          <w:tcPr>
            <w:tcW w:w="2161" w:type="pct"/>
            <w:tcBorders>
              <w:bottom w:val="single" w:sz="4" w:space="0" w:color="auto"/>
            </w:tcBorders>
            <w:shd w:val="clear" w:color="auto" w:fill="auto"/>
            <w:tcMar>
              <w:top w:w="113" w:type="dxa"/>
              <w:bottom w:w="113" w:type="dxa"/>
            </w:tcMar>
          </w:tcPr>
          <w:p w:rsidR="009A7BF8" w:rsidRPr="00A32AF4" w:rsidRDefault="009A7BF8" w:rsidP="000F45B2">
            <w:pPr>
              <w:rPr>
                <w:rFonts w:cs="Arial"/>
                <w:sz w:val="16"/>
                <w:szCs w:val="16"/>
              </w:rPr>
            </w:pPr>
            <w:r w:rsidRPr="00A32AF4">
              <w:rPr>
                <w:rFonts w:cs="Arial"/>
                <w:sz w:val="16"/>
                <w:szCs w:val="16"/>
              </w:rPr>
              <w:t>Amélioration des services électroniques du Service d’enregistrement de Lisbonne et de l’article 6ter</w:t>
            </w:r>
          </w:p>
        </w:tc>
        <w:tc>
          <w:tcPr>
            <w:tcW w:w="1070" w:type="pct"/>
            <w:tcBorders>
              <w:bottom w:val="single" w:sz="4" w:space="0" w:color="auto"/>
              <w:right w:val="single" w:sz="4" w:space="0" w:color="auto"/>
            </w:tcBorders>
            <w:shd w:val="clear" w:color="auto" w:fill="FFFFFF"/>
            <w:tcMar>
              <w:top w:w="113" w:type="dxa"/>
              <w:bottom w:w="113" w:type="dxa"/>
            </w:tcMar>
          </w:tcPr>
          <w:p w:rsidR="009A7BF8" w:rsidRPr="00A32AF4" w:rsidRDefault="009A7BF8" w:rsidP="000F45B2">
            <w:pPr>
              <w:jc w:val="center"/>
              <w:rPr>
                <w:rFonts w:cs="Arial"/>
                <w:sz w:val="16"/>
                <w:szCs w:val="16"/>
                <w:lang w:bidi="th-TH"/>
              </w:rPr>
            </w:pPr>
            <w:r w:rsidRPr="00A32AF4">
              <w:rPr>
                <w:rFonts w:cs="Arial"/>
                <w:sz w:val="16"/>
                <w:szCs w:val="16"/>
                <w:lang w:bidi="th-TH"/>
              </w:rPr>
              <w:t>Programme 32</w:t>
            </w:r>
          </w:p>
        </w:tc>
      </w:tr>
    </w:tbl>
    <w:p w:rsidR="00F93B76" w:rsidRPr="00A32AF4" w:rsidRDefault="002F6FCA" w:rsidP="00DC0553">
      <w:pPr>
        <w:rPr>
          <w:rFonts w:ascii="Arial Bold" w:hAnsi="Arial Bold" w:cs="Arial"/>
          <w:b/>
          <w:bCs/>
          <w:caps/>
          <w:kern w:val="32"/>
          <w:sz w:val="18"/>
          <w:szCs w:val="32"/>
          <w:lang w:eastAsia="da-DK"/>
        </w:rPr>
      </w:pPr>
      <w:r w:rsidRPr="00A32AF4">
        <w:rPr>
          <w:sz w:val="16"/>
        </w:rPr>
        <w:br w:type="page"/>
      </w:r>
    </w:p>
    <w:p w:rsidR="00F93B76" w:rsidRPr="00A32AF4" w:rsidRDefault="00CD1430" w:rsidP="00FB1F61">
      <w:pPr>
        <w:pStyle w:val="Heading3"/>
      </w:pPr>
      <w:bookmarkStart w:id="27" w:name="_Toc431555440"/>
      <w:r w:rsidRPr="00A32AF4">
        <w:t>Programme 5</w:t>
      </w:r>
      <w:r w:rsidRPr="00A32AF4">
        <w:tab/>
      </w:r>
      <w:bookmarkEnd w:id="25"/>
      <w:r w:rsidRPr="00A32AF4">
        <w:t>Système</w:t>
      </w:r>
      <w:r w:rsidR="00E2055A" w:rsidRPr="00A32AF4">
        <w:t xml:space="preserve"> du PCT</w:t>
      </w:r>
      <w:bookmarkEnd w:id="27"/>
    </w:p>
    <w:p w:rsidR="00F93B76" w:rsidRPr="00A32AF4" w:rsidRDefault="00F93B76" w:rsidP="00DC0553"/>
    <w:p w:rsidR="00F93B76" w:rsidRPr="00A32AF4" w:rsidRDefault="00F93B76" w:rsidP="00DC0553"/>
    <w:p w:rsidR="00F93B76" w:rsidRPr="00A32AF4" w:rsidRDefault="002F6FCA" w:rsidP="00DC0553">
      <w:r w:rsidRPr="00A32AF4">
        <w:t>CONTEXTE DE PLANIFICATION</w:t>
      </w:r>
    </w:p>
    <w:p w:rsidR="00F93B76" w:rsidRPr="00A32AF4" w:rsidRDefault="00F93B76" w:rsidP="00DC0553">
      <w:pPr>
        <w:tabs>
          <w:tab w:val="left" w:pos="567"/>
          <w:tab w:val="left" w:pos="1985"/>
        </w:tabs>
        <w:jc w:val="both"/>
        <w:rPr>
          <w:bCs/>
        </w:rPr>
      </w:pPr>
    </w:p>
    <w:p w:rsidR="00F93B76" w:rsidRPr="00A32AF4" w:rsidRDefault="00CD1430" w:rsidP="00DC0553">
      <w:pPr>
        <w:numPr>
          <w:ilvl w:val="0"/>
          <w:numId w:val="8"/>
        </w:numPr>
        <w:tabs>
          <w:tab w:val="clear" w:pos="680"/>
          <w:tab w:val="left" w:pos="567"/>
        </w:tabs>
        <w:jc w:val="both"/>
        <w:rPr>
          <w:bCs/>
          <w:lang w:eastAsia="ja-JP"/>
        </w:rPr>
      </w:pPr>
      <w:r w:rsidRPr="00A32AF4">
        <w:t>Le système du PCT représente environ trois quarts des recettes de l</w:t>
      </w:r>
      <w:r w:rsidR="00E2055A" w:rsidRPr="00A32AF4">
        <w:t>’</w:t>
      </w:r>
      <w:r w:rsidRPr="00A32AF4">
        <w:t>OMPI.  Il est également à l</w:t>
      </w:r>
      <w:r w:rsidR="00E2055A" w:rsidRPr="00A32AF4">
        <w:t>’</w:t>
      </w:r>
      <w:r w:rsidRPr="00A32AF4">
        <w:t>origine de 54% des demandes de brevet déposées dans plusieurs pays.  Afin de maintenir et de renforcer le PCT en tant que voie privilégiée utilisée par les utilisateurs du système international des brevets pour le prochain exercice biennal, il faudra faire en sorte que le système du PCT relève les défis posés par un marché mondial de plus en plus dynamique dans le domaine des services en matière de brevets, caractérisé par les éléments suivants :</w:t>
      </w:r>
    </w:p>
    <w:p w:rsidR="00F93B76" w:rsidRPr="00A32AF4" w:rsidRDefault="00F93B76" w:rsidP="00DC0553">
      <w:pPr>
        <w:jc w:val="both"/>
        <w:rPr>
          <w:bCs/>
          <w:lang w:eastAsia="ja-JP"/>
        </w:rPr>
      </w:pPr>
    </w:p>
    <w:p w:rsidR="00F93B76" w:rsidRPr="00A32AF4" w:rsidRDefault="00CD1430" w:rsidP="00DC0553">
      <w:pPr>
        <w:numPr>
          <w:ilvl w:val="0"/>
          <w:numId w:val="16"/>
        </w:numPr>
        <w:spacing w:after="120"/>
        <w:ind w:left="1134" w:hanging="567"/>
        <w:jc w:val="both"/>
        <w:rPr>
          <w:bCs/>
          <w:lang w:eastAsia="ja-JP"/>
        </w:rPr>
      </w:pPr>
      <w:r w:rsidRPr="00A32AF4">
        <w:rPr>
          <w:bCs/>
          <w:lang w:eastAsia="ja-JP"/>
        </w:rPr>
        <w:t>un environnement économique incertain freinant le rythme de l</w:t>
      </w:r>
      <w:r w:rsidR="00E2055A" w:rsidRPr="00A32AF4">
        <w:rPr>
          <w:bCs/>
          <w:lang w:eastAsia="ja-JP"/>
        </w:rPr>
        <w:t>’</w:t>
      </w:r>
      <w:r w:rsidRPr="00A32AF4">
        <w:rPr>
          <w:bCs/>
          <w:lang w:eastAsia="ja-JP"/>
        </w:rPr>
        <w:t xml:space="preserve">économie </w:t>
      </w:r>
      <w:proofErr w:type="gramStart"/>
      <w:r w:rsidRPr="00A32AF4">
        <w:rPr>
          <w:bCs/>
          <w:lang w:eastAsia="ja-JP"/>
        </w:rPr>
        <w:t>mondiale;</w:t>
      </w:r>
      <w:proofErr w:type="gramEnd"/>
    </w:p>
    <w:p w:rsidR="00F93B76" w:rsidRPr="00A32AF4" w:rsidRDefault="00CD1430" w:rsidP="00DC0553">
      <w:pPr>
        <w:numPr>
          <w:ilvl w:val="0"/>
          <w:numId w:val="16"/>
        </w:numPr>
        <w:spacing w:after="120"/>
        <w:ind w:left="1134" w:hanging="567"/>
        <w:jc w:val="both"/>
        <w:rPr>
          <w:bCs/>
          <w:lang w:eastAsia="ja-JP"/>
        </w:rPr>
      </w:pPr>
      <w:r w:rsidRPr="00A32AF4">
        <w:rPr>
          <w:bCs/>
          <w:lang w:eastAsia="ja-JP"/>
        </w:rPr>
        <w:t>la nécessité pour les administrations chargées de la recherche internationale et de l</w:t>
      </w:r>
      <w:r w:rsidR="00E2055A" w:rsidRPr="00A32AF4">
        <w:rPr>
          <w:bCs/>
          <w:lang w:eastAsia="ja-JP"/>
        </w:rPr>
        <w:t>’</w:t>
      </w:r>
      <w:r w:rsidRPr="00A32AF4">
        <w:rPr>
          <w:bCs/>
          <w:lang w:eastAsia="ja-JP"/>
        </w:rPr>
        <w:t>examen préliminaire international d</w:t>
      </w:r>
      <w:r w:rsidR="00E2055A" w:rsidRPr="00A32AF4">
        <w:rPr>
          <w:bCs/>
          <w:lang w:eastAsia="ja-JP"/>
        </w:rPr>
        <w:t>’</w:t>
      </w:r>
      <w:r w:rsidRPr="00A32AF4">
        <w:rPr>
          <w:bCs/>
          <w:lang w:eastAsia="ja-JP"/>
        </w:rPr>
        <w:t xml:space="preserve">établir des rapports de qualité en respectant les </w:t>
      </w:r>
      <w:proofErr w:type="gramStart"/>
      <w:r w:rsidRPr="00A32AF4">
        <w:rPr>
          <w:bCs/>
          <w:lang w:eastAsia="ja-JP"/>
        </w:rPr>
        <w:t>délais;</w:t>
      </w:r>
      <w:proofErr w:type="gramEnd"/>
    </w:p>
    <w:p w:rsidR="00F93B76" w:rsidRPr="00A32AF4" w:rsidRDefault="00CD1430" w:rsidP="00DC0553">
      <w:pPr>
        <w:numPr>
          <w:ilvl w:val="0"/>
          <w:numId w:val="16"/>
        </w:numPr>
        <w:spacing w:after="120"/>
        <w:ind w:left="1134" w:hanging="567"/>
        <w:jc w:val="both"/>
        <w:rPr>
          <w:bCs/>
          <w:lang w:eastAsia="ja-JP"/>
        </w:rPr>
      </w:pPr>
      <w:r w:rsidRPr="00A32AF4">
        <w:rPr>
          <w:bCs/>
          <w:lang w:eastAsia="ja-JP"/>
        </w:rPr>
        <w:t>la diversité croissante de la répartition géographique des demandes de protection par brevet et des dépôts de demandes internationales selon le </w:t>
      </w:r>
      <w:proofErr w:type="gramStart"/>
      <w:r w:rsidRPr="00A32AF4">
        <w:rPr>
          <w:bCs/>
          <w:lang w:eastAsia="ja-JP"/>
        </w:rPr>
        <w:t>PCT;</w:t>
      </w:r>
      <w:proofErr w:type="gramEnd"/>
    </w:p>
    <w:p w:rsidR="00F93B76" w:rsidRPr="00A32AF4" w:rsidRDefault="00CD1430" w:rsidP="00DC0553">
      <w:pPr>
        <w:numPr>
          <w:ilvl w:val="0"/>
          <w:numId w:val="16"/>
        </w:numPr>
        <w:spacing w:after="120"/>
        <w:ind w:left="1134" w:hanging="567"/>
        <w:jc w:val="both"/>
        <w:rPr>
          <w:bCs/>
          <w:lang w:eastAsia="ja-JP"/>
        </w:rPr>
      </w:pPr>
      <w:r w:rsidRPr="00A32AF4">
        <w:rPr>
          <w:bCs/>
          <w:lang w:eastAsia="ja-JP"/>
        </w:rPr>
        <w:t>la diversité linguistique croissante aussi bien de l</w:t>
      </w:r>
      <w:r w:rsidR="00E2055A" w:rsidRPr="00A32AF4">
        <w:rPr>
          <w:bCs/>
          <w:lang w:eastAsia="ja-JP"/>
        </w:rPr>
        <w:t>’</w:t>
      </w:r>
      <w:r w:rsidRPr="00A32AF4">
        <w:rPr>
          <w:bCs/>
          <w:lang w:eastAsia="ja-JP"/>
        </w:rPr>
        <w:t>état de la technique que des demandes internationales selon le </w:t>
      </w:r>
      <w:proofErr w:type="gramStart"/>
      <w:r w:rsidRPr="00A32AF4">
        <w:rPr>
          <w:bCs/>
          <w:lang w:eastAsia="ja-JP"/>
        </w:rPr>
        <w:t>PCT;</w:t>
      </w:r>
      <w:proofErr w:type="gramEnd"/>
    </w:p>
    <w:p w:rsidR="00F93B76" w:rsidRPr="00A32AF4" w:rsidRDefault="00CD1430" w:rsidP="00DC0553">
      <w:pPr>
        <w:numPr>
          <w:ilvl w:val="0"/>
          <w:numId w:val="16"/>
        </w:numPr>
        <w:spacing w:after="120"/>
        <w:ind w:left="1134" w:hanging="567"/>
        <w:jc w:val="both"/>
        <w:rPr>
          <w:bCs/>
          <w:lang w:eastAsia="ja-JP"/>
        </w:rPr>
      </w:pPr>
      <w:r w:rsidRPr="00A32AF4">
        <w:rPr>
          <w:bCs/>
          <w:lang w:eastAsia="ja-JP"/>
        </w:rPr>
        <w:t xml:space="preserve">le nombre limité des demandes internationales déposées par les pays en développement et les pays les moins </w:t>
      </w:r>
      <w:proofErr w:type="gramStart"/>
      <w:r w:rsidRPr="00A32AF4">
        <w:rPr>
          <w:bCs/>
          <w:lang w:eastAsia="ja-JP"/>
        </w:rPr>
        <w:t>avancés;</w:t>
      </w:r>
      <w:proofErr w:type="gramEnd"/>
    </w:p>
    <w:p w:rsidR="00F93B76" w:rsidRPr="00A32AF4" w:rsidRDefault="00CD1430" w:rsidP="00DC0553">
      <w:pPr>
        <w:numPr>
          <w:ilvl w:val="0"/>
          <w:numId w:val="16"/>
        </w:numPr>
        <w:spacing w:after="120"/>
        <w:ind w:left="1134" w:hanging="567"/>
        <w:jc w:val="both"/>
        <w:rPr>
          <w:bCs/>
          <w:lang w:eastAsia="ja-JP"/>
        </w:rPr>
      </w:pPr>
      <w:r w:rsidRPr="00A32AF4">
        <w:rPr>
          <w:bCs/>
          <w:lang w:eastAsia="ja-JP"/>
        </w:rPr>
        <w:t xml:space="preserve">la demande croissante de formation de la part des utilisateurs du PCT existants et </w:t>
      </w:r>
      <w:proofErr w:type="gramStart"/>
      <w:r w:rsidRPr="00A32AF4">
        <w:rPr>
          <w:bCs/>
          <w:lang w:eastAsia="ja-JP"/>
        </w:rPr>
        <w:t>nouveaux;</w:t>
      </w:r>
      <w:proofErr w:type="gramEnd"/>
    </w:p>
    <w:p w:rsidR="00F93B76" w:rsidRPr="00A32AF4" w:rsidRDefault="00CD1430" w:rsidP="00DC0553">
      <w:pPr>
        <w:numPr>
          <w:ilvl w:val="0"/>
          <w:numId w:val="16"/>
        </w:numPr>
        <w:spacing w:after="120"/>
        <w:ind w:left="1134" w:hanging="567"/>
        <w:jc w:val="both"/>
        <w:rPr>
          <w:bCs/>
          <w:lang w:eastAsia="ja-JP"/>
        </w:rPr>
      </w:pPr>
      <w:r w:rsidRPr="00A32AF4">
        <w:rPr>
          <w:bCs/>
          <w:lang w:eastAsia="ja-JP"/>
        </w:rPr>
        <w:t>l</w:t>
      </w:r>
      <w:r w:rsidR="00E2055A" w:rsidRPr="00A32AF4">
        <w:rPr>
          <w:bCs/>
          <w:lang w:eastAsia="ja-JP"/>
        </w:rPr>
        <w:t>’</w:t>
      </w:r>
      <w:r w:rsidRPr="00A32AF4">
        <w:rPr>
          <w:bCs/>
          <w:lang w:eastAsia="ja-JP"/>
        </w:rPr>
        <w:t>importance et la diversité de la préférence des clients pour le PCT par rapport à d</w:t>
      </w:r>
      <w:r w:rsidR="00E2055A" w:rsidRPr="00A32AF4">
        <w:rPr>
          <w:bCs/>
          <w:lang w:eastAsia="ja-JP"/>
        </w:rPr>
        <w:t>’</w:t>
      </w:r>
      <w:r w:rsidRPr="00A32AF4">
        <w:rPr>
          <w:bCs/>
          <w:lang w:eastAsia="ja-JP"/>
        </w:rPr>
        <w:t xml:space="preserve">autres </w:t>
      </w:r>
      <w:proofErr w:type="gramStart"/>
      <w:r w:rsidRPr="00A32AF4">
        <w:rPr>
          <w:bCs/>
          <w:lang w:eastAsia="ja-JP"/>
        </w:rPr>
        <w:t>moyens;</w:t>
      </w:r>
      <w:proofErr w:type="gramEnd"/>
      <w:r w:rsidRPr="00A32AF4">
        <w:rPr>
          <w:bCs/>
          <w:lang w:eastAsia="ja-JP"/>
        </w:rPr>
        <w:t xml:space="preserve">  et</w:t>
      </w:r>
    </w:p>
    <w:p w:rsidR="00F93B76" w:rsidRPr="00A32AF4" w:rsidRDefault="00CD1430" w:rsidP="00DC0553">
      <w:pPr>
        <w:numPr>
          <w:ilvl w:val="0"/>
          <w:numId w:val="16"/>
        </w:numPr>
        <w:spacing w:after="120"/>
        <w:ind w:left="1134" w:hanging="567"/>
        <w:jc w:val="both"/>
        <w:rPr>
          <w:bCs/>
          <w:lang w:eastAsia="ja-JP"/>
        </w:rPr>
      </w:pPr>
      <w:r w:rsidRPr="00A32AF4">
        <w:rPr>
          <w:bCs/>
          <w:lang w:eastAsia="ja-JP"/>
        </w:rPr>
        <w:t>la disponibilité des nouvelles technologies de l</w:t>
      </w:r>
      <w:r w:rsidR="00E2055A" w:rsidRPr="00A32AF4">
        <w:rPr>
          <w:bCs/>
          <w:lang w:eastAsia="ja-JP"/>
        </w:rPr>
        <w:t>’</w:t>
      </w:r>
      <w:r w:rsidRPr="00A32AF4">
        <w:rPr>
          <w:bCs/>
          <w:lang w:eastAsia="ja-JP"/>
        </w:rPr>
        <w:t>information et de la communication qui renforce les attentes et facilite la mise en place de procédures exclusivement électroniques accessibles à tous les déposants.</w:t>
      </w:r>
    </w:p>
    <w:p w:rsidR="00F93B76" w:rsidRPr="00A32AF4" w:rsidRDefault="00F93B76" w:rsidP="00DC0553"/>
    <w:p w:rsidR="00F93B76" w:rsidRPr="00A32AF4" w:rsidRDefault="00F93B76" w:rsidP="00DC0553"/>
    <w:p w:rsidR="00F93B76" w:rsidRPr="00A32AF4" w:rsidRDefault="00FF3B37" w:rsidP="00DC0553">
      <w:r w:rsidRPr="00A32AF4">
        <w:t>STRATÉGIES DE MISE EN ŒUVRE</w:t>
      </w:r>
    </w:p>
    <w:p w:rsidR="00F93B76" w:rsidRPr="00A32AF4" w:rsidRDefault="00F93B76" w:rsidP="00DC0553"/>
    <w:p w:rsidR="00F93B76" w:rsidRPr="00A32AF4" w:rsidRDefault="00CD1430" w:rsidP="00DC0553">
      <w:pPr>
        <w:numPr>
          <w:ilvl w:val="0"/>
          <w:numId w:val="8"/>
        </w:numPr>
        <w:tabs>
          <w:tab w:val="clear" w:pos="680"/>
          <w:tab w:val="left" w:pos="567"/>
        </w:tabs>
        <w:jc w:val="both"/>
        <w:rPr>
          <w:bCs/>
          <w:lang w:eastAsia="ja-JP"/>
        </w:rPr>
      </w:pPr>
      <w:r w:rsidRPr="00A32AF4">
        <w:rPr>
          <w:bCs/>
          <w:lang w:eastAsia="ja-JP"/>
        </w:rPr>
        <w:t>La participation de toutes les parties prenantes est cruciale pour permettre un fonctionnement optimal du système du PCT.  Par conséquent, le programme portera sur la communication et la coopération entre les parties prenantes, ainsi que sur les gains d</w:t>
      </w:r>
      <w:r w:rsidR="00E2055A" w:rsidRPr="00A32AF4">
        <w:rPr>
          <w:bCs/>
          <w:lang w:eastAsia="ja-JP"/>
        </w:rPr>
        <w:t>’</w:t>
      </w:r>
      <w:r w:rsidRPr="00A32AF4">
        <w:rPr>
          <w:bCs/>
          <w:lang w:eastAsia="ja-JP"/>
        </w:rPr>
        <w:t>efficacité en faveur des parties prenantes.  Les stratégies de mise en œuvre ci</w:t>
      </w:r>
      <w:r w:rsidR="00EB7F54" w:rsidRPr="00A32AF4">
        <w:rPr>
          <w:bCs/>
          <w:lang w:eastAsia="ja-JP"/>
        </w:rPr>
        <w:noBreakHyphen/>
      </w:r>
      <w:r w:rsidRPr="00A32AF4">
        <w:rPr>
          <w:bCs/>
          <w:lang w:eastAsia="ja-JP"/>
        </w:rPr>
        <w:t>après seront appliquées :</w:t>
      </w:r>
    </w:p>
    <w:p w:rsidR="00F93B76" w:rsidRPr="00A32AF4" w:rsidRDefault="00F93B76" w:rsidP="00DC0553">
      <w:pPr>
        <w:tabs>
          <w:tab w:val="left" w:pos="1985"/>
          <w:tab w:val="left" w:pos="2552"/>
        </w:tabs>
        <w:spacing w:after="60"/>
        <w:jc w:val="both"/>
      </w:pPr>
    </w:p>
    <w:p w:rsidR="00F93B76" w:rsidRPr="00A32AF4" w:rsidRDefault="00CD1430" w:rsidP="00DC0553">
      <w:pPr>
        <w:numPr>
          <w:ilvl w:val="0"/>
          <w:numId w:val="16"/>
        </w:numPr>
        <w:spacing w:after="120"/>
        <w:ind w:left="1134" w:hanging="567"/>
        <w:jc w:val="both"/>
        <w:rPr>
          <w:bCs/>
          <w:lang w:eastAsia="ja-JP"/>
        </w:rPr>
      </w:pPr>
      <w:r w:rsidRPr="00A32AF4">
        <w:rPr>
          <w:bCs/>
          <w:lang w:eastAsia="ja-JP"/>
        </w:rPr>
        <w:t>utiliser le système ePCT et d</w:t>
      </w:r>
      <w:r w:rsidR="00E2055A" w:rsidRPr="00A32AF4">
        <w:rPr>
          <w:bCs/>
          <w:lang w:eastAsia="ja-JP"/>
        </w:rPr>
        <w:t>’</w:t>
      </w:r>
      <w:r w:rsidRPr="00A32AF4">
        <w:rPr>
          <w:bCs/>
          <w:lang w:eastAsia="ja-JP"/>
        </w:rPr>
        <w:t>autres outils afin d</w:t>
      </w:r>
      <w:r w:rsidR="00E2055A" w:rsidRPr="00A32AF4">
        <w:rPr>
          <w:bCs/>
          <w:lang w:eastAsia="ja-JP"/>
        </w:rPr>
        <w:t>’</w:t>
      </w:r>
      <w:r w:rsidRPr="00A32AF4">
        <w:rPr>
          <w:bCs/>
          <w:lang w:eastAsia="ja-JP"/>
        </w:rPr>
        <w:t>améliorer l</w:t>
      </w:r>
      <w:r w:rsidR="00E2055A" w:rsidRPr="00A32AF4">
        <w:rPr>
          <w:bCs/>
          <w:lang w:eastAsia="ja-JP"/>
        </w:rPr>
        <w:t>’</w:t>
      </w:r>
      <w:r w:rsidRPr="00A32AF4">
        <w:rPr>
          <w:bCs/>
          <w:lang w:eastAsia="ja-JP"/>
        </w:rPr>
        <w:t>automatisation des opérations et l</w:t>
      </w:r>
      <w:r w:rsidR="00E2055A" w:rsidRPr="00A32AF4">
        <w:rPr>
          <w:bCs/>
          <w:lang w:eastAsia="ja-JP"/>
        </w:rPr>
        <w:t>’</w:t>
      </w:r>
      <w:r w:rsidRPr="00A32AF4">
        <w:rPr>
          <w:bCs/>
          <w:lang w:eastAsia="ja-JP"/>
        </w:rPr>
        <w:t>efficacité de la communication entre les déposants, le Bureau international et les offices nationaux dans le but de renforcer l</w:t>
      </w:r>
      <w:r w:rsidR="00E2055A" w:rsidRPr="00A32AF4">
        <w:rPr>
          <w:bCs/>
          <w:lang w:eastAsia="ja-JP"/>
        </w:rPr>
        <w:t>’</w:t>
      </w:r>
      <w:r w:rsidRPr="00A32AF4">
        <w:rPr>
          <w:bCs/>
          <w:lang w:eastAsia="ja-JP"/>
        </w:rPr>
        <w:t>efficacité et la qualité de l</w:t>
      </w:r>
      <w:r w:rsidR="00E2055A" w:rsidRPr="00A32AF4">
        <w:rPr>
          <w:bCs/>
          <w:lang w:eastAsia="ja-JP"/>
        </w:rPr>
        <w:t>’</w:t>
      </w:r>
      <w:r w:rsidRPr="00A32AF4">
        <w:rPr>
          <w:bCs/>
          <w:lang w:eastAsia="ja-JP"/>
        </w:rPr>
        <w:t xml:space="preserve">interaction avec le système du PCT par les participants et de parfaire les exigences relatives à la </w:t>
      </w:r>
      <w:proofErr w:type="gramStart"/>
      <w:r w:rsidRPr="00A32AF4">
        <w:rPr>
          <w:bCs/>
          <w:lang w:eastAsia="ja-JP"/>
        </w:rPr>
        <w:t>sécurité;</w:t>
      </w:r>
      <w:proofErr w:type="gramEnd"/>
    </w:p>
    <w:p w:rsidR="00F93B76" w:rsidRPr="00A32AF4" w:rsidRDefault="00FC00DC" w:rsidP="00DC0553">
      <w:pPr>
        <w:numPr>
          <w:ilvl w:val="0"/>
          <w:numId w:val="16"/>
        </w:numPr>
        <w:spacing w:after="120"/>
        <w:ind w:left="1134" w:hanging="567"/>
        <w:jc w:val="both"/>
        <w:rPr>
          <w:rFonts w:cs="Arial"/>
        </w:rPr>
      </w:pPr>
      <w:r w:rsidRPr="00A32AF4">
        <w:rPr>
          <w:rFonts w:cs="Arial"/>
        </w:rPr>
        <w:t>p</w:t>
      </w:r>
      <w:r w:rsidR="00A32CDD" w:rsidRPr="00A32AF4">
        <w:rPr>
          <w:rFonts w:cs="Arial"/>
        </w:rPr>
        <w:t>r</w:t>
      </w:r>
      <w:r w:rsidRPr="00A32AF4">
        <w:rPr>
          <w:rFonts w:cs="Arial"/>
        </w:rPr>
        <w:t>endre des mesures pour renforcer la ré</w:t>
      </w:r>
      <w:r w:rsidR="008E2946" w:rsidRPr="00A32AF4">
        <w:rPr>
          <w:rFonts w:cs="Arial"/>
        </w:rPr>
        <w:t xml:space="preserve">silience </w:t>
      </w:r>
      <w:r w:rsidRPr="00A32AF4">
        <w:rPr>
          <w:rFonts w:cs="Arial"/>
        </w:rPr>
        <w:t>et les niveaux de sécurité de l</w:t>
      </w:r>
      <w:r w:rsidR="00E2055A" w:rsidRPr="00A32AF4">
        <w:rPr>
          <w:rFonts w:cs="Arial"/>
        </w:rPr>
        <w:t>’</w:t>
      </w:r>
      <w:r w:rsidRPr="00A32AF4">
        <w:rPr>
          <w:rFonts w:cs="Arial"/>
        </w:rPr>
        <w:t>infrastructure</w:t>
      </w:r>
      <w:r w:rsidR="00E2055A" w:rsidRPr="00A32AF4">
        <w:rPr>
          <w:rFonts w:cs="Arial"/>
        </w:rPr>
        <w:t xml:space="preserve"> des TIC</w:t>
      </w:r>
      <w:r w:rsidRPr="00A32AF4">
        <w:rPr>
          <w:rFonts w:cs="Arial"/>
        </w:rPr>
        <w:t xml:space="preserve"> appuyant les systèmes informatiques et opérationnels</w:t>
      </w:r>
      <w:r w:rsidR="00E2055A" w:rsidRPr="00A32AF4">
        <w:rPr>
          <w:rFonts w:cs="Arial"/>
        </w:rPr>
        <w:t xml:space="preserve"> du PCT</w:t>
      </w:r>
      <w:r w:rsidRPr="00A32AF4">
        <w:rPr>
          <w:rFonts w:cs="Arial"/>
        </w:rPr>
        <w:t xml:space="preserve"> en </w:t>
      </w:r>
      <w:r w:rsidR="008E2946" w:rsidRPr="00A32AF4">
        <w:rPr>
          <w:rFonts w:cs="Arial"/>
        </w:rPr>
        <w:t xml:space="preserve">collaboration </w:t>
      </w:r>
      <w:r w:rsidRPr="00A32AF4">
        <w:rPr>
          <w:rFonts w:cs="Arial"/>
        </w:rPr>
        <w:t>avec le programme </w:t>
      </w:r>
      <w:r w:rsidR="008E2946" w:rsidRPr="00A32AF4">
        <w:rPr>
          <w:rFonts w:cs="Arial"/>
        </w:rPr>
        <w:t>25 (</w:t>
      </w:r>
      <w:r w:rsidR="001A00FE" w:rsidRPr="00A32AF4">
        <w:rPr>
          <w:rFonts w:cs="Arial"/>
        </w:rPr>
        <w:t>TIC</w:t>
      </w:r>
      <w:proofErr w:type="gramStart"/>
      <w:r w:rsidR="001A00FE" w:rsidRPr="00A32AF4">
        <w:rPr>
          <w:rFonts w:cs="Arial"/>
        </w:rPr>
        <w:t>)</w:t>
      </w:r>
      <w:r w:rsidR="00A32CDD" w:rsidRPr="00A32AF4">
        <w:rPr>
          <w:rFonts w:cs="Arial"/>
        </w:rPr>
        <w:t>;</w:t>
      </w:r>
      <w:proofErr w:type="gramEnd"/>
    </w:p>
    <w:p w:rsidR="00F93B76" w:rsidRPr="00A32AF4" w:rsidRDefault="00CD1430" w:rsidP="00DC0553">
      <w:pPr>
        <w:numPr>
          <w:ilvl w:val="0"/>
          <w:numId w:val="16"/>
        </w:numPr>
        <w:spacing w:after="120"/>
        <w:ind w:left="1134" w:hanging="567"/>
        <w:jc w:val="both"/>
        <w:rPr>
          <w:bCs/>
          <w:lang w:eastAsia="ja-JP"/>
        </w:rPr>
      </w:pPr>
      <w:r w:rsidRPr="00A32AF4">
        <w:rPr>
          <w:bCs/>
          <w:lang w:eastAsia="ja-JP"/>
        </w:rPr>
        <w:t>soutenir les efforts consentis par les administrations internationales afin d</w:t>
      </w:r>
      <w:r w:rsidR="00E2055A" w:rsidRPr="00A32AF4">
        <w:rPr>
          <w:bCs/>
          <w:lang w:eastAsia="ja-JP"/>
        </w:rPr>
        <w:t>’</w:t>
      </w:r>
      <w:r w:rsidRPr="00A32AF4">
        <w:rPr>
          <w:bCs/>
          <w:lang w:eastAsia="ja-JP"/>
        </w:rPr>
        <w:t>améliorer la qualité et les délais d</w:t>
      </w:r>
      <w:r w:rsidR="00E2055A" w:rsidRPr="00A32AF4">
        <w:rPr>
          <w:bCs/>
          <w:lang w:eastAsia="ja-JP"/>
        </w:rPr>
        <w:t>’</w:t>
      </w:r>
      <w:r w:rsidRPr="00A32AF4">
        <w:rPr>
          <w:bCs/>
          <w:lang w:eastAsia="ja-JP"/>
        </w:rPr>
        <w:t>exécution de leurs produits, notamment l</w:t>
      </w:r>
      <w:r w:rsidR="00E2055A" w:rsidRPr="00A32AF4">
        <w:rPr>
          <w:bCs/>
          <w:lang w:eastAsia="ja-JP"/>
        </w:rPr>
        <w:t>’</w:t>
      </w:r>
      <w:r w:rsidRPr="00A32AF4">
        <w:rPr>
          <w:bCs/>
          <w:lang w:eastAsia="ja-JP"/>
        </w:rPr>
        <w:t>élaboration de critères qualitatifs et les enquêtes sur les recherches et l</w:t>
      </w:r>
      <w:r w:rsidR="00E2055A" w:rsidRPr="00A32AF4">
        <w:rPr>
          <w:bCs/>
          <w:lang w:eastAsia="ja-JP"/>
        </w:rPr>
        <w:t>’</w:t>
      </w:r>
      <w:r w:rsidRPr="00A32AF4">
        <w:rPr>
          <w:bCs/>
          <w:lang w:eastAsia="ja-JP"/>
        </w:rPr>
        <w:t>examen concertés des demandes selon le </w:t>
      </w:r>
      <w:proofErr w:type="gramStart"/>
      <w:r w:rsidRPr="00A32AF4">
        <w:rPr>
          <w:bCs/>
          <w:lang w:eastAsia="ja-JP"/>
        </w:rPr>
        <w:t>PCT;</w:t>
      </w:r>
      <w:proofErr w:type="gramEnd"/>
    </w:p>
    <w:p w:rsidR="00F93B76" w:rsidRPr="00A32AF4" w:rsidRDefault="00CD1430" w:rsidP="00DC0553">
      <w:pPr>
        <w:numPr>
          <w:ilvl w:val="0"/>
          <w:numId w:val="16"/>
        </w:numPr>
        <w:spacing w:after="120"/>
        <w:ind w:left="1134" w:hanging="567"/>
        <w:jc w:val="both"/>
        <w:rPr>
          <w:bCs/>
          <w:lang w:eastAsia="ja-JP"/>
        </w:rPr>
      </w:pPr>
      <w:r w:rsidRPr="00A32AF4">
        <w:rPr>
          <w:bCs/>
          <w:lang w:eastAsia="ja-JP"/>
        </w:rPr>
        <w:t>continuer d</w:t>
      </w:r>
      <w:r w:rsidR="00E2055A" w:rsidRPr="00A32AF4">
        <w:rPr>
          <w:bCs/>
          <w:lang w:eastAsia="ja-JP"/>
        </w:rPr>
        <w:t>’</w:t>
      </w:r>
      <w:r w:rsidRPr="00A32AF4">
        <w:rPr>
          <w:bCs/>
          <w:lang w:eastAsia="ja-JP"/>
        </w:rPr>
        <w:t>explorer de nouveaux moyens d</w:t>
      </w:r>
      <w:r w:rsidR="00E2055A" w:rsidRPr="00A32AF4">
        <w:rPr>
          <w:bCs/>
          <w:lang w:eastAsia="ja-JP"/>
        </w:rPr>
        <w:t>’</w:t>
      </w:r>
      <w:r w:rsidRPr="00A32AF4">
        <w:rPr>
          <w:bCs/>
          <w:lang w:eastAsia="ja-JP"/>
        </w:rPr>
        <w:t xml:space="preserve">améliorer le système du PCT, tout en appliquant des mesures précises déjà approuvées par les États </w:t>
      </w:r>
      <w:proofErr w:type="gramStart"/>
      <w:r w:rsidRPr="00A32AF4">
        <w:rPr>
          <w:bCs/>
          <w:lang w:eastAsia="ja-JP"/>
        </w:rPr>
        <w:t>membres;</w:t>
      </w:r>
      <w:proofErr w:type="gramEnd"/>
    </w:p>
    <w:p w:rsidR="00F93B76" w:rsidRPr="00A32AF4" w:rsidRDefault="00CD1430" w:rsidP="00DC0553">
      <w:pPr>
        <w:numPr>
          <w:ilvl w:val="0"/>
          <w:numId w:val="16"/>
        </w:numPr>
        <w:spacing w:after="120"/>
        <w:ind w:left="1134" w:hanging="567"/>
        <w:jc w:val="both"/>
        <w:rPr>
          <w:bCs/>
          <w:lang w:eastAsia="ja-JP"/>
        </w:rPr>
      </w:pPr>
      <w:r w:rsidRPr="00A32AF4">
        <w:rPr>
          <w:bCs/>
          <w:lang w:eastAsia="ja-JP"/>
        </w:rPr>
        <w:t>renforcer la communication avec toutes les parties prenantes et les clients du PCT, au moyen d</w:t>
      </w:r>
      <w:r w:rsidR="00E2055A" w:rsidRPr="00A32AF4">
        <w:rPr>
          <w:bCs/>
          <w:lang w:eastAsia="ja-JP"/>
        </w:rPr>
        <w:t>’</w:t>
      </w:r>
      <w:r w:rsidRPr="00A32AF4">
        <w:rPr>
          <w:bCs/>
          <w:lang w:eastAsia="ja-JP"/>
        </w:rPr>
        <w:t>enquêtes et d</w:t>
      </w:r>
      <w:r w:rsidR="00E2055A" w:rsidRPr="00A32AF4">
        <w:rPr>
          <w:bCs/>
          <w:lang w:eastAsia="ja-JP"/>
        </w:rPr>
        <w:t>’</w:t>
      </w:r>
      <w:r w:rsidRPr="00A32AF4">
        <w:rPr>
          <w:bCs/>
          <w:lang w:eastAsia="ja-JP"/>
        </w:rPr>
        <w:t>actions d</w:t>
      </w:r>
      <w:r w:rsidR="00E2055A" w:rsidRPr="00A32AF4">
        <w:rPr>
          <w:bCs/>
          <w:lang w:eastAsia="ja-JP"/>
        </w:rPr>
        <w:t>’</w:t>
      </w:r>
      <w:r w:rsidRPr="00A32AF4">
        <w:rPr>
          <w:bCs/>
          <w:lang w:eastAsia="ja-JP"/>
        </w:rPr>
        <w:t>information, afin de recenser les besoins et de renforcer l</w:t>
      </w:r>
      <w:r w:rsidR="00E2055A" w:rsidRPr="00A32AF4">
        <w:rPr>
          <w:bCs/>
          <w:lang w:eastAsia="ja-JP"/>
        </w:rPr>
        <w:t>’</w:t>
      </w:r>
      <w:r w:rsidRPr="00A32AF4">
        <w:rPr>
          <w:bCs/>
          <w:lang w:eastAsia="ja-JP"/>
        </w:rPr>
        <w:t>efficacité des services du </w:t>
      </w:r>
      <w:proofErr w:type="gramStart"/>
      <w:r w:rsidRPr="00A32AF4">
        <w:rPr>
          <w:bCs/>
          <w:lang w:eastAsia="ja-JP"/>
        </w:rPr>
        <w:t>PCT;</w:t>
      </w:r>
      <w:proofErr w:type="gramEnd"/>
    </w:p>
    <w:p w:rsidR="00F93B76" w:rsidRPr="00A32AF4" w:rsidRDefault="00CD1430" w:rsidP="00DC0553">
      <w:pPr>
        <w:numPr>
          <w:ilvl w:val="0"/>
          <w:numId w:val="16"/>
        </w:numPr>
        <w:spacing w:after="120"/>
        <w:ind w:left="1134" w:hanging="567"/>
        <w:jc w:val="both"/>
        <w:rPr>
          <w:bCs/>
          <w:lang w:eastAsia="ja-JP"/>
        </w:rPr>
      </w:pPr>
      <w:r w:rsidRPr="00A32AF4">
        <w:rPr>
          <w:bCs/>
          <w:lang w:eastAsia="ja-JP"/>
        </w:rPr>
        <w:t>dispenser des formations à davantage d</w:t>
      </w:r>
      <w:r w:rsidR="00E2055A" w:rsidRPr="00A32AF4">
        <w:rPr>
          <w:bCs/>
          <w:lang w:eastAsia="ja-JP"/>
        </w:rPr>
        <w:t>’</w:t>
      </w:r>
      <w:r w:rsidRPr="00A32AF4">
        <w:rPr>
          <w:bCs/>
          <w:lang w:eastAsia="ja-JP"/>
        </w:rPr>
        <w:t>utilisateurs du PCT, à l</w:t>
      </w:r>
      <w:r w:rsidR="00E2055A" w:rsidRPr="00A32AF4">
        <w:rPr>
          <w:bCs/>
          <w:lang w:eastAsia="ja-JP"/>
        </w:rPr>
        <w:t>’</w:t>
      </w:r>
      <w:r w:rsidRPr="00A32AF4">
        <w:rPr>
          <w:bCs/>
          <w:lang w:eastAsia="ja-JP"/>
        </w:rPr>
        <w:t xml:space="preserve">aide de moyens techniques tels que des séminaires en ligne et des </w:t>
      </w:r>
      <w:proofErr w:type="gramStart"/>
      <w:r w:rsidRPr="00A32AF4">
        <w:rPr>
          <w:bCs/>
          <w:lang w:eastAsia="ja-JP"/>
        </w:rPr>
        <w:t>vidéoconférences;</w:t>
      </w:r>
      <w:proofErr w:type="gramEnd"/>
    </w:p>
    <w:p w:rsidR="00F93B76" w:rsidRPr="00A32AF4" w:rsidRDefault="00CD1430" w:rsidP="00DC0553">
      <w:pPr>
        <w:numPr>
          <w:ilvl w:val="0"/>
          <w:numId w:val="16"/>
        </w:numPr>
        <w:spacing w:after="120"/>
        <w:ind w:left="1134" w:hanging="567"/>
        <w:jc w:val="both"/>
        <w:rPr>
          <w:bCs/>
          <w:lang w:eastAsia="ja-JP"/>
        </w:rPr>
      </w:pPr>
      <w:r w:rsidRPr="00A32AF4">
        <w:rPr>
          <w:bCs/>
          <w:lang w:eastAsia="ja-JP"/>
        </w:rPr>
        <w:t>réorganiser l</w:t>
      </w:r>
      <w:r w:rsidR="00E2055A" w:rsidRPr="00A32AF4">
        <w:rPr>
          <w:bCs/>
          <w:lang w:eastAsia="ja-JP"/>
        </w:rPr>
        <w:t>’</w:t>
      </w:r>
      <w:r w:rsidRPr="00A32AF4">
        <w:rPr>
          <w:bCs/>
          <w:lang w:eastAsia="ja-JP"/>
        </w:rPr>
        <w:t>élaboration et la diffusion des informations relatives au </w:t>
      </w:r>
      <w:proofErr w:type="gramStart"/>
      <w:r w:rsidRPr="00A32AF4">
        <w:rPr>
          <w:bCs/>
          <w:lang w:eastAsia="ja-JP"/>
        </w:rPr>
        <w:t>PCT;</w:t>
      </w:r>
      <w:proofErr w:type="gramEnd"/>
    </w:p>
    <w:p w:rsidR="00F93B76" w:rsidRPr="00A32AF4" w:rsidRDefault="00CD1430" w:rsidP="00DC0553">
      <w:pPr>
        <w:numPr>
          <w:ilvl w:val="0"/>
          <w:numId w:val="16"/>
        </w:numPr>
        <w:spacing w:after="120"/>
        <w:ind w:left="1134" w:hanging="567"/>
        <w:jc w:val="both"/>
        <w:rPr>
          <w:bCs/>
          <w:lang w:eastAsia="ja-JP"/>
        </w:rPr>
      </w:pPr>
      <w:r w:rsidRPr="00A32AF4">
        <w:rPr>
          <w:bCs/>
          <w:lang w:eastAsia="ja-JP"/>
        </w:rPr>
        <w:t>continuer d</w:t>
      </w:r>
      <w:r w:rsidR="00E2055A" w:rsidRPr="00A32AF4">
        <w:rPr>
          <w:bCs/>
          <w:lang w:eastAsia="ja-JP"/>
        </w:rPr>
        <w:t>’</w:t>
      </w:r>
      <w:r w:rsidRPr="00A32AF4">
        <w:rPr>
          <w:bCs/>
          <w:lang w:eastAsia="ja-JP"/>
        </w:rPr>
        <w:t xml:space="preserve">aligner les compétences du personnel sur les besoins, notamment en vue de satisfaire la demande linguistique et </w:t>
      </w:r>
      <w:proofErr w:type="gramStart"/>
      <w:r w:rsidRPr="00A32AF4">
        <w:rPr>
          <w:bCs/>
          <w:lang w:eastAsia="ja-JP"/>
        </w:rPr>
        <w:t>géographique;</w:t>
      </w:r>
      <w:proofErr w:type="gramEnd"/>
    </w:p>
    <w:p w:rsidR="00F93B76" w:rsidRPr="00A32AF4" w:rsidRDefault="00CD1430" w:rsidP="00DC0553">
      <w:pPr>
        <w:numPr>
          <w:ilvl w:val="0"/>
          <w:numId w:val="16"/>
        </w:numPr>
        <w:spacing w:after="120"/>
        <w:ind w:left="1134" w:hanging="567"/>
        <w:jc w:val="both"/>
        <w:rPr>
          <w:bCs/>
          <w:lang w:eastAsia="ja-JP"/>
        </w:rPr>
      </w:pPr>
      <w:r w:rsidRPr="00A32AF4">
        <w:rPr>
          <w:bCs/>
          <w:lang w:eastAsia="ja-JP"/>
        </w:rPr>
        <w:t>continuer d</w:t>
      </w:r>
      <w:r w:rsidR="00E2055A" w:rsidRPr="00A32AF4">
        <w:rPr>
          <w:bCs/>
          <w:lang w:eastAsia="ja-JP"/>
        </w:rPr>
        <w:t>’</w:t>
      </w:r>
      <w:r w:rsidRPr="00A32AF4">
        <w:rPr>
          <w:bCs/>
          <w:lang w:eastAsia="ja-JP"/>
        </w:rPr>
        <w:t>examiner et de mettre en œuvre des mesures de contrôle et de maîtrise des coûts dans le cadre des opérations du </w:t>
      </w:r>
      <w:proofErr w:type="gramStart"/>
      <w:r w:rsidRPr="00A32AF4">
        <w:rPr>
          <w:bCs/>
          <w:lang w:eastAsia="ja-JP"/>
        </w:rPr>
        <w:t>PCT;</w:t>
      </w:r>
      <w:proofErr w:type="gramEnd"/>
      <w:r w:rsidRPr="00A32AF4">
        <w:rPr>
          <w:bCs/>
          <w:lang w:eastAsia="ja-JP"/>
        </w:rPr>
        <w:t xml:space="preserve">  et</w:t>
      </w:r>
    </w:p>
    <w:p w:rsidR="00F93B76" w:rsidRPr="00A32AF4" w:rsidRDefault="00CD1430" w:rsidP="00DC0553">
      <w:pPr>
        <w:numPr>
          <w:ilvl w:val="0"/>
          <w:numId w:val="16"/>
        </w:numPr>
        <w:spacing w:after="120"/>
        <w:ind w:left="1134" w:hanging="567"/>
        <w:jc w:val="both"/>
        <w:rPr>
          <w:bCs/>
          <w:lang w:eastAsia="ja-JP"/>
        </w:rPr>
      </w:pPr>
      <w:r w:rsidRPr="00A32AF4">
        <w:rPr>
          <w:bCs/>
          <w:lang w:eastAsia="ja-JP"/>
        </w:rPr>
        <w:t>poursuivre la coopération avec d</w:t>
      </w:r>
      <w:r w:rsidR="00E2055A" w:rsidRPr="00A32AF4">
        <w:rPr>
          <w:bCs/>
          <w:lang w:eastAsia="ja-JP"/>
        </w:rPr>
        <w:t>’</w:t>
      </w:r>
      <w:r w:rsidRPr="00A32AF4">
        <w:rPr>
          <w:bCs/>
          <w:lang w:eastAsia="ja-JP"/>
        </w:rPr>
        <w:t>autres programmes concernant l</w:t>
      </w:r>
      <w:r w:rsidR="00E2055A" w:rsidRPr="00A32AF4">
        <w:rPr>
          <w:bCs/>
          <w:lang w:eastAsia="ja-JP"/>
        </w:rPr>
        <w:t>’</w:t>
      </w:r>
      <w:r w:rsidRPr="00A32AF4">
        <w:rPr>
          <w:bCs/>
          <w:lang w:eastAsia="ja-JP"/>
        </w:rPr>
        <w:t>assistance technique et du renforcement des capacités au sein du PCT pour les pays en développement et les pays les moins avancés comme illustré ci</w:t>
      </w:r>
      <w:r w:rsidR="00EB7F54" w:rsidRPr="00A32AF4">
        <w:rPr>
          <w:bCs/>
          <w:lang w:eastAsia="ja-JP"/>
        </w:rPr>
        <w:noBreakHyphen/>
      </w:r>
      <w:r w:rsidRPr="00A32AF4">
        <w:rPr>
          <w:bCs/>
          <w:lang w:eastAsia="ja-JP"/>
        </w:rPr>
        <w:t>dessous.</w:t>
      </w:r>
    </w:p>
    <w:p w:rsidR="00F93B76" w:rsidRPr="00A32AF4" w:rsidRDefault="00F93B76" w:rsidP="00DC0553"/>
    <w:p w:rsidR="00F93B76" w:rsidRPr="00A32AF4" w:rsidRDefault="00CD1430" w:rsidP="00DC0553">
      <w:pPr>
        <w:spacing w:after="120"/>
        <w:jc w:val="both"/>
      </w:pPr>
      <w:r w:rsidRPr="00A32AF4">
        <w:rPr>
          <w:noProof/>
          <w:lang w:eastAsia="fr-FR"/>
        </w:rPr>
        <w:drawing>
          <wp:inline distT="0" distB="0" distL="0" distR="0" wp14:anchorId="1E204B06" wp14:editId="57EAD61B">
            <wp:extent cx="5943600" cy="2162175"/>
            <wp:effectExtent l="57150" t="0" r="38100" b="47625"/>
            <wp:docPr id="17" name="Diagram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p>
    <w:p w:rsidR="00F93B76" w:rsidRPr="00A32AF4" w:rsidRDefault="00F93B76" w:rsidP="00DC0553"/>
    <w:p w:rsidR="00F93B76" w:rsidRPr="00A32AF4" w:rsidRDefault="00F93B76" w:rsidP="00DC0553"/>
    <w:p w:rsidR="00F93B76" w:rsidRPr="00A32AF4" w:rsidRDefault="00FF3B37" w:rsidP="00DC0553">
      <w:r w:rsidRPr="00A32AF4">
        <w:t>PRINCIPAUX RISQUES ET STRATÉGIES D</w:t>
      </w:r>
      <w:r w:rsidR="00E2055A" w:rsidRPr="00A32AF4">
        <w:t>’</w:t>
      </w:r>
      <w:r w:rsidRPr="00A32AF4">
        <w:t>ATTÉNUATION</w:t>
      </w:r>
    </w:p>
    <w:p w:rsidR="00CD1430" w:rsidRPr="00A32AF4" w:rsidRDefault="00CD1430" w:rsidP="00DC0553">
      <w:pPr>
        <w:rPr>
          <w:szCs w:val="22"/>
        </w:rPr>
      </w:pPr>
    </w:p>
    <w:tbl>
      <w:tblPr>
        <w:tblW w:w="9356"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11"/>
        <w:gridCol w:w="5245"/>
      </w:tblGrid>
      <w:tr w:rsidR="0038294E" w:rsidRPr="00A32AF4" w:rsidTr="00906594">
        <w:trPr>
          <w:trHeight w:val="577"/>
        </w:trPr>
        <w:tc>
          <w:tcPr>
            <w:tcW w:w="4111" w:type="dxa"/>
            <w:tcBorders>
              <w:top w:val="single" w:sz="4" w:space="0" w:color="auto"/>
              <w:bottom w:val="single" w:sz="4" w:space="0" w:color="auto"/>
            </w:tcBorders>
            <w:shd w:val="clear" w:color="auto" w:fill="C6D9F1" w:themeFill="text2" w:themeFillTint="33"/>
            <w:vAlign w:val="center"/>
          </w:tcPr>
          <w:p w:rsidR="00CD1430" w:rsidRPr="00A32AF4" w:rsidRDefault="00CD1430" w:rsidP="00DC0553">
            <w:pPr>
              <w:jc w:val="center"/>
              <w:rPr>
                <w:b/>
                <w:bCs/>
                <w:sz w:val="18"/>
                <w:szCs w:val="18"/>
              </w:rPr>
            </w:pPr>
            <w:r w:rsidRPr="00A32AF4">
              <w:rPr>
                <w:b/>
                <w:bCs/>
                <w:sz w:val="18"/>
                <w:szCs w:val="18"/>
              </w:rPr>
              <w:t>Risque</w:t>
            </w:r>
            <w:r w:rsidR="00D27E4C" w:rsidRPr="00A32AF4">
              <w:rPr>
                <w:b/>
                <w:bCs/>
                <w:sz w:val="18"/>
                <w:szCs w:val="18"/>
              </w:rPr>
              <w:t>s</w:t>
            </w:r>
          </w:p>
        </w:tc>
        <w:tc>
          <w:tcPr>
            <w:tcW w:w="5245" w:type="dxa"/>
            <w:tcBorders>
              <w:top w:val="single" w:sz="4" w:space="0" w:color="auto"/>
              <w:bottom w:val="single" w:sz="4" w:space="0" w:color="auto"/>
            </w:tcBorders>
            <w:shd w:val="clear" w:color="auto" w:fill="C6D9F1" w:themeFill="text2" w:themeFillTint="33"/>
            <w:vAlign w:val="center"/>
          </w:tcPr>
          <w:p w:rsidR="00CD1430" w:rsidRPr="00A32AF4" w:rsidRDefault="00FD3E7B" w:rsidP="00DC0553">
            <w:pPr>
              <w:jc w:val="center"/>
              <w:rPr>
                <w:b/>
                <w:bCs/>
                <w:sz w:val="18"/>
                <w:szCs w:val="18"/>
              </w:rPr>
            </w:pPr>
            <w:r w:rsidRPr="00A32AF4">
              <w:rPr>
                <w:b/>
                <w:bCs/>
                <w:sz w:val="18"/>
                <w:szCs w:val="18"/>
              </w:rPr>
              <w:t>Stratégie</w:t>
            </w:r>
            <w:r w:rsidR="00D27E4C" w:rsidRPr="00A32AF4">
              <w:rPr>
                <w:b/>
                <w:bCs/>
                <w:sz w:val="18"/>
                <w:szCs w:val="18"/>
              </w:rPr>
              <w:t>s</w:t>
            </w:r>
            <w:r w:rsidRPr="00A32AF4">
              <w:rPr>
                <w:b/>
                <w:bCs/>
                <w:sz w:val="18"/>
                <w:szCs w:val="18"/>
              </w:rPr>
              <w:t xml:space="preserve"> d</w:t>
            </w:r>
            <w:r w:rsidR="00E2055A" w:rsidRPr="00A32AF4">
              <w:rPr>
                <w:b/>
                <w:bCs/>
                <w:sz w:val="18"/>
                <w:szCs w:val="18"/>
              </w:rPr>
              <w:t>’</w:t>
            </w:r>
            <w:r w:rsidRPr="00A32AF4">
              <w:rPr>
                <w:b/>
                <w:bCs/>
                <w:sz w:val="18"/>
                <w:szCs w:val="18"/>
              </w:rPr>
              <w:t>atténuation</w:t>
            </w:r>
          </w:p>
        </w:tc>
      </w:tr>
      <w:tr w:rsidR="0038294E" w:rsidRPr="00A32AF4" w:rsidTr="007575E1">
        <w:trPr>
          <w:trHeight w:val="336"/>
        </w:trPr>
        <w:tc>
          <w:tcPr>
            <w:tcW w:w="4111" w:type="dxa"/>
            <w:tcBorders>
              <w:top w:val="single" w:sz="4" w:space="0" w:color="auto"/>
            </w:tcBorders>
            <w:shd w:val="clear" w:color="auto" w:fill="auto"/>
            <w:tcMar>
              <w:top w:w="113" w:type="dxa"/>
              <w:bottom w:w="113" w:type="dxa"/>
            </w:tcMar>
          </w:tcPr>
          <w:p w:rsidR="00CD1430" w:rsidRPr="00A32AF4" w:rsidRDefault="00CD1430" w:rsidP="00DC0553">
            <w:pPr>
              <w:rPr>
                <w:sz w:val="16"/>
                <w:szCs w:val="16"/>
              </w:rPr>
            </w:pPr>
            <w:r w:rsidRPr="00A32AF4">
              <w:rPr>
                <w:sz w:val="16"/>
                <w:szCs w:val="16"/>
              </w:rPr>
              <w:t>Diminution des dépôts selon le PCT, en termes absolus ou par rapport aux demandes de dépôts en vertu de la Convention de Paris</w:t>
            </w:r>
          </w:p>
        </w:tc>
        <w:tc>
          <w:tcPr>
            <w:tcW w:w="5245" w:type="dxa"/>
            <w:tcBorders>
              <w:top w:val="single" w:sz="4" w:space="0" w:color="auto"/>
            </w:tcBorders>
            <w:shd w:val="clear" w:color="auto" w:fill="auto"/>
            <w:tcMar>
              <w:top w:w="113" w:type="dxa"/>
              <w:bottom w:w="113" w:type="dxa"/>
            </w:tcMar>
          </w:tcPr>
          <w:p w:rsidR="00CD1430" w:rsidRPr="00A32AF4" w:rsidRDefault="00CD1430" w:rsidP="00DC0553">
            <w:pPr>
              <w:rPr>
                <w:sz w:val="16"/>
                <w:szCs w:val="16"/>
              </w:rPr>
            </w:pPr>
            <w:r w:rsidRPr="00A32AF4">
              <w:rPr>
                <w:sz w:val="16"/>
                <w:szCs w:val="16"/>
              </w:rPr>
              <w:t>Continuer de promouvoir le système du PCT auprès des utilisateurs actuels ou potentiels.</w:t>
            </w:r>
          </w:p>
        </w:tc>
      </w:tr>
      <w:tr w:rsidR="0038294E" w:rsidRPr="00A32AF4" w:rsidTr="007575E1">
        <w:trPr>
          <w:trHeight w:val="454"/>
        </w:trPr>
        <w:tc>
          <w:tcPr>
            <w:tcW w:w="4111" w:type="dxa"/>
            <w:shd w:val="clear" w:color="auto" w:fill="auto"/>
            <w:tcMar>
              <w:top w:w="113" w:type="dxa"/>
              <w:bottom w:w="113" w:type="dxa"/>
            </w:tcMar>
          </w:tcPr>
          <w:p w:rsidR="00CD1430" w:rsidRPr="00A32AF4" w:rsidRDefault="00CD1430" w:rsidP="00DC0553">
            <w:pPr>
              <w:rPr>
                <w:sz w:val="16"/>
                <w:szCs w:val="16"/>
              </w:rPr>
            </w:pPr>
            <w:r w:rsidRPr="00A32AF4">
              <w:rPr>
                <w:sz w:val="16"/>
                <w:szCs w:val="16"/>
              </w:rPr>
              <w:t>Indisponibilité prolongée des services du PCT</w:t>
            </w:r>
          </w:p>
        </w:tc>
        <w:tc>
          <w:tcPr>
            <w:tcW w:w="5245" w:type="dxa"/>
            <w:shd w:val="clear" w:color="auto" w:fill="auto"/>
            <w:tcMar>
              <w:top w:w="113" w:type="dxa"/>
              <w:bottom w:w="113" w:type="dxa"/>
            </w:tcMar>
          </w:tcPr>
          <w:p w:rsidR="00CD1430" w:rsidRPr="00A32AF4" w:rsidRDefault="00CD1430" w:rsidP="00DC0553">
            <w:pPr>
              <w:rPr>
                <w:sz w:val="16"/>
                <w:szCs w:val="16"/>
              </w:rPr>
            </w:pPr>
            <w:r w:rsidRPr="00A32AF4">
              <w:rPr>
                <w:sz w:val="16"/>
                <w:szCs w:val="16"/>
              </w:rPr>
              <w:t>Préparer et effectuer des essais réguliers du plan de gestion de la continuité des opérations et application des améliorations en matière de résilience au sein de la structure du système.</w:t>
            </w:r>
          </w:p>
        </w:tc>
      </w:tr>
      <w:tr w:rsidR="0038294E" w:rsidRPr="00A32AF4" w:rsidTr="007575E1">
        <w:trPr>
          <w:trHeight w:val="670"/>
        </w:trPr>
        <w:tc>
          <w:tcPr>
            <w:tcW w:w="4111" w:type="dxa"/>
            <w:shd w:val="clear" w:color="auto" w:fill="auto"/>
            <w:tcMar>
              <w:top w:w="113" w:type="dxa"/>
              <w:bottom w:w="113" w:type="dxa"/>
            </w:tcMar>
          </w:tcPr>
          <w:p w:rsidR="00CD1430" w:rsidRPr="00A32AF4" w:rsidRDefault="00CD1430" w:rsidP="00DC0553">
            <w:pPr>
              <w:rPr>
                <w:sz w:val="16"/>
                <w:szCs w:val="16"/>
              </w:rPr>
            </w:pPr>
            <w:r w:rsidRPr="00A32AF4">
              <w:rPr>
                <w:sz w:val="16"/>
                <w:szCs w:val="16"/>
              </w:rPr>
              <w:t>Divulgation malveillante ou involontaire d</w:t>
            </w:r>
            <w:r w:rsidR="00E2055A" w:rsidRPr="00A32AF4">
              <w:rPr>
                <w:sz w:val="16"/>
                <w:szCs w:val="16"/>
              </w:rPr>
              <w:t>’</w:t>
            </w:r>
            <w:r w:rsidRPr="00A32AF4">
              <w:rPr>
                <w:sz w:val="16"/>
                <w:szCs w:val="16"/>
              </w:rPr>
              <w:t>informations confidentielles</w:t>
            </w:r>
          </w:p>
        </w:tc>
        <w:tc>
          <w:tcPr>
            <w:tcW w:w="5245" w:type="dxa"/>
            <w:shd w:val="clear" w:color="auto" w:fill="auto"/>
            <w:tcMar>
              <w:top w:w="113" w:type="dxa"/>
              <w:bottom w:w="113" w:type="dxa"/>
            </w:tcMar>
          </w:tcPr>
          <w:p w:rsidR="00CD1430" w:rsidRPr="00A32AF4" w:rsidRDefault="00CD1430" w:rsidP="00DC0553">
            <w:pPr>
              <w:rPr>
                <w:sz w:val="16"/>
                <w:szCs w:val="16"/>
              </w:rPr>
            </w:pPr>
            <w:r w:rsidRPr="00A32AF4">
              <w:rPr>
                <w:sz w:val="16"/>
                <w:szCs w:val="16"/>
              </w:rPr>
              <w:t xml:space="preserve">Poursuivre le programme de sensibilisation du </w:t>
            </w:r>
            <w:proofErr w:type="gramStart"/>
            <w:r w:rsidRPr="00A32AF4">
              <w:rPr>
                <w:sz w:val="16"/>
                <w:szCs w:val="16"/>
              </w:rPr>
              <w:t>personnel;</w:t>
            </w:r>
            <w:proofErr w:type="gramEnd"/>
            <w:r w:rsidRPr="00A32AF4">
              <w:rPr>
                <w:sz w:val="16"/>
                <w:szCs w:val="16"/>
              </w:rPr>
              <w:t xml:space="preserve">  multiplier les mesures de contrôle moderne dans l</w:t>
            </w:r>
            <w:r w:rsidR="00E2055A" w:rsidRPr="00A32AF4">
              <w:rPr>
                <w:sz w:val="16"/>
                <w:szCs w:val="16"/>
              </w:rPr>
              <w:t>’</w:t>
            </w:r>
            <w:r w:rsidRPr="00A32AF4">
              <w:rPr>
                <w:sz w:val="16"/>
                <w:szCs w:val="16"/>
              </w:rPr>
              <w:t>environnement matériel et électronique;  continuer d</w:t>
            </w:r>
            <w:r w:rsidR="00E2055A" w:rsidRPr="00A32AF4">
              <w:rPr>
                <w:sz w:val="16"/>
                <w:szCs w:val="16"/>
              </w:rPr>
              <w:t>’</w:t>
            </w:r>
            <w:r w:rsidRPr="00A32AF4">
              <w:rPr>
                <w:sz w:val="16"/>
                <w:szCs w:val="16"/>
              </w:rPr>
              <w:t>améliorer la surveillance stratégique;  continuer de surveiller de près la qualité du travail confié aux sous</w:t>
            </w:r>
            <w:r w:rsidR="00EB7F54" w:rsidRPr="00A32AF4">
              <w:rPr>
                <w:sz w:val="16"/>
                <w:szCs w:val="16"/>
              </w:rPr>
              <w:noBreakHyphen/>
            </w:r>
            <w:r w:rsidRPr="00A32AF4">
              <w:rPr>
                <w:sz w:val="16"/>
                <w:szCs w:val="16"/>
              </w:rPr>
              <w:t>traitants.</w:t>
            </w:r>
          </w:p>
        </w:tc>
      </w:tr>
      <w:tr w:rsidR="00CD1430" w:rsidRPr="00A32AF4" w:rsidTr="007575E1">
        <w:trPr>
          <w:trHeight w:val="632"/>
        </w:trPr>
        <w:tc>
          <w:tcPr>
            <w:tcW w:w="4111" w:type="dxa"/>
            <w:shd w:val="clear" w:color="auto" w:fill="auto"/>
            <w:tcMar>
              <w:top w:w="113" w:type="dxa"/>
              <w:bottom w:w="113" w:type="dxa"/>
            </w:tcMar>
          </w:tcPr>
          <w:p w:rsidR="00CD1430" w:rsidRPr="00A32AF4" w:rsidRDefault="00CD1430" w:rsidP="00DC0553">
            <w:pPr>
              <w:rPr>
                <w:sz w:val="16"/>
                <w:szCs w:val="16"/>
              </w:rPr>
            </w:pPr>
            <w:r w:rsidRPr="00A32AF4">
              <w:rPr>
                <w:sz w:val="16"/>
                <w:szCs w:val="16"/>
                <w:lang w:eastAsia="zh-CN"/>
              </w:rPr>
              <w:t>Régression de la qualité des résultats du travail réalisé au niveau international</w:t>
            </w:r>
          </w:p>
        </w:tc>
        <w:tc>
          <w:tcPr>
            <w:tcW w:w="5245" w:type="dxa"/>
            <w:shd w:val="clear" w:color="auto" w:fill="auto"/>
            <w:tcMar>
              <w:top w:w="113" w:type="dxa"/>
              <w:bottom w:w="113" w:type="dxa"/>
            </w:tcMar>
          </w:tcPr>
          <w:p w:rsidR="00CD1430" w:rsidRPr="00A32AF4" w:rsidRDefault="00CD1430" w:rsidP="00DC0553">
            <w:pPr>
              <w:rPr>
                <w:b/>
                <w:i/>
                <w:sz w:val="16"/>
                <w:szCs w:val="16"/>
              </w:rPr>
            </w:pPr>
            <w:r w:rsidRPr="00A32AF4">
              <w:rPr>
                <w:sz w:val="16"/>
                <w:szCs w:val="16"/>
              </w:rPr>
              <w:t xml:space="preserve">Améliorer la pertinence des compétences du </w:t>
            </w:r>
            <w:proofErr w:type="gramStart"/>
            <w:r w:rsidRPr="00A32AF4">
              <w:rPr>
                <w:sz w:val="16"/>
                <w:szCs w:val="16"/>
              </w:rPr>
              <w:t>personnel;</w:t>
            </w:r>
            <w:proofErr w:type="gramEnd"/>
            <w:r w:rsidRPr="00A32AF4">
              <w:rPr>
                <w:sz w:val="16"/>
                <w:szCs w:val="16"/>
              </w:rPr>
              <w:t xml:space="preserve">  renforcer davantage les procédures de contrôle de la qualité;  fournir des aides à la formation, notamment dans le domaine des nouvelles technologies telles que XML, le système ePCT, etc.  </w:t>
            </w:r>
          </w:p>
        </w:tc>
      </w:tr>
    </w:tbl>
    <w:p w:rsidR="00F93B76" w:rsidRPr="00A32AF4" w:rsidRDefault="00F93B76" w:rsidP="00DC0553"/>
    <w:p w:rsidR="00F93B76" w:rsidRPr="00A32AF4" w:rsidRDefault="00F93B76" w:rsidP="00DC0553"/>
    <w:p w:rsidR="00F93B76" w:rsidRPr="00A32AF4" w:rsidRDefault="00FF3B37" w:rsidP="00DC0553">
      <w:r w:rsidRPr="00A32AF4">
        <w:br w:type="page"/>
      </w:r>
    </w:p>
    <w:p w:rsidR="00F93B76" w:rsidRPr="00A32AF4" w:rsidRDefault="00FF3B37" w:rsidP="00DC0553">
      <w:r w:rsidRPr="00A32AF4">
        <w:t>TABLEAU DES RÉSULTATS</w:t>
      </w:r>
    </w:p>
    <w:p w:rsidR="00CD1430" w:rsidRPr="00A32AF4" w:rsidRDefault="00CD1430" w:rsidP="00DC0553">
      <w:pPr>
        <w:rPr>
          <w:bCs/>
        </w:rPr>
      </w:pPr>
    </w:p>
    <w:tbl>
      <w:tblPr>
        <w:tblW w:w="9244" w:type="dxa"/>
        <w:tblLayout w:type="fixed"/>
        <w:tblCellMar>
          <w:left w:w="30" w:type="dxa"/>
          <w:right w:w="30" w:type="dxa"/>
        </w:tblCellMar>
        <w:tblLook w:val="0000" w:firstRow="0" w:lastRow="0" w:firstColumn="0" w:lastColumn="0" w:noHBand="0" w:noVBand="0"/>
      </w:tblPr>
      <w:tblGrid>
        <w:gridCol w:w="2674"/>
        <w:gridCol w:w="2397"/>
        <w:gridCol w:w="2256"/>
        <w:gridCol w:w="1917"/>
      </w:tblGrid>
      <w:tr w:rsidR="0038294E" w:rsidRPr="00A32AF4" w:rsidTr="00906594">
        <w:trPr>
          <w:cantSplit/>
        </w:trPr>
        <w:tc>
          <w:tcPr>
            <w:tcW w:w="2674" w:type="dxa"/>
            <w:tcBorders>
              <w:top w:val="single" w:sz="6" w:space="0" w:color="auto"/>
              <w:left w:val="single" w:sz="6" w:space="0" w:color="auto"/>
              <w:bottom w:val="single" w:sz="6" w:space="0" w:color="auto"/>
              <w:right w:val="nil"/>
            </w:tcBorders>
            <w:shd w:val="clear" w:color="auto" w:fill="C6D9F1" w:themeFill="text2" w:themeFillTint="33"/>
            <w:tcMar>
              <w:top w:w="113" w:type="dxa"/>
              <w:left w:w="108" w:type="dxa"/>
              <w:bottom w:w="113" w:type="dxa"/>
              <w:right w:w="108" w:type="dxa"/>
            </w:tcMar>
            <w:vAlign w:val="center"/>
          </w:tcPr>
          <w:p w:rsidR="00CD1430" w:rsidRPr="00A32AF4" w:rsidRDefault="00CD1430" w:rsidP="00DC0553">
            <w:pPr>
              <w:keepNext/>
              <w:keepLines/>
              <w:autoSpaceDE w:val="0"/>
              <w:autoSpaceDN w:val="0"/>
              <w:adjustRightInd w:val="0"/>
              <w:jc w:val="center"/>
              <w:rPr>
                <w:rFonts w:eastAsia="SimSun"/>
                <w:b/>
                <w:bCs/>
                <w:sz w:val="18"/>
              </w:rPr>
            </w:pPr>
            <w:r w:rsidRPr="00A32AF4">
              <w:rPr>
                <w:rFonts w:eastAsia="SimSun"/>
                <w:b/>
                <w:bCs/>
                <w:sz w:val="18"/>
              </w:rPr>
              <w:t>Résultats escomptés</w:t>
            </w:r>
          </w:p>
        </w:tc>
        <w:tc>
          <w:tcPr>
            <w:tcW w:w="2397" w:type="dxa"/>
            <w:tcBorders>
              <w:top w:val="single" w:sz="6" w:space="0" w:color="auto"/>
              <w:left w:val="nil"/>
              <w:bottom w:val="single" w:sz="6" w:space="0" w:color="auto"/>
              <w:right w:val="nil"/>
            </w:tcBorders>
            <w:shd w:val="clear" w:color="auto" w:fill="C6D9F1" w:themeFill="text2" w:themeFillTint="33"/>
            <w:tcMar>
              <w:top w:w="113" w:type="dxa"/>
              <w:left w:w="108" w:type="dxa"/>
              <w:bottom w:w="113" w:type="dxa"/>
              <w:right w:w="108" w:type="dxa"/>
            </w:tcMar>
            <w:vAlign w:val="center"/>
          </w:tcPr>
          <w:p w:rsidR="00CD1430" w:rsidRPr="00A32AF4" w:rsidRDefault="00CD1430" w:rsidP="00DC0553">
            <w:pPr>
              <w:keepNext/>
              <w:keepLines/>
              <w:autoSpaceDE w:val="0"/>
              <w:autoSpaceDN w:val="0"/>
              <w:adjustRightInd w:val="0"/>
              <w:jc w:val="center"/>
              <w:rPr>
                <w:rFonts w:eastAsia="SimSun"/>
                <w:b/>
                <w:bCs/>
                <w:sz w:val="18"/>
              </w:rPr>
            </w:pPr>
            <w:r w:rsidRPr="00A32AF4">
              <w:rPr>
                <w:rFonts w:eastAsia="SimSun"/>
                <w:b/>
                <w:bCs/>
                <w:sz w:val="18"/>
              </w:rPr>
              <w:t>Indicateurs d</w:t>
            </w:r>
            <w:r w:rsidR="00E2055A" w:rsidRPr="00A32AF4">
              <w:rPr>
                <w:rFonts w:eastAsia="SimSun"/>
                <w:b/>
                <w:bCs/>
                <w:sz w:val="18"/>
              </w:rPr>
              <w:t>’</w:t>
            </w:r>
            <w:r w:rsidRPr="00A32AF4">
              <w:rPr>
                <w:rFonts w:eastAsia="SimSun"/>
                <w:b/>
                <w:bCs/>
                <w:sz w:val="18"/>
              </w:rPr>
              <w:t>exécution</w:t>
            </w:r>
          </w:p>
        </w:tc>
        <w:tc>
          <w:tcPr>
            <w:tcW w:w="2256" w:type="dxa"/>
            <w:tcBorders>
              <w:top w:val="single" w:sz="6" w:space="0" w:color="auto"/>
              <w:left w:val="nil"/>
              <w:bottom w:val="single" w:sz="6" w:space="0" w:color="auto"/>
              <w:right w:val="nil"/>
            </w:tcBorders>
            <w:shd w:val="clear" w:color="auto" w:fill="C6D9F1" w:themeFill="text2" w:themeFillTint="33"/>
            <w:tcMar>
              <w:top w:w="113" w:type="dxa"/>
              <w:left w:w="108" w:type="dxa"/>
              <w:bottom w:w="113" w:type="dxa"/>
              <w:right w:w="108" w:type="dxa"/>
            </w:tcMar>
            <w:vAlign w:val="center"/>
          </w:tcPr>
          <w:p w:rsidR="00CD1430" w:rsidRPr="00A32AF4" w:rsidRDefault="00CD1430" w:rsidP="00DC0553">
            <w:pPr>
              <w:keepNext/>
              <w:keepLines/>
              <w:autoSpaceDE w:val="0"/>
              <w:autoSpaceDN w:val="0"/>
              <w:adjustRightInd w:val="0"/>
              <w:jc w:val="center"/>
              <w:rPr>
                <w:rFonts w:eastAsia="SimSun"/>
                <w:b/>
                <w:bCs/>
                <w:sz w:val="18"/>
              </w:rPr>
            </w:pPr>
            <w:r w:rsidRPr="00A32AF4">
              <w:rPr>
                <w:rFonts w:eastAsia="SimSun"/>
                <w:b/>
                <w:bCs/>
                <w:sz w:val="18"/>
              </w:rPr>
              <w:t>Niveaux de référence</w:t>
            </w:r>
          </w:p>
        </w:tc>
        <w:tc>
          <w:tcPr>
            <w:tcW w:w="1917" w:type="dxa"/>
            <w:tcBorders>
              <w:top w:val="single" w:sz="6" w:space="0" w:color="auto"/>
              <w:left w:val="nil"/>
              <w:bottom w:val="single" w:sz="6" w:space="0" w:color="auto"/>
              <w:right w:val="single" w:sz="6" w:space="0" w:color="auto"/>
            </w:tcBorders>
            <w:shd w:val="clear" w:color="auto" w:fill="C6D9F1" w:themeFill="text2" w:themeFillTint="33"/>
            <w:tcMar>
              <w:top w:w="113" w:type="dxa"/>
              <w:left w:w="108" w:type="dxa"/>
              <w:bottom w:w="113" w:type="dxa"/>
              <w:right w:w="108" w:type="dxa"/>
            </w:tcMar>
            <w:vAlign w:val="center"/>
          </w:tcPr>
          <w:p w:rsidR="00CD1430" w:rsidRPr="00A32AF4" w:rsidRDefault="00CD1430" w:rsidP="00DC0553">
            <w:pPr>
              <w:keepNext/>
              <w:keepLines/>
              <w:autoSpaceDE w:val="0"/>
              <w:autoSpaceDN w:val="0"/>
              <w:adjustRightInd w:val="0"/>
              <w:jc w:val="center"/>
              <w:rPr>
                <w:rFonts w:eastAsia="SimSun"/>
                <w:b/>
                <w:bCs/>
                <w:sz w:val="18"/>
              </w:rPr>
            </w:pPr>
            <w:r w:rsidRPr="00A32AF4">
              <w:rPr>
                <w:rFonts w:eastAsia="SimSun"/>
                <w:b/>
                <w:bCs/>
                <w:sz w:val="18"/>
              </w:rPr>
              <w:t>Objectifs visés</w:t>
            </w:r>
          </w:p>
        </w:tc>
      </w:tr>
      <w:tr w:rsidR="0038294E" w:rsidRPr="00A32AF4" w:rsidTr="00FF3B37">
        <w:trPr>
          <w:cantSplit/>
        </w:trPr>
        <w:tc>
          <w:tcPr>
            <w:tcW w:w="2674" w:type="dxa"/>
            <w:tcBorders>
              <w:top w:val="single" w:sz="6" w:space="0" w:color="auto"/>
              <w:left w:val="single" w:sz="6" w:space="0" w:color="auto"/>
              <w:bottom w:val="nil"/>
              <w:right w:val="nil"/>
            </w:tcBorders>
            <w:shd w:val="solid" w:color="FFFFFF" w:fill="auto"/>
            <w:tcMar>
              <w:top w:w="113" w:type="dxa"/>
              <w:left w:w="108" w:type="dxa"/>
              <w:bottom w:w="113" w:type="dxa"/>
              <w:right w:w="108" w:type="dxa"/>
            </w:tcMar>
          </w:tcPr>
          <w:p w:rsidR="00CD1430" w:rsidRPr="00A32AF4" w:rsidRDefault="00CD1430" w:rsidP="00DC0553">
            <w:pPr>
              <w:keepNext/>
              <w:keepLines/>
              <w:autoSpaceDE w:val="0"/>
              <w:autoSpaceDN w:val="0"/>
              <w:adjustRightInd w:val="0"/>
              <w:rPr>
                <w:rFonts w:eastAsia="SimSun"/>
                <w:sz w:val="16"/>
                <w:szCs w:val="16"/>
              </w:rPr>
            </w:pPr>
            <w:r w:rsidRPr="00A32AF4">
              <w:rPr>
                <w:rFonts w:eastAsia="SimSun"/>
                <w:sz w:val="16"/>
                <w:szCs w:val="16"/>
              </w:rPr>
              <w:t xml:space="preserve">II.1 </w:t>
            </w:r>
            <w:r w:rsidR="00FF3B37" w:rsidRPr="00A32AF4">
              <w:rPr>
                <w:rFonts w:eastAsia="SimSun"/>
                <w:sz w:val="16"/>
                <w:szCs w:val="16"/>
              </w:rPr>
              <w:t>Utilisation élargie et plus efficace du système</w:t>
            </w:r>
            <w:r w:rsidR="00E2055A" w:rsidRPr="00A32AF4">
              <w:rPr>
                <w:rFonts w:eastAsia="SimSun"/>
                <w:sz w:val="16"/>
                <w:szCs w:val="16"/>
              </w:rPr>
              <w:t xml:space="preserve"> du PCT</w:t>
            </w:r>
            <w:r w:rsidR="00FF3B37" w:rsidRPr="00A32AF4">
              <w:rPr>
                <w:rFonts w:eastAsia="SimSun"/>
                <w:sz w:val="16"/>
                <w:szCs w:val="16"/>
              </w:rPr>
              <w:t xml:space="preserve"> pour le dépôt des demandes internationales de brevet</w:t>
            </w:r>
          </w:p>
        </w:tc>
        <w:tc>
          <w:tcPr>
            <w:tcW w:w="2397" w:type="dxa"/>
            <w:tcBorders>
              <w:top w:val="single" w:sz="6" w:space="0" w:color="auto"/>
              <w:left w:val="nil"/>
              <w:bottom w:val="nil"/>
              <w:right w:val="nil"/>
            </w:tcBorders>
            <w:shd w:val="solid" w:color="FFFFFF" w:fill="auto"/>
            <w:tcMar>
              <w:top w:w="113" w:type="dxa"/>
              <w:left w:w="108" w:type="dxa"/>
              <w:bottom w:w="113" w:type="dxa"/>
              <w:right w:w="108" w:type="dxa"/>
            </w:tcMar>
          </w:tcPr>
          <w:p w:rsidR="00CD1430" w:rsidRPr="00A32AF4" w:rsidRDefault="00CD1430" w:rsidP="00DC0553">
            <w:pPr>
              <w:keepNext/>
              <w:keepLines/>
              <w:autoSpaceDE w:val="0"/>
              <w:autoSpaceDN w:val="0"/>
              <w:adjustRightInd w:val="0"/>
              <w:rPr>
                <w:rFonts w:eastAsia="SimSun"/>
                <w:sz w:val="16"/>
                <w:szCs w:val="16"/>
              </w:rPr>
            </w:pPr>
            <w:r w:rsidRPr="00A32AF4">
              <w:rPr>
                <w:rFonts w:eastAsia="SimSun"/>
                <w:sz w:val="16"/>
                <w:szCs w:val="16"/>
              </w:rPr>
              <w:t xml:space="preserve">Degré de satisfaction des utilisateurs du PCT </w:t>
            </w:r>
            <w:r w:rsidR="00E2055A" w:rsidRPr="00A32AF4">
              <w:rPr>
                <w:rFonts w:eastAsia="SimSun"/>
                <w:sz w:val="16"/>
                <w:szCs w:val="16"/>
              </w:rPr>
              <w:t>à l’égard</w:t>
            </w:r>
            <w:r w:rsidRPr="00A32AF4">
              <w:rPr>
                <w:rFonts w:eastAsia="SimSun"/>
                <w:sz w:val="16"/>
                <w:szCs w:val="16"/>
              </w:rPr>
              <w:t xml:space="preserve"> des conseils juridiques, des informations, des formations et du service client du PCT</w:t>
            </w:r>
          </w:p>
        </w:tc>
        <w:tc>
          <w:tcPr>
            <w:tcW w:w="2256" w:type="dxa"/>
            <w:tcBorders>
              <w:top w:val="single" w:sz="6" w:space="0" w:color="auto"/>
              <w:left w:val="nil"/>
              <w:bottom w:val="nil"/>
              <w:right w:val="nil"/>
            </w:tcBorders>
            <w:shd w:val="solid" w:color="FFFFFF" w:fill="auto"/>
            <w:tcMar>
              <w:top w:w="113" w:type="dxa"/>
              <w:left w:w="108" w:type="dxa"/>
              <w:bottom w:w="113" w:type="dxa"/>
              <w:right w:w="108" w:type="dxa"/>
            </w:tcMar>
          </w:tcPr>
          <w:p w:rsidR="00CD1430" w:rsidRPr="00A32AF4" w:rsidRDefault="00CD1430" w:rsidP="00DC0553">
            <w:pPr>
              <w:keepNext/>
              <w:keepLines/>
              <w:tabs>
                <w:tab w:val="left" w:pos="1733"/>
              </w:tabs>
              <w:autoSpaceDE w:val="0"/>
              <w:autoSpaceDN w:val="0"/>
              <w:adjustRightInd w:val="0"/>
              <w:rPr>
                <w:rFonts w:eastAsia="SimSun"/>
                <w:sz w:val="16"/>
                <w:szCs w:val="16"/>
              </w:rPr>
            </w:pPr>
            <w:r w:rsidRPr="00A32AF4">
              <w:rPr>
                <w:rFonts w:eastAsia="SimSun"/>
                <w:sz w:val="16"/>
                <w:szCs w:val="16"/>
              </w:rPr>
              <w:t xml:space="preserve">Résultats des enquêtes de 2009 et de 2015 </w:t>
            </w:r>
          </w:p>
        </w:tc>
        <w:tc>
          <w:tcPr>
            <w:tcW w:w="1917" w:type="dxa"/>
            <w:tcBorders>
              <w:top w:val="single" w:sz="6" w:space="0" w:color="auto"/>
              <w:left w:val="nil"/>
              <w:bottom w:val="nil"/>
              <w:right w:val="single" w:sz="6" w:space="0" w:color="auto"/>
            </w:tcBorders>
            <w:shd w:val="solid" w:color="FFFFFF" w:fill="auto"/>
            <w:tcMar>
              <w:top w:w="113" w:type="dxa"/>
              <w:left w:w="108" w:type="dxa"/>
              <w:bottom w:w="113" w:type="dxa"/>
              <w:right w:w="108" w:type="dxa"/>
            </w:tcMar>
          </w:tcPr>
          <w:p w:rsidR="00CD1430" w:rsidRPr="00A32AF4" w:rsidRDefault="00CD1430" w:rsidP="00DC0553">
            <w:pPr>
              <w:keepNext/>
              <w:keepLines/>
              <w:autoSpaceDE w:val="0"/>
              <w:autoSpaceDN w:val="0"/>
              <w:adjustRightInd w:val="0"/>
              <w:rPr>
                <w:rFonts w:eastAsia="SimSun"/>
                <w:sz w:val="16"/>
                <w:szCs w:val="16"/>
              </w:rPr>
            </w:pPr>
            <w:r w:rsidRPr="00A32AF4">
              <w:rPr>
                <w:rFonts w:eastAsia="SimSun"/>
                <w:sz w:val="16"/>
                <w:szCs w:val="16"/>
              </w:rPr>
              <w:t xml:space="preserve">Augmenter ou du moins maintenir le degré de satisfaction des utilisateurs du PCT </w:t>
            </w:r>
          </w:p>
        </w:tc>
      </w:tr>
      <w:tr w:rsidR="0038294E" w:rsidRPr="00A32AF4" w:rsidTr="00FF3B37">
        <w:trPr>
          <w:cantSplit/>
        </w:trPr>
        <w:tc>
          <w:tcPr>
            <w:tcW w:w="2674" w:type="dxa"/>
            <w:tcBorders>
              <w:top w:val="nil"/>
              <w:left w:val="single" w:sz="6" w:space="0" w:color="auto"/>
              <w:bottom w:val="nil"/>
              <w:right w:val="nil"/>
            </w:tcBorders>
            <w:shd w:val="solid" w:color="FFFFFF" w:fill="auto"/>
            <w:tcMar>
              <w:top w:w="113" w:type="dxa"/>
              <w:left w:w="108" w:type="dxa"/>
              <w:bottom w:w="113" w:type="dxa"/>
              <w:right w:w="108" w:type="dxa"/>
            </w:tcMar>
          </w:tcPr>
          <w:p w:rsidR="00CD1430" w:rsidRPr="00A32AF4" w:rsidRDefault="00CD1430" w:rsidP="00DC0553">
            <w:pPr>
              <w:keepNext/>
              <w:keepLines/>
              <w:autoSpaceDE w:val="0"/>
              <w:autoSpaceDN w:val="0"/>
              <w:adjustRightInd w:val="0"/>
              <w:rPr>
                <w:rFonts w:eastAsia="SimSun"/>
                <w:sz w:val="16"/>
                <w:szCs w:val="16"/>
              </w:rPr>
            </w:pPr>
          </w:p>
        </w:tc>
        <w:tc>
          <w:tcPr>
            <w:tcW w:w="2397" w:type="dxa"/>
            <w:tcBorders>
              <w:top w:val="nil"/>
              <w:left w:val="nil"/>
              <w:bottom w:val="nil"/>
              <w:right w:val="nil"/>
            </w:tcBorders>
            <w:shd w:val="solid" w:color="FFFFFF" w:fill="auto"/>
            <w:tcMar>
              <w:top w:w="113" w:type="dxa"/>
              <w:left w:w="108" w:type="dxa"/>
              <w:bottom w:w="113" w:type="dxa"/>
              <w:right w:w="108" w:type="dxa"/>
            </w:tcMar>
          </w:tcPr>
          <w:p w:rsidR="00CD1430" w:rsidRPr="00A32AF4" w:rsidRDefault="00CD1430" w:rsidP="00DC0553">
            <w:pPr>
              <w:keepNext/>
              <w:keepLines/>
              <w:autoSpaceDE w:val="0"/>
              <w:autoSpaceDN w:val="0"/>
              <w:adjustRightInd w:val="0"/>
              <w:rPr>
                <w:rFonts w:eastAsia="SimSun"/>
                <w:sz w:val="16"/>
                <w:szCs w:val="16"/>
              </w:rPr>
            </w:pPr>
            <w:r w:rsidRPr="00A32AF4">
              <w:rPr>
                <w:rFonts w:eastAsia="SimSun"/>
                <w:sz w:val="16"/>
                <w:szCs w:val="16"/>
              </w:rPr>
              <w:t xml:space="preserve">Satisfaction des offices et des administrations internationales </w:t>
            </w:r>
            <w:r w:rsidR="00E2055A" w:rsidRPr="00A32AF4">
              <w:rPr>
                <w:rFonts w:eastAsia="SimSun"/>
                <w:sz w:val="16"/>
                <w:szCs w:val="16"/>
              </w:rPr>
              <w:t>à l’égard</w:t>
            </w:r>
            <w:r w:rsidRPr="00A32AF4">
              <w:rPr>
                <w:rFonts w:eastAsia="SimSun"/>
                <w:sz w:val="16"/>
                <w:szCs w:val="16"/>
              </w:rPr>
              <w:t xml:space="preserve"> des activités de coopération du PCT</w:t>
            </w:r>
          </w:p>
        </w:tc>
        <w:tc>
          <w:tcPr>
            <w:tcW w:w="2256" w:type="dxa"/>
            <w:tcBorders>
              <w:top w:val="nil"/>
              <w:left w:val="nil"/>
              <w:bottom w:val="nil"/>
              <w:right w:val="nil"/>
            </w:tcBorders>
            <w:shd w:val="solid" w:color="FFFFFF" w:fill="auto"/>
            <w:tcMar>
              <w:top w:w="113" w:type="dxa"/>
              <w:left w:w="108" w:type="dxa"/>
              <w:bottom w:w="113" w:type="dxa"/>
              <w:right w:w="108" w:type="dxa"/>
            </w:tcMar>
          </w:tcPr>
          <w:p w:rsidR="00CD1430" w:rsidRPr="00A32AF4" w:rsidRDefault="00CD1430" w:rsidP="00DC0553">
            <w:pPr>
              <w:keepNext/>
              <w:keepLines/>
              <w:tabs>
                <w:tab w:val="left" w:pos="1733"/>
              </w:tabs>
              <w:autoSpaceDE w:val="0"/>
              <w:autoSpaceDN w:val="0"/>
              <w:adjustRightInd w:val="0"/>
              <w:rPr>
                <w:rFonts w:eastAsia="SimSun"/>
                <w:sz w:val="16"/>
                <w:szCs w:val="16"/>
              </w:rPr>
            </w:pPr>
            <w:r w:rsidRPr="00A32AF4">
              <w:rPr>
                <w:rFonts w:eastAsia="SimSun"/>
                <w:sz w:val="16"/>
                <w:szCs w:val="16"/>
              </w:rPr>
              <w:t>56 (soit 95% des 59 bénéficiaires des activités de coopération du </w:t>
            </w:r>
            <w:proofErr w:type="gramStart"/>
            <w:r w:rsidRPr="00A32AF4">
              <w:rPr>
                <w:rFonts w:eastAsia="SimSun"/>
                <w:sz w:val="16"/>
                <w:szCs w:val="16"/>
              </w:rPr>
              <w:t>PCT;</w:t>
            </w:r>
            <w:proofErr w:type="gramEnd"/>
            <w:r w:rsidRPr="00A32AF4">
              <w:rPr>
                <w:rFonts w:eastAsia="SimSun"/>
                <w:sz w:val="16"/>
                <w:szCs w:val="16"/>
              </w:rPr>
              <w:t xml:space="preserve">  85% des 66 participants) (enquête de 2012).  L</w:t>
            </w:r>
            <w:r w:rsidR="00E2055A" w:rsidRPr="00A32AF4">
              <w:rPr>
                <w:rFonts w:eastAsia="SimSun"/>
                <w:sz w:val="16"/>
                <w:szCs w:val="16"/>
              </w:rPr>
              <w:t>’</w:t>
            </w:r>
            <w:r w:rsidRPr="00A32AF4">
              <w:rPr>
                <w:rFonts w:eastAsia="SimSun"/>
                <w:sz w:val="16"/>
                <w:szCs w:val="16"/>
              </w:rPr>
              <w:t>enquête de satisfaction est menée une fois par exercice biennal.</w:t>
            </w:r>
          </w:p>
        </w:tc>
        <w:tc>
          <w:tcPr>
            <w:tcW w:w="1917" w:type="dxa"/>
            <w:tcBorders>
              <w:top w:val="nil"/>
              <w:left w:val="nil"/>
              <w:bottom w:val="nil"/>
              <w:right w:val="single" w:sz="6" w:space="0" w:color="auto"/>
            </w:tcBorders>
            <w:shd w:val="solid" w:color="FFFFFF" w:fill="auto"/>
            <w:tcMar>
              <w:top w:w="113" w:type="dxa"/>
              <w:left w:w="108" w:type="dxa"/>
              <w:bottom w:w="113" w:type="dxa"/>
              <w:right w:w="108" w:type="dxa"/>
            </w:tcMar>
          </w:tcPr>
          <w:p w:rsidR="00CD1430" w:rsidRPr="00A32AF4" w:rsidRDefault="00CD1430" w:rsidP="00DC0553">
            <w:pPr>
              <w:keepNext/>
              <w:keepLines/>
              <w:autoSpaceDE w:val="0"/>
              <w:autoSpaceDN w:val="0"/>
              <w:adjustRightInd w:val="0"/>
              <w:rPr>
                <w:rFonts w:eastAsia="SimSun"/>
                <w:sz w:val="16"/>
                <w:szCs w:val="16"/>
              </w:rPr>
            </w:pPr>
            <w:r w:rsidRPr="00A32AF4">
              <w:rPr>
                <w:rFonts w:eastAsia="SimSun"/>
                <w:sz w:val="16"/>
                <w:szCs w:val="16"/>
              </w:rPr>
              <w:t>Maintenir le degré de satisfaction de 2015 parmi les offices et les administrations internationales</w:t>
            </w:r>
          </w:p>
        </w:tc>
      </w:tr>
      <w:tr w:rsidR="0038294E" w:rsidRPr="00A32AF4" w:rsidTr="00FF3B37">
        <w:trPr>
          <w:cantSplit/>
        </w:trPr>
        <w:tc>
          <w:tcPr>
            <w:tcW w:w="2674" w:type="dxa"/>
            <w:tcBorders>
              <w:top w:val="nil"/>
              <w:left w:val="single" w:sz="6" w:space="0" w:color="auto"/>
              <w:bottom w:val="nil"/>
              <w:right w:val="nil"/>
            </w:tcBorders>
            <w:shd w:val="solid" w:color="FFFFFF" w:fill="auto"/>
            <w:tcMar>
              <w:top w:w="113" w:type="dxa"/>
              <w:left w:w="108" w:type="dxa"/>
              <w:bottom w:w="113" w:type="dxa"/>
              <w:right w:w="108" w:type="dxa"/>
            </w:tcMar>
          </w:tcPr>
          <w:p w:rsidR="00CD1430" w:rsidRPr="00A32AF4" w:rsidRDefault="00CD1430" w:rsidP="00DC0553">
            <w:pPr>
              <w:keepNext/>
              <w:keepLines/>
              <w:autoSpaceDE w:val="0"/>
              <w:autoSpaceDN w:val="0"/>
              <w:adjustRightInd w:val="0"/>
              <w:rPr>
                <w:rFonts w:eastAsia="SimSun"/>
                <w:sz w:val="16"/>
                <w:szCs w:val="16"/>
              </w:rPr>
            </w:pPr>
          </w:p>
        </w:tc>
        <w:tc>
          <w:tcPr>
            <w:tcW w:w="2397" w:type="dxa"/>
            <w:tcBorders>
              <w:top w:val="nil"/>
              <w:left w:val="nil"/>
              <w:bottom w:val="nil"/>
              <w:right w:val="nil"/>
            </w:tcBorders>
            <w:shd w:val="solid" w:color="FFFFFF" w:fill="auto"/>
            <w:tcMar>
              <w:top w:w="113" w:type="dxa"/>
              <w:left w:w="108" w:type="dxa"/>
              <w:bottom w:w="113" w:type="dxa"/>
              <w:right w:w="108" w:type="dxa"/>
            </w:tcMar>
          </w:tcPr>
          <w:p w:rsidR="00CD1430" w:rsidRPr="00A32AF4" w:rsidRDefault="00CD1430" w:rsidP="00DC0553">
            <w:pPr>
              <w:keepNext/>
              <w:keepLines/>
              <w:autoSpaceDE w:val="0"/>
              <w:autoSpaceDN w:val="0"/>
              <w:adjustRightInd w:val="0"/>
              <w:rPr>
                <w:rFonts w:eastAsia="SimSun"/>
                <w:sz w:val="16"/>
                <w:szCs w:val="16"/>
              </w:rPr>
            </w:pPr>
            <w:r w:rsidRPr="00A32AF4">
              <w:rPr>
                <w:rFonts w:eastAsia="SimSun"/>
                <w:sz w:val="16"/>
                <w:szCs w:val="16"/>
              </w:rPr>
              <w:t>Amélioration du système du PCT, notamment mise en œuvre des recommandations formulées dans les lignes directrices du PCT approuvées par les États membres du PCT</w:t>
            </w:r>
          </w:p>
        </w:tc>
        <w:tc>
          <w:tcPr>
            <w:tcW w:w="2256" w:type="dxa"/>
            <w:tcBorders>
              <w:top w:val="nil"/>
              <w:left w:val="nil"/>
              <w:bottom w:val="nil"/>
              <w:right w:val="nil"/>
            </w:tcBorders>
            <w:shd w:val="solid" w:color="FFFFFF" w:fill="auto"/>
            <w:tcMar>
              <w:top w:w="113" w:type="dxa"/>
              <w:left w:w="108" w:type="dxa"/>
              <w:bottom w:w="113" w:type="dxa"/>
              <w:right w:w="108" w:type="dxa"/>
            </w:tcMar>
          </w:tcPr>
          <w:p w:rsidR="00CD1430" w:rsidRPr="00A32AF4" w:rsidRDefault="00CD1430" w:rsidP="00DC0553">
            <w:pPr>
              <w:keepNext/>
              <w:keepLines/>
              <w:tabs>
                <w:tab w:val="left" w:pos="1733"/>
              </w:tabs>
              <w:autoSpaceDE w:val="0"/>
              <w:autoSpaceDN w:val="0"/>
              <w:adjustRightInd w:val="0"/>
              <w:rPr>
                <w:rFonts w:eastAsia="SimSun"/>
                <w:sz w:val="16"/>
                <w:szCs w:val="16"/>
              </w:rPr>
            </w:pPr>
            <w:r w:rsidRPr="00A32AF4">
              <w:rPr>
                <w:rFonts w:eastAsia="SimSun"/>
                <w:sz w:val="16"/>
                <w:szCs w:val="16"/>
              </w:rPr>
              <w:t>Décisions prises par les organes compétents du PCT jusqu</w:t>
            </w:r>
            <w:r w:rsidR="00E2055A" w:rsidRPr="00A32AF4">
              <w:rPr>
                <w:rFonts w:eastAsia="SimSun"/>
                <w:sz w:val="16"/>
                <w:szCs w:val="16"/>
              </w:rPr>
              <w:t>’</w:t>
            </w:r>
            <w:r w:rsidRPr="00A32AF4">
              <w:rPr>
                <w:rFonts w:eastAsia="SimSun"/>
                <w:sz w:val="16"/>
                <w:szCs w:val="16"/>
              </w:rPr>
              <w:t>à la fin de 2014 (</w:t>
            </w:r>
            <w:r w:rsidR="00E2055A" w:rsidRPr="00A32AF4">
              <w:rPr>
                <w:rFonts w:eastAsia="SimSun"/>
                <w:sz w:val="16"/>
                <w:szCs w:val="16"/>
              </w:rPr>
              <w:t>document PC</w:t>
            </w:r>
            <w:r w:rsidRPr="00A32AF4">
              <w:rPr>
                <w:rFonts w:eastAsia="SimSun"/>
                <w:sz w:val="16"/>
                <w:szCs w:val="16"/>
              </w:rPr>
              <w:t>T/A/46/6)</w:t>
            </w:r>
          </w:p>
        </w:tc>
        <w:tc>
          <w:tcPr>
            <w:tcW w:w="1917" w:type="dxa"/>
            <w:tcBorders>
              <w:top w:val="nil"/>
              <w:left w:val="nil"/>
              <w:bottom w:val="nil"/>
              <w:right w:val="single" w:sz="6" w:space="0" w:color="auto"/>
            </w:tcBorders>
            <w:shd w:val="solid" w:color="FFFFFF" w:fill="auto"/>
            <w:tcMar>
              <w:top w:w="113" w:type="dxa"/>
              <w:left w:w="108" w:type="dxa"/>
              <w:bottom w:w="113" w:type="dxa"/>
              <w:right w:w="108" w:type="dxa"/>
            </w:tcMar>
          </w:tcPr>
          <w:p w:rsidR="00CD1430" w:rsidRPr="00A32AF4" w:rsidRDefault="00CD1430" w:rsidP="00DC0553">
            <w:pPr>
              <w:keepNext/>
              <w:keepLines/>
              <w:autoSpaceDE w:val="0"/>
              <w:autoSpaceDN w:val="0"/>
              <w:adjustRightInd w:val="0"/>
              <w:rPr>
                <w:rFonts w:eastAsia="SimSun"/>
                <w:sz w:val="16"/>
                <w:szCs w:val="16"/>
              </w:rPr>
            </w:pPr>
            <w:r w:rsidRPr="00A32AF4">
              <w:rPr>
                <w:rFonts w:eastAsia="SimSun"/>
                <w:sz w:val="16"/>
                <w:szCs w:val="16"/>
              </w:rPr>
              <w:t>Décisions prises par les organes compétents du PCT jusqu</w:t>
            </w:r>
            <w:r w:rsidR="00E2055A" w:rsidRPr="00A32AF4">
              <w:rPr>
                <w:rFonts w:eastAsia="SimSun"/>
                <w:sz w:val="16"/>
                <w:szCs w:val="16"/>
              </w:rPr>
              <w:t>’</w:t>
            </w:r>
            <w:r w:rsidRPr="00A32AF4">
              <w:rPr>
                <w:rFonts w:eastAsia="SimSun"/>
                <w:sz w:val="16"/>
                <w:szCs w:val="16"/>
              </w:rPr>
              <w:t>à la fin de 2017</w:t>
            </w:r>
          </w:p>
        </w:tc>
      </w:tr>
      <w:tr w:rsidR="0038294E" w:rsidRPr="00A32AF4" w:rsidTr="00FF3B37">
        <w:trPr>
          <w:cantSplit/>
        </w:trPr>
        <w:tc>
          <w:tcPr>
            <w:tcW w:w="2674" w:type="dxa"/>
            <w:tcBorders>
              <w:top w:val="nil"/>
              <w:left w:val="single" w:sz="6" w:space="0" w:color="auto"/>
              <w:bottom w:val="nil"/>
              <w:right w:val="nil"/>
            </w:tcBorders>
            <w:shd w:val="solid" w:color="FFFFFF" w:fill="auto"/>
            <w:tcMar>
              <w:top w:w="113" w:type="dxa"/>
              <w:left w:w="108" w:type="dxa"/>
              <w:bottom w:w="113" w:type="dxa"/>
              <w:right w:w="108" w:type="dxa"/>
            </w:tcMar>
          </w:tcPr>
          <w:p w:rsidR="00CD1430" w:rsidRPr="00A32AF4" w:rsidRDefault="00CD1430" w:rsidP="00DC0553">
            <w:pPr>
              <w:keepNext/>
              <w:keepLines/>
              <w:autoSpaceDE w:val="0"/>
              <w:autoSpaceDN w:val="0"/>
              <w:adjustRightInd w:val="0"/>
              <w:rPr>
                <w:rFonts w:eastAsia="SimSun"/>
                <w:sz w:val="16"/>
                <w:szCs w:val="16"/>
              </w:rPr>
            </w:pPr>
          </w:p>
        </w:tc>
        <w:tc>
          <w:tcPr>
            <w:tcW w:w="2397" w:type="dxa"/>
            <w:tcBorders>
              <w:top w:val="nil"/>
              <w:left w:val="nil"/>
              <w:bottom w:val="nil"/>
              <w:right w:val="nil"/>
            </w:tcBorders>
            <w:shd w:val="solid" w:color="FFFFFF" w:fill="auto"/>
            <w:tcMar>
              <w:top w:w="113" w:type="dxa"/>
              <w:left w:w="108" w:type="dxa"/>
              <w:bottom w:w="113" w:type="dxa"/>
              <w:right w:w="108" w:type="dxa"/>
            </w:tcMar>
          </w:tcPr>
          <w:p w:rsidR="00CD1430" w:rsidRPr="00A32AF4" w:rsidRDefault="00CD1430" w:rsidP="00DC0553">
            <w:pPr>
              <w:keepNext/>
              <w:keepLines/>
              <w:autoSpaceDE w:val="0"/>
              <w:autoSpaceDN w:val="0"/>
              <w:adjustRightInd w:val="0"/>
              <w:rPr>
                <w:rFonts w:eastAsia="SimSun"/>
                <w:sz w:val="16"/>
                <w:szCs w:val="16"/>
              </w:rPr>
            </w:pPr>
            <w:r w:rsidRPr="00A32AF4">
              <w:rPr>
                <w:rFonts w:eastAsia="SimSun"/>
                <w:sz w:val="16"/>
                <w:szCs w:val="16"/>
              </w:rPr>
              <w:t>Amélioration des services électroniques pour les déposants, les tiers, les offices et les administrations</w:t>
            </w:r>
          </w:p>
        </w:tc>
        <w:tc>
          <w:tcPr>
            <w:tcW w:w="2256" w:type="dxa"/>
            <w:tcBorders>
              <w:top w:val="nil"/>
              <w:left w:val="nil"/>
              <w:bottom w:val="nil"/>
              <w:right w:val="nil"/>
            </w:tcBorders>
            <w:shd w:val="solid" w:color="FFFFFF" w:fill="auto"/>
            <w:tcMar>
              <w:top w:w="113" w:type="dxa"/>
              <w:left w:w="108" w:type="dxa"/>
              <w:bottom w:w="113" w:type="dxa"/>
              <w:right w:w="108" w:type="dxa"/>
            </w:tcMar>
          </w:tcPr>
          <w:p w:rsidR="00F93B76" w:rsidRPr="00A32AF4" w:rsidRDefault="00E74264" w:rsidP="00DC0553">
            <w:pPr>
              <w:keepNext/>
              <w:keepLines/>
              <w:tabs>
                <w:tab w:val="left" w:pos="1733"/>
              </w:tabs>
              <w:autoSpaceDE w:val="0"/>
              <w:autoSpaceDN w:val="0"/>
              <w:adjustRightInd w:val="0"/>
              <w:rPr>
                <w:rFonts w:eastAsia="SimSun"/>
                <w:sz w:val="16"/>
                <w:szCs w:val="16"/>
              </w:rPr>
            </w:pPr>
            <w:r w:rsidRPr="00A32AF4">
              <w:rPr>
                <w:rFonts w:eastAsia="SimSun"/>
                <w:sz w:val="16"/>
                <w:szCs w:val="16"/>
              </w:rPr>
              <w:t>À</w:t>
            </w:r>
            <w:r w:rsidR="00CD1430" w:rsidRPr="00A32AF4">
              <w:rPr>
                <w:rFonts w:eastAsia="SimSun"/>
                <w:sz w:val="16"/>
                <w:szCs w:val="16"/>
              </w:rPr>
              <w:t xml:space="preserve"> la fin de 2014, par rapport à la fin de 2013 :</w:t>
            </w:r>
          </w:p>
          <w:p w:rsidR="00F93B76" w:rsidRPr="00A32AF4" w:rsidRDefault="00CD1430" w:rsidP="00DC0553">
            <w:pPr>
              <w:keepNext/>
              <w:keepLines/>
              <w:tabs>
                <w:tab w:val="left" w:pos="1733"/>
              </w:tabs>
              <w:autoSpaceDE w:val="0"/>
              <w:autoSpaceDN w:val="0"/>
              <w:adjustRightInd w:val="0"/>
              <w:rPr>
                <w:rFonts w:eastAsia="SimSun"/>
                <w:sz w:val="16"/>
                <w:szCs w:val="16"/>
              </w:rPr>
            </w:pPr>
            <w:r w:rsidRPr="00A32AF4">
              <w:rPr>
                <w:rFonts w:eastAsia="SimSun"/>
                <w:sz w:val="16"/>
                <w:szCs w:val="16"/>
              </w:rPr>
              <w:t xml:space="preserve">+32% de déposants </w:t>
            </w:r>
            <w:proofErr w:type="gramStart"/>
            <w:r w:rsidRPr="00A32AF4">
              <w:rPr>
                <w:rFonts w:eastAsia="SimSun"/>
                <w:sz w:val="16"/>
                <w:szCs w:val="16"/>
              </w:rPr>
              <w:t>publics;</w:t>
            </w:r>
            <w:proofErr w:type="gramEnd"/>
          </w:p>
          <w:p w:rsidR="00F93B76" w:rsidRPr="00A32AF4" w:rsidRDefault="00CD1430" w:rsidP="00DC0553">
            <w:pPr>
              <w:keepNext/>
              <w:keepLines/>
              <w:tabs>
                <w:tab w:val="left" w:pos="1733"/>
              </w:tabs>
              <w:autoSpaceDE w:val="0"/>
              <w:autoSpaceDN w:val="0"/>
              <w:adjustRightInd w:val="0"/>
              <w:rPr>
                <w:rFonts w:eastAsia="SimSun"/>
                <w:sz w:val="16"/>
                <w:szCs w:val="16"/>
              </w:rPr>
            </w:pPr>
            <w:r w:rsidRPr="00A32AF4">
              <w:rPr>
                <w:rFonts w:eastAsia="SimSun"/>
                <w:sz w:val="16"/>
                <w:szCs w:val="16"/>
              </w:rPr>
              <w:t xml:space="preserve">+100% de déposants </w:t>
            </w:r>
            <w:proofErr w:type="gramStart"/>
            <w:r w:rsidRPr="00A32AF4">
              <w:rPr>
                <w:rFonts w:eastAsia="SimSun"/>
                <w:sz w:val="16"/>
                <w:szCs w:val="16"/>
              </w:rPr>
              <w:t>privés;</w:t>
            </w:r>
            <w:proofErr w:type="gramEnd"/>
          </w:p>
          <w:p w:rsidR="00F93B76" w:rsidRPr="00A32AF4" w:rsidRDefault="00CD1430" w:rsidP="00DC0553">
            <w:pPr>
              <w:keepNext/>
              <w:keepLines/>
              <w:tabs>
                <w:tab w:val="left" w:pos="1733"/>
              </w:tabs>
              <w:autoSpaceDE w:val="0"/>
              <w:autoSpaceDN w:val="0"/>
              <w:adjustRightInd w:val="0"/>
              <w:rPr>
                <w:rFonts w:eastAsia="SimSun"/>
                <w:sz w:val="16"/>
                <w:szCs w:val="16"/>
              </w:rPr>
            </w:pPr>
            <w:r w:rsidRPr="00A32AF4">
              <w:rPr>
                <w:rFonts w:eastAsia="SimSun"/>
                <w:sz w:val="16"/>
                <w:szCs w:val="16"/>
              </w:rPr>
              <w:t xml:space="preserve">+25% de tiers </w:t>
            </w:r>
            <w:proofErr w:type="gramStart"/>
            <w:r w:rsidRPr="00A32AF4">
              <w:rPr>
                <w:rFonts w:eastAsia="SimSun"/>
                <w:sz w:val="16"/>
                <w:szCs w:val="16"/>
              </w:rPr>
              <w:t>observateurs;</w:t>
            </w:r>
            <w:proofErr w:type="gramEnd"/>
          </w:p>
          <w:p w:rsidR="00F93B76" w:rsidRPr="00A32AF4" w:rsidRDefault="00CD1430" w:rsidP="00DC0553">
            <w:pPr>
              <w:keepNext/>
              <w:keepLines/>
              <w:tabs>
                <w:tab w:val="left" w:pos="1733"/>
              </w:tabs>
              <w:autoSpaceDE w:val="0"/>
              <w:autoSpaceDN w:val="0"/>
              <w:adjustRightInd w:val="0"/>
              <w:rPr>
                <w:rFonts w:eastAsia="SimSun"/>
                <w:sz w:val="16"/>
                <w:szCs w:val="16"/>
              </w:rPr>
            </w:pPr>
            <w:r w:rsidRPr="00A32AF4">
              <w:rPr>
                <w:rFonts w:eastAsia="SimSun"/>
                <w:sz w:val="16"/>
                <w:szCs w:val="16"/>
              </w:rPr>
              <w:t>+329% d</w:t>
            </w:r>
            <w:r w:rsidR="00E2055A" w:rsidRPr="00A32AF4">
              <w:rPr>
                <w:rFonts w:eastAsia="SimSun"/>
                <w:sz w:val="16"/>
                <w:szCs w:val="16"/>
              </w:rPr>
              <w:t>’</w:t>
            </w:r>
            <w:r w:rsidRPr="00A32AF4">
              <w:rPr>
                <w:rFonts w:eastAsia="SimSun"/>
                <w:sz w:val="16"/>
                <w:szCs w:val="16"/>
              </w:rPr>
              <w:t xml:space="preserve">offices </w:t>
            </w:r>
            <w:proofErr w:type="gramStart"/>
            <w:r w:rsidRPr="00A32AF4">
              <w:rPr>
                <w:rFonts w:eastAsia="SimSun"/>
                <w:sz w:val="16"/>
                <w:szCs w:val="16"/>
              </w:rPr>
              <w:t>récepteurs;</w:t>
            </w:r>
            <w:proofErr w:type="gramEnd"/>
          </w:p>
          <w:p w:rsidR="00CD1430" w:rsidRPr="00A32AF4" w:rsidRDefault="00EB7F54" w:rsidP="00DC0553">
            <w:pPr>
              <w:keepNext/>
              <w:keepLines/>
              <w:tabs>
                <w:tab w:val="left" w:pos="1733"/>
              </w:tabs>
              <w:autoSpaceDE w:val="0"/>
              <w:autoSpaceDN w:val="0"/>
              <w:adjustRightInd w:val="0"/>
              <w:rPr>
                <w:rFonts w:eastAsia="SimSun"/>
                <w:sz w:val="16"/>
                <w:szCs w:val="16"/>
              </w:rPr>
            </w:pPr>
            <w:r w:rsidRPr="00A32AF4">
              <w:rPr>
                <w:rFonts w:eastAsia="SimSun"/>
                <w:sz w:val="16"/>
                <w:szCs w:val="16"/>
              </w:rPr>
              <w:noBreakHyphen/>
            </w:r>
            <w:r w:rsidR="00CD1430" w:rsidRPr="00A32AF4">
              <w:rPr>
                <w:rFonts w:eastAsia="SimSun"/>
                <w:sz w:val="16"/>
                <w:szCs w:val="16"/>
              </w:rPr>
              <w:t>73% d</w:t>
            </w:r>
            <w:r w:rsidR="00E2055A" w:rsidRPr="00A32AF4">
              <w:rPr>
                <w:rFonts w:eastAsia="SimSun"/>
                <w:sz w:val="16"/>
                <w:szCs w:val="16"/>
              </w:rPr>
              <w:t>’</w:t>
            </w:r>
            <w:r w:rsidR="00CD1430" w:rsidRPr="00A32AF4">
              <w:rPr>
                <w:rFonts w:eastAsia="SimSun"/>
                <w:sz w:val="16"/>
                <w:szCs w:val="16"/>
              </w:rPr>
              <w:t>administrations internationales (le plus important office utilisateur est passé à un niveau d</w:t>
            </w:r>
            <w:r w:rsidR="00E2055A" w:rsidRPr="00A32AF4">
              <w:rPr>
                <w:rFonts w:eastAsia="SimSun"/>
                <w:sz w:val="16"/>
                <w:szCs w:val="16"/>
              </w:rPr>
              <w:t>’</w:t>
            </w:r>
            <w:r w:rsidR="00CD1430" w:rsidRPr="00A32AF4">
              <w:rPr>
                <w:rFonts w:eastAsia="SimSun"/>
                <w:sz w:val="16"/>
                <w:szCs w:val="16"/>
              </w:rPr>
              <w:t>automatisation plus élevé)</w:t>
            </w:r>
          </w:p>
        </w:tc>
        <w:tc>
          <w:tcPr>
            <w:tcW w:w="1917" w:type="dxa"/>
            <w:tcBorders>
              <w:top w:val="nil"/>
              <w:left w:val="nil"/>
              <w:bottom w:val="nil"/>
              <w:right w:val="single" w:sz="6" w:space="0" w:color="auto"/>
            </w:tcBorders>
            <w:shd w:val="solid" w:color="FFFFFF" w:fill="auto"/>
            <w:tcMar>
              <w:top w:w="113" w:type="dxa"/>
              <w:left w:w="108" w:type="dxa"/>
              <w:bottom w:w="113" w:type="dxa"/>
              <w:right w:w="108" w:type="dxa"/>
            </w:tcMar>
          </w:tcPr>
          <w:p w:rsidR="00CD1430" w:rsidRPr="00A32AF4" w:rsidRDefault="00CD1430" w:rsidP="00DC0553">
            <w:pPr>
              <w:keepNext/>
              <w:keepLines/>
              <w:autoSpaceDE w:val="0"/>
              <w:autoSpaceDN w:val="0"/>
              <w:adjustRightInd w:val="0"/>
              <w:rPr>
                <w:rFonts w:eastAsia="SimSun"/>
                <w:sz w:val="16"/>
                <w:szCs w:val="16"/>
              </w:rPr>
            </w:pPr>
            <w:r w:rsidRPr="00A32AF4">
              <w:rPr>
                <w:rFonts w:eastAsia="SimSun"/>
                <w:sz w:val="16"/>
                <w:szCs w:val="16"/>
              </w:rPr>
              <w:t>Augmentation du nombre d</w:t>
            </w:r>
            <w:r w:rsidR="00E2055A" w:rsidRPr="00A32AF4">
              <w:rPr>
                <w:rFonts w:eastAsia="SimSun"/>
                <w:sz w:val="16"/>
                <w:szCs w:val="16"/>
              </w:rPr>
              <w:t>’</w:t>
            </w:r>
            <w:r w:rsidRPr="00A32AF4">
              <w:rPr>
                <w:rFonts w:eastAsia="SimSun"/>
                <w:sz w:val="16"/>
                <w:szCs w:val="16"/>
              </w:rPr>
              <w:t xml:space="preserve">offices acceptant les dépôts en ligne depuis le système </w:t>
            </w:r>
            <w:proofErr w:type="gramStart"/>
            <w:r w:rsidRPr="00A32AF4">
              <w:rPr>
                <w:rFonts w:eastAsia="SimSun"/>
                <w:sz w:val="16"/>
                <w:szCs w:val="16"/>
              </w:rPr>
              <w:t>ePCT;</w:t>
            </w:r>
            <w:proofErr w:type="gramEnd"/>
            <w:r w:rsidRPr="00A32AF4">
              <w:rPr>
                <w:rFonts w:eastAsia="SimSun"/>
                <w:sz w:val="16"/>
                <w:szCs w:val="16"/>
              </w:rPr>
              <w:t xml:space="preserve">  utilisation du système ePCT par les offices ou acceptation des documents transmis par les déposants utilisant le système ePCT;  dépôt de demandes depuis le système ePCT</w:t>
            </w:r>
          </w:p>
        </w:tc>
      </w:tr>
      <w:tr w:rsidR="0038294E" w:rsidRPr="00A32AF4" w:rsidTr="00FF3B37">
        <w:trPr>
          <w:cantSplit/>
        </w:trPr>
        <w:tc>
          <w:tcPr>
            <w:tcW w:w="2674" w:type="dxa"/>
            <w:tcBorders>
              <w:top w:val="nil"/>
              <w:left w:val="single" w:sz="6" w:space="0" w:color="auto"/>
              <w:bottom w:val="nil"/>
              <w:right w:val="nil"/>
            </w:tcBorders>
            <w:shd w:val="solid" w:color="FFFFFF" w:fill="auto"/>
            <w:tcMar>
              <w:top w:w="113" w:type="dxa"/>
              <w:left w:w="108" w:type="dxa"/>
              <w:bottom w:w="113" w:type="dxa"/>
              <w:right w:w="108" w:type="dxa"/>
            </w:tcMar>
          </w:tcPr>
          <w:p w:rsidR="00CD1430" w:rsidRPr="00A32AF4" w:rsidRDefault="00CD1430" w:rsidP="00DC0553">
            <w:pPr>
              <w:tabs>
                <w:tab w:val="left" w:pos="1733"/>
                <w:tab w:val="left" w:pos="2127"/>
                <w:tab w:val="left" w:pos="2268"/>
              </w:tabs>
              <w:autoSpaceDE w:val="0"/>
              <w:autoSpaceDN w:val="0"/>
              <w:adjustRightInd w:val="0"/>
              <w:rPr>
                <w:rFonts w:eastAsia="SimSun"/>
                <w:sz w:val="16"/>
                <w:szCs w:val="16"/>
              </w:rPr>
            </w:pPr>
            <w:r w:rsidRPr="00A32AF4">
              <w:rPr>
                <w:rFonts w:eastAsia="SimSun"/>
                <w:sz w:val="16"/>
                <w:szCs w:val="16"/>
              </w:rPr>
              <w:t xml:space="preserve">II.3 </w:t>
            </w:r>
            <w:r w:rsidR="00FF3B37" w:rsidRPr="00A32AF4">
              <w:rPr>
                <w:rFonts w:eastAsia="SimSun"/>
                <w:sz w:val="16"/>
                <w:szCs w:val="16"/>
              </w:rPr>
              <w:t>Amélioration de la productivité et de la qualité de service des opérations</w:t>
            </w:r>
            <w:r w:rsidR="00E2055A" w:rsidRPr="00A32AF4">
              <w:rPr>
                <w:rFonts w:eastAsia="SimSun"/>
                <w:sz w:val="16"/>
                <w:szCs w:val="16"/>
              </w:rPr>
              <w:t xml:space="preserve"> du PCT</w:t>
            </w:r>
          </w:p>
        </w:tc>
        <w:tc>
          <w:tcPr>
            <w:tcW w:w="2397" w:type="dxa"/>
            <w:tcBorders>
              <w:top w:val="nil"/>
              <w:left w:val="nil"/>
              <w:bottom w:val="nil"/>
              <w:right w:val="nil"/>
            </w:tcBorders>
            <w:shd w:val="solid" w:color="FFFFFF" w:fill="auto"/>
            <w:tcMar>
              <w:top w:w="113" w:type="dxa"/>
              <w:left w:w="108" w:type="dxa"/>
              <w:bottom w:w="113" w:type="dxa"/>
              <w:right w:w="108" w:type="dxa"/>
            </w:tcMar>
          </w:tcPr>
          <w:p w:rsidR="00CD1430" w:rsidRPr="00A32AF4" w:rsidRDefault="00CD1430" w:rsidP="00DC0553">
            <w:pPr>
              <w:autoSpaceDE w:val="0"/>
              <w:autoSpaceDN w:val="0"/>
              <w:adjustRightInd w:val="0"/>
              <w:rPr>
                <w:rFonts w:eastAsia="SimSun"/>
                <w:sz w:val="16"/>
                <w:szCs w:val="16"/>
              </w:rPr>
            </w:pPr>
            <w:r w:rsidRPr="00A32AF4">
              <w:rPr>
                <w:rFonts w:eastAsia="SimSun"/>
                <w:sz w:val="16"/>
                <w:szCs w:val="16"/>
              </w:rPr>
              <w:t>Coût unitaire du traitement d</w:t>
            </w:r>
            <w:r w:rsidR="00E2055A" w:rsidRPr="00A32AF4">
              <w:rPr>
                <w:rFonts w:eastAsia="SimSun"/>
                <w:sz w:val="16"/>
                <w:szCs w:val="16"/>
              </w:rPr>
              <w:t>’</w:t>
            </w:r>
            <w:r w:rsidRPr="00A32AF4">
              <w:rPr>
                <w:rFonts w:eastAsia="SimSun"/>
                <w:sz w:val="16"/>
                <w:szCs w:val="16"/>
              </w:rPr>
              <w:t>une demande</w:t>
            </w:r>
          </w:p>
        </w:tc>
        <w:tc>
          <w:tcPr>
            <w:tcW w:w="2256" w:type="dxa"/>
            <w:tcBorders>
              <w:top w:val="nil"/>
              <w:left w:val="nil"/>
              <w:bottom w:val="nil"/>
              <w:right w:val="nil"/>
            </w:tcBorders>
            <w:shd w:val="solid" w:color="FFFFFF" w:fill="auto"/>
            <w:tcMar>
              <w:top w:w="113" w:type="dxa"/>
              <w:left w:w="108" w:type="dxa"/>
              <w:bottom w:w="113" w:type="dxa"/>
              <w:right w:w="108" w:type="dxa"/>
            </w:tcMar>
          </w:tcPr>
          <w:p w:rsidR="00CD1430" w:rsidRPr="00A32AF4" w:rsidRDefault="00CD1430" w:rsidP="00DC0553">
            <w:pPr>
              <w:tabs>
                <w:tab w:val="left" w:pos="1733"/>
              </w:tabs>
              <w:autoSpaceDE w:val="0"/>
              <w:autoSpaceDN w:val="0"/>
              <w:adjustRightInd w:val="0"/>
              <w:rPr>
                <w:rFonts w:eastAsia="SimSun"/>
                <w:sz w:val="16"/>
                <w:szCs w:val="16"/>
              </w:rPr>
            </w:pPr>
            <w:r w:rsidRPr="00A32AF4">
              <w:rPr>
                <w:rFonts w:eastAsia="SimSun"/>
                <w:sz w:val="16"/>
                <w:szCs w:val="16"/>
              </w:rPr>
              <w:t>662 francs suisses (2014)</w:t>
            </w:r>
          </w:p>
        </w:tc>
        <w:tc>
          <w:tcPr>
            <w:tcW w:w="1917" w:type="dxa"/>
            <w:tcBorders>
              <w:top w:val="nil"/>
              <w:left w:val="nil"/>
              <w:bottom w:val="nil"/>
              <w:right w:val="single" w:sz="6" w:space="0" w:color="auto"/>
            </w:tcBorders>
            <w:shd w:val="solid" w:color="FFFFFF" w:fill="auto"/>
            <w:tcMar>
              <w:top w:w="113" w:type="dxa"/>
              <w:left w:w="108" w:type="dxa"/>
              <w:bottom w:w="113" w:type="dxa"/>
              <w:right w:w="108" w:type="dxa"/>
            </w:tcMar>
          </w:tcPr>
          <w:p w:rsidR="00CD1430" w:rsidRPr="00A32AF4" w:rsidRDefault="0054325C" w:rsidP="00DC0553">
            <w:pPr>
              <w:autoSpaceDE w:val="0"/>
              <w:autoSpaceDN w:val="0"/>
              <w:adjustRightInd w:val="0"/>
              <w:rPr>
                <w:rFonts w:eastAsia="SimSun"/>
                <w:sz w:val="16"/>
                <w:szCs w:val="16"/>
              </w:rPr>
            </w:pPr>
            <w:r w:rsidRPr="00A32AF4">
              <w:rPr>
                <w:rFonts w:eastAsia="SimSun"/>
                <w:sz w:val="16"/>
                <w:szCs w:val="16"/>
              </w:rPr>
              <w:t>Maintien</w:t>
            </w:r>
            <w:r w:rsidR="00CD1430" w:rsidRPr="00A32AF4">
              <w:rPr>
                <w:rFonts w:eastAsia="SimSun"/>
                <w:sz w:val="16"/>
                <w:szCs w:val="16"/>
              </w:rPr>
              <w:t xml:space="preserve"> du coût unitaire</w:t>
            </w:r>
            <w:r w:rsidRPr="00A32AF4">
              <w:rPr>
                <w:rFonts w:eastAsia="SimSun"/>
                <w:sz w:val="16"/>
                <w:szCs w:val="16"/>
              </w:rPr>
              <w:t xml:space="preserve"> </w:t>
            </w:r>
            <w:r w:rsidR="000D256A" w:rsidRPr="00A32AF4">
              <w:rPr>
                <w:rFonts w:eastAsia="SimSun"/>
                <w:sz w:val="16"/>
                <w:szCs w:val="16"/>
              </w:rPr>
              <w:t xml:space="preserve">au niveau actuel </w:t>
            </w:r>
            <w:r w:rsidRPr="00A32AF4">
              <w:rPr>
                <w:rFonts w:eastAsia="SimSun"/>
                <w:sz w:val="16"/>
                <w:szCs w:val="16"/>
              </w:rPr>
              <w:t>malgré les investissements prévus pour renforcer la résilience et les niveaux de sécurité</w:t>
            </w:r>
            <w:r w:rsidR="00E2055A" w:rsidRPr="00A32AF4">
              <w:rPr>
                <w:rFonts w:eastAsia="SimSun"/>
                <w:sz w:val="16"/>
                <w:szCs w:val="16"/>
              </w:rPr>
              <w:t xml:space="preserve"> du PCT</w:t>
            </w:r>
          </w:p>
        </w:tc>
      </w:tr>
      <w:tr w:rsidR="0038294E" w:rsidRPr="00A32AF4" w:rsidTr="00FF3B37">
        <w:trPr>
          <w:cantSplit/>
        </w:trPr>
        <w:tc>
          <w:tcPr>
            <w:tcW w:w="2674" w:type="dxa"/>
            <w:tcBorders>
              <w:top w:val="nil"/>
              <w:left w:val="single" w:sz="6" w:space="0" w:color="auto"/>
              <w:bottom w:val="nil"/>
              <w:right w:val="nil"/>
            </w:tcBorders>
            <w:shd w:val="solid" w:color="FFFFFF" w:fill="auto"/>
            <w:tcMar>
              <w:top w:w="113" w:type="dxa"/>
              <w:left w:w="108" w:type="dxa"/>
              <w:bottom w:w="113" w:type="dxa"/>
              <w:right w:w="108" w:type="dxa"/>
            </w:tcMar>
          </w:tcPr>
          <w:p w:rsidR="00CD1430" w:rsidRPr="00A32AF4" w:rsidRDefault="00CD1430" w:rsidP="00DC0553">
            <w:pPr>
              <w:autoSpaceDE w:val="0"/>
              <w:autoSpaceDN w:val="0"/>
              <w:adjustRightInd w:val="0"/>
              <w:rPr>
                <w:rFonts w:eastAsia="SimSun"/>
                <w:sz w:val="16"/>
                <w:szCs w:val="16"/>
              </w:rPr>
            </w:pPr>
          </w:p>
        </w:tc>
        <w:tc>
          <w:tcPr>
            <w:tcW w:w="2397" w:type="dxa"/>
            <w:tcBorders>
              <w:top w:val="nil"/>
              <w:left w:val="nil"/>
              <w:bottom w:val="nil"/>
              <w:right w:val="nil"/>
            </w:tcBorders>
            <w:shd w:val="solid" w:color="FFFFFF" w:fill="auto"/>
            <w:tcMar>
              <w:top w:w="113" w:type="dxa"/>
              <w:left w:w="108" w:type="dxa"/>
              <w:bottom w:w="113" w:type="dxa"/>
              <w:right w:w="108" w:type="dxa"/>
            </w:tcMar>
          </w:tcPr>
          <w:p w:rsidR="00CD1430" w:rsidRPr="00A32AF4" w:rsidRDefault="00CD1430" w:rsidP="00DC0553">
            <w:pPr>
              <w:autoSpaceDE w:val="0"/>
              <w:autoSpaceDN w:val="0"/>
              <w:adjustRightInd w:val="0"/>
              <w:rPr>
                <w:rFonts w:eastAsia="SimSun"/>
                <w:sz w:val="16"/>
                <w:szCs w:val="16"/>
              </w:rPr>
            </w:pPr>
            <w:r w:rsidRPr="00A32AF4">
              <w:rPr>
                <w:rFonts w:eastAsia="SimSun"/>
                <w:sz w:val="16"/>
                <w:szCs w:val="16"/>
              </w:rPr>
              <w:t>Qualité globale de l</w:t>
            </w:r>
            <w:r w:rsidR="00E2055A" w:rsidRPr="00A32AF4">
              <w:rPr>
                <w:rFonts w:eastAsia="SimSun"/>
                <w:sz w:val="16"/>
                <w:szCs w:val="16"/>
              </w:rPr>
              <w:t>’</w:t>
            </w:r>
            <w:r w:rsidRPr="00A32AF4">
              <w:rPr>
                <w:rFonts w:eastAsia="SimSun"/>
                <w:sz w:val="16"/>
                <w:szCs w:val="16"/>
              </w:rPr>
              <w:t>examen de forme (</w:t>
            </w:r>
            <w:r w:rsidR="00E2055A" w:rsidRPr="00A32AF4">
              <w:rPr>
                <w:rFonts w:eastAsia="SimSun"/>
                <w:sz w:val="16"/>
                <w:szCs w:val="16"/>
              </w:rPr>
              <w:t>y compris</w:t>
            </w:r>
            <w:r w:rsidRPr="00A32AF4">
              <w:rPr>
                <w:rFonts w:eastAsia="SimSun"/>
                <w:sz w:val="16"/>
                <w:szCs w:val="16"/>
              </w:rPr>
              <w:t xml:space="preserve"> les délais)</w:t>
            </w:r>
          </w:p>
        </w:tc>
        <w:tc>
          <w:tcPr>
            <w:tcW w:w="2256" w:type="dxa"/>
            <w:tcBorders>
              <w:top w:val="nil"/>
              <w:left w:val="nil"/>
              <w:bottom w:val="nil"/>
              <w:right w:val="nil"/>
            </w:tcBorders>
            <w:shd w:val="solid" w:color="FFFFFF" w:fill="auto"/>
            <w:tcMar>
              <w:top w:w="113" w:type="dxa"/>
              <w:left w:w="108" w:type="dxa"/>
              <w:bottom w:w="113" w:type="dxa"/>
              <w:right w:w="108" w:type="dxa"/>
            </w:tcMar>
          </w:tcPr>
          <w:p w:rsidR="00CD1430" w:rsidRPr="00A32AF4" w:rsidRDefault="00CD1430" w:rsidP="00DC0553">
            <w:pPr>
              <w:tabs>
                <w:tab w:val="left" w:pos="1733"/>
              </w:tabs>
              <w:autoSpaceDE w:val="0"/>
              <w:autoSpaceDN w:val="0"/>
              <w:adjustRightInd w:val="0"/>
              <w:rPr>
                <w:rFonts w:eastAsia="SimSun"/>
                <w:sz w:val="16"/>
                <w:szCs w:val="16"/>
              </w:rPr>
            </w:pPr>
            <w:r w:rsidRPr="00A32AF4">
              <w:rPr>
                <w:rFonts w:eastAsia="SimSun"/>
                <w:sz w:val="16"/>
                <w:szCs w:val="16"/>
              </w:rPr>
              <w:t>93,1% (2014)</w:t>
            </w:r>
          </w:p>
        </w:tc>
        <w:tc>
          <w:tcPr>
            <w:tcW w:w="1917" w:type="dxa"/>
            <w:tcBorders>
              <w:top w:val="nil"/>
              <w:left w:val="nil"/>
              <w:bottom w:val="nil"/>
              <w:right w:val="single" w:sz="6" w:space="0" w:color="auto"/>
            </w:tcBorders>
            <w:shd w:val="solid" w:color="FFFFFF" w:fill="auto"/>
            <w:tcMar>
              <w:top w:w="113" w:type="dxa"/>
              <w:left w:w="108" w:type="dxa"/>
              <w:bottom w:w="113" w:type="dxa"/>
              <w:right w:w="108" w:type="dxa"/>
            </w:tcMar>
          </w:tcPr>
          <w:p w:rsidR="00CD1430" w:rsidRPr="00A32AF4" w:rsidRDefault="00CD1430" w:rsidP="00DC0553">
            <w:pPr>
              <w:autoSpaceDE w:val="0"/>
              <w:autoSpaceDN w:val="0"/>
              <w:adjustRightInd w:val="0"/>
              <w:rPr>
                <w:rFonts w:eastAsia="SimSun"/>
                <w:sz w:val="16"/>
                <w:szCs w:val="16"/>
              </w:rPr>
            </w:pPr>
            <w:r w:rsidRPr="00A32AF4">
              <w:rPr>
                <w:rFonts w:eastAsia="SimSun"/>
                <w:sz w:val="16"/>
                <w:szCs w:val="16"/>
              </w:rPr>
              <w:t>Amélioration de l</w:t>
            </w:r>
            <w:r w:rsidR="00E2055A" w:rsidRPr="00A32AF4">
              <w:rPr>
                <w:rFonts w:eastAsia="SimSun"/>
                <w:sz w:val="16"/>
                <w:szCs w:val="16"/>
              </w:rPr>
              <w:t>’</w:t>
            </w:r>
            <w:r w:rsidRPr="00A32AF4">
              <w:rPr>
                <w:rFonts w:eastAsia="SimSun"/>
                <w:sz w:val="16"/>
                <w:szCs w:val="16"/>
              </w:rPr>
              <w:t>indicateur de qualité</w:t>
            </w:r>
          </w:p>
        </w:tc>
      </w:tr>
      <w:tr w:rsidR="0038294E" w:rsidRPr="00A32AF4" w:rsidTr="00FF3B37">
        <w:trPr>
          <w:cantSplit/>
        </w:trPr>
        <w:tc>
          <w:tcPr>
            <w:tcW w:w="2674" w:type="dxa"/>
            <w:tcBorders>
              <w:top w:val="nil"/>
              <w:left w:val="single" w:sz="6" w:space="0" w:color="auto"/>
              <w:bottom w:val="nil"/>
              <w:right w:val="nil"/>
            </w:tcBorders>
            <w:shd w:val="solid" w:color="FFFFFF" w:fill="auto"/>
            <w:tcMar>
              <w:top w:w="113" w:type="dxa"/>
              <w:left w:w="108" w:type="dxa"/>
              <w:bottom w:w="113" w:type="dxa"/>
              <w:right w:w="108" w:type="dxa"/>
            </w:tcMar>
          </w:tcPr>
          <w:p w:rsidR="00CD1430" w:rsidRPr="00A32AF4" w:rsidRDefault="00CD1430" w:rsidP="00DC0553">
            <w:pPr>
              <w:autoSpaceDE w:val="0"/>
              <w:autoSpaceDN w:val="0"/>
              <w:adjustRightInd w:val="0"/>
              <w:rPr>
                <w:rFonts w:eastAsia="SimSun"/>
                <w:sz w:val="16"/>
                <w:szCs w:val="16"/>
              </w:rPr>
            </w:pPr>
          </w:p>
        </w:tc>
        <w:tc>
          <w:tcPr>
            <w:tcW w:w="2397" w:type="dxa"/>
            <w:tcBorders>
              <w:top w:val="nil"/>
              <w:left w:val="nil"/>
              <w:bottom w:val="nil"/>
              <w:right w:val="nil"/>
            </w:tcBorders>
            <w:shd w:val="solid" w:color="FFFFFF" w:fill="auto"/>
            <w:tcMar>
              <w:top w:w="113" w:type="dxa"/>
              <w:left w:w="108" w:type="dxa"/>
              <w:bottom w:w="113" w:type="dxa"/>
              <w:right w:w="108" w:type="dxa"/>
            </w:tcMar>
          </w:tcPr>
          <w:p w:rsidR="00CD1430" w:rsidRPr="00A32AF4" w:rsidRDefault="00CD1430" w:rsidP="00DC0553">
            <w:pPr>
              <w:autoSpaceDE w:val="0"/>
              <w:autoSpaceDN w:val="0"/>
              <w:adjustRightInd w:val="0"/>
              <w:rPr>
                <w:rFonts w:eastAsia="SimSun"/>
                <w:sz w:val="16"/>
                <w:szCs w:val="16"/>
              </w:rPr>
            </w:pPr>
            <w:r w:rsidRPr="00A32AF4">
              <w:rPr>
                <w:rFonts w:eastAsia="SimSun"/>
                <w:sz w:val="16"/>
                <w:szCs w:val="16"/>
              </w:rPr>
              <w:t>Délais de traduction des rapports</w:t>
            </w:r>
          </w:p>
        </w:tc>
        <w:tc>
          <w:tcPr>
            <w:tcW w:w="2256" w:type="dxa"/>
            <w:tcBorders>
              <w:top w:val="nil"/>
              <w:left w:val="nil"/>
              <w:bottom w:val="nil"/>
              <w:right w:val="nil"/>
            </w:tcBorders>
            <w:shd w:val="solid" w:color="FFFFFF" w:fill="auto"/>
            <w:tcMar>
              <w:top w:w="113" w:type="dxa"/>
              <w:left w:w="108" w:type="dxa"/>
              <w:bottom w:w="113" w:type="dxa"/>
              <w:right w:w="108" w:type="dxa"/>
            </w:tcMar>
          </w:tcPr>
          <w:p w:rsidR="00CD1430" w:rsidRPr="00A32AF4" w:rsidRDefault="00CD1430" w:rsidP="00DC0553">
            <w:pPr>
              <w:tabs>
                <w:tab w:val="left" w:pos="1733"/>
              </w:tabs>
              <w:autoSpaceDE w:val="0"/>
              <w:autoSpaceDN w:val="0"/>
              <w:adjustRightInd w:val="0"/>
              <w:rPr>
                <w:rFonts w:eastAsia="SimSun"/>
                <w:sz w:val="16"/>
                <w:szCs w:val="16"/>
              </w:rPr>
            </w:pPr>
            <w:r w:rsidRPr="00A32AF4">
              <w:rPr>
                <w:rFonts w:eastAsia="SimSun"/>
                <w:sz w:val="16"/>
                <w:szCs w:val="16"/>
              </w:rPr>
              <w:t>82,5% (2014)</w:t>
            </w:r>
          </w:p>
        </w:tc>
        <w:tc>
          <w:tcPr>
            <w:tcW w:w="1917" w:type="dxa"/>
            <w:tcBorders>
              <w:top w:val="nil"/>
              <w:left w:val="nil"/>
              <w:bottom w:val="nil"/>
              <w:right w:val="single" w:sz="6" w:space="0" w:color="auto"/>
            </w:tcBorders>
            <w:shd w:val="solid" w:color="FFFFFF" w:fill="auto"/>
            <w:tcMar>
              <w:top w:w="113" w:type="dxa"/>
              <w:left w:w="108" w:type="dxa"/>
              <w:bottom w:w="113" w:type="dxa"/>
              <w:right w:w="108" w:type="dxa"/>
            </w:tcMar>
          </w:tcPr>
          <w:p w:rsidR="00CD1430" w:rsidRPr="00A32AF4" w:rsidRDefault="00CD1430" w:rsidP="00DC0553">
            <w:pPr>
              <w:autoSpaceDE w:val="0"/>
              <w:autoSpaceDN w:val="0"/>
              <w:adjustRightInd w:val="0"/>
              <w:rPr>
                <w:rFonts w:eastAsia="SimSun"/>
                <w:sz w:val="16"/>
                <w:szCs w:val="16"/>
              </w:rPr>
            </w:pPr>
            <w:r w:rsidRPr="00A32AF4">
              <w:rPr>
                <w:rFonts w:eastAsia="SimSun"/>
                <w:sz w:val="16"/>
                <w:szCs w:val="16"/>
              </w:rPr>
              <w:t>Amélioration</w:t>
            </w:r>
          </w:p>
        </w:tc>
      </w:tr>
      <w:tr w:rsidR="0038294E" w:rsidRPr="00A32AF4" w:rsidTr="00FF3B37">
        <w:trPr>
          <w:cantSplit/>
        </w:trPr>
        <w:tc>
          <w:tcPr>
            <w:tcW w:w="2674" w:type="dxa"/>
            <w:tcBorders>
              <w:top w:val="nil"/>
              <w:left w:val="single" w:sz="6" w:space="0" w:color="auto"/>
              <w:bottom w:val="nil"/>
              <w:right w:val="nil"/>
            </w:tcBorders>
            <w:shd w:val="solid" w:color="FFFFFF" w:fill="auto"/>
            <w:tcMar>
              <w:top w:w="113" w:type="dxa"/>
              <w:left w:w="108" w:type="dxa"/>
              <w:bottom w:w="113" w:type="dxa"/>
              <w:right w:w="108" w:type="dxa"/>
            </w:tcMar>
          </w:tcPr>
          <w:p w:rsidR="00CD1430" w:rsidRPr="00A32AF4" w:rsidRDefault="00CD1430" w:rsidP="00DC0553">
            <w:pPr>
              <w:autoSpaceDE w:val="0"/>
              <w:autoSpaceDN w:val="0"/>
              <w:adjustRightInd w:val="0"/>
              <w:rPr>
                <w:rFonts w:eastAsia="SimSun"/>
                <w:sz w:val="16"/>
                <w:szCs w:val="16"/>
              </w:rPr>
            </w:pPr>
          </w:p>
        </w:tc>
        <w:tc>
          <w:tcPr>
            <w:tcW w:w="2397" w:type="dxa"/>
            <w:tcBorders>
              <w:top w:val="nil"/>
              <w:left w:val="nil"/>
              <w:bottom w:val="nil"/>
              <w:right w:val="nil"/>
            </w:tcBorders>
            <w:shd w:val="solid" w:color="FFFFFF" w:fill="auto"/>
            <w:tcMar>
              <w:top w:w="113" w:type="dxa"/>
              <w:left w:w="108" w:type="dxa"/>
              <w:bottom w:w="113" w:type="dxa"/>
              <w:right w:w="108" w:type="dxa"/>
            </w:tcMar>
          </w:tcPr>
          <w:p w:rsidR="00CD1430" w:rsidRPr="00A32AF4" w:rsidRDefault="00CD1430" w:rsidP="00DC0553">
            <w:pPr>
              <w:autoSpaceDE w:val="0"/>
              <w:autoSpaceDN w:val="0"/>
              <w:adjustRightInd w:val="0"/>
              <w:rPr>
                <w:rFonts w:eastAsia="SimSun"/>
                <w:sz w:val="16"/>
                <w:szCs w:val="16"/>
              </w:rPr>
            </w:pPr>
            <w:r w:rsidRPr="00A32AF4">
              <w:rPr>
                <w:rFonts w:eastAsia="SimSun"/>
                <w:sz w:val="16"/>
                <w:szCs w:val="16"/>
              </w:rPr>
              <w:t>Qualité de la traduction</w:t>
            </w:r>
          </w:p>
        </w:tc>
        <w:tc>
          <w:tcPr>
            <w:tcW w:w="2256" w:type="dxa"/>
            <w:tcBorders>
              <w:top w:val="nil"/>
              <w:left w:val="nil"/>
              <w:bottom w:val="nil"/>
              <w:right w:val="nil"/>
            </w:tcBorders>
            <w:shd w:val="solid" w:color="FFFFFF" w:fill="auto"/>
            <w:tcMar>
              <w:top w:w="113" w:type="dxa"/>
              <w:left w:w="108" w:type="dxa"/>
              <w:bottom w:w="113" w:type="dxa"/>
              <w:right w:w="108" w:type="dxa"/>
            </w:tcMar>
          </w:tcPr>
          <w:p w:rsidR="00CD1430" w:rsidRPr="00A32AF4" w:rsidRDefault="00CD1430" w:rsidP="00DC0553">
            <w:pPr>
              <w:tabs>
                <w:tab w:val="left" w:pos="1733"/>
              </w:tabs>
              <w:autoSpaceDE w:val="0"/>
              <w:autoSpaceDN w:val="0"/>
              <w:adjustRightInd w:val="0"/>
              <w:rPr>
                <w:rFonts w:eastAsia="SimSun"/>
                <w:sz w:val="16"/>
                <w:szCs w:val="16"/>
              </w:rPr>
            </w:pPr>
            <w:r w:rsidRPr="00A32AF4">
              <w:rPr>
                <w:rFonts w:eastAsia="SimSun"/>
                <w:sz w:val="16"/>
                <w:szCs w:val="16"/>
              </w:rPr>
              <w:t>86% (2014)</w:t>
            </w:r>
          </w:p>
        </w:tc>
        <w:tc>
          <w:tcPr>
            <w:tcW w:w="1917" w:type="dxa"/>
            <w:tcBorders>
              <w:top w:val="nil"/>
              <w:left w:val="nil"/>
              <w:bottom w:val="nil"/>
              <w:right w:val="single" w:sz="6" w:space="0" w:color="auto"/>
            </w:tcBorders>
            <w:shd w:val="solid" w:color="FFFFFF" w:fill="auto"/>
            <w:tcMar>
              <w:top w:w="113" w:type="dxa"/>
              <w:left w:w="108" w:type="dxa"/>
              <w:bottom w:w="113" w:type="dxa"/>
              <w:right w:w="108" w:type="dxa"/>
            </w:tcMar>
          </w:tcPr>
          <w:p w:rsidR="00CD1430" w:rsidRPr="00A32AF4" w:rsidRDefault="00CD1430" w:rsidP="00DC0553">
            <w:pPr>
              <w:autoSpaceDE w:val="0"/>
              <w:autoSpaceDN w:val="0"/>
              <w:adjustRightInd w:val="0"/>
              <w:rPr>
                <w:rFonts w:eastAsia="SimSun"/>
                <w:sz w:val="16"/>
                <w:szCs w:val="16"/>
              </w:rPr>
            </w:pPr>
            <w:r w:rsidRPr="00A32AF4">
              <w:rPr>
                <w:rFonts w:eastAsia="SimSun"/>
                <w:sz w:val="16"/>
                <w:szCs w:val="16"/>
              </w:rPr>
              <w:t>Amélioration de la qualité</w:t>
            </w:r>
          </w:p>
        </w:tc>
      </w:tr>
      <w:tr w:rsidR="0038294E" w:rsidRPr="00A32AF4" w:rsidTr="00FF3B37">
        <w:trPr>
          <w:cantSplit/>
        </w:trPr>
        <w:tc>
          <w:tcPr>
            <w:tcW w:w="2674" w:type="dxa"/>
            <w:tcBorders>
              <w:top w:val="nil"/>
              <w:left w:val="single" w:sz="6" w:space="0" w:color="auto"/>
              <w:bottom w:val="nil"/>
              <w:right w:val="nil"/>
            </w:tcBorders>
            <w:shd w:val="solid" w:color="FFFFFF" w:fill="auto"/>
            <w:tcMar>
              <w:top w:w="113" w:type="dxa"/>
              <w:left w:w="108" w:type="dxa"/>
              <w:bottom w:w="113" w:type="dxa"/>
              <w:right w:w="108" w:type="dxa"/>
            </w:tcMar>
          </w:tcPr>
          <w:p w:rsidR="00CD1430" w:rsidRPr="00A32AF4" w:rsidRDefault="00CD1430" w:rsidP="00DC0553">
            <w:pPr>
              <w:autoSpaceDE w:val="0"/>
              <w:autoSpaceDN w:val="0"/>
              <w:adjustRightInd w:val="0"/>
              <w:rPr>
                <w:rFonts w:eastAsia="SimSun"/>
                <w:sz w:val="16"/>
                <w:szCs w:val="16"/>
              </w:rPr>
            </w:pPr>
          </w:p>
        </w:tc>
        <w:tc>
          <w:tcPr>
            <w:tcW w:w="2397" w:type="dxa"/>
            <w:tcBorders>
              <w:top w:val="nil"/>
              <w:left w:val="nil"/>
              <w:bottom w:val="nil"/>
              <w:right w:val="nil"/>
            </w:tcBorders>
            <w:shd w:val="solid" w:color="FFFFFF" w:fill="auto"/>
            <w:tcMar>
              <w:top w:w="113" w:type="dxa"/>
              <w:left w:w="108" w:type="dxa"/>
              <w:bottom w:w="113" w:type="dxa"/>
              <w:right w:w="108" w:type="dxa"/>
            </w:tcMar>
          </w:tcPr>
          <w:p w:rsidR="00CD1430" w:rsidRPr="00A32AF4" w:rsidRDefault="00CD1430" w:rsidP="00DC0553">
            <w:pPr>
              <w:autoSpaceDE w:val="0"/>
              <w:autoSpaceDN w:val="0"/>
              <w:adjustRightInd w:val="0"/>
              <w:rPr>
                <w:rFonts w:eastAsia="SimSun"/>
                <w:sz w:val="16"/>
                <w:szCs w:val="16"/>
              </w:rPr>
            </w:pPr>
            <w:r w:rsidRPr="00A32AF4">
              <w:rPr>
                <w:rFonts w:eastAsia="SimSun"/>
                <w:sz w:val="16"/>
                <w:szCs w:val="16"/>
              </w:rPr>
              <w:t>Qualité du développement de logiciels</w:t>
            </w:r>
          </w:p>
        </w:tc>
        <w:tc>
          <w:tcPr>
            <w:tcW w:w="2256" w:type="dxa"/>
            <w:tcBorders>
              <w:top w:val="nil"/>
              <w:left w:val="nil"/>
              <w:bottom w:val="nil"/>
              <w:right w:val="nil"/>
            </w:tcBorders>
            <w:shd w:val="solid" w:color="FFFFFF" w:fill="auto"/>
            <w:tcMar>
              <w:top w:w="113" w:type="dxa"/>
              <w:left w:w="108" w:type="dxa"/>
              <w:bottom w:w="113" w:type="dxa"/>
              <w:right w:w="108" w:type="dxa"/>
            </w:tcMar>
          </w:tcPr>
          <w:p w:rsidR="00CD1430" w:rsidRPr="00A32AF4" w:rsidRDefault="00CD1430" w:rsidP="00DC0553">
            <w:pPr>
              <w:tabs>
                <w:tab w:val="left" w:pos="1733"/>
              </w:tabs>
              <w:autoSpaceDE w:val="0"/>
              <w:autoSpaceDN w:val="0"/>
              <w:adjustRightInd w:val="0"/>
              <w:rPr>
                <w:rFonts w:eastAsia="SimSun"/>
                <w:sz w:val="16"/>
                <w:szCs w:val="16"/>
              </w:rPr>
            </w:pPr>
            <w:r w:rsidRPr="00A32AF4">
              <w:rPr>
                <w:rFonts w:eastAsia="SimSun"/>
                <w:sz w:val="16"/>
                <w:szCs w:val="16"/>
              </w:rPr>
              <w:t>94,3% (2014)</w:t>
            </w:r>
          </w:p>
        </w:tc>
        <w:tc>
          <w:tcPr>
            <w:tcW w:w="1917" w:type="dxa"/>
            <w:tcBorders>
              <w:top w:val="nil"/>
              <w:left w:val="nil"/>
              <w:bottom w:val="nil"/>
              <w:right w:val="single" w:sz="6" w:space="0" w:color="auto"/>
            </w:tcBorders>
            <w:shd w:val="solid" w:color="FFFFFF" w:fill="auto"/>
            <w:tcMar>
              <w:top w:w="113" w:type="dxa"/>
              <w:left w:w="108" w:type="dxa"/>
              <w:bottom w:w="113" w:type="dxa"/>
              <w:right w:w="108" w:type="dxa"/>
            </w:tcMar>
          </w:tcPr>
          <w:p w:rsidR="00CD1430" w:rsidRPr="00A32AF4" w:rsidRDefault="00CD1430" w:rsidP="00DC0553">
            <w:pPr>
              <w:autoSpaceDE w:val="0"/>
              <w:autoSpaceDN w:val="0"/>
              <w:adjustRightInd w:val="0"/>
              <w:rPr>
                <w:rFonts w:eastAsia="SimSun"/>
                <w:sz w:val="16"/>
                <w:szCs w:val="16"/>
              </w:rPr>
            </w:pPr>
            <w:r w:rsidRPr="00A32AF4">
              <w:rPr>
                <w:rFonts w:eastAsia="SimSun"/>
                <w:sz w:val="16"/>
                <w:szCs w:val="16"/>
              </w:rPr>
              <w:t>Élévation du niveau de qualité</w:t>
            </w:r>
          </w:p>
        </w:tc>
      </w:tr>
      <w:tr w:rsidR="0038294E" w:rsidRPr="00A32AF4" w:rsidTr="00FF3B37">
        <w:trPr>
          <w:cantSplit/>
        </w:trPr>
        <w:tc>
          <w:tcPr>
            <w:tcW w:w="2674" w:type="dxa"/>
            <w:tcBorders>
              <w:top w:val="nil"/>
              <w:left w:val="single" w:sz="6" w:space="0" w:color="auto"/>
              <w:bottom w:val="single" w:sz="6" w:space="0" w:color="auto"/>
              <w:right w:val="nil"/>
            </w:tcBorders>
            <w:shd w:val="solid" w:color="FFFFFF" w:fill="auto"/>
            <w:tcMar>
              <w:top w:w="113" w:type="dxa"/>
              <w:left w:w="108" w:type="dxa"/>
              <w:bottom w:w="113" w:type="dxa"/>
              <w:right w:w="108" w:type="dxa"/>
            </w:tcMar>
          </w:tcPr>
          <w:p w:rsidR="00CD1430" w:rsidRPr="00A32AF4" w:rsidRDefault="00CD1430" w:rsidP="00DC0553">
            <w:pPr>
              <w:autoSpaceDE w:val="0"/>
              <w:autoSpaceDN w:val="0"/>
              <w:adjustRightInd w:val="0"/>
              <w:rPr>
                <w:rFonts w:eastAsia="SimSun"/>
                <w:sz w:val="16"/>
                <w:szCs w:val="16"/>
              </w:rPr>
            </w:pPr>
          </w:p>
        </w:tc>
        <w:tc>
          <w:tcPr>
            <w:tcW w:w="2397" w:type="dxa"/>
            <w:tcBorders>
              <w:top w:val="nil"/>
              <w:left w:val="nil"/>
              <w:bottom w:val="single" w:sz="6" w:space="0" w:color="auto"/>
              <w:right w:val="nil"/>
            </w:tcBorders>
            <w:shd w:val="solid" w:color="FFFFFF" w:fill="auto"/>
            <w:tcMar>
              <w:top w:w="113" w:type="dxa"/>
              <w:left w:w="108" w:type="dxa"/>
              <w:bottom w:w="113" w:type="dxa"/>
              <w:right w:w="108" w:type="dxa"/>
            </w:tcMar>
          </w:tcPr>
          <w:p w:rsidR="00CD1430" w:rsidRPr="00A32AF4" w:rsidRDefault="00CD1430" w:rsidP="00DC0553">
            <w:pPr>
              <w:autoSpaceDE w:val="0"/>
              <w:autoSpaceDN w:val="0"/>
              <w:adjustRightInd w:val="0"/>
              <w:rPr>
                <w:rFonts w:eastAsia="SimSun"/>
                <w:sz w:val="16"/>
                <w:szCs w:val="16"/>
              </w:rPr>
            </w:pPr>
            <w:r w:rsidRPr="00A32AF4">
              <w:rPr>
                <w:rFonts w:eastAsia="SimSun"/>
                <w:sz w:val="16"/>
                <w:szCs w:val="16"/>
              </w:rPr>
              <w:t>Niveaux de service des systèmes d</w:t>
            </w:r>
            <w:r w:rsidR="00E2055A" w:rsidRPr="00A32AF4">
              <w:rPr>
                <w:rFonts w:eastAsia="SimSun"/>
                <w:sz w:val="16"/>
                <w:szCs w:val="16"/>
              </w:rPr>
              <w:t>’</w:t>
            </w:r>
            <w:r w:rsidRPr="00A32AF4">
              <w:rPr>
                <w:rFonts w:eastAsia="SimSun"/>
                <w:sz w:val="16"/>
                <w:szCs w:val="16"/>
              </w:rPr>
              <w:t>information</w:t>
            </w:r>
          </w:p>
        </w:tc>
        <w:tc>
          <w:tcPr>
            <w:tcW w:w="2256" w:type="dxa"/>
            <w:tcBorders>
              <w:top w:val="nil"/>
              <w:left w:val="nil"/>
              <w:bottom w:val="single" w:sz="6" w:space="0" w:color="auto"/>
              <w:right w:val="nil"/>
            </w:tcBorders>
            <w:shd w:val="solid" w:color="FFFFFF" w:fill="auto"/>
            <w:tcMar>
              <w:top w:w="113" w:type="dxa"/>
              <w:left w:w="108" w:type="dxa"/>
              <w:bottom w:w="113" w:type="dxa"/>
              <w:right w:w="108" w:type="dxa"/>
            </w:tcMar>
          </w:tcPr>
          <w:p w:rsidR="00CD1430" w:rsidRPr="00A32AF4" w:rsidRDefault="00CD1430" w:rsidP="00DC0553">
            <w:pPr>
              <w:tabs>
                <w:tab w:val="left" w:pos="1733"/>
              </w:tabs>
              <w:autoSpaceDE w:val="0"/>
              <w:autoSpaceDN w:val="0"/>
              <w:adjustRightInd w:val="0"/>
              <w:rPr>
                <w:rFonts w:eastAsia="SimSun"/>
                <w:sz w:val="16"/>
                <w:szCs w:val="16"/>
              </w:rPr>
            </w:pPr>
            <w:r w:rsidRPr="00A32AF4">
              <w:rPr>
                <w:rFonts w:eastAsia="SimSun"/>
                <w:sz w:val="16"/>
                <w:szCs w:val="16"/>
              </w:rPr>
              <w:t>95,3% (2014)</w:t>
            </w:r>
          </w:p>
        </w:tc>
        <w:tc>
          <w:tcPr>
            <w:tcW w:w="1917" w:type="dxa"/>
            <w:tcBorders>
              <w:top w:val="nil"/>
              <w:left w:val="nil"/>
              <w:bottom w:val="single" w:sz="6" w:space="0" w:color="auto"/>
              <w:right w:val="single" w:sz="6" w:space="0" w:color="auto"/>
            </w:tcBorders>
            <w:shd w:val="solid" w:color="FFFFFF" w:fill="auto"/>
            <w:tcMar>
              <w:top w:w="113" w:type="dxa"/>
              <w:left w:w="108" w:type="dxa"/>
              <w:bottom w:w="113" w:type="dxa"/>
              <w:right w:w="108" w:type="dxa"/>
            </w:tcMar>
          </w:tcPr>
          <w:p w:rsidR="00CD1430" w:rsidRPr="00A32AF4" w:rsidRDefault="00CD1430" w:rsidP="00DC0553">
            <w:pPr>
              <w:autoSpaceDE w:val="0"/>
              <w:autoSpaceDN w:val="0"/>
              <w:adjustRightInd w:val="0"/>
              <w:rPr>
                <w:rFonts w:eastAsia="SimSun"/>
                <w:sz w:val="16"/>
                <w:szCs w:val="16"/>
              </w:rPr>
            </w:pPr>
            <w:r w:rsidRPr="00A32AF4">
              <w:rPr>
                <w:rFonts w:eastAsia="SimSun"/>
                <w:sz w:val="16"/>
                <w:szCs w:val="16"/>
              </w:rPr>
              <w:t>Élévation du niveau de services de systèmes d</w:t>
            </w:r>
            <w:r w:rsidR="00E2055A" w:rsidRPr="00A32AF4">
              <w:rPr>
                <w:rFonts w:eastAsia="SimSun"/>
                <w:sz w:val="16"/>
                <w:szCs w:val="16"/>
              </w:rPr>
              <w:t>’</w:t>
            </w:r>
            <w:r w:rsidRPr="00A32AF4">
              <w:rPr>
                <w:rFonts w:eastAsia="SimSun"/>
                <w:sz w:val="16"/>
                <w:szCs w:val="16"/>
              </w:rPr>
              <w:t>information</w:t>
            </w:r>
          </w:p>
        </w:tc>
      </w:tr>
    </w:tbl>
    <w:p w:rsidR="00F93B76" w:rsidRPr="00A32AF4" w:rsidRDefault="00F93B76" w:rsidP="00DC0553"/>
    <w:p w:rsidR="00F93B76" w:rsidRPr="00A32AF4" w:rsidRDefault="00F93B76" w:rsidP="00DC0553"/>
    <w:p w:rsidR="003A5B95" w:rsidRPr="00A32AF4" w:rsidRDefault="003A5B95">
      <w:r w:rsidRPr="00A32AF4">
        <w:br w:type="page"/>
      </w:r>
    </w:p>
    <w:p w:rsidR="00F93B76" w:rsidRPr="00A32AF4" w:rsidRDefault="00DC2AF7" w:rsidP="00DC0553">
      <w:r w:rsidRPr="00A32AF4">
        <w:t>RESSOURCES ALLOUÉES AU PROGRAMME</w:t>
      </w:r>
      <w:r w:rsidR="002E0570" w:rsidRPr="00A32AF4">
        <w:t xml:space="preserve"> 5</w:t>
      </w:r>
    </w:p>
    <w:p w:rsidR="00F93B76" w:rsidRPr="00A32AF4" w:rsidRDefault="00F93B76" w:rsidP="00DC0553"/>
    <w:p w:rsidR="00E2055A" w:rsidRPr="00A32AF4" w:rsidRDefault="00145305" w:rsidP="00DC0553">
      <w:pPr>
        <w:numPr>
          <w:ilvl w:val="0"/>
          <w:numId w:val="8"/>
        </w:numPr>
        <w:jc w:val="both"/>
        <w:rPr>
          <w:rFonts w:cs="Arial"/>
          <w:bCs/>
        </w:rPr>
      </w:pPr>
      <w:r w:rsidRPr="00A32AF4">
        <w:rPr>
          <w:rFonts w:cs="Arial"/>
          <w:bCs/>
        </w:rPr>
        <w:t>L</w:t>
      </w:r>
      <w:r w:rsidR="00E2055A" w:rsidRPr="00A32AF4">
        <w:rPr>
          <w:rFonts w:cs="Arial"/>
          <w:bCs/>
        </w:rPr>
        <w:t>’</w:t>
      </w:r>
      <w:r w:rsidRPr="00A32AF4">
        <w:rPr>
          <w:rFonts w:cs="Arial"/>
          <w:bCs/>
        </w:rPr>
        <w:t>augmentation des ressources globales allouées au programme </w:t>
      </w:r>
      <w:r w:rsidR="002E0570" w:rsidRPr="00A32AF4">
        <w:rPr>
          <w:rFonts w:cs="Arial"/>
          <w:bCs/>
        </w:rPr>
        <w:t xml:space="preserve">5 </w:t>
      </w:r>
      <w:r w:rsidRPr="00A32AF4">
        <w:rPr>
          <w:rFonts w:cs="Arial"/>
          <w:bCs/>
        </w:rPr>
        <w:t>découle </w:t>
      </w:r>
      <w:r w:rsidR="002E0570" w:rsidRPr="00A32AF4">
        <w:rPr>
          <w:rFonts w:cs="Arial"/>
          <w:bCs/>
        </w:rPr>
        <w:t>: i)</w:t>
      </w:r>
      <w:r w:rsidR="00FD43E3" w:rsidRPr="00A32AF4">
        <w:rPr>
          <w:rFonts w:cs="Arial"/>
          <w:bCs/>
        </w:rPr>
        <w:t> </w:t>
      </w:r>
      <w:r w:rsidRPr="00A32AF4">
        <w:rPr>
          <w:rFonts w:cs="Arial"/>
          <w:bCs/>
        </w:rPr>
        <w:t>d</w:t>
      </w:r>
      <w:r w:rsidR="00E2055A" w:rsidRPr="00A32AF4">
        <w:rPr>
          <w:rFonts w:cs="Arial"/>
          <w:bCs/>
        </w:rPr>
        <w:t>’</w:t>
      </w:r>
      <w:r w:rsidRPr="00A32AF4">
        <w:rPr>
          <w:rFonts w:cs="Arial"/>
          <w:bCs/>
        </w:rPr>
        <w:t>une hausse des coûts de traduction</w:t>
      </w:r>
      <w:r w:rsidR="00E2055A" w:rsidRPr="00A32AF4">
        <w:rPr>
          <w:rFonts w:cs="Arial"/>
          <w:bCs/>
        </w:rPr>
        <w:t xml:space="preserve"> du PCT</w:t>
      </w:r>
      <w:r w:rsidR="002E0570" w:rsidRPr="00A32AF4">
        <w:rPr>
          <w:rFonts w:cs="Arial"/>
          <w:bCs/>
        </w:rPr>
        <w:t xml:space="preserve"> </w:t>
      </w:r>
      <w:r w:rsidRPr="00A32AF4">
        <w:rPr>
          <w:rFonts w:cs="Arial"/>
          <w:bCs/>
        </w:rPr>
        <w:t xml:space="preserve">de </w:t>
      </w:r>
      <w:r w:rsidR="002E0570" w:rsidRPr="00A32AF4">
        <w:rPr>
          <w:rFonts w:cs="Arial"/>
          <w:bCs/>
        </w:rPr>
        <w:t>4</w:t>
      </w:r>
      <w:r w:rsidRPr="00A32AF4">
        <w:rPr>
          <w:rFonts w:cs="Arial"/>
          <w:bCs/>
        </w:rPr>
        <w:t>,</w:t>
      </w:r>
      <w:r w:rsidR="002E0570" w:rsidRPr="00A32AF4">
        <w:rPr>
          <w:rFonts w:cs="Arial"/>
          <w:bCs/>
        </w:rPr>
        <w:t>2</w:t>
      </w:r>
      <w:r w:rsidR="00FD43E3" w:rsidRPr="00A32AF4">
        <w:rPr>
          <w:rFonts w:cs="Arial"/>
          <w:bCs/>
        </w:rPr>
        <w:t> </w:t>
      </w:r>
      <w:r w:rsidR="002E0570" w:rsidRPr="00A32AF4">
        <w:rPr>
          <w:rFonts w:cs="Arial"/>
          <w:bCs/>
        </w:rPr>
        <w:t>million</w:t>
      </w:r>
      <w:r w:rsidRPr="00A32AF4">
        <w:rPr>
          <w:rFonts w:cs="Arial"/>
          <w:bCs/>
        </w:rPr>
        <w:t>s</w:t>
      </w:r>
      <w:r w:rsidR="002E0570" w:rsidRPr="00A32AF4">
        <w:rPr>
          <w:rFonts w:cs="Arial"/>
          <w:bCs/>
        </w:rPr>
        <w:t xml:space="preserve"> </w:t>
      </w:r>
      <w:r w:rsidRPr="00A32AF4">
        <w:rPr>
          <w:rFonts w:cs="Arial"/>
          <w:bCs/>
        </w:rPr>
        <w:t xml:space="preserve">de </w:t>
      </w:r>
      <w:r w:rsidR="002E0570" w:rsidRPr="00A32AF4">
        <w:rPr>
          <w:rFonts w:cs="Arial"/>
          <w:bCs/>
        </w:rPr>
        <w:t xml:space="preserve">francs </w:t>
      </w:r>
      <w:r w:rsidRPr="00A32AF4">
        <w:rPr>
          <w:rFonts w:cs="Arial"/>
          <w:bCs/>
        </w:rPr>
        <w:t>suisses au titre des autres dépenses</w:t>
      </w:r>
      <w:r w:rsidR="002E0570" w:rsidRPr="00A32AF4">
        <w:rPr>
          <w:rFonts w:cs="Arial"/>
          <w:bCs/>
        </w:rPr>
        <w:t>, ii)</w:t>
      </w:r>
      <w:r w:rsidR="00FD43E3" w:rsidRPr="00A32AF4">
        <w:rPr>
          <w:rFonts w:cs="Arial"/>
          <w:bCs/>
        </w:rPr>
        <w:t> </w:t>
      </w:r>
      <w:r w:rsidRPr="00A32AF4">
        <w:rPr>
          <w:rFonts w:cs="Arial"/>
          <w:bCs/>
        </w:rPr>
        <w:t>d</w:t>
      </w:r>
      <w:r w:rsidR="00E2055A" w:rsidRPr="00A32AF4">
        <w:rPr>
          <w:rFonts w:cs="Arial"/>
          <w:bCs/>
        </w:rPr>
        <w:t>’</w:t>
      </w:r>
      <w:r w:rsidRPr="00A32AF4">
        <w:rPr>
          <w:rFonts w:cs="Arial"/>
          <w:bCs/>
        </w:rPr>
        <w:t xml:space="preserve">une </w:t>
      </w:r>
      <w:r w:rsidR="002E0570" w:rsidRPr="00A32AF4">
        <w:rPr>
          <w:rFonts w:cs="Arial"/>
          <w:bCs/>
        </w:rPr>
        <w:t xml:space="preserve">provision </w:t>
      </w:r>
      <w:r w:rsidRPr="00A32AF4">
        <w:rPr>
          <w:rFonts w:cs="Arial"/>
          <w:bCs/>
        </w:rPr>
        <w:t>pour le renforcement de la résilience</w:t>
      </w:r>
      <w:r w:rsidR="00E2055A" w:rsidRPr="00A32AF4">
        <w:rPr>
          <w:rFonts w:cs="Arial"/>
          <w:bCs/>
        </w:rPr>
        <w:t xml:space="preserve"> du PCT</w:t>
      </w:r>
      <w:r w:rsidR="002E0570" w:rsidRPr="00A32AF4">
        <w:rPr>
          <w:rFonts w:cs="Arial"/>
          <w:bCs/>
        </w:rPr>
        <w:t xml:space="preserve"> </w:t>
      </w:r>
      <w:r w:rsidRPr="00A32AF4">
        <w:rPr>
          <w:rFonts w:cs="Arial"/>
          <w:bCs/>
        </w:rPr>
        <w:t xml:space="preserve">de </w:t>
      </w:r>
      <w:r w:rsidR="002E0570" w:rsidRPr="00A32AF4">
        <w:rPr>
          <w:rFonts w:cs="Arial"/>
          <w:bCs/>
        </w:rPr>
        <w:t>1</w:t>
      </w:r>
      <w:r w:rsidRPr="00A32AF4">
        <w:rPr>
          <w:rFonts w:cs="Arial"/>
          <w:bCs/>
        </w:rPr>
        <w:t>,</w:t>
      </w:r>
      <w:r w:rsidR="002E0570" w:rsidRPr="00A32AF4">
        <w:rPr>
          <w:rFonts w:cs="Arial"/>
          <w:bCs/>
        </w:rPr>
        <w:t>4</w:t>
      </w:r>
      <w:r w:rsidR="00FD43E3" w:rsidRPr="00A32AF4">
        <w:rPr>
          <w:rFonts w:cs="Arial"/>
          <w:bCs/>
        </w:rPr>
        <w:t> </w:t>
      </w:r>
      <w:r w:rsidR="002E0570" w:rsidRPr="00A32AF4">
        <w:rPr>
          <w:rFonts w:cs="Arial"/>
          <w:bCs/>
        </w:rPr>
        <w:t xml:space="preserve">million </w:t>
      </w:r>
      <w:r w:rsidRPr="00A32AF4">
        <w:rPr>
          <w:rFonts w:cs="Arial"/>
          <w:bCs/>
        </w:rPr>
        <w:t>de</w:t>
      </w:r>
      <w:r w:rsidR="002E0570" w:rsidRPr="00A32AF4">
        <w:rPr>
          <w:rFonts w:cs="Arial"/>
          <w:bCs/>
        </w:rPr>
        <w:t xml:space="preserve"> francs </w:t>
      </w:r>
      <w:r w:rsidRPr="00A32AF4">
        <w:rPr>
          <w:rFonts w:cs="Arial"/>
          <w:bCs/>
        </w:rPr>
        <w:t xml:space="preserve">suisses </w:t>
      </w:r>
      <w:r w:rsidR="002E0570" w:rsidRPr="00A32AF4">
        <w:rPr>
          <w:rFonts w:cs="Arial"/>
          <w:bCs/>
        </w:rPr>
        <w:t>(</w:t>
      </w:r>
      <w:r w:rsidRPr="00A32AF4">
        <w:rPr>
          <w:rFonts w:cs="Arial"/>
          <w:bCs/>
        </w:rPr>
        <w:t>autres dépenses</w:t>
      </w:r>
      <w:r w:rsidR="002E0570" w:rsidRPr="00A32AF4">
        <w:rPr>
          <w:rFonts w:cs="Arial"/>
          <w:bCs/>
        </w:rPr>
        <w:t xml:space="preserve">) </w:t>
      </w:r>
      <w:r w:rsidRPr="00A32AF4">
        <w:rPr>
          <w:rFonts w:cs="Arial"/>
          <w:bCs/>
        </w:rPr>
        <w:t>et </w:t>
      </w:r>
      <w:r w:rsidR="002E0570" w:rsidRPr="00A32AF4">
        <w:rPr>
          <w:rFonts w:cs="Arial"/>
          <w:bCs/>
        </w:rPr>
        <w:t xml:space="preserve">iii) </w:t>
      </w:r>
      <w:r w:rsidRPr="00A32AF4">
        <w:rPr>
          <w:rFonts w:cs="Arial"/>
          <w:bCs/>
        </w:rPr>
        <w:t>d</w:t>
      </w:r>
      <w:r w:rsidR="00E2055A" w:rsidRPr="00A32AF4">
        <w:rPr>
          <w:rFonts w:cs="Arial"/>
          <w:bCs/>
        </w:rPr>
        <w:t>’</w:t>
      </w:r>
      <w:r w:rsidRPr="00A32AF4">
        <w:rPr>
          <w:rFonts w:cs="Arial"/>
          <w:bCs/>
        </w:rPr>
        <w:t xml:space="preserve">une augmentation des dépenses de personnel imputable au changement de méthode de comptabilisation des </w:t>
      </w:r>
      <w:r w:rsidR="000D256A" w:rsidRPr="00A32AF4">
        <w:rPr>
          <w:rFonts w:cs="Arial"/>
          <w:bCs/>
        </w:rPr>
        <w:t>dépe</w:t>
      </w:r>
      <w:r w:rsidR="002E0570" w:rsidRPr="00A32AF4">
        <w:rPr>
          <w:rFonts w:cs="Arial"/>
          <w:bCs/>
        </w:rPr>
        <w:t>n</w:t>
      </w:r>
      <w:r w:rsidR="000D256A" w:rsidRPr="00A32AF4">
        <w:rPr>
          <w:rFonts w:cs="Arial"/>
          <w:bCs/>
        </w:rPr>
        <w:t>ses</w:t>
      </w:r>
      <w:r w:rsidR="002E0570" w:rsidRPr="00A32AF4">
        <w:rPr>
          <w:rFonts w:cs="Arial"/>
          <w:bCs/>
        </w:rPr>
        <w:t xml:space="preserve"> </w:t>
      </w:r>
      <w:r w:rsidR="000D256A" w:rsidRPr="00A32AF4">
        <w:rPr>
          <w:rFonts w:cs="Arial"/>
          <w:bCs/>
        </w:rPr>
        <w:t xml:space="preserve">de </w:t>
      </w:r>
      <w:r w:rsidR="002E0570" w:rsidRPr="00A32AF4">
        <w:rPr>
          <w:rFonts w:cs="Arial"/>
          <w:bCs/>
        </w:rPr>
        <w:t xml:space="preserve">personnel </w:t>
      </w:r>
      <w:r w:rsidR="000D256A" w:rsidRPr="00A32AF4">
        <w:rPr>
          <w:rFonts w:cs="Arial"/>
          <w:bCs/>
        </w:rPr>
        <w:t>en</w:t>
      </w:r>
      <w:r w:rsidR="00FD43E3" w:rsidRPr="00A32AF4">
        <w:rPr>
          <w:rFonts w:cs="Arial"/>
          <w:bCs/>
        </w:rPr>
        <w:t> </w:t>
      </w:r>
      <w:r w:rsidR="000D256A" w:rsidRPr="00A32AF4">
        <w:rPr>
          <w:rFonts w:cs="Arial"/>
        </w:rPr>
        <w:t>2016</w:t>
      </w:r>
      <w:r w:rsidR="00EB7F54" w:rsidRPr="00A32AF4">
        <w:rPr>
          <w:rFonts w:cs="Arial"/>
        </w:rPr>
        <w:noBreakHyphen/>
      </w:r>
      <w:r w:rsidR="000D256A" w:rsidRPr="00A32AF4">
        <w:rPr>
          <w:rFonts w:cs="Arial"/>
        </w:rPr>
        <w:t xml:space="preserve">2017, fondée sur les montants </w:t>
      </w:r>
      <w:r w:rsidR="00D73667" w:rsidRPr="00A32AF4">
        <w:rPr>
          <w:rFonts w:cs="Arial"/>
        </w:rPr>
        <w:t>effectifs</w:t>
      </w:r>
      <w:r w:rsidR="002E0570" w:rsidRPr="00A32AF4">
        <w:rPr>
          <w:rFonts w:cs="Arial"/>
        </w:rPr>
        <w:t>.</w:t>
      </w:r>
      <w:r w:rsidR="000D256A" w:rsidRPr="00A32AF4">
        <w:rPr>
          <w:rFonts w:cs="Arial"/>
          <w:bCs/>
        </w:rPr>
        <w:t xml:space="preserve">  Ces augmentations sont répercutées sous le résultat escompté </w:t>
      </w:r>
      <w:r w:rsidR="002E0570" w:rsidRPr="00A32AF4">
        <w:rPr>
          <w:rFonts w:cs="Arial"/>
          <w:bCs/>
        </w:rPr>
        <w:t>II.3.</w:t>
      </w:r>
    </w:p>
    <w:p w:rsidR="00F93B76" w:rsidRPr="00A32AF4" w:rsidRDefault="00F93B76" w:rsidP="00DC0553"/>
    <w:p w:rsidR="00F93B76" w:rsidRPr="00A32AF4" w:rsidRDefault="000D256A" w:rsidP="00DC0553">
      <w:pPr>
        <w:numPr>
          <w:ilvl w:val="0"/>
          <w:numId w:val="8"/>
        </w:numPr>
        <w:jc w:val="both"/>
        <w:rPr>
          <w:rFonts w:cs="Arial"/>
          <w:bCs/>
        </w:rPr>
      </w:pPr>
      <w:r w:rsidRPr="00A32AF4">
        <w:rPr>
          <w:rFonts w:cs="Arial"/>
          <w:bCs/>
        </w:rPr>
        <w:t>L</w:t>
      </w:r>
      <w:r w:rsidR="00E2055A" w:rsidRPr="00A32AF4">
        <w:rPr>
          <w:rFonts w:cs="Arial"/>
          <w:bCs/>
        </w:rPr>
        <w:t>’</w:t>
      </w:r>
      <w:r w:rsidRPr="00A32AF4">
        <w:rPr>
          <w:rFonts w:cs="Arial"/>
          <w:bCs/>
        </w:rPr>
        <w:t>augmentation des dépenses au titre du résultat escompté </w:t>
      </w:r>
      <w:r w:rsidR="002E0570" w:rsidRPr="00A32AF4">
        <w:rPr>
          <w:rFonts w:cs="Arial"/>
          <w:bCs/>
        </w:rPr>
        <w:t xml:space="preserve">II.1 </w:t>
      </w:r>
      <w:r w:rsidRPr="00A32AF4">
        <w:rPr>
          <w:rFonts w:cs="Arial"/>
          <w:bCs/>
        </w:rPr>
        <w:t xml:space="preserve">découle de la fusion des résultats escomptés </w:t>
      </w:r>
      <w:r w:rsidR="002E0570" w:rsidRPr="00A32AF4">
        <w:rPr>
          <w:rFonts w:cs="Arial"/>
          <w:bCs/>
        </w:rPr>
        <w:t xml:space="preserve">II.1 </w:t>
      </w:r>
      <w:r w:rsidRPr="00A32AF4">
        <w:rPr>
          <w:rFonts w:cs="Arial"/>
          <w:bCs/>
        </w:rPr>
        <w:t xml:space="preserve">et </w:t>
      </w:r>
      <w:r w:rsidR="002E0570" w:rsidRPr="00A32AF4">
        <w:rPr>
          <w:rFonts w:cs="Arial"/>
          <w:bCs/>
        </w:rPr>
        <w:t xml:space="preserve">II.2 </w:t>
      </w:r>
      <w:r w:rsidR="00D73667" w:rsidRPr="00A32AF4">
        <w:rPr>
          <w:rFonts w:cs="Arial"/>
          <w:bCs/>
        </w:rPr>
        <w:t>durant</w:t>
      </w:r>
      <w:r w:rsidRPr="00A32AF4">
        <w:rPr>
          <w:rFonts w:cs="Arial"/>
          <w:bCs/>
        </w:rPr>
        <w:t xml:space="preserve"> l</w:t>
      </w:r>
      <w:r w:rsidR="00E2055A" w:rsidRPr="00A32AF4">
        <w:rPr>
          <w:rFonts w:cs="Arial"/>
          <w:bCs/>
        </w:rPr>
        <w:t>’</w:t>
      </w:r>
      <w:r w:rsidRPr="00A32AF4">
        <w:rPr>
          <w:rFonts w:cs="Arial"/>
          <w:bCs/>
        </w:rPr>
        <w:t>exercice biennal</w:t>
      </w:r>
      <w:r w:rsidR="00FD43E3" w:rsidRPr="00A32AF4">
        <w:rPr>
          <w:rFonts w:cs="Arial"/>
          <w:bCs/>
        </w:rPr>
        <w:t> </w:t>
      </w:r>
      <w:r w:rsidR="002E0570" w:rsidRPr="00A32AF4">
        <w:rPr>
          <w:rFonts w:cs="Arial"/>
          <w:bCs/>
        </w:rPr>
        <w:t>2016</w:t>
      </w:r>
      <w:r w:rsidR="00EB7F54" w:rsidRPr="00A32AF4">
        <w:rPr>
          <w:rFonts w:cs="Arial"/>
          <w:bCs/>
        </w:rPr>
        <w:noBreakHyphen/>
      </w:r>
      <w:r w:rsidRPr="00A32AF4">
        <w:rPr>
          <w:rFonts w:cs="Arial"/>
          <w:bCs/>
        </w:rPr>
        <w:t>20</w:t>
      </w:r>
      <w:r w:rsidR="002E0570" w:rsidRPr="00A32AF4">
        <w:rPr>
          <w:rFonts w:cs="Arial"/>
          <w:bCs/>
        </w:rPr>
        <w:t>17.</w:t>
      </w:r>
    </w:p>
    <w:p w:rsidR="00F93B76" w:rsidRPr="00A32AF4" w:rsidRDefault="00F93B76" w:rsidP="00DC0553"/>
    <w:p w:rsidR="00F93B76" w:rsidRPr="00A32AF4" w:rsidRDefault="000D256A" w:rsidP="00DC0553">
      <w:pPr>
        <w:numPr>
          <w:ilvl w:val="0"/>
          <w:numId w:val="8"/>
        </w:numPr>
        <w:jc w:val="both"/>
        <w:rPr>
          <w:rFonts w:cs="Arial"/>
          <w:bCs/>
        </w:rPr>
      </w:pPr>
      <w:r w:rsidRPr="00A32AF4">
        <w:rPr>
          <w:rFonts w:cs="Arial"/>
          <w:bCs/>
        </w:rPr>
        <w:t xml:space="preserve">La diminution des dépenses au titre du résultat escompté </w:t>
      </w:r>
      <w:r w:rsidR="002E0570" w:rsidRPr="00A32AF4">
        <w:rPr>
          <w:rFonts w:cs="Arial"/>
          <w:bCs/>
        </w:rPr>
        <w:t xml:space="preserve">IV.2 </w:t>
      </w:r>
      <w:r w:rsidRPr="00A32AF4">
        <w:rPr>
          <w:rFonts w:cs="Arial"/>
          <w:bCs/>
        </w:rPr>
        <w:t>en</w:t>
      </w:r>
      <w:r w:rsidR="00FD43E3" w:rsidRPr="00A32AF4">
        <w:rPr>
          <w:rFonts w:cs="Arial"/>
          <w:bCs/>
        </w:rPr>
        <w:t> </w:t>
      </w:r>
      <w:r w:rsidR="002E0570" w:rsidRPr="00A32AF4">
        <w:rPr>
          <w:rFonts w:cs="Arial"/>
          <w:bCs/>
        </w:rPr>
        <w:t>2016</w:t>
      </w:r>
      <w:r w:rsidR="00EB7F54" w:rsidRPr="00A32AF4">
        <w:rPr>
          <w:rFonts w:cs="Arial"/>
          <w:bCs/>
        </w:rPr>
        <w:noBreakHyphen/>
      </w:r>
      <w:r w:rsidRPr="00A32AF4">
        <w:rPr>
          <w:rFonts w:cs="Arial"/>
          <w:bCs/>
        </w:rPr>
        <w:t>20</w:t>
      </w:r>
      <w:r w:rsidR="002E0570" w:rsidRPr="00A32AF4">
        <w:rPr>
          <w:rFonts w:cs="Arial"/>
          <w:bCs/>
        </w:rPr>
        <w:t xml:space="preserve">17 </w:t>
      </w:r>
      <w:r w:rsidR="00D73667" w:rsidRPr="00A32AF4">
        <w:rPr>
          <w:rFonts w:cs="Arial"/>
          <w:bCs/>
        </w:rPr>
        <w:t>par rapport au budget 2014</w:t>
      </w:r>
      <w:r w:rsidR="00EB7F54" w:rsidRPr="00A32AF4">
        <w:rPr>
          <w:rFonts w:cs="Arial"/>
          <w:bCs/>
        </w:rPr>
        <w:noBreakHyphen/>
      </w:r>
      <w:r w:rsidRPr="00A32AF4">
        <w:rPr>
          <w:rFonts w:cs="Arial"/>
          <w:bCs/>
        </w:rPr>
        <w:t>20</w:t>
      </w:r>
      <w:r w:rsidR="002E0570" w:rsidRPr="00A32AF4">
        <w:rPr>
          <w:rFonts w:cs="Arial"/>
          <w:bCs/>
        </w:rPr>
        <w:t xml:space="preserve">15 </w:t>
      </w:r>
      <w:r w:rsidRPr="00A32AF4">
        <w:rPr>
          <w:rFonts w:cs="Arial"/>
          <w:bCs/>
        </w:rPr>
        <w:t>après virements découle de l</w:t>
      </w:r>
      <w:r w:rsidR="00E2055A" w:rsidRPr="00A32AF4">
        <w:rPr>
          <w:rFonts w:cs="Arial"/>
          <w:bCs/>
        </w:rPr>
        <w:t>’</w:t>
      </w:r>
      <w:r w:rsidRPr="00A32AF4">
        <w:rPr>
          <w:rFonts w:cs="Arial"/>
          <w:bCs/>
        </w:rPr>
        <w:t>achèvement des projets du Plan d</w:t>
      </w:r>
      <w:r w:rsidR="00E2055A" w:rsidRPr="00A32AF4">
        <w:rPr>
          <w:rFonts w:cs="Arial"/>
          <w:bCs/>
        </w:rPr>
        <w:t>’</w:t>
      </w:r>
      <w:r w:rsidRPr="00A32AF4">
        <w:rPr>
          <w:rFonts w:cs="Arial"/>
          <w:bCs/>
        </w:rPr>
        <w:t xml:space="preserve">action pour le développement sur la propriété intellectuelle et le transfert de technologie et sur les partenariats ouverts et les modèles fondés </w:t>
      </w:r>
      <w:r w:rsidR="00D73667" w:rsidRPr="00A32AF4">
        <w:rPr>
          <w:rFonts w:cs="Arial"/>
          <w:bCs/>
        </w:rPr>
        <w:t>sur la propriété intellectuelle</w:t>
      </w:r>
      <w:r w:rsidRPr="00A32AF4">
        <w:rPr>
          <w:rFonts w:cs="Arial"/>
          <w:bCs/>
        </w:rPr>
        <w:t>.</w:t>
      </w:r>
    </w:p>
    <w:p w:rsidR="00F93B76" w:rsidRPr="00A32AF4" w:rsidRDefault="00F93B76" w:rsidP="00DC0553"/>
    <w:p w:rsidR="00F93B76" w:rsidRPr="00A32AF4" w:rsidRDefault="00F93B76" w:rsidP="00DC0553"/>
    <w:p w:rsidR="00F93B76" w:rsidRPr="00A32AF4" w:rsidRDefault="002E0570" w:rsidP="00DC0553">
      <w:pPr>
        <w:keepNext/>
        <w:keepLines/>
        <w:autoSpaceDE w:val="0"/>
        <w:autoSpaceDN w:val="0"/>
        <w:jc w:val="center"/>
        <w:rPr>
          <w:rFonts w:cs="Arial"/>
          <w:b/>
        </w:rPr>
      </w:pPr>
      <w:r w:rsidRPr="00A32AF4">
        <w:rPr>
          <w:rFonts w:cs="Arial"/>
          <w:b/>
        </w:rPr>
        <w:t>Programme 5 : ressources par résultat</w:t>
      </w:r>
    </w:p>
    <w:p w:rsidR="00F93B76" w:rsidRPr="00A32AF4" w:rsidRDefault="002E0570" w:rsidP="00DC0553">
      <w:pPr>
        <w:keepNext/>
        <w:keepLines/>
        <w:autoSpaceDE w:val="0"/>
        <w:autoSpaceDN w:val="0"/>
        <w:jc w:val="center"/>
        <w:rPr>
          <w:rFonts w:cs="Arial"/>
          <w:i/>
        </w:rPr>
      </w:pPr>
      <w:r w:rsidRPr="00A32AF4">
        <w:rPr>
          <w:rFonts w:cs="Arial"/>
          <w:i/>
        </w:rPr>
        <w:t>(</w:t>
      </w:r>
      <w:proofErr w:type="gramStart"/>
      <w:r w:rsidRPr="00A32AF4">
        <w:rPr>
          <w:rFonts w:cs="Arial"/>
          <w:i/>
        </w:rPr>
        <w:t>en</w:t>
      </w:r>
      <w:proofErr w:type="gramEnd"/>
      <w:r w:rsidRPr="00A32AF4">
        <w:rPr>
          <w:rFonts w:cs="Arial"/>
          <w:i/>
        </w:rPr>
        <w:t xml:space="preserve"> milliers de francs suisses)</w:t>
      </w:r>
    </w:p>
    <w:p w:rsidR="002E0570" w:rsidRPr="00A32AF4" w:rsidRDefault="002E0570" w:rsidP="00DC0553"/>
    <w:tbl>
      <w:tblPr>
        <w:tblW w:w="8980" w:type="dxa"/>
        <w:tblInd w:w="55" w:type="dxa"/>
        <w:tblCellMar>
          <w:left w:w="70" w:type="dxa"/>
          <w:right w:w="70" w:type="dxa"/>
        </w:tblCellMar>
        <w:tblLook w:val="04A0" w:firstRow="1" w:lastRow="0" w:firstColumn="1" w:lastColumn="0" w:noHBand="0" w:noVBand="1"/>
      </w:tblPr>
      <w:tblGrid>
        <w:gridCol w:w="520"/>
        <w:gridCol w:w="4500"/>
        <w:gridCol w:w="1260"/>
        <w:gridCol w:w="1440"/>
        <w:gridCol w:w="1260"/>
      </w:tblGrid>
      <w:tr w:rsidR="002E0570" w:rsidRPr="00A32AF4" w:rsidTr="002E0570">
        <w:tc>
          <w:tcPr>
            <w:tcW w:w="5020" w:type="dxa"/>
            <w:gridSpan w:val="2"/>
            <w:tcBorders>
              <w:top w:val="single" w:sz="4" w:space="0" w:color="auto"/>
              <w:left w:val="single" w:sz="4" w:space="0" w:color="auto"/>
              <w:bottom w:val="single" w:sz="4" w:space="0" w:color="auto"/>
              <w:right w:val="single" w:sz="4" w:space="0" w:color="000000"/>
            </w:tcBorders>
            <w:shd w:val="clear" w:color="000000" w:fill="C5D9F1"/>
            <w:noWrap/>
            <w:tcMar>
              <w:top w:w="113" w:type="dxa"/>
              <w:bottom w:w="113" w:type="dxa"/>
            </w:tcMar>
            <w:vAlign w:val="center"/>
            <w:hideMark/>
          </w:tcPr>
          <w:p w:rsidR="002E0570" w:rsidRPr="00A32AF4" w:rsidRDefault="002E0570" w:rsidP="00DC0553">
            <w:pPr>
              <w:jc w:val="center"/>
              <w:rPr>
                <w:rFonts w:cs="Arial"/>
                <w:i/>
                <w:iCs/>
                <w:sz w:val="16"/>
                <w:szCs w:val="16"/>
                <w:lang w:eastAsia="fr-FR"/>
              </w:rPr>
            </w:pPr>
            <w:r w:rsidRPr="00A32AF4">
              <w:rPr>
                <w:rFonts w:cs="Arial"/>
                <w:i/>
                <w:iCs/>
                <w:sz w:val="16"/>
                <w:szCs w:val="16"/>
                <w:lang w:eastAsia="fr-FR"/>
              </w:rPr>
              <w:t xml:space="preserve">Numéro et description du résultat escompté </w:t>
            </w:r>
          </w:p>
        </w:tc>
        <w:tc>
          <w:tcPr>
            <w:tcW w:w="126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2E0570" w:rsidRPr="00A32AF4" w:rsidRDefault="002E0570" w:rsidP="00DC0553">
            <w:pPr>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2014</w:t>
            </w:r>
            <w:r w:rsidR="00EB7F54" w:rsidRPr="00A32AF4">
              <w:rPr>
                <w:rFonts w:cs="Arial"/>
                <w:i/>
                <w:iCs/>
                <w:sz w:val="16"/>
                <w:szCs w:val="16"/>
                <w:lang w:eastAsia="fr-FR"/>
              </w:rPr>
              <w:noBreakHyphen/>
            </w:r>
            <w:r w:rsidRPr="00A32AF4">
              <w:rPr>
                <w:rFonts w:cs="Arial"/>
                <w:i/>
                <w:iCs/>
                <w:sz w:val="16"/>
                <w:szCs w:val="16"/>
                <w:lang w:eastAsia="fr-FR"/>
              </w:rPr>
              <w:t>2015 approuvé</w:t>
            </w:r>
          </w:p>
        </w:tc>
        <w:tc>
          <w:tcPr>
            <w:tcW w:w="144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2E0570" w:rsidRPr="00A32AF4" w:rsidRDefault="002E0570" w:rsidP="00DC0553">
            <w:pPr>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2014</w:t>
            </w:r>
            <w:r w:rsidR="00EB7F54" w:rsidRPr="00A32AF4">
              <w:rPr>
                <w:rFonts w:cs="Arial"/>
                <w:i/>
                <w:iCs/>
                <w:sz w:val="16"/>
                <w:szCs w:val="16"/>
                <w:lang w:eastAsia="fr-FR"/>
              </w:rPr>
              <w:noBreakHyphen/>
            </w:r>
            <w:r w:rsidRPr="00A32AF4">
              <w:rPr>
                <w:rFonts w:cs="Arial"/>
                <w:i/>
                <w:iCs/>
                <w:sz w:val="16"/>
                <w:szCs w:val="16"/>
                <w:lang w:eastAsia="fr-FR"/>
              </w:rPr>
              <w:t>2015 après virements</w:t>
            </w:r>
          </w:p>
        </w:tc>
        <w:tc>
          <w:tcPr>
            <w:tcW w:w="126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2E0570" w:rsidRPr="00A32AF4" w:rsidRDefault="002E0570" w:rsidP="00DC0553">
            <w:pPr>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2016</w:t>
            </w:r>
            <w:r w:rsidR="00EB7F54" w:rsidRPr="00A32AF4">
              <w:rPr>
                <w:rFonts w:cs="Arial"/>
                <w:i/>
                <w:iCs/>
                <w:sz w:val="16"/>
                <w:szCs w:val="16"/>
                <w:lang w:eastAsia="fr-FR"/>
              </w:rPr>
              <w:noBreakHyphen/>
            </w:r>
            <w:r w:rsidRPr="00A32AF4">
              <w:rPr>
                <w:rFonts w:cs="Arial"/>
                <w:i/>
                <w:iCs/>
                <w:sz w:val="16"/>
                <w:szCs w:val="16"/>
                <w:lang w:eastAsia="fr-FR"/>
              </w:rPr>
              <w:t>2017 proposé</w:t>
            </w:r>
          </w:p>
        </w:tc>
      </w:tr>
      <w:tr w:rsidR="002E0570" w:rsidRPr="00A32AF4" w:rsidTr="002E0570">
        <w:tc>
          <w:tcPr>
            <w:tcW w:w="520" w:type="dxa"/>
            <w:tcBorders>
              <w:top w:val="nil"/>
              <w:left w:val="single" w:sz="4" w:space="0" w:color="auto"/>
              <w:bottom w:val="nil"/>
              <w:right w:val="nil"/>
            </w:tcBorders>
            <w:shd w:val="clear" w:color="auto" w:fill="auto"/>
            <w:noWrap/>
            <w:tcMar>
              <w:top w:w="113" w:type="dxa"/>
              <w:bottom w:w="113" w:type="dxa"/>
            </w:tcMar>
            <w:vAlign w:val="center"/>
            <w:hideMark/>
          </w:tcPr>
          <w:p w:rsidR="002E0570" w:rsidRPr="00A32AF4" w:rsidRDefault="002E0570" w:rsidP="00DC0553">
            <w:pPr>
              <w:rPr>
                <w:rFonts w:cs="Arial"/>
                <w:sz w:val="16"/>
                <w:szCs w:val="16"/>
                <w:lang w:eastAsia="fr-FR"/>
              </w:rPr>
            </w:pPr>
            <w:r w:rsidRPr="00A32AF4">
              <w:rPr>
                <w:rFonts w:cs="Arial"/>
                <w:sz w:val="16"/>
                <w:szCs w:val="16"/>
                <w:lang w:eastAsia="fr-FR"/>
              </w:rPr>
              <w:t>II.1</w:t>
            </w:r>
          </w:p>
        </w:tc>
        <w:tc>
          <w:tcPr>
            <w:tcW w:w="4500" w:type="dxa"/>
            <w:tcBorders>
              <w:top w:val="nil"/>
              <w:left w:val="nil"/>
              <w:bottom w:val="nil"/>
              <w:right w:val="nil"/>
            </w:tcBorders>
            <w:shd w:val="clear" w:color="auto" w:fill="auto"/>
            <w:tcMar>
              <w:top w:w="113" w:type="dxa"/>
              <w:bottom w:w="113" w:type="dxa"/>
            </w:tcMar>
            <w:vAlign w:val="center"/>
            <w:hideMark/>
          </w:tcPr>
          <w:p w:rsidR="002E0570" w:rsidRPr="00A32AF4" w:rsidRDefault="002E0570" w:rsidP="00DC0553">
            <w:pPr>
              <w:rPr>
                <w:rFonts w:cs="Arial"/>
                <w:sz w:val="16"/>
                <w:szCs w:val="16"/>
                <w:lang w:eastAsia="fr-FR"/>
              </w:rPr>
            </w:pPr>
            <w:r w:rsidRPr="00A32AF4">
              <w:rPr>
                <w:rFonts w:cs="Arial"/>
                <w:sz w:val="16"/>
                <w:szCs w:val="16"/>
                <w:lang w:eastAsia="fr-FR"/>
              </w:rPr>
              <w:t>Utilisation élargie et plus efficace du système</w:t>
            </w:r>
            <w:r w:rsidR="00E2055A" w:rsidRPr="00A32AF4">
              <w:rPr>
                <w:rFonts w:cs="Arial"/>
                <w:sz w:val="16"/>
                <w:szCs w:val="16"/>
                <w:lang w:eastAsia="fr-FR"/>
              </w:rPr>
              <w:t xml:space="preserve"> du PCT</w:t>
            </w:r>
            <w:r w:rsidRPr="00A32AF4">
              <w:rPr>
                <w:rFonts w:cs="Arial"/>
                <w:sz w:val="16"/>
                <w:szCs w:val="16"/>
                <w:lang w:eastAsia="fr-FR"/>
              </w:rPr>
              <w:t xml:space="preserve"> pour le dépôt des demandes internationales de brevet</w:t>
            </w:r>
          </w:p>
        </w:tc>
        <w:tc>
          <w:tcPr>
            <w:tcW w:w="1260" w:type="dxa"/>
            <w:tcBorders>
              <w:top w:val="nil"/>
              <w:left w:val="nil"/>
              <w:bottom w:val="nil"/>
              <w:right w:val="nil"/>
            </w:tcBorders>
            <w:shd w:val="clear" w:color="auto" w:fill="auto"/>
            <w:tcMar>
              <w:top w:w="113" w:type="dxa"/>
              <w:bottom w:w="113" w:type="dxa"/>
            </w:tcMar>
            <w:vAlign w:val="center"/>
            <w:hideMark/>
          </w:tcPr>
          <w:p w:rsidR="002E0570" w:rsidRPr="00A32AF4" w:rsidRDefault="002E0570" w:rsidP="00DC0553">
            <w:pPr>
              <w:jc w:val="right"/>
              <w:rPr>
                <w:rFonts w:cs="Arial"/>
                <w:sz w:val="16"/>
                <w:szCs w:val="16"/>
                <w:lang w:eastAsia="fr-FR"/>
              </w:rPr>
            </w:pPr>
            <w:r w:rsidRPr="00A32AF4">
              <w:rPr>
                <w:rFonts w:cs="Arial"/>
                <w:sz w:val="16"/>
                <w:szCs w:val="16"/>
                <w:lang w:eastAsia="fr-FR"/>
              </w:rPr>
              <w:t>22</w:t>
            </w:r>
            <w:r w:rsidR="00FD43E3" w:rsidRPr="00A32AF4">
              <w:rPr>
                <w:rFonts w:cs="Arial"/>
                <w:sz w:val="16"/>
                <w:szCs w:val="16"/>
                <w:lang w:eastAsia="fr-FR"/>
              </w:rPr>
              <w:t> </w:t>
            </w:r>
            <w:r w:rsidRPr="00A32AF4">
              <w:rPr>
                <w:rFonts w:cs="Arial"/>
                <w:sz w:val="16"/>
                <w:szCs w:val="16"/>
                <w:lang w:eastAsia="fr-FR"/>
              </w:rPr>
              <w:t xml:space="preserve">011 </w:t>
            </w:r>
          </w:p>
        </w:tc>
        <w:tc>
          <w:tcPr>
            <w:tcW w:w="1440" w:type="dxa"/>
            <w:tcBorders>
              <w:top w:val="nil"/>
              <w:left w:val="nil"/>
              <w:bottom w:val="nil"/>
              <w:right w:val="nil"/>
            </w:tcBorders>
            <w:shd w:val="clear" w:color="auto" w:fill="auto"/>
            <w:tcMar>
              <w:top w:w="113" w:type="dxa"/>
              <w:bottom w:w="113" w:type="dxa"/>
            </w:tcMar>
            <w:vAlign w:val="center"/>
            <w:hideMark/>
          </w:tcPr>
          <w:p w:rsidR="002E0570" w:rsidRPr="00A32AF4" w:rsidRDefault="002E0570" w:rsidP="00DC0553">
            <w:pPr>
              <w:jc w:val="right"/>
              <w:rPr>
                <w:rFonts w:cs="Arial"/>
                <w:sz w:val="16"/>
                <w:szCs w:val="16"/>
                <w:lang w:eastAsia="fr-FR"/>
              </w:rPr>
            </w:pPr>
            <w:r w:rsidRPr="00A32AF4">
              <w:rPr>
                <w:rFonts w:cs="Arial"/>
                <w:sz w:val="16"/>
                <w:szCs w:val="16"/>
                <w:lang w:eastAsia="fr-FR"/>
              </w:rPr>
              <w:t>20</w:t>
            </w:r>
            <w:r w:rsidR="00FD43E3" w:rsidRPr="00A32AF4">
              <w:rPr>
                <w:rFonts w:cs="Arial"/>
                <w:sz w:val="16"/>
                <w:szCs w:val="16"/>
                <w:lang w:eastAsia="fr-FR"/>
              </w:rPr>
              <w:t> </w:t>
            </w:r>
            <w:r w:rsidRPr="00A32AF4">
              <w:rPr>
                <w:rFonts w:cs="Arial"/>
                <w:sz w:val="16"/>
                <w:szCs w:val="16"/>
                <w:lang w:eastAsia="fr-FR"/>
              </w:rPr>
              <w:t xml:space="preserve">254 </w:t>
            </w:r>
          </w:p>
        </w:tc>
        <w:tc>
          <w:tcPr>
            <w:tcW w:w="1260" w:type="dxa"/>
            <w:tcBorders>
              <w:top w:val="nil"/>
              <w:left w:val="nil"/>
              <w:bottom w:val="nil"/>
              <w:right w:val="single" w:sz="4" w:space="0" w:color="auto"/>
            </w:tcBorders>
            <w:shd w:val="clear" w:color="auto" w:fill="auto"/>
            <w:noWrap/>
            <w:tcMar>
              <w:top w:w="113" w:type="dxa"/>
              <w:bottom w:w="113" w:type="dxa"/>
            </w:tcMar>
            <w:vAlign w:val="center"/>
            <w:hideMark/>
          </w:tcPr>
          <w:p w:rsidR="002E0570" w:rsidRPr="00A32AF4" w:rsidRDefault="002E0570" w:rsidP="00DC0553">
            <w:pPr>
              <w:jc w:val="right"/>
              <w:rPr>
                <w:rFonts w:cs="Arial"/>
                <w:color w:val="000000"/>
                <w:sz w:val="16"/>
                <w:szCs w:val="16"/>
                <w:lang w:eastAsia="fr-FR"/>
              </w:rPr>
            </w:pPr>
            <w:r w:rsidRPr="00A32AF4">
              <w:rPr>
                <w:rFonts w:cs="Arial"/>
                <w:color w:val="000000"/>
                <w:sz w:val="16"/>
                <w:szCs w:val="16"/>
                <w:lang w:eastAsia="fr-FR"/>
              </w:rPr>
              <w:t>27</w:t>
            </w:r>
            <w:r w:rsidR="00FD43E3" w:rsidRPr="00A32AF4">
              <w:rPr>
                <w:rFonts w:cs="Arial"/>
                <w:color w:val="000000"/>
                <w:sz w:val="16"/>
                <w:szCs w:val="16"/>
                <w:lang w:eastAsia="fr-FR"/>
              </w:rPr>
              <w:t> </w:t>
            </w:r>
            <w:r w:rsidRPr="00A32AF4">
              <w:rPr>
                <w:rFonts w:cs="Arial"/>
                <w:color w:val="000000"/>
                <w:sz w:val="16"/>
                <w:szCs w:val="16"/>
                <w:lang w:eastAsia="fr-FR"/>
              </w:rPr>
              <w:t xml:space="preserve">129 </w:t>
            </w:r>
          </w:p>
        </w:tc>
      </w:tr>
      <w:tr w:rsidR="002E0570" w:rsidRPr="00A32AF4" w:rsidTr="002E0570">
        <w:tc>
          <w:tcPr>
            <w:tcW w:w="520" w:type="dxa"/>
            <w:tcBorders>
              <w:top w:val="nil"/>
              <w:left w:val="single" w:sz="4" w:space="0" w:color="auto"/>
              <w:bottom w:val="nil"/>
              <w:right w:val="nil"/>
            </w:tcBorders>
            <w:shd w:val="clear" w:color="auto" w:fill="auto"/>
            <w:noWrap/>
            <w:tcMar>
              <w:top w:w="113" w:type="dxa"/>
              <w:bottom w:w="113" w:type="dxa"/>
            </w:tcMar>
            <w:vAlign w:val="center"/>
            <w:hideMark/>
          </w:tcPr>
          <w:p w:rsidR="002E0570" w:rsidRPr="00A32AF4" w:rsidRDefault="002E0570" w:rsidP="00DC0553">
            <w:pPr>
              <w:rPr>
                <w:rFonts w:cs="Arial"/>
                <w:sz w:val="16"/>
                <w:szCs w:val="16"/>
                <w:lang w:eastAsia="fr-FR"/>
              </w:rPr>
            </w:pPr>
            <w:r w:rsidRPr="00A32AF4">
              <w:rPr>
                <w:rFonts w:cs="Arial"/>
                <w:sz w:val="16"/>
                <w:szCs w:val="16"/>
                <w:lang w:eastAsia="fr-FR"/>
              </w:rPr>
              <w:t>II.2</w:t>
            </w:r>
          </w:p>
        </w:tc>
        <w:tc>
          <w:tcPr>
            <w:tcW w:w="4500" w:type="dxa"/>
            <w:tcBorders>
              <w:top w:val="nil"/>
              <w:left w:val="nil"/>
              <w:bottom w:val="nil"/>
              <w:right w:val="nil"/>
            </w:tcBorders>
            <w:shd w:val="clear" w:color="auto" w:fill="auto"/>
            <w:tcMar>
              <w:top w:w="113" w:type="dxa"/>
              <w:bottom w:w="113" w:type="dxa"/>
            </w:tcMar>
            <w:vAlign w:val="center"/>
            <w:hideMark/>
          </w:tcPr>
          <w:p w:rsidR="002E0570" w:rsidRPr="00A32AF4" w:rsidRDefault="002E0570" w:rsidP="00DC0553">
            <w:pPr>
              <w:rPr>
                <w:rFonts w:cs="Arial"/>
                <w:sz w:val="16"/>
                <w:szCs w:val="16"/>
                <w:lang w:eastAsia="fr-FR"/>
              </w:rPr>
            </w:pPr>
            <w:r w:rsidRPr="00A32AF4">
              <w:rPr>
                <w:rFonts w:cs="Arial"/>
                <w:sz w:val="16"/>
                <w:szCs w:val="16"/>
                <w:lang w:eastAsia="fr-FR"/>
              </w:rPr>
              <w:t>Amélioration du système</w:t>
            </w:r>
            <w:r w:rsidR="00E2055A" w:rsidRPr="00A32AF4">
              <w:rPr>
                <w:rFonts w:cs="Arial"/>
                <w:sz w:val="16"/>
                <w:szCs w:val="16"/>
                <w:lang w:eastAsia="fr-FR"/>
              </w:rPr>
              <w:t xml:space="preserve"> du PCT</w:t>
            </w:r>
          </w:p>
        </w:tc>
        <w:tc>
          <w:tcPr>
            <w:tcW w:w="1260" w:type="dxa"/>
            <w:tcBorders>
              <w:top w:val="nil"/>
              <w:left w:val="nil"/>
              <w:bottom w:val="nil"/>
              <w:right w:val="nil"/>
            </w:tcBorders>
            <w:shd w:val="clear" w:color="auto" w:fill="auto"/>
            <w:tcMar>
              <w:top w:w="113" w:type="dxa"/>
              <w:bottom w:w="113" w:type="dxa"/>
            </w:tcMar>
            <w:vAlign w:val="center"/>
            <w:hideMark/>
          </w:tcPr>
          <w:p w:rsidR="002E0570" w:rsidRPr="00A32AF4" w:rsidRDefault="002E0570" w:rsidP="00DC0553">
            <w:pPr>
              <w:jc w:val="right"/>
              <w:rPr>
                <w:rFonts w:cs="Arial"/>
                <w:sz w:val="16"/>
                <w:szCs w:val="16"/>
                <w:lang w:eastAsia="fr-FR"/>
              </w:rPr>
            </w:pPr>
            <w:r w:rsidRPr="00A32AF4">
              <w:rPr>
                <w:rFonts w:cs="Arial"/>
                <w:sz w:val="16"/>
                <w:szCs w:val="16"/>
                <w:lang w:eastAsia="fr-FR"/>
              </w:rPr>
              <w:t xml:space="preserve">3 106 </w:t>
            </w:r>
          </w:p>
        </w:tc>
        <w:tc>
          <w:tcPr>
            <w:tcW w:w="1440" w:type="dxa"/>
            <w:tcBorders>
              <w:top w:val="nil"/>
              <w:left w:val="nil"/>
              <w:bottom w:val="nil"/>
              <w:right w:val="nil"/>
            </w:tcBorders>
            <w:shd w:val="clear" w:color="auto" w:fill="auto"/>
            <w:tcMar>
              <w:top w:w="113" w:type="dxa"/>
              <w:bottom w:w="113" w:type="dxa"/>
            </w:tcMar>
            <w:vAlign w:val="center"/>
            <w:hideMark/>
          </w:tcPr>
          <w:p w:rsidR="002E0570" w:rsidRPr="00A32AF4" w:rsidRDefault="002E0570" w:rsidP="00DC0553">
            <w:pPr>
              <w:jc w:val="right"/>
              <w:rPr>
                <w:rFonts w:cs="Arial"/>
                <w:sz w:val="16"/>
                <w:szCs w:val="16"/>
                <w:lang w:eastAsia="fr-FR"/>
              </w:rPr>
            </w:pPr>
            <w:r w:rsidRPr="00A32AF4">
              <w:rPr>
                <w:rFonts w:cs="Arial"/>
                <w:sz w:val="16"/>
                <w:szCs w:val="16"/>
                <w:lang w:eastAsia="fr-FR"/>
              </w:rPr>
              <w:t>4 197</w:t>
            </w:r>
          </w:p>
        </w:tc>
        <w:tc>
          <w:tcPr>
            <w:tcW w:w="1260" w:type="dxa"/>
            <w:tcBorders>
              <w:top w:val="nil"/>
              <w:left w:val="nil"/>
              <w:bottom w:val="nil"/>
              <w:right w:val="single" w:sz="4" w:space="0" w:color="auto"/>
            </w:tcBorders>
            <w:shd w:val="clear" w:color="auto" w:fill="auto"/>
            <w:noWrap/>
            <w:tcMar>
              <w:top w:w="113" w:type="dxa"/>
              <w:bottom w:w="113" w:type="dxa"/>
            </w:tcMar>
            <w:vAlign w:val="center"/>
            <w:hideMark/>
          </w:tcPr>
          <w:p w:rsidR="002E0570" w:rsidRPr="00A32AF4" w:rsidRDefault="002E0570" w:rsidP="00DC0553">
            <w:pPr>
              <w:jc w:val="right"/>
              <w:rPr>
                <w:rFonts w:cs="Arial"/>
                <w:color w:val="000000"/>
                <w:sz w:val="16"/>
                <w:szCs w:val="16"/>
                <w:lang w:eastAsia="fr-FR"/>
              </w:rPr>
            </w:pPr>
            <w:r w:rsidRPr="00A32AF4">
              <w:rPr>
                <w:rFonts w:cs="Arial"/>
                <w:color w:val="000000"/>
                <w:sz w:val="16"/>
                <w:szCs w:val="16"/>
                <w:lang w:eastAsia="fr-FR"/>
              </w:rPr>
              <w:t>–</w:t>
            </w:r>
          </w:p>
        </w:tc>
      </w:tr>
      <w:tr w:rsidR="002E0570" w:rsidRPr="00A32AF4" w:rsidTr="002E0570">
        <w:tc>
          <w:tcPr>
            <w:tcW w:w="520" w:type="dxa"/>
            <w:tcBorders>
              <w:top w:val="nil"/>
              <w:left w:val="single" w:sz="4" w:space="0" w:color="auto"/>
              <w:bottom w:val="nil"/>
              <w:right w:val="nil"/>
            </w:tcBorders>
            <w:shd w:val="clear" w:color="auto" w:fill="auto"/>
            <w:noWrap/>
            <w:tcMar>
              <w:top w:w="113" w:type="dxa"/>
              <w:bottom w:w="113" w:type="dxa"/>
            </w:tcMar>
            <w:vAlign w:val="center"/>
            <w:hideMark/>
          </w:tcPr>
          <w:p w:rsidR="002E0570" w:rsidRPr="00A32AF4" w:rsidRDefault="002E0570" w:rsidP="00DC0553">
            <w:pPr>
              <w:rPr>
                <w:rFonts w:cs="Arial"/>
                <w:sz w:val="16"/>
                <w:szCs w:val="16"/>
                <w:lang w:eastAsia="fr-FR"/>
              </w:rPr>
            </w:pPr>
            <w:r w:rsidRPr="00A32AF4">
              <w:rPr>
                <w:rFonts w:cs="Arial"/>
                <w:sz w:val="16"/>
                <w:szCs w:val="16"/>
                <w:lang w:eastAsia="fr-FR"/>
              </w:rPr>
              <w:t>II.3</w:t>
            </w:r>
          </w:p>
        </w:tc>
        <w:tc>
          <w:tcPr>
            <w:tcW w:w="4500" w:type="dxa"/>
            <w:tcBorders>
              <w:top w:val="nil"/>
              <w:left w:val="nil"/>
              <w:bottom w:val="nil"/>
              <w:right w:val="nil"/>
            </w:tcBorders>
            <w:shd w:val="clear" w:color="auto" w:fill="auto"/>
            <w:tcMar>
              <w:top w:w="113" w:type="dxa"/>
              <w:bottom w:w="113" w:type="dxa"/>
            </w:tcMar>
            <w:vAlign w:val="center"/>
            <w:hideMark/>
          </w:tcPr>
          <w:p w:rsidR="002E0570" w:rsidRPr="00A32AF4" w:rsidRDefault="002E0570" w:rsidP="00DC0553">
            <w:pPr>
              <w:rPr>
                <w:rFonts w:cs="Arial"/>
                <w:sz w:val="16"/>
                <w:szCs w:val="16"/>
                <w:lang w:eastAsia="fr-FR"/>
              </w:rPr>
            </w:pPr>
            <w:r w:rsidRPr="00A32AF4">
              <w:rPr>
                <w:rFonts w:cs="Arial"/>
                <w:sz w:val="16"/>
                <w:szCs w:val="16"/>
                <w:lang w:eastAsia="fr-FR"/>
              </w:rPr>
              <w:t>Amélioration de la productivité et de la qualité de service des opérations</w:t>
            </w:r>
            <w:r w:rsidR="00E2055A" w:rsidRPr="00A32AF4">
              <w:rPr>
                <w:rFonts w:cs="Arial"/>
                <w:sz w:val="16"/>
                <w:szCs w:val="16"/>
                <w:lang w:eastAsia="fr-FR"/>
              </w:rPr>
              <w:t xml:space="preserve"> du PCT</w:t>
            </w:r>
          </w:p>
        </w:tc>
        <w:tc>
          <w:tcPr>
            <w:tcW w:w="1260" w:type="dxa"/>
            <w:tcBorders>
              <w:top w:val="nil"/>
              <w:left w:val="nil"/>
              <w:bottom w:val="nil"/>
              <w:right w:val="nil"/>
            </w:tcBorders>
            <w:shd w:val="clear" w:color="auto" w:fill="auto"/>
            <w:tcMar>
              <w:top w:w="113" w:type="dxa"/>
              <w:bottom w:w="113" w:type="dxa"/>
            </w:tcMar>
            <w:vAlign w:val="center"/>
            <w:hideMark/>
          </w:tcPr>
          <w:p w:rsidR="002E0570" w:rsidRPr="00A32AF4" w:rsidRDefault="002E0570" w:rsidP="00DC0553">
            <w:pPr>
              <w:jc w:val="right"/>
              <w:rPr>
                <w:rFonts w:cs="Arial"/>
                <w:sz w:val="16"/>
                <w:szCs w:val="16"/>
                <w:lang w:eastAsia="fr-FR"/>
              </w:rPr>
            </w:pPr>
            <w:r w:rsidRPr="00A32AF4">
              <w:rPr>
                <w:rFonts w:cs="Arial"/>
                <w:sz w:val="16"/>
                <w:szCs w:val="16"/>
                <w:lang w:eastAsia="fr-FR"/>
              </w:rPr>
              <w:t>172</w:t>
            </w:r>
            <w:r w:rsidR="00FD43E3" w:rsidRPr="00A32AF4">
              <w:rPr>
                <w:rFonts w:cs="Arial"/>
                <w:sz w:val="16"/>
                <w:szCs w:val="16"/>
                <w:lang w:eastAsia="fr-FR"/>
              </w:rPr>
              <w:t> </w:t>
            </w:r>
            <w:r w:rsidRPr="00A32AF4">
              <w:rPr>
                <w:rFonts w:cs="Arial"/>
                <w:sz w:val="16"/>
                <w:szCs w:val="16"/>
                <w:lang w:eastAsia="fr-FR"/>
              </w:rPr>
              <w:t xml:space="preserve">856 </w:t>
            </w:r>
          </w:p>
        </w:tc>
        <w:tc>
          <w:tcPr>
            <w:tcW w:w="1440" w:type="dxa"/>
            <w:tcBorders>
              <w:top w:val="nil"/>
              <w:left w:val="nil"/>
              <w:bottom w:val="nil"/>
              <w:right w:val="nil"/>
            </w:tcBorders>
            <w:shd w:val="clear" w:color="auto" w:fill="auto"/>
            <w:tcMar>
              <w:top w:w="113" w:type="dxa"/>
              <w:bottom w:w="113" w:type="dxa"/>
            </w:tcMar>
            <w:vAlign w:val="center"/>
            <w:hideMark/>
          </w:tcPr>
          <w:p w:rsidR="002E0570" w:rsidRPr="00A32AF4" w:rsidRDefault="002E0570" w:rsidP="00DC0553">
            <w:pPr>
              <w:jc w:val="right"/>
              <w:rPr>
                <w:rFonts w:cs="Arial"/>
                <w:sz w:val="16"/>
                <w:szCs w:val="16"/>
                <w:lang w:eastAsia="fr-FR"/>
              </w:rPr>
            </w:pPr>
            <w:r w:rsidRPr="00A32AF4">
              <w:rPr>
                <w:rFonts w:cs="Arial"/>
                <w:sz w:val="16"/>
                <w:szCs w:val="16"/>
                <w:lang w:eastAsia="fr-FR"/>
              </w:rPr>
              <w:t>172</w:t>
            </w:r>
            <w:r w:rsidR="00FD43E3" w:rsidRPr="00A32AF4">
              <w:rPr>
                <w:rFonts w:cs="Arial"/>
                <w:sz w:val="16"/>
                <w:szCs w:val="16"/>
                <w:lang w:eastAsia="fr-FR"/>
              </w:rPr>
              <w:t> </w:t>
            </w:r>
            <w:r w:rsidRPr="00A32AF4">
              <w:rPr>
                <w:rFonts w:cs="Arial"/>
                <w:sz w:val="16"/>
                <w:szCs w:val="16"/>
                <w:lang w:eastAsia="fr-FR"/>
              </w:rPr>
              <w:t xml:space="preserve">080 </w:t>
            </w:r>
          </w:p>
        </w:tc>
        <w:tc>
          <w:tcPr>
            <w:tcW w:w="1260" w:type="dxa"/>
            <w:tcBorders>
              <w:top w:val="nil"/>
              <w:left w:val="nil"/>
              <w:bottom w:val="nil"/>
              <w:right w:val="single" w:sz="4" w:space="0" w:color="auto"/>
            </w:tcBorders>
            <w:shd w:val="clear" w:color="auto" w:fill="auto"/>
            <w:noWrap/>
            <w:tcMar>
              <w:top w:w="113" w:type="dxa"/>
              <w:bottom w:w="113" w:type="dxa"/>
            </w:tcMar>
            <w:vAlign w:val="center"/>
            <w:hideMark/>
          </w:tcPr>
          <w:p w:rsidR="002E0570" w:rsidRPr="00A32AF4" w:rsidRDefault="002E0570" w:rsidP="00DC0553">
            <w:pPr>
              <w:jc w:val="right"/>
              <w:rPr>
                <w:rFonts w:cs="Arial"/>
                <w:color w:val="000000"/>
                <w:sz w:val="16"/>
                <w:szCs w:val="16"/>
                <w:lang w:eastAsia="fr-FR"/>
              </w:rPr>
            </w:pPr>
            <w:r w:rsidRPr="00A32AF4">
              <w:rPr>
                <w:rFonts w:cs="Arial"/>
                <w:color w:val="000000"/>
                <w:sz w:val="16"/>
                <w:szCs w:val="16"/>
                <w:lang w:eastAsia="fr-FR"/>
              </w:rPr>
              <w:t>181</w:t>
            </w:r>
            <w:r w:rsidR="00FD43E3" w:rsidRPr="00A32AF4">
              <w:rPr>
                <w:rFonts w:cs="Arial"/>
                <w:color w:val="000000"/>
                <w:sz w:val="16"/>
                <w:szCs w:val="16"/>
                <w:lang w:eastAsia="fr-FR"/>
              </w:rPr>
              <w:t> </w:t>
            </w:r>
            <w:r w:rsidRPr="00A32AF4">
              <w:rPr>
                <w:rFonts w:cs="Arial"/>
                <w:color w:val="000000"/>
                <w:sz w:val="16"/>
                <w:szCs w:val="16"/>
                <w:lang w:eastAsia="fr-FR"/>
              </w:rPr>
              <w:t xml:space="preserve">080 </w:t>
            </w:r>
          </w:p>
        </w:tc>
      </w:tr>
      <w:tr w:rsidR="002E0570" w:rsidRPr="00A32AF4" w:rsidTr="002E0570">
        <w:tc>
          <w:tcPr>
            <w:tcW w:w="520" w:type="dxa"/>
            <w:tcBorders>
              <w:top w:val="nil"/>
              <w:left w:val="single" w:sz="4" w:space="0" w:color="auto"/>
              <w:bottom w:val="nil"/>
              <w:right w:val="nil"/>
            </w:tcBorders>
            <w:shd w:val="clear" w:color="auto" w:fill="auto"/>
            <w:noWrap/>
            <w:tcMar>
              <w:top w:w="113" w:type="dxa"/>
              <w:bottom w:w="113" w:type="dxa"/>
            </w:tcMar>
            <w:vAlign w:val="center"/>
            <w:hideMark/>
          </w:tcPr>
          <w:p w:rsidR="002E0570" w:rsidRPr="00A32AF4" w:rsidRDefault="002E0570" w:rsidP="00DC0553">
            <w:pPr>
              <w:rPr>
                <w:rFonts w:cs="Arial"/>
                <w:sz w:val="16"/>
                <w:szCs w:val="16"/>
                <w:lang w:eastAsia="fr-FR"/>
              </w:rPr>
            </w:pPr>
            <w:r w:rsidRPr="00A32AF4">
              <w:rPr>
                <w:rFonts w:cs="Arial"/>
                <w:sz w:val="16"/>
                <w:szCs w:val="16"/>
                <w:lang w:eastAsia="fr-FR"/>
              </w:rPr>
              <w:t>IV.2</w:t>
            </w:r>
          </w:p>
        </w:tc>
        <w:tc>
          <w:tcPr>
            <w:tcW w:w="4500" w:type="dxa"/>
            <w:tcBorders>
              <w:top w:val="nil"/>
              <w:left w:val="nil"/>
              <w:bottom w:val="nil"/>
              <w:right w:val="nil"/>
            </w:tcBorders>
            <w:shd w:val="clear" w:color="auto" w:fill="auto"/>
            <w:tcMar>
              <w:top w:w="113" w:type="dxa"/>
              <w:bottom w:w="113" w:type="dxa"/>
            </w:tcMar>
            <w:vAlign w:val="center"/>
            <w:hideMark/>
          </w:tcPr>
          <w:p w:rsidR="002E0570" w:rsidRPr="00A32AF4" w:rsidRDefault="002E0570" w:rsidP="00DC0553">
            <w:pPr>
              <w:rPr>
                <w:rFonts w:cs="Arial"/>
                <w:sz w:val="16"/>
                <w:szCs w:val="16"/>
                <w:lang w:eastAsia="fr-FR"/>
              </w:rPr>
            </w:pPr>
            <w:r w:rsidRPr="00A32AF4">
              <w:rPr>
                <w:rFonts w:cs="Arial"/>
                <w:sz w:val="16"/>
                <w:szCs w:val="16"/>
                <w:lang w:eastAsia="fr-FR"/>
              </w:rPr>
              <w:t>Amélioration de l</w:t>
            </w:r>
            <w:r w:rsidR="00E2055A" w:rsidRPr="00A32AF4">
              <w:rPr>
                <w:rFonts w:cs="Arial"/>
                <w:sz w:val="16"/>
                <w:szCs w:val="16"/>
                <w:lang w:eastAsia="fr-FR"/>
              </w:rPr>
              <w:t>’</w:t>
            </w:r>
            <w:r w:rsidRPr="00A32AF4">
              <w:rPr>
                <w:rFonts w:cs="Arial"/>
                <w:sz w:val="16"/>
                <w:szCs w:val="16"/>
                <w:lang w:eastAsia="fr-FR"/>
              </w:rPr>
              <w:t>accessibilité et de l</w:t>
            </w:r>
            <w:r w:rsidR="00E2055A" w:rsidRPr="00A32AF4">
              <w:rPr>
                <w:rFonts w:cs="Arial"/>
                <w:sz w:val="16"/>
                <w:szCs w:val="16"/>
                <w:lang w:eastAsia="fr-FR"/>
              </w:rPr>
              <w:t>’</w:t>
            </w:r>
            <w:r w:rsidRPr="00A32AF4">
              <w:rPr>
                <w:rFonts w:cs="Arial"/>
                <w:sz w:val="16"/>
                <w:szCs w:val="16"/>
                <w:lang w:eastAsia="fr-FR"/>
              </w:rPr>
              <w:t>utilisation de l</w:t>
            </w:r>
            <w:r w:rsidR="00E2055A" w:rsidRPr="00A32AF4">
              <w:rPr>
                <w:rFonts w:cs="Arial"/>
                <w:sz w:val="16"/>
                <w:szCs w:val="16"/>
                <w:lang w:eastAsia="fr-FR"/>
              </w:rPr>
              <w:t>’</w:t>
            </w:r>
            <w:r w:rsidRPr="00A32AF4">
              <w:rPr>
                <w:rFonts w:cs="Arial"/>
                <w:sz w:val="16"/>
                <w:szCs w:val="16"/>
                <w:lang w:eastAsia="fr-FR"/>
              </w:rPr>
              <w:t>information en matière de propriété intellectuelle par les institutions compétentes et le public afin de promouvoir l</w:t>
            </w:r>
            <w:r w:rsidR="00E2055A" w:rsidRPr="00A32AF4">
              <w:rPr>
                <w:rFonts w:cs="Arial"/>
                <w:sz w:val="16"/>
                <w:szCs w:val="16"/>
                <w:lang w:eastAsia="fr-FR"/>
              </w:rPr>
              <w:t>’</w:t>
            </w:r>
            <w:r w:rsidRPr="00A32AF4">
              <w:rPr>
                <w:rFonts w:cs="Arial"/>
                <w:sz w:val="16"/>
                <w:szCs w:val="16"/>
                <w:lang w:eastAsia="fr-FR"/>
              </w:rPr>
              <w:t>innovation et la créativité</w:t>
            </w:r>
          </w:p>
        </w:tc>
        <w:tc>
          <w:tcPr>
            <w:tcW w:w="1260" w:type="dxa"/>
            <w:tcBorders>
              <w:top w:val="nil"/>
              <w:left w:val="nil"/>
              <w:bottom w:val="nil"/>
              <w:right w:val="nil"/>
            </w:tcBorders>
            <w:shd w:val="clear" w:color="auto" w:fill="auto"/>
            <w:tcMar>
              <w:top w:w="113" w:type="dxa"/>
              <w:bottom w:w="113" w:type="dxa"/>
            </w:tcMar>
            <w:vAlign w:val="center"/>
            <w:hideMark/>
          </w:tcPr>
          <w:p w:rsidR="002E0570" w:rsidRPr="00A32AF4" w:rsidRDefault="002E0570" w:rsidP="00DC0553">
            <w:pPr>
              <w:jc w:val="right"/>
              <w:rPr>
                <w:rFonts w:cs="Arial"/>
                <w:sz w:val="16"/>
                <w:szCs w:val="16"/>
                <w:lang w:eastAsia="fr-FR"/>
              </w:rPr>
            </w:pPr>
            <w:r w:rsidRPr="00A32AF4">
              <w:rPr>
                <w:rFonts w:cs="Arial"/>
                <w:sz w:val="16"/>
                <w:szCs w:val="16"/>
                <w:lang w:eastAsia="fr-FR"/>
              </w:rPr>
              <w:t>–</w:t>
            </w:r>
          </w:p>
        </w:tc>
        <w:tc>
          <w:tcPr>
            <w:tcW w:w="1440" w:type="dxa"/>
            <w:tcBorders>
              <w:top w:val="nil"/>
              <w:left w:val="nil"/>
              <w:bottom w:val="nil"/>
              <w:right w:val="nil"/>
            </w:tcBorders>
            <w:shd w:val="clear" w:color="auto" w:fill="auto"/>
            <w:tcMar>
              <w:top w:w="113" w:type="dxa"/>
              <w:bottom w:w="113" w:type="dxa"/>
            </w:tcMar>
            <w:vAlign w:val="center"/>
            <w:hideMark/>
          </w:tcPr>
          <w:p w:rsidR="002E0570" w:rsidRPr="00A32AF4" w:rsidRDefault="002E0570" w:rsidP="00DC0553">
            <w:pPr>
              <w:jc w:val="right"/>
              <w:rPr>
                <w:rFonts w:cs="Arial"/>
                <w:sz w:val="16"/>
                <w:szCs w:val="16"/>
                <w:lang w:eastAsia="fr-FR"/>
              </w:rPr>
            </w:pPr>
            <w:r w:rsidRPr="00A32AF4">
              <w:rPr>
                <w:rFonts w:cs="Arial"/>
                <w:sz w:val="16"/>
                <w:szCs w:val="16"/>
                <w:lang w:eastAsia="fr-FR"/>
              </w:rPr>
              <w:t xml:space="preserve">433 </w:t>
            </w:r>
          </w:p>
        </w:tc>
        <w:tc>
          <w:tcPr>
            <w:tcW w:w="1260" w:type="dxa"/>
            <w:tcBorders>
              <w:top w:val="nil"/>
              <w:left w:val="nil"/>
              <w:bottom w:val="nil"/>
              <w:right w:val="single" w:sz="4" w:space="0" w:color="auto"/>
            </w:tcBorders>
            <w:shd w:val="clear" w:color="auto" w:fill="auto"/>
            <w:tcMar>
              <w:top w:w="113" w:type="dxa"/>
              <w:bottom w:w="113" w:type="dxa"/>
            </w:tcMar>
            <w:vAlign w:val="center"/>
            <w:hideMark/>
          </w:tcPr>
          <w:p w:rsidR="002E0570" w:rsidRPr="00A32AF4" w:rsidRDefault="002E0570" w:rsidP="00DC0553">
            <w:pPr>
              <w:jc w:val="right"/>
              <w:rPr>
                <w:rFonts w:cs="Arial"/>
                <w:sz w:val="16"/>
                <w:szCs w:val="16"/>
                <w:lang w:eastAsia="fr-FR"/>
              </w:rPr>
            </w:pPr>
            <w:r w:rsidRPr="00A32AF4">
              <w:rPr>
                <w:rFonts w:cs="Arial"/>
                <w:sz w:val="16"/>
                <w:szCs w:val="16"/>
                <w:lang w:eastAsia="fr-FR"/>
              </w:rPr>
              <w:t>–</w:t>
            </w:r>
          </w:p>
        </w:tc>
      </w:tr>
      <w:tr w:rsidR="002E0570" w:rsidRPr="00A32AF4" w:rsidTr="002E0570">
        <w:tc>
          <w:tcPr>
            <w:tcW w:w="520" w:type="dxa"/>
            <w:tcBorders>
              <w:top w:val="single" w:sz="4" w:space="0" w:color="auto"/>
              <w:left w:val="single" w:sz="4" w:space="0" w:color="auto"/>
              <w:bottom w:val="single" w:sz="4" w:space="0" w:color="auto"/>
              <w:right w:val="nil"/>
            </w:tcBorders>
            <w:shd w:val="clear" w:color="000000" w:fill="C5D9F1"/>
            <w:noWrap/>
            <w:tcMar>
              <w:top w:w="113" w:type="dxa"/>
              <w:bottom w:w="113" w:type="dxa"/>
            </w:tcMar>
            <w:vAlign w:val="bottom"/>
            <w:hideMark/>
          </w:tcPr>
          <w:p w:rsidR="002E0570" w:rsidRPr="00A32AF4" w:rsidRDefault="002E0570" w:rsidP="00DC0553">
            <w:pPr>
              <w:rPr>
                <w:rFonts w:cs="Arial"/>
                <w:sz w:val="16"/>
                <w:szCs w:val="16"/>
                <w:lang w:eastAsia="fr-FR"/>
              </w:rPr>
            </w:pPr>
            <w:r w:rsidRPr="00A32AF4">
              <w:rPr>
                <w:rFonts w:cs="Arial"/>
                <w:sz w:val="16"/>
                <w:szCs w:val="16"/>
                <w:lang w:eastAsia="fr-FR"/>
              </w:rPr>
              <w:t> </w:t>
            </w:r>
          </w:p>
        </w:tc>
        <w:tc>
          <w:tcPr>
            <w:tcW w:w="4500"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2E0570" w:rsidRPr="00A32AF4" w:rsidRDefault="002E0570" w:rsidP="00DC0553">
            <w:pPr>
              <w:rPr>
                <w:rFonts w:cs="Arial"/>
                <w:sz w:val="16"/>
                <w:szCs w:val="16"/>
                <w:lang w:eastAsia="fr-FR"/>
              </w:rPr>
            </w:pPr>
            <w:r w:rsidRPr="00A32AF4">
              <w:rPr>
                <w:rFonts w:cs="Arial"/>
                <w:sz w:val="16"/>
                <w:szCs w:val="16"/>
                <w:lang w:eastAsia="fr-FR"/>
              </w:rPr>
              <w:t>Total</w:t>
            </w:r>
          </w:p>
        </w:tc>
        <w:tc>
          <w:tcPr>
            <w:tcW w:w="1260"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2E0570" w:rsidRPr="00A32AF4" w:rsidRDefault="002E0570" w:rsidP="00DC0553">
            <w:pPr>
              <w:jc w:val="right"/>
              <w:rPr>
                <w:rFonts w:cs="Arial"/>
                <w:b/>
                <w:bCs/>
                <w:sz w:val="16"/>
                <w:szCs w:val="16"/>
                <w:lang w:eastAsia="fr-FR"/>
              </w:rPr>
            </w:pPr>
            <w:r w:rsidRPr="00A32AF4">
              <w:rPr>
                <w:rFonts w:cs="Arial"/>
                <w:b/>
                <w:bCs/>
                <w:sz w:val="16"/>
                <w:szCs w:val="16"/>
                <w:lang w:eastAsia="fr-FR"/>
              </w:rPr>
              <w:t>197</w:t>
            </w:r>
            <w:r w:rsidR="00FD43E3" w:rsidRPr="00A32AF4">
              <w:rPr>
                <w:rFonts w:cs="Arial"/>
                <w:b/>
                <w:bCs/>
                <w:sz w:val="16"/>
                <w:szCs w:val="16"/>
                <w:lang w:eastAsia="fr-FR"/>
              </w:rPr>
              <w:t> </w:t>
            </w:r>
            <w:r w:rsidRPr="00A32AF4">
              <w:rPr>
                <w:rFonts w:cs="Arial"/>
                <w:b/>
                <w:bCs/>
                <w:sz w:val="16"/>
                <w:szCs w:val="16"/>
                <w:lang w:eastAsia="fr-FR"/>
              </w:rPr>
              <w:t xml:space="preserve">973 </w:t>
            </w:r>
          </w:p>
        </w:tc>
        <w:tc>
          <w:tcPr>
            <w:tcW w:w="1440"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2E0570" w:rsidRPr="00A32AF4" w:rsidRDefault="002E0570" w:rsidP="00DC0553">
            <w:pPr>
              <w:jc w:val="right"/>
              <w:rPr>
                <w:rFonts w:cs="Arial"/>
                <w:b/>
                <w:bCs/>
                <w:sz w:val="16"/>
                <w:szCs w:val="16"/>
                <w:lang w:eastAsia="fr-FR"/>
              </w:rPr>
            </w:pPr>
            <w:r w:rsidRPr="00A32AF4">
              <w:rPr>
                <w:rFonts w:cs="Arial"/>
                <w:b/>
                <w:bCs/>
                <w:sz w:val="16"/>
                <w:szCs w:val="16"/>
                <w:lang w:eastAsia="fr-FR"/>
              </w:rPr>
              <w:t>196</w:t>
            </w:r>
            <w:r w:rsidR="00FD43E3" w:rsidRPr="00A32AF4">
              <w:rPr>
                <w:rFonts w:cs="Arial"/>
                <w:b/>
                <w:bCs/>
                <w:sz w:val="16"/>
                <w:szCs w:val="16"/>
                <w:lang w:eastAsia="fr-FR"/>
              </w:rPr>
              <w:t> </w:t>
            </w:r>
            <w:r w:rsidRPr="00A32AF4">
              <w:rPr>
                <w:rFonts w:cs="Arial"/>
                <w:b/>
                <w:bCs/>
                <w:sz w:val="16"/>
                <w:szCs w:val="16"/>
                <w:lang w:eastAsia="fr-FR"/>
              </w:rPr>
              <w:t xml:space="preserve">964 </w:t>
            </w:r>
          </w:p>
        </w:tc>
        <w:tc>
          <w:tcPr>
            <w:tcW w:w="1260"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2E0570" w:rsidRPr="00A32AF4" w:rsidRDefault="002E0570" w:rsidP="00DC0553">
            <w:pPr>
              <w:jc w:val="right"/>
              <w:rPr>
                <w:rFonts w:cs="Arial"/>
                <w:b/>
                <w:bCs/>
                <w:sz w:val="16"/>
                <w:szCs w:val="16"/>
                <w:lang w:eastAsia="fr-FR"/>
              </w:rPr>
            </w:pPr>
            <w:r w:rsidRPr="00A32AF4">
              <w:rPr>
                <w:rFonts w:cs="Arial"/>
                <w:b/>
                <w:bCs/>
                <w:sz w:val="16"/>
                <w:szCs w:val="16"/>
                <w:lang w:eastAsia="fr-FR"/>
              </w:rPr>
              <w:t>208</w:t>
            </w:r>
            <w:r w:rsidR="00FD43E3" w:rsidRPr="00A32AF4">
              <w:rPr>
                <w:rFonts w:cs="Arial"/>
                <w:b/>
                <w:bCs/>
                <w:sz w:val="16"/>
                <w:szCs w:val="16"/>
                <w:lang w:eastAsia="fr-FR"/>
              </w:rPr>
              <w:t> </w:t>
            </w:r>
            <w:r w:rsidRPr="00A32AF4">
              <w:rPr>
                <w:rFonts w:cs="Arial"/>
                <w:b/>
                <w:bCs/>
                <w:sz w:val="16"/>
                <w:szCs w:val="16"/>
                <w:lang w:eastAsia="fr-FR"/>
              </w:rPr>
              <w:t xml:space="preserve">209 </w:t>
            </w:r>
          </w:p>
        </w:tc>
      </w:tr>
    </w:tbl>
    <w:p w:rsidR="00F93B76" w:rsidRPr="00A32AF4" w:rsidRDefault="00F93B76" w:rsidP="00DC0553"/>
    <w:p w:rsidR="00F93B76" w:rsidRPr="00A32AF4" w:rsidRDefault="00F93B76" w:rsidP="00DC0553"/>
    <w:p w:rsidR="00F93B76" w:rsidRPr="00A32AF4" w:rsidRDefault="002E0570" w:rsidP="00DC0553">
      <w:pPr>
        <w:keepNext/>
        <w:keepLines/>
        <w:autoSpaceDE w:val="0"/>
        <w:autoSpaceDN w:val="0"/>
        <w:jc w:val="center"/>
        <w:rPr>
          <w:rFonts w:cs="Arial"/>
          <w:b/>
        </w:rPr>
      </w:pPr>
      <w:r w:rsidRPr="00A32AF4">
        <w:rPr>
          <w:rFonts w:cs="Arial"/>
          <w:b/>
        </w:rPr>
        <w:t>Programme 5 : ressources par objet de dépense</w:t>
      </w:r>
    </w:p>
    <w:p w:rsidR="00F93B76" w:rsidRPr="00A32AF4" w:rsidRDefault="002E0570" w:rsidP="00DC0553">
      <w:pPr>
        <w:keepNext/>
        <w:keepLines/>
        <w:autoSpaceDE w:val="0"/>
        <w:autoSpaceDN w:val="0"/>
        <w:jc w:val="center"/>
        <w:rPr>
          <w:rFonts w:cs="Arial"/>
          <w:i/>
        </w:rPr>
      </w:pPr>
      <w:r w:rsidRPr="00A32AF4">
        <w:rPr>
          <w:rFonts w:cs="Arial"/>
          <w:i/>
        </w:rPr>
        <w:t>(</w:t>
      </w:r>
      <w:proofErr w:type="gramStart"/>
      <w:r w:rsidRPr="00A32AF4">
        <w:rPr>
          <w:rFonts w:cs="Arial"/>
          <w:i/>
        </w:rPr>
        <w:t>en</w:t>
      </w:r>
      <w:proofErr w:type="gramEnd"/>
      <w:r w:rsidRPr="00A32AF4">
        <w:rPr>
          <w:rFonts w:cs="Arial"/>
          <w:i/>
        </w:rPr>
        <w:t xml:space="preserve"> milliers de francs suisses)</w:t>
      </w:r>
    </w:p>
    <w:p w:rsidR="00F93B76" w:rsidRPr="00A32AF4" w:rsidRDefault="00F93B76" w:rsidP="00DC0553">
      <w:pPr>
        <w:keepNext/>
      </w:pPr>
    </w:p>
    <w:p w:rsidR="00F93B76" w:rsidRPr="00A32AF4" w:rsidRDefault="005A2930" w:rsidP="00DC0553">
      <w:r w:rsidRPr="00A32AF4">
        <w:rPr>
          <w:noProof/>
          <w:lang w:eastAsia="fr-FR"/>
        </w:rPr>
        <w:drawing>
          <wp:inline distT="0" distB="0" distL="0" distR="0" wp14:anchorId="6724BB19" wp14:editId="072AA080">
            <wp:extent cx="5512435" cy="6555105"/>
            <wp:effectExtent l="0" t="0" r="0" b="0"/>
            <wp:docPr id="1029" name="Pictur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512435" cy="6555105"/>
                    </a:xfrm>
                    <a:prstGeom prst="rect">
                      <a:avLst/>
                    </a:prstGeom>
                    <a:noFill/>
                    <a:ln>
                      <a:noFill/>
                    </a:ln>
                  </pic:spPr>
                </pic:pic>
              </a:graphicData>
            </a:graphic>
          </wp:inline>
        </w:drawing>
      </w:r>
    </w:p>
    <w:p w:rsidR="00F93B76" w:rsidRPr="00A32AF4" w:rsidRDefault="00F93B76" w:rsidP="00DC0553"/>
    <w:p w:rsidR="00F93B76" w:rsidRPr="00A32AF4" w:rsidRDefault="00F93B76" w:rsidP="00DC0553"/>
    <w:p w:rsidR="00F93B76" w:rsidRPr="00A32AF4" w:rsidRDefault="002E0570" w:rsidP="00DC0553">
      <w:pPr>
        <w:rPr>
          <w:rFonts w:ascii="Arial Bold" w:hAnsi="Arial Bold" w:cs="Arial"/>
          <w:b/>
          <w:bCs/>
          <w:caps/>
          <w:kern w:val="32"/>
          <w:szCs w:val="32"/>
          <w:lang w:eastAsia="da-DK"/>
        </w:rPr>
      </w:pPr>
      <w:r w:rsidRPr="00A32AF4">
        <w:br w:type="page"/>
      </w:r>
    </w:p>
    <w:p w:rsidR="00F93B76" w:rsidRPr="00A32AF4" w:rsidRDefault="00CD1430" w:rsidP="00FB1F61">
      <w:pPr>
        <w:pStyle w:val="Heading3"/>
      </w:pPr>
      <w:bookmarkStart w:id="28" w:name="_Toc431555441"/>
      <w:r w:rsidRPr="00A32AF4">
        <w:t>PROGRAMME 6</w:t>
      </w:r>
      <w:r w:rsidR="002E0570" w:rsidRPr="00A32AF4">
        <w:tab/>
      </w:r>
      <w:r w:rsidRPr="00A32AF4">
        <w:t>Système de Madrid</w:t>
      </w:r>
      <w:bookmarkEnd w:id="28"/>
    </w:p>
    <w:p w:rsidR="00F93B76" w:rsidRPr="00A32AF4" w:rsidRDefault="00F93B76" w:rsidP="00DC0553">
      <w:pPr>
        <w:rPr>
          <w:rFonts w:eastAsia="SimSun"/>
        </w:rPr>
      </w:pPr>
    </w:p>
    <w:p w:rsidR="00F93B76" w:rsidRPr="00A32AF4" w:rsidRDefault="00F93B76" w:rsidP="00DC0553">
      <w:pPr>
        <w:rPr>
          <w:rFonts w:eastAsia="SimSun"/>
        </w:rPr>
      </w:pPr>
    </w:p>
    <w:p w:rsidR="00F93B76" w:rsidRPr="00A32AF4" w:rsidRDefault="00CD1430" w:rsidP="00DC0553">
      <w:pPr>
        <w:rPr>
          <w:caps/>
        </w:rPr>
      </w:pPr>
      <w:r w:rsidRPr="00A32AF4">
        <w:rPr>
          <w:caps/>
        </w:rPr>
        <w:t>Contexte de planification</w:t>
      </w:r>
    </w:p>
    <w:p w:rsidR="00F93B76" w:rsidRPr="00A32AF4" w:rsidRDefault="00F93B76" w:rsidP="00DC0553"/>
    <w:p w:rsidR="00F93B76" w:rsidRPr="00A32AF4" w:rsidRDefault="00CD1430" w:rsidP="00DC0553">
      <w:pPr>
        <w:pStyle w:val="ListParagraph"/>
        <w:numPr>
          <w:ilvl w:val="0"/>
          <w:numId w:val="17"/>
        </w:numPr>
        <w:tabs>
          <w:tab w:val="left" w:pos="567"/>
        </w:tabs>
        <w:spacing w:after="0" w:line="240" w:lineRule="auto"/>
        <w:ind w:left="0" w:firstLine="0"/>
        <w:contextualSpacing w:val="0"/>
        <w:jc w:val="both"/>
        <w:rPr>
          <w:rFonts w:ascii="Arial" w:hAnsi="Arial" w:cs="Arial"/>
        </w:rPr>
      </w:pPr>
      <w:proofErr w:type="gramStart"/>
      <w:r w:rsidRPr="00A32AF4">
        <w:rPr>
          <w:rFonts w:ascii="Arial" w:hAnsi="Arial" w:cs="Arial"/>
        </w:rPr>
        <w:t>Au cours de l</w:t>
      </w:r>
      <w:r w:rsidR="00E2055A" w:rsidRPr="00A32AF4">
        <w:rPr>
          <w:rFonts w:ascii="Arial" w:hAnsi="Arial" w:cs="Arial"/>
        </w:rPr>
        <w:t>’</w:t>
      </w:r>
      <w:r w:rsidRPr="00A32AF4">
        <w:rPr>
          <w:rFonts w:ascii="Arial" w:hAnsi="Arial" w:cs="Arial"/>
        </w:rPr>
        <w:t>exercice biennal 2016</w:t>
      </w:r>
      <w:r w:rsidR="00EB7F54" w:rsidRPr="00A32AF4">
        <w:rPr>
          <w:rFonts w:ascii="Arial" w:hAnsi="Arial" w:cs="Arial"/>
        </w:rPr>
        <w:noBreakHyphen/>
      </w:r>
      <w:r w:rsidRPr="00A32AF4">
        <w:rPr>
          <w:rFonts w:ascii="Arial" w:hAnsi="Arial" w:cs="Arial"/>
        </w:rPr>
        <w:t>2017, le système de Madrid devrait être confronté aux défis suivants : i) prévoir le nombre de dépôts avec précision en raison de la fragilité persistante de l</w:t>
      </w:r>
      <w:r w:rsidR="00E2055A" w:rsidRPr="00A32AF4">
        <w:rPr>
          <w:rFonts w:ascii="Arial" w:hAnsi="Arial" w:cs="Arial"/>
        </w:rPr>
        <w:t>’</w:t>
      </w:r>
      <w:r w:rsidRPr="00A32AF4">
        <w:rPr>
          <w:rFonts w:ascii="Arial" w:hAnsi="Arial" w:cs="Arial"/>
        </w:rPr>
        <w:t>économie mondiale;  ii) garantir la capacité du système à absorber effectivement les nouvelles adhésions dont le nombre devrait croître;  iii) renforcer le système de Madrid dans son ensemble afin qu</w:t>
      </w:r>
      <w:r w:rsidR="00E2055A" w:rsidRPr="00A32AF4">
        <w:rPr>
          <w:rFonts w:ascii="Arial" w:hAnsi="Arial" w:cs="Arial"/>
        </w:rPr>
        <w:t>’</w:t>
      </w:r>
      <w:r w:rsidRPr="00A32AF4">
        <w:rPr>
          <w:rFonts w:ascii="Arial" w:hAnsi="Arial" w:cs="Arial"/>
        </w:rPr>
        <w:t xml:space="preserve">il puisse fonctionner de manière plus efficace aussi bien pour les utilisateurs du secteur privé que pour les offices, </w:t>
      </w:r>
      <w:r w:rsidR="00E2055A" w:rsidRPr="00A32AF4">
        <w:rPr>
          <w:rFonts w:ascii="Arial" w:hAnsi="Arial" w:cs="Arial"/>
        </w:rPr>
        <w:t>y compris</w:t>
      </w:r>
      <w:r w:rsidRPr="00A32AF4">
        <w:rPr>
          <w:rFonts w:ascii="Arial" w:hAnsi="Arial" w:cs="Arial"/>
        </w:rPr>
        <w:t xml:space="preserve"> ceux se trouvant dans les nouveaux pays membres;  iv) améliorer la consistance, la prévisibilité et la qualité globale de l</w:t>
      </w:r>
      <w:r w:rsidR="00E2055A" w:rsidRPr="00A32AF4">
        <w:rPr>
          <w:rFonts w:ascii="Arial" w:hAnsi="Arial" w:cs="Arial"/>
        </w:rPr>
        <w:t>’</w:t>
      </w:r>
      <w:r w:rsidRPr="00A32AF4">
        <w:rPr>
          <w:rFonts w:ascii="Arial" w:hAnsi="Arial" w:cs="Arial"/>
        </w:rPr>
        <w:t>activité du Bureau international de la manière la plus rentable possible;  et v) cerner, explorer et maîtriser de manière adéquate les possibilités offertes par les niveaux accrus d</w:t>
      </w:r>
      <w:r w:rsidR="00E2055A" w:rsidRPr="00A32AF4">
        <w:rPr>
          <w:rFonts w:ascii="Arial" w:hAnsi="Arial" w:cs="Arial"/>
        </w:rPr>
        <w:t>’</w:t>
      </w:r>
      <w:r w:rsidRPr="00A32AF4">
        <w:rPr>
          <w:rFonts w:ascii="Arial" w:hAnsi="Arial" w:cs="Arial"/>
        </w:rPr>
        <w:t>automatisation de tous les aspects de la procédure internationale.</w:t>
      </w:r>
      <w:proofErr w:type="gramEnd"/>
    </w:p>
    <w:p w:rsidR="00F93B76" w:rsidRPr="00A32AF4" w:rsidRDefault="00F93B76" w:rsidP="00DC0553">
      <w:pPr>
        <w:rPr>
          <w:caps/>
        </w:rPr>
      </w:pPr>
    </w:p>
    <w:p w:rsidR="00F93B76" w:rsidRPr="00A32AF4" w:rsidRDefault="00F93B76" w:rsidP="00DC0553">
      <w:pPr>
        <w:rPr>
          <w:caps/>
        </w:rPr>
      </w:pPr>
    </w:p>
    <w:p w:rsidR="00F93B76" w:rsidRPr="00A32AF4" w:rsidRDefault="00CD1430" w:rsidP="00DC0553">
      <w:pPr>
        <w:rPr>
          <w:caps/>
        </w:rPr>
      </w:pPr>
      <w:r w:rsidRPr="00A32AF4">
        <w:rPr>
          <w:caps/>
        </w:rPr>
        <w:t>Stratégies de mise en œuvre</w:t>
      </w:r>
    </w:p>
    <w:p w:rsidR="00F93B76" w:rsidRPr="00A32AF4" w:rsidRDefault="00F93B76" w:rsidP="00DC0553">
      <w:pPr>
        <w:rPr>
          <w:caps/>
        </w:rPr>
      </w:pPr>
    </w:p>
    <w:p w:rsidR="00F93B76" w:rsidRPr="00A32AF4" w:rsidRDefault="00CD1430" w:rsidP="00DC0553">
      <w:pPr>
        <w:pStyle w:val="ListParagraph"/>
        <w:numPr>
          <w:ilvl w:val="0"/>
          <w:numId w:val="17"/>
        </w:numPr>
        <w:tabs>
          <w:tab w:val="left" w:pos="567"/>
        </w:tabs>
        <w:spacing w:after="0" w:line="240" w:lineRule="auto"/>
        <w:ind w:left="0" w:firstLine="0"/>
        <w:contextualSpacing w:val="0"/>
        <w:jc w:val="both"/>
        <w:rPr>
          <w:rFonts w:ascii="Arial" w:hAnsi="Arial" w:cs="Arial"/>
        </w:rPr>
      </w:pPr>
      <w:r w:rsidRPr="00A32AF4">
        <w:rPr>
          <w:rFonts w:ascii="Arial" w:hAnsi="Arial" w:cs="Arial"/>
        </w:rPr>
        <w:t>Le Bureau international s</w:t>
      </w:r>
      <w:r w:rsidR="00E2055A" w:rsidRPr="00A32AF4">
        <w:rPr>
          <w:rFonts w:ascii="Arial" w:hAnsi="Arial" w:cs="Arial"/>
        </w:rPr>
        <w:t>’</w:t>
      </w:r>
      <w:r w:rsidRPr="00A32AF4">
        <w:rPr>
          <w:rFonts w:ascii="Arial" w:hAnsi="Arial" w:cs="Arial"/>
        </w:rPr>
        <w:t>impliquera activement aux côtés des nouveaux membres potentiels dans les premières phases du processus d</w:t>
      </w:r>
      <w:r w:rsidR="00E2055A" w:rsidRPr="00A32AF4">
        <w:rPr>
          <w:rFonts w:ascii="Arial" w:hAnsi="Arial" w:cs="Arial"/>
        </w:rPr>
        <w:t>’</w:t>
      </w:r>
      <w:r w:rsidRPr="00A32AF4">
        <w:rPr>
          <w:rFonts w:ascii="Arial" w:hAnsi="Arial" w:cs="Arial"/>
        </w:rPr>
        <w:t xml:space="preserve">adhésion afin de fournir des orientations concernant les travaux préparatoires nécessaires, relatifs notamment </w:t>
      </w:r>
      <w:r w:rsidR="0061616B" w:rsidRPr="00A32AF4">
        <w:rPr>
          <w:rFonts w:ascii="Arial" w:hAnsi="Arial" w:cs="Arial"/>
        </w:rPr>
        <w:t>à la gestion du changement</w:t>
      </w:r>
      <w:r w:rsidRPr="00A32AF4">
        <w:rPr>
          <w:rFonts w:ascii="Arial" w:hAnsi="Arial" w:cs="Arial"/>
        </w:rPr>
        <w:t>, à la législation, aux considérations organisationnelles et institutionnelles, aux questions procédurales et opérationnelles, à l</w:t>
      </w:r>
      <w:r w:rsidR="00E2055A" w:rsidRPr="00A32AF4">
        <w:rPr>
          <w:rFonts w:ascii="Arial" w:hAnsi="Arial" w:cs="Arial"/>
        </w:rPr>
        <w:t>’</w:t>
      </w:r>
      <w:r w:rsidRPr="00A32AF4">
        <w:rPr>
          <w:rFonts w:ascii="Arial" w:hAnsi="Arial" w:cs="Arial"/>
        </w:rPr>
        <w:t>automatisation informatique et aux changements au niveau communautaire.  Le Bureau international fournira également aux nouveaux membres un soutien opérationnel et des orientations au cours de la phase suivant immédiatement l</w:t>
      </w:r>
      <w:r w:rsidR="00E2055A" w:rsidRPr="00A32AF4">
        <w:rPr>
          <w:rFonts w:ascii="Arial" w:hAnsi="Arial" w:cs="Arial"/>
        </w:rPr>
        <w:t>’</w:t>
      </w:r>
      <w:r w:rsidRPr="00A32AF4">
        <w:rPr>
          <w:rFonts w:ascii="Arial" w:hAnsi="Arial" w:cs="Arial"/>
        </w:rPr>
        <w:t>entrée en vigueur du Protocole de Madrid.  Étant donné l</w:t>
      </w:r>
      <w:r w:rsidR="00E2055A" w:rsidRPr="00A32AF4">
        <w:rPr>
          <w:rFonts w:ascii="Arial" w:hAnsi="Arial" w:cs="Arial"/>
        </w:rPr>
        <w:t>’</w:t>
      </w:r>
      <w:r w:rsidRPr="00A32AF4">
        <w:rPr>
          <w:rFonts w:ascii="Arial" w:hAnsi="Arial" w:cs="Arial"/>
        </w:rPr>
        <w:t>ampleur du travail qu</w:t>
      </w:r>
      <w:r w:rsidR="00E2055A" w:rsidRPr="00A32AF4">
        <w:rPr>
          <w:rFonts w:ascii="Arial" w:hAnsi="Arial" w:cs="Arial"/>
        </w:rPr>
        <w:t>’</w:t>
      </w:r>
      <w:r w:rsidRPr="00A32AF4">
        <w:rPr>
          <w:rFonts w:ascii="Arial" w:hAnsi="Arial" w:cs="Arial"/>
        </w:rPr>
        <w:t>il y aura certainement à accomplir et la nécessité d</w:t>
      </w:r>
      <w:r w:rsidR="00E2055A" w:rsidRPr="00A32AF4">
        <w:rPr>
          <w:rFonts w:ascii="Arial" w:hAnsi="Arial" w:cs="Arial"/>
        </w:rPr>
        <w:t>’</w:t>
      </w:r>
      <w:r w:rsidRPr="00A32AF4">
        <w:rPr>
          <w:rFonts w:ascii="Arial" w:hAnsi="Arial" w:cs="Arial"/>
        </w:rPr>
        <w:t>examiner la situation sous différents angles, le Bureau international fera appel aux bureaux extérieurs de l</w:t>
      </w:r>
      <w:r w:rsidR="00E2055A" w:rsidRPr="00A32AF4">
        <w:rPr>
          <w:rFonts w:ascii="Arial" w:hAnsi="Arial" w:cs="Arial"/>
        </w:rPr>
        <w:t>’</w:t>
      </w:r>
      <w:r w:rsidRPr="00A32AF4">
        <w:rPr>
          <w:rFonts w:ascii="Arial" w:hAnsi="Arial" w:cs="Arial"/>
        </w:rPr>
        <w:t>OMPI, aux offices nationaux et régionaux, et à d</w:t>
      </w:r>
      <w:r w:rsidR="00E2055A" w:rsidRPr="00A32AF4">
        <w:rPr>
          <w:rFonts w:ascii="Arial" w:hAnsi="Arial" w:cs="Arial"/>
        </w:rPr>
        <w:t>’</w:t>
      </w:r>
      <w:r w:rsidRPr="00A32AF4">
        <w:rPr>
          <w:rFonts w:ascii="Arial" w:hAnsi="Arial" w:cs="Arial"/>
        </w:rPr>
        <w:t>autres parties prenantes majeures afin que le processus soit mené à bien.</w:t>
      </w:r>
    </w:p>
    <w:p w:rsidR="00F93B76" w:rsidRPr="00A32AF4" w:rsidRDefault="00F93B76" w:rsidP="00DC0553">
      <w:pPr>
        <w:pStyle w:val="ListParagraph"/>
        <w:tabs>
          <w:tab w:val="left" w:pos="567"/>
        </w:tabs>
        <w:spacing w:line="240" w:lineRule="auto"/>
        <w:ind w:left="0"/>
        <w:jc w:val="both"/>
        <w:rPr>
          <w:rFonts w:ascii="Arial" w:hAnsi="Arial" w:cs="Arial"/>
        </w:rPr>
      </w:pPr>
    </w:p>
    <w:p w:rsidR="00F93B76" w:rsidRPr="00A32AF4" w:rsidRDefault="00CD1430" w:rsidP="00DC0553">
      <w:pPr>
        <w:pStyle w:val="ListParagraph"/>
        <w:numPr>
          <w:ilvl w:val="0"/>
          <w:numId w:val="17"/>
        </w:numPr>
        <w:tabs>
          <w:tab w:val="left" w:pos="567"/>
        </w:tabs>
        <w:spacing w:after="0" w:line="240" w:lineRule="auto"/>
        <w:ind w:left="0" w:firstLine="0"/>
        <w:contextualSpacing w:val="0"/>
        <w:jc w:val="both"/>
        <w:rPr>
          <w:rFonts w:ascii="Arial" w:hAnsi="Arial" w:cs="Arial"/>
        </w:rPr>
      </w:pPr>
      <w:r w:rsidRPr="00A32AF4">
        <w:rPr>
          <w:rFonts w:ascii="Arial" w:hAnsi="Arial" w:cs="Arial"/>
        </w:rPr>
        <w:t>Les initiatives lancées au début de l</w:t>
      </w:r>
      <w:r w:rsidR="00E2055A" w:rsidRPr="00A32AF4">
        <w:rPr>
          <w:rFonts w:ascii="Arial" w:hAnsi="Arial" w:cs="Arial"/>
        </w:rPr>
        <w:t>’</w:t>
      </w:r>
      <w:r w:rsidRPr="00A32AF4">
        <w:rPr>
          <w:rFonts w:ascii="Arial" w:hAnsi="Arial" w:cs="Arial"/>
        </w:rPr>
        <w:t>année 2014 en vue d</w:t>
      </w:r>
      <w:r w:rsidR="00E2055A" w:rsidRPr="00A32AF4">
        <w:rPr>
          <w:rFonts w:ascii="Arial" w:hAnsi="Arial" w:cs="Arial"/>
        </w:rPr>
        <w:t>’</w:t>
      </w:r>
      <w:r w:rsidRPr="00A32AF4">
        <w:rPr>
          <w:rFonts w:ascii="Arial" w:hAnsi="Arial" w:cs="Arial"/>
        </w:rPr>
        <w:t>améliorer les résultats en matière de traitement des demandes internationales déposées selon le système de Madrid et de gestion du registre international seront également poursuivies.  Les progrès considérables qui ont déjà été réalisés dans les domaines de la planification des ressources et de la charge de travail, des services à la clientèle et de la formation du personnel seront consolidés afin que les utilisateurs du secteur privé et les offices puissent en tirer des résultats tangibles.  Tout en avançant dans cette voie, l</w:t>
      </w:r>
      <w:r w:rsidR="00E2055A" w:rsidRPr="00A32AF4">
        <w:rPr>
          <w:rFonts w:ascii="Arial" w:hAnsi="Arial" w:cs="Arial"/>
        </w:rPr>
        <w:t>’</w:t>
      </w:r>
      <w:r w:rsidRPr="00A32AF4">
        <w:rPr>
          <w:rFonts w:ascii="Arial" w:hAnsi="Arial" w:cs="Arial"/>
        </w:rPr>
        <w:t>accent sera de plus en plus mis sur la qualité, ce qui se traduira notamment par des résultats d</w:t>
      </w:r>
      <w:r w:rsidR="00E2055A" w:rsidRPr="00A32AF4">
        <w:rPr>
          <w:rFonts w:ascii="Arial" w:hAnsi="Arial" w:cs="Arial"/>
        </w:rPr>
        <w:t>’</w:t>
      </w:r>
      <w:r w:rsidRPr="00A32AF4">
        <w:rPr>
          <w:rFonts w:ascii="Arial" w:hAnsi="Arial" w:cs="Arial"/>
        </w:rPr>
        <w:t>examens plus clairs et plus cohérents obtenus grâce à l</w:t>
      </w:r>
      <w:r w:rsidR="00E2055A" w:rsidRPr="00A32AF4">
        <w:rPr>
          <w:rFonts w:ascii="Arial" w:hAnsi="Arial" w:cs="Arial"/>
        </w:rPr>
        <w:t>’</w:t>
      </w:r>
      <w:r w:rsidRPr="00A32AF4">
        <w:rPr>
          <w:rFonts w:ascii="Arial" w:hAnsi="Arial" w:cs="Arial"/>
        </w:rPr>
        <w:t>amélioration des documents relatifs à l</w:t>
      </w:r>
      <w:r w:rsidR="00E2055A" w:rsidRPr="00A32AF4">
        <w:rPr>
          <w:rFonts w:ascii="Arial" w:hAnsi="Arial" w:cs="Arial"/>
        </w:rPr>
        <w:t>’</w:t>
      </w:r>
      <w:r w:rsidRPr="00A32AF4">
        <w:rPr>
          <w:rFonts w:ascii="Arial" w:hAnsi="Arial" w:cs="Arial"/>
        </w:rPr>
        <w:t>examen et du processus de contrôle.  Parallèlement, des mesures spéciales seront prises pour rendre le processus de classification du Bureau international plus efficace grâce à la mise au point d</w:t>
      </w:r>
      <w:r w:rsidR="00E2055A" w:rsidRPr="00A32AF4">
        <w:rPr>
          <w:rFonts w:ascii="Arial" w:hAnsi="Arial" w:cs="Arial"/>
        </w:rPr>
        <w:t>’</w:t>
      </w:r>
      <w:r w:rsidRPr="00A32AF4">
        <w:rPr>
          <w:rFonts w:ascii="Arial" w:hAnsi="Arial" w:cs="Arial"/>
        </w:rPr>
        <w:t>une plate</w:t>
      </w:r>
      <w:r w:rsidR="00EB7F54" w:rsidRPr="00A32AF4">
        <w:rPr>
          <w:rFonts w:ascii="Arial" w:hAnsi="Arial" w:cs="Arial"/>
        </w:rPr>
        <w:noBreakHyphen/>
      </w:r>
      <w:r w:rsidRPr="00A32AF4">
        <w:rPr>
          <w:rFonts w:ascii="Arial" w:hAnsi="Arial" w:cs="Arial"/>
        </w:rPr>
        <w:t>forme facile d</w:t>
      </w:r>
      <w:r w:rsidR="00E2055A" w:rsidRPr="00A32AF4">
        <w:rPr>
          <w:rFonts w:ascii="Arial" w:hAnsi="Arial" w:cs="Arial"/>
        </w:rPr>
        <w:t>’</w:t>
      </w:r>
      <w:r w:rsidRPr="00A32AF4">
        <w:rPr>
          <w:rFonts w:ascii="Arial" w:hAnsi="Arial" w:cs="Arial"/>
        </w:rPr>
        <w:t>utilisation pour la liste des biens et des services de la classification de Nice et le gestionnaire de la base de données sur les produits et services de Madrid (MGS) afin que la classification devienne une procédure plus transparente dans tous les offices concernés.</w:t>
      </w:r>
    </w:p>
    <w:p w:rsidR="00F93B76" w:rsidRPr="00A32AF4" w:rsidRDefault="00F93B76" w:rsidP="00DC0553">
      <w:pPr>
        <w:pStyle w:val="ListParagraph"/>
        <w:tabs>
          <w:tab w:val="left" w:pos="567"/>
        </w:tabs>
        <w:spacing w:line="240" w:lineRule="auto"/>
        <w:ind w:left="0"/>
        <w:jc w:val="both"/>
        <w:rPr>
          <w:rFonts w:ascii="Arial" w:hAnsi="Arial" w:cs="Arial"/>
        </w:rPr>
      </w:pPr>
    </w:p>
    <w:p w:rsidR="00F93B76" w:rsidRPr="00A32AF4" w:rsidRDefault="00CD1430" w:rsidP="00DC0553">
      <w:pPr>
        <w:pStyle w:val="ListParagraph"/>
        <w:numPr>
          <w:ilvl w:val="0"/>
          <w:numId w:val="17"/>
        </w:numPr>
        <w:tabs>
          <w:tab w:val="left" w:pos="567"/>
        </w:tabs>
        <w:spacing w:after="0" w:line="240" w:lineRule="auto"/>
        <w:ind w:left="0" w:firstLine="0"/>
        <w:contextualSpacing w:val="0"/>
        <w:jc w:val="both"/>
        <w:rPr>
          <w:rFonts w:ascii="Arial" w:hAnsi="Arial" w:cs="Arial"/>
        </w:rPr>
      </w:pPr>
      <w:r w:rsidRPr="00A32AF4">
        <w:rPr>
          <w:rFonts w:ascii="Arial" w:hAnsi="Arial" w:cs="Arial"/>
        </w:rPr>
        <w:t>Dans le domaine de la promotion, l</w:t>
      </w:r>
      <w:r w:rsidR="00E2055A" w:rsidRPr="00A32AF4">
        <w:rPr>
          <w:rFonts w:ascii="Arial" w:hAnsi="Arial" w:cs="Arial"/>
        </w:rPr>
        <w:t>’</w:t>
      </w:r>
      <w:r w:rsidRPr="00A32AF4">
        <w:rPr>
          <w:rFonts w:ascii="Arial" w:hAnsi="Arial" w:cs="Arial"/>
        </w:rPr>
        <w:t>accent sera mis plus fortement sur la recherche de marchés et les programmes d</w:t>
      </w:r>
      <w:r w:rsidR="00E2055A" w:rsidRPr="00A32AF4">
        <w:rPr>
          <w:rFonts w:ascii="Arial" w:hAnsi="Arial" w:cs="Arial"/>
        </w:rPr>
        <w:t>’</w:t>
      </w:r>
      <w:r w:rsidRPr="00A32AF4">
        <w:rPr>
          <w:rFonts w:ascii="Arial" w:hAnsi="Arial" w:cs="Arial"/>
        </w:rPr>
        <w:t xml:space="preserve">information et de marketing conçus pour répondre aux besoins et profils spécifiques des utilisateurs locaux potentiels.  Des informations supplémentaires et améliorées sur le système de Madrid, </w:t>
      </w:r>
      <w:r w:rsidR="00E2055A" w:rsidRPr="00A32AF4">
        <w:rPr>
          <w:rFonts w:ascii="Arial" w:hAnsi="Arial" w:cs="Arial"/>
        </w:rPr>
        <w:t>y compris</w:t>
      </w:r>
      <w:r w:rsidRPr="00A32AF4">
        <w:rPr>
          <w:rFonts w:ascii="Arial" w:hAnsi="Arial" w:cs="Arial"/>
        </w:rPr>
        <w:t xml:space="preserve"> sur les procédures d</w:t>
      </w:r>
      <w:r w:rsidR="00E2055A" w:rsidRPr="00A32AF4">
        <w:rPr>
          <w:rFonts w:ascii="Arial" w:hAnsi="Arial" w:cs="Arial"/>
        </w:rPr>
        <w:t>’</w:t>
      </w:r>
      <w:r w:rsidRPr="00A32AF4">
        <w:rPr>
          <w:rFonts w:ascii="Arial" w:hAnsi="Arial" w:cs="Arial"/>
        </w:rPr>
        <w:t xml:space="preserve">examen se déroulant aussi bien au sein du Bureau international que des parties contractantes désignées, seront disponibles sur le site Web du Bureau international pour répondre aux besoins à la fois des nouveaux utilisateurs et des utilisateurs plus expérimentés.  Les outils en ligne existants pour la gestion des portefeuilles de marques </w:t>
      </w:r>
      <w:r w:rsidR="0061616B" w:rsidRPr="00A32AF4">
        <w:rPr>
          <w:rFonts w:ascii="Arial" w:hAnsi="Arial" w:cs="Arial"/>
        </w:rPr>
        <w:t xml:space="preserve">par les propriétaires de marques </w:t>
      </w:r>
      <w:r w:rsidRPr="00A32AF4">
        <w:rPr>
          <w:rFonts w:ascii="Arial" w:hAnsi="Arial" w:cs="Arial"/>
        </w:rPr>
        <w:t>dans le cadre du système de Madrid seront ajoutés à un système électronique intégré, permettant ainsi aux utilisateurs de faire des recherches, de déposer et de suivre leurs demandes et de gérer leurs marques en ligne avec plus de facilité.</w:t>
      </w:r>
      <w:r w:rsidR="008E2946" w:rsidRPr="00A32AF4">
        <w:rPr>
          <w:rFonts w:ascii="Arial" w:hAnsi="Arial" w:cs="Arial"/>
        </w:rPr>
        <w:t xml:space="preserve">  </w:t>
      </w:r>
      <w:r w:rsidR="0061616B" w:rsidRPr="00A32AF4">
        <w:rPr>
          <w:rFonts w:ascii="Arial" w:hAnsi="Arial" w:cs="Arial"/>
          <w:szCs w:val="20"/>
        </w:rPr>
        <w:t>En outre</w:t>
      </w:r>
      <w:r w:rsidR="008E2946" w:rsidRPr="00A32AF4">
        <w:rPr>
          <w:rFonts w:ascii="Arial" w:hAnsi="Arial" w:cs="Arial"/>
          <w:szCs w:val="20"/>
        </w:rPr>
        <w:t xml:space="preserve">, </w:t>
      </w:r>
      <w:r w:rsidR="0061616B" w:rsidRPr="00A32AF4">
        <w:rPr>
          <w:rFonts w:ascii="Arial" w:hAnsi="Arial" w:cs="Arial"/>
          <w:szCs w:val="20"/>
        </w:rPr>
        <w:t>les outils en lignes actuels permettant d</w:t>
      </w:r>
      <w:r w:rsidR="00E2055A" w:rsidRPr="00A32AF4">
        <w:rPr>
          <w:rFonts w:ascii="Arial" w:hAnsi="Arial" w:cs="Arial"/>
          <w:szCs w:val="20"/>
        </w:rPr>
        <w:t>’</w:t>
      </w:r>
      <w:r w:rsidR="0061616B" w:rsidRPr="00A32AF4">
        <w:rPr>
          <w:rFonts w:ascii="Arial" w:hAnsi="Arial" w:cs="Arial"/>
          <w:szCs w:val="20"/>
        </w:rPr>
        <w:t>assurer l</w:t>
      </w:r>
      <w:r w:rsidR="00E2055A" w:rsidRPr="00A32AF4">
        <w:rPr>
          <w:rFonts w:ascii="Arial" w:hAnsi="Arial" w:cs="Arial"/>
          <w:szCs w:val="20"/>
        </w:rPr>
        <w:t>’</w:t>
      </w:r>
      <w:r w:rsidR="0061616B" w:rsidRPr="00A32AF4">
        <w:rPr>
          <w:rFonts w:ascii="Arial" w:hAnsi="Arial" w:cs="Arial"/>
          <w:szCs w:val="20"/>
        </w:rPr>
        <w:t xml:space="preserve">administration des demandes, notifications de désignations et autres notifications officielles dans le cadre du système de </w:t>
      </w:r>
      <w:r w:rsidR="008E2946" w:rsidRPr="00A32AF4">
        <w:rPr>
          <w:rFonts w:ascii="Arial" w:hAnsi="Arial" w:cs="Arial"/>
          <w:szCs w:val="20"/>
        </w:rPr>
        <w:t xml:space="preserve">Madrid </w:t>
      </w:r>
      <w:r w:rsidR="0061616B" w:rsidRPr="00A32AF4">
        <w:rPr>
          <w:rFonts w:ascii="Arial" w:hAnsi="Arial" w:cs="Arial"/>
          <w:szCs w:val="20"/>
        </w:rPr>
        <w:t>seront rationalisés et regroupés dans un environnement électronique intégré</w:t>
      </w:r>
      <w:r w:rsidR="008E2946" w:rsidRPr="00A32AF4">
        <w:rPr>
          <w:rFonts w:ascii="Arial" w:hAnsi="Arial" w:cs="Arial"/>
          <w:szCs w:val="20"/>
        </w:rPr>
        <w:t>.</w:t>
      </w:r>
    </w:p>
    <w:p w:rsidR="00F93B76" w:rsidRPr="00A32AF4" w:rsidRDefault="00F93B76" w:rsidP="00DC0553">
      <w:pPr>
        <w:pStyle w:val="ListParagraph"/>
        <w:tabs>
          <w:tab w:val="left" w:pos="567"/>
        </w:tabs>
        <w:spacing w:line="240" w:lineRule="auto"/>
        <w:ind w:left="0"/>
        <w:jc w:val="both"/>
        <w:rPr>
          <w:rFonts w:ascii="Arial" w:hAnsi="Arial" w:cs="Arial"/>
        </w:rPr>
      </w:pPr>
    </w:p>
    <w:p w:rsidR="00F93B76" w:rsidRPr="00A32AF4" w:rsidRDefault="00CD1430" w:rsidP="00DC0553">
      <w:pPr>
        <w:pStyle w:val="ListParagraph"/>
        <w:numPr>
          <w:ilvl w:val="0"/>
          <w:numId w:val="17"/>
        </w:numPr>
        <w:tabs>
          <w:tab w:val="left" w:pos="567"/>
        </w:tabs>
        <w:spacing w:after="0" w:line="240" w:lineRule="auto"/>
        <w:ind w:left="0" w:firstLine="0"/>
        <w:contextualSpacing w:val="0"/>
        <w:jc w:val="both"/>
        <w:rPr>
          <w:rFonts w:ascii="Arial" w:hAnsi="Arial" w:cs="Arial"/>
        </w:rPr>
      </w:pPr>
      <w:r w:rsidRPr="00A32AF4">
        <w:rPr>
          <w:rFonts w:ascii="Arial" w:hAnsi="Arial" w:cs="Arial"/>
        </w:rPr>
        <w:t>Sa portée géographique s</w:t>
      </w:r>
      <w:r w:rsidR="00E2055A" w:rsidRPr="00A32AF4">
        <w:rPr>
          <w:rFonts w:ascii="Arial" w:hAnsi="Arial" w:cs="Arial"/>
        </w:rPr>
        <w:t>’</w:t>
      </w:r>
      <w:r w:rsidRPr="00A32AF4">
        <w:rPr>
          <w:rFonts w:ascii="Arial" w:hAnsi="Arial" w:cs="Arial"/>
        </w:rPr>
        <w:t>étendant rapidement, le système de Madrid devra servir les intérêts de tou</w:t>
      </w:r>
      <w:r w:rsidR="0061616B" w:rsidRPr="00A32AF4">
        <w:rPr>
          <w:rFonts w:ascii="Arial" w:hAnsi="Arial" w:cs="Arial"/>
        </w:rPr>
        <w:t>te</w:t>
      </w:r>
      <w:r w:rsidRPr="00A32AF4">
        <w:rPr>
          <w:rFonts w:ascii="Arial" w:hAnsi="Arial" w:cs="Arial"/>
        </w:rPr>
        <w:t xml:space="preserve">s les </w:t>
      </w:r>
      <w:r w:rsidR="0061616B" w:rsidRPr="00A32AF4">
        <w:rPr>
          <w:rFonts w:ascii="Arial" w:hAnsi="Arial" w:cs="Arial"/>
        </w:rPr>
        <w:t>parties prenantes</w:t>
      </w:r>
      <w:r w:rsidRPr="00A32AF4">
        <w:rPr>
          <w:rFonts w:ascii="Arial" w:hAnsi="Arial" w:cs="Arial"/>
        </w:rPr>
        <w:t xml:space="preserve"> de manière équitable afin de réaliser pleinement son potentiel dans un environnement nouveau.  Le Groupe de travail sur le développement juridique du système de Madrid s</w:t>
      </w:r>
      <w:r w:rsidR="00E2055A" w:rsidRPr="00A32AF4">
        <w:rPr>
          <w:rFonts w:ascii="Arial" w:hAnsi="Arial" w:cs="Arial"/>
        </w:rPr>
        <w:t>’</w:t>
      </w:r>
      <w:r w:rsidRPr="00A32AF4">
        <w:rPr>
          <w:rFonts w:ascii="Arial" w:hAnsi="Arial" w:cs="Arial"/>
        </w:rPr>
        <w:t>interrogera sur la manière dont le cadre juridique du système doit évoluer afin de s</w:t>
      </w:r>
      <w:r w:rsidR="00E2055A" w:rsidRPr="00A32AF4">
        <w:rPr>
          <w:rFonts w:ascii="Arial" w:hAnsi="Arial" w:cs="Arial"/>
        </w:rPr>
        <w:t>’</w:t>
      </w:r>
      <w:r w:rsidRPr="00A32AF4">
        <w:rPr>
          <w:rFonts w:ascii="Arial" w:hAnsi="Arial" w:cs="Arial"/>
        </w:rPr>
        <w:t>adapter aux nouveaux besoins.</w:t>
      </w:r>
    </w:p>
    <w:p w:rsidR="00F93B76" w:rsidRPr="00A32AF4" w:rsidRDefault="00F93B76" w:rsidP="00DC0553">
      <w:pPr>
        <w:pStyle w:val="ListParagraph"/>
        <w:tabs>
          <w:tab w:val="left" w:pos="567"/>
        </w:tabs>
        <w:spacing w:line="240" w:lineRule="auto"/>
        <w:ind w:left="0"/>
        <w:jc w:val="both"/>
        <w:rPr>
          <w:rFonts w:ascii="Arial" w:hAnsi="Arial" w:cs="Arial"/>
        </w:rPr>
      </w:pPr>
    </w:p>
    <w:p w:rsidR="00F93B76" w:rsidRPr="00A32AF4" w:rsidRDefault="00CD1430" w:rsidP="00DC0553">
      <w:pPr>
        <w:pStyle w:val="ListParagraph"/>
        <w:numPr>
          <w:ilvl w:val="0"/>
          <w:numId w:val="17"/>
        </w:numPr>
        <w:tabs>
          <w:tab w:val="left" w:pos="567"/>
        </w:tabs>
        <w:spacing w:after="0" w:line="240" w:lineRule="auto"/>
        <w:ind w:left="0" w:firstLine="0"/>
        <w:contextualSpacing w:val="0"/>
        <w:jc w:val="both"/>
        <w:rPr>
          <w:rFonts w:ascii="Arial" w:hAnsi="Arial" w:cs="Arial"/>
        </w:rPr>
      </w:pPr>
      <w:r w:rsidRPr="00A32AF4">
        <w:rPr>
          <w:rFonts w:ascii="Arial" w:hAnsi="Arial" w:cs="Arial"/>
        </w:rPr>
        <w:t>Au fur et à mesure que se présentent les possibilités d</w:t>
      </w:r>
      <w:r w:rsidR="00E2055A" w:rsidRPr="00A32AF4">
        <w:rPr>
          <w:rFonts w:ascii="Arial" w:hAnsi="Arial" w:cs="Arial"/>
        </w:rPr>
        <w:t>’</w:t>
      </w:r>
      <w:r w:rsidRPr="00A32AF4">
        <w:rPr>
          <w:rFonts w:ascii="Arial" w:hAnsi="Arial" w:cs="Arial"/>
        </w:rPr>
        <w:t>augmenter et d</w:t>
      </w:r>
      <w:r w:rsidR="00E2055A" w:rsidRPr="00A32AF4">
        <w:rPr>
          <w:rFonts w:ascii="Arial" w:hAnsi="Arial" w:cs="Arial"/>
        </w:rPr>
        <w:t>’</w:t>
      </w:r>
      <w:r w:rsidRPr="00A32AF4">
        <w:rPr>
          <w:rFonts w:ascii="Arial" w:hAnsi="Arial" w:cs="Arial"/>
        </w:rPr>
        <w:t>améliorer l</w:t>
      </w:r>
      <w:r w:rsidR="00E2055A" w:rsidRPr="00A32AF4">
        <w:rPr>
          <w:rFonts w:ascii="Arial" w:hAnsi="Arial" w:cs="Arial"/>
        </w:rPr>
        <w:t>’</w:t>
      </w:r>
      <w:r w:rsidRPr="00A32AF4">
        <w:rPr>
          <w:rFonts w:ascii="Arial" w:hAnsi="Arial" w:cs="Arial"/>
        </w:rPr>
        <w:t>application des technologies de l</w:t>
      </w:r>
      <w:r w:rsidR="00E2055A" w:rsidRPr="00A32AF4">
        <w:rPr>
          <w:rFonts w:ascii="Arial" w:hAnsi="Arial" w:cs="Arial"/>
        </w:rPr>
        <w:t>’</w:t>
      </w:r>
      <w:r w:rsidRPr="00A32AF4">
        <w:rPr>
          <w:rFonts w:ascii="Arial" w:hAnsi="Arial" w:cs="Arial"/>
        </w:rPr>
        <w:t xml:space="preserve">information et de communication, le Bureau international suivra un certain nombre de politiques de mise en œuvre destinées à répondre aux attentes de diverses parties prenantes du système de Madrid, </w:t>
      </w:r>
      <w:r w:rsidR="00E2055A" w:rsidRPr="00A32AF4">
        <w:rPr>
          <w:rFonts w:ascii="Arial" w:hAnsi="Arial" w:cs="Arial"/>
        </w:rPr>
        <w:t>y compris</w:t>
      </w:r>
      <w:r w:rsidRPr="00A32AF4">
        <w:rPr>
          <w:rFonts w:ascii="Arial" w:hAnsi="Arial" w:cs="Arial"/>
        </w:rPr>
        <w:t xml:space="preserve"> les offices, les déposants, les titulaires</w:t>
      </w:r>
      <w:r w:rsidR="0084027B" w:rsidRPr="00A32AF4">
        <w:rPr>
          <w:rFonts w:ascii="Arial" w:hAnsi="Arial" w:cs="Arial"/>
        </w:rPr>
        <w:t xml:space="preserve"> de droits</w:t>
      </w:r>
      <w:r w:rsidRPr="00A32AF4">
        <w:rPr>
          <w:rFonts w:ascii="Arial" w:hAnsi="Arial" w:cs="Arial"/>
        </w:rPr>
        <w:t xml:space="preserve"> et les spécialistes de la propriété intellectuelle, dans le cadre des efforts déployés pour passer vers un environnement totalement électronique.  De telles politiques de mise en œuvre permettront de garantir que les parties prenantes pourront utiliser le registre international en ligne, de façon progressive et en toute sécurité, en libre</w:t>
      </w:r>
      <w:r w:rsidR="00EB7F54" w:rsidRPr="00A32AF4">
        <w:rPr>
          <w:rFonts w:ascii="Arial" w:hAnsi="Arial" w:cs="Arial"/>
        </w:rPr>
        <w:noBreakHyphen/>
      </w:r>
      <w:r w:rsidRPr="00A32AF4">
        <w:rPr>
          <w:rFonts w:ascii="Arial" w:hAnsi="Arial" w:cs="Arial"/>
        </w:rPr>
        <w:t>service et en temps réel.  Une grande attention sera portée à la fourniture plus efficace de services en ligne de manière à offrir des services et une qualité identiques à toutes les parties prenantes quelle que soit leur situation géographique.</w:t>
      </w:r>
    </w:p>
    <w:p w:rsidR="00F93B76" w:rsidRPr="00A32AF4" w:rsidRDefault="00F93B76" w:rsidP="00DC0553"/>
    <w:p w:rsidR="00E2055A" w:rsidRPr="00A32AF4" w:rsidRDefault="0061616B" w:rsidP="00DC0553">
      <w:pPr>
        <w:numPr>
          <w:ilvl w:val="0"/>
          <w:numId w:val="17"/>
        </w:numPr>
        <w:ind w:left="540" w:hanging="540"/>
        <w:jc w:val="both"/>
        <w:rPr>
          <w:rFonts w:cs="Arial"/>
        </w:rPr>
      </w:pPr>
      <w:r w:rsidRPr="00A32AF4">
        <w:rPr>
          <w:rFonts w:cs="Arial"/>
        </w:rPr>
        <w:t>Le p</w:t>
      </w:r>
      <w:r w:rsidR="008E2946" w:rsidRPr="00A32AF4">
        <w:rPr>
          <w:rFonts w:cs="Arial"/>
        </w:rPr>
        <w:t>rogram</w:t>
      </w:r>
      <w:r w:rsidRPr="00A32AF4">
        <w:rPr>
          <w:rFonts w:cs="Arial"/>
        </w:rPr>
        <w:t xml:space="preserve">me 6 collabore essentiellement </w:t>
      </w:r>
      <w:r w:rsidR="009F1DB9" w:rsidRPr="00A32AF4">
        <w:rPr>
          <w:rFonts w:cs="Arial"/>
        </w:rPr>
        <w:t xml:space="preserve">avec les </w:t>
      </w:r>
      <w:r w:rsidR="00DC403D" w:rsidRPr="00A32AF4">
        <w:rPr>
          <w:rFonts w:cs="Arial"/>
        </w:rPr>
        <w:t xml:space="preserve">autres </w:t>
      </w:r>
      <w:r w:rsidR="009F1DB9" w:rsidRPr="00A32AF4">
        <w:rPr>
          <w:rFonts w:cs="Arial"/>
        </w:rPr>
        <w:t>programmes indiqués ci</w:t>
      </w:r>
      <w:r w:rsidR="00EB7F54" w:rsidRPr="00A32AF4">
        <w:rPr>
          <w:rFonts w:cs="Arial"/>
        </w:rPr>
        <w:noBreakHyphen/>
      </w:r>
      <w:r w:rsidRPr="00A32AF4">
        <w:rPr>
          <w:rFonts w:cs="Arial"/>
        </w:rPr>
        <w:t>dessous </w:t>
      </w:r>
      <w:r w:rsidR="008E2946" w:rsidRPr="00A32AF4">
        <w:rPr>
          <w:rFonts w:cs="Arial"/>
        </w:rPr>
        <w:t>:</w:t>
      </w:r>
    </w:p>
    <w:p w:rsidR="00F93B76" w:rsidRPr="00A32AF4" w:rsidRDefault="00F93B76" w:rsidP="00DC0553">
      <w:pPr>
        <w:pStyle w:val="ListParagraph"/>
        <w:tabs>
          <w:tab w:val="left" w:pos="567"/>
        </w:tabs>
        <w:spacing w:line="240" w:lineRule="auto"/>
        <w:ind w:left="0"/>
        <w:jc w:val="both"/>
        <w:rPr>
          <w:rFonts w:ascii="Arial" w:hAnsi="Arial" w:cs="Arial"/>
        </w:rPr>
      </w:pPr>
    </w:p>
    <w:p w:rsidR="00F93B76" w:rsidRPr="00A32AF4" w:rsidRDefault="00CD1430" w:rsidP="00DC0553">
      <w:pPr>
        <w:jc w:val="both"/>
      </w:pPr>
      <w:r w:rsidRPr="00A32AF4">
        <w:rPr>
          <w:noProof/>
          <w:lang w:eastAsia="fr-FR"/>
        </w:rPr>
        <w:drawing>
          <wp:inline distT="0" distB="0" distL="0" distR="0" wp14:anchorId="095C0FFE" wp14:editId="2BDE2D4F">
            <wp:extent cx="5948314" cy="2017336"/>
            <wp:effectExtent l="0" t="0" r="0" b="78740"/>
            <wp:docPr id="18" name="Diagram 18"/>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1" r:lo="rId62" r:qs="rId63" r:cs="rId64"/>
              </a:graphicData>
            </a:graphic>
          </wp:inline>
        </w:drawing>
      </w:r>
    </w:p>
    <w:p w:rsidR="00F93B76" w:rsidRPr="00A32AF4" w:rsidRDefault="00F93B76" w:rsidP="00DC0553">
      <w:pPr>
        <w:rPr>
          <w:caps/>
        </w:rPr>
      </w:pPr>
    </w:p>
    <w:p w:rsidR="00F93B76" w:rsidRPr="00A32AF4" w:rsidRDefault="00F93B76" w:rsidP="00DC0553">
      <w:pPr>
        <w:rPr>
          <w:caps/>
        </w:rPr>
      </w:pPr>
    </w:p>
    <w:p w:rsidR="00F93B76" w:rsidRPr="00A32AF4" w:rsidRDefault="00CD1430" w:rsidP="00DC0553">
      <w:pPr>
        <w:rPr>
          <w:caps/>
        </w:rPr>
      </w:pPr>
      <w:r w:rsidRPr="00A32AF4">
        <w:rPr>
          <w:caps/>
        </w:rPr>
        <w:t>Principaux risques et stratégies d</w:t>
      </w:r>
      <w:r w:rsidR="00E2055A" w:rsidRPr="00A32AF4">
        <w:rPr>
          <w:caps/>
        </w:rPr>
        <w:t>’</w:t>
      </w:r>
      <w:r w:rsidRPr="00A32AF4">
        <w:rPr>
          <w:caps/>
        </w:rPr>
        <w:t>atténuation</w:t>
      </w:r>
    </w:p>
    <w:p w:rsidR="00CD1430" w:rsidRPr="00A32AF4" w:rsidRDefault="00CD1430" w:rsidP="00DC0553">
      <w:pPr>
        <w:rPr>
          <w:caps/>
        </w:rPr>
      </w:pPr>
    </w:p>
    <w:tbl>
      <w:tblPr>
        <w:tblW w:w="9498"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11"/>
        <w:gridCol w:w="5387"/>
      </w:tblGrid>
      <w:tr w:rsidR="0038294E" w:rsidRPr="00A32AF4" w:rsidTr="007575E1">
        <w:trPr>
          <w:trHeight w:val="478"/>
        </w:trPr>
        <w:tc>
          <w:tcPr>
            <w:tcW w:w="4111" w:type="dxa"/>
            <w:tcBorders>
              <w:top w:val="single" w:sz="4" w:space="0" w:color="auto"/>
              <w:left w:val="single" w:sz="4" w:space="0" w:color="auto"/>
              <w:bottom w:val="single" w:sz="4" w:space="0" w:color="auto"/>
              <w:right w:val="nil"/>
            </w:tcBorders>
            <w:shd w:val="clear" w:color="auto" w:fill="C6D9F1" w:themeFill="text2" w:themeFillTint="33"/>
            <w:vAlign w:val="center"/>
          </w:tcPr>
          <w:p w:rsidR="00CD1430" w:rsidRPr="00A32AF4" w:rsidRDefault="00CD1430" w:rsidP="00DC0553">
            <w:pPr>
              <w:keepNext/>
              <w:keepLines/>
              <w:jc w:val="center"/>
              <w:rPr>
                <w:b/>
                <w:bCs/>
                <w:sz w:val="18"/>
                <w:szCs w:val="18"/>
              </w:rPr>
            </w:pPr>
            <w:r w:rsidRPr="00A32AF4">
              <w:rPr>
                <w:b/>
                <w:bCs/>
                <w:sz w:val="18"/>
                <w:szCs w:val="18"/>
              </w:rPr>
              <w:t>Risque</w:t>
            </w:r>
            <w:r w:rsidR="0092746A" w:rsidRPr="00A32AF4">
              <w:rPr>
                <w:b/>
                <w:bCs/>
                <w:sz w:val="18"/>
                <w:szCs w:val="18"/>
              </w:rPr>
              <w:t>s</w:t>
            </w:r>
          </w:p>
        </w:tc>
        <w:tc>
          <w:tcPr>
            <w:tcW w:w="5387" w:type="dxa"/>
            <w:tcBorders>
              <w:top w:val="single" w:sz="4" w:space="0" w:color="auto"/>
              <w:left w:val="nil"/>
              <w:bottom w:val="single" w:sz="4" w:space="0" w:color="auto"/>
              <w:right w:val="single" w:sz="4" w:space="0" w:color="auto"/>
            </w:tcBorders>
            <w:shd w:val="clear" w:color="auto" w:fill="C6D9F1" w:themeFill="text2" w:themeFillTint="33"/>
            <w:vAlign w:val="center"/>
          </w:tcPr>
          <w:p w:rsidR="00CD1430" w:rsidRPr="00A32AF4" w:rsidRDefault="00FD3E7B" w:rsidP="00DC0553">
            <w:pPr>
              <w:keepNext/>
              <w:keepLines/>
              <w:jc w:val="center"/>
              <w:rPr>
                <w:b/>
                <w:bCs/>
                <w:sz w:val="18"/>
                <w:szCs w:val="18"/>
              </w:rPr>
            </w:pPr>
            <w:r w:rsidRPr="00A32AF4">
              <w:rPr>
                <w:b/>
                <w:bCs/>
                <w:sz w:val="18"/>
                <w:szCs w:val="18"/>
              </w:rPr>
              <w:t>Stratégie</w:t>
            </w:r>
            <w:r w:rsidR="0092746A" w:rsidRPr="00A32AF4">
              <w:rPr>
                <w:b/>
                <w:bCs/>
                <w:sz w:val="18"/>
                <w:szCs w:val="18"/>
              </w:rPr>
              <w:t>s</w:t>
            </w:r>
            <w:r w:rsidRPr="00A32AF4">
              <w:rPr>
                <w:b/>
                <w:bCs/>
                <w:sz w:val="18"/>
                <w:szCs w:val="18"/>
              </w:rPr>
              <w:t xml:space="preserve"> d</w:t>
            </w:r>
            <w:r w:rsidR="00E2055A" w:rsidRPr="00A32AF4">
              <w:rPr>
                <w:b/>
                <w:bCs/>
                <w:sz w:val="18"/>
                <w:szCs w:val="18"/>
              </w:rPr>
              <w:t>’</w:t>
            </w:r>
            <w:r w:rsidRPr="00A32AF4">
              <w:rPr>
                <w:b/>
                <w:bCs/>
                <w:sz w:val="18"/>
                <w:szCs w:val="18"/>
              </w:rPr>
              <w:t>atténuation</w:t>
            </w:r>
          </w:p>
        </w:tc>
      </w:tr>
      <w:tr w:rsidR="0038294E" w:rsidRPr="00A32AF4" w:rsidTr="007575E1">
        <w:trPr>
          <w:trHeight w:val="211"/>
        </w:trPr>
        <w:tc>
          <w:tcPr>
            <w:tcW w:w="4111" w:type="dxa"/>
            <w:tcBorders>
              <w:top w:val="single" w:sz="4" w:space="0" w:color="auto"/>
              <w:left w:val="single" w:sz="4" w:space="0" w:color="auto"/>
              <w:bottom w:val="nil"/>
              <w:right w:val="nil"/>
            </w:tcBorders>
            <w:shd w:val="clear" w:color="auto" w:fill="auto"/>
            <w:tcMar>
              <w:top w:w="113" w:type="dxa"/>
              <w:bottom w:w="113" w:type="dxa"/>
            </w:tcMar>
          </w:tcPr>
          <w:p w:rsidR="00CD1430" w:rsidRPr="00A32AF4" w:rsidRDefault="00CD1430" w:rsidP="000F45B2">
            <w:pPr>
              <w:rPr>
                <w:sz w:val="16"/>
                <w:szCs w:val="16"/>
              </w:rPr>
            </w:pPr>
            <w:r w:rsidRPr="00A32AF4">
              <w:rPr>
                <w:sz w:val="16"/>
                <w:szCs w:val="16"/>
              </w:rPr>
              <w:t>Le système de Madrid est considéré comme moins intéressant que la voie nationale dans certaines des parties contractantes désignées.</w:t>
            </w:r>
          </w:p>
        </w:tc>
        <w:tc>
          <w:tcPr>
            <w:tcW w:w="5387" w:type="dxa"/>
            <w:tcBorders>
              <w:top w:val="single" w:sz="4" w:space="0" w:color="auto"/>
              <w:left w:val="nil"/>
              <w:bottom w:val="nil"/>
              <w:right w:val="single" w:sz="4" w:space="0" w:color="auto"/>
            </w:tcBorders>
            <w:shd w:val="clear" w:color="auto" w:fill="auto"/>
            <w:tcMar>
              <w:top w:w="113" w:type="dxa"/>
              <w:bottom w:w="113" w:type="dxa"/>
            </w:tcMar>
          </w:tcPr>
          <w:p w:rsidR="00F93B76" w:rsidRPr="00A32AF4" w:rsidRDefault="00CD1430" w:rsidP="00DC0553">
            <w:pPr>
              <w:rPr>
                <w:sz w:val="16"/>
                <w:szCs w:val="16"/>
              </w:rPr>
            </w:pPr>
            <w:r w:rsidRPr="00A32AF4">
              <w:rPr>
                <w:sz w:val="16"/>
                <w:szCs w:val="16"/>
              </w:rPr>
              <w:t>Renforcer l</w:t>
            </w:r>
            <w:r w:rsidR="00E2055A" w:rsidRPr="00A32AF4">
              <w:rPr>
                <w:sz w:val="16"/>
                <w:szCs w:val="16"/>
              </w:rPr>
              <w:t>’</w:t>
            </w:r>
            <w:r w:rsidRPr="00A32AF4">
              <w:rPr>
                <w:sz w:val="16"/>
                <w:szCs w:val="16"/>
              </w:rPr>
              <w:t>efficacité du système de Madrid grâce à des ajustements juridiques et pratiques qui faciliteront l</w:t>
            </w:r>
            <w:r w:rsidR="00E2055A" w:rsidRPr="00A32AF4">
              <w:rPr>
                <w:sz w:val="16"/>
                <w:szCs w:val="16"/>
              </w:rPr>
              <w:t>’</w:t>
            </w:r>
            <w:r w:rsidRPr="00A32AF4">
              <w:rPr>
                <w:sz w:val="16"/>
                <w:szCs w:val="16"/>
              </w:rPr>
              <w:t>obtention de la protection des marques dans toutes les parties contractantes désignées.</w:t>
            </w:r>
          </w:p>
          <w:p w:rsidR="00F93B76" w:rsidRPr="00A32AF4" w:rsidRDefault="00F93B76" w:rsidP="00DC0553">
            <w:pPr>
              <w:rPr>
                <w:sz w:val="16"/>
                <w:szCs w:val="16"/>
              </w:rPr>
            </w:pPr>
          </w:p>
          <w:p w:rsidR="00CD1430" w:rsidRPr="00A32AF4" w:rsidRDefault="00CD1430" w:rsidP="00DC0553">
            <w:pPr>
              <w:rPr>
                <w:sz w:val="16"/>
                <w:szCs w:val="16"/>
              </w:rPr>
            </w:pPr>
            <w:r w:rsidRPr="00A32AF4">
              <w:rPr>
                <w:sz w:val="16"/>
                <w:szCs w:val="16"/>
              </w:rPr>
              <w:t>Encourager de nouvelles adhésions dans les grands pays et régions.</w:t>
            </w:r>
          </w:p>
        </w:tc>
      </w:tr>
      <w:tr w:rsidR="0038294E" w:rsidRPr="00A32AF4" w:rsidTr="007575E1">
        <w:trPr>
          <w:trHeight w:val="211"/>
        </w:trPr>
        <w:tc>
          <w:tcPr>
            <w:tcW w:w="4111" w:type="dxa"/>
            <w:tcBorders>
              <w:top w:val="nil"/>
              <w:left w:val="single" w:sz="4" w:space="0" w:color="auto"/>
              <w:bottom w:val="nil"/>
              <w:right w:val="nil"/>
            </w:tcBorders>
            <w:shd w:val="clear" w:color="auto" w:fill="auto"/>
            <w:tcMar>
              <w:top w:w="113" w:type="dxa"/>
              <w:bottom w:w="113" w:type="dxa"/>
            </w:tcMar>
          </w:tcPr>
          <w:p w:rsidR="00CD1430" w:rsidRPr="00A32AF4" w:rsidRDefault="00CD1430" w:rsidP="00DC0553">
            <w:pPr>
              <w:rPr>
                <w:sz w:val="16"/>
                <w:szCs w:val="16"/>
              </w:rPr>
            </w:pPr>
            <w:r w:rsidRPr="00A32AF4">
              <w:rPr>
                <w:sz w:val="16"/>
                <w:szCs w:val="16"/>
              </w:rPr>
              <w:t xml:space="preserve">La qualité des services du Bureau international ne correspond pas aux attentes des clients.  </w:t>
            </w:r>
          </w:p>
        </w:tc>
        <w:tc>
          <w:tcPr>
            <w:tcW w:w="5387" w:type="dxa"/>
            <w:tcBorders>
              <w:top w:val="nil"/>
              <w:left w:val="nil"/>
              <w:bottom w:val="nil"/>
              <w:right w:val="single" w:sz="4" w:space="0" w:color="auto"/>
            </w:tcBorders>
            <w:shd w:val="clear" w:color="auto" w:fill="auto"/>
            <w:tcMar>
              <w:top w:w="113" w:type="dxa"/>
              <w:bottom w:w="113" w:type="dxa"/>
            </w:tcMar>
          </w:tcPr>
          <w:p w:rsidR="00CD1430" w:rsidRPr="00A32AF4" w:rsidRDefault="00CD1430" w:rsidP="00DC0553">
            <w:pPr>
              <w:rPr>
                <w:sz w:val="16"/>
                <w:szCs w:val="16"/>
              </w:rPr>
            </w:pPr>
            <w:r w:rsidRPr="00A32AF4">
              <w:rPr>
                <w:sz w:val="16"/>
                <w:szCs w:val="16"/>
              </w:rPr>
              <w:t>Améliorer l</w:t>
            </w:r>
            <w:r w:rsidR="00E2055A" w:rsidRPr="00A32AF4">
              <w:rPr>
                <w:sz w:val="16"/>
                <w:szCs w:val="16"/>
              </w:rPr>
              <w:t>’</w:t>
            </w:r>
            <w:r w:rsidRPr="00A32AF4">
              <w:rPr>
                <w:sz w:val="16"/>
                <w:szCs w:val="16"/>
              </w:rPr>
              <w:t xml:space="preserve">adéquation des compétences du </w:t>
            </w:r>
            <w:proofErr w:type="gramStart"/>
            <w:r w:rsidRPr="00A32AF4">
              <w:rPr>
                <w:sz w:val="16"/>
                <w:szCs w:val="16"/>
              </w:rPr>
              <w:t>personnel;</w:t>
            </w:r>
            <w:proofErr w:type="gramEnd"/>
            <w:r w:rsidRPr="00A32AF4">
              <w:rPr>
                <w:sz w:val="16"/>
                <w:szCs w:val="16"/>
              </w:rPr>
              <w:t xml:space="preserve">  améliorer l</w:t>
            </w:r>
            <w:r w:rsidR="00E2055A" w:rsidRPr="00A32AF4">
              <w:rPr>
                <w:sz w:val="16"/>
                <w:szCs w:val="16"/>
              </w:rPr>
              <w:t>’</w:t>
            </w:r>
            <w:r w:rsidRPr="00A32AF4">
              <w:rPr>
                <w:sz w:val="16"/>
                <w:szCs w:val="16"/>
              </w:rPr>
              <w:t xml:space="preserve">homogénéité des méthodes opérationnelles et leur conformité au cadre juridique;  renforcer davantage les procédures du contrôle qualité;  et appuyer la formation.  </w:t>
            </w:r>
          </w:p>
        </w:tc>
      </w:tr>
      <w:tr w:rsidR="00CD1430" w:rsidRPr="00A32AF4" w:rsidTr="007575E1">
        <w:trPr>
          <w:trHeight w:val="211"/>
        </w:trPr>
        <w:tc>
          <w:tcPr>
            <w:tcW w:w="4111" w:type="dxa"/>
            <w:tcBorders>
              <w:top w:val="nil"/>
              <w:left w:val="single" w:sz="4" w:space="0" w:color="auto"/>
              <w:bottom w:val="single" w:sz="4" w:space="0" w:color="auto"/>
              <w:right w:val="nil"/>
            </w:tcBorders>
            <w:shd w:val="clear" w:color="auto" w:fill="auto"/>
            <w:tcMar>
              <w:top w:w="113" w:type="dxa"/>
              <w:bottom w:w="113" w:type="dxa"/>
            </w:tcMar>
          </w:tcPr>
          <w:p w:rsidR="00CD1430" w:rsidRPr="00A32AF4" w:rsidRDefault="00CD1430" w:rsidP="00DC0553">
            <w:pPr>
              <w:rPr>
                <w:sz w:val="16"/>
                <w:szCs w:val="16"/>
              </w:rPr>
            </w:pPr>
            <w:r w:rsidRPr="00A32AF4">
              <w:rPr>
                <w:sz w:val="16"/>
                <w:szCs w:val="16"/>
              </w:rPr>
              <w:t>Indisponibilité prolongée des opérations au Bureau international.</w:t>
            </w:r>
          </w:p>
        </w:tc>
        <w:tc>
          <w:tcPr>
            <w:tcW w:w="5387" w:type="dxa"/>
            <w:tcBorders>
              <w:top w:val="nil"/>
              <w:left w:val="nil"/>
              <w:bottom w:val="single" w:sz="4" w:space="0" w:color="auto"/>
              <w:right w:val="single" w:sz="4" w:space="0" w:color="auto"/>
            </w:tcBorders>
            <w:shd w:val="clear" w:color="auto" w:fill="auto"/>
            <w:tcMar>
              <w:top w:w="113" w:type="dxa"/>
              <w:bottom w:w="113" w:type="dxa"/>
            </w:tcMar>
          </w:tcPr>
          <w:p w:rsidR="00CD1430" w:rsidRPr="00A32AF4" w:rsidRDefault="00CD1430" w:rsidP="00DC0553">
            <w:pPr>
              <w:rPr>
                <w:sz w:val="16"/>
                <w:szCs w:val="16"/>
              </w:rPr>
            </w:pPr>
            <w:r w:rsidRPr="00A32AF4">
              <w:rPr>
                <w:sz w:val="16"/>
                <w:szCs w:val="16"/>
              </w:rPr>
              <w:t>Renforcer davantage le plan de continuité des opérations du Bureau international.</w:t>
            </w:r>
          </w:p>
        </w:tc>
      </w:tr>
    </w:tbl>
    <w:p w:rsidR="00F93B76" w:rsidRPr="00A32AF4" w:rsidRDefault="00F93B76" w:rsidP="00DC0553"/>
    <w:p w:rsidR="00F93B76" w:rsidRPr="00A32AF4" w:rsidRDefault="00F93B76" w:rsidP="00DC0553"/>
    <w:p w:rsidR="00F93B76" w:rsidRPr="00A32AF4" w:rsidRDefault="002E0570" w:rsidP="00DC0553">
      <w:r w:rsidRPr="00A32AF4">
        <w:t>TABLEAU DES RÉSULTATS</w:t>
      </w:r>
    </w:p>
    <w:p w:rsidR="00CD1430" w:rsidRPr="00A32AF4" w:rsidRDefault="00CD1430" w:rsidP="00DC0553"/>
    <w:tbl>
      <w:tblPr>
        <w:tblW w:w="9371" w:type="dxa"/>
        <w:tblInd w:w="9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60"/>
        <w:gridCol w:w="2500"/>
        <w:gridCol w:w="2620"/>
        <w:gridCol w:w="2191"/>
      </w:tblGrid>
      <w:tr w:rsidR="0038294E" w:rsidRPr="00A32AF4" w:rsidTr="002E0570">
        <w:trPr>
          <w:cantSplit/>
          <w:tblHeader/>
        </w:trPr>
        <w:tc>
          <w:tcPr>
            <w:tcW w:w="2060" w:type="dxa"/>
            <w:tcBorders>
              <w:top w:val="single" w:sz="4" w:space="0" w:color="auto"/>
              <w:bottom w:val="single" w:sz="4" w:space="0" w:color="auto"/>
            </w:tcBorders>
            <w:shd w:val="clear" w:color="auto" w:fill="C6D9F1" w:themeFill="text2" w:themeFillTint="33"/>
            <w:tcMar>
              <w:top w:w="113" w:type="dxa"/>
              <w:bottom w:w="113" w:type="dxa"/>
            </w:tcMar>
            <w:vAlign w:val="center"/>
            <w:hideMark/>
          </w:tcPr>
          <w:p w:rsidR="00CD1430" w:rsidRPr="00A32AF4" w:rsidRDefault="00CD1430" w:rsidP="00DC0553">
            <w:pPr>
              <w:jc w:val="center"/>
              <w:rPr>
                <w:b/>
                <w:bCs/>
                <w:sz w:val="18"/>
                <w:szCs w:val="18"/>
              </w:rPr>
            </w:pPr>
            <w:r w:rsidRPr="00A32AF4">
              <w:rPr>
                <w:rFonts w:eastAsia="SimSun"/>
                <w:b/>
                <w:bCs/>
                <w:sz w:val="18"/>
              </w:rPr>
              <w:t>Résultats escomptés</w:t>
            </w:r>
          </w:p>
        </w:tc>
        <w:tc>
          <w:tcPr>
            <w:tcW w:w="2500" w:type="dxa"/>
            <w:tcBorders>
              <w:top w:val="single" w:sz="4" w:space="0" w:color="auto"/>
              <w:bottom w:val="single" w:sz="4" w:space="0" w:color="auto"/>
            </w:tcBorders>
            <w:shd w:val="clear" w:color="auto" w:fill="C6D9F1" w:themeFill="text2" w:themeFillTint="33"/>
            <w:tcMar>
              <w:top w:w="113" w:type="dxa"/>
              <w:bottom w:w="113" w:type="dxa"/>
            </w:tcMar>
            <w:vAlign w:val="center"/>
            <w:hideMark/>
          </w:tcPr>
          <w:p w:rsidR="00CD1430" w:rsidRPr="00A32AF4" w:rsidRDefault="00CD1430" w:rsidP="00DC0553">
            <w:pPr>
              <w:jc w:val="center"/>
              <w:rPr>
                <w:b/>
                <w:bCs/>
                <w:sz w:val="18"/>
                <w:szCs w:val="18"/>
              </w:rPr>
            </w:pPr>
            <w:r w:rsidRPr="00A32AF4">
              <w:rPr>
                <w:rFonts w:eastAsia="SimSun"/>
                <w:b/>
                <w:bCs/>
                <w:sz w:val="18"/>
              </w:rPr>
              <w:t>Indicateurs d</w:t>
            </w:r>
            <w:r w:rsidR="00E2055A" w:rsidRPr="00A32AF4">
              <w:rPr>
                <w:rFonts w:eastAsia="SimSun"/>
                <w:b/>
                <w:bCs/>
                <w:sz w:val="18"/>
              </w:rPr>
              <w:t>’</w:t>
            </w:r>
            <w:r w:rsidRPr="00A32AF4">
              <w:rPr>
                <w:rFonts w:eastAsia="SimSun"/>
                <w:b/>
                <w:bCs/>
                <w:sz w:val="18"/>
              </w:rPr>
              <w:t>exécution</w:t>
            </w:r>
          </w:p>
        </w:tc>
        <w:tc>
          <w:tcPr>
            <w:tcW w:w="2620" w:type="dxa"/>
            <w:tcBorders>
              <w:top w:val="single" w:sz="4" w:space="0" w:color="auto"/>
              <w:bottom w:val="single" w:sz="4" w:space="0" w:color="auto"/>
            </w:tcBorders>
            <w:shd w:val="clear" w:color="auto" w:fill="C6D9F1" w:themeFill="text2" w:themeFillTint="33"/>
            <w:tcMar>
              <w:top w:w="113" w:type="dxa"/>
              <w:bottom w:w="113" w:type="dxa"/>
            </w:tcMar>
            <w:vAlign w:val="center"/>
            <w:hideMark/>
          </w:tcPr>
          <w:p w:rsidR="00CD1430" w:rsidRPr="00A32AF4" w:rsidRDefault="00CD1430" w:rsidP="00DC0553">
            <w:pPr>
              <w:jc w:val="center"/>
              <w:rPr>
                <w:b/>
                <w:bCs/>
                <w:sz w:val="18"/>
                <w:szCs w:val="18"/>
              </w:rPr>
            </w:pPr>
            <w:r w:rsidRPr="00A32AF4">
              <w:rPr>
                <w:rFonts w:eastAsia="SimSun"/>
                <w:b/>
                <w:bCs/>
                <w:sz w:val="18"/>
              </w:rPr>
              <w:t>Niveaux de référence</w:t>
            </w:r>
          </w:p>
        </w:tc>
        <w:tc>
          <w:tcPr>
            <w:tcW w:w="2191" w:type="dxa"/>
            <w:tcBorders>
              <w:top w:val="single" w:sz="4" w:space="0" w:color="auto"/>
              <w:bottom w:val="single" w:sz="4" w:space="0" w:color="auto"/>
            </w:tcBorders>
            <w:shd w:val="clear" w:color="auto" w:fill="C6D9F1" w:themeFill="text2" w:themeFillTint="33"/>
            <w:tcMar>
              <w:top w:w="113" w:type="dxa"/>
              <w:bottom w:w="113" w:type="dxa"/>
            </w:tcMar>
            <w:vAlign w:val="center"/>
            <w:hideMark/>
          </w:tcPr>
          <w:p w:rsidR="00CD1430" w:rsidRPr="00A32AF4" w:rsidRDefault="00CD1430" w:rsidP="00DC0553">
            <w:pPr>
              <w:jc w:val="center"/>
              <w:rPr>
                <w:b/>
                <w:bCs/>
                <w:sz w:val="18"/>
                <w:szCs w:val="18"/>
              </w:rPr>
            </w:pPr>
            <w:r w:rsidRPr="00A32AF4">
              <w:rPr>
                <w:rFonts w:eastAsia="SimSun"/>
                <w:b/>
                <w:bCs/>
                <w:sz w:val="18"/>
              </w:rPr>
              <w:t>Objectifs visés</w:t>
            </w:r>
          </w:p>
        </w:tc>
      </w:tr>
      <w:tr w:rsidR="0038294E" w:rsidRPr="00A32AF4" w:rsidTr="002E0570">
        <w:trPr>
          <w:cantSplit/>
        </w:trPr>
        <w:tc>
          <w:tcPr>
            <w:tcW w:w="2060" w:type="dxa"/>
            <w:tcBorders>
              <w:top w:val="single" w:sz="4" w:space="0" w:color="auto"/>
            </w:tcBorders>
            <w:shd w:val="clear" w:color="000000" w:fill="FFFFFF"/>
            <w:tcMar>
              <w:top w:w="113" w:type="dxa"/>
              <w:bottom w:w="113" w:type="dxa"/>
            </w:tcMar>
            <w:hideMark/>
          </w:tcPr>
          <w:p w:rsidR="00CD1430" w:rsidRPr="00A32AF4" w:rsidRDefault="00CD1430" w:rsidP="00CA4A87">
            <w:pPr>
              <w:rPr>
                <w:sz w:val="16"/>
                <w:szCs w:val="16"/>
              </w:rPr>
            </w:pPr>
            <w:r w:rsidRPr="00A32AF4">
              <w:rPr>
                <w:sz w:val="16"/>
                <w:szCs w:val="16"/>
              </w:rPr>
              <w:t xml:space="preserve">II.6 </w:t>
            </w:r>
            <w:r w:rsidR="00570B48" w:rsidRPr="00A32AF4">
              <w:rPr>
                <w:sz w:val="16"/>
                <w:szCs w:val="16"/>
              </w:rPr>
              <w:t>Utilisation élargie et plus efficace d</w:t>
            </w:r>
            <w:r w:rsidR="00CA4A87" w:rsidRPr="00A32AF4">
              <w:rPr>
                <w:sz w:val="16"/>
                <w:szCs w:val="16"/>
              </w:rPr>
              <w:t>u système</w:t>
            </w:r>
            <w:r w:rsidR="00570B48" w:rsidRPr="00A32AF4">
              <w:rPr>
                <w:sz w:val="16"/>
                <w:szCs w:val="16"/>
              </w:rPr>
              <w:t xml:space="preserve"> de Madrid, notamment par les pays en développement et les PMA</w:t>
            </w:r>
          </w:p>
        </w:tc>
        <w:tc>
          <w:tcPr>
            <w:tcW w:w="2500" w:type="dxa"/>
            <w:tcBorders>
              <w:top w:val="single" w:sz="4" w:space="0" w:color="auto"/>
            </w:tcBorders>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 xml:space="preserve">Nombre total des membres du système de Madrid </w:t>
            </w:r>
            <w:r w:rsidRPr="00A32AF4">
              <w:rPr>
                <w:sz w:val="16"/>
                <w:szCs w:val="16"/>
              </w:rPr>
              <w:br/>
            </w:r>
            <w:r w:rsidRPr="00A32AF4">
              <w:rPr>
                <w:sz w:val="16"/>
                <w:szCs w:val="16"/>
              </w:rPr>
              <w:br/>
              <w:t>Part de marché (c.</w:t>
            </w:r>
            <w:r w:rsidR="00EB7F54" w:rsidRPr="00A32AF4">
              <w:rPr>
                <w:sz w:val="16"/>
                <w:szCs w:val="16"/>
              </w:rPr>
              <w:noBreakHyphen/>
            </w:r>
            <w:r w:rsidRPr="00A32AF4">
              <w:rPr>
                <w:sz w:val="16"/>
                <w:szCs w:val="16"/>
              </w:rPr>
              <w:t>à</w:t>
            </w:r>
            <w:r w:rsidR="00EB7F54" w:rsidRPr="00A32AF4">
              <w:rPr>
                <w:sz w:val="16"/>
                <w:szCs w:val="16"/>
              </w:rPr>
              <w:noBreakHyphen/>
            </w:r>
            <w:r w:rsidRPr="00A32AF4">
              <w:rPr>
                <w:sz w:val="16"/>
                <w:szCs w:val="16"/>
              </w:rPr>
              <w:t xml:space="preserve">d. la voie nationale par rapport à la voie de Madrid) </w:t>
            </w:r>
            <w:r w:rsidR="00D92354" w:rsidRPr="00A32AF4">
              <w:rPr>
                <w:rFonts w:cs="Arial"/>
                <w:color w:val="000000"/>
                <w:sz w:val="16"/>
                <w:szCs w:val="16"/>
              </w:rPr>
              <w:t>(Madrid)</w:t>
            </w:r>
          </w:p>
        </w:tc>
        <w:tc>
          <w:tcPr>
            <w:tcW w:w="2620" w:type="dxa"/>
            <w:tcBorders>
              <w:top w:val="single" w:sz="4" w:space="0" w:color="auto"/>
            </w:tcBorders>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95 membres (au 15 avril 2015)</w:t>
            </w:r>
            <w:r w:rsidRPr="00A32AF4">
              <w:rPr>
                <w:sz w:val="16"/>
                <w:szCs w:val="16"/>
              </w:rPr>
              <w:br/>
            </w:r>
            <w:r w:rsidRPr="00A32AF4">
              <w:rPr>
                <w:sz w:val="16"/>
                <w:szCs w:val="16"/>
              </w:rPr>
              <w:br/>
              <w:t xml:space="preserve">63,4% de part de marché (au 31 décembre 2012) </w:t>
            </w:r>
          </w:p>
        </w:tc>
        <w:tc>
          <w:tcPr>
            <w:tcW w:w="2191" w:type="dxa"/>
            <w:tcBorders>
              <w:top w:val="single" w:sz="4" w:space="0" w:color="auto"/>
            </w:tcBorders>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103</w:t>
            </w:r>
            <w:r w:rsidRPr="00A32AF4">
              <w:rPr>
                <w:sz w:val="16"/>
                <w:szCs w:val="16"/>
              </w:rPr>
              <w:br/>
            </w:r>
            <w:r w:rsidRPr="00A32AF4">
              <w:rPr>
                <w:sz w:val="16"/>
                <w:szCs w:val="16"/>
              </w:rPr>
              <w:br/>
            </w:r>
            <w:r w:rsidRPr="00A32AF4">
              <w:rPr>
                <w:sz w:val="16"/>
                <w:szCs w:val="16"/>
              </w:rPr>
              <w:br/>
              <w:t xml:space="preserve">Croissance de la part de marché </w:t>
            </w:r>
          </w:p>
        </w:tc>
      </w:tr>
      <w:tr w:rsidR="0038294E" w:rsidRPr="00A32AF4" w:rsidTr="002E0570">
        <w:trPr>
          <w:cantSplit/>
        </w:trPr>
        <w:tc>
          <w:tcPr>
            <w:tcW w:w="2060" w:type="dxa"/>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 </w:t>
            </w:r>
          </w:p>
        </w:tc>
        <w:tc>
          <w:tcPr>
            <w:tcW w:w="2500" w:type="dxa"/>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 xml:space="preserve">Taux de dépôt </w:t>
            </w:r>
            <w:r w:rsidR="00D92354" w:rsidRPr="00A32AF4">
              <w:rPr>
                <w:rFonts w:cs="Arial"/>
                <w:color w:val="000000"/>
                <w:sz w:val="16"/>
                <w:szCs w:val="16"/>
              </w:rPr>
              <w:t>(Madrid)</w:t>
            </w:r>
          </w:p>
        </w:tc>
        <w:tc>
          <w:tcPr>
            <w:tcW w:w="2620" w:type="dxa"/>
            <w:shd w:val="clear" w:color="000000" w:fill="FFFFFF"/>
            <w:tcMar>
              <w:top w:w="113" w:type="dxa"/>
              <w:bottom w:w="113" w:type="dxa"/>
            </w:tcMar>
            <w:hideMark/>
          </w:tcPr>
          <w:p w:rsidR="00F93B76" w:rsidRPr="00A32AF4" w:rsidRDefault="00CD1430" w:rsidP="00DC0553">
            <w:pPr>
              <w:rPr>
                <w:sz w:val="16"/>
                <w:szCs w:val="16"/>
              </w:rPr>
            </w:pPr>
            <w:r w:rsidRPr="00A32AF4">
              <w:rPr>
                <w:sz w:val="16"/>
                <w:szCs w:val="16"/>
              </w:rPr>
              <w:t>47 885 demandes</w:t>
            </w:r>
          </w:p>
          <w:p w:rsidR="00CD1430" w:rsidRPr="00A32AF4" w:rsidRDefault="00CD1430" w:rsidP="00DC0553">
            <w:pPr>
              <w:rPr>
                <w:sz w:val="16"/>
                <w:szCs w:val="16"/>
              </w:rPr>
            </w:pPr>
            <w:r w:rsidRPr="00A32AF4">
              <w:rPr>
                <w:sz w:val="16"/>
                <w:szCs w:val="16"/>
              </w:rPr>
              <w:t>Taux de dépôt : 2,3% (au 31 décembre 2014)</w:t>
            </w:r>
          </w:p>
        </w:tc>
        <w:tc>
          <w:tcPr>
            <w:tcW w:w="2191" w:type="dxa"/>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 xml:space="preserve">2016 : + 4,6% taux de dépôt </w:t>
            </w:r>
            <w:r w:rsidRPr="00A32AF4">
              <w:rPr>
                <w:sz w:val="16"/>
                <w:szCs w:val="16"/>
              </w:rPr>
              <w:br/>
              <w:t>2017 : + 2,3% taux de dépôt</w:t>
            </w:r>
          </w:p>
        </w:tc>
      </w:tr>
      <w:tr w:rsidR="0038294E" w:rsidRPr="00A32AF4" w:rsidTr="002E0570">
        <w:trPr>
          <w:cantSplit/>
        </w:trPr>
        <w:tc>
          <w:tcPr>
            <w:tcW w:w="2060" w:type="dxa"/>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 </w:t>
            </w:r>
          </w:p>
        </w:tc>
        <w:tc>
          <w:tcPr>
            <w:tcW w:w="2500" w:type="dxa"/>
            <w:shd w:val="clear" w:color="000000" w:fill="FFFFFF"/>
            <w:tcMar>
              <w:top w:w="113" w:type="dxa"/>
              <w:bottom w:w="113" w:type="dxa"/>
            </w:tcMar>
            <w:hideMark/>
          </w:tcPr>
          <w:p w:rsidR="00F93B76" w:rsidRPr="00A32AF4" w:rsidRDefault="00CD1430" w:rsidP="00DC0553">
            <w:pPr>
              <w:rPr>
                <w:sz w:val="16"/>
                <w:szCs w:val="16"/>
              </w:rPr>
            </w:pPr>
            <w:r w:rsidRPr="00A32AF4">
              <w:rPr>
                <w:sz w:val="16"/>
                <w:szCs w:val="16"/>
              </w:rPr>
              <w:t>Enregistrements</w:t>
            </w:r>
            <w:r w:rsidR="00D92354" w:rsidRPr="00A32AF4">
              <w:rPr>
                <w:sz w:val="16"/>
                <w:szCs w:val="16"/>
              </w:rPr>
              <w:t xml:space="preserve"> </w:t>
            </w:r>
            <w:r w:rsidR="00D92354" w:rsidRPr="00A32AF4">
              <w:rPr>
                <w:rFonts w:cs="Arial"/>
                <w:color w:val="000000"/>
                <w:sz w:val="16"/>
                <w:szCs w:val="16"/>
              </w:rPr>
              <w:t>(Madrid)</w:t>
            </w:r>
          </w:p>
          <w:p w:rsidR="00F93B76" w:rsidRPr="00A32AF4" w:rsidRDefault="00F93B76" w:rsidP="00DC0553">
            <w:pPr>
              <w:rPr>
                <w:sz w:val="16"/>
                <w:szCs w:val="16"/>
              </w:rPr>
            </w:pPr>
          </w:p>
          <w:p w:rsidR="00F93B76" w:rsidRPr="00A32AF4" w:rsidRDefault="00F93B76" w:rsidP="00DC0553">
            <w:pPr>
              <w:rPr>
                <w:sz w:val="16"/>
                <w:szCs w:val="16"/>
              </w:rPr>
            </w:pPr>
          </w:p>
          <w:p w:rsidR="00F93B76" w:rsidRPr="00A32AF4" w:rsidRDefault="00CD1430" w:rsidP="00DC0553">
            <w:pPr>
              <w:rPr>
                <w:sz w:val="16"/>
                <w:szCs w:val="16"/>
              </w:rPr>
            </w:pPr>
            <w:r w:rsidRPr="00A32AF4">
              <w:rPr>
                <w:sz w:val="16"/>
                <w:szCs w:val="16"/>
              </w:rPr>
              <w:t>Renouvellements</w:t>
            </w:r>
            <w:r w:rsidR="00D92354" w:rsidRPr="00A32AF4">
              <w:rPr>
                <w:sz w:val="16"/>
                <w:szCs w:val="16"/>
              </w:rPr>
              <w:t xml:space="preserve"> </w:t>
            </w:r>
            <w:r w:rsidR="00D92354" w:rsidRPr="00A32AF4">
              <w:rPr>
                <w:rFonts w:cs="Arial"/>
                <w:color w:val="000000"/>
                <w:sz w:val="16"/>
                <w:szCs w:val="16"/>
              </w:rPr>
              <w:t>(Madrid)</w:t>
            </w:r>
          </w:p>
          <w:p w:rsidR="00F93B76" w:rsidRPr="00A32AF4" w:rsidRDefault="00F93B76" w:rsidP="00DC0553">
            <w:pPr>
              <w:rPr>
                <w:sz w:val="16"/>
                <w:szCs w:val="16"/>
              </w:rPr>
            </w:pPr>
          </w:p>
          <w:p w:rsidR="00F93B76" w:rsidRPr="00A32AF4" w:rsidRDefault="00F93B76" w:rsidP="00DC0553">
            <w:pPr>
              <w:rPr>
                <w:sz w:val="16"/>
                <w:szCs w:val="16"/>
              </w:rPr>
            </w:pPr>
          </w:p>
          <w:p w:rsidR="00CD1430" w:rsidRPr="00A32AF4" w:rsidRDefault="00CD1430" w:rsidP="00DC0553">
            <w:pPr>
              <w:rPr>
                <w:sz w:val="16"/>
                <w:szCs w:val="16"/>
              </w:rPr>
            </w:pPr>
            <w:r w:rsidRPr="00A32AF4">
              <w:rPr>
                <w:sz w:val="16"/>
                <w:szCs w:val="16"/>
              </w:rPr>
              <w:t>Nombre total d</w:t>
            </w:r>
            <w:r w:rsidR="00E2055A" w:rsidRPr="00A32AF4">
              <w:rPr>
                <w:sz w:val="16"/>
                <w:szCs w:val="16"/>
              </w:rPr>
              <w:t>’</w:t>
            </w:r>
            <w:r w:rsidRPr="00A32AF4">
              <w:rPr>
                <w:sz w:val="16"/>
                <w:szCs w:val="16"/>
              </w:rPr>
              <w:t>enregistrements</w:t>
            </w:r>
            <w:r w:rsidR="00D92354" w:rsidRPr="00A32AF4">
              <w:rPr>
                <w:sz w:val="16"/>
                <w:szCs w:val="16"/>
              </w:rPr>
              <w:t xml:space="preserve"> </w:t>
            </w:r>
            <w:r w:rsidR="00D92354" w:rsidRPr="00A32AF4">
              <w:rPr>
                <w:rFonts w:cs="Arial"/>
                <w:color w:val="000000"/>
                <w:sz w:val="16"/>
                <w:szCs w:val="16"/>
              </w:rPr>
              <w:t>(Madrid)</w:t>
            </w:r>
            <w:r w:rsidRPr="00A32AF4">
              <w:rPr>
                <w:sz w:val="16"/>
                <w:szCs w:val="16"/>
              </w:rPr>
              <w:t xml:space="preserve"> </w:t>
            </w:r>
            <w:r w:rsidRPr="00A32AF4">
              <w:rPr>
                <w:sz w:val="16"/>
                <w:szCs w:val="16"/>
              </w:rPr>
              <w:br/>
            </w:r>
            <w:r w:rsidRPr="00A32AF4">
              <w:rPr>
                <w:sz w:val="16"/>
                <w:szCs w:val="16"/>
              </w:rPr>
              <w:br/>
            </w:r>
            <w:r w:rsidRPr="00A32AF4">
              <w:rPr>
                <w:sz w:val="16"/>
                <w:szCs w:val="16"/>
              </w:rPr>
              <w:br/>
              <w:t xml:space="preserve">Nombre total de désignations </w:t>
            </w:r>
            <w:r w:rsidR="00D92354" w:rsidRPr="00A32AF4">
              <w:rPr>
                <w:rFonts w:cs="Arial"/>
                <w:color w:val="000000"/>
                <w:sz w:val="16"/>
                <w:szCs w:val="16"/>
              </w:rPr>
              <w:t>(Madrid)</w:t>
            </w:r>
          </w:p>
        </w:tc>
        <w:tc>
          <w:tcPr>
            <w:tcW w:w="2620" w:type="dxa"/>
            <w:shd w:val="clear" w:color="000000" w:fill="FFFFFF"/>
            <w:tcMar>
              <w:top w:w="113" w:type="dxa"/>
              <w:bottom w:w="113" w:type="dxa"/>
            </w:tcMar>
            <w:hideMark/>
          </w:tcPr>
          <w:p w:rsidR="00F93B76" w:rsidRPr="00A32AF4" w:rsidRDefault="00CD1430" w:rsidP="00DC0553">
            <w:pPr>
              <w:rPr>
                <w:sz w:val="16"/>
                <w:szCs w:val="16"/>
              </w:rPr>
            </w:pPr>
            <w:r w:rsidRPr="00A32AF4">
              <w:rPr>
                <w:sz w:val="16"/>
                <w:szCs w:val="16"/>
              </w:rPr>
              <w:t>42 430 (2014)</w:t>
            </w:r>
          </w:p>
          <w:p w:rsidR="00F93B76" w:rsidRPr="00A32AF4" w:rsidRDefault="00F93B76" w:rsidP="00DC0553">
            <w:pPr>
              <w:rPr>
                <w:sz w:val="16"/>
                <w:szCs w:val="16"/>
              </w:rPr>
            </w:pPr>
          </w:p>
          <w:p w:rsidR="00F93B76" w:rsidRPr="00A32AF4" w:rsidRDefault="00F93B76" w:rsidP="00DC0553">
            <w:pPr>
              <w:rPr>
                <w:sz w:val="16"/>
                <w:szCs w:val="16"/>
              </w:rPr>
            </w:pPr>
          </w:p>
          <w:p w:rsidR="00F93B76" w:rsidRPr="00A32AF4" w:rsidRDefault="00CD1430" w:rsidP="00DC0553">
            <w:pPr>
              <w:rPr>
                <w:sz w:val="16"/>
                <w:szCs w:val="16"/>
              </w:rPr>
            </w:pPr>
            <w:r w:rsidRPr="00A32AF4">
              <w:rPr>
                <w:sz w:val="16"/>
                <w:szCs w:val="16"/>
              </w:rPr>
              <w:t>25 729 (2014)</w:t>
            </w:r>
          </w:p>
          <w:p w:rsidR="00F93B76" w:rsidRPr="00A32AF4" w:rsidRDefault="00F93B76" w:rsidP="00DC0553">
            <w:pPr>
              <w:rPr>
                <w:sz w:val="16"/>
                <w:szCs w:val="16"/>
              </w:rPr>
            </w:pPr>
          </w:p>
          <w:p w:rsidR="00F93B76" w:rsidRPr="00A32AF4" w:rsidRDefault="00F93B76" w:rsidP="00DC0553">
            <w:pPr>
              <w:rPr>
                <w:sz w:val="16"/>
                <w:szCs w:val="16"/>
              </w:rPr>
            </w:pPr>
          </w:p>
          <w:p w:rsidR="00F93B76" w:rsidRPr="00A32AF4" w:rsidRDefault="00CD1430" w:rsidP="00DC0553">
            <w:pPr>
              <w:rPr>
                <w:sz w:val="16"/>
                <w:szCs w:val="16"/>
              </w:rPr>
            </w:pPr>
            <w:r w:rsidRPr="00A32AF4">
              <w:rPr>
                <w:sz w:val="16"/>
                <w:szCs w:val="16"/>
              </w:rPr>
              <w:t>594 477 registrations</w:t>
            </w:r>
          </w:p>
          <w:p w:rsidR="00F93B76" w:rsidRPr="00A32AF4" w:rsidRDefault="00CD1430" w:rsidP="00DC0553">
            <w:pPr>
              <w:rPr>
                <w:sz w:val="16"/>
                <w:szCs w:val="16"/>
              </w:rPr>
            </w:pPr>
            <w:r w:rsidRPr="00A32AF4">
              <w:rPr>
                <w:sz w:val="16"/>
                <w:szCs w:val="16"/>
              </w:rPr>
              <w:t>(au 31 décembre 2014)</w:t>
            </w:r>
            <w:r w:rsidRPr="00A32AF4">
              <w:rPr>
                <w:sz w:val="16"/>
                <w:szCs w:val="16"/>
              </w:rPr>
              <w:br/>
            </w:r>
            <w:r w:rsidRPr="00A32AF4">
              <w:rPr>
                <w:sz w:val="16"/>
                <w:szCs w:val="16"/>
              </w:rPr>
              <w:br/>
              <w:t>5,61 millions de désignations</w:t>
            </w:r>
          </w:p>
          <w:p w:rsidR="00CD1430" w:rsidRPr="00A32AF4" w:rsidRDefault="00CD1430" w:rsidP="00DC0553">
            <w:pPr>
              <w:rPr>
                <w:sz w:val="16"/>
                <w:szCs w:val="16"/>
              </w:rPr>
            </w:pPr>
            <w:r w:rsidRPr="00A32AF4">
              <w:rPr>
                <w:sz w:val="16"/>
                <w:szCs w:val="16"/>
              </w:rPr>
              <w:t>(au 31 décembre 2014)</w:t>
            </w:r>
          </w:p>
        </w:tc>
        <w:tc>
          <w:tcPr>
            <w:tcW w:w="2191" w:type="dxa"/>
            <w:shd w:val="clear" w:color="000000" w:fill="FFFFFF"/>
            <w:tcMar>
              <w:top w:w="113" w:type="dxa"/>
              <w:bottom w:w="113" w:type="dxa"/>
            </w:tcMar>
            <w:hideMark/>
          </w:tcPr>
          <w:p w:rsidR="00F93B76" w:rsidRPr="00A32AF4" w:rsidRDefault="00CD1430" w:rsidP="00DC0553">
            <w:pPr>
              <w:rPr>
                <w:sz w:val="16"/>
                <w:szCs w:val="16"/>
              </w:rPr>
            </w:pPr>
            <w:r w:rsidRPr="00A32AF4">
              <w:rPr>
                <w:sz w:val="16"/>
                <w:szCs w:val="16"/>
              </w:rPr>
              <w:t>47 387 (2016)</w:t>
            </w:r>
          </w:p>
          <w:p w:rsidR="00F93B76" w:rsidRPr="00A32AF4" w:rsidRDefault="00CD1430" w:rsidP="00DC0553">
            <w:pPr>
              <w:rPr>
                <w:sz w:val="16"/>
                <w:szCs w:val="16"/>
              </w:rPr>
            </w:pPr>
            <w:r w:rsidRPr="00A32AF4">
              <w:rPr>
                <w:sz w:val="16"/>
                <w:szCs w:val="16"/>
              </w:rPr>
              <w:t>48 652 (2017)</w:t>
            </w:r>
          </w:p>
          <w:p w:rsidR="00F93B76" w:rsidRPr="00A32AF4" w:rsidRDefault="00CD1430" w:rsidP="00DC0553">
            <w:pPr>
              <w:rPr>
                <w:sz w:val="16"/>
                <w:szCs w:val="16"/>
              </w:rPr>
            </w:pPr>
            <w:r w:rsidRPr="00A32AF4">
              <w:rPr>
                <w:sz w:val="16"/>
                <w:szCs w:val="16"/>
              </w:rPr>
              <w:t>29 850 (2016)</w:t>
            </w:r>
          </w:p>
          <w:p w:rsidR="00F93B76" w:rsidRPr="00A32AF4" w:rsidRDefault="00CD1430" w:rsidP="00DC0553">
            <w:pPr>
              <w:rPr>
                <w:sz w:val="16"/>
                <w:szCs w:val="16"/>
              </w:rPr>
            </w:pPr>
            <w:r w:rsidRPr="00A32AF4">
              <w:rPr>
                <w:sz w:val="16"/>
                <w:szCs w:val="16"/>
              </w:rPr>
              <w:t>31 020 (2017)</w:t>
            </w:r>
          </w:p>
          <w:p w:rsidR="00F93B76" w:rsidRPr="00A32AF4" w:rsidRDefault="00F93B76" w:rsidP="00DC0553">
            <w:pPr>
              <w:rPr>
                <w:sz w:val="16"/>
                <w:szCs w:val="16"/>
              </w:rPr>
            </w:pPr>
          </w:p>
          <w:p w:rsidR="00CD1430" w:rsidRPr="00A32AF4" w:rsidRDefault="00CD1430" w:rsidP="00DC0553">
            <w:pPr>
              <w:rPr>
                <w:sz w:val="16"/>
                <w:szCs w:val="16"/>
              </w:rPr>
            </w:pPr>
            <w:r w:rsidRPr="00A32AF4">
              <w:rPr>
                <w:sz w:val="16"/>
                <w:szCs w:val="16"/>
              </w:rPr>
              <w:t>2016 : 630 000 enregistrements</w:t>
            </w:r>
            <w:r w:rsidRPr="00A32AF4">
              <w:rPr>
                <w:sz w:val="16"/>
                <w:szCs w:val="16"/>
              </w:rPr>
              <w:br/>
              <w:t>2017 : 650 000 enregistrements</w:t>
            </w:r>
            <w:r w:rsidRPr="00A32AF4">
              <w:rPr>
                <w:sz w:val="16"/>
                <w:szCs w:val="16"/>
              </w:rPr>
              <w:br/>
            </w:r>
            <w:r w:rsidRPr="00A32AF4">
              <w:rPr>
                <w:sz w:val="16"/>
                <w:szCs w:val="16"/>
              </w:rPr>
              <w:br/>
              <w:t>2016 : 5,68 millions de désignations</w:t>
            </w:r>
            <w:r w:rsidRPr="00A32AF4">
              <w:rPr>
                <w:sz w:val="16"/>
                <w:szCs w:val="16"/>
              </w:rPr>
              <w:br/>
              <w:t>2017 : 5,7 millions de désignations</w:t>
            </w:r>
          </w:p>
        </w:tc>
      </w:tr>
      <w:tr w:rsidR="0038294E" w:rsidRPr="00A32AF4" w:rsidTr="002E0570">
        <w:trPr>
          <w:cantSplit/>
        </w:trPr>
        <w:tc>
          <w:tcPr>
            <w:tcW w:w="2060" w:type="dxa"/>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 </w:t>
            </w:r>
          </w:p>
        </w:tc>
        <w:tc>
          <w:tcPr>
            <w:tcW w:w="2500" w:type="dxa"/>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Taux d</w:t>
            </w:r>
            <w:r w:rsidR="00E2055A" w:rsidRPr="00A32AF4">
              <w:rPr>
                <w:sz w:val="16"/>
                <w:szCs w:val="16"/>
              </w:rPr>
              <w:t>’</w:t>
            </w:r>
            <w:r w:rsidRPr="00A32AF4">
              <w:rPr>
                <w:sz w:val="16"/>
                <w:szCs w:val="16"/>
              </w:rPr>
              <w:t>irrégularité (articles 12 et 13)</w:t>
            </w:r>
            <w:r w:rsidR="00D92354" w:rsidRPr="00A32AF4">
              <w:rPr>
                <w:rFonts w:cs="Arial"/>
                <w:color w:val="000000"/>
                <w:sz w:val="16"/>
                <w:szCs w:val="16"/>
              </w:rPr>
              <w:t xml:space="preserve"> (Madrid)</w:t>
            </w:r>
          </w:p>
        </w:tc>
        <w:tc>
          <w:tcPr>
            <w:tcW w:w="2620" w:type="dxa"/>
            <w:shd w:val="clear" w:color="000000" w:fill="FFFFFF"/>
            <w:tcMar>
              <w:top w:w="113" w:type="dxa"/>
              <w:bottom w:w="113" w:type="dxa"/>
            </w:tcMar>
            <w:hideMark/>
          </w:tcPr>
          <w:p w:rsidR="00F93B76" w:rsidRPr="00A32AF4" w:rsidRDefault="00CD1430" w:rsidP="00DC0553">
            <w:pPr>
              <w:rPr>
                <w:sz w:val="16"/>
                <w:szCs w:val="16"/>
              </w:rPr>
            </w:pPr>
            <w:r w:rsidRPr="00A32AF4">
              <w:rPr>
                <w:sz w:val="16"/>
                <w:szCs w:val="16"/>
              </w:rPr>
              <w:t>Taux d</w:t>
            </w:r>
            <w:r w:rsidR="00E2055A" w:rsidRPr="00A32AF4">
              <w:rPr>
                <w:sz w:val="16"/>
                <w:szCs w:val="16"/>
              </w:rPr>
              <w:t>’</w:t>
            </w:r>
            <w:r w:rsidRPr="00A32AF4">
              <w:rPr>
                <w:sz w:val="16"/>
                <w:szCs w:val="16"/>
              </w:rPr>
              <w:t>irrégularité : 36%</w:t>
            </w:r>
          </w:p>
          <w:p w:rsidR="00CD1430" w:rsidRPr="00A32AF4" w:rsidRDefault="00CD1430" w:rsidP="00DC0553">
            <w:pPr>
              <w:rPr>
                <w:sz w:val="16"/>
                <w:szCs w:val="16"/>
              </w:rPr>
            </w:pPr>
            <w:r w:rsidRPr="00A32AF4">
              <w:rPr>
                <w:sz w:val="16"/>
                <w:szCs w:val="16"/>
              </w:rPr>
              <w:t>(au 31 décembre 2014)</w:t>
            </w:r>
            <w:r w:rsidRPr="00A32AF4">
              <w:rPr>
                <w:sz w:val="16"/>
                <w:szCs w:val="16"/>
              </w:rPr>
              <w:br/>
            </w:r>
            <w:r w:rsidRPr="00A32AF4">
              <w:rPr>
                <w:sz w:val="16"/>
                <w:szCs w:val="16"/>
              </w:rPr>
              <w:br/>
              <w:t>Indications acceptables dans la base de données sur les produits et services du système de Madrid (MGS) (en anglais) 67 050 (mai 2015)</w:t>
            </w:r>
          </w:p>
        </w:tc>
        <w:tc>
          <w:tcPr>
            <w:tcW w:w="2191" w:type="dxa"/>
            <w:shd w:val="clear" w:color="000000" w:fill="FFFFFF"/>
            <w:tcMar>
              <w:top w:w="113" w:type="dxa"/>
              <w:bottom w:w="113" w:type="dxa"/>
            </w:tcMar>
            <w:hideMark/>
          </w:tcPr>
          <w:p w:rsidR="00F93B76" w:rsidRPr="00A32AF4" w:rsidRDefault="00CD1430" w:rsidP="00DC0553">
            <w:pPr>
              <w:rPr>
                <w:sz w:val="16"/>
                <w:szCs w:val="16"/>
              </w:rPr>
            </w:pPr>
            <w:r w:rsidRPr="00A32AF4">
              <w:rPr>
                <w:sz w:val="16"/>
                <w:szCs w:val="16"/>
              </w:rPr>
              <w:t>Baisse</w:t>
            </w:r>
          </w:p>
          <w:p w:rsidR="00F93B76" w:rsidRPr="00A32AF4" w:rsidRDefault="00F93B76" w:rsidP="00DC0553">
            <w:pPr>
              <w:rPr>
                <w:sz w:val="16"/>
                <w:szCs w:val="16"/>
              </w:rPr>
            </w:pPr>
          </w:p>
          <w:p w:rsidR="00F93B76" w:rsidRPr="00A32AF4" w:rsidRDefault="00F93B76" w:rsidP="00DC0553">
            <w:pPr>
              <w:rPr>
                <w:sz w:val="16"/>
                <w:szCs w:val="16"/>
              </w:rPr>
            </w:pPr>
          </w:p>
          <w:p w:rsidR="00CD1430" w:rsidRPr="00A32AF4" w:rsidRDefault="00CD1430" w:rsidP="00DC0553">
            <w:pPr>
              <w:rPr>
                <w:sz w:val="16"/>
                <w:szCs w:val="16"/>
              </w:rPr>
            </w:pPr>
            <w:r w:rsidRPr="00A32AF4">
              <w:rPr>
                <w:sz w:val="16"/>
                <w:szCs w:val="16"/>
              </w:rPr>
              <w:t>80 000</w:t>
            </w:r>
          </w:p>
        </w:tc>
      </w:tr>
      <w:tr w:rsidR="0038294E" w:rsidRPr="00A32AF4" w:rsidTr="002E0570">
        <w:trPr>
          <w:cantSplit/>
        </w:trPr>
        <w:tc>
          <w:tcPr>
            <w:tcW w:w="2060" w:type="dxa"/>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 </w:t>
            </w:r>
          </w:p>
        </w:tc>
        <w:tc>
          <w:tcPr>
            <w:tcW w:w="2500" w:type="dxa"/>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 xml:space="preserve">Améliorations fonctionnelles du système de Madrid </w:t>
            </w:r>
          </w:p>
        </w:tc>
        <w:tc>
          <w:tcPr>
            <w:tcW w:w="2620" w:type="dxa"/>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Règlement d</w:t>
            </w:r>
            <w:r w:rsidR="00E2055A" w:rsidRPr="00A32AF4">
              <w:rPr>
                <w:sz w:val="16"/>
                <w:szCs w:val="16"/>
              </w:rPr>
              <w:t>’</w:t>
            </w:r>
            <w:r w:rsidRPr="00A32AF4">
              <w:rPr>
                <w:sz w:val="16"/>
                <w:szCs w:val="16"/>
              </w:rPr>
              <w:t xml:space="preserve">exécution commun et Instructions administratives en vigueur au 31 décembre 2014 </w:t>
            </w:r>
          </w:p>
        </w:tc>
        <w:tc>
          <w:tcPr>
            <w:tcW w:w="2191" w:type="dxa"/>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Modifications du règlement d</w:t>
            </w:r>
            <w:r w:rsidR="00E2055A" w:rsidRPr="00A32AF4">
              <w:rPr>
                <w:sz w:val="16"/>
                <w:szCs w:val="16"/>
              </w:rPr>
              <w:t>’</w:t>
            </w:r>
            <w:r w:rsidRPr="00A32AF4">
              <w:rPr>
                <w:sz w:val="16"/>
                <w:szCs w:val="16"/>
              </w:rPr>
              <w:t>exécution et des instructions administratives</w:t>
            </w:r>
          </w:p>
        </w:tc>
      </w:tr>
      <w:tr w:rsidR="0038294E" w:rsidRPr="00A32AF4" w:rsidTr="002E0570">
        <w:trPr>
          <w:cantSplit/>
        </w:trPr>
        <w:tc>
          <w:tcPr>
            <w:tcW w:w="2060" w:type="dxa"/>
            <w:shd w:val="clear" w:color="000000" w:fill="FFFFFF"/>
            <w:tcMar>
              <w:top w:w="113" w:type="dxa"/>
              <w:bottom w:w="113" w:type="dxa"/>
            </w:tcMar>
            <w:hideMark/>
          </w:tcPr>
          <w:p w:rsidR="00CD1430" w:rsidRPr="00A32AF4" w:rsidRDefault="00CD1430" w:rsidP="00CA4A87">
            <w:pPr>
              <w:rPr>
                <w:sz w:val="16"/>
                <w:szCs w:val="16"/>
              </w:rPr>
            </w:pPr>
            <w:r w:rsidRPr="00A32AF4">
              <w:rPr>
                <w:sz w:val="16"/>
                <w:szCs w:val="16"/>
              </w:rPr>
              <w:t xml:space="preserve">II.7 </w:t>
            </w:r>
            <w:r w:rsidR="00570B48" w:rsidRPr="00A32AF4">
              <w:rPr>
                <w:sz w:val="16"/>
                <w:szCs w:val="16"/>
              </w:rPr>
              <w:t>Amélioration de la productivité et de la qualité de service des opérations d</w:t>
            </w:r>
            <w:r w:rsidR="00CA4A87" w:rsidRPr="00A32AF4">
              <w:rPr>
                <w:sz w:val="16"/>
                <w:szCs w:val="16"/>
              </w:rPr>
              <w:t>u</w:t>
            </w:r>
            <w:r w:rsidR="00570B48" w:rsidRPr="00A32AF4">
              <w:rPr>
                <w:sz w:val="16"/>
                <w:szCs w:val="16"/>
              </w:rPr>
              <w:t xml:space="preserve"> système de Madrid</w:t>
            </w:r>
          </w:p>
        </w:tc>
        <w:tc>
          <w:tcPr>
            <w:tcW w:w="2500" w:type="dxa"/>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Satisfaction des clients</w:t>
            </w:r>
            <w:r w:rsidR="004B150C" w:rsidRPr="00A32AF4">
              <w:rPr>
                <w:sz w:val="16"/>
                <w:szCs w:val="16"/>
              </w:rPr>
              <w:t xml:space="preserve"> </w:t>
            </w:r>
            <w:r w:rsidR="004B150C" w:rsidRPr="00A32AF4">
              <w:rPr>
                <w:rFonts w:cs="Arial"/>
                <w:color w:val="000000"/>
                <w:sz w:val="16"/>
                <w:szCs w:val="16"/>
              </w:rPr>
              <w:t>(Madrid)</w:t>
            </w:r>
          </w:p>
        </w:tc>
        <w:tc>
          <w:tcPr>
            <w:tcW w:w="2620" w:type="dxa"/>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Indice d</w:t>
            </w:r>
            <w:r w:rsidR="00E2055A" w:rsidRPr="00A32AF4">
              <w:rPr>
                <w:sz w:val="16"/>
                <w:szCs w:val="16"/>
              </w:rPr>
              <w:t>’</w:t>
            </w:r>
            <w:r w:rsidRPr="00A32AF4">
              <w:rPr>
                <w:sz w:val="16"/>
                <w:szCs w:val="16"/>
              </w:rPr>
              <w:t>orientation vers les services en 2014 (39)</w:t>
            </w:r>
          </w:p>
        </w:tc>
        <w:tc>
          <w:tcPr>
            <w:tcW w:w="2191" w:type="dxa"/>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Hausse de l</w:t>
            </w:r>
            <w:r w:rsidR="00E2055A" w:rsidRPr="00A32AF4">
              <w:rPr>
                <w:sz w:val="16"/>
                <w:szCs w:val="16"/>
              </w:rPr>
              <w:t>’</w:t>
            </w:r>
            <w:r w:rsidRPr="00A32AF4">
              <w:rPr>
                <w:sz w:val="16"/>
                <w:szCs w:val="16"/>
              </w:rPr>
              <w:t>indice</w:t>
            </w:r>
          </w:p>
        </w:tc>
      </w:tr>
      <w:tr w:rsidR="0038294E" w:rsidRPr="00A32AF4" w:rsidTr="002E0570">
        <w:trPr>
          <w:cantSplit/>
        </w:trPr>
        <w:tc>
          <w:tcPr>
            <w:tcW w:w="2060" w:type="dxa"/>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 </w:t>
            </w:r>
          </w:p>
        </w:tc>
        <w:tc>
          <w:tcPr>
            <w:tcW w:w="2500" w:type="dxa"/>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Coût unitaire</w:t>
            </w:r>
            <w:r w:rsidR="004B150C" w:rsidRPr="00A32AF4">
              <w:rPr>
                <w:sz w:val="16"/>
                <w:szCs w:val="16"/>
              </w:rPr>
              <w:t xml:space="preserve"> </w:t>
            </w:r>
            <w:r w:rsidR="004B150C" w:rsidRPr="00A32AF4">
              <w:rPr>
                <w:rFonts w:cs="Arial"/>
                <w:color w:val="000000"/>
                <w:sz w:val="16"/>
                <w:szCs w:val="16"/>
              </w:rPr>
              <w:t>(Madrid)</w:t>
            </w:r>
          </w:p>
        </w:tc>
        <w:tc>
          <w:tcPr>
            <w:tcW w:w="2620" w:type="dxa"/>
            <w:shd w:val="clear" w:color="000000" w:fill="FFFFFF"/>
            <w:tcMar>
              <w:top w:w="113" w:type="dxa"/>
              <w:bottom w:w="113" w:type="dxa"/>
            </w:tcMar>
            <w:hideMark/>
          </w:tcPr>
          <w:p w:rsidR="00F93B76" w:rsidRPr="00A32AF4" w:rsidRDefault="00CD1430" w:rsidP="00DC0553">
            <w:pPr>
              <w:rPr>
                <w:sz w:val="16"/>
                <w:szCs w:val="16"/>
              </w:rPr>
            </w:pPr>
            <w:r w:rsidRPr="00A32AF4">
              <w:rPr>
                <w:sz w:val="16"/>
                <w:szCs w:val="16"/>
              </w:rPr>
              <w:t>Coût de l</w:t>
            </w:r>
            <w:r w:rsidR="00E2055A" w:rsidRPr="00A32AF4">
              <w:rPr>
                <w:sz w:val="16"/>
                <w:szCs w:val="16"/>
              </w:rPr>
              <w:t>’</w:t>
            </w:r>
            <w:r w:rsidRPr="00A32AF4">
              <w:rPr>
                <w:sz w:val="16"/>
                <w:szCs w:val="16"/>
              </w:rPr>
              <w:t>enregistrement/renouvellement :</w:t>
            </w:r>
          </w:p>
          <w:p w:rsidR="00CD1430" w:rsidRPr="00A32AF4" w:rsidRDefault="00CD1430" w:rsidP="00DC0553">
            <w:pPr>
              <w:rPr>
                <w:sz w:val="16"/>
                <w:szCs w:val="16"/>
              </w:rPr>
            </w:pPr>
            <w:r w:rsidRPr="00A32AF4">
              <w:rPr>
                <w:sz w:val="16"/>
                <w:szCs w:val="16"/>
              </w:rPr>
              <w:t>837 francs suisses</w:t>
            </w:r>
            <w:r w:rsidRPr="00A32AF4">
              <w:rPr>
                <w:sz w:val="16"/>
                <w:szCs w:val="16"/>
              </w:rPr>
              <w:br/>
              <w:t>Coût unitaire de l</w:t>
            </w:r>
            <w:r w:rsidR="00E2055A" w:rsidRPr="00A32AF4">
              <w:rPr>
                <w:sz w:val="16"/>
                <w:szCs w:val="16"/>
              </w:rPr>
              <w:t>’</w:t>
            </w:r>
            <w:r w:rsidRPr="00A32AF4">
              <w:rPr>
                <w:sz w:val="16"/>
                <w:szCs w:val="16"/>
              </w:rPr>
              <w:t>enregistrement : 320 francs suisses</w:t>
            </w:r>
          </w:p>
        </w:tc>
        <w:tc>
          <w:tcPr>
            <w:tcW w:w="2191" w:type="dxa"/>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Réduction dans les deux catégories de coût unitaire</w:t>
            </w:r>
          </w:p>
        </w:tc>
      </w:tr>
      <w:tr w:rsidR="0038294E" w:rsidRPr="00A32AF4" w:rsidTr="002E0570">
        <w:trPr>
          <w:cantSplit/>
        </w:trPr>
        <w:tc>
          <w:tcPr>
            <w:tcW w:w="2060" w:type="dxa"/>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 </w:t>
            </w:r>
          </w:p>
        </w:tc>
        <w:tc>
          <w:tcPr>
            <w:tcW w:w="2500" w:type="dxa"/>
            <w:shd w:val="clear" w:color="000000" w:fill="FFFFFF"/>
            <w:tcMar>
              <w:top w:w="113" w:type="dxa"/>
              <w:bottom w:w="113" w:type="dxa"/>
            </w:tcMar>
            <w:hideMark/>
          </w:tcPr>
          <w:p w:rsidR="00F93B76" w:rsidRPr="00A32AF4" w:rsidRDefault="00CD1430" w:rsidP="00DC0553">
            <w:pPr>
              <w:rPr>
                <w:sz w:val="16"/>
                <w:szCs w:val="16"/>
              </w:rPr>
            </w:pPr>
            <w:r w:rsidRPr="00A32AF4">
              <w:rPr>
                <w:sz w:val="16"/>
                <w:szCs w:val="16"/>
              </w:rPr>
              <w:t>Rapidité des transactions</w:t>
            </w:r>
          </w:p>
          <w:p w:rsidR="00CD1430" w:rsidRPr="00A32AF4" w:rsidRDefault="00CD1430" w:rsidP="00DC0553">
            <w:pPr>
              <w:rPr>
                <w:sz w:val="16"/>
                <w:szCs w:val="16"/>
              </w:rPr>
            </w:pPr>
            <w:r w:rsidRPr="00A32AF4">
              <w:rPr>
                <w:sz w:val="16"/>
                <w:szCs w:val="16"/>
              </w:rPr>
              <w:t>(jours)</w:t>
            </w:r>
            <w:r w:rsidR="004B150C" w:rsidRPr="00A32AF4">
              <w:rPr>
                <w:sz w:val="16"/>
                <w:szCs w:val="16"/>
              </w:rPr>
              <w:t xml:space="preserve"> </w:t>
            </w:r>
            <w:r w:rsidR="004B150C" w:rsidRPr="00A32AF4">
              <w:rPr>
                <w:rFonts w:cs="Arial"/>
                <w:color w:val="000000"/>
                <w:sz w:val="16"/>
                <w:szCs w:val="16"/>
              </w:rPr>
              <w:t>(Madrid)</w:t>
            </w:r>
          </w:p>
        </w:tc>
        <w:tc>
          <w:tcPr>
            <w:tcW w:w="2620" w:type="dxa"/>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 xml:space="preserve">Demandes : 70 </w:t>
            </w:r>
            <w:r w:rsidRPr="00A32AF4">
              <w:rPr>
                <w:sz w:val="16"/>
                <w:szCs w:val="16"/>
              </w:rPr>
              <w:br/>
              <w:t xml:space="preserve">Renouvellements : 63 </w:t>
            </w:r>
            <w:r w:rsidRPr="00A32AF4">
              <w:rPr>
                <w:sz w:val="16"/>
                <w:szCs w:val="16"/>
              </w:rPr>
              <w:br/>
              <w:t>Désignations postérieures : 56</w:t>
            </w:r>
            <w:r w:rsidRPr="00A32AF4">
              <w:rPr>
                <w:sz w:val="16"/>
                <w:szCs w:val="16"/>
              </w:rPr>
              <w:br/>
              <w:t>Décisions : 12</w:t>
            </w:r>
            <w:r w:rsidRPr="00A32AF4">
              <w:rPr>
                <w:sz w:val="16"/>
                <w:szCs w:val="16"/>
              </w:rPr>
              <w:br/>
              <w:t>Modifications : 79</w:t>
            </w:r>
            <w:r w:rsidRPr="00A32AF4">
              <w:rPr>
                <w:sz w:val="16"/>
                <w:szCs w:val="16"/>
              </w:rPr>
              <w:br/>
              <w:t>Corrections 232</w:t>
            </w:r>
            <w:r w:rsidRPr="00A32AF4">
              <w:rPr>
                <w:sz w:val="16"/>
                <w:szCs w:val="16"/>
              </w:rPr>
              <w:br/>
              <w:t>(au 31 décembre 2014)</w:t>
            </w:r>
          </w:p>
        </w:tc>
        <w:tc>
          <w:tcPr>
            <w:tcW w:w="2191" w:type="dxa"/>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 xml:space="preserve">Amélioration pour toutes les transactions </w:t>
            </w:r>
            <w:r w:rsidRPr="00A32AF4">
              <w:rPr>
                <w:sz w:val="16"/>
                <w:szCs w:val="16"/>
              </w:rPr>
              <w:br/>
            </w:r>
            <w:r w:rsidRPr="00A32AF4">
              <w:rPr>
                <w:sz w:val="16"/>
                <w:szCs w:val="16"/>
              </w:rPr>
              <w:br/>
            </w:r>
            <w:r w:rsidRPr="00A32AF4">
              <w:rPr>
                <w:sz w:val="16"/>
                <w:szCs w:val="16"/>
              </w:rPr>
              <w:br/>
            </w:r>
            <w:r w:rsidRPr="00A32AF4">
              <w:rPr>
                <w:sz w:val="16"/>
                <w:szCs w:val="16"/>
              </w:rPr>
              <w:br/>
            </w:r>
            <w:r w:rsidRPr="00A32AF4">
              <w:rPr>
                <w:sz w:val="16"/>
                <w:szCs w:val="16"/>
              </w:rPr>
              <w:br/>
            </w:r>
          </w:p>
        </w:tc>
      </w:tr>
      <w:tr w:rsidR="0038294E" w:rsidRPr="00A32AF4" w:rsidTr="002E0570">
        <w:trPr>
          <w:cantSplit/>
        </w:trPr>
        <w:tc>
          <w:tcPr>
            <w:tcW w:w="2060" w:type="dxa"/>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 </w:t>
            </w:r>
          </w:p>
        </w:tc>
        <w:tc>
          <w:tcPr>
            <w:tcW w:w="2500" w:type="dxa"/>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Qualité</w:t>
            </w:r>
            <w:r w:rsidR="004B150C" w:rsidRPr="00A32AF4">
              <w:rPr>
                <w:sz w:val="16"/>
                <w:szCs w:val="16"/>
              </w:rPr>
              <w:t xml:space="preserve"> </w:t>
            </w:r>
            <w:r w:rsidR="004B150C" w:rsidRPr="00A32AF4">
              <w:rPr>
                <w:rFonts w:cs="Arial"/>
                <w:color w:val="000000"/>
                <w:sz w:val="16"/>
                <w:szCs w:val="16"/>
              </w:rPr>
              <w:t>(Madrid)</w:t>
            </w:r>
          </w:p>
        </w:tc>
        <w:tc>
          <w:tcPr>
            <w:tcW w:w="2620" w:type="dxa"/>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À déterminer</w:t>
            </w:r>
          </w:p>
        </w:tc>
        <w:tc>
          <w:tcPr>
            <w:tcW w:w="2191" w:type="dxa"/>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À déterminer</w:t>
            </w:r>
          </w:p>
        </w:tc>
      </w:tr>
      <w:tr w:rsidR="0038294E" w:rsidRPr="00A32AF4" w:rsidTr="002E0570">
        <w:trPr>
          <w:cantSplit/>
        </w:trPr>
        <w:tc>
          <w:tcPr>
            <w:tcW w:w="2060" w:type="dxa"/>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 </w:t>
            </w:r>
          </w:p>
        </w:tc>
        <w:tc>
          <w:tcPr>
            <w:tcW w:w="2500" w:type="dxa"/>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Amélioration du fonctionnement du Service d</w:t>
            </w:r>
            <w:r w:rsidR="00E2055A" w:rsidRPr="00A32AF4">
              <w:rPr>
                <w:sz w:val="16"/>
                <w:szCs w:val="16"/>
              </w:rPr>
              <w:t>’</w:t>
            </w:r>
            <w:r w:rsidRPr="00A32AF4">
              <w:rPr>
                <w:sz w:val="16"/>
                <w:szCs w:val="16"/>
              </w:rPr>
              <w:t xml:space="preserve">enregistrement de Madrid, </w:t>
            </w:r>
            <w:r w:rsidR="00E2055A" w:rsidRPr="00A32AF4">
              <w:rPr>
                <w:sz w:val="16"/>
                <w:szCs w:val="16"/>
              </w:rPr>
              <w:t>y compris</w:t>
            </w:r>
            <w:r w:rsidRPr="00A32AF4">
              <w:rPr>
                <w:sz w:val="16"/>
                <w:szCs w:val="16"/>
              </w:rPr>
              <w:t xml:space="preserve"> des processus et des procédures électroniques </w:t>
            </w:r>
            <w:r w:rsidR="004B150C" w:rsidRPr="00A32AF4">
              <w:rPr>
                <w:rFonts w:cs="Arial"/>
                <w:color w:val="000000"/>
                <w:sz w:val="16"/>
                <w:szCs w:val="16"/>
              </w:rPr>
              <w:t>(Madrid)</w:t>
            </w:r>
          </w:p>
        </w:tc>
        <w:tc>
          <w:tcPr>
            <w:tcW w:w="2620" w:type="dxa"/>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 xml:space="preserve">70% des documents reçus par voie électronique </w:t>
            </w:r>
            <w:r w:rsidRPr="00A32AF4">
              <w:rPr>
                <w:sz w:val="16"/>
                <w:szCs w:val="16"/>
              </w:rPr>
              <w:br/>
            </w:r>
            <w:r w:rsidRPr="00A32AF4">
              <w:rPr>
                <w:sz w:val="16"/>
                <w:szCs w:val="16"/>
              </w:rPr>
              <w:br/>
              <w:t>220 000 notifications par courrier électronique</w:t>
            </w:r>
            <w:r w:rsidRPr="00A32AF4">
              <w:rPr>
                <w:sz w:val="16"/>
                <w:szCs w:val="16"/>
              </w:rPr>
              <w:br/>
            </w:r>
            <w:r w:rsidRPr="00A32AF4">
              <w:rPr>
                <w:sz w:val="16"/>
                <w:szCs w:val="16"/>
              </w:rPr>
              <w:br/>
              <w:t xml:space="preserve">1800 clients MPM </w:t>
            </w:r>
            <w:r w:rsidRPr="00A32AF4">
              <w:rPr>
                <w:sz w:val="16"/>
                <w:szCs w:val="16"/>
              </w:rPr>
              <w:br/>
            </w:r>
            <w:r w:rsidRPr="00A32AF4">
              <w:rPr>
                <w:sz w:val="16"/>
                <w:szCs w:val="16"/>
              </w:rPr>
              <w:br/>
              <w:t xml:space="preserve">17 offices utilisant le format XML </w:t>
            </w:r>
            <w:r w:rsidRPr="00A32AF4">
              <w:rPr>
                <w:sz w:val="16"/>
                <w:szCs w:val="16"/>
              </w:rPr>
              <w:br/>
            </w:r>
            <w:r w:rsidRPr="00A32AF4">
              <w:rPr>
                <w:sz w:val="16"/>
                <w:szCs w:val="16"/>
              </w:rPr>
              <w:br/>
              <w:t xml:space="preserve">1 formulaire Web intelligent </w:t>
            </w:r>
            <w:r w:rsidRPr="00A32AF4">
              <w:rPr>
                <w:sz w:val="16"/>
                <w:szCs w:val="16"/>
              </w:rPr>
              <w:br/>
            </w:r>
            <w:r w:rsidRPr="00A32AF4">
              <w:rPr>
                <w:sz w:val="16"/>
                <w:szCs w:val="16"/>
              </w:rPr>
              <w:br/>
              <w:t>690 000 documents entrants</w:t>
            </w:r>
            <w:r w:rsidRPr="00A32AF4">
              <w:rPr>
                <w:sz w:val="16"/>
                <w:szCs w:val="16"/>
              </w:rPr>
              <w:br/>
            </w:r>
            <w:r w:rsidRPr="00A32AF4">
              <w:rPr>
                <w:sz w:val="16"/>
                <w:szCs w:val="16"/>
              </w:rPr>
              <w:br/>
            </w:r>
            <w:r w:rsidRPr="00A32AF4">
              <w:rPr>
                <w:sz w:val="16"/>
                <w:szCs w:val="16"/>
              </w:rPr>
              <w:br/>
              <w:t>1 750 000 documents sortants</w:t>
            </w:r>
          </w:p>
        </w:tc>
        <w:tc>
          <w:tcPr>
            <w:tcW w:w="2191" w:type="dxa"/>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75% des documents reçus par voie électronique</w:t>
            </w:r>
            <w:r w:rsidRPr="00A32AF4">
              <w:rPr>
                <w:sz w:val="16"/>
                <w:szCs w:val="16"/>
              </w:rPr>
              <w:br/>
            </w:r>
            <w:r w:rsidRPr="00A32AF4">
              <w:rPr>
                <w:sz w:val="16"/>
                <w:szCs w:val="16"/>
              </w:rPr>
              <w:br/>
              <w:t>250 000 notifications par courrier électronique</w:t>
            </w:r>
            <w:r w:rsidRPr="00A32AF4">
              <w:rPr>
                <w:sz w:val="16"/>
                <w:szCs w:val="16"/>
              </w:rPr>
              <w:br/>
            </w:r>
            <w:r w:rsidRPr="00A32AF4">
              <w:rPr>
                <w:sz w:val="16"/>
                <w:szCs w:val="16"/>
              </w:rPr>
              <w:br/>
              <w:t xml:space="preserve">2000 clients MPM </w:t>
            </w:r>
            <w:r w:rsidRPr="00A32AF4">
              <w:rPr>
                <w:sz w:val="16"/>
                <w:szCs w:val="16"/>
              </w:rPr>
              <w:br/>
            </w:r>
            <w:r w:rsidRPr="00A32AF4">
              <w:rPr>
                <w:sz w:val="16"/>
                <w:szCs w:val="16"/>
              </w:rPr>
              <w:br/>
              <w:t>20 offices utilisant le format XML</w:t>
            </w:r>
            <w:r w:rsidRPr="00A32AF4">
              <w:rPr>
                <w:sz w:val="16"/>
                <w:szCs w:val="16"/>
              </w:rPr>
              <w:br/>
            </w:r>
            <w:r w:rsidRPr="00A32AF4">
              <w:rPr>
                <w:sz w:val="16"/>
                <w:szCs w:val="16"/>
              </w:rPr>
              <w:br/>
              <w:t>6 formulaires Web intelligents</w:t>
            </w:r>
            <w:r w:rsidRPr="00A32AF4">
              <w:rPr>
                <w:sz w:val="16"/>
                <w:szCs w:val="16"/>
              </w:rPr>
              <w:br/>
            </w:r>
            <w:r w:rsidRPr="00A32AF4">
              <w:rPr>
                <w:sz w:val="16"/>
                <w:szCs w:val="16"/>
              </w:rPr>
              <w:br/>
              <w:t>750 000 documents entrants</w:t>
            </w:r>
            <w:r w:rsidRPr="00A32AF4">
              <w:rPr>
                <w:sz w:val="16"/>
                <w:szCs w:val="16"/>
              </w:rPr>
              <w:br/>
            </w:r>
            <w:r w:rsidRPr="00A32AF4">
              <w:rPr>
                <w:sz w:val="16"/>
                <w:szCs w:val="16"/>
              </w:rPr>
              <w:br/>
              <w:t>2 000 000 documents sortants</w:t>
            </w:r>
          </w:p>
        </w:tc>
      </w:tr>
      <w:tr w:rsidR="0038294E" w:rsidRPr="00A32AF4" w:rsidTr="002E0570">
        <w:trPr>
          <w:cantSplit/>
        </w:trPr>
        <w:tc>
          <w:tcPr>
            <w:tcW w:w="2060" w:type="dxa"/>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 </w:t>
            </w:r>
          </w:p>
        </w:tc>
        <w:tc>
          <w:tcPr>
            <w:tcW w:w="2500" w:type="dxa"/>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Stabilité des services informatiques d</w:t>
            </w:r>
            <w:r w:rsidR="00E2055A" w:rsidRPr="00A32AF4">
              <w:rPr>
                <w:sz w:val="16"/>
                <w:szCs w:val="16"/>
              </w:rPr>
              <w:t>’</w:t>
            </w:r>
            <w:r w:rsidRPr="00A32AF4">
              <w:rPr>
                <w:sz w:val="16"/>
                <w:szCs w:val="16"/>
              </w:rPr>
              <w:t>appui dans le cadre du système de Madrid</w:t>
            </w:r>
          </w:p>
        </w:tc>
        <w:tc>
          <w:tcPr>
            <w:tcW w:w="2620" w:type="dxa"/>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Pas d</w:t>
            </w:r>
            <w:r w:rsidR="00E2055A" w:rsidRPr="00A32AF4">
              <w:rPr>
                <w:sz w:val="16"/>
                <w:szCs w:val="16"/>
              </w:rPr>
              <w:t>’</w:t>
            </w:r>
            <w:r w:rsidRPr="00A32AF4">
              <w:rPr>
                <w:sz w:val="16"/>
                <w:szCs w:val="16"/>
              </w:rPr>
              <w:t xml:space="preserve">interruption du </w:t>
            </w:r>
            <w:proofErr w:type="gramStart"/>
            <w:r w:rsidRPr="00A32AF4">
              <w:rPr>
                <w:sz w:val="16"/>
                <w:szCs w:val="16"/>
              </w:rPr>
              <w:t>service</w:t>
            </w:r>
            <w:proofErr w:type="gramEnd"/>
            <w:r w:rsidRPr="00A32AF4">
              <w:rPr>
                <w:sz w:val="16"/>
                <w:szCs w:val="16"/>
              </w:rPr>
              <w:br/>
              <w:t>(nombre d</w:t>
            </w:r>
            <w:r w:rsidR="00E2055A" w:rsidRPr="00A32AF4">
              <w:rPr>
                <w:sz w:val="16"/>
                <w:szCs w:val="16"/>
              </w:rPr>
              <w:t>’</w:t>
            </w:r>
            <w:r w:rsidRPr="00A32AF4">
              <w:rPr>
                <w:sz w:val="16"/>
                <w:szCs w:val="16"/>
              </w:rPr>
              <w:t>incidents informatiques)</w:t>
            </w:r>
            <w:r w:rsidRPr="00A32AF4">
              <w:rPr>
                <w:sz w:val="16"/>
                <w:szCs w:val="16"/>
              </w:rPr>
              <w:br/>
            </w:r>
            <w:r w:rsidRPr="00A32AF4">
              <w:rPr>
                <w:sz w:val="16"/>
                <w:szCs w:val="16"/>
              </w:rPr>
              <w:br/>
              <w:t xml:space="preserve">Livraison et installation ponctuelles des améliorations </w:t>
            </w:r>
          </w:p>
        </w:tc>
        <w:tc>
          <w:tcPr>
            <w:tcW w:w="2191" w:type="dxa"/>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Pas d</w:t>
            </w:r>
            <w:r w:rsidR="00E2055A" w:rsidRPr="00A32AF4">
              <w:rPr>
                <w:sz w:val="16"/>
                <w:szCs w:val="16"/>
              </w:rPr>
              <w:t>’</w:t>
            </w:r>
            <w:r w:rsidRPr="00A32AF4">
              <w:rPr>
                <w:sz w:val="16"/>
                <w:szCs w:val="16"/>
              </w:rPr>
              <w:t xml:space="preserve">interruption du </w:t>
            </w:r>
            <w:proofErr w:type="gramStart"/>
            <w:r w:rsidRPr="00A32AF4">
              <w:rPr>
                <w:sz w:val="16"/>
                <w:szCs w:val="16"/>
              </w:rPr>
              <w:t>service</w:t>
            </w:r>
            <w:proofErr w:type="gramEnd"/>
            <w:r w:rsidRPr="00A32AF4">
              <w:rPr>
                <w:sz w:val="16"/>
                <w:szCs w:val="16"/>
              </w:rPr>
              <w:br/>
              <w:t>(nombre d</w:t>
            </w:r>
            <w:r w:rsidR="00E2055A" w:rsidRPr="00A32AF4">
              <w:rPr>
                <w:sz w:val="16"/>
                <w:szCs w:val="16"/>
              </w:rPr>
              <w:t>’</w:t>
            </w:r>
            <w:r w:rsidRPr="00A32AF4">
              <w:rPr>
                <w:sz w:val="16"/>
                <w:szCs w:val="16"/>
              </w:rPr>
              <w:t>incidents informatiques)</w:t>
            </w:r>
            <w:r w:rsidRPr="00A32AF4">
              <w:rPr>
                <w:sz w:val="16"/>
                <w:szCs w:val="16"/>
              </w:rPr>
              <w:br/>
            </w:r>
            <w:r w:rsidRPr="00A32AF4">
              <w:rPr>
                <w:sz w:val="16"/>
                <w:szCs w:val="16"/>
              </w:rPr>
              <w:br/>
              <w:t>Livraison et installation ponctuelles des améliorations</w:t>
            </w:r>
          </w:p>
        </w:tc>
      </w:tr>
      <w:tr w:rsidR="0038294E" w:rsidRPr="00A32AF4" w:rsidTr="002E0570">
        <w:trPr>
          <w:cantSplit/>
        </w:trPr>
        <w:tc>
          <w:tcPr>
            <w:tcW w:w="2060" w:type="dxa"/>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 </w:t>
            </w:r>
          </w:p>
        </w:tc>
        <w:tc>
          <w:tcPr>
            <w:tcW w:w="2500" w:type="dxa"/>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3 versions installées du système MIRIS et 3 versions installées du système Madrid eFiling (IRPI)</w:t>
            </w:r>
          </w:p>
        </w:tc>
        <w:tc>
          <w:tcPr>
            <w:tcW w:w="2620" w:type="dxa"/>
            <w:shd w:val="clear" w:color="000000" w:fill="FFFFFF"/>
            <w:tcMar>
              <w:top w:w="113" w:type="dxa"/>
              <w:bottom w:w="113" w:type="dxa"/>
            </w:tcMar>
            <w:hideMark/>
          </w:tcPr>
          <w:p w:rsidR="00CD1430" w:rsidRPr="00A32AF4" w:rsidRDefault="00CD1430" w:rsidP="009862B4">
            <w:pPr>
              <w:rPr>
                <w:sz w:val="16"/>
                <w:szCs w:val="16"/>
              </w:rPr>
            </w:pPr>
            <w:r w:rsidRPr="00A32AF4">
              <w:rPr>
                <w:sz w:val="16"/>
                <w:szCs w:val="16"/>
              </w:rPr>
              <w:t>Système MIRIS installé</w:t>
            </w:r>
            <w:r w:rsidRPr="00A32AF4">
              <w:rPr>
                <w:sz w:val="16"/>
                <w:szCs w:val="16"/>
              </w:rPr>
              <w:br/>
            </w:r>
            <w:r w:rsidRPr="00A32AF4">
              <w:rPr>
                <w:sz w:val="16"/>
                <w:szCs w:val="16"/>
              </w:rPr>
              <w:br/>
              <w:t>Système Madrid eFiling installé</w:t>
            </w:r>
          </w:p>
        </w:tc>
        <w:tc>
          <w:tcPr>
            <w:tcW w:w="2191" w:type="dxa"/>
            <w:shd w:val="clear" w:color="000000" w:fill="FFFFFF"/>
            <w:tcMar>
              <w:top w:w="113" w:type="dxa"/>
              <w:bottom w:w="113" w:type="dxa"/>
            </w:tcMar>
            <w:hideMark/>
          </w:tcPr>
          <w:p w:rsidR="00CD1430" w:rsidRPr="00A32AF4" w:rsidRDefault="00CD1430" w:rsidP="009862B4">
            <w:pPr>
              <w:rPr>
                <w:sz w:val="16"/>
                <w:szCs w:val="16"/>
              </w:rPr>
            </w:pPr>
            <w:r w:rsidRPr="00A32AF4">
              <w:rPr>
                <w:sz w:val="16"/>
                <w:szCs w:val="16"/>
              </w:rPr>
              <w:t>3 nouvelles versions des systèmes</w:t>
            </w:r>
            <w:r w:rsidR="009862B4" w:rsidRPr="00A32AF4">
              <w:rPr>
                <w:sz w:val="16"/>
                <w:szCs w:val="16"/>
              </w:rPr>
              <w:t xml:space="preserve"> </w:t>
            </w:r>
            <w:r w:rsidRPr="00A32AF4">
              <w:rPr>
                <w:sz w:val="16"/>
                <w:szCs w:val="16"/>
              </w:rPr>
              <w:t>MIRIS/DIRIS</w:t>
            </w:r>
            <w:r w:rsidRPr="00A32AF4">
              <w:rPr>
                <w:sz w:val="16"/>
                <w:szCs w:val="16"/>
              </w:rPr>
              <w:br/>
            </w:r>
            <w:r w:rsidRPr="00A32AF4">
              <w:rPr>
                <w:sz w:val="16"/>
                <w:szCs w:val="16"/>
              </w:rPr>
              <w:br/>
              <w:t>3 nouvelles versions d</w:t>
            </w:r>
            <w:r w:rsidR="009862B4" w:rsidRPr="00A32AF4">
              <w:rPr>
                <w:sz w:val="16"/>
                <w:szCs w:val="16"/>
              </w:rPr>
              <w:t>u</w:t>
            </w:r>
            <w:r w:rsidRPr="00A32AF4">
              <w:rPr>
                <w:sz w:val="16"/>
                <w:szCs w:val="16"/>
              </w:rPr>
              <w:t xml:space="preserve"> système Madrid eFiling</w:t>
            </w:r>
          </w:p>
        </w:tc>
      </w:tr>
    </w:tbl>
    <w:p w:rsidR="00F93B76" w:rsidRPr="00A32AF4" w:rsidRDefault="00F93B76" w:rsidP="00DC0553"/>
    <w:p w:rsidR="00F93B76" w:rsidRPr="00A32AF4" w:rsidRDefault="00F93B76" w:rsidP="00DC0553"/>
    <w:p w:rsidR="00F93B76" w:rsidRPr="00A32AF4" w:rsidRDefault="00DC2AF7" w:rsidP="00DC0553">
      <w:pPr>
        <w:rPr>
          <w:caps/>
        </w:rPr>
      </w:pPr>
      <w:r w:rsidRPr="00A32AF4">
        <w:rPr>
          <w:caps/>
        </w:rPr>
        <w:t>RESSOURCES ALLOUÉES AU PROGRAMME</w:t>
      </w:r>
      <w:r w:rsidR="00570B48" w:rsidRPr="00A32AF4">
        <w:rPr>
          <w:caps/>
        </w:rPr>
        <w:t xml:space="preserve"> 6</w:t>
      </w:r>
    </w:p>
    <w:p w:rsidR="00F93B76" w:rsidRPr="00A32AF4" w:rsidRDefault="00F93B76" w:rsidP="00DC0553"/>
    <w:p w:rsidR="00CA4A87" w:rsidRPr="00A32AF4" w:rsidRDefault="00A32AF4" w:rsidP="00CA4A87">
      <w:pPr>
        <w:pStyle w:val="ListParagraph"/>
        <w:numPr>
          <w:ilvl w:val="0"/>
          <w:numId w:val="17"/>
        </w:numPr>
        <w:tabs>
          <w:tab w:val="left" w:pos="567"/>
        </w:tabs>
        <w:spacing w:after="0" w:line="240" w:lineRule="auto"/>
        <w:ind w:left="0" w:firstLine="0"/>
        <w:contextualSpacing w:val="0"/>
        <w:jc w:val="both"/>
        <w:rPr>
          <w:rFonts w:ascii="Arial" w:eastAsia="SimSun" w:hAnsi="Arial" w:cs="Arial"/>
          <w:bCs/>
          <w:iCs/>
          <w:szCs w:val="28"/>
        </w:rPr>
      </w:pPr>
      <w:r w:rsidRPr="00A32AF4">
        <w:rPr>
          <w:rFonts w:ascii="Arial" w:eastAsia="SimSun" w:hAnsi="Arial" w:cs="Arial"/>
          <w:bCs/>
          <w:iCs/>
          <w:szCs w:val="28"/>
        </w:rPr>
        <w:t>Les ressources allouées à ce programme traduisent la séparation du système de Lisbonne, passant du programme 6 au programme 32, et le transfert des ressources de personnel et autres correspondantes en conséquence.</w:t>
      </w:r>
    </w:p>
    <w:p w:rsidR="00CA4A87" w:rsidRPr="00A32AF4" w:rsidRDefault="00CA4A87" w:rsidP="00CA4A87">
      <w:pPr>
        <w:pStyle w:val="ListParagraph"/>
        <w:tabs>
          <w:tab w:val="left" w:pos="567"/>
        </w:tabs>
        <w:spacing w:after="0" w:line="240" w:lineRule="auto"/>
        <w:ind w:left="0"/>
        <w:contextualSpacing w:val="0"/>
        <w:jc w:val="both"/>
        <w:rPr>
          <w:rFonts w:ascii="Arial" w:eastAsia="SimSun" w:hAnsi="Arial" w:cs="Arial"/>
          <w:bCs/>
          <w:iCs/>
          <w:szCs w:val="28"/>
        </w:rPr>
      </w:pPr>
    </w:p>
    <w:p w:rsidR="00F93B76" w:rsidRPr="00A32AF4" w:rsidRDefault="00F05895" w:rsidP="00DC0553">
      <w:pPr>
        <w:pStyle w:val="ListParagraph"/>
        <w:numPr>
          <w:ilvl w:val="0"/>
          <w:numId w:val="17"/>
        </w:numPr>
        <w:tabs>
          <w:tab w:val="left" w:pos="567"/>
        </w:tabs>
        <w:spacing w:after="0" w:line="240" w:lineRule="auto"/>
        <w:ind w:left="0" w:firstLine="0"/>
        <w:contextualSpacing w:val="0"/>
        <w:jc w:val="both"/>
        <w:rPr>
          <w:rFonts w:ascii="Arial" w:eastAsia="SimSun" w:hAnsi="Arial" w:cs="Arial"/>
          <w:bCs/>
          <w:iCs/>
          <w:szCs w:val="28"/>
        </w:rPr>
      </w:pPr>
      <w:r w:rsidRPr="00A32AF4">
        <w:rPr>
          <w:rFonts w:ascii="Arial" w:eastAsia="SimSun" w:hAnsi="Arial" w:cs="Arial"/>
          <w:bCs/>
          <w:iCs/>
          <w:szCs w:val="28"/>
        </w:rPr>
        <w:t>L</w:t>
      </w:r>
      <w:r w:rsidR="00E2055A" w:rsidRPr="00A32AF4">
        <w:rPr>
          <w:rFonts w:ascii="Arial" w:eastAsia="SimSun" w:hAnsi="Arial" w:cs="Arial"/>
          <w:bCs/>
          <w:iCs/>
          <w:szCs w:val="28"/>
        </w:rPr>
        <w:t>’</w:t>
      </w:r>
      <w:r w:rsidRPr="00A32AF4">
        <w:rPr>
          <w:rFonts w:ascii="Arial" w:eastAsia="SimSun" w:hAnsi="Arial" w:cs="Arial"/>
          <w:bCs/>
          <w:iCs/>
          <w:szCs w:val="28"/>
        </w:rPr>
        <w:t>augmentation des ressources allouées à ce programme est rendue nécessaire par l</w:t>
      </w:r>
      <w:r w:rsidR="00E2055A" w:rsidRPr="00A32AF4">
        <w:rPr>
          <w:rFonts w:ascii="Arial" w:eastAsia="SimSun" w:hAnsi="Arial" w:cs="Arial"/>
          <w:bCs/>
          <w:iCs/>
          <w:szCs w:val="28"/>
        </w:rPr>
        <w:t>’</w:t>
      </w:r>
      <w:r w:rsidRPr="00A32AF4">
        <w:rPr>
          <w:rFonts w:ascii="Arial" w:eastAsia="SimSun" w:hAnsi="Arial" w:cs="Arial"/>
          <w:bCs/>
          <w:iCs/>
          <w:szCs w:val="28"/>
        </w:rPr>
        <w:t xml:space="preserve">accroissement du nombre de parties contractantes du système de </w:t>
      </w:r>
      <w:r w:rsidR="00570B48" w:rsidRPr="00A32AF4">
        <w:rPr>
          <w:rFonts w:ascii="Arial" w:eastAsia="SimSun" w:hAnsi="Arial" w:cs="Arial"/>
          <w:bCs/>
          <w:iCs/>
          <w:szCs w:val="28"/>
        </w:rPr>
        <w:t xml:space="preserve">Madrid </w:t>
      </w:r>
      <w:r w:rsidRPr="00A32AF4">
        <w:rPr>
          <w:rFonts w:ascii="Arial" w:eastAsia="SimSun" w:hAnsi="Arial" w:cs="Arial"/>
          <w:bCs/>
          <w:iCs/>
          <w:szCs w:val="28"/>
        </w:rPr>
        <w:t>et l</w:t>
      </w:r>
      <w:r w:rsidR="00E2055A" w:rsidRPr="00A32AF4">
        <w:rPr>
          <w:rFonts w:ascii="Arial" w:eastAsia="SimSun" w:hAnsi="Arial" w:cs="Arial"/>
          <w:bCs/>
          <w:iCs/>
          <w:szCs w:val="28"/>
        </w:rPr>
        <w:t>’</w:t>
      </w:r>
      <w:r w:rsidRPr="00A32AF4">
        <w:rPr>
          <w:rFonts w:ascii="Arial" w:eastAsia="SimSun" w:hAnsi="Arial" w:cs="Arial"/>
          <w:bCs/>
          <w:iCs/>
          <w:szCs w:val="28"/>
        </w:rPr>
        <w:t xml:space="preserve">augmentation </w:t>
      </w:r>
      <w:r w:rsidR="001349CB" w:rsidRPr="00A32AF4">
        <w:rPr>
          <w:rFonts w:ascii="Arial" w:eastAsia="SimSun" w:hAnsi="Arial" w:cs="Arial"/>
          <w:bCs/>
          <w:iCs/>
          <w:szCs w:val="28"/>
        </w:rPr>
        <w:t xml:space="preserve">de la demande de services </w:t>
      </w:r>
      <w:r w:rsidRPr="00A32AF4">
        <w:rPr>
          <w:rFonts w:ascii="Arial" w:eastAsia="SimSun" w:hAnsi="Arial" w:cs="Arial"/>
          <w:bCs/>
          <w:iCs/>
          <w:szCs w:val="28"/>
        </w:rPr>
        <w:t>qui en est attendue, ainsi que par la constitution de provisions pour améliorer le fonctionnement du système</w:t>
      </w:r>
      <w:r w:rsidR="00570B48" w:rsidRPr="00A32AF4">
        <w:rPr>
          <w:rFonts w:ascii="Arial" w:eastAsia="SimSun" w:hAnsi="Arial" w:cs="Arial"/>
          <w:bCs/>
          <w:iCs/>
          <w:szCs w:val="28"/>
        </w:rPr>
        <w:t xml:space="preserve">.  </w:t>
      </w:r>
      <w:r w:rsidRPr="00A32AF4">
        <w:rPr>
          <w:rFonts w:ascii="Arial" w:eastAsia="SimSun" w:hAnsi="Arial" w:cs="Arial"/>
          <w:bCs/>
          <w:iCs/>
          <w:szCs w:val="28"/>
        </w:rPr>
        <w:t>Cette augmentation est répercutée sur le résultat escompté </w:t>
      </w:r>
      <w:r w:rsidR="00570B48" w:rsidRPr="00A32AF4">
        <w:rPr>
          <w:rFonts w:ascii="Arial" w:eastAsia="SimSun" w:hAnsi="Arial" w:cs="Arial"/>
          <w:bCs/>
          <w:iCs/>
          <w:szCs w:val="28"/>
        </w:rPr>
        <w:t>II.7.</w:t>
      </w:r>
    </w:p>
    <w:p w:rsidR="00F93B76" w:rsidRPr="00A32AF4" w:rsidRDefault="00F93B76" w:rsidP="00DC0553"/>
    <w:p w:rsidR="00F93B76" w:rsidRPr="00A32AF4" w:rsidRDefault="00F93B76" w:rsidP="00DC0553"/>
    <w:p w:rsidR="00F93B76" w:rsidRPr="00A32AF4" w:rsidRDefault="00570B48" w:rsidP="00DC0553">
      <w:pPr>
        <w:keepNext/>
        <w:keepLines/>
        <w:autoSpaceDE w:val="0"/>
        <w:autoSpaceDN w:val="0"/>
        <w:jc w:val="center"/>
        <w:rPr>
          <w:rFonts w:cs="Arial"/>
          <w:b/>
        </w:rPr>
      </w:pPr>
      <w:r w:rsidRPr="00A32AF4">
        <w:rPr>
          <w:rFonts w:cs="Arial"/>
          <w:b/>
        </w:rPr>
        <w:t>Programme 6 : ressources par résultat</w:t>
      </w:r>
    </w:p>
    <w:p w:rsidR="00F93B76" w:rsidRPr="00A32AF4" w:rsidRDefault="00570B48" w:rsidP="00DC0553">
      <w:pPr>
        <w:keepNext/>
        <w:keepLines/>
        <w:autoSpaceDE w:val="0"/>
        <w:autoSpaceDN w:val="0"/>
        <w:jc w:val="center"/>
        <w:rPr>
          <w:rFonts w:cs="Arial"/>
          <w:i/>
        </w:rPr>
      </w:pPr>
      <w:r w:rsidRPr="00A32AF4">
        <w:rPr>
          <w:rFonts w:cs="Arial"/>
          <w:i/>
        </w:rPr>
        <w:t>(</w:t>
      </w:r>
      <w:proofErr w:type="gramStart"/>
      <w:r w:rsidRPr="00A32AF4">
        <w:rPr>
          <w:rFonts w:cs="Arial"/>
          <w:i/>
        </w:rPr>
        <w:t>en</w:t>
      </w:r>
      <w:proofErr w:type="gramEnd"/>
      <w:r w:rsidRPr="00A32AF4">
        <w:rPr>
          <w:rFonts w:cs="Arial"/>
          <w:i/>
        </w:rPr>
        <w:t xml:space="preserve"> milliers de francs suisses)</w:t>
      </w:r>
    </w:p>
    <w:p w:rsidR="00570B48" w:rsidRPr="00A32AF4" w:rsidRDefault="00570B48" w:rsidP="00DC0553">
      <w:pPr>
        <w:keepNext/>
      </w:pPr>
    </w:p>
    <w:tbl>
      <w:tblPr>
        <w:tblW w:w="8980" w:type="dxa"/>
        <w:tblInd w:w="55" w:type="dxa"/>
        <w:tblCellMar>
          <w:left w:w="70" w:type="dxa"/>
          <w:right w:w="70" w:type="dxa"/>
        </w:tblCellMar>
        <w:tblLook w:val="04A0" w:firstRow="1" w:lastRow="0" w:firstColumn="1" w:lastColumn="0" w:noHBand="0" w:noVBand="1"/>
      </w:tblPr>
      <w:tblGrid>
        <w:gridCol w:w="452"/>
        <w:gridCol w:w="4597"/>
        <w:gridCol w:w="1260"/>
        <w:gridCol w:w="1440"/>
        <w:gridCol w:w="1260"/>
      </w:tblGrid>
      <w:tr w:rsidR="00570B48" w:rsidRPr="00A32AF4" w:rsidTr="00570B48">
        <w:tc>
          <w:tcPr>
            <w:tcW w:w="5020" w:type="dxa"/>
            <w:gridSpan w:val="2"/>
            <w:tcBorders>
              <w:top w:val="single" w:sz="4" w:space="0" w:color="auto"/>
              <w:left w:val="single" w:sz="4" w:space="0" w:color="auto"/>
              <w:bottom w:val="single" w:sz="4" w:space="0" w:color="auto"/>
              <w:right w:val="single" w:sz="4" w:space="0" w:color="000000"/>
            </w:tcBorders>
            <w:shd w:val="clear" w:color="000000" w:fill="C5D9F1"/>
            <w:noWrap/>
            <w:tcMar>
              <w:top w:w="113" w:type="dxa"/>
              <w:bottom w:w="113" w:type="dxa"/>
            </w:tcMar>
            <w:vAlign w:val="center"/>
            <w:hideMark/>
          </w:tcPr>
          <w:p w:rsidR="00570B48" w:rsidRPr="00A32AF4" w:rsidRDefault="00570B48" w:rsidP="00DC0553">
            <w:pPr>
              <w:keepNext/>
              <w:jc w:val="center"/>
              <w:rPr>
                <w:rFonts w:cs="Arial"/>
                <w:i/>
                <w:iCs/>
                <w:sz w:val="16"/>
                <w:szCs w:val="16"/>
                <w:lang w:eastAsia="fr-FR"/>
              </w:rPr>
            </w:pPr>
            <w:r w:rsidRPr="00A32AF4">
              <w:rPr>
                <w:rFonts w:cs="Arial"/>
                <w:i/>
                <w:iCs/>
                <w:sz w:val="16"/>
                <w:szCs w:val="16"/>
                <w:lang w:eastAsia="fr-FR"/>
              </w:rPr>
              <w:t xml:space="preserve">Numéro et description du résultat escompté </w:t>
            </w:r>
          </w:p>
        </w:tc>
        <w:tc>
          <w:tcPr>
            <w:tcW w:w="126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570B48" w:rsidRPr="00A32AF4" w:rsidRDefault="00570B48" w:rsidP="00DC0553">
            <w:pPr>
              <w:keepNext/>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2014</w:t>
            </w:r>
            <w:r w:rsidR="00EB7F54" w:rsidRPr="00A32AF4">
              <w:rPr>
                <w:rFonts w:cs="Arial"/>
                <w:i/>
                <w:iCs/>
                <w:sz w:val="16"/>
                <w:szCs w:val="16"/>
                <w:lang w:eastAsia="fr-FR"/>
              </w:rPr>
              <w:noBreakHyphen/>
            </w:r>
            <w:r w:rsidRPr="00A32AF4">
              <w:rPr>
                <w:rFonts w:cs="Arial"/>
                <w:i/>
                <w:iCs/>
                <w:sz w:val="16"/>
                <w:szCs w:val="16"/>
                <w:lang w:eastAsia="fr-FR"/>
              </w:rPr>
              <w:t>2015 approuvé</w:t>
            </w:r>
          </w:p>
        </w:tc>
        <w:tc>
          <w:tcPr>
            <w:tcW w:w="144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570B48" w:rsidRPr="00A32AF4" w:rsidRDefault="00570B48" w:rsidP="00DC0553">
            <w:pPr>
              <w:keepNext/>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2014</w:t>
            </w:r>
            <w:r w:rsidR="00EB7F54" w:rsidRPr="00A32AF4">
              <w:rPr>
                <w:rFonts w:cs="Arial"/>
                <w:i/>
                <w:iCs/>
                <w:sz w:val="16"/>
                <w:szCs w:val="16"/>
                <w:lang w:eastAsia="fr-FR"/>
              </w:rPr>
              <w:noBreakHyphen/>
            </w:r>
            <w:r w:rsidRPr="00A32AF4">
              <w:rPr>
                <w:rFonts w:cs="Arial"/>
                <w:i/>
                <w:iCs/>
                <w:sz w:val="16"/>
                <w:szCs w:val="16"/>
                <w:lang w:eastAsia="fr-FR"/>
              </w:rPr>
              <w:t>2015 après virements</w:t>
            </w:r>
          </w:p>
        </w:tc>
        <w:tc>
          <w:tcPr>
            <w:tcW w:w="126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570B48" w:rsidRPr="00A32AF4" w:rsidRDefault="00570B48" w:rsidP="00DC0553">
            <w:pPr>
              <w:keepNext/>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2016</w:t>
            </w:r>
            <w:r w:rsidR="00EB7F54" w:rsidRPr="00A32AF4">
              <w:rPr>
                <w:rFonts w:cs="Arial"/>
                <w:i/>
                <w:iCs/>
                <w:sz w:val="16"/>
                <w:szCs w:val="16"/>
                <w:lang w:eastAsia="fr-FR"/>
              </w:rPr>
              <w:noBreakHyphen/>
            </w:r>
            <w:r w:rsidRPr="00A32AF4">
              <w:rPr>
                <w:rFonts w:cs="Arial"/>
                <w:i/>
                <w:iCs/>
                <w:sz w:val="16"/>
                <w:szCs w:val="16"/>
                <w:lang w:eastAsia="fr-FR"/>
              </w:rPr>
              <w:t>2017 proposé</w:t>
            </w:r>
          </w:p>
        </w:tc>
      </w:tr>
      <w:tr w:rsidR="00570B48" w:rsidRPr="00A32AF4" w:rsidTr="00CA4A87">
        <w:tc>
          <w:tcPr>
            <w:tcW w:w="423" w:type="dxa"/>
            <w:tcBorders>
              <w:top w:val="nil"/>
              <w:left w:val="single" w:sz="4" w:space="0" w:color="auto"/>
              <w:right w:val="nil"/>
            </w:tcBorders>
            <w:shd w:val="clear" w:color="auto" w:fill="auto"/>
            <w:noWrap/>
            <w:tcMar>
              <w:top w:w="113" w:type="dxa"/>
              <w:bottom w:w="113" w:type="dxa"/>
            </w:tcMar>
            <w:vAlign w:val="center"/>
            <w:hideMark/>
          </w:tcPr>
          <w:p w:rsidR="00570B48" w:rsidRPr="00A32AF4" w:rsidRDefault="00570B48" w:rsidP="00DC0553">
            <w:pPr>
              <w:keepNext/>
              <w:rPr>
                <w:rFonts w:cs="Arial"/>
                <w:sz w:val="16"/>
                <w:szCs w:val="16"/>
                <w:lang w:eastAsia="fr-FR"/>
              </w:rPr>
            </w:pPr>
            <w:r w:rsidRPr="00A32AF4">
              <w:rPr>
                <w:rFonts w:cs="Arial"/>
                <w:sz w:val="16"/>
                <w:szCs w:val="16"/>
                <w:lang w:eastAsia="fr-FR"/>
              </w:rPr>
              <w:t>II.6</w:t>
            </w:r>
          </w:p>
        </w:tc>
        <w:tc>
          <w:tcPr>
            <w:tcW w:w="4597" w:type="dxa"/>
            <w:tcBorders>
              <w:top w:val="nil"/>
              <w:left w:val="nil"/>
              <w:right w:val="nil"/>
            </w:tcBorders>
            <w:shd w:val="clear" w:color="auto" w:fill="auto"/>
            <w:tcMar>
              <w:top w:w="113" w:type="dxa"/>
              <w:bottom w:w="113" w:type="dxa"/>
            </w:tcMar>
            <w:vAlign w:val="center"/>
            <w:hideMark/>
          </w:tcPr>
          <w:p w:rsidR="00570B48" w:rsidRPr="00A32AF4" w:rsidRDefault="00570B48" w:rsidP="00CA4A87">
            <w:pPr>
              <w:keepNext/>
              <w:rPr>
                <w:rFonts w:cs="Arial"/>
                <w:sz w:val="16"/>
                <w:szCs w:val="16"/>
                <w:lang w:eastAsia="fr-FR"/>
              </w:rPr>
            </w:pPr>
            <w:r w:rsidRPr="00A32AF4">
              <w:rPr>
                <w:rFonts w:cs="Arial"/>
                <w:sz w:val="16"/>
                <w:szCs w:val="16"/>
                <w:lang w:eastAsia="fr-FR"/>
              </w:rPr>
              <w:t>Utilisation élargie et plus efficace d</w:t>
            </w:r>
            <w:r w:rsidR="00CA4A87" w:rsidRPr="00A32AF4">
              <w:rPr>
                <w:rFonts w:cs="Arial"/>
                <w:sz w:val="16"/>
                <w:szCs w:val="16"/>
                <w:lang w:eastAsia="fr-FR"/>
              </w:rPr>
              <w:t>u système</w:t>
            </w:r>
            <w:r w:rsidRPr="00A32AF4">
              <w:rPr>
                <w:rFonts w:cs="Arial"/>
                <w:sz w:val="16"/>
                <w:szCs w:val="16"/>
                <w:lang w:eastAsia="fr-FR"/>
              </w:rPr>
              <w:t xml:space="preserve"> de Madrid, notamment par les pays en développement et</w:t>
            </w:r>
            <w:r w:rsidR="00E2055A" w:rsidRPr="00A32AF4">
              <w:rPr>
                <w:rFonts w:cs="Arial"/>
                <w:sz w:val="16"/>
                <w:szCs w:val="16"/>
                <w:lang w:eastAsia="fr-FR"/>
              </w:rPr>
              <w:t xml:space="preserve"> les PMA</w:t>
            </w:r>
          </w:p>
        </w:tc>
        <w:tc>
          <w:tcPr>
            <w:tcW w:w="1260" w:type="dxa"/>
            <w:tcBorders>
              <w:top w:val="nil"/>
              <w:left w:val="nil"/>
              <w:right w:val="nil"/>
            </w:tcBorders>
            <w:shd w:val="clear" w:color="auto" w:fill="auto"/>
            <w:tcMar>
              <w:top w:w="113" w:type="dxa"/>
              <w:bottom w:w="113" w:type="dxa"/>
            </w:tcMar>
            <w:vAlign w:val="center"/>
            <w:hideMark/>
          </w:tcPr>
          <w:p w:rsidR="00570B48" w:rsidRPr="00A32AF4" w:rsidRDefault="00570B48" w:rsidP="00DC0553">
            <w:pPr>
              <w:keepNext/>
              <w:jc w:val="right"/>
              <w:rPr>
                <w:rFonts w:cs="Arial"/>
                <w:sz w:val="16"/>
                <w:szCs w:val="16"/>
                <w:lang w:eastAsia="fr-FR"/>
              </w:rPr>
            </w:pPr>
            <w:r w:rsidRPr="00A32AF4">
              <w:rPr>
                <w:rFonts w:cs="Arial"/>
                <w:sz w:val="16"/>
                <w:szCs w:val="16"/>
                <w:lang w:eastAsia="fr-FR"/>
              </w:rPr>
              <w:t>14</w:t>
            </w:r>
            <w:r w:rsidR="00FD43E3" w:rsidRPr="00A32AF4">
              <w:rPr>
                <w:rFonts w:cs="Arial"/>
                <w:sz w:val="16"/>
                <w:szCs w:val="16"/>
                <w:lang w:eastAsia="fr-FR"/>
              </w:rPr>
              <w:t> </w:t>
            </w:r>
            <w:r w:rsidRPr="00A32AF4">
              <w:rPr>
                <w:rFonts w:cs="Arial"/>
                <w:sz w:val="16"/>
                <w:szCs w:val="16"/>
                <w:lang w:eastAsia="fr-FR"/>
              </w:rPr>
              <w:t xml:space="preserve">313 </w:t>
            </w:r>
          </w:p>
        </w:tc>
        <w:tc>
          <w:tcPr>
            <w:tcW w:w="1440" w:type="dxa"/>
            <w:tcBorders>
              <w:top w:val="nil"/>
              <w:left w:val="nil"/>
              <w:right w:val="nil"/>
            </w:tcBorders>
            <w:shd w:val="clear" w:color="auto" w:fill="auto"/>
            <w:tcMar>
              <w:top w:w="113" w:type="dxa"/>
              <w:bottom w:w="113" w:type="dxa"/>
            </w:tcMar>
            <w:vAlign w:val="center"/>
            <w:hideMark/>
          </w:tcPr>
          <w:p w:rsidR="00570B48" w:rsidRPr="00A32AF4" w:rsidRDefault="00570B48" w:rsidP="00DC0553">
            <w:pPr>
              <w:keepNext/>
              <w:jc w:val="right"/>
              <w:rPr>
                <w:rFonts w:cs="Arial"/>
                <w:sz w:val="16"/>
                <w:szCs w:val="16"/>
                <w:lang w:eastAsia="fr-FR"/>
              </w:rPr>
            </w:pPr>
            <w:r w:rsidRPr="00A32AF4">
              <w:rPr>
                <w:rFonts w:cs="Arial"/>
                <w:sz w:val="16"/>
                <w:szCs w:val="16"/>
                <w:lang w:eastAsia="fr-FR"/>
              </w:rPr>
              <w:t>16</w:t>
            </w:r>
            <w:r w:rsidR="00FD43E3" w:rsidRPr="00A32AF4">
              <w:rPr>
                <w:rFonts w:cs="Arial"/>
                <w:sz w:val="16"/>
                <w:szCs w:val="16"/>
                <w:lang w:eastAsia="fr-FR"/>
              </w:rPr>
              <w:t> </w:t>
            </w:r>
            <w:r w:rsidRPr="00A32AF4">
              <w:rPr>
                <w:rFonts w:cs="Arial"/>
                <w:sz w:val="16"/>
                <w:szCs w:val="16"/>
                <w:lang w:eastAsia="fr-FR"/>
              </w:rPr>
              <w:t xml:space="preserve">053 </w:t>
            </w:r>
          </w:p>
        </w:tc>
        <w:tc>
          <w:tcPr>
            <w:tcW w:w="1260" w:type="dxa"/>
            <w:tcBorders>
              <w:top w:val="nil"/>
              <w:left w:val="nil"/>
              <w:right w:val="single" w:sz="4" w:space="0" w:color="auto"/>
            </w:tcBorders>
            <w:shd w:val="clear" w:color="auto" w:fill="auto"/>
            <w:noWrap/>
            <w:tcMar>
              <w:top w:w="113" w:type="dxa"/>
              <w:bottom w:w="113" w:type="dxa"/>
            </w:tcMar>
            <w:vAlign w:val="center"/>
            <w:hideMark/>
          </w:tcPr>
          <w:p w:rsidR="00570B48" w:rsidRPr="00A32AF4" w:rsidRDefault="00CA4A87" w:rsidP="00DC0553">
            <w:pPr>
              <w:keepNext/>
              <w:jc w:val="right"/>
              <w:rPr>
                <w:rFonts w:cs="Arial"/>
                <w:color w:val="000000"/>
                <w:sz w:val="16"/>
                <w:szCs w:val="16"/>
                <w:lang w:eastAsia="fr-FR"/>
              </w:rPr>
            </w:pPr>
            <w:r w:rsidRPr="00A32AF4">
              <w:rPr>
                <w:rFonts w:cs="Arial"/>
                <w:color w:val="000000"/>
                <w:sz w:val="16"/>
                <w:szCs w:val="16"/>
                <w:lang w:eastAsia="fr-FR"/>
              </w:rPr>
              <w:t>15 755</w:t>
            </w:r>
          </w:p>
        </w:tc>
      </w:tr>
      <w:tr w:rsidR="00570B48" w:rsidRPr="00A32AF4" w:rsidTr="00CA4A87">
        <w:tc>
          <w:tcPr>
            <w:tcW w:w="423" w:type="dxa"/>
            <w:tcBorders>
              <w:top w:val="nil"/>
              <w:left w:val="single" w:sz="4" w:space="0" w:color="auto"/>
              <w:right w:val="nil"/>
            </w:tcBorders>
            <w:shd w:val="clear" w:color="auto" w:fill="auto"/>
            <w:noWrap/>
            <w:tcMar>
              <w:top w:w="113" w:type="dxa"/>
              <w:bottom w:w="113" w:type="dxa"/>
            </w:tcMar>
            <w:vAlign w:val="center"/>
            <w:hideMark/>
          </w:tcPr>
          <w:p w:rsidR="00570B48" w:rsidRPr="00A32AF4" w:rsidRDefault="00570B48" w:rsidP="00DC0553">
            <w:pPr>
              <w:rPr>
                <w:rFonts w:cs="Arial"/>
                <w:sz w:val="16"/>
                <w:szCs w:val="16"/>
                <w:lang w:eastAsia="fr-FR"/>
              </w:rPr>
            </w:pPr>
            <w:r w:rsidRPr="00A32AF4">
              <w:rPr>
                <w:rFonts w:cs="Arial"/>
                <w:sz w:val="16"/>
                <w:szCs w:val="16"/>
                <w:lang w:eastAsia="fr-FR"/>
              </w:rPr>
              <w:t>II.7</w:t>
            </w:r>
          </w:p>
        </w:tc>
        <w:tc>
          <w:tcPr>
            <w:tcW w:w="4597" w:type="dxa"/>
            <w:tcBorders>
              <w:top w:val="nil"/>
              <w:left w:val="nil"/>
              <w:right w:val="nil"/>
            </w:tcBorders>
            <w:shd w:val="clear" w:color="auto" w:fill="auto"/>
            <w:tcMar>
              <w:top w:w="113" w:type="dxa"/>
              <w:bottom w:w="113" w:type="dxa"/>
            </w:tcMar>
            <w:vAlign w:val="center"/>
            <w:hideMark/>
          </w:tcPr>
          <w:p w:rsidR="00570B48" w:rsidRPr="00A32AF4" w:rsidRDefault="00570B48" w:rsidP="00CA4A87">
            <w:pPr>
              <w:rPr>
                <w:rFonts w:cs="Arial"/>
                <w:sz w:val="16"/>
                <w:szCs w:val="16"/>
                <w:lang w:eastAsia="fr-FR"/>
              </w:rPr>
            </w:pPr>
            <w:r w:rsidRPr="00A32AF4">
              <w:rPr>
                <w:rFonts w:cs="Arial"/>
                <w:sz w:val="16"/>
                <w:szCs w:val="16"/>
                <w:lang w:eastAsia="fr-FR"/>
              </w:rPr>
              <w:t>Amélioration de la productivité et de la qualité de service des opérations d</w:t>
            </w:r>
            <w:r w:rsidR="00CA4A87" w:rsidRPr="00A32AF4">
              <w:rPr>
                <w:rFonts w:cs="Arial"/>
                <w:sz w:val="16"/>
                <w:szCs w:val="16"/>
                <w:lang w:eastAsia="fr-FR"/>
              </w:rPr>
              <w:t>u système</w:t>
            </w:r>
            <w:r w:rsidRPr="00A32AF4">
              <w:rPr>
                <w:rFonts w:cs="Arial"/>
                <w:sz w:val="16"/>
                <w:szCs w:val="16"/>
                <w:lang w:eastAsia="fr-FR"/>
              </w:rPr>
              <w:t xml:space="preserve"> de Madrid</w:t>
            </w:r>
          </w:p>
        </w:tc>
        <w:tc>
          <w:tcPr>
            <w:tcW w:w="1260" w:type="dxa"/>
            <w:tcBorders>
              <w:top w:val="nil"/>
              <w:left w:val="nil"/>
              <w:right w:val="nil"/>
            </w:tcBorders>
            <w:shd w:val="clear" w:color="auto" w:fill="auto"/>
            <w:tcMar>
              <w:top w:w="113" w:type="dxa"/>
              <w:bottom w:w="113" w:type="dxa"/>
            </w:tcMar>
            <w:vAlign w:val="center"/>
            <w:hideMark/>
          </w:tcPr>
          <w:p w:rsidR="00570B48" w:rsidRPr="00A32AF4" w:rsidRDefault="00570B48" w:rsidP="00DC0553">
            <w:pPr>
              <w:jc w:val="right"/>
              <w:rPr>
                <w:rFonts w:cs="Arial"/>
                <w:sz w:val="16"/>
                <w:szCs w:val="16"/>
                <w:lang w:eastAsia="fr-FR"/>
              </w:rPr>
            </w:pPr>
            <w:r w:rsidRPr="00A32AF4">
              <w:rPr>
                <w:rFonts w:cs="Arial"/>
                <w:sz w:val="16"/>
                <w:szCs w:val="16"/>
                <w:lang w:eastAsia="fr-FR"/>
              </w:rPr>
              <w:t>40</w:t>
            </w:r>
            <w:r w:rsidR="00FD43E3" w:rsidRPr="00A32AF4">
              <w:rPr>
                <w:rFonts w:cs="Arial"/>
                <w:sz w:val="16"/>
                <w:szCs w:val="16"/>
                <w:lang w:eastAsia="fr-FR"/>
              </w:rPr>
              <w:t> </w:t>
            </w:r>
            <w:r w:rsidRPr="00A32AF4">
              <w:rPr>
                <w:rFonts w:cs="Arial"/>
                <w:sz w:val="16"/>
                <w:szCs w:val="16"/>
                <w:lang w:eastAsia="fr-FR"/>
              </w:rPr>
              <w:t xml:space="preserve">932 </w:t>
            </w:r>
          </w:p>
        </w:tc>
        <w:tc>
          <w:tcPr>
            <w:tcW w:w="1440" w:type="dxa"/>
            <w:tcBorders>
              <w:top w:val="nil"/>
              <w:left w:val="nil"/>
              <w:right w:val="nil"/>
            </w:tcBorders>
            <w:shd w:val="clear" w:color="auto" w:fill="auto"/>
            <w:tcMar>
              <w:top w:w="113" w:type="dxa"/>
              <w:bottom w:w="113" w:type="dxa"/>
            </w:tcMar>
            <w:vAlign w:val="center"/>
            <w:hideMark/>
          </w:tcPr>
          <w:p w:rsidR="00570B48" w:rsidRPr="00A32AF4" w:rsidRDefault="00570B48" w:rsidP="00DC0553">
            <w:pPr>
              <w:jc w:val="right"/>
              <w:rPr>
                <w:rFonts w:cs="Arial"/>
                <w:sz w:val="16"/>
                <w:szCs w:val="16"/>
                <w:lang w:eastAsia="fr-FR"/>
              </w:rPr>
            </w:pPr>
            <w:r w:rsidRPr="00A32AF4">
              <w:rPr>
                <w:rFonts w:cs="Arial"/>
                <w:sz w:val="16"/>
                <w:szCs w:val="16"/>
                <w:lang w:eastAsia="fr-FR"/>
              </w:rPr>
              <w:t>39</w:t>
            </w:r>
            <w:r w:rsidR="00FD43E3" w:rsidRPr="00A32AF4">
              <w:rPr>
                <w:rFonts w:cs="Arial"/>
                <w:sz w:val="16"/>
                <w:szCs w:val="16"/>
                <w:lang w:eastAsia="fr-FR"/>
              </w:rPr>
              <w:t> </w:t>
            </w:r>
            <w:r w:rsidRPr="00A32AF4">
              <w:rPr>
                <w:rFonts w:cs="Arial"/>
                <w:sz w:val="16"/>
                <w:szCs w:val="16"/>
                <w:lang w:eastAsia="fr-FR"/>
              </w:rPr>
              <w:t xml:space="preserve">221 </w:t>
            </w:r>
          </w:p>
        </w:tc>
        <w:tc>
          <w:tcPr>
            <w:tcW w:w="1260" w:type="dxa"/>
            <w:tcBorders>
              <w:top w:val="nil"/>
              <w:left w:val="nil"/>
              <w:right w:val="single" w:sz="4" w:space="0" w:color="auto"/>
            </w:tcBorders>
            <w:shd w:val="clear" w:color="auto" w:fill="auto"/>
            <w:noWrap/>
            <w:tcMar>
              <w:top w:w="113" w:type="dxa"/>
              <w:bottom w:w="113" w:type="dxa"/>
            </w:tcMar>
            <w:vAlign w:val="center"/>
            <w:hideMark/>
          </w:tcPr>
          <w:p w:rsidR="00570B48" w:rsidRPr="00A32AF4" w:rsidRDefault="00C73EE1" w:rsidP="00CA4A87">
            <w:pPr>
              <w:jc w:val="right"/>
              <w:rPr>
                <w:rFonts w:cs="Arial"/>
                <w:color w:val="000000"/>
                <w:sz w:val="16"/>
                <w:szCs w:val="16"/>
                <w:lang w:eastAsia="fr-FR"/>
              </w:rPr>
            </w:pPr>
            <w:r w:rsidRPr="00A32AF4">
              <w:rPr>
                <w:rFonts w:cs="Arial"/>
                <w:color w:val="000000"/>
                <w:sz w:val="16"/>
                <w:szCs w:val="16"/>
                <w:lang w:eastAsia="fr-FR"/>
              </w:rPr>
              <w:t>42</w:t>
            </w:r>
            <w:r w:rsidR="00EF7899" w:rsidRPr="00A32AF4">
              <w:rPr>
                <w:rFonts w:cs="Arial"/>
                <w:color w:val="000000"/>
                <w:sz w:val="16"/>
                <w:szCs w:val="16"/>
                <w:lang w:eastAsia="fr-FR"/>
              </w:rPr>
              <w:t> </w:t>
            </w:r>
            <w:r w:rsidR="00CA4A87" w:rsidRPr="00A32AF4">
              <w:rPr>
                <w:rFonts w:cs="Arial"/>
                <w:color w:val="000000"/>
                <w:sz w:val="16"/>
                <w:szCs w:val="16"/>
                <w:lang w:eastAsia="fr-FR"/>
              </w:rPr>
              <w:t>253</w:t>
            </w:r>
          </w:p>
        </w:tc>
      </w:tr>
      <w:tr w:rsidR="00CA4A87" w:rsidRPr="00A32AF4" w:rsidTr="00CA4A87">
        <w:tc>
          <w:tcPr>
            <w:tcW w:w="423" w:type="dxa"/>
            <w:tcBorders>
              <w:left w:val="single" w:sz="4" w:space="0" w:color="auto"/>
              <w:bottom w:val="single" w:sz="4" w:space="0" w:color="auto"/>
              <w:right w:val="nil"/>
            </w:tcBorders>
            <w:shd w:val="clear" w:color="auto" w:fill="auto"/>
            <w:noWrap/>
            <w:tcMar>
              <w:top w:w="113" w:type="dxa"/>
              <w:bottom w:w="113" w:type="dxa"/>
            </w:tcMar>
            <w:vAlign w:val="center"/>
          </w:tcPr>
          <w:p w:rsidR="00CA4A87" w:rsidRPr="00A32AF4" w:rsidRDefault="00CA4A87" w:rsidP="000F45B2">
            <w:pPr>
              <w:rPr>
                <w:rFonts w:cs="Arial"/>
                <w:sz w:val="16"/>
                <w:szCs w:val="16"/>
                <w:lang w:eastAsia="fr-FR"/>
              </w:rPr>
            </w:pPr>
            <w:r w:rsidRPr="00A32AF4">
              <w:rPr>
                <w:rFonts w:cs="Arial"/>
                <w:sz w:val="16"/>
                <w:szCs w:val="16"/>
                <w:lang w:eastAsia="fr-FR"/>
              </w:rPr>
              <w:t>II.11</w:t>
            </w:r>
          </w:p>
        </w:tc>
        <w:tc>
          <w:tcPr>
            <w:tcW w:w="4597" w:type="dxa"/>
            <w:tcBorders>
              <w:left w:val="nil"/>
              <w:bottom w:val="single" w:sz="4" w:space="0" w:color="auto"/>
              <w:right w:val="nil"/>
            </w:tcBorders>
            <w:shd w:val="clear" w:color="auto" w:fill="auto"/>
            <w:tcMar>
              <w:top w:w="113" w:type="dxa"/>
              <w:bottom w:w="113" w:type="dxa"/>
            </w:tcMar>
            <w:vAlign w:val="center"/>
          </w:tcPr>
          <w:p w:rsidR="00CA4A87" w:rsidRPr="00A32AF4" w:rsidRDefault="00CA4A87" w:rsidP="00CA4A87">
            <w:pPr>
              <w:rPr>
                <w:rFonts w:cs="Arial"/>
                <w:sz w:val="16"/>
                <w:szCs w:val="16"/>
                <w:lang w:eastAsia="fr-FR"/>
              </w:rPr>
            </w:pPr>
            <w:r w:rsidRPr="00A32AF4">
              <w:rPr>
                <w:rFonts w:cs="Arial"/>
                <w:sz w:val="16"/>
                <w:szCs w:val="16"/>
                <w:lang w:eastAsia="fr-FR"/>
              </w:rPr>
              <w:t>Amélioration de la productivité et de la qualité de service des opérations du système de Lisbonne</w:t>
            </w:r>
          </w:p>
        </w:tc>
        <w:tc>
          <w:tcPr>
            <w:tcW w:w="1260" w:type="dxa"/>
            <w:tcBorders>
              <w:left w:val="nil"/>
              <w:bottom w:val="single" w:sz="4" w:space="0" w:color="auto"/>
              <w:right w:val="nil"/>
            </w:tcBorders>
            <w:shd w:val="clear" w:color="auto" w:fill="auto"/>
            <w:tcMar>
              <w:top w:w="113" w:type="dxa"/>
              <w:bottom w:w="113" w:type="dxa"/>
            </w:tcMar>
            <w:vAlign w:val="center"/>
          </w:tcPr>
          <w:p w:rsidR="00CA4A87" w:rsidRPr="00A32AF4" w:rsidRDefault="00CA4A87" w:rsidP="000F45B2">
            <w:pPr>
              <w:jc w:val="right"/>
              <w:rPr>
                <w:rFonts w:cs="Arial"/>
                <w:sz w:val="16"/>
                <w:szCs w:val="16"/>
                <w:lang w:eastAsia="fr-FR"/>
              </w:rPr>
            </w:pPr>
            <w:r w:rsidRPr="00A32AF4">
              <w:rPr>
                <w:rFonts w:cs="Arial"/>
                <w:sz w:val="16"/>
                <w:szCs w:val="16"/>
                <w:lang w:eastAsia="fr-FR"/>
              </w:rPr>
              <w:t>–</w:t>
            </w:r>
          </w:p>
        </w:tc>
        <w:tc>
          <w:tcPr>
            <w:tcW w:w="1440" w:type="dxa"/>
            <w:tcBorders>
              <w:left w:val="nil"/>
              <w:bottom w:val="single" w:sz="4" w:space="0" w:color="auto"/>
              <w:right w:val="nil"/>
            </w:tcBorders>
            <w:shd w:val="clear" w:color="auto" w:fill="auto"/>
            <w:tcMar>
              <w:top w:w="113" w:type="dxa"/>
              <w:bottom w:w="113" w:type="dxa"/>
            </w:tcMar>
            <w:vAlign w:val="center"/>
          </w:tcPr>
          <w:p w:rsidR="00CA4A87" w:rsidRPr="00A32AF4" w:rsidRDefault="00CA4A87" w:rsidP="000F45B2">
            <w:pPr>
              <w:jc w:val="right"/>
              <w:rPr>
                <w:rFonts w:cs="Arial"/>
                <w:sz w:val="16"/>
                <w:szCs w:val="16"/>
                <w:lang w:eastAsia="fr-FR"/>
              </w:rPr>
            </w:pPr>
            <w:r w:rsidRPr="00A32AF4">
              <w:rPr>
                <w:rFonts w:cs="Arial"/>
                <w:sz w:val="16"/>
                <w:szCs w:val="16"/>
                <w:lang w:eastAsia="fr-FR"/>
              </w:rPr>
              <w:t>–</w:t>
            </w:r>
          </w:p>
        </w:tc>
        <w:tc>
          <w:tcPr>
            <w:tcW w:w="1260" w:type="dxa"/>
            <w:tcBorders>
              <w:left w:val="nil"/>
              <w:bottom w:val="single" w:sz="4" w:space="0" w:color="auto"/>
              <w:right w:val="single" w:sz="4" w:space="0" w:color="auto"/>
            </w:tcBorders>
            <w:shd w:val="clear" w:color="auto" w:fill="auto"/>
            <w:noWrap/>
            <w:tcMar>
              <w:top w:w="113" w:type="dxa"/>
              <w:bottom w:w="113" w:type="dxa"/>
            </w:tcMar>
            <w:vAlign w:val="center"/>
          </w:tcPr>
          <w:p w:rsidR="00CA4A87" w:rsidRPr="00A32AF4" w:rsidRDefault="00CA4A87" w:rsidP="000F45B2">
            <w:pPr>
              <w:jc w:val="right"/>
              <w:rPr>
                <w:rFonts w:cs="Arial"/>
                <w:color w:val="000000"/>
                <w:sz w:val="16"/>
                <w:szCs w:val="16"/>
                <w:lang w:eastAsia="fr-FR"/>
              </w:rPr>
            </w:pPr>
            <w:r w:rsidRPr="00A32AF4">
              <w:rPr>
                <w:rFonts w:cs="Arial"/>
                <w:color w:val="000000"/>
                <w:sz w:val="16"/>
                <w:szCs w:val="16"/>
                <w:lang w:eastAsia="fr-FR"/>
              </w:rPr>
              <w:t>99</w:t>
            </w:r>
          </w:p>
        </w:tc>
      </w:tr>
      <w:tr w:rsidR="00CA4A87" w:rsidRPr="00A32AF4" w:rsidTr="00CA4A87">
        <w:tc>
          <w:tcPr>
            <w:tcW w:w="423" w:type="dxa"/>
            <w:tcBorders>
              <w:top w:val="single" w:sz="4" w:space="0" w:color="auto"/>
              <w:left w:val="single" w:sz="4" w:space="0" w:color="auto"/>
              <w:bottom w:val="single" w:sz="4" w:space="0" w:color="auto"/>
              <w:right w:val="nil"/>
            </w:tcBorders>
            <w:shd w:val="clear" w:color="000000" w:fill="C5D9F1"/>
            <w:noWrap/>
            <w:tcMar>
              <w:top w:w="113" w:type="dxa"/>
              <w:bottom w:w="113" w:type="dxa"/>
            </w:tcMar>
            <w:vAlign w:val="bottom"/>
            <w:hideMark/>
          </w:tcPr>
          <w:p w:rsidR="00CA4A87" w:rsidRPr="00A32AF4" w:rsidRDefault="00CA4A87" w:rsidP="00DC0553">
            <w:pPr>
              <w:rPr>
                <w:rFonts w:cs="Arial"/>
                <w:sz w:val="16"/>
                <w:szCs w:val="16"/>
                <w:lang w:eastAsia="fr-FR"/>
              </w:rPr>
            </w:pPr>
            <w:r w:rsidRPr="00A32AF4">
              <w:rPr>
                <w:rFonts w:cs="Arial"/>
                <w:sz w:val="16"/>
                <w:szCs w:val="16"/>
                <w:lang w:eastAsia="fr-FR"/>
              </w:rPr>
              <w:t> </w:t>
            </w:r>
          </w:p>
        </w:tc>
        <w:tc>
          <w:tcPr>
            <w:tcW w:w="4597"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CA4A87" w:rsidRPr="00A32AF4" w:rsidRDefault="00CA4A87" w:rsidP="00DC0553">
            <w:pPr>
              <w:rPr>
                <w:rFonts w:cs="Arial"/>
                <w:b/>
                <w:bCs/>
                <w:sz w:val="16"/>
                <w:szCs w:val="16"/>
                <w:lang w:eastAsia="fr-FR"/>
              </w:rPr>
            </w:pPr>
            <w:r w:rsidRPr="00A32AF4">
              <w:rPr>
                <w:rFonts w:cs="Arial"/>
                <w:b/>
                <w:bCs/>
                <w:sz w:val="16"/>
                <w:szCs w:val="16"/>
                <w:lang w:eastAsia="fr-FR"/>
              </w:rPr>
              <w:t>Total</w:t>
            </w:r>
          </w:p>
        </w:tc>
        <w:tc>
          <w:tcPr>
            <w:tcW w:w="1260"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CA4A87" w:rsidRPr="00A32AF4" w:rsidRDefault="00CA4A87" w:rsidP="00DC0553">
            <w:pPr>
              <w:jc w:val="right"/>
              <w:rPr>
                <w:rFonts w:cs="Arial"/>
                <w:b/>
                <w:bCs/>
                <w:sz w:val="16"/>
                <w:szCs w:val="16"/>
                <w:lang w:eastAsia="fr-FR"/>
              </w:rPr>
            </w:pPr>
            <w:r w:rsidRPr="00A32AF4">
              <w:rPr>
                <w:rFonts w:cs="Arial"/>
                <w:b/>
                <w:bCs/>
                <w:sz w:val="16"/>
                <w:szCs w:val="16"/>
                <w:lang w:eastAsia="fr-FR"/>
              </w:rPr>
              <w:t xml:space="preserve">55 245 </w:t>
            </w:r>
          </w:p>
        </w:tc>
        <w:tc>
          <w:tcPr>
            <w:tcW w:w="1440"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CA4A87" w:rsidRPr="00A32AF4" w:rsidRDefault="00CA4A87" w:rsidP="00DC0553">
            <w:pPr>
              <w:jc w:val="right"/>
              <w:rPr>
                <w:rFonts w:cs="Arial"/>
                <w:b/>
                <w:bCs/>
                <w:sz w:val="16"/>
                <w:szCs w:val="16"/>
                <w:lang w:eastAsia="fr-FR"/>
              </w:rPr>
            </w:pPr>
            <w:r w:rsidRPr="00A32AF4">
              <w:rPr>
                <w:rFonts w:cs="Arial"/>
                <w:b/>
                <w:bCs/>
                <w:sz w:val="16"/>
                <w:szCs w:val="16"/>
                <w:lang w:eastAsia="fr-FR"/>
              </w:rPr>
              <w:t xml:space="preserve">55 274 </w:t>
            </w:r>
          </w:p>
        </w:tc>
        <w:tc>
          <w:tcPr>
            <w:tcW w:w="1260"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CA4A87" w:rsidRPr="00A32AF4" w:rsidRDefault="00CA4A87" w:rsidP="00DC0553">
            <w:pPr>
              <w:jc w:val="right"/>
              <w:rPr>
                <w:rFonts w:cs="Arial"/>
                <w:b/>
                <w:bCs/>
                <w:sz w:val="16"/>
                <w:szCs w:val="16"/>
                <w:lang w:eastAsia="fr-FR"/>
              </w:rPr>
            </w:pPr>
            <w:r w:rsidRPr="00A32AF4">
              <w:rPr>
                <w:rFonts w:cs="Arial"/>
                <w:b/>
                <w:bCs/>
                <w:sz w:val="16"/>
                <w:szCs w:val="16"/>
                <w:lang w:eastAsia="fr-FR"/>
              </w:rPr>
              <w:t xml:space="preserve">58 106 </w:t>
            </w:r>
          </w:p>
        </w:tc>
      </w:tr>
    </w:tbl>
    <w:p w:rsidR="00F93B76" w:rsidRPr="00A32AF4" w:rsidRDefault="00F93B76" w:rsidP="00DC0553">
      <w:pPr>
        <w:rPr>
          <w:rFonts w:eastAsia="SimSun"/>
        </w:rPr>
      </w:pPr>
    </w:p>
    <w:p w:rsidR="00F93B76" w:rsidRPr="00A32AF4" w:rsidRDefault="00F93B76" w:rsidP="00DC0553">
      <w:pPr>
        <w:rPr>
          <w:rFonts w:eastAsia="SimSun"/>
        </w:rPr>
      </w:pPr>
    </w:p>
    <w:p w:rsidR="00F93B76" w:rsidRPr="00A32AF4" w:rsidRDefault="00570B48" w:rsidP="00DC0553">
      <w:pPr>
        <w:keepNext/>
        <w:keepLines/>
        <w:autoSpaceDE w:val="0"/>
        <w:autoSpaceDN w:val="0"/>
        <w:jc w:val="center"/>
        <w:rPr>
          <w:rFonts w:cs="Arial"/>
          <w:b/>
        </w:rPr>
      </w:pPr>
      <w:r w:rsidRPr="00A32AF4">
        <w:rPr>
          <w:rFonts w:cs="Arial"/>
          <w:b/>
        </w:rPr>
        <w:t>Programme 6 : ressources par objet de dépense</w:t>
      </w:r>
    </w:p>
    <w:p w:rsidR="00F93B76" w:rsidRPr="00A32AF4" w:rsidRDefault="00570B48" w:rsidP="00DC0553">
      <w:pPr>
        <w:keepNext/>
        <w:keepLines/>
        <w:autoSpaceDE w:val="0"/>
        <w:autoSpaceDN w:val="0"/>
        <w:jc w:val="center"/>
        <w:rPr>
          <w:rFonts w:cs="Arial"/>
          <w:i/>
        </w:rPr>
      </w:pPr>
      <w:r w:rsidRPr="00A32AF4">
        <w:rPr>
          <w:rFonts w:cs="Arial"/>
          <w:i/>
        </w:rPr>
        <w:t>(</w:t>
      </w:r>
      <w:proofErr w:type="gramStart"/>
      <w:r w:rsidRPr="00A32AF4">
        <w:rPr>
          <w:rFonts w:cs="Arial"/>
          <w:i/>
        </w:rPr>
        <w:t>en</w:t>
      </w:r>
      <w:proofErr w:type="gramEnd"/>
      <w:r w:rsidRPr="00A32AF4">
        <w:rPr>
          <w:rFonts w:cs="Arial"/>
          <w:i/>
        </w:rPr>
        <w:t xml:space="preserve"> milliers de francs suisses)</w:t>
      </w:r>
    </w:p>
    <w:p w:rsidR="00F93B76" w:rsidRPr="00A32AF4" w:rsidRDefault="00F93B76" w:rsidP="00DC0553">
      <w:pPr>
        <w:keepNext/>
        <w:rPr>
          <w:rFonts w:eastAsia="SimSun"/>
        </w:rPr>
      </w:pPr>
    </w:p>
    <w:p w:rsidR="00F93B76" w:rsidRPr="00A32AF4" w:rsidRDefault="00FB42D0" w:rsidP="00DC0553">
      <w:pPr>
        <w:rPr>
          <w:rFonts w:eastAsia="SimSun"/>
        </w:rPr>
      </w:pPr>
      <w:r w:rsidRPr="00A32AF4">
        <w:rPr>
          <w:rFonts w:eastAsia="SimSun"/>
          <w:noProof/>
          <w:lang w:eastAsia="fr-FR"/>
        </w:rPr>
        <w:drawing>
          <wp:inline distT="0" distB="0" distL="0" distR="0" wp14:anchorId="057D05B9" wp14:editId="28512B67">
            <wp:extent cx="5514975" cy="6551930"/>
            <wp:effectExtent l="0" t="0" r="9525" b="1270"/>
            <wp:docPr id="966" name="Picture 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514975" cy="6551930"/>
                    </a:xfrm>
                    <a:prstGeom prst="rect">
                      <a:avLst/>
                    </a:prstGeom>
                    <a:noFill/>
                    <a:ln>
                      <a:noFill/>
                    </a:ln>
                  </pic:spPr>
                </pic:pic>
              </a:graphicData>
            </a:graphic>
          </wp:inline>
        </w:drawing>
      </w:r>
    </w:p>
    <w:p w:rsidR="00F93B76" w:rsidRPr="00A32AF4" w:rsidRDefault="00570B48" w:rsidP="00DC0553">
      <w:pPr>
        <w:rPr>
          <w:rFonts w:ascii="Arial Bold" w:hAnsi="Arial Bold" w:cs="Arial"/>
          <w:iCs/>
          <w:caps/>
          <w:szCs w:val="22"/>
        </w:rPr>
      </w:pPr>
      <w:r w:rsidRPr="00A32AF4">
        <w:br w:type="page"/>
      </w:r>
    </w:p>
    <w:p w:rsidR="0088488D" w:rsidRPr="00A32AF4" w:rsidRDefault="0088488D" w:rsidP="00FB1F61">
      <w:pPr>
        <w:pStyle w:val="Heading3"/>
      </w:pPr>
      <w:bookmarkStart w:id="29" w:name="_Toc301357248"/>
      <w:bookmarkStart w:id="30" w:name="_Toc419283248"/>
      <w:bookmarkStart w:id="31" w:name="_Toc431555442"/>
      <w:r w:rsidRPr="00A32AF4">
        <w:t>PROGRAMME 31</w:t>
      </w:r>
      <w:r w:rsidRPr="00A32AF4">
        <w:tab/>
        <w:t xml:space="preserve">le système de </w:t>
      </w:r>
      <w:r w:rsidR="00E2055A" w:rsidRPr="00A32AF4">
        <w:t>La Haye</w:t>
      </w:r>
      <w:bookmarkEnd w:id="29"/>
      <w:bookmarkEnd w:id="30"/>
      <w:bookmarkEnd w:id="31"/>
    </w:p>
    <w:p w:rsidR="0088488D" w:rsidRPr="00A32AF4" w:rsidRDefault="0088488D" w:rsidP="00DC0553"/>
    <w:p w:rsidR="0088488D" w:rsidRPr="00A32AF4" w:rsidRDefault="0088488D" w:rsidP="00DC0553"/>
    <w:p w:rsidR="0088488D" w:rsidRPr="00A32AF4" w:rsidRDefault="0088488D" w:rsidP="00DC0553">
      <w:r w:rsidRPr="00A32AF4">
        <w:t>CONTEXTE DE PLANIFICATION</w:t>
      </w:r>
    </w:p>
    <w:p w:rsidR="0088488D" w:rsidRPr="00A32AF4" w:rsidRDefault="0088488D" w:rsidP="00DC0553"/>
    <w:p w:rsidR="0088488D" w:rsidRPr="00A32AF4" w:rsidRDefault="0088488D" w:rsidP="00DC0553">
      <w:pPr>
        <w:numPr>
          <w:ilvl w:val="0"/>
          <w:numId w:val="71"/>
        </w:numPr>
        <w:jc w:val="both"/>
        <w:rPr>
          <w:rFonts w:cs="Arial"/>
        </w:rPr>
      </w:pPr>
      <w:r w:rsidRPr="00A32AF4">
        <w:t xml:space="preserve">Les efforts consentis pour élargir la portée géographique du système de </w:t>
      </w:r>
      <w:r w:rsidR="00E2055A" w:rsidRPr="00A32AF4">
        <w:t>La Haye</w:t>
      </w:r>
      <w:r w:rsidRPr="00A32AF4">
        <w:t xml:space="preserve"> en encourageant l</w:t>
      </w:r>
      <w:r w:rsidR="00E2055A" w:rsidRPr="00A32AF4">
        <w:t>’</w:t>
      </w:r>
      <w:r w:rsidRPr="00A32AF4">
        <w:t>adhésion à l</w:t>
      </w:r>
      <w:r w:rsidR="00E2055A" w:rsidRPr="00A32AF4">
        <w:t>’</w:t>
      </w:r>
      <w:r w:rsidRPr="00A32AF4">
        <w:t>Acte de l</w:t>
      </w:r>
      <w:r w:rsidR="00E2055A" w:rsidRPr="00A32AF4">
        <w:t>’</w:t>
      </w:r>
      <w:r w:rsidRPr="00A32AF4">
        <w:t xml:space="preserve">Arrangement de </w:t>
      </w:r>
      <w:r w:rsidR="00E2055A" w:rsidRPr="00A32AF4">
        <w:t>La Haye</w:t>
      </w:r>
      <w:r w:rsidRPr="00A32AF4">
        <w:t xml:space="preserve"> (Acte de Genève de 1999) ont commencé à porter leurs fruits au cours de l</w:t>
      </w:r>
      <w:r w:rsidR="00E2055A" w:rsidRPr="00A32AF4">
        <w:t>’</w:t>
      </w:r>
      <w:r w:rsidRPr="00A32AF4">
        <w:t>exercice biennal </w:t>
      </w:r>
      <w:r w:rsidRPr="00A32AF4">
        <w:rPr>
          <w:rFonts w:cs="Arial"/>
        </w:rPr>
        <w:t>2014</w:t>
      </w:r>
      <w:r w:rsidR="00EB7F54" w:rsidRPr="00A32AF4">
        <w:rPr>
          <w:rFonts w:cs="Arial"/>
        </w:rPr>
        <w:noBreakHyphen/>
      </w:r>
      <w:r w:rsidRPr="00A32AF4">
        <w:rPr>
          <w:rFonts w:cs="Arial"/>
        </w:rPr>
        <w:t>2015, certains pays qui représentent quelques</w:t>
      </w:r>
      <w:r w:rsidR="00EB7F54" w:rsidRPr="00A32AF4">
        <w:rPr>
          <w:rFonts w:cs="Arial"/>
        </w:rPr>
        <w:noBreakHyphen/>
      </w:r>
      <w:r w:rsidRPr="00A32AF4">
        <w:rPr>
          <w:rFonts w:cs="Arial"/>
        </w:rPr>
        <w:t>unes parmi les principales régions commerciales du monde ayant adhéré ou étant proches de l</w:t>
      </w:r>
      <w:r w:rsidR="00E2055A" w:rsidRPr="00A32AF4">
        <w:rPr>
          <w:rFonts w:cs="Arial"/>
        </w:rPr>
        <w:t>’</w:t>
      </w:r>
      <w:r w:rsidRPr="00A32AF4">
        <w:rPr>
          <w:rFonts w:cs="Arial"/>
        </w:rPr>
        <w:t xml:space="preserve">adhésion.  Étant donné que certains des nouveaux membres du système de </w:t>
      </w:r>
      <w:r w:rsidR="00E2055A" w:rsidRPr="00A32AF4">
        <w:rPr>
          <w:rFonts w:cs="Arial"/>
        </w:rPr>
        <w:t>La Haye</w:t>
      </w:r>
      <w:r w:rsidRPr="00A32AF4">
        <w:rPr>
          <w:rFonts w:cs="Arial"/>
        </w:rPr>
        <w:t xml:space="preserve"> comptent parmi les principales sources de dépôts de dessins et modèles industriels à l</w:t>
      </w:r>
      <w:r w:rsidR="00E2055A" w:rsidRPr="00A32AF4">
        <w:rPr>
          <w:rFonts w:cs="Arial"/>
        </w:rPr>
        <w:t>’</w:t>
      </w:r>
      <w:r w:rsidRPr="00A32AF4">
        <w:rPr>
          <w:rFonts w:cs="Arial"/>
        </w:rPr>
        <w:t>échelon mondial et devraient entraîner de nouvelles adhésions, on s</w:t>
      </w:r>
      <w:r w:rsidR="00E2055A" w:rsidRPr="00A32AF4">
        <w:rPr>
          <w:rFonts w:cs="Arial"/>
        </w:rPr>
        <w:t>’</w:t>
      </w:r>
      <w:r w:rsidRPr="00A32AF4">
        <w:rPr>
          <w:rFonts w:cs="Arial"/>
        </w:rPr>
        <w:t>attend à ce que les dépôts de demandes internationales augmentent considérablement au cours de l</w:t>
      </w:r>
      <w:r w:rsidR="00E2055A" w:rsidRPr="00A32AF4">
        <w:rPr>
          <w:rFonts w:cs="Arial"/>
        </w:rPr>
        <w:t>’</w:t>
      </w:r>
      <w:r w:rsidRPr="00A32AF4">
        <w:rPr>
          <w:rFonts w:cs="Arial"/>
        </w:rPr>
        <w:t>exercice biennal 2016</w:t>
      </w:r>
      <w:r w:rsidR="00EB7F54" w:rsidRPr="00A32AF4">
        <w:rPr>
          <w:rFonts w:cs="Arial"/>
        </w:rPr>
        <w:noBreakHyphen/>
      </w:r>
      <w:r w:rsidRPr="00A32AF4">
        <w:rPr>
          <w:rFonts w:cs="Arial"/>
        </w:rPr>
        <w:t>2017.  De plus, certains de ces nouveaux membres sont ceux pour lesquels un certain nombre d</w:t>
      </w:r>
      <w:r w:rsidR="00E2055A" w:rsidRPr="00A32AF4">
        <w:rPr>
          <w:rFonts w:cs="Arial"/>
        </w:rPr>
        <w:t>’</w:t>
      </w:r>
      <w:r w:rsidRPr="00A32AF4">
        <w:rPr>
          <w:rFonts w:cs="Arial"/>
        </w:rPr>
        <w:t>éléments de l</w:t>
      </w:r>
      <w:r w:rsidR="00E2055A" w:rsidRPr="00A32AF4">
        <w:rPr>
          <w:rFonts w:cs="Arial"/>
        </w:rPr>
        <w:t>’</w:t>
      </w:r>
      <w:r w:rsidRPr="00A32AF4">
        <w:rPr>
          <w:rFonts w:cs="Arial"/>
        </w:rPr>
        <w:t>Acte de 1999 ont été élaborés, en particulier en vue de l</w:t>
      </w:r>
      <w:r w:rsidR="00E2055A" w:rsidRPr="00A32AF4">
        <w:rPr>
          <w:rFonts w:cs="Arial"/>
        </w:rPr>
        <w:t>’</w:t>
      </w:r>
      <w:r w:rsidRPr="00A32AF4">
        <w:rPr>
          <w:rFonts w:cs="Arial"/>
        </w:rPr>
        <w:t>examen approfondi de nouveauté effectué par leurs offices.</w:t>
      </w:r>
      <w:r w:rsidRPr="00A32AF4">
        <w:t xml:space="preserve">  </w:t>
      </w:r>
      <w:r w:rsidRPr="00A32AF4">
        <w:rPr>
          <w:rFonts w:cs="Arial"/>
        </w:rPr>
        <w:t>Ces éléments comptent parmi les plus complexes et doivent encore être mis à l</w:t>
      </w:r>
      <w:r w:rsidR="00E2055A" w:rsidRPr="00A32AF4">
        <w:rPr>
          <w:rFonts w:cs="Arial"/>
        </w:rPr>
        <w:t>’</w:t>
      </w:r>
      <w:r w:rsidRPr="00A32AF4">
        <w:rPr>
          <w:rFonts w:cs="Arial"/>
        </w:rPr>
        <w:t>épreuve.</w:t>
      </w:r>
    </w:p>
    <w:p w:rsidR="0088488D" w:rsidRPr="00A32AF4" w:rsidRDefault="0088488D" w:rsidP="00DC0553">
      <w:pPr>
        <w:jc w:val="both"/>
        <w:rPr>
          <w:rFonts w:cs="Arial"/>
        </w:rPr>
      </w:pPr>
    </w:p>
    <w:p w:rsidR="0088488D" w:rsidRPr="00A32AF4" w:rsidRDefault="0088488D" w:rsidP="00DC0553">
      <w:pPr>
        <w:numPr>
          <w:ilvl w:val="0"/>
          <w:numId w:val="71"/>
        </w:numPr>
        <w:jc w:val="both"/>
        <w:rPr>
          <w:rFonts w:cs="Arial"/>
        </w:rPr>
      </w:pPr>
      <w:r w:rsidRPr="00A32AF4">
        <w:rPr>
          <w:rFonts w:cs="Arial"/>
        </w:rPr>
        <w:t>Compte tenu de ce qui précède, les défis à relever au cours de l</w:t>
      </w:r>
      <w:r w:rsidR="00E2055A" w:rsidRPr="00A32AF4">
        <w:rPr>
          <w:rFonts w:cs="Arial"/>
        </w:rPr>
        <w:t>’</w:t>
      </w:r>
      <w:r w:rsidRPr="00A32AF4">
        <w:rPr>
          <w:rFonts w:cs="Arial"/>
        </w:rPr>
        <w:t>exercice biennal 2016</w:t>
      </w:r>
      <w:r w:rsidR="00EB7F54" w:rsidRPr="00A32AF4">
        <w:rPr>
          <w:rFonts w:cs="Arial"/>
        </w:rPr>
        <w:noBreakHyphen/>
      </w:r>
      <w:r w:rsidRPr="00A32AF4">
        <w:rPr>
          <w:rFonts w:cs="Arial"/>
        </w:rPr>
        <w:t>2017 consisteront à faire face à la croissance escomptée, à mettre en œuvre les éléments de l</w:t>
      </w:r>
      <w:r w:rsidR="00E2055A" w:rsidRPr="00A32AF4">
        <w:rPr>
          <w:rFonts w:cs="Arial"/>
        </w:rPr>
        <w:t>’</w:t>
      </w:r>
      <w:r w:rsidRPr="00A32AF4">
        <w:rPr>
          <w:rFonts w:cs="Arial"/>
        </w:rPr>
        <w:t>Acte de Genève qui n</w:t>
      </w:r>
      <w:r w:rsidR="00E2055A" w:rsidRPr="00A32AF4">
        <w:rPr>
          <w:rFonts w:cs="Arial"/>
        </w:rPr>
        <w:t>’</w:t>
      </w:r>
      <w:r w:rsidRPr="00A32AF4">
        <w:rPr>
          <w:rFonts w:cs="Arial"/>
        </w:rPr>
        <w:t>ont pas encore été mis en pratique, et à faire en sorte que le système reste tout de même attrayant pour les utilisateurs.</w:t>
      </w:r>
    </w:p>
    <w:p w:rsidR="0088488D" w:rsidRPr="00A32AF4" w:rsidRDefault="0088488D" w:rsidP="00DC0553">
      <w:pPr>
        <w:jc w:val="both"/>
        <w:rPr>
          <w:rFonts w:cs="Arial"/>
        </w:rPr>
      </w:pPr>
    </w:p>
    <w:p w:rsidR="0088488D" w:rsidRPr="00A32AF4" w:rsidRDefault="0088488D" w:rsidP="00DC0553"/>
    <w:p w:rsidR="0088488D" w:rsidRPr="00A32AF4" w:rsidRDefault="0088488D" w:rsidP="00DC0553">
      <w:pPr>
        <w:tabs>
          <w:tab w:val="left" w:pos="567"/>
          <w:tab w:val="left" w:pos="1985"/>
        </w:tabs>
        <w:jc w:val="both"/>
        <w:rPr>
          <w:rFonts w:cs="Arial"/>
          <w:bCs/>
        </w:rPr>
      </w:pPr>
      <w:r w:rsidRPr="00A32AF4">
        <w:rPr>
          <w:rFonts w:cs="Arial"/>
          <w:bCs/>
        </w:rPr>
        <w:t>STRATÉGIES DE MISE EN ŒUVRE</w:t>
      </w:r>
    </w:p>
    <w:p w:rsidR="0088488D" w:rsidRPr="00A32AF4" w:rsidRDefault="0088488D" w:rsidP="00DC0553">
      <w:pPr>
        <w:tabs>
          <w:tab w:val="left" w:pos="567"/>
          <w:tab w:val="left" w:pos="1985"/>
        </w:tabs>
        <w:jc w:val="both"/>
        <w:rPr>
          <w:rFonts w:cs="Arial"/>
          <w:bCs/>
        </w:rPr>
      </w:pPr>
    </w:p>
    <w:p w:rsidR="0088488D" w:rsidRPr="00A32AF4" w:rsidRDefault="0088488D" w:rsidP="00DC0553">
      <w:pPr>
        <w:numPr>
          <w:ilvl w:val="0"/>
          <w:numId w:val="71"/>
        </w:numPr>
        <w:tabs>
          <w:tab w:val="clear" w:pos="680"/>
          <w:tab w:val="num" w:pos="709"/>
        </w:tabs>
        <w:jc w:val="both"/>
        <w:rPr>
          <w:rFonts w:cs="Arial"/>
        </w:rPr>
      </w:pPr>
      <w:r w:rsidRPr="00A32AF4">
        <w:rPr>
          <w:rFonts w:cs="Arial"/>
        </w:rPr>
        <w:t>L</w:t>
      </w:r>
      <w:r w:rsidR="00E2055A" w:rsidRPr="00A32AF4">
        <w:rPr>
          <w:rFonts w:cs="Arial"/>
        </w:rPr>
        <w:t>’</w:t>
      </w:r>
      <w:r w:rsidRPr="00A32AF4">
        <w:rPr>
          <w:rFonts w:cs="Arial"/>
        </w:rPr>
        <w:t xml:space="preserve">OMPI a pour but de faire du système de </w:t>
      </w:r>
      <w:r w:rsidR="00E2055A" w:rsidRPr="00A32AF4">
        <w:rPr>
          <w:rFonts w:cs="Arial"/>
        </w:rPr>
        <w:t>La Haye</w:t>
      </w:r>
      <w:r w:rsidRPr="00A32AF4">
        <w:rPr>
          <w:rFonts w:cs="Arial"/>
        </w:rPr>
        <w:t xml:space="preserve"> un système de premier choix en ce qui concerne les enregistrements de dessins et modèles industriels.  À cet effet, l</w:t>
      </w:r>
      <w:r w:rsidR="00E2055A" w:rsidRPr="00A32AF4">
        <w:rPr>
          <w:rFonts w:cs="Arial"/>
        </w:rPr>
        <w:t>’</w:t>
      </w:r>
      <w:r w:rsidRPr="00A32AF4">
        <w:rPr>
          <w:rFonts w:cs="Arial"/>
        </w:rPr>
        <w:t>OMPI s</w:t>
      </w:r>
      <w:r w:rsidR="00E2055A" w:rsidRPr="00A32AF4">
        <w:rPr>
          <w:rFonts w:cs="Arial"/>
        </w:rPr>
        <w:t>’</w:t>
      </w:r>
      <w:r w:rsidRPr="00A32AF4">
        <w:rPr>
          <w:rFonts w:cs="Arial"/>
        </w:rPr>
        <w:t xml:space="preserve">efforcera de faire mieux connaître le système de </w:t>
      </w:r>
      <w:r w:rsidR="00E2055A" w:rsidRPr="00A32AF4">
        <w:rPr>
          <w:rFonts w:cs="Arial"/>
        </w:rPr>
        <w:t>La Haye</w:t>
      </w:r>
      <w:r w:rsidRPr="00A32AF4">
        <w:rPr>
          <w:rFonts w:cs="Arial"/>
        </w:rPr>
        <w:t xml:space="preserve"> et de promouvoir une utilisation plus fréquente et améliorée de ce système, tout en assurant une meilleure administration de ce dernier face à une complexité et une charge de travail croissantes.</w:t>
      </w:r>
    </w:p>
    <w:p w:rsidR="0088488D" w:rsidRPr="00A32AF4" w:rsidRDefault="0088488D" w:rsidP="00DC0553">
      <w:pPr>
        <w:jc w:val="both"/>
        <w:rPr>
          <w:rFonts w:cs="Arial"/>
        </w:rPr>
      </w:pPr>
    </w:p>
    <w:p w:rsidR="0088488D" w:rsidRPr="00A32AF4" w:rsidRDefault="0088488D" w:rsidP="00DC0553">
      <w:pPr>
        <w:numPr>
          <w:ilvl w:val="0"/>
          <w:numId w:val="71"/>
        </w:numPr>
        <w:jc w:val="both"/>
        <w:rPr>
          <w:rFonts w:cs="Arial"/>
        </w:rPr>
      </w:pPr>
      <w:r w:rsidRPr="00A32AF4">
        <w:rPr>
          <w:rFonts w:cs="Arial"/>
        </w:rPr>
        <w:t>Des mesures coordonnées seront prises en ce qui concerne les trois aspects suivants : visibilité, portée géographique et développement du système.</w:t>
      </w:r>
    </w:p>
    <w:p w:rsidR="0088488D" w:rsidRPr="00A32AF4" w:rsidRDefault="0088488D" w:rsidP="00DC0553">
      <w:pPr>
        <w:tabs>
          <w:tab w:val="left" w:pos="1134"/>
        </w:tabs>
        <w:ind w:left="709"/>
        <w:jc w:val="both"/>
        <w:rPr>
          <w:rFonts w:cs="Arial"/>
        </w:rPr>
      </w:pPr>
    </w:p>
    <w:p w:rsidR="0088488D" w:rsidRPr="00A32AF4" w:rsidRDefault="0088488D" w:rsidP="00DC0553">
      <w:pPr>
        <w:tabs>
          <w:tab w:val="left" w:pos="540"/>
          <w:tab w:val="left" w:pos="1276"/>
        </w:tabs>
        <w:ind w:left="709"/>
        <w:jc w:val="both"/>
        <w:rPr>
          <w:rFonts w:cs="Arial"/>
        </w:rPr>
      </w:pPr>
      <w:r w:rsidRPr="00A32AF4">
        <w:rPr>
          <w:rFonts w:cs="Arial"/>
        </w:rPr>
        <w:t>i)</w:t>
      </w:r>
      <w:r w:rsidRPr="00A32AF4">
        <w:rPr>
          <w:rFonts w:cs="Arial"/>
        </w:rPr>
        <w:tab/>
      </w:r>
      <w:r w:rsidRPr="00A32AF4">
        <w:rPr>
          <w:rFonts w:cs="Arial"/>
          <w:b/>
        </w:rPr>
        <w:t>Visibilité</w:t>
      </w:r>
      <w:r w:rsidRPr="00A32AF4">
        <w:rPr>
          <w:rFonts w:cs="Arial"/>
        </w:rPr>
        <w:t> : la promotion se poursuivra parmi les États membres actuels dont le potentiel inexploité est considérable.</w:t>
      </w:r>
      <w:r w:rsidRPr="00A32AF4">
        <w:t xml:space="preserve">  </w:t>
      </w:r>
      <w:r w:rsidRPr="00A32AF4">
        <w:rPr>
          <w:rFonts w:cs="Arial"/>
        </w:rPr>
        <w:t>Des actions de promotion seront également menées dans des pays qui s</w:t>
      </w:r>
      <w:r w:rsidR="00E2055A" w:rsidRPr="00A32AF4">
        <w:rPr>
          <w:rFonts w:cs="Arial"/>
        </w:rPr>
        <w:t>’</w:t>
      </w:r>
      <w:r w:rsidRPr="00A32AF4">
        <w:rPr>
          <w:rFonts w:cs="Arial"/>
        </w:rPr>
        <w:t>apprêtent à adhérer, de manière à les encourager à utiliser le système dès leur adhésion effective.</w:t>
      </w:r>
    </w:p>
    <w:p w:rsidR="0088488D" w:rsidRPr="00A32AF4" w:rsidRDefault="0088488D" w:rsidP="00DC0553">
      <w:pPr>
        <w:tabs>
          <w:tab w:val="left" w:pos="540"/>
          <w:tab w:val="left" w:pos="1276"/>
        </w:tabs>
        <w:ind w:left="709"/>
        <w:jc w:val="both"/>
        <w:rPr>
          <w:rFonts w:cs="Arial"/>
        </w:rPr>
      </w:pPr>
    </w:p>
    <w:p w:rsidR="0088488D" w:rsidRPr="00A32AF4" w:rsidRDefault="0088488D" w:rsidP="00DC0553">
      <w:pPr>
        <w:tabs>
          <w:tab w:val="left" w:pos="540"/>
          <w:tab w:val="left" w:pos="1276"/>
        </w:tabs>
        <w:ind w:left="709"/>
        <w:jc w:val="both"/>
        <w:rPr>
          <w:rFonts w:cs="Arial"/>
        </w:rPr>
      </w:pPr>
      <w:r w:rsidRPr="00A32AF4">
        <w:rPr>
          <w:rFonts w:cs="Arial"/>
        </w:rPr>
        <w:t>ii)</w:t>
      </w:r>
      <w:r w:rsidRPr="00A32AF4">
        <w:rPr>
          <w:rFonts w:cs="Arial"/>
        </w:rPr>
        <w:tab/>
      </w:r>
      <w:r w:rsidRPr="00A32AF4">
        <w:rPr>
          <w:rFonts w:cs="Arial"/>
          <w:b/>
        </w:rPr>
        <w:t>Portée géographique</w:t>
      </w:r>
      <w:r w:rsidRPr="00A32AF4">
        <w:rPr>
          <w:rFonts w:cs="Arial"/>
        </w:rPr>
        <w:t> : la promotion et l</w:t>
      </w:r>
      <w:r w:rsidR="00E2055A" w:rsidRPr="00A32AF4">
        <w:rPr>
          <w:rFonts w:cs="Arial"/>
        </w:rPr>
        <w:t>’</w:t>
      </w:r>
      <w:r w:rsidRPr="00A32AF4">
        <w:rPr>
          <w:rFonts w:cs="Arial"/>
        </w:rPr>
        <w:t>assistance technique en vue de favoriser l</w:t>
      </w:r>
      <w:r w:rsidR="00E2055A" w:rsidRPr="00A32AF4">
        <w:rPr>
          <w:rFonts w:cs="Arial"/>
        </w:rPr>
        <w:t>’</w:t>
      </w:r>
      <w:r w:rsidRPr="00A32AF4">
        <w:rPr>
          <w:rFonts w:cs="Arial"/>
        </w:rPr>
        <w:t xml:space="preserve">expansion du système de </w:t>
      </w:r>
      <w:r w:rsidR="00E2055A" w:rsidRPr="00A32AF4">
        <w:rPr>
          <w:rFonts w:cs="Arial"/>
        </w:rPr>
        <w:t>La Haye</w:t>
      </w:r>
      <w:r w:rsidRPr="00A32AF4">
        <w:rPr>
          <w:rFonts w:cs="Arial"/>
        </w:rPr>
        <w:t xml:space="preserve"> par de nouvelles adhésions à l</w:t>
      </w:r>
      <w:r w:rsidR="00E2055A" w:rsidRPr="00A32AF4">
        <w:rPr>
          <w:rFonts w:cs="Arial"/>
        </w:rPr>
        <w:t>’</w:t>
      </w:r>
      <w:r w:rsidRPr="00A32AF4">
        <w:rPr>
          <w:rFonts w:cs="Arial"/>
        </w:rPr>
        <w:t>Acte de Genève se poursuivront en coopération avec les programmes concernés.  La priorité sera donnée aux pays dont l</w:t>
      </w:r>
      <w:r w:rsidR="00E2055A" w:rsidRPr="00A32AF4">
        <w:rPr>
          <w:rFonts w:cs="Arial"/>
        </w:rPr>
        <w:t>’</w:t>
      </w:r>
      <w:r w:rsidRPr="00A32AF4">
        <w:rPr>
          <w:rFonts w:cs="Arial"/>
        </w:rPr>
        <w:t>adhésion devrait rendre le système plus attrayant pour les utilisateurs et entraîner de nouvelles adhésions.</w:t>
      </w:r>
    </w:p>
    <w:p w:rsidR="0088488D" w:rsidRPr="00A32AF4" w:rsidRDefault="0088488D" w:rsidP="00DC0553">
      <w:pPr>
        <w:tabs>
          <w:tab w:val="left" w:pos="540"/>
          <w:tab w:val="left" w:pos="1276"/>
        </w:tabs>
        <w:ind w:left="709"/>
        <w:jc w:val="both"/>
        <w:rPr>
          <w:rFonts w:cs="Arial"/>
        </w:rPr>
      </w:pPr>
    </w:p>
    <w:p w:rsidR="0088488D" w:rsidRPr="00A32AF4" w:rsidRDefault="0088488D" w:rsidP="00DC0553">
      <w:pPr>
        <w:tabs>
          <w:tab w:val="left" w:pos="540"/>
          <w:tab w:val="left" w:pos="1276"/>
        </w:tabs>
        <w:ind w:left="709"/>
        <w:jc w:val="both"/>
        <w:rPr>
          <w:rFonts w:cs="Arial"/>
        </w:rPr>
      </w:pPr>
      <w:r w:rsidRPr="00A32AF4">
        <w:rPr>
          <w:rFonts w:cs="Arial"/>
        </w:rPr>
        <w:t>iii)</w:t>
      </w:r>
      <w:r w:rsidRPr="00A32AF4">
        <w:rPr>
          <w:rFonts w:cs="Arial"/>
        </w:rPr>
        <w:tab/>
      </w:r>
      <w:r w:rsidRPr="00A32AF4">
        <w:rPr>
          <w:rFonts w:cs="Arial"/>
          <w:b/>
        </w:rPr>
        <w:t>Développement du système</w:t>
      </w:r>
      <w:r w:rsidRPr="00A32AF4">
        <w:rPr>
          <w:rFonts w:cs="Arial"/>
        </w:rPr>
        <w:t> : au fur et à mesure du développement du système, les services d</w:t>
      </w:r>
      <w:r w:rsidR="00E2055A" w:rsidRPr="00A32AF4">
        <w:rPr>
          <w:rFonts w:cs="Arial"/>
        </w:rPr>
        <w:t>’</w:t>
      </w:r>
      <w:r w:rsidRPr="00A32AF4">
        <w:rPr>
          <w:rFonts w:cs="Arial"/>
        </w:rPr>
        <w:t>appui informatique devront être perfectionnés, afin d</w:t>
      </w:r>
      <w:r w:rsidR="00E2055A" w:rsidRPr="00A32AF4">
        <w:rPr>
          <w:rFonts w:cs="Arial"/>
        </w:rPr>
        <w:t>’</w:t>
      </w:r>
      <w:r w:rsidRPr="00A32AF4">
        <w:rPr>
          <w:rFonts w:cs="Arial"/>
        </w:rPr>
        <w:t xml:space="preserve">atteindre des degrés de productivité plus élevés grâce à une efficacité accrue, et afin de répondre aux attentes des différentes parties prenantes du système de </w:t>
      </w:r>
      <w:r w:rsidR="00E2055A" w:rsidRPr="00A32AF4">
        <w:rPr>
          <w:rFonts w:cs="Arial"/>
        </w:rPr>
        <w:t>La Haye</w:t>
      </w:r>
      <w:r w:rsidRPr="00A32AF4">
        <w:rPr>
          <w:rFonts w:cs="Arial"/>
        </w:rPr>
        <w:t>, notamment en ce qui concerne la possibilité de communiquer en ligne en toute sécurité avec le registre international, en temps réel et en mode libre</w:t>
      </w:r>
      <w:r w:rsidR="00EB7F54" w:rsidRPr="00A32AF4">
        <w:rPr>
          <w:rFonts w:cs="Arial"/>
        </w:rPr>
        <w:noBreakHyphen/>
      </w:r>
      <w:r w:rsidRPr="00A32AF4">
        <w:rPr>
          <w:rFonts w:cs="Arial"/>
        </w:rPr>
        <w:t>service.</w:t>
      </w:r>
      <w:r w:rsidRPr="00A32AF4">
        <w:t xml:space="preserve"> </w:t>
      </w:r>
      <w:r w:rsidRPr="00A32AF4">
        <w:rPr>
          <w:rFonts w:cs="Arial"/>
        </w:rPr>
        <w:t xml:space="preserve"> Une attention toute particulière sera accordée à la mise à disposition de services en ligne améliorés offrant à toutes les parties prenantes des prestations et des performances équivalentes, indépendamment de la situation géographique.  Il faudra également développer le cadre juridique afin de s</w:t>
      </w:r>
      <w:r w:rsidR="00E2055A" w:rsidRPr="00A32AF4">
        <w:rPr>
          <w:rFonts w:cs="Arial"/>
        </w:rPr>
        <w:t>’</w:t>
      </w:r>
      <w:r w:rsidRPr="00A32AF4">
        <w:rPr>
          <w:rFonts w:cs="Arial"/>
        </w:rPr>
        <w:t>assurer qu</w:t>
      </w:r>
      <w:r w:rsidR="00E2055A" w:rsidRPr="00A32AF4">
        <w:rPr>
          <w:rFonts w:cs="Arial"/>
        </w:rPr>
        <w:t>’</w:t>
      </w:r>
      <w:r w:rsidRPr="00A32AF4">
        <w:rPr>
          <w:rFonts w:cs="Arial"/>
        </w:rPr>
        <w:t>il reste en phase avec les systèmes juridiques des nouvelles parties contractantes et les besoins des utilisateurs.</w:t>
      </w:r>
      <w:r w:rsidRPr="00A32AF4">
        <w:t xml:space="preserve">  </w:t>
      </w:r>
      <w:r w:rsidRPr="00A32AF4">
        <w:rPr>
          <w:rFonts w:cs="Arial"/>
        </w:rPr>
        <w:t>Enfin, il semble essentiel d</w:t>
      </w:r>
      <w:r w:rsidR="00E2055A" w:rsidRPr="00A32AF4">
        <w:rPr>
          <w:rFonts w:cs="Arial"/>
        </w:rPr>
        <w:t>’</w:t>
      </w:r>
      <w:r w:rsidRPr="00A32AF4">
        <w:rPr>
          <w:rFonts w:cs="Arial"/>
        </w:rPr>
        <w:t>axer le système sur l</w:t>
      </w:r>
      <w:r w:rsidR="00E2055A" w:rsidRPr="00A32AF4">
        <w:rPr>
          <w:rFonts w:cs="Arial"/>
        </w:rPr>
        <w:t>’</w:t>
      </w:r>
      <w:r w:rsidRPr="00A32AF4">
        <w:rPr>
          <w:rFonts w:cs="Arial"/>
        </w:rPr>
        <w:t>Acte de 1999 en vue d</w:t>
      </w:r>
      <w:r w:rsidR="00E2055A" w:rsidRPr="00A32AF4">
        <w:rPr>
          <w:rFonts w:cs="Arial"/>
        </w:rPr>
        <w:t>’</w:t>
      </w:r>
      <w:r w:rsidRPr="00A32AF4">
        <w:rPr>
          <w:rFonts w:cs="Arial"/>
        </w:rPr>
        <w:t>une simplification, en commençant par des efforts soutenus pour abroger l</w:t>
      </w:r>
      <w:r w:rsidR="00E2055A" w:rsidRPr="00A32AF4">
        <w:rPr>
          <w:rFonts w:cs="Arial"/>
        </w:rPr>
        <w:t>’</w:t>
      </w:r>
      <w:r w:rsidRPr="00A32AF4">
        <w:rPr>
          <w:rFonts w:cs="Arial"/>
        </w:rPr>
        <w:t>Acte de Londres (1934) désormais obsolète.</w:t>
      </w:r>
    </w:p>
    <w:p w:rsidR="0088488D" w:rsidRPr="00A32AF4" w:rsidRDefault="0088488D" w:rsidP="00DC0553">
      <w:pPr>
        <w:jc w:val="both"/>
        <w:rPr>
          <w:rFonts w:cs="Arial"/>
        </w:rPr>
      </w:pPr>
    </w:p>
    <w:p w:rsidR="0088488D" w:rsidRPr="00A32AF4" w:rsidRDefault="0088488D" w:rsidP="00DC0553">
      <w:pPr>
        <w:rPr>
          <w:rFonts w:cs="Arial"/>
        </w:rPr>
      </w:pPr>
      <w:r w:rsidRPr="00A32AF4">
        <w:rPr>
          <w:rFonts w:cs="Arial"/>
        </w:rPr>
        <w:br w:type="page"/>
      </w:r>
    </w:p>
    <w:p w:rsidR="0088488D" w:rsidRPr="00A32AF4" w:rsidRDefault="0088488D" w:rsidP="00DC0553">
      <w:pPr>
        <w:numPr>
          <w:ilvl w:val="0"/>
          <w:numId w:val="71"/>
        </w:numPr>
        <w:jc w:val="both"/>
        <w:rPr>
          <w:rFonts w:cs="Arial"/>
        </w:rPr>
      </w:pPr>
      <w:r w:rsidRPr="00A32AF4">
        <w:rPr>
          <w:rFonts w:cs="Arial"/>
        </w:rPr>
        <w:t>Le programme 31 collabore essentiellement avec les programmes indiqués ci</w:t>
      </w:r>
      <w:r w:rsidR="00EB7F54" w:rsidRPr="00A32AF4">
        <w:rPr>
          <w:rFonts w:cs="Arial"/>
        </w:rPr>
        <w:noBreakHyphen/>
      </w:r>
      <w:r w:rsidRPr="00A32AF4">
        <w:rPr>
          <w:rFonts w:cs="Arial"/>
        </w:rPr>
        <w:t>dessous :</w:t>
      </w:r>
    </w:p>
    <w:p w:rsidR="0088488D" w:rsidRPr="00A32AF4" w:rsidRDefault="0088488D" w:rsidP="00DC0553">
      <w:pPr>
        <w:jc w:val="both"/>
        <w:rPr>
          <w:rFonts w:cs="Arial"/>
        </w:rPr>
      </w:pPr>
      <w:r w:rsidRPr="00A32AF4">
        <w:rPr>
          <w:noProof/>
          <w:lang w:eastAsia="fr-FR"/>
        </w:rPr>
        <w:drawing>
          <wp:anchor distT="0" distB="0" distL="114300" distR="114300" simplePos="0" relativeHeight="251667456" behindDoc="0" locked="0" layoutInCell="1" allowOverlap="1" wp14:anchorId="4CFAD3CD" wp14:editId="4D9C40F4">
            <wp:simplePos x="0" y="0"/>
            <wp:positionH relativeFrom="column">
              <wp:posOffset>-1905</wp:posOffset>
            </wp:positionH>
            <wp:positionV relativeFrom="paragraph">
              <wp:posOffset>292100</wp:posOffset>
            </wp:positionV>
            <wp:extent cx="5486400" cy="1657350"/>
            <wp:effectExtent l="0" t="57150" r="0" b="0"/>
            <wp:wrapTopAndBottom/>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7" r:lo="rId68" r:qs="rId69" r:cs="rId70"/>
              </a:graphicData>
            </a:graphic>
            <wp14:sizeRelH relativeFrom="page">
              <wp14:pctWidth>0</wp14:pctWidth>
            </wp14:sizeRelH>
            <wp14:sizeRelV relativeFrom="page">
              <wp14:pctHeight>0</wp14:pctHeight>
            </wp14:sizeRelV>
          </wp:anchor>
        </w:drawing>
      </w:r>
    </w:p>
    <w:p w:rsidR="0088488D" w:rsidRPr="00A32AF4" w:rsidRDefault="0088488D" w:rsidP="00DC0553">
      <w:pPr>
        <w:rPr>
          <w:rFonts w:cs="Arial"/>
        </w:rPr>
      </w:pPr>
    </w:p>
    <w:p w:rsidR="0088488D" w:rsidRPr="00A32AF4" w:rsidRDefault="0088488D" w:rsidP="00DC0553">
      <w:pPr>
        <w:rPr>
          <w:rFonts w:cs="Arial"/>
        </w:rPr>
      </w:pPr>
    </w:p>
    <w:p w:rsidR="0088488D" w:rsidRPr="00A32AF4" w:rsidRDefault="0088488D" w:rsidP="00DC0553">
      <w:pPr>
        <w:rPr>
          <w:rFonts w:cs="Arial"/>
        </w:rPr>
      </w:pPr>
      <w:r w:rsidRPr="00A32AF4">
        <w:rPr>
          <w:rFonts w:cs="Arial"/>
        </w:rPr>
        <w:t>RISQUES ET STRATÉGIES D</w:t>
      </w:r>
      <w:r w:rsidR="00E2055A" w:rsidRPr="00A32AF4">
        <w:rPr>
          <w:rFonts w:cs="Arial"/>
        </w:rPr>
        <w:t>’</w:t>
      </w:r>
      <w:r w:rsidRPr="00A32AF4">
        <w:rPr>
          <w:rFonts w:cs="Arial"/>
        </w:rPr>
        <w:t>ATTÉNUATION</w:t>
      </w:r>
    </w:p>
    <w:p w:rsidR="0088488D" w:rsidRPr="00A32AF4" w:rsidRDefault="0088488D" w:rsidP="00DC0553">
      <w:pPr>
        <w:jc w:val="both"/>
        <w:rPr>
          <w:rFonts w:cs="Arial"/>
        </w:rPr>
      </w:pPr>
    </w:p>
    <w:tbl>
      <w:tblPr>
        <w:tblW w:w="9214"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253"/>
        <w:gridCol w:w="4961"/>
      </w:tblGrid>
      <w:tr w:rsidR="0088488D" w:rsidRPr="00A32AF4" w:rsidTr="005808EF">
        <w:trPr>
          <w:trHeight w:val="503"/>
        </w:trPr>
        <w:tc>
          <w:tcPr>
            <w:tcW w:w="4253" w:type="dxa"/>
            <w:tcBorders>
              <w:top w:val="single" w:sz="4" w:space="0" w:color="auto"/>
              <w:bottom w:val="single" w:sz="4" w:space="0" w:color="auto"/>
            </w:tcBorders>
            <w:shd w:val="clear" w:color="auto" w:fill="C6D9F1" w:themeFill="text2" w:themeFillTint="33"/>
            <w:vAlign w:val="center"/>
          </w:tcPr>
          <w:p w:rsidR="0088488D" w:rsidRPr="00A32AF4" w:rsidRDefault="0088488D" w:rsidP="00DC0553">
            <w:pPr>
              <w:jc w:val="center"/>
              <w:rPr>
                <w:rFonts w:cs="Arial"/>
                <w:b/>
                <w:bCs/>
                <w:sz w:val="18"/>
                <w:szCs w:val="18"/>
              </w:rPr>
            </w:pPr>
            <w:r w:rsidRPr="00A32AF4">
              <w:rPr>
                <w:rFonts w:cs="Arial"/>
                <w:b/>
                <w:bCs/>
                <w:sz w:val="18"/>
                <w:szCs w:val="18"/>
              </w:rPr>
              <w:t>Risques</w:t>
            </w:r>
          </w:p>
        </w:tc>
        <w:tc>
          <w:tcPr>
            <w:tcW w:w="4961" w:type="dxa"/>
            <w:tcBorders>
              <w:top w:val="single" w:sz="4" w:space="0" w:color="auto"/>
              <w:bottom w:val="single" w:sz="4" w:space="0" w:color="auto"/>
            </w:tcBorders>
            <w:shd w:val="clear" w:color="auto" w:fill="C6D9F1" w:themeFill="text2" w:themeFillTint="33"/>
            <w:vAlign w:val="center"/>
          </w:tcPr>
          <w:p w:rsidR="0088488D" w:rsidRPr="00A32AF4" w:rsidRDefault="0088488D" w:rsidP="00DC0553">
            <w:pPr>
              <w:jc w:val="center"/>
              <w:rPr>
                <w:rFonts w:cs="Arial"/>
                <w:b/>
                <w:bCs/>
                <w:sz w:val="18"/>
                <w:szCs w:val="18"/>
              </w:rPr>
            </w:pPr>
            <w:r w:rsidRPr="00A32AF4">
              <w:rPr>
                <w:rFonts w:cs="Arial"/>
                <w:b/>
                <w:bCs/>
                <w:sz w:val="18"/>
                <w:szCs w:val="18"/>
              </w:rPr>
              <w:t>Stratégies d</w:t>
            </w:r>
            <w:r w:rsidR="00E2055A" w:rsidRPr="00A32AF4">
              <w:rPr>
                <w:rFonts w:cs="Arial"/>
                <w:b/>
                <w:bCs/>
                <w:sz w:val="18"/>
                <w:szCs w:val="18"/>
              </w:rPr>
              <w:t>’</w:t>
            </w:r>
            <w:r w:rsidRPr="00A32AF4">
              <w:rPr>
                <w:rFonts w:cs="Arial"/>
                <w:b/>
                <w:bCs/>
                <w:sz w:val="18"/>
                <w:szCs w:val="18"/>
              </w:rPr>
              <w:t>atténuation</w:t>
            </w:r>
          </w:p>
        </w:tc>
      </w:tr>
      <w:tr w:rsidR="0088488D" w:rsidRPr="00A32AF4" w:rsidTr="005808EF">
        <w:trPr>
          <w:trHeight w:val="71"/>
        </w:trPr>
        <w:tc>
          <w:tcPr>
            <w:tcW w:w="4253" w:type="dxa"/>
            <w:tcBorders>
              <w:top w:val="single" w:sz="4" w:space="0" w:color="auto"/>
              <w:left w:val="single" w:sz="4" w:space="0" w:color="auto"/>
              <w:bottom w:val="single" w:sz="4" w:space="0" w:color="auto"/>
              <w:right w:val="nil"/>
            </w:tcBorders>
            <w:shd w:val="clear" w:color="auto" w:fill="auto"/>
            <w:tcMar>
              <w:top w:w="113" w:type="dxa"/>
              <w:bottom w:w="113" w:type="dxa"/>
            </w:tcMar>
          </w:tcPr>
          <w:p w:rsidR="0088488D" w:rsidRPr="00A32AF4" w:rsidRDefault="0088488D" w:rsidP="00DC0553">
            <w:pPr>
              <w:rPr>
                <w:rFonts w:cs="Arial"/>
                <w:sz w:val="16"/>
                <w:szCs w:val="16"/>
              </w:rPr>
            </w:pPr>
            <w:r w:rsidRPr="00A32AF4">
              <w:rPr>
                <w:rFonts w:cs="Arial"/>
                <w:sz w:val="16"/>
                <w:szCs w:val="16"/>
              </w:rPr>
              <w:t>Baisse du niveau de satisfaction des clients, par suite de difficultés à faire face à l</w:t>
            </w:r>
            <w:r w:rsidR="00E2055A" w:rsidRPr="00A32AF4">
              <w:rPr>
                <w:rFonts w:cs="Arial"/>
                <w:sz w:val="16"/>
                <w:szCs w:val="16"/>
              </w:rPr>
              <w:t>’</w:t>
            </w:r>
            <w:r w:rsidRPr="00A32AF4">
              <w:rPr>
                <w:rFonts w:cs="Arial"/>
                <w:sz w:val="16"/>
                <w:szCs w:val="16"/>
              </w:rPr>
              <w:t>augmentation des dépôts et des demandes d</w:t>
            </w:r>
            <w:r w:rsidR="00E2055A" w:rsidRPr="00A32AF4">
              <w:rPr>
                <w:rFonts w:cs="Arial"/>
                <w:sz w:val="16"/>
                <w:szCs w:val="16"/>
              </w:rPr>
              <w:t>’</w:t>
            </w:r>
            <w:r w:rsidRPr="00A32AF4">
              <w:rPr>
                <w:rFonts w:cs="Arial"/>
                <w:sz w:val="16"/>
                <w:szCs w:val="16"/>
              </w:rPr>
              <w:t>information, ainsi que de la complexité croissante du système, sous l</w:t>
            </w:r>
            <w:r w:rsidR="00E2055A" w:rsidRPr="00A32AF4">
              <w:rPr>
                <w:rFonts w:cs="Arial"/>
                <w:sz w:val="16"/>
                <w:szCs w:val="16"/>
              </w:rPr>
              <w:t>’</w:t>
            </w:r>
            <w:r w:rsidRPr="00A32AF4">
              <w:rPr>
                <w:rFonts w:cs="Arial"/>
                <w:sz w:val="16"/>
                <w:szCs w:val="16"/>
              </w:rPr>
              <w:t>effet de la mise en œuvre d</w:t>
            </w:r>
            <w:r w:rsidR="00E2055A" w:rsidRPr="00A32AF4">
              <w:rPr>
                <w:rFonts w:cs="Arial"/>
                <w:sz w:val="16"/>
                <w:szCs w:val="16"/>
              </w:rPr>
              <w:t>’</w:t>
            </w:r>
            <w:r w:rsidRPr="00A32AF4">
              <w:rPr>
                <w:rFonts w:cs="Arial"/>
                <w:sz w:val="16"/>
                <w:szCs w:val="16"/>
              </w:rPr>
              <w:t>éléments à l</w:t>
            </w:r>
            <w:r w:rsidR="00E2055A" w:rsidRPr="00A32AF4">
              <w:rPr>
                <w:rFonts w:cs="Arial"/>
                <w:sz w:val="16"/>
                <w:szCs w:val="16"/>
              </w:rPr>
              <w:t>’</w:t>
            </w:r>
            <w:r w:rsidRPr="00A32AF4">
              <w:rPr>
                <w:rFonts w:cs="Arial"/>
                <w:sz w:val="16"/>
                <w:szCs w:val="16"/>
              </w:rPr>
              <w:t>appui de l</w:t>
            </w:r>
            <w:r w:rsidR="00E2055A" w:rsidRPr="00A32AF4">
              <w:rPr>
                <w:rFonts w:cs="Arial"/>
                <w:sz w:val="16"/>
                <w:szCs w:val="16"/>
              </w:rPr>
              <w:t>’</w:t>
            </w:r>
            <w:r w:rsidRPr="00A32AF4">
              <w:rPr>
                <w:rFonts w:cs="Arial"/>
                <w:sz w:val="16"/>
                <w:szCs w:val="16"/>
              </w:rPr>
              <w:t>examen de la nouveauté dans certains offices désignés.</w:t>
            </w:r>
          </w:p>
        </w:tc>
        <w:tc>
          <w:tcPr>
            <w:tcW w:w="4961" w:type="dxa"/>
            <w:tcBorders>
              <w:top w:val="single" w:sz="4" w:space="0" w:color="auto"/>
              <w:left w:val="nil"/>
              <w:bottom w:val="single" w:sz="4" w:space="0" w:color="auto"/>
              <w:right w:val="single" w:sz="4" w:space="0" w:color="auto"/>
            </w:tcBorders>
            <w:shd w:val="clear" w:color="auto" w:fill="auto"/>
            <w:tcMar>
              <w:top w:w="113" w:type="dxa"/>
              <w:bottom w:w="113" w:type="dxa"/>
            </w:tcMar>
          </w:tcPr>
          <w:p w:rsidR="0088488D" w:rsidRPr="00A32AF4" w:rsidRDefault="0088488D" w:rsidP="00DC0553">
            <w:pPr>
              <w:rPr>
                <w:rFonts w:cs="Arial"/>
                <w:sz w:val="16"/>
                <w:szCs w:val="16"/>
              </w:rPr>
            </w:pPr>
            <w:r w:rsidRPr="00A32AF4">
              <w:rPr>
                <w:rFonts w:cs="Arial"/>
                <w:sz w:val="16"/>
                <w:szCs w:val="16"/>
              </w:rPr>
              <w:t>Accroissement de l</w:t>
            </w:r>
            <w:r w:rsidR="00E2055A" w:rsidRPr="00A32AF4">
              <w:rPr>
                <w:rFonts w:cs="Arial"/>
                <w:sz w:val="16"/>
                <w:szCs w:val="16"/>
              </w:rPr>
              <w:t>’</w:t>
            </w:r>
            <w:r w:rsidRPr="00A32AF4">
              <w:rPr>
                <w:rFonts w:cs="Arial"/>
                <w:sz w:val="16"/>
                <w:szCs w:val="16"/>
              </w:rPr>
              <w:t>efficacité et de l</w:t>
            </w:r>
            <w:r w:rsidR="00E2055A" w:rsidRPr="00A32AF4">
              <w:rPr>
                <w:rFonts w:cs="Arial"/>
                <w:sz w:val="16"/>
                <w:szCs w:val="16"/>
              </w:rPr>
              <w:t>’</w:t>
            </w:r>
            <w:r w:rsidRPr="00A32AF4">
              <w:rPr>
                <w:rFonts w:cs="Arial"/>
                <w:sz w:val="16"/>
                <w:szCs w:val="16"/>
              </w:rPr>
              <w:t>efficience de l</w:t>
            </w:r>
            <w:r w:rsidR="00E2055A" w:rsidRPr="00A32AF4">
              <w:rPr>
                <w:rFonts w:cs="Arial"/>
                <w:sz w:val="16"/>
                <w:szCs w:val="16"/>
              </w:rPr>
              <w:t>’</w:t>
            </w:r>
            <w:r w:rsidRPr="00A32AF4">
              <w:rPr>
                <w:rFonts w:cs="Arial"/>
                <w:sz w:val="16"/>
                <w:szCs w:val="16"/>
              </w:rPr>
              <w:t xml:space="preserve">administration du système, sous tous ses </w:t>
            </w:r>
            <w:proofErr w:type="gramStart"/>
            <w:r w:rsidRPr="00A32AF4">
              <w:rPr>
                <w:rFonts w:cs="Arial"/>
                <w:sz w:val="16"/>
                <w:szCs w:val="16"/>
              </w:rPr>
              <w:t>aspects;</w:t>
            </w:r>
            <w:proofErr w:type="gramEnd"/>
            <w:r w:rsidRPr="00A32AF4">
              <w:rPr>
                <w:rFonts w:cs="Arial"/>
                <w:sz w:val="16"/>
                <w:szCs w:val="16"/>
              </w:rPr>
              <w:t xml:space="preserve">  promotion des meilleures pratiques et de la convergence parmi les offices concernés;  mise au point de solutions informatiques pour aider les utilisateurs et les examinateurs des offices et du Bureau international.</w:t>
            </w:r>
          </w:p>
        </w:tc>
      </w:tr>
    </w:tbl>
    <w:p w:rsidR="0088488D" w:rsidRPr="00A32AF4" w:rsidRDefault="0088488D" w:rsidP="00DC0553">
      <w:pPr>
        <w:rPr>
          <w:rFonts w:cs="Arial"/>
        </w:rPr>
      </w:pPr>
    </w:p>
    <w:p w:rsidR="0088488D" w:rsidRPr="00A32AF4" w:rsidRDefault="0088488D" w:rsidP="00DC0553">
      <w:pPr>
        <w:rPr>
          <w:rFonts w:cs="Arial"/>
        </w:rPr>
      </w:pPr>
    </w:p>
    <w:p w:rsidR="0088488D" w:rsidRPr="00A32AF4" w:rsidRDefault="0088488D" w:rsidP="00DC0553">
      <w:pPr>
        <w:rPr>
          <w:rFonts w:cs="Arial"/>
        </w:rPr>
      </w:pPr>
      <w:r w:rsidRPr="00A32AF4">
        <w:rPr>
          <w:rFonts w:cs="Arial"/>
        </w:rPr>
        <w:t>TABLEAU DES RÉSULTATS</w:t>
      </w:r>
    </w:p>
    <w:p w:rsidR="0088488D" w:rsidRPr="00A32AF4" w:rsidRDefault="0088488D" w:rsidP="00DC0553">
      <w:pPr>
        <w:jc w:val="both"/>
        <w:rPr>
          <w:rFonts w:cs="Arial"/>
        </w:rPr>
      </w:pPr>
    </w:p>
    <w:tbl>
      <w:tblPr>
        <w:tblW w:w="9195" w:type="dxa"/>
        <w:tblInd w:w="9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40"/>
        <w:gridCol w:w="2340"/>
        <w:gridCol w:w="2340"/>
        <w:gridCol w:w="2175"/>
      </w:tblGrid>
      <w:tr w:rsidR="0088488D" w:rsidRPr="00A32AF4" w:rsidTr="005808EF">
        <w:trPr>
          <w:cantSplit/>
          <w:tblHeader/>
        </w:trPr>
        <w:tc>
          <w:tcPr>
            <w:tcW w:w="2340" w:type="dxa"/>
            <w:tcBorders>
              <w:top w:val="single" w:sz="4" w:space="0" w:color="auto"/>
              <w:bottom w:val="single" w:sz="4" w:space="0" w:color="auto"/>
            </w:tcBorders>
            <w:shd w:val="clear" w:color="auto" w:fill="C6D9F1" w:themeFill="text2" w:themeFillTint="33"/>
            <w:tcMar>
              <w:top w:w="113" w:type="dxa"/>
              <w:bottom w:w="113" w:type="dxa"/>
            </w:tcMar>
            <w:vAlign w:val="center"/>
            <w:hideMark/>
          </w:tcPr>
          <w:p w:rsidR="0088488D" w:rsidRPr="00A32AF4" w:rsidRDefault="0088488D" w:rsidP="00DC0553">
            <w:pPr>
              <w:jc w:val="center"/>
              <w:rPr>
                <w:rFonts w:cs="Arial"/>
                <w:b/>
                <w:bCs/>
                <w:sz w:val="18"/>
                <w:szCs w:val="18"/>
              </w:rPr>
            </w:pPr>
            <w:r w:rsidRPr="00A32AF4">
              <w:rPr>
                <w:rFonts w:cs="Arial"/>
                <w:b/>
                <w:bCs/>
                <w:sz w:val="18"/>
                <w:szCs w:val="18"/>
              </w:rPr>
              <w:t>Résultats escomptés</w:t>
            </w:r>
          </w:p>
        </w:tc>
        <w:tc>
          <w:tcPr>
            <w:tcW w:w="2340" w:type="dxa"/>
            <w:tcBorders>
              <w:top w:val="single" w:sz="4" w:space="0" w:color="auto"/>
              <w:bottom w:val="single" w:sz="4" w:space="0" w:color="auto"/>
            </w:tcBorders>
            <w:shd w:val="clear" w:color="auto" w:fill="C6D9F1" w:themeFill="text2" w:themeFillTint="33"/>
            <w:tcMar>
              <w:top w:w="113" w:type="dxa"/>
              <w:bottom w:w="113" w:type="dxa"/>
            </w:tcMar>
            <w:vAlign w:val="center"/>
            <w:hideMark/>
          </w:tcPr>
          <w:p w:rsidR="0088488D" w:rsidRPr="00A32AF4" w:rsidRDefault="0088488D" w:rsidP="00DC0553">
            <w:pPr>
              <w:jc w:val="center"/>
              <w:rPr>
                <w:rFonts w:cs="Arial"/>
                <w:b/>
                <w:bCs/>
                <w:sz w:val="18"/>
                <w:szCs w:val="18"/>
              </w:rPr>
            </w:pPr>
            <w:r w:rsidRPr="00A32AF4">
              <w:rPr>
                <w:rFonts w:cs="Arial"/>
                <w:b/>
                <w:bCs/>
                <w:sz w:val="18"/>
                <w:szCs w:val="18"/>
              </w:rPr>
              <w:t>Indicateurs d</w:t>
            </w:r>
            <w:r w:rsidR="00E2055A" w:rsidRPr="00A32AF4">
              <w:rPr>
                <w:rFonts w:cs="Arial"/>
                <w:b/>
                <w:bCs/>
                <w:sz w:val="18"/>
                <w:szCs w:val="18"/>
              </w:rPr>
              <w:t>’</w:t>
            </w:r>
            <w:r w:rsidRPr="00A32AF4">
              <w:rPr>
                <w:rFonts w:cs="Arial"/>
                <w:b/>
                <w:bCs/>
                <w:sz w:val="18"/>
                <w:szCs w:val="18"/>
              </w:rPr>
              <w:t>exécution</w:t>
            </w:r>
          </w:p>
        </w:tc>
        <w:tc>
          <w:tcPr>
            <w:tcW w:w="2340" w:type="dxa"/>
            <w:tcBorders>
              <w:top w:val="single" w:sz="4" w:space="0" w:color="auto"/>
              <w:bottom w:val="single" w:sz="4" w:space="0" w:color="auto"/>
            </w:tcBorders>
            <w:shd w:val="clear" w:color="auto" w:fill="C6D9F1" w:themeFill="text2" w:themeFillTint="33"/>
            <w:tcMar>
              <w:top w:w="113" w:type="dxa"/>
              <w:bottom w:w="113" w:type="dxa"/>
            </w:tcMar>
            <w:vAlign w:val="center"/>
            <w:hideMark/>
          </w:tcPr>
          <w:p w:rsidR="0088488D" w:rsidRPr="00A32AF4" w:rsidRDefault="0088488D" w:rsidP="00DC0553">
            <w:pPr>
              <w:jc w:val="center"/>
              <w:rPr>
                <w:rFonts w:cs="Arial"/>
                <w:b/>
                <w:bCs/>
                <w:sz w:val="18"/>
                <w:szCs w:val="18"/>
              </w:rPr>
            </w:pPr>
            <w:r w:rsidRPr="00A32AF4">
              <w:rPr>
                <w:rFonts w:cs="Arial"/>
                <w:b/>
                <w:bCs/>
                <w:sz w:val="18"/>
                <w:szCs w:val="18"/>
              </w:rPr>
              <w:t>Niveaux de référence</w:t>
            </w:r>
          </w:p>
        </w:tc>
        <w:tc>
          <w:tcPr>
            <w:tcW w:w="2175" w:type="dxa"/>
            <w:tcBorders>
              <w:top w:val="single" w:sz="4" w:space="0" w:color="auto"/>
              <w:bottom w:val="single" w:sz="4" w:space="0" w:color="auto"/>
            </w:tcBorders>
            <w:shd w:val="clear" w:color="auto" w:fill="C6D9F1" w:themeFill="text2" w:themeFillTint="33"/>
            <w:tcMar>
              <w:top w:w="113" w:type="dxa"/>
              <w:bottom w:w="113" w:type="dxa"/>
            </w:tcMar>
            <w:vAlign w:val="center"/>
            <w:hideMark/>
          </w:tcPr>
          <w:p w:rsidR="0088488D" w:rsidRPr="00A32AF4" w:rsidRDefault="0088488D" w:rsidP="00DC0553">
            <w:pPr>
              <w:jc w:val="center"/>
              <w:rPr>
                <w:rFonts w:cs="Arial"/>
                <w:b/>
                <w:bCs/>
                <w:sz w:val="18"/>
                <w:szCs w:val="18"/>
              </w:rPr>
            </w:pPr>
            <w:r w:rsidRPr="00A32AF4">
              <w:rPr>
                <w:rFonts w:cs="Arial"/>
                <w:b/>
                <w:bCs/>
                <w:sz w:val="18"/>
                <w:szCs w:val="18"/>
              </w:rPr>
              <w:t>Objectifs visés</w:t>
            </w:r>
          </w:p>
        </w:tc>
      </w:tr>
      <w:tr w:rsidR="0088488D" w:rsidRPr="00A32AF4" w:rsidTr="005808EF">
        <w:trPr>
          <w:cantSplit/>
        </w:trPr>
        <w:tc>
          <w:tcPr>
            <w:tcW w:w="2340" w:type="dxa"/>
            <w:tcBorders>
              <w:top w:val="single" w:sz="4" w:space="0" w:color="auto"/>
            </w:tcBorders>
            <w:shd w:val="clear" w:color="000000" w:fill="FFFFFF"/>
            <w:tcMar>
              <w:top w:w="113" w:type="dxa"/>
              <w:bottom w:w="113" w:type="dxa"/>
            </w:tcMar>
            <w:hideMark/>
          </w:tcPr>
          <w:p w:rsidR="0088488D" w:rsidRPr="00A32AF4" w:rsidRDefault="0088488D" w:rsidP="00DC0553">
            <w:pPr>
              <w:rPr>
                <w:rFonts w:cs="Arial"/>
                <w:sz w:val="16"/>
                <w:szCs w:val="16"/>
              </w:rPr>
            </w:pPr>
            <w:r w:rsidRPr="00A32AF4">
              <w:rPr>
                <w:rFonts w:cs="Arial"/>
                <w:sz w:val="16"/>
                <w:szCs w:val="16"/>
              </w:rPr>
              <w:t xml:space="preserve">II.4 Utilisation élargie et plus efficace du système de </w:t>
            </w:r>
            <w:r w:rsidR="00E2055A" w:rsidRPr="00A32AF4">
              <w:rPr>
                <w:rFonts w:cs="Arial"/>
                <w:sz w:val="16"/>
                <w:szCs w:val="16"/>
              </w:rPr>
              <w:t>La Haye</w:t>
            </w:r>
            <w:r w:rsidRPr="00A32AF4">
              <w:rPr>
                <w:rFonts w:cs="Arial"/>
                <w:sz w:val="16"/>
                <w:szCs w:val="16"/>
              </w:rPr>
              <w:t>, notamment par les pays en développement et les PMA</w:t>
            </w:r>
          </w:p>
        </w:tc>
        <w:tc>
          <w:tcPr>
            <w:tcW w:w="2340" w:type="dxa"/>
            <w:tcBorders>
              <w:top w:val="single" w:sz="4" w:space="0" w:color="auto"/>
            </w:tcBorders>
            <w:shd w:val="clear" w:color="000000" w:fill="FFFFFF"/>
            <w:tcMar>
              <w:top w:w="113" w:type="dxa"/>
              <w:bottom w:w="113" w:type="dxa"/>
            </w:tcMar>
            <w:hideMark/>
          </w:tcPr>
          <w:p w:rsidR="0088488D" w:rsidRPr="00A32AF4" w:rsidRDefault="0088488D" w:rsidP="00DC0553">
            <w:pPr>
              <w:rPr>
                <w:rFonts w:cs="Arial"/>
                <w:sz w:val="16"/>
                <w:szCs w:val="16"/>
              </w:rPr>
            </w:pPr>
            <w:r w:rsidRPr="00A32AF4">
              <w:rPr>
                <w:rFonts w:cs="Arial"/>
                <w:sz w:val="16"/>
                <w:szCs w:val="16"/>
              </w:rPr>
              <w:t>Parties contractantes à l</w:t>
            </w:r>
            <w:r w:rsidR="00E2055A" w:rsidRPr="00A32AF4">
              <w:rPr>
                <w:rFonts w:cs="Arial"/>
                <w:sz w:val="16"/>
                <w:szCs w:val="16"/>
              </w:rPr>
              <w:t>’</w:t>
            </w:r>
            <w:r w:rsidRPr="00A32AF4">
              <w:rPr>
                <w:rFonts w:cs="Arial"/>
                <w:sz w:val="16"/>
                <w:szCs w:val="16"/>
              </w:rPr>
              <w:t>Acte de Genève (1999)</w:t>
            </w:r>
          </w:p>
        </w:tc>
        <w:tc>
          <w:tcPr>
            <w:tcW w:w="2340" w:type="dxa"/>
            <w:tcBorders>
              <w:top w:val="single" w:sz="4" w:space="0" w:color="auto"/>
            </w:tcBorders>
            <w:shd w:val="clear" w:color="000000" w:fill="FFFFFF"/>
            <w:tcMar>
              <w:top w:w="113" w:type="dxa"/>
              <w:bottom w:w="113" w:type="dxa"/>
            </w:tcMar>
            <w:hideMark/>
          </w:tcPr>
          <w:p w:rsidR="0088488D" w:rsidRPr="00A32AF4" w:rsidRDefault="0088488D" w:rsidP="00DC0553">
            <w:pPr>
              <w:rPr>
                <w:rFonts w:cs="Arial"/>
                <w:sz w:val="16"/>
                <w:szCs w:val="16"/>
              </w:rPr>
            </w:pPr>
            <w:r w:rsidRPr="00A32AF4">
              <w:rPr>
                <w:rFonts w:cs="Arial"/>
                <w:sz w:val="16"/>
                <w:szCs w:val="16"/>
              </w:rPr>
              <w:t>49 parties contractantes à compter du 13 février 2015.</w:t>
            </w:r>
          </w:p>
        </w:tc>
        <w:tc>
          <w:tcPr>
            <w:tcW w:w="2175" w:type="dxa"/>
            <w:tcBorders>
              <w:top w:val="single" w:sz="4" w:space="0" w:color="auto"/>
            </w:tcBorders>
            <w:shd w:val="clear" w:color="000000" w:fill="FFFFFF"/>
            <w:tcMar>
              <w:top w:w="113" w:type="dxa"/>
              <w:bottom w:w="113" w:type="dxa"/>
            </w:tcMar>
            <w:hideMark/>
          </w:tcPr>
          <w:p w:rsidR="0088488D" w:rsidRPr="00A32AF4" w:rsidRDefault="0088488D" w:rsidP="00DC0553">
            <w:pPr>
              <w:rPr>
                <w:rFonts w:cs="Arial"/>
                <w:sz w:val="16"/>
                <w:szCs w:val="16"/>
              </w:rPr>
            </w:pPr>
            <w:r w:rsidRPr="00A32AF4">
              <w:rPr>
                <w:rFonts w:cs="Arial"/>
                <w:sz w:val="16"/>
                <w:szCs w:val="16"/>
              </w:rPr>
              <w:t>60 parties contractantes</w:t>
            </w:r>
          </w:p>
        </w:tc>
      </w:tr>
      <w:tr w:rsidR="0088488D" w:rsidRPr="00A32AF4" w:rsidTr="005808EF">
        <w:trPr>
          <w:cantSplit/>
        </w:trPr>
        <w:tc>
          <w:tcPr>
            <w:tcW w:w="2340" w:type="dxa"/>
            <w:shd w:val="clear" w:color="000000" w:fill="FFFFFF"/>
            <w:tcMar>
              <w:top w:w="113" w:type="dxa"/>
              <w:bottom w:w="113" w:type="dxa"/>
            </w:tcMar>
            <w:hideMark/>
          </w:tcPr>
          <w:p w:rsidR="0088488D" w:rsidRPr="00A32AF4" w:rsidRDefault="0088488D" w:rsidP="00DC0553">
            <w:pPr>
              <w:rPr>
                <w:rFonts w:cs="Arial"/>
                <w:sz w:val="16"/>
                <w:szCs w:val="16"/>
              </w:rPr>
            </w:pPr>
          </w:p>
        </w:tc>
        <w:tc>
          <w:tcPr>
            <w:tcW w:w="2340" w:type="dxa"/>
            <w:shd w:val="clear" w:color="000000" w:fill="FFFFFF"/>
            <w:tcMar>
              <w:top w:w="113" w:type="dxa"/>
              <w:bottom w:w="113" w:type="dxa"/>
            </w:tcMar>
            <w:hideMark/>
          </w:tcPr>
          <w:p w:rsidR="0088488D" w:rsidRPr="00A32AF4" w:rsidRDefault="0088488D" w:rsidP="00DC0553">
            <w:pPr>
              <w:rPr>
                <w:rFonts w:cs="Arial"/>
                <w:sz w:val="16"/>
                <w:szCs w:val="16"/>
              </w:rPr>
            </w:pPr>
            <w:r w:rsidRPr="00A32AF4">
              <w:rPr>
                <w:rFonts w:cs="Arial"/>
                <w:sz w:val="16"/>
                <w:szCs w:val="16"/>
              </w:rPr>
              <w:t>Nombre d</w:t>
            </w:r>
            <w:r w:rsidR="00E2055A" w:rsidRPr="00A32AF4">
              <w:rPr>
                <w:rFonts w:cs="Arial"/>
                <w:sz w:val="16"/>
                <w:szCs w:val="16"/>
              </w:rPr>
              <w:t>’</w:t>
            </w:r>
            <w:r w:rsidRPr="00A32AF4">
              <w:rPr>
                <w:rFonts w:cs="Arial"/>
                <w:sz w:val="16"/>
                <w:szCs w:val="16"/>
              </w:rPr>
              <w:t xml:space="preserve">offices fournissant des informations sur le système de </w:t>
            </w:r>
            <w:r w:rsidR="00E2055A" w:rsidRPr="00A32AF4">
              <w:rPr>
                <w:rFonts w:cs="Arial"/>
                <w:sz w:val="16"/>
                <w:szCs w:val="16"/>
              </w:rPr>
              <w:t>La Haye</w:t>
            </w:r>
            <w:r w:rsidRPr="00A32AF4">
              <w:rPr>
                <w:rFonts w:cs="Arial"/>
                <w:sz w:val="16"/>
                <w:szCs w:val="16"/>
              </w:rPr>
              <w:t xml:space="preserve"> à leurs utilisateurs.</w:t>
            </w:r>
          </w:p>
        </w:tc>
        <w:tc>
          <w:tcPr>
            <w:tcW w:w="2340" w:type="dxa"/>
            <w:shd w:val="clear" w:color="auto" w:fill="auto"/>
            <w:tcMar>
              <w:top w:w="113" w:type="dxa"/>
              <w:bottom w:w="113" w:type="dxa"/>
            </w:tcMar>
            <w:hideMark/>
          </w:tcPr>
          <w:p w:rsidR="0088488D" w:rsidRPr="00A32AF4" w:rsidRDefault="0088488D" w:rsidP="00DC0553">
            <w:pPr>
              <w:rPr>
                <w:rFonts w:cs="Arial"/>
                <w:sz w:val="16"/>
                <w:szCs w:val="16"/>
              </w:rPr>
            </w:pPr>
            <w:r w:rsidRPr="00A32AF4">
              <w:rPr>
                <w:rFonts w:cs="Arial"/>
                <w:sz w:val="16"/>
                <w:szCs w:val="16"/>
              </w:rPr>
              <w:t xml:space="preserve">38 offices nationaux ou régionaux fournissaient des informations sur le système de </w:t>
            </w:r>
            <w:r w:rsidR="00E2055A" w:rsidRPr="00A32AF4">
              <w:rPr>
                <w:rFonts w:cs="Arial"/>
                <w:sz w:val="16"/>
                <w:szCs w:val="16"/>
              </w:rPr>
              <w:t>La Haye</w:t>
            </w:r>
            <w:r w:rsidRPr="00A32AF4">
              <w:rPr>
                <w:rFonts w:cs="Arial"/>
                <w:sz w:val="16"/>
                <w:szCs w:val="16"/>
              </w:rPr>
              <w:t>.</w:t>
            </w:r>
            <w:r w:rsidRPr="00A32AF4">
              <w:rPr>
                <w:sz w:val="16"/>
              </w:rPr>
              <w:t xml:space="preserve">  </w:t>
            </w:r>
            <w:r w:rsidRPr="00A32AF4">
              <w:rPr>
                <w:rFonts w:cs="Arial"/>
                <w:sz w:val="16"/>
                <w:szCs w:val="16"/>
              </w:rPr>
              <w:t>Dix offices n</w:t>
            </w:r>
            <w:r w:rsidR="00E2055A" w:rsidRPr="00A32AF4">
              <w:rPr>
                <w:rFonts w:cs="Arial"/>
                <w:sz w:val="16"/>
                <w:szCs w:val="16"/>
              </w:rPr>
              <w:t>’</w:t>
            </w:r>
            <w:r w:rsidRPr="00A32AF4">
              <w:rPr>
                <w:rFonts w:cs="Arial"/>
                <w:sz w:val="16"/>
                <w:szCs w:val="16"/>
              </w:rPr>
              <w:t>ont pas de site Web (fin 2014)</w:t>
            </w:r>
          </w:p>
        </w:tc>
        <w:tc>
          <w:tcPr>
            <w:tcW w:w="2175" w:type="dxa"/>
            <w:shd w:val="clear" w:color="000000" w:fill="FFFFFF"/>
            <w:tcMar>
              <w:top w:w="113" w:type="dxa"/>
              <w:bottom w:w="113" w:type="dxa"/>
            </w:tcMar>
            <w:hideMark/>
          </w:tcPr>
          <w:p w:rsidR="0088488D" w:rsidRPr="00A32AF4" w:rsidRDefault="0088488D" w:rsidP="00DC0553">
            <w:pPr>
              <w:rPr>
                <w:rFonts w:cs="Arial"/>
                <w:sz w:val="16"/>
                <w:szCs w:val="16"/>
              </w:rPr>
            </w:pPr>
            <w:r w:rsidRPr="00A32AF4">
              <w:rPr>
                <w:rFonts w:cs="Arial"/>
                <w:sz w:val="16"/>
                <w:szCs w:val="16"/>
              </w:rPr>
              <w:t>Une augmentation du nombre d</w:t>
            </w:r>
            <w:r w:rsidR="00E2055A" w:rsidRPr="00A32AF4">
              <w:rPr>
                <w:rFonts w:cs="Arial"/>
                <w:sz w:val="16"/>
                <w:szCs w:val="16"/>
              </w:rPr>
              <w:t>’</w:t>
            </w:r>
            <w:r w:rsidRPr="00A32AF4">
              <w:rPr>
                <w:rFonts w:cs="Arial"/>
                <w:sz w:val="16"/>
                <w:szCs w:val="16"/>
              </w:rPr>
              <w:t xml:space="preserve">offices fournissant des informations sur le système de </w:t>
            </w:r>
            <w:r w:rsidR="00E2055A" w:rsidRPr="00A32AF4">
              <w:rPr>
                <w:rFonts w:cs="Arial"/>
                <w:sz w:val="16"/>
                <w:szCs w:val="16"/>
              </w:rPr>
              <w:t>La Haye</w:t>
            </w:r>
            <w:r w:rsidRPr="00A32AF4">
              <w:rPr>
                <w:rFonts w:cs="Arial"/>
                <w:sz w:val="16"/>
                <w:szCs w:val="16"/>
              </w:rPr>
              <w:t>.</w:t>
            </w:r>
          </w:p>
        </w:tc>
      </w:tr>
      <w:tr w:rsidR="0088488D" w:rsidRPr="00A32AF4" w:rsidTr="005808EF">
        <w:trPr>
          <w:cantSplit/>
        </w:trPr>
        <w:tc>
          <w:tcPr>
            <w:tcW w:w="2340" w:type="dxa"/>
            <w:shd w:val="clear" w:color="000000" w:fill="FFFFFF"/>
            <w:tcMar>
              <w:top w:w="113" w:type="dxa"/>
              <w:bottom w:w="113" w:type="dxa"/>
            </w:tcMar>
            <w:hideMark/>
          </w:tcPr>
          <w:p w:rsidR="0088488D" w:rsidRPr="00A32AF4" w:rsidRDefault="0088488D" w:rsidP="00DC0553">
            <w:pPr>
              <w:rPr>
                <w:rFonts w:cs="Arial"/>
                <w:sz w:val="16"/>
                <w:szCs w:val="16"/>
              </w:rPr>
            </w:pPr>
          </w:p>
        </w:tc>
        <w:tc>
          <w:tcPr>
            <w:tcW w:w="2340" w:type="dxa"/>
            <w:shd w:val="clear" w:color="000000" w:fill="FFFFFF"/>
            <w:tcMar>
              <w:top w:w="113" w:type="dxa"/>
              <w:bottom w:w="113" w:type="dxa"/>
            </w:tcMar>
            <w:hideMark/>
          </w:tcPr>
          <w:p w:rsidR="0088488D" w:rsidRPr="00A32AF4" w:rsidRDefault="0088488D" w:rsidP="00DC0553">
            <w:pPr>
              <w:rPr>
                <w:rFonts w:cs="Arial"/>
                <w:sz w:val="16"/>
                <w:szCs w:val="16"/>
              </w:rPr>
            </w:pPr>
            <w:r w:rsidRPr="00A32AF4">
              <w:rPr>
                <w:rFonts w:cs="Arial"/>
                <w:sz w:val="16"/>
                <w:szCs w:val="16"/>
              </w:rPr>
              <w:t xml:space="preserve">Dépôts de demandes et renouvellements au titre du système de </w:t>
            </w:r>
            <w:r w:rsidR="00E2055A" w:rsidRPr="00A32AF4">
              <w:rPr>
                <w:rFonts w:cs="Arial"/>
                <w:sz w:val="16"/>
                <w:szCs w:val="16"/>
              </w:rPr>
              <w:t>La Haye</w:t>
            </w:r>
            <w:r w:rsidRPr="00A32AF4">
              <w:rPr>
                <w:rFonts w:cs="Arial"/>
                <w:sz w:val="16"/>
                <w:szCs w:val="16"/>
              </w:rPr>
              <w:t xml:space="preserve"> </w:t>
            </w:r>
          </w:p>
        </w:tc>
        <w:tc>
          <w:tcPr>
            <w:tcW w:w="2340" w:type="dxa"/>
            <w:shd w:val="clear" w:color="000000" w:fill="FFFFFF"/>
            <w:tcMar>
              <w:top w:w="113" w:type="dxa"/>
              <w:bottom w:w="113" w:type="dxa"/>
            </w:tcMar>
            <w:hideMark/>
          </w:tcPr>
          <w:p w:rsidR="0088488D" w:rsidRPr="00A32AF4" w:rsidRDefault="0088488D" w:rsidP="00DC0553">
            <w:pPr>
              <w:rPr>
                <w:rFonts w:cs="Arial"/>
                <w:sz w:val="16"/>
                <w:szCs w:val="16"/>
              </w:rPr>
            </w:pPr>
            <w:r w:rsidRPr="00A32AF4">
              <w:rPr>
                <w:rFonts w:cs="Arial"/>
                <w:sz w:val="16"/>
                <w:szCs w:val="16"/>
              </w:rPr>
              <w:t>Demandes : 2924</w:t>
            </w:r>
            <w:r w:rsidRPr="00A32AF4">
              <w:rPr>
                <w:rFonts w:cs="Arial"/>
                <w:sz w:val="16"/>
                <w:szCs w:val="16"/>
              </w:rPr>
              <w:br/>
              <w:t>Dessins et modèles industriels contenus : 14 441</w:t>
            </w:r>
            <w:r w:rsidRPr="00A32AF4">
              <w:rPr>
                <w:rFonts w:cs="Arial"/>
                <w:sz w:val="16"/>
                <w:szCs w:val="16"/>
              </w:rPr>
              <w:br/>
              <w:t>Renouvellements : 2703 (2014)</w:t>
            </w:r>
          </w:p>
        </w:tc>
        <w:tc>
          <w:tcPr>
            <w:tcW w:w="2175" w:type="dxa"/>
            <w:shd w:val="clear" w:color="000000" w:fill="FFFFFF"/>
            <w:tcMar>
              <w:top w:w="113" w:type="dxa"/>
              <w:bottom w:w="113" w:type="dxa"/>
            </w:tcMar>
            <w:hideMark/>
          </w:tcPr>
          <w:p w:rsidR="0088488D" w:rsidRPr="00A32AF4" w:rsidRDefault="0088488D" w:rsidP="00DC0553">
            <w:pPr>
              <w:rPr>
                <w:rFonts w:cs="Arial"/>
                <w:sz w:val="16"/>
                <w:szCs w:val="16"/>
              </w:rPr>
            </w:pPr>
            <w:r w:rsidRPr="00A32AF4">
              <w:rPr>
                <w:rFonts w:cs="Arial"/>
                <w:sz w:val="16"/>
                <w:szCs w:val="16"/>
                <w:u w:val="single"/>
              </w:rPr>
              <w:t>2016</w:t>
            </w:r>
            <w:r w:rsidRPr="00A32AF4">
              <w:rPr>
                <w:rFonts w:cs="Arial"/>
                <w:sz w:val="16"/>
                <w:szCs w:val="16"/>
              </w:rPr>
              <w:br/>
              <w:t>Demandes : 4940</w:t>
            </w:r>
            <w:r w:rsidRPr="00A32AF4">
              <w:rPr>
                <w:rFonts w:cs="Arial"/>
                <w:sz w:val="16"/>
                <w:szCs w:val="16"/>
              </w:rPr>
              <w:br/>
              <w:t>Dessins et modèles industriels contenus : 22 730</w:t>
            </w:r>
            <w:r w:rsidRPr="00A32AF4">
              <w:rPr>
                <w:rFonts w:cs="Arial"/>
                <w:sz w:val="16"/>
                <w:szCs w:val="16"/>
              </w:rPr>
              <w:br/>
              <w:t>Renouvellements : 2830 (</w:t>
            </w:r>
            <w:r w:rsidR="00EB7F54" w:rsidRPr="00A32AF4">
              <w:rPr>
                <w:rFonts w:cs="Arial"/>
                <w:sz w:val="16"/>
                <w:szCs w:val="16"/>
              </w:rPr>
              <w:noBreakHyphen/>
            </w:r>
            <w:r w:rsidRPr="00A32AF4">
              <w:rPr>
                <w:rFonts w:cs="Arial"/>
                <w:sz w:val="16"/>
                <w:szCs w:val="16"/>
              </w:rPr>
              <w:t>1,0%</w:t>
            </w:r>
            <w:proofErr w:type="gramStart"/>
            <w:r w:rsidRPr="00A32AF4">
              <w:rPr>
                <w:rFonts w:cs="Arial"/>
                <w:sz w:val="16"/>
                <w:szCs w:val="16"/>
              </w:rPr>
              <w:t>)</w:t>
            </w:r>
            <w:proofErr w:type="gramEnd"/>
            <w:r w:rsidRPr="00A32AF4">
              <w:rPr>
                <w:rFonts w:cs="Arial"/>
                <w:sz w:val="16"/>
                <w:szCs w:val="16"/>
              </w:rPr>
              <w:br/>
            </w:r>
            <w:r w:rsidRPr="00A32AF4">
              <w:rPr>
                <w:rFonts w:cs="Arial"/>
                <w:sz w:val="16"/>
                <w:szCs w:val="16"/>
              </w:rPr>
              <w:br/>
            </w:r>
            <w:r w:rsidRPr="00A32AF4">
              <w:rPr>
                <w:rFonts w:cs="Arial"/>
                <w:sz w:val="16"/>
                <w:szCs w:val="16"/>
                <w:u w:val="single"/>
              </w:rPr>
              <w:t>2017</w:t>
            </w:r>
            <w:r w:rsidRPr="00A32AF4">
              <w:rPr>
                <w:rFonts w:cs="Arial"/>
                <w:sz w:val="16"/>
                <w:szCs w:val="16"/>
              </w:rPr>
              <w:br/>
              <w:t>Demandes : 5710</w:t>
            </w:r>
            <w:r w:rsidRPr="00A32AF4">
              <w:rPr>
                <w:rFonts w:cs="Arial"/>
                <w:sz w:val="16"/>
                <w:szCs w:val="16"/>
              </w:rPr>
              <w:br/>
              <w:t>Dessins et modèles industriels contenus : 26 140</w:t>
            </w:r>
            <w:r w:rsidRPr="00A32AF4">
              <w:rPr>
                <w:rFonts w:cs="Arial"/>
                <w:sz w:val="16"/>
                <w:szCs w:val="16"/>
              </w:rPr>
              <w:br/>
              <w:t>Renouvellements : 2940 (+</w:t>
            </w:r>
            <w:r w:rsidR="005808EF" w:rsidRPr="00A32AF4">
              <w:rPr>
                <w:rFonts w:cs="Arial"/>
                <w:sz w:val="16"/>
                <w:szCs w:val="16"/>
              </w:rPr>
              <w:t> </w:t>
            </w:r>
            <w:r w:rsidRPr="00A32AF4">
              <w:rPr>
                <w:rFonts w:cs="Arial"/>
                <w:sz w:val="16"/>
                <w:szCs w:val="16"/>
              </w:rPr>
              <w:t>3,9%)</w:t>
            </w:r>
          </w:p>
        </w:tc>
      </w:tr>
      <w:tr w:rsidR="0088488D" w:rsidRPr="00A32AF4" w:rsidTr="005808EF">
        <w:trPr>
          <w:cantSplit/>
        </w:trPr>
        <w:tc>
          <w:tcPr>
            <w:tcW w:w="2340" w:type="dxa"/>
            <w:shd w:val="clear" w:color="000000" w:fill="FFFFFF"/>
            <w:tcMar>
              <w:top w:w="113" w:type="dxa"/>
              <w:bottom w:w="113" w:type="dxa"/>
            </w:tcMar>
            <w:hideMark/>
          </w:tcPr>
          <w:p w:rsidR="0088488D" w:rsidRPr="00A32AF4" w:rsidRDefault="0088488D" w:rsidP="00DC0553">
            <w:pPr>
              <w:rPr>
                <w:rFonts w:cs="Arial"/>
                <w:sz w:val="16"/>
                <w:szCs w:val="16"/>
              </w:rPr>
            </w:pPr>
            <w:r w:rsidRPr="00A32AF4">
              <w:rPr>
                <w:rFonts w:cs="Arial"/>
                <w:sz w:val="16"/>
                <w:szCs w:val="16"/>
              </w:rPr>
              <w:t xml:space="preserve">II.5 Amélioration de la productivité et de la qualité de service des opérations de </w:t>
            </w:r>
            <w:r w:rsidR="00E2055A" w:rsidRPr="00A32AF4">
              <w:rPr>
                <w:rFonts w:cs="Arial"/>
                <w:sz w:val="16"/>
                <w:szCs w:val="16"/>
              </w:rPr>
              <w:t>La Haye</w:t>
            </w:r>
          </w:p>
        </w:tc>
        <w:tc>
          <w:tcPr>
            <w:tcW w:w="2340" w:type="dxa"/>
            <w:shd w:val="clear" w:color="000000" w:fill="FFFFFF"/>
            <w:tcMar>
              <w:top w:w="113" w:type="dxa"/>
              <w:bottom w:w="113" w:type="dxa"/>
            </w:tcMar>
            <w:hideMark/>
          </w:tcPr>
          <w:p w:rsidR="0088488D" w:rsidRPr="00A32AF4" w:rsidRDefault="0088488D" w:rsidP="00DC0553">
            <w:pPr>
              <w:rPr>
                <w:rFonts w:cs="Arial"/>
                <w:sz w:val="16"/>
                <w:szCs w:val="16"/>
              </w:rPr>
            </w:pPr>
            <w:r w:rsidRPr="00A32AF4">
              <w:rPr>
                <w:rFonts w:cs="Arial"/>
                <w:sz w:val="16"/>
                <w:szCs w:val="16"/>
              </w:rPr>
              <w:t>Prédominance de l</w:t>
            </w:r>
            <w:r w:rsidR="00E2055A" w:rsidRPr="00A32AF4">
              <w:rPr>
                <w:rFonts w:cs="Arial"/>
                <w:sz w:val="16"/>
                <w:szCs w:val="16"/>
              </w:rPr>
              <w:t>’</w:t>
            </w:r>
            <w:r w:rsidRPr="00A32AF4">
              <w:rPr>
                <w:rFonts w:cs="Arial"/>
                <w:sz w:val="16"/>
                <w:szCs w:val="16"/>
              </w:rPr>
              <w:t xml:space="preserve">Acte de Genève (1999) dans le système de </w:t>
            </w:r>
            <w:r w:rsidR="00E2055A" w:rsidRPr="00A32AF4">
              <w:rPr>
                <w:rFonts w:cs="Arial"/>
                <w:sz w:val="16"/>
                <w:szCs w:val="16"/>
              </w:rPr>
              <w:t>La Haye</w:t>
            </w:r>
          </w:p>
        </w:tc>
        <w:tc>
          <w:tcPr>
            <w:tcW w:w="2340" w:type="dxa"/>
            <w:shd w:val="clear" w:color="000000" w:fill="FFFFFF"/>
            <w:tcMar>
              <w:top w:w="113" w:type="dxa"/>
              <w:bottom w:w="113" w:type="dxa"/>
            </w:tcMar>
            <w:hideMark/>
          </w:tcPr>
          <w:p w:rsidR="0088488D" w:rsidRPr="00A32AF4" w:rsidRDefault="0088488D" w:rsidP="00DC0553">
            <w:pPr>
              <w:rPr>
                <w:rFonts w:cs="Arial"/>
                <w:sz w:val="16"/>
                <w:szCs w:val="16"/>
              </w:rPr>
            </w:pPr>
            <w:r w:rsidRPr="00A32AF4">
              <w:rPr>
                <w:rFonts w:cs="Arial"/>
                <w:sz w:val="16"/>
                <w:szCs w:val="16"/>
              </w:rPr>
              <w:t>10 consentements à l</w:t>
            </w:r>
            <w:r w:rsidR="00E2055A" w:rsidRPr="00A32AF4">
              <w:rPr>
                <w:rFonts w:cs="Arial"/>
                <w:sz w:val="16"/>
                <w:szCs w:val="16"/>
              </w:rPr>
              <w:t>’</w:t>
            </w:r>
            <w:r w:rsidRPr="00A32AF4">
              <w:rPr>
                <w:rFonts w:cs="Arial"/>
                <w:sz w:val="16"/>
                <w:szCs w:val="16"/>
              </w:rPr>
              <w:t>extinction de l</w:t>
            </w:r>
            <w:r w:rsidR="00E2055A" w:rsidRPr="00A32AF4">
              <w:rPr>
                <w:rFonts w:cs="Arial"/>
                <w:sz w:val="16"/>
                <w:szCs w:val="16"/>
              </w:rPr>
              <w:t>’</w:t>
            </w:r>
            <w:r w:rsidRPr="00A32AF4">
              <w:rPr>
                <w:rFonts w:cs="Arial"/>
                <w:sz w:val="16"/>
                <w:szCs w:val="16"/>
              </w:rPr>
              <w:t>Acte de 1934 reçus (3 encore manquants).  4 parties contractantes liées uniquement par l</w:t>
            </w:r>
            <w:r w:rsidR="00E2055A" w:rsidRPr="00A32AF4">
              <w:rPr>
                <w:rFonts w:cs="Arial"/>
                <w:sz w:val="16"/>
                <w:szCs w:val="16"/>
              </w:rPr>
              <w:t>’</w:t>
            </w:r>
            <w:r w:rsidRPr="00A32AF4">
              <w:rPr>
                <w:rFonts w:cs="Arial"/>
                <w:sz w:val="16"/>
                <w:szCs w:val="16"/>
              </w:rPr>
              <w:t>Acte de 1960 (qui ne sont pas membre d</w:t>
            </w:r>
            <w:r w:rsidR="00E2055A" w:rsidRPr="00A32AF4">
              <w:rPr>
                <w:rFonts w:cs="Arial"/>
                <w:sz w:val="16"/>
                <w:szCs w:val="16"/>
              </w:rPr>
              <w:t>’</w:t>
            </w:r>
            <w:r w:rsidRPr="00A32AF4">
              <w:rPr>
                <w:rFonts w:cs="Arial"/>
                <w:sz w:val="16"/>
                <w:szCs w:val="16"/>
              </w:rPr>
              <w:t>une organisation intergouvernementale qui est partie à l</w:t>
            </w:r>
            <w:r w:rsidR="00E2055A" w:rsidRPr="00A32AF4">
              <w:rPr>
                <w:rFonts w:cs="Arial"/>
                <w:sz w:val="16"/>
                <w:szCs w:val="16"/>
              </w:rPr>
              <w:t>’</w:t>
            </w:r>
            <w:r w:rsidRPr="00A32AF4">
              <w:rPr>
                <w:rFonts w:cs="Arial"/>
                <w:sz w:val="16"/>
                <w:szCs w:val="16"/>
              </w:rPr>
              <w:t>Acte de 1999).</w:t>
            </w:r>
          </w:p>
        </w:tc>
        <w:tc>
          <w:tcPr>
            <w:tcW w:w="2175" w:type="dxa"/>
            <w:shd w:val="clear" w:color="000000" w:fill="FFFFFF"/>
            <w:tcMar>
              <w:top w:w="113" w:type="dxa"/>
              <w:bottom w:w="113" w:type="dxa"/>
            </w:tcMar>
            <w:hideMark/>
          </w:tcPr>
          <w:p w:rsidR="0088488D" w:rsidRPr="00A32AF4" w:rsidRDefault="0088488D" w:rsidP="00DC0553">
            <w:pPr>
              <w:rPr>
                <w:rFonts w:cs="Arial"/>
                <w:sz w:val="16"/>
                <w:szCs w:val="16"/>
              </w:rPr>
            </w:pPr>
            <w:r w:rsidRPr="00A32AF4">
              <w:rPr>
                <w:rFonts w:cs="Arial"/>
                <w:sz w:val="16"/>
                <w:szCs w:val="16"/>
              </w:rPr>
              <w:t>Avoir reçu tous (13) les consentements à l</w:t>
            </w:r>
            <w:r w:rsidR="00E2055A" w:rsidRPr="00A32AF4">
              <w:rPr>
                <w:rFonts w:cs="Arial"/>
                <w:sz w:val="16"/>
                <w:szCs w:val="16"/>
              </w:rPr>
              <w:t>’</w:t>
            </w:r>
            <w:r w:rsidRPr="00A32AF4">
              <w:rPr>
                <w:rFonts w:cs="Arial"/>
                <w:sz w:val="16"/>
                <w:szCs w:val="16"/>
              </w:rPr>
              <w:t>extinction.  Que toutes les parties contractantes soient liées par l</w:t>
            </w:r>
            <w:r w:rsidR="00E2055A" w:rsidRPr="00A32AF4">
              <w:rPr>
                <w:rFonts w:cs="Arial"/>
                <w:sz w:val="16"/>
                <w:szCs w:val="16"/>
              </w:rPr>
              <w:t>’</w:t>
            </w:r>
            <w:r w:rsidRPr="00A32AF4">
              <w:rPr>
                <w:rFonts w:cs="Arial"/>
                <w:sz w:val="16"/>
                <w:szCs w:val="16"/>
              </w:rPr>
              <w:t>Acte de 1999 (ou membre d</w:t>
            </w:r>
            <w:r w:rsidR="00E2055A" w:rsidRPr="00A32AF4">
              <w:rPr>
                <w:rFonts w:cs="Arial"/>
                <w:sz w:val="16"/>
                <w:szCs w:val="16"/>
              </w:rPr>
              <w:t>’</w:t>
            </w:r>
            <w:r w:rsidRPr="00A32AF4">
              <w:rPr>
                <w:rFonts w:cs="Arial"/>
                <w:sz w:val="16"/>
                <w:szCs w:val="16"/>
              </w:rPr>
              <w:t>une organisation intergouvernementale qui est partie à l</w:t>
            </w:r>
            <w:r w:rsidR="00E2055A" w:rsidRPr="00A32AF4">
              <w:rPr>
                <w:rFonts w:cs="Arial"/>
                <w:sz w:val="16"/>
                <w:szCs w:val="16"/>
              </w:rPr>
              <w:t>’</w:t>
            </w:r>
            <w:r w:rsidRPr="00A32AF4">
              <w:rPr>
                <w:rFonts w:cs="Arial"/>
                <w:sz w:val="16"/>
                <w:szCs w:val="16"/>
              </w:rPr>
              <w:t xml:space="preserve">Acte de 1999).  </w:t>
            </w:r>
          </w:p>
        </w:tc>
      </w:tr>
      <w:tr w:rsidR="0088488D" w:rsidRPr="00A32AF4" w:rsidTr="005808EF">
        <w:trPr>
          <w:cantSplit/>
        </w:trPr>
        <w:tc>
          <w:tcPr>
            <w:tcW w:w="2340" w:type="dxa"/>
            <w:shd w:val="clear" w:color="000000" w:fill="FFFFFF"/>
            <w:tcMar>
              <w:top w:w="113" w:type="dxa"/>
              <w:bottom w:w="113" w:type="dxa"/>
            </w:tcMar>
            <w:hideMark/>
          </w:tcPr>
          <w:p w:rsidR="0088488D" w:rsidRPr="00A32AF4" w:rsidRDefault="0088488D" w:rsidP="00DC0553">
            <w:pPr>
              <w:rPr>
                <w:rFonts w:cs="Arial"/>
                <w:sz w:val="16"/>
                <w:szCs w:val="16"/>
              </w:rPr>
            </w:pPr>
          </w:p>
        </w:tc>
        <w:tc>
          <w:tcPr>
            <w:tcW w:w="2340" w:type="dxa"/>
            <w:shd w:val="clear" w:color="auto" w:fill="auto"/>
            <w:tcMar>
              <w:top w:w="113" w:type="dxa"/>
              <w:bottom w:w="113" w:type="dxa"/>
            </w:tcMar>
            <w:hideMark/>
          </w:tcPr>
          <w:p w:rsidR="0088488D" w:rsidRPr="00A32AF4" w:rsidRDefault="0088488D" w:rsidP="00DC0553">
            <w:pPr>
              <w:rPr>
                <w:rFonts w:cs="Arial"/>
                <w:sz w:val="16"/>
                <w:szCs w:val="16"/>
              </w:rPr>
            </w:pPr>
            <w:r w:rsidRPr="00A32AF4">
              <w:rPr>
                <w:rFonts w:cs="Arial"/>
                <w:sz w:val="16"/>
                <w:szCs w:val="16"/>
              </w:rPr>
              <w:t>Processus et procédures adaptées aux évolutions géographique et juridique du système</w:t>
            </w:r>
          </w:p>
        </w:tc>
        <w:tc>
          <w:tcPr>
            <w:tcW w:w="2340" w:type="dxa"/>
            <w:shd w:val="clear" w:color="auto" w:fill="auto"/>
            <w:tcMar>
              <w:top w:w="113" w:type="dxa"/>
              <w:bottom w:w="113" w:type="dxa"/>
            </w:tcMar>
            <w:hideMark/>
          </w:tcPr>
          <w:p w:rsidR="0088488D" w:rsidRPr="00A32AF4" w:rsidRDefault="0088488D" w:rsidP="00DC0553">
            <w:pPr>
              <w:rPr>
                <w:rFonts w:cs="Arial"/>
                <w:sz w:val="16"/>
                <w:szCs w:val="16"/>
              </w:rPr>
            </w:pPr>
            <w:r w:rsidRPr="00A32AF4">
              <w:rPr>
                <w:rFonts w:cs="Arial"/>
                <w:sz w:val="16"/>
                <w:szCs w:val="16"/>
              </w:rPr>
              <w:t>Processus et procédures adaptées</w:t>
            </w:r>
          </w:p>
        </w:tc>
        <w:tc>
          <w:tcPr>
            <w:tcW w:w="2175" w:type="dxa"/>
            <w:shd w:val="clear" w:color="auto" w:fill="auto"/>
            <w:tcMar>
              <w:top w:w="113" w:type="dxa"/>
              <w:bottom w:w="113" w:type="dxa"/>
            </w:tcMar>
            <w:hideMark/>
          </w:tcPr>
          <w:p w:rsidR="0088488D" w:rsidRPr="00A32AF4" w:rsidRDefault="0088488D" w:rsidP="00DC0553">
            <w:pPr>
              <w:rPr>
                <w:rFonts w:cs="Arial"/>
                <w:sz w:val="16"/>
                <w:szCs w:val="16"/>
              </w:rPr>
            </w:pPr>
            <w:r w:rsidRPr="00A32AF4">
              <w:rPr>
                <w:rFonts w:cs="Arial"/>
                <w:sz w:val="16"/>
                <w:szCs w:val="16"/>
              </w:rPr>
              <w:t>Processus et procédures adaptées</w:t>
            </w:r>
          </w:p>
        </w:tc>
      </w:tr>
      <w:tr w:rsidR="0088488D" w:rsidRPr="00A32AF4" w:rsidTr="005808EF">
        <w:trPr>
          <w:cantSplit/>
        </w:trPr>
        <w:tc>
          <w:tcPr>
            <w:tcW w:w="2340" w:type="dxa"/>
            <w:shd w:val="clear" w:color="000000" w:fill="FFFFFF"/>
            <w:tcMar>
              <w:top w:w="113" w:type="dxa"/>
              <w:bottom w:w="113" w:type="dxa"/>
            </w:tcMar>
            <w:hideMark/>
          </w:tcPr>
          <w:p w:rsidR="0088488D" w:rsidRPr="00A32AF4" w:rsidRDefault="0088488D" w:rsidP="00DC0553">
            <w:pPr>
              <w:rPr>
                <w:rFonts w:cs="Arial"/>
                <w:sz w:val="16"/>
                <w:szCs w:val="16"/>
              </w:rPr>
            </w:pPr>
          </w:p>
        </w:tc>
        <w:tc>
          <w:tcPr>
            <w:tcW w:w="2340" w:type="dxa"/>
            <w:shd w:val="clear" w:color="000000" w:fill="FFFFFF"/>
            <w:tcMar>
              <w:top w:w="113" w:type="dxa"/>
              <w:bottom w:w="113" w:type="dxa"/>
            </w:tcMar>
            <w:hideMark/>
          </w:tcPr>
          <w:p w:rsidR="0088488D" w:rsidRPr="00A32AF4" w:rsidRDefault="0088488D" w:rsidP="00DC0553">
            <w:pPr>
              <w:rPr>
                <w:rFonts w:cs="Arial"/>
                <w:sz w:val="16"/>
                <w:szCs w:val="16"/>
              </w:rPr>
            </w:pPr>
            <w:r w:rsidRPr="00A32AF4">
              <w:rPr>
                <w:rFonts w:cs="Arial"/>
                <w:sz w:val="16"/>
                <w:szCs w:val="16"/>
              </w:rPr>
              <w:t>Progrès accomplis en vue de l</w:t>
            </w:r>
            <w:r w:rsidR="00E2055A" w:rsidRPr="00A32AF4">
              <w:rPr>
                <w:rFonts w:cs="Arial"/>
                <w:sz w:val="16"/>
                <w:szCs w:val="16"/>
              </w:rPr>
              <w:t>’</w:t>
            </w:r>
            <w:r w:rsidRPr="00A32AF4">
              <w:rPr>
                <w:rFonts w:cs="Arial"/>
                <w:sz w:val="16"/>
                <w:szCs w:val="16"/>
              </w:rPr>
              <w:t>amélioration du cadre juridique</w:t>
            </w:r>
          </w:p>
        </w:tc>
        <w:tc>
          <w:tcPr>
            <w:tcW w:w="2340" w:type="dxa"/>
            <w:shd w:val="clear" w:color="000000" w:fill="FFFFFF"/>
            <w:tcMar>
              <w:top w:w="113" w:type="dxa"/>
              <w:bottom w:w="113" w:type="dxa"/>
            </w:tcMar>
            <w:hideMark/>
          </w:tcPr>
          <w:p w:rsidR="0088488D" w:rsidRPr="00A32AF4" w:rsidRDefault="0088488D" w:rsidP="00DC0553">
            <w:pPr>
              <w:rPr>
                <w:rFonts w:cs="Arial"/>
                <w:sz w:val="16"/>
                <w:szCs w:val="16"/>
              </w:rPr>
            </w:pPr>
            <w:r w:rsidRPr="00A32AF4">
              <w:rPr>
                <w:rFonts w:cs="Arial"/>
                <w:sz w:val="16"/>
                <w:szCs w:val="16"/>
              </w:rPr>
              <w:t>Modifications du règlement d</w:t>
            </w:r>
            <w:r w:rsidR="00E2055A" w:rsidRPr="00A32AF4">
              <w:rPr>
                <w:rFonts w:cs="Arial"/>
                <w:sz w:val="16"/>
                <w:szCs w:val="16"/>
              </w:rPr>
              <w:t>’</w:t>
            </w:r>
            <w:r w:rsidRPr="00A32AF4">
              <w:rPr>
                <w:rFonts w:cs="Arial"/>
                <w:sz w:val="16"/>
                <w:szCs w:val="16"/>
              </w:rPr>
              <w:t>exécution (entrées en vigueur le 1</w:t>
            </w:r>
            <w:r w:rsidRPr="00A32AF4">
              <w:rPr>
                <w:rFonts w:cs="Arial"/>
                <w:sz w:val="16"/>
                <w:szCs w:val="16"/>
                <w:vertAlign w:val="superscript"/>
              </w:rPr>
              <w:t>er</w:t>
            </w:r>
            <w:r w:rsidRPr="00A32AF4">
              <w:rPr>
                <w:rFonts w:cs="Arial"/>
                <w:sz w:val="16"/>
                <w:szCs w:val="16"/>
              </w:rPr>
              <w:t> janvier 2015) et du règlement d</w:t>
            </w:r>
            <w:r w:rsidR="00E2055A" w:rsidRPr="00A32AF4">
              <w:rPr>
                <w:rFonts w:cs="Arial"/>
                <w:sz w:val="16"/>
                <w:szCs w:val="16"/>
              </w:rPr>
              <w:t>’</w:t>
            </w:r>
            <w:r w:rsidRPr="00A32AF4">
              <w:rPr>
                <w:rFonts w:cs="Arial"/>
                <w:sz w:val="16"/>
                <w:szCs w:val="16"/>
              </w:rPr>
              <w:t>exécution (entrées en vigueur le 1er juillet 2014) afin d</w:t>
            </w:r>
            <w:r w:rsidR="00E2055A" w:rsidRPr="00A32AF4">
              <w:rPr>
                <w:rFonts w:cs="Arial"/>
                <w:sz w:val="16"/>
                <w:szCs w:val="16"/>
              </w:rPr>
              <w:t>’</w:t>
            </w:r>
            <w:r w:rsidRPr="00A32AF4">
              <w:rPr>
                <w:rFonts w:cs="Arial"/>
                <w:sz w:val="16"/>
                <w:szCs w:val="16"/>
              </w:rPr>
              <w:t xml:space="preserve">adapter le système de </w:t>
            </w:r>
            <w:r w:rsidR="00E2055A" w:rsidRPr="00A32AF4">
              <w:rPr>
                <w:rFonts w:cs="Arial"/>
                <w:sz w:val="16"/>
                <w:szCs w:val="16"/>
              </w:rPr>
              <w:t>La Haye</w:t>
            </w:r>
            <w:r w:rsidRPr="00A32AF4">
              <w:rPr>
                <w:rFonts w:cs="Arial"/>
                <w:sz w:val="16"/>
                <w:szCs w:val="16"/>
              </w:rPr>
              <w:t xml:space="preserve"> à son expansion géographique vers de nouvelles parties contractantes potentielles dotées de systèmes d</w:t>
            </w:r>
            <w:r w:rsidR="00E2055A" w:rsidRPr="00A32AF4">
              <w:rPr>
                <w:rFonts w:cs="Arial"/>
                <w:sz w:val="16"/>
                <w:szCs w:val="16"/>
              </w:rPr>
              <w:t>’</w:t>
            </w:r>
            <w:r w:rsidRPr="00A32AF4">
              <w:rPr>
                <w:rFonts w:cs="Arial"/>
                <w:sz w:val="16"/>
                <w:szCs w:val="16"/>
              </w:rPr>
              <w:t xml:space="preserve">examen.  </w:t>
            </w:r>
          </w:p>
        </w:tc>
        <w:tc>
          <w:tcPr>
            <w:tcW w:w="2175" w:type="dxa"/>
            <w:shd w:val="clear" w:color="000000" w:fill="FFFFFF"/>
            <w:tcMar>
              <w:top w:w="113" w:type="dxa"/>
              <w:bottom w:w="113" w:type="dxa"/>
            </w:tcMar>
            <w:hideMark/>
          </w:tcPr>
          <w:p w:rsidR="0088488D" w:rsidRPr="00A32AF4" w:rsidRDefault="0088488D" w:rsidP="00DC0553">
            <w:pPr>
              <w:rPr>
                <w:rFonts w:cs="Arial"/>
                <w:sz w:val="16"/>
                <w:szCs w:val="16"/>
              </w:rPr>
            </w:pPr>
            <w:r w:rsidRPr="00A32AF4">
              <w:rPr>
                <w:rFonts w:cs="Arial"/>
                <w:sz w:val="16"/>
                <w:szCs w:val="16"/>
              </w:rPr>
              <w:t xml:space="preserve">Réviser le cadre juridique du système de </w:t>
            </w:r>
            <w:r w:rsidR="00E2055A" w:rsidRPr="00A32AF4">
              <w:rPr>
                <w:rFonts w:cs="Arial"/>
                <w:sz w:val="16"/>
                <w:szCs w:val="16"/>
              </w:rPr>
              <w:t>La Haye</w:t>
            </w:r>
            <w:r w:rsidRPr="00A32AF4">
              <w:rPr>
                <w:rFonts w:cs="Arial"/>
                <w:sz w:val="16"/>
                <w:szCs w:val="16"/>
              </w:rPr>
              <w:t xml:space="preserve"> afin qu</w:t>
            </w:r>
            <w:r w:rsidR="00E2055A" w:rsidRPr="00A32AF4">
              <w:rPr>
                <w:rFonts w:cs="Arial"/>
                <w:sz w:val="16"/>
                <w:szCs w:val="16"/>
              </w:rPr>
              <w:t>’</w:t>
            </w:r>
            <w:r w:rsidRPr="00A32AF4">
              <w:rPr>
                <w:rFonts w:cs="Arial"/>
                <w:sz w:val="16"/>
                <w:szCs w:val="16"/>
              </w:rPr>
              <w:t xml:space="preserve">il reste en phase avec les évolutions dans le domaine des dessins et modèles au niveau mondial.  </w:t>
            </w:r>
          </w:p>
        </w:tc>
      </w:tr>
      <w:tr w:rsidR="0088488D" w:rsidRPr="00A32AF4" w:rsidTr="005808EF">
        <w:trPr>
          <w:cantSplit/>
        </w:trPr>
        <w:tc>
          <w:tcPr>
            <w:tcW w:w="2340" w:type="dxa"/>
            <w:shd w:val="clear" w:color="000000" w:fill="FFFFFF"/>
            <w:tcMar>
              <w:top w:w="113" w:type="dxa"/>
              <w:bottom w:w="113" w:type="dxa"/>
            </w:tcMar>
          </w:tcPr>
          <w:p w:rsidR="0088488D" w:rsidRPr="00A32AF4" w:rsidRDefault="0088488D" w:rsidP="00DC0553">
            <w:pPr>
              <w:rPr>
                <w:rFonts w:cs="Arial"/>
                <w:sz w:val="16"/>
                <w:szCs w:val="16"/>
              </w:rPr>
            </w:pPr>
          </w:p>
        </w:tc>
        <w:tc>
          <w:tcPr>
            <w:tcW w:w="2340" w:type="dxa"/>
            <w:shd w:val="clear" w:color="000000" w:fill="FFFFFF"/>
            <w:tcMar>
              <w:top w:w="113" w:type="dxa"/>
              <w:bottom w:w="113" w:type="dxa"/>
            </w:tcMar>
          </w:tcPr>
          <w:p w:rsidR="0088488D" w:rsidRPr="00A32AF4" w:rsidRDefault="0088488D" w:rsidP="00DC0553">
            <w:pPr>
              <w:rPr>
                <w:rFonts w:cs="Arial"/>
                <w:sz w:val="16"/>
                <w:szCs w:val="16"/>
              </w:rPr>
            </w:pPr>
            <w:r w:rsidRPr="00A32AF4">
              <w:rPr>
                <w:rFonts w:cs="Arial"/>
                <w:sz w:val="16"/>
                <w:szCs w:val="16"/>
              </w:rPr>
              <w:t>Amélioration du fonctionnement du système d</w:t>
            </w:r>
            <w:r w:rsidR="00E2055A" w:rsidRPr="00A32AF4">
              <w:rPr>
                <w:rFonts w:cs="Arial"/>
                <w:sz w:val="16"/>
                <w:szCs w:val="16"/>
              </w:rPr>
              <w:t>’</w:t>
            </w:r>
            <w:r w:rsidRPr="00A32AF4">
              <w:rPr>
                <w:rFonts w:cs="Arial"/>
                <w:sz w:val="16"/>
                <w:szCs w:val="16"/>
              </w:rPr>
              <w:t xml:space="preserve">enregistrement de </w:t>
            </w:r>
            <w:r w:rsidR="00E2055A" w:rsidRPr="00A32AF4">
              <w:rPr>
                <w:rFonts w:cs="Arial"/>
                <w:sz w:val="16"/>
                <w:szCs w:val="16"/>
              </w:rPr>
              <w:t>La Haye</w:t>
            </w:r>
            <w:r w:rsidRPr="00A32AF4">
              <w:rPr>
                <w:rFonts w:cs="Arial"/>
                <w:sz w:val="16"/>
                <w:szCs w:val="16"/>
              </w:rPr>
              <w:t xml:space="preserve">, </w:t>
            </w:r>
            <w:r w:rsidR="00E2055A" w:rsidRPr="00A32AF4">
              <w:rPr>
                <w:rFonts w:cs="Arial"/>
                <w:sz w:val="16"/>
                <w:szCs w:val="16"/>
              </w:rPr>
              <w:t>y compris</w:t>
            </w:r>
            <w:r w:rsidRPr="00A32AF4">
              <w:rPr>
                <w:rFonts w:cs="Arial"/>
                <w:sz w:val="16"/>
                <w:szCs w:val="16"/>
              </w:rPr>
              <w:t xml:space="preserve"> des processus et procédures électroniques</w:t>
            </w:r>
          </w:p>
        </w:tc>
        <w:tc>
          <w:tcPr>
            <w:tcW w:w="2340" w:type="dxa"/>
            <w:shd w:val="clear" w:color="000000" w:fill="FFFFFF"/>
            <w:tcMar>
              <w:top w:w="113" w:type="dxa"/>
              <w:bottom w:w="113" w:type="dxa"/>
            </w:tcMar>
          </w:tcPr>
          <w:p w:rsidR="0088488D" w:rsidRPr="00A32AF4" w:rsidRDefault="0088488D" w:rsidP="00DC0553">
            <w:pPr>
              <w:rPr>
                <w:rFonts w:cs="Arial"/>
                <w:sz w:val="16"/>
                <w:szCs w:val="16"/>
              </w:rPr>
            </w:pPr>
            <w:r w:rsidRPr="00A32AF4">
              <w:rPr>
                <w:rFonts w:cs="Arial"/>
                <w:sz w:val="16"/>
                <w:szCs w:val="16"/>
              </w:rPr>
              <w:t xml:space="preserve">2 interfaces électroniques du système de </w:t>
            </w:r>
            <w:r w:rsidR="00E2055A" w:rsidRPr="00A32AF4">
              <w:rPr>
                <w:rFonts w:cs="Arial"/>
                <w:sz w:val="16"/>
                <w:szCs w:val="16"/>
              </w:rPr>
              <w:t>La Haye</w:t>
            </w:r>
          </w:p>
        </w:tc>
        <w:tc>
          <w:tcPr>
            <w:tcW w:w="2175" w:type="dxa"/>
            <w:shd w:val="clear" w:color="000000" w:fill="FFFFFF"/>
            <w:tcMar>
              <w:top w:w="113" w:type="dxa"/>
              <w:bottom w:w="113" w:type="dxa"/>
            </w:tcMar>
          </w:tcPr>
          <w:p w:rsidR="0088488D" w:rsidRPr="00A32AF4" w:rsidRDefault="0088488D" w:rsidP="00DC0553">
            <w:pPr>
              <w:rPr>
                <w:rFonts w:cs="Arial"/>
                <w:sz w:val="16"/>
                <w:szCs w:val="16"/>
              </w:rPr>
            </w:pPr>
            <w:r w:rsidRPr="00A32AF4">
              <w:rPr>
                <w:rFonts w:cs="Arial"/>
                <w:sz w:val="16"/>
                <w:szCs w:val="16"/>
              </w:rPr>
              <w:t xml:space="preserve">6 interfaces électroniques du système de </w:t>
            </w:r>
            <w:r w:rsidR="00E2055A" w:rsidRPr="00A32AF4">
              <w:rPr>
                <w:rFonts w:cs="Arial"/>
                <w:sz w:val="16"/>
                <w:szCs w:val="16"/>
              </w:rPr>
              <w:t>La Haye</w:t>
            </w:r>
          </w:p>
        </w:tc>
      </w:tr>
      <w:tr w:rsidR="0088488D" w:rsidRPr="00A32AF4" w:rsidTr="005808EF">
        <w:trPr>
          <w:cantSplit/>
        </w:trPr>
        <w:tc>
          <w:tcPr>
            <w:tcW w:w="2340" w:type="dxa"/>
            <w:shd w:val="clear" w:color="000000" w:fill="FFFFFF"/>
            <w:tcMar>
              <w:top w:w="113" w:type="dxa"/>
              <w:bottom w:w="113" w:type="dxa"/>
            </w:tcMar>
            <w:hideMark/>
          </w:tcPr>
          <w:p w:rsidR="0088488D" w:rsidRPr="00A32AF4" w:rsidRDefault="0088488D" w:rsidP="00DC0553">
            <w:pPr>
              <w:rPr>
                <w:rFonts w:cs="Arial"/>
                <w:sz w:val="16"/>
                <w:szCs w:val="16"/>
              </w:rPr>
            </w:pPr>
          </w:p>
        </w:tc>
        <w:tc>
          <w:tcPr>
            <w:tcW w:w="2340" w:type="dxa"/>
            <w:shd w:val="clear" w:color="000000" w:fill="FFFFFF"/>
            <w:tcMar>
              <w:top w:w="113" w:type="dxa"/>
              <w:bottom w:w="113" w:type="dxa"/>
            </w:tcMar>
            <w:hideMark/>
          </w:tcPr>
          <w:p w:rsidR="0088488D" w:rsidRPr="00A32AF4" w:rsidRDefault="0088488D" w:rsidP="00DC0553">
            <w:pPr>
              <w:rPr>
                <w:rFonts w:cs="Arial"/>
                <w:sz w:val="16"/>
                <w:szCs w:val="16"/>
              </w:rPr>
            </w:pPr>
            <w:r w:rsidRPr="00A32AF4">
              <w:rPr>
                <w:rFonts w:cs="Arial"/>
                <w:sz w:val="16"/>
                <w:szCs w:val="16"/>
              </w:rPr>
              <w:t>Une évolution stable des services d</w:t>
            </w:r>
            <w:r w:rsidR="00E2055A" w:rsidRPr="00A32AF4">
              <w:rPr>
                <w:rFonts w:cs="Arial"/>
                <w:sz w:val="16"/>
                <w:szCs w:val="16"/>
              </w:rPr>
              <w:t>’</w:t>
            </w:r>
            <w:r w:rsidRPr="00A32AF4">
              <w:rPr>
                <w:rFonts w:cs="Arial"/>
                <w:sz w:val="16"/>
                <w:szCs w:val="16"/>
              </w:rPr>
              <w:t xml:space="preserve">appui informatique du système de </w:t>
            </w:r>
            <w:r w:rsidR="00E2055A" w:rsidRPr="00A32AF4">
              <w:rPr>
                <w:rFonts w:cs="Arial"/>
                <w:sz w:val="16"/>
                <w:szCs w:val="16"/>
              </w:rPr>
              <w:t>La Haye</w:t>
            </w:r>
          </w:p>
        </w:tc>
        <w:tc>
          <w:tcPr>
            <w:tcW w:w="2340" w:type="dxa"/>
            <w:shd w:val="clear" w:color="000000" w:fill="FFFFFF"/>
            <w:tcMar>
              <w:top w:w="113" w:type="dxa"/>
              <w:bottom w:w="113" w:type="dxa"/>
            </w:tcMar>
            <w:hideMark/>
          </w:tcPr>
          <w:p w:rsidR="0088488D" w:rsidRPr="00A32AF4" w:rsidRDefault="0088488D" w:rsidP="00DC0553">
            <w:pPr>
              <w:rPr>
                <w:rFonts w:cs="Arial"/>
                <w:sz w:val="16"/>
                <w:szCs w:val="16"/>
              </w:rPr>
            </w:pPr>
            <w:r w:rsidRPr="00A32AF4">
              <w:rPr>
                <w:rFonts w:cs="Arial"/>
                <w:sz w:val="16"/>
                <w:szCs w:val="16"/>
              </w:rPr>
              <w:t>Pas d</w:t>
            </w:r>
            <w:r w:rsidR="00E2055A" w:rsidRPr="00A32AF4">
              <w:rPr>
                <w:rFonts w:cs="Arial"/>
                <w:sz w:val="16"/>
                <w:szCs w:val="16"/>
              </w:rPr>
              <w:t>’</w:t>
            </w:r>
            <w:r w:rsidRPr="00A32AF4">
              <w:rPr>
                <w:rFonts w:cs="Arial"/>
                <w:sz w:val="16"/>
                <w:szCs w:val="16"/>
              </w:rPr>
              <w:t>interruption de service.  Les améliorations sont livrées et déployées dans les délais prévus</w:t>
            </w:r>
          </w:p>
        </w:tc>
        <w:tc>
          <w:tcPr>
            <w:tcW w:w="2175" w:type="dxa"/>
            <w:shd w:val="clear" w:color="000000" w:fill="FFFFFF"/>
            <w:tcMar>
              <w:top w:w="113" w:type="dxa"/>
              <w:bottom w:w="113" w:type="dxa"/>
            </w:tcMar>
            <w:hideMark/>
          </w:tcPr>
          <w:p w:rsidR="0088488D" w:rsidRPr="00A32AF4" w:rsidRDefault="0088488D" w:rsidP="00DC0553">
            <w:pPr>
              <w:rPr>
                <w:rFonts w:cs="Arial"/>
                <w:sz w:val="16"/>
                <w:szCs w:val="16"/>
              </w:rPr>
            </w:pPr>
            <w:r w:rsidRPr="00A32AF4">
              <w:rPr>
                <w:rFonts w:cs="Arial"/>
                <w:sz w:val="16"/>
                <w:szCs w:val="16"/>
              </w:rPr>
              <w:t>Pas d</w:t>
            </w:r>
            <w:r w:rsidR="00E2055A" w:rsidRPr="00A32AF4">
              <w:rPr>
                <w:rFonts w:cs="Arial"/>
                <w:sz w:val="16"/>
                <w:szCs w:val="16"/>
              </w:rPr>
              <w:t>’</w:t>
            </w:r>
            <w:r w:rsidRPr="00A32AF4">
              <w:rPr>
                <w:rFonts w:cs="Arial"/>
                <w:sz w:val="16"/>
                <w:szCs w:val="16"/>
              </w:rPr>
              <w:t>interruption de service.  Les améliorations sont livrées et déployées dans les délais prévus</w:t>
            </w:r>
          </w:p>
        </w:tc>
      </w:tr>
      <w:tr w:rsidR="0088488D" w:rsidRPr="00A32AF4" w:rsidTr="005808EF">
        <w:trPr>
          <w:cantSplit/>
        </w:trPr>
        <w:tc>
          <w:tcPr>
            <w:tcW w:w="2340" w:type="dxa"/>
            <w:shd w:val="clear" w:color="000000" w:fill="FFFFFF"/>
            <w:tcMar>
              <w:top w:w="113" w:type="dxa"/>
              <w:bottom w:w="113" w:type="dxa"/>
            </w:tcMar>
            <w:hideMark/>
          </w:tcPr>
          <w:p w:rsidR="0088488D" w:rsidRPr="00A32AF4" w:rsidRDefault="0088488D" w:rsidP="00DC0553">
            <w:pPr>
              <w:rPr>
                <w:rFonts w:cs="Arial"/>
                <w:sz w:val="16"/>
                <w:szCs w:val="16"/>
              </w:rPr>
            </w:pPr>
            <w:r w:rsidRPr="00A32AF4">
              <w:rPr>
                <w:rFonts w:cs="Arial"/>
                <w:sz w:val="16"/>
                <w:szCs w:val="16"/>
              </w:rPr>
              <w:t> </w:t>
            </w:r>
          </w:p>
        </w:tc>
        <w:tc>
          <w:tcPr>
            <w:tcW w:w="2340" w:type="dxa"/>
            <w:shd w:val="clear" w:color="000000" w:fill="FFFFFF"/>
            <w:tcMar>
              <w:top w:w="113" w:type="dxa"/>
              <w:bottom w:w="113" w:type="dxa"/>
            </w:tcMar>
            <w:hideMark/>
          </w:tcPr>
          <w:p w:rsidR="0088488D" w:rsidRPr="00A32AF4" w:rsidRDefault="0088488D" w:rsidP="00DC0553">
            <w:pPr>
              <w:rPr>
                <w:rFonts w:cs="Arial"/>
                <w:sz w:val="16"/>
                <w:szCs w:val="16"/>
              </w:rPr>
            </w:pPr>
            <w:r w:rsidRPr="00A32AF4">
              <w:rPr>
                <w:rFonts w:cs="Arial"/>
                <w:sz w:val="16"/>
                <w:szCs w:val="16"/>
              </w:rPr>
              <w:t>Flexibilité des données enregistrées dans le registre international</w:t>
            </w:r>
          </w:p>
        </w:tc>
        <w:tc>
          <w:tcPr>
            <w:tcW w:w="2340" w:type="dxa"/>
            <w:shd w:val="clear" w:color="000000" w:fill="FFFFFF"/>
            <w:tcMar>
              <w:top w:w="113" w:type="dxa"/>
              <w:bottom w:w="113" w:type="dxa"/>
            </w:tcMar>
            <w:hideMark/>
          </w:tcPr>
          <w:p w:rsidR="0088488D" w:rsidRPr="00A32AF4" w:rsidRDefault="0088488D" w:rsidP="00DC0553">
            <w:pPr>
              <w:rPr>
                <w:rFonts w:cs="Arial"/>
                <w:sz w:val="16"/>
                <w:szCs w:val="16"/>
              </w:rPr>
            </w:pPr>
            <w:r w:rsidRPr="00A32AF4">
              <w:rPr>
                <w:rFonts w:cs="Arial"/>
                <w:sz w:val="16"/>
                <w:szCs w:val="16"/>
              </w:rPr>
              <w:t xml:space="preserve">À la suite des modifications de la structure juridique du système de </w:t>
            </w:r>
            <w:r w:rsidR="00E2055A" w:rsidRPr="00A32AF4">
              <w:rPr>
                <w:rFonts w:cs="Arial"/>
                <w:sz w:val="16"/>
                <w:szCs w:val="16"/>
              </w:rPr>
              <w:t>La Haye</w:t>
            </w:r>
            <w:r w:rsidRPr="00A32AF4">
              <w:rPr>
                <w:rFonts w:cs="Arial"/>
                <w:sz w:val="16"/>
                <w:szCs w:val="16"/>
              </w:rPr>
              <w:t>, le registre international a gagné en souplesse pour ce qui est du contenu facultatif des demandes internationales.</w:t>
            </w:r>
          </w:p>
          <w:p w:rsidR="003E59EB" w:rsidRPr="00A32AF4" w:rsidRDefault="003E59EB" w:rsidP="00DC0553">
            <w:pPr>
              <w:rPr>
                <w:rFonts w:cs="Arial"/>
                <w:sz w:val="16"/>
                <w:szCs w:val="16"/>
              </w:rPr>
            </w:pPr>
          </w:p>
          <w:p w:rsidR="003E59EB" w:rsidRPr="00A32AF4" w:rsidRDefault="003E59EB" w:rsidP="00DC0553">
            <w:pPr>
              <w:rPr>
                <w:rFonts w:cs="Arial"/>
                <w:sz w:val="16"/>
                <w:szCs w:val="16"/>
              </w:rPr>
            </w:pPr>
            <w:r w:rsidRPr="00A32AF4">
              <w:rPr>
                <w:rFonts w:cs="Arial"/>
                <w:sz w:val="16"/>
                <w:szCs w:val="16"/>
              </w:rPr>
              <w:t>Impossibilité d</w:t>
            </w:r>
            <w:r w:rsidR="00E2055A" w:rsidRPr="00A32AF4">
              <w:rPr>
                <w:rFonts w:cs="Arial"/>
                <w:sz w:val="16"/>
                <w:szCs w:val="16"/>
              </w:rPr>
              <w:t>’</w:t>
            </w:r>
            <w:r w:rsidRPr="00A32AF4">
              <w:rPr>
                <w:rFonts w:cs="Arial"/>
                <w:sz w:val="16"/>
                <w:szCs w:val="16"/>
              </w:rPr>
              <w:t>enregistrer les éléments fins des dessins</w:t>
            </w:r>
          </w:p>
        </w:tc>
        <w:tc>
          <w:tcPr>
            <w:tcW w:w="2175" w:type="dxa"/>
            <w:shd w:val="clear" w:color="000000" w:fill="FFFFFF"/>
            <w:tcMar>
              <w:top w:w="113" w:type="dxa"/>
              <w:bottom w:w="113" w:type="dxa"/>
            </w:tcMar>
            <w:hideMark/>
          </w:tcPr>
          <w:p w:rsidR="00E2055A" w:rsidRPr="00A32AF4" w:rsidRDefault="0088488D" w:rsidP="00DC0553">
            <w:pPr>
              <w:rPr>
                <w:rFonts w:cs="Arial"/>
                <w:sz w:val="16"/>
                <w:szCs w:val="16"/>
              </w:rPr>
            </w:pPr>
            <w:r w:rsidRPr="00A32AF4">
              <w:rPr>
                <w:rFonts w:cs="Arial"/>
                <w:sz w:val="16"/>
                <w:szCs w:val="16"/>
              </w:rPr>
              <w:t>Flexibilité des données enregistrées dans le registre international</w:t>
            </w:r>
            <w:r w:rsidRPr="00A32AF4">
              <w:rPr>
                <w:rFonts w:cs="Arial"/>
                <w:sz w:val="16"/>
                <w:szCs w:val="16"/>
              </w:rPr>
              <w:br/>
              <w:t>Possibilité de préciser le contenu facultatif additionnel à inscrire au registre international.</w:t>
            </w:r>
          </w:p>
          <w:p w:rsidR="003E59EB" w:rsidRPr="00A32AF4" w:rsidRDefault="003E59EB" w:rsidP="00DC0553">
            <w:pPr>
              <w:rPr>
                <w:rFonts w:cs="Arial"/>
                <w:sz w:val="16"/>
                <w:szCs w:val="16"/>
              </w:rPr>
            </w:pPr>
          </w:p>
          <w:p w:rsidR="003E59EB" w:rsidRPr="00A32AF4" w:rsidRDefault="003E59EB" w:rsidP="00DC0553">
            <w:pPr>
              <w:rPr>
                <w:rFonts w:cs="Arial"/>
                <w:sz w:val="16"/>
                <w:szCs w:val="16"/>
              </w:rPr>
            </w:pPr>
            <w:r w:rsidRPr="00A32AF4">
              <w:rPr>
                <w:rFonts w:cs="Arial"/>
                <w:sz w:val="16"/>
                <w:szCs w:val="16"/>
              </w:rPr>
              <w:t>Capacité d</w:t>
            </w:r>
            <w:r w:rsidR="00E2055A" w:rsidRPr="00A32AF4">
              <w:rPr>
                <w:rFonts w:cs="Arial"/>
                <w:sz w:val="16"/>
                <w:szCs w:val="16"/>
              </w:rPr>
              <w:t>’</w:t>
            </w:r>
            <w:r w:rsidRPr="00A32AF4">
              <w:rPr>
                <w:rFonts w:cs="Arial"/>
                <w:sz w:val="16"/>
                <w:szCs w:val="16"/>
              </w:rPr>
              <w:t>enregistrer des informations sur la conception granulaire</w:t>
            </w:r>
          </w:p>
        </w:tc>
      </w:tr>
      <w:tr w:rsidR="0088488D" w:rsidRPr="00A32AF4" w:rsidTr="005808EF">
        <w:trPr>
          <w:cantSplit/>
        </w:trPr>
        <w:tc>
          <w:tcPr>
            <w:tcW w:w="2340" w:type="dxa"/>
            <w:shd w:val="clear" w:color="000000" w:fill="FFFFFF"/>
            <w:tcMar>
              <w:top w:w="113" w:type="dxa"/>
              <w:bottom w:w="113" w:type="dxa"/>
            </w:tcMar>
            <w:hideMark/>
          </w:tcPr>
          <w:p w:rsidR="0088488D" w:rsidRPr="00A32AF4" w:rsidRDefault="0088488D" w:rsidP="00DC0553">
            <w:pPr>
              <w:rPr>
                <w:rFonts w:cs="Arial"/>
                <w:sz w:val="16"/>
                <w:szCs w:val="16"/>
              </w:rPr>
            </w:pPr>
            <w:r w:rsidRPr="00A32AF4">
              <w:rPr>
                <w:rFonts w:cs="Arial"/>
                <w:sz w:val="16"/>
                <w:szCs w:val="16"/>
              </w:rPr>
              <w:t> </w:t>
            </w:r>
          </w:p>
        </w:tc>
        <w:tc>
          <w:tcPr>
            <w:tcW w:w="2340" w:type="dxa"/>
            <w:shd w:val="clear" w:color="000000" w:fill="FFFFFF"/>
            <w:tcMar>
              <w:top w:w="113" w:type="dxa"/>
              <w:bottom w:w="113" w:type="dxa"/>
            </w:tcMar>
            <w:hideMark/>
          </w:tcPr>
          <w:p w:rsidR="0088488D" w:rsidRPr="00A32AF4" w:rsidRDefault="0088488D" w:rsidP="00DC0553">
            <w:pPr>
              <w:rPr>
                <w:rFonts w:cs="Arial"/>
                <w:sz w:val="16"/>
                <w:szCs w:val="16"/>
              </w:rPr>
            </w:pPr>
            <w:r w:rsidRPr="00A32AF4">
              <w:rPr>
                <w:rFonts w:cs="Arial"/>
                <w:sz w:val="16"/>
                <w:szCs w:val="16"/>
              </w:rPr>
              <w:t xml:space="preserve">3 versions de DIRIS déployées et 3 versions du système de dépôt électronique du système de </w:t>
            </w:r>
            <w:r w:rsidR="00E2055A" w:rsidRPr="00A32AF4">
              <w:rPr>
                <w:rFonts w:cs="Arial"/>
                <w:sz w:val="16"/>
                <w:szCs w:val="16"/>
              </w:rPr>
              <w:t>La Haye</w:t>
            </w:r>
            <w:r w:rsidRPr="00A32AF4">
              <w:rPr>
                <w:rFonts w:cs="Arial"/>
                <w:sz w:val="16"/>
                <w:szCs w:val="16"/>
              </w:rPr>
              <w:t xml:space="preserve"> déployées</w:t>
            </w:r>
          </w:p>
        </w:tc>
        <w:tc>
          <w:tcPr>
            <w:tcW w:w="2340" w:type="dxa"/>
            <w:shd w:val="clear" w:color="000000" w:fill="FFFFFF"/>
            <w:tcMar>
              <w:top w:w="113" w:type="dxa"/>
              <w:bottom w:w="113" w:type="dxa"/>
            </w:tcMar>
            <w:hideMark/>
          </w:tcPr>
          <w:p w:rsidR="0088488D" w:rsidRPr="00A32AF4" w:rsidRDefault="0088488D" w:rsidP="00DC0553">
            <w:pPr>
              <w:rPr>
                <w:rFonts w:cs="Arial"/>
                <w:sz w:val="16"/>
                <w:szCs w:val="16"/>
              </w:rPr>
            </w:pPr>
            <w:r w:rsidRPr="00A32AF4">
              <w:rPr>
                <w:rFonts w:cs="Arial"/>
                <w:sz w:val="16"/>
                <w:szCs w:val="16"/>
              </w:rPr>
              <w:t>DIRIS n</w:t>
            </w:r>
            <w:r w:rsidR="00E2055A" w:rsidRPr="00A32AF4">
              <w:rPr>
                <w:rFonts w:cs="Arial"/>
                <w:sz w:val="16"/>
                <w:szCs w:val="16"/>
              </w:rPr>
              <w:t>’</w:t>
            </w:r>
            <w:r w:rsidRPr="00A32AF4">
              <w:rPr>
                <w:rFonts w:cs="Arial"/>
                <w:sz w:val="16"/>
                <w:szCs w:val="16"/>
              </w:rPr>
              <w:t>est pas déployé, le système de dépôt électronique et le service HPM sont en cours d</w:t>
            </w:r>
            <w:r w:rsidR="00E2055A" w:rsidRPr="00A32AF4">
              <w:rPr>
                <w:rFonts w:cs="Arial"/>
                <w:sz w:val="16"/>
                <w:szCs w:val="16"/>
              </w:rPr>
              <w:t>’</w:t>
            </w:r>
            <w:r w:rsidRPr="00A32AF4">
              <w:rPr>
                <w:rFonts w:cs="Arial"/>
                <w:sz w:val="16"/>
                <w:szCs w:val="16"/>
              </w:rPr>
              <w:t>élaboration, la structure des bases de données ne tient pas compte des nouvelles exigences pour ce qui est du niveau de détail requis, le système de dépôt électronique ne permet pas les réponses électroniques aux lettres d</w:t>
            </w:r>
            <w:r w:rsidR="00E2055A" w:rsidRPr="00A32AF4">
              <w:rPr>
                <w:rFonts w:cs="Arial"/>
                <w:sz w:val="16"/>
                <w:szCs w:val="16"/>
              </w:rPr>
              <w:t>’</w:t>
            </w:r>
            <w:r w:rsidRPr="00A32AF4">
              <w:rPr>
                <w:rFonts w:cs="Arial"/>
                <w:sz w:val="16"/>
                <w:szCs w:val="16"/>
              </w:rPr>
              <w:t>irrégularité</w:t>
            </w:r>
          </w:p>
        </w:tc>
        <w:tc>
          <w:tcPr>
            <w:tcW w:w="2175" w:type="dxa"/>
            <w:shd w:val="clear" w:color="000000" w:fill="FFFFFF"/>
            <w:tcMar>
              <w:top w:w="113" w:type="dxa"/>
              <w:bottom w:w="113" w:type="dxa"/>
            </w:tcMar>
            <w:hideMark/>
          </w:tcPr>
          <w:p w:rsidR="0088488D" w:rsidRPr="00A32AF4" w:rsidRDefault="0088488D" w:rsidP="00DC0553">
            <w:pPr>
              <w:rPr>
                <w:rFonts w:cs="Arial"/>
                <w:sz w:val="16"/>
                <w:szCs w:val="16"/>
              </w:rPr>
            </w:pPr>
            <w:r w:rsidRPr="00A32AF4">
              <w:rPr>
                <w:rFonts w:cs="Arial"/>
                <w:sz w:val="16"/>
                <w:szCs w:val="16"/>
              </w:rPr>
              <w:t xml:space="preserve">3 nouvelles versions de DIRIS déployées, 3 versions actualisées du système de dépôt électronique du système de </w:t>
            </w:r>
            <w:r w:rsidR="00E2055A" w:rsidRPr="00A32AF4">
              <w:rPr>
                <w:rFonts w:cs="Arial"/>
                <w:sz w:val="16"/>
                <w:szCs w:val="16"/>
              </w:rPr>
              <w:t>La Haye</w:t>
            </w:r>
            <w:r w:rsidRPr="00A32AF4">
              <w:rPr>
                <w:rFonts w:cs="Arial"/>
                <w:sz w:val="16"/>
                <w:szCs w:val="16"/>
              </w:rPr>
              <w:t xml:space="preserve"> déployées, la réponse électronique aux avis d</w:t>
            </w:r>
            <w:r w:rsidR="00E2055A" w:rsidRPr="00A32AF4">
              <w:rPr>
                <w:rFonts w:cs="Arial"/>
                <w:sz w:val="16"/>
                <w:szCs w:val="16"/>
              </w:rPr>
              <w:t>’</w:t>
            </w:r>
            <w:r w:rsidRPr="00A32AF4">
              <w:rPr>
                <w:rFonts w:cs="Arial"/>
                <w:sz w:val="16"/>
                <w:szCs w:val="16"/>
              </w:rPr>
              <w:t>irrégularité activée et une structure logique de base de données révisée</w:t>
            </w:r>
          </w:p>
        </w:tc>
      </w:tr>
    </w:tbl>
    <w:p w:rsidR="0088488D" w:rsidRPr="00A32AF4" w:rsidRDefault="0088488D" w:rsidP="00DC0553">
      <w:pPr>
        <w:jc w:val="both"/>
        <w:rPr>
          <w:rFonts w:cs="Arial"/>
        </w:rPr>
      </w:pPr>
    </w:p>
    <w:p w:rsidR="0088488D" w:rsidRPr="00A32AF4" w:rsidRDefault="0088488D" w:rsidP="00DC0553">
      <w:pPr>
        <w:jc w:val="both"/>
        <w:rPr>
          <w:rFonts w:cs="Arial"/>
        </w:rPr>
      </w:pPr>
    </w:p>
    <w:p w:rsidR="005808EF" w:rsidRPr="00A32AF4" w:rsidRDefault="005808EF" w:rsidP="00DC0553">
      <w:pPr>
        <w:rPr>
          <w:rFonts w:cs="Arial"/>
        </w:rPr>
      </w:pPr>
      <w:r w:rsidRPr="00A32AF4">
        <w:rPr>
          <w:rFonts w:cs="Arial"/>
        </w:rPr>
        <w:br w:type="page"/>
      </w:r>
    </w:p>
    <w:p w:rsidR="0088488D" w:rsidRPr="00A32AF4" w:rsidRDefault="0088488D" w:rsidP="00DC0553">
      <w:pPr>
        <w:jc w:val="both"/>
        <w:rPr>
          <w:rFonts w:cs="Arial"/>
        </w:rPr>
      </w:pPr>
      <w:r w:rsidRPr="00A32AF4">
        <w:rPr>
          <w:rFonts w:cs="Arial"/>
        </w:rPr>
        <w:t>RESSOURCES ALLOUÉES AU PROGRAMME 31</w:t>
      </w:r>
    </w:p>
    <w:p w:rsidR="0088488D" w:rsidRPr="00A32AF4" w:rsidRDefault="0088488D" w:rsidP="00DC0553">
      <w:pPr>
        <w:jc w:val="both"/>
        <w:rPr>
          <w:rFonts w:cs="Arial"/>
        </w:rPr>
      </w:pPr>
    </w:p>
    <w:p w:rsidR="0088488D" w:rsidRPr="00A32AF4" w:rsidRDefault="0088488D" w:rsidP="00DC0553">
      <w:pPr>
        <w:numPr>
          <w:ilvl w:val="0"/>
          <w:numId w:val="71"/>
        </w:numPr>
        <w:jc w:val="both"/>
        <w:rPr>
          <w:rFonts w:cs="Arial"/>
        </w:rPr>
      </w:pPr>
      <w:r w:rsidRPr="00A32AF4">
        <w:rPr>
          <w:rFonts w:cs="Arial"/>
        </w:rPr>
        <w:t xml:space="preserve">Les ressources totales allouées au système de </w:t>
      </w:r>
      <w:r w:rsidR="00E2055A" w:rsidRPr="00A32AF4">
        <w:rPr>
          <w:rFonts w:cs="Arial"/>
        </w:rPr>
        <w:t>La Haye</w:t>
      </w:r>
      <w:r w:rsidRPr="00A32AF4">
        <w:rPr>
          <w:rFonts w:cs="Arial"/>
        </w:rPr>
        <w:t xml:space="preserve"> connaissent une légère baisse pour ce qui est de l</w:t>
      </w:r>
      <w:r w:rsidR="00E2055A" w:rsidRPr="00A32AF4">
        <w:rPr>
          <w:rFonts w:cs="Arial"/>
        </w:rPr>
        <w:t>’</w:t>
      </w:r>
      <w:r w:rsidRPr="00A32AF4">
        <w:rPr>
          <w:rFonts w:cs="Arial"/>
        </w:rPr>
        <w:t>exercice 2016</w:t>
      </w:r>
      <w:r w:rsidR="00EB7F54" w:rsidRPr="00A32AF4">
        <w:rPr>
          <w:rFonts w:cs="Arial"/>
        </w:rPr>
        <w:noBreakHyphen/>
      </w:r>
      <w:r w:rsidRPr="00A32AF4">
        <w:rPr>
          <w:rFonts w:cs="Arial"/>
        </w:rPr>
        <w:t>2017, par rapport au budget après virements de l</w:t>
      </w:r>
      <w:r w:rsidR="00E2055A" w:rsidRPr="00A32AF4">
        <w:rPr>
          <w:rFonts w:cs="Arial"/>
        </w:rPr>
        <w:t>’</w:t>
      </w:r>
      <w:r w:rsidRPr="00A32AF4">
        <w:rPr>
          <w:rFonts w:cs="Arial"/>
        </w:rPr>
        <w:t>exercice 2014</w:t>
      </w:r>
      <w:r w:rsidR="00EB7F54" w:rsidRPr="00A32AF4">
        <w:rPr>
          <w:rFonts w:cs="Arial"/>
        </w:rPr>
        <w:noBreakHyphen/>
      </w:r>
      <w:r w:rsidRPr="00A32AF4">
        <w:rPr>
          <w:rFonts w:cs="Arial"/>
        </w:rPr>
        <w:t>2015.</w:t>
      </w:r>
      <w:r w:rsidRPr="00A32AF4">
        <w:t xml:space="preserve"> </w:t>
      </w:r>
      <w:r w:rsidRPr="00A32AF4">
        <w:rPr>
          <w:rFonts w:cs="Arial"/>
        </w:rPr>
        <w:t xml:space="preserve"> La diminution des dépenses de personnel est due aux changements apportés à la méthode de calcul de ces dépenses pour l</w:t>
      </w:r>
      <w:r w:rsidR="00E2055A" w:rsidRPr="00A32AF4">
        <w:rPr>
          <w:rFonts w:cs="Arial"/>
        </w:rPr>
        <w:t>’</w:t>
      </w:r>
      <w:r w:rsidRPr="00A32AF4">
        <w:rPr>
          <w:rFonts w:cs="Arial"/>
        </w:rPr>
        <w:t>exercice 2016</w:t>
      </w:r>
      <w:r w:rsidR="00EB7F54" w:rsidRPr="00A32AF4">
        <w:rPr>
          <w:rFonts w:cs="Arial"/>
        </w:rPr>
        <w:noBreakHyphen/>
      </w:r>
      <w:r w:rsidRPr="00A32AF4">
        <w:rPr>
          <w:rFonts w:cs="Arial"/>
        </w:rPr>
        <w:t>2017, basée sur des montants réels.</w:t>
      </w:r>
      <w:r w:rsidRPr="00A32AF4">
        <w:t xml:space="preserve">  </w:t>
      </w:r>
      <w:r w:rsidRPr="00A32AF4">
        <w:rPr>
          <w:rFonts w:cs="Arial"/>
        </w:rPr>
        <w:t>Les ressour</w:t>
      </w:r>
      <w:r w:rsidR="00563E68" w:rsidRPr="00A32AF4">
        <w:rPr>
          <w:rFonts w:cs="Arial"/>
        </w:rPr>
        <w:t>ces hors personnel allouées au p</w:t>
      </w:r>
      <w:r w:rsidRPr="00A32AF4">
        <w:rPr>
          <w:rFonts w:cs="Arial"/>
        </w:rPr>
        <w:t>rogramme ont été réajustées sur la base des dépenses constatées pour l</w:t>
      </w:r>
      <w:r w:rsidR="00E2055A" w:rsidRPr="00A32AF4">
        <w:rPr>
          <w:rFonts w:cs="Arial"/>
        </w:rPr>
        <w:t>’</w:t>
      </w:r>
      <w:r w:rsidRPr="00A32AF4">
        <w:rPr>
          <w:rFonts w:cs="Arial"/>
        </w:rPr>
        <w:t>exercice 2014</w:t>
      </w:r>
      <w:r w:rsidR="00EB7F54" w:rsidRPr="00A32AF4">
        <w:rPr>
          <w:rFonts w:cs="Arial"/>
        </w:rPr>
        <w:noBreakHyphen/>
      </w:r>
      <w:r w:rsidRPr="00A32AF4">
        <w:rPr>
          <w:rFonts w:cs="Arial"/>
        </w:rPr>
        <w:t>2015.</w:t>
      </w:r>
    </w:p>
    <w:p w:rsidR="0088488D" w:rsidRPr="00A32AF4" w:rsidRDefault="0088488D" w:rsidP="00DC0553">
      <w:pPr>
        <w:jc w:val="both"/>
        <w:rPr>
          <w:rFonts w:cs="Arial"/>
        </w:rPr>
      </w:pPr>
    </w:p>
    <w:p w:rsidR="00BB36D3" w:rsidRPr="00A32AF4" w:rsidRDefault="00BB36D3" w:rsidP="00DC0553"/>
    <w:p w:rsidR="00BB36D3" w:rsidRPr="00A32AF4" w:rsidRDefault="00BB36D3" w:rsidP="00DC0553">
      <w:pPr>
        <w:keepNext/>
        <w:keepLines/>
        <w:autoSpaceDE w:val="0"/>
        <w:autoSpaceDN w:val="0"/>
        <w:jc w:val="center"/>
        <w:rPr>
          <w:rFonts w:cs="Arial"/>
          <w:b/>
        </w:rPr>
      </w:pPr>
      <w:r w:rsidRPr="00A32AF4">
        <w:rPr>
          <w:rFonts w:cs="Arial"/>
          <w:b/>
        </w:rPr>
        <w:t>Programme 31 : ressources par résultat</w:t>
      </w:r>
    </w:p>
    <w:p w:rsidR="00BB36D3" w:rsidRPr="00A32AF4" w:rsidRDefault="00BB36D3" w:rsidP="00DC0553">
      <w:pPr>
        <w:keepNext/>
        <w:keepLines/>
        <w:autoSpaceDE w:val="0"/>
        <w:autoSpaceDN w:val="0"/>
        <w:jc w:val="center"/>
        <w:rPr>
          <w:rFonts w:cs="Arial"/>
          <w:i/>
        </w:rPr>
      </w:pPr>
      <w:r w:rsidRPr="00A32AF4">
        <w:rPr>
          <w:rFonts w:cs="Arial"/>
          <w:i/>
        </w:rPr>
        <w:t>(</w:t>
      </w:r>
      <w:proofErr w:type="gramStart"/>
      <w:r w:rsidRPr="00A32AF4">
        <w:rPr>
          <w:rFonts w:cs="Arial"/>
          <w:i/>
        </w:rPr>
        <w:t>en</w:t>
      </w:r>
      <w:proofErr w:type="gramEnd"/>
      <w:r w:rsidRPr="00A32AF4">
        <w:rPr>
          <w:rFonts w:cs="Arial"/>
          <w:i/>
        </w:rPr>
        <w:t xml:space="preserve"> milliers de francs suisses)</w:t>
      </w:r>
    </w:p>
    <w:p w:rsidR="00BB36D3" w:rsidRPr="00A32AF4" w:rsidRDefault="00BB36D3" w:rsidP="00DC0553">
      <w:pPr>
        <w:keepNext/>
      </w:pPr>
    </w:p>
    <w:tbl>
      <w:tblPr>
        <w:tblW w:w="8980" w:type="dxa"/>
        <w:tblInd w:w="55" w:type="dxa"/>
        <w:tblCellMar>
          <w:left w:w="70" w:type="dxa"/>
          <w:right w:w="70" w:type="dxa"/>
        </w:tblCellMar>
        <w:tblLook w:val="04A0" w:firstRow="1" w:lastRow="0" w:firstColumn="1" w:lastColumn="0" w:noHBand="0" w:noVBand="1"/>
      </w:tblPr>
      <w:tblGrid>
        <w:gridCol w:w="423"/>
        <w:gridCol w:w="4597"/>
        <w:gridCol w:w="1260"/>
        <w:gridCol w:w="1440"/>
        <w:gridCol w:w="1260"/>
      </w:tblGrid>
      <w:tr w:rsidR="00BB36D3" w:rsidRPr="00A32AF4" w:rsidTr="00BB36D3">
        <w:trPr>
          <w:cantSplit/>
        </w:trPr>
        <w:tc>
          <w:tcPr>
            <w:tcW w:w="5020" w:type="dxa"/>
            <w:gridSpan w:val="2"/>
            <w:tcBorders>
              <w:top w:val="single" w:sz="4" w:space="0" w:color="auto"/>
              <w:left w:val="single" w:sz="4" w:space="0" w:color="auto"/>
              <w:bottom w:val="single" w:sz="4" w:space="0" w:color="auto"/>
              <w:right w:val="single" w:sz="4" w:space="0" w:color="000000"/>
            </w:tcBorders>
            <w:shd w:val="clear" w:color="000000" w:fill="C5D9F1"/>
            <w:noWrap/>
            <w:tcMar>
              <w:top w:w="113" w:type="dxa"/>
              <w:bottom w:w="113" w:type="dxa"/>
            </w:tcMar>
            <w:vAlign w:val="center"/>
            <w:hideMark/>
          </w:tcPr>
          <w:p w:rsidR="00BB36D3" w:rsidRPr="00A32AF4" w:rsidRDefault="00BB36D3" w:rsidP="00DC0553">
            <w:pPr>
              <w:jc w:val="center"/>
              <w:rPr>
                <w:rFonts w:cs="Arial"/>
                <w:i/>
                <w:iCs/>
                <w:sz w:val="16"/>
                <w:szCs w:val="16"/>
                <w:lang w:eastAsia="fr-FR"/>
              </w:rPr>
            </w:pPr>
            <w:r w:rsidRPr="00A32AF4">
              <w:rPr>
                <w:rFonts w:cs="Arial"/>
                <w:i/>
                <w:iCs/>
                <w:sz w:val="16"/>
                <w:szCs w:val="16"/>
                <w:lang w:eastAsia="fr-FR"/>
              </w:rPr>
              <w:t xml:space="preserve">Numéro et description du résultat escompté </w:t>
            </w:r>
          </w:p>
        </w:tc>
        <w:tc>
          <w:tcPr>
            <w:tcW w:w="126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BB36D3" w:rsidRPr="00A32AF4" w:rsidRDefault="00BB36D3" w:rsidP="00DC0553">
            <w:pPr>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2014</w:t>
            </w:r>
            <w:r w:rsidR="00EB7F54" w:rsidRPr="00A32AF4">
              <w:rPr>
                <w:rFonts w:cs="Arial"/>
                <w:i/>
                <w:iCs/>
                <w:sz w:val="16"/>
                <w:szCs w:val="16"/>
                <w:lang w:eastAsia="fr-FR"/>
              </w:rPr>
              <w:noBreakHyphen/>
            </w:r>
            <w:r w:rsidRPr="00A32AF4">
              <w:rPr>
                <w:rFonts w:cs="Arial"/>
                <w:i/>
                <w:iCs/>
                <w:sz w:val="16"/>
                <w:szCs w:val="16"/>
                <w:lang w:eastAsia="fr-FR"/>
              </w:rPr>
              <w:t>2015 approuvé</w:t>
            </w:r>
          </w:p>
        </w:tc>
        <w:tc>
          <w:tcPr>
            <w:tcW w:w="144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BB36D3" w:rsidRPr="00A32AF4" w:rsidRDefault="00BB36D3" w:rsidP="00DC0553">
            <w:pPr>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2014</w:t>
            </w:r>
            <w:r w:rsidR="00EB7F54" w:rsidRPr="00A32AF4">
              <w:rPr>
                <w:rFonts w:cs="Arial"/>
                <w:i/>
                <w:iCs/>
                <w:sz w:val="16"/>
                <w:szCs w:val="16"/>
                <w:lang w:eastAsia="fr-FR"/>
              </w:rPr>
              <w:noBreakHyphen/>
            </w:r>
            <w:r w:rsidRPr="00A32AF4">
              <w:rPr>
                <w:rFonts w:cs="Arial"/>
                <w:i/>
                <w:iCs/>
                <w:sz w:val="16"/>
                <w:szCs w:val="16"/>
                <w:lang w:eastAsia="fr-FR"/>
              </w:rPr>
              <w:t>2015 après virements</w:t>
            </w:r>
          </w:p>
        </w:tc>
        <w:tc>
          <w:tcPr>
            <w:tcW w:w="126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BB36D3" w:rsidRPr="00A32AF4" w:rsidRDefault="00BB36D3" w:rsidP="00DC0553">
            <w:pPr>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2016</w:t>
            </w:r>
            <w:r w:rsidR="00EB7F54" w:rsidRPr="00A32AF4">
              <w:rPr>
                <w:rFonts w:cs="Arial"/>
                <w:i/>
                <w:iCs/>
                <w:sz w:val="16"/>
                <w:szCs w:val="16"/>
                <w:lang w:eastAsia="fr-FR"/>
              </w:rPr>
              <w:noBreakHyphen/>
            </w:r>
            <w:r w:rsidRPr="00A32AF4">
              <w:rPr>
                <w:rFonts w:cs="Arial"/>
                <w:i/>
                <w:iCs/>
                <w:sz w:val="16"/>
                <w:szCs w:val="16"/>
                <w:lang w:eastAsia="fr-FR"/>
              </w:rPr>
              <w:t>2017 proposé</w:t>
            </w:r>
          </w:p>
        </w:tc>
      </w:tr>
      <w:tr w:rsidR="00BB36D3" w:rsidRPr="00A32AF4" w:rsidTr="00BB36D3">
        <w:trPr>
          <w:cantSplit/>
        </w:trPr>
        <w:tc>
          <w:tcPr>
            <w:tcW w:w="423" w:type="dxa"/>
            <w:tcBorders>
              <w:top w:val="nil"/>
              <w:left w:val="single" w:sz="4" w:space="0" w:color="auto"/>
              <w:bottom w:val="nil"/>
              <w:right w:val="nil"/>
            </w:tcBorders>
            <w:shd w:val="clear" w:color="auto" w:fill="auto"/>
            <w:noWrap/>
            <w:tcMar>
              <w:top w:w="113" w:type="dxa"/>
              <w:bottom w:w="113" w:type="dxa"/>
            </w:tcMar>
            <w:vAlign w:val="center"/>
            <w:hideMark/>
          </w:tcPr>
          <w:p w:rsidR="00BB36D3" w:rsidRPr="00A32AF4" w:rsidRDefault="00BB36D3" w:rsidP="00DC0553">
            <w:pPr>
              <w:rPr>
                <w:rFonts w:cs="Arial"/>
                <w:sz w:val="16"/>
                <w:szCs w:val="16"/>
                <w:lang w:eastAsia="fr-FR"/>
              </w:rPr>
            </w:pPr>
            <w:r w:rsidRPr="00A32AF4">
              <w:rPr>
                <w:rFonts w:cs="Arial"/>
                <w:sz w:val="16"/>
                <w:szCs w:val="16"/>
                <w:lang w:eastAsia="fr-FR"/>
              </w:rPr>
              <w:t>II.4</w:t>
            </w:r>
          </w:p>
        </w:tc>
        <w:tc>
          <w:tcPr>
            <w:tcW w:w="4597" w:type="dxa"/>
            <w:tcBorders>
              <w:top w:val="nil"/>
              <w:left w:val="nil"/>
              <w:bottom w:val="nil"/>
              <w:right w:val="nil"/>
            </w:tcBorders>
            <w:shd w:val="clear" w:color="auto" w:fill="auto"/>
            <w:tcMar>
              <w:top w:w="113" w:type="dxa"/>
              <w:bottom w:w="113" w:type="dxa"/>
            </w:tcMar>
            <w:vAlign w:val="center"/>
            <w:hideMark/>
          </w:tcPr>
          <w:p w:rsidR="00BB36D3" w:rsidRPr="00A32AF4" w:rsidRDefault="00BB36D3" w:rsidP="00DC0553">
            <w:pPr>
              <w:rPr>
                <w:rFonts w:cs="Arial"/>
                <w:sz w:val="16"/>
                <w:szCs w:val="16"/>
                <w:lang w:eastAsia="fr-FR"/>
              </w:rPr>
            </w:pPr>
            <w:r w:rsidRPr="00A32AF4">
              <w:rPr>
                <w:rFonts w:cs="Arial"/>
                <w:sz w:val="16"/>
                <w:szCs w:val="16"/>
                <w:lang w:eastAsia="fr-FR"/>
              </w:rPr>
              <w:t xml:space="preserve">Utilisation élargie et plus efficace du système de </w:t>
            </w:r>
            <w:r w:rsidR="00E2055A" w:rsidRPr="00A32AF4">
              <w:rPr>
                <w:rFonts w:cs="Arial"/>
                <w:sz w:val="16"/>
                <w:szCs w:val="16"/>
                <w:lang w:eastAsia="fr-FR"/>
              </w:rPr>
              <w:t>La Haye</w:t>
            </w:r>
            <w:r w:rsidRPr="00A32AF4">
              <w:rPr>
                <w:rFonts w:cs="Arial"/>
                <w:sz w:val="16"/>
                <w:szCs w:val="16"/>
                <w:lang w:eastAsia="fr-FR"/>
              </w:rPr>
              <w:t>, notamment par les pays en développement et</w:t>
            </w:r>
            <w:r w:rsidR="00E2055A" w:rsidRPr="00A32AF4">
              <w:rPr>
                <w:rFonts w:cs="Arial"/>
                <w:sz w:val="16"/>
                <w:szCs w:val="16"/>
                <w:lang w:eastAsia="fr-FR"/>
              </w:rPr>
              <w:t xml:space="preserve"> les PMA</w:t>
            </w:r>
          </w:p>
        </w:tc>
        <w:tc>
          <w:tcPr>
            <w:tcW w:w="1260" w:type="dxa"/>
            <w:tcBorders>
              <w:top w:val="nil"/>
              <w:left w:val="nil"/>
              <w:bottom w:val="nil"/>
              <w:right w:val="nil"/>
            </w:tcBorders>
            <w:shd w:val="clear" w:color="auto" w:fill="auto"/>
            <w:tcMar>
              <w:top w:w="113" w:type="dxa"/>
              <w:bottom w:w="113" w:type="dxa"/>
            </w:tcMar>
            <w:vAlign w:val="center"/>
            <w:hideMark/>
          </w:tcPr>
          <w:p w:rsidR="00BB36D3" w:rsidRPr="00A32AF4" w:rsidRDefault="00BB36D3" w:rsidP="00DC0553">
            <w:pPr>
              <w:jc w:val="right"/>
              <w:rPr>
                <w:rFonts w:cs="Arial"/>
                <w:sz w:val="16"/>
                <w:szCs w:val="16"/>
                <w:lang w:eastAsia="fr-FR"/>
              </w:rPr>
            </w:pPr>
            <w:r w:rsidRPr="00A32AF4">
              <w:rPr>
                <w:rFonts w:cs="Arial"/>
                <w:sz w:val="16"/>
                <w:szCs w:val="16"/>
                <w:lang w:eastAsia="fr-FR"/>
              </w:rPr>
              <w:t xml:space="preserve">5 236 </w:t>
            </w:r>
          </w:p>
        </w:tc>
        <w:tc>
          <w:tcPr>
            <w:tcW w:w="1440" w:type="dxa"/>
            <w:tcBorders>
              <w:top w:val="nil"/>
              <w:left w:val="nil"/>
              <w:bottom w:val="nil"/>
              <w:right w:val="nil"/>
            </w:tcBorders>
            <w:shd w:val="clear" w:color="auto" w:fill="auto"/>
            <w:tcMar>
              <w:top w:w="113" w:type="dxa"/>
              <w:bottom w:w="113" w:type="dxa"/>
            </w:tcMar>
            <w:vAlign w:val="center"/>
            <w:hideMark/>
          </w:tcPr>
          <w:p w:rsidR="00BB36D3" w:rsidRPr="00A32AF4" w:rsidRDefault="00BB36D3" w:rsidP="00DC0553">
            <w:pPr>
              <w:jc w:val="right"/>
              <w:rPr>
                <w:rFonts w:cs="Arial"/>
                <w:sz w:val="16"/>
                <w:szCs w:val="16"/>
                <w:lang w:eastAsia="fr-FR"/>
              </w:rPr>
            </w:pPr>
            <w:r w:rsidRPr="00A32AF4">
              <w:rPr>
                <w:rFonts w:cs="Arial"/>
                <w:sz w:val="16"/>
                <w:szCs w:val="16"/>
                <w:lang w:eastAsia="fr-FR"/>
              </w:rPr>
              <w:t xml:space="preserve">5 177 </w:t>
            </w:r>
          </w:p>
        </w:tc>
        <w:tc>
          <w:tcPr>
            <w:tcW w:w="1260" w:type="dxa"/>
            <w:tcBorders>
              <w:top w:val="nil"/>
              <w:left w:val="nil"/>
              <w:bottom w:val="nil"/>
              <w:right w:val="single" w:sz="4" w:space="0" w:color="auto"/>
            </w:tcBorders>
            <w:shd w:val="clear" w:color="auto" w:fill="auto"/>
            <w:noWrap/>
            <w:tcMar>
              <w:top w:w="113" w:type="dxa"/>
              <w:bottom w:w="113" w:type="dxa"/>
            </w:tcMar>
            <w:vAlign w:val="center"/>
            <w:hideMark/>
          </w:tcPr>
          <w:p w:rsidR="00BB36D3" w:rsidRPr="00A32AF4" w:rsidRDefault="00BB36D3" w:rsidP="00DC0553">
            <w:pPr>
              <w:jc w:val="right"/>
              <w:rPr>
                <w:rFonts w:cs="Arial"/>
                <w:color w:val="000000"/>
                <w:sz w:val="16"/>
                <w:szCs w:val="16"/>
                <w:lang w:eastAsia="fr-FR"/>
              </w:rPr>
            </w:pPr>
            <w:r w:rsidRPr="00A32AF4">
              <w:rPr>
                <w:rFonts w:cs="Arial"/>
                <w:color w:val="000000"/>
                <w:sz w:val="16"/>
                <w:szCs w:val="16"/>
                <w:lang w:eastAsia="fr-FR"/>
              </w:rPr>
              <w:t xml:space="preserve">5 337 </w:t>
            </w:r>
          </w:p>
        </w:tc>
      </w:tr>
      <w:tr w:rsidR="00BB36D3" w:rsidRPr="00A32AF4" w:rsidTr="00BB36D3">
        <w:trPr>
          <w:cantSplit/>
        </w:trPr>
        <w:tc>
          <w:tcPr>
            <w:tcW w:w="423" w:type="dxa"/>
            <w:tcBorders>
              <w:top w:val="nil"/>
              <w:left w:val="single" w:sz="4" w:space="0" w:color="auto"/>
              <w:bottom w:val="nil"/>
              <w:right w:val="nil"/>
            </w:tcBorders>
            <w:shd w:val="clear" w:color="auto" w:fill="auto"/>
            <w:noWrap/>
            <w:tcMar>
              <w:top w:w="113" w:type="dxa"/>
              <w:bottom w:w="113" w:type="dxa"/>
            </w:tcMar>
            <w:vAlign w:val="center"/>
            <w:hideMark/>
          </w:tcPr>
          <w:p w:rsidR="00BB36D3" w:rsidRPr="00A32AF4" w:rsidRDefault="00BB36D3" w:rsidP="00DC0553">
            <w:pPr>
              <w:rPr>
                <w:rFonts w:cs="Arial"/>
                <w:sz w:val="16"/>
                <w:szCs w:val="16"/>
                <w:lang w:eastAsia="fr-FR"/>
              </w:rPr>
            </w:pPr>
            <w:r w:rsidRPr="00A32AF4">
              <w:rPr>
                <w:rFonts w:cs="Arial"/>
                <w:sz w:val="16"/>
                <w:szCs w:val="16"/>
                <w:lang w:eastAsia="fr-FR"/>
              </w:rPr>
              <w:t>II.5</w:t>
            </w:r>
          </w:p>
        </w:tc>
        <w:tc>
          <w:tcPr>
            <w:tcW w:w="4597" w:type="dxa"/>
            <w:tcBorders>
              <w:top w:val="nil"/>
              <w:left w:val="nil"/>
              <w:bottom w:val="nil"/>
              <w:right w:val="nil"/>
            </w:tcBorders>
            <w:shd w:val="clear" w:color="auto" w:fill="auto"/>
            <w:tcMar>
              <w:top w:w="113" w:type="dxa"/>
              <w:bottom w:w="113" w:type="dxa"/>
            </w:tcMar>
            <w:vAlign w:val="center"/>
            <w:hideMark/>
          </w:tcPr>
          <w:p w:rsidR="00BB36D3" w:rsidRPr="00A32AF4" w:rsidRDefault="00BB36D3" w:rsidP="00DC0553">
            <w:pPr>
              <w:rPr>
                <w:rFonts w:cs="Arial"/>
                <w:sz w:val="16"/>
                <w:szCs w:val="16"/>
                <w:lang w:eastAsia="fr-FR"/>
              </w:rPr>
            </w:pPr>
            <w:r w:rsidRPr="00A32AF4">
              <w:rPr>
                <w:rFonts w:cs="Arial"/>
                <w:sz w:val="16"/>
                <w:szCs w:val="16"/>
                <w:lang w:eastAsia="fr-FR"/>
              </w:rPr>
              <w:t xml:space="preserve">Amélioration de la productivité et de la qualité de service des opérations de </w:t>
            </w:r>
            <w:r w:rsidR="00E2055A" w:rsidRPr="00A32AF4">
              <w:rPr>
                <w:rFonts w:cs="Arial"/>
                <w:sz w:val="16"/>
                <w:szCs w:val="16"/>
                <w:lang w:eastAsia="fr-FR"/>
              </w:rPr>
              <w:t>La Haye</w:t>
            </w:r>
          </w:p>
        </w:tc>
        <w:tc>
          <w:tcPr>
            <w:tcW w:w="1260" w:type="dxa"/>
            <w:tcBorders>
              <w:top w:val="nil"/>
              <w:left w:val="nil"/>
              <w:bottom w:val="nil"/>
              <w:right w:val="nil"/>
            </w:tcBorders>
            <w:shd w:val="clear" w:color="auto" w:fill="auto"/>
            <w:tcMar>
              <w:top w:w="113" w:type="dxa"/>
              <w:bottom w:w="113" w:type="dxa"/>
            </w:tcMar>
            <w:vAlign w:val="center"/>
            <w:hideMark/>
          </w:tcPr>
          <w:p w:rsidR="00BB36D3" w:rsidRPr="00A32AF4" w:rsidRDefault="00BB36D3" w:rsidP="00DC0553">
            <w:pPr>
              <w:jc w:val="right"/>
              <w:rPr>
                <w:rFonts w:cs="Arial"/>
                <w:sz w:val="16"/>
                <w:szCs w:val="16"/>
                <w:lang w:eastAsia="fr-FR"/>
              </w:rPr>
            </w:pPr>
            <w:r w:rsidRPr="00A32AF4">
              <w:rPr>
                <w:rFonts w:cs="Arial"/>
                <w:sz w:val="16"/>
                <w:szCs w:val="16"/>
                <w:lang w:eastAsia="fr-FR"/>
              </w:rPr>
              <w:t xml:space="preserve">2 351 </w:t>
            </w:r>
          </w:p>
        </w:tc>
        <w:tc>
          <w:tcPr>
            <w:tcW w:w="1440" w:type="dxa"/>
            <w:tcBorders>
              <w:top w:val="nil"/>
              <w:left w:val="nil"/>
              <w:bottom w:val="nil"/>
              <w:right w:val="nil"/>
            </w:tcBorders>
            <w:shd w:val="clear" w:color="auto" w:fill="auto"/>
            <w:tcMar>
              <w:top w:w="113" w:type="dxa"/>
              <w:bottom w:w="113" w:type="dxa"/>
            </w:tcMar>
            <w:vAlign w:val="center"/>
            <w:hideMark/>
          </w:tcPr>
          <w:p w:rsidR="00BB36D3" w:rsidRPr="00A32AF4" w:rsidRDefault="00BB36D3" w:rsidP="00DC0553">
            <w:pPr>
              <w:jc w:val="right"/>
              <w:rPr>
                <w:rFonts w:cs="Arial"/>
                <w:sz w:val="16"/>
                <w:szCs w:val="16"/>
                <w:lang w:eastAsia="fr-FR"/>
              </w:rPr>
            </w:pPr>
            <w:r w:rsidRPr="00A32AF4">
              <w:rPr>
                <w:rFonts w:cs="Arial"/>
                <w:sz w:val="16"/>
                <w:szCs w:val="16"/>
                <w:lang w:eastAsia="fr-FR"/>
              </w:rPr>
              <w:t xml:space="preserve">2 527 </w:t>
            </w:r>
          </w:p>
        </w:tc>
        <w:tc>
          <w:tcPr>
            <w:tcW w:w="1260" w:type="dxa"/>
            <w:tcBorders>
              <w:top w:val="nil"/>
              <w:left w:val="nil"/>
              <w:bottom w:val="single" w:sz="4" w:space="0" w:color="auto"/>
              <w:right w:val="single" w:sz="4" w:space="0" w:color="auto"/>
            </w:tcBorders>
            <w:shd w:val="clear" w:color="auto" w:fill="auto"/>
            <w:noWrap/>
            <w:tcMar>
              <w:top w:w="113" w:type="dxa"/>
              <w:bottom w:w="113" w:type="dxa"/>
            </w:tcMar>
            <w:vAlign w:val="center"/>
            <w:hideMark/>
          </w:tcPr>
          <w:p w:rsidR="00BB36D3" w:rsidRPr="00A32AF4" w:rsidRDefault="00BB36D3" w:rsidP="00DC0553">
            <w:pPr>
              <w:jc w:val="right"/>
              <w:rPr>
                <w:rFonts w:cs="Arial"/>
                <w:color w:val="000000"/>
                <w:sz w:val="16"/>
                <w:szCs w:val="16"/>
                <w:lang w:eastAsia="fr-FR"/>
              </w:rPr>
            </w:pPr>
            <w:r w:rsidRPr="00A32AF4">
              <w:rPr>
                <w:rFonts w:cs="Arial"/>
                <w:color w:val="000000"/>
                <w:sz w:val="16"/>
                <w:szCs w:val="16"/>
                <w:lang w:eastAsia="fr-FR"/>
              </w:rPr>
              <w:t xml:space="preserve">2 234 </w:t>
            </w:r>
          </w:p>
        </w:tc>
      </w:tr>
      <w:tr w:rsidR="00BB36D3" w:rsidRPr="00A32AF4" w:rsidTr="00BB36D3">
        <w:trPr>
          <w:cantSplit/>
        </w:trPr>
        <w:tc>
          <w:tcPr>
            <w:tcW w:w="423" w:type="dxa"/>
            <w:tcBorders>
              <w:top w:val="single" w:sz="4" w:space="0" w:color="auto"/>
              <w:left w:val="single" w:sz="4" w:space="0" w:color="auto"/>
              <w:bottom w:val="single" w:sz="4" w:space="0" w:color="auto"/>
              <w:right w:val="nil"/>
            </w:tcBorders>
            <w:shd w:val="clear" w:color="000000" w:fill="C5D9F1"/>
            <w:noWrap/>
            <w:tcMar>
              <w:top w:w="113" w:type="dxa"/>
              <w:bottom w:w="113" w:type="dxa"/>
            </w:tcMar>
            <w:vAlign w:val="bottom"/>
            <w:hideMark/>
          </w:tcPr>
          <w:p w:rsidR="00BB36D3" w:rsidRPr="00A32AF4" w:rsidRDefault="00BB36D3" w:rsidP="00DC0553">
            <w:pPr>
              <w:rPr>
                <w:rFonts w:cs="Arial"/>
                <w:sz w:val="16"/>
                <w:szCs w:val="16"/>
                <w:lang w:eastAsia="fr-FR"/>
              </w:rPr>
            </w:pPr>
            <w:r w:rsidRPr="00A32AF4">
              <w:rPr>
                <w:rFonts w:cs="Arial"/>
                <w:sz w:val="16"/>
                <w:szCs w:val="16"/>
                <w:lang w:eastAsia="fr-FR"/>
              </w:rPr>
              <w:t> </w:t>
            </w:r>
          </w:p>
        </w:tc>
        <w:tc>
          <w:tcPr>
            <w:tcW w:w="4597"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BB36D3" w:rsidRPr="00A32AF4" w:rsidRDefault="00BB36D3" w:rsidP="00DC0553">
            <w:pPr>
              <w:rPr>
                <w:rFonts w:cs="Arial"/>
                <w:b/>
                <w:bCs/>
                <w:sz w:val="16"/>
                <w:szCs w:val="16"/>
                <w:lang w:eastAsia="fr-FR"/>
              </w:rPr>
            </w:pPr>
            <w:r w:rsidRPr="00A32AF4">
              <w:rPr>
                <w:rFonts w:cs="Arial"/>
                <w:b/>
                <w:bCs/>
                <w:sz w:val="16"/>
                <w:szCs w:val="16"/>
                <w:lang w:eastAsia="fr-FR"/>
              </w:rPr>
              <w:t>Total</w:t>
            </w:r>
          </w:p>
        </w:tc>
        <w:tc>
          <w:tcPr>
            <w:tcW w:w="1260"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BB36D3" w:rsidRPr="00A32AF4" w:rsidRDefault="00BB36D3" w:rsidP="00DC0553">
            <w:pPr>
              <w:jc w:val="right"/>
              <w:rPr>
                <w:rFonts w:cs="Arial"/>
                <w:b/>
                <w:bCs/>
                <w:sz w:val="16"/>
                <w:szCs w:val="16"/>
                <w:lang w:eastAsia="fr-FR"/>
              </w:rPr>
            </w:pPr>
            <w:r w:rsidRPr="00A32AF4">
              <w:rPr>
                <w:rFonts w:cs="Arial"/>
                <w:b/>
                <w:bCs/>
                <w:sz w:val="16"/>
                <w:szCs w:val="16"/>
                <w:lang w:eastAsia="fr-FR"/>
              </w:rPr>
              <w:t xml:space="preserve">7 587 </w:t>
            </w:r>
          </w:p>
        </w:tc>
        <w:tc>
          <w:tcPr>
            <w:tcW w:w="1440"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BB36D3" w:rsidRPr="00A32AF4" w:rsidRDefault="00BB36D3" w:rsidP="00DC0553">
            <w:pPr>
              <w:jc w:val="right"/>
              <w:rPr>
                <w:rFonts w:cs="Arial"/>
                <w:b/>
                <w:bCs/>
                <w:sz w:val="16"/>
                <w:szCs w:val="16"/>
                <w:lang w:eastAsia="fr-FR"/>
              </w:rPr>
            </w:pPr>
            <w:r w:rsidRPr="00A32AF4">
              <w:rPr>
                <w:rFonts w:cs="Arial"/>
                <w:b/>
                <w:bCs/>
                <w:sz w:val="16"/>
                <w:szCs w:val="16"/>
                <w:lang w:eastAsia="fr-FR"/>
              </w:rPr>
              <w:t xml:space="preserve">7 704 </w:t>
            </w:r>
          </w:p>
        </w:tc>
        <w:tc>
          <w:tcPr>
            <w:tcW w:w="1260" w:type="dxa"/>
            <w:tcBorders>
              <w:top w:val="nil"/>
              <w:left w:val="nil"/>
              <w:bottom w:val="single" w:sz="4" w:space="0" w:color="auto"/>
              <w:right w:val="single" w:sz="4" w:space="0" w:color="auto"/>
            </w:tcBorders>
            <w:shd w:val="clear" w:color="000000" w:fill="C5D9F1"/>
            <w:noWrap/>
            <w:tcMar>
              <w:top w:w="113" w:type="dxa"/>
              <w:bottom w:w="113" w:type="dxa"/>
            </w:tcMar>
            <w:vAlign w:val="bottom"/>
            <w:hideMark/>
          </w:tcPr>
          <w:p w:rsidR="00BB36D3" w:rsidRPr="00A32AF4" w:rsidRDefault="00BB36D3" w:rsidP="00DC0553">
            <w:pPr>
              <w:jc w:val="right"/>
              <w:rPr>
                <w:rFonts w:cs="Arial"/>
                <w:b/>
                <w:bCs/>
                <w:sz w:val="16"/>
                <w:szCs w:val="16"/>
                <w:lang w:eastAsia="fr-FR"/>
              </w:rPr>
            </w:pPr>
            <w:r w:rsidRPr="00A32AF4">
              <w:rPr>
                <w:rFonts w:cs="Arial"/>
                <w:b/>
                <w:bCs/>
                <w:sz w:val="16"/>
                <w:szCs w:val="16"/>
                <w:lang w:eastAsia="fr-FR"/>
              </w:rPr>
              <w:t xml:space="preserve">7 572 </w:t>
            </w:r>
          </w:p>
        </w:tc>
      </w:tr>
    </w:tbl>
    <w:p w:rsidR="00BB36D3" w:rsidRPr="00A32AF4" w:rsidRDefault="00BB36D3" w:rsidP="00DC0553"/>
    <w:p w:rsidR="00BB36D3" w:rsidRPr="00A32AF4" w:rsidRDefault="00BB36D3" w:rsidP="00DC0553"/>
    <w:p w:rsidR="00BB36D3" w:rsidRPr="00A32AF4" w:rsidRDefault="00BB36D3" w:rsidP="00DC0553">
      <w:pPr>
        <w:keepNext/>
        <w:keepLines/>
        <w:autoSpaceDE w:val="0"/>
        <w:autoSpaceDN w:val="0"/>
        <w:jc w:val="center"/>
        <w:rPr>
          <w:rFonts w:cs="Arial"/>
          <w:b/>
        </w:rPr>
      </w:pPr>
      <w:r w:rsidRPr="00A32AF4">
        <w:rPr>
          <w:rFonts w:cs="Arial"/>
          <w:b/>
        </w:rPr>
        <w:t>Programme 31 : ressources par objet de dépense</w:t>
      </w:r>
    </w:p>
    <w:p w:rsidR="00BB36D3" w:rsidRPr="00A32AF4" w:rsidRDefault="00BB36D3" w:rsidP="00DC0553">
      <w:pPr>
        <w:keepNext/>
        <w:keepLines/>
        <w:autoSpaceDE w:val="0"/>
        <w:autoSpaceDN w:val="0"/>
        <w:jc w:val="center"/>
        <w:rPr>
          <w:rFonts w:cs="Arial"/>
          <w:i/>
        </w:rPr>
      </w:pPr>
      <w:r w:rsidRPr="00A32AF4">
        <w:rPr>
          <w:rFonts w:cs="Arial"/>
          <w:i/>
        </w:rPr>
        <w:t>(</w:t>
      </w:r>
      <w:proofErr w:type="gramStart"/>
      <w:r w:rsidRPr="00A32AF4">
        <w:rPr>
          <w:rFonts w:cs="Arial"/>
          <w:i/>
        </w:rPr>
        <w:t>en</w:t>
      </w:r>
      <w:proofErr w:type="gramEnd"/>
      <w:r w:rsidRPr="00A32AF4">
        <w:rPr>
          <w:rFonts w:cs="Arial"/>
          <w:i/>
        </w:rPr>
        <w:t xml:space="preserve"> milliers de francs suisses)</w:t>
      </w:r>
    </w:p>
    <w:p w:rsidR="00BB36D3" w:rsidRPr="00A32AF4" w:rsidRDefault="00BB36D3" w:rsidP="00DC0553">
      <w:pPr>
        <w:keepNext/>
        <w:rPr>
          <w:rFonts w:eastAsia="SimSun"/>
        </w:rPr>
      </w:pPr>
    </w:p>
    <w:p w:rsidR="00BB36D3" w:rsidRPr="00A32AF4" w:rsidRDefault="005A2930" w:rsidP="00DC0553">
      <w:pPr>
        <w:rPr>
          <w:rFonts w:eastAsia="SimSun"/>
        </w:rPr>
      </w:pPr>
      <w:r w:rsidRPr="00A32AF4">
        <w:rPr>
          <w:rFonts w:eastAsia="SimSun"/>
          <w:noProof/>
          <w:lang w:eastAsia="fr-FR"/>
        </w:rPr>
        <w:drawing>
          <wp:inline distT="0" distB="0" distL="0" distR="0" wp14:anchorId="7E74B68A" wp14:editId="5E8BCD88">
            <wp:extent cx="5512435" cy="6555105"/>
            <wp:effectExtent l="0" t="0" r="0" b="0"/>
            <wp:docPr id="1034" name="Pictur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512435" cy="6555105"/>
                    </a:xfrm>
                    <a:prstGeom prst="rect">
                      <a:avLst/>
                    </a:prstGeom>
                    <a:noFill/>
                    <a:ln>
                      <a:noFill/>
                    </a:ln>
                  </pic:spPr>
                </pic:pic>
              </a:graphicData>
            </a:graphic>
          </wp:inline>
        </w:drawing>
      </w:r>
    </w:p>
    <w:p w:rsidR="00BB36D3" w:rsidRPr="00A32AF4" w:rsidRDefault="00BB36D3" w:rsidP="00DC0553"/>
    <w:p w:rsidR="00F93B76" w:rsidRPr="00A32AF4" w:rsidRDefault="00570B48" w:rsidP="00FB1F61">
      <w:pPr>
        <w:pStyle w:val="Heading3"/>
      </w:pPr>
      <w:r w:rsidRPr="00A32AF4">
        <w:br w:type="page"/>
      </w:r>
    </w:p>
    <w:p w:rsidR="00FB42D0" w:rsidRPr="00A32AF4" w:rsidRDefault="00FB42D0" w:rsidP="00FB42D0">
      <w:pPr>
        <w:pStyle w:val="Heading3"/>
      </w:pPr>
      <w:bookmarkStart w:id="32" w:name="_Toc431555443"/>
      <w:r w:rsidRPr="00A32AF4">
        <w:t>Programme 32</w:t>
      </w:r>
      <w:r w:rsidRPr="00A32AF4">
        <w:tab/>
        <w:t>système de Lisbonne</w:t>
      </w:r>
      <w:bookmarkEnd w:id="32"/>
    </w:p>
    <w:p w:rsidR="00FB42D0" w:rsidRPr="00A32AF4" w:rsidRDefault="00FB42D0" w:rsidP="00FB42D0"/>
    <w:p w:rsidR="00FB42D0" w:rsidRPr="00A32AF4" w:rsidRDefault="00FB42D0" w:rsidP="00FB42D0"/>
    <w:p w:rsidR="00A62724" w:rsidRPr="00A32AF4" w:rsidRDefault="00A62724" w:rsidP="00A62724">
      <w:pPr>
        <w:rPr>
          <w:caps/>
        </w:rPr>
      </w:pPr>
      <w:r w:rsidRPr="00A32AF4">
        <w:rPr>
          <w:caps/>
        </w:rPr>
        <w:t>Contexte de planification</w:t>
      </w:r>
    </w:p>
    <w:p w:rsidR="00A62724" w:rsidRPr="00A32AF4" w:rsidRDefault="00A62724" w:rsidP="00A62724">
      <w:pPr>
        <w:rPr>
          <w:caps/>
        </w:rPr>
      </w:pPr>
    </w:p>
    <w:p w:rsidR="00A62724" w:rsidRPr="00A32AF4" w:rsidRDefault="00A62724" w:rsidP="00A62724">
      <w:pPr>
        <w:pStyle w:val="ListParagraph"/>
        <w:numPr>
          <w:ilvl w:val="0"/>
          <w:numId w:val="91"/>
        </w:numPr>
        <w:tabs>
          <w:tab w:val="left" w:pos="567"/>
        </w:tabs>
        <w:spacing w:after="0" w:line="240" w:lineRule="auto"/>
        <w:ind w:left="0" w:firstLine="0"/>
        <w:contextualSpacing w:val="0"/>
        <w:jc w:val="both"/>
        <w:rPr>
          <w:rFonts w:ascii="Arial" w:hAnsi="Arial" w:cs="Arial"/>
        </w:rPr>
      </w:pPr>
      <w:r w:rsidRPr="00A32AF4">
        <w:rPr>
          <w:rFonts w:ascii="Arial" w:hAnsi="Arial" w:cs="Arial"/>
        </w:rPr>
        <w:t>En ce qui concerne le système de Lisbonne, l’objectif principal sera d’administrer efficacement le registre international des appellations d’origine et préparer l’éventuelle entrée en vigueur de l’Acte de Genève de l’Arrangement de Lisbonne concernant la protection des appellations d’origine et leur enregistrement international (Acte de Genève).</w:t>
      </w:r>
    </w:p>
    <w:p w:rsidR="00A62724" w:rsidRPr="00A32AF4" w:rsidRDefault="00A62724" w:rsidP="00A62724">
      <w:pPr>
        <w:tabs>
          <w:tab w:val="left" w:pos="567"/>
        </w:tabs>
        <w:jc w:val="both"/>
        <w:rPr>
          <w:rFonts w:cs="Arial"/>
        </w:rPr>
      </w:pPr>
    </w:p>
    <w:p w:rsidR="00A62724" w:rsidRPr="00A32AF4" w:rsidRDefault="00A62724" w:rsidP="00A62724"/>
    <w:p w:rsidR="00A62724" w:rsidRPr="00A32AF4" w:rsidRDefault="00A62724" w:rsidP="00A62724">
      <w:pPr>
        <w:rPr>
          <w:caps/>
        </w:rPr>
      </w:pPr>
      <w:r w:rsidRPr="00A32AF4">
        <w:rPr>
          <w:caps/>
        </w:rPr>
        <w:t>STRATÉGIES DE MISE EN ŒUVRE</w:t>
      </w:r>
    </w:p>
    <w:p w:rsidR="00A62724" w:rsidRPr="00A32AF4" w:rsidRDefault="00A62724" w:rsidP="00A62724"/>
    <w:p w:rsidR="00A62724" w:rsidRPr="00A32AF4" w:rsidRDefault="00A62724" w:rsidP="00A62724">
      <w:pPr>
        <w:pStyle w:val="ListParagraph"/>
        <w:numPr>
          <w:ilvl w:val="0"/>
          <w:numId w:val="91"/>
        </w:numPr>
        <w:tabs>
          <w:tab w:val="left" w:pos="567"/>
        </w:tabs>
        <w:spacing w:after="0" w:line="240" w:lineRule="auto"/>
        <w:ind w:left="0" w:firstLine="0"/>
        <w:contextualSpacing w:val="0"/>
        <w:jc w:val="both"/>
        <w:rPr>
          <w:rFonts w:ascii="Arial" w:hAnsi="Arial" w:cs="Arial"/>
        </w:rPr>
      </w:pPr>
      <w:r w:rsidRPr="00A32AF4">
        <w:rPr>
          <w:rFonts w:ascii="Arial" w:hAnsi="Arial" w:cs="Arial"/>
        </w:rPr>
        <w:t>L’Acte de Genève devrait entraîner une augmentation notable du nombre d’adhérents à l’Union de Lisbonne.  Bien que le taux d’adhésion soit difficile à prévoir, l’Acte de Genève pourrait déjà entrer en vigueur au cours de l’exercice biennal ou peu de temps après.</w:t>
      </w:r>
      <w:r w:rsidRPr="00A32AF4">
        <w:rPr>
          <w:rFonts w:ascii="Arial" w:hAnsi="Arial"/>
        </w:rPr>
        <w:t xml:space="preserve">  </w:t>
      </w:r>
      <w:r w:rsidRPr="00A32AF4">
        <w:rPr>
          <w:rFonts w:ascii="Arial" w:hAnsi="Arial" w:cs="Arial"/>
        </w:rPr>
        <w:t>Par conséquent, étant donné que l’Acte de Genève coexistera avec l’Arrangement de Lisbonne actuel tant que tous les États membres de l’Arrangement de Lisbonne n’y auront pas adhéré, des dispositions devront être prises en vue de l’adoption d’un règlement d’exécution commun à ces deux instruments.</w:t>
      </w:r>
    </w:p>
    <w:p w:rsidR="00A62724" w:rsidRPr="00A32AF4" w:rsidRDefault="00A62724" w:rsidP="00A62724">
      <w:pPr>
        <w:pStyle w:val="ListParagraph"/>
        <w:tabs>
          <w:tab w:val="left" w:pos="567"/>
        </w:tabs>
        <w:spacing w:after="0" w:line="240" w:lineRule="auto"/>
        <w:ind w:left="0"/>
        <w:jc w:val="both"/>
        <w:rPr>
          <w:rFonts w:ascii="Arial" w:hAnsi="Arial" w:cs="Arial"/>
        </w:rPr>
      </w:pPr>
    </w:p>
    <w:p w:rsidR="00A62724" w:rsidRPr="00A32AF4" w:rsidRDefault="00A62724" w:rsidP="00A62724">
      <w:pPr>
        <w:pStyle w:val="ListParagraph"/>
        <w:numPr>
          <w:ilvl w:val="0"/>
          <w:numId w:val="91"/>
        </w:numPr>
        <w:tabs>
          <w:tab w:val="left" w:pos="567"/>
        </w:tabs>
        <w:spacing w:after="0" w:line="240" w:lineRule="auto"/>
        <w:ind w:left="0" w:firstLine="0"/>
        <w:contextualSpacing w:val="0"/>
        <w:jc w:val="both"/>
        <w:rPr>
          <w:rFonts w:ascii="Arial" w:hAnsi="Arial" w:cs="Arial"/>
        </w:rPr>
      </w:pPr>
      <w:r w:rsidRPr="00A32AF4">
        <w:rPr>
          <w:rFonts w:ascii="Arial" w:hAnsi="Arial" w:cs="Arial"/>
        </w:rPr>
        <w:t>L’élaboration d’un futur règlement d’exécution commun sera également l’occasion de procéder à un examen critique des procédures d’administration actuelles et de développer davantage les outils de notification et de publication pour un maximum d’efficacité.</w:t>
      </w:r>
    </w:p>
    <w:p w:rsidR="00A62724" w:rsidRPr="00A32AF4" w:rsidRDefault="00A62724" w:rsidP="00A62724">
      <w:pPr>
        <w:pStyle w:val="ListParagraph"/>
        <w:tabs>
          <w:tab w:val="left" w:pos="567"/>
        </w:tabs>
        <w:spacing w:after="0" w:line="240" w:lineRule="auto"/>
        <w:ind w:left="0"/>
        <w:jc w:val="both"/>
        <w:rPr>
          <w:rFonts w:ascii="Arial" w:hAnsi="Arial" w:cs="Arial"/>
        </w:rPr>
      </w:pPr>
    </w:p>
    <w:p w:rsidR="00A62724" w:rsidRPr="00A32AF4" w:rsidRDefault="00A62724" w:rsidP="00A62724">
      <w:pPr>
        <w:pStyle w:val="ListParagraph"/>
        <w:numPr>
          <w:ilvl w:val="0"/>
          <w:numId w:val="91"/>
        </w:numPr>
        <w:tabs>
          <w:tab w:val="left" w:pos="567"/>
        </w:tabs>
        <w:spacing w:after="0" w:line="240" w:lineRule="auto"/>
        <w:ind w:left="0" w:firstLine="0"/>
        <w:contextualSpacing w:val="0"/>
        <w:jc w:val="both"/>
        <w:rPr>
          <w:rFonts w:ascii="Arial" w:hAnsi="Arial" w:cs="Arial"/>
        </w:rPr>
      </w:pPr>
      <w:r w:rsidRPr="00A32AF4">
        <w:rPr>
          <w:rFonts w:ascii="Arial" w:hAnsi="Arial" w:cs="Arial"/>
        </w:rPr>
        <w:t>En outre, une assistance technique sera fournie aux États membres et aux organisations régionales concernées, notamment aux pays en développement et aux pays les moins avancés, qui souhaiteront adhérer au système de Lisbonne.  Dans ce même contexte, des campagnes d’information et des activités de formation supplémentaires seront organisées pour promouvoir davantage l’utilisation du système.</w:t>
      </w:r>
    </w:p>
    <w:p w:rsidR="00A62724" w:rsidRPr="00A32AF4" w:rsidRDefault="00A62724" w:rsidP="00A62724">
      <w:pPr>
        <w:pStyle w:val="ListParagraph"/>
        <w:tabs>
          <w:tab w:val="left" w:pos="567"/>
        </w:tabs>
        <w:spacing w:after="0" w:line="240" w:lineRule="auto"/>
        <w:ind w:left="0"/>
        <w:jc w:val="both"/>
        <w:rPr>
          <w:rFonts w:ascii="Arial" w:hAnsi="Arial" w:cs="Arial"/>
        </w:rPr>
      </w:pPr>
    </w:p>
    <w:p w:rsidR="00A62724" w:rsidRPr="00A32AF4" w:rsidRDefault="00A62724" w:rsidP="00A62724">
      <w:pPr>
        <w:pStyle w:val="ListParagraph"/>
        <w:numPr>
          <w:ilvl w:val="0"/>
          <w:numId w:val="91"/>
        </w:numPr>
        <w:tabs>
          <w:tab w:val="left" w:pos="567"/>
        </w:tabs>
        <w:spacing w:after="0" w:line="240" w:lineRule="auto"/>
        <w:ind w:left="0" w:firstLine="0"/>
        <w:contextualSpacing w:val="0"/>
        <w:jc w:val="both"/>
        <w:rPr>
          <w:rFonts w:ascii="Arial" w:hAnsi="Arial" w:cs="Arial"/>
        </w:rPr>
      </w:pPr>
      <w:r w:rsidRPr="00A32AF4">
        <w:rPr>
          <w:rFonts w:ascii="Arial" w:hAnsi="Arial" w:cs="Arial"/>
        </w:rPr>
        <w:t>Depuis 1967, le nombre moyen de demandes internationales et toutes autres demandes d’inscription au registre international en vertu du système de Lisbonne est d’environ 25 transactions par an, avec toutefois de larges variations entre les années (par exemple, sept demandes d’inscription de transactions ont été reçues en 2009 contre 596 en 2007).  Le nombre de transactions était considérablement plus élevé en 2014 (121) et il devrait également être supérieur à la moyenne en 2015.  Dans la perspective de l’éventuelle entrée en vigueur de l’Acte de Genève et de nouvelles adhésions, les activités en matière d’enregistrement devraient maintenir un rythme aussi élevé durant les années à venir.</w:t>
      </w:r>
    </w:p>
    <w:p w:rsidR="00FB42D0" w:rsidRPr="00A32AF4" w:rsidRDefault="00FB42D0" w:rsidP="00FB42D0"/>
    <w:p w:rsidR="00A62724" w:rsidRPr="00A32AF4" w:rsidRDefault="00A62724" w:rsidP="00A62724">
      <w:pPr>
        <w:pStyle w:val="ListParagraph"/>
        <w:numPr>
          <w:ilvl w:val="0"/>
          <w:numId w:val="91"/>
        </w:numPr>
        <w:tabs>
          <w:tab w:val="left" w:pos="567"/>
        </w:tabs>
        <w:spacing w:after="0" w:line="240" w:lineRule="auto"/>
        <w:ind w:left="0" w:firstLine="0"/>
        <w:contextualSpacing w:val="0"/>
        <w:jc w:val="both"/>
        <w:rPr>
          <w:rFonts w:ascii="Arial" w:hAnsi="Arial" w:cs="Arial"/>
        </w:rPr>
      </w:pPr>
      <w:r w:rsidRPr="00A32AF4">
        <w:rPr>
          <w:rFonts w:ascii="Arial" w:hAnsi="Arial" w:cs="Arial"/>
        </w:rPr>
        <w:t>Le programme 32 collabore essentiellement avec les programmes indiqués ci</w:t>
      </w:r>
      <w:r w:rsidRPr="00A32AF4">
        <w:rPr>
          <w:rFonts w:ascii="Arial" w:hAnsi="Arial" w:cs="Arial"/>
        </w:rPr>
        <w:noBreakHyphen/>
        <w:t>dessous :</w:t>
      </w:r>
    </w:p>
    <w:p w:rsidR="00A62724" w:rsidRPr="00A32AF4" w:rsidRDefault="00A62724" w:rsidP="00A62724">
      <w:pPr>
        <w:jc w:val="both"/>
        <w:rPr>
          <w:rFonts w:cs="Arial"/>
        </w:rPr>
      </w:pPr>
      <w:r w:rsidRPr="00A32AF4">
        <w:rPr>
          <w:noProof/>
          <w:lang w:eastAsia="fr-FR"/>
        </w:rPr>
        <w:drawing>
          <wp:anchor distT="0" distB="0" distL="114300" distR="114300" simplePos="0" relativeHeight="251669504" behindDoc="0" locked="0" layoutInCell="1" allowOverlap="1" wp14:anchorId="3458CEEC" wp14:editId="4E06F885">
            <wp:simplePos x="0" y="0"/>
            <wp:positionH relativeFrom="column">
              <wp:posOffset>-1905</wp:posOffset>
            </wp:positionH>
            <wp:positionV relativeFrom="paragraph">
              <wp:posOffset>292100</wp:posOffset>
            </wp:positionV>
            <wp:extent cx="5486400" cy="1657350"/>
            <wp:effectExtent l="0" t="57150" r="0" b="0"/>
            <wp:wrapTopAndBottom/>
            <wp:docPr id="967" name="Diagram 96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3" r:lo="rId74" r:qs="rId75" r:cs="rId76"/>
              </a:graphicData>
            </a:graphic>
            <wp14:sizeRelH relativeFrom="page">
              <wp14:pctWidth>0</wp14:pctWidth>
            </wp14:sizeRelH>
            <wp14:sizeRelV relativeFrom="page">
              <wp14:pctHeight>0</wp14:pctHeight>
            </wp14:sizeRelV>
          </wp:anchor>
        </w:drawing>
      </w:r>
    </w:p>
    <w:p w:rsidR="00A62724" w:rsidRPr="00A32AF4" w:rsidRDefault="00A62724" w:rsidP="00A62724">
      <w:pPr>
        <w:rPr>
          <w:rFonts w:cs="Arial"/>
        </w:rPr>
      </w:pPr>
    </w:p>
    <w:p w:rsidR="00A62724" w:rsidRPr="00A32AF4" w:rsidRDefault="00A62724">
      <w:pPr>
        <w:rPr>
          <w:rFonts w:cs="Arial"/>
        </w:rPr>
      </w:pPr>
      <w:r w:rsidRPr="00A32AF4">
        <w:rPr>
          <w:rFonts w:cs="Arial"/>
        </w:rPr>
        <w:br w:type="page"/>
      </w:r>
    </w:p>
    <w:p w:rsidR="00A62724" w:rsidRPr="00A32AF4" w:rsidRDefault="00A62724" w:rsidP="00A62724">
      <w:pPr>
        <w:rPr>
          <w:rFonts w:cs="Arial"/>
        </w:rPr>
      </w:pPr>
      <w:r w:rsidRPr="00A32AF4">
        <w:rPr>
          <w:rFonts w:cs="Arial"/>
        </w:rPr>
        <w:t>TABLEAU DES RÉSULTATS</w:t>
      </w:r>
    </w:p>
    <w:p w:rsidR="00A62724" w:rsidRPr="00A32AF4" w:rsidRDefault="00A62724" w:rsidP="00A62724">
      <w:pPr>
        <w:jc w:val="both"/>
        <w:rPr>
          <w:rFonts w:cs="Arial"/>
        </w:rPr>
      </w:pPr>
    </w:p>
    <w:tbl>
      <w:tblPr>
        <w:tblW w:w="9195" w:type="dxa"/>
        <w:tblInd w:w="9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40"/>
        <w:gridCol w:w="2340"/>
        <w:gridCol w:w="2340"/>
        <w:gridCol w:w="2175"/>
      </w:tblGrid>
      <w:tr w:rsidR="00A62724" w:rsidRPr="00A32AF4" w:rsidTr="000F45B2">
        <w:trPr>
          <w:cantSplit/>
          <w:tblHeader/>
        </w:trPr>
        <w:tc>
          <w:tcPr>
            <w:tcW w:w="2340" w:type="dxa"/>
            <w:tcBorders>
              <w:top w:val="single" w:sz="4" w:space="0" w:color="auto"/>
              <w:bottom w:val="single" w:sz="4" w:space="0" w:color="auto"/>
            </w:tcBorders>
            <w:shd w:val="clear" w:color="auto" w:fill="C6D9F1" w:themeFill="text2" w:themeFillTint="33"/>
            <w:tcMar>
              <w:top w:w="113" w:type="dxa"/>
              <w:bottom w:w="113" w:type="dxa"/>
            </w:tcMar>
            <w:vAlign w:val="center"/>
            <w:hideMark/>
          </w:tcPr>
          <w:p w:rsidR="00A62724" w:rsidRPr="00A32AF4" w:rsidRDefault="00A62724" w:rsidP="000F45B2">
            <w:pPr>
              <w:jc w:val="center"/>
              <w:rPr>
                <w:rFonts w:cs="Arial"/>
                <w:b/>
                <w:bCs/>
                <w:sz w:val="18"/>
                <w:szCs w:val="18"/>
              </w:rPr>
            </w:pPr>
            <w:r w:rsidRPr="00A32AF4">
              <w:rPr>
                <w:rFonts w:cs="Arial"/>
                <w:b/>
                <w:bCs/>
                <w:sz w:val="18"/>
                <w:szCs w:val="18"/>
              </w:rPr>
              <w:t>Résultats escomptés</w:t>
            </w:r>
          </w:p>
        </w:tc>
        <w:tc>
          <w:tcPr>
            <w:tcW w:w="2340" w:type="dxa"/>
            <w:tcBorders>
              <w:top w:val="single" w:sz="4" w:space="0" w:color="auto"/>
              <w:bottom w:val="single" w:sz="4" w:space="0" w:color="auto"/>
            </w:tcBorders>
            <w:shd w:val="clear" w:color="auto" w:fill="C6D9F1" w:themeFill="text2" w:themeFillTint="33"/>
            <w:tcMar>
              <w:top w:w="113" w:type="dxa"/>
              <w:bottom w:w="113" w:type="dxa"/>
            </w:tcMar>
            <w:vAlign w:val="center"/>
            <w:hideMark/>
          </w:tcPr>
          <w:p w:rsidR="00A62724" w:rsidRPr="00A32AF4" w:rsidRDefault="00A62724" w:rsidP="000F45B2">
            <w:pPr>
              <w:jc w:val="center"/>
              <w:rPr>
                <w:rFonts w:cs="Arial"/>
                <w:b/>
                <w:bCs/>
                <w:sz w:val="18"/>
                <w:szCs w:val="18"/>
              </w:rPr>
            </w:pPr>
            <w:r w:rsidRPr="00A32AF4">
              <w:rPr>
                <w:rFonts w:cs="Arial"/>
                <w:b/>
                <w:bCs/>
                <w:sz w:val="18"/>
                <w:szCs w:val="18"/>
              </w:rPr>
              <w:t>Indicateurs d’exécution</w:t>
            </w:r>
          </w:p>
        </w:tc>
        <w:tc>
          <w:tcPr>
            <w:tcW w:w="2340" w:type="dxa"/>
            <w:tcBorders>
              <w:top w:val="single" w:sz="4" w:space="0" w:color="auto"/>
              <w:bottom w:val="single" w:sz="4" w:space="0" w:color="auto"/>
            </w:tcBorders>
            <w:shd w:val="clear" w:color="auto" w:fill="C6D9F1" w:themeFill="text2" w:themeFillTint="33"/>
            <w:tcMar>
              <w:top w:w="113" w:type="dxa"/>
              <w:bottom w:w="113" w:type="dxa"/>
            </w:tcMar>
            <w:vAlign w:val="center"/>
            <w:hideMark/>
          </w:tcPr>
          <w:p w:rsidR="00A62724" w:rsidRPr="00A32AF4" w:rsidRDefault="00A62724" w:rsidP="000F45B2">
            <w:pPr>
              <w:jc w:val="center"/>
              <w:rPr>
                <w:rFonts w:cs="Arial"/>
                <w:b/>
                <w:bCs/>
                <w:sz w:val="18"/>
                <w:szCs w:val="18"/>
              </w:rPr>
            </w:pPr>
            <w:r w:rsidRPr="00A32AF4">
              <w:rPr>
                <w:rFonts w:cs="Arial"/>
                <w:b/>
                <w:bCs/>
                <w:sz w:val="18"/>
                <w:szCs w:val="18"/>
              </w:rPr>
              <w:t>Niveaux de référence</w:t>
            </w:r>
          </w:p>
        </w:tc>
        <w:tc>
          <w:tcPr>
            <w:tcW w:w="2175" w:type="dxa"/>
            <w:tcBorders>
              <w:top w:val="single" w:sz="4" w:space="0" w:color="auto"/>
              <w:bottom w:val="single" w:sz="4" w:space="0" w:color="auto"/>
            </w:tcBorders>
            <w:shd w:val="clear" w:color="auto" w:fill="C6D9F1" w:themeFill="text2" w:themeFillTint="33"/>
            <w:tcMar>
              <w:top w:w="113" w:type="dxa"/>
              <w:bottom w:w="113" w:type="dxa"/>
            </w:tcMar>
            <w:vAlign w:val="center"/>
            <w:hideMark/>
          </w:tcPr>
          <w:p w:rsidR="00A62724" w:rsidRPr="00A32AF4" w:rsidRDefault="00A62724" w:rsidP="000F45B2">
            <w:pPr>
              <w:jc w:val="center"/>
              <w:rPr>
                <w:rFonts w:cs="Arial"/>
                <w:b/>
                <w:bCs/>
                <w:sz w:val="18"/>
                <w:szCs w:val="18"/>
              </w:rPr>
            </w:pPr>
            <w:r w:rsidRPr="00A32AF4">
              <w:rPr>
                <w:rFonts w:cs="Arial"/>
                <w:b/>
                <w:bCs/>
                <w:sz w:val="18"/>
                <w:szCs w:val="18"/>
              </w:rPr>
              <w:t>Objectifs visés</w:t>
            </w:r>
          </w:p>
        </w:tc>
      </w:tr>
      <w:tr w:rsidR="00A62724" w:rsidRPr="00A32AF4" w:rsidTr="000F45B2">
        <w:trPr>
          <w:cantSplit/>
          <w:tblHeader/>
        </w:trPr>
        <w:tc>
          <w:tcPr>
            <w:tcW w:w="2340" w:type="dxa"/>
            <w:tcBorders>
              <w:top w:val="single" w:sz="4" w:space="0" w:color="auto"/>
              <w:bottom w:val="single" w:sz="4" w:space="0" w:color="auto"/>
            </w:tcBorders>
            <w:shd w:val="clear" w:color="auto" w:fill="auto"/>
            <w:tcMar>
              <w:top w:w="113" w:type="dxa"/>
              <w:bottom w:w="113" w:type="dxa"/>
            </w:tcMar>
          </w:tcPr>
          <w:p w:rsidR="00A62724" w:rsidRPr="00A32AF4" w:rsidRDefault="00A62724" w:rsidP="00A62724">
            <w:pPr>
              <w:rPr>
                <w:sz w:val="16"/>
                <w:szCs w:val="16"/>
              </w:rPr>
            </w:pPr>
            <w:r w:rsidRPr="00A32AF4">
              <w:rPr>
                <w:sz w:val="16"/>
                <w:szCs w:val="16"/>
              </w:rPr>
              <w:t>II.10 Utilisation élargie et plus efficace du système de Lisbonne, notamment par les pays en développement et les PMA</w:t>
            </w:r>
          </w:p>
        </w:tc>
        <w:tc>
          <w:tcPr>
            <w:tcW w:w="2340" w:type="dxa"/>
            <w:tcBorders>
              <w:top w:val="single" w:sz="4" w:space="0" w:color="auto"/>
              <w:bottom w:val="single" w:sz="4" w:space="0" w:color="auto"/>
            </w:tcBorders>
            <w:shd w:val="clear" w:color="auto" w:fill="auto"/>
            <w:tcMar>
              <w:top w:w="113" w:type="dxa"/>
              <w:bottom w:w="113" w:type="dxa"/>
            </w:tcMar>
          </w:tcPr>
          <w:p w:rsidR="00A62724" w:rsidRPr="00A32AF4" w:rsidRDefault="00A62724" w:rsidP="000F45B2">
            <w:pPr>
              <w:rPr>
                <w:sz w:val="16"/>
                <w:szCs w:val="16"/>
              </w:rPr>
            </w:pPr>
            <w:r w:rsidRPr="00A32AF4">
              <w:rPr>
                <w:sz w:val="16"/>
                <w:szCs w:val="16"/>
              </w:rPr>
              <w:t xml:space="preserve">Extension de la portée géographique du système de Lisbonne </w:t>
            </w:r>
          </w:p>
        </w:tc>
        <w:tc>
          <w:tcPr>
            <w:tcW w:w="2340" w:type="dxa"/>
            <w:tcBorders>
              <w:top w:val="single" w:sz="4" w:space="0" w:color="auto"/>
              <w:bottom w:val="single" w:sz="4" w:space="0" w:color="auto"/>
            </w:tcBorders>
            <w:shd w:val="clear" w:color="auto" w:fill="auto"/>
            <w:tcMar>
              <w:top w:w="113" w:type="dxa"/>
              <w:bottom w:w="113" w:type="dxa"/>
            </w:tcMar>
          </w:tcPr>
          <w:p w:rsidR="00A62724" w:rsidRPr="00A32AF4" w:rsidRDefault="00A62724" w:rsidP="000F45B2">
            <w:pPr>
              <w:rPr>
                <w:sz w:val="16"/>
                <w:szCs w:val="16"/>
              </w:rPr>
            </w:pPr>
            <w:r w:rsidRPr="00A32AF4">
              <w:rPr>
                <w:sz w:val="16"/>
                <w:szCs w:val="16"/>
              </w:rPr>
              <w:t xml:space="preserve">Nombre de parties contractantes à l’Acte de Genève fin 2015 </w:t>
            </w:r>
          </w:p>
        </w:tc>
        <w:tc>
          <w:tcPr>
            <w:tcW w:w="2175" w:type="dxa"/>
            <w:tcBorders>
              <w:top w:val="single" w:sz="4" w:space="0" w:color="auto"/>
              <w:bottom w:val="single" w:sz="4" w:space="0" w:color="auto"/>
            </w:tcBorders>
            <w:shd w:val="clear" w:color="auto" w:fill="auto"/>
            <w:tcMar>
              <w:top w:w="113" w:type="dxa"/>
              <w:bottom w:w="113" w:type="dxa"/>
            </w:tcMar>
          </w:tcPr>
          <w:p w:rsidR="00A62724" w:rsidRPr="00A32AF4" w:rsidRDefault="00A62724" w:rsidP="000F45B2">
            <w:pPr>
              <w:rPr>
                <w:sz w:val="16"/>
                <w:szCs w:val="16"/>
              </w:rPr>
            </w:pPr>
            <w:r w:rsidRPr="00A32AF4">
              <w:rPr>
                <w:sz w:val="16"/>
                <w:szCs w:val="16"/>
              </w:rPr>
              <w:t xml:space="preserve">Jusqu’à cinq parties contractantes à l’Acte de Genève d’ici fin 2017 </w:t>
            </w:r>
          </w:p>
        </w:tc>
      </w:tr>
      <w:tr w:rsidR="00A62724" w:rsidRPr="00A32AF4" w:rsidTr="00A62724">
        <w:trPr>
          <w:cantSplit/>
          <w:tblHeader/>
        </w:trPr>
        <w:tc>
          <w:tcPr>
            <w:tcW w:w="2340" w:type="dxa"/>
            <w:tcBorders>
              <w:top w:val="single" w:sz="4" w:space="0" w:color="auto"/>
              <w:left w:val="single" w:sz="4" w:space="0" w:color="auto"/>
              <w:bottom w:val="single" w:sz="4" w:space="0" w:color="auto"/>
            </w:tcBorders>
            <w:shd w:val="clear" w:color="auto" w:fill="auto"/>
            <w:tcMar>
              <w:top w:w="113" w:type="dxa"/>
              <w:bottom w:w="113" w:type="dxa"/>
            </w:tcMar>
          </w:tcPr>
          <w:p w:rsidR="00A62724" w:rsidRPr="00A32AF4" w:rsidRDefault="00A62724" w:rsidP="000F45B2">
            <w:pPr>
              <w:rPr>
                <w:sz w:val="16"/>
                <w:szCs w:val="16"/>
              </w:rPr>
            </w:pPr>
            <w:r w:rsidRPr="00A32AF4">
              <w:rPr>
                <w:sz w:val="16"/>
                <w:szCs w:val="16"/>
              </w:rPr>
              <w:t> </w:t>
            </w:r>
          </w:p>
        </w:tc>
        <w:tc>
          <w:tcPr>
            <w:tcW w:w="2340" w:type="dxa"/>
            <w:tcBorders>
              <w:top w:val="single" w:sz="4" w:space="0" w:color="auto"/>
              <w:bottom w:val="single" w:sz="4" w:space="0" w:color="auto"/>
            </w:tcBorders>
            <w:shd w:val="clear" w:color="auto" w:fill="auto"/>
            <w:tcMar>
              <w:top w:w="113" w:type="dxa"/>
              <w:bottom w:w="113" w:type="dxa"/>
            </w:tcMar>
          </w:tcPr>
          <w:p w:rsidR="00A62724" w:rsidRPr="00A32AF4" w:rsidRDefault="00A62724" w:rsidP="000F45B2">
            <w:pPr>
              <w:rPr>
                <w:sz w:val="16"/>
                <w:szCs w:val="16"/>
              </w:rPr>
            </w:pPr>
            <w:r w:rsidRPr="00A32AF4">
              <w:rPr>
                <w:sz w:val="16"/>
                <w:szCs w:val="16"/>
              </w:rPr>
              <w:t>Pourcentage de participants à des manifestations associées au système de Lisbonne qui font part de leur satisfaction et d’une meilleure compréhension du système à la suite d’une manifestation</w:t>
            </w:r>
          </w:p>
        </w:tc>
        <w:tc>
          <w:tcPr>
            <w:tcW w:w="2340" w:type="dxa"/>
            <w:tcBorders>
              <w:top w:val="single" w:sz="4" w:space="0" w:color="auto"/>
              <w:bottom w:val="single" w:sz="4" w:space="0" w:color="auto"/>
            </w:tcBorders>
            <w:shd w:val="clear" w:color="auto" w:fill="auto"/>
            <w:tcMar>
              <w:top w:w="113" w:type="dxa"/>
              <w:bottom w:w="113" w:type="dxa"/>
            </w:tcMar>
          </w:tcPr>
          <w:p w:rsidR="00A62724" w:rsidRPr="00A32AF4" w:rsidRDefault="00A62724" w:rsidP="000F45B2">
            <w:pPr>
              <w:rPr>
                <w:sz w:val="16"/>
                <w:szCs w:val="16"/>
              </w:rPr>
            </w:pPr>
            <w:r w:rsidRPr="00A32AF4">
              <w:rPr>
                <w:sz w:val="16"/>
                <w:szCs w:val="16"/>
              </w:rPr>
              <w:t xml:space="preserve">84% de participants satisfaits après cinq manifestations (2014) </w:t>
            </w:r>
          </w:p>
        </w:tc>
        <w:tc>
          <w:tcPr>
            <w:tcW w:w="2175" w:type="dxa"/>
            <w:tcBorders>
              <w:top w:val="single" w:sz="4" w:space="0" w:color="auto"/>
              <w:bottom w:val="single" w:sz="4" w:space="0" w:color="auto"/>
              <w:right w:val="single" w:sz="4" w:space="0" w:color="auto"/>
            </w:tcBorders>
            <w:shd w:val="clear" w:color="auto" w:fill="auto"/>
            <w:tcMar>
              <w:top w:w="113" w:type="dxa"/>
              <w:bottom w:w="113" w:type="dxa"/>
            </w:tcMar>
          </w:tcPr>
          <w:p w:rsidR="00A62724" w:rsidRPr="00A32AF4" w:rsidRDefault="00A62724" w:rsidP="000F45B2">
            <w:pPr>
              <w:rPr>
                <w:sz w:val="16"/>
                <w:szCs w:val="16"/>
              </w:rPr>
            </w:pPr>
            <w:r w:rsidRPr="00A32AF4">
              <w:rPr>
                <w:sz w:val="16"/>
                <w:szCs w:val="16"/>
              </w:rPr>
              <w:t>85% de participants satisfaits</w:t>
            </w:r>
          </w:p>
        </w:tc>
      </w:tr>
      <w:tr w:rsidR="00A62724" w:rsidRPr="00A32AF4" w:rsidTr="00A62724">
        <w:trPr>
          <w:cantSplit/>
          <w:tblHeader/>
        </w:trPr>
        <w:tc>
          <w:tcPr>
            <w:tcW w:w="2340" w:type="dxa"/>
            <w:tcBorders>
              <w:top w:val="single" w:sz="4" w:space="0" w:color="auto"/>
              <w:left w:val="single" w:sz="4" w:space="0" w:color="auto"/>
              <w:bottom w:val="single" w:sz="4" w:space="0" w:color="auto"/>
            </w:tcBorders>
            <w:shd w:val="clear" w:color="auto" w:fill="auto"/>
            <w:tcMar>
              <w:top w:w="113" w:type="dxa"/>
              <w:bottom w:w="113" w:type="dxa"/>
            </w:tcMar>
          </w:tcPr>
          <w:p w:rsidR="00A62724" w:rsidRPr="00A32AF4" w:rsidRDefault="00A62724" w:rsidP="000F45B2">
            <w:pPr>
              <w:rPr>
                <w:sz w:val="16"/>
                <w:szCs w:val="16"/>
              </w:rPr>
            </w:pPr>
            <w:r w:rsidRPr="00A32AF4">
              <w:rPr>
                <w:sz w:val="16"/>
                <w:szCs w:val="16"/>
              </w:rPr>
              <w:t> </w:t>
            </w:r>
          </w:p>
        </w:tc>
        <w:tc>
          <w:tcPr>
            <w:tcW w:w="2340" w:type="dxa"/>
            <w:tcBorders>
              <w:top w:val="single" w:sz="4" w:space="0" w:color="auto"/>
              <w:bottom w:val="single" w:sz="4" w:space="0" w:color="auto"/>
            </w:tcBorders>
            <w:shd w:val="clear" w:color="auto" w:fill="auto"/>
            <w:tcMar>
              <w:top w:w="113" w:type="dxa"/>
              <w:bottom w:w="113" w:type="dxa"/>
            </w:tcMar>
          </w:tcPr>
          <w:p w:rsidR="00A62724" w:rsidRPr="00A32AF4" w:rsidRDefault="00A62724" w:rsidP="000F45B2">
            <w:pPr>
              <w:rPr>
                <w:sz w:val="16"/>
                <w:szCs w:val="16"/>
              </w:rPr>
            </w:pPr>
            <w:r w:rsidRPr="00A32AF4">
              <w:rPr>
                <w:sz w:val="16"/>
                <w:szCs w:val="16"/>
              </w:rPr>
              <w:t>Nombre de demandes internationales et d’autres transactions (Lisbonne)</w:t>
            </w:r>
          </w:p>
        </w:tc>
        <w:tc>
          <w:tcPr>
            <w:tcW w:w="2340" w:type="dxa"/>
            <w:tcBorders>
              <w:top w:val="single" w:sz="4" w:space="0" w:color="auto"/>
              <w:bottom w:val="single" w:sz="4" w:space="0" w:color="auto"/>
            </w:tcBorders>
            <w:shd w:val="clear" w:color="auto" w:fill="auto"/>
            <w:tcMar>
              <w:top w:w="113" w:type="dxa"/>
              <w:bottom w:w="113" w:type="dxa"/>
            </w:tcMar>
          </w:tcPr>
          <w:p w:rsidR="00A62724" w:rsidRPr="00A32AF4" w:rsidRDefault="00A62724" w:rsidP="000F45B2">
            <w:pPr>
              <w:rPr>
                <w:sz w:val="16"/>
                <w:szCs w:val="16"/>
              </w:rPr>
            </w:pPr>
            <w:r w:rsidRPr="00A32AF4">
              <w:rPr>
                <w:sz w:val="16"/>
                <w:szCs w:val="16"/>
              </w:rPr>
              <w:t>121 transactions en 2014 :</w:t>
            </w:r>
            <w:r w:rsidRPr="00A32AF4">
              <w:rPr>
                <w:sz w:val="16"/>
                <w:szCs w:val="16"/>
              </w:rPr>
              <w:br/>
            </w:r>
            <w:r w:rsidRPr="00A32AF4">
              <w:rPr>
                <w:sz w:val="16"/>
                <w:szCs w:val="16"/>
              </w:rPr>
              <w:noBreakHyphen/>
              <w:t xml:space="preserve"> 80 demandes internationales </w:t>
            </w:r>
            <w:r w:rsidRPr="00A32AF4">
              <w:rPr>
                <w:sz w:val="16"/>
                <w:szCs w:val="16"/>
              </w:rPr>
              <w:br/>
            </w:r>
            <w:r w:rsidRPr="00A32AF4">
              <w:rPr>
                <w:sz w:val="16"/>
                <w:szCs w:val="16"/>
              </w:rPr>
              <w:noBreakHyphen/>
              <w:t xml:space="preserve"> 26 déclarations d’octroi de la protection</w:t>
            </w:r>
            <w:r w:rsidRPr="00A32AF4">
              <w:rPr>
                <w:sz w:val="16"/>
                <w:szCs w:val="16"/>
              </w:rPr>
              <w:br/>
            </w:r>
            <w:r w:rsidRPr="00A32AF4">
              <w:rPr>
                <w:sz w:val="16"/>
                <w:szCs w:val="16"/>
              </w:rPr>
              <w:noBreakHyphen/>
              <w:t xml:space="preserve"> 15 déclarations de refus</w:t>
            </w:r>
          </w:p>
        </w:tc>
        <w:tc>
          <w:tcPr>
            <w:tcW w:w="2175" w:type="dxa"/>
            <w:tcBorders>
              <w:top w:val="single" w:sz="4" w:space="0" w:color="auto"/>
              <w:bottom w:val="single" w:sz="4" w:space="0" w:color="auto"/>
              <w:right w:val="single" w:sz="4" w:space="0" w:color="auto"/>
            </w:tcBorders>
            <w:shd w:val="clear" w:color="auto" w:fill="auto"/>
            <w:tcMar>
              <w:top w:w="113" w:type="dxa"/>
              <w:bottom w:w="113" w:type="dxa"/>
            </w:tcMar>
          </w:tcPr>
          <w:p w:rsidR="00A62724" w:rsidRPr="00A32AF4" w:rsidRDefault="00A62724" w:rsidP="000F45B2">
            <w:pPr>
              <w:rPr>
                <w:sz w:val="16"/>
                <w:szCs w:val="16"/>
              </w:rPr>
            </w:pPr>
            <w:r w:rsidRPr="00A32AF4">
              <w:rPr>
                <w:sz w:val="16"/>
                <w:szCs w:val="16"/>
              </w:rPr>
              <w:t>100 transactions en 2016</w:t>
            </w:r>
            <w:r w:rsidRPr="00A32AF4">
              <w:rPr>
                <w:sz w:val="16"/>
                <w:szCs w:val="16"/>
              </w:rPr>
              <w:noBreakHyphen/>
              <w:t>2017</w:t>
            </w:r>
            <w:r w:rsidRPr="00A32AF4">
              <w:rPr>
                <w:sz w:val="16"/>
                <w:szCs w:val="16"/>
              </w:rPr>
              <w:br/>
            </w:r>
            <w:r w:rsidRPr="00A32AF4">
              <w:rPr>
                <w:sz w:val="16"/>
                <w:szCs w:val="16"/>
              </w:rPr>
              <w:noBreakHyphen/>
              <w:t xml:space="preserve"> 20 nouvelles demandes internationales (par an</w:t>
            </w:r>
            <w:proofErr w:type="gramStart"/>
            <w:r w:rsidRPr="00A32AF4">
              <w:rPr>
                <w:sz w:val="16"/>
                <w:szCs w:val="16"/>
              </w:rPr>
              <w:t>)</w:t>
            </w:r>
            <w:proofErr w:type="gramEnd"/>
            <w:r w:rsidRPr="00A32AF4">
              <w:rPr>
                <w:sz w:val="16"/>
                <w:szCs w:val="16"/>
              </w:rPr>
              <w:br/>
            </w:r>
            <w:r w:rsidRPr="00A32AF4">
              <w:rPr>
                <w:sz w:val="16"/>
                <w:szCs w:val="16"/>
              </w:rPr>
              <w:noBreakHyphen/>
              <w:t xml:space="preserve"> 60 déclarations d’octroi de la protection</w:t>
            </w:r>
            <w:r w:rsidRPr="00A32AF4">
              <w:rPr>
                <w:sz w:val="16"/>
                <w:szCs w:val="16"/>
              </w:rPr>
              <w:br/>
            </w:r>
            <w:r w:rsidRPr="00A32AF4">
              <w:rPr>
                <w:sz w:val="16"/>
                <w:szCs w:val="16"/>
              </w:rPr>
              <w:noBreakHyphen/>
              <w:t xml:space="preserve"> 20 déclarations de refus</w:t>
            </w:r>
          </w:p>
        </w:tc>
      </w:tr>
      <w:tr w:rsidR="00A62724" w:rsidRPr="00A32AF4" w:rsidTr="00A62724">
        <w:trPr>
          <w:cantSplit/>
          <w:tblHeader/>
        </w:trPr>
        <w:tc>
          <w:tcPr>
            <w:tcW w:w="2340" w:type="dxa"/>
            <w:tcBorders>
              <w:top w:val="single" w:sz="4" w:space="0" w:color="auto"/>
              <w:left w:val="single" w:sz="4" w:space="0" w:color="auto"/>
              <w:bottom w:val="single" w:sz="4" w:space="0" w:color="auto"/>
            </w:tcBorders>
            <w:shd w:val="clear" w:color="auto" w:fill="auto"/>
            <w:tcMar>
              <w:top w:w="113" w:type="dxa"/>
              <w:bottom w:w="113" w:type="dxa"/>
            </w:tcMar>
          </w:tcPr>
          <w:p w:rsidR="00A62724" w:rsidRPr="00A32AF4" w:rsidRDefault="00A62724" w:rsidP="000F45B2">
            <w:pPr>
              <w:rPr>
                <w:sz w:val="16"/>
                <w:szCs w:val="16"/>
              </w:rPr>
            </w:pPr>
            <w:r w:rsidRPr="00A32AF4">
              <w:rPr>
                <w:sz w:val="16"/>
                <w:szCs w:val="16"/>
              </w:rPr>
              <w:t> </w:t>
            </w:r>
          </w:p>
        </w:tc>
        <w:tc>
          <w:tcPr>
            <w:tcW w:w="2340" w:type="dxa"/>
            <w:tcBorders>
              <w:top w:val="single" w:sz="4" w:space="0" w:color="auto"/>
              <w:bottom w:val="single" w:sz="4" w:space="0" w:color="auto"/>
            </w:tcBorders>
            <w:shd w:val="clear" w:color="auto" w:fill="auto"/>
            <w:tcMar>
              <w:top w:w="113" w:type="dxa"/>
              <w:bottom w:w="113" w:type="dxa"/>
            </w:tcMar>
          </w:tcPr>
          <w:p w:rsidR="00A62724" w:rsidRPr="00A32AF4" w:rsidRDefault="00A62724" w:rsidP="000F45B2">
            <w:pPr>
              <w:rPr>
                <w:sz w:val="16"/>
                <w:szCs w:val="16"/>
              </w:rPr>
            </w:pPr>
            <w:r w:rsidRPr="00A32AF4">
              <w:rPr>
                <w:sz w:val="16"/>
                <w:szCs w:val="16"/>
              </w:rPr>
              <w:t xml:space="preserve">Nombre d’enregistrements internationaux en vigueur en vertu du système de Lisbonne concernant des pays en développement et des PMA (par rapport au nombre total) </w:t>
            </w:r>
          </w:p>
        </w:tc>
        <w:tc>
          <w:tcPr>
            <w:tcW w:w="2340" w:type="dxa"/>
            <w:tcBorders>
              <w:top w:val="single" w:sz="4" w:space="0" w:color="auto"/>
              <w:bottom w:val="single" w:sz="4" w:space="0" w:color="auto"/>
            </w:tcBorders>
            <w:shd w:val="clear" w:color="auto" w:fill="auto"/>
            <w:tcMar>
              <w:top w:w="113" w:type="dxa"/>
              <w:bottom w:w="113" w:type="dxa"/>
            </w:tcMar>
          </w:tcPr>
          <w:p w:rsidR="00A62724" w:rsidRPr="00A32AF4" w:rsidRDefault="00A62724" w:rsidP="000F45B2">
            <w:pPr>
              <w:rPr>
                <w:sz w:val="16"/>
                <w:szCs w:val="16"/>
              </w:rPr>
            </w:pPr>
            <w:r w:rsidRPr="00A32AF4">
              <w:rPr>
                <w:sz w:val="16"/>
                <w:szCs w:val="16"/>
              </w:rPr>
              <w:t>78 (sur 896</w:t>
            </w:r>
            <w:proofErr w:type="gramStart"/>
            <w:r w:rsidRPr="00A32AF4">
              <w:rPr>
                <w:sz w:val="16"/>
                <w:szCs w:val="16"/>
              </w:rPr>
              <w:t>)</w:t>
            </w:r>
            <w:proofErr w:type="gramEnd"/>
            <w:r w:rsidRPr="00A32AF4">
              <w:rPr>
                <w:sz w:val="16"/>
                <w:szCs w:val="16"/>
              </w:rPr>
              <w:br/>
              <w:t>(mars 2015)</w:t>
            </w:r>
          </w:p>
        </w:tc>
        <w:tc>
          <w:tcPr>
            <w:tcW w:w="2175" w:type="dxa"/>
            <w:tcBorders>
              <w:top w:val="single" w:sz="4" w:space="0" w:color="auto"/>
              <w:bottom w:val="single" w:sz="4" w:space="0" w:color="auto"/>
              <w:right w:val="single" w:sz="4" w:space="0" w:color="auto"/>
            </w:tcBorders>
            <w:shd w:val="clear" w:color="auto" w:fill="auto"/>
            <w:tcMar>
              <w:top w:w="113" w:type="dxa"/>
              <w:bottom w:w="113" w:type="dxa"/>
            </w:tcMar>
          </w:tcPr>
          <w:p w:rsidR="00A62724" w:rsidRPr="00A32AF4" w:rsidRDefault="00A62724" w:rsidP="000F45B2">
            <w:pPr>
              <w:rPr>
                <w:sz w:val="16"/>
                <w:szCs w:val="16"/>
              </w:rPr>
            </w:pPr>
            <w:r w:rsidRPr="00A32AF4">
              <w:rPr>
                <w:sz w:val="16"/>
                <w:szCs w:val="16"/>
              </w:rPr>
              <w:t>90 (sur 950)</w:t>
            </w:r>
          </w:p>
        </w:tc>
      </w:tr>
      <w:tr w:rsidR="00A62724" w:rsidRPr="00A32AF4" w:rsidTr="00A62724">
        <w:trPr>
          <w:cantSplit/>
          <w:tblHeader/>
        </w:trPr>
        <w:tc>
          <w:tcPr>
            <w:tcW w:w="2340" w:type="dxa"/>
            <w:tcBorders>
              <w:top w:val="single" w:sz="4" w:space="0" w:color="auto"/>
              <w:left w:val="single" w:sz="4" w:space="0" w:color="auto"/>
              <w:bottom w:val="single" w:sz="4" w:space="0" w:color="auto"/>
            </w:tcBorders>
            <w:shd w:val="clear" w:color="auto" w:fill="auto"/>
            <w:tcMar>
              <w:top w:w="113" w:type="dxa"/>
              <w:bottom w:w="113" w:type="dxa"/>
            </w:tcMar>
          </w:tcPr>
          <w:p w:rsidR="00A62724" w:rsidRPr="00A32AF4" w:rsidRDefault="00A62724" w:rsidP="00A62724">
            <w:pPr>
              <w:rPr>
                <w:sz w:val="16"/>
                <w:szCs w:val="16"/>
              </w:rPr>
            </w:pPr>
            <w:r w:rsidRPr="00A32AF4">
              <w:rPr>
                <w:sz w:val="16"/>
                <w:szCs w:val="16"/>
              </w:rPr>
              <w:t>II.11 Amélioration de la productivité et de la qualité de service des opérations du système de Lisbonne</w:t>
            </w:r>
          </w:p>
        </w:tc>
        <w:tc>
          <w:tcPr>
            <w:tcW w:w="2340" w:type="dxa"/>
            <w:tcBorders>
              <w:top w:val="single" w:sz="4" w:space="0" w:color="auto"/>
              <w:bottom w:val="single" w:sz="4" w:space="0" w:color="auto"/>
            </w:tcBorders>
            <w:shd w:val="clear" w:color="auto" w:fill="auto"/>
            <w:tcMar>
              <w:top w:w="113" w:type="dxa"/>
              <w:bottom w:w="113" w:type="dxa"/>
            </w:tcMar>
          </w:tcPr>
          <w:p w:rsidR="00A62724" w:rsidRPr="00A32AF4" w:rsidRDefault="00A62724" w:rsidP="000F45B2">
            <w:pPr>
              <w:rPr>
                <w:sz w:val="16"/>
                <w:szCs w:val="16"/>
              </w:rPr>
            </w:pPr>
            <w:r w:rsidRPr="00A32AF4">
              <w:rPr>
                <w:sz w:val="16"/>
                <w:szCs w:val="16"/>
              </w:rPr>
              <w:t>Adoption de dispositions rationalisant le cadre juridique du système de Lisbonne</w:t>
            </w:r>
          </w:p>
        </w:tc>
        <w:tc>
          <w:tcPr>
            <w:tcW w:w="2340" w:type="dxa"/>
            <w:tcBorders>
              <w:top w:val="single" w:sz="4" w:space="0" w:color="auto"/>
              <w:bottom w:val="single" w:sz="4" w:space="0" w:color="auto"/>
            </w:tcBorders>
            <w:shd w:val="clear" w:color="auto" w:fill="auto"/>
            <w:tcMar>
              <w:top w:w="113" w:type="dxa"/>
              <w:bottom w:w="113" w:type="dxa"/>
            </w:tcMar>
          </w:tcPr>
          <w:p w:rsidR="00A62724" w:rsidRPr="00A32AF4" w:rsidRDefault="00A62724" w:rsidP="000F45B2">
            <w:pPr>
              <w:rPr>
                <w:sz w:val="16"/>
                <w:szCs w:val="16"/>
              </w:rPr>
            </w:pPr>
            <w:r w:rsidRPr="00A32AF4">
              <w:rPr>
                <w:sz w:val="16"/>
                <w:szCs w:val="16"/>
              </w:rPr>
              <w:t xml:space="preserve">Cadre juridique actuel et cadre juridique de l’Acte de Genève de mai 2015 </w:t>
            </w:r>
          </w:p>
        </w:tc>
        <w:tc>
          <w:tcPr>
            <w:tcW w:w="2175" w:type="dxa"/>
            <w:tcBorders>
              <w:top w:val="single" w:sz="4" w:space="0" w:color="auto"/>
              <w:bottom w:val="single" w:sz="4" w:space="0" w:color="auto"/>
              <w:right w:val="single" w:sz="4" w:space="0" w:color="auto"/>
            </w:tcBorders>
            <w:shd w:val="clear" w:color="auto" w:fill="auto"/>
            <w:tcMar>
              <w:top w:w="113" w:type="dxa"/>
              <w:bottom w:w="113" w:type="dxa"/>
            </w:tcMar>
          </w:tcPr>
          <w:p w:rsidR="00A62724" w:rsidRPr="00A32AF4" w:rsidRDefault="00A62724" w:rsidP="000F45B2">
            <w:pPr>
              <w:rPr>
                <w:sz w:val="16"/>
                <w:szCs w:val="16"/>
              </w:rPr>
            </w:pPr>
            <w:r w:rsidRPr="00A32AF4">
              <w:rPr>
                <w:sz w:val="16"/>
                <w:szCs w:val="16"/>
              </w:rPr>
              <w:t xml:space="preserve">Adoption d’un règlement d’exécution commun selon l’Arrangement de Lisbonne et l’Acte de Genève </w:t>
            </w:r>
          </w:p>
        </w:tc>
      </w:tr>
      <w:tr w:rsidR="00A62724" w:rsidRPr="00A32AF4" w:rsidTr="00A62724">
        <w:trPr>
          <w:cantSplit/>
          <w:tblHeader/>
        </w:trPr>
        <w:tc>
          <w:tcPr>
            <w:tcW w:w="2340" w:type="dxa"/>
            <w:tcBorders>
              <w:top w:val="single" w:sz="4" w:space="0" w:color="auto"/>
              <w:left w:val="single" w:sz="4" w:space="0" w:color="auto"/>
              <w:bottom w:val="single" w:sz="4" w:space="0" w:color="auto"/>
            </w:tcBorders>
            <w:shd w:val="clear" w:color="auto" w:fill="auto"/>
            <w:tcMar>
              <w:top w:w="113" w:type="dxa"/>
              <w:bottom w:w="113" w:type="dxa"/>
            </w:tcMar>
          </w:tcPr>
          <w:p w:rsidR="00A62724" w:rsidRPr="00A32AF4" w:rsidRDefault="00A62724" w:rsidP="000F45B2">
            <w:pPr>
              <w:rPr>
                <w:sz w:val="16"/>
                <w:szCs w:val="16"/>
              </w:rPr>
            </w:pPr>
            <w:r w:rsidRPr="00A32AF4">
              <w:rPr>
                <w:sz w:val="16"/>
                <w:szCs w:val="16"/>
              </w:rPr>
              <w:t> </w:t>
            </w:r>
          </w:p>
        </w:tc>
        <w:tc>
          <w:tcPr>
            <w:tcW w:w="2340" w:type="dxa"/>
            <w:tcBorders>
              <w:top w:val="single" w:sz="4" w:space="0" w:color="auto"/>
              <w:bottom w:val="single" w:sz="4" w:space="0" w:color="auto"/>
            </w:tcBorders>
            <w:shd w:val="clear" w:color="auto" w:fill="auto"/>
            <w:tcMar>
              <w:top w:w="113" w:type="dxa"/>
              <w:bottom w:w="113" w:type="dxa"/>
            </w:tcMar>
          </w:tcPr>
          <w:p w:rsidR="00A62724" w:rsidRPr="00A32AF4" w:rsidRDefault="00A62724" w:rsidP="000F45B2">
            <w:pPr>
              <w:rPr>
                <w:sz w:val="16"/>
                <w:szCs w:val="16"/>
              </w:rPr>
            </w:pPr>
            <w:r w:rsidRPr="00A32AF4">
              <w:rPr>
                <w:sz w:val="16"/>
                <w:szCs w:val="16"/>
              </w:rPr>
              <w:t>Utilisation accrue des moyens électroniques pour l’envoi et le traitement des demandes internationales et d’autres transactions (Lisbonne)</w:t>
            </w:r>
          </w:p>
        </w:tc>
        <w:tc>
          <w:tcPr>
            <w:tcW w:w="2340" w:type="dxa"/>
            <w:tcBorders>
              <w:top w:val="single" w:sz="4" w:space="0" w:color="auto"/>
              <w:bottom w:val="single" w:sz="4" w:space="0" w:color="auto"/>
            </w:tcBorders>
            <w:shd w:val="clear" w:color="auto" w:fill="auto"/>
            <w:tcMar>
              <w:top w:w="113" w:type="dxa"/>
              <w:bottom w:w="113" w:type="dxa"/>
            </w:tcMar>
          </w:tcPr>
          <w:p w:rsidR="00A62724" w:rsidRPr="00A32AF4" w:rsidRDefault="00A62724" w:rsidP="000F45B2">
            <w:pPr>
              <w:rPr>
                <w:sz w:val="16"/>
                <w:szCs w:val="16"/>
              </w:rPr>
            </w:pPr>
            <w:r w:rsidRPr="00A32AF4">
              <w:rPr>
                <w:sz w:val="16"/>
                <w:szCs w:val="16"/>
              </w:rPr>
              <w:t xml:space="preserve">Outil de saisie des données actuel </w:t>
            </w:r>
            <w:r w:rsidRPr="00A32AF4">
              <w:rPr>
                <w:sz w:val="16"/>
                <w:szCs w:val="16"/>
              </w:rPr>
              <w:br/>
            </w:r>
            <w:r w:rsidRPr="00A32AF4">
              <w:rPr>
                <w:sz w:val="16"/>
                <w:szCs w:val="16"/>
              </w:rPr>
              <w:br/>
              <w:t xml:space="preserve">Bulletin et base de données actuels </w:t>
            </w:r>
          </w:p>
        </w:tc>
        <w:tc>
          <w:tcPr>
            <w:tcW w:w="2175" w:type="dxa"/>
            <w:tcBorders>
              <w:top w:val="single" w:sz="4" w:space="0" w:color="auto"/>
              <w:bottom w:val="single" w:sz="4" w:space="0" w:color="auto"/>
              <w:right w:val="single" w:sz="4" w:space="0" w:color="auto"/>
            </w:tcBorders>
            <w:shd w:val="clear" w:color="auto" w:fill="auto"/>
            <w:tcMar>
              <w:top w:w="113" w:type="dxa"/>
              <w:bottom w:w="113" w:type="dxa"/>
            </w:tcMar>
          </w:tcPr>
          <w:p w:rsidR="00A62724" w:rsidRPr="00A32AF4" w:rsidRDefault="00A62724" w:rsidP="000F45B2">
            <w:pPr>
              <w:rPr>
                <w:sz w:val="16"/>
                <w:szCs w:val="16"/>
              </w:rPr>
            </w:pPr>
            <w:r w:rsidRPr="00A32AF4">
              <w:rPr>
                <w:sz w:val="16"/>
                <w:szCs w:val="16"/>
              </w:rPr>
              <w:t>Outil de saisie des données amélioré</w:t>
            </w:r>
            <w:r w:rsidRPr="00A32AF4">
              <w:rPr>
                <w:sz w:val="16"/>
                <w:szCs w:val="16"/>
              </w:rPr>
              <w:br/>
            </w:r>
          </w:p>
          <w:p w:rsidR="00A62724" w:rsidRPr="00A32AF4" w:rsidRDefault="00A62724" w:rsidP="000F45B2">
            <w:pPr>
              <w:rPr>
                <w:sz w:val="16"/>
                <w:szCs w:val="16"/>
              </w:rPr>
            </w:pPr>
            <w:r w:rsidRPr="00A32AF4">
              <w:rPr>
                <w:sz w:val="16"/>
                <w:szCs w:val="16"/>
              </w:rPr>
              <w:t>Intégration du Bulletin dans la base de données “Lisbon Express”</w:t>
            </w:r>
          </w:p>
        </w:tc>
      </w:tr>
      <w:tr w:rsidR="00A62724" w:rsidRPr="00A32AF4" w:rsidTr="00A62724">
        <w:trPr>
          <w:cantSplit/>
          <w:tblHeader/>
        </w:trPr>
        <w:tc>
          <w:tcPr>
            <w:tcW w:w="2340" w:type="dxa"/>
            <w:tcBorders>
              <w:top w:val="single" w:sz="4" w:space="0" w:color="auto"/>
              <w:left w:val="single" w:sz="4" w:space="0" w:color="auto"/>
              <w:bottom w:val="single" w:sz="4" w:space="0" w:color="auto"/>
            </w:tcBorders>
            <w:shd w:val="clear" w:color="auto" w:fill="auto"/>
            <w:tcMar>
              <w:top w:w="113" w:type="dxa"/>
              <w:bottom w:w="113" w:type="dxa"/>
            </w:tcMar>
          </w:tcPr>
          <w:p w:rsidR="00A62724" w:rsidRPr="00A32AF4" w:rsidRDefault="00A62724" w:rsidP="000F45B2">
            <w:pPr>
              <w:rPr>
                <w:sz w:val="16"/>
                <w:szCs w:val="16"/>
              </w:rPr>
            </w:pPr>
            <w:r w:rsidRPr="00A32AF4">
              <w:rPr>
                <w:sz w:val="16"/>
                <w:szCs w:val="16"/>
              </w:rPr>
              <w:t> </w:t>
            </w:r>
          </w:p>
        </w:tc>
        <w:tc>
          <w:tcPr>
            <w:tcW w:w="2340" w:type="dxa"/>
            <w:tcBorders>
              <w:top w:val="single" w:sz="4" w:space="0" w:color="auto"/>
              <w:bottom w:val="single" w:sz="4" w:space="0" w:color="auto"/>
            </w:tcBorders>
            <w:shd w:val="clear" w:color="auto" w:fill="auto"/>
            <w:tcMar>
              <w:top w:w="113" w:type="dxa"/>
              <w:bottom w:w="113" w:type="dxa"/>
            </w:tcMar>
          </w:tcPr>
          <w:p w:rsidR="00A62724" w:rsidRPr="00A32AF4" w:rsidRDefault="00A62724" w:rsidP="000F45B2">
            <w:pPr>
              <w:rPr>
                <w:sz w:val="16"/>
                <w:szCs w:val="16"/>
              </w:rPr>
            </w:pPr>
            <w:r w:rsidRPr="00A32AF4">
              <w:rPr>
                <w:sz w:val="16"/>
                <w:szCs w:val="16"/>
              </w:rPr>
              <w:t>Amélioration des services électroniques du Service d’enregistrement de Lisbonne et de l’article 6</w:t>
            </w:r>
            <w:r w:rsidRPr="00A32AF4">
              <w:rPr>
                <w:i/>
                <w:sz w:val="16"/>
                <w:szCs w:val="16"/>
              </w:rPr>
              <w:t>ter</w:t>
            </w:r>
          </w:p>
        </w:tc>
        <w:tc>
          <w:tcPr>
            <w:tcW w:w="2340" w:type="dxa"/>
            <w:tcBorders>
              <w:top w:val="single" w:sz="4" w:space="0" w:color="auto"/>
              <w:bottom w:val="single" w:sz="4" w:space="0" w:color="auto"/>
            </w:tcBorders>
            <w:shd w:val="clear" w:color="auto" w:fill="auto"/>
            <w:tcMar>
              <w:top w:w="113" w:type="dxa"/>
              <w:bottom w:w="113" w:type="dxa"/>
            </w:tcMar>
          </w:tcPr>
          <w:p w:rsidR="00A62724" w:rsidRPr="00A32AF4" w:rsidRDefault="00A62724" w:rsidP="000F45B2">
            <w:pPr>
              <w:rPr>
                <w:sz w:val="16"/>
                <w:szCs w:val="16"/>
              </w:rPr>
            </w:pPr>
            <w:r w:rsidRPr="00A32AF4">
              <w:rPr>
                <w:sz w:val="16"/>
                <w:szCs w:val="16"/>
              </w:rPr>
              <w:t xml:space="preserve">Mise en œuvre simple d’un registre électronique </w:t>
            </w:r>
          </w:p>
        </w:tc>
        <w:tc>
          <w:tcPr>
            <w:tcW w:w="2175" w:type="dxa"/>
            <w:tcBorders>
              <w:top w:val="single" w:sz="4" w:space="0" w:color="auto"/>
              <w:bottom w:val="single" w:sz="4" w:space="0" w:color="auto"/>
              <w:right w:val="single" w:sz="4" w:space="0" w:color="auto"/>
            </w:tcBorders>
            <w:shd w:val="clear" w:color="auto" w:fill="auto"/>
            <w:tcMar>
              <w:top w:w="113" w:type="dxa"/>
              <w:bottom w:w="113" w:type="dxa"/>
            </w:tcMar>
          </w:tcPr>
          <w:p w:rsidR="00A62724" w:rsidRPr="00A32AF4" w:rsidRDefault="00A62724" w:rsidP="000F45B2">
            <w:pPr>
              <w:rPr>
                <w:sz w:val="16"/>
                <w:szCs w:val="16"/>
              </w:rPr>
            </w:pPr>
            <w:r w:rsidRPr="00A32AF4">
              <w:rPr>
                <w:sz w:val="16"/>
                <w:szCs w:val="16"/>
              </w:rPr>
              <w:t xml:space="preserve">Formulaires Web de dépôt électronique </w:t>
            </w:r>
          </w:p>
        </w:tc>
      </w:tr>
    </w:tbl>
    <w:p w:rsidR="00A62724" w:rsidRPr="00A32AF4" w:rsidRDefault="00A62724" w:rsidP="00FB42D0"/>
    <w:p w:rsidR="00541947" w:rsidRPr="00A32AF4" w:rsidRDefault="00541947" w:rsidP="00FB42D0"/>
    <w:p w:rsidR="00541947" w:rsidRPr="00A32AF4" w:rsidRDefault="00541947" w:rsidP="00541947">
      <w:pPr>
        <w:rPr>
          <w:caps/>
        </w:rPr>
      </w:pPr>
      <w:r w:rsidRPr="00A32AF4">
        <w:rPr>
          <w:caps/>
        </w:rPr>
        <w:t>RESSOURCES ALLOUÉES AU PROGRAMME 32</w:t>
      </w:r>
    </w:p>
    <w:p w:rsidR="00541947" w:rsidRPr="00A32AF4" w:rsidRDefault="00541947" w:rsidP="00541947"/>
    <w:p w:rsidR="00541947" w:rsidRPr="00A32AF4" w:rsidRDefault="00A32AF4" w:rsidP="00541947">
      <w:pPr>
        <w:pStyle w:val="ListParagraph"/>
        <w:numPr>
          <w:ilvl w:val="0"/>
          <w:numId w:val="91"/>
        </w:numPr>
        <w:tabs>
          <w:tab w:val="left" w:pos="567"/>
        </w:tabs>
        <w:spacing w:after="0" w:line="240" w:lineRule="auto"/>
        <w:ind w:left="0" w:firstLine="0"/>
        <w:contextualSpacing w:val="0"/>
        <w:jc w:val="both"/>
        <w:rPr>
          <w:rFonts w:ascii="Arial" w:hAnsi="Arial" w:cs="Arial"/>
          <w:szCs w:val="20"/>
        </w:rPr>
      </w:pPr>
      <w:r w:rsidRPr="00A32AF4">
        <w:rPr>
          <w:rFonts w:ascii="Arial" w:hAnsi="Arial" w:cs="Arial"/>
          <w:szCs w:val="20"/>
        </w:rPr>
        <w:t>L’exercice biennal 2016-2017 marque la création du programme 32, séparant le système de Lisbonne du programme 6.  Les ressources allouées à ce programme traduisent le transfert des ressources de personnel et autres depuis le programme 6.  Ce programme étant nouveau, aucune comparaison par rapport au budget 2014-2015 approuvé ou au budget 2014-2015 après virements n’est disponible.</w:t>
      </w:r>
    </w:p>
    <w:p w:rsidR="00541947" w:rsidRPr="00A32AF4" w:rsidRDefault="00541947" w:rsidP="00541947"/>
    <w:p w:rsidR="00541947" w:rsidRPr="00A32AF4" w:rsidRDefault="00541947" w:rsidP="00541947"/>
    <w:p w:rsidR="00541947" w:rsidRPr="00A32AF4" w:rsidRDefault="00541947" w:rsidP="00541947">
      <w:pPr>
        <w:keepNext/>
        <w:keepLines/>
        <w:autoSpaceDE w:val="0"/>
        <w:autoSpaceDN w:val="0"/>
        <w:jc w:val="center"/>
        <w:rPr>
          <w:rFonts w:cs="Arial"/>
          <w:b/>
        </w:rPr>
      </w:pPr>
      <w:r w:rsidRPr="00A32AF4">
        <w:rPr>
          <w:rFonts w:cs="Arial"/>
          <w:b/>
        </w:rPr>
        <w:t>Programme 32 : ressources par résultat</w:t>
      </w:r>
    </w:p>
    <w:p w:rsidR="00541947" w:rsidRPr="00A32AF4" w:rsidRDefault="00541947" w:rsidP="00541947">
      <w:pPr>
        <w:keepNext/>
        <w:keepLines/>
        <w:autoSpaceDE w:val="0"/>
        <w:autoSpaceDN w:val="0"/>
        <w:jc w:val="center"/>
        <w:rPr>
          <w:rFonts w:cs="Arial"/>
          <w:i/>
        </w:rPr>
      </w:pPr>
      <w:r w:rsidRPr="00A32AF4">
        <w:rPr>
          <w:rFonts w:cs="Arial"/>
          <w:i/>
        </w:rPr>
        <w:t>(</w:t>
      </w:r>
      <w:proofErr w:type="gramStart"/>
      <w:r w:rsidRPr="00A32AF4">
        <w:rPr>
          <w:rFonts w:cs="Arial"/>
          <w:i/>
        </w:rPr>
        <w:t>en</w:t>
      </w:r>
      <w:proofErr w:type="gramEnd"/>
      <w:r w:rsidRPr="00A32AF4">
        <w:rPr>
          <w:rFonts w:cs="Arial"/>
          <w:i/>
        </w:rPr>
        <w:t xml:space="preserve"> milliers de francs suisses)</w:t>
      </w:r>
    </w:p>
    <w:p w:rsidR="00541947" w:rsidRPr="00A32AF4" w:rsidRDefault="00541947" w:rsidP="00541947">
      <w:pPr>
        <w:keepNext/>
      </w:pPr>
    </w:p>
    <w:tbl>
      <w:tblPr>
        <w:tblW w:w="9009" w:type="dxa"/>
        <w:tblInd w:w="55" w:type="dxa"/>
        <w:tblCellMar>
          <w:left w:w="70" w:type="dxa"/>
          <w:right w:w="70" w:type="dxa"/>
        </w:tblCellMar>
        <w:tblLook w:val="04A0" w:firstRow="1" w:lastRow="0" w:firstColumn="1" w:lastColumn="0" w:noHBand="0" w:noVBand="1"/>
      </w:tblPr>
      <w:tblGrid>
        <w:gridCol w:w="452"/>
        <w:gridCol w:w="4597"/>
        <w:gridCol w:w="1260"/>
        <w:gridCol w:w="1440"/>
        <w:gridCol w:w="1260"/>
      </w:tblGrid>
      <w:tr w:rsidR="00541947" w:rsidRPr="00A32AF4" w:rsidTr="00541947">
        <w:tc>
          <w:tcPr>
            <w:tcW w:w="5049" w:type="dxa"/>
            <w:gridSpan w:val="2"/>
            <w:tcBorders>
              <w:top w:val="single" w:sz="4" w:space="0" w:color="auto"/>
              <w:left w:val="single" w:sz="4" w:space="0" w:color="auto"/>
              <w:bottom w:val="single" w:sz="4" w:space="0" w:color="auto"/>
              <w:right w:val="single" w:sz="4" w:space="0" w:color="000000"/>
            </w:tcBorders>
            <w:shd w:val="clear" w:color="000000" w:fill="C5D9F1"/>
            <w:noWrap/>
            <w:tcMar>
              <w:top w:w="113" w:type="dxa"/>
              <w:bottom w:w="113" w:type="dxa"/>
            </w:tcMar>
            <w:vAlign w:val="center"/>
            <w:hideMark/>
          </w:tcPr>
          <w:p w:rsidR="00541947" w:rsidRPr="00A32AF4" w:rsidRDefault="00541947" w:rsidP="000F45B2">
            <w:pPr>
              <w:keepNext/>
              <w:jc w:val="center"/>
              <w:rPr>
                <w:rFonts w:cs="Arial"/>
                <w:i/>
                <w:iCs/>
                <w:sz w:val="16"/>
                <w:szCs w:val="16"/>
                <w:lang w:eastAsia="fr-FR"/>
              </w:rPr>
            </w:pPr>
            <w:r w:rsidRPr="00A32AF4">
              <w:rPr>
                <w:rFonts w:cs="Arial"/>
                <w:i/>
                <w:iCs/>
                <w:sz w:val="16"/>
                <w:szCs w:val="16"/>
                <w:lang w:eastAsia="fr-FR"/>
              </w:rPr>
              <w:t xml:space="preserve">Numéro et description du résultat escompté </w:t>
            </w:r>
          </w:p>
        </w:tc>
        <w:tc>
          <w:tcPr>
            <w:tcW w:w="126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541947" w:rsidRPr="00A32AF4" w:rsidRDefault="00541947" w:rsidP="000F45B2">
            <w:pPr>
              <w:keepNext/>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2014</w:t>
            </w:r>
            <w:r w:rsidRPr="00A32AF4">
              <w:rPr>
                <w:rFonts w:cs="Arial"/>
                <w:i/>
                <w:iCs/>
                <w:sz w:val="16"/>
                <w:szCs w:val="16"/>
                <w:lang w:eastAsia="fr-FR"/>
              </w:rPr>
              <w:noBreakHyphen/>
              <w:t>2015 approuvé</w:t>
            </w:r>
          </w:p>
        </w:tc>
        <w:tc>
          <w:tcPr>
            <w:tcW w:w="144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541947" w:rsidRPr="00A32AF4" w:rsidRDefault="00541947" w:rsidP="000F45B2">
            <w:pPr>
              <w:keepNext/>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2014</w:t>
            </w:r>
            <w:r w:rsidRPr="00A32AF4">
              <w:rPr>
                <w:rFonts w:cs="Arial"/>
                <w:i/>
                <w:iCs/>
                <w:sz w:val="16"/>
                <w:szCs w:val="16"/>
                <w:lang w:eastAsia="fr-FR"/>
              </w:rPr>
              <w:noBreakHyphen/>
              <w:t>2015 après virements</w:t>
            </w:r>
          </w:p>
        </w:tc>
        <w:tc>
          <w:tcPr>
            <w:tcW w:w="126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541947" w:rsidRPr="00A32AF4" w:rsidRDefault="00541947" w:rsidP="000F45B2">
            <w:pPr>
              <w:keepNext/>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2016</w:t>
            </w:r>
            <w:r w:rsidRPr="00A32AF4">
              <w:rPr>
                <w:rFonts w:cs="Arial"/>
                <w:i/>
                <w:iCs/>
                <w:sz w:val="16"/>
                <w:szCs w:val="16"/>
                <w:lang w:eastAsia="fr-FR"/>
              </w:rPr>
              <w:noBreakHyphen/>
              <w:t>2017 proposé</w:t>
            </w:r>
          </w:p>
        </w:tc>
      </w:tr>
      <w:tr w:rsidR="00541947" w:rsidRPr="00A32AF4" w:rsidTr="00541947">
        <w:tc>
          <w:tcPr>
            <w:tcW w:w="452" w:type="dxa"/>
            <w:tcBorders>
              <w:top w:val="nil"/>
              <w:left w:val="single" w:sz="4" w:space="0" w:color="auto"/>
              <w:right w:val="nil"/>
            </w:tcBorders>
            <w:shd w:val="clear" w:color="auto" w:fill="auto"/>
            <w:noWrap/>
            <w:tcMar>
              <w:top w:w="113" w:type="dxa"/>
              <w:bottom w:w="113" w:type="dxa"/>
            </w:tcMar>
            <w:vAlign w:val="center"/>
            <w:hideMark/>
          </w:tcPr>
          <w:p w:rsidR="00541947" w:rsidRPr="00A32AF4" w:rsidRDefault="00541947" w:rsidP="00541947">
            <w:pPr>
              <w:keepNext/>
              <w:rPr>
                <w:rFonts w:cs="Arial"/>
                <w:sz w:val="16"/>
                <w:szCs w:val="16"/>
                <w:lang w:eastAsia="fr-FR"/>
              </w:rPr>
            </w:pPr>
            <w:r w:rsidRPr="00A32AF4">
              <w:rPr>
                <w:rFonts w:cs="Arial"/>
                <w:sz w:val="16"/>
                <w:szCs w:val="16"/>
                <w:lang w:eastAsia="fr-FR"/>
              </w:rPr>
              <w:t>II.10</w:t>
            </w:r>
          </w:p>
        </w:tc>
        <w:tc>
          <w:tcPr>
            <w:tcW w:w="4597" w:type="dxa"/>
            <w:tcBorders>
              <w:top w:val="nil"/>
              <w:left w:val="nil"/>
              <w:right w:val="nil"/>
            </w:tcBorders>
            <w:shd w:val="clear" w:color="auto" w:fill="auto"/>
            <w:tcMar>
              <w:top w:w="113" w:type="dxa"/>
              <w:bottom w:w="113" w:type="dxa"/>
            </w:tcMar>
            <w:vAlign w:val="center"/>
            <w:hideMark/>
          </w:tcPr>
          <w:p w:rsidR="00541947" w:rsidRPr="00A32AF4" w:rsidRDefault="00541947" w:rsidP="00541947">
            <w:pPr>
              <w:keepNext/>
              <w:rPr>
                <w:rFonts w:cs="Arial"/>
                <w:sz w:val="16"/>
                <w:szCs w:val="16"/>
                <w:lang w:eastAsia="fr-FR"/>
              </w:rPr>
            </w:pPr>
            <w:r w:rsidRPr="00A32AF4">
              <w:rPr>
                <w:rFonts w:cs="Arial"/>
                <w:sz w:val="16"/>
                <w:szCs w:val="16"/>
                <w:lang w:eastAsia="fr-FR"/>
              </w:rPr>
              <w:t>Utilisation élargie et plus efficace du système de Lisbonne, notamment par les pays en développement et les PMA</w:t>
            </w:r>
          </w:p>
        </w:tc>
        <w:tc>
          <w:tcPr>
            <w:tcW w:w="1260" w:type="dxa"/>
            <w:tcBorders>
              <w:top w:val="nil"/>
              <w:left w:val="nil"/>
              <w:right w:val="nil"/>
            </w:tcBorders>
            <w:shd w:val="clear" w:color="auto" w:fill="auto"/>
            <w:tcMar>
              <w:top w:w="113" w:type="dxa"/>
              <w:bottom w:w="113" w:type="dxa"/>
            </w:tcMar>
            <w:vAlign w:val="center"/>
            <w:hideMark/>
          </w:tcPr>
          <w:p w:rsidR="00541947" w:rsidRPr="00A32AF4" w:rsidRDefault="00541947" w:rsidP="000F45B2">
            <w:pPr>
              <w:keepNext/>
              <w:jc w:val="right"/>
              <w:rPr>
                <w:rFonts w:cs="Arial"/>
                <w:sz w:val="16"/>
                <w:szCs w:val="16"/>
                <w:lang w:eastAsia="fr-FR"/>
              </w:rPr>
            </w:pPr>
            <w:r w:rsidRPr="00A32AF4">
              <w:rPr>
                <w:rFonts w:cs="Arial"/>
                <w:sz w:val="16"/>
                <w:szCs w:val="16"/>
                <w:lang w:eastAsia="fr-FR"/>
              </w:rPr>
              <w:t>–</w:t>
            </w:r>
          </w:p>
        </w:tc>
        <w:tc>
          <w:tcPr>
            <w:tcW w:w="1440" w:type="dxa"/>
            <w:tcBorders>
              <w:top w:val="nil"/>
              <w:left w:val="nil"/>
              <w:right w:val="nil"/>
            </w:tcBorders>
            <w:shd w:val="clear" w:color="auto" w:fill="auto"/>
            <w:tcMar>
              <w:top w:w="113" w:type="dxa"/>
              <w:bottom w:w="113" w:type="dxa"/>
            </w:tcMar>
            <w:vAlign w:val="center"/>
            <w:hideMark/>
          </w:tcPr>
          <w:p w:rsidR="00541947" w:rsidRPr="00A32AF4" w:rsidRDefault="00541947" w:rsidP="000F45B2">
            <w:pPr>
              <w:keepNext/>
              <w:jc w:val="right"/>
              <w:rPr>
                <w:rFonts w:cs="Arial"/>
                <w:sz w:val="16"/>
                <w:szCs w:val="16"/>
                <w:lang w:eastAsia="fr-FR"/>
              </w:rPr>
            </w:pPr>
            <w:r w:rsidRPr="00A32AF4">
              <w:rPr>
                <w:rFonts w:cs="Arial"/>
                <w:sz w:val="16"/>
                <w:szCs w:val="16"/>
                <w:lang w:eastAsia="fr-FR"/>
              </w:rPr>
              <w:t>–</w:t>
            </w:r>
          </w:p>
        </w:tc>
        <w:tc>
          <w:tcPr>
            <w:tcW w:w="1260" w:type="dxa"/>
            <w:tcBorders>
              <w:top w:val="nil"/>
              <w:left w:val="nil"/>
              <w:right w:val="single" w:sz="4" w:space="0" w:color="auto"/>
            </w:tcBorders>
            <w:shd w:val="clear" w:color="auto" w:fill="auto"/>
            <w:noWrap/>
            <w:tcMar>
              <w:top w:w="113" w:type="dxa"/>
              <w:bottom w:w="113" w:type="dxa"/>
            </w:tcMar>
            <w:vAlign w:val="center"/>
            <w:hideMark/>
          </w:tcPr>
          <w:p w:rsidR="00541947" w:rsidRPr="00A32AF4" w:rsidRDefault="00541947" w:rsidP="000F45B2">
            <w:pPr>
              <w:keepNext/>
              <w:jc w:val="right"/>
              <w:rPr>
                <w:rFonts w:cs="Arial"/>
                <w:color w:val="000000"/>
                <w:sz w:val="16"/>
                <w:szCs w:val="16"/>
                <w:lang w:eastAsia="fr-FR"/>
              </w:rPr>
            </w:pPr>
            <w:r w:rsidRPr="00A32AF4">
              <w:rPr>
                <w:rFonts w:cs="Arial"/>
                <w:color w:val="000000"/>
                <w:sz w:val="16"/>
                <w:szCs w:val="16"/>
                <w:lang w:eastAsia="fr-FR"/>
              </w:rPr>
              <w:t>785</w:t>
            </w:r>
          </w:p>
        </w:tc>
      </w:tr>
      <w:tr w:rsidR="00541947" w:rsidRPr="00A32AF4" w:rsidTr="00541947">
        <w:tc>
          <w:tcPr>
            <w:tcW w:w="452" w:type="dxa"/>
            <w:tcBorders>
              <w:left w:val="single" w:sz="4" w:space="0" w:color="auto"/>
              <w:bottom w:val="single" w:sz="4" w:space="0" w:color="auto"/>
              <w:right w:val="nil"/>
            </w:tcBorders>
            <w:shd w:val="clear" w:color="auto" w:fill="auto"/>
            <w:noWrap/>
            <w:tcMar>
              <w:top w:w="113" w:type="dxa"/>
              <w:bottom w:w="113" w:type="dxa"/>
            </w:tcMar>
            <w:vAlign w:val="center"/>
          </w:tcPr>
          <w:p w:rsidR="00541947" w:rsidRPr="00A32AF4" w:rsidRDefault="00541947" w:rsidP="000F45B2">
            <w:pPr>
              <w:rPr>
                <w:rFonts w:cs="Arial"/>
                <w:sz w:val="16"/>
                <w:szCs w:val="16"/>
                <w:lang w:eastAsia="fr-FR"/>
              </w:rPr>
            </w:pPr>
            <w:r w:rsidRPr="00A32AF4">
              <w:rPr>
                <w:rFonts w:cs="Arial"/>
                <w:sz w:val="16"/>
                <w:szCs w:val="16"/>
                <w:lang w:eastAsia="fr-FR"/>
              </w:rPr>
              <w:t>II.11</w:t>
            </w:r>
          </w:p>
        </w:tc>
        <w:tc>
          <w:tcPr>
            <w:tcW w:w="4597" w:type="dxa"/>
            <w:tcBorders>
              <w:left w:val="nil"/>
              <w:bottom w:val="single" w:sz="4" w:space="0" w:color="auto"/>
              <w:right w:val="nil"/>
            </w:tcBorders>
            <w:shd w:val="clear" w:color="auto" w:fill="auto"/>
            <w:tcMar>
              <w:top w:w="113" w:type="dxa"/>
              <w:bottom w:w="113" w:type="dxa"/>
            </w:tcMar>
            <w:vAlign w:val="center"/>
          </w:tcPr>
          <w:p w:rsidR="00541947" w:rsidRPr="00A32AF4" w:rsidRDefault="00541947" w:rsidP="000F45B2">
            <w:pPr>
              <w:rPr>
                <w:rFonts w:cs="Arial"/>
                <w:sz w:val="16"/>
                <w:szCs w:val="16"/>
                <w:lang w:eastAsia="fr-FR"/>
              </w:rPr>
            </w:pPr>
            <w:r w:rsidRPr="00A32AF4">
              <w:rPr>
                <w:rFonts w:cs="Arial"/>
                <w:sz w:val="16"/>
                <w:szCs w:val="16"/>
                <w:lang w:eastAsia="fr-FR"/>
              </w:rPr>
              <w:t>Amélioration de la productivité et de la qualité de service des opérations du système de Lisbonne</w:t>
            </w:r>
          </w:p>
        </w:tc>
        <w:tc>
          <w:tcPr>
            <w:tcW w:w="1260" w:type="dxa"/>
            <w:tcBorders>
              <w:left w:val="nil"/>
              <w:bottom w:val="single" w:sz="4" w:space="0" w:color="auto"/>
              <w:right w:val="nil"/>
            </w:tcBorders>
            <w:shd w:val="clear" w:color="auto" w:fill="auto"/>
            <w:tcMar>
              <w:top w:w="113" w:type="dxa"/>
              <w:bottom w:w="113" w:type="dxa"/>
            </w:tcMar>
            <w:vAlign w:val="center"/>
          </w:tcPr>
          <w:p w:rsidR="00541947" w:rsidRPr="00A32AF4" w:rsidRDefault="00541947" w:rsidP="000F45B2">
            <w:pPr>
              <w:jc w:val="right"/>
              <w:rPr>
                <w:rFonts w:cs="Arial"/>
                <w:sz w:val="16"/>
                <w:szCs w:val="16"/>
                <w:lang w:eastAsia="fr-FR"/>
              </w:rPr>
            </w:pPr>
            <w:r w:rsidRPr="00A32AF4">
              <w:rPr>
                <w:rFonts w:cs="Arial"/>
                <w:sz w:val="16"/>
                <w:szCs w:val="16"/>
                <w:lang w:eastAsia="fr-FR"/>
              </w:rPr>
              <w:t>–</w:t>
            </w:r>
          </w:p>
        </w:tc>
        <w:tc>
          <w:tcPr>
            <w:tcW w:w="1440" w:type="dxa"/>
            <w:tcBorders>
              <w:left w:val="nil"/>
              <w:bottom w:val="single" w:sz="4" w:space="0" w:color="auto"/>
              <w:right w:val="nil"/>
            </w:tcBorders>
            <w:shd w:val="clear" w:color="auto" w:fill="auto"/>
            <w:tcMar>
              <w:top w:w="113" w:type="dxa"/>
              <w:bottom w:w="113" w:type="dxa"/>
            </w:tcMar>
            <w:vAlign w:val="center"/>
          </w:tcPr>
          <w:p w:rsidR="00541947" w:rsidRPr="00A32AF4" w:rsidRDefault="00541947" w:rsidP="000F45B2">
            <w:pPr>
              <w:jc w:val="right"/>
              <w:rPr>
                <w:rFonts w:cs="Arial"/>
                <w:sz w:val="16"/>
                <w:szCs w:val="16"/>
                <w:lang w:eastAsia="fr-FR"/>
              </w:rPr>
            </w:pPr>
            <w:r w:rsidRPr="00A32AF4">
              <w:rPr>
                <w:rFonts w:cs="Arial"/>
                <w:sz w:val="16"/>
                <w:szCs w:val="16"/>
                <w:lang w:eastAsia="fr-FR"/>
              </w:rPr>
              <w:t>–</w:t>
            </w:r>
          </w:p>
        </w:tc>
        <w:tc>
          <w:tcPr>
            <w:tcW w:w="1260" w:type="dxa"/>
            <w:tcBorders>
              <w:left w:val="nil"/>
              <w:bottom w:val="single" w:sz="4" w:space="0" w:color="auto"/>
              <w:right w:val="single" w:sz="4" w:space="0" w:color="auto"/>
            </w:tcBorders>
            <w:shd w:val="clear" w:color="auto" w:fill="auto"/>
            <w:noWrap/>
            <w:tcMar>
              <w:top w:w="113" w:type="dxa"/>
              <w:bottom w:w="113" w:type="dxa"/>
            </w:tcMar>
            <w:vAlign w:val="center"/>
          </w:tcPr>
          <w:p w:rsidR="00541947" w:rsidRPr="00A32AF4" w:rsidRDefault="00541947" w:rsidP="000F45B2">
            <w:pPr>
              <w:jc w:val="right"/>
              <w:rPr>
                <w:rFonts w:cs="Arial"/>
                <w:color w:val="000000"/>
                <w:sz w:val="16"/>
                <w:szCs w:val="16"/>
                <w:lang w:eastAsia="fr-FR"/>
              </w:rPr>
            </w:pPr>
            <w:r w:rsidRPr="00A32AF4">
              <w:rPr>
                <w:rFonts w:cs="Arial"/>
                <w:color w:val="000000"/>
                <w:sz w:val="16"/>
                <w:szCs w:val="16"/>
                <w:lang w:eastAsia="fr-FR"/>
              </w:rPr>
              <w:t>550</w:t>
            </w:r>
          </w:p>
        </w:tc>
      </w:tr>
      <w:tr w:rsidR="00541947" w:rsidRPr="00A32AF4" w:rsidTr="00541947">
        <w:tc>
          <w:tcPr>
            <w:tcW w:w="452" w:type="dxa"/>
            <w:tcBorders>
              <w:top w:val="single" w:sz="4" w:space="0" w:color="auto"/>
              <w:left w:val="single" w:sz="4" w:space="0" w:color="auto"/>
              <w:bottom w:val="single" w:sz="4" w:space="0" w:color="auto"/>
              <w:right w:val="nil"/>
            </w:tcBorders>
            <w:shd w:val="clear" w:color="000000" w:fill="C5D9F1"/>
            <w:noWrap/>
            <w:tcMar>
              <w:top w:w="113" w:type="dxa"/>
              <w:bottom w:w="113" w:type="dxa"/>
            </w:tcMar>
            <w:vAlign w:val="bottom"/>
            <w:hideMark/>
          </w:tcPr>
          <w:p w:rsidR="00541947" w:rsidRPr="00A32AF4" w:rsidRDefault="00541947" w:rsidP="000F45B2">
            <w:pPr>
              <w:rPr>
                <w:rFonts w:cs="Arial"/>
                <w:sz w:val="16"/>
                <w:szCs w:val="16"/>
                <w:lang w:eastAsia="fr-FR"/>
              </w:rPr>
            </w:pPr>
            <w:r w:rsidRPr="00A32AF4">
              <w:rPr>
                <w:rFonts w:cs="Arial"/>
                <w:sz w:val="16"/>
                <w:szCs w:val="16"/>
                <w:lang w:eastAsia="fr-FR"/>
              </w:rPr>
              <w:t> </w:t>
            </w:r>
          </w:p>
        </w:tc>
        <w:tc>
          <w:tcPr>
            <w:tcW w:w="4597"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541947" w:rsidRPr="00A32AF4" w:rsidRDefault="00541947" w:rsidP="000F45B2">
            <w:pPr>
              <w:rPr>
                <w:rFonts w:cs="Arial"/>
                <w:b/>
                <w:bCs/>
                <w:sz w:val="16"/>
                <w:szCs w:val="16"/>
                <w:lang w:eastAsia="fr-FR"/>
              </w:rPr>
            </w:pPr>
            <w:r w:rsidRPr="00A32AF4">
              <w:rPr>
                <w:rFonts w:cs="Arial"/>
                <w:b/>
                <w:bCs/>
                <w:sz w:val="16"/>
                <w:szCs w:val="16"/>
                <w:lang w:eastAsia="fr-FR"/>
              </w:rPr>
              <w:t>Total</w:t>
            </w:r>
          </w:p>
        </w:tc>
        <w:tc>
          <w:tcPr>
            <w:tcW w:w="1260"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541947" w:rsidRPr="00A32AF4" w:rsidRDefault="00541947" w:rsidP="000F45B2">
            <w:pPr>
              <w:jc w:val="right"/>
              <w:rPr>
                <w:rFonts w:cs="Arial"/>
                <w:b/>
                <w:bCs/>
                <w:sz w:val="16"/>
                <w:szCs w:val="16"/>
                <w:lang w:eastAsia="fr-FR"/>
              </w:rPr>
            </w:pPr>
            <w:r w:rsidRPr="00A32AF4">
              <w:rPr>
                <w:rFonts w:cs="Arial"/>
                <w:b/>
                <w:bCs/>
                <w:sz w:val="16"/>
                <w:szCs w:val="16"/>
                <w:lang w:eastAsia="fr-FR"/>
              </w:rPr>
              <w:t>–</w:t>
            </w:r>
          </w:p>
        </w:tc>
        <w:tc>
          <w:tcPr>
            <w:tcW w:w="1440"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541947" w:rsidRPr="00A32AF4" w:rsidRDefault="00541947" w:rsidP="000F45B2">
            <w:pPr>
              <w:jc w:val="right"/>
              <w:rPr>
                <w:rFonts w:cs="Arial"/>
                <w:b/>
                <w:bCs/>
                <w:sz w:val="16"/>
                <w:szCs w:val="16"/>
                <w:lang w:eastAsia="fr-FR"/>
              </w:rPr>
            </w:pPr>
            <w:r w:rsidRPr="00A32AF4">
              <w:rPr>
                <w:rFonts w:cs="Arial"/>
                <w:b/>
                <w:bCs/>
                <w:sz w:val="16"/>
                <w:szCs w:val="16"/>
                <w:lang w:eastAsia="fr-FR"/>
              </w:rPr>
              <w:t>–</w:t>
            </w:r>
          </w:p>
        </w:tc>
        <w:tc>
          <w:tcPr>
            <w:tcW w:w="1260"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541947" w:rsidRPr="00A32AF4" w:rsidRDefault="00541947" w:rsidP="000F45B2">
            <w:pPr>
              <w:jc w:val="right"/>
              <w:rPr>
                <w:rFonts w:cs="Arial"/>
                <w:b/>
                <w:bCs/>
                <w:sz w:val="16"/>
                <w:szCs w:val="16"/>
                <w:lang w:eastAsia="fr-FR"/>
              </w:rPr>
            </w:pPr>
            <w:r w:rsidRPr="00A32AF4">
              <w:rPr>
                <w:rFonts w:cs="Arial"/>
                <w:b/>
                <w:bCs/>
                <w:sz w:val="16"/>
                <w:szCs w:val="16"/>
                <w:lang w:eastAsia="fr-FR"/>
              </w:rPr>
              <w:t>1 335</w:t>
            </w:r>
          </w:p>
        </w:tc>
      </w:tr>
    </w:tbl>
    <w:p w:rsidR="00541947" w:rsidRPr="00A32AF4" w:rsidRDefault="00541947" w:rsidP="00541947">
      <w:pPr>
        <w:rPr>
          <w:rFonts w:eastAsia="SimSun"/>
        </w:rPr>
      </w:pPr>
    </w:p>
    <w:p w:rsidR="00541947" w:rsidRPr="00A32AF4" w:rsidRDefault="00541947" w:rsidP="00541947">
      <w:pPr>
        <w:rPr>
          <w:rFonts w:eastAsia="SimSun"/>
        </w:rPr>
      </w:pPr>
    </w:p>
    <w:p w:rsidR="00541947" w:rsidRPr="00A32AF4" w:rsidRDefault="00541947" w:rsidP="00541947">
      <w:pPr>
        <w:keepNext/>
        <w:keepLines/>
        <w:autoSpaceDE w:val="0"/>
        <w:autoSpaceDN w:val="0"/>
        <w:jc w:val="center"/>
        <w:rPr>
          <w:rFonts w:cs="Arial"/>
          <w:b/>
        </w:rPr>
      </w:pPr>
      <w:r w:rsidRPr="00A32AF4">
        <w:rPr>
          <w:rFonts w:cs="Arial"/>
          <w:b/>
        </w:rPr>
        <w:t>Programme 32 : ressources par objet de dépense</w:t>
      </w:r>
    </w:p>
    <w:p w:rsidR="00541947" w:rsidRPr="00A32AF4" w:rsidRDefault="00541947" w:rsidP="00541947">
      <w:pPr>
        <w:keepNext/>
        <w:keepLines/>
        <w:autoSpaceDE w:val="0"/>
        <w:autoSpaceDN w:val="0"/>
        <w:jc w:val="center"/>
        <w:rPr>
          <w:rFonts w:cs="Arial"/>
          <w:i/>
        </w:rPr>
      </w:pPr>
      <w:r w:rsidRPr="00A32AF4">
        <w:rPr>
          <w:rFonts w:cs="Arial"/>
          <w:i/>
        </w:rPr>
        <w:t>(</w:t>
      </w:r>
      <w:proofErr w:type="gramStart"/>
      <w:r w:rsidRPr="00A32AF4">
        <w:rPr>
          <w:rFonts w:cs="Arial"/>
          <w:i/>
        </w:rPr>
        <w:t>en</w:t>
      </w:r>
      <w:proofErr w:type="gramEnd"/>
      <w:r w:rsidRPr="00A32AF4">
        <w:rPr>
          <w:rFonts w:cs="Arial"/>
          <w:i/>
        </w:rPr>
        <w:t xml:space="preserve"> milliers de francs suisses)</w:t>
      </w:r>
    </w:p>
    <w:p w:rsidR="00541947" w:rsidRPr="00A32AF4" w:rsidRDefault="00541947" w:rsidP="00541947">
      <w:pPr>
        <w:keepNext/>
        <w:rPr>
          <w:rFonts w:eastAsia="SimSun"/>
        </w:rPr>
      </w:pPr>
    </w:p>
    <w:p w:rsidR="00541947" w:rsidRPr="00A32AF4" w:rsidRDefault="000F45B2" w:rsidP="00FB42D0">
      <w:r w:rsidRPr="00A32AF4">
        <w:rPr>
          <w:noProof/>
          <w:lang w:eastAsia="fr-FR"/>
        </w:rPr>
        <w:drawing>
          <wp:inline distT="0" distB="0" distL="0" distR="0" wp14:anchorId="7C78D669" wp14:editId="42C68104">
            <wp:extent cx="5515610" cy="6553200"/>
            <wp:effectExtent l="0" t="0" r="889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515610" cy="6553200"/>
                    </a:xfrm>
                    <a:prstGeom prst="rect">
                      <a:avLst/>
                    </a:prstGeom>
                    <a:noFill/>
                    <a:ln>
                      <a:noFill/>
                    </a:ln>
                  </pic:spPr>
                </pic:pic>
              </a:graphicData>
            </a:graphic>
          </wp:inline>
        </w:drawing>
      </w:r>
    </w:p>
    <w:p w:rsidR="00FB42D0" w:rsidRPr="00A32AF4" w:rsidRDefault="00FB42D0">
      <w:pPr>
        <w:rPr>
          <w:rFonts w:ascii="Arial Bold" w:hAnsi="Arial Bold" w:cs="Arial"/>
          <w:b/>
          <w:caps/>
          <w:sz w:val="22"/>
          <w:szCs w:val="22"/>
        </w:rPr>
      </w:pPr>
      <w:r w:rsidRPr="00A32AF4">
        <w:br w:type="page"/>
      </w:r>
    </w:p>
    <w:p w:rsidR="00F93B76" w:rsidRPr="00A32AF4" w:rsidRDefault="00D21583" w:rsidP="00FB1F61">
      <w:pPr>
        <w:pStyle w:val="Heading3"/>
      </w:pPr>
      <w:bookmarkStart w:id="33" w:name="_Toc431555444"/>
      <w:r w:rsidRPr="00A32AF4">
        <w:t>Programme </w:t>
      </w:r>
      <w:r w:rsidR="00CD1430" w:rsidRPr="00A32AF4">
        <w:t>7</w:t>
      </w:r>
      <w:r w:rsidR="00570B48" w:rsidRPr="00A32AF4">
        <w:tab/>
      </w:r>
      <w:r w:rsidR="00CD1430" w:rsidRPr="00A32AF4">
        <w:t>Centre d</w:t>
      </w:r>
      <w:r w:rsidR="00E2055A" w:rsidRPr="00A32AF4">
        <w:t>’</w:t>
      </w:r>
      <w:r w:rsidR="00CD1430" w:rsidRPr="00A32AF4">
        <w:t>arbitrage et de médiation de l</w:t>
      </w:r>
      <w:r w:rsidR="00E2055A" w:rsidRPr="00A32AF4">
        <w:t>’</w:t>
      </w:r>
      <w:r w:rsidR="00CD1430" w:rsidRPr="00A32AF4">
        <w:t>OMPI</w:t>
      </w:r>
      <w:bookmarkEnd w:id="33"/>
    </w:p>
    <w:p w:rsidR="00F93B76" w:rsidRPr="00A32AF4" w:rsidRDefault="00F93B76" w:rsidP="00DC0553"/>
    <w:p w:rsidR="00F93B76" w:rsidRPr="00A32AF4" w:rsidRDefault="00F93B76" w:rsidP="00DC0553"/>
    <w:p w:rsidR="00F93B76" w:rsidRPr="00A32AF4" w:rsidRDefault="00CD1430" w:rsidP="00DC0553">
      <w:r w:rsidRPr="00A32AF4">
        <w:t>CONTEXTE DE PLANIFICATION</w:t>
      </w:r>
    </w:p>
    <w:p w:rsidR="00F93B76" w:rsidRPr="00A32AF4" w:rsidRDefault="00F93B76" w:rsidP="00DC0553"/>
    <w:p w:rsidR="00F93B76" w:rsidRPr="00A32AF4" w:rsidRDefault="00CD1430" w:rsidP="00DC0553">
      <w:pPr>
        <w:pStyle w:val="BodyText"/>
        <w:numPr>
          <w:ilvl w:val="1"/>
          <w:numId w:val="18"/>
        </w:numPr>
        <w:tabs>
          <w:tab w:val="left" w:pos="567"/>
        </w:tabs>
        <w:spacing w:after="0"/>
        <w:ind w:firstLine="0"/>
        <w:jc w:val="both"/>
        <w:rPr>
          <w:rFonts w:eastAsiaTheme="minorEastAsia" w:cs="Arial"/>
          <w:lang w:eastAsia="ja-JP"/>
        </w:rPr>
      </w:pPr>
      <w:r w:rsidRPr="00A32AF4">
        <w:rPr>
          <w:rFonts w:eastAsiaTheme="minorEastAsia" w:cs="Arial"/>
          <w:lang w:eastAsia="ja-JP"/>
        </w:rPr>
        <w:t>Dans une économie dont le moteur est la propriété intellectuelle, les parties prenantes doivent intégrer la gestion des conflits dans les processus opérationnels (la mise au point de nouvelles technologies par exemple), les pratiques en matière de passation de contrats et des politiques plus larges d</w:t>
      </w:r>
      <w:r w:rsidR="00E2055A" w:rsidRPr="00A32AF4">
        <w:rPr>
          <w:rFonts w:eastAsiaTheme="minorEastAsia" w:cs="Arial"/>
          <w:lang w:eastAsia="ja-JP"/>
        </w:rPr>
        <w:t>’</w:t>
      </w:r>
      <w:r w:rsidRPr="00A32AF4">
        <w:rPr>
          <w:rFonts w:eastAsiaTheme="minorEastAsia" w:cs="Arial"/>
          <w:lang w:eastAsia="ja-JP"/>
        </w:rPr>
        <w:t>application des droits.</w:t>
      </w:r>
      <w:r w:rsidRPr="00A32AF4">
        <w:t xml:space="preserve">  </w:t>
      </w:r>
      <w:r w:rsidRPr="00A32AF4">
        <w:rPr>
          <w:rFonts w:eastAsiaTheme="minorEastAsia" w:cs="Arial"/>
          <w:lang w:eastAsia="ja-JP"/>
        </w:rPr>
        <w:t>La connaissance des risques et avantages liés au règlement des litiges peut contribuer à limiter les perturbations que ces litiges peuvent entraîner dans l</w:t>
      </w:r>
      <w:r w:rsidR="00E2055A" w:rsidRPr="00A32AF4">
        <w:rPr>
          <w:rFonts w:eastAsiaTheme="minorEastAsia" w:cs="Arial"/>
          <w:lang w:eastAsia="ja-JP"/>
        </w:rPr>
        <w:t>’</w:t>
      </w:r>
      <w:r w:rsidRPr="00A32AF4">
        <w:rPr>
          <w:rFonts w:eastAsiaTheme="minorEastAsia" w:cs="Arial"/>
          <w:lang w:eastAsia="ja-JP"/>
        </w:rPr>
        <w:t>exploitation des droits de propriété intellectuelle.</w:t>
      </w:r>
    </w:p>
    <w:p w:rsidR="00F93B76" w:rsidRPr="00A32AF4" w:rsidRDefault="00F93B76" w:rsidP="00DC0553">
      <w:pPr>
        <w:tabs>
          <w:tab w:val="left" w:pos="567"/>
        </w:tabs>
        <w:jc w:val="both"/>
        <w:rPr>
          <w:rFonts w:eastAsiaTheme="minorEastAsia" w:cs="Arial"/>
          <w:lang w:eastAsia="ja-JP"/>
        </w:rPr>
      </w:pPr>
    </w:p>
    <w:p w:rsidR="00F93B76" w:rsidRPr="00A32AF4" w:rsidRDefault="00CD1430" w:rsidP="00DC0553">
      <w:pPr>
        <w:pStyle w:val="BodyText"/>
        <w:numPr>
          <w:ilvl w:val="1"/>
          <w:numId w:val="18"/>
        </w:numPr>
        <w:tabs>
          <w:tab w:val="left" w:pos="567"/>
        </w:tabs>
        <w:spacing w:after="0"/>
        <w:ind w:firstLine="0"/>
        <w:jc w:val="both"/>
        <w:rPr>
          <w:rFonts w:eastAsiaTheme="minorEastAsia" w:cs="Arial"/>
          <w:lang w:eastAsia="ja-JP"/>
        </w:rPr>
      </w:pPr>
      <w:r w:rsidRPr="00A32AF4">
        <w:rPr>
          <w:rFonts w:eastAsiaTheme="minorEastAsia" w:cs="Arial"/>
          <w:lang w:eastAsia="ja-JP"/>
        </w:rPr>
        <w:t>Les tribunaux et les offices de propriété intellectuelle offrent généralement des solutions territoriales formelles, résultant de procédures d</w:t>
      </w:r>
      <w:r w:rsidR="00E2055A" w:rsidRPr="00A32AF4">
        <w:rPr>
          <w:rFonts w:eastAsiaTheme="minorEastAsia" w:cs="Arial"/>
          <w:lang w:eastAsia="ja-JP"/>
        </w:rPr>
        <w:t>’</w:t>
      </w:r>
      <w:r w:rsidRPr="00A32AF4">
        <w:rPr>
          <w:rFonts w:eastAsiaTheme="minorEastAsia" w:cs="Arial"/>
          <w:lang w:eastAsia="ja-JP"/>
        </w:rPr>
        <w:t>application générale fondées sur les droits.  Toutefois, la tendance à l</w:t>
      </w:r>
      <w:r w:rsidR="00E2055A" w:rsidRPr="00A32AF4">
        <w:rPr>
          <w:rFonts w:eastAsiaTheme="minorEastAsia" w:cs="Arial"/>
          <w:lang w:eastAsia="ja-JP"/>
        </w:rPr>
        <w:t>’</w:t>
      </w:r>
      <w:r w:rsidRPr="00A32AF4">
        <w:rPr>
          <w:rFonts w:eastAsiaTheme="minorEastAsia" w:cs="Arial"/>
          <w:lang w:eastAsia="ja-JP"/>
        </w:rPr>
        <w:t>internationalisation que connaissent la création et l</w:t>
      </w:r>
      <w:r w:rsidR="00E2055A" w:rsidRPr="00A32AF4">
        <w:rPr>
          <w:rFonts w:eastAsiaTheme="minorEastAsia" w:cs="Arial"/>
          <w:lang w:eastAsia="ja-JP"/>
        </w:rPr>
        <w:t>’</w:t>
      </w:r>
      <w:r w:rsidRPr="00A32AF4">
        <w:rPr>
          <w:rFonts w:eastAsiaTheme="minorEastAsia" w:cs="Arial"/>
          <w:lang w:eastAsia="ja-JP"/>
        </w:rPr>
        <w:t>utilisation de la propriété intellectuelle pousse les titulaires de droits et les utilisateurs à envisager de nouveaux moyens de règlement transfrontière de leurs litiges.  Le Centre d</w:t>
      </w:r>
      <w:r w:rsidR="00E2055A" w:rsidRPr="00A32AF4">
        <w:rPr>
          <w:rFonts w:eastAsiaTheme="minorEastAsia" w:cs="Arial"/>
          <w:lang w:eastAsia="ja-JP"/>
        </w:rPr>
        <w:t>’</w:t>
      </w:r>
      <w:r w:rsidRPr="00A32AF4">
        <w:rPr>
          <w:rFonts w:eastAsiaTheme="minorEastAsia" w:cs="Arial"/>
          <w:lang w:eastAsia="ja-JP"/>
        </w:rPr>
        <w:t>arbitrage et de médiation de l</w:t>
      </w:r>
      <w:r w:rsidR="00E2055A" w:rsidRPr="00A32AF4">
        <w:rPr>
          <w:rFonts w:eastAsiaTheme="minorEastAsia" w:cs="Arial"/>
          <w:lang w:eastAsia="ja-JP"/>
        </w:rPr>
        <w:t>’</w:t>
      </w:r>
      <w:r w:rsidRPr="00A32AF4">
        <w:rPr>
          <w:rFonts w:eastAsiaTheme="minorEastAsia" w:cs="Arial"/>
          <w:lang w:eastAsia="ja-JP"/>
        </w:rPr>
        <w:t>OMPI, en tant que centre international d</w:t>
      </w:r>
      <w:r w:rsidR="00E2055A" w:rsidRPr="00A32AF4">
        <w:rPr>
          <w:rFonts w:eastAsiaTheme="minorEastAsia" w:cs="Arial"/>
          <w:lang w:eastAsia="ja-JP"/>
        </w:rPr>
        <w:t>’</w:t>
      </w:r>
      <w:r w:rsidRPr="00A32AF4">
        <w:rPr>
          <w:rFonts w:eastAsiaTheme="minorEastAsia" w:cs="Arial"/>
          <w:lang w:eastAsia="ja-JP"/>
        </w:rPr>
        <w:t>information, appuie ces efforts en s</w:t>
      </w:r>
      <w:r w:rsidR="00E2055A" w:rsidRPr="00A32AF4">
        <w:rPr>
          <w:rFonts w:eastAsiaTheme="minorEastAsia" w:cs="Arial"/>
          <w:lang w:eastAsia="ja-JP"/>
        </w:rPr>
        <w:t>’</w:t>
      </w:r>
      <w:r w:rsidRPr="00A32AF4">
        <w:rPr>
          <w:rFonts w:eastAsiaTheme="minorEastAsia" w:cs="Arial"/>
          <w:lang w:eastAsia="ja-JP"/>
        </w:rPr>
        <w:t>efforçant d</w:t>
      </w:r>
      <w:r w:rsidR="00E2055A" w:rsidRPr="00A32AF4">
        <w:rPr>
          <w:rFonts w:eastAsiaTheme="minorEastAsia" w:cs="Arial"/>
          <w:lang w:eastAsia="ja-JP"/>
        </w:rPr>
        <w:t>’</w:t>
      </w:r>
      <w:r w:rsidRPr="00A32AF4">
        <w:rPr>
          <w:rFonts w:eastAsiaTheme="minorEastAsia" w:cs="Arial"/>
          <w:lang w:eastAsia="ja-JP"/>
        </w:rPr>
        <w:t>informer les parties et, en tant que prestataire de services, propose des outils de gestion des litiges sur la base de clauses et des règles élaborées avec le concours de l</w:t>
      </w:r>
      <w:r w:rsidR="00E2055A" w:rsidRPr="00A32AF4">
        <w:rPr>
          <w:rFonts w:eastAsiaTheme="minorEastAsia" w:cs="Arial"/>
          <w:lang w:eastAsia="ja-JP"/>
        </w:rPr>
        <w:t>’</w:t>
      </w:r>
      <w:r w:rsidRPr="00A32AF4">
        <w:rPr>
          <w:rFonts w:eastAsiaTheme="minorEastAsia" w:cs="Arial"/>
          <w:lang w:eastAsia="ja-JP"/>
        </w:rPr>
        <w:t>OMPI.  Les bénéficiaires potentiels de cette activité sont les entreprises du secteur privé ainsi que des administrations publiques souhaitant avoir recours à des solutions de règlement extrajudiciaire des litiges (ADR).</w:t>
      </w:r>
    </w:p>
    <w:p w:rsidR="00F93B76" w:rsidRPr="00A32AF4" w:rsidRDefault="00F93B76" w:rsidP="00DC0553">
      <w:pPr>
        <w:pStyle w:val="BodyText"/>
        <w:tabs>
          <w:tab w:val="left" w:pos="567"/>
          <w:tab w:val="left" w:pos="876"/>
        </w:tabs>
        <w:spacing w:after="0"/>
        <w:jc w:val="both"/>
        <w:rPr>
          <w:rFonts w:eastAsiaTheme="minorEastAsia" w:cs="Arial"/>
          <w:lang w:eastAsia="ja-JP"/>
        </w:rPr>
      </w:pPr>
    </w:p>
    <w:p w:rsidR="00F93B76" w:rsidRPr="00A32AF4" w:rsidRDefault="00CD1430" w:rsidP="00DC0553">
      <w:pPr>
        <w:pStyle w:val="BodyText"/>
        <w:numPr>
          <w:ilvl w:val="1"/>
          <w:numId w:val="18"/>
        </w:numPr>
        <w:tabs>
          <w:tab w:val="left" w:pos="567"/>
        </w:tabs>
        <w:spacing w:after="0"/>
        <w:ind w:firstLine="0"/>
        <w:jc w:val="both"/>
        <w:rPr>
          <w:rFonts w:eastAsiaTheme="minorEastAsia" w:cs="Arial"/>
          <w:lang w:eastAsia="ja-JP"/>
        </w:rPr>
      </w:pPr>
      <w:r w:rsidRPr="00A32AF4">
        <w:rPr>
          <w:rFonts w:eastAsiaTheme="minorEastAsia" w:cs="Arial"/>
          <w:lang w:eastAsia="ja-JP"/>
        </w:rPr>
        <w:t>Le Centre d</w:t>
      </w:r>
      <w:r w:rsidR="00E2055A" w:rsidRPr="00A32AF4">
        <w:rPr>
          <w:rFonts w:eastAsiaTheme="minorEastAsia" w:cs="Arial"/>
          <w:lang w:eastAsia="ja-JP"/>
        </w:rPr>
        <w:t>’</w:t>
      </w:r>
      <w:r w:rsidRPr="00A32AF4">
        <w:rPr>
          <w:rFonts w:eastAsiaTheme="minorEastAsia" w:cs="Arial"/>
          <w:lang w:eastAsia="ja-JP"/>
        </w:rPr>
        <w:t>arbitrage et de médiation de l</w:t>
      </w:r>
      <w:r w:rsidR="00E2055A" w:rsidRPr="00A32AF4">
        <w:rPr>
          <w:rFonts w:eastAsiaTheme="minorEastAsia" w:cs="Arial"/>
          <w:lang w:eastAsia="ja-JP"/>
        </w:rPr>
        <w:t>’</w:t>
      </w:r>
      <w:r w:rsidRPr="00A32AF4">
        <w:rPr>
          <w:rFonts w:eastAsiaTheme="minorEastAsia" w:cs="Arial"/>
          <w:lang w:eastAsia="ja-JP"/>
        </w:rPr>
        <w:t>OMPI met en place des cadres de règlement extrajudiciaire des litiges concernant la propriété intellectuelle et en assure la gestion.  Par ailleurs, pour des raisons commerciales et politiques, de nombreux prestataires de services publics et privés en matière de règlement extrajudiciaire des litiges se font concurrence en ce qui concerne l</w:t>
      </w:r>
      <w:r w:rsidR="00E2055A" w:rsidRPr="00A32AF4">
        <w:rPr>
          <w:rFonts w:eastAsiaTheme="minorEastAsia" w:cs="Arial"/>
          <w:lang w:eastAsia="ja-JP"/>
        </w:rPr>
        <w:t>’</w:t>
      </w:r>
      <w:r w:rsidRPr="00A32AF4">
        <w:rPr>
          <w:rFonts w:eastAsiaTheme="minorEastAsia" w:cs="Arial"/>
          <w:lang w:eastAsia="ja-JP"/>
        </w:rPr>
        <w:t>application de ces mécanismes.</w:t>
      </w:r>
    </w:p>
    <w:p w:rsidR="00F93B76" w:rsidRPr="00A32AF4" w:rsidRDefault="00F93B76" w:rsidP="00DC0553">
      <w:pPr>
        <w:pStyle w:val="BodyText"/>
        <w:tabs>
          <w:tab w:val="left" w:pos="567"/>
          <w:tab w:val="left" w:pos="876"/>
        </w:tabs>
        <w:spacing w:after="0"/>
        <w:jc w:val="both"/>
        <w:rPr>
          <w:rFonts w:eastAsiaTheme="minorEastAsia" w:cs="Arial"/>
          <w:lang w:eastAsia="ja-JP"/>
        </w:rPr>
      </w:pPr>
    </w:p>
    <w:p w:rsidR="00F93B76" w:rsidRPr="00A32AF4" w:rsidRDefault="00CD1430" w:rsidP="00DC0553">
      <w:pPr>
        <w:pStyle w:val="BodyText"/>
        <w:numPr>
          <w:ilvl w:val="1"/>
          <w:numId w:val="18"/>
        </w:numPr>
        <w:tabs>
          <w:tab w:val="left" w:pos="567"/>
          <w:tab w:val="left" w:pos="876"/>
        </w:tabs>
        <w:spacing w:after="0"/>
        <w:ind w:firstLine="0"/>
        <w:jc w:val="both"/>
        <w:rPr>
          <w:rFonts w:eastAsiaTheme="minorEastAsia" w:cs="Arial"/>
          <w:lang w:eastAsia="ja-JP"/>
        </w:rPr>
      </w:pPr>
      <w:r w:rsidRPr="00A32AF4">
        <w:rPr>
          <w:rFonts w:eastAsiaTheme="minorEastAsia" w:cs="Arial"/>
          <w:lang w:eastAsia="ja-JP"/>
        </w:rPr>
        <w:t>Les Principes directeurs concernant le règlement uniforme des litiges relatifs aux noms de domaine (principes UDRP), établis à l</w:t>
      </w:r>
      <w:r w:rsidR="00E2055A" w:rsidRPr="00A32AF4">
        <w:rPr>
          <w:rFonts w:eastAsiaTheme="minorEastAsia" w:cs="Arial"/>
          <w:lang w:eastAsia="ja-JP"/>
        </w:rPr>
        <w:t>’</w:t>
      </w:r>
      <w:r w:rsidRPr="00A32AF4">
        <w:rPr>
          <w:rFonts w:eastAsiaTheme="minorEastAsia" w:cs="Arial"/>
          <w:lang w:eastAsia="ja-JP"/>
        </w:rPr>
        <w:t>initiative de l</w:t>
      </w:r>
      <w:r w:rsidR="00E2055A" w:rsidRPr="00A32AF4">
        <w:rPr>
          <w:rFonts w:eastAsiaTheme="minorEastAsia" w:cs="Arial"/>
          <w:lang w:eastAsia="ja-JP"/>
        </w:rPr>
        <w:t>’</w:t>
      </w:r>
      <w:r w:rsidRPr="00A32AF4">
        <w:rPr>
          <w:rFonts w:eastAsiaTheme="minorEastAsia" w:cs="Arial"/>
          <w:lang w:eastAsia="ja-JP"/>
        </w:rPr>
        <w:t>OMPI, sont un exemple du potentiel que présente le règlement extrajudiciaire des litiges de propriété intellectuelle.</w:t>
      </w:r>
      <w:r w:rsidRPr="00A32AF4">
        <w:t xml:space="preserve">  </w:t>
      </w:r>
      <w:r w:rsidRPr="00A32AF4">
        <w:rPr>
          <w:rFonts w:eastAsiaTheme="minorEastAsia" w:cs="Arial"/>
          <w:lang w:eastAsia="ja-JP"/>
        </w:rPr>
        <w:t>Dans le cadre de ce mécanisme mondial en ligne, qui se substitue efficacement aux procédures judiciaires pour traiter les atteintes aux marques dans le système des noms de domaine (DNS), le Centre d</w:t>
      </w:r>
      <w:r w:rsidR="00E2055A" w:rsidRPr="00A32AF4">
        <w:rPr>
          <w:rFonts w:eastAsiaTheme="minorEastAsia" w:cs="Arial"/>
          <w:lang w:eastAsia="ja-JP"/>
        </w:rPr>
        <w:t>’</w:t>
      </w:r>
      <w:r w:rsidRPr="00A32AF4">
        <w:rPr>
          <w:rFonts w:eastAsiaTheme="minorEastAsia" w:cs="Arial"/>
          <w:lang w:eastAsia="ja-JP"/>
        </w:rPr>
        <w:t>arbitrage et de médiation de l</w:t>
      </w:r>
      <w:r w:rsidR="00E2055A" w:rsidRPr="00A32AF4">
        <w:rPr>
          <w:rFonts w:eastAsiaTheme="minorEastAsia" w:cs="Arial"/>
          <w:lang w:eastAsia="ja-JP"/>
        </w:rPr>
        <w:t>’</w:t>
      </w:r>
      <w:r w:rsidRPr="00A32AF4">
        <w:rPr>
          <w:rFonts w:eastAsiaTheme="minorEastAsia" w:cs="Arial"/>
          <w:lang w:eastAsia="ja-JP"/>
        </w:rPr>
        <w:t xml:space="preserve">OMPI a administré plus de </w:t>
      </w:r>
      <w:r w:rsidR="00E8073E" w:rsidRPr="00A32AF4">
        <w:rPr>
          <w:rFonts w:eastAsiaTheme="minorEastAsia" w:cs="Arial"/>
          <w:lang w:eastAsia="ja-JP"/>
        </w:rPr>
        <w:t>30 000 </w:t>
      </w:r>
      <w:r w:rsidRPr="00A32AF4">
        <w:rPr>
          <w:rFonts w:eastAsiaTheme="minorEastAsia" w:cs="Arial"/>
          <w:lang w:eastAsia="ja-JP"/>
        </w:rPr>
        <w:t>litiges courant 2014.</w:t>
      </w:r>
      <w:r w:rsidRPr="00A32AF4">
        <w:t xml:space="preserve">  </w:t>
      </w:r>
      <w:r w:rsidRPr="00A32AF4">
        <w:rPr>
          <w:rFonts w:eastAsiaTheme="minorEastAsia" w:cs="Arial"/>
          <w:lang w:eastAsia="ja-JP"/>
        </w:rPr>
        <w:t>Le système des noms de domaine connaît une évolution considérable, sous la forme d</w:t>
      </w:r>
      <w:r w:rsidR="00E2055A" w:rsidRPr="00A32AF4">
        <w:rPr>
          <w:rFonts w:eastAsiaTheme="minorEastAsia" w:cs="Arial"/>
          <w:lang w:eastAsia="ja-JP"/>
        </w:rPr>
        <w:t>’</w:t>
      </w:r>
      <w:r w:rsidRPr="00A32AF4">
        <w:rPr>
          <w:rFonts w:eastAsiaTheme="minorEastAsia" w:cs="Arial"/>
          <w:lang w:eastAsia="ja-JP"/>
        </w:rPr>
        <w:t>une forte augmentation du nombre des domaines génériques de premier niveau (gTLD) et de l</w:t>
      </w:r>
      <w:r w:rsidR="00E2055A" w:rsidRPr="00A32AF4">
        <w:rPr>
          <w:rFonts w:eastAsiaTheme="minorEastAsia" w:cs="Arial"/>
          <w:lang w:eastAsia="ja-JP"/>
        </w:rPr>
        <w:t>’</w:t>
      </w:r>
      <w:r w:rsidRPr="00A32AF4">
        <w:rPr>
          <w:rFonts w:eastAsiaTheme="minorEastAsia" w:cs="Arial"/>
          <w:lang w:eastAsia="ja-JP"/>
        </w:rPr>
        <w:t>introduction de gTLD internationalisés (utilisant des caractères non latins).</w:t>
      </w:r>
    </w:p>
    <w:p w:rsidR="00F93B76" w:rsidRPr="00A32AF4" w:rsidRDefault="00F93B76" w:rsidP="00DC0553">
      <w:pPr>
        <w:pStyle w:val="BodyText"/>
        <w:tabs>
          <w:tab w:val="left" w:pos="567"/>
          <w:tab w:val="left" w:pos="876"/>
        </w:tabs>
        <w:spacing w:after="0"/>
        <w:jc w:val="both"/>
        <w:rPr>
          <w:rFonts w:eastAsiaTheme="minorEastAsia" w:cs="Arial"/>
          <w:lang w:eastAsia="ja-JP"/>
        </w:rPr>
      </w:pPr>
    </w:p>
    <w:p w:rsidR="00F93B76" w:rsidRPr="00A32AF4" w:rsidRDefault="00CD1430" w:rsidP="00DC0553">
      <w:pPr>
        <w:pStyle w:val="BodyText"/>
        <w:numPr>
          <w:ilvl w:val="1"/>
          <w:numId w:val="18"/>
        </w:numPr>
        <w:tabs>
          <w:tab w:val="left" w:pos="567"/>
          <w:tab w:val="left" w:pos="876"/>
        </w:tabs>
        <w:spacing w:after="0"/>
        <w:ind w:firstLine="0"/>
        <w:jc w:val="both"/>
        <w:rPr>
          <w:rFonts w:eastAsiaTheme="minorEastAsia" w:cs="Arial"/>
          <w:lang w:eastAsia="ja-JP"/>
        </w:rPr>
      </w:pPr>
      <w:r w:rsidRPr="00A32AF4">
        <w:rPr>
          <w:rFonts w:eastAsiaTheme="minorEastAsia" w:cs="Arial"/>
          <w:lang w:eastAsia="ja-JP"/>
        </w:rPr>
        <w:t>Le Centre d</w:t>
      </w:r>
      <w:r w:rsidR="00E2055A" w:rsidRPr="00A32AF4">
        <w:rPr>
          <w:rFonts w:eastAsiaTheme="minorEastAsia" w:cs="Arial"/>
          <w:lang w:eastAsia="ja-JP"/>
        </w:rPr>
        <w:t>’</w:t>
      </w:r>
      <w:r w:rsidRPr="00A32AF4">
        <w:rPr>
          <w:rFonts w:eastAsiaTheme="minorEastAsia" w:cs="Arial"/>
          <w:lang w:eastAsia="ja-JP"/>
        </w:rPr>
        <w:t>arbitrage et de médiation de l</w:t>
      </w:r>
      <w:r w:rsidR="00E2055A" w:rsidRPr="00A32AF4">
        <w:rPr>
          <w:rFonts w:eastAsiaTheme="minorEastAsia" w:cs="Arial"/>
          <w:lang w:eastAsia="ja-JP"/>
        </w:rPr>
        <w:t>’</w:t>
      </w:r>
      <w:r w:rsidRPr="00A32AF4">
        <w:rPr>
          <w:rFonts w:eastAsiaTheme="minorEastAsia" w:cs="Arial"/>
          <w:lang w:eastAsia="ja-JP"/>
        </w:rPr>
        <w:t>OMPI continue à jouer un rôle dynamique en proposant des solutions à l</w:t>
      </w:r>
      <w:r w:rsidR="00E2055A" w:rsidRPr="00A32AF4">
        <w:rPr>
          <w:rFonts w:eastAsiaTheme="minorEastAsia" w:cs="Arial"/>
          <w:lang w:eastAsia="ja-JP"/>
        </w:rPr>
        <w:t>’</w:t>
      </w:r>
      <w:r w:rsidRPr="00A32AF4">
        <w:rPr>
          <w:rFonts w:eastAsiaTheme="minorEastAsia" w:cs="Arial"/>
          <w:i/>
          <w:lang w:eastAsia="ja-JP"/>
        </w:rPr>
        <w:t>Internet Corporation for Assigned Names and Numbers</w:t>
      </w:r>
      <w:r w:rsidRPr="00A32AF4">
        <w:rPr>
          <w:rFonts w:eastAsiaTheme="minorEastAsia" w:cs="Arial"/>
          <w:lang w:eastAsia="ja-JP"/>
        </w:rPr>
        <w:t xml:space="preserve"> (ICANN) en vue de limiter tout effet négatif des changements en question sur la propriété intellectuelle.</w:t>
      </w:r>
      <w:r w:rsidRPr="00A32AF4">
        <w:t xml:space="preserve"> </w:t>
      </w:r>
      <w:r w:rsidRPr="00A32AF4">
        <w:rPr>
          <w:rFonts w:eastAsiaTheme="minorEastAsia" w:cs="Arial"/>
          <w:lang w:eastAsia="ja-JP"/>
        </w:rPr>
        <w:t xml:space="preserve"> Dans le même ordre d</w:t>
      </w:r>
      <w:r w:rsidR="00E2055A" w:rsidRPr="00A32AF4">
        <w:rPr>
          <w:rFonts w:eastAsiaTheme="minorEastAsia" w:cs="Arial"/>
          <w:lang w:eastAsia="ja-JP"/>
        </w:rPr>
        <w:t>’</w:t>
      </w:r>
      <w:r w:rsidRPr="00A32AF4">
        <w:rPr>
          <w:rFonts w:eastAsiaTheme="minorEastAsia" w:cs="Arial"/>
          <w:lang w:eastAsia="ja-JP"/>
        </w:rPr>
        <w:t>idée, des changements substantiels de la demande d</w:t>
      </w:r>
      <w:r w:rsidR="00E2055A" w:rsidRPr="00A32AF4">
        <w:rPr>
          <w:rFonts w:eastAsiaTheme="minorEastAsia" w:cs="Arial"/>
          <w:lang w:eastAsia="ja-JP"/>
        </w:rPr>
        <w:t>’</w:t>
      </w:r>
      <w:r w:rsidRPr="00A32AF4">
        <w:rPr>
          <w:rFonts w:eastAsiaTheme="minorEastAsia" w:cs="Arial"/>
          <w:lang w:eastAsia="ja-JP"/>
        </w:rPr>
        <w:t>application des principes UDRP pourraient avoir une incidence sur ce service de l</w:t>
      </w:r>
      <w:r w:rsidR="00E2055A" w:rsidRPr="00A32AF4">
        <w:rPr>
          <w:rFonts w:eastAsiaTheme="minorEastAsia" w:cs="Arial"/>
          <w:lang w:eastAsia="ja-JP"/>
        </w:rPr>
        <w:t>’</w:t>
      </w:r>
      <w:r w:rsidRPr="00A32AF4">
        <w:rPr>
          <w:rFonts w:eastAsiaTheme="minorEastAsia" w:cs="Arial"/>
          <w:lang w:eastAsia="ja-JP"/>
        </w:rPr>
        <w:t>OMPI.</w:t>
      </w:r>
    </w:p>
    <w:p w:rsidR="00F93B76" w:rsidRPr="00A32AF4" w:rsidRDefault="00F93B76" w:rsidP="00DC0553">
      <w:pPr>
        <w:pStyle w:val="BodyText"/>
        <w:tabs>
          <w:tab w:val="left" w:pos="567"/>
          <w:tab w:val="left" w:pos="876"/>
        </w:tabs>
        <w:spacing w:after="0"/>
        <w:jc w:val="both"/>
        <w:rPr>
          <w:rFonts w:eastAsiaTheme="minorEastAsia" w:cs="Arial"/>
          <w:lang w:eastAsia="ja-JP"/>
        </w:rPr>
      </w:pPr>
    </w:p>
    <w:p w:rsidR="00F93B76" w:rsidRPr="00A32AF4" w:rsidRDefault="00CD1430" w:rsidP="00DC0553">
      <w:pPr>
        <w:pStyle w:val="BodyText"/>
        <w:numPr>
          <w:ilvl w:val="1"/>
          <w:numId w:val="18"/>
        </w:numPr>
        <w:tabs>
          <w:tab w:val="left" w:pos="567"/>
          <w:tab w:val="left" w:pos="876"/>
        </w:tabs>
        <w:spacing w:after="0"/>
        <w:ind w:firstLine="0"/>
        <w:jc w:val="both"/>
        <w:rPr>
          <w:rFonts w:eastAsiaTheme="minorEastAsia" w:cs="Arial"/>
          <w:lang w:eastAsia="ja-JP"/>
        </w:rPr>
      </w:pPr>
      <w:r w:rsidRPr="00A32AF4">
        <w:rPr>
          <w:rFonts w:eastAsiaTheme="minorEastAsia" w:cs="Arial"/>
          <w:lang w:eastAsia="ja-JP"/>
        </w:rPr>
        <w:t>Le Centre d</w:t>
      </w:r>
      <w:r w:rsidR="00E2055A" w:rsidRPr="00A32AF4">
        <w:rPr>
          <w:rFonts w:eastAsiaTheme="minorEastAsia" w:cs="Arial"/>
          <w:lang w:eastAsia="ja-JP"/>
        </w:rPr>
        <w:t>’</w:t>
      </w:r>
      <w:r w:rsidRPr="00A32AF4">
        <w:rPr>
          <w:rFonts w:eastAsiaTheme="minorEastAsia" w:cs="Arial"/>
          <w:lang w:eastAsia="ja-JP"/>
        </w:rPr>
        <w:t>arbitrage et de médiation de l</w:t>
      </w:r>
      <w:r w:rsidR="00E2055A" w:rsidRPr="00A32AF4">
        <w:rPr>
          <w:rFonts w:eastAsiaTheme="minorEastAsia" w:cs="Arial"/>
          <w:lang w:eastAsia="ja-JP"/>
        </w:rPr>
        <w:t>’</w:t>
      </w:r>
      <w:r w:rsidRPr="00A32AF4">
        <w:rPr>
          <w:rFonts w:eastAsiaTheme="minorEastAsia" w:cs="Arial"/>
          <w:lang w:eastAsia="ja-JP"/>
        </w:rPr>
        <w:t>OMPI aide les autorités nationales compétentes en matière de noms de domaine de premier niveau qui sont des codes de pays (ccTLD) à établir des pratiques recommandées à l</w:t>
      </w:r>
      <w:r w:rsidR="00E2055A" w:rsidRPr="00A32AF4">
        <w:rPr>
          <w:rFonts w:eastAsiaTheme="minorEastAsia" w:cs="Arial"/>
          <w:lang w:eastAsia="ja-JP"/>
        </w:rPr>
        <w:t>’</w:t>
      </w:r>
      <w:r w:rsidRPr="00A32AF4">
        <w:rPr>
          <w:rFonts w:eastAsiaTheme="minorEastAsia" w:cs="Arial"/>
          <w:lang w:eastAsia="ja-JP"/>
        </w:rPr>
        <w:t>intention des services d</w:t>
      </w:r>
      <w:r w:rsidR="00E2055A" w:rsidRPr="00A32AF4">
        <w:rPr>
          <w:rFonts w:eastAsiaTheme="minorEastAsia" w:cs="Arial"/>
          <w:lang w:eastAsia="ja-JP"/>
        </w:rPr>
        <w:t>’</w:t>
      </w:r>
      <w:r w:rsidRPr="00A32AF4">
        <w:rPr>
          <w:rFonts w:eastAsiaTheme="minorEastAsia" w:cs="Arial"/>
          <w:lang w:eastAsia="ja-JP"/>
        </w:rPr>
        <w:t>enregistrement et à mettre en place des mécanismes de règlement des litiges à propos des noms de domaine.</w:t>
      </w:r>
      <w:r w:rsidRPr="00A32AF4">
        <w:t xml:space="preserve">  </w:t>
      </w:r>
      <w:r w:rsidRPr="00A32AF4">
        <w:rPr>
          <w:rFonts w:eastAsiaTheme="minorEastAsia" w:cs="Arial"/>
          <w:lang w:eastAsia="ja-JP"/>
        </w:rPr>
        <w:t>S</w:t>
      </w:r>
      <w:r w:rsidR="00E2055A" w:rsidRPr="00A32AF4">
        <w:rPr>
          <w:rFonts w:eastAsiaTheme="minorEastAsia" w:cs="Arial"/>
          <w:lang w:eastAsia="ja-JP"/>
        </w:rPr>
        <w:t>’</w:t>
      </w:r>
      <w:r w:rsidRPr="00A32AF4">
        <w:rPr>
          <w:rFonts w:eastAsiaTheme="minorEastAsia" w:cs="Arial"/>
          <w:lang w:eastAsia="ja-JP"/>
        </w:rPr>
        <w:t>agissant plus généralement des cadres de règlement extrajudiciaire des litiges (ADR), les administrations nationales de la propriété intellectuelle invitent le Centre à contribuer à l</w:t>
      </w:r>
      <w:r w:rsidR="00E2055A" w:rsidRPr="00A32AF4">
        <w:rPr>
          <w:rFonts w:eastAsiaTheme="minorEastAsia" w:cs="Arial"/>
          <w:lang w:eastAsia="ja-JP"/>
        </w:rPr>
        <w:t>’</w:t>
      </w:r>
      <w:r w:rsidRPr="00A32AF4">
        <w:rPr>
          <w:rFonts w:eastAsiaTheme="minorEastAsia" w:cs="Arial"/>
          <w:lang w:eastAsia="ja-JP"/>
        </w:rPr>
        <w:t>élaboration de mécanismes facultatifs, en complément des procédures existantes.</w:t>
      </w:r>
      <w:r w:rsidRPr="00A32AF4">
        <w:t xml:space="preserve">  </w:t>
      </w:r>
      <w:r w:rsidRPr="00A32AF4">
        <w:rPr>
          <w:rFonts w:eastAsiaTheme="minorEastAsia" w:cs="Arial"/>
          <w:lang w:eastAsia="ja-JP"/>
        </w:rPr>
        <w:t xml:space="preserve">Le Centre organise en outre des programmes de formation, </w:t>
      </w:r>
      <w:r w:rsidR="00E2055A" w:rsidRPr="00A32AF4">
        <w:rPr>
          <w:rFonts w:eastAsiaTheme="minorEastAsia" w:cs="Arial"/>
          <w:lang w:eastAsia="ja-JP"/>
        </w:rPr>
        <w:t>y compris</w:t>
      </w:r>
      <w:r w:rsidRPr="00A32AF4">
        <w:rPr>
          <w:rFonts w:eastAsiaTheme="minorEastAsia" w:cs="Arial"/>
          <w:lang w:eastAsia="ja-JP"/>
        </w:rPr>
        <w:t xml:space="preserve"> des programmes en ligne, destinés aux responsables et praticiens de la propriété intellectuelle ainsi qu</w:t>
      </w:r>
      <w:r w:rsidR="00E2055A" w:rsidRPr="00A32AF4">
        <w:rPr>
          <w:rFonts w:eastAsiaTheme="minorEastAsia" w:cs="Arial"/>
          <w:lang w:eastAsia="ja-JP"/>
        </w:rPr>
        <w:t>’</w:t>
      </w:r>
      <w:r w:rsidRPr="00A32AF4">
        <w:rPr>
          <w:rFonts w:eastAsiaTheme="minorEastAsia" w:cs="Arial"/>
          <w:lang w:eastAsia="ja-JP"/>
        </w:rPr>
        <w:t>aux étudiants.</w:t>
      </w:r>
      <w:r w:rsidRPr="00A32AF4">
        <w:t xml:space="preserve">  </w:t>
      </w:r>
      <w:r w:rsidRPr="00A32AF4">
        <w:rPr>
          <w:rFonts w:eastAsiaTheme="minorEastAsia" w:cs="Arial"/>
          <w:lang w:eastAsia="ja-JP"/>
        </w:rPr>
        <w:t>Ces activités de formation et de renforcement des capacités menées conformément aux recommandations n</w:t>
      </w:r>
      <w:r w:rsidRPr="00A32AF4">
        <w:rPr>
          <w:rFonts w:eastAsiaTheme="minorEastAsia" w:cs="Arial"/>
          <w:vertAlign w:val="superscript"/>
          <w:lang w:eastAsia="ja-JP"/>
        </w:rPr>
        <w:t>os</w:t>
      </w:r>
      <w:r w:rsidRPr="00A32AF4">
        <w:rPr>
          <w:rFonts w:eastAsiaTheme="minorEastAsia" w:cs="Arial"/>
          <w:lang w:eastAsia="ja-JP"/>
        </w:rPr>
        <w:t> 1 et 6 du Plan d</w:t>
      </w:r>
      <w:r w:rsidR="00E2055A" w:rsidRPr="00A32AF4">
        <w:rPr>
          <w:rFonts w:eastAsiaTheme="minorEastAsia" w:cs="Arial"/>
          <w:lang w:eastAsia="ja-JP"/>
        </w:rPr>
        <w:t>’</w:t>
      </w:r>
      <w:r w:rsidRPr="00A32AF4">
        <w:rPr>
          <w:rFonts w:eastAsiaTheme="minorEastAsia" w:cs="Arial"/>
          <w:lang w:eastAsia="ja-JP"/>
        </w:rPr>
        <w:t>action pour le développement contribueront à la mise en œuvre de la recommandation n° 10 du Plan d</w:t>
      </w:r>
      <w:r w:rsidR="00E2055A" w:rsidRPr="00A32AF4">
        <w:rPr>
          <w:rFonts w:eastAsiaTheme="minorEastAsia" w:cs="Arial"/>
          <w:lang w:eastAsia="ja-JP"/>
        </w:rPr>
        <w:t>’</w:t>
      </w:r>
      <w:r w:rsidRPr="00A32AF4">
        <w:rPr>
          <w:rFonts w:eastAsiaTheme="minorEastAsia" w:cs="Arial"/>
          <w:lang w:eastAsia="ja-JP"/>
        </w:rPr>
        <w:t>action pour le développement en faisant en sorte que les pays en développement et les pays les moins avancés renforcent leurs capacités institutionnelles de régler les litiges de propriété intellectuelle efficacement, équitablement et à moindres frais.</w:t>
      </w:r>
    </w:p>
    <w:p w:rsidR="00F93B76" w:rsidRPr="00A32AF4" w:rsidRDefault="00F93B76" w:rsidP="00DC0553"/>
    <w:p w:rsidR="00F93B76" w:rsidRPr="00A32AF4" w:rsidRDefault="00F93B76" w:rsidP="00DC0553"/>
    <w:p w:rsidR="00F93B76" w:rsidRPr="00A32AF4" w:rsidRDefault="00CD1430" w:rsidP="00DC0553">
      <w:pPr>
        <w:keepNext/>
      </w:pPr>
      <w:r w:rsidRPr="00A32AF4">
        <w:t>STRATÉGIES DE MISE EN ŒUVRE</w:t>
      </w:r>
    </w:p>
    <w:p w:rsidR="00F93B76" w:rsidRPr="00A32AF4" w:rsidRDefault="00F93B76" w:rsidP="00DC0553">
      <w:pPr>
        <w:keepNext/>
      </w:pPr>
    </w:p>
    <w:p w:rsidR="00F93B76" w:rsidRPr="00A32AF4" w:rsidRDefault="00CD1430" w:rsidP="00DC0553">
      <w:pPr>
        <w:pStyle w:val="BodyText"/>
        <w:numPr>
          <w:ilvl w:val="1"/>
          <w:numId w:val="18"/>
        </w:numPr>
        <w:tabs>
          <w:tab w:val="left" w:pos="567"/>
          <w:tab w:val="left" w:pos="876"/>
        </w:tabs>
        <w:spacing w:after="0"/>
        <w:ind w:firstLine="0"/>
        <w:jc w:val="both"/>
        <w:rPr>
          <w:rFonts w:eastAsiaTheme="minorEastAsia" w:cs="Arial"/>
          <w:lang w:eastAsia="ja-JP"/>
        </w:rPr>
      </w:pPr>
      <w:r w:rsidRPr="00A32AF4">
        <w:rPr>
          <w:rFonts w:eastAsiaTheme="minorEastAsia" w:cs="Arial"/>
          <w:lang w:eastAsia="ja-JP"/>
        </w:rPr>
        <w:t>Dans ce contexte, le Centre d</w:t>
      </w:r>
      <w:r w:rsidR="00E2055A" w:rsidRPr="00A32AF4">
        <w:rPr>
          <w:rFonts w:eastAsiaTheme="minorEastAsia" w:cs="Arial"/>
          <w:lang w:eastAsia="ja-JP"/>
        </w:rPr>
        <w:t>’</w:t>
      </w:r>
      <w:r w:rsidRPr="00A32AF4">
        <w:rPr>
          <w:rFonts w:eastAsiaTheme="minorEastAsia" w:cs="Arial"/>
          <w:lang w:eastAsia="ja-JP"/>
        </w:rPr>
        <w:t>arbitrage et de médiation de l</w:t>
      </w:r>
      <w:r w:rsidR="00E2055A" w:rsidRPr="00A32AF4">
        <w:rPr>
          <w:rFonts w:eastAsiaTheme="minorEastAsia" w:cs="Arial"/>
          <w:lang w:eastAsia="ja-JP"/>
        </w:rPr>
        <w:t>’</w:t>
      </w:r>
      <w:r w:rsidRPr="00A32AF4">
        <w:rPr>
          <w:rFonts w:eastAsiaTheme="minorEastAsia" w:cs="Arial"/>
          <w:lang w:eastAsia="ja-JP"/>
        </w:rPr>
        <w:t>OMPI mettra en œuvre les stratégies suivantes :</w:t>
      </w:r>
    </w:p>
    <w:p w:rsidR="00F93B76" w:rsidRPr="00A32AF4" w:rsidRDefault="00F93B76" w:rsidP="00DC0553"/>
    <w:p w:rsidR="00F93B76" w:rsidRPr="00A32AF4" w:rsidRDefault="00CD1430" w:rsidP="00DC0553">
      <w:pPr>
        <w:pStyle w:val="BodyText"/>
        <w:numPr>
          <w:ilvl w:val="2"/>
          <w:numId w:val="18"/>
        </w:numPr>
        <w:tabs>
          <w:tab w:val="left" w:pos="567"/>
          <w:tab w:val="left" w:pos="1134"/>
        </w:tabs>
        <w:spacing w:after="0"/>
        <w:ind w:left="567" w:firstLine="0"/>
        <w:jc w:val="both"/>
        <w:rPr>
          <w:rFonts w:cs="Arial"/>
        </w:rPr>
      </w:pPr>
      <w:r w:rsidRPr="00A32AF4">
        <w:rPr>
          <w:rFonts w:cs="Arial"/>
        </w:rPr>
        <w:t>Faire mieux connaître aux parties prenantes les mécanismes de règlement extrajudiciaire des litiges de propriété intellectuelle.</w:t>
      </w:r>
    </w:p>
    <w:p w:rsidR="00F93B76" w:rsidRPr="00A32AF4" w:rsidRDefault="00F93B76" w:rsidP="00DC0553"/>
    <w:p w:rsidR="00F93B76" w:rsidRPr="00A32AF4" w:rsidRDefault="00CD1430" w:rsidP="00DC0553">
      <w:pPr>
        <w:pStyle w:val="BodyText"/>
        <w:numPr>
          <w:ilvl w:val="2"/>
          <w:numId w:val="18"/>
        </w:numPr>
        <w:tabs>
          <w:tab w:val="left" w:pos="567"/>
          <w:tab w:val="left" w:pos="1134"/>
        </w:tabs>
        <w:spacing w:after="0"/>
        <w:ind w:left="567" w:firstLine="0"/>
        <w:jc w:val="both"/>
        <w:rPr>
          <w:rFonts w:cs="Arial"/>
          <w:position w:val="1"/>
        </w:rPr>
      </w:pPr>
      <w:r w:rsidRPr="00A32AF4">
        <w:rPr>
          <w:rFonts w:cs="Arial"/>
          <w:position w:val="1"/>
        </w:rPr>
        <w:t>Accroître l</w:t>
      </w:r>
      <w:r w:rsidR="00E2055A" w:rsidRPr="00A32AF4">
        <w:rPr>
          <w:rFonts w:cs="Arial"/>
          <w:position w:val="1"/>
        </w:rPr>
        <w:t>’</w:t>
      </w:r>
      <w:r w:rsidRPr="00A32AF4">
        <w:rPr>
          <w:rFonts w:cs="Arial"/>
          <w:position w:val="1"/>
        </w:rPr>
        <w:t>attrait présenté par les services de règlement des litiges offerts par le Centre d</w:t>
      </w:r>
      <w:r w:rsidR="00E2055A" w:rsidRPr="00A32AF4">
        <w:rPr>
          <w:rFonts w:cs="Arial"/>
          <w:position w:val="1"/>
        </w:rPr>
        <w:t>’</w:t>
      </w:r>
      <w:r w:rsidRPr="00A32AF4">
        <w:rPr>
          <w:rFonts w:cs="Arial"/>
          <w:position w:val="1"/>
        </w:rPr>
        <w:t>arbitrage et de médiation de l</w:t>
      </w:r>
      <w:r w:rsidR="00E2055A" w:rsidRPr="00A32AF4">
        <w:rPr>
          <w:rFonts w:cs="Arial"/>
          <w:position w:val="1"/>
        </w:rPr>
        <w:t>’</w:t>
      </w:r>
      <w:r w:rsidRPr="00A32AF4">
        <w:rPr>
          <w:rFonts w:cs="Arial"/>
          <w:position w:val="1"/>
        </w:rPr>
        <w:t>OMPI en adaptant ses procédures et son infrastructure de règlement des litiges à l</w:t>
      </w:r>
      <w:r w:rsidR="00E2055A" w:rsidRPr="00A32AF4">
        <w:rPr>
          <w:rFonts w:cs="Arial"/>
          <w:position w:val="1"/>
        </w:rPr>
        <w:t>’</w:t>
      </w:r>
      <w:r w:rsidRPr="00A32AF4">
        <w:rPr>
          <w:rFonts w:cs="Arial"/>
          <w:position w:val="1"/>
        </w:rPr>
        <w:t xml:space="preserve">évolution des besoins des utilisateurs, </w:t>
      </w:r>
      <w:r w:rsidR="00E2055A" w:rsidRPr="00A32AF4">
        <w:rPr>
          <w:rFonts w:cs="Arial"/>
          <w:position w:val="1"/>
        </w:rPr>
        <w:t>y compris</w:t>
      </w:r>
      <w:r w:rsidRPr="00A32AF4">
        <w:rPr>
          <w:rFonts w:cs="Arial"/>
          <w:position w:val="1"/>
        </w:rPr>
        <w:t xml:space="preserve"> en recourant à des solutions informatiques.</w:t>
      </w:r>
    </w:p>
    <w:p w:rsidR="00F93B76" w:rsidRPr="00A32AF4" w:rsidRDefault="00F93B76" w:rsidP="00DC0553"/>
    <w:p w:rsidR="00F93B76" w:rsidRPr="00A32AF4" w:rsidRDefault="00CD1430" w:rsidP="00DC0553">
      <w:pPr>
        <w:pStyle w:val="BodyText"/>
        <w:numPr>
          <w:ilvl w:val="2"/>
          <w:numId w:val="18"/>
        </w:numPr>
        <w:tabs>
          <w:tab w:val="left" w:pos="567"/>
          <w:tab w:val="left" w:pos="1134"/>
        </w:tabs>
        <w:spacing w:after="0"/>
        <w:ind w:left="567" w:firstLine="0"/>
        <w:jc w:val="both"/>
        <w:rPr>
          <w:rFonts w:cs="Arial"/>
        </w:rPr>
      </w:pPr>
      <w:r w:rsidRPr="00A32AF4">
        <w:rPr>
          <w:rFonts w:cs="Arial"/>
        </w:rPr>
        <w:t>Travailler en concertation avec les titulaires de droits, les utilisateurs, les offices et d</w:t>
      </w:r>
      <w:r w:rsidR="00E2055A" w:rsidRPr="00A32AF4">
        <w:rPr>
          <w:rFonts w:cs="Arial"/>
        </w:rPr>
        <w:t>’</w:t>
      </w:r>
      <w:r w:rsidRPr="00A32AF4">
        <w:rPr>
          <w:rFonts w:cs="Arial"/>
        </w:rPr>
        <w:t>autres institutions en vue d</w:t>
      </w:r>
      <w:r w:rsidR="00E2055A" w:rsidRPr="00A32AF4">
        <w:rPr>
          <w:rFonts w:cs="Arial"/>
        </w:rPr>
        <w:t>’</w:t>
      </w:r>
      <w:r w:rsidRPr="00A32AF4">
        <w:rPr>
          <w:rFonts w:cs="Arial"/>
        </w:rPr>
        <w:t xml:space="preserve">élaborer des procédures spécialement adaptées aux caractéristiques </w:t>
      </w:r>
      <w:r w:rsidRPr="00A32AF4">
        <w:rPr>
          <w:rFonts w:cs="Arial"/>
          <w:position w:val="1"/>
        </w:rPr>
        <w:t>particulières</w:t>
      </w:r>
      <w:r w:rsidRPr="00A32AF4">
        <w:rPr>
          <w:rFonts w:cs="Arial"/>
        </w:rPr>
        <w:t xml:space="preserve"> des litiges récurrents dans leur domaine d</w:t>
      </w:r>
      <w:r w:rsidR="00E2055A" w:rsidRPr="00A32AF4">
        <w:rPr>
          <w:rFonts w:cs="Arial"/>
        </w:rPr>
        <w:t>’</w:t>
      </w:r>
      <w:r w:rsidRPr="00A32AF4">
        <w:rPr>
          <w:rFonts w:cs="Arial"/>
        </w:rPr>
        <w:t>activité.</w:t>
      </w:r>
    </w:p>
    <w:p w:rsidR="00F93B76" w:rsidRPr="00A32AF4" w:rsidRDefault="00F93B76" w:rsidP="00DC0553"/>
    <w:p w:rsidR="00E2055A" w:rsidRPr="00A32AF4" w:rsidRDefault="00F05895" w:rsidP="00DC0553">
      <w:pPr>
        <w:pStyle w:val="BodyText"/>
        <w:numPr>
          <w:ilvl w:val="1"/>
          <w:numId w:val="18"/>
        </w:numPr>
        <w:tabs>
          <w:tab w:val="left" w:pos="567"/>
          <w:tab w:val="left" w:pos="876"/>
        </w:tabs>
        <w:spacing w:after="0"/>
        <w:ind w:firstLine="0"/>
        <w:jc w:val="both"/>
        <w:rPr>
          <w:rFonts w:eastAsiaTheme="minorEastAsia"/>
          <w:lang w:eastAsia="ja-JP"/>
        </w:rPr>
      </w:pPr>
      <w:r w:rsidRPr="00A32AF4">
        <w:rPr>
          <w:rFonts w:eastAsiaTheme="minorEastAsia" w:cs="Arial"/>
          <w:lang w:eastAsia="ja-JP"/>
        </w:rPr>
        <w:t>Le p</w:t>
      </w:r>
      <w:r w:rsidR="008E2946" w:rsidRPr="00A32AF4">
        <w:rPr>
          <w:rFonts w:eastAsiaTheme="minorEastAsia" w:cs="Arial"/>
          <w:lang w:eastAsia="ja-JP"/>
        </w:rPr>
        <w:t>rogram</w:t>
      </w:r>
      <w:r w:rsidRPr="00A32AF4">
        <w:rPr>
          <w:rFonts w:eastAsiaTheme="minorEastAsia" w:cs="Arial"/>
          <w:lang w:eastAsia="ja-JP"/>
        </w:rPr>
        <w:t>me</w:t>
      </w:r>
      <w:r w:rsidR="008E2946" w:rsidRPr="00A32AF4">
        <w:rPr>
          <w:rFonts w:eastAsiaTheme="minorEastAsia"/>
          <w:lang w:eastAsia="ja-JP"/>
        </w:rPr>
        <w:t xml:space="preserve"> 7 collabor</w:t>
      </w:r>
      <w:r w:rsidRPr="00A32AF4">
        <w:rPr>
          <w:rFonts w:eastAsiaTheme="minorEastAsia"/>
          <w:lang w:eastAsia="ja-JP"/>
        </w:rPr>
        <w:t>e</w:t>
      </w:r>
      <w:r w:rsidR="008E2946" w:rsidRPr="00A32AF4">
        <w:rPr>
          <w:rFonts w:eastAsiaTheme="minorEastAsia"/>
          <w:lang w:eastAsia="ja-JP"/>
        </w:rPr>
        <w:t xml:space="preserve"> </w:t>
      </w:r>
      <w:r w:rsidRPr="00A32AF4">
        <w:rPr>
          <w:rFonts w:eastAsiaTheme="minorEastAsia"/>
          <w:lang w:eastAsia="ja-JP"/>
        </w:rPr>
        <w:t xml:space="preserve">essentiellement avec les </w:t>
      </w:r>
      <w:r w:rsidR="001349CB" w:rsidRPr="00A32AF4">
        <w:rPr>
          <w:rFonts w:eastAsiaTheme="minorEastAsia"/>
          <w:lang w:eastAsia="ja-JP"/>
        </w:rPr>
        <w:t xml:space="preserve">autres </w:t>
      </w:r>
      <w:r w:rsidRPr="00A32AF4">
        <w:rPr>
          <w:rFonts w:eastAsiaTheme="minorEastAsia"/>
          <w:lang w:eastAsia="ja-JP"/>
        </w:rPr>
        <w:t>programmes indiqués ci</w:t>
      </w:r>
      <w:r w:rsidR="00EB7F54" w:rsidRPr="00A32AF4">
        <w:rPr>
          <w:rFonts w:eastAsiaTheme="minorEastAsia"/>
          <w:lang w:eastAsia="ja-JP"/>
        </w:rPr>
        <w:noBreakHyphen/>
      </w:r>
      <w:r w:rsidRPr="00A32AF4">
        <w:rPr>
          <w:rFonts w:eastAsiaTheme="minorEastAsia"/>
          <w:lang w:eastAsia="ja-JP"/>
        </w:rPr>
        <w:t>dessous </w:t>
      </w:r>
      <w:r w:rsidR="008E2946" w:rsidRPr="00A32AF4">
        <w:rPr>
          <w:rFonts w:eastAsiaTheme="minorEastAsia"/>
          <w:lang w:eastAsia="ja-JP"/>
        </w:rPr>
        <w:t>:</w:t>
      </w:r>
    </w:p>
    <w:p w:rsidR="00F93B76" w:rsidRPr="00A32AF4" w:rsidRDefault="00F93B76" w:rsidP="00DC0553"/>
    <w:p w:rsidR="00F93B76" w:rsidRPr="00A32AF4" w:rsidRDefault="00F93B76" w:rsidP="00DC0553"/>
    <w:p w:rsidR="00F93B76" w:rsidRPr="00A32AF4" w:rsidRDefault="00F93B76" w:rsidP="00DC0553">
      <w:pPr>
        <w:pStyle w:val="BodyText"/>
        <w:tabs>
          <w:tab w:val="left" w:pos="1377"/>
        </w:tabs>
        <w:jc w:val="both"/>
        <w:rPr>
          <w:rFonts w:cs="Arial"/>
          <w:position w:val="1"/>
          <w:szCs w:val="22"/>
        </w:rPr>
      </w:pPr>
    </w:p>
    <w:p w:rsidR="00F93B76" w:rsidRPr="00A32AF4" w:rsidRDefault="00875628" w:rsidP="00DC0553">
      <w:r w:rsidRPr="00A32AF4">
        <w:rPr>
          <w:rFonts w:cs="Arial"/>
          <w:noProof/>
          <w:lang w:eastAsia="fr-FR"/>
        </w:rPr>
        <w:drawing>
          <wp:inline distT="0" distB="0" distL="0" distR="0" wp14:anchorId="54504E7E" wp14:editId="27E02206">
            <wp:extent cx="5954400" cy="2973600"/>
            <wp:effectExtent l="0" t="19050" r="0" b="17780"/>
            <wp:docPr id="23" name="Diagram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9" r:lo="rId80" r:qs="rId81" r:cs="rId82"/>
              </a:graphicData>
            </a:graphic>
          </wp:inline>
        </w:drawing>
      </w:r>
    </w:p>
    <w:p w:rsidR="00F93B76" w:rsidRPr="00A32AF4" w:rsidRDefault="00F93B76" w:rsidP="00DC0553">
      <w:pPr>
        <w:rPr>
          <w:rFonts w:eastAsiaTheme="minorHAnsi"/>
        </w:rPr>
      </w:pPr>
    </w:p>
    <w:p w:rsidR="00C314FE" w:rsidRPr="00A32AF4" w:rsidRDefault="00C314FE" w:rsidP="00DC0553">
      <w:pPr>
        <w:rPr>
          <w:rFonts w:eastAsiaTheme="minorHAnsi"/>
        </w:rPr>
      </w:pPr>
    </w:p>
    <w:p w:rsidR="00F93B76" w:rsidRPr="00A32AF4" w:rsidRDefault="00CD1430" w:rsidP="00DC0553">
      <w:pPr>
        <w:keepNext/>
        <w:keepLines/>
      </w:pPr>
      <w:r w:rsidRPr="00A32AF4">
        <w:t>PRINCIPAUX RISQUES ET STRATÉGIES D</w:t>
      </w:r>
      <w:r w:rsidR="00E2055A" w:rsidRPr="00A32AF4">
        <w:t>’</w:t>
      </w:r>
      <w:r w:rsidRPr="00A32AF4">
        <w:t>ATTÉNUATION</w:t>
      </w:r>
    </w:p>
    <w:p w:rsidR="00CD1430" w:rsidRPr="00A32AF4" w:rsidRDefault="00CD1430" w:rsidP="00DC0553">
      <w:pPr>
        <w:keepNext/>
        <w:keepLines/>
      </w:pPr>
    </w:p>
    <w:tbl>
      <w:tblPr>
        <w:tblW w:w="9392"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11"/>
        <w:gridCol w:w="5281"/>
      </w:tblGrid>
      <w:tr w:rsidR="0038294E" w:rsidRPr="00A32AF4" w:rsidTr="00B93533">
        <w:trPr>
          <w:tblHeader/>
        </w:trPr>
        <w:tc>
          <w:tcPr>
            <w:tcW w:w="4111" w:type="dxa"/>
            <w:tcBorders>
              <w:top w:val="single" w:sz="4" w:space="0" w:color="auto"/>
              <w:bottom w:val="single" w:sz="4" w:space="0" w:color="auto"/>
            </w:tcBorders>
            <w:shd w:val="clear" w:color="auto" w:fill="C6D9F1" w:themeFill="text2" w:themeFillTint="33"/>
            <w:tcMar>
              <w:top w:w="113" w:type="dxa"/>
              <w:bottom w:w="113" w:type="dxa"/>
            </w:tcMar>
            <w:vAlign w:val="center"/>
          </w:tcPr>
          <w:p w:rsidR="00CD1430" w:rsidRPr="00A32AF4" w:rsidRDefault="00CD1430" w:rsidP="00DC0553">
            <w:pPr>
              <w:keepNext/>
              <w:keepLines/>
              <w:jc w:val="center"/>
              <w:rPr>
                <w:rFonts w:cs="Arial"/>
                <w:b/>
                <w:bCs/>
                <w:sz w:val="18"/>
                <w:szCs w:val="18"/>
              </w:rPr>
            </w:pPr>
            <w:r w:rsidRPr="00A32AF4">
              <w:rPr>
                <w:rFonts w:cs="Arial"/>
                <w:b/>
                <w:bCs/>
                <w:sz w:val="18"/>
                <w:szCs w:val="18"/>
              </w:rPr>
              <w:t>Risques</w:t>
            </w:r>
          </w:p>
        </w:tc>
        <w:tc>
          <w:tcPr>
            <w:tcW w:w="5281" w:type="dxa"/>
            <w:tcBorders>
              <w:top w:val="single" w:sz="4" w:space="0" w:color="auto"/>
              <w:bottom w:val="single" w:sz="4" w:space="0" w:color="auto"/>
            </w:tcBorders>
            <w:shd w:val="clear" w:color="auto" w:fill="C6D9F1" w:themeFill="text2" w:themeFillTint="33"/>
            <w:tcMar>
              <w:top w:w="113" w:type="dxa"/>
              <w:bottom w:w="113" w:type="dxa"/>
            </w:tcMar>
            <w:vAlign w:val="center"/>
          </w:tcPr>
          <w:p w:rsidR="00CD1430" w:rsidRPr="00A32AF4" w:rsidRDefault="00CD1430" w:rsidP="00DC0553">
            <w:pPr>
              <w:keepNext/>
              <w:keepLines/>
              <w:jc w:val="center"/>
              <w:rPr>
                <w:rFonts w:cs="Arial"/>
                <w:b/>
                <w:bCs/>
                <w:sz w:val="18"/>
                <w:szCs w:val="18"/>
              </w:rPr>
            </w:pPr>
            <w:r w:rsidRPr="00A32AF4">
              <w:rPr>
                <w:rFonts w:cs="Arial"/>
                <w:b/>
                <w:bCs/>
                <w:sz w:val="18"/>
                <w:szCs w:val="18"/>
              </w:rPr>
              <w:t>Stratégies d</w:t>
            </w:r>
            <w:r w:rsidR="00E2055A" w:rsidRPr="00A32AF4">
              <w:rPr>
                <w:rFonts w:cs="Arial"/>
                <w:b/>
                <w:bCs/>
                <w:sz w:val="18"/>
                <w:szCs w:val="18"/>
              </w:rPr>
              <w:t>’</w:t>
            </w:r>
            <w:r w:rsidRPr="00A32AF4">
              <w:rPr>
                <w:rFonts w:cs="Arial"/>
                <w:b/>
                <w:bCs/>
                <w:sz w:val="18"/>
                <w:szCs w:val="18"/>
              </w:rPr>
              <w:t>atténuation</w:t>
            </w:r>
          </w:p>
        </w:tc>
      </w:tr>
      <w:tr w:rsidR="0038294E" w:rsidRPr="00A32AF4" w:rsidTr="008E2946">
        <w:tc>
          <w:tcPr>
            <w:tcW w:w="4111" w:type="dxa"/>
            <w:tcBorders>
              <w:top w:val="single" w:sz="4" w:space="0" w:color="auto"/>
            </w:tcBorders>
            <w:shd w:val="clear" w:color="auto" w:fill="auto"/>
            <w:tcMar>
              <w:top w:w="113" w:type="dxa"/>
              <w:bottom w:w="113" w:type="dxa"/>
            </w:tcMar>
          </w:tcPr>
          <w:p w:rsidR="00CD1430" w:rsidRPr="00A32AF4" w:rsidRDefault="00CD1430" w:rsidP="00B93533">
            <w:pPr>
              <w:rPr>
                <w:sz w:val="16"/>
                <w:szCs w:val="16"/>
              </w:rPr>
            </w:pPr>
            <w:r w:rsidRPr="00A32AF4">
              <w:rPr>
                <w:rFonts w:cs="Arial"/>
                <w:sz w:val="16"/>
                <w:szCs w:val="16"/>
              </w:rPr>
              <w:t>Recul de la reconnaissance par le marché des services d</w:t>
            </w:r>
            <w:r w:rsidR="00E2055A" w:rsidRPr="00A32AF4">
              <w:rPr>
                <w:rFonts w:cs="Arial"/>
                <w:sz w:val="16"/>
                <w:szCs w:val="16"/>
              </w:rPr>
              <w:t>’</w:t>
            </w:r>
            <w:r w:rsidRPr="00A32AF4">
              <w:rPr>
                <w:rFonts w:cs="Arial"/>
                <w:sz w:val="16"/>
                <w:szCs w:val="16"/>
              </w:rPr>
              <w:t>arbitrage et de médiation de l</w:t>
            </w:r>
            <w:r w:rsidR="00E2055A" w:rsidRPr="00A32AF4">
              <w:rPr>
                <w:rFonts w:cs="Arial"/>
                <w:sz w:val="16"/>
                <w:szCs w:val="16"/>
              </w:rPr>
              <w:t>’</w:t>
            </w:r>
            <w:r w:rsidRPr="00A32AF4">
              <w:rPr>
                <w:rFonts w:cs="Arial"/>
                <w:sz w:val="16"/>
                <w:szCs w:val="16"/>
              </w:rPr>
              <w:t>OMPI.</w:t>
            </w:r>
          </w:p>
        </w:tc>
        <w:tc>
          <w:tcPr>
            <w:tcW w:w="5281" w:type="dxa"/>
            <w:tcBorders>
              <w:top w:val="single" w:sz="4" w:space="0" w:color="auto"/>
            </w:tcBorders>
            <w:shd w:val="clear" w:color="auto" w:fill="auto"/>
            <w:tcMar>
              <w:top w:w="113" w:type="dxa"/>
              <w:bottom w:w="113" w:type="dxa"/>
            </w:tcMar>
          </w:tcPr>
          <w:p w:rsidR="00CD1430" w:rsidRPr="00A32AF4" w:rsidRDefault="00CD1430" w:rsidP="00B93533">
            <w:pPr>
              <w:rPr>
                <w:sz w:val="16"/>
                <w:szCs w:val="16"/>
              </w:rPr>
            </w:pPr>
            <w:proofErr w:type="gramStart"/>
            <w:r w:rsidRPr="00A32AF4">
              <w:rPr>
                <w:rFonts w:cs="Arial"/>
                <w:sz w:val="16"/>
                <w:szCs w:val="16"/>
              </w:rPr>
              <w:t>Promouvoir le rôle du Centre d</w:t>
            </w:r>
            <w:r w:rsidR="00E2055A" w:rsidRPr="00A32AF4">
              <w:rPr>
                <w:rFonts w:cs="Arial"/>
                <w:sz w:val="16"/>
                <w:szCs w:val="16"/>
              </w:rPr>
              <w:t>’</w:t>
            </w:r>
            <w:r w:rsidRPr="00A32AF4">
              <w:rPr>
                <w:rFonts w:cs="Arial"/>
                <w:sz w:val="16"/>
                <w:szCs w:val="16"/>
              </w:rPr>
              <w:t>arbitrage et de médiation en tant que spécialiste du règlement extrajudiciaire des litiges en matière de propriété intellectuelle en intensifiant la collaboration avec le PCT et d</w:t>
            </w:r>
            <w:r w:rsidR="00E2055A" w:rsidRPr="00A32AF4">
              <w:rPr>
                <w:rFonts w:cs="Arial"/>
                <w:sz w:val="16"/>
                <w:szCs w:val="16"/>
              </w:rPr>
              <w:t>’</w:t>
            </w:r>
            <w:r w:rsidRPr="00A32AF4">
              <w:rPr>
                <w:rFonts w:cs="Arial"/>
                <w:sz w:val="16"/>
                <w:szCs w:val="16"/>
              </w:rPr>
              <w:t>autres programmes;  promouvoir la participation d</w:t>
            </w:r>
            <w:r w:rsidR="00E2055A" w:rsidRPr="00A32AF4">
              <w:rPr>
                <w:rFonts w:cs="Arial"/>
                <w:sz w:val="16"/>
                <w:szCs w:val="16"/>
              </w:rPr>
              <w:t>’</w:t>
            </w:r>
            <w:r w:rsidRPr="00A32AF4">
              <w:rPr>
                <w:rFonts w:cs="Arial"/>
                <w:sz w:val="16"/>
                <w:szCs w:val="16"/>
              </w:rPr>
              <w:t>intermédiaires neutres de l</w:t>
            </w:r>
            <w:r w:rsidR="00E2055A" w:rsidRPr="00A32AF4">
              <w:rPr>
                <w:rFonts w:cs="Arial"/>
                <w:sz w:val="16"/>
                <w:szCs w:val="16"/>
              </w:rPr>
              <w:t>’</w:t>
            </w:r>
            <w:r w:rsidRPr="00A32AF4">
              <w:rPr>
                <w:rFonts w:cs="Arial"/>
                <w:sz w:val="16"/>
                <w:szCs w:val="16"/>
              </w:rPr>
              <w:t>OMPI à des manifestations;  établir des partenariats plus réguliers avec des associations de propriété intellectuelle et connexes;  mettre à profit la présence du Centre à Singapour au maximum pour accroître l</w:t>
            </w:r>
            <w:r w:rsidR="00E2055A" w:rsidRPr="00A32AF4">
              <w:rPr>
                <w:rFonts w:cs="Arial"/>
                <w:sz w:val="16"/>
                <w:szCs w:val="16"/>
              </w:rPr>
              <w:t>’</w:t>
            </w:r>
            <w:r w:rsidRPr="00A32AF4">
              <w:rPr>
                <w:rFonts w:cs="Arial"/>
                <w:sz w:val="16"/>
                <w:szCs w:val="16"/>
              </w:rPr>
              <w:t>activité régionale;  exploiter les études réalisées sur les nouvelles pratiques et attentes des utilisateurs;  améliorer l</w:t>
            </w:r>
            <w:r w:rsidR="00E2055A" w:rsidRPr="00A32AF4">
              <w:rPr>
                <w:rFonts w:cs="Arial"/>
                <w:sz w:val="16"/>
                <w:szCs w:val="16"/>
              </w:rPr>
              <w:t>’</w:t>
            </w:r>
            <w:r w:rsidRPr="00A32AF4">
              <w:rPr>
                <w:rFonts w:cs="Arial"/>
                <w:sz w:val="16"/>
                <w:szCs w:val="16"/>
              </w:rPr>
              <w:t>infrastructure de commercialisation.</w:t>
            </w:r>
            <w:proofErr w:type="gramEnd"/>
          </w:p>
        </w:tc>
      </w:tr>
      <w:tr w:rsidR="00CD1430" w:rsidRPr="00A32AF4" w:rsidTr="00B93533">
        <w:trPr>
          <w:cantSplit/>
        </w:trPr>
        <w:tc>
          <w:tcPr>
            <w:tcW w:w="4111" w:type="dxa"/>
            <w:shd w:val="clear" w:color="auto" w:fill="auto"/>
            <w:tcMar>
              <w:top w:w="113" w:type="dxa"/>
              <w:bottom w:w="113" w:type="dxa"/>
            </w:tcMar>
          </w:tcPr>
          <w:p w:rsidR="00CD1430" w:rsidRPr="00A32AF4" w:rsidRDefault="00CD1430" w:rsidP="00B93533">
            <w:pPr>
              <w:rPr>
                <w:rFonts w:cs="Arial"/>
                <w:b/>
                <w:i/>
                <w:sz w:val="16"/>
                <w:szCs w:val="16"/>
              </w:rPr>
            </w:pPr>
            <w:r w:rsidRPr="00A32AF4">
              <w:rPr>
                <w:rFonts w:cs="Arial"/>
                <w:sz w:val="16"/>
                <w:szCs w:val="16"/>
              </w:rPr>
              <w:t>Diminution des dépôts au titre des principes UDRP, affectant l</w:t>
            </w:r>
            <w:r w:rsidR="00E2055A" w:rsidRPr="00A32AF4">
              <w:rPr>
                <w:rFonts w:cs="Arial"/>
                <w:sz w:val="16"/>
                <w:szCs w:val="16"/>
              </w:rPr>
              <w:t>’</w:t>
            </w:r>
            <w:r w:rsidRPr="00A32AF4">
              <w:rPr>
                <w:rFonts w:cs="Arial"/>
                <w:sz w:val="16"/>
                <w:szCs w:val="16"/>
              </w:rPr>
              <w:t>influence de la politique de l</w:t>
            </w:r>
            <w:r w:rsidR="00E2055A" w:rsidRPr="00A32AF4">
              <w:rPr>
                <w:rFonts w:cs="Arial"/>
                <w:sz w:val="16"/>
                <w:szCs w:val="16"/>
              </w:rPr>
              <w:t>’</w:t>
            </w:r>
            <w:r w:rsidRPr="00A32AF4">
              <w:rPr>
                <w:rFonts w:cs="Arial"/>
                <w:sz w:val="16"/>
                <w:szCs w:val="16"/>
              </w:rPr>
              <w:t>OMPI en ce qui concerne le DNS et l</w:t>
            </w:r>
            <w:r w:rsidR="00E2055A" w:rsidRPr="00A32AF4">
              <w:rPr>
                <w:rFonts w:cs="Arial"/>
                <w:sz w:val="16"/>
                <w:szCs w:val="16"/>
              </w:rPr>
              <w:t>’</w:t>
            </w:r>
            <w:r w:rsidRPr="00A32AF4">
              <w:rPr>
                <w:rFonts w:cs="Arial"/>
                <w:sz w:val="16"/>
                <w:szCs w:val="16"/>
              </w:rPr>
              <w:t>importance du Centre quant aux règlements extrajudiciaires des litiges dans le cadre du DNS.</w:t>
            </w:r>
          </w:p>
        </w:tc>
        <w:tc>
          <w:tcPr>
            <w:tcW w:w="5281" w:type="dxa"/>
            <w:shd w:val="clear" w:color="auto" w:fill="auto"/>
            <w:tcMar>
              <w:top w:w="113" w:type="dxa"/>
              <w:bottom w:w="113" w:type="dxa"/>
            </w:tcMar>
          </w:tcPr>
          <w:p w:rsidR="00CD1430" w:rsidRPr="00A32AF4" w:rsidRDefault="00CD1430" w:rsidP="00B93533">
            <w:pPr>
              <w:rPr>
                <w:rFonts w:cs="Arial"/>
                <w:sz w:val="16"/>
                <w:szCs w:val="16"/>
              </w:rPr>
            </w:pPr>
            <w:proofErr w:type="gramStart"/>
            <w:r w:rsidRPr="00A32AF4">
              <w:rPr>
                <w:rFonts w:cs="Arial"/>
                <w:sz w:val="16"/>
                <w:szCs w:val="16"/>
              </w:rPr>
              <w:t>Assurer une plus grande facilité d</w:t>
            </w:r>
            <w:r w:rsidR="00E2055A" w:rsidRPr="00A32AF4">
              <w:rPr>
                <w:rFonts w:cs="Arial"/>
                <w:sz w:val="16"/>
                <w:szCs w:val="16"/>
              </w:rPr>
              <w:t>’</w:t>
            </w:r>
            <w:r w:rsidRPr="00A32AF4">
              <w:rPr>
                <w:rFonts w:cs="Arial"/>
                <w:sz w:val="16"/>
                <w:szCs w:val="16"/>
              </w:rPr>
              <w:t>utilisation;  adapter les procédures UDRP (lorsque l</w:t>
            </w:r>
            <w:r w:rsidR="00E2055A" w:rsidRPr="00A32AF4">
              <w:rPr>
                <w:rFonts w:cs="Arial"/>
                <w:sz w:val="16"/>
                <w:szCs w:val="16"/>
              </w:rPr>
              <w:t>’</w:t>
            </w:r>
            <w:r w:rsidRPr="00A32AF4">
              <w:rPr>
                <w:rFonts w:cs="Arial"/>
                <w:sz w:val="16"/>
                <w:szCs w:val="16"/>
              </w:rPr>
              <w:t>ICANN le permet);  poursuivre le suivi du Système de suspension uniforme rapide (URS);  participer à la révision des principes UDRP par l</w:t>
            </w:r>
            <w:r w:rsidR="00E2055A" w:rsidRPr="00A32AF4">
              <w:rPr>
                <w:rFonts w:cs="Arial"/>
                <w:sz w:val="16"/>
                <w:szCs w:val="16"/>
              </w:rPr>
              <w:t>’</w:t>
            </w:r>
            <w:r w:rsidRPr="00A32AF4">
              <w:rPr>
                <w:rFonts w:cs="Arial"/>
                <w:sz w:val="16"/>
                <w:szCs w:val="16"/>
              </w:rPr>
              <w:t>ICANN;  établir des partenariats plus réguliers avec des associations de propriété intellectuelle et connexes;  donner la priorité à l</w:t>
            </w:r>
            <w:r w:rsidR="00E2055A" w:rsidRPr="00A32AF4">
              <w:rPr>
                <w:rFonts w:cs="Arial"/>
                <w:sz w:val="16"/>
                <w:szCs w:val="16"/>
              </w:rPr>
              <w:t>’</w:t>
            </w:r>
            <w:r w:rsidRPr="00A32AF4">
              <w:rPr>
                <w:rFonts w:cs="Arial"/>
                <w:sz w:val="16"/>
                <w:szCs w:val="16"/>
              </w:rPr>
              <w:t>allocation de ressources en faveur de l</w:t>
            </w:r>
            <w:r w:rsidR="00E2055A" w:rsidRPr="00A32AF4">
              <w:rPr>
                <w:rFonts w:cs="Arial"/>
                <w:sz w:val="16"/>
                <w:szCs w:val="16"/>
              </w:rPr>
              <w:t>’</w:t>
            </w:r>
            <w:r w:rsidRPr="00A32AF4">
              <w:rPr>
                <w:rFonts w:cs="Arial"/>
                <w:sz w:val="16"/>
                <w:szCs w:val="16"/>
              </w:rPr>
              <w:t>administration des litiges et de l</w:t>
            </w:r>
            <w:r w:rsidR="00E2055A" w:rsidRPr="00A32AF4">
              <w:rPr>
                <w:rFonts w:cs="Arial"/>
                <w:sz w:val="16"/>
                <w:szCs w:val="16"/>
              </w:rPr>
              <w:t>’</w:t>
            </w:r>
            <w:r w:rsidRPr="00A32AF4">
              <w:rPr>
                <w:rFonts w:cs="Arial"/>
                <w:sz w:val="16"/>
                <w:szCs w:val="16"/>
              </w:rPr>
              <w:t xml:space="preserve">élaboration de politiques, afin de trouver un équilibre entre </w:t>
            </w:r>
            <w:r w:rsidR="00B63C9F" w:rsidRPr="00A32AF4">
              <w:rPr>
                <w:rFonts w:cs="Arial"/>
                <w:sz w:val="16"/>
                <w:szCs w:val="16"/>
              </w:rPr>
              <w:t>“</w:t>
            </w:r>
            <w:r w:rsidRPr="00A32AF4">
              <w:rPr>
                <w:rFonts w:cs="Arial"/>
                <w:sz w:val="16"/>
                <w:szCs w:val="16"/>
              </w:rPr>
              <w:t>rester sur le marché</w:t>
            </w:r>
            <w:r w:rsidR="00B63C9F" w:rsidRPr="00A32AF4">
              <w:rPr>
                <w:rFonts w:cs="Arial"/>
                <w:sz w:val="16"/>
                <w:szCs w:val="16"/>
              </w:rPr>
              <w:t>”</w:t>
            </w:r>
            <w:r w:rsidRPr="00A32AF4">
              <w:rPr>
                <w:rFonts w:cs="Arial"/>
                <w:sz w:val="16"/>
                <w:szCs w:val="16"/>
              </w:rPr>
              <w:t xml:space="preserve"> et ajouter une valeur spécifique à l</w:t>
            </w:r>
            <w:r w:rsidR="00E2055A" w:rsidRPr="00A32AF4">
              <w:rPr>
                <w:rFonts w:cs="Arial"/>
                <w:sz w:val="16"/>
                <w:szCs w:val="16"/>
              </w:rPr>
              <w:t>’</w:t>
            </w:r>
            <w:r w:rsidRPr="00A32AF4">
              <w:rPr>
                <w:rFonts w:cs="Arial"/>
                <w:sz w:val="16"/>
                <w:szCs w:val="16"/>
              </w:rPr>
              <w:t>OMPI.</w:t>
            </w:r>
            <w:proofErr w:type="gramEnd"/>
          </w:p>
        </w:tc>
      </w:tr>
    </w:tbl>
    <w:p w:rsidR="00F93B76" w:rsidRPr="00A32AF4" w:rsidRDefault="00F93B76" w:rsidP="00DC0553"/>
    <w:p w:rsidR="00F93B76" w:rsidRPr="00A32AF4" w:rsidRDefault="00F93B76" w:rsidP="00DC0553"/>
    <w:p w:rsidR="00F93B76" w:rsidRPr="00A32AF4" w:rsidRDefault="00CD1430" w:rsidP="00DC0553">
      <w:pPr>
        <w:keepNext/>
      </w:pPr>
      <w:r w:rsidRPr="00A32AF4">
        <w:t>TABLEAU DES RÉSULTATS</w:t>
      </w:r>
    </w:p>
    <w:p w:rsidR="00CD1430" w:rsidRPr="00A32AF4" w:rsidRDefault="00CD1430" w:rsidP="00DC0553">
      <w:pPr>
        <w:keepNext/>
      </w:pPr>
    </w:p>
    <w:tbl>
      <w:tblPr>
        <w:tblW w:w="9229" w:type="dxa"/>
        <w:tblInd w:w="9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25"/>
        <w:gridCol w:w="2552"/>
        <w:gridCol w:w="2223"/>
        <w:gridCol w:w="2029"/>
      </w:tblGrid>
      <w:tr w:rsidR="0038294E" w:rsidRPr="00A32AF4" w:rsidTr="004848EA">
        <w:trPr>
          <w:cantSplit/>
          <w:tblHeader/>
        </w:trPr>
        <w:tc>
          <w:tcPr>
            <w:tcW w:w="2425" w:type="dxa"/>
            <w:tcBorders>
              <w:top w:val="single" w:sz="4" w:space="0" w:color="auto"/>
              <w:bottom w:val="single" w:sz="4" w:space="0" w:color="auto"/>
            </w:tcBorders>
            <w:shd w:val="clear" w:color="auto" w:fill="C6D9F1" w:themeFill="text2" w:themeFillTint="33"/>
            <w:noWrap/>
            <w:tcMar>
              <w:top w:w="113" w:type="dxa"/>
              <w:bottom w:w="113" w:type="dxa"/>
            </w:tcMar>
            <w:vAlign w:val="center"/>
            <w:hideMark/>
          </w:tcPr>
          <w:p w:rsidR="00CD1430" w:rsidRPr="00A32AF4" w:rsidRDefault="00CD1430" w:rsidP="00DC0553">
            <w:pPr>
              <w:keepNext/>
              <w:keepLines/>
              <w:jc w:val="center"/>
              <w:rPr>
                <w:rFonts w:cs="Arial"/>
                <w:b/>
                <w:bCs/>
                <w:sz w:val="18"/>
              </w:rPr>
            </w:pPr>
            <w:r w:rsidRPr="00A32AF4">
              <w:rPr>
                <w:rFonts w:cs="Arial"/>
                <w:b/>
                <w:bCs/>
                <w:sz w:val="18"/>
              </w:rPr>
              <w:t>Résultats escomptés</w:t>
            </w:r>
          </w:p>
        </w:tc>
        <w:tc>
          <w:tcPr>
            <w:tcW w:w="2552" w:type="dxa"/>
            <w:tcBorders>
              <w:top w:val="single" w:sz="4" w:space="0" w:color="auto"/>
              <w:bottom w:val="single" w:sz="4" w:space="0" w:color="auto"/>
            </w:tcBorders>
            <w:shd w:val="clear" w:color="auto" w:fill="C6D9F1" w:themeFill="text2" w:themeFillTint="33"/>
            <w:noWrap/>
            <w:tcMar>
              <w:top w:w="113" w:type="dxa"/>
              <w:bottom w:w="113" w:type="dxa"/>
            </w:tcMar>
            <w:vAlign w:val="center"/>
            <w:hideMark/>
          </w:tcPr>
          <w:p w:rsidR="00CD1430" w:rsidRPr="00A32AF4" w:rsidRDefault="00CD1430" w:rsidP="00DC0553">
            <w:pPr>
              <w:keepNext/>
              <w:keepLines/>
              <w:jc w:val="center"/>
              <w:rPr>
                <w:rFonts w:cs="Arial"/>
                <w:b/>
                <w:bCs/>
                <w:sz w:val="18"/>
              </w:rPr>
            </w:pPr>
            <w:r w:rsidRPr="00A32AF4">
              <w:rPr>
                <w:rFonts w:cs="Arial"/>
                <w:b/>
                <w:bCs/>
                <w:sz w:val="18"/>
              </w:rPr>
              <w:t>Indicateurs d</w:t>
            </w:r>
            <w:r w:rsidR="00E2055A" w:rsidRPr="00A32AF4">
              <w:rPr>
                <w:rFonts w:cs="Arial"/>
                <w:b/>
                <w:bCs/>
                <w:sz w:val="18"/>
              </w:rPr>
              <w:t>’</w:t>
            </w:r>
            <w:r w:rsidRPr="00A32AF4">
              <w:rPr>
                <w:rFonts w:cs="Arial"/>
                <w:b/>
                <w:bCs/>
                <w:sz w:val="18"/>
              </w:rPr>
              <w:t>exécution</w:t>
            </w:r>
          </w:p>
        </w:tc>
        <w:tc>
          <w:tcPr>
            <w:tcW w:w="2223" w:type="dxa"/>
            <w:tcBorders>
              <w:top w:val="single" w:sz="4" w:space="0" w:color="auto"/>
              <w:bottom w:val="single" w:sz="4" w:space="0" w:color="auto"/>
            </w:tcBorders>
            <w:shd w:val="clear" w:color="auto" w:fill="C6D9F1" w:themeFill="text2" w:themeFillTint="33"/>
            <w:noWrap/>
            <w:tcMar>
              <w:top w:w="113" w:type="dxa"/>
              <w:bottom w:w="113" w:type="dxa"/>
            </w:tcMar>
            <w:vAlign w:val="center"/>
            <w:hideMark/>
          </w:tcPr>
          <w:p w:rsidR="00CD1430" w:rsidRPr="00A32AF4" w:rsidRDefault="00CD1430" w:rsidP="00DC0553">
            <w:pPr>
              <w:keepNext/>
              <w:keepLines/>
              <w:jc w:val="center"/>
              <w:rPr>
                <w:rFonts w:cs="Arial"/>
                <w:b/>
                <w:bCs/>
                <w:sz w:val="18"/>
              </w:rPr>
            </w:pPr>
            <w:r w:rsidRPr="00A32AF4">
              <w:rPr>
                <w:rFonts w:cs="Arial"/>
                <w:b/>
                <w:bCs/>
                <w:sz w:val="18"/>
              </w:rPr>
              <w:t>Niveaux de référence</w:t>
            </w:r>
          </w:p>
        </w:tc>
        <w:tc>
          <w:tcPr>
            <w:tcW w:w="2029" w:type="dxa"/>
            <w:tcBorders>
              <w:top w:val="single" w:sz="4" w:space="0" w:color="auto"/>
              <w:bottom w:val="single" w:sz="4" w:space="0" w:color="auto"/>
            </w:tcBorders>
            <w:shd w:val="clear" w:color="auto" w:fill="C6D9F1" w:themeFill="text2" w:themeFillTint="33"/>
            <w:noWrap/>
            <w:tcMar>
              <w:top w:w="113" w:type="dxa"/>
              <w:bottom w:w="113" w:type="dxa"/>
            </w:tcMar>
            <w:vAlign w:val="center"/>
            <w:hideMark/>
          </w:tcPr>
          <w:p w:rsidR="00CD1430" w:rsidRPr="00A32AF4" w:rsidRDefault="00CD1430" w:rsidP="00DC0553">
            <w:pPr>
              <w:keepNext/>
              <w:keepLines/>
              <w:jc w:val="center"/>
              <w:rPr>
                <w:rFonts w:cs="Arial"/>
                <w:b/>
                <w:bCs/>
                <w:sz w:val="18"/>
              </w:rPr>
            </w:pPr>
            <w:r w:rsidRPr="00A32AF4">
              <w:rPr>
                <w:rFonts w:cs="Arial"/>
                <w:b/>
                <w:bCs/>
                <w:sz w:val="18"/>
              </w:rPr>
              <w:t>Objectifs visés</w:t>
            </w:r>
          </w:p>
        </w:tc>
      </w:tr>
      <w:tr w:rsidR="0038294E" w:rsidRPr="00A32AF4" w:rsidTr="004848EA">
        <w:trPr>
          <w:cantSplit/>
        </w:trPr>
        <w:tc>
          <w:tcPr>
            <w:tcW w:w="2425" w:type="dxa"/>
            <w:vMerge w:val="restart"/>
            <w:tcBorders>
              <w:top w:val="single" w:sz="4" w:space="0" w:color="auto"/>
            </w:tcBorders>
            <w:shd w:val="clear" w:color="000000" w:fill="FFFFFF"/>
            <w:tcMar>
              <w:top w:w="113" w:type="dxa"/>
              <w:bottom w:w="113" w:type="dxa"/>
            </w:tcMar>
            <w:hideMark/>
          </w:tcPr>
          <w:p w:rsidR="00CD1430" w:rsidRPr="00A32AF4" w:rsidRDefault="00CD1430" w:rsidP="00DC0553">
            <w:pPr>
              <w:keepNext/>
              <w:keepLines/>
              <w:tabs>
                <w:tab w:val="left" w:pos="2175"/>
                <w:tab w:val="left" w:pos="2209"/>
              </w:tabs>
              <w:rPr>
                <w:rFonts w:cs="Arial"/>
                <w:sz w:val="16"/>
                <w:szCs w:val="16"/>
              </w:rPr>
            </w:pPr>
            <w:r w:rsidRPr="00A32AF4">
              <w:rPr>
                <w:rFonts w:cs="Arial"/>
                <w:sz w:val="16"/>
                <w:szCs w:val="16"/>
              </w:rPr>
              <w:t>II.8</w:t>
            </w:r>
            <w:r w:rsidR="00570B48" w:rsidRPr="00A32AF4">
              <w:rPr>
                <w:rFonts w:cs="Arial"/>
                <w:sz w:val="16"/>
                <w:szCs w:val="16"/>
              </w:rPr>
              <w:t xml:space="preserve"> De plus en plus de litiges internationaux ou nationaux de propriété intellectuelle sont évités ou réglés par la médiation, l</w:t>
            </w:r>
            <w:r w:rsidR="00E2055A" w:rsidRPr="00A32AF4">
              <w:rPr>
                <w:rFonts w:cs="Arial"/>
                <w:sz w:val="16"/>
                <w:szCs w:val="16"/>
              </w:rPr>
              <w:t>’</w:t>
            </w:r>
            <w:r w:rsidR="00570B48" w:rsidRPr="00A32AF4">
              <w:rPr>
                <w:rFonts w:cs="Arial"/>
                <w:sz w:val="16"/>
                <w:szCs w:val="16"/>
              </w:rPr>
              <w:t>arbitrage et les autres modes extrajudiciaires de règlement des litiges de l</w:t>
            </w:r>
            <w:r w:rsidR="00E2055A" w:rsidRPr="00A32AF4">
              <w:rPr>
                <w:rFonts w:cs="Arial"/>
                <w:sz w:val="16"/>
                <w:szCs w:val="16"/>
              </w:rPr>
              <w:t>’</w:t>
            </w:r>
            <w:r w:rsidR="00570B48" w:rsidRPr="00A32AF4">
              <w:rPr>
                <w:rFonts w:cs="Arial"/>
                <w:sz w:val="16"/>
                <w:szCs w:val="16"/>
              </w:rPr>
              <w:t>OMPI</w:t>
            </w:r>
          </w:p>
        </w:tc>
        <w:tc>
          <w:tcPr>
            <w:tcW w:w="2552" w:type="dxa"/>
            <w:tcBorders>
              <w:top w:val="single" w:sz="4" w:space="0" w:color="auto"/>
            </w:tcBorders>
            <w:shd w:val="clear" w:color="000000" w:fill="FFFFFF"/>
            <w:tcMar>
              <w:top w:w="113" w:type="dxa"/>
              <w:bottom w:w="113" w:type="dxa"/>
            </w:tcMar>
            <w:hideMark/>
          </w:tcPr>
          <w:p w:rsidR="00CD1430" w:rsidRPr="00A32AF4" w:rsidRDefault="00CD1430" w:rsidP="00DC0553">
            <w:pPr>
              <w:keepNext/>
              <w:keepLines/>
              <w:rPr>
                <w:rFonts w:cs="Arial"/>
                <w:sz w:val="16"/>
                <w:szCs w:val="16"/>
              </w:rPr>
            </w:pPr>
            <w:r w:rsidRPr="00A32AF4">
              <w:rPr>
                <w:rFonts w:cs="Arial"/>
                <w:sz w:val="16"/>
                <w:szCs w:val="16"/>
              </w:rPr>
              <w:t>Utilisation accrue de services et de clauses de règlement extrajudiciaire des litiges dans les transactions et les enregistrements de titres de propriété intellectuelle, notamment par le recours aux procédures de l</w:t>
            </w:r>
            <w:r w:rsidR="00E2055A" w:rsidRPr="00A32AF4">
              <w:rPr>
                <w:rFonts w:cs="Arial"/>
                <w:sz w:val="16"/>
                <w:szCs w:val="16"/>
              </w:rPr>
              <w:t>’</w:t>
            </w:r>
            <w:r w:rsidRPr="00A32AF4">
              <w:rPr>
                <w:rFonts w:cs="Arial"/>
                <w:sz w:val="16"/>
                <w:szCs w:val="16"/>
              </w:rPr>
              <w:t xml:space="preserve">OMPI </w:t>
            </w:r>
          </w:p>
        </w:tc>
        <w:tc>
          <w:tcPr>
            <w:tcW w:w="2223" w:type="dxa"/>
            <w:tcBorders>
              <w:top w:val="single" w:sz="4" w:space="0" w:color="auto"/>
            </w:tcBorders>
            <w:shd w:val="clear" w:color="000000" w:fill="FFFFFF"/>
            <w:tcMar>
              <w:top w:w="113" w:type="dxa"/>
              <w:bottom w:w="113" w:type="dxa"/>
            </w:tcMar>
            <w:hideMark/>
          </w:tcPr>
          <w:p w:rsidR="00CD1430" w:rsidRPr="00A32AF4" w:rsidRDefault="00CD1430" w:rsidP="00FB1F61">
            <w:pPr>
              <w:keepNext/>
              <w:keepLines/>
              <w:rPr>
                <w:rFonts w:cs="Arial"/>
                <w:sz w:val="16"/>
                <w:szCs w:val="16"/>
              </w:rPr>
            </w:pPr>
            <w:r w:rsidRPr="00A32AF4">
              <w:rPr>
                <w:rFonts w:cs="Arial"/>
                <w:sz w:val="16"/>
                <w:szCs w:val="16"/>
              </w:rPr>
              <w:t>393 litiges et 148 bons offi</w:t>
            </w:r>
            <w:r w:rsidR="00FB1F61" w:rsidRPr="00A32AF4">
              <w:rPr>
                <w:rFonts w:cs="Arial"/>
                <w:sz w:val="16"/>
                <w:szCs w:val="16"/>
              </w:rPr>
              <w:t>ces (cumul à la fin de 2014)</w:t>
            </w:r>
            <w:r w:rsidR="00FB1F61" w:rsidRPr="00A32AF4">
              <w:rPr>
                <w:rFonts w:cs="Arial"/>
                <w:sz w:val="16"/>
                <w:szCs w:val="16"/>
              </w:rPr>
              <w:br/>
            </w:r>
            <w:r w:rsidR="00FB1F61" w:rsidRPr="00A32AF4">
              <w:rPr>
                <w:rFonts w:cs="Arial"/>
                <w:sz w:val="16"/>
                <w:szCs w:val="16"/>
              </w:rPr>
              <w:br/>
              <w:t>4</w:t>
            </w:r>
            <w:r w:rsidRPr="00A32AF4">
              <w:rPr>
                <w:rFonts w:cs="Arial"/>
                <w:sz w:val="16"/>
                <w:szCs w:val="16"/>
              </w:rPr>
              <w:t>000 demandes (2012/13)</w:t>
            </w:r>
            <w:r w:rsidRPr="00A32AF4">
              <w:rPr>
                <w:rFonts w:cs="Arial"/>
                <w:sz w:val="16"/>
                <w:szCs w:val="16"/>
              </w:rPr>
              <w:br/>
            </w:r>
            <w:r w:rsidRPr="00A32AF4">
              <w:rPr>
                <w:rFonts w:cs="Arial"/>
                <w:sz w:val="16"/>
                <w:szCs w:val="16"/>
              </w:rPr>
              <w:br/>
              <w:t xml:space="preserve">1,553 million de consultations sur Internet (2014) </w:t>
            </w:r>
            <w:r w:rsidRPr="00A32AF4">
              <w:rPr>
                <w:rFonts w:cs="Arial"/>
                <w:sz w:val="16"/>
                <w:szCs w:val="16"/>
              </w:rPr>
              <w:br/>
            </w:r>
            <w:r w:rsidRPr="00A32AF4">
              <w:rPr>
                <w:rFonts w:cs="Arial"/>
                <w:sz w:val="16"/>
                <w:szCs w:val="16"/>
              </w:rPr>
              <w:br/>
              <w:t>408 participants à des manifestations organi</w:t>
            </w:r>
            <w:r w:rsidR="00FB1F61" w:rsidRPr="00A32AF4">
              <w:rPr>
                <w:rFonts w:cs="Arial"/>
                <w:sz w:val="16"/>
                <w:szCs w:val="16"/>
              </w:rPr>
              <w:t>sées par le Centre (2012/13)</w:t>
            </w:r>
            <w:r w:rsidR="00FB1F61" w:rsidRPr="00A32AF4">
              <w:rPr>
                <w:rFonts w:cs="Arial"/>
                <w:sz w:val="16"/>
                <w:szCs w:val="16"/>
              </w:rPr>
              <w:br/>
            </w:r>
            <w:r w:rsidR="00FB1F61" w:rsidRPr="00A32AF4">
              <w:rPr>
                <w:rFonts w:cs="Arial"/>
                <w:sz w:val="16"/>
                <w:szCs w:val="16"/>
              </w:rPr>
              <w:br/>
              <w:t>4</w:t>
            </w:r>
            <w:r w:rsidRPr="00A32AF4">
              <w:rPr>
                <w:rFonts w:cs="Arial"/>
                <w:sz w:val="16"/>
                <w:szCs w:val="16"/>
              </w:rPr>
              <w:t>000 participants à des manifestations lors desquelles le Centre est représenté (2012</w:t>
            </w:r>
            <w:r w:rsidR="00EB7F54" w:rsidRPr="00A32AF4">
              <w:rPr>
                <w:rFonts w:cs="Arial"/>
                <w:sz w:val="16"/>
                <w:szCs w:val="16"/>
              </w:rPr>
              <w:noBreakHyphen/>
            </w:r>
            <w:r w:rsidR="00FB1F61" w:rsidRPr="00A32AF4">
              <w:rPr>
                <w:rFonts w:cs="Arial"/>
                <w:sz w:val="16"/>
                <w:szCs w:val="16"/>
              </w:rPr>
              <w:t>20</w:t>
            </w:r>
            <w:r w:rsidRPr="00A32AF4">
              <w:rPr>
                <w:rFonts w:cs="Arial"/>
                <w:sz w:val="16"/>
                <w:szCs w:val="16"/>
              </w:rPr>
              <w:t>13)</w:t>
            </w:r>
          </w:p>
        </w:tc>
        <w:tc>
          <w:tcPr>
            <w:tcW w:w="2029" w:type="dxa"/>
            <w:tcBorders>
              <w:top w:val="single" w:sz="4" w:space="0" w:color="auto"/>
            </w:tcBorders>
            <w:shd w:val="clear" w:color="000000" w:fill="FFFFFF"/>
            <w:tcMar>
              <w:top w:w="113" w:type="dxa"/>
              <w:bottom w:w="113" w:type="dxa"/>
            </w:tcMar>
            <w:hideMark/>
          </w:tcPr>
          <w:p w:rsidR="00F93B76" w:rsidRPr="00A32AF4" w:rsidRDefault="00CD1430" w:rsidP="00DC0553">
            <w:pPr>
              <w:keepNext/>
              <w:keepLines/>
              <w:rPr>
                <w:rFonts w:cs="Arial"/>
                <w:sz w:val="16"/>
                <w:szCs w:val="16"/>
              </w:rPr>
            </w:pPr>
            <w:r w:rsidRPr="00A32AF4">
              <w:rPr>
                <w:rFonts w:cs="Arial"/>
                <w:sz w:val="16"/>
                <w:szCs w:val="16"/>
              </w:rPr>
              <w:t>40 litiges et bons offices supplémentaires</w:t>
            </w:r>
          </w:p>
          <w:p w:rsidR="00F93B76" w:rsidRPr="00A32AF4" w:rsidRDefault="00F93B76" w:rsidP="00DC0553">
            <w:pPr>
              <w:keepNext/>
              <w:keepLines/>
              <w:rPr>
                <w:rFonts w:cs="Arial"/>
                <w:sz w:val="16"/>
                <w:szCs w:val="16"/>
              </w:rPr>
            </w:pPr>
          </w:p>
          <w:p w:rsidR="00F93B76" w:rsidRPr="00A32AF4" w:rsidRDefault="00F93B76" w:rsidP="00DC0553">
            <w:pPr>
              <w:keepNext/>
              <w:keepLines/>
              <w:rPr>
                <w:rFonts w:cs="Arial"/>
                <w:sz w:val="16"/>
                <w:szCs w:val="16"/>
              </w:rPr>
            </w:pPr>
          </w:p>
          <w:p w:rsidR="00F93B76" w:rsidRPr="00A32AF4" w:rsidRDefault="00FB1F61" w:rsidP="00DC0553">
            <w:pPr>
              <w:keepNext/>
              <w:keepLines/>
              <w:rPr>
                <w:rFonts w:cs="Arial"/>
                <w:sz w:val="16"/>
                <w:szCs w:val="16"/>
              </w:rPr>
            </w:pPr>
            <w:r w:rsidRPr="00A32AF4">
              <w:rPr>
                <w:rFonts w:cs="Arial"/>
                <w:sz w:val="16"/>
                <w:szCs w:val="16"/>
              </w:rPr>
              <w:t>4</w:t>
            </w:r>
            <w:r w:rsidR="00CD1430" w:rsidRPr="00A32AF4">
              <w:rPr>
                <w:rFonts w:cs="Arial"/>
                <w:sz w:val="16"/>
                <w:szCs w:val="16"/>
              </w:rPr>
              <w:t>000 demandes supplémentaires</w:t>
            </w:r>
          </w:p>
          <w:p w:rsidR="00F93B76" w:rsidRPr="00A32AF4" w:rsidRDefault="00F93B76" w:rsidP="00DC0553">
            <w:pPr>
              <w:keepNext/>
              <w:keepLines/>
              <w:rPr>
                <w:rFonts w:cs="Arial"/>
                <w:sz w:val="16"/>
                <w:szCs w:val="16"/>
              </w:rPr>
            </w:pPr>
          </w:p>
          <w:p w:rsidR="00F93B76" w:rsidRPr="00A32AF4" w:rsidRDefault="00CD1430" w:rsidP="00DC0553">
            <w:pPr>
              <w:keepNext/>
              <w:keepLines/>
              <w:rPr>
                <w:rFonts w:cs="Arial"/>
                <w:sz w:val="16"/>
                <w:szCs w:val="16"/>
              </w:rPr>
            </w:pPr>
            <w:r w:rsidRPr="00A32AF4">
              <w:rPr>
                <w:rFonts w:cs="Arial"/>
                <w:sz w:val="16"/>
                <w:szCs w:val="16"/>
              </w:rPr>
              <w:t>1,5 million de consultations sur Internet supplémentaires</w:t>
            </w:r>
            <w:r w:rsidRPr="00A32AF4">
              <w:rPr>
                <w:rFonts w:cs="Arial"/>
                <w:sz w:val="16"/>
                <w:szCs w:val="16"/>
              </w:rPr>
              <w:br/>
            </w:r>
            <w:r w:rsidRPr="00A32AF4">
              <w:rPr>
                <w:rFonts w:cs="Arial"/>
                <w:sz w:val="16"/>
                <w:szCs w:val="16"/>
              </w:rPr>
              <w:br/>
              <w:t xml:space="preserve">250 participants à des manifestations organisées par le Centre </w:t>
            </w:r>
            <w:r w:rsidRPr="00A32AF4">
              <w:rPr>
                <w:rFonts w:cs="Arial"/>
                <w:sz w:val="16"/>
                <w:szCs w:val="16"/>
              </w:rPr>
              <w:br/>
            </w:r>
            <w:r w:rsidRPr="00A32AF4">
              <w:rPr>
                <w:rFonts w:cs="Arial"/>
                <w:sz w:val="16"/>
                <w:szCs w:val="16"/>
              </w:rPr>
              <w:br/>
            </w:r>
          </w:p>
          <w:p w:rsidR="00CD1430" w:rsidRPr="00A32AF4" w:rsidRDefault="00FB1F61" w:rsidP="00DC0553">
            <w:pPr>
              <w:keepNext/>
              <w:keepLines/>
              <w:rPr>
                <w:rFonts w:cs="Arial"/>
                <w:sz w:val="16"/>
                <w:szCs w:val="16"/>
              </w:rPr>
            </w:pPr>
            <w:r w:rsidRPr="00A32AF4">
              <w:rPr>
                <w:rFonts w:cs="Arial"/>
                <w:sz w:val="16"/>
                <w:szCs w:val="16"/>
              </w:rPr>
              <w:t>6</w:t>
            </w:r>
            <w:r w:rsidR="00CD1430" w:rsidRPr="00A32AF4">
              <w:rPr>
                <w:rFonts w:cs="Arial"/>
                <w:sz w:val="16"/>
                <w:szCs w:val="16"/>
              </w:rPr>
              <w:t xml:space="preserve">000 participants à des manifestations lors desquelles le Centre est </w:t>
            </w:r>
            <w:proofErr w:type="gramStart"/>
            <w:r w:rsidR="00CD1430" w:rsidRPr="00A32AF4">
              <w:rPr>
                <w:rFonts w:cs="Arial"/>
                <w:sz w:val="16"/>
                <w:szCs w:val="16"/>
              </w:rPr>
              <w:t>représenté</w:t>
            </w:r>
            <w:proofErr w:type="gramEnd"/>
          </w:p>
        </w:tc>
      </w:tr>
      <w:tr w:rsidR="0038294E" w:rsidRPr="00A32AF4" w:rsidTr="004848EA">
        <w:trPr>
          <w:cantSplit/>
        </w:trPr>
        <w:tc>
          <w:tcPr>
            <w:tcW w:w="2425" w:type="dxa"/>
            <w:vMerge/>
            <w:tcMar>
              <w:top w:w="113" w:type="dxa"/>
              <w:bottom w:w="113" w:type="dxa"/>
            </w:tcMar>
            <w:vAlign w:val="center"/>
            <w:hideMark/>
          </w:tcPr>
          <w:p w:rsidR="00CD1430" w:rsidRPr="00A32AF4" w:rsidRDefault="00CD1430" w:rsidP="00DC0553">
            <w:pPr>
              <w:tabs>
                <w:tab w:val="left" w:pos="2175"/>
                <w:tab w:val="left" w:pos="2209"/>
              </w:tabs>
              <w:rPr>
                <w:rFonts w:cs="Arial"/>
                <w:sz w:val="16"/>
                <w:szCs w:val="16"/>
              </w:rPr>
            </w:pPr>
          </w:p>
        </w:tc>
        <w:tc>
          <w:tcPr>
            <w:tcW w:w="2552" w:type="dxa"/>
            <w:shd w:val="clear" w:color="000000" w:fill="FFFFFF"/>
            <w:tcMar>
              <w:top w:w="113" w:type="dxa"/>
              <w:bottom w:w="113" w:type="dxa"/>
            </w:tcMar>
            <w:hideMark/>
          </w:tcPr>
          <w:p w:rsidR="00CD1430" w:rsidRPr="00A32AF4" w:rsidRDefault="00CD1430" w:rsidP="00DC0553">
            <w:pPr>
              <w:rPr>
                <w:rFonts w:cs="Arial"/>
                <w:sz w:val="16"/>
                <w:szCs w:val="16"/>
              </w:rPr>
            </w:pPr>
            <w:r w:rsidRPr="00A32AF4">
              <w:rPr>
                <w:rFonts w:cs="Arial"/>
                <w:sz w:val="16"/>
                <w:szCs w:val="16"/>
              </w:rPr>
              <w:t xml:space="preserve">Politiques de règlement extrajudiciaire des litiges pour </w:t>
            </w:r>
            <w:r w:rsidR="001A00FE" w:rsidRPr="00A32AF4">
              <w:rPr>
                <w:rFonts w:cs="Arial"/>
                <w:sz w:val="16"/>
                <w:szCs w:val="16"/>
              </w:rPr>
              <w:t>lesquelles</w:t>
            </w:r>
            <w:r w:rsidRPr="00A32AF4">
              <w:rPr>
                <w:rFonts w:cs="Arial"/>
                <w:sz w:val="16"/>
                <w:szCs w:val="16"/>
              </w:rPr>
              <w:t xml:space="preserve"> le Centre a contribué à l</w:t>
            </w:r>
            <w:r w:rsidR="00E2055A" w:rsidRPr="00A32AF4">
              <w:rPr>
                <w:rFonts w:cs="Arial"/>
                <w:sz w:val="16"/>
                <w:szCs w:val="16"/>
              </w:rPr>
              <w:t>’</w:t>
            </w:r>
            <w:r w:rsidRPr="00A32AF4">
              <w:rPr>
                <w:rFonts w:cs="Arial"/>
                <w:sz w:val="16"/>
                <w:szCs w:val="16"/>
              </w:rPr>
              <w:t>élabo</w:t>
            </w:r>
            <w:r w:rsidR="008A2148" w:rsidRPr="00A32AF4">
              <w:rPr>
                <w:rFonts w:cs="Arial"/>
                <w:sz w:val="16"/>
                <w:szCs w:val="16"/>
              </w:rPr>
              <w:t>ration et à la mise en œuvre</w:t>
            </w:r>
          </w:p>
        </w:tc>
        <w:tc>
          <w:tcPr>
            <w:tcW w:w="2223" w:type="dxa"/>
            <w:shd w:val="clear" w:color="000000" w:fill="FFFFFF"/>
            <w:tcMar>
              <w:top w:w="113" w:type="dxa"/>
              <w:bottom w:w="113" w:type="dxa"/>
            </w:tcMar>
            <w:hideMark/>
          </w:tcPr>
          <w:p w:rsidR="00CD1430" w:rsidRPr="00A32AF4" w:rsidRDefault="00CD1430" w:rsidP="00DC0553">
            <w:pPr>
              <w:rPr>
                <w:rFonts w:cs="Arial"/>
                <w:sz w:val="16"/>
                <w:szCs w:val="16"/>
              </w:rPr>
            </w:pPr>
            <w:r w:rsidRPr="00A32AF4">
              <w:rPr>
                <w:rFonts w:cs="Arial"/>
                <w:sz w:val="16"/>
                <w:szCs w:val="16"/>
              </w:rPr>
              <w:t>15 programmes adoptés (AEF, AGICOA, DGIPR, DNDA, EGEDA, ETSI, Film and Media, ICOM, IMPI, INPI</w:t>
            </w:r>
            <w:r w:rsidR="00EB7F54" w:rsidRPr="00A32AF4">
              <w:rPr>
                <w:rFonts w:cs="Arial"/>
                <w:sz w:val="16"/>
                <w:szCs w:val="16"/>
              </w:rPr>
              <w:noBreakHyphen/>
            </w:r>
            <w:r w:rsidRPr="00A32AF4">
              <w:rPr>
                <w:rFonts w:cs="Arial"/>
                <w:sz w:val="16"/>
                <w:szCs w:val="16"/>
              </w:rPr>
              <w:t>BR, IPAG, IPOPHL, IPOS(M), IPOS(ED), ITPGRFA) (cumul à la fin de 2014)</w:t>
            </w:r>
          </w:p>
        </w:tc>
        <w:tc>
          <w:tcPr>
            <w:tcW w:w="2029" w:type="dxa"/>
            <w:shd w:val="clear" w:color="000000" w:fill="FFFFFF"/>
            <w:tcMar>
              <w:top w:w="113" w:type="dxa"/>
              <w:bottom w:w="113" w:type="dxa"/>
            </w:tcMar>
            <w:hideMark/>
          </w:tcPr>
          <w:p w:rsidR="00CD1430" w:rsidRPr="00A32AF4" w:rsidRDefault="00CD1430" w:rsidP="00DC0553">
            <w:pPr>
              <w:rPr>
                <w:rFonts w:cs="Arial"/>
                <w:sz w:val="16"/>
                <w:szCs w:val="16"/>
              </w:rPr>
            </w:pPr>
            <w:r w:rsidRPr="00A32AF4">
              <w:rPr>
                <w:rFonts w:cs="Arial"/>
                <w:sz w:val="16"/>
                <w:szCs w:val="16"/>
              </w:rPr>
              <w:t>De un à trois programmes supplémentaires</w:t>
            </w:r>
          </w:p>
        </w:tc>
      </w:tr>
      <w:tr w:rsidR="0038294E" w:rsidRPr="00A32AF4" w:rsidTr="004848EA">
        <w:trPr>
          <w:cantSplit/>
        </w:trPr>
        <w:tc>
          <w:tcPr>
            <w:tcW w:w="2425" w:type="dxa"/>
            <w:vMerge w:val="restart"/>
            <w:shd w:val="clear" w:color="000000" w:fill="FFFFFF"/>
            <w:tcMar>
              <w:top w:w="113" w:type="dxa"/>
              <w:bottom w:w="113" w:type="dxa"/>
            </w:tcMar>
            <w:hideMark/>
          </w:tcPr>
          <w:p w:rsidR="00CD1430" w:rsidRPr="00A32AF4" w:rsidRDefault="00CD1430" w:rsidP="00DC0553">
            <w:pPr>
              <w:tabs>
                <w:tab w:val="left" w:pos="2175"/>
                <w:tab w:val="left" w:pos="2209"/>
              </w:tabs>
              <w:rPr>
                <w:rFonts w:cs="Arial"/>
                <w:sz w:val="16"/>
                <w:szCs w:val="16"/>
              </w:rPr>
            </w:pPr>
            <w:r w:rsidRPr="00A32AF4">
              <w:rPr>
                <w:rFonts w:cs="Arial"/>
                <w:sz w:val="16"/>
                <w:szCs w:val="16"/>
              </w:rPr>
              <w:t>II.9</w:t>
            </w:r>
            <w:r w:rsidR="00570B48" w:rsidRPr="00A32AF4">
              <w:t xml:space="preserve"> </w:t>
            </w:r>
            <w:r w:rsidR="00570B48" w:rsidRPr="00A32AF4">
              <w:rPr>
                <w:rFonts w:cs="Arial"/>
                <w:sz w:val="16"/>
                <w:szCs w:val="16"/>
              </w:rPr>
              <w:t>Protection efficace de la propriété intellectuelle dans les gTLD et les ccTLD</w:t>
            </w:r>
          </w:p>
        </w:tc>
        <w:tc>
          <w:tcPr>
            <w:tcW w:w="2552" w:type="dxa"/>
            <w:shd w:val="clear" w:color="000000" w:fill="FFFFFF"/>
            <w:tcMar>
              <w:top w:w="113" w:type="dxa"/>
              <w:bottom w:w="113" w:type="dxa"/>
            </w:tcMar>
            <w:hideMark/>
          </w:tcPr>
          <w:p w:rsidR="00CD1430" w:rsidRPr="00A32AF4" w:rsidRDefault="00CD1430" w:rsidP="00DC0553">
            <w:pPr>
              <w:rPr>
                <w:rFonts w:cs="Arial"/>
                <w:sz w:val="16"/>
                <w:szCs w:val="16"/>
              </w:rPr>
            </w:pPr>
            <w:r w:rsidRPr="00A32AF4">
              <w:rPr>
                <w:rFonts w:cs="Arial"/>
                <w:sz w:val="16"/>
                <w:szCs w:val="16"/>
              </w:rPr>
              <w:t>Nombre de litiges relatifs à des gTLD et des ccTLD administrés par le Centre au titre des principes UDRP</w:t>
            </w:r>
          </w:p>
        </w:tc>
        <w:tc>
          <w:tcPr>
            <w:tcW w:w="2223" w:type="dxa"/>
            <w:shd w:val="clear" w:color="000000" w:fill="FFFFFF"/>
            <w:tcMar>
              <w:top w:w="113" w:type="dxa"/>
              <w:bottom w:w="113" w:type="dxa"/>
            </w:tcMar>
            <w:hideMark/>
          </w:tcPr>
          <w:p w:rsidR="00CD1430" w:rsidRPr="00A32AF4" w:rsidRDefault="00CD1430" w:rsidP="00DC0553">
            <w:pPr>
              <w:rPr>
                <w:rFonts w:cs="Arial"/>
                <w:sz w:val="16"/>
                <w:szCs w:val="16"/>
              </w:rPr>
            </w:pPr>
            <w:r w:rsidRPr="00A32AF4">
              <w:rPr>
                <w:rFonts w:cs="Arial"/>
                <w:sz w:val="16"/>
                <w:szCs w:val="16"/>
              </w:rPr>
              <w:t>27 189 litiges relatifs à des gTLD administrés par le Cen</w:t>
            </w:r>
            <w:r w:rsidR="00FB1F61" w:rsidRPr="00A32AF4">
              <w:rPr>
                <w:rFonts w:cs="Arial"/>
                <w:sz w:val="16"/>
                <w:szCs w:val="16"/>
              </w:rPr>
              <w:t>tre (cumul à la fin de 2014)</w:t>
            </w:r>
            <w:r w:rsidR="00FB1F61" w:rsidRPr="00A32AF4">
              <w:rPr>
                <w:rFonts w:cs="Arial"/>
                <w:sz w:val="16"/>
                <w:szCs w:val="16"/>
              </w:rPr>
              <w:br/>
            </w:r>
            <w:r w:rsidR="00FB1F61" w:rsidRPr="00A32AF4">
              <w:rPr>
                <w:rFonts w:cs="Arial"/>
                <w:sz w:val="16"/>
                <w:szCs w:val="16"/>
              </w:rPr>
              <w:br/>
              <w:t>3</w:t>
            </w:r>
            <w:r w:rsidRPr="00A32AF4">
              <w:rPr>
                <w:rFonts w:cs="Arial"/>
                <w:sz w:val="16"/>
                <w:szCs w:val="16"/>
              </w:rPr>
              <w:t>144 litiges portant uniquement sur des ccTLD administrés par le Centre (cumul à la fin de 2014)</w:t>
            </w:r>
          </w:p>
        </w:tc>
        <w:tc>
          <w:tcPr>
            <w:tcW w:w="2029" w:type="dxa"/>
            <w:shd w:val="clear" w:color="000000" w:fill="FFFFFF"/>
            <w:tcMar>
              <w:top w:w="113" w:type="dxa"/>
              <w:bottom w:w="113" w:type="dxa"/>
            </w:tcMar>
            <w:hideMark/>
          </w:tcPr>
          <w:p w:rsidR="00F93B76" w:rsidRPr="00A32AF4" w:rsidRDefault="00CD1430" w:rsidP="00DC0553">
            <w:pPr>
              <w:rPr>
                <w:rFonts w:cs="Arial"/>
                <w:sz w:val="16"/>
                <w:szCs w:val="16"/>
              </w:rPr>
            </w:pPr>
            <w:r w:rsidRPr="00A32AF4">
              <w:rPr>
                <w:rFonts w:cs="Arial"/>
                <w:sz w:val="16"/>
                <w:szCs w:val="16"/>
              </w:rPr>
              <w:t>3000 litiges supplémentaires</w:t>
            </w:r>
          </w:p>
          <w:p w:rsidR="00F93B76" w:rsidRPr="00A32AF4" w:rsidRDefault="00F93B76" w:rsidP="00DC0553">
            <w:pPr>
              <w:rPr>
                <w:rFonts w:cs="Arial"/>
                <w:sz w:val="16"/>
                <w:szCs w:val="16"/>
              </w:rPr>
            </w:pPr>
          </w:p>
          <w:p w:rsidR="00F93B76" w:rsidRPr="00A32AF4" w:rsidRDefault="00F93B76" w:rsidP="00DC0553">
            <w:pPr>
              <w:rPr>
                <w:rFonts w:cs="Arial"/>
                <w:sz w:val="16"/>
                <w:szCs w:val="16"/>
              </w:rPr>
            </w:pPr>
          </w:p>
          <w:p w:rsidR="00F93B76" w:rsidRPr="00A32AF4" w:rsidRDefault="00F93B76" w:rsidP="00DC0553">
            <w:pPr>
              <w:rPr>
                <w:rFonts w:cs="Arial"/>
                <w:sz w:val="16"/>
                <w:szCs w:val="16"/>
              </w:rPr>
            </w:pPr>
          </w:p>
          <w:p w:rsidR="00CD1430" w:rsidRPr="00A32AF4" w:rsidRDefault="00CD1430" w:rsidP="00DC0553">
            <w:pPr>
              <w:rPr>
                <w:rFonts w:cs="Arial"/>
                <w:sz w:val="16"/>
                <w:szCs w:val="16"/>
              </w:rPr>
            </w:pPr>
            <w:r w:rsidRPr="00A32AF4">
              <w:rPr>
                <w:rFonts w:cs="Arial"/>
                <w:sz w:val="16"/>
                <w:szCs w:val="16"/>
              </w:rPr>
              <w:t>350 litiges portant uniquement sur des ccTLD supplémentaires</w:t>
            </w:r>
          </w:p>
        </w:tc>
      </w:tr>
      <w:tr w:rsidR="0038294E" w:rsidRPr="00A32AF4" w:rsidTr="004848EA">
        <w:trPr>
          <w:cantSplit/>
        </w:trPr>
        <w:tc>
          <w:tcPr>
            <w:tcW w:w="2425" w:type="dxa"/>
            <w:vMerge/>
            <w:tcMar>
              <w:top w:w="113" w:type="dxa"/>
              <w:bottom w:w="113" w:type="dxa"/>
            </w:tcMar>
            <w:vAlign w:val="center"/>
            <w:hideMark/>
          </w:tcPr>
          <w:p w:rsidR="00CD1430" w:rsidRPr="00A32AF4" w:rsidRDefault="00CD1430" w:rsidP="00DC0553">
            <w:pPr>
              <w:rPr>
                <w:rFonts w:cs="Arial"/>
                <w:sz w:val="16"/>
                <w:szCs w:val="16"/>
              </w:rPr>
            </w:pPr>
          </w:p>
        </w:tc>
        <w:tc>
          <w:tcPr>
            <w:tcW w:w="2552" w:type="dxa"/>
            <w:shd w:val="clear" w:color="000000" w:fill="FFFFFF"/>
            <w:tcMar>
              <w:top w:w="113" w:type="dxa"/>
              <w:bottom w:w="113" w:type="dxa"/>
            </w:tcMar>
            <w:hideMark/>
          </w:tcPr>
          <w:p w:rsidR="00CD1430" w:rsidRPr="00A32AF4" w:rsidRDefault="00CD1430" w:rsidP="00DC0553">
            <w:pPr>
              <w:rPr>
                <w:rFonts w:cs="Arial"/>
                <w:sz w:val="16"/>
                <w:szCs w:val="16"/>
              </w:rPr>
            </w:pPr>
            <w:r w:rsidRPr="00A32AF4">
              <w:rPr>
                <w:rFonts w:cs="Arial"/>
                <w:sz w:val="16"/>
                <w:szCs w:val="16"/>
              </w:rPr>
              <w:t>Politiques de règlement des litiges dans le système des noms de domaine pour lesquelles le Centre a contribué à l</w:t>
            </w:r>
            <w:r w:rsidR="00E2055A" w:rsidRPr="00A32AF4">
              <w:rPr>
                <w:rFonts w:cs="Arial"/>
                <w:sz w:val="16"/>
                <w:szCs w:val="16"/>
              </w:rPr>
              <w:t>’</w:t>
            </w:r>
            <w:r w:rsidRPr="00A32AF4">
              <w:rPr>
                <w:rFonts w:cs="Arial"/>
                <w:sz w:val="16"/>
                <w:szCs w:val="16"/>
              </w:rPr>
              <w:t xml:space="preserve">élaboration et à la mise en œuvre </w:t>
            </w:r>
          </w:p>
        </w:tc>
        <w:tc>
          <w:tcPr>
            <w:tcW w:w="2223" w:type="dxa"/>
            <w:shd w:val="clear" w:color="000000" w:fill="FFFFFF"/>
            <w:tcMar>
              <w:top w:w="113" w:type="dxa"/>
              <w:bottom w:w="113" w:type="dxa"/>
            </w:tcMar>
            <w:hideMark/>
          </w:tcPr>
          <w:p w:rsidR="00CD1430" w:rsidRPr="00A32AF4" w:rsidRDefault="00CD1430" w:rsidP="00DC0553">
            <w:pPr>
              <w:rPr>
                <w:rFonts w:cs="Arial"/>
                <w:sz w:val="16"/>
                <w:szCs w:val="16"/>
              </w:rPr>
            </w:pPr>
            <w:r w:rsidRPr="00A32AF4">
              <w:rPr>
                <w:rFonts w:cs="Arial"/>
                <w:sz w:val="16"/>
                <w:szCs w:val="16"/>
              </w:rPr>
              <w:t>Principes UDRP, procédure de résolution des litiges préalable à l</w:t>
            </w:r>
            <w:r w:rsidR="00E2055A" w:rsidRPr="00A32AF4">
              <w:rPr>
                <w:rFonts w:cs="Arial"/>
                <w:sz w:val="16"/>
                <w:szCs w:val="16"/>
              </w:rPr>
              <w:t>’</w:t>
            </w:r>
            <w:r w:rsidRPr="00A32AF4">
              <w:rPr>
                <w:rFonts w:cs="Arial"/>
                <w:sz w:val="16"/>
                <w:szCs w:val="16"/>
              </w:rPr>
              <w:t>attribution, procédure de règlement des litiges relatifs aux marques postérieures à l</w:t>
            </w:r>
            <w:r w:rsidR="00E2055A" w:rsidRPr="00A32AF4">
              <w:rPr>
                <w:rFonts w:cs="Arial"/>
                <w:sz w:val="16"/>
                <w:szCs w:val="16"/>
              </w:rPr>
              <w:t>’</w:t>
            </w:r>
            <w:r w:rsidRPr="00A32AF4">
              <w:rPr>
                <w:rFonts w:cs="Arial"/>
                <w:sz w:val="16"/>
                <w:szCs w:val="16"/>
              </w:rPr>
              <w:t>attribution (cumul à la fin de 2014)</w:t>
            </w:r>
            <w:r w:rsidRPr="00A32AF4">
              <w:rPr>
                <w:rFonts w:cs="Arial"/>
                <w:sz w:val="16"/>
                <w:szCs w:val="16"/>
              </w:rPr>
              <w:br/>
            </w:r>
            <w:r w:rsidRPr="00A32AF4">
              <w:rPr>
                <w:rFonts w:cs="Arial"/>
                <w:sz w:val="16"/>
                <w:szCs w:val="16"/>
              </w:rPr>
              <w:br/>
              <w:t>72 administrateurs de ccTLD (cumul à la fin de 2014)</w:t>
            </w:r>
          </w:p>
        </w:tc>
        <w:tc>
          <w:tcPr>
            <w:tcW w:w="2029" w:type="dxa"/>
            <w:shd w:val="clear" w:color="000000" w:fill="FFFFFF"/>
            <w:tcMar>
              <w:top w:w="113" w:type="dxa"/>
              <w:bottom w:w="113" w:type="dxa"/>
            </w:tcMar>
            <w:hideMark/>
          </w:tcPr>
          <w:p w:rsidR="00F93B76" w:rsidRPr="00A32AF4" w:rsidRDefault="00CD1430" w:rsidP="00DC0553">
            <w:pPr>
              <w:rPr>
                <w:rFonts w:cs="Arial"/>
                <w:sz w:val="16"/>
                <w:szCs w:val="16"/>
              </w:rPr>
            </w:pPr>
            <w:r w:rsidRPr="00A32AF4">
              <w:rPr>
                <w:rFonts w:cs="Arial"/>
                <w:sz w:val="16"/>
                <w:szCs w:val="16"/>
              </w:rPr>
              <w:t>Mise en œuvre, au sein du système des noms de domaine, des recommandations de l</w:t>
            </w:r>
            <w:r w:rsidR="00E2055A" w:rsidRPr="00A32AF4">
              <w:rPr>
                <w:rFonts w:cs="Arial"/>
                <w:sz w:val="16"/>
                <w:szCs w:val="16"/>
              </w:rPr>
              <w:t>’</w:t>
            </w:r>
            <w:r w:rsidRPr="00A32AF4">
              <w:rPr>
                <w:rFonts w:cs="Arial"/>
                <w:sz w:val="16"/>
                <w:szCs w:val="16"/>
              </w:rPr>
              <w:t>OMPI en matière de principes et de procédures</w:t>
            </w:r>
            <w:r w:rsidRPr="00A32AF4">
              <w:rPr>
                <w:rFonts w:cs="Arial"/>
                <w:sz w:val="16"/>
                <w:szCs w:val="16"/>
              </w:rPr>
              <w:br/>
            </w:r>
          </w:p>
          <w:p w:rsidR="00F93B76" w:rsidRPr="00A32AF4" w:rsidRDefault="00F93B76" w:rsidP="00DC0553">
            <w:pPr>
              <w:rPr>
                <w:rFonts w:cs="Arial"/>
                <w:sz w:val="16"/>
                <w:szCs w:val="16"/>
              </w:rPr>
            </w:pPr>
          </w:p>
          <w:p w:rsidR="00CD1430" w:rsidRPr="00A32AF4" w:rsidRDefault="00CD1430" w:rsidP="00DC0553">
            <w:pPr>
              <w:rPr>
                <w:rFonts w:cs="Arial"/>
                <w:sz w:val="16"/>
                <w:szCs w:val="16"/>
              </w:rPr>
            </w:pPr>
            <w:r w:rsidRPr="00A32AF4">
              <w:rPr>
                <w:rFonts w:cs="Arial"/>
                <w:sz w:val="16"/>
                <w:szCs w:val="16"/>
              </w:rPr>
              <w:t>De deux à quatre nouveaux administrateurs de ccTLD</w:t>
            </w:r>
          </w:p>
        </w:tc>
      </w:tr>
    </w:tbl>
    <w:p w:rsidR="00F93B76" w:rsidRPr="00A32AF4" w:rsidRDefault="00F93B76" w:rsidP="00DC0553"/>
    <w:p w:rsidR="00F93B76" w:rsidRPr="00A32AF4" w:rsidRDefault="00F93B76" w:rsidP="00DC0553"/>
    <w:p w:rsidR="00F93B76" w:rsidRPr="00A32AF4" w:rsidRDefault="00DC2AF7" w:rsidP="00DC0553">
      <w:r w:rsidRPr="00A32AF4">
        <w:t>RESSOURCES ALLOUÉES AU PROGRAMME</w:t>
      </w:r>
      <w:r w:rsidR="008A2148" w:rsidRPr="00A32AF4">
        <w:t> 7</w:t>
      </w:r>
    </w:p>
    <w:p w:rsidR="00F93B76" w:rsidRPr="00A32AF4" w:rsidRDefault="00F93B76" w:rsidP="00DC0553"/>
    <w:p w:rsidR="00E2055A" w:rsidRPr="00A32AF4" w:rsidRDefault="00F05895" w:rsidP="00DC0553">
      <w:pPr>
        <w:pStyle w:val="BodyText"/>
        <w:numPr>
          <w:ilvl w:val="1"/>
          <w:numId w:val="18"/>
        </w:numPr>
        <w:tabs>
          <w:tab w:val="left" w:pos="567"/>
          <w:tab w:val="left" w:pos="876"/>
        </w:tabs>
        <w:spacing w:after="0"/>
        <w:ind w:firstLine="0"/>
        <w:jc w:val="both"/>
        <w:rPr>
          <w:rFonts w:eastAsia="Arial"/>
        </w:rPr>
      </w:pPr>
      <w:r w:rsidRPr="00A32AF4">
        <w:rPr>
          <w:rFonts w:eastAsia="Arial"/>
        </w:rPr>
        <w:t>Une légère augmentation peut être observée dans les ressources globales allouées au programme pour</w:t>
      </w:r>
      <w:r w:rsidR="00FD43E3" w:rsidRPr="00A32AF4">
        <w:rPr>
          <w:rFonts w:eastAsia="Arial"/>
        </w:rPr>
        <w:t> </w:t>
      </w:r>
      <w:r w:rsidR="008A2148" w:rsidRPr="00A32AF4">
        <w:rPr>
          <w:rFonts w:eastAsia="Arial"/>
        </w:rPr>
        <w:t>2016</w:t>
      </w:r>
      <w:r w:rsidR="00EB7F54" w:rsidRPr="00A32AF4">
        <w:rPr>
          <w:rFonts w:eastAsia="Arial"/>
        </w:rPr>
        <w:noBreakHyphen/>
      </w:r>
      <w:r w:rsidRPr="00A32AF4">
        <w:rPr>
          <w:rFonts w:eastAsia="Arial"/>
        </w:rPr>
        <w:t>20</w:t>
      </w:r>
      <w:r w:rsidR="008A2148" w:rsidRPr="00A32AF4">
        <w:rPr>
          <w:rFonts w:eastAsia="Arial"/>
        </w:rPr>
        <w:t xml:space="preserve">17 </w:t>
      </w:r>
      <w:r w:rsidRPr="00A32AF4">
        <w:rPr>
          <w:rFonts w:eastAsia="Arial"/>
        </w:rPr>
        <w:t xml:space="preserve">par rapport au budget </w:t>
      </w:r>
      <w:r w:rsidR="008A2148" w:rsidRPr="00A32AF4">
        <w:rPr>
          <w:rFonts w:eastAsia="Arial"/>
        </w:rPr>
        <w:t>2014</w:t>
      </w:r>
      <w:r w:rsidR="00EB7F54" w:rsidRPr="00A32AF4">
        <w:rPr>
          <w:rFonts w:eastAsia="Arial"/>
        </w:rPr>
        <w:noBreakHyphen/>
      </w:r>
      <w:r w:rsidRPr="00A32AF4">
        <w:rPr>
          <w:rFonts w:eastAsia="Arial"/>
        </w:rPr>
        <w:t>20</w:t>
      </w:r>
      <w:r w:rsidR="008A2148" w:rsidRPr="00A32AF4">
        <w:rPr>
          <w:rFonts w:eastAsia="Arial"/>
        </w:rPr>
        <w:t xml:space="preserve">15 </w:t>
      </w:r>
      <w:r w:rsidRPr="00A32AF4">
        <w:rPr>
          <w:rFonts w:eastAsia="Arial"/>
        </w:rPr>
        <w:t>après virement</w:t>
      </w:r>
      <w:r w:rsidR="00C21E51" w:rsidRPr="00A32AF4">
        <w:rPr>
          <w:rFonts w:eastAsia="Arial"/>
        </w:rPr>
        <w:t>s</w:t>
      </w:r>
      <w:r w:rsidR="008A2148" w:rsidRPr="00A32AF4">
        <w:rPr>
          <w:rFonts w:eastAsia="Arial"/>
        </w:rPr>
        <w:t xml:space="preserve">.  </w:t>
      </w:r>
      <w:r w:rsidRPr="00A32AF4">
        <w:rPr>
          <w:rFonts w:eastAsia="Arial"/>
        </w:rPr>
        <w:t xml:space="preserve">Elle est imputable au changement de la méthode de </w:t>
      </w:r>
      <w:r w:rsidR="009615B0" w:rsidRPr="00A32AF4">
        <w:rPr>
          <w:rFonts w:eastAsia="Arial"/>
        </w:rPr>
        <w:t>comptabilisation</w:t>
      </w:r>
      <w:r w:rsidRPr="00A32AF4">
        <w:rPr>
          <w:rFonts w:eastAsia="Arial"/>
        </w:rPr>
        <w:t xml:space="preserve"> </w:t>
      </w:r>
      <w:r w:rsidR="005B53BA" w:rsidRPr="00A32AF4">
        <w:rPr>
          <w:rFonts w:eastAsia="Arial"/>
        </w:rPr>
        <w:t>des dépenses de</w:t>
      </w:r>
      <w:r w:rsidRPr="00A32AF4">
        <w:rPr>
          <w:rFonts w:eastAsia="Arial"/>
        </w:rPr>
        <w:t xml:space="preserve"> personnel en</w:t>
      </w:r>
      <w:r w:rsidR="00FD43E3" w:rsidRPr="00A32AF4">
        <w:rPr>
          <w:rFonts w:eastAsia="Arial"/>
        </w:rPr>
        <w:t> </w:t>
      </w:r>
      <w:r w:rsidRPr="00A32AF4">
        <w:rPr>
          <w:rFonts w:eastAsia="Arial"/>
        </w:rPr>
        <w:t>2016</w:t>
      </w:r>
      <w:r w:rsidR="00EB7F54" w:rsidRPr="00A32AF4">
        <w:rPr>
          <w:rFonts w:eastAsia="Arial"/>
        </w:rPr>
        <w:noBreakHyphen/>
      </w:r>
      <w:r w:rsidRPr="00A32AF4">
        <w:rPr>
          <w:rFonts w:eastAsia="Arial"/>
        </w:rPr>
        <w:t xml:space="preserve">2017, fondée sur les montants </w:t>
      </w:r>
      <w:r w:rsidR="00C21E51" w:rsidRPr="00A32AF4">
        <w:rPr>
          <w:rFonts w:eastAsia="Arial"/>
        </w:rPr>
        <w:t>effectifs</w:t>
      </w:r>
      <w:r w:rsidR="008A2148" w:rsidRPr="00A32AF4">
        <w:rPr>
          <w:rFonts w:eastAsia="Arial"/>
        </w:rPr>
        <w:t>.</w:t>
      </w:r>
    </w:p>
    <w:p w:rsidR="00F93B76" w:rsidRPr="00A32AF4" w:rsidRDefault="00F93B76" w:rsidP="00DC0553">
      <w:pPr>
        <w:rPr>
          <w:rFonts w:eastAsia="Arial"/>
        </w:rPr>
      </w:pPr>
    </w:p>
    <w:p w:rsidR="00F93B76" w:rsidRPr="00A32AF4" w:rsidRDefault="005B53BA" w:rsidP="00DC0553">
      <w:pPr>
        <w:pStyle w:val="BodyText"/>
        <w:numPr>
          <w:ilvl w:val="1"/>
          <w:numId w:val="18"/>
        </w:numPr>
        <w:tabs>
          <w:tab w:val="left" w:pos="567"/>
          <w:tab w:val="left" w:pos="876"/>
        </w:tabs>
        <w:spacing w:after="0"/>
        <w:ind w:firstLine="0"/>
        <w:jc w:val="both"/>
        <w:rPr>
          <w:rFonts w:eastAsia="Arial"/>
        </w:rPr>
      </w:pPr>
      <w:r w:rsidRPr="00A32AF4">
        <w:rPr>
          <w:rFonts w:eastAsia="Arial"/>
        </w:rPr>
        <w:t xml:space="preserve">Le transfert de ressources du résultat escompté </w:t>
      </w:r>
      <w:r w:rsidR="008A2148" w:rsidRPr="00A32AF4">
        <w:rPr>
          <w:rFonts w:eastAsia="Arial"/>
        </w:rPr>
        <w:t xml:space="preserve">II.9 </w:t>
      </w:r>
      <w:r w:rsidRPr="00A32AF4">
        <w:rPr>
          <w:rFonts w:eastAsia="Arial"/>
        </w:rPr>
        <w:t xml:space="preserve">au résultat escompté </w:t>
      </w:r>
      <w:r w:rsidR="008A2148" w:rsidRPr="00A32AF4">
        <w:rPr>
          <w:rFonts w:eastAsia="Arial"/>
        </w:rPr>
        <w:t xml:space="preserve">II.8 </w:t>
      </w:r>
      <w:r w:rsidRPr="00A32AF4">
        <w:rPr>
          <w:rFonts w:eastAsiaTheme="minorEastAsia" w:cs="Arial"/>
          <w:lang w:eastAsia="ja-JP"/>
        </w:rPr>
        <w:t>traduit l</w:t>
      </w:r>
      <w:r w:rsidR="00E2055A" w:rsidRPr="00A32AF4">
        <w:rPr>
          <w:rFonts w:eastAsiaTheme="minorEastAsia" w:cs="Arial"/>
          <w:lang w:eastAsia="ja-JP"/>
        </w:rPr>
        <w:t>’</w:t>
      </w:r>
      <w:r w:rsidRPr="00A32AF4">
        <w:rPr>
          <w:rFonts w:eastAsiaTheme="minorEastAsia" w:cs="Arial"/>
          <w:lang w:eastAsia="ja-JP"/>
        </w:rPr>
        <w:t xml:space="preserve">accent </w:t>
      </w:r>
      <w:r w:rsidRPr="00A32AF4">
        <w:rPr>
          <w:rFonts w:eastAsia="Arial"/>
        </w:rPr>
        <w:t>placé sur l</w:t>
      </w:r>
      <w:r w:rsidR="00E2055A" w:rsidRPr="00A32AF4">
        <w:rPr>
          <w:rFonts w:eastAsia="Arial"/>
        </w:rPr>
        <w:t>’</w:t>
      </w:r>
      <w:r w:rsidRPr="00A32AF4">
        <w:rPr>
          <w:rFonts w:eastAsia="Arial"/>
        </w:rPr>
        <w:t xml:space="preserve">utilisation accrue des mécanismes extrajudiciaires de règlement des litiges en </w:t>
      </w:r>
      <w:r w:rsidR="008A2148" w:rsidRPr="00A32AF4">
        <w:rPr>
          <w:rFonts w:eastAsia="Arial"/>
        </w:rPr>
        <w:t>r</w:t>
      </w:r>
      <w:r w:rsidRPr="00A32AF4">
        <w:rPr>
          <w:rFonts w:eastAsia="Arial"/>
        </w:rPr>
        <w:t>é</w:t>
      </w:r>
      <w:r w:rsidR="008A2148" w:rsidRPr="00A32AF4">
        <w:rPr>
          <w:rFonts w:eastAsia="Arial"/>
        </w:rPr>
        <w:t xml:space="preserve">ponse </w:t>
      </w:r>
      <w:r w:rsidRPr="00A32AF4">
        <w:rPr>
          <w:rFonts w:eastAsia="Arial"/>
        </w:rPr>
        <w:t>aux demandes des États membres</w:t>
      </w:r>
      <w:r w:rsidR="008A2148" w:rsidRPr="00A32AF4">
        <w:rPr>
          <w:rFonts w:eastAsia="Arial"/>
        </w:rPr>
        <w:t>.</w:t>
      </w:r>
    </w:p>
    <w:p w:rsidR="00F93B76" w:rsidRPr="00A32AF4" w:rsidRDefault="00F93B76" w:rsidP="00DC0553"/>
    <w:p w:rsidR="00F93B76" w:rsidRPr="00A32AF4" w:rsidRDefault="00F93B76" w:rsidP="00DC0553"/>
    <w:p w:rsidR="00F93B76" w:rsidRPr="00A32AF4" w:rsidRDefault="008A2148" w:rsidP="00DC0553">
      <w:pPr>
        <w:keepNext/>
        <w:keepLines/>
        <w:autoSpaceDE w:val="0"/>
        <w:autoSpaceDN w:val="0"/>
        <w:jc w:val="center"/>
        <w:rPr>
          <w:rFonts w:cs="Arial"/>
          <w:b/>
        </w:rPr>
      </w:pPr>
      <w:r w:rsidRPr="00A32AF4">
        <w:rPr>
          <w:rFonts w:cs="Arial"/>
          <w:b/>
        </w:rPr>
        <w:t>Programme 7 : ressources par résultat</w:t>
      </w:r>
    </w:p>
    <w:p w:rsidR="00F93B76" w:rsidRPr="00A32AF4" w:rsidRDefault="008A2148" w:rsidP="00DC0553">
      <w:pPr>
        <w:keepNext/>
        <w:keepLines/>
        <w:autoSpaceDE w:val="0"/>
        <w:autoSpaceDN w:val="0"/>
        <w:jc w:val="center"/>
        <w:rPr>
          <w:rFonts w:cs="Arial"/>
          <w:i/>
        </w:rPr>
      </w:pPr>
      <w:r w:rsidRPr="00A32AF4">
        <w:rPr>
          <w:rFonts w:cs="Arial"/>
          <w:i/>
        </w:rPr>
        <w:t>(</w:t>
      </w:r>
      <w:proofErr w:type="gramStart"/>
      <w:r w:rsidRPr="00A32AF4">
        <w:rPr>
          <w:rFonts w:cs="Arial"/>
          <w:i/>
        </w:rPr>
        <w:t>en</w:t>
      </w:r>
      <w:proofErr w:type="gramEnd"/>
      <w:r w:rsidRPr="00A32AF4">
        <w:rPr>
          <w:rFonts w:cs="Arial"/>
          <w:i/>
        </w:rPr>
        <w:t xml:space="preserve"> milliers de francs suisses)</w:t>
      </w:r>
    </w:p>
    <w:p w:rsidR="008A2148" w:rsidRPr="00A32AF4" w:rsidRDefault="008A2148" w:rsidP="00DC0553">
      <w:pPr>
        <w:keepNext/>
      </w:pPr>
    </w:p>
    <w:tbl>
      <w:tblPr>
        <w:tblW w:w="8980" w:type="dxa"/>
        <w:tblInd w:w="55" w:type="dxa"/>
        <w:tblCellMar>
          <w:left w:w="70" w:type="dxa"/>
          <w:right w:w="70" w:type="dxa"/>
        </w:tblCellMar>
        <w:tblLook w:val="04A0" w:firstRow="1" w:lastRow="0" w:firstColumn="1" w:lastColumn="0" w:noHBand="0" w:noVBand="1"/>
      </w:tblPr>
      <w:tblGrid>
        <w:gridCol w:w="424"/>
        <w:gridCol w:w="4596"/>
        <w:gridCol w:w="1260"/>
        <w:gridCol w:w="1440"/>
        <w:gridCol w:w="1260"/>
      </w:tblGrid>
      <w:tr w:rsidR="008A2148" w:rsidRPr="00A32AF4" w:rsidTr="008A2148">
        <w:tc>
          <w:tcPr>
            <w:tcW w:w="5020" w:type="dxa"/>
            <w:gridSpan w:val="2"/>
            <w:tcBorders>
              <w:top w:val="single" w:sz="4" w:space="0" w:color="auto"/>
              <w:left w:val="single" w:sz="4" w:space="0" w:color="auto"/>
              <w:bottom w:val="single" w:sz="4" w:space="0" w:color="auto"/>
              <w:right w:val="single" w:sz="4" w:space="0" w:color="000000"/>
            </w:tcBorders>
            <w:shd w:val="clear" w:color="000000" w:fill="C5D9F1"/>
            <w:noWrap/>
            <w:tcMar>
              <w:top w:w="113" w:type="dxa"/>
              <w:bottom w:w="113" w:type="dxa"/>
            </w:tcMar>
            <w:vAlign w:val="center"/>
            <w:hideMark/>
          </w:tcPr>
          <w:p w:rsidR="008A2148" w:rsidRPr="00A32AF4" w:rsidRDefault="008A2148" w:rsidP="00DC0553">
            <w:pPr>
              <w:jc w:val="center"/>
              <w:rPr>
                <w:rFonts w:cs="Arial"/>
                <w:i/>
                <w:iCs/>
                <w:sz w:val="16"/>
                <w:szCs w:val="16"/>
                <w:lang w:eastAsia="fr-FR"/>
              </w:rPr>
            </w:pPr>
            <w:r w:rsidRPr="00A32AF4">
              <w:rPr>
                <w:rFonts w:cs="Arial"/>
                <w:i/>
                <w:iCs/>
                <w:sz w:val="16"/>
                <w:szCs w:val="16"/>
                <w:lang w:eastAsia="fr-FR"/>
              </w:rPr>
              <w:t xml:space="preserve">Numéro et description du résultat escompté </w:t>
            </w:r>
          </w:p>
        </w:tc>
        <w:tc>
          <w:tcPr>
            <w:tcW w:w="126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8A2148" w:rsidRPr="00A32AF4" w:rsidRDefault="008A2148" w:rsidP="00DC0553">
            <w:pPr>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2014</w:t>
            </w:r>
            <w:r w:rsidR="00EB7F54" w:rsidRPr="00A32AF4">
              <w:rPr>
                <w:rFonts w:cs="Arial"/>
                <w:i/>
                <w:iCs/>
                <w:sz w:val="16"/>
                <w:szCs w:val="16"/>
                <w:lang w:eastAsia="fr-FR"/>
              </w:rPr>
              <w:noBreakHyphen/>
            </w:r>
            <w:r w:rsidRPr="00A32AF4">
              <w:rPr>
                <w:rFonts w:cs="Arial"/>
                <w:i/>
                <w:iCs/>
                <w:sz w:val="16"/>
                <w:szCs w:val="16"/>
                <w:lang w:eastAsia="fr-FR"/>
              </w:rPr>
              <w:t>2015 approuvé</w:t>
            </w:r>
          </w:p>
        </w:tc>
        <w:tc>
          <w:tcPr>
            <w:tcW w:w="144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8A2148" w:rsidRPr="00A32AF4" w:rsidRDefault="008A2148" w:rsidP="00DC0553">
            <w:pPr>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2014</w:t>
            </w:r>
            <w:r w:rsidR="00EB7F54" w:rsidRPr="00A32AF4">
              <w:rPr>
                <w:rFonts w:cs="Arial"/>
                <w:i/>
                <w:iCs/>
                <w:sz w:val="16"/>
                <w:szCs w:val="16"/>
                <w:lang w:eastAsia="fr-FR"/>
              </w:rPr>
              <w:noBreakHyphen/>
            </w:r>
            <w:r w:rsidRPr="00A32AF4">
              <w:rPr>
                <w:rFonts w:cs="Arial"/>
                <w:i/>
                <w:iCs/>
                <w:sz w:val="16"/>
                <w:szCs w:val="16"/>
                <w:lang w:eastAsia="fr-FR"/>
              </w:rPr>
              <w:t>2015 après virements</w:t>
            </w:r>
          </w:p>
        </w:tc>
        <w:tc>
          <w:tcPr>
            <w:tcW w:w="126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8A2148" w:rsidRPr="00A32AF4" w:rsidRDefault="008A2148" w:rsidP="00DC0553">
            <w:pPr>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2016</w:t>
            </w:r>
            <w:r w:rsidR="00EB7F54" w:rsidRPr="00A32AF4">
              <w:rPr>
                <w:rFonts w:cs="Arial"/>
                <w:i/>
                <w:iCs/>
                <w:sz w:val="16"/>
                <w:szCs w:val="16"/>
                <w:lang w:eastAsia="fr-FR"/>
              </w:rPr>
              <w:noBreakHyphen/>
            </w:r>
            <w:r w:rsidRPr="00A32AF4">
              <w:rPr>
                <w:rFonts w:cs="Arial"/>
                <w:i/>
                <w:iCs/>
                <w:sz w:val="16"/>
                <w:szCs w:val="16"/>
                <w:lang w:eastAsia="fr-FR"/>
              </w:rPr>
              <w:t>2017 proposé</w:t>
            </w:r>
          </w:p>
        </w:tc>
      </w:tr>
      <w:tr w:rsidR="008A2148" w:rsidRPr="00A32AF4" w:rsidTr="008A2148">
        <w:tc>
          <w:tcPr>
            <w:tcW w:w="424" w:type="dxa"/>
            <w:tcBorders>
              <w:top w:val="nil"/>
              <w:left w:val="single" w:sz="4" w:space="0" w:color="auto"/>
              <w:bottom w:val="nil"/>
              <w:right w:val="nil"/>
            </w:tcBorders>
            <w:shd w:val="clear" w:color="auto" w:fill="auto"/>
            <w:noWrap/>
            <w:tcMar>
              <w:top w:w="113" w:type="dxa"/>
              <w:bottom w:w="113" w:type="dxa"/>
            </w:tcMar>
            <w:vAlign w:val="center"/>
            <w:hideMark/>
          </w:tcPr>
          <w:p w:rsidR="008A2148" w:rsidRPr="00A32AF4" w:rsidRDefault="008A2148" w:rsidP="00DC0553">
            <w:pPr>
              <w:rPr>
                <w:rFonts w:cs="Arial"/>
                <w:sz w:val="16"/>
                <w:szCs w:val="16"/>
                <w:lang w:eastAsia="fr-FR"/>
              </w:rPr>
            </w:pPr>
            <w:r w:rsidRPr="00A32AF4">
              <w:rPr>
                <w:rFonts w:cs="Arial"/>
                <w:sz w:val="16"/>
                <w:szCs w:val="16"/>
                <w:lang w:eastAsia="fr-FR"/>
              </w:rPr>
              <w:t>II.8</w:t>
            </w:r>
          </w:p>
        </w:tc>
        <w:tc>
          <w:tcPr>
            <w:tcW w:w="4596" w:type="dxa"/>
            <w:tcBorders>
              <w:top w:val="nil"/>
              <w:left w:val="nil"/>
              <w:bottom w:val="nil"/>
              <w:right w:val="nil"/>
            </w:tcBorders>
            <w:shd w:val="clear" w:color="auto" w:fill="auto"/>
            <w:tcMar>
              <w:top w:w="113" w:type="dxa"/>
              <w:bottom w:w="113" w:type="dxa"/>
            </w:tcMar>
            <w:vAlign w:val="center"/>
            <w:hideMark/>
          </w:tcPr>
          <w:p w:rsidR="008A2148" w:rsidRPr="00A32AF4" w:rsidRDefault="008A2148" w:rsidP="00DC0553">
            <w:pPr>
              <w:rPr>
                <w:rFonts w:cs="Arial"/>
                <w:sz w:val="16"/>
                <w:szCs w:val="16"/>
                <w:lang w:eastAsia="fr-FR"/>
              </w:rPr>
            </w:pPr>
            <w:r w:rsidRPr="00A32AF4">
              <w:rPr>
                <w:rFonts w:cs="Arial"/>
                <w:sz w:val="16"/>
                <w:szCs w:val="16"/>
                <w:lang w:eastAsia="fr-FR"/>
              </w:rPr>
              <w:t>De plus en plus de litiges internationaux ou nationaux de propriété intellectuelle sont évités ou réglés par la médiation, l</w:t>
            </w:r>
            <w:r w:rsidR="00E2055A" w:rsidRPr="00A32AF4">
              <w:rPr>
                <w:rFonts w:cs="Arial"/>
                <w:sz w:val="16"/>
                <w:szCs w:val="16"/>
                <w:lang w:eastAsia="fr-FR"/>
              </w:rPr>
              <w:t>’</w:t>
            </w:r>
            <w:r w:rsidRPr="00A32AF4">
              <w:rPr>
                <w:rFonts w:cs="Arial"/>
                <w:sz w:val="16"/>
                <w:szCs w:val="16"/>
                <w:lang w:eastAsia="fr-FR"/>
              </w:rPr>
              <w:t>arbitrage et les autres modes extrajudiciaires de règlement des litiges de l</w:t>
            </w:r>
            <w:r w:rsidR="00E2055A" w:rsidRPr="00A32AF4">
              <w:rPr>
                <w:rFonts w:cs="Arial"/>
                <w:sz w:val="16"/>
                <w:szCs w:val="16"/>
                <w:lang w:eastAsia="fr-FR"/>
              </w:rPr>
              <w:t>’</w:t>
            </w:r>
            <w:r w:rsidRPr="00A32AF4">
              <w:rPr>
                <w:rFonts w:cs="Arial"/>
                <w:sz w:val="16"/>
                <w:szCs w:val="16"/>
                <w:lang w:eastAsia="fr-FR"/>
              </w:rPr>
              <w:t>OMPI</w:t>
            </w:r>
          </w:p>
        </w:tc>
        <w:tc>
          <w:tcPr>
            <w:tcW w:w="1260" w:type="dxa"/>
            <w:tcBorders>
              <w:top w:val="nil"/>
              <w:left w:val="nil"/>
              <w:bottom w:val="nil"/>
              <w:right w:val="nil"/>
            </w:tcBorders>
            <w:shd w:val="clear" w:color="auto" w:fill="auto"/>
            <w:tcMar>
              <w:top w:w="113" w:type="dxa"/>
              <w:bottom w:w="113" w:type="dxa"/>
            </w:tcMar>
            <w:vAlign w:val="center"/>
            <w:hideMark/>
          </w:tcPr>
          <w:p w:rsidR="008A2148" w:rsidRPr="00A32AF4" w:rsidRDefault="008A2148" w:rsidP="00DC0553">
            <w:pPr>
              <w:jc w:val="right"/>
              <w:rPr>
                <w:rFonts w:cs="Arial"/>
                <w:sz w:val="16"/>
                <w:szCs w:val="16"/>
                <w:lang w:eastAsia="fr-FR"/>
              </w:rPr>
            </w:pPr>
            <w:r w:rsidRPr="00A32AF4">
              <w:rPr>
                <w:rFonts w:cs="Arial"/>
                <w:sz w:val="16"/>
                <w:szCs w:val="16"/>
                <w:lang w:eastAsia="fr-FR"/>
              </w:rPr>
              <w:t xml:space="preserve">3 286 </w:t>
            </w:r>
          </w:p>
        </w:tc>
        <w:tc>
          <w:tcPr>
            <w:tcW w:w="1440" w:type="dxa"/>
            <w:tcBorders>
              <w:top w:val="nil"/>
              <w:left w:val="nil"/>
              <w:bottom w:val="nil"/>
              <w:right w:val="nil"/>
            </w:tcBorders>
            <w:shd w:val="clear" w:color="auto" w:fill="auto"/>
            <w:tcMar>
              <w:top w:w="113" w:type="dxa"/>
              <w:bottom w:w="113" w:type="dxa"/>
            </w:tcMar>
            <w:vAlign w:val="center"/>
            <w:hideMark/>
          </w:tcPr>
          <w:p w:rsidR="008A2148" w:rsidRPr="00A32AF4" w:rsidRDefault="008A2148" w:rsidP="00DC0553">
            <w:pPr>
              <w:jc w:val="right"/>
              <w:rPr>
                <w:rFonts w:cs="Arial"/>
                <w:sz w:val="16"/>
                <w:szCs w:val="16"/>
                <w:lang w:eastAsia="fr-FR"/>
              </w:rPr>
            </w:pPr>
            <w:r w:rsidRPr="00A32AF4">
              <w:rPr>
                <w:rFonts w:cs="Arial"/>
                <w:sz w:val="16"/>
                <w:szCs w:val="16"/>
                <w:lang w:eastAsia="fr-FR"/>
              </w:rPr>
              <w:t xml:space="preserve">3 520 </w:t>
            </w:r>
          </w:p>
        </w:tc>
        <w:tc>
          <w:tcPr>
            <w:tcW w:w="1260" w:type="dxa"/>
            <w:tcBorders>
              <w:top w:val="nil"/>
              <w:left w:val="nil"/>
              <w:bottom w:val="nil"/>
              <w:right w:val="single" w:sz="4" w:space="0" w:color="auto"/>
            </w:tcBorders>
            <w:shd w:val="clear" w:color="auto" w:fill="auto"/>
            <w:noWrap/>
            <w:tcMar>
              <w:top w:w="113" w:type="dxa"/>
              <w:bottom w:w="113" w:type="dxa"/>
            </w:tcMar>
            <w:vAlign w:val="center"/>
            <w:hideMark/>
          </w:tcPr>
          <w:p w:rsidR="008A2148" w:rsidRPr="00A32AF4" w:rsidRDefault="008A2148" w:rsidP="00DC0553">
            <w:pPr>
              <w:jc w:val="right"/>
              <w:rPr>
                <w:rFonts w:cs="Arial"/>
                <w:color w:val="000000"/>
                <w:sz w:val="16"/>
                <w:szCs w:val="16"/>
                <w:lang w:eastAsia="fr-FR"/>
              </w:rPr>
            </w:pPr>
            <w:r w:rsidRPr="00A32AF4">
              <w:rPr>
                <w:rFonts w:cs="Arial"/>
                <w:color w:val="000000"/>
                <w:sz w:val="16"/>
                <w:szCs w:val="16"/>
                <w:lang w:eastAsia="fr-FR"/>
              </w:rPr>
              <w:t xml:space="preserve">4 459 </w:t>
            </w:r>
          </w:p>
        </w:tc>
      </w:tr>
      <w:tr w:rsidR="008A2148" w:rsidRPr="00A32AF4" w:rsidTr="008A2148">
        <w:tc>
          <w:tcPr>
            <w:tcW w:w="424" w:type="dxa"/>
            <w:tcBorders>
              <w:top w:val="nil"/>
              <w:left w:val="single" w:sz="4" w:space="0" w:color="auto"/>
              <w:bottom w:val="nil"/>
              <w:right w:val="nil"/>
            </w:tcBorders>
            <w:shd w:val="clear" w:color="auto" w:fill="auto"/>
            <w:noWrap/>
            <w:tcMar>
              <w:top w:w="113" w:type="dxa"/>
              <w:bottom w:w="113" w:type="dxa"/>
            </w:tcMar>
            <w:vAlign w:val="center"/>
            <w:hideMark/>
          </w:tcPr>
          <w:p w:rsidR="008A2148" w:rsidRPr="00A32AF4" w:rsidRDefault="008A2148" w:rsidP="00DC0553">
            <w:pPr>
              <w:rPr>
                <w:rFonts w:cs="Arial"/>
                <w:sz w:val="16"/>
                <w:szCs w:val="16"/>
                <w:lang w:eastAsia="fr-FR"/>
              </w:rPr>
            </w:pPr>
            <w:r w:rsidRPr="00A32AF4">
              <w:rPr>
                <w:rFonts w:cs="Arial"/>
                <w:sz w:val="16"/>
                <w:szCs w:val="16"/>
                <w:lang w:eastAsia="fr-FR"/>
              </w:rPr>
              <w:t>II.9</w:t>
            </w:r>
          </w:p>
        </w:tc>
        <w:tc>
          <w:tcPr>
            <w:tcW w:w="4596" w:type="dxa"/>
            <w:tcBorders>
              <w:top w:val="nil"/>
              <w:left w:val="nil"/>
              <w:bottom w:val="nil"/>
              <w:right w:val="nil"/>
            </w:tcBorders>
            <w:shd w:val="clear" w:color="auto" w:fill="auto"/>
            <w:tcMar>
              <w:top w:w="113" w:type="dxa"/>
              <w:bottom w:w="113" w:type="dxa"/>
            </w:tcMar>
            <w:vAlign w:val="center"/>
            <w:hideMark/>
          </w:tcPr>
          <w:p w:rsidR="008A2148" w:rsidRPr="00A32AF4" w:rsidRDefault="008A2148" w:rsidP="00DC0553">
            <w:pPr>
              <w:rPr>
                <w:rFonts w:cs="Arial"/>
                <w:sz w:val="16"/>
                <w:szCs w:val="16"/>
                <w:lang w:eastAsia="fr-FR"/>
              </w:rPr>
            </w:pPr>
            <w:r w:rsidRPr="00A32AF4">
              <w:rPr>
                <w:rFonts w:cs="Arial"/>
                <w:sz w:val="16"/>
                <w:szCs w:val="16"/>
                <w:lang w:eastAsia="fr-FR"/>
              </w:rPr>
              <w:t>Protection efficace de la propriété intellectuelle dans les gTLD et les ccTLD</w:t>
            </w:r>
          </w:p>
        </w:tc>
        <w:tc>
          <w:tcPr>
            <w:tcW w:w="1260" w:type="dxa"/>
            <w:tcBorders>
              <w:top w:val="nil"/>
              <w:left w:val="nil"/>
              <w:bottom w:val="nil"/>
              <w:right w:val="nil"/>
            </w:tcBorders>
            <w:shd w:val="clear" w:color="auto" w:fill="auto"/>
            <w:tcMar>
              <w:top w:w="113" w:type="dxa"/>
              <w:bottom w:w="113" w:type="dxa"/>
            </w:tcMar>
            <w:vAlign w:val="center"/>
            <w:hideMark/>
          </w:tcPr>
          <w:p w:rsidR="008A2148" w:rsidRPr="00A32AF4" w:rsidRDefault="008A2148" w:rsidP="00DC0553">
            <w:pPr>
              <w:jc w:val="right"/>
              <w:rPr>
                <w:rFonts w:cs="Arial"/>
                <w:sz w:val="16"/>
                <w:szCs w:val="16"/>
                <w:lang w:eastAsia="fr-FR"/>
              </w:rPr>
            </w:pPr>
            <w:r w:rsidRPr="00A32AF4">
              <w:rPr>
                <w:rFonts w:cs="Arial"/>
                <w:sz w:val="16"/>
                <w:szCs w:val="16"/>
                <w:lang w:eastAsia="fr-FR"/>
              </w:rPr>
              <w:t xml:space="preserve">7 889 </w:t>
            </w:r>
          </w:p>
        </w:tc>
        <w:tc>
          <w:tcPr>
            <w:tcW w:w="1440" w:type="dxa"/>
            <w:tcBorders>
              <w:top w:val="nil"/>
              <w:left w:val="nil"/>
              <w:bottom w:val="nil"/>
              <w:right w:val="nil"/>
            </w:tcBorders>
            <w:shd w:val="clear" w:color="auto" w:fill="auto"/>
            <w:tcMar>
              <w:top w:w="113" w:type="dxa"/>
              <w:bottom w:w="113" w:type="dxa"/>
            </w:tcMar>
            <w:vAlign w:val="center"/>
            <w:hideMark/>
          </w:tcPr>
          <w:p w:rsidR="008A2148" w:rsidRPr="00A32AF4" w:rsidRDefault="008A2148" w:rsidP="00DC0553">
            <w:pPr>
              <w:jc w:val="right"/>
              <w:rPr>
                <w:rFonts w:cs="Arial"/>
                <w:sz w:val="16"/>
                <w:szCs w:val="16"/>
                <w:lang w:eastAsia="fr-FR"/>
              </w:rPr>
            </w:pPr>
            <w:r w:rsidRPr="00A32AF4">
              <w:rPr>
                <w:rFonts w:cs="Arial"/>
                <w:sz w:val="16"/>
                <w:szCs w:val="16"/>
                <w:lang w:eastAsia="fr-FR"/>
              </w:rPr>
              <w:t xml:space="preserve">7 701 </w:t>
            </w:r>
          </w:p>
        </w:tc>
        <w:tc>
          <w:tcPr>
            <w:tcW w:w="1260" w:type="dxa"/>
            <w:tcBorders>
              <w:top w:val="nil"/>
              <w:left w:val="nil"/>
              <w:bottom w:val="single" w:sz="4" w:space="0" w:color="auto"/>
              <w:right w:val="single" w:sz="4" w:space="0" w:color="auto"/>
            </w:tcBorders>
            <w:shd w:val="clear" w:color="auto" w:fill="auto"/>
            <w:noWrap/>
            <w:tcMar>
              <w:top w:w="113" w:type="dxa"/>
              <w:bottom w:w="113" w:type="dxa"/>
            </w:tcMar>
            <w:vAlign w:val="center"/>
            <w:hideMark/>
          </w:tcPr>
          <w:p w:rsidR="008A2148" w:rsidRPr="00A32AF4" w:rsidRDefault="008A2148" w:rsidP="00DC0553">
            <w:pPr>
              <w:jc w:val="right"/>
              <w:rPr>
                <w:rFonts w:cs="Arial"/>
                <w:color w:val="000000"/>
                <w:sz w:val="16"/>
                <w:szCs w:val="16"/>
                <w:lang w:eastAsia="fr-FR"/>
              </w:rPr>
            </w:pPr>
            <w:r w:rsidRPr="00A32AF4">
              <w:rPr>
                <w:rFonts w:cs="Arial"/>
                <w:color w:val="000000"/>
                <w:sz w:val="16"/>
                <w:szCs w:val="16"/>
                <w:lang w:eastAsia="fr-FR"/>
              </w:rPr>
              <w:t xml:space="preserve">6 899 </w:t>
            </w:r>
          </w:p>
        </w:tc>
      </w:tr>
      <w:tr w:rsidR="008A2148" w:rsidRPr="00A32AF4" w:rsidTr="008A2148">
        <w:tc>
          <w:tcPr>
            <w:tcW w:w="424" w:type="dxa"/>
            <w:tcBorders>
              <w:top w:val="single" w:sz="4" w:space="0" w:color="auto"/>
              <w:left w:val="single" w:sz="4" w:space="0" w:color="auto"/>
              <w:bottom w:val="single" w:sz="4" w:space="0" w:color="auto"/>
              <w:right w:val="nil"/>
            </w:tcBorders>
            <w:shd w:val="clear" w:color="000000" w:fill="C5D9F1"/>
            <w:noWrap/>
            <w:tcMar>
              <w:top w:w="113" w:type="dxa"/>
              <w:bottom w:w="113" w:type="dxa"/>
            </w:tcMar>
            <w:vAlign w:val="bottom"/>
            <w:hideMark/>
          </w:tcPr>
          <w:p w:rsidR="008A2148" w:rsidRPr="00A32AF4" w:rsidRDefault="008A2148" w:rsidP="00DC0553">
            <w:pPr>
              <w:rPr>
                <w:rFonts w:cs="Arial"/>
                <w:sz w:val="16"/>
                <w:szCs w:val="16"/>
                <w:lang w:eastAsia="fr-FR"/>
              </w:rPr>
            </w:pPr>
            <w:r w:rsidRPr="00A32AF4">
              <w:rPr>
                <w:rFonts w:cs="Arial"/>
                <w:sz w:val="16"/>
                <w:szCs w:val="16"/>
                <w:lang w:eastAsia="fr-FR"/>
              </w:rPr>
              <w:t> </w:t>
            </w:r>
          </w:p>
        </w:tc>
        <w:tc>
          <w:tcPr>
            <w:tcW w:w="4596"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8A2148" w:rsidRPr="00A32AF4" w:rsidRDefault="008A2148" w:rsidP="00DC0553">
            <w:pPr>
              <w:rPr>
                <w:rFonts w:cs="Arial"/>
                <w:b/>
                <w:bCs/>
                <w:sz w:val="16"/>
                <w:szCs w:val="16"/>
                <w:lang w:eastAsia="fr-FR"/>
              </w:rPr>
            </w:pPr>
            <w:r w:rsidRPr="00A32AF4">
              <w:rPr>
                <w:rFonts w:cs="Arial"/>
                <w:b/>
                <w:bCs/>
                <w:sz w:val="16"/>
                <w:szCs w:val="16"/>
                <w:lang w:eastAsia="fr-FR"/>
              </w:rPr>
              <w:t>Total</w:t>
            </w:r>
          </w:p>
        </w:tc>
        <w:tc>
          <w:tcPr>
            <w:tcW w:w="1260"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8A2148" w:rsidRPr="00A32AF4" w:rsidRDefault="008A2148" w:rsidP="00DC0553">
            <w:pPr>
              <w:jc w:val="right"/>
              <w:rPr>
                <w:rFonts w:cs="Arial"/>
                <w:b/>
                <w:bCs/>
                <w:sz w:val="16"/>
                <w:szCs w:val="16"/>
                <w:lang w:eastAsia="fr-FR"/>
              </w:rPr>
            </w:pPr>
            <w:r w:rsidRPr="00A32AF4">
              <w:rPr>
                <w:rFonts w:cs="Arial"/>
                <w:b/>
                <w:bCs/>
                <w:sz w:val="16"/>
                <w:szCs w:val="16"/>
                <w:lang w:eastAsia="fr-FR"/>
              </w:rPr>
              <w:t>11</w:t>
            </w:r>
            <w:r w:rsidR="00FD43E3" w:rsidRPr="00A32AF4">
              <w:rPr>
                <w:rFonts w:cs="Arial"/>
                <w:b/>
                <w:bCs/>
                <w:sz w:val="16"/>
                <w:szCs w:val="16"/>
                <w:lang w:eastAsia="fr-FR"/>
              </w:rPr>
              <w:t> </w:t>
            </w:r>
            <w:r w:rsidRPr="00A32AF4">
              <w:rPr>
                <w:rFonts w:cs="Arial"/>
                <w:b/>
                <w:bCs/>
                <w:sz w:val="16"/>
                <w:szCs w:val="16"/>
                <w:lang w:eastAsia="fr-FR"/>
              </w:rPr>
              <w:t xml:space="preserve">175 </w:t>
            </w:r>
          </w:p>
        </w:tc>
        <w:tc>
          <w:tcPr>
            <w:tcW w:w="1440"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8A2148" w:rsidRPr="00A32AF4" w:rsidRDefault="008A2148" w:rsidP="00DC0553">
            <w:pPr>
              <w:jc w:val="right"/>
              <w:rPr>
                <w:rFonts w:cs="Arial"/>
                <w:b/>
                <w:bCs/>
                <w:sz w:val="16"/>
                <w:szCs w:val="16"/>
                <w:lang w:eastAsia="fr-FR"/>
              </w:rPr>
            </w:pPr>
            <w:r w:rsidRPr="00A32AF4">
              <w:rPr>
                <w:rFonts w:cs="Arial"/>
                <w:b/>
                <w:bCs/>
                <w:sz w:val="16"/>
                <w:szCs w:val="16"/>
                <w:lang w:eastAsia="fr-FR"/>
              </w:rPr>
              <w:t>11</w:t>
            </w:r>
            <w:r w:rsidR="00FD43E3" w:rsidRPr="00A32AF4">
              <w:rPr>
                <w:rFonts w:cs="Arial"/>
                <w:b/>
                <w:bCs/>
                <w:sz w:val="16"/>
                <w:szCs w:val="16"/>
                <w:lang w:eastAsia="fr-FR"/>
              </w:rPr>
              <w:t> </w:t>
            </w:r>
            <w:r w:rsidRPr="00A32AF4">
              <w:rPr>
                <w:rFonts w:cs="Arial"/>
                <w:b/>
                <w:bCs/>
                <w:sz w:val="16"/>
                <w:szCs w:val="16"/>
                <w:lang w:eastAsia="fr-FR"/>
              </w:rPr>
              <w:t xml:space="preserve">221 </w:t>
            </w:r>
          </w:p>
        </w:tc>
        <w:tc>
          <w:tcPr>
            <w:tcW w:w="1260" w:type="dxa"/>
            <w:tcBorders>
              <w:top w:val="nil"/>
              <w:left w:val="nil"/>
              <w:bottom w:val="single" w:sz="4" w:space="0" w:color="auto"/>
              <w:right w:val="single" w:sz="4" w:space="0" w:color="auto"/>
            </w:tcBorders>
            <w:shd w:val="clear" w:color="000000" w:fill="C5D9F1"/>
            <w:noWrap/>
            <w:tcMar>
              <w:top w:w="113" w:type="dxa"/>
              <w:bottom w:w="113" w:type="dxa"/>
            </w:tcMar>
            <w:vAlign w:val="bottom"/>
            <w:hideMark/>
          </w:tcPr>
          <w:p w:rsidR="008A2148" w:rsidRPr="00A32AF4" w:rsidRDefault="008A2148" w:rsidP="00DC0553">
            <w:pPr>
              <w:jc w:val="right"/>
              <w:rPr>
                <w:rFonts w:cs="Arial"/>
                <w:b/>
                <w:bCs/>
                <w:sz w:val="16"/>
                <w:szCs w:val="16"/>
                <w:lang w:eastAsia="fr-FR"/>
              </w:rPr>
            </w:pPr>
            <w:r w:rsidRPr="00A32AF4">
              <w:rPr>
                <w:rFonts w:cs="Arial"/>
                <w:b/>
                <w:bCs/>
                <w:sz w:val="16"/>
                <w:szCs w:val="16"/>
                <w:lang w:eastAsia="fr-FR"/>
              </w:rPr>
              <w:t>11</w:t>
            </w:r>
            <w:r w:rsidR="00FD43E3" w:rsidRPr="00A32AF4">
              <w:rPr>
                <w:rFonts w:cs="Arial"/>
                <w:b/>
                <w:bCs/>
                <w:sz w:val="16"/>
                <w:szCs w:val="16"/>
                <w:lang w:eastAsia="fr-FR"/>
              </w:rPr>
              <w:t> </w:t>
            </w:r>
            <w:r w:rsidRPr="00A32AF4">
              <w:rPr>
                <w:rFonts w:cs="Arial"/>
                <w:b/>
                <w:bCs/>
                <w:sz w:val="16"/>
                <w:szCs w:val="16"/>
                <w:lang w:eastAsia="fr-FR"/>
              </w:rPr>
              <w:t xml:space="preserve">358 </w:t>
            </w:r>
          </w:p>
        </w:tc>
      </w:tr>
    </w:tbl>
    <w:p w:rsidR="00F93B76" w:rsidRPr="00A32AF4" w:rsidRDefault="00F93B76" w:rsidP="00DC0553"/>
    <w:p w:rsidR="00F93B76" w:rsidRPr="00A32AF4" w:rsidRDefault="00F93B76" w:rsidP="00DC0553">
      <w:pPr>
        <w:rPr>
          <w:sz w:val="18"/>
        </w:rPr>
      </w:pPr>
    </w:p>
    <w:p w:rsidR="00F93B76" w:rsidRPr="00A32AF4" w:rsidRDefault="00F93B76" w:rsidP="00DC0553">
      <w:pPr>
        <w:rPr>
          <w:sz w:val="18"/>
        </w:rPr>
      </w:pPr>
    </w:p>
    <w:p w:rsidR="00F93B76" w:rsidRPr="00A32AF4" w:rsidRDefault="008A2148" w:rsidP="00DC0553">
      <w:pPr>
        <w:keepNext/>
        <w:keepLines/>
        <w:autoSpaceDE w:val="0"/>
        <w:autoSpaceDN w:val="0"/>
        <w:jc w:val="center"/>
        <w:rPr>
          <w:rFonts w:cs="Arial"/>
          <w:b/>
        </w:rPr>
      </w:pPr>
      <w:r w:rsidRPr="00A32AF4">
        <w:rPr>
          <w:rFonts w:cs="Arial"/>
          <w:b/>
        </w:rPr>
        <w:t>Programme 7 : ressources par objet de dépense</w:t>
      </w:r>
    </w:p>
    <w:p w:rsidR="00F93B76" w:rsidRPr="00A32AF4" w:rsidRDefault="008A2148" w:rsidP="00DC0553">
      <w:pPr>
        <w:keepNext/>
        <w:keepLines/>
        <w:autoSpaceDE w:val="0"/>
        <w:autoSpaceDN w:val="0"/>
        <w:jc w:val="center"/>
        <w:rPr>
          <w:rFonts w:cs="Arial"/>
          <w:i/>
        </w:rPr>
      </w:pPr>
      <w:r w:rsidRPr="00A32AF4">
        <w:rPr>
          <w:rFonts w:cs="Arial"/>
          <w:i/>
        </w:rPr>
        <w:t>(</w:t>
      </w:r>
      <w:proofErr w:type="gramStart"/>
      <w:r w:rsidRPr="00A32AF4">
        <w:rPr>
          <w:rFonts w:cs="Arial"/>
          <w:i/>
        </w:rPr>
        <w:t>en</w:t>
      </w:r>
      <w:proofErr w:type="gramEnd"/>
      <w:r w:rsidRPr="00A32AF4">
        <w:rPr>
          <w:rFonts w:cs="Arial"/>
          <w:i/>
        </w:rPr>
        <w:t xml:space="preserve"> milliers de francs suisses)</w:t>
      </w:r>
    </w:p>
    <w:p w:rsidR="00F93B76" w:rsidRPr="00A32AF4" w:rsidRDefault="00F93B76" w:rsidP="00DC0553">
      <w:pPr>
        <w:keepNext/>
        <w:rPr>
          <w:rFonts w:eastAsia="SimSun"/>
        </w:rPr>
      </w:pPr>
    </w:p>
    <w:p w:rsidR="00F93B76" w:rsidRPr="00A32AF4" w:rsidRDefault="00B53790" w:rsidP="00DC0553">
      <w:pPr>
        <w:rPr>
          <w:rFonts w:eastAsia="SimSun"/>
        </w:rPr>
      </w:pPr>
      <w:r w:rsidRPr="00A32AF4">
        <w:rPr>
          <w:rFonts w:eastAsia="SimSun"/>
          <w:noProof/>
          <w:lang w:eastAsia="fr-FR"/>
        </w:rPr>
        <w:drawing>
          <wp:inline distT="0" distB="0" distL="0" distR="0" wp14:anchorId="5C860962" wp14:editId="1D22E033">
            <wp:extent cx="5512435" cy="6555105"/>
            <wp:effectExtent l="0" t="0" r="0" b="0"/>
            <wp:docPr id="1038" name="Pictur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512435" cy="6555105"/>
                    </a:xfrm>
                    <a:prstGeom prst="rect">
                      <a:avLst/>
                    </a:prstGeom>
                    <a:noFill/>
                    <a:ln>
                      <a:noFill/>
                    </a:ln>
                  </pic:spPr>
                </pic:pic>
              </a:graphicData>
            </a:graphic>
          </wp:inline>
        </w:drawing>
      </w:r>
    </w:p>
    <w:p w:rsidR="00F93B76" w:rsidRPr="00A32AF4" w:rsidRDefault="00F93B76" w:rsidP="00DC0553">
      <w:pPr>
        <w:rPr>
          <w:sz w:val="18"/>
        </w:rPr>
      </w:pPr>
    </w:p>
    <w:p w:rsidR="00F93B76" w:rsidRPr="00A32AF4" w:rsidRDefault="00F93B76" w:rsidP="00DC0553">
      <w:pPr>
        <w:rPr>
          <w:sz w:val="18"/>
        </w:rPr>
      </w:pPr>
    </w:p>
    <w:p w:rsidR="00F93B76" w:rsidRPr="00A32AF4" w:rsidRDefault="008A2148" w:rsidP="00DC0553">
      <w:pPr>
        <w:rPr>
          <w:sz w:val="18"/>
        </w:rPr>
      </w:pPr>
      <w:r w:rsidRPr="00A32AF4">
        <w:rPr>
          <w:sz w:val="18"/>
        </w:rPr>
        <w:br w:type="page"/>
      </w:r>
    </w:p>
    <w:p w:rsidR="00F93B76" w:rsidRPr="00A32AF4" w:rsidRDefault="008A2148" w:rsidP="00FB1F61">
      <w:pPr>
        <w:pStyle w:val="Heading2"/>
        <w:rPr>
          <w:rFonts w:hint="eastAsia"/>
        </w:rPr>
      </w:pPr>
      <w:bookmarkStart w:id="34" w:name="_Toc431555445"/>
      <w:r w:rsidRPr="00A32AF4">
        <w:t>Objectif stratégique III</w:t>
      </w:r>
      <w:r w:rsidRPr="00A32AF4">
        <w:tab/>
      </w:r>
      <w:r w:rsidR="00495B9A" w:rsidRPr="00A32AF4">
        <w:t>Favoriser l</w:t>
      </w:r>
      <w:r w:rsidR="00E2055A" w:rsidRPr="00A32AF4">
        <w:t>’</w:t>
      </w:r>
      <w:r w:rsidR="00495B9A" w:rsidRPr="00A32AF4">
        <w:t>utilisation de la propriété intellectuelle au service du développement</w:t>
      </w:r>
      <w:bookmarkEnd w:id="34"/>
    </w:p>
    <w:p w:rsidR="00F93B76" w:rsidRPr="00A32AF4" w:rsidRDefault="00F93B76" w:rsidP="00DC0553"/>
    <w:p w:rsidR="00F93B76" w:rsidRPr="00A32AF4" w:rsidRDefault="00F93B76" w:rsidP="00DC0553"/>
    <w:p w:rsidR="00F93B76" w:rsidRPr="00A32AF4" w:rsidRDefault="00495B9A" w:rsidP="00DC0553">
      <w:pPr>
        <w:pStyle w:val="std"/>
        <w:jc w:val="both"/>
        <w:rPr>
          <w:rFonts w:ascii="Arial" w:hAnsi="Arial" w:cs="Arial"/>
          <w:sz w:val="20"/>
          <w:szCs w:val="20"/>
          <w:lang w:eastAsia="en-US"/>
        </w:rPr>
      </w:pPr>
      <w:r w:rsidRPr="00A32AF4">
        <w:rPr>
          <w:rFonts w:ascii="Arial" w:hAnsi="Arial" w:cs="Arial"/>
          <w:sz w:val="20"/>
          <w:szCs w:val="20"/>
          <w:lang w:eastAsia="en-US"/>
        </w:rPr>
        <w:t>L</w:t>
      </w:r>
      <w:r w:rsidR="00E2055A" w:rsidRPr="00A32AF4">
        <w:rPr>
          <w:rFonts w:ascii="Arial" w:hAnsi="Arial" w:cs="Arial"/>
          <w:sz w:val="20"/>
          <w:szCs w:val="20"/>
          <w:lang w:eastAsia="en-US"/>
        </w:rPr>
        <w:t>’</w:t>
      </w:r>
      <w:r w:rsidRPr="00A32AF4">
        <w:rPr>
          <w:rFonts w:ascii="Arial" w:hAnsi="Arial" w:cs="Arial"/>
          <w:sz w:val="20"/>
          <w:szCs w:val="20"/>
          <w:lang w:eastAsia="en-US"/>
        </w:rPr>
        <w:t>objectif consistant à favoriser l</w:t>
      </w:r>
      <w:r w:rsidR="00E2055A" w:rsidRPr="00A32AF4">
        <w:rPr>
          <w:rFonts w:ascii="Arial" w:hAnsi="Arial" w:cs="Arial"/>
          <w:sz w:val="20"/>
          <w:szCs w:val="20"/>
          <w:lang w:eastAsia="en-US"/>
        </w:rPr>
        <w:t>’</w:t>
      </w:r>
      <w:r w:rsidRPr="00A32AF4">
        <w:rPr>
          <w:rFonts w:ascii="Arial" w:hAnsi="Arial" w:cs="Arial"/>
          <w:sz w:val="20"/>
          <w:szCs w:val="20"/>
          <w:lang w:eastAsia="en-US"/>
        </w:rPr>
        <w:t>utilisation de la propriété intellectuelle au service du développement social, culturel et économique est l</w:t>
      </w:r>
      <w:r w:rsidR="00E2055A" w:rsidRPr="00A32AF4">
        <w:rPr>
          <w:rFonts w:ascii="Arial" w:hAnsi="Arial" w:cs="Arial"/>
          <w:sz w:val="20"/>
          <w:szCs w:val="20"/>
          <w:lang w:eastAsia="en-US"/>
        </w:rPr>
        <w:t>’</w:t>
      </w:r>
      <w:r w:rsidRPr="00A32AF4">
        <w:rPr>
          <w:rFonts w:ascii="Arial" w:hAnsi="Arial" w:cs="Arial"/>
          <w:sz w:val="20"/>
          <w:szCs w:val="20"/>
          <w:lang w:eastAsia="en-US"/>
        </w:rPr>
        <w:t>élément moteur des multiples activités d</w:t>
      </w:r>
      <w:r w:rsidR="00E2055A" w:rsidRPr="00A32AF4">
        <w:rPr>
          <w:rFonts w:ascii="Arial" w:hAnsi="Arial" w:cs="Arial"/>
          <w:sz w:val="20"/>
          <w:szCs w:val="20"/>
          <w:lang w:eastAsia="en-US"/>
        </w:rPr>
        <w:t>’</w:t>
      </w:r>
      <w:r w:rsidRPr="00A32AF4">
        <w:rPr>
          <w:rFonts w:ascii="Arial" w:hAnsi="Arial" w:cs="Arial"/>
          <w:sz w:val="20"/>
          <w:szCs w:val="20"/>
          <w:lang w:eastAsia="en-US"/>
        </w:rPr>
        <w:t>assistance technique et de renforcement des capacités de l</w:t>
      </w:r>
      <w:r w:rsidR="00E2055A" w:rsidRPr="00A32AF4">
        <w:rPr>
          <w:rFonts w:ascii="Arial" w:hAnsi="Arial" w:cs="Arial"/>
          <w:sz w:val="20"/>
          <w:szCs w:val="20"/>
          <w:lang w:eastAsia="en-US"/>
        </w:rPr>
        <w:t>’</w:t>
      </w:r>
      <w:r w:rsidRPr="00A32AF4">
        <w:rPr>
          <w:rFonts w:ascii="Arial" w:hAnsi="Arial" w:cs="Arial"/>
          <w:sz w:val="20"/>
          <w:szCs w:val="20"/>
          <w:lang w:eastAsia="en-US"/>
        </w:rPr>
        <w:t>OMPI, qui sont conduites au moyen de programmes dans chaque secteur de l</w:t>
      </w:r>
      <w:r w:rsidR="00E2055A" w:rsidRPr="00A32AF4">
        <w:rPr>
          <w:rFonts w:ascii="Arial" w:hAnsi="Arial" w:cs="Arial"/>
          <w:sz w:val="20"/>
          <w:szCs w:val="20"/>
          <w:lang w:eastAsia="en-US"/>
        </w:rPr>
        <w:t>’</w:t>
      </w:r>
      <w:r w:rsidRPr="00A32AF4">
        <w:rPr>
          <w:rFonts w:ascii="Arial" w:hAnsi="Arial" w:cs="Arial"/>
          <w:sz w:val="20"/>
          <w:szCs w:val="20"/>
          <w:lang w:eastAsia="en-US"/>
        </w:rPr>
        <w:t>Organisation.  Commun à toutes ces activités, l</w:t>
      </w:r>
      <w:r w:rsidR="00E2055A" w:rsidRPr="00A32AF4">
        <w:rPr>
          <w:rFonts w:ascii="Arial" w:hAnsi="Arial" w:cs="Arial"/>
          <w:sz w:val="20"/>
          <w:szCs w:val="20"/>
          <w:lang w:eastAsia="en-US"/>
        </w:rPr>
        <w:t>’</w:t>
      </w:r>
      <w:r w:rsidRPr="00A32AF4">
        <w:rPr>
          <w:rFonts w:ascii="Arial" w:hAnsi="Arial" w:cs="Arial"/>
          <w:sz w:val="20"/>
          <w:szCs w:val="20"/>
          <w:lang w:eastAsia="en-US"/>
        </w:rPr>
        <w:t>axe privilégié à moyen terme de cet objectif stratégique intersectoriel est d</w:t>
      </w:r>
      <w:r w:rsidR="00E2055A" w:rsidRPr="00A32AF4">
        <w:rPr>
          <w:rFonts w:ascii="Arial" w:hAnsi="Arial" w:cs="Arial"/>
          <w:sz w:val="20"/>
          <w:szCs w:val="20"/>
          <w:lang w:eastAsia="en-US"/>
        </w:rPr>
        <w:t>’</w:t>
      </w:r>
      <w:r w:rsidRPr="00A32AF4">
        <w:rPr>
          <w:rFonts w:ascii="Arial" w:hAnsi="Arial" w:cs="Arial"/>
          <w:sz w:val="20"/>
          <w:szCs w:val="20"/>
          <w:lang w:eastAsia="en-US"/>
        </w:rPr>
        <w:t>aider les pays en développement, les pays les moins avancés (PMA) et les pays à économie en transition à utiliser d</w:t>
      </w:r>
      <w:r w:rsidR="00E2055A" w:rsidRPr="00A32AF4">
        <w:rPr>
          <w:rFonts w:ascii="Arial" w:hAnsi="Arial" w:cs="Arial"/>
          <w:sz w:val="20"/>
          <w:szCs w:val="20"/>
          <w:lang w:eastAsia="en-US"/>
        </w:rPr>
        <w:t>’</w:t>
      </w:r>
      <w:r w:rsidRPr="00A32AF4">
        <w:rPr>
          <w:rFonts w:ascii="Arial" w:hAnsi="Arial" w:cs="Arial"/>
          <w:sz w:val="20"/>
          <w:szCs w:val="20"/>
          <w:lang w:eastAsia="en-US"/>
        </w:rPr>
        <w:t>une manière efficace le système de propriété intellectuelle, compte tenu de leur situation particulière.</w:t>
      </w:r>
    </w:p>
    <w:p w:rsidR="00F93B76" w:rsidRPr="00A32AF4" w:rsidRDefault="00F93B76" w:rsidP="00DC0553">
      <w:pPr>
        <w:jc w:val="both"/>
        <w:rPr>
          <w:rFonts w:cs="Arial"/>
        </w:rPr>
      </w:pPr>
    </w:p>
    <w:p w:rsidR="00F93B76" w:rsidRPr="00A32AF4" w:rsidRDefault="00495B9A" w:rsidP="00DC0553">
      <w:pPr>
        <w:jc w:val="both"/>
        <w:rPr>
          <w:rFonts w:cs="Arial"/>
        </w:rPr>
      </w:pPr>
      <w:r w:rsidRPr="00A32AF4">
        <w:rPr>
          <w:rFonts w:cs="Arial"/>
        </w:rPr>
        <w:t>Le Plan d</w:t>
      </w:r>
      <w:r w:rsidR="00E2055A" w:rsidRPr="00A32AF4">
        <w:rPr>
          <w:rFonts w:cs="Arial"/>
        </w:rPr>
        <w:t>’</w:t>
      </w:r>
      <w:r w:rsidRPr="00A32AF4">
        <w:rPr>
          <w:rFonts w:cs="Arial"/>
        </w:rPr>
        <w:t>action pour le développement joue un rôle essentiel dès lors qu</w:t>
      </w:r>
      <w:r w:rsidR="00E2055A" w:rsidRPr="00A32AF4">
        <w:rPr>
          <w:rFonts w:cs="Arial"/>
        </w:rPr>
        <w:t>’</w:t>
      </w:r>
      <w:r w:rsidRPr="00A32AF4">
        <w:rPr>
          <w:rFonts w:cs="Arial"/>
        </w:rPr>
        <w:t>il s</w:t>
      </w:r>
      <w:r w:rsidR="00E2055A" w:rsidRPr="00A32AF4">
        <w:rPr>
          <w:rFonts w:cs="Arial"/>
        </w:rPr>
        <w:t>’</w:t>
      </w:r>
      <w:r w:rsidRPr="00A32AF4">
        <w:rPr>
          <w:rFonts w:cs="Arial"/>
        </w:rPr>
        <w:t>agit de faire en sorte que les activités de l</w:t>
      </w:r>
      <w:r w:rsidR="00E2055A" w:rsidRPr="00A32AF4">
        <w:rPr>
          <w:rFonts w:cs="Arial"/>
        </w:rPr>
        <w:t>’</w:t>
      </w:r>
      <w:r w:rsidRPr="00A32AF4">
        <w:rPr>
          <w:rFonts w:cs="Arial"/>
        </w:rPr>
        <w:t>OMPI, dans tous les domaines, contribuent à atteindre cet objectif stratégique.</w:t>
      </w:r>
    </w:p>
    <w:p w:rsidR="00F93B76" w:rsidRPr="00A32AF4" w:rsidRDefault="00F93B76" w:rsidP="00DC0553"/>
    <w:p w:rsidR="00F93B76" w:rsidRPr="00A32AF4" w:rsidRDefault="00F93B76" w:rsidP="00DC0553">
      <w:pPr>
        <w:rPr>
          <w:rFonts w:cs="Arial"/>
        </w:rPr>
      </w:pPr>
    </w:p>
    <w:p w:rsidR="00114BFD" w:rsidRPr="00A32AF4" w:rsidRDefault="00114BFD" w:rsidP="00DC0553"/>
    <w:tbl>
      <w:tblPr>
        <w:tblW w:w="4855"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191"/>
        <w:gridCol w:w="3899"/>
        <w:gridCol w:w="1928"/>
      </w:tblGrid>
      <w:tr w:rsidR="00AD3964" w:rsidRPr="00A32AF4" w:rsidTr="00114BFD">
        <w:trPr>
          <w:cantSplit/>
          <w:tblHeader/>
        </w:trPr>
        <w:tc>
          <w:tcPr>
            <w:tcW w:w="1769" w:type="pct"/>
            <w:tcBorders>
              <w:top w:val="single" w:sz="4" w:space="0" w:color="auto"/>
              <w:bottom w:val="single" w:sz="4" w:space="0" w:color="auto"/>
            </w:tcBorders>
            <w:shd w:val="clear" w:color="auto" w:fill="C6D9F1" w:themeFill="text2" w:themeFillTint="33"/>
            <w:tcMar>
              <w:top w:w="113" w:type="dxa"/>
              <w:bottom w:w="113" w:type="dxa"/>
            </w:tcMar>
            <w:vAlign w:val="center"/>
          </w:tcPr>
          <w:p w:rsidR="00114BFD" w:rsidRPr="00A32AF4" w:rsidRDefault="00114BFD" w:rsidP="00DC0553">
            <w:pPr>
              <w:jc w:val="center"/>
              <w:rPr>
                <w:rFonts w:cs="Arial"/>
                <w:b/>
                <w:bCs/>
                <w:sz w:val="18"/>
                <w:szCs w:val="18"/>
              </w:rPr>
            </w:pPr>
            <w:r w:rsidRPr="00A32AF4">
              <w:rPr>
                <w:rFonts w:cs="Arial"/>
                <w:b/>
                <w:bCs/>
                <w:sz w:val="18"/>
                <w:szCs w:val="18"/>
              </w:rPr>
              <w:t>Résultats escomptés</w:t>
            </w:r>
          </w:p>
        </w:tc>
        <w:tc>
          <w:tcPr>
            <w:tcW w:w="2162" w:type="pct"/>
            <w:tcBorders>
              <w:top w:val="single" w:sz="4" w:space="0" w:color="auto"/>
              <w:bottom w:val="single" w:sz="4" w:space="0" w:color="auto"/>
            </w:tcBorders>
            <w:shd w:val="clear" w:color="auto" w:fill="C6D9F1" w:themeFill="text2" w:themeFillTint="33"/>
            <w:tcMar>
              <w:top w:w="113" w:type="dxa"/>
              <w:bottom w:w="113" w:type="dxa"/>
            </w:tcMar>
            <w:vAlign w:val="center"/>
          </w:tcPr>
          <w:p w:rsidR="00114BFD" w:rsidRPr="00A32AF4" w:rsidRDefault="00114BFD" w:rsidP="00DC0553">
            <w:pPr>
              <w:jc w:val="center"/>
              <w:rPr>
                <w:rFonts w:cs="Arial"/>
                <w:b/>
                <w:sz w:val="18"/>
                <w:szCs w:val="18"/>
              </w:rPr>
            </w:pPr>
            <w:r w:rsidRPr="00A32AF4">
              <w:rPr>
                <w:rFonts w:cs="Arial"/>
                <w:b/>
                <w:sz w:val="18"/>
                <w:szCs w:val="18"/>
              </w:rPr>
              <w:t>Indicateurs d</w:t>
            </w:r>
            <w:r w:rsidR="00E2055A" w:rsidRPr="00A32AF4">
              <w:rPr>
                <w:rFonts w:cs="Arial"/>
                <w:b/>
                <w:sz w:val="18"/>
                <w:szCs w:val="18"/>
              </w:rPr>
              <w:t>’</w:t>
            </w:r>
            <w:r w:rsidRPr="00A32AF4">
              <w:rPr>
                <w:rFonts w:cs="Arial"/>
                <w:b/>
                <w:sz w:val="18"/>
                <w:szCs w:val="18"/>
              </w:rPr>
              <w:t>exécution</w:t>
            </w:r>
          </w:p>
        </w:tc>
        <w:tc>
          <w:tcPr>
            <w:tcW w:w="1069" w:type="pct"/>
            <w:tcBorders>
              <w:top w:val="single" w:sz="4" w:space="0" w:color="auto"/>
              <w:bottom w:val="single" w:sz="4" w:space="0" w:color="auto"/>
            </w:tcBorders>
            <w:shd w:val="clear" w:color="auto" w:fill="C6D9F1" w:themeFill="text2" w:themeFillTint="33"/>
            <w:tcMar>
              <w:top w:w="113" w:type="dxa"/>
              <w:bottom w:w="113" w:type="dxa"/>
            </w:tcMar>
            <w:vAlign w:val="center"/>
          </w:tcPr>
          <w:p w:rsidR="00114BFD" w:rsidRPr="00A32AF4" w:rsidRDefault="00114BFD" w:rsidP="00DC0553">
            <w:pPr>
              <w:jc w:val="center"/>
              <w:rPr>
                <w:rFonts w:cs="Arial"/>
                <w:sz w:val="18"/>
                <w:szCs w:val="18"/>
              </w:rPr>
            </w:pPr>
            <w:r w:rsidRPr="00A32AF4">
              <w:rPr>
                <w:rFonts w:cs="Arial"/>
                <w:b/>
                <w:sz w:val="18"/>
                <w:szCs w:val="18"/>
              </w:rPr>
              <w:t>Programme(s) concerné(s)</w:t>
            </w:r>
          </w:p>
        </w:tc>
      </w:tr>
      <w:tr w:rsidR="00AD3964" w:rsidRPr="00A32AF4" w:rsidTr="00114BFD">
        <w:trPr>
          <w:cantSplit/>
        </w:trPr>
        <w:tc>
          <w:tcPr>
            <w:tcW w:w="1769" w:type="pct"/>
            <w:tcBorders>
              <w:top w:val="single" w:sz="4" w:space="0" w:color="auto"/>
            </w:tcBorders>
            <w:shd w:val="clear" w:color="auto" w:fill="auto"/>
            <w:tcMar>
              <w:top w:w="113" w:type="dxa"/>
              <w:bottom w:w="113" w:type="dxa"/>
            </w:tcMar>
          </w:tcPr>
          <w:p w:rsidR="00114BFD" w:rsidRPr="00A32AF4" w:rsidRDefault="00114BFD" w:rsidP="00DC0553">
            <w:pPr>
              <w:rPr>
                <w:rFonts w:cs="Arial"/>
                <w:sz w:val="16"/>
                <w:szCs w:val="16"/>
              </w:rPr>
            </w:pPr>
            <w:r w:rsidRPr="00A32AF4">
              <w:rPr>
                <w:rFonts w:cs="Arial"/>
                <w:sz w:val="16"/>
                <w:szCs w:val="15"/>
              </w:rPr>
              <w:t>III.1 Stratégies et plans nationaux en matière d</w:t>
            </w:r>
            <w:r w:rsidR="00E2055A" w:rsidRPr="00A32AF4">
              <w:rPr>
                <w:rFonts w:cs="Arial"/>
                <w:sz w:val="16"/>
                <w:szCs w:val="15"/>
              </w:rPr>
              <w:t>’</w:t>
            </w:r>
            <w:r w:rsidRPr="00A32AF4">
              <w:rPr>
                <w:rFonts w:cs="Arial"/>
                <w:sz w:val="16"/>
                <w:szCs w:val="15"/>
              </w:rPr>
              <w:t xml:space="preserve">innovation et de propriété intellectuelle conformes aux objectifs de développement nationaux </w:t>
            </w:r>
          </w:p>
        </w:tc>
        <w:tc>
          <w:tcPr>
            <w:tcW w:w="2162" w:type="pct"/>
            <w:tcBorders>
              <w:top w:val="single" w:sz="4" w:space="0" w:color="auto"/>
            </w:tcBorders>
            <w:shd w:val="clear" w:color="auto" w:fill="auto"/>
            <w:tcMar>
              <w:top w:w="113" w:type="dxa"/>
              <w:bottom w:w="113" w:type="dxa"/>
            </w:tcMar>
          </w:tcPr>
          <w:p w:rsidR="00114BFD" w:rsidRPr="00A32AF4" w:rsidRDefault="00172EB5" w:rsidP="00DC0553">
            <w:pPr>
              <w:rPr>
                <w:rFonts w:cs="Arial"/>
                <w:sz w:val="16"/>
                <w:szCs w:val="16"/>
              </w:rPr>
            </w:pPr>
            <w:r w:rsidRPr="00A32AF4">
              <w:rPr>
                <w:sz w:val="16"/>
                <w:szCs w:val="16"/>
              </w:rPr>
              <w:t>Nombre de pays en train de formuler des stratégies nationales de propriété intellectuelle</w:t>
            </w:r>
          </w:p>
        </w:tc>
        <w:tc>
          <w:tcPr>
            <w:tcW w:w="1069" w:type="pct"/>
            <w:tcBorders>
              <w:top w:val="single" w:sz="4" w:space="0" w:color="auto"/>
            </w:tcBorders>
            <w:shd w:val="clear" w:color="auto" w:fill="FFFFFF"/>
            <w:tcMar>
              <w:top w:w="113" w:type="dxa"/>
              <w:bottom w:w="113" w:type="dxa"/>
            </w:tcMar>
          </w:tcPr>
          <w:p w:rsidR="00114BFD" w:rsidRPr="00A32AF4" w:rsidRDefault="00114BFD" w:rsidP="00DC0553">
            <w:pPr>
              <w:jc w:val="center"/>
              <w:rPr>
                <w:rFonts w:cs="Arial"/>
                <w:sz w:val="16"/>
                <w:szCs w:val="16"/>
              </w:rPr>
            </w:pPr>
            <w:r w:rsidRPr="00A32AF4">
              <w:rPr>
                <w:rFonts w:cs="Arial"/>
                <w:sz w:val="16"/>
                <w:szCs w:val="16"/>
                <w:lang w:bidi="th-TH"/>
              </w:rPr>
              <w:t>Programme 9</w:t>
            </w:r>
          </w:p>
        </w:tc>
      </w:tr>
      <w:tr w:rsidR="00AD3964" w:rsidRPr="00A32AF4" w:rsidTr="00114BFD">
        <w:trPr>
          <w:cantSplit/>
        </w:trPr>
        <w:tc>
          <w:tcPr>
            <w:tcW w:w="1769" w:type="pct"/>
            <w:shd w:val="clear" w:color="auto" w:fill="auto"/>
            <w:tcMar>
              <w:top w:w="113" w:type="dxa"/>
              <w:bottom w:w="113" w:type="dxa"/>
            </w:tcMar>
          </w:tcPr>
          <w:p w:rsidR="00114BFD" w:rsidRPr="00A32AF4" w:rsidRDefault="00114BFD" w:rsidP="00DC0553">
            <w:pPr>
              <w:rPr>
                <w:rFonts w:cs="Arial"/>
                <w:sz w:val="16"/>
                <w:szCs w:val="16"/>
              </w:rPr>
            </w:pPr>
          </w:p>
        </w:tc>
        <w:tc>
          <w:tcPr>
            <w:tcW w:w="2162" w:type="pct"/>
            <w:shd w:val="clear" w:color="auto" w:fill="auto"/>
            <w:tcMar>
              <w:top w:w="113" w:type="dxa"/>
              <w:bottom w:w="113" w:type="dxa"/>
            </w:tcMar>
          </w:tcPr>
          <w:p w:rsidR="00114BFD" w:rsidRPr="00A32AF4" w:rsidRDefault="00172EB5" w:rsidP="00DC0553">
            <w:pPr>
              <w:rPr>
                <w:rFonts w:cs="Arial"/>
                <w:sz w:val="16"/>
                <w:szCs w:val="16"/>
              </w:rPr>
            </w:pPr>
            <w:r w:rsidRPr="00A32AF4">
              <w:rPr>
                <w:sz w:val="16"/>
                <w:szCs w:val="16"/>
              </w:rPr>
              <w:t>Nombre de pays ayant adopté des stratégies nationales en matière d</w:t>
            </w:r>
            <w:r w:rsidR="00E2055A" w:rsidRPr="00A32AF4">
              <w:rPr>
                <w:sz w:val="16"/>
                <w:szCs w:val="16"/>
              </w:rPr>
              <w:t>’</w:t>
            </w:r>
            <w:r w:rsidRPr="00A32AF4">
              <w:rPr>
                <w:sz w:val="16"/>
                <w:szCs w:val="16"/>
              </w:rPr>
              <w:t>innovation et de propriété intellectuelle</w:t>
            </w:r>
          </w:p>
        </w:tc>
        <w:tc>
          <w:tcPr>
            <w:tcW w:w="1069" w:type="pct"/>
            <w:shd w:val="clear" w:color="auto" w:fill="FFFFFF"/>
            <w:tcMar>
              <w:top w:w="113" w:type="dxa"/>
              <w:bottom w:w="113" w:type="dxa"/>
            </w:tcMar>
          </w:tcPr>
          <w:p w:rsidR="00114BFD" w:rsidRPr="00A32AF4" w:rsidRDefault="00114BFD" w:rsidP="00DC0553">
            <w:pPr>
              <w:jc w:val="center"/>
              <w:rPr>
                <w:rFonts w:cs="Arial"/>
                <w:sz w:val="16"/>
                <w:szCs w:val="16"/>
              </w:rPr>
            </w:pPr>
            <w:r w:rsidRPr="00A32AF4">
              <w:rPr>
                <w:rFonts w:cs="Arial"/>
                <w:sz w:val="16"/>
                <w:szCs w:val="16"/>
                <w:lang w:bidi="th-TH"/>
              </w:rPr>
              <w:t>Programme 9</w:t>
            </w:r>
          </w:p>
        </w:tc>
      </w:tr>
      <w:tr w:rsidR="00AD3964" w:rsidRPr="00A32AF4" w:rsidTr="00114BFD">
        <w:trPr>
          <w:cantSplit/>
        </w:trPr>
        <w:tc>
          <w:tcPr>
            <w:tcW w:w="1769" w:type="pct"/>
            <w:shd w:val="clear" w:color="auto" w:fill="auto"/>
            <w:tcMar>
              <w:top w:w="113" w:type="dxa"/>
              <w:bottom w:w="113" w:type="dxa"/>
            </w:tcMar>
          </w:tcPr>
          <w:p w:rsidR="00114BFD" w:rsidRPr="00A32AF4" w:rsidRDefault="00114BFD" w:rsidP="00DC0553">
            <w:pPr>
              <w:rPr>
                <w:rFonts w:cs="Arial"/>
                <w:sz w:val="16"/>
                <w:szCs w:val="16"/>
              </w:rPr>
            </w:pPr>
          </w:p>
        </w:tc>
        <w:tc>
          <w:tcPr>
            <w:tcW w:w="2162" w:type="pct"/>
            <w:shd w:val="clear" w:color="auto" w:fill="auto"/>
            <w:tcMar>
              <w:top w:w="113" w:type="dxa"/>
              <w:bottom w:w="113" w:type="dxa"/>
            </w:tcMar>
          </w:tcPr>
          <w:p w:rsidR="00114BFD" w:rsidRPr="00A32AF4" w:rsidRDefault="00172EB5" w:rsidP="00DC0553">
            <w:pPr>
              <w:rPr>
                <w:rFonts w:cs="Arial"/>
                <w:sz w:val="16"/>
                <w:szCs w:val="16"/>
              </w:rPr>
            </w:pPr>
            <w:r w:rsidRPr="00A32AF4">
              <w:rPr>
                <w:sz w:val="16"/>
                <w:szCs w:val="16"/>
              </w:rPr>
              <w:t>Nombre de pays en train de mettre en œuvre des stratégies en matière d</w:t>
            </w:r>
            <w:r w:rsidR="00E2055A" w:rsidRPr="00A32AF4">
              <w:rPr>
                <w:sz w:val="16"/>
                <w:szCs w:val="16"/>
              </w:rPr>
              <w:t>’</w:t>
            </w:r>
            <w:r w:rsidRPr="00A32AF4">
              <w:rPr>
                <w:sz w:val="16"/>
                <w:szCs w:val="16"/>
              </w:rPr>
              <w:t>innovation et de propriété intellectuelle et des plans de développement relatifs à la propriété intellectuelle à l</w:t>
            </w:r>
            <w:r w:rsidR="00E2055A" w:rsidRPr="00A32AF4">
              <w:rPr>
                <w:sz w:val="16"/>
                <w:szCs w:val="16"/>
              </w:rPr>
              <w:t>’</w:t>
            </w:r>
            <w:r w:rsidRPr="00A32AF4">
              <w:rPr>
                <w:sz w:val="16"/>
                <w:szCs w:val="16"/>
              </w:rPr>
              <w:t>échelle nationale</w:t>
            </w:r>
          </w:p>
        </w:tc>
        <w:tc>
          <w:tcPr>
            <w:tcW w:w="1069" w:type="pct"/>
            <w:shd w:val="clear" w:color="auto" w:fill="FFFFFF"/>
            <w:tcMar>
              <w:top w:w="113" w:type="dxa"/>
              <w:bottom w:w="113" w:type="dxa"/>
            </w:tcMar>
          </w:tcPr>
          <w:p w:rsidR="00114BFD" w:rsidRPr="00A32AF4" w:rsidRDefault="00114BFD" w:rsidP="00DC0553">
            <w:pPr>
              <w:jc w:val="center"/>
              <w:rPr>
                <w:rFonts w:cs="Arial"/>
                <w:sz w:val="16"/>
                <w:szCs w:val="16"/>
                <w:lang w:bidi="th-TH"/>
              </w:rPr>
            </w:pPr>
            <w:r w:rsidRPr="00A32AF4">
              <w:rPr>
                <w:rFonts w:cs="Arial"/>
                <w:sz w:val="16"/>
                <w:szCs w:val="16"/>
                <w:lang w:bidi="th-TH"/>
              </w:rPr>
              <w:t>Programme 9</w:t>
            </w:r>
          </w:p>
        </w:tc>
      </w:tr>
      <w:tr w:rsidR="00AD3964" w:rsidRPr="00A32AF4" w:rsidTr="00114BFD">
        <w:trPr>
          <w:cantSplit/>
        </w:trPr>
        <w:tc>
          <w:tcPr>
            <w:tcW w:w="1769" w:type="pct"/>
            <w:shd w:val="clear" w:color="auto" w:fill="auto"/>
            <w:tcMar>
              <w:top w:w="113" w:type="dxa"/>
              <w:bottom w:w="113" w:type="dxa"/>
            </w:tcMar>
          </w:tcPr>
          <w:p w:rsidR="00F45E5E" w:rsidRPr="00A32AF4" w:rsidRDefault="00F45E5E" w:rsidP="00DC0553">
            <w:pPr>
              <w:rPr>
                <w:rFonts w:cs="Arial"/>
                <w:sz w:val="16"/>
                <w:szCs w:val="16"/>
              </w:rPr>
            </w:pPr>
          </w:p>
        </w:tc>
        <w:tc>
          <w:tcPr>
            <w:tcW w:w="2162" w:type="pct"/>
            <w:shd w:val="clear" w:color="auto" w:fill="auto"/>
            <w:tcMar>
              <w:top w:w="113" w:type="dxa"/>
              <w:bottom w:w="113" w:type="dxa"/>
            </w:tcMar>
          </w:tcPr>
          <w:p w:rsidR="00F45E5E" w:rsidRPr="00A32AF4" w:rsidRDefault="00F45E5E" w:rsidP="00DC0553">
            <w:pPr>
              <w:rPr>
                <w:sz w:val="16"/>
                <w:szCs w:val="16"/>
              </w:rPr>
            </w:pPr>
            <w:r w:rsidRPr="00A32AF4">
              <w:rPr>
                <w:sz w:val="16"/>
                <w:szCs w:val="16"/>
              </w:rPr>
              <w:t>Nombre de pays ayant élaboré des stratégies ou des plans nationaux en matière de propriété intellectuelle conformes aux objectifs nationaux de développement</w:t>
            </w:r>
          </w:p>
        </w:tc>
        <w:tc>
          <w:tcPr>
            <w:tcW w:w="1069" w:type="pct"/>
            <w:shd w:val="clear" w:color="auto" w:fill="FFFFFF"/>
            <w:tcMar>
              <w:top w:w="113" w:type="dxa"/>
              <w:bottom w:w="113" w:type="dxa"/>
            </w:tcMar>
          </w:tcPr>
          <w:p w:rsidR="00F45E5E" w:rsidRPr="00A32AF4" w:rsidRDefault="00F45E5E" w:rsidP="00DC0553">
            <w:pPr>
              <w:jc w:val="center"/>
              <w:rPr>
                <w:rFonts w:cs="Arial"/>
                <w:sz w:val="16"/>
                <w:szCs w:val="16"/>
              </w:rPr>
            </w:pPr>
            <w:r w:rsidRPr="00A32AF4">
              <w:rPr>
                <w:rFonts w:cs="Arial"/>
                <w:sz w:val="16"/>
                <w:szCs w:val="16"/>
                <w:lang w:bidi="th-TH"/>
              </w:rPr>
              <w:t>Programme 10</w:t>
            </w:r>
          </w:p>
        </w:tc>
      </w:tr>
      <w:tr w:rsidR="00AD3964" w:rsidRPr="00A32AF4" w:rsidTr="00114BFD">
        <w:trPr>
          <w:cantSplit/>
        </w:trPr>
        <w:tc>
          <w:tcPr>
            <w:tcW w:w="1769" w:type="pct"/>
            <w:shd w:val="clear" w:color="auto" w:fill="auto"/>
            <w:tcMar>
              <w:top w:w="113" w:type="dxa"/>
              <w:bottom w:w="113" w:type="dxa"/>
            </w:tcMar>
          </w:tcPr>
          <w:p w:rsidR="00F45E5E" w:rsidRPr="00A32AF4" w:rsidRDefault="00F45E5E" w:rsidP="00DC0553">
            <w:pPr>
              <w:rPr>
                <w:rFonts w:cs="Arial"/>
                <w:sz w:val="16"/>
                <w:szCs w:val="16"/>
              </w:rPr>
            </w:pPr>
          </w:p>
        </w:tc>
        <w:tc>
          <w:tcPr>
            <w:tcW w:w="2162" w:type="pct"/>
            <w:shd w:val="clear" w:color="auto" w:fill="auto"/>
            <w:tcMar>
              <w:top w:w="113" w:type="dxa"/>
              <w:bottom w:w="113" w:type="dxa"/>
            </w:tcMar>
          </w:tcPr>
          <w:p w:rsidR="00F45E5E" w:rsidRPr="00A32AF4" w:rsidRDefault="00F45E5E" w:rsidP="00DC0553">
            <w:pPr>
              <w:keepNext/>
              <w:keepLines/>
              <w:rPr>
                <w:rFonts w:cs="Arial"/>
                <w:sz w:val="16"/>
                <w:szCs w:val="16"/>
              </w:rPr>
            </w:pPr>
            <w:r w:rsidRPr="00A32AF4">
              <w:rPr>
                <w:rFonts w:cs="Arial"/>
                <w:sz w:val="16"/>
                <w:szCs w:val="16"/>
              </w:rPr>
              <w:t>Nombre de stratégies nationales en matière de propriété intellectuelle relatives à la promotion de la créativité et de l</w:t>
            </w:r>
            <w:r w:rsidR="00E2055A" w:rsidRPr="00A32AF4">
              <w:rPr>
                <w:rFonts w:cs="Arial"/>
                <w:sz w:val="16"/>
                <w:szCs w:val="16"/>
              </w:rPr>
              <w:t>’</w:t>
            </w:r>
            <w:r w:rsidRPr="00A32AF4">
              <w:rPr>
                <w:rFonts w:cs="Arial"/>
                <w:sz w:val="16"/>
                <w:szCs w:val="16"/>
              </w:rPr>
              <w:t>innovation</w:t>
            </w:r>
          </w:p>
        </w:tc>
        <w:tc>
          <w:tcPr>
            <w:tcW w:w="1069" w:type="pct"/>
            <w:shd w:val="clear" w:color="auto" w:fill="FFFFFF"/>
            <w:tcMar>
              <w:top w:w="113" w:type="dxa"/>
              <w:bottom w:w="113" w:type="dxa"/>
            </w:tcMar>
          </w:tcPr>
          <w:p w:rsidR="00F45E5E" w:rsidRPr="00A32AF4" w:rsidRDefault="00F45E5E" w:rsidP="00DC0553">
            <w:pPr>
              <w:jc w:val="center"/>
              <w:rPr>
                <w:rFonts w:cs="Arial"/>
                <w:sz w:val="16"/>
                <w:szCs w:val="16"/>
                <w:lang w:bidi="th-TH"/>
              </w:rPr>
            </w:pPr>
            <w:r w:rsidRPr="00A32AF4">
              <w:rPr>
                <w:rFonts w:cs="Arial"/>
                <w:sz w:val="16"/>
                <w:szCs w:val="16"/>
                <w:lang w:bidi="th-TH"/>
              </w:rPr>
              <w:t>Programme 30</w:t>
            </w:r>
          </w:p>
        </w:tc>
      </w:tr>
      <w:tr w:rsidR="000F45B2" w:rsidRPr="00A32AF4" w:rsidTr="00114BFD">
        <w:trPr>
          <w:cantSplit/>
        </w:trPr>
        <w:tc>
          <w:tcPr>
            <w:tcW w:w="1769" w:type="pct"/>
            <w:vMerge w:val="restart"/>
            <w:shd w:val="clear" w:color="auto" w:fill="auto"/>
            <w:tcMar>
              <w:top w:w="113" w:type="dxa"/>
              <w:bottom w:w="113" w:type="dxa"/>
            </w:tcMar>
          </w:tcPr>
          <w:p w:rsidR="000F45B2" w:rsidRPr="00A32AF4" w:rsidRDefault="000F45B2" w:rsidP="00DC0553">
            <w:pPr>
              <w:rPr>
                <w:rFonts w:cs="Arial"/>
                <w:sz w:val="16"/>
                <w:szCs w:val="16"/>
              </w:rPr>
            </w:pPr>
            <w:r w:rsidRPr="00A32AF4">
              <w:rPr>
                <w:rFonts w:cs="Arial"/>
                <w:sz w:val="16"/>
                <w:szCs w:val="16"/>
              </w:rPr>
              <w:t>III.2 Mise en valeur des ressources humaines pour répondre aux diverses exigences en matière d’utilisation efficace de la propriété intellectuelle au service du développement dans les pays en développement, les PMA et les pays en transition</w:t>
            </w:r>
          </w:p>
        </w:tc>
        <w:tc>
          <w:tcPr>
            <w:tcW w:w="2162" w:type="pct"/>
            <w:shd w:val="clear" w:color="auto" w:fill="auto"/>
            <w:tcMar>
              <w:top w:w="113" w:type="dxa"/>
              <w:bottom w:w="113" w:type="dxa"/>
            </w:tcMar>
          </w:tcPr>
          <w:p w:rsidR="000F45B2" w:rsidRPr="00A32AF4" w:rsidRDefault="00A32AF4" w:rsidP="000F45B2">
            <w:pPr>
              <w:rPr>
                <w:rFonts w:cs="Arial"/>
                <w:sz w:val="16"/>
                <w:szCs w:val="16"/>
              </w:rPr>
            </w:pPr>
            <w:r w:rsidRPr="00A32AF4">
              <w:rPr>
                <w:rFonts w:cs="Arial"/>
                <w:color w:val="000000"/>
                <w:sz w:val="16"/>
                <w:szCs w:val="16"/>
              </w:rPr>
              <w:t>Nombre de bureaux nationaux du droit d’auteur participant activement au processus de consultation dans le cadre du projet TAG</w:t>
            </w:r>
          </w:p>
        </w:tc>
        <w:tc>
          <w:tcPr>
            <w:tcW w:w="1069" w:type="pct"/>
            <w:shd w:val="clear" w:color="auto" w:fill="FFFFFF"/>
            <w:tcMar>
              <w:top w:w="113" w:type="dxa"/>
              <w:bottom w:w="113" w:type="dxa"/>
            </w:tcMar>
          </w:tcPr>
          <w:p w:rsidR="000F45B2" w:rsidRPr="00A32AF4" w:rsidRDefault="000F45B2" w:rsidP="000F45B2">
            <w:pPr>
              <w:jc w:val="center"/>
              <w:rPr>
                <w:rFonts w:cs="Arial"/>
                <w:sz w:val="16"/>
                <w:szCs w:val="16"/>
                <w:lang w:bidi="th-TH"/>
              </w:rPr>
            </w:pPr>
            <w:r w:rsidRPr="00A32AF4">
              <w:rPr>
                <w:rFonts w:cs="Arial"/>
                <w:sz w:val="16"/>
                <w:szCs w:val="16"/>
                <w:lang w:bidi="th-TH"/>
              </w:rPr>
              <w:t>Programme 3</w:t>
            </w:r>
          </w:p>
        </w:tc>
      </w:tr>
      <w:tr w:rsidR="000F45B2" w:rsidRPr="00A32AF4" w:rsidTr="00114BFD">
        <w:trPr>
          <w:cantSplit/>
        </w:trPr>
        <w:tc>
          <w:tcPr>
            <w:tcW w:w="1769" w:type="pct"/>
            <w:vMerge/>
            <w:shd w:val="clear" w:color="auto" w:fill="auto"/>
            <w:tcMar>
              <w:top w:w="113" w:type="dxa"/>
              <w:bottom w:w="113" w:type="dxa"/>
            </w:tcMar>
          </w:tcPr>
          <w:p w:rsidR="000F45B2" w:rsidRPr="00A32AF4" w:rsidRDefault="000F45B2" w:rsidP="00DC0553">
            <w:pPr>
              <w:rPr>
                <w:rFonts w:cs="Arial"/>
                <w:sz w:val="16"/>
                <w:szCs w:val="16"/>
              </w:rPr>
            </w:pPr>
          </w:p>
        </w:tc>
        <w:tc>
          <w:tcPr>
            <w:tcW w:w="2162" w:type="pct"/>
            <w:shd w:val="clear" w:color="auto" w:fill="auto"/>
            <w:tcMar>
              <w:top w:w="113" w:type="dxa"/>
              <w:bottom w:w="113" w:type="dxa"/>
            </w:tcMar>
          </w:tcPr>
          <w:p w:rsidR="000F45B2" w:rsidRPr="00A32AF4" w:rsidRDefault="000F45B2" w:rsidP="000F45B2">
            <w:pPr>
              <w:rPr>
                <w:rFonts w:cs="Arial"/>
                <w:color w:val="000000"/>
                <w:sz w:val="16"/>
                <w:szCs w:val="16"/>
              </w:rPr>
            </w:pPr>
            <w:r w:rsidRPr="00A32AF4">
              <w:rPr>
                <w:sz w:val="16"/>
                <w:szCs w:val="16"/>
              </w:rPr>
              <w:t>Nombre d’organismes de gestion collective demandant une accréditation TAG</w:t>
            </w:r>
          </w:p>
        </w:tc>
        <w:tc>
          <w:tcPr>
            <w:tcW w:w="1069" w:type="pct"/>
            <w:shd w:val="clear" w:color="auto" w:fill="FFFFFF"/>
            <w:tcMar>
              <w:top w:w="113" w:type="dxa"/>
              <w:bottom w:w="113" w:type="dxa"/>
            </w:tcMar>
          </w:tcPr>
          <w:p w:rsidR="000F45B2" w:rsidRPr="00A32AF4" w:rsidRDefault="000F45B2" w:rsidP="0019255D">
            <w:pPr>
              <w:jc w:val="center"/>
              <w:rPr>
                <w:rFonts w:cs="Arial"/>
                <w:sz w:val="16"/>
                <w:szCs w:val="16"/>
                <w:lang w:bidi="th-TH"/>
              </w:rPr>
            </w:pPr>
            <w:r w:rsidRPr="00A32AF4">
              <w:rPr>
                <w:rFonts w:cs="Arial"/>
                <w:sz w:val="16"/>
                <w:szCs w:val="16"/>
                <w:lang w:bidi="th-TH"/>
              </w:rPr>
              <w:t>Programme 3</w:t>
            </w:r>
          </w:p>
        </w:tc>
      </w:tr>
      <w:tr w:rsidR="000F45B2" w:rsidRPr="00A32AF4" w:rsidTr="00114BFD">
        <w:trPr>
          <w:cantSplit/>
        </w:trPr>
        <w:tc>
          <w:tcPr>
            <w:tcW w:w="1769" w:type="pct"/>
            <w:vMerge/>
            <w:shd w:val="clear" w:color="auto" w:fill="auto"/>
            <w:tcMar>
              <w:top w:w="113" w:type="dxa"/>
              <w:bottom w:w="113" w:type="dxa"/>
            </w:tcMar>
          </w:tcPr>
          <w:p w:rsidR="000F45B2" w:rsidRPr="00A32AF4" w:rsidRDefault="000F45B2" w:rsidP="00DC0553">
            <w:pPr>
              <w:rPr>
                <w:rFonts w:cs="Arial"/>
                <w:sz w:val="16"/>
                <w:szCs w:val="16"/>
              </w:rPr>
            </w:pPr>
          </w:p>
        </w:tc>
        <w:tc>
          <w:tcPr>
            <w:tcW w:w="2162" w:type="pct"/>
            <w:shd w:val="clear" w:color="auto" w:fill="auto"/>
            <w:tcMar>
              <w:top w:w="113" w:type="dxa"/>
              <w:bottom w:w="113" w:type="dxa"/>
            </w:tcMar>
          </w:tcPr>
          <w:p w:rsidR="000F45B2" w:rsidRPr="00A32AF4" w:rsidRDefault="000F45B2" w:rsidP="00DC0553">
            <w:pPr>
              <w:rPr>
                <w:sz w:val="16"/>
                <w:szCs w:val="16"/>
              </w:rPr>
            </w:pPr>
            <w:r w:rsidRPr="00A32AF4">
              <w:rPr>
                <w:sz w:val="16"/>
                <w:szCs w:val="16"/>
              </w:rPr>
              <w:t>Pourcentage de participants ayant présenté un rapport positif sur les programmes de renforcement des capacités en matière de gestion collective</w:t>
            </w:r>
          </w:p>
        </w:tc>
        <w:tc>
          <w:tcPr>
            <w:tcW w:w="1069" w:type="pct"/>
            <w:shd w:val="clear" w:color="auto" w:fill="FFFFFF"/>
            <w:tcMar>
              <w:top w:w="113" w:type="dxa"/>
              <w:bottom w:w="113" w:type="dxa"/>
            </w:tcMar>
          </w:tcPr>
          <w:p w:rsidR="000F45B2" w:rsidRPr="00A32AF4" w:rsidRDefault="000F45B2" w:rsidP="00DC0553">
            <w:pPr>
              <w:jc w:val="center"/>
              <w:rPr>
                <w:rFonts w:cs="Arial"/>
                <w:sz w:val="16"/>
                <w:szCs w:val="16"/>
                <w:lang w:bidi="th-TH"/>
              </w:rPr>
            </w:pPr>
            <w:r w:rsidRPr="00A32AF4">
              <w:rPr>
                <w:rFonts w:cs="Arial"/>
                <w:sz w:val="16"/>
                <w:szCs w:val="16"/>
                <w:lang w:bidi="th-TH"/>
              </w:rPr>
              <w:t>Programme 3</w:t>
            </w:r>
          </w:p>
        </w:tc>
      </w:tr>
      <w:tr w:rsidR="00AD3964" w:rsidRPr="00A32AF4" w:rsidTr="00114BFD">
        <w:trPr>
          <w:cantSplit/>
        </w:trPr>
        <w:tc>
          <w:tcPr>
            <w:tcW w:w="1769" w:type="pct"/>
            <w:shd w:val="clear" w:color="auto" w:fill="auto"/>
            <w:tcMar>
              <w:top w:w="113" w:type="dxa"/>
              <w:bottom w:w="113" w:type="dxa"/>
            </w:tcMar>
          </w:tcPr>
          <w:p w:rsidR="00114BFD" w:rsidRPr="00A32AF4" w:rsidRDefault="00114BFD" w:rsidP="00DC0553">
            <w:pPr>
              <w:rPr>
                <w:rFonts w:cs="Arial"/>
                <w:sz w:val="16"/>
                <w:szCs w:val="16"/>
              </w:rPr>
            </w:pPr>
          </w:p>
        </w:tc>
        <w:tc>
          <w:tcPr>
            <w:tcW w:w="2162" w:type="pct"/>
            <w:shd w:val="clear" w:color="auto" w:fill="auto"/>
            <w:tcMar>
              <w:top w:w="113" w:type="dxa"/>
              <w:bottom w:w="113" w:type="dxa"/>
            </w:tcMar>
          </w:tcPr>
          <w:p w:rsidR="00114BFD" w:rsidRPr="00A32AF4" w:rsidRDefault="004C6800" w:rsidP="00DC0553">
            <w:pPr>
              <w:rPr>
                <w:rFonts w:cs="Arial"/>
                <w:sz w:val="16"/>
                <w:szCs w:val="16"/>
              </w:rPr>
            </w:pPr>
            <w:r w:rsidRPr="00A32AF4">
              <w:rPr>
                <w:sz w:val="16"/>
                <w:szCs w:val="16"/>
              </w:rPr>
              <w:t>Nombre de visites sur le Portail de l</w:t>
            </w:r>
            <w:r w:rsidR="00E2055A" w:rsidRPr="00A32AF4">
              <w:rPr>
                <w:sz w:val="16"/>
                <w:szCs w:val="16"/>
              </w:rPr>
              <w:t>’</w:t>
            </w:r>
            <w:r w:rsidRPr="00A32AF4">
              <w:rPr>
                <w:sz w:val="16"/>
                <w:szCs w:val="16"/>
              </w:rPr>
              <w:t>infrastructure du droit d</w:t>
            </w:r>
            <w:r w:rsidR="00E2055A" w:rsidRPr="00A32AF4">
              <w:rPr>
                <w:sz w:val="16"/>
                <w:szCs w:val="16"/>
              </w:rPr>
              <w:t>’</w:t>
            </w:r>
            <w:r w:rsidRPr="00A32AF4">
              <w:rPr>
                <w:sz w:val="16"/>
                <w:szCs w:val="16"/>
              </w:rPr>
              <w:t>auteur</w:t>
            </w:r>
          </w:p>
        </w:tc>
        <w:tc>
          <w:tcPr>
            <w:tcW w:w="1069" w:type="pct"/>
            <w:shd w:val="clear" w:color="auto" w:fill="FFFFFF"/>
            <w:tcMar>
              <w:top w:w="113" w:type="dxa"/>
              <w:bottom w:w="113" w:type="dxa"/>
            </w:tcMar>
          </w:tcPr>
          <w:p w:rsidR="00114BFD" w:rsidRPr="00A32AF4" w:rsidRDefault="00114BFD" w:rsidP="00DC0553">
            <w:pPr>
              <w:jc w:val="center"/>
              <w:rPr>
                <w:rFonts w:cs="Arial"/>
                <w:sz w:val="16"/>
                <w:szCs w:val="16"/>
                <w:lang w:bidi="th-TH"/>
              </w:rPr>
            </w:pPr>
            <w:r w:rsidRPr="00A32AF4">
              <w:rPr>
                <w:rFonts w:cs="Arial"/>
                <w:sz w:val="16"/>
                <w:szCs w:val="16"/>
                <w:lang w:bidi="th-TH"/>
              </w:rPr>
              <w:t>Programme 3</w:t>
            </w:r>
          </w:p>
        </w:tc>
      </w:tr>
      <w:tr w:rsidR="00AD3964" w:rsidRPr="00A32AF4" w:rsidTr="00114BFD">
        <w:trPr>
          <w:cantSplit/>
        </w:trPr>
        <w:tc>
          <w:tcPr>
            <w:tcW w:w="1769" w:type="pct"/>
            <w:shd w:val="clear" w:color="auto" w:fill="auto"/>
            <w:tcMar>
              <w:top w:w="113" w:type="dxa"/>
              <w:bottom w:w="113" w:type="dxa"/>
            </w:tcMar>
          </w:tcPr>
          <w:p w:rsidR="00114BFD" w:rsidRPr="00A32AF4" w:rsidRDefault="00114BFD" w:rsidP="00DC0553">
            <w:pPr>
              <w:rPr>
                <w:rFonts w:cs="Arial"/>
                <w:sz w:val="16"/>
                <w:szCs w:val="16"/>
              </w:rPr>
            </w:pPr>
          </w:p>
        </w:tc>
        <w:tc>
          <w:tcPr>
            <w:tcW w:w="2162" w:type="pct"/>
            <w:shd w:val="clear" w:color="auto" w:fill="auto"/>
            <w:tcMar>
              <w:top w:w="113" w:type="dxa"/>
              <w:bottom w:w="113" w:type="dxa"/>
            </w:tcMar>
          </w:tcPr>
          <w:p w:rsidR="00114BFD" w:rsidRPr="00A32AF4" w:rsidRDefault="004C6800" w:rsidP="00DC0553">
            <w:pPr>
              <w:rPr>
                <w:rFonts w:cs="Arial"/>
                <w:sz w:val="16"/>
                <w:szCs w:val="16"/>
              </w:rPr>
            </w:pPr>
            <w:r w:rsidRPr="00A32AF4">
              <w:rPr>
                <w:sz w:val="16"/>
                <w:szCs w:val="16"/>
              </w:rPr>
              <w:t>Nombre de maisons d</w:t>
            </w:r>
            <w:r w:rsidR="00E2055A" w:rsidRPr="00A32AF4">
              <w:rPr>
                <w:sz w:val="16"/>
                <w:szCs w:val="16"/>
              </w:rPr>
              <w:t>’</w:t>
            </w:r>
            <w:r w:rsidRPr="00A32AF4">
              <w:rPr>
                <w:sz w:val="16"/>
                <w:szCs w:val="16"/>
              </w:rPr>
              <w:t>édition signant la Charte ABC de l</w:t>
            </w:r>
            <w:r w:rsidR="00E2055A" w:rsidRPr="00A32AF4">
              <w:rPr>
                <w:sz w:val="16"/>
                <w:szCs w:val="16"/>
              </w:rPr>
              <w:t>’</w:t>
            </w:r>
            <w:r w:rsidRPr="00A32AF4">
              <w:rPr>
                <w:sz w:val="16"/>
                <w:szCs w:val="16"/>
              </w:rPr>
              <w:t>édition en format accessible (“Charte”)</w:t>
            </w:r>
          </w:p>
        </w:tc>
        <w:tc>
          <w:tcPr>
            <w:tcW w:w="1069" w:type="pct"/>
            <w:shd w:val="clear" w:color="auto" w:fill="FFFFFF"/>
            <w:tcMar>
              <w:top w:w="113" w:type="dxa"/>
              <w:bottom w:w="113" w:type="dxa"/>
            </w:tcMar>
          </w:tcPr>
          <w:p w:rsidR="00114BFD" w:rsidRPr="00A32AF4" w:rsidRDefault="00114BFD" w:rsidP="00DC0553">
            <w:pPr>
              <w:jc w:val="center"/>
              <w:rPr>
                <w:rFonts w:cs="Arial"/>
                <w:sz w:val="16"/>
                <w:szCs w:val="16"/>
                <w:lang w:bidi="th-TH"/>
              </w:rPr>
            </w:pPr>
            <w:r w:rsidRPr="00A32AF4">
              <w:rPr>
                <w:rFonts w:cs="Arial"/>
                <w:sz w:val="16"/>
                <w:szCs w:val="16"/>
                <w:lang w:bidi="th-TH"/>
              </w:rPr>
              <w:t>Programme 3</w:t>
            </w:r>
          </w:p>
        </w:tc>
      </w:tr>
      <w:tr w:rsidR="00AD3964" w:rsidRPr="00A32AF4" w:rsidTr="00114BFD">
        <w:trPr>
          <w:cantSplit/>
        </w:trPr>
        <w:tc>
          <w:tcPr>
            <w:tcW w:w="1769" w:type="pct"/>
            <w:shd w:val="clear" w:color="auto" w:fill="auto"/>
            <w:tcMar>
              <w:top w:w="113" w:type="dxa"/>
              <w:bottom w:w="113" w:type="dxa"/>
            </w:tcMar>
          </w:tcPr>
          <w:p w:rsidR="00114BFD" w:rsidRPr="00A32AF4" w:rsidRDefault="00114BFD" w:rsidP="00DC0553">
            <w:pPr>
              <w:rPr>
                <w:rFonts w:cs="Arial"/>
                <w:sz w:val="16"/>
                <w:szCs w:val="16"/>
              </w:rPr>
            </w:pPr>
          </w:p>
        </w:tc>
        <w:tc>
          <w:tcPr>
            <w:tcW w:w="2162" w:type="pct"/>
            <w:shd w:val="clear" w:color="auto" w:fill="auto"/>
            <w:tcMar>
              <w:top w:w="113" w:type="dxa"/>
              <w:bottom w:w="113" w:type="dxa"/>
            </w:tcMar>
          </w:tcPr>
          <w:p w:rsidR="00114BFD" w:rsidRPr="00A32AF4" w:rsidRDefault="004C6800" w:rsidP="00DC0553">
            <w:pPr>
              <w:rPr>
                <w:rFonts w:cs="Arial"/>
                <w:sz w:val="16"/>
                <w:szCs w:val="16"/>
              </w:rPr>
            </w:pPr>
            <w:r w:rsidRPr="00A32AF4">
              <w:rPr>
                <w:sz w:val="16"/>
                <w:szCs w:val="16"/>
              </w:rPr>
              <w:t>Nombre de livres en format accessible prêtés à des personnes ayant des difficultés de lecture</w:t>
            </w:r>
          </w:p>
        </w:tc>
        <w:tc>
          <w:tcPr>
            <w:tcW w:w="1069" w:type="pct"/>
            <w:shd w:val="clear" w:color="auto" w:fill="FFFFFF"/>
            <w:tcMar>
              <w:top w:w="113" w:type="dxa"/>
              <w:bottom w:w="113" w:type="dxa"/>
            </w:tcMar>
          </w:tcPr>
          <w:p w:rsidR="00114BFD" w:rsidRPr="00A32AF4" w:rsidRDefault="00114BFD" w:rsidP="00DC0553">
            <w:pPr>
              <w:jc w:val="center"/>
              <w:rPr>
                <w:rFonts w:cs="Arial"/>
                <w:sz w:val="16"/>
                <w:szCs w:val="16"/>
                <w:lang w:bidi="th-TH"/>
              </w:rPr>
            </w:pPr>
            <w:r w:rsidRPr="00A32AF4">
              <w:rPr>
                <w:rFonts w:cs="Arial"/>
                <w:sz w:val="16"/>
                <w:szCs w:val="16"/>
                <w:lang w:bidi="th-TH"/>
              </w:rPr>
              <w:t>Programme 3</w:t>
            </w:r>
          </w:p>
        </w:tc>
      </w:tr>
      <w:tr w:rsidR="00AD3964" w:rsidRPr="00A32AF4" w:rsidTr="00114BFD">
        <w:trPr>
          <w:cantSplit/>
        </w:trPr>
        <w:tc>
          <w:tcPr>
            <w:tcW w:w="1769" w:type="pct"/>
            <w:shd w:val="clear" w:color="auto" w:fill="auto"/>
            <w:tcMar>
              <w:top w:w="113" w:type="dxa"/>
              <w:bottom w:w="113" w:type="dxa"/>
            </w:tcMar>
          </w:tcPr>
          <w:p w:rsidR="00114BFD" w:rsidRPr="00A32AF4" w:rsidRDefault="00114BFD" w:rsidP="00DC0553">
            <w:pPr>
              <w:rPr>
                <w:rFonts w:cs="Arial"/>
                <w:sz w:val="16"/>
                <w:szCs w:val="16"/>
              </w:rPr>
            </w:pPr>
          </w:p>
        </w:tc>
        <w:tc>
          <w:tcPr>
            <w:tcW w:w="2162" w:type="pct"/>
            <w:shd w:val="clear" w:color="auto" w:fill="auto"/>
            <w:tcMar>
              <w:top w:w="113" w:type="dxa"/>
              <w:bottom w:w="113" w:type="dxa"/>
            </w:tcMar>
          </w:tcPr>
          <w:p w:rsidR="00114BFD" w:rsidRPr="00A32AF4" w:rsidRDefault="004C6800" w:rsidP="00DC0553">
            <w:pPr>
              <w:rPr>
                <w:rFonts w:cs="Arial"/>
                <w:sz w:val="16"/>
                <w:szCs w:val="16"/>
              </w:rPr>
            </w:pPr>
            <w:r w:rsidRPr="00A32AF4">
              <w:rPr>
                <w:sz w:val="16"/>
                <w:szCs w:val="16"/>
              </w:rPr>
              <w:t>Pourcentage de participants satisfaits des réunions et des ateliers de renforcement des capacités liées au droit d</w:t>
            </w:r>
            <w:r w:rsidR="00E2055A" w:rsidRPr="00A32AF4">
              <w:rPr>
                <w:sz w:val="16"/>
                <w:szCs w:val="16"/>
              </w:rPr>
              <w:t>’</w:t>
            </w:r>
            <w:r w:rsidRPr="00A32AF4">
              <w:rPr>
                <w:sz w:val="16"/>
                <w:szCs w:val="16"/>
              </w:rPr>
              <w:t>auteur et aux droits connexes, et les ayant évalués comme utiles</w:t>
            </w:r>
          </w:p>
        </w:tc>
        <w:tc>
          <w:tcPr>
            <w:tcW w:w="1069" w:type="pct"/>
            <w:shd w:val="clear" w:color="auto" w:fill="FFFFFF"/>
            <w:tcMar>
              <w:top w:w="113" w:type="dxa"/>
              <w:bottom w:w="113" w:type="dxa"/>
            </w:tcMar>
          </w:tcPr>
          <w:p w:rsidR="00114BFD" w:rsidRPr="00A32AF4" w:rsidRDefault="00114BFD" w:rsidP="00DC0553">
            <w:pPr>
              <w:jc w:val="center"/>
              <w:rPr>
                <w:rFonts w:cs="Arial"/>
                <w:sz w:val="16"/>
                <w:szCs w:val="16"/>
                <w:lang w:bidi="th-TH"/>
              </w:rPr>
            </w:pPr>
            <w:r w:rsidRPr="00A32AF4">
              <w:rPr>
                <w:rFonts w:cs="Arial"/>
                <w:sz w:val="16"/>
                <w:szCs w:val="16"/>
                <w:lang w:bidi="th-TH"/>
              </w:rPr>
              <w:t>Programme 3</w:t>
            </w:r>
          </w:p>
        </w:tc>
      </w:tr>
      <w:tr w:rsidR="00AD3964" w:rsidRPr="00A32AF4" w:rsidTr="00114BFD">
        <w:trPr>
          <w:cantSplit/>
        </w:trPr>
        <w:tc>
          <w:tcPr>
            <w:tcW w:w="1769" w:type="pct"/>
            <w:shd w:val="clear" w:color="auto" w:fill="auto"/>
            <w:tcMar>
              <w:top w:w="113" w:type="dxa"/>
              <w:bottom w:w="113" w:type="dxa"/>
            </w:tcMar>
          </w:tcPr>
          <w:p w:rsidR="00114BFD" w:rsidRPr="00A32AF4" w:rsidRDefault="00114BFD" w:rsidP="00DC0553">
            <w:pPr>
              <w:rPr>
                <w:rFonts w:cs="Arial"/>
                <w:sz w:val="16"/>
                <w:szCs w:val="16"/>
              </w:rPr>
            </w:pPr>
          </w:p>
        </w:tc>
        <w:tc>
          <w:tcPr>
            <w:tcW w:w="2162" w:type="pct"/>
            <w:shd w:val="clear" w:color="auto" w:fill="auto"/>
            <w:tcMar>
              <w:top w:w="113" w:type="dxa"/>
              <w:bottom w:w="113" w:type="dxa"/>
            </w:tcMar>
          </w:tcPr>
          <w:p w:rsidR="00114BFD" w:rsidRPr="00A32AF4" w:rsidRDefault="004C6800" w:rsidP="00DC0553">
            <w:pPr>
              <w:rPr>
                <w:rFonts w:cs="Arial"/>
                <w:sz w:val="16"/>
                <w:szCs w:val="16"/>
              </w:rPr>
            </w:pPr>
            <w:r w:rsidRPr="00A32AF4">
              <w:rPr>
                <w:sz w:val="16"/>
                <w:szCs w:val="16"/>
              </w:rPr>
              <w:t>Pourcentage des participants à des ateliers de renforcement des capacités ayant indiqué utiliser en pratique les connaissances acquises neuf mois après la participation aux ateliers</w:t>
            </w:r>
          </w:p>
        </w:tc>
        <w:tc>
          <w:tcPr>
            <w:tcW w:w="1069" w:type="pct"/>
            <w:shd w:val="clear" w:color="auto" w:fill="FFFFFF"/>
            <w:tcMar>
              <w:top w:w="113" w:type="dxa"/>
              <w:bottom w:w="113" w:type="dxa"/>
            </w:tcMar>
          </w:tcPr>
          <w:p w:rsidR="00114BFD" w:rsidRPr="00A32AF4" w:rsidRDefault="00114BFD" w:rsidP="00DC0553">
            <w:pPr>
              <w:jc w:val="center"/>
              <w:rPr>
                <w:rFonts w:cs="Arial"/>
                <w:sz w:val="16"/>
                <w:szCs w:val="16"/>
                <w:lang w:bidi="th-TH"/>
              </w:rPr>
            </w:pPr>
            <w:r w:rsidRPr="00A32AF4">
              <w:rPr>
                <w:rFonts w:cs="Arial"/>
                <w:sz w:val="16"/>
                <w:szCs w:val="16"/>
                <w:lang w:bidi="th-TH"/>
              </w:rPr>
              <w:t>Programme 3</w:t>
            </w:r>
          </w:p>
        </w:tc>
      </w:tr>
      <w:tr w:rsidR="00AD3964" w:rsidRPr="00A32AF4" w:rsidTr="00114BFD">
        <w:trPr>
          <w:cantSplit/>
        </w:trPr>
        <w:tc>
          <w:tcPr>
            <w:tcW w:w="1769" w:type="pct"/>
            <w:shd w:val="clear" w:color="auto" w:fill="auto"/>
            <w:tcMar>
              <w:top w:w="113" w:type="dxa"/>
              <w:bottom w:w="113" w:type="dxa"/>
            </w:tcMar>
          </w:tcPr>
          <w:p w:rsidR="00114BFD" w:rsidRPr="00A32AF4" w:rsidRDefault="00114BFD" w:rsidP="00DC0553">
            <w:pPr>
              <w:rPr>
                <w:rFonts w:cs="Arial"/>
                <w:sz w:val="16"/>
                <w:szCs w:val="16"/>
              </w:rPr>
            </w:pPr>
          </w:p>
        </w:tc>
        <w:tc>
          <w:tcPr>
            <w:tcW w:w="2162" w:type="pct"/>
            <w:shd w:val="clear" w:color="auto" w:fill="auto"/>
            <w:tcMar>
              <w:top w:w="113" w:type="dxa"/>
              <w:bottom w:w="113" w:type="dxa"/>
            </w:tcMar>
          </w:tcPr>
          <w:p w:rsidR="00114BFD" w:rsidRPr="00A32AF4" w:rsidRDefault="004C6800" w:rsidP="00DC0553">
            <w:pPr>
              <w:rPr>
                <w:rFonts w:cs="Arial"/>
                <w:sz w:val="16"/>
                <w:szCs w:val="16"/>
              </w:rPr>
            </w:pPr>
            <w:r w:rsidRPr="00A32AF4">
              <w:rPr>
                <w:sz w:val="16"/>
                <w:szCs w:val="16"/>
              </w:rPr>
              <w:t>Pourcentage de participants ayant des connaissances et des compétences accrues en matière de mise en œuvre d</w:t>
            </w:r>
            <w:r w:rsidR="00E2055A" w:rsidRPr="00A32AF4">
              <w:rPr>
                <w:sz w:val="16"/>
                <w:szCs w:val="16"/>
              </w:rPr>
              <w:t>’</w:t>
            </w:r>
            <w:r w:rsidRPr="00A32AF4">
              <w:rPr>
                <w:sz w:val="16"/>
                <w:szCs w:val="16"/>
              </w:rPr>
              <w:t>activités de formation dans leurs pays respectifs</w:t>
            </w:r>
          </w:p>
        </w:tc>
        <w:tc>
          <w:tcPr>
            <w:tcW w:w="1069" w:type="pct"/>
            <w:shd w:val="clear" w:color="auto" w:fill="FFFFFF"/>
            <w:tcMar>
              <w:top w:w="113" w:type="dxa"/>
              <w:bottom w:w="113" w:type="dxa"/>
            </w:tcMar>
          </w:tcPr>
          <w:p w:rsidR="00114BFD" w:rsidRPr="00A32AF4" w:rsidRDefault="00114BFD" w:rsidP="00DC0553">
            <w:pPr>
              <w:jc w:val="center"/>
              <w:rPr>
                <w:rFonts w:cs="Arial"/>
                <w:sz w:val="16"/>
                <w:szCs w:val="16"/>
                <w:lang w:bidi="th-TH"/>
              </w:rPr>
            </w:pPr>
            <w:r w:rsidRPr="00A32AF4">
              <w:rPr>
                <w:rFonts w:cs="Arial"/>
                <w:sz w:val="16"/>
                <w:szCs w:val="16"/>
                <w:lang w:bidi="th-TH"/>
              </w:rPr>
              <w:t>Programme 3</w:t>
            </w:r>
          </w:p>
        </w:tc>
      </w:tr>
      <w:tr w:rsidR="00AD3964" w:rsidRPr="00A32AF4" w:rsidTr="00114BFD">
        <w:trPr>
          <w:cantSplit/>
        </w:trPr>
        <w:tc>
          <w:tcPr>
            <w:tcW w:w="1769" w:type="pct"/>
            <w:shd w:val="clear" w:color="auto" w:fill="auto"/>
            <w:tcMar>
              <w:top w:w="113" w:type="dxa"/>
              <w:bottom w:w="113" w:type="dxa"/>
            </w:tcMar>
          </w:tcPr>
          <w:p w:rsidR="00114BFD" w:rsidRPr="00A32AF4" w:rsidRDefault="00114BFD" w:rsidP="00DC0553">
            <w:pPr>
              <w:rPr>
                <w:rFonts w:cs="Arial"/>
                <w:sz w:val="16"/>
                <w:szCs w:val="16"/>
              </w:rPr>
            </w:pPr>
          </w:p>
        </w:tc>
        <w:tc>
          <w:tcPr>
            <w:tcW w:w="2162" w:type="pct"/>
            <w:shd w:val="clear" w:color="auto" w:fill="auto"/>
            <w:tcMar>
              <w:top w:w="113" w:type="dxa"/>
              <w:bottom w:w="113" w:type="dxa"/>
            </w:tcMar>
          </w:tcPr>
          <w:p w:rsidR="00114BFD" w:rsidRPr="00A32AF4" w:rsidRDefault="00CD25CA" w:rsidP="00DC0553">
            <w:pPr>
              <w:rPr>
                <w:rFonts w:cs="Arial"/>
                <w:sz w:val="16"/>
                <w:szCs w:val="16"/>
              </w:rPr>
            </w:pPr>
            <w:r w:rsidRPr="00A32AF4">
              <w:rPr>
                <w:rFonts w:cs="Arial"/>
                <w:sz w:val="16"/>
                <w:szCs w:val="16"/>
              </w:rPr>
              <w:t>Pourcentage de participants aux activités de l</w:t>
            </w:r>
            <w:r w:rsidR="00E2055A" w:rsidRPr="00A32AF4">
              <w:rPr>
                <w:rFonts w:cs="Arial"/>
                <w:sz w:val="16"/>
                <w:szCs w:val="16"/>
              </w:rPr>
              <w:t>’</w:t>
            </w:r>
            <w:r w:rsidRPr="00A32AF4">
              <w:rPr>
                <w:rFonts w:cs="Arial"/>
                <w:sz w:val="16"/>
                <w:szCs w:val="16"/>
              </w:rPr>
              <w:t>OMPI ayant fait part d</w:t>
            </w:r>
            <w:r w:rsidR="00E2055A" w:rsidRPr="00A32AF4">
              <w:rPr>
                <w:rFonts w:cs="Arial"/>
                <w:sz w:val="16"/>
                <w:szCs w:val="16"/>
              </w:rPr>
              <w:t>’</w:t>
            </w:r>
            <w:r w:rsidRPr="00A32AF4">
              <w:rPr>
                <w:rFonts w:cs="Arial"/>
                <w:sz w:val="16"/>
                <w:szCs w:val="16"/>
              </w:rPr>
              <w:t>un renforcement des capacités en ce qui concerne la compréhension des principes, des systèmes et des instruments de propriété intellectuelle et leur utilisation pour la protection des savoirs traditionnels et des expressions culturelles traditionnelles, et pour la gestion du lien qui existe entre propriété intellectuelle et ressources génétiques</w:t>
            </w:r>
          </w:p>
        </w:tc>
        <w:tc>
          <w:tcPr>
            <w:tcW w:w="1069" w:type="pct"/>
            <w:shd w:val="clear" w:color="auto" w:fill="FFFFFF"/>
            <w:tcMar>
              <w:top w:w="113" w:type="dxa"/>
              <w:bottom w:w="113" w:type="dxa"/>
            </w:tcMar>
          </w:tcPr>
          <w:p w:rsidR="00114BFD" w:rsidRPr="00A32AF4" w:rsidRDefault="00114BFD" w:rsidP="00DC0553">
            <w:pPr>
              <w:jc w:val="center"/>
              <w:rPr>
                <w:rFonts w:cs="Arial"/>
                <w:sz w:val="16"/>
                <w:szCs w:val="16"/>
                <w:lang w:bidi="th-TH"/>
              </w:rPr>
            </w:pPr>
            <w:r w:rsidRPr="00A32AF4">
              <w:rPr>
                <w:rFonts w:cs="Arial"/>
                <w:sz w:val="16"/>
                <w:szCs w:val="16"/>
                <w:lang w:bidi="th-TH"/>
              </w:rPr>
              <w:t>Programme 4</w:t>
            </w:r>
          </w:p>
        </w:tc>
      </w:tr>
      <w:tr w:rsidR="00AD3964" w:rsidRPr="00A32AF4" w:rsidTr="00114BFD">
        <w:trPr>
          <w:cantSplit/>
        </w:trPr>
        <w:tc>
          <w:tcPr>
            <w:tcW w:w="1769" w:type="pct"/>
            <w:shd w:val="clear" w:color="auto" w:fill="auto"/>
            <w:tcMar>
              <w:top w:w="113" w:type="dxa"/>
              <w:bottom w:w="113" w:type="dxa"/>
            </w:tcMar>
          </w:tcPr>
          <w:p w:rsidR="00114BFD" w:rsidRPr="00A32AF4" w:rsidRDefault="00114BFD" w:rsidP="00DC0553">
            <w:pPr>
              <w:rPr>
                <w:rFonts w:cs="Arial"/>
                <w:sz w:val="16"/>
                <w:szCs w:val="16"/>
              </w:rPr>
            </w:pPr>
          </w:p>
        </w:tc>
        <w:tc>
          <w:tcPr>
            <w:tcW w:w="2162" w:type="pct"/>
            <w:shd w:val="clear" w:color="auto" w:fill="auto"/>
            <w:tcMar>
              <w:top w:w="113" w:type="dxa"/>
              <w:bottom w:w="113" w:type="dxa"/>
            </w:tcMar>
          </w:tcPr>
          <w:p w:rsidR="00114BFD" w:rsidRPr="00A32AF4" w:rsidRDefault="00172EB5" w:rsidP="00DC0553">
            <w:pPr>
              <w:rPr>
                <w:rFonts w:cs="Arial"/>
                <w:sz w:val="16"/>
                <w:szCs w:val="16"/>
              </w:rPr>
            </w:pPr>
            <w:r w:rsidRPr="00A32AF4">
              <w:rPr>
                <w:sz w:val="16"/>
                <w:szCs w:val="16"/>
              </w:rPr>
              <w:t>Pourcentage de participants à des manifestations de l</w:t>
            </w:r>
            <w:r w:rsidR="00E2055A" w:rsidRPr="00A32AF4">
              <w:rPr>
                <w:sz w:val="16"/>
                <w:szCs w:val="16"/>
              </w:rPr>
              <w:t>’</w:t>
            </w:r>
            <w:r w:rsidRPr="00A32AF4">
              <w:rPr>
                <w:sz w:val="16"/>
                <w:szCs w:val="16"/>
              </w:rPr>
              <w:t xml:space="preserve">OMPI qui font part de leur satisfaction </w:t>
            </w:r>
            <w:r w:rsidR="00E2055A" w:rsidRPr="00A32AF4">
              <w:rPr>
                <w:sz w:val="16"/>
                <w:szCs w:val="16"/>
              </w:rPr>
              <w:t>à l’égard</w:t>
            </w:r>
            <w:r w:rsidRPr="00A32AF4">
              <w:rPr>
                <w:sz w:val="16"/>
                <w:szCs w:val="16"/>
              </w:rPr>
              <w:t xml:space="preserve"> du contenu et de l</w:t>
            </w:r>
            <w:r w:rsidR="00E2055A" w:rsidRPr="00A32AF4">
              <w:rPr>
                <w:sz w:val="16"/>
                <w:szCs w:val="16"/>
              </w:rPr>
              <w:t>’</w:t>
            </w:r>
            <w:r w:rsidRPr="00A32AF4">
              <w:rPr>
                <w:sz w:val="16"/>
                <w:szCs w:val="16"/>
              </w:rPr>
              <w:t>organisation de ces manifestations</w:t>
            </w:r>
          </w:p>
        </w:tc>
        <w:tc>
          <w:tcPr>
            <w:tcW w:w="1069" w:type="pct"/>
            <w:shd w:val="clear" w:color="auto" w:fill="FFFFFF"/>
            <w:tcMar>
              <w:top w:w="113" w:type="dxa"/>
              <w:bottom w:w="113" w:type="dxa"/>
            </w:tcMar>
          </w:tcPr>
          <w:p w:rsidR="00114BFD" w:rsidRPr="00A32AF4" w:rsidRDefault="00114BFD" w:rsidP="00DC0553">
            <w:pPr>
              <w:jc w:val="center"/>
              <w:rPr>
                <w:rFonts w:cs="Arial"/>
                <w:sz w:val="16"/>
                <w:szCs w:val="16"/>
                <w:lang w:bidi="th-TH"/>
              </w:rPr>
            </w:pPr>
            <w:r w:rsidRPr="00A32AF4">
              <w:rPr>
                <w:rFonts w:cs="Arial"/>
                <w:sz w:val="16"/>
                <w:szCs w:val="16"/>
                <w:lang w:bidi="th-TH"/>
              </w:rPr>
              <w:t>Programme 9</w:t>
            </w:r>
          </w:p>
        </w:tc>
      </w:tr>
      <w:tr w:rsidR="00AD3964" w:rsidRPr="00A32AF4" w:rsidTr="00114BFD">
        <w:trPr>
          <w:cantSplit/>
        </w:trPr>
        <w:tc>
          <w:tcPr>
            <w:tcW w:w="1769" w:type="pct"/>
            <w:shd w:val="clear" w:color="auto" w:fill="auto"/>
            <w:tcMar>
              <w:top w:w="113" w:type="dxa"/>
              <w:bottom w:w="113" w:type="dxa"/>
            </w:tcMar>
          </w:tcPr>
          <w:p w:rsidR="00114BFD" w:rsidRPr="00A32AF4" w:rsidRDefault="00114BFD" w:rsidP="00DC0553">
            <w:pPr>
              <w:rPr>
                <w:rFonts w:cs="Arial"/>
                <w:sz w:val="16"/>
                <w:szCs w:val="16"/>
              </w:rPr>
            </w:pPr>
          </w:p>
        </w:tc>
        <w:tc>
          <w:tcPr>
            <w:tcW w:w="2162" w:type="pct"/>
            <w:shd w:val="clear" w:color="auto" w:fill="auto"/>
            <w:tcMar>
              <w:top w:w="113" w:type="dxa"/>
              <w:bottom w:w="113" w:type="dxa"/>
            </w:tcMar>
          </w:tcPr>
          <w:p w:rsidR="00114BFD" w:rsidRPr="00A32AF4" w:rsidRDefault="00172EB5" w:rsidP="00DC0553">
            <w:pPr>
              <w:rPr>
                <w:rFonts w:cs="Arial"/>
                <w:sz w:val="16"/>
                <w:szCs w:val="16"/>
              </w:rPr>
            </w:pPr>
            <w:r w:rsidRPr="00A32AF4">
              <w:rPr>
                <w:sz w:val="16"/>
                <w:szCs w:val="16"/>
              </w:rPr>
              <w:t>Pourcentage de participants à des ateliers de l</w:t>
            </w:r>
            <w:r w:rsidR="00E2055A" w:rsidRPr="00A32AF4">
              <w:rPr>
                <w:sz w:val="16"/>
                <w:szCs w:val="16"/>
              </w:rPr>
              <w:t>’</w:t>
            </w:r>
            <w:r w:rsidRPr="00A32AF4">
              <w:rPr>
                <w:sz w:val="16"/>
                <w:szCs w:val="16"/>
              </w:rPr>
              <w:t>OMPI qui mettent en pratique, dans le cadre de leur travail ou de leur entreprise, les compétences acquises</w:t>
            </w:r>
          </w:p>
        </w:tc>
        <w:tc>
          <w:tcPr>
            <w:tcW w:w="1069" w:type="pct"/>
            <w:shd w:val="clear" w:color="auto" w:fill="FFFFFF"/>
            <w:tcMar>
              <w:top w:w="113" w:type="dxa"/>
              <w:bottom w:w="113" w:type="dxa"/>
            </w:tcMar>
          </w:tcPr>
          <w:p w:rsidR="00114BFD" w:rsidRPr="00A32AF4" w:rsidRDefault="00114BFD" w:rsidP="00DC0553">
            <w:pPr>
              <w:jc w:val="center"/>
              <w:rPr>
                <w:rFonts w:cs="Arial"/>
                <w:sz w:val="16"/>
                <w:szCs w:val="16"/>
                <w:lang w:bidi="th-TH"/>
              </w:rPr>
            </w:pPr>
            <w:r w:rsidRPr="00A32AF4">
              <w:rPr>
                <w:rFonts w:cs="Arial"/>
                <w:sz w:val="16"/>
                <w:szCs w:val="16"/>
                <w:lang w:bidi="th-TH"/>
              </w:rPr>
              <w:t>Programme 9</w:t>
            </w:r>
          </w:p>
        </w:tc>
      </w:tr>
      <w:tr w:rsidR="00AD3964" w:rsidRPr="00A32AF4" w:rsidTr="00114BFD">
        <w:trPr>
          <w:cantSplit/>
        </w:trPr>
        <w:tc>
          <w:tcPr>
            <w:tcW w:w="1769" w:type="pct"/>
            <w:shd w:val="clear" w:color="auto" w:fill="auto"/>
            <w:tcMar>
              <w:top w:w="113" w:type="dxa"/>
              <w:bottom w:w="113" w:type="dxa"/>
            </w:tcMar>
          </w:tcPr>
          <w:p w:rsidR="00114BFD" w:rsidRPr="00A32AF4" w:rsidRDefault="00114BFD" w:rsidP="00DC0553">
            <w:pPr>
              <w:rPr>
                <w:rFonts w:cs="Arial"/>
                <w:sz w:val="16"/>
                <w:szCs w:val="16"/>
              </w:rPr>
            </w:pPr>
          </w:p>
        </w:tc>
        <w:tc>
          <w:tcPr>
            <w:tcW w:w="2162" w:type="pct"/>
            <w:shd w:val="clear" w:color="auto" w:fill="auto"/>
            <w:tcMar>
              <w:top w:w="113" w:type="dxa"/>
              <w:bottom w:w="113" w:type="dxa"/>
            </w:tcMar>
          </w:tcPr>
          <w:p w:rsidR="00114BFD" w:rsidRPr="00A32AF4" w:rsidRDefault="00172EB5" w:rsidP="00DC0553">
            <w:pPr>
              <w:rPr>
                <w:rFonts w:cs="Arial"/>
                <w:sz w:val="16"/>
                <w:szCs w:val="16"/>
              </w:rPr>
            </w:pPr>
            <w:r w:rsidRPr="00A32AF4">
              <w:rPr>
                <w:sz w:val="16"/>
                <w:szCs w:val="16"/>
              </w:rPr>
              <w:t>Pourcentage d</w:t>
            </w:r>
            <w:r w:rsidR="00E2055A" w:rsidRPr="00A32AF4">
              <w:rPr>
                <w:sz w:val="16"/>
                <w:szCs w:val="16"/>
              </w:rPr>
              <w:t>’</w:t>
            </w:r>
            <w:r w:rsidRPr="00A32AF4">
              <w:rPr>
                <w:sz w:val="16"/>
                <w:szCs w:val="16"/>
              </w:rPr>
              <w:t>experts nationaux et régionaux en propriété intellectuelle faisant office d</w:t>
            </w:r>
            <w:r w:rsidR="00E2055A" w:rsidRPr="00A32AF4">
              <w:rPr>
                <w:sz w:val="16"/>
                <w:szCs w:val="16"/>
              </w:rPr>
              <w:t>’</w:t>
            </w:r>
            <w:r w:rsidRPr="00A32AF4">
              <w:rPr>
                <w:sz w:val="16"/>
                <w:szCs w:val="16"/>
              </w:rPr>
              <w:t>animateurs de manifestations de l</w:t>
            </w:r>
            <w:r w:rsidR="00E2055A" w:rsidRPr="00A32AF4">
              <w:rPr>
                <w:sz w:val="16"/>
                <w:szCs w:val="16"/>
              </w:rPr>
              <w:t>’</w:t>
            </w:r>
            <w:r w:rsidRPr="00A32AF4">
              <w:rPr>
                <w:sz w:val="16"/>
                <w:szCs w:val="16"/>
              </w:rPr>
              <w:t>OMPI</w:t>
            </w:r>
          </w:p>
        </w:tc>
        <w:tc>
          <w:tcPr>
            <w:tcW w:w="1069" w:type="pct"/>
            <w:shd w:val="clear" w:color="auto" w:fill="FFFFFF"/>
            <w:tcMar>
              <w:top w:w="113" w:type="dxa"/>
              <w:bottom w:w="113" w:type="dxa"/>
            </w:tcMar>
          </w:tcPr>
          <w:p w:rsidR="00114BFD" w:rsidRPr="00A32AF4" w:rsidRDefault="00114BFD" w:rsidP="00DC0553">
            <w:pPr>
              <w:jc w:val="center"/>
              <w:rPr>
                <w:rFonts w:cs="Arial"/>
                <w:sz w:val="16"/>
                <w:szCs w:val="16"/>
                <w:lang w:bidi="th-TH"/>
              </w:rPr>
            </w:pPr>
            <w:r w:rsidRPr="00A32AF4">
              <w:rPr>
                <w:rFonts w:cs="Arial"/>
                <w:sz w:val="16"/>
                <w:szCs w:val="16"/>
                <w:lang w:bidi="th-TH"/>
              </w:rPr>
              <w:t>Programme 9</w:t>
            </w:r>
          </w:p>
        </w:tc>
      </w:tr>
      <w:tr w:rsidR="00AD3964" w:rsidRPr="00A32AF4" w:rsidTr="00114BFD">
        <w:trPr>
          <w:cantSplit/>
        </w:trPr>
        <w:tc>
          <w:tcPr>
            <w:tcW w:w="1769" w:type="pct"/>
            <w:shd w:val="clear" w:color="auto" w:fill="auto"/>
            <w:tcMar>
              <w:top w:w="113" w:type="dxa"/>
              <w:bottom w:w="113" w:type="dxa"/>
            </w:tcMar>
          </w:tcPr>
          <w:p w:rsidR="00F45E5E" w:rsidRPr="00A32AF4" w:rsidRDefault="00F45E5E" w:rsidP="00DC0553">
            <w:pPr>
              <w:rPr>
                <w:rFonts w:cs="Arial"/>
                <w:sz w:val="16"/>
                <w:szCs w:val="16"/>
              </w:rPr>
            </w:pPr>
          </w:p>
        </w:tc>
        <w:tc>
          <w:tcPr>
            <w:tcW w:w="2162" w:type="pct"/>
            <w:shd w:val="clear" w:color="auto" w:fill="auto"/>
            <w:tcMar>
              <w:top w:w="113" w:type="dxa"/>
              <w:bottom w:w="113" w:type="dxa"/>
            </w:tcMar>
          </w:tcPr>
          <w:p w:rsidR="00F45E5E" w:rsidRPr="00A32AF4" w:rsidRDefault="00F45E5E" w:rsidP="00DC0553">
            <w:pPr>
              <w:rPr>
                <w:sz w:val="16"/>
                <w:szCs w:val="16"/>
              </w:rPr>
            </w:pPr>
            <w:r w:rsidRPr="00A32AF4">
              <w:rPr>
                <w:sz w:val="16"/>
                <w:szCs w:val="16"/>
              </w:rPr>
              <w:t>Nombre de pays en transition ayant mis en place des programmes de formation annuels en matière de propriété intellectuelle et/ou des cours à l</w:t>
            </w:r>
            <w:r w:rsidR="00E2055A" w:rsidRPr="00A32AF4">
              <w:rPr>
                <w:sz w:val="16"/>
                <w:szCs w:val="16"/>
              </w:rPr>
              <w:t>’</w:t>
            </w:r>
            <w:r w:rsidRPr="00A32AF4">
              <w:rPr>
                <w:sz w:val="16"/>
                <w:szCs w:val="16"/>
              </w:rPr>
              <w:t>intention de professionnels de la PI et/ou de PME</w:t>
            </w:r>
          </w:p>
        </w:tc>
        <w:tc>
          <w:tcPr>
            <w:tcW w:w="1069" w:type="pct"/>
            <w:shd w:val="clear" w:color="auto" w:fill="FFFFFF"/>
            <w:tcMar>
              <w:top w:w="113" w:type="dxa"/>
              <w:bottom w:w="113" w:type="dxa"/>
            </w:tcMar>
          </w:tcPr>
          <w:p w:rsidR="00F45E5E" w:rsidRPr="00A32AF4" w:rsidRDefault="00F45E5E" w:rsidP="00DC0553">
            <w:pPr>
              <w:jc w:val="center"/>
              <w:rPr>
                <w:rFonts w:cs="Arial"/>
                <w:sz w:val="16"/>
                <w:szCs w:val="16"/>
                <w:lang w:bidi="th-TH"/>
              </w:rPr>
            </w:pPr>
            <w:r w:rsidRPr="00A32AF4">
              <w:rPr>
                <w:rFonts w:cs="Arial"/>
                <w:sz w:val="16"/>
                <w:szCs w:val="16"/>
                <w:lang w:bidi="th-TH"/>
              </w:rPr>
              <w:t>Programme 10</w:t>
            </w:r>
          </w:p>
        </w:tc>
      </w:tr>
      <w:tr w:rsidR="00AD3964" w:rsidRPr="00A32AF4" w:rsidTr="00114BFD">
        <w:trPr>
          <w:cantSplit/>
        </w:trPr>
        <w:tc>
          <w:tcPr>
            <w:tcW w:w="1769" w:type="pct"/>
            <w:shd w:val="clear" w:color="auto" w:fill="auto"/>
            <w:tcMar>
              <w:top w:w="113" w:type="dxa"/>
              <w:bottom w:w="113" w:type="dxa"/>
            </w:tcMar>
          </w:tcPr>
          <w:p w:rsidR="00F45E5E" w:rsidRPr="00A32AF4" w:rsidRDefault="00F45E5E" w:rsidP="00DC0553">
            <w:pPr>
              <w:rPr>
                <w:rFonts w:cs="Arial"/>
                <w:sz w:val="16"/>
                <w:szCs w:val="16"/>
              </w:rPr>
            </w:pPr>
          </w:p>
        </w:tc>
        <w:tc>
          <w:tcPr>
            <w:tcW w:w="2162" w:type="pct"/>
            <w:shd w:val="clear" w:color="auto" w:fill="auto"/>
            <w:tcMar>
              <w:top w:w="113" w:type="dxa"/>
              <w:bottom w:w="113" w:type="dxa"/>
            </w:tcMar>
          </w:tcPr>
          <w:p w:rsidR="00F45E5E" w:rsidRPr="00A32AF4" w:rsidRDefault="00F45E5E" w:rsidP="00DC0553">
            <w:pPr>
              <w:rPr>
                <w:sz w:val="16"/>
                <w:szCs w:val="16"/>
              </w:rPr>
            </w:pPr>
            <w:r w:rsidRPr="00A32AF4">
              <w:rPr>
                <w:sz w:val="16"/>
                <w:szCs w:val="16"/>
              </w:rPr>
              <w:t>Pourcentage de professionnels formés en matière de propriété intellectuelle et de fonctionnaires des offices de propriété intellectuelle qui utilisent des compétences améliorées dans le cadre de leurs activités professionnelles</w:t>
            </w:r>
          </w:p>
        </w:tc>
        <w:tc>
          <w:tcPr>
            <w:tcW w:w="1069" w:type="pct"/>
            <w:shd w:val="clear" w:color="auto" w:fill="FFFFFF"/>
            <w:tcMar>
              <w:top w:w="113" w:type="dxa"/>
              <w:bottom w:w="113" w:type="dxa"/>
            </w:tcMar>
          </w:tcPr>
          <w:p w:rsidR="00F45E5E" w:rsidRPr="00A32AF4" w:rsidRDefault="00F45E5E" w:rsidP="00DC0553">
            <w:pPr>
              <w:jc w:val="center"/>
              <w:rPr>
                <w:rFonts w:cs="Arial"/>
                <w:sz w:val="16"/>
                <w:szCs w:val="16"/>
                <w:lang w:bidi="th-TH"/>
              </w:rPr>
            </w:pPr>
            <w:r w:rsidRPr="00A32AF4">
              <w:rPr>
                <w:rFonts w:cs="Arial"/>
                <w:sz w:val="16"/>
                <w:szCs w:val="16"/>
                <w:lang w:bidi="th-TH"/>
              </w:rPr>
              <w:t>Programme 10</w:t>
            </w:r>
          </w:p>
        </w:tc>
      </w:tr>
      <w:tr w:rsidR="00AD3964" w:rsidRPr="00A32AF4" w:rsidTr="00114BFD">
        <w:trPr>
          <w:cantSplit/>
        </w:trPr>
        <w:tc>
          <w:tcPr>
            <w:tcW w:w="1769" w:type="pct"/>
            <w:shd w:val="clear" w:color="auto" w:fill="auto"/>
            <w:tcMar>
              <w:top w:w="113" w:type="dxa"/>
              <w:bottom w:w="113" w:type="dxa"/>
            </w:tcMar>
          </w:tcPr>
          <w:p w:rsidR="00114BFD" w:rsidRPr="00A32AF4" w:rsidRDefault="00114BFD" w:rsidP="00DC0553">
            <w:pPr>
              <w:rPr>
                <w:rFonts w:cs="Arial"/>
                <w:sz w:val="16"/>
                <w:szCs w:val="16"/>
              </w:rPr>
            </w:pPr>
          </w:p>
        </w:tc>
        <w:tc>
          <w:tcPr>
            <w:tcW w:w="2162" w:type="pct"/>
            <w:shd w:val="clear" w:color="auto" w:fill="auto"/>
            <w:tcMar>
              <w:top w:w="113" w:type="dxa"/>
              <w:bottom w:w="113" w:type="dxa"/>
            </w:tcMar>
          </w:tcPr>
          <w:p w:rsidR="00114BFD" w:rsidRPr="00A32AF4" w:rsidRDefault="00CD25CA" w:rsidP="00DC0553">
            <w:pPr>
              <w:rPr>
                <w:rFonts w:cs="Arial"/>
                <w:sz w:val="16"/>
                <w:szCs w:val="16"/>
              </w:rPr>
            </w:pPr>
            <w:r w:rsidRPr="00A32AF4">
              <w:rPr>
                <w:sz w:val="16"/>
                <w:szCs w:val="16"/>
              </w:rPr>
              <w:t>Pourcentage des personnes formées et des supérieurs hiérarchiques satisfaits des programmes de formations créés sur la base des exercices d</w:t>
            </w:r>
            <w:r w:rsidR="00E2055A" w:rsidRPr="00A32AF4">
              <w:rPr>
                <w:sz w:val="16"/>
                <w:szCs w:val="16"/>
              </w:rPr>
              <w:t>’</w:t>
            </w:r>
            <w:r w:rsidRPr="00A32AF4">
              <w:rPr>
                <w:sz w:val="16"/>
                <w:szCs w:val="16"/>
              </w:rPr>
              <w:t>évaluation des besoins en matière de formation</w:t>
            </w:r>
          </w:p>
        </w:tc>
        <w:tc>
          <w:tcPr>
            <w:tcW w:w="1069" w:type="pct"/>
            <w:shd w:val="clear" w:color="auto" w:fill="FFFFFF"/>
            <w:tcMar>
              <w:top w:w="113" w:type="dxa"/>
              <w:bottom w:w="113" w:type="dxa"/>
            </w:tcMar>
          </w:tcPr>
          <w:p w:rsidR="00114BFD" w:rsidRPr="00A32AF4" w:rsidRDefault="00114BFD" w:rsidP="00DC0553">
            <w:pPr>
              <w:jc w:val="center"/>
              <w:rPr>
                <w:rFonts w:cs="Arial"/>
                <w:sz w:val="16"/>
                <w:szCs w:val="16"/>
                <w:lang w:bidi="th-TH"/>
              </w:rPr>
            </w:pPr>
            <w:r w:rsidRPr="00A32AF4">
              <w:rPr>
                <w:rFonts w:cs="Arial"/>
                <w:sz w:val="16"/>
                <w:szCs w:val="16"/>
                <w:lang w:bidi="th-TH"/>
              </w:rPr>
              <w:t>Programme 11</w:t>
            </w:r>
          </w:p>
        </w:tc>
      </w:tr>
      <w:tr w:rsidR="00AD3964" w:rsidRPr="00A32AF4" w:rsidTr="00114BFD">
        <w:trPr>
          <w:cantSplit/>
        </w:trPr>
        <w:tc>
          <w:tcPr>
            <w:tcW w:w="1769" w:type="pct"/>
            <w:shd w:val="clear" w:color="auto" w:fill="auto"/>
            <w:tcMar>
              <w:top w:w="113" w:type="dxa"/>
              <w:bottom w:w="113" w:type="dxa"/>
            </w:tcMar>
          </w:tcPr>
          <w:p w:rsidR="00CD25CA" w:rsidRPr="00A32AF4" w:rsidRDefault="00CD25CA" w:rsidP="00DC0553">
            <w:pPr>
              <w:rPr>
                <w:rFonts w:cs="Arial"/>
                <w:sz w:val="16"/>
                <w:szCs w:val="16"/>
              </w:rPr>
            </w:pPr>
          </w:p>
        </w:tc>
        <w:tc>
          <w:tcPr>
            <w:tcW w:w="2162" w:type="pct"/>
            <w:shd w:val="clear" w:color="auto" w:fill="auto"/>
            <w:tcMar>
              <w:top w:w="113" w:type="dxa"/>
              <w:bottom w:w="113" w:type="dxa"/>
            </w:tcMar>
          </w:tcPr>
          <w:p w:rsidR="00CD25CA" w:rsidRPr="00A32AF4" w:rsidRDefault="00CD25CA" w:rsidP="00DC0553">
            <w:pPr>
              <w:pStyle w:val="CommentText"/>
              <w:rPr>
                <w:sz w:val="16"/>
                <w:szCs w:val="16"/>
              </w:rPr>
            </w:pPr>
            <w:r w:rsidRPr="00A32AF4">
              <w:rPr>
                <w:sz w:val="16"/>
                <w:szCs w:val="16"/>
              </w:rPr>
              <w:t>Pourcentage des participants utilisant des connaissances et des compétences nouvelles dans divers domaines de la propriété intellectuelle</w:t>
            </w:r>
          </w:p>
        </w:tc>
        <w:tc>
          <w:tcPr>
            <w:tcW w:w="1069" w:type="pct"/>
            <w:shd w:val="clear" w:color="auto" w:fill="FFFFFF"/>
            <w:tcMar>
              <w:top w:w="113" w:type="dxa"/>
              <w:bottom w:w="113" w:type="dxa"/>
            </w:tcMar>
          </w:tcPr>
          <w:p w:rsidR="00CD25CA" w:rsidRPr="00A32AF4" w:rsidRDefault="00CD25CA" w:rsidP="00DC0553">
            <w:pPr>
              <w:jc w:val="center"/>
              <w:rPr>
                <w:rFonts w:cs="Arial"/>
                <w:sz w:val="16"/>
                <w:szCs w:val="16"/>
                <w:lang w:bidi="th-TH"/>
              </w:rPr>
            </w:pPr>
            <w:r w:rsidRPr="00A32AF4">
              <w:rPr>
                <w:rFonts w:cs="Arial"/>
                <w:sz w:val="16"/>
                <w:szCs w:val="16"/>
                <w:lang w:bidi="th-TH"/>
              </w:rPr>
              <w:t>Programme 11</w:t>
            </w:r>
          </w:p>
        </w:tc>
      </w:tr>
      <w:tr w:rsidR="00AD3964" w:rsidRPr="00A32AF4" w:rsidTr="00114BFD">
        <w:trPr>
          <w:cantSplit/>
        </w:trPr>
        <w:tc>
          <w:tcPr>
            <w:tcW w:w="1769" w:type="pct"/>
            <w:shd w:val="clear" w:color="auto" w:fill="auto"/>
            <w:tcMar>
              <w:top w:w="113" w:type="dxa"/>
              <w:bottom w:w="113" w:type="dxa"/>
            </w:tcMar>
          </w:tcPr>
          <w:p w:rsidR="00CD25CA" w:rsidRPr="00A32AF4" w:rsidRDefault="00CD25CA" w:rsidP="00DC0553">
            <w:pPr>
              <w:rPr>
                <w:rFonts w:cs="Arial"/>
                <w:sz w:val="16"/>
                <w:szCs w:val="16"/>
              </w:rPr>
            </w:pPr>
          </w:p>
        </w:tc>
        <w:tc>
          <w:tcPr>
            <w:tcW w:w="2162" w:type="pct"/>
            <w:shd w:val="clear" w:color="auto" w:fill="auto"/>
            <w:tcMar>
              <w:top w:w="113" w:type="dxa"/>
              <w:bottom w:w="113" w:type="dxa"/>
            </w:tcMar>
          </w:tcPr>
          <w:p w:rsidR="00CD25CA" w:rsidRPr="00A32AF4" w:rsidRDefault="00CD25CA" w:rsidP="00DC0553">
            <w:pPr>
              <w:rPr>
                <w:sz w:val="16"/>
                <w:szCs w:val="16"/>
              </w:rPr>
            </w:pPr>
            <w:r w:rsidRPr="00A32AF4">
              <w:rPr>
                <w:sz w:val="16"/>
                <w:szCs w:val="16"/>
              </w:rPr>
              <w:t>Nombre d</w:t>
            </w:r>
            <w:r w:rsidR="00E2055A" w:rsidRPr="00A32AF4">
              <w:rPr>
                <w:sz w:val="16"/>
                <w:szCs w:val="16"/>
              </w:rPr>
              <w:t>’</w:t>
            </w:r>
            <w:r w:rsidRPr="00A32AF4">
              <w:rPr>
                <w:sz w:val="16"/>
                <w:szCs w:val="16"/>
              </w:rPr>
              <w:t>accords de coopération et de partenariats conclus conformément à la nouvelle ligne de l</w:t>
            </w:r>
            <w:r w:rsidR="00E2055A" w:rsidRPr="00A32AF4">
              <w:rPr>
                <w:sz w:val="16"/>
                <w:szCs w:val="16"/>
              </w:rPr>
              <w:t>’</w:t>
            </w:r>
            <w:r w:rsidRPr="00A32AF4">
              <w:rPr>
                <w:sz w:val="16"/>
                <w:szCs w:val="16"/>
              </w:rPr>
              <w:t>Académie</w:t>
            </w:r>
          </w:p>
        </w:tc>
        <w:tc>
          <w:tcPr>
            <w:tcW w:w="1069" w:type="pct"/>
            <w:shd w:val="clear" w:color="auto" w:fill="FFFFFF"/>
            <w:tcMar>
              <w:top w:w="113" w:type="dxa"/>
              <w:bottom w:w="113" w:type="dxa"/>
            </w:tcMar>
          </w:tcPr>
          <w:p w:rsidR="00CD25CA" w:rsidRPr="00A32AF4" w:rsidRDefault="00CD25CA" w:rsidP="00DC0553">
            <w:pPr>
              <w:jc w:val="center"/>
              <w:rPr>
                <w:rFonts w:cs="Arial"/>
                <w:sz w:val="16"/>
                <w:szCs w:val="16"/>
                <w:lang w:bidi="th-TH"/>
              </w:rPr>
            </w:pPr>
            <w:r w:rsidRPr="00A32AF4">
              <w:rPr>
                <w:rFonts w:cs="Arial"/>
                <w:sz w:val="16"/>
                <w:szCs w:val="16"/>
                <w:lang w:bidi="th-TH"/>
              </w:rPr>
              <w:t>Programme 11</w:t>
            </w:r>
          </w:p>
        </w:tc>
      </w:tr>
      <w:tr w:rsidR="002B4653" w:rsidRPr="00A32AF4" w:rsidTr="00114BFD">
        <w:trPr>
          <w:cantSplit/>
        </w:trPr>
        <w:tc>
          <w:tcPr>
            <w:tcW w:w="1769" w:type="pct"/>
            <w:shd w:val="clear" w:color="auto" w:fill="auto"/>
            <w:tcMar>
              <w:top w:w="113" w:type="dxa"/>
              <w:bottom w:w="113" w:type="dxa"/>
            </w:tcMar>
          </w:tcPr>
          <w:p w:rsidR="002B4653" w:rsidRPr="00A32AF4" w:rsidRDefault="002B4653" w:rsidP="00DC0553">
            <w:pPr>
              <w:rPr>
                <w:rFonts w:cs="Arial"/>
                <w:sz w:val="16"/>
                <w:szCs w:val="16"/>
              </w:rPr>
            </w:pPr>
          </w:p>
        </w:tc>
        <w:tc>
          <w:tcPr>
            <w:tcW w:w="2162" w:type="pct"/>
            <w:shd w:val="clear" w:color="auto" w:fill="auto"/>
            <w:tcMar>
              <w:top w:w="113" w:type="dxa"/>
              <w:bottom w:w="113" w:type="dxa"/>
            </w:tcMar>
          </w:tcPr>
          <w:p w:rsidR="002B4653" w:rsidRPr="00A32AF4" w:rsidRDefault="002B4653">
            <w:pPr>
              <w:rPr>
                <w:sz w:val="16"/>
                <w:szCs w:val="16"/>
              </w:rPr>
            </w:pPr>
            <w:r w:rsidRPr="00A32AF4">
              <w:rPr>
                <w:sz w:val="16"/>
                <w:szCs w:val="16"/>
              </w:rPr>
              <w:t>Pourcentage d</w:t>
            </w:r>
            <w:r w:rsidR="00E2055A" w:rsidRPr="00A32AF4">
              <w:rPr>
                <w:sz w:val="16"/>
                <w:szCs w:val="16"/>
              </w:rPr>
              <w:t>’</w:t>
            </w:r>
            <w:r w:rsidRPr="00A32AF4">
              <w:rPr>
                <w:sz w:val="16"/>
                <w:szCs w:val="16"/>
              </w:rPr>
              <w:t>augmentation du nombre de participants suivant les cours d</w:t>
            </w:r>
            <w:r w:rsidR="00E2055A" w:rsidRPr="00A32AF4">
              <w:rPr>
                <w:sz w:val="16"/>
                <w:szCs w:val="16"/>
              </w:rPr>
              <w:t>’</w:t>
            </w:r>
            <w:r w:rsidRPr="00A32AF4">
              <w:rPr>
                <w:sz w:val="16"/>
                <w:szCs w:val="16"/>
              </w:rPr>
              <w:t>enseignement à distance de l</w:t>
            </w:r>
            <w:r w:rsidR="00E2055A" w:rsidRPr="00A32AF4">
              <w:rPr>
                <w:sz w:val="16"/>
                <w:szCs w:val="16"/>
              </w:rPr>
              <w:t>’</w:t>
            </w:r>
            <w:r w:rsidRPr="00A32AF4">
              <w:rPr>
                <w:sz w:val="16"/>
                <w:szCs w:val="16"/>
              </w:rPr>
              <w:t>Académie</w:t>
            </w:r>
          </w:p>
        </w:tc>
        <w:tc>
          <w:tcPr>
            <w:tcW w:w="1069" w:type="pct"/>
            <w:shd w:val="clear" w:color="auto" w:fill="FFFFFF"/>
            <w:tcMar>
              <w:top w:w="113" w:type="dxa"/>
              <w:bottom w:w="113" w:type="dxa"/>
            </w:tcMar>
          </w:tcPr>
          <w:p w:rsidR="002B4653" w:rsidRPr="00A32AF4" w:rsidRDefault="002B4653" w:rsidP="00DC0553">
            <w:pPr>
              <w:jc w:val="center"/>
              <w:rPr>
                <w:rFonts w:cs="Arial"/>
                <w:sz w:val="16"/>
                <w:szCs w:val="16"/>
                <w:lang w:bidi="th-TH"/>
              </w:rPr>
            </w:pPr>
            <w:r w:rsidRPr="00A32AF4">
              <w:rPr>
                <w:rFonts w:cs="Arial"/>
                <w:sz w:val="16"/>
                <w:szCs w:val="16"/>
                <w:lang w:bidi="th-TH"/>
              </w:rPr>
              <w:t>Programme 11</w:t>
            </w:r>
          </w:p>
        </w:tc>
      </w:tr>
      <w:tr w:rsidR="002B4653" w:rsidRPr="00A32AF4" w:rsidTr="00114BFD">
        <w:trPr>
          <w:cantSplit/>
        </w:trPr>
        <w:tc>
          <w:tcPr>
            <w:tcW w:w="1769" w:type="pct"/>
            <w:shd w:val="clear" w:color="auto" w:fill="auto"/>
            <w:tcMar>
              <w:top w:w="113" w:type="dxa"/>
              <w:bottom w:w="113" w:type="dxa"/>
            </w:tcMar>
          </w:tcPr>
          <w:p w:rsidR="002B4653" w:rsidRPr="00A32AF4" w:rsidRDefault="002B4653" w:rsidP="00DC0553">
            <w:pPr>
              <w:rPr>
                <w:rFonts w:cs="Arial"/>
                <w:sz w:val="16"/>
                <w:szCs w:val="16"/>
              </w:rPr>
            </w:pPr>
          </w:p>
        </w:tc>
        <w:tc>
          <w:tcPr>
            <w:tcW w:w="2162" w:type="pct"/>
            <w:shd w:val="clear" w:color="auto" w:fill="auto"/>
            <w:tcMar>
              <w:top w:w="113" w:type="dxa"/>
              <w:bottom w:w="113" w:type="dxa"/>
            </w:tcMar>
          </w:tcPr>
          <w:p w:rsidR="002B4653" w:rsidRPr="00A32AF4" w:rsidRDefault="00145008" w:rsidP="00DC0553">
            <w:pPr>
              <w:rPr>
                <w:sz w:val="16"/>
                <w:szCs w:val="16"/>
              </w:rPr>
            </w:pPr>
            <w:r w:rsidRPr="00A32AF4">
              <w:rPr>
                <w:sz w:val="16"/>
                <w:szCs w:val="16"/>
              </w:rPr>
              <w:t>Nombre de cours d</w:t>
            </w:r>
            <w:r w:rsidR="00E2055A" w:rsidRPr="00A32AF4">
              <w:rPr>
                <w:sz w:val="16"/>
                <w:szCs w:val="16"/>
              </w:rPr>
              <w:t>’</w:t>
            </w:r>
            <w:r w:rsidRPr="00A32AF4">
              <w:rPr>
                <w:sz w:val="16"/>
                <w:szCs w:val="16"/>
              </w:rPr>
              <w:t xml:space="preserve">enseignement à distance </w:t>
            </w:r>
            <w:r w:rsidR="00720A52" w:rsidRPr="00A32AF4">
              <w:rPr>
                <w:sz w:val="16"/>
                <w:szCs w:val="16"/>
              </w:rPr>
              <w:t xml:space="preserve">ayant été </w:t>
            </w:r>
            <w:r w:rsidRPr="00A32AF4">
              <w:rPr>
                <w:sz w:val="16"/>
                <w:szCs w:val="16"/>
              </w:rPr>
              <w:t>examinés et mis à jour</w:t>
            </w:r>
          </w:p>
        </w:tc>
        <w:tc>
          <w:tcPr>
            <w:tcW w:w="1069" w:type="pct"/>
            <w:shd w:val="clear" w:color="auto" w:fill="FFFFFF"/>
            <w:tcMar>
              <w:top w:w="113" w:type="dxa"/>
              <w:bottom w:w="113" w:type="dxa"/>
            </w:tcMar>
          </w:tcPr>
          <w:p w:rsidR="002B4653" w:rsidRPr="00A32AF4" w:rsidRDefault="002B4653" w:rsidP="00DC0553">
            <w:pPr>
              <w:jc w:val="center"/>
              <w:rPr>
                <w:rFonts w:cs="Arial"/>
                <w:sz w:val="16"/>
                <w:szCs w:val="16"/>
                <w:lang w:bidi="th-TH"/>
              </w:rPr>
            </w:pPr>
            <w:r w:rsidRPr="00A32AF4">
              <w:rPr>
                <w:rFonts w:cs="Arial"/>
                <w:sz w:val="16"/>
                <w:szCs w:val="16"/>
                <w:lang w:bidi="th-TH"/>
              </w:rPr>
              <w:t>Programme 11</w:t>
            </w:r>
          </w:p>
        </w:tc>
      </w:tr>
      <w:tr w:rsidR="00AD3964" w:rsidRPr="00A32AF4" w:rsidTr="00114BFD">
        <w:trPr>
          <w:cantSplit/>
        </w:trPr>
        <w:tc>
          <w:tcPr>
            <w:tcW w:w="1769" w:type="pct"/>
            <w:shd w:val="clear" w:color="auto" w:fill="auto"/>
            <w:tcMar>
              <w:top w:w="113" w:type="dxa"/>
              <w:bottom w:w="113" w:type="dxa"/>
            </w:tcMar>
          </w:tcPr>
          <w:p w:rsidR="00114BFD" w:rsidRPr="00A32AF4" w:rsidRDefault="00114BFD" w:rsidP="00DC0553">
            <w:pPr>
              <w:rPr>
                <w:rFonts w:cs="Arial"/>
                <w:sz w:val="16"/>
                <w:szCs w:val="16"/>
              </w:rPr>
            </w:pPr>
          </w:p>
        </w:tc>
        <w:tc>
          <w:tcPr>
            <w:tcW w:w="2162" w:type="pct"/>
            <w:shd w:val="clear" w:color="auto" w:fill="auto"/>
            <w:tcMar>
              <w:top w:w="113" w:type="dxa"/>
              <w:bottom w:w="113" w:type="dxa"/>
            </w:tcMar>
          </w:tcPr>
          <w:p w:rsidR="00114BFD" w:rsidRPr="00A32AF4" w:rsidRDefault="00CD25CA" w:rsidP="00DC0553">
            <w:pPr>
              <w:rPr>
                <w:rFonts w:cs="Arial"/>
                <w:sz w:val="16"/>
                <w:szCs w:val="16"/>
              </w:rPr>
            </w:pPr>
            <w:r w:rsidRPr="00A32AF4">
              <w:rPr>
                <w:sz w:val="16"/>
                <w:szCs w:val="16"/>
              </w:rPr>
              <w:t>Nombre de nouvelles académies nationales créées dans le cadre du projet devenues viables</w:t>
            </w:r>
            <w:r w:rsidR="00F92E50" w:rsidRPr="00A32AF4">
              <w:rPr>
                <w:rStyle w:val="FootnoteReference"/>
                <w:rFonts w:cs="Arial"/>
                <w:color w:val="000000"/>
                <w:sz w:val="16"/>
                <w:szCs w:val="16"/>
              </w:rPr>
              <w:footnoteReference w:id="18"/>
            </w:r>
          </w:p>
        </w:tc>
        <w:tc>
          <w:tcPr>
            <w:tcW w:w="1069" w:type="pct"/>
            <w:shd w:val="clear" w:color="auto" w:fill="FFFFFF"/>
            <w:tcMar>
              <w:top w:w="113" w:type="dxa"/>
              <w:bottom w:w="113" w:type="dxa"/>
            </w:tcMar>
          </w:tcPr>
          <w:p w:rsidR="00114BFD" w:rsidRPr="00A32AF4" w:rsidRDefault="00114BFD" w:rsidP="00DC0553">
            <w:pPr>
              <w:jc w:val="center"/>
              <w:rPr>
                <w:rFonts w:cs="Arial"/>
                <w:sz w:val="16"/>
                <w:szCs w:val="16"/>
                <w:lang w:bidi="th-TH"/>
              </w:rPr>
            </w:pPr>
            <w:r w:rsidRPr="00A32AF4">
              <w:rPr>
                <w:rFonts w:cs="Arial"/>
                <w:sz w:val="16"/>
                <w:szCs w:val="16"/>
                <w:lang w:bidi="th-TH"/>
              </w:rPr>
              <w:t>Programme 11</w:t>
            </w:r>
          </w:p>
        </w:tc>
      </w:tr>
      <w:tr w:rsidR="00AD3964" w:rsidRPr="00A32AF4" w:rsidTr="00114BFD">
        <w:trPr>
          <w:cantSplit/>
        </w:trPr>
        <w:tc>
          <w:tcPr>
            <w:tcW w:w="1769" w:type="pct"/>
            <w:shd w:val="clear" w:color="auto" w:fill="auto"/>
            <w:tcMar>
              <w:top w:w="113" w:type="dxa"/>
              <w:bottom w:w="113" w:type="dxa"/>
            </w:tcMar>
          </w:tcPr>
          <w:p w:rsidR="00114BFD" w:rsidRPr="00A32AF4" w:rsidRDefault="00114BFD" w:rsidP="00DC0553">
            <w:pPr>
              <w:rPr>
                <w:rFonts w:cs="Arial"/>
                <w:sz w:val="16"/>
                <w:szCs w:val="16"/>
              </w:rPr>
            </w:pPr>
          </w:p>
        </w:tc>
        <w:tc>
          <w:tcPr>
            <w:tcW w:w="2162" w:type="pct"/>
            <w:shd w:val="clear" w:color="auto" w:fill="auto"/>
            <w:tcMar>
              <w:top w:w="113" w:type="dxa"/>
              <w:bottom w:w="113" w:type="dxa"/>
            </w:tcMar>
          </w:tcPr>
          <w:p w:rsidR="00114BFD" w:rsidRPr="00A32AF4" w:rsidRDefault="00CD25CA" w:rsidP="00DC0553">
            <w:pPr>
              <w:rPr>
                <w:rFonts w:cs="Arial"/>
                <w:sz w:val="16"/>
                <w:szCs w:val="16"/>
              </w:rPr>
            </w:pPr>
            <w:r w:rsidRPr="00A32AF4">
              <w:rPr>
                <w:sz w:val="16"/>
                <w:szCs w:val="16"/>
              </w:rPr>
              <w:t>Nouveaux cours et programmes d</w:t>
            </w:r>
            <w:r w:rsidR="00E2055A" w:rsidRPr="00A32AF4">
              <w:rPr>
                <w:sz w:val="16"/>
                <w:szCs w:val="16"/>
              </w:rPr>
              <w:t>’</w:t>
            </w:r>
            <w:r w:rsidRPr="00A32AF4">
              <w:rPr>
                <w:sz w:val="16"/>
                <w:szCs w:val="16"/>
              </w:rPr>
              <w:t>enseignement améliorés dans le domaine de la propriété intellectuelle dispensés dans les établissements d</w:t>
            </w:r>
            <w:r w:rsidR="00E2055A" w:rsidRPr="00A32AF4">
              <w:rPr>
                <w:sz w:val="16"/>
                <w:szCs w:val="16"/>
              </w:rPr>
              <w:t>’</w:t>
            </w:r>
            <w:r w:rsidRPr="00A32AF4">
              <w:rPr>
                <w:sz w:val="16"/>
                <w:szCs w:val="16"/>
              </w:rPr>
              <w:t>enseignement</w:t>
            </w:r>
          </w:p>
        </w:tc>
        <w:tc>
          <w:tcPr>
            <w:tcW w:w="1069" w:type="pct"/>
            <w:shd w:val="clear" w:color="auto" w:fill="FFFFFF"/>
            <w:tcMar>
              <w:top w:w="113" w:type="dxa"/>
              <w:bottom w:w="113" w:type="dxa"/>
            </w:tcMar>
          </w:tcPr>
          <w:p w:rsidR="00114BFD" w:rsidRPr="00A32AF4" w:rsidRDefault="00114BFD" w:rsidP="00DC0553">
            <w:pPr>
              <w:jc w:val="center"/>
              <w:rPr>
                <w:rFonts w:cs="Arial"/>
                <w:sz w:val="16"/>
                <w:szCs w:val="16"/>
                <w:lang w:bidi="th-TH"/>
              </w:rPr>
            </w:pPr>
            <w:r w:rsidRPr="00A32AF4">
              <w:rPr>
                <w:rFonts w:cs="Arial"/>
                <w:sz w:val="16"/>
                <w:szCs w:val="16"/>
                <w:lang w:bidi="th-TH"/>
              </w:rPr>
              <w:t>Programme 11</w:t>
            </w:r>
          </w:p>
        </w:tc>
      </w:tr>
      <w:tr w:rsidR="00AD3964" w:rsidRPr="00A32AF4" w:rsidTr="00114BFD">
        <w:trPr>
          <w:cantSplit/>
        </w:trPr>
        <w:tc>
          <w:tcPr>
            <w:tcW w:w="1769" w:type="pct"/>
            <w:shd w:val="clear" w:color="auto" w:fill="auto"/>
            <w:tcMar>
              <w:top w:w="113" w:type="dxa"/>
              <w:bottom w:w="113" w:type="dxa"/>
            </w:tcMar>
          </w:tcPr>
          <w:p w:rsidR="00CD25CA" w:rsidRPr="00A32AF4" w:rsidRDefault="00CD25CA" w:rsidP="00DC0553">
            <w:pPr>
              <w:rPr>
                <w:rFonts w:cs="Arial"/>
                <w:sz w:val="16"/>
                <w:szCs w:val="16"/>
              </w:rPr>
            </w:pPr>
          </w:p>
        </w:tc>
        <w:tc>
          <w:tcPr>
            <w:tcW w:w="2162" w:type="pct"/>
            <w:shd w:val="clear" w:color="auto" w:fill="auto"/>
            <w:tcMar>
              <w:top w:w="113" w:type="dxa"/>
              <w:bottom w:w="113" w:type="dxa"/>
            </w:tcMar>
          </w:tcPr>
          <w:p w:rsidR="00CD25CA" w:rsidRPr="00A32AF4" w:rsidRDefault="00CD25CA" w:rsidP="00DC0553">
            <w:pPr>
              <w:rPr>
                <w:sz w:val="16"/>
                <w:szCs w:val="16"/>
              </w:rPr>
            </w:pPr>
            <w:r w:rsidRPr="00A32AF4">
              <w:rPr>
                <w:sz w:val="16"/>
                <w:szCs w:val="16"/>
              </w:rPr>
              <w:t>Meilleur équilibre dans la répartition géographique des cours d</w:t>
            </w:r>
            <w:r w:rsidR="00E2055A" w:rsidRPr="00A32AF4">
              <w:rPr>
                <w:sz w:val="16"/>
                <w:szCs w:val="16"/>
              </w:rPr>
              <w:t>’</w:t>
            </w:r>
            <w:r w:rsidRPr="00A32AF4">
              <w:rPr>
                <w:sz w:val="16"/>
                <w:szCs w:val="16"/>
              </w:rPr>
              <w:t>été</w:t>
            </w:r>
          </w:p>
        </w:tc>
        <w:tc>
          <w:tcPr>
            <w:tcW w:w="1069" w:type="pct"/>
            <w:shd w:val="clear" w:color="auto" w:fill="FFFFFF"/>
            <w:tcMar>
              <w:top w:w="113" w:type="dxa"/>
              <w:bottom w:w="113" w:type="dxa"/>
            </w:tcMar>
          </w:tcPr>
          <w:p w:rsidR="00CD25CA" w:rsidRPr="00A32AF4" w:rsidRDefault="00CD25CA" w:rsidP="00DC0553">
            <w:pPr>
              <w:jc w:val="center"/>
              <w:rPr>
                <w:rFonts w:cs="Arial"/>
                <w:sz w:val="16"/>
                <w:szCs w:val="16"/>
                <w:lang w:bidi="th-TH"/>
              </w:rPr>
            </w:pPr>
            <w:r w:rsidRPr="00A32AF4">
              <w:rPr>
                <w:rFonts w:cs="Arial"/>
                <w:sz w:val="16"/>
                <w:szCs w:val="16"/>
                <w:lang w:bidi="th-TH"/>
              </w:rPr>
              <w:t>Programme 11</w:t>
            </w:r>
          </w:p>
        </w:tc>
      </w:tr>
      <w:tr w:rsidR="00AD3964" w:rsidRPr="00A32AF4" w:rsidTr="00114BFD">
        <w:trPr>
          <w:cantSplit/>
        </w:trPr>
        <w:tc>
          <w:tcPr>
            <w:tcW w:w="1769" w:type="pct"/>
            <w:shd w:val="clear" w:color="auto" w:fill="auto"/>
            <w:tcMar>
              <w:top w:w="113" w:type="dxa"/>
              <w:bottom w:w="113" w:type="dxa"/>
            </w:tcMar>
          </w:tcPr>
          <w:p w:rsidR="00114BFD" w:rsidRPr="00A32AF4" w:rsidRDefault="00114BFD" w:rsidP="00DC0553">
            <w:pPr>
              <w:rPr>
                <w:rFonts w:cs="Arial"/>
                <w:sz w:val="16"/>
                <w:szCs w:val="16"/>
              </w:rPr>
            </w:pPr>
          </w:p>
        </w:tc>
        <w:tc>
          <w:tcPr>
            <w:tcW w:w="2162" w:type="pct"/>
            <w:shd w:val="clear" w:color="auto" w:fill="auto"/>
            <w:tcMar>
              <w:top w:w="113" w:type="dxa"/>
              <w:bottom w:w="113" w:type="dxa"/>
            </w:tcMar>
          </w:tcPr>
          <w:p w:rsidR="00114BFD" w:rsidRPr="00A32AF4" w:rsidRDefault="00CD25CA" w:rsidP="00DC0553">
            <w:pPr>
              <w:rPr>
                <w:rFonts w:cs="Arial"/>
                <w:sz w:val="16"/>
                <w:szCs w:val="16"/>
              </w:rPr>
            </w:pPr>
            <w:r w:rsidRPr="00A32AF4">
              <w:rPr>
                <w:sz w:val="16"/>
                <w:szCs w:val="16"/>
              </w:rPr>
              <w:t>Pourcentage de participants formés faisant état de leur satisfaction quant à l</w:t>
            </w:r>
            <w:r w:rsidR="00E2055A" w:rsidRPr="00A32AF4">
              <w:rPr>
                <w:sz w:val="16"/>
                <w:szCs w:val="16"/>
              </w:rPr>
              <w:t>’</w:t>
            </w:r>
            <w:r w:rsidRPr="00A32AF4">
              <w:rPr>
                <w:sz w:val="16"/>
                <w:szCs w:val="16"/>
              </w:rPr>
              <w:t>utilité de la formation reçue et à sa pertinence pour l</w:t>
            </w:r>
            <w:r w:rsidR="00E2055A" w:rsidRPr="00A32AF4">
              <w:rPr>
                <w:sz w:val="16"/>
                <w:szCs w:val="16"/>
              </w:rPr>
              <w:t>’</w:t>
            </w:r>
            <w:r w:rsidRPr="00A32AF4">
              <w:rPr>
                <w:sz w:val="16"/>
                <w:szCs w:val="16"/>
              </w:rPr>
              <w:t>exercice de leurs activités professionnelles</w:t>
            </w:r>
          </w:p>
        </w:tc>
        <w:tc>
          <w:tcPr>
            <w:tcW w:w="1069" w:type="pct"/>
            <w:shd w:val="clear" w:color="auto" w:fill="FFFFFF"/>
            <w:tcMar>
              <w:top w:w="113" w:type="dxa"/>
              <w:bottom w:w="113" w:type="dxa"/>
            </w:tcMar>
          </w:tcPr>
          <w:p w:rsidR="00114BFD" w:rsidRPr="00A32AF4" w:rsidRDefault="00114BFD" w:rsidP="00DC0553">
            <w:pPr>
              <w:jc w:val="center"/>
              <w:rPr>
                <w:rFonts w:cs="Arial"/>
                <w:sz w:val="16"/>
                <w:szCs w:val="16"/>
                <w:lang w:bidi="th-TH"/>
              </w:rPr>
            </w:pPr>
            <w:r w:rsidRPr="00A32AF4">
              <w:rPr>
                <w:rFonts w:cs="Arial"/>
                <w:sz w:val="16"/>
                <w:szCs w:val="16"/>
                <w:lang w:bidi="th-TH"/>
              </w:rPr>
              <w:t>Programme 17</w:t>
            </w:r>
          </w:p>
        </w:tc>
      </w:tr>
      <w:tr w:rsidR="00AD3964" w:rsidRPr="00A32AF4" w:rsidTr="00114BFD">
        <w:trPr>
          <w:cantSplit/>
        </w:trPr>
        <w:tc>
          <w:tcPr>
            <w:tcW w:w="1769" w:type="pct"/>
            <w:shd w:val="clear" w:color="auto" w:fill="auto"/>
            <w:tcMar>
              <w:top w:w="113" w:type="dxa"/>
              <w:bottom w:w="113" w:type="dxa"/>
            </w:tcMar>
          </w:tcPr>
          <w:p w:rsidR="00114BFD" w:rsidRPr="00A32AF4" w:rsidRDefault="00114BFD" w:rsidP="00DC0553">
            <w:pPr>
              <w:rPr>
                <w:rFonts w:cs="Arial"/>
                <w:sz w:val="16"/>
                <w:szCs w:val="16"/>
              </w:rPr>
            </w:pPr>
          </w:p>
        </w:tc>
        <w:tc>
          <w:tcPr>
            <w:tcW w:w="2162" w:type="pct"/>
            <w:shd w:val="clear" w:color="auto" w:fill="auto"/>
            <w:tcMar>
              <w:top w:w="113" w:type="dxa"/>
              <w:bottom w:w="113" w:type="dxa"/>
            </w:tcMar>
          </w:tcPr>
          <w:p w:rsidR="00114BFD" w:rsidRPr="00A32AF4" w:rsidRDefault="00CD25CA" w:rsidP="00DC0553">
            <w:pPr>
              <w:rPr>
                <w:rFonts w:cs="Arial"/>
                <w:sz w:val="16"/>
                <w:szCs w:val="16"/>
              </w:rPr>
            </w:pPr>
            <w:r w:rsidRPr="00A32AF4">
              <w:rPr>
                <w:rFonts w:cs="Arial"/>
                <w:sz w:val="16"/>
                <w:szCs w:val="16"/>
              </w:rPr>
              <w:t>Nombre de dispositions prises pour l</w:t>
            </w:r>
            <w:r w:rsidR="00E2055A" w:rsidRPr="00A32AF4">
              <w:rPr>
                <w:rFonts w:cs="Arial"/>
                <w:sz w:val="16"/>
                <w:szCs w:val="16"/>
              </w:rPr>
              <w:t>’</w:t>
            </w:r>
            <w:r w:rsidRPr="00A32AF4">
              <w:rPr>
                <w:rFonts w:cs="Arial"/>
                <w:sz w:val="16"/>
                <w:szCs w:val="16"/>
              </w:rPr>
              <w:t>hébergement de scientifiques de pays en développement</w:t>
            </w:r>
          </w:p>
        </w:tc>
        <w:tc>
          <w:tcPr>
            <w:tcW w:w="1069" w:type="pct"/>
            <w:shd w:val="clear" w:color="auto" w:fill="FFFFFF"/>
            <w:tcMar>
              <w:top w:w="113" w:type="dxa"/>
              <w:bottom w:w="113" w:type="dxa"/>
            </w:tcMar>
          </w:tcPr>
          <w:p w:rsidR="00114BFD" w:rsidRPr="00A32AF4" w:rsidRDefault="00114BFD" w:rsidP="00DC0553">
            <w:pPr>
              <w:jc w:val="center"/>
              <w:rPr>
                <w:rFonts w:cs="Arial"/>
                <w:sz w:val="16"/>
                <w:szCs w:val="16"/>
                <w:lang w:bidi="th-TH"/>
              </w:rPr>
            </w:pPr>
            <w:r w:rsidRPr="00A32AF4">
              <w:rPr>
                <w:rFonts w:cs="Arial"/>
                <w:sz w:val="16"/>
                <w:szCs w:val="16"/>
                <w:lang w:bidi="th-TH"/>
              </w:rPr>
              <w:t>Programme 18</w:t>
            </w:r>
          </w:p>
        </w:tc>
      </w:tr>
      <w:tr w:rsidR="00AD3964" w:rsidRPr="00A32AF4" w:rsidTr="00114BFD">
        <w:trPr>
          <w:cantSplit/>
        </w:trPr>
        <w:tc>
          <w:tcPr>
            <w:tcW w:w="1769" w:type="pct"/>
            <w:shd w:val="clear" w:color="auto" w:fill="auto"/>
            <w:tcMar>
              <w:top w:w="113" w:type="dxa"/>
              <w:bottom w:w="113" w:type="dxa"/>
            </w:tcMar>
          </w:tcPr>
          <w:p w:rsidR="00114BFD" w:rsidRPr="00A32AF4" w:rsidRDefault="00114BFD" w:rsidP="00DC0553">
            <w:pPr>
              <w:rPr>
                <w:rFonts w:cs="Arial"/>
                <w:sz w:val="16"/>
                <w:szCs w:val="16"/>
              </w:rPr>
            </w:pPr>
          </w:p>
        </w:tc>
        <w:tc>
          <w:tcPr>
            <w:tcW w:w="2162" w:type="pct"/>
            <w:shd w:val="clear" w:color="auto" w:fill="auto"/>
            <w:tcMar>
              <w:top w:w="113" w:type="dxa"/>
              <w:bottom w:w="113" w:type="dxa"/>
            </w:tcMar>
          </w:tcPr>
          <w:p w:rsidR="00114BFD" w:rsidRPr="00A32AF4" w:rsidRDefault="00CD25CA" w:rsidP="00DC0553">
            <w:pPr>
              <w:rPr>
                <w:rFonts w:cs="Arial"/>
                <w:sz w:val="16"/>
                <w:szCs w:val="16"/>
              </w:rPr>
            </w:pPr>
            <w:r w:rsidRPr="00A32AF4">
              <w:rPr>
                <w:rFonts w:cs="Arial"/>
                <w:sz w:val="16"/>
                <w:szCs w:val="16"/>
              </w:rPr>
              <w:t>Pourcentage de participants ayant suivi le module d</w:t>
            </w:r>
            <w:r w:rsidR="00E2055A" w:rsidRPr="00A32AF4">
              <w:rPr>
                <w:rFonts w:cs="Arial"/>
                <w:sz w:val="16"/>
                <w:szCs w:val="16"/>
              </w:rPr>
              <w:t>’</w:t>
            </w:r>
            <w:r w:rsidRPr="00A32AF4">
              <w:rPr>
                <w:rFonts w:cs="Arial"/>
                <w:sz w:val="16"/>
                <w:szCs w:val="16"/>
              </w:rPr>
              <w:t xml:space="preserve">enseignement à distance sur la propriété intellectuelle relative à la santé qui </w:t>
            </w:r>
            <w:proofErr w:type="gramStart"/>
            <w:r w:rsidRPr="00A32AF4">
              <w:rPr>
                <w:rFonts w:cs="Arial"/>
                <w:sz w:val="16"/>
                <w:szCs w:val="16"/>
              </w:rPr>
              <w:t>sont</w:t>
            </w:r>
            <w:proofErr w:type="gramEnd"/>
            <w:r w:rsidRPr="00A32AF4">
              <w:rPr>
                <w:rFonts w:cs="Arial"/>
                <w:sz w:val="16"/>
                <w:szCs w:val="16"/>
              </w:rPr>
              <w:t xml:space="preserve"> favorables à l</w:t>
            </w:r>
            <w:r w:rsidR="00E2055A" w:rsidRPr="00A32AF4">
              <w:rPr>
                <w:rFonts w:cs="Arial"/>
                <w:sz w:val="16"/>
                <w:szCs w:val="16"/>
              </w:rPr>
              <w:t>’</w:t>
            </w:r>
            <w:r w:rsidRPr="00A32AF4">
              <w:rPr>
                <w:rFonts w:cs="Arial"/>
                <w:sz w:val="16"/>
                <w:szCs w:val="16"/>
              </w:rPr>
              <w:t>utilisation de la propriété intellectuelle au service du développement grâce au transfert de connaissances et à l</w:t>
            </w:r>
            <w:r w:rsidR="00E2055A" w:rsidRPr="00A32AF4">
              <w:rPr>
                <w:rFonts w:cs="Arial"/>
                <w:sz w:val="16"/>
                <w:szCs w:val="16"/>
              </w:rPr>
              <w:t>’</w:t>
            </w:r>
            <w:r w:rsidRPr="00A32AF4">
              <w:rPr>
                <w:rFonts w:cs="Arial"/>
                <w:sz w:val="16"/>
                <w:szCs w:val="16"/>
              </w:rPr>
              <w:t>acquisition de compétences</w:t>
            </w:r>
          </w:p>
        </w:tc>
        <w:tc>
          <w:tcPr>
            <w:tcW w:w="1069" w:type="pct"/>
            <w:shd w:val="clear" w:color="auto" w:fill="FFFFFF"/>
            <w:tcMar>
              <w:top w:w="113" w:type="dxa"/>
              <w:bottom w:w="113" w:type="dxa"/>
            </w:tcMar>
          </w:tcPr>
          <w:p w:rsidR="00114BFD" w:rsidRPr="00A32AF4" w:rsidRDefault="00114BFD" w:rsidP="00DC0553">
            <w:pPr>
              <w:jc w:val="center"/>
              <w:rPr>
                <w:rFonts w:cs="Arial"/>
                <w:sz w:val="16"/>
                <w:szCs w:val="16"/>
                <w:lang w:bidi="th-TH"/>
              </w:rPr>
            </w:pPr>
            <w:r w:rsidRPr="00A32AF4">
              <w:rPr>
                <w:rFonts w:cs="Arial"/>
                <w:sz w:val="16"/>
                <w:szCs w:val="16"/>
                <w:lang w:bidi="th-TH"/>
              </w:rPr>
              <w:t>Programme 18</w:t>
            </w:r>
          </w:p>
        </w:tc>
      </w:tr>
      <w:tr w:rsidR="00AD3964" w:rsidRPr="00A32AF4" w:rsidTr="00114BFD">
        <w:trPr>
          <w:cantSplit/>
        </w:trPr>
        <w:tc>
          <w:tcPr>
            <w:tcW w:w="1769" w:type="pct"/>
            <w:shd w:val="clear" w:color="auto" w:fill="auto"/>
            <w:tcMar>
              <w:top w:w="113" w:type="dxa"/>
              <w:bottom w:w="113" w:type="dxa"/>
            </w:tcMar>
          </w:tcPr>
          <w:p w:rsidR="00114BFD" w:rsidRPr="00A32AF4" w:rsidRDefault="00114BFD" w:rsidP="00DC0553">
            <w:pPr>
              <w:rPr>
                <w:rFonts w:cs="Arial"/>
                <w:sz w:val="16"/>
                <w:szCs w:val="16"/>
              </w:rPr>
            </w:pPr>
          </w:p>
        </w:tc>
        <w:tc>
          <w:tcPr>
            <w:tcW w:w="2162" w:type="pct"/>
            <w:shd w:val="clear" w:color="auto" w:fill="auto"/>
            <w:tcMar>
              <w:top w:w="113" w:type="dxa"/>
              <w:bottom w:w="113" w:type="dxa"/>
            </w:tcMar>
          </w:tcPr>
          <w:p w:rsidR="00114BFD" w:rsidRPr="00A32AF4" w:rsidRDefault="003E2FD0" w:rsidP="00DC0553">
            <w:pPr>
              <w:rPr>
                <w:rFonts w:cs="Arial"/>
                <w:sz w:val="16"/>
                <w:szCs w:val="16"/>
              </w:rPr>
            </w:pPr>
            <w:r w:rsidRPr="00A32AF4">
              <w:rPr>
                <w:rFonts w:cs="Arial"/>
                <w:sz w:val="16"/>
                <w:szCs w:val="16"/>
              </w:rPr>
              <w:t>Pourcentage de décideurs, de fonctionnaires gouvernementaux, de spécialistes de la propriété intellectuelle et d</w:t>
            </w:r>
            <w:r w:rsidR="00E2055A" w:rsidRPr="00A32AF4">
              <w:rPr>
                <w:rFonts w:cs="Arial"/>
                <w:sz w:val="16"/>
                <w:szCs w:val="16"/>
              </w:rPr>
              <w:t>’</w:t>
            </w:r>
            <w:r w:rsidRPr="00A32AF4">
              <w:rPr>
                <w:rFonts w:cs="Arial"/>
                <w:sz w:val="16"/>
                <w:szCs w:val="16"/>
              </w:rPr>
              <w:t xml:space="preserve">autres groupes cibles, </w:t>
            </w:r>
            <w:r w:rsidR="00E2055A" w:rsidRPr="00A32AF4">
              <w:rPr>
                <w:rFonts w:cs="Arial"/>
                <w:sz w:val="16"/>
                <w:szCs w:val="16"/>
              </w:rPr>
              <w:t>y compris</w:t>
            </w:r>
            <w:r w:rsidRPr="00A32AF4">
              <w:rPr>
                <w:rFonts w:cs="Arial"/>
                <w:sz w:val="16"/>
                <w:szCs w:val="16"/>
              </w:rPr>
              <w:t xml:space="preserve"> les universités, les organisations de gestion collective, et les journalistes ayant une connaissance approfondie en matière de propriété intellectuelle et d</w:t>
            </w:r>
            <w:r w:rsidR="00E2055A" w:rsidRPr="00A32AF4">
              <w:rPr>
                <w:rFonts w:cs="Arial"/>
                <w:sz w:val="16"/>
                <w:szCs w:val="16"/>
              </w:rPr>
              <w:t>’</w:t>
            </w:r>
            <w:r w:rsidRPr="00A32AF4">
              <w:rPr>
                <w:rFonts w:cs="Arial"/>
                <w:sz w:val="16"/>
                <w:szCs w:val="16"/>
              </w:rPr>
              <w:t>utilisation du développement de la propriété intellectuelle</w:t>
            </w:r>
          </w:p>
        </w:tc>
        <w:tc>
          <w:tcPr>
            <w:tcW w:w="1069" w:type="pct"/>
            <w:shd w:val="clear" w:color="auto" w:fill="FFFFFF"/>
            <w:tcMar>
              <w:top w:w="113" w:type="dxa"/>
              <w:bottom w:w="113" w:type="dxa"/>
            </w:tcMar>
          </w:tcPr>
          <w:p w:rsidR="00114BFD" w:rsidRPr="00A32AF4" w:rsidRDefault="00114BFD" w:rsidP="00C314FE">
            <w:pPr>
              <w:jc w:val="center"/>
              <w:rPr>
                <w:rFonts w:cs="Arial"/>
                <w:sz w:val="16"/>
                <w:szCs w:val="16"/>
                <w:lang w:bidi="th-TH"/>
              </w:rPr>
            </w:pPr>
            <w:r w:rsidRPr="00A32AF4">
              <w:rPr>
                <w:rFonts w:cs="Arial"/>
                <w:sz w:val="16"/>
                <w:szCs w:val="16"/>
                <w:lang w:bidi="th-TH"/>
              </w:rPr>
              <w:t>Programme 20</w:t>
            </w:r>
          </w:p>
        </w:tc>
      </w:tr>
      <w:tr w:rsidR="00C314FE" w:rsidRPr="00A32AF4" w:rsidTr="00114BFD">
        <w:trPr>
          <w:cantSplit/>
        </w:trPr>
        <w:tc>
          <w:tcPr>
            <w:tcW w:w="1769" w:type="pct"/>
            <w:shd w:val="clear" w:color="auto" w:fill="auto"/>
            <w:tcMar>
              <w:top w:w="113" w:type="dxa"/>
              <w:bottom w:w="113" w:type="dxa"/>
            </w:tcMar>
          </w:tcPr>
          <w:p w:rsidR="00C314FE" w:rsidRPr="00A32AF4" w:rsidRDefault="00C314FE" w:rsidP="00DC0553">
            <w:pPr>
              <w:rPr>
                <w:rFonts w:cs="Arial"/>
                <w:sz w:val="16"/>
                <w:szCs w:val="16"/>
              </w:rPr>
            </w:pPr>
          </w:p>
        </w:tc>
        <w:tc>
          <w:tcPr>
            <w:tcW w:w="2162" w:type="pct"/>
            <w:shd w:val="clear" w:color="auto" w:fill="auto"/>
            <w:tcMar>
              <w:top w:w="113" w:type="dxa"/>
              <w:bottom w:w="113" w:type="dxa"/>
            </w:tcMar>
          </w:tcPr>
          <w:p w:rsidR="00C314FE" w:rsidRPr="00A32AF4" w:rsidRDefault="00C314FE" w:rsidP="00DC0553">
            <w:pPr>
              <w:rPr>
                <w:rFonts w:cs="Arial"/>
                <w:sz w:val="16"/>
                <w:szCs w:val="16"/>
              </w:rPr>
            </w:pPr>
            <w:r w:rsidRPr="00A32AF4">
              <w:rPr>
                <w:rFonts w:cs="Arial"/>
                <w:sz w:val="16"/>
                <w:szCs w:val="16"/>
              </w:rPr>
              <w:t>Pourcentage de professionnels de la propriété intellectuelle formés qui utilisent leurs compétences améliorées dans le cadre de leur travail</w:t>
            </w:r>
          </w:p>
        </w:tc>
        <w:tc>
          <w:tcPr>
            <w:tcW w:w="1069" w:type="pct"/>
            <w:shd w:val="clear" w:color="auto" w:fill="FFFFFF"/>
            <w:tcMar>
              <w:top w:w="113" w:type="dxa"/>
              <w:bottom w:w="113" w:type="dxa"/>
            </w:tcMar>
          </w:tcPr>
          <w:p w:rsidR="00C314FE" w:rsidRPr="00A32AF4" w:rsidRDefault="00C314FE" w:rsidP="00DC0553">
            <w:pPr>
              <w:jc w:val="center"/>
              <w:rPr>
                <w:rFonts w:cs="Arial"/>
                <w:sz w:val="16"/>
                <w:szCs w:val="16"/>
                <w:lang w:bidi="th-TH"/>
              </w:rPr>
            </w:pPr>
            <w:r w:rsidRPr="00A32AF4">
              <w:rPr>
                <w:rFonts w:cs="Arial"/>
                <w:sz w:val="16"/>
                <w:szCs w:val="16"/>
                <w:lang w:bidi="th-TH"/>
              </w:rPr>
              <w:t>Programme 30</w:t>
            </w:r>
          </w:p>
        </w:tc>
      </w:tr>
      <w:tr w:rsidR="00AD3964" w:rsidRPr="00A32AF4" w:rsidTr="00114BFD">
        <w:trPr>
          <w:cantSplit/>
        </w:trPr>
        <w:tc>
          <w:tcPr>
            <w:tcW w:w="1769" w:type="pct"/>
            <w:shd w:val="clear" w:color="auto" w:fill="auto"/>
            <w:tcMar>
              <w:top w:w="113" w:type="dxa"/>
              <w:bottom w:w="113" w:type="dxa"/>
            </w:tcMar>
          </w:tcPr>
          <w:p w:rsidR="00114BFD" w:rsidRPr="00A32AF4" w:rsidRDefault="00114BFD" w:rsidP="00DC0553">
            <w:pPr>
              <w:rPr>
                <w:rFonts w:cs="Arial"/>
                <w:sz w:val="16"/>
                <w:szCs w:val="16"/>
              </w:rPr>
            </w:pPr>
            <w:r w:rsidRPr="00A32AF4">
              <w:rPr>
                <w:rFonts w:cs="Arial"/>
                <w:sz w:val="16"/>
                <w:szCs w:val="16"/>
              </w:rPr>
              <w:t>III.3 Intégration des recommandations du Plan d</w:t>
            </w:r>
            <w:r w:rsidR="00E2055A" w:rsidRPr="00A32AF4">
              <w:rPr>
                <w:rFonts w:cs="Arial"/>
                <w:sz w:val="16"/>
                <w:szCs w:val="16"/>
              </w:rPr>
              <w:t>’</w:t>
            </w:r>
            <w:r w:rsidRPr="00A32AF4">
              <w:rPr>
                <w:rFonts w:cs="Arial"/>
                <w:sz w:val="16"/>
                <w:szCs w:val="16"/>
              </w:rPr>
              <w:t>action pour le développement dans les travaux de l</w:t>
            </w:r>
            <w:r w:rsidR="00E2055A" w:rsidRPr="00A32AF4">
              <w:rPr>
                <w:rFonts w:cs="Arial"/>
                <w:sz w:val="16"/>
                <w:szCs w:val="16"/>
              </w:rPr>
              <w:t>’</w:t>
            </w:r>
            <w:r w:rsidRPr="00A32AF4">
              <w:rPr>
                <w:rFonts w:cs="Arial"/>
                <w:sz w:val="16"/>
                <w:szCs w:val="16"/>
              </w:rPr>
              <w:t>OMPI</w:t>
            </w:r>
          </w:p>
        </w:tc>
        <w:tc>
          <w:tcPr>
            <w:tcW w:w="2162" w:type="pct"/>
            <w:shd w:val="clear" w:color="auto" w:fill="auto"/>
            <w:tcMar>
              <w:top w:w="113" w:type="dxa"/>
              <w:bottom w:w="113" w:type="dxa"/>
            </w:tcMar>
          </w:tcPr>
          <w:p w:rsidR="00114BFD" w:rsidRPr="00A32AF4" w:rsidRDefault="00D76354" w:rsidP="00DC0553">
            <w:pPr>
              <w:rPr>
                <w:rFonts w:cs="Arial"/>
                <w:sz w:val="16"/>
                <w:szCs w:val="16"/>
              </w:rPr>
            </w:pPr>
            <w:r w:rsidRPr="00A32AF4">
              <w:rPr>
                <w:sz w:val="16"/>
                <w:szCs w:val="16"/>
              </w:rPr>
              <w:t>Principes de développement énoncés dans les recommandations du Plan d</w:t>
            </w:r>
            <w:r w:rsidR="00E2055A" w:rsidRPr="00A32AF4">
              <w:rPr>
                <w:sz w:val="16"/>
                <w:szCs w:val="16"/>
              </w:rPr>
              <w:t>’</w:t>
            </w:r>
            <w:r w:rsidRPr="00A32AF4">
              <w:rPr>
                <w:sz w:val="16"/>
                <w:szCs w:val="16"/>
              </w:rPr>
              <w:t>action pour le développement efficacement intégrés dans les programmes de l</w:t>
            </w:r>
            <w:r w:rsidR="00E2055A" w:rsidRPr="00A32AF4">
              <w:rPr>
                <w:sz w:val="16"/>
                <w:szCs w:val="16"/>
              </w:rPr>
              <w:t>’</w:t>
            </w:r>
            <w:r w:rsidRPr="00A32AF4">
              <w:rPr>
                <w:sz w:val="16"/>
                <w:szCs w:val="16"/>
              </w:rPr>
              <w:t>OMPI</w:t>
            </w:r>
          </w:p>
        </w:tc>
        <w:tc>
          <w:tcPr>
            <w:tcW w:w="1069" w:type="pct"/>
            <w:shd w:val="clear" w:color="auto" w:fill="FFFFFF"/>
            <w:tcMar>
              <w:top w:w="113" w:type="dxa"/>
              <w:bottom w:w="113" w:type="dxa"/>
            </w:tcMar>
          </w:tcPr>
          <w:p w:rsidR="00114BFD" w:rsidRPr="00A32AF4" w:rsidRDefault="00114BFD" w:rsidP="00C314FE">
            <w:pPr>
              <w:jc w:val="center"/>
              <w:rPr>
                <w:rFonts w:cs="Arial"/>
                <w:sz w:val="16"/>
                <w:szCs w:val="16"/>
                <w:lang w:bidi="th-TH"/>
              </w:rPr>
            </w:pPr>
            <w:r w:rsidRPr="00A32AF4">
              <w:rPr>
                <w:rFonts w:cs="Arial"/>
                <w:sz w:val="16"/>
                <w:szCs w:val="16"/>
                <w:lang w:bidi="th-TH"/>
              </w:rPr>
              <w:t>Programme 8</w:t>
            </w:r>
          </w:p>
        </w:tc>
      </w:tr>
      <w:tr w:rsidR="00C314FE" w:rsidRPr="00A32AF4" w:rsidTr="00114BFD">
        <w:trPr>
          <w:cantSplit/>
        </w:trPr>
        <w:tc>
          <w:tcPr>
            <w:tcW w:w="1769" w:type="pct"/>
            <w:shd w:val="clear" w:color="auto" w:fill="auto"/>
            <w:tcMar>
              <w:top w:w="113" w:type="dxa"/>
              <w:bottom w:w="113" w:type="dxa"/>
            </w:tcMar>
          </w:tcPr>
          <w:p w:rsidR="00C314FE" w:rsidRPr="00A32AF4" w:rsidRDefault="00C314FE" w:rsidP="00DC0553">
            <w:pPr>
              <w:rPr>
                <w:rFonts w:cs="Arial"/>
                <w:sz w:val="16"/>
                <w:szCs w:val="16"/>
              </w:rPr>
            </w:pPr>
          </w:p>
        </w:tc>
        <w:tc>
          <w:tcPr>
            <w:tcW w:w="2162" w:type="pct"/>
            <w:shd w:val="clear" w:color="auto" w:fill="auto"/>
            <w:tcMar>
              <w:top w:w="113" w:type="dxa"/>
              <w:bottom w:w="113" w:type="dxa"/>
            </w:tcMar>
          </w:tcPr>
          <w:p w:rsidR="00C314FE" w:rsidRPr="00A32AF4" w:rsidRDefault="00C314FE" w:rsidP="00DC0553">
            <w:pPr>
              <w:rPr>
                <w:sz w:val="16"/>
                <w:szCs w:val="16"/>
              </w:rPr>
            </w:pPr>
            <w:r w:rsidRPr="00A32AF4">
              <w:rPr>
                <w:sz w:val="16"/>
                <w:szCs w:val="16"/>
              </w:rPr>
              <w:t>Suivi efficace de la mise en œuvre des recommandations de l</w:t>
            </w:r>
            <w:r w:rsidR="00E2055A" w:rsidRPr="00A32AF4">
              <w:rPr>
                <w:sz w:val="16"/>
                <w:szCs w:val="16"/>
              </w:rPr>
              <w:t>’</w:t>
            </w:r>
            <w:r w:rsidRPr="00A32AF4">
              <w:rPr>
                <w:sz w:val="16"/>
                <w:szCs w:val="16"/>
              </w:rPr>
              <w:t>examen indépendant du Plan d</w:t>
            </w:r>
            <w:r w:rsidR="00E2055A" w:rsidRPr="00A32AF4">
              <w:rPr>
                <w:sz w:val="16"/>
                <w:szCs w:val="16"/>
              </w:rPr>
              <w:t>’</w:t>
            </w:r>
            <w:r w:rsidRPr="00A32AF4">
              <w:rPr>
                <w:sz w:val="16"/>
                <w:szCs w:val="16"/>
              </w:rPr>
              <w:t>action pour le développement</w:t>
            </w:r>
          </w:p>
        </w:tc>
        <w:tc>
          <w:tcPr>
            <w:tcW w:w="1069" w:type="pct"/>
            <w:shd w:val="clear" w:color="auto" w:fill="FFFFFF"/>
            <w:tcMar>
              <w:top w:w="113" w:type="dxa"/>
              <w:bottom w:w="113" w:type="dxa"/>
            </w:tcMar>
          </w:tcPr>
          <w:p w:rsidR="00C314FE" w:rsidRPr="00A32AF4" w:rsidRDefault="00C314FE" w:rsidP="00C314FE">
            <w:pPr>
              <w:jc w:val="center"/>
              <w:rPr>
                <w:rFonts w:cs="Arial"/>
                <w:sz w:val="16"/>
                <w:szCs w:val="16"/>
                <w:lang w:bidi="th-TH"/>
              </w:rPr>
            </w:pPr>
            <w:r w:rsidRPr="00A32AF4">
              <w:rPr>
                <w:rFonts w:cs="Arial"/>
                <w:sz w:val="16"/>
                <w:szCs w:val="16"/>
                <w:lang w:bidi="th-TH"/>
              </w:rPr>
              <w:t>Programme 8</w:t>
            </w:r>
          </w:p>
        </w:tc>
      </w:tr>
      <w:tr w:rsidR="00AD3964" w:rsidRPr="00A32AF4" w:rsidTr="00114BFD">
        <w:trPr>
          <w:cantSplit/>
        </w:trPr>
        <w:tc>
          <w:tcPr>
            <w:tcW w:w="1769" w:type="pct"/>
            <w:shd w:val="clear" w:color="auto" w:fill="auto"/>
            <w:tcMar>
              <w:top w:w="113" w:type="dxa"/>
              <w:bottom w:w="113" w:type="dxa"/>
            </w:tcMar>
          </w:tcPr>
          <w:p w:rsidR="00114BFD" w:rsidRPr="00A32AF4" w:rsidRDefault="00114BFD" w:rsidP="00DC0553">
            <w:pPr>
              <w:rPr>
                <w:rFonts w:cs="Arial"/>
                <w:sz w:val="16"/>
                <w:szCs w:val="16"/>
              </w:rPr>
            </w:pPr>
          </w:p>
        </w:tc>
        <w:tc>
          <w:tcPr>
            <w:tcW w:w="2162" w:type="pct"/>
            <w:shd w:val="clear" w:color="auto" w:fill="auto"/>
            <w:tcMar>
              <w:top w:w="113" w:type="dxa"/>
              <w:bottom w:w="113" w:type="dxa"/>
            </w:tcMar>
          </w:tcPr>
          <w:p w:rsidR="00114BFD" w:rsidRPr="00A32AF4" w:rsidRDefault="00D76354" w:rsidP="00DC0553">
            <w:pPr>
              <w:rPr>
                <w:rFonts w:cs="Arial"/>
                <w:sz w:val="16"/>
                <w:szCs w:val="16"/>
              </w:rPr>
            </w:pPr>
            <w:r w:rsidRPr="00A32AF4">
              <w:rPr>
                <w:sz w:val="16"/>
                <w:szCs w:val="16"/>
              </w:rPr>
              <w:t>Mécanisme amélioré pour la création, la mise en œuvre, le suivi et l</w:t>
            </w:r>
            <w:r w:rsidR="00E2055A" w:rsidRPr="00A32AF4">
              <w:rPr>
                <w:sz w:val="16"/>
                <w:szCs w:val="16"/>
              </w:rPr>
              <w:t>’</w:t>
            </w:r>
            <w:r w:rsidRPr="00A32AF4">
              <w:rPr>
                <w:sz w:val="16"/>
                <w:szCs w:val="16"/>
              </w:rPr>
              <w:t>évaluation de nouveaux projets et de nouvelles activités relatifs au Plan d</w:t>
            </w:r>
            <w:r w:rsidR="00E2055A" w:rsidRPr="00A32AF4">
              <w:rPr>
                <w:sz w:val="16"/>
                <w:szCs w:val="16"/>
              </w:rPr>
              <w:t>’</w:t>
            </w:r>
            <w:r w:rsidRPr="00A32AF4">
              <w:rPr>
                <w:sz w:val="16"/>
                <w:szCs w:val="16"/>
              </w:rPr>
              <w:t>action pour le développement et l</w:t>
            </w:r>
            <w:r w:rsidR="00E2055A" w:rsidRPr="00A32AF4">
              <w:rPr>
                <w:sz w:val="16"/>
                <w:szCs w:val="16"/>
              </w:rPr>
              <w:t>’</w:t>
            </w:r>
            <w:r w:rsidRPr="00A32AF4">
              <w:rPr>
                <w:sz w:val="16"/>
                <w:szCs w:val="16"/>
              </w:rPr>
              <w:t>établissement de rapports sur ces projets et activités</w:t>
            </w:r>
          </w:p>
        </w:tc>
        <w:tc>
          <w:tcPr>
            <w:tcW w:w="1069" w:type="pct"/>
            <w:shd w:val="clear" w:color="auto" w:fill="FFFFFF"/>
            <w:tcMar>
              <w:top w:w="113" w:type="dxa"/>
              <w:bottom w:w="113" w:type="dxa"/>
            </w:tcMar>
          </w:tcPr>
          <w:p w:rsidR="00114BFD" w:rsidRPr="00A32AF4" w:rsidRDefault="00114BFD" w:rsidP="00DC0553">
            <w:pPr>
              <w:jc w:val="center"/>
              <w:rPr>
                <w:rFonts w:cs="Arial"/>
                <w:sz w:val="16"/>
                <w:szCs w:val="16"/>
                <w:lang w:bidi="th-TH"/>
              </w:rPr>
            </w:pPr>
            <w:r w:rsidRPr="00A32AF4">
              <w:rPr>
                <w:rFonts w:cs="Arial"/>
                <w:sz w:val="16"/>
                <w:szCs w:val="16"/>
                <w:lang w:bidi="th-TH"/>
              </w:rPr>
              <w:t>Programme 8</w:t>
            </w:r>
          </w:p>
        </w:tc>
      </w:tr>
      <w:tr w:rsidR="00AD3964" w:rsidRPr="00A32AF4" w:rsidTr="00114BFD">
        <w:trPr>
          <w:cantSplit/>
        </w:trPr>
        <w:tc>
          <w:tcPr>
            <w:tcW w:w="1769" w:type="pct"/>
            <w:shd w:val="clear" w:color="auto" w:fill="auto"/>
            <w:tcMar>
              <w:top w:w="113" w:type="dxa"/>
              <w:bottom w:w="113" w:type="dxa"/>
            </w:tcMar>
          </w:tcPr>
          <w:p w:rsidR="00114BFD" w:rsidRPr="00A32AF4" w:rsidRDefault="004F6685">
            <w:pPr>
              <w:tabs>
                <w:tab w:val="right" w:pos="2835"/>
              </w:tabs>
              <w:rPr>
                <w:rFonts w:cs="Arial"/>
                <w:sz w:val="16"/>
                <w:szCs w:val="16"/>
              </w:rPr>
            </w:pPr>
            <w:r w:rsidRPr="00A32AF4">
              <w:rPr>
                <w:rFonts w:cs="Arial"/>
                <w:sz w:val="16"/>
                <w:szCs w:val="15"/>
              </w:rPr>
              <w:t>III.4. Mécanismes et programmes de coopération renforcés, adaptés aux besoins des pays en développement</w:t>
            </w:r>
            <w:r w:rsidR="00972832" w:rsidRPr="00A32AF4">
              <w:rPr>
                <w:rFonts w:cs="Arial"/>
                <w:sz w:val="16"/>
                <w:szCs w:val="15"/>
              </w:rPr>
              <w:t>,</w:t>
            </w:r>
            <w:r w:rsidR="00E2055A" w:rsidRPr="00A32AF4">
              <w:rPr>
                <w:rFonts w:cs="Arial"/>
                <w:sz w:val="16"/>
                <w:szCs w:val="15"/>
              </w:rPr>
              <w:t xml:space="preserve"> des PMA</w:t>
            </w:r>
            <w:r w:rsidRPr="00A32AF4">
              <w:rPr>
                <w:rFonts w:cs="Arial"/>
                <w:sz w:val="16"/>
                <w:szCs w:val="15"/>
              </w:rPr>
              <w:t xml:space="preserve"> et des pays en transition</w:t>
            </w:r>
          </w:p>
        </w:tc>
        <w:tc>
          <w:tcPr>
            <w:tcW w:w="2162" w:type="pct"/>
            <w:shd w:val="clear" w:color="auto" w:fill="auto"/>
            <w:tcMar>
              <w:top w:w="113" w:type="dxa"/>
              <w:bottom w:w="113" w:type="dxa"/>
            </w:tcMar>
          </w:tcPr>
          <w:p w:rsidR="00114BFD" w:rsidRPr="00A32AF4" w:rsidRDefault="00172EB5" w:rsidP="00DC0553">
            <w:pPr>
              <w:rPr>
                <w:rFonts w:cs="Arial"/>
                <w:sz w:val="16"/>
                <w:szCs w:val="16"/>
              </w:rPr>
            </w:pPr>
            <w:r w:rsidRPr="00A32AF4">
              <w:rPr>
                <w:sz w:val="16"/>
                <w:szCs w:val="16"/>
              </w:rPr>
              <w:t>Nombre d</w:t>
            </w:r>
            <w:r w:rsidR="00E2055A" w:rsidRPr="00A32AF4">
              <w:rPr>
                <w:sz w:val="16"/>
                <w:szCs w:val="16"/>
              </w:rPr>
              <w:t>’</w:t>
            </w:r>
            <w:r w:rsidRPr="00A32AF4">
              <w:rPr>
                <w:sz w:val="16"/>
                <w:szCs w:val="16"/>
              </w:rPr>
              <w:t>accords de coopération, de projets, de programmes et de partenariats à l</w:t>
            </w:r>
            <w:r w:rsidR="00E2055A" w:rsidRPr="00A32AF4">
              <w:rPr>
                <w:sz w:val="16"/>
                <w:szCs w:val="16"/>
              </w:rPr>
              <w:t>’</w:t>
            </w:r>
            <w:r w:rsidRPr="00A32AF4">
              <w:rPr>
                <w:sz w:val="16"/>
                <w:szCs w:val="16"/>
              </w:rPr>
              <w:t>échelle nationale, sous</w:t>
            </w:r>
            <w:r w:rsidR="00EB7F54" w:rsidRPr="00A32AF4">
              <w:rPr>
                <w:sz w:val="16"/>
                <w:szCs w:val="16"/>
              </w:rPr>
              <w:noBreakHyphen/>
            </w:r>
            <w:r w:rsidRPr="00A32AF4">
              <w:rPr>
                <w:sz w:val="16"/>
                <w:szCs w:val="16"/>
              </w:rPr>
              <w:t>régionale et régionale ou interrégionale visant à promouvoir l</w:t>
            </w:r>
            <w:r w:rsidR="00E2055A" w:rsidRPr="00A32AF4">
              <w:rPr>
                <w:sz w:val="16"/>
                <w:szCs w:val="16"/>
              </w:rPr>
              <w:t>’</w:t>
            </w:r>
            <w:r w:rsidRPr="00A32AF4">
              <w:rPr>
                <w:sz w:val="16"/>
                <w:szCs w:val="16"/>
              </w:rPr>
              <w:t>utilisation efficace des systèmes de propriété intellectuelle fondée sur le partage de bonnes pratiques.</w:t>
            </w:r>
          </w:p>
        </w:tc>
        <w:tc>
          <w:tcPr>
            <w:tcW w:w="1069" w:type="pct"/>
            <w:shd w:val="clear" w:color="auto" w:fill="FFFFFF"/>
            <w:tcMar>
              <w:top w:w="113" w:type="dxa"/>
              <w:bottom w:w="113" w:type="dxa"/>
            </w:tcMar>
          </w:tcPr>
          <w:p w:rsidR="00114BFD" w:rsidRPr="00A32AF4" w:rsidRDefault="00114BFD" w:rsidP="00DC0553">
            <w:pPr>
              <w:jc w:val="center"/>
              <w:rPr>
                <w:rFonts w:cs="Arial"/>
                <w:sz w:val="16"/>
                <w:szCs w:val="16"/>
                <w:lang w:bidi="th-TH"/>
              </w:rPr>
            </w:pPr>
            <w:r w:rsidRPr="00A32AF4">
              <w:rPr>
                <w:rFonts w:cs="Arial"/>
                <w:sz w:val="16"/>
                <w:szCs w:val="16"/>
                <w:lang w:bidi="th-TH"/>
              </w:rPr>
              <w:t>Programme 9</w:t>
            </w:r>
          </w:p>
        </w:tc>
      </w:tr>
      <w:tr w:rsidR="00AD3964" w:rsidRPr="00A32AF4" w:rsidTr="00114BFD">
        <w:trPr>
          <w:cantSplit/>
        </w:trPr>
        <w:tc>
          <w:tcPr>
            <w:tcW w:w="1769" w:type="pct"/>
            <w:shd w:val="clear" w:color="auto" w:fill="auto"/>
            <w:tcMar>
              <w:top w:w="113" w:type="dxa"/>
              <w:bottom w:w="113" w:type="dxa"/>
            </w:tcMar>
          </w:tcPr>
          <w:p w:rsidR="00F45E5E" w:rsidRPr="00A32AF4" w:rsidRDefault="00F45E5E" w:rsidP="00DC0553">
            <w:pPr>
              <w:rPr>
                <w:rFonts w:cs="Arial"/>
                <w:sz w:val="16"/>
                <w:szCs w:val="16"/>
              </w:rPr>
            </w:pPr>
          </w:p>
        </w:tc>
        <w:tc>
          <w:tcPr>
            <w:tcW w:w="2162" w:type="pct"/>
            <w:shd w:val="clear" w:color="auto" w:fill="auto"/>
            <w:tcMar>
              <w:top w:w="113" w:type="dxa"/>
              <w:bottom w:w="113" w:type="dxa"/>
            </w:tcMar>
          </w:tcPr>
          <w:p w:rsidR="00F45E5E" w:rsidRPr="00A32AF4" w:rsidRDefault="00F45E5E" w:rsidP="00DC0553">
            <w:pPr>
              <w:rPr>
                <w:sz w:val="16"/>
                <w:szCs w:val="16"/>
              </w:rPr>
            </w:pPr>
            <w:r w:rsidRPr="00A32AF4">
              <w:rPr>
                <w:sz w:val="16"/>
                <w:szCs w:val="16"/>
              </w:rPr>
              <w:t>Nombre de partenariats établis</w:t>
            </w:r>
          </w:p>
        </w:tc>
        <w:tc>
          <w:tcPr>
            <w:tcW w:w="1069" w:type="pct"/>
            <w:shd w:val="clear" w:color="auto" w:fill="FFFFFF"/>
            <w:tcMar>
              <w:top w:w="113" w:type="dxa"/>
              <w:bottom w:w="113" w:type="dxa"/>
            </w:tcMar>
          </w:tcPr>
          <w:p w:rsidR="00F45E5E" w:rsidRPr="00A32AF4" w:rsidRDefault="00F45E5E" w:rsidP="00DC0553">
            <w:pPr>
              <w:jc w:val="center"/>
              <w:rPr>
                <w:rFonts w:cs="Arial"/>
                <w:sz w:val="16"/>
                <w:szCs w:val="16"/>
                <w:lang w:bidi="th-TH"/>
              </w:rPr>
            </w:pPr>
            <w:r w:rsidRPr="00A32AF4">
              <w:rPr>
                <w:rFonts w:cs="Arial"/>
                <w:sz w:val="16"/>
                <w:szCs w:val="16"/>
                <w:lang w:bidi="th-TH"/>
              </w:rPr>
              <w:t>Programme 10</w:t>
            </w:r>
          </w:p>
        </w:tc>
      </w:tr>
      <w:tr w:rsidR="00AD3964" w:rsidRPr="00A32AF4" w:rsidTr="00114BFD">
        <w:trPr>
          <w:cantSplit/>
        </w:trPr>
        <w:tc>
          <w:tcPr>
            <w:tcW w:w="1769" w:type="pct"/>
            <w:shd w:val="clear" w:color="auto" w:fill="auto"/>
            <w:tcMar>
              <w:top w:w="113" w:type="dxa"/>
              <w:bottom w:w="113" w:type="dxa"/>
            </w:tcMar>
          </w:tcPr>
          <w:p w:rsidR="00D76354" w:rsidRPr="00A32AF4" w:rsidRDefault="00D76354" w:rsidP="00DC0553">
            <w:pPr>
              <w:rPr>
                <w:rFonts w:cs="Arial"/>
                <w:sz w:val="16"/>
                <w:szCs w:val="16"/>
              </w:rPr>
            </w:pPr>
            <w:r w:rsidRPr="00A32AF4">
              <w:rPr>
                <w:rFonts w:cs="Arial"/>
                <w:sz w:val="16"/>
                <w:szCs w:val="16"/>
              </w:rPr>
              <w:t>III.5 Meilleure connaissance du Plan d</w:t>
            </w:r>
            <w:r w:rsidR="00E2055A" w:rsidRPr="00A32AF4">
              <w:rPr>
                <w:rFonts w:cs="Arial"/>
                <w:sz w:val="16"/>
                <w:szCs w:val="16"/>
              </w:rPr>
              <w:t>’</w:t>
            </w:r>
            <w:r w:rsidRPr="00A32AF4">
              <w:rPr>
                <w:rFonts w:cs="Arial"/>
                <w:sz w:val="16"/>
                <w:szCs w:val="16"/>
              </w:rPr>
              <w:t>action pour le développement de la part des États membres, des organisations intergouvernementales, de la société civile et d</w:t>
            </w:r>
            <w:r w:rsidR="00E2055A" w:rsidRPr="00A32AF4">
              <w:rPr>
                <w:rFonts w:cs="Arial"/>
                <w:sz w:val="16"/>
                <w:szCs w:val="16"/>
              </w:rPr>
              <w:t>’</w:t>
            </w:r>
            <w:r w:rsidRPr="00A32AF4">
              <w:rPr>
                <w:rFonts w:cs="Arial"/>
                <w:sz w:val="16"/>
                <w:szCs w:val="16"/>
              </w:rPr>
              <w:t>autres parties prenantes</w:t>
            </w:r>
          </w:p>
        </w:tc>
        <w:tc>
          <w:tcPr>
            <w:tcW w:w="2162" w:type="pct"/>
            <w:shd w:val="clear" w:color="auto" w:fill="auto"/>
            <w:tcMar>
              <w:top w:w="113" w:type="dxa"/>
              <w:bottom w:w="113" w:type="dxa"/>
            </w:tcMar>
          </w:tcPr>
          <w:p w:rsidR="00D76354" w:rsidRPr="00A32AF4" w:rsidRDefault="00D76354" w:rsidP="00DC0553">
            <w:pPr>
              <w:rPr>
                <w:sz w:val="16"/>
                <w:szCs w:val="16"/>
              </w:rPr>
            </w:pPr>
            <w:r w:rsidRPr="00A32AF4">
              <w:rPr>
                <w:sz w:val="16"/>
                <w:szCs w:val="16"/>
              </w:rPr>
              <w:t>Les activités d</w:t>
            </w:r>
            <w:r w:rsidR="00E2055A" w:rsidRPr="00A32AF4">
              <w:rPr>
                <w:sz w:val="16"/>
                <w:szCs w:val="16"/>
              </w:rPr>
              <w:t>’</w:t>
            </w:r>
            <w:r w:rsidRPr="00A32AF4">
              <w:rPr>
                <w:sz w:val="16"/>
                <w:szCs w:val="16"/>
              </w:rPr>
              <w:t>assistance technique menées par l</w:t>
            </w:r>
            <w:r w:rsidR="00E2055A" w:rsidRPr="00A32AF4">
              <w:rPr>
                <w:sz w:val="16"/>
                <w:szCs w:val="16"/>
              </w:rPr>
              <w:t>’</w:t>
            </w:r>
            <w:r w:rsidRPr="00A32AF4">
              <w:rPr>
                <w:sz w:val="16"/>
                <w:szCs w:val="16"/>
              </w:rPr>
              <w:t>OMPI tiennent compte de la dimension du Plan d</w:t>
            </w:r>
            <w:r w:rsidR="00E2055A" w:rsidRPr="00A32AF4">
              <w:rPr>
                <w:sz w:val="16"/>
                <w:szCs w:val="16"/>
              </w:rPr>
              <w:t>’</w:t>
            </w:r>
            <w:r w:rsidRPr="00A32AF4">
              <w:rPr>
                <w:sz w:val="16"/>
                <w:szCs w:val="16"/>
              </w:rPr>
              <w:t>action pour le développement et des résultats des projets relatifs au Plan d</w:t>
            </w:r>
            <w:r w:rsidR="00E2055A" w:rsidRPr="00A32AF4">
              <w:rPr>
                <w:sz w:val="16"/>
                <w:szCs w:val="16"/>
              </w:rPr>
              <w:t>’</w:t>
            </w:r>
            <w:r w:rsidRPr="00A32AF4">
              <w:rPr>
                <w:sz w:val="16"/>
                <w:szCs w:val="16"/>
              </w:rPr>
              <w:t>action pour le développement.</w:t>
            </w:r>
          </w:p>
        </w:tc>
        <w:tc>
          <w:tcPr>
            <w:tcW w:w="1069" w:type="pct"/>
            <w:shd w:val="clear" w:color="auto" w:fill="FFFFFF"/>
            <w:tcMar>
              <w:top w:w="113" w:type="dxa"/>
              <w:bottom w:w="113" w:type="dxa"/>
            </w:tcMar>
          </w:tcPr>
          <w:p w:rsidR="00D76354" w:rsidRPr="00A32AF4" w:rsidRDefault="00D76354" w:rsidP="00DC0553">
            <w:pPr>
              <w:jc w:val="center"/>
              <w:rPr>
                <w:rFonts w:cs="Arial"/>
                <w:sz w:val="16"/>
                <w:szCs w:val="16"/>
                <w:lang w:bidi="th-TH"/>
              </w:rPr>
            </w:pPr>
            <w:r w:rsidRPr="00A32AF4">
              <w:rPr>
                <w:rFonts w:cs="Arial"/>
                <w:sz w:val="16"/>
                <w:szCs w:val="16"/>
                <w:lang w:bidi="th-TH"/>
              </w:rPr>
              <w:t>Programme 8</w:t>
            </w:r>
          </w:p>
        </w:tc>
      </w:tr>
      <w:tr w:rsidR="00AD3964" w:rsidRPr="00A32AF4" w:rsidTr="00114BFD">
        <w:trPr>
          <w:cantSplit/>
        </w:trPr>
        <w:tc>
          <w:tcPr>
            <w:tcW w:w="1769" w:type="pct"/>
            <w:shd w:val="clear" w:color="auto" w:fill="auto"/>
            <w:tcMar>
              <w:top w:w="113" w:type="dxa"/>
              <w:bottom w:w="113" w:type="dxa"/>
            </w:tcMar>
          </w:tcPr>
          <w:p w:rsidR="00D76354" w:rsidRPr="00A32AF4" w:rsidRDefault="00D76354" w:rsidP="00DC0553">
            <w:pPr>
              <w:rPr>
                <w:rFonts w:cs="Arial"/>
                <w:sz w:val="16"/>
                <w:szCs w:val="16"/>
              </w:rPr>
            </w:pPr>
          </w:p>
        </w:tc>
        <w:tc>
          <w:tcPr>
            <w:tcW w:w="2162" w:type="pct"/>
            <w:shd w:val="clear" w:color="auto" w:fill="auto"/>
            <w:tcMar>
              <w:top w:w="113" w:type="dxa"/>
              <w:bottom w:w="113" w:type="dxa"/>
            </w:tcMar>
          </w:tcPr>
          <w:p w:rsidR="00D76354" w:rsidRPr="00A32AF4" w:rsidRDefault="00D76354" w:rsidP="00DC0553">
            <w:pPr>
              <w:rPr>
                <w:sz w:val="16"/>
                <w:szCs w:val="16"/>
              </w:rPr>
            </w:pPr>
            <w:r w:rsidRPr="00A32AF4">
              <w:rPr>
                <w:sz w:val="16"/>
                <w:szCs w:val="16"/>
              </w:rPr>
              <w:t>Pourcentage de participants satisfaits dans les manifestations relatives au Plan d</w:t>
            </w:r>
            <w:r w:rsidR="00E2055A" w:rsidRPr="00A32AF4">
              <w:rPr>
                <w:sz w:val="16"/>
                <w:szCs w:val="16"/>
              </w:rPr>
              <w:t>’</w:t>
            </w:r>
            <w:r w:rsidRPr="00A32AF4">
              <w:rPr>
                <w:sz w:val="16"/>
                <w:szCs w:val="16"/>
              </w:rPr>
              <w:t>action de l</w:t>
            </w:r>
            <w:r w:rsidR="00E2055A" w:rsidRPr="00A32AF4">
              <w:rPr>
                <w:sz w:val="16"/>
                <w:szCs w:val="16"/>
              </w:rPr>
              <w:t>’</w:t>
            </w:r>
            <w:r w:rsidRPr="00A32AF4">
              <w:rPr>
                <w:sz w:val="16"/>
                <w:szCs w:val="16"/>
              </w:rPr>
              <w:t>OMPI pour le développement visant les États membres, les organisations intergouvernementales, la société civile et d</w:t>
            </w:r>
            <w:r w:rsidR="00E2055A" w:rsidRPr="00A32AF4">
              <w:rPr>
                <w:sz w:val="16"/>
                <w:szCs w:val="16"/>
              </w:rPr>
              <w:t>’</w:t>
            </w:r>
            <w:r w:rsidRPr="00A32AF4">
              <w:rPr>
                <w:sz w:val="16"/>
                <w:szCs w:val="16"/>
              </w:rPr>
              <w:t>autres parties prenantes</w:t>
            </w:r>
          </w:p>
        </w:tc>
        <w:tc>
          <w:tcPr>
            <w:tcW w:w="1069" w:type="pct"/>
            <w:shd w:val="clear" w:color="auto" w:fill="FFFFFF"/>
            <w:tcMar>
              <w:top w:w="113" w:type="dxa"/>
              <w:bottom w:w="113" w:type="dxa"/>
            </w:tcMar>
          </w:tcPr>
          <w:p w:rsidR="00D76354" w:rsidRPr="00A32AF4" w:rsidRDefault="00D76354" w:rsidP="00DC0553">
            <w:pPr>
              <w:jc w:val="center"/>
              <w:rPr>
                <w:rFonts w:cs="Arial"/>
                <w:sz w:val="16"/>
                <w:szCs w:val="16"/>
                <w:lang w:bidi="th-TH"/>
              </w:rPr>
            </w:pPr>
            <w:r w:rsidRPr="00A32AF4">
              <w:rPr>
                <w:rFonts w:cs="Arial"/>
                <w:sz w:val="16"/>
                <w:szCs w:val="16"/>
                <w:lang w:bidi="th-TH"/>
              </w:rPr>
              <w:t>Programme 8</w:t>
            </w:r>
          </w:p>
        </w:tc>
      </w:tr>
      <w:tr w:rsidR="00AD3964" w:rsidRPr="00A32AF4" w:rsidTr="00114BFD">
        <w:trPr>
          <w:cantSplit/>
        </w:trPr>
        <w:tc>
          <w:tcPr>
            <w:tcW w:w="1769" w:type="pct"/>
            <w:shd w:val="clear" w:color="auto" w:fill="auto"/>
            <w:tcMar>
              <w:top w:w="113" w:type="dxa"/>
              <w:bottom w:w="113" w:type="dxa"/>
            </w:tcMar>
          </w:tcPr>
          <w:p w:rsidR="00F45E5E" w:rsidRPr="00A32AF4" w:rsidRDefault="00F45E5E" w:rsidP="00DC0553">
            <w:pPr>
              <w:keepNext/>
              <w:keepLines/>
              <w:rPr>
                <w:rFonts w:cs="Arial"/>
                <w:sz w:val="16"/>
                <w:szCs w:val="16"/>
              </w:rPr>
            </w:pPr>
            <w:r w:rsidRPr="00A32AF4">
              <w:rPr>
                <w:rFonts w:cs="Arial"/>
                <w:sz w:val="16"/>
                <w:szCs w:val="16"/>
              </w:rPr>
              <w:t>III.6 Renforcement des capacités</w:t>
            </w:r>
            <w:r w:rsidR="00E2055A" w:rsidRPr="00A32AF4">
              <w:rPr>
                <w:rFonts w:cs="Arial"/>
                <w:sz w:val="16"/>
                <w:szCs w:val="16"/>
              </w:rPr>
              <w:t xml:space="preserve"> des PME</w:t>
            </w:r>
            <w:r w:rsidRPr="00A32AF4">
              <w:rPr>
                <w:rFonts w:cs="Arial"/>
                <w:sz w:val="16"/>
                <w:szCs w:val="16"/>
              </w:rPr>
              <w:t xml:space="preserve"> s</w:t>
            </w:r>
            <w:r w:rsidR="00E2055A" w:rsidRPr="00A32AF4">
              <w:rPr>
                <w:rFonts w:cs="Arial"/>
                <w:sz w:val="16"/>
                <w:szCs w:val="16"/>
              </w:rPr>
              <w:t>’</w:t>
            </w:r>
            <w:r w:rsidRPr="00A32AF4">
              <w:rPr>
                <w:rFonts w:cs="Arial"/>
                <w:sz w:val="16"/>
                <w:szCs w:val="16"/>
              </w:rPr>
              <w:t>agissant de mettre la propriété intellectuelle au service de l</w:t>
            </w:r>
            <w:r w:rsidR="00E2055A" w:rsidRPr="00A32AF4">
              <w:rPr>
                <w:rFonts w:cs="Arial"/>
                <w:sz w:val="16"/>
                <w:szCs w:val="16"/>
              </w:rPr>
              <w:t>’</w:t>
            </w:r>
            <w:r w:rsidRPr="00A32AF4">
              <w:rPr>
                <w:rFonts w:cs="Arial"/>
                <w:sz w:val="16"/>
                <w:szCs w:val="16"/>
              </w:rPr>
              <w:t>innovation</w:t>
            </w:r>
          </w:p>
        </w:tc>
        <w:tc>
          <w:tcPr>
            <w:tcW w:w="2162" w:type="pct"/>
            <w:shd w:val="clear" w:color="auto" w:fill="auto"/>
            <w:tcMar>
              <w:top w:w="113" w:type="dxa"/>
              <w:bottom w:w="113" w:type="dxa"/>
            </w:tcMar>
          </w:tcPr>
          <w:p w:rsidR="00F45E5E" w:rsidRPr="00A32AF4" w:rsidRDefault="00ED0DE8" w:rsidP="00DC0553">
            <w:pPr>
              <w:keepNext/>
              <w:keepLines/>
              <w:rPr>
                <w:rFonts w:cs="Arial"/>
                <w:sz w:val="16"/>
                <w:szCs w:val="16"/>
              </w:rPr>
            </w:pPr>
            <w:r w:rsidRPr="00A32AF4">
              <w:rPr>
                <w:sz w:val="16"/>
                <w:szCs w:val="16"/>
              </w:rPr>
              <w:t>Nombre d</w:t>
            </w:r>
            <w:r w:rsidR="00E2055A" w:rsidRPr="00A32AF4">
              <w:rPr>
                <w:sz w:val="16"/>
                <w:szCs w:val="16"/>
              </w:rPr>
              <w:t>’</w:t>
            </w:r>
            <w:r w:rsidRPr="00A32AF4">
              <w:rPr>
                <w:sz w:val="16"/>
                <w:szCs w:val="16"/>
              </w:rPr>
              <w:t>abonnements au bulletin des PME</w:t>
            </w:r>
          </w:p>
        </w:tc>
        <w:tc>
          <w:tcPr>
            <w:tcW w:w="1069" w:type="pct"/>
            <w:shd w:val="clear" w:color="auto" w:fill="FFFFFF"/>
            <w:tcMar>
              <w:top w:w="113" w:type="dxa"/>
              <w:bottom w:w="113" w:type="dxa"/>
            </w:tcMar>
          </w:tcPr>
          <w:p w:rsidR="00F45E5E" w:rsidRPr="00A32AF4" w:rsidRDefault="003956FB" w:rsidP="00DC0553">
            <w:pPr>
              <w:keepNext/>
              <w:keepLines/>
              <w:jc w:val="center"/>
              <w:rPr>
                <w:rFonts w:cs="Arial"/>
                <w:sz w:val="16"/>
                <w:szCs w:val="16"/>
                <w:lang w:bidi="th-TH"/>
              </w:rPr>
            </w:pPr>
            <w:r w:rsidRPr="00A32AF4">
              <w:rPr>
                <w:rFonts w:cs="Arial"/>
                <w:sz w:val="16"/>
                <w:szCs w:val="16"/>
                <w:lang w:bidi="th-TH"/>
              </w:rPr>
              <w:t>Programme 30</w:t>
            </w:r>
          </w:p>
        </w:tc>
      </w:tr>
      <w:tr w:rsidR="003956FB" w:rsidRPr="00A32AF4" w:rsidTr="00114BFD">
        <w:trPr>
          <w:cantSplit/>
        </w:trPr>
        <w:tc>
          <w:tcPr>
            <w:tcW w:w="1769" w:type="pct"/>
            <w:shd w:val="clear" w:color="auto" w:fill="auto"/>
            <w:tcMar>
              <w:top w:w="113" w:type="dxa"/>
              <w:bottom w:w="113" w:type="dxa"/>
            </w:tcMar>
          </w:tcPr>
          <w:p w:rsidR="003956FB" w:rsidRPr="00A32AF4" w:rsidRDefault="003956FB" w:rsidP="00DC0553">
            <w:pPr>
              <w:keepNext/>
              <w:keepLines/>
              <w:rPr>
                <w:rFonts w:cs="Arial"/>
                <w:sz w:val="16"/>
                <w:szCs w:val="16"/>
              </w:rPr>
            </w:pPr>
          </w:p>
        </w:tc>
        <w:tc>
          <w:tcPr>
            <w:tcW w:w="2162" w:type="pct"/>
            <w:tcBorders>
              <w:bottom w:val="nil"/>
            </w:tcBorders>
            <w:shd w:val="clear" w:color="auto" w:fill="auto"/>
            <w:tcMar>
              <w:top w:w="113" w:type="dxa"/>
              <w:bottom w:w="113" w:type="dxa"/>
            </w:tcMar>
          </w:tcPr>
          <w:p w:rsidR="003956FB" w:rsidRPr="00A32AF4" w:rsidRDefault="00ED0DE8" w:rsidP="00DC0553">
            <w:pPr>
              <w:keepNext/>
              <w:keepLines/>
              <w:rPr>
                <w:rFonts w:cs="Arial"/>
                <w:sz w:val="16"/>
                <w:szCs w:val="16"/>
              </w:rPr>
            </w:pPr>
            <w:r w:rsidRPr="00A32AF4">
              <w:rPr>
                <w:sz w:val="16"/>
                <w:szCs w:val="16"/>
                <w:lang w:bidi="th-TH"/>
              </w:rPr>
              <w:t>Nombre de téléchargements de supports et directives concernant les PME</w:t>
            </w:r>
          </w:p>
        </w:tc>
        <w:tc>
          <w:tcPr>
            <w:tcW w:w="1069" w:type="pct"/>
            <w:tcBorders>
              <w:bottom w:val="nil"/>
            </w:tcBorders>
            <w:shd w:val="clear" w:color="auto" w:fill="FFFFFF"/>
            <w:tcMar>
              <w:top w:w="113" w:type="dxa"/>
              <w:bottom w:w="113" w:type="dxa"/>
            </w:tcMar>
          </w:tcPr>
          <w:p w:rsidR="003956FB" w:rsidRPr="00A32AF4" w:rsidRDefault="003956FB" w:rsidP="00DC0553">
            <w:pPr>
              <w:keepNext/>
              <w:keepLines/>
              <w:jc w:val="center"/>
              <w:rPr>
                <w:rFonts w:cs="Arial"/>
                <w:sz w:val="16"/>
                <w:szCs w:val="16"/>
                <w:lang w:bidi="th-TH"/>
              </w:rPr>
            </w:pPr>
            <w:r w:rsidRPr="00A32AF4">
              <w:rPr>
                <w:rFonts w:cs="Arial"/>
                <w:sz w:val="16"/>
                <w:szCs w:val="16"/>
                <w:lang w:bidi="th-TH"/>
              </w:rPr>
              <w:t>Programme 30</w:t>
            </w:r>
          </w:p>
        </w:tc>
      </w:tr>
      <w:tr w:rsidR="003956FB" w:rsidRPr="00A32AF4" w:rsidTr="00114BFD">
        <w:trPr>
          <w:cantSplit/>
        </w:trPr>
        <w:tc>
          <w:tcPr>
            <w:tcW w:w="1769" w:type="pct"/>
            <w:shd w:val="clear" w:color="auto" w:fill="auto"/>
            <w:tcMar>
              <w:top w:w="113" w:type="dxa"/>
              <w:bottom w:w="113" w:type="dxa"/>
            </w:tcMar>
          </w:tcPr>
          <w:p w:rsidR="003956FB" w:rsidRPr="00A32AF4" w:rsidRDefault="003956FB" w:rsidP="00DC0553">
            <w:pPr>
              <w:keepNext/>
              <w:keepLines/>
              <w:rPr>
                <w:rFonts w:cs="Arial"/>
                <w:sz w:val="16"/>
                <w:szCs w:val="16"/>
              </w:rPr>
            </w:pPr>
          </w:p>
        </w:tc>
        <w:tc>
          <w:tcPr>
            <w:tcW w:w="2162" w:type="pct"/>
            <w:tcBorders>
              <w:bottom w:val="nil"/>
            </w:tcBorders>
            <w:shd w:val="clear" w:color="auto" w:fill="auto"/>
            <w:tcMar>
              <w:top w:w="113" w:type="dxa"/>
              <w:bottom w:w="113" w:type="dxa"/>
            </w:tcMar>
          </w:tcPr>
          <w:p w:rsidR="003956FB" w:rsidRPr="00A32AF4" w:rsidRDefault="003956FB" w:rsidP="00DC0553">
            <w:pPr>
              <w:keepNext/>
              <w:keepLines/>
              <w:rPr>
                <w:rFonts w:cs="Arial"/>
                <w:sz w:val="16"/>
                <w:szCs w:val="16"/>
              </w:rPr>
            </w:pPr>
            <w:r w:rsidRPr="00A32AF4">
              <w:rPr>
                <w:rFonts w:cs="Arial"/>
                <w:sz w:val="16"/>
                <w:szCs w:val="16"/>
              </w:rPr>
              <w:t>Pourcentage des participants à des programmes de formation visant les institutions d</w:t>
            </w:r>
            <w:r w:rsidR="00E2055A" w:rsidRPr="00A32AF4">
              <w:rPr>
                <w:rFonts w:cs="Arial"/>
                <w:sz w:val="16"/>
                <w:szCs w:val="16"/>
              </w:rPr>
              <w:t>’</w:t>
            </w:r>
            <w:r w:rsidRPr="00A32AF4">
              <w:rPr>
                <w:rFonts w:cs="Arial"/>
                <w:sz w:val="16"/>
                <w:szCs w:val="16"/>
              </w:rPr>
              <w:t>appui aux PME qui se sont dits satisfaits du contenu et de l</w:t>
            </w:r>
            <w:r w:rsidR="00E2055A" w:rsidRPr="00A32AF4">
              <w:rPr>
                <w:rFonts w:cs="Arial"/>
                <w:sz w:val="16"/>
                <w:szCs w:val="16"/>
              </w:rPr>
              <w:t>’</w:t>
            </w:r>
            <w:r w:rsidRPr="00A32AF4">
              <w:rPr>
                <w:rFonts w:cs="Arial"/>
                <w:sz w:val="16"/>
                <w:szCs w:val="16"/>
              </w:rPr>
              <w:t>organisation de ces événements</w:t>
            </w:r>
          </w:p>
        </w:tc>
        <w:tc>
          <w:tcPr>
            <w:tcW w:w="1069" w:type="pct"/>
            <w:tcBorders>
              <w:bottom w:val="nil"/>
            </w:tcBorders>
            <w:shd w:val="clear" w:color="auto" w:fill="FFFFFF"/>
            <w:tcMar>
              <w:top w:w="113" w:type="dxa"/>
              <w:bottom w:w="113" w:type="dxa"/>
            </w:tcMar>
          </w:tcPr>
          <w:p w:rsidR="003956FB" w:rsidRPr="00A32AF4" w:rsidRDefault="003956FB" w:rsidP="00DC0553">
            <w:pPr>
              <w:keepNext/>
              <w:keepLines/>
              <w:jc w:val="center"/>
              <w:rPr>
                <w:rFonts w:cs="Arial"/>
                <w:sz w:val="16"/>
                <w:szCs w:val="16"/>
                <w:lang w:bidi="th-TH"/>
              </w:rPr>
            </w:pPr>
            <w:r w:rsidRPr="00A32AF4">
              <w:rPr>
                <w:rFonts w:cs="Arial"/>
                <w:sz w:val="16"/>
                <w:szCs w:val="16"/>
                <w:lang w:bidi="th-TH"/>
              </w:rPr>
              <w:t>Programme 30</w:t>
            </w:r>
          </w:p>
        </w:tc>
      </w:tr>
      <w:tr w:rsidR="00AD3964" w:rsidRPr="00A32AF4" w:rsidTr="001453BE">
        <w:trPr>
          <w:cantSplit/>
        </w:trPr>
        <w:tc>
          <w:tcPr>
            <w:tcW w:w="1769" w:type="pct"/>
            <w:shd w:val="clear" w:color="auto" w:fill="auto"/>
            <w:tcMar>
              <w:top w:w="113" w:type="dxa"/>
              <w:bottom w:w="113" w:type="dxa"/>
            </w:tcMar>
          </w:tcPr>
          <w:p w:rsidR="00F45E5E" w:rsidRPr="00A32AF4" w:rsidRDefault="00F45E5E" w:rsidP="00DC0553">
            <w:pPr>
              <w:keepNext/>
              <w:keepLines/>
              <w:rPr>
                <w:rFonts w:cs="Arial"/>
                <w:sz w:val="16"/>
                <w:szCs w:val="16"/>
              </w:rPr>
            </w:pPr>
          </w:p>
        </w:tc>
        <w:tc>
          <w:tcPr>
            <w:tcW w:w="2162" w:type="pct"/>
            <w:tcBorders>
              <w:bottom w:val="nil"/>
            </w:tcBorders>
            <w:shd w:val="clear" w:color="auto" w:fill="auto"/>
            <w:tcMar>
              <w:top w:w="113" w:type="dxa"/>
              <w:bottom w:w="113" w:type="dxa"/>
            </w:tcMar>
          </w:tcPr>
          <w:p w:rsidR="00F45E5E" w:rsidRPr="00A32AF4" w:rsidRDefault="00F45E5E" w:rsidP="00DC0553">
            <w:pPr>
              <w:keepNext/>
              <w:keepLines/>
              <w:rPr>
                <w:rFonts w:cs="Arial"/>
                <w:sz w:val="16"/>
                <w:szCs w:val="16"/>
              </w:rPr>
            </w:pPr>
            <w:r w:rsidRPr="00A32AF4">
              <w:rPr>
                <w:rFonts w:cs="Arial"/>
                <w:sz w:val="16"/>
                <w:szCs w:val="16"/>
              </w:rPr>
              <w:t>Pourcentage d</w:t>
            </w:r>
            <w:r w:rsidR="00E2055A" w:rsidRPr="00A32AF4">
              <w:rPr>
                <w:rFonts w:cs="Arial"/>
                <w:sz w:val="16"/>
                <w:szCs w:val="16"/>
              </w:rPr>
              <w:t>’</w:t>
            </w:r>
            <w:r w:rsidRPr="00A32AF4">
              <w:rPr>
                <w:rFonts w:cs="Arial"/>
                <w:sz w:val="16"/>
                <w:szCs w:val="16"/>
              </w:rPr>
              <w:t>institutions d</w:t>
            </w:r>
            <w:r w:rsidR="00E2055A" w:rsidRPr="00A32AF4">
              <w:rPr>
                <w:rFonts w:cs="Arial"/>
                <w:sz w:val="16"/>
                <w:szCs w:val="16"/>
              </w:rPr>
              <w:t>’</w:t>
            </w:r>
            <w:r w:rsidRPr="00A32AF4">
              <w:rPr>
                <w:rFonts w:cs="Arial"/>
                <w:sz w:val="16"/>
                <w:szCs w:val="16"/>
              </w:rPr>
              <w:t>appui aux PME ayant obtenu une formation qui fournissent des informations sur la propriété intellectuelle et des services d</w:t>
            </w:r>
            <w:r w:rsidR="00E2055A" w:rsidRPr="00A32AF4">
              <w:rPr>
                <w:rFonts w:cs="Arial"/>
                <w:sz w:val="16"/>
                <w:szCs w:val="16"/>
              </w:rPr>
              <w:t>’</w:t>
            </w:r>
            <w:r w:rsidRPr="00A32AF4">
              <w:rPr>
                <w:rFonts w:cs="Arial"/>
                <w:sz w:val="16"/>
                <w:szCs w:val="16"/>
              </w:rPr>
              <w:t>orientation sur la gestion des actifs de propriété intellectuelle</w:t>
            </w:r>
          </w:p>
        </w:tc>
        <w:tc>
          <w:tcPr>
            <w:tcW w:w="1069" w:type="pct"/>
            <w:tcBorders>
              <w:bottom w:val="nil"/>
            </w:tcBorders>
            <w:shd w:val="clear" w:color="auto" w:fill="FFFFFF"/>
            <w:tcMar>
              <w:top w:w="113" w:type="dxa"/>
              <w:bottom w:w="113" w:type="dxa"/>
            </w:tcMar>
          </w:tcPr>
          <w:p w:rsidR="00F45E5E" w:rsidRPr="00A32AF4" w:rsidRDefault="00F45E5E" w:rsidP="00DC0553">
            <w:pPr>
              <w:keepNext/>
              <w:keepLines/>
              <w:jc w:val="center"/>
              <w:rPr>
                <w:rFonts w:cs="Arial"/>
                <w:sz w:val="16"/>
                <w:szCs w:val="16"/>
                <w:lang w:bidi="th-TH"/>
              </w:rPr>
            </w:pPr>
            <w:r w:rsidRPr="00A32AF4">
              <w:rPr>
                <w:rFonts w:cs="Arial"/>
                <w:sz w:val="16"/>
                <w:szCs w:val="16"/>
                <w:lang w:bidi="th-TH"/>
              </w:rPr>
              <w:t>Programme 30</w:t>
            </w:r>
          </w:p>
        </w:tc>
      </w:tr>
      <w:tr w:rsidR="009D3B99" w:rsidRPr="00A32AF4" w:rsidTr="001453BE">
        <w:trPr>
          <w:cantSplit/>
        </w:trPr>
        <w:tc>
          <w:tcPr>
            <w:tcW w:w="1769" w:type="pct"/>
            <w:shd w:val="clear" w:color="auto" w:fill="auto"/>
            <w:tcMar>
              <w:top w:w="113" w:type="dxa"/>
              <w:bottom w:w="113" w:type="dxa"/>
            </w:tcMar>
          </w:tcPr>
          <w:p w:rsidR="009D3B99" w:rsidRPr="00A32AF4" w:rsidRDefault="009D3B99" w:rsidP="00DC0553">
            <w:pPr>
              <w:rPr>
                <w:rFonts w:cs="Arial"/>
                <w:sz w:val="16"/>
                <w:szCs w:val="16"/>
              </w:rPr>
            </w:pPr>
          </w:p>
        </w:tc>
        <w:tc>
          <w:tcPr>
            <w:tcW w:w="2162" w:type="pct"/>
            <w:tcBorders>
              <w:top w:val="nil"/>
              <w:bottom w:val="nil"/>
            </w:tcBorders>
            <w:shd w:val="clear" w:color="auto" w:fill="auto"/>
            <w:tcMar>
              <w:top w:w="113" w:type="dxa"/>
              <w:bottom w:w="113" w:type="dxa"/>
            </w:tcMar>
          </w:tcPr>
          <w:p w:rsidR="009D3B99" w:rsidRPr="00A32AF4" w:rsidRDefault="00A2712D" w:rsidP="001453BE">
            <w:pPr>
              <w:rPr>
                <w:rFonts w:cs="Arial"/>
                <w:sz w:val="16"/>
                <w:szCs w:val="16"/>
              </w:rPr>
            </w:pPr>
            <w:r w:rsidRPr="00A32AF4">
              <w:rPr>
                <w:rFonts w:cs="Arial"/>
                <w:sz w:val="16"/>
                <w:szCs w:val="16"/>
              </w:rPr>
              <w:t>Pourcentage des participants à des programmes de formation visant les institutions d</w:t>
            </w:r>
            <w:r w:rsidR="00E2055A" w:rsidRPr="00A32AF4">
              <w:rPr>
                <w:rFonts w:cs="Arial"/>
                <w:sz w:val="16"/>
                <w:szCs w:val="16"/>
              </w:rPr>
              <w:t>’</w:t>
            </w:r>
            <w:r w:rsidRPr="00A32AF4">
              <w:rPr>
                <w:rFonts w:cs="Arial"/>
                <w:sz w:val="16"/>
                <w:szCs w:val="16"/>
              </w:rPr>
              <w:t xml:space="preserve">appui aux PME qui </w:t>
            </w:r>
            <w:r w:rsidR="009D3B99" w:rsidRPr="00A32AF4">
              <w:rPr>
                <w:rFonts w:cs="Arial"/>
                <w:sz w:val="16"/>
                <w:szCs w:val="16"/>
              </w:rPr>
              <w:t>utilisent</w:t>
            </w:r>
            <w:r w:rsidR="009862B4" w:rsidRPr="00A32AF4">
              <w:rPr>
                <w:rFonts w:cs="Arial"/>
                <w:sz w:val="16"/>
                <w:szCs w:val="16"/>
              </w:rPr>
              <w:t xml:space="preserve"> des connaissances nouvelles et</w:t>
            </w:r>
            <w:r w:rsidR="009D3B99" w:rsidRPr="00A32AF4">
              <w:rPr>
                <w:rFonts w:cs="Arial"/>
                <w:sz w:val="16"/>
                <w:szCs w:val="16"/>
              </w:rPr>
              <w:t xml:space="preserve"> des compétences</w:t>
            </w:r>
            <w:r w:rsidR="001453BE" w:rsidRPr="00A32AF4">
              <w:rPr>
                <w:rFonts w:cs="Arial"/>
                <w:sz w:val="16"/>
                <w:szCs w:val="16"/>
              </w:rPr>
              <w:t xml:space="preserve"> </w:t>
            </w:r>
            <w:r w:rsidR="009D3B99" w:rsidRPr="00A32AF4">
              <w:rPr>
                <w:rFonts w:cs="Arial"/>
                <w:sz w:val="16"/>
                <w:szCs w:val="16"/>
              </w:rPr>
              <w:t>améliorées dans le cadre de</w:t>
            </w:r>
            <w:r w:rsidR="001453BE" w:rsidRPr="00A32AF4">
              <w:rPr>
                <w:rFonts w:cs="Arial"/>
                <w:sz w:val="16"/>
                <w:szCs w:val="16"/>
              </w:rPr>
              <w:t xml:space="preserve"> </w:t>
            </w:r>
            <w:r w:rsidR="009D3B99" w:rsidRPr="00A32AF4">
              <w:rPr>
                <w:rFonts w:cs="Arial"/>
                <w:sz w:val="16"/>
                <w:szCs w:val="16"/>
              </w:rPr>
              <w:t>leurs activités professionnelles</w:t>
            </w:r>
          </w:p>
        </w:tc>
        <w:tc>
          <w:tcPr>
            <w:tcW w:w="1069" w:type="pct"/>
            <w:tcBorders>
              <w:top w:val="nil"/>
              <w:bottom w:val="nil"/>
            </w:tcBorders>
            <w:shd w:val="clear" w:color="auto" w:fill="FFFFFF"/>
            <w:tcMar>
              <w:top w:w="113" w:type="dxa"/>
              <w:bottom w:w="113" w:type="dxa"/>
            </w:tcMar>
          </w:tcPr>
          <w:p w:rsidR="009D3B99" w:rsidRPr="00A32AF4" w:rsidRDefault="00A2712D" w:rsidP="0019255D">
            <w:pPr>
              <w:jc w:val="center"/>
              <w:rPr>
                <w:rFonts w:cs="Arial"/>
                <w:sz w:val="16"/>
                <w:szCs w:val="16"/>
                <w:lang w:bidi="th-TH"/>
              </w:rPr>
            </w:pPr>
            <w:r w:rsidRPr="00A32AF4">
              <w:rPr>
                <w:rFonts w:cs="Arial"/>
                <w:sz w:val="16"/>
                <w:szCs w:val="16"/>
                <w:lang w:bidi="th-TH"/>
              </w:rPr>
              <w:t>Programme 30</w:t>
            </w:r>
          </w:p>
        </w:tc>
      </w:tr>
      <w:tr w:rsidR="00AD3964" w:rsidRPr="00A32AF4" w:rsidTr="001453BE">
        <w:trPr>
          <w:cantSplit/>
        </w:trPr>
        <w:tc>
          <w:tcPr>
            <w:tcW w:w="1769" w:type="pct"/>
            <w:shd w:val="clear" w:color="auto" w:fill="auto"/>
            <w:tcMar>
              <w:top w:w="113" w:type="dxa"/>
              <w:bottom w:w="113" w:type="dxa"/>
            </w:tcMar>
          </w:tcPr>
          <w:p w:rsidR="00F45E5E" w:rsidRPr="00A32AF4" w:rsidRDefault="00F45E5E" w:rsidP="00DC0553">
            <w:pPr>
              <w:rPr>
                <w:rFonts w:cs="Arial"/>
                <w:sz w:val="16"/>
                <w:szCs w:val="16"/>
              </w:rPr>
            </w:pPr>
          </w:p>
        </w:tc>
        <w:tc>
          <w:tcPr>
            <w:tcW w:w="2162" w:type="pct"/>
            <w:tcBorders>
              <w:top w:val="nil"/>
              <w:bottom w:val="single" w:sz="4" w:space="0" w:color="auto"/>
            </w:tcBorders>
            <w:shd w:val="clear" w:color="auto" w:fill="auto"/>
            <w:tcMar>
              <w:top w:w="113" w:type="dxa"/>
              <w:bottom w:w="113" w:type="dxa"/>
            </w:tcMar>
          </w:tcPr>
          <w:p w:rsidR="00F45E5E" w:rsidRPr="00A32AF4" w:rsidRDefault="00F45E5E" w:rsidP="00DC0553">
            <w:pPr>
              <w:rPr>
                <w:rFonts w:cs="Arial"/>
                <w:sz w:val="16"/>
                <w:szCs w:val="16"/>
              </w:rPr>
            </w:pPr>
            <w:r w:rsidRPr="00A32AF4">
              <w:rPr>
                <w:rFonts w:cs="Arial"/>
                <w:sz w:val="16"/>
                <w:szCs w:val="16"/>
              </w:rPr>
              <w:t>Nombre de pays ayant créé ou amélioré des programmes de formation en matière de propriété intellectuelle à l</w:t>
            </w:r>
            <w:r w:rsidR="00E2055A" w:rsidRPr="00A32AF4">
              <w:rPr>
                <w:rFonts w:cs="Arial"/>
                <w:sz w:val="16"/>
                <w:szCs w:val="16"/>
              </w:rPr>
              <w:t>’</w:t>
            </w:r>
            <w:r w:rsidRPr="00A32AF4">
              <w:rPr>
                <w:rFonts w:cs="Arial"/>
                <w:sz w:val="16"/>
                <w:szCs w:val="16"/>
              </w:rPr>
              <w:t>intention des PME</w:t>
            </w:r>
          </w:p>
        </w:tc>
        <w:tc>
          <w:tcPr>
            <w:tcW w:w="1069" w:type="pct"/>
            <w:tcBorders>
              <w:top w:val="nil"/>
              <w:bottom w:val="single" w:sz="4" w:space="0" w:color="auto"/>
            </w:tcBorders>
            <w:shd w:val="clear" w:color="auto" w:fill="FFFFFF"/>
            <w:tcMar>
              <w:top w:w="113" w:type="dxa"/>
              <w:bottom w:w="113" w:type="dxa"/>
            </w:tcMar>
          </w:tcPr>
          <w:p w:rsidR="00F45E5E" w:rsidRPr="00A32AF4" w:rsidRDefault="00F45E5E" w:rsidP="0019255D">
            <w:pPr>
              <w:jc w:val="center"/>
              <w:rPr>
                <w:rFonts w:cs="Arial"/>
                <w:sz w:val="16"/>
                <w:szCs w:val="16"/>
                <w:lang w:bidi="th-TH"/>
              </w:rPr>
            </w:pPr>
            <w:r w:rsidRPr="00A32AF4">
              <w:rPr>
                <w:rFonts w:cs="Arial"/>
                <w:sz w:val="16"/>
                <w:szCs w:val="16"/>
                <w:lang w:bidi="th-TH"/>
              </w:rPr>
              <w:t>Programme 30</w:t>
            </w:r>
          </w:p>
        </w:tc>
      </w:tr>
    </w:tbl>
    <w:p w:rsidR="00F93B76" w:rsidRPr="00A32AF4" w:rsidRDefault="00F93B76" w:rsidP="00DC0553"/>
    <w:p w:rsidR="00F93B76" w:rsidRPr="00A32AF4" w:rsidRDefault="00F93B76" w:rsidP="00DC0553"/>
    <w:p w:rsidR="00F93B76" w:rsidRPr="00A32AF4" w:rsidRDefault="00114BFD" w:rsidP="00DC0553">
      <w:pPr>
        <w:rPr>
          <w:rFonts w:ascii="Arial Bold" w:hAnsi="Arial Bold" w:cs="Arial"/>
          <w:b/>
          <w:caps/>
          <w:szCs w:val="22"/>
        </w:rPr>
      </w:pPr>
      <w:bookmarkStart w:id="35" w:name="_Toc418588768"/>
      <w:r w:rsidRPr="00A32AF4">
        <w:br w:type="page"/>
      </w:r>
    </w:p>
    <w:p w:rsidR="00F93B76" w:rsidRPr="00A32AF4" w:rsidRDefault="00D21583" w:rsidP="00FB1F61">
      <w:pPr>
        <w:pStyle w:val="Heading3"/>
      </w:pPr>
      <w:bookmarkStart w:id="36" w:name="_Toc431555446"/>
      <w:r w:rsidRPr="00A32AF4">
        <w:t>Programme </w:t>
      </w:r>
      <w:r w:rsidR="00CD1430" w:rsidRPr="00A32AF4">
        <w:t>8</w:t>
      </w:r>
      <w:r w:rsidR="00CD1430" w:rsidRPr="00A32AF4">
        <w:tab/>
        <w:t>Coordination du Plan d‏</w:t>
      </w:r>
      <w:r w:rsidR="00E2055A" w:rsidRPr="00A32AF4">
        <w:t>’</w:t>
      </w:r>
      <w:r w:rsidR="00CD1430" w:rsidRPr="00A32AF4">
        <w:t>‎action pour le développement</w:t>
      </w:r>
      <w:bookmarkEnd w:id="35"/>
      <w:bookmarkEnd w:id="36"/>
    </w:p>
    <w:p w:rsidR="00F93B76" w:rsidRPr="00A32AF4" w:rsidRDefault="00F93B76" w:rsidP="00DC0553"/>
    <w:p w:rsidR="00F93B76" w:rsidRPr="00A32AF4" w:rsidRDefault="00F93B76" w:rsidP="00DC0553"/>
    <w:p w:rsidR="00F93B76" w:rsidRPr="00A32AF4" w:rsidRDefault="00CD1430" w:rsidP="00DC0553">
      <w:pPr>
        <w:rPr>
          <w:caps/>
        </w:rPr>
      </w:pPr>
      <w:bookmarkStart w:id="37" w:name="_Toc418588769"/>
      <w:r w:rsidRPr="00A32AF4">
        <w:rPr>
          <w:caps/>
        </w:rPr>
        <w:t>Contexte de planification</w:t>
      </w:r>
      <w:bookmarkEnd w:id="37"/>
    </w:p>
    <w:p w:rsidR="00F93B76" w:rsidRPr="00A32AF4" w:rsidRDefault="00F93B76" w:rsidP="00DC0553"/>
    <w:p w:rsidR="00F93B76" w:rsidRPr="00A32AF4" w:rsidRDefault="00CD1430" w:rsidP="00DC0553">
      <w:pPr>
        <w:pStyle w:val="ListParagraph"/>
        <w:numPr>
          <w:ilvl w:val="1"/>
          <w:numId w:val="19"/>
        </w:numPr>
        <w:tabs>
          <w:tab w:val="left" w:pos="567"/>
          <w:tab w:val="left" w:pos="709"/>
        </w:tabs>
        <w:autoSpaceDE w:val="0"/>
        <w:autoSpaceDN w:val="0"/>
        <w:adjustRightInd w:val="0"/>
        <w:spacing w:after="0" w:line="240" w:lineRule="auto"/>
        <w:jc w:val="both"/>
        <w:rPr>
          <w:rFonts w:ascii="Arial" w:hAnsi="Arial" w:cs="Arial"/>
          <w:szCs w:val="20"/>
        </w:rPr>
      </w:pPr>
      <w:r w:rsidRPr="00A32AF4">
        <w:rPr>
          <w:rFonts w:ascii="Arial" w:hAnsi="Arial" w:cs="Arial"/>
          <w:szCs w:val="20"/>
        </w:rPr>
        <w:t>Le Plan d</w:t>
      </w:r>
      <w:r w:rsidR="00E2055A" w:rsidRPr="00A32AF4">
        <w:rPr>
          <w:rFonts w:ascii="Arial" w:hAnsi="Arial" w:cs="Arial"/>
          <w:szCs w:val="20"/>
        </w:rPr>
        <w:t>’</w:t>
      </w:r>
      <w:r w:rsidRPr="00A32AF4">
        <w:rPr>
          <w:rFonts w:ascii="Arial" w:hAnsi="Arial" w:cs="Arial"/>
          <w:szCs w:val="20"/>
        </w:rPr>
        <w:t>action pour le développement, qui occupe une place de plus en plus importante dans les travaux de l</w:t>
      </w:r>
      <w:r w:rsidR="00E2055A" w:rsidRPr="00A32AF4">
        <w:rPr>
          <w:rFonts w:ascii="Arial" w:hAnsi="Arial" w:cs="Arial"/>
          <w:szCs w:val="20"/>
        </w:rPr>
        <w:t>’</w:t>
      </w:r>
      <w:r w:rsidRPr="00A32AF4">
        <w:rPr>
          <w:rFonts w:ascii="Arial" w:hAnsi="Arial" w:cs="Arial"/>
          <w:szCs w:val="20"/>
        </w:rPr>
        <w:t>Organisation, ainsi que les besoins et les demandes correspondants des États membres, seront l</w:t>
      </w:r>
      <w:r w:rsidR="00E2055A" w:rsidRPr="00A32AF4">
        <w:rPr>
          <w:rFonts w:ascii="Arial" w:hAnsi="Arial" w:cs="Arial"/>
          <w:szCs w:val="20"/>
        </w:rPr>
        <w:t>’</w:t>
      </w:r>
      <w:r w:rsidRPr="00A32AF4">
        <w:rPr>
          <w:rFonts w:ascii="Arial" w:hAnsi="Arial" w:cs="Arial"/>
          <w:szCs w:val="20"/>
        </w:rPr>
        <w:t>élément moteur des activités inscrites au programme pour l</w:t>
      </w:r>
      <w:r w:rsidR="00E2055A" w:rsidRPr="00A32AF4">
        <w:rPr>
          <w:rFonts w:ascii="Arial" w:hAnsi="Arial" w:cs="Arial"/>
          <w:szCs w:val="20"/>
        </w:rPr>
        <w:t>’</w:t>
      </w:r>
      <w:r w:rsidRPr="00A32AF4">
        <w:rPr>
          <w:rFonts w:ascii="Arial" w:hAnsi="Arial" w:cs="Arial"/>
          <w:szCs w:val="20"/>
        </w:rPr>
        <w:t>exercice biennal 2016</w:t>
      </w:r>
      <w:r w:rsidR="00EB7F54" w:rsidRPr="00A32AF4">
        <w:rPr>
          <w:rFonts w:ascii="Arial" w:hAnsi="Arial" w:cs="Arial"/>
          <w:szCs w:val="20"/>
        </w:rPr>
        <w:noBreakHyphen/>
      </w:r>
      <w:r w:rsidRPr="00A32AF4">
        <w:rPr>
          <w:rFonts w:ascii="Arial" w:hAnsi="Arial" w:cs="Arial"/>
          <w:szCs w:val="20"/>
        </w:rPr>
        <w:t xml:space="preserve">2017.  </w:t>
      </w:r>
      <w:proofErr w:type="gramStart"/>
      <w:r w:rsidRPr="00A32AF4">
        <w:rPr>
          <w:rFonts w:ascii="Arial" w:hAnsi="Arial" w:cs="Arial"/>
          <w:szCs w:val="20"/>
        </w:rPr>
        <w:t>Des progrès considérables ont été réalisés au cours des exercices biennaux précédents dans la mise en œuvre des recommandations du Plan d</w:t>
      </w:r>
      <w:r w:rsidR="00E2055A" w:rsidRPr="00A32AF4">
        <w:rPr>
          <w:rFonts w:ascii="Arial" w:hAnsi="Arial" w:cs="Arial"/>
          <w:szCs w:val="20"/>
        </w:rPr>
        <w:t>’</w:t>
      </w:r>
      <w:r w:rsidRPr="00A32AF4">
        <w:rPr>
          <w:rFonts w:ascii="Arial" w:hAnsi="Arial" w:cs="Arial"/>
          <w:szCs w:val="20"/>
        </w:rPr>
        <w:t>action pour le développement, notamment grâce à la mise en œuvre des projets du Plan d</w:t>
      </w:r>
      <w:r w:rsidR="00E2055A" w:rsidRPr="00A32AF4">
        <w:rPr>
          <w:rFonts w:ascii="Arial" w:hAnsi="Arial" w:cs="Arial"/>
          <w:szCs w:val="20"/>
        </w:rPr>
        <w:t>’</w:t>
      </w:r>
      <w:r w:rsidRPr="00A32AF4">
        <w:rPr>
          <w:rFonts w:ascii="Arial" w:hAnsi="Arial" w:cs="Arial"/>
          <w:szCs w:val="20"/>
        </w:rPr>
        <w:t>action pour le développement au moyen d</w:t>
      </w:r>
      <w:r w:rsidR="00E2055A" w:rsidRPr="00A32AF4">
        <w:rPr>
          <w:rFonts w:ascii="Arial" w:hAnsi="Arial" w:cs="Arial"/>
          <w:szCs w:val="20"/>
        </w:rPr>
        <w:t>’</w:t>
      </w:r>
      <w:r w:rsidRPr="00A32AF4">
        <w:rPr>
          <w:rFonts w:ascii="Arial" w:hAnsi="Arial" w:cs="Arial"/>
          <w:szCs w:val="20"/>
        </w:rPr>
        <w:t>une méthode de gestion de projet plus efficace fondée sur un suivi et une évaluation systématiques de tous les projets relatifs au Plan d</w:t>
      </w:r>
      <w:r w:rsidR="00E2055A" w:rsidRPr="00A32AF4">
        <w:rPr>
          <w:rFonts w:ascii="Arial" w:hAnsi="Arial" w:cs="Arial"/>
          <w:szCs w:val="20"/>
        </w:rPr>
        <w:t>’</w:t>
      </w:r>
      <w:r w:rsidRPr="00A32AF4">
        <w:rPr>
          <w:rFonts w:ascii="Arial" w:hAnsi="Arial" w:cs="Arial"/>
          <w:szCs w:val="20"/>
        </w:rPr>
        <w:t>action pour le développement, l</w:t>
      </w:r>
      <w:r w:rsidR="00E2055A" w:rsidRPr="00A32AF4">
        <w:rPr>
          <w:rFonts w:ascii="Arial" w:hAnsi="Arial" w:cs="Arial"/>
          <w:szCs w:val="20"/>
        </w:rPr>
        <w:t>’</w:t>
      </w:r>
      <w:r w:rsidRPr="00A32AF4">
        <w:rPr>
          <w:rFonts w:ascii="Arial" w:hAnsi="Arial" w:cs="Arial"/>
          <w:szCs w:val="20"/>
        </w:rPr>
        <w:t>intégration des activités menées dans le cadre des projets achevés dans les activités ordinaires de l</w:t>
      </w:r>
      <w:r w:rsidR="00E2055A" w:rsidRPr="00A32AF4">
        <w:rPr>
          <w:rFonts w:ascii="Arial" w:hAnsi="Arial" w:cs="Arial"/>
          <w:szCs w:val="20"/>
        </w:rPr>
        <w:t>’</w:t>
      </w:r>
      <w:r w:rsidRPr="00A32AF4">
        <w:rPr>
          <w:rFonts w:ascii="Arial" w:hAnsi="Arial" w:cs="Arial"/>
          <w:szCs w:val="20"/>
        </w:rPr>
        <w:t>Organisation, la mise en œuvre des mécanismes de coordination et des modalités de suivi, d</w:t>
      </w:r>
      <w:r w:rsidR="00E2055A" w:rsidRPr="00A32AF4">
        <w:rPr>
          <w:rFonts w:ascii="Arial" w:hAnsi="Arial" w:cs="Arial"/>
          <w:szCs w:val="20"/>
        </w:rPr>
        <w:t>’</w:t>
      </w:r>
      <w:r w:rsidRPr="00A32AF4">
        <w:rPr>
          <w:rFonts w:ascii="Arial" w:hAnsi="Arial" w:cs="Arial"/>
          <w:szCs w:val="20"/>
        </w:rPr>
        <w:t>évaluation et d</w:t>
      </w:r>
      <w:r w:rsidR="00E2055A" w:rsidRPr="00A32AF4">
        <w:rPr>
          <w:rFonts w:ascii="Arial" w:hAnsi="Arial" w:cs="Arial"/>
          <w:szCs w:val="20"/>
        </w:rPr>
        <w:t>’</w:t>
      </w:r>
      <w:r w:rsidRPr="00A32AF4">
        <w:rPr>
          <w:rFonts w:ascii="Arial" w:hAnsi="Arial" w:cs="Arial"/>
          <w:szCs w:val="20"/>
        </w:rPr>
        <w:t>établissement de rapports (</w:t>
      </w:r>
      <w:r w:rsidR="00B63C9F" w:rsidRPr="00A32AF4">
        <w:rPr>
          <w:rFonts w:ascii="Arial" w:hAnsi="Arial" w:cs="Arial"/>
          <w:szCs w:val="20"/>
        </w:rPr>
        <w:t>“</w:t>
      </w:r>
      <w:r w:rsidRPr="00A32AF4">
        <w:rPr>
          <w:rFonts w:ascii="Arial" w:hAnsi="Arial" w:cs="Arial"/>
          <w:szCs w:val="20"/>
        </w:rPr>
        <w:t>mécanisme de coordination</w:t>
      </w:r>
      <w:r w:rsidR="00B63C9F" w:rsidRPr="00A32AF4">
        <w:rPr>
          <w:rFonts w:ascii="Arial" w:hAnsi="Arial" w:cs="Arial"/>
          <w:szCs w:val="20"/>
        </w:rPr>
        <w:t>”</w:t>
      </w:r>
      <w:r w:rsidRPr="00A32AF4">
        <w:rPr>
          <w:rFonts w:ascii="Arial" w:hAnsi="Arial" w:cs="Arial"/>
          <w:szCs w:val="20"/>
        </w:rPr>
        <w:t>), tels qu</w:t>
      </w:r>
      <w:r w:rsidR="00E2055A" w:rsidRPr="00A32AF4">
        <w:rPr>
          <w:rFonts w:ascii="Arial" w:hAnsi="Arial" w:cs="Arial"/>
          <w:szCs w:val="20"/>
        </w:rPr>
        <w:t>’</w:t>
      </w:r>
      <w:r w:rsidRPr="00A32AF4">
        <w:rPr>
          <w:rFonts w:ascii="Arial" w:hAnsi="Arial" w:cs="Arial"/>
          <w:szCs w:val="20"/>
        </w:rPr>
        <w:t>approuvés par les États membres, sous forme de rapports intermédiaires et d</w:t>
      </w:r>
      <w:r w:rsidR="00E2055A" w:rsidRPr="00A32AF4">
        <w:rPr>
          <w:rFonts w:ascii="Arial" w:hAnsi="Arial" w:cs="Arial"/>
          <w:szCs w:val="20"/>
        </w:rPr>
        <w:t>’</w:t>
      </w:r>
      <w:r w:rsidRPr="00A32AF4">
        <w:rPr>
          <w:rFonts w:ascii="Arial" w:hAnsi="Arial" w:cs="Arial"/>
          <w:szCs w:val="20"/>
        </w:rPr>
        <w:t>évaluation, la réalisation d</w:t>
      </w:r>
      <w:r w:rsidR="00E2055A" w:rsidRPr="00A32AF4">
        <w:rPr>
          <w:rFonts w:ascii="Arial" w:hAnsi="Arial" w:cs="Arial"/>
          <w:szCs w:val="20"/>
        </w:rPr>
        <w:t>’</w:t>
      </w:r>
      <w:r w:rsidRPr="00A32AF4">
        <w:rPr>
          <w:rFonts w:ascii="Arial" w:hAnsi="Arial" w:cs="Arial"/>
          <w:szCs w:val="20"/>
        </w:rPr>
        <w:t>un examen indépendant de la mise en œuvre des recommandations du Plan d</w:t>
      </w:r>
      <w:r w:rsidR="00E2055A" w:rsidRPr="00A32AF4">
        <w:rPr>
          <w:rFonts w:ascii="Arial" w:hAnsi="Arial" w:cs="Arial"/>
          <w:szCs w:val="20"/>
        </w:rPr>
        <w:t>’</w:t>
      </w:r>
      <w:r w:rsidRPr="00A32AF4">
        <w:rPr>
          <w:rFonts w:ascii="Arial" w:hAnsi="Arial" w:cs="Arial"/>
          <w:szCs w:val="20"/>
        </w:rPr>
        <w:t>action pour le développement, et une participation accrue des États membres, en particulier des pays en développement et des PMA.</w:t>
      </w:r>
      <w:proofErr w:type="gramEnd"/>
    </w:p>
    <w:p w:rsidR="00F93B76" w:rsidRPr="00A32AF4" w:rsidRDefault="00F93B76" w:rsidP="00DC0553">
      <w:pPr>
        <w:pStyle w:val="ListParagraph"/>
        <w:tabs>
          <w:tab w:val="left" w:pos="567"/>
        </w:tabs>
        <w:autoSpaceDE w:val="0"/>
        <w:autoSpaceDN w:val="0"/>
        <w:adjustRightInd w:val="0"/>
        <w:spacing w:after="0" w:line="240" w:lineRule="auto"/>
        <w:ind w:left="0"/>
        <w:jc w:val="both"/>
        <w:rPr>
          <w:rFonts w:ascii="Arial" w:hAnsi="Arial" w:cs="Arial"/>
          <w:szCs w:val="20"/>
        </w:rPr>
      </w:pPr>
    </w:p>
    <w:p w:rsidR="00F93B76" w:rsidRPr="00A32AF4" w:rsidRDefault="00CD1430" w:rsidP="00DC0553">
      <w:pPr>
        <w:pStyle w:val="ListParagraph"/>
        <w:numPr>
          <w:ilvl w:val="1"/>
          <w:numId w:val="19"/>
        </w:numPr>
        <w:tabs>
          <w:tab w:val="left" w:pos="567"/>
        </w:tabs>
        <w:autoSpaceDE w:val="0"/>
        <w:autoSpaceDN w:val="0"/>
        <w:adjustRightInd w:val="0"/>
        <w:spacing w:after="0" w:line="240" w:lineRule="auto"/>
        <w:jc w:val="both"/>
        <w:rPr>
          <w:rFonts w:ascii="Arial" w:hAnsi="Arial" w:cs="Arial"/>
          <w:szCs w:val="20"/>
        </w:rPr>
      </w:pPr>
      <w:r w:rsidRPr="00A32AF4">
        <w:rPr>
          <w:rFonts w:ascii="Arial" w:hAnsi="Arial" w:cs="Arial"/>
          <w:szCs w:val="20"/>
        </w:rPr>
        <w:t>La poursuite de l</w:t>
      </w:r>
      <w:r w:rsidR="00E2055A" w:rsidRPr="00A32AF4">
        <w:rPr>
          <w:rFonts w:ascii="Arial" w:hAnsi="Arial" w:cs="Arial"/>
          <w:szCs w:val="20"/>
        </w:rPr>
        <w:t>’</w:t>
      </w:r>
      <w:r w:rsidRPr="00A32AF4">
        <w:rPr>
          <w:rFonts w:ascii="Arial" w:hAnsi="Arial" w:cs="Arial"/>
          <w:szCs w:val="20"/>
        </w:rPr>
        <w:t>intégration des recommandations du Plan d</w:t>
      </w:r>
      <w:r w:rsidR="00E2055A" w:rsidRPr="00A32AF4">
        <w:rPr>
          <w:rFonts w:ascii="Arial" w:hAnsi="Arial" w:cs="Arial"/>
          <w:szCs w:val="20"/>
        </w:rPr>
        <w:t>’</w:t>
      </w:r>
      <w:r w:rsidRPr="00A32AF4">
        <w:rPr>
          <w:rFonts w:ascii="Arial" w:hAnsi="Arial" w:cs="Arial"/>
          <w:szCs w:val="20"/>
        </w:rPr>
        <w:t>action pour le développement dans les travaux de l</w:t>
      </w:r>
      <w:r w:rsidR="00E2055A" w:rsidRPr="00A32AF4">
        <w:rPr>
          <w:rFonts w:ascii="Arial" w:hAnsi="Arial" w:cs="Arial"/>
          <w:szCs w:val="20"/>
        </w:rPr>
        <w:t>’</w:t>
      </w:r>
      <w:r w:rsidRPr="00A32AF4">
        <w:rPr>
          <w:rFonts w:ascii="Arial" w:hAnsi="Arial" w:cs="Arial"/>
          <w:szCs w:val="20"/>
        </w:rPr>
        <w:t>OMPI et la réalisation de ses objectifs continueront d</w:t>
      </w:r>
      <w:r w:rsidR="00E2055A" w:rsidRPr="00A32AF4">
        <w:rPr>
          <w:rFonts w:ascii="Arial" w:hAnsi="Arial" w:cs="Arial"/>
          <w:szCs w:val="20"/>
        </w:rPr>
        <w:t>’</w:t>
      </w:r>
      <w:r w:rsidRPr="00A32AF4">
        <w:rPr>
          <w:rFonts w:ascii="Arial" w:hAnsi="Arial" w:cs="Arial"/>
          <w:szCs w:val="20"/>
        </w:rPr>
        <w:t>orienter les travaux de l</w:t>
      </w:r>
      <w:r w:rsidR="00E2055A" w:rsidRPr="00A32AF4">
        <w:rPr>
          <w:rFonts w:ascii="Arial" w:hAnsi="Arial" w:cs="Arial"/>
          <w:szCs w:val="20"/>
        </w:rPr>
        <w:t>’</w:t>
      </w:r>
      <w:r w:rsidRPr="00A32AF4">
        <w:rPr>
          <w:rFonts w:ascii="Arial" w:hAnsi="Arial" w:cs="Arial"/>
          <w:szCs w:val="20"/>
        </w:rPr>
        <w:t>Organisation dans le domaine en pleine expansion du développement durant cet exercice biennal.</w:t>
      </w:r>
    </w:p>
    <w:p w:rsidR="00F93B76" w:rsidRPr="00A32AF4" w:rsidRDefault="00F93B76" w:rsidP="00DC0553">
      <w:pPr>
        <w:jc w:val="both"/>
        <w:rPr>
          <w:rFonts w:cs="Arial"/>
        </w:rPr>
      </w:pPr>
    </w:p>
    <w:p w:rsidR="00F93B76" w:rsidRPr="00A32AF4" w:rsidRDefault="00F93B76" w:rsidP="00DC0553">
      <w:pPr>
        <w:jc w:val="both"/>
        <w:rPr>
          <w:rFonts w:cs="Arial"/>
        </w:rPr>
      </w:pPr>
    </w:p>
    <w:p w:rsidR="00F93B76" w:rsidRPr="00A32AF4" w:rsidRDefault="00CD1430" w:rsidP="00DC0553">
      <w:pPr>
        <w:rPr>
          <w:caps/>
        </w:rPr>
      </w:pPr>
      <w:bookmarkStart w:id="38" w:name="_Toc418588770"/>
      <w:r w:rsidRPr="00A32AF4">
        <w:rPr>
          <w:caps/>
        </w:rPr>
        <w:t>Stratégies de mise en œuvre</w:t>
      </w:r>
      <w:bookmarkEnd w:id="38"/>
    </w:p>
    <w:p w:rsidR="00F93B76" w:rsidRPr="00A32AF4" w:rsidRDefault="00F93B76" w:rsidP="00DC0553">
      <w:pPr>
        <w:jc w:val="both"/>
        <w:rPr>
          <w:rFonts w:cs="Arial"/>
        </w:rPr>
      </w:pPr>
    </w:p>
    <w:p w:rsidR="00E2055A" w:rsidRPr="00A32AF4" w:rsidRDefault="00CD1430" w:rsidP="00DC0553">
      <w:pPr>
        <w:pStyle w:val="ListParagraph"/>
        <w:numPr>
          <w:ilvl w:val="1"/>
          <w:numId w:val="19"/>
        </w:numPr>
        <w:tabs>
          <w:tab w:val="left" w:pos="567"/>
        </w:tabs>
        <w:autoSpaceDE w:val="0"/>
        <w:autoSpaceDN w:val="0"/>
        <w:adjustRightInd w:val="0"/>
        <w:spacing w:after="0" w:line="240" w:lineRule="auto"/>
        <w:jc w:val="both"/>
        <w:rPr>
          <w:rFonts w:ascii="Arial" w:hAnsi="Arial" w:cs="Arial"/>
          <w:szCs w:val="20"/>
        </w:rPr>
      </w:pPr>
      <w:r w:rsidRPr="00A32AF4">
        <w:rPr>
          <w:rFonts w:ascii="Arial" w:hAnsi="Arial" w:cs="Arial"/>
          <w:szCs w:val="20"/>
        </w:rPr>
        <w:t>Le programme continuera de faire en sorte que les recommandations et principes du Plan d</w:t>
      </w:r>
      <w:r w:rsidR="00E2055A" w:rsidRPr="00A32AF4">
        <w:rPr>
          <w:rFonts w:ascii="Arial" w:hAnsi="Arial" w:cs="Arial"/>
          <w:szCs w:val="20"/>
        </w:rPr>
        <w:t>’</w:t>
      </w:r>
      <w:r w:rsidRPr="00A32AF4">
        <w:rPr>
          <w:rFonts w:ascii="Arial" w:hAnsi="Arial" w:cs="Arial"/>
          <w:szCs w:val="20"/>
        </w:rPr>
        <w:t>action pour le développement soient pris en considération de manière appropriée, réactive et durable dans l</w:t>
      </w:r>
      <w:r w:rsidR="00E2055A" w:rsidRPr="00A32AF4">
        <w:rPr>
          <w:rFonts w:ascii="Arial" w:hAnsi="Arial" w:cs="Arial"/>
          <w:szCs w:val="20"/>
        </w:rPr>
        <w:t>’</w:t>
      </w:r>
      <w:r w:rsidRPr="00A32AF4">
        <w:rPr>
          <w:rFonts w:ascii="Arial" w:hAnsi="Arial" w:cs="Arial"/>
          <w:szCs w:val="20"/>
        </w:rPr>
        <w:t>ensemble des travaux de l</w:t>
      </w:r>
      <w:r w:rsidR="00E2055A" w:rsidRPr="00A32AF4">
        <w:rPr>
          <w:rFonts w:ascii="Arial" w:hAnsi="Arial" w:cs="Arial"/>
          <w:szCs w:val="20"/>
        </w:rPr>
        <w:t>’</w:t>
      </w:r>
      <w:r w:rsidRPr="00A32AF4">
        <w:rPr>
          <w:rFonts w:ascii="Arial" w:hAnsi="Arial" w:cs="Arial"/>
          <w:szCs w:val="20"/>
        </w:rPr>
        <w:t xml:space="preserve">Organisation axés sur le développement.  </w:t>
      </w:r>
      <w:r w:rsidR="005B53BA" w:rsidRPr="00A32AF4">
        <w:rPr>
          <w:rFonts w:ascii="Arial" w:hAnsi="Arial" w:cs="Arial"/>
          <w:szCs w:val="20"/>
        </w:rPr>
        <w:t xml:space="preserve">Il </w:t>
      </w:r>
      <w:r w:rsidRPr="00A32AF4">
        <w:rPr>
          <w:rFonts w:ascii="Arial" w:hAnsi="Arial" w:cs="Arial"/>
          <w:szCs w:val="20"/>
        </w:rPr>
        <w:t>faciliter</w:t>
      </w:r>
      <w:r w:rsidR="005B53BA" w:rsidRPr="00A32AF4">
        <w:rPr>
          <w:rFonts w:ascii="Arial" w:hAnsi="Arial" w:cs="Arial"/>
          <w:szCs w:val="20"/>
        </w:rPr>
        <w:t>a</w:t>
      </w:r>
      <w:r w:rsidRPr="00A32AF4">
        <w:rPr>
          <w:rFonts w:ascii="Arial" w:hAnsi="Arial" w:cs="Arial"/>
          <w:szCs w:val="20"/>
        </w:rPr>
        <w:t xml:space="preserve"> l</w:t>
      </w:r>
      <w:r w:rsidR="005B53BA" w:rsidRPr="00A32AF4">
        <w:rPr>
          <w:rFonts w:ascii="Arial" w:hAnsi="Arial" w:cs="Arial"/>
          <w:szCs w:val="20"/>
        </w:rPr>
        <w:t xml:space="preserve">a mise en œuvre des </w:t>
      </w:r>
      <w:r w:rsidRPr="00A32AF4">
        <w:rPr>
          <w:rFonts w:ascii="Arial" w:hAnsi="Arial" w:cs="Arial"/>
          <w:szCs w:val="20"/>
        </w:rPr>
        <w:t>décisions de l</w:t>
      </w:r>
      <w:r w:rsidR="00E2055A" w:rsidRPr="00A32AF4">
        <w:rPr>
          <w:rFonts w:ascii="Arial" w:hAnsi="Arial" w:cs="Arial"/>
          <w:szCs w:val="20"/>
        </w:rPr>
        <w:t>’</w:t>
      </w:r>
      <w:r w:rsidRPr="00A32AF4">
        <w:rPr>
          <w:rFonts w:ascii="Arial" w:hAnsi="Arial" w:cs="Arial"/>
          <w:szCs w:val="20"/>
        </w:rPr>
        <w:t>Assemblée générale de l</w:t>
      </w:r>
      <w:r w:rsidR="00E2055A" w:rsidRPr="00A32AF4">
        <w:rPr>
          <w:rFonts w:ascii="Arial" w:hAnsi="Arial" w:cs="Arial"/>
          <w:szCs w:val="20"/>
        </w:rPr>
        <w:t>’</w:t>
      </w:r>
      <w:r w:rsidRPr="00A32AF4">
        <w:rPr>
          <w:rFonts w:ascii="Arial" w:hAnsi="Arial" w:cs="Arial"/>
          <w:szCs w:val="20"/>
        </w:rPr>
        <w:t>OMPI et du Comité du développement et de la propriété intellectuelle (CDIP), moyennant une coordination active dans tous les secteurs de l</w:t>
      </w:r>
      <w:r w:rsidR="00E2055A" w:rsidRPr="00A32AF4">
        <w:rPr>
          <w:rFonts w:ascii="Arial" w:hAnsi="Arial" w:cs="Arial"/>
          <w:szCs w:val="20"/>
        </w:rPr>
        <w:t>’</w:t>
      </w:r>
      <w:r w:rsidRPr="00A32AF4">
        <w:rPr>
          <w:rFonts w:ascii="Arial" w:hAnsi="Arial" w:cs="Arial"/>
          <w:szCs w:val="20"/>
        </w:rPr>
        <w:t xml:space="preserve">OMPI et une étroite collaboration avec les États membres.  À cet égard, le programme </w:t>
      </w:r>
      <w:r w:rsidR="005B53BA" w:rsidRPr="00A32AF4">
        <w:rPr>
          <w:rFonts w:ascii="Arial" w:hAnsi="Arial" w:cs="Arial"/>
          <w:szCs w:val="20"/>
        </w:rPr>
        <w:t>appuiera</w:t>
      </w:r>
      <w:r w:rsidRPr="00A32AF4">
        <w:rPr>
          <w:rFonts w:ascii="Arial" w:hAnsi="Arial" w:cs="Arial"/>
          <w:szCs w:val="20"/>
        </w:rPr>
        <w:t xml:space="preserve"> les nouveaux projets et les nouvelles activités proposés par les États membres</w:t>
      </w:r>
      <w:r w:rsidR="005B53BA" w:rsidRPr="00A32AF4">
        <w:rPr>
          <w:rFonts w:ascii="Arial" w:hAnsi="Arial" w:cs="Arial"/>
          <w:szCs w:val="20"/>
        </w:rPr>
        <w:t xml:space="preserve"> et leur mise en œuvre par les programmes concernés au sein de l</w:t>
      </w:r>
      <w:r w:rsidR="00E2055A" w:rsidRPr="00A32AF4">
        <w:rPr>
          <w:rFonts w:ascii="Arial" w:hAnsi="Arial" w:cs="Arial"/>
          <w:szCs w:val="20"/>
        </w:rPr>
        <w:t>’</w:t>
      </w:r>
      <w:r w:rsidR="005B53BA" w:rsidRPr="00A32AF4">
        <w:rPr>
          <w:rFonts w:ascii="Arial" w:hAnsi="Arial" w:cs="Arial"/>
          <w:szCs w:val="20"/>
        </w:rPr>
        <w:t>Organisation</w:t>
      </w:r>
      <w:r w:rsidRPr="00A32AF4">
        <w:rPr>
          <w:rFonts w:ascii="Arial" w:hAnsi="Arial" w:cs="Arial"/>
          <w:szCs w:val="20"/>
        </w:rPr>
        <w:t>.</w:t>
      </w:r>
    </w:p>
    <w:p w:rsidR="00F93B76" w:rsidRPr="00A32AF4" w:rsidRDefault="00F93B76" w:rsidP="00DC0553">
      <w:pPr>
        <w:tabs>
          <w:tab w:val="left" w:pos="567"/>
        </w:tabs>
        <w:autoSpaceDE w:val="0"/>
        <w:autoSpaceDN w:val="0"/>
        <w:adjustRightInd w:val="0"/>
        <w:jc w:val="both"/>
        <w:rPr>
          <w:rFonts w:cs="Arial"/>
        </w:rPr>
      </w:pPr>
    </w:p>
    <w:p w:rsidR="00F93B76" w:rsidRPr="00A32AF4" w:rsidRDefault="00CD1430" w:rsidP="00DC0553">
      <w:pPr>
        <w:pStyle w:val="ListParagraph"/>
        <w:numPr>
          <w:ilvl w:val="1"/>
          <w:numId w:val="19"/>
        </w:numPr>
        <w:tabs>
          <w:tab w:val="left" w:pos="567"/>
        </w:tabs>
        <w:autoSpaceDE w:val="0"/>
        <w:autoSpaceDN w:val="0"/>
        <w:adjustRightInd w:val="0"/>
        <w:spacing w:after="0" w:line="240" w:lineRule="auto"/>
        <w:jc w:val="both"/>
        <w:rPr>
          <w:rFonts w:ascii="Arial" w:hAnsi="Arial" w:cs="Arial"/>
          <w:szCs w:val="20"/>
        </w:rPr>
      </w:pPr>
      <w:proofErr w:type="gramStart"/>
      <w:r w:rsidRPr="00A32AF4">
        <w:rPr>
          <w:rFonts w:ascii="Arial" w:hAnsi="Arial" w:cs="Arial"/>
          <w:szCs w:val="20"/>
        </w:rPr>
        <w:t>Le programme continuera d</w:t>
      </w:r>
      <w:r w:rsidR="00E2055A" w:rsidRPr="00A32AF4">
        <w:rPr>
          <w:rFonts w:ascii="Arial" w:hAnsi="Arial" w:cs="Arial"/>
          <w:szCs w:val="20"/>
        </w:rPr>
        <w:t>’</w:t>
      </w:r>
      <w:r w:rsidRPr="00A32AF4">
        <w:rPr>
          <w:rFonts w:ascii="Arial" w:hAnsi="Arial" w:cs="Arial"/>
          <w:szCs w:val="20"/>
        </w:rPr>
        <w:t>appuyer les travaux du CDIP afin, notamment, de faciliter les processus de négociation entre les États membres;  d</w:t>
      </w:r>
      <w:r w:rsidR="00E2055A" w:rsidRPr="00A32AF4">
        <w:rPr>
          <w:rFonts w:ascii="Arial" w:hAnsi="Arial" w:cs="Arial"/>
          <w:szCs w:val="20"/>
        </w:rPr>
        <w:t>’</w:t>
      </w:r>
      <w:r w:rsidRPr="00A32AF4">
        <w:rPr>
          <w:rFonts w:ascii="Arial" w:hAnsi="Arial" w:cs="Arial"/>
          <w:szCs w:val="20"/>
        </w:rPr>
        <w:t>élaborer des stratégies en vue de la mise en œuvre des recommandations du Plan d</w:t>
      </w:r>
      <w:r w:rsidR="00E2055A" w:rsidRPr="00A32AF4">
        <w:rPr>
          <w:rFonts w:ascii="Arial" w:hAnsi="Arial" w:cs="Arial"/>
          <w:szCs w:val="20"/>
        </w:rPr>
        <w:t>’</w:t>
      </w:r>
      <w:r w:rsidRPr="00A32AF4">
        <w:rPr>
          <w:rFonts w:ascii="Arial" w:hAnsi="Arial" w:cs="Arial"/>
          <w:szCs w:val="20"/>
        </w:rPr>
        <w:t>action pour le développement;  de coordonner la planification, la mise en œuvre, le suivi, l</w:t>
      </w:r>
      <w:r w:rsidR="00E2055A" w:rsidRPr="00A32AF4">
        <w:rPr>
          <w:rFonts w:ascii="Arial" w:hAnsi="Arial" w:cs="Arial"/>
          <w:szCs w:val="20"/>
        </w:rPr>
        <w:t>’</w:t>
      </w:r>
      <w:r w:rsidRPr="00A32AF4">
        <w:rPr>
          <w:rFonts w:ascii="Arial" w:hAnsi="Arial" w:cs="Arial"/>
          <w:szCs w:val="20"/>
        </w:rPr>
        <w:t>évaluation et l</w:t>
      </w:r>
      <w:r w:rsidR="00E2055A" w:rsidRPr="00A32AF4">
        <w:rPr>
          <w:rFonts w:ascii="Arial" w:hAnsi="Arial" w:cs="Arial"/>
          <w:szCs w:val="20"/>
        </w:rPr>
        <w:t>’</w:t>
      </w:r>
      <w:r w:rsidRPr="00A32AF4">
        <w:rPr>
          <w:rFonts w:ascii="Arial" w:hAnsi="Arial" w:cs="Arial"/>
          <w:szCs w:val="20"/>
        </w:rPr>
        <w:t>établissement de rapports efficaces en ce qui concerne les projets relatifs au Plan d</w:t>
      </w:r>
      <w:r w:rsidR="00E2055A" w:rsidRPr="00A32AF4">
        <w:rPr>
          <w:rFonts w:ascii="Arial" w:hAnsi="Arial" w:cs="Arial"/>
          <w:szCs w:val="20"/>
        </w:rPr>
        <w:t>’</w:t>
      </w:r>
      <w:r w:rsidRPr="00A32AF4">
        <w:rPr>
          <w:rFonts w:ascii="Arial" w:hAnsi="Arial" w:cs="Arial"/>
          <w:szCs w:val="20"/>
        </w:rPr>
        <w:t>action pour le développement et les activités intégrées conduites à cet effet;  de mettre en œuvre les recommandations et les activités découlant de l</w:t>
      </w:r>
      <w:r w:rsidR="00E2055A" w:rsidRPr="00A32AF4">
        <w:rPr>
          <w:rFonts w:ascii="Arial" w:hAnsi="Arial" w:cs="Arial"/>
          <w:szCs w:val="20"/>
        </w:rPr>
        <w:t>’</w:t>
      </w:r>
      <w:r w:rsidRPr="00A32AF4">
        <w:rPr>
          <w:rFonts w:ascii="Arial" w:hAnsi="Arial" w:cs="Arial"/>
          <w:szCs w:val="20"/>
        </w:rPr>
        <w:t>examen indépendant;  et d</w:t>
      </w:r>
      <w:r w:rsidR="00E2055A" w:rsidRPr="00A32AF4">
        <w:rPr>
          <w:rFonts w:ascii="Arial" w:hAnsi="Arial" w:cs="Arial"/>
          <w:szCs w:val="20"/>
        </w:rPr>
        <w:t>’</w:t>
      </w:r>
      <w:r w:rsidRPr="00A32AF4">
        <w:rPr>
          <w:rFonts w:ascii="Arial" w:hAnsi="Arial" w:cs="Arial"/>
          <w:szCs w:val="20"/>
        </w:rPr>
        <w:t>appuyer la diffusion d</w:t>
      </w:r>
      <w:r w:rsidR="00E2055A" w:rsidRPr="00A32AF4">
        <w:rPr>
          <w:rFonts w:ascii="Arial" w:hAnsi="Arial" w:cs="Arial"/>
          <w:szCs w:val="20"/>
        </w:rPr>
        <w:t>’</w:t>
      </w:r>
      <w:r w:rsidRPr="00A32AF4">
        <w:rPr>
          <w:rFonts w:ascii="Arial" w:hAnsi="Arial" w:cs="Arial"/>
          <w:szCs w:val="20"/>
        </w:rPr>
        <w:t>informations et la sensibilisation aux questions en rapport avec le Plan d</w:t>
      </w:r>
      <w:r w:rsidR="00E2055A" w:rsidRPr="00A32AF4">
        <w:rPr>
          <w:rFonts w:ascii="Arial" w:hAnsi="Arial" w:cs="Arial"/>
          <w:szCs w:val="20"/>
        </w:rPr>
        <w:t>’</w:t>
      </w:r>
      <w:r w:rsidRPr="00A32AF4">
        <w:rPr>
          <w:rFonts w:ascii="Arial" w:hAnsi="Arial" w:cs="Arial"/>
          <w:szCs w:val="20"/>
        </w:rPr>
        <w:t>action pour le développement.</w:t>
      </w:r>
      <w:proofErr w:type="gramEnd"/>
      <w:r w:rsidRPr="00A32AF4">
        <w:rPr>
          <w:rFonts w:ascii="Arial" w:hAnsi="Arial" w:cs="Arial"/>
          <w:szCs w:val="20"/>
        </w:rPr>
        <w:t xml:space="preserve">  Les projets mis en œuvre au titre du Plan d</w:t>
      </w:r>
      <w:r w:rsidR="00E2055A" w:rsidRPr="00A32AF4">
        <w:rPr>
          <w:rFonts w:ascii="Arial" w:hAnsi="Arial" w:cs="Arial"/>
          <w:szCs w:val="20"/>
        </w:rPr>
        <w:t>’</w:t>
      </w:r>
      <w:r w:rsidRPr="00A32AF4">
        <w:rPr>
          <w:rFonts w:ascii="Arial" w:hAnsi="Arial" w:cs="Arial"/>
          <w:szCs w:val="20"/>
        </w:rPr>
        <w:t xml:space="preserve">action pour le développement, </w:t>
      </w:r>
      <w:r w:rsidR="00E2055A" w:rsidRPr="00A32AF4">
        <w:rPr>
          <w:rFonts w:ascii="Arial" w:hAnsi="Arial" w:cs="Arial"/>
          <w:szCs w:val="20"/>
        </w:rPr>
        <w:t>y compris</w:t>
      </w:r>
      <w:r w:rsidRPr="00A32AF4">
        <w:rPr>
          <w:rFonts w:ascii="Arial" w:hAnsi="Arial" w:cs="Arial"/>
          <w:szCs w:val="20"/>
        </w:rPr>
        <w:t xml:space="preserve"> les phases ultérieures des projets en cours, approuvés par le CDIP, continueront d</w:t>
      </w:r>
      <w:r w:rsidR="00E2055A" w:rsidRPr="00A32AF4">
        <w:rPr>
          <w:rFonts w:ascii="Arial" w:hAnsi="Arial" w:cs="Arial"/>
          <w:szCs w:val="20"/>
        </w:rPr>
        <w:t>’</w:t>
      </w:r>
      <w:r w:rsidRPr="00A32AF4">
        <w:rPr>
          <w:rFonts w:ascii="Arial" w:hAnsi="Arial" w:cs="Arial"/>
          <w:szCs w:val="20"/>
        </w:rPr>
        <w:t>être intégralement financés conformément à la procédure budgétaire appliquée aux projets, figurant dans le document A/48/5 Rev., approuvée par les États membres en 2010.</w:t>
      </w:r>
    </w:p>
    <w:p w:rsidR="00F93B76" w:rsidRPr="00A32AF4" w:rsidRDefault="00F93B76" w:rsidP="00DC0553">
      <w:pPr>
        <w:tabs>
          <w:tab w:val="left" w:pos="567"/>
        </w:tabs>
        <w:autoSpaceDE w:val="0"/>
        <w:autoSpaceDN w:val="0"/>
        <w:adjustRightInd w:val="0"/>
        <w:jc w:val="both"/>
        <w:rPr>
          <w:rFonts w:cs="Arial"/>
        </w:rPr>
      </w:pPr>
    </w:p>
    <w:p w:rsidR="00E2055A" w:rsidRPr="00A32AF4" w:rsidRDefault="00CD1430" w:rsidP="00DC0553">
      <w:pPr>
        <w:pStyle w:val="ListParagraph"/>
        <w:numPr>
          <w:ilvl w:val="1"/>
          <w:numId w:val="19"/>
        </w:numPr>
        <w:tabs>
          <w:tab w:val="left" w:pos="567"/>
        </w:tabs>
        <w:autoSpaceDE w:val="0"/>
        <w:autoSpaceDN w:val="0"/>
        <w:adjustRightInd w:val="0"/>
        <w:spacing w:after="0" w:line="240" w:lineRule="auto"/>
        <w:jc w:val="both"/>
        <w:rPr>
          <w:rFonts w:ascii="Arial" w:hAnsi="Arial" w:cs="Arial"/>
          <w:szCs w:val="20"/>
        </w:rPr>
      </w:pPr>
      <w:r w:rsidRPr="00A32AF4">
        <w:rPr>
          <w:rFonts w:ascii="Arial" w:hAnsi="Arial" w:cs="Arial"/>
          <w:szCs w:val="20"/>
        </w:rPr>
        <w:t>Une conférence internationale sur la propriété intellectuelle et le développement sera organisée au cours de l</w:t>
      </w:r>
      <w:r w:rsidR="00E2055A" w:rsidRPr="00A32AF4">
        <w:rPr>
          <w:rFonts w:ascii="Arial" w:hAnsi="Arial" w:cs="Arial"/>
          <w:szCs w:val="20"/>
        </w:rPr>
        <w:t>’</w:t>
      </w:r>
      <w:r w:rsidRPr="00A32AF4">
        <w:rPr>
          <w:rFonts w:ascii="Arial" w:hAnsi="Arial" w:cs="Arial"/>
          <w:szCs w:val="20"/>
        </w:rPr>
        <w:t>exercice biennal 2016</w:t>
      </w:r>
      <w:r w:rsidR="00EB7F54" w:rsidRPr="00A32AF4">
        <w:rPr>
          <w:rFonts w:ascii="Arial" w:hAnsi="Arial" w:cs="Arial"/>
          <w:szCs w:val="20"/>
        </w:rPr>
        <w:noBreakHyphen/>
      </w:r>
      <w:r w:rsidRPr="00A32AF4">
        <w:rPr>
          <w:rFonts w:ascii="Arial" w:hAnsi="Arial" w:cs="Arial"/>
          <w:szCs w:val="20"/>
        </w:rPr>
        <w:t xml:space="preserve">2017.  En outre, le programme continuera de faciliter </w:t>
      </w:r>
      <w:r w:rsidR="00072DBC" w:rsidRPr="00A32AF4">
        <w:rPr>
          <w:rFonts w:ascii="Arial" w:hAnsi="Arial" w:cs="Arial"/>
          <w:szCs w:val="20"/>
        </w:rPr>
        <w:t>l</w:t>
      </w:r>
      <w:r w:rsidR="00E2055A" w:rsidRPr="00A32AF4">
        <w:rPr>
          <w:rFonts w:ascii="Arial" w:hAnsi="Arial" w:cs="Arial"/>
          <w:szCs w:val="20"/>
        </w:rPr>
        <w:t>’</w:t>
      </w:r>
      <w:r w:rsidR="00072DBC" w:rsidRPr="00A32AF4">
        <w:rPr>
          <w:rFonts w:ascii="Arial" w:hAnsi="Arial" w:cs="Arial"/>
          <w:szCs w:val="20"/>
        </w:rPr>
        <w:t>examen et la mise en œuvre de toute activité nouvelle liée</w:t>
      </w:r>
      <w:r w:rsidRPr="00A32AF4">
        <w:rPr>
          <w:rFonts w:ascii="Arial" w:hAnsi="Arial" w:cs="Arial"/>
          <w:szCs w:val="20"/>
        </w:rPr>
        <w:t xml:space="preserve"> à la propriété intellectuelle et au développement, ainsi que l</w:t>
      </w:r>
      <w:r w:rsidR="00E2055A" w:rsidRPr="00A32AF4">
        <w:rPr>
          <w:rFonts w:ascii="Arial" w:hAnsi="Arial" w:cs="Arial"/>
          <w:szCs w:val="20"/>
        </w:rPr>
        <w:t>’</w:t>
      </w:r>
      <w:r w:rsidRPr="00A32AF4">
        <w:rPr>
          <w:rFonts w:ascii="Arial" w:hAnsi="Arial" w:cs="Arial"/>
          <w:szCs w:val="20"/>
        </w:rPr>
        <w:t>on</w:t>
      </w:r>
      <w:r w:rsidR="00C21E51" w:rsidRPr="00A32AF4">
        <w:rPr>
          <w:rFonts w:ascii="Arial" w:hAnsi="Arial" w:cs="Arial"/>
          <w:szCs w:val="20"/>
        </w:rPr>
        <w:t>t</w:t>
      </w:r>
      <w:r w:rsidRPr="00A32AF4">
        <w:rPr>
          <w:rFonts w:ascii="Arial" w:hAnsi="Arial" w:cs="Arial"/>
          <w:szCs w:val="20"/>
        </w:rPr>
        <w:t xml:space="preserve"> </w:t>
      </w:r>
      <w:r w:rsidR="00072DBC" w:rsidRPr="00A32AF4">
        <w:rPr>
          <w:rFonts w:ascii="Arial" w:hAnsi="Arial" w:cs="Arial"/>
          <w:szCs w:val="20"/>
        </w:rPr>
        <w:t xml:space="preserve">demandé </w:t>
      </w:r>
      <w:r w:rsidRPr="00A32AF4">
        <w:rPr>
          <w:rFonts w:ascii="Arial" w:hAnsi="Arial" w:cs="Arial"/>
          <w:szCs w:val="20"/>
        </w:rPr>
        <w:t>le CDIP et l</w:t>
      </w:r>
      <w:r w:rsidR="00E2055A" w:rsidRPr="00A32AF4">
        <w:rPr>
          <w:rFonts w:ascii="Arial" w:hAnsi="Arial" w:cs="Arial"/>
          <w:szCs w:val="20"/>
        </w:rPr>
        <w:t>’</w:t>
      </w:r>
      <w:r w:rsidRPr="00A32AF4">
        <w:rPr>
          <w:rFonts w:ascii="Arial" w:hAnsi="Arial" w:cs="Arial"/>
          <w:szCs w:val="20"/>
        </w:rPr>
        <w:t>Assemblée générale</w:t>
      </w:r>
      <w:r w:rsidR="00072DBC" w:rsidRPr="00A32AF4">
        <w:rPr>
          <w:rFonts w:ascii="Arial" w:hAnsi="Arial" w:cs="Arial"/>
          <w:szCs w:val="20"/>
        </w:rPr>
        <w:t xml:space="preserve"> de l</w:t>
      </w:r>
      <w:r w:rsidR="00E2055A" w:rsidRPr="00A32AF4">
        <w:rPr>
          <w:rFonts w:ascii="Arial" w:hAnsi="Arial" w:cs="Arial"/>
          <w:szCs w:val="20"/>
        </w:rPr>
        <w:t>’</w:t>
      </w:r>
      <w:r w:rsidR="00072DBC" w:rsidRPr="00A32AF4">
        <w:rPr>
          <w:rFonts w:ascii="Arial" w:hAnsi="Arial" w:cs="Arial"/>
          <w:szCs w:val="20"/>
        </w:rPr>
        <w:t>OMPI</w:t>
      </w:r>
      <w:r w:rsidRPr="00A32AF4">
        <w:rPr>
          <w:rFonts w:ascii="Arial" w:hAnsi="Arial" w:cs="Arial"/>
          <w:szCs w:val="20"/>
        </w:rPr>
        <w:t>.</w:t>
      </w:r>
    </w:p>
    <w:p w:rsidR="00F93B76" w:rsidRPr="00A32AF4" w:rsidRDefault="00F93B76" w:rsidP="00DC0553">
      <w:pPr>
        <w:tabs>
          <w:tab w:val="left" w:pos="567"/>
        </w:tabs>
        <w:autoSpaceDE w:val="0"/>
        <w:autoSpaceDN w:val="0"/>
        <w:adjustRightInd w:val="0"/>
        <w:jc w:val="both"/>
        <w:rPr>
          <w:rFonts w:cs="Arial"/>
        </w:rPr>
      </w:pPr>
    </w:p>
    <w:p w:rsidR="00F93B76" w:rsidRPr="00A32AF4" w:rsidRDefault="00F93B76" w:rsidP="00DC0553">
      <w:pPr>
        <w:tabs>
          <w:tab w:val="left" w:pos="567"/>
        </w:tabs>
        <w:autoSpaceDE w:val="0"/>
        <w:autoSpaceDN w:val="0"/>
        <w:adjustRightInd w:val="0"/>
        <w:jc w:val="both"/>
        <w:rPr>
          <w:rFonts w:cs="Arial"/>
        </w:rPr>
      </w:pPr>
    </w:p>
    <w:p w:rsidR="00F93B76" w:rsidRPr="00A32AF4" w:rsidRDefault="00CD1430" w:rsidP="00DC0553">
      <w:pPr>
        <w:keepNext/>
        <w:rPr>
          <w:caps/>
        </w:rPr>
      </w:pPr>
      <w:bookmarkStart w:id="39" w:name="_Toc418588771"/>
      <w:r w:rsidRPr="00A32AF4">
        <w:rPr>
          <w:caps/>
        </w:rPr>
        <w:t>Principaux risques et stratégies d</w:t>
      </w:r>
      <w:r w:rsidR="00E2055A" w:rsidRPr="00A32AF4">
        <w:rPr>
          <w:caps/>
        </w:rPr>
        <w:t>’</w:t>
      </w:r>
      <w:r w:rsidRPr="00A32AF4">
        <w:rPr>
          <w:caps/>
        </w:rPr>
        <w:t>atténuation</w:t>
      </w:r>
      <w:bookmarkEnd w:id="39"/>
    </w:p>
    <w:p w:rsidR="00CD1430" w:rsidRPr="00A32AF4" w:rsidRDefault="00CD1430" w:rsidP="00DC0553">
      <w:pPr>
        <w:keepNext/>
        <w:autoSpaceDE w:val="0"/>
        <w:autoSpaceDN w:val="0"/>
        <w:adjustRightInd w:val="0"/>
        <w:jc w:val="both"/>
        <w:rPr>
          <w:rFonts w:cs="Arial"/>
        </w:rPr>
      </w:pPr>
    </w:p>
    <w:tbl>
      <w:tblPr>
        <w:tblW w:w="9214"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326"/>
        <w:gridCol w:w="4888"/>
      </w:tblGrid>
      <w:tr w:rsidR="0038294E" w:rsidRPr="00A32AF4" w:rsidTr="001453BE">
        <w:trPr>
          <w:trHeight w:val="577"/>
        </w:trPr>
        <w:tc>
          <w:tcPr>
            <w:tcW w:w="4326" w:type="dxa"/>
            <w:tcBorders>
              <w:top w:val="single" w:sz="4" w:space="0" w:color="auto"/>
              <w:bottom w:val="single" w:sz="4" w:space="0" w:color="auto"/>
            </w:tcBorders>
            <w:shd w:val="clear" w:color="auto" w:fill="C6D9F1" w:themeFill="text2" w:themeFillTint="33"/>
            <w:vAlign w:val="center"/>
          </w:tcPr>
          <w:p w:rsidR="00CD1430" w:rsidRPr="00A32AF4" w:rsidRDefault="00CD1430" w:rsidP="00DC0553">
            <w:pPr>
              <w:keepNext/>
              <w:jc w:val="center"/>
              <w:rPr>
                <w:b/>
                <w:bCs/>
                <w:sz w:val="18"/>
                <w:szCs w:val="18"/>
              </w:rPr>
            </w:pPr>
            <w:r w:rsidRPr="00A32AF4">
              <w:rPr>
                <w:b/>
                <w:bCs/>
                <w:sz w:val="18"/>
                <w:szCs w:val="18"/>
              </w:rPr>
              <w:t>Risque</w:t>
            </w:r>
            <w:r w:rsidR="00D27E4C" w:rsidRPr="00A32AF4">
              <w:rPr>
                <w:b/>
                <w:bCs/>
                <w:sz w:val="18"/>
                <w:szCs w:val="18"/>
              </w:rPr>
              <w:t>s</w:t>
            </w:r>
          </w:p>
        </w:tc>
        <w:tc>
          <w:tcPr>
            <w:tcW w:w="4888" w:type="dxa"/>
            <w:tcBorders>
              <w:top w:val="single" w:sz="4" w:space="0" w:color="auto"/>
              <w:bottom w:val="single" w:sz="4" w:space="0" w:color="auto"/>
            </w:tcBorders>
            <w:shd w:val="clear" w:color="auto" w:fill="C6D9F1" w:themeFill="text2" w:themeFillTint="33"/>
            <w:vAlign w:val="center"/>
          </w:tcPr>
          <w:p w:rsidR="00CD1430" w:rsidRPr="00A32AF4" w:rsidRDefault="00FD3E7B" w:rsidP="00DC0553">
            <w:pPr>
              <w:keepNext/>
              <w:jc w:val="center"/>
              <w:rPr>
                <w:b/>
                <w:bCs/>
                <w:sz w:val="18"/>
                <w:szCs w:val="18"/>
              </w:rPr>
            </w:pPr>
            <w:r w:rsidRPr="00A32AF4">
              <w:rPr>
                <w:b/>
                <w:bCs/>
                <w:sz w:val="18"/>
                <w:szCs w:val="18"/>
              </w:rPr>
              <w:t>Stratégie</w:t>
            </w:r>
            <w:r w:rsidR="00D27E4C" w:rsidRPr="00A32AF4">
              <w:rPr>
                <w:b/>
                <w:bCs/>
                <w:sz w:val="18"/>
                <w:szCs w:val="18"/>
              </w:rPr>
              <w:t>s</w:t>
            </w:r>
            <w:r w:rsidRPr="00A32AF4">
              <w:rPr>
                <w:b/>
                <w:bCs/>
                <w:sz w:val="18"/>
                <w:szCs w:val="18"/>
              </w:rPr>
              <w:t xml:space="preserve"> d</w:t>
            </w:r>
            <w:r w:rsidR="00E2055A" w:rsidRPr="00A32AF4">
              <w:rPr>
                <w:b/>
                <w:bCs/>
                <w:sz w:val="18"/>
                <w:szCs w:val="18"/>
              </w:rPr>
              <w:t>’</w:t>
            </w:r>
            <w:r w:rsidRPr="00A32AF4">
              <w:rPr>
                <w:b/>
                <w:bCs/>
                <w:sz w:val="18"/>
                <w:szCs w:val="18"/>
              </w:rPr>
              <w:t>atténuation</w:t>
            </w:r>
          </w:p>
        </w:tc>
      </w:tr>
      <w:tr w:rsidR="00CD1430" w:rsidRPr="00A32AF4" w:rsidTr="001453BE">
        <w:trPr>
          <w:trHeight w:val="507"/>
        </w:trPr>
        <w:tc>
          <w:tcPr>
            <w:tcW w:w="4326" w:type="dxa"/>
            <w:tcBorders>
              <w:top w:val="single" w:sz="4" w:space="0" w:color="auto"/>
              <w:left w:val="single" w:sz="4" w:space="0" w:color="auto"/>
              <w:bottom w:val="single" w:sz="4" w:space="0" w:color="auto"/>
              <w:right w:val="nil"/>
            </w:tcBorders>
            <w:shd w:val="clear" w:color="auto" w:fill="auto"/>
            <w:tcMar>
              <w:top w:w="113" w:type="dxa"/>
              <w:bottom w:w="113" w:type="dxa"/>
            </w:tcMar>
          </w:tcPr>
          <w:p w:rsidR="00CD1430" w:rsidRPr="00A32AF4" w:rsidRDefault="00CD1430" w:rsidP="00DC0553">
            <w:pPr>
              <w:rPr>
                <w:sz w:val="16"/>
                <w:szCs w:val="16"/>
              </w:rPr>
            </w:pPr>
            <w:r w:rsidRPr="00A32AF4">
              <w:rPr>
                <w:sz w:val="16"/>
                <w:szCs w:val="16"/>
              </w:rPr>
              <w:t>Points de vue divergents des États membres concernant l</w:t>
            </w:r>
            <w:r w:rsidR="00E2055A" w:rsidRPr="00A32AF4">
              <w:rPr>
                <w:sz w:val="16"/>
                <w:szCs w:val="16"/>
              </w:rPr>
              <w:t>’</w:t>
            </w:r>
            <w:r w:rsidRPr="00A32AF4">
              <w:rPr>
                <w:sz w:val="16"/>
                <w:szCs w:val="16"/>
              </w:rPr>
              <w:t>intégration des recommandations du Plan d</w:t>
            </w:r>
            <w:r w:rsidR="00E2055A" w:rsidRPr="00A32AF4">
              <w:rPr>
                <w:sz w:val="16"/>
                <w:szCs w:val="16"/>
              </w:rPr>
              <w:t>’</w:t>
            </w:r>
            <w:r w:rsidRPr="00A32AF4">
              <w:rPr>
                <w:sz w:val="16"/>
                <w:szCs w:val="16"/>
              </w:rPr>
              <w:t>action pour le développement dans les travaux de l</w:t>
            </w:r>
            <w:r w:rsidR="00E2055A" w:rsidRPr="00A32AF4">
              <w:rPr>
                <w:sz w:val="16"/>
                <w:szCs w:val="16"/>
              </w:rPr>
              <w:t>’</w:t>
            </w:r>
            <w:r w:rsidRPr="00A32AF4">
              <w:rPr>
                <w:sz w:val="16"/>
                <w:szCs w:val="16"/>
              </w:rPr>
              <w:t>OMPI</w:t>
            </w:r>
          </w:p>
        </w:tc>
        <w:tc>
          <w:tcPr>
            <w:tcW w:w="4888" w:type="dxa"/>
            <w:tcBorders>
              <w:top w:val="single" w:sz="4" w:space="0" w:color="auto"/>
              <w:left w:val="nil"/>
              <w:bottom w:val="single" w:sz="4" w:space="0" w:color="auto"/>
              <w:right w:val="single" w:sz="4" w:space="0" w:color="auto"/>
            </w:tcBorders>
            <w:shd w:val="clear" w:color="auto" w:fill="auto"/>
            <w:tcMar>
              <w:top w:w="113" w:type="dxa"/>
              <w:bottom w:w="113" w:type="dxa"/>
            </w:tcMar>
          </w:tcPr>
          <w:p w:rsidR="00CD1430" w:rsidRPr="00A32AF4" w:rsidRDefault="00CD1430" w:rsidP="00DC0553">
            <w:pPr>
              <w:rPr>
                <w:sz w:val="16"/>
                <w:szCs w:val="16"/>
              </w:rPr>
            </w:pPr>
            <w:r w:rsidRPr="00A32AF4">
              <w:rPr>
                <w:sz w:val="16"/>
                <w:szCs w:val="16"/>
              </w:rPr>
              <w:t>Engager des consultations régulières avec les États membres pour faciliter une convergence de vues quant à l</w:t>
            </w:r>
            <w:r w:rsidR="00E2055A" w:rsidRPr="00A32AF4">
              <w:rPr>
                <w:sz w:val="16"/>
                <w:szCs w:val="16"/>
              </w:rPr>
              <w:t>’</w:t>
            </w:r>
            <w:r w:rsidRPr="00A32AF4">
              <w:rPr>
                <w:sz w:val="16"/>
                <w:szCs w:val="16"/>
              </w:rPr>
              <w:t>intégration des recommandations du Plan d</w:t>
            </w:r>
            <w:r w:rsidR="00E2055A" w:rsidRPr="00A32AF4">
              <w:rPr>
                <w:sz w:val="16"/>
                <w:szCs w:val="16"/>
              </w:rPr>
              <w:t>’</w:t>
            </w:r>
            <w:r w:rsidRPr="00A32AF4">
              <w:rPr>
                <w:sz w:val="16"/>
                <w:szCs w:val="16"/>
              </w:rPr>
              <w:t>action pour le développement.</w:t>
            </w:r>
          </w:p>
        </w:tc>
      </w:tr>
    </w:tbl>
    <w:p w:rsidR="00F93B76" w:rsidRPr="00A32AF4" w:rsidRDefault="00F93B76" w:rsidP="00DC0553"/>
    <w:p w:rsidR="00F93B76" w:rsidRPr="00A32AF4" w:rsidRDefault="00F93B76" w:rsidP="00DC0553"/>
    <w:p w:rsidR="00F93B76" w:rsidRPr="00A32AF4" w:rsidRDefault="00CD1430" w:rsidP="00DC0553">
      <w:pPr>
        <w:rPr>
          <w:caps/>
        </w:rPr>
      </w:pPr>
      <w:bookmarkStart w:id="40" w:name="_Toc418588772"/>
      <w:r w:rsidRPr="00A32AF4">
        <w:rPr>
          <w:caps/>
        </w:rPr>
        <w:t>Tableau des résultats</w:t>
      </w:r>
      <w:bookmarkEnd w:id="40"/>
    </w:p>
    <w:p w:rsidR="00CD1430" w:rsidRPr="00A32AF4" w:rsidRDefault="00CD1430" w:rsidP="00DC0553"/>
    <w:tbl>
      <w:tblPr>
        <w:tblW w:w="9229" w:type="dxa"/>
        <w:tblInd w:w="93" w:type="dxa"/>
        <w:tblLook w:val="04A0" w:firstRow="1" w:lastRow="0" w:firstColumn="1" w:lastColumn="0" w:noHBand="0" w:noVBand="1"/>
      </w:tblPr>
      <w:tblGrid>
        <w:gridCol w:w="2440"/>
        <w:gridCol w:w="2580"/>
        <w:gridCol w:w="1920"/>
        <w:gridCol w:w="2289"/>
      </w:tblGrid>
      <w:tr w:rsidR="0038294E" w:rsidRPr="00A32AF4" w:rsidTr="00075D09">
        <w:tc>
          <w:tcPr>
            <w:tcW w:w="2440" w:type="dxa"/>
            <w:tcBorders>
              <w:top w:val="single" w:sz="4" w:space="0" w:color="auto"/>
              <w:left w:val="single" w:sz="4" w:space="0" w:color="auto"/>
              <w:bottom w:val="single" w:sz="4" w:space="0" w:color="auto"/>
              <w:right w:val="nil"/>
            </w:tcBorders>
            <w:shd w:val="clear" w:color="auto" w:fill="C6D9F1" w:themeFill="text2" w:themeFillTint="33"/>
            <w:tcMar>
              <w:top w:w="113" w:type="dxa"/>
              <w:bottom w:w="113" w:type="dxa"/>
            </w:tcMar>
            <w:vAlign w:val="center"/>
            <w:hideMark/>
          </w:tcPr>
          <w:p w:rsidR="00CD1430" w:rsidRPr="00A32AF4" w:rsidRDefault="00CD1430" w:rsidP="00DC0553">
            <w:pPr>
              <w:jc w:val="center"/>
              <w:rPr>
                <w:b/>
                <w:bCs/>
                <w:sz w:val="18"/>
                <w:szCs w:val="18"/>
              </w:rPr>
            </w:pPr>
            <w:r w:rsidRPr="00A32AF4">
              <w:rPr>
                <w:b/>
                <w:bCs/>
                <w:sz w:val="18"/>
                <w:szCs w:val="18"/>
              </w:rPr>
              <w:t>Résultats escomptés</w:t>
            </w:r>
          </w:p>
        </w:tc>
        <w:tc>
          <w:tcPr>
            <w:tcW w:w="2580" w:type="dxa"/>
            <w:tcBorders>
              <w:top w:val="single" w:sz="4" w:space="0" w:color="auto"/>
              <w:left w:val="nil"/>
              <w:bottom w:val="single" w:sz="4" w:space="0" w:color="auto"/>
              <w:right w:val="nil"/>
            </w:tcBorders>
            <w:shd w:val="clear" w:color="auto" w:fill="C6D9F1" w:themeFill="text2" w:themeFillTint="33"/>
            <w:tcMar>
              <w:top w:w="113" w:type="dxa"/>
              <w:bottom w:w="113" w:type="dxa"/>
            </w:tcMar>
            <w:vAlign w:val="center"/>
            <w:hideMark/>
          </w:tcPr>
          <w:p w:rsidR="00CD1430" w:rsidRPr="00A32AF4" w:rsidRDefault="00CD1430" w:rsidP="00DC0553">
            <w:pPr>
              <w:jc w:val="center"/>
              <w:rPr>
                <w:b/>
                <w:bCs/>
                <w:sz w:val="18"/>
                <w:szCs w:val="18"/>
              </w:rPr>
            </w:pPr>
            <w:r w:rsidRPr="00A32AF4">
              <w:rPr>
                <w:b/>
                <w:bCs/>
                <w:sz w:val="18"/>
                <w:szCs w:val="18"/>
              </w:rPr>
              <w:t>Indicateurs d</w:t>
            </w:r>
            <w:r w:rsidR="00E2055A" w:rsidRPr="00A32AF4">
              <w:rPr>
                <w:b/>
                <w:bCs/>
                <w:sz w:val="18"/>
                <w:szCs w:val="18"/>
              </w:rPr>
              <w:t>’</w:t>
            </w:r>
            <w:r w:rsidRPr="00A32AF4">
              <w:rPr>
                <w:b/>
                <w:bCs/>
                <w:sz w:val="18"/>
                <w:szCs w:val="18"/>
              </w:rPr>
              <w:t>exécution</w:t>
            </w:r>
          </w:p>
        </w:tc>
        <w:tc>
          <w:tcPr>
            <w:tcW w:w="1920" w:type="dxa"/>
            <w:tcBorders>
              <w:top w:val="single" w:sz="4" w:space="0" w:color="auto"/>
              <w:left w:val="nil"/>
              <w:bottom w:val="single" w:sz="4" w:space="0" w:color="auto"/>
              <w:right w:val="nil"/>
            </w:tcBorders>
            <w:shd w:val="clear" w:color="auto" w:fill="C6D9F1" w:themeFill="text2" w:themeFillTint="33"/>
            <w:tcMar>
              <w:top w:w="113" w:type="dxa"/>
              <w:bottom w:w="113" w:type="dxa"/>
            </w:tcMar>
            <w:vAlign w:val="center"/>
            <w:hideMark/>
          </w:tcPr>
          <w:p w:rsidR="00CD1430" w:rsidRPr="00A32AF4" w:rsidRDefault="00CD1430" w:rsidP="00DC0553">
            <w:pPr>
              <w:jc w:val="center"/>
              <w:rPr>
                <w:b/>
                <w:bCs/>
                <w:sz w:val="18"/>
                <w:szCs w:val="18"/>
              </w:rPr>
            </w:pPr>
            <w:r w:rsidRPr="00A32AF4">
              <w:rPr>
                <w:b/>
                <w:bCs/>
                <w:sz w:val="18"/>
                <w:szCs w:val="18"/>
              </w:rPr>
              <w:t>Niveau de référence</w:t>
            </w:r>
          </w:p>
        </w:tc>
        <w:tc>
          <w:tcPr>
            <w:tcW w:w="2289" w:type="dxa"/>
            <w:tcBorders>
              <w:top w:val="single" w:sz="4" w:space="0" w:color="auto"/>
              <w:left w:val="nil"/>
              <w:bottom w:val="single" w:sz="4" w:space="0" w:color="auto"/>
              <w:right w:val="single" w:sz="4" w:space="0" w:color="auto"/>
            </w:tcBorders>
            <w:shd w:val="clear" w:color="auto" w:fill="C6D9F1" w:themeFill="text2" w:themeFillTint="33"/>
            <w:tcMar>
              <w:top w:w="113" w:type="dxa"/>
              <w:bottom w:w="113" w:type="dxa"/>
            </w:tcMar>
            <w:vAlign w:val="center"/>
            <w:hideMark/>
          </w:tcPr>
          <w:p w:rsidR="00CD1430" w:rsidRPr="00A32AF4" w:rsidRDefault="00CD1430" w:rsidP="00DC0553">
            <w:pPr>
              <w:jc w:val="center"/>
              <w:rPr>
                <w:b/>
                <w:bCs/>
                <w:sz w:val="18"/>
                <w:szCs w:val="18"/>
              </w:rPr>
            </w:pPr>
            <w:r w:rsidRPr="00A32AF4">
              <w:rPr>
                <w:b/>
                <w:bCs/>
                <w:sz w:val="18"/>
                <w:szCs w:val="18"/>
              </w:rPr>
              <w:t>Objectifs visés</w:t>
            </w:r>
          </w:p>
        </w:tc>
      </w:tr>
      <w:tr w:rsidR="0038294E" w:rsidRPr="00A32AF4" w:rsidTr="00114BFD">
        <w:tc>
          <w:tcPr>
            <w:tcW w:w="2440" w:type="dxa"/>
            <w:tcBorders>
              <w:top w:val="nil"/>
              <w:left w:val="single" w:sz="4" w:space="0" w:color="auto"/>
              <w:bottom w:val="nil"/>
              <w:right w:val="nil"/>
            </w:tcBorders>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 xml:space="preserve">III.3 </w:t>
            </w:r>
            <w:r w:rsidR="00114BFD" w:rsidRPr="00A32AF4">
              <w:rPr>
                <w:sz w:val="16"/>
                <w:szCs w:val="16"/>
              </w:rPr>
              <w:t>Intégration des recommandations du Plan d</w:t>
            </w:r>
            <w:r w:rsidR="00E2055A" w:rsidRPr="00A32AF4">
              <w:rPr>
                <w:sz w:val="16"/>
                <w:szCs w:val="16"/>
              </w:rPr>
              <w:t>’</w:t>
            </w:r>
            <w:r w:rsidR="00114BFD" w:rsidRPr="00A32AF4">
              <w:rPr>
                <w:sz w:val="16"/>
                <w:szCs w:val="16"/>
              </w:rPr>
              <w:t>action pour le développement dans les travaux de l</w:t>
            </w:r>
            <w:r w:rsidR="00E2055A" w:rsidRPr="00A32AF4">
              <w:rPr>
                <w:sz w:val="16"/>
                <w:szCs w:val="16"/>
              </w:rPr>
              <w:t>’</w:t>
            </w:r>
            <w:r w:rsidR="00114BFD" w:rsidRPr="00A32AF4">
              <w:rPr>
                <w:sz w:val="16"/>
                <w:szCs w:val="16"/>
              </w:rPr>
              <w:t>OMPI</w:t>
            </w:r>
          </w:p>
        </w:tc>
        <w:tc>
          <w:tcPr>
            <w:tcW w:w="2580" w:type="dxa"/>
            <w:tcBorders>
              <w:top w:val="nil"/>
              <w:left w:val="nil"/>
              <w:bottom w:val="nil"/>
              <w:right w:val="nil"/>
            </w:tcBorders>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Principes de développement énoncés dans les recommandations du Plan d</w:t>
            </w:r>
            <w:r w:rsidR="00E2055A" w:rsidRPr="00A32AF4">
              <w:rPr>
                <w:sz w:val="16"/>
                <w:szCs w:val="16"/>
              </w:rPr>
              <w:t>’</w:t>
            </w:r>
            <w:r w:rsidRPr="00A32AF4">
              <w:rPr>
                <w:sz w:val="16"/>
                <w:szCs w:val="16"/>
              </w:rPr>
              <w:t>action pour le développement efficacement intégrés dans les programmes de l</w:t>
            </w:r>
            <w:r w:rsidR="00E2055A" w:rsidRPr="00A32AF4">
              <w:rPr>
                <w:sz w:val="16"/>
                <w:szCs w:val="16"/>
              </w:rPr>
              <w:t>’</w:t>
            </w:r>
            <w:r w:rsidRPr="00A32AF4">
              <w:rPr>
                <w:sz w:val="16"/>
                <w:szCs w:val="16"/>
              </w:rPr>
              <w:t>OMPI</w:t>
            </w:r>
          </w:p>
        </w:tc>
        <w:tc>
          <w:tcPr>
            <w:tcW w:w="1920" w:type="dxa"/>
            <w:tcBorders>
              <w:top w:val="nil"/>
              <w:left w:val="nil"/>
              <w:bottom w:val="nil"/>
              <w:right w:val="nil"/>
            </w:tcBorders>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sans objet (nouvel indicateur d</w:t>
            </w:r>
            <w:r w:rsidR="00E2055A" w:rsidRPr="00A32AF4">
              <w:rPr>
                <w:sz w:val="16"/>
                <w:szCs w:val="16"/>
              </w:rPr>
              <w:t>’</w:t>
            </w:r>
            <w:r w:rsidRPr="00A32AF4">
              <w:rPr>
                <w:sz w:val="16"/>
                <w:szCs w:val="16"/>
              </w:rPr>
              <w:t>exécution)</w:t>
            </w:r>
          </w:p>
        </w:tc>
        <w:tc>
          <w:tcPr>
            <w:tcW w:w="2289" w:type="dxa"/>
            <w:tcBorders>
              <w:top w:val="nil"/>
              <w:left w:val="nil"/>
              <w:bottom w:val="nil"/>
              <w:right w:val="single" w:sz="4" w:space="0" w:color="auto"/>
            </w:tcBorders>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Intégration accrue des principes énoncés dans les 45 recommandations du Plan d</w:t>
            </w:r>
            <w:r w:rsidR="00E2055A" w:rsidRPr="00A32AF4">
              <w:rPr>
                <w:sz w:val="16"/>
                <w:szCs w:val="16"/>
              </w:rPr>
              <w:t>’</w:t>
            </w:r>
            <w:r w:rsidRPr="00A32AF4">
              <w:rPr>
                <w:sz w:val="16"/>
                <w:szCs w:val="16"/>
              </w:rPr>
              <w:t>action pour le développement dans les programmes de l</w:t>
            </w:r>
            <w:r w:rsidR="00E2055A" w:rsidRPr="00A32AF4">
              <w:rPr>
                <w:sz w:val="16"/>
                <w:szCs w:val="16"/>
              </w:rPr>
              <w:t>’</w:t>
            </w:r>
            <w:r w:rsidRPr="00A32AF4">
              <w:rPr>
                <w:sz w:val="16"/>
                <w:szCs w:val="16"/>
              </w:rPr>
              <w:t>OMPI</w:t>
            </w:r>
          </w:p>
        </w:tc>
      </w:tr>
      <w:tr w:rsidR="0038294E" w:rsidRPr="00A32AF4" w:rsidTr="00114BFD">
        <w:tc>
          <w:tcPr>
            <w:tcW w:w="2440" w:type="dxa"/>
            <w:tcBorders>
              <w:top w:val="nil"/>
              <w:left w:val="single" w:sz="4" w:space="0" w:color="auto"/>
              <w:bottom w:val="nil"/>
              <w:right w:val="nil"/>
            </w:tcBorders>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 </w:t>
            </w:r>
          </w:p>
        </w:tc>
        <w:tc>
          <w:tcPr>
            <w:tcW w:w="2580" w:type="dxa"/>
            <w:tcBorders>
              <w:top w:val="nil"/>
              <w:left w:val="nil"/>
              <w:bottom w:val="nil"/>
              <w:right w:val="nil"/>
            </w:tcBorders>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Suivi efficace de la mise en œuvre des recommandations de l</w:t>
            </w:r>
            <w:r w:rsidR="00E2055A" w:rsidRPr="00A32AF4">
              <w:rPr>
                <w:sz w:val="16"/>
                <w:szCs w:val="16"/>
              </w:rPr>
              <w:t>’</w:t>
            </w:r>
            <w:r w:rsidRPr="00A32AF4">
              <w:rPr>
                <w:sz w:val="16"/>
                <w:szCs w:val="16"/>
              </w:rPr>
              <w:t>examen indépendant du Plan d</w:t>
            </w:r>
            <w:r w:rsidR="00E2055A" w:rsidRPr="00A32AF4">
              <w:rPr>
                <w:sz w:val="16"/>
                <w:szCs w:val="16"/>
              </w:rPr>
              <w:t>’</w:t>
            </w:r>
            <w:r w:rsidRPr="00A32AF4">
              <w:rPr>
                <w:sz w:val="16"/>
                <w:szCs w:val="16"/>
              </w:rPr>
              <w:t>action pour le développement</w:t>
            </w:r>
          </w:p>
        </w:tc>
        <w:tc>
          <w:tcPr>
            <w:tcW w:w="1920" w:type="dxa"/>
            <w:tcBorders>
              <w:top w:val="nil"/>
              <w:left w:val="nil"/>
              <w:bottom w:val="nil"/>
              <w:right w:val="nil"/>
            </w:tcBorders>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sans objet (nouvel indicateur d</w:t>
            </w:r>
            <w:r w:rsidR="00E2055A" w:rsidRPr="00A32AF4">
              <w:rPr>
                <w:sz w:val="16"/>
                <w:szCs w:val="16"/>
              </w:rPr>
              <w:t>’</w:t>
            </w:r>
            <w:r w:rsidRPr="00A32AF4">
              <w:rPr>
                <w:sz w:val="16"/>
                <w:szCs w:val="16"/>
              </w:rPr>
              <w:t>exécution)</w:t>
            </w:r>
          </w:p>
        </w:tc>
        <w:tc>
          <w:tcPr>
            <w:tcW w:w="2289" w:type="dxa"/>
            <w:tcBorders>
              <w:top w:val="nil"/>
              <w:left w:val="nil"/>
              <w:bottom w:val="nil"/>
              <w:right w:val="single" w:sz="4" w:space="0" w:color="auto"/>
            </w:tcBorders>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L</w:t>
            </w:r>
            <w:r w:rsidR="00E2055A" w:rsidRPr="00A32AF4">
              <w:rPr>
                <w:sz w:val="16"/>
                <w:szCs w:val="16"/>
              </w:rPr>
              <w:t>’</w:t>
            </w:r>
            <w:r w:rsidRPr="00A32AF4">
              <w:rPr>
                <w:sz w:val="16"/>
                <w:szCs w:val="16"/>
              </w:rPr>
              <w:t>OMPI dispose d</w:t>
            </w:r>
            <w:r w:rsidR="00E2055A" w:rsidRPr="00A32AF4">
              <w:rPr>
                <w:sz w:val="16"/>
                <w:szCs w:val="16"/>
              </w:rPr>
              <w:t>’</w:t>
            </w:r>
            <w:r w:rsidRPr="00A32AF4">
              <w:rPr>
                <w:sz w:val="16"/>
                <w:szCs w:val="16"/>
              </w:rPr>
              <w:t>un système efficace pour suivre la mise en œuvre des recommandations découlant de l</w:t>
            </w:r>
            <w:r w:rsidR="00E2055A" w:rsidRPr="00A32AF4">
              <w:rPr>
                <w:sz w:val="16"/>
                <w:szCs w:val="16"/>
              </w:rPr>
              <w:t>’</w:t>
            </w:r>
            <w:r w:rsidRPr="00A32AF4">
              <w:rPr>
                <w:sz w:val="16"/>
                <w:szCs w:val="16"/>
              </w:rPr>
              <w:t>examen</w:t>
            </w:r>
          </w:p>
        </w:tc>
      </w:tr>
      <w:tr w:rsidR="0038294E" w:rsidRPr="00A32AF4" w:rsidTr="00114BFD">
        <w:tc>
          <w:tcPr>
            <w:tcW w:w="2440" w:type="dxa"/>
            <w:tcBorders>
              <w:top w:val="nil"/>
              <w:left w:val="single" w:sz="4" w:space="0" w:color="auto"/>
              <w:bottom w:val="nil"/>
              <w:right w:val="nil"/>
            </w:tcBorders>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 </w:t>
            </w:r>
          </w:p>
        </w:tc>
        <w:tc>
          <w:tcPr>
            <w:tcW w:w="2580" w:type="dxa"/>
            <w:tcBorders>
              <w:top w:val="nil"/>
              <w:left w:val="nil"/>
              <w:bottom w:val="nil"/>
              <w:right w:val="nil"/>
            </w:tcBorders>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Mécanisme amélioré pour la création, la mise en œuvre, le suivi et l</w:t>
            </w:r>
            <w:r w:rsidR="00E2055A" w:rsidRPr="00A32AF4">
              <w:rPr>
                <w:sz w:val="16"/>
                <w:szCs w:val="16"/>
              </w:rPr>
              <w:t>’</w:t>
            </w:r>
            <w:r w:rsidRPr="00A32AF4">
              <w:rPr>
                <w:sz w:val="16"/>
                <w:szCs w:val="16"/>
              </w:rPr>
              <w:t>évaluation de nouveaux projets et de nouvelles activités relatifs au Plan d</w:t>
            </w:r>
            <w:r w:rsidR="00E2055A" w:rsidRPr="00A32AF4">
              <w:rPr>
                <w:sz w:val="16"/>
                <w:szCs w:val="16"/>
              </w:rPr>
              <w:t>’</w:t>
            </w:r>
            <w:r w:rsidRPr="00A32AF4">
              <w:rPr>
                <w:sz w:val="16"/>
                <w:szCs w:val="16"/>
              </w:rPr>
              <w:t>action pour le développement</w:t>
            </w:r>
            <w:r w:rsidR="00072DBC" w:rsidRPr="00A32AF4">
              <w:rPr>
                <w:sz w:val="16"/>
                <w:szCs w:val="16"/>
              </w:rPr>
              <w:t xml:space="preserve"> et l</w:t>
            </w:r>
            <w:r w:rsidR="00E2055A" w:rsidRPr="00A32AF4">
              <w:rPr>
                <w:sz w:val="16"/>
                <w:szCs w:val="16"/>
              </w:rPr>
              <w:t>’</w:t>
            </w:r>
            <w:r w:rsidR="00072DBC" w:rsidRPr="00A32AF4">
              <w:rPr>
                <w:sz w:val="16"/>
                <w:szCs w:val="16"/>
              </w:rPr>
              <w:t>établissement de rapports sur ces projets et activités</w:t>
            </w:r>
          </w:p>
        </w:tc>
        <w:tc>
          <w:tcPr>
            <w:tcW w:w="1920" w:type="dxa"/>
            <w:tcBorders>
              <w:top w:val="nil"/>
              <w:left w:val="nil"/>
              <w:bottom w:val="nil"/>
              <w:right w:val="nil"/>
            </w:tcBorders>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sans objet (nouvel indicateur d</w:t>
            </w:r>
            <w:r w:rsidR="00E2055A" w:rsidRPr="00A32AF4">
              <w:rPr>
                <w:sz w:val="16"/>
                <w:szCs w:val="16"/>
              </w:rPr>
              <w:t>’</w:t>
            </w:r>
            <w:r w:rsidRPr="00A32AF4">
              <w:rPr>
                <w:sz w:val="16"/>
                <w:szCs w:val="16"/>
              </w:rPr>
              <w:t>exécution)</w:t>
            </w:r>
          </w:p>
        </w:tc>
        <w:tc>
          <w:tcPr>
            <w:tcW w:w="2289" w:type="dxa"/>
            <w:tcBorders>
              <w:top w:val="nil"/>
              <w:left w:val="nil"/>
              <w:bottom w:val="nil"/>
              <w:right w:val="single" w:sz="4" w:space="0" w:color="auto"/>
            </w:tcBorders>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Nouveau mécanisme prenant en considération les recommandations découlant de l</w:t>
            </w:r>
            <w:r w:rsidR="00E2055A" w:rsidRPr="00A32AF4">
              <w:rPr>
                <w:sz w:val="16"/>
                <w:szCs w:val="16"/>
              </w:rPr>
              <w:t>’</w:t>
            </w:r>
            <w:r w:rsidRPr="00A32AF4">
              <w:rPr>
                <w:sz w:val="16"/>
                <w:szCs w:val="16"/>
              </w:rPr>
              <w:t>évaluation des projets relatifs au Plan d</w:t>
            </w:r>
            <w:r w:rsidR="00E2055A" w:rsidRPr="00A32AF4">
              <w:rPr>
                <w:sz w:val="16"/>
                <w:szCs w:val="16"/>
              </w:rPr>
              <w:t>’</w:t>
            </w:r>
            <w:r w:rsidRPr="00A32AF4">
              <w:rPr>
                <w:sz w:val="16"/>
                <w:szCs w:val="16"/>
              </w:rPr>
              <w:t>action pour le développement examinés durant les douzième, treizième, quatorzième et quinzième sessions du CDIP.</w:t>
            </w:r>
          </w:p>
        </w:tc>
      </w:tr>
      <w:tr w:rsidR="0038294E" w:rsidRPr="00A32AF4" w:rsidTr="00114BFD">
        <w:tc>
          <w:tcPr>
            <w:tcW w:w="2440" w:type="dxa"/>
            <w:tcBorders>
              <w:top w:val="nil"/>
              <w:left w:val="single" w:sz="4" w:space="0" w:color="auto"/>
              <w:bottom w:val="nil"/>
              <w:right w:val="nil"/>
            </w:tcBorders>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 xml:space="preserve">III.5 </w:t>
            </w:r>
            <w:r w:rsidR="00114BFD" w:rsidRPr="00A32AF4">
              <w:rPr>
                <w:sz w:val="16"/>
                <w:szCs w:val="16"/>
              </w:rPr>
              <w:t>Meilleure connaissance du Plan d</w:t>
            </w:r>
            <w:r w:rsidR="00E2055A" w:rsidRPr="00A32AF4">
              <w:rPr>
                <w:sz w:val="16"/>
                <w:szCs w:val="16"/>
              </w:rPr>
              <w:t>’</w:t>
            </w:r>
            <w:r w:rsidR="00114BFD" w:rsidRPr="00A32AF4">
              <w:rPr>
                <w:sz w:val="16"/>
                <w:szCs w:val="16"/>
              </w:rPr>
              <w:t>action pour le développement de la part des États membres, des organisations intergouvernementales, de la société civile et d</w:t>
            </w:r>
            <w:r w:rsidR="00E2055A" w:rsidRPr="00A32AF4">
              <w:rPr>
                <w:sz w:val="16"/>
                <w:szCs w:val="16"/>
              </w:rPr>
              <w:t>’</w:t>
            </w:r>
            <w:r w:rsidR="00114BFD" w:rsidRPr="00A32AF4">
              <w:rPr>
                <w:sz w:val="16"/>
                <w:szCs w:val="16"/>
              </w:rPr>
              <w:t>autres parties prenantes</w:t>
            </w:r>
          </w:p>
        </w:tc>
        <w:tc>
          <w:tcPr>
            <w:tcW w:w="2580" w:type="dxa"/>
            <w:tcBorders>
              <w:top w:val="nil"/>
              <w:left w:val="nil"/>
              <w:bottom w:val="nil"/>
              <w:right w:val="nil"/>
            </w:tcBorders>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Les activités d</w:t>
            </w:r>
            <w:r w:rsidR="00E2055A" w:rsidRPr="00A32AF4">
              <w:rPr>
                <w:sz w:val="16"/>
                <w:szCs w:val="16"/>
              </w:rPr>
              <w:t>’</w:t>
            </w:r>
            <w:r w:rsidRPr="00A32AF4">
              <w:rPr>
                <w:sz w:val="16"/>
                <w:szCs w:val="16"/>
              </w:rPr>
              <w:t>assistance technique menées par l</w:t>
            </w:r>
            <w:r w:rsidR="00E2055A" w:rsidRPr="00A32AF4">
              <w:rPr>
                <w:sz w:val="16"/>
                <w:szCs w:val="16"/>
              </w:rPr>
              <w:t>’</w:t>
            </w:r>
            <w:r w:rsidRPr="00A32AF4">
              <w:rPr>
                <w:sz w:val="16"/>
                <w:szCs w:val="16"/>
              </w:rPr>
              <w:t>OMPI tiennent compte de la dimension du Plan d</w:t>
            </w:r>
            <w:r w:rsidR="00E2055A" w:rsidRPr="00A32AF4">
              <w:rPr>
                <w:sz w:val="16"/>
                <w:szCs w:val="16"/>
              </w:rPr>
              <w:t>’</w:t>
            </w:r>
            <w:r w:rsidRPr="00A32AF4">
              <w:rPr>
                <w:sz w:val="16"/>
                <w:szCs w:val="16"/>
              </w:rPr>
              <w:t>action pour le développement et des résultats des projets relatifs au Plan d</w:t>
            </w:r>
            <w:r w:rsidR="00E2055A" w:rsidRPr="00A32AF4">
              <w:rPr>
                <w:sz w:val="16"/>
                <w:szCs w:val="16"/>
              </w:rPr>
              <w:t>’</w:t>
            </w:r>
            <w:r w:rsidRPr="00A32AF4">
              <w:rPr>
                <w:sz w:val="16"/>
                <w:szCs w:val="16"/>
              </w:rPr>
              <w:t>action pour le développement.</w:t>
            </w:r>
          </w:p>
        </w:tc>
        <w:tc>
          <w:tcPr>
            <w:tcW w:w="1920" w:type="dxa"/>
            <w:tcBorders>
              <w:top w:val="nil"/>
              <w:left w:val="nil"/>
              <w:bottom w:val="nil"/>
              <w:right w:val="nil"/>
            </w:tcBorders>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sans objet (nouvel indicateur d</w:t>
            </w:r>
            <w:r w:rsidR="00E2055A" w:rsidRPr="00A32AF4">
              <w:rPr>
                <w:sz w:val="16"/>
                <w:szCs w:val="16"/>
              </w:rPr>
              <w:t>’</w:t>
            </w:r>
            <w:r w:rsidRPr="00A32AF4">
              <w:rPr>
                <w:sz w:val="16"/>
                <w:szCs w:val="16"/>
              </w:rPr>
              <w:t>exécution)</w:t>
            </w:r>
          </w:p>
        </w:tc>
        <w:tc>
          <w:tcPr>
            <w:tcW w:w="2289" w:type="dxa"/>
            <w:tcBorders>
              <w:top w:val="nil"/>
              <w:left w:val="nil"/>
              <w:bottom w:val="nil"/>
              <w:right w:val="single" w:sz="4" w:space="0" w:color="auto"/>
            </w:tcBorders>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Système mis en place pour assurer que toutes les activités d</w:t>
            </w:r>
            <w:r w:rsidR="00E2055A" w:rsidRPr="00A32AF4">
              <w:rPr>
                <w:sz w:val="16"/>
                <w:szCs w:val="16"/>
              </w:rPr>
              <w:t>’</w:t>
            </w:r>
            <w:r w:rsidRPr="00A32AF4">
              <w:rPr>
                <w:sz w:val="16"/>
                <w:szCs w:val="16"/>
              </w:rPr>
              <w:t>assistance technique menées soient conformes aux principes du Plan d</w:t>
            </w:r>
            <w:r w:rsidR="00E2055A" w:rsidRPr="00A32AF4">
              <w:rPr>
                <w:sz w:val="16"/>
                <w:szCs w:val="16"/>
              </w:rPr>
              <w:t>’</w:t>
            </w:r>
            <w:r w:rsidRPr="00A32AF4">
              <w:rPr>
                <w:sz w:val="16"/>
                <w:szCs w:val="16"/>
              </w:rPr>
              <w:t>action pour le développement</w:t>
            </w:r>
          </w:p>
        </w:tc>
      </w:tr>
      <w:tr w:rsidR="0038294E" w:rsidRPr="00A32AF4" w:rsidTr="00114BFD">
        <w:tc>
          <w:tcPr>
            <w:tcW w:w="2440" w:type="dxa"/>
            <w:tcBorders>
              <w:top w:val="nil"/>
              <w:left w:val="single" w:sz="4" w:space="0" w:color="auto"/>
              <w:bottom w:val="single" w:sz="4" w:space="0" w:color="auto"/>
              <w:right w:val="nil"/>
            </w:tcBorders>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 </w:t>
            </w:r>
          </w:p>
        </w:tc>
        <w:tc>
          <w:tcPr>
            <w:tcW w:w="2580" w:type="dxa"/>
            <w:tcBorders>
              <w:top w:val="nil"/>
              <w:left w:val="nil"/>
              <w:bottom w:val="single" w:sz="4" w:space="0" w:color="auto"/>
              <w:right w:val="nil"/>
            </w:tcBorders>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Pourcentage de participants satisfaits dans les manifestations relatives au Plan d</w:t>
            </w:r>
            <w:r w:rsidR="00E2055A" w:rsidRPr="00A32AF4">
              <w:rPr>
                <w:sz w:val="16"/>
                <w:szCs w:val="16"/>
              </w:rPr>
              <w:t>’</w:t>
            </w:r>
            <w:r w:rsidRPr="00A32AF4">
              <w:rPr>
                <w:sz w:val="16"/>
                <w:szCs w:val="16"/>
              </w:rPr>
              <w:t>action de l</w:t>
            </w:r>
            <w:r w:rsidR="00E2055A" w:rsidRPr="00A32AF4">
              <w:rPr>
                <w:sz w:val="16"/>
                <w:szCs w:val="16"/>
              </w:rPr>
              <w:t>’</w:t>
            </w:r>
            <w:r w:rsidRPr="00A32AF4">
              <w:rPr>
                <w:sz w:val="16"/>
                <w:szCs w:val="16"/>
              </w:rPr>
              <w:t>OMPI pour le développement visant les États membres, les organisations intergouvernementales, la société civile et d</w:t>
            </w:r>
            <w:r w:rsidR="00E2055A" w:rsidRPr="00A32AF4">
              <w:rPr>
                <w:sz w:val="16"/>
                <w:szCs w:val="16"/>
              </w:rPr>
              <w:t>’</w:t>
            </w:r>
            <w:r w:rsidRPr="00A32AF4">
              <w:rPr>
                <w:sz w:val="16"/>
                <w:szCs w:val="16"/>
              </w:rPr>
              <w:t>autres parties prenantes</w:t>
            </w:r>
          </w:p>
        </w:tc>
        <w:tc>
          <w:tcPr>
            <w:tcW w:w="1920" w:type="dxa"/>
            <w:tcBorders>
              <w:top w:val="nil"/>
              <w:left w:val="nil"/>
              <w:bottom w:val="single" w:sz="4" w:space="0" w:color="auto"/>
              <w:right w:val="nil"/>
            </w:tcBorders>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sans objet en 2014 (selon Rapport sur l</w:t>
            </w:r>
            <w:r w:rsidR="00E2055A" w:rsidRPr="00A32AF4">
              <w:rPr>
                <w:sz w:val="16"/>
                <w:szCs w:val="16"/>
              </w:rPr>
              <w:t>’</w:t>
            </w:r>
            <w:r w:rsidRPr="00A32AF4">
              <w:rPr>
                <w:sz w:val="16"/>
                <w:szCs w:val="16"/>
              </w:rPr>
              <w:t>exécution du programme en 2014)</w:t>
            </w:r>
          </w:p>
        </w:tc>
        <w:tc>
          <w:tcPr>
            <w:tcW w:w="2289" w:type="dxa"/>
            <w:tcBorders>
              <w:top w:val="nil"/>
              <w:left w:val="nil"/>
              <w:bottom w:val="single" w:sz="4" w:space="0" w:color="auto"/>
              <w:right w:val="single" w:sz="4" w:space="0" w:color="auto"/>
            </w:tcBorders>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80%</w:t>
            </w:r>
          </w:p>
        </w:tc>
      </w:tr>
    </w:tbl>
    <w:p w:rsidR="00F93B76" w:rsidRPr="00A32AF4" w:rsidRDefault="00F93B76" w:rsidP="00DC0553"/>
    <w:p w:rsidR="00F93B76" w:rsidRPr="00A32AF4" w:rsidRDefault="00F93B76" w:rsidP="00DC0553"/>
    <w:p w:rsidR="00C314FE" w:rsidRPr="00A32AF4" w:rsidRDefault="00C314FE">
      <w:pPr>
        <w:rPr>
          <w:caps/>
        </w:rPr>
      </w:pPr>
      <w:r w:rsidRPr="00A32AF4">
        <w:rPr>
          <w:caps/>
        </w:rPr>
        <w:br w:type="page"/>
      </w:r>
    </w:p>
    <w:p w:rsidR="00F93B76" w:rsidRPr="00A32AF4" w:rsidRDefault="00DC2AF7" w:rsidP="00DC0553">
      <w:pPr>
        <w:rPr>
          <w:caps/>
        </w:rPr>
      </w:pPr>
      <w:r w:rsidRPr="00A32AF4">
        <w:rPr>
          <w:caps/>
        </w:rPr>
        <w:t>RESSOURCES ALLOUÉES AU PROGRAMME</w:t>
      </w:r>
      <w:r w:rsidR="00114BFD" w:rsidRPr="00A32AF4">
        <w:rPr>
          <w:caps/>
        </w:rPr>
        <w:t xml:space="preserve"> 8</w:t>
      </w:r>
    </w:p>
    <w:p w:rsidR="00F93B76" w:rsidRPr="00A32AF4" w:rsidRDefault="00F93B76" w:rsidP="00DC0553"/>
    <w:p w:rsidR="00E2055A" w:rsidRPr="00A32AF4" w:rsidRDefault="00D245CE" w:rsidP="00DC0553">
      <w:pPr>
        <w:pStyle w:val="ListParagraph"/>
        <w:numPr>
          <w:ilvl w:val="1"/>
          <w:numId w:val="19"/>
        </w:numPr>
        <w:tabs>
          <w:tab w:val="left" w:pos="567"/>
        </w:tabs>
        <w:autoSpaceDE w:val="0"/>
        <w:autoSpaceDN w:val="0"/>
        <w:adjustRightInd w:val="0"/>
        <w:spacing w:after="0" w:line="240" w:lineRule="auto"/>
        <w:jc w:val="both"/>
        <w:rPr>
          <w:rFonts w:ascii="Arial" w:hAnsi="Arial" w:cs="Arial"/>
        </w:rPr>
      </w:pPr>
      <w:r w:rsidRPr="00A32AF4">
        <w:rPr>
          <w:rFonts w:ascii="Arial" w:hAnsi="Arial" w:cs="Arial"/>
        </w:rPr>
        <w:t>Les ressources globales allouées au p</w:t>
      </w:r>
      <w:r w:rsidR="00114BFD" w:rsidRPr="00A32AF4">
        <w:rPr>
          <w:rFonts w:ascii="Arial" w:hAnsi="Arial" w:cs="Arial"/>
        </w:rPr>
        <w:t>rogram</w:t>
      </w:r>
      <w:r w:rsidRPr="00A32AF4">
        <w:rPr>
          <w:rFonts w:ascii="Arial" w:hAnsi="Arial" w:cs="Arial"/>
        </w:rPr>
        <w:t>me</w:t>
      </w:r>
      <w:r w:rsidR="00114BFD" w:rsidRPr="00A32AF4">
        <w:rPr>
          <w:rFonts w:ascii="Arial" w:hAnsi="Arial" w:cs="Arial"/>
        </w:rPr>
        <w:t xml:space="preserve"> 8 </w:t>
      </w:r>
      <w:r w:rsidRPr="00A32AF4">
        <w:rPr>
          <w:rFonts w:ascii="Arial" w:hAnsi="Arial" w:cs="Arial"/>
        </w:rPr>
        <w:t>pour l</w:t>
      </w:r>
      <w:r w:rsidR="00E2055A" w:rsidRPr="00A32AF4">
        <w:rPr>
          <w:rFonts w:ascii="Arial" w:hAnsi="Arial" w:cs="Arial"/>
        </w:rPr>
        <w:t>’</w:t>
      </w:r>
      <w:r w:rsidRPr="00A32AF4">
        <w:rPr>
          <w:rFonts w:ascii="Arial" w:hAnsi="Arial" w:cs="Arial"/>
        </w:rPr>
        <w:t>exercice biennal</w:t>
      </w:r>
      <w:r w:rsidR="00FD43E3" w:rsidRPr="00A32AF4">
        <w:rPr>
          <w:rFonts w:ascii="Arial" w:hAnsi="Arial" w:cs="Arial"/>
        </w:rPr>
        <w:t> </w:t>
      </w:r>
      <w:r w:rsidR="00114BFD" w:rsidRPr="00A32AF4">
        <w:rPr>
          <w:rFonts w:ascii="Arial" w:hAnsi="Arial" w:cs="Arial"/>
        </w:rPr>
        <w:t>2016</w:t>
      </w:r>
      <w:r w:rsidR="00EB7F54" w:rsidRPr="00A32AF4">
        <w:rPr>
          <w:rFonts w:ascii="Arial" w:hAnsi="Arial" w:cs="Arial"/>
        </w:rPr>
        <w:noBreakHyphen/>
      </w:r>
      <w:r w:rsidRPr="00A32AF4">
        <w:rPr>
          <w:rFonts w:ascii="Arial" w:hAnsi="Arial" w:cs="Arial"/>
        </w:rPr>
        <w:t>20</w:t>
      </w:r>
      <w:r w:rsidR="00114BFD" w:rsidRPr="00A32AF4">
        <w:rPr>
          <w:rFonts w:ascii="Arial" w:hAnsi="Arial" w:cs="Arial"/>
        </w:rPr>
        <w:t xml:space="preserve">17 </w:t>
      </w:r>
      <w:r w:rsidRPr="00A32AF4">
        <w:rPr>
          <w:rFonts w:ascii="Arial" w:hAnsi="Arial" w:cs="Arial"/>
        </w:rPr>
        <w:t xml:space="preserve">restent au même niveau que dans le budget </w:t>
      </w:r>
      <w:r w:rsidR="00114BFD" w:rsidRPr="00A32AF4">
        <w:rPr>
          <w:rFonts w:ascii="Arial" w:hAnsi="Arial" w:cs="Arial"/>
        </w:rPr>
        <w:t>2014</w:t>
      </w:r>
      <w:r w:rsidR="00EB7F54" w:rsidRPr="00A32AF4">
        <w:rPr>
          <w:rFonts w:ascii="Arial" w:hAnsi="Arial" w:cs="Arial"/>
        </w:rPr>
        <w:noBreakHyphen/>
      </w:r>
      <w:r w:rsidRPr="00A32AF4">
        <w:rPr>
          <w:rFonts w:ascii="Arial" w:hAnsi="Arial" w:cs="Arial"/>
        </w:rPr>
        <w:t>20</w:t>
      </w:r>
      <w:r w:rsidR="00114BFD" w:rsidRPr="00A32AF4">
        <w:rPr>
          <w:rFonts w:ascii="Arial" w:hAnsi="Arial" w:cs="Arial"/>
        </w:rPr>
        <w:t xml:space="preserve">15 </w:t>
      </w:r>
      <w:r w:rsidRPr="00A32AF4">
        <w:rPr>
          <w:rFonts w:ascii="Arial" w:hAnsi="Arial" w:cs="Arial"/>
        </w:rPr>
        <w:t>après virements</w:t>
      </w:r>
      <w:r w:rsidR="00114BFD" w:rsidRPr="00A32AF4">
        <w:rPr>
          <w:rFonts w:ascii="Arial" w:hAnsi="Arial" w:cs="Arial"/>
        </w:rPr>
        <w:t xml:space="preserve">.  </w:t>
      </w:r>
      <w:r w:rsidRPr="00A32AF4">
        <w:rPr>
          <w:rFonts w:ascii="Arial" w:hAnsi="Arial" w:cs="Arial"/>
        </w:rPr>
        <w:t xml:space="preserve">Les </w:t>
      </w:r>
      <w:r w:rsidR="00114BFD" w:rsidRPr="00A32AF4">
        <w:rPr>
          <w:rFonts w:ascii="Arial" w:hAnsi="Arial" w:cs="Arial"/>
        </w:rPr>
        <w:t>varia</w:t>
      </w:r>
      <w:r w:rsidRPr="00A32AF4">
        <w:rPr>
          <w:rFonts w:ascii="Arial" w:hAnsi="Arial" w:cs="Arial"/>
        </w:rPr>
        <w:t xml:space="preserve">tions entre les résultats escomptés </w:t>
      </w:r>
      <w:r w:rsidR="00114BFD" w:rsidRPr="00A32AF4">
        <w:rPr>
          <w:rFonts w:ascii="Arial" w:hAnsi="Arial" w:cs="Arial"/>
        </w:rPr>
        <w:t xml:space="preserve">III.3 </w:t>
      </w:r>
      <w:r w:rsidRPr="00A32AF4">
        <w:rPr>
          <w:rFonts w:ascii="Arial" w:hAnsi="Arial" w:cs="Arial"/>
        </w:rPr>
        <w:t xml:space="preserve">et </w:t>
      </w:r>
      <w:r w:rsidR="00114BFD" w:rsidRPr="00A32AF4">
        <w:rPr>
          <w:rFonts w:ascii="Arial" w:hAnsi="Arial" w:cs="Arial"/>
        </w:rPr>
        <w:t xml:space="preserve">III.5 </w:t>
      </w:r>
      <w:r w:rsidR="006A3066" w:rsidRPr="00A32AF4">
        <w:rPr>
          <w:rFonts w:ascii="Arial" w:hAnsi="Arial" w:cs="Arial"/>
        </w:rPr>
        <w:t>découlent essentiellement du report de la Conférence i</w:t>
      </w:r>
      <w:r w:rsidR="00114BFD" w:rsidRPr="00A32AF4">
        <w:rPr>
          <w:rFonts w:ascii="Arial" w:hAnsi="Arial" w:cs="Arial"/>
        </w:rPr>
        <w:t>nternational</w:t>
      </w:r>
      <w:r w:rsidR="006A3066" w:rsidRPr="00A32AF4">
        <w:rPr>
          <w:rFonts w:ascii="Arial" w:hAnsi="Arial" w:cs="Arial"/>
        </w:rPr>
        <w:t>e sur la propriété intellectuelle et le développement de</w:t>
      </w:r>
      <w:r w:rsidR="00FD43E3" w:rsidRPr="00A32AF4">
        <w:rPr>
          <w:rFonts w:ascii="Arial" w:hAnsi="Arial" w:cs="Arial"/>
        </w:rPr>
        <w:t> </w:t>
      </w:r>
      <w:r w:rsidR="00114BFD" w:rsidRPr="00A32AF4">
        <w:rPr>
          <w:rFonts w:ascii="Arial" w:hAnsi="Arial" w:cs="Arial"/>
        </w:rPr>
        <w:t>2014</w:t>
      </w:r>
      <w:r w:rsidR="00EB7F54" w:rsidRPr="00A32AF4">
        <w:rPr>
          <w:rFonts w:ascii="Arial" w:hAnsi="Arial" w:cs="Arial"/>
        </w:rPr>
        <w:noBreakHyphen/>
      </w:r>
      <w:r w:rsidR="006A3066" w:rsidRPr="00A32AF4">
        <w:rPr>
          <w:rFonts w:ascii="Arial" w:hAnsi="Arial" w:cs="Arial"/>
        </w:rPr>
        <w:t>20</w:t>
      </w:r>
      <w:r w:rsidR="00114BFD" w:rsidRPr="00A32AF4">
        <w:rPr>
          <w:rFonts w:ascii="Arial" w:hAnsi="Arial" w:cs="Arial"/>
        </w:rPr>
        <w:t xml:space="preserve">15 </w:t>
      </w:r>
      <w:r w:rsidR="006A3066" w:rsidRPr="00A32AF4">
        <w:rPr>
          <w:rFonts w:ascii="Arial" w:hAnsi="Arial" w:cs="Arial"/>
        </w:rPr>
        <w:t xml:space="preserve">à </w:t>
      </w:r>
      <w:r w:rsidR="00114BFD" w:rsidRPr="00A32AF4">
        <w:rPr>
          <w:rFonts w:ascii="Arial" w:hAnsi="Arial" w:cs="Arial"/>
        </w:rPr>
        <w:t>2016</w:t>
      </w:r>
      <w:r w:rsidR="00EB7F54" w:rsidRPr="00A32AF4">
        <w:rPr>
          <w:rFonts w:ascii="Arial" w:hAnsi="Arial" w:cs="Arial"/>
        </w:rPr>
        <w:noBreakHyphen/>
      </w:r>
      <w:r w:rsidR="006A3066" w:rsidRPr="00A32AF4">
        <w:rPr>
          <w:rFonts w:ascii="Arial" w:hAnsi="Arial" w:cs="Arial"/>
        </w:rPr>
        <w:t>20</w:t>
      </w:r>
      <w:r w:rsidR="00114BFD" w:rsidRPr="00A32AF4">
        <w:rPr>
          <w:rFonts w:ascii="Arial" w:hAnsi="Arial" w:cs="Arial"/>
        </w:rPr>
        <w:t xml:space="preserve">17 </w:t>
      </w:r>
      <w:r w:rsidR="006A3066" w:rsidRPr="00A32AF4">
        <w:rPr>
          <w:rFonts w:ascii="Arial" w:hAnsi="Arial" w:cs="Arial"/>
        </w:rPr>
        <w:t>et de l</w:t>
      </w:r>
      <w:r w:rsidR="00E2055A" w:rsidRPr="00A32AF4">
        <w:rPr>
          <w:rFonts w:ascii="Arial" w:hAnsi="Arial" w:cs="Arial"/>
        </w:rPr>
        <w:t>’</w:t>
      </w:r>
      <w:r w:rsidR="006A3066" w:rsidRPr="00A32AF4">
        <w:rPr>
          <w:rFonts w:ascii="Arial" w:hAnsi="Arial" w:cs="Arial"/>
        </w:rPr>
        <w:t>attention accrue accordée aux manifestations relatives au Plan d</w:t>
      </w:r>
      <w:r w:rsidR="00E2055A" w:rsidRPr="00A32AF4">
        <w:rPr>
          <w:rFonts w:ascii="Arial" w:hAnsi="Arial" w:cs="Arial"/>
        </w:rPr>
        <w:t>’</w:t>
      </w:r>
      <w:r w:rsidR="006A3066" w:rsidRPr="00A32AF4">
        <w:rPr>
          <w:rFonts w:ascii="Arial" w:hAnsi="Arial" w:cs="Arial"/>
        </w:rPr>
        <w:t>action pour le développement visant les États membres, les organisations intergouvernementales, la société civile et d</w:t>
      </w:r>
      <w:r w:rsidR="00E2055A" w:rsidRPr="00A32AF4">
        <w:rPr>
          <w:rFonts w:ascii="Arial" w:hAnsi="Arial" w:cs="Arial"/>
        </w:rPr>
        <w:t>’</w:t>
      </w:r>
      <w:r w:rsidR="006A3066" w:rsidRPr="00A32AF4">
        <w:rPr>
          <w:rFonts w:ascii="Arial" w:hAnsi="Arial" w:cs="Arial"/>
        </w:rPr>
        <w:t>autres parties prenantes</w:t>
      </w:r>
      <w:r w:rsidR="00114BFD" w:rsidRPr="00A32AF4">
        <w:rPr>
          <w:rFonts w:ascii="Arial" w:hAnsi="Arial" w:cs="Arial"/>
        </w:rPr>
        <w:t xml:space="preserve">.  </w:t>
      </w:r>
      <w:r w:rsidR="006A3066" w:rsidRPr="00A32AF4">
        <w:rPr>
          <w:rFonts w:ascii="Arial" w:hAnsi="Arial" w:cs="Arial"/>
        </w:rPr>
        <w:t>En conséquence, des ressources supplémentaires sont allouées au titre du résultat escompté </w:t>
      </w:r>
      <w:r w:rsidR="004848EA" w:rsidRPr="00A32AF4">
        <w:rPr>
          <w:rFonts w:ascii="Arial" w:hAnsi="Arial" w:cs="Arial"/>
        </w:rPr>
        <w:t>III.5.</w:t>
      </w:r>
    </w:p>
    <w:p w:rsidR="00F93B76" w:rsidRPr="00A32AF4" w:rsidRDefault="00F93B76" w:rsidP="00DC0553"/>
    <w:p w:rsidR="00F93B76" w:rsidRPr="00A32AF4" w:rsidRDefault="00F93B76" w:rsidP="00DC0553"/>
    <w:p w:rsidR="00F93B76" w:rsidRPr="00A32AF4" w:rsidRDefault="00114BFD" w:rsidP="00DC0553">
      <w:pPr>
        <w:keepNext/>
        <w:keepLines/>
        <w:autoSpaceDE w:val="0"/>
        <w:autoSpaceDN w:val="0"/>
        <w:jc w:val="center"/>
        <w:rPr>
          <w:rFonts w:cs="Arial"/>
          <w:b/>
        </w:rPr>
      </w:pPr>
      <w:r w:rsidRPr="00A32AF4">
        <w:rPr>
          <w:rFonts w:cs="Arial"/>
          <w:b/>
        </w:rPr>
        <w:t>Programme 8 : ressources par résultat</w:t>
      </w:r>
    </w:p>
    <w:p w:rsidR="00F93B76" w:rsidRPr="00A32AF4" w:rsidRDefault="00114BFD" w:rsidP="00DC0553">
      <w:pPr>
        <w:keepNext/>
        <w:keepLines/>
        <w:autoSpaceDE w:val="0"/>
        <w:autoSpaceDN w:val="0"/>
        <w:jc w:val="center"/>
        <w:rPr>
          <w:rFonts w:cs="Arial"/>
          <w:i/>
        </w:rPr>
      </w:pPr>
      <w:r w:rsidRPr="00A32AF4">
        <w:rPr>
          <w:rFonts w:cs="Arial"/>
          <w:i/>
        </w:rPr>
        <w:t>(</w:t>
      </w:r>
      <w:proofErr w:type="gramStart"/>
      <w:r w:rsidRPr="00A32AF4">
        <w:rPr>
          <w:rFonts w:cs="Arial"/>
          <w:i/>
        </w:rPr>
        <w:t>en</w:t>
      </w:r>
      <w:proofErr w:type="gramEnd"/>
      <w:r w:rsidRPr="00A32AF4">
        <w:rPr>
          <w:rFonts w:cs="Arial"/>
          <w:i/>
        </w:rPr>
        <w:t xml:space="preserve"> milliers de francs suisses)</w:t>
      </w:r>
    </w:p>
    <w:p w:rsidR="00114BFD" w:rsidRPr="00A32AF4" w:rsidRDefault="00114BFD" w:rsidP="00DC0553">
      <w:pPr>
        <w:keepNext/>
      </w:pPr>
    </w:p>
    <w:tbl>
      <w:tblPr>
        <w:tblW w:w="8980" w:type="dxa"/>
        <w:tblInd w:w="55" w:type="dxa"/>
        <w:tblCellMar>
          <w:left w:w="70" w:type="dxa"/>
          <w:right w:w="70" w:type="dxa"/>
        </w:tblCellMar>
        <w:tblLook w:val="04A0" w:firstRow="1" w:lastRow="0" w:firstColumn="1" w:lastColumn="0" w:noHBand="0" w:noVBand="1"/>
      </w:tblPr>
      <w:tblGrid>
        <w:gridCol w:w="447"/>
        <w:gridCol w:w="4573"/>
        <w:gridCol w:w="1260"/>
        <w:gridCol w:w="1440"/>
        <w:gridCol w:w="1260"/>
      </w:tblGrid>
      <w:tr w:rsidR="00114BFD" w:rsidRPr="00A32AF4" w:rsidTr="00114BFD">
        <w:tc>
          <w:tcPr>
            <w:tcW w:w="5020" w:type="dxa"/>
            <w:gridSpan w:val="2"/>
            <w:tcBorders>
              <w:top w:val="single" w:sz="4" w:space="0" w:color="auto"/>
              <w:left w:val="single" w:sz="4" w:space="0" w:color="auto"/>
              <w:bottom w:val="single" w:sz="4" w:space="0" w:color="auto"/>
              <w:right w:val="single" w:sz="4" w:space="0" w:color="000000"/>
            </w:tcBorders>
            <w:shd w:val="clear" w:color="000000" w:fill="C5D9F1"/>
            <w:noWrap/>
            <w:tcMar>
              <w:top w:w="113" w:type="dxa"/>
              <w:bottom w:w="113" w:type="dxa"/>
            </w:tcMar>
            <w:vAlign w:val="center"/>
            <w:hideMark/>
          </w:tcPr>
          <w:p w:rsidR="00114BFD" w:rsidRPr="00A32AF4" w:rsidRDefault="00114BFD" w:rsidP="00DC0553">
            <w:pPr>
              <w:jc w:val="center"/>
              <w:rPr>
                <w:rFonts w:cs="Arial"/>
                <w:i/>
                <w:iCs/>
                <w:sz w:val="16"/>
                <w:szCs w:val="16"/>
                <w:lang w:eastAsia="fr-FR"/>
              </w:rPr>
            </w:pPr>
            <w:r w:rsidRPr="00A32AF4">
              <w:rPr>
                <w:rFonts w:cs="Arial"/>
                <w:i/>
                <w:iCs/>
                <w:sz w:val="16"/>
                <w:szCs w:val="16"/>
                <w:lang w:eastAsia="fr-FR"/>
              </w:rPr>
              <w:t xml:space="preserve">Numéro et description du résultat escompté </w:t>
            </w:r>
          </w:p>
        </w:tc>
        <w:tc>
          <w:tcPr>
            <w:tcW w:w="126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114BFD" w:rsidRPr="00A32AF4" w:rsidRDefault="00114BFD" w:rsidP="00DC0553">
            <w:pPr>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2014</w:t>
            </w:r>
            <w:r w:rsidR="00EB7F54" w:rsidRPr="00A32AF4">
              <w:rPr>
                <w:rFonts w:cs="Arial"/>
                <w:i/>
                <w:iCs/>
                <w:sz w:val="16"/>
                <w:szCs w:val="16"/>
                <w:lang w:eastAsia="fr-FR"/>
              </w:rPr>
              <w:noBreakHyphen/>
            </w:r>
            <w:r w:rsidRPr="00A32AF4">
              <w:rPr>
                <w:rFonts w:cs="Arial"/>
                <w:i/>
                <w:iCs/>
                <w:sz w:val="16"/>
                <w:szCs w:val="16"/>
                <w:lang w:eastAsia="fr-FR"/>
              </w:rPr>
              <w:t>2015 approuvé</w:t>
            </w:r>
          </w:p>
        </w:tc>
        <w:tc>
          <w:tcPr>
            <w:tcW w:w="144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114BFD" w:rsidRPr="00A32AF4" w:rsidRDefault="00114BFD" w:rsidP="00DC0553">
            <w:pPr>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2014</w:t>
            </w:r>
            <w:r w:rsidR="00EB7F54" w:rsidRPr="00A32AF4">
              <w:rPr>
                <w:rFonts w:cs="Arial"/>
                <w:i/>
                <w:iCs/>
                <w:sz w:val="16"/>
                <w:szCs w:val="16"/>
                <w:lang w:eastAsia="fr-FR"/>
              </w:rPr>
              <w:noBreakHyphen/>
            </w:r>
            <w:r w:rsidRPr="00A32AF4">
              <w:rPr>
                <w:rFonts w:cs="Arial"/>
                <w:i/>
                <w:iCs/>
                <w:sz w:val="16"/>
                <w:szCs w:val="16"/>
                <w:lang w:eastAsia="fr-FR"/>
              </w:rPr>
              <w:t>2015 après virements</w:t>
            </w:r>
          </w:p>
        </w:tc>
        <w:tc>
          <w:tcPr>
            <w:tcW w:w="126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114BFD" w:rsidRPr="00A32AF4" w:rsidRDefault="00114BFD" w:rsidP="00DC0553">
            <w:pPr>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2016</w:t>
            </w:r>
            <w:r w:rsidR="00EB7F54" w:rsidRPr="00A32AF4">
              <w:rPr>
                <w:rFonts w:cs="Arial"/>
                <w:i/>
                <w:iCs/>
                <w:sz w:val="16"/>
                <w:szCs w:val="16"/>
                <w:lang w:eastAsia="fr-FR"/>
              </w:rPr>
              <w:noBreakHyphen/>
            </w:r>
            <w:r w:rsidRPr="00A32AF4">
              <w:rPr>
                <w:rFonts w:cs="Arial"/>
                <w:i/>
                <w:iCs/>
                <w:sz w:val="16"/>
                <w:szCs w:val="16"/>
                <w:lang w:eastAsia="fr-FR"/>
              </w:rPr>
              <w:t>2017 proposé</w:t>
            </w:r>
          </w:p>
        </w:tc>
      </w:tr>
      <w:tr w:rsidR="00114BFD" w:rsidRPr="00A32AF4" w:rsidTr="00114BFD">
        <w:tc>
          <w:tcPr>
            <w:tcW w:w="447" w:type="dxa"/>
            <w:tcBorders>
              <w:top w:val="nil"/>
              <w:left w:val="single" w:sz="4" w:space="0" w:color="auto"/>
              <w:bottom w:val="nil"/>
              <w:right w:val="nil"/>
            </w:tcBorders>
            <w:shd w:val="clear" w:color="auto" w:fill="auto"/>
            <w:noWrap/>
            <w:tcMar>
              <w:top w:w="113" w:type="dxa"/>
              <w:bottom w:w="113" w:type="dxa"/>
            </w:tcMar>
            <w:vAlign w:val="center"/>
            <w:hideMark/>
          </w:tcPr>
          <w:p w:rsidR="00114BFD" w:rsidRPr="00A32AF4" w:rsidRDefault="00114BFD" w:rsidP="00DC0553">
            <w:pPr>
              <w:rPr>
                <w:rFonts w:cs="Arial"/>
                <w:sz w:val="16"/>
                <w:szCs w:val="16"/>
                <w:lang w:eastAsia="fr-FR"/>
              </w:rPr>
            </w:pPr>
            <w:r w:rsidRPr="00A32AF4">
              <w:rPr>
                <w:rFonts w:cs="Arial"/>
                <w:sz w:val="16"/>
                <w:szCs w:val="16"/>
                <w:lang w:eastAsia="fr-FR"/>
              </w:rPr>
              <w:t>III.3</w:t>
            </w:r>
          </w:p>
        </w:tc>
        <w:tc>
          <w:tcPr>
            <w:tcW w:w="4573" w:type="dxa"/>
            <w:tcBorders>
              <w:top w:val="nil"/>
              <w:left w:val="nil"/>
              <w:bottom w:val="nil"/>
              <w:right w:val="nil"/>
            </w:tcBorders>
            <w:shd w:val="clear" w:color="auto" w:fill="auto"/>
            <w:tcMar>
              <w:top w:w="113" w:type="dxa"/>
              <w:bottom w:w="113" w:type="dxa"/>
            </w:tcMar>
            <w:vAlign w:val="center"/>
            <w:hideMark/>
          </w:tcPr>
          <w:p w:rsidR="00114BFD" w:rsidRPr="00A32AF4" w:rsidRDefault="00114BFD" w:rsidP="00DC0553">
            <w:pPr>
              <w:rPr>
                <w:rFonts w:cs="Arial"/>
                <w:sz w:val="16"/>
                <w:szCs w:val="16"/>
                <w:lang w:eastAsia="fr-FR"/>
              </w:rPr>
            </w:pPr>
            <w:r w:rsidRPr="00A32AF4">
              <w:rPr>
                <w:rFonts w:cs="Arial"/>
                <w:sz w:val="16"/>
                <w:szCs w:val="16"/>
                <w:lang w:eastAsia="fr-FR"/>
              </w:rPr>
              <w:t>Intégration des recommandations du Plan d</w:t>
            </w:r>
            <w:r w:rsidR="00E2055A" w:rsidRPr="00A32AF4">
              <w:rPr>
                <w:rFonts w:cs="Arial"/>
                <w:sz w:val="16"/>
                <w:szCs w:val="16"/>
                <w:lang w:eastAsia="fr-FR"/>
              </w:rPr>
              <w:t>’</w:t>
            </w:r>
            <w:r w:rsidRPr="00A32AF4">
              <w:rPr>
                <w:rFonts w:cs="Arial"/>
                <w:sz w:val="16"/>
                <w:szCs w:val="16"/>
                <w:lang w:eastAsia="fr-FR"/>
              </w:rPr>
              <w:t>action pour le développement dans les travaux de l</w:t>
            </w:r>
            <w:r w:rsidR="00E2055A" w:rsidRPr="00A32AF4">
              <w:rPr>
                <w:rFonts w:cs="Arial"/>
                <w:sz w:val="16"/>
                <w:szCs w:val="16"/>
                <w:lang w:eastAsia="fr-FR"/>
              </w:rPr>
              <w:t>’</w:t>
            </w:r>
            <w:r w:rsidRPr="00A32AF4">
              <w:rPr>
                <w:rFonts w:cs="Arial"/>
                <w:sz w:val="16"/>
                <w:szCs w:val="16"/>
                <w:lang w:eastAsia="fr-FR"/>
              </w:rPr>
              <w:t>OMPI</w:t>
            </w:r>
          </w:p>
        </w:tc>
        <w:tc>
          <w:tcPr>
            <w:tcW w:w="1260" w:type="dxa"/>
            <w:tcBorders>
              <w:top w:val="nil"/>
              <w:left w:val="nil"/>
              <w:bottom w:val="nil"/>
              <w:right w:val="nil"/>
            </w:tcBorders>
            <w:shd w:val="clear" w:color="auto" w:fill="auto"/>
            <w:tcMar>
              <w:top w:w="113" w:type="dxa"/>
              <w:bottom w:w="113" w:type="dxa"/>
            </w:tcMar>
            <w:vAlign w:val="center"/>
            <w:hideMark/>
          </w:tcPr>
          <w:p w:rsidR="00114BFD" w:rsidRPr="00A32AF4" w:rsidRDefault="00114BFD" w:rsidP="00DC0553">
            <w:pPr>
              <w:jc w:val="right"/>
              <w:rPr>
                <w:rFonts w:cs="Arial"/>
                <w:sz w:val="16"/>
                <w:szCs w:val="16"/>
                <w:lang w:eastAsia="fr-FR"/>
              </w:rPr>
            </w:pPr>
            <w:r w:rsidRPr="00A32AF4">
              <w:rPr>
                <w:rFonts w:cs="Arial"/>
                <w:sz w:val="16"/>
                <w:szCs w:val="16"/>
                <w:lang w:eastAsia="fr-FR"/>
              </w:rPr>
              <w:t xml:space="preserve">3 832 </w:t>
            </w:r>
          </w:p>
        </w:tc>
        <w:tc>
          <w:tcPr>
            <w:tcW w:w="1440" w:type="dxa"/>
            <w:tcBorders>
              <w:top w:val="nil"/>
              <w:left w:val="nil"/>
              <w:bottom w:val="nil"/>
              <w:right w:val="nil"/>
            </w:tcBorders>
            <w:shd w:val="clear" w:color="auto" w:fill="auto"/>
            <w:noWrap/>
            <w:tcMar>
              <w:top w:w="113" w:type="dxa"/>
              <w:bottom w:w="113" w:type="dxa"/>
            </w:tcMar>
            <w:vAlign w:val="center"/>
            <w:hideMark/>
          </w:tcPr>
          <w:p w:rsidR="00114BFD" w:rsidRPr="00A32AF4" w:rsidRDefault="00114BFD" w:rsidP="00DC0553">
            <w:pPr>
              <w:jc w:val="right"/>
              <w:rPr>
                <w:rFonts w:cs="Arial"/>
                <w:sz w:val="16"/>
                <w:szCs w:val="16"/>
                <w:lang w:eastAsia="fr-FR"/>
              </w:rPr>
            </w:pPr>
            <w:r w:rsidRPr="00A32AF4">
              <w:rPr>
                <w:rFonts w:cs="Arial"/>
                <w:sz w:val="16"/>
                <w:szCs w:val="16"/>
                <w:lang w:eastAsia="fr-FR"/>
              </w:rPr>
              <w:t xml:space="preserve">3 195 </w:t>
            </w:r>
          </w:p>
        </w:tc>
        <w:tc>
          <w:tcPr>
            <w:tcW w:w="1260" w:type="dxa"/>
            <w:tcBorders>
              <w:top w:val="nil"/>
              <w:left w:val="nil"/>
              <w:bottom w:val="nil"/>
              <w:right w:val="single" w:sz="4" w:space="0" w:color="auto"/>
            </w:tcBorders>
            <w:shd w:val="clear" w:color="auto" w:fill="auto"/>
            <w:noWrap/>
            <w:tcMar>
              <w:top w:w="113" w:type="dxa"/>
              <w:bottom w:w="113" w:type="dxa"/>
            </w:tcMar>
            <w:vAlign w:val="center"/>
            <w:hideMark/>
          </w:tcPr>
          <w:p w:rsidR="00114BFD" w:rsidRPr="00A32AF4" w:rsidRDefault="00114BFD" w:rsidP="00DC0553">
            <w:pPr>
              <w:jc w:val="right"/>
              <w:rPr>
                <w:rFonts w:cs="Arial"/>
                <w:color w:val="000000"/>
                <w:sz w:val="16"/>
                <w:szCs w:val="16"/>
                <w:lang w:eastAsia="fr-FR"/>
              </w:rPr>
            </w:pPr>
            <w:r w:rsidRPr="00A32AF4">
              <w:rPr>
                <w:rFonts w:cs="Arial"/>
                <w:color w:val="000000"/>
                <w:sz w:val="16"/>
                <w:szCs w:val="16"/>
                <w:lang w:eastAsia="fr-FR"/>
              </w:rPr>
              <w:t xml:space="preserve">2 278 </w:t>
            </w:r>
          </w:p>
        </w:tc>
      </w:tr>
      <w:tr w:rsidR="00114BFD" w:rsidRPr="00A32AF4" w:rsidTr="00114BFD">
        <w:tc>
          <w:tcPr>
            <w:tcW w:w="447" w:type="dxa"/>
            <w:tcBorders>
              <w:top w:val="nil"/>
              <w:left w:val="single" w:sz="4" w:space="0" w:color="auto"/>
              <w:bottom w:val="nil"/>
              <w:right w:val="nil"/>
            </w:tcBorders>
            <w:shd w:val="clear" w:color="auto" w:fill="auto"/>
            <w:noWrap/>
            <w:tcMar>
              <w:top w:w="113" w:type="dxa"/>
              <w:bottom w:w="113" w:type="dxa"/>
            </w:tcMar>
            <w:vAlign w:val="center"/>
            <w:hideMark/>
          </w:tcPr>
          <w:p w:rsidR="00114BFD" w:rsidRPr="00A32AF4" w:rsidRDefault="00114BFD" w:rsidP="00DC0553">
            <w:pPr>
              <w:rPr>
                <w:rFonts w:cs="Arial"/>
                <w:sz w:val="16"/>
                <w:szCs w:val="16"/>
                <w:lang w:eastAsia="fr-FR"/>
              </w:rPr>
            </w:pPr>
            <w:r w:rsidRPr="00A32AF4">
              <w:rPr>
                <w:rFonts w:cs="Arial"/>
                <w:sz w:val="16"/>
                <w:szCs w:val="16"/>
                <w:lang w:eastAsia="fr-FR"/>
              </w:rPr>
              <w:t>III.5</w:t>
            </w:r>
          </w:p>
        </w:tc>
        <w:tc>
          <w:tcPr>
            <w:tcW w:w="4573" w:type="dxa"/>
            <w:tcBorders>
              <w:top w:val="nil"/>
              <w:left w:val="nil"/>
              <w:bottom w:val="nil"/>
              <w:right w:val="nil"/>
            </w:tcBorders>
            <w:shd w:val="clear" w:color="auto" w:fill="auto"/>
            <w:tcMar>
              <w:top w:w="113" w:type="dxa"/>
              <w:bottom w:w="113" w:type="dxa"/>
            </w:tcMar>
            <w:vAlign w:val="center"/>
            <w:hideMark/>
          </w:tcPr>
          <w:p w:rsidR="00114BFD" w:rsidRPr="00A32AF4" w:rsidRDefault="00114BFD" w:rsidP="00DC0553">
            <w:pPr>
              <w:rPr>
                <w:rFonts w:cs="Arial"/>
                <w:sz w:val="16"/>
                <w:szCs w:val="16"/>
                <w:lang w:eastAsia="fr-FR"/>
              </w:rPr>
            </w:pPr>
            <w:r w:rsidRPr="00A32AF4">
              <w:rPr>
                <w:rFonts w:cs="Arial"/>
                <w:sz w:val="16"/>
                <w:szCs w:val="16"/>
                <w:lang w:eastAsia="fr-FR"/>
              </w:rPr>
              <w:t>Meilleure connaissance du Plan d</w:t>
            </w:r>
            <w:r w:rsidR="00E2055A" w:rsidRPr="00A32AF4">
              <w:rPr>
                <w:rFonts w:cs="Arial"/>
                <w:sz w:val="16"/>
                <w:szCs w:val="16"/>
                <w:lang w:eastAsia="fr-FR"/>
              </w:rPr>
              <w:t>’</w:t>
            </w:r>
            <w:r w:rsidRPr="00A32AF4">
              <w:rPr>
                <w:rFonts w:cs="Arial"/>
                <w:sz w:val="16"/>
                <w:szCs w:val="16"/>
                <w:lang w:eastAsia="fr-FR"/>
              </w:rPr>
              <w:t>action pour le développement de la part des États membres, des organisations intergouvernementales, de la société civile et d</w:t>
            </w:r>
            <w:r w:rsidR="00E2055A" w:rsidRPr="00A32AF4">
              <w:rPr>
                <w:rFonts w:cs="Arial"/>
                <w:sz w:val="16"/>
                <w:szCs w:val="16"/>
                <w:lang w:eastAsia="fr-FR"/>
              </w:rPr>
              <w:t>’</w:t>
            </w:r>
            <w:r w:rsidRPr="00A32AF4">
              <w:rPr>
                <w:rFonts w:cs="Arial"/>
                <w:sz w:val="16"/>
                <w:szCs w:val="16"/>
                <w:lang w:eastAsia="fr-FR"/>
              </w:rPr>
              <w:t>autres parties prenantes</w:t>
            </w:r>
          </w:p>
        </w:tc>
        <w:tc>
          <w:tcPr>
            <w:tcW w:w="1260" w:type="dxa"/>
            <w:tcBorders>
              <w:top w:val="nil"/>
              <w:left w:val="nil"/>
              <w:bottom w:val="nil"/>
              <w:right w:val="nil"/>
            </w:tcBorders>
            <w:shd w:val="clear" w:color="auto" w:fill="auto"/>
            <w:tcMar>
              <w:top w:w="113" w:type="dxa"/>
              <w:bottom w:w="113" w:type="dxa"/>
            </w:tcMar>
            <w:vAlign w:val="center"/>
            <w:hideMark/>
          </w:tcPr>
          <w:p w:rsidR="00114BFD" w:rsidRPr="00A32AF4" w:rsidRDefault="00114BFD" w:rsidP="00DC0553">
            <w:pPr>
              <w:jc w:val="right"/>
              <w:rPr>
                <w:rFonts w:cs="Arial"/>
                <w:sz w:val="16"/>
                <w:szCs w:val="16"/>
                <w:lang w:eastAsia="fr-FR"/>
              </w:rPr>
            </w:pPr>
            <w:r w:rsidRPr="00A32AF4">
              <w:rPr>
                <w:rFonts w:cs="Arial"/>
                <w:sz w:val="16"/>
                <w:szCs w:val="16"/>
                <w:lang w:eastAsia="fr-FR"/>
              </w:rPr>
              <w:t xml:space="preserve">509 </w:t>
            </w:r>
          </w:p>
        </w:tc>
        <w:tc>
          <w:tcPr>
            <w:tcW w:w="1440" w:type="dxa"/>
            <w:tcBorders>
              <w:top w:val="nil"/>
              <w:left w:val="nil"/>
              <w:bottom w:val="nil"/>
              <w:right w:val="nil"/>
            </w:tcBorders>
            <w:shd w:val="clear" w:color="auto" w:fill="auto"/>
            <w:tcMar>
              <w:top w:w="113" w:type="dxa"/>
              <w:bottom w:w="113" w:type="dxa"/>
            </w:tcMar>
            <w:vAlign w:val="center"/>
            <w:hideMark/>
          </w:tcPr>
          <w:p w:rsidR="00114BFD" w:rsidRPr="00A32AF4" w:rsidRDefault="00114BFD" w:rsidP="00DC0553">
            <w:pPr>
              <w:jc w:val="right"/>
              <w:rPr>
                <w:rFonts w:cs="Arial"/>
                <w:sz w:val="16"/>
                <w:szCs w:val="16"/>
                <w:lang w:eastAsia="fr-FR"/>
              </w:rPr>
            </w:pPr>
            <w:r w:rsidRPr="00A32AF4">
              <w:rPr>
                <w:rFonts w:cs="Arial"/>
                <w:sz w:val="16"/>
                <w:szCs w:val="16"/>
                <w:lang w:eastAsia="fr-FR"/>
              </w:rPr>
              <w:t xml:space="preserve">481 </w:t>
            </w:r>
          </w:p>
        </w:tc>
        <w:tc>
          <w:tcPr>
            <w:tcW w:w="1260" w:type="dxa"/>
            <w:tcBorders>
              <w:top w:val="nil"/>
              <w:left w:val="nil"/>
              <w:bottom w:val="single" w:sz="4" w:space="0" w:color="auto"/>
              <w:right w:val="single" w:sz="4" w:space="0" w:color="auto"/>
            </w:tcBorders>
            <w:shd w:val="clear" w:color="auto" w:fill="auto"/>
            <w:noWrap/>
            <w:tcMar>
              <w:top w:w="113" w:type="dxa"/>
              <w:bottom w:w="113" w:type="dxa"/>
            </w:tcMar>
            <w:vAlign w:val="center"/>
            <w:hideMark/>
          </w:tcPr>
          <w:p w:rsidR="00114BFD" w:rsidRPr="00A32AF4" w:rsidRDefault="00114BFD" w:rsidP="00DC0553">
            <w:pPr>
              <w:jc w:val="right"/>
              <w:rPr>
                <w:rFonts w:cs="Arial"/>
                <w:color w:val="000000"/>
                <w:sz w:val="16"/>
                <w:szCs w:val="16"/>
                <w:lang w:eastAsia="fr-FR"/>
              </w:rPr>
            </w:pPr>
            <w:r w:rsidRPr="00A32AF4">
              <w:rPr>
                <w:rFonts w:cs="Arial"/>
                <w:color w:val="000000"/>
                <w:sz w:val="16"/>
                <w:szCs w:val="16"/>
                <w:lang w:eastAsia="fr-FR"/>
              </w:rPr>
              <w:t xml:space="preserve">1 393 </w:t>
            </w:r>
          </w:p>
        </w:tc>
      </w:tr>
      <w:tr w:rsidR="00114BFD" w:rsidRPr="00A32AF4" w:rsidTr="00114BFD">
        <w:tc>
          <w:tcPr>
            <w:tcW w:w="447" w:type="dxa"/>
            <w:tcBorders>
              <w:top w:val="single" w:sz="4" w:space="0" w:color="auto"/>
              <w:left w:val="single" w:sz="4" w:space="0" w:color="auto"/>
              <w:bottom w:val="single" w:sz="4" w:space="0" w:color="auto"/>
              <w:right w:val="nil"/>
            </w:tcBorders>
            <w:shd w:val="clear" w:color="000000" w:fill="C5D9F1"/>
            <w:noWrap/>
            <w:tcMar>
              <w:top w:w="113" w:type="dxa"/>
              <w:bottom w:w="113" w:type="dxa"/>
            </w:tcMar>
            <w:vAlign w:val="bottom"/>
            <w:hideMark/>
          </w:tcPr>
          <w:p w:rsidR="00114BFD" w:rsidRPr="00A32AF4" w:rsidRDefault="00114BFD" w:rsidP="00DC0553">
            <w:pPr>
              <w:rPr>
                <w:rFonts w:cs="Arial"/>
                <w:sz w:val="16"/>
                <w:szCs w:val="16"/>
                <w:lang w:eastAsia="fr-FR"/>
              </w:rPr>
            </w:pPr>
          </w:p>
        </w:tc>
        <w:tc>
          <w:tcPr>
            <w:tcW w:w="4573"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114BFD" w:rsidRPr="00A32AF4" w:rsidRDefault="00114BFD" w:rsidP="00DC0553">
            <w:pPr>
              <w:rPr>
                <w:rFonts w:cs="Arial"/>
                <w:b/>
                <w:bCs/>
                <w:sz w:val="16"/>
                <w:szCs w:val="16"/>
                <w:lang w:eastAsia="fr-FR"/>
              </w:rPr>
            </w:pPr>
            <w:r w:rsidRPr="00A32AF4">
              <w:rPr>
                <w:rFonts w:cs="Arial"/>
                <w:b/>
                <w:bCs/>
                <w:sz w:val="16"/>
                <w:szCs w:val="16"/>
                <w:lang w:eastAsia="fr-FR"/>
              </w:rPr>
              <w:t>Total</w:t>
            </w:r>
          </w:p>
        </w:tc>
        <w:tc>
          <w:tcPr>
            <w:tcW w:w="1260"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114BFD" w:rsidRPr="00A32AF4" w:rsidRDefault="00114BFD" w:rsidP="00DC0553">
            <w:pPr>
              <w:jc w:val="right"/>
              <w:rPr>
                <w:rFonts w:cs="Arial"/>
                <w:b/>
                <w:bCs/>
                <w:sz w:val="16"/>
                <w:szCs w:val="16"/>
                <w:lang w:eastAsia="fr-FR"/>
              </w:rPr>
            </w:pPr>
            <w:r w:rsidRPr="00A32AF4">
              <w:rPr>
                <w:rFonts w:cs="Arial"/>
                <w:b/>
                <w:bCs/>
                <w:sz w:val="16"/>
                <w:szCs w:val="16"/>
                <w:lang w:eastAsia="fr-FR"/>
              </w:rPr>
              <w:t xml:space="preserve">4 341 </w:t>
            </w:r>
          </w:p>
        </w:tc>
        <w:tc>
          <w:tcPr>
            <w:tcW w:w="1440"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114BFD" w:rsidRPr="00A32AF4" w:rsidRDefault="00114BFD" w:rsidP="00DC0553">
            <w:pPr>
              <w:jc w:val="right"/>
              <w:rPr>
                <w:rFonts w:cs="Arial"/>
                <w:b/>
                <w:bCs/>
                <w:sz w:val="16"/>
                <w:szCs w:val="16"/>
                <w:lang w:eastAsia="fr-FR"/>
              </w:rPr>
            </w:pPr>
            <w:r w:rsidRPr="00A32AF4">
              <w:rPr>
                <w:rFonts w:cs="Arial"/>
                <w:b/>
                <w:bCs/>
                <w:sz w:val="16"/>
                <w:szCs w:val="16"/>
                <w:lang w:eastAsia="fr-FR"/>
              </w:rPr>
              <w:t xml:space="preserve">3 677 </w:t>
            </w:r>
          </w:p>
        </w:tc>
        <w:tc>
          <w:tcPr>
            <w:tcW w:w="1260" w:type="dxa"/>
            <w:tcBorders>
              <w:top w:val="nil"/>
              <w:left w:val="nil"/>
              <w:bottom w:val="single" w:sz="4" w:space="0" w:color="auto"/>
              <w:right w:val="single" w:sz="4" w:space="0" w:color="auto"/>
            </w:tcBorders>
            <w:shd w:val="clear" w:color="000000" w:fill="C5D9F1"/>
            <w:noWrap/>
            <w:tcMar>
              <w:top w:w="113" w:type="dxa"/>
              <w:bottom w:w="113" w:type="dxa"/>
            </w:tcMar>
            <w:vAlign w:val="bottom"/>
            <w:hideMark/>
          </w:tcPr>
          <w:p w:rsidR="00114BFD" w:rsidRPr="00A32AF4" w:rsidRDefault="00114BFD" w:rsidP="00DC0553">
            <w:pPr>
              <w:jc w:val="right"/>
              <w:rPr>
                <w:rFonts w:cs="Arial"/>
                <w:b/>
                <w:bCs/>
                <w:sz w:val="16"/>
                <w:szCs w:val="16"/>
                <w:lang w:eastAsia="fr-FR"/>
              </w:rPr>
            </w:pPr>
            <w:r w:rsidRPr="00A32AF4">
              <w:rPr>
                <w:rFonts w:cs="Arial"/>
                <w:b/>
                <w:bCs/>
                <w:sz w:val="16"/>
                <w:szCs w:val="16"/>
                <w:lang w:eastAsia="fr-FR"/>
              </w:rPr>
              <w:t xml:space="preserve">3 671 </w:t>
            </w:r>
          </w:p>
        </w:tc>
      </w:tr>
    </w:tbl>
    <w:p w:rsidR="00F93B76" w:rsidRPr="00A32AF4" w:rsidRDefault="00F93B76" w:rsidP="00DC0553"/>
    <w:p w:rsidR="00F93B76" w:rsidRPr="00A32AF4" w:rsidRDefault="00F93B76" w:rsidP="00DC0553"/>
    <w:p w:rsidR="00F93B76" w:rsidRPr="00A32AF4" w:rsidRDefault="00E64166" w:rsidP="00DC0553">
      <w:pPr>
        <w:keepNext/>
        <w:keepLines/>
        <w:autoSpaceDE w:val="0"/>
        <w:autoSpaceDN w:val="0"/>
        <w:jc w:val="center"/>
        <w:rPr>
          <w:rFonts w:cs="Arial"/>
          <w:b/>
        </w:rPr>
      </w:pPr>
      <w:r w:rsidRPr="00A32AF4">
        <w:rPr>
          <w:rFonts w:cs="Arial"/>
          <w:b/>
        </w:rPr>
        <w:t>Programme 8 : ressources par objet de dépense</w:t>
      </w:r>
    </w:p>
    <w:p w:rsidR="00F93B76" w:rsidRPr="00A32AF4" w:rsidRDefault="00E64166" w:rsidP="00DC0553">
      <w:pPr>
        <w:keepNext/>
        <w:keepLines/>
        <w:autoSpaceDE w:val="0"/>
        <w:autoSpaceDN w:val="0"/>
        <w:jc w:val="center"/>
        <w:rPr>
          <w:rFonts w:cs="Arial"/>
          <w:i/>
        </w:rPr>
      </w:pPr>
      <w:r w:rsidRPr="00A32AF4">
        <w:rPr>
          <w:rFonts w:cs="Arial"/>
          <w:i/>
        </w:rPr>
        <w:t>(</w:t>
      </w:r>
      <w:proofErr w:type="gramStart"/>
      <w:r w:rsidRPr="00A32AF4">
        <w:rPr>
          <w:rFonts w:cs="Arial"/>
          <w:i/>
        </w:rPr>
        <w:t>en</w:t>
      </w:r>
      <w:proofErr w:type="gramEnd"/>
      <w:r w:rsidRPr="00A32AF4">
        <w:rPr>
          <w:rFonts w:cs="Arial"/>
          <w:i/>
        </w:rPr>
        <w:t xml:space="preserve"> milliers de francs suisses)</w:t>
      </w:r>
    </w:p>
    <w:p w:rsidR="00F93B76" w:rsidRPr="00A32AF4" w:rsidRDefault="00F93B76" w:rsidP="00DC0553">
      <w:pPr>
        <w:keepNext/>
        <w:rPr>
          <w:rFonts w:eastAsia="SimSun"/>
        </w:rPr>
      </w:pPr>
    </w:p>
    <w:p w:rsidR="00F93B76" w:rsidRPr="00A32AF4" w:rsidRDefault="00B53790" w:rsidP="00DC0553">
      <w:pPr>
        <w:rPr>
          <w:rFonts w:eastAsia="SimSun"/>
        </w:rPr>
      </w:pPr>
      <w:r w:rsidRPr="00A32AF4">
        <w:rPr>
          <w:rFonts w:eastAsia="SimSun"/>
          <w:noProof/>
          <w:lang w:eastAsia="fr-FR"/>
        </w:rPr>
        <w:drawing>
          <wp:inline distT="0" distB="0" distL="0" distR="0" wp14:anchorId="5DFFD812" wp14:editId="3B1118AF">
            <wp:extent cx="5512435" cy="6555105"/>
            <wp:effectExtent l="0" t="0" r="0" b="0"/>
            <wp:docPr id="1039" name="Pictur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512435" cy="6555105"/>
                    </a:xfrm>
                    <a:prstGeom prst="rect">
                      <a:avLst/>
                    </a:prstGeom>
                    <a:noFill/>
                    <a:ln>
                      <a:noFill/>
                    </a:ln>
                  </pic:spPr>
                </pic:pic>
              </a:graphicData>
            </a:graphic>
          </wp:inline>
        </w:drawing>
      </w:r>
    </w:p>
    <w:p w:rsidR="00F93B76" w:rsidRPr="00A32AF4" w:rsidRDefault="00F93B76" w:rsidP="00DC0553"/>
    <w:p w:rsidR="00F93B76" w:rsidRPr="00A32AF4" w:rsidRDefault="00F93B76" w:rsidP="00DC0553"/>
    <w:p w:rsidR="00F93B76" w:rsidRPr="00A32AF4" w:rsidRDefault="00E64166" w:rsidP="00DC0553">
      <w:pPr>
        <w:rPr>
          <w:rFonts w:ascii="Arial Bold" w:hAnsi="Arial Bold" w:cs="Arial"/>
          <w:b/>
          <w:caps/>
          <w:szCs w:val="22"/>
        </w:rPr>
      </w:pPr>
      <w:r w:rsidRPr="00A32AF4">
        <w:br w:type="page"/>
      </w:r>
    </w:p>
    <w:p w:rsidR="00F93B76" w:rsidRPr="00A32AF4" w:rsidRDefault="00CD1430" w:rsidP="00FB1F61">
      <w:pPr>
        <w:pStyle w:val="Heading3"/>
      </w:pPr>
      <w:bookmarkStart w:id="41" w:name="_Toc431555447"/>
      <w:r w:rsidRPr="00A32AF4">
        <w:t>PROGRAMME 9</w:t>
      </w:r>
      <w:r w:rsidRPr="00A32AF4">
        <w:tab/>
        <w:t xml:space="preserve">Afrique, pays </w:t>
      </w:r>
      <w:r w:rsidR="004848EA" w:rsidRPr="00A32AF4">
        <w:t>arabes, Asie et Pacifique, pays </w:t>
      </w:r>
      <w:r w:rsidRPr="00A32AF4">
        <w:t>d‏</w:t>
      </w:r>
      <w:r w:rsidR="00E2055A" w:rsidRPr="00A32AF4">
        <w:t>’</w:t>
      </w:r>
      <w:r w:rsidRPr="00A32AF4">
        <w:t>‎Amérique latine et des Caraïbes, pays les moins avancés</w:t>
      </w:r>
      <w:bookmarkEnd w:id="41"/>
    </w:p>
    <w:p w:rsidR="00F93B76" w:rsidRPr="00A32AF4" w:rsidRDefault="00F93B76" w:rsidP="00DC0553">
      <w:pPr>
        <w:rPr>
          <w:caps/>
        </w:rPr>
      </w:pPr>
    </w:p>
    <w:p w:rsidR="00F93B76" w:rsidRPr="00A32AF4" w:rsidRDefault="00F93B76" w:rsidP="00DC0553">
      <w:pPr>
        <w:rPr>
          <w:caps/>
        </w:rPr>
      </w:pPr>
    </w:p>
    <w:p w:rsidR="00F93B76" w:rsidRPr="00A32AF4" w:rsidRDefault="00CD1430" w:rsidP="00DC0553">
      <w:pPr>
        <w:rPr>
          <w:caps/>
        </w:rPr>
      </w:pPr>
      <w:r w:rsidRPr="00A32AF4">
        <w:rPr>
          <w:caps/>
        </w:rPr>
        <w:t>Contexte de planification</w:t>
      </w:r>
    </w:p>
    <w:p w:rsidR="00F93B76" w:rsidRPr="00A32AF4" w:rsidRDefault="00F93B76" w:rsidP="00DC0553">
      <w:pPr>
        <w:rPr>
          <w:caps/>
        </w:rPr>
      </w:pPr>
    </w:p>
    <w:p w:rsidR="00F93B76" w:rsidRPr="00A32AF4" w:rsidRDefault="00CD1430" w:rsidP="00DC0553">
      <w:pPr>
        <w:pStyle w:val="ListParagraph"/>
        <w:numPr>
          <w:ilvl w:val="0"/>
          <w:numId w:val="20"/>
        </w:numPr>
        <w:tabs>
          <w:tab w:val="left" w:pos="709"/>
        </w:tabs>
        <w:spacing w:after="0" w:line="240" w:lineRule="auto"/>
        <w:jc w:val="both"/>
        <w:rPr>
          <w:rFonts w:ascii="Arial" w:hAnsi="Arial" w:cs="Arial"/>
          <w:szCs w:val="20"/>
        </w:rPr>
      </w:pPr>
      <w:r w:rsidRPr="00A32AF4">
        <w:rPr>
          <w:rFonts w:ascii="Arial" w:hAnsi="Arial" w:cs="Arial"/>
          <w:szCs w:val="20"/>
        </w:rPr>
        <w:t>Conformément à l</w:t>
      </w:r>
      <w:r w:rsidR="00E2055A" w:rsidRPr="00A32AF4">
        <w:rPr>
          <w:rFonts w:ascii="Arial" w:hAnsi="Arial" w:cs="Arial"/>
          <w:szCs w:val="20"/>
        </w:rPr>
        <w:t>’</w:t>
      </w:r>
      <w:r w:rsidRPr="00A32AF4">
        <w:rPr>
          <w:rFonts w:ascii="Arial" w:hAnsi="Arial" w:cs="Arial"/>
          <w:szCs w:val="20"/>
        </w:rPr>
        <w:t>objectif stratégique III de l</w:t>
      </w:r>
      <w:r w:rsidR="00E2055A" w:rsidRPr="00A32AF4">
        <w:rPr>
          <w:rFonts w:ascii="Arial" w:hAnsi="Arial" w:cs="Arial"/>
          <w:szCs w:val="20"/>
        </w:rPr>
        <w:t>’</w:t>
      </w:r>
      <w:r w:rsidRPr="00A32AF4">
        <w:rPr>
          <w:rFonts w:ascii="Arial" w:hAnsi="Arial" w:cs="Arial"/>
          <w:szCs w:val="20"/>
        </w:rPr>
        <w:t>OMPI, le programme 9 vise principalement à favoriser l</w:t>
      </w:r>
      <w:r w:rsidR="00E2055A" w:rsidRPr="00A32AF4">
        <w:rPr>
          <w:rFonts w:ascii="Arial" w:hAnsi="Arial" w:cs="Arial"/>
          <w:szCs w:val="20"/>
        </w:rPr>
        <w:t>’</w:t>
      </w:r>
      <w:r w:rsidRPr="00A32AF4">
        <w:rPr>
          <w:rFonts w:ascii="Arial" w:hAnsi="Arial" w:cs="Arial"/>
          <w:szCs w:val="20"/>
        </w:rPr>
        <w:t>utilisation de la propriété intellectuelle au service du développement économique, social et culturel dans les pays en développement et les PMA, contribuant ainsi à la réalisation du programme de développement pour l</w:t>
      </w:r>
      <w:r w:rsidR="00E2055A" w:rsidRPr="00A32AF4">
        <w:rPr>
          <w:rFonts w:ascii="Arial" w:hAnsi="Arial" w:cs="Arial"/>
          <w:szCs w:val="20"/>
        </w:rPr>
        <w:t>’</w:t>
      </w:r>
      <w:r w:rsidRPr="00A32AF4">
        <w:rPr>
          <w:rFonts w:ascii="Arial" w:hAnsi="Arial" w:cs="Arial"/>
          <w:szCs w:val="20"/>
        </w:rPr>
        <w:t>après</w:t>
      </w:r>
      <w:r w:rsidR="00EB7F54" w:rsidRPr="00A32AF4">
        <w:rPr>
          <w:rFonts w:ascii="Arial" w:hAnsi="Arial" w:cs="Arial"/>
          <w:szCs w:val="20"/>
        </w:rPr>
        <w:noBreakHyphen/>
      </w:r>
      <w:r w:rsidRPr="00A32AF4">
        <w:rPr>
          <w:rFonts w:ascii="Arial" w:hAnsi="Arial" w:cs="Arial"/>
          <w:szCs w:val="20"/>
        </w:rPr>
        <w:t>2015 et des objectifs de développement durable.  Il vise donc à encourager l</w:t>
      </w:r>
      <w:r w:rsidR="00E2055A" w:rsidRPr="00A32AF4">
        <w:rPr>
          <w:rFonts w:ascii="Arial" w:hAnsi="Arial" w:cs="Arial"/>
          <w:szCs w:val="20"/>
        </w:rPr>
        <w:t>’</w:t>
      </w:r>
      <w:r w:rsidRPr="00A32AF4">
        <w:rPr>
          <w:rFonts w:ascii="Arial" w:hAnsi="Arial" w:cs="Arial"/>
          <w:szCs w:val="20"/>
        </w:rPr>
        <w:t>utilisation efficace de la propriété intellectuelle au service du développement dans les États membres d</w:t>
      </w:r>
      <w:r w:rsidR="00E2055A" w:rsidRPr="00A32AF4">
        <w:rPr>
          <w:rFonts w:ascii="Arial" w:hAnsi="Arial" w:cs="Arial"/>
          <w:szCs w:val="20"/>
        </w:rPr>
        <w:t>’</w:t>
      </w:r>
      <w:r w:rsidRPr="00A32AF4">
        <w:rPr>
          <w:rFonts w:ascii="Arial" w:hAnsi="Arial" w:cs="Arial"/>
          <w:szCs w:val="20"/>
        </w:rPr>
        <w:t>Afrique, la région arabe, l</w:t>
      </w:r>
      <w:r w:rsidR="00E2055A" w:rsidRPr="00A32AF4">
        <w:rPr>
          <w:rFonts w:ascii="Arial" w:hAnsi="Arial" w:cs="Arial"/>
          <w:szCs w:val="20"/>
        </w:rPr>
        <w:t>’</w:t>
      </w:r>
      <w:r w:rsidRPr="00A32AF4">
        <w:rPr>
          <w:rFonts w:ascii="Arial" w:hAnsi="Arial" w:cs="Arial"/>
          <w:szCs w:val="20"/>
        </w:rPr>
        <w:t>Asie et le Pacifique, et les pays d</w:t>
      </w:r>
      <w:r w:rsidR="00E2055A" w:rsidRPr="00A32AF4">
        <w:rPr>
          <w:rFonts w:ascii="Arial" w:hAnsi="Arial" w:cs="Arial"/>
          <w:szCs w:val="20"/>
        </w:rPr>
        <w:t>’</w:t>
      </w:r>
      <w:r w:rsidRPr="00A32AF4">
        <w:rPr>
          <w:rFonts w:ascii="Arial" w:hAnsi="Arial" w:cs="Arial"/>
          <w:szCs w:val="20"/>
        </w:rPr>
        <w:t>Amérique latine et des Caraïbes.</w:t>
      </w:r>
    </w:p>
    <w:p w:rsidR="00F93B76" w:rsidRPr="00A32AF4" w:rsidRDefault="00F93B76" w:rsidP="00DC0553">
      <w:pPr>
        <w:pStyle w:val="ListParagraph"/>
        <w:tabs>
          <w:tab w:val="left" w:pos="709"/>
        </w:tabs>
        <w:spacing w:after="0" w:line="240" w:lineRule="auto"/>
        <w:ind w:left="0"/>
        <w:jc w:val="both"/>
        <w:rPr>
          <w:rFonts w:ascii="Arial" w:hAnsi="Arial" w:cs="Arial"/>
          <w:szCs w:val="20"/>
        </w:rPr>
      </w:pPr>
    </w:p>
    <w:p w:rsidR="00F93B76" w:rsidRPr="00A32AF4" w:rsidRDefault="00CD1430" w:rsidP="00DC0553">
      <w:pPr>
        <w:pStyle w:val="ListParagraph"/>
        <w:numPr>
          <w:ilvl w:val="0"/>
          <w:numId w:val="20"/>
        </w:numPr>
        <w:tabs>
          <w:tab w:val="left" w:pos="709"/>
        </w:tabs>
        <w:spacing w:after="0" w:line="240" w:lineRule="auto"/>
        <w:jc w:val="both"/>
        <w:rPr>
          <w:rFonts w:ascii="Arial" w:hAnsi="Arial" w:cs="Arial"/>
          <w:szCs w:val="20"/>
        </w:rPr>
      </w:pPr>
      <w:r w:rsidRPr="00A32AF4">
        <w:rPr>
          <w:rFonts w:ascii="Arial" w:hAnsi="Arial" w:cs="Arial"/>
          <w:szCs w:val="20"/>
        </w:rPr>
        <w:t>Ce programme vise également à donner aux pays les moyens d</w:t>
      </w:r>
      <w:r w:rsidR="00E2055A" w:rsidRPr="00A32AF4">
        <w:rPr>
          <w:rFonts w:ascii="Arial" w:hAnsi="Arial" w:cs="Arial"/>
          <w:szCs w:val="20"/>
        </w:rPr>
        <w:t>’</w:t>
      </w:r>
      <w:r w:rsidRPr="00A32AF4">
        <w:rPr>
          <w:rFonts w:ascii="Arial" w:hAnsi="Arial" w:cs="Arial"/>
          <w:szCs w:val="20"/>
        </w:rPr>
        <w:t>exploiter le système de la propriété intellectuelle aux fins de la réalisation de leurs objectifs nationaux de développement et de tirer parti de leur participation à l</w:t>
      </w:r>
      <w:r w:rsidR="00E2055A" w:rsidRPr="00A32AF4">
        <w:rPr>
          <w:rFonts w:ascii="Arial" w:hAnsi="Arial" w:cs="Arial"/>
          <w:szCs w:val="20"/>
        </w:rPr>
        <w:t>’</w:t>
      </w:r>
      <w:r w:rsidRPr="00A32AF4">
        <w:rPr>
          <w:rFonts w:ascii="Arial" w:hAnsi="Arial" w:cs="Arial"/>
          <w:szCs w:val="20"/>
        </w:rPr>
        <w:t>économie mondiale du savoir et de l</w:t>
      </w:r>
      <w:r w:rsidR="00E2055A" w:rsidRPr="00A32AF4">
        <w:rPr>
          <w:rFonts w:ascii="Arial" w:hAnsi="Arial" w:cs="Arial"/>
          <w:szCs w:val="20"/>
        </w:rPr>
        <w:t>’</w:t>
      </w:r>
      <w:r w:rsidRPr="00A32AF4">
        <w:rPr>
          <w:rFonts w:ascii="Arial" w:hAnsi="Arial" w:cs="Arial"/>
          <w:szCs w:val="20"/>
        </w:rPr>
        <w:t>innovation, conformément aux recommandations pertinentes du Plan d</w:t>
      </w:r>
      <w:r w:rsidR="00E2055A" w:rsidRPr="00A32AF4">
        <w:rPr>
          <w:rFonts w:ascii="Arial" w:hAnsi="Arial" w:cs="Arial"/>
          <w:szCs w:val="20"/>
        </w:rPr>
        <w:t>’</w:t>
      </w:r>
      <w:r w:rsidRPr="00A32AF4">
        <w:rPr>
          <w:rFonts w:ascii="Arial" w:hAnsi="Arial" w:cs="Arial"/>
          <w:szCs w:val="20"/>
        </w:rPr>
        <w:t>action pour le développement, et à les aider à élaborer et à mettre en œuvre des politiques nationales de propriété intellectuelle qui soient complètes, cohérentes et bien coordonnées.</w:t>
      </w:r>
    </w:p>
    <w:p w:rsidR="00F93B76" w:rsidRPr="00A32AF4" w:rsidRDefault="00F93B76" w:rsidP="00DC0553">
      <w:pPr>
        <w:tabs>
          <w:tab w:val="left" w:pos="709"/>
        </w:tabs>
        <w:jc w:val="both"/>
        <w:rPr>
          <w:rFonts w:cs="Arial"/>
        </w:rPr>
      </w:pPr>
    </w:p>
    <w:p w:rsidR="00F93B76" w:rsidRPr="00A32AF4" w:rsidRDefault="00CD1430" w:rsidP="00DC0553">
      <w:pPr>
        <w:pStyle w:val="ListParagraph"/>
        <w:numPr>
          <w:ilvl w:val="0"/>
          <w:numId w:val="20"/>
        </w:numPr>
        <w:tabs>
          <w:tab w:val="left" w:pos="709"/>
        </w:tabs>
        <w:spacing w:after="0" w:line="240" w:lineRule="auto"/>
        <w:jc w:val="both"/>
        <w:rPr>
          <w:rFonts w:ascii="Arial" w:hAnsi="Arial" w:cs="Arial"/>
          <w:szCs w:val="20"/>
        </w:rPr>
      </w:pPr>
      <w:proofErr w:type="gramStart"/>
      <w:r w:rsidRPr="00A32AF4">
        <w:rPr>
          <w:rFonts w:ascii="Arial" w:hAnsi="Arial" w:cs="Arial"/>
          <w:szCs w:val="20"/>
        </w:rPr>
        <w:t>Plusieurs difficultés importantes doivent cependant être surmontées : a) les ressources limitées;  b) la diversité des systèmes sociaux, économiques, culturels, politiques et juridiques;  c) les différents niveaux de développement;  d) l</w:t>
      </w:r>
      <w:r w:rsidR="00E2055A" w:rsidRPr="00A32AF4">
        <w:rPr>
          <w:rFonts w:ascii="Arial" w:hAnsi="Arial" w:cs="Arial"/>
          <w:szCs w:val="20"/>
        </w:rPr>
        <w:t>’</w:t>
      </w:r>
      <w:r w:rsidRPr="00A32AF4">
        <w:rPr>
          <w:rFonts w:ascii="Arial" w:hAnsi="Arial" w:cs="Arial"/>
          <w:szCs w:val="20"/>
        </w:rPr>
        <w:t>éventail et la diversité des parties prenantes, nécessitant des qualifications, des compétences et des connaissances variables;  e) l</w:t>
      </w:r>
      <w:r w:rsidR="00E2055A" w:rsidRPr="00A32AF4">
        <w:rPr>
          <w:rFonts w:ascii="Arial" w:hAnsi="Arial" w:cs="Arial"/>
          <w:szCs w:val="20"/>
        </w:rPr>
        <w:t>’</w:t>
      </w:r>
      <w:r w:rsidRPr="00A32AF4">
        <w:rPr>
          <w:rFonts w:ascii="Arial" w:hAnsi="Arial" w:cs="Arial"/>
          <w:szCs w:val="20"/>
        </w:rPr>
        <w:t>augmentation constante des besoins et de la demande de services d</w:t>
      </w:r>
      <w:r w:rsidR="00E2055A" w:rsidRPr="00A32AF4">
        <w:rPr>
          <w:rFonts w:ascii="Arial" w:hAnsi="Arial" w:cs="Arial"/>
          <w:szCs w:val="20"/>
        </w:rPr>
        <w:t>’</w:t>
      </w:r>
      <w:r w:rsidRPr="00A32AF4">
        <w:rPr>
          <w:rFonts w:ascii="Arial" w:hAnsi="Arial" w:cs="Arial"/>
          <w:szCs w:val="20"/>
        </w:rPr>
        <w:t>aide au développement et d</w:t>
      </w:r>
      <w:r w:rsidR="00E2055A" w:rsidRPr="00A32AF4">
        <w:rPr>
          <w:rFonts w:ascii="Arial" w:hAnsi="Arial" w:cs="Arial"/>
          <w:szCs w:val="20"/>
        </w:rPr>
        <w:t>’</w:t>
      </w:r>
      <w:r w:rsidRPr="00A32AF4">
        <w:rPr>
          <w:rFonts w:ascii="Arial" w:hAnsi="Arial" w:cs="Arial"/>
          <w:szCs w:val="20"/>
        </w:rPr>
        <w:t>autres services de l</w:t>
      </w:r>
      <w:r w:rsidR="00E2055A" w:rsidRPr="00A32AF4">
        <w:rPr>
          <w:rFonts w:ascii="Arial" w:hAnsi="Arial" w:cs="Arial"/>
          <w:szCs w:val="20"/>
        </w:rPr>
        <w:t>’</w:t>
      </w:r>
      <w:r w:rsidRPr="00A32AF4">
        <w:rPr>
          <w:rFonts w:ascii="Arial" w:hAnsi="Arial" w:cs="Arial"/>
          <w:szCs w:val="20"/>
        </w:rPr>
        <w:t xml:space="preserve">OMPI;  et f) la difficulté de traduire la notion de propriété intellectuelle au service du développement en résultats concrets </w:t>
      </w:r>
      <w:r w:rsidR="006A3066" w:rsidRPr="00A32AF4">
        <w:rPr>
          <w:rFonts w:ascii="Arial" w:hAnsi="Arial" w:cs="Arial"/>
          <w:szCs w:val="20"/>
        </w:rPr>
        <w:t xml:space="preserve">et durables, produisant des </w:t>
      </w:r>
      <w:r w:rsidRPr="00A32AF4">
        <w:rPr>
          <w:rFonts w:ascii="Arial" w:hAnsi="Arial" w:cs="Arial"/>
          <w:szCs w:val="20"/>
        </w:rPr>
        <w:t>avantages tangibles.</w:t>
      </w:r>
      <w:proofErr w:type="gramEnd"/>
      <w:r w:rsidRPr="00A32AF4">
        <w:rPr>
          <w:rFonts w:ascii="Arial" w:hAnsi="Arial" w:cs="Arial"/>
          <w:szCs w:val="20"/>
        </w:rPr>
        <w:t xml:space="preserve">  Ces difficultés résultent de la diversité des systèmes nationaux de propriété intellectuelle, notamment en termes de cadre institutionnel de la propriété intellectuelle et de capacité à absorber la coopération technique.</w:t>
      </w:r>
    </w:p>
    <w:p w:rsidR="00F93B76" w:rsidRPr="00A32AF4" w:rsidRDefault="00F93B76" w:rsidP="00DC0553">
      <w:pPr>
        <w:tabs>
          <w:tab w:val="left" w:pos="709"/>
        </w:tabs>
        <w:jc w:val="both"/>
        <w:rPr>
          <w:rFonts w:cs="Arial"/>
        </w:rPr>
      </w:pPr>
    </w:p>
    <w:p w:rsidR="00F93B76" w:rsidRPr="00A32AF4" w:rsidRDefault="00CD1430" w:rsidP="00DC0553">
      <w:pPr>
        <w:pStyle w:val="ListParagraph"/>
        <w:numPr>
          <w:ilvl w:val="0"/>
          <w:numId w:val="20"/>
        </w:numPr>
        <w:tabs>
          <w:tab w:val="left" w:pos="709"/>
        </w:tabs>
        <w:spacing w:after="0" w:line="240" w:lineRule="auto"/>
        <w:jc w:val="both"/>
        <w:rPr>
          <w:rFonts w:ascii="Arial" w:hAnsi="Arial" w:cs="Arial"/>
          <w:szCs w:val="20"/>
        </w:rPr>
      </w:pPr>
      <w:r w:rsidRPr="00A32AF4">
        <w:rPr>
          <w:rFonts w:ascii="Arial" w:hAnsi="Arial" w:cs="Arial"/>
          <w:szCs w:val="20"/>
        </w:rPr>
        <w:t>La conception, la planification et la mise en œuvre des activités de coopération technique dans le cadre de ce programme s</w:t>
      </w:r>
      <w:r w:rsidR="00E2055A" w:rsidRPr="00A32AF4">
        <w:rPr>
          <w:rFonts w:ascii="Arial" w:hAnsi="Arial" w:cs="Arial"/>
          <w:szCs w:val="20"/>
        </w:rPr>
        <w:t>’</w:t>
      </w:r>
      <w:r w:rsidRPr="00A32AF4">
        <w:rPr>
          <w:rFonts w:ascii="Arial" w:hAnsi="Arial" w:cs="Arial"/>
          <w:szCs w:val="20"/>
        </w:rPr>
        <w:t>appuient sur les recommandations pertinentes du Plan d</w:t>
      </w:r>
      <w:r w:rsidR="00E2055A" w:rsidRPr="00A32AF4">
        <w:rPr>
          <w:rFonts w:ascii="Arial" w:hAnsi="Arial" w:cs="Arial"/>
          <w:szCs w:val="20"/>
        </w:rPr>
        <w:t>’</w:t>
      </w:r>
      <w:r w:rsidRPr="00A32AF4">
        <w:rPr>
          <w:rFonts w:ascii="Arial" w:hAnsi="Arial" w:cs="Arial"/>
          <w:szCs w:val="20"/>
        </w:rPr>
        <w:t>action pour le développement, en particulier les recommandations du groupe A concernant l</w:t>
      </w:r>
      <w:r w:rsidR="00E2055A" w:rsidRPr="00A32AF4">
        <w:rPr>
          <w:rFonts w:ascii="Arial" w:hAnsi="Arial" w:cs="Arial"/>
          <w:szCs w:val="20"/>
        </w:rPr>
        <w:t>’</w:t>
      </w:r>
      <w:r w:rsidRPr="00A32AF4">
        <w:rPr>
          <w:rFonts w:ascii="Arial" w:hAnsi="Arial" w:cs="Arial"/>
          <w:szCs w:val="20"/>
        </w:rPr>
        <w:t>assistance technique et le renforcement des capacités.</w:t>
      </w:r>
    </w:p>
    <w:p w:rsidR="00F93B76" w:rsidRPr="00A32AF4" w:rsidRDefault="00F93B76" w:rsidP="00DC0553"/>
    <w:p w:rsidR="00F93B76" w:rsidRPr="00A32AF4" w:rsidRDefault="00F93B76" w:rsidP="00DC0553"/>
    <w:p w:rsidR="00F93B76" w:rsidRPr="00A32AF4" w:rsidRDefault="00CD1430" w:rsidP="00DC0553">
      <w:pPr>
        <w:rPr>
          <w:caps/>
        </w:rPr>
      </w:pPr>
      <w:r w:rsidRPr="00A32AF4">
        <w:rPr>
          <w:caps/>
        </w:rPr>
        <w:t>Stratégies de mise en œuvre</w:t>
      </w:r>
    </w:p>
    <w:p w:rsidR="00F93B76" w:rsidRPr="00A32AF4" w:rsidRDefault="00F93B76" w:rsidP="00DC0553">
      <w:pPr>
        <w:pStyle w:val="ListParagraph"/>
        <w:tabs>
          <w:tab w:val="left" w:pos="709"/>
        </w:tabs>
        <w:spacing w:after="0" w:line="240" w:lineRule="auto"/>
        <w:ind w:left="0"/>
        <w:jc w:val="both"/>
        <w:rPr>
          <w:rFonts w:ascii="Arial" w:hAnsi="Arial" w:cs="Arial"/>
          <w:bCs/>
          <w:szCs w:val="20"/>
        </w:rPr>
      </w:pPr>
    </w:p>
    <w:p w:rsidR="00F93B76" w:rsidRPr="00A32AF4" w:rsidRDefault="00CD1430" w:rsidP="00DC0553">
      <w:pPr>
        <w:pStyle w:val="ListParagraph"/>
        <w:numPr>
          <w:ilvl w:val="0"/>
          <w:numId w:val="20"/>
        </w:numPr>
        <w:tabs>
          <w:tab w:val="left" w:pos="709"/>
        </w:tabs>
        <w:spacing w:after="0" w:line="240" w:lineRule="auto"/>
        <w:jc w:val="both"/>
        <w:rPr>
          <w:rFonts w:ascii="Arial" w:hAnsi="Arial" w:cs="Arial"/>
          <w:szCs w:val="20"/>
        </w:rPr>
      </w:pPr>
      <w:r w:rsidRPr="00A32AF4">
        <w:rPr>
          <w:rFonts w:ascii="Arial" w:hAnsi="Arial" w:cs="Arial"/>
          <w:szCs w:val="20"/>
        </w:rPr>
        <w:t>Pour atteindre les objectifs susmentionnés, au cours du prochain exercice biennal, il sera fait en sorte d</w:t>
      </w:r>
      <w:r w:rsidR="00E2055A" w:rsidRPr="00A32AF4">
        <w:rPr>
          <w:rFonts w:ascii="Arial" w:hAnsi="Arial" w:cs="Arial"/>
          <w:szCs w:val="20"/>
        </w:rPr>
        <w:t>’</w:t>
      </w:r>
      <w:r w:rsidRPr="00A32AF4">
        <w:rPr>
          <w:rFonts w:ascii="Arial" w:hAnsi="Arial" w:cs="Arial"/>
          <w:szCs w:val="20"/>
        </w:rPr>
        <w:t>améliorer l</w:t>
      </w:r>
      <w:r w:rsidR="00E2055A" w:rsidRPr="00A32AF4">
        <w:rPr>
          <w:rFonts w:ascii="Arial" w:hAnsi="Arial" w:cs="Arial"/>
          <w:szCs w:val="20"/>
        </w:rPr>
        <w:t>’</w:t>
      </w:r>
      <w:r w:rsidRPr="00A32AF4">
        <w:rPr>
          <w:rFonts w:ascii="Arial" w:hAnsi="Arial" w:cs="Arial"/>
          <w:szCs w:val="20"/>
        </w:rPr>
        <w:t>exécution des programmes de l</w:t>
      </w:r>
      <w:r w:rsidR="00E2055A" w:rsidRPr="00A32AF4">
        <w:rPr>
          <w:rFonts w:ascii="Arial" w:hAnsi="Arial" w:cs="Arial"/>
          <w:szCs w:val="20"/>
        </w:rPr>
        <w:t>’</w:t>
      </w:r>
      <w:r w:rsidRPr="00A32AF4">
        <w:rPr>
          <w:rFonts w:ascii="Arial" w:hAnsi="Arial" w:cs="Arial"/>
          <w:szCs w:val="20"/>
        </w:rPr>
        <w:t>Organisation par une collaboration plus étroite avec les autres programmes et une meilleure concertation avec les États membres bénéficiaires.</w:t>
      </w:r>
    </w:p>
    <w:p w:rsidR="00F93B76" w:rsidRPr="00A32AF4" w:rsidRDefault="00F93B76" w:rsidP="00DC0553">
      <w:pPr>
        <w:rPr>
          <w:rFonts w:cs="Arial"/>
        </w:rPr>
      </w:pPr>
    </w:p>
    <w:p w:rsidR="00F93B76" w:rsidRPr="00A32AF4" w:rsidRDefault="00CD1430" w:rsidP="00DC0553">
      <w:pPr>
        <w:pStyle w:val="ListParagraph"/>
        <w:numPr>
          <w:ilvl w:val="0"/>
          <w:numId w:val="20"/>
        </w:numPr>
        <w:tabs>
          <w:tab w:val="left" w:pos="709"/>
        </w:tabs>
        <w:spacing w:after="0" w:line="240" w:lineRule="auto"/>
        <w:jc w:val="both"/>
        <w:rPr>
          <w:rFonts w:ascii="Arial" w:hAnsi="Arial" w:cs="Arial"/>
          <w:b/>
          <w:bCs/>
          <w:szCs w:val="20"/>
        </w:rPr>
      </w:pPr>
      <w:r w:rsidRPr="00A32AF4">
        <w:rPr>
          <w:rFonts w:ascii="Arial" w:hAnsi="Arial" w:cs="Arial"/>
          <w:b/>
          <w:szCs w:val="20"/>
        </w:rPr>
        <w:t xml:space="preserve">Stratégies nationales de propriété intellectuelle.  </w:t>
      </w:r>
      <w:r w:rsidRPr="00A32AF4">
        <w:rPr>
          <w:rFonts w:ascii="Arial" w:hAnsi="Arial" w:cs="Arial"/>
          <w:szCs w:val="20"/>
        </w:rPr>
        <w:t>Les stratégies nationales de propriété intellectuelle qui seront élaborées et adoptées viseront à répondre aux besoins particuliers de chaque pays et seront fondées sur une procédure participative de consultation nationale regroupant notamment des fonctionnaires nationaux, des législateurs, le secteur privé, les milieux universitaires et la société civile.  Il est indispensable que les gouvernements s</w:t>
      </w:r>
      <w:r w:rsidR="00E2055A" w:rsidRPr="00A32AF4">
        <w:rPr>
          <w:rFonts w:ascii="Arial" w:hAnsi="Arial" w:cs="Arial"/>
          <w:szCs w:val="20"/>
        </w:rPr>
        <w:t>’</w:t>
      </w:r>
      <w:r w:rsidRPr="00A32AF4">
        <w:rPr>
          <w:rFonts w:ascii="Arial" w:hAnsi="Arial" w:cs="Arial"/>
          <w:szCs w:val="20"/>
        </w:rPr>
        <w:t>engagent pleinement dans ce processus en fournissant le soutien politique et financier nécessaire.  La méthode d</w:t>
      </w:r>
      <w:r w:rsidR="00E2055A" w:rsidRPr="00A32AF4">
        <w:rPr>
          <w:rFonts w:ascii="Arial" w:hAnsi="Arial" w:cs="Arial"/>
          <w:szCs w:val="20"/>
        </w:rPr>
        <w:t>’</w:t>
      </w:r>
      <w:r w:rsidRPr="00A32AF4">
        <w:rPr>
          <w:rFonts w:ascii="Arial" w:hAnsi="Arial" w:cs="Arial"/>
          <w:szCs w:val="20"/>
        </w:rPr>
        <w:t>élaboration de stratégies de propriété intellectuelle, conçue dans le cadre d</w:t>
      </w:r>
      <w:r w:rsidR="00E2055A" w:rsidRPr="00A32AF4">
        <w:rPr>
          <w:rFonts w:ascii="Arial" w:hAnsi="Arial" w:cs="Arial"/>
          <w:szCs w:val="20"/>
        </w:rPr>
        <w:t>’</w:t>
      </w:r>
      <w:r w:rsidRPr="00A32AF4">
        <w:rPr>
          <w:rFonts w:ascii="Arial" w:hAnsi="Arial" w:cs="Arial"/>
          <w:szCs w:val="20"/>
        </w:rPr>
        <w:t>un projet du Plan d</w:t>
      </w:r>
      <w:r w:rsidR="00E2055A" w:rsidRPr="00A32AF4">
        <w:rPr>
          <w:rFonts w:ascii="Arial" w:hAnsi="Arial" w:cs="Arial"/>
          <w:szCs w:val="20"/>
        </w:rPr>
        <w:t>’</w:t>
      </w:r>
      <w:r w:rsidRPr="00A32AF4">
        <w:rPr>
          <w:rFonts w:ascii="Arial" w:hAnsi="Arial" w:cs="Arial"/>
          <w:szCs w:val="20"/>
        </w:rPr>
        <w:t>action pour le développement, servira de base et de modèle pour atteindre cet objectif.  Le but est d</w:t>
      </w:r>
      <w:r w:rsidR="00E2055A" w:rsidRPr="00A32AF4">
        <w:rPr>
          <w:rFonts w:ascii="Arial" w:hAnsi="Arial" w:cs="Arial"/>
          <w:szCs w:val="20"/>
        </w:rPr>
        <w:t>’</w:t>
      </w:r>
      <w:r w:rsidRPr="00A32AF4">
        <w:rPr>
          <w:rFonts w:ascii="Arial" w:hAnsi="Arial" w:cs="Arial"/>
          <w:szCs w:val="20"/>
        </w:rPr>
        <w:t>augmenter au cours de l</w:t>
      </w:r>
      <w:r w:rsidR="00E2055A" w:rsidRPr="00A32AF4">
        <w:rPr>
          <w:rFonts w:ascii="Arial" w:hAnsi="Arial" w:cs="Arial"/>
          <w:szCs w:val="20"/>
        </w:rPr>
        <w:t>’</w:t>
      </w:r>
      <w:r w:rsidRPr="00A32AF4">
        <w:rPr>
          <w:rFonts w:ascii="Arial" w:hAnsi="Arial" w:cs="Arial"/>
          <w:szCs w:val="20"/>
        </w:rPr>
        <w:t>exercice biennal le nombre de pays ayant adopté des stratégies sur mesure en matière de propriété intellectuelle.</w:t>
      </w:r>
    </w:p>
    <w:p w:rsidR="00F93B76" w:rsidRPr="00A32AF4" w:rsidRDefault="00F93B76" w:rsidP="00DC0553">
      <w:pPr>
        <w:pStyle w:val="ListParagraph"/>
        <w:tabs>
          <w:tab w:val="left" w:pos="709"/>
        </w:tabs>
        <w:spacing w:after="0" w:line="240" w:lineRule="auto"/>
        <w:ind w:left="0"/>
        <w:jc w:val="both"/>
        <w:rPr>
          <w:rFonts w:ascii="Arial" w:hAnsi="Arial" w:cs="Arial"/>
          <w:bCs/>
          <w:szCs w:val="20"/>
        </w:rPr>
      </w:pPr>
    </w:p>
    <w:p w:rsidR="00F93B76" w:rsidRPr="00A32AF4" w:rsidRDefault="00CD1430" w:rsidP="00DC0553">
      <w:pPr>
        <w:pStyle w:val="ListParagraph"/>
        <w:numPr>
          <w:ilvl w:val="0"/>
          <w:numId w:val="20"/>
        </w:numPr>
        <w:tabs>
          <w:tab w:val="left" w:pos="709"/>
        </w:tabs>
        <w:spacing w:after="0" w:line="240" w:lineRule="auto"/>
        <w:jc w:val="both"/>
        <w:rPr>
          <w:rFonts w:ascii="Arial" w:hAnsi="Arial" w:cs="Arial"/>
          <w:b/>
          <w:bCs/>
          <w:szCs w:val="20"/>
        </w:rPr>
      </w:pPr>
      <w:r w:rsidRPr="00A32AF4">
        <w:rPr>
          <w:rFonts w:ascii="Arial" w:hAnsi="Arial" w:cs="Arial"/>
          <w:b/>
          <w:szCs w:val="20"/>
        </w:rPr>
        <w:t>Plans nationaux</w:t>
      </w:r>
      <w:r w:rsidRPr="00A32AF4">
        <w:rPr>
          <w:rFonts w:ascii="Arial" w:hAnsi="Arial" w:cs="Arial"/>
          <w:szCs w:val="20"/>
        </w:rPr>
        <w:t>.  Le processus pour l</w:t>
      </w:r>
      <w:r w:rsidR="00E2055A" w:rsidRPr="00A32AF4">
        <w:rPr>
          <w:rFonts w:ascii="Arial" w:hAnsi="Arial" w:cs="Arial"/>
          <w:szCs w:val="20"/>
        </w:rPr>
        <w:t>’</w:t>
      </w:r>
      <w:r w:rsidRPr="00A32AF4">
        <w:rPr>
          <w:rFonts w:ascii="Arial" w:hAnsi="Arial" w:cs="Arial"/>
          <w:szCs w:val="20"/>
        </w:rPr>
        <w:t>adoption de stratégies de propriété intellectuelle est généralement long et, jusqu</w:t>
      </w:r>
      <w:r w:rsidR="00E2055A" w:rsidRPr="00A32AF4">
        <w:rPr>
          <w:rFonts w:ascii="Arial" w:hAnsi="Arial" w:cs="Arial"/>
          <w:szCs w:val="20"/>
        </w:rPr>
        <w:t>’</w:t>
      </w:r>
      <w:r w:rsidRPr="00A32AF4">
        <w:rPr>
          <w:rFonts w:ascii="Arial" w:hAnsi="Arial" w:cs="Arial"/>
          <w:szCs w:val="20"/>
        </w:rPr>
        <w:t>à présent, seuls quelques pays l</w:t>
      </w:r>
      <w:r w:rsidR="00E2055A" w:rsidRPr="00A32AF4">
        <w:rPr>
          <w:rFonts w:ascii="Arial" w:hAnsi="Arial" w:cs="Arial"/>
          <w:szCs w:val="20"/>
        </w:rPr>
        <w:t>’</w:t>
      </w:r>
      <w:r w:rsidRPr="00A32AF4">
        <w:rPr>
          <w:rFonts w:ascii="Arial" w:hAnsi="Arial" w:cs="Arial"/>
          <w:szCs w:val="20"/>
        </w:rPr>
        <w:t>ont achevé.  Lorsque ce processus est en cours, les plans nationaux restent le principal outil pour la fourniture de l</w:t>
      </w:r>
      <w:r w:rsidR="00E2055A" w:rsidRPr="00A32AF4">
        <w:rPr>
          <w:rFonts w:ascii="Arial" w:hAnsi="Arial" w:cs="Arial"/>
          <w:szCs w:val="20"/>
        </w:rPr>
        <w:t>’</w:t>
      </w:r>
      <w:r w:rsidRPr="00A32AF4">
        <w:rPr>
          <w:rFonts w:ascii="Arial" w:hAnsi="Arial" w:cs="Arial"/>
          <w:szCs w:val="20"/>
        </w:rPr>
        <w:t xml:space="preserve">assistance technique.  Les plans nationaux, qui sont élaborés et tenus à jour par les bureaux régionaux en fonction des besoins et des réalités des pays bénéficiaires, sont conçus pour couvrir une période minimale de deux ans et comprennent tous les projets et toutes les activités </w:t>
      </w:r>
      <w:r w:rsidR="006A3066" w:rsidRPr="00A32AF4">
        <w:rPr>
          <w:rFonts w:ascii="Arial" w:hAnsi="Arial" w:cs="Arial"/>
          <w:szCs w:val="20"/>
        </w:rPr>
        <w:t xml:space="preserve">relatifs à la propriété intellectuelle </w:t>
      </w:r>
      <w:r w:rsidRPr="00A32AF4">
        <w:rPr>
          <w:rFonts w:ascii="Arial" w:hAnsi="Arial" w:cs="Arial"/>
          <w:szCs w:val="20"/>
        </w:rPr>
        <w:t>prévus dans chaque pays.  Ces plans sont définis et mis en œuvre en étroite concertation avec les autres programmes et toutes les parties prenantes concernées dans les pays bénéficiaires.  Le but est d</w:t>
      </w:r>
      <w:r w:rsidR="00E2055A" w:rsidRPr="00A32AF4">
        <w:rPr>
          <w:rFonts w:ascii="Arial" w:hAnsi="Arial" w:cs="Arial"/>
          <w:szCs w:val="20"/>
        </w:rPr>
        <w:t>’</w:t>
      </w:r>
      <w:r w:rsidRPr="00A32AF4">
        <w:rPr>
          <w:rFonts w:ascii="Arial" w:hAnsi="Arial" w:cs="Arial"/>
          <w:szCs w:val="20"/>
        </w:rPr>
        <w:t>améliorer la cohérence dans la coopération technique fournie par l</w:t>
      </w:r>
      <w:r w:rsidR="00E2055A" w:rsidRPr="00A32AF4">
        <w:rPr>
          <w:rFonts w:ascii="Arial" w:hAnsi="Arial" w:cs="Arial"/>
          <w:szCs w:val="20"/>
        </w:rPr>
        <w:t>’</w:t>
      </w:r>
      <w:r w:rsidRPr="00A32AF4">
        <w:rPr>
          <w:rFonts w:ascii="Arial" w:hAnsi="Arial" w:cs="Arial"/>
          <w:szCs w:val="20"/>
        </w:rPr>
        <w:t>OMPI.</w:t>
      </w:r>
    </w:p>
    <w:p w:rsidR="00F93B76" w:rsidRPr="00A32AF4" w:rsidRDefault="00F93B76" w:rsidP="00DC0553">
      <w:pPr>
        <w:rPr>
          <w:rFonts w:cs="Arial"/>
        </w:rPr>
      </w:pPr>
    </w:p>
    <w:p w:rsidR="00F93B76" w:rsidRPr="00A32AF4" w:rsidRDefault="00CD1430" w:rsidP="00DC0553">
      <w:pPr>
        <w:pStyle w:val="ListParagraph"/>
        <w:numPr>
          <w:ilvl w:val="0"/>
          <w:numId w:val="20"/>
        </w:numPr>
        <w:tabs>
          <w:tab w:val="left" w:pos="709"/>
        </w:tabs>
        <w:spacing w:after="0" w:line="240" w:lineRule="auto"/>
        <w:jc w:val="both"/>
        <w:rPr>
          <w:rFonts w:ascii="Arial" w:hAnsi="Arial" w:cs="Arial"/>
          <w:szCs w:val="20"/>
        </w:rPr>
      </w:pPr>
      <w:r w:rsidRPr="00A32AF4">
        <w:rPr>
          <w:rFonts w:ascii="Arial" w:hAnsi="Arial" w:cs="Arial"/>
          <w:b/>
          <w:szCs w:val="20"/>
        </w:rPr>
        <w:t>Approche axée sur les projets</w:t>
      </w:r>
      <w:r w:rsidRPr="00A32AF4">
        <w:rPr>
          <w:rFonts w:ascii="Arial" w:hAnsi="Arial" w:cs="Arial"/>
          <w:szCs w:val="20"/>
        </w:rPr>
        <w:t>.  Afin d</w:t>
      </w:r>
      <w:r w:rsidR="00E2055A" w:rsidRPr="00A32AF4">
        <w:rPr>
          <w:rFonts w:ascii="Arial" w:hAnsi="Arial" w:cs="Arial"/>
          <w:szCs w:val="20"/>
        </w:rPr>
        <w:t>’</w:t>
      </w:r>
      <w:r w:rsidRPr="00A32AF4">
        <w:rPr>
          <w:rFonts w:ascii="Arial" w:hAnsi="Arial" w:cs="Arial"/>
          <w:szCs w:val="20"/>
        </w:rPr>
        <w:t>augmenter au maximum l</w:t>
      </w:r>
      <w:r w:rsidR="00E2055A" w:rsidRPr="00A32AF4">
        <w:rPr>
          <w:rFonts w:ascii="Arial" w:hAnsi="Arial" w:cs="Arial"/>
          <w:szCs w:val="20"/>
        </w:rPr>
        <w:t>’</w:t>
      </w:r>
      <w:r w:rsidRPr="00A32AF4">
        <w:rPr>
          <w:rFonts w:ascii="Arial" w:hAnsi="Arial" w:cs="Arial"/>
          <w:szCs w:val="20"/>
        </w:rPr>
        <w:t>efficacité de l</w:t>
      </w:r>
      <w:r w:rsidR="00E2055A" w:rsidRPr="00A32AF4">
        <w:rPr>
          <w:rFonts w:ascii="Arial" w:hAnsi="Arial" w:cs="Arial"/>
          <w:szCs w:val="20"/>
        </w:rPr>
        <w:t>’</w:t>
      </w:r>
      <w:r w:rsidRPr="00A32AF4">
        <w:rPr>
          <w:rFonts w:ascii="Arial" w:hAnsi="Arial" w:cs="Arial"/>
          <w:szCs w:val="20"/>
        </w:rPr>
        <w:t>assistance technique, la coopération technique sera fournie de plus en plus dans le cadre de projets et s</w:t>
      </w:r>
      <w:r w:rsidR="00E2055A" w:rsidRPr="00A32AF4">
        <w:rPr>
          <w:rFonts w:ascii="Arial" w:hAnsi="Arial" w:cs="Arial"/>
          <w:szCs w:val="20"/>
        </w:rPr>
        <w:t>’</w:t>
      </w:r>
      <w:r w:rsidRPr="00A32AF4">
        <w:rPr>
          <w:rFonts w:ascii="Arial" w:hAnsi="Arial" w:cs="Arial"/>
          <w:szCs w:val="20"/>
        </w:rPr>
        <w:t>appuiera sur l</w:t>
      </w:r>
      <w:r w:rsidR="00E2055A" w:rsidRPr="00A32AF4">
        <w:rPr>
          <w:rFonts w:ascii="Arial" w:hAnsi="Arial" w:cs="Arial"/>
          <w:szCs w:val="20"/>
        </w:rPr>
        <w:t>’</w:t>
      </w:r>
      <w:r w:rsidRPr="00A32AF4">
        <w:rPr>
          <w:rFonts w:ascii="Arial" w:hAnsi="Arial" w:cs="Arial"/>
          <w:szCs w:val="20"/>
        </w:rPr>
        <w:t>expérience acquise ces dernières années dans la mise en œuvre du Plan d</w:t>
      </w:r>
      <w:r w:rsidR="00E2055A" w:rsidRPr="00A32AF4">
        <w:rPr>
          <w:rFonts w:ascii="Arial" w:hAnsi="Arial" w:cs="Arial"/>
          <w:szCs w:val="20"/>
        </w:rPr>
        <w:t>’</w:t>
      </w:r>
      <w:r w:rsidRPr="00A32AF4">
        <w:rPr>
          <w:rFonts w:ascii="Arial" w:hAnsi="Arial" w:cs="Arial"/>
          <w:szCs w:val="20"/>
        </w:rPr>
        <w:t>action pour le développement et d</w:t>
      </w:r>
      <w:r w:rsidR="00E2055A" w:rsidRPr="00A32AF4">
        <w:rPr>
          <w:rFonts w:ascii="Arial" w:hAnsi="Arial" w:cs="Arial"/>
          <w:szCs w:val="20"/>
        </w:rPr>
        <w:t>’</w:t>
      </w:r>
      <w:r w:rsidRPr="00A32AF4">
        <w:rPr>
          <w:rFonts w:ascii="Arial" w:hAnsi="Arial" w:cs="Arial"/>
          <w:szCs w:val="20"/>
        </w:rPr>
        <w:t>autres projets spéciaux de développement.</w:t>
      </w:r>
    </w:p>
    <w:p w:rsidR="00F93B76" w:rsidRPr="00A32AF4" w:rsidRDefault="00F93B76" w:rsidP="00DC0553">
      <w:pPr>
        <w:rPr>
          <w:rFonts w:cs="Arial"/>
        </w:rPr>
      </w:pPr>
    </w:p>
    <w:p w:rsidR="00F93B76" w:rsidRPr="00A32AF4" w:rsidRDefault="00CD1430" w:rsidP="00DC0553">
      <w:pPr>
        <w:pStyle w:val="ListParagraph"/>
        <w:numPr>
          <w:ilvl w:val="0"/>
          <w:numId w:val="20"/>
        </w:numPr>
        <w:tabs>
          <w:tab w:val="left" w:pos="709"/>
        </w:tabs>
        <w:spacing w:after="0" w:line="240" w:lineRule="auto"/>
        <w:jc w:val="both"/>
        <w:rPr>
          <w:rFonts w:ascii="Arial" w:hAnsi="Arial" w:cs="Arial"/>
          <w:szCs w:val="20"/>
        </w:rPr>
      </w:pPr>
      <w:r w:rsidRPr="00A32AF4">
        <w:rPr>
          <w:rFonts w:ascii="Arial" w:hAnsi="Arial" w:cs="Arial"/>
          <w:b/>
          <w:szCs w:val="20"/>
        </w:rPr>
        <w:t>Domaines d</w:t>
      </w:r>
      <w:r w:rsidR="00E2055A" w:rsidRPr="00A32AF4">
        <w:rPr>
          <w:rFonts w:ascii="Arial" w:hAnsi="Arial" w:cs="Arial"/>
          <w:b/>
          <w:szCs w:val="20"/>
        </w:rPr>
        <w:t>’</w:t>
      </w:r>
      <w:r w:rsidRPr="00A32AF4">
        <w:rPr>
          <w:rFonts w:ascii="Arial" w:hAnsi="Arial" w:cs="Arial"/>
          <w:b/>
          <w:szCs w:val="20"/>
        </w:rPr>
        <w:t>activité spécifiques</w:t>
      </w:r>
      <w:r w:rsidRPr="00A32AF4">
        <w:rPr>
          <w:rFonts w:ascii="Arial" w:hAnsi="Arial" w:cs="Arial"/>
          <w:szCs w:val="20"/>
        </w:rPr>
        <w:t>.  Le programme va continuer de valoriser les ressources humaines et de renforcer les compétences professionnelles, de faciliter la modernisation de l</w:t>
      </w:r>
      <w:r w:rsidR="00E2055A" w:rsidRPr="00A32AF4">
        <w:rPr>
          <w:rFonts w:ascii="Arial" w:hAnsi="Arial" w:cs="Arial"/>
          <w:szCs w:val="20"/>
        </w:rPr>
        <w:t>’</w:t>
      </w:r>
      <w:r w:rsidRPr="00A32AF4">
        <w:rPr>
          <w:rFonts w:ascii="Arial" w:hAnsi="Arial" w:cs="Arial"/>
          <w:szCs w:val="20"/>
        </w:rPr>
        <w:t>infrastructure de la propriété intellectuelle et la mise au point de cadres juridiques et réglementaires de propriété intellectuelle, compte tenu des engagements spécifiques et des objectifs de développement national des pays bénéficiaires, et de promouvoir l</w:t>
      </w:r>
      <w:r w:rsidR="00E2055A" w:rsidRPr="00A32AF4">
        <w:rPr>
          <w:rFonts w:ascii="Arial" w:hAnsi="Arial" w:cs="Arial"/>
          <w:szCs w:val="20"/>
        </w:rPr>
        <w:t>’</w:t>
      </w:r>
      <w:r w:rsidRPr="00A32AF4">
        <w:rPr>
          <w:rFonts w:ascii="Arial" w:hAnsi="Arial" w:cs="Arial"/>
          <w:szCs w:val="20"/>
        </w:rPr>
        <w:t>adhésion aux traités et conventions administrés par l</w:t>
      </w:r>
      <w:r w:rsidR="00E2055A" w:rsidRPr="00A32AF4">
        <w:rPr>
          <w:rFonts w:ascii="Arial" w:hAnsi="Arial" w:cs="Arial"/>
          <w:szCs w:val="20"/>
        </w:rPr>
        <w:t>’</w:t>
      </w:r>
      <w:r w:rsidRPr="00A32AF4">
        <w:rPr>
          <w:rFonts w:ascii="Arial" w:hAnsi="Arial" w:cs="Arial"/>
          <w:szCs w:val="20"/>
        </w:rPr>
        <w:t>OMPI.  À cet égard, les bureaux régionaux ont un rôle essentiel à jouer en tant que coordonnateurs dans la planification et la mise en œuvre de réalisations concrètes dans les États membres.</w:t>
      </w:r>
    </w:p>
    <w:p w:rsidR="00F93B76" w:rsidRPr="00A32AF4" w:rsidRDefault="00F93B76" w:rsidP="00DC0553">
      <w:pPr>
        <w:tabs>
          <w:tab w:val="left" w:pos="709"/>
        </w:tabs>
        <w:jc w:val="both"/>
        <w:rPr>
          <w:rFonts w:cs="Arial"/>
        </w:rPr>
      </w:pPr>
    </w:p>
    <w:p w:rsidR="00F93B76" w:rsidRPr="00A32AF4" w:rsidRDefault="00CD1430" w:rsidP="00DC0553">
      <w:pPr>
        <w:pStyle w:val="ListParagraph"/>
        <w:numPr>
          <w:ilvl w:val="0"/>
          <w:numId w:val="20"/>
        </w:numPr>
        <w:tabs>
          <w:tab w:val="left" w:pos="709"/>
        </w:tabs>
        <w:spacing w:after="0" w:line="240" w:lineRule="auto"/>
        <w:jc w:val="both"/>
        <w:rPr>
          <w:rFonts w:ascii="Arial" w:hAnsi="Arial" w:cs="Arial"/>
          <w:szCs w:val="20"/>
        </w:rPr>
      </w:pPr>
      <w:r w:rsidRPr="00A32AF4">
        <w:rPr>
          <w:rFonts w:ascii="Arial" w:hAnsi="Arial" w:cs="Arial"/>
          <w:szCs w:val="20"/>
        </w:rPr>
        <w:t>L</w:t>
      </w:r>
      <w:r w:rsidR="00E2055A" w:rsidRPr="00A32AF4">
        <w:rPr>
          <w:rFonts w:ascii="Arial" w:hAnsi="Arial" w:cs="Arial"/>
          <w:szCs w:val="20"/>
        </w:rPr>
        <w:t>’</w:t>
      </w:r>
      <w:r w:rsidRPr="00A32AF4">
        <w:rPr>
          <w:rFonts w:ascii="Arial" w:hAnsi="Arial" w:cs="Arial"/>
          <w:szCs w:val="20"/>
        </w:rPr>
        <w:t>accent qui a été mis sur les PMA sera renforcé afin de répondre aux besoins particuliers et aux besoins communs.  L</w:t>
      </w:r>
      <w:r w:rsidR="00E2055A" w:rsidRPr="00A32AF4">
        <w:rPr>
          <w:rFonts w:ascii="Arial" w:hAnsi="Arial" w:cs="Arial"/>
          <w:szCs w:val="20"/>
        </w:rPr>
        <w:t>’</w:t>
      </w:r>
      <w:r w:rsidRPr="00A32AF4">
        <w:rPr>
          <w:rFonts w:ascii="Arial" w:hAnsi="Arial" w:cs="Arial"/>
          <w:szCs w:val="20"/>
        </w:rPr>
        <w:t>accent sera mis tout particulièrement sur le renforcement des capacités techniques et nationales en matière de propriété intellectuelle dans les PMA afin de contribuer à la réalisation des principaux objectifs de développement de ces pays en ce qui concerne la lutte contre la pauvreté, la croissance économique et le développement social et culturel.  L</w:t>
      </w:r>
      <w:r w:rsidR="00E92388" w:rsidRPr="00A32AF4">
        <w:rPr>
          <w:rFonts w:ascii="Arial" w:hAnsi="Arial" w:cs="Arial"/>
          <w:szCs w:val="20"/>
        </w:rPr>
        <w:t>e programme de travail de l</w:t>
      </w:r>
      <w:r w:rsidR="00E2055A" w:rsidRPr="00A32AF4">
        <w:rPr>
          <w:rFonts w:ascii="Arial" w:hAnsi="Arial" w:cs="Arial"/>
          <w:szCs w:val="20"/>
        </w:rPr>
        <w:t>’</w:t>
      </w:r>
      <w:r w:rsidRPr="00A32AF4">
        <w:rPr>
          <w:rFonts w:ascii="Arial" w:hAnsi="Arial" w:cs="Arial"/>
          <w:szCs w:val="20"/>
        </w:rPr>
        <w:t xml:space="preserve">OMPI </w:t>
      </w:r>
      <w:r w:rsidR="00E92388" w:rsidRPr="00A32AF4">
        <w:rPr>
          <w:rFonts w:ascii="Arial" w:hAnsi="Arial" w:cs="Arial"/>
          <w:szCs w:val="20"/>
        </w:rPr>
        <w:t>en faveur</w:t>
      </w:r>
      <w:r w:rsidR="00E2055A" w:rsidRPr="00A32AF4">
        <w:rPr>
          <w:rFonts w:ascii="Arial" w:hAnsi="Arial" w:cs="Arial"/>
          <w:szCs w:val="20"/>
        </w:rPr>
        <w:t xml:space="preserve"> des PMA</w:t>
      </w:r>
      <w:r w:rsidR="00E92388" w:rsidRPr="00A32AF4">
        <w:rPr>
          <w:rFonts w:ascii="Arial" w:hAnsi="Arial" w:cs="Arial"/>
          <w:szCs w:val="20"/>
        </w:rPr>
        <w:t xml:space="preserve"> </w:t>
      </w:r>
      <w:r w:rsidRPr="00A32AF4">
        <w:rPr>
          <w:rFonts w:ascii="Arial" w:hAnsi="Arial" w:cs="Arial"/>
          <w:szCs w:val="20"/>
        </w:rPr>
        <w:t>continuera notamment de soutenir les activités menées dans les domaines d</w:t>
      </w:r>
      <w:r w:rsidR="00E2055A" w:rsidRPr="00A32AF4">
        <w:rPr>
          <w:rFonts w:ascii="Arial" w:hAnsi="Arial" w:cs="Arial"/>
          <w:szCs w:val="20"/>
        </w:rPr>
        <w:t>’</w:t>
      </w:r>
      <w:r w:rsidRPr="00A32AF4">
        <w:rPr>
          <w:rFonts w:ascii="Arial" w:hAnsi="Arial" w:cs="Arial"/>
          <w:szCs w:val="20"/>
        </w:rPr>
        <w:t xml:space="preserve">action prioritaires figurant parmi les engagements adoptés lors de la quatrième Conférence des </w:t>
      </w:r>
      <w:r w:rsidR="00E2055A" w:rsidRPr="00A32AF4">
        <w:rPr>
          <w:rFonts w:ascii="Arial" w:hAnsi="Arial" w:cs="Arial"/>
          <w:szCs w:val="20"/>
        </w:rPr>
        <w:t>Nations Unies</w:t>
      </w:r>
      <w:r w:rsidRPr="00A32AF4">
        <w:rPr>
          <w:rFonts w:ascii="Arial" w:hAnsi="Arial" w:cs="Arial"/>
          <w:szCs w:val="20"/>
        </w:rPr>
        <w:t xml:space="preserve"> sur les pays les moins avancés (LDC</w:t>
      </w:r>
      <w:r w:rsidR="00EB7F54" w:rsidRPr="00A32AF4">
        <w:rPr>
          <w:rFonts w:ascii="Arial" w:hAnsi="Arial" w:cs="Arial"/>
          <w:szCs w:val="20"/>
        </w:rPr>
        <w:noBreakHyphen/>
      </w:r>
      <w:r w:rsidRPr="00A32AF4">
        <w:rPr>
          <w:rFonts w:ascii="Arial" w:hAnsi="Arial" w:cs="Arial"/>
          <w:szCs w:val="20"/>
        </w:rPr>
        <w:t>IV) et visant à contribuer à la mise en œuvre du Programme d</w:t>
      </w:r>
      <w:r w:rsidR="00E2055A" w:rsidRPr="00A32AF4">
        <w:rPr>
          <w:rFonts w:ascii="Arial" w:hAnsi="Arial" w:cs="Arial"/>
          <w:szCs w:val="20"/>
        </w:rPr>
        <w:t>’</w:t>
      </w:r>
      <w:r w:rsidRPr="00A32AF4">
        <w:rPr>
          <w:rFonts w:ascii="Arial" w:hAnsi="Arial" w:cs="Arial"/>
          <w:szCs w:val="20"/>
        </w:rPr>
        <w:t>action d</w:t>
      </w:r>
      <w:r w:rsidR="00E2055A" w:rsidRPr="00A32AF4">
        <w:rPr>
          <w:rFonts w:ascii="Arial" w:hAnsi="Arial" w:cs="Arial"/>
          <w:szCs w:val="20"/>
        </w:rPr>
        <w:t>’</w:t>
      </w:r>
      <w:r w:rsidRPr="00A32AF4">
        <w:rPr>
          <w:rFonts w:ascii="Arial" w:hAnsi="Arial" w:cs="Arial"/>
          <w:szCs w:val="20"/>
        </w:rPr>
        <w:t>Istanbul.</w:t>
      </w:r>
    </w:p>
    <w:p w:rsidR="00F93B76" w:rsidRPr="00A32AF4" w:rsidRDefault="00F93B76" w:rsidP="00DC0553">
      <w:pPr>
        <w:pStyle w:val="ListParagraph"/>
        <w:tabs>
          <w:tab w:val="left" w:pos="709"/>
        </w:tabs>
        <w:spacing w:after="0" w:line="240" w:lineRule="auto"/>
        <w:ind w:left="0"/>
        <w:jc w:val="both"/>
        <w:rPr>
          <w:rFonts w:ascii="Arial" w:hAnsi="Arial" w:cs="Arial"/>
          <w:szCs w:val="20"/>
        </w:rPr>
      </w:pPr>
    </w:p>
    <w:p w:rsidR="00F93B76" w:rsidRPr="00A32AF4" w:rsidRDefault="00CD1430" w:rsidP="00DC0553">
      <w:pPr>
        <w:pStyle w:val="ListParagraph"/>
        <w:numPr>
          <w:ilvl w:val="0"/>
          <w:numId w:val="20"/>
        </w:numPr>
        <w:tabs>
          <w:tab w:val="left" w:pos="709"/>
        </w:tabs>
        <w:spacing w:after="0" w:line="240" w:lineRule="auto"/>
        <w:jc w:val="both"/>
        <w:rPr>
          <w:rFonts w:ascii="Arial" w:hAnsi="Arial" w:cs="Arial"/>
          <w:szCs w:val="20"/>
        </w:rPr>
      </w:pPr>
      <w:r w:rsidRPr="00A32AF4">
        <w:rPr>
          <w:rFonts w:ascii="Arial" w:hAnsi="Arial" w:cs="Arial"/>
          <w:szCs w:val="20"/>
        </w:rPr>
        <w:t>Compte tenu de l</w:t>
      </w:r>
      <w:r w:rsidR="00E2055A" w:rsidRPr="00A32AF4">
        <w:rPr>
          <w:rFonts w:ascii="Arial" w:hAnsi="Arial" w:cs="Arial"/>
          <w:szCs w:val="20"/>
        </w:rPr>
        <w:t>’</w:t>
      </w:r>
      <w:r w:rsidRPr="00A32AF4">
        <w:rPr>
          <w:rFonts w:ascii="Arial" w:hAnsi="Arial" w:cs="Arial"/>
          <w:szCs w:val="20"/>
        </w:rPr>
        <w:t>importance croissante de la coopération sous</w:t>
      </w:r>
      <w:r w:rsidR="00EB7F54" w:rsidRPr="00A32AF4">
        <w:rPr>
          <w:rFonts w:ascii="Arial" w:hAnsi="Arial" w:cs="Arial"/>
          <w:szCs w:val="20"/>
        </w:rPr>
        <w:noBreakHyphen/>
      </w:r>
      <w:r w:rsidRPr="00A32AF4">
        <w:rPr>
          <w:rFonts w:ascii="Arial" w:hAnsi="Arial" w:cs="Arial"/>
          <w:szCs w:val="20"/>
        </w:rPr>
        <w:t>régionale, régionale et interrégionale, ainsi que de la coopération Sud</w:t>
      </w:r>
      <w:r w:rsidR="00EB7F54" w:rsidRPr="00A32AF4">
        <w:rPr>
          <w:rFonts w:ascii="Arial" w:hAnsi="Arial" w:cs="Arial"/>
          <w:szCs w:val="20"/>
        </w:rPr>
        <w:noBreakHyphen/>
      </w:r>
      <w:r w:rsidRPr="00A32AF4">
        <w:rPr>
          <w:rFonts w:ascii="Arial" w:hAnsi="Arial" w:cs="Arial"/>
          <w:szCs w:val="20"/>
        </w:rPr>
        <w:t>Sud, entre pays en développement, les bureaux régionaux joueront un rôle essentiel dans la coopération horizontale.  Il s</w:t>
      </w:r>
      <w:r w:rsidR="00E2055A" w:rsidRPr="00A32AF4">
        <w:rPr>
          <w:rFonts w:ascii="Arial" w:hAnsi="Arial" w:cs="Arial"/>
          <w:szCs w:val="20"/>
        </w:rPr>
        <w:t>’</w:t>
      </w:r>
      <w:r w:rsidRPr="00A32AF4">
        <w:rPr>
          <w:rFonts w:ascii="Arial" w:hAnsi="Arial" w:cs="Arial"/>
          <w:szCs w:val="20"/>
        </w:rPr>
        <w:t>agira notamment de renforcer les partenariats au sein des pays et des régions et entre eux, notamment dans le cadre des regroupements sous</w:t>
      </w:r>
      <w:r w:rsidR="00EB7F54" w:rsidRPr="00A32AF4">
        <w:rPr>
          <w:rFonts w:ascii="Arial" w:hAnsi="Arial" w:cs="Arial"/>
          <w:szCs w:val="20"/>
        </w:rPr>
        <w:noBreakHyphen/>
      </w:r>
      <w:r w:rsidRPr="00A32AF4">
        <w:rPr>
          <w:rFonts w:ascii="Arial" w:hAnsi="Arial" w:cs="Arial"/>
          <w:szCs w:val="20"/>
        </w:rPr>
        <w:t>régionaux ou régionaux existants.  Le programme assurera la cohérence dans la planification et la reddition des comptes concernant les activités Sud</w:t>
      </w:r>
      <w:r w:rsidR="00EB7F54" w:rsidRPr="00A32AF4">
        <w:rPr>
          <w:rFonts w:ascii="Arial" w:hAnsi="Arial" w:cs="Arial"/>
          <w:szCs w:val="20"/>
        </w:rPr>
        <w:noBreakHyphen/>
      </w:r>
      <w:r w:rsidRPr="00A32AF4">
        <w:rPr>
          <w:rFonts w:ascii="Arial" w:hAnsi="Arial" w:cs="Arial"/>
          <w:szCs w:val="20"/>
        </w:rPr>
        <w:t>Sud au niveau de l</w:t>
      </w:r>
      <w:r w:rsidR="00E2055A" w:rsidRPr="00A32AF4">
        <w:rPr>
          <w:rFonts w:ascii="Arial" w:hAnsi="Arial" w:cs="Arial"/>
          <w:szCs w:val="20"/>
        </w:rPr>
        <w:t>’</w:t>
      </w:r>
      <w:r w:rsidRPr="00A32AF4">
        <w:rPr>
          <w:rFonts w:ascii="Arial" w:hAnsi="Arial" w:cs="Arial"/>
          <w:szCs w:val="20"/>
        </w:rPr>
        <w:t>Organisation et l</w:t>
      </w:r>
      <w:r w:rsidR="00E2055A" w:rsidRPr="00A32AF4">
        <w:rPr>
          <w:rFonts w:ascii="Arial" w:hAnsi="Arial" w:cs="Arial"/>
          <w:szCs w:val="20"/>
        </w:rPr>
        <w:t>’</w:t>
      </w:r>
      <w:r w:rsidRPr="00A32AF4">
        <w:rPr>
          <w:rFonts w:ascii="Arial" w:hAnsi="Arial" w:cs="Arial"/>
          <w:szCs w:val="20"/>
        </w:rPr>
        <w:t>interface avec toutes les parties prenantes en interne et en externe.</w:t>
      </w:r>
    </w:p>
    <w:p w:rsidR="00F93B76" w:rsidRPr="00A32AF4" w:rsidRDefault="00F93B76" w:rsidP="00DC0553">
      <w:pPr>
        <w:pStyle w:val="ListParagraph"/>
        <w:tabs>
          <w:tab w:val="left" w:pos="709"/>
        </w:tabs>
        <w:spacing w:after="0" w:line="240" w:lineRule="auto"/>
        <w:ind w:left="0"/>
        <w:rPr>
          <w:rFonts w:ascii="Arial" w:hAnsi="Arial" w:cs="Arial"/>
          <w:szCs w:val="20"/>
        </w:rPr>
      </w:pPr>
    </w:p>
    <w:p w:rsidR="00F93B76" w:rsidRPr="00A32AF4" w:rsidRDefault="00CD1430" w:rsidP="00DC0553">
      <w:pPr>
        <w:pStyle w:val="ListParagraph"/>
        <w:numPr>
          <w:ilvl w:val="0"/>
          <w:numId w:val="20"/>
        </w:numPr>
        <w:tabs>
          <w:tab w:val="left" w:pos="709"/>
        </w:tabs>
        <w:spacing w:after="0" w:line="240" w:lineRule="auto"/>
        <w:jc w:val="both"/>
        <w:rPr>
          <w:rFonts w:ascii="Arial" w:hAnsi="Arial" w:cs="Arial"/>
          <w:szCs w:val="20"/>
        </w:rPr>
      </w:pPr>
      <w:r w:rsidRPr="00A32AF4">
        <w:rPr>
          <w:rFonts w:ascii="Arial" w:hAnsi="Arial" w:cs="Arial"/>
          <w:szCs w:val="20"/>
        </w:rPr>
        <w:t>Les bases de données existantes (IP</w:t>
      </w:r>
      <w:r w:rsidR="00EB7F54" w:rsidRPr="00A32AF4">
        <w:rPr>
          <w:rFonts w:ascii="Arial" w:hAnsi="Arial" w:cs="Arial"/>
          <w:szCs w:val="20"/>
        </w:rPr>
        <w:noBreakHyphen/>
      </w:r>
      <w:r w:rsidRPr="00A32AF4">
        <w:rPr>
          <w:rFonts w:ascii="Arial" w:hAnsi="Arial" w:cs="Arial"/>
          <w:szCs w:val="20"/>
        </w:rPr>
        <w:t>TAD, IP</w:t>
      </w:r>
      <w:r w:rsidR="00EB7F54" w:rsidRPr="00A32AF4">
        <w:rPr>
          <w:rFonts w:ascii="Arial" w:hAnsi="Arial" w:cs="Arial"/>
          <w:szCs w:val="20"/>
        </w:rPr>
        <w:noBreakHyphen/>
      </w:r>
      <w:r w:rsidRPr="00A32AF4">
        <w:rPr>
          <w:rFonts w:ascii="Arial" w:hAnsi="Arial" w:cs="Arial"/>
          <w:szCs w:val="20"/>
        </w:rPr>
        <w:t>ROC et IP</w:t>
      </w:r>
      <w:r w:rsidR="00EB7F54" w:rsidRPr="00A32AF4">
        <w:rPr>
          <w:rFonts w:ascii="Arial" w:hAnsi="Arial" w:cs="Arial"/>
          <w:szCs w:val="20"/>
        </w:rPr>
        <w:noBreakHyphen/>
      </w:r>
      <w:r w:rsidRPr="00A32AF4">
        <w:rPr>
          <w:rFonts w:ascii="Arial" w:hAnsi="Arial" w:cs="Arial"/>
          <w:szCs w:val="20"/>
        </w:rPr>
        <w:t>DMD) se sont révélées utiles pour surveiller et orienter les activités de coopération pour le développement.  Au cours de l</w:t>
      </w:r>
      <w:r w:rsidR="00E2055A" w:rsidRPr="00A32AF4">
        <w:rPr>
          <w:rFonts w:ascii="Arial" w:hAnsi="Arial" w:cs="Arial"/>
          <w:szCs w:val="20"/>
        </w:rPr>
        <w:t>’</w:t>
      </w:r>
      <w:r w:rsidRPr="00A32AF4">
        <w:rPr>
          <w:rFonts w:ascii="Arial" w:hAnsi="Arial" w:cs="Arial"/>
          <w:szCs w:val="20"/>
        </w:rPr>
        <w:t>exercice biennal, ces bases de données seront synchronisées avec le système de gestion des performances de l</w:t>
      </w:r>
      <w:r w:rsidR="00E2055A" w:rsidRPr="00A32AF4">
        <w:rPr>
          <w:rFonts w:ascii="Arial" w:hAnsi="Arial" w:cs="Arial"/>
          <w:szCs w:val="20"/>
        </w:rPr>
        <w:t>’</w:t>
      </w:r>
      <w:r w:rsidRPr="00A32AF4">
        <w:rPr>
          <w:rFonts w:ascii="Arial" w:hAnsi="Arial" w:cs="Arial"/>
          <w:szCs w:val="20"/>
        </w:rPr>
        <w:t>Organisation afin d</w:t>
      </w:r>
      <w:r w:rsidR="00E2055A" w:rsidRPr="00A32AF4">
        <w:rPr>
          <w:rFonts w:ascii="Arial" w:hAnsi="Arial" w:cs="Arial"/>
          <w:szCs w:val="20"/>
        </w:rPr>
        <w:t>’</w:t>
      </w:r>
      <w:r w:rsidRPr="00A32AF4">
        <w:rPr>
          <w:rFonts w:ascii="Arial" w:hAnsi="Arial" w:cs="Arial"/>
          <w:szCs w:val="20"/>
        </w:rPr>
        <w:t>automatiser la saisie des données.  Cela permettra d</w:t>
      </w:r>
      <w:r w:rsidR="00E2055A" w:rsidRPr="00A32AF4">
        <w:rPr>
          <w:rFonts w:ascii="Arial" w:hAnsi="Arial" w:cs="Arial"/>
          <w:szCs w:val="20"/>
        </w:rPr>
        <w:t>’</w:t>
      </w:r>
      <w:r w:rsidRPr="00A32AF4">
        <w:rPr>
          <w:rFonts w:ascii="Arial" w:hAnsi="Arial" w:cs="Arial"/>
          <w:szCs w:val="20"/>
        </w:rPr>
        <w:t>assurer que les États membres et les autres utilisateurs aient accès aux informations les plus récentes concernant les activités de coopération pour le développement.  En outre, de nouveaux instruments visant à faciliter le processus d</w:t>
      </w:r>
      <w:r w:rsidR="00E2055A" w:rsidRPr="00A32AF4">
        <w:rPr>
          <w:rFonts w:ascii="Arial" w:hAnsi="Arial" w:cs="Arial"/>
          <w:szCs w:val="20"/>
        </w:rPr>
        <w:t>’</w:t>
      </w:r>
      <w:r w:rsidRPr="00A32AF4">
        <w:rPr>
          <w:rFonts w:ascii="Arial" w:hAnsi="Arial" w:cs="Arial"/>
          <w:szCs w:val="20"/>
        </w:rPr>
        <w:t>élaboration de stratégies nationales de propriété intellectuelle ainsi que l</w:t>
      </w:r>
      <w:r w:rsidR="00E2055A" w:rsidRPr="00A32AF4">
        <w:rPr>
          <w:rFonts w:ascii="Arial" w:hAnsi="Arial" w:cs="Arial"/>
          <w:szCs w:val="20"/>
        </w:rPr>
        <w:t>’</w:t>
      </w:r>
      <w:r w:rsidRPr="00A32AF4">
        <w:rPr>
          <w:rFonts w:ascii="Arial" w:hAnsi="Arial" w:cs="Arial"/>
          <w:szCs w:val="20"/>
        </w:rPr>
        <w:t>évaluation des projets de coopération Sud</w:t>
      </w:r>
      <w:r w:rsidR="00EB7F54" w:rsidRPr="00A32AF4">
        <w:rPr>
          <w:rFonts w:ascii="Arial" w:hAnsi="Arial" w:cs="Arial"/>
          <w:szCs w:val="20"/>
        </w:rPr>
        <w:noBreakHyphen/>
      </w:r>
      <w:r w:rsidRPr="00A32AF4">
        <w:rPr>
          <w:rFonts w:ascii="Arial" w:hAnsi="Arial" w:cs="Arial"/>
          <w:szCs w:val="20"/>
        </w:rPr>
        <w:t>Sud continueront d</w:t>
      </w:r>
      <w:r w:rsidR="00E2055A" w:rsidRPr="00A32AF4">
        <w:rPr>
          <w:rFonts w:ascii="Arial" w:hAnsi="Arial" w:cs="Arial"/>
          <w:szCs w:val="20"/>
        </w:rPr>
        <w:t>’</w:t>
      </w:r>
      <w:r w:rsidRPr="00A32AF4">
        <w:rPr>
          <w:rFonts w:ascii="Arial" w:hAnsi="Arial" w:cs="Arial"/>
          <w:szCs w:val="20"/>
        </w:rPr>
        <w:t>être créés et utilisés.</w:t>
      </w:r>
    </w:p>
    <w:p w:rsidR="00F93B76" w:rsidRPr="00A32AF4" w:rsidRDefault="00F93B76" w:rsidP="00DC0553">
      <w:pPr>
        <w:pStyle w:val="ListParagraph"/>
        <w:tabs>
          <w:tab w:val="left" w:pos="709"/>
        </w:tabs>
        <w:spacing w:after="0" w:line="240" w:lineRule="auto"/>
        <w:ind w:left="0"/>
        <w:jc w:val="both"/>
        <w:rPr>
          <w:rFonts w:ascii="Arial" w:hAnsi="Arial" w:cs="Arial"/>
          <w:szCs w:val="20"/>
        </w:rPr>
      </w:pPr>
    </w:p>
    <w:p w:rsidR="00F93B76" w:rsidRPr="00A32AF4" w:rsidRDefault="00CD1430" w:rsidP="00DC0553">
      <w:pPr>
        <w:pStyle w:val="ListParagraph"/>
        <w:numPr>
          <w:ilvl w:val="0"/>
          <w:numId w:val="20"/>
        </w:numPr>
        <w:tabs>
          <w:tab w:val="left" w:pos="709"/>
        </w:tabs>
        <w:spacing w:after="0" w:line="240" w:lineRule="auto"/>
        <w:jc w:val="both"/>
        <w:rPr>
          <w:rFonts w:ascii="Arial" w:hAnsi="Arial" w:cs="Arial"/>
          <w:szCs w:val="20"/>
        </w:rPr>
      </w:pPr>
      <w:r w:rsidRPr="00A32AF4">
        <w:rPr>
          <w:rFonts w:ascii="Arial" w:hAnsi="Arial" w:cs="Arial"/>
          <w:szCs w:val="20"/>
        </w:rPr>
        <w:t>La coopération avec les organes de l</w:t>
      </w:r>
      <w:r w:rsidR="00E2055A" w:rsidRPr="00A32AF4">
        <w:rPr>
          <w:rFonts w:ascii="Arial" w:hAnsi="Arial" w:cs="Arial"/>
          <w:szCs w:val="20"/>
        </w:rPr>
        <w:t>’</w:t>
      </w:r>
      <w:r w:rsidRPr="00A32AF4">
        <w:rPr>
          <w:rFonts w:ascii="Arial" w:hAnsi="Arial" w:cs="Arial"/>
          <w:szCs w:val="20"/>
        </w:rPr>
        <w:t>ONU et d</w:t>
      </w:r>
      <w:r w:rsidR="00E2055A" w:rsidRPr="00A32AF4">
        <w:rPr>
          <w:rFonts w:ascii="Arial" w:hAnsi="Arial" w:cs="Arial"/>
          <w:szCs w:val="20"/>
        </w:rPr>
        <w:t>’</w:t>
      </w:r>
      <w:r w:rsidRPr="00A32AF4">
        <w:rPr>
          <w:rFonts w:ascii="Arial" w:hAnsi="Arial" w:cs="Arial"/>
          <w:szCs w:val="20"/>
        </w:rPr>
        <w:t>autres organisations intergouvernementales et institutions non gouvernementales pertinentes continuera d</w:t>
      </w:r>
      <w:r w:rsidR="00E2055A" w:rsidRPr="00A32AF4">
        <w:rPr>
          <w:rFonts w:ascii="Arial" w:hAnsi="Arial" w:cs="Arial"/>
          <w:szCs w:val="20"/>
        </w:rPr>
        <w:t>’</w:t>
      </w:r>
      <w:r w:rsidRPr="00A32AF4">
        <w:rPr>
          <w:rFonts w:ascii="Arial" w:hAnsi="Arial" w:cs="Arial"/>
          <w:szCs w:val="20"/>
        </w:rPr>
        <w:t>être encouragée afin de mutualiser les ressources et l</w:t>
      </w:r>
      <w:r w:rsidR="00E2055A" w:rsidRPr="00A32AF4">
        <w:rPr>
          <w:rFonts w:ascii="Arial" w:hAnsi="Arial" w:cs="Arial"/>
          <w:szCs w:val="20"/>
        </w:rPr>
        <w:t>’</w:t>
      </w:r>
      <w:r w:rsidRPr="00A32AF4">
        <w:rPr>
          <w:rFonts w:ascii="Arial" w:hAnsi="Arial" w:cs="Arial"/>
          <w:szCs w:val="20"/>
        </w:rPr>
        <w:t>expertise et d</w:t>
      </w:r>
      <w:r w:rsidR="00E2055A" w:rsidRPr="00A32AF4">
        <w:rPr>
          <w:rFonts w:ascii="Arial" w:hAnsi="Arial" w:cs="Arial"/>
          <w:szCs w:val="20"/>
        </w:rPr>
        <w:t>’</w:t>
      </w:r>
      <w:r w:rsidRPr="00A32AF4">
        <w:rPr>
          <w:rFonts w:ascii="Arial" w:hAnsi="Arial" w:cs="Arial"/>
          <w:szCs w:val="20"/>
        </w:rPr>
        <w:t>avoir ainsi davantage d</w:t>
      </w:r>
      <w:r w:rsidR="00E2055A" w:rsidRPr="00A32AF4">
        <w:rPr>
          <w:rFonts w:ascii="Arial" w:hAnsi="Arial" w:cs="Arial"/>
          <w:szCs w:val="20"/>
        </w:rPr>
        <w:t>’</w:t>
      </w:r>
      <w:r w:rsidRPr="00A32AF4">
        <w:rPr>
          <w:rFonts w:ascii="Arial" w:hAnsi="Arial" w:cs="Arial"/>
          <w:szCs w:val="20"/>
        </w:rPr>
        <w:t>impact.  Tout sera mis en œuvre pour améliorer constamment la qualité et l</w:t>
      </w:r>
      <w:r w:rsidR="00E2055A" w:rsidRPr="00A32AF4">
        <w:rPr>
          <w:rFonts w:ascii="Arial" w:hAnsi="Arial" w:cs="Arial"/>
          <w:szCs w:val="20"/>
        </w:rPr>
        <w:t>’</w:t>
      </w:r>
      <w:r w:rsidRPr="00A32AF4">
        <w:rPr>
          <w:rFonts w:ascii="Arial" w:hAnsi="Arial" w:cs="Arial"/>
          <w:szCs w:val="20"/>
        </w:rPr>
        <w:t>efficacité de la coopération technique, pour obtenir des résultats concrets et pour assurer la viabilité et la continuité des programmes.</w:t>
      </w:r>
    </w:p>
    <w:p w:rsidR="00F93B76" w:rsidRPr="00A32AF4" w:rsidRDefault="00F93B76" w:rsidP="00DC0553"/>
    <w:p w:rsidR="00C314FE" w:rsidRPr="00A32AF4" w:rsidRDefault="00C314FE">
      <w:pPr>
        <w:rPr>
          <w:rFonts w:cs="Arial"/>
        </w:rPr>
      </w:pPr>
      <w:r w:rsidRPr="00A32AF4">
        <w:rPr>
          <w:rFonts w:cs="Arial"/>
        </w:rPr>
        <w:br w:type="page"/>
      </w:r>
    </w:p>
    <w:p w:rsidR="00E2055A" w:rsidRPr="00A32AF4" w:rsidRDefault="006A3066" w:rsidP="00DC0553">
      <w:pPr>
        <w:numPr>
          <w:ilvl w:val="0"/>
          <w:numId w:val="20"/>
        </w:numPr>
        <w:jc w:val="both"/>
        <w:rPr>
          <w:rFonts w:cs="Arial"/>
        </w:rPr>
      </w:pPr>
      <w:r w:rsidRPr="00A32AF4">
        <w:rPr>
          <w:rFonts w:cs="Arial"/>
        </w:rPr>
        <w:t>Le p</w:t>
      </w:r>
      <w:r w:rsidR="008E2946" w:rsidRPr="00A32AF4">
        <w:rPr>
          <w:rFonts w:cs="Arial"/>
        </w:rPr>
        <w:t>rogram</w:t>
      </w:r>
      <w:r w:rsidRPr="00A32AF4">
        <w:rPr>
          <w:rFonts w:cs="Arial"/>
        </w:rPr>
        <w:t>me</w:t>
      </w:r>
      <w:r w:rsidR="008E2946" w:rsidRPr="00A32AF4">
        <w:rPr>
          <w:rFonts w:cs="Arial"/>
        </w:rPr>
        <w:t xml:space="preserve"> 9 collabor</w:t>
      </w:r>
      <w:r w:rsidRPr="00A32AF4">
        <w:rPr>
          <w:rFonts w:cs="Arial"/>
        </w:rPr>
        <w:t>e</w:t>
      </w:r>
      <w:r w:rsidR="008E2946" w:rsidRPr="00A32AF4">
        <w:rPr>
          <w:rFonts w:cs="Arial"/>
        </w:rPr>
        <w:t xml:space="preserve"> </w:t>
      </w:r>
      <w:r w:rsidRPr="00A32AF4">
        <w:rPr>
          <w:rFonts w:cs="Arial"/>
        </w:rPr>
        <w:t>essentiellement avec les autres prog</w:t>
      </w:r>
      <w:r w:rsidR="00D90601" w:rsidRPr="00A32AF4">
        <w:rPr>
          <w:rFonts w:cs="Arial"/>
        </w:rPr>
        <w:t>rammes indiqués ci</w:t>
      </w:r>
      <w:r w:rsidR="00EB7F54" w:rsidRPr="00A32AF4">
        <w:rPr>
          <w:rFonts w:cs="Arial"/>
        </w:rPr>
        <w:noBreakHyphen/>
      </w:r>
      <w:r w:rsidRPr="00A32AF4">
        <w:rPr>
          <w:rFonts w:cs="Arial"/>
        </w:rPr>
        <w:t>dessous </w:t>
      </w:r>
      <w:r w:rsidR="008E2946" w:rsidRPr="00A32AF4">
        <w:rPr>
          <w:rFonts w:cs="Arial"/>
        </w:rPr>
        <w:t>:</w:t>
      </w:r>
    </w:p>
    <w:p w:rsidR="00F93B76" w:rsidRPr="00A32AF4" w:rsidRDefault="00F93B76" w:rsidP="00DC0553"/>
    <w:p w:rsidR="001C4483" w:rsidRPr="00A32AF4" w:rsidRDefault="001C4483" w:rsidP="00DC0553">
      <w:pPr>
        <w:rPr>
          <w:caps/>
        </w:rPr>
      </w:pPr>
      <w:r w:rsidRPr="00A32AF4">
        <w:rPr>
          <w:noProof/>
          <w:lang w:eastAsia="fr-FR"/>
        </w:rPr>
        <w:drawing>
          <wp:inline distT="0" distB="0" distL="0" distR="0" wp14:anchorId="19ECCBDE" wp14:editId="2C55B268">
            <wp:extent cx="5911200" cy="3326400"/>
            <wp:effectExtent l="0" t="19050" r="52070" b="83820"/>
            <wp:docPr id="24" name="Diagram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6" r:lo="rId87" r:qs="rId88" r:cs="rId89"/>
              </a:graphicData>
            </a:graphic>
          </wp:inline>
        </w:drawing>
      </w:r>
    </w:p>
    <w:p w:rsidR="001C4483" w:rsidRPr="00A32AF4" w:rsidRDefault="001C4483" w:rsidP="00DC0553">
      <w:pPr>
        <w:rPr>
          <w:caps/>
        </w:rPr>
      </w:pPr>
    </w:p>
    <w:p w:rsidR="001C4483" w:rsidRPr="00A32AF4" w:rsidRDefault="001C4483" w:rsidP="00DC0553">
      <w:pPr>
        <w:rPr>
          <w:caps/>
        </w:rPr>
      </w:pPr>
    </w:p>
    <w:p w:rsidR="00F93B76" w:rsidRPr="00A32AF4" w:rsidRDefault="00CD1430" w:rsidP="00DC0553">
      <w:pPr>
        <w:rPr>
          <w:caps/>
        </w:rPr>
      </w:pPr>
      <w:r w:rsidRPr="00A32AF4">
        <w:rPr>
          <w:caps/>
        </w:rPr>
        <w:t>Principaux risques et stratégies d</w:t>
      </w:r>
      <w:r w:rsidR="00E2055A" w:rsidRPr="00A32AF4">
        <w:rPr>
          <w:caps/>
        </w:rPr>
        <w:t>’</w:t>
      </w:r>
      <w:r w:rsidRPr="00A32AF4">
        <w:rPr>
          <w:caps/>
        </w:rPr>
        <w:t>atténuation</w:t>
      </w:r>
    </w:p>
    <w:p w:rsidR="00CD1430" w:rsidRPr="00A32AF4" w:rsidRDefault="00CD1430" w:rsidP="00DC0553">
      <w:pPr>
        <w:rPr>
          <w:caps/>
          <w:szCs w:val="22"/>
        </w:rPr>
      </w:pPr>
    </w:p>
    <w:tbl>
      <w:tblPr>
        <w:tblW w:w="9214"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11"/>
        <w:gridCol w:w="5103"/>
      </w:tblGrid>
      <w:tr w:rsidR="0038294E" w:rsidRPr="00A32AF4" w:rsidTr="007575E1">
        <w:trPr>
          <w:trHeight w:val="577"/>
        </w:trPr>
        <w:tc>
          <w:tcPr>
            <w:tcW w:w="4111" w:type="dxa"/>
            <w:tcBorders>
              <w:top w:val="single" w:sz="4" w:space="0" w:color="auto"/>
              <w:bottom w:val="single" w:sz="4" w:space="0" w:color="auto"/>
            </w:tcBorders>
            <w:shd w:val="clear" w:color="auto" w:fill="C6D9F1" w:themeFill="text2" w:themeFillTint="33"/>
            <w:vAlign w:val="center"/>
          </w:tcPr>
          <w:p w:rsidR="00CD1430" w:rsidRPr="00A32AF4" w:rsidRDefault="00CD1430" w:rsidP="00DC0553">
            <w:pPr>
              <w:jc w:val="center"/>
              <w:rPr>
                <w:b/>
                <w:bCs/>
                <w:sz w:val="18"/>
                <w:szCs w:val="18"/>
              </w:rPr>
            </w:pPr>
            <w:r w:rsidRPr="00A32AF4">
              <w:rPr>
                <w:b/>
                <w:bCs/>
                <w:sz w:val="18"/>
                <w:szCs w:val="18"/>
              </w:rPr>
              <w:t>Risque</w:t>
            </w:r>
            <w:r w:rsidR="00D27E4C" w:rsidRPr="00A32AF4">
              <w:rPr>
                <w:b/>
                <w:bCs/>
                <w:sz w:val="18"/>
                <w:szCs w:val="18"/>
              </w:rPr>
              <w:t>s</w:t>
            </w:r>
          </w:p>
        </w:tc>
        <w:tc>
          <w:tcPr>
            <w:tcW w:w="5103" w:type="dxa"/>
            <w:tcBorders>
              <w:top w:val="single" w:sz="4" w:space="0" w:color="auto"/>
              <w:bottom w:val="single" w:sz="4" w:space="0" w:color="auto"/>
            </w:tcBorders>
            <w:shd w:val="clear" w:color="auto" w:fill="C6D9F1" w:themeFill="text2" w:themeFillTint="33"/>
            <w:vAlign w:val="center"/>
          </w:tcPr>
          <w:p w:rsidR="00CD1430" w:rsidRPr="00A32AF4" w:rsidRDefault="00FD3E7B" w:rsidP="00DC0553">
            <w:pPr>
              <w:jc w:val="center"/>
              <w:rPr>
                <w:b/>
                <w:bCs/>
                <w:sz w:val="18"/>
                <w:szCs w:val="18"/>
              </w:rPr>
            </w:pPr>
            <w:r w:rsidRPr="00A32AF4">
              <w:rPr>
                <w:b/>
                <w:bCs/>
                <w:sz w:val="18"/>
                <w:szCs w:val="18"/>
              </w:rPr>
              <w:t>Stratégie</w:t>
            </w:r>
            <w:r w:rsidR="00D27E4C" w:rsidRPr="00A32AF4">
              <w:rPr>
                <w:b/>
                <w:bCs/>
                <w:sz w:val="18"/>
                <w:szCs w:val="18"/>
              </w:rPr>
              <w:t>s</w:t>
            </w:r>
            <w:r w:rsidRPr="00A32AF4">
              <w:rPr>
                <w:b/>
                <w:bCs/>
                <w:sz w:val="18"/>
                <w:szCs w:val="18"/>
              </w:rPr>
              <w:t xml:space="preserve"> d</w:t>
            </w:r>
            <w:r w:rsidR="00E2055A" w:rsidRPr="00A32AF4">
              <w:rPr>
                <w:b/>
                <w:bCs/>
                <w:sz w:val="18"/>
                <w:szCs w:val="18"/>
              </w:rPr>
              <w:t>’</w:t>
            </w:r>
            <w:r w:rsidRPr="00A32AF4">
              <w:rPr>
                <w:b/>
                <w:bCs/>
                <w:sz w:val="18"/>
                <w:szCs w:val="18"/>
              </w:rPr>
              <w:t>atténuation</w:t>
            </w:r>
          </w:p>
        </w:tc>
      </w:tr>
      <w:tr w:rsidR="00CD1430" w:rsidRPr="00A32AF4" w:rsidTr="007575E1">
        <w:trPr>
          <w:trHeight w:val="259"/>
        </w:trPr>
        <w:tc>
          <w:tcPr>
            <w:tcW w:w="4111" w:type="dxa"/>
            <w:tcBorders>
              <w:top w:val="single" w:sz="4" w:space="0" w:color="auto"/>
            </w:tcBorders>
            <w:shd w:val="clear" w:color="auto" w:fill="auto"/>
            <w:tcMar>
              <w:top w:w="113" w:type="dxa"/>
              <w:bottom w:w="113" w:type="dxa"/>
            </w:tcMar>
          </w:tcPr>
          <w:p w:rsidR="00F93B76" w:rsidRPr="00A32AF4" w:rsidRDefault="00CD1430" w:rsidP="00DC0553">
            <w:pPr>
              <w:rPr>
                <w:sz w:val="16"/>
                <w:szCs w:val="16"/>
              </w:rPr>
            </w:pPr>
            <w:r w:rsidRPr="00A32AF4">
              <w:rPr>
                <w:sz w:val="16"/>
                <w:szCs w:val="16"/>
              </w:rPr>
              <w:t>Des changements politiques, débouchant sur des changements dans la politique de propriété intellectuelle au niveau national, peuvent avoir des incidences sur la prestation des services.</w:t>
            </w:r>
          </w:p>
          <w:p w:rsidR="00F93B76" w:rsidRPr="00A32AF4" w:rsidRDefault="00F93B76" w:rsidP="00DC0553">
            <w:pPr>
              <w:rPr>
                <w:sz w:val="16"/>
                <w:szCs w:val="16"/>
              </w:rPr>
            </w:pPr>
          </w:p>
          <w:p w:rsidR="00CD1430" w:rsidRPr="00A32AF4" w:rsidRDefault="00CD1430" w:rsidP="00DC0553">
            <w:pPr>
              <w:rPr>
                <w:sz w:val="16"/>
                <w:szCs w:val="16"/>
              </w:rPr>
            </w:pPr>
            <w:r w:rsidRPr="00A32AF4">
              <w:rPr>
                <w:sz w:val="16"/>
                <w:szCs w:val="16"/>
              </w:rPr>
              <w:t>L</w:t>
            </w:r>
            <w:r w:rsidR="00E2055A" w:rsidRPr="00A32AF4">
              <w:rPr>
                <w:sz w:val="16"/>
                <w:szCs w:val="16"/>
              </w:rPr>
              <w:t>’</w:t>
            </w:r>
            <w:r w:rsidRPr="00A32AF4">
              <w:rPr>
                <w:sz w:val="16"/>
                <w:szCs w:val="16"/>
              </w:rPr>
              <w:t xml:space="preserve">instabilité politique dans les États membres et les changements pouvant en résulter dans le système de gestion de la sécurité des organismes des </w:t>
            </w:r>
            <w:r w:rsidR="00E2055A" w:rsidRPr="00A32AF4">
              <w:rPr>
                <w:sz w:val="16"/>
                <w:szCs w:val="16"/>
              </w:rPr>
              <w:t>Nations Unies</w:t>
            </w:r>
            <w:r w:rsidRPr="00A32AF4">
              <w:rPr>
                <w:sz w:val="16"/>
                <w:szCs w:val="16"/>
              </w:rPr>
              <w:t xml:space="preserve"> peuvent entraîner des retards dans la prestation des services d</w:t>
            </w:r>
            <w:r w:rsidR="00E2055A" w:rsidRPr="00A32AF4">
              <w:rPr>
                <w:sz w:val="16"/>
                <w:szCs w:val="16"/>
              </w:rPr>
              <w:t>’</w:t>
            </w:r>
            <w:r w:rsidRPr="00A32AF4">
              <w:rPr>
                <w:sz w:val="16"/>
                <w:szCs w:val="16"/>
              </w:rPr>
              <w:t>assistance technique.</w:t>
            </w:r>
          </w:p>
        </w:tc>
        <w:tc>
          <w:tcPr>
            <w:tcW w:w="5103" w:type="dxa"/>
            <w:tcBorders>
              <w:top w:val="single" w:sz="4" w:space="0" w:color="auto"/>
            </w:tcBorders>
            <w:shd w:val="clear" w:color="auto" w:fill="auto"/>
            <w:tcMar>
              <w:top w:w="113" w:type="dxa"/>
              <w:bottom w:w="113" w:type="dxa"/>
            </w:tcMar>
          </w:tcPr>
          <w:p w:rsidR="00F93B76" w:rsidRPr="00A32AF4" w:rsidRDefault="00CD1430" w:rsidP="00DC0553">
            <w:pPr>
              <w:rPr>
                <w:sz w:val="16"/>
              </w:rPr>
            </w:pPr>
            <w:r w:rsidRPr="00A32AF4">
              <w:rPr>
                <w:sz w:val="16"/>
              </w:rPr>
              <w:t>Conserver une marge de manœuvre afin de pouvoir faire des ajustements dans les programmes de travail pour certains pays.</w:t>
            </w:r>
          </w:p>
          <w:p w:rsidR="00F93B76" w:rsidRPr="00A32AF4" w:rsidRDefault="00F93B76" w:rsidP="00DC0553">
            <w:pPr>
              <w:rPr>
                <w:sz w:val="16"/>
              </w:rPr>
            </w:pPr>
          </w:p>
          <w:p w:rsidR="00F93B76" w:rsidRPr="00A32AF4" w:rsidRDefault="00F93B76" w:rsidP="00DC0553">
            <w:pPr>
              <w:rPr>
                <w:sz w:val="16"/>
              </w:rPr>
            </w:pPr>
          </w:p>
          <w:p w:rsidR="00F93B76" w:rsidRPr="00A32AF4" w:rsidRDefault="00F93B76" w:rsidP="00DC0553">
            <w:pPr>
              <w:rPr>
                <w:sz w:val="16"/>
              </w:rPr>
            </w:pPr>
          </w:p>
          <w:p w:rsidR="00CD1430" w:rsidRPr="00A32AF4" w:rsidRDefault="00CD1430" w:rsidP="00DC0553">
            <w:pPr>
              <w:rPr>
                <w:rFonts w:ascii="Times New Roman" w:hAnsi="Times New Roman"/>
                <w:sz w:val="16"/>
                <w:szCs w:val="16"/>
              </w:rPr>
            </w:pPr>
            <w:r w:rsidRPr="00A32AF4">
              <w:rPr>
                <w:sz w:val="16"/>
              </w:rPr>
              <w:t>Surveillance en collaboration avec l</w:t>
            </w:r>
            <w:r w:rsidR="00E2055A" w:rsidRPr="00A32AF4">
              <w:rPr>
                <w:sz w:val="16"/>
              </w:rPr>
              <w:t>’</w:t>
            </w:r>
            <w:r w:rsidRPr="00A32AF4">
              <w:rPr>
                <w:sz w:val="16"/>
              </w:rPr>
              <w:t>office de propriété intellectuelle et les parties prenantes afin d</w:t>
            </w:r>
            <w:r w:rsidR="00E2055A" w:rsidRPr="00A32AF4">
              <w:rPr>
                <w:sz w:val="16"/>
              </w:rPr>
              <w:t>’</w:t>
            </w:r>
            <w:r w:rsidRPr="00A32AF4">
              <w:rPr>
                <w:sz w:val="16"/>
              </w:rPr>
              <w:t xml:space="preserve">élaborer des programmes de rechange.  </w:t>
            </w:r>
          </w:p>
        </w:tc>
      </w:tr>
    </w:tbl>
    <w:p w:rsidR="00F93B76" w:rsidRPr="00A32AF4" w:rsidRDefault="00F93B76" w:rsidP="00DC0553"/>
    <w:p w:rsidR="00F93B76" w:rsidRPr="00A32AF4" w:rsidRDefault="00F93B76" w:rsidP="00DC0553"/>
    <w:p w:rsidR="00F93B76" w:rsidRPr="00A32AF4" w:rsidRDefault="00E64166" w:rsidP="00DC0553">
      <w:r w:rsidRPr="00A32AF4">
        <w:t>TABLEAU DES RÉSULTATS</w:t>
      </w:r>
    </w:p>
    <w:p w:rsidR="00CD1430" w:rsidRPr="00A32AF4" w:rsidRDefault="00CD1430" w:rsidP="00DC0553"/>
    <w:tbl>
      <w:tblPr>
        <w:tblW w:w="9195" w:type="dxa"/>
        <w:tblInd w:w="9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80"/>
        <w:gridCol w:w="2180"/>
        <w:gridCol w:w="2760"/>
        <w:gridCol w:w="1975"/>
      </w:tblGrid>
      <w:tr w:rsidR="0038294E" w:rsidRPr="00A32AF4" w:rsidTr="00B9341E">
        <w:trPr>
          <w:cantSplit/>
          <w:tblHeader/>
        </w:trPr>
        <w:tc>
          <w:tcPr>
            <w:tcW w:w="2280" w:type="dxa"/>
            <w:tcBorders>
              <w:top w:val="single" w:sz="4" w:space="0" w:color="auto"/>
              <w:bottom w:val="single" w:sz="4" w:space="0" w:color="auto"/>
            </w:tcBorders>
            <w:shd w:val="clear" w:color="000000" w:fill="C5D9F1"/>
            <w:noWrap/>
            <w:tcMar>
              <w:top w:w="113" w:type="dxa"/>
              <w:bottom w:w="113" w:type="dxa"/>
            </w:tcMar>
            <w:vAlign w:val="center"/>
            <w:hideMark/>
          </w:tcPr>
          <w:p w:rsidR="00CD1430" w:rsidRPr="00A32AF4" w:rsidRDefault="00CD1430" w:rsidP="00B53790">
            <w:pPr>
              <w:jc w:val="center"/>
              <w:rPr>
                <w:b/>
                <w:bCs/>
                <w:sz w:val="18"/>
                <w:szCs w:val="18"/>
              </w:rPr>
            </w:pPr>
            <w:r w:rsidRPr="00A32AF4">
              <w:rPr>
                <w:b/>
                <w:bCs/>
                <w:sz w:val="18"/>
                <w:szCs w:val="18"/>
              </w:rPr>
              <w:t>Résultats escomptés</w:t>
            </w:r>
          </w:p>
        </w:tc>
        <w:tc>
          <w:tcPr>
            <w:tcW w:w="2180" w:type="dxa"/>
            <w:tcBorders>
              <w:top w:val="single" w:sz="4" w:space="0" w:color="auto"/>
              <w:bottom w:val="single" w:sz="4" w:space="0" w:color="auto"/>
            </w:tcBorders>
            <w:shd w:val="clear" w:color="000000" w:fill="C5D9F1"/>
            <w:noWrap/>
            <w:tcMar>
              <w:top w:w="113" w:type="dxa"/>
              <w:bottom w:w="113" w:type="dxa"/>
            </w:tcMar>
            <w:vAlign w:val="center"/>
            <w:hideMark/>
          </w:tcPr>
          <w:p w:rsidR="00CD1430" w:rsidRPr="00A32AF4" w:rsidRDefault="00CD1430" w:rsidP="00B53790">
            <w:pPr>
              <w:jc w:val="center"/>
              <w:rPr>
                <w:b/>
                <w:bCs/>
                <w:sz w:val="18"/>
                <w:szCs w:val="18"/>
              </w:rPr>
            </w:pPr>
            <w:r w:rsidRPr="00A32AF4">
              <w:rPr>
                <w:b/>
                <w:bCs/>
                <w:sz w:val="18"/>
                <w:szCs w:val="18"/>
              </w:rPr>
              <w:t>Indicateurs d</w:t>
            </w:r>
            <w:r w:rsidR="00E2055A" w:rsidRPr="00A32AF4">
              <w:rPr>
                <w:b/>
                <w:bCs/>
                <w:sz w:val="18"/>
                <w:szCs w:val="18"/>
              </w:rPr>
              <w:t>’</w:t>
            </w:r>
            <w:r w:rsidRPr="00A32AF4">
              <w:rPr>
                <w:b/>
                <w:bCs/>
                <w:sz w:val="18"/>
                <w:szCs w:val="18"/>
              </w:rPr>
              <w:t>exécution</w:t>
            </w:r>
          </w:p>
        </w:tc>
        <w:tc>
          <w:tcPr>
            <w:tcW w:w="2760" w:type="dxa"/>
            <w:tcBorders>
              <w:top w:val="single" w:sz="4" w:space="0" w:color="auto"/>
              <w:bottom w:val="single" w:sz="4" w:space="0" w:color="auto"/>
            </w:tcBorders>
            <w:shd w:val="clear" w:color="000000" w:fill="C5D9F1"/>
            <w:noWrap/>
            <w:tcMar>
              <w:top w:w="113" w:type="dxa"/>
              <w:bottom w:w="113" w:type="dxa"/>
            </w:tcMar>
            <w:vAlign w:val="center"/>
            <w:hideMark/>
          </w:tcPr>
          <w:p w:rsidR="00CD1430" w:rsidRPr="00A32AF4" w:rsidRDefault="00CD1430" w:rsidP="00B53790">
            <w:pPr>
              <w:jc w:val="center"/>
              <w:rPr>
                <w:b/>
                <w:bCs/>
                <w:sz w:val="18"/>
                <w:szCs w:val="18"/>
              </w:rPr>
            </w:pPr>
            <w:r w:rsidRPr="00A32AF4">
              <w:rPr>
                <w:b/>
                <w:bCs/>
                <w:sz w:val="18"/>
                <w:szCs w:val="18"/>
              </w:rPr>
              <w:t>Niveaux de référence</w:t>
            </w:r>
          </w:p>
        </w:tc>
        <w:tc>
          <w:tcPr>
            <w:tcW w:w="1975" w:type="dxa"/>
            <w:tcBorders>
              <w:top w:val="single" w:sz="4" w:space="0" w:color="auto"/>
              <w:bottom w:val="single" w:sz="4" w:space="0" w:color="auto"/>
            </w:tcBorders>
            <w:shd w:val="clear" w:color="000000" w:fill="C5D9F1"/>
            <w:noWrap/>
            <w:tcMar>
              <w:top w:w="113" w:type="dxa"/>
              <w:bottom w:w="113" w:type="dxa"/>
            </w:tcMar>
            <w:vAlign w:val="center"/>
            <w:hideMark/>
          </w:tcPr>
          <w:p w:rsidR="00CD1430" w:rsidRPr="00A32AF4" w:rsidRDefault="00CD1430" w:rsidP="00B53790">
            <w:pPr>
              <w:jc w:val="center"/>
              <w:rPr>
                <w:b/>
                <w:bCs/>
                <w:sz w:val="18"/>
                <w:szCs w:val="18"/>
              </w:rPr>
            </w:pPr>
            <w:r w:rsidRPr="00A32AF4">
              <w:rPr>
                <w:b/>
                <w:bCs/>
                <w:sz w:val="18"/>
                <w:szCs w:val="18"/>
              </w:rPr>
              <w:t>Objectifs visés</w:t>
            </w:r>
          </w:p>
        </w:tc>
      </w:tr>
      <w:tr w:rsidR="0038294E" w:rsidRPr="00A32AF4" w:rsidTr="00B9341E">
        <w:trPr>
          <w:cantSplit/>
        </w:trPr>
        <w:tc>
          <w:tcPr>
            <w:tcW w:w="2280" w:type="dxa"/>
            <w:tcBorders>
              <w:top w:val="single" w:sz="4" w:space="0" w:color="auto"/>
            </w:tcBorders>
            <w:shd w:val="clear" w:color="000000" w:fill="FFFFFF"/>
            <w:tcMar>
              <w:top w:w="113" w:type="dxa"/>
              <w:bottom w:w="113" w:type="dxa"/>
            </w:tcMar>
            <w:hideMark/>
          </w:tcPr>
          <w:p w:rsidR="00CD1430" w:rsidRPr="00A32AF4" w:rsidRDefault="00CD1430" w:rsidP="00B53790">
            <w:pPr>
              <w:rPr>
                <w:sz w:val="16"/>
                <w:szCs w:val="16"/>
              </w:rPr>
            </w:pPr>
            <w:r w:rsidRPr="00A32AF4">
              <w:rPr>
                <w:sz w:val="16"/>
                <w:szCs w:val="16"/>
              </w:rPr>
              <w:t xml:space="preserve">I.2 </w:t>
            </w:r>
            <w:r w:rsidR="00B32125" w:rsidRPr="00A32AF4">
              <w:rPr>
                <w:sz w:val="16"/>
                <w:szCs w:val="16"/>
              </w:rPr>
              <w:t>Cadres législatifs, réglementaires et politiques de propriété intellectuelle adaptés et équilibrés</w:t>
            </w:r>
          </w:p>
        </w:tc>
        <w:tc>
          <w:tcPr>
            <w:tcW w:w="2180" w:type="dxa"/>
            <w:tcBorders>
              <w:top w:val="single" w:sz="4" w:space="0" w:color="auto"/>
            </w:tcBorders>
            <w:shd w:val="clear" w:color="000000" w:fill="FFFFFF"/>
            <w:tcMar>
              <w:top w:w="113" w:type="dxa"/>
              <w:bottom w:w="113" w:type="dxa"/>
            </w:tcMar>
            <w:hideMark/>
          </w:tcPr>
          <w:p w:rsidR="00CD1430" w:rsidRPr="00A32AF4" w:rsidRDefault="00CD1430" w:rsidP="00B53790">
            <w:pPr>
              <w:rPr>
                <w:sz w:val="16"/>
                <w:szCs w:val="16"/>
              </w:rPr>
            </w:pPr>
            <w:r w:rsidRPr="00A32AF4">
              <w:rPr>
                <w:sz w:val="16"/>
                <w:szCs w:val="16"/>
              </w:rPr>
              <w:t>Nombre ou pourcentage de pays ayant donné un retour d</w:t>
            </w:r>
            <w:r w:rsidR="00E2055A" w:rsidRPr="00A32AF4">
              <w:rPr>
                <w:sz w:val="16"/>
                <w:szCs w:val="16"/>
              </w:rPr>
              <w:t>’</w:t>
            </w:r>
            <w:r w:rsidRPr="00A32AF4">
              <w:rPr>
                <w:sz w:val="16"/>
                <w:szCs w:val="16"/>
              </w:rPr>
              <w:t>information positif sur les conseils fournis par l</w:t>
            </w:r>
            <w:r w:rsidR="00E2055A" w:rsidRPr="00A32AF4">
              <w:rPr>
                <w:sz w:val="16"/>
                <w:szCs w:val="16"/>
              </w:rPr>
              <w:t>’</w:t>
            </w:r>
            <w:r w:rsidRPr="00A32AF4">
              <w:rPr>
                <w:sz w:val="16"/>
                <w:szCs w:val="16"/>
              </w:rPr>
              <w:t>OMPI dans le domaine législatif</w:t>
            </w:r>
          </w:p>
        </w:tc>
        <w:tc>
          <w:tcPr>
            <w:tcW w:w="2760" w:type="dxa"/>
            <w:tcBorders>
              <w:top w:val="single" w:sz="4" w:space="0" w:color="auto"/>
            </w:tcBorders>
            <w:shd w:val="clear" w:color="000000" w:fill="FFFFFF"/>
            <w:tcMar>
              <w:top w:w="113" w:type="dxa"/>
              <w:bottom w:w="113" w:type="dxa"/>
            </w:tcMar>
            <w:hideMark/>
          </w:tcPr>
          <w:p w:rsidR="00CD1430" w:rsidRPr="00A32AF4" w:rsidRDefault="00CD1430" w:rsidP="00B53790">
            <w:pPr>
              <w:rPr>
                <w:sz w:val="16"/>
                <w:szCs w:val="16"/>
              </w:rPr>
            </w:pPr>
            <w:r w:rsidRPr="00A32AF4">
              <w:rPr>
                <w:sz w:val="16"/>
                <w:szCs w:val="16"/>
              </w:rPr>
              <w:t>Ventilation régionale à déterminer en coopération avec les programmes 1, 2, 3 et 4</w:t>
            </w:r>
          </w:p>
        </w:tc>
        <w:tc>
          <w:tcPr>
            <w:tcW w:w="1975" w:type="dxa"/>
            <w:tcBorders>
              <w:top w:val="single" w:sz="4" w:space="0" w:color="auto"/>
            </w:tcBorders>
            <w:shd w:val="clear" w:color="000000" w:fill="FFFFFF"/>
            <w:tcMar>
              <w:top w:w="113" w:type="dxa"/>
              <w:bottom w:w="113" w:type="dxa"/>
            </w:tcMar>
            <w:hideMark/>
          </w:tcPr>
          <w:p w:rsidR="00CD1430" w:rsidRPr="00A32AF4" w:rsidRDefault="00CD1430" w:rsidP="00B53790">
            <w:pPr>
              <w:rPr>
                <w:sz w:val="16"/>
                <w:szCs w:val="16"/>
              </w:rPr>
            </w:pPr>
            <w:r w:rsidRPr="00A32AF4">
              <w:rPr>
                <w:sz w:val="16"/>
                <w:szCs w:val="16"/>
              </w:rPr>
              <w:t>Afrique (90%)</w:t>
            </w:r>
            <w:r w:rsidRPr="00A32AF4">
              <w:rPr>
                <w:sz w:val="16"/>
                <w:szCs w:val="16"/>
              </w:rPr>
              <w:br/>
              <w:t>Pays arabes (90%)</w:t>
            </w:r>
            <w:r w:rsidRPr="00A32AF4">
              <w:rPr>
                <w:sz w:val="16"/>
                <w:szCs w:val="16"/>
              </w:rPr>
              <w:br/>
              <w:t>Asie et Pacifique (90%)</w:t>
            </w:r>
            <w:r w:rsidRPr="00A32AF4">
              <w:rPr>
                <w:sz w:val="16"/>
                <w:szCs w:val="16"/>
              </w:rPr>
              <w:br/>
              <w:t>Amérique latine et Caraïbes (90%)</w:t>
            </w:r>
          </w:p>
        </w:tc>
      </w:tr>
      <w:tr w:rsidR="00D90B9A" w:rsidRPr="00A32AF4" w:rsidTr="00B9341E">
        <w:trPr>
          <w:cantSplit/>
        </w:trPr>
        <w:tc>
          <w:tcPr>
            <w:tcW w:w="2280" w:type="dxa"/>
            <w:shd w:val="clear" w:color="000000" w:fill="FFFFFF"/>
            <w:tcMar>
              <w:top w:w="113" w:type="dxa"/>
              <w:bottom w:w="113" w:type="dxa"/>
            </w:tcMar>
          </w:tcPr>
          <w:p w:rsidR="00D90B9A" w:rsidRPr="00A32AF4" w:rsidRDefault="00D90B9A" w:rsidP="00D90B9A">
            <w:pPr>
              <w:rPr>
                <w:sz w:val="16"/>
                <w:szCs w:val="16"/>
              </w:rPr>
            </w:pPr>
            <w:r w:rsidRPr="00A32AF4">
              <w:rPr>
                <w:sz w:val="16"/>
                <w:szCs w:val="16"/>
              </w:rPr>
              <w:t xml:space="preserve">II.1 Utilisation </w:t>
            </w:r>
            <w:r w:rsidR="00524DAB" w:rsidRPr="00A32AF4">
              <w:rPr>
                <w:sz w:val="16"/>
                <w:szCs w:val="16"/>
              </w:rPr>
              <w:t>élargie</w:t>
            </w:r>
            <w:r w:rsidRPr="00A32AF4">
              <w:rPr>
                <w:sz w:val="16"/>
                <w:szCs w:val="16"/>
              </w:rPr>
              <w:t xml:space="preserve"> et plus efficace du </w:t>
            </w:r>
            <w:r w:rsidR="00524DAB" w:rsidRPr="00A32AF4">
              <w:rPr>
                <w:sz w:val="16"/>
                <w:szCs w:val="16"/>
              </w:rPr>
              <w:t>système</w:t>
            </w:r>
            <w:r w:rsidR="00E2055A" w:rsidRPr="00A32AF4">
              <w:rPr>
                <w:sz w:val="16"/>
                <w:szCs w:val="16"/>
              </w:rPr>
              <w:t xml:space="preserve"> du PCT</w:t>
            </w:r>
            <w:r w:rsidRPr="00A32AF4">
              <w:rPr>
                <w:sz w:val="16"/>
                <w:szCs w:val="16"/>
              </w:rPr>
              <w:t xml:space="preserve"> pour le </w:t>
            </w:r>
            <w:r w:rsidR="00524DAB" w:rsidRPr="00A32AF4">
              <w:rPr>
                <w:sz w:val="16"/>
                <w:szCs w:val="16"/>
              </w:rPr>
              <w:t>dépôt</w:t>
            </w:r>
            <w:r w:rsidRPr="00A32AF4">
              <w:rPr>
                <w:sz w:val="16"/>
                <w:szCs w:val="16"/>
              </w:rPr>
              <w:t xml:space="preserve"> des demandes internationales de brevet</w:t>
            </w:r>
          </w:p>
        </w:tc>
        <w:tc>
          <w:tcPr>
            <w:tcW w:w="2180" w:type="dxa"/>
            <w:shd w:val="clear" w:color="000000" w:fill="FFFFFF"/>
            <w:tcMar>
              <w:top w:w="113" w:type="dxa"/>
              <w:bottom w:w="113" w:type="dxa"/>
            </w:tcMar>
          </w:tcPr>
          <w:p w:rsidR="00D90B9A" w:rsidRPr="00A32AF4" w:rsidRDefault="00D90B9A" w:rsidP="009862B4">
            <w:pPr>
              <w:rPr>
                <w:sz w:val="16"/>
                <w:szCs w:val="16"/>
              </w:rPr>
            </w:pPr>
            <w:r w:rsidRPr="00A32AF4">
              <w:rPr>
                <w:sz w:val="16"/>
                <w:szCs w:val="16"/>
              </w:rPr>
              <w:t>Nombre de demandes selon</w:t>
            </w:r>
            <w:r w:rsidR="00E2055A" w:rsidRPr="00A32AF4">
              <w:rPr>
                <w:sz w:val="16"/>
                <w:szCs w:val="16"/>
              </w:rPr>
              <w:t xml:space="preserve"> le PCT</w:t>
            </w:r>
            <w:r w:rsidRPr="00A32AF4">
              <w:rPr>
                <w:sz w:val="16"/>
                <w:szCs w:val="16"/>
              </w:rPr>
              <w:t xml:space="preserve"> originaires de</w:t>
            </w:r>
            <w:r w:rsidR="00614A2D" w:rsidRPr="00A32AF4">
              <w:rPr>
                <w:sz w:val="16"/>
                <w:szCs w:val="16"/>
              </w:rPr>
              <w:t xml:space="preserve"> </w:t>
            </w:r>
            <w:r w:rsidRPr="00A32AF4">
              <w:rPr>
                <w:sz w:val="16"/>
                <w:szCs w:val="16"/>
              </w:rPr>
              <w:t xml:space="preserve">pays en </w:t>
            </w:r>
            <w:r w:rsidR="00524DAB" w:rsidRPr="00A32AF4">
              <w:rPr>
                <w:sz w:val="16"/>
                <w:szCs w:val="16"/>
              </w:rPr>
              <w:t>développement</w:t>
            </w:r>
            <w:r w:rsidR="009862B4" w:rsidRPr="00A32AF4">
              <w:rPr>
                <w:sz w:val="16"/>
                <w:szCs w:val="16"/>
              </w:rPr>
              <w:t xml:space="preserve"> et de PMA</w:t>
            </w:r>
          </w:p>
        </w:tc>
        <w:tc>
          <w:tcPr>
            <w:tcW w:w="2760" w:type="dxa"/>
            <w:shd w:val="clear" w:color="000000" w:fill="FFFFFF"/>
            <w:tcMar>
              <w:top w:w="113" w:type="dxa"/>
              <w:bottom w:w="113" w:type="dxa"/>
            </w:tcMar>
          </w:tcPr>
          <w:p w:rsidR="00D90B9A" w:rsidRPr="00A32AF4" w:rsidRDefault="00D90B9A" w:rsidP="004F327D">
            <w:pPr>
              <w:rPr>
                <w:rFonts w:cs="Arial"/>
                <w:sz w:val="16"/>
                <w:szCs w:val="16"/>
              </w:rPr>
            </w:pPr>
            <w:r w:rsidRPr="00A32AF4">
              <w:rPr>
                <w:rFonts w:cs="Arial"/>
                <w:sz w:val="16"/>
                <w:szCs w:val="16"/>
              </w:rPr>
              <w:t>43</w:t>
            </w:r>
            <w:r w:rsidR="00FD43E3" w:rsidRPr="00A32AF4">
              <w:rPr>
                <w:rFonts w:cs="Arial"/>
                <w:sz w:val="16"/>
                <w:szCs w:val="16"/>
              </w:rPr>
              <w:t> </w:t>
            </w:r>
            <w:r w:rsidRPr="00A32AF4">
              <w:rPr>
                <w:rFonts w:cs="Arial"/>
                <w:sz w:val="16"/>
                <w:szCs w:val="16"/>
              </w:rPr>
              <w:t>972 (2014)</w:t>
            </w:r>
          </w:p>
          <w:p w:rsidR="00D90B9A" w:rsidRPr="00A32AF4" w:rsidRDefault="00D90B9A" w:rsidP="00D90B9A">
            <w:pPr>
              <w:pStyle w:val="ListParagraph"/>
              <w:numPr>
                <w:ilvl w:val="0"/>
                <w:numId w:val="78"/>
              </w:numPr>
              <w:spacing w:after="0" w:line="240" w:lineRule="auto"/>
              <w:contextualSpacing w:val="0"/>
              <w:rPr>
                <w:rFonts w:ascii="Arial" w:hAnsi="Arial" w:cs="Arial"/>
                <w:sz w:val="16"/>
                <w:szCs w:val="16"/>
              </w:rPr>
            </w:pPr>
            <w:r w:rsidRPr="00A32AF4">
              <w:rPr>
                <w:rFonts w:ascii="Arial" w:hAnsi="Arial" w:cs="Arial"/>
                <w:sz w:val="16"/>
                <w:szCs w:val="16"/>
              </w:rPr>
              <w:t>Afrique (352)</w:t>
            </w:r>
          </w:p>
          <w:p w:rsidR="00D90B9A" w:rsidRPr="00A32AF4" w:rsidRDefault="00D90B9A" w:rsidP="00D90B9A">
            <w:pPr>
              <w:pStyle w:val="ListParagraph"/>
              <w:numPr>
                <w:ilvl w:val="0"/>
                <w:numId w:val="78"/>
              </w:numPr>
              <w:spacing w:after="0" w:line="240" w:lineRule="auto"/>
              <w:contextualSpacing w:val="0"/>
              <w:rPr>
                <w:rFonts w:ascii="Arial" w:hAnsi="Arial" w:cs="Arial"/>
                <w:sz w:val="16"/>
                <w:szCs w:val="16"/>
              </w:rPr>
            </w:pPr>
            <w:r w:rsidRPr="00A32AF4">
              <w:rPr>
                <w:rFonts w:ascii="Arial" w:hAnsi="Arial" w:cs="Arial"/>
                <w:sz w:val="16"/>
                <w:szCs w:val="16"/>
              </w:rPr>
              <w:t>Pays arabes (616)</w:t>
            </w:r>
          </w:p>
          <w:p w:rsidR="001453BE" w:rsidRPr="00A32AF4" w:rsidRDefault="001453BE" w:rsidP="001453BE">
            <w:pPr>
              <w:pStyle w:val="ListParagraph"/>
              <w:spacing w:after="0" w:line="240" w:lineRule="auto"/>
              <w:ind w:left="360"/>
              <w:contextualSpacing w:val="0"/>
              <w:rPr>
                <w:rFonts w:ascii="Arial" w:hAnsi="Arial" w:cs="Arial"/>
                <w:sz w:val="16"/>
                <w:szCs w:val="16"/>
              </w:rPr>
            </w:pPr>
          </w:p>
          <w:p w:rsidR="00D90B9A" w:rsidRPr="00A32AF4" w:rsidRDefault="00D90B9A" w:rsidP="0038345F">
            <w:pPr>
              <w:pStyle w:val="ListParagraph"/>
              <w:numPr>
                <w:ilvl w:val="0"/>
                <w:numId w:val="78"/>
              </w:numPr>
              <w:spacing w:after="0" w:line="240" w:lineRule="auto"/>
              <w:contextualSpacing w:val="0"/>
              <w:rPr>
                <w:rFonts w:ascii="Arial" w:hAnsi="Arial" w:cs="Arial"/>
                <w:sz w:val="16"/>
                <w:szCs w:val="16"/>
              </w:rPr>
            </w:pPr>
            <w:r w:rsidRPr="00A32AF4">
              <w:rPr>
                <w:rFonts w:ascii="Arial" w:hAnsi="Arial" w:cs="Arial"/>
                <w:sz w:val="16"/>
                <w:szCs w:val="16"/>
              </w:rPr>
              <w:t>Asie et Pacifique (41</w:t>
            </w:r>
            <w:r w:rsidR="001453BE" w:rsidRPr="00A32AF4">
              <w:rPr>
                <w:rFonts w:ascii="Arial" w:hAnsi="Arial" w:cs="Arial"/>
                <w:sz w:val="16"/>
                <w:szCs w:val="16"/>
              </w:rPr>
              <w:t> </w:t>
            </w:r>
            <w:r w:rsidRPr="00A32AF4">
              <w:rPr>
                <w:rFonts w:ascii="Arial" w:hAnsi="Arial" w:cs="Arial"/>
                <w:sz w:val="16"/>
                <w:szCs w:val="16"/>
              </w:rPr>
              <w:t>569)</w:t>
            </w:r>
          </w:p>
          <w:p w:rsidR="001453BE" w:rsidRPr="00A32AF4" w:rsidRDefault="001453BE" w:rsidP="001453BE">
            <w:pPr>
              <w:pStyle w:val="ListParagraph"/>
              <w:spacing w:after="0" w:line="240" w:lineRule="auto"/>
              <w:ind w:left="360"/>
              <w:contextualSpacing w:val="0"/>
              <w:rPr>
                <w:rFonts w:ascii="Arial" w:hAnsi="Arial" w:cs="Arial"/>
                <w:sz w:val="16"/>
                <w:szCs w:val="16"/>
              </w:rPr>
            </w:pPr>
          </w:p>
          <w:p w:rsidR="00D90B9A" w:rsidRPr="00A32AF4" w:rsidRDefault="00D90B9A" w:rsidP="0038345F">
            <w:pPr>
              <w:pStyle w:val="ListParagraph"/>
              <w:numPr>
                <w:ilvl w:val="0"/>
                <w:numId w:val="78"/>
              </w:numPr>
              <w:spacing w:after="0" w:line="240" w:lineRule="auto"/>
              <w:contextualSpacing w:val="0"/>
              <w:rPr>
                <w:rFonts w:cs="Arial"/>
                <w:sz w:val="16"/>
                <w:szCs w:val="16"/>
              </w:rPr>
            </w:pPr>
            <w:r w:rsidRPr="00A32AF4">
              <w:rPr>
                <w:rFonts w:ascii="Arial" w:hAnsi="Arial" w:cs="Arial"/>
                <w:sz w:val="16"/>
                <w:szCs w:val="16"/>
              </w:rPr>
              <w:t>Amérique latine et Caraïbes (1412)</w:t>
            </w:r>
          </w:p>
        </w:tc>
        <w:tc>
          <w:tcPr>
            <w:tcW w:w="1975" w:type="dxa"/>
            <w:shd w:val="clear" w:color="000000" w:fill="FFFFFF"/>
            <w:tcMar>
              <w:top w:w="113" w:type="dxa"/>
              <w:bottom w:w="113" w:type="dxa"/>
            </w:tcMar>
          </w:tcPr>
          <w:p w:rsidR="00D90B9A" w:rsidRPr="00A32AF4" w:rsidRDefault="00D90B9A" w:rsidP="004F327D">
            <w:pPr>
              <w:pStyle w:val="ListParagraph"/>
              <w:ind w:left="360"/>
              <w:rPr>
                <w:rFonts w:ascii="Arial" w:hAnsi="Arial" w:cs="Arial"/>
                <w:sz w:val="16"/>
                <w:szCs w:val="16"/>
              </w:rPr>
            </w:pPr>
          </w:p>
          <w:p w:rsidR="00D90B9A" w:rsidRPr="00A32AF4" w:rsidRDefault="00D90B9A" w:rsidP="00D90B9A">
            <w:pPr>
              <w:pStyle w:val="ListParagraph"/>
              <w:numPr>
                <w:ilvl w:val="0"/>
                <w:numId w:val="78"/>
              </w:numPr>
              <w:spacing w:after="0" w:line="240" w:lineRule="auto"/>
              <w:contextualSpacing w:val="0"/>
              <w:rPr>
                <w:rFonts w:ascii="Arial" w:hAnsi="Arial" w:cs="Arial"/>
                <w:sz w:val="16"/>
                <w:szCs w:val="16"/>
              </w:rPr>
            </w:pPr>
            <w:r w:rsidRPr="00A32AF4">
              <w:rPr>
                <w:rFonts w:ascii="Arial" w:hAnsi="Arial" w:cs="Arial"/>
                <w:sz w:val="16"/>
                <w:szCs w:val="16"/>
              </w:rPr>
              <w:t>Afrique (maintien)</w:t>
            </w:r>
          </w:p>
          <w:p w:rsidR="00D90B9A" w:rsidRPr="00A32AF4" w:rsidRDefault="00D90B9A" w:rsidP="00D90B9A">
            <w:pPr>
              <w:pStyle w:val="ListParagraph"/>
              <w:numPr>
                <w:ilvl w:val="0"/>
                <w:numId w:val="78"/>
              </w:numPr>
              <w:spacing w:after="0" w:line="240" w:lineRule="auto"/>
              <w:contextualSpacing w:val="0"/>
              <w:rPr>
                <w:rFonts w:ascii="Arial" w:hAnsi="Arial" w:cs="Arial"/>
                <w:sz w:val="16"/>
                <w:szCs w:val="16"/>
              </w:rPr>
            </w:pPr>
            <w:r w:rsidRPr="00A32AF4">
              <w:rPr>
                <w:rFonts w:ascii="Arial" w:hAnsi="Arial" w:cs="Arial"/>
                <w:sz w:val="16"/>
                <w:szCs w:val="16"/>
              </w:rPr>
              <w:t>Pays arabes (2% par an)</w:t>
            </w:r>
          </w:p>
          <w:p w:rsidR="00D90B9A" w:rsidRPr="00A32AF4" w:rsidRDefault="00D90B9A" w:rsidP="00D90B9A">
            <w:pPr>
              <w:pStyle w:val="ListParagraph"/>
              <w:numPr>
                <w:ilvl w:val="0"/>
                <w:numId w:val="78"/>
              </w:numPr>
              <w:spacing w:after="0" w:line="240" w:lineRule="auto"/>
              <w:contextualSpacing w:val="0"/>
              <w:rPr>
                <w:rFonts w:ascii="Arial" w:hAnsi="Arial" w:cs="Arial"/>
                <w:sz w:val="16"/>
                <w:szCs w:val="16"/>
              </w:rPr>
            </w:pPr>
            <w:r w:rsidRPr="00A32AF4">
              <w:rPr>
                <w:rFonts w:ascii="Arial" w:hAnsi="Arial" w:cs="Arial"/>
                <w:sz w:val="16"/>
                <w:szCs w:val="16"/>
              </w:rPr>
              <w:t>Asie et Pacifique (2,5% par an)</w:t>
            </w:r>
          </w:p>
          <w:p w:rsidR="00D90B9A" w:rsidRPr="00A32AF4" w:rsidRDefault="00D90B9A" w:rsidP="0038345F">
            <w:pPr>
              <w:pStyle w:val="ListParagraph"/>
              <w:numPr>
                <w:ilvl w:val="0"/>
                <w:numId w:val="78"/>
              </w:numPr>
              <w:spacing w:after="0" w:line="240" w:lineRule="auto"/>
              <w:contextualSpacing w:val="0"/>
              <w:rPr>
                <w:rFonts w:cs="Arial"/>
                <w:sz w:val="16"/>
                <w:szCs w:val="16"/>
              </w:rPr>
            </w:pPr>
            <w:r w:rsidRPr="00A32AF4">
              <w:rPr>
                <w:rFonts w:ascii="Arial" w:hAnsi="Arial" w:cs="Arial"/>
                <w:sz w:val="16"/>
                <w:szCs w:val="16"/>
              </w:rPr>
              <w:t>Amérique latine et Caraïbes (1,5% par</w:t>
            </w:r>
            <w:r w:rsidR="001453BE" w:rsidRPr="00A32AF4">
              <w:rPr>
                <w:rFonts w:ascii="Arial" w:hAnsi="Arial" w:cs="Arial"/>
                <w:sz w:val="16"/>
                <w:szCs w:val="16"/>
              </w:rPr>
              <w:t> </w:t>
            </w:r>
            <w:r w:rsidRPr="00A32AF4">
              <w:rPr>
                <w:rFonts w:ascii="Arial" w:hAnsi="Arial" w:cs="Arial"/>
                <w:sz w:val="16"/>
                <w:szCs w:val="16"/>
              </w:rPr>
              <w:t>an)</w:t>
            </w:r>
          </w:p>
        </w:tc>
      </w:tr>
      <w:tr w:rsidR="007F3E06" w:rsidRPr="00A32AF4" w:rsidTr="00B9341E">
        <w:trPr>
          <w:cantSplit/>
        </w:trPr>
        <w:tc>
          <w:tcPr>
            <w:tcW w:w="2280" w:type="dxa"/>
            <w:shd w:val="clear" w:color="000000" w:fill="FFFFFF"/>
            <w:tcMar>
              <w:top w:w="113" w:type="dxa"/>
              <w:bottom w:w="113" w:type="dxa"/>
            </w:tcMar>
          </w:tcPr>
          <w:p w:rsidR="007F3E06" w:rsidRPr="00A32AF4" w:rsidRDefault="007F3E06" w:rsidP="001453BE">
            <w:pPr>
              <w:rPr>
                <w:sz w:val="16"/>
                <w:szCs w:val="16"/>
              </w:rPr>
            </w:pPr>
            <w:r w:rsidRPr="00A32AF4">
              <w:rPr>
                <w:sz w:val="16"/>
                <w:szCs w:val="16"/>
              </w:rPr>
              <w:t xml:space="preserve">II.4 Utilisation </w:t>
            </w:r>
            <w:r w:rsidR="00524DAB" w:rsidRPr="00A32AF4">
              <w:rPr>
                <w:sz w:val="16"/>
                <w:szCs w:val="16"/>
              </w:rPr>
              <w:t>élargie</w:t>
            </w:r>
            <w:r w:rsidRPr="00A32AF4">
              <w:rPr>
                <w:sz w:val="16"/>
                <w:szCs w:val="16"/>
              </w:rPr>
              <w:t xml:space="preserve"> et plus efficace du</w:t>
            </w:r>
            <w:r w:rsidR="00614A2D" w:rsidRPr="00A32AF4">
              <w:rPr>
                <w:sz w:val="16"/>
                <w:szCs w:val="16"/>
              </w:rPr>
              <w:t xml:space="preserve"> </w:t>
            </w:r>
            <w:r w:rsidR="00524DAB" w:rsidRPr="00A32AF4">
              <w:rPr>
                <w:sz w:val="16"/>
                <w:szCs w:val="16"/>
              </w:rPr>
              <w:t>système</w:t>
            </w:r>
            <w:r w:rsidRPr="00A32AF4">
              <w:rPr>
                <w:sz w:val="16"/>
                <w:szCs w:val="16"/>
              </w:rPr>
              <w:t xml:space="preserve"> de </w:t>
            </w:r>
            <w:r w:rsidR="00E2055A" w:rsidRPr="00A32AF4">
              <w:rPr>
                <w:sz w:val="16"/>
                <w:szCs w:val="16"/>
              </w:rPr>
              <w:t>La Haye</w:t>
            </w:r>
            <w:r w:rsidRPr="00A32AF4">
              <w:rPr>
                <w:sz w:val="16"/>
                <w:szCs w:val="16"/>
              </w:rPr>
              <w:t>, notamment par les</w:t>
            </w:r>
            <w:r w:rsidR="00614A2D" w:rsidRPr="00A32AF4">
              <w:rPr>
                <w:sz w:val="16"/>
                <w:szCs w:val="16"/>
              </w:rPr>
              <w:t xml:space="preserve"> </w:t>
            </w:r>
            <w:r w:rsidRPr="00A32AF4">
              <w:rPr>
                <w:sz w:val="16"/>
                <w:szCs w:val="16"/>
              </w:rPr>
              <w:t xml:space="preserve">pays en </w:t>
            </w:r>
            <w:r w:rsidR="00524DAB" w:rsidRPr="00A32AF4">
              <w:rPr>
                <w:sz w:val="16"/>
                <w:szCs w:val="16"/>
              </w:rPr>
              <w:t>développement</w:t>
            </w:r>
            <w:r w:rsidRPr="00A32AF4">
              <w:rPr>
                <w:sz w:val="16"/>
                <w:szCs w:val="16"/>
              </w:rPr>
              <w:t xml:space="preserve"> et</w:t>
            </w:r>
            <w:r w:rsidR="00E2055A" w:rsidRPr="00A32AF4">
              <w:rPr>
                <w:sz w:val="16"/>
                <w:szCs w:val="16"/>
              </w:rPr>
              <w:t xml:space="preserve"> les PMA</w:t>
            </w:r>
          </w:p>
        </w:tc>
        <w:tc>
          <w:tcPr>
            <w:tcW w:w="2180" w:type="dxa"/>
            <w:shd w:val="clear" w:color="000000" w:fill="FFFFFF"/>
            <w:tcMar>
              <w:top w:w="113" w:type="dxa"/>
              <w:bottom w:w="113" w:type="dxa"/>
            </w:tcMar>
          </w:tcPr>
          <w:p w:rsidR="007F3E06" w:rsidRPr="00A32AF4" w:rsidRDefault="007F3E06" w:rsidP="0038345F">
            <w:pPr>
              <w:autoSpaceDE w:val="0"/>
              <w:autoSpaceDN w:val="0"/>
              <w:adjustRightInd w:val="0"/>
              <w:rPr>
                <w:sz w:val="16"/>
                <w:szCs w:val="16"/>
              </w:rPr>
            </w:pPr>
            <w:r w:rsidRPr="00A32AF4">
              <w:rPr>
                <w:rFonts w:cs="Arial"/>
                <w:sz w:val="16"/>
                <w:szCs w:val="16"/>
                <w:lang w:eastAsia="fr-FR"/>
              </w:rPr>
              <w:t xml:space="preserve">Nombre de demandes </w:t>
            </w:r>
            <w:r w:rsidR="00524DAB" w:rsidRPr="00A32AF4">
              <w:rPr>
                <w:rFonts w:cs="Arial"/>
                <w:sz w:val="16"/>
                <w:szCs w:val="16"/>
                <w:lang w:eastAsia="fr-FR"/>
              </w:rPr>
              <w:t>déposées</w:t>
            </w:r>
            <w:r w:rsidRPr="00A32AF4">
              <w:rPr>
                <w:rFonts w:cs="Arial"/>
                <w:sz w:val="16"/>
                <w:szCs w:val="16"/>
                <w:lang w:eastAsia="fr-FR"/>
              </w:rPr>
              <w:t xml:space="preserve"> selon le </w:t>
            </w:r>
            <w:r w:rsidR="00524DAB" w:rsidRPr="00A32AF4">
              <w:rPr>
                <w:rFonts w:cs="Arial"/>
                <w:sz w:val="16"/>
                <w:szCs w:val="16"/>
                <w:lang w:eastAsia="fr-FR"/>
              </w:rPr>
              <w:t>système</w:t>
            </w:r>
            <w:r w:rsidR="00614A2D" w:rsidRPr="00A32AF4">
              <w:rPr>
                <w:rFonts w:cs="Arial"/>
                <w:sz w:val="16"/>
                <w:szCs w:val="16"/>
                <w:lang w:eastAsia="fr-FR"/>
              </w:rPr>
              <w:t xml:space="preserve"> </w:t>
            </w:r>
            <w:r w:rsidRPr="00A32AF4">
              <w:rPr>
                <w:rFonts w:cs="Arial"/>
                <w:sz w:val="16"/>
                <w:szCs w:val="16"/>
                <w:lang w:eastAsia="fr-FR"/>
              </w:rPr>
              <w:t xml:space="preserve">de </w:t>
            </w:r>
            <w:r w:rsidR="00E2055A" w:rsidRPr="00A32AF4">
              <w:rPr>
                <w:rFonts w:cs="Arial"/>
                <w:sz w:val="16"/>
                <w:szCs w:val="16"/>
                <w:lang w:eastAsia="fr-FR"/>
              </w:rPr>
              <w:t>La Haye</w:t>
            </w:r>
            <w:r w:rsidRPr="00A32AF4">
              <w:rPr>
                <w:rFonts w:cs="Arial"/>
                <w:sz w:val="16"/>
                <w:szCs w:val="16"/>
                <w:lang w:eastAsia="fr-FR"/>
              </w:rPr>
              <w:t xml:space="preserve"> </w:t>
            </w:r>
            <w:r w:rsidR="00524DAB" w:rsidRPr="00A32AF4">
              <w:rPr>
                <w:rFonts w:cs="Arial"/>
                <w:sz w:val="16"/>
                <w:szCs w:val="16"/>
                <w:lang w:eastAsia="fr-FR"/>
              </w:rPr>
              <w:t>émanant</w:t>
            </w:r>
            <w:r w:rsidRPr="00A32AF4">
              <w:rPr>
                <w:rFonts w:cs="Arial"/>
                <w:sz w:val="16"/>
                <w:szCs w:val="16"/>
                <w:lang w:eastAsia="fr-FR"/>
              </w:rPr>
              <w:t xml:space="preserve"> de pays en </w:t>
            </w:r>
            <w:r w:rsidR="00524DAB" w:rsidRPr="00A32AF4">
              <w:rPr>
                <w:rFonts w:cs="Arial"/>
                <w:sz w:val="16"/>
                <w:szCs w:val="16"/>
                <w:lang w:eastAsia="fr-FR"/>
              </w:rPr>
              <w:t>développement</w:t>
            </w:r>
            <w:r w:rsidR="009862B4" w:rsidRPr="00A32AF4">
              <w:rPr>
                <w:rFonts w:cs="Arial"/>
                <w:sz w:val="16"/>
                <w:szCs w:val="16"/>
                <w:lang w:eastAsia="fr-FR"/>
              </w:rPr>
              <w:t xml:space="preserve"> et de PMA</w:t>
            </w:r>
          </w:p>
        </w:tc>
        <w:tc>
          <w:tcPr>
            <w:tcW w:w="2760" w:type="dxa"/>
            <w:shd w:val="clear" w:color="000000" w:fill="FFFFFF"/>
            <w:tcMar>
              <w:top w:w="113" w:type="dxa"/>
              <w:bottom w:w="113" w:type="dxa"/>
            </w:tcMar>
          </w:tcPr>
          <w:p w:rsidR="007F3E06" w:rsidRPr="00A32AF4" w:rsidRDefault="007F3E06" w:rsidP="004F327D">
            <w:pPr>
              <w:rPr>
                <w:rFonts w:cs="Arial"/>
                <w:sz w:val="16"/>
                <w:szCs w:val="16"/>
              </w:rPr>
            </w:pPr>
            <w:r w:rsidRPr="00A32AF4">
              <w:rPr>
                <w:rFonts w:cs="Arial"/>
                <w:sz w:val="16"/>
                <w:szCs w:val="16"/>
              </w:rPr>
              <w:t>105 (2014)</w:t>
            </w:r>
          </w:p>
          <w:p w:rsidR="007F3E06" w:rsidRPr="00A32AF4" w:rsidRDefault="007F3E06" w:rsidP="007F3E06">
            <w:pPr>
              <w:pStyle w:val="ListParagraph"/>
              <w:numPr>
                <w:ilvl w:val="0"/>
                <w:numId w:val="78"/>
              </w:numPr>
              <w:spacing w:after="0" w:line="240" w:lineRule="auto"/>
              <w:contextualSpacing w:val="0"/>
              <w:rPr>
                <w:rFonts w:ascii="Arial" w:hAnsi="Arial" w:cs="Arial"/>
                <w:sz w:val="16"/>
                <w:szCs w:val="16"/>
              </w:rPr>
            </w:pPr>
            <w:r w:rsidRPr="00A32AF4">
              <w:rPr>
                <w:rFonts w:ascii="Arial" w:hAnsi="Arial" w:cs="Arial"/>
                <w:sz w:val="16"/>
                <w:szCs w:val="16"/>
              </w:rPr>
              <w:t>Afrique (5)</w:t>
            </w:r>
          </w:p>
          <w:p w:rsidR="007F3E06" w:rsidRPr="00A32AF4" w:rsidRDefault="007F3E06" w:rsidP="007F3E06">
            <w:pPr>
              <w:pStyle w:val="ListParagraph"/>
              <w:numPr>
                <w:ilvl w:val="0"/>
                <w:numId w:val="78"/>
              </w:numPr>
              <w:spacing w:after="0" w:line="240" w:lineRule="auto"/>
              <w:contextualSpacing w:val="0"/>
              <w:rPr>
                <w:rFonts w:ascii="Arial" w:hAnsi="Arial" w:cs="Arial"/>
                <w:sz w:val="16"/>
                <w:szCs w:val="16"/>
              </w:rPr>
            </w:pPr>
            <w:r w:rsidRPr="00A32AF4">
              <w:rPr>
                <w:rFonts w:ascii="Arial" w:hAnsi="Arial" w:cs="Arial"/>
                <w:sz w:val="16"/>
                <w:szCs w:val="16"/>
              </w:rPr>
              <w:t>Pays arabes (6)</w:t>
            </w:r>
          </w:p>
          <w:p w:rsidR="001453BE" w:rsidRPr="00A32AF4" w:rsidRDefault="001453BE" w:rsidP="001453BE">
            <w:pPr>
              <w:pStyle w:val="ListParagraph"/>
              <w:spacing w:after="0" w:line="240" w:lineRule="auto"/>
              <w:ind w:left="360"/>
              <w:contextualSpacing w:val="0"/>
              <w:rPr>
                <w:rFonts w:ascii="Arial" w:hAnsi="Arial" w:cs="Arial"/>
                <w:sz w:val="16"/>
                <w:szCs w:val="16"/>
              </w:rPr>
            </w:pPr>
          </w:p>
          <w:p w:rsidR="007F3E06" w:rsidRPr="00A32AF4" w:rsidRDefault="007F3E06" w:rsidP="0038345F">
            <w:pPr>
              <w:pStyle w:val="ListParagraph"/>
              <w:numPr>
                <w:ilvl w:val="0"/>
                <w:numId w:val="78"/>
              </w:numPr>
              <w:spacing w:after="0" w:line="240" w:lineRule="auto"/>
              <w:contextualSpacing w:val="0"/>
              <w:rPr>
                <w:rFonts w:cs="Arial"/>
                <w:sz w:val="16"/>
                <w:szCs w:val="16"/>
              </w:rPr>
            </w:pPr>
            <w:r w:rsidRPr="00A32AF4">
              <w:rPr>
                <w:rFonts w:ascii="Arial" w:hAnsi="Arial" w:cs="Arial"/>
                <w:sz w:val="16"/>
                <w:szCs w:val="16"/>
              </w:rPr>
              <w:t>Asie et Pacifique (94)</w:t>
            </w:r>
          </w:p>
        </w:tc>
        <w:tc>
          <w:tcPr>
            <w:tcW w:w="1975" w:type="dxa"/>
            <w:shd w:val="clear" w:color="000000" w:fill="FFFFFF"/>
            <w:tcMar>
              <w:top w:w="113" w:type="dxa"/>
              <w:bottom w:w="113" w:type="dxa"/>
            </w:tcMar>
          </w:tcPr>
          <w:p w:rsidR="007F3E06" w:rsidRPr="00A32AF4" w:rsidRDefault="007F3E06" w:rsidP="004F327D">
            <w:pPr>
              <w:pStyle w:val="ListParagraph"/>
              <w:ind w:left="360"/>
              <w:rPr>
                <w:rFonts w:ascii="Arial" w:hAnsi="Arial" w:cs="Arial"/>
                <w:sz w:val="16"/>
                <w:szCs w:val="16"/>
              </w:rPr>
            </w:pPr>
          </w:p>
          <w:p w:rsidR="007F3E06" w:rsidRPr="00A32AF4" w:rsidRDefault="007F3E06" w:rsidP="007F3E06">
            <w:pPr>
              <w:pStyle w:val="ListParagraph"/>
              <w:numPr>
                <w:ilvl w:val="0"/>
                <w:numId w:val="78"/>
              </w:numPr>
              <w:spacing w:after="0" w:line="240" w:lineRule="auto"/>
              <w:contextualSpacing w:val="0"/>
              <w:rPr>
                <w:rFonts w:ascii="Arial" w:hAnsi="Arial" w:cs="Arial"/>
                <w:sz w:val="16"/>
                <w:szCs w:val="16"/>
              </w:rPr>
            </w:pPr>
            <w:r w:rsidRPr="00A32AF4">
              <w:rPr>
                <w:rFonts w:ascii="Arial" w:hAnsi="Arial" w:cs="Arial"/>
                <w:sz w:val="16"/>
                <w:szCs w:val="16"/>
              </w:rPr>
              <w:t>Afrique (maintien)</w:t>
            </w:r>
          </w:p>
          <w:p w:rsidR="007F3E06" w:rsidRPr="00A32AF4" w:rsidRDefault="007F3E06" w:rsidP="007F3E06">
            <w:pPr>
              <w:pStyle w:val="ListParagraph"/>
              <w:numPr>
                <w:ilvl w:val="0"/>
                <w:numId w:val="78"/>
              </w:numPr>
              <w:spacing w:after="0" w:line="240" w:lineRule="auto"/>
              <w:contextualSpacing w:val="0"/>
              <w:rPr>
                <w:rFonts w:ascii="Arial" w:hAnsi="Arial" w:cs="Arial"/>
                <w:sz w:val="16"/>
                <w:szCs w:val="16"/>
              </w:rPr>
            </w:pPr>
            <w:r w:rsidRPr="00A32AF4">
              <w:rPr>
                <w:rFonts w:ascii="Arial" w:hAnsi="Arial" w:cs="Arial"/>
                <w:sz w:val="16"/>
                <w:szCs w:val="16"/>
              </w:rPr>
              <w:t>Pays arabes (maintien)</w:t>
            </w:r>
          </w:p>
          <w:p w:rsidR="007F3E06" w:rsidRPr="00A32AF4" w:rsidRDefault="007F3E06" w:rsidP="0038345F">
            <w:pPr>
              <w:pStyle w:val="ListParagraph"/>
              <w:numPr>
                <w:ilvl w:val="0"/>
                <w:numId w:val="78"/>
              </w:numPr>
              <w:spacing w:after="0" w:line="240" w:lineRule="auto"/>
              <w:contextualSpacing w:val="0"/>
              <w:rPr>
                <w:rFonts w:cs="Arial"/>
                <w:sz w:val="16"/>
                <w:szCs w:val="16"/>
              </w:rPr>
            </w:pPr>
            <w:r w:rsidRPr="00A32AF4">
              <w:rPr>
                <w:rFonts w:ascii="Arial" w:hAnsi="Arial" w:cs="Arial"/>
                <w:sz w:val="16"/>
                <w:szCs w:val="16"/>
              </w:rPr>
              <w:t>Asie et Pacifique (10% par an)</w:t>
            </w:r>
          </w:p>
        </w:tc>
      </w:tr>
      <w:tr w:rsidR="00DF0A4A" w:rsidRPr="00A32AF4" w:rsidTr="00B9341E">
        <w:trPr>
          <w:cantSplit/>
        </w:trPr>
        <w:tc>
          <w:tcPr>
            <w:tcW w:w="2280" w:type="dxa"/>
            <w:shd w:val="clear" w:color="000000" w:fill="FFFFFF"/>
            <w:tcMar>
              <w:top w:w="113" w:type="dxa"/>
              <w:bottom w:w="113" w:type="dxa"/>
            </w:tcMar>
          </w:tcPr>
          <w:p w:rsidR="00DF0A4A" w:rsidRPr="00A32AF4" w:rsidRDefault="00DF0A4A" w:rsidP="00231697">
            <w:pPr>
              <w:rPr>
                <w:sz w:val="16"/>
                <w:szCs w:val="16"/>
              </w:rPr>
            </w:pPr>
            <w:r w:rsidRPr="00A32AF4">
              <w:rPr>
                <w:sz w:val="16"/>
                <w:szCs w:val="16"/>
              </w:rPr>
              <w:t xml:space="preserve">II.6 Utilisation </w:t>
            </w:r>
            <w:r w:rsidR="00524DAB" w:rsidRPr="00A32AF4">
              <w:rPr>
                <w:sz w:val="16"/>
                <w:szCs w:val="16"/>
              </w:rPr>
              <w:t>élargie</w:t>
            </w:r>
            <w:r w:rsidRPr="00A32AF4">
              <w:rPr>
                <w:sz w:val="16"/>
                <w:szCs w:val="16"/>
              </w:rPr>
              <w:t xml:space="preserve"> et plus efficace </w:t>
            </w:r>
            <w:r w:rsidR="00231697" w:rsidRPr="00A32AF4">
              <w:rPr>
                <w:sz w:val="16"/>
                <w:szCs w:val="16"/>
              </w:rPr>
              <w:t>du</w:t>
            </w:r>
            <w:r w:rsidR="001453BE" w:rsidRPr="00A32AF4">
              <w:rPr>
                <w:sz w:val="16"/>
                <w:szCs w:val="16"/>
              </w:rPr>
              <w:t xml:space="preserve"> </w:t>
            </w:r>
            <w:r w:rsidR="00524DAB" w:rsidRPr="00A32AF4">
              <w:rPr>
                <w:sz w:val="16"/>
                <w:szCs w:val="16"/>
              </w:rPr>
              <w:t>système</w:t>
            </w:r>
            <w:r w:rsidRPr="00A32AF4">
              <w:rPr>
                <w:sz w:val="16"/>
                <w:szCs w:val="16"/>
              </w:rPr>
              <w:t xml:space="preserve"> de Madrid,</w:t>
            </w:r>
            <w:r w:rsidR="00614A2D" w:rsidRPr="00A32AF4">
              <w:rPr>
                <w:sz w:val="16"/>
                <w:szCs w:val="16"/>
              </w:rPr>
              <w:t xml:space="preserve"> </w:t>
            </w:r>
            <w:r w:rsidRPr="00A32AF4">
              <w:rPr>
                <w:sz w:val="16"/>
                <w:szCs w:val="16"/>
              </w:rPr>
              <w:t>notamment par les pays en</w:t>
            </w:r>
            <w:r w:rsidR="00614A2D" w:rsidRPr="00A32AF4">
              <w:rPr>
                <w:sz w:val="16"/>
                <w:szCs w:val="16"/>
              </w:rPr>
              <w:t xml:space="preserve"> </w:t>
            </w:r>
            <w:r w:rsidR="00524DAB" w:rsidRPr="00A32AF4">
              <w:rPr>
                <w:sz w:val="16"/>
                <w:szCs w:val="16"/>
              </w:rPr>
              <w:t>développement</w:t>
            </w:r>
            <w:r w:rsidRPr="00A32AF4">
              <w:rPr>
                <w:sz w:val="16"/>
                <w:szCs w:val="16"/>
              </w:rPr>
              <w:t xml:space="preserve"> et</w:t>
            </w:r>
            <w:r w:rsidR="00E2055A" w:rsidRPr="00A32AF4">
              <w:rPr>
                <w:sz w:val="16"/>
                <w:szCs w:val="16"/>
              </w:rPr>
              <w:t xml:space="preserve"> les PMA</w:t>
            </w:r>
          </w:p>
        </w:tc>
        <w:tc>
          <w:tcPr>
            <w:tcW w:w="2180" w:type="dxa"/>
            <w:shd w:val="clear" w:color="000000" w:fill="FFFFFF"/>
            <w:tcMar>
              <w:top w:w="113" w:type="dxa"/>
              <w:bottom w:w="113" w:type="dxa"/>
            </w:tcMar>
          </w:tcPr>
          <w:p w:rsidR="00DF0A4A" w:rsidRPr="00A32AF4" w:rsidRDefault="00DF0A4A" w:rsidP="00DF0A4A">
            <w:pPr>
              <w:rPr>
                <w:sz w:val="16"/>
                <w:szCs w:val="16"/>
              </w:rPr>
            </w:pPr>
            <w:r w:rsidRPr="00A32AF4">
              <w:rPr>
                <w:sz w:val="16"/>
                <w:szCs w:val="16"/>
              </w:rPr>
              <w:t xml:space="preserve">Nombre de demandes </w:t>
            </w:r>
            <w:r w:rsidR="00524DAB" w:rsidRPr="00A32AF4">
              <w:rPr>
                <w:sz w:val="16"/>
                <w:szCs w:val="16"/>
              </w:rPr>
              <w:t>déposées</w:t>
            </w:r>
            <w:r w:rsidRPr="00A32AF4">
              <w:rPr>
                <w:sz w:val="16"/>
                <w:szCs w:val="16"/>
              </w:rPr>
              <w:t xml:space="preserve"> selon le </w:t>
            </w:r>
            <w:r w:rsidR="00524DAB" w:rsidRPr="00A32AF4">
              <w:rPr>
                <w:sz w:val="16"/>
                <w:szCs w:val="16"/>
              </w:rPr>
              <w:t>système</w:t>
            </w:r>
            <w:r w:rsidR="00614A2D" w:rsidRPr="00A32AF4">
              <w:rPr>
                <w:sz w:val="16"/>
                <w:szCs w:val="16"/>
              </w:rPr>
              <w:t xml:space="preserve"> </w:t>
            </w:r>
            <w:r w:rsidRPr="00A32AF4">
              <w:rPr>
                <w:sz w:val="16"/>
                <w:szCs w:val="16"/>
              </w:rPr>
              <w:t xml:space="preserve">de Madrid </w:t>
            </w:r>
            <w:r w:rsidR="00524DAB" w:rsidRPr="00A32AF4">
              <w:rPr>
                <w:sz w:val="16"/>
                <w:szCs w:val="16"/>
              </w:rPr>
              <w:t>émanant</w:t>
            </w:r>
            <w:r w:rsidRPr="00A32AF4">
              <w:rPr>
                <w:sz w:val="16"/>
                <w:szCs w:val="16"/>
              </w:rPr>
              <w:t xml:space="preserve"> de pays en </w:t>
            </w:r>
            <w:r w:rsidR="00524DAB" w:rsidRPr="00A32AF4">
              <w:rPr>
                <w:sz w:val="16"/>
                <w:szCs w:val="16"/>
              </w:rPr>
              <w:t>développement</w:t>
            </w:r>
            <w:r w:rsidR="009862B4" w:rsidRPr="00A32AF4">
              <w:rPr>
                <w:sz w:val="16"/>
                <w:szCs w:val="16"/>
              </w:rPr>
              <w:t xml:space="preserve"> et de PMA</w:t>
            </w:r>
          </w:p>
          <w:p w:rsidR="00DF0A4A" w:rsidRPr="00A32AF4" w:rsidRDefault="00DF0A4A" w:rsidP="00DF0A4A">
            <w:pPr>
              <w:rPr>
                <w:sz w:val="16"/>
                <w:szCs w:val="16"/>
              </w:rPr>
            </w:pPr>
          </w:p>
          <w:p w:rsidR="00DF0A4A" w:rsidRPr="00A32AF4" w:rsidRDefault="00DF0A4A" w:rsidP="00DF0A4A">
            <w:pPr>
              <w:rPr>
                <w:sz w:val="16"/>
                <w:szCs w:val="16"/>
              </w:rPr>
            </w:pPr>
          </w:p>
          <w:p w:rsidR="009862B4" w:rsidRPr="00A32AF4" w:rsidRDefault="009862B4" w:rsidP="00DF0A4A">
            <w:pPr>
              <w:rPr>
                <w:sz w:val="16"/>
                <w:szCs w:val="16"/>
              </w:rPr>
            </w:pPr>
          </w:p>
          <w:p w:rsidR="001453BE" w:rsidRPr="00A32AF4" w:rsidRDefault="001453BE" w:rsidP="00DF0A4A">
            <w:pPr>
              <w:rPr>
                <w:sz w:val="16"/>
                <w:szCs w:val="16"/>
              </w:rPr>
            </w:pPr>
          </w:p>
          <w:p w:rsidR="00DF0A4A" w:rsidRPr="00A32AF4" w:rsidRDefault="00DF0A4A" w:rsidP="00DF0A4A">
            <w:pPr>
              <w:rPr>
                <w:sz w:val="16"/>
                <w:szCs w:val="16"/>
              </w:rPr>
            </w:pPr>
          </w:p>
          <w:p w:rsidR="001453BE" w:rsidRPr="00A32AF4" w:rsidRDefault="001453BE" w:rsidP="00DF0A4A">
            <w:pPr>
              <w:rPr>
                <w:sz w:val="16"/>
                <w:szCs w:val="16"/>
              </w:rPr>
            </w:pPr>
          </w:p>
          <w:p w:rsidR="00DF0A4A" w:rsidRPr="00A32AF4" w:rsidRDefault="00DF0A4A" w:rsidP="0038345F">
            <w:pPr>
              <w:autoSpaceDE w:val="0"/>
              <w:autoSpaceDN w:val="0"/>
              <w:adjustRightInd w:val="0"/>
              <w:rPr>
                <w:sz w:val="16"/>
                <w:szCs w:val="16"/>
              </w:rPr>
            </w:pPr>
            <w:r w:rsidRPr="00A32AF4">
              <w:rPr>
                <w:rFonts w:cs="Arial"/>
                <w:sz w:val="16"/>
                <w:szCs w:val="16"/>
                <w:lang w:eastAsia="fr-FR"/>
              </w:rPr>
              <w:t>Nombre d</w:t>
            </w:r>
            <w:r w:rsidR="00E2055A" w:rsidRPr="00A32AF4">
              <w:rPr>
                <w:rFonts w:cs="Arial"/>
                <w:sz w:val="16"/>
                <w:szCs w:val="16"/>
                <w:lang w:eastAsia="fr-FR"/>
              </w:rPr>
              <w:t>’</w:t>
            </w:r>
            <w:r w:rsidRPr="00A32AF4">
              <w:rPr>
                <w:rFonts w:cs="Arial"/>
                <w:sz w:val="16"/>
                <w:szCs w:val="16"/>
                <w:lang w:eastAsia="fr-FR"/>
              </w:rPr>
              <w:t>enregistrements internationaux en</w:t>
            </w:r>
            <w:r w:rsidR="00614A2D" w:rsidRPr="00A32AF4">
              <w:rPr>
                <w:rFonts w:cs="Arial"/>
                <w:sz w:val="16"/>
                <w:szCs w:val="16"/>
                <w:lang w:eastAsia="fr-FR"/>
              </w:rPr>
              <w:t xml:space="preserve"> </w:t>
            </w:r>
            <w:r w:rsidRPr="00A32AF4">
              <w:rPr>
                <w:rFonts w:cs="Arial"/>
                <w:sz w:val="16"/>
                <w:szCs w:val="16"/>
                <w:lang w:eastAsia="fr-FR"/>
              </w:rPr>
              <w:t xml:space="preserve">vigueur en vertu du </w:t>
            </w:r>
            <w:r w:rsidR="00524DAB" w:rsidRPr="00A32AF4">
              <w:rPr>
                <w:rFonts w:cs="Arial"/>
                <w:sz w:val="16"/>
                <w:szCs w:val="16"/>
                <w:lang w:eastAsia="fr-FR"/>
              </w:rPr>
              <w:t>système</w:t>
            </w:r>
            <w:r w:rsidRPr="00A32AF4">
              <w:rPr>
                <w:rFonts w:cs="Arial"/>
                <w:sz w:val="16"/>
                <w:szCs w:val="16"/>
                <w:lang w:eastAsia="fr-FR"/>
              </w:rPr>
              <w:t xml:space="preserve"> de Lisbonne</w:t>
            </w:r>
            <w:r w:rsidR="00614A2D" w:rsidRPr="00A32AF4">
              <w:rPr>
                <w:rFonts w:cs="Arial"/>
                <w:sz w:val="16"/>
                <w:szCs w:val="16"/>
                <w:lang w:eastAsia="fr-FR"/>
              </w:rPr>
              <w:t xml:space="preserve"> </w:t>
            </w:r>
            <w:r w:rsidRPr="00A32AF4">
              <w:rPr>
                <w:rFonts w:cs="Arial"/>
                <w:sz w:val="16"/>
                <w:szCs w:val="16"/>
                <w:lang w:eastAsia="fr-FR"/>
              </w:rPr>
              <w:t xml:space="preserve">concernant des pays en </w:t>
            </w:r>
            <w:r w:rsidR="00524DAB" w:rsidRPr="00A32AF4">
              <w:rPr>
                <w:rFonts w:cs="Arial"/>
                <w:sz w:val="16"/>
                <w:szCs w:val="16"/>
                <w:lang w:eastAsia="fr-FR"/>
              </w:rPr>
              <w:t>développement</w:t>
            </w:r>
            <w:r w:rsidRPr="00A32AF4">
              <w:rPr>
                <w:rFonts w:cs="Arial"/>
                <w:sz w:val="16"/>
                <w:szCs w:val="16"/>
                <w:lang w:eastAsia="fr-FR"/>
              </w:rPr>
              <w:t xml:space="preserve"> et</w:t>
            </w:r>
            <w:r w:rsidR="00E2055A" w:rsidRPr="00A32AF4">
              <w:rPr>
                <w:rFonts w:cs="Arial"/>
                <w:sz w:val="16"/>
                <w:szCs w:val="16"/>
                <w:lang w:eastAsia="fr-FR"/>
              </w:rPr>
              <w:t xml:space="preserve"> des PMA</w:t>
            </w:r>
            <w:r w:rsidRPr="00A32AF4">
              <w:rPr>
                <w:rFonts w:cs="Arial"/>
                <w:sz w:val="16"/>
                <w:szCs w:val="16"/>
                <w:lang w:eastAsia="fr-FR"/>
              </w:rPr>
              <w:t xml:space="preserve"> (par rapport au nombre total)</w:t>
            </w:r>
          </w:p>
        </w:tc>
        <w:tc>
          <w:tcPr>
            <w:tcW w:w="2760" w:type="dxa"/>
            <w:shd w:val="clear" w:color="000000" w:fill="FFFFFF"/>
            <w:tcMar>
              <w:top w:w="113" w:type="dxa"/>
              <w:bottom w:w="113" w:type="dxa"/>
            </w:tcMar>
          </w:tcPr>
          <w:p w:rsidR="00DF0A4A" w:rsidRPr="00A32AF4" w:rsidRDefault="00DF0A4A" w:rsidP="004F327D">
            <w:pPr>
              <w:rPr>
                <w:rFonts w:cs="Arial"/>
                <w:sz w:val="16"/>
                <w:szCs w:val="16"/>
                <w:lang w:bidi="th-TH"/>
              </w:rPr>
            </w:pPr>
          </w:p>
          <w:p w:rsidR="00DF0A4A" w:rsidRPr="00A32AF4" w:rsidRDefault="00DF0A4A" w:rsidP="004F327D">
            <w:pPr>
              <w:rPr>
                <w:rFonts w:cs="Arial"/>
                <w:sz w:val="16"/>
                <w:szCs w:val="16"/>
              </w:rPr>
            </w:pPr>
            <w:r w:rsidRPr="00A32AF4">
              <w:rPr>
                <w:rFonts w:cs="Arial"/>
                <w:sz w:val="16"/>
                <w:szCs w:val="16"/>
              </w:rPr>
              <w:t>3629 (2014)</w:t>
            </w:r>
          </w:p>
          <w:p w:rsidR="00DF0A4A" w:rsidRPr="00A32AF4" w:rsidRDefault="00FE3997" w:rsidP="00DF0A4A">
            <w:pPr>
              <w:pStyle w:val="ListParagraph"/>
              <w:numPr>
                <w:ilvl w:val="0"/>
                <w:numId w:val="78"/>
              </w:numPr>
              <w:spacing w:after="0" w:line="240" w:lineRule="auto"/>
              <w:contextualSpacing w:val="0"/>
              <w:rPr>
                <w:rFonts w:ascii="Arial" w:hAnsi="Arial" w:cs="Arial"/>
                <w:sz w:val="16"/>
                <w:szCs w:val="16"/>
              </w:rPr>
            </w:pPr>
            <w:r w:rsidRPr="00A32AF4">
              <w:rPr>
                <w:rFonts w:ascii="Arial" w:hAnsi="Arial" w:cs="Arial"/>
                <w:sz w:val="16"/>
                <w:szCs w:val="16"/>
              </w:rPr>
              <w:t xml:space="preserve">Afrique </w:t>
            </w:r>
            <w:r w:rsidR="00DF0A4A" w:rsidRPr="00A32AF4">
              <w:rPr>
                <w:rFonts w:ascii="Arial" w:hAnsi="Arial" w:cs="Arial"/>
                <w:sz w:val="16"/>
                <w:szCs w:val="16"/>
              </w:rPr>
              <w:t>(18)</w:t>
            </w:r>
          </w:p>
          <w:p w:rsidR="00DF0A4A" w:rsidRPr="00A32AF4" w:rsidRDefault="00FE3997" w:rsidP="00DF0A4A">
            <w:pPr>
              <w:pStyle w:val="ListParagraph"/>
              <w:numPr>
                <w:ilvl w:val="0"/>
                <w:numId w:val="78"/>
              </w:numPr>
              <w:spacing w:after="0" w:line="240" w:lineRule="auto"/>
              <w:contextualSpacing w:val="0"/>
              <w:rPr>
                <w:rFonts w:ascii="Arial" w:hAnsi="Arial" w:cs="Arial"/>
                <w:sz w:val="16"/>
                <w:szCs w:val="16"/>
              </w:rPr>
            </w:pPr>
            <w:r w:rsidRPr="00A32AF4">
              <w:rPr>
                <w:rFonts w:ascii="Arial" w:hAnsi="Arial" w:cs="Arial"/>
                <w:sz w:val="16"/>
                <w:szCs w:val="16"/>
              </w:rPr>
              <w:t xml:space="preserve">Pays arabes </w:t>
            </w:r>
            <w:r w:rsidR="00DF0A4A" w:rsidRPr="00A32AF4">
              <w:rPr>
                <w:rFonts w:ascii="Arial" w:hAnsi="Arial" w:cs="Arial"/>
                <w:sz w:val="16"/>
                <w:szCs w:val="16"/>
              </w:rPr>
              <w:t>(122)</w:t>
            </w:r>
          </w:p>
          <w:p w:rsidR="001453BE" w:rsidRPr="00A32AF4" w:rsidRDefault="001453BE" w:rsidP="001453BE">
            <w:pPr>
              <w:pStyle w:val="ListParagraph"/>
              <w:spacing w:after="0" w:line="240" w:lineRule="auto"/>
              <w:ind w:left="360"/>
              <w:contextualSpacing w:val="0"/>
              <w:rPr>
                <w:rFonts w:ascii="Arial" w:hAnsi="Arial" w:cs="Arial"/>
                <w:sz w:val="16"/>
                <w:szCs w:val="16"/>
              </w:rPr>
            </w:pPr>
          </w:p>
          <w:p w:rsidR="00DF0A4A" w:rsidRPr="00A32AF4" w:rsidRDefault="00FE3997" w:rsidP="00DF0A4A">
            <w:pPr>
              <w:pStyle w:val="ListParagraph"/>
              <w:numPr>
                <w:ilvl w:val="0"/>
                <w:numId w:val="78"/>
              </w:numPr>
              <w:spacing w:after="0" w:line="240" w:lineRule="auto"/>
              <w:contextualSpacing w:val="0"/>
              <w:rPr>
                <w:rFonts w:ascii="Arial" w:hAnsi="Arial" w:cs="Arial"/>
                <w:caps/>
                <w:sz w:val="16"/>
                <w:szCs w:val="16"/>
              </w:rPr>
            </w:pPr>
            <w:r w:rsidRPr="00A32AF4">
              <w:rPr>
                <w:rFonts w:ascii="Arial" w:hAnsi="Arial" w:cs="Arial"/>
                <w:sz w:val="16"/>
                <w:szCs w:val="16"/>
              </w:rPr>
              <w:t xml:space="preserve">Asie et Pacifique </w:t>
            </w:r>
            <w:r w:rsidR="00DF0A4A" w:rsidRPr="00A32AF4">
              <w:rPr>
                <w:rFonts w:ascii="Arial" w:hAnsi="Arial" w:cs="Arial"/>
                <w:sz w:val="16"/>
                <w:szCs w:val="16"/>
              </w:rPr>
              <w:t>(3338)</w:t>
            </w:r>
          </w:p>
          <w:p w:rsidR="001453BE" w:rsidRPr="00A32AF4" w:rsidRDefault="001453BE" w:rsidP="001453BE">
            <w:pPr>
              <w:pStyle w:val="ListParagraph"/>
              <w:spacing w:after="0" w:line="240" w:lineRule="auto"/>
              <w:ind w:left="360"/>
              <w:contextualSpacing w:val="0"/>
              <w:rPr>
                <w:rFonts w:ascii="Arial" w:hAnsi="Arial" w:cs="Arial"/>
                <w:caps/>
                <w:sz w:val="16"/>
                <w:szCs w:val="16"/>
              </w:rPr>
            </w:pPr>
          </w:p>
          <w:p w:rsidR="00DF0A4A" w:rsidRPr="00A32AF4" w:rsidRDefault="009D5A72" w:rsidP="00DF0A4A">
            <w:pPr>
              <w:pStyle w:val="ListParagraph"/>
              <w:numPr>
                <w:ilvl w:val="0"/>
                <w:numId w:val="78"/>
              </w:numPr>
              <w:spacing w:after="0" w:line="240" w:lineRule="auto"/>
              <w:contextualSpacing w:val="0"/>
              <w:rPr>
                <w:rFonts w:ascii="Arial" w:eastAsiaTheme="minorEastAsia" w:hAnsi="Arial" w:cs="Arial"/>
                <w:sz w:val="16"/>
                <w:szCs w:val="16"/>
                <w:lang w:eastAsia="ja-JP"/>
              </w:rPr>
            </w:pPr>
            <w:r w:rsidRPr="00A32AF4">
              <w:rPr>
                <w:rFonts w:ascii="Arial" w:hAnsi="Arial" w:cs="Arial"/>
                <w:sz w:val="16"/>
                <w:szCs w:val="16"/>
              </w:rPr>
              <w:t xml:space="preserve">Amérique latine et Caraïbes </w:t>
            </w:r>
            <w:r w:rsidR="00DF0A4A" w:rsidRPr="00A32AF4">
              <w:rPr>
                <w:rFonts w:ascii="Arial" w:hAnsi="Arial" w:cs="Arial"/>
                <w:sz w:val="16"/>
                <w:szCs w:val="16"/>
              </w:rPr>
              <w:t>(151)</w:t>
            </w:r>
          </w:p>
          <w:p w:rsidR="00DF0A4A" w:rsidRPr="00A32AF4" w:rsidRDefault="00DF0A4A" w:rsidP="004F327D">
            <w:pPr>
              <w:rPr>
                <w:rFonts w:cs="Arial"/>
                <w:sz w:val="16"/>
                <w:szCs w:val="16"/>
              </w:rPr>
            </w:pPr>
          </w:p>
          <w:p w:rsidR="001453BE" w:rsidRPr="00A32AF4" w:rsidRDefault="001453BE" w:rsidP="004F327D">
            <w:pPr>
              <w:rPr>
                <w:rFonts w:cs="Arial"/>
                <w:sz w:val="16"/>
                <w:szCs w:val="16"/>
              </w:rPr>
            </w:pPr>
          </w:p>
          <w:p w:rsidR="00DF0A4A" w:rsidRPr="00A32AF4" w:rsidRDefault="00DF0A4A" w:rsidP="00DF0A4A">
            <w:pPr>
              <w:rPr>
                <w:rFonts w:cs="Arial"/>
                <w:sz w:val="16"/>
                <w:szCs w:val="16"/>
              </w:rPr>
            </w:pPr>
            <w:r w:rsidRPr="00A32AF4">
              <w:rPr>
                <w:rFonts w:cs="Arial"/>
                <w:sz w:val="16"/>
                <w:szCs w:val="16"/>
              </w:rPr>
              <w:t>78 (sur 896) :</w:t>
            </w:r>
          </w:p>
          <w:p w:rsidR="00DF0A4A" w:rsidRPr="00A32AF4" w:rsidRDefault="00FE3997" w:rsidP="00DF0A4A">
            <w:pPr>
              <w:numPr>
                <w:ilvl w:val="0"/>
                <w:numId w:val="80"/>
              </w:numPr>
              <w:rPr>
                <w:rFonts w:cs="Arial"/>
                <w:sz w:val="16"/>
                <w:szCs w:val="16"/>
              </w:rPr>
            </w:pPr>
            <w:r w:rsidRPr="00A32AF4">
              <w:rPr>
                <w:rFonts w:cs="Arial"/>
                <w:sz w:val="16"/>
                <w:szCs w:val="16"/>
              </w:rPr>
              <w:t>P</w:t>
            </w:r>
            <w:r w:rsidR="00DF0A4A" w:rsidRPr="00A32AF4">
              <w:rPr>
                <w:rFonts w:cs="Arial"/>
                <w:sz w:val="16"/>
                <w:szCs w:val="16"/>
              </w:rPr>
              <w:t>ays arabes (14)</w:t>
            </w:r>
          </w:p>
          <w:p w:rsidR="00DF0A4A" w:rsidRPr="00A32AF4" w:rsidRDefault="00DF0A4A" w:rsidP="00DF0A4A">
            <w:pPr>
              <w:numPr>
                <w:ilvl w:val="0"/>
                <w:numId w:val="80"/>
              </w:numPr>
              <w:rPr>
                <w:rFonts w:cs="Arial"/>
                <w:sz w:val="16"/>
                <w:szCs w:val="16"/>
              </w:rPr>
            </w:pPr>
            <w:r w:rsidRPr="00A32AF4">
              <w:rPr>
                <w:rFonts w:cs="Arial"/>
                <w:sz w:val="16"/>
                <w:szCs w:val="16"/>
              </w:rPr>
              <w:t>Asie et Pacifique (22)</w:t>
            </w:r>
          </w:p>
          <w:p w:rsidR="00DF0A4A" w:rsidRPr="00A32AF4" w:rsidRDefault="00DF0A4A">
            <w:pPr>
              <w:rPr>
                <w:sz w:val="16"/>
                <w:szCs w:val="16"/>
              </w:rPr>
            </w:pPr>
            <w:r w:rsidRPr="00A32AF4">
              <w:rPr>
                <w:rFonts w:cs="Arial"/>
                <w:sz w:val="16"/>
                <w:szCs w:val="16"/>
              </w:rPr>
              <w:t>Amérique latine et Caraïbes (42) (</w:t>
            </w:r>
            <w:r w:rsidR="00E2055A" w:rsidRPr="00A32AF4">
              <w:rPr>
                <w:rFonts w:cs="Arial"/>
                <w:sz w:val="16"/>
                <w:szCs w:val="16"/>
              </w:rPr>
              <w:t>mars 20</w:t>
            </w:r>
            <w:r w:rsidRPr="00A32AF4">
              <w:rPr>
                <w:rFonts w:cs="Arial"/>
                <w:sz w:val="16"/>
                <w:szCs w:val="16"/>
              </w:rPr>
              <w:t>15)</w:t>
            </w:r>
          </w:p>
        </w:tc>
        <w:tc>
          <w:tcPr>
            <w:tcW w:w="1975" w:type="dxa"/>
            <w:shd w:val="clear" w:color="000000" w:fill="FFFFFF"/>
            <w:tcMar>
              <w:top w:w="113" w:type="dxa"/>
              <w:bottom w:w="113" w:type="dxa"/>
            </w:tcMar>
          </w:tcPr>
          <w:p w:rsidR="00DF0A4A" w:rsidRPr="00A32AF4" w:rsidRDefault="00DF0A4A" w:rsidP="001453BE">
            <w:pPr>
              <w:rPr>
                <w:rFonts w:cs="Arial"/>
                <w:sz w:val="16"/>
                <w:szCs w:val="16"/>
                <w:lang w:bidi="th-TH"/>
              </w:rPr>
            </w:pPr>
          </w:p>
          <w:p w:rsidR="001453BE" w:rsidRPr="00A32AF4" w:rsidRDefault="001453BE" w:rsidP="001453BE">
            <w:pPr>
              <w:rPr>
                <w:rFonts w:cs="Arial"/>
                <w:sz w:val="16"/>
                <w:szCs w:val="16"/>
                <w:lang w:bidi="th-TH"/>
              </w:rPr>
            </w:pPr>
          </w:p>
          <w:p w:rsidR="00DF0A4A" w:rsidRPr="00A32AF4" w:rsidRDefault="00FE3997" w:rsidP="00DF0A4A">
            <w:pPr>
              <w:pStyle w:val="ListParagraph"/>
              <w:numPr>
                <w:ilvl w:val="0"/>
                <w:numId w:val="78"/>
              </w:numPr>
              <w:spacing w:after="0" w:line="240" w:lineRule="auto"/>
              <w:contextualSpacing w:val="0"/>
              <w:rPr>
                <w:rFonts w:ascii="Arial" w:hAnsi="Arial" w:cs="Arial"/>
                <w:sz w:val="16"/>
                <w:szCs w:val="16"/>
              </w:rPr>
            </w:pPr>
            <w:r w:rsidRPr="00A32AF4">
              <w:rPr>
                <w:rFonts w:ascii="Arial" w:hAnsi="Arial" w:cs="Arial"/>
                <w:sz w:val="16"/>
                <w:szCs w:val="16"/>
              </w:rPr>
              <w:t xml:space="preserve">Afrique </w:t>
            </w:r>
            <w:r w:rsidR="00DF0A4A" w:rsidRPr="00A32AF4">
              <w:rPr>
                <w:rFonts w:ascii="Arial" w:hAnsi="Arial" w:cs="Arial"/>
                <w:sz w:val="16"/>
                <w:szCs w:val="16"/>
              </w:rPr>
              <w:t>(</w:t>
            </w:r>
            <w:r w:rsidR="003504BB" w:rsidRPr="00A32AF4">
              <w:rPr>
                <w:rFonts w:ascii="Arial" w:hAnsi="Arial" w:cs="Arial"/>
                <w:sz w:val="16"/>
                <w:szCs w:val="16"/>
              </w:rPr>
              <w:t>maintien)</w:t>
            </w:r>
          </w:p>
          <w:p w:rsidR="00DF0A4A" w:rsidRPr="00A32AF4" w:rsidRDefault="00FE3997" w:rsidP="00DF0A4A">
            <w:pPr>
              <w:pStyle w:val="ListParagraph"/>
              <w:numPr>
                <w:ilvl w:val="0"/>
                <w:numId w:val="78"/>
              </w:numPr>
              <w:spacing w:after="0" w:line="240" w:lineRule="auto"/>
              <w:contextualSpacing w:val="0"/>
              <w:rPr>
                <w:rFonts w:ascii="Arial" w:hAnsi="Arial" w:cs="Arial"/>
                <w:sz w:val="16"/>
                <w:szCs w:val="16"/>
              </w:rPr>
            </w:pPr>
            <w:r w:rsidRPr="00A32AF4">
              <w:rPr>
                <w:rFonts w:ascii="Arial" w:hAnsi="Arial" w:cs="Arial"/>
                <w:sz w:val="16"/>
                <w:szCs w:val="16"/>
              </w:rPr>
              <w:t xml:space="preserve">Pays arabes </w:t>
            </w:r>
            <w:r w:rsidR="00DF0A4A" w:rsidRPr="00A32AF4">
              <w:rPr>
                <w:rFonts w:ascii="Arial" w:hAnsi="Arial" w:cs="Arial"/>
                <w:sz w:val="16"/>
                <w:szCs w:val="16"/>
              </w:rPr>
              <w:t>(</w:t>
            </w:r>
            <w:r w:rsidR="003504BB" w:rsidRPr="00A32AF4">
              <w:rPr>
                <w:rFonts w:ascii="Arial" w:hAnsi="Arial" w:cs="Arial"/>
                <w:sz w:val="16"/>
                <w:szCs w:val="16"/>
              </w:rPr>
              <w:t>maintien)</w:t>
            </w:r>
          </w:p>
          <w:p w:rsidR="00DF0A4A" w:rsidRPr="00A32AF4" w:rsidRDefault="00FE3997" w:rsidP="00DF0A4A">
            <w:pPr>
              <w:pStyle w:val="ListParagraph"/>
              <w:numPr>
                <w:ilvl w:val="0"/>
                <w:numId w:val="78"/>
              </w:numPr>
              <w:spacing w:after="0" w:line="240" w:lineRule="auto"/>
              <w:contextualSpacing w:val="0"/>
              <w:rPr>
                <w:rFonts w:ascii="Arial" w:hAnsi="Arial" w:cs="Arial"/>
                <w:sz w:val="16"/>
                <w:szCs w:val="16"/>
              </w:rPr>
            </w:pPr>
            <w:r w:rsidRPr="00A32AF4">
              <w:rPr>
                <w:rFonts w:ascii="Arial" w:hAnsi="Arial" w:cs="Arial"/>
                <w:sz w:val="16"/>
                <w:szCs w:val="16"/>
              </w:rPr>
              <w:t xml:space="preserve">Asie et Pacifique </w:t>
            </w:r>
            <w:r w:rsidR="00DF0A4A" w:rsidRPr="00A32AF4">
              <w:rPr>
                <w:rFonts w:ascii="Arial" w:hAnsi="Arial" w:cs="Arial"/>
                <w:sz w:val="16"/>
                <w:szCs w:val="16"/>
              </w:rPr>
              <w:t xml:space="preserve">(5% </w:t>
            </w:r>
            <w:r w:rsidR="00717F61" w:rsidRPr="00A32AF4">
              <w:rPr>
                <w:rFonts w:ascii="Arial" w:hAnsi="Arial" w:cs="Arial"/>
                <w:sz w:val="16"/>
                <w:szCs w:val="16"/>
              </w:rPr>
              <w:t>par an)</w:t>
            </w:r>
          </w:p>
          <w:p w:rsidR="00DF0A4A" w:rsidRPr="00A32AF4" w:rsidRDefault="00AF4096" w:rsidP="00DF0A4A">
            <w:pPr>
              <w:pStyle w:val="ListParagraph"/>
              <w:numPr>
                <w:ilvl w:val="0"/>
                <w:numId w:val="78"/>
              </w:numPr>
              <w:spacing w:after="0" w:line="240" w:lineRule="auto"/>
              <w:contextualSpacing w:val="0"/>
              <w:rPr>
                <w:rFonts w:ascii="Arial" w:hAnsi="Arial" w:cs="Arial"/>
                <w:sz w:val="16"/>
                <w:szCs w:val="16"/>
              </w:rPr>
            </w:pPr>
            <w:r w:rsidRPr="00A32AF4">
              <w:rPr>
                <w:rFonts w:ascii="Arial" w:hAnsi="Arial" w:cs="Arial"/>
                <w:sz w:val="16"/>
                <w:szCs w:val="16"/>
              </w:rPr>
              <w:t xml:space="preserve">Amérique latine et Caraïbes </w:t>
            </w:r>
            <w:r w:rsidR="00DF0A4A" w:rsidRPr="00A32AF4">
              <w:rPr>
                <w:rFonts w:ascii="Arial" w:hAnsi="Arial" w:cs="Arial"/>
                <w:sz w:val="16"/>
                <w:szCs w:val="16"/>
              </w:rPr>
              <w:t xml:space="preserve">(10% </w:t>
            </w:r>
            <w:r w:rsidR="00717F61" w:rsidRPr="00A32AF4">
              <w:rPr>
                <w:rFonts w:ascii="Arial" w:hAnsi="Arial" w:cs="Arial"/>
                <w:sz w:val="16"/>
                <w:szCs w:val="16"/>
              </w:rPr>
              <w:t>par</w:t>
            </w:r>
            <w:r w:rsidR="001453BE" w:rsidRPr="00A32AF4">
              <w:rPr>
                <w:rFonts w:ascii="Arial" w:hAnsi="Arial" w:cs="Arial"/>
                <w:sz w:val="16"/>
                <w:szCs w:val="16"/>
              </w:rPr>
              <w:t> </w:t>
            </w:r>
            <w:r w:rsidR="00717F61" w:rsidRPr="00A32AF4">
              <w:rPr>
                <w:rFonts w:ascii="Arial" w:hAnsi="Arial" w:cs="Arial"/>
                <w:sz w:val="16"/>
                <w:szCs w:val="16"/>
              </w:rPr>
              <w:t>an)</w:t>
            </w:r>
          </w:p>
          <w:p w:rsidR="00DF0A4A" w:rsidRPr="00A32AF4" w:rsidRDefault="00DF0A4A" w:rsidP="001453BE">
            <w:pPr>
              <w:rPr>
                <w:rFonts w:cs="Arial"/>
                <w:sz w:val="16"/>
                <w:szCs w:val="16"/>
              </w:rPr>
            </w:pPr>
          </w:p>
          <w:p w:rsidR="00DF0A4A" w:rsidRPr="00A32AF4" w:rsidRDefault="00DF0A4A" w:rsidP="001453BE">
            <w:pPr>
              <w:rPr>
                <w:sz w:val="16"/>
                <w:szCs w:val="16"/>
              </w:rPr>
            </w:pPr>
            <w:r w:rsidRPr="00A32AF4">
              <w:rPr>
                <w:rFonts w:cs="Arial"/>
                <w:color w:val="000000"/>
                <w:sz w:val="16"/>
                <w:szCs w:val="16"/>
              </w:rPr>
              <w:t>90 (</w:t>
            </w:r>
            <w:r w:rsidR="007A49F2" w:rsidRPr="00A32AF4">
              <w:rPr>
                <w:rFonts w:cs="Arial"/>
                <w:color w:val="000000"/>
                <w:sz w:val="16"/>
                <w:szCs w:val="16"/>
              </w:rPr>
              <w:t xml:space="preserve">sur </w:t>
            </w:r>
            <w:r w:rsidRPr="00A32AF4">
              <w:rPr>
                <w:rFonts w:cs="Arial"/>
                <w:color w:val="000000"/>
                <w:sz w:val="16"/>
                <w:szCs w:val="16"/>
              </w:rPr>
              <w:t>950)</w:t>
            </w:r>
            <w:r w:rsidR="002C2674" w:rsidRPr="00A32AF4">
              <w:rPr>
                <w:rFonts w:cs="Arial"/>
                <w:color w:val="000000"/>
                <w:sz w:val="16"/>
                <w:szCs w:val="16"/>
              </w:rPr>
              <w:t xml:space="preserve"> (</w:t>
            </w:r>
            <w:r w:rsidR="004A1510" w:rsidRPr="00A32AF4">
              <w:rPr>
                <w:rFonts w:cs="Arial"/>
                <w:color w:val="000000"/>
                <w:sz w:val="16"/>
                <w:szCs w:val="16"/>
              </w:rPr>
              <w:t>sur l</w:t>
            </w:r>
            <w:r w:rsidR="00E2055A" w:rsidRPr="00A32AF4">
              <w:rPr>
                <w:rFonts w:cs="Arial"/>
                <w:color w:val="000000"/>
                <w:sz w:val="16"/>
                <w:szCs w:val="16"/>
              </w:rPr>
              <w:t>’</w:t>
            </w:r>
            <w:r w:rsidR="004A1510" w:rsidRPr="00A32AF4">
              <w:rPr>
                <w:rFonts w:cs="Arial"/>
                <w:color w:val="000000"/>
                <w:sz w:val="16"/>
                <w:szCs w:val="16"/>
              </w:rPr>
              <w:t xml:space="preserve">exercice </w:t>
            </w:r>
            <w:r w:rsidR="002C2674" w:rsidRPr="00A32AF4">
              <w:rPr>
                <w:rFonts w:cs="Arial"/>
                <w:color w:val="000000"/>
                <w:sz w:val="16"/>
                <w:szCs w:val="16"/>
              </w:rPr>
              <w:t>bienn</w:t>
            </w:r>
            <w:r w:rsidRPr="00A32AF4">
              <w:rPr>
                <w:rFonts w:cs="Arial"/>
                <w:color w:val="000000"/>
                <w:sz w:val="16"/>
                <w:szCs w:val="16"/>
              </w:rPr>
              <w:t>al)</w:t>
            </w:r>
          </w:p>
        </w:tc>
      </w:tr>
      <w:tr w:rsidR="0038294E" w:rsidRPr="00A32AF4" w:rsidTr="00B9341E">
        <w:trPr>
          <w:cantSplit/>
        </w:trPr>
        <w:tc>
          <w:tcPr>
            <w:tcW w:w="2280" w:type="dxa"/>
            <w:shd w:val="clear" w:color="000000" w:fill="FFFFFF"/>
            <w:tcMar>
              <w:top w:w="113" w:type="dxa"/>
              <w:bottom w:w="113" w:type="dxa"/>
            </w:tcMar>
            <w:hideMark/>
          </w:tcPr>
          <w:p w:rsidR="00CD1430" w:rsidRPr="00A32AF4" w:rsidRDefault="00CD1430" w:rsidP="00B53790">
            <w:pPr>
              <w:rPr>
                <w:sz w:val="16"/>
                <w:szCs w:val="16"/>
              </w:rPr>
            </w:pPr>
            <w:r w:rsidRPr="00A32AF4">
              <w:rPr>
                <w:sz w:val="16"/>
                <w:szCs w:val="16"/>
              </w:rPr>
              <w:t xml:space="preserve">III.1 </w:t>
            </w:r>
            <w:r w:rsidR="00B32125" w:rsidRPr="00A32AF4">
              <w:rPr>
                <w:sz w:val="16"/>
                <w:szCs w:val="16"/>
              </w:rPr>
              <w:t>Stratégies et plans nationaux en matière d</w:t>
            </w:r>
            <w:r w:rsidR="00E2055A" w:rsidRPr="00A32AF4">
              <w:rPr>
                <w:sz w:val="16"/>
                <w:szCs w:val="16"/>
              </w:rPr>
              <w:t>’</w:t>
            </w:r>
            <w:r w:rsidR="00B32125" w:rsidRPr="00A32AF4">
              <w:rPr>
                <w:sz w:val="16"/>
                <w:szCs w:val="16"/>
              </w:rPr>
              <w:t>innovation et de propriété intellectuelle conformes aux objectifs de développement nationaux</w:t>
            </w:r>
          </w:p>
        </w:tc>
        <w:tc>
          <w:tcPr>
            <w:tcW w:w="2180" w:type="dxa"/>
            <w:shd w:val="clear" w:color="000000" w:fill="FFFFFF"/>
            <w:tcMar>
              <w:top w:w="113" w:type="dxa"/>
              <w:bottom w:w="113" w:type="dxa"/>
            </w:tcMar>
            <w:hideMark/>
          </w:tcPr>
          <w:p w:rsidR="00CD1430" w:rsidRPr="00A32AF4" w:rsidRDefault="00CD1430" w:rsidP="00B53790">
            <w:pPr>
              <w:rPr>
                <w:sz w:val="16"/>
                <w:szCs w:val="16"/>
              </w:rPr>
            </w:pPr>
            <w:r w:rsidRPr="00A32AF4">
              <w:rPr>
                <w:sz w:val="16"/>
                <w:szCs w:val="16"/>
              </w:rPr>
              <w:t>Nombre de pays en train de formuler des stratégies nationales de propriété intellectuelle</w:t>
            </w:r>
          </w:p>
        </w:tc>
        <w:tc>
          <w:tcPr>
            <w:tcW w:w="2760" w:type="dxa"/>
            <w:shd w:val="clear" w:color="000000" w:fill="FFFFFF"/>
            <w:tcMar>
              <w:top w:w="113" w:type="dxa"/>
              <w:bottom w:w="113" w:type="dxa"/>
            </w:tcMar>
            <w:hideMark/>
          </w:tcPr>
          <w:p w:rsidR="00CD1430" w:rsidRPr="00A32AF4" w:rsidRDefault="00CD1430" w:rsidP="00B53790">
            <w:pPr>
              <w:rPr>
                <w:sz w:val="16"/>
                <w:szCs w:val="16"/>
              </w:rPr>
            </w:pPr>
            <w:r w:rsidRPr="00A32AF4">
              <w:rPr>
                <w:sz w:val="16"/>
                <w:szCs w:val="16"/>
              </w:rPr>
              <w:t>Afrique (</w:t>
            </w:r>
            <w:r w:rsidR="00CD3558" w:rsidRPr="00A32AF4">
              <w:rPr>
                <w:sz w:val="16"/>
                <w:szCs w:val="16"/>
              </w:rPr>
              <w:t>24 en tout</w:t>
            </w:r>
            <w:proofErr w:type="gramStart"/>
            <w:r w:rsidRPr="00A32AF4">
              <w:rPr>
                <w:sz w:val="16"/>
                <w:szCs w:val="16"/>
              </w:rPr>
              <w:t>)</w:t>
            </w:r>
            <w:proofErr w:type="gramEnd"/>
            <w:r w:rsidRPr="00A32AF4">
              <w:rPr>
                <w:sz w:val="16"/>
                <w:szCs w:val="16"/>
              </w:rPr>
              <w:br/>
              <w:t>Pays arabes (4 en 2014)</w:t>
            </w:r>
            <w:r w:rsidRPr="00A32AF4">
              <w:rPr>
                <w:sz w:val="16"/>
                <w:szCs w:val="16"/>
              </w:rPr>
              <w:br/>
              <w:t>Asie et Pacifique (</w:t>
            </w:r>
            <w:r w:rsidR="00CD3558" w:rsidRPr="00A32AF4">
              <w:rPr>
                <w:sz w:val="16"/>
                <w:szCs w:val="16"/>
              </w:rPr>
              <w:t>14 en tout</w:t>
            </w:r>
            <w:r w:rsidRPr="00A32AF4">
              <w:rPr>
                <w:sz w:val="16"/>
                <w:szCs w:val="16"/>
              </w:rPr>
              <w:t>)</w:t>
            </w:r>
            <w:r w:rsidRPr="00A32AF4">
              <w:rPr>
                <w:sz w:val="16"/>
                <w:szCs w:val="16"/>
              </w:rPr>
              <w:br/>
              <w:t>Amérique latine et Caraïbes (</w:t>
            </w:r>
            <w:r w:rsidR="00CD3558" w:rsidRPr="00A32AF4">
              <w:rPr>
                <w:sz w:val="16"/>
                <w:szCs w:val="16"/>
              </w:rPr>
              <w:t>12 en tout</w:t>
            </w:r>
            <w:r w:rsidRPr="00A32AF4">
              <w:rPr>
                <w:sz w:val="16"/>
                <w:szCs w:val="16"/>
              </w:rPr>
              <w:t>)</w:t>
            </w:r>
          </w:p>
        </w:tc>
        <w:tc>
          <w:tcPr>
            <w:tcW w:w="1975" w:type="dxa"/>
            <w:shd w:val="clear" w:color="000000" w:fill="FFFFFF"/>
            <w:tcMar>
              <w:top w:w="113" w:type="dxa"/>
              <w:bottom w:w="113" w:type="dxa"/>
            </w:tcMar>
            <w:hideMark/>
          </w:tcPr>
          <w:p w:rsidR="00CD1430" w:rsidRPr="00A32AF4" w:rsidRDefault="00CD1430" w:rsidP="00B53790">
            <w:pPr>
              <w:rPr>
                <w:sz w:val="16"/>
                <w:szCs w:val="16"/>
              </w:rPr>
            </w:pPr>
            <w:r w:rsidRPr="00A32AF4">
              <w:rPr>
                <w:sz w:val="16"/>
                <w:szCs w:val="16"/>
              </w:rPr>
              <w:t>Afrique (3</w:t>
            </w:r>
            <w:r w:rsidR="00CD3558" w:rsidRPr="00A32AF4">
              <w:rPr>
                <w:sz w:val="16"/>
                <w:szCs w:val="16"/>
              </w:rPr>
              <w:t> supplémentaires</w:t>
            </w:r>
            <w:proofErr w:type="gramStart"/>
            <w:r w:rsidRPr="00A32AF4">
              <w:rPr>
                <w:sz w:val="16"/>
                <w:szCs w:val="16"/>
              </w:rPr>
              <w:t>)</w:t>
            </w:r>
            <w:proofErr w:type="gramEnd"/>
            <w:r w:rsidRPr="00A32AF4">
              <w:rPr>
                <w:sz w:val="16"/>
                <w:szCs w:val="16"/>
              </w:rPr>
              <w:br/>
              <w:t>Pays arabes (</w:t>
            </w:r>
            <w:r w:rsidR="00CD3558" w:rsidRPr="00A32AF4">
              <w:rPr>
                <w:sz w:val="16"/>
                <w:szCs w:val="16"/>
              </w:rPr>
              <w:t>4 supplémentaires)</w:t>
            </w:r>
            <w:r w:rsidR="00CD3558" w:rsidRPr="00A32AF4">
              <w:rPr>
                <w:sz w:val="16"/>
                <w:szCs w:val="16"/>
              </w:rPr>
              <w:br/>
              <w:t>Asie et Pacifique (4 </w:t>
            </w:r>
            <w:r w:rsidRPr="00A32AF4">
              <w:rPr>
                <w:sz w:val="16"/>
                <w:szCs w:val="16"/>
              </w:rPr>
              <w:t>supplémentaires)</w:t>
            </w:r>
            <w:r w:rsidRPr="00A32AF4">
              <w:rPr>
                <w:sz w:val="16"/>
                <w:szCs w:val="16"/>
              </w:rPr>
              <w:br/>
              <w:t>Amérique latine et</w:t>
            </w:r>
            <w:r w:rsidR="00CD3558" w:rsidRPr="00A32AF4">
              <w:rPr>
                <w:sz w:val="16"/>
                <w:szCs w:val="16"/>
              </w:rPr>
              <w:t> </w:t>
            </w:r>
            <w:r w:rsidRPr="00A32AF4">
              <w:rPr>
                <w:sz w:val="16"/>
                <w:szCs w:val="16"/>
              </w:rPr>
              <w:t>Caraïbes (</w:t>
            </w:r>
            <w:r w:rsidR="00CD3558" w:rsidRPr="00A32AF4">
              <w:rPr>
                <w:sz w:val="16"/>
                <w:szCs w:val="16"/>
              </w:rPr>
              <w:t>5 supplémentaires</w:t>
            </w:r>
            <w:r w:rsidRPr="00A32AF4">
              <w:rPr>
                <w:sz w:val="16"/>
                <w:szCs w:val="16"/>
              </w:rPr>
              <w:t>)</w:t>
            </w:r>
          </w:p>
        </w:tc>
      </w:tr>
      <w:tr w:rsidR="0038294E" w:rsidRPr="00A32AF4" w:rsidTr="00B9341E">
        <w:trPr>
          <w:cantSplit/>
        </w:trPr>
        <w:tc>
          <w:tcPr>
            <w:tcW w:w="2280" w:type="dxa"/>
            <w:shd w:val="clear" w:color="000000" w:fill="FFFFFF"/>
            <w:tcMar>
              <w:top w:w="113" w:type="dxa"/>
              <w:bottom w:w="113" w:type="dxa"/>
            </w:tcMar>
            <w:hideMark/>
          </w:tcPr>
          <w:p w:rsidR="00CD1430" w:rsidRPr="00A32AF4" w:rsidRDefault="00CD1430" w:rsidP="00B53790">
            <w:pPr>
              <w:rPr>
                <w:sz w:val="16"/>
                <w:szCs w:val="16"/>
              </w:rPr>
            </w:pPr>
          </w:p>
        </w:tc>
        <w:tc>
          <w:tcPr>
            <w:tcW w:w="2180" w:type="dxa"/>
            <w:shd w:val="clear" w:color="000000" w:fill="FFFFFF"/>
            <w:tcMar>
              <w:top w:w="113" w:type="dxa"/>
              <w:bottom w:w="113" w:type="dxa"/>
            </w:tcMar>
            <w:hideMark/>
          </w:tcPr>
          <w:p w:rsidR="00CD1430" w:rsidRPr="00A32AF4" w:rsidRDefault="00CD1430" w:rsidP="00B53790">
            <w:pPr>
              <w:rPr>
                <w:sz w:val="16"/>
                <w:szCs w:val="16"/>
              </w:rPr>
            </w:pPr>
            <w:r w:rsidRPr="00A32AF4">
              <w:rPr>
                <w:sz w:val="16"/>
                <w:szCs w:val="16"/>
              </w:rPr>
              <w:t>Nombre de pays ayant adopté des stratégies nationales en matière d</w:t>
            </w:r>
            <w:r w:rsidR="00E2055A" w:rsidRPr="00A32AF4">
              <w:rPr>
                <w:sz w:val="16"/>
                <w:szCs w:val="16"/>
              </w:rPr>
              <w:t>’</w:t>
            </w:r>
            <w:r w:rsidRPr="00A32AF4">
              <w:rPr>
                <w:sz w:val="16"/>
                <w:szCs w:val="16"/>
              </w:rPr>
              <w:t>innovation et de propriété intellectuelle</w:t>
            </w:r>
          </w:p>
        </w:tc>
        <w:tc>
          <w:tcPr>
            <w:tcW w:w="2760" w:type="dxa"/>
            <w:shd w:val="clear" w:color="000000" w:fill="FFFFFF"/>
            <w:tcMar>
              <w:top w:w="113" w:type="dxa"/>
              <w:bottom w:w="113" w:type="dxa"/>
            </w:tcMar>
            <w:hideMark/>
          </w:tcPr>
          <w:p w:rsidR="00CD1430" w:rsidRPr="00A32AF4" w:rsidRDefault="00CD1430" w:rsidP="00B53790">
            <w:pPr>
              <w:rPr>
                <w:sz w:val="16"/>
                <w:szCs w:val="16"/>
              </w:rPr>
            </w:pPr>
            <w:r w:rsidRPr="00A32AF4">
              <w:rPr>
                <w:sz w:val="16"/>
                <w:szCs w:val="16"/>
              </w:rPr>
              <w:t>Afrique (</w:t>
            </w:r>
            <w:r w:rsidR="00CD3558" w:rsidRPr="00A32AF4">
              <w:rPr>
                <w:sz w:val="16"/>
                <w:szCs w:val="16"/>
              </w:rPr>
              <w:t>21 en tout</w:t>
            </w:r>
            <w:proofErr w:type="gramStart"/>
            <w:r w:rsidRPr="00A32AF4">
              <w:rPr>
                <w:sz w:val="16"/>
                <w:szCs w:val="16"/>
              </w:rPr>
              <w:t>)</w:t>
            </w:r>
            <w:proofErr w:type="gramEnd"/>
            <w:r w:rsidRPr="00A32AF4">
              <w:rPr>
                <w:sz w:val="16"/>
                <w:szCs w:val="16"/>
              </w:rPr>
              <w:br/>
              <w:t>Pays arabes (</w:t>
            </w:r>
            <w:r w:rsidR="00CD3558" w:rsidRPr="00A32AF4">
              <w:rPr>
                <w:sz w:val="16"/>
                <w:szCs w:val="16"/>
              </w:rPr>
              <w:t>2 en tout)</w:t>
            </w:r>
            <w:r w:rsidR="00CD3558" w:rsidRPr="00A32AF4">
              <w:rPr>
                <w:sz w:val="16"/>
                <w:szCs w:val="16"/>
              </w:rPr>
              <w:br/>
              <w:t>Asie et Pacifique (8 en tout</w:t>
            </w:r>
            <w:r w:rsidRPr="00A32AF4">
              <w:rPr>
                <w:sz w:val="16"/>
                <w:szCs w:val="16"/>
              </w:rPr>
              <w:t>)</w:t>
            </w:r>
            <w:r w:rsidRPr="00A32AF4">
              <w:rPr>
                <w:sz w:val="16"/>
                <w:szCs w:val="16"/>
              </w:rPr>
              <w:br/>
              <w:t>Amérique latine et Caraïbes (6</w:t>
            </w:r>
            <w:r w:rsidR="00CD3558" w:rsidRPr="00A32AF4">
              <w:rPr>
                <w:sz w:val="16"/>
                <w:szCs w:val="16"/>
              </w:rPr>
              <w:t> en tout</w:t>
            </w:r>
            <w:r w:rsidRPr="00A32AF4">
              <w:rPr>
                <w:sz w:val="16"/>
                <w:szCs w:val="16"/>
              </w:rPr>
              <w:t>)</w:t>
            </w:r>
          </w:p>
        </w:tc>
        <w:tc>
          <w:tcPr>
            <w:tcW w:w="1975" w:type="dxa"/>
            <w:shd w:val="clear" w:color="000000" w:fill="FFFFFF"/>
            <w:tcMar>
              <w:top w:w="113" w:type="dxa"/>
              <w:bottom w:w="113" w:type="dxa"/>
            </w:tcMar>
            <w:hideMark/>
          </w:tcPr>
          <w:p w:rsidR="00CD1430" w:rsidRPr="00A32AF4" w:rsidRDefault="00CD1430" w:rsidP="00B53790">
            <w:pPr>
              <w:rPr>
                <w:sz w:val="16"/>
                <w:szCs w:val="16"/>
              </w:rPr>
            </w:pPr>
            <w:r w:rsidRPr="00A32AF4">
              <w:rPr>
                <w:sz w:val="16"/>
                <w:szCs w:val="16"/>
              </w:rPr>
              <w:t>Afrique (</w:t>
            </w:r>
            <w:r w:rsidR="00CD3558" w:rsidRPr="00A32AF4">
              <w:rPr>
                <w:sz w:val="16"/>
                <w:szCs w:val="16"/>
              </w:rPr>
              <w:t>8 supplémentaires</w:t>
            </w:r>
            <w:proofErr w:type="gramStart"/>
            <w:r w:rsidRPr="00A32AF4">
              <w:rPr>
                <w:sz w:val="16"/>
                <w:szCs w:val="16"/>
              </w:rPr>
              <w:t>)</w:t>
            </w:r>
            <w:proofErr w:type="gramEnd"/>
            <w:r w:rsidRPr="00A32AF4">
              <w:rPr>
                <w:sz w:val="16"/>
                <w:szCs w:val="16"/>
              </w:rPr>
              <w:br/>
              <w:t>Pays arabes (2</w:t>
            </w:r>
            <w:r w:rsidR="00CD3558" w:rsidRPr="00A32AF4">
              <w:rPr>
                <w:sz w:val="16"/>
                <w:szCs w:val="16"/>
              </w:rPr>
              <w:t> </w:t>
            </w:r>
            <w:r w:rsidRPr="00A32AF4">
              <w:rPr>
                <w:sz w:val="16"/>
                <w:szCs w:val="16"/>
              </w:rPr>
              <w:t>supplémentaires)</w:t>
            </w:r>
            <w:r w:rsidRPr="00A32AF4">
              <w:rPr>
                <w:sz w:val="16"/>
                <w:szCs w:val="16"/>
              </w:rPr>
              <w:br/>
              <w:t>Asie et Pacifique (7</w:t>
            </w:r>
            <w:r w:rsidR="00CD3558" w:rsidRPr="00A32AF4">
              <w:rPr>
                <w:sz w:val="16"/>
                <w:szCs w:val="16"/>
              </w:rPr>
              <w:t> </w:t>
            </w:r>
            <w:r w:rsidRPr="00A32AF4">
              <w:rPr>
                <w:sz w:val="16"/>
                <w:szCs w:val="16"/>
              </w:rPr>
              <w:t>supplémentaires)</w:t>
            </w:r>
            <w:r w:rsidRPr="00A32AF4">
              <w:rPr>
                <w:sz w:val="16"/>
                <w:szCs w:val="16"/>
              </w:rPr>
              <w:br/>
              <w:t>Amérique latine et Caraïbes (</w:t>
            </w:r>
            <w:r w:rsidR="00CD3558" w:rsidRPr="00A32AF4">
              <w:rPr>
                <w:sz w:val="16"/>
                <w:szCs w:val="16"/>
              </w:rPr>
              <w:t>2 supplémentaires</w:t>
            </w:r>
            <w:r w:rsidRPr="00A32AF4">
              <w:rPr>
                <w:sz w:val="16"/>
                <w:szCs w:val="16"/>
              </w:rPr>
              <w:t>)</w:t>
            </w:r>
          </w:p>
        </w:tc>
      </w:tr>
      <w:tr w:rsidR="0038294E" w:rsidRPr="00A32AF4" w:rsidTr="00B9341E">
        <w:trPr>
          <w:cantSplit/>
        </w:trPr>
        <w:tc>
          <w:tcPr>
            <w:tcW w:w="2280" w:type="dxa"/>
            <w:shd w:val="clear" w:color="000000" w:fill="FFFFFF"/>
            <w:tcMar>
              <w:top w:w="113" w:type="dxa"/>
              <w:bottom w:w="113" w:type="dxa"/>
            </w:tcMar>
            <w:hideMark/>
          </w:tcPr>
          <w:p w:rsidR="00CD1430" w:rsidRPr="00A32AF4" w:rsidRDefault="00CD1430" w:rsidP="00B53790">
            <w:pPr>
              <w:rPr>
                <w:sz w:val="16"/>
                <w:szCs w:val="16"/>
              </w:rPr>
            </w:pPr>
          </w:p>
        </w:tc>
        <w:tc>
          <w:tcPr>
            <w:tcW w:w="2180" w:type="dxa"/>
            <w:shd w:val="clear" w:color="000000" w:fill="FFFFFF"/>
            <w:tcMar>
              <w:top w:w="113" w:type="dxa"/>
              <w:bottom w:w="113" w:type="dxa"/>
            </w:tcMar>
            <w:hideMark/>
          </w:tcPr>
          <w:p w:rsidR="00CD1430" w:rsidRPr="00A32AF4" w:rsidRDefault="00CD1430" w:rsidP="00B53790">
            <w:pPr>
              <w:rPr>
                <w:sz w:val="16"/>
                <w:szCs w:val="16"/>
              </w:rPr>
            </w:pPr>
            <w:r w:rsidRPr="00A32AF4">
              <w:rPr>
                <w:sz w:val="16"/>
                <w:szCs w:val="16"/>
              </w:rPr>
              <w:t>Nombre de pays en train de mettre en œuvre des stratégies en matière d</w:t>
            </w:r>
            <w:r w:rsidR="00E2055A" w:rsidRPr="00A32AF4">
              <w:rPr>
                <w:sz w:val="16"/>
                <w:szCs w:val="16"/>
              </w:rPr>
              <w:t>’</w:t>
            </w:r>
            <w:r w:rsidRPr="00A32AF4">
              <w:rPr>
                <w:sz w:val="16"/>
                <w:szCs w:val="16"/>
              </w:rPr>
              <w:t>innovation et de propriété intellectuelle et des plans de développement relatifs à la propriété intellectuelle à l</w:t>
            </w:r>
            <w:r w:rsidR="00E2055A" w:rsidRPr="00A32AF4">
              <w:rPr>
                <w:sz w:val="16"/>
                <w:szCs w:val="16"/>
              </w:rPr>
              <w:t>’</w:t>
            </w:r>
            <w:r w:rsidRPr="00A32AF4">
              <w:rPr>
                <w:sz w:val="16"/>
                <w:szCs w:val="16"/>
              </w:rPr>
              <w:t>échelle nationale</w:t>
            </w:r>
          </w:p>
        </w:tc>
        <w:tc>
          <w:tcPr>
            <w:tcW w:w="2760" w:type="dxa"/>
            <w:shd w:val="clear" w:color="000000" w:fill="FFFFFF"/>
            <w:tcMar>
              <w:top w:w="113" w:type="dxa"/>
              <w:bottom w:w="113" w:type="dxa"/>
            </w:tcMar>
            <w:hideMark/>
          </w:tcPr>
          <w:p w:rsidR="00CD1430" w:rsidRPr="00A32AF4" w:rsidRDefault="00CA0348" w:rsidP="00B53790">
            <w:pPr>
              <w:rPr>
                <w:sz w:val="16"/>
                <w:szCs w:val="16"/>
              </w:rPr>
            </w:pPr>
            <w:r w:rsidRPr="00A32AF4">
              <w:rPr>
                <w:sz w:val="16"/>
                <w:szCs w:val="16"/>
              </w:rPr>
              <w:t>Afrique (21 en tout</w:t>
            </w:r>
            <w:proofErr w:type="gramStart"/>
            <w:r w:rsidR="00CD1430" w:rsidRPr="00A32AF4">
              <w:rPr>
                <w:sz w:val="16"/>
                <w:szCs w:val="16"/>
              </w:rPr>
              <w:t>)</w:t>
            </w:r>
            <w:proofErr w:type="gramEnd"/>
            <w:r w:rsidR="00CD1430" w:rsidRPr="00A32AF4">
              <w:rPr>
                <w:sz w:val="16"/>
                <w:szCs w:val="16"/>
              </w:rPr>
              <w:br/>
              <w:t>Pays arabes (2</w:t>
            </w:r>
            <w:r w:rsidRPr="00A32AF4">
              <w:rPr>
                <w:sz w:val="16"/>
                <w:szCs w:val="16"/>
              </w:rPr>
              <w:t xml:space="preserve"> en tout</w:t>
            </w:r>
            <w:r w:rsidR="00CD1430" w:rsidRPr="00A32AF4">
              <w:rPr>
                <w:sz w:val="16"/>
                <w:szCs w:val="16"/>
              </w:rPr>
              <w:t>)</w:t>
            </w:r>
            <w:r w:rsidR="00CD1430" w:rsidRPr="00A32AF4">
              <w:rPr>
                <w:sz w:val="16"/>
                <w:szCs w:val="16"/>
              </w:rPr>
              <w:br/>
              <w:t>Asie et Pacifique (4</w:t>
            </w:r>
            <w:r w:rsidRPr="00A32AF4">
              <w:rPr>
                <w:sz w:val="16"/>
                <w:szCs w:val="16"/>
              </w:rPr>
              <w:t xml:space="preserve"> en tout</w:t>
            </w:r>
            <w:r w:rsidR="00CD1430" w:rsidRPr="00A32AF4">
              <w:rPr>
                <w:sz w:val="16"/>
                <w:szCs w:val="16"/>
              </w:rPr>
              <w:t>)</w:t>
            </w:r>
            <w:r w:rsidR="00CD1430" w:rsidRPr="00A32AF4">
              <w:rPr>
                <w:sz w:val="16"/>
                <w:szCs w:val="16"/>
              </w:rPr>
              <w:br/>
              <w:t>Amérique latine et Caraïbes (6</w:t>
            </w:r>
            <w:r w:rsidRPr="00A32AF4">
              <w:rPr>
                <w:sz w:val="16"/>
                <w:szCs w:val="16"/>
              </w:rPr>
              <w:t> en tout</w:t>
            </w:r>
            <w:r w:rsidR="00CD1430" w:rsidRPr="00A32AF4">
              <w:rPr>
                <w:sz w:val="16"/>
                <w:szCs w:val="16"/>
              </w:rPr>
              <w:t>)</w:t>
            </w:r>
          </w:p>
        </w:tc>
        <w:tc>
          <w:tcPr>
            <w:tcW w:w="1975" w:type="dxa"/>
            <w:shd w:val="clear" w:color="000000" w:fill="FFFFFF"/>
            <w:tcMar>
              <w:top w:w="113" w:type="dxa"/>
              <w:bottom w:w="113" w:type="dxa"/>
            </w:tcMar>
            <w:hideMark/>
          </w:tcPr>
          <w:p w:rsidR="00CD1430" w:rsidRPr="00A32AF4" w:rsidRDefault="00CD1430" w:rsidP="00B53790">
            <w:pPr>
              <w:rPr>
                <w:sz w:val="16"/>
                <w:szCs w:val="16"/>
              </w:rPr>
            </w:pPr>
            <w:r w:rsidRPr="00A32AF4">
              <w:rPr>
                <w:sz w:val="16"/>
                <w:szCs w:val="16"/>
              </w:rPr>
              <w:t>Afrique (</w:t>
            </w:r>
            <w:r w:rsidR="00CA0348" w:rsidRPr="00A32AF4">
              <w:rPr>
                <w:sz w:val="16"/>
                <w:szCs w:val="16"/>
              </w:rPr>
              <w:t>8 supplémentaires</w:t>
            </w:r>
            <w:proofErr w:type="gramStart"/>
            <w:r w:rsidRPr="00A32AF4">
              <w:rPr>
                <w:sz w:val="16"/>
                <w:szCs w:val="16"/>
              </w:rPr>
              <w:t>)</w:t>
            </w:r>
            <w:proofErr w:type="gramEnd"/>
            <w:r w:rsidRPr="00A32AF4">
              <w:rPr>
                <w:sz w:val="16"/>
                <w:szCs w:val="16"/>
              </w:rPr>
              <w:br/>
              <w:t>Pays arabes (</w:t>
            </w:r>
            <w:r w:rsidR="00CA0348" w:rsidRPr="00A32AF4">
              <w:rPr>
                <w:sz w:val="16"/>
                <w:szCs w:val="16"/>
              </w:rPr>
              <w:t>2 supplémentaires</w:t>
            </w:r>
            <w:r w:rsidRPr="00A32AF4">
              <w:rPr>
                <w:sz w:val="16"/>
                <w:szCs w:val="16"/>
              </w:rPr>
              <w:t>)</w:t>
            </w:r>
            <w:r w:rsidRPr="00A32AF4">
              <w:rPr>
                <w:sz w:val="16"/>
                <w:szCs w:val="16"/>
              </w:rPr>
              <w:br/>
              <w:t>Asie et Pacifique (7</w:t>
            </w:r>
            <w:r w:rsidR="00CA0348" w:rsidRPr="00A32AF4">
              <w:rPr>
                <w:sz w:val="16"/>
                <w:szCs w:val="16"/>
              </w:rPr>
              <w:t> </w:t>
            </w:r>
            <w:r w:rsidRPr="00A32AF4">
              <w:rPr>
                <w:sz w:val="16"/>
                <w:szCs w:val="16"/>
              </w:rPr>
              <w:t>supplémentaires)</w:t>
            </w:r>
            <w:r w:rsidRPr="00A32AF4">
              <w:rPr>
                <w:sz w:val="16"/>
                <w:szCs w:val="16"/>
              </w:rPr>
              <w:br/>
              <w:t>Amérique latine et Caraïbes (</w:t>
            </w:r>
            <w:r w:rsidR="00CA0348" w:rsidRPr="00A32AF4">
              <w:rPr>
                <w:sz w:val="16"/>
                <w:szCs w:val="16"/>
              </w:rPr>
              <w:t>6 supplémentaires</w:t>
            </w:r>
            <w:r w:rsidRPr="00A32AF4">
              <w:rPr>
                <w:sz w:val="16"/>
                <w:szCs w:val="16"/>
              </w:rPr>
              <w:t>)</w:t>
            </w:r>
          </w:p>
        </w:tc>
      </w:tr>
      <w:tr w:rsidR="0038294E" w:rsidRPr="00A32AF4" w:rsidTr="00B9341E">
        <w:trPr>
          <w:cantSplit/>
        </w:trPr>
        <w:tc>
          <w:tcPr>
            <w:tcW w:w="2280" w:type="dxa"/>
            <w:shd w:val="clear" w:color="000000" w:fill="FFFFFF"/>
            <w:tcMar>
              <w:top w:w="113" w:type="dxa"/>
              <w:bottom w:w="113" w:type="dxa"/>
            </w:tcMar>
            <w:hideMark/>
          </w:tcPr>
          <w:p w:rsidR="00CD1430" w:rsidRPr="00A32AF4" w:rsidRDefault="00CD1430" w:rsidP="00B53790">
            <w:pPr>
              <w:rPr>
                <w:sz w:val="16"/>
                <w:szCs w:val="16"/>
              </w:rPr>
            </w:pPr>
            <w:r w:rsidRPr="00A32AF4">
              <w:rPr>
                <w:sz w:val="16"/>
                <w:szCs w:val="16"/>
              </w:rPr>
              <w:t xml:space="preserve">III.2 </w:t>
            </w:r>
            <w:r w:rsidR="00B32125" w:rsidRPr="00A32AF4">
              <w:rPr>
                <w:sz w:val="16"/>
                <w:szCs w:val="16"/>
              </w:rPr>
              <w:t>Mise en valeur des ressources humaines pour répondre aux diverses exigences en matière d</w:t>
            </w:r>
            <w:r w:rsidR="00E2055A" w:rsidRPr="00A32AF4">
              <w:rPr>
                <w:sz w:val="16"/>
                <w:szCs w:val="16"/>
              </w:rPr>
              <w:t>’</w:t>
            </w:r>
            <w:r w:rsidR="00B32125" w:rsidRPr="00A32AF4">
              <w:rPr>
                <w:sz w:val="16"/>
                <w:szCs w:val="16"/>
              </w:rPr>
              <w:t>utilisation efficace de la propriété intellectuelle au service du développement dans les pays en développement,</w:t>
            </w:r>
            <w:r w:rsidR="00E2055A" w:rsidRPr="00A32AF4">
              <w:rPr>
                <w:sz w:val="16"/>
                <w:szCs w:val="16"/>
              </w:rPr>
              <w:t xml:space="preserve"> les PMA</w:t>
            </w:r>
            <w:r w:rsidR="00B32125" w:rsidRPr="00A32AF4">
              <w:rPr>
                <w:sz w:val="16"/>
                <w:szCs w:val="16"/>
              </w:rPr>
              <w:t xml:space="preserve"> et les pays en transition</w:t>
            </w:r>
          </w:p>
        </w:tc>
        <w:tc>
          <w:tcPr>
            <w:tcW w:w="2180" w:type="dxa"/>
            <w:shd w:val="clear" w:color="000000" w:fill="FFFFFF"/>
            <w:tcMar>
              <w:top w:w="113" w:type="dxa"/>
              <w:bottom w:w="113" w:type="dxa"/>
            </w:tcMar>
            <w:hideMark/>
          </w:tcPr>
          <w:p w:rsidR="00CD1430" w:rsidRPr="00A32AF4" w:rsidRDefault="00CD1430" w:rsidP="00B53790">
            <w:pPr>
              <w:rPr>
                <w:sz w:val="16"/>
                <w:szCs w:val="16"/>
              </w:rPr>
            </w:pPr>
            <w:r w:rsidRPr="00A32AF4">
              <w:rPr>
                <w:sz w:val="16"/>
                <w:szCs w:val="16"/>
              </w:rPr>
              <w:t>Pourcentage de participants à des manifestations de l</w:t>
            </w:r>
            <w:r w:rsidR="00E2055A" w:rsidRPr="00A32AF4">
              <w:rPr>
                <w:sz w:val="16"/>
                <w:szCs w:val="16"/>
              </w:rPr>
              <w:t>’</w:t>
            </w:r>
            <w:r w:rsidRPr="00A32AF4">
              <w:rPr>
                <w:sz w:val="16"/>
                <w:szCs w:val="16"/>
              </w:rPr>
              <w:t xml:space="preserve">OMPI qui font part de leur satisfaction </w:t>
            </w:r>
            <w:r w:rsidR="00E2055A" w:rsidRPr="00A32AF4">
              <w:rPr>
                <w:sz w:val="16"/>
                <w:szCs w:val="16"/>
              </w:rPr>
              <w:t>à l’égard</w:t>
            </w:r>
            <w:r w:rsidRPr="00A32AF4">
              <w:rPr>
                <w:sz w:val="16"/>
                <w:szCs w:val="16"/>
              </w:rPr>
              <w:t xml:space="preserve"> du contenu et de l</w:t>
            </w:r>
            <w:r w:rsidR="00E2055A" w:rsidRPr="00A32AF4">
              <w:rPr>
                <w:sz w:val="16"/>
                <w:szCs w:val="16"/>
              </w:rPr>
              <w:t>’</w:t>
            </w:r>
            <w:r w:rsidRPr="00A32AF4">
              <w:rPr>
                <w:sz w:val="16"/>
                <w:szCs w:val="16"/>
              </w:rPr>
              <w:t>organisation de ces manifestations</w:t>
            </w:r>
          </w:p>
        </w:tc>
        <w:tc>
          <w:tcPr>
            <w:tcW w:w="2760" w:type="dxa"/>
            <w:shd w:val="clear" w:color="000000" w:fill="FFFFFF"/>
            <w:tcMar>
              <w:top w:w="113" w:type="dxa"/>
              <w:bottom w:w="113" w:type="dxa"/>
            </w:tcMar>
            <w:hideMark/>
          </w:tcPr>
          <w:p w:rsidR="00CD1430" w:rsidRPr="00A32AF4" w:rsidRDefault="00CD1430" w:rsidP="00B53790">
            <w:pPr>
              <w:rPr>
                <w:sz w:val="16"/>
                <w:szCs w:val="16"/>
              </w:rPr>
            </w:pPr>
            <w:r w:rsidRPr="00A32AF4">
              <w:rPr>
                <w:sz w:val="16"/>
                <w:szCs w:val="16"/>
              </w:rPr>
              <w:t>Afrique (70%)</w:t>
            </w:r>
            <w:r w:rsidRPr="00A32AF4">
              <w:rPr>
                <w:sz w:val="16"/>
                <w:szCs w:val="16"/>
              </w:rPr>
              <w:br/>
              <w:t>Pays arabes (</w:t>
            </w:r>
            <w:r w:rsidR="006A3066" w:rsidRPr="00A32AF4">
              <w:rPr>
                <w:rFonts w:cs="Arial"/>
                <w:color w:val="000000"/>
                <w:sz w:val="16"/>
                <w:szCs w:val="16"/>
              </w:rPr>
              <w:t>s</w:t>
            </w:r>
            <w:r w:rsidR="00D90601" w:rsidRPr="00A32AF4">
              <w:rPr>
                <w:rFonts w:cs="Arial"/>
                <w:color w:val="000000"/>
                <w:sz w:val="16"/>
                <w:szCs w:val="16"/>
              </w:rPr>
              <w:t>.o.</w:t>
            </w:r>
            <w:r w:rsidR="006A3066" w:rsidRPr="00A32AF4">
              <w:rPr>
                <w:rFonts w:cs="Arial"/>
                <w:color w:val="000000"/>
                <w:sz w:val="16"/>
                <w:szCs w:val="16"/>
              </w:rPr>
              <w:t xml:space="preserve"> en</w:t>
            </w:r>
            <w:r w:rsidR="00FD43E3" w:rsidRPr="00A32AF4">
              <w:rPr>
                <w:rFonts w:cs="Arial"/>
                <w:color w:val="000000"/>
                <w:sz w:val="16"/>
                <w:szCs w:val="16"/>
              </w:rPr>
              <w:t> </w:t>
            </w:r>
            <w:proofErr w:type="gramStart"/>
            <w:r w:rsidR="00CA0348" w:rsidRPr="00A32AF4">
              <w:rPr>
                <w:rFonts w:cs="Arial"/>
                <w:color w:val="000000"/>
                <w:sz w:val="16"/>
                <w:szCs w:val="16"/>
              </w:rPr>
              <w:t>2014;</w:t>
            </w:r>
            <w:proofErr w:type="gramEnd"/>
            <w:r w:rsidR="00CA0348" w:rsidRPr="00A32AF4">
              <w:rPr>
                <w:rFonts w:cs="Arial"/>
                <w:color w:val="000000"/>
                <w:sz w:val="16"/>
                <w:szCs w:val="16"/>
              </w:rPr>
              <w:t xml:space="preserve"> </w:t>
            </w:r>
            <w:r w:rsidR="00FD43E3" w:rsidRPr="00A32AF4">
              <w:rPr>
                <w:rFonts w:cs="Arial"/>
                <w:color w:val="000000"/>
                <w:sz w:val="16"/>
                <w:szCs w:val="16"/>
              </w:rPr>
              <w:t xml:space="preserve"> </w:t>
            </w:r>
            <w:r w:rsidR="00CA0348" w:rsidRPr="00A32AF4">
              <w:rPr>
                <w:rFonts w:cs="Arial"/>
                <w:color w:val="000000"/>
                <w:sz w:val="16"/>
                <w:szCs w:val="16"/>
              </w:rPr>
              <w:t>syst</w:t>
            </w:r>
            <w:r w:rsidR="006A3066" w:rsidRPr="00A32AF4">
              <w:rPr>
                <w:rFonts w:cs="Arial"/>
                <w:color w:val="000000"/>
                <w:sz w:val="16"/>
                <w:szCs w:val="16"/>
              </w:rPr>
              <w:t>è</w:t>
            </w:r>
            <w:r w:rsidR="00CA0348" w:rsidRPr="00A32AF4">
              <w:rPr>
                <w:rFonts w:cs="Arial"/>
                <w:color w:val="000000"/>
                <w:sz w:val="16"/>
                <w:szCs w:val="16"/>
              </w:rPr>
              <w:t>m</w:t>
            </w:r>
            <w:r w:rsidR="006A3066" w:rsidRPr="00A32AF4">
              <w:rPr>
                <w:rFonts w:cs="Arial"/>
                <w:color w:val="000000"/>
                <w:sz w:val="16"/>
                <w:szCs w:val="16"/>
              </w:rPr>
              <w:t>e à mettre en œuvre en</w:t>
            </w:r>
            <w:r w:rsidR="00FD43E3" w:rsidRPr="00A32AF4">
              <w:rPr>
                <w:rFonts w:cs="Arial"/>
                <w:color w:val="000000"/>
                <w:sz w:val="16"/>
                <w:szCs w:val="16"/>
              </w:rPr>
              <w:t> </w:t>
            </w:r>
            <w:r w:rsidR="00CA0348" w:rsidRPr="00A32AF4">
              <w:rPr>
                <w:rFonts w:cs="Arial"/>
                <w:color w:val="000000"/>
                <w:sz w:val="16"/>
                <w:szCs w:val="16"/>
              </w:rPr>
              <w:t>2015</w:t>
            </w:r>
            <w:r w:rsidRPr="00A32AF4">
              <w:rPr>
                <w:sz w:val="16"/>
                <w:szCs w:val="16"/>
              </w:rPr>
              <w:t>)</w:t>
            </w:r>
            <w:r w:rsidRPr="00A32AF4">
              <w:rPr>
                <w:sz w:val="16"/>
                <w:szCs w:val="16"/>
              </w:rPr>
              <w:br/>
              <w:t>Asie et Pacifique (</w:t>
            </w:r>
            <w:r w:rsidR="00CA0348" w:rsidRPr="00A32AF4">
              <w:rPr>
                <w:sz w:val="16"/>
                <w:szCs w:val="16"/>
              </w:rPr>
              <w:t>92</w:t>
            </w:r>
            <w:r w:rsidRPr="00A32AF4">
              <w:rPr>
                <w:sz w:val="16"/>
                <w:szCs w:val="16"/>
              </w:rPr>
              <w:t>%)</w:t>
            </w:r>
            <w:r w:rsidRPr="00A32AF4">
              <w:rPr>
                <w:sz w:val="16"/>
                <w:szCs w:val="16"/>
              </w:rPr>
              <w:br/>
              <w:t>Amérique latine et Caraïbes (</w:t>
            </w:r>
            <w:r w:rsidR="00752A62" w:rsidRPr="00A32AF4">
              <w:rPr>
                <w:rFonts w:cs="Arial"/>
                <w:color w:val="000000"/>
                <w:sz w:val="16"/>
                <w:szCs w:val="16"/>
              </w:rPr>
              <w:t>s.o.</w:t>
            </w:r>
            <w:r w:rsidR="006A3066" w:rsidRPr="00A32AF4">
              <w:rPr>
                <w:rFonts w:cs="Arial"/>
                <w:color w:val="000000"/>
                <w:sz w:val="16"/>
                <w:szCs w:val="16"/>
              </w:rPr>
              <w:t xml:space="preserve"> en</w:t>
            </w:r>
            <w:r w:rsidR="00FD43E3" w:rsidRPr="00A32AF4">
              <w:rPr>
                <w:rFonts w:cs="Arial"/>
                <w:color w:val="000000"/>
                <w:sz w:val="16"/>
                <w:szCs w:val="16"/>
              </w:rPr>
              <w:t> </w:t>
            </w:r>
            <w:proofErr w:type="gramStart"/>
            <w:r w:rsidR="006A3066" w:rsidRPr="00A32AF4">
              <w:rPr>
                <w:rFonts w:cs="Arial"/>
                <w:color w:val="000000"/>
                <w:sz w:val="16"/>
                <w:szCs w:val="16"/>
              </w:rPr>
              <w:t>2014;</w:t>
            </w:r>
            <w:proofErr w:type="gramEnd"/>
            <w:r w:rsidR="006A3066" w:rsidRPr="00A32AF4">
              <w:rPr>
                <w:rFonts w:cs="Arial"/>
                <w:color w:val="000000"/>
                <w:sz w:val="16"/>
                <w:szCs w:val="16"/>
              </w:rPr>
              <w:t xml:space="preserve"> </w:t>
            </w:r>
            <w:r w:rsidR="00FD43E3" w:rsidRPr="00A32AF4">
              <w:rPr>
                <w:rFonts w:cs="Arial"/>
                <w:color w:val="000000"/>
                <w:sz w:val="16"/>
                <w:szCs w:val="16"/>
              </w:rPr>
              <w:t xml:space="preserve"> </w:t>
            </w:r>
            <w:r w:rsidR="006A3066" w:rsidRPr="00A32AF4">
              <w:rPr>
                <w:rFonts w:cs="Arial"/>
                <w:color w:val="000000"/>
                <w:sz w:val="16"/>
                <w:szCs w:val="16"/>
              </w:rPr>
              <w:t>système à mettre en œuvre en</w:t>
            </w:r>
            <w:r w:rsidR="00FD43E3" w:rsidRPr="00A32AF4">
              <w:rPr>
                <w:rFonts w:cs="Arial"/>
                <w:color w:val="000000"/>
                <w:sz w:val="16"/>
                <w:szCs w:val="16"/>
              </w:rPr>
              <w:t> </w:t>
            </w:r>
            <w:r w:rsidR="006A3066" w:rsidRPr="00A32AF4">
              <w:rPr>
                <w:rFonts w:cs="Arial"/>
                <w:color w:val="000000"/>
                <w:sz w:val="16"/>
                <w:szCs w:val="16"/>
              </w:rPr>
              <w:t>2015</w:t>
            </w:r>
            <w:r w:rsidRPr="00A32AF4">
              <w:rPr>
                <w:sz w:val="16"/>
                <w:szCs w:val="16"/>
              </w:rPr>
              <w:t>)</w:t>
            </w:r>
            <w:r w:rsidRPr="00A32AF4">
              <w:rPr>
                <w:sz w:val="16"/>
                <w:szCs w:val="16"/>
              </w:rPr>
              <w:br/>
              <w:t>PMA (</w:t>
            </w:r>
            <w:r w:rsidR="00CA0348" w:rsidRPr="00A32AF4">
              <w:rPr>
                <w:sz w:val="16"/>
                <w:szCs w:val="16"/>
              </w:rPr>
              <w:t>90</w:t>
            </w:r>
            <w:r w:rsidRPr="00A32AF4">
              <w:rPr>
                <w:sz w:val="16"/>
                <w:szCs w:val="16"/>
              </w:rPr>
              <w:t>%)</w:t>
            </w:r>
          </w:p>
        </w:tc>
        <w:tc>
          <w:tcPr>
            <w:tcW w:w="1975" w:type="dxa"/>
            <w:shd w:val="clear" w:color="000000" w:fill="FFFFFF"/>
            <w:tcMar>
              <w:top w:w="113" w:type="dxa"/>
              <w:bottom w:w="113" w:type="dxa"/>
            </w:tcMar>
            <w:hideMark/>
          </w:tcPr>
          <w:p w:rsidR="00CD1430" w:rsidRPr="00A32AF4" w:rsidRDefault="00CD1430" w:rsidP="00B53790">
            <w:pPr>
              <w:rPr>
                <w:sz w:val="16"/>
                <w:szCs w:val="16"/>
              </w:rPr>
            </w:pPr>
            <w:r w:rsidRPr="00A32AF4">
              <w:rPr>
                <w:sz w:val="16"/>
                <w:szCs w:val="16"/>
              </w:rPr>
              <w:t>Afrique (70%)</w:t>
            </w:r>
            <w:r w:rsidRPr="00A32AF4">
              <w:rPr>
                <w:sz w:val="16"/>
                <w:szCs w:val="16"/>
              </w:rPr>
              <w:br/>
              <w:t>Pays arabes (70%)</w:t>
            </w:r>
            <w:r w:rsidRPr="00A32AF4">
              <w:rPr>
                <w:sz w:val="16"/>
                <w:szCs w:val="16"/>
              </w:rPr>
              <w:br/>
              <w:t>Asie et Pacifique (70%)</w:t>
            </w:r>
            <w:r w:rsidRPr="00A32AF4">
              <w:rPr>
                <w:sz w:val="16"/>
                <w:szCs w:val="16"/>
              </w:rPr>
              <w:br/>
              <w:t>Amérique latine et Caraïbes (85%)</w:t>
            </w:r>
            <w:r w:rsidRPr="00A32AF4">
              <w:rPr>
                <w:sz w:val="16"/>
                <w:szCs w:val="16"/>
              </w:rPr>
              <w:br/>
              <w:t>PMA (70%)</w:t>
            </w:r>
          </w:p>
        </w:tc>
      </w:tr>
      <w:tr w:rsidR="0038294E" w:rsidRPr="00A32AF4" w:rsidTr="00B9341E">
        <w:trPr>
          <w:cantSplit/>
        </w:trPr>
        <w:tc>
          <w:tcPr>
            <w:tcW w:w="2280" w:type="dxa"/>
            <w:shd w:val="clear" w:color="000000" w:fill="FFFFFF"/>
            <w:tcMar>
              <w:top w:w="113" w:type="dxa"/>
              <w:bottom w:w="113" w:type="dxa"/>
            </w:tcMar>
            <w:hideMark/>
          </w:tcPr>
          <w:p w:rsidR="00CD1430" w:rsidRPr="00A32AF4" w:rsidRDefault="00CD1430" w:rsidP="00B53790">
            <w:pPr>
              <w:rPr>
                <w:sz w:val="16"/>
                <w:szCs w:val="16"/>
              </w:rPr>
            </w:pPr>
          </w:p>
        </w:tc>
        <w:tc>
          <w:tcPr>
            <w:tcW w:w="2180" w:type="dxa"/>
            <w:shd w:val="clear" w:color="000000" w:fill="FFFFFF"/>
            <w:tcMar>
              <w:top w:w="113" w:type="dxa"/>
              <w:bottom w:w="113" w:type="dxa"/>
            </w:tcMar>
            <w:hideMark/>
          </w:tcPr>
          <w:p w:rsidR="00CD1430" w:rsidRPr="00A32AF4" w:rsidRDefault="00CD1430" w:rsidP="00B53790">
            <w:pPr>
              <w:rPr>
                <w:sz w:val="16"/>
                <w:szCs w:val="16"/>
              </w:rPr>
            </w:pPr>
            <w:r w:rsidRPr="00A32AF4">
              <w:rPr>
                <w:sz w:val="16"/>
                <w:szCs w:val="16"/>
              </w:rPr>
              <w:t>Pourcentage de participants à des ateliers de l</w:t>
            </w:r>
            <w:r w:rsidR="00E2055A" w:rsidRPr="00A32AF4">
              <w:rPr>
                <w:sz w:val="16"/>
                <w:szCs w:val="16"/>
              </w:rPr>
              <w:t>’</w:t>
            </w:r>
            <w:r w:rsidRPr="00A32AF4">
              <w:rPr>
                <w:sz w:val="16"/>
                <w:szCs w:val="16"/>
              </w:rPr>
              <w:t>OMPI qui mettent en pratique, dans le cadre de leur travail ou de leur entreprise, les compétences acquises</w:t>
            </w:r>
          </w:p>
        </w:tc>
        <w:tc>
          <w:tcPr>
            <w:tcW w:w="2760" w:type="dxa"/>
            <w:shd w:val="clear" w:color="000000" w:fill="FFFFFF"/>
            <w:tcMar>
              <w:top w:w="113" w:type="dxa"/>
              <w:bottom w:w="113" w:type="dxa"/>
            </w:tcMar>
            <w:hideMark/>
          </w:tcPr>
          <w:p w:rsidR="00F93B76" w:rsidRPr="00A32AF4" w:rsidRDefault="00CD1430" w:rsidP="00B53790">
            <w:pPr>
              <w:rPr>
                <w:sz w:val="16"/>
                <w:szCs w:val="16"/>
              </w:rPr>
            </w:pPr>
            <w:r w:rsidRPr="00A32AF4">
              <w:rPr>
                <w:sz w:val="16"/>
                <w:szCs w:val="16"/>
              </w:rPr>
              <w:t>Afrique (70%)</w:t>
            </w:r>
            <w:r w:rsidRPr="00A32AF4">
              <w:rPr>
                <w:sz w:val="16"/>
                <w:szCs w:val="16"/>
              </w:rPr>
              <w:br/>
              <w:t>Pays arabes (</w:t>
            </w:r>
            <w:r w:rsidR="006A3066" w:rsidRPr="00A32AF4">
              <w:rPr>
                <w:rFonts w:cs="Arial"/>
                <w:color w:val="000000"/>
                <w:sz w:val="16"/>
                <w:szCs w:val="16"/>
              </w:rPr>
              <w:t>s</w:t>
            </w:r>
            <w:r w:rsidR="00D90601" w:rsidRPr="00A32AF4">
              <w:rPr>
                <w:rFonts w:cs="Arial"/>
                <w:color w:val="000000"/>
                <w:sz w:val="16"/>
                <w:szCs w:val="16"/>
              </w:rPr>
              <w:t>.o.</w:t>
            </w:r>
            <w:r w:rsidR="006A3066" w:rsidRPr="00A32AF4">
              <w:rPr>
                <w:rFonts w:cs="Arial"/>
                <w:color w:val="000000"/>
                <w:sz w:val="16"/>
                <w:szCs w:val="16"/>
              </w:rPr>
              <w:t xml:space="preserve"> en</w:t>
            </w:r>
            <w:r w:rsidR="00FD43E3" w:rsidRPr="00A32AF4">
              <w:rPr>
                <w:rFonts w:cs="Arial"/>
                <w:color w:val="000000"/>
                <w:sz w:val="16"/>
                <w:szCs w:val="16"/>
              </w:rPr>
              <w:t> </w:t>
            </w:r>
            <w:proofErr w:type="gramStart"/>
            <w:r w:rsidR="006A3066" w:rsidRPr="00A32AF4">
              <w:rPr>
                <w:rFonts w:cs="Arial"/>
                <w:color w:val="000000"/>
                <w:sz w:val="16"/>
                <w:szCs w:val="16"/>
              </w:rPr>
              <w:t>2014;</w:t>
            </w:r>
            <w:proofErr w:type="gramEnd"/>
            <w:r w:rsidR="006A3066" w:rsidRPr="00A32AF4">
              <w:rPr>
                <w:rFonts w:cs="Arial"/>
                <w:color w:val="000000"/>
                <w:sz w:val="16"/>
                <w:szCs w:val="16"/>
              </w:rPr>
              <w:t xml:space="preserve"> </w:t>
            </w:r>
            <w:r w:rsidR="00FD43E3" w:rsidRPr="00A32AF4">
              <w:rPr>
                <w:rFonts w:cs="Arial"/>
                <w:color w:val="000000"/>
                <w:sz w:val="16"/>
                <w:szCs w:val="16"/>
              </w:rPr>
              <w:t xml:space="preserve"> </w:t>
            </w:r>
            <w:r w:rsidR="006A3066" w:rsidRPr="00A32AF4">
              <w:rPr>
                <w:rFonts w:cs="Arial"/>
                <w:color w:val="000000"/>
                <w:sz w:val="16"/>
                <w:szCs w:val="16"/>
              </w:rPr>
              <w:t>système à mettre en œuvre en</w:t>
            </w:r>
            <w:r w:rsidR="00FD43E3" w:rsidRPr="00A32AF4">
              <w:rPr>
                <w:rFonts w:cs="Arial"/>
                <w:color w:val="000000"/>
                <w:sz w:val="16"/>
                <w:szCs w:val="16"/>
              </w:rPr>
              <w:t> </w:t>
            </w:r>
            <w:r w:rsidR="006A3066" w:rsidRPr="00A32AF4">
              <w:rPr>
                <w:rFonts w:cs="Arial"/>
                <w:color w:val="000000"/>
                <w:sz w:val="16"/>
                <w:szCs w:val="16"/>
              </w:rPr>
              <w:t>2015</w:t>
            </w:r>
            <w:r w:rsidRPr="00A32AF4">
              <w:rPr>
                <w:sz w:val="16"/>
                <w:szCs w:val="16"/>
              </w:rPr>
              <w:t>)</w:t>
            </w:r>
            <w:r w:rsidRPr="00A32AF4">
              <w:rPr>
                <w:sz w:val="16"/>
                <w:szCs w:val="16"/>
              </w:rPr>
              <w:br/>
              <w:t>Asie et Pacifique (</w:t>
            </w:r>
            <w:r w:rsidR="00CA0348" w:rsidRPr="00A32AF4">
              <w:rPr>
                <w:sz w:val="16"/>
                <w:szCs w:val="16"/>
              </w:rPr>
              <w:t>89</w:t>
            </w:r>
            <w:r w:rsidRPr="00A32AF4">
              <w:rPr>
                <w:sz w:val="16"/>
                <w:szCs w:val="16"/>
              </w:rPr>
              <w:t>%)</w:t>
            </w:r>
            <w:r w:rsidRPr="00A32AF4">
              <w:rPr>
                <w:sz w:val="16"/>
                <w:szCs w:val="16"/>
              </w:rPr>
              <w:br/>
              <w:t>Amérique latine et Caraïbes (</w:t>
            </w:r>
            <w:r w:rsidR="00D90601" w:rsidRPr="00A32AF4">
              <w:rPr>
                <w:rFonts w:cs="Arial"/>
                <w:color w:val="000000"/>
                <w:sz w:val="16"/>
                <w:szCs w:val="16"/>
              </w:rPr>
              <w:t>s.o.</w:t>
            </w:r>
            <w:r w:rsidR="006A3066" w:rsidRPr="00A32AF4">
              <w:rPr>
                <w:rFonts w:cs="Arial"/>
                <w:color w:val="000000"/>
                <w:sz w:val="16"/>
                <w:szCs w:val="16"/>
              </w:rPr>
              <w:t xml:space="preserve"> en</w:t>
            </w:r>
            <w:r w:rsidR="00FD43E3" w:rsidRPr="00A32AF4">
              <w:rPr>
                <w:rFonts w:cs="Arial"/>
                <w:color w:val="000000"/>
                <w:sz w:val="16"/>
                <w:szCs w:val="16"/>
              </w:rPr>
              <w:t> </w:t>
            </w:r>
            <w:proofErr w:type="gramStart"/>
            <w:r w:rsidR="006A3066" w:rsidRPr="00A32AF4">
              <w:rPr>
                <w:rFonts w:cs="Arial"/>
                <w:color w:val="000000"/>
                <w:sz w:val="16"/>
                <w:szCs w:val="16"/>
              </w:rPr>
              <w:t>2014;</w:t>
            </w:r>
            <w:proofErr w:type="gramEnd"/>
            <w:r w:rsidR="006A3066" w:rsidRPr="00A32AF4">
              <w:rPr>
                <w:rFonts w:cs="Arial"/>
                <w:color w:val="000000"/>
                <w:sz w:val="16"/>
                <w:szCs w:val="16"/>
              </w:rPr>
              <w:t xml:space="preserve"> </w:t>
            </w:r>
            <w:r w:rsidR="00FD43E3" w:rsidRPr="00A32AF4">
              <w:rPr>
                <w:rFonts w:cs="Arial"/>
                <w:color w:val="000000"/>
                <w:sz w:val="16"/>
                <w:szCs w:val="16"/>
              </w:rPr>
              <w:t xml:space="preserve"> </w:t>
            </w:r>
            <w:r w:rsidR="006A3066" w:rsidRPr="00A32AF4">
              <w:rPr>
                <w:rFonts w:cs="Arial"/>
                <w:color w:val="000000"/>
                <w:sz w:val="16"/>
                <w:szCs w:val="16"/>
              </w:rPr>
              <w:t>système à mettre en œuvre en</w:t>
            </w:r>
            <w:r w:rsidR="00FD43E3" w:rsidRPr="00A32AF4">
              <w:rPr>
                <w:rFonts w:cs="Arial"/>
                <w:color w:val="000000"/>
                <w:sz w:val="16"/>
                <w:szCs w:val="16"/>
              </w:rPr>
              <w:t> </w:t>
            </w:r>
            <w:r w:rsidR="006A3066" w:rsidRPr="00A32AF4">
              <w:rPr>
                <w:rFonts w:cs="Arial"/>
                <w:color w:val="000000"/>
                <w:sz w:val="16"/>
                <w:szCs w:val="16"/>
              </w:rPr>
              <w:t>2015</w:t>
            </w:r>
            <w:r w:rsidRPr="00A32AF4">
              <w:rPr>
                <w:sz w:val="16"/>
                <w:szCs w:val="16"/>
              </w:rPr>
              <w:t>)</w:t>
            </w:r>
          </w:p>
          <w:p w:rsidR="00CD1430" w:rsidRPr="00A32AF4" w:rsidRDefault="00CA0348" w:rsidP="00B53790">
            <w:pPr>
              <w:rPr>
                <w:sz w:val="16"/>
                <w:szCs w:val="16"/>
              </w:rPr>
            </w:pPr>
            <w:r w:rsidRPr="00A32AF4">
              <w:rPr>
                <w:sz w:val="16"/>
                <w:szCs w:val="16"/>
              </w:rPr>
              <w:t>PMA (95</w:t>
            </w:r>
            <w:r w:rsidR="00CD1430" w:rsidRPr="00A32AF4">
              <w:rPr>
                <w:sz w:val="16"/>
                <w:szCs w:val="16"/>
              </w:rPr>
              <w:t>%)</w:t>
            </w:r>
          </w:p>
        </w:tc>
        <w:tc>
          <w:tcPr>
            <w:tcW w:w="1975" w:type="dxa"/>
            <w:shd w:val="clear" w:color="000000" w:fill="FFFFFF"/>
            <w:tcMar>
              <w:top w:w="113" w:type="dxa"/>
              <w:bottom w:w="113" w:type="dxa"/>
            </w:tcMar>
            <w:hideMark/>
          </w:tcPr>
          <w:p w:rsidR="00F93B76" w:rsidRPr="00A32AF4" w:rsidRDefault="00CD1430" w:rsidP="00B53790">
            <w:pPr>
              <w:rPr>
                <w:sz w:val="16"/>
                <w:szCs w:val="16"/>
              </w:rPr>
            </w:pPr>
            <w:r w:rsidRPr="00A32AF4">
              <w:rPr>
                <w:sz w:val="16"/>
                <w:szCs w:val="16"/>
              </w:rPr>
              <w:t>Afrique (50%)</w:t>
            </w:r>
            <w:r w:rsidRPr="00A32AF4">
              <w:rPr>
                <w:sz w:val="16"/>
                <w:szCs w:val="16"/>
              </w:rPr>
              <w:br/>
              <w:t>Pays arabes (70%)</w:t>
            </w:r>
            <w:r w:rsidRPr="00A32AF4">
              <w:rPr>
                <w:sz w:val="16"/>
                <w:szCs w:val="16"/>
              </w:rPr>
              <w:br/>
              <w:t>Asie et Pacifique (70%)</w:t>
            </w:r>
            <w:r w:rsidRPr="00A32AF4">
              <w:rPr>
                <w:sz w:val="16"/>
                <w:szCs w:val="16"/>
              </w:rPr>
              <w:br/>
              <w:t>Amérique latine et Caraïbes (45%)</w:t>
            </w:r>
          </w:p>
          <w:p w:rsidR="00CD1430" w:rsidRPr="00A32AF4" w:rsidRDefault="00CD1430" w:rsidP="00B53790">
            <w:pPr>
              <w:rPr>
                <w:sz w:val="16"/>
                <w:szCs w:val="16"/>
              </w:rPr>
            </w:pPr>
            <w:r w:rsidRPr="00A32AF4">
              <w:rPr>
                <w:sz w:val="16"/>
                <w:szCs w:val="16"/>
              </w:rPr>
              <w:t>PMA (50%)</w:t>
            </w:r>
          </w:p>
        </w:tc>
      </w:tr>
      <w:tr w:rsidR="0038294E" w:rsidRPr="00A32AF4" w:rsidTr="00B9341E">
        <w:trPr>
          <w:cantSplit/>
        </w:trPr>
        <w:tc>
          <w:tcPr>
            <w:tcW w:w="2280" w:type="dxa"/>
            <w:shd w:val="clear" w:color="000000" w:fill="FFFFFF"/>
            <w:tcMar>
              <w:top w:w="113" w:type="dxa"/>
              <w:bottom w:w="113" w:type="dxa"/>
            </w:tcMar>
            <w:hideMark/>
          </w:tcPr>
          <w:p w:rsidR="00CD1430" w:rsidRPr="00A32AF4" w:rsidRDefault="00CD1430" w:rsidP="00B53790">
            <w:pPr>
              <w:rPr>
                <w:sz w:val="16"/>
                <w:szCs w:val="16"/>
              </w:rPr>
            </w:pPr>
          </w:p>
        </w:tc>
        <w:tc>
          <w:tcPr>
            <w:tcW w:w="2180" w:type="dxa"/>
            <w:shd w:val="clear" w:color="000000" w:fill="FFFFFF"/>
            <w:tcMar>
              <w:top w:w="113" w:type="dxa"/>
              <w:bottom w:w="113" w:type="dxa"/>
            </w:tcMar>
            <w:hideMark/>
          </w:tcPr>
          <w:p w:rsidR="00CD1430" w:rsidRPr="00A32AF4" w:rsidRDefault="00CD1430" w:rsidP="00B53790">
            <w:pPr>
              <w:rPr>
                <w:sz w:val="16"/>
                <w:szCs w:val="16"/>
              </w:rPr>
            </w:pPr>
            <w:r w:rsidRPr="00A32AF4">
              <w:rPr>
                <w:sz w:val="16"/>
                <w:szCs w:val="16"/>
              </w:rPr>
              <w:t>Pourcentage d</w:t>
            </w:r>
            <w:r w:rsidR="00E2055A" w:rsidRPr="00A32AF4">
              <w:rPr>
                <w:sz w:val="16"/>
                <w:szCs w:val="16"/>
              </w:rPr>
              <w:t>’</w:t>
            </w:r>
            <w:r w:rsidRPr="00A32AF4">
              <w:rPr>
                <w:sz w:val="16"/>
                <w:szCs w:val="16"/>
              </w:rPr>
              <w:t>experts nationaux et régionaux en propriété intellectuelle faisant office d</w:t>
            </w:r>
            <w:r w:rsidR="00E2055A" w:rsidRPr="00A32AF4">
              <w:rPr>
                <w:sz w:val="16"/>
                <w:szCs w:val="16"/>
              </w:rPr>
              <w:t>’</w:t>
            </w:r>
            <w:r w:rsidRPr="00A32AF4">
              <w:rPr>
                <w:sz w:val="16"/>
                <w:szCs w:val="16"/>
              </w:rPr>
              <w:t>animateurs de manifestations de l</w:t>
            </w:r>
            <w:r w:rsidR="00E2055A" w:rsidRPr="00A32AF4">
              <w:rPr>
                <w:sz w:val="16"/>
                <w:szCs w:val="16"/>
              </w:rPr>
              <w:t>’</w:t>
            </w:r>
            <w:r w:rsidRPr="00A32AF4">
              <w:rPr>
                <w:sz w:val="16"/>
                <w:szCs w:val="16"/>
              </w:rPr>
              <w:t>OMPI</w:t>
            </w:r>
          </w:p>
        </w:tc>
        <w:tc>
          <w:tcPr>
            <w:tcW w:w="2760" w:type="dxa"/>
            <w:shd w:val="clear" w:color="000000" w:fill="FFFFFF"/>
            <w:tcMar>
              <w:top w:w="113" w:type="dxa"/>
              <w:bottom w:w="113" w:type="dxa"/>
            </w:tcMar>
            <w:hideMark/>
          </w:tcPr>
          <w:p w:rsidR="00CD1430" w:rsidRPr="00A32AF4" w:rsidRDefault="00CD1430" w:rsidP="00B53790">
            <w:pPr>
              <w:rPr>
                <w:sz w:val="16"/>
                <w:szCs w:val="16"/>
              </w:rPr>
            </w:pPr>
            <w:r w:rsidRPr="00A32AF4">
              <w:rPr>
                <w:sz w:val="16"/>
                <w:szCs w:val="16"/>
              </w:rPr>
              <w:t>Afrique (80%)</w:t>
            </w:r>
            <w:r w:rsidRPr="00A32AF4">
              <w:rPr>
                <w:sz w:val="16"/>
                <w:szCs w:val="16"/>
              </w:rPr>
              <w:br/>
              <w:t>Pays arabes (35%)</w:t>
            </w:r>
            <w:r w:rsidRPr="00A32AF4">
              <w:rPr>
                <w:sz w:val="16"/>
                <w:szCs w:val="16"/>
              </w:rPr>
              <w:br/>
              <w:t>Asie et Pacifique (</w:t>
            </w:r>
            <w:r w:rsidR="0040619A" w:rsidRPr="00A32AF4">
              <w:rPr>
                <w:sz w:val="16"/>
                <w:szCs w:val="16"/>
              </w:rPr>
              <w:t>71</w:t>
            </w:r>
            <w:r w:rsidRPr="00A32AF4">
              <w:rPr>
                <w:sz w:val="16"/>
                <w:szCs w:val="16"/>
              </w:rPr>
              <w:t>%)</w:t>
            </w:r>
            <w:r w:rsidRPr="00A32AF4">
              <w:rPr>
                <w:sz w:val="16"/>
                <w:szCs w:val="16"/>
              </w:rPr>
              <w:br/>
              <w:t>Amérique latine et Caraïbes (80%)</w:t>
            </w:r>
            <w:r w:rsidRPr="00A32AF4">
              <w:rPr>
                <w:sz w:val="16"/>
                <w:szCs w:val="16"/>
              </w:rPr>
              <w:br/>
              <w:t>PMA (</w:t>
            </w:r>
            <w:r w:rsidR="0040619A" w:rsidRPr="00A32AF4">
              <w:rPr>
                <w:sz w:val="16"/>
                <w:szCs w:val="16"/>
              </w:rPr>
              <w:t>95</w:t>
            </w:r>
            <w:r w:rsidRPr="00A32AF4">
              <w:rPr>
                <w:sz w:val="16"/>
                <w:szCs w:val="16"/>
              </w:rPr>
              <w:t>%)</w:t>
            </w:r>
          </w:p>
        </w:tc>
        <w:tc>
          <w:tcPr>
            <w:tcW w:w="1975" w:type="dxa"/>
            <w:shd w:val="clear" w:color="000000" w:fill="FFFFFF"/>
            <w:tcMar>
              <w:top w:w="113" w:type="dxa"/>
              <w:bottom w:w="113" w:type="dxa"/>
            </w:tcMar>
            <w:hideMark/>
          </w:tcPr>
          <w:p w:rsidR="00CD1430" w:rsidRPr="00A32AF4" w:rsidRDefault="00CD1430" w:rsidP="00B53790">
            <w:pPr>
              <w:rPr>
                <w:sz w:val="16"/>
                <w:szCs w:val="16"/>
              </w:rPr>
            </w:pPr>
            <w:r w:rsidRPr="00A32AF4">
              <w:rPr>
                <w:sz w:val="16"/>
                <w:szCs w:val="16"/>
              </w:rPr>
              <w:t>Afrique (85%)</w:t>
            </w:r>
            <w:r w:rsidRPr="00A32AF4">
              <w:rPr>
                <w:sz w:val="16"/>
                <w:szCs w:val="16"/>
              </w:rPr>
              <w:br/>
              <w:t>Pays arabes (</w:t>
            </w:r>
            <w:r w:rsidR="0040619A" w:rsidRPr="00A32AF4">
              <w:rPr>
                <w:sz w:val="16"/>
                <w:szCs w:val="16"/>
              </w:rPr>
              <w:t>55</w:t>
            </w:r>
            <w:r w:rsidRPr="00A32AF4">
              <w:rPr>
                <w:sz w:val="16"/>
                <w:szCs w:val="16"/>
              </w:rPr>
              <w:t>%)</w:t>
            </w:r>
            <w:r w:rsidRPr="00A32AF4">
              <w:rPr>
                <w:sz w:val="16"/>
                <w:szCs w:val="16"/>
              </w:rPr>
              <w:br/>
              <w:t>Asie et Pacifique (40%)</w:t>
            </w:r>
            <w:r w:rsidRPr="00A32AF4">
              <w:rPr>
                <w:sz w:val="16"/>
                <w:szCs w:val="16"/>
              </w:rPr>
              <w:br/>
              <w:t>Amérique latine et Caraïbes (80%)</w:t>
            </w:r>
            <w:r w:rsidRPr="00A32AF4">
              <w:rPr>
                <w:sz w:val="16"/>
                <w:szCs w:val="16"/>
              </w:rPr>
              <w:br/>
              <w:t>PMA (70%)</w:t>
            </w:r>
          </w:p>
        </w:tc>
      </w:tr>
      <w:tr w:rsidR="0038294E" w:rsidRPr="00A32AF4" w:rsidTr="00B9341E">
        <w:trPr>
          <w:cantSplit/>
        </w:trPr>
        <w:tc>
          <w:tcPr>
            <w:tcW w:w="2280" w:type="dxa"/>
            <w:shd w:val="clear" w:color="000000" w:fill="FFFFFF"/>
            <w:tcMar>
              <w:top w:w="113" w:type="dxa"/>
              <w:bottom w:w="113" w:type="dxa"/>
            </w:tcMar>
            <w:hideMark/>
          </w:tcPr>
          <w:p w:rsidR="00CD1430" w:rsidRPr="00A32AF4" w:rsidRDefault="00CD1430">
            <w:pPr>
              <w:rPr>
                <w:sz w:val="16"/>
                <w:szCs w:val="16"/>
              </w:rPr>
            </w:pPr>
            <w:r w:rsidRPr="00A32AF4">
              <w:rPr>
                <w:sz w:val="16"/>
                <w:szCs w:val="16"/>
              </w:rPr>
              <w:t xml:space="preserve">III.4 </w:t>
            </w:r>
            <w:r w:rsidR="00B32125" w:rsidRPr="00A32AF4">
              <w:rPr>
                <w:sz w:val="16"/>
                <w:szCs w:val="16"/>
              </w:rPr>
              <w:t>Mécanismes et programmes de coopération renforcés, adaptés aux besoins des pays en développement</w:t>
            </w:r>
            <w:r w:rsidR="0085216F" w:rsidRPr="00A32AF4">
              <w:rPr>
                <w:sz w:val="16"/>
                <w:szCs w:val="16"/>
              </w:rPr>
              <w:t>,</w:t>
            </w:r>
            <w:r w:rsidR="00E2055A" w:rsidRPr="00A32AF4">
              <w:rPr>
                <w:sz w:val="16"/>
                <w:szCs w:val="16"/>
              </w:rPr>
              <w:t xml:space="preserve"> des PMA</w:t>
            </w:r>
            <w:r w:rsidR="0085216F" w:rsidRPr="00A32AF4">
              <w:rPr>
                <w:sz w:val="16"/>
                <w:szCs w:val="16"/>
              </w:rPr>
              <w:t xml:space="preserve"> </w:t>
            </w:r>
            <w:r w:rsidR="0028134B" w:rsidRPr="00A32AF4">
              <w:rPr>
                <w:sz w:val="16"/>
                <w:szCs w:val="16"/>
              </w:rPr>
              <w:t>et des pays en transition</w:t>
            </w:r>
          </w:p>
        </w:tc>
        <w:tc>
          <w:tcPr>
            <w:tcW w:w="2180" w:type="dxa"/>
            <w:shd w:val="clear" w:color="000000" w:fill="FFFFFF"/>
            <w:tcMar>
              <w:top w:w="113" w:type="dxa"/>
              <w:bottom w:w="113" w:type="dxa"/>
            </w:tcMar>
            <w:hideMark/>
          </w:tcPr>
          <w:p w:rsidR="00CD1430" w:rsidRPr="00A32AF4" w:rsidRDefault="00CD1430" w:rsidP="00B53790">
            <w:pPr>
              <w:rPr>
                <w:sz w:val="16"/>
                <w:szCs w:val="16"/>
              </w:rPr>
            </w:pPr>
            <w:r w:rsidRPr="00A32AF4">
              <w:rPr>
                <w:sz w:val="16"/>
                <w:szCs w:val="16"/>
              </w:rPr>
              <w:t>Nombre d</w:t>
            </w:r>
            <w:r w:rsidR="00E2055A" w:rsidRPr="00A32AF4">
              <w:rPr>
                <w:sz w:val="16"/>
                <w:szCs w:val="16"/>
              </w:rPr>
              <w:t>’</w:t>
            </w:r>
            <w:r w:rsidRPr="00A32AF4">
              <w:rPr>
                <w:sz w:val="16"/>
                <w:szCs w:val="16"/>
              </w:rPr>
              <w:t>accords de coopération, de projets, de programmes et de partenariats à l</w:t>
            </w:r>
            <w:r w:rsidR="00E2055A" w:rsidRPr="00A32AF4">
              <w:rPr>
                <w:sz w:val="16"/>
                <w:szCs w:val="16"/>
              </w:rPr>
              <w:t>’</w:t>
            </w:r>
            <w:r w:rsidRPr="00A32AF4">
              <w:rPr>
                <w:sz w:val="16"/>
                <w:szCs w:val="16"/>
              </w:rPr>
              <w:t>échelle nationale, sous</w:t>
            </w:r>
            <w:r w:rsidR="00EB7F54" w:rsidRPr="00A32AF4">
              <w:rPr>
                <w:sz w:val="16"/>
                <w:szCs w:val="16"/>
              </w:rPr>
              <w:noBreakHyphen/>
            </w:r>
            <w:r w:rsidRPr="00A32AF4">
              <w:rPr>
                <w:sz w:val="16"/>
                <w:szCs w:val="16"/>
              </w:rPr>
              <w:t>régionale et régionale ou interrégionale visant à promouvoir l</w:t>
            </w:r>
            <w:r w:rsidR="00E2055A" w:rsidRPr="00A32AF4">
              <w:rPr>
                <w:sz w:val="16"/>
                <w:szCs w:val="16"/>
              </w:rPr>
              <w:t>’</w:t>
            </w:r>
            <w:r w:rsidRPr="00A32AF4">
              <w:rPr>
                <w:sz w:val="16"/>
                <w:szCs w:val="16"/>
              </w:rPr>
              <w:t xml:space="preserve">utilisation efficace des systèmes de propriété intellectuelle fondée sur le partage de bonnes pratiques.  </w:t>
            </w:r>
          </w:p>
        </w:tc>
        <w:tc>
          <w:tcPr>
            <w:tcW w:w="2760" w:type="dxa"/>
            <w:shd w:val="clear" w:color="000000" w:fill="FFFFFF"/>
            <w:tcMar>
              <w:top w:w="113" w:type="dxa"/>
              <w:bottom w:w="113" w:type="dxa"/>
            </w:tcMar>
            <w:hideMark/>
          </w:tcPr>
          <w:p w:rsidR="00CD1430" w:rsidRPr="00A32AF4" w:rsidRDefault="00CD1430" w:rsidP="00B53790">
            <w:pPr>
              <w:rPr>
                <w:sz w:val="16"/>
                <w:szCs w:val="16"/>
              </w:rPr>
            </w:pPr>
            <w:r w:rsidRPr="00A32AF4">
              <w:rPr>
                <w:sz w:val="16"/>
                <w:szCs w:val="16"/>
              </w:rPr>
              <w:t>Afrique (</w:t>
            </w:r>
            <w:r w:rsidR="0040619A" w:rsidRPr="00A32AF4">
              <w:rPr>
                <w:sz w:val="16"/>
                <w:szCs w:val="16"/>
              </w:rPr>
              <w:t>1 en </w:t>
            </w:r>
            <w:r w:rsidRPr="00A32AF4">
              <w:rPr>
                <w:sz w:val="16"/>
                <w:szCs w:val="16"/>
              </w:rPr>
              <w:t>2014</w:t>
            </w:r>
            <w:proofErr w:type="gramStart"/>
            <w:r w:rsidRPr="00A32AF4">
              <w:rPr>
                <w:sz w:val="16"/>
                <w:szCs w:val="16"/>
              </w:rPr>
              <w:t>)</w:t>
            </w:r>
            <w:proofErr w:type="gramEnd"/>
            <w:r w:rsidRPr="00A32AF4">
              <w:rPr>
                <w:sz w:val="16"/>
                <w:szCs w:val="16"/>
              </w:rPr>
              <w:br/>
              <w:t>Pays arabes (</w:t>
            </w:r>
            <w:r w:rsidR="0040619A" w:rsidRPr="00A32AF4">
              <w:rPr>
                <w:sz w:val="16"/>
                <w:szCs w:val="16"/>
              </w:rPr>
              <w:t>1 en 2014</w:t>
            </w:r>
            <w:r w:rsidRPr="00A32AF4">
              <w:rPr>
                <w:sz w:val="16"/>
                <w:szCs w:val="16"/>
              </w:rPr>
              <w:t>)</w:t>
            </w:r>
            <w:r w:rsidRPr="00A32AF4">
              <w:rPr>
                <w:sz w:val="16"/>
                <w:szCs w:val="16"/>
              </w:rPr>
              <w:br/>
              <w:t>Asie et Pacifique (</w:t>
            </w:r>
            <w:r w:rsidR="0040619A" w:rsidRPr="00A32AF4">
              <w:rPr>
                <w:sz w:val="16"/>
                <w:szCs w:val="16"/>
              </w:rPr>
              <w:t>2 en 2014</w:t>
            </w:r>
            <w:r w:rsidRPr="00A32AF4">
              <w:rPr>
                <w:sz w:val="16"/>
                <w:szCs w:val="16"/>
              </w:rPr>
              <w:t>)</w:t>
            </w:r>
            <w:r w:rsidRPr="00A32AF4">
              <w:rPr>
                <w:sz w:val="16"/>
                <w:szCs w:val="16"/>
              </w:rPr>
              <w:br/>
              <w:t>Amérique latine et Caraïbes (6</w:t>
            </w:r>
            <w:r w:rsidR="0040619A" w:rsidRPr="00A32AF4">
              <w:rPr>
                <w:sz w:val="16"/>
                <w:szCs w:val="16"/>
              </w:rPr>
              <w:t> en 2014</w:t>
            </w:r>
            <w:r w:rsidRPr="00A32AF4">
              <w:rPr>
                <w:sz w:val="16"/>
                <w:szCs w:val="16"/>
              </w:rPr>
              <w:t>)</w:t>
            </w:r>
            <w:r w:rsidRPr="00A32AF4">
              <w:rPr>
                <w:sz w:val="16"/>
                <w:szCs w:val="16"/>
              </w:rPr>
              <w:br/>
              <w:t>PMA : 1 programme régional ou sous</w:t>
            </w:r>
            <w:r w:rsidR="00EB7F54" w:rsidRPr="00A32AF4">
              <w:rPr>
                <w:sz w:val="16"/>
                <w:szCs w:val="16"/>
              </w:rPr>
              <w:noBreakHyphen/>
            </w:r>
            <w:r w:rsidRPr="00A32AF4">
              <w:rPr>
                <w:sz w:val="16"/>
                <w:szCs w:val="16"/>
              </w:rPr>
              <w:t>régional, 4 programmes nationaux</w:t>
            </w:r>
            <w:r w:rsidR="00C26CB9" w:rsidRPr="00A32AF4">
              <w:rPr>
                <w:sz w:val="16"/>
                <w:szCs w:val="16"/>
              </w:rPr>
              <w:t xml:space="preserve"> </w:t>
            </w:r>
            <w:r w:rsidR="00C26CB9" w:rsidRPr="00A32AF4">
              <w:rPr>
                <w:rFonts w:cs="Arial"/>
                <w:sz w:val="16"/>
                <w:szCs w:val="16"/>
              </w:rPr>
              <w:t>(2014)</w:t>
            </w:r>
          </w:p>
        </w:tc>
        <w:tc>
          <w:tcPr>
            <w:tcW w:w="1975" w:type="dxa"/>
            <w:shd w:val="clear" w:color="000000" w:fill="FFFFFF"/>
            <w:tcMar>
              <w:top w:w="113" w:type="dxa"/>
              <w:bottom w:w="113" w:type="dxa"/>
            </w:tcMar>
            <w:hideMark/>
          </w:tcPr>
          <w:p w:rsidR="00CD1430" w:rsidRPr="00A32AF4" w:rsidRDefault="00CD1430" w:rsidP="00B53790">
            <w:pPr>
              <w:rPr>
                <w:sz w:val="16"/>
                <w:szCs w:val="16"/>
              </w:rPr>
            </w:pPr>
            <w:r w:rsidRPr="00A32AF4">
              <w:rPr>
                <w:sz w:val="16"/>
                <w:szCs w:val="16"/>
              </w:rPr>
              <w:t>Afrique</w:t>
            </w:r>
            <w:r w:rsidR="0040619A" w:rsidRPr="00A32AF4">
              <w:rPr>
                <w:sz w:val="16"/>
                <w:szCs w:val="16"/>
              </w:rPr>
              <w:t xml:space="preserve"> (2 supplémentaires</w:t>
            </w:r>
            <w:proofErr w:type="gramStart"/>
            <w:r w:rsidR="0040619A" w:rsidRPr="00A32AF4">
              <w:rPr>
                <w:sz w:val="16"/>
                <w:szCs w:val="16"/>
              </w:rPr>
              <w:t>)</w:t>
            </w:r>
            <w:proofErr w:type="gramEnd"/>
            <w:r w:rsidRPr="00A32AF4">
              <w:rPr>
                <w:sz w:val="16"/>
                <w:szCs w:val="16"/>
              </w:rPr>
              <w:br/>
              <w:t>Pays arabes (</w:t>
            </w:r>
            <w:r w:rsidR="0040619A" w:rsidRPr="00A32AF4">
              <w:rPr>
                <w:sz w:val="16"/>
                <w:szCs w:val="16"/>
              </w:rPr>
              <w:t>2 supplémentaires</w:t>
            </w:r>
            <w:r w:rsidRPr="00A32AF4">
              <w:rPr>
                <w:sz w:val="16"/>
                <w:szCs w:val="16"/>
              </w:rPr>
              <w:t>)</w:t>
            </w:r>
            <w:r w:rsidRPr="00A32AF4">
              <w:rPr>
                <w:sz w:val="16"/>
                <w:szCs w:val="16"/>
              </w:rPr>
              <w:br/>
              <w:t>Asie et Pacifique (</w:t>
            </w:r>
            <w:r w:rsidR="0040619A" w:rsidRPr="00A32AF4">
              <w:rPr>
                <w:sz w:val="16"/>
                <w:szCs w:val="16"/>
              </w:rPr>
              <w:t>1 supplémentaires</w:t>
            </w:r>
            <w:r w:rsidRPr="00A32AF4">
              <w:rPr>
                <w:sz w:val="16"/>
                <w:szCs w:val="16"/>
              </w:rPr>
              <w:t>)</w:t>
            </w:r>
            <w:r w:rsidRPr="00A32AF4">
              <w:rPr>
                <w:sz w:val="16"/>
                <w:szCs w:val="16"/>
              </w:rPr>
              <w:br/>
              <w:t xml:space="preserve">Amérique </w:t>
            </w:r>
            <w:r w:rsidR="00752A62" w:rsidRPr="00A32AF4">
              <w:rPr>
                <w:sz w:val="16"/>
                <w:szCs w:val="16"/>
              </w:rPr>
              <w:t>latine</w:t>
            </w:r>
            <w:r w:rsidRPr="00A32AF4">
              <w:rPr>
                <w:sz w:val="16"/>
                <w:szCs w:val="16"/>
              </w:rPr>
              <w:t xml:space="preserve"> et Caraïbes (</w:t>
            </w:r>
            <w:r w:rsidR="0040619A" w:rsidRPr="00A32AF4">
              <w:rPr>
                <w:sz w:val="16"/>
                <w:szCs w:val="16"/>
              </w:rPr>
              <w:t>4 supplémentaires</w:t>
            </w:r>
            <w:r w:rsidRPr="00A32AF4">
              <w:rPr>
                <w:sz w:val="16"/>
                <w:szCs w:val="16"/>
              </w:rPr>
              <w:t>)</w:t>
            </w:r>
            <w:r w:rsidRPr="00A32AF4">
              <w:rPr>
                <w:sz w:val="16"/>
                <w:szCs w:val="16"/>
              </w:rPr>
              <w:br/>
              <w:t>PMA : 3 programmes régionaux ou sous</w:t>
            </w:r>
            <w:r w:rsidR="00EB7F54" w:rsidRPr="00A32AF4">
              <w:rPr>
                <w:sz w:val="16"/>
                <w:szCs w:val="16"/>
              </w:rPr>
              <w:noBreakHyphen/>
            </w:r>
            <w:r w:rsidRPr="00A32AF4">
              <w:rPr>
                <w:sz w:val="16"/>
                <w:szCs w:val="16"/>
              </w:rPr>
              <w:t>régionaux, 8 programmes nationaux</w:t>
            </w:r>
          </w:p>
        </w:tc>
      </w:tr>
      <w:tr w:rsidR="0038294E" w:rsidRPr="00A32AF4" w:rsidTr="00B9341E">
        <w:trPr>
          <w:cantSplit/>
        </w:trPr>
        <w:tc>
          <w:tcPr>
            <w:tcW w:w="2280" w:type="dxa"/>
            <w:shd w:val="clear" w:color="000000" w:fill="FFFFFF"/>
            <w:tcMar>
              <w:top w:w="113" w:type="dxa"/>
              <w:bottom w:w="113" w:type="dxa"/>
            </w:tcMar>
            <w:hideMark/>
          </w:tcPr>
          <w:p w:rsidR="00CD1430" w:rsidRPr="00A32AF4" w:rsidRDefault="00CD1430" w:rsidP="00B53790">
            <w:pPr>
              <w:rPr>
                <w:sz w:val="16"/>
                <w:szCs w:val="16"/>
              </w:rPr>
            </w:pPr>
            <w:r w:rsidRPr="00A32AF4">
              <w:rPr>
                <w:sz w:val="16"/>
                <w:szCs w:val="16"/>
              </w:rPr>
              <w:t xml:space="preserve">IV.2 </w:t>
            </w:r>
            <w:r w:rsidR="00B32125" w:rsidRPr="00A32AF4">
              <w:rPr>
                <w:sz w:val="16"/>
                <w:szCs w:val="16"/>
              </w:rPr>
              <w:t>Amélioration de l</w:t>
            </w:r>
            <w:r w:rsidR="00E2055A" w:rsidRPr="00A32AF4">
              <w:rPr>
                <w:sz w:val="16"/>
                <w:szCs w:val="16"/>
              </w:rPr>
              <w:t>’</w:t>
            </w:r>
            <w:r w:rsidR="00B32125" w:rsidRPr="00A32AF4">
              <w:rPr>
                <w:sz w:val="16"/>
                <w:szCs w:val="16"/>
              </w:rPr>
              <w:t>accessibilité et de l</w:t>
            </w:r>
            <w:r w:rsidR="00E2055A" w:rsidRPr="00A32AF4">
              <w:rPr>
                <w:sz w:val="16"/>
                <w:szCs w:val="16"/>
              </w:rPr>
              <w:t>’</w:t>
            </w:r>
            <w:r w:rsidR="00B32125" w:rsidRPr="00A32AF4">
              <w:rPr>
                <w:sz w:val="16"/>
                <w:szCs w:val="16"/>
              </w:rPr>
              <w:t>utilisation de l</w:t>
            </w:r>
            <w:r w:rsidR="00E2055A" w:rsidRPr="00A32AF4">
              <w:rPr>
                <w:sz w:val="16"/>
                <w:szCs w:val="16"/>
              </w:rPr>
              <w:t>’</w:t>
            </w:r>
            <w:r w:rsidR="00B32125" w:rsidRPr="00A32AF4">
              <w:rPr>
                <w:sz w:val="16"/>
                <w:szCs w:val="16"/>
              </w:rPr>
              <w:t>information en matière de propriété intellectuelle par les institutions compétentes et le public afin de promouvoir l</w:t>
            </w:r>
            <w:r w:rsidR="00E2055A" w:rsidRPr="00A32AF4">
              <w:rPr>
                <w:sz w:val="16"/>
                <w:szCs w:val="16"/>
              </w:rPr>
              <w:t>’</w:t>
            </w:r>
            <w:r w:rsidR="00B32125" w:rsidRPr="00A32AF4">
              <w:rPr>
                <w:sz w:val="16"/>
                <w:szCs w:val="16"/>
              </w:rPr>
              <w:t>innovation et la créativité</w:t>
            </w:r>
          </w:p>
        </w:tc>
        <w:tc>
          <w:tcPr>
            <w:tcW w:w="2180" w:type="dxa"/>
            <w:shd w:val="clear" w:color="000000" w:fill="FFFFFF"/>
            <w:tcMar>
              <w:top w:w="113" w:type="dxa"/>
              <w:bottom w:w="113" w:type="dxa"/>
            </w:tcMar>
            <w:hideMark/>
          </w:tcPr>
          <w:p w:rsidR="00CD1430" w:rsidRPr="00A32AF4" w:rsidRDefault="00A17A9D" w:rsidP="00B53790">
            <w:pPr>
              <w:rPr>
                <w:sz w:val="16"/>
                <w:szCs w:val="16"/>
              </w:rPr>
            </w:pPr>
            <w:r w:rsidRPr="00A32AF4">
              <w:rPr>
                <w:sz w:val="16"/>
                <w:szCs w:val="16"/>
              </w:rPr>
              <w:t xml:space="preserve">Nombre de réseaux nationaux de </w:t>
            </w:r>
            <w:r w:rsidR="00DA273B" w:rsidRPr="00A32AF4">
              <w:rPr>
                <w:sz w:val="16"/>
                <w:szCs w:val="16"/>
              </w:rPr>
              <w:t>centres d</w:t>
            </w:r>
            <w:r w:rsidR="00E2055A" w:rsidRPr="00A32AF4">
              <w:rPr>
                <w:sz w:val="16"/>
                <w:szCs w:val="16"/>
              </w:rPr>
              <w:t>’</w:t>
            </w:r>
            <w:r w:rsidR="00DA273B" w:rsidRPr="00A32AF4">
              <w:rPr>
                <w:sz w:val="16"/>
                <w:szCs w:val="16"/>
              </w:rPr>
              <w:t>appui à la technologie et à l</w:t>
            </w:r>
            <w:r w:rsidR="00E2055A" w:rsidRPr="00A32AF4">
              <w:rPr>
                <w:sz w:val="16"/>
                <w:szCs w:val="16"/>
              </w:rPr>
              <w:t>’</w:t>
            </w:r>
            <w:r w:rsidR="00DA273B" w:rsidRPr="00A32AF4">
              <w:rPr>
                <w:sz w:val="16"/>
                <w:szCs w:val="16"/>
              </w:rPr>
              <w:t>innovation (CATI)</w:t>
            </w:r>
            <w:r w:rsidRPr="00A32AF4">
              <w:rPr>
                <w:sz w:val="16"/>
                <w:szCs w:val="16"/>
              </w:rPr>
              <w:t xml:space="preserve"> durables</w:t>
            </w:r>
            <w:r w:rsidR="006C5FB1" w:rsidRPr="00A32AF4">
              <w:rPr>
                <w:rStyle w:val="FootnoteReference"/>
                <w:rFonts w:cs="Arial"/>
                <w:color w:val="000000"/>
                <w:sz w:val="16"/>
                <w:szCs w:val="16"/>
              </w:rPr>
              <w:footnoteReference w:id="19"/>
            </w:r>
            <w:r w:rsidRPr="00A32AF4">
              <w:rPr>
                <w:sz w:val="16"/>
                <w:szCs w:val="16"/>
              </w:rPr>
              <w:t xml:space="preserve"> (données cumulées)</w:t>
            </w:r>
          </w:p>
        </w:tc>
        <w:tc>
          <w:tcPr>
            <w:tcW w:w="2760" w:type="dxa"/>
            <w:shd w:val="clear" w:color="000000" w:fill="FFFFFF"/>
            <w:tcMar>
              <w:top w:w="113" w:type="dxa"/>
              <w:bottom w:w="113" w:type="dxa"/>
            </w:tcMar>
            <w:hideMark/>
          </w:tcPr>
          <w:p w:rsidR="00CD1430" w:rsidRPr="00A32AF4" w:rsidRDefault="00CD1430" w:rsidP="00B53790">
            <w:pPr>
              <w:rPr>
                <w:sz w:val="16"/>
                <w:szCs w:val="16"/>
              </w:rPr>
            </w:pPr>
            <w:r w:rsidRPr="00A32AF4">
              <w:rPr>
                <w:sz w:val="16"/>
                <w:szCs w:val="16"/>
              </w:rPr>
              <w:t>Afrique (9</w:t>
            </w:r>
            <w:proofErr w:type="gramStart"/>
            <w:r w:rsidRPr="00A32AF4">
              <w:rPr>
                <w:sz w:val="16"/>
                <w:szCs w:val="16"/>
              </w:rPr>
              <w:t>)</w:t>
            </w:r>
            <w:proofErr w:type="gramEnd"/>
            <w:r w:rsidRPr="00A32AF4">
              <w:rPr>
                <w:sz w:val="16"/>
                <w:szCs w:val="16"/>
              </w:rPr>
              <w:br/>
              <w:t>Pays arabes (2)</w:t>
            </w:r>
            <w:r w:rsidRPr="00A32AF4">
              <w:rPr>
                <w:sz w:val="16"/>
                <w:szCs w:val="16"/>
              </w:rPr>
              <w:br/>
              <w:t>Asie et Pacifique (3)</w:t>
            </w:r>
            <w:r w:rsidRPr="00A32AF4">
              <w:rPr>
                <w:sz w:val="16"/>
                <w:szCs w:val="16"/>
              </w:rPr>
              <w:br/>
              <w:t>Amérique latine et Caraïbes (5)</w:t>
            </w:r>
          </w:p>
        </w:tc>
        <w:tc>
          <w:tcPr>
            <w:tcW w:w="1975" w:type="dxa"/>
            <w:shd w:val="clear" w:color="000000" w:fill="FFFFFF"/>
            <w:tcMar>
              <w:top w:w="113" w:type="dxa"/>
              <w:bottom w:w="113" w:type="dxa"/>
            </w:tcMar>
            <w:hideMark/>
          </w:tcPr>
          <w:p w:rsidR="00CD1430" w:rsidRPr="00A32AF4" w:rsidRDefault="00CD1430" w:rsidP="00B53790">
            <w:pPr>
              <w:rPr>
                <w:sz w:val="16"/>
                <w:szCs w:val="16"/>
              </w:rPr>
            </w:pPr>
            <w:r w:rsidRPr="00A32AF4">
              <w:rPr>
                <w:sz w:val="16"/>
                <w:szCs w:val="16"/>
              </w:rPr>
              <w:t>Afrique (11</w:t>
            </w:r>
            <w:proofErr w:type="gramStart"/>
            <w:r w:rsidRPr="00A32AF4">
              <w:rPr>
                <w:sz w:val="16"/>
                <w:szCs w:val="16"/>
              </w:rPr>
              <w:t>)</w:t>
            </w:r>
            <w:proofErr w:type="gramEnd"/>
            <w:r w:rsidRPr="00A32AF4">
              <w:rPr>
                <w:sz w:val="16"/>
                <w:szCs w:val="16"/>
              </w:rPr>
              <w:br/>
              <w:t>Pays arabes (4)</w:t>
            </w:r>
            <w:r w:rsidRPr="00A32AF4">
              <w:rPr>
                <w:sz w:val="16"/>
                <w:szCs w:val="16"/>
              </w:rPr>
              <w:br/>
              <w:t>Asie et Pacifique (5)</w:t>
            </w:r>
            <w:r w:rsidRPr="00A32AF4">
              <w:rPr>
                <w:sz w:val="16"/>
                <w:szCs w:val="16"/>
              </w:rPr>
              <w:br/>
              <w:t>Amérique latine et Caraïbes (9)</w:t>
            </w:r>
          </w:p>
        </w:tc>
      </w:tr>
      <w:tr w:rsidR="0038294E" w:rsidRPr="00A32AF4" w:rsidTr="00B9341E">
        <w:trPr>
          <w:cantSplit/>
        </w:trPr>
        <w:tc>
          <w:tcPr>
            <w:tcW w:w="2280" w:type="dxa"/>
            <w:shd w:val="clear" w:color="000000" w:fill="FFFFFF"/>
            <w:tcMar>
              <w:top w:w="113" w:type="dxa"/>
              <w:bottom w:w="113" w:type="dxa"/>
            </w:tcMar>
            <w:hideMark/>
          </w:tcPr>
          <w:p w:rsidR="00CD1430" w:rsidRPr="00A32AF4" w:rsidRDefault="00CD1430" w:rsidP="00B53790">
            <w:pPr>
              <w:rPr>
                <w:sz w:val="16"/>
                <w:szCs w:val="16"/>
              </w:rPr>
            </w:pPr>
          </w:p>
        </w:tc>
        <w:tc>
          <w:tcPr>
            <w:tcW w:w="2180" w:type="dxa"/>
            <w:shd w:val="clear" w:color="000000" w:fill="FFFFFF"/>
            <w:tcMar>
              <w:top w:w="113" w:type="dxa"/>
              <w:bottom w:w="113" w:type="dxa"/>
            </w:tcMar>
            <w:hideMark/>
          </w:tcPr>
          <w:p w:rsidR="00CD1430" w:rsidRPr="00A32AF4" w:rsidRDefault="00CD1430" w:rsidP="00B53790">
            <w:pPr>
              <w:rPr>
                <w:sz w:val="16"/>
                <w:szCs w:val="16"/>
              </w:rPr>
            </w:pPr>
            <w:r w:rsidRPr="00A32AF4">
              <w:rPr>
                <w:sz w:val="16"/>
                <w:szCs w:val="16"/>
              </w:rPr>
              <w:t>Nombre d</w:t>
            </w:r>
            <w:r w:rsidR="00E2055A" w:rsidRPr="00A32AF4">
              <w:rPr>
                <w:sz w:val="16"/>
                <w:szCs w:val="16"/>
              </w:rPr>
              <w:t>’</w:t>
            </w:r>
            <w:r w:rsidRPr="00A32AF4">
              <w:rPr>
                <w:sz w:val="16"/>
                <w:szCs w:val="16"/>
              </w:rPr>
              <w:t>organisations, de communautés, de particuliers qui appliquent ou utilisent la technologie appropriée comme solution aux défis de développement recensés dans les PMA</w:t>
            </w:r>
          </w:p>
        </w:tc>
        <w:tc>
          <w:tcPr>
            <w:tcW w:w="2760" w:type="dxa"/>
            <w:shd w:val="clear" w:color="000000" w:fill="FFFFFF"/>
            <w:tcMar>
              <w:top w:w="113" w:type="dxa"/>
              <w:bottom w:w="113" w:type="dxa"/>
            </w:tcMar>
            <w:hideMark/>
          </w:tcPr>
          <w:p w:rsidR="00CD1430" w:rsidRPr="00A32AF4" w:rsidRDefault="00CD1430" w:rsidP="00B53790">
            <w:pPr>
              <w:rPr>
                <w:sz w:val="16"/>
                <w:szCs w:val="16"/>
              </w:rPr>
            </w:pPr>
            <w:r w:rsidRPr="00A32AF4">
              <w:rPr>
                <w:sz w:val="16"/>
                <w:szCs w:val="16"/>
              </w:rPr>
              <w:t>Organisations dans 6 PMA</w:t>
            </w:r>
            <w:r w:rsidR="00403D0F" w:rsidRPr="00A32AF4">
              <w:rPr>
                <w:sz w:val="16"/>
                <w:szCs w:val="16"/>
              </w:rPr>
              <w:t xml:space="preserve"> </w:t>
            </w:r>
            <w:r w:rsidR="00403D0F" w:rsidRPr="00A32AF4">
              <w:rPr>
                <w:rFonts w:cs="Arial"/>
                <w:color w:val="000000"/>
                <w:sz w:val="16"/>
                <w:szCs w:val="16"/>
              </w:rPr>
              <w:t>(2014)</w:t>
            </w:r>
          </w:p>
        </w:tc>
        <w:tc>
          <w:tcPr>
            <w:tcW w:w="1975" w:type="dxa"/>
            <w:shd w:val="clear" w:color="000000" w:fill="FFFFFF"/>
            <w:tcMar>
              <w:top w:w="113" w:type="dxa"/>
              <w:bottom w:w="113" w:type="dxa"/>
            </w:tcMar>
            <w:hideMark/>
          </w:tcPr>
          <w:p w:rsidR="00CD1430" w:rsidRPr="00A32AF4" w:rsidRDefault="00CD1430" w:rsidP="00B53790">
            <w:pPr>
              <w:rPr>
                <w:sz w:val="16"/>
                <w:szCs w:val="16"/>
              </w:rPr>
            </w:pPr>
            <w:r w:rsidRPr="00A32AF4">
              <w:rPr>
                <w:sz w:val="16"/>
                <w:szCs w:val="16"/>
              </w:rPr>
              <w:t>Organisations dans 3 PMA supplémentaires</w:t>
            </w:r>
          </w:p>
        </w:tc>
      </w:tr>
      <w:tr w:rsidR="0038294E" w:rsidRPr="00A32AF4" w:rsidTr="00B9341E">
        <w:trPr>
          <w:cantSplit/>
        </w:trPr>
        <w:tc>
          <w:tcPr>
            <w:tcW w:w="2280" w:type="dxa"/>
            <w:shd w:val="clear" w:color="000000" w:fill="FFFFFF"/>
            <w:tcMar>
              <w:top w:w="113" w:type="dxa"/>
              <w:bottom w:w="113" w:type="dxa"/>
            </w:tcMar>
            <w:hideMark/>
          </w:tcPr>
          <w:p w:rsidR="00CD1430" w:rsidRPr="00A32AF4" w:rsidRDefault="00CD1430" w:rsidP="00B53790">
            <w:pPr>
              <w:rPr>
                <w:sz w:val="16"/>
                <w:szCs w:val="16"/>
              </w:rPr>
            </w:pPr>
          </w:p>
        </w:tc>
        <w:tc>
          <w:tcPr>
            <w:tcW w:w="2180" w:type="dxa"/>
            <w:shd w:val="clear" w:color="000000" w:fill="FFFFFF"/>
            <w:tcMar>
              <w:top w:w="113" w:type="dxa"/>
              <w:bottom w:w="113" w:type="dxa"/>
            </w:tcMar>
            <w:hideMark/>
          </w:tcPr>
          <w:p w:rsidR="00CD1430" w:rsidRPr="00A32AF4" w:rsidRDefault="00CD1430" w:rsidP="00B53790">
            <w:pPr>
              <w:rPr>
                <w:sz w:val="16"/>
                <w:szCs w:val="16"/>
              </w:rPr>
            </w:pPr>
            <w:r w:rsidRPr="00A32AF4">
              <w:rPr>
                <w:sz w:val="16"/>
                <w:szCs w:val="16"/>
              </w:rPr>
              <w:t>Utilisation d</w:t>
            </w:r>
            <w:r w:rsidR="00E2055A" w:rsidRPr="00A32AF4">
              <w:rPr>
                <w:sz w:val="16"/>
                <w:szCs w:val="16"/>
              </w:rPr>
              <w:t>’</w:t>
            </w:r>
            <w:r w:rsidRPr="00A32AF4">
              <w:rPr>
                <w:sz w:val="16"/>
                <w:szCs w:val="16"/>
              </w:rPr>
              <w:t>une technologie appropriée pour le développement par les recherches en matière de brevets et les rapports, panoramas technologiques, plans d</w:t>
            </w:r>
            <w:r w:rsidR="00E2055A" w:rsidRPr="00A32AF4">
              <w:rPr>
                <w:sz w:val="16"/>
                <w:szCs w:val="16"/>
              </w:rPr>
              <w:t>’</w:t>
            </w:r>
            <w:r w:rsidRPr="00A32AF4">
              <w:rPr>
                <w:sz w:val="16"/>
                <w:szCs w:val="16"/>
              </w:rPr>
              <w:t>action (nombre d</w:t>
            </w:r>
            <w:r w:rsidR="00E2055A" w:rsidRPr="00A32AF4">
              <w:rPr>
                <w:sz w:val="16"/>
                <w:szCs w:val="16"/>
              </w:rPr>
              <w:t>’</w:t>
            </w:r>
            <w:r w:rsidRPr="00A32AF4">
              <w:rPr>
                <w:sz w:val="16"/>
                <w:szCs w:val="16"/>
              </w:rPr>
              <w:t>experts, groupes d</w:t>
            </w:r>
            <w:r w:rsidR="00E2055A" w:rsidRPr="00A32AF4">
              <w:rPr>
                <w:sz w:val="16"/>
                <w:szCs w:val="16"/>
              </w:rPr>
              <w:t>’</w:t>
            </w:r>
            <w:r w:rsidRPr="00A32AF4">
              <w:rPr>
                <w:sz w:val="16"/>
                <w:szCs w:val="16"/>
              </w:rPr>
              <w:t>experts nationaux dans les PMA)</w:t>
            </w:r>
          </w:p>
        </w:tc>
        <w:tc>
          <w:tcPr>
            <w:tcW w:w="2760" w:type="dxa"/>
            <w:shd w:val="clear" w:color="000000" w:fill="FFFFFF"/>
            <w:tcMar>
              <w:top w:w="113" w:type="dxa"/>
              <w:bottom w:w="113" w:type="dxa"/>
            </w:tcMar>
            <w:hideMark/>
          </w:tcPr>
          <w:p w:rsidR="00CD1430" w:rsidRPr="00A32AF4" w:rsidRDefault="00CD1430" w:rsidP="00B53790">
            <w:pPr>
              <w:rPr>
                <w:sz w:val="16"/>
                <w:szCs w:val="16"/>
              </w:rPr>
            </w:pPr>
            <w:r w:rsidRPr="00A32AF4">
              <w:rPr>
                <w:sz w:val="16"/>
                <w:szCs w:val="16"/>
              </w:rPr>
              <w:t>6 dans des PMA</w:t>
            </w:r>
            <w:r w:rsidR="00403D0F" w:rsidRPr="00A32AF4">
              <w:rPr>
                <w:sz w:val="16"/>
                <w:szCs w:val="16"/>
              </w:rPr>
              <w:t xml:space="preserve"> </w:t>
            </w:r>
            <w:r w:rsidR="00403D0F" w:rsidRPr="00A32AF4">
              <w:rPr>
                <w:rFonts w:cs="Arial"/>
                <w:color w:val="000000"/>
                <w:sz w:val="16"/>
                <w:szCs w:val="16"/>
              </w:rPr>
              <w:t>(2014)</w:t>
            </w:r>
          </w:p>
        </w:tc>
        <w:tc>
          <w:tcPr>
            <w:tcW w:w="1975" w:type="dxa"/>
            <w:shd w:val="clear" w:color="000000" w:fill="FFFFFF"/>
            <w:tcMar>
              <w:top w:w="113" w:type="dxa"/>
              <w:bottom w:w="113" w:type="dxa"/>
            </w:tcMar>
            <w:hideMark/>
          </w:tcPr>
          <w:p w:rsidR="00CD1430" w:rsidRPr="00A32AF4" w:rsidRDefault="00CD1430" w:rsidP="00B53790">
            <w:pPr>
              <w:rPr>
                <w:sz w:val="16"/>
                <w:szCs w:val="16"/>
              </w:rPr>
            </w:pPr>
            <w:r w:rsidRPr="00A32AF4">
              <w:rPr>
                <w:sz w:val="16"/>
                <w:szCs w:val="16"/>
              </w:rPr>
              <w:t>3 supplémentaires dans des PMA</w:t>
            </w:r>
          </w:p>
        </w:tc>
      </w:tr>
      <w:tr w:rsidR="0038294E" w:rsidRPr="00A32AF4" w:rsidTr="00B9341E">
        <w:trPr>
          <w:cantSplit/>
        </w:trPr>
        <w:tc>
          <w:tcPr>
            <w:tcW w:w="2280" w:type="dxa"/>
            <w:shd w:val="clear" w:color="000000" w:fill="FFFFFF"/>
            <w:tcMar>
              <w:top w:w="113" w:type="dxa"/>
              <w:bottom w:w="113" w:type="dxa"/>
            </w:tcMar>
            <w:hideMark/>
          </w:tcPr>
          <w:p w:rsidR="00CD1430" w:rsidRPr="00A32AF4" w:rsidRDefault="00CD1430" w:rsidP="00B53790">
            <w:pPr>
              <w:rPr>
                <w:sz w:val="16"/>
                <w:szCs w:val="16"/>
              </w:rPr>
            </w:pPr>
          </w:p>
        </w:tc>
        <w:tc>
          <w:tcPr>
            <w:tcW w:w="2180" w:type="dxa"/>
            <w:shd w:val="clear" w:color="000000" w:fill="FFFFFF"/>
            <w:tcMar>
              <w:top w:w="113" w:type="dxa"/>
              <w:bottom w:w="113" w:type="dxa"/>
            </w:tcMar>
            <w:hideMark/>
          </w:tcPr>
          <w:p w:rsidR="00CD1430" w:rsidRPr="00A32AF4" w:rsidRDefault="00CD1430" w:rsidP="00B53790">
            <w:pPr>
              <w:rPr>
                <w:sz w:val="16"/>
                <w:szCs w:val="16"/>
              </w:rPr>
            </w:pPr>
            <w:r w:rsidRPr="00A32AF4">
              <w:rPr>
                <w:sz w:val="16"/>
                <w:szCs w:val="16"/>
              </w:rPr>
              <w:t>Technologie appropriée recensée commercialisée dans les PMA</w:t>
            </w:r>
            <w:r w:rsidRPr="00A32AF4">
              <w:rPr>
                <w:sz w:val="16"/>
                <w:szCs w:val="16"/>
              </w:rPr>
              <w:br/>
            </w:r>
            <w:r w:rsidRPr="00A32AF4">
              <w:rPr>
                <w:sz w:val="16"/>
                <w:szCs w:val="16"/>
              </w:rPr>
              <w:br/>
              <w:t>Projets reproduits dans d</w:t>
            </w:r>
            <w:r w:rsidR="00E2055A" w:rsidRPr="00A32AF4">
              <w:rPr>
                <w:sz w:val="16"/>
                <w:szCs w:val="16"/>
              </w:rPr>
              <w:t>’</w:t>
            </w:r>
            <w:r w:rsidRPr="00A32AF4">
              <w:rPr>
                <w:sz w:val="16"/>
                <w:szCs w:val="16"/>
              </w:rPr>
              <w:t xml:space="preserve">autres secteurs dans les PMA </w:t>
            </w:r>
            <w:r w:rsidRPr="00A32AF4">
              <w:rPr>
                <w:sz w:val="16"/>
                <w:szCs w:val="16"/>
              </w:rPr>
              <w:br/>
            </w:r>
            <w:r w:rsidRPr="00A32AF4">
              <w:rPr>
                <w:sz w:val="16"/>
                <w:szCs w:val="16"/>
              </w:rPr>
              <w:br/>
              <w:t>Institutions créées pour continuer à travailler sur la technologie appropriée dans les PMA</w:t>
            </w:r>
          </w:p>
        </w:tc>
        <w:tc>
          <w:tcPr>
            <w:tcW w:w="2760" w:type="dxa"/>
            <w:shd w:val="clear" w:color="000000" w:fill="FFFFFF"/>
            <w:tcMar>
              <w:top w:w="113" w:type="dxa"/>
              <w:bottom w:w="113" w:type="dxa"/>
            </w:tcMar>
            <w:hideMark/>
          </w:tcPr>
          <w:p w:rsidR="00CD1430" w:rsidRPr="00A32AF4" w:rsidRDefault="00CD1430" w:rsidP="00B53790">
            <w:pPr>
              <w:rPr>
                <w:sz w:val="16"/>
                <w:szCs w:val="16"/>
              </w:rPr>
            </w:pPr>
            <w:r w:rsidRPr="00A32AF4">
              <w:rPr>
                <w:sz w:val="16"/>
                <w:szCs w:val="16"/>
              </w:rPr>
              <w:t>6 technologies appropriées</w:t>
            </w:r>
            <w:r w:rsidR="009E5A78" w:rsidRPr="00A32AF4">
              <w:rPr>
                <w:sz w:val="16"/>
                <w:szCs w:val="16"/>
              </w:rPr>
              <w:t xml:space="preserve"> </w:t>
            </w:r>
            <w:r w:rsidR="009E5A78" w:rsidRPr="00A32AF4">
              <w:rPr>
                <w:rFonts w:cs="Arial"/>
                <w:color w:val="000000"/>
                <w:sz w:val="16"/>
                <w:szCs w:val="16"/>
              </w:rPr>
              <w:t>(2014</w:t>
            </w:r>
            <w:proofErr w:type="gramStart"/>
            <w:r w:rsidR="009E5A78" w:rsidRPr="00A32AF4">
              <w:rPr>
                <w:rFonts w:cs="Arial"/>
                <w:color w:val="000000"/>
                <w:sz w:val="16"/>
                <w:szCs w:val="16"/>
              </w:rPr>
              <w:t>)</w:t>
            </w:r>
            <w:proofErr w:type="gramEnd"/>
            <w:r w:rsidRPr="00A32AF4">
              <w:rPr>
                <w:sz w:val="16"/>
                <w:szCs w:val="16"/>
              </w:rPr>
              <w:br/>
            </w:r>
            <w:r w:rsidRPr="00A32AF4">
              <w:rPr>
                <w:sz w:val="16"/>
                <w:szCs w:val="16"/>
              </w:rPr>
              <w:br/>
            </w:r>
            <w:r w:rsidRPr="00A32AF4">
              <w:rPr>
                <w:sz w:val="16"/>
                <w:szCs w:val="16"/>
              </w:rPr>
              <w:br/>
            </w:r>
            <w:r w:rsidRPr="00A32AF4">
              <w:rPr>
                <w:sz w:val="16"/>
                <w:szCs w:val="16"/>
              </w:rPr>
              <w:br/>
            </w:r>
            <w:r w:rsidR="00752A62" w:rsidRPr="00A32AF4">
              <w:rPr>
                <w:sz w:val="16"/>
                <w:szCs w:val="16"/>
              </w:rPr>
              <w:t>s.o.</w:t>
            </w:r>
            <w:r w:rsidRPr="00A32AF4">
              <w:rPr>
                <w:sz w:val="16"/>
                <w:szCs w:val="16"/>
              </w:rPr>
              <w:br/>
            </w:r>
            <w:r w:rsidRPr="00A32AF4">
              <w:rPr>
                <w:sz w:val="16"/>
                <w:szCs w:val="16"/>
              </w:rPr>
              <w:br/>
            </w:r>
            <w:r w:rsidRPr="00A32AF4">
              <w:rPr>
                <w:sz w:val="16"/>
                <w:szCs w:val="16"/>
              </w:rPr>
              <w:br/>
            </w:r>
            <w:r w:rsidRPr="00A32AF4">
              <w:rPr>
                <w:sz w:val="16"/>
                <w:szCs w:val="16"/>
              </w:rPr>
              <w:br/>
              <w:t>3 institutions</w:t>
            </w:r>
            <w:r w:rsidR="00AF5F65" w:rsidRPr="00A32AF4">
              <w:rPr>
                <w:sz w:val="16"/>
                <w:szCs w:val="16"/>
              </w:rPr>
              <w:t xml:space="preserve"> </w:t>
            </w:r>
            <w:r w:rsidR="00AF5F65" w:rsidRPr="00A32AF4">
              <w:rPr>
                <w:rFonts w:cs="Arial"/>
                <w:color w:val="000000"/>
                <w:sz w:val="16"/>
                <w:szCs w:val="16"/>
              </w:rPr>
              <w:t>(2014)</w:t>
            </w:r>
          </w:p>
        </w:tc>
        <w:tc>
          <w:tcPr>
            <w:tcW w:w="1975" w:type="dxa"/>
            <w:shd w:val="clear" w:color="000000" w:fill="FFFFFF"/>
            <w:tcMar>
              <w:top w:w="113" w:type="dxa"/>
              <w:bottom w:w="113" w:type="dxa"/>
            </w:tcMar>
            <w:hideMark/>
          </w:tcPr>
          <w:p w:rsidR="00CD1430" w:rsidRPr="00A32AF4" w:rsidRDefault="00CD1430" w:rsidP="00B53790">
            <w:pPr>
              <w:rPr>
                <w:sz w:val="16"/>
                <w:szCs w:val="16"/>
              </w:rPr>
            </w:pPr>
            <w:r w:rsidRPr="00A32AF4">
              <w:rPr>
                <w:sz w:val="16"/>
                <w:szCs w:val="16"/>
              </w:rPr>
              <w:t>Au moins 3 technologies appropriées supplémentaires</w:t>
            </w:r>
            <w:r w:rsidRPr="00A32AF4">
              <w:rPr>
                <w:sz w:val="16"/>
                <w:szCs w:val="16"/>
              </w:rPr>
              <w:br/>
            </w:r>
            <w:r w:rsidRPr="00A32AF4">
              <w:rPr>
                <w:sz w:val="16"/>
                <w:szCs w:val="16"/>
              </w:rPr>
              <w:br/>
              <w:t>1 PMA</w:t>
            </w:r>
            <w:r w:rsidRPr="00A32AF4">
              <w:rPr>
                <w:sz w:val="16"/>
                <w:szCs w:val="16"/>
              </w:rPr>
              <w:br/>
            </w:r>
            <w:r w:rsidRPr="00A32AF4">
              <w:rPr>
                <w:sz w:val="16"/>
                <w:szCs w:val="16"/>
              </w:rPr>
              <w:br/>
            </w:r>
            <w:r w:rsidRPr="00A32AF4">
              <w:rPr>
                <w:sz w:val="16"/>
                <w:szCs w:val="16"/>
              </w:rPr>
              <w:br/>
            </w:r>
            <w:r w:rsidRPr="00A32AF4">
              <w:rPr>
                <w:sz w:val="16"/>
                <w:szCs w:val="16"/>
              </w:rPr>
              <w:br/>
              <w:t xml:space="preserve">3 institutions supplémentaires </w:t>
            </w:r>
          </w:p>
        </w:tc>
      </w:tr>
      <w:tr w:rsidR="0038294E" w:rsidRPr="00A32AF4" w:rsidTr="00B9341E">
        <w:trPr>
          <w:cantSplit/>
        </w:trPr>
        <w:tc>
          <w:tcPr>
            <w:tcW w:w="2280" w:type="dxa"/>
            <w:shd w:val="clear" w:color="000000" w:fill="FFFFFF"/>
            <w:tcMar>
              <w:top w:w="113" w:type="dxa"/>
              <w:bottom w:w="113" w:type="dxa"/>
            </w:tcMar>
            <w:hideMark/>
          </w:tcPr>
          <w:p w:rsidR="00CD1430" w:rsidRPr="00A32AF4" w:rsidRDefault="00CD1430" w:rsidP="00B53790">
            <w:pPr>
              <w:rPr>
                <w:sz w:val="16"/>
                <w:szCs w:val="16"/>
              </w:rPr>
            </w:pPr>
          </w:p>
        </w:tc>
        <w:tc>
          <w:tcPr>
            <w:tcW w:w="2180" w:type="dxa"/>
            <w:shd w:val="clear" w:color="000000" w:fill="FFFFFF"/>
            <w:tcMar>
              <w:top w:w="113" w:type="dxa"/>
              <w:bottom w:w="113" w:type="dxa"/>
            </w:tcMar>
            <w:hideMark/>
          </w:tcPr>
          <w:p w:rsidR="00CD1430" w:rsidRPr="00A32AF4" w:rsidRDefault="00CD1430" w:rsidP="00B53790">
            <w:pPr>
              <w:rPr>
                <w:sz w:val="16"/>
                <w:szCs w:val="16"/>
              </w:rPr>
            </w:pPr>
            <w:r w:rsidRPr="00A32AF4">
              <w:rPr>
                <w:sz w:val="16"/>
                <w:szCs w:val="16"/>
              </w:rPr>
              <w:t>Poursuite et développement des programmes nationaux de renforcement des capacités techniques relatifs aux technologies appropriées dans les PMA</w:t>
            </w:r>
          </w:p>
        </w:tc>
        <w:tc>
          <w:tcPr>
            <w:tcW w:w="2760" w:type="dxa"/>
            <w:shd w:val="clear" w:color="000000" w:fill="FFFFFF"/>
            <w:tcMar>
              <w:top w:w="113" w:type="dxa"/>
              <w:bottom w:w="113" w:type="dxa"/>
            </w:tcMar>
            <w:hideMark/>
          </w:tcPr>
          <w:p w:rsidR="00CD1430" w:rsidRPr="00A32AF4" w:rsidRDefault="00CD1430" w:rsidP="00B53790">
            <w:pPr>
              <w:rPr>
                <w:sz w:val="16"/>
                <w:szCs w:val="16"/>
              </w:rPr>
            </w:pPr>
            <w:r w:rsidRPr="00A32AF4">
              <w:rPr>
                <w:sz w:val="16"/>
                <w:szCs w:val="16"/>
              </w:rPr>
              <w:t>7 programmes</w:t>
            </w:r>
            <w:r w:rsidR="00AF5F65" w:rsidRPr="00A32AF4">
              <w:rPr>
                <w:sz w:val="16"/>
                <w:szCs w:val="16"/>
              </w:rPr>
              <w:t xml:space="preserve"> </w:t>
            </w:r>
            <w:r w:rsidR="00AF5F65" w:rsidRPr="00A32AF4">
              <w:rPr>
                <w:rFonts w:cs="Arial"/>
                <w:color w:val="000000"/>
                <w:sz w:val="16"/>
                <w:szCs w:val="16"/>
              </w:rPr>
              <w:t>(2014)</w:t>
            </w:r>
          </w:p>
        </w:tc>
        <w:tc>
          <w:tcPr>
            <w:tcW w:w="1975" w:type="dxa"/>
            <w:shd w:val="clear" w:color="000000" w:fill="FFFFFF"/>
            <w:tcMar>
              <w:top w:w="113" w:type="dxa"/>
              <w:bottom w:w="113" w:type="dxa"/>
            </w:tcMar>
            <w:hideMark/>
          </w:tcPr>
          <w:p w:rsidR="00CD1430" w:rsidRPr="00A32AF4" w:rsidRDefault="00CD1430" w:rsidP="00B53790">
            <w:pPr>
              <w:rPr>
                <w:sz w:val="16"/>
                <w:szCs w:val="16"/>
              </w:rPr>
            </w:pPr>
            <w:r w:rsidRPr="00A32AF4">
              <w:rPr>
                <w:sz w:val="16"/>
                <w:szCs w:val="16"/>
              </w:rPr>
              <w:t>6 programmes supplémentaires</w:t>
            </w:r>
          </w:p>
        </w:tc>
      </w:tr>
      <w:tr w:rsidR="0038294E" w:rsidRPr="00A32AF4" w:rsidTr="00B9341E">
        <w:trPr>
          <w:cantSplit/>
        </w:trPr>
        <w:tc>
          <w:tcPr>
            <w:tcW w:w="2280" w:type="dxa"/>
            <w:shd w:val="clear" w:color="000000" w:fill="FFFFFF"/>
            <w:tcMar>
              <w:top w:w="113" w:type="dxa"/>
              <w:bottom w:w="113" w:type="dxa"/>
            </w:tcMar>
            <w:hideMark/>
          </w:tcPr>
          <w:p w:rsidR="00CD1430" w:rsidRPr="00A32AF4" w:rsidRDefault="00CD1430" w:rsidP="00B53790">
            <w:pPr>
              <w:rPr>
                <w:sz w:val="16"/>
                <w:szCs w:val="16"/>
              </w:rPr>
            </w:pPr>
          </w:p>
        </w:tc>
        <w:tc>
          <w:tcPr>
            <w:tcW w:w="2180" w:type="dxa"/>
            <w:shd w:val="clear" w:color="000000" w:fill="FFFFFF"/>
            <w:tcMar>
              <w:top w:w="113" w:type="dxa"/>
              <w:bottom w:w="113" w:type="dxa"/>
            </w:tcMar>
            <w:hideMark/>
          </w:tcPr>
          <w:p w:rsidR="00CD1430" w:rsidRPr="00A32AF4" w:rsidRDefault="00CD1430" w:rsidP="00B53790">
            <w:pPr>
              <w:rPr>
                <w:sz w:val="16"/>
                <w:szCs w:val="16"/>
              </w:rPr>
            </w:pPr>
            <w:r w:rsidRPr="00A32AF4">
              <w:rPr>
                <w:sz w:val="16"/>
                <w:szCs w:val="16"/>
              </w:rPr>
              <w:t>Utilisation d</w:t>
            </w:r>
            <w:r w:rsidR="00E2055A" w:rsidRPr="00A32AF4">
              <w:rPr>
                <w:sz w:val="16"/>
                <w:szCs w:val="16"/>
              </w:rPr>
              <w:t>’</w:t>
            </w:r>
            <w:r w:rsidRPr="00A32AF4">
              <w:rPr>
                <w:sz w:val="16"/>
                <w:szCs w:val="16"/>
              </w:rPr>
              <w:t>une technologie appropriée pour le développement économique prévue dans les politiques et stratégies nationales en matière d</w:t>
            </w:r>
            <w:r w:rsidR="00E2055A" w:rsidRPr="00A32AF4">
              <w:rPr>
                <w:sz w:val="16"/>
                <w:szCs w:val="16"/>
              </w:rPr>
              <w:t>’</w:t>
            </w:r>
            <w:r w:rsidRPr="00A32AF4">
              <w:rPr>
                <w:sz w:val="16"/>
                <w:szCs w:val="16"/>
              </w:rPr>
              <w:t>innovation et de propriété intellectuelle dans les PMA</w:t>
            </w:r>
          </w:p>
        </w:tc>
        <w:tc>
          <w:tcPr>
            <w:tcW w:w="2760" w:type="dxa"/>
            <w:shd w:val="clear" w:color="000000" w:fill="FFFFFF"/>
            <w:tcMar>
              <w:top w:w="113" w:type="dxa"/>
              <w:bottom w:w="113" w:type="dxa"/>
            </w:tcMar>
            <w:hideMark/>
          </w:tcPr>
          <w:p w:rsidR="00CD1430" w:rsidRPr="00A32AF4" w:rsidRDefault="00CD1430" w:rsidP="00B53790">
            <w:pPr>
              <w:rPr>
                <w:sz w:val="16"/>
                <w:szCs w:val="16"/>
              </w:rPr>
            </w:pPr>
            <w:r w:rsidRPr="00A32AF4">
              <w:rPr>
                <w:sz w:val="16"/>
                <w:szCs w:val="16"/>
              </w:rPr>
              <w:t>s.o.</w:t>
            </w:r>
          </w:p>
        </w:tc>
        <w:tc>
          <w:tcPr>
            <w:tcW w:w="1975" w:type="dxa"/>
            <w:shd w:val="clear" w:color="000000" w:fill="FFFFFF"/>
            <w:tcMar>
              <w:top w:w="113" w:type="dxa"/>
              <w:bottom w:w="113" w:type="dxa"/>
            </w:tcMar>
            <w:hideMark/>
          </w:tcPr>
          <w:p w:rsidR="00CD1430" w:rsidRPr="00A32AF4" w:rsidRDefault="00CD1430" w:rsidP="00B53790">
            <w:pPr>
              <w:rPr>
                <w:sz w:val="16"/>
                <w:szCs w:val="16"/>
              </w:rPr>
            </w:pPr>
            <w:r w:rsidRPr="00A32AF4">
              <w:rPr>
                <w:sz w:val="16"/>
                <w:szCs w:val="16"/>
              </w:rPr>
              <w:t xml:space="preserve">1 PMA </w:t>
            </w:r>
          </w:p>
        </w:tc>
      </w:tr>
      <w:tr w:rsidR="0038294E" w:rsidRPr="00A32AF4" w:rsidTr="00B9341E">
        <w:trPr>
          <w:cantSplit/>
        </w:trPr>
        <w:tc>
          <w:tcPr>
            <w:tcW w:w="2280" w:type="dxa"/>
            <w:shd w:val="clear" w:color="000000" w:fill="FFFFFF"/>
            <w:tcMar>
              <w:top w:w="113" w:type="dxa"/>
              <w:bottom w:w="113" w:type="dxa"/>
            </w:tcMar>
            <w:hideMark/>
          </w:tcPr>
          <w:p w:rsidR="00CD1430" w:rsidRPr="00A32AF4" w:rsidRDefault="00CD1430" w:rsidP="00B53790">
            <w:pPr>
              <w:rPr>
                <w:sz w:val="16"/>
                <w:szCs w:val="16"/>
              </w:rPr>
            </w:pPr>
            <w:r w:rsidRPr="00A32AF4">
              <w:rPr>
                <w:sz w:val="16"/>
                <w:szCs w:val="16"/>
              </w:rPr>
              <w:t xml:space="preserve">IV.4 </w:t>
            </w:r>
            <w:r w:rsidR="00B32125" w:rsidRPr="00A32AF4">
              <w:rPr>
                <w:sz w:val="16"/>
                <w:szCs w:val="16"/>
              </w:rPr>
              <w:t>Amélioration de l</w:t>
            </w:r>
            <w:r w:rsidR="00E2055A" w:rsidRPr="00A32AF4">
              <w:rPr>
                <w:sz w:val="16"/>
                <w:szCs w:val="16"/>
              </w:rPr>
              <w:t>’</w:t>
            </w:r>
            <w:r w:rsidR="00B32125" w:rsidRPr="00A32AF4">
              <w:rPr>
                <w:sz w:val="16"/>
                <w:szCs w:val="16"/>
              </w:rPr>
              <w:t>infrastructure technique et du savoir pour les offices de propriété intellectuelle et les autres institutions de propriété intellectuelle, leur permettant de fournir à leurs parties prenantes des services améliorés (moins chers, plus rapides, de meilleure qualité) et d</w:t>
            </w:r>
            <w:r w:rsidR="00E2055A" w:rsidRPr="00A32AF4">
              <w:rPr>
                <w:sz w:val="16"/>
                <w:szCs w:val="16"/>
              </w:rPr>
              <w:t>’</w:t>
            </w:r>
            <w:r w:rsidR="00B32125" w:rsidRPr="00A32AF4">
              <w:rPr>
                <w:sz w:val="16"/>
                <w:szCs w:val="16"/>
              </w:rPr>
              <w:t>obtenir un meilleur résultat pour ce qui concerne l</w:t>
            </w:r>
            <w:r w:rsidR="00E2055A" w:rsidRPr="00A32AF4">
              <w:rPr>
                <w:sz w:val="16"/>
                <w:szCs w:val="16"/>
              </w:rPr>
              <w:t>’</w:t>
            </w:r>
            <w:r w:rsidR="00B32125" w:rsidRPr="00A32AF4">
              <w:rPr>
                <w:sz w:val="16"/>
                <w:szCs w:val="16"/>
              </w:rPr>
              <w:t>administration de la propriété intellectuelle</w:t>
            </w:r>
          </w:p>
        </w:tc>
        <w:tc>
          <w:tcPr>
            <w:tcW w:w="2180" w:type="dxa"/>
            <w:shd w:val="clear" w:color="000000" w:fill="FFFFFF"/>
            <w:tcMar>
              <w:top w:w="113" w:type="dxa"/>
              <w:bottom w:w="113" w:type="dxa"/>
            </w:tcMar>
            <w:hideMark/>
          </w:tcPr>
          <w:p w:rsidR="00CD1430" w:rsidRPr="00A32AF4" w:rsidRDefault="00CD1430" w:rsidP="00B53790">
            <w:pPr>
              <w:rPr>
                <w:sz w:val="16"/>
                <w:szCs w:val="16"/>
              </w:rPr>
            </w:pPr>
            <w:r w:rsidRPr="00A32AF4">
              <w:rPr>
                <w:sz w:val="16"/>
                <w:szCs w:val="16"/>
              </w:rPr>
              <w:t>Niveau de service moyen des offices de propriété intellectuelle bénéficiant d</w:t>
            </w:r>
            <w:r w:rsidR="00E2055A" w:rsidRPr="00A32AF4">
              <w:rPr>
                <w:sz w:val="16"/>
                <w:szCs w:val="16"/>
              </w:rPr>
              <w:t>’</w:t>
            </w:r>
            <w:r w:rsidRPr="00A32AF4">
              <w:rPr>
                <w:sz w:val="16"/>
                <w:szCs w:val="16"/>
              </w:rPr>
              <w:t>une assistance (de 1 à 5)</w:t>
            </w:r>
          </w:p>
        </w:tc>
        <w:tc>
          <w:tcPr>
            <w:tcW w:w="2760" w:type="dxa"/>
            <w:shd w:val="clear" w:color="000000" w:fill="FFFFFF"/>
            <w:tcMar>
              <w:top w:w="113" w:type="dxa"/>
              <w:bottom w:w="113" w:type="dxa"/>
            </w:tcMar>
            <w:hideMark/>
          </w:tcPr>
          <w:p w:rsidR="00CD1430" w:rsidRPr="00A32AF4" w:rsidRDefault="00CD1430" w:rsidP="00B53790">
            <w:pPr>
              <w:rPr>
                <w:sz w:val="16"/>
                <w:szCs w:val="16"/>
              </w:rPr>
            </w:pPr>
            <w:r w:rsidRPr="00A32AF4">
              <w:rPr>
                <w:sz w:val="16"/>
                <w:szCs w:val="16"/>
              </w:rPr>
              <w:t>Niveau de service moyen selon le rapport sur l</w:t>
            </w:r>
            <w:r w:rsidR="00E2055A" w:rsidRPr="00A32AF4">
              <w:rPr>
                <w:sz w:val="16"/>
                <w:szCs w:val="16"/>
              </w:rPr>
              <w:t>’</w:t>
            </w:r>
            <w:r w:rsidRPr="00A32AF4">
              <w:rPr>
                <w:sz w:val="16"/>
                <w:szCs w:val="16"/>
              </w:rPr>
              <w:t>exécution du programme en 2014 : 2,9</w:t>
            </w:r>
          </w:p>
        </w:tc>
        <w:tc>
          <w:tcPr>
            <w:tcW w:w="1975" w:type="dxa"/>
            <w:shd w:val="clear" w:color="000000" w:fill="FFFFFF"/>
            <w:tcMar>
              <w:top w:w="113" w:type="dxa"/>
              <w:bottom w:w="113" w:type="dxa"/>
            </w:tcMar>
            <w:hideMark/>
          </w:tcPr>
          <w:p w:rsidR="00CD1430" w:rsidRPr="00A32AF4" w:rsidRDefault="00CD1430" w:rsidP="00B53790">
            <w:pPr>
              <w:rPr>
                <w:sz w:val="16"/>
                <w:szCs w:val="16"/>
              </w:rPr>
            </w:pPr>
            <w:r w:rsidRPr="00A32AF4">
              <w:rPr>
                <w:sz w:val="16"/>
                <w:szCs w:val="16"/>
              </w:rPr>
              <w:t>Moyenne de 3,0 (à la fin de 2017)</w:t>
            </w:r>
          </w:p>
        </w:tc>
      </w:tr>
    </w:tbl>
    <w:p w:rsidR="00F93B76" w:rsidRPr="00A32AF4" w:rsidRDefault="00F93B76" w:rsidP="00DC0553"/>
    <w:p w:rsidR="00F93B76" w:rsidRPr="00A32AF4" w:rsidRDefault="00F93B76" w:rsidP="00DC0553"/>
    <w:p w:rsidR="00F93B76" w:rsidRPr="00A32AF4" w:rsidRDefault="00B32125" w:rsidP="00DC0553">
      <w:r w:rsidRPr="00A32AF4">
        <w:t>RESSOURCES ALLOUÉES AU PROGRAMME 9</w:t>
      </w:r>
    </w:p>
    <w:p w:rsidR="00F93B76" w:rsidRPr="00A32AF4" w:rsidRDefault="00F93B76" w:rsidP="00DC0553"/>
    <w:p w:rsidR="00F93B76" w:rsidRPr="00A32AF4" w:rsidRDefault="00CD1430" w:rsidP="00DC0553">
      <w:pPr>
        <w:pStyle w:val="ListParagraph"/>
        <w:numPr>
          <w:ilvl w:val="0"/>
          <w:numId w:val="20"/>
        </w:numPr>
        <w:tabs>
          <w:tab w:val="left" w:pos="709"/>
        </w:tabs>
        <w:spacing w:after="0" w:line="240" w:lineRule="auto"/>
        <w:jc w:val="both"/>
        <w:rPr>
          <w:rFonts w:ascii="Arial" w:hAnsi="Arial" w:cs="Arial"/>
        </w:rPr>
      </w:pPr>
      <w:r w:rsidRPr="00A32AF4">
        <w:rPr>
          <w:rFonts w:ascii="Arial" w:hAnsi="Arial" w:cs="Arial"/>
        </w:rPr>
        <w:t>On constate une augmentation de 4,3% des dépenses autres que les dépenses de personnel pour le programme 9 en 2016</w:t>
      </w:r>
      <w:r w:rsidR="00EB7F54" w:rsidRPr="00A32AF4">
        <w:rPr>
          <w:rFonts w:ascii="Arial" w:hAnsi="Arial" w:cs="Arial"/>
        </w:rPr>
        <w:noBreakHyphen/>
      </w:r>
      <w:r w:rsidRPr="00A32AF4">
        <w:rPr>
          <w:rFonts w:ascii="Arial" w:hAnsi="Arial" w:cs="Arial"/>
        </w:rPr>
        <w:t>2017 par rapport au budget 2014</w:t>
      </w:r>
      <w:r w:rsidR="00EB7F54" w:rsidRPr="00A32AF4">
        <w:rPr>
          <w:rFonts w:ascii="Arial" w:hAnsi="Arial" w:cs="Arial"/>
        </w:rPr>
        <w:noBreakHyphen/>
      </w:r>
      <w:r w:rsidRPr="00A32AF4">
        <w:rPr>
          <w:rFonts w:ascii="Arial" w:hAnsi="Arial" w:cs="Arial"/>
        </w:rPr>
        <w:t>2015 après virements.  Cela vient principalement des ressources supplémentaires allouées pour la mise en œuvre de deux projets du Plan d</w:t>
      </w:r>
      <w:r w:rsidR="00E2055A" w:rsidRPr="00A32AF4">
        <w:rPr>
          <w:rFonts w:ascii="Arial" w:hAnsi="Arial" w:cs="Arial"/>
        </w:rPr>
        <w:t>’</w:t>
      </w:r>
      <w:r w:rsidRPr="00A32AF4">
        <w:rPr>
          <w:rFonts w:ascii="Arial" w:hAnsi="Arial" w:cs="Arial"/>
        </w:rPr>
        <w:t xml:space="preserve">action pour le développement, </w:t>
      </w:r>
      <w:r w:rsidR="00E2055A" w:rsidRPr="00A32AF4">
        <w:rPr>
          <w:rFonts w:ascii="Arial" w:hAnsi="Arial" w:cs="Arial"/>
        </w:rPr>
        <w:t>à savoir</w:t>
      </w:r>
      <w:r w:rsidRPr="00A32AF4">
        <w:rPr>
          <w:rFonts w:ascii="Arial" w:hAnsi="Arial" w:cs="Arial"/>
        </w:rPr>
        <w:t xml:space="preserve"> le projet concernant la propriété intellectuelle et le tourisme et le projet relatif au renforcement des capacités d</w:t>
      </w:r>
      <w:r w:rsidR="00E2055A" w:rsidRPr="00A32AF4">
        <w:rPr>
          <w:rFonts w:ascii="Arial" w:hAnsi="Arial" w:cs="Arial"/>
        </w:rPr>
        <w:t>’</w:t>
      </w:r>
      <w:r w:rsidRPr="00A32AF4">
        <w:rPr>
          <w:rFonts w:ascii="Arial" w:hAnsi="Arial" w:cs="Arial"/>
        </w:rPr>
        <w:t>utilisation de technologies appropriées dans les PMA (phase II).  Cette augmentation concerne le résultat escompté III.2.</w:t>
      </w:r>
    </w:p>
    <w:p w:rsidR="00F93B76" w:rsidRPr="00A32AF4" w:rsidRDefault="00F93B76" w:rsidP="00DC0553">
      <w:pPr>
        <w:pStyle w:val="ListParagraph"/>
        <w:tabs>
          <w:tab w:val="left" w:pos="709"/>
        </w:tabs>
        <w:spacing w:after="0" w:line="240" w:lineRule="auto"/>
        <w:ind w:left="0"/>
        <w:jc w:val="both"/>
        <w:rPr>
          <w:rFonts w:ascii="Arial" w:hAnsi="Arial" w:cs="Arial"/>
        </w:rPr>
      </w:pPr>
    </w:p>
    <w:p w:rsidR="00F93B76" w:rsidRPr="00A32AF4" w:rsidRDefault="00CD1430" w:rsidP="00DC0553">
      <w:pPr>
        <w:pStyle w:val="ListParagraph"/>
        <w:numPr>
          <w:ilvl w:val="0"/>
          <w:numId w:val="20"/>
        </w:numPr>
        <w:tabs>
          <w:tab w:val="left" w:pos="709"/>
        </w:tabs>
        <w:spacing w:after="0" w:line="240" w:lineRule="auto"/>
        <w:jc w:val="both"/>
        <w:rPr>
          <w:rFonts w:ascii="Arial" w:hAnsi="Arial" w:cs="Arial"/>
        </w:rPr>
      </w:pPr>
      <w:r w:rsidRPr="00A32AF4">
        <w:rPr>
          <w:rFonts w:ascii="Arial" w:hAnsi="Arial" w:cs="Arial"/>
        </w:rPr>
        <w:t>L</w:t>
      </w:r>
      <w:r w:rsidR="00E2055A" w:rsidRPr="00A32AF4">
        <w:rPr>
          <w:rFonts w:ascii="Arial" w:hAnsi="Arial" w:cs="Arial"/>
        </w:rPr>
        <w:t>’</w:t>
      </w:r>
      <w:r w:rsidRPr="00A32AF4">
        <w:rPr>
          <w:rFonts w:ascii="Arial" w:hAnsi="Arial" w:cs="Arial"/>
        </w:rPr>
        <w:t>augmentation des ressources concernant le résultat escompté IV.2 vient de l</w:t>
      </w:r>
      <w:r w:rsidR="00E2055A" w:rsidRPr="00A32AF4">
        <w:rPr>
          <w:rFonts w:ascii="Arial" w:hAnsi="Arial" w:cs="Arial"/>
        </w:rPr>
        <w:t>’</w:t>
      </w:r>
      <w:r w:rsidRPr="00A32AF4">
        <w:rPr>
          <w:rFonts w:ascii="Arial" w:hAnsi="Arial" w:cs="Arial"/>
        </w:rPr>
        <w:t>accent mis sur l</w:t>
      </w:r>
      <w:r w:rsidR="00E2055A" w:rsidRPr="00A32AF4">
        <w:rPr>
          <w:rFonts w:ascii="Arial" w:hAnsi="Arial" w:cs="Arial"/>
        </w:rPr>
        <w:t>’</w:t>
      </w:r>
      <w:r w:rsidRPr="00A32AF4">
        <w:rPr>
          <w:rFonts w:ascii="Arial" w:hAnsi="Arial" w:cs="Arial"/>
        </w:rPr>
        <w:t>amélioration de l</w:t>
      </w:r>
      <w:r w:rsidR="00E2055A" w:rsidRPr="00A32AF4">
        <w:rPr>
          <w:rFonts w:ascii="Arial" w:hAnsi="Arial" w:cs="Arial"/>
        </w:rPr>
        <w:t>’</w:t>
      </w:r>
      <w:r w:rsidRPr="00A32AF4">
        <w:rPr>
          <w:rFonts w:ascii="Arial" w:hAnsi="Arial" w:cs="Arial"/>
        </w:rPr>
        <w:t>accessibilité et de l</w:t>
      </w:r>
      <w:r w:rsidR="00E2055A" w:rsidRPr="00A32AF4">
        <w:rPr>
          <w:rFonts w:ascii="Arial" w:hAnsi="Arial" w:cs="Arial"/>
        </w:rPr>
        <w:t>’</w:t>
      </w:r>
      <w:r w:rsidRPr="00A32AF4">
        <w:rPr>
          <w:rFonts w:ascii="Arial" w:hAnsi="Arial" w:cs="Arial"/>
        </w:rPr>
        <w:t>utilisation de l</w:t>
      </w:r>
      <w:r w:rsidR="00E2055A" w:rsidRPr="00A32AF4">
        <w:rPr>
          <w:rFonts w:ascii="Arial" w:hAnsi="Arial" w:cs="Arial"/>
        </w:rPr>
        <w:t>’</w:t>
      </w:r>
      <w:r w:rsidRPr="00A32AF4">
        <w:rPr>
          <w:rFonts w:ascii="Arial" w:hAnsi="Arial" w:cs="Arial"/>
        </w:rPr>
        <w:t>information en matière de propriété intellectuelle par les institutions compétentes et le public pour promouvoir l</w:t>
      </w:r>
      <w:r w:rsidR="00E2055A" w:rsidRPr="00A32AF4">
        <w:rPr>
          <w:rFonts w:ascii="Arial" w:hAnsi="Arial" w:cs="Arial"/>
        </w:rPr>
        <w:t>’</w:t>
      </w:r>
      <w:r w:rsidRPr="00A32AF4">
        <w:rPr>
          <w:rFonts w:ascii="Arial" w:hAnsi="Arial" w:cs="Arial"/>
        </w:rPr>
        <w:t>innovation et la créativité.  La diminution des ressources concernant les résultats escomptés I.2 et IV.4 vient du fait que l</w:t>
      </w:r>
      <w:r w:rsidR="00E2055A" w:rsidRPr="00A32AF4">
        <w:rPr>
          <w:rFonts w:ascii="Arial" w:hAnsi="Arial" w:cs="Arial"/>
        </w:rPr>
        <w:t>’</w:t>
      </w:r>
      <w:r w:rsidRPr="00A32AF4">
        <w:rPr>
          <w:rFonts w:ascii="Arial" w:hAnsi="Arial" w:cs="Arial"/>
        </w:rPr>
        <w:t>intégration des activités relatives aux conseils d</w:t>
      </w:r>
      <w:r w:rsidR="00E2055A" w:rsidRPr="00A32AF4">
        <w:rPr>
          <w:rFonts w:ascii="Arial" w:hAnsi="Arial" w:cs="Arial"/>
        </w:rPr>
        <w:t>’</w:t>
      </w:r>
      <w:r w:rsidRPr="00A32AF4">
        <w:rPr>
          <w:rFonts w:ascii="Arial" w:hAnsi="Arial" w:cs="Arial"/>
        </w:rPr>
        <w:t>ordre législatif et aux solutions administratives pour les offices de propriété intellectuelle dans les programmes 1, 2, 3, 4 et 15 respectivement est maintenant terminée.</w:t>
      </w:r>
      <w:r w:rsidR="008E2946" w:rsidRPr="00A32AF4">
        <w:rPr>
          <w:rFonts w:ascii="Arial" w:hAnsi="Arial" w:cs="Arial"/>
        </w:rPr>
        <w:t xml:space="preserve">  </w:t>
      </w:r>
      <w:r w:rsidR="006A3066" w:rsidRPr="00A32AF4">
        <w:rPr>
          <w:rFonts w:ascii="Arial" w:hAnsi="Arial" w:cs="Arial"/>
        </w:rPr>
        <w:t>Les r</w:t>
      </w:r>
      <w:r w:rsidR="008E2946" w:rsidRPr="00A32AF4">
        <w:rPr>
          <w:rFonts w:ascii="Arial" w:hAnsi="Arial" w:cs="Arial"/>
        </w:rPr>
        <w:t>es</w:t>
      </w:r>
      <w:r w:rsidR="006A3066" w:rsidRPr="00A32AF4">
        <w:rPr>
          <w:rFonts w:ascii="Arial" w:hAnsi="Arial" w:cs="Arial"/>
        </w:rPr>
        <w:t>s</w:t>
      </w:r>
      <w:r w:rsidR="008E2946" w:rsidRPr="00A32AF4">
        <w:rPr>
          <w:rFonts w:ascii="Arial" w:hAnsi="Arial" w:cs="Arial"/>
        </w:rPr>
        <w:t>ources li</w:t>
      </w:r>
      <w:r w:rsidR="006A3066" w:rsidRPr="00A32AF4">
        <w:rPr>
          <w:rFonts w:ascii="Arial" w:hAnsi="Arial" w:cs="Arial"/>
        </w:rPr>
        <w:t xml:space="preserve">ées au résultat escompté </w:t>
      </w:r>
      <w:r w:rsidR="008E2946" w:rsidRPr="00A32AF4">
        <w:rPr>
          <w:rFonts w:ascii="Arial" w:hAnsi="Arial" w:cs="Arial"/>
        </w:rPr>
        <w:t xml:space="preserve">III.3 </w:t>
      </w:r>
      <w:r w:rsidR="006A3066" w:rsidRPr="00A32AF4">
        <w:rPr>
          <w:rFonts w:ascii="Arial" w:hAnsi="Arial" w:cs="Arial"/>
        </w:rPr>
        <w:t xml:space="preserve">au titre de ce programme </w:t>
      </w:r>
      <w:r w:rsidR="009F72A6" w:rsidRPr="00A32AF4">
        <w:rPr>
          <w:rFonts w:ascii="Arial" w:hAnsi="Arial" w:cs="Arial"/>
        </w:rPr>
        <w:t xml:space="preserve">traduisent les </w:t>
      </w:r>
      <w:r w:rsidR="008E2946" w:rsidRPr="00A32AF4">
        <w:rPr>
          <w:rFonts w:ascii="Arial" w:hAnsi="Arial" w:cs="Arial"/>
        </w:rPr>
        <w:t xml:space="preserve">efforts </w:t>
      </w:r>
      <w:r w:rsidR="009F72A6" w:rsidRPr="00A32AF4">
        <w:rPr>
          <w:rFonts w:ascii="Arial" w:hAnsi="Arial" w:cs="Arial"/>
        </w:rPr>
        <w:t>déployés par le Bureau du vice</w:t>
      </w:r>
      <w:r w:rsidR="00EB7F54" w:rsidRPr="00A32AF4">
        <w:rPr>
          <w:rFonts w:ascii="Arial" w:hAnsi="Arial" w:cs="Arial"/>
        </w:rPr>
        <w:noBreakHyphen/>
      </w:r>
      <w:r w:rsidR="009F72A6" w:rsidRPr="00A32AF4">
        <w:rPr>
          <w:rFonts w:ascii="Arial" w:hAnsi="Arial" w:cs="Arial"/>
        </w:rPr>
        <w:t>directeur général chargé du Secteur du développement en faveur des activités relevant du p</w:t>
      </w:r>
      <w:r w:rsidR="008E2946" w:rsidRPr="00A32AF4">
        <w:rPr>
          <w:rFonts w:ascii="Arial" w:hAnsi="Arial" w:cs="Arial"/>
        </w:rPr>
        <w:t>rogram</w:t>
      </w:r>
      <w:r w:rsidR="009F72A6" w:rsidRPr="00A32AF4">
        <w:rPr>
          <w:rFonts w:ascii="Arial" w:hAnsi="Arial" w:cs="Arial"/>
        </w:rPr>
        <w:t>me</w:t>
      </w:r>
      <w:r w:rsidR="008E2946" w:rsidRPr="00A32AF4">
        <w:rPr>
          <w:rFonts w:ascii="Arial" w:hAnsi="Arial" w:cs="Arial"/>
        </w:rPr>
        <w:t xml:space="preserve"> 8.</w:t>
      </w:r>
    </w:p>
    <w:p w:rsidR="00F93B76" w:rsidRPr="00A32AF4" w:rsidRDefault="00F93B76" w:rsidP="00DC0553">
      <w:pPr>
        <w:pStyle w:val="ListParagraph"/>
        <w:spacing w:after="0" w:line="240" w:lineRule="auto"/>
        <w:ind w:left="0"/>
        <w:jc w:val="both"/>
        <w:rPr>
          <w:rFonts w:ascii="Arial" w:hAnsi="Arial" w:cs="Arial"/>
        </w:rPr>
      </w:pPr>
    </w:p>
    <w:p w:rsidR="00F93B76" w:rsidRPr="00A32AF4" w:rsidRDefault="0040619A" w:rsidP="00DC0553">
      <w:pPr>
        <w:pStyle w:val="ListParagraph"/>
        <w:numPr>
          <w:ilvl w:val="0"/>
          <w:numId w:val="20"/>
        </w:numPr>
        <w:tabs>
          <w:tab w:val="left" w:pos="709"/>
        </w:tabs>
        <w:spacing w:after="0" w:line="240" w:lineRule="auto"/>
        <w:jc w:val="both"/>
        <w:rPr>
          <w:rFonts w:ascii="Arial" w:hAnsi="Arial" w:cs="Arial"/>
        </w:rPr>
      </w:pPr>
      <w:r w:rsidRPr="00A32AF4">
        <w:rPr>
          <w:rFonts w:ascii="Arial" w:hAnsi="Arial" w:cs="Arial"/>
        </w:rPr>
        <w:t>Les ressources</w:t>
      </w:r>
      <w:r w:rsidR="00CD1430" w:rsidRPr="00A32AF4">
        <w:rPr>
          <w:rFonts w:ascii="Arial" w:hAnsi="Arial" w:cs="Arial"/>
        </w:rPr>
        <w:t xml:space="preserve"> pour les agents temporaires </w:t>
      </w:r>
      <w:r w:rsidR="001A00FE" w:rsidRPr="00A32AF4">
        <w:rPr>
          <w:rFonts w:ascii="Arial" w:hAnsi="Arial" w:cs="Arial"/>
        </w:rPr>
        <w:t>ont</w:t>
      </w:r>
      <w:r w:rsidR="00CD1430" w:rsidRPr="00A32AF4">
        <w:rPr>
          <w:rFonts w:ascii="Arial" w:hAnsi="Arial" w:cs="Arial"/>
        </w:rPr>
        <w:t xml:space="preserve"> diminué en 2016</w:t>
      </w:r>
      <w:r w:rsidR="00EB7F54" w:rsidRPr="00A32AF4">
        <w:rPr>
          <w:rFonts w:ascii="Arial" w:hAnsi="Arial" w:cs="Arial"/>
        </w:rPr>
        <w:noBreakHyphen/>
      </w:r>
      <w:r w:rsidR="00CD1430" w:rsidRPr="00A32AF4">
        <w:rPr>
          <w:rFonts w:ascii="Arial" w:hAnsi="Arial" w:cs="Arial"/>
        </w:rPr>
        <w:t>2017 par rapport au budget 2014</w:t>
      </w:r>
      <w:r w:rsidR="00EB7F54" w:rsidRPr="00A32AF4">
        <w:rPr>
          <w:rFonts w:ascii="Arial" w:hAnsi="Arial" w:cs="Arial"/>
        </w:rPr>
        <w:noBreakHyphen/>
      </w:r>
      <w:r w:rsidR="00CD1430" w:rsidRPr="00A32AF4">
        <w:rPr>
          <w:rFonts w:ascii="Arial" w:hAnsi="Arial" w:cs="Arial"/>
        </w:rPr>
        <w:t>2015 après virements, du fait de la régularisation des agents temporaires de longue durée en</w:t>
      </w:r>
      <w:r w:rsidR="00FD43E3" w:rsidRPr="00A32AF4">
        <w:rPr>
          <w:rFonts w:ascii="Arial" w:hAnsi="Arial" w:cs="Arial"/>
        </w:rPr>
        <w:t> </w:t>
      </w:r>
      <w:r w:rsidR="00CD1430" w:rsidRPr="00A32AF4">
        <w:rPr>
          <w:rFonts w:ascii="Arial" w:hAnsi="Arial" w:cs="Arial"/>
        </w:rPr>
        <w:t>2014</w:t>
      </w:r>
      <w:r w:rsidR="00EB7F54" w:rsidRPr="00A32AF4">
        <w:rPr>
          <w:rFonts w:ascii="Arial" w:hAnsi="Arial" w:cs="Arial"/>
        </w:rPr>
        <w:noBreakHyphen/>
      </w:r>
      <w:r w:rsidR="00CD1430" w:rsidRPr="00A32AF4">
        <w:rPr>
          <w:rFonts w:ascii="Arial" w:hAnsi="Arial" w:cs="Arial"/>
        </w:rPr>
        <w:t xml:space="preserve">2015.  </w:t>
      </w:r>
      <w:r w:rsidR="009F72A6" w:rsidRPr="00A32AF4">
        <w:rPr>
          <w:rFonts w:ascii="Arial" w:hAnsi="Arial" w:cs="Arial"/>
        </w:rPr>
        <w:t>La diminution des dépenses de personnel découle de l</w:t>
      </w:r>
      <w:r w:rsidR="00E2055A" w:rsidRPr="00A32AF4">
        <w:rPr>
          <w:rFonts w:ascii="Arial" w:hAnsi="Arial" w:cs="Arial"/>
        </w:rPr>
        <w:t>’</w:t>
      </w:r>
      <w:r w:rsidR="009F72A6" w:rsidRPr="00A32AF4">
        <w:rPr>
          <w:rFonts w:ascii="Arial" w:hAnsi="Arial" w:cs="Arial"/>
        </w:rPr>
        <w:t>achèvement de plusieurs projets relevant du Plan d</w:t>
      </w:r>
      <w:r w:rsidR="00E2055A" w:rsidRPr="00A32AF4">
        <w:rPr>
          <w:rFonts w:ascii="Arial" w:hAnsi="Arial" w:cs="Arial"/>
        </w:rPr>
        <w:t>’</w:t>
      </w:r>
      <w:r w:rsidR="009F72A6" w:rsidRPr="00A32AF4">
        <w:rPr>
          <w:rFonts w:ascii="Arial" w:hAnsi="Arial" w:cs="Arial"/>
        </w:rPr>
        <w:t>action pour le développement lors des exercices biennaux précédents</w:t>
      </w:r>
      <w:r w:rsidR="008E2946" w:rsidRPr="00A32AF4">
        <w:rPr>
          <w:rFonts w:ascii="Arial" w:hAnsi="Arial" w:cs="Arial"/>
        </w:rPr>
        <w:t>.</w:t>
      </w:r>
    </w:p>
    <w:p w:rsidR="00F93B76" w:rsidRPr="00A32AF4" w:rsidRDefault="00F93B76" w:rsidP="00DC0553"/>
    <w:p w:rsidR="00F93B76" w:rsidRPr="00A32AF4" w:rsidRDefault="00F93B76" w:rsidP="00DC0553"/>
    <w:p w:rsidR="00F93B76" w:rsidRPr="00A32AF4" w:rsidRDefault="00B32125" w:rsidP="00DC0553">
      <w:pPr>
        <w:keepNext/>
        <w:keepLines/>
        <w:autoSpaceDE w:val="0"/>
        <w:autoSpaceDN w:val="0"/>
        <w:jc w:val="center"/>
        <w:rPr>
          <w:rFonts w:cs="Arial"/>
          <w:b/>
        </w:rPr>
      </w:pPr>
      <w:r w:rsidRPr="00A32AF4">
        <w:rPr>
          <w:rFonts w:cs="Arial"/>
          <w:b/>
        </w:rPr>
        <w:t>Programme 9 : ressources par résultat</w:t>
      </w:r>
    </w:p>
    <w:p w:rsidR="00F93B76" w:rsidRPr="00A32AF4" w:rsidRDefault="00B32125" w:rsidP="00DC0553">
      <w:pPr>
        <w:keepNext/>
        <w:keepLines/>
        <w:autoSpaceDE w:val="0"/>
        <w:autoSpaceDN w:val="0"/>
        <w:jc w:val="center"/>
        <w:rPr>
          <w:rFonts w:cs="Arial"/>
          <w:i/>
        </w:rPr>
      </w:pPr>
      <w:r w:rsidRPr="00A32AF4">
        <w:rPr>
          <w:rFonts w:cs="Arial"/>
          <w:i/>
        </w:rPr>
        <w:t>(</w:t>
      </w:r>
      <w:proofErr w:type="gramStart"/>
      <w:r w:rsidRPr="00A32AF4">
        <w:rPr>
          <w:rFonts w:cs="Arial"/>
          <w:i/>
        </w:rPr>
        <w:t>en</w:t>
      </w:r>
      <w:proofErr w:type="gramEnd"/>
      <w:r w:rsidRPr="00A32AF4">
        <w:rPr>
          <w:rFonts w:cs="Arial"/>
          <w:i/>
        </w:rPr>
        <w:t xml:space="preserve"> milliers de francs suisses)</w:t>
      </w:r>
    </w:p>
    <w:p w:rsidR="00B32125" w:rsidRPr="00A32AF4" w:rsidRDefault="00B32125" w:rsidP="00DC0553">
      <w:pPr>
        <w:keepNext/>
      </w:pPr>
    </w:p>
    <w:tbl>
      <w:tblPr>
        <w:tblW w:w="8980" w:type="dxa"/>
        <w:tblInd w:w="55" w:type="dxa"/>
        <w:tblCellMar>
          <w:left w:w="70" w:type="dxa"/>
          <w:right w:w="70" w:type="dxa"/>
        </w:tblCellMar>
        <w:tblLook w:val="04A0" w:firstRow="1" w:lastRow="0" w:firstColumn="1" w:lastColumn="0" w:noHBand="0" w:noVBand="1"/>
      </w:tblPr>
      <w:tblGrid>
        <w:gridCol w:w="592"/>
        <w:gridCol w:w="4428"/>
        <w:gridCol w:w="1260"/>
        <w:gridCol w:w="1440"/>
        <w:gridCol w:w="1260"/>
      </w:tblGrid>
      <w:tr w:rsidR="00B32125" w:rsidRPr="00A32AF4" w:rsidTr="00B32125">
        <w:tc>
          <w:tcPr>
            <w:tcW w:w="5020" w:type="dxa"/>
            <w:gridSpan w:val="2"/>
            <w:tcBorders>
              <w:top w:val="single" w:sz="4" w:space="0" w:color="auto"/>
              <w:left w:val="single" w:sz="4" w:space="0" w:color="auto"/>
              <w:bottom w:val="single" w:sz="4" w:space="0" w:color="auto"/>
              <w:right w:val="single" w:sz="4" w:space="0" w:color="000000"/>
            </w:tcBorders>
            <w:shd w:val="clear" w:color="000000" w:fill="C5D9F1"/>
            <w:noWrap/>
            <w:tcMar>
              <w:top w:w="113" w:type="dxa"/>
              <w:bottom w:w="113" w:type="dxa"/>
            </w:tcMar>
            <w:vAlign w:val="center"/>
            <w:hideMark/>
          </w:tcPr>
          <w:p w:rsidR="00B32125" w:rsidRPr="00A32AF4" w:rsidRDefault="00B32125" w:rsidP="00DC0553">
            <w:pPr>
              <w:jc w:val="center"/>
              <w:rPr>
                <w:rFonts w:cs="Arial"/>
                <w:i/>
                <w:iCs/>
                <w:sz w:val="16"/>
                <w:szCs w:val="16"/>
                <w:lang w:eastAsia="fr-FR"/>
              </w:rPr>
            </w:pPr>
            <w:r w:rsidRPr="00A32AF4">
              <w:rPr>
                <w:rFonts w:cs="Arial"/>
                <w:i/>
                <w:iCs/>
                <w:sz w:val="16"/>
                <w:szCs w:val="16"/>
                <w:lang w:eastAsia="fr-FR"/>
              </w:rPr>
              <w:t xml:space="preserve">Numéro et description du résultat escompté </w:t>
            </w:r>
          </w:p>
        </w:tc>
        <w:tc>
          <w:tcPr>
            <w:tcW w:w="126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B32125" w:rsidRPr="00A32AF4" w:rsidRDefault="00B32125" w:rsidP="00DC0553">
            <w:pPr>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2014</w:t>
            </w:r>
            <w:r w:rsidR="00EB7F54" w:rsidRPr="00A32AF4">
              <w:rPr>
                <w:rFonts w:cs="Arial"/>
                <w:i/>
                <w:iCs/>
                <w:sz w:val="16"/>
                <w:szCs w:val="16"/>
                <w:lang w:eastAsia="fr-FR"/>
              </w:rPr>
              <w:noBreakHyphen/>
            </w:r>
            <w:r w:rsidRPr="00A32AF4">
              <w:rPr>
                <w:rFonts w:cs="Arial"/>
                <w:i/>
                <w:iCs/>
                <w:sz w:val="16"/>
                <w:szCs w:val="16"/>
                <w:lang w:eastAsia="fr-FR"/>
              </w:rPr>
              <w:t>2015 approuvé</w:t>
            </w:r>
          </w:p>
        </w:tc>
        <w:tc>
          <w:tcPr>
            <w:tcW w:w="144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B32125" w:rsidRPr="00A32AF4" w:rsidRDefault="00B32125" w:rsidP="00DC0553">
            <w:pPr>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2014</w:t>
            </w:r>
            <w:r w:rsidR="00EB7F54" w:rsidRPr="00A32AF4">
              <w:rPr>
                <w:rFonts w:cs="Arial"/>
                <w:i/>
                <w:iCs/>
                <w:sz w:val="16"/>
                <w:szCs w:val="16"/>
                <w:lang w:eastAsia="fr-FR"/>
              </w:rPr>
              <w:noBreakHyphen/>
            </w:r>
            <w:r w:rsidRPr="00A32AF4">
              <w:rPr>
                <w:rFonts w:cs="Arial"/>
                <w:i/>
                <w:iCs/>
                <w:sz w:val="16"/>
                <w:szCs w:val="16"/>
                <w:lang w:eastAsia="fr-FR"/>
              </w:rPr>
              <w:t>2015 après virements</w:t>
            </w:r>
          </w:p>
        </w:tc>
        <w:tc>
          <w:tcPr>
            <w:tcW w:w="126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B32125" w:rsidRPr="00A32AF4" w:rsidRDefault="00B32125" w:rsidP="00DC0553">
            <w:pPr>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2016</w:t>
            </w:r>
            <w:r w:rsidR="00EB7F54" w:rsidRPr="00A32AF4">
              <w:rPr>
                <w:rFonts w:cs="Arial"/>
                <w:i/>
                <w:iCs/>
                <w:sz w:val="16"/>
                <w:szCs w:val="16"/>
                <w:lang w:eastAsia="fr-FR"/>
              </w:rPr>
              <w:noBreakHyphen/>
            </w:r>
            <w:r w:rsidRPr="00A32AF4">
              <w:rPr>
                <w:rFonts w:cs="Arial"/>
                <w:i/>
                <w:iCs/>
                <w:sz w:val="16"/>
                <w:szCs w:val="16"/>
                <w:lang w:eastAsia="fr-FR"/>
              </w:rPr>
              <w:t>2017 proposé</w:t>
            </w:r>
          </w:p>
        </w:tc>
      </w:tr>
      <w:tr w:rsidR="00B32125" w:rsidRPr="00A32AF4" w:rsidTr="00B32125">
        <w:tc>
          <w:tcPr>
            <w:tcW w:w="592" w:type="dxa"/>
            <w:tcBorders>
              <w:top w:val="nil"/>
              <w:left w:val="single" w:sz="4" w:space="0" w:color="auto"/>
              <w:bottom w:val="nil"/>
              <w:right w:val="nil"/>
            </w:tcBorders>
            <w:shd w:val="clear" w:color="auto" w:fill="auto"/>
            <w:noWrap/>
            <w:tcMar>
              <w:top w:w="113" w:type="dxa"/>
              <w:bottom w:w="113" w:type="dxa"/>
            </w:tcMar>
            <w:vAlign w:val="center"/>
            <w:hideMark/>
          </w:tcPr>
          <w:p w:rsidR="00B32125" w:rsidRPr="00A32AF4" w:rsidRDefault="00B32125" w:rsidP="00DC0553">
            <w:pPr>
              <w:rPr>
                <w:rFonts w:cs="Arial"/>
                <w:sz w:val="16"/>
                <w:szCs w:val="16"/>
                <w:lang w:eastAsia="fr-FR"/>
              </w:rPr>
            </w:pPr>
            <w:r w:rsidRPr="00A32AF4">
              <w:rPr>
                <w:rFonts w:cs="Arial"/>
                <w:sz w:val="16"/>
                <w:szCs w:val="16"/>
                <w:lang w:eastAsia="fr-FR"/>
              </w:rPr>
              <w:t>I.2</w:t>
            </w:r>
          </w:p>
        </w:tc>
        <w:tc>
          <w:tcPr>
            <w:tcW w:w="4428" w:type="dxa"/>
            <w:tcBorders>
              <w:top w:val="nil"/>
              <w:left w:val="nil"/>
              <w:bottom w:val="nil"/>
              <w:right w:val="nil"/>
            </w:tcBorders>
            <w:shd w:val="clear" w:color="auto" w:fill="auto"/>
            <w:tcMar>
              <w:top w:w="113" w:type="dxa"/>
              <w:bottom w:w="113" w:type="dxa"/>
            </w:tcMar>
            <w:vAlign w:val="center"/>
            <w:hideMark/>
          </w:tcPr>
          <w:p w:rsidR="00B32125" w:rsidRPr="00A32AF4" w:rsidRDefault="00B32125" w:rsidP="00DC0553">
            <w:pPr>
              <w:rPr>
                <w:rFonts w:cs="Arial"/>
                <w:sz w:val="16"/>
                <w:szCs w:val="16"/>
                <w:lang w:eastAsia="fr-FR"/>
              </w:rPr>
            </w:pPr>
            <w:r w:rsidRPr="00A32AF4">
              <w:rPr>
                <w:rFonts w:cs="Arial"/>
                <w:sz w:val="16"/>
                <w:szCs w:val="16"/>
                <w:lang w:eastAsia="fr-FR"/>
              </w:rPr>
              <w:t>Cadres législatifs, réglementaires et politiques de propriété intellectuelle adaptés et équilibrés</w:t>
            </w:r>
          </w:p>
        </w:tc>
        <w:tc>
          <w:tcPr>
            <w:tcW w:w="1260" w:type="dxa"/>
            <w:tcBorders>
              <w:top w:val="nil"/>
              <w:left w:val="nil"/>
              <w:bottom w:val="nil"/>
              <w:right w:val="nil"/>
            </w:tcBorders>
            <w:shd w:val="clear" w:color="auto" w:fill="auto"/>
            <w:tcMar>
              <w:top w:w="113" w:type="dxa"/>
              <w:bottom w:w="113" w:type="dxa"/>
            </w:tcMar>
            <w:vAlign w:val="center"/>
            <w:hideMark/>
          </w:tcPr>
          <w:p w:rsidR="00B32125" w:rsidRPr="00A32AF4" w:rsidRDefault="00B32125" w:rsidP="00DC0553">
            <w:pPr>
              <w:jc w:val="right"/>
              <w:rPr>
                <w:rFonts w:cs="Arial"/>
                <w:sz w:val="16"/>
                <w:szCs w:val="16"/>
                <w:lang w:eastAsia="fr-FR"/>
              </w:rPr>
            </w:pPr>
            <w:r w:rsidRPr="00A32AF4">
              <w:rPr>
                <w:rFonts w:cs="Arial"/>
                <w:sz w:val="16"/>
                <w:szCs w:val="16"/>
                <w:lang w:eastAsia="fr-FR"/>
              </w:rPr>
              <w:t xml:space="preserve">1 079 </w:t>
            </w:r>
          </w:p>
        </w:tc>
        <w:tc>
          <w:tcPr>
            <w:tcW w:w="1440" w:type="dxa"/>
            <w:tcBorders>
              <w:top w:val="nil"/>
              <w:left w:val="nil"/>
              <w:bottom w:val="nil"/>
              <w:right w:val="nil"/>
            </w:tcBorders>
            <w:shd w:val="clear" w:color="auto" w:fill="auto"/>
            <w:tcMar>
              <w:top w:w="113" w:type="dxa"/>
              <w:bottom w:w="113" w:type="dxa"/>
            </w:tcMar>
            <w:vAlign w:val="center"/>
            <w:hideMark/>
          </w:tcPr>
          <w:p w:rsidR="00B32125" w:rsidRPr="00A32AF4" w:rsidRDefault="00B32125" w:rsidP="00DC0553">
            <w:pPr>
              <w:jc w:val="right"/>
              <w:rPr>
                <w:rFonts w:cs="Arial"/>
                <w:sz w:val="16"/>
                <w:szCs w:val="16"/>
                <w:lang w:eastAsia="fr-FR"/>
              </w:rPr>
            </w:pPr>
            <w:r w:rsidRPr="00A32AF4">
              <w:rPr>
                <w:rFonts w:cs="Arial"/>
                <w:sz w:val="16"/>
                <w:szCs w:val="16"/>
                <w:lang w:eastAsia="fr-FR"/>
              </w:rPr>
              <w:t xml:space="preserve">2 787 </w:t>
            </w:r>
          </w:p>
        </w:tc>
        <w:tc>
          <w:tcPr>
            <w:tcW w:w="1260" w:type="dxa"/>
            <w:tcBorders>
              <w:top w:val="nil"/>
              <w:left w:val="nil"/>
              <w:bottom w:val="nil"/>
              <w:right w:val="single" w:sz="4" w:space="0" w:color="auto"/>
            </w:tcBorders>
            <w:shd w:val="clear" w:color="auto" w:fill="auto"/>
            <w:noWrap/>
            <w:tcMar>
              <w:top w:w="113" w:type="dxa"/>
              <w:bottom w:w="113" w:type="dxa"/>
            </w:tcMar>
            <w:vAlign w:val="center"/>
            <w:hideMark/>
          </w:tcPr>
          <w:p w:rsidR="00B32125" w:rsidRPr="00A32AF4" w:rsidRDefault="00B32125" w:rsidP="00DC0553">
            <w:pPr>
              <w:jc w:val="right"/>
              <w:rPr>
                <w:rFonts w:cs="Arial"/>
                <w:color w:val="000000"/>
                <w:sz w:val="16"/>
                <w:szCs w:val="16"/>
                <w:lang w:eastAsia="fr-FR"/>
              </w:rPr>
            </w:pPr>
            <w:r w:rsidRPr="00A32AF4">
              <w:rPr>
                <w:rFonts w:cs="Arial"/>
                <w:color w:val="000000"/>
                <w:sz w:val="16"/>
                <w:szCs w:val="16"/>
                <w:lang w:eastAsia="fr-FR"/>
              </w:rPr>
              <w:t xml:space="preserve">792 </w:t>
            </w:r>
          </w:p>
        </w:tc>
      </w:tr>
      <w:tr w:rsidR="00B32125" w:rsidRPr="00A32AF4" w:rsidTr="00B32125">
        <w:tc>
          <w:tcPr>
            <w:tcW w:w="592" w:type="dxa"/>
            <w:tcBorders>
              <w:top w:val="nil"/>
              <w:left w:val="single" w:sz="4" w:space="0" w:color="auto"/>
              <w:bottom w:val="nil"/>
              <w:right w:val="nil"/>
            </w:tcBorders>
            <w:shd w:val="clear" w:color="auto" w:fill="auto"/>
            <w:noWrap/>
            <w:tcMar>
              <w:top w:w="113" w:type="dxa"/>
              <w:bottom w:w="113" w:type="dxa"/>
            </w:tcMar>
            <w:vAlign w:val="center"/>
            <w:hideMark/>
          </w:tcPr>
          <w:p w:rsidR="00B32125" w:rsidRPr="00A32AF4" w:rsidRDefault="00B32125" w:rsidP="00DC0553">
            <w:pPr>
              <w:rPr>
                <w:rFonts w:cs="Arial"/>
                <w:sz w:val="16"/>
                <w:szCs w:val="16"/>
                <w:lang w:eastAsia="fr-FR"/>
              </w:rPr>
            </w:pPr>
            <w:r w:rsidRPr="00A32AF4">
              <w:rPr>
                <w:rFonts w:cs="Arial"/>
                <w:sz w:val="16"/>
                <w:szCs w:val="16"/>
                <w:lang w:eastAsia="fr-FR"/>
              </w:rPr>
              <w:t>III.1</w:t>
            </w:r>
          </w:p>
        </w:tc>
        <w:tc>
          <w:tcPr>
            <w:tcW w:w="4428" w:type="dxa"/>
            <w:tcBorders>
              <w:top w:val="nil"/>
              <w:left w:val="nil"/>
              <w:bottom w:val="nil"/>
              <w:right w:val="nil"/>
            </w:tcBorders>
            <w:shd w:val="clear" w:color="auto" w:fill="auto"/>
            <w:tcMar>
              <w:top w:w="113" w:type="dxa"/>
              <w:bottom w:w="113" w:type="dxa"/>
            </w:tcMar>
            <w:vAlign w:val="center"/>
            <w:hideMark/>
          </w:tcPr>
          <w:p w:rsidR="00B32125" w:rsidRPr="00A32AF4" w:rsidRDefault="00B32125" w:rsidP="00DC0553">
            <w:pPr>
              <w:rPr>
                <w:rFonts w:cs="Arial"/>
                <w:sz w:val="16"/>
                <w:szCs w:val="16"/>
                <w:lang w:eastAsia="fr-FR"/>
              </w:rPr>
            </w:pPr>
            <w:r w:rsidRPr="00A32AF4">
              <w:rPr>
                <w:rFonts w:cs="Arial"/>
                <w:sz w:val="16"/>
                <w:szCs w:val="16"/>
                <w:lang w:eastAsia="fr-FR"/>
              </w:rPr>
              <w:t>Stratégies et plans nationaux en matière d</w:t>
            </w:r>
            <w:r w:rsidR="00E2055A" w:rsidRPr="00A32AF4">
              <w:rPr>
                <w:rFonts w:cs="Arial"/>
                <w:sz w:val="16"/>
                <w:szCs w:val="16"/>
                <w:lang w:eastAsia="fr-FR"/>
              </w:rPr>
              <w:t>’</w:t>
            </w:r>
            <w:r w:rsidRPr="00A32AF4">
              <w:rPr>
                <w:rFonts w:cs="Arial"/>
                <w:sz w:val="16"/>
                <w:szCs w:val="16"/>
                <w:lang w:eastAsia="fr-FR"/>
              </w:rPr>
              <w:t>innovation et de propriété intellectuelle conformes aux objectifs de développement nationaux</w:t>
            </w:r>
          </w:p>
        </w:tc>
        <w:tc>
          <w:tcPr>
            <w:tcW w:w="1260" w:type="dxa"/>
            <w:tcBorders>
              <w:top w:val="nil"/>
              <w:left w:val="nil"/>
              <w:bottom w:val="nil"/>
              <w:right w:val="nil"/>
            </w:tcBorders>
            <w:shd w:val="clear" w:color="auto" w:fill="auto"/>
            <w:tcMar>
              <w:top w:w="113" w:type="dxa"/>
              <w:bottom w:w="113" w:type="dxa"/>
            </w:tcMar>
            <w:vAlign w:val="center"/>
            <w:hideMark/>
          </w:tcPr>
          <w:p w:rsidR="00B32125" w:rsidRPr="00A32AF4" w:rsidRDefault="00B32125" w:rsidP="00DC0553">
            <w:pPr>
              <w:jc w:val="right"/>
              <w:rPr>
                <w:rFonts w:cs="Arial"/>
                <w:sz w:val="16"/>
                <w:szCs w:val="16"/>
                <w:lang w:eastAsia="fr-FR"/>
              </w:rPr>
            </w:pPr>
            <w:r w:rsidRPr="00A32AF4">
              <w:rPr>
                <w:rFonts w:cs="Arial"/>
                <w:sz w:val="16"/>
                <w:szCs w:val="16"/>
                <w:lang w:eastAsia="fr-FR"/>
              </w:rPr>
              <w:t xml:space="preserve">10 782 </w:t>
            </w:r>
          </w:p>
        </w:tc>
        <w:tc>
          <w:tcPr>
            <w:tcW w:w="1440" w:type="dxa"/>
            <w:tcBorders>
              <w:top w:val="nil"/>
              <w:left w:val="nil"/>
              <w:bottom w:val="nil"/>
              <w:right w:val="nil"/>
            </w:tcBorders>
            <w:shd w:val="clear" w:color="auto" w:fill="auto"/>
            <w:tcMar>
              <w:top w:w="113" w:type="dxa"/>
              <w:bottom w:w="113" w:type="dxa"/>
            </w:tcMar>
            <w:vAlign w:val="center"/>
            <w:hideMark/>
          </w:tcPr>
          <w:p w:rsidR="00B32125" w:rsidRPr="00A32AF4" w:rsidRDefault="00B32125" w:rsidP="00DC0553">
            <w:pPr>
              <w:jc w:val="right"/>
              <w:rPr>
                <w:rFonts w:cs="Arial"/>
                <w:sz w:val="16"/>
                <w:szCs w:val="16"/>
                <w:lang w:eastAsia="fr-FR"/>
              </w:rPr>
            </w:pPr>
            <w:r w:rsidRPr="00A32AF4">
              <w:rPr>
                <w:rFonts w:cs="Arial"/>
                <w:sz w:val="16"/>
                <w:szCs w:val="16"/>
                <w:lang w:eastAsia="fr-FR"/>
              </w:rPr>
              <w:t xml:space="preserve">8 141 </w:t>
            </w:r>
          </w:p>
        </w:tc>
        <w:tc>
          <w:tcPr>
            <w:tcW w:w="1260" w:type="dxa"/>
            <w:tcBorders>
              <w:top w:val="nil"/>
              <w:left w:val="nil"/>
              <w:bottom w:val="nil"/>
              <w:right w:val="single" w:sz="4" w:space="0" w:color="auto"/>
            </w:tcBorders>
            <w:shd w:val="clear" w:color="auto" w:fill="auto"/>
            <w:noWrap/>
            <w:tcMar>
              <w:top w:w="113" w:type="dxa"/>
              <w:bottom w:w="113" w:type="dxa"/>
            </w:tcMar>
            <w:vAlign w:val="center"/>
            <w:hideMark/>
          </w:tcPr>
          <w:p w:rsidR="00B32125" w:rsidRPr="00A32AF4" w:rsidRDefault="00B32125" w:rsidP="00DC0553">
            <w:pPr>
              <w:jc w:val="right"/>
              <w:rPr>
                <w:rFonts w:cs="Arial"/>
                <w:color w:val="000000"/>
                <w:sz w:val="16"/>
                <w:szCs w:val="16"/>
                <w:lang w:eastAsia="fr-FR"/>
              </w:rPr>
            </w:pPr>
            <w:r w:rsidRPr="00A32AF4">
              <w:rPr>
                <w:rFonts w:cs="Arial"/>
                <w:color w:val="000000"/>
                <w:sz w:val="16"/>
                <w:szCs w:val="16"/>
                <w:lang w:eastAsia="fr-FR"/>
              </w:rPr>
              <w:t xml:space="preserve">8 440 </w:t>
            </w:r>
          </w:p>
        </w:tc>
      </w:tr>
      <w:tr w:rsidR="00B32125" w:rsidRPr="00A32AF4" w:rsidTr="00B32125">
        <w:tc>
          <w:tcPr>
            <w:tcW w:w="592" w:type="dxa"/>
            <w:tcBorders>
              <w:top w:val="nil"/>
              <w:left w:val="single" w:sz="4" w:space="0" w:color="auto"/>
              <w:bottom w:val="nil"/>
              <w:right w:val="nil"/>
            </w:tcBorders>
            <w:shd w:val="clear" w:color="auto" w:fill="auto"/>
            <w:noWrap/>
            <w:tcMar>
              <w:top w:w="113" w:type="dxa"/>
              <w:bottom w:w="113" w:type="dxa"/>
            </w:tcMar>
            <w:vAlign w:val="center"/>
            <w:hideMark/>
          </w:tcPr>
          <w:p w:rsidR="00B32125" w:rsidRPr="00A32AF4" w:rsidRDefault="00B32125" w:rsidP="00DC0553">
            <w:pPr>
              <w:rPr>
                <w:rFonts w:cs="Arial"/>
                <w:sz w:val="16"/>
                <w:szCs w:val="16"/>
                <w:lang w:eastAsia="fr-FR"/>
              </w:rPr>
            </w:pPr>
            <w:r w:rsidRPr="00A32AF4">
              <w:rPr>
                <w:rFonts w:cs="Arial"/>
                <w:sz w:val="16"/>
                <w:szCs w:val="16"/>
                <w:lang w:eastAsia="fr-FR"/>
              </w:rPr>
              <w:t>III.2</w:t>
            </w:r>
          </w:p>
        </w:tc>
        <w:tc>
          <w:tcPr>
            <w:tcW w:w="4428" w:type="dxa"/>
            <w:tcBorders>
              <w:top w:val="nil"/>
              <w:left w:val="nil"/>
              <w:bottom w:val="nil"/>
              <w:right w:val="nil"/>
            </w:tcBorders>
            <w:shd w:val="clear" w:color="auto" w:fill="auto"/>
            <w:tcMar>
              <w:top w:w="113" w:type="dxa"/>
              <w:bottom w:w="113" w:type="dxa"/>
            </w:tcMar>
            <w:vAlign w:val="center"/>
            <w:hideMark/>
          </w:tcPr>
          <w:p w:rsidR="00B32125" w:rsidRPr="00A32AF4" w:rsidRDefault="00B32125" w:rsidP="00DC0553">
            <w:pPr>
              <w:rPr>
                <w:rFonts w:cs="Arial"/>
                <w:sz w:val="16"/>
                <w:szCs w:val="16"/>
                <w:lang w:eastAsia="fr-FR"/>
              </w:rPr>
            </w:pPr>
            <w:r w:rsidRPr="00A32AF4">
              <w:rPr>
                <w:rFonts w:cs="Arial"/>
                <w:sz w:val="16"/>
                <w:szCs w:val="16"/>
                <w:lang w:eastAsia="fr-FR"/>
              </w:rPr>
              <w:t>Mise en valeur des ressources humaines pour répondre aux diverses exigences en matière d</w:t>
            </w:r>
            <w:r w:rsidR="00E2055A" w:rsidRPr="00A32AF4">
              <w:rPr>
                <w:rFonts w:cs="Arial"/>
                <w:sz w:val="16"/>
                <w:szCs w:val="16"/>
                <w:lang w:eastAsia="fr-FR"/>
              </w:rPr>
              <w:t>’</w:t>
            </w:r>
            <w:r w:rsidRPr="00A32AF4">
              <w:rPr>
                <w:rFonts w:cs="Arial"/>
                <w:sz w:val="16"/>
                <w:szCs w:val="16"/>
                <w:lang w:eastAsia="fr-FR"/>
              </w:rPr>
              <w:t>utilisation efficace de la propriété intellectuelle au service du développement dans les pays en développement,</w:t>
            </w:r>
            <w:r w:rsidR="00E2055A" w:rsidRPr="00A32AF4">
              <w:rPr>
                <w:rFonts w:cs="Arial"/>
                <w:sz w:val="16"/>
                <w:szCs w:val="16"/>
                <w:lang w:eastAsia="fr-FR"/>
              </w:rPr>
              <w:t xml:space="preserve"> les PMA</w:t>
            </w:r>
            <w:r w:rsidRPr="00A32AF4">
              <w:rPr>
                <w:rFonts w:cs="Arial"/>
                <w:sz w:val="16"/>
                <w:szCs w:val="16"/>
                <w:lang w:eastAsia="fr-FR"/>
              </w:rPr>
              <w:t xml:space="preserve"> et les pays en transition</w:t>
            </w:r>
          </w:p>
        </w:tc>
        <w:tc>
          <w:tcPr>
            <w:tcW w:w="1260" w:type="dxa"/>
            <w:tcBorders>
              <w:top w:val="nil"/>
              <w:left w:val="nil"/>
              <w:bottom w:val="nil"/>
              <w:right w:val="nil"/>
            </w:tcBorders>
            <w:shd w:val="clear" w:color="auto" w:fill="auto"/>
            <w:tcMar>
              <w:top w:w="113" w:type="dxa"/>
              <w:bottom w:w="113" w:type="dxa"/>
            </w:tcMar>
            <w:vAlign w:val="center"/>
            <w:hideMark/>
          </w:tcPr>
          <w:p w:rsidR="00B32125" w:rsidRPr="00A32AF4" w:rsidRDefault="00B32125" w:rsidP="00DC0553">
            <w:pPr>
              <w:jc w:val="right"/>
              <w:rPr>
                <w:rFonts w:cs="Arial"/>
                <w:sz w:val="16"/>
                <w:szCs w:val="16"/>
                <w:lang w:eastAsia="fr-FR"/>
              </w:rPr>
            </w:pPr>
            <w:r w:rsidRPr="00A32AF4">
              <w:rPr>
                <w:rFonts w:cs="Arial"/>
                <w:sz w:val="16"/>
                <w:szCs w:val="16"/>
                <w:lang w:eastAsia="fr-FR"/>
              </w:rPr>
              <w:t xml:space="preserve">12 084 </w:t>
            </w:r>
          </w:p>
        </w:tc>
        <w:tc>
          <w:tcPr>
            <w:tcW w:w="1440" w:type="dxa"/>
            <w:tcBorders>
              <w:top w:val="nil"/>
              <w:left w:val="nil"/>
              <w:bottom w:val="nil"/>
              <w:right w:val="nil"/>
            </w:tcBorders>
            <w:shd w:val="clear" w:color="auto" w:fill="auto"/>
            <w:tcMar>
              <w:top w:w="113" w:type="dxa"/>
              <w:bottom w:w="113" w:type="dxa"/>
            </w:tcMar>
            <w:vAlign w:val="center"/>
            <w:hideMark/>
          </w:tcPr>
          <w:p w:rsidR="00B32125" w:rsidRPr="00A32AF4" w:rsidRDefault="00B32125" w:rsidP="00DC0553">
            <w:pPr>
              <w:jc w:val="right"/>
              <w:rPr>
                <w:rFonts w:cs="Arial"/>
                <w:sz w:val="16"/>
                <w:szCs w:val="16"/>
                <w:lang w:eastAsia="fr-FR"/>
              </w:rPr>
            </w:pPr>
            <w:r w:rsidRPr="00A32AF4">
              <w:rPr>
                <w:rFonts w:cs="Arial"/>
                <w:sz w:val="16"/>
                <w:szCs w:val="16"/>
                <w:lang w:eastAsia="fr-FR"/>
              </w:rPr>
              <w:t xml:space="preserve">9 945 </w:t>
            </w:r>
          </w:p>
        </w:tc>
        <w:tc>
          <w:tcPr>
            <w:tcW w:w="1260" w:type="dxa"/>
            <w:tcBorders>
              <w:top w:val="nil"/>
              <w:left w:val="nil"/>
              <w:bottom w:val="nil"/>
              <w:right w:val="single" w:sz="4" w:space="0" w:color="auto"/>
            </w:tcBorders>
            <w:shd w:val="clear" w:color="auto" w:fill="auto"/>
            <w:noWrap/>
            <w:tcMar>
              <w:top w:w="113" w:type="dxa"/>
              <w:bottom w:w="113" w:type="dxa"/>
            </w:tcMar>
            <w:vAlign w:val="center"/>
            <w:hideMark/>
          </w:tcPr>
          <w:p w:rsidR="00B32125" w:rsidRPr="00A32AF4" w:rsidRDefault="00B32125" w:rsidP="00DC0553">
            <w:pPr>
              <w:jc w:val="right"/>
              <w:rPr>
                <w:rFonts w:cs="Arial"/>
                <w:color w:val="000000"/>
                <w:sz w:val="16"/>
                <w:szCs w:val="16"/>
                <w:lang w:eastAsia="fr-FR"/>
              </w:rPr>
            </w:pPr>
            <w:r w:rsidRPr="00A32AF4">
              <w:rPr>
                <w:rFonts w:cs="Arial"/>
                <w:color w:val="000000"/>
                <w:sz w:val="16"/>
                <w:szCs w:val="16"/>
                <w:lang w:eastAsia="fr-FR"/>
              </w:rPr>
              <w:t xml:space="preserve">11 174 </w:t>
            </w:r>
          </w:p>
        </w:tc>
      </w:tr>
      <w:tr w:rsidR="00B32125" w:rsidRPr="00A32AF4" w:rsidTr="00B32125">
        <w:tc>
          <w:tcPr>
            <w:tcW w:w="592" w:type="dxa"/>
            <w:tcBorders>
              <w:top w:val="nil"/>
              <w:left w:val="single" w:sz="4" w:space="0" w:color="auto"/>
              <w:bottom w:val="nil"/>
              <w:right w:val="nil"/>
            </w:tcBorders>
            <w:shd w:val="clear" w:color="auto" w:fill="auto"/>
            <w:noWrap/>
            <w:tcMar>
              <w:top w:w="113" w:type="dxa"/>
              <w:bottom w:w="113" w:type="dxa"/>
            </w:tcMar>
            <w:vAlign w:val="center"/>
            <w:hideMark/>
          </w:tcPr>
          <w:p w:rsidR="00B32125" w:rsidRPr="00A32AF4" w:rsidRDefault="00B32125" w:rsidP="00DC0553">
            <w:pPr>
              <w:rPr>
                <w:rFonts w:cs="Arial"/>
                <w:sz w:val="16"/>
                <w:szCs w:val="16"/>
                <w:lang w:eastAsia="fr-FR"/>
              </w:rPr>
            </w:pPr>
            <w:r w:rsidRPr="00A32AF4">
              <w:rPr>
                <w:rFonts w:cs="Arial"/>
                <w:sz w:val="16"/>
                <w:szCs w:val="16"/>
                <w:lang w:eastAsia="fr-FR"/>
              </w:rPr>
              <w:t>III.3</w:t>
            </w:r>
          </w:p>
        </w:tc>
        <w:tc>
          <w:tcPr>
            <w:tcW w:w="4428" w:type="dxa"/>
            <w:tcBorders>
              <w:top w:val="nil"/>
              <w:left w:val="nil"/>
              <w:bottom w:val="nil"/>
              <w:right w:val="nil"/>
            </w:tcBorders>
            <w:shd w:val="clear" w:color="auto" w:fill="auto"/>
            <w:tcMar>
              <w:top w:w="113" w:type="dxa"/>
              <w:bottom w:w="113" w:type="dxa"/>
            </w:tcMar>
            <w:vAlign w:val="center"/>
            <w:hideMark/>
          </w:tcPr>
          <w:p w:rsidR="00B32125" w:rsidRPr="00A32AF4" w:rsidRDefault="00B32125" w:rsidP="00DC0553">
            <w:pPr>
              <w:rPr>
                <w:rFonts w:cs="Arial"/>
                <w:sz w:val="16"/>
                <w:szCs w:val="16"/>
                <w:lang w:eastAsia="fr-FR"/>
              </w:rPr>
            </w:pPr>
            <w:r w:rsidRPr="00A32AF4">
              <w:rPr>
                <w:rFonts w:cs="Arial"/>
                <w:sz w:val="16"/>
                <w:szCs w:val="16"/>
                <w:lang w:eastAsia="fr-FR"/>
              </w:rPr>
              <w:t>Intégration des recommandations du Plan d</w:t>
            </w:r>
            <w:r w:rsidR="00E2055A" w:rsidRPr="00A32AF4">
              <w:rPr>
                <w:rFonts w:cs="Arial"/>
                <w:sz w:val="16"/>
                <w:szCs w:val="16"/>
                <w:lang w:eastAsia="fr-FR"/>
              </w:rPr>
              <w:t>’</w:t>
            </w:r>
            <w:r w:rsidRPr="00A32AF4">
              <w:rPr>
                <w:rFonts w:cs="Arial"/>
                <w:sz w:val="16"/>
                <w:szCs w:val="16"/>
                <w:lang w:eastAsia="fr-FR"/>
              </w:rPr>
              <w:t>action pour le développement dans les travaux de l</w:t>
            </w:r>
            <w:r w:rsidR="00E2055A" w:rsidRPr="00A32AF4">
              <w:rPr>
                <w:rFonts w:cs="Arial"/>
                <w:sz w:val="16"/>
                <w:szCs w:val="16"/>
                <w:lang w:eastAsia="fr-FR"/>
              </w:rPr>
              <w:t>’</w:t>
            </w:r>
            <w:r w:rsidRPr="00A32AF4">
              <w:rPr>
                <w:rFonts w:cs="Arial"/>
                <w:sz w:val="16"/>
                <w:szCs w:val="16"/>
                <w:lang w:eastAsia="fr-FR"/>
              </w:rPr>
              <w:t>OMPI</w:t>
            </w:r>
          </w:p>
        </w:tc>
        <w:tc>
          <w:tcPr>
            <w:tcW w:w="1260" w:type="dxa"/>
            <w:tcBorders>
              <w:top w:val="nil"/>
              <w:left w:val="nil"/>
              <w:bottom w:val="nil"/>
              <w:right w:val="nil"/>
            </w:tcBorders>
            <w:shd w:val="clear" w:color="auto" w:fill="auto"/>
            <w:tcMar>
              <w:top w:w="113" w:type="dxa"/>
              <w:bottom w:w="113" w:type="dxa"/>
            </w:tcMar>
            <w:vAlign w:val="center"/>
            <w:hideMark/>
          </w:tcPr>
          <w:p w:rsidR="00B32125" w:rsidRPr="00A32AF4" w:rsidRDefault="00B32125" w:rsidP="00DC0553">
            <w:pPr>
              <w:jc w:val="right"/>
              <w:rPr>
                <w:rFonts w:cs="Arial"/>
                <w:sz w:val="16"/>
                <w:szCs w:val="16"/>
                <w:lang w:eastAsia="fr-FR"/>
              </w:rPr>
            </w:pPr>
            <w:r w:rsidRPr="00A32AF4">
              <w:rPr>
                <w:rFonts w:cs="Arial"/>
                <w:sz w:val="16"/>
                <w:szCs w:val="16"/>
                <w:lang w:eastAsia="fr-FR"/>
              </w:rPr>
              <w:t xml:space="preserve">367 </w:t>
            </w:r>
          </w:p>
        </w:tc>
        <w:tc>
          <w:tcPr>
            <w:tcW w:w="1440" w:type="dxa"/>
            <w:tcBorders>
              <w:top w:val="nil"/>
              <w:left w:val="nil"/>
              <w:bottom w:val="nil"/>
              <w:right w:val="nil"/>
            </w:tcBorders>
            <w:shd w:val="clear" w:color="auto" w:fill="auto"/>
            <w:tcMar>
              <w:top w:w="113" w:type="dxa"/>
              <w:bottom w:w="113" w:type="dxa"/>
            </w:tcMar>
            <w:vAlign w:val="center"/>
            <w:hideMark/>
          </w:tcPr>
          <w:p w:rsidR="00B32125" w:rsidRPr="00A32AF4" w:rsidRDefault="00B32125" w:rsidP="00DC0553">
            <w:pPr>
              <w:jc w:val="right"/>
              <w:rPr>
                <w:rFonts w:cs="Arial"/>
                <w:sz w:val="16"/>
                <w:szCs w:val="16"/>
                <w:lang w:eastAsia="fr-FR"/>
              </w:rPr>
            </w:pPr>
            <w:r w:rsidRPr="00A32AF4">
              <w:rPr>
                <w:rFonts w:cs="Arial"/>
                <w:sz w:val="16"/>
                <w:szCs w:val="16"/>
                <w:lang w:eastAsia="fr-FR"/>
              </w:rPr>
              <w:t xml:space="preserve">322 </w:t>
            </w:r>
          </w:p>
        </w:tc>
        <w:tc>
          <w:tcPr>
            <w:tcW w:w="1260" w:type="dxa"/>
            <w:tcBorders>
              <w:top w:val="nil"/>
              <w:left w:val="nil"/>
              <w:bottom w:val="nil"/>
              <w:right w:val="single" w:sz="4" w:space="0" w:color="auto"/>
            </w:tcBorders>
            <w:shd w:val="clear" w:color="auto" w:fill="auto"/>
            <w:noWrap/>
            <w:tcMar>
              <w:top w:w="113" w:type="dxa"/>
              <w:bottom w:w="113" w:type="dxa"/>
            </w:tcMar>
            <w:vAlign w:val="center"/>
            <w:hideMark/>
          </w:tcPr>
          <w:p w:rsidR="00B32125" w:rsidRPr="00A32AF4" w:rsidRDefault="00B32125" w:rsidP="00DC0553">
            <w:pPr>
              <w:jc w:val="right"/>
              <w:rPr>
                <w:rFonts w:cs="Arial"/>
                <w:color w:val="000000"/>
                <w:sz w:val="16"/>
                <w:szCs w:val="16"/>
                <w:lang w:eastAsia="fr-FR"/>
              </w:rPr>
            </w:pPr>
            <w:r w:rsidRPr="00A32AF4">
              <w:rPr>
                <w:rFonts w:cs="Arial"/>
                <w:color w:val="000000"/>
                <w:sz w:val="16"/>
                <w:szCs w:val="16"/>
                <w:lang w:eastAsia="fr-FR"/>
              </w:rPr>
              <w:t xml:space="preserve">214 </w:t>
            </w:r>
          </w:p>
        </w:tc>
      </w:tr>
      <w:tr w:rsidR="00B32125" w:rsidRPr="00A32AF4" w:rsidTr="00B32125">
        <w:tc>
          <w:tcPr>
            <w:tcW w:w="592" w:type="dxa"/>
            <w:tcBorders>
              <w:top w:val="nil"/>
              <w:left w:val="single" w:sz="4" w:space="0" w:color="auto"/>
              <w:bottom w:val="nil"/>
              <w:right w:val="nil"/>
            </w:tcBorders>
            <w:shd w:val="clear" w:color="auto" w:fill="auto"/>
            <w:noWrap/>
            <w:tcMar>
              <w:top w:w="113" w:type="dxa"/>
              <w:bottom w:w="113" w:type="dxa"/>
            </w:tcMar>
            <w:vAlign w:val="center"/>
            <w:hideMark/>
          </w:tcPr>
          <w:p w:rsidR="00B32125" w:rsidRPr="00A32AF4" w:rsidRDefault="00B32125" w:rsidP="00DC0553">
            <w:pPr>
              <w:rPr>
                <w:rFonts w:cs="Arial"/>
                <w:sz w:val="16"/>
                <w:szCs w:val="16"/>
                <w:lang w:eastAsia="fr-FR"/>
              </w:rPr>
            </w:pPr>
            <w:r w:rsidRPr="00A32AF4">
              <w:rPr>
                <w:rFonts w:cs="Arial"/>
                <w:sz w:val="16"/>
                <w:szCs w:val="16"/>
                <w:lang w:eastAsia="fr-FR"/>
              </w:rPr>
              <w:t>III.4</w:t>
            </w:r>
          </w:p>
        </w:tc>
        <w:tc>
          <w:tcPr>
            <w:tcW w:w="4428" w:type="dxa"/>
            <w:tcBorders>
              <w:top w:val="nil"/>
              <w:left w:val="nil"/>
              <w:bottom w:val="nil"/>
              <w:right w:val="nil"/>
            </w:tcBorders>
            <w:shd w:val="clear" w:color="auto" w:fill="auto"/>
            <w:tcMar>
              <w:top w:w="113" w:type="dxa"/>
              <w:bottom w:w="113" w:type="dxa"/>
            </w:tcMar>
            <w:vAlign w:val="center"/>
            <w:hideMark/>
          </w:tcPr>
          <w:p w:rsidR="00B32125" w:rsidRPr="00A32AF4" w:rsidRDefault="00B32125" w:rsidP="00DC0553">
            <w:pPr>
              <w:rPr>
                <w:rFonts w:cs="Arial"/>
                <w:sz w:val="16"/>
                <w:szCs w:val="16"/>
                <w:lang w:eastAsia="fr-FR"/>
              </w:rPr>
            </w:pPr>
            <w:r w:rsidRPr="00A32AF4">
              <w:rPr>
                <w:rFonts w:cs="Arial"/>
                <w:sz w:val="16"/>
                <w:szCs w:val="16"/>
                <w:lang w:eastAsia="fr-FR"/>
              </w:rPr>
              <w:t xml:space="preserve">Mécanismes et programmes de coopération renforcés, adaptés </w:t>
            </w:r>
            <w:r w:rsidR="00972832" w:rsidRPr="00A32AF4">
              <w:rPr>
                <w:rFonts w:cs="Arial"/>
                <w:sz w:val="16"/>
                <w:szCs w:val="16"/>
                <w:lang w:eastAsia="fr-FR"/>
              </w:rPr>
              <w:t>aux besoins des pays en développement,</w:t>
            </w:r>
            <w:r w:rsidR="00E2055A" w:rsidRPr="00A32AF4">
              <w:rPr>
                <w:rFonts w:cs="Arial"/>
                <w:sz w:val="16"/>
                <w:szCs w:val="16"/>
                <w:lang w:eastAsia="fr-FR"/>
              </w:rPr>
              <w:t xml:space="preserve"> des PMA</w:t>
            </w:r>
            <w:r w:rsidR="00972832" w:rsidRPr="00A32AF4">
              <w:rPr>
                <w:rFonts w:cs="Arial"/>
                <w:sz w:val="16"/>
                <w:szCs w:val="16"/>
                <w:lang w:eastAsia="fr-FR"/>
              </w:rPr>
              <w:t xml:space="preserve"> et des pays en transition</w:t>
            </w:r>
          </w:p>
        </w:tc>
        <w:tc>
          <w:tcPr>
            <w:tcW w:w="1260" w:type="dxa"/>
            <w:tcBorders>
              <w:top w:val="nil"/>
              <w:left w:val="nil"/>
              <w:bottom w:val="nil"/>
              <w:right w:val="nil"/>
            </w:tcBorders>
            <w:shd w:val="clear" w:color="auto" w:fill="auto"/>
            <w:tcMar>
              <w:top w:w="113" w:type="dxa"/>
              <w:bottom w:w="113" w:type="dxa"/>
            </w:tcMar>
            <w:vAlign w:val="center"/>
            <w:hideMark/>
          </w:tcPr>
          <w:p w:rsidR="00B32125" w:rsidRPr="00A32AF4" w:rsidRDefault="00B32125" w:rsidP="00DC0553">
            <w:pPr>
              <w:jc w:val="right"/>
              <w:rPr>
                <w:rFonts w:cs="Arial"/>
                <w:sz w:val="16"/>
                <w:szCs w:val="16"/>
                <w:lang w:eastAsia="fr-FR"/>
              </w:rPr>
            </w:pPr>
            <w:r w:rsidRPr="00A32AF4">
              <w:rPr>
                <w:rFonts w:cs="Arial"/>
                <w:sz w:val="16"/>
                <w:szCs w:val="16"/>
                <w:lang w:eastAsia="fr-FR"/>
              </w:rPr>
              <w:t xml:space="preserve">4 655 </w:t>
            </w:r>
          </w:p>
        </w:tc>
        <w:tc>
          <w:tcPr>
            <w:tcW w:w="1440" w:type="dxa"/>
            <w:tcBorders>
              <w:top w:val="nil"/>
              <w:left w:val="nil"/>
              <w:bottom w:val="nil"/>
              <w:right w:val="nil"/>
            </w:tcBorders>
            <w:shd w:val="clear" w:color="auto" w:fill="auto"/>
            <w:tcMar>
              <w:top w:w="113" w:type="dxa"/>
              <w:bottom w:w="113" w:type="dxa"/>
            </w:tcMar>
            <w:vAlign w:val="center"/>
            <w:hideMark/>
          </w:tcPr>
          <w:p w:rsidR="00B32125" w:rsidRPr="00A32AF4" w:rsidRDefault="00B32125" w:rsidP="00DC0553">
            <w:pPr>
              <w:jc w:val="right"/>
              <w:rPr>
                <w:rFonts w:cs="Arial"/>
                <w:sz w:val="16"/>
                <w:szCs w:val="16"/>
                <w:lang w:eastAsia="fr-FR"/>
              </w:rPr>
            </w:pPr>
            <w:r w:rsidRPr="00A32AF4">
              <w:rPr>
                <w:rFonts w:cs="Arial"/>
                <w:sz w:val="16"/>
                <w:szCs w:val="16"/>
                <w:lang w:eastAsia="fr-FR"/>
              </w:rPr>
              <w:t xml:space="preserve">4 586 </w:t>
            </w:r>
          </w:p>
        </w:tc>
        <w:tc>
          <w:tcPr>
            <w:tcW w:w="1260" w:type="dxa"/>
            <w:tcBorders>
              <w:top w:val="nil"/>
              <w:left w:val="nil"/>
              <w:bottom w:val="nil"/>
              <w:right w:val="single" w:sz="4" w:space="0" w:color="auto"/>
            </w:tcBorders>
            <w:shd w:val="clear" w:color="auto" w:fill="auto"/>
            <w:noWrap/>
            <w:tcMar>
              <w:top w:w="113" w:type="dxa"/>
              <w:bottom w:w="113" w:type="dxa"/>
            </w:tcMar>
            <w:vAlign w:val="center"/>
            <w:hideMark/>
          </w:tcPr>
          <w:p w:rsidR="00B32125" w:rsidRPr="00A32AF4" w:rsidRDefault="00B32125" w:rsidP="00DC0553">
            <w:pPr>
              <w:jc w:val="right"/>
              <w:rPr>
                <w:rFonts w:cs="Arial"/>
                <w:color w:val="000000"/>
                <w:sz w:val="16"/>
                <w:szCs w:val="16"/>
                <w:lang w:eastAsia="fr-FR"/>
              </w:rPr>
            </w:pPr>
            <w:r w:rsidRPr="00A32AF4">
              <w:rPr>
                <w:rFonts w:cs="Arial"/>
                <w:color w:val="000000"/>
                <w:sz w:val="16"/>
                <w:szCs w:val="16"/>
                <w:lang w:eastAsia="fr-FR"/>
              </w:rPr>
              <w:t xml:space="preserve">5 383 </w:t>
            </w:r>
          </w:p>
        </w:tc>
      </w:tr>
      <w:tr w:rsidR="00B32125" w:rsidRPr="00A32AF4" w:rsidTr="00B32125">
        <w:tc>
          <w:tcPr>
            <w:tcW w:w="592" w:type="dxa"/>
            <w:tcBorders>
              <w:top w:val="nil"/>
              <w:left w:val="single" w:sz="4" w:space="0" w:color="auto"/>
              <w:bottom w:val="nil"/>
              <w:right w:val="nil"/>
            </w:tcBorders>
            <w:shd w:val="clear" w:color="auto" w:fill="auto"/>
            <w:noWrap/>
            <w:tcMar>
              <w:top w:w="113" w:type="dxa"/>
              <w:bottom w:w="113" w:type="dxa"/>
            </w:tcMar>
            <w:vAlign w:val="center"/>
            <w:hideMark/>
          </w:tcPr>
          <w:p w:rsidR="00B32125" w:rsidRPr="00A32AF4" w:rsidRDefault="00B32125" w:rsidP="00DC0553">
            <w:pPr>
              <w:rPr>
                <w:rFonts w:cs="Arial"/>
                <w:sz w:val="16"/>
                <w:szCs w:val="16"/>
                <w:lang w:eastAsia="fr-FR"/>
              </w:rPr>
            </w:pPr>
            <w:r w:rsidRPr="00A32AF4">
              <w:rPr>
                <w:rFonts w:cs="Arial"/>
                <w:sz w:val="16"/>
                <w:szCs w:val="16"/>
                <w:lang w:eastAsia="fr-FR"/>
              </w:rPr>
              <w:t>IV.2</w:t>
            </w:r>
          </w:p>
        </w:tc>
        <w:tc>
          <w:tcPr>
            <w:tcW w:w="4428" w:type="dxa"/>
            <w:tcBorders>
              <w:top w:val="nil"/>
              <w:left w:val="nil"/>
              <w:bottom w:val="nil"/>
              <w:right w:val="nil"/>
            </w:tcBorders>
            <w:shd w:val="clear" w:color="auto" w:fill="auto"/>
            <w:tcMar>
              <w:top w:w="113" w:type="dxa"/>
              <w:bottom w:w="113" w:type="dxa"/>
            </w:tcMar>
            <w:vAlign w:val="center"/>
            <w:hideMark/>
          </w:tcPr>
          <w:p w:rsidR="00B32125" w:rsidRPr="00A32AF4" w:rsidRDefault="00B32125" w:rsidP="00DC0553">
            <w:pPr>
              <w:rPr>
                <w:rFonts w:cs="Arial"/>
                <w:sz w:val="16"/>
                <w:szCs w:val="16"/>
                <w:lang w:eastAsia="fr-FR"/>
              </w:rPr>
            </w:pPr>
            <w:r w:rsidRPr="00A32AF4">
              <w:rPr>
                <w:rFonts w:cs="Arial"/>
                <w:sz w:val="16"/>
                <w:szCs w:val="16"/>
                <w:lang w:eastAsia="fr-FR"/>
              </w:rPr>
              <w:t>Amélioration de l</w:t>
            </w:r>
            <w:r w:rsidR="00E2055A" w:rsidRPr="00A32AF4">
              <w:rPr>
                <w:rFonts w:cs="Arial"/>
                <w:sz w:val="16"/>
                <w:szCs w:val="16"/>
                <w:lang w:eastAsia="fr-FR"/>
              </w:rPr>
              <w:t>’</w:t>
            </w:r>
            <w:r w:rsidRPr="00A32AF4">
              <w:rPr>
                <w:rFonts w:cs="Arial"/>
                <w:sz w:val="16"/>
                <w:szCs w:val="16"/>
                <w:lang w:eastAsia="fr-FR"/>
              </w:rPr>
              <w:t>accessibilité et de l</w:t>
            </w:r>
            <w:r w:rsidR="00E2055A" w:rsidRPr="00A32AF4">
              <w:rPr>
                <w:rFonts w:cs="Arial"/>
                <w:sz w:val="16"/>
                <w:szCs w:val="16"/>
                <w:lang w:eastAsia="fr-FR"/>
              </w:rPr>
              <w:t>’</w:t>
            </w:r>
            <w:r w:rsidRPr="00A32AF4">
              <w:rPr>
                <w:rFonts w:cs="Arial"/>
                <w:sz w:val="16"/>
                <w:szCs w:val="16"/>
                <w:lang w:eastAsia="fr-FR"/>
              </w:rPr>
              <w:t>utilisation de l</w:t>
            </w:r>
            <w:r w:rsidR="00E2055A" w:rsidRPr="00A32AF4">
              <w:rPr>
                <w:rFonts w:cs="Arial"/>
                <w:sz w:val="16"/>
                <w:szCs w:val="16"/>
                <w:lang w:eastAsia="fr-FR"/>
              </w:rPr>
              <w:t>’</w:t>
            </w:r>
            <w:r w:rsidRPr="00A32AF4">
              <w:rPr>
                <w:rFonts w:cs="Arial"/>
                <w:sz w:val="16"/>
                <w:szCs w:val="16"/>
                <w:lang w:eastAsia="fr-FR"/>
              </w:rPr>
              <w:t>information en matière de propriété intellectuelle par les institutions compétentes et le public afin de promouvoir l</w:t>
            </w:r>
            <w:r w:rsidR="00E2055A" w:rsidRPr="00A32AF4">
              <w:rPr>
                <w:rFonts w:cs="Arial"/>
                <w:sz w:val="16"/>
                <w:szCs w:val="16"/>
                <w:lang w:eastAsia="fr-FR"/>
              </w:rPr>
              <w:t>’</w:t>
            </w:r>
            <w:r w:rsidRPr="00A32AF4">
              <w:rPr>
                <w:rFonts w:cs="Arial"/>
                <w:sz w:val="16"/>
                <w:szCs w:val="16"/>
                <w:lang w:eastAsia="fr-FR"/>
              </w:rPr>
              <w:t>innovation et la créativité</w:t>
            </w:r>
          </w:p>
        </w:tc>
        <w:tc>
          <w:tcPr>
            <w:tcW w:w="1260" w:type="dxa"/>
            <w:tcBorders>
              <w:top w:val="nil"/>
              <w:left w:val="nil"/>
              <w:bottom w:val="nil"/>
              <w:right w:val="nil"/>
            </w:tcBorders>
            <w:shd w:val="clear" w:color="auto" w:fill="auto"/>
            <w:tcMar>
              <w:top w:w="113" w:type="dxa"/>
              <w:bottom w:w="113" w:type="dxa"/>
            </w:tcMar>
            <w:vAlign w:val="center"/>
            <w:hideMark/>
          </w:tcPr>
          <w:p w:rsidR="00B32125" w:rsidRPr="00A32AF4" w:rsidRDefault="00B32125" w:rsidP="00DC0553">
            <w:pPr>
              <w:jc w:val="right"/>
              <w:rPr>
                <w:rFonts w:cs="Arial"/>
                <w:sz w:val="16"/>
                <w:szCs w:val="16"/>
                <w:lang w:eastAsia="fr-FR"/>
              </w:rPr>
            </w:pPr>
            <w:r w:rsidRPr="00A32AF4">
              <w:rPr>
                <w:rFonts w:cs="Arial"/>
                <w:sz w:val="16"/>
                <w:szCs w:val="16"/>
                <w:lang w:eastAsia="fr-FR"/>
              </w:rPr>
              <w:t xml:space="preserve">965 </w:t>
            </w:r>
          </w:p>
        </w:tc>
        <w:tc>
          <w:tcPr>
            <w:tcW w:w="1440" w:type="dxa"/>
            <w:tcBorders>
              <w:top w:val="nil"/>
              <w:left w:val="nil"/>
              <w:bottom w:val="nil"/>
              <w:right w:val="nil"/>
            </w:tcBorders>
            <w:shd w:val="clear" w:color="auto" w:fill="auto"/>
            <w:tcMar>
              <w:top w:w="113" w:type="dxa"/>
              <w:bottom w:w="113" w:type="dxa"/>
            </w:tcMar>
            <w:vAlign w:val="center"/>
            <w:hideMark/>
          </w:tcPr>
          <w:p w:rsidR="00B32125" w:rsidRPr="00A32AF4" w:rsidRDefault="00B32125" w:rsidP="00DC0553">
            <w:pPr>
              <w:jc w:val="right"/>
              <w:rPr>
                <w:rFonts w:cs="Arial"/>
                <w:sz w:val="16"/>
                <w:szCs w:val="16"/>
                <w:lang w:eastAsia="fr-FR"/>
              </w:rPr>
            </w:pPr>
            <w:r w:rsidRPr="00A32AF4">
              <w:rPr>
                <w:rFonts w:cs="Arial"/>
                <w:sz w:val="16"/>
                <w:szCs w:val="16"/>
                <w:lang w:eastAsia="fr-FR"/>
              </w:rPr>
              <w:t xml:space="preserve">2 510 </w:t>
            </w:r>
          </w:p>
        </w:tc>
        <w:tc>
          <w:tcPr>
            <w:tcW w:w="1260" w:type="dxa"/>
            <w:tcBorders>
              <w:top w:val="nil"/>
              <w:left w:val="nil"/>
              <w:bottom w:val="nil"/>
              <w:right w:val="single" w:sz="4" w:space="0" w:color="auto"/>
            </w:tcBorders>
            <w:shd w:val="clear" w:color="auto" w:fill="auto"/>
            <w:noWrap/>
            <w:tcMar>
              <w:top w:w="113" w:type="dxa"/>
              <w:bottom w:w="113" w:type="dxa"/>
            </w:tcMar>
            <w:vAlign w:val="center"/>
            <w:hideMark/>
          </w:tcPr>
          <w:p w:rsidR="00B32125" w:rsidRPr="00A32AF4" w:rsidRDefault="00B32125" w:rsidP="00DC0553">
            <w:pPr>
              <w:jc w:val="right"/>
              <w:rPr>
                <w:rFonts w:cs="Arial"/>
                <w:color w:val="000000"/>
                <w:sz w:val="16"/>
                <w:szCs w:val="16"/>
                <w:lang w:eastAsia="fr-FR"/>
              </w:rPr>
            </w:pPr>
            <w:r w:rsidRPr="00A32AF4">
              <w:rPr>
                <w:rFonts w:cs="Arial"/>
                <w:color w:val="000000"/>
                <w:sz w:val="16"/>
                <w:szCs w:val="16"/>
                <w:lang w:eastAsia="fr-FR"/>
              </w:rPr>
              <w:t xml:space="preserve">4 564 </w:t>
            </w:r>
          </w:p>
        </w:tc>
      </w:tr>
      <w:tr w:rsidR="00B32125" w:rsidRPr="00A32AF4" w:rsidTr="00B32125">
        <w:tc>
          <w:tcPr>
            <w:tcW w:w="592" w:type="dxa"/>
            <w:tcBorders>
              <w:top w:val="nil"/>
              <w:left w:val="single" w:sz="4" w:space="0" w:color="auto"/>
              <w:bottom w:val="nil"/>
              <w:right w:val="nil"/>
            </w:tcBorders>
            <w:shd w:val="clear" w:color="auto" w:fill="auto"/>
            <w:noWrap/>
            <w:tcMar>
              <w:top w:w="113" w:type="dxa"/>
              <w:bottom w:w="113" w:type="dxa"/>
            </w:tcMar>
            <w:vAlign w:val="center"/>
            <w:hideMark/>
          </w:tcPr>
          <w:p w:rsidR="00B32125" w:rsidRPr="00A32AF4" w:rsidRDefault="00B32125" w:rsidP="00DC0553">
            <w:pPr>
              <w:rPr>
                <w:rFonts w:cs="Arial"/>
                <w:sz w:val="16"/>
                <w:szCs w:val="16"/>
                <w:lang w:eastAsia="fr-FR"/>
              </w:rPr>
            </w:pPr>
            <w:r w:rsidRPr="00A32AF4">
              <w:rPr>
                <w:rFonts w:cs="Arial"/>
                <w:sz w:val="16"/>
                <w:szCs w:val="16"/>
                <w:lang w:eastAsia="fr-FR"/>
              </w:rPr>
              <w:t>IV.4</w:t>
            </w:r>
          </w:p>
        </w:tc>
        <w:tc>
          <w:tcPr>
            <w:tcW w:w="4428" w:type="dxa"/>
            <w:tcBorders>
              <w:top w:val="nil"/>
              <w:left w:val="nil"/>
              <w:bottom w:val="nil"/>
              <w:right w:val="nil"/>
            </w:tcBorders>
            <w:shd w:val="clear" w:color="auto" w:fill="auto"/>
            <w:tcMar>
              <w:top w:w="113" w:type="dxa"/>
              <w:bottom w:w="113" w:type="dxa"/>
            </w:tcMar>
            <w:vAlign w:val="center"/>
            <w:hideMark/>
          </w:tcPr>
          <w:p w:rsidR="00B32125" w:rsidRPr="00A32AF4" w:rsidRDefault="00B32125" w:rsidP="00DC0553">
            <w:pPr>
              <w:rPr>
                <w:rFonts w:cs="Arial"/>
                <w:sz w:val="16"/>
                <w:szCs w:val="16"/>
                <w:lang w:eastAsia="fr-FR"/>
              </w:rPr>
            </w:pPr>
            <w:r w:rsidRPr="00A32AF4">
              <w:rPr>
                <w:rFonts w:cs="Arial"/>
                <w:sz w:val="16"/>
                <w:szCs w:val="16"/>
                <w:lang w:eastAsia="fr-FR"/>
              </w:rPr>
              <w:t>Amélioration de l</w:t>
            </w:r>
            <w:r w:rsidR="00E2055A" w:rsidRPr="00A32AF4">
              <w:rPr>
                <w:rFonts w:cs="Arial"/>
                <w:sz w:val="16"/>
                <w:szCs w:val="16"/>
                <w:lang w:eastAsia="fr-FR"/>
              </w:rPr>
              <w:t>’</w:t>
            </w:r>
            <w:r w:rsidRPr="00A32AF4">
              <w:rPr>
                <w:rFonts w:cs="Arial"/>
                <w:sz w:val="16"/>
                <w:szCs w:val="16"/>
                <w:lang w:eastAsia="fr-FR"/>
              </w:rPr>
              <w:t>infrastructure technique et du savoir pour les offices de propriété intellectuelle et les autres institutions de propriété intellectuelle, leur permettant de fournir à leurs parties prenantes des services améliorés (moins chers, plus rapides, de meilleure qualité) et d</w:t>
            </w:r>
            <w:r w:rsidR="00E2055A" w:rsidRPr="00A32AF4">
              <w:rPr>
                <w:rFonts w:cs="Arial"/>
                <w:sz w:val="16"/>
                <w:szCs w:val="16"/>
                <w:lang w:eastAsia="fr-FR"/>
              </w:rPr>
              <w:t>’</w:t>
            </w:r>
            <w:r w:rsidRPr="00A32AF4">
              <w:rPr>
                <w:rFonts w:cs="Arial"/>
                <w:sz w:val="16"/>
                <w:szCs w:val="16"/>
                <w:lang w:eastAsia="fr-FR"/>
              </w:rPr>
              <w:t>obtenir un meilleur résultat pour ce qui concerne l</w:t>
            </w:r>
            <w:r w:rsidR="00E2055A" w:rsidRPr="00A32AF4">
              <w:rPr>
                <w:rFonts w:cs="Arial"/>
                <w:sz w:val="16"/>
                <w:szCs w:val="16"/>
                <w:lang w:eastAsia="fr-FR"/>
              </w:rPr>
              <w:t>’</w:t>
            </w:r>
            <w:r w:rsidRPr="00A32AF4">
              <w:rPr>
                <w:rFonts w:cs="Arial"/>
                <w:sz w:val="16"/>
                <w:szCs w:val="16"/>
                <w:lang w:eastAsia="fr-FR"/>
              </w:rPr>
              <w:t>administration de la propriété intellectuelle</w:t>
            </w:r>
          </w:p>
        </w:tc>
        <w:tc>
          <w:tcPr>
            <w:tcW w:w="1260" w:type="dxa"/>
            <w:tcBorders>
              <w:top w:val="nil"/>
              <w:left w:val="nil"/>
              <w:bottom w:val="nil"/>
              <w:right w:val="nil"/>
            </w:tcBorders>
            <w:shd w:val="clear" w:color="auto" w:fill="auto"/>
            <w:tcMar>
              <w:top w:w="113" w:type="dxa"/>
              <w:bottom w:w="113" w:type="dxa"/>
            </w:tcMar>
            <w:vAlign w:val="center"/>
            <w:hideMark/>
          </w:tcPr>
          <w:p w:rsidR="00B32125" w:rsidRPr="00A32AF4" w:rsidRDefault="00B32125" w:rsidP="00DC0553">
            <w:pPr>
              <w:jc w:val="right"/>
              <w:rPr>
                <w:rFonts w:cs="Arial"/>
                <w:sz w:val="16"/>
                <w:szCs w:val="16"/>
                <w:lang w:eastAsia="fr-FR"/>
              </w:rPr>
            </w:pPr>
            <w:r w:rsidRPr="00A32AF4">
              <w:rPr>
                <w:rFonts w:cs="Arial"/>
                <w:sz w:val="16"/>
                <w:szCs w:val="16"/>
                <w:lang w:eastAsia="fr-FR"/>
              </w:rPr>
              <w:t xml:space="preserve">2 393 </w:t>
            </w:r>
          </w:p>
        </w:tc>
        <w:tc>
          <w:tcPr>
            <w:tcW w:w="1440" w:type="dxa"/>
            <w:tcBorders>
              <w:top w:val="nil"/>
              <w:left w:val="nil"/>
              <w:bottom w:val="nil"/>
              <w:right w:val="nil"/>
            </w:tcBorders>
            <w:shd w:val="clear" w:color="auto" w:fill="auto"/>
            <w:tcMar>
              <w:top w:w="113" w:type="dxa"/>
              <w:bottom w:w="113" w:type="dxa"/>
            </w:tcMar>
            <w:vAlign w:val="center"/>
            <w:hideMark/>
          </w:tcPr>
          <w:p w:rsidR="00B32125" w:rsidRPr="00A32AF4" w:rsidRDefault="00B32125" w:rsidP="00DC0553">
            <w:pPr>
              <w:jc w:val="right"/>
              <w:rPr>
                <w:rFonts w:cs="Arial"/>
                <w:sz w:val="16"/>
                <w:szCs w:val="16"/>
                <w:lang w:eastAsia="fr-FR"/>
              </w:rPr>
            </w:pPr>
            <w:r w:rsidRPr="00A32AF4">
              <w:rPr>
                <w:rFonts w:cs="Arial"/>
                <w:sz w:val="16"/>
                <w:szCs w:val="16"/>
                <w:lang w:eastAsia="fr-FR"/>
              </w:rPr>
              <w:t xml:space="preserve">3 462 </w:t>
            </w:r>
          </w:p>
        </w:tc>
        <w:tc>
          <w:tcPr>
            <w:tcW w:w="1260" w:type="dxa"/>
            <w:tcBorders>
              <w:top w:val="nil"/>
              <w:left w:val="nil"/>
              <w:bottom w:val="nil"/>
              <w:right w:val="single" w:sz="4" w:space="0" w:color="auto"/>
            </w:tcBorders>
            <w:shd w:val="clear" w:color="auto" w:fill="auto"/>
            <w:noWrap/>
            <w:tcMar>
              <w:top w:w="113" w:type="dxa"/>
              <w:bottom w:w="113" w:type="dxa"/>
            </w:tcMar>
            <w:vAlign w:val="center"/>
            <w:hideMark/>
          </w:tcPr>
          <w:p w:rsidR="00B32125" w:rsidRPr="00A32AF4" w:rsidRDefault="00B32125" w:rsidP="00DC0553">
            <w:pPr>
              <w:jc w:val="right"/>
              <w:rPr>
                <w:rFonts w:cs="Arial"/>
                <w:color w:val="000000"/>
                <w:sz w:val="16"/>
                <w:szCs w:val="16"/>
                <w:lang w:eastAsia="fr-FR"/>
              </w:rPr>
            </w:pPr>
            <w:r w:rsidRPr="00A32AF4">
              <w:rPr>
                <w:rFonts w:cs="Arial"/>
                <w:color w:val="000000"/>
                <w:sz w:val="16"/>
                <w:szCs w:val="16"/>
                <w:lang w:eastAsia="fr-FR"/>
              </w:rPr>
              <w:t xml:space="preserve">1 339 </w:t>
            </w:r>
          </w:p>
        </w:tc>
      </w:tr>
      <w:tr w:rsidR="00B32125" w:rsidRPr="00A32AF4" w:rsidTr="00B32125">
        <w:tc>
          <w:tcPr>
            <w:tcW w:w="592" w:type="dxa"/>
            <w:tcBorders>
              <w:top w:val="nil"/>
              <w:left w:val="single" w:sz="4" w:space="0" w:color="auto"/>
              <w:bottom w:val="nil"/>
              <w:right w:val="nil"/>
            </w:tcBorders>
            <w:shd w:val="clear" w:color="auto" w:fill="auto"/>
            <w:noWrap/>
            <w:tcMar>
              <w:top w:w="113" w:type="dxa"/>
              <w:bottom w:w="113" w:type="dxa"/>
            </w:tcMar>
            <w:vAlign w:val="center"/>
            <w:hideMark/>
          </w:tcPr>
          <w:p w:rsidR="00B32125" w:rsidRPr="00A32AF4" w:rsidRDefault="00B32125" w:rsidP="00DC0553">
            <w:pPr>
              <w:rPr>
                <w:rFonts w:cs="Arial"/>
                <w:sz w:val="16"/>
                <w:szCs w:val="16"/>
                <w:lang w:eastAsia="fr-FR"/>
              </w:rPr>
            </w:pPr>
            <w:r w:rsidRPr="00A32AF4">
              <w:rPr>
                <w:rFonts w:cs="Arial"/>
                <w:sz w:val="16"/>
                <w:szCs w:val="16"/>
                <w:lang w:eastAsia="fr-FR"/>
              </w:rPr>
              <w:t>VIII.5</w:t>
            </w:r>
          </w:p>
        </w:tc>
        <w:tc>
          <w:tcPr>
            <w:tcW w:w="4428" w:type="dxa"/>
            <w:tcBorders>
              <w:top w:val="nil"/>
              <w:left w:val="nil"/>
              <w:bottom w:val="nil"/>
              <w:right w:val="nil"/>
            </w:tcBorders>
            <w:shd w:val="clear" w:color="auto" w:fill="auto"/>
            <w:tcMar>
              <w:top w:w="113" w:type="dxa"/>
              <w:bottom w:w="113" w:type="dxa"/>
            </w:tcMar>
            <w:vAlign w:val="center"/>
            <w:hideMark/>
          </w:tcPr>
          <w:p w:rsidR="00B32125" w:rsidRPr="00A32AF4" w:rsidRDefault="00B32125" w:rsidP="00DC0553">
            <w:pPr>
              <w:rPr>
                <w:rFonts w:cs="Arial"/>
                <w:sz w:val="16"/>
                <w:szCs w:val="16"/>
                <w:lang w:eastAsia="fr-FR"/>
              </w:rPr>
            </w:pPr>
            <w:r w:rsidRPr="00A32AF4">
              <w:rPr>
                <w:rFonts w:cs="Arial"/>
                <w:sz w:val="16"/>
                <w:szCs w:val="16"/>
                <w:lang w:eastAsia="fr-FR"/>
              </w:rPr>
              <w:t>L</w:t>
            </w:r>
            <w:r w:rsidR="00E2055A" w:rsidRPr="00A32AF4">
              <w:rPr>
                <w:rFonts w:cs="Arial"/>
                <w:sz w:val="16"/>
                <w:szCs w:val="16"/>
                <w:lang w:eastAsia="fr-FR"/>
              </w:rPr>
              <w:t>’</w:t>
            </w:r>
            <w:r w:rsidRPr="00A32AF4">
              <w:rPr>
                <w:rFonts w:cs="Arial"/>
                <w:sz w:val="16"/>
                <w:szCs w:val="16"/>
                <w:lang w:eastAsia="fr-FR"/>
              </w:rPr>
              <w:t>OMPI collabore efficacement avec d</w:t>
            </w:r>
            <w:r w:rsidR="00E2055A" w:rsidRPr="00A32AF4">
              <w:rPr>
                <w:rFonts w:cs="Arial"/>
                <w:sz w:val="16"/>
                <w:szCs w:val="16"/>
                <w:lang w:eastAsia="fr-FR"/>
              </w:rPr>
              <w:t>’</w:t>
            </w:r>
            <w:r w:rsidRPr="00A32AF4">
              <w:rPr>
                <w:rFonts w:cs="Arial"/>
                <w:sz w:val="16"/>
                <w:szCs w:val="16"/>
                <w:lang w:eastAsia="fr-FR"/>
              </w:rPr>
              <w:t>autres processus et instances de négociation de l</w:t>
            </w:r>
            <w:r w:rsidR="00E2055A" w:rsidRPr="00A32AF4">
              <w:rPr>
                <w:rFonts w:cs="Arial"/>
                <w:sz w:val="16"/>
                <w:szCs w:val="16"/>
                <w:lang w:eastAsia="fr-FR"/>
              </w:rPr>
              <w:t>’</w:t>
            </w:r>
            <w:r w:rsidRPr="00A32AF4">
              <w:rPr>
                <w:rFonts w:cs="Arial"/>
                <w:sz w:val="16"/>
                <w:szCs w:val="16"/>
                <w:lang w:eastAsia="fr-FR"/>
              </w:rPr>
              <w:t>ONU et d</w:t>
            </w:r>
            <w:r w:rsidR="00E2055A" w:rsidRPr="00A32AF4">
              <w:rPr>
                <w:rFonts w:cs="Arial"/>
                <w:sz w:val="16"/>
                <w:szCs w:val="16"/>
                <w:lang w:eastAsia="fr-FR"/>
              </w:rPr>
              <w:t>’</w:t>
            </w:r>
            <w:r w:rsidRPr="00A32AF4">
              <w:rPr>
                <w:rFonts w:cs="Arial"/>
                <w:sz w:val="16"/>
                <w:szCs w:val="16"/>
                <w:lang w:eastAsia="fr-FR"/>
              </w:rPr>
              <w:t>autres organisations intergouvernementales</w:t>
            </w:r>
          </w:p>
        </w:tc>
        <w:tc>
          <w:tcPr>
            <w:tcW w:w="1260" w:type="dxa"/>
            <w:tcBorders>
              <w:top w:val="nil"/>
              <w:left w:val="nil"/>
              <w:bottom w:val="nil"/>
              <w:right w:val="nil"/>
            </w:tcBorders>
            <w:shd w:val="clear" w:color="auto" w:fill="auto"/>
            <w:tcMar>
              <w:top w:w="113" w:type="dxa"/>
              <w:bottom w:w="113" w:type="dxa"/>
            </w:tcMar>
            <w:vAlign w:val="center"/>
            <w:hideMark/>
          </w:tcPr>
          <w:p w:rsidR="00B32125" w:rsidRPr="00A32AF4" w:rsidRDefault="00B32125" w:rsidP="00DC0553">
            <w:pPr>
              <w:jc w:val="right"/>
              <w:rPr>
                <w:rFonts w:cs="Arial"/>
                <w:sz w:val="16"/>
                <w:szCs w:val="16"/>
                <w:lang w:eastAsia="fr-FR"/>
              </w:rPr>
            </w:pPr>
            <w:r w:rsidRPr="00A32AF4">
              <w:rPr>
                <w:rFonts w:cs="Arial"/>
                <w:sz w:val="16"/>
                <w:szCs w:val="16"/>
                <w:lang w:eastAsia="fr-FR"/>
              </w:rPr>
              <w:t>–</w:t>
            </w:r>
          </w:p>
        </w:tc>
        <w:tc>
          <w:tcPr>
            <w:tcW w:w="1440" w:type="dxa"/>
            <w:tcBorders>
              <w:top w:val="nil"/>
              <w:left w:val="nil"/>
              <w:bottom w:val="nil"/>
              <w:right w:val="nil"/>
            </w:tcBorders>
            <w:shd w:val="clear" w:color="auto" w:fill="auto"/>
            <w:tcMar>
              <w:top w:w="113" w:type="dxa"/>
              <w:bottom w:w="113" w:type="dxa"/>
            </w:tcMar>
            <w:vAlign w:val="center"/>
            <w:hideMark/>
          </w:tcPr>
          <w:p w:rsidR="00B32125" w:rsidRPr="00A32AF4" w:rsidRDefault="00B32125" w:rsidP="00DC0553">
            <w:pPr>
              <w:jc w:val="right"/>
              <w:rPr>
                <w:rFonts w:cs="Arial"/>
                <w:sz w:val="16"/>
                <w:szCs w:val="16"/>
                <w:lang w:eastAsia="fr-FR"/>
              </w:rPr>
            </w:pPr>
            <w:r w:rsidRPr="00A32AF4">
              <w:rPr>
                <w:rFonts w:cs="Arial"/>
                <w:sz w:val="16"/>
                <w:szCs w:val="16"/>
                <w:lang w:eastAsia="fr-FR"/>
              </w:rPr>
              <w:t xml:space="preserve">630 </w:t>
            </w:r>
          </w:p>
        </w:tc>
        <w:tc>
          <w:tcPr>
            <w:tcW w:w="1260" w:type="dxa"/>
            <w:tcBorders>
              <w:top w:val="nil"/>
              <w:left w:val="nil"/>
              <w:bottom w:val="nil"/>
              <w:right w:val="single" w:sz="4" w:space="0" w:color="auto"/>
            </w:tcBorders>
            <w:shd w:val="clear" w:color="auto" w:fill="auto"/>
            <w:tcMar>
              <w:top w:w="113" w:type="dxa"/>
              <w:bottom w:w="113" w:type="dxa"/>
            </w:tcMar>
            <w:vAlign w:val="center"/>
            <w:hideMark/>
          </w:tcPr>
          <w:p w:rsidR="00B32125" w:rsidRPr="00A32AF4" w:rsidRDefault="00B32125" w:rsidP="00DC0553">
            <w:pPr>
              <w:jc w:val="right"/>
              <w:rPr>
                <w:rFonts w:cs="Arial"/>
                <w:sz w:val="16"/>
                <w:szCs w:val="16"/>
                <w:lang w:eastAsia="fr-FR"/>
              </w:rPr>
            </w:pPr>
            <w:r w:rsidRPr="00A32AF4">
              <w:rPr>
                <w:rFonts w:cs="Arial"/>
                <w:sz w:val="16"/>
                <w:szCs w:val="16"/>
                <w:lang w:eastAsia="fr-FR"/>
              </w:rPr>
              <w:t>–</w:t>
            </w:r>
          </w:p>
        </w:tc>
      </w:tr>
      <w:tr w:rsidR="00B32125" w:rsidRPr="00A32AF4" w:rsidTr="00B32125">
        <w:tc>
          <w:tcPr>
            <w:tcW w:w="592" w:type="dxa"/>
            <w:tcBorders>
              <w:top w:val="single" w:sz="4" w:space="0" w:color="auto"/>
              <w:left w:val="single" w:sz="4" w:space="0" w:color="auto"/>
              <w:bottom w:val="single" w:sz="4" w:space="0" w:color="auto"/>
              <w:right w:val="nil"/>
            </w:tcBorders>
            <w:shd w:val="clear" w:color="000000" w:fill="C5D9F1"/>
            <w:noWrap/>
            <w:tcMar>
              <w:top w:w="113" w:type="dxa"/>
              <w:bottom w:w="113" w:type="dxa"/>
            </w:tcMar>
            <w:vAlign w:val="bottom"/>
            <w:hideMark/>
          </w:tcPr>
          <w:p w:rsidR="00B32125" w:rsidRPr="00A32AF4" w:rsidRDefault="00B32125" w:rsidP="00DC0553">
            <w:pPr>
              <w:rPr>
                <w:rFonts w:cs="Arial"/>
                <w:sz w:val="16"/>
                <w:szCs w:val="16"/>
                <w:lang w:eastAsia="fr-FR"/>
              </w:rPr>
            </w:pPr>
            <w:r w:rsidRPr="00A32AF4">
              <w:rPr>
                <w:rFonts w:cs="Arial"/>
                <w:sz w:val="16"/>
                <w:szCs w:val="16"/>
                <w:lang w:eastAsia="fr-FR"/>
              </w:rPr>
              <w:t> </w:t>
            </w:r>
          </w:p>
        </w:tc>
        <w:tc>
          <w:tcPr>
            <w:tcW w:w="4428"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B32125" w:rsidRPr="00A32AF4" w:rsidRDefault="00B32125" w:rsidP="00DC0553">
            <w:pPr>
              <w:rPr>
                <w:rFonts w:cs="Arial"/>
                <w:b/>
                <w:bCs/>
                <w:sz w:val="16"/>
                <w:szCs w:val="16"/>
                <w:lang w:eastAsia="fr-FR"/>
              </w:rPr>
            </w:pPr>
            <w:r w:rsidRPr="00A32AF4">
              <w:rPr>
                <w:rFonts w:cs="Arial"/>
                <w:b/>
                <w:bCs/>
                <w:sz w:val="16"/>
                <w:szCs w:val="16"/>
                <w:lang w:eastAsia="fr-FR"/>
              </w:rPr>
              <w:t>Total</w:t>
            </w:r>
          </w:p>
        </w:tc>
        <w:tc>
          <w:tcPr>
            <w:tcW w:w="1260"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B32125" w:rsidRPr="00A32AF4" w:rsidRDefault="00B32125" w:rsidP="00DC0553">
            <w:pPr>
              <w:jc w:val="right"/>
              <w:rPr>
                <w:rFonts w:cs="Arial"/>
                <w:b/>
                <w:bCs/>
                <w:sz w:val="16"/>
                <w:szCs w:val="16"/>
                <w:lang w:eastAsia="fr-FR"/>
              </w:rPr>
            </w:pPr>
            <w:r w:rsidRPr="00A32AF4">
              <w:rPr>
                <w:rFonts w:cs="Arial"/>
                <w:b/>
                <w:bCs/>
                <w:sz w:val="16"/>
                <w:szCs w:val="16"/>
                <w:lang w:eastAsia="fr-FR"/>
              </w:rPr>
              <w:t>32</w:t>
            </w:r>
            <w:r w:rsidR="00FD43E3" w:rsidRPr="00A32AF4">
              <w:rPr>
                <w:rFonts w:cs="Arial"/>
                <w:b/>
                <w:bCs/>
                <w:sz w:val="16"/>
                <w:szCs w:val="16"/>
                <w:lang w:eastAsia="fr-FR"/>
              </w:rPr>
              <w:t> </w:t>
            </w:r>
            <w:r w:rsidRPr="00A32AF4">
              <w:rPr>
                <w:rFonts w:cs="Arial"/>
                <w:b/>
                <w:bCs/>
                <w:sz w:val="16"/>
                <w:szCs w:val="16"/>
                <w:lang w:eastAsia="fr-FR"/>
              </w:rPr>
              <w:t xml:space="preserve">325 </w:t>
            </w:r>
          </w:p>
        </w:tc>
        <w:tc>
          <w:tcPr>
            <w:tcW w:w="1440"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B32125" w:rsidRPr="00A32AF4" w:rsidRDefault="00B32125" w:rsidP="00DC0553">
            <w:pPr>
              <w:jc w:val="right"/>
              <w:rPr>
                <w:rFonts w:cs="Arial"/>
                <w:b/>
                <w:bCs/>
                <w:sz w:val="16"/>
                <w:szCs w:val="16"/>
                <w:lang w:eastAsia="fr-FR"/>
              </w:rPr>
            </w:pPr>
            <w:r w:rsidRPr="00A32AF4">
              <w:rPr>
                <w:rFonts w:cs="Arial"/>
                <w:b/>
                <w:bCs/>
                <w:sz w:val="16"/>
                <w:szCs w:val="16"/>
                <w:lang w:eastAsia="fr-FR"/>
              </w:rPr>
              <w:t>32</w:t>
            </w:r>
            <w:r w:rsidR="00FD43E3" w:rsidRPr="00A32AF4">
              <w:rPr>
                <w:rFonts w:cs="Arial"/>
                <w:b/>
                <w:bCs/>
                <w:sz w:val="16"/>
                <w:szCs w:val="16"/>
                <w:lang w:eastAsia="fr-FR"/>
              </w:rPr>
              <w:t> </w:t>
            </w:r>
            <w:r w:rsidRPr="00A32AF4">
              <w:rPr>
                <w:rFonts w:cs="Arial"/>
                <w:b/>
                <w:bCs/>
                <w:sz w:val="16"/>
                <w:szCs w:val="16"/>
                <w:lang w:eastAsia="fr-FR"/>
              </w:rPr>
              <w:t xml:space="preserve">383 </w:t>
            </w:r>
          </w:p>
        </w:tc>
        <w:tc>
          <w:tcPr>
            <w:tcW w:w="1260"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B32125" w:rsidRPr="00A32AF4" w:rsidRDefault="00B32125" w:rsidP="00DC0553">
            <w:pPr>
              <w:jc w:val="right"/>
              <w:rPr>
                <w:rFonts w:cs="Arial"/>
                <w:b/>
                <w:bCs/>
                <w:sz w:val="16"/>
                <w:szCs w:val="16"/>
                <w:lang w:eastAsia="fr-FR"/>
              </w:rPr>
            </w:pPr>
            <w:r w:rsidRPr="00A32AF4">
              <w:rPr>
                <w:rFonts w:cs="Arial"/>
                <w:b/>
                <w:bCs/>
                <w:sz w:val="16"/>
                <w:szCs w:val="16"/>
                <w:lang w:eastAsia="fr-FR"/>
              </w:rPr>
              <w:t>31</w:t>
            </w:r>
            <w:r w:rsidR="00FD43E3" w:rsidRPr="00A32AF4">
              <w:rPr>
                <w:rFonts w:cs="Arial"/>
                <w:b/>
                <w:bCs/>
                <w:sz w:val="16"/>
                <w:szCs w:val="16"/>
                <w:lang w:eastAsia="fr-FR"/>
              </w:rPr>
              <w:t> </w:t>
            </w:r>
            <w:r w:rsidRPr="00A32AF4">
              <w:rPr>
                <w:rFonts w:cs="Arial"/>
                <w:b/>
                <w:bCs/>
                <w:sz w:val="16"/>
                <w:szCs w:val="16"/>
                <w:lang w:eastAsia="fr-FR"/>
              </w:rPr>
              <w:t xml:space="preserve">907 </w:t>
            </w:r>
          </w:p>
        </w:tc>
      </w:tr>
    </w:tbl>
    <w:p w:rsidR="00C13B9D" w:rsidRPr="00A32AF4" w:rsidRDefault="00C13B9D">
      <w:pPr>
        <w:rPr>
          <w:rFonts w:cs="Arial"/>
          <w:b/>
        </w:rPr>
      </w:pPr>
      <w:r w:rsidRPr="00A32AF4">
        <w:rPr>
          <w:rFonts w:cs="Arial"/>
          <w:b/>
        </w:rPr>
        <w:br w:type="page"/>
      </w:r>
    </w:p>
    <w:p w:rsidR="00F93B76" w:rsidRPr="00A32AF4" w:rsidRDefault="00B32125" w:rsidP="00DC0553">
      <w:pPr>
        <w:keepNext/>
        <w:keepLines/>
        <w:autoSpaceDE w:val="0"/>
        <w:autoSpaceDN w:val="0"/>
        <w:jc w:val="center"/>
        <w:rPr>
          <w:rFonts w:cs="Arial"/>
          <w:b/>
        </w:rPr>
      </w:pPr>
      <w:r w:rsidRPr="00A32AF4">
        <w:rPr>
          <w:rFonts w:cs="Arial"/>
          <w:b/>
        </w:rPr>
        <w:t>Programme 9 : ressources par objet de dépense</w:t>
      </w:r>
    </w:p>
    <w:p w:rsidR="00F93B76" w:rsidRPr="00A32AF4" w:rsidRDefault="00B32125" w:rsidP="00DC0553">
      <w:pPr>
        <w:keepNext/>
        <w:keepLines/>
        <w:autoSpaceDE w:val="0"/>
        <w:autoSpaceDN w:val="0"/>
        <w:jc w:val="center"/>
        <w:rPr>
          <w:rFonts w:cs="Arial"/>
          <w:i/>
        </w:rPr>
      </w:pPr>
      <w:r w:rsidRPr="00A32AF4">
        <w:rPr>
          <w:rFonts w:cs="Arial"/>
          <w:i/>
        </w:rPr>
        <w:t>(</w:t>
      </w:r>
      <w:proofErr w:type="gramStart"/>
      <w:r w:rsidRPr="00A32AF4">
        <w:rPr>
          <w:rFonts w:cs="Arial"/>
          <w:i/>
        </w:rPr>
        <w:t>en</w:t>
      </w:r>
      <w:proofErr w:type="gramEnd"/>
      <w:r w:rsidRPr="00A32AF4">
        <w:rPr>
          <w:rFonts w:cs="Arial"/>
          <w:i/>
        </w:rPr>
        <w:t xml:space="preserve"> milliers de francs suisses)</w:t>
      </w:r>
    </w:p>
    <w:p w:rsidR="00F93B76" w:rsidRPr="00A32AF4" w:rsidRDefault="00F93B76" w:rsidP="00DC0553">
      <w:pPr>
        <w:keepNext/>
        <w:rPr>
          <w:rFonts w:eastAsia="SimSun"/>
        </w:rPr>
      </w:pPr>
    </w:p>
    <w:p w:rsidR="00F93B76" w:rsidRPr="00A32AF4" w:rsidRDefault="00C836BC" w:rsidP="00DC0553">
      <w:pPr>
        <w:rPr>
          <w:rFonts w:eastAsia="SimSun"/>
        </w:rPr>
      </w:pPr>
      <w:r w:rsidRPr="00A32AF4">
        <w:rPr>
          <w:rFonts w:eastAsia="SimSun"/>
          <w:noProof/>
          <w:lang w:eastAsia="fr-FR"/>
        </w:rPr>
        <w:drawing>
          <wp:inline distT="0" distB="0" distL="0" distR="0" wp14:anchorId="6EAA0071" wp14:editId="0ADFE5E4">
            <wp:extent cx="5512435" cy="7051040"/>
            <wp:effectExtent l="0" t="0" r="0" b="0"/>
            <wp:docPr id="1044" name="Pictur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512435" cy="7051040"/>
                    </a:xfrm>
                    <a:prstGeom prst="rect">
                      <a:avLst/>
                    </a:prstGeom>
                    <a:noFill/>
                    <a:ln>
                      <a:noFill/>
                    </a:ln>
                  </pic:spPr>
                </pic:pic>
              </a:graphicData>
            </a:graphic>
          </wp:inline>
        </w:drawing>
      </w:r>
    </w:p>
    <w:p w:rsidR="00F93B76" w:rsidRPr="00A32AF4" w:rsidRDefault="00F93B76" w:rsidP="00DC0553"/>
    <w:p w:rsidR="00F93B76" w:rsidRPr="00A32AF4" w:rsidRDefault="00F93B76" w:rsidP="00DC0553"/>
    <w:p w:rsidR="00F93B76" w:rsidRPr="00A32AF4" w:rsidRDefault="007343F6" w:rsidP="00DC0553">
      <w:pPr>
        <w:keepNext/>
        <w:jc w:val="center"/>
        <w:rPr>
          <w:b/>
        </w:rPr>
      </w:pPr>
      <w:r w:rsidRPr="00A32AF4">
        <w:rPr>
          <w:b/>
        </w:rPr>
        <w:t>Ressources au titre des fonds fiduciaires potentiellement disponibles pour les activités de</w:t>
      </w:r>
      <w:r w:rsidR="00466DC3" w:rsidRPr="00A32AF4">
        <w:rPr>
          <w:b/>
        </w:rPr>
        <w:t> </w:t>
      </w:r>
      <w:r w:rsidRPr="00A32AF4">
        <w:rPr>
          <w:b/>
        </w:rPr>
        <w:t>programme en</w:t>
      </w:r>
      <w:r w:rsidR="00FD43E3" w:rsidRPr="00A32AF4">
        <w:rPr>
          <w:b/>
        </w:rPr>
        <w:t> </w:t>
      </w:r>
      <w:r w:rsidRPr="00A32AF4">
        <w:rPr>
          <w:b/>
        </w:rPr>
        <w:t>2016</w:t>
      </w:r>
      <w:r w:rsidR="00EB7F54" w:rsidRPr="00A32AF4">
        <w:rPr>
          <w:b/>
        </w:rPr>
        <w:noBreakHyphen/>
      </w:r>
      <w:r w:rsidRPr="00A32AF4">
        <w:rPr>
          <w:b/>
        </w:rPr>
        <w:t>2017 (PAR PROGRAMME</w:t>
      </w:r>
      <w:proofErr w:type="gramStart"/>
      <w:r w:rsidRPr="00A32AF4">
        <w:rPr>
          <w:b/>
        </w:rPr>
        <w:t>)</w:t>
      </w:r>
      <w:r w:rsidRPr="00A32AF4">
        <w:rPr>
          <w:vertAlign w:val="superscript"/>
        </w:rPr>
        <w:t>1</w:t>
      </w:r>
      <w:proofErr w:type="gramEnd"/>
    </w:p>
    <w:p w:rsidR="00F93B76" w:rsidRPr="00A32AF4" w:rsidRDefault="007343F6" w:rsidP="00DC0553">
      <w:pPr>
        <w:keepNext/>
        <w:jc w:val="center"/>
        <w:rPr>
          <w:i/>
        </w:rPr>
      </w:pPr>
      <w:r w:rsidRPr="00A32AF4">
        <w:rPr>
          <w:i/>
        </w:rPr>
        <w:t>(</w:t>
      </w:r>
      <w:proofErr w:type="gramStart"/>
      <w:r w:rsidRPr="00A32AF4">
        <w:rPr>
          <w:i/>
        </w:rPr>
        <w:t>en</w:t>
      </w:r>
      <w:proofErr w:type="gramEnd"/>
      <w:r w:rsidRPr="00A32AF4">
        <w:rPr>
          <w:i/>
        </w:rPr>
        <w:t xml:space="preserve"> milliers de francs suisses)</w:t>
      </w:r>
    </w:p>
    <w:p w:rsidR="00F93B76" w:rsidRPr="00A32AF4" w:rsidRDefault="00F93B76" w:rsidP="00DC0553">
      <w:pPr>
        <w:keepNext/>
      </w:pPr>
    </w:p>
    <w:p w:rsidR="00F93B76" w:rsidRPr="00A32AF4" w:rsidRDefault="00762163" w:rsidP="00DC0553">
      <w:r w:rsidRPr="00A32AF4">
        <w:rPr>
          <w:noProof/>
          <w:lang w:eastAsia="fr-FR"/>
        </w:rPr>
        <w:drawing>
          <wp:inline distT="0" distB="0" distL="0" distR="0" wp14:anchorId="4A831273" wp14:editId="2167AF94">
            <wp:extent cx="5760085" cy="2225654"/>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760085" cy="2225654"/>
                    </a:xfrm>
                    <a:prstGeom prst="rect">
                      <a:avLst/>
                    </a:prstGeom>
                    <a:noFill/>
                    <a:ln>
                      <a:noFill/>
                    </a:ln>
                  </pic:spPr>
                </pic:pic>
              </a:graphicData>
            </a:graphic>
          </wp:inline>
        </w:drawing>
      </w:r>
    </w:p>
    <w:p w:rsidR="00F93B76" w:rsidRPr="00A32AF4" w:rsidRDefault="000D2FF6" w:rsidP="00DC0553">
      <w:pPr>
        <w:rPr>
          <w:i/>
          <w:sz w:val="16"/>
        </w:rPr>
      </w:pPr>
      <w:r w:rsidRPr="00A32AF4">
        <w:rPr>
          <w:i/>
          <w:sz w:val="16"/>
          <w:vertAlign w:val="superscript"/>
        </w:rPr>
        <w:t>1</w:t>
      </w:r>
      <w:r w:rsidRPr="00A32AF4">
        <w:rPr>
          <w:i/>
          <w:sz w:val="16"/>
        </w:rPr>
        <w:t xml:space="preserve"> Les chiffres ne comprennent pas les ajustements pour intérêts et taux de change.  Il est à noter également que ces fonds financent en général des activités qui portent sur une période excédant un exercice biennal ou qui sont à cheval sur deux</w:t>
      </w:r>
      <w:r w:rsidR="00FD43E3" w:rsidRPr="00A32AF4">
        <w:rPr>
          <w:i/>
          <w:sz w:val="16"/>
        </w:rPr>
        <w:t> </w:t>
      </w:r>
      <w:r w:rsidRPr="00A32AF4">
        <w:rPr>
          <w:i/>
          <w:sz w:val="16"/>
        </w:rPr>
        <w:t>exercices, à mesure que les recettes sont perçues et les dépenses encourues.</w:t>
      </w:r>
    </w:p>
    <w:p w:rsidR="00F93B76" w:rsidRPr="00A32AF4" w:rsidRDefault="000D2FF6" w:rsidP="00DC0553">
      <w:pPr>
        <w:rPr>
          <w:i/>
          <w:sz w:val="16"/>
        </w:rPr>
      </w:pPr>
      <w:r w:rsidRPr="00A32AF4">
        <w:rPr>
          <w:i/>
          <w:sz w:val="16"/>
          <w:vertAlign w:val="superscript"/>
        </w:rPr>
        <w:t>2</w:t>
      </w:r>
      <w:r w:rsidRPr="00A32AF4">
        <w:rPr>
          <w:i/>
          <w:sz w:val="16"/>
        </w:rPr>
        <w:t xml:space="preserve"> Ces chiffres purement indicatifs découlent des modes de financement précédents.  Ils ne représentent pas des engagements de la part des États membres, sauf dans les cas où l</w:t>
      </w:r>
      <w:r w:rsidR="00E2055A" w:rsidRPr="00A32AF4">
        <w:rPr>
          <w:i/>
          <w:sz w:val="16"/>
        </w:rPr>
        <w:t>’</w:t>
      </w:r>
      <w:r w:rsidRPr="00A32AF4">
        <w:rPr>
          <w:i/>
          <w:sz w:val="16"/>
        </w:rPr>
        <w:t>accord de fonds fiduciaire comprend un tel engagement.</w:t>
      </w:r>
    </w:p>
    <w:p w:rsidR="00F93B76" w:rsidRPr="00A32AF4" w:rsidRDefault="000D2FF6" w:rsidP="00DC0553">
      <w:pPr>
        <w:rPr>
          <w:i/>
          <w:sz w:val="16"/>
        </w:rPr>
      </w:pPr>
      <w:r w:rsidRPr="00A32AF4">
        <w:rPr>
          <w:i/>
          <w:sz w:val="16"/>
          <w:vertAlign w:val="superscript"/>
        </w:rPr>
        <w:t>3</w:t>
      </w:r>
      <w:r w:rsidRPr="00A32AF4">
        <w:rPr>
          <w:i/>
          <w:sz w:val="16"/>
        </w:rPr>
        <w:t xml:space="preserve"> Les contributions annuelles sont variables, des fluctuations ayant été constatées d</w:t>
      </w:r>
      <w:r w:rsidR="00E2055A" w:rsidRPr="00A32AF4">
        <w:rPr>
          <w:i/>
          <w:sz w:val="16"/>
        </w:rPr>
        <w:t>’</w:t>
      </w:r>
      <w:r w:rsidRPr="00A32AF4">
        <w:rPr>
          <w:i/>
          <w:sz w:val="16"/>
        </w:rPr>
        <w:t>une année à l</w:t>
      </w:r>
      <w:r w:rsidR="00E2055A" w:rsidRPr="00A32AF4">
        <w:rPr>
          <w:i/>
          <w:sz w:val="16"/>
        </w:rPr>
        <w:t>’</w:t>
      </w:r>
      <w:r w:rsidRPr="00A32AF4">
        <w:rPr>
          <w:i/>
          <w:sz w:val="16"/>
        </w:rPr>
        <w:t>autre.</w:t>
      </w:r>
    </w:p>
    <w:p w:rsidR="00F93B76" w:rsidRPr="00A32AF4" w:rsidRDefault="00F93B76" w:rsidP="00DC0553"/>
    <w:p w:rsidR="00F93B76" w:rsidRPr="00A32AF4" w:rsidRDefault="00F93B76" w:rsidP="00DC0553"/>
    <w:p w:rsidR="00F93B76" w:rsidRPr="00A32AF4" w:rsidRDefault="00B32125" w:rsidP="00DC0553">
      <w:pPr>
        <w:rPr>
          <w:b/>
          <w:szCs w:val="22"/>
        </w:rPr>
      </w:pPr>
      <w:r w:rsidRPr="00A32AF4">
        <w:rPr>
          <w:b/>
          <w:szCs w:val="22"/>
        </w:rPr>
        <w:br w:type="page"/>
      </w:r>
    </w:p>
    <w:p w:rsidR="00F93B76" w:rsidRPr="00A32AF4" w:rsidRDefault="00D21583" w:rsidP="00FB1F61">
      <w:pPr>
        <w:pStyle w:val="Heading3"/>
      </w:pPr>
      <w:bookmarkStart w:id="42" w:name="_Toc431555448"/>
      <w:r w:rsidRPr="00A32AF4">
        <w:t>PROGRAMME </w:t>
      </w:r>
      <w:r w:rsidR="00CD1430" w:rsidRPr="00A32AF4">
        <w:t>10</w:t>
      </w:r>
      <w:r w:rsidR="00CD1430" w:rsidRPr="00A32AF4">
        <w:tab/>
        <w:t>PAYS EN TRANSITION ET PAYS DÉVELOPPÉS</w:t>
      </w:r>
      <w:bookmarkEnd w:id="42"/>
    </w:p>
    <w:p w:rsidR="00F93B76" w:rsidRPr="00A32AF4" w:rsidRDefault="00F93B76" w:rsidP="00DC0553"/>
    <w:p w:rsidR="00F93B76" w:rsidRPr="00A32AF4" w:rsidRDefault="00F93B76" w:rsidP="00DC0553"/>
    <w:p w:rsidR="00F93B76" w:rsidRPr="00A32AF4" w:rsidRDefault="00CD1430" w:rsidP="00DC0553">
      <w:r w:rsidRPr="00A32AF4">
        <w:t>CONTEXTE DE PLANIFICATION</w:t>
      </w:r>
    </w:p>
    <w:p w:rsidR="00F93B76" w:rsidRPr="00A32AF4" w:rsidRDefault="00F93B76" w:rsidP="00DC0553"/>
    <w:p w:rsidR="00F93B76" w:rsidRPr="00A32AF4" w:rsidRDefault="00CD1430" w:rsidP="00DC0553">
      <w:pPr>
        <w:pStyle w:val="ListParagraph"/>
        <w:numPr>
          <w:ilvl w:val="0"/>
          <w:numId w:val="21"/>
        </w:numPr>
        <w:tabs>
          <w:tab w:val="right" w:pos="709"/>
        </w:tabs>
        <w:spacing w:after="0" w:line="240" w:lineRule="auto"/>
        <w:ind w:left="0" w:firstLine="0"/>
        <w:jc w:val="both"/>
        <w:rPr>
          <w:rFonts w:ascii="Arial" w:hAnsi="Arial" w:cs="Arial"/>
        </w:rPr>
      </w:pPr>
      <w:r w:rsidRPr="00A32AF4">
        <w:rPr>
          <w:rFonts w:ascii="Arial" w:hAnsi="Arial" w:cs="Arial"/>
        </w:rPr>
        <w:t>Les conséquences de la crise financière mondiale et l</w:t>
      </w:r>
      <w:r w:rsidR="00E2055A" w:rsidRPr="00A32AF4">
        <w:rPr>
          <w:rFonts w:ascii="Arial" w:hAnsi="Arial" w:cs="Arial"/>
        </w:rPr>
        <w:t>’</w:t>
      </w:r>
      <w:r w:rsidRPr="00A32AF4">
        <w:rPr>
          <w:rFonts w:ascii="Arial" w:hAnsi="Arial" w:cs="Arial"/>
        </w:rPr>
        <w:t>instabilité des marchés continuent d</w:t>
      </w:r>
      <w:r w:rsidR="00E2055A" w:rsidRPr="00A32AF4">
        <w:rPr>
          <w:rFonts w:ascii="Arial" w:hAnsi="Arial" w:cs="Arial"/>
        </w:rPr>
        <w:t>’</w:t>
      </w:r>
      <w:r w:rsidRPr="00A32AF4">
        <w:rPr>
          <w:rFonts w:ascii="Arial" w:hAnsi="Arial" w:cs="Arial"/>
        </w:rPr>
        <w:t>avoir des répercussions sur les économies nationales.  D</w:t>
      </w:r>
      <w:r w:rsidR="00E2055A" w:rsidRPr="00A32AF4">
        <w:rPr>
          <w:rFonts w:ascii="Arial" w:hAnsi="Arial" w:cs="Arial"/>
        </w:rPr>
        <w:t>’</w:t>
      </w:r>
      <w:r w:rsidRPr="00A32AF4">
        <w:rPr>
          <w:rFonts w:ascii="Arial" w:hAnsi="Arial" w:cs="Arial"/>
        </w:rPr>
        <w:t>une part, cela limite la disponibilité des fonds alloués à la recherche</w:t>
      </w:r>
      <w:r w:rsidR="00EB7F54" w:rsidRPr="00A32AF4">
        <w:rPr>
          <w:rFonts w:ascii="Arial" w:hAnsi="Arial" w:cs="Arial"/>
        </w:rPr>
        <w:noBreakHyphen/>
      </w:r>
      <w:r w:rsidRPr="00A32AF4">
        <w:rPr>
          <w:rFonts w:ascii="Arial" w:hAnsi="Arial" w:cs="Arial"/>
        </w:rPr>
        <w:t>développement (R</w:t>
      </w:r>
      <w:r w:rsidR="00EB7F54" w:rsidRPr="00A32AF4">
        <w:rPr>
          <w:rFonts w:ascii="Arial" w:hAnsi="Arial" w:cs="Arial"/>
        </w:rPr>
        <w:noBreakHyphen/>
      </w:r>
      <w:r w:rsidRPr="00A32AF4">
        <w:rPr>
          <w:rFonts w:ascii="Arial" w:hAnsi="Arial" w:cs="Arial"/>
        </w:rPr>
        <w:t>D) et incite à la prudence.  D</w:t>
      </w:r>
      <w:r w:rsidR="00E2055A" w:rsidRPr="00A32AF4">
        <w:rPr>
          <w:rFonts w:ascii="Arial" w:hAnsi="Arial" w:cs="Arial"/>
        </w:rPr>
        <w:t>’</w:t>
      </w:r>
      <w:r w:rsidRPr="00A32AF4">
        <w:rPr>
          <w:rFonts w:ascii="Arial" w:hAnsi="Arial" w:cs="Arial"/>
        </w:rPr>
        <w:t>autre part, l</w:t>
      </w:r>
      <w:r w:rsidR="00E2055A" w:rsidRPr="00A32AF4">
        <w:rPr>
          <w:rFonts w:ascii="Arial" w:hAnsi="Arial" w:cs="Arial"/>
        </w:rPr>
        <w:t>’</w:t>
      </w:r>
      <w:r w:rsidRPr="00A32AF4">
        <w:rPr>
          <w:rFonts w:ascii="Arial" w:hAnsi="Arial" w:cs="Arial"/>
        </w:rPr>
        <w:t>innovation et la créativité se retrouvent au service de la croissance économique.  De nombreux pays estiment que le rôle de l</w:t>
      </w:r>
      <w:r w:rsidR="00E2055A" w:rsidRPr="00A32AF4">
        <w:rPr>
          <w:rFonts w:ascii="Arial" w:hAnsi="Arial" w:cs="Arial"/>
        </w:rPr>
        <w:t>’</w:t>
      </w:r>
      <w:r w:rsidRPr="00A32AF4">
        <w:rPr>
          <w:rFonts w:ascii="Arial" w:hAnsi="Arial" w:cs="Arial"/>
        </w:rPr>
        <w:t>innovation et de la propriété intellectuelle est un facteur essentiel de la croissance économique et mobilisent donc des ressources pour créer un écosystème de propriété intellectuelle équilibré et efficace.  L</w:t>
      </w:r>
      <w:r w:rsidR="00E2055A" w:rsidRPr="00A32AF4">
        <w:rPr>
          <w:rFonts w:ascii="Arial" w:hAnsi="Arial" w:cs="Arial"/>
        </w:rPr>
        <w:t>’</w:t>
      </w:r>
      <w:r w:rsidRPr="00A32AF4">
        <w:rPr>
          <w:rFonts w:ascii="Arial" w:hAnsi="Arial" w:cs="Arial"/>
        </w:rPr>
        <w:t>internationalisation de l</w:t>
      </w:r>
      <w:r w:rsidR="00E2055A" w:rsidRPr="00A32AF4">
        <w:rPr>
          <w:rFonts w:ascii="Arial" w:hAnsi="Arial" w:cs="Arial"/>
        </w:rPr>
        <w:t>’</w:t>
      </w:r>
      <w:r w:rsidRPr="00A32AF4">
        <w:rPr>
          <w:rFonts w:ascii="Arial" w:hAnsi="Arial" w:cs="Arial"/>
        </w:rPr>
        <w:t>innovation et de la créativité permet de nouer des partenariats transnationaux et interrégionaux, ce qui peut conduire à une utilisation plus efficace des systèmes internationaux de protection de la propriété intellectuelle.</w:t>
      </w:r>
    </w:p>
    <w:p w:rsidR="00F93B76" w:rsidRPr="00A32AF4" w:rsidRDefault="00F93B76" w:rsidP="00DC0553">
      <w:pPr>
        <w:jc w:val="both"/>
        <w:rPr>
          <w:rFonts w:cs="Arial"/>
          <w:szCs w:val="22"/>
        </w:rPr>
      </w:pPr>
    </w:p>
    <w:p w:rsidR="00F93B76" w:rsidRPr="00A32AF4" w:rsidRDefault="00F50978" w:rsidP="00DC0553">
      <w:pPr>
        <w:pStyle w:val="ListParagraph"/>
        <w:numPr>
          <w:ilvl w:val="0"/>
          <w:numId w:val="21"/>
        </w:numPr>
        <w:tabs>
          <w:tab w:val="right" w:pos="709"/>
        </w:tabs>
        <w:spacing w:after="0" w:line="240" w:lineRule="auto"/>
        <w:ind w:left="0" w:firstLine="0"/>
        <w:jc w:val="both"/>
        <w:rPr>
          <w:rFonts w:ascii="Arial" w:hAnsi="Arial" w:cs="Arial"/>
        </w:rPr>
      </w:pPr>
      <w:r w:rsidRPr="00A32AF4">
        <w:rPr>
          <w:rFonts w:ascii="Arial" w:hAnsi="Arial" w:cs="Arial"/>
        </w:rPr>
        <w:t>Dans ce contexte</w:t>
      </w:r>
      <w:r w:rsidR="008E2946" w:rsidRPr="00A32AF4">
        <w:rPr>
          <w:rFonts w:ascii="Arial" w:hAnsi="Arial" w:cs="Arial"/>
        </w:rPr>
        <w:t xml:space="preserve">, </w:t>
      </w:r>
      <w:r w:rsidRPr="00A32AF4">
        <w:rPr>
          <w:rFonts w:ascii="Arial" w:hAnsi="Arial" w:cs="Arial"/>
        </w:rPr>
        <w:t xml:space="preserve">un accroissement de la demande est attendu de la part des pays en </w:t>
      </w:r>
      <w:r w:rsidR="008E2946" w:rsidRPr="00A32AF4">
        <w:rPr>
          <w:rFonts w:ascii="Arial" w:hAnsi="Arial" w:cs="Arial"/>
        </w:rPr>
        <w:t xml:space="preserve">transition </w:t>
      </w:r>
      <w:r w:rsidRPr="00A32AF4">
        <w:rPr>
          <w:rFonts w:ascii="Arial" w:hAnsi="Arial" w:cs="Arial"/>
        </w:rPr>
        <w:t>en faveur de l</w:t>
      </w:r>
      <w:r w:rsidR="00E2055A" w:rsidRPr="00A32AF4">
        <w:rPr>
          <w:rFonts w:ascii="Arial" w:hAnsi="Arial" w:cs="Arial"/>
        </w:rPr>
        <w:t>’</w:t>
      </w:r>
      <w:r w:rsidRPr="00A32AF4">
        <w:rPr>
          <w:rFonts w:ascii="Arial" w:hAnsi="Arial" w:cs="Arial"/>
        </w:rPr>
        <w:t>élaboration de stratégies et de plans nationaux personnalisés, à long terme et axés sur les résultats, conformément aux objectifs économiques et culturels nationaux</w:t>
      </w:r>
      <w:r w:rsidR="008E2946" w:rsidRPr="00A32AF4">
        <w:rPr>
          <w:rFonts w:ascii="Arial" w:hAnsi="Arial" w:cs="Arial"/>
        </w:rPr>
        <w:t>.</w:t>
      </w:r>
    </w:p>
    <w:p w:rsidR="00F93B76" w:rsidRPr="00A32AF4" w:rsidRDefault="00F93B76" w:rsidP="00DC0553"/>
    <w:p w:rsidR="00F93B76" w:rsidRPr="00A32AF4" w:rsidRDefault="00CD1430" w:rsidP="00DC0553">
      <w:pPr>
        <w:pStyle w:val="ListParagraph"/>
        <w:numPr>
          <w:ilvl w:val="0"/>
          <w:numId w:val="21"/>
        </w:numPr>
        <w:tabs>
          <w:tab w:val="right" w:pos="709"/>
        </w:tabs>
        <w:spacing w:after="0" w:line="240" w:lineRule="auto"/>
        <w:ind w:left="0" w:firstLine="0"/>
        <w:jc w:val="both"/>
        <w:rPr>
          <w:rFonts w:ascii="Arial" w:hAnsi="Arial" w:cs="Arial"/>
        </w:rPr>
      </w:pPr>
      <w:r w:rsidRPr="00A32AF4">
        <w:rPr>
          <w:rFonts w:ascii="Arial" w:hAnsi="Arial" w:cs="Arial"/>
        </w:rPr>
        <w:t xml:space="preserve">Par conséquent, il semble </w:t>
      </w:r>
      <w:r w:rsidR="00E87240" w:rsidRPr="00A32AF4">
        <w:rPr>
          <w:rFonts w:ascii="Arial" w:hAnsi="Arial" w:cs="Arial"/>
        </w:rPr>
        <w:t xml:space="preserve">également </w:t>
      </w:r>
      <w:r w:rsidRPr="00A32AF4">
        <w:rPr>
          <w:rFonts w:ascii="Arial" w:hAnsi="Arial" w:cs="Arial"/>
        </w:rPr>
        <w:t xml:space="preserve">indispensable de renforcer </w:t>
      </w:r>
      <w:r w:rsidR="00E87240" w:rsidRPr="00A32AF4">
        <w:rPr>
          <w:rFonts w:ascii="Arial" w:hAnsi="Arial" w:cs="Arial"/>
        </w:rPr>
        <w:t xml:space="preserve">et de rationaliser </w:t>
      </w:r>
      <w:r w:rsidRPr="00A32AF4">
        <w:rPr>
          <w:rFonts w:ascii="Arial" w:hAnsi="Arial" w:cs="Arial"/>
        </w:rPr>
        <w:t xml:space="preserve">les interactions entre </w:t>
      </w:r>
      <w:r w:rsidR="00E87240" w:rsidRPr="00A32AF4">
        <w:rPr>
          <w:rFonts w:ascii="Arial" w:hAnsi="Arial" w:cs="Arial"/>
        </w:rPr>
        <w:t>l</w:t>
      </w:r>
      <w:r w:rsidR="00E2055A" w:rsidRPr="00A32AF4">
        <w:rPr>
          <w:rFonts w:ascii="Arial" w:hAnsi="Arial" w:cs="Arial"/>
        </w:rPr>
        <w:t>’</w:t>
      </w:r>
      <w:r w:rsidR="00E87240" w:rsidRPr="00A32AF4">
        <w:rPr>
          <w:rFonts w:ascii="Arial" w:hAnsi="Arial" w:cs="Arial"/>
        </w:rPr>
        <w:t xml:space="preserve">OMPI et </w:t>
      </w:r>
      <w:r w:rsidRPr="00A32AF4">
        <w:rPr>
          <w:rFonts w:ascii="Arial" w:hAnsi="Arial" w:cs="Arial"/>
        </w:rPr>
        <w:t xml:space="preserve">toutes les parties prenantes des pays </w:t>
      </w:r>
      <w:r w:rsidR="00E87240" w:rsidRPr="00A32AF4">
        <w:rPr>
          <w:rFonts w:ascii="Arial" w:hAnsi="Arial" w:cs="Arial"/>
        </w:rPr>
        <w:t xml:space="preserve">en transition et des pays </w:t>
      </w:r>
      <w:r w:rsidRPr="00A32AF4">
        <w:rPr>
          <w:rFonts w:ascii="Arial" w:hAnsi="Arial" w:cs="Arial"/>
        </w:rPr>
        <w:t>développés afin de rehausser l</w:t>
      </w:r>
      <w:r w:rsidR="00E2055A" w:rsidRPr="00A32AF4">
        <w:rPr>
          <w:rFonts w:ascii="Arial" w:hAnsi="Arial" w:cs="Arial"/>
        </w:rPr>
        <w:t>’</w:t>
      </w:r>
      <w:r w:rsidRPr="00A32AF4">
        <w:rPr>
          <w:rFonts w:ascii="Arial" w:hAnsi="Arial" w:cs="Arial"/>
        </w:rPr>
        <w:t>image et la réputation de l</w:t>
      </w:r>
      <w:r w:rsidR="00E2055A" w:rsidRPr="00A32AF4">
        <w:rPr>
          <w:rFonts w:ascii="Arial" w:hAnsi="Arial" w:cs="Arial"/>
        </w:rPr>
        <w:t>’</w:t>
      </w:r>
      <w:r w:rsidRPr="00A32AF4">
        <w:rPr>
          <w:rFonts w:ascii="Arial" w:hAnsi="Arial" w:cs="Arial"/>
        </w:rPr>
        <w:t>O</w:t>
      </w:r>
      <w:r w:rsidR="00E87240" w:rsidRPr="00A32AF4">
        <w:rPr>
          <w:rFonts w:ascii="Arial" w:hAnsi="Arial" w:cs="Arial"/>
        </w:rPr>
        <w:t xml:space="preserve">rganisation </w:t>
      </w:r>
      <w:r w:rsidRPr="00A32AF4">
        <w:rPr>
          <w:rFonts w:ascii="Arial" w:hAnsi="Arial" w:cs="Arial"/>
        </w:rPr>
        <w:t xml:space="preserve">dans les pays concernés, ainsi que de faire mieux connaître les opportunités liées </w:t>
      </w:r>
      <w:r w:rsidR="00D90601" w:rsidRPr="00A32AF4">
        <w:rPr>
          <w:rFonts w:ascii="Arial" w:hAnsi="Arial" w:cs="Arial"/>
        </w:rPr>
        <w:t>au programme d</w:t>
      </w:r>
      <w:r w:rsidR="00E2055A" w:rsidRPr="00A32AF4">
        <w:rPr>
          <w:rFonts w:ascii="Arial" w:hAnsi="Arial" w:cs="Arial"/>
        </w:rPr>
        <w:t>’</w:t>
      </w:r>
      <w:r w:rsidR="00D90601" w:rsidRPr="00A32AF4">
        <w:rPr>
          <w:rFonts w:ascii="Arial" w:hAnsi="Arial" w:cs="Arial"/>
        </w:rPr>
        <w:t>établissement de normes</w:t>
      </w:r>
      <w:r w:rsidRPr="00A32AF4">
        <w:rPr>
          <w:rFonts w:ascii="Arial" w:hAnsi="Arial" w:cs="Arial"/>
        </w:rPr>
        <w:t>, aux initiatives et aux services de l</w:t>
      </w:r>
      <w:r w:rsidR="00E2055A" w:rsidRPr="00A32AF4">
        <w:rPr>
          <w:rFonts w:ascii="Arial" w:hAnsi="Arial" w:cs="Arial"/>
        </w:rPr>
        <w:t>’</w:t>
      </w:r>
      <w:r w:rsidRPr="00A32AF4">
        <w:rPr>
          <w:rFonts w:ascii="Arial" w:hAnsi="Arial" w:cs="Arial"/>
        </w:rPr>
        <w:t>OMPI.  La demande d</w:t>
      </w:r>
      <w:r w:rsidR="00E2055A" w:rsidRPr="00A32AF4">
        <w:rPr>
          <w:rFonts w:ascii="Arial" w:hAnsi="Arial" w:cs="Arial"/>
        </w:rPr>
        <w:t>’</w:t>
      </w:r>
      <w:r w:rsidRPr="00A32AF4">
        <w:rPr>
          <w:rFonts w:ascii="Arial" w:hAnsi="Arial" w:cs="Arial"/>
        </w:rPr>
        <w:t>élaboration de stratégies et programmes nationaux ajustés, qui soient prévus pour le long terme, axés sur les résultats et alignés sur les stratégies nationales en matière d</w:t>
      </w:r>
      <w:r w:rsidR="00E2055A" w:rsidRPr="00A32AF4">
        <w:rPr>
          <w:rFonts w:ascii="Arial" w:hAnsi="Arial" w:cs="Arial"/>
        </w:rPr>
        <w:t>’</w:t>
      </w:r>
      <w:r w:rsidRPr="00A32AF4">
        <w:rPr>
          <w:rFonts w:ascii="Arial" w:hAnsi="Arial" w:cs="Arial"/>
        </w:rPr>
        <w:t>économie et de culture, continuera de croître durant l</w:t>
      </w:r>
      <w:r w:rsidR="00E2055A" w:rsidRPr="00A32AF4">
        <w:rPr>
          <w:rFonts w:ascii="Arial" w:hAnsi="Arial" w:cs="Arial"/>
        </w:rPr>
        <w:t>’</w:t>
      </w:r>
      <w:r w:rsidRPr="00A32AF4">
        <w:rPr>
          <w:rFonts w:ascii="Arial" w:hAnsi="Arial" w:cs="Arial"/>
        </w:rPr>
        <w:t>exercice biennal.</w:t>
      </w:r>
    </w:p>
    <w:p w:rsidR="00F93B76" w:rsidRPr="00A32AF4" w:rsidRDefault="00F93B76" w:rsidP="00DC0553">
      <w:pPr>
        <w:jc w:val="both"/>
        <w:rPr>
          <w:rFonts w:cs="Arial"/>
        </w:rPr>
      </w:pPr>
    </w:p>
    <w:p w:rsidR="00F93B76" w:rsidRPr="00A32AF4" w:rsidRDefault="00CD1430" w:rsidP="00DC0553">
      <w:pPr>
        <w:pStyle w:val="ListParagraph"/>
        <w:numPr>
          <w:ilvl w:val="0"/>
          <w:numId w:val="21"/>
        </w:numPr>
        <w:tabs>
          <w:tab w:val="right" w:pos="709"/>
        </w:tabs>
        <w:spacing w:after="0" w:line="240" w:lineRule="auto"/>
        <w:ind w:left="0" w:firstLine="0"/>
        <w:jc w:val="both"/>
        <w:rPr>
          <w:rFonts w:ascii="Arial" w:hAnsi="Arial" w:cs="Arial"/>
        </w:rPr>
      </w:pPr>
      <w:r w:rsidRPr="00A32AF4">
        <w:rPr>
          <w:rFonts w:ascii="Arial" w:hAnsi="Arial" w:cs="Arial"/>
        </w:rPr>
        <w:t>Une approche institutionnelle bien coordonnée</w:t>
      </w:r>
      <w:r w:rsidR="00AA596D" w:rsidRPr="00A32AF4">
        <w:rPr>
          <w:rFonts w:ascii="Arial" w:hAnsi="Arial" w:cs="Arial"/>
        </w:rPr>
        <w:t xml:space="preserve"> </w:t>
      </w:r>
      <w:r w:rsidRPr="00A32AF4">
        <w:rPr>
          <w:rFonts w:ascii="Arial" w:hAnsi="Arial" w:cs="Arial"/>
        </w:rPr>
        <w:t>profitera tant à l</w:t>
      </w:r>
      <w:r w:rsidR="00E2055A" w:rsidRPr="00A32AF4">
        <w:rPr>
          <w:rFonts w:ascii="Arial" w:hAnsi="Arial" w:cs="Arial"/>
        </w:rPr>
        <w:t>’</w:t>
      </w:r>
      <w:r w:rsidRPr="00A32AF4">
        <w:rPr>
          <w:rFonts w:ascii="Arial" w:hAnsi="Arial" w:cs="Arial"/>
        </w:rPr>
        <w:t>OMPI qu</w:t>
      </w:r>
      <w:r w:rsidR="00E2055A" w:rsidRPr="00A32AF4">
        <w:rPr>
          <w:rFonts w:ascii="Arial" w:hAnsi="Arial" w:cs="Arial"/>
        </w:rPr>
        <w:t>’</w:t>
      </w:r>
      <w:r w:rsidRPr="00A32AF4">
        <w:rPr>
          <w:rFonts w:ascii="Arial" w:hAnsi="Arial" w:cs="Arial"/>
        </w:rPr>
        <w:t>à ses États membres.  Renforcer les relations institutionnelles et faire connaître les services et les activités de l</w:t>
      </w:r>
      <w:r w:rsidR="00E2055A" w:rsidRPr="00A32AF4">
        <w:rPr>
          <w:rFonts w:ascii="Arial" w:hAnsi="Arial" w:cs="Arial"/>
        </w:rPr>
        <w:t>’</w:t>
      </w:r>
      <w:r w:rsidRPr="00A32AF4">
        <w:rPr>
          <w:rFonts w:ascii="Arial" w:hAnsi="Arial" w:cs="Arial"/>
        </w:rPr>
        <w:t>OMPI auprès d</w:t>
      </w:r>
      <w:r w:rsidR="00E2055A" w:rsidRPr="00A32AF4">
        <w:rPr>
          <w:rFonts w:ascii="Arial" w:hAnsi="Arial" w:cs="Arial"/>
        </w:rPr>
        <w:t>’</w:t>
      </w:r>
      <w:r w:rsidRPr="00A32AF4">
        <w:rPr>
          <w:rFonts w:ascii="Arial" w:hAnsi="Arial" w:cs="Arial"/>
        </w:rPr>
        <w:t xml:space="preserve">un public plus large dans les pays concernés resteront </w:t>
      </w:r>
      <w:r w:rsidR="00E87240" w:rsidRPr="00A32AF4">
        <w:rPr>
          <w:rFonts w:ascii="Arial" w:hAnsi="Arial" w:cs="Arial"/>
        </w:rPr>
        <w:t>une priorité</w:t>
      </w:r>
      <w:r w:rsidRPr="00A32AF4">
        <w:rPr>
          <w:rFonts w:ascii="Arial" w:hAnsi="Arial" w:cs="Arial"/>
        </w:rPr>
        <w:t>.</w:t>
      </w:r>
    </w:p>
    <w:p w:rsidR="00F93B76" w:rsidRPr="00A32AF4" w:rsidRDefault="00F93B76" w:rsidP="00DC0553">
      <w:pPr>
        <w:jc w:val="both"/>
        <w:rPr>
          <w:rFonts w:cs="Arial"/>
        </w:rPr>
      </w:pPr>
    </w:p>
    <w:p w:rsidR="00F93B76" w:rsidRPr="00A32AF4" w:rsidRDefault="00CD1430" w:rsidP="00DC0553">
      <w:pPr>
        <w:pStyle w:val="ListParagraph"/>
        <w:numPr>
          <w:ilvl w:val="0"/>
          <w:numId w:val="21"/>
        </w:numPr>
        <w:tabs>
          <w:tab w:val="right" w:pos="709"/>
        </w:tabs>
        <w:spacing w:after="0" w:line="240" w:lineRule="auto"/>
        <w:ind w:left="0" w:firstLine="0"/>
        <w:jc w:val="both"/>
        <w:rPr>
          <w:rFonts w:ascii="Arial" w:hAnsi="Arial" w:cs="Arial"/>
        </w:rPr>
      </w:pPr>
      <w:r w:rsidRPr="00A32AF4">
        <w:rPr>
          <w:rFonts w:ascii="Arial" w:hAnsi="Arial" w:cs="Arial"/>
        </w:rPr>
        <w:t xml:space="preserve">En outre, </w:t>
      </w:r>
      <w:r w:rsidR="00E87240" w:rsidRPr="00A32AF4">
        <w:rPr>
          <w:rFonts w:ascii="Arial" w:hAnsi="Arial" w:cs="Arial"/>
        </w:rPr>
        <w:t xml:space="preserve">de </w:t>
      </w:r>
      <w:r w:rsidRPr="00A32AF4">
        <w:rPr>
          <w:rFonts w:ascii="Arial" w:hAnsi="Arial" w:cs="Arial"/>
        </w:rPr>
        <w:t>nombre</w:t>
      </w:r>
      <w:r w:rsidR="00E87240" w:rsidRPr="00A32AF4">
        <w:rPr>
          <w:rFonts w:ascii="Arial" w:hAnsi="Arial" w:cs="Arial"/>
        </w:rPr>
        <w:t xml:space="preserve">ux pays en transition et pays développés </w:t>
      </w:r>
      <w:r w:rsidRPr="00A32AF4">
        <w:rPr>
          <w:rFonts w:ascii="Arial" w:hAnsi="Arial" w:cs="Arial"/>
        </w:rPr>
        <w:t>ont adhéré aux systèmes de l</w:t>
      </w:r>
      <w:r w:rsidR="00E2055A" w:rsidRPr="00A32AF4">
        <w:rPr>
          <w:rFonts w:ascii="Arial" w:hAnsi="Arial" w:cs="Arial"/>
        </w:rPr>
        <w:t>’</w:t>
      </w:r>
      <w:r w:rsidRPr="00A32AF4">
        <w:rPr>
          <w:rFonts w:ascii="Arial" w:hAnsi="Arial" w:cs="Arial"/>
        </w:rPr>
        <w:t xml:space="preserve">OMPI, en particulier le PCT et le système de </w:t>
      </w:r>
      <w:proofErr w:type="gramStart"/>
      <w:r w:rsidRPr="00A32AF4">
        <w:rPr>
          <w:rFonts w:ascii="Arial" w:hAnsi="Arial" w:cs="Arial"/>
        </w:rPr>
        <w:t>Madrid</w:t>
      </w:r>
      <w:r w:rsidR="00B31A7E" w:rsidRPr="00A32AF4">
        <w:rPr>
          <w:rFonts w:ascii="Arial" w:hAnsi="Arial" w:cs="Arial"/>
        </w:rPr>
        <w:t>;</w:t>
      </w:r>
      <w:proofErr w:type="gramEnd"/>
      <w:r w:rsidRPr="00A32AF4">
        <w:rPr>
          <w:rFonts w:ascii="Arial" w:hAnsi="Arial" w:cs="Arial"/>
        </w:rPr>
        <w:t xml:space="preserve"> </w:t>
      </w:r>
      <w:r w:rsidR="00D90601" w:rsidRPr="00A32AF4">
        <w:rPr>
          <w:rFonts w:ascii="Arial" w:hAnsi="Arial" w:cs="Arial"/>
        </w:rPr>
        <w:t xml:space="preserve"> </w:t>
      </w:r>
      <w:r w:rsidRPr="00A32AF4">
        <w:rPr>
          <w:rFonts w:ascii="Arial" w:hAnsi="Arial" w:cs="Arial"/>
        </w:rPr>
        <w:t>d</w:t>
      </w:r>
      <w:r w:rsidR="00E2055A" w:rsidRPr="00A32AF4">
        <w:rPr>
          <w:rFonts w:ascii="Arial" w:hAnsi="Arial" w:cs="Arial"/>
        </w:rPr>
        <w:t>’</w:t>
      </w:r>
      <w:r w:rsidRPr="00A32AF4">
        <w:rPr>
          <w:rFonts w:ascii="Arial" w:hAnsi="Arial" w:cs="Arial"/>
        </w:rPr>
        <w:t>autres prévoient de le faire.  Le potentiel de ces systèmes n</w:t>
      </w:r>
      <w:r w:rsidR="00E2055A" w:rsidRPr="00A32AF4">
        <w:rPr>
          <w:rFonts w:ascii="Arial" w:hAnsi="Arial" w:cs="Arial"/>
        </w:rPr>
        <w:t>’</w:t>
      </w:r>
      <w:r w:rsidRPr="00A32AF4">
        <w:rPr>
          <w:rFonts w:ascii="Arial" w:hAnsi="Arial" w:cs="Arial"/>
        </w:rPr>
        <w:t>a pas encore été exploité au maximum dans la région.  C</w:t>
      </w:r>
      <w:r w:rsidR="00E2055A" w:rsidRPr="00A32AF4">
        <w:rPr>
          <w:rFonts w:ascii="Arial" w:hAnsi="Arial" w:cs="Arial"/>
        </w:rPr>
        <w:t>’</w:t>
      </w:r>
      <w:r w:rsidRPr="00A32AF4">
        <w:rPr>
          <w:rFonts w:ascii="Arial" w:hAnsi="Arial" w:cs="Arial"/>
        </w:rPr>
        <w:t>est pourquoi il faudra les promouvoir davantage et continuer d</w:t>
      </w:r>
      <w:r w:rsidR="00E2055A" w:rsidRPr="00A32AF4">
        <w:rPr>
          <w:rFonts w:ascii="Arial" w:hAnsi="Arial" w:cs="Arial"/>
        </w:rPr>
        <w:t>’</w:t>
      </w:r>
      <w:r w:rsidRPr="00A32AF4">
        <w:rPr>
          <w:rFonts w:ascii="Arial" w:hAnsi="Arial" w:cs="Arial"/>
        </w:rPr>
        <w:t>organiser des formations ciblées à leur utilisation.</w:t>
      </w:r>
    </w:p>
    <w:p w:rsidR="00F93B76" w:rsidRPr="00A32AF4" w:rsidRDefault="00F93B76" w:rsidP="00DC0553">
      <w:pPr>
        <w:jc w:val="both"/>
        <w:rPr>
          <w:rFonts w:cs="Arial"/>
          <w:szCs w:val="22"/>
        </w:rPr>
      </w:pPr>
    </w:p>
    <w:p w:rsidR="00F93B76" w:rsidRPr="00A32AF4" w:rsidRDefault="00F93B76" w:rsidP="00DC0553">
      <w:pPr>
        <w:jc w:val="both"/>
        <w:rPr>
          <w:rFonts w:cs="Arial"/>
          <w:szCs w:val="22"/>
        </w:rPr>
      </w:pPr>
    </w:p>
    <w:p w:rsidR="00F93B76" w:rsidRPr="00A32AF4" w:rsidRDefault="00CD1430" w:rsidP="00DC0553">
      <w:pPr>
        <w:jc w:val="both"/>
        <w:rPr>
          <w:rFonts w:cs="Arial"/>
          <w:szCs w:val="22"/>
        </w:rPr>
      </w:pPr>
      <w:r w:rsidRPr="00A32AF4">
        <w:rPr>
          <w:rFonts w:cs="Arial"/>
          <w:bCs/>
          <w:szCs w:val="22"/>
        </w:rPr>
        <w:t>STRATÉGIES DE MISE EN ŒUVRE</w:t>
      </w:r>
    </w:p>
    <w:p w:rsidR="00F93B76" w:rsidRPr="00A32AF4" w:rsidRDefault="00F93B76" w:rsidP="00DC0553">
      <w:pPr>
        <w:jc w:val="both"/>
        <w:rPr>
          <w:rFonts w:cs="Arial"/>
          <w:szCs w:val="22"/>
        </w:rPr>
      </w:pPr>
    </w:p>
    <w:p w:rsidR="00E2055A" w:rsidRPr="00A32AF4" w:rsidRDefault="00CD1430" w:rsidP="0038345F">
      <w:pPr>
        <w:pStyle w:val="ListParagraph"/>
        <w:numPr>
          <w:ilvl w:val="0"/>
          <w:numId w:val="21"/>
        </w:numPr>
        <w:tabs>
          <w:tab w:val="right" w:pos="709"/>
        </w:tabs>
        <w:spacing w:after="0" w:line="240" w:lineRule="auto"/>
        <w:ind w:left="0" w:firstLine="0"/>
        <w:jc w:val="both"/>
        <w:rPr>
          <w:rFonts w:ascii="Arial" w:hAnsi="Arial" w:cs="Arial"/>
        </w:rPr>
      </w:pPr>
      <w:proofErr w:type="gramStart"/>
      <w:r w:rsidRPr="00A32AF4">
        <w:rPr>
          <w:rFonts w:ascii="Arial" w:hAnsi="Arial" w:cs="Arial"/>
        </w:rPr>
        <w:t>Le programme continuera de prêter assistance aux pays</w:t>
      </w:r>
      <w:r w:rsidR="007850A4" w:rsidRPr="00A32AF4">
        <w:rPr>
          <w:rFonts w:ascii="Arial" w:hAnsi="Arial" w:cs="Arial"/>
        </w:rPr>
        <w:t xml:space="preserve"> </w:t>
      </w:r>
      <w:r w:rsidR="00433C41" w:rsidRPr="00A32AF4">
        <w:rPr>
          <w:rFonts w:ascii="Arial" w:hAnsi="Arial" w:cs="Arial"/>
        </w:rPr>
        <w:t>d</w:t>
      </w:r>
      <w:r w:rsidR="00E2055A" w:rsidRPr="00A32AF4">
        <w:rPr>
          <w:rFonts w:ascii="Arial" w:hAnsi="Arial" w:cs="Arial"/>
        </w:rPr>
        <w:t>’</w:t>
      </w:r>
      <w:r w:rsidR="00433C41" w:rsidRPr="00A32AF4">
        <w:rPr>
          <w:rFonts w:ascii="Arial" w:hAnsi="Arial" w:cs="Arial"/>
        </w:rPr>
        <w:t>Europe centrale et aux États baltes, aux pays d</w:t>
      </w:r>
      <w:r w:rsidR="00E2055A" w:rsidRPr="00A32AF4">
        <w:rPr>
          <w:rFonts w:ascii="Arial" w:hAnsi="Arial" w:cs="Arial"/>
        </w:rPr>
        <w:t>’</w:t>
      </w:r>
      <w:r w:rsidR="00433C41" w:rsidRPr="00A32AF4">
        <w:rPr>
          <w:rFonts w:ascii="Arial" w:hAnsi="Arial" w:cs="Arial"/>
        </w:rPr>
        <w:t>Asie centrale, d</w:t>
      </w:r>
      <w:r w:rsidR="00E2055A" w:rsidRPr="00A32AF4">
        <w:rPr>
          <w:rFonts w:ascii="Arial" w:hAnsi="Arial" w:cs="Arial"/>
        </w:rPr>
        <w:t>’</w:t>
      </w:r>
      <w:r w:rsidR="00433C41" w:rsidRPr="00A32AF4">
        <w:rPr>
          <w:rFonts w:ascii="Arial" w:hAnsi="Arial" w:cs="Arial"/>
        </w:rPr>
        <w:t>Europe orientale et aux pays du Caucase ainsi qu</w:t>
      </w:r>
      <w:r w:rsidR="00E2055A" w:rsidRPr="00A32AF4">
        <w:rPr>
          <w:rFonts w:ascii="Arial" w:hAnsi="Arial" w:cs="Arial"/>
        </w:rPr>
        <w:t>’</w:t>
      </w:r>
      <w:r w:rsidR="00433C41" w:rsidRPr="00A32AF4">
        <w:rPr>
          <w:rFonts w:ascii="Arial" w:hAnsi="Arial" w:cs="Arial"/>
        </w:rPr>
        <w:t>à certains pays méditerranéens</w:t>
      </w:r>
      <w:r w:rsidRPr="00A32AF4">
        <w:rPr>
          <w:rFonts w:ascii="Arial" w:hAnsi="Arial" w:cs="Arial"/>
        </w:rPr>
        <w:t>, en mettant l</w:t>
      </w:r>
      <w:r w:rsidR="00E2055A" w:rsidRPr="00A32AF4">
        <w:rPr>
          <w:rFonts w:ascii="Arial" w:hAnsi="Arial" w:cs="Arial"/>
        </w:rPr>
        <w:t>’</w:t>
      </w:r>
      <w:r w:rsidRPr="00A32AF4">
        <w:rPr>
          <w:rFonts w:ascii="Arial" w:hAnsi="Arial" w:cs="Arial"/>
        </w:rPr>
        <w:t xml:space="preserve">accent sur : des cadres législatifs, réglementaires et politiques en matière de propriété intellectuelle adaptés et équilibrés; </w:t>
      </w:r>
      <w:r w:rsidR="00FD43E3" w:rsidRPr="00A32AF4">
        <w:rPr>
          <w:rFonts w:ascii="Arial" w:hAnsi="Arial" w:cs="Arial"/>
        </w:rPr>
        <w:t xml:space="preserve"> </w:t>
      </w:r>
      <w:r w:rsidRPr="00A32AF4">
        <w:rPr>
          <w:rFonts w:ascii="Arial" w:hAnsi="Arial" w:cs="Arial"/>
        </w:rPr>
        <w:t>l</w:t>
      </w:r>
      <w:r w:rsidR="00E2055A" w:rsidRPr="00A32AF4">
        <w:rPr>
          <w:rFonts w:ascii="Arial" w:hAnsi="Arial" w:cs="Arial"/>
        </w:rPr>
        <w:t>’</w:t>
      </w:r>
      <w:r w:rsidRPr="00A32AF4">
        <w:rPr>
          <w:rFonts w:ascii="Arial" w:hAnsi="Arial" w:cs="Arial"/>
        </w:rPr>
        <w:t>utilisation accrue des services de l</w:t>
      </w:r>
      <w:r w:rsidR="00E2055A" w:rsidRPr="00A32AF4">
        <w:rPr>
          <w:rFonts w:ascii="Arial" w:hAnsi="Arial" w:cs="Arial"/>
        </w:rPr>
        <w:t>’</w:t>
      </w:r>
      <w:r w:rsidRPr="00A32AF4">
        <w:rPr>
          <w:rFonts w:ascii="Arial" w:hAnsi="Arial" w:cs="Arial"/>
        </w:rPr>
        <w:t>OMPI;  des politiques, stratégies et plans de développement nationaux en matière d</w:t>
      </w:r>
      <w:r w:rsidR="00E2055A" w:rsidRPr="00A32AF4">
        <w:rPr>
          <w:rFonts w:ascii="Arial" w:hAnsi="Arial" w:cs="Arial"/>
        </w:rPr>
        <w:t>’</w:t>
      </w:r>
      <w:r w:rsidRPr="00A32AF4">
        <w:rPr>
          <w:rFonts w:ascii="Arial" w:hAnsi="Arial" w:cs="Arial"/>
        </w:rPr>
        <w:t>innovation et de propriété intellectuelle, clairement définis, cohérents et conformes aux objectifs et aux priorités de développement à l</w:t>
      </w:r>
      <w:r w:rsidR="00E2055A" w:rsidRPr="00A32AF4">
        <w:rPr>
          <w:rFonts w:ascii="Arial" w:hAnsi="Arial" w:cs="Arial"/>
        </w:rPr>
        <w:t>’</w:t>
      </w:r>
      <w:r w:rsidRPr="00A32AF4">
        <w:rPr>
          <w:rFonts w:ascii="Arial" w:hAnsi="Arial" w:cs="Arial"/>
        </w:rPr>
        <w:t xml:space="preserve">échelle nationale; </w:t>
      </w:r>
      <w:r w:rsidR="00FD43E3" w:rsidRPr="00A32AF4">
        <w:rPr>
          <w:rFonts w:ascii="Arial" w:hAnsi="Arial" w:cs="Arial"/>
        </w:rPr>
        <w:t xml:space="preserve"> </w:t>
      </w:r>
      <w:r w:rsidRPr="00A32AF4">
        <w:rPr>
          <w:rFonts w:ascii="Arial" w:hAnsi="Arial" w:cs="Arial"/>
        </w:rPr>
        <w:t>le renforcement des capacités en matière de ressources humaines ayant pour objectif de répondre aux nombreuses exigences en ce qui concerne l</w:t>
      </w:r>
      <w:r w:rsidR="00E2055A" w:rsidRPr="00A32AF4">
        <w:rPr>
          <w:rFonts w:ascii="Arial" w:hAnsi="Arial" w:cs="Arial"/>
        </w:rPr>
        <w:t>’</w:t>
      </w:r>
      <w:r w:rsidRPr="00A32AF4">
        <w:rPr>
          <w:rFonts w:ascii="Arial" w:hAnsi="Arial" w:cs="Arial"/>
        </w:rPr>
        <w:t>utilisation efficace de la propriété intellectuelle au service du développement;  et le renforcement des mécanismes et programmes de coopération.</w:t>
      </w:r>
      <w:proofErr w:type="gramEnd"/>
      <w:r w:rsidR="004D60C7" w:rsidRPr="00A32AF4">
        <w:rPr>
          <w:rFonts w:ascii="Arial" w:hAnsi="Arial" w:cs="Arial"/>
        </w:rPr>
        <w:t xml:space="preserve"> </w:t>
      </w:r>
      <w:r w:rsidR="00F418C8" w:rsidRPr="00A32AF4">
        <w:rPr>
          <w:rFonts w:ascii="Arial" w:hAnsi="Arial" w:cs="Arial"/>
        </w:rPr>
        <w:t xml:space="preserve"> </w:t>
      </w:r>
      <w:r w:rsidR="004D60C7" w:rsidRPr="00A32AF4">
        <w:rPr>
          <w:rFonts w:ascii="Arial" w:hAnsi="Arial" w:cs="Arial"/>
        </w:rPr>
        <w:t>S</w:t>
      </w:r>
      <w:r w:rsidR="00E2055A" w:rsidRPr="00A32AF4">
        <w:rPr>
          <w:rFonts w:ascii="Arial" w:hAnsi="Arial" w:cs="Arial"/>
        </w:rPr>
        <w:t>’</w:t>
      </w:r>
      <w:r w:rsidR="004D60C7" w:rsidRPr="00A32AF4">
        <w:rPr>
          <w:rFonts w:ascii="Arial" w:hAnsi="Arial" w:cs="Arial"/>
        </w:rPr>
        <w:t>agissant des pays en développement, le programme mettra l</w:t>
      </w:r>
      <w:r w:rsidR="00E2055A" w:rsidRPr="00A32AF4">
        <w:rPr>
          <w:rFonts w:ascii="Arial" w:hAnsi="Arial" w:cs="Arial"/>
        </w:rPr>
        <w:t>’</w:t>
      </w:r>
      <w:r w:rsidR="004D60C7" w:rsidRPr="00A32AF4">
        <w:rPr>
          <w:rFonts w:ascii="Arial" w:hAnsi="Arial" w:cs="Arial"/>
        </w:rPr>
        <w:t>accent sur la promotion de l</w:t>
      </w:r>
      <w:r w:rsidR="00E2055A" w:rsidRPr="00A32AF4">
        <w:rPr>
          <w:rFonts w:ascii="Arial" w:hAnsi="Arial" w:cs="Arial"/>
        </w:rPr>
        <w:t>’</w:t>
      </w:r>
      <w:r w:rsidR="004D60C7" w:rsidRPr="00A32AF4">
        <w:rPr>
          <w:rFonts w:ascii="Arial" w:hAnsi="Arial" w:cs="Arial"/>
        </w:rPr>
        <w:t>utilisation des services et des initiatives de l</w:t>
      </w:r>
      <w:r w:rsidR="00E2055A" w:rsidRPr="00A32AF4">
        <w:rPr>
          <w:rFonts w:ascii="Arial" w:hAnsi="Arial" w:cs="Arial"/>
        </w:rPr>
        <w:t>’</w:t>
      </w:r>
      <w:r w:rsidR="00433C41" w:rsidRPr="00A32AF4">
        <w:rPr>
          <w:rFonts w:ascii="Arial" w:hAnsi="Arial" w:cs="Arial"/>
        </w:rPr>
        <w:t>OMPI.</w:t>
      </w:r>
    </w:p>
    <w:p w:rsidR="00F93B76" w:rsidRPr="00A32AF4" w:rsidRDefault="00F93B76" w:rsidP="00DC0553">
      <w:pPr>
        <w:jc w:val="both"/>
        <w:rPr>
          <w:rFonts w:cs="Arial"/>
        </w:rPr>
      </w:pPr>
    </w:p>
    <w:p w:rsidR="00F93B76" w:rsidRPr="00A32AF4" w:rsidRDefault="00CD1430" w:rsidP="00DC0553">
      <w:pPr>
        <w:pStyle w:val="ListParagraph"/>
        <w:numPr>
          <w:ilvl w:val="0"/>
          <w:numId w:val="21"/>
        </w:numPr>
        <w:tabs>
          <w:tab w:val="right" w:pos="709"/>
        </w:tabs>
        <w:spacing w:after="0" w:line="240" w:lineRule="auto"/>
        <w:ind w:left="0" w:firstLine="0"/>
        <w:jc w:val="both"/>
        <w:rPr>
          <w:rFonts w:ascii="Arial" w:hAnsi="Arial" w:cs="Arial"/>
        </w:rPr>
      </w:pPr>
      <w:r w:rsidRPr="00A32AF4">
        <w:rPr>
          <w:rFonts w:ascii="Arial" w:hAnsi="Arial" w:cs="Arial"/>
        </w:rPr>
        <w:t>Grâce à un soutien, à une coordination étroite avec d</w:t>
      </w:r>
      <w:r w:rsidR="00E2055A" w:rsidRPr="00A32AF4">
        <w:rPr>
          <w:rFonts w:ascii="Arial" w:hAnsi="Arial" w:cs="Arial"/>
        </w:rPr>
        <w:t>’</w:t>
      </w:r>
      <w:r w:rsidRPr="00A32AF4">
        <w:rPr>
          <w:rFonts w:ascii="Arial" w:hAnsi="Arial" w:cs="Arial"/>
        </w:rPr>
        <w:t>autres programmes pertinents et aux contributions des États membres, le programme 10 orientera l</w:t>
      </w:r>
      <w:r w:rsidR="00E2055A" w:rsidRPr="00A32AF4">
        <w:rPr>
          <w:rFonts w:ascii="Arial" w:hAnsi="Arial" w:cs="Arial"/>
        </w:rPr>
        <w:t>’</w:t>
      </w:r>
      <w:r w:rsidRPr="00A32AF4">
        <w:rPr>
          <w:rFonts w:ascii="Arial" w:hAnsi="Arial" w:cs="Arial"/>
        </w:rPr>
        <w:t>élaboration et la mise en œuvre de plans de coopération entre pays, qui seront équilibrés, prévus pour le long terme et axés sur les résultats, veillant à ce que l</w:t>
      </w:r>
      <w:r w:rsidR="00E2055A" w:rsidRPr="00A32AF4">
        <w:rPr>
          <w:rFonts w:ascii="Arial" w:hAnsi="Arial" w:cs="Arial"/>
        </w:rPr>
        <w:t>’</w:t>
      </w:r>
      <w:r w:rsidRPr="00A32AF4">
        <w:rPr>
          <w:rFonts w:ascii="Arial" w:hAnsi="Arial" w:cs="Arial"/>
        </w:rPr>
        <w:t>assistance de l</w:t>
      </w:r>
      <w:r w:rsidR="00E2055A" w:rsidRPr="00A32AF4">
        <w:rPr>
          <w:rFonts w:ascii="Arial" w:hAnsi="Arial" w:cs="Arial"/>
        </w:rPr>
        <w:t>’</w:t>
      </w:r>
      <w:r w:rsidRPr="00A32AF4">
        <w:rPr>
          <w:rFonts w:ascii="Arial" w:hAnsi="Arial" w:cs="Arial"/>
        </w:rPr>
        <w:t>OMPI serve les objectifs des stratégies nationales en matière de propriété intellectuelle.</w:t>
      </w:r>
    </w:p>
    <w:p w:rsidR="00F93B76" w:rsidRPr="00A32AF4" w:rsidRDefault="00F93B76" w:rsidP="00DC0553">
      <w:pPr>
        <w:jc w:val="both"/>
        <w:rPr>
          <w:rFonts w:cs="Arial"/>
        </w:rPr>
      </w:pPr>
    </w:p>
    <w:p w:rsidR="003777B4" w:rsidRPr="00A32AF4" w:rsidRDefault="003777B4">
      <w:pPr>
        <w:rPr>
          <w:rFonts w:cs="Arial"/>
        </w:rPr>
      </w:pPr>
      <w:r w:rsidRPr="00A32AF4">
        <w:rPr>
          <w:rFonts w:cs="Arial"/>
        </w:rPr>
        <w:br w:type="page"/>
      </w:r>
    </w:p>
    <w:p w:rsidR="00E2055A" w:rsidRPr="00A32AF4" w:rsidRDefault="007D1736" w:rsidP="00DC0553">
      <w:pPr>
        <w:pStyle w:val="Footer"/>
        <w:numPr>
          <w:ilvl w:val="0"/>
          <w:numId w:val="21"/>
        </w:numPr>
        <w:tabs>
          <w:tab w:val="clear" w:pos="4320"/>
          <w:tab w:val="clear" w:pos="8640"/>
          <w:tab w:val="right" w:pos="709"/>
        </w:tabs>
        <w:ind w:left="0" w:firstLine="0"/>
        <w:contextualSpacing/>
        <w:jc w:val="both"/>
        <w:rPr>
          <w:rFonts w:cs="Arial"/>
        </w:rPr>
      </w:pPr>
      <w:r w:rsidRPr="00A32AF4">
        <w:rPr>
          <w:rFonts w:cs="Arial"/>
        </w:rPr>
        <w:t>Le p</w:t>
      </w:r>
      <w:r w:rsidR="008E2946" w:rsidRPr="00A32AF4">
        <w:rPr>
          <w:rFonts w:cs="Arial"/>
        </w:rPr>
        <w:t>rogram</w:t>
      </w:r>
      <w:r w:rsidRPr="00A32AF4">
        <w:rPr>
          <w:rFonts w:cs="Arial"/>
        </w:rPr>
        <w:t>me 10 collabore essentiellement avec le</w:t>
      </w:r>
      <w:r w:rsidR="008A7259" w:rsidRPr="00A32AF4">
        <w:rPr>
          <w:rFonts w:cs="Arial"/>
        </w:rPr>
        <w:t>s autres programmes indiqués ci</w:t>
      </w:r>
      <w:r w:rsidR="00EB7F54" w:rsidRPr="00A32AF4">
        <w:rPr>
          <w:rFonts w:cs="Arial"/>
        </w:rPr>
        <w:noBreakHyphen/>
      </w:r>
      <w:r w:rsidRPr="00A32AF4">
        <w:rPr>
          <w:rFonts w:cs="Arial"/>
        </w:rPr>
        <w:t>dessous </w:t>
      </w:r>
      <w:r w:rsidR="008E2946" w:rsidRPr="00A32AF4">
        <w:rPr>
          <w:rFonts w:cs="Arial"/>
        </w:rPr>
        <w:t>:</w:t>
      </w:r>
    </w:p>
    <w:p w:rsidR="00F40894" w:rsidRPr="00A32AF4" w:rsidRDefault="00F40894" w:rsidP="00DC0553">
      <w:pPr>
        <w:jc w:val="both"/>
        <w:rPr>
          <w:rFonts w:cs="Arial"/>
          <w:szCs w:val="22"/>
        </w:rPr>
      </w:pPr>
    </w:p>
    <w:p w:rsidR="00F40894" w:rsidRPr="00A32AF4" w:rsidRDefault="00247B4A" w:rsidP="00DC0553">
      <w:pPr>
        <w:jc w:val="both"/>
        <w:rPr>
          <w:rFonts w:cs="Arial"/>
          <w:szCs w:val="22"/>
        </w:rPr>
      </w:pPr>
      <w:r w:rsidRPr="00A32AF4">
        <w:rPr>
          <w:noProof/>
          <w:lang w:eastAsia="fr-FR"/>
        </w:rPr>
        <w:drawing>
          <wp:inline distT="0" distB="0" distL="0" distR="0" wp14:anchorId="21C78687" wp14:editId="7E80A0A3">
            <wp:extent cx="5760085" cy="3241440"/>
            <wp:effectExtent l="0" t="19050" r="50165" b="73660"/>
            <wp:docPr id="12"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3" r:lo="rId94" r:qs="rId95" r:cs="rId96"/>
              </a:graphicData>
            </a:graphic>
          </wp:inline>
        </w:drawing>
      </w:r>
    </w:p>
    <w:p w:rsidR="00F40894" w:rsidRPr="00A32AF4" w:rsidRDefault="00F40894" w:rsidP="00DC0553">
      <w:pPr>
        <w:jc w:val="both"/>
        <w:rPr>
          <w:rFonts w:cs="Arial"/>
          <w:szCs w:val="22"/>
        </w:rPr>
      </w:pPr>
    </w:p>
    <w:p w:rsidR="00BB3831" w:rsidRPr="00A32AF4" w:rsidRDefault="00BB3831" w:rsidP="00DC0553">
      <w:pPr>
        <w:jc w:val="both"/>
        <w:rPr>
          <w:rFonts w:cs="Arial"/>
          <w:szCs w:val="22"/>
        </w:rPr>
      </w:pPr>
    </w:p>
    <w:p w:rsidR="00F93B76" w:rsidRPr="00A32AF4" w:rsidRDefault="00CD1430" w:rsidP="00DC0553">
      <w:pPr>
        <w:pStyle w:val="ListParagraph"/>
        <w:numPr>
          <w:ilvl w:val="0"/>
          <w:numId w:val="21"/>
        </w:numPr>
        <w:tabs>
          <w:tab w:val="right" w:pos="709"/>
        </w:tabs>
        <w:spacing w:after="0" w:line="240" w:lineRule="auto"/>
        <w:ind w:left="0" w:firstLine="0"/>
        <w:jc w:val="both"/>
        <w:rPr>
          <w:rFonts w:ascii="Arial" w:hAnsi="Arial" w:cs="Arial"/>
        </w:rPr>
      </w:pPr>
      <w:r w:rsidRPr="00A32AF4">
        <w:rPr>
          <w:rFonts w:ascii="Arial" w:hAnsi="Arial" w:cs="Arial"/>
        </w:rPr>
        <w:t>La promotion des produits et des services de l</w:t>
      </w:r>
      <w:r w:rsidR="00E2055A" w:rsidRPr="00A32AF4">
        <w:rPr>
          <w:rFonts w:ascii="Arial" w:hAnsi="Arial" w:cs="Arial"/>
        </w:rPr>
        <w:t>’</w:t>
      </w:r>
      <w:r w:rsidRPr="00A32AF4">
        <w:rPr>
          <w:rFonts w:ascii="Arial" w:hAnsi="Arial" w:cs="Arial"/>
        </w:rPr>
        <w:t>OMPI</w:t>
      </w:r>
      <w:r w:rsidR="00AA596D" w:rsidRPr="00A32AF4">
        <w:rPr>
          <w:rFonts w:ascii="Arial" w:hAnsi="Arial" w:cs="Arial"/>
        </w:rPr>
        <w:t xml:space="preserve"> </w:t>
      </w:r>
      <w:r w:rsidRPr="00A32AF4">
        <w:rPr>
          <w:rFonts w:ascii="Arial" w:hAnsi="Arial" w:cs="Arial"/>
        </w:rPr>
        <w:t>sera une priorité.  Les séminaires itinérants consacrés aux services et initiatives de l</w:t>
      </w:r>
      <w:r w:rsidR="00E2055A" w:rsidRPr="00A32AF4">
        <w:rPr>
          <w:rFonts w:ascii="Arial" w:hAnsi="Arial" w:cs="Arial"/>
        </w:rPr>
        <w:t>’</w:t>
      </w:r>
      <w:r w:rsidRPr="00A32AF4">
        <w:rPr>
          <w:rFonts w:ascii="Arial" w:hAnsi="Arial" w:cs="Arial"/>
        </w:rPr>
        <w:t>OMPI, qui ont déjà rencontré un vif succès dans de nombreux pays, seront organisés dans de nouvelles régions.</w:t>
      </w:r>
    </w:p>
    <w:p w:rsidR="00F93B76" w:rsidRPr="00A32AF4" w:rsidRDefault="00F93B76" w:rsidP="00DC0553">
      <w:pPr>
        <w:jc w:val="both"/>
        <w:rPr>
          <w:rFonts w:cs="Arial"/>
        </w:rPr>
      </w:pPr>
    </w:p>
    <w:p w:rsidR="00F93B76" w:rsidRPr="00A32AF4" w:rsidRDefault="00CD1430" w:rsidP="00DC0553">
      <w:pPr>
        <w:pStyle w:val="ListParagraph"/>
        <w:numPr>
          <w:ilvl w:val="0"/>
          <w:numId w:val="21"/>
        </w:numPr>
        <w:tabs>
          <w:tab w:val="right" w:pos="709"/>
        </w:tabs>
        <w:spacing w:after="0" w:line="240" w:lineRule="auto"/>
        <w:ind w:left="0" w:firstLine="0"/>
        <w:jc w:val="both"/>
        <w:rPr>
          <w:rFonts w:ascii="Arial" w:hAnsi="Arial" w:cs="Arial"/>
        </w:rPr>
      </w:pPr>
      <w:r w:rsidRPr="00A32AF4">
        <w:rPr>
          <w:rFonts w:ascii="Arial" w:hAnsi="Arial" w:cs="Arial"/>
        </w:rPr>
        <w:t>L</w:t>
      </w:r>
      <w:r w:rsidR="00E2055A" w:rsidRPr="00A32AF4">
        <w:rPr>
          <w:rFonts w:ascii="Arial" w:hAnsi="Arial" w:cs="Arial"/>
        </w:rPr>
        <w:t>’</w:t>
      </w:r>
      <w:r w:rsidRPr="00A32AF4">
        <w:rPr>
          <w:rFonts w:ascii="Arial" w:hAnsi="Arial" w:cs="Arial"/>
        </w:rPr>
        <w:t>expansion de l</w:t>
      </w:r>
      <w:r w:rsidR="00E2055A" w:rsidRPr="00A32AF4">
        <w:rPr>
          <w:rFonts w:ascii="Arial" w:hAnsi="Arial" w:cs="Arial"/>
        </w:rPr>
        <w:t>’</w:t>
      </w:r>
      <w:r w:rsidRPr="00A32AF4">
        <w:rPr>
          <w:rFonts w:ascii="Arial" w:hAnsi="Arial" w:cs="Arial"/>
        </w:rPr>
        <w:t>utilisation des services de l</w:t>
      </w:r>
      <w:r w:rsidR="00E2055A" w:rsidRPr="00A32AF4">
        <w:rPr>
          <w:rFonts w:ascii="Arial" w:hAnsi="Arial" w:cs="Arial"/>
        </w:rPr>
        <w:t>’</w:t>
      </w:r>
      <w:r w:rsidRPr="00A32AF4">
        <w:rPr>
          <w:rFonts w:ascii="Arial" w:hAnsi="Arial" w:cs="Arial"/>
        </w:rPr>
        <w:t>OMPI au cours de l</w:t>
      </w:r>
      <w:r w:rsidR="00E2055A" w:rsidRPr="00A32AF4">
        <w:rPr>
          <w:rFonts w:ascii="Arial" w:hAnsi="Arial" w:cs="Arial"/>
        </w:rPr>
        <w:t>’</w:t>
      </w:r>
      <w:r w:rsidRPr="00A32AF4">
        <w:rPr>
          <w:rFonts w:ascii="Arial" w:hAnsi="Arial" w:cs="Arial"/>
        </w:rPr>
        <w:t>exercice biennal aura deux</w:t>
      </w:r>
      <w:r w:rsidR="00FD43E3" w:rsidRPr="00A32AF4">
        <w:rPr>
          <w:rFonts w:ascii="Arial" w:hAnsi="Arial" w:cs="Arial"/>
        </w:rPr>
        <w:t> </w:t>
      </w:r>
      <w:r w:rsidRPr="00A32AF4">
        <w:rPr>
          <w:rFonts w:ascii="Arial" w:hAnsi="Arial" w:cs="Arial"/>
        </w:rPr>
        <w:t>aspects importants</w:t>
      </w:r>
      <w:r w:rsidR="00C13B9D" w:rsidRPr="00A32AF4">
        <w:rPr>
          <w:rFonts w:ascii="Arial" w:hAnsi="Arial" w:cs="Arial"/>
        </w:rPr>
        <w:t> </w:t>
      </w:r>
      <w:r w:rsidRPr="00A32AF4">
        <w:rPr>
          <w:rFonts w:ascii="Arial" w:hAnsi="Arial" w:cs="Arial"/>
        </w:rPr>
        <w:t>: i) veiller à ce que les utilisateurs actuels puissent optimiser les possibilités d</w:t>
      </w:r>
      <w:r w:rsidR="00E2055A" w:rsidRPr="00A32AF4">
        <w:rPr>
          <w:rFonts w:ascii="Arial" w:hAnsi="Arial" w:cs="Arial"/>
        </w:rPr>
        <w:t>’</w:t>
      </w:r>
      <w:r w:rsidRPr="00A32AF4">
        <w:rPr>
          <w:rFonts w:ascii="Arial" w:hAnsi="Arial" w:cs="Arial"/>
        </w:rPr>
        <w:t>utilisation des systèmes, et ii) veiller à ce que les utilisateurs potentiels, dont un grand nombre se situe dans les États membres qui utilisent le plus les systèmes de l</w:t>
      </w:r>
      <w:r w:rsidR="00E2055A" w:rsidRPr="00A32AF4">
        <w:rPr>
          <w:rFonts w:ascii="Arial" w:hAnsi="Arial" w:cs="Arial"/>
        </w:rPr>
        <w:t>’</w:t>
      </w:r>
      <w:r w:rsidRPr="00A32AF4">
        <w:rPr>
          <w:rFonts w:ascii="Arial" w:hAnsi="Arial" w:cs="Arial"/>
        </w:rPr>
        <w:t>OMPI, soient activement impliqués.  À cette fin, on organisera des campagnes d</w:t>
      </w:r>
      <w:r w:rsidR="00E2055A" w:rsidRPr="00A32AF4">
        <w:rPr>
          <w:rFonts w:ascii="Arial" w:hAnsi="Arial" w:cs="Arial"/>
        </w:rPr>
        <w:t>’</w:t>
      </w:r>
      <w:r w:rsidRPr="00A32AF4">
        <w:rPr>
          <w:rFonts w:ascii="Arial" w:hAnsi="Arial" w:cs="Arial"/>
        </w:rPr>
        <w:t>information ciblées et durables dont l</w:t>
      </w:r>
      <w:r w:rsidR="00E2055A" w:rsidRPr="00A32AF4">
        <w:rPr>
          <w:rFonts w:ascii="Arial" w:hAnsi="Arial" w:cs="Arial"/>
        </w:rPr>
        <w:t>’</w:t>
      </w:r>
      <w:r w:rsidRPr="00A32AF4">
        <w:rPr>
          <w:rFonts w:ascii="Arial" w:hAnsi="Arial" w:cs="Arial"/>
        </w:rPr>
        <w:t>objectif sera d</w:t>
      </w:r>
      <w:r w:rsidR="00E2055A" w:rsidRPr="00A32AF4">
        <w:rPr>
          <w:rFonts w:ascii="Arial" w:hAnsi="Arial" w:cs="Arial"/>
        </w:rPr>
        <w:t>’</w:t>
      </w:r>
      <w:r w:rsidRPr="00A32AF4">
        <w:rPr>
          <w:rFonts w:ascii="Arial" w:hAnsi="Arial" w:cs="Arial"/>
        </w:rPr>
        <w:t>améliorer l</w:t>
      </w:r>
      <w:r w:rsidR="00E2055A" w:rsidRPr="00A32AF4">
        <w:rPr>
          <w:rFonts w:ascii="Arial" w:hAnsi="Arial" w:cs="Arial"/>
        </w:rPr>
        <w:t>’</w:t>
      </w:r>
      <w:r w:rsidRPr="00A32AF4">
        <w:rPr>
          <w:rFonts w:ascii="Arial" w:hAnsi="Arial" w:cs="Arial"/>
        </w:rPr>
        <w:t>utilisation des systèmes de l</w:t>
      </w:r>
      <w:r w:rsidR="00E2055A" w:rsidRPr="00A32AF4">
        <w:rPr>
          <w:rFonts w:ascii="Arial" w:hAnsi="Arial" w:cs="Arial"/>
        </w:rPr>
        <w:t>’</w:t>
      </w:r>
      <w:r w:rsidRPr="00A32AF4">
        <w:rPr>
          <w:rFonts w:ascii="Arial" w:hAnsi="Arial" w:cs="Arial"/>
        </w:rPr>
        <w:t>OMPI sur les marchés nationaux où la valeur de ces systèmes est déjà prouvée et reconnue.</w:t>
      </w:r>
    </w:p>
    <w:p w:rsidR="00F93B76" w:rsidRPr="00A32AF4" w:rsidRDefault="00F93B76" w:rsidP="00DC0553">
      <w:pPr>
        <w:jc w:val="both"/>
        <w:rPr>
          <w:rFonts w:cs="Arial"/>
        </w:rPr>
      </w:pPr>
    </w:p>
    <w:p w:rsidR="00F93B76" w:rsidRPr="00A32AF4" w:rsidRDefault="00563E68" w:rsidP="00DC0553">
      <w:pPr>
        <w:pStyle w:val="ListParagraph"/>
        <w:numPr>
          <w:ilvl w:val="0"/>
          <w:numId w:val="21"/>
        </w:numPr>
        <w:tabs>
          <w:tab w:val="right" w:pos="709"/>
        </w:tabs>
        <w:spacing w:after="0" w:line="240" w:lineRule="auto"/>
        <w:ind w:left="0" w:firstLine="0"/>
        <w:jc w:val="both"/>
        <w:rPr>
          <w:rFonts w:ascii="Arial" w:hAnsi="Arial" w:cs="Arial"/>
        </w:rPr>
      </w:pPr>
      <w:r w:rsidRPr="00A32AF4">
        <w:rPr>
          <w:rFonts w:ascii="Arial" w:hAnsi="Arial" w:cs="Arial"/>
        </w:rPr>
        <w:t>En outre, le p</w:t>
      </w:r>
      <w:r w:rsidR="00CD1430" w:rsidRPr="00A32AF4">
        <w:rPr>
          <w:rFonts w:ascii="Arial" w:hAnsi="Arial" w:cs="Arial"/>
        </w:rPr>
        <w:t xml:space="preserve">rogramme prendra en considération certains traits et caractéristiques communs des systèmes économiques et de propriété intellectuelle des pays </w:t>
      </w:r>
      <w:r w:rsidR="00193197" w:rsidRPr="00A32AF4">
        <w:rPr>
          <w:rFonts w:ascii="Arial" w:hAnsi="Arial" w:cs="Arial"/>
        </w:rPr>
        <w:t>en transition et des pays développés</w:t>
      </w:r>
      <w:r w:rsidR="00CD1430" w:rsidRPr="00A32AF4">
        <w:rPr>
          <w:rFonts w:ascii="Arial" w:hAnsi="Arial" w:cs="Arial"/>
        </w:rPr>
        <w:t xml:space="preserve"> et facilitera l</w:t>
      </w:r>
      <w:r w:rsidR="00E2055A" w:rsidRPr="00A32AF4">
        <w:rPr>
          <w:rFonts w:ascii="Arial" w:hAnsi="Arial" w:cs="Arial"/>
        </w:rPr>
        <w:t>’</w:t>
      </w:r>
      <w:r w:rsidR="00CD1430" w:rsidRPr="00A32AF4">
        <w:rPr>
          <w:rFonts w:ascii="Arial" w:hAnsi="Arial" w:cs="Arial"/>
        </w:rPr>
        <w:t>échange de données d</w:t>
      </w:r>
      <w:r w:rsidR="00E2055A" w:rsidRPr="00A32AF4">
        <w:rPr>
          <w:rFonts w:ascii="Arial" w:hAnsi="Arial" w:cs="Arial"/>
        </w:rPr>
        <w:t>’</w:t>
      </w:r>
      <w:r w:rsidR="00CD1430" w:rsidRPr="00A32AF4">
        <w:rPr>
          <w:rFonts w:ascii="Arial" w:hAnsi="Arial" w:cs="Arial"/>
        </w:rPr>
        <w:t>expérience, des enseignements tirés et de pratiques recommandées.</w:t>
      </w:r>
    </w:p>
    <w:p w:rsidR="00F93B76" w:rsidRPr="00A32AF4" w:rsidRDefault="00F93B76" w:rsidP="00DC0553">
      <w:pPr>
        <w:jc w:val="both"/>
        <w:rPr>
          <w:rFonts w:cs="Arial"/>
        </w:rPr>
      </w:pPr>
    </w:p>
    <w:p w:rsidR="00F93B76" w:rsidRPr="00A32AF4" w:rsidRDefault="00CD1430" w:rsidP="00DC0553">
      <w:pPr>
        <w:pStyle w:val="ListParagraph"/>
        <w:numPr>
          <w:ilvl w:val="0"/>
          <w:numId w:val="21"/>
        </w:numPr>
        <w:tabs>
          <w:tab w:val="right" w:pos="709"/>
        </w:tabs>
        <w:spacing w:after="0" w:line="240" w:lineRule="auto"/>
        <w:ind w:left="0" w:firstLine="0"/>
        <w:jc w:val="both"/>
        <w:rPr>
          <w:rFonts w:ascii="Arial" w:hAnsi="Arial" w:cs="Arial"/>
        </w:rPr>
      </w:pPr>
      <w:r w:rsidRPr="00A32AF4">
        <w:rPr>
          <w:rFonts w:ascii="Arial" w:hAnsi="Arial" w:cs="Arial"/>
        </w:rPr>
        <w:t>Des activités de renforcement des capacités seront planifiées et mises en œuvre conformément aux plans nationaux de coopération et, éventuellement, aux stratégies nationales en matière de propriété intellectuelle, et mettront l</w:t>
      </w:r>
      <w:r w:rsidR="00E2055A" w:rsidRPr="00A32AF4">
        <w:rPr>
          <w:rFonts w:ascii="Arial" w:hAnsi="Arial" w:cs="Arial"/>
        </w:rPr>
        <w:t>’</w:t>
      </w:r>
      <w:r w:rsidRPr="00A32AF4">
        <w:rPr>
          <w:rFonts w:ascii="Arial" w:hAnsi="Arial" w:cs="Arial"/>
        </w:rPr>
        <w:t>accent sur la création de programmes de formation nationaux qui seront autonomes et qui pourront être réalisés par les autorités locales.</w:t>
      </w:r>
    </w:p>
    <w:p w:rsidR="00F93B76" w:rsidRPr="00A32AF4" w:rsidRDefault="00F93B76" w:rsidP="00DC0553">
      <w:pPr>
        <w:jc w:val="both"/>
        <w:rPr>
          <w:rFonts w:cs="Arial"/>
        </w:rPr>
      </w:pPr>
    </w:p>
    <w:p w:rsidR="00F93B76" w:rsidRPr="00A32AF4" w:rsidRDefault="00CD1430" w:rsidP="00DC0553">
      <w:pPr>
        <w:pStyle w:val="ListParagraph"/>
        <w:numPr>
          <w:ilvl w:val="0"/>
          <w:numId w:val="21"/>
        </w:numPr>
        <w:tabs>
          <w:tab w:val="right" w:pos="709"/>
        </w:tabs>
        <w:spacing w:after="0" w:line="240" w:lineRule="auto"/>
        <w:ind w:left="0" w:firstLine="0"/>
        <w:jc w:val="both"/>
        <w:rPr>
          <w:rFonts w:ascii="Arial" w:hAnsi="Arial" w:cs="Arial"/>
        </w:rPr>
      </w:pPr>
      <w:r w:rsidRPr="00A32AF4">
        <w:rPr>
          <w:rFonts w:ascii="Arial" w:hAnsi="Arial" w:cs="Arial"/>
        </w:rPr>
        <w:t>Une évaluation plus stricte des activités qui se déroulera en deux</w:t>
      </w:r>
      <w:r w:rsidR="00FD43E3" w:rsidRPr="00A32AF4">
        <w:rPr>
          <w:rFonts w:ascii="Arial" w:hAnsi="Arial" w:cs="Arial"/>
        </w:rPr>
        <w:t> </w:t>
      </w:r>
      <w:r w:rsidRPr="00A32AF4">
        <w:rPr>
          <w:rFonts w:ascii="Arial" w:hAnsi="Arial" w:cs="Arial"/>
        </w:rPr>
        <w:t>étapes permettra au programme d</w:t>
      </w:r>
      <w:r w:rsidR="00E2055A" w:rsidRPr="00A32AF4">
        <w:rPr>
          <w:rFonts w:ascii="Arial" w:hAnsi="Arial" w:cs="Arial"/>
        </w:rPr>
        <w:t>’</w:t>
      </w:r>
      <w:r w:rsidRPr="00A32AF4">
        <w:rPr>
          <w:rFonts w:ascii="Arial" w:hAnsi="Arial" w:cs="Arial"/>
        </w:rPr>
        <w:t>améliorer encore son travail et de l</w:t>
      </w:r>
      <w:r w:rsidR="00E2055A" w:rsidRPr="00A32AF4">
        <w:rPr>
          <w:rFonts w:ascii="Arial" w:hAnsi="Arial" w:cs="Arial"/>
        </w:rPr>
        <w:t>’</w:t>
      </w:r>
      <w:r w:rsidRPr="00A32AF4">
        <w:rPr>
          <w:rFonts w:ascii="Arial" w:hAnsi="Arial" w:cs="Arial"/>
        </w:rPr>
        <w:t>adapter aux besoins particuliers de</w:t>
      </w:r>
      <w:r w:rsidR="00193197" w:rsidRPr="00A32AF4">
        <w:rPr>
          <w:rFonts w:ascii="Arial" w:hAnsi="Arial" w:cs="Arial"/>
        </w:rPr>
        <w:t>s</w:t>
      </w:r>
      <w:r w:rsidRPr="00A32AF4">
        <w:rPr>
          <w:rFonts w:ascii="Arial" w:hAnsi="Arial" w:cs="Arial"/>
        </w:rPr>
        <w:t xml:space="preserve"> </w:t>
      </w:r>
      <w:r w:rsidR="00193197" w:rsidRPr="00A32AF4">
        <w:rPr>
          <w:rFonts w:ascii="Arial" w:hAnsi="Arial" w:cs="Arial"/>
        </w:rPr>
        <w:t>pays</w:t>
      </w:r>
      <w:r w:rsidRPr="00A32AF4">
        <w:rPr>
          <w:rFonts w:ascii="Arial" w:hAnsi="Arial" w:cs="Arial"/>
        </w:rPr>
        <w:t xml:space="preserve">, </w:t>
      </w:r>
      <w:r w:rsidR="00E2055A" w:rsidRPr="00A32AF4">
        <w:rPr>
          <w:rFonts w:ascii="Arial" w:hAnsi="Arial" w:cs="Arial"/>
        </w:rPr>
        <w:t>y compris</w:t>
      </w:r>
      <w:r w:rsidRPr="00A32AF4">
        <w:rPr>
          <w:rFonts w:ascii="Arial" w:hAnsi="Arial" w:cs="Arial"/>
        </w:rPr>
        <w:t xml:space="preserve"> en intégrant les questions relatives à l</w:t>
      </w:r>
      <w:r w:rsidR="00E2055A" w:rsidRPr="00A32AF4">
        <w:rPr>
          <w:rFonts w:ascii="Arial" w:hAnsi="Arial" w:cs="Arial"/>
        </w:rPr>
        <w:t>’</w:t>
      </w:r>
      <w:r w:rsidRPr="00A32AF4">
        <w:rPr>
          <w:rFonts w:ascii="Arial" w:hAnsi="Arial" w:cs="Arial"/>
        </w:rPr>
        <w:t>égalité des sexes dans les activités pertinentes.</w:t>
      </w:r>
    </w:p>
    <w:p w:rsidR="00F93B76" w:rsidRPr="00A32AF4" w:rsidRDefault="00F93B76" w:rsidP="00DC0553">
      <w:pPr>
        <w:jc w:val="both"/>
        <w:rPr>
          <w:rFonts w:cs="Arial"/>
        </w:rPr>
      </w:pPr>
    </w:p>
    <w:p w:rsidR="00F93B76" w:rsidRPr="00A32AF4" w:rsidRDefault="00CD1430" w:rsidP="00DC0553">
      <w:pPr>
        <w:pStyle w:val="ListParagraph"/>
        <w:numPr>
          <w:ilvl w:val="0"/>
          <w:numId w:val="21"/>
        </w:numPr>
        <w:tabs>
          <w:tab w:val="right" w:pos="709"/>
        </w:tabs>
        <w:spacing w:after="0" w:line="240" w:lineRule="auto"/>
        <w:ind w:left="0" w:firstLine="0"/>
        <w:jc w:val="both"/>
        <w:rPr>
          <w:rFonts w:ascii="Arial" w:hAnsi="Arial" w:cs="Arial"/>
        </w:rPr>
      </w:pPr>
      <w:r w:rsidRPr="00A32AF4">
        <w:rPr>
          <w:rFonts w:ascii="Arial" w:hAnsi="Arial" w:cs="Arial"/>
        </w:rPr>
        <w:t xml:space="preserve">Afin de garantir un développement équilibré du système de propriété intellectuelle, les interactions avec les parties prenantes concernées, </w:t>
      </w:r>
      <w:r w:rsidR="00E2055A" w:rsidRPr="00A32AF4">
        <w:rPr>
          <w:rFonts w:ascii="Arial" w:hAnsi="Arial" w:cs="Arial"/>
        </w:rPr>
        <w:t>y compris</w:t>
      </w:r>
      <w:r w:rsidRPr="00A32AF4">
        <w:rPr>
          <w:rFonts w:ascii="Arial" w:hAnsi="Arial" w:cs="Arial"/>
        </w:rPr>
        <w:t xml:space="preserve"> les gouvernements, les entreprises et les utilisateurs, seront renforcées.  Des plates</w:t>
      </w:r>
      <w:r w:rsidR="00EB7F54" w:rsidRPr="00A32AF4">
        <w:rPr>
          <w:rFonts w:ascii="Arial" w:hAnsi="Arial" w:cs="Arial"/>
        </w:rPr>
        <w:noBreakHyphen/>
      </w:r>
      <w:r w:rsidRPr="00A32AF4">
        <w:rPr>
          <w:rFonts w:ascii="Arial" w:hAnsi="Arial" w:cs="Arial"/>
        </w:rPr>
        <w:t>formes de partage d</w:t>
      </w:r>
      <w:r w:rsidR="00E2055A" w:rsidRPr="00A32AF4">
        <w:rPr>
          <w:rFonts w:ascii="Arial" w:hAnsi="Arial" w:cs="Arial"/>
        </w:rPr>
        <w:t>’</w:t>
      </w:r>
      <w:r w:rsidRPr="00A32AF4">
        <w:rPr>
          <w:rFonts w:ascii="Arial" w:hAnsi="Arial" w:cs="Arial"/>
        </w:rPr>
        <w:t>expérience durable, qui pourront éventuellement améliorer la coordination entre les parties prenantes, seront établies.</w:t>
      </w:r>
    </w:p>
    <w:p w:rsidR="00E2055A" w:rsidRPr="00A32AF4" w:rsidRDefault="00E2055A" w:rsidP="00DC0553">
      <w:pPr>
        <w:rPr>
          <w:rFonts w:cs="Arial"/>
        </w:rPr>
      </w:pPr>
    </w:p>
    <w:p w:rsidR="00F93B76" w:rsidRPr="00A32AF4" w:rsidRDefault="00CD1430" w:rsidP="00DC0553">
      <w:pPr>
        <w:pStyle w:val="ListParagraph"/>
        <w:numPr>
          <w:ilvl w:val="0"/>
          <w:numId w:val="21"/>
        </w:numPr>
        <w:tabs>
          <w:tab w:val="right" w:pos="709"/>
        </w:tabs>
        <w:spacing w:after="0" w:line="240" w:lineRule="auto"/>
        <w:ind w:left="0" w:firstLine="0"/>
        <w:jc w:val="both"/>
        <w:rPr>
          <w:rFonts w:ascii="Arial" w:hAnsi="Arial" w:cs="Arial"/>
        </w:rPr>
      </w:pPr>
      <w:r w:rsidRPr="00A32AF4">
        <w:rPr>
          <w:rFonts w:ascii="Arial" w:hAnsi="Arial" w:cs="Arial"/>
        </w:rPr>
        <w:t>Tenant compte de la participation des pays en transition et des pays développés aux organisations régionales pertinentes, le programme renforcera davantage les synergies et encouragera le déploiement d</w:t>
      </w:r>
      <w:r w:rsidR="00E2055A" w:rsidRPr="00A32AF4">
        <w:rPr>
          <w:rFonts w:ascii="Arial" w:hAnsi="Arial" w:cs="Arial"/>
        </w:rPr>
        <w:t>’</w:t>
      </w:r>
      <w:r w:rsidRPr="00A32AF4">
        <w:rPr>
          <w:rFonts w:ascii="Arial" w:hAnsi="Arial" w:cs="Arial"/>
        </w:rPr>
        <w:t>efforts conjoints en vue d</w:t>
      </w:r>
      <w:r w:rsidR="00E2055A" w:rsidRPr="00A32AF4">
        <w:rPr>
          <w:rFonts w:ascii="Arial" w:hAnsi="Arial" w:cs="Arial"/>
        </w:rPr>
        <w:t>’</w:t>
      </w:r>
      <w:r w:rsidRPr="00A32AF4">
        <w:rPr>
          <w:rFonts w:ascii="Arial" w:hAnsi="Arial" w:cs="Arial"/>
        </w:rPr>
        <w:t>atteindre les objectifs communs en matière de propriété intellectuelle.  Par conséquent, il collaborera étroitement avec, entre autres, l</w:t>
      </w:r>
      <w:r w:rsidR="00E2055A" w:rsidRPr="00A32AF4">
        <w:rPr>
          <w:rFonts w:ascii="Arial" w:hAnsi="Arial" w:cs="Arial"/>
        </w:rPr>
        <w:t>’</w:t>
      </w:r>
      <w:r w:rsidRPr="00A32AF4">
        <w:rPr>
          <w:rFonts w:ascii="Arial" w:hAnsi="Arial" w:cs="Arial"/>
        </w:rPr>
        <w:t>Union européenne, l</w:t>
      </w:r>
      <w:r w:rsidR="00E2055A" w:rsidRPr="00A32AF4">
        <w:rPr>
          <w:rFonts w:ascii="Arial" w:hAnsi="Arial" w:cs="Arial"/>
        </w:rPr>
        <w:t>’</w:t>
      </w:r>
      <w:r w:rsidRPr="00A32AF4">
        <w:rPr>
          <w:rFonts w:ascii="Arial" w:hAnsi="Arial" w:cs="Arial"/>
        </w:rPr>
        <w:t xml:space="preserve">Office européen des brevets (OEB), le Conseil interétatique pour la protection </w:t>
      </w:r>
      <w:r w:rsidR="00655BAF" w:rsidRPr="00A32AF4">
        <w:rPr>
          <w:rFonts w:ascii="Arial" w:hAnsi="Arial" w:cs="Arial"/>
        </w:rPr>
        <w:t>et l</w:t>
      </w:r>
      <w:r w:rsidR="00E2055A" w:rsidRPr="00A32AF4">
        <w:rPr>
          <w:rFonts w:ascii="Arial" w:hAnsi="Arial" w:cs="Arial"/>
        </w:rPr>
        <w:t>’</w:t>
      </w:r>
      <w:r w:rsidR="00655BAF" w:rsidRPr="00A32AF4">
        <w:rPr>
          <w:rFonts w:ascii="Arial" w:hAnsi="Arial" w:cs="Arial"/>
        </w:rPr>
        <w:t xml:space="preserve">application </w:t>
      </w:r>
      <w:r w:rsidRPr="00A32AF4">
        <w:rPr>
          <w:rFonts w:ascii="Arial" w:hAnsi="Arial" w:cs="Arial"/>
        </w:rPr>
        <w:t xml:space="preserve">de la propriété </w:t>
      </w:r>
      <w:r w:rsidR="00655BAF" w:rsidRPr="00A32AF4">
        <w:rPr>
          <w:rFonts w:ascii="Arial" w:hAnsi="Arial" w:cs="Arial"/>
        </w:rPr>
        <w:t xml:space="preserve">intellectuelle </w:t>
      </w:r>
      <w:r w:rsidRPr="00A32AF4">
        <w:rPr>
          <w:rFonts w:ascii="Arial" w:hAnsi="Arial" w:cs="Arial"/>
        </w:rPr>
        <w:t>(CIPPI), l</w:t>
      </w:r>
      <w:r w:rsidR="00E2055A" w:rsidRPr="00A32AF4">
        <w:rPr>
          <w:rFonts w:ascii="Arial" w:hAnsi="Arial" w:cs="Arial"/>
        </w:rPr>
        <w:t>’</w:t>
      </w:r>
      <w:r w:rsidRPr="00A32AF4">
        <w:rPr>
          <w:rFonts w:ascii="Arial" w:hAnsi="Arial" w:cs="Arial"/>
        </w:rPr>
        <w:t>Assemblée interparlementaire des États membres de la CEI, l</w:t>
      </w:r>
      <w:r w:rsidR="00E2055A" w:rsidRPr="00A32AF4">
        <w:rPr>
          <w:rFonts w:ascii="Arial" w:hAnsi="Arial" w:cs="Arial"/>
        </w:rPr>
        <w:t>’</w:t>
      </w:r>
      <w:r w:rsidRPr="00A32AF4">
        <w:rPr>
          <w:rFonts w:ascii="Arial" w:hAnsi="Arial" w:cs="Arial"/>
        </w:rPr>
        <w:t>Organisation eurasienne des brevets et Communauté économique eurasienne (EURASEC).</w:t>
      </w:r>
    </w:p>
    <w:p w:rsidR="00F93B76" w:rsidRPr="00A32AF4" w:rsidRDefault="00F93B76" w:rsidP="00DC0553">
      <w:pPr>
        <w:pStyle w:val="ListParagraph"/>
        <w:tabs>
          <w:tab w:val="right" w:pos="709"/>
        </w:tabs>
        <w:spacing w:line="240" w:lineRule="auto"/>
        <w:ind w:left="0"/>
        <w:jc w:val="both"/>
        <w:rPr>
          <w:rFonts w:ascii="Arial" w:hAnsi="Arial" w:cs="Arial"/>
        </w:rPr>
      </w:pPr>
    </w:p>
    <w:p w:rsidR="00F93B76" w:rsidRPr="00A32AF4" w:rsidRDefault="00CD1430" w:rsidP="00DC0553">
      <w:pPr>
        <w:pStyle w:val="ListParagraph"/>
        <w:numPr>
          <w:ilvl w:val="0"/>
          <w:numId w:val="21"/>
        </w:numPr>
        <w:tabs>
          <w:tab w:val="right" w:pos="709"/>
        </w:tabs>
        <w:spacing w:after="0" w:line="240" w:lineRule="auto"/>
        <w:ind w:left="0" w:firstLine="0"/>
        <w:jc w:val="both"/>
        <w:rPr>
          <w:rFonts w:ascii="Arial" w:hAnsi="Arial" w:cs="Arial"/>
          <w:iCs/>
        </w:rPr>
      </w:pPr>
      <w:r w:rsidRPr="00A32AF4">
        <w:rPr>
          <w:rFonts w:ascii="Arial" w:hAnsi="Arial" w:cs="Arial"/>
          <w:iCs/>
        </w:rPr>
        <w:t>Les recommandations du Plan d</w:t>
      </w:r>
      <w:r w:rsidR="00E2055A" w:rsidRPr="00A32AF4">
        <w:rPr>
          <w:rFonts w:ascii="Arial" w:hAnsi="Arial" w:cs="Arial"/>
          <w:iCs/>
        </w:rPr>
        <w:t>’</w:t>
      </w:r>
      <w:r w:rsidRPr="00A32AF4">
        <w:rPr>
          <w:rFonts w:ascii="Arial" w:hAnsi="Arial" w:cs="Arial"/>
          <w:iCs/>
        </w:rPr>
        <w:t>action pour le développement, en particulier les recommandations n</w:t>
      </w:r>
      <w:r w:rsidRPr="00A32AF4">
        <w:rPr>
          <w:rFonts w:ascii="Arial" w:hAnsi="Arial" w:cs="Arial"/>
          <w:iCs/>
          <w:vertAlign w:val="superscript"/>
        </w:rPr>
        <w:t>os</w:t>
      </w:r>
      <w:r w:rsidR="00EB7F54" w:rsidRPr="00A32AF4">
        <w:rPr>
          <w:rFonts w:ascii="Arial" w:hAnsi="Arial" w:cs="Arial"/>
          <w:iCs/>
          <w:vertAlign w:val="superscript"/>
        </w:rPr>
        <w:t> </w:t>
      </w:r>
      <w:r w:rsidRPr="00A32AF4">
        <w:rPr>
          <w:rFonts w:ascii="Arial" w:hAnsi="Arial" w:cs="Arial"/>
          <w:iCs/>
        </w:rPr>
        <w:t>1, 3, 4, 6, 10, 11 et 13, continueront de guider les activités d</w:t>
      </w:r>
      <w:r w:rsidR="00E2055A" w:rsidRPr="00A32AF4">
        <w:rPr>
          <w:rFonts w:ascii="Arial" w:hAnsi="Arial" w:cs="Arial"/>
          <w:iCs/>
        </w:rPr>
        <w:t>’</w:t>
      </w:r>
      <w:r w:rsidRPr="00A32AF4">
        <w:rPr>
          <w:rFonts w:ascii="Arial" w:hAnsi="Arial" w:cs="Arial"/>
          <w:iCs/>
        </w:rPr>
        <w:t>assistance technique menées au titre du programme 10.</w:t>
      </w:r>
    </w:p>
    <w:p w:rsidR="00F93B76" w:rsidRPr="00A32AF4" w:rsidRDefault="00F93B76" w:rsidP="00DC0553">
      <w:pPr>
        <w:jc w:val="both"/>
        <w:rPr>
          <w:rFonts w:cs="Arial"/>
        </w:rPr>
      </w:pPr>
    </w:p>
    <w:p w:rsidR="00F93B76" w:rsidRPr="00A32AF4" w:rsidRDefault="00F93B76" w:rsidP="00DC0553">
      <w:pPr>
        <w:jc w:val="both"/>
        <w:rPr>
          <w:rFonts w:cs="Arial"/>
        </w:rPr>
      </w:pPr>
    </w:p>
    <w:p w:rsidR="00F93B76" w:rsidRPr="00A32AF4" w:rsidRDefault="00CD1430" w:rsidP="00DC0553">
      <w:pPr>
        <w:pStyle w:val="BodyText"/>
        <w:spacing w:after="0"/>
        <w:rPr>
          <w:rFonts w:cs="Arial"/>
        </w:rPr>
      </w:pPr>
      <w:r w:rsidRPr="00A32AF4">
        <w:rPr>
          <w:rFonts w:cs="Arial"/>
          <w:bCs/>
          <w:szCs w:val="22"/>
        </w:rPr>
        <w:t>PRINCIPAUX RISQUES ET STRATÉGIES D</w:t>
      </w:r>
      <w:r w:rsidR="00E2055A" w:rsidRPr="00A32AF4">
        <w:rPr>
          <w:rFonts w:cs="Arial"/>
          <w:bCs/>
          <w:szCs w:val="22"/>
        </w:rPr>
        <w:t>’</w:t>
      </w:r>
      <w:r w:rsidRPr="00A32AF4">
        <w:rPr>
          <w:rFonts w:cs="Arial"/>
          <w:bCs/>
          <w:szCs w:val="22"/>
        </w:rPr>
        <w:t>ATTÉNUATION</w:t>
      </w:r>
    </w:p>
    <w:p w:rsidR="00CD1430" w:rsidRPr="00A32AF4" w:rsidRDefault="00CD1430" w:rsidP="00DC0553">
      <w:pPr>
        <w:pStyle w:val="BodyText"/>
        <w:spacing w:after="0"/>
        <w:rPr>
          <w:rFonts w:cs="Arial"/>
        </w:rPr>
      </w:pPr>
    </w:p>
    <w:tbl>
      <w:tblPr>
        <w:tblW w:w="9072"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11"/>
        <w:gridCol w:w="4961"/>
      </w:tblGrid>
      <w:tr w:rsidR="0038294E" w:rsidRPr="00A32AF4" w:rsidTr="007575E1">
        <w:trPr>
          <w:trHeight w:val="577"/>
        </w:trPr>
        <w:tc>
          <w:tcPr>
            <w:tcW w:w="4111" w:type="dxa"/>
            <w:tcBorders>
              <w:top w:val="single" w:sz="4" w:space="0" w:color="auto"/>
              <w:bottom w:val="single" w:sz="4" w:space="0" w:color="auto"/>
            </w:tcBorders>
            <w:shd w:val="clear" w:color="auto" w:fill="C6D9F1" w:themeFill="text2" w:themeFillTint="33"/>
            <w:vAlign w:val="center"/>
          </w:tcPr>
          <w:p w:rsidR="00CD1430" w:rsidRPr="00A32AF4" w:rsidRDefault="00CD1430" w:rsidP="00DC0553">
            <w:pPr>
              <w:jc w:val="center"/>
              <w:rPr>
                <w:b/>
                <w:bCs/>
                <w:sz w:val="18"/>
                <w:szCs w:val="18"/>
              </w:rPr>
            </w:pPr>
            <w:r w:rsidRPr="00A32AF4">
              <w:rPr>
                <w:b/>
                <w:bCs/>
                <w:sz w:val="18"/>
                <w:szCs w:val="18"/>
              </w:rPr>
              <w:t>Risque</w:t>
            </w:r>
            <w:r w:rsidR="00D27E4C" w:rsidRPr="00A32AF4">
              <w:rPr>
                <w:b/>
                <w:bCs/>
                <w:sz w:val="18"/>
                <w:szCs w:val="18"/>
              </w:rPr>
              <w:t>s</w:t>
            </w:r>
          </w:p>
        </w:tc>
        <w:tc>
          <w:tcPr>
            <w:tcW w:w="4961" w:type="dxa"/>
            <w:tcBorders>
              <w:top w:val="single" w:sz="4" w:space="0" w:color="auto"/>
              <w:bottom w:val="single" w:sz="4" w:space="0" w:color="auto"/>
            </w:tcBorders>
            <w:shd w:val="clear" w:color="auto" w:fill="C6D9F1" w:themeFill="text2" w:themeFillTint="33"/>
            <w:vAlign w:val="center"/>
          </w:tcPr>
          <w:p w:rsidR="00CD1430" w:rsidRPr="00A32AF4" w:rsidRDefault="00FD3E7B" w:rsidP="00DC0553">
            <w:pPr>
              <w:jc w:val="center"/>
              <w:rPr>
                <w:b/>
                <w:bCs/>
                <w:sz w:val="18"/>
                <w:szCs w:val="18"/>
              </w:rPr>
            </w:pPr>
            <w:r w:rsidRPr="00A32AF4">
              <w:rPr>
                <w:b/>
                <w:bCs/>
                <w:sz w:val="18"/>
                <w:szCs w:val="18"/>
              </w:rPr>
              <w:t>Stratégie</w:t>
            </w:r>
            <w:r w:rsidR="00D27E4C" w:rsidRPr="00A32AF4">
              <w:rPr>
                <w:b/>
                <w:bCs/>
                <w:sz w:val="18"/>
                <w:szCs w:val="18"/>
              </w:rPr>
              <w:t>s</w:t>
            </w:r>
            <w:r w:rsidRPr="00A32AF4">
              <w:rPr>
                <w:b/>
                <w:bCs/>
                <w:sz w:val="18"/>
                <w:szCs w:val="18"/>
              </w:rPr>
              <w:t xml:space="preserve"> d</w:t>
            </w:r>
            <w:r w:rsidR="00E2055A" w:rsidRPr="00A32AF4">
              <w:rPr>
                <w:b/>
                <w:bCs/>
                <w:sz w:val="18"/>
                <w:szCs w:val="18"/>
              </w:rPr>
              <w:t>’</w:t>
            </w:r>
            <w:r w:rsidRPr="00A32AF4">
              <w:rPr>
                <w:b/>
                <w:bCs/>
                <w:sz w:val="18"/>
                <w:szCs w:val="18"/>
              </w:rPr>
              <w:t>atténuation</w:t>
            </w:r>
          </w:p>
        </w:tc>
      </w:tr>
      <w:tr w:rsidR="00CD1430" w:rsidRPr="00A32AF4" w:rsidTr="007575E1">
        <w:trPr>
          <w:trHeight w:val="1461"/>
        </w:trPr>
        <w:tc>
          <w:tcPr>
            <w:tcW w:w="4111" w:type="dxa"/>
            <w:tcBorders>
              <w:top w:val="single" w:sz="4" w:space="0" w:color="auto"/>
              <w:left w:val="single" w:sz="4" w:space="0" w:color="auto"/>
              <w:bottom w:val="single" w:sz="4" w:space="0" w:color="auto"/>
              <w:right w:val="nil"/>
            </w:tcBorders>
            <w:shd w:val="clear" w:color="auto" w:fill="auto"/>
            <w:tcMar>
              <w:top w:w="113" w:type="dxa"/>
              <w:bottom w:w="113" w:type="dxa"/>
            </w:tcMar>
          </w:tcPr>
          <w:p w:rsidR="00F93B76" w:rsidRPr="00A32AF4" w:rsidRDefault="00CD1430" w:rsidP="00DC0553">
            <w:pPr>
              <w:rPr>
                <w:rFonts w:eastAsia="Calibri"/>
                <w:sz w:val="16"/>
                <w:szCs w:val="16"/>
              </w:rPr>
            </w:pPr>
            <w:r w:rsidRPr="00A32AF4">
              <w:rPr>
                <w:sz w:val="16"/>
                <w:szCs w:val="16"/>
              </w:rPr>
              <w:t>Des changements économiques et politiques pourraient compromettre ou ralentir la mise en œuvre des stratégies nationales en matière de propriété intellectuelle.</w:t>
            </w:r>
          </w:p>
          <w:p w:rsidR="00F93B76" w:rsidRPr="00A32AF4" w:rsidRDefault="00F93B76" w:rsidP="00DC0553">
            <w:pPr>
              <w:rPr>
                <w:sz w:val="16"/>
                <w:szCs w:val="16"/>
              </w:rPr>
            </w:pPr>
          </w:p>
          <w:p w:rsidR="00F93B76" w:rsidRPr="00A32AF4" w:rsidRDefault="00F93B76" w:rsidP="00DC0553">
            <w:pPr>
              <w:rPr>
                <w:sz w:val="16"/>
                <w:szCs w:val="16"/>
              </w:rPr>
            </w:pPr>
          </w:p>
          <w:p w:rsidR="00CD1430" w:rsidRPr="00A32AF4" w:rsidRDefault="00CD1430" w:rsidP="00DC0553">
            <w:pPr>
              <w:rPr>
                <w:rFonts w:ascii="Times New Roman" w:hAnsi="Times New Roman"/>
                <w:b/>
                <w:i/>
                <w:sz w:val="16"/>
                <w:szCs w:val="16"/>
              </w:rPr>
            </w:pPr>
            <w:r w:rsidRPr="00A32AF4">
              <w:rPr>
                <w:sz w:val="16"/>
                <w:szCs w:val="16"/>
              </w:rPr>
              <w:t>Des décisions prises à l</w:t>
            </w:r>
            <w:r w:rsidR="00E2055A" w:rsidRPr="00A32AF4">
              <w:rPr>
                <w:sz w:val="16"/>
                <w:szCs w:val="16"/>
              </w:rPr>
              <w:t>’</w:t>
            </w:r>
            <w:r w:rsidRPr="00A32AF4">
              <w:rPr>
                <w:sz w:val="16"/>
                <w:szCs w:val="16"/>
              </w:rPr>
              <w:t>échelle internationale ou nationale font perdre l</w:t>
            </w:r>
            <w:r w:rsidR="00E2055A" w:rsidRPr="00A32AF4">
              <w:rPr>
                <w:sz w:val="16"/>
                <w:szCs w:val="16"/>
              </w:rPr>
              <w:t>’</w:t>
            </w:r>
            <w:r w:rsidRPr="00A32AF4">
              <w:rPr>
                <w:sz w:val="16"/>
                <w:szCs w:val="16"/>
              </w:rPr>
              <w:t>engagement d</w:t>
            </w:r>
            <w:r w:rsidR="00E2055A" w:rsidRPr="00A32AF4">
              <w:rPr>
                <w:sz w:val="16"/>
                <w:szCs w:val="16"/>
              </w:rPr>
              <w:t>’</w:t>
            </w:r>
            <w:r w:rsidRPr="00A32AF4">
              <w:rPr>
                <w:sz w:val="16"/>
                <w:szCs w:val="16"/>
              </w:rPr>
              <w:t>une partie prenante à s</w:t>
            </w:r>
            <w:r w:rsidR="00E2055A" w:rsidRPr="00A32AF4">
              <w:rPr>
                <w:sz w:val="16"/>
                <w:szCs w:val="16"/>
              </w:rPr>
              <w:t>’</w:t>
            </w:r>
            <w:r w:rsidRPr="00A32AF4">
              <w:rPr>
                <w:sz w:val="16"/>
                <w:szCs w:val="16"/>
              </w:rPr>
              <w:t>impliquer activement dans la réalisation d</w:t>
            </w:r>
            <w:r w:rsidR="00E2055A" w:rsidRPr="00A32AF4">
              <w:rPr>
                <w:sz w:val="16"/>
                <w:szCs w:val="16"/>
              </w:rPr>
              <w:t>’</w:t>
            </w:r>
            <w:r w:rsidRPr="00A32AF4">
              <w:rPr>
                <w:sz w:val="16"/>
                <w:szCs w:val="16"/>
              </w:rPr>
              <w:t xml:space="preserve">activités, ce qui bouscule les plans à long terme concernant le renforcement des capacités en matière de ressources humaines dans les pays en transition.  </w:t>
            </w:r>
          </w:p>
        </w:tc>
        <w:tc>
          <w:tcPr>
            <w:tcW w:w="4961" w:type="dxa"/>
            <w:tcBorders>
              <w:top w:val="single" w:sz="4" w:space="0" w:color="auto"/>
              <w:left w:val="nil"/>
              <w:bottom w:val="single" w:sz="4" w:space="0" w:color="auto"/>
              <w:right w:val="single" w:sz="4" w:space="0" w:color="auto"/>
            </w:tcBorders>
            <w:shd w:val="clear" w:color="auto" w:fill="auto"/>
            <w:tcMar>
              <w:top w:w="113" w:type="dxa"/>
              <w:bottom w:w="113" w:type="dxa"/>
            </w:tcMar>
          </w:tcPr>
          <w:p w:rsidR="00F93B76" w:rsidRPr="00A32AF4" w:rsidRDefault="00CD1430" w:rsidP="00DC0553">
            <w:pPr>
              <w:rPr>
                <w:rFonts w:eastAsia="Calibri"/>
                <w:sz w:val="16"/>
                <w:szCs w:val="16"/>
              </w:rPr>
            </w:pPr>
            <w:r w:rsidRPr="00A32AF4">
              <w:rPr>
                <w:sz w:val="16"/>
                <w:szCs w:val="16"/>
              </w:rPr>
              <w:t>Procéder à une communication de suivi immédiate lorsqu</w:t>
            </w:r>
            <w:r w:rsidR="00E2055A" w:rsidRPr="00A32AF4">
              <w:rPr>
                <w:sz w:val="16"/>
                <w:szCs w:val="16"/>
              </w:rPr>
              <w:t>’</w:t>
            </w:r>
            <w:r w:rsidRPr="00A32AF4">
              <w:rPr>
                <w:sz w:val="16"/>
                <w:szCs w:val="16"/>
              </w:rPr>
              <w:t>un changement significatif s</w:t>
            </w:r>
            <w:r w:rsidR="00E2055A" w:rsidRPr="00A32AF4">
              <w:rPr>
                <w:sz w:val="16"/>
                <w:szCs w:val="16"/>
              </w:rPr>
              <w:t>’</w:t>
            </w:r>
            <w:r w:rsidRPr="00A32AF4">
              <w:rPr>
                <w:sz w:val="16"/>
                <w:szCs w:val="16"/>
              </w:rPr>
              <w:t xml:space="preserve">opère dans un </w:t>
            </w:r>
            <w:proofErr w:type="gramStart"/>
            <w:r w:rsidRPr="00A32AF4">
              <w:rPr>
                <w:sz w:val="16"/>
                <w:szCs w:val="16"/>
              </w:rPr>
              <w:t>pays;</w:t>
            </w:r>
            <w:proofErr w:type="gramEnd"/>
            <w:r w:rsidRPr="00A32AF4">
              <w:rPr>
                <w:sz w:val="16"/>
                <w:szCs w:val="16"/>
              </w:rPr>
              <w:t xml:space="preserve">  procéder à une planification prévoyante à tous les niveaux; </w:t>
            </w:r>
            <w:r w:rsidR="00FD43E3" w:rsidRPr="00A32AF4">
              <w:rPr>
                <w:sz w:val="16"/>
                <w:szCs w:val="16"/>
              </w:rPr>
              <w:t xml:space="preserve"> </w:t>
            </w:r>
            <w:r w:rsidRPr="00A32AF4">
              <w:rPr>
                <w:sz w:val="16"/>
                <w:szCs w:val="16"/>
              </w:rPr>
              <w:t>entretenir des relations avec toutes les parties prenantes dans les pays;  prévoir une marge de manœuvre dans les plans de coopération.</w:t>
            </w:r>
          </w:p>
          <w:p w:rsidR="00F93B76" w:rsidRPr="00A32AF4" w:rsidRDefault="00F93B76" w:rsidP="00DC0553">
            <w:pPr>
              <w:rPr>
                <w:sz w:val="16"/>
                <w:szCs w:val="16"/>
              </w:rPr>
            </w:pPr>
          </w:p>
          <w:p w:rsidR="00CD1430" w:rsidRPr="00A32AF4" w:rsidRDefault="00CD1430" w:rsidP="00DC0553">
            <w:pPr>
              <w:autoSpaceDE w:val="0"/>
              <w:autoSpaceDN w:val="0"/>
              <w:adjustRightInd w:val="0"/>
              <w:ind w:right="-59"/>
              <w:rPr>
                <w:rFonts w:ascii="Times New Roman" w:hAnsi="Times New Roman"/>
                <w:sz w:val="16"/>
                <w:szCs w:val="16"/>
              </w:rPr>
            </w:pPr>
            <w:r w:rsidRPr="00A32AF4">
              <w:rPr>
                <w:sz w:val="16"/>
                <w:szCs w:val="16"/>
              </w:rPr>
              <w:t xml:space="preserve">Collaborer étroitement avec les bénéficiaires, les donateurs et les États membres.  Planifier et coordonner toutes les questions relatives à la propriété intellectuelle avec les autres organisations et partenaires internationaux et nationaux. </w:t>
            </w:r>
            <w:r w:rsidR="00FD43E3" w:rsidRPr="00A32AF4">
              <w:rPr>
                <w:sz w:val="16"/>
                <w:szCs w:val="16"/>
              </w:rPr>
              <w:t xml:space="preserve"> </w:t>
            </w:r>
          </w:p>
        </w:tc>
      </w:tr>
    </w:tbl>
    <w:p w:rsidR="00F93B76" w:rsidRPr="00A32AF4" w:rsidRDefault="00F93B76" w:rsidP="00DC0553">
      <w:pPr>
        <w:rPr>
          <w:szCs w:val="22"/>
        </w:rPr>
      </w:pPr>
    </w:p>
    <w:p w:rsidR="00F93B76" w:rsidRPr="00A32AF4" w:rsidRDefault="00F93B76" w:rsidP="00DC0553">
      <w:pPr>
        <w:rPr>
          <w:szCs w:val="22"/>
        </w:rPr>
      </w:pPr>
    </w:p>
    <w:p w:rsidR="00F93B76" w:rsidRPr="00A32AF4" w:rsidRDefault="00CD1430" w:rsidP="00DC0553">
      <w:pPr>
        <w:rPr>
          <w:szCs w:val="22"/>
        </w:rPr>
      </w:pPr>
      <w:r w:rsidRPr="00A32AF4">
        <w:rPr>
          <w:bCs/>
        </w:rPr>
        <w:t>TABLEAU DES RÉSULTATS</w:t>
      </w:r>
    </w:p>
    <w:p w:rsidR="00CD1430" w:rsidRPr="00A32AF4" w:rsidRDefault="00CD1430" w:rsidP="00DC0553">
      <w:pPr>
        <w:rPr>
          <w:szCs w:val="22"/>
        </w:rPr>
      </w:pPr>
    </w:p>
    <w:tbl>
      <w:tblPr>
        <w:tblW w:w="9105" w:type="dxa"/>
        <w:tblInd w:w="9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200"/>
        <w:gridCol w:w="2420"/>
        <w:gridCol w:w="2325"/>
        <w:gridCol w:w="2160"/>
      </w:tblGrid>
      <w:tr w:rsidR="0038294E" w:rsidRPr="00A32AF4" w:rsidTr="00FD3E7B">
        <w:trPr>
          <w:cantSplit/>
          <w:tblHeader/>
        </w:trPr>
        <w:tc>
          <w:tcPr>
            <w:tcW w:w="2200" w:type="dxa"/>
            <w:tcBorders>
              <w:top w:val="single" w:sz="4" w:space="0" w:color="auto"/>
              <w:bottom w:val="single" w:sz="4" w:space="0" w:color="auto"/>
            </w:tcBorders>
            <w:shd w:val="clear" w:color="000000" w:fill="C5D9F1"/>
            <w:tcMar>
              <w:top w:w="113" w:type="dxa"/>
              <w:bottom w:w="113" w:type="dxa"/>
            </w:tcMar>
            <w:vAlign w:val="center"/>
            <w:hideMark/>
          </w:tcPr>
          <w:p w:rsidR="00CD1430" w:rsidRPr="00A32AF4" w:rsidRDefault="00CD1430" w:rsidP="00DC0553">
            <w:pPr>
              <w:jc w:val="center"/>
              <w:rPr>
                <w:b/>
                <w:bCs/>
                <w:sz w:val="18"/>
                <w:szCs w:val="18"/>
              </w:rPr>
            </w:pPr>
            <w:r w:rsidRPr="00A32AF4">
              <w:rPr>
                <w:rFonts w:eastAsia="SimSun"/>
                <w:b/>
                <w:bCs/>
                <w:sz w:val="18"/>
              </w:rPr>
              <w:t>Résultats escomptés</w:t>
            </w:r>
          </w:p>
        </w:tc>
        <w:tc>
          <w:tcPr>
            <w:tcW w:w="2420" w:type="dxa"/>
            <w:tcBorders>
              <w:top w:val="single" w:sz="4" w:space="0" w:color="auto"/>
              <w:bottom w:val="single" w:sz="4" w:space="0" w:color="auto"/>
            </w:tcBorders>
            <w:shd w:val="clear" w:color="000000" w:fill="C5D9F1"/>
            <w:tcMar>
              <w:top w:w="113" w:type="dxa"/>
              <w:bottom w:w="113" w:type="dxa"/>
            </w:tcMar>
            <w:vAlign w:val="center"/>
            <w:hideMark/>
          </w:tcPr>
          <w:p w:rsidR="00CD1430" w:rsidRPr="00A32AF4" w:rsidRDefault="00CD1430" w:rsidP="00DC0553">
            <w:pPr>
              <w:jc w:val="center"/>
              <w:rPr>
                <w:b/>
                <w:bCs/>
                <w:sz w:val="18"/>
                <w:szCs w:val="18"/>
              </w:rPr>
            </w:pPr>
            <w:r w:rsidRPr="00A32AF4">
              <w:rPr>
                <w:rFonts w:eastAsia="SimSun"/>
                <w:b/>
                <w:bCs/>
                <w:sz w:val="18"/>
              </w:rPr>
              <w:t>Indicateurs d</w:t>
            </w:r>
            <w:r w:rsidR="00E2055A" w:rsidRPr="00A32AF4">
              <w:rPr>
                <w:rFonts w:eastAsia="SimSun"/>
                <w:b/>
                <w:bCs/>
                <w:sz w:val="18"/>
              </w:rPr>
              <w:t>’</w:t>
            </w:r>
            <w:r w:rsidRPr="00A32AF4">
              <w:rPr>
                <w:rFonts w:eastAsia="SimSun"/>
                <w:b/>
                <w:bCs/>
                <w:sz w:val="18"/>
              </w:rPr>
              <w:t>exécution</w:t>
            </w:r>
          </w:p>
        </w:tc>
        <w:tc>
          <w:tcPr>
            <w:tcW w:w="2325" w:type="dxa"/>
            <w:tcBorders>
              <w:top w:val="single" w:sz="4" w:space="0" w:color="auto"/>
              <w:bottom w:val="single" w:sz="4" w:space="0" w:color="auto"/>
            </w:tcBorders>
            <w:shd w:val="clear" w:color="000000" w:fill="C5D9F1"/>
            <w:tcMar>
              <w:top w:w="113" w:type="dxa"/>
              <w:bottom w:w="113" w:type="dxa"/>
            </w:tcMar>
            <w:vAlign w:val="center"/>
            <w:hideMark/>
          </w:tcPr>
          <w:p w:rsidR="00CD1430" w:rsidRPr="00A32AF4" w:rsidRDefault="00CD1430" w:rsidP="00DC0553">
            <w:pPr>
              <w:jc w:val="center"/>
              <w:rPr>
                <w:b/>
                <w:bCs/>
                <w:sz w:val="18"/>
                <w:szCs w:val="18"/>
              </w:rPr>
            </w:pPr>
            <w:r w:rsidRPr="00A32AF4">
              <w:rPr>
                <w:rFonts w:eastAsia="SimSun"/>
                <w:b/>
                <w:bCs/>
                <w:sz w:val="18"/>
              </w:rPr>
              <w:t>Niveaux de référence</w:t>
            </w:r>
          </w:p>
        </w:tc>
        <w:tc>
          <w:tcPr>
            <w:tcW w:w="2160" w:type="dxa"/>
            <w:tcBorders>
              <w:top w:val="single" w:sz="4" w:space="0" w:color="auto"/>
              <w:bottom w:val="single" w:sz="4" w:space="0" w:color="auto"/>
            </w:tcBorders>
            <w:shd w:val="clear" w:color="000000" w:fill="C5D9F1"/>
            <w:tcMar>
              <w:top w:w="113" w:type="dxa"/>
              <w:bottom w:w="113" w:type="dxa"/>
            </w:tcMar>
            <w:vAlign w:val="center"/>
            <w:hideMark/>
          </w:tcPr>
          <w:p w:rsidR="00CD1430" w:rsidRPr="00A32AF4" w:rsidRDefault="00CD1430" w:rsidP="00DC0553">
            <w:pPr>
              <w:jc w:val="center"/>
              <w:rPr>
                <w:b/>
                <w:bCs/>
                <w:sz w:val="18"/>
                <w:szCs w:val="18"/>
              </w:rPr>
            </w:pPr>
            <w:r w:rsidRPr="00A32AF4">
              <w:rPr>
                <w:rFonts w:eastAsia="SimSun"/>
                <w:b/>
                <w:bCs/>
                <w:sz w:val="18"/>
              </w:rPr>
              <w:t>Objectifs visés</w:t>
            </w:r>
          </w:p>
        </w:tc>
      </w:tr>
      <w:tr w:rsidR="0038294E" w:rsidRPr="00A32AF4" w:rsidTr="00FD3E7B">
        <w:trPr>
          <w:cantSplit/>
        </w:trPr>
        <w:tc>
          <w:tcPr>
            <w:tcW w:w="2200" w:type="dxa"/>
            <w:tcBorders>
              <w:top w:val="single" w:sz="4" w:space="0" w:color="auto"/>
            </w:tcBorders>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 xml:space="preserve">I.2 </w:t>
            </w:r>
            <w:r w:rsidR="00FD3E7B" w:rsidRPr="00A32AF4">
              <w:rPr>
                <w:rFonts w:cs="Arial"/>
                <w:sz w:val="16"/>
                <w:szCs w:val="16"/>
              </w:rPr>
              <w:t>Cadres législatifs, réglementaires et politiques de propriété intellectuelle adaptés et équilibrés</w:t>
            </w:r>
          </w:p>
        </w:tc>
        <w:tc>
          <w:tcPr>
            <w:tcW w:w="2420" w:type="dxa"/>
            <w:tcBorders>
              <w:top w:val="single" w:sz="4" w:space="0" w:color="auto"/>
            </w:tcBorders>
            <w:shd w:val="clear" w:color="000000" w:fill="FFFFFF"/>
            <w:tcMar>
              <w:top w:w="113" w:type="dxa"/>
              <w:bottom w:w="113" w:type="dxa"/>
            </w:tcMar>
            <w:hideMark/>
          </w:tcPr>
          <w:p w:rsidR="00F93B76" w:rsidRPr="00A32AF4" w:rsidRDefault="00CD1430" w:rsidP="00DC0553">
            <w:pPr>
              <w:rPr>
                <w:sz w:val="16"/>
                <w:szCs w:val="16"/>
              </w:rPr>
            </w:pPr>
            <w:r w:rsidRPr="00A32AF4">
              <w:rPr>
                <w:sz w:val="16"/>
                <w:szCs w:val="16"/>
              </w:rPr>
              <w:t>Nombre de pays en transition ayant actualisé leurs lois</w:t>
            </w:r>
            <w:r w:rsidR="00834E1C" w:rsidRPr="00A32AF4">
              <w:rPr>
                <w:sz w:val="16"/>
                <w:szCs w:val="16"/>
              </w:rPr>
              <w:t xml:space="preserve"> et réglementations</w:t>
            </w:r>
          </w:p>
          <w:p w:rsidR="00F93B76" w:rsidRPr="00A32AF4" w:rsidRDefault="00F93B76" w:rsidP="00DC0553">
            <w:pPr>
              <w:rPr>
                <w:sz w:val="16"/>
                <w:szCs w:val="16"/>
              </w:rPr>
            </w:pPr>
          </w:p>
          <w:p w:rsidR="00CD1430" w:rsidRPr="00A32AF4" w:rsidRDefault="00CD1430" w:rsidP="00DC0553">
            <w:pPr>
              <w:rPr>
                <w:sz w:val="16"/>
                <w:szCs w:val="16"/>
              </w:rPr>
            </w:pPr>
            <w:r w:rsidRPr="00A32AF4">
              <w:rPr>
                <w:sz w:val="16"/>
                <w:szCs w:val="16"/>
              </w:rPr>
              <w:t>Nombre de ratifications de traités administrés par l</w:t>
            </w:r>
            <w:r w:rsidR="00E2055A" w:rsidRPr="00A32AF4">
              <w:rPr>
                <w:sz w:val="16"/>
                <w:szCs w:val="16"/>
              </w:rPr>
              <w:t>’</w:t>
            </w:r>
            <w:r w:rsidRPr="00A32AF4">
              <w:rPr>
                <w:sz w:val="16"/>
                <w:szCs w:val="16"/>
              </w:rPr>
              <w:t xml:space="preserve">OMPI </w:t>
            </w:r>
          </w:p>
        </w:tc>
        <w:tc>
          <w:tcPr>
            <w:tcW w:w="2325" w:type="dxa"/>
            <w:tcBorders>
              <w:top w:val="single" w:sz="4" w:space="0" w:color="auto"/>
            </w:tcBorders>
            <w:shd w:val="clear" w:color="000000" w:fill="FFFFFF"/>
            <w:tcMar>
              <w:top w:w="113" w:type="dxa"/>
              <w:bottom w:w="113" w:type="dxa"/>
            </w:tcMar>
            <w:hideMark/>
          </w:tcPr>
          <w:p w:rsidR="00F93B76" w:rsidRPr="00A32AF4" w:rsidRDefault="00CD1430" w:rsidP="00DC0553">
            <w:pPr>
              <w:rPr>
                <w:sz w:val="16"/>
                <w:szCs w:val="16"/>
              </w:rPr>
            </w:pPr>
            <w:r w:rsidRPr="00A32AF4">
              <w:rPr>
                <w:sz w:val="16"/>
                <w:szCs w:val="16"/>
              </w:rPr>
              <w:t>6 pays (2014)</w:t>
            </w:r>
          </w:p>
          <w:p w:rsidR="00F93B76" w:rsidRPr="00A32AF4" w:rsidRDefault="00F93B76" w:rsidP="00DC0553">
            <w:pPr>
              <w:rPr>
                <w:sz w:val="16"/>
                <w:szCs w:val="16"/>
              </w:rPr>
            </w:pPr>
          </w:p>
          <w:p w:rsidR="00F93B76" w:rsidRPr="00A32AF4" w:rsidRDefault="00F93B76" w:rsidP="00DC0553">
            <w:pPr>
              <w:rPr>
                <w:sz w:val="16"/>
                <w:szCs w:val="16"/>
              </w:rPr>
            </w:pPr>
          </w:p>
          <w:p w:rsidR="00F93B76" w:rsidRPr="00A32AF4" w:rsidRDefault="00F93B76" w:rsidP="00DC0553">
            <w:pPr>
              <w:rPr>
                <w:sz w:val="16"/>
                <w:szCs w:val="16"/>
              </w:rPr>
            </w:pPr>
          </w:p>
          <w:p w:rsidR="00AA596D" w:rsidRPr="00A32AF4" w:rsidRDefault="00AA596D" w:rsidP="00DC0553">
            <w:pPr>
              <w:rPr>
                <w:sz w:val="16"/>
                <w:szCs w:val="16"/>
              </w:rPr>
            </w:pPr>
            <w:r w:rsidRPr="00A32AF4">
              <w:rPr>
                <w:sz w:val="16"/>
                <w:szCs w:val="16"/>
              </w:rPr>
              <w:t>s.o.</w:t>
            </w:r>
          </w:p>
        </w:tc>
        <w:tc>
          <w:tcPr>
            <w:tcW w:w="2160" w:type="dxa"/>
            <w:tcBorders>
              <w:top w:val="single" w:sz="4" w:space="0" w:color="auto"/>
            </w:tcBorders>
            <w:shd w:val="clear" w:color="000000" w:fill="FFFFFF"/>
            <w:tcMar>
              <w:top w:w="113" w:type="dxa"/>
              <w:bottom w:w="113" w:type="dxa"/>
            </w:tcMar>
            <w:hideMark/>
          </w:tcPr>
          <w:p w:rsidR="00F93B76" w:rsidRPr="00A32AF4" w:rsidRDefault="00CD1430" w:rsidP="00DC0553">
            <w:pPr>
              <w:rPr>
                <w:sz w:val="16"/>
                <w:szCs w:val="16"/>
              </w:rPr>
            </w:pPr>
            <w:r w:rsidRPr="00A32AF4">
              <w:rPr>
                <w:sz w:val="16"/>
                <w:szCs w:val="16"/>
              </w:rPr>
              <w:t>6 pays supplémentaires</w:t>
            </w:r>
          </w:p>
          <w:p w:rsidR="00F93B76" w:rsidRPr="00A32AF4" w:rsidRDefault="00F93B76" w:rsidP="00DC0553">
            <w:pPr>
              <w:rPr>
                <w:sz w:val="16"/>
                <w:szCs w:val="16"/>
              </w:rPr>
            </w:pPr>
          </w:p>
          <w:p w:rsidR="00F93B76" w:rsidRPr="00A32AF4" w:rsidRDefault="00F93B76" w:rsidP="00DC0553">
            <w:pPr>
              <w:rPr>
                <w:sz w:val="16"/>
                <w:szCs w:val="16"/>
              </w:rPr>
            </w:pPr>
          </w:p>
          <w:p w:rsidR="00F93B76" w:rsidRPr="00A32AF4" w:rsidRDefault="00F93B76" w:rsidP="00DC0553">
            <w:pPr>
              <w:rPr>
                <w:sz w:val="16"/>
                <w:szCs w:val="16"/>
              </w:rPr>
            </w:pPr>
          </w:p>
          <w:p w:rsidR="00AA596D" w:rsidRPr="00A32AF4" w:rsidRDefault="00AA596D" w:rsidP="00DC0553">
            <w:pPr>
              <w:rPr>
                <w:sz w:val="16"/>
                <w:szCs w:val="16"/>
              </w:rPr>
            </w:pPr>
            <w:r w:rsidRPr="00A32AF4">
              <w:rPr>
                <w:sz w:val="16"/>
                <w:szCs w:val="16"/>
              </w:rPr>
              <w:t>4 pays supplémentaires</w:t>
            </w:r>
          </w:p>
        </w:tc>
      </w:tr>
      <w:tr w:rsidR="0038294E" w:rsidRPr="00A32AF4" w:rsidTr="00FD3E7B">
        <w:trPr>
          <w:cantSplit/>
        </w:trPr>
        <w:tc>
          <w:tcPr>
            <w:tcW w:w="2200" w:type="dxa"/>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 xml:space="preserve">II.1 </w:t>
            </w:r>
            <w:r w:rsidR="00FD3E7B" w:rsidRPr="00A32AF4">
              <w:rPr>
                <w:rFonts w:cs="Arial"/>
                <w:sz w:val="16"/>
                <w:szCs w:val="16"/>
              </w:rPr>
              <w:t>Utilisation élargie et plus efficace du système du PCT pour le dépôt des demandes internationales de brevet</w:t>
            </w:r>
          </w:p>
        </w:tc>
        <w:tc>
          <w:tcPr>
            <w:tcW w:w="2420" w:type="dxa"/>
            <w:shd w:val="clear" w:color="000000" w:fill="FFFFFF"/>
            <w:tcMar>
              <w:top w:w="113" w:type="dxa"/>
              <w:bottom w:w="113" w:type="dxa"/>
            </w:tcMar>
            <w:hideMark/>
          </w:tcPr>
          <w:p w:rsidR="00F93B76" w:rsidRPr="00A32AF4" w:rsidRDefault="00CD1430" w:rsidP="00DC0553">
            <w:pPr>
              <w:rPr>
                <w:sz w:val="16"/>
                <w:szCs w:val="16"/>
              </w:rPr>
            </w:pPr>
            <w:r w:rsidRPr="00A32AF4">
              <w:rPr>
                <w:sz w:val="16"/>
                <w:szCs w:val="16"/>
              </w:rPr>
              <w:t>Nombre de demandes selon le PCT originaires de pays en transition et de pays développés</w:t>
            </w:r>
          </w:p>
          <w:p w:rsidR="00F93B76" w:rsidRPr="00A32AF4" w:rsidRDefault="00F93B76" w:rsidP="00DC0553">
            <w:pPr>
              <w:rPr>
                <w:sz w:val="16"/>
                <w:szCs w:val="16"/>
              </w:rPr>
            </w:pPr>
          </w:p>
          <w:p w:rsidR="00CD1430" w:rsidRPr="00A32AF4" w:rsidRDefault="002133B3" w:rsidP="00DC0553">
            <w:pPr>
              <w:rPr>
                <w:sz w:val="16"/>
                <w:szCs w:val="16"/>
              </w:rPr>
            </w:pPr>
            <w:r w:rsidRPr="00A32AF4">
              <w:rPr>
                <w:sz w:val="16"/>
                <w:szCs w:val="16"/>
              </w:rPr>
              <w:t>Pourcentage</w:t>
            </w:r>
            <w:r w:rsidR="00CD1430" w:rsidRPr="00A32AF4">
              <w:rPr>
                <w:sz w:val="16"/>
                <w:szCs w:val="16"/>
              </w:rPr>
              <w:t xml:space="preserve"> de répondants ayant utilisé plus fréquemment les services de l</w:t>
            </w:r>
            <w:r w:rsidR="00E2055A" w:rsidRPr="00A32AF4">
              <w:rPr>
                <w:sz w:val="16"/>
                <w:szCs w:val="16"/>
              </w:rPr>
              <w:t>’</w:t>
            </w:r>
            <w:r w:rsidR="00CD1430" w:rsidRPr="00A32AF4">
              <w:rPr>
                <w:sz w:val="16"/>
                <w:szCs w:val="16"/>
              </w:rPr>
              <w:t>OMPI dans les six</w:t>
            </w:r>
            <w:r w:rsidR="00FD43E3" w:rsidRPr="00A32AF4">
              <w:rPr>
                <w:sz w:val="16"/>
                <w:szCs w:val="16"/>
              </w:rPr>
              <w:t> </w:t>
            </w:r>
            <w:r w:rsidR="00CD1430" w:rsidRPr="00A32AF4">
              <w:rPr>
                <w:sz w:val="16"/>
                <w:szCs w:val="16"/>
              </w:rPr>
              <w:t>mois suivant leur participation aux Séminaires itinérants consacrés aux services et initiatives de l</w:t>
            </w:r>
            <w:r w:rsidR="00E2055A" w:rsidRPr="00A32AF4">
              <w:rPr>
                <w:sz w:val="16"/>
                <w:szCs w:val="16"/>
              </w:rPr>
              <w:t>’</w:t>
            </w:r>
            <w:r w:rsidR="00CD1430" w:rsidRPr="00A32AF4">
              <w:rPr>
                <w:sz w:val="16"/>
                <w:szCs w:val="16"/>
              </w:rPr>
              <w:t xml:space="preserve">OMPI </w:t>
            </w:r>
          </w:p>
        </w:tc>
        <w:tc>
          <w:tcPr>
            <w:tcW w:w="2325" w:type="dxa"/>
            <w:shd w:val="clear" w:color="000000" w:fill="FFFFFF"/>
            <w:tcMar>
              <w:top w:w="113" w:type="dxa"/>
              <w:bottom w:w="113" w:type="dxa"/>
            </w:tcMar>
            <w:hideMark/>
          </w:tcPr>
          <w:p w:rsidR="00F93B76" w:rsidRPr="00A32AF4" w:rsidRDefault="00CD1430" w:rsidP="00DC0553">
            <w:pPr>
              <w:rPr>
                <w:sz w:val="16"/>
                <w:szCs w:val="16"/>
                <w:lang w:bidi="th-TH"/>
              </w:rPr>
            </w:pPr>
            <w:r w:rsidRPr="00A32AF4">
              <w:rPr>
                <w:sz w:val="16"/>
                <w:szCs w:val="16"/>
                <w:lang w:bidi="th-TH"/>
              </w:rPr>
              <w:t>170 317 (2014) :</w:t>
            </w:r>
          </w:p>
          <w:p w:rsidR="00F93B76" w:rsidRPr="00A32AF4" w:rsidRDefault="00F93B76" w:rsidP="00DC0553">
            <w:pPr>
              <w:rPr>
                <w:sz w:val="16"/>
                <w:szCs w:val="16"/>
                <w:lang w:bidi="th-TH"/>
              </w:rPr>
            </w:pPr>
          </w:p>
          <w:p w:rsidR="00F93B76" w:rsidRPr="00A32AF4" w:rsidRDefault="00F93B76" w:rsidP="00DC0553">
            <w:pPr>
              <w:rPr>
                <w:sz w:val="16"/>
                <w:szCs w:val="16"/>
                <w:lang w:bidi="th-TH"/>
              </w:rPr>
            </w:pPr>
          </w:p>
          <w:p w:rsidR="00F93B76" w:rsidRPr="00A32AF4" w:rsidRDefault="00F93B76" w:rsidP="00DC0553">
            <w:pPr>
              <w:rPr>
                <w:sz w:val="16"/>
                <w:szCs w:val="16"/>
                <w:lang w:bidi="th-TH"/>
              </w:rPr>
            </w:pPr>
          </w:p>
          <w:p w:rsidR="00F93B76" w:rsidRPr="00A32AF4" w:rsidRDefault="00F93B76" w:rsidP="00DC0553">
            <w:pPr>
              <w:rPr>
                <w:sz w:val="16"/>
                <w:szCs w:val="16"/>
                <w:lang w:bidi="th-TH"/>
              </w:rPr>
            </w:pPr>
          </w:p>
          <w:p w:rsidR="00CD1430" w:rsidRPr="00A32AF4" w:rsidRDefault="002133B3" w:rsidP="00DC0553">
            <w:pPr>
              <w:rPr>
                <w:sz w:val="16"/>
                <w:szCs w:val="16"/>
              </w:rPr>
            </w:pPr>
            <w:r w:rsidRPr="00A32AF4">
              <w:rPr>
                <w:sz w:val="16"/>
                <w:szCs w:val="16"/>
                <w:lang w:bidi="th-TH"/>
              </w:rPr>
              <w:t>18%</w:t>
            </w:r>
          </w:p>
        </w:tc>
        <w:tc>
          <w:tcPr>
            <w:tcW w:w="2160" w:type="dxa"/>
            <w:shd w:val="clear" w:color="000000" w:fill="FFFFFF"/>
            <w:tcMar>
              <w:top w:w="113" w:type="dxa"/>
              <w:bottom w:w="113" w:type="dxa"/>
            </w:tcMar>
            <w:hideMark/>
          </w:tcPr>
          <w:p w:rsidR="00F93B76" w:rsidRPr="00A32AF4" w:rsidRDefault="00CD1430" w:rsidP="00DC0553">
            <w:pPr>
              <w:rPr>
                <w:sz w:val="16"/>
                <w:szCs w:val="16"/>
              </w:rPr>
            </w:pPr>
            <w:r w:rsidRPr="00A32AF4">
              <w:rPr>
                <w:sz w:val="16"/>
                <w:szCs w:val="16"/>
              </w:rPr>
              <w:t>+1,5%</w:t>
            </w:r>
            <w:r w:rsidR="00FE0A78" w:rsidRPr="00A32AF4">
              <w:rPr>
                <w:sz w:val="16"/>
                <w:szCs w:val="16"/>
              </w:rPr>
              <w:t xml:space="preserve"> (par an)</w:t>
            </w:r>
          </w:p>
          <w:p w:rsidR="00F93B76" w:rsidRPr="00A32AF4" w:rsidRDefault="00F93B76" w:rsidP="00DC0553">
            <w:pPr>
              <w:rPr>
                <w:sz w:val="16"/>
                <w:szCs w:val="16"/>
              </w:rPr>
            </w:pPr>
          </w:p>
          <w:p w:rsidR="00F93B76" w:rsidRPr="00A32AF4" w:rsidRDefault="00F93B76" w:rsidP="00DC0553">
            <w:pPr>
              <w:rPr>
                <w:sz w:val="16"/>
                <w:szCs w:val="16"/>
              </w:rPr>
            </w:pPr>
          </w:p>
          <w:p w:rsidR="00F93B76" w:rsidRPr="00A32AF4" w:rsidRDefault="00F93B76" w:rsidP="00DC0553">
            <w:pPr>
              <w:rPr>
                <w:sz w:val="16"/>
                <w:szCs w:val="16"/>
              </w:rPr>
            </w:pPr>
          </w:p>
          <w:p w:rsidR="00F93B76" w:rsidRPr="00A32AF4" w:rsidRDefault="00F93B76" w:rsidP="00DC0553">
            <w:pPr>
              <w:rPr>
                <w:sz w:val="16"/>
                <w:szCs w:val="16"/>
              </w:rPr>
            </w:pPr>
          </w:p>
          <w:p w:rsidR="00CD1430" w:rsidRPr="00A32AF4" w:rsidRDefault="002133B3" w:rsidP="00DC0553">
            <w:pPr>
              <w:rPr>
                <w:sz w:val="16"/>
                <w:szCs w:val="16"/>
              </w:rPr>
            </w:pPr>
            <w:r w:rsidRPr="00A32AF4">
              <w:rPr>
                <w:sz w:val="16"/>
                <w:szCs w:val="16"/>
              </w:rPr>
              <w:t xml:space="preserve">20% </w:t>
            </w:r>
            <w:r w:rsidR="00CD1430" w:rsidRPr="00A32AF4">
              <w:rPr>
                <w:sz w:val="16"/>
                <w:szCs w:val="16"/>
              </w:rPr>
              <w:t>de répondants ayant utilisé plus fréquemment les services de l</w:t>
            </w:r>
            <w:r w:rsidR="00E2055A" w:rsidRPr="00A32AF4">
              <w:rPr>
                <w:sz w:val="16"/>
                <w:szCs w:val="16"/>
              </w:rPr>
              <w:t>’</w:t>
            </w:r>
            <w:r w:rsidR="00CD1430" w:rsidRPr="00A32AF4">
              <w:rPr>
                <w:sz w:val="16"/>
                <w:szCs w:val="16"/>
              </w:rPr>
              <w:t>OMPI</w:t>
            </w:r>
          </w:p>
        </w:tc>
      </w:tr>
      <w:tr w:rsidR="0038294E" w:rsidRPr="00A32AF4" w:rsidTr="00FD3E7B">
        <w:trPr>
          <w:cantSplit/>
        </w:trPr>
        <w:tc>
          <w:tcPr>
            <w:tcW w:w="2200" w:type="dxa"/>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II.4</w:t>
            </w:r>
            <w:r w:rsidR="00FD3E7B" w:rsidRPr="00A32AF4">
              <w:rPr>
                <w:sz w:val="16"/>
                <w:szCs w:val="16"/>
              </w:rPr>
              <w:t xml:space="preserve"> </w:t>
            </w:r>
            <w:r w:rsidR="00FD3E7B" w:rsidRPr="00A32AF4">
              <w:rPr>
                <w:rFonts w:cs="Arial"/>
                <w:sz w:val="16"/>
                <w:szCs w:val="16"/>
              </w:rPr>
              <w:t xml:space="preserve">Utilisation élargie et plus efficace du système de </w:t>
            </w:r>
            <w:r w:rsidR="00E2055A" w:rsidRPr="00A32AF4">
              <w:rPr>
                <w:rFonts w:cs="Arial"/>
                <w:sz w:val="16"/>
                <w:szCs w:val="16"/>
              </w:rPr>
              <w:t>La Haye</w:t>
            </w:r>
            <w:r w:rsidR="00FD3E7B" w:rsidRPr="00A32AF4">
              <w:rPr>
                <w:rFonts w:cs="Arial"/>
                <w:sz w:val="16"/>
                <w:szCs w:val="16"/>
              </w:rPr>
              <w:t>, notamment par les pays en développement et les PMA</w:t>
            </w:r>
          </w:p>
        </w:tc>
        <w:tc>
          <w:tcPr>
            <w:tcW w:w="2420" w:type="dxa"/>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 xml:space="preserve">Nombre de demandes déposées selon le système de </w:t>
            </w:r>
            <w:r w:rsidR="00E2055A" w:rsidRPr="00A32AF4">
              <w:rPr>
                <w:sz w:val="16"/>
                <w:szCs w:val="16"/>
              </w:rPr>
              <w:t>La Haye</w:t>
            </w:r>
            <w:r w:rsidRPr="00A32AF4">
              <w:rPr>
                <w:sz w:val="16"/>
                <w:szCs w:val="16"/>
              </w:rPr>
              <w:t xml:space="preserve"> émanant de pays en transition et de pays développés </w:t>
            </w:r>
          </w:p>
        </w:tc>
        <w:tc>
          <w:tcPr>
            <w:tcW w:w="2325" w:type="dxa"/>
            <w:shd w:val="clear" w:color="000000" w:fill="FFFFFF"/>
            <w:tcMar>
              <w:top w:w="113" w:type="dxa"/>
              <w:bottom w:w="113" w:type="dxa"/>
            </w:tcMar>
            <w:hideMark/>
          </w:tcPr>
          <w:p w:rsidR="00CD1430" w:rsidRPr="00A32AF4" w:rsidRDefault="00FB1F61" w:rsidP="00DC0553">
            <w:pPr>
              <w:rPr>
                <w:sz w:val="16"/>
                <w:szCs w:val="16"/>
              </w:rPr>
            </w:pPr>
            <w:r w:rsidRPr="00A32AF4">
              <w:rPr>
                <w:sz w:val="16"/>
                <w:szCs w:val="16"/>
                <w:lang w:bidi="th-TH"/>
              </w:rPr>
              <w:t>2</w:t>
            </w:r>
            <w:r w:rsidR="002133B3" w:rsidRPr="00A32AF4">
              <w:rPr>
                <w:sz w:val="16"/>
                <w:szCs w:val="16"/>
                <w:lang w:bidi="th-TH"/>
              </w:rPr>
              <w:t>776 (2014)</w:t>
            </w:r>
          </w:p>
        </w:tc>
        <w:tc>
          <w:tcPr>
            <w:tcW w:w="2160" w:type="dxa"/>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+1,5%</w:t>
            </w:r>
            <w:r w:rsidR="00FE0A78" w:rsidRPr="00A32AF4">
              <w:rPr>
                <w:sz w:val="16"/>
                <w:szCs w:val="16"/>
              </w:rPr>
              <w:t xml:space="preserve"> (par an)</w:t>
            </w:r>
          </w:p>
        </w:tc>
      </w:tr>
      <w:tr w:rsidR="0038294E" w:rsidRPr="00A32AF4" w:rsidTr="00FD3E7B">
        <w:trPr>
          <w:cantSplit/>
        </w:trPr>
        <w:tc>
          <w:tcPr>
            <w:tcW w:w="2200" w:type="dxa"/>
            <w:shd w:val="clear" w:color="000000" w:fill="FFFFFF"/>
            <w:tcMar>
              <w:top w:w="113" w:type="dxa"/>
              <w:bottom w:w="113" w:type="dxa"/>
            </w:tcMar>
            <w:hideMark/>
          </w:tcPr>
          <w:p w:rsidR="00CD1430" w:rsidRPr="00A32AF4" w:rsidRDefault="00CD1430" w:rsidP="00247B4A">
            <w:pPr>
              <w:rPr>
                <w:sz w:val="16"/>
                <w:szCs w:val="16"/>
              </w:rPr>
            </w:pPr>
            <w:r w:rsidRPr="00A32AF4">
              <w:rPr>
                <w:sz w:val="16"/>
                <w:szCs w:val="16"/>
              </w:rPr>
              <w:t xml:space="preserve">II.6 </w:t>
            </w:r>
            <w:r w:rsidR="00FD3E7B" w:rsidRPr="00A32AF4">
              <w:rPr>
                <w:rFonts w:cs="Arial"/>
                <w:sz w:val="16"/>
                <w:szCs w:val="16"/>
              </w:rPr>
              <w:t>Utilisation élargie et plus efficace d</w:t>
            </w:r>
            <w:r w:rsidR="00247B4A" w:rsidRPr="00A32AF4">
              <w:rPr>
                <w:rFonts w:cs="Arial"/>
                <w:sz w:val="16"/>
                <w:szCs w:val="16"/>
              </w:rPr>
              <w:t>u système</w:t>
            </w:r>
            <w:r w:rsidR="00FD3E7B" w:rsidRPr="00A32AF4">
              <w:rPr>
                <w:rFonts w:cs="Arial"/>
                <w:sz w:val="16"/>
                <w:szCs w:val="16"/>
              </w:rPr>
              <w:t xml:space="preserve"> de Madrid, notamment par les pays en développement et les PMA</w:t>
            </w:r>
          </w:p>
        </w:tc>
        <w:tc>
          <w:tcPr>
            <w:tcW w:w="2420" w:type="dxa"/>
            <w:shd w:val="clear" w:color="000000" w:fill="FFFFFF"/>
            <w:tcMar>
              <w:top w:w="113" w:type="dxa"/>
              <w:bottom w:w="113" w:type="dxa"/>
            </w:tcMar>
            <w:hideMark/>
          </w:tcPr>
          <w:p w:rsidR="00CD1430" w:rsidRPr="00A32AF4" w:rsidRDefault="00CD1430" w:rsidP="00247B4A">
            <w:pPr>
              <w:rPr>
                <w:sz w:val="16"/>
                <w:szCs w:val="16"/>
              </w:rPr>
            </w:pPr>
            <w:r w:rsidRPr="00A32AF4">
              <w:rPr>
                <w:sz w:val="16"/>
                <w:szCs w:val="16"/>
              </w:rPr>
              <w:t>Nombre de demandes déposées selon le système de Madrid émanant de pays en transition et de pays développés</w:t>
            </w:r>
          </w:p>
        </w:tc>
        <w:tc>
          <w:tcPr>
            <w:tcW w:w="2325" w:type="dxa"/>
            <w:shd w:val="clear" w:color="000000" w:fill="FFFFFF"/>
            <w:tcMar>
              <w:top w:w="113" w:type="dxa"/>
              <w:bottom w:w="113" w:type="dxa"/>
            </w:tcMar>
            <w:hideMark/>
          </w:tcPr>
          <w:p w:rsidR="002133B3" w:rsidRPr="00A32AF4" w:rsidRDefault="002133B3" w:rsidP="00247B4A">
            <w:pPr>
              <w:rPr>
                <w:sz w:val="16"/>
                <w:szCs w:val="16"/>
              </w:rPr>
            </w:pPr>
            <w:r w:rsidRPr="00A32AF4">
              <w:rPr>
                <w:sz w:val="16"/>
                <w:szCs w:val="16"/>
                <w:lang w:bidi="th-TH"/>
              </w:rPr>
              <w:t>43 748 (</w:t>
            </w:r>
            <w:r w:rsidR="00655BAF" w:rsidRPr="00A32AF4">
              <w:rPr>
                <w:sz w:val="16"/>
                <w:szCs w:val="16"/>
                <w:lang w:bidi="th-TH"/>
              </w:rPr>
              <w:t xml:space="preserve">estimation </w:t>
            </w:r>
            <w:r w:rsidRPr="00A32AF4">
              <w:rPr>
                <w:sz w:val="16"/>
                <w:szCs w:val="16"/>
                <w:lang w:bidi="th-TH"/>
              </w:rPr>
              <w:t>2014)</w:t>
            </w:r>
          </w:p>
        </w:tc>
        <w:tc>
          <w:tcPr>
            <w:tcW w:w="2160" w:type="dxa"/>
            <w:shd w:val="clear" w:color="000000" w:fill="FFFFFF"/>
            <w:tcMar>
              <w:top w:w="113" w:type="dxa"/>
              <w:bottom w:w="113" w:type="dxa"/>
            </w:tcMar>
            <w:hideMark/>
          </w:tcPr>
          <w:p w:rsidR="002133B3" w:rsidRPr="00A32AF4" w:rsidRDefault="002133B3" w:rsidP="00247B4A">
            <w:pPr>
              <w:rPr>
                <w:sz w:val="16"/>
                <w:szCs w:val="16"/>
              </w:rPr>
            </w:pPr>
            <w:r w:rsidRPr="00A32AF4">
              <w:rPr>
                <w:sz w:val="16"/>
                <w:szCs w:val="16"/>
              </w:rPr>
              <w:t>+2%</w:t>
            </w:r>
            <w:r w:rsidR="00FE0A78" w:rsidRPr="00A32AF4">
              <w:rPr>
                <w:sz w:val="16"/>
                <w:szCs w:val="16"/>
              </w:rPr>
              <w:t xml:space="preserve"> (par an)</w:t>
            </w:r>
          </w:p>
        </w:tc>
      </w:tr>
      <w:tr w:rsidR="0038294E" w:rsidRPr="00A32AF4" w:rsidTr="00FD3E7B">
        <w:trPr>
          <w:cantSplit/>
        </w:trPr>
        <w:tc>
          <w:tcPr>
            <w:tcW w:w="2200" w:type="dxa"/>
            <w:shd w:val="clear" w:color="000000" w:fill="FFFFFF"/>
            <w:tcMar>
              <w:top w:w="113" w:type="dxa"/>
              <w:bottom w:w="113" w:type="dxa"/>
            </w:tcMar>
            <w:hideMark/>
          </w:tcPr>
          <w:p w:rsidR="00CD1430" w:rsidRPr="00A32AF4" w:rsidRDefault="00FD3E7B" w:rsidP="00DC0553">
            <w:pPr>
              <w:rPr>
                <w:sz w:val="16"/>
                <w:szCs w:val="16"/>
              </w:rPr>
            </w:pPr>
            <w:r w:rsidRPr="00A32AF4">
              <w:rPr>
                <w:sz w:val="16"/>
                <w:szCs w:val="16"/>
              </w:rPr>
              <w:t>II.8</w:t>
            </w:r>
            <w:r w:rsidR="00CD1430" w:rsidRPr="00A32AF4">
              <w:rPr>
                <w:sz w:val="16"/>
                <w:szCs w:val="16"/>
              </w:rPr>
              <w:t xml:space="preserve"> </w:t>
            </w:r>
            <w:r w:rsidRPr="00A32AF4">
              <w:rPr>
                <w:rFonts w:cs="Arial"/>
                <w:sz w:val="16"/>
                <w:szCs w:val="16"/>
              </w:rPr>
              <w:t>De plus en plus de litiges internationaux ou nationaux de propriété intellectuelle sont évités ou réglés par la médiation, l</w:t>
            </w:r>
            <w:r w:rsidR="00E2055A" w:rsidRPr="00A32AF4">
              <w:rPr>
                <w:rFonts w:cs="Arial"/>
                <w:sz w:val="16"/>
                <w:szCs w:val="16"/>
              </w:rPr>
              <w:t>’</w:t>
            </w:r>
            <w:r w:rsidRPr="00A32AF4">
              <w:rPr>
                <w:rFonts w:cs="Arial"/>
                <w:sz w:val="16"/>
                <w:szCs w:val="16"/>
              </w:rPr>
              <w:t>arbitrage et les autres modes extrajudiciaires de règlement des litiges de l</w:t>
            </w:r>
            <w:r w:rsidR="00E2055A" w:rsidRPr="00A32AF4">
              <w:rPr>
                <w:rFonts w:cs="Arial"/>
                <w:sz w:val="16"/>
                <w:szCs w:val="16"/>
              </w:rPr>
              <w:t>’</w:t>
            </w:r>
            <w:r w:rsidRPr="00A32AF4">
              <w:rPr>
                <w:rFonts w:cs="Arial"/>
                <w:sz w:val="16"/>
                <w:szCs w:val="16"/>
              </w:rPr>
              <w:t>OMPI</w:t>
            </w:r>
          </w:p>
        </w:tc>
        <w:tc>
          <w:tcPr>
            <w:tcW w:w="2420" w:type="dxa"/>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Nombre de litiges en matière de propriété intellectuelle originaires de pays en transition ou de pays développés ayant été prévenus/réglés grâce à la médiation, à l</w:t>
            </w:r>
            <w:r w:rsidR="00E2055A" w:rsidRPr="00A32AF4">
              <w:rPr>
                <w:sz w:val="16"/>
                <w:szCs w:val="16"/>
              </w:rPr>
              <w:t>’</w:t>
            </w:r>
            <w:r w:rsidRPr="00A32AF4">
              <w:rPr>
                <w:sz w:val="16"/>
                <w:szCs w:val="16"/>
              </w:rPr>
              <w:t>arbitrage et à d</w:t>
            </w:r>
            <w:r w:rsidR="00E2055A" w:rsidRPr="00A32AF4">
              <w:rPr>
                <w:sz w:val="16"/>
                <w:szCs w:val="16"/>
              </w:rPr>
              <w:t>’</w:t>
            </w:r>
            <w:r w:rsidRPr="00A32AF4">
              <w:rPr>
                <w:sz w:val="16"/>
                <w:szCs w:val="16"/>
              </w:rPr>
              <w:t>autres modes extrajudiciaires de règlement des litiges de l</w:t>
            </w:r>
            <w:r w:rsidR="00E2055A" w:rsidRPr="00A32AF4">
              <w:rPr>
                <w:sz w:val="16"/>
                <w:szCs w:val="16"/>
              </w:rPr>
              <w:t>’</w:t>
            </w:r>
            <w:r w:rsidRPr="00A32AF4">
              <w:rPr>
                <w:sz w:val="16"/>
                <w:szCs w:val="16"/>
              </w:rPr>
              <w:t>OMPI</w:t>
            </w:r>
          </w:p>
        </w:tc>
        <w:tc>
          <w:tcPr>
            <w:tcW w:w="2325" w:type="dxa"/>
            <w:shd w:val="clear" w:color="000000" w:fill="FFFFFF"/>
            <w:tcMar>
              <w:top w:w="113" w:type="dxa"/>
              <w:bottom w:w="113" w:type="dxa"/>
            </w:tcMar>
            <w:hideMark/>
          </w:tcPr>
          <w:p w:rsidR="00E2055A" w:rsidRPr="00A32AF4" w:rsidRDefault="00E8073E" w:rsidP="00DC0553">
            <w:pPr>
              <w:rPr>
                <w:sz w:val="16"/>
                <w:szCs w:val="16"/>
                <w:lang w:bidi="th-TH"/>
              </w:rPr>
            </w:pPr>
            <w:r w:rsidRPr="00A32AF4">
              <w:rPr>
                <w:sz w:val="16"/>
                <w:szCs w:val="16"/>
                <w:lang w:bidi="th-TH"/>
              </w:rPr>
              <w:t>18 </w:t>
            </w:r>
            <w:r w:rsidR="00CD1430" w:rsidRPr="00A32AF4">
              <w:rPr>
                <w:sz w:val="16"/>
                <w:szCs w:val="16"/>
                <w:lang w:bidi="th-TH"/>
              </w:rPr>
              <w:t xml:space="preserve">litiges et </w:t>
            </w:r>
            <w:r w:rsidRPr="00A32AF4">
              <w:rPr>
                <w:sz w:val="16"/>
                <w:szCs w:val="16"/>
                <w:lang w:bidi="th-TH"/>
              </w:rPr>
              <w:t>25 </w:t>
            </w:r>
            <w:r w:rsidR="00CD1430" w:rsidRPr="00A32AF4">
              <w:rPr>
                <w:sz w:val="16"/>
                <w:szCs w:val="16"/>
                <w:lang w:bidi="th-TH"/>
              </w:rPr>
              <w:t>bons offices supplémentaires impliquant des parties originaires de pays en transition et de pays développés (2014)</w:t>
            </w:r>
          </w:p>
          <w:p w:rsidR="00A8585D" w:rsidRPr="00A32AF4" w:rsidRDefault="00A8585D" w:rsidP="00DC0553">
            <w:pPr>
              <w:rPr>
                <w:sz w:val="16"/>
                <w:szCs w:val="16"/>
                <w:lang w:bidi="th-TH"/>
              </w:rPr>
            </w:pPr>
          </w:p>
          <w:p w:rsidR="00A8585D" w:rsidRPr="00A32AF4" w:rsidRDefault="00A8585D">
            <w:pPr>
              <w:rPr>
                <w:sz w:val="16"/>
                <w:szCs w:val="16"/>
                <w:lang w:bidi="th-TH"/>
              </w:rPr>
            </w:pPr>
            <w:r w:rsidRPr="00A32AF4">
              <w:rPr>
                <w:rFonts w:cs="Arial"/>
                <w:sz w:val="16"/>
                <w:szCs w:val="16"/>
                <w:lang w:bidi="th-TH"/>
              </w:rPr>
              <w:t xml:space="preserve">377 </w:t>
            </w:r>
            <w:r w:rsidRPr="00A32AF4">
              <w:rPr>
                <w:sz w:val="16"/>
                <w:szCs w:val="16"/>
                <w:lang w:bidi="th-TH"/>
              </w:rPr>
              <w:t xml:space="preserve">litiges et bons offices </w:t>
            </w:r>
            <w:r w:rsidRPr="00A32AF4">
              <w:rPr>
                <w:rFonts w:cs="Arial"/>
                <w:sz w:val="16"/>
                <w:szCs w:val="16"/>
                <w:lang w:bidi="th-TH"/>
              </w:rPr>
              <w:t>(</w:t>
            </w:r>
            <w:r w:rsidR="00245EA7" w:rsidRPr="00A32AF4">
              <w:rPr>
                <w:rFonts w:cs="Arial"/>
                <w:sz w:val="16"/>
                <w:szCs w:val="16"/>
                <w:lang w:bidi="th-TH"/>
              </w:rPr>
              <w:t>cumul</w:t>
            </w:r>
            <w:r w:rsidRPr="00A32AF4">
              <w:rPr>
                <w:rFonts w:cs="Arial"/>
                <w:sz w:val="16"/>
                <w:szCs w:val="16"/>
                <w:lang w:bidi="th-TH"/>
              </w:rPr>
              <w:t>)</w:t>
            </w:r>
          </w:p>
        </w:tc>
        <w:tc>
          <w:tcPr>
            <w:tcW w:w="2160" w:type="dxa"/>
            <w:shd w:val="clear" w:color="000000" w:fill="FFFFFF"/>
            <w:tcMar>
              <w:top w:w="113" w:type="dxa"/>
              <w:bottom w:w="113" w:type="dxa"/>
            </w:tcMar>
            <w:hideMark/>
          </w:tcPr>
          <w:p w:rsidR="00CD1430" w:rsidRPr="00A32AF4" w:rsidRDefault="002133B3" w:rsidP="00DC0553">
            <w:pPr>
              <w:rPr>
                <w:sz w:val="16"/>
                <w:szCs w:val="16"/>
              </w:rPr>
            </w:pPr>
            <w:r w:rsidRPr="00A32AF4">
              <w:rPr>
                <w:sz w:val="16"/>
                <w:szCs w:val="16"/>
                <w:lang w:bidi="th-TH"/>
              </w:rPr>
              <w:t>33 litiges et bons offices supplémentaires impliquant des parties originaires de pays en transition et de pays développés</w:t>
            </w:r>
          </w:p>
        </w:tc>
      </w:tr>
      <w:tr w:rsidR="00247B4A" w:rsidRPr="00A32AF4" w:rsidTr="002C1ED1">
        <w:trPr>
          <w:cantSplit/>
        </w:trPr>
        <w:tc>
          <w:tcPr>
            <w:tcW w:w="2200" w:type="dxa"/>
            <w:shd w:val="clear" w:color="000000" w:fill="FFFFFF"/>
            <w:tcMar>
              <w:top w:w="113" w:type="dxa"/>
              <w:bottom w:w="113" w:type="dxa"/>
            </w:tcMar>
            <w:hideMark/>
          </w:tcPr>
          <w:p w:rsidR="00247B4A" w:rsidRPr="00A32AF4" w:rsidRDefault="00247B4A" w:rsidP="00C51666">
            <w:pPr>
              <w:rPr>
                <w:sz w:val="16"/>
                <w:szCs w:val="16"/>
              </w:rPr>
            </w:pPr>
            <w:r w:rsidRPr="00A32AF4">
              <w:rPr>
                <w:sz w:val="16"/>
                <w:szCs w:val="16"/>
              </w:rPr>
              <w:t>II.</w:t>
            </w:r>
            <w:r w:rsidR="00C51666" w:rsidRPr="00A32AF4">
              <w:rPr>
                <w:sz w:val="16"/>
                <w:szCs w:val="16"/>
              </w:rPr>
              <w:t>10</w:t>
            </w:r>
            <w:r w:rsidRPr="00A32AF4">
              <w:rPr>
                <w:sz w:val="16"/>
                <w:szCs w:val="16"/>
              </w:rPr>
              <w:t xml:space="preserve"> </w:t>
            </w:r>
            <w:r w:rsidRPr="00A32AF4">
              <w:rPr>
                <w:rFonts w:cs="Arial"/>
                <w:sz w:val="16"/>
                <w:szCs w:val="16"/>
              </w:rPr>
              <w:t>Utilisation élargie et plus efficace du système de Lisbonne, notamment par les pays en développement et les PMA</w:t>
            </w:r>
          </w:p>
        </w:tc>
        <w:tc>
          <w:tcPr>
            <w:tcW w:w="2420" w:type="dxa"/>
            <w:shd w:val="clear" w:color="000000" w:fill="FFFFFF"/>
            <w:tcMar>
              <w:top w:w="113" w:type="dxa"/>
              <w:bottom w:w="113" w:type="dxa"/>
            </w:tcMar>
            <w:hideMark/>
          </w:tcPr>
          <w:p w:rsidR="00247B4A" w:rsidRPr="00A32AF4" w:rsidRDefault="00247B4A" w:rsidP="002C1ED1">
            <w:pPr>
              <w:rPr>
                <w:sz w:val="16"/>
                <w:szCs w:val="16"/>
              </w:rPr>
            </w:pPr>
            <w:r w:rsidRPr="00A32AF4">
              <w:rPr>
                <w:sz w:val="16"/>
                <w:szCs w:val="16"/>
              </w:rPr>
              <w:t xml:space="preserve">Nombre d’enregistrements internationaux dans le cadre du système de Lisbonne en vigueur pour les pays en transition et les pays développés </w:t>
            </w:r>
          </w:p>
        </w:tc>
        <w:tc>
          <w:tcPr>
            <w:tcW w:w="2325" w:type="dxa"/>
            <w:shd w:val="clear" w:color="000000" w:fill="FFFFFF"/>
            <w:tcMar>
              <w:top w:w="113" w:type="dxa"/>
              <w:bottom w:w="113" w:type="dxa"/>
            </w:tcMar>
            <w:hideMark/>
          </w:tcPr>
          <w:p w:rsidR="00247B4A" w:rsidRPr="00A32AF4" w:rsidRDefault="00247B4A" w:rsidP="002C1ED1">
            <w:pPr>
              <w:rPr>
                <w:sz w:val="16"/>
                <w:szCs w:val="16"/>
              </w:rPr>
            </w:pPr>
            <w:r w:rsidRPr="00A32AF4">
              <w:rPr>
                <w:rFonts w:cs="Arial"/>
                <w:sz w:val="16"/>
                <w:szCs w:val="16"/>
              </w:rPr>
              <w:t xml:space="preserve">818 </w:t>
            </w:r>
            <w:r w:rsidRPr="00A32AF4">
              <w:rPr>
                <w:sz w:val="16"/>
                <w:szCs w:val="16"/>
              </w:rPr>
              <w:t xml:space="preserve">enregistrements en vigueur </w:t>
            </w:r>
            <w:r w:rsidRPr="00A32AF4">
              <w:rPr>
                <w:rFonts w:cs="Arial"/>
                <w:sz w:val="16"/>
                <w:szCs w:val="16"/>
              </w:rPr>
              <w:t xml:space="preserve">sur 896 </w:t>
            </w:r>
            <w:r w:rsidRPr="00A32AF4">
              <w:rPr>
                <w:sz w:val="16"/>
                <w:szCs w:val="16"/>
              </w:rPr>
              <w:t>(2014)</w:t>
            </w:r>
          </w:p>
        </w:tc>
        <w:tc>
          <w:tcPr>
            <w:tcW w:w="2160" w:type="dxa"/>
            <w:shd w:val="clear" w:color="000000" w:fill="FFFFFF"/>
            <w:tcMar>
              <w:top w:w="113" w:type="dxa"/>
              <w:bottom w:w="113" w:type="dxa"/>
            </w:tcMar>
            <w:hideMark/>
          </w:tcPr>
          <w:p w:rsidR="00247B4A" w:rsidRPr="00A32AF4" w:rsidRDefault="00247B4A" w:rsidP="002C1ED1">
            <w:pPr>
              <w:rPr>
                <w:sz w:val="16"/>
                <w:szCs w:val="16"/>
              </w:rPr>
            </w:pPr>
            <w:r w:rsidRPr="00A32AF4">
              <w:rPr>
                <w:sz w:val="16"/>
                <w:szCs w:val="16"/>
              </w:rPr>
              <w:t>+2% (sur l’exercice biennal)</w:t>
            </w:r>
          </w:p>
        </w:tc>
      </w:tr>
      <w:tr w:rsidR="00247B4A" w:rsidRPr="00A32AF4" w:rsidTr="00FD3E7B">
        <w:trPr>
          <w:cantSplit/>
        </w:trPr>
        <w:tc>
          <w:tcPr>
            <w:tcW w:w="2200" w:type="dxa"/>
            <w:shd w:val="clear" w:color="000000" w:fill="FFFFFF"/>
            <w:tcMar>
              <w:top w:w="113" w:type="dxa"/>
              <w:bottom w:w="113" w:type="dxa"/>
            </w:tcMar>
          </w:tcPr>
          <w:p w:rsidR="00247B4A" w:rsidRPr="00A32AF4" w:rsidRDefault="00247B4A" w:rsidP="00DC0553">
            <w:pPr>
              <w:rPr>
                <w:sz w:val="16"/>
                <w:szCs w:val="16"/>
              </w:rPr>
            </w:pPr>
            <w:r w:rsidRPr="00A32AF4">
              <w:rPr>
                <w:sz w:val="16"/>
                <w:szCs w:val="16"/>
              </w:rPr>
              <w:t xml:space="preserve">III.1 </w:t>
            </w:r>
            <w:r w:rsidRPr="00A32AF4">
              <w:rPr>
                <w:rFonts w:cs="Arial"/>
                <w:sz w:val="16"/>
                <w:szCs w:val="16"/>
              </w:rPr>
              <w:t>Stratégies et plans nationaux en matière d’innovation et de propriété intellectuelle conformes aux objectifs de développement nationaux</w:t>
            </w:r>
          </w:p>
        </w:tc>
        <w:tc>
          <w:tcPr>
            <w:tcW w:w="2420" w:type="dxa"/>
            <w:shd w:val="clear" w:color="000000" w:fill="FFFFFF"/>
            <w:tcMar>
              <w:top w:w="113" w:type="dxa"/>
              <w:bottom w:w="113" w:type="dxa"/>
            </w:tcMar>
          </w:tcPr>
          <w:p w:rsidR="00247B4A" w:rsidRPr="00A32AF4" w:rsidRDefault="00247B4A">
            <w:pPr>
              <w:rPr>
                <w:sz w:val="16"/>
                <w:szCs w:val="16"/>
              </w:rPr>
            </w:pPr>
            <w:r w:rsidRPr="00A32AF4">
              <w:rPr>
                <w:rFonts w:cs="Arial"/>
                <w:color w:val="000000"/>
                <w:sz w:val="16"/>
                <w:szCs w:val="16"/>
              </w:rPr>
              <w:t>Nombre de pays en train de formuler des stratégies nationales de propriété intellectuelle</w:t>
            </w:r>
          </w:p>
        </w:tc>
        <w:tc>
          <w:tcPr>
            <w:tcW w:w="2325" w:type="dxa"/>
            <w:shd w:val="clear" w:color="000000" w:fill="FFFFFF"/>
            <w:tcMar>
              <w:top w:w="113" w:type="dxa"/>
              <w:bottom w:w="113" w:type="dxa"/>
            </w:tcMar>
          </w:tcPr>
          <w:p w:rsidR="00247B4A" w:rsidRPr="00A32AF4" w:rsidRDefault="00247B4A" w:rsidP="004F327D">
            <w:pPr>
              <w:rPr>
                <w:rFonts w:cs="Arial"/>
                <w:color w:val="000000"/>
                <w:sz w:val="16"/>
                <w:szCs w:val="16"/>
              </w:rPr>
            </w:pPr>
            <w:r w:rsidRPr="00A32AF4">
              <w:rPr>
                <w:rFonts w:cs="Arial"/>
                <w:color w:val="000000"/>
                <w:sz w:val="16"/>
                <w:szCs w:val="16"/>
              </w:rPr>
              <w:t xml:space="preserve">4 </w:t>
            </w:r>
            <w:r w:rsidRPr="00A32AF4">
              <w:rPr>
                <w:sz w:val="16"/>
                <w:szCs w:val="16"/>
              </w:rPr>
              <w:t>pays en </w:t>
            </w:r>
            <w:r w:rsidRPr="00A32AF4">
              <w:rPr>
                <w:rFonts w:cs="Arial"/>
                <w:color w:val="000000"/>
                <w:sz w:val="16"/>
                <w:szCs w:val="16"/>
              </w:rPr>
              <w:t>2014</w:t>
            </w:r>
          </w:p>
          <w:p w:rsidR="00247B4A" w:rsidRPr="00A32AF4" w:rsidRDefault="00247B4A" w:rsidP="00DC0553">
            <w:pPr>
              <w:rPr>
                <w:sz w:val="16"/>
                <w:szCs w:val="16"/>
              </w:rPr>
            </w:pPr>
            <w:r w:rsidRPr="00A32AF4">
              <w:rPr>
                <w:rFonts w:cs="Arial"/>
                <w:color w:val="000000"/>
                <w:sz w:val="16"/>
                <w:szCs w:val="16"/>
              </w:rPr>
              <w:t xml:space="preserve">(21 </w:t>
            </w:r>
            <w:r w:rsidRPr="00A32AF4">
              <w:rPr>
                <w:sz w:val="16"/>
                <w:szCs w:val="16"/>
              </w:rPr>
              <w:t>au total</w:t>
            </w:r>
            <w:r w:rsidRPr="00A32AF4">
              <w:rPr>
                <w:rFonts w:cs="Arial"/>
                <w:color w:val="000000"/>
                <w:sz w:val="16"/>
                <w:szCs w:val="16"/>
              </w:rPr>
              <w:t>)</w:t>
            </w:r>
          </w:p>
        </w:tc>
        <w:tc>
          <w:tcPr>
            <w:tcW w:w="2160" w:type="dxa"/>
            <w:shd w:val="clear" w:color="000000" w:fill="FFFFFF"/>
            <w:tcMar>
              <w:top w:w="113" w:type="dxa"/>
              <w:bottom w:w="113" w:type="dxa"/>
            </w:tcMar>
          </w:tcPr>
          <w:p w:rsidR="00247B4A" w:rsidRPr="00A32AF4" w:rsidRDefault="00247B4A" w:rsidP="00DC0553">
            <w:pPr>
              <w:rPr>
                <w:sz w:val="16"/>
                <w:szCs w:val="16"/>
              </w:rPr>
            </w:pPr>
            <w:r w:rsidRPr="00A32AF4">
              <w:rPr>
                <w:rFonts w:cs="Arial"/>
                <w:color w:val="000000"/>
                <w:sz w:val="16"/>
                <w:szCs w:val="16"/>
              </w:rPr>
              <w:t xml:space="preserve">7 </w:t>
            </w:r>
            <w:r w:rsidRPr="00A32AF4">
              <w:rPr>
                <w:sz w:val="16"/>
                <w:szCs w:val="16"/>
              </w:rPr>
              <w:t>pays supplémentaires</w:t>
            </w:r>
          </w:p>
        </w:tc>
      </w:tr>
      <w:tr w:rsidR="00247B4A" w:rsidRPr="00A32AF4" w:rsidTr="00FD3E7B">
        <w:trPr>
          <w:cantSplit/>
        </w:trPr>
        <w:tc>
          <w:tcPr>
            <w:tcW w:w="2200" w:type="dxa"/>
            <w:shd w:val="clear" w:color="000000" w:fill="FFFFFF"/>
            <w:tcMar>
              <w:top w:w="113" w:type="dxa"/>
              <w:bottom w:w="113" w:type="dxa"/>
            </w:tcMar>
            <w:hideMark/>
          </w:tcPr>
          <w:p w:rsidR="00247B4A" w:rsidRPr="00A32AF4" w:rsidRDefault="00247B4A" w:rsidP="00DC0553">
            <w:pPr>
              <w:rPr>
                <w:sz w:val="16"/>
                <w:szCs w:val="16"/>
              </w:rPr>
            </w:pPr>
          </w:p>
        </w:tc>
        <w:tc>
          <w:tcPr>
            <w:tcW w:w="2420" w:type="dxa"/>
            <w:shd w:val="clear" w:color="000000" w:fill="FFFFFF"/>
            <w:tcMar>
              <w:top w:w="113" w:type="dxa"/>
              <w:bottom w:w="113" w:type="dxa"/>
            </w:tcMar>
            <w:hideMark/>
          </w:tcPr>
          <w:p w:rsidR="00247B4A" w:rsidRPr="00A32AF4" w:rsidRDefault="00247B4A" w:rsidP="00DC0553">
            <w:pPr>
              <w:rPr>
                <w:sz w:val="16"/>
                <w:szCs w:val="16"/>
              </w:rPr>
            </w:pPr>
            <w:r w:rsidRPr="00A32AF4">
              <w:rPr>
                <w:sz w:val="16"/>
                <w:szCs w:val="16"/>
              </w:rPr>
              <w:t>Nombre de pays ayant élaboré des stratégies ou des plans nationaux en matière de propriété intellectuelle conformes aux objectifs nationaux de développement</w:t>
            </w:r>
          </w:p>
        </w:tc>
        <w:tc>
          <w:tcPr>
            <w:tcW w:w="2325" w:type="dxa"/>
            <w:shd w:val="clear" w:color="000000" w:fill="FFFFFF"/>
            <w:tcMar>
              <w:top w:w="113" w:type="dxa"/>
              <w:bottom w:w="113" w:type="dxa"/>
            </w:tcMar>
            <w:hideMark/>
          </w:tcPr>
          <w:p w:rsidR="00247B4A" w:rsidRPr="00A32AF4" w:rsidRDefault="00247B4A" w:rsidP="00DC0553">
            <w:pPr>
              <w:rPr>
                <w:sz w:val="16"/>
                <w:szCs w:val="16"/>
              </w:rPr>
            </w:pPr>
            <w:r w:rsidRPr="00A32AF4">
              <w:rPr>
                <w:sz w:val="16"/>
                <w:szCs w:val="16"/>
              </w:rPr>
              <w:t>3 pays en 2014</w:t>
            </w:r>
          </w:p>
          <w:p w:rsidR="00247B4A" w:rsidRPr="00A32AF4" w:rsidRDefault="00247B4A" w:rsidP="00DC0553">
            <w:pPr>
              <w:rPr>
                <w:sz w:val="16"/>
                <w:szCs w:val="16"/>
              </w:rPr>
            </w:pPr>
            <w:r w:rsidRPr="00A32AF4">
              <w:rPr>
                <w:sz w:val="16"/>
                <w:szCs w:val="16"/>
              </w:rPr>
              <w:t xml:space="preserve">(17 au total) </w:t>
            </w:r>
          </w:p>
        </w:tc>
        <w:tc>
          <w:tcPr>
            <w:tcW w:w="2160" w:type="dxa"/>
            <w:shd w:val="clear" w:color="000000" w:fill="FFFFFF"/>
            <w:tcMar>
              <w:top w:w="113" w:type="dxa"/>
              <w:bottom w:w="113" w:type="dxa"/>
            </w:tcMar>
            <w:hideMark/>
          </w:tcPr>
          <w:p w:rsidR="00247B4A" w:rsidRPr="00A32AF4" w:rsidRDefault="00247B4A" w:rsidP="00DC0553">
            <w:pPr>
              <w:rPr>
                <w:sz w:val="16"/>
                <w:szCs w:val="16"/>
              </w:rPr>
            </w:pPr>
            <w:r w:rsidRPr="00A32AF4">
              <w:rPr>
                <w:sz w:val="16"/>
                <w:szCs w:val="16"/>
              </w:rPr>
              <w:t xml:space="preserve">7 pays supplémentaires </w:t>
            </w:r>
          </w:p>
        </w:tc>
      </w:tr>
      <w:tr w:rsidR="00247B4A" w:rsidRPr="00A32AF4" w:rsidTr="00FD3E7B">
        <w:trPr>
          <w:cantSplit/>
        </w:trPr>
        <w:tc>
          <w:tcPr>
            <w:tcW w:w="2200" w:type="dxa"/>
            <w:vMerge w:val="restart"/>
            <w:shd w:val="clear" w:color="000000" w:fill="FFFFFF"/>
            <w:tcMar>
              <w:top w:w="113" w:type="dxa"/>
              <w:bottom w:w="113" w:type="dxa"/>
            </w:tcMar>
            <w:hideMark/>
          </w:tcPr>
          <w:p w:rsidR="00247B4A" w:rsidRPr="00A32AF4" w:rsidRDefault="00247B4A" w:rsidP="00DC0553">
            <w:pPr>
              <w:rPr>
                <w:sz w:val="16"/>
                <w:szCs w:val="16"/>
              </w:rPr>
            </w:pPr>
            <w:r w:rsidRPr="00A32AF4">
              <w:rPr>
                <w:sz w:val="16"/>
                <w:szCs w:val="16"/>
              </w:rPr>
              <w:t xml:space="preserve">III.2 </w:t>
            </w:r>
            <w:r w:rsidRPr="00A32AF4">
              <w:rPr>
                <w:rFonts w:cs="Arial"/>
                <w:sz w:val="16"/>
                <w:szCs w:val="16"/>
              </w:rPr>
              <w:t>Mise en valeur des ressources humaines pour répondre aux diverses exigences en matière d’utilisation efficace de la propriété intellectuelle au service du développement dans les pays en développement, les PMA et les pays en transition</w:t>
            </w:r>
          </w:p>
        </w:tc>
        <w:tc>
          <w:tcPr>
            <w:tcW w:w="2420" w:type="dxa"/>
            <w:shd w:val="clear" w:color="000000" w:fill="FFFFFF"/>
            <w:tcMar>
              <w:top w:w="113" w:type="dxa"/>
              <w:bottom w:w="113" w:type="dxa"/>
            </w:tcMar>
            <w:hideMark/>
          </w:tcPr>
          <w:p w:rsidR="00247B4A" w:rsidRPr="00A32AF4" w:rsidRDefault="00247B4A" w:rsidP="00DC0553">
            <w:pPr>
              <w:rPr>
                <w:sz w:val="16"/>
                <w:szCs w:val="16"/>
              </w:rPr>
            </w:pPr>
            <w:r w:rsidRPr="00A32AF4">
              <w:rPr>
                <w:sz w:val="16"/>
                <w:szCs w:val="16"/>
              </w:rPr>
              <w:t>Nombre de pays en transition ayant mis en place des programmes de formation annuels en matière de propriété intellectuelle et/ou des cours à l’intention de professionnels de la PI et/ou de PME</w:t>
            </w:r>
          </w:p>
        </w:tc>
        <w:tc>
          <w:tcPr>
            <w:tcW w:w="2325" w:type="dxa"/>
            <w:shd w:val="clear" w:color="000000" w:fill="FFFFFF"/>
            <w:tcMar>
              <w:top w:w="113" w:type="dxa"/>
              <w:bottom w:w="113" w:type="dxa"/>
            </w:tcMar>
            <w:hideMark/>
          </w:tcPr>
          <w:p w:rsidR="00247B4A" w:rsidRPr="00A32AF4" w:rsidRDefault="00247B4A" w:rsidP="00DC0553">
            <w:pPr>
              <w:rPr>
                <w:sz w:val="16"/>
                <w:szCs w:val="16"/>
              </w:rPr>
            </w:pPr>
            <w:r w:rsidRPr="00A32AF4">
              <w:rPr>
                <w:sz w:val="16"/>
                <w:szCs w:val="16"/>
              </w:rPr>
              <w:t>6 pays (2014)</w:t>
            </w:r>
          </w:p>
        </w:tc>
        <w:tc>
          <w:tcPr>
            <w:tcW w:w="2160" w:type="dxa"/>
            <w:shd w:val="clear" w:color="000000" w:fill="FFFFFF"/>
            <w:tcMar>
              <w:top w:w="113" w:type="dxa"/>
              <w:bottom w:w="113" w:type="dxa"/>
            </w:tcMar>
            <w:hideMark/>
          </w:tcPr>
          <w:p w:rsidR="00247B4A" w:rsidRPr="00A32AF4" w:rsidRDefault="00247B4A" w:rsidP="00DC0553">
            <w:pPr>
              <w:rPr>
                <w:sz w:val="16"/>
                <w:szCs w:val="16"/>
              </w:rPr>
            </w:pPr>
            <w:r w:rsidRPr="00A32AF4">
              <w:rPr>
                <w:sz w:val="16"/>
                <w:szCs w:val="16"/>
              </w:rPr>
              <w:t xml:space="preserve">8 pays </w:t>
            </w:r>
          </w:p>
        </w:tc>
      </w:tr>
      <w:tr w:rsidR="00247B4A" w:rsidRPr="00A32AF4" w:rsidTr="00FD3E7B">
        <w:trPr>
          <w:cantSplit/>
        </w:trPr>
        <w:tc>
          <w:tcPr>
            <w:tcW w:w="2200" w:type="dxa"/>
            <w:vMerge/>
            <w:tcMar>
              <w:top w:w="113" w:type="dxa"/>
              <w:bottom w:w="113" w:type="dxa"/>
            </w:tcMar>
            <w:vAlign w:val="center"/>
            <w:hideMark/>
          </w:tcPr>
          <w:p w:rsidR="00247B4A" w:rsidRPr="00A32AF4" w:rsidRDefault="00247B4A" w:rsidP="00DC0553">
            <w:pPr>
              <w:rPr>
                <w:sz w:val="16"/>
                <w:szCs w:val="16"/>
              </w:rPr>
            </w:pPr>
          </w:p>
        </w:tc>
        <w:tc>
          <w:tcPr>
            <w:tcW w:w="2420" w:type="dxa"/>
            <w:shd w:val="clear" w:color="000000" w:fill="FFFFFF"/>
            <w:tcMar>
              <w:top w:w="113" w:type="dxa"/>
              <w:bottom w:w="113" w:type="dxa"/>
            </w:tcMar>
            <w:hideMark/>
          </w:tcPr>
          <w:p w:rsidR="00247B4A" w:rsidRPr="00A32AF4" w:rsidRDefault="00247B4A" w:rsidP="00DC0553">
            <w:pPr>
              <w:rPr>
                <w:sz w:val="16"/>
                <w:szCs w:val="16"/>
              </w:rPr>
            </w:pPr>
            <w:r w:rsidRPr="00A32AF4">
              <w:rPr>
                <w:sz w:val="16"/>
                <w:szCs w:val="16"/>
              </w:rPr>
              <w:t>Pourcentage de professionnels formés en matière de propriété intellectuelle et de fonctionnaires des offices de propriété intellectuelle qui utilisent des compétences améliorées dans le cadre de leurs activités professionnelles</w:t>
            </w:r>
          </w:p>
        </w:tc>
        <w:tc>
          <w:tcPr>
            <w:tcW w:w="2325" w:type="dxa"/>
            <w:shd w:val="clear" w:color="000000" w:fill="FFFFFF"/>
            <w:tcMar>
              <w:top w:w="113" w:type="dxa"/>
              <w:bottom w:w="113" w:type="dxa"/>
            </w:tcMar>
            <w:hideMark/>
          </w:tcPr>
          <w:p w:rsidR="00247B4A" w:rsidRPr="00A32AF4" w:rsidRDefault="00247B4A" w:rsidP="00DC0553">
            <w:pPr>
              <w:rPr>
                <w:sz w:val="16"/>
                <w:szCs w:val="16"/>
              </w:rPr>
            </w:pPr>
            <w:r w:rsidRPr="00A32AF4">
              <w:rPr>
                <w:sz w:val="16"/>
                <w:szCs w:val="16"/>
              </w:rPr>
              <w:t>80%</w:t>
            </w:r>
          </w:p>
        </w:tc>
        <w:tc>
          <w:tcPr>
            <w:tcW w:w="2160" w:type="dxa"/>
            <w:shd w:val="clear" w:color="000000" w:fill="FFFFFF"/>
            <w:tcMar>
              <w:top w:w="113" w:type="dxa"/>
              <w:bottom w:w="113" w:type="dxa"/>
            </w:tcMar>
            <w:hideMark/>
          </w:tcPr>
          <w:p w:rsidR="00247B4A" w:rsidRPr="00A32AF4" w:rsidRDefault="00247B4A" w:rsidP="00DC0553">
            <w:pPr>
              <w:rPr>
                <w:sz w:val="16"/>
                <w:szCs w:val="16"/>
              </w:rPr>
            </w:pPr>
            <w:r w:rsidRPr="00A32AF4">
              <w:rPr>
                <w:sz w:val="16"/>
                <w:szCs w:val="16"/>
              </w:rPr>
              <w:t xml:space="preserve">70% </w:t>
            </w:r>
          </w:p>
        </w:tc>
      </w:tr>
      <w:tr w:rsidR="00247B4A" w:rsidRPr="00A32AF4" w:rsidTr="00FD3E7B">
        <w:trPr>
          <w:cantSplit/>
        </w:trPr>
        <w:tc>
          <w:tcPr>
            <w:tcW w:w="2200" w:type="dxa"/>
            <w:shd w:val="clear" w:color="000000" w:fill="FFFFFF"/>
            <w:tcMar>
              <w:top w:w="113" w:type="dxa"/>
              <w:bottom w:w="113" w:type="dxa"/>
            </w:tcMar>
            <w:hideMark/>
          </w:tcPr>
          <w:p w:rsidR="00247B4A" w:rsidRPr="00A32AF4" w:rsidRDefault="00247B4A" w:rsidP="00B305E4">
            <w:pPr>
              <w:rPr>
                <w:sz w:val="16"/>
                <w:szCs w:val="16"/>
              </w:rPr>
            </w:pPr>
            <w:r w:rsidRPr="00A32AF4">
              <w:rPr>
                <w:sz w:val="16"/>
                <w:szCs w:val="16"/>
              </w:rPr>
              <w:t>III.4</w:t>
            </w:r>
            <w:r w:rsidRPr="00A32AF4">
              <w:rPr>
                <w:rFonts w:cs="Arial"/>
                <w:sz w:val="16"/>
                <w:szCs w:val="16"/>
              </w:rPr>
              <w:t xml:space="preserve"> Mécanismes et programmes de coopération renforcés, adaptés aux besoins des pays en développement, des PMA et des pays en transition</w:t>
            </w:r>
          </w:p>
        </w:tc>
        <w:tc>
          <w:tcPr>
            <w:tcW w:w="2420" w:type="dxa"/>
            <w:shd w:val="clear" w:color="000000" w:fill="FFFFFF"/>
            <w:tcMar>
              <w:top w:w="113" w:type="dxa"/>
              <w:bottom w:w="113" w:type="dxa"/>
            </w:tcMar>
            <w:hideMark/>
          </w:tcPr>
          <w:p w:rsidR="00247B4A" w:rsidRPr="00A32AF4" w:rsidRDefault="00247B4A" w:rsidP="00DC0553">
            <w:pPr>
              <w:rPr>
                <w:sz w:val="16"/>
                <w:szCs w:val="16"/>
              </w:rPr>
            </w:pPr>
            <w:r w:rsidRPr="00A32AF4">
              <w:rPr>
                <w:sz w:val="16"/>
                <w:szCs w:val="16"/>
              </w:rPr>
              <w:t>Nombre de partenariats établis</w:t>
            </w:r>
          </w:p>
        </w:tc>
        <w:tc>
          <w:tcPr>
            <w:tcW w:w="2325" w:type="dxa"/>
            <w:shd w:val="clear" w:color="000000" w:fill="FFFFFF"/>
            <w:tcMar>
              <w:top w:w="113" w:type="dxa"/>
              <w:bottom w:w="113" w:type="dxa"/>
            </w:tcMar>
            <w:hideMark/>
          </w:tcPr>
          <w:p w:rsidR="00247B4A" w:rsidRPr="00A32AF4" w:rsidRDefault="00247B4A" w:rsidP="00DC0553">
            <w:pPr>
              <w:rPr>
                <w:sz w:val="16"/>
                <w:szCs w:val="16"/>
              </w:rPr>
            </w:pPr>
            <w:r w:rsidRPr="00A32AF4">
              <w:rPr>
                <w:sz w:val="16"/>
                <w:szCs w:val="16"/>
              </w:rPr>
              <w:t xml:space="preserve">4 mémorandums d’accord signés (2014) </w:t>
            </w:r>
          </w:p>
        </w:tc>
        <w:tc>
          <w:tcPr>
            <w:tcW w:w="2160" w:type="dxa"/>
            <w:shd w:val="clear" w:color="000000" w:fill="FFFFFF"/>
            <w:tcMar>
              <w:top w:w="113" w:type="dxa"/>
              <w:bottom w:w="113" w:type="dxa"/>
            </w:tcMar>
            <w:hideMark/>
          </w:tcPr>
          <w:p w:rsidR="00247B4A" w:rsidRPr="00A32AF4" w:rsidRDefault="00247B4A" w:rsidP="00DC0553">
            <w:pPr>
              <w:rPr>
                <w:sz w:val="16"/>
                <w:szCs w:val="16"/>
              </w:rPr>
            </w:pPr>
            <w:r w:rsidRPr="00A32AF4">
              <w:rPr>
                <w:rFonts w:cs="Arial"/>
                <w:color w:val="000000"/>
                <w:sz w:val="16"/>
                <w:szCs w:val="16"/>
              </w:rPr>
              <w:t xml:space="preserve">6 partenariats établis dans le domaine de la propriété intellectuelle </w:t>
            </w:r>
          </w:p>
        </w:tc>
      </w:tr>
    </w:tbl>
    <w:p w:rsidR="00F93B76" w:rsidRPr="00A32AF4" w:rsidRDefault="00F93B76" w:rsidP="00DC0553"/>
    <w:p w:rsidR="00F93B76" w:rsidRPr="00A32AF4" w:rsidRDefault="00F93B76" w:rsidP="00DC0553"/>
    <w:p w:rsidR="00F93B76" w:rsidRPr="00A32AF4" w:rsidRDefault="00DC2AF7" w:rsidP="00DC0553">
      <w:r w:rsidRPr="00A32AF4">
        <w:t>RESSOURCES ALLOUÉES AU PROGRAMME</w:t>
      </w:r>
      <w:r w:rsidR="00CD1430" w:rsidRPr="00A32AF4">
        <w:t xml:space="preserve"> 10</w:t>
      </w:r>
    </w:p>
    <w:p w:rsidR="00F93B76" w:rsidRPr="00A32AF4" w:rsidRDefault="00F93B76" w:rsidP="00DC0553"/>
    <w:p w:rsidR="00F93B76" w:rsidRPr="00A32AF4" w:rsidRDefault="00CD1430" w:rsidP="00DC0553">
      <w:pPr>
        <w:pStyle w:val="ListParagraph"/>
        <w:numPr>
          <w:ilvl w:val="0"/>
          <w:numId w:val="21"/>
        </w:numPr>
        <w:tabs>
          <w:tab w:val="right" w:pos="709"/>
        </w:tabs>
        <w:spacing w:after="0" w:line="240" w:lineRule="auto"/>
        <w:ind w:left="0" w:firstLine="0"/>
        <w:jc w:val="both"/>
        <w:rPr>
          <w:rFonts w:ascii="Arial" w:hAnsi="Arial" w:cs="Arial"/>
        </w:rPr>
      </w:pPr>
      <w:r w:rsidRPr="00A32AF4">
        <w:rPr>
          <w:rFonts w:ascii="Arial" w:hAnsi="Arial" w:cs="Arial"/>
        </w:rPr>
        <w:t>Les ressources globales pour le programme 10 présentent une baisse 0,43 million de francs suisses, essentiellement en raison i) d</w:t>
      </w:r>
      <w:r w:rsidR="00E2055A" w:rsidRPr="00A32AF4">
        <w:rPr>
          <w:rFonts w:ascii="Arial" w:hAnsi="Arial" w:cs="Arial"/>
        </w:rPr>
        <w:t>’</w:t>
      </w:r>
      <w:r w:rsidRPr="00A32AF4">
        <w:rPr>
          <w:rFonts w:ascii="Arial" w:hAnsi="Arial" w:cs="Arial"/>
        </w:rPr>
        <w:t>un transfert des responsabilités concernant les activités axées sur les PME au programme 30 (Appui aux PME et à la création d</w:t>
      </w:r>
      <w:r w:rsidR="00E2055A" w:rsidRPr="00A32AF4">
        <w:rPr>
          <w:rFonts w:ascii="Arial" w:hAnsi="Arial" w:cs="Arial"/>
        </w:rPr>
        <w:t>’</w:t>
      </w:r>
      <w:r w:rsidRPr="00A32AF4">
        <w:rPr>
          <w:rFonts w:ascii="Arial" w:hAnsi="Arial" w:cs="Arial"/>
        </w:rPr>
        <w:t>entreprises) et ii) d</w:t>
      </w:r>
      <w:r w:rsidR="00E2055A" w:rsidRPr="00A32AF4">
        <w:rPr>
          <w:rFonts w:ascii="Arial" w:hAnsi="Arial" w:cs="Arial"/>
        </w:rPr>
        <w:t>’</w:t>
      </w:r>
      <w:r w:rsidRPr="00A32AF4">
        <w:rPr>
          <w:rFonts w:ascii="Arial" w:hAnsi="Arial" w:cs="Arial"/>
        </w:rPr>
        <w:t>une réduction des ressources en personnel équivalent à un poste.  La réduction des effectifs doit être considérée comme temporaire en attendant la fin de la régularisation d</w:t>
      </w:r>
      <w:r w:rsidR="00E2055A" w:rsidRPr="00A32AF4">
        <w:rPr>
          <w:rFonts w:ascii="Arial" w:hAnsi="Arial" w:cs="Arial"/>
        </w:rPr>
        <w:t>’</w:t>
      </w:r>
      <w:r w:rsidRPr="00A32AF4">
        <w:rPr>
          <w:rFonts w:ascii="Arial" w:hAnsi="Arial" w:cs="Arial"/>
        </w:rPr>
        <w:t>une personne effectuant des fonctions continues au sein du programme, qui devrait être achevée dans le courant du deuxième semestre de 2015.</w:t>
      </w:r>
    </w:p>
    <w:p w:rsidR="00F93B76" w:rsidRPr="00A32AF4" w:rsidRDefault="00F93B76" w:rsidP="00DC0553">
      <w:pPr>
        <w:pStyle w:val="ListParagraph"/>
        <w:tabs>
          <w:tab w:val="right" w:pos="709"/>
        </w:tabs>
        <w:spacing w:after="0" w:line="240" w:lineRule="auto"/>
        <w:ind w:left="0"/>
        <w:jc w:val="both"/>
        <w:rPr>
          <w:rFonts w:ascii="Arial" w:hAnsi="Arial" w:cs="Arial"/>
        </w:rPr>
      </w:pPr>
    </w:p>
    <w:p w:rsidR="00F93B76" w:rsidRPr="00A32AF4" w:rsidRDefault="00CD1430" w:rsidP="00DC0553">
      <w:pPr>
        <w:pStyle w:val="ListParagraph"/>
        <w:numPr>
          <w:ilvl w:val="0"/>
          <w:numId w:val="21"/>
        </w:numPr>
        <w:tabs>
          <w:tab w:val="right" w:pos="709"/>
        </w:tabs>
        <w:spacing w:after="0" w:line="240" w:lineRule="auto"/>
        <w:ind w:left="0" w:firstLine="0"/>
        <w:jc w:val="both"/>
        <w:rPr>
          <w:rFonts w:ascii="Arial" w:hAnsi="Arial" w:cs="Arial"/>
        </w:rPr>
      </w:pPr>
      <w:r w:rsidRPr="00A32AF4">
        <w:rPr>
          <w:rFonts w:ascii="Arial" w:hAnsi="Arial" w:cs="Arial"/>
        </w:rPr>
        <w:t xml:space="preserve">La migration des ressources observée dans la colonne </w:t>
      </w:r>
      <w:r w:rsidR="00B63C9F" w:rsidRPr="00A32AF4">
        <w:rPr>
          <w:rFonts w:ascii="Arial" w:hAnsi="Arial" w:cs="Arial"/>
        </w:rPr>
        <w:t>“</w:t>
      </w:r>
      <w:r w:rsidRPr="00A32AF4">
        <w:rPr>
          <w:rFonts w:ascii="Arial" w:hAnsi="Arial" w:cs="Arial"/>
        </w:rPr>
        <w:t>Résultats attendus</w:t>
      </w:r>
      <w:r w:rsidR="00B63C9F" w:rsidRPr="00A32AF4">
        <w:rPr>
          <w:rFonts w:ascii="Arial" w:hAnsi="Arial" w:cs="Arial"/>
        </w:rPr>
        <w:t>”</w:t>
      </w:r>
      <w:r w:rsidRPr="00A32AF4">
        <w:rPr>
          <w:rFonts w:ascii="Arial" w:hAnsi="Arial" w:cs="Arial"/>
        </w:rPr>
        <w:t xml:space="preserve"> est le reflet de l</w:t>
      </w:r>
      <w:r w:rsidR="00E2055A" w:rsidRPr="00A32AF4">
        <w:rPr>
          <w:rFonts w:ascii="Arial" w:hAnsi="Arial" w:cs="Arial"/>
        </w:rPr>
        <w:t>’</w:t>
      </w:r>
      <w:r w:rsidRPr="00A32AF4">
        <w:rPr>
          <w:rFonts w:ascii="Arial" w:hAnsi="Arial" w:cs="Arial"/>
        </w:rPr>
        <w:t>intégration des activités relatives aux centres d</w:t>
      </w:r>
      <w:r w:rsidR="00E2055A" w:rsidRPr="00A32AF4">
        <w:rPr>
          <w:rFonts w:ascii="Arial" w:hAnsi="Arial" w:cs="Arial"/>
        </w:rPr>
        <w:t>’</w:t>
      </w:r>
      <w:r w:rsidRPr="00A32AF4">
        <w:rPr>
          <w:rFonts w:ascii="Arial" w:hAnsi="Arial" w:cs="Arial"/>
        </w:rPr>
        <w:t>appui à la technologie et à l</w:t>
      </w:r>
      <w:r w:rsidR="00E2055A" w:rsidRPr="00A32AF4">
        <w:rPr>
          <w:rFonts w:ascii="Arial" w:hAnsi="Arial" w:cs="Arial"/>
        </w:rPr>
        <w:t>’</w:t>
      </w:r>
      <w:r w:rsidRPr="00A32AF4">
        <w:rPr>
          <w:rFonts w:ascii="Arial" w:hAnsi="Arial" w:cs="Arial"/>
        </w:rPr>
        <w:t>innovation, et aux solutions opérationnelles pour les offices de propriété intellectuelle aux programmes 14 et 15 respectivement.</w:t>
      </w:r>
    </w:p>
    <w:p w:rsidR="00F93B76" w:rsidRPr="00A32AF4" w:rsidRDefault="00F93B76" w:rsidP="00DC0553"/>
    <w:p w:rsidR="00F93B76" w:rsidRPr="00A32AF4" w:rsidRDefault="00F93B76" w:rsidP="00DC0553"/>
    <w:p w:rsidR="00F93B76" w:rsidRPr="00A32AF4" w:rsidRDefault="00FD3E7B" w:rsidP="00DC0553">
      <w:pPr>
        <w:keepNext/>
        <w:keepLines/>
        <w:autoSpaceDE w:val="0"/>
        <w:autoSpaceDN w:val="0"/>
        <w:jc w:val="center"/>
        <w:rPr>
          <w:rFonts w:cs="Arial"/>
          <w:b/>
        </w:rPr>
      </w:pPr>
      <w:r w:rsidRPr="00A32AF4">
        <w:rPr>
          <w:rFonts w:cs="Arial"/>
          <w:b/>
        </w:rPr>
        <w:t>Programme 10 : ressources par résultat</w:t>
      </w:r>
    </w:p>
    <w:p w:rsidR="00F93B76" w:rsidRPr="00A32AF4" w:rsidRDefault="00FD3E7B" w:rsidP="00DC0553">
      <w:pPr>
        <w:keepNext/>
        <w:keepLines/>
        <w:autoSpaceDE w:val="0"/>
        <w:autoSpaceDN w:val="0"/>
        <w:jc w:val="center"/>
        <w:rPr>
          <w:rFonts w:cs="Arial"/>
          <w:i/>
        </w:rPr>
      </w:pPr>
      <w:r w:rsidRPr="00A32AF4">
        <w:rPr>
          <w:rFonts w:cs="Arial"/>
          <w:i/>
        </w:rPr>
        <w:t>(</w:t>
      </w:r>
      <w:proofErr w:type="gramStart"/>
      <w:r w:rsidRPr="00A32AF4">
        <w:rPr>
          <w:rFonts w:cs="Arial"/>
          <w:i/>
        </w:rPr>
        <w:t>en</w:t>
      </w:r>
      <w:proofErr w:type="gramEnd"/>
      <w:r w:rsidRPr="00A32AF4">
        <w:rPr>
          <w:rFonts w:cs="Arial"/>
          <w:i/>
        </w:rPr>
        <w:t xml:space="preserve"> milliers de francs suisses)</w:t>
      </w:r>
    </w:p>
    <w:p w:rsidR="00FD3E7B" w:rsidRPr="00A32AF4" w:rsidRDefault="00FD3E7B" w:rsidP="00DC0553">
      <w:pPr>
        <w:keepNext/>
      </w:pPr>
    </w:p>
    <w:tbl>
      <w:tblPr>
        <w:tblW w:w="8980" w:type="dxa"/>
        <w:tblInd w:w="55" w:type="dxa"/>
        <w:tblCellMar>
          <w:left w:w="70" w:type="dxa"/>
          <w:right w:w="70" w:type="dxa"/>
        </w:tblCellMar>
        <w:tblLook w:val="04A0" w:firstRow="1" w:lastRow="0" w:firstColumn="1" w:lastColumn="0" w:noHBand="0" w:noVBand="1"/>
      </w:tblPr>
      <w:tblGrid>
        <w:gridCol w:w="512"/>
        <w:gridCol w:w="4508"/>
        <w:gridCol w:w="1260"/>
        <w:gridCol w:w="1440"/>
        <w:gridCol w:w="1260"/>
      </w:tblGrid>
      <w:tr w:rsidR="00FD3E7B" w:rsidRPr="00A32AF4" w:rsidTr="00FD3E7B">
        <w:tc>
          <w:tcPr>
            <w:tcW w:w="5020" w:type="dxa"/>
            <w:gridSpan w:val="2"/>
            <w:tcBorders>
              <w:top w:val="single" w:sz="4" w:space="0" w:color="auto"/>
              <w:left w:val="single" w:sz="4" w:space="0" w:color="auto"/>
              <w:bottom w:val="single" w:sz="4" w:space="0" w:color="auto"/>
              <w:right w:val="single" w:sz="4" w:space="0" w:color="000000"/>
            </w:tcBorders>
            <w:shd w:val="clear" w:color="000000" w:fill="C5D9F1"/>
            <w:noWrap/>
            <w:tcMar>
              <w:top w:w="113" w:type="dxa"/>
              <w:bottom w:w="113" w:type="dxa"/>
            </w:tcMar>
            <w:vAlign w:val="center"/>
            <w:hideMark/>
          </w:tcPr>
          <w:p w:rsidR="00FD3E7B" w:rsidRPr="00A32AF4" w:rsidRDefault="00FD3E7B" w:rsidP="00DC0553">
            <w:pPr>
              <w:keepNext/>
              <w:jc w:val="center"/>
              <w:rPr>
                <w:rFonts w:cs="Arial"/>
                <w:i/>
                <w:iCs/>
                <w:sz w:val="16"/>
                <w:szCs w:val="16"/>
                <w:lang w:eastAsia="fr-FR"/>
              </w:rPr>
            </w:pPr>
            <w:r w:rsidRPr="00A32AF4">
              <w:rPr>
                <w:rFonts w:cs="Arial"/>
                <w:i/>
                <w:iCs/>
                <w:sz w:val="16"/>
                <w:szCs w:val="16"/>
                <w:lang w:eastAsia="fr-FR"/>
              </w:rPr>
              <w:t xml:space="preserve">Numéro et description du résultat escompté </w:t>
            </w:r>
          </w:p>
        </w:tc>
        <w:tc>
          <w:tcPr>
            <w:tcW w:w="126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FD3E7B" w:rsidRPr="00A32AF4" w:rsidRDefault="00FD3E7B" w:rsidP="00DC0553">
            <w:pPr>
              <w:keepNext/>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2014</w:t>
            </w:r>
            <w:r w:rsidR="00EB7F54" w:rsidRPr="00A32AF4">
              <w:rPr>
                <w:rFonts w:cs="Arial"/>
                <w:i/>
                <w:iCs/>
                <w:sz w:val="16"/>
                <w:szCs w:val="16"/>
                <w:lang w:eastAsia="fr-FR"/>
              </w:rPr>
              <w:noBreakHyphen/>
            </w:r>
            <w:r w:rsidRPr="00A32AF4">
              <w:rPr>
                <w:rFonts w:cs="Arial"/>
                <w:i/>
                <w:iCs/>
                <w:sz w:val="16"/>
                <w:szCs w:val="16"/>
                <w:lang w:eastAsia="fr-FR"/>
              </w:rPr>
              <w:t>2015 approuvé</w:t>
            </w:r>
          </w:p>
        </w:tc>
        <w:tc>
          <w:tcPr>
            <w:tcW w:w="144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FD3E7B" w:rsidRPr="00A32AF4" w:rsidRDefault="00FD3E7B" w:rsidP="00DC0553">
            <w:pPr>
              <w:keepNext/>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2014</w:t>
            </w:r>
            <w:r w:rsidR="00EB7F54" w:rsidRPr="00A32AF4">
              <w:rPr>
                <w:rFonts w:cs="Arial"/>
                <w:i/>
                <w:iCs/>
                <w:sz w:val="16"/>
                <w:szCs w:val="16"/>
                <w:lang w:eastAsia="fr-FR"/>
              </w:rPr>
              <w:noBreakHyphen/>
            </w:r>
            <w:r w:rsidRPr="00A32AF4">
              <w:rPr>
                <w:rFonts w:cs="Arial"/>
                <w:i/>
                <w:iCs/>
                <w:sz w:val="16"/>
                <w:szCs w:val="16"/>
                <w:lang w:eastAsia="fr-FR"/>
              </w:rPr>
              <w:t>2015 après virements</w:t>
            </w:r>
          </w:p>
        </w:tc>
        <w:tc>
          <w:tcPr>
            <w:tcW w:w="126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FD3E7B" w:rsidRPr="00A32AF4" w:rsidRDefault="00FD3E7B" w:rsidP="00DC0553">
            <w:pPr>
              <w:keepNext/>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2016</w:t>
            </w:r>
            <w:r w:rsidR="00EB7F54" w:rsidRPr="00A32AF4">
              <w:rPr>
                <w:rFonts w:cs="Arial"/>
                <w:i/>
                <w:iCs/>
                <w:sz w:val="16"/>
                <w:szCs w:val="16"/>
                <w:lang w:eastAsia="fr-FR"/>
              </w:rPr>
              <w:noBreakHyphen/>
            </w:r>
            <w:r w:rsidRPr="00A32AF4">
              <w:rPr>
                <w:rFonts w:cs="Arial"/>
                <w:i/>
                <w:iCs/>
                <w:sz w:val="16"/>
                <w:szCs w:val="16"/>
                <w:lang w:eastAsia="fr-FR"/>
              </w:rPr>
              <w:t>2017 proposé</w:t>
            </w:r>
          </w:p>
        </w:tc>
      </w:tr>
      <w:tr w:rsidR="00FD3E7B" w:rsidRPr="00A32AF4" w:rsidTr="00FD3E7B">
        <w:tc>
          <w:tcPr>
            <w:tcW w:w="512" w:type="dxa"/>
            <w:tcBorders>
              <w:top w:val="nil"/>
              <w:left w:val="single" w:sz="4" w:space="0" w:color="auto"/>
              <w:bottom w:val="nil"/>
              <w:right w:val="nil"/>
            </w:tcBorders>
            <w:shd w:val="clear" w:color="auto" w:fill="auto"/>
            <w:noWrap/>
            <w:tcMar>
              <w:top w:w="113" w:type="dxa"/>
              <w:bottom w:w="113" w:type="dxa"/>
            </w:tcMar>
            <w:vAlign w:val="center"/>
            <w:hideMark/>
          </w:tcPr>
          <w:p w:rsidR="00FD3E7B" w:rsidRPr="00A32AF4" w:rsidRDefault="00FD3E7B" w:rsidP="00DC0553">
            <w:pPr>
              <w:rPr>
                <w:rFonts w:cs="Arial"/>
                <w:sz w:val="16"/>
                <w:szCs w:val="16"/>
                <w:lang w:eastAsia="fr-FR"/>
              </w:rPr>
            </w:pPr>
            <w:r w:rsidRPr="00A32AF4">
              <w:rPr>
                <w:rFonts w:cs="Arial"/>
                <w:sz w:val="16"/>
                <w:szCs w:val="16"/>
                <w:lang w:eastAsia="fr-FR"/>
              </w:rPr>
              <w:t>I.2</w:t>
            </w:r>
          </w:p>
        </w:tc>
        <w:tc>
          <w:tcPr>
            <w:tcW w:w="4508" w:type="dxa"/>
            <w:tcBorders>
              <w:top w:val="nil"/>
              <w:left w:val="nil"/>
              <w:bottom w:val="nil"/>
              <w:right w:val="nil"/>
            </w:tcBorders>
            <w:shd w:val="clear" w:color="auto" w:fill="auto"/>
            <w:tcMar>
              <w:top w:w="113" w:type="dxa"/>
              <w:bottom w:w="113" w:type="dxa"/>
            </w:tcMar>
            <w:vAlign w:val="center"/>
            <w:hideMark/>
          </w:tcPr>
          <w:p w:rsidR="00FD3E7B" w:rsidRPr="00A32AF4" w:rsidRDefault="00FD3E7B" w:rsidP="00DC0553">
            <w:pPr>
              <w:rPr>
                <w:rFonts w:cs="Arial"/>
                <w:sz w:val="16"/>
                <w:szCs w:val="16"/>
                <w:lang w:eastAsia="fr-FR"/>
              </w:rPr>
            </w:pPr>
            <w:r w:rsidRPr="00A32AF4">
              <w:rPr>
                <w:rFonts w:cs="Arial"/>
                <w:sz w:val="16"/>
                <w:szCs w:val="16"/>
                <w:lang w:eastAsia="fr-FR"/>
              </w:rPr>
              <w:t>Cadres législatifs, réglementaires et politiques de propriété intellectuelle adaptés et équilibrés</w:t>
            </w:r>
          </w:p>
        </w:tc>
        <w:tc>
          <w:tcPr>
            <w:tcW w:w="1260" w:type="dxa"/>
            <w:tcBorders>
              <w:top w:val="nil"/>
              <w:left w:val="nil"/>
              <w:bottom w:val="nil"/>
              <w:right w:val="nil"/>
            </w:tcBorders>
            <w:shd w:val="clear" w:color="auto" w:fill="auto"/>
            <w:tcMar>
              <w:top w:w="113" w:type="dxa"/>
              <w:bottom w:w="113" w:type="dxa"/>
            </w:tcMar>
            <w:vAlign w:val="center"/>
            <w:hideMark/>
          </w:tcPr>
          <w:p w:rsidR="00FD3E7B" w:rsidRPr="00A32AF4" w:rsidRDefault="00FD3E7B" w:rsidP="00DC0553">
            <w:pPr>
              <w:jc w:val="right"/>
              <w:rPr>
                <w:rFonts w:cs="Arial"/>
                <w:sz w:val="16"/>
                <w:szCs w:val="16"/>
                <w:lang w:eastAsia="fr-FR"/>
              </w:rPr>
            </w:pPr>
            <w:r w:rsidRPr="00A32AF4">
              <w:rPr>
                <w:rFonts w:cs="Arial"/>
                <w:sz w:val="16"/>
                <w:szCs w:val="16"/>
                <w:lang w:eastAsia="fr-FR"/>
              </w:rPr>
              <w:t xml:space="preserve">755 </w:t>
            </w:r>
          </w:p>
        </w:tc>
        <w:tc>
          <w:tcPr>
            <w:tcW w:w="1440" w:type="dxa"/>
            <w:tcBorders>
              <w:top w:val="nil"/>
              <w:left w:val="nil"/>
              <w:bottom w:val="nil"/>
              <w:right w:val="nil"/>
            </w:tcBorders>
            <w:shd w:val="clear" w:color="auto" w:fill="auto"/>
            <w:tcMar>
              <w:top w:w="113" w:type="dxa"/>
              <w:bottom w:w="113" w:type="dxa"/>
            </w:tcMar>
            <w:vAlign w:val="center"/>
            <w:hideMark/>
          </w:tcPr>
          <w:p w:rsidR="00FD3E7B" w:rsidRPr="00A32AF4" w:rsidRDefault="00FD3E7B" w:rsidP="00DC0553">
            <w:pPr>
              <w:jc w:val="right"/>
              <w:rPr>
                <w:rFonts w:cs="Arial"/>
                <w:sz w:val="16"/>
                <w:szCs w:val="16"/>
                <w:lang w:eastAsia="fr-FR"/>
              </w:rPr>
            </w:pPr>
            <w:r w:rsidRPr="00A32AF4">
              <w:rPr>
                <w:rFonts w:cs="Arial"/>
                <w:sz w:val="16"/>
                <w:szCs w:val="16"/>
                <w:lang w:eastAsia="fr-FR"/>
              </w:rPr>
              <w:t xml:space="preserve">797 </w:t>
            </w:r>
          </w:p>
        </w:tc>
        <w:tc>
          <w:tcPr>
            <w:tcW w:w="1260" w:type="dxa"/>
            <w:tcBorders>
              <w:top w:val="nil"/>
              <w:left w:val="nil"/>
              <w:bottom w:val="nil"/>
              <w:right w:val="single" w:sz="4" w:space="0" w:color="auto"/>
            </w:tcBorders>
            <w:shd w:val="clear" w:color="auto" w:fill="auto"/>
            <w:noWrap/>
            <w:tcMar>
              <w:top w:w="113" w:type="dxa"/>
              <w:bottom w:w="113" w:type="dxa"/>
            </w:tcMar>
            <w:vAlign w:val="center"/>
            <w:hideMark/>
          </w:tcPr>
          <w:p w:rsidR="00FD3E7B" w:rsidRPr="00A32AF4" w:rsidRDefault="00FD3E7B" w:rsidP="00DC0553">
            <w:pPr>
              <w:jc w:val="right"/>
              <w:rPr>
                <w:rFonts w:cs="Arial"/>
                <w:color w:val="000000"/>
                <w:sz w:val="16"/>
                <w:szCs w:val="16"/>
                <w:lang w:eastAsia="fr-FR"/>
              </w:rPr>
            </w:pPr>
            <w:r w:rsidRPr="00A32AF4">
              <w:rPr>
                <w:rFonts w:cs="Arial"/>
                <w:color w:val="000000"/>
                <w:sz w:val="16"/>
                <w:szCs w:val="16"/>
                <w:lang w:eastAsia="fr-FR"/>
              </w:rPr>
              <w:t xml:space="preserve">833 </w:t>
            </w:r>
          </w:p>
        </w:tc>
      </w:tr>
      <w:tr w:rsidR="00FD3E7B" w:rsidRPr="00A32AF4" w:rsidTr="00FD3E7B">
        <w:tc>
          <w:tcPr>
            <w:tcW w:w="512" w:type="dxa"/>
            <w:tcBorders>
              <w:top w:val="nil"/>
              <w:left w:val="single" w:sz="4" w:space="0" w:color="auto"/>
              <w:bottom w:val="nil"/>
              <w:right w:val="nil"/>
            </w:tcBorders>
            <w:shd w:val="clear" w:color="auto" w:fill="auto"/>
            <w:noWrap/>
            <w:tcMar>
              <w:top w:w="113" w:type="dxa"/>
              <w:bottom w:w="113" w:type="dxa"/>
            </w:tcMar>
            <w:vAlign w:val="center"/>
            <w:hideMark/>
          </w:tcPr>
          <w:p w:rsidR="00FD3E7B" w:rsidRPr="00A32AF4" w:rsidRDefault="00FD3E7B" w:rsidP="00DC0553">
            <w:pPr>
              <w:rPr>
                <w:rFonts w:cs="Arial"/>
                <w:sz w:val="16"/>
                <w:szCs w:val="16"/>
                <w:lang w:eastAsia="fr-FR"/>
              </w:rPr>
            </w:pPr>
            <w:r w:rsidRPr="00A32AF4">
              <w:rPr>
                <w:rFonts w:cs="Arial"/>
                <w:sz w:val="16"/>
                <w:szCs w:val="16"/>
                <w:lang w:eastAsia="fr-FR"/>
              </w:rPr>
              <w:t>II.1</w:t>
            </w:r>
          </w:p>
        </w:tc>
        <w:tc>
          <w:tcPr>
            <w:tcW w:w="4508" w:type="dxa"/>
            <w:tcBorders>
              <w:top w:val="nil"/>
              <w:left w:val="nil"/>
              <w:bottom w:val="nil"/>
              <w:right w:val="nil"/>
            </w:tcBorders>
            <w:shd w:val="clear" w:color="auto" w:fill="auto"/>
            <w:tcMar>
              <w:top w:w="113" w:type="dxa"/>
              <w:bottom w:w="113" w:type="dxa"/>
            </w:tcMar>
            <w:vAlign w:val="center"/>
            <w:hideMark/>
          </w:tcPr>
          <w:p w:rsidR="00FD3E7B" w:rsidRPr="00A32AF4" w:rsidRDefault="00FD3E7B" w:rsidP="00DC0553">
            <w:pPr>
              <w:rPr>
                <w:rFonts w:cs="Arial"/>
                <w:sz w:val="16"/>
                <w:szCs w:val="16"/>
                <w:lang w:eastAsia="fr-FR"/>
              </w:rPr>
            </w:pPr>
            <w:r w:rsidRPr="00A32AF4">
              <w:rPr>
                <w:rFonts w:cs="Arial"/>
                <w:sz w:val="16"/>
                <w:szCs w:val="16"/>
                <w:lang w:eastAsia="fr-FR"/>
              </w:rPr>
              <w:t>Utilisation élargie et plus efficace du système</w:t>
            </w:r>
            <w:r w:rsidR="00E2055A" w:rsidRPr="00A32AF4">
              <w:rPr>
                <w:rFonts w:cs="Arial"/>
                <w:sz w:val="16"/>
                <w:szCs w:val="16"/>
                <w:lang w:eastAsia="fr-FR"/>
              </w:rPr>
              <w:t xml:space="preserve"> du PCT</w:t>
            </w:r>
            <w:r w:rsidRPr="00A32AF4">
              <w:rPr>
                <w:rFonts w:cs="Arial"/>
                <w:sz w:val="16"/>
                <w:szCs w:val="16"/>
                <w:lang w:eastAsia="fr-FR"/>
              </w:rPr>
              <w:t xml:space="preserve"> pour le dépôt des demandes internationales de brevet</w:t>
            </w:r>
          </w:p>
        </w:tc>
        <w:tc>
          <w:tcPr>
            <w:tcW w:w="1260" w:type="dxa"/>
            <w:tcBorders>
              <w:top w:val="nil"/>
              <w:left w:val="nil"/>
              <w:bottom w:val="nil"/>
              <w:right w:val="nil"/>
            </w:tcBorders>
            <w:shd w:val="clear" w:color="auto" w:fill="auto"/>
            <w:tcMar>
              <w:top w:w="113" w:type="dxa"/>
              <w:bottom w:w="113" w:type="dxa"/>
            </w:tcMar>
            <w:vAlign w:val="center"/>
            <w:hideMark/>
          </w:tcPr>
          <w:p w:rsidR="00FD3E7B" w:rsidRPr="00A32AF4" w:rsidRDefault="00FD3E7B" w:rsidP="00DC0553">
            <w:pPr>
              <w:jc w:val="right"/>
              <w:rPr>
                <w:rFonts w:cs="Arial"/>
                <w:sz w:val="16"/>
                <w:szCs w:val="16"/>
                <w:lang w:eastAsia="fr-FR"/>
              </w:rPr>
            </w:pPr>
            <w:r w:rsidRPr="00A32AF4">
              <w:rPr>
                <w:rFonts w:cs="Arial"/>
                <w:sz w:val="16"/>
                <w:szCs w:val="16"/>
                <w:lang w:eastAsia="fr-FR"/>
              </w:rPr>
              <w:t xml:space="preserve">1 157 </w:t>
            </w:r>
          </w:p>
        </w:tc>
        <w:tc>
          <w:tcPr>
            <w:tcW w:w="1440" w:type="dxa"/>
            <w:tcBorders>
              <w:top w:val="nil"/>
              <w:left w:val="nil"/>
              <w:bottom w:val="nil"/>
              <w:right w:val="nil"/>
            </w:tcBorders>
            <w:shd w:val="clear" w:color="auto" w:fill="auto"/>
            <w:tcMar>
              <w:top w:w="113" w:type="dxa"/>
              <w:bottom w:w="113" w:type="dxa"/>
            </w:tcMar>
            <w:vAlign w:val="center"/>
            <w:hideMark/>
          </w:tcPr>
          <w:p w:rsidR="00FD3E7B" w:rsidRPr="00A32AF4" w:rsidRDefault="00FD3E7B" w:rsidP="00DC0553">
            <w:pPr>
              <w:jc w:val="right"/>
              <w:rPr>
                <w:rFonts w:cs="Arial"/>
                <w:sz w:val="16"/>
                <w:szCs w:val="16"/>
                <w:lang w:eastAsia="fr-FR"/>
              </w:rPr>
            </w:pPr>
            <w:r w:rsidRPr="00A32AF4">
              <w:rPr>
                <w:rFonts w:cs="Arial"/>
                <w:sz w:val="16"/>
                <w:szCs w:val="16"/>
                <w:lang w:eastAsia="fr-FR"/>
              </w:rPr>
              <w:t xml:space="preserve">966 </w:t>
            </w:r>
          </w:p>
        </w:tc>
        <w:tc>
          <w:tcPr>
            <w:tcW w:w="1260" w:type="dxa"/>
            <w:tcBorders>
              <w:top w:val="nil"/>
              <w:left w:val="nil"/>
              <w:bottom w:val="nil"/>
              <w:right w:val="single" w:sz="4" w:space="0" w:color="auto"/>
            </w:tcBorders>
            <w:shd w:val="clear" w:color="auto" w:fill="auto"/>
            <w:noWrap/>
            <w:tcMar>
              <w:top w:w="113" w:type="dxa"/>
              <w:bottom w:w="113" w:type="dxa"/>
            </w:tcMar>
            <w:vAlign w:val="center"/>
            <w:hideMark/>
          </w:tcPr>
          <w:p w:rsidR="00FD3E7B" w:rsidRPr="00A32AF4" w:rsidRDefault="00FD3E7B" w:rsidP="00DC0553">
            <w:pPr>
              <w:jc w:val="right"/>
              <w:rPr>
                <w:rFonts w:cs="Arial"/>
                <w:color w:val="000000"/>
                <w:sz w:val="16"/>
                <w:szCs w:val="16"/>
                <w:lang w:eastAsia="fr-FR"/>
              </w:rPr>
            </w:pPr>
            <w:r w:rsidRPr="00A32AF4">
              <w:rPr>
                <w:rFonts w:cs="Arial"/>
                <w:color w:val="000000"/>
                <w:sz w:val="16"/>
                <w:szCs w:val="16"/>
                <w:lang w:eastAsia="fr-FR"/>
              </w:rPr>
              <w:t xml:space="preserve">1 170 </w:t>
            </w:r>
          </w:p>
        </w:tc>
      </w:tr>
      <w:tr w:rsidR="00FD3E7B" w:rsidRPr="00A32AF4" w:rsidTr="00FD3E7B">
        <w:tc>
          <w:tcPr>
            <w:tcW w:w="512" w:type="dxa"/>
            <w:tcBorders>
              <w:top w:val="nil"/>
              <w:left w:val="single" w:sz="4" w:space="0" w:color="auto"/>
              <w:bottom w:val="nil"/>
              <w:right w:val="nil"/>
            </w:tcBorders>
            <w:shd w:val="clear" w:color="auto" w:fill="auto"/>
            <w:noWrap/>
            <w:tcMar>
              <w:top w:w="113" w:type="dxa"/>
              <w:bottom w:w="113" w:type="dxa"/>
            </w:tcMar>
            <w:vAlign w:val="center"/>
            <w:hideMark/>
          </w:tcPr>
          <w:p w:rsidR="00FD3E7B" w:rsidRPr="00A32AF4" w:rsidRDefault="00FD3E7B" w:rsidP="00DC0553">
            <w:pPr>
              <w:rPr>
                <w:rFonts w:cs="Arial"/>
                <w:sz w:val="16"/>
                <w:szCs w:val="16"/>
                <w:lang w:eastAsia="fr-FR"/>
              </w:rPr>
            </w:pPr>
            <w:r w:rsidRPr="00A32AF4">
              <w:rPr>
                <w:rFonts w:cs="Arial"/>
                <w:sz w:val="16"/>
                <w:szCs w:val="16"/>
                <w:lang w:eastAsia="fr-FR"/>
              </w:rPr>
              <w:t>II.4</w:t>
            </w:r>
          </w:p>
        </w:tc>
        <w:tc>
          <w:tcPr>
            <w:tcW w:w="4508" w:type="dxa"/>
            <w:tcBorders>
              <w:top w:val="nil"/>
              <w:left w:val="nil"/>
              <w:bottom w:val="nil"/>
              <w:right w:val="nil"/>
            </w:tcBorders>
            <w:shd w:val="clear" w:color="auto" w:fill="auto"/>
            <w:tcMar>
              <w:top w:w="113" w:type="dxa"/>
              <w:bottom w:w="113" w:type="dxa"/>
            </w:tcMar>
            <w:vAlign w:val="center"/>
            <w:hideMark/>
          </w:tcPr>
          <w:p w:rsidR="00FD3E7B" w:rsidRPr="00A32AF4" w:rsidRDefault="00FD3E7B" w:rsidP="00DC0553">
            <w:pPr>
              <w:rPr>
                <w:rFonts w:cs="Arial"/>
                <w:sz w:val="16"/>
                <w:szCs w:val="16"/>
                <w:lang w:eastAsia="fr-FR"/>
              </w:rPr>
            </w:pPr>
            <w:r w:rsidRPr="00A32AF4">
              <w:rPr>
                <w:rFonts w:cs="Arial"/>
                <w:sz w:val="16"/>
                <w:szCs w:val="16"/>
                <w:lang w:eastAsia="fr-FR"/>
              </w:rPr>
              <w:t xml:space="preserve">Utilisation élargie et plus efficace du système de </w:t>
            </w:r>
            <w:r w:rsidR="00E2055A" w:rsidRPr="00A32AF4">
              <w:rPr>
                <w:rFonts w:cs="Arial"/>
                <w:sz w:val="16"/>
                <w:szCs w:val="16"/>
                <w:lang w:eastAsia="fr-FR"/>
              </w:rPr>
              <w:t>La Haye</w:t>
            </w:r>
            <w:r w:rsidRPr="00A32AF4">
              <w:rPr>
                <w:rFonts w:cs="Arial"/>
                <w:sz w:val="16"/>
                <w:szCs w:val="16"/>
                <w:lang w:eastAsia="fr-FR"/>
              </w:rPr>
              <w:t>, notamment par les pays en développement et</w:t>
            </w:r>
            <w:r w:rsidR="00E2055A" w:rsidRPr="00A32AF4">
              <w:rPr>
                <w:rFonts w:cs="Arial"/>
                <w:sz w:val="16"/>
                <w:szCs w:val="16"/>
                <w:lang w:eastAsia="fr-FR"/>
              </w:rPr>
              <w:t xml:space="preserve"> les PMA</w:t>
            </w:r>
          </w:p>
        </w:tc>
        <w:tc>
          <w:tcPr>
            <w:tcW w:w="1260" w:type="dxa"/>
            <w:tcBorders>
              <w:top w:val="nil"/>
              <w:left w:val="nil"/>
              <w:bottom w:val="nil"/>
              <w:right w:val="nil"/>
            </w:tcBorders>
            <w:shd w:val="clear" w:color="auto" w:fill="auto"/>
            <w:tcMar>
              <w:top w:w="113" w:type="dxa"/>
              <w:bottom w:w="113" w:type="dxa"/>
            </w:tcMar>
            <w:vAlign w:val="center"/>
            <w:hideMark/>
          </w:tcPr>
          <w:p w:rsidR="00FD3E7B" w:rsidRPr="00A32AF4" w:rsidRDefault="00FD3E7B" w:rsidP="00DC0553">
            <w:pPr>
              <w:jc w:val="right"/>
              <w:rPr>
                <w:rFonts w:cs="Arial"/>
                <w:sz w:val="16"/>
                <w:szCs w:val="16"/>
                <w:lang w:eastAsia="fr-FR"/>
              </w:rPr>
            </w:pPr>
            <w:r w:rsidRPr="00A32AF4">
              <w:rPr>
                <w:rFonts w:cs="Arial"/>
                <w:sz w:val="16"/>
                <w:szCs w:val="16"/>
                <w:lang w:eastAsia="fr-FR"/>
              </w:rPr>
              <w:t xml:space="preserve">231 </w:t>
            </w:r>
          </w:p>
        </w:tc>
        <w:tc>
          <w:tcPr>
            <w:tcW w:w="1440" w:type="dxa"/>
            <w:tcBorders>
              <w:top w:val="nil"/>
              <w:left w:val="nil"/>
              <w:bottom w:val="nil"/>
              <w:right w:val="nil"/>
            </w:tcBorders>
            <w:shd w:val="clear" w:color="auto" w:fill="auto"/>
            <w:tcMar>
              <w:top w:w="113" w:type="dxa"/>
              <w:bottom w:w="113" w:type="dxa"/>
            </w:tcMar>
            <w:vAlign w:val="center"/>
            <w:hideMark/>
          </w:tcPr>
          <w:p w:rsidR="00FD3E7B" w:rsidRPr="00A32AF4" w:rsidRDefault="00FD3E7B" w:rsidP="00DC0553">
            <w:pPr>
              <w:jc w:val="right"/>
              <w:rPr>
                <w:rFonts w:cs="Arial"/>
                <w:sz w:val="16"/>
                <w:szCs w:val="16"/>
                <w:lang w:eastAsia="fr-FR"/>
              </w:rPr>
            </w:pPr>
            <w:r w:rsidRPr="00A32AF4">
              <w:rPr>
                <w:rFonts w:cs="Arial"/>
                <w:sz w:val="16"/>
                <w:szCs w:val="16"/>
                <w:lang w:eastAsia="fr-FR"/>
              </w:rPr>
              <w:t xml:space="preserve">436 </w:t>
            </w:r>
          </w:p>
        </w:tc>
        <w:tc>
          <w:tcPr>
            <w:tcW w:w="1260" w:type="dxa"/>
            <w:tcBorders>
              <w:top w:val="nil"/>
              <w:left w:val="nil"/>
              <w:bottom w:val="nil"/>
              <w:right w:val="single" w:sz="4" w:space="0" w:color="auto"/>
            </w:tcBorders>
            <w:shd w:val="clear" w:color="auto" w:fill="auto"/>
            <w:noWrap/>
            <w:tcMar>
              <w:top w:w="113" w:type="dxa"/>
              <w:bottom w:w="113" w:type="dxa"/>
            </w:tcMar>
            <w:vAlign w:val="center"/>
            <w:hideMark/>
          </w:tcPr>
          <w:p w:rsidR="00FD3E7B" w:rsidRPr="00A32AF4" w:rsidRDefault="00FD3E7B" w:rsidP="00DC0553">
            <w:pPr>
              <w:jc w:val="right"/>
              <w:rPr>
                <w:rFonts w:cs="Arial"/>
                <w:color w:val="000000"/>
                <w:sz w:val="16"/>
                <w:szCs w:val="16"/>
                <w:lang w:eastAsia="fr-FR"/>
              </w:rPr>
            </w:pPr>
            <w:r w:rsidRPr="00A32AF4">
              <w:rPr>
                <w:rFonts w:cs="Arial"/>
                <w:color w:val="000000"/>
                <w:sz w:val="16"/>
                <w:szCs w:val="16"/>
                <w:lang w:eastAsia="fr-FR"/>
              </w:rPr>
              <w:t xml:space="preserve">550 </w:t>
            </w:r>
          </w:p>
        </w:tc>
      </w:tr>
      <w:tr w:rsidR="00FD3E7B" w:rsidRPr="00A32AF4" w:rsidTr="00FD3E7B">
        <w:tc>
          <w:tcPr>
            <w:tcW w:w="512" w:type="dxa"/>
            <w:tcBorders>
              <w:top w:val="nil"/>
              <w:left w:val="single" w:sz="4" w:space="0" w:color="auto"/>
              <w:bottom w:val="nil"/>
              <w:right w:val="nil"/>
            </w:tcBorders>
            <w:shd w:val="clear" w:color="auto" w:fill="auto"/>
            <w:noWrap/>
            <w:tcMar>
              <w:top w:w="113" w:type="dxa"/>
              <w:bottom w:w="113" w:type="dxa"/>
            </w:tcMar>
            <w:vAlign w:val="center"/>
            <w:hideMark/>
          </w:tcPr>
          <w:p w:rsidR="00FD3E7B" w:rsidRPr="00A32AF4" w:rsidRDefault="00FD3E7B" w:rsidP="00DC0553">
            <w:pPr>
              <w:rPr>
                <w:rFonts w:cs="Arial"/>
                <w:sz w:val="16"/>
                <w:szCs w:val="16"/>
                <w:lang w:eastAsia="fr-FR"/>
              </w:rPr>
            </w:pPr>
            <w:r w:rsidRPr="00A32AF4">
              <w:rPr>
                <w:rFonts w:cs="Arial"/>
                <w:sz w:val="16"/>
                <w:szCs w:val="16"/>
                <w:lang w:eastAsia="fr-FR"/>
              </w:rPr>
              <w:t>II.6</w:t>
            </w:r>
          </w:p>
        </w:tc>
        <w:tc>
          <w:tcPr>
            <w:tcW w:w="4508" w:type="dxa"/>
            <w:tcBorders>
              <w:top w:val="nil"/>
              <w:left w:val="nil"/>
              <w:bottom w:val="nil"/>
              <w:right w:val="nil"/>
            </w:tcBorders>
            <w:shd w:val="clear" w:color="auto" w:fill="auto"/>
            <w:tcMar>
              <w:top w:w="113" w:type="dxa"/>
              <w:bottom w:w="113" w:type="dxa"/>
            </w:tcMar>
            <w:vAlign w:val="center"/>
            <w:hideMark/>
          </w:tcPr>
          <w:p w:rsidR="00FD3E7B" w:rsidRPr="00A32AF4" w:rsidRDefault="00FD3E7B" w:rsidP="00C51666">
            <w:pPr>
              <w:rPr>
                <w:rFonts w:cs="Arial"/>
                <w:sz w:val="16"/>
                <w:szCs w:val="16"/>
                <w:lang w:eastAsia="fr-FR"/>
              </w:rPr>
            </w:pPr>
            <w:r w:rsidRPr="00A32AF4">
              <w:rPr>
                <w:rFonts w:cs="Arial"/>
                <w:sz w:val="16"/>
                <w:szCs w:val="16"/>
                <w:lang w:eastAsia="fr-FR"/>
              </w:rPr>
              <w:t>Utilisation élargie et plus efficace d</w:t>
            </w:r>
            <w:r w:rsidR="00C51666" w:rsidRPr="00A32AF4">
              <w:rPr>
                <w:rFonts w:cs="Arial"/>
                <w:sz w:val="16"/>
                <w:szCs w:val="16"/>
                <w:lang w:eastAsia="fr-FR"/>
              </w:rPr>
              <w:t>u système</w:t>
            </w:r>
            <w:r w:rsidRPr="00A32AF4">
              <w:rPr>
                <w:rFonts w:cs="Arial"/>
                <w:sz w:val="16"/>
                <w:szCs w:val="16"/>
                <w:lang w:eastAsia="fr-FR"/>
              </w:rPr>
              <w:t xml:space="preserve"> de Madrid, notamment par les pays en développement et</w:t>
            </w:r>
            <w:r w:rsidR="00E2055A" w:rsidRPr="00A32AF4">
              <w:rPr>
                <w:rFonts w:cs="Arial"/>
                <w:sz w:val="16"/>
                <w:szCs w:val="16"/>
                <w:lang w:eastAsia="fr-FR"/>
              </w:rPr>
              <w:t xml:space="preserve"> les PMA</w:t>
            </w:r>
          </w:p>
        </w:tc>
        <w:tc>
          <w:tcPr>
            <w:tcW w:w="1260" w:type="dxa"/>
            <w:tcBorders>
              <w:top w:val="nil"/>
              <w:left w:val="nil"/>
              <w:bottom w:val="nil"/>
              <w:right w:val="nil"/>
            </w:tcBorders>
            <w:shd w:val="clear" w:color="auto" w:fill="auto"/>
            <w:tcMar>
              <w:top w:w="113" w:type="dxa"/>
              <w:bottom w:w="113" w:type="dxa"/>
            </w:tcMar>
            <w:vAlign w:val="center"/>
            <w:hideMark/>
          </w:tcPr>
          <w:p w:rsidR="00FD3E7B" w:rsidRPr="00A32AF4" w:rsidRDefault="00FD3E7B" w:rsidP="00DC0553">
            <w:pPr>
              <w:jc w:val="right"/>
              <w:rPr>
                <w:rFonts w:cs="Arial"/>
                <w:sz w:val="16"/>
                <w:szCs w:val="16"/>
                <w:lang w:eastAsia="fr-FR"/>
              </w:rPr>
            </w:pPr>
            <w:r w:rsidRPr="00A32AF4">
              <w:rPr>
                <w:rFonts w:cs="Arial"/>
                <w:sz w:val="16"/>
                <w:szCs w:val="16"/>
                <w:lang w:eastAsia="fr-FR"/>
              </w:rPr>
              <w:t xml:space="preserve">231 </w:t>
            </w:r>
          </w:p>
        </w:tc>
        <w:tc>
          <w:tcPr>
            <w:tcW w:w="1440" w:type="dxa"/>
            <w:tcBorders>
              <w:top w:val="nil"/>
              <w:left w:val="nil"/>
              <w:bottom w:val="nil"/>
              <w:right w:val="nil"/>
            </w:tcBorders>
            <w:shd w:val="clear" w:color="auto" w:fill="auto"/>
            <w:tcMar>
              <w:top w:w="113" w:type="dxa"/>
              <w:bottom w:w="113" w:type="dxa"/>
            </w:tcMar>
            <w:vAlign w:val="center"/>
            <w:hideMark/>
          </w:tcPr>
          <w:p w:rsidR="00FD3E7B" w:rsidRPr="00A32AF4" w:rsidRDefault="00FD3E7B" w:rsidP="00DC0553">
            <w:pPr>
              <w:jc w:val="right"/>
              <w:rPr>
                <w:rFonts w:cs="Arial"/>
                <w:sz w:val="16"/>
                <w:szCs w:val="16"/>
                <w:lang w:eastAsia="fr-FR"/>
              </w:rPr>
            </w:pPr>
            <w:r w:rsidRPr="00A32AF4">
              <w:rPr>
                <w:rFonts w:cs="Arial"/>
                <w:sz w:val="16"/>
                <w:szCs w:val="16"/>
                <w:lang w:eastAsia="fr-FR"/>
              </w:rPr>
              <w:t xml:space="preserve">463 </w:t>
            </w:r>
          </w:p>
        </w:tc>
        <w:tc>
          <w:tcPr>
            <w:tcW w:w="1260" w:type="dxa"/>
            <w:tcBorders>
              <w:top w:val="nil"/>
              <w:left w:val="nil"/>
              <w:bottom w:val="nil"/>
              <w:right w:val="single" w:sz="4" w:space="0" w:color="auto"/>
            </w:tcBorders>
            <w:shd w:val="clear" w:color="auto" w:fill="auto"/>
            <w:noWrap/>
            <w:tcMar>
              <w:top w:w="113" w:type="dxa"/>
              <w:bottom w:w="113" w:type="dxa"/>
            </w:tcMar>
            <w:vAlign w:val="center"/>
            <w:hideMark/>
          </w:tcPr>
          <w:p w:rsidR="00FD3E7B" w:rsidRPr="00A32AF4" w:rsidRDefault="00C51666" w:rsidP="00DC0553">
            <w:pPr>
              <w:jc w:val="right"/>
              <w:rPr>
                <w:rFonts w:cs="Arial"/>
                <w:color w:val="000000"/>
                <w:sz w:val="16"/>
                <w:szCs w:val="16"/>
                <w:lang w:eastAsia="fr-FR"/>
              </w:rPr>
            </w:pPr>
            <w:r w:rsidRPr="00A32AF4">
              <w:rPr>
                <w:rFonts w:cs="Arial"/>
                <w:color w:val="000000"/>
                <w:sz w:val="16"/>
                <w:szCs w:val="16"/>
                <w:lang w:eastAsia="fr-FR"/>
              </w:rPr>
              <w:t>526</w:t>
            </w:r>
          </w:p>
        </w:tc>
      </w:tr>
      <w:tr w:rsidR="00FD3E7B" w:rsidRPr="00A32AF4" w:rsidTr="00FD3E7B">
        <w:tc>
          <w:tcPr>
            <w:tcW w:w="512" w:type="dxa"/>
            <w:tcBorders>
              <w:top w:val="nil"/>
              <w:left w:val="single" w:sz="4" w:space="0" w:color="auto"/>
              <w:bottom w:val="nil"/>
              <w:right w:val="nil"/>
            </w:tcBorders>
            <w:shd w:val="clear" w:color="auto" w:fill="auto"/>
            <w:noWrap/>
            <w:tcMar>
              <w:top w:w="113" w:type="dxa"/>
              <w:bottom w:w="113" w:type="dxa"/>
            </w:tcMar>
            <w:vAlign w:val="center"/>
            <w:hideMark/>
          </w:tcPr>
          <w:p w:rsidR="00FD3E7B" w:rsidRPr="00A32AF4" w:rsidRDefault="00FD3E7B" w:rsidP="00DC0553">
            <w:pPr>
              <w:rPr>
                <w:rFonts w:cs="Arial"/>
                <w:sz w:val="16"/>
                <w:szCs w:val="16"/>
                <w:lang w:eastAsia="fr-FR"/>
              </w:rPr>
            </w:pPr>
            <w:r w:rsidRPr="00A32AF4">
              <w:rPr>
                <w:rFonts w:cs="Arial"/>
                <w:sz w:val="16"/>
                <w:szCs w:val="16"/>
                <w:lang w:eastAsia="fr-FR"/>
              </w:rPr>
              <w:t>II.8</w:t>
            </w:r>
          </w:p>
        </w:tc>
        <w:tc>
          <w:tcPr>
            <w:tcW w:w="4508" w:type="dxa"/>
            <w:tcBorders>
              <w:top w:val="nil"/>
              <w:left w:val="nil"/>
              <w:bottom w:val="nil"/>
              <w:right w:val="nil"/>
            </w:tcBorders>
            <w:shd w:val="clear" w:color="auto" w:fill="auto"/>
            <w:tcMar>
              <w:top w:w="113" w:type="dxa"/>
              <w:bottom w:w="113" w:type="dxa"/>
            </w:tcMar>
            <w:vAlign w:val="center"/>
            <w:hideMark/>
          </w:tcPr>
          <w:p w:rsidR="00FD3E7B" w:rsidRPr="00A32AF4" w:rsidRDefault="00FD3E7B" w:rsidP="00DC0553">
            <w:pPr>
              <w:rPr>
                <w:rFonts w:cs="Arial"/>
                <w:sz w:val="16"/>
                <w:szCs w:val="16"/>
                <w:lang w:eastAsia="fr-FR"/>
              </w:rPr>
            </w:pPr>
            <w:r w:rsidRPr="00A32AF4">
              <w:rPr>
                <w:rFonts w:cs="Arial"/>
                <w:sz w:val="16"/>
                <w:szCs w:val="16"/>
                <w:lang w:eastAsia="fr-FR"/>
              </w:rPr>
              <w:t>De plus en plus de litiges internationaux ou nationaux de propriété intellectuelle sont évités ou réglés par la médiation, l</w:t>
            </w:r>
            <w:r w:rsidR="00E2055A" w:rsidRPr="00A32AF4">
              <w:rPr>
                <w:rFonts w:cs="Arial"/>
                <w:sz w:val="16"/>
                <w:szCs w:val="16"/>
                <w:lang w:eastAsia="fr-FR"/>
              </w:rPr>
              <w:t>’</w:t>
            </w:r>
            <w:r w:rsidRPr="00A32AF4">
              <w:rPr>
                <w:rFonts w:cs="Arial"/>
                <w:sz w:val="16"/>
                <w:szCs w:val="16"/>
                <w:lang w:eastAsia="fr-FR"/>
              </w:rPr>
              <w:t>arbitrage et les autres modes extrajudiciaires de règlement des litiges de l</w:t>
            </w:r>
            <w:r w:rsidR="00E2055A" w:rsidRPr="00A32AF4">
              <w:rPr>
                <w:rFonts w:cs="Arial"/>
                <w:sz w:val="16"/>
                <w:szCs w:val="16"/>
                <w:lang w:eastAsia="fr-FR"/>
              </w:rPr>
              <w:t>’</w:t>
            </w:r>
            <w:r w:rsidRPr="00A32AF4">
              <w:rPr>
                <w:rFonts w:cs="Arial"/>
                <w:sz w:val="16"/>
                <w:szCs w:val="16"/>
                <w:lang w:eastAsia="fr-FR"/>
              </w:rPr>
              <w:t>OMPI</w:t>
            </w:r>
          </w:p>
        </w:tc>
        <w:tc>
          <w:tcPr>
            <w:tcW w:w="1260" w:type="dxa"/>
            <w:tcBorders>
              <w:top w:val="nil"/>
              <w:left w:val="nil"/>
              <w:bottom w:val="nil"/>
              <w:right w:val="nil"/>
            </w:tcBorders>
            <w:shd w:val="clear" w:color="auto" w:fill="auto"/>
            <w:tcMar>
              <w:top w:w="113" w:type="dxa"/>
              <w:bottom w:w="113" w:type="dxa"/>
            </w:tcMar>
            <w:vAlign w:val="center"/>
            <w:hideMark/>
          </w:tcPr>
          <w:p w:rsidR="00FD3E7B" w:rsidRPr="00A32AF4" w:rsidRDefault="00FD3E7B" w:rsidP="00DC0553">
            <w:pPr>
              <w:jc w:val="right"/>
              <w:rPr>
                <w:rFonts w:cs="Arial"/>
                <w:sz w:val="16"/>
                <w:szCs w:val="16"/>
                <w:lang w:eastAsia="fr-FR"/>
              </w:rPr>
            </w:pPr>
            <w:r w:rsidRPr="00A32AF4">
              <w:rPr>
                <w:rFonts w:cs="Arial"/>
                <w:sz w:val="16"/>
                <w:szCs w:val="16"/>
                <w:lang w:eastAsia="fr-FR"/>
              </w:rPr>
              <w:t xml:space="preserve">149 </w:t>
            </w:r>
          </w:p>
        </w:tc>
        <w:tc>
          <w:tcPr>
            <w:tcW w:w="1440" w:type="dxa"/>
            <w:tcBorders>
              <w:top w:val="nil"/>
              <w:left w:val="nil"/>
              <w:bottom w:val="nil"/>
              <w:right w:val="nil"/>
            </w:tcBorders>
            <w:shd w:val="clear" w:color="auto" w:fill="auto"/>
            <w:tcMar>
              <w:top w:w="113" w:type="dxa"/>
              <w:bottom w:w="113" w:type="dxa"/>
            </w:tcMar>
            <w:vAlign w:val="center"/>
            <w:hideMark/>
          </w:tcPr>
          <w:p w:rsidR="00FD3E7B" w:rsidRPr="00A32AF4" w:rsidRDefault="00FD3E7B" w:rsidP="00DC0553">
            <w:pPr>
              <w:jc w:val="right"/>
              <w:rPr>
                <w:rFonts w:cs="Arial"/>
                <w:sz w:val="16"/>
                <w:szCs w:val="16"/>
                <w:lang w:eastAsia="fr-FR"/>
              </w:rPr>
            </w:pPr>
            <w:r w:rsidRPr="00A32AF4">
              <w:rPr>
                <w:rFonts w:cs="Arial"/>
                <w:sz w:val="16"/>
                <w:szCs w:val="16"/>
                <w:lang w:eastAsia="fr-FR"/>
              </w:rPr>
              <w:t xml:space="preserve">424 </w:t>
            </w:r>
          </w:p>
        </w:tc>
        <w:tc>
          <w:tcPr>
            <w:tcW w:w="1260" w:type="dxa"/>
            <w:tcBorders>
              <w:top w:val="nil"/>
              <w:left w:val="nil"/>
              <w:bottom w:val="nil"/>
              <w:right w:val="single" w:sz="4" w:space="0" w:color="auto"/>
            </w:tcBorders>
            <w:shd w:val="clear" w:color="auto" w:fill="auto"/>
            <w:noWrap/>
            <w:tcMar>
              <w:top w:w="113" w:type="dxa"/>
              <w:bottom w:w="113" w:type="dxa"/>
            </w:tcMar>
            <w:vAlign w:val="center"/>
            <w:hideMark/>
          </w:tcPr>
          <w:p w:rsidR="00FD3E7B" w:rsidRPr="00A32AF4" w:rsidRDefault="00FD3E7B" w:rsidP="00DC0553">
            <w:pPr>
              <w:jc w:val="right"/>
              <w:rPr>
                <w:rFonts w:cs="Arial"/>
                <w:color w:val="000000"/>
                <w:sz w:val="16"/>
                <w:szCs w:val="16"/>
                <w:lang w:eastAsia="fr-FR"/>
              </w:rPr>
            </w:pPr>
            <w:r w:rsidRPr="00A32AF4">
              <w:rPr>
                <w:rFonts w:cs="Arial"/>
                <w:color w:val="000000"/>
                <w:sz w:val="16"/>
                <w:szCs w:val="16"/>
                <w:lang w:eastAsia="fr-FR"/>
              </w:rPr>
              <w:t xml:space="preserve">343 </w:t>
            </w:r>
          </w:p>
        </w:tc>
      </w:tr>
      <w:tr w:rsidR="00C51666" w:rsidRPr="00A32AF4" w:rsidTr="002C1ED1">
        <w:tc>
          <w:tcPr>
            <w:tcW w:w="512" w:type="dxa"/>
            <w:tcBorders>
              <w:top w:val="nil"/>
              <w:left w:val="single" w:sz="4" w:space="0" w:color="auto"/>
              <w:bottom w:val="nil"/>
              <w:right w:val="nil"/>
            </w:tcBorders>
            <w:shd w:val="clear" w:color="auto" w:fill="auto"/>
            <w:noWrap/>
            <w:tcMar>
              <w:top w:w="113" w:type="dxa"/>
              <w:bottom w:w="113" w:type="dxa"/>
            </w:tcMar>
            <w:vAlign w:val="center"/>
            <w:hideMark/>
          </w:tcPr>
          <w:p w:rsidR="00C51666" w:rsidRPr="00A32AF4" w:rsidRDefault="00C51666" w:rsidP="00C51666">
            <w:pPr>
              <w:rPr>
                <w:rFonts w:cs="Arial"/>
                <w:sz w:val="16"/>
                <w:szCs w:val="16"/>
                <w:lang w:eastAsia="fr-FR"/>
              </w:rPr>
            </w:pPr>
            <w:r w:rsidRPr="00A32AF4">
              <w:rPr>
                <w:rFonts w:cs="Arial"/>
                <w:sz w:val="16"/>
                <w:szCs w:val="16"/>
                <w:lang w:eastAsia="fr-FR"/>
              </w:rPr>
              <w:t>II.10</w:t>
            </w:r>
          </w:p>
        </w:tc>
        <w:tc>
          <w:tcPr>
            <w:tcW w:w="4508" w:type="dxa"/>
            <w:tcBorders>
              <w:top w:val="nil"/>
              <w:left w:val="nil"/>
              <w:bottom w:val="nil"/>
              <w:right w:val="nil"/>
            </w:tcBorders>
            <w:shd w:val="clear" w:color="auto" w:fill="auto"/>
            <w:tcMar>
              <w:top w:w="113" w:type="dxa"/>
              <w:bottom w:w="113" w:type="dxa"/>
            </w:tcMar>
            <w:vAlign w:val="center"/>
            <w:hideMark/>
          </w:tcPr>
          <w:p w:rsidR="00C51666" w:rsidRPr="00A32AF4" w:rsidRDefault="00C51666" w:rsidP="00C51666">
            <w:pPr>
              <w:rPr>
                <w:rFonts w:cs="Arial"/>
                <w:sz w:val="16"/>
                <w:szCs w:val="16"/>
                <w:lang w:eastAsia="fr-FR"/>
              </w:rPr>
            </w:pPr>
            <w:r w:rsidRPr="00A32AF4">
              <w:rPr>
                <w:rFonts w:cs="Arial"/>
                <w:sz w:val="16"/>
                <w:szCs w:val="16"/>
                <w:lang w:eastAsia="fr-FR"/>
              </w:rPr>
              <w:t>Utilisation élargie et plus efficace du système de Lisbonne, notamment par les pays en développement et les PMA</w:t>
            </w:r>
          </w:p>
        </w:tc>
        <w:tc>
          <w:tcPr>
            <w:tcW w:w="1260" w:type="dxa"/>
            <w:tcBorders>
              <w:top w:val="nil"/>
              <w:left w:val="nil"/>
              <w:bottom w:val="nil"/>
              <w:right w:val="nil"/>
            </w:tcBorders>
            <w:shd w:val="clear" w:color="auto" w:fill="auto"/>
            <w:tcMar>
              <w:top w:w="113" w:type="dxa"/>
              <w:bottom w:w="113" w:type="dxa"/>
            </w:tcMar>
            <w:vAlign w:val="center"/>
            <w:hideMark/>
          </w:tcPr>
          <w:p w:rsidR="00C51666" w:rsidRPr="00A32AF4" w:rsidRDefault="00C51666" w:rsidP="002C1ED1">
            <w:pPr>
              <w:jc w:val="right"/>
              <w:rPr>
                <w:rFonts w:cs="Arial"/>
                <w:sz w:val="16"/>
                <w:szCs w:val="16"/>
                <w:lang w:eastAsia="fr-FR"/>
              </w:rPr>
            </w:pPr>
            <w:r w:rsidRPr="00A32AF4">
              <w:rPr>
                <w:rFonts w:cs="Arial"/>
                <w:sz w:val="16"/>
                <w:szCs w:val="16"/>
                <w:lang w:eastAsia="fr-FR"/>
              </w:rPr>
              <w:t>–</w:t>
            </w:r>
          </w:p>
        </w:tc>
        <w:tc>
          <w:tcPr>
            <w:tcW w:w="1440" w:type="dxa"/>
            <w:tcBorders>
              <w:top w:val="nil"/>
              <w:left w:val="nil"/>
              <w:bottom w:val="nil"/>
              <w:right w:val="nil"/>
            </w:tcBorders>
            <w:shd w:val="clear" w:color="auto" w:fill="auto"/>
            <w:tcMar>
              <w:top w:w="113" w:type="dxa"/>
              <w:bottom w:w="113" w:type="dxa"/>
            </w:tcMar>
            <w:vAlign w:val="center"/>
            <w:hideMark/>
          </w:tcPr>
          <w:p w:rsidR="00C51666" w:rsidRPr="00A32AF4" w:rsidRDefault="00C51666" w:rsidP="002C1ED1">
            <w:pPr>
              <w:jc w:val="right"/>
              <w:rPr>
                <w:rFonts w:cs="Arial"/>
                <w:sz w:val="16"/>
                <w:szCs w:val="16"/>
                <w:lang w:eastAsia="fr-FR"/>
              </w:rPr>
            </w:pPr>
            <w:r w:rsidRPr="00A32AF4">
              <w:rPr>
                <w:rFonts w:cs="Arial"/>
                <w:sz w:val="16"/>
                <w:szCs w:val="16"/>
                <w:lang w:eastAsia="fr-FR"/>
              </w:rPr>
              <w:t>–</w:t>
            </w:r>
          </w:p>
        </w:tc>
        <w:tc>
          <w:tcPr>
            <w:tcW w:w="1260" w:type="dxa"/>
            <w:tcBorders>
              <w:top w:val="nil"/>
              <w:left w:val="nil"/>
              <w:bottom w:val="nil"/>
              <w:right w:val="single" w:sz="4" w:space="0" w:color="auto"/>
            </w:tcBorders>
            <w:shd w:val="clear" w:color="auto" w:fill="auto"/>
            <w:noWrap/>
            <w:tcMar>
              <w:top w:w="113" w:type="dxa"/>
              <w:bottom w:w="113" w:type="dxa"/>
            </w:tcMar>
            <w:vAlign w:val="center"/>
            <w:hideMark/>
          </w:tcPr>
          <w:p w:rsidR="00C51666" w:rsidRPr="00A32AF4" w:rsidRDefault="00C51666" w:rsidP="002C1ED1">
            <w:pPr>
              <w:jc w:val="right"/>
              <w:rPr>
                <w:rFonts w:cs="Arial"/>
                <w:color w:val="000000"/>
                <w:sz w:val="16"/>
                <w:szCs w:val="16"/>
                <w:lang w:eastAsia="fr-FR"/>
              </w:rPr>
            </w:pPr>
            <w:r w:rsidRPr="00A32AF4">
              <w:rPr>
                <w:rFonts w:cs="Arial"/>
                <w:color w:val="000000"/>
                <w:sz w:val="16"/>
                <w:szCs w:val="16"/>
                <w:lang w:eastAsia="fr-FR"/>
              </w:rPr>
              <w:t>111</w:t>
            </w:r>
          </w:p>
        </w:tc>
      </w:tr>
      <w:tr w:rsidR="00FD3E7B" w:rsidRPr="00A32AF4" w:rsidTr="00FD3E7B">
        <w:tc>
          <w:tcPr>
            <w:tcW w:w="512" w:type="dxa"/>
            <w:tcBorders>
              <w:top w:val="nil"/>
              <w:left w:val="single" w:sz="4" w:space="0" w:color="auto"/>
              <w:bottom w:val="nil"/>
              <w:right w:val="nil"/>
            </w:tcBorders>
            <w:shd w:val="clear" w:color="auto" w:fill="auto"/>
            <w:noWrap/>
            <w:tcMar>
              <w:top w:w="113" w:type="dxa"/>
              <w:bottom w:w="113" w:type="dxa"/>
            </w:tcMar>
            <w:vAlign w:val="center"/>
            <w:hideMark/>
          </w:tcPr>
          <w:p w:rsidR="00FD3E7B" w:rsidRPr="00A32AF4" w:rsidRDefault="00FD3E7B" w:rsidP="00DC0553">
            <w:pPr>
              <w:rPr>
                <w:rFonts w:cs="Arial"/>
                <w:sz w:val="16"/>
                <w:szCs w:val="16"/>
                <w:lang w:eastAsia="fr-FR"/>
              </w:rPr>
            </w:pPr>
            <w:r w:rsidRPr="00A32AF4">
              <w:rPr>
                <w:rFonts w:cs="Arial"/>
                <w:sz w:val="16"/>
                <w:szCs w:val="16"/>
                <w:lang w:eastAsia="fr-FR"/>
              </w:rPr>
              <w:t>III.1</w:t>
            </w:r>
          </w:p>
        </w:tc>
        <w:tc>
          <w:tcPr>
            <w:tcW w:w="4508" w:type="dxa"/>
            <w:tcBorders>
              <w:top w:val="nil"/>
              <w:left w:val="nil"/>
              <w:bottom w:val="nil"/>
              <w:right w:val="nil"/>
            </w:tcBorders>
            <w:shd w:val="clear" w:color="auto" w:fill="auto"/>
            <w:tcMar>
              <w:top w:w="113" w:type="dxa"/>
              <w:bottom w:w="113" w:type="dxa"/>
            </w:tcMar>
            <w:vAlign w:val="center"/>
            <w:hideMark/>
          </w:tcPr>
          <w:p w:rsidR="00FD3E7B" w:rsidRPr="00A32AF4" w:rsidRDefault="00FD3E7B" w:rsidP="00DC0553">
            <w:pPr>
              <w:rPr>
                <w:rFonts w:cs="Arial"/>
                <w:sz w:val="16"/>
                <w:szCs w:val="16"/>
                <w:lang w:eastAsia="fr-FR"/>
              </w:rPr>
            </w:pPr>
            <w:r w:rsidRPr="00A32AF4">
              <w:rPr>
                <w:rFonts w:cs="Arial"/>
                <w:sz w:val="16"/>
                <w:szCs w:val="16"/>
                <w:lang w:eastAsia="fr-FR"/>
              </w:rPr>
              <w:t>Stratégies et plans nationaux en matière d</w:t>
            </w:r>
            <w:r w:rsidR="00E2055A" w:rsidRPr="00A32AF4">
              <w:rPr>
                <w:rFonts w:cs="Arial"/>
                <w:sz w:val="16"/>
                <w:szCs w:val="16"/>
                <w:lang w:eastAsia="fr-FR"/>
              </w:rPr>
              <w:t>’</w:t>
            </w:r>
            <w:r w:rsidRPr="00A32AF4">
              <w:rPr>
                <w:rFonts w:cs="Arial"/>
                <w:sz w:val="16"/>
                <w:szCs w:val="16"/>
                <w:lang w:eastAsia="fr-FR"/>
              </w:rPr>
              <w:t>innovation et de propriété intellectuelle conformes aux objectifs de développement nationaux</w:t>
            </w:r>
          </w:p>
        </w:tc>
        <w:tc>
          <w:tcPr>
            <w:tcW w:w="1260" w:type="dxa"/>
            <w:tcBorders>
              <w:top w:val="nil"/>
              <w:left w:val="nil"/>
              <w:bottom w:val="nil"/>
              <w:right w:val="nil"/>
            </w:tcBorders>
            <w:shd w:val="clear" w:color="auto" w:fill="auto"/>
            <w:tcMar>
              <w:top w:w="113" w:type="dxa"/>
              <w:bottom w:w="113" w:type="dxa"/>
            </w:tcMar>
            <w:vAlign w:val="center"/>
            <w:hideMark/>
          </w:tcPr>
          <w:p w:rsidR="00FD3E7B" w:rsidRPr="00A32AF4" w:rsidRDefault="00FD3E7B" w:rsidP="00DC0553">
            <w:pPr>
              <w:jc w:val="right"/>
              <w:rPr>
                <w:rFonts w:cs="Arial"/>
                <w:sz w:val="16"/>
                <w:szCs w:val="16"/>
                <w:lang w:eastAsia="fr-FR"/>
              </w:rPr>
            </w:pPr>
            <w:r w:rsidRPr="00A32AF4">
              <w:rPr>
                <w:rFonts w:cs="Arial"/>
                <w:sz w:val="16"/>
                <w:szCs w:val="16"/>
                <w:lang w:eastAsia="fr-FR"/>
              </w:rPr>
              <w:t xml:space="preserve">2 584 </w:t>
            </w:r>
          </w:p>
        </w:tc>
        <w:tc>
          <w:tcPr>
            <w:tcW w:w="1440" w:type="dxa"/>
            <w:tcBorders>
              <w:top w:val="nil"/>
              <w:left w:val="nil"/>
              <w:bottom w:val="nil"/>
              <w:right w:val="nil"/>
            </w:tcBorders>
            <w:shd w:val="clear" w:color="auto" w:fill="auto"/>
            <w:tcMar>
              <w:top w:w="113" w:type="dxa"/>
              <w:bottom w:w="113" w:type="dxa"/>
            </w:tcMar>
            <w:vAlign w:val="center"/>
            <w:hideMark/>
          </w:tcPr>
          <w:p w:rsidR="00FD3E7B" w:rsidRPr="00A32AF4" w:rsidRDefault="00FD3E7B" w:rsidP="00DC0553">
            <w:pPr>
              <w:jc w:val="right"/>
              <w:rPr>
                <w:rFonts w:cs="Arial"/>
                <w:sz w:val="16"/>
                <w:szCs w:val="16"/>
                <w:lang w:eastAsia="fr-FR"/>
              </w:rPr>
            </w:pPr>
            <w:r w:rsidRPr="00A32AF4">
              <w:rPr>
                <w:rFonts w:cs="Arial"/>
                <w:sz w:val="16"/>
                <w:szCs w:val="16"/>
                <w:lang w:eastAsia="fr-FR"/>
              </w:rPr>
              <w:t xml:space="preserve">2 075 </w:t>
            </w:r>
          </w:p>
        </w:tc>
        <w:tc>
          <w:tcPr>
            <w:tcW w:w="1260" w:type="dxa"/>
            <w:tcBorders>
              <w:top w:val="nil"/>
              <w:left w:val="nil"/>
              <w:bottom w:val="nil"/>
              <w:right w:val="single" w:sz="4" w:space="0" w:color="auto"/>
            </w:tcBorders>
            <w:shd w:val="clear" w:color="auto" w:fill="auto"/>
            <w:noWrap/>
            <w:tcMar>
              <w:top w:w="113" w:type="dxa"/>
              <w:bottom w:w="113" w:type="dxa"/>
            </w:tcMar>
            <w:vAlign w:val="center"/>
            <w:hideMark/>
          </w:tcPr>
          <w:p w:rsidR="00FD3E7B" w:rsidRPr="00A32AF4" w:rsidRDefault="00FD3E7B" w:rsidP="00DC0553">
            <w:pPr>
              <w:jc w:val="right"/>
              <w:rPr>
                <w:rFonts w:cs="Arial"/>
                <w:color w:val="000000"/>
                <w:sz w:val="16"/>
                <w:szCs w:val="16"/>
                <w:lang w:eastAsia="fr-FR"/>
              </w:rPr>
            </w:pPr>
            <w:r w:rsidRPr="00A32AF4">
              <w:rPr>
                <w:rFonts w:cs="Arial"/>
                <w:color w:val="000000"/>
                <w:sz w:val="16"/>
                <w:szCs w:val="16"/>
                <w:lang w:eastAsia="fr-FR"/>
              </w:rPr>
              <w:t xml:space="preserve">1 497 </w:t>
            </w:r>
          </w:p>
        </w:tc>
      </w:tr>
      <w:tr w:rsidR="00FD3E7B" w:rsidRPr="00A32AF4" w:rsidTr="00FD3E7B">
        <w:tc>
          <w:tcPr>
            <w:tcW w:w="512" w:type="dxa"/>
            <w:tcBorders>
              <w:top w:val="nil"/>
              <w:left w:val="single" w:sz="4" w:space="0" w:color="auto"/>
              <w:bottom w:val="nil"/>
              <w:right w:val="nil"/>
            </w:tcBorders>
            <w:shd w:val="clear" w:color="auto" w:fill="auto"/>
            <w:noWrap/>
            <w:tcMar>
              <w:top w:w="113" w:type="dxa"/>
              <w:bottom w:w="113" w:type="dxa"/>
            </w:tcMar>
            <w:vAlign w:val="center"/>
            <w:hideMark/>
          </w:tcPr>
          <w:p w:rsidR="00FD3E7B" w:rsidRPr="00A32AF4" w:rsidRDefault="00FD3E7B" w:rsidP="00DC0553">
            <w:pPr>
              <w:rPr>
                <w:rFonts w:cs="Arial"/>
                <w:sz w:val="16"/>
                <w:szCs w:val="16"/>
                <w:lang w:eastAsia="fr-FR"/>
              </w:rPr>
            </w:pPr>
            <w:r w:rsidRPr="00A32AF4">
              <w:rPr>
                <w:rFonts w:cs="Arial"/>
                <w:sz w:val="16"/>
                <w:szCs w:val="16"/>
                <w:lang w:eastAsia="fr-FR"/>
              </w:rPr>
              <w:t>III.2</w:t>
            </w:r>
          </w:p>
        </w:tc>
        <w:tc>
          <w:tcPr>
            <w:tcW w:w="4508" w:type="dxa"/>
            <w:tcBorders>
              <w:top w:val="nil"/>
              <w:left w:val="nil"/>
              <w:bottom w:val="nil"/>
              <w:right w:val="nil"/>
            </w:tcBorders>
            <w:shd w:val="clear" w:color="auto" w:fill="auto"/>
            <w:tcMar>
              <w:top w:w="113" w:type="dxa"/>
              <w:bottom w:w="113" w:type="dxa"/>
            </w:tcMar>
            <w:vAlign w:val="center"/>
            <w:hideMark/>
          </w:tcPr>
          <w:p w:rsidR="00FD3E7B" w:rsidRPr="00A32AF4" w:rsidRDefault="00FD3E7B" w:rsidP="00DC0553">
            <w:pPr>
              <w:rPr>
                <w:rFonts w:cs="Arial"/>
                <w:sz w:val="16"/>
                <w:szCs w:val="16"/>
                <w:lang w:eastAsia="fr-FR"/>
              </w:rPr>
            </w:pPr>
            <w:r w:rsidRPr="00A32AF4">
              <w:rPr>
                <w:rFonts w:cs="Arial"/>
                <w:sz w:val="16"/>
                <w:szCs w:val="16"/>
                <w:lang w:eastAsia="fr-FR"/>
              </w:rPr>
              <w:t>Mise en valeur des ressources humaines pour répondre aux diverses exigences en matière d</w:t>
            </w:r>
            <w:r w:rsidR="00E2055A" w:rsidRPr="00A32AF4">
              <w:rPr>
                <w:rFonts w:cs="Arial"/>
                <w:sz w:val="16"/>
                <w:szCs w:val="16"/>
                <w:lang w:eastAsia="fr-FR"/>
              </w:rPr>
              <w:t>’</w:t>
            </w:r>
            <w:r w:rsidRPr="00A32AF4">
              <w:rPr>
                <w:rFonts w:cs="Arial"/>
                <w:sz w:val="16"/>
                <w:szCs w:val="16"/>
                <w:lang w:eastAsia="fr-FR"/>
              </w:rPr>
              <w:t>utilisation efficace de la propriété intellectuelle au service du développement dans les pays en développement,</w:t>
            </w:r>
            <w:r w:rsidR="00E2055A" w:rsidRPr="00A32AF4">
              <w:rPr>
                <w:rFonts w:cs="Arial"/>
                <w:sz w:val="16"/>
                <w:szCs w:val="16"/>
                <w:lang w:eastAsia="fr-FR"/>
              </w:rPr>
              <w:t xml:space="preserve"> les PMA</w:t>
            </w:r>
            <w:r w:rsidRPr="00A32AF4">
              <w:rPr>
                <w:rFonts w:cs="Arial"/>
                <w:sz w:val="16"/>
                <w:szCs w:val="16"/>
                <w:lang w:eastAsia="fr-FR"/>
              </w:rPr>
              <w:t xml:space="preserve"> et les pays en transition</w:t>
            </w:r>
          </w:p>
        </w:tc>
        <w:tc>
          <w:tcPr>
            <w:tcW w:w="1260" w:type="dxa"/>
            <w:tcBorders>
              <w:top w:val="nil"/>
              <w:left w:val="nil"/>
              <w:bottom w:val="nil"/>
              <w:right w:val="nil"/>
            </w:tcBorders>
            <w:shd w:val="clear" w:color="auto" w:fill="auto"/>
            <w:tcMar>
              <w:top w:w="113" w:type="dxa"/>
              <w:bottom w:w="113" w:type="dxa"/>
            </w:tcMar>
            <w:vAlign w:val="center"/>
            <w:hideMark/>
          </w:tcPr>
          <w:p w:rsidR="00FD3E7B" w:rsidRPr="00A32AF4" w:rsidRDefault="00FD3E7B" w:rsidP="00DC0553">
            <w:pPr>
              <w:jc w:val="right"/>
              <w:rPr>
                <w:rFonts w:cs="Arial"/>
                <w:sz w:val="16"/>
                <w:szCs w:val="16"/>
                <w:lang w:eastAsia="fr-FR"/>
              </w:rPr>
            </w:pPr>
            <w:r w:rsidRPr="00A32AF4">
              <w:rPr>
                <w:rFonts w:cs="Arial"/>
                <w:sz w:val="16"/>
                <w:szCs w:val="16"/>
                <w:lang w:eastAsia="fr-FR"/>
              </w:rPr>
              <w:t xml:space="preserve">1 455 </w:t>
            </w:r>
          </w:p>
        </w:tc>
        <w:tc>
          <w:tcPr>
            <w:tcW w:w="1440" w:type="dxa"/>
            <w:tcBorders>
              <w:top w:val="nil"/>
              <w:left w:val="nil"/>
              <w:bottom w:val="nil"/>
              <w:right w:val="nil"/>
            </w:tcBorders>
            <w:shd w:val="clear" w:color="auto" w:fill="auto"/>
            <w:tcMar>
              <w:top w:w="113" w:type="dxa"/>
              <w:bottom w:w="113" w:type="dxa"/>
            </w:tcMar>
            <w:vAlign w:val="center"/>
            <w:hideMark/>
          </w:tcPr>
          <w:p w:rsidR="00FD3E7B" w:rsidRPr="00A32AF4" w:rsidRDefault="00FD3E7B" w:rsidP="00DC0553">
            <w:pPr>
              <w:jc w:val="right"/>
              <w:rPr>
                <w:rFonts w:cs="Arial"/>
                <w:sz w:val="16"/>
                <w:szCs w:val="16"/>
                <w:lang w:eastAsia="fr-FR"/>
              </w:rPr>
            </w:pPr>
            <w:r w:rsidRPr="00A32AF4">
              <w:rPr>
                <w:rFonts w:cs="Arial"/>
                <w:sz w:val="16"/>
                <w:szCs w:val="16"/>
                <w:lang w:eastAsia="fr-FR"/>
              </w:rPr>
              <w:t xml:space="preserve">934 </w:t>
            </w:r>
          </w:p>
        </w:tc>
        <w:tc>
          <w:tcPr>
            <w:tcW w:w="1260" w:type="dxa"/>
            <w:tcBorders>
              <w:top w:val="nil"/>
              <w:left w:val="nil"/>
              <w:bottom w:val="nil"/>
              <w:right w:val="single" w:sz="4" w:space="0" w:color="auto"/>
            </w:tcBorders>
            <w:shd w:val="clear" w:color="auto" w:fill="auto"/>
            <w:noWrap/>
            <w:tcMar>
              <w:top w:w="113" w:type="dxa"/>
              <w:bottom w:w="113" w:type="dxa"/>
            </w:tcMar>
            <w:vAlign w:val="center"/>
            <w:hideMark/>
          </w:tcPr>
          <w:p w:rsidR="00FD3E7B" w:rsidRPr="00A32AF4" w:rsidRDefault="00FD3E7B" w:rsidP="00DC0553">
            <w:pPr>
              <w:jc w:val="right"/>
              <w:rPr>
                <w:rFonts w:cs="Arial"/>
                <w:color w:val="000000"/>
                <w:sz w:val="16"/>
                <w:szCs w:val="16"/>
                <w:lang w:eastAsia="fr-FR"/>
              </w:rPr>
            </w:pPr>
            <w:r w:rsidRPr="00A32AF4">
              <w:rPr>
                <w:rFonts w:cs="Arial"/>
                <w:color w:val="000000"/>
                <w:sz w:val="16"/>
                <w:szCs w:val="16"/>
                <w:lang w:eastAsia="fr-FR"/>
              </w:rPr>
              <w:t xml:space="preserve">1 999 </w:t>
            </w:r>
          </w:p>
        </w:tc>
      </w:tr>
      <w:tr w:rsidR="00FD3E7B" w:rsidRPr="00A32AF4" w:rsidTr="00FD3E7B">
        <w:tc>
          <w:tcPr>
            <w:tcW w:w="512" w:type="dxa"/>
            <w:tcBorders>
              <w:top w:val="nil"/>
              <w:left w:val="single" w:sz="4" w:space="0" w:color="auto"/>
              <w:bottom w:val="nil"/>
              <w:right w:val="nil"/>
            </w:tcBorders>
            <w:shd w:val="clear" w:color="auto" w:fill="auto"/>
            <w:noWrap/>
            <w:tcMar>
              <w:top w:w="113" w:type="dxa"/>
              <w:bottom w:w="113" w:type="dxa"/>
            </w:tcMar>
            <w:vAlign w:val="center"/>
            <w:hideMark/>
          </w:tcPr>
          <w:p w:rsidR="00FD3E7B" w:rsidRPr="00A32AF4" w:rsidRDefault="00FD3E7B" w:rsidP="00DC0553">
            <w:pPr>
              <w:rPr>
                <w:rFonts w:cs="Arial"/>
                <w:sz w:val="16"/>
                <w:szCs w:val="16"/>
                <w:lang w:eastAsia="fr-FR"/>
              </w:rPr>
            </w:pPr>
            <w:r w:rsidRPr="00A32AF4">
              <w:rPr>
                <w:rFonts w:cs="Arial"/>
                <w:sz w:val="16"/>
                <w:szCs w:val="16"/>
                <w:lang w:eastAsia="fr-FR"/>
              </w:rPr>
              <w:t>III.4</w:t>
            </w:r>
          </w:p>
        </w:tc>
        <w:tc>
          <w:tcPr>
            <w:tcW w:w="4508" w:type="dxa"/>
            <w:tcBorders>
              <w:top w:val="nil"/>
              <w:left w:val="nil"/>
              <w:bottom w:val="nil"/>
              <w:right w:val="nil"/>
            </w:tcBorders>
            <w:shd w:val="clear" w:color="auto" w:fill="auto"/>
            <w:tcMar>
              <w:top w:w="113" w:type="dxa"/>
              <w:bottom w:w="113" w:type="dxa"/>
            </w:tcMar>
            <w:vAlign w:val="center"/>
            <w:hideMark/>
          </w:tcPr>
          <w:p w:rsidR="00FD3E7B" w:rsidRPr="00A32AF4" w:rsidRDefault="00FD3E7B" w:rsidP="00DC0553">
            <w:pPr>
              <w:rPr>
                <w:rFonts w:cs="Arial"/>
                <w:sz w:val="16"/>
                <w:szCs w:val="16"/>
                <w:lang w:eastAsia="fr-FR"/>
              </w:rPr>
            </w:pPr>
            <w:r w:rsidRPr="00A32AF4">
              <w:rPr>
                <w:rFonts w:cs="Arial"/>
                <w:sz w:val="16"/>
                <w:szCs w:val="16"/>
                <w:lang w:eastAsia="fr-FR"/>
              </w:rPr>
              <w:t xml:space="preserve">Mécanismes et programmes de coopération renforcés, adaptés </w:t>
            </w:r>
            <w:r w:rsidR="00972832" w:rsidRPr="00A32AF4">
              <w:rPr>
                <w:rFonts w:cs="Arial"/>
                <w:sz w:val="16"/>
                <w:szCs w:val="16"/>
                <w:lang w:eastAsia="fr-FR"/>
              </w:rPr>
              <w:t>aux besoins des pays en développement,</w:t>
            </w:r>
            <w:r w:rsidR="00E2055A" w:rsidRPr="00A32AF4">
              <w:rPr>
                <w:rFonts w:cs="Arial"/>
                <w:sz w:val="16"/>
                <w:szCs w:val="16"/>
                <w:lang w:eastAsia="fr-FR"/>
              </w:rPr>
              <w:t xml:space="preserve"> des PMA</w:t>
            </w:r>
            <w:r w:rsidR="00972832" w:rsidRPr="00A32AF4">
              <w:rPr>
                <w:rFonts w:cs="Arial"/>
                <w:sz w:val="16"/>
                <w:szCs w:val="16"/>
                <w:lang w:eastAsia="fr-FR"/>
              </w:rPr>
              <w:t xml:space="preserve"> et des pays en transition</w:t>
            </w:r>
          </w:p>
        </w:tc>
        <w:tc>
          <w:tcPr>
            <w:tcW w:w="1260" w:type="dxa"/>
            <w:tcBorders>
              <w:top w:val="nil"/>
              <w:left w:val="nil"/>
              <w:bottom w:val="nil"/>
              <w:right w:val="nil"/>
            </w:tcBorders>
            <w:shd w:val="clear" w:color="auto" w:fill="auto"/>
            <w:tcMar>
              <w:top w:w="113" w:type="dxa"/>
              <w:bottom w:w="113" w:type="dxa"/>
            </w:tcMar>
            <w:vAlign w:val="center"/>
            <w:hideMark/>
          </w:tcPr>
          <w:p w:rsidR="00FD3E7B" w:rsidRPr="00A32AF4" w:rsidRDefault="00FD3E7B" w:rsidP="00DC0553">
            <w:pPr>
              <w:jc w:val="right"/>
              <w:rPr>
                <w:rFonts w:cs="Arial"/>
                <w:sz w:val="16"/>
                <w:szCs w:val="16"/>
                <w:lang w:eastAsia="fr-FR"/>
              </w:rPr>
            </w:pPr>
            <w:r w:rsidRPr="00A32AF4">
              <w:rPr>
                <w:rFonts w:cs="Arial"/>
                <w:sz w:val="16"/>
                <w:szCs w:val="16"/>
                <w:lang w:eastAsia="fr-FR"/>
              </w:rPr>
              <w:t xml:space="preserve">256 </w:t>
            </w:r>
          </w:p>
        </w:tc>
        <w:tc>
          <w:tcPr>
            <w:tcW w:w="1440" w:type="dxa"/>
            <w:tcBorders>
              <w:top w:val="nil"/>
              <w:left w:val="nil"/>
              <w:bottom w:val="nil"/>
              <w:right w:val="nil"/>
            </w:tcBorders>
            <w:shd w:val="clear" w:color="auto" w:fill="auto"/>
            <w:tcMar>
              <w:top w:w="113" w:type="dxa"/>
              <w:bottom w:w="113" w:type="dxa"/>
            </w:tcMar>
            <w:vAlign w:val="center"/>
            <w:hideMark/>
          </w:tcPr>
          <w:p w:rsidR="00FD3E7B" w:rsidRPr="00A32AF4" w:rsidRDefault="00FD3E7B" w:rsidP="00DC0553">
            <w:pPr>
              <w:jc w:val="right"/>
              <w:rPr>
                <w:rFonts w:cs="Arial"/>
                <w:sz w:val="16"/>
                <w:szCs w:val="16"/>
                <w:lang w:eastAsia="fr-FR"/>
              </w:rPr>
            </w:pPr>
            <w:r w:rsidRPr="00A32AF4">
              <w:rPr>
                <w:rFonts w:cs="Arial"/>
                <w:sz w:val="16"/>
                <w:szCs w:val="16"/>
                <w:lang w:eastAsia="fr-FR"/>
              </w:rPr>
              <w:t xml:space="preserve">364 </w:t>
            </w:r>
          </w:p>
        </w:tc>
        <w:tc>
          <w:tcPr>
            <w:tcW w:w="1260" w:type="dxa"/>
            <w:tcBorders>
              <w:top w:val="nil"/>
              <w:left w:val="nil"/>
              <w:bottom w:val="nil"/>
              <w:right w:val="single" w:sz="4" w:space="0" w:color="auto"/>
            </w:tcBorders>
            <w:shd w:val="clear" w:color="auto" w:fill="auto"/>
            <w:noWrap/>
            <w:tcMar>
              <w:top w:w="113" w:type="dxa"/>
              <w:bottom w:w="113" w:type="dxa"/>
            </w:tcMar>
            <w:vAlign w:val="center"/>
            <w:hideMark/>
          </w:tcPr>
          <w:p w:rsidR="00FD3E7B" w:rsidRPr="00A32AF4" w:rsidRDefault="00FD3E7B" w:rsidP="00DC0553">
            <w:pPr>
              <w:jc w:val="right"/>
              <w:rPr>
                <w:rFonts w:cs="Arial"/>
                <w:color w:val="000000"/>
                <w:sz w:val="16"/>
                <w:szCs w:val="16"/>
                <w:lang w:eastAsia="fr-FR"/>
              </w:rPr>
            </w:pPr>
            <w:r w:rsidRPr="00A32AF4">
              <w:rPr>
                <w:rFonts w:cs="Arial"/>
                <w:color w:val="000000"/>
                <w:sz w:val="16"/>
                <w:szCs w:val="16"/>
                <w:lang w:eastAsia="fr-FR"/>
              </w:rPr>
              <w:t xml:space="preserve">890 </w:t>
            </w:r>
          </w:p>
        </w:tc>
      </w:tr>
      <w:tr w:rsidR="00FD3E7B" w:rsidRPr="00A32AF4" w:rsidTr="00FD3E7B">
        <w:tc>
          <w:tcPr>
            <w:tcW w:w="512" w:type="dxa"/>
            <w:tcBorders>
              <w:top w:val="nil"/>
              <w:left w:val="single" w:sz="4" w:space="0" w:color="auto"/>
              <w:bottom w:val="nil"/>
              <w:right w:val="nil"/>
            </w:tcBorders>
            <w:shd w:val="clear" w:color="auto" w:fill="auto"/>
            <w:noWrap/>
            <w:tcMar>
              <w:top w:w="113" w:type="dxa"/>
              <w:bottom w:w="113" w:type="dxa"/>
            </w:tcMar>
            <w:vAlign w:val="center"/>
            <w:hideMark/>
          </w:tcPr>
          <w:p w:rsidR="00FD3E7B" w:rsidRPr="00A32AF4" w:rsidRDefault="00FD3E7B" w:rsidP="00DC0553">
            <w:pPr>
              <w:rPr>
                <w:rFonts w:cs="Arial"/>
                <w:sz w:val="16"/>
                <w:szCs w:val="16"/>
                <w:lang w:eastAsia="fr-FR"/>
              </w:rPr>
            </w:pPr>
            <w:r w:rsidRPr="00A32AF4">
              <w:rPr>
                <w:rFonts w:cs="Arial"/>
                <w:sz w:val="16"/>
                <w:szCs w:val="16"/>
                <w:lang w:eastAsia="fr-FR"/>
              </w:rPr>
              <w:t>III.6</w:t>
            </w:r>
          </w:p>
        </w:tc>
        <w:tc>
          <w:tcPr>
            <w:tcW w:w="4508" w:type="dxa"/>
            <w:tcBorders>
              <w:top w:val="nil"/>
              <w:left w:val="nil"/>
              <w:bottom w:val="nil"/>
              <w:right w:val="nil"/>
            </w:tcBorders>
            <w:shd w:val="clear" w:color="auto" w:fill="auto"/>
            <w:tcMar>
              <w:top w:w="113" w:type="dxa"/>
              <w:bottom w:w="113" w:type="dxa"/>
            </w:tcMar>
            <w:vAlign w:val="center"/>
            <w:hideMark/>
          </w:tcPr>
          <w:p w:rsidR="00FD3E7B" w:rsidRPr="00A32AF4" w:rsidRDefault="00FD3E7B" w:rsidP="00DC0553">
            <w:pPr>
              <w:rPr>
                <w:rFonts w:cs="Arial"/>
                <w:sz w:val="16"/>
                <w:szCs w:val="16"/>
                <w:lang w:eastAsia="fr-FR"/>
              </w:rPr>
            </w:pPr>
            <w:r w:rsidRPr="00A32AF4">
              <w:rPr>
                <w:rFonts w:cs="Arial"/>
                <w:sz w:val="16"/>
                <w:szCs w:val="16"/>
                <w:lang w:eastAsia="fr-FR"/>
              </w:rPr>
              <w:t>Renforcement des capacités</w:t>
            </w:r>
            <w:r w:rsidR="00E2055A" w:rsidRPr="00A32AF4">
              <w:rPr>
                <w:rFonts w:cs="Arial"/>
                <w:sz w:val="16"/>
                <w:szCs w:val="16"/>
                <w:lang w:eastAsia="fr-FR"/>
              </w:rPr>
              <w:t xml:space="preserve"> des PME</w:t>
            </w:r>
            <w:r w:rsidRPr="00A32AF4">
              <w:rPr>
                <w:rFonts w:cs="Arial"/>
                <w:sz w:val="16"/>
                <w:szCs w:val="16"/>
                <w:lang w:eastAsia="fr-FR"/>
              </w:rPr>
              <w:t xml:space="preserve"> s</w:t>
            </w:r>
            <w:r w:rsidR="00E2055A" w:rsidRPr="00A32AF4">
              <w:rPr>
                <w:rFonts w:cs="Arial"/>
                <w:sz w:val="16"/>
                <w:szCs w:val="16"/>
                <w:lang w:eastAsia="fr-FR"/>
              </w:rPr>
              <w:t>’</w:t>
            </w:r>
            <w:r w:rsidRPr="00A32AF4">
              <w:rPr>
                <w:rFonts w:cs="Arial"/>
                <w:sz w:val="16"/>
                <w:szCs w:val="16"/>
                <w:lang w:eastAsia="fr-FR"/>
              </w:rPr>
              <w:t>agissant de mettre la propriété intellectuelle au service de l</w:t>
            </w:r>
            <w:r w:rsidR="00E2055A" w:rsidRPr="00A32AF4">
              <w:rPr>
                <w:rFonts w:cs="Arial"/>
                <w:sz w:val="16"/>
                <w:szCs w:val="16"/>
                <w:lang w:eastAsia="fr-FR"/>
              </w:rPr>
              <w:t>’</w:t>
            </w:r>
            <w:r w:rsidRPr="00A32AF4">
              <w:rPr>
                <w:rFonts w:cs="Arial"/>
                <w:sz w:val="16"/>
                <w:szCs w:val="16"/>
                <w:lang w:eastAsia="fr-FR"/>
              </w:rPr>
              <w:t>innovation</w:t>
            </w:r>
          </w:p>
        </w:tc>
        <w:tc>
          <w:tcPr>
            <w:tcW w:w="1260" w:type="dxa"/>
            <w:tcBorders>
              <w:top w:val="nil"/>
              <w:left w:val="nil"/>
              <w:bottom w:val="nil"/>
              <w:right w:val="nil"/>
            </w:tcBorders>
            <w:shd w:val="clear" w:color="auto" w:fill="auto"/>
            <w:tcMar>
              <w:top w:w="113" w:type="dxa"/>
              <w:bottom w:w="113" w:type="dxa"/>
            </w:tcMar>
            <w:vAlign w:val="center"/>
            <w:hideMark/>
          </w:tcPr>
          <w:p w:rsidR="00FD3E7B" w:rsidRPr="00A32AF4" w:rsidRDefault="00FD3E7B" w:rsidP="00DC0553">
            <w:pPr>
              <w:jc w:val="right"/>
              <w:rPr>
                <w:rFonts w:cs="Arial"/>
                <w:sz w:val="16"/>
                <w:szCs w:val="16"/>
                <w:lang w:eastAsia="fr-FR"/>
              </w:rPr>
            </w:pPr>
            <w:r w:rsidRPr="00A32AF4">
              <w:rPr>
                <w:rFonts w:cs="Arial"/>
                <w:sz w:val="16"/>
                <w:szCs w:val="16"/>
                <w:lang w:eastAsia="fr-FR"/>
              </w:rPr>
              <w:t xml:space="preserve">578 </w:t>
            </w:r>
          </w:p>
        </w:tc>
        <w:tc>
          <w:tcPr>
            <w:tcW w:w="1440" w:type="dxa"/>
            <w:tcBorders>
              <w:top w:val="nil"/>
              <w:left w:val="nil"/>
              <w:bottom w:val="nil"/>
              <w:right w:val="nil"/>
            </w:tcBorders>
            <w:shd w:val="clear" w:color="auto" w:fill="auto"/>
            <w:tcMar>
              <w:top w:w="113" w:type="dxa"/>
              <w:bottom w:w="113" w:type="dxa"/>
            </w:tcMar>
            <w:vAlign w:val="center"/>
            <w:hideMark/>
          </w:tcPr>
          <w:p w:rsidR="00FD3E7B" w:rsidRPr="00A32AF4" w:rsidRDefault="00FD3E7B" w:rsidP="00DC0553">
            <w:pPr>
              <w:jc w:val="right"/>
              <w:rPr>
                <w:rFonts w:cs="Arial"/>
                <w:sz w:val="16"/>
                <w:szCs w:val="16"/>
                <w:lang w:eastAsia="fr-FR"/>
              </w:rPr>
            </w:pPr>
            <w:r w:rsidRPr="00A32AF4">
              <w:rPr>
                <w:rFonts w:cs="Arial"/>
                <w:sz w:val="16"/>
                <w:szCs w:val="16"/>
                <w:lang w:eastAsia="fr-FR"/>
              </w:rPr>
              <w:t xml:space="preserve">813 </w:t>
            </w:r>
          </w:p>
        </w:tc>
        <w:tc>
          <w:tcPr>
            <w:tcW w:w="1260" w:type="dxa"/>
            <w:tcBorders>
              <w:top w:val="nil"/>
              <w:left w:val="nil"/>
              <w:bottom w:val="nil"/>
              <w:right w:val="single" w:sz="4" w:space="0" w:color="auto"/>
            </w:tcBorders>
            <w:shd w:val="clear" w:color="auto" w:fill="auto"/>
            <w:tcMar>
              <w:top w:w="113" w:type="dxa"/>
              <w:bottom w:w="113" w:type="dxa"/>
            </w:tcMar>
            <w:vAlign w:val="center"/>
            <w:hideMark/>
          </w:tcPr>
          <w:p w:rsidR="00FD3E7B" w:rsidRPr="00A32AF4" w:rsidRDefault="00FD3E7B" w:rsidP="00DC0553">
            <w:pPr>
              <w:jc w:val="right"/>
              <w:rPr>
                <w:rFonts w:cs="Arial"/>
                <w:sz w:val="16"/>
                <w:szCs w:val="16"/>
                <w:lang w:eastAsia="fr-FR"/>
              </w:rPr>
            </w:pPr>
            <w:r w:rsidRPr="00A32AF4">
              <w:rPr>
                <w:rFonts w:cs="Arial"/>
                <w:sz w:val="16"/>
                <w:szCs w:val="16"/>
                <w:lang w:eastAsia="fr-FR"/>
              </w:rPr>
              <w:t>–</w:t>
            </w:r>
          </w:p>
        </w:tc>
      </w:tr>
      <w:tr w:rsidR="00FD3E7B" w:rsidRPr="00A32AF4" w:rsidTr="00FD3E7B">
        <w:tc>
          <w:tcPr>
            <w:tcW w:w="512" w:type="dxa"/>
            <w:tcBorders>
              <w:top w:val="nil"/>
              <w:left w:val="single" w:sz="4" w:space="0" w:color="auto"/>
              <w:bottom w:val="nil"/>
              <w:right w:val="nil"/>
            </w:tcBorders>
            <w:shd w:val="clear" w:color="auto" w:fill="auto"/>
            <w:noWrap/>
            <w:tcMar>
              <w:top w:w="113" w:type="dxa"/>
              <w:bottom w:w="113" w:type="dxa"/>
            </w:tcMar>
            <w:vAlign w:val="center"/>
            <w:hideMark/>
          </w:tcPr>
          <w:p w:rsidR="00FD3E7B" w:rsidRPr="00A32AF4" w:rsidRDefault="00FD3E7B" w:rsidP="00DC0553">
            <w:pPr>
              <w:rPr>
                <w:rFonts w:cs="Arial"/>
                <w:sz w:val="16"/>
                <w:szCs w:val="16"/>
                <w:lang w:eastAsia="fr-FR"/>
              </w:rPr>
            </w:pPr>
            <w:r w:rsidRPr="00A32AF4">
              <w:rPr>
                <w:rFonts w:cs="Arial"/>
                <w:sz w:val="16"/>
                <w:szCs w:val="16"/>
                <w:lang w:eastAsia="fr-FR"/>
              </w:rPr>
              <w:t>IV.2</w:t>
            </w:r>
          </w:p>
        </w:tc>
        <w:tc>
          <w:tcPr>
            <w:tcW w:w="4508" w:type="dxa"/>
            <w:tcBorders>
              <w:top w:val="nil"/>
              <w:left w:val="nil"/>
              <w:bottom w:val="nil"/>
              <w:right w:val="nil"/>
            </w:tcBorders>
            <w:shd w:val="clear" w:color="auto" w:fill="auto"/>
            <w:tcMar>
              <w:top w:w="113" w:type="dxa"/>
              <w:bottom w:w="113" w:type="dxa"/>
            </w:tcMar>
            <w:vAlign w:val="center"/>
            <w:hideMark/>
          </w:tcPr>
          <w:p w:rsidR="00FD3E7B" w:rsidRPr="00A32AF4" w:rsidRDefault="00FD3E7B" w:rsidP="00DC0553">
            <w:pPr>
              <w:rPr>
                <w:rFonts w:cs="Arial"/>
                <w:sz w:val="16"/>
                <w:szCs w:val="16"/>
                <w:lang w:eastAsia="fr-FR"/>
              </w:rPr>
            </w:pPr>
            <w:r w:rsidRPr="00A32AF4">
              <w:rPr>
                <w:rFonts w:cs="Arial"/>
                <w:sz w:val="16"/>
                <w:szCs w:val="16"/>
                <w:lang w:eastAsia="fr-FR"/>
              </w:rPr>
              <w:t>Amélioration de l</w:t>
            </w:r>
            <w:r w:rsidR="00E2055A" w:rsidRPr="00A32AF4">
              <w:rPr>
                <w:rFonts w:cs="Arial"/>
                <w:sz w:val="16"/>
                <w:szCs w:val="16"/>
                <w:lang w:eastAsia="fr-FR"/>
              </w:rPr>
              <w:t>’</w:t>
            </w:r>
            <w:r w:rsidRPr="00A32AF4">
              <w:rPr>
                <w:rFonts w:cs="Arial"/>
                <w:sz w:val="16"/>
                <w:szCs w:val="16"/>
                <w:lang w:eastAsia="fr-FR"/>
              </w:rPr>
              <w:t>accessibilité et de l</w:t>
            </w:r>
            <w:r w:rsidR="00E2055A" w:rsidRPr="00A32AF4">
              <w:rPr>
                <w:rFonts w:cs="Arial"/>
                <w:sz w:val="16"/>
                <w:szCs w:val="16"/>
                <w:lang w:eastAsia="fr-FR"/>
              </w:rPr>
              <w:t>’</w:t>
            </w:r>
            <w:r w:rsidRPr="00A32AF4">
              <w:rPr>
                <w:rFonts w:cs="Arial"/>
                <w:sz w:val="16"/>
                <w:szCs w:val="16"/>
                <w:lang w:eastAsia="fr-FR"/>
              </w:rPr>
              <w:t>utilisation de l</w:t>
            </w:r>
            <w:r w:rsidR="00E2055A" w:rsidRPr="00A32AF4">
              <w:rPr>
                <w:rFonts w:cs="Arial"/>
                <w:sz w:val="16"/>
                <w:szCs w:val="16"/>
                <w:lang w:eastAsia="fr-FR"/>
              </w:rPr>
              <w:t>’</w:t>
            </w:r>
            <w:r w:rsidRPr="00A32AF4">
              <w:rPr>
                <w:rFonts w:cs="Arial"/>
                <w:sz w:val="16"/>
                <w:szCs w:val="16"/>
                <w:lang w:eastAsia="fr-FR"/>
              </w:rPr>
              <w:t>information en matière de propriété intellectuelle par les institutions compétentes et le public afin de promouvoir l</w:t>
            </w:r>
            <w:r w:rsidR="00E2055A" w:rsidRPr="00A32AF4">
              <w:rPr>
                <w:rFonts w:cs="Arial"/>
                <w:sz w:val="16"/>
                <w:szCs w:val="16"/>
                <w:lang w:eastAsia="fr-FR"/>
              </w:rPr>
              <w:t>’</w:t>
            </w:r>
            <w:r w:rsidRPr="00A32AF4">
              <w:rPr>
                <w:rFonts w:cs="Arial"/>
                <w:sz w:val="16"/>
                <w:szCs w:val="16"/>
                <w:lang w:eastAsia="fr-FR"/>
              </w:rPr>
              <w:t>innovation et la créativité</w:t>
            </w:r>
          </w:p>
        </w:tc>
        <w:tc>
          <w:tcPr>
            <w:tcW w:w="1260" w:type="dxa"/>
            <w:tcBorders>
              <w:top w:val="nil"/>
              <w:left w:val="nil"/>
              <w:bottom w:val="nil"/>
              <w:right w:val="nil"/>
            </w:tcBorders>
            <w:shd w:val="clear" w:color="auto" w:fill="auto"/>
            <w:tcMar>
              <w:top w:w="113" w:type="dxa"/>
              <w:bottom w:w="113" w:type="dxa"/>
            </w:tcMar>
            <w:vAlign w:val="center"/>
            <w:hideMark/>
          </w:tcPr>
          <w:p w:rsidR="00FD3E7B" w:rsidRPr="00A32AF4" w:rsidRDefault="00FD3E7B" w:rsidP="00DC0553">
            <w:pPr>
              <w:jc w:val="right"/>
              <w:rPr>
                <w:rFonts w:cs="Arial"/>
                <w:sz w:val="16"/>
                <w:szCs w:val="16"/>
                <w:lang w:eastAsia="fr-FR"/>
              </w:rPr>
            </w:pPr>
            <w:r w:rsidRPr="00A32AF4">
              <w:rPr>
                <w:rFonts w:cs="Arial"/>
                <w:sz w:val="16"/>
                <w:szCs w:val="16"/>
                <w:lang w:eastAsia="fr-FR"/>
              </w:rPr>
              <w:t xml:space="preserve">666 </w:t>
            </w:r>
          </w:p>
        </w:tc>
        <w:tc>
          <w:tcPr>
            <w:tcW w:w="1440" w:type="dxa"/>
            <w:tcBorders>
              <w:top w:val="nil"/>
              <w:left w:val="nil"/>
              <w:bottom w:val="nil"/>
              <w:right w:val="nil"/>
            </w:tcBorders>
            <w:shd w:val="clear" w:color="auto" w:fill="auto"/>
            <w:tcMar>
              <w:top w:w="113" w:type="dxa"/>
              <w:bottom w:w="113" w:type="dxa"/>
            </w:tcMar>
            <w:vAlign w:val="center"/>
            <w:hideMark/>
          </w:tcPr>
          <w:p w:rsidR="00FD3E7B" w:rsidRPr="00A32AF4" w:rsidRDefault="00FD3E7B" w:rsidP="00DC0553">
            <w:pPr>
              <w:jc w:val="right"/>
              <w:rPr>
                <w:rFonts w:cs="Arial"/>
                <w:sz w:val="16"/>
                <w:szCs w:val="16"/>
                <w:lang w:eastAsia="fr-FR"/>
              </w:rPr>
            </w:pPr>
            <w:r w:rsidRPr="00A32AF4">
              <w:rPr>
                <w:rFonts w:cs="Arial"/>
                <w:sz w:val="16"/>
                <w:szCs w:val="16"/>
                <w:lang w:eastAsia="fr-FR"/>
              </w:rPr>
              <w:t xml:space="preserve">827 </w:t>
            </w:r>
          </w:p>
        </w:tc>
        <w:tc>
          <w:tcPr>
            <w:tcW w:w="1260" w:type="dxa"/>
            <w:tcBorders>
              <w:top w:val="nil"/>
              <w:left w:val="nil"/>
              <w:bottom w:val="nil"/>
              <w:right w:val="single" w:sz="4" w:space="0" w:color="auto"/>
            </w:tcBorders>
            <w:shd w:val="clear" w:color="auto" w:fill="auto"/>
            <w:tcMar>
              <w:top w:w="113" w:type="dxa"/>
              <w:bottom w:w="113" w:type="dxa"/>
            </w:tcMar>
            <w:vAlign w:val="center"/>
            <w:hideMark/>
          </w:tcPr>
          <w:p w:rsidR="00FD3E7B" w:rsidRPr="00A32AF4" w:rsidRDefault="00FD3E7B" w:rsidP="00DC0553">
            <w:pPr>
              <w:jc w:val="right"/>
              <w:rPr>
                <w:rFonts w:cs="Arial"/>
                <w:sz w:val="16"/>
                <w:szCs w:val="16"/>
                <w:lang w:eastAsia="fr-FR"/>
              </w:rPr>
            </w:pPr>
            <w:r w:rsidRPr="00A32AF4">
              <w:rPr>
                <w:rFonts w:cs="Arial"/>
                <w:sz w:val="16"/>
                <w:szCs w:val="16"/>
                <w:lang w:eastAsia="fr-FR"/>
              </w:rPr>
              <w:t>–</w:t>
            </w:r>
          </w:p>
        </w:tc>
      </w:tr>
      <w:tr w:rsidR="00FD3E7B" w:rsidRPr="00A32AF4" w:rsidTr="00FD3E7B">
        <w:tc>
          <w:tcPr>
            <w:tcW w:w="512" w:type="dxa"/>
            <w:tcBorders>
              <w:top w:val="nil"/>
              <w:left w:val="single" w:sz="4" w:space="0" w:color="auto"/>
              <w:bottom w:val="nil"/>
              <w:right w:val="nil"/>
            </w:tcBorders>
            <w:shd w:val="clear" w:color="auto" w:fill="auto"/>
            <w:noWrap/>
            <w:tcMar>
              <w:top w:w="113" w:type="dxa"/>
              <w:bottom w:w="113" w:type="dxa"/>
            </w:tcMar>
            <w:vAlign w:val="center"/>
            <w:hideMark/>
          </w:tcPr>
          <w:p w:rsidR="00FD3E7B" w:rsidRPr="00A32AF4" w:rsidRDefault="00FD3E7B" w:rsidP="00DC0553">
            <w:pPr>
              <w:rPr>
                <w:rFonts w:cs="Arial"/>
                <w:sz w:val="16"/>
                <w:szCs w:val="16"/>
                <w:lang w:eastAsia="fr-FR"/>
              </w:rPr>
            </w:pPr>
            <w:r w:rsidRPr="00A32AF4">
              <w:rPr>
                <w:rFonts w:cs="Arial"/>
                <w:sz w:val="16"/>
                <w:szCs w:val="16"/>
                <w:lang w:eastAsia="fr-FR"/>
              </w:rPr>
              <w:t>IV.4</w:t>
            </w:r>
          </w:p>
        </w:tc>
        <w:tc>
          <w:tcPr>
            <w:tcW w:w="4508" w:type="dxa"/>
            <w:tcBorders>
              <w:top w:val="nil"/>
              <w:left w:val="nil"/>
              <w:bottom w:val="nil"/>
              <w:right w:val="nil"/>
            </w:tcBorders>
            <w:shd w:val="clear" w:color="auto" w:fill="auto"/>
            <w:tcMar>
              <w:top w:w="113" w:type="dxa"/>
              <w:bottom w:w="113" w:type="dxa"/>
            </w:tcMar>
            <w:vAlign w:val="center"/>
            <w:hideMark/>
          </w:tcPr>
          <w:p w:rsidR="00FD3E7B" w:rsidRPr="00A32AF4" w:rsidRDefault="00FD3E7B" w:rsidP="00DC0553">
            <w:pPr>
              <w:rPr>
                <w:rFonts w:cs="Arial"/>
                <w:sz w:val="16"/>
                <w:szCs w:val="16"/>
                <w:lang w:eastAsia="fr-FR"/>
              </w:rPr>
            </w:pPr>
            <w:r w:rsidRPr="00A32AF4">
              <w:rPr>
                <w:rFonts w:cs="Arial"/>
                <w:sz w:val="16"/>
                <w:szCs w:val="16"/>
                <w:lang w:eastAsia="fr-FR"/>
              </w:rPr>
              <w:t>Amélioration de l</w:t>
            </w:r>
            <w:r w:rsidR="00E2055A" w:rsidRPr="00A32AF4">
              <w:rPr>
                <w:rFonts w:cs="Arial"/>
                <w:sz w:val="16"/>
                <w:szCs w:val="16"/>
                <w:lang w:eastAsia="fr-FR"/>
              </w:rPr>
              <w:t>’</w:t>
            </w:r>
            <w:r w:rsidRPr="00A32AF4">
              <w:rPr>
                <w:rFonts w:cs="Arial"/>
                <w:sz w:val="16"/>
                <w:szCs w:val="16"/>
                <w:lang w:eastAsia="fr-FR"/>
              </w:rPr>
              <w:t>infrastructure technique et du savoir pour les offices de propriété intellectuelle et les autres institutions de propriété intellectuelle, leur permettant de fournir à leurs parties prenantes des services améliorés (moins chers, plus rapides, de meilleure qualité) et d</w:t>
            </w:r>
            <w:r w:rsidR="00E2055A" w:rsidRPr="00A32AF4">
              <w:rPr>
                <w:rFonts w:cs="Arial"/>
                <w:sz w:val="16"/>
                <w:szCs w:val="16"/>
                <w:lang w:eastAsia="fr-FR"/>
              </w:rPr>
              <w:t>’</w:t>
            </w:r>
            <w:r w:rsidRPr="00A32AF4">
              <w:rPr>
                <w:rFonts w:cs="Arial"/>
                <w:sz w:val="16"/>
                <w:szCs w:val="16"/>
                <w:lang w:eastAsia="fr-FR"/>
              </w:rPr>
              <w:t>obtenir un meilleur résultat pour ce qui concerne l</w:t>
            </w:r>
            <w:r w:rsidR="00E2055A" w:rsidRPr="00A32AF4">
              <w:rPr>
                <w:rFonts w:cs="Arial"/>
                <w:sz w:val="16"/>
                <w:szCs w:val="16"/>
                <w:lang w:eastAsia="fr-FR"/>
              </w:rPr>
              <w:t>’</w:t>
            </w:r>
            <w:r w:rsidRPr="00A32AF4">
              <w:rPr>
                <w:rFonts w:cs="Arial"/>
                <w:sz w:val="16"/>
                <w:szCs w:val="16"/>
                <w:lang w:eastAsia="fr-FR"/>
              </w:rPr>
              <w:t>administration de la propriété intellectuelle</w:t>
            </w:r>
          </w:p>
        </w:tc>
        <w:tc>
          <w:tcPr>
            <w:tcW w:w="1260" w:type="dxa"/>
            <w:tcBorders>
              <w:top w:val="nil"/>
              <w:left w:val="nil"/>
              <w:bottom w:val="nil"/>
              <w:right w:val="nil"/>
            </w:tcBorders>
            <w:shd w:val="clear" w:color="auto" w:fill="auto"/>
            <w:tcMar>
              <w:top w:w="113" w:type="dxa"/>
              <w:bottom w:w="113" w:type="dxa"/>
            </w:tcMar>
            <w:vAlign w:val="center"/>
            <w:hideMark/>
          </w:tcPr>
          <w:p w:rsidR="00FD3E7B" w:rsidRPr="00A32AF4" w:rsidRDefault="00FD3E7B" w:rsidP="00DC0553">
            <w:pPr>
              <w:jc w:val="right"/>
              <w:rPr>
                <w:rFonts w:cs="Arial"/>
                <w:sz w:val="16"/>
                <w:szCs w:val="16"/>
                <w:lang w:eastAsia="fr-FR"/>
              </w:rPr>
            </w:pPr>
            <w:r w:rsidRPr="00A32AF4">
              <w:rPr>
                <w:rFonts w:cs="Arial"/>
                <w:sz w:val="16"/>
                <w:szCs w:val="16"/>
                <w:lang w:eastAsia="fr-FR"/>
              </w:rPr>
              <w:t xml:space="preserve">380 </w:t>
            </w:r>
          </w:p>
        </w:tc>
        <w:tc>
          <w:tcPr>
            <w:tcW w:w="1440" w:type="dxa"/>
            <w:tcBorders>
              <w:top w:val="nil"/>
              <w:left w:val="nil"/>
              <w:bottom w:val="nil"/>
              <w:right w:val="nil"/>
            </w:tcBorders>
            <w:shd w:val="clear" w:color="auto" w:fill="auto"/>
            <w:tcMar>
              <w:top w:w="113" w:type="dxa"/>
              <w:bottom w:w="113" w:type="dxa"/>
            </w:tcMar>
            <w:vAlign w:val="center"/>
            <w:hideMark/>
          </w:tcPr>
          <w:p w:rsidR="00FD3E7B" w:rsidRPr="00A32AF4" w:rsidRDefault="00FD3E7B" w:rsidP="00DC0553">
            <w:pPr>
              <w:jc w:val="right"/>
              <w:rPr>
                <w:rFonts w:cs="Arial"/>
                <w:sz w:val="16"/>
                <w:szCs w:val="16"/>
                <w:lang w:eastAsia="fr-FR"/>
              </w:rPr>
            </w:pPr>
            <w:r w:rsidRPr="00A32AF4">
              <w:rPr>
                <w:rFonts w:cs="Arial"/>
                <w:sz w:val="16"/>
                <w:szCs w:val="16"/>
                <w:lang w:eastAsia="fr-FR"/>
              </w:rPr>
              <w:t xml:space="preserve">252 </w:t>
            </w:r>
          </w:p>
        </w:tc>
        <w:tc>
          <w:tcPr>
            <w:tcW w:w="1260" w:type="dxa"/>
            <w:tcBorders>
              <w:top w:val="nil"/>
              <w:left w:val="nil"/>
              <w:bottom w:val="single" w:sz="4" w:space="0" w:color="auto"/>
              <w:right w:val="single" w:sz="4" w:space="0" w:color="auto"/>
            </w:tcBorders>
            <w:shd w:val="clear" w:color="auto" w:fill="auto"/>
            <w:tcMar>
              <w:top w:w="113" w:type="dxa"/>
              <w:bottom w:w="113" w:type="dxa"/>
            </w:tcMar>
            <w:vAlign w:val="center"/>
            <w:hideMark/>
          </w:tcPr>
          <w:p w:rsidR="00FD3E7B" w:rsidRPr="00A32AF4" w:rsidRDefault="00FD3E7B" w:rsidP="00DC0553">
            <w:pPr>
              <w:jc w:val="right"/>
              <w:rPr>
                <w:rFonts w:cs="Arial"/>
                <w:sz w:val="16"/>
                <w:szCs w:val="16"/>
                <w:lang w:eastAsia="fr-FR"/>
              </w:rPr>
            </w:pPr>
            <w:r w:rsidRPr="00A32AF4">
              <w:rPr>
                <w:rFonts w:cs="Arial"/>
                <w:sz w:val="16"/>
                <w:szCs w:val="16"/>
                <w:lang w:eastAsia="fr-FR"/>
              </w:rPr>
              <w:t>–</w:t>
            </w:r>
          </w:p>
        </w:tc>
      </w:tr>
      <w:tr w:rsidR="00FD3E7B" w:rsidRPr="00A32AF4" w:rsidTr="00FD3E7B">
        <w:tc>
          <w:tcPr>
            <w:tcW w:w="512" w:type="dxa"/>
            <w:tcBorders>
              <w:top w:val="single" w:sz="4" w:space="0" w:color="auto"/>
              <w:left w:val="single" w:sz="4" w:space="0" w:color="auto"/>
              <w:bottom w:val="single" w:sz="4" w:space="0" w:color="auto"/>
              <w:right w:val="nil"/>
            </w:tcBorders>
            <w:shd w:val="clear" w:color="000000" w:fill="C5D9F1"/>
            <w:noWrap/>
            <w:tcMar>
              <w:top w:w="113" w:type="dxa"/>
              <w:bottom w:w="113" w:type="dxa"/>
            </w:tcMar>
            <w:vAlign w:val="bottom"/>
            <w:hideMark/>
          </w:tcPr>
          <w:p w:rsidR="00FD3E7B" w:rsidRPr="00A32AF4" w:rsidRDefault="00FD3E7B" w:rsidP="00DC0553">
            <w:pPr>
              <w:rPr>
                <w:rFonts w:cs="Arial"/>
                <w:sz w:val="16"/>
                <w:szCs w:val="16"/>
                <w:lang w:eastAsia="fr-FR"/>
              </w:rPr>
            </w:pPr>
            <w:r w:rsidRPr="00A32AF4">
              <w:rPr>
                <w:rFonts w:cs="Arial"/>
                <w:sz w:val="16"/>
                <w:szCs w:val="16"/>
                <w:lang w:eastAsia="fr-FR"/>
              </w:rPr>
              <w:t> </w:t>
            </w:r>
          </w:p>
        </w:tc>
        <w:tc>
          <w:tcPr>
            <w:tcW w:w="4508"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FD3E7B" w:rsidRPr="00A32AF4" w:rsidRDefault="00FD3E7B" w:rsidP="00DC0553">
            <w:pPr>
              <w:rPr>
                <w:rFonts w:cs="Arial"/>
                <w:b/>
                <w:bCs/>
                <w:sz w:val="16"/>
                <w:szCs w:val="16"/>
                <w:lang w:eastAsia="fr-FR"/>
              </w:rPr>
            </w:pPr>
            <w:r w:rsidRPr="00A32AF4">
              <w:rPr>
                <w:rFonts w:cs="Arial"/>
                <w:b/>
                <w:bCs/>
                <w:sz w:val="16"/>
                <w:szCs w:val="16"/>
                <w:lang w:eastAsia="fr-FR"/>
              </w:rPr>
              <w:t>Total</w:t>
            </w:r>
          </w:p>
        </w:tc>
        <w:tc>
          <w:tcPr>
            <w:tcW w:w="1260"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FD3E7B" w:rsidRPr="00A32AF4" w:rsidRDefault="00FD3E7B" w:rsidP="00DC0553">
            <w:pPr>
              <w:jc w:val="right"/>
              <w:rPr>
                <w:rFonts w:cs="Arial"/>
                <w:b/>
                <w:bCs/>
                <w:sz w:val="16"/>
                <w:szCs w:val="16"/>
                <w:lang w:eastAsia="fr-FR"/>
              </w:rPr>
            </w:pPr>
            <w:r w:rsidRPr="00A32AF4">
              <w:rPr>
                <w:rFonts w:cs="Arial"/>
                <w:b/>
                <w:bCs/>
                <w:sz w:val="16"/>
                <w:szCs w:val="16"/>
                <w:lang w:eastAsia="fr-FR"/>
              </w:rPr>
              <w:t xml:space="preserve">8 443 </w:t>
            </w:r>
          </w:p>
        </w:tc>
        <w:tc>
          <w:tcPr>
            <w:tcW w:w="1440"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FD3E7B" w:rsidRPr="00A32AF4" w:rsidRDefault="00FD3E7B" w:rsidP="00DC0553">
            <w:pPr>
              <w:jc w:val="right"/>
              <w:rPr>
                <w:rFonts w:cs="Arial"/>
                <w:b/>
                <w:bCs/>
                <w:sz w:val="16"/>
                <w:szCs w:val="16"/>
                <w:lang w:eastAsia="fr-FR"/>
              </w:rPr>
            </w:pPr>
            <w:r w:rsidRPr="00A32AF4">
              <w:rPr>
                <w:rFonts w:cs="Arial"/>
                <w:b/>
                <w:bCs/>
                <w:sz w:val="16"/>
                <w:szCs w:val="16"/>
                <w:lang w:eastAsia="fr-FR"/>
              </w:rPr>
              <w:t xml:space="preserve">8 349 </w:t>
            </w:r>
          </w:p>
        </w:tc>
        <w:tc>
          <w:tcPr>
            <w:tcW w:w="1260" w:type="dxa"/>
            <w:tcBorders>
              <w:top w:val="nil"/>
              <w:left w:val="nil"/>
              <w:bottom w:val="single" w:sz="4" w:space="0" w:color="auto"/>
              <w:right w:val="single" w:sz="4" w:space="0" w:color="auto"/>
            </w:tcBorders>
            <w:shd w:val="clear" w:color="000000" w:fill="C5D9F1"/>
            <w:noWrap/>
            <w:tcMar>
              <w:top w:w="113" w:type="dxa"/>
              <w:bottom w:w="113" w:type="dxa"/>
            </w:tcMar>
            <w:vAlign w:val="bottom"/>
            <w:hideMark/>
          </w:tcPr>
          <w:p w:rsidR="00FD3E7B" w:rsidRPr="00A32AF4" w:rsidRDefault="00FD3E7B" w:rsidP="00DC0553">
            <w:pPr>
              <w:jc w:val="right"/>
              <w:rPr>
                <w:rFonts w:cs="Arial"/>
                <w:b/>
                <w:bCs/>
                <w:sz w:val="16"/>
                <w:szCs w:val="16"/>
                <w:lang w:eastAsia="fr-FR"/>
              </w:rPr>
            </w:pPr>
            <w:r w:rsidRPr="00A32AF4">
              <w:rPr>
                <w:rFonts w:cs="Arial"/>
                <w:b/>
                <w:bCs/>
                <w:sz w:val="16"/>
                <w:szCs w:val="16"/>
                <w:lang w:eastAsia="fr-FR"/>
              </w:rPr>
              <w:t xml:space="preserve">7 919 </w:t>
            </w:r>
          </w:p>
        </w:tc>
      </w:tr>
    </w:tbl>
    <w:p w:rsidR="00F93B76" w:rsidRPr="00A32AF4" w:rsidRDefault="00F93B76" w:rsidP="00DC0553"/>
    <w:p w:rsidR="00F93B76" w:rsidRPr="00A32AF4" w:rsidRDefault="00F93B76" w:rsidP="00DC0553"/>
    <w:p w:rsidR="00F93B76" w:rsidRPr="00A32AF4" w:rsidRDefault="00FD3E7B" w:rsidP="00DC0553">
      <w:pPr>
        <w:keepNext/>
        <w:keepLines/>
        <w:autoSpaceDE w:val="0"/>
        <w:autoSpaceDN w:val="0"/>
        <w:jc w:val="center"/>
        <w:rPr>
          <w:rFonts w:cs="Arial"/>
          <w:b/>
        </w:rPr>
      </w:pPr>
      <w:r w:rsidRPr="00A32AF4">
        <w:rPr>
          <w:rFonts w:cs="Arial"/>
          <w:b/>
        </w:rPr>
        <w:t>Programme 10 : ressources par objet de dépense</w:t>
      </w:r>
    </w:p>
    <w:p w:rsidR="00F93B76" w:rsidRPr="00A32AF4" w:rsidRDefault="00FD3E7B" w:rsidP="00DC0553">
      <w:pPr>
        <w:keepNext/>
        <w:keepLines/>
        <w:autoSpaceDE w:val="0"/>
        <w:autoSpaceDN w:val="0"/>
        <w:jc w:val="center"/>
        <w:rPr>
          <w:rFonts w:cs="Arial"/>
          <w:i/>
        </w:rPr>
      </w:pPr>
      <w:r w:rsidRPr="00A32AF4">
        <w:rPr>
          <w:rFonts w:cs="Arial"/>
          <w:i/>
        </w:rPr>
        <w:t>(</w:t>
      </w:r>
      <w:proofErr w:type="gramStart"/>
      <w:r w:rsidRPr="00A32AF4">
        <w:rPr>
          <w:rFonts w:cs="Arial"/>
          <w:i/>
        </w:rPr>
        <w:t>en</w:t>
      </w:r>
      <w:proofErr w:type="gramEnd"/>
      <w:r w:rsidRPr="00A32AF4">
        <w:rPr>
          <w:rFonts w:cs="Arial"/>
          <w:i/>
        </w:rPr>
        <w:t xml:space="preserve"> milliers de francs suisses)</w:t>
      </w:r>
    </w:p>
    <w:p w:rsidR="00F93B76" w:rsidRPr="00A32AF4" w:rsidRDefault="00F93B76" w:rsidP="00DC0553">
      <w:pPr>
        <w:keepNext/>
        <w:rPr>
          <w:rFonts w:eastAsia="SimSun"/>
        </w:rPr>
      </w:pPr>
    </w:p>
    <w:p w:rsidR="00F93B76" w:rsidRPr="00A32AF4" w:rsidRDefault="00C13B9D" w:rsidP="00DC0553">
      <w:pPr>
        <w:rPr>
          <w:rFonts w:eastAsia="SimSun"/>
        </w:rPr>
      </w:pPr>
      <w:r w:rsidRPr="00A32AF4">
        <w:rPr>
          <w:rFonts w:eastAsia="SimSun"/>
          <w:noProof/>
          <w:lang w:eastAsia="fr-FR"/>
        </w:rPr>
        <w:drawing>
          <wp:inline distT="0" distB="0" distL="0" distR="0" wp14:anchorId="279F84E1" wp14:editId="2DB9625D">
            <wp:extent cx="5512435" cy="6555105"/>
            <wp:effectExtent l="0" t="0" r="0" b="0"/>
            <wp:docPr id="1041" name="Pictur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512435" cy="6555105"/>
                    </a:xfrm>
                    <a:prstGeom prst="rect">
                      <a:avLst/>
                    </a:prstGeom>
                    <a:noFill/>
                    <a:ln>
                      <a:noFill/>
                    </a:ln>
                  </pic:spPr>
                </pic:pic>
              </a:graphicData>
            </a:graphic>
          </wp:inline>
        </w:drawing>
      </w:r>
    </w:p>
    <w:p w:rsidR="00F93B76" w:rsidRPr="00A32AF4" w:rsidRDefault="00F93B76" w:rsidP="00DC0553"/>
    <w:p w:rsidR="00F93B76" w:rsidRPr="00A32AF4" w:rsidRDefault="00F93B76" w:rsidP="00DC0553"/>
    <w:p w:rsidR="00F93B76" w:rsidRPr="00A32AF4" w:rsidRDefault="00CD1430" w:rsidP="00DC0553">
      <w:pPr>
        <w:rPr>
          <w:i/>
        </w:rPr>
      </w:pPr>
      <w:r w:rsidRPr="00A32AF4">
        <w:rPr>
          <w:i/>
        </w:rPr>
        <w:br w:type="page"/>
      </w:r>
    </w:p>
    <w:p w:rsidR="00F93B76" w:rsidRPr="00A32AF4" w:rsidRDefault="00CD1430" w:rsidP="00FB1F61">
      <w:pPr>
        <w:pStyle w:val="Heading3"/>
      </w:pPr>
      <w:bookmarkStart w:id="43" w:name="_Toc431555449"/>
      <w:r w:rsidRPr="00A32AF4">
        <w:t>Programme 11</w:t>
      </w:r>
      <w:r w:rsidRPr="00A32AF4">
        <w:tab/>
        <w:t>Académie de l‏</w:t>
      </w:r>
      <w:r w:rsidR="00E2055A" w:rsidRPr="00A32AF4">
        <w:t>’</w:t>
      </w:r>
      <w:r w:rsidRPr="00A32AF4">
        <w:t>OMPI</w:t>
      </w:r>
      <w:bookmarkEnd w:id="43"/>
    </w:p>
    <w:p w:rsidR="00F93B76" w:rsidRPr="00A32AF4" w:rsidRDefault="00F93B76" w:rsidP="00DC0553"/>
    <w:p w:rsidR="00F93B76" w:rsidRPr="00A32AF4" w:rsidRDefault="00F93B76" w:rsidP="00DC0553"/>
    <w:p w:rsidR="00F93B76" w:rsidRPr="00A32AF4" w:rsidRDefault="00071F96" w:rsidP="00DC0553">
      <w:r w:rsidRPr="00A32AF4">
        <w:t>CONTEXTE DE PLANIFICATION</w:t>
      </w:r>
    </w:p>
    <w:p w:rsidR="00F93B76" w:rsidRPr="00A32AF4" w:rsidRDefault="00F93B76" w:rsidP="00DC0553"/>
    <w:p w:rsidR="00F93B76" w:rsidRPr="00A32AF4" w:rsidRDefault="00CD1430" w:rsidP="00DC0553">
      <w:pPr>
        <w:pStyle w:val="ListParagraph"/>
        <w:numPr>
          <w:ilvl w:val="0"/>
          <w:numId w:val="23"/>
        </w:numPr>
        <w:tabs>
          <w:tab w:val="left" w:pos="567"/>
        </w:tabs>
        <w:spacing w:after="0" w:line="240" w:lineRule="auto"/>
        <w:ind w:left="0" w:firstLine="0"/>
        <w:jc w:val="both"/>
        <w:rPr>
          <w:rFonts w:ascii="Arial" w:hAnsi="Arial" w:cs="Arial"/>
          <w:szCs w:val="20"/>
        </w:rPr>
      </w:pPr>
      <w:r w:rsidRPr="00A32AF4">
        <w:rPr>
          <w:rFonts w:ascii="Arial" w:hAnsi="Arial" w:cs="Arial"/>
          <w:szCs w:val="20"/>
        </w:rPr>
        <w:t>L</w:t>
      </w:r>
      <w:r w:rsidR="00E2055A" w:rsidRPr="00A32AF4">
        <w:rPr>
          <w:rFonts w:ascii="Arial" w:hAnsi="Arial" w:cs="Arial"/>
          <w:szCs w:val="20"/>
        </w:rPr>
        <w:t>’</w:t>
      </w:r>
      <w:r w:rsidRPr="00A32AF4">
        <w:rPr>
          <w:rFonts w:ascii="Arial" w:hAnsi="Arial" w:cs="Arial"/>
          <w:szCs w:val="20"/>
        </w:rPr>
        <w:t>Académie de l</w:t>
      </w:r>
      <w:r w:rsidR="00E2055A" w:rsidRPr="00A32AF4">
        <w:rPr>
          <w:rFonts w:ascii="Arial" w:hAnsi="Arial" w:cs="Arial"/>
          <w:szCs w:val="20"/>
        </w:rPr>
        <w:t>’</w:t>
      </w:r>
      <w:r w:rsidRPr="00A32AF4">
        <w:rPr>
          <w:rFonts w:ascii="Arial" w:hAnsi="Arial" w:cs="Arial"/>
          <w:szCs w:val="20"/>
        </w:rPr>
        <w:t>OMPI est le vecteur central de l</w:t>
      </w:r>
      <w:r w:rsidR="00E2055A" w:rsidRPr="00A32AF4">
        <w:rPr>
          <w:rFonts w:ascii="Arial" w:hAnsi="Arial" w:cs="Arial"/>
          <w:szCs w:val="20"/>
        </w:rPr>
        <w:t>’</w:t>
      </w:r>
      <w:r w:rsidRPr="00A32AF4">
        <w:rPr>
          <w:rFonts w:ascii="Arial" w:hAnsi="Arial" w:cs="Arial"/>
          <w:szCs w:val="20"/>
        </w:rPr>
        <w:t>Organisation en matière de formation et d</w:t>
      </w:r>
      <w:r w:rsidR="00E2055A" w:rsidRPr="00A32AF4">
        <w:rPr>
          <w:rFonts w:ascii="Arial" w:hAnsi="Arial" w:cs="Arial"/>
          <w:szCs w:val="20"/>
        </w:rPr>
        <w:t>’</w:t>
      </w:r>
      <w:r w:rsidRPr="00A32AF4">
        <w:rPr>
          <w:rFonts w:ascii="Arial" w:hAnsi="Arial" w:cs="Arial"/>
          <w:szCs w:val="20"/>
        </w:rPr>
        <w:t xml:space="preserve">activités de renforcement des capacités humaines, en particulier pour les pays en développement, les PMA et les pays en transition.  </w:t>
      </w:r>
      <w:proofErr w:type="gramStart"/>
      <w:r w:rsidRPr="00A32AF4">
        <w:rPr>
          <w:rFonts w:ascii="Arial" w:hAnsi="Arial" w:cs="Arial"/>
          <w:szCs w:val="20"/>
        </w:rPr>
        <w:t>L</w:t>
      </w:r>
      <w:r w:rsidR="00E2055A" w:rsidRPr="00A32AF4">
        <w:rPr>
          <w:rFonts w:ascii="Arial" w:hAnsi="Arial" w:cs="Arial"/>
          <w:szCs w:val="20"/>
        </w:rPr>
        <w:t>’</w:t>
      </w:r>
      <w:r w:rsidRPr="00A32AF4">
        <w:rPr>
          <w:rFonts w:ascii="Arial" w:hAnsi="Arial" w:cs="Arial"/>
          <w:szCs w:val="20"/>
        </w:rPr>
        <w:t>Académie fait office de centre d</w:t>
      </w:r>
      <w:r w:rsidR="00E2055A" w:rsidRPr="00A32AF4">
        <w:rPr>
          <w:rFonts w:ascii="Arial" w:hAnsi="Arial" w:cs="Arial"/>
          <w:szCs w:val="20"/>
        </w:rPr>
        <w:t>’</w:t>
      </w:r>
      <w:r w:rsidRPr="00A32AF4">
        <w:rPr>
          <w:rFonts w:ascii="Arial" w:hAnsi="Arial" w:cs="Arial"/>
          <w:szCs w:val="20"/>
        </w:rPr>
        <w:t>excellence interne en matière de formation, notamment de formation des cadres;  elle joue un rôle de catalyseur de réseaux et de partenariats en vue d</w:t>
      </w:r>
      <w:r w:rsidR="00E2055A" w:rsidRPr="00A32AF4">
        <w:rPr>
          <w:rFonts w:ascii="Arial" w:hAnsi="Arial" w:cs="Arial"/>
          <w:szCs w:val="20"/>
        </w:rPr>
        <w:t>’</w:t>
      </w:r>
      <w:r w:rsidRPr="00A32AF4">
        <w:rPr>
          <w:rFonts w:ascii="Arial" w:hAnsi="Arial" w:cs="Arial"/>
          <w:szCs w:val="20"/>
        </w:rPr>
        <w:t>élargir l</w:t>
      </w:r>
      <w:r w:rsidR="00E2055A" w:rsidRPr="00A32AF4">
        <w:rPr>
          <w:rFonts w:ascii="Arial" w:hAnsi="Arial" w:cs="Arial"/>
          <w:szCs w:val="20"/>
        </w:rPr>
        <w:t>’</w:t>
      </w:r>
      <w:r w:rsidRPr="00A32AF4">
        <w:rPr>
          <w:rFonts w:ascii="Arial" w:hAnsi="Arial" w:cs="Arial"/>
          <w:szCs w:val="20"/>
        </w:rPr>
        <w:t>éventail de l</w:t>
      </w:r>
      <w:r w:rsidR="00E2055A" w:rsidRPr="00A32AF4">
        <w:rPr>
          <w:rFonts w:ascii="Arial" w:hAnsi="Arial" w:cs="Arial"/>
          <w:szCs w:val="20"/>
        </w:rPr>
        <w:t>’</w:t>
      </w:r>
      <w:r w:rsidRPr="00A32AF4">
        <w:rPr>
          <w:rFonts w:ascii="Arial" w:hAnsi="Arial" w:cs="Arial"/>
          <w:szCs w:val="20"/>
        </w:rPr>
        <w:t>offre de formation au niveau national et de renforcer leur impact;  elle est un centre d</w:t>
      </w:r>
      <w:r w:rsidR="00E2055A" w:rsidRPr="00A32AF4">
        <w:rPr>
          <w:rFonts w:ascii="Arial" w:hAnsi="Arial" w:cs="Arial"/>
          <w:szCs w:val="20"/>
        </w:rPr>
        <w:t>’</w:t>
      </w:r>
      <w:r w:rsidRPr="00A32AF4">
        <w:rPr>
          <w:rFonts w:ascii="Arial" w:hAnsi="Arial" w:cs="Arial"/>
          <w:szCs w:val="20"/>
        </w:rPr>
        <w:t>information en ligne, en libre accès, sur les activités, les services et outils de formation de l</w:t>
      </w:r>
      <w:r w:rsidR="00E2055A" w:rsidRPr="00A32AF4">
        <w:rPr>
          <w:rFonts w:ascii="Arial" w:hAnsi="Arial" w:cs="Arial"/>
          <w:szCs w:val="20"/>
        </w:rPr>
        <w:t>’</w:t>
      </w:r>
      <w:r w:rsidRPr="00A32AF4">
        <w:rPr>
          <w:rFonts w:ascii="Arial" w:hAnsi="Arial" w:cs="Arial"/>
          <w:szCs w:val="20"/>
        </w:rPr>
        <w:t>OMPI;  elle est un fournisseur unique et multilingue de cours d</w:t>
      </w:r>
      <w:r w:rsidR="00E2055A" w:rsidRPr="00A32AF4">
        <w:rPr>
          <w:rFonts w:ascii="Arial" w:hAnsi="Arial" w:cs="Arial"/>
          <w:szCs w:val="20"/>
        </w:rPr>
        <w:t>’</w:t>
      </w:r>
      <w:r w:rsidRPr="00A32AF4">
        <w:rPr>
          <w:rFonts w:ascii="Arial" w:hAnsi="Arial" w:cs="Arial"/>
          <w:szCs w:val="20"/>
        </w:rPr>
        <w:t>enseignement et de formation à distance en ligne;  et elle est au centre d</w:t>
      </w:r>
      <w:r w:rsidR="00E2055A" w:rsidRPr="00A32AF4">
        <w:rPr>
          <w:rFonts w:ascii="Arial" w:hAnsi="Arial" w:cs="Arial"/>
          <w:szCs w:val="20"/>
        </w:rPr>
        <w:t>’</w:t>
      </w:r>
      <w:r w:rsidRPr="00A32AF4">
        <w:rPr>
          <w:rFonts w:ascii="Arial" w:hAnsi="Arial" w:cs="Arial"/>
          <w:szCs w:val="20"/>
        </w:rPr>
        <w:t>un réseau virtuel de partenaires, d</w:t>
      </w:r>
      <w:r w:rsidR="00E2055A" w:rsidRPr="00A32AF4">
        <w:rPr>
          <w:rFonts w:ascii="Arial" w:hAnsi="Arial" w:cs="Arial"/>
          <w:szCs w:val="20"/>
        </w:rPr>
        <w:t>’</w:t>
      </w:r>
      <w:r w:rsidRPr="00A32AF4">
        <w:rPr>
          <w:rFonts w:ascii="Arial" w:hAnsi="Arial" w:cs="Arial"/>
          <w:szCs w:val="20"/>
        </w:rPr>
        <w:t>experts et d</w:t>
      </w:r>
      <w:r w:rsidR="00E2055A" w:rsidRPr="00A32AF4">
        <w:rPr>
          <w:rFonts w:ascii="Arial" w:hAnsi="Arial" w:cs="Arial"/>
          <w:szCs w:val="20"/>
        </w:rPr>
        <w:t>’</w:t>
      </w:r>
      <w:r w:rsidRPr="00A32AF4">
        <w:rPr>
          <w:rFonts w:ascii="Arial" w:hAnsi="Arial" w:cs="Arial"/>
          <w:szCs w:val="20"/>
        </w:rPr>
        <w:t>enseignants en matière de formation à la propriété intellectuelle axée sur le développement.</w:t>
      </w:r>
      <w:proofErr w:type="gramEnd"/>
    </w:p>
    <w:p w:rsidR="00F93B76" w:rsidRPr="00A32AF4" w:rsidRDefault="00F93B76" w:rsidP="00DC0553">
      <w:pPr>
        <w:tabs>
          <w:tab w:val="left" w:pos="567"/>
        </w:tabs>
        <w:jc w:val="both"/>
        <w:rPr>
          <w:rFonts w:cs="Arial"/>
        </w:rPr>
      </w:pPr>
    </w:p>
    <w:p w:rsidR="00F93B76" w:rsidRPr="00A32AF4" w:rsidRDefault="00CD1430" w:rsidP="00DC0553">
      <w:pPr>
        <w:pStyle w:val="ListParagraph"/>
        <w:numPr>
          <w:ilvl w:val="0"/>
          <w:numId w:val="23"/>
        </w:numPr>
        <w:tabs>
          <w:tab w:val="left" w:pos="567"/>
        </w:tabs>
        <w:spacing w:after="0" w:line="240" w:lineRule="auto"/>
        <w:ind w:left="0" w:firstLine="0"/>
        <w:jc w:val="both"/>
        <w:rPr>
          <w:rFonts w:ascii="Arial" w:hAnsi="Arial" w:cs="Arial"/>
          <w:szCs w:val="20"/>
        </w:rPr>
      </w:pPr>
      <w:r w:rsidRPr="00A32AF4">
        <w:rPr>
          <w:rFonts w:ascii="Arial" w:hAnsi="Arial" w:cs="Arial"/>
          <w:szCs w:val="20"/>
        </w:rPr>
        <w:t>Au cours de l</w:t>
      </w:r>
      <w:r w:rsidR="00E2055A" w:rsidRPr="00A32AF4">
        <w:rPr>
          <w:rFonts w:ascii="Arial" w:hAnsi="Arial" w:cs="Arial"/>
          <w:szCs w:val="20"/>
        </w:rPr>
        <w:t>’</w:t>
      </w:r>
      <w:r w:rsidRPr="00A32AF4">
        <w:rPr>
          <w:rFonts w:ascii="Arial" w:hAnsi="Arial" w:cs="Arial"/>
          <w:szCs w:val="20"/>
        </w:rPr>
        <w:t>exercice biennal 2014</w:t>
      </w:r>
      <w:r w:rsidR="00EB7F54" w:rsidRPr="00A32AF4">
        <w:rPr>
          <w:rFonts w:ascii="Arial" w:hAnsi="Arial" w:cs="Arial"/>
          <w:szCs w:val="20"/>
        </w:rPr>
        <w:noBreakHyphen/>
      </w:r>
      <w:r w:rsidRPr="00A32AF4">
        <w:rPr>
          <w:rFonts w:ascii="Arial" w:hAnsi="Arial" w:cs="Arial"/>
          <w:szCs w:val="20"/>
        </w:rPr>
        <w:t>2015, l</w:t>
      </w:r>
      <w:r w:rsidR="00E2055A" w:rsidRPr="00A32AF4">
        <w:rPr>
          <w:rFonts w:ascii="Arial" w:hAnsi="Arial" w:cs="Arial"/>
          <w:szCs w:val="20"/>
        </w:rPr>
        <w:t>’</w:t>
      </w:r>
      <w:r w:rsidRPr="00A32AF4">
        <w:rPr>
          <w:rFonts w:ascii="Arial" w:hAnsi="Arial" w:cs="Arial"/>
          <w:szCs w:val="20"/>
        </w:rPr>
        <w:t>Académie a entamé un processus de réforme progressive et constante pour redéfinir le rôle de l</w:t>
      </w:r>
      <w:r w:rsidR="00E2055A" w:rsidRPr="00A32AF4">
        <w:rPr>
          <w:rFonts w:ascii="Arial" w:hAnsi="Arial" w:cs="Arial"/>
          <w:szCs w:val="20"/>
        </w:rPr>
        <w:t>’</w:t>
      </w:r>
      <w:r w:rsidRPr="00A32AF4">
        <w:rPr>
          <w:rFonts w:ascii="Arial" w:hAnsi="Arial" w:cs="Arial"/>
          <w:szCs w:val="20"/>
        </w:rPr>
        <w:t>Académie en tant que vecteur central de l</w:t>
      </w:r>
      <w:r w:rsidR="00E2055A" w:rsidRPr="00A32AF4">
        <w:rPr>
          <w:rFonts w:ascii="Arial" w:hAnsi="Arial" w:cs="Arial"/>
          <w:szCs w:val="20"/>
        </w:rPr>
        <w:t>’</w:t>
      </w:r>
      <w:r w:rsidRPr="00A32AF4">
        <w:rPr>
          <w:rFonts w:ascii="Arial" w:hAnsi="Arial" w:cs="Arial"/>
          <w:szCs w:val="20"/>
        </w:rPr>
        <w:t>Organisation en matière de formation professionnelle et de renforcement des capacités.</w:t>
      </w:r>
    </w:p>
    <w:p w:rsidR="00F93B76" w:rsidRPr="00A32AF4" w:rsidRDefault="00F93B76" w:rsidP="00DC0553">
      <w:pPr>
        <w:jc w:val="both"/>
        <w:rPr>
          <w:rFonts w:cs="Arial"/>
        </w:rPr>
      </w:pPr>
    </w:p>
    <w:p w:rsidR="00F93B76" w:rsidRPr="00A32AF4" w:rsidRDefault="00F93B76" w:rsidP="00DC0553">
      <w:pPr>
        <w:jc w:val="both"/>
        <w:rPr>
          <w:rFonts w:cs="Arial"/>
        </w:rPr>
      </w:pPr>
    </w:p>
    <w:p w:rsidR="00F93B76" w:rsidRPr="00A32AF4" w:rsidRDefault="000E29ED" w:rsidP="00DC0553">
      <w:r w:rsidRPr="00A32AF4">
        <w:t>STRATÉGIES DE MISE EN ŒUVRE</w:t>
      </w:r>
    </w:p>
    <w:p w:rsidR="00F93B76" w:rsidRPr="00A32AF4" w:rsidRDefault="00F93B76" w:rsidP="00DC0553">
      <w:pPr>
        <w:jc w:val="both"/>
        <w:rPr>
          <w:rFonts w:cs="Arial"/>
        </w:rPr>
      </w:pPr>
    </w:p>
    <w:p w:rsidR="00F93B76" w:rsidRPr="00A32AF4" w:rsidRDefault="00CD1430" w:rsidP="00DC0553">
      <w:pPr>
        <w:pStyle w:val="ListParagraph"/>
        <w:numPr>
          <w:ilvl w:val="0"/>
          <w:numId w:val="23"/>
        </w:numPr>
        <w:tabs>
          <w:tab w:val="left" w:pos="567"/>
        </w:tabs>
        <w:spacing w:after="0" w:line="240" w:lineRule="auto"/>
        <w:ind w:left="0" w:firstLine="0"/>
        <w:jc w:val="both"/>
        <w:rPr>
          <w:rFonts w:ascii="Arial" w:hAnsi="Arial" w:cs="Arial"/>
          <w:szCs w:val="20"/>
        </w:rPr>
      </w:pPr>
      <w:r w:rsidRPr="00A32AF4">
        <w:rPr>
          <w:rFonts w:ascii="Arial" w:hAnsi="Arial" w:cs="Arial"/>
          <w:szCs w:val="20"/>
        </w:rPr>
        <w:t>Pour atteindre les objectifs visés par cette réforme, l</w:t>
      </w:r>
      <w:r w:rsidR="00E2055A" w:rsidRPr="00A32AF4">
        <w:rPr>
          <w:rFonts w:ascii="Arial" w:hAnsi="Arial" w:cs="Arial"/>
          <w:szCs w:val="20"/>
        </w:rPr>
        <w:t>’</w:t>
      </w:r>
      <w:r w:rsidRPr="00A32AF4">
        <w:rPr>
          <w:rFonts w:ascii="Arial" w:hAnsi="Arial" w:cs="Arial"/>
          <w:szCs w:val="20"/>
        </w:rPr>
        <w:t xml:space="preserve">Académie tirera parti de son expérience et de ses avantages comparatifs.  </w:t>
      </w:r>
      <w:proofErr w:type="gramStart"/>
      <w:r w:rsidRPr="00A32AF4">
        <w:rPr>
          <w:rFonts w:ascii="Arial" w:hAnsi="Arial" w:cs="Arial"/>
          <w:szCs w:val="20"/>
        </w:rPr>
        <w:t>Parmi ceux</w:t>
      </w:r>
      <w:r w:rsidR="00EB7F54" w:rsidRPr="00A32AF4">
        <w:rPr>
          <w:rFonts w:ascii="Arial" w:hAnsi="Arial" w:cs="Arial"/>
          <w:szCs w:val="20"/>
        </w:rPr>
        <w:noBreakHyphen/>
      </w:r>
      <w:r w:rsidRPr="00A32AF4">
        <w:rPr>
          <w:rFonts w:ascii="Arial" w:hAnsi="Arial" w:cs="Arial"/>
          <w:szCs w:val="20"/>
        </w:rPr>
        <w:t>ci, on peut notamment citer sa neutralité, sa crédibilité et son image de marque;  ses précédents investissements dans du matériel de formation et d</w:t>
      </w:r>
      <w:r w:rsidR="00E2055A" w:rsidRPr="00A32AF4">
        <w:rPr>
          <w:rFonts w:ascii="Arial" w:hAnsi="Arial" w:cs="Arial"/>
          <w:szCs w:val="20"/>
        </w:rPr>
        <w:t>’</w:t>
      </w:r>
      <w:r w:rsidRPr="00A32AF4">
        <w:rPr>
          <w:rFonts w:ascii="Arial" w:hAnsi="Arial" w:cs="Arial"/>
          <w:szCs w:val="20"/>
        </w:rPr>
        <w:t xml:space="preserve">enseignement, </w:t>
      </w:r>
      <w:r w:rsidR="00E2055A" w:rsidRPr="00A32AF4">
        <w:rPr>
          <w:rFonts w:ascii="Arial" w:hAnsi="Arial" w:cs="Arial"/>
          <w:szCs w:val="20"/>
        </w:rPr>
        <w:t>y compris</w:t>
      </w:r>
      <w:r w:rsidRPr="00A32AF4">
        <w:rPr>
          <w:rFonts w:ascii="Arial" w:hAnsi="Arial" w:cs="Arial"/>
          <w:szCs w:val="20"/>
        </w:rPr>
        <w:t xml:space="preserve"> dans sa plate</w:t>
      </w:r>
      <w:r w:rsidR="00EB7F54" w:rsidRPr="00A32AF4">
        <w:rPr>
          <w:rFonts w:ascii="Arial" w:hAnsi="Arial" w:cs="Arial"/>
          <w:szCs w:val="20"/>
        </w:rPr>
        <w:noBreakHyphen/>
      </w:r>
      <w:r w:rsidRPr="00A32AF4">
        <w:rPr>
          <w:rFonts w:ascii="Arial" w:hAnsi="Arial" w:cs="Arial"/>
          <w:szCs w:val="20"/>
        </w:rPr>
        <w:t>forme d</w:t>
      </w:r>
      <w:r w:rsidR="00E2055A" w:rsidRPr="00A32AF4">
        <w:rPr>
          <w:rFonts w:ascii="Arial" w:hAnsi="Arial" w:cs="Arial"/>
          <w:szCs w:val="20"/>
        </w:rPr>
        <w:t>’</w:t>
      </w:r>
      <w:r w:rsidRPr="00A32AF4">
        <w:rPr>
          <w:rFonts w:ascii="Arial" w:hAnsi="Arial" w:cs="Arial"/>
          <w:szCs w:val="20"/>
        </w:rPr>
        <w:t>enseignement à distance;  son réseau international étendu d</w:t>
      </w:r>
      <w:r w:rsidR="00E2055A" w:rsidRPr="00A32AF4">
        <w:rPr>
          <w:rFonts w:ascii="Arial" w:hAnsi="Arial" w:cs="Arial"/>
          <w:szCs w:val="20"/>
        </w:rPr>
        <w:t>’</w:t>
      </w:r>
      <w:r w:rsidRPr="00A32AF4">
        <w:rPr>
          <w:rFonts w:ascii="Arial" w:hAnsi="Arial" w:cs="Arial"/>
          <w:szCs w:val="20"/>
        </w:rPr>
        <w:t>experts, d</w:t>
      </w:r>
      <w:r w:rsidR="00E2055A" w:rsidRPr="00A32AF4">
        <w:rPr>
          <w:rFonts w:ascii="Arial" w:hAnsi="Arial" w:cs="Arial"/>
          <w:szCs w:val="20"/>
        </w:rPr>
        <w:t>’</w:t>
      </w:r>
      <w:r w:rsidRPr="00A32AF4">
        <w:rPr>
          <w:rFonts w:ascii="Arial" w:hAnsi="Arial" w:cs="Arial"/>
          <w:szCs w:val="20"/>
        </w:rPr>
        <w:t>enseignants et de formateurs;  ses relations de coopération de longue date et ses partenariats bien établis avec des institutions nationales et régionales;  la diversité du contenu linguistique;  son expérience dans le recensement et la prise en considération des priorités et des besoins en matière de formation des États membres et des autres parties prenantes;  et l</w:t>
      </w:r>
      <w:r w:rsidR="00E2055A" w:rsidRPr="00A32AF4">
        <w:rPr>
          <w:rFonts w:ascii="Arial" w:hAnsi="Arial" w:cs="Arial"/>
          <w:szCs w:val="20"/>
        </w:rPr>
        <w:t>’</w:t>
      </w:r>
      <w:r w:rsidRPr="00A32AF4">
        <w:rPr>
          <w:rFonts w:ascii="Arial" w:hAnsi="Arial" w:cs="Arial"/>
          <w:szCs w:val="20"/>
        </w:rPr>
        <w:t>absence de but lucratif.</w:t>
      </w:r>
      <w:proofErr w:type="gramEnd"/>
    </w:p>
    <w:p w:rsidR="00F93B76" w:rsidRPr="00A32AF4" w:rsidRDefault="00F93B76" w:rsidP="00DC0553">
      <w:pPr>
        <w:tabs>
          <w:tab w:val="left" w:pos="567"/>
        </w:tabs>
        <w:jc w:val="both"/>
        <w:rPr>
          <w:rFonts w:cs="Arial"/>
        </w:rPr>
      </w:pPr>
    </w:p>
    <w:p w:rsidR="00F93B76" w:rsidRPr="00A32AF4" w:rsidRDefault="00CD1430" w:rsidP="00DC0553">
      <w:pPr>
        <w:pStyle w:val="ListParagraph"/>
        <w:numPr>
          <w:ilvl w:val="0"/>
          <w:numId w:val="23"/>
        </w:numPr>
        <w:tabs>
          <w:tab w:val="left" w:pos="567"/>
        </w:tabs>
        <w:spacing w:after="0" w:line="240" w:lineRule="auto"/>
        <w:ind w:left="0" w:firstLine="0"/>
        <w:jc w:val="both"/>
        <w:rPr>
          <w:rFonts w:ascii="Arial" w:hAnsi="Arial" w:cs="Arial"/>
          <w:szCs w:val="20"/>
        </w:rPr>
      </w:pPr>
      <w:r w:rsidRPr="00A32AF4">
        <w:rPr>
          <w:rFonts w:ascii="Arial" w:hAnsi="Arial" w:cs="Arial"/>
          <w:szCs w:val="20"/>
        </w:rPr>
        <w:t>L</w:t>
      </w:r>
      <w:r w:rsidR="00E2055A" w:rsidRPr="00A32AF4">
        <w:rPr>
          <w:rFonts w:ascii="Arial" w:hAnsi="Arial" w:cs="Arial"/>
          <w:szCs w:val="20"/>
        </w:rPr>
        <w:t>’</w:t>
      </w:r>
      <w:r w:rsidRPr="00A32AF4">
        <w:rPr>
          <w:rFonts w:ascii="Arial" w:hAnsi="Arial" w:cs="Arial"/>
          <w:szCs w:val="20"/>
        </w:rPr>
        <w:t>Académie collaborera étroitement avec tous les secteurs concernés de l</w:t>
      </w:r>
      <w:r w:rsidR="00E2055A" w:rsidRPr="00A32AF4">
        <w:rPr>
          <w:rFonts w:ascii="Arial" w:hAnsi="Arial" w:cs="Arial"/>
          <w:szCs w:val="20"/>
        </w:rPr>
        <w:t>’</w:t>
      </w:r>
      <w:r w:rsidRPr="00A32AF4">
        <w:rPr>
          <w:rFonts w:ascii="Arial" w:hAnsi="Arial" w:cs="Arial"/>
          <w:szCs w:val="20"/>
        </w:rPr>
        <w:t>Organisation afin d</w:t>
      </w:r>
      <w:r w:rsidR="00E2055A" w:rsidRPr="00A32AF4">
        <w:rPr>
          <w:rFonts w:ascii="Arial" w:hAnsi="Arial" w:cs="Arial"/>
          <w:szCs w:val="20"/>
        </w:rPr>
        <w:t>’</w:t>
      </w:r>
      <w:r w:rsidRPr="00A32AF4">
        <w:rPr>
          <w:rFonts w:ascii="Arial" w:hAnsi="Arial" w:cs="Arial"/>
          <w:szCs w:val="20"/>
        </w:rPr>
        <w:t>élaborer des processus et des mécanismes réguliers et efficaces pour les consultations internes, la planification et le partage d</w:t>
      </w:r>
      <w:r w:rsidR="00E2055A" w:rsidRPr="00A32AF4">
        <w:rPr>
          <w:rFonts w:ascii="Arial" w:hAnsi="Arial" w:cs="Arial"/>
          <w:szCs w:val="20"/>
        </w:rPr>
        <w:t>’</w:t>
      </w:r>
      <w:r w:rsidRPr="00A32AF4">
        <w:rPr>
          <w:rFonts w:ascii="Arial" w:hAnsi="Arial" w:cs="Arial"/>
          <w:szCs w:val="20"/>
        </w:rPr>
        <w:t>informations, dans le but de recenser les besoins et les attentes en matière de formation et de pouvoir y répondre rapidement et efficacement.</w:t>
      </w:r>
    </w:p>
    <w:p w:rsidR="00F93B76" w:rsidRPr="00A32AF4" w:rsidRDefault="00F93B76" w:rsidP="00DC0553">
      <w:pPr>
        <w:tabs>
          <w:tab w:val="left" w:pos="567"/>
        </w:tabs>
        <w:jc w:val="both"/>
        <w:rPr>
          <w:rFonts w:cs="Arial"/>
        </w:rPr>
      </w:pPr>
    </w:p>
    <w:p w:rsidR="00F93B76" w:rsidRPr="00A32AF4" w:rsidRDefault="00CD1430" w:rsidP="00DC0553">
      <w:pPr>
        <w:pStyle w:val="ListParagraph"/>
        <w:numPr>
          <w:ilvl w:val="0"/>
          <w:numId w:val="23"/>
        </w:numPr>
        <w:tabs>
          <w:tab w:val="left" w:pos="567"/>
        </w:tabs>
        <w:spacing w:after="0" w:line="240" w:lineRule="auto"/>
        <w:ind w:left="0" w:firstLine="0"/>
        <w:jc w:val="both"/>
        <w:rPr>
          <w:rFonts w:ascii="Arial" w:hAnsi="Arial" w:cs="Arial"/>
          <w:szCs w:val="20"/>
        </w:rPr>
      </w:pPr>
      <w:r w:rsidRPr="00A32AF4">
        <w:rPr>
          <w:rFonts w:ascii="Arial" w:hAnsi="Arial" w:cs="Arial"/>
          <w:szCs w:val="20"/>
        </w:rPr>
        <w:t>L</w:t>
      </w:r>
      <w:r w:rsidR="00E2055A" w:rsidRPr="00A32AF4">
        <w:rPr>
          <w:rFonts w:ascii="Arial" w:hAnsi="Arial" w:cs="Arial"/>
          <w:szCs w:val="20"/>
        </w:rPr>
        <w:t>’</w:t>
      </w:r>
      <w:r w:rsidRPr="00A32AF4">
        <w:rPr>
          <w:rFonts w:ascii="Arial" w:hAnsi="Arial" w:cs="Arial"/>
          <w:szCs w:val="20"/>
        </w:rPr>
        <w:t>Académie continuera d</w:t>
      </w:r>
      <w:r w:rsidR="00E2055A" w:rsidRPr="00A32AF4">
        <w:rPr>
          <w:rFonts w:ascii="Arial" w:hAnsi="Arial" w:cs="Arial"/>
          <w:szCs w:val="20"/>
        </w:rPr>
        <w:t>’</w:t>
      </w:r>
      <w:r w:rsidRPr="00A32AF4">
        <w:rPr>
          <w:rFonts w:ascii="Arial" w:hAnsi="Arial" w:cs="Arial"/>
          <w:szCs w:val="20"/>
        </w:rPr>
        <w:t>examiner et d</w:t>
      </w:r>
      <w:r w:rsidR="00E2055A" w:rsidRPr="00A32AF4">
        <w:rPr>
          <w:rFonts w:ascii="Arial" w:hAnsi="Arial" w:cs="Arial"/>
          <w:szCs w:val="20"/>
        </w:rPr>
        <w:t>’</w:t>
      </w:r>
      <w:r w:rsidRPr="00A32AF4">
        <w:rPr>
          <w:rFonts w:ascii="Arial" w:hAnsi="Arial" w:cs="Arial"/>
          <w:szCs w:val="20"/>
        </w:rPr>
        <w:t>actualiser le contenu de son matériel de formation et de ses cours de formation à distance, en étroite collaboration avec les secteurs de l</w:t>
      </w:r>
      <w:r w:rsidR="00E2055A" w:rsidRPr="00A32AF4">
        <w:rPr>
          <w:rFonts w:ascii="Arial" w:hAnsi="Arial" w:cs="Arial"/>
          <w:szCs w:val="20"/>
        </w:rPr>
        <w:t>’</w:t>
      </w:r>
      <w:r w:rsidRPr="00A32AF4">
        <w:rPr>
          <w:rFonts w:ascii="Arial" w:hAnsi="Arial" w:cs="Arial"/>
          <w:szCs w:val="20"/>
        </w:rPr>
        <w:t>OMPI, les formateurs, les experts de renom et les professeurs concernés.  L</w:t>
      </w:r>
      <w:r w:rsidR="00E2055A" w:rsidRPr="00A32AF4">
        <w:rPr>
          <w:rFonts w:ascii="Arial" w:hAnsi="Arial" w:cs="Arial"/>
          <w:szCs w:val="20"/>
        </w:rPr>
        <w:t>’</w:t>
      </w:r>
      <w:r w:rsidRPr="00A32AF4">
        <w:rPr>
          <w:rFonts w:ascii="Arial" w:hAnsi="Arial" w:cs="Arial"/>
          <w:szCs w:val="20"/>
        </w:rPr>
        <w:t>accent sera également mis sur la traduction dans différentes langues s</w:t>
      </w:r>
      <w:r w:rsidR="00E2055A" w:rsidRPr="00A32AF4">
        <w:rPr>
          <w:rFonts w:ascii="Arial" w:hAnsi="Arial" w:cs="Arial"/>
          <w:szCs w:val="20"/>
        </w:rPr>
        <w:t>’</w:t>
      </w:r>
      <w:r w:rsidRPr="00A32AF4">
        <w:rPr>
          <w:rFonts w:ascii="Arial" w:hAnsi="Arial" w:cs="Arial"/>
          <w:szCs w:val="20"/>
        </w:rPr>
        <w:t>il y a une demande réelle.  Des efforts seront déployés pour développer les outils informatiques permettant d</w:t>
      </w:r>
      <w:r w:rsidR="00E2055A" w:rsidRPr="00A32AF4">
        <w:rPr>
          <w:rFonts w:ascii="Arial" w:hAnsi="Arial" w:cs="Arial"/>
          <w:szCs w:val="20"/>
        </w:rPr>
        <w:t>’</w:t>
      </w:r>
      <w:r w:rsidRPr="00A32AF4">
        <w:rPr>
          <w:rFonts w:ascii="Arial" w:hAnsi="Arial" w:cs="Arial"/>
          <w:szCs w:val="20"/>
        </w:rPr>
        <w:t>administrer et de dispenser plus efficacement les cours d</w:t>
      </w:r>
      <w:r w:rsidR="00E2055A" w:rsidRPr="00A32AF4">
        <w:rPr>
          <w:rFonts w:ascii="Arial" w:hAnsi="Arial" w:cs="Arial"/>
          <w:szCs w:val="20"/>
        </w:rPr>
        <w:t>’</w:t>
      </w:r>
      <w:r w:rsidRPr="00A32AF4">
        <w:rPr>
          <w:rFonts w:ascii="Arial" w:hAnsi="Arial" w:cs="Arial"/>
          <w:szCs w:val="20"/>
        </w:rPr>
        <w:t>enseignement à distance.  L</w:t>
      </w:r>
      <w:r w:rsidR="00E2055A" w:rsidRPr="00A32AF4">
        <w:rPr>
          <w:rFonts w:ascii="Arial" w:hAnsi="Arial" w:cs="Arial"/>
          <w:szCs w:val="20"/>
        </w:rPr>
        <w:t>’</w:t>
      </w:r>
      <w:r w:rsidRPr="00A32AF4">
        <w:rPr>
          <w:rFonts w:ascii="Arial" w:hAnsi="Arial" w:cs="Arial"/>
          <w:szCs w:val="20"/>
        </w:rPr>
        <w:t>une des priorités sera de promouvoir davantage la participation des femmes aux programmes de l</w:t>
      </w:r>
      <w:r w:rsidR="00E2055A" w:rsidRPr="00A32AF4">
        <w:rPr>
          <w:rFonts w:ascii="Arial" w:hAnsi="Arial" w:cs="Arial"/>
          <w:szCs w:val="20"/>
        </w:rPr>
        <w:t>’</w:t>
      </w:r>
      <w:r w:rsidRPr="00A32AF4">
        <w:rPr>
          <w:rFonts w:ascii="Arial" w:hAnsi="Arial" w:cs="Arial"/>
          <w:szCs w:val="20"/>
        </w:rPr>
        <w:t>Académie et de veiller à une répartition géographique équitable à tous les niveaux de sélection auxquels intervient l</w:t>
      </w:r>
      <w:r w:rsidR="00E2055A" w:rsidRPr="00A32AF4">
        <w:rPr>
          <w:rFonts w:ascii="Arial" w:hAnsi="Arial" w:cs="Arial"/>
          <w:szCs w:val="20"/>
        </w:rPr>
        <w:t>’</w:t>
      </w:r>
      <w:r w:rsidRPr="00A32AF4">
        <w:rPr>
          <w:rFonts w:ascii="Arial" w:hAnsi="Arial" w:cs="Arial"/>
          <w:szCs w:val="20"/>
        </w:rPr>
        <w:t>Académie.  L</w:t>
      </w:r>
      <w:r w:rsidR="00E2055A" w:rsidRPr="00A32AF4">
        <w:rPr>
          <w:rFonts w:ascii="Arial" w:hAnsi="Arial" w:cs="Arial"/>
          <w:szCs w:val="20"/>
        </w:rPr>
        <w:t>’</w:t>
      </w:r>
      <w:r w:rsidRPr="00A32AF4">
        <w:rPr>
          <w:rFonts w:ascii="Arial" w:hAnsi="Arial" w:cs="Arial"/>
          <w:szCs w:val="20"/>
        </w:rPr>
        <w:t>Académie s</w:t>
      </w:r>
      <w:r w:rsidR="00E2055A" w:rsidRPr="00A32AF4">
        <w:rPr>
          <w:rFonts w:ascii="Arial" w:hAnsi="Arial" w:cs="Arial"/>
          <w:szCs w:val="20"/>
        </w:rPr>
        <w:t>’</w:t>
      </w:r>
      <w:r w:rsidRPr="00A32AF4">
        <w:rPr>
          <w:rFonts w:ascii="Arial" w:hAnsi="Arial" w:cs="Arial"/>
          <w:szCs w:val="20"/>
        </w:rPr>
        <w:t>efforcera également d</w:t>
      </w:r>
      <w:r w:rsidR="00E2055A" w:rsidRPr="00A32AF4">
        <w:rPr>
          <w:rFonts w:ascii="Arial" w:hAnsi="Arial" w:cs="Arial"/>
          <w:szCs w:val="20"/>
        </w:rPr>
        <w:t>’</w:t>
      </w:r>
      <w:r w:rsidRPr="00A32AF4">
        <w:rPr>
          <w:rFonts w:ascii="Arial" w:hAnsi="Arial" w:cs="Arial"/>
          <w:szCs w:val="20"/>
        </w:rPr>
        <w:t>améliorer ses outils d</w:t>
      </w:r>
      <w:r w:rsidR="00E2055A" w:rsidRPr="00A32AF4">
        <w:rPr>
          <w:rFonts w:ascii="Arial" w:hAnsi="Arial" w:cs="Arial"/>
          <w:szCs w:val="20"/>
        </w:rPr>
        <w:t>’</w:t>
      </w:r>
      <w:r w:rsidRPr="00A32AF4">
        <w:rPr>
          <w:rFonts w:ascii="Arial" w:hAnsi="Arial" w:cs="Arial"/>
          <w:szCs w:val="20"/>
        </w:rPr>
        <w:t xml:space="preserve">évaluation pour tirer des enseignements et </w:t>
      </w:r>
      <w:r w:rsidR="008F0DFD" w:rsidRPr="00A32AF4">
        <w:rPr>
          <w:rFonts w:ascii="Arial" w:hAnsi="Arial" w:cs="Arial"/>
          <w:szCs w:val="20"/>
        </w:rPr>
        <w:t>adapter</w:t>
      </w:r>
      <w:r w:rsidRPr="00A32AF4">
        <w:rPr>
          <w:rFonts w:ascii="Arial" w:hAnsi="Arial" w:cs="Arial"/>
          <w:szCs w:val="20"/>
        </w:rPr>
        <w:t xml:space="preserve"> les programmes de formation pour mieux répondre aux attentes des bénéficiaires</w:t>
      </w:r>
      <w:r w:rsidR="008F0DFD" w:rsidRPr="00A32AF4">
        <w:rPr>
          <w:rFonts w:ascii="Arial" w:hAnsi="Arial" w:cs="Arial"/>
          <w:szCs w:val="20"/>
        </w:rPr>
        <w:t xml:space="preserve"> visés</w:t>
      </w:r>
      <w:r w:rsidRPr="00A32AF4">
        <w:rPr>
          <w:rFonts w:ascii="Arial" w:hAnsi="Arial" w:cs="Arial"/>
          <w:szCs w:val="20"/>
        </w:rPr>
        <w:t>.</w:t>
      </w:r>
    </w:p>
    <w:p w:rsidR="00F93B76" w:rsidRPr="00A32AF4" w:rsidRDefault="00F93B76" w:rsidP="00DC0553">
      <w:pPr>
        <w:tabs>
          <w:tab w:val="left" w:pos="567"/>
        </w:tabs>
        <w:jc w:val="both"/>
        <w:rPr>
          <w:rFonts w:cs="Arial"/>
        </w:rPr>
      </w:pPr>
    </w:p>
    <w:p w:rsidR="00F93B76" w:rsidRPr="00A32AF4" w:rsidRDefault="00CD1430" w:rsidP="00DC0553">
      <w:pPr>
        <w:pStyle w:val="ListParagraph"/>
        <w:numPr>
          <w:ilvl w:val="0"/>
          <w:numId w:val="23"/>
        </w:numPr>
        <w:tabs>
          <w:tab w:val="left" w:pos="567"/>
        </w:tabs>
        <w:spacing w:after="0" w:line="240" w:lineRule="auto"/>
        <w:ind w:left="0" w:firstLine="0"/>
        <w:jc w:val="both"/>
        <w:rPr>
          <w:rFonts w:ascii="Arial" w:hAnsi="Arial" w:cs="Arial"/>
          <w:szCs w:val="20"/>
        </w:rPr>
      </w:pPr>
      <w:r w:rsidRPr="00A32AF4">
        <w:rPr>
          <w:rFonts w:ascii="Arial" w:hAnsi="Arial" w:cs="Arial"/>
          <w:szCs w:val="20"/>
        </w:rPr>
        <w:t>Dans le cadre de l</w:t>
      </w:r>
      <w:r w:rsidR="00E2055A" w:rsidRPr="00A32AF4">
        <w:rPr>
          <w:rFonts w:ascii="Arial" w:hAnsi="Arial" w:cs="Arial"/>
          <w:szCs w:val="20"/>
        </w:rPr>
        <w:t>’</w:t>
      </w:r>
      <w:r w:rsidRPr="00A32AF4">
        <w:rPr>
          <w:rFonts w:ascii="Arial" w:hAnsi="Arial" w:cs="Arial"/>
          <w:szCs w:val="20"/>
        </w:rPr>
        <w:t>exécution de ses programmes au cours de l</w:t>
      </w:r>
      <w:r w:rsidR="00E2055A" w:rsidRPr="00A32AF4">
        <w:rPr>
          <w:rFonts w:ascii="Arial" w:hAnsi="Arial" w:cs="Arial"/>
          <w:szCs w:val="20"/>
        </w:rPr>
        <w:t>’</w:t>
      </w:r>
      <w:r w:rsidRPr="00A32AF4">
        <w:rPr>
          <w:rFonts w:ascii="Arial" w:hAnsi="Arial" w:cs="Arial"/>
          <w:szCs w:val="20"/>
        </w:rPr>
        <w:t>exercice biennal 2016</w:t>
      </w:r>
      <w:r w:rsidR="00EB7F54" w:rsidRPr="00A32AF4">
        <w:rPr>
          <w:rFonts w:ascii="Arial" w:hAnsi="Arial" w:cs="Arial"/>
          <w:szCs w:val="20"/>
        </w:rPr>
        <w:noBreakHyphen/>
      </w:r>
      <w:r w:rsidRPr="00A32AF4">
        <w:rPr>
          <w:rFonts w:ascii="Arial" w:hAnsi="Arial" w:cs="Arial"/>
          <w:szCs w:val="20"/>
        </w:rPr>
        <w:t>2017, l</w:t>
      </w:r>
      <w:r w:rsidR="00E2055A" w:rsidRPr="00A32AF4">
        <w:rPr>
          <w:rFonts w:ascii="Arial" w:hAnsi="Arial" w:cs="Arial"/>
          <w:szCs w:val="20"/>
        </w:rPr>
        <w:t>’</w:t>
      </w:r>
      <w:r w:rsidRPr="00A32AF4">
        <w:rPr>
          <w:rFonts w:ascii="Arial" w:hAnsi="Arial" w:cs="Arial"/>
          <w:szCs w:val="20"/>
        </w:rPr>
        <w:t>Académie cherchera les moyens d</w:t>
      </w:r>
      <w:r w:rsidR="00E2055A" w:rsidRPr="00A32AF4">
        <w:rPr>
          <w:rFonts w:ascii="Arial" w:hAnsi="Arial" w:cs="Arial"/>
          <w:szCs w:val="20"/>
        </w:rPr>
        <w:t>’</w:t>
      </w:r>
      <w:r w:rsidRPr="00A32AF4">
        <w:rPr>
          <w:rFonts w:ascii="Arial" w:hAnsi="Arial" w:cs="Arial"/>
          <w:szCs w:val="20"/>
        </w:rPr>
        <w:t>établir de nouveaux partenariats avec les institutions nationales ou régionales des États membres.  Ces partenariats serviront à développer le savoir</w:t>
      </w:r>
      <w:r w:rsidR="00EB7F54" w:rsidRPr="00A32AF4">
        <w:rPr>
          <w:rFonts w:ascii="Arial" w:hAnsi="Arial" w:cs="Arial"/>
          <w:szCs w:val="20"/>
        </w:rPr>
        <w:noBreakHyphen/>
      </w:r>
      <w:r w:rsidRPr="00A32AF4">
        <w:rPr>
          <w:rFonts w:ascii="Arial" w:hAnsi="Arial" w:cs="Arial"/>
          <w:szCs w:val="20"/>
        </w:rPr>
        <w:t>faire national et à renforcer les capacités locales sur le long terme, à renforcer l</w:t>
      </w:r>
      <w:r w:rsidR="00E2055A" w:rsidRPr="00A32AF4">
        <w:rPr>
          <w:rFonts w:ascii="Arial" w:hAnsi="Arial" w:cs="Arial"/>
          <w:szCs w:val="20"/>
        </w:rPr>
        <w:t>’</w:t>
      </w:r>
      <w:r w:rsidRPr="00A32AF4">
        <w:rPr>
          <w:rFonts w:ascii="Arial" w:hAnsi="Arial" w:cs="Arial"/>
          <w:szCs w:val="20"/>
        </w:rPr>
        <w:t xml:space="preserve">impact des formations et à </w:t>
      </w:r>
      <w:r w:rsidR="008A7259" w:rsidRPr="00A32AF4">
        <w:rPr>
          <w:rFonts w:ascii="Arial" w:hAnsi="Arial" w:cs="Arial"/>
          <w:szCs w:val="20"/>
        </w:rPr>
        <w:t xml:space="preserve">en </w:t>
      </w:r>
      <w:r w:rsidRPr="00A32AF4">
        <w:rPr>
          <w:rFonts w:ascii="Arial" w:hAnsi="Arial" w:cs="Arial"/>
          <w:szCs w:val="20"/>
        </w:rPr>
        <w:t>étendre la couverture géographique.  Une politique prévoyant des critères et des conditions particulières relatives aux partenariats sera élaborée.</w:t>
      </w:r>
    </w:p>
    <w:p w:rsidR="00F93B76" w:rsidRPr="00A32AF4" w:rsidRDefault="00F93B76" w:rsidP="00DC0553">
      <w:pPr>
        <w:tabs>
          <w:tab w:val="left" w:pos="567"/>
        </w:tabs>
        <w:jc w:val="both"/>
        <w:rPr>
          <w:rFonts w:cs="Arial"/>
        </w:rPr>
      </w:pPr>
    </w:p>
    <w:p w:rsidR="00F93B76" w:rsidRPr="00A32AF4" w:rsidRDefault="00CD1430" w:rsidP="00DC0553">
      <w:pPr>
        <w:pStyle w:val="ListParagraph"/>
        <w:keepNext/>
        <w:keepLines/>
        <w:numPr>
          <w:ilvl w:val="0"/>
          <w:numId w:val="23"/>
        </w:numPr>
        <w:tabs>
          <w:tab w:val="left" w:pos="567"/>
        </w:tabs>
        <w:spacing w:after="0" w:line="240" w:lineRule="auto"/>
        <w:ind w:left="0" w:firstLine="0"/>
        <w:jc w:val="both"/>
        <w:rPr>
          <w:rFonts w:ascii="Arial" w:hAnsi="Arial" w:cs="Arial"/>
          <w:szCs w:val="20"/>
        </w:rPr>
      </w:pPr>
      <w:r w:rsidRPr="00A32AF4">
        <w:rPr>
          <w:rFonts w:ascii="Arial" w:hAnsi="Arial" w:cs="Arial"/>
          <w:szCs w:val="20"/>
        </w:rPr>
        <w:t>En 2016</w:t>
      </w:r>
      <w:r w:rsidR="00EB7F54" w:rsidRPr="00A32AF4">
        <w:rPr>
          <w:rFonts w:ascii="Arial" w:hAnsi="Arial" w:cs="Arial"/>
          <w:szCs w:val="20"/>
        </w:rPr>
        <w:noBreakHyphen/>
      </w:r>
      <w:r w:rsidRPr="00A32AF4">
        <w:rPr>
          <w:rFonts w:ascii="Arial" w:hAnsi="Arial" w:cs="Arial"/>
          <w:szCs w:val="20"/>
        </w:rPr>
        <w:t>2017, l</w:t>
      </w:r>
      <w:r w:rsidR="00E2055A" w:rsidRPr="00A32AF4">
        <w:rPr>
          <w:rFonts w:ascii="Arial" w:hAnsi="Arial" w:cs="Arial"/>
          <w:szCs w:val="20"/>
        </w:rPr>
        <w:t>’</w:t>
      </w:r>
      <w:r w:rsidRPr="00A32AF4">
        <w:rPr>
          <w:rFonts w:ascii="Arial" w:hAnsi="Arial" w:cs="Arial"/>
          <w:szCs w:val="20"/>
        </w:rPr>
        <w:t>Académie mettra notamment l</w:t>
      </w:r>
      <w:r w:rsidR="00E2055A" w:rsidRPr="00A32AF4">
        <w:rPr>
          <w:rFonts w:ascii="Arial" w:hAnsi="Arial" w:cs="Arial"/>
          <w:szCs w:val="20"/>
        </w:rPr>
        <w:t>’</w:t>
      </w:r>
      <w:r w:rsidRPr="00A32AF4">
        <w:rPr>
          <w:rFonts w:ascii="Arial" w:hAnsi="Arial" w:cs="Arial"/>
          <w:szCs w:val="20"/>
        </w:rPr>
        <w:t>accent sur les éléments suivants :</w:t>
      </w:r>
    </w:p>
    <w:p w:rsidR="00F93B76" w:rsidRPr="00A32AF4" w:rsidRDefault="00F93B76" w:rsidP="00DC0553">
      <w:pPr>
        <w:keepNext/>
        <w:keepLines/>
        <w:jc w:val="both"/>
        <w:rPr>
          <w:rFonts w:cs="Arial"/>
        </w:rPr>
      </w:pPr>
    </w:p>
    <w:p w:rsidR="00F93B76" w:rsidRPr="00A32AF4" w:rsidRDefault="00CD1430" w:rsidP="0047185D">
      <w:pPr>
        <w:pStyle w:val="ListParagraph"/>
        <w:keepNext/>
        <w:numPr>
          <w:ilvl w:val="0"/>
          <w:numId w:val="22"/>
        </w:numPr>
        <w:tabs>
          <w:tab w:val="left" w:pos="1134"/>
        </w:tabs>
        <w:spacing w:after="0" w:line="240" w:lineRule="auto"/>
        <w:ind w:left="567" w:firstLine="0"/>
        <w:jc w:val="both"/>
        <w:rPr>
          <w:rFonts w:ascii="Arial" w:hAnsi="Arial" w:cs="Arial"/>
          <w:szCs w:val="20"/>
        </w:rPr>
      </w:pPr>
      <w:r w:rsidRPr="00A32AF4">
        <w:rPr>
          <w:rFonts w:ascii="Arial" w:hAnsi="Arial" w:cs="Arial"/>
          <w:szCs w:val="20"/>
        </w:rPr>
        <w:t>Programme de perfectionnement des cadres : un ensemble de cours de formation de base couvrant les thèmes prioritaires continuera d</w:t>
      </w:r>
      <w:r w:rsidR="00E2055A" w:rsidRPr="00A32AF4">
        <w:rPr>
          <w:rFonts w:ascii="Arial" w:hAnsi="Arial" w:cs="Arial"/>
          <w:szCs w:val="20"/>
        </w:rPr>
        <w:t>’</w:t>
      </w:r>
      <w:r w:rsidRPr="00A32AF4">
        <w:rPr>
          <w:rFonts w:ascii="Arial" w:hAnsi="Arial" w:cs="Arial"/>
          <w:szCs w:val="20"/>
        </w:rPr>
        <w:t>être dispensé aux fonctionnaires de l</w:t>
      </w:r>
      <w:r w:rsidR="00E2055A" w:rsidRPr="00A32AF4">
        <w:rPr>
          <w:rFonts w:ascii="Arial" w:hAnsi="Arial" w:cs="Arial"/>
          <w:szCs w:val="20"/>
        </w:rPr>
        <w:t>’</w:t>
      </w:r>
      <w:r w:rsidRPr="00A32AF4">
        <w:rPr>
          <w:rFonts w:ascii="Arial" w:hAnsi="Arial" w:cs="Arial"/>
          <w:szCs w:val="20"/>
        </w:rPr>
        <w:t>État et aux employés du secteur public.  Un nouvel ensemble de cours sera créé et mis au point pour répondre aux priorités définies par les États membres.  L</w:t>
      </w:r>
      <w:r w:rsidR="00E2055A" w:rsidRPr="00A32AF4">
        <w:rPr>
          <w:rFonts w:ascii="Arial" w:hAnsi="Arial" w:cs="Arial"/>
          <w:szCs w:val="20"/>
        </w:rPr>
        <w:t>’</w:t>
      </w:r>
      <w:r w:rsidRPr="00A32AF4">
        <w:rPr>
          <w:rFonts w:ascii="Arial" w:hAnsi="Arial" w:cs="Arial"/>
          <w:szCs w:val="20"/>
        </w:rPr>
        <w:t>Académie continuera d</w:t>
      </w:r>
      <w:r w:rsidR="00E2055A" w:rsidRPr="00A32AF4">
        <w:rPr>
          <w:rFonts w:ascii="Arial" w:hAnsi="Arial" w:cs="Arial"/>
          <w:szCs w:val="20"/>
        </w:rPr>
        <w:t>’</w:t>
      </w:r>
      <w:r w:rsidRPr="00A32AF4">
        <w:rPr>
          <w:rFonts w:ascii="Arial" w:hAnsi="Arial" w:cs="Arial"/>
          <w:szCs w:val="20"/>
        </w:rPr>
        <w:t>aider les États membres à mettre sur pied de nouvelles académies nationales en s</w:t>
      </w:r>
      <w:r w:rsidR="00E2055A" w:rsidRPr="00A32AF4">
        <w:rPr>
          <w:rFonts w:ascii="Arial" w:hAnsi="Arial" w:cs="Arial"/>
          <w:szCs w:val="20"/>
        </w:rPr>
        <w:t>’</w:t>
      </w:r>
      <w:r w:rsidRPr="00A32AF4">
        <w:rPr>
          <w:rFonts w:ascii="Arial" w:hAnsi="Arial" w:cs="Arial"/>
          <w:szCs w:val="20"/>
        </w:rPr>
        <w:t>appuyant sur l</w:t>
      </w:r>
      <w:r w:rsidR="00E2055A" w:rsidRPr="00A32AF4">
        <w:rPr>
          <w:rFonts w:ascii="Arial" w:hAnsi="Arial" w:cs="Arial"/>
          <w:szCs w:val="20"/>
        </w:rPr>
        <w:t>’</w:t>
      </w:r>
      <w:r w:rsidRPr="00A32AF4">
        <w:rPr>
          <w:rFonts w:ascii="Arial" w:hAnsi="Arial" w:cs="Arial"/>
          <w:szCs w:val="20"/>
        </w:rPr>
        <w:t>expérience acquise et les enseignements tirés, et d</w:t>
      </w:r>
      <w:r w:rsidR="00E2055A" w:rsidRPr="00A32AF4">
        <w:rPr>
          <w:rFonts w:ascii="Arial" w:hAnsi="Arial" w:cs="Arial"/>
          <w:szCs w:val="20"/>
        </w:rPr>
        <w:t>’</w:t>
      </w:r>
      <w:r w:rsidRPr="00A32AF4">
        <w:rPr>
          <w:rFonts w:ascii="Arial" w:hAnsi="Arial" w:cs="Arial"/>
          <w:szCs w:val="20"/>
        </w:rPr>
        <w:t>aider les académies de la propriété intellectuelle qui existent déjà à être viables et à faire partie d</w:t>
      </w:r>
      <w:r w:rsidR="00E2055A" w:rsidRPr="00A32AF4">
        <w:rPr>
          <w:rFonts w:ascii="Arial" w:hAnsi="Arial" w:cs="Arial"/>
          <w:szCs w:val="20"/>
        </w:rPr>
        <w:t>’</w:t>
      </w:r>
      <w:r w:rsidRPr="00A32AF4">
        <w:rPr>
          <w:rFonts w:ascii="Arial" w:hAnsi="Arial" w:cs="Arial"/>
          <w:szCs w:val="20"/>
        </w:rPr>
        <w:t>un réseau dynamique d</w:t>
      </w:r>
      <w:r w:rsidR="00E2055A" w:rsidRPr="00A32AF4">
        <w:rPr>
          <w:rFonts w:ascii="Arial" w:hAnsi="Arial" w:cs="Arial"/>
          <w:szCs w:val="20"/>
        </w:rPr>
        <w:t>’</w:t>
      </w:r>
      <w:r w:rsidRPr="00A32AF4">
        <w:rPr>
          <w:rFonts w:ascii="Arial" w:hAnsi="Arial" w:cs="Arial"/>
          <w:szCs w:val="20"/>
        </w:rPr>
        <w:t>académies de la propriété intellectuelle.</w:t>
      </w:r>
    </w:p>
    <w:p w:rsidR="00F93B76" w:rsidRPr="00A32AF4" w:rsidRDefault="00F93B76" w:rsidP="00DC0553">
      <w:pPr>
        <w:pStyle w:val="ListParagraph"/>
        <w:tabs>
          <w:tab w:val="left" w:pos="1134"/>
        </w:tabs>
        <w:spacing w:line="240" w:lineRule="auto"/>
        <w:ind w:left="567"/>
        <w:jc w:val="both"/>
        <w:rPr>
          <w:rFonts w:ascii="Arial" w:hAnsi="Arial" w:cs="Arial"/>
          <w:szCs w:val="20"/>
        </w:rPr>
      </w:pPr>
    </w:p>
    <w:p w:rsidR="00F93B76" w:rsidRPr="00A32AF4" w:rsidRDefault="00CD1430" w:rsidP="00DC0553">
      <w:pPr>
        <w:pStyle w:val="ListParagraph"/>
        <w:numPr>
          <w:ilvl w:val="0"/>
          <w:numId w:val="22"/>
        </w:numPr>
        <w:tabs>
          <w:tab w:val="left" w:pos="1134"/>
        </w:tabs>
        <w:spacing w:after="0" w:line="240" w:lineRule="auto"/>
        <w:ind w:left="567" w:firstLine="0"/>
        <w:jc w:val="both"/>
        <w:rPr>
          <w:rFonts w:ascii="Arial" w:hAnsi="Arial" w:cs="Arial"/>
          <w:szCs w:val="20"/>
        </w:rPr>
      </w:pPr>
      <w:r w:rsidRPr="00A32AF4">
        <w:rPr>
          <w:rFonts w:ascii="Arial" w:hAnsi="Arial" w:cs="Arial"/>
          <w:szCs w:val="20"/>
        </w:rPr>
        <w:t>Programme d</w:t>
      </w:r>
      <w:r w:rsidR="00E2055A" w:rsidRPr="00A32AF4">
        <w:rPr>
          <w:rFonts w:ascii="Arial" w:hAnsi="Arial" w:cs="Arial"/>
          <w:szCs w:val="20"/>
        </w:rPr>
        <w:t>’</w:t>
      </w:r>
      <w:r w:rsidRPr="00A32AF4">
        <w:rPr>
          <w:rFonts w:ascii="Arial" w:hAnsi="Arial" w:cs="Arial"/>
          <w:szCs w:val="20"/>
        </w:rPr>
        <w:t>enseignement à distance : quelque 35 000 participants dans le monde suivent chaque année les cours d</w:t>
      </w:r>
      <w:r w:rsidR="00E2055A" w:rsidRPr="00A32AF4">
        <w:rPr>
          <w:rFonts w:ascii="Arial" w:hAnsi="Arial" w:cs="Arial"/>
          <w:szCs w:val="20"/>
        </w:rPr>
        <w:t>’</w:t>
      </w:r>
      <w:r w:rsidRPr="00A32AF4">
        <w:rPr>
          <w:rFonts w:ascii="Arial" w:hAnsi="Arial" w:cs="Arial"/>
          <w:szCs w:val="20"/>
        </w:rPr>
        <w:t>enseignement à distance dispensés par l</w:t>
      </w:r>
      <w:r w:rsidR="00E2055A" w:rsidRPr="00A32AF4">
        <w:rPr>
          <w:rFonts w:ascii="Arial" w:hAnsi="Arial" w:cs="Arial"/>
          <w:szCs w:val="20"/>
        </w:rPr>
        <w:t>’</w:t>
      </w:r>
      <w:r w:rsidRPr="00A32AF4">
        <w:rPr>
          <w:rFonts w:ascii="Arial" w:hAnsi="Arial" w:cs="Arial"/>
          <w:szCs w:val="20"/>
        </w:rPr>
        <w:t>Académie de l</w:t>
      </w:r>
      <w:r w:rsidR="00E2055A" w:rsidRPr="00A32AF4">
        <w:rPr>
          <w:rFonts w:ascii="Arial" w:hAnsi="Arial" w:cs="Arial"/>
          <w:szCs w:val="20"/>
        </w:rPr>
        <w:t>’</w:t>
      </w:r>
      <w:r w:rsidRPr="00A32AF4">
        <w:rPr>
          <w:rFonts w:ascii="Arial" w:hAnsi="Arial" w:cs="Arial"/>
          <w:szCs w:val="20"/>
        </w:rPr>
        <w:t>OMPI.  Leur participation continuera d</w:t>
      </w:r>
      <w:r w:rsidR="00E2055A" w:rsidRPr="00A32AF4">
        <w:rPr>
          <w:rFonts w:ascii="Arial" w:hAnsi="Arial" w:cs="Arial"/>
          <w:szCs w:val="20"/>
        </w:rPr>
        <w:t>’</w:t>
      </w:r>
      <w:r w:rsidRPr="00A32AF4">
        <w:rPr>
          <w:rFonts w:ascii="Arial" w:hAnsi="Arial" w:cs="Arial"/>
          <w:szCs w:val="20"/>
        </w:rPr>
        <w:t>être facilitée grâce à une plate</w:t>
      </w:r>
      <w:r w:rsidR="00EB7F54" w:rsidRPr="00A32AF4">
        <w:rPr>
          <w:rFonts w:ascii="Arial" w:hAnsi="Arial" w:cs="Arial"/>
          <w:szCs w:val="20"/>
        </w:rPr>
        <w:noBreakHyphen/>
      </w:r>
      <w:r w:rsidRPr="00A32AF4">
        <w:rPr>
          <w:rFonts w:ascii="Arial" w:hAnsi="Arial" w:cs="Arial"/>
          <w:szCs w:val="20"/>
        </w:rPr>
        <w:t>forme d</w:t>
      </w:r>
      <w:r w:rsidR="00E2055A" w:rsidRPr="00A32AF4">
        <w:rPr>
          <w:rFonts w:ascii="Arial" w:hAnsi="Arial" w:cs="Arial"/>
          <w:szCs w:val="20"/>
        </w:rPr>
        <w:t>’</w:t>
      </w:r>
      <w:r w:rsidRPr="00A32AF4">
        <w:rPr>
          <w:rFonts w:ascii="Arial" w:hAnsi="Arial" w:cs="Arial"/>
          <w:szCs w:val="20"/>
        </w:rPr>
        <w:t>enregistrement et d</w:t>
      </w:r>
      <w:r w:rsidR="00E2055A" w:rsidRPr="00A32AF4">
        <w:rPr>
          <w:rFonts w:ascii="Arial" w:hAnsi="Arial" w:cs="Arial"/>
          <w:szCs w:val="20"/>
        </w:rPr>
        <w:t>’</w:t>
      </w:r>
      <w:r w:rsidRPr="00A32AF4">
        <w:rPr>
          <w:rFonts w:ascii="Arial" w:hAnsi="Arial" w:cs="Arial"/>
          <w:szCs w:val="20"/>
        </w:rPr>
        <w:t>enseignement spécialisée et à un choix de 17 modules proposés dans 11 langues différentes.  L</w:t>
      </w:r>
      <w:r w:rsidR="00E2055A" w:rsidRPr="00A32AF4">
        <w:rPr>
          <w:rFonts w:ascii="Arial" w:hAnsi="Arial" w:cs="Arial"/>
          <w:szCs w:val="20"/>
        </w:rPr>
        <w:t>’</w:t>
      </w:r>
      <w:r w:rsidRPr="00A32AF4">
        <w:rPr>
          <w:rFonts w:ascii="Arial" w:hAnsi="Arial" w:cs="Arial"/>
          <w:szCs w:val="20"/>
        </w:rPr>
        <w:t>Académie s</w:t>
      </w:r>
      <w:r w:rsidR="00E2055A" w:rsidRPr="00A32AF4">
        <w:rPr>
          <w:rFonts w:ascii="Arial" w:hAnsi="Arial" w:cs="Arial"/>
          <w:szCs w:val="20"/>
        </w:rPr>
        <w:t>’</w:t>
      </w:r>
      <w:r w:rsidRPr="00A32AF4">
        <w:rPr>
          <w:rFonts w:ascii="Arial" w:hAnsi="Arial" w:cs="Arial"/>
          <w:szCs w:val="20"/>
        </w:rPr>
        <w:t>efforcera également de promouvoir ses cours d</w:t>
      </w:r>
      <w:r w:rsidR="00E2055A" w:rsidRPr="00A32AF4">
        <w:rPr>
          <w:rFonts w:ascii="Arial" w:hAnsi="Arial" w:cs="Arial"/>
          <w:szCs w:val="20"/>
        </w:rPr>
        <w:t>’</w:t>
      </w:r>
      <w:r w:rsidRPr="00A32AF4">
        <w:rPr>
          <w:rFonts w:ascii="Arial" w:hAnsi="Arial" w:cs="Arial"/>
          <w:szCs w:val="20"/>
        </w:rPr>
        <w:t>enseignement à distance en indiquant qu</w:t>
      </w:r>
      <w:r w:rsidR="00E2055A" w:rsidRPr="00A32AF4">
        <w:rPr>
          <w:rFonts w:ascii="Arial" w:hAnsi="Arial" w:cs="Arial"/>
          <w:szCs w:val="20"/>
        </w:rPr>
        <w:t>’</w:t>
      </w:r>
      <w:r w:rsidRPr="00A32AF4">
        <w:rPr>
          <w:rFonts w:ascii="Arial" w:hAnsi="Arial" w:cs="Arial"/>
          <w:szCs w:val="20"/>
        </w:rPr>
        <w:t>ils constituent une condition préalable pour participer à certaines activités de formation spécialisées organisées par différents secteurs de l</w:t>
      </w:r>
      <w:r w:rsidR="00E2055A" w:rsidRPr="00A32AF4">
        <w:rPr>
          <w:rFonts w:ascii="Arial" w:hAnsi="Arial" w:cs="Arial"/>
          <w:szCs w:val="20"/>
        </w:rPr>
        <w:t>’</w:t>
      </w:r>
      <w:r w:rsidRPr="00A32AF4">
        <w:rPr>
          <w:rFonts w:ascii="Arial" w:hAnsi="Arial" w:cs="Arial"/>
          <w:szCs w:val="20"/>
        </w:rPr>
        <w:t>OMPI.</w:t>
      </w:r>
    </w:p>
    <w:p w:rsidR="00F93B76" w:rsidRPr="00A32AF4" w:rsidRDefault="00F93B76" w:rsidP="00DC0553">
      <w:pPr>
        <w:pStyle w:val="ListParagraph"/>
        <w:tabs>
          <w:tab w:val="left" w:pos="1134"/>
        </w:tabs>
        <w:spacing w:line="240" w:lineRule="auto"/>
        <w:ind w:left="567"/>
        <w:jc w:val="both"/>
        <w:rPr>
          <w:rFonts w:ascii="Arial" w:hAnsi="Arial" w:cs="Arial"/>
          <w:szCs w:val="20"/>
        </w:rPr>
      </w:pPr>
    </w:p>
    <w:p w:rsidR="00F93B76" w:rsidRPr="00A32AF4" w:rsidRDefault="00CD1430" w:rsidP="00DC0553">
      <w:pPr>
        <w:pStyle w:val="ListParagraph"/>
        <w:numPr>
          <w:ilvl w:val="0"/>
          <w:numId w:val="22"/>
        </w:numPr>
        <w:tabs>
          <w:tab w:val="left" w:pos="1134"/>
        </w:tabs>
        <w:spacing w:after="0" w:line="240" w:lineRule="auto"/>
        <w:ind w:left="567" w:firstLine="0"/>
        <w:jc w:val="both"/>
        <w:rPr>
          <w:rFonts w:ascii="Arial" w:hAnsi="Arial" w:cs="Arial"/>
          <w:szCs w:val="20"/>
        </w:rPr>
      </w:pPr>
      <w:r w:rsidRPr="00A32AF4">
        <w:rPr>
          <w:rFonts w:ascii="Arial" w:hAnsi="Arial" w:cs="Arial"/>
          <w:szCs w:val="20"/>
        </w:rPr>
        <w:t>Programme des établissements universitaires : l</w:t>
      </w:r>
      <w:r w:rsidR="00E2055A" w:rsidRPr="00A32AF4">
        <w:rPr>
          <w:rFonts w:ascii="Arial" w:hAnsi="Arial" w:cs="Arial"/>
          <w:szCs w:val="20"/>
        </w:rPr>
        <w:t>’</w:t>
      </w:r>
      <w:r w:rsidRPr="00A32AF4">
        <w:rPr>
          <w:rFonts w:ascii="Arial" w:hAnsi="Arial" w:cs="Arial"/>
          <w:szCs w:val="20"/>
        </w:rPr>
        <w:t>Académie de l</w:t>
      </w:r>
      <w:r w:rsidR="00E2055A" w:rsidRPr="00A32AF4">
        <w:rPr>
          <w:rFonts w:ascii="Arial" w:hAnsi="Arial" w:cs="Arial"/>
          <w:szCs w:val="20"/>
        </w:rPr>
        <w:t>’</w:t>
      </w:r>
      <w:r w:rsidRPr="00A32AF4">
        <w:rPr>
          <w:rFonts w:ascii="Arial" w:hAnsi="Arial" w:cs="Arial"/>
          <w:szCs w:val="20"/>
        </w:rPr>
        <w:t>OMPI continuera d</w:t>
      </w:r>
      <w:r w:rsidR="00E2055A" w:rsidRPr="00A32AF4">
        <w:rPr>
          <w:rFonts w:ascii="Arial" w:hAnsi="Arial" w:cs="Arial"/>
          <w:szCs w:val="20"/>
        </w:rPr>
        <w:t>’</w:t>
      </w:r>
      <w:r w:rsidRPr="00A32AF4">
        <w:rPr>
          <w:rFonts w:ascii="Arial" w:hAnsi="Arial" w:cs="Arial"/>
          <w:szCs w:val="20"/>
        </w:rPr>
        <w:t>apporter son soutien à l</w:t>
      </w:r>
      <w:r w:rsidR="00E2055A" w:rsidRPr="00A32AF4">
        <w:rPr>
          <w:rFonts w:ascii="Arial" w:hAnsi="Arial" w:cs="Arial"/>
          <w:szCs w:val="20"/>
        </w:rPr>
        <w:t>’</w:t>
      </w:r>
      <w:r w:rsidRPr="00A32AF4">
        <w:rPr>
          <w:rFonts w:ascii="Arial" w:hAnsi="Arial" w:cs="Arial"/>
          <w:szCs w:val="20"/>
        </w:rPr>
        <w:t>enseignement de deuxième cycle sur la propriété intellectuelle, au travers de programmes de maîtrise communs.  Le modèle actuel sera revu de sorte que l</w:t>
      </w:r>
      <w:r w:rsidR="00E2055A" w:rsidRPr="00A32AF4">
        <w:rPr>
          <w:rFonts w:ascii="Arial" w:hAnsi="Arial" w:cs="Arial"/>
          <w:szCs w:val="20"/>
        </w:rPr>
        <w:t>’</w:t>
      </w:r>
      <w:r w:rsidRPr="00A32AF4">
        <w:rPr>
          <w:rFonts w:ascii="Arial" w:hAnsi="Arial" w:cs="Arial"/>
          <w:szCs w:val="20"/>
        </w:rPr>
        <w:t>Académie, dont l</w:t>
      </w:r>
      <w:r w:rsidR="00E2055A" w:rsidRPr="00A32AF4">
        <w:rPr>
          <w:rFonts w:ascii="Arial" w:hAnsi="Arial" w:cs="Arial"/>
          <w:szCs w:val="20"/>
        </w:rPr>
        <w:t>’</w:t>
      </w:r>
      <w:r w:rsidRPr="00A32AF4">
        <w:rPr>
          <w:rFonts w:ascii="Arial" w:hAnsi="Arial" w:cs="Arial"/>
          <w:szCs w:val="20"/>
        </w:rPr>
        <w:t xml:space="preserve">un des rôles actuels consiste à octroyer des bourses à des bénéficiaires individuels, puisse évoluer vers un modèle hybride dans lequel des conseils et une assistance seront fournis aux institutions universitaires, </w:t>
      </w:r>
      <w:r w:rsidR="00E2055A" w:rsidRPr="00A32AF4">
        <w:rPr>
          <w:rFonts w:ascii="Arial" w:hAnsi="Arial" w:cs="Arial"/>
          <w:szCs w:val="20"/>
        </w:rPr>
        <w:t>y compris</w:t>
      </w:r>
      <w:r w:rsidRPr="00A32AF4">
        <w:rPr>
          <w:rFonts w:ascii="Arial" w:hAnsi="Arial" w:cs="Arial"/>
          <w:szCs w:val="20"/>
        </w:rPr>
        <w:t xml:space="preserve"> par des institutions universitaires de renom avec lesquelles l</w:t>
      </w:r>
      <w:r w:rsidR="00E2055A" w:rsidRPr="00A32AF4">
        <w:rPr>
          <w:rFonts w:ascii="Arial" w:hAnsi="Arial" w:cs="Arial"/>
          <w:szCs w:val="20"/>
        </w:rPr>
        <w:t>’</w:t>
      </w:r>
      <w:r w:rsidRPr="00A32AF4">
        <w:rPr>
          <w:rFonts w:ascii="Arial" w:hAnsi="Arial" w:cs="Arial"/>
          <w:szCs w:val="20"/>
        </w:rPr>
        <w:t>OMPI entretient des relations étroites et privilégiées.  L</w:t>
      </w:r>
      <w:r w:rsidR="00E2055A" w:rsidRPr="00A32AF4">
        <w:rPr>
          <w:rFonts w:ascii="Arial" w:hAnsi="Arial" w:cs="Arial"/>
          <w:szCs w:val="20"/>
        </w:rPr>
        <w:t>’</w:t>
      </w:r>
      <w:r w:rsidRPr="00A32AF4">
        <w:rPr>
          <w:rFonts w:ascii="Arial" w:hAnsi="Arial" w:cs="Arial"/>
          <w:szCs w:val="20"/>
        </w:rPr>
        <w:t>accent sera mis sur la création de nouveaux cours et de nouveaux programmes d</w:t>
      </w:r>
      <w:r w:rsidR="00E2055A" w:rsidRPr="00A32AF4">
        <w:rPr>
          <w:rFonts w:ascii="Arial" w:hAnsi="Arial" w:cs="Arial"/>
          <w:szCs w:val="20"/>
        </w:rPr>
        <w:t>’</w:t>
      </w:r>
      <w:r w:rsidRPr="00A32AF4">
        <w:rPr>
          <w:rFonts w:ascii="Arial" w:hAnsi="Arial" w:cs="Arial"/>
          <w:szCs w:val="20"/>
        </w:rPr>
        <w:t>enseignement dans le domaine de la propriété intellectuelle mettant davantage l</w:t>
      </w:r>
      <w:r w:rsidR="00E2055A" w:rsidRPr="00A32AF4">
        <w:rPr>
          <w:rFonts w:ascii="Arial" w:hAnsi="Arial" w:cs="Arial"/>
          <w:szCs w:val="20"/>
        </w:rPr>
        <w:t>’</w:t>
      </w:r>
      <w:r w:rsidRPr="00A32AF4">
        <w:rPr>
          <w:rFonts w:ascii="Arial" w:hAnsi="Arial" w:cs="Arial"/>
          <w:szCs w:val="20"/>
        </w:rPr>
        <w:t>accent aux niveaux national et régional, visant à promouvoir l</w:t>
      </w:r>
      <w:r w:rsidR="00E2055A" w:rsidRPr="00A32AF4">
        <w:rPr>
          <w:rFonts w:ascii="Arial" w:hAnsi="Arial" w:cs="Arial"/>
          <w:szCs w:val="20"/>
        </w:rPr>
        <w:t>’</w:t>
      </w:r>
      <w:r w:rsidRPr="00A32AF4">
        <w:rPr>
          <w:rFonts w:ascii="Arial" w:hAnsi="Arial" w:cs="Arial"/>
          <w:szCs w:val="20"/>
        </w:rPr>
        <w:t>utilisation du savoir</w:t>
      </w:r>
      <w:r w:rsidR="00EB7F54" w:rsidRPr="00A32AF4">
        <w:rPr>
          <w:rFonts w:ascii="Arial" w:hAnsi="Arial" w:cs="Arial"/>
          <w:szCs w:val="20"/>
        </w:rPr>
        <w:noBreakHyphen/>
      </w:r>
      <w:r w:rsidRPr="00A32AF4">
        <w:rPr>
          <w:rFonts w:ascii="Arial" w:hAnsi="Arial" w:cs="Arial"/>
          <w:szCs w:val="20"/>
        </w:rPr>
        <w:t>faire national et régional, à renforcer les capacités et les compétences à l</w:t>
      </w:r>
      <w:r w:rsidR="00E2055A" w:rsidRPr="00A32AF4">
        <w:rPr>
          <w:rFonts w:ascii="Arial" w:hAnsi="Arial" w:cs="Arial"/>
          <w:szCs w:val="20"/>
        </w:rPr>
        <w:t>’</w:t>
      </w:r>
      <w:r w:rsidRPr="00A32AF4">
        <w:rPr>
          <w:rFonts w:ascii="Arial" w:hAnsi="Arial" w:cs="Arial"/>
          <w:szCs w:val="20"/>
        </w:rPr>
        <w:t>échelle locale, et à promouvoir l</w:t>
      </w:r>
      <w:r w:rsidR="00E2055A" w:rsidRPr="00A32AF4">
        <w:rPr>
          <w:rFonts w:ascii="Arial" w:hAnsi="Arial" w:cs="Arial"/>
          <w:szCs w:val="20"/>
        </w:rPr>
        <w:t>’</w:t>
      </w:r>
      <w:r w:rsidRPr="00A32AF4">
        <w:rPr>
          <w:rFonts w:ascii="Arial" w:hAnsi="Arial" w:cs="Arial"/>
          <w:szCs w:val="20"/>
        </w:rPr>
        <w:t>utilisation des plates</w:t>
      </w:r>
      <w:r w:rsidR="00EB7F54" w:rsidRPr="00A32AF4">
        <w:rPr>
          <w:rFonts w:ascii="Arial" w:hAnsi="Arial" w:cs="Arial"/>
          <w:szCs w:val="20"/>
        </w:rPr>
        <w:noBreakHyphen/>
      </w:r>
      <w:r w:rsidRPr="00A32AF4">
        <w:rPr>
          <w:rFonts w:ascii="Arial" w:hAnsi="Arial" w:cs="Arial"/>
          <w:szCs w:val="20"/>
        </w:rPr>
        <w:t>formes d</w:t>
      </w:r>
      <w:r w:rsidR="00E2055A" w:rsidRPr="00A32AF4">
        <w:rPr>
          <w:rFonts w:ascii="Arial" w:hAnsi="Arial" w:cs="Arial"/>
          <w:szCs w:val="20"/>
        </w:rPr>
        <w:t>’</w:t>
      </w:r>
      <w:r w:rsidRPr="00A32AF4">
        <w:rPr>
          <w:rFonts w:ascii="Arial" w:hAnsi="Arial" w:cs="Arial"/>
          <w:szCs w:val="20"/>
        </w:rPr>
        <w:t>information et de communication, telles que la plate</w:t>
      </w:r>
      <w:r w:rsidR="00EB7F54" w:rsidRPr="00A32AF4">
        <w:rPr>
          <w:rFonts w:ascii="Arial" w:hAnsi="Arial" w:cs="Arial"/>
          <w:szCs w:val="20"/>
        </w:rPr>
        <w:noBreakHyphen/>
      </w:r>
      <w:r w:rsidRPr="00A32AF4">
        <w:rPr>
          <w:rFonts w:ascii="Arial" w:hAnsi="Arial" w:cs="Arial"/>
          <w:szCs w:val="20"/>
        </w:rPr>
        <w:t>forme d</w:t>
      </w:r>
      <w:r w:rsidR="00E2055A" w:rsidRPr="00A32AF4">
        <w:rPr>
          <w:rFonts w:ascii="Arial" w:hAnsi="Arial" w:cs="Arial"/>
          <w:szCs w:val="20"/>
        </w:rPr>
        <w:t>’</w:t>
      </w:r>
      <w:r w:rsidRPr="00A32AF4">
        <w:rPr>
          <w:rFonts w:ascii="Arial" w:hAnsi="Arial" w:cs="Arial"/>
          <w:szCs w:val="20"/>
        </w:rPr>
        <w:t>enseignement à distance, pour fournir le matériel et l</w:t>
      </w:r>
      <w:r w:rsidR="00E2055A" w:rsidRPr="00A32AF4">
        <w:rPr>
          <w:rFonts w:ascii="Arial" w:hAnsi="Arial" w:cs="Arial"/>
          <w:szCs w:val="20"/>
        </w:rPr>
        <w:t>’</w:t>
      </w:r>
      <w:r w:rsidRPr="00A32AF4">
        <w:rPr>
          <w:rFonts w:ascii="Arial" w:hAnsi="Arial" w:cs="Arial"/>
          <w:szCs w:val="20"/>
        </w:rPr>
        <w:t>enseignement nécessaires.  Un nombre limité de cours d</w:t>
      </w:r>
      <w:r w:rsidR="00E2055A" w:rsidRPr="00A32AF4">
        <w:rPr>
          <w:rFonts w:ascii="Arial" w:hAnsi="Arial" w:cs="Arial"/>
          <w:szCs w:val="20"/>
        </w:rPr>
        <w:t>’</w:t>
      </w:r>
      <w:r w:rsidRPr="00A32AF4">
        <w:rPr>
          <w:rFonts w:ascii="Arial" w:hAnsi="Arial" w:cs="Arial"/>
          <w:szCs w:val="20"/>
        </w:rPr>
        <w:t>été continueront d</w:t>
      </w:r>
      <w:r w:rsidR="00E2055A" w:rsidRPr="00A32AF4">
        <w:rPr>
          <w:rFonts w:ascii="Arial" w:hAnsi="Arial" w:cs="Arial"/>
          <w:szCs w:val="20"/>
        </w:rPr>
        <w:t>’</w:t>
      </w:r>
      <w:r w:rsidRPr="00A32AF4">
        <w:rPr>
          <w:rFonts w:ascii="Arial" w:hAnsi="Arial" w:cs="Arial"/>
          <w:szCs w:val="20"/>
        </w:rPr>
        <w:t>être organisés conjointement avec les partenaires actuels et de nouveaux partenaires, selon un système de roulement, sur la base de facteurs tels que la contribution de chaque partenaire, l</w:t>
      </w:r>
      <w:r w:rsidR="00E2055A" w:rsidRPr="00A32AF4">
        <w:rPr>
          <w:rFonts w:ascii="Arial" w:hAnsi="Arial" w:cs="Arial"/>
          <w:szCs w:val="20"/>
        </w:rPr>
        <w:t>’</w:t>
      </w:r>
      <w:r w:rsidRPr="00A32AF4">
        <w:rPr>
          <w:rFonts w:ascii="Arial" w:hAnsi="Arial" w:cs="Arial"/>
          <w:szCs w:val="20"/>
        </w:rPr>
        <w:t>emplacement géographique, l</w:t>
      </w:r>
      <w:r w:rsidR="00E2055A" w:rsidRPr="00A32AF4">
        <w:rPr>
          <w:rFonts w:ascii="Arial" w:hAnsi="Arial" w:cs="Arial"/>
          <w:szCs w:val="20"/>
        </w:rPr>
        <w:t>’</w:t>
      </w:r>
      <w:r w:rsidRPr="00A32AF4">
        <w:rPr>
          <w:rFonts w:ascii="Arial" w:hAnsi="Arial" w:cs="Arial"/>
          <w:szCs w:val="20"/>
        </w:rPr>
        <w:t>équilibre linguistique et la viabilité du programme.</w:t>
      </w:r>
    </w:p>
    <w:p w:rsidR="00F93B76" w:rsidRPr="00A32AF4" w:rsidRDefault="00F93B76" w:rsidP="00DC0553">
      <w:pPr>
        <w:pStyle w:val="ListParagraph"/>
        <w:spacing w:line="240" w:lineRule="auto"/>
        <w:ind w:left="0"/>
        <w:jc w:val="both"/>
        <w:rPr>
          <w:rFonts w:ascii="Arial" w:hAnsi="Arial" w:cs="Arial"/>
          <w:szCs w:val="20"/>
        </w:rPr>
      </w:pPr>
    </w:p>
    <w:p w:rsidR="00F93B76" w:rsidRPr="00A32AF4" w:rsidRDefault="008F0DFD" w:rsidP="00DC0553">
      <w:pPr>
        <w:pStyle w:val="ListParagraph"/>
        <w:keepNext/>
        <w:keepLines/>
        <w:numPr>
          <w:ilvl w:val="0"/>
          <w:numId w:val="23"/>
        </w:numPr>
        <w:tabs>
          <w:tab w:val="left" w:pos="567"/>
        </w:tabs>
        <w:spacing w:after="0" w:line="240" w:lineRule="auto"/>
        <w:ind w:left="0" w:firstLine="0"/>
        <w:jc w:val="both"/>
        <w:rPr>
          <w:rFonts w:ascii="Arial" w:hAnsi="Arial" w:cs="Arial"/>
          <w:szCs w:val="20"/>
        </w:rPr>
      </w:pPr>
      <w:r w:rsidRPr="00A32AF4">
        <w:rPr>
          <w:rFonts w:ascii="Arial" w:hAnsi="Arial" w:cs="Arial"/>
          <w:szCs w:val="20"/>
        </w:rPr>
        <w:t>Bien que l</w:t>
      </w:r>
      <w:r w:rsidR="00E2055A" w:rsidRPr="00A32AF4">
        <w:rPr>
          <w:rFonts w:ascii="Arial" w:hAnsi="Arial" w:cs="Arial"/>
          <w:szCs w:val="20"/>
        </w:rPr>
        <w:t>’</w:t>
      </w:r>
      <w:r w:rsidRPr="00A32AF4">
        <w:rPr>
          <w:rFonts w:ascii="Arial" w:hAnsi="Arial" w:cs="Arial"/>
          <w:szCs w:val="20"/>
        </w:rPr>
        <w:t>Académie de l</w:t>
      </w:r>
      <w:r w:rsidR="00E2055A" w:rsidRPr="00A32AF4">
        <w:rPr>
          <w:rFonts w:ascii="Arial" w:hAnsi="Arial" w:cs="Arial"/>
          <w:szCs w:val="20"/>
        </w:rPr>
        <w:t>’</w:t>
      </w:r>
      <w:r w:rsidRPr="00A32AF4">
        <w:rPr>
          <w:rFonts w:ascii="Arial" w:hAnsi="Arial" w:cs="Arial"/>
          <w:szCs w:val="20"/>
        </w:rPr>
        <w:t>OMPI coopère avec la plupart des programmes de l</w:t>
      </w:r>
      <w:r w:rsidR="00E2055A" w:rsidRPr="00A32AF4">
        <w:rPr>
          <w:rFonts w:ascii="Arial" w:hAnsi="Arial" w:cs="Arial"/>
          <w:szCs w:val="20"/>
        </w:rPr>
        <w:t>’</w:t>
      </w:r>
      <w:r w:rsidRPr="00A32AF4">
        <w:rPr>
          <w:rFonts w:ascii="Arial" w:hAnsi="Arial" w:cs="Arial"/>
          <w:szCs w:val="20"/>
        </w:rPr>
        <w:t>Organisation pour la mise au point et la prestation de programmes de formation sur mesure, le diagramme ci</w:t>
      </w:r>
      <w:r w:rsidR="00EB7F54" w:rsidRPr="00A32AF4">
        <w:rPr>
          <w:rFonts w:ascii="Arial" w:hAnsi="Arial" w:cs="Arial"/>
          <w:szCs w:val="20"/>
        </w:rPr>
        <w:noBreakHyphen/>
      </w:r>
      <w:r w:rsidRPr="00A32AF4">
        <w:rPr>
          <w:rFonts w:ascii="Arial" w:hAnsi="Arial" w:cs="Arial"/>
          <w:szCs w:val="20"/>
        </w:rPr>
        <w:t>dessous indique les programmes avec lesquels l</w:t>
      </w:r>
      <w:r w:rsidR="00E2055A" w:rsidRPr="00A32AF4">
        <w:rPr>
          <w:rFonts w:ascii="Arial" w:hAnsi="Arial" w:cs="Arial"/>
          <w:szCs w:val="20"/>
        </w:rPr>
        <w:t>’</w:t>
      </w:r>
      <w:r w:rsidRPr="00A32AF4">
        <w:rPr>
          <w:rFonts w:ascii="Arial" w:hAnsi="Arial" w:cs="Arial"/>
          <w:szCs w:val="20"/>
        </w:rPr>
        <w:t>académie entretien</w:t>
      </w:r>
      <w:r w:rsidR="008A7259" w:rsidRPr="00A32AF4">
        <w:rPr>
          <w:rFonts w:ascii="Arial" w:hAnsi="Arial" w:cs="Arial"/>
          <w:szCs w:val="20"/>
        </w:rPr>
        <w:t>t</w:t>
      </w:r>
      <w:r w:rsidRPr="00A32AF4">
        <w:rPr>
          <w:rFonts w:ascii="Arial" w:hAnsi="Arial" w:cs="Arial"/>
          <w:szCs w:val="20"/>
        </w:rPr>
        <w:t xml:space="preserve"> la collaboration la plus régulière</w:t>
      </w:r>
      <w:r w:rsidR="00071F96" w:rsidRPr="00A32AF4">
        <w:rPr>
          <w:rFonts w:ascii="Arial" w:hAnsi="Arial" w:cs="Arial"/>
          <w:szCs w:val="20"/>
        </w:rPr>
        <w:t>.</w:t>
      </w:r>
    </w:p>
    <w:p w:rsidR="00F93B76" w:rsidRPr="00A32AF4" w:rsidRDefault="00F93B76" w:rsidP="00DC0553"/>
    <w:p w:rsidR="00825547" w:rsidRPr="00A32AF4" w:rsidRDefault="00825547" w:rsidP="00DC0553"/>
    <w:p w:rsidR="00825547" w:rsidRPr="00A32AF4" w:rsidRDefault="00825547" w:rsidP="00DC0553">
      <w:r w:rsidRPr="00A32AF4">
        <w:rPr>
          <w:rFonts w:cs="Arial"/>
          <w:noProof/>
          <w:lang w:eastAsia="fr-FR"/>
        </w:rPr>
        <w:drawing>
          <wp:inline distT="0" distB="0" distL="0" distR="0" wp14:anchorId="3BFF4D39" wp14:editId="4C424977">
            <wp:extent cx="5853448" cy="1667814"/>
            <wp:effectExtent l="57150" t="76200" r="52070" b="104140"/>
            <wp:docPr id="75" name="Diagram 7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9" r:lo="rId100" r:qs="rId101" r:cs="rId102"/>
              </a:graphicData>
            </a:graphic>
          </wp:inline>
        </w:drawing>
      </w:r>
    </w:p>
    <w:p w:rsidR="00F93B76" w:rsidRPr="00A32AF4" w:rsidRDefault="00F93B76" w:rsidP="00DC0553"/>
    <w:p w:rsidR="00F93B76" w:rsidRPr="00A32AF4" w:rsidRDefault="00F93B76" w:rsidP="00DC0553"/>
    <w:p w:rsidR="00F93B76" w:rsidRPr="00A32AF4" w:rsidRDefault="000E29ED" w:rsidP="00DC0553">
      <w:pPr>
        <w:keepNext/>
      </w:pPr>
      <w:r w:rsidRPr="00A32AF4">
        <w:t>PRINCIPAUX RISQUES ET STRATÉGIES D</w:t>
      </w:r>
      <w:r w:rsidR="00E2055A" w:rsidRPr="00A32AF4">
        <w:t>’</w:t>
      </w:r>
      <w:r w:rsidRPr="00A32AF4">
        <w:t>ATTÉNUATION</w:t>
      </w:r>
    </w:p>
    <w:p w:rsidR="00CD1430" w:rsidRPr="00A32AF4" w:rsidRDefault="00CD1430" w:rsidP="00DC0553">
      <w:pPr>
        <w:keepNext/>
        <w:keepLines/>
        <w:rPr>
          <w:rFonts w:cs="Arial"/>
        </w:rPr>
      </w:pPr>
    </w:p>
    <w:tbl>
      <w:tblPr>
        <w:tblW w:w="9356" w:type="dxa"/>
        <w:tblInd w:w="108" w:type="dxa"/>
        <w:tblBorders>
          <w:top w:val="single" w:sz="4" w:space="0" w:color="auto"/>
          <w:left w:val="single" w:sz="4" w:space="0" w:color="auto"/>
          <w:bottom w:val="single" w:sz="4" w:space="0" w:color="auto"/>
          <w:right w:val="single" w:sz="4" w:space="0" w:color="auto"/>
        </w:tblBorders>
        <w:tblCellMar>
          <w:top w:w="113" w:type="dxa"/>
          <w:left w:w="68" w:type="dxa"/>
          <w:bottom w:w="113" w:type="dxa"/>
          <w:right w:w="68" w:type="dxa"/>
        </w:tblCellMar>
        <w:tblLook w:val="01E0" w:firstRow="1" w:lastRow="1" w:firstColumn="1" w:lastColumn="1" w:noHBand="0" w:noVBand="0"/>
      </w:tblPr>
      <w:tblGrid>
        <w:gridCol w:w="4253"/>
        <w:gridCol w:w="5103"/>
      </w:tblGrid>
      <w:tr w:rsidR="0038294E" w:rsidRPr="00A32AF4" w:rsidTr="0047185D">
        <w:trPr>
          <w:cantSplit/>
          <w:tblHeader/>
        </w:trPr>
        <w:tc>
          <w:tcPr>
            <w:tcW w:w="4253" w:type="dxa"/>
            <w:tcBorders>
              <w:top w:val="single" w:sz="4" w:space="0" w:color="auto"/>
              <w:bottom w:val="single" w:sz="4" w:space="0" w:color="auto"/>
            </w:tcBorders>
            <w:shd w:val="clear" w:color="auto" w:fill="C6D9F1" w:themeFill="text2" w:themeFillTint="33"/>
            <w:vAlign w:val="center"/>
          </w:tcPr>
          <w:p w:rsidR="00CD1430" w:rsidRPr="00A32AF4" w:rsidRDefault="00CD1430" w:rsidP="00DC0553">
            <w:pPr>
              <w:keepNext/>
              <w:keepLines/>
              <w:jc w:val="center"/>
              <w:rPr>
                <w:b/>
                <w:bCs/>
                <w:sz w:val="18"/>
                <w:szCs w:val="18"/>
              </w:rPr>
            </w:pPr>
            <w:r w:rsidRPr="00A32AF4">
              <w:rPr>
                <w:b/>
                <w:bCs/>
                <w:sz w:val="18"/>
                <w:szCs w:val="18"/>
              </w:rPr>
              <w:t>Risque</w:t>
            </w:r>
            <w:r w:rsidR="00D27E4C" w:rsidRPr="00A32AF4">
              <w:rPr>
                <w:b/>
                <w:bCs/>
                <w:sz w:val="18"/>
                <w:szCs w:val="18"/>
              </w:rPr>
              <w:t>s</w:t>
            </w:r>
          </w:p>
        </w:tc>
        <w:tc>
          <w:tcPr>
            <w:tcW w:w="5103" w:type="dxa"/>
            <w:tcBorders>
              <w:top w:val="single" w:sz="4" w:space="0" w:color="auto"/>
              <w:bottom w:val="single" w:sz="4" w:space="0" w:color="auto"/>
            </w:tcBorders>
            <w:shd w:val="clear" w:color="auto" w:fill="C6D9F1" w:themeFill="text2" w:themeFillTint="33"/>
            <w:vAlign w:val="center"/>
          </w:tcPr>
          <w:p w:rsidR="00CD1430" w:rsidRPr="00A32AF4" w:rsidRDefault="00CD1430" w:rsidP="00DC0553">
            <w:pPr>
              <w:keepNext/>
              <w:keepLines/>
              <w:jc w:val="center"/>
              <w:rPr>
                <w:b/>
                <w:bCs/>
                <w:sz w:val="18"/>
                <w:szCs w:val="18"/>
              </w:rPr>
            </w:pPr>
            <w:r w:rsidRPr="00A32AF4">
              <w:rPr>
                <w:b/>
                <w:bCs/>
                <w:sz w:val="18"/>
                <w:szCs w:val="18"/>
              </w:rPr>
              <w:t>Stratégie</w:t>
            </w:r>
            <w:r w:rsidR="00D27E4C" w:rsidRPr="00A32AF4">
              <w:rPr>
                <w:b/>
                <w:bCs/>
                <w:sz w:val="18"/>
                <w:szCs w:val="18"/>
              </w:rPr>
              <w:t>s</w:t>
            </w:r>
            <w:r w:rsidRPr="00A32AF4">
              <w:rPr>
                <w:b/>
                <w:bCs/>
                <w:sz w:val="18"/>
                <w:szCs w:val="18"/>
              </w:rPr>
              <w:t xml:space="preserve"> d</w:t>
            </w:r>
            <w:r w:rsidR="00E2055A" w:rsidRPr="00A32AF4">
              <w:rPr>
                <w:b/>
                <w:bCs/>
                <w:sz w:val="18"/>
                <w:szCs w:val="18"/>
              </w:rPr>
              <w:t>’</w:t>
            </w:r>
            <w:r w:rsidRPr="00A32AF4">
              <w:rPr>
                <w:b/>
                <w:bCs/>
                <w:sz w:val="18"/>
                <w:szCs w:val="18"/>
              </w:rPr>
              <w:t>atténuation</w:t>
            </w:r>
          </w:p>
        </w:tc>
      </w:tr>
      <w:tr w:rsidR="0038294E" w:rsidRPr="00A32AF4" w:rsidTr="0047185D">
        <w:trPr>
          <w:cantSplit/>
        </w:trPr>
        <w:tc>
          <w:tcPr>
            <w:tcW w:w="4253" w:type="dxa"/>
            <w:tcBorders>
              <w:top w:val="single" w:sz="4" w:space="0" w:color="auto"/>
            </w:tcBorders>
            <w:shd w:val="clear" w:color="auto" w:fill="auto"/>
            <w:tcMar>
              <w:top w:w="113" w:type="dxa"/>
              <w:bottom w:w="113" w:type="dxa"/>
            </w:tcMar>
          </w:tcPr>
          <w:p w:rsidR="00CD1430" w:rsidRPr="00A32AF4" w:rsidRDefault="00CD1430" w:rsidP="0047185D">
            <w:pPr>
              <w:keepLines/>
              <w:rPr>
                <w:sz w:val="16"/>
                <w:szCs w:val="16"/>
              </w:rPr>
            </w:pPr>
            <w:r w:rsidRPr="00A32AF4">
              <w:rPr>
                <w:sz w:val="16"/>
                <w:szCs w:val="16"/>
              </w:rPr>
              <w:t>La diminution des contributions financières apportées par les institutions partenaires pourrait avoir une incidence sur les programmes de formation dispensés et la création de nouveaux cours de formation.</w:t>
            </w:r>
          </w:p>
        </w:tc>
        <w:tc>
          <w:tcPr>
            <w:tcW w:w="5103" w:type="dxa"/>
            <w:tcBorders>
              <w:top w:val="single" w:sz="4" w:space="0" w:color="auto"/>
            </w:tcBorders>
            <w:shd w:val="clear" w:color="auto" w:fill="auto"/>
            <w:tcMar>
              <w:top w:w="113" w:type="dxa"/>
              <w:bottom w:w="113" w:type="dxa"/>
            </w:tcMar>
          </w:tcPr>
          <w:p w:rsidR="00CD1430" w:rsidRPr="00A32AF4" w:rsidRDefault="00CD1430" w:rsidP="0047185D">
            <w:pPr>
              <w:keepLines/>
              <w:rPr>
                <w:sz w:val="16"/>
                <w:szCs w:val="16"/>
              </w:rPr>
            </w:pPr>
            <w:r w:rsidRPr="00A32AF4">
              <w:rPr>
                <w:sz w:val="16"/>
                <w:szCs w:val="16"/>
              </w:rPr>
              <w:t>Poursuite des discussions avec les institutions partenaires actuelles et de nouvelles institutions partenaires potentielles.</w:t>
            </w:r>
          </w:p>
        </w:tc>
      </w:tr>
      <w:tr w:rsidR="0038294E" w:rsidRPr="00A32AF4" w:rsidTr="0047185D">
        <w:trPr>
          <w:cantSplit/>
        </w:trPr>
        <w:tc>
          <w:tcPr>
            <w:tcW w:w="4253" w:type="dxa"/>
            <w:shd w:val="clear" w:color="auto" w:fill="auto"/>
            <w:tcMar>
              <w:top w:w="113" w:type="dxa"/>
              <w:bottom w:w="113" w:type="dxa"/>
            </w:tcMar>
          </w:tcPr>
          <w:p w:rsidR="00CD1430" w:rsidRPr="00A32AF4" w:rsidRDefault="00CD1430" w:rsidP="00DC0553">
            <w:pPr>
              <w:rPr>
                <w:sz w:val="16"/>
                <w:szCs w:val="16"/>
              </w:rPr>
            </w:pPr>
            <w:r w:rsidRPr="00A32AF4">
              <w:rPr>
                <w:sz w:val="16"/>
                <w:szCs w:val="16"/>
              </w:rPr>
              <w:t>Sous l</w:t>
            </w:r>
            <w:r w:rsidR="00E2055A" w:rsidRPr="00A32AF4">
              <w:rPr>
                <w:sz w:val="16"/>
                <w:szCs w:val="16"/>
              </w:rPr>
              <w:t>’</w:t>
            </w:r>
            <w:r w:rsidRPr="00A32AF4">
              <w:rPr>
                <w:sz w:val="16"/>
                <w:szCs w:val="16"/>
              </w:rPr>
              <w:t>effet de l</w:t>
            </w:r>
            <w:r w:rsidR="00E2055A" w:rsidRPr="00A32AF4">
              <w:rPr>
                <w:sz w:val="16"/>
                <w:szCs w:val="16"/>
              </w:rPr>
              <w:t>’</w:t>
            </w:r>
            <w:r w:rsidRPr="00A32AF4">
              <w:rPr>
                <w:sz w:val="16"/>
                <w:szCs w:val="16"/>
              </w:rPr>
              <w:t>évolution rapide de la technologie et du contexte de la propriété intellectuelle, les attentes et préférences des utilisateurs, elles aussi, évoluent rapidement.</w:t>
            </w:r>
            <w:r w:rsidRPr="00A32AF4">
              <w:rPr>
                <w:sz w:val="16"/>
              </w:rPr>
              <w:t xml:space="preserve">  </w:t>
            </w:r>
            <w:r w:rsidRPr="00A32AF4">
              <w:rPr>
                <w:sz w:val="16"/>
                <w:szCs w:val="16"/>
              </w:rPr>
              <w:t>Le contenu, les interfaces, les graphiques et la plate</w:t>
            </w:r>
            <w:r w:rsidR="00EB7F54" w:rsidRPr="00A32AF4">
              <w:rPr>
                <w:sz w:val="16"/>
                <w:szCs w:val="16"/>
              </w:rPr>
              <w:noBreakHyphen/>
            </w:r>
            <w:r w:rsidRPr="00A32AF4">
              <w:rPr>
                <w:sz w:val="16"/>
                <w:szCs w:val="16"/>
              </w:rPr>
              <w:t>forme informatique des cours d</w:t>
            </w:r>
            <w:r w:rsidR="00E2055A" w:rsidRPr="00A32AF4">
              <w:rPr>
                <w:sz w:val="16"/>
                <w:szCs w:val="16"/>
              </w:rPr>
              <w:t>’</w:t>
            </w:r>
            <w:r w:rsidRPr="00A32AF4">
              <w:rPr>
                <w:sz w:val="16"/>
                <w:szCs w:val="16"/>
              </w:rPr>
              <w:t>enseignement à distance peuvent devenir périmés.</w:t>
            </w:r>
          </w:p>
        </w:tc>
        <w:tc>
          <w:tcPr>
            <w:tcW w:w="5103" w:type="dxa"/>
            <w:shd w:val="clear" w:color="auto" w:fill="auto"/>
            <w:tcMar>
              <w:top w:w="113" w:type="dxa"/>
              <w:bottom w:w="113" w:type="dxa"/>
            </w:tcMar>
          </w:tcPr>
          <w:p w:rsidR="00CD1430" w:rsidRPr="00A32AF4" w:rsidRDefault="00CD1430" w:rsidP="00DC0553">
            <w:pPr>
              <w:rPr>
                <w:rFonts w:ascii="Times New Roman" w:hAnsi="Times New Roman"/>
                <w:sz w:val="16"/>
                <w:szCs w:val="16"/>
              </w:rPr>
            </w:pPr>
            <w:r w:rsidRPr="00A32AF4">
              <w:rPr>
                <w:sz w:val="16"/>
                <w:szCs w:val="16"/>
              </w:rPr>
              <w:t>Enquêtes de satisfaction auprès des étudiants et des formateurs concernés par les cours d</w:t>
            </w:r>
            <w:r w:rsidR="00E2055A" w:rsidRPr="00A32AF4">
              <w:rPr>
                <w:sz w:val="16"/>
                <w:szCs w:val="16"/>
              </w:rPr>
              <w:t>’</w:t>
            </w:r>
            <w:r w:rsidRPr="00A32AF4">
              <w:rPr>
                <w:sz w:val="16"/>
                <w:szCs w:val="16"/>
              </w:rPr>
              <w:t>enseignement à distance.  Engagement d</w:t>
            </w:r>
            <w:r w:rsidR="00E2055A" w:rsidRPr="00A32AF4">
              <w:rPr>
                <w:sz w:val="16"/>
                <w:szCs w:val="16"/>
              </w:rPr>
              <w:t>’</w:t>
            </w:r>
            <w:r w:rsidRPr="00A32AF4">
              <w:rPr>
                <w:sz w:val="16"/>
                <w:szCs w:val="16"/>
              </w:rPr>
              <w:t>experts pour évaluer les cours et moderniser les plates</w:t>
            </w:r>
            <w:r w:rsidR="00EB7F54" w:rsidRPr="00A32AF4">
              <w:rPr>
                <w:sz w:val="16"/>
                <w:szCs w:val="16"/>
              </w:rPr>
              <w:noBreakHyphen/>
            </w:r>
            <w:r w:rsidRPr="00A32AF4">
              <w:rPr>
                <w:sz w:val="16"/>
                <w:szCs w:val="16"/>
              </w:rPr>
              <w:t>formes.</w:t>
            </w:r>
          </w:p>
        </w:tc>
      </w:tr>
      <w:tr w:rsidR="00CD1430" w:rsidRPr="00A32AF4" w:rsidTr="0047185D">
        <w:trPr>
          <w:cantSplit/>
        </w:trPr>
        <w:tc>
          <w:tcPr>
            <w:tcW w:w="4253" w:type="dxa"/>
            <w:shd w:val="clear" w:color="auto" w:fill="auto"/>
            <w:tcMar>
              <w:top w:w="113" w:type="dxa"/>
              <w:bottom w:w="113" w:type="dxa"/>
            </w:tcMar>
          </w:tcPr>
          <w:p w:rsidR="00CD1430" w:rsidRPr="00A32AF4" w:rsidRDefault="00CD1430" w:rsidP="00DC0553">
            <w:pPr>
              <w:rPr>
                <w:sz w:val="16"/>
                <w:szCs w:val="16"/>
              </w:rPr>
            </w:pPr>
            <w:r w:rsidRPr="00A32AF4">
              <w:rPr>
                <w:sz w:val="16"/>
                <w:szCs w:val="16"/>
              </w:rPr>
              <w:t>Les informations en matière de propriété intellectuelle contenues dans les différents programmes de formation de l</w:t>
            </w:r>
            <w:r w:rsidR="00E2055A" w:rsidRPr="00A32AF4">
              <w:rPr>
                <w:sz w:val="16"/>
                <w:szCs w:val="16"/>
              </w:rPr>
              <w:t>’</w:t>
            </w:r>
            <w:r w:rsidRPr="00A32AF4">
              <w:rPr>
                <w:sz w:val="16"/>
                <w:szCs w:val="16"/>
              </w:rPr>
              <w:t>Académie pourraient être mal adaptées face aux nouveaux défis et à l</w:t>
            </w:r>
            <w:r w:rsidR="00E2055A" w:rsidRPr="00A32AF4">
              <w:rPr>
                <w:sz w:val="16"/>
                <w:szCs w:val="16"/>
              </w:rPr>
              <w:t>’</w:t>
            </w:r>
            <w:r w:rsidRPr="00A32AF4">
              <w:rPr>
                <w:sz w:val="16"/>
                <w:szCs w:val="16"/>
              </w:rPr>
              <w:t>évolution mondiale de la situation en ce qui concerne le système de la propriété intellectuelle.</w:t>
            </w:r>
          </w:p>
        </w:tc>
        <w:tc>
          <w:tcPr>
            <w:tcW w:w="5103" w:type="dxa"/>
            <w:shd w:val="clear" w:color="auto" w:fill="auto"/>
            <w:tcMar>
              <w:top w:w="113" w:type="dxa"/>
              <w:bottom w:w="113" w:type="dxa"/>
            </w:tcMar>
          </w:tcPr>
          <w:p w:rsidR="00CD1430" w:rsidRPr="00A32AF4" w:rsidRDefault="00CD1430" w:rsidP="00DC0553">
            <w:pPr>
              <w:rPr>
                <w:sz w:val="16"/>
                <w:szCs w:val="16"/>
              </w:rPr>
            </w:pPr>
            <w:r w:rsidRPr="00A32AF4">
              <w:rPr>
                <w:sz w:val="16"/>
                <w:szCs w:val="16"/>
              </w:rPr>
              <w:t>Évaluation et retour d</w:t>
            </w:r>
            <w:r w:rsidR="00E2055A" w:rsidRPr="00A32AF4">
              <w:rPr>
                <w:sz w:val="16"/>
                <w:szCs w:val="16"/>
              </w:rPr>
              <w:t>’</w:t>
            </w:r>
            <w:r w:rsidRPr="00A32AF4">
              <w:rPr>
                <w:sz w:val="16"/>
                <w:szCs w:val="16"/>
              </w:rPr>
              <w:t>information continus de la part des parties prenantes des États membres et des partenaires de formation, des participants, des formateurs et des experts participant aux activités de l</w:t>
            </w:r>
            <w:r w:rsidR="00E2055A" w:rsidRPr="00A32AF4">
              <w:rPr>
                <w:sz w:val="16"/>
                <w:szCs w:val="16"/>
              </w:rPr>
              <w:t>’</w:t>
            </w:r>
            <w:r w:rsidRPr="00A32AF4">
              <w:rPr>
                <w:sz w:val="16"/>
                <w:szCs w:val="16"/>
              </w:rPr>
              <w:t>Académie de l</w:t>
            </w:r>
            <w:r w:rsidR="00E2055A" w:rsidRPr="00A32AF4">
              <w:rPr>
                <w:sz w:val="16"/>
                <w:szCs w:val="16"/>
              </w:rPr>
              <w:t>’</w:t>
            </w:r>
            <w:r w:rsidRPr="00A32AF4">
              <w:rPr>
                <w:sz w:val="16"/>
                <w:szCs w:val="16"/>
              </w:rPr>
              <w:t>OMPI.</w:t>
            </w:r>
          </w:p>
        </w:tc>
      </w:tr>
    </w:tbl>
    <w:p w:rsidR="00F93B76" w:rsidRPr="00A32AF4" w:rsidRDefault="00F93B76" w:rsidP="00DC0553"/>
    <w:p w:rsidR="00F93B76" w:rsidRPr="00A32AF4" w:rsidRDefault="00F93B76" w:rsidP="00DC0553"/>
    <w:p w:rsidR="00F93B76" w:rsidRPr="00A32AF4" w:rsidRDefault="00071F96" w:rsidP="00DC0553">
      <w:r w:rsidRPr="00A32AF4">
        <w:t>TABLEAU DES RÉSULTATS</w:t>
      </w:r>
    </w:p>
    <w:p w:rsidR="00CD1430" w:rsidRPr="00A32AF4" w:rsidRDefault="00CD1430" w:rsidP="00DC0553"/>
    <w:tbl>
      <w:tblPr>
        <w:tblW w:w="9600" w:type="dxa"/>
        <w:tblInd w:w="93" w:type="dxa"/>
        <w:tblLook w:val="04A0" w:firstRow="1" w:lastRow="0" w:firstColumn="1" w:lastColumn="0" w:noHBand="0" w:noVBand="1"/>
      </w:tblPr>
      <w:tblGrid>
        <w:gridCol w:w="2600"/>
        <w:gridCol w:w="2440"/>
        <w:gridCol w:w="2340"/>
        <w:gridCol w:w="2220"/>
      </w:tblGrid>
      <w:tr w:rsidR="0038294E" w:rsidRPr="00A32AF4" w:rsidTr="004848EA">
        <w:trPr>
          <w:cantSplit/>
          <w:tblHeader/>
        </w:trPr>
        <w:tc>
          <w:tcPr>
            <w:tcW w:w="2600" w:type="dxa"/>
            <w:tcBorders>
              <w:top w:val="single" w:sz="4" w:space="0" w:color="auto"/>
              <w:left w:val="single" w:sz="4" w:space="0" w:color="auto"/>
              <w:bottom w:val="single" w:sz="4" w:space="0" w:color="auto"/>
              <w:right w:val="nil"/>
            </w:tcBorders>
            <w:shd w:val="clear" w:color="auto" w:fill="C6D9F1" w:themeFill="text2" w:themeFillTint="33"/>
            <w:noWrap/>
            <w:tcMar>
              <w:top w:w="113" w:type="dxa"/>
              <w:bottom w:w="113" w:type="dxa"/>
            </w:tcMar>
            <w:vAlign w:val="center"/>
            <w:hideMark/>
          </w:tcPr>
          <w:p w:rsidR="00CD1430" w:rsidRPr="00A32AF4" w:rsidRDefault="00CD1430" w:rsidP="00DC0553">
            <w:pPr>
              <w:keepNext/>
              <w:keepLines/>
              <w:jc w:val="center"/>
              <w:rPr>
                <w:b/>
                <w:bCs/>
                <w:sz w:val="18"/>
                <w:szCs w:val="18"/>
              </w:rPr>
            </w:pPr>
            <w:r w:rsidRPr="00A32AF4">
              <w:rPr>
                <w:b/>
                <w:bCs/>
                <w:sz w:val="18"/>
                <w:szCs w:val="18"/>
              </w:rPr>
              <w:t>Résultats escomptés</w:t>
            </w:r>
          </w:p>
        </w:tc>
        <w:tc>
          <w:tcPr>
            <w:tcW w:w="2440" w:type="dxa"/>
            <w:tcBorders>
              <w:top w:val="single" w:sz="4" w:space="0" w:color="auto"/>
              <w:left w:val="nil"/>
              <w:bottom w:val="single" w:sz="4" w:space="0" w:color="auto"/>
              <w:right w:val="nil"/>
            </w:tcBorders>
            <w:shd w:val="clear" w:color="auto" w:fill="C6D9F1" w:themeFill="text2" w:themeFillTint="33"/>
            <w:noWrap/>
            <w:tcMar>
              <w:top w:w="113" w:type="dxa"/>
              <w:bottom w:w="113" w:type="dxa"/>
            </w:tcMar>
            <w:vAlign w:val="center"/>
            <w:hideMark/>
          </w:tcPr>
          <w:p w:rsidR="00CD1430" w:rsidRPr="00A32AF4" w:rsidRDefault="00CD1430" w:rsidP="00DC0553">
            <w:pPr>
              <w:keepNext/>
              <w:keepLines/>
              <w:jc w:val="center"/>
              <w:rPr>
                <w:b/>
                <w:bCs/>
                <w:sz w:val="18"/>
                <w:szCs w:val="18"/>
              </w:rPr>
            </w:pPr>
            <w:r w:rsidRPr="00A32AF4">
              <w:rPr>
                <w:b/>
                <w:bCs/>
                <w:sz w:val="18"/>
                <w:szCs w:val="18"/>
              </w:rPr>
              <w:t>Indicateurs d</w:t>
            </w:r>
            <w:r w:rsidR="00E2055A" w:rsidRPr="00A32AF4">
              <w:rPr>
                <w:b/>
                <w:bCs/>
                <w:sz w:val="18"/>
                <w:szCs w:val="18"/>
              </w:rPr>
              <w:t>’</w:t>
            </w:r>
            <w:r w:rsidRPr="00A32AF4">
              <w:rPr>
                <w:b/>
                <w:bCs/>
                <w:sz w:val="18"/>
                <w:szCs w:val="18"/>
              </w:rPr>
              <w:t>exécution</w:t>
            </w:r>
          </w:p>
        </w:tc>
        <w:tc>
          <w:tcPr>
            <w:tcW w:w="2340" w:type="dxa"/>
            <w:tcBorders>
              <w:top w:val="single" w:sz="4" w:space="0" w:color="auto"/>
              <w:left w:val="nil"/>
              <w:bottom w:val="single" w:sz="4" w:space="0" w:color="auto"/>
              <w:right w:val="nil"/>
            </w:tcBorders>
            <w:shd w:val="clear" w:color="auto" w:fill="C6D9F1" w:themeFill="text2" w:themeFillTint="33"/>
            <w:noWrap/>
            <w:tcMar>
              <w:top w:w="113" w:type="dxa"/>
              <w:bottom w:w="113" w:type="dxa"/>
            </w:tcMar>
            <w:vAlign w:val="center"/>
            <w:hideMark/>
          </w:tcPr>
          <w:p w:rsidR="00CD1430" w:rsidRPr="00A32AF4" w:rsidRDefault="00CD1430" w:rsidP="00DC0553">
            <w:pPr>
              <w:keepNext/>
              <w:keepLines/>
              <w:jc w:val="center"/>
              <w:rPr>
                <w:b/>
                <w:bCs/>
                <w:sz w:val="18"/>
                <w:szCs w:val="18"/>
              </w:rPr>
            </w:pPr>
            <w:r w:rsidRPr="00A32AF4">
              <w:rPr>
                <w:b/>
                <w:bCs/>
                <w:sz w:val="18"/>
                <w:szCs w:val="18"/>
              </w:rPr>
              <w:t>Niveau de référence</w:t>
            </w:r>
          </w:p>
        </w:tc>
        <w:tc>
          <w:tcPr>
            <w:tcW w:w="2220" w:type="dxa"/>
            <w:tcBorders>
              <w:top w:val="single" w:sz="4" w:space="0" w:color="auto"/>
              <w:left w:val="nil"/>
              <w:bottom w:val="single" w:sz="4" w:space="0" w:color="auto"/>
              <w:right w:val="single" w:sz="4" w:space="0" w:color="auto"/>
            </w:tcBorders>
            <w:shd w:val="clear" w:color="auto" w:fill="C6D9F1" w:themeFill="text2" w:themeFillTint="33"/>
            <w:noWrap/>
            <w:tcMar>
              <w:top w:w="113" w:type="dxa"/>
              <w:bottom w:w="113" w:type="dxa"/>
            </w:tcMar>
            <w:vAlign w:val="center"/>
            <w:hideMark/>
          </w:tcPr>
          <w:p w:rsidR="00CD1430" w:rsidRPr="00A32AF4" w:rsidRDefault="00CD1430" w:rsidP="00DC0553">
            <w:pPr>
              <w:keepNext/>
              <w:keepLines/>
              <w:jc w:val="center"/>
              <w:rPr>
                <w:b/>
                <w:bCs/>
                <w:sz w:val="18"/>
                <w:szCs w:val="18"/>
              </w:rPr>
            </w:pPr>
            <w:r w:rsidRPr="00A32AF4">
              <w:rPr>
                <w:b/>
                <w:bCs/>
                <w:sz w:val="18"/>
                <w:szCs w:val="18"/>
              </w:rPr>
              <w:t>Objectifs visés</w:t>
            </w:r>
          </w:p>
        </w:tc>
      </w:tr>
      <w:tr w:rsidR="0038294E" w:rsidRPr="00A32AF4" w:rsidTr="00071F96">
        <w:trPr>
          <w:cantSplit/>
        </w:trPr>
        <w:tc>
          <w:tcPr>
            <w:tcW w:w="2600" w:type="dxa"/>
            <w:tcBorders>
              <w:top w:val="nil"/>
              <w:left w:val="single" w:sz="4" w:space="0" w:color="auto"/>
              <w:bottom w:val="nil"/>
              <w:right w:val="nil"/>
            </w:tcBorders>
            <w:shd w:val="clear" w:color="000000" w:fill="FFFFFF"/>
            <w:tcMar>
              <w:top w:w="113" w:type="dxa"/>
              <w:bottom w:w="113" w:type="dxa"/>
            </w:tcMar>
            <w:hideMark/>
          </w:tcPr>
          <w:p w:rsidR="00CD1430" w:rsidRPr="00A32AF4" w:rsidRDefault="00CD1430" w:rsidP="00DC0553">
            <w:pPr>
              <w:keepNext/>
              <w:keepLines/>
              <w:rPr>
                <w:sz w:val="16"/>
                <w:szCs w:val="16"/>
              </w:rPr>
            </w:pPr>
            <w:r w:rsidRPr="00A32AF4">
              <w:rPr>
                <w:sz w:val="16"/>
                <w:szCs w:val="16"/>
              </w:rPr>
              <w:t xml:space="preserve">IIII.2 </w:t>
            </w:r>
            <w:r w:rsidR="00071F96" w:rsidRPr="00A32AF4">
              <w:rPr>
                <w:rFonts w:cs="Arial"/>
                <w:sz w:val="16"/>
                <w:szCs w:val="16"/>
              </w:rPr>
              <w:t>Mise en valeur des ressources humaines pour répondre aux diverses exigences en matière d</w:t>
            </w:r>
            <w:r w:rsidR="00E2055A" w:rsidRPr="00A32AF4">
              <w:rPr>
                <w:rFonts w:cs="Arial"/>
                <w:sz w:val="16"/>
                <w:szCs w:val="16"/>
              </w:rPr>
              <w:t>’</w:t>
            </w:r>
            <w:r w:rsidR="00071F96" w:rsidRPr="00A32AF4">
              <w:rPr>
                <w:rFonts w:cs="Arial"/>
                <w:sz w:val="16"/>
                <w:szCs w:val="16"/>
              </w:rPr>
              <w:t>utilisation efficace de la propriété intellectuelle au service du développement dans les pays en développement, les PMA et les pays en transition</w:t>
            </w:r>
          </w:p>
        </w:tc>
        <w:tc>
          <w:tcPr>
            <w:tcW w:w="2440" w:type="dxa"/>
            <w:tcBorders>
              <w:top w:val="nil"/>
              <w:left w:val="nil"/>
              <w:bottom w:val="nil"/>
              <w:right w:val="nil"/>
            </w:tcBorders>
            <w:shd w:val="clear" w:color="000000" w:fill="FFFFFF"/>
            <w:tcMar>
              <w:top w:w="113" w:type="dxa"/>
              <w:bottom w:w="113" w:type="dxa"/>
            </w:tcMar>
            <w:hideMark/>
          </w:tcPr>
          <w:p w:rsidR="00CD1430" w:rsidRPr="00A32AF4" w:rsidRDefault="00CD1430" w:rsidP="00DC0553">
            <w:pPr>
              <w:keepNext/>
              <w:keepLines/>
              <w:ind w:firstLine="1"/>
              <w:rPr>
                <w:sz w:val="16"/>
                <w:szCs w:val="16"/>
              </w:rPr>
            </w:pPr>
            <w:r w:rsidRPr="00A32AF4">
              <w:rPr>
                <w:sz w:val="16"/>
                <w:szCs w:val="16"/>
              </w:rPr>
              <w:t>Pourcentage des personnes formées et des supérieurs hiérarchiques satisfaits des programmes de formations créés sur la base des exercices d</w:t>
            </w:r>
            <w:r w:rsidR="00E2055A" w:rsidRPr="00A32AF4">
              <w:rPr>
                <w:sz w:val="16"/>
                <w:szCs w:val="16"/>
              </w:rPr>
              <w:t>’</w:t>
            </w:r>
            <w:r w:rsidRPr="00A32AF4">
              <w:rPr>
                <w:sz w:val="16"/>
                <w:szCs w:val="16"/>
              </w:rPr>
              <w:t>évaluation des besoins en matière de formation</w:t>
            </w:r>
          </w:p>
        </w:tc>
        <w:tc>
          <w:tcPr>
            <w:tcW w:w="2340" w:type="dxa"/>
            <w:tcBorders>
              <w:top w:val="nil"/>
              <w:left w:val="nil"/>
              <w:bottom w:val="nil"/>
              <w:right w:val="nil"/>
            </w:tcBorders>
            <w:shd w:val="clear" w:color="000000" w:fill="FFFFFF"/>
            <w:tcMar>
              <w:top w:w="113" w:type="dxa"/>
              <w:bottom w:w="113" w:type="dxa"/>
            </w:tcMar>
            <w:hideMark/>
          </w:tcPr>
          <w:p w:rsidR="00CD1430" w:rsidRPr="00A32AF4" w:rsidRDefault="00CD1430" w:rsidP="00DC0553">
            <w:pPr>
              <w:keepNext/>
              <w:keepLines/>
              <w:rPr>
                <w:sz w:val="16"/>
                <w:szCs w:val="16"/>
              </w:rPr>
            </w:pPr>
            <w:r w:rsidRPr="00A32AF4">
              <w:rPr>
                <w:sz w:val="16"/>
                <w:szCs w:val="16"/>
              </w:rPr>
              <w:t>Aucune donnée disponible</w:t>
            </w:r>
          </w:p>
        </w:tc>
        <w:tc>
          <w:tcPr>
            <w:tcW w:w="2220" w:type="dxa"/>
            <w:tcBorders>
              <w:top w:val="nil"/>
              <w:left w:val="nil"/>
              <w:bottom w:val="nil"/>
              <w:right w:val="single" w:sz="4" w:space="0" w:color="auto"/>
            </w:tcBorders>
            <w:shd w:val="clear" w:color="000000" w:fill="FFFFFF"/>
            <w:tcMar>
              <w:top w:w="113" w:type="dxa"/>
              <w:bottom w:w="113" w:type="dxa"/>
            </w:tcMar>
            <w:hideMark/>
          </w:tcPr>
          <w:p w:rsidR="00CD1430" w:rsidRPr="00A32AF4" w:rsidRDefault="00CD1430" w:rsidP="00DC0553">
            <w:pPr>
              <w:keepNext/>
              <w:keepLines/>
              <w:tabs>
                <w:tab w:val="left" w:pos="324"/>
              </w:tabs>
              <w:ind w:left="3" w:hangingChars="2" w:hanging="3"/>
              <w:rPr>
                <w:sz w:val="16"/>
                <w:szCs w:val="16"/>
              </w:rPr>
            </w:pPr>
            <w:r w:rsidRPr="00A32AF4">
              <w:rPr>
                <w:sz w:val="16"/>
                <w:szCs w:val="16"/>
              </w:rPr>
              <w:t>70% des personnes ayant répondu</w:t>
            </w:r>
          </w:p>
        </w:tc>
      </w:tr>
      <w:tr w:rsidR="0038294E" w:rsidRPr="00A32AF4" w:rsidTr="00071F96">
        <w:trPr>
          <w:cantSplit/>
        </w:trPr>
        <w:tc>
          <w:tcPr>
            <w:tcW w:w="2600" w:type="dxa"/>
            <w:tcBorders>
              <w:top w:val="nil"/>
              <w:left w:val="single" w:sz="4" w:space="0" w:color="auto"/>
              <w:bottom w:val="nil"/>
              <w:right w:val="nil"/>
            </w:tcBorders>
            <w:shd w:val="clear" w:color="000000" w:fill="FFFFFF"/>
            <w:tcMar>
              <w:top w:w="113" w:type="dxa"/>
              <w:bottom w:w="113" w:type="dxa"/>
            </w:tcMar>
            <w:hideMark/>
          </w:tcPr>
          <w:p w:rsidR="00CD1430" w:rsidRPr="00A32AF4" w:rsidRDefault="00CD1430" w:rsidP="00DC0553">
            <w:pPr>
              <w:rPr>
                <w:sz w:val="16"/>
                <w:szCs w:val="16"/>
              </w:rPr>
            </w:pPr>
          </w:p>
        </w:tc>
        <w:tc>
          <w:tcPr>
            <w:tcW w:w="2440" w:type="dxa"/>
            <w:tcBorders>
              <w:top w:val="nil"/>
              <w:left w:val="nil"/>
              <w:bottom w:val="nil"/>
              <w:right w:val="nil"/>
            </w:tcBorders>
            <w:shd w:val="clear" w:color="000000" w:fill="FFFFFF"/>
            <w:tcMar>
              <w:top w:w="113" w:type="dxa"/>
              <w:bottom w:w="113" w:type="dxa"/>
            </w:tcMar>
            <w:hideMark/>
          </w:tcPr>
          <w:p w:rsidR="00CD1430" w:rsidRPr="00A32AF4" w:rsidRDefault="00CD1430" w:rsidP="00DC0553">
            <w:pPr>
              <w:pStyle w:val="CommentText"/>
              <w:rPr>
                <w:sz w:val="16"/>
                <w:szCs w:val="16"/>
              </w:rPr>
            </w:pPr>
            <w:r w:rsidRPr="00A32AF4">
              <w:rPr>
                <w:sz w:val="16"/>
                <w:szCs w:val="16"/>
              </w:rPr>
              <w:t>Pourcentage des participants utilisant des connaissances et des compétences nouvelles dans divers domaines de la propriété intellectuelle</w:t>
            </w:r>
          </w:p>
        </w:tc>
        <w:tc>
          <w:tcPr>
            <w:tcW w:w="2340" w:type="dxa"/>
            <w:tcBorders>
              <w:top w:val="nil"/>
              <w:left w:val="nil"/>
              <w:bottom w:val="nil"/>
              <w:right w:val="nil"/>
            </w:tcBorders>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Aucune donnée disponible</w:t>
            </w:r>
          </w:p>
        </w:tc>
        <w:tc>
          <w:tcPr>
            <w:tcW w:w="2220" w:type="dxa"/>
            <w:tcBorders>
              <w:top w:val="nil"/>
              <w:left w:val="nil"/>
              <w:bottom w:val="nil"/>
              <w:right w:val="single" w:sz="4" w:space="0" w:color="auto"/>
            </w:tcBorders>
            <w:shd w:val="clear" w:color="000000" w:fill="FFFFFF"/>
            <w:tcMar>
              <w:top w:w="113" w:type="dxa"/>
              <w:bottom w:w="113" w:type="dxa"/>
            </w:tcMar>
            <w:hideMark/>
          </w:tcPr>
          <w:p w:rsidR="00CD1430" w:rsidRPr="00A32AF4" w:rsidRDefault="00CD1430" w:rsidP="00DC0553">
            <w:pPr>
              <w:ind w:firstLine="1"/>
              <w:rPr>
                <w:sz w:val="16"/>
                <w:szCs w:val="16"/>
              </w:rPr>
            </w:pPr>
            <w:r w:rsidRPr="00A32AF4">
              <w:rPr>
                <w:sz w:val="16"/>
                <w:szCs w:val="16"/>
              </w:rPr>
              <w:t>60% des personnes ayant répondu</w:t>
            </w:r>
          </w:p>
        </w:tc>
      </w:tr>
      <w:tr w:rsidR="0038294E" w:rsidRPr="00A32AF4" w:rsidTr="00071F96">
        <w:trPr>
          <w:cantSplit/>
        </w:trPr>
        <w:tc>
          <w:tcPr>
            <w:tcW w:w="2600" w:type="dxa"/>
            <w:tcBorders>
              <w:top w:val="nil"/>
              <w:left w:val="single" w:sz="4" w:space="0" w:color="auto"/>
              <w:bottom w:val="nil"/>
              <w:right w:val="nil"/>
            </w:tcBorders>
            <w:shd w:val="clear" w:color="000000" w:fill="FFFFFF"/>
            <w:tcMar>
              <w:top w:w="113" w:type="dxa"/>
              <w:bottom w:w="113" w:type="dxa"/>
            </w:tcMar>
            <w:hideMark/>
          </w:tcPr>
          <w:p w:rsidR="00CD1430" w:rsidRPr="00A32AF4" w:rsidRDefault="00CD1430" w:rsidP="00DC0553">
            <w:pPr>
              <w:rPr>
                <w:sz w:val="16"/>
                <w:szCs w:val="16"/>
              </w:rPr>
            </w:pPr>
          </w:p>
        </w:tc>
        <w:tc>
          <w:tcPr>
            <w:tcW w:w="2440" w:type="dxa"/>
            <w:tcBorders>
              <w:top w:val="nil"/>
              <w:left w:val="nil"/>
              <w:bottom w:val="nil"/>
              <w:right w:val="nil"/>
            </w:tcBorders>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Nombre d</w:t>
            </w:r>
            <w:r w:rsidR="00E2055A" w:rsidRPr="00A32AF4">
              <w:rPr>
                <w:sz w:val="16"/>
                <w:szCs w:val="16"/>
              </w:rPr>
              <w:t>’</w:t>
            </w:r>
            <w:r w:rsidRPr="00A32AF4">
              <w:rPr>
                <w:sz w:val="16"/>
                <w:szCs w:val="16"/>
              </w:rPr>
              <w:t>accords de coopération et de partenariats conclus conformément à la nouvelle ligne de l</w:t>
            </w:r>
            <w:r w:rsidR="00E2055A" w:rsidRPr="00A32AF4">
              <w:rPr>
                <w:sz w:val="16"/>
                <w:szCs w:val="16"/>
              </w:rPr>
              <w:t>’</w:t>
            </w:r>
            <w:r w:rsidRPr="00A32AF4">
              <w:rPr>
                <w:sz w:val="16"/>
                <w:szCs w:val="16"/>
              </w:rPr>
              <w:t>Académie</w:t>
            </w:r>
          </w:p>
        </w:tc>
        <w:tc>
          <w:tcPr>
            <w:tcW w:w="2340" w:type="dxa"/>
            <w:tcBorders>
              <w:top w:val="nil"/>
              <w:left w:val="nil"/>
              <w:bottom w:val="nil"/>
              <w:right w:val="nil"/>
            </w:tcBorders>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Non disponible</w:t>
            </w:r>
          </w:p>
        </w:tc>
        <w:tc>
          <w:tcPr>
            <w:tcW w:w="2220" w:type="dxa"/>
            <w:tcBorders>
              <w:top w:val="nil"/>
              <w:left w:val="nil"/>
              <w:bottom w:val="nil"/>
              <w:right w:val="single" w:sz="4" w:space="0" w:color="auto"/>
            </w:tcBorders>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5</w:t>
            </w:r>
          </w:p>
        </w:tc>
      </w:tr>
      <w:tr w:rsidR="00084BFE" w:rsidRPr="00A32AF4" w:rsidTr="00071F96">
        <w:trPr>
          <w:cantSplit/>
        </w:trPr>
        <w:tc>
          <w:tcPr>
            <w:tcW w:w="2600" w:type="dxa"/>
            <w:tcBorders>
              <w:top w:val="nil"/>
              <w:left w:val="single" w:sz="4" w:space="0" w:color="auto"/>
              <w:bottom w:val="nil"/>
              <w:right w:val="nil"/>
            </w:tcBorders>
            <w:shd w:val="clear" w:color="000000" w:fill="FFFFFF"/>
            <w:tcMar>
              <w:top w:w="113" w:type="dxa"/>
              <w:bottom w:w="113" w:type="dxa"/>
            </w:tcMar>
          </w:tcPr>
          <w:p w:rsidR="00084BFE" w:rsidRPr="00A32AF4" w:rsidRDefault="00084BFE" w:rsidP="00DC0553">
            <w:pPr>
              <w:rPr>
                <w:sz w:val="16"/>
                <w:szCs w:val="16"/>
              </w:rPr>
            </w:pPr>
          </w:p>
        </w:tc>
        <w:tc>
          <w:tcPr>
            <w:tcW w:w="2440" w:type="dxa"/>
            <w:tcBorders>
              <w:top w:val="nil"/>
              <w:left w:val="nil"/>
              <w:bottom w:val="nil"/>
              <w:right w:val="nil"/>
            </w:tcBorders>
            <w:shd w:val="clear" w:color="000000" w:fill="FFFFFF"/>
            <w:tcMar>
              <w:top w:w="113" w:type="dxa"/>
              <w:bottom w:w="113" w:type="dxa"/>
            </w:tcMar>
          </w:tcPr>
          <w:p w:rsidR="00084BFE" w:rsidRPr="00A32AF4" w:rsidRDefault="00084BFE" w:rsidP="00DC0553">
            <w:pPr>
              <w:rPr>
                <w:sz w:val="16"/>
                <w:szCs w:val="16"/>
              </w:rPr>
            </w:pPr>
            <w:r w:rsidRPr="00A32AF4">
              <w:rPr>
                <w:sz w:val="16"/>
                <w:szCs w:val="16"/>
              </w:rPr>
              <w:t>Pourcentage d</w:t>
            </w:r>
            <w:r w:rsidR="00E2055A" w:rsidRPr="00A32AF4">
              <w:rPr>
                <w:sz w:val="16"/>
                <w:szCs w:val="16"/>
              </w:rPr>
              <w:t>’</w:t>
            </w:r>
            <w:r w:rsidRPr="00A32AF4">
              <w:rPr>
                <w:sz w:val="16"/>
                <w:szCs w:val="16"/>
              </w:rPr>
              <w:t>augmentation du nombre de participants suivant les cours d</w:t>
            </w:r>
            <w:r w:rsidR="00E2055A" w:rsidRPr="00A32AF4">
              <w:rPr>
                <w:sz w:val="16"/>
                <w:szCs w:val="16"/>
              </w:rPr>
              <w:t>’</w:t>
            </w:r>
            <w:r w:rsidRPr="00A32AF4">
              <w:rPr>
                <w:sz w:val="16"/>
                <w:szCs w:val="16"/>
              </w:rPr>
              <w:t>enseignement à distance de l</w:t>
            </w:r>
            <w:r w:rsidR="00E2055A" w:rsidRPr="00A32AF4">
              <w:rPr>
                <w:sz w:val="16"/>
                <w:szCs w:val="16"/>
              </w:rPr>
              <w:t>’</w:t>
            </w:r>
            <w:r w:rsidRPr="00A32AF4">
              <w:rPr>
                <w:sz w:val="16"/>
                <w:szCs w:val="16"/>
              </w:rPr>
              <w:t>Académie</w:t>
            </w:r>
          </w:p>
        </w:tc>
        <w:tc>
          <w:tcPr>
            <w:tcW w:w="2340" w:type="dxa"/>
            <w:tcBorders>
              <w:top w:val="nil"/>
              <w:left w:val="nil"/>
              <w:bottom w:val="nil"/>
              <w:right w:val="nil"/>
            </w:tcBorders>
            <w:shd w:val="clear" w:color="000000" w:fill="FFFFFF"/>
            <w:tcMar>
              <w:top w:w="113" w:type="dxa"/>
              <w:bottom w:w="113" w:type="dxa"/>
            </w:tcMar>
          </w:tcPr>
          <w:p w:rsidR="00084BFE" w:rsidRPr="00A32AF4" w:rsidRDefault="00084BFE">
            <w:pPr>
              <w:rPr>
                <w:sz w:val="16"/>
                <w:szCs w:val="16"/>
              </w:rPr>
            </w:pPr>
            <w:r w:rsidRPr="00A32AF4">
              <w:rPr>
                <w:rFonts w:cs="Arial"/>
                <w:color w:val="000000"/>
                <w:sz w:val="16"/>
                <w:szCs w:val="16"/>
              </w:rPr>
              <w:t>35</w:t>
            </w:r>
            <w:r w:rsidR="00FD43E3" w:rsidRPr="00A32AF4">
              <w:rPr>
                <w:rFonts w:cs="Arial"/>
                <w:color w:val="000000"/>
                <w:sz w:val="16"/>
                <w:szCs w:val="16"/>
              </w:rPr>
              <w:t> </w:t>
            </w:r>
            <w:r w:rsidRPr="00A32AF4">
              <w:rPr>
                <w:rFonts w:cs="Arial"/>
                <w:color w:val="000000"/>
                <w:sz w:val="16"/>
                <w:szCs w:val="16"/>
              </w:rPr>
              <w:t>000 (2014)</w:t>
            </w:r>
          </w:p>
        </w:tc>
        <w:tc>
          <w:tcPr>
            <w:tcW w:w="2220" w:type="dxa"/>
            <w:tcBorders>
              <w:top w:val="nil"/>
              <w:left w:val="nil"/>
              <w:bottom w:val="nil"/>
              <w:right w:val="single" w:sz="4" w:space="0" w:color="auto"/>
            </w:tcBorders>
            <w:shd w:val="clear" w:color="000000" w:fill="FFFFFF"/>
            <w:tcMar>
              <w:top w:w="113" w:type="dxa"/>
              <w:bottom w:w="113" w:type="dxa"/>
            </w:tcMar>
          </w:tcPr>
          <w:p w:rsidR="00084BFE" w:rsidRPr="00A32AF4" w:rsidRDefault="00084BFE" w:rsidP="00DC0553">
            <w:pPr>
              <w:rPr>
                <w:sz w:val="16"/>
                <w:szCs w:val="16"/>
              </w:rPr>
            </w:pPr>
            <w:r w:rsidRPr="00A32AF4">
              <w:rPr>
                <w:rFonts w:cs="Arial"/>
                <w:color w:val="000000"/>
                <w:sz w:val="16"/>
                <w:szCs w:val="16"/>
              </w:rPr>
              <w:t>10%</w:t>
            </w:r>
          </w:p>
        </w:tc>
      </w:tr>
      <w:tr w:rsidR="00084BFE" w:rsidRPr="00A32AF4" w:rsidTr="00071F96">
        <w:trPr>
          <w:cantSplit/>
        </w:trPr>
        <w:tc>
          <w:tcPr>
            <w:tcW w:w="2600" w:type="dxa"/>
            <w:tcBorders>
              <w:top w:val="nil"/>
              <w:left w:val="single" w:sz="4" w:space="0" w:color="auto"/>
              <w:bottom w:val="nil"/>
              <w:right w:val="nil"/>
            </w:tcBorders>
            <w:shd w:val="clear" w:color="000000" w:fill="FFFFFF"/>
            <w:tcMar>
              <w:top w:w="113" w:type="dxa"/>
              <w:bottom w:w="113" w:type="dxa"/>
            </w:tcMar>
          </w:tcPr>
          <w:p w:rsidR="00084BFE" w:rsidRPr="00A32AF4" w:rsidRDefault="00084BFE" w:rsidP="00DC0553">
            <w:pPr>
              <w:rPr>
                <w:sz w:val="16"/>
                <w:szCs w:val="16"/>
              </w:rPr>
            </w:pPr>
          </w:p>
        </w:tc>
        <w:tc>
          <w:tcPr>
            <w:tcW w:w="2440" w:type="dxa"/>
            <w:tcBorders>
              <w:top w:val="nil"/>
              <w:left w:val="nil"/>
              <w:bottom w:val="nil"/>
              <w:right w:val="nil"/>
            </w:tcBorders>
            <w:shd w:val="clear" w:color="000000" w:fill="FFFFFF"/>
            <w:tcMar>
              <w:top w:w="113" w:type="dxa"/>
              <w:bottom w:w="113" w:type="dxa"/>
            </w:tcMar>
          </w:tcPr>
          <w:p w:rsidR="00084BFE" w:rsidRPr="00A32AF4" w:rsidRDefault="00084BFE" w:rsidP="00DC0553">
            <w:pPr>
              <w:rPr>
                <w:sz w:val="16"/>
                <w:szCs w:val="16"/>
              </w:rPr>
            </w:pPr>
            <w:r w:rsidRPr="00A32AF4">
              <w:rPr>
                <w:sz w:val="16"/>
                <w:szCs w:val="16"/>
              </w:rPr>
              <w:t>Nombre de cours d</w:t>
            </w:r>
            <w:r w:rsidR="00E2055A" w:rsidRPr="00A32AF4">
              <w:rPr>
                <w:sz w:val="16"/>
                <w:szCs w:val="16"/>
              </w:rPr>
              <w:t>’</w:t>
            </w:r>
            <w:r w:rsidRPr="00A32AF4">
              <w:rPr>
                <w:sz w:val="16"/>
                <w:szCs w:val="16"/>
              </w:rPr>
              <w:t>enseignement à distance ayant été examinés et mis à jour</w:t>
            </w:r>
          </w:p>
        </w:tc>
        <w:tc>
          <w:tcPr>
            <w:tcW w:w="2340" w:type="dxa"/>
            <w:tcBorders>
              <w:top w:val="nil"/>
              <w:left w:val="nil"/>
              <w:bottom w:val="nil"/>
              <w:right w:val="nil"/>
            </w:tcBorders>
            <w:shd w:val="clear" w:color="000000" w:fill="FFFFFF"/>
            <w:tcMar>
              <w:top w:w="113" w:type="dxa"/>
              <w:bottom w:w="113" w:type="dxa"/>
            </w:tcMar>
          </w:tcPr>
          <w:p w:rsidR="00084BFE" w:rsidRPr="00A32AF4" w:rsidRDefault="00084BFE" w:rsidP="00DC0553">
            <w:pPr>
              <w:rPr>
                <w:sz w:val="16"/>
                <w:szCs w:val="16"/>
              </w:rPr>
            </w:pPr>
            <w:r w:rsidRPr="00A32AF4">
              <w:rPr>
                <w:rFonts w:cs="Arial"/>
                <w:color w:val="000000"/>
                <w:sz w:val="16"/>
                <w:szCs w:val="16"/>
              </w:rPr>
              <w:t xml:space="preserve">0 </w:t>
            </w:r>
          </w:p>
        </w:tc>
        <w:tc>
          <w:tcPr>
            <w:tcW w:w="2220" w:type="dxa"/>
            <w:tcBorders>
              <w:top w:val="nil"/>
              <w:left w:val="nil"/>
              <w:bottom w:val="nil"/>
              <w:right w:val="single" w:sz="4" w:space="0" w:color="auto"/>
            </w:tcBorders>
            <w:shd w:val="clear" w:color="000000" w:fill="FFFFFF"/>
            <w:tcMar>
              <w:top w:w="113" w:type="dxa"/>
              <w:bottom w:w="113" w:type="dxa"/>
            </w:tcMar>
          </w:tcPr>
          <w:p w:rsidR="00084BFE" w:rsidRPr="00A32AF4" w:rsidRDefault="00084BFE" w:rsidP="00DC0553">
            <w:pPr>
              <w:rPr>
                <w:sz w:val="16"/>
                <w:szCs w:val="16"/>
              </w:rPr>
            </w:pPr>
            <w:r w:rsidRPr="00A32AF4">
              <w:rPr>
                <w:rFonts w:cs="Arial"/>
                <w:color w:val="000000"/>
                <w:sz w:val="16"/>
                <w:szCs w:val="16"/>
              </w:rPr>
              <w:t>4</w:t>
            </w:r>
          </w:p>
        </w:tc>
      </w:tr>
      <w:tr w:rsidR="0038294E" w:rsidRPr="00A32AF4" w:rsidTr="00071F96">
        <w:trPr>
          <w:cantSplit/>
        </w:trPr>
        <w:tc>
          <w:tcPr>
            <w:tcW w:w="2600" w:type="dxa"/>
            <w:tcBorders>
              <w:top w:val="nil"/>
              <w:left w:val="single" w:sz="4" w:space="0" w:color="auto"/>
              <w:bottom w:val="nil"/>
              <w:right w:val="nil"/>
            </w:tcBorders>
            <w:shd w:val="clear" w:color="000000" w:fill="FFFFFF"/>
            <w:tcMar>
              <w:top w:w="113" w:type="dxa"/>
              <w:bottom w:w="113" w:type="dxa"/>
            </w:tcMar>
            <w:hideMark/>
          </w:tcPr>
          <w:p w:rsidR="00CD1430" w:rsidRPr="00A32AF4" w:rsidRDefault="00CD1430" w:rsidP="00DC0553">
            <w:pPr>
              <w:rPr>
                <w:sz w:val="16"/>
                <w:szCs w:val="16"/>
              </w:rPr>
            </w:pPr>
          </w:p>
        </w:tc>
        <w:tc>
          <w:tcPr>
            <w:tcW w:w="2440" w:type="dxa"/>
            <w:tcBorders>
              <w:top w:val="nil"/>
              <w:left w:val="nil"/>
              <w:bottom w:val="nil"/>
              <w:right w:val="nil"/>
            </w:tcBorders>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Nombre de nouvelles académies nationales créées dans le cadre du projet devenues viables</w:t>
            </w:r>
            <w:r w:rsidR="001C31A2" w:rsidRPr="00A32AF4">
              <w:rPr>
                <w:rStyle w:val="FootnoteReference"/>
                <w:rFonts w:cs="Arial"/>
                <w:color w:val="000000"/>
                <w:sz w:val="16"/>
                <w:szCs w:val="16"/>
              </w:rPr>
              <w:footnoteReference w:id="20"/>
            </w:r>
          </w:p>
        </w:tc>
        <w:tc>
          <w:tcPr>
            <w:tcW w:w="2340" w:type="dxa"/>
            <w:tcBorders>
              <w:top w:val="nil"/>
              <w:left w:val="nil"/>
              <w:bottom w:val="nil"/>
              <w:right w:val="nil"/>
            </w:tcBorders>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0</w:t>
            </w:r>
          </w:p>
        </w:tc>
        <w:tc>
          <w:tcPr>
            <w:tcW w:w="2220" w:type="dxa"/>
            <w:tcBorders>
              <w:top w:val="nil"/>
              <w:left w:val="nil"/>
              <w:bottom w:val="nil"/>
              <w:right w:val="single" w:sz="4" w:space="0" w:color="auto"/>
            </w:tcBorders>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4</w:t>
            </w:r>
          </w:p>
        </w:tc>
      </w:tr>
      <w:tr w:rsidR="0038294E" w:rsidRPr="00A32AF4" w:rsidTr="00071F96">
        <w:trPr>
          <w:cantSplit/>
        </w:trPr>
        <w:tc>
          <w:tcPr>
            <w:tcW w:w="2600" w:type="dxa"/>
            <w:tcBorders>
              <w:top w:val="nil"/>
              <w:left w:val="single" w:sz="4" w:space="0" w:color="auto"/>
              <w:bottom w:val="nil"/>
              <w:right w:val="nil"/>
            </w:tcBorders>
            <w:shd w:val="clear" w:color="000000" w:fill="FFFFFF"/>
            <w:tcMar>
              <w:top w:w="113" w:type="dxa"/>
              <w:bottom w:w="113" w:type="dxa"/>
            </w:tcMar>
            <w:hideMark/>
          </w:tcPr>
          <w:p w:rsidR="00CD1430" w:rsidRPr="00A32AF4" w:rsidRDefault="00CD1430" w:rsidP="00DC0553">
            <w:pPr>
              <w:rPr>
                <w:sz w:val="16"/>
                <w:szCs w:val="16"/>
              </w:rPr>
            </w:pPr>
          </w:p>
        </w:tc>
        <w:tc>
          <w:tcPr>
            <w:tcW w:w="2440" w:type="dxa"/>
            <w:tcBorders>
              <w:top w:val="nil"/>
              <w:left w:val="nil"/>
              <w:bottom w:val="nil"/>
              <w:right w:val="nil"/>
            </w:tcBorders>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Nouveaux cours et programmes d</w:t>
            </w:r>
            <w:r w:rsidR="00E2055A" w:rsidRPr="00A32AF4">
              <w:rPr>
                <w:sz w:val="16"/>
                <w:szCs w:val="16"/>
              </w:rPr>
              <w:t>’</w:t>
            </w:r>
            <w:r w:rsidRPr="00A32AF4">
              <w:rPr>
                <w:sz w:val="16"/>
                <w:szCs w:val="16"/>
              </w:rPr>
              <w:t>enseignement améliorés dans le domaine de la propriété intellectuelle dispensés dans les établissements d</w:t>
            </w:r>
            <w:r w:rsidR="00E2055A" w:rsidRPr="00A32AF4">
              <w:rPr>
                <w:sz w:val="16"/>
                <w:szCs w:val="16"/>
              </w:rPr>
              <w:t>’</w:t>
            </w:r>
            <w:r w:rsidRPr="00A32AF4">
              <w:rPr>
                <w:sz w:val="16"/>
                <w:szCs w:val="16"/>
              </w:rPr>
              <w:t>enseignement</w:t>
            </w:r>
          </w:p>
        </w:tc>
        <w:tc>
          <w:tcPr>
            <w:tcW w:w="2340" w:type="dxa"/>
            <w:tcBorders>
              <w:top w:val="nil"/>
              <w:left w:val="nil"/>
              <w:bottom w:val="nil"/>
              <w:right w:val="nil"/>
            </w:tcBorders>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5</w:t>
            </w:r>
          </w:p>
        </w:tc>
        <w:tc>
          <w:tcPr>
            <w:tcW w:w="2220" w:type="dxa"/>
            <w:tcBorders>
              <w:top w:val="nil"/>
              <w:left w:val="nil"/>
              <w:bottom w:val="nil"/>
              <w:right w:val="single" w:sz="4" w:space="0" w:color="auto"/>
            </w:tcBorders>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Augmentation de 20%</w:t>
            </w:r>
          </w:p>
        </w:tc>
      </w:tr>
      <w:tr w:rsidR="0038294E" w:rsidRPr="00A32AF4" w:rsidTr="00071F96">
        <w:trPr>
          <w:cantSplit/>
        </w:trPr>
        <w:tc>
          <w:tcPr>
            <w:tcW w:w="2600" w:type="dxa"/>
            <w:tcBorders>
              <w:top w:val="nil"/>
              <w:left w:val="single" w:sz="4" w:space="0" w:color="auto"/>
              <w:bottom w:val="single" w:sz="4" w:space="0" w:color="auto"/>
              <w:right w:val="nil"/>
            </w:tcBorders>
            <w:shd w:val="clear" w:color="000000" w:fill="FFFFFF"/>
            <w:tcMar>
              <w:top w:w="113" w:type="dxa"/>
              <w:bottom w:w="113" w:type="dxa"/>
            </w:tcMar>
            <w:hideMark/>
          </w:tcPr>
          <w:p w:rsidR="00CD1430" w:rsidRPr="00A32AF4" w:rsidRDefault="00CD1430" w:rsidP="00DC0553">
            <w:pPr>
              <w:rPr>
                <w:sz w:val="16"/>
                <w:szCs w:val="16"/>
              </w:rPr>
            </w:pPr>
          </w:p>
        </w:tc>
        <w:tc>
          <w:tcPr>
            <w:tcW w:w="2440" w:type="dxa"/>
            <w:tcBorders>
              <w:top w:val="nil"/>
              <w:left w:val="nil"/>
              <w:bottom w:val="single" w:sz="4" w:space="0" w:color="auto"/>
              <w:right w:val="nil"/>
            </w:tcBorders>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Meilleur équilibre dans la répartition géographique des cours d</w:t>
            </w:r>
            <w:r w:rsidR="00E2055A" w:rsidRPr="00A32AF4">
              <w:rPr>
                <w:sz w:val="16"/>
                <w:szCs w:val="16"/>
              </w:rPr>
              <w:t>’</w:t>
            </w:r>
            <w:r w:rsidRPr="00A32AF4">
              <w:rPr>
                <w:sz w:val="16"/>
                <w:szCs w:val="16"/>
              </w:rPr>
              <w:t>été</w:t>
            </w:r>
          </w:p>
        </w:tc>
        <w:tc>
          <w:tcPr>
            <w:tcW w:w="2340" w:type="dxa"/>
            <w:tcBorders>
              <w:top w:val="nil"/>
              <w:left w:val="nil"/>
              <w:bottom w:val="single" w:sz="4" w:space="0" w:color="auto"/>
              <w:right w:val="nil"/>
            </w:tcBorders>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6 régions</w:t>
            </w:r>
          </w:p>
        </w:tc>
        <w:tc>
          <w:tcPr>
            <w:tcW w:w="2220" w:type="dxa"/>
            <w:tcBorders>
              <w:top w:val="nil"/>
              <w:left w:val="nil"/>
              <w:bottom w:val="single" w:sz="4" w:space="0" w:color="auto"/>
              <w:right w:val="single" w:sz="4" w:space="0" w:color="auto"/>
            </w:tcBorders>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7 régions</w:t>
            </w:r>
          </w:p>
        </w:tc>
      </w:tr>
    </w:tbl>
    <w:p w:rsidR="00F93B76" w:rsidRPr="00A32AF4" w:rsidRDefault="00F93B76" w:rsidP="00DC0553"/>
    <w:p w:rsidR="00F93B76" w:rsidRPr="00A32AF4" w:rsidRDefault="00F93B76" w:rsidP="00DC0553"/>
    <w:p w:rsidR="00F93B76" w:rsidRPr="00A32AF4" w:rsidRDefault="00DC2AF7" w:rsidP="00DC0553">
      <w:pPr>
        <w:keepNext/>
      </w:pPr>
      <w:r w:rsidRPr="00A32AF4">
        <w:t>RESSOURCES ALLOUÉES AU PROGRAMME</w:t>
      </w:r>
      <w:r w:rsidR="00071F96" w:rsidRPr="00A32AF4">
        <w:t xml:space="preserve"> 11</w:t>
      </w:r>
    </w:p>
    <w:p w:rsidR="00F93B76" w:rsidRPr="00A32AF4" w:rsidRDefault="00F93B76" w:rsidP="00DC0553">
      <w:pPr>
        <w:keepNext/>
      </w:pPr>
    </w:p>
    <w:p w:rsidR="00E2055A" w:rsidRPr="00A32AF4" w:rsidRDefault="00893BAC" w:rsidP="00DC0553">
      <w:pPr>
        <w:pStyle w:val="Footer"/>
        <w:numPr>
          <w:ilvl w:val="0"/>
          <w:numId w:val="23"/>
        </w:numPr>
        <w:tabs>
          <w:tab w:val="clear" w:pos="4320"/>
          <w:tab w:val="clear" w:pos="8640"/>
          <w:tab w:val="left" w:pos="709"/>
        </w:tabs>
        <w:ind w:left="0" w:firstLine="0"/>
        <w:contextualSpacing/>
        <w:jc w:val="both"/>
        <w:rPr>
          <w:rFonts w:cs="Arial"/>
        </w:rPr>
      </w:pPr>
      <w:r w:rsidRPr="00A32AF4">
        <w:rPr>
          <w:rFonts w:cs="Arial"/>
        </w:rPr>
        <w:t xml:space="preserve">Les ressources globales pour le programme </w:t>
      </w:r>
      <w:r w:rsidR="00071F96" w:rsidRPr="00A32AF4">
        <w:rPr>
          <w:rFonts w:cs="Arial"/>
        </w:rPr>
        <w:t xml:space="preserve">11 </w:t>
      </w:r>
      <w:r w:rsidRPr="00A32AF4">
        <w:rPr>
          <w:rFonts w:cs="Arial"/>
        </w:rPr>
        <w:t>augmentent en</w:t>
      </w:r>
      <w:r w:rsidR="00FD43E3" w:rsidRPr="00A32AF4">
        <w:rPr>
          <w:rFonts w:cs="Arial"/>
        </w:rPr>
        <w:t> </w:t>
      </w:r>
      <w:r w:rsidR="00071F96" w:rsidRPr="00A32AF4">
        <w:rPr>
          <w:rFonts w:cs="Arial"/>
        </w:rPr>
        <w:t>2016</w:t>
      </w:r>
      <w:r w:rsidR="00EB7F54" w:rsidRPr="00A32AF4">
        <w:rPr>
          <w:rFonts w:cs="Arial"/>
        </w:rPr>
        <w:noBreakHyphen/>
      </w:r>
      <w:r w:rsidRPr="00A32AF4">
        <w:rPr>
          <w:rFonts w:cs="Arial"/>
        </w:rPr>
        <w:t>20</w:t>
      </w:r>
      <w:r w:rsidR="00071F96" w:rsidRPr="00A32AF4">
        <w:rPr>
          <w:rFonts w:cs="Arial"/>
        </w:rPr>
        <w:t xml:space="preserve">17 </w:t>
      </w:r>
      <w:r w:rsidRPr="00A32AF4">
        <w:rPr>
          <w:rFonts w:cs="Arial"/>
        </w:rPr>
        <w:t xml:space="preserve">de </w:t>
      </w:r>
      <w:r w:rsidR="00071F96" w:rsidRPr="00A32AF4">
        <w:rPr>
          <w:rFonts w:cs="Arial"/>
        </w:rPr>
        <w:t>13</w:t>
      </w:r>
      <w:r w:rsidRPr="00A32AF4">
        <w:rPr>
          <w:rFonts w:cs="Arial"/>
        </w:rPr>
        <w:t>,</w:t>
      </w:r>
      <w:r w:rsidR="00071F96" w:rsidRPr="00A32AF4">
        <w:rPr>
          <w:rFonts w:cs="Arial"/>
        </w:rPr>
        <w:t>9</w:t>
      </w:r>
      <w:r w:rsidR="00C13633" w:rsidRPr="00A32AF4">
        <w:rPr>
          <w:rFonts w:cs="Arial"/>
        </w:rPr>
        <w:t>% par rapport au budget 2014</w:t>
      </w:r>
      <w:r w:rsidR="00EB7F54" w:rsidRPr="00A32AF4">
        <w:rPr>
          <w:rFonts w:cs="Arial"/>
        </w:rPr>
        <w:noBreakHyphen/>
      </w:r>
      <w:r w:rsidRPr="00A32AF4">
        <w:rPr>
          <w:rFonts w:cs="Arial"/>
        </w:rPr>
        <w:t>20</w:t>
      </w:r>
      <w:r w:rsidR="00071F96" w:rsidRPr="00A32AF4">
        <w:rPr>
          <w:rFonts w:cs="Arial"/>
        </w:rPr>
        <w:t xml:space="preserve">15 </w:t>
      </w:r>
      <w:r w:rsidRPr="00A32AF4">
        <w:rPr>
          <w:rFonts w:cs="Arial"/>
        </w:rPr>
        <w:t>après virements</w:t>
      </w:r>
      <w:r w:rsidR="00071F96" w:rsidRPr="00A32AF4">
        <w:rPr>
          <w:rFonts w:cs="Arial"/>
        </w:rPr>
        <w:t xml:space="preserve">.  </w:t>
      </w:r>
      <w:r w:rsidRPr="00A32AF4">
        <w:rPr>
          <w:rFonts w:cs="Arial"/>
        </w:rPr>
        <w:t xml:space="preserve">Cette augmentation découle principalement </w:t>
      </w:r>
      <w:r w:rsidR="00071F96" w:rsidRPr="00A32AF4">
        <w:rPr>
          <w:rFonts w:cs="Arial"/>
        </w:rPr>
        <w:t xml:space="preserve">i) </w:t>
      </w:r>
      <w:r w:rsidRPr="00A32AF4">
        <w:rPr>
          <w:rFonts w:cs="Arial"/>
        </w:rPr>
        <w:t>de la réaffectation interne de ressources au profit de l</w:t>
      </w:r>
      <w:r w:rsidR="00E2055A" w:rsidRPr="00A32AF4">
        <w:rPr>
          <w:rFonts w:cs="Arial"/>
        </w:rPr>
        <w:t>’</w:t>
      </w:r>
      <w:r w:rsidRPr="00A32AF4">
        <w:rPr>
          <w:rFonts w:cs="Arial"/>
        </w:rPr>
        <w:t>Académie de l</w:t>
      </w:r>
      <w:r w:rsidR="00E2055A" w:rsidRPr="00A32AF4">
        <w:rPr>
          <w:rFonts w:cs="Arial"/>
        </w:rPr>
        <w:t>’</w:t>
      </w:r>
      <w:r w:rsidRPr="00A32AF4">
        <w:rPr>
          <w:rFonts w:cs="Arial"/>
        </w:rPr>
        <w:t>OMPI au titre de l</w:t>
      </w:r>
      <w:r w:rsidR="00E2055A" w:rsidRPr="00A32AF4">
        <w:rPr>
          <w:rFonts w:cs="Arial"/>
        </w:rPr>
        <w:t>’</w:t>
      </w:r>
      <w:r w:rsidRPr="00A32AF4">
        <w:rPr>
          <w:rFonts w:cs="Arial"/>
        </w:rPr>
        <w:t xml:space="preserve">appui au processus de réforme en cours et </w:t>
      </w:r>
      <w:r w:rsidR="00071F96" w:rsidRPr="00A32AF4">
        <w:rPr>
          <w:rFonts w:cs="Arial"/>
        </w:rPr>
        <w:t>ii)</w:t>
      </w:r>
      <w:r w:rsidR="00FD43E3" w:rsidRPr="00A32AF4">
        <w:rPr>
          <w:rFonts w:cs="Arial"/>
        </w:rPr>
        <w:t> </w:t>
      </w:r>
      <w:r w:rsidRPr="00A32AF4">
        <w:rPr>
          <w:rFonts w:cs="Arial"/>
        </w:rPr>
        <w:t xml:space="preserve">de la </w:t>
      </w:r>
      <w:r w:rsidR="00071F96" w:rsidRPr="00A32AF4">
        <w:rPr>
          <w:rFonts w:cs="Arial"/>
        </w:rPr>
        <w:t xml:space="preserve">provision </w:t>
      </w:r>
      <w:r w:rsidRPr="00A32AF4">
        <w:rPr>
          <w:rFonts w:cs="Arial"/>
        </w:rPr>
        <w:t>budgétaire pour le nouveau projet du Plan d</w:t>
      </w:r>
      <w:r w:rsidR="00E2055A" w:rsidRPr="00A32AF4">
        <w:rPr>
          <w:rFonts w:cs="Arial"/>
        </w:rPr>
        <w:t>’</w:t>
      </w:r>
      <w:r w:rsidRPr="00A32AF4">
        <w:rPr>
          <w:rFonts w:cs="Arial"/>
        </w:rPr>
        <w:t xml:space="preserve">action pour le développement intitulé </w:t>
      </w:r>
      <w:r w:rsidR="00B63C9F" w:rsidRPr="00A32AF4">
        <w:rPr>
          <w:rFonts w:cs="Arial"/>
        </w:rPr>
        <w:t>“</w:t>
      </w:r>
      <w:r w:rsidRPr="00A32AF4">
        <w:rPr>
          <w:rFonts w:cs="Arial"/>
        </w:rPr>
        <w:t>Coopé</w:t>
      </w:r>
      <w:r w:rsidR="00071F96" w:rsidRPr="00A32AF4">
        <w:rPr>
          <w:rFonts w:cs="Arial"/>
        </w:rPr>
        <w:t xml:space="preserve">ration </w:t>
      </w:r>
      <w:r w:rsidRPr="00A32AF4">
        <w:rPr>
          <w:rFonts w:cs="Arial"/>
        </w:rPr>
        <w:t>avec les instituts de formation judiciaires des pays en développement et des pays les moins avancés</w:t>
      </w:r>
      <w:r w:rsidR="00B63C9F" w:rsidRPr="00A32AF4">
        <w:rPr>
          <w:rFonts w:cs="Arial"/>
        </w:rPr>
        <w:t>”</w:t>
      </w:r>
      <w:r w:rsidR="00071F96" w:rsidRPr="00A32AF4">
        <w:rPr>
          <w:rFonts w:cs="Arial"/>
        </w:rPr>
        <w:t>.</w:t>
      </w:r>
    </w:p>
    <w:p w:rsidR="00F93B76" w:rsidRPr="00A32AF4" w:rsidRDefault="00F93B76" w:rsidP="00DC0553"/>
    <w:p w:rsidR="00F93B76" w:rsidRPr="00A32AF4" w:rsidRDefault="00F93B76" w:rsidP="00DC0553"/>
    <w:p w:rsidR="00F93B76" w:rsidRPr="00A32AF4" w:rsidRDefault="00071F96" w:rsidP="00DC0553">
      <w:pPr>
        <w:keepNext/>
        <w:keepLines/>
        <w:autoSpaceDE w:val="0"/>
        <w:autoSpaceDN w:val="0"/>
        <w:jc w:val="center"/>
        <w:rPr>
          <w:rFonts w:cs="Arial"/>
          <w:b/>
        </w:rPr>
      </w:pPr>
      <w:r w:rsidRPr="00A32AF4">
        <w:rPr>
          <w:rFonts w:cs="Arial"/>
          <w:b/>
        </w:rPr>
        <w:t>Programme 11 : ressources par résultat</w:t>
      </w:r>
    </w:p>
    <w:p w:rsidR="00F93B76" w:rsidRPr="00A32AF4" w:rsidRDefault="00071F96" w:rsidP="00DC0553">
      <w:pPr>
        <w:keepNext/>
        <w:keepLines/>
        <w:autoSpaceDE w:val="0"/>
        <w:autoSpaceDN w:val="0"/>
        <w:jc w:val="center"/>
        <w:rPr>
          <w:rFonts w:cs="Arial"/>
          <w:i/>
        </w:rPr>
      </w:pPr>
      <w:r w:rsidRPr="00A32AF4">
        <w:rPr>
          <w:rFonts w:cs="Arial"/>
          <w:i/>
        </w:rPr>
        <w:t>(</w:t>
      </w:r>
      <w:proofErr w:type="gramStart"/>
      <w:r w:rsidRPr="00A32AF4">
        <w:rPr>
          <w:rFonts w:cs="Arial"/>
          <w:i/>
        </w:rPr>
        <w:t>en</w:t>
      </w:r>
      <w:proofErr w:type="gramEnd"/>
      <w:r w:rsidRPr="00A32AF4">
        <w:rPr>
          <w:rFonts w:cs="Arial"/>
          <w:i/>
        </w:rPr>
        <w:t xml:space="preserve"> milliers de francs suisses)</w:t>
      </w:r>
    </w:p>
    <w:p w:rsidR="00071F96" w:rsidRPr="00A32AF4" w:rsidRDefault="00071F96" w:rsidP="00DC0553">
      <w:pPr>
        <w:keepNext/>
      </w:pPr>
    </w:p>
    <w:tbl>
      <w:tblPr>
        <w:tblW w:w="8980" w:type="dxa"/>
        <w:tblInd w:w="55" w:type="dxa"/>
        <w:tblCellMar>
          <w:left w:w="70" w:type="dxa"/>
          <w:right w:w="70" w:type="dxa"/>
        </w:tblCellMar>
        <w:tblLook w:val="04A0" w:firstRow="1" w:lastRow="0" w:firstColumn="1" w:lastColumn="0" w:noHBand="0" w:noVBand="1"/>
      </w:tblPr>
      <w:tblGrid>
        <w:gridCol w:w="485"/>
        <w:gridCol w:w="4535"/>
        <w:gridCol w:w="1260"/>
        <w:gridCol w:w="1440"/>
        <w:gridCol w:w="1260"/>
      </w:tblGrid>
      <w:tr w:rsidR="00071F96" w:rsidRPr="00A32AF4" w:rsidTr="00071F96">
        <w:tc>
          <w:tcPr>
            <w:tcW w:w="5020" w:type="dxa"/>
            <w:gridSpan w:val="2"/>
            <w:tcBorders>
              <w:top w:val="single" w:sz="4" w:space="0" w:color="auto"/>
              <w:left w:val="single" w:sz="4" w:space="0" w:color="auto"/>
              <w:bottom w:val="single" w:sz="4" w:space="0" w:color="auto"/>
              <w:right w:val="single" w:sz="4" w:space="0" w:color="000000"/>
            </w:tcBorders>
            <w:shd w:val="clear" w:color="000000" w:fill="C5D9F1"/>
            <w:noWrap/>
            <w:tcMar>
              <w:top w:w="113" w:type="dxa"/>
              <w:bottom w:w="113" w:type="dxa"/>
            </w:tcMar>
            <w:vAlign w:val="center"/>
            <w:hideMark/>
          </w:tcPr>
          <w:p w:rsidR="00071F96" w:rsidRPr="00A32AF4" w:rsidRDefault="00071F96" w:rsidP="00DC0553">
            <w:pPr>
              <w:jc w:val="center"/>
              <w:rPr>
                <w:rFonts w:cs="Arial"/>
                <w:i/>
                <w:iCs/>
                <w:sz w:val="16"/>
                <w:szCs w:val="16"/>
                <w:lang w:eastAsia="fr-FR"/>
              </w:rPr>
            </w:pPr>
            <w:r w:rsidRPr="00A32AF4">
              <w:rPr>
                <w:rFonts w:cs="Arial"/>
                <w:i/>
                <w:iCs/>
                <w:sz w:val="16"/>
                <w:szCs w:val="16"/>
                <w:lang w:eastAsia="fr-FR"/>
              </w:rPr>
              <w:t xml:space="preserve">Numéro et description du résultat escompté </w:t>
            </w:r>
          </w:p>
        </w:tc>
        <w:tc>
          <w:tcPr>
            <w:tcW w:w="126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071F96" w:rsidRPr="00A32AF4" w:rsidRDefault="00071F96" w:rsidP="00DC0553">
            <w:pPr>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2014</w:t>
            </w:r>
            <w:r w:rsidR="00EB7F54" w:rsidRPr="00A32AF4">
              <w:rPr>
                <w:rFonts w:cs="Arial"/>
                <w:i/>
                <w:iCs/>
                <w:sz w:val="16"/>
                <w:szCs w:val="16"/>
                <w:lang w:eastAsia="fr-FR"/>
              </w:rPr>
              <w:noBreakHyphen/>
            </w:r>
            <w:r w:rsidRPr="00A32AF4">
              <w:rPr>
                <w:rFonts w:cs="Arial"/>
                <w:i/>
                <w:iCs/>
                <w:sz w:val="16"/>
                <w:szCs w:val="16"/>
                <w:lang w:eastAsia="fr-FR"/>
              </w:rPr>
              <w:t>2015 approuvé</w:t>
            </w:r>
          </w:p>
        </w:tc>
        <w:tc>
          <w:tcPr>
            <w:tcW w:w="144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071F96" w:rsidRPr="00A32AF4" w:rsidRDefault="00071F96" w:rsidP="00DC0553">
            <w:pPr>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2014</w:t>
            </w:r>
            <w:r w:rsidR="00EB7F54" w:rsidRPr="00A32AF4">
              <w:rPr>
                <w:rFonts w:cs="Arial"/>
                <w:i/>
                <w:iCs/>
                <w:sz w:val="16"/>
                <w:szCs w:val="16"/>
                <w:lang w:eastAsia="fr-FR"/>
              </w:rPr>
              <w:noBreakHyphen/>
            </w:r>
            <w:r w:rsidRPr="00A32AF4">
              <w:rPr>
                <w:rFonts w:cs="Arial"/>
                <w:i/>
                <w:iCs/>
                <w:sz w:val="16"/>
                <w:szCs w:val="16"/>
                <w:lang w:eastAsia="fr-FR"/>
              </w:rPr>
              <w:t>2015 après virements</w:t>
            </w:r>
          </w:p>
        </w:tc>
        <w:tc>
          <w:tcPr>
            <w:tcW w:w="126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071F96" w:rsidRPr="00A32AF4" w:rsidRDefault="00071F96" w:rsidP="00DC0553">
            <w:pPr>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2016</w:t>
            </w:r>
            <w:r w:rsidR="00EB7F54" w:rsidRPr="00A32AF4">
              <w:rPr>
                <w:rFonts w:cs="Arial"/>
                <w:i/>
                <w:iCs/>
                <w:sz w:val="16"/>
                <w:szCs w:val="16"/>
                <w:lang w:eastAsia="fr-FR"/>
              </w:rPr>
              <w:noBreakHyphen/>
            </w:r>
            <w:r w:rsidRPr="00A32AF4">
              <w:rPr>
                <w:rFonts w:cs="Arial"/>
                <w:i/>
                <w:iCs/>
                <w:sz w:val="16"/>
                <w:szCs w:val="16"/>
                <w:lang w:eastAsia="fr-FR"/>
              </w:rPr>
              <w:t>2017 proposé</w:t>
            </w:r>
          </w:p>
        </w:tc>
      </w:tr>
      <w:tr w:rsidR="00071F96" w:rsidRPr="00A32AF4" w:rsidTr="00071F96">
        <w:tc>
          <w:tcPr>
            <w:tcW w:w="485" w:type="dxa"/>
            <w:tcBorders>
              <w:top w:val="nil"/>
              <w:left w:val="single" w:sz="4" w:space="0" w:color="auto"/>
              <w:bottom w:val="nil"/>
              <w:right w:val="nil"/>
            </w:tcBorders>
            <w:shd w:val="clear" w:color="auto" w:fill="auto"/>
            <w:noWrap/>
            <w:tcMar>
              <w:top w:w="113" w:type="dxa"/>
              <w:bottom w:w="113" w:type="dxa"/>
            </w:tcMar>
            <w:vAlign w:val="center"/>
            <w:hideMark/>
          </w:tcPr>
          <w:p w:rsidR="00071F96" w:rsidRPr="00A32AF4" w:rsidRDefault="00071F96" w:rsidP="00DC0553">
            <w:pPr>
              <w:rPr>
                <w:rFonts w:cs="Arial"/>
                <w:sz w:val="16"/>
                <w:szCs w:val="16"/>
                <w:lang w:eastAsia="fr-FR"/>
              </w:rPr>
            </w:pPr>
            <w:r w:rsidRPr="00A32AF4">
              <w:rPr>
                <w:rFonts w:cs="Arial"/>
                <w:sz w:val="16"/>
                <w:szCs w:val="16"/>
                <w:lang w:eastAsia="fr-FR"/>
              </w:rPr>
              <w:t>III.2</w:t>
            </w:r>
          </w:p>
        </w:tc>
        <w:tc>
          <w:tcPr>
            <w:tcW w:w="4535" w:type="dxa"/>
            <w:tcBorders>
              <w:top w:val="nil"/>
              <w:left w:val="nil"/>
              <w:bottom w:val="nil"/>
              <w:right w:val="nil"/>
            </w:tcBorders>
            <w:shd w:val="clear" w:color="auto" w:fill="auto"/>
            <w:tcMar>
              <w:top w:w="113" w:type="dxa"/>
              <w:bottom w:w="113" w:type="dxa"/>
            </w:tcMar>
            <w:vAlign w:val="center"/>
            <w:hideMark/>
          </w:tcPr>
          <w:p w:rsidR="00071F96" w:rsidRPr="00A32AF4" w:rsidRDefault="00071F96" w:rsidP="00DC0553">
            <w:pPr>
              <w:rPr>
                <w:rFonts w:cs="Arial"/>
                <w:sz w:val="16"/>
                <w:szCs w:val="16"/>
                <w:lang w:eastAsia="fr-FR"/>
              </w:rPr>
            </w:pPr>
            <w:r w:rsidRPr="00A32AF4">
              <w:rPr>
                <w:rFonts w:cs="Arial"/>
                <w:sz w:val="16"/>
                <w:szCs w:val="16"/>
                <w:lang w:eastAsia="fr-FR"/>
              </w:rPr>
              <w:t>Mise en valeur des ressources humaines pour répondre aux diverses exigences en matière d</w:t>
            </w:r>
            <w:r w:rsidR="00E2055A" w:rsidRPr="00A32AF4">
              <w:rPr>
                <w:rFonts w:cs="Arial"/>
                <w:sz w:val="16"/>
                <w:szCs w:val="16"/>
                <w:lang w:eastAsia="fr-FR"/>
              </w:rPr>
              <w:t>’</w:t>
            </w:r>
            <w:r w:rsidRPr="00A32AF4">
              <w:rPr>
                <w:rFonts w:cs="Arial"/>
                <w:sz w:val="16"/>
                <w:szCs w:val="16"/>
                <w:lang w:eastAsia="fr-FR"/>
              </w:rPr>
              <w:t>utilisation efficace de la propriété intellectuelle au service du développement dans les pays en développement,</w:t>
            </w:r>
            <w:r w:rsidR="00E2055A" w:rsidRPr="00A32AF4">
              <w:rPr>
                <w:rFonts w:cs="Arial"/>
                <w:sz w:val="16"/>
                <w:szCs w:val="16"/>
                <w:lang w:eastAsia="fr-FR"/>
              </w:rPr>
              <w:t xml:space="preserve"> les PMA</w:t>
            </w:r>
            <w:r w:rsidRPr="00A32AF4">
              <w:rPr>
                <w:rFonts w:cs="Arial"/>
                <w:sz w:val="16"/>
                <w:szCs w:val="16"/>
                <w:lang w:eastAsia="fr-FR"/>
              </w:rPr>
              <w:t xml:space="preserve"> et les pays en transition</w:t>
            </w:r>
          </w:p>
        </w:tc>
        <w:tc>
          <w:tcPr>
            <w:tcW w:w="1260" w:type="dxa"/>
            <w:tcBorders>
              <w:top w:val="nil"/>
              <w:left w:val="nil"/>
              <w:bottom w:val="nil"/>
              <w:right w:val="nil"/>
            </w:tcBorders>
            <w:shd w:val="clear" w:color="auto" w:fill="auto"/>
            <w:tcMar>
              <w:top w:w="113" w:type="dxa"/>
              <w:bottom w:w="113" w:type="dxa"/>
            </w:tcMar>
            <w:vAlign w:val="center"/>
            <w:hideMark/>
          </w:tcPr>
          <w:p w:rsidR="00071F96" w:rsidRPr="00A32AF4" w:rsidRDefault="00071F96" w:rsidP="00DC0553">
            <w:pPr>
              <w:jc w:val="right"/>
              <w:rPr>
                <w:rFonts w:cs="Arial"/>
                <w:sz w:val="16"/>
                <w:szCs w:val="16"/>
                <w:lang w:eastAsia="fr-FR"/>
              </w:rPr>
            </w:pPr>
            <w:r w:rsidRPr="00A32AF4">
              <w:rPr>
                <w:rFonts w:cs="Arial"/>
                <w:sz w:val="16"/>
                <w:szCs w:val="16"/>
                <w:lang w:eastAsia="fr-FR"/>
              </w:rPr>
              <w:t>11</w:t>
            </w:r>
            <w:r w:rsidR="00FD43E3" w:rsidRPr="00A32AF4">
              <w:rPr>
                <w:rFonts w:cs="Arial"/>
                <w:sz w:val="16"/>
                <w:szCs w:val="16"/>
                <w:lang w:eastAsia="fr-FR"/>
              </w:rPr>
              <w:t> </w:t>
            </w:r>
            <w:r w:rsidRPr="00A32AF4">
              <w:rPr>
                <w:rFonts w:cs="Arial"/>
                <w:sz w:val="16"/>
                <w:szCs w:val="16"/>
                <w:lang w:eastAsia="fr-FR"/>
              </w:rPr>
              <w:t xml:space="preserve">883 </w:t>
            </w:r>
          </w:p>
        </w:tc>
        <w:tc>
          <w:tcPr>
            <w:tcW w:w="1440" w:type="dxa"/>
            <w:tcBorders>
              <w:top w:val="nil"/>
              <w:left w:val="nil"/>
              <w:bottom w:val="nil"/>
              <w:right w:val="nil"/>
            </w:tcBorders>
            <w:shd w:val="clear" w:color="auto" w:fill="auto"/>
            <w:tcMar>
              <w:top w:w="113" w:type="dxa"/>
              <w:bottom w:w="113" w:type="dxa"/>
            </w:tcMar>
            <w:vAlign w:val="center"/>
            <w:hideMark/>
          </w:tcPr>
          <w:p w:rsidR="00071F96" w:rsidRPr="00A32AF4" w:rsidRDefault="00071F96" w:rsidP="00DC0553">
            <w:pPr>
              <w:jc w:val="right"/>
              <w:rPr>
                <w:rFonts w:cs="Arial"/>
                <w:sz w:val="16"/>
                <w:szCs w:val="16"/>
                <w:lang w:eastAsia="fr-FR"/>
              </w:rPr>
            </w:pPr>
            <w:r w:rsidRPr="00A32AF4">
              <w:rPr>
                <w:rFonts w:cs="Arial"/>
                <w:sz w:val="16"/>
                <w:szCs w:val="16"/>
                <w:lang w:eastAsia="fr-FR"/>
              </w:rPr>
              <w:t>11</w:t>
            </w:r>
            <w:r w:rsidR="00FD43E3" w:rsidRPr="00A32AF4">
              <w:rPr>
                <w:rFonts w:cs="Arial"/>
                <w:sz w:val="16"/>
                <w:szCs w:val="16"/>
                <w:lang w:eastAsia="fr-FR"/>
              </w:rPr>
              <w:t> </w:t>
            </w:r>
            <w:r w:rsidRPr="00A32AF4">
              <w:rPr>
                <w:rFonts w:cs="Arial"/>
                <w:sz w:val="16"/>
                <w:szCs w:val="16"/>
                <w:lang w:eastAsia="fr-FR"/>
              </w:rPr>
              <w:t xml:space="preserve">484 </w:t>
            </w:r>
          </w:p>
        </w:tc>
        <w:tc>
          <w:tcPr>
            <w:tcW w:w="1260" w:type="dxa"/>
            <w:tcBorders>
              <w:top w:val="nil"/>
              <w:left w:val="nil"/>
              <w:bottom w:val="single" w:sz="4" w:space="0" w:color="auto"/>
              <w:right w:val="single" w:sz="4" w:space="0" w:color="auto"/>
            </w:tcBorders>
            <w:shd w:val="clear" w:color="auto" w:fill="auto"/>
            <w:noWrap/>
            <w:tcMar>
              <w:top w:w="113" w:type="dxa"/>
              <w:bottom w:w="113" w:type="dxa"/>
            </w:tcMar>
            <w:vAlign w:val="center"/>
            <w:hideMark/>
          </w:tcPr>
          <w:p w:rsidR="00071F96" w:rsidRPr="00A32AF4" w:rsidRDefault="00071F96" w:rsidP="00DC0553">
            <w:pPr>
              <w:jc w:val="right"/>
              <w:rPr>
                <w:rFonts w:cs="Arial"/>
                <w:color w:val="000000"/>
                <w:sz w:val="16"/>
                <w:szCs w:val="16"/>
                <w:lang w:eastAsia="fr-FR"/>
              </w:rPr>
            </w:pPr>
            <w:r w:rsidRPr="00A32AF4">
              <w:rPr>
                <w:rFonts w:cs="Arial"/>
                <w:color w:val="000000"/>
                <w:sz w:val="16"/>
                <w:szCs w:val="16"/>
                <w:lang w:eastAsia="fr-FR"/>
              </w:rPr>
              <w:t>13</w:t>
            </w:r>
            <w:r w:rsidR="00FD43E3" w:rsidRPr="00A32AF4">
              <w:rPr>
                <w:rFonts w:cs="Arial"/>
                <w:color w:val="000000"/>
                <w:sz w:val="16"/>
                <w:szCs w:val="16"/>
                <w:lang w:eastAsia="fr-FR"/>
              </w:rPr>
              <w:t> </w:t>
            </w:r>
            <w:r w:rsidRPr="00A32AF4">
              <w:rPr>
                <w:rFonts w:cs="Arial"/>
                <w:color w:val="000000"/>
                <w:sz w:val="16"/>
                <w:szCs w:val="16"/>
                <w:lang w:eastAsia="fr-FR"/>
              </w:rPr>
              <w:t xml:space="preserve">083 </w:t>
            </w:r>
          </w:p>
        </w:tc>
      </w:tr>
      <w:tr w:rsidR="00071F96" w:rsidRPr="00A32AF4" w:rsidTr="00071F96">
        <w:tc>
          <w:tcPr>
            <w:tcW w:w="485" w:type="dxa"/>
            <w:tcBorders>
              <w:top w:val="single" w:sz="4" w:space="0" w:color="auto"/>
              <w:left w:val="single" w:sz="4" w:space="0" w:color="auto"/>
              <w:bottom w:val="single" w:sz="4" w:space="0" w:color="auto"/>
              <w:right w:val="nil"/>
            </w:tcBorders>
            <w:shd w:val="clear" w:color="000000" w:fill="C5D9F1"/>
            <w:noWrap/>
            <w:tcMar>
              <w:top w:w="113" w:type="dxa"/>
              <w:bottom w:w="113" w:type="dxa"/>
            </w:tcMar>
            <w:vAlign w:val="bottom"/>
            <w:hideMark/>
          </w:tcPr>
          <w:p w:rsidR="00071F96" w:rsidRPr="00A32AF4" w:rsidRDefault="00071F96" w:rsidP="00DC0553">
            <w:pPr>
              <w:rPr>
                <w:rFonts w:cs="Arial"/>
                <w:sz w:val="16"/>
                <w:szCs w:val="16"/>
                <w:lang w:eastAsia="fr-FR"/>
              </w:rPr>
            </w:pPr>
            <w:r w:rsidRPr="00A32AF4">
              <w:rPr>
                <w:rFonts w:cs="Arial"/>
                <w:sz w:val="16"/>
                <w:szCs w:val="16"/>
                <w:lang w:eastAsia="fr-FR"/>
              </w:rPr>
              <w:t> </w:t>
            </w:r>
          </w:p>
        </w:tc>
        <w:tc>
          <w:tcPr>
            <w:tcW w:w="4535"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071F96" w:rsidRPr="00A32AF4" w:rsidRDefault="00071F96" w:rsidP="00DC0553">
            <w:pPr>
              <w:rPr>
                <w:rFonts w:cs="Arial"/>
                <w:b/>
                <w:bCs/>
                <w:sz w:val="16"/>
                <w:szCs w:val="16"/>
                <w:lang w:eastAsia="fr-FR"/>
              </w:rPr>
            </w:pPr>
            <w:r w:rsidRPr="00A32AF4">
              <w:rPr>
                <w:rFonts w:cs="Arial"/>
                <w:b/>
                <w:bCs/>
                <w:sz w:val="16"/>
                <w:szCs w:val="16"/>
                <w:lang w:eastAsia="fr-FR"/>
              </w:rPr>
              <w:t>Total</w:t>
            </w:r>
          </w:p>
        </w:tc>
        <w:tc>
          <w:tcPr>
            <w:tcW w:w="1260"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071F96" w:rsidRPr="00A32AF4" w:rsidRDefault="00071F96" w:rsidP="00DC0553">
            <w:pPr>
              <w:jc w:val="right"/>
              <w:rPr>
                <w:rFonts w:cs="Arial"/>
                <w:b/>
                <w:bCs/>
                <w:sz w:val="16"/>
                <w:szCs w:val="16"/>
                <w:lang w:eastAsia="fr-FR"/>
              </w:rPr>
            </w:pPr>
            <w:r w:rsidRPr="00A32AF4">
              <w:rPr>
                <w:rFonts w:cs="Arial"/>
                <w:b/>
                <w:bCs/>
                <w:sz w:val="16"/>
                <w:szCs w:val="16"/>
                <w:lang w:eastAsia="fr-FR"/>
              </w:rPr>
              <w:t>11</w:t>
            </w:r>
            <w:r w:rsidR="00FD43E3" w:rsidRPr="00A32AF4">
              <w:rPr>
                <w:rFonts w:cs="Arial"/>
                <w:b/>
                <w:bCs/>
                <w:sz w:val="16"/>
                <w:szCs w:val="16"/>
                <w:lang w:eastAsia="fr-FR"/>
              </w:rPr>
              <w:t> </w:t>
            </w:r>
            <w:r w:rsidRPr="00A32AF4">
              <w:rPr>
                <w:rFonts w:cs="Arial"/>
                <w:b/>
                <w:bCs/>
                <w:sz w:val="16"/>
                <w:szCs w:val="16"/>
                <w:lang w:eastAsia="fr-FR"/>
              </w:rPr>
              <w:t xml:space="preserve">883 </w:t>
            </w:r>
          </w:p>
        </w:tc>
        <w:tc>
          <w:tcPr>
            <w:tcW w:w="1440"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071F96" w:rsidRPr="00A32AF4" w:rsidRDefault="00071F96" w:rsidP="00DC0553">
            <w:pPr>
              <w:jc w:val="right"/>
              <w:rPr>
                <w:rFonts w:cs="Arial"/>
                <w:b/>
                <w:bCs/>
                <w:sz w:val="16"/>
                <w:szCs w:val="16"/>
                <w:lang w:eastAsia="fr-FR"/>
              </w:rPr>
            </w:pPr>
            <w:r w:rsidRPr="00A32AF4">
              <w:rPr>
                <w:rFonts w:cs="Arial"/>
                <w:b/>
                <w:bCs/>
                <w:sz w:val="16"/>
                <w:szCs w:val="16"/>
                <w:lang w:eastAsia="fr-FR"/>
              </w:rPr>
              <w:t>11</w:t>
            </w:r>
            <w:r w:rsidR="00FD43E3" w:rsidRPr="00A32AF4">
              <w:rPr>
                <w:rFonts w:cs="Arial"/>
                <w:b/>
                <w:bCs/>
                <w:sz w:val="16"/>
                <w:szCs w:val="16"/>
                <w:lang w:eastAsia="fr-FR"/>
              </w:rPr>
              <w:t> </w:t>
            </w:r>
            <w:r w:rsidRPr="00A32AF4">
              <w:rPr>
                <w:rFonts w:cs="Arial"/>
                <w:b/>
                <w:bCs/>
                <w:sz w:val="16"/>
                <w:szCs w:val="16"/>
                <w:lang w:eastAsia="fr-FR"/>
              </w:rPr>
              <w:t xml:space="preserve">484 </w:t>
            </w:r>
          </w:p>
        </w:tc>
        <w:tc>
          <w:tcPr>
            <w:tcW w:w="1260" w:type="dxa"/>
            <w:tcBorders>
              <w:top w:val="nil"/>
              <w:left w:val="nil"/>
              <w:bottom w:val="single" w:sz="4" w:space="0" w:color="auto"/>
              <w:right w:val="single" w:sz="4" w:space="0" w:color="auto"/>
            </w:tcBorders>
            <w:shd w:val="clear" w:color="000000" w:fill="C5D9F1"/>
            <w:noWrap/>
            <w:tcMar>
              <w:top w:w="113" w:type="dxa"/>
              <w:bottom w:w="113" w:type="dxa"/>
            </w:tcMar>
            <w:vAlign w:val="bottom"/>
            <w:hideMark/>
          </w:tcPr>
          <w:p w:rsidR="00071F96" w:rsidRPr="00A32AF4" w:rsidRDefault="00071F96" w:rsidP="00DC0553">
            <w:pPr>
              <w:jc w:val="right"/>
              <w:rPr>
                <w:rFonts w:cs="Arial"/>
                <w:b/>
                <w:bCs/>
                <w:sz w:val="16"/>
                <w:szCs w:val="16"/>
                <w:lang w:eastAsia="fr-FR"/>
              </w:rPr>
            </w:pPr>
            <w:r w:rsidRPr="00A32AF4">
              <w:rPr>
                <w:rFonts w:cs="Arial"/>
                <w:b/>
                <w:bCs/>
                <w:sz w:val="16"/>
                <w:szCs w:val="16"/>
                <w:lang w:eastAsia="fr-FR"/>
              </w:rPr>
              <w:t>13</w:t>
            </w:r>
            <w:r w:rsidR="00FD43E3" w:rsidRPr="00A32AF4">
              <w:rPr>
                <w:rFonts w:cs="Arial"/>
                <w:b/>
                <w:bCs/>
                <w:sz w:val="16"/>
                <w:szCs w:val="16"/>
                <w:lang w:eastAsia="fr-FR"/>
              </w:rPr>
              <w:t> </w:t>
            </w:r>
            <w:r w:rsidRPr="00A32AF4">
              <w:rPr>
                <w:rFonts w:cs="Arial"/>
                <w:b/>
                <w:bCs/>
                <w:sz w:val="16"/>
                <w:szCs w:val="16"/>
                <w:lang w:eastAsia="fr-FR"/>
              </w:rPr>
              <w:t xml:space="preserve">083 </w:t>
            </w:r>
          </w:p>
        </w:tc>
      </w:tr>
    </w:tbl>
    <w:p w:rsidR="00F93B76" w:rsidRPr="00A32AF4" w:rsidRDefault="00F93B76" w:rsidP="00DC0553"/>
    <w:p w:rsidR="00F93B76" w:rsidRPr="00A32AF4" w:rsidRDefault="00F93B76" w:rsidP="00DC0553"/>
    <w:p w:rsidR="00F93B76" w:rsidRPr="00A32AF4" w:rsidRDefault="00071F96" w:rsidP="00DC0553">
      <w:pPr>
        <w:keepNext/>
        <w:keepLines/>
        <w:autoSpaceDE w:val="0"/>
        <w:autoSpaceDN w:val="0"/>
        <w:jc w:val="center"/>
        <w:rPr>
          <w:rFonts w:cs="Arial"/>
          <w:b/>
        </w:rPr>
      </w:pPr>
      <w:r w:rsidRPr="00A32AF4">
        <w:rPr>
          <w:rFonts w:cs="Arial"/>
          <w:b/>
        </w:rPr>
        <w:t>Programme 11 : ressources par objet de dépense</w:t>
      </w:r>
    </w:p>
    <w:p w:rsidR="00F93B76" w:rsidRPr="00A32AF4" w:rsidRDefault="00071F96" w:rsidP="00DC0553">
      <w:pPr>
        <w:keepNext/>
        <w:keepLines/>
        <w:autoSpaceDE w:val="0"/>
        <w:autoSpaceDN w:val="0"/>
        <w:jc w:val="center"/>
        <w:rPr>
          <w:rFonts w:cs="Arial"/>
          <w:i/>
        </w:rPr>
      </w:pPr>
      <w:r w:rsidRPr="00A32AF4">
        <w:rPr>
          <w:rFonts w:cs="Arial"/>
          <w:i/>
        </w:rPr>
        <w:t>(</w:t>
      </w:r>
      <w:proofErr w:type="gramStart"/>
      <w:r w:rsidRPr="00A32AF4">
        <w:rPr>
          <w:rFonts w:cs="Arial"/>
          <w:i/>
        </w:rPr>
        <w:t>en</w:t>
      </w:r>
      <w:proofErr w:type="gramEnd"/>
      <w:r w:rsidRPr="00A32AF4">
        <w:rPr>
          <w:rFonts w:cs="Arial"/>
          <w:i/>
        </w:rPr>
        <w:t xml:space="preserve"> milliers de francs suisses)</w:t>
      </w:r>
    </w:p>
    <w:p w:rsidR="00F93B76" w:rsidRPr="00A32AF4" w:rsidRDefault="00F93B76" w:rsidP="00DC0553">
      <w:pPr>
        <w:keepNext/>
        <w:rPr>
          <w:rFonts w:eastAsia="SimSun"/>
        </w:rPr>
      </w:pPr>
    </w:p>
    <w:p w:rsidR="00F93B76" w:rsidRPr="00A32AF4" w:rsidRDefault="00C13B9D" w:rsidP="00DC0553">
      <w:pPr>
        <w:rPr>
          <w:rFonts w:eastAsia="SimSun"/>
        </w:rPr>
      </w:pPr>
      <w:r w:rsidRPr="00A32AF4">
        <w:rPr>
          <w:rFonts w:eastAsia="SimSun"/>
          <w:noProof/>
          <w:lang w:eastAsia="fr-FR"/>
        </w:rPr>
        <w:drawing>
          <wp:inline distT="0" distB="0" distL="0" distR="0" wp14:anchorId="26093831" wp14:editId="4ABD8119">
            <wp:extent cx="5512435" cy="7051040"/>
            <wp:effectExtent l="0" t="0" r="0" b="0"/>
            <wp:docPr id="1042" name="Pictur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512435" cy="7051040"/>
                    </a:xfrm>
                    <a:prstGeom prst="rect">
                      <a:avLst/>
                    </a:prstGeom>
                    <a:noFill/>
                    <a:ln>
                      <a:noFill/>
                    </a:ln>
                  </pic:spPr>
                </pic:pic>
              </a:graphicData>
            </a:graphic>
          </wp:inline>
        </w:drawing>
      </w:r>
    </w:p>
    <w:p w:rsidR="00F93B76" w:rsidRPr="00A32AF4" w:rsidRDefault="00F93B76" w:rsidP="00DC0553"/>
    <w:p w:rsidR="00F93B76" w:rsidRPr="00A32AF4" w:rsidRDefault="00F93B76" w:rsidP="00DC0553"/>
    <w:p w:rsidR="00F93B76" w:rsidRPr="00A32AF4" w:rsidRDefault="00071F96" w:rsidP="00DC0553">
      <w:pPr>
        <w:keepNext/>
        <w:jc w:val="center"/>
        <w:rPr>
          <w:b/>
        </w:rPr>
      </w:pPr>
      <w:r w:rsidRPr="00A32AF4">
        <w:rPr>
          <w:b/>
        </w:rPr>
        <w:t>Ressources au titre des fonds fiduciaires potentiellement disponibles pour les activités de</w:t>
      </w:r>
      <w:r w:rsidR="00466DC3" w:rsidRPr="00A32AF4">
        <w:rPr>
          <w:b/>
        </w:rPr>
        <w:t> </w:t>
      </w:r>
      <w:r w:rsidR="004848EA" w:rsidRPr="00A32AF4">
        <w:rPr>
          <w:b/>
        </w:rPr>
        <w:t>programme en</w:t>
      </w:r>
      <w:r w:rsidR="00FD43E3" w:rsidRPr="00A32AF4">
        <w:rPr>
          <w:b/>
        </w:rPr>
        <w:t> </w:t>
      </w:r>
      <w:r w:rsidR="004848EA" w:rsidRPr="00A32AF4">
        <w:rPr>
          <w:b/>
        </w:rPr>
        <w:t>2016</w:t>
      </w:r>
      <w:r w:rsidR="00EB7F54" w:rsidRPr="00A32AF4">
        <w:rPr>
          <w:b/>
        </w:rPr>
        <w:noBreakHyphen/>
      </w:r>
      <w:r w:rsidRPr="00A32AF4">
        <w:rPr>
          <w:b/>
        </w:rPr>
        <w:t>2017 (PAR PROGRAMME</w:t>
      </w:r>
      <w:proofErr w:type="gramStart"/>
      <w:r w:rsidRPr="00A32AF4">
        <w:rPr>
          <w:b/>
        </w:rPr>
        <w:t>)</w:t>
      </w:r>
      <w:r w:rsidRPr="00A32AF4">
        <w:rPr>
          <w:vertAlign w:val="superscript"/>
        </w:rPr>
        <w:t>1</w:t>
      </w:r>
      <w:proofErr w:type="gramEnd"/>
    </w:p>
    <w:p w:rsidR="00F93B76" w:rsidRPr="00A32AF4" w:rsidRDefault="00071F96" w:rsidP="00DC0553">
      <w:pPr>
        <w:keepNext/>
        <w:jc w:val="center"/>
        <w:rPr>
          <w:i/>
        </w:rPr>
      </w:pPr>
      <w:r w:rsidRPr="00A32AF4">
        <w:rPr>
          <w:i/>
        </w:rPr>
        <w:t>(</w:t>
      </w:r>
      <w:proofErr w:type="gramStart"/>
      <w:r w:rsidRPr="00A32AF4">
        <w:rPr>
          <w:i/>
        </w:rPr>
        <w:t>en</w:t>
      </w:r>
      <w:proofErr w:type="gramEnd"/>
      <w:r w:rsidRPr="00A32AF4">
        <w:rPr>
          <w:i/>
        </w:rPr>
        <w:t xml:space="preserve"> milliers de francs suisses)</w:t>
      </w:r>
    </w:p>
    <w:p w:rsidR="00F93B76" w:rsidRPr="00A32AF4" w:rsidRDefault="00F93B76" w:rsidP="00DC0553">
      <w:pPr>
        <w:keepNext/>
        <w:jc w:val="center"/>
        <w:rPr>
          <w:rStyle w:val="StyleStyleHeading3ComplexItalicLatin12ptChar"/>
          <w:b w:val="0"/>
          <w:i/>
          <w:lang w:val="fr-FR"/>
        </w:rPr>
      </w:pPr>
    </w:p>
    <w:p w:rsidR="00F93B76" w:rsidRPr="00A32AF4" w:rsidRDefault="00071F96" w:rsidP="00DC0553">
      <w:pPr>
        <w:rPr>
          <w:rStyle w:val="StyleStyleHeading3ComplexItalicLatin12ptChar"/>
          <w:b w:val="0"/>
          <w:i/>
          <w:lang w:val="fr-FR"/>
        </w:rPr>
      </w:pPr>
      <w:r w:rsidRPr="00A32AF4">
        <w:rPr>
          <w:noProof/>
          <w:lang w:eastAsia="fr-FR"/>
        </w:rPr>
        <w:drawing>
          <wp:inline distT="0" distB="0" distL="0" distR="0" wp14:anchorId="630E78FE" wp14:editId="3D448B1B">
            <wp:extent cx="5760085" cy="874570"/>
            <wp:effectExtent l="0" t="0" r="0" b="1905"/>
            <wp:docPr id="979" name="Picture 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760085" cy="874570"/>
                    </a:xfrm>
                    <a:prstGeom prst="rect">
                      <a:avLst/>
                    </a:prstGeom>
                    <a:noFill/>
                    <a:ln>
                      <a:noFill/>
                    </a:ln>
                  </pic:spPr>
                </pic:pic>
              </a:graphicData>
            </a:graphic>
          </wp:inline>
        </w:drawing>
      </w:r>
    </w:p>
    <w:p w:rsidR="00F93B76" w:rsidRPr="00A32AF4" w:rsidRDefault="00071F96" w:rsidP="00DC0553">
      <w:pPr>
        <w:rPr>
          <w:i/>
          <w:sz w:val="16"/>
        </w:rPr>
      </w:pPr>
      <w:r w:rsidRPr="00A32AF4">
        <w:rPr>
          <w:i/>
          <w:sz w:val="16"/>
          <w:vertAlign w:val="superscript"/>
        </w:rPr>
        <w:t>1</w:t>
      </w:r>
      <w:r w:rsidRPr="00A32AF4">
        <w:rPr>
          <w:i/>
          <w:sz w:val="16"/>
        </w:rPr>
        <w:t xml:space="preserve"> Les chiffres ne comprennent pas les ajustements pour intérêts et taux de change.  Il est à noter également que ces fonds financent en général des activités qui portent sur une période excédant un exercice biennal ou qui sont à cheval sur deux</w:t>
      </w:r>
      <w:r w:rsidR="00FD43E3" w:rsidRPr="00A32AF4">
        <w:rPr>
          <w:i/>
          <w:sz w:val="16"/>
        </w:rPr>
        <w:t> </w:t>
      </w:r>
      <w:r w:rsidRPr="00A32AF4">
        <w:rPr>
          <w:i/>
          <w:sz w:val="16"/>
        </w:rPr>
        <w:t>exercices, à mesure que les recettes sont perçues et les dépenses encourues.</w:t>
      </w:r>
    </w:p>
    <w:p w:rsidR="00F93B76" w:rsidRPr="00A32AF4" w:rsidRDefault="00071F96" w:rsidP="00DC0553">
      <w:pPr>
        <w:rPr>
          <w:i/>
          <w:sz w:val="16"/>
        </w:rPr>
      </w:pPr>
      <w:r w:rsidRPr="00A32AF4">
        <w:rPr>
          <w:i/>
          <w:sz w:val="16"/>
          <w:vertAlign w:val="superscript"/>
        </w:rPr>
        <w:t>2</w:t>
      </w:r>
      <w:r w:rsidRPr="00A32AF4">
        <w:rPr>
          <w:i/>
          <w:sz w:val="16"/>
        </w:rPr>
        <w:t xml:space="preserve"> Ces chiffres purement indicatifs découlent des modes de financement précédents.  Ils ne représentent pas des engagements de la part des États membres, sauf dans les cas où l</w:t>
      </w:r>
      <w:r w:rsidR="00E2055A" w:rsidRPr="00A32AF4">
        <w:rPr>
          <w:i/>
          <w:sz w:val="16"/>
        </w:rPr>
        <w:t>’</w:t>
      </w:r>
      <w:r w:rsidRPr="00A32AF4">
        <w:rPr>
          <w:i/>
          <w:sz w:val="16"/>
        </w:rPr>
        <w:t>accord de fonds fiduciaire comprend un tel engagement.</w:t>
      </w:r>
    </w:p>
    <w:p w:rsidR="00F93B76" w:rsidRPr="00A32AF4" w:rsidRDefault="00071F96" w:rsidP="00DC0553">
      <w:pPr>
        <w:rPr>
          <w:i/>
          <w:sz w:val="16"/>
        </w:rPr>
      </w:pPr>
      <w:r w:rsidRPr="00A32AF4">
        <w:rPr>
          <w:i/>
          <w:sz w:val="16"/>
          <w:vertAlign w:val="superscript"/>
        </w:rPr>
        <w:t>3</w:t>
      </w:r>
      <w:r w:rsidRPr="00A32AF4">
        <w:rPr>
          <w:i/>
          <w:sz w:val="16"/>
        </w:rPr>
        <w:t xml:space="preserve"> Le solde prévu à la fin de l</w:t>
      </w:r>
      <w:r w:rsidR="00E2055A" w:rsidRPr="00A32AF4">
        <w:rPr>
          <w:i/>
          <w:sz w:val="16"/>
        </w:rPr>
        <w:t>’</w:t>
      </w:r>
      <w:r w:rsidRPr="00A32AF4">
        <w:rPr>
          <w:i/>
          <w:sz w:val="16"/>
        </w:rPr>
        <w:t>année 2015 tient compte des engagements et obligations.</w:t>
      </w:r>
    </w:p>
    <w:p w:rsidR="00F93B76" w:rsidRPr="00A32AF4" w:rsidRDefault="00F93B76" w:rsidP="00DC0553"/>
    <w:p w:rsidR="00F93B76" w:rsidRPr="00A32AF4" w:rsidRDefault="00B54C10" w:rsidP="00DC0553">
      <w:r w:rsidRPr="00A32AF4">
        <w:br w:type="page"/>
      </w:r>
    </w:p>
    <w:p w:rsidR="002747B4" w:rsidRPr="00A32AF4" w:rsidRDefault="005C314E" w:rsidP="00FB1F61">
      <w:pPr>
        <w:pStyle w:val="Heading3"/>
        <w:rPr>
          <w:rStyle w:val="StyleStyleHeading3ComplexItalicLatin12ptChar"/>
          <w:rFonts w:ascii="Arial Bold" w:eastAsia="Arial" w:hAnsi="Arial Bold"/>
          <w:b/>
          <w:iCs w:val="0"/>
          <w:caps/>
          <w:lang w:val="fr-FR"/>
        </w:rPr>
      </w:pPr>
      <w:bookmarkStart w:id="44" w:name="_Toc431555450"/>
      <w:r w:rsidRPr="00A32AF4">
        <w:rPr>
          <w:rStyle w:val="StyleStyleHeading3ComplexItalicLatin12ptChar"/>
          <w:rFonts w:ascii="Arial Bold" w:eastAsia="Arial" w:hAnsi="Arial Bold"/>
          <w:b/>
          <w:iCs w:val="0"/>
          <w:caps/>
          <w:lang w:val="fr-FR"/>
        </w:rPr>
        <w:t>Programme 30</w:t>
      </w:r>
      <w:r w:rsidR="002747B4" w:rsidRPr="00A32AF4">
        <w:rPr>
          <w:rStyle w:val="StyleStyleHeading3ComplexItalicLatin12ptChar"/>
          <w:rFonts w:ascii="Arial Bold" w:eastAsia="Arial" w:hAnsi="Arial Bold"/>
          <w:b/>
          <w:iCs w:val="0"/>
          <w:caps/>
          <w:lang w:val="fr-FR"/>
        </w:rPr>
        <w:tab/>
        <w:t>Appui aux petites et moyennes entreprises (PME) et à la création d</w:t>
      </w:r>
      <w:r w:rsidR="00E2055A" w:rsidRPr="00A32AF4">
        <w:rPr>
          <w:rStyle w:val="StyleStyleHeading3ComplexItalicLatin12ptChar"/>
          <w:rFonts w:ascii="Arial Bold" w:eastAsia="Arial" w:hAnsi="Arial Bold"/>
          <w:b/>
          <w:iCs w:val="0"/>
          <w:caps/>
          <w:lang w:val="fr-FR"/>
        </w:rPr>
        <w:t>’</w:t>
      </w:r>
      <w:r w:rsidR="002747B4" w:rsidRPr="00A32AF4">
        <w:rPr>
          <w:rStyle w:val="StyleStyleHeading3ComplexItalicLatin12ptChar"/>
          <w:rFonts w:ascii="Arial Bold" w:eastAsia="Arial" w:hAnsi="Arial Bold"/>
          <w:b/>
          <w:iCs w:val="0"/>
          <w:caps/>
          <w:lang w:val="fr-FR"/>
        </w:rPr>
        <w:t>entreprises</w:t>
      </w:r>
      <w:bookmarkEnd w:id="44"/>
    </w:p>
    <w:p w:rsidR="002747B4" w:rsidRPr="00A32AF4" w:rsidRDefault="002747B4" w:rsidP="00DC0553"/>
    <w:p w:rsidR="002747B4" w:rsidRPr="00A32AF4" w:rsidRDefault="002747B4" w:rsidP="00DC0553"/>
    <w:p w:rsidR="002747B4" w:rsidRPr="00A32AF4" w:rsidRDefault="002747B4" w:rsidP="00DC0553">
      <w:r w:rsidRPr="00A32AF4">
        <w:t>CONTEXTE DE PLANIFICATION</w:t>
      </w:r>
    </w:p>
    <w:p w:rsidR="002747B4" w:rsidRPr="00A32AF4" w:rsidRDefault="002747B4" w:rsidP="00DC0553">
      <w:pPr>
        <w:tabs>
          <w:tab w:val="left" w:pos="709"/>
        </w:tabs>
        <w:rPr>
          <w:rFonts w:cs="Arial"/>
        </w:rPr>
      </w:pPr>
    </w:p>
    <w:p w:rsidR="002747B4" w:rsidRPr="00A32AF4" w:rsidRDefault="002747B4" w:rsidP="00DC0553">
      <w:pPr>
        <w:pStyle w:val="ListParagraph"/>
        <w:numPr>
          <w:ilvl w:val="0"/>
          <w:numId w:val="64"/>
        </w:numPr>
        <w:tabs>
          <w:tab w:val="left" w:pos="709"/>
        </w:tabs>
        <w:spacing w:after="0" w:line="240" w:lineRule="auto"/>
        <w:ind w:left="0" w:firstLine="0"/>
        <w:jc w:val="both"/>
        <w:rPr>
          <w:rFonts w:ascii="Arial" w:hAnsi="Arial" w:cs="Arial"/>
        </w:rPr>
      </w:pPr>
      <w:r w:rsidRPr="00A32AF4">
        <w:rPr>
          <w:rFonts w:ascii="Arial" w:hAnsi="Arial" w:cs="Arial"/>
        </w:rPr>
        <w:t>Partout dans le monde, les petites et moyennes entreprises (PME) contribuent de manière significative au PIB, à la création d</w:t>
      </w:r>
      <w:r w:rsidR="00E2055A" w:rsidRPr="00A32AF4">
        <w:rPr>
          <w:rFonts w:ascii="Arial" w:hAnsi="Arial" w:cs="Arial"/>
        </w:rPr>
        <w:t>’</w:t>
      </w:r>
      <w:r w:rsidRPr="00A32AF4">
        <w:rPr>
          <w:rFonts w:ascii="Arial" w:hAnsi="Arial" w:cs="Arial"/>
        </w:rPr>
        <w:t>emplois, à l</w:t>
      </w:r>
      <w:r w:rsidR="00E2055A" w:rsidRPr="00A32AF4">
        <w:rPr>
          <w:rFonts w:ascii="Arial" w:hAnsi="Arial" w:cs="Arial"/>
        </w:rPr>
        <w:t>’</w:t>
      </w:r>
      <w:r w:rsidRPr="00A32AF4">
        <w:rPr>
          <w:rFonts w:ascii="Arial" w:hAnsi="Arial" w:cs="Arial"/>
        </w:rPr>
        <w:t>innovation, aux exportations, à l</w:t>
      </w:r>
      <w:r w:rsidR="00E2055A" w:rsidRPr="00A32AF4">
        <w:rPr>
          <w:rFonts w:ascii="Arial" w:hAnsi="Arial" w:cs="Arial"/>
        </w:rPr>
        <w:t>’</w:t>
      </w:r>
      <w:r w:rsidRPr="00A32AF4">
        <w:rPr>
          <w:rFonts w:ascii="Arial" w:hAnsi="Arial" w:cs="Arial"/>
        </w:rPr>
        <w:t>autonomisation des femmes, à la lutte contre la pauvreté et à une croissance durable.  Les universités et les établissements publics de recherche, dont les capacités et les compétences varient en matière de transfert stratégique de connaissances et de commercialisation des résultats de la recherche, contribuent eux aussi de manière importante à l</w:t>
      </w:r>
      <w:r w:rsidR="00E2055A" w:rsidRPr="00A32AF4">
        <w:rPr>
          <w:rFonts w:ascii="Arial" w:hAnsi="Arial" w:cs="Arial"/>
        </w:rPr>
        <w:t>’</w:t>
      </w:r>
      <w:r w:rsidRPr="00A32AF4">
        <w:rPr>
          <w:rFonts w:ascii="Arial" w:hAnsi="Arial" w:cs="Arial"/>
        </w:rPr>
        <w:t>innovation et à ses retombées.  Ces deux segments d</w:t>
      </w:r>
      <w:r w:rsidR="00E2055A" w:rsidRPr="00A32AF4">
        <w:rPr>
          <w:rFonts w:ascii="Arial" w:hAnsi="Arial" w:cs="Arial"/>
        </w:rPr>
        <w:t>’</w:t>
      </w:r>
      <w:r w:rsidRPr="00A32AF4">
        <w:rPr>
          <w:rFonts w:ascii="Arial" w:hAnsi="Arial" w:cs="Arial"/>
        </w:rPr>
        <w:t>activité sont concernés par les stratégies nationales en matière de propriété intellectuelle de leurs pays respectifs.</w:t>
      </w:r>
    </w:p>
    <w:p w:rsidR="002747B4" w:rsidRPr="00A32AF4" w:rsidRDefault="002747B4" w:rsidP="00DC0553">
      <w:pPr>
        <w:tabs>
          <w:tab w:val="left" w:pos="709"/>
        </w:tabs>
        <w:jc w:val="both"/>
        <w:rPr>
          <w:rFonts w:cs="Arial"/>
        </w:rPr>
      </w:pPr>
    </w:p>
    <w:p w:rsidR="002747B4" w:rsidRPr="00A32AF4" w:rsidRDefault="002747B4" w:rsidP="00DC0553">
      <w:pPr>
        <w:pStyle w:val="ListParagraph"/>
        <w:numPr>
          <w:ilvl w:val="0"/>
          <w:numId w:val="64"/>
        </w:numPr>
        <w:tabs>
          <w:tab w:val="left" w:pos="709"/>
        </w:tabs>
        <w:spacing w:after="0" w:line="240" w:lineRule="auto"/>
        <w:ind w:left="0" w:firstLine="0"/>
        <w:jc w:val="both"/>
        <w:rPr>
          <w:rFonts w:ascii="Arial" w:hAnsi="Arial" w:cs="Arial"/>
        </w:rPr>
      </w:pPr>
      <w:r w:rsidRPr="00A32AF4">
        <w:rPr>
          <w:rFonts w:ascii="Arial" w:hAnsi="Arial" w:cs="Arial"/>
        </w:rPr>
        <w:t>Le manque de connaissances et de compétences dans le domaine de la gestion de la propriété intellectuelle, l</w:t>
      </w:r>
      <w:r w:rsidR="00E2055A" w:rsidRPr="00A32AF4">
        <w:rPr>
          <w:rFonts w:ascii="Arial" w:hAnsi="Arial" w:cs="Arial"/>
        </w:rPr>
        <w:t>’</w:t>
      </w:r>
      <w:r w:rsidRPr="00A32AF4">
        <w:rPr>
          <w:rFonts w:ascii="Arial" w:hAnsi="Arial" w:cs="Arial"/>
        </w:rPr>
        <w:t>idée reçue selon laquelle le système de la propriété intellectuelle</w:t>
      </w:r>
      <w:r w:rsidR="00A744A3" w:rsidRPr="00A32AF4">
        <w:rPr>
          <w:rFonts w:ascii="Arial" w:hAnsi="Arial" w:cs="Arial"/>
        </w:rPr>
        <w:t xml:space="preserve"> est à la fois cher et complexe</w:t>
      </w:r>
      <w:r w:rsidRPr="00A32AF4">
        <w:rPr>
          <w:rFonts w:ascii="Arial" w:hAnsi="Arial" w:cs="Arial"/>
        </w:rPr>
        <w:t xml:space="preserve"> et les difficultés liées à la protection et à la défense des dro</w:t>
      </w:r>
      <w:r w:rsidR="00A744A3" w:rsidRPr="00A32AF4">
        <w:rPr>
          <w:rFonts w:ascii="Arial" w:hAnsi="Arial" w:cs="Arial"/>
        </w:rPr>
        <w:t>its de propriété intellectuelle</w:t>
      </w:r>
      <w:r w:rsidRPr="00A32AF4">
        <w:rPr>
          <w:rFonts w:ascii="Arial" w:hAnsi="Arial" w:cs="Arial"/>
        </w:rPr>
        <w:t xml:space="preserve"> empêchent les PME, les universités et les établissements publics de recherche dans le monde de bénéficier des avantages du système de la propriété intellectuelle.  Ceci se traduit par une faible utilisation du système de la propriété intellectuelle en général et des services mondiaux de l</w:t>
      </w:r>
      <w:r w:rsidR="00E2055A" w:rsidRPr="00A32AF4">
        <w:rPr>
          <w:rFonts w:ascii="Arial" w:hAnsi="Arial" w:cs="Arial"/>
        </w:rPr>
        <w:t>’</w:t>
      </w:r>
      <w:r w:rsidRPr="00A32AF4">
        <w:rPr>
          <w:rFonts w:ascii="Arial" w:hAnsi="Arial" w:cs="Arial"/>
        </w:rPr>
        <w:t>OMPI en particulier.</w:t>
      </w:r>
    </w:p>
    <w:p w:rsidR="002747B4" w:rsidRPr="00A32AF4" w:rsidRDefault="002747B4" w:rsidP="00DC0553">
      <w:pPr>
        <w:tabs>
          <w:tab w:val="left" w:pos="709"/>
        </w:tabs>
        <w:jc w:val="both"/>
        <w:rPr>
          <w:rFonts w:cs="Arial"/>
        </w:rPr>
      </w:pPr>
    </w:p>
    <w:p w:rsidR="002747B4" w:rsidRPr="00A32AF4" w:rsidRDefault="002747B4" w:rsidP="00DC0553">
      <w:pPr>
        <w:pStyle w:val="ListParagraph"/>
        <w:numPr>
          <w:ilvl w:val="0"/>
          <w:numId w:val="64"/>
        </w:numPr>
        <w:tabs>
          <w:tab w:val="left" w:pos="709"/>
        </w:tabs>
        <w:spacing w:after="0" w:line="240" w:lineRule="auto"/>
        <w:ind w:left="0" w:firstLine="0"/>
        <w:jc w:val="both"/>
        <w:rPr>
          <w:rFonts w:ascii="Arial" w:hAnsi="Arial" w:cs="Arial"/>
        </w:rPr>
      </w:pPr>
      <w:r w:rsidRPr="00A32AF4">
        <w:rPr>
          <w:rFonts w:ascii="Arial" w:hAnsi="Arial" w:cs="Arial"/>
        </w:rPr>
        <w:t>D</w:t>
      </w:r>
      <w:r w:rsidR="00E2055A" w:rsidRPr="00A32AF4">
        <w:rPr>
          <w:rFonts w:ascii="Arial" w:hAnsi="Arial" w:cs="Arial"/>
        </w:rPr>
        <w:t>’</w:t>
      </w:r>
      <w:r w:rsidRPr="00A32AF4">
        <w:rPr>
          <w:rFonts w:ascii="Arial" w:hAnsi="Arial" w:cs="Arial"/>
        </w:rPr>
        <w:t>autres éléments doivent également être pris en considération, comme le faible niveau des dépenses en R</w:t>
      </w:r>
      <w:r w:rsidR="00EB7F54" w:rsidRPr="00A32AF4">
        <w:rPr>
          <w:rFonts w:ascii="Arial" w:hAnsi="Arial" w:cs="Arial"/>
        </w:rPr>
        <w:noBreakHyphen/>
      </w:r>
      <w:r w:rsidRPr="00A32AF4">
        <w:rPr>
          <w:rFonts w:ascii="Arial" w:hAnsi="Arial" w:cs="Arial"/>
        </w:rPr>
        <w:t>D, la précarité des partenariats avec les établissements académiques et les instituts de recherche, ou encore l</w:t>
      </w:r>
      <w:r w:rsidR="00E2055A" w:rsidRPr="00A32AF4">
        <w:rPr>
          <w:rFonts w:ascii="Arial" w:hAnsi="Arial" w:cs="Arial"/>
        </w:rPr>
        <w:t>’</w:t>
      </w:r>
      <w:r w:rsidRPr="00A32AF4">
        <w:rPr>
          <w:rFonts w:ascii="Arial" w:hAnsi="Arial" w:cs="Arial"/>
        </w:rPr>
        <w:t>accès insuffisant aux informations, aux connaissances et aux technologies qui figurent dans les bases de données de propriété intellectuelle.  L</w:t>
      </w:r>
      <w:r w:rsidR="00E2055A" w:rsidRPr="00A32AF4">
        <w:rPr>
          <w:rFonts w:ascii="Arial" w:hAnsi="Arial" w:cs="Arial"/>
        </w:rPr>
        <w:t>’</w:t>
      </w:r>
      <w:r w:rsidRPr="00A32AF4">
        <w:rPr>
          <w:rFonts w:ascii="Arial" w:hAnsi="Arial" w:cs="Arial"/>
        </w:rPr>
        <w:t>absence de politiques institutionnelles efficaces en matière de propriété intellectuelle, de mesures d</w:t>
      </w:r>
      <w:r w:rsidR="00E2055A" w:rsidRPr="00A32AF4">
        <w:rPr>
          <w:rFonts w:ascii="Arial" w:hAnsi="Arial" w:cs="Arial"/>
        </w:rPr>
        <w:t>’</w:t>
      </w:r>
      <w:r w:rsidRPr="00A32AF4">
        <w:rPr>
          <w:rFonts w:ascii="Arial" w:hAnsi="Arial" w:cs="Arial"/>
        </w:rPr>
        <w:t>incitation et de financements pour les PME, ou encore d</w:t>
      </w:r>
      <w:r w:rsidR="00E2055A" w:rsidRPr="00A32AF4">
        <w:rPr>
          <w:rFonts w:ascii="Arial" w:hAnsi="Arial" w:cs="Arial"/>
        </w:rPr>
        <w:t>’</w:t>
      </w:r>
      <w:r w:rsidRPr="00A32AF4">
        <w:rPr>
          <w:rFonts w:ascii="Arial" w:hAnsi="Arial" w:cs="Arial"/>
        </w:rPr>
        <w:t>institutions d</w:t>
      </w:r>
      <w:r w:rsidR="00E2055A" w:rsidRPr="00A32AF4">
        <w:rPr>
          <w:rFonts w:ascii="Arial" w:hAnsi="Arial" w:cs="Arial"/>
        </w:rPr>
        <w:t>’</w:t>
      </w:r>
      <w:r w:rsidRPr="00A32AF4">
        <w:rPr>
          <w:rFonts w:ascii="Arial" w:hAnsi="Arial" w:cs="Arial"/>
        </w:rPr>
        <w:t>appui aux PME, dans plusieurs pays, posent des défis supplémentaires en ce qui concerne l</w:t>
      </w:r>
      <w:r w:rsidR="00E2055A" w:rsidRPr="00A32AF4">
        <w:rPr>
          <w:rFonts w:ascii="Arial" w:hAnsi="Arial" w:cs="Arial"/>
        </w:rPr>
        <w:t>’</w:t>
      </w:r>
      <w:r w:rsidRPr="00A32AF4">
        <w:rPr>
          <w:rFonts w:ascii="Arial" w:hAnsi="Arial" w:cs="Arial"/>
        </w:rPr>
        <w:t>utilisation du système de propriété intellectuelle par les PME, les universités et les établissements publics de recherche.</w:t>
      </w:r>
    </w:p>
    <w:p w:rsidR="002747B4" w:rsidRPr="00A32AF4" w:rsidRDefault="002747B4" w:rsidP="00DC0553">
      <w:pPr>
        <w:tabs>
          <w:tab w:val="left" w:pos="709"/>
        </w:tabs>
        <w:jc w:val="both"/>
        <w:rPr>
          <w:rFonts w:cs="Arial"/>
        </w:rPr>
      </w:pPr>
    </w:p>
    <w:p w:rsidR="002747B4" w:rsidRPr="00A32AF4" w:rsidRDefault="002747B4" w:rsidP="00DC0553">
      <w:pPr>
        <w:tabs>
          <w:tab w:val="left" w:pos="709"/>
        </w:tabs>
        <w:jc w:val="both"/>
        <w:rPr>
          <w:rFonts w:cs="Arial"/>
        </w:rPr>
      </w:pPr>
    </w:p>
    <w:p w:rsidR="002747B4" w:rsidRPr="00A32AF4" w:rsidRDefault="002747B4" w:rsidP="00DC0553">
      <w:r w:rsidRPr="00A32AF4">
        <w:t>STRATÉGIES DE MISE EN ŒUVRE</w:t>
      </w:r>
    </w:p>
    <w:p w:rsidR="002747B4" w:rsidRPr="00A32AF4" w:rsidRDefault="002747B4" w:rsidP="00DC0553">
      <w:pPr>
        <w:tabs>
          <w:tab w:val="left" w:pos="709"/>
        </w:tabs>
        <w:jc w:val="both"/>
        <w:rPr>
          <w:rFonts w:cs="Arial"/>
        </w:rPr>
      </w:pPr>
    </w:p>
    <w:p w:rsidR="002747B4" w:rsidRPr="00A32AF4" w:rsidRDefault="002747B4" w:rsidP="00DC0553">
      <w:pPr>
        <w:pStyle w:val="ListParagraph"/>
        <w:numPr>
          <w:ilvl w:val="0"/>
          <w:numId w:val="64"/>
        </w:numPr>
        <w:tabs>
          <w:tab w:val="left" w:pos="709"/>
        </w:tabs>
        <w:spacing w:after="0" w:line="240" w:lineRule="auto"/>
        <w:ind w:left="0" w:firstLine="0"/>
        <w:jc w:val="both"/>
        <w:rPr>
          <w:rFonts w:ascii="Arial" w:hAnsi="Arial" w:cs="Arial"/>
        </w:rPr>
      </w:pPr>
      <w:r w:rsidRPr="00A32AF4">
        <w:rPr>
          <w:rFonts w:ascii="Arial" w:hAnsi="Arial" w:cs="Arial"/>
        </w:rPr>
        <w:t>Le programme va continuer de contribuer à ce que les stratégies nationales en matière de propriété intellectuelle promeuvent la créativité et l</w:t>
      </w:r>
      <w:r w:rsidR="00E2055A" w:rsidRPr="00A32AF4">
        <w:rPr>
          <w:rFonts w:ascii="Arial" w:hAnsi="Arial" w:cs="Arial"/>
        </w:rPr>
        <w:t>’</w:t>
      </w:r>
      <w:r w:rsidRPr="00A32AF4">
        <w:rPr>
          <w:rFonts w:ascii="Arial" w:hAnsi="Arial" w:cs="Arial"/>
        </w:rPr>
        <w:t>innovation, sur la base d</w:t>
      </w:r>
      <w:r w:rsidR="00E2055A" w:rsidRPr="00A32AF4">
        <w:rPr>
          <w:rFonts w:ascii="Arial" w:hAnsi="Arial" w:cs="Arial"/>
        </w:rPr>
        <w:t>’</w:t>
      </w:r>
      <w:r w:rsidRPr="00A32AF4">
        <w:rPr>
          <w:rFonts w:ascii="Arial" w:hAnsi="Arial" w:cs="Arial"/>
        </w:rPr>
        <w:t>un examen approfondi des objectifs de développement et d</w:t>
      </w:r>
      <w:r w:rsidR="00E2055A" w:rsidRPr="00A32AF4">
        <w:rPr>
          <w:rFonts w:ascii="Arial" w:hAnsi="Arial" w:cs="Arial"/>
        </w:rPr>
        <w:t>’</w:t>
      </w:r>
      <w:r w:rsidRPr="00A32AF4">
        <w:rPr>
          <w:rFonts w:ascii="Arial" w:hAnsi="Arial" w:cs="Arial"/>
        </w:rPr>
        <w:t>une bonne compréhension des forces, des faiblesses, des opportunités et des défis de chaque pays.</w:t>
      </w:r>
    </w:p>
    <w:p w:rsidR="002747B4" w:rsidRPr="00A32AF4" w:rsidRDefault="002747B4" w:rsidP="00DC0553">
      <w:pPr>
        <w:tabs>
          <w:tab w:val="left" w:pos="709"/>
        </w:tabs>
        <w:jc w:val="both"/>
        <w:rPr>
          <w:rFonts w:cs="Arial"/>
        </w:rPr>
      </w:pPr>
    </w:p>
    <w:p w:rsidR="002747B4" w:rsidRPr="00A32AF4" w:rsidRDefault="002747B4" w:rsidP="00DC0553">
      <w:pPr>
        <w:pStyle w:val="ListParagraph"/>
        <w:numPr>
          <w:ilvl w:val="0"/>
          <w:numId w:val="64"/>
        </w:numPr>
        <w:tabs>
          <w:tab w:val="left" w:pos="709"/>
        </w:tabs>
        <w:spacing w:after="0" w:line="240" w:lineRule="auto"/>
        <w:ind w:left="0" w:firstLine="0"/>
        <w:jc w:val="both"/>
        <w:rPr>
          <w:rFonts w:ascii="Arial" w:hAnsi="Arial" w:cs="Arial"/>
        </w:rPr>
      </w:pPr>
      <w:r w:rsidRPr="00A32AF4">
        <w:rPr>
          <w:rFonts w:ascii="Arial" w:hAnsi="Arial" w:cs="Arial"/>
        </w:rPr>
        <w:t>Pour relever le défi de taille qui consiste à approfondir les connaissances des PME sur le système de propriété intellectuelle et à renforcer l</w:t>
      </w:r>
      <w:r w:rsidR="00E2055A" w:rsidRPr="00A32AF4">
        <w:rPr>
          <w:rFonts w:ascii="Arial" w:hAnsi="Arial" w:cs="Arial"/>
        </w:rPr>
        <w:t>’</w:t>
      </w:r>
      <w:r w:rsidRPr="00A32AF4">
        <w:rPr>
          <w:rFonts w:ascii="Arial" w:hAnsi="Arial" w:cs="Arial"/>
        </w:rPr>
        <w:t>utilisation de ce système par les PME de façon efficace et durable, le programme s</w:t>
      </w:r>
      <w:r w:rsidR="00E2055A" w:rsidRPr="00A32AF4">
        <w:rPr>
          <w:rFonts w:ascii="Arial" w:hAnsi="Arial" w:cs="Arial"/>
        </w:rPr>
        <w:t>’</w:t>
      </w:r>
      <w:r w:rsidRPr="00A32AF4">
        <w:rPr>
          <w:rFonts w:ascii="Arial" w:hAnsi="Arial" w:cs="Arial"/>
        </w:rPr>
        <w:t>appuiera sur une approche coordonnée fondée sur des projets réunissant sur une plate</w:t>
      </w:r>
      <w:r w:rsidR="00EB7F54" w:rsidRPr="00A32AF4">
        <w:rPr>
          <w:rFonts w:ascii="Arial" w:hAnsi="Arial" w:cs="Arial"/>
        </w:rPr>
        <w:noBreakHyphen/>
      </w:r>
      <w:r w:rsidRPr="00A32AF4">
        <w:rPr>
          <w:rFonts w:ascii="Arial" w:hAnsi="Arial" w:cs="Arial"/>
        </w:rPr>
        <w:t>forme commune les compétences, l</w:t>
      </w:r>
      <w:r w:rsidR="00E2055A" w:rsidRPr="00A32AF4">
        <w:rPr>
          <w:rFonts w:ascii="Arial" w:hAnsi="Arial" w:cs="Arial"/>
        </w:rPr>
        <w:t>’</w:t>
      </w:r>
      <w:r w:rsidRPr="00A32AF4">
        <w:rPr>
          <w:rFonts w:ascii="Arial" w:hAnsi="Arial" w:cs="Arial"/>
        </w:rPr>
        <w:t>expérience et les pratiques recommandées de parties prenantes internes et externes.  Des études nationales et régionales sur la propriété intellectuelle et les PME et des forums et des colloques nationaux, régionaux et internationaux permettront d</w:t>
      </w:r>
      <w:r w:rsidR="00E2055A" w:rsidRPr="00A32AF4">
        <w:rPr>
          <w:rFonts w:ascii="Arial" w:hAnsi="Arial" w:cs="Arial"/>
        </w:rPr>
        <w:t>’</w:t>
      </w:r>
      <w:r w:rsidRPr="00A32AF4">
        <w:rPr>
          <w:rFonts w:ascii="Arial" w:hAnsi="Arial" w:cs="Arial"/>
        </w:rPr>
        <w:t>obtenir des contributions et des recommandations appropriées.  Des projets pilotes faisant intervenir des ambassadeurs ou des champions de PME dans le domaine de la propriété intellectuelle ou des projets de partenariats avec des PME dans le domaine de la propriété intellectuelle pourraient être lancés dans certains pays.</w:t>
      </w:r>
    </w:p>
    <w:p w:rsidR="002747B4" w:rsidRPr="00A32AF4" w:rsidRDefault="002747B4" w:rsidP="00DC0553">
      <w:pPr>
        <w:tabs>
          <w:tab w:val="left" w:pos="709"/>
        </w:tabs>
        <w:jc w:val="both"/>
        <w:rPr>
          <w:rFonts w:cs="Arial"/>
        </w:rPr>
      </w:pPr>
    </w:p>
    <w:p w:rsidR="002747B4" w:rsidRPr="00A32AF4" w:rsidRDefault="002747B4" w:rsidP="00DC0553">
      <w:pPr>
        <w:pStyle w:val="ListParagraph"/>
        <w:numPr>
          <w:ilvl w:val="0"/>
          <w:numId w:val="64"/>
        </w:numPr>
        <w:tabs>
          <w:tab w:val="left" w:pos="709"/>
        </w:tabs>
        <w:spacing w:after="0" w:line="240" w:lineRule="auto"/>
        <w:ind w:left="0" w:firstLine="0"/>
        <w:jc w:val="both"/>
        <w:rPr>
          <w:rFonts w:ascii="Arial" w:hAnsi="Arial" w:cs="Arial"/>
        </w:rPr>
      </w:pPr>
      <w:r w:rsidRPr="00A32AF4">
        <w:rPr>
          <w:rFonts w:ascii="Arial" w:hAnsi="Arial" w:cs="Arial"/>
        </w:rPr>
        <w:t>Le programme sert de point de référence central au sein de l</w:t>
      </w:r>
      <w:r w:rsidR="00E2055A" w:rsidRPr="00A32AF4">
        <w:rPr>
          <w:rFonts w:ascii="Arial" w:hAnsi="Arial" w:cs="Arial"/>
        </w:rPr>
        <w:t>’</w:t>
      </w:r>
      <w:r w:rsidRPr="00A32AF4">
        <w:rPr>
          <w:rFonts w:ascii="Arial" w:hAnsi="Arial" w:cs="Arial"/>
        </w:rPr>
        <w:t>OMPI pour les questions de propriété intellectuelle relatives aux PME dans les pays en développement, les PMA et les pays en transition, et s</w:t>
      </w:r>
      <w:r w:rsidR="00E2055A" w:rsidRPr="00A32AF4">
        <w:rPr>
          <w:rFonts w:ascii="Arial" w:hAnsi="Arial" w:cs="Arial"/>
        </w:rPr>
        <w:t>’</w:t>
      </w:r>
      <w:r w:rsidRPr="00A32AF4">
        <w:rPr>
          <w:rFonts w:ascii="Arial" w:hAnsi="Arial" w:cs="Arial"/>
        </w:rPr>
        <w:t>inspire des contributions des États membres et des recommandations n</w:t>
      </w:r>
      <w:r w:rsidRPr="00A32AF4">
        <w:rPr>
          <w:rFonts w:ascii="Arial" w:hAnsi="Arial" w:cs="Arial"/>
          <w:vertAlign w:val="superscript"/>
        </w:rPr>
        <w:t>os</w:t>
      </w:r>
      <w:r w:rsidRPr="00A32AF4">
        <w:rPr>
          <w:rFonts w:ascii="Arial" w:hAnsi="Arial" w:cs="Arial"/>
        </w:rPr>
        <w:t xml:space="preserve"> 1, 4 et 11 du Plan d</w:t>
      </w:r>
      <w:r w:rsidR="00E2055A" w:rsidRPr="00A32AF4">
        <w:rPr>
          <w:rFonts w:ascii="Arial" w:hAnsi="Arial" w:cs="Arial"/>
        </w:rPr>
        <w:t>’</w:t>
      </w:r>
      <w:r w:rsidRPr="00A32AF4">
        <w:rPr>
          <w:rFonts w:ascii="Arial" w:hAnsi="Arial" w:cs="Arial"/>
        </w:rPr>
        <w:t>action pour le développement.  Le programme va continuer d</w:t>
      </w:r>
      <w:r w:rsidR="00E2055A" w:rsidRPr="00A32AF4">
        <w:rPr>
          <w:rFonts w:ascii="Arial" w:hAnsi="Arial" w:cs="Arial"/>
        </w:rPr>
        <w:t>’</w:t>
      </w:r>
      <w:r w:rsidRPr="00A32AF4">
        <w:rPr>
          <w:rFonts w:ascii="Arial" w:hAnsi="Arial" w:cs="Arial"/>
        </w:rPr>
        <w:t>assurer un solide ensemble de contenus et un soutien dans le domaine de la propriété intellectuelle en rapport avec les PME, les universités et la R</w:t>
      </w:r>
      <w:r w:rsidR="00EB7F54" w:rsidRPr="00A32AF4">
        <w:rPr>
          <w:rFonts w:ascii="Arial" w:hAnsi="Arial" w:cs="Arial"/>
        </w:rPr>
        <w:noBreakHyphen/>
      </w:r>
      <w:r w:rsidRPr="00A32AF4">
        <w:rPr>
          <w:rFonts w:ascii="Arial" w:hAnsi="Arial" w:cs="Arial"/>
        </w:rPr>
        <w:t>D afin d</w:t>
      </w:r>
      <w:r w:rsidR="00E2055A" w:rsidRPr="00A32AF4">
        <w:rPr>
          <w:rFonts w:ascii="Arial" w:hAnsi="Arial" w:cs="Arial"/>
        </w:rPr>
        <w:t>’</w:t>
      </w:r>
      <w:r w:rsidRPr="00A32AF4">
        <w:rPr>
          <w:rFonts w:ascii="Arial" w:hAnsi="Arial" w:cs="Arial"/>
        </w:rPr>
        <w:t>orienter les activités de formation et de renforcement des capacités menées dans le cadre du programme à proprement parler et des programmes 9 (Bureaux régionaux) et 10 (Coopération avec certains pays d</w:t>
      </w:r>
      <w:r w:rsidR="00E2055A" w:rsidRPr="00A32AF4">
        <w:rPr>
          <w:rFonts w:ascii="Arial" w:hAnsi="Arial" w:cs="Arial"/>
        </w:rPr>
        <w:t>’</w:t>
      </w:r>
      <w:r w:rsidRPr="00A32AF4">
        <w:rPr>
          <w:rFonts w:ascii="Arial" w:hAnsi="Arial" w:cs="Arial"/>
        </w:rPr>
        <w:t>Europe et d</w:t>
      </w:r>
      <w:r w:rsidR="00E2055A" w:rsidRPr="00A32AF4">
        <w:rPr>
          <w:rFonts w:ascii="Arial" w:hAnsi="Arial" w:cs="Arial"/>
        </w:rPr>
        <w:t>’</w:t>
      </w:r>
      <w:r w:rsidRPr="00A32AF4">
        <w:rPr>
          <w:rFonts w:ascii="Arial" w:hAnsi="Arial" w:cs="Arial"/>
        </w:rPr>
        <w:t>Asie), en étroite coordination avec l</w:t>
      </w:r>
      <w:r w:rsidR="00E2055A" w:rsidRPr="00A32AF4">
        <w:rPr>
          <w:rFonts w:ascii="Arial" w:hAnsi="Arial" w:cs="Arial"/>
        </w:rPr>
        <w:t>’</w:t>
      </w:r>
      <w:r w:rsidRPr="00A32AF4">
        <w:rPr>
          <w:rFonts w:ascii="Arial" w:hAnsi="Arial" w:cs="Arial"/>
        </w:rPr>
        <w:t>Académie de l</w:t>
      </w:r>
      <w:r w:rsidR="00E2055A" w:rsidRPr="00A32AF4">
        <w:rPr>
          <w:rFonts w:ascii="Arial" w:hAnsi="Arial" w:cs="Arial"/>
        </w:rPr>
        <w:t>’</w:t>
      </w:r>
      <w:r w:rsidRPr="00A32AF4">
        <w:rPr>
          <w:rFonts w:ascii="Arial" w:hAnsi="Arial" w:cs="Arial"/>
        </w:rPr>
        <w:t>OMPI (programme 11).  Ces activités comprendront l</w:t>
      </w:r>
      <w:r w:rsidR="00E2055A" w:rsidRPr="00A32AF4">
        <w:rPr>
          <w:rFonts w:ascii="Arial" w:hAnsi="Arial" w:cs="Arial"/>
        </w:rPr>
        <w:t>’</w:t>
      </w:r>
      <w:r w:rsidRPr="00A32AF4">
        <w:rPr>
          <w:rFonts w:ascii="Arial" w:hAnsi="Arial" w:cs="Arial"/>
        </w:rPr>
        <w:t>élaboration de supports conçus pour répondre aux besoins particuliers des PME permettant de localiser et de recenser les bonnes pratiques (entre autres à inclure dans la base de données IP Advantage) liées à l</w:t>
      </w:r>
      <w:r w:rsidR="00E2055A" w:rsidRPr="00A32AF4">
        <w:rPr>
          <w:rFonts w:ascii="Arial" w:hAnsi="Arial" w:cs="Arial"/>
        </w:rPr>
        <w:t>’</w:t>
      </w:r>
      <w:r w:rsidRPr="00A32AF4">
        <w:rPr>
          <w:rFonts w:ascii="Arial" w:hAnsi="Arial" w:cs="Arial"/>
        </w:rPr>
        <w:t>utilisation du système de la propriété intellectuelle, l</w:t>
      </w:r>
      <w:r w:rsidR="00E2055A" w:rsidRPr="00A32AF4">
        <w:rPr>
          <w:rFonts w:ascii="Arial" w:hAnsi="Arial" w:cs="Arial"/>
        </w:rPr>
        <w:t>’</w:t>
      </w:r>
      <w:r w:rsidRPr="00A32AF4">
        <w:rPr>
          <w:rFonts w:ascii="Arial" w:hAnsi="Arial" w:cs="Arial"/>
        </w:rPr>
        <w:t>objectif étant de faire état de son incidence positive sur l</w:t>
      </w:r>
      <w:r w:rsidR="00E2055A" w:rsidRPr="00A32AF4">
        <w:rPr>
          <w:rFonts w:ascii="Arial" w:hAnsi="Arial" w:cs="Arial"/>
        </w:rPr>
        <w:t>’</w:t>
      </w:r>
      <w:r w:rsidRPr="00A32AF4">
        <w:rPr>
          <w:rFonts w:ascii="Arial" w:hAnsi="Arial" w:cs="Arial"/>
        </w:rPr>
        <w:t>économie, l</w:t>
      </w:r>
      <w:r w:rsidR="00E2055A" w:rsidRPr="00A32AF4">
        <w:rPr>
          <w:rFonts w:ascii="Arial" w:hAnsi="Arial" w:cs="Arial"/>
        </w:rPr>
        <w:t>’</w:t>
      </w:r>
      <w:r w:rsidRPr="00A32AF4">
        <w:rPr>
          <w:rFonts w:ascii="Arial" w:hAnsi="Arial" w:cs="Arial"/>
        </w:rPr>
        <w:t>emploi et la compétitivité.  Des possibilités de collaboration avec d</w:t>
      </w:r>
      <w:r w:rsidR="00E2055A" w:rsidRPr="00A32AF4">
        <w:rPr>
          <w:rFonts w:ascii="Arial" w:hAnsi="Arial" w:cs="Arial"/>
        </w:rPr>
        <w:t>’</w:t>
      </w:r>
      <w:r w:rsidRPr="00A32AF4">
        <w:rPr>
          <w:rFonts w:ascii="Arial" w:hAnsi="Arial" w:cs="Arial"/>
        </w:rPr>
        <w:t>autres organisations internationales et régionales ainsi qu</w:t>
      </w:r>
      <w:r w:rsidR="00E2055A" w:rsidRPr="00A32AF4">
        <w:rPr>
          <w:rFonts w:ascii="Arial" w:hAnsi="Arial" w:cs="Arial"/>
        </w:rPr>
        <w:t>’</w:t>
      </w:r>
      <w:r w:rsidRPr="00A32AF4">
        <w:rPr>
          <w:rFonts w:ascii="Arial" w:hAnsi="Arial" w:cs="Arial"/>
        </w:rPr>
        <w:t>avec des associations professionnelles dotées de programmes spécifiques d</w:t>
      </w:r>
      <w:r w:rsidR="00E2055A" w:rsidRPr="00A32AF4">
        <w:rPr>
          <w:rFonts w:ascii="Arial" w:hAnsi="Arial" w:cs="Arial"/>
        </w:rPr>
        <w:t>’</w:t>
      </w:r>
      <w:r w:rsidRPr="00A32AF4">
        <w:rPr>
          <w:rFonts w:ascii="Arial" w:hAnsi="Arial" w:cs="Arial"/>
        </w:rPr>
        <w:t>appui aux PME et à la création d</w:t>
      </w:r>
      <w:r w:rsidR="00E2055A" w:rsidRPr="00A32AF4">
        <w:rPr>
          <w:rFonts w:ascii="Arial" w:hAnsi="Arial" w:cs="Arial"/>
        </w:rPr>
        <w:t>’</w:t>
      </w:r>
      <w:r w:rsidRPr="00A32AF4">
        <w:rPr>
          <w:rFonts w:ascii="Arial" w:hAnsi="Arial" w:cs="Arial"/>
        </w:rPr>
        <w:t>entreprises seront également examinées, afin de renforcer la conception de contenus appropriés et leur fourniture pour parvenir à des résultats de haute qualité.  Les activités de formation et de renforcement des capacités se fonderont sur les supports conçus par ce programme.</w:t>
      </w:r>
    </w:p>
    <w:p w:rsidR="002747B4" w:rsidRPr="00A32AF4" w:rsidRDefault="002747B4" w:rsidP="00DC0553">
      <w:pPr>
        <w:tabs>
          <w:tab w:val="left" w:pos="709"/>
        </w:tabs>
        <w:jc w:val="both"/>
        <w:rPr>
          <w:rFonts w:cs="Arial"/>
        </w:rPr>
      </w:pPr>
    </w:p>
    <w:p w:rsidR="002747B4" w:rsidRPr="00A32AF4" w:rsidRDefault="002747B4" w:rsidP="00DC0553">
      <w:pPr>
        <w:pStyle w:val="ListParagraph"/>
        <w:numPr>
          <w:ilvl w:val="0"/>
          <w:numId w:val="64"/>
        </w:numPr>
        <w:tabs>
          <w:tab w:val="left" w:pos="709"/>
        </w:tabs>
        <w:spacing w:after="0" w:line="240" w:lineRule="auto"/>
        <w:ind w:left="0" w:firstLine="0"/>
        <w:jc w:val="both"/>
        <w:rPr>
          <w:rFonts w:ascii="Arial" w:hAnsi="Arial" w:cs="Arial"/>
        </w:rPr>
      </w:pPr>
      <w:proofErr w:type="gramStart"/>
      <w:r w:rsidRPr="00A32AF4">
        <w:rPr>
          <w:rFonts w:ascii="Arial" w:hAnsi="Arial" w:cs="Arial"/>
        </w:rPr>
        <w:t>Afin de maximiser la portée de ces activités en faveur des PME, des universités et des établissements publics de recherche, le programme continuera d</w:t>
      </w:r>
      <w:r w:rsidR="00E2055A" w:rsidRPr="00A32AF4">
        <w:rPr>
          <w:rFonts w:ascii="Arial" w:hAnsi="Arial" w:cs="Arial"/>
        </w:rPr>
        <w:t>’</w:t>
      </w:r>
      <w:r w:rsidRPr="00A32AF4">
        <w:rPr>
          <w:rFonts w:ascii="Arial" w:hAnsi="Arial" w:cs="Arial"/>
        </w:rPr>
        <w:t>actualiser les sites Web de l</w:t>
      </w:r>
      <w:r w:rsidR="00E2055A" w:rsidRPr="00A32AF4">
        <w:rPr>
          <w:rFonts w:ascii="Arial" w:hAnsi="Arial" w:cs="Arial"/>
        </w:rPr>
        <w:t>’</w:t>
      </w:r>
      <w:r w:rsidRPr="00A32AF4">
        <w:rPr>
          <w:rFonts w:ascii="Arial" w:hAnsi="Arial" w:cs="Arial"/>
        </w:rPr>
        <w:t>OMPI consacrés aux PME et à l</w:t>
      </w:r>
      <w:r w:rsidR="00E2055A" w:rsidRPr="00A32AF4">
        <w:rPr>
          <w:rFonts w:ascii="Arial" w:hAnsi="Arial" w:cs="Arial"/>
        </w:rPr>
        <w:t>’</w:t>
      </w:r>
      <w:r w:rsidRPr="00A32AF4">
        <w:rPr>
          <w:rFonts w:ascii="Arial" w:hAnsi="Arial" w:cs="Arial"/>
        </w:rPr>
        <w:t>initiative de l</w:t>
      </w:r>
      <w:r w:rsidR="00E2055A" w:rsidRPr="00A32AF4">
        <w:rPr>
          <w:rFonts w:ascii="Arial" w:hAnsi="Arial" w:cs="Arial"/>
        </w:rPr>
        <w:t>’</w:t>
      </w:r>
      <w:r w:rsidRPr="00A32AF4">
        <w:rPr>
          <w:rFonts w:ascii="Arial" w:hAnsi="Arial" w:cs="Arial"/>
        </w:rPr>
        <w:t>OMPI en faveur des universités pour en faire des plates</w:t>
      </w:r>
      <w:r w:rsidR="00EB7F54" w:rsidRPr="00A32AF4">
        <w:rPr>
          <w:rFonts w:ascii="Arial" w:hAnsi="Arial" w:cs="Arial"/>
        </w:rPr>
        <w:noBreakHyphen/>
      </w:r>
      <w:r w:rsidRPr="00A32AF4">
        <w:rPr>
          <w:rFonts w:ascii="Arial" w:hAnsi="Arial" w:cs="Arial"/>
        </w:rPr>
        <w:t>formes supplémentaires de partage d</w:t>
      </w:r>
      <w:r w:rsidR="00E2055A" w:rsidRPr="00A32AF4">
        <w:rPr>
          <w:rFonts w:ascii="Arial" w:hAnsi="Arial" w:cs="Arial"/>
        </w:rPr>
        <w:t>’</w:t>
      </w:r>
      <w:r w:rsidRPr="00A32AF4">
        <w:rPr>
          <w:rFonts w:ascii="Arial" w:hAnsi="Arial" w:cs="Arial"/>
        </w:rPr>
        <w:t>informations sur la gestion de la propriété intellectuelle, en partenariat avec des institutions nationales d</w:t>
      </w:r>
      <w:r w:rsidR="00E2055A" w:rsidRPr="00A32AF4">
        <w:rPr>
          <w:rFonts w:ascii="Arial" w:hAnsi="Arial" w:cs="Arial"/>
        </w:rPr>
        <w:t>’</w:t>
      </w:r>
      <w:r w:rsidRPr="00A32AF4">
        <w:rPr>
          <w:rFonts w:ascii="Arial" w:hAnsi="Arial" w:cs="Arial"/>
        </w:rPr>
        <w:t>appui aux PME, des universités, des établissements publics de recherche et des institutions d</w:t>
      </w:r>
      <w:r w:rsidR="00E2055A" w:rsidRPr="00A32AF4">
        <w:rPr>
          <w:rFonts w:ascii="Arial" w:hAnsi="Arial" w:cs="Arial"/>
        </w:rPr>
        <w:t>’</w:t>
      </w:r>
      <w:r w:rsidRPr="00A32AF4">
        <w:rPr>
          <w:rFonts w:ascii="Arial" w:hAnsi="Arial" w:cs="Arial"/>
        </w:rPr>
        <w:t>appui à la création d</w:t>
      </w:r>
      <w:r w:rsidR="00E2055A" w:rsidRPr="00A32AF4">
        <w:rPr>
          <w:rFonts w:ascii="Arial" w:hAnsi="Arial" w:cs="Arial"/>
        </w:rPr>
        <w:t>’</w:t>
      </w:r>
      <w:r w:rsidRPr="00A32AF4">
        <w:rPr>
          <w:rFonts w:ascii="Arial" w:hAnsi="Arial" w:cs="Arial"/>
        </w:rPr>
        <w:t>entreprises.</w:t>
      </w:r>
      <w:proofErr w:type="gramEnd"/>
      <w:r w:rsidRPr="00A32AF4">
        <w:rPr>
          <w:rFonts w:ascii="Arial" w:hAnsi="Arial" w:cs="Arial"/>
        </w:rPr>
        <w:t xml:space="preserve">  Le Bulletin des PME continuera d</w:t>
      </w:r>
      <w:r w:rsidR="00E2055A" w:rsidRPr="00A32AF4">
        <w:rPr>
          <w:rFonts w:ascii="Arial" w:hAnsi="Arial" w:cs="Arial"/>
        </w:rPr>
        <w:t>’</w:t>
      </w:r>
      <w:r w:rsidRPr="00A32AF4">
        <w:rPr>
          <w:rFonts w:ascii="Arial" w:hAnsi="Arial" w:cs="Arial"/>
        </w:rPr>
        <w:t>être publié régulièrement dans les langues officielles de l</w:t>
      </w:r>
      <w:r w:rsidR="00E2055A" w:rsidRPr="00A32AF4">
        <w:rPr>
          <w:rFonts w:ascii="Arial" w:hAnsi="Arial" w:cs="Arial"/>
        </w:rPr>
        <w:t>’</w:t>
      </w:r>
      <w:r w:rsidRPr="00A32AF4">
        <w:rPr>
          <w:rFonts w:ascii="Arial" w:hAnsi="Arial" w:cs="Arial"/>
        </w:rPr>
        <w:t>ONU.</w:t>
      </w:r>
    </w:p>
    <w:p w:rsidR="002747B4" w:rsidRPr="00A32AF4" w:rsidRDefault="002747B4" w:rsidP="00DC0553">
      <w:pPr>
        <w:tabs>
          <w:tab w:val="left" w:pos="709"/>
        </w:tabs>
        <w:jc w:val="both"/>
        <w:rPr>
          <w:rFonts w:cs="Arial"/>
        </w:rPr>
      </w:pPr>
    </w:p>
    <w:p w:rsidR="002747B4" w:rsidRPr="00A32AF4" w:rsidRDefault="002747B4" w:rsidP="00DC0553">
      <w:pPr>
        <w:pStyle w:val="ListParagraph"/>
        <w:numPr>
          <w:ilvl w:val="0"/>
          <w:numId w:val="64"/>
        </w:numPr>
        <w:tabs>
          <w:tab w:val="left" w:pos="709"/>
        </w:tabs>
        <w:spacing w:after="0" w:line="240" w:lineRule="auto"/>
        <w:ind w:left="0" w:firstLine="0"/>
        <w:jc w:val="both"/>
        <w:rPr>
          <w:rFonts w:ascii="Arial" w:hAnsi="Arial" w:cs="Arial"/>
        </w:rPr>
      </w:pPr>
      <w:proofErr w:type="gramStart"/>
      <w:r w:rsidRPr="00A32AF4">
        <w:rPr>
          <w:rFonts w:ascii="Arial" w:hAnsi="Arial" w:cs="Arial"/>
        </w:rPr>
        <w:t>Un appui sera fourni dans le domaine de la création d</w:t>
      </w:r>
      <w:r w:rsidR="00E2055A" w:rsidRPr="00A32AF4">
        <w:rPr>
          <w:rFonts w:ascii="Arial" w:hAnsi="Arial" w:cs="Arial"/>
        </w:rPr>
        <w:t>’</w:t>
      </w:r>
      <w:r w:rsidRPr="00A32AF4">
        <w:rPr>
          <w:rFonts w:ascii="Arial" w:hAnsi="Arial" w:cs="Arial"/>
        </w:rPr>
        <w:t>entreprises aux établissements universitaires des États membres de l</w:t>
      </w:r>
      <w:r w:rsidR="00E2055A" w:rsidRPr="00A32AF4">
        <w:rPr>
          <w:rFonts w:ascii="Arial" w:hAnsi="Arial" w:cs="Arial"/>
        </w:rPr>
        <w:t>’</w:t>
      </w:r>
      <w:r w:rsidRPr="00A32AF4">
        <w:rPr>
          <w:rFonts w:ascii="Arial" w:hAnsi="Arial" w:cs="Arial"/>
        </w:rPr>
        <w:t>OMPI pour assurer la mise en place d</w:t>
      </w:r>
      <w:r w:rsidR="00E2055A" w:rsidRPr="00A32AF4">
        <w:rPr>
          <w:rFonts w:ascii="Arial" w:hAnsi="Arial" w:cs="Arial"/>
        </w:rPr>
        <w:t>’</w:t>
      </w:r>
      <w:r w:rsidRPr="00A32AF4">
        <w:rPr>
          <w:rFonts w:ascii="Arial" w:hAnsi="Arial" w:cs="Arial"/>
        </w:rPr>
        <w:t>une infrastructure juridique et organisationnelle appropriée, et les ressources humaines nécessaires seront fournies pour promouvoir la gestion stratégique des droits de propriété intellectuelle liés aux connaissances et aux résultats de la recherche, des premières étapes jusqu</w:t>
      </w:r>
      <w:r w:rsidR="00E2055A" w:rsidRPr="00A32AF4">
        <w:rPr>
          <w:rFonts w:ascii="Arial" w:hAnsi="Arial" w:cs="Arial"/>
        </w:rPr>
        <w:t>’</w:t>
      </w:r>
      <w:r w:rsidRPr="00A32AF4">
        <w:rPr>
          <w:rFonts w:ascii="Arial" w:hAnsi="Arial" w:cs="Arial"/>
        </w:rPr>
        <w:t>aux marchés de la technologie, tout cela dans le cadre de projets sur mesure de commercialisation de la propriété intellectuelle et de programmes régionaux et nationaux adaptés.</w:t>
      </w:r>
      <w:proofErr w:type="gramEnd"/>
      <w:r w:rsidRPr="00A32AF4">
        <w:rPr>
          <w:rFonts w:ascii="Arial" w:hAnsi="Arial" w:cs="Arial"/>
        </w:rPr>
        <w:t xml:space="preserve">  </w:t>
      </w:r>
      <w:proofErr w:type="gramStart"/>
      <w:r w:rsidRPr="00A32AF4">
        <w:rPr>
          <w:rFonts w:ascii="Arial" w:hAnsi="Arial" w:cs="Arial"/>
        </w:rPr>
        <w:t>Comme dans l</w:t>
      </w:r>
      <w:r w:rsidR="00E2055A" w:rsidRPr="00A32AF4">
        <w:rPr>
          <w:rFonts w:ascii="Arial" w:hAnsi="Arial" w:cs="Arial"/>
        </w:rPr>
        <w:t>’</w:t>
      </w:r>
      <w:r w:rsidRPr="00A32AF4">
        <w:rPr>
          <w:rFonts w:ascii="Arial" w:hAnsi="Arial" w:cs="Arial"/>
        </w:rPr>
        <w:t>exercice biennal précédent, une assistance sera fournie aux universités et aux instituts de R</w:t>
      </w:r>
      <w:r w:rsidR="00EB7F54" w:rsidRPr="00A32AF4">
        <w:rPr>
          <w:rFonts w:ascii="Arial" w:hAnsi="Arial" w:cs="Arial"/>
        </w:rPr>
        <w:noBreakHyphen/>
      </w:r>
      <w:r w:rsidRPr="00A32AF4">
        <w:rPr>
          <w:rFonts w:ascii="Arial" w:hAnsi="Arial" w:cs="Arial"/>
        </w:rPr>
        <w:t>D des États membres de l</w:t>
      </w:r>
      <w:r w:rsidR="00E2055A" w:rsidRPr="00A32AF4">
        <w:rPr>
          <w:rFonts w:ascii="Arial" w:hAnsi="Arial" w:cs="Arial"/>
        </w:rPr>
        <w:t>’</w:t>
      </w:r>
      <w:r w:rsidRPr="00A32AF4">
        <w:rPr>
          <w:rFonts w:ascii="Arial" w:hAnsi="Arial" w:cs="Arial"/>
        </w:rPr>
        <w:t>OMPI afin de les aider à élaborer leurs propres politiques institutionnelles en matière de propriété intellectuelle et à renforcer leurs capacités et leurs ressources humaines, pour qu</w:t>
      </w:r>
      <w:r w:rsidR="00E2055A" w:rsidRPr="00A32AF4">
        <w:rPr>
          <w:rFonts w:ascii="Arial" w:hAnsi="Arial" w:cs="Arial"/>
        </w:rPr>
        <w:t>’</w:t>
      </w:r>
      <w:r w:rsidRPr="00A32AF4">
        <w:rPr>
          <w:rFonts w:ascii="Arial" w:hAnsi="Arial" w:cs="Arial"/>
        </w:rPr>
        <w:t>ils puissent protéger et commercialiser leurs connaissances et leurs résultats de la recherche par les divers moyens que sont la protection de la propriété intellectuelle, l</w:t>
      </w:r>
      <w:r w:rsidR="00E2055A" w:rsidRPr="00A32AF4">
        <w:rPr>
          <w:rFonts w:ascii="Arial" w:hAnsi="Arial" w:cs="Arial"/>
        </w:rPr>
        <w:t>’</w:t>
      </w:r>
      <w:r w:rsidRPr="00A32AF4">
        <w:rPr>
          <w:rFonts w:ascii="Arial" w:hAnsi="Arial" w:cs="Arial"/>
        </w:rPr>
        <w:t>évaluation de la propriété intellectuelle, le marketing de la propriété intellectuelle, la concession de licences, la création de nouvelles entreprises, etc.</w:t>
      </w:r>
      <w:proofErr w:type="gramEnd"/>
    </w:p>
    <w:p w:rsidR="003D1EC8" w:rsidRPr="00A32AF4" w:rsidRDefault="003D1EC8" w:rsidP="0038345F">
      <w:pPr>
        <w:pStyle w:val="ListParagraph"/>
        <w:spacing w:after="0" w:line="240" w:lineRule="auto"/>
        <w:ind w:left="0"/>
        <w:jc w:val="both"/>
        <w:rPr>
          <w:rFonts w:ascii="Arial" w:hAnsi="Arial" w:cs="Arial"/>
        </w:rPr>
      </w:pPr>
    </w:p>
    <w:p w:rsidR="009D2BE0" w:rsidRPr="00A32AF4" w:rsidRDefault="004F327D" w:rsidP="0038345F">
      <w:pPr>
        <w:pStyle w:val="ListParagraph"/>
        <w:numPr>
          <w:ilvl w:val="0"/>
          <w:numId w:val="64"/>
        </w:numPr>
        <w:tabs>
          <w:tab w:val="left" w:pos="709"/>
        </w:tabs>
        <w:spacing w:after="0" w:line="240" w:lineRule="auto"/>
        <w:ind w:left="0" w:firstLine="0"/>
        <w:jc w:val="both"/>
        <w:rPr>
          <w:rFonts w:ascii="Arial" w:hAnsi="Arial" w:cs="Arial"/>
        </w:rPr>
      </w:pPr>
      <w:r w:rsidRPr="00A32AF4">
        <w:rPr>
          <w:rFonts w:ascii="Arial" w:hAnsi="Arial" w:cs="Arial"/>
        </w:rPr>
        <w:t>Conformément à la recommandation n°</w:t>
      </w:r>
      <w:r w:rsidR="00E81C6E" w:rsidRPr="00A32AF4">
        <w:rPr>
          <w:rFonts w:ascii="Arial" w:hAnsi="Arial" w:cs="Arial"/>
        </w:rPr>
        <w:t> </w:t>
      </w:r>
      <w:r w:rsidRPr="00A32AF4">
        <w:rPr>
          <w:rFonts w:ascii="Arial" w:hAnsi="Arial" w:cs="Arial"/>
        </w:rPr>
        <w:t>26 du Plan d</w:t>
      </w:r>
      <w:r w:rsidR="00E2055A" w:rsidRPr="00A32AF4">
        <w:rPr>
          <w:rFonts w:ascii="Arial" w:hAnsi="Arial" w:cs="Arial"/>
        </w:rPr>
        <w:t>’</w:t>
      </w:r>
      <w:r w:rsidRPr="00A32AF4">
        <w:rPr>
          <w:rFonts w:ascii="Arial" w:hAnsi="Arial" w:cs="Arial"/>
        </w:rPr>
        <w:t>action pour le développement, l</w:t>
      </w:r>
      <w:r w:rsidR="00E2055A" w:rsidRPr="00A32AF4">
        <w:rPr>
          <w:rFonts w:ascii="Arial" w:hAnsi="Arial" w:cs="Arial"/>
        </w:rPr>
        <w:t>’</w:t>
      </w:r>
      <w:r w:rsidRPr="00A32AF4">
        <w:rPr>
          <w:rFonts w:ascii="Arial" w:hAnsi="Arial" w:cs="Arial"/>
        </w:rPr>
        <w:t>OMPI renforcera, dans le cadre de ce programme ainsi que des programmes</w:t>
      </w:r>
      <w:r w:rsidR="00E81C6E" w:rsidRPr="00A32AF4">
        <w:rPr>
          <w:rFonts w:ascii="Arial" w:hAnsi="Arial" w:cs="Arial"/>
        </w:rPr>
        <w:t> </w:t>
      </w:r>
      <w:r w:rsidRPr="00A32AF4">
        <w:rPr>
          <w:rFonts w:ascii="Arial" w:hAnsi="Arial" w:cs="Arial"/>
        </w:rPr>
        <w:t>9 et</w:t>
      </w:r>
      <w:r w:rsidR="00E81C6E" w:rsidRPr="00A32AF4">
        <w:rPr>
          <w:rFonts w:ascii="Arial" w:hAnsi="Arial" w:cs="Arial"/>
        </w:rPr>
        <w:t> </w:t>
      </w:r>
      <w:r w:rsidRPr="00A32AF4">
        <w:rPr>
          <w:rFonts w:ascii="Arial" w:hAnsi="Arial" w:cs="Arial"/>
        </w:rPr>
        <w:t xml:space="preserve">10, </w:t>
      </w:r>
      <w:r w:rsidR="00EB4381" w:rsidRPr="00A32AF4">
        <w:rPr>
          <w:rFonts w:ascii="Arial" w:hAnsi="Arial" w:cs="Arial"/>
        </w:rPr>
        <w:t>l</w:t>
      </w:r>
      <w:r w:rsidR="00B305E4" w:rsidRPr="00A32AF4">
        <w:rPr>
          <w:rFonts w:ascii="Arial" w:hAnsi="Arial" w:cs="Arial"/>
        </w:rPr>
        <w:t>a portée</w:t>
      </w:r>
      <w:r w:rsidR="00EB4381" w:rsidRPr="00A32AF4">
        <w:rPr>
          <w:rFonts w:ascii="Arial" w:hAnsi="Arial" w:cs="Arial"/>
        </w:rPr>
        <w:t xml:space="preserve"> de ses activités en </w:t>
      </w:r>
      <w:r w:rsidR="00B305E4" w:rsidRPr="00A32AF4">
        <w:rPr>
          <w:rFonts w:ascii="Arial" w:hAnsi="Arial" w:cs="Arial"/>
        </w:rPr>
        <w:t>vue de fournir une assistance pour</w:t>
      </w:r>
      <w:r w:rsidR="00EB4381" w:rsidRPr="00A32AF4">
        <w:rPr>
          <w:rFonts w:ascii="Arial" w:hAnsi="Arial" w:cs="Arial"/>
        </w:rPr>
        <w:t xml:space="preserve"> la création de bureaux de transfert de technologie et </w:t>
      </w:r>
      <w:r w:rsidR="00B305E4" w:rsidRPr="00A32AF4">
        <w:rPr>
          <w:rFonts w:ascii="Arial" w:hAnsi="Arial" w:cs="Arial"/>
        </w:rPr>
        <w:t xml:space="preserve">en vue </w:t>
      </w:r>
      <w:r w:rsidR="009D2BE0" w:rsidRPr="00A32AF4">
        <w:rPr>
          <w:rFonts w:ascii="Arial" w:hAnsi="Arial" w:cs="Arial"/>
        </w:rPr>
        <w:t>de l</w:t>
      </w:r>
      <w:r w:rsidR="00E2055A" w:rsidRPr="00A32AF4">
        <w:rPr>
          <w:rFonts w:ascii="Arial" w:hAnsi="Arial" w:cs="Arial"/>
        </w:rPr>
        <w:t>’</w:t>
      </w:r>
      <w:r w:rsidR="009D2BE0" w:rsidRPr="00A32AF4">
        <w:rPr>
          <w:rFonts w:ascii="Arial" w:hAnsi="Arial" w:cs="Arial"/>
        </w:rPr>
        <w:t>amélioration de l</w:t>
      </w:r>
      <w:r w:rsidR="00E2055A" w:rsidRPr="00A32AF4">
        <w:rPr>
          <w:rFonts w:ascii="Arial" w:hAnsi="Arial" w:cs="Arial"/>
        </w:rPr>
        <w:t>’</w:t>
      </w:r>
      <w:r w:rsidR="009D2BE0" w:rsidRPr="00A32AF4">
        <w:rPr>
          <w:rFonts w:ascii="Arial" w:hAnsi="Arial" w:cs="Arial"/>
        </w:rPr>
        <w:t>accessibilité et de l</w:t>
      </w:r>
      <w:r w:rsidR="00E2055A" w:rsidRPr="00A32AF4">
        <w:rPr>
          <w:rFonts w:ascii="Arial" w:hAnsi="Arial" w:cs="Arial"/>
        </w:rPr>
        <w:t>’</w:t>
      </w:r>
      <w:r w:rsidR="009D2BE0" w:rsidRPr="00A32AF4">
        <w:rPr>
          <w:rFonts w:ascii="Arial" w:hAnsi="Arial" w:cs="Arial"/>
        </w:rPr>
        <w:t>utilisation de l</w:t>
      </w:r>
      <w:r w:rsidR="00E2055A" w:rsidRPr="00A32AF4">
        <w:rPr>
          <w:rFonts w:ascii="Arial" w:hAnsi="Arial" w:cs="Arial"/>
        </w:rPr>
        <w:t>’</w:t>
      </w:r>
      <w:r w:rsidR="009D2BE0" w:rsidRPr="00A32AF4">
        <w:rPr>
          <w:rFonts w:ascii="Arial" w:hAnsi="Arial" w:cs="Arial"/>
        </w:rPr>
        <w:t>information en matière de propriété intellectuelle par les institutions compétentes et le public afin de promouvoir l</w:t>
      </w:r>
      <w:r w:rsidR="00E2055A" w:rsidRPr="00A32AF4">
        <w:rPr>
          <w:rFonts w:ascii="Arial" w:hAnsi="Arial" w:cs="Arial"/>
        </w:rPr>
        <w:t>’</w:t>
      </w:r>
      <w:r w:rsidR="009D2BE0" w:rsidRPr="00A32AF4">
        <w:rPr>
          <w:rFonts w:ascii="Arial" w:hAnsi="Arial" w:cs="Arial"/>
        </w:rPr>
        <w:t>innovation et la créativité</w:t>
      </w:r>
      <w:r w:rsidR="00E87D0B" w:rsidRPr="00A32AF4">
        <w:rPr>
          <w:rFonts w:ascii="Arial" w:hAnsi="Arial" w:cs="Arial"/>
        </w:rPr>
        <w:t>.</w:t>
      </w:r>
    </w:p>
    <w:p w:rsidR="002747B4" w:rsidRPr="00A32AF4" w:rsidRDefault="002747B4" w:rsidP="00DC0553">
      <w:pPr>
        <w:tabs>
          <w:tab w:val="left" w:pos="709"/>
        </w:tabs>
        <w:jc w:val="both"/>
        <w:rPr>
          <w:rFonts w:cs="Arial"/>
        </w:rPr>
      </w:pPr>
    </w:p>
    <w:p w:rsidR="002747B4" w:rsidRPr="00A32AF4" w:rsidRDefault="002747B4" w:rsidP="00DC0553">
      <w:pPr>
        <w:pStyle w:val="ListParagraph"/>
        <w:numPr>
          <w:ilvl w:val="0"/>
          <w:numId w:val="64"/>
        </w:numPr>
        <w:tabs>
          <w:tab w:val="left" w:pos="709"/>
        </w:tabs>
        <w:spacing w:after="0" w:line="240" w:lineRule="auto"/>
        <w:ind w:left="0" w:firstLine="0"/>
        <w:jc w:val="both"/>
        <w:rPr>
          <w:rFonts w:ascii="Arial" w:hAnsi="Arial" w:cs="Arial"/>
        </w:rPr>
      </w:pPr>
      <w:r w:rsidRPr="00A32AF4">
        <w:rPr>
          <w:rFonts w:ascii="Arial" w:hAnsi="Arial" w:cs="Arial"/>
        </w:rPr>
        <w:t>Des compétences et des instruments diversifiés continueront d</w:t>
      </w:r>
      <w:r w:rsidR="00E2055A" w:rsidRPr="00A32AF4">
        <w:rPr>
          <w:rFonts w:ascii="Arial" w:hAnsi="Arial" w:cs="Arial"/>
        </w:rPr>
        <w:t>’</w:t>
      </w:r>
      <w:r w:rsidRPr="00A32AF4">
        <w:rPr>
          <w:rFonts w:ascii="Arial" w:hAnsi="Arial" w:cs="Arial"/>
        </w:rPr>
        <w:t>être élaborés pour le secteur de la recherche (universités et établissements publics de recherche).  Le secteur de la recherche bénéficiera d</w:t>
      </w:r>
      <w:r w:rsidR="00E2055A" w:rsidRPr="00A32AF4">
        <w:rPr>
          <w:rFonts w:ascii="Arial" w:hAnsi="Arial" w:cs="Arial"/>
        </w:rPr>
        <w:t>’</w:t>
      </w:r>
      <w:r w:rsidRPr="00A32AF4">
        <w:rPr>
          <w:rFonts w:ascii="Arial" w:hAnsi="Arial" w:cs="Arial"/>
        </w:rPr>
        <w:t>une aide pour la mise en œuvre de modèles adaptés de structures de développement, de protection et de commercialisation stratégique de la propriété intellectuelle et pour la mise en valeur de ressources humaines qualifiées en vue d</w:t>
      </w:r>
      <w:r w:rsidR="00E2055A" w:rsidRPr="00A32AF4">
        <w:rPr>
          <w:rFonts w:ascii="Arial" w:hAnsi="Arial" w:cs="Arial"/>
        </w:rPr>
        <w:t>’</w:t>
      </w:r>
      <w:r w:rsidRPr="00A32AF4">
        <w:rPr>
          <w:rFonts w:ascii="Arial" w:hAnsi="Arial" w:cs="Arial"/>
        </w:rPr>
        <w:t>une commercialisation stratégique de la propriété intellectuelle aux fins de la croissance économique.</w:t>
      </w:r>
    </w:p>
    <w:p w:rsidR="002747B4" w:rsidRPr="00A32AF4" w:rsidRDefault="002747B4" w:rsidP="00DC0553">
      <w:pPr>
        <w:tabs>
          <w:tab w:val="left" w:pos="709"/>
        </w:tabs>
        <w:jc w:val="both"/>
        <w:rPr>
          <w:rFonts w:cs="Arial"/>
        </w:rPr>
      </w:pPr>
    </w:p>
    <w:p w:rsidR="002747B4" w:rsidRPr="00A32AF4" w:rsidRDefault="002747B4" w:rsidP="00DC0553">
      <w:pPr>
        <w:pStyle w:val="ListParagraph"/>
        <w:numPr>
          <w:ilvl w:val="0"/>
          <w:numId w:val="64"/>
        </w:numPr>
        <w:tabs>
          <w:tab w:val="left" w:pos="709"/>
        </w:tabs>
        <w:spacing w:after="0" w:line="240" w:lineRule="auto"/>
        <w:ind w:left="0" w:firstLine="0"/>
        <w:jc w:val="both"/>
        <w:rPr>
          <w:rFonts w:ascii="Arial" w:hAnsi="Arial" w:cs="Arial"/>
        </w:rPr>
      </w:pPr>
      <w:r w:rsidRPr="00A32AF4">
        <w:rPr>
          <w:rFonts w:ascii="Arial" w:hAnsi="Arial" w:cs="Arial"/>
        </w:rPr>
        <w:t>Les activités inscrites au programme 30 pour obtenir des résultats concrets, ainsi que le suivi et l</w:t>
      </w:r>
      <w:r w:rsidR="00E2055A" w:rsidRPr="00A32AF4">
        <w:rPr>
          <w:rFonts w:ascii="Arial" w:hAnsi="Arial" w:cs="Arial"/>
        </w:rPr>
        <w:t>’</w:t>
      </w:r>
      <w:r w:rsidRPr="00A32AF4">
        <w:rPr>
          <w:rFonts w:ascii="Arial" w:hAnsi="Arial" w:cs="Arial"/>
        </w:rPr>
        <w:t>évaluation des travaux menés par l</w:t>
      </w:r>
      <w:r w:rsidR="00E2055A" w:rsidRPr="00A32AF4">
        <w:rPr>
          <w:rFonts w:ascii="Arial" w:hAnsi="Arial" w:cs="Arial"/>
        </w:rPr>
        <w:t>’</w:t>
      </w:r>
      <w:r w:rsidRPr="00A32AF4">
        <w:rPr>
          <w:rFonts w:ascii="Arial" w:hAnsi="Arial" w:cs="Arial"/>
        </w:rPr>
        <w:t>OMPI dans le domaine des PME, des universités et des établissements publics de recherche retiendront particulièrement l</w:t>
      </w:r>
      <w:r w:rsidR="00E2055A" w:rsidRPr="00A32AF4">
        <w:rPr>
          <w:rFonts w:ascii="Arial" w:hAnsi="Arial" w:cs="Arial"/>
        </w:rPr>
        <w:t>’</w:t>
      </w:r>
      <w:r w:rsidRPr="00A32AF4">
        <w:rPr>
          <w:rFonts w:ascii="Arial" w:hAnsi="Arial" w:cs="Arial"/>
        </w:rPr>
        <w:t>attention pendant l</w:t>
      </w:r>
      <w:r w:rsidR="00E2055A" w:rsidRPr="00A32AF4">
        <w:rPr>
          <w:rFonts w:ascii="Arial" w:hAnsi="Arial" w:cs="Arial"/>
        </w:rPr>
        <w:t>’</w:t>
      </w:r>
      <w:r w:rsidRPr="00A32AF4">
        <w:rPr>
          <w:rFonts w:ascii="Arial" w:hAnsi="Arial" w:cs="Arial"/>
        </w:rPr>
        <w:t>exercice 2016</w:t>
      </w:r>
      <w:r w:rsidR="00EB7F54" w:rsidRPr="00A32AF4">
        <w:rPr>
          <w:rFonts w:ascii="Arial" w:hAnsi="Arial" w:cs="Arial"/>
        </w:rPr>
        <w:noBreakHyphen/>
      </w:r>
      <w:r w:rsidRPr="00A32AF4">
        <w:rPr>
          <w:rFonts w:ascii="Arial" w:hAnsi="Arial" w:cs="Arial"/>
        </w:rPr>
        <w:t>2017, conformément au cadre de gestion axée sur les résultats.</w:t>
      </w:r>
    </w:p>
    <w:p w:rsidR="002747B4" w:rsidRPr="00A32AF4" w:rsidRDefault="002747B4" w:rsidP="00DC0553">
      <w:pPr>
        <w:tabs>
          <w:tab w:val="left" w:pos="709"/>
        </w:tabs>
        <w:jc w:val="both"/>
        <w:rPr>
          <w:rFonts w:cs="Arial"/>
        </w:rPr>
      </w:pPr>
    </w:p>
    <w:p w:rsidR="002747B4" w:rsidRPr="00A32AF4" w:rsidRDefault="002747B4" w:rsidP="00DC0553">
      <w:pPr>
        <w:pStyle w:val="ListParagraph"/>
        <w:numPr>
          <w:ilvl w:val="0"/>
          <w:numId w:val="64"/>
        </w:numPr>
        <w:tabs>
          <w:tab w:val="left" w:pos="709"/>
        </w:tabs>
        <w:spacing w:after="0" w:line="240" w:lineRule="auto"/>
        <w:ind w:left="0" w:firstLine="0"/>
        <w:jc w:val="both"/>
        <w:rPr>
          <w:rFonts w:ascii="Arial" w:hAnsi="Arial" w:cs="Arial"/>
        </w:rPr>
      </w:pPr>
      <w:r w:rsidRPr="00A32AF4">
        <w:rPr>
          <w:rFonts w:ascii="Arial" w:hAnsi="Arial" w:cs="Arial"/>
        </w:rPr>
        <w:t>Les principaux liens avec d</w:t>
      </w:r>
      <w:r w:rsidR="00E2055A" w:rsidRPr="00A32AF4">
        <w:rPr>
          <w:rFonts w:ascii="Arial" w:hAnsi="Arial" w:cs="Arial"/>
        </w:rPr>
        <w:t>’</w:t>
      </w:r>
      <w:r w:rsidRPr="00A32AF4">
        <w:rPr>
          <w:rFonts w:ascii="Arial" w:hAnsi="Arial" w:cs="Arial"/>
        </w:rPr>
        <w:t>autres programmes sont les suivants :</w:t>
      </w:r>
    </w:p>
    <w:p w:rsidR="002747B4" w:rsidRPr="00A32AF4" w:rsidRDefault="002747B4" w:rsidP="00DC0553">
      <w:pPr>
        <w:tabs>
          <w:tab w:val="left" w:pos="709"/>
        </w:tabs>
        <w:jc w:val="both"/>
        <w:rPr>
          <w:rFonts w:cs="Arial"/>
        </w:rPr>
      </w:pPr>
    </w:p>
    <w:p w:rsidR="002747B4" w:rsidRPr="00A32AF4" w:rsidRDefault="002747B4" w:rsidP="00DC0553">
      <w:pPr>
        <w:jc w:val="center"/>
        <w:rPr>
          <w:rFonts w:eastAsia="Arial" w:cs="Arial"/>
          <w:spacing w:val="-1"/>
        </w:rPr>
      </w:pPr>
    </w:p>
    <w:p w:rsidR="002747B4" w:rsidRPr="00A32AF4" w:rsidRDefault="002747B4" w:rsidP="00DC0553">
      <w:pPr>
        <w:jc w:val="center"/>
        <w:rPr>
          <w:rFonts w:eastAsia="Arial" w:cs="Arial"/>
          <w:spacing w:val="-1"/>
        </w:rPr>
      </w:pPr>
      <w:r w:rsidRPr="00A32AF4">
        <w:rPr>
          <w:rFonts w:cs="Arial"/>
          <w:noProof/>
          <w:lang w:eastAsia="fr-FR"/>
        </w:rPr>
        <w:drawing>
          <wp:inline distT="0" distB="0" distL="0" distR="0" wp14:anchorId="099954B1" wp14:editId="5A52C186">
            <wp:extent cx="5486400" cy="1657350"/>
            <wp:effectExtent l="0" t="19050" r="0" b="0"/>
            <wp:docPr id="87" name="Diagram 8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6" r:lo="rId107" r:qs="rId108" r:cs="rId109"/>
              </a:graphicData>
            </a:graphic>
          </wp:inline>
        </w:drawing>
      </w:r>
    </w:p>
    <w:p w:rsidR="002747B4" w:rsidRPr="00A32AF4" w:rsidRDefault="002747B4" w:rsidP="00DC0553">
      <w:pPr>
        <w:rPr>
          <w:rFonts w:eastAsia="Arial" w:cs="Arial"/>
        </w:rPr>
      </w:pPr>
    </w:p>
    <w:p w:rsidR="002747B4" w:rsidRPr="00A32AF4" w:rsidRDefault="002747B4" w:rsidP="00DC0553">
      <w:pPr>
        <w:rPr>
          <w:rFonts w:eastAsia="Arial" w:cs="Arial"/>
        </w:rPr>
      </w:pPr>
    </w:p>
    <w:p w:rsidR="002747B4" w:rsidRPr="00A32AF4" w:rsidRDefault="002747B4" w:rsidP="00DC0553">
      <w:pPr>
        <w:keepNext/>
        <w:keepLines/>
      </w:pPr>
      <w:r w:rsidRPr="00A32AF4">
        <w:t>PRINCIPAUX RISQUES ET STRATÉGIES D</w:t>
      </w:r>
      <w:r w:rsidR="00E2055A" w:rsidRPr="00A32AF4">
        <w:t>’</w:t>
      </w:r>
      <w:r w:rsidRPr="00A32AF4">
        <w:t>ATTÉNUATION</w:t>
      </w:r>
    </w:p>
    <w:p w:rsidR="002747B4" w:rsidRPr="00A32AF4" w:rsidRDefault="002747B4" w:rsidP="00DC0553">
      <w:pPr>
        <w:keepNext/>
        <w:keepLines/>
        <w:rPr>
          <w:rFonts w:eastAsia="Arial" w:cs="Arial"/>
        </w:rPr>
      </w:pPr>
    </w:p>
    <w:tbl>
      <w:tblPr>
        <w:tblW w:w="9498" w:type="dxa"/>
        <w:tblInd w:w="108" w:type="dxa"/>
        <w:tblCellMar>
          <w:left w:w="0" w:type="dxa"/>
          <w:right w:w="0" w:type="dxa"/>
        </w:tblCellMar>
        <w:tblLook w:val="04A0" w:firstRow="1" w:lastRow="0" w:firstColumn="1" w:lastColumn="0" w:noHBand="0" w:noVBand="1"/>
      </w:tblPr>
      <w:tblGrid>
        <w:gridCol w:w="4253"/>
        <w:gridCol w:w="5245"/>
      </w:tblGrid>
      <w:tr w:rsidR="002747B4" w:rsidRPr="00A32AF4" w:rsidTr="00707FDD">
        <w:trPr>
          <w:cantSplit/>
        </w:trPr>
        <w:tc>
          <w:tcPr>
            <w:tcW w:w="4253" w:type="dxa"/>
            <w:tcBorders>
              <w:top w:val="single" w:sz="8" w:space="0" w:color="auto"/>
              <w:left w:val="single" w:sz="8" w:space="0" w:color="auto"/>
              <w:bottom w:val="single" w:sz="8" w:space="0" w:color="auto"/>
              <w:right w:val="nil"/>
            </w:tcBorders>
            <w:shd w:val="clear" w:color="auto" w:fill="C6D9F1" w:themeFill="text2" w:themeFillTint="33"/>
            <w:tcMar>
              <w:top w:w="113" w:type="dxa"/>
              <w:left w:w="108" w:type="dxa"/>
              <w:bottom w:w="113" w:type="dxa"/>
              <w:right w:w="108" w:type="dxa"/>
            </w:tcMar>
            <w:vAlign w:val="center"/>
            <w:hideMark/>
          </w:tcPr>
          <w:p w:rsidR="002747B4" w:rsidRPr="00A32AF4" w:rsidRDefault="002747B4" w:rsidP="00DC0553">
            <w:pPr>
              <w:keepNext/>
              <w:keepLines/>
              <w:jc w:val="center"/>
              <w:rPr>
                <w:rFonts w:eastAsiaTheme="minorHAnsi" w:cs="Arial"/>
                <w:b/>
                <w:sz w:val="18"/>
              </w:rPr>
            </w:pPr>
            <w:r w:rsidRPr="00A32AF4">
              <w:rPr>
                <w:rFonts w:eastAsiaTheme="minorHAnsi" w:cs="Arial"/>
                <w:b/>
                <w:sz w:val="18"/>
              </w:rPr>
              <w:t>Risques</w:t>
            </w:r>
          </w:p>
        </w:tc>
        <w:tc>
          <w:tcPr>
            <w:tcW w:w="5245" w:type="dxa"/>
            <w:tcBorders>
              <w:top w:val="single" w:sz="8" w:space="0" w:color="auto"/>
              <w:left w:val="nil"/>
              <w:bottom w:val="single" w:sz="8" w:space="0" w:color="auto"/>
              <w:right w:val="single" w:sz="8" w:space="0" w:color="auto"/>
            </w:tcBorders>
            <w:shd w:val="clear" w:color="auto" w:fill="C6D9F1" w:themeFill="text2" w:themeFillTint="33"/>
            <w:tcMar>
              <w:top w:w="113" w:type="dxa"/>
              <w:left w:w="108" w:type="dxa"/>
              <w:bottom w:w="113" w:type="dxa"/>
              <w:right w:w="108" w:type="dxa"/>
            </w:tcMar>
            <w:vAlign w:val="center"/>
            <w:hideMark/>
          </w:tcPr>
          <w:p w:rsidR="002747B4" w:rsidRPr="00A32AF4" w:rsidRDefault="002747B4" w:rsidP="00DC0553">
            <w:pPr>
              <w:keepNext/>
              <w:keepLines/>
              <w:jc w:val="center"/>
              <w:rPr>
                <w:rFonts w:eastAsiaTheme="minorHAnsi" w:cs="Arial"/>
                <w:b/>
                <w:sz w:val="18"/>
              </w:rPr>
            </w:pPr>
            <w:r w:rsidRPr="00A32AF4">
              <w:rPr>
                <w:rFonts w:eastAsiaTheme="minorHAnsi" w:cs="Arial"/>
                <w:b/>
                <w:sz w:val="18"/>
              </w:rPr>
              <w:t>Stratégies d</w:t>
            </w:r>
            <w:r w:rsidR="00E2055A" w:rsidRPr="00A32AF4">
              <w:rPr>
                <w:rFonts w:eastAsiaTheme="minorHAnsi" w:cs="Arial"/>
                <w:b/>
                <w:sz w:val="18"/>
              </w:rPr>
              <w:t>’</w:t>
            </w:r>
            <w:r w:rsidRPr="00A32AF4">
              <w:rPr>
                <w:rFonts w:eastAsiaTheme="minorHAnsi" w:cs="Arial"/>
                <w:b/>
                <w:sz w:val="18"/>
              </w:rPr>
              <w:t>atténuation</w:t>
            </w:r>
          </w:p>
        </w:tc>
      </w:tr>
      <w:tr w:rsidR="002747B4" w:rsidRPr="00A32AF4" w:rsidTr="00707FDD">
        <w:trPr>
          <w:cantSplit/>
        </w:trPr>
        <w:tc>
          <w:tcPr>
            <w:tcW w:w="4253" w:type="dxa"/>
            <w:tcBorders>
              <w:top w:val="nil"/>
              <w:left w:val="single" w:sz="8" w:space="0" w:color="auto"/>
              <w:bottom w:val="single" w:sz="8" w:space="0" w:color="auto"/>
              <w:right w:val="nil"/>
            </w:tcBorders>
            <w:tcMar>
              <w:top w:w="113" w:type="dxa"/>
              <w:left w:w="108" w:type="dxa"/>
              <w:bottom w:w="113" w:type="dxa"/>
              <w:right w:w="108" w:type="dxa"/>
            </w:tcMar>
            <w:hideMark/>
          </w:tcPr>
          <w:p w:rsidR="002747B4" w:rsidRPr="00A32AF4" w:rsidRDefault="002747B4" w:rsidP="00DC0553">
            <w:pPr>
              <w:rPr>
                <w:rFonts w:eastAsiaTheme="minorHAnsi" w:cs="Arial"/>
              </w:rPr>
            </w:pPr>
            <w:r w:rsidRPr="00A32AF4">
              <w:rPr>
                <w:rFonts w:cs="Arial"/>
                <w:sz w:val="16"/>
                <w:szCs w:val="16"/>
              </w:rPr>
              <w:t>Des changements économiques et politiques pourraient redéfinir les priorités en ce qui concerne l</w:t>
            </w:r>
            <w:r w:rsidR="00E2055A" w:rsidRPr="00A32AF4">
              <w:rPr>
                <w:rFonts w:cs="Arial"/>
                <w:sz w:val="16"/>
                <w:szCs w:val="16"/>
              </w:rPr>
              <w:t>’</w:t>
            </w:r>
            <w:r w:rsidRPr="00A32AF4">
              <w:rPr>
                <w:rFonts w:cs="Arial"/>
                <w:sz w:val="16"/>
                <w:szCs w:val="16"/>
              </w:rPr>
              <w:t>élaboration de stratégies nationales en matière d</w:t>
            </w:r>
            <w:r w:rsidR="00E2055A" w:rsidRPr="00A32AF4">
              <w:rPr>
                <w:rFonts w:cs="Arial"/>
                <w:sz w:val="16"/>
                <w:szCs w:val="16"/>
              </w:rPr>
              <w:t>’</w:t>
            </w:r>
            <w:r w:rsidRPr="00A32AF4">
              <w:rPr>
                <w:rFonts w:cs="Arial"/>
                <w:sz w:val="16"/>
                <w:szCs w:val="16"/>
              </w:rPr>
              <w:t>innovation et de propriété intellectuelle.</w:t>
            </w:r>
          </w:p>
        </w:tc>
        <w:tc>
          <w:tcPr>
            <w:tcW w:w="5245" w:type="dxa"/>
            <w:tcBorders>
              <w:top w:val="nil"/>
              <w:left w:val="nil"/>
              <w:bottom w:val="single" w:sz="8" w:space="0" w:color="auto"/>
              <w:right w:val="single" w:sz="8" w:space="0" w:color="auto"/>
            </w:tcBorders>
            <w:tcMar>
              <w:top w:w="113" w:type="dxa"/>
              <w:left w:w="108" w:type="dxa"/>
              <w:bottom w:w="113" w:type="dxa"/>
              <w:right w:w="108" w:type="dxa"/>
            </w:tcMar>
            <w:hideMark/>
          </w:tcPr>
          <w:p w:rsidR="002747B4" w:rsidRPr="00A32AF4" w:rsidRDefault="002747B4" w:rsidP="00DC0553">
            <w:pPr>
              <w:rPr>
                <w:rFonts w:eastAsiaTheme="minorHAnsi" w:cs="Arial"/>
              </w:rPr>
            </w:pPr>
            <w:r w:rsidRPr="00A32AF4">
              <w:rPr>
                <w:rFonts w:cs="Arial"/>
                <w:sz w:val="16"/>
                <w:szCs w:val="16"/>
              </w:rPr>
              <w:t>Travailler en étroite collaboration avec les bénéficiaires, les donateurs et les États membres.  Planifier et coordonner toutes les questions en rapport avec la propriété intellectuelle avec les autres organisations et partenaires internationaux.</w:t>
            </w:r>
          </w:p>
        </w:tc>
      </w:tr>
    </w:tbl>
    <w:p w:rsidR="002747B4" w:rsidRPr="00A32AF4" w:rsidRDefault="002747B4" w:rsidP="00DC0553">
      <w:pPr>
        <w:rPr>
          <w:rFonts w:eastAsia="Arial" w:cs="Arial"/>
        </w:rPr>
      </w:pPr>
    </w:p>
    <w:p w:rsidR="002747B4" w:rsidRPr="00A32AF4" w:rsidRDefault="002747B4" w:rsidP="00DC0553">
      <w:pPr>
        <w:rPr>
          <w:rFonts w:eastAsia="Arial" w:cs="Arial"/>
        </w:rPr>
      </w:pPr>
    </w:p>
    <w:p w:rsidR="002747B4" w:rsidRPr="00A32AF4" w:rsidRDefault="002747B4" w:rsidP="00DC0553">
      <w:pPr>
        <w:rPr>
          <w:rFonts w:eastAsia="Arial"/>
        </w:rPr>
      </w:pPr>
      <w:r w:rsidRPr="00A32AF4">
        <w:rPr>
          <w:rFonts w:eastAsia="Arial"/>
        </w:rPr>
        <w:t>TABLEAU DES RÉSULTATS</w:t>
      </w:r>
    </w:p>
    <w:p w:rsidR="002747B4" w:rsidRPr="00A32AF4" w:rsidRDefault="002747B4" w:rsidP="00DC0553">
      <w:pPr>
        <w:keepNext/>
        <w:keepLines/>
        <w:rPr>
          <w:rFonts w:eastAsia="Arial" w:cs="Arial"/>
        </w:rPr>
      </w:pPr>
    </w:p>
    <w:tbl>
      <w:tblPr>
        <w:tblW w:w="9360" w:type="dxa"/>
        <w:tblInd w:w="9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17"/>
        <w:gridCol w:w="2777"/>
        <w:gridCol w:w="1488"/>
        <w:gridCol w:w="2278"/>
      </w:tblGrid>
      <w:tr w:rsidR="002747B4" w:rsidRPr="00A32AF4" w:rsidTr="00EB7F54">
        <w:trPr>
          <w:cantSplit/>
          <w:tblHeader/>
        </w:trPr>
        <w:tc>
          <w:tcPr>
            <w:tcW w:w="2820" w:type="dxa"/>
            <w:tcBorders>
              <w:top w:val="single" w:sz="4" w:space="0" w:color="auto"/>
              <w:bottom w:val="single" w:sz="4" w:space="0" w:color="auto"/>
            </w:tcBorders>
            <w:shd w:val="clear" w:color="000000" w:fill="C5D9F1"/>
            <w:tcMar>
              <w:top w:w="113" w:type="dxa"/>
              <w:bottom w:w="113" w:type="dxa"/>
            </w:tcMar>
            <w:vAlign w:val="center"/>
            <w:hideMark/>
          </w:tcPr>
          <w:p w:rsidR="002747B4" w:rsidRPr="00A32AF4" w:rsidRDefault="002747B4" w:rsidP="00DC0553">
            <w:pPr>
              <w:keepNext/>
              <w:keepLines/>
              <w:jc w:val="center"/>
              <w:rPr>
                <w:rFonts w:cs="Arial"/>
                <w:b/>
                <w:bCs/>
                <w:sz w:val="18"/>
                <w:szCs w:val="18"/>
              </w:rPr>
            </w:pPr>
            <w:r w:rsidRPr="00A32AF4">
              <w:rPr>
                <w:rFonts w:cs="Arial"/>
                <w:b/>
                <w:bCs/>
                <w:sz w:val="18"/>
                <w:szCs w:val="18"/>
              </w:rPr>
              <w:t>Résultats escomptés</w:t>
            </w:r>
          </w:p>
        </w:tc>
        <w:tc>
          <w:tcPr>
            <w:tcW w:w="2780" w:type="dxa"/>
            <w:tcBorders>
              <w:top w:val="single" w:sz="4" w:space="0" w:color="auto"/>
              <w:bottom w:val="single" w:sz="4" w:space="0" w:color="auto"/>
            </w:tcBorders>
            <w:shd w:val="clear" w:color="000000" w:fill="C5D9F1"/>
            <w:tcMar>
              <w:top w:w="113" w:type="dxa"/>
              <w:bottom w:w="113" w:type="dxa"/>
            </w:tcMar>
            <w:vAlign w:val="center"/>
            <w:hideMark/>
          </w:tcPr>
          <w:p w:rsidR="002747B4" w:rsidRPr="00A32AF4" w:rsidRDefault="002747B4" w:rsidP="00DC0553">
            <w:pPr>
              <w:keepNext/>
              <w:keepLines/>
              <w:jc w:val="center"/>
              <w:rPr>
                <w:rFonts w:cs="Arial"/>
                <w:b/>
                <w:bCs/>
                <w:sz w:val="18"/>
                <w:szCs w:val="18"/>
              </w:rPr>
            </w:pPr>
            <w:r w:rsidRPr="00A32AF4">
              <w:rPr>
                <w:rFonts w:cs="Arial"/>
                <w:b/>
                <w:bCs/>
                <w:sz w:val="18"/>
                <w:szCs w:val="18"/>
              </w:rPr>
              <w:t>Indicateurs d</w:t>
            </w:r>
            <w:r w:rsidR="00E2055A" w:rsidRPr="00A32AF4">
              <w:rPr>
                <w:rFonts w:cs="Arial"/>
                <w:b/>
                <w:bCs/>
                <w:sz w:val="18"/>
                <w:szCs w:val="18"/>
              </w:rPr>
              <w:t>’</w:t>
            </w:r>
            <w:r w:rsidRPr="00A32AF4">
              <w:rPr>
                <w:rFonts w:cs="Arial"/>
                <w:b/>
                <w:bCs/>
                <w:sz w:val="18"/>
                <w:szCs w:val="18"/>
              </w:rPr>
              <w:t>exécution</w:t>
            </w:r>
          </w:p>
        </w:tc>
        <w:tc>
          <w:tcPr>
            <w:tcW w:w="1480" w:type="dxa"/>
            <w:tcBorders>
              <w:top w:val="single" w:sz="4" w:space="0" w:color="auto"/>
              <w:bottom w:val="single" w:sz="4" w:space="0" w:color="auto"/>
            </w:tcBorders>
            <w:shd w:val="clear" w:color="000000" w:fill="C5D9F1"/>
            <w:tcMar>
              <w:top w:w="113" w:type="dxa"/>
              <w:bottom w:w="113" w:type="dxa"/>
            </w:tcMar>
            <w:vAlign w:val="center"/>
            <w:hideMark/>
          </w:tcPr>
          <w:p w:rsidR="002747B4" w:rsidRPr="00A32AF4" w:rsidRDefault="002747B4" w:rsidP="00DC0553">
            <w:pPr>
              <w:keepNext/>
              <w:keepLines/>
              <w:jc w:val="center"/>
              <w:rPr>
                <w:rFonts w:cs="Arial"/>
                <w:b/>
                <w:bCs/>
                <w:sz w:val="18"/>
                <w:szCs w:val="18"/>
              </w:rPr>
            </w:pPr>
            <w:r w:rsidRPr="00A32AF4">
              <w:rPr>
                <w:rFonts w:cs="Arial"/>
                <w:b/>
                <w:bCs/>
                <w:sz w:val="18"/>
                <w:szCs w:val="18"/>
              </w:rPr>
              <w:t>Niveaux de référence</w:t>
            </w:r>
          </w:p>
        </w:tc>
        <w:tc>
          <w:tcPr>
            <w:tcW w:w="2280" w:type="dxa"/>
            <w:tcBorders>
              <w:top w:val="single" w:sz="4" w:space="0" w:color="auto"/>
              <w:bottom w:val="single" w:sz="4" w:space="0" w:color="auto"/>
            </w:tcBorders>
            <w:shd w:val="clear" w:color="000000" w:fill="C5D9F1"/>
            <w:tcMar>
              <w:top w:w="113" w:type="dxa"/>
              <w:bottom w:w="113" w:type="dxa"/>
            </w:tcMar>
            <w:vAlign w:val="center"/>
            <w:hideMark/>
          </w:tcPr>
          <w:p w:rsidR="002747B4" w:rsidRPr="00A32AF4" w:rsidRDefault="002747B4" w:rsidP="00DC0553">
            <w:pPr>
              <w:keepNext/>
              <w:keepLines/>
              <w:jc w:val="center"/>
              <w:rPr>
                <w:rFonts w:cs="Arial"/>
                <w:b/>
                <w:bCs/>
                <w:sz w:val="18"/>
                <w:szCs w:val="18"/>
              </w:rPr>
            </w:pPr>
            <w:r w:rsidRPr="00A32AF4">
              <w:rPr>
                <w:rFonts w:cs="Arial"/>
                <w:b/>
                <w:bCs/>
                <w:sz w:val="18"/>
                <w:szCs w:val="18"/>
              </w:rPr>
              <w:t>Objectifs visés</w:t>
            </w:r>
          </w:p>
        </w:tc>
      </w:tr>
      <w:tr w:rsidR="002747B4" w:rsidRPr="00A32AF4" w:rsidTr="00EB7F54">
        <w:trPr>
          <w:cantSplit/>
        </w:trPr>
        <w:tc>
          <w:tcPr>
            <w:tcW w:w="2820" w:type="dxa"/>
            <w:tcBorders>
              <w:top w:val="single" w:sz="4" w:space="0" w:color="auto"/>
            </w:tcBorders>
            <w:shd w:val="clear" w:color="000000" w:fill="FFFFFF"/>
            <w:tcMar>
              <w:top w:w="113" w:type="dxa"/>
              <w:bottom w:w="113" w:type="dxa"/>
            </w:tcMar>
            <w:hideMark/>
          </w:tcPr>
          <w:p w:rsidR="002747B4" w:rsidRPr="00A32AF4" w:rsidRDefault="002747B4" w:rsidP="00DC0553">
            <w:pPr>
              <w:keepNext/>
              <w:keepLines/>
              <w:rPr>
                <w:rFonts w:cs="Arial"/>
                <w:sz w:val="16"/>
                <w:szCs w:val="16"/>
              </w:rPr>
            </w:pPr>
            <w:r w:rsidRPr="00A32AF4">
              <w:rPr>
                <w:rFonts w:cs="Arial"/>
                <w:sz w:val="16"/>
                <w:szCs w:val="16"/>
              </w:rPr>
              <w:t>III.1 Stratégies et plans nationaux en matière d</w:t>
            </w:r>
            <w:r w:rsidR="00E2055A" w:rsidRPr="00A32AF4">
              <w:rPr>
                <w:rFonts w:cs="Arial"/>
                <w:sz w:val="16"/>
                <w:szCs w:val="16"/>
              </w:rPr>
              <w:t>’</w:t>
            </w:r>
            <w:r w:rsidRPr="00A32AF4">
              <w:rPr>
                <w:rFonts w:cs="Arial"/>
                <w:sz w:val="16"/>
                <w:szCs w:val="16"/>
              </w:rPr>
              <w:t>innovation et de propriété intellectuelle conformes aux objectifs de développement nationaux</w:t>
            </w:r>
          </w:p>
        </w:tc>
        <w:tc>
          <w:tcPr>
            <w:tcW w:w="2780" w:type="dxa"/>
            <w:tcBorders>
              <w:top w:val="single" w:sz="4" w:space="0" w:color="auto"/>
            </w:tcBorders>
            <w:shd w:val="clear" w:color="000000" w:fill="FFFFFF"/>
            <w:tcMar>
              <w:top w:w="113" w:type="dxa"/>
              <w:bottom w:w="113" w:type="dxa"/>
            </w:tcMar>
            <w:hideMark/>
          </w:tcPr>
          <w:p w:rsidR="002747B4" w:rsidRPr="00A32AF4" w:rsidRDefault="002747B4" w:rsidP="00DC0553">
            <w:pPr>
              <w:keepNext/>
              <w:keepLines/>
              <w:rPr>
                <w:rFonts w:cs="Arial"/>
                <w:sz w:val="16"/>
                <w:szCs w:val="16"/>
              </w:rPr>
            </w:pPr>
            <w:r w:rsidRPr="00A32AF4">
              <w:rPr>
                <w:rFonts w:cs="Arial"/>
                <w:sz w:val="16"/>
                <w:szCs w:val="16"/>
              </w:rPr>
              <w:t>Nombre de stratégies nationales en matière de propriété intellectuelle relatives à la promotion de la créativité et de l</w:t>
            </w:r>
            <w:r w:rsidR="00E2055A" w:rsidRPr="00A32AF4">
              <w:rPr>
                <w:rFonts w:cs="Arial"/>
                <w:sz w:val="16"/>
                <w:szCs w:val="16"/>
              </w:rPr>
              <w:t>’</w:t>
            </w:r>
            <w:r w:rsidRPr="00A32AF4">
              <w:rPr>
                <w:rFonts w:cs="Arial"/>
                <w:sz w:val="16"/>
                <w:szCs w:val="16"/>
              </w:rPr>
              <w:t>innovation</w:t>
            </w:r>
          </w:p>
        </w:tc>
        <w:tc>
          <w:tcPr>
            <w:tcW w:w="1480" w:type="dxa"/>
            <w:tcBorders>
              <w:top w:val="single" w:sz="4" w:space="0" w:color="auto"/>
            </w:tcBorders>
            <w:shd w:val="clear" w:color="000000" w:fill="FFFFFF"/>
            <w:tcMar>
              <w:top w:w="113" w:type="dxa"/>
              <w:bottom w:w="113" w:type="dxa"/>
            </w:tcMar>
            <w:hideMark/>
          </w:tcPr>
          <w:p w:rsidR="002747B4" w:rsidRPr="00A32AF4" w:rsidRDefault="002747B4" w:rsidP="00DC0553">
            <w:pPr>
              <w:keepNext/>
              <w:keepLines/>
              <w:rPr>
                <w:rFonts w:cs="Arial"/>
                <w:sz w:val="16"/>
                <w:szCs w:val="16"/>
              </w:rPr>
            </w:pPr>
            <w:r w:rsidRPr="00A32AF4">
              <w:rPr>
                <w:rFonts w:cs="Arial"/>
                <w:sz w:val="16"/>
                <w:szCs w:val="16"/>
              </w:rPr>
              <w:t>4 nouvelles (2014)</w:t>
            </w:r>
          </w:p>
        </w:tc>
        <w:tc>
          <w:tcPr>
            <w:tcW w:w="2280" w:type="dxa"/>
            <w:tcBorders>
              <w:top w:val="single" w:sz="4" w:space="0" w:color="auto"/>
            </w:tcBorders>
            <w:shd w:val="clear" w:color="000000" w:fill="FFFFFF"/>
            <w:tcMar>
              <w:top w:w="113" w:type="dxa"/>
              <w:bottom w:w="113" w:type="dxa"/>
            </w:tcMar>
            <w:hideMark/>
          </w:tcPr>
          <w:p w:rsidR="002747B4" w:rsidRPr="00A32AF4" w:rsidRDefault="002747B4" w:rsidP="00DC0553">
            <w:pPr>
              <w:keepNext/>
              <w:keepLines/>
              <w:rPr>
                <w:rFonts w:cs="Arial"/>
                <w:sz w:val="16"/>
                <w:szCs w:val="16"/>
              </w:rPr>
            </w:pPr>
            <w:r w:rsidRPr="00A32AF4">
              <w:rPr>
                <w:rFonts w:cs="Arial"/>
                <w:sz w:val="16"/>
                <w:szCs w:val="16"/>
              </w:rPr>
              <w:t>5 pays</w:t>
            </w:r>
          </w:p>
        </w:tc>
      </w:tr>
      <w:tr w:rsidR="002747B4" w:rsidRPr="00A32AF4" w:rsidTr="00EB7F54">
        <w:trPr>
          <w:cantSplit/>
        </w:trPr>
        <w:tc>
          <w:tcPr>
            <w:tcW w:w="2820" w:type="dxa"/>
            <w:shd w:val="clear" w:color="000000" w:fill="FFFFFF"/>
            <w:tcMar>
              <w:top w:w="113" w:type="dxa"/>
              <w:bottom w:w="113" w:type="dxa"/>
            </w:tcMar>
            <w:hideMark/>
          </w:tcPr>
          <w:p w:rsidR="002747B4" w:rsidRPr="00A32AF4" w:rsidRDefault="002747B4" w:rsidP="00DC0553">
            <w:pPr>
              <w:rPr>
                <w:rFonts w:cs="Arial"/>
                <w:sz w:val="16"/>
                <w:szCs w:val="16"/>
              </w:rPr>
            </w:pPr>
            <w:r w:rsidRPr="00A32AF4">
              <w:rPr>
                <w:rFonts w:cs="Arial"/>
                <w:sz w:val="16"/>
                <w:szCs w:val="16"/>
              </w:rPr>
              <w:t>III.2 Mise en valeur des ressources humaines pour répondre aux diverses exigences en matière d</w:t>
            </w:r>
            <w:r w:rsidR="00E2055A" w:rsidRPr="00A32AF4">
              <w:rPr>
                <w:rFonts w:cs="Arial"/>
                <w:sz w:val="16"/>
                <w:szCs w:val="16"/>
              </w:rPr>
              <w:t>’</w:t>
            </w:r>
            <w:r w:rsidRPr="00A32AF4">
              <w:rPr>
                <w:rFonts w:cs="Arial"/>
                <w:sz w:val="16"/>
                <w:szCs w:val="16"/>
              </w:rPr>
              <w:t>utilisation efficace de la propriété intellectuelle au service du développement dans les pays en développement, les PMA et les pays en transition</w:t>
            </w:r>
          </w:p>
        </w:tc>
        <w:tc>
          <w:tcPr>
            <w:tcW w:w="2780" w:type="dxa"/>
            <w:shd w:val="clear" w:color="000000" w:fill="FFFFFF"/>
            <w:tcMar>
              <w:top w:w="113" w:type="dxa"/>
              <w:bottom w:w="113" w:type="dxa"/>
            </w:tcMar>
            <w:hideMark/>
          </w:tcPr>
          <w:p w:rsidR="002747B4" w:rsidRPr="00A32AF4" w:rsidRDefault="002747B4" w:rsidP="00DC0553">
            <w:pPr>
              <w:rPr>
                <w:rFonts w:cs="Arial"/>
                <w:sz w:val="16"/>
                <w:szCs w:val="16"/>
              </w:rPr>
            </w:pPr>
            <w:r w:rsidRPr="00A32AF4">
              <w:rPr>
                <w:rFonts w:cs="Arial"/>
                <w:sz w:val="16"/>
                <w:szCs w:val="16"/>
              </w:rPr>
              <w:t>Pourcentage de professionnels de la propriété intellectuelle formés qui utilisent leurs compétences améliorées dans le cadre de leur travail</w:t>
            </w:r>
          </w:p>
        </w:tc>
        <w:tc>
          <w:tcPr>
            <w:tcW w:w="1480" w:type="dxa"/>
            <w:shd w:val="clear" w:color="000000" w:fill="FFFFFF"/>
            <w:tcMar>
              <w:top w:w="113" w:type="dxa"/>
              <w:bottom w:w="113" w:type="dxa"/>
            </w:tcMar>
            <w:hideMark/>
          </w:tcPr>
          <w:p w:rsidR="002747B4" w:rsidRPr="00A32AF4" w:rsidRDefault="002747B4" w:rsidP="00DC0553">
            <w:pPr>
              <w:rPr>
                <w:rFonts w:cs="Arial"/>
                <w:sz w:val="16"/>
                <w:szCs w:val="16"/>
              </w:rPr>
            </w:pPr>
            <w:r w:rsidRPr="00A32AF4">
              <w:rPr>
                <w:rFonts w:cs="Arial"/>
                <w:sz w:val="16"/>
                <w:szCs w:val="16"/>
              </w:rPr>
              <w:t>&gt;60%</w:t>
            </w:r>
          </w:p>
        </w:tc>
        <w:tc>
          <w:tcPr>
            <w:tcW w:w="2280" w:type="dxa"/>
            <w:shd w:val="clear" w:color="000000" w:fill="FFFFFF"/>
            <w:tcMar>
              <w:top w:w="113" w:type="dxa"/>
              <w:bottom w:w="113" w:type="dxa"/>
            </w:tcMar>
            <w:hideMark/>
          </w:tcPr>
          <w:p w:rsidR="002747B4" w:rsidRPr="00A32AF4" w:rsidRDefault="002747B4" w:rsidP="00DC0553">
            <w:pPr>
              <w:rPr>
                <w:rFonts w:cs="Arial"/>
                <w:sz w:val="16"/>
                <w:szCs w:val="16"/>
              </w:rPr>
            </w:pPr>
            <w:r w:rsidRPr="00A32AF4">
              <w:rPr>
                <w:rFonts w:cs="Arial"/>
                <w:sz w:val="16"/>
                <w:szCs w:val="16"/>
              </w:rPr>
              <w:t>50%</w:t>
            </w:r>
          </w:p>
        </w:tc>
      </w:tr>
      <w:tr w:rsidR="00FF6CF6" w:rsidRPr="00A32AF4" w:rsidTr="00707FDD">
        <w:trPr>
          <w:cantSplit/>
        </w:trPr>
        <w:tc>
          <w:tcPr>
            <w:tcW w:w="2820" w:type="dxa"/>
            <w:shd w:val="clear" w:color="000000" w:fill="FFFFFF"/>
            <w:tcMar>
              <w:top w:w="113" w:type="dxa"/>
              <w:bottom w:w="113" w:type="dxa"/>
            </w:tcMar>
          </w:tcPr>
          <w:p w:rsidR="00FF6CF6" w:rsidRPr="00A32AF4" w:rsidRDefault="00FF6CF6" w:rsidP="00DC0553">
            <w:pPr>
              <w:rPr>
                <w:rFonts w:cs="Arial"/>
                <w:sz w:val="16"/>
                <w:szCs w:val="16"/>
              </w:rPr>
            </w:pPr>
            <w:r w:rsidRPr="00A32AF4">
              <w:rPr>
                <w:rFonts w:cs="Arial"/>
                <w:sz w:val="16"/>
                <w:szCs w:val="16"/>
              </w:rPr>
              <w:t>III.6 Renforcement des capacités des PME s</w:t>
            </w:r>
            <w:r w:rsidR="00E2055A" w:rsidRPr="00A32AF4">
              <w:rPr>
                <w:rFonts w:cs="Arial"/>
                <w:sz w:val="16"/>
                <w:szCs w:val="16"/>
              </w:rPr>
              <w:t>’</w:t>
            </w:r>
            <w:r w:rsidRPr="00A32AF4">
              <w:rPr>
                <w:rFonts w:cs="Arial"/>
                <w:sz w:val="16"/>
                <w:szCs w:val="16"/>
              </w:rPr>
              <w:t>agissant de mettre la propriété intellectuelle au service de l</w:t>
            </w:r>
            <w:r w:rsidR="00E2055A" w:rsidRPr="00A32AF4">
              <w:rPr>
                <w:rFonts w:cs="Arial"/>
                <w:sz w:val="16"/>
                <w:szCs w:val="16"/>
              </w:rPr>
              <w:t>’</w:t>
            </w:r>
            <w:r w:rsidRPr="00A32AF4">
              <w:rPr>
                <w:rFonts w:cs="Arial"/>
                <w:sz w:val="16"/>
                <w:szCs w:val="16"/>
              </w:rPr>
              <w:t>innovation</w:t>
            </w:r>
          </w:p>
        </w:tc>
        <w:tc>
          <w:tcPr>
            <w:tcW w:w="2780" w:type="dxa"/>
            <w:shd w:val="clear" w:color="000000" w:fill="FFFFFF"/>
            <w:tcMar>
              <w:top w:w="113" w:type="dxa"/>
              <w:bottom w:w="113" w:type="dxa"/>
            </w:tcMar>
          </w:tcPr>
          <w:p w:rsidR="00FF6CF6" w:rsidRPr="00A32AF4" w:rsidRDefault="00FF6CF6" w:rsidP="00DC0553">
            <w:pPr>
              <w:rPr>
                <w:rFonts w:cs="Arial"/>
                <w:sz w:val="16"/>
                <w:szCs w:val="16"/>
              </w:rPr>
            </w:pPr>
            <w:r w:rsidRPr="00A32AF4">
              <w:rPr>
                <w:sz w:val="16"/>
                <w:szCs w:val="16"/>
              </w:rPr>
              <w:t>Nombre d</w:t>
            </w:r>
            <w:r w:rsidR="00E2055A" w:rsidRPr="00A32AF4">
              <w:rPr>
                <w:sz w:val="16"/>
                <w:szCs w:val="16"/>
              </w:rPr>
              <w:t>’</w:t>
            </w:r>
            <w:r w:rsidRPr="00A32AF4">
              <w:rPr>
                <w:sz w:val="16"/>
                <w:szCs w:val="16"/>
              </w:rPr>
              <w:t>abonnements au bulletin des PME</w:t>
            </w:r>
          </w:p>
        </w:tc>
        <w:tc>
          <w:tcPr>
            <w:tcW w:w="1480" w:type="dxa"/>
            <w:shd w:val="clear" w:color="000000" w:fill="FFFFFF"/>
            <w:tcMar>
              <w:top w:w="113" w:type="dxa"/>
              <w:bottom w:w="113" w:type="dxa"/>
            </w:tcMar>
          </w:tcPr>
          <w:p w:rsidR="00FF6CF6" w:rsidRPr="00A32AF4" w:rsidRDefault="00FF6CF6">
            <w:pPr>
              <w:rPr>
                <w:rFonts w:cs="Arial"/>
                <w:sz w:val="16"/>
                <w:szCs w:val="16"/>
              </w:rPr>
            </w:pPr>
            <w:r w:rsidRPr="00A32AF4">
              <w:rPr>
                <w:rFonts w:cs="Arial"/>
                <w:color w:val="000000"/>
                <w:sz w:val="16"/>
                <w:szCs w:val="16"/>
              </w:rPr>
              <w:t>40</w:t>
            </w:r>
            <w:r w:rsidR="00FD43E3" w:rsidRPr="00A32AF4">
              <w:rPr>
                <w:rFonts w:cs="Arial"/>
                <w:color w:val="000000"/>
                <w:sz w:val="16"/>
                <w:szCs w:val="16"/>
              </w:rPr>
              <w:t> </w:t>
            </w:r>
            <w:r w:rsidRPr="00A32AF4">
              <w:rPr>
                <w:rFonts w:cs="Arial"/>
                <w:color w:val="000000"/>
                <w:sz w:val="16"/>
                <w:szCs w:val="16"/>
              </w:rPr>
              <w:t>510 (2014)</w:t>
            </w:r>
          </w:p>
        </w:tc>
        <w:tc>
          <w:tcPr>
            <w:tcW w:w="2280" w:type="dxa"/>
            <w:shd w:val="clear" w:color="000000" w:fill="FFFFFF"/>
            <w:tcMar>
              <w:top w:w="113" w:type="dxa"/>
              <w:bottom w:w="113" w:type="dxa"/>
            </w:tcMar>
          </w:tcPr>
          <w:p w:rsidR="00FF6CF6" w:rsidRPr="00A32AF4" w:rsidRDefault="00FF6CF6" w:rsidP="00DC0553">
            <w:pPr>
              <w:rPr>
                <w:rFonts w:cs="Arial"/>
                <w:sz w:val="16"/>
                <w:szCs w:val="16"/>
              </w:rPr>
            </w:pPr>
            <w:r w:rsidRPr="00A32AF4">
              <w:rPr>
                <w:rFonts w:cs="Arial"/>
                <w:color w:val="000000"/>
                <w:sz w:val="16"/>
                <w:szCs w:val="16"/>
              </w:rPr>
              <w:t>10%</w:t>
            </w:r>
          </w:p>
        </w:tc>
      </w:tr>
      <w:tr w:rsidR="00FF6CF6" w:rsidRPr="00A32AF4" w:rsidTr="00707FDD">
        <w:trPr>
          <w:cantSplit/>
        </w:trPr>
        <w:tc>
          <w:tcPr>
            <w:tcW w:w="2820" w:type="dxa"/>
            <w:shd w:val="clear" w:color="000000" w:fill="FFFFFF"/>
            <w:tcMar>
              <w:top w:w="113" w:type="dxa"/>
              <w:bottom w:w="113" w:type="dxa"/>
            </w:tcMar>
          </w:tcPr>
          <w:p w:rsidR="00FF6CF6" w:rsidRPr="00A32AF4" w:rsidRDefault="00FF6CF6" w:rsidP="00DC0553">
            <w:pPr>
              <w:rPr>
                <w:rFonts w:cs="Arial"/>
                <w:sz w:val="16"/>
                <w:szCs w:val="16"/>
              </w:rPr>
            </w:pPr>
          </w:p>
        </w:tc>
        <w:tc>
          <w:tcPr>
            <w:tcW w:w="2780" w:type="dxa"/>
            <w:shd w:val="clear" w:color="000000" w:fill="FFFFFF"/>
            <w:tcMar>
              <w:top w:w="113" w:type="dxa"/>
              <w:bottom w:w="113" w:type="dxa"/>
            </w:tcMar>
          </w:tcPr>
          <w:p w:rsidR="00FF6CF6" w:rsidRPr="00A32AF4" w:rsidRDefault="00FF6CF6" w:rsidP="00DC0553">
            <w:pPr>
              <w:rPr>
                <w:rFonts w:cs="Arial"/>
                <w:sz w:val="16"/>
                <w:szCs w:val="16"/>
              </w:rPr>
            </w:pPr>
            <w:r w:rsidRPr="00A32AF4">
              <w:rPr>
                <w:sz w:val="16"/>
                <w:szCs w:val="16"/>
                <w:lang w:bidi="th-TH"/>
              </w:rPr>
              <w:t>Nombre de téléchargements de supports et directives concernant les PME</w:t>
            </w:r>
          </w:p>
        </w:tc>
        <w:tc>
          <w:tcPr>
            <w:tcW w:w="1480" w:type="dxa"/>
            <w:shd w:val="clear" w:color="000000" w:fill="FFFFFF"/>
            <w:tcMar>
              <w:top w:w="113" w:type="dxa"/>
              <w:bottom w:w="113" w:type="dxa"/>
            </w:tcMar>
          </w:tcPr>
          <w:p w:rsidR="00FF6CF6" w:rsidRPr="00A32AF4" w:rsidRDefault="00FF6CF6" w:rsidP="0005319E">
            <w:pPr>
              <w:rPr>
                <w:rFonts w:cs="Arial"/>
                <w:color w:val="000000"/>
                <w:sz w:val="16"/>
                <w:szCs w:val="16"/>
              </w:rPr>
            </w:pPr>
            <w:r w:rsidRPr="00A32AF4">
              <w:rPr>
                <w:rFonts w:cs="Arial"/>
                <w:color w:val="000000"/>
                <w:sz w:val="16"/>
                <w:szCs w:val="16"/>
              </w:rPr>
              <w:t>2014</w:t>
            </w:r>
            <w:r w:rsidR="00FD43E3" w:rsidRPr="00A32AF4">
              <w:rPr>
                <w:rFonts w:cs="Arial"/>
                <w:color w:val="000000"/>
                <w:sz w:val="16"/>
                <w:szCs w:val="16"/>
              </w:rPr>
              <w:t> </w:t>
            </w:r>
            <w:r w:rsidRPr="00A32AF4">
              <w:rPr>
                <w:rFonts w:cs="Arial"/>
                <w:color w:val="000000"/>
                <w:sz w:val="16"/>
                <w:szCs w:val="16"/>
              </w:rPr>
              <w:t>:</w:t>
            </w:r>
          </w:p>
          <w:p w:rsidR="00FF6CF6" w:rsidRPr="00A32AF4" w:rsidRDefault="00200EC4" w:rsidP="0005319E">
            <w:pPr>
              <w:rPr>
                <w:rFonts w:cs="Arial"/>
                <w:color w:val="000000"/>
                <w:sz w:val="16"/>
                <w:szCs w:val="16"/>
              </w:rPr>
            </w:pPr>
            <w:r w:rsidRPr="00A32AF4">
              <w:rPr>
                <w:sz w:val="16"/>
                <w:szCs w:val="16"/>
                <w:lang w:bidi="th-TH"/>
              </w:rPr>
              <w:t>n</w:t>
            </w:r>
            <w:r w:rsidR="00C94A67" w:rsidRPr="00A32AF4">
              <w:rPr>
                <w:sz w:val="16"/>
                <w:szCs w:val="16"/>
                <w:lang w:bidi="th-TH"/>
              </w:rPr>
              <w:t>ombre de téléchargements</w:t>
            </w:r>
            <w:r w:rsidR="00FD43E3" w:rsidRPr="00A32AF4">
              <w:rPr>
                <w:rFonts w:cs="Arial"/>
                <w:color w:val="000000"/>
                <w:sz w:val="16"/>
                <w:szCs w:val="16"/>
              </w:rPr>
              <w:t> </w:t>
            </w:r>
            <w:r w:rsidR="00FF6CF6" w:rsidRPr="00A32AF4">
              <w:rPr>
                <w:rFonts w:cs="Arial"/>
                <w:color w:val="000000"/>
                <w:sz w:val="16"/>
                <w:szCs w:val="16"/>
              </w:rPr>
              <w:t>: 70</w:t>
            </w:r>
            <w:r w:rsidR="00FD43E3" w:rsidRPr="00A32AF4">
              <w:rPr>
                <w:rFonts w:cs="Arial"/>
                <w:color w:val="000000"/>
                <w:sz w:val="16"/>
                <w:szCs w:val="16"/>
              </w:rPr>
              <w:t> </w:t>
            </w:r>
            <w:r w:rsidR="00FF6CF6" w:rsidRPr="00A32AF4">
              <w:rPr>
                <w:rFonts w:cs="Arial"/>
                <w:color w:val="000000"/>
                <w:sz w:val="16"/>
                <w:szCs w:val="16"/>
              </w:rPr>
              <w:t>559</w:t>
            </w:r>
          </w:p>
          <w:p w:rsidR="00FF6CF6" w:rsidRPr="00A32AF4" w:rsidRDefault="00FF6CF6" w:rsidP="00E81C6E">
            <w:pPr>
              <w:rPr>
                <w:rFonts w:cs="Arial"/>
                <w:color w:val="000000"/>
                <w:sz w:val="16"/>
                <w:szCs w:val="16"/>
              </w:rPr>
            </w:pPr>
          </w:p>
          <w:p w:rsidR="00FF6CF6" w:rsidRPr="00A32AF4" w:rsidRDefault="000B0A01" w:rsidP="0038345F">
            <w:pPr>
              <w:rPr>
                <w:rFonts w:cs="Arial"/>
                <w:sz w:val="16"/>
                <w:szCs w:val="16"/>
              </w:rPr>
            </w:pPr>
            <w:r w:rsidRPr="00A32AF4">
              <w:rPr>
                <w:rFonts w:cs="Arial"/>
                <w:sz w:val="16"/>
                <w:szCs w:val="16"/>
                <w:lang w:eastAsia="fr-FR"/>
              </w:rPr>
              <w:t>Nombre de consultations de la page consacrée</w:t>
            </w:r>
            <w:r w:rsidR="00E2055A" w:rsidRPr="00A32AF4">
              <w:rPr>
                <w:rFonts w:cs="Arial"/>
                <w:sz w:val="16"/>
                <w:szCs w:val="16"/>
                <w:lang w:eastAsia="fr-FR"/>
              </w:rPr>
              <w:t xml:space="preserve"> aux PME</w:t>
            </w:r>
            <w:r w:rsidRPr="00A32AF4">
              <w:rPr>
                <w:rFonts w:cs="Arial"/>
                <w:sz w:val="16"/>
                <w:szCs w:val="16"/>
                <w:lang w:eastAsia="fr-FR"/>
              </w:rPr>
              <w:t xml:space="preserve"> sur le site</w:t>
            </w:r>
            <w:r w:rsidR="00FD43E3" w:rsidRPr="00A32AF4">
              <w:rPr>
                <w:rFonts w:cs="Arial"/>
                <w:sz w:val="16"/>
                <w:szCs w:val="16"/>
                <w:lang w:eastAsia="fr-FR"/>
              </w:rPr>
              <w:t> </w:t>
            </w:r>
            <w:r w:rsidRPr="00A32AF4">
              <w:rPr>
                <w:rFonts w:cs="Arial"/>
                <w:sz w:val="16"/>
                <w:szCs w:val="16"/>
                <w:lang w:eastAsia="fr-FR"/>
              </w:rPr>
              <w:t>Web</w:t>
            </w:r>
            <w:r w:rsidR="00C86C71" w:rsidRPr="00A32AF4">
              <w:rPr>
                <w:rFonts w:cs="Arial"/>
                <w:sz w:val="16"/>
                <w:szCs w:val="16"/>
                <w:lang w:eastAsia="fr-FR"/>
              </w:rPr>
              <w:t> :</w:t>
            </w:r>
            <w:r w:rsidR="00FF6CF6" w:rsidRPr="00A32AF4">
              <w:rPr>
                <w:rFonts w:cs="Arial"/>
                <w:color w:val="000000"/>
                <w:sz w:val="16"/>
                <w:szCs w:val="16"/>
              </w:rPr>
              <w:t xml:space="preserve"> 821</w:t>
            </w:r>
            <w:r w:rsidR="0038345F" w:rsidRPr="00A32AF4">
              <w:rPr>
                <w:rFonts w:cs="Arial"/>
                <w:color w:val="000000"/>
                <w:sz w:val="16"/>
                <w:szCs w:val="16"/>
              </w:rPr>
              <w:t> </w:t>
            </w:r>
            <w:r w:rsidR="00FF6CF6" w:rsidRPr="00A32AF4">
              <w:rPr>
                <w:rFonts w:cs="Arial"/>
                <w:color w:val="000000"/>
                <w:sz w:val="16"/>
                <w:szCs w:val="16"/>
              </w:rPr>
              <w:t>150</w:t>
            </w:r>
          </w:p>
        </w:tc>
        <w:tc>
          <w:tcPr>
            <w:tcW w:w="2280" w:type="dxa"/>
            <w:shd w:val="clear" w:color="000000" w:fill="FFFFFF"/>
            <w:tcMar>
              <w:top w:w="113" w:type="dxa"/>
              <w:bottom w:w="113" w:type="dxa"/>
            </w:tcMar>
          </w:tcPr>
          <w:p w:rsidR="00FF6CF6" w:rsidRPr="00A32AF4" w:rsidRDefault="00FF6CF6" w:rsidP="0005319E">
            <w:pPr>
              <w:ind w:firstLineChars="200" w:firstLine="320"/>
              <w:rPr>
                <w:rFonts w:cs="Arial"/>
                <w:color w:val="000000"/>
                <w:sz w:val="16"/>
                <w:szCs w:val="16"/>
              </w:rPr>
            </w:pPr>
          </w:p>
          <w:p w:rsidR="00FF6CF6" w:rsidRPr="00A32AF4" w:rsidRDefault="00FF6CF6" w:rsidP="0038345F">
            <w:pPr>
              <w:rPr>
                <w:rFonts w:cs="Arial"/>
                <w:color w:val="000000"/>
                <w:sz w:val="16"/>
                <w:szCs w:val="16"/>
              </w:rPr>
            </w:pPr>
            <w:r w:rsidRPr="00A32AF4">
              <w:rPr>
                <w:rFonts w:cs="Arial"/>
                <w:color w:val="000000"/>
                <w:sz w:val="16"/>
                <w:szCs w:val="16"/>
              </w:rPr>
              <w:t>10%</w:t>
            </w:r>
          </w:p>
          <w:p w:rsidR="00FF6CF6" w:rsidRPr="00A32AF4" w:rsidRDefault="00FF6CF6" w:rsidP="0005319E">
            <w:pPr>
              <w:ind w:firstLineChars="200" w:firstLine="320"/>
              <w:rPr>
                <w:rFonts w:cs="Arial"/>
                <w:color w:val="000000"/>
                <w:sz w:val="16"/>
                <w:szCs w:val="16"/>
              </w:rPr>
            </w:pPr>
          </w:p>
          <w:p w:rsidR="00FF6CF6" w:rsidRPr="00A32AF4" w:rsidRDefault="00FF6CF6" w:rsidP="0005319E">
            <w:pPr>
              <w:ind w:firstLineChars="200" w:firstLine="320"/>
              <w:rPr>
                <w:rFonts w:cs="Arial"/>
                <w:color w:val="000000"/>
                <w:sz w:val="16"/>
                <w:szCs w:val="16"/>
              </w:rPr>
            </w:pPr>
          </w:p>
          <w:p w:rsidR="00FF6CF6" w:rsidRPr="00A32AF4" w:rsidRDefault="00FF6CF6" w:rsidP="0005319E">
            <w:pPr>
              <w:ind w:firstLineChars="200" w:firstLine="320"/>
              <w:rPr>
                <w:rFonts w:cs="Arial"/>
                <w:color w:val="000000"/>
                <w:sz w:val="16"/>
                <w:szCs w:val="16"/>
              </w:rPr>
            </w:pPr>
          </w:p>
          <w:p w:rsidR="00FF6CF6" w:rsidRPr="00A32AF4" w:rsidRDefault="00FF6CF6" w:rsidP="00DC0553">
            <w:pPr>
              <w:rPr>
                <w:rFonts w:cs="Arial"/>
                <w:sz w:val="16"/>
                <w:szCs w:val="16"/>
              </w:rPr>
            </w:pPr>
            <w:r w:rsidRPr="00A32AF4">
              <w:rPr>
                <w:rFonts w:cs="Arial"/>
                <w:color w:val="000000"/>
                <w:sz w:val="16"/>
                <w:szCs w:val="16"/>
              </w:rPr>
              <w:t>10%</w:t>
            </w:r>
          </w:p>
        </w:tc>
      </w:tr>
      <w:tr w:rsidR="002747B4" w:rsidRPr="00A32AF4" w:rsidTr="00EB7F54">
        <w:trPr>
          <w:cantSplit/>
        </w:trPr>
        <w:tc>
          <w:tcPr>
            <w:tcW w:w="2820" w:type="dxa"/>
            <w:shd w:val="clear" w:color="000000" w:fill="FFFFFF"/>
            <w:tcMar>
              <w:top w:w="113" w:type="dxa"/>
              <w:bottom w:w="113" w:type="dxa"/>
            </w:tcMar>
            <w:hideMark/>
          </w:tcPr>
          <w:p w:rsidR="002747B4" w:rsidRPr="00A32AF4" w:rsidRDefault="002747B4" w:rsidP="00DC0553">
            <w:pPr>
              <w:rPr>
                <w:rFonts w:cs="Arial"/>
                <w:sz w:val="16"/>
                <w:szCs w:val="16"/>
              </w:rPr>
            </w:pPr>
          </w:p>
        </w:tc>
        <w:tc>
          <w:tcPr>
            <w:tcW w:w="2780" w:type="dxa"/>
            <w:shd w:val="clear" w:color="000000" w:fill="FFFFFF"/>
            <w:tcMar>
              <w:top w:w="113" w:type="dxa"/>
              <w:bottom w:w="113" w:type="dxa"/>
            </w:tcMar>
            <w:hideMark/>
          </w:tcPr>
          <w:p w:rsidR="002747B4" w:rsidRPr="00A32AF4" w:rsidRDefault="002747B4" w:rsidP="00DC0553">
            <w:pPr>
              <w:rPr>
                <w:rFonts w:cs="Arial"/>
                <w:sz w:val="16"/>
                <w:szCs w:val="16"/>
              </w:rPr>
            </w:pPr>
            <w:r w:rsidRPr="00A32AF4">
              <w:rPr>
                <w:rFonts w:cs="Arial"/>
                <w:sz w:val="16"/>
                <w:szCs w:val="16"/>
              </w:rPr>
              <w:t>Pourcentage des participants à des programmes de formation visant les institutions d</w:t>
            </w:r>
            <w:r w:rsidR="00E2055A" w:rsidRPr="00A32AF4">
              <w:rPr>
                <w:rFonts w:cs="Arial"/>
                <w:sz w:val="16"/>
                <w:szCs w:val="16"/>
              </w:rPr>
              <w:t>’</w:t>
            </w:r>
            <w:r w:rsidRPr="00A32AF4">
              <w:rPr>
                <w:rFonts w:cs="Arial"/>
                <w:sz w:val="16"/>
                <w:szCs w:val="16"/>
              </w:rPr>
              <w:t>appui aux PME qui se sont dits satisfaits du contenu et de l</w:t>
            </w:r>
            <w:r w:rsidR="00E2055A" w:rsidRPr="00A32AF4">
              <w:rPr>
                <w:rFonts w:cs="Arial"/>
                <w:sz w:val="16"/>
                <w:szCs w:val="16"/>
              </w:rPr>
              <w:t>’</w:t>
            </w:r>
            <w:r w:rsidRPr="00A32AF4">
              <w:rPr>
                <w:rFonts w:cs="Arial"/>
                <w:sz w:val="16"/>
                <w:szCs w:val="16"/>
              </w:rPr>
              <w:t>organisation de ces événements</w:t>
            </w:r>
          </w:p>
        </w:tc>
        <w:tc>
          <w:tcPr>
            <w:tcW w:w="1480" w:type="dxa"/>
            <w:shd w:val="clear" w:color="000000" w:fill="FFFFFF"/>
            <w:tcMar>
              <w:top w:w="113" w:type="dxa"/>
              <w:bottom w:w="113" w:type="dxa"/>
            </w:tcMar>
            <w:hideMark/>
          </w:tcPr>
          <w:p w:rsidR="002747B4" w:rsidRPr="00A32AF4" w:rsidRDefault="002747B4" w:rsidP="00DC0553">
            <w:pPr>
              <w:rPr>
                <w:rFonts w:cs="Arial"/>
                <w:sz w:val="16"/>
                <w:szCs w:val="16"/>
              </w:rPr>
            </w:pPr>
            <w:r w:rsidRPr="00A32AF4">
              <w:rPr>
                <w:rFonts w:cs="Arial"/>
                <w:sz w:val="16"/>
                <w:szCs w:val="16"/>
              </w:rPr>
              <w:t>100%</w:t>
            </w:r>
          </w:p>
        </w:tc>
        <w:tc>
          <w:tcPr>
            <w:tcW w:w="2280" w:type="dxa"/>
            <w:shd w:val="clear" w:color="000000" w:fill="FFFFFF"/>
            <w:tcMar>
              <w:top w:w="113" w:type="dxa"/>
              <w:bottom w:w="113" w:type="dxa"/>
            </w:tcMar>
            <w:hideMark/>
          </w:tcPr>
          <w:p w:rsidR="002747B4" w:rsidRPr="00A32AF4" w:rsidRDefault="002747B4" w:rsidP="00DC0553">
            <w:pPr>
              <w:rPr>
                <w:rFonts w:cs="Arial"/>
                <w:sz w:val="16"/>
                <w:szCs w:val="16"/>
              </w:rPr>
            </w:pPr>
            <w:r w:rsidRPr="00A32AF4">
              <w:rPr>
                <w:rFonts w:cs="Arial"/>
                <w:sz w:val="16"/>
                <w:szCs w:val="16"/>
              </w:rPr>
              <w:t>90%</w:t>
            </w:r>
          </w:p>
        </w:tc>
      </w:tr>
      <w:tr w:rsidR="002747B4" w:rsidRPr="00A32AF4" w:rsidTr="00EB7F54">
        <w:trPr>
          <w:cantSplit/>
        </w:trPr>
        <w:tc>
          <w:tcPr>
            <w:tcW w:w="2820" w:type="dxa"/>
            <w:shd w:val="clear" w:color="000000" w:fill="FFFFFF"/>
            <w:tcMar>
              <w:top w:w="113" w:type="dxa"/>
              <w:bottom w:w="113" w:type="dxa"/>
            </w:tcMar>
            <w:hideMark/>
          </w:tcPr>
          <w:p w:rsidR="002747B4" w:rsidRPr="00A32AF4" w:rsidRDefault="002747B4" w:rsidP="00DC0553">
            <w:pPr>
              <w:rPr>
                <w:rFonts w:cs="Arial"/>
                <w:sz w:val="16"/>
                <w:szCs w:val="16"/>
              </w:rPr>
            </w:pPr>
          </w:p>
        </w:tc>
        <w:tc>
          <w:tcPr>
            <w:tcW w:w="2780" w:type="dxa"/>
            <w:shd w:val="clear" w:color="000000" w:fill="FFFFFF"/>
            <w:tcMar>
              <w:top w:w="113" w:type="dxa"/>
              <w:bottom w:w="113" w:type="dxa"/>
            </w:tcMar>
            <w:hideMark/>
          </w:tcPr>
          <w:p w:rsidR="002747B4" w:rsidRPr="00A32AF4" w:rsidRDefault="002747B4" w:rsidP="00DC0553">
            <w:pPr>
              <w:rPr>
                <w:rFonts w:cs="Arial"/>
                <w:sz w:val="16"/>
                <w:szCs w:val="16"/>
              </w:rPr>
            </w:pPr>
            <w:r w:rsidRPr="00A32AF4">
              <w:rPr>
                <w:rFonts w:cs="Arial"/>
                <w:sz w:val="16"/>
                <w:szCs w:val="16"/>
              </w:rPr>
              <w:t>Pourcentage d</w:t>
            </w:r>
            <w:r w:rsidR="00E2055A" w:rsidRPr="00A32AF4">
              <w:rPr>
                <w:rFonts w:cs="Arial"/>
                <w:sz w:val="16"/>
                <w:szCs w:val="16"/>
              </w:rPr>
              <w:t>’</w:t>
            </w:r>
            <w:r w:rsidRPr="00A32AF4">
              <w:rPr>
                <w:rFonts w:cs="Arial"/>
                <w:sz w:val="16"/>
                <w:szCs w:val="16"/>
              </w:rPr>
              <w:t>institutions d</w:t>
            </w:r>
            <w:r w:rsidR="00E2055A" w:rsidRPr="00A32AF4">
              <w:rPr>
                <w:rFonts w:cs="Arial"/>
                <w:sz w:val="16"/>
                <w:szCs w:val="16"/>
              </w:rPr>
              <w:t>’</w:t>
            </w:r>
            <w:r w:rsidRPr="00A32AF4">
              <w:rPr>
                <w:rFonts w:cs="Arial"/>
                <w:sz w:val="16"/>
                <w:szCs w:val="16"/>
              </w:rPr>
              <w:t>appui aux PME ayant obtenu une formation qui fournissent des informations sur la propriété intellectuelle et des services d</w:t>
            </w:r>
            <w:r w:rsidR="00E2055A" w:rsidRPr="00A32AF4">
              <w:rPr>
                <w:rFonts w:cs="Arial"/>
                <w:sz w:val="16"/>
                <w:szCs w:val="16"/>
              </w:rPr>
              <w:t>’</w:t>
            </w:r>
            <w:r w:rsidRPr="00A32AF4">
              <w:rPr>
                <w:rFonts w:cs="Arial"/>
                <w:sz w:val="16"/>
                <w:szCs w:val="16"/>
              </w:rPr>
              <w:t>orientation sur la gestion des actifs de propriété intellectuelle</w:t>
            </w:r>
          </w:p>
        </w:tc>
        <w:tc>
          <w:tcPr>
            <w:tcW w:w="1480" w:type="dxa"/>
            <w:shd w:val="clear" w:color="000000" w:fill="FFFFFF"/>
            <w:tcMar>
              <w:top w:w="113" w:type="dxa"/>
              <w:bottom w:w="113" w:type="dxa"/>
            </w:tcMar>
            <w:hideMark/>
          </w:tcPr>
          <w:p w:rsidR="002747B4" w:rsidRPr="00A32AF4" w:rsidRDefault="002747B4" w:rsidP="00DC0553">
            <w:pPr>
              <w:rPr>
                <w:rFonts w:cs="Arial"/>
                <w:sz w:val="16"/>
                <w:szCs w:val="16"/>
              </w:rPr>
            </w:pPr>
            <w:r w:rsidRPr="00A32AF4">
              <w:rPr>
                <w:rFonts w:cs="Arial"/>
                <w:sz w:val="16"/>
                <w:szCs w:val="16"/>
              </w:rPr>
              <w:t>100%</w:t>
            </w:r>
          </w:p>
        </w:tc>
        <w:tc>
          <w:tcPr>
            <w:tcW w:w="2280" w:type="dxa"/>
            <w:shd w:val="clear" w:color="000000" w:fill="FFFFFF"/>
            <w:tcMar>
              <w:top w:w="113" w:type="dxa"/>
              <w:bottom w:w="113" w:type="dxa"/>
            </w:tcMar>
            <w:hideMark/>
          </w:tcPr>
          <w:p w:rsidR="002747B4" w:rsidRPr="00A32AF4" w:rsidRDefault="002747B4" w:rsidP="00DC0553">
            <w:pPr>
              <w:rPr>
                <w:rFonts w:cs="Arial"/>
                <w:sz w:val="16"/>
                <w:szCs w:val="16"/>
              </w:rPr>
            </w:pPr>
            <w:r w:rsidRPr="00A32AF4">
              <w:rPr>
                <w:rFonts w:cs="Arial"/>
                <w:sz w:val="16"/>
                <w:szCs w:val="16"/>
              </w:rPr>
              <w:t>80%</w:t>
            </w:r>
          </w:p>
        </w:tc>
      </w:tr>
      <w:tr w:rsidR="00DB395E" w:rsidRPr="00A32AF4" w:rsidTr="00707FDD">
        <w:trPr>
          <w:cantSplit/>
        </w:trPr>
        <w:tc>
          <w:tcPr>
            <w:tcW w:w="2820" w:type="dxa"/>
            <w:shd w:val="clear" w:color="000000" w:fill="FFFFFF"/>
            <w:tcMar>
              <w:top w:w="113" w:type="dxa"/>
              <w:bottom w:w="113" w:type="dxa"/>
            </w:tcMar>
          </w:tcPr>
          <w:p w:rsidR="00DB395E" w:rsidRPr="00A32AF4" w:rsidRDefault="00DB395E" w:rsidP="00DC0553">
            <w:pPr>
              <w:rPr>
                <w:rFonts w:cs="Arial"/>
                <w:sz w:val="16"/>
                <w:szCs w:val="16"/>
              </w:rPr>
            </w:pPr>
          </w:p>
        </w:tc>
        <w:tc>
          <w:tcPr>
            <w:tcW w:w="2780" w:type="dxa"/>
            <w:shd w:val="clear" w:color="000000" w:fill="FFFFFF"/>
            <w:tcMar>
              <w:top w:w="113" w:type="dxa"/>
              <w:bottom w:w="113" w:type="dxa"/>
            </w:tcMar>
          </w:tcPr>
          <w:p w:rsidR="00DB395E" w:rsidRPr="00A32AF4" w:rsidRDefault="00DB395E" w:rsidP="00FB1F61">
            <w:pPr>
              <w:rPr>
                <w:rFonts w:cs="Arial"/>
                <w:sz w:val="16"/>
                <w:szCs w:val="16"/>
              </w:rPr>
            </w:pPr>
            <w:r w:rsidRPr="00A32AF4">
              <w:rPr>
                <w:rFonts w:cs="Arial"/>
                <w:sz w:val="16"/>
                <w:szCs w:val="16"/>
              </w:rPr>
              <w:t>Pourcentage des participants à des programmes de formation visant les institutions d</w:t>
            </w:r>
            <w:r w:rsidR="00E2055A" w:rsidRPr="00A32AF4">
              <w:rPr>
                <w:rFonts w:cs="Arial"/>
                <w:sz w:val="16"/>
                <w:szCs w:val="16"/>
              </w:rPr>
              <w:t>’</w:t>
            </w:r>
            <w:r w:rsidRPr="00A32AF4">
              <w:rPr>
                <w:rFonts w:cs="Arial"/>
                <w:sz w:val="16"/>
                <w:szCs w:val="16"/>
              </w:rPr>
              <w:t xml:space="preserve">appui aux PME qui utilisent </w:t>
            </w:r>
            <w:r w:rsidR="00B305E4" w:rsidRPr="00A32AF4">
              <w:rPr>
                <w:rFonts w:cs="Arial"/>
                <w:sz w:val="16"/>
                <w:szCs w:val="16"/>
              </w:rPr>
              <w:t xml:space="preserve">des connaissances nouvelles et </w:t>
            </w:r>
            <w:r w:rsidRPr="00A32AF4">
              <w:rPr>
                <w:rFonts w:cs="Arial"/>
                <w:sz w:val="16"/>
                <w:szCs w:val="16"/>
              </w:rPr>
              <w:t>des compétences</w:t>
            </w:r>
            <w:r w:rsidR="00FB1F61" w:rsidRPr="00A32AF4">
              <w:rPr>
                <w:rFonts w:cs="Arial"/>
                <w:sz w:val="16"/>
                <w:szCs w:val="16"/>
              </w:rPr>
              <w:t xml:space="preserve"> </w:t>
            </w:r>
            <w:r w:rsidRPr="00A32AF4">
              <w:rPr>
                <w:rFonts w:cs="Arial"/>
                <w:sz w:val="16"/>
                <w:szCs w:val="16"/>
              </w:rPr>
              <w:t>améliorées dans le cadre de</w:t>
            </w:r>
            <w:r w:rsidR="00FB1F61" w:rsidRPr="00A32AF4">
              <w:rPr>
                <w:rFonts w:cs="Arial"/>
                <w:sz w:val="16"/>
                <w:szCs w:val="16"/>
              </w:rPr>
              <w:t xml:space="preserve"> </w:t>
            </w:r>
            <w:r w:rsidRPr="00A32AF4">
              <w:rPr>
                <w:rFonts w:cs="Arial"/>
                <w:sz w:val="16"/>
                <w:szCs w:val="16"/>
              </w:rPr>
              <w:t>leurs activités professionnelles</w:t>
            </w:r>
          </w:p>
        </w:tc>
        <w:tc>
          <w:tcPr>
            <w:tcW w:w="1480" w:type="dxa"/>
            <w:shd w:val="clear" w:color="000000" w:fill="FFFFFF"/>
            <w:tcMar>
              <w:top w:w="113" w:type="dxa"/>
              <w:bottom w:w="113" w:type="dxa"/>
            </w:tcMar>
          </w:tcPr>
          <w:p w:rsidR="00DB395E" w:rsidRPr="00A32AF4" w:rsidRDefault="00752A62" w:rsidP="00DC0553">
            <w:pPr>
              <w:rPr>
                <w:rFonts w:cs="Arial"/>
                <w:sz w:val="16"/>
                <w:szCs w:val="16"/>
              </w:rPr>
            </w:pPr>
            <w:r w:rsidRPr="00A32AF4">
              <w:rPr>
                <w:rFonts w:cs="Arial"/>
                <w:sz w:val="16"/>
                <w:szCs w:val="16"/>
              </w:rPr>
              <w:t>s.o.</w:t>
            </w:r>
          </w:p>
        </w:tc>
        <w:tc>
          <w:tcPr>
            <w:tcW w:w="2280" w:type="dxa"/>
            <w:shd w:val="clear" w:color="000000" w:fill="FFFFFF"/>
            <w:tcMar>
              <w:top w:w="113" w:type="dxa"/>
              <w:bottom w:w="113" w:type="dxa"/>
            </w:tcMar>
          </w:tcPr>
          <w:p w:rsidR="00DB395E" w:rsidRPr="00A32AF4" w:rsidRDefault="00DB322D" w:rsidP="00DC0553">
            <w:pPr>
              <w:rPr>
                <w:rFonts w:cs="Arial"/>
                <w:sz w:val="16"/>
                <w:szCs w:val="16"/>
              </w:rPr>
            </w:pPr>
            <w:r w:rsidRPr="00A32AF4">
              <w:rPr>
                <w:rFonts w:cs="Arial"/>
                <w:color w:val="000000"/>
                <w:sz w:val="16"/>
                <w:szCs w:val="16"/>
              </w:rPr>
              <w:t>50%</w:t>
            </w:r>
          </w:p>
        </w:tc>
      </w:tr>
      <w:tr w:rsidR="002747B4" w:rsidRPr="00A32AF4" w:rsidTr="00EB7F54">
        <w:trPr>
          <w:cantSplit/>
        </w:trPr>
        <w:tc>
          <w:tcPr>
            <w:tcW w:w="2820" w:type="dxa"/>
            <w:shd w:val="clear" w:color="000000" w:fill="FFFFFF"/>
            <w:tcMar>
              <w:top w:w="113" w:type="dxa"/>
              <w:bottom w:w="113" w:type="dxa"/>
            </w:tcMar>
            <w:hideMark/>
          </w:tcPr>
          <w:p w:rsidR="002747B4" w:rsidRPr="00A32AF4" w:rsidRDefault="002747B4" w:rsidP="00DC0553">
            <w:pPr>
              <w:rPr>
                <w:rFonts w:cs="Arial"/>
                <w:sz w:val="16"/>
                <w:szCs w:val="16"/>
              </w:rPr>
            </w:pPr>
          </w:p>
        </w:tc>
        <w:tc>
          <w:tcPr>
            <w:tcW w:w="2780" w:type="dxa"/>
            <w:shd w:val="clear" w:color="000000" w:fill="FFFFFF"/>
            <w:tcMar>
              <w:top w:w="113" w:type="dxa"/>
              <w:bottom w:w="113" w:type="dxa"/>
            </w:tcMar>
            <w:hideMark/>
          </w:tcPr>
          <w:p w:rsidR="002747B4" w:rsidRPr="00A32AF4" w:rsidRDefault="002747B4" w:rsidP="00DC0553">
            <w:pPr>
              <w:rPr>
                <w:rFonts w:cs="Arial"/>
                <w:sz w:val="16"/>
                <w:szCs w:val="16"/>
              </w:rPr>
            </w:pPr>
            <w:r w:rsidRPr="00A32AF4">
              <w:rPr>
                <w:rFonts w:cs="Arial"/>
                <w:sz w:val="16"/>
                <w:szCs w:val="16"/>
              </w:rPr>
              <w:t>Nombre de pays ayant créé ou amélioré des programmes de formation en matière de propriété intellectuelle à l</w:t>
            </w:r>
            <w:r w:rsidR="00E2055A" w:rsidRPr="00A32AF4">
              <w:rPr>
                <w:rFonts w:cs="Arial"/>
                <w:sz w:val="16"/>
                <w:szCs w:val="16"/>
              </w:rPr>
              <w:t>’</w:t>
            </w:r>
            <w:r w:rsidRPr="00A32AF4">
              <w:rPr>
                <w:rFonts w:cs="Arial"/>
                <w:sz w:val="16"/>
                <w:szCs w:val="16"/>
              </w:rPr>
              <w:t>intention des PME</w:t>
            </w:r>
          </w:p>
        </w:tc>
        <w:tc>
          <w:tcPr>
            <w:tcW w:w="1480" w:type="dxa"/>
            <w:shd w:val="clear" w:color="000000" w:fill="FFFFFF"/>
            <w:tcMar>
              <w:top w:w="113" w:type="dxa"/>
              <w:bottom w:w="113" w:type="dxa"/>
            </w:tcMar>
            <w:hideMark/>
          </w:tcPr>
          <w:p w:rsidR="002747B4" w:rsidRPr="00A32AF4" w:rsidRDefault="002747B4" w:rsidP="00DC0553">
            <w:pPr>
              <w:rPr>
                <w:rFonts w:cs="Arial"/>
                <w:sz w:val="16"/>
                <w:szCs w:val="16"/>
              </w:rPr>
            </w:pPr>
            <w:r w:rsidRPr="00A32AF4">
              <w:rPr>
                <w:rFonts w:cs="Arial"/>
                <w:sz w:val="16"/>
                <w:szCs w:val="16"/>
              </w:rPr>
              <w:t>13</w:t>
            </w:r>
          </w:p>
        </w:tc>
        <w:tc>
          <w:tcPr>
            <w:tcW w:w="2280" w:type="dxa"/>
            <w:shd w:val="clear" w:color="000000" w:fill="FFFFFF"/>
            <w:tcMar>
              <w:top w:w="113" w:type="dxa"/>
              <w:bottom w:w="113" w:type="dxa"/>
            </w:tcMar>
            <w:hideMark/>
          </w:tcPr>
          <w:p w:rsidR="002747B4" w:rsidRPr="00A32AF4" w:rsidRDefault="002747B4" w:rsidP="00DC0553">
            <w:pPr>
              <w:rPr>
                <w:rFonts w:cs="Arial"/>
                <w:sz w:val="16"/>
                <w:szCs w:val="16"/>
              </w:rPr>
            </w:pPr>
            <w:r w:rsidRPr="00A32AF4">
              <w:rPr>
                <w:rFonts w:cs="Arial"/>
                <w:sz w:val="16"/>
                <w:szCs w:val="16"/>
              </w:rPr>
              <w:t>10 supplémentaires</w:t>
            </w:r>
          </w:p>
        </w:tc>
      </w:tr>
      <w:tr w:rsidR="002747B4" w:rsidRPr="00A32AF4" w:rsidTr="00707FDD">
        <w:trPr>
          <w:cantSplit/>
        </w:trPr>
        <w:tc>
          <w:tcPr>
            <w:tcW w:w="2820" w:type="dxa"/>
            <w:shd w:val="clear" w:color="000000" w:fill="FFFFFF"/>
            <w:tcMar>
              <w:top w:w="113" w:type="dxa"/>
              <w:bottom w:w="113" w:type="dxa"/>
            </w:tcMar>
            <w:hideMark/>
          </w:tcPr>
          <w:p w:rsidR="002747B4" w:rsidRPr="00A32AF4" w:rsidRDefault="002747B4" w:rsidP="00DC0553">
            <w:pPr>
              <w:rPr>
                <w:rFonts w:cs="Arial"/>
                <w:sz w:val="16"/>
                <w:szCs w:val="16"/>
              </w:rPr>
            </w:pPr>
          </w:p>
        </w:tc>
        <w:tc>
          <w:tcPr>
            <w:tcW w:w="2780" w:type="dxa"/>
            <w:shd w:val="clear" w:color="000000" w:fill="FFFFFF"/>
            <w:tcMar>
              <w:top w:w="113" w:type="dxa"/>
              <w:bottom w:w="113" w:type="dxa"/>
            </w:tcMar>
            <w:hideMark/>
          </w:tcPr>
          <w:p w:rsidR="002747B4" w:rsidRPr="00A32AF4" w:rsidRDefault="002747B4" w:rsidP="00DC0553">
            <w:pPr>
              <w:rPr>
                <w:rFonts w:cs="Arial"/>
                <w:sz w:val="16"/>
                <w:szCs w:val="16"/>
              </w:rPr>
            </w:pPr>
            <w:r w:rsidRPr="00A32AF4">
              <w:rPr>
                <w:rFonts w:cs="Arial"/>
                <w:sz w:val="16"/>
                <w:szCs w:val="16"/>
              </w:rPr>
              <w:t>Nombre de pays dans lesquels des politiques en matière de propriété intellectuelle ont été élaborées ou adoptées en faveur des PME</w:t>
            </w:r>
          </w:p>
        </w:tc>
        <w:tc>
          <w:tcPr>
            <w:tcW w:w="1480" w:type="dxa"/>
            <w:shd w:val="clear" w:color="000000" w:fill="FFFFFF"/>
            <w:tcMar>
              <w:top w:w="113" w:type="dxa"/>
              <w:bottom w:w="113" w:type="dxa"/>
            </w:tcMar>
            <w:hideMark/>
          </w:tcPr>
          <w:p w:rsidR="002747B4" w:rsidRPr="00A32AF4" w:rsidRDefault="00752A62" w:rsidP="00DC0553">
            <w:pPr>
              <w:rPr>
                <w:rFonts w:cs="Arial"/>
                <w:sz w:val="16"/>
                <w:szCs w:val="16"/>
              </w:rPr>
            </w:pPr>
            <w:r w:rsidRPr="00A32AF4">
              <w:rPr>
                <w:rFonts w:cs="Arial"/>
                <w:sz w:val="16"/>
                <w:szCs w:val="16"/>
              </w:rPr>
              <w:t>s.o.</w:t>
            </w:r>
          </w:p>
        </w:tc>
        <w:tc>
          <w:tcPr>
            <w:tcW w:w="2280" w:type="dxa"/>
            <w:shd w:val="clear" w:color="000000" w:fill="FFFFFF"/>
            <w:tcMar>
              <w:top w:w="113" w:type="dxa"/>
              <w:bottom w:w="113" w:type="dxa"/>
            </w:tcMar>
            <w:hideMark/>
          </w:tcPr>
          <w:p w:rsidR="002747B4" w:rsidRPr="00A32AF4" w:rsidRDefault="002747B4" w:rsidP="00DC0553">
            <w:pPr>
              <w:rPr>
                <w:rFonts w:cs="Arial"/>
                <w:sz w:val="16"/>
                <w:szCs w:val="16"/>
              </w:rPr>
            </w:pPr>
            <w:r w:rsidRPr="00A32AF4">
              <w:rPr>
                <w:rFonts w:cs="Arial"/>
                <w:sz w:val="16"/>
                <w:szCs w:val="16"/>
              </w:rPr>
              <w:t>5 pays</w:t>
            </w:r>
          </w:p>
        </w:tc>
      </w:tr>
      <w:tr w:rsidR="002747B4" w:rsidRPr="00A32AF4" w:rsidTr="00EB7F54">
        <w:trPr>
          <w:cantSplit/>
        </w:trPr>
        <w:tc>
          <w:tcPr>
            <w:tcW w:w="2820" w:type="dxa"/>
            <w:shd w:val="clear" w:color="000000" w:fill="FFFFFF"/>
            <w:tcMar>
              <w:top w:w="113" w:type="dxa"/>
              <w:bottom w:w="113" w:type="dxa"/>
            </w:tcMar>
            <w:hideMark/>
          </w:tcPr>
          <w:p w:rsidR="002747B4" w:rsidRPr="00A32AF4" w:rsidRDefault="002747B4" w:rsidP="00DC0553">
            <w:pPr>
              <w:rPr>
                <w:rFonts w:cs="Arial"/>
                <w:sz w:val="16"/>
                <w:szCs w:val="16"/>
              </w:rPr>
            </w:pPr>
            <w:r w:rsidRPr="00A32AF4">
              <w:rPr>
                <w:rFonts w:cs="Arial"/>
                <w:sz w:val="16"/>
                <w:szCs w:val="16"/>
              </w:rPr>
              <w:t>IV.2 Amélioration de l</w:t>
            </w:r>
            <w:r w:rsidR="00E2055A" w:rsidRPr="00A32AF4">
              <w:rPr>
                <w:rFonts w:cs="Arial"/>
                <w:sz w:val="16"/>
                <w:szCs w:val="16"/>
              </w:rPr>
              <w:t>’</w:t>
            </w:r>
            <w:r w:rsidRPr="00A32AF4">
              <w:rPr>
                <w:rFonts w:cs="Arial"/>
                <w:sz w:val="16"/>
                <w:szCs w:val="16"/>
              </w:rPr>
              <w:t>accessibilité et de l</w:t>
            </w:r>
            <w:r w:rsidR="00E2055A" w:rsidRPr="00A32AF4">
              <w:rPr>
                <w:rFonts w:cs="Arial"/>
                <w:sz w:val="16"/>
                <w:szCs w:val="16"/>
              </w:rPr>
              <w:t>’</w:t>
            </w:r>
            <w:r w:rsidRPr="00A32AF4">
              <w:rPr>
                <w:rFonts w:cs="Arial"/>
                <w:sz w:val="16"/>
                <w:szCs w:val="16"/>
              </w:rPr>
              <w:t>utilisation de l</w:t>
            </w:r>
            <w:r w:rsidR="00E2055A" w:rsidRPr="00A32AF4">
              <w:rPr>
                <w:rFonts w:cs="Arial"/>
                <w:sz w:val="16"/>
                <w:szCs w:val="16"/>
              </w:rPr>
              <w:t>’</w:t>
            </w:r>
            <w:r w:rsidRPr="00A32AF4">
              <w:rPr>
                <w:rFonts w:cs="Arial"/>
                <w:sz w:val="16"/>
                <w:szCs w:val="16"/>
              </w:rPr>
              <w:t>information en matière de propriété intellectuelle par les institutions compétentes et le public afin de promouvoir l</w:t>
            </w:r>
            <w:r w:rsidR="00E2055A" w:rsidRPr="00A32AF4">
              <w:rPr>
                <w:rFonts w:cs="Arial"/>
                <w:sz w:val="16"/>
                <w:szCs w:val="16"/>
              </w:rPr>
              <w:t>’</w:t>
            </w:r>
            <w:r w:rsidRPr="00A32AF4">
              <w:rPr>
                <w:rFonts w:cs="Arial"/>
                <w:sz w:val="16"/>
                <w:szCs w:val="16"/>
              </w:rPr>
              <w:t>innovation et la créativité</w:t>
            </w:r>
          </w:p>
        </w:tc>
        <w:tc>
          <w:tcPr>
            <w:tcW w:w="2780" w:type="dxa"/>
            <w:shd w:val="clear" w:color="000000" w:fill="FFFFFF"/>
            <w:tcMar>
              <w:top w:w="113" w:type="dxa"/>
              <w:bottom w:w="113" w:type="dxa"/>
            </w:tcMar>
            <w:hideMark/>
          </w:tcPr>
          <w:p w:rsidR="002747B4" w:rsidRPr="00A32AF4" w:rsidRDefault="002747B4" w:rsidP="00DC0553">
            <w:pPr>
              <w:rPr>
                <w:rFonts w:cs="Arial"/>
                <w:sz w:val="16"/>
                <w:szCs w:val="16"/>
              </w:rPr>
            </w:pPr>
            <w:r w:rsidRPr="00A32AF4">
              <w:rPr>
                <w:rFonts w:cs="Arial"/>
                <w:sz w:val="16"/>
                <w:szCs w:val="16"/>
              </w:rPr>
              <w:t>Nombre de bureaux de transfert de technologie ayant été créés ou renforcés au sein d</w:t>
            </w:r>
            <w:r w:rsidR="00E2055A" w:rsidRPr="00A32AF4">
              <w:rPr>
                <w:rFonts w:cs="Arial"/>
                <w:sz w:val="16"/>
                <w:szCs w:val="16"/>
              </w:rPr>
              <w:t>’</w:t>
            </w:r>
            <w:r w:rsidRPr="00A32AF4">
              <w:rPr>
                <w:rFonts w:cs="Arial"/>
                <w:sz w:val="16"/>
                <w:szCs w:val="16"/>
              </w:rPr>
              <w:t>universités ou d</w:t>
            </w:r>
            <w:r w:rsidR="00E2055A" w:rsidRPr="00A32AF4">
              <w:rPr>
                <w:rFonts w:cs="Arial"/>
                <w:sz w:val="16"/>
                <w:szCs w:val="16"/>
              </w:rPr>
              <w:t>’</w:t>
            </w:r>
            <w:r w:rsidRPr="00A32AF4">
              <w:rPr>
                <w:rFonts w:cs="Arial"/>
                <w:sz w:val="16"/>
                <w:szCs w:val="16"/>
              </w:rPr>
              <w:t>instituts de R</w:t>
            </w:r>
            <w:r w:rsidR="00EB7F54" w:rsidRPr="00A32AF4">
              <w:rPr>
                <w:rFonts w:cs="Arial"/>
                <w:sz w:val="16"/>
                <w:szCs w:val="16"/>
              </w:rPr>
              <w:noBreakHyphen/>
            </w:r>
            <w:r w:rsidRPr="00A32AF4">
              <w:rPr>
                <w:rFonts w:cs="Arial"/>
                <w:sz w:val="16"/>
                <w:szCs w:val="16"/>
              </w:rPr>
              <w:t>D dans le cadre de l</w:t>
            </w:r>
            <w:r w:rsidR="00E2055A" w:rsidRPr="00A32AF4">
              <w:rPr>
                <w:rFonts w:cs="Arial"/>
                <w:sz w:val="16"/>
                <w:szCs w:val="16"/>
              </w:rPr>
              <w:t>’</w:t>
            </w:r>
            <w:r w:rsidRPr="00A32AF4">
              <w:rPr>
                <w:rFonts w:cs="Arial"/>
                <w:sz w:val="16"/>
                <w:szCs w:val="16"/>
              </w:rPr>
              <w:t>initiative de l</w:t>
            </w:r>
            <w:r w:rsidR="00E2055A" w:rsidRPr="00A32AF4">
              <w:rPr>
                <w:rFonts w:cs="Arial"/>
                <w:sz w:val="16"/>
                <w:szCs w:val="16"/>
              </w:rPr>
              <w:t>’</w:t>
            </w:r>
            <w:r w:rsidRPr="00A32AF4">
              <w:rPr>
                <w:rFonts w:cs="Arial"/>
                <w:sz w:val="16"/>
                <w:szCs w:val="16"/>
              </w:rPr>
              <w:t>OMPI en faveur des universités</w:t>
            </w:r>
          </w:p>
        </w:tc>
        <w:tc>
          <w:tcPr>
            <w:tcW w:w="1480" w:type="dxa"/>
            <w:shd w:val="clear" w:color="000000" w:fill="FFFFFF"/>
            <w:tcMar>
              <w:top w:w="113" w:type="dxa"/>
              <w:bottom w:w="113" w:type="dxa"/>
            </w:tcMar>
            <w:hideMark/>
          </w:tcPr>
          <w:p w:rsidR="002747B4" w:rsidRPr="00A32AF4" w:rsidRDefault="002747B4" w:rsidP="00DC0553">
            <w:pPr>
              <w:rPr>
                <w:rFonts w:cs="Arial"/>
                <w:sz w:val="16"/>
                <w:szCs w:val="16"/>
              </w:rPr>
            </w:pPr>
            <w:r w:rsidRPr="00A32AF4">
              <w:rPr>
                <w:rFonts w:cs="Arial"/>
                <w:sz w:val="16"/>
                <w:szCs w:val="16"/>
              </w:rPr>
              <w:t>À déterminer</w:t>
            </w:r>
          </w:p>
        </w:tc>
        <w:tc>
          <w:tcPr>
            <w:tcW w:w="2280" w:type="dxa"/>
            <w:shd w:val="clear" w:color="000000" w:fill="FFFFFF"/>
            <w:tcMar>
              <w:top w:w="113" w:type="dxa"/>
              <w:bottom w:w="113" w:type="dxa"/>
            </w:tcMar>
            <w:hideMark/>
          </w:tcPr>
          <w:p w:rsidR="002747B4" w:rsidRPr="00A32AF4" w:rsidRDefault="002747B4" w:rsidP="00DC0553">
            <w:pPr>
              <w:rPr>
                <w:rFonts w:cs="Arial"/>
                <w:sz w:val="16"/>
                <w:szCs w:val="16"/>
              </w:rPr>
            </w:pPr>
            <w:r w:rsidRPr="00A32AF4">
              <w:rPr>
                <w:rFonts w:cs="Arial"/>
                <w:sz w:val="16"/>
                <w:szCs w:val="16"/>
              </w:rPr>
              <w:t>6 bureaux de transfert de technologie</w:t>
            </w:r>
          </w:p>
        </w:tc>
      </w:tr>
      <w:tr w:rsidR="002747B4" w:rsidRPr="00A32AF4" w:rsidTr="00EB7F54">
        <w:trPr>
          <w:cantSplit/>
        </w:trPr>
        <w:tc>
          <w:tcPr>
            <w:tcW w:w="2820" w:type="dxa"/>
            <w:shd w:val="clear" w:color="000000" w:fill="FFFFFF"/>
            <w:tcMar>
              <w:top w:w="113" w:type="dxa"/>
              <w:bottom w:w="113" w:type="dxa"/>
            </w:tcMar>
            <w:hideMark/>
          </w:tcPr>
          <w:p w:rsidR="002747B4" w:rsidRPr="00A32AF4" w:rsidRDefault="002747B4" w:rsidP="00DC0553">
            <w:pPr>
              <w:rPr>
                <w:rFonts w:cs="Arial"/>
                <w:sz w:val="16"/>
                <w:szCs w:val="16"/>
              </w:rPr>
            </w:pPr>
          </w:p>
        </w:tc>
        <w:tc>
          <w:tcPr>
            <w:tcW w:w="2780" w:type="dxa"/>
            <w:shd w:val="clear" w:color="000000" w:fill="FFFFFF"/>
            <w:tcMar>
              <w:top w:w="113" w:type="dxa"/>
              <w:bottom w:w="113" w:type="dxa"/>
            </w:tcMar>
            <w:hideMark/>
          </w:tcPr>
          <w:p w:rsidR="002747B4" w:rsidRPr="00A32AF4" w:rsidRDefault="002747B4" w:rsidP="00DC0553">
            <w:pPr>
              <w:rPr>
                <w:rFonts w:cs="Arial"/>
                <w:sz w:val="16"/>
                <w:szCs w:val="16"/>
              </w:rPr>
            </w:pPr>
            <w:r w:rsidRPr="00A32AF4">
              <w:rPr>
                <w:rFonts w:cs="Arial"/>
                <w:sz w:val="16"/>
                <w:szCs w:val="16"/>
              </w:rPr>
              <w:t>Nombre d</w:t>
            </w:r>
            <w:r w:rsidR="00E2055A" w:rsidRPr="00A32AF4">
              <w:rPr>
                <w:rFonts w:cs="Arial"/>
                <w:sz w:val="16"/>
                <w:szCs w:val="16"/>
              </w:rPr>
              <w:t>’</w:t>
            </w:r>
            <w:r w:rsidRPr="00A32AF4">
              <w:rPr>
                <w:rFonts w:cs="Arial"/>
                <w:sz w:val="16"/>
                <w:szCs w:val="16"/>
              </w:rPr>
              <w:t>universités ou d</w:t>
            </w:r>
            <w:r w:rsidR="00E2055A" w:rsidRPr="00A32AF4">
              <w:rPr>
                <w:rFonts w:cs="Arial"/>
                <w:sz w:val="16"/>
                <w:szCs w:val="16"/>
              </w:rPr>
              <w:t>’</w:t>
            </w:r>
            <w:r w:rsidRPr="00A32AF4">
              <w:rPr>
                <w:rFonts w:cs="Arial"/>
                <w:sz w:val="16"/>
                <w:szCs w:val="16"/>
              </w:rPr>
              <w:t xml:space="preserve">instituts de recherche ayant élaboré ou amélioré leurs politiques en matière de propriété intellectuelle </w:t>
            </w:r>
          </w:p>
        </w:tc>
        <w:tc>
          <w:tcPr>
            <w:tcW w:w="1480" w:type="dxa"/>
            <w:shd w:val="clear" w:color="000000" w:fill="FFFFFF"/>
            <w:tcMar>
              <w:top w:w="113" w:type="dxa"/>
              <w:bottom w:w="113" w:type="dxa"/>
            </w:tcMar>
            <w:hideMark/>
          </w:tcPr>
          <w:p w:rsidR="002747B4" w:rsidRPr="00A32AF4" w:rsidRDefault="002747B4" w:rsidP="00DC0553">
            <w:pPr>
              <w:rPr>
                <w:rFonts w:cs="Arial"/>
                <w:sz w:val="16"/>
                <w:szCs w:val="16"/>
              </w:rPr>
            </w:pPr>
            <w:r w:rsidRPr="00A32AF4">
              <w:rPr>
                <w:rFonts w:cs="Arial"/>
                <w:sz w:val="16"/>
                <w:szCs w:val="16"/>
              </w:rPr>
              <w:t>150 universités dans des pays en transition</w:t>
            </w:r>
            <w:r w:rsidR="005A1114" w:rsidRPr="00A32AF4">
              <w:rPr>
                <w:rFonts w:cs="Arial"/>
                <w:sz w:val="16"/>
                <w:szCs w:val="16"/>
              </w:rPr>
              <w:t xml:space="preserve"> (2014)</w:t>
            </w:r>
          </w:p>
        </w:tc>
        <w:tc>
          <w:tcPr>
            <w:tcW w:w="2280" w:type="dxa"/>
            <w:shd w:val="clear" w:color="000000" w:fill="FFFFFF"/>
            <w:tcMar>
              <w:top w:w="113" w:type="dxa"/>
              <w:bottom w:w="113" w:type="dxa"/>
            </w:tcMar>
            <w:hideMark/>
          </w:tcPr>
          <w:p w:rsidR="002747B4" w:rsidRPr="00A32AF4" w:rsidRDefault="002747B4" w:rsidP="00DC0553">
            <w:pPr>
              <w:rPr>
                <w:rFonts w:cs="Arial"/>
                <w:sz w:val="16"/>
                <w:szCs w:val="16"/>
              </w:rPr>
            </w:pPr>
            <w:r w:rsidRPr="00A32AF4">
              <w:rPr>
                <w:rFonts w:cs="Arial"/>
                <w:sz w:val="16"/>
                <w:szCs w:val="16"/>
              </w:rPr>
              <w:t>10 universités supplémentaires</w:t>
            </w:r>
          </w:p>
        </w:tc>
      </w:tr>
    </w:tbl>
    <w:p w:rsidR="002747B4" w:rsidRPr="00A32AF4" w:rsidRDefault="002747B4" w:rsidP="00DC0553">
      <w:pPr>
        <w:rPr>
          <w:rFonts w:eastAsia="Arial" w:cs="Arial"/>
        </w:rPr>
      </w:pPr>
    </w:p>
    <w:p w:rsidR="002747B4" w:rsidRPr="00A32AF4" w:rsidRDefault="002747B4" w:rsidP="00DC0553">
      <w:pPr>
        <w:rPr>
          <w:rFonts w:eastAsia="Arial" w:cs="Arial"/>
        </w:rPr>
      </w:pPr>
    </w:p>
    <w:p w:rsidR="002747B4" w:rsidRPr="00A32AF4" w:rsidRDefault="002747B4" w:rsidP="00DC0553">
      <w:pPr>
        <w:keepNext/>
        <w:keepLines/>
      </w:pPr>
      <w:r w:rsidRPr="00A32AF4">
        <w:t>RESSOURCES ALLOUÉES AU PROGRAMME 30</w:t>
      </w:r>
    </w:p>
    <w:p w:rsidR="002747B4" w:rsidRPr="00A32AF4" w:rsidRDefault="002747B4" w:rsidP="00DC0553">
      <w:pPr>
        <w:keepNext/>
        <w:keepLines/>
        <w:rPr>
          <w:rFonts w:eastAsia="Arial" w:cs="Arial"/>
        </w:rPr>
      </w:pPr>
    </w:p>
    <w:p w:rsidR="002747B4" w:rsidRPr="00A32AF4" w:rsidRDefault="002747B4" w:rsidP="00DC0553">
      <w:pPr>
        <w:pStyle w:val="ListParagraph"/>
        <w:keepNext/>
        <w:keepLines/>
        <w:numPr>
          <w:ilvl w:val="0"/>
          <w:numId w:val="64"/>
        </w:numPr>
        <w:tabs>
          <w:tab w:val="left" w:pos="709"/>
        </w:tabs>
        <w:spacing w:after="0" w:line="240" w:lineRule="auto"/>
        <w:ind w:left="0" w:firstLine="0"/>
        <w:jc w:val="both"/>
        <w:rPr>
          <w:rFonts w:ascii="Arial" w:eastAsia="Arial" w:hAnsi="Arial" w:cs="Arial"/>
        </w:rPr>
      </w:pPr>
      <w:r w:rsidRPr="00A32AF4">
        <w:rPr>
          <w:rFonts w:ascii="Arial" w:eastAsia="Arial" w:hAnsi="Arial" w:cs="Arial"/>
        </w:rPr>
        <w:t>On constate une augmentation du montant total des ressources allouées au programme 30 en 2016</w:t>
      </w:r>
      <w:r w:rsidR="00EB7F54" w:rsidRPr="00A32AF4">
        <w:rPr>
          <w:rFonts w:ascii="Arial" w:eastAsia="Arial" w:hAnsi="Arial" w:cs="Arial"/>
        </w:rPr>
        <w:noBreakHyphen/>
      </w:r>
      <w:r w:rsidRPr="00A32AF4">
        <w:rPr>
          <w:rFonts w:ascii="Arial" w:eastAsia="Arial" w:hAnsi="Arial" w:cs="Arial"/>
        </w:rPr>
        <w:t>2017 par rapport au budget 2014</w:t>
      </w:r>
      <w:r w:rsidR="00EB7F54" w:rsidRPr="00A32AF4">
        <w:rPr>
          <w:rFonts w:ascii="Arial" w:eastAsia="Arial" w:hAnsi="Arial" w:cs="Arial"/>
        </w:rPr>
        <w:noBreakHyphen/>
      </w:r>
      <w:r w:rsidRPr="00A32AF4">
        <w:rPr>
          <w:rFonts w:ascii="Arial" w:eastAsia="Arial" w:hAnsi="Arial" w:cs="Arial"/>
        </w:rPr>
        <w:t>2015 après virements.</w:t>
      </w:r>
      <w:r w:rsidRPr="00A32AF4">
        <w:rPr>
          <w:rFonts w:ascii="Arial" w:hAnsi="Arial" w:cs="Arial"/>
        </w:rPr>
        <w:t xml:space="preserve">  </w:t>
      </w:r>
      <w:r w:rsidRPr="00A32AF4">
        <w:rPr>
          <w:rFonts w:ascii="Arial" w:eastAsia="Arial" w:hAnsi="Arial" w:cs="Arial"/>
        </w:rPr>
        <w:t>Cette augmentation résulte du redéploiement des ressources en personnel dans ce programme au cours de l</w:t>
      </w:r>
      <w:r w:rsidR="00E2055A" w:rsidRPr="00A32AF4">
        <w:rPr>
          <w:rFonts w:ascii="Arial" w:eastAsia="Arial" w:hAnsi="Arial" w:cs="Arial"/>
        </w:rPr>
        <w:t>’</w:t>
      </w:r>
      <w:r w:rsidRPr="00A32AF4">
        <w:rPr>
          <w:rFonts w:ascii="Arial" w:eastAsia="Arial" w:hAnsi="Arial" w:cs="Arial"/>
        </w:rPr>
        <w:t>exercice biennal 2014</w:t>
      </w:r>
      <w:r w:rsidR="00EB7F54" w:rsidRPr="00A32AF4">
        <w:rPr>
          <w:rFonts w:ascii="Arial" w:eastAsia="Arial" w:hAnsi="Arial" w:cs="Arial"/>
        </w:rPr>
        <w:noBreakHyphen/>
      </w:r>
      <w:r w:rsidRPr="00A32AF4">
        <w:rPr>
          <w:rFonts w:ascii="Arial" w:eastAsia="Arial" w:hAnsi="Arial" w:cs="Arial"/>
        </w:rPr>
        <w:t>2015 pour renforcer, notamment, les travaux concernant les stratégies nationales en matière de propriété intellectuelle et de renforcement des capacités en faveur des PME, comme indiqué sous les résultats escomptés III.1 et III.2.</w:t>
      </w:r>
    </w:p>
    <w:p w:rsidR="002747B4" w:rsidRPr="00A32AF4" w:rsidRDefault="002747B4" w:rsidP="00DC0553">
      <w:pPr>
        <w:pStyle w:val="ListParagraph"/>
        <w:tabs>
          <w:tab w:val="left" w:pos="709"/>
        </w:tabs>
        <w:ind w:left="0"/>
        <w:jc w:val="both"/>
        <w:rPr>
          <w:rFonts w:ascii="Arial" w:eastAsia="Arial" w:hAnsi="Arial" w:cs="Arial"/>
        </w:rPr>
      </w:pPr>
    </w:p>
    <w:p w:rsidR="002747B4" w:rsidRPr="00A32AF4" w:rsidRDefault="002747B4" w:rsidP="00DC0553">
      <w:pPr>
        <w:pStyle w:val="ListParagraph"/>
        <w:numPr>
          <w:ilvl w:val="0"/>
          <w:numId w:val="64"/>
        </w:numPr>
        <w:tabs>
          <w:tab w:val="left" w:pos="709"/>
        </w:tabs>
        <w:spacing w:after="0" w:line="240" w:lineRule="auto"/>
        <w:ind w:left="0" w:firstLine="0"/>
        <w:jc w:val="both"/>
        <w:rPr>
          <w:rFonts w:ascii="Arial" w:eastAsia="Arial" w:hAnsi="Arial" w:cs="Arial"/>
        </w:rPr>
      </w:pPr>
      <w:proofErr w:type="gramStart"/>
      <w:r w:rsidRPr="00A32AF4">
        <w:rPr>
          <w:rFonts w:ascii="Arial" w:eastAsia="Arial" w:hAnsi="Arial" w:cs="Arial"/>
        </w:rPr>
        <w:t>La diminution des ressources en personnel dans le budget 2014</w:t>
      </w:r>
      <w:r w:rsidR="00EB7F54" w:rsidRPr="00A32AF4">
        <w:rPr>
          <w:rFonts w:ascii="Arial" w:eastAsia="Arial" w:hAnsi="Arial" w:cs="Arial"/>
        </w:rPr>
        <w:noBreakHyphen/>
      </w:r>
      <w:r w:rsidRPr="00A32AF4">
        <w:rPr>
          <w:rFonts w:ascii="Arial" w:eastAsia="Arial" w:hAnsi="Arial" w:cs="Arial"/>
        </w:rPr>
        <w:t>2015 après virements par rapport au budget 2014</w:t>
      </w:r>
      <w:r w:rsidR="00EB7F54" w:rsidRPr="00A32AF4">
        <w:rPr>
          <w:rFonts w:ascii="Arial" w:eastAsia="Arial" w:hAnsi="Arial" w:cs="Arial"/>
        </w:rPr>
        <w:noBreakHyphen/>
      </w:r>
      <w:r w:rsidRPr="00A32AF4">
        <w:rPr>
          <w:rFonts w:ascii="Arial" w:eastAsia="Arial" w:hAnsi="Arial" w:cs="Arial"/>
        </w:rPr>
        <w:t>2015 approuvé résulte i) du transfert des responsabilités concernant la mise en œuvre des projets du Plan d</w:t>
      </w:r>
      <w:r w:rsidR="00E2055A" w:rsidRPr="00A32AF4">
        <w:rPr>
          <w:rFonts w:ascii="Arial" w:eastAsia="Arial" w:hAnsi="Arial" w:cs="Arial"/>
        </w:rPr>
        <w:t>’</w:t>
      </w:r>
      <w:r w:rsidRPr="00A32AF4">
        <w:rPr>
          <w:rFonts w:ascii="Arial" w:eastAsia="Arial" w:hAnsi="Arial" w:cs="Arial"/>
        </w:rPr>
        <w:t>action pour le développement relatifs aux modèles de partenariat ouvert et au transfert de technologie vers le programme 5 (système du PCT) et ii) des retards concernant la définition des connaissances et des compétences nécessaires aux activités menées dans le cadre du programme pour compenser le transfert d</w:t>
      </w:r>
      <w:r w:rsidR="00E2055A" w:rsidRPr="00A32AF4">
        <w:rPr>
          <w:rFonts w:ascii="Arial" w:eastAsia="Arial" w:hAnsi="Arial" w:cs="Arial"/>
        </w:rPr>
        <w:t>’</w:t>
      </w:r>
      <w:r w:rsidRPr="00A32AF4">
        <w:rPr>
          <w:rFonts w:ascii="Arial" w:eastAsia="Arial" w:hAnsi="Arial" w:cs="Arial"/>
        </w:rPr>
        <w:t>un fonctionnaire hors du programme.</w:t>
      </w:r>
      <w:proofErr w:type="gramEnd"/>
    </w:p>
    <w:p w:rsidR="002747B4" w:rsidRPr="00A32AF4" w:rsidRDefault="002747B4" w:rsidP="00DC0553">
      <w:pPr>
        <w:tabs>
          <w:tab w:val="left" w:pos="709"/>
        </w:tabs>
        <w:jc w:val="both"/>
        <w:rPr>
          <w:rFonts w:eastAsia="Arial" w:cs="Arial"/>
        </w:rPr>
      </w:pPr>
    </w:p>
    <w:p w:rsidR="00BB36D3" w:rsidRPr="00A32AF4" w:rsidRDefault="00BB36D3" w:rsidP="00DC0553"/>
    <w:p w:rsidR="00BB36D3" w:rsidRPr="00A32AF4" w:rsidRDefault="00BB36D3" w:rsidP="00FB1F61">
      <w:pPr>
        <w:keepNext/>
        <w:keepLines/>
        <w:autoSpaceDE w:val="0"/>
        <w:autoSpaceDN w:val="0"/>
        <w:jc w:val="center"/>
        <w:rPr>
          <w:rFonts w:cs="Arial"/>
          <w:b/>
        </w:rPr>
      </w:pPr>
      <w:r w:rsidRPr="00A32AF4">
        <w:rPr>
          <w:rFonts w:cs="Arial"/>
          <w:b/>
        </w:rPr>
        <w:t>Programme 30 : ressources par résultat</w:t>
      </w:r>
    </w:p>
    <w:p w:rsidR="00BB36D3" w:rsidRPr="00A32AF4" w:rsidRDefault="00BB36D3" w:rsidP="00FB1F61">
      <w:pPr>
        <w:keepNext/>
        <w:keepLines/>
        <w:autoSpaceDE w:val="0"/>
        <w:autoSpaceDN w:val="0"/>
        <w:jc w:val="center"/>
        <w:rPr>
          <w:rFonts w:cs="Arial"/>
          <w:i/>
        </w:rPr>
      </w:pPr>
      <w:r w:rsidRPr="00A32AF4">
        <w:rPr>
          <w:rFonts w:cs="Arial"/>
          <w:i/>
        </w:rPr>
        <w:t>(</w:t>
      </w:r>
      <w:proofErr w:type="gramStart"/>
      <w:r w:rsidRPr="00A32AF4">
        <w:rPr>
          <w:rFonts w:cs="Arial"/>
          <w:i/>
        </w:rPr>
        <w:t>en</w:t>
      </w:r>
      <w:proofErr w:type="gramEnd"/>
      <w:r w:rsidRPr="00A32AF4">
        <w:rPr>
          <w:rFonts w:cs="Arial"/>
          <w:i/>
        </w:rPr>
        <w:t xml:space="preserve"> milliers de francs suisses)</w:t>
      </w:r>
    </w:p>
    <w:p w:rsidR="00BB36D3" w:rsidRPr="00A32AF4" w:rsidRDefault="00BB36D3" w:rsidP="00FB1F61">
      <w:pPr>
        <w:keepNext/>
        <w:keepLines/>
      </w:pPr>
    </w:p>
    <w:tbl>
      <w:tblPr>
        <w:tblW w:w="8980" w:type="dxa"/>
        <w:tblInd w:w="55" w:type="dxa"/>
        <w:tblCellMar>
          <w:left w:w="70" w:type="dxa"/>
          <w:right w:w="70" w:type="dxa"/>
        </w:tblCellMar>
        <w:tblLook w:val="04A0" w:firstRow="1" w:lastRow="0" w:firstColumn="1" w:lastColumn="0" w:noHBand="0" w:noVBand="1"/>
      </w:tblPr>
      <w:tblGrid>
        <w:gridCol w:w="512"/>
        <w:gridCol w:w="4508"/>
        <w:gridCol w:w="1260"/>
        <w:gridCol w:w="1440"/>
        <w:gridCol w:w="1260"/>
      </w:tblGrid>
      <w:tr w:rsidR="00BB36D3" w:rsidRPr="00A32AF4" w:rsidTr="00BB36D3">
        <w:trPr>
          <w:cantSplit/>
        </w:trPr>
        <w:tc>
          <w:tcPr>
            <w:tcW w:w="5020" w:type="dxa"/>
            <w:gridSpan w:val="2"/>
            <w:tcBorders>
              <w:top w:val="single" w:sz="4" w:space="0" w:color="auto"/>
              <w:left w:val="single" w:sz="4" w:space="0" w:color="auto"/>
              <w:bottom w:val="single" w:sz="4" w:space="0" w:color="auto"/>
              <w:right w:val="single" w:sz="4" w:space="0" w:color="000000"/>
            </w:tcBorders>
            <w:shd w:val="clear" w:color="000000" w:fill="C5D9F1"/>
            <w:noWrap/>
            <w:tcMar>
              <w:top w:w="113" w:type="dxa"/>
              <w:bottom w:w="113" w:type="dxa"/>
            </w:tcMar>
            <w:vAlign w:val="center"/>
            <w:hideMark/>
          </w:tcPr>
          <w:p w:rsidR="00BB36D3" w:rsidRPr="00A32AF4" w:rsidRDefault="00BB36D3" w:rsidP="00FB1F61">
            <w:pPr>
              <w:keepNext/>
              <w:keepLines/>
              <w:jc w:val="center"/>
              <w:rPr>
                <w:rFonts w:cs="Arial"/>
                <w:i/>
                <w:iCs/>
                <w:sz w:val="16"/>
                <w:szCs w:val="16"/>
                <w:lang w:eastAsia="fr-FR"/>
              </w:rPr>
            </w:pPr>
            <w:r w:rsidRPr="00A32AF4">
              <w:rPr>
                <w:rFonts w:cs="Arial"/>
                <w:i/>
                <w:iCs/>
                <w:sz w:val="16"/>
                <w:szCs w:val="16"/>
                <w:lang w:eastAsia="fr-FR"/>
              </w:rPr>
              <w:t xml:space="preserve">Numéro et description du résultat escompté </w:t>
            </w:r>
          </w:p>
        </w:tc>
        <w:tc>
          <w:tcPr>
            <w:tcW w:w="126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BB36D3" w:rsidRPr="00A32AF4" w:rsidRDefault="00BB36D3" w:rsidP="00FB1F61">
            <w:pPr>
              <w:keepNext/>
              <w:keepLines/>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2014</w:t>
            </w:r>
            <w:r w:rsidR="00EB7F54" w:rsidRPr="00A32AF4">
              <w:rPr>
                <w:rFonts w:cs="Arial"/>
                <w:i/>
                <w:iCs/>
                <w:sz w:val="16"/>
                <w:szCs w:val="16"/>
                <w:lang w:eastAsia="fr-FR"/>
              </w:rPr>
              <w:noBreakHyphen/>
            </w:r>
            <w:r w:rsidRPr="00A32AF4">
              <w:rPr>
                <w:rFonts w:cs="Arial"/>
                <w:i/>
                <w:iCs/>
                <w:sz w:val="16"/>
                <w:szCs w:val="16"/>
                <w:lang w:eastAsia="fr-FR"/>
              </w:rPr>
              <w:t>2015 approuvé</w:t>
            </w:r>
          </w:p>
        </w:tc>
        <w:tc>
          <w:tcPr>
            <w:tcW w:w="144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BB36D3" w:rsidRPr="00A32AF4" w:rsidRDefault="00BB36D3" w:rsidP="00FB1F61">
            <w:pPr>
              <w:keepNext/>
              <w:keepLines/>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2014</w:t>
            </w:r>
            <w:r w:rsidR="00EB7F54" w:rsidRPr="00A32AF4">
              <w:rPr>
                <w:rFonts w:cs="Arial"/>
                <w:i/>
                <w:iCs/>
                <w:sz w:val="16"/>
                <w:szCs w:val="16"/>
                <w:lang w:eastAsia="fr-FR"/>
              </w:rPr>
              <w:noBreakHyphen/>
            </w:r>
            <w:r w:rsidRPr="00A32AF4">
              <w:rPr>
                <w:rFonts w:cs="Arial"/>
                <w:i/>
                <w:iCs/>
                <w:sz w:val="16"/>
                <w:szCs w:val="16"/>
                <w:lang w:eastAsia="fr-FR"/>
              </w:rPr>
              <w:t>2015 après virements</w:t>
            </w:r>
          </w:p>
        </w:tc>
        <w:tc>
          <w:tcPr>
            <w:tcW w:w="126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BB36D3" w:rsidRPr="00A32AF4" w:rsidRDefault="00BB36D3" w:rsidP="00FB1F61">
            <w:pPr>
              <w:keepNext/>
              <w:keepLines/>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2016</w:t>
            </w:r>
            <w:r w:rsidR="00EB7F54" w:rsidRPr="00A32AF4">
              <w:rPr>
                <w:rFonts w:cs="Arial"/>
                <w:i/>
                <w:iCs/>
                <w:sz w:val="16"/>
                <w:szCs w:val="16"/>
                <w:lang w:eastAsia="fr-FR"/>
              </w:rPr>
              <w:noBreakHyphen/>
            </w:r>
            <w:r w:rsidRPr="00A32AF4">
              <w:rPr>
                <w:rFonts w:cs="Arial"/>
                <w:i/>
                <w:iCs/>
                <w:sz w:val="16"/>
                <w:szCs w:val="16"/>
                <w:lang w:eastAsia="fr-FR"/>
              </w:rPr>
              <w:t>2017 proposé</w:t>
            </w:r>
          </w:p>
        </w:tc>
      </w:tr>
      <w:tr w:rsidR="00BB36D3" w:rsidRPr="00A32AF4" w:rsidTr="00BB36D3">
        <w:trPr>
          <w:cantSplit/>
        </w:trPr>
        <w:tc>
          <w:tcPr>
            <w:tcW w:w="512" w:type="dxa"/>
            <w:tcBorders>
              <w:top w:val="nil"/>
              <w:left w:val="single" w:sz="4" w:space="0" w:color="auto"/>
              <w:bottom w:val="nil"/>
              <w:right w:val="nil"/>
            </w:tcBorders>
            <w:shd w:val="clear" w:color="auto" w:fill="auto"/>
            <w:noWrap/>
            <w:tcMar>
              <w:top w:w="113" w:type="dxa"/>
              <w:bottom w:w="113" w:type="dxa"/>
            </w:tcMar>
            <w:vAlign w:val="center"/>
            <w:hideMark/>
          </w:tcPr>
          <w:p w:rsidR="00BB36D3" w:rsidRPr="00A32AF4" w:rsidRDefault="00BB36D3" w:rsidP="00FB1F61">
            <w:pPr>
              <w:keepNext/>
              <w:keepLines/>
              <w:rPr>
                <w:rFonts w:cs="Arial"/>
                <w:sz w:val="16"/>
                <w:szCs w:val="16"/>
                <w:lang w:eastAsia="fr-FR"/>
              </w:rPr>
            </w:pPr>
            <w:r w:rsidRPr="00A32AF4">
              <w:rPr>
                <w:rFonts w:cs="Arial"/>
                <w:sz w:val="16"/>
                <w:szCs w:val="16"/>
                <w:lang w:eastAsia="fr-FR"/>
              </w:rPr>
              <w:t>III.1</w:t>
            </w:r>
          </w:p>
        </w:tc>
        <w:tc>
          <w:tcPr>
            <w:tcW w:w="4508" w:type="dxa"/>
            <w:tcBorders>
              <w:top w:val="nil"/>
              <w:left w:val="nil"/>
              <w:bottom w:val="nil"/>
              <w:right w:val="nil"/>
            </w:tcBorders>
            <w:shd w:val="clear" w:color="auto" w:fill="auto"/>
            <w:tcMar>
              <w:top w:w="113" w:type="dxa"/>
              <w:bottom w:w="113" w:type="dxa"/>
            </w:tcMar>
            <w:vAlign w:val="center"/>
            <w:hideMark/>
          </w:tcPr>
          <w:p w:rsidR="00BB36D3" w:rsidRPr="00A32AF4" w:rsidRDefault="00BB36D3" w:rsidP="00FB1F61">
            <w:pPr>
              <w:keepNext/>
              <w:keepLines/>
              <w:rPr>
                <w:rFonts w:cs="Arial"/>
                <w:sz w:val="16"/>
                <w:szCs w:val="16"/>
                <w:lang w:eastAsia="fr-FR"/>
              </w:rPr>
            </w:pPr>
            <w:r w:rsidRPr="00A32AF4">
              <w:rPr>
                <w:rFonts w:cs="Arial"/>
                <w:sz w:val="16"/>
                <w:szCs w:val="16"/>
                <w:lang w:eastAsia="fr-FR"/>
              </w:rPr>
              <w:t>Stratégies et plans nationaux en matière d</w:t>
            </w:r>
            <w:r w:rsidR="00E2055A" w:rsidRPr="00A32AF4">
              <w:rPr>
                <w:rFonts w:cs="Arial"/>
                <w:sz w:val="16"/>
                <w:szCs w:val="16"/>
                <w:lang w:eastAsia="fr-FR"/>
              </w:rPr>
              <w:t>’</w:t>
            </w:r>
            <w:r w:rsidRPr="00A32AF4">
              <w:rPr>
                <w:rFonts w:cs="Arial"/>
                <w:sz w:val="16"/>
                <w:szCs w:val="16"/>
                <w:lang w:eastAsia="fr-FR"/>
              </w:rPr>
              <w:t>innovation et de propriété intellectuelle conformes aux objectifs de développement nationaux</w:t>
            </w:r>
          </w:p>
        </w:tc>
        <w:tc>
          <w:tcPr>
            <w:tcW w:w="1260" w:type="dxa"/>
            <w:tcBorders>
              <w:top w:val="nil"/>
              <w:left w:val="nil"/>
              <w:bottom w:val="nil"/>
              <w:right w:val="nil"/>
            </w:tcBorders>
            <w:shd w:val="clear" w:color="auto" w:fill="auto"/>
            <w:tcMar>
              <w:top w:w="113" w:type="dxa"/>
              <w:bottom w:w="113" w:type="dxa"/>
            </w:tcMar>
            <w:vAlign w:val="center"/>
            <w:hideMark/>
          </w:tcPr>
          <w:p w:rsidR="00BB36D3" w:rsidRPr="00A32AF4" w:rsidRDefault="00BB36D3" w:rsidP="00FB1F61">
            <w:pPr>
              <w:keepNext/>
              <w:keepLines/>
              <w:jc w:val="right"/>
              <w:rPr>
                <w:rFonts w:cs="Arial"/>
                <w:sz w:val="16"/>
                <w:szCs w:val="16"/>
                <w:lang w:eastAsia="fr-FR"/>
              </w:rPr>
            </w:pPr>
            <w:r w:rsidRPr="00A32AF4">
              <w:rPr>
                <w:rFonts w:cs="Arial"/>
                <w:sz w:val="16"/>
                <w:szCs w:val="16"/>
                <w:lang w:eastAsia="fr-FR"/>
              </w:rPr>
              <w:t xml:space="preserve">250 </w:t>
            </w:r>
          </w:p>
        </w:tc>
        <w:tc>
          <w:tcPr>
            <w:tcW w:w="1440" w:type="dxa"/>
            <w:tcBorders>
              <w:top w:val="nil"/>
              <w:left w:val="nil"/>
              <w:bottom w:val="nil"/>
              <w:right w:val="nil"/>
            </w:tcBorders>
            <w:shd w:val="clear" w:color="auto" w:fill="auto"/>
            <w:tcMar>
              <w:top w:w="113" w:type="dxa"/>
              <w:bottom w:w="113" w:type="dxa"/>
            </w:tcMar>
            <w:vAlign w:val="center"/>
            <w:hideMark/>
          </w:tcPr>
          <w:p w:rsidR="00BB36D3" w:rsidRPr="00A32AF4" w:rsidRDefault="00BB36D3" w:rsidP="00FB1F61">
            <w:pPr>
              <w:keepNext/>
              <w:keepLines/>
              <w:jc w:val="right"/>
              <w:rPr>
                <w:rFonts w:cs="Arial"/>
                <w:sz w:val="16"/>
                <w:szCs w:val="16"/>
                <w:lang w:eastAsia="fr-FR"/>
              </w:rPr>
            </w:pPr>
            <w:r w:rsidRPr="00A32AF4">
              <w:rPr>
                <w:rFonts w:cs="Arial"/>
                <w:sz w:val="16"/>
                <w:szCs w:val="16"/>
                <w:lang w:eastAsia="fr-FR"/>
              </w:rPr>
              <w:t xml:space="preserve">837 </w:t>
            </w:r>
          </w:p>
        </w:tc>
        <w:tc>
          <w:tcPr>
            <w:tcW w:w="1260" w:type="dxa"/>
            <w:tcBorders>
              <w:top w:val="nil"/>
              <w:left w:val="nil"/>
              <w:bottom w:val="nil"/>
              <w:right w:val="single" w:sz="4" w:space="0" w:color="auto"/>
            </w:tcBorders>
            <w:shd w:val="clear" w:color="auto" w:fill="auto"/>
            <w:noWrap/>
            <w:tcMar>
              <w:top w:w="113" w:type="dxa"/>
              <w:bottom w:w="113" w:type="dxa"/>
            </w:tcMar>
            <w:vAlign w:val="center"/>
            <w:hideMark/>
          </w:tcPr>
          <w:p w:rsidR="00BB36D3" w:rsidRPr="00A32AF4" w:rsidRDefault="00BB36D3" w:rsidP="00FB1F61">
            <w:pPr>
              <w:keepNext/>
              <w:keepLines/>
              <w:jc w:val="right"/>
              <w:rPr>
                <w:rFonts w:cs="Arial"/>
                <w:color w:val="000000"/>
                <w:sz w:val="16"/>
                <w:szCs w:val="16"/>
                <w:lang w:eastAsia="fr-FR"/>
              </w:rPr>
            </w:pPr>
            <w:r w:rsidRPr="00A32AF4">
              <w:rPr>
                <w:rFonts w:cs="Arial"/>
                <w:color w:val="000000"/>
                <w:sz w:val="16"/>
                <w:szCs w:val="16"/>
                <w:lang w:eastAsia="fr-FR"/>
              </w:rPr>
              <w:t xml:space="preserve">1 020 </w:t>
            </w:r>
          </w:p>
        </w:tc>
      </w:tr>
      <w:tr w:rsidR="00BB36D3" w:rsidRPr="00A32AF4" w:rsidTr="00BB36D3">
        <w:trPr>
          <w:cantSplit/>
        </w:trPr>
        <w:tc>
          <w:tcPr>
            <w:tcW w:w="512" w:type="dxa"/>
            <w:tcBorders>
              <w:top w:val="nil"/>
              <w:left w:val="single" w:sz="4" w:space="0" w:color="auto"/>
              <w:bottom w:val="nil"/>
              <w:right w:val="nil"/>
            </w:tcBorders>
            <w:shd w:val="clear" w:color="auto" w:fill="auto"/>
            <w:noWrap/>
            <w:tcMar>
              <w:top w:w="113" w:type="dxa"/>
              <w:bottom w:w="113" w:type="dxa"/>
            </w:tcMar>
            <w:vAlign w:val="center"/>
            <w:hideMark/>
          </w:tcPr>
          <w:p w:rsidR="00BB36D3" w:rsidRPr="00A32AF4" w:rsidRDefault="00BB36D3" w:rsidP="00DC0553">
            <w:pPr>
              <w:rPr>
                <w:rFonts w:cs="Arial"/>
                <w:sz w:val="16"/>
                <w:szCs w:val="16"/>
                <w:lang w:eastAsia="fr-FR"/>
              </w:rPr>
            </w:pPr>
            <w:r w:rsidRPr="00A32AF4">
              <w:rPr>
                <w:rFonts w:cs="Arial"/>
                <w:sz w:val="16"/>
                <w:szCs w:val="16"/>
                <w:lang w:eastAsia="fr-FR"/>
              </w:rPr>
              <w:t>III.2</w:t>
            </w:r>
          </w:p>
        </w:tc>
        <w:tc>
          <w:tcPr>
            <w:tcW w:w="4508" w:type="dxa"/>
            <w:tcBorders>
              <w:top w:val="nil"/>
              <w:left w:val="nil"/>
              <w:bottom w:val="nil"/>
              <w:right w:val="nil"/>
            </w:tcBorders>
            <w:shd w:val="clear" w:color="auto" w:fill="auto"/>
            <w:tcMar>
              <w:top w:w="113" w:type="dxa"/>
              <w:bottom w:w="113" w:type="dxa"/>
            </w:tcMar>
            <w:vAlign w:val="center"/>
            <w:hideMark/>
          </w:tcPr>
          <w:p w:rsidR="00BB36D3" w:rsidRPr="00A32AF4" w:rsidRDefault="00BB36D3" w:rsidP="00DC0553">
            <w:pPr>
              <w:rPr>
                <w:rFonts w:cs="Arial"/>
                <w:sz w:val="16"/>
                <w:szCs w:val="16"/>
                <w:lang w:eastAsia="fr-FR"/>
              </w:rPr>
            </w:pPr>
            <w:r w:rsidRPr="00A32AF4">
              <w:rPr>
                <w:rFonts w:cs="Arial"/>
                <w:sz w:val="16"/>
                <w:szCs w:val="16"/>
                <w:lang w:eastAsia="fr-FR"/>
              </w:rPr>
              <w:t>Mise en valeur des ressources humaines pour répondre aux diverses exigences en matière d</w:t>
            </w:r>
            <w:r w:rsidR="00E2055A" w:rsidRPr="00A32AF4">
              <w:rPr>
                <w:rFonts w:cs="Arial"/>
                <w:sz w:val="16"/>
                <w:szCs w:val="16"/>
                <w:lang w:eastAsia="fr-FR"/>
              </w:rPr>
              <w:t>’</w:t>
            </w:r>
            <w:r w:rsidRPr="00A32AF4">
              <w:rPr>
                <w:rFonts w:cs="Arial"/>
                <w:sz w:val="16"/>
                <w:szCs w:val="16"/>
                <w:lang w:eastAsia="fr-FR"/>
              </w:rPr>
              <w:t>utilisation efficace de la propriété intellectuelle au service du développement dans les pays en développement,</w:t>
            </w:r>
            <w:r w:rsidR="00E2055A" w:rsidRPr="00A32AF4">
              <w:rPr>
                <w:rFonts w:cs="Arial"/>
                <w:sz w:val="16"/>
                <w:szCs w:val="16"/>
                <w:lang w:eastAsia="fr-FR"/>
              </w:rPr>
              <w:t xml:space="preserve"> les PMA</w:t>
            </w:r>
            <w:r w:rsidRPr="00A32AF4">
              <w:rPr>
                <w:rFonts w:cs="Arial"/>
                <w:sz w:val="16"/>
                <w:szCs w:val="16"/>
                <w:lang w:eastAsia="fr-FR"/>
              </w:rPr>
              <w:t xml:space="preserve"> et les pays en transition</w:t>
            </w:r>
          </w:p>
        </w:tc>
        <w:tc>
          <w:tcPr>
            <w:tcW w:w="1260" w:type="dxa"/>
            <w:tcBorders>
              <w:top w:val="nil"/>
              <w:left w:val="nil"/>
              <w:bottom w:val="nil"/>
              <w:right w:val="nil"/>
            </w:tcBorders>
            <w:shd w:val="clear" w:color="auto" w:fill="auto"/>
            <w:tcMar>
              <w:top w:w="113" w:type="dxa"/>
              <w:bottom w:w="113" w:type="dxa"/>
            </w:tcMar>
            <w:vAlign w:val="center"/>
            <w:hideMark/>
          </w:tcPr>
          <w:p w:rsidR="00BB36D3" w:rsidRPr="00A32AF4" w:rsidRDefault="00BB36D3" w:rsidP="00DC0553">
            <w:pPr>
              <w:jc w:val="right"/>
              <w:rPr>
                <w:rFonts w:cs="Arial"/>
                <w:sz w:val="16"/>
                <w:szCs w:val="16"/>
                <w:lang w:eastAsia="fr-FR"/>
              </w:rPr>
            </w:pPr>
            <w:r w:rsidRPr="00A32AF4">
              <w:rPr>
                <w:rFonts w:cs="Arial"/>
                <w:sz w:val="16"/>
                <w:szCs w:val="16"/>
                <w:lang w:eastAsia="fr-FR"/>
              </w:rPr>
              <w:t xml:space="preserve">1 163 </w:t>
            </w:r>
          </w:p>
        </w:tc>
        <w:tc>
          <w:tcPr>
            <w:tcW w:w="1440" w:type="dxa"/>
            <w:tcBorders>
              <w:top w:val="nil"/>
              <w:left w:val="nil"/>
              <w:bottom w:val="nil"/>
              <w:right w:val="nil"/>
            </w:tcBorders>
            <w:shd w:val="clear" w:color="auto" w:fill="auto"/>
            <w:tcMar>
              <w:top w:w="113" w:type="dxa"/>
              <w:bottom w:w="113" w:type="dxa"/>
            </w:tcMar>
            <w:vAlign w:val="center"/>
            <w:hideMark/>
          </w:tcPr>
          <w:p w:rsidR="00BB36D3" w:rsidRPr="00A32AF4" w:rsidRDefault="00BB36D3" w:rsidP="00DC0553">
            <w:pPr>
              <w:jc w:val="right"/>
              <w:rPr>
                <w:rFonts w:cs="Arial"/>
                <w:sz w:val="16"/>
                <w:szCs w:val="16"/>
                <w:lang w:eastAsia="fr-FR"/>
              </w:rPr>
            </w:pPr>
            <w:r w:rsidRPr="00A32AF4">
              <w:rPr>
                <w:rFonts w:cs="Arial"/>
                <w:sz w:val="16"/>
                <w:szCs w:val="16"/>
                <w:lang w:eastAsia="fr-FR"/>
              </w:rPr>
              <w:t xml:space="preserve">630 </w:t>
            </w:r>
          </w:p>
        </w:tc>
        <w:tc>
          <w:tcPr>
            <w:tcW w:w="1260" w:type="dxa"/>
            <w:tcBorders>
              <w:top w:val="nil"/>
              <w:left w:val="nil"/>
              <w:bottom w:val="nil"/>
              <w:right w:val="single" w:sz="4" w:space="0" w:color="auto"/>
            </w:tcBorders>
            <w:shd w:val="clear" w:color="auto" w:fill="auto"/>
            <w:noWrap/>
            <w:tcMar>
              <w:top w:w="113" w:type="dxa"/>
              <w:bottom w:w="113" w:type="dxa"/>
            </w:tcMar>
            <w:vAlign w:val="center"/>
            <w:hideMark/>
          </w:tcPr>
          <w:p w:rsidR="00BB36D3" w:rsidRPr="00A32AF4" w:rsidRDefault="00BB36D3" w:rsidP="00DC0553">
            <w:pPr>
              <w:jc w:val="right"/>
              <w:rPr>
                <w:rFonts w:cs="Arial"/>
                <w:color w:val="000000"/>
                <w:sz w:val="16"/>
                <w:szCs w:val="16"/>
                <w:lang w:eastAsia="fr-FR"/>
              </w:rPr>
            </w:pPr>
            <w:r w:rsidRPr="00A32AF4">
              <w:rPr>
                <w:rFonts w:cs="Arial"/>
                <w:color w:val="000000"/>
                <w:sz w:val="16"/>
                <w:szCs w:val="16"/>
                <w:lang w:eastAsia="fr-FR"/>
              </w:rPr>
              <w:t xml:space="preserve">962 </w:t>
            </w:r>
          </w:p>
        </w:tc>
      </w:tr>
      <w:tr w:rsidR="00BB36D3" w:rsidRPr="00A32AF4" w:rsidTr="00BB36D3">
        <w:trPr>
          <w:cantSplit/>
        </w:trPr>
        <w:tc>
          <w:tcPr>
            <w:tcW w:w="512" w:type="dxa"/>
            <w:tcBorders>
              <w:top w:val="nil"/>
              <w:left w:val="single" w:sz="4" w:space="0" w:color="auto"/>
              <w:bottom w:val="nil"/>
              <w:right w:val="nil"/>
            </w:tcBorders>
            <w:shd w:val="clear" w:color="auto" w:fill="auto"/>
            <w:noWrap/>
            <w:tcMar>
              <w:top w:w="113" w:type="dxa"/>
              <w:bottom w:w="113" w:type="dxa"/>
            </w:tcMar>
            <w:vAlign w:val="center"/>
            <w:hideMark/>
          </w:tcPr>
          <w:p w:rsidR="00BB36D3" w:rsidRPr="00A32AF4" w:rsidRDefault="00BB36D3" w:rsidP="00DC0553">
            <w:pPr>
              <w:rPr>
                <w:rFonts w:cs="Arial"/>
                <w:sz w:val="16"/>
                <w:szCs w:val="16"/>
                <w:lang w:eastAsia="fr-FR"/>
              </w:rPr>
            </w:pPr>
            <w:r w:rsidRPr="00A32AF4">
              <w:rPr>
                <w:rFonts w:cs="Arial"/>
                <w:sz w:val="16"/>
                <w:szCs w:val="16"/>
                <w:lang w:eastAsia="fr-FR"/>
              </w:rPr>
              <w:t>III.6</w:t>
            </w:r>
          </w:p>
        </w:tc>
        <w:tc>
          <w:tcPr>
            <w:tcW w:w="4508" w:type="dxa"/>
            <w:tcBorders>
              <w:top w:val="nil"/>
              <w:left w:val="nil"/>
              <w:bottom w:val="nil"/>
              <w:right w:val="nil"/>
            </w:tcBorders>
            <w:shd w:val="clear" w:color="auto" w:fill="auto"/>
            <w:tcMar>
              <w:top w:w="113" w:type="dxa"/>
              <w:bottom w:w="113" w:type="dxa"/>
            </w:tcMar>
            <w:vAlign w:val="center"/>
            <w:hideMark/>
          </w:tcPr>
          <w:p w:rsidR="00BB36D3" w:rsidRPr="00A32AF4" w:rsidRDefault="00BB36D3" w:rsidP="00DC0553">
            <w:pPr>
              <w:rPr>
                <w:rFonts w:cs="Arial"/>
                <w:sz w:val="16"/>
                <w:szCs w:val="16"/>
                <w:lang w:eastAsia="fr-FR"/>
              </w:rPr>
            </w:pPr>
            <w:r w:rsidRPr="00A32AF4">
              <w:rPr>
                <w:rFonts w:cs="Arial"/>
                <w:sz w:val="16"/>
                <w:szCs w:val="16"/>
                <w:lang w:eastAsia="fr-FR"/>
              </w:rPr>
              <w:t>Renforcement des capacités</w:t>
            </w:r>
            <w:r w:rsidR="00E2055A" w:rsidRPr="00A32AF4">
              <w:rPr>
                <w:rFonts w:cs="Arial"/>
                <w:sz w:val="16"/>
                <w:szCs w:val="16"/>
                <w:lang w:eastAsia="fr-FR"/>
              </w:rPr>
              <w:t xml:space="preserve"> des PME</w:t>
            </w:r>
            <w:r w:rsidRPr="00A32AF4">
              <w:rPr>
                <w:rFonts w:cs="Arial"/>
                <w:sz w:val="16"/>
                <w:szCs w:val="16"/>
                <w:lang w:eastAsia="fr-FR"/>
              </w:rPr>
              <w:t xml:space="preserve"> s</w:t>
            </w:r>
            <w:r w:rsidR="00E2055A" w:rsidRPr="00A32AF4">
              <w:rPr>
                <w:rFonts w:cs="Arial"/>
                <w:sz w:val="16"/>
                <w:szCs w:val="16"/>
                <w:lang w:eastAsia="fr-FR"/>
              </w:rPr>
              <w:t>’</w:t>
            </w:r>
            <w:r w:rsidRPr="00A32AF4">
              <w:rPr>
                <w:rFonts w:cs="Arial"/>
                <w:sz w:val="16"/>
                <w:szCs w:val="16"/>
                <w:lang w:eastAsia="fr-FR"/>
              </w:rPr>
              <w:t>agissant de mettre la propriété intellectuelle au service de l</w:t>
            </w:r>
            <w:r w:rsidR="00E2055A" w:rsidRPr="00A32AF4">
              <w:rPr>
                <w:rFonts w:cs="Arial"/>
                <w:sz w:val="16"/>
                <w:szCs w:val="16"/>
                <w:lang w:eastAsia="fr-FR"/>
              </w:rPr>
              <w:t>’</w:t>
            </w:r>
            <w:r w:rsidRPr="00A32AF4">
              <w:rPr>
                <w:rFonts w:cs="Arial"/>
                <w:sz w:val="16"/>
                <w:szCs w:val="16"/>
                <w:lang w:eastAsia="fr-FR"/>
              </w:rPr>
              <w:t>innovation</w:t>
            </w:r>
          </w:p>
        </w:tc>
        <w:tc>
          <w:tcPr>
            <w:tcW w:w="1260" w:type="dxa"/>
            <w:tcBorders>
              <w:top w:val="nil"/>
              <w:left w:val="nil"/>
              <w:bottom w:val="nil"/>
              <w:right w:val="nil"/>
            </w:tcBorders>
            <w:shd w:val="clear" w:color="auto" w:fill="auto"/>
            <w:tcMar>
              <w:top w:w="113" w:type="dxa"/>
              <w:bottom w:w="113" w:type="dxa"/>
            </w:tcMar>
            <w:vAlign w:val="center"/>
            <w:hideMark/>
          </w:tcPr>
          <w:p w:rsidR="00BB36D3" w:rsidRPr="00A32AF4" w:rsidRDefault="00BB36D3" w:rsidP="00DC0553">
            <w:pPr>
              <w:jc w:val="right"/>
              <w:rPr>
                <w:rFonts w:cs="Arial"/>
                <w:sz w:val="16"/>
                <w:szCs w:val="16"/>
                <w:lang w:eastAsia="fr-FR"/>
              </w:rPr>
            </w:pPr>
            <w:r w:rsidRPr="00A32AF4">
              <w:rPr>
                <w:rFonts w:cs="Arial"/>
                <w:sz w:val="16"/>
                <w:szCs w:val="16"/>
                <w:lang w:eastAsia="fr-FR"/>
              </w:rPr>
              <w:t xml:space="preserve">3 841 </w:t>
            </w:r>
          </w:p>
        </w:tc>
        <w:tc>
          <w:tcPr>
            <w:tcW w:w="1440" w:type="dxa"/>
            <w:tcBorders>
              <w:top w:val="nil"/>
              <w:left w:val="nil"/>
              <w:bottom w:val="nil"/>
              <w:right w:val="nil"/>
            </w:tcBorders>
            <w:shd w:val="clear" w:color="auto" w:fill="auto"/>
            <w:tcMar>
              <w:top w:w="113" w:type="dxa"/>
              <w:bottom w:w="113" w:type="dxa"/>
            </w:tcMar>
            <w:vAlign w:val="center"/>
            <w:hideMark/>
          </w:tcPr>
          <w:p w:rsidR="00BB36D3" w:rsidRPr="00A32AF4" w:rsidRDefault="00BB36D3" w:rsidP="00DC0553">
            <w:pPr>
              <w:jc w:val="right"/>
              <w:rPr>
                <w:rFonts w:cs="Arial"/>
                <w:sz w:val="16"/>
                <w:szCs w:val="16"/>
                <w:lang w:eastAsia="fr-FR"/>
              </w:rPr>
            </w:pPr>
            <w:r w:rsidRPr="00A32AF4">
              <w:rPr>
                <w:rFonts w:cs="Arial"/>
                <w:sz w:val="16"/>
                <w:szCs w:val="16"/>
                <w:lang w:eastAsia="fr-FR"/>
              </w:rPr>
              <w:t xml:space="preserve">3 241 </w:t>
            </w:r>
          </w:p>
        </w:tc>
        <w:tc>
          <w:tcPr>
            <w:tcW w:w="1260" w:type="dxa"/>
            <w:tcBorders>
              <w:top w:val="nil"/>
              <w:left w:val="nil"/>
              <w:bottom w:val="nil"/>
              <w:right w:val="single" w:sz="4" w:space="0" w:color="auto"/>
            </w:tcBorders>
            <w:shd w:val="clear" w:color="auto" w:fill="auto"/>
            <w:noWrap/>
            <w:tcMar>
              <w:top w:w="113" w:type="dxa"/>
              <w:bottom w:w="113" w:type="dxa"/>
            </w:tcMar>
            <w:vAlign w:val="center"/>
            <w:hideMark/>
          </w:tcPr>
          <w:p w:rsidR="00BB36D3" w:rsidRPr="00A32AF4" w:rsidRDefault="00BB36D3" w:rsidP="00DC0553">
            <w:pPr>
              <w:jc w:val="right"/>
              <w:rPr>
                <w:rFonts w:cs="Arial"/>
                <w:color w:val="000000"/>
                <w:sz w:val="16"/>
                <w:szCs w:val="16"/>
                <w:lang w:eastAsia="fr-FR"/>
              </w:rPr>
            </w:pPr>
            <w:r w:rsidRPr="00A32AF4">
              <w:rPr>
                <w:rFonts w:cs="Arial"/>
                <w:color w:val="000000"/>
                <w:sz w:val="16"/>
                <w:szCs w:val="16"/>
                <w:lang w:eastAsia="fr-FR"/>
              </w:rPr>
              <w:t xml:space="preserve">3 125 </w:t>
            </w:r>
          </w:p>
        </w:tc>
      </w:tr>
      <w:tr w:rsidR="00BB36D3" w:rsidRPr="00A32AF4" w:rsidTr="00BB36D3">
        <w:trPr>
          <w:cantSplit/>
        </w:trPr>
        <w:tc>
          <w:tcPr>
            <w:tcW w:w="512" w:type="dxa"/>
            <w:tcBorders>
              <w:top w:val="nil"/>
              <w:left w:val="single" w:sz="4" w:space="0" w:color="auto"/>
              <w:bottom w:val="nil"/>
              <w:right w:val="nil"/>
            </w:tcBorders>
            <w:shd w:val="clear" w:color="auto" w:fill="auto"/>
            <w:noWrap/>
            <w:tcMar>
              <w:top w:w="113" w:type="dxa"/>
              <w:bottom w:w="113" w:type="dxa"/>
            </w:tcMar>
            <w:vAlign w:val="center"/>
            <w:hideMark/>
          </w:tcPr>
          <w:p w:rsidR="00BB36D3" w:rsidRPr="00A32AF4" w:rsidRDefault="00BB36D3" w:rsidP="00DC0553">
            <w:pPr>
              <w:rPr>
                <w:rFonts w:cs="Arial"/>
                <w:sz w:val="16"/>
                <w:szCs w:val="16"/>
                <w:lang w:eastAsia="fr-FR"/>
              </w:rPr>
            </w:pPr>
            <w:r w:rsidRPr="00A32AF4">
              <w:rPr>
                <w:rFonts w:cs="Arial"/>
                <w:sz w:val="16"/>
                <w:szCs w:val="16"/>
                <w:lang w:eastAsia="fr-FR"/>
              </w:rPr>
              <w:t>IV.2</w:t>
            </w:r>
          </w:p>
        </w:tc>
        <w:tc>
          <w:tcPr>
            <w:tcW w:w="4508" w:type="dxa"/>
            <w:tcBorders>
              <w:top w:val="nil"/>
              <w:left w:val="nil"/>
              <w:bottom w:val="nil"/>
              <w:right w:val="nil"/>
            </w:tcBorders>
            <w:shd w:val="clear" w:color="auto" w:fill="auto"/>
            <w:tcMar>
              <w:top w:w="113" w:type="dxa"/>
              <w:bottom w:w="113" w:type="dxa"/>
            </w:tcMar>
            <w:vAlign w:val="center"/>
            <w:hideMark/>
          </w:tcPr>
          <w:p w:rsidR="00BB36D3" w:rsidRPr="00A32AF4" w:rsidRDefault="00BB36D3" w:rsidP="00DC0553">
            <w:pPr>
              <w:rPr>
                <w:rFonts w:cs="Arial"/>
                <w:sz w:val="16"/>
                <w:szCs w:val="16"/>
                <w:lang w:eastAsia="fr-FR"/>
              </w:rPr>
            </w:pPr>
            <w:r w:rsidRPr="00A32AF4">
              <w:rPr>
                <w:rFonts w:cs="Arial"/>
                <w:sz w:val="16"/>
                <w:szCs w:val="16"/>
                <w:lang w:eastAsia="fr-FR"/>
              </w:rPr>
              <w:t>Amélioration de l</w:t>
            </w:r>
            <w:r w:rsidR="00E2055A" w:rsidRPr="00A32AF4">
              <w:rPr>
                <w:rFonts w:cs="Arial"/>
                <w:sz w:val="16"/>
                <w:szCs w:val="16"/>
                <w:lang w:eastAsia="fr-FR"/>
              </w:rPr>
              <w:t>’</w:t>
            </w:r>
            <w:r w:rsidRPr="00A32AF4">
              <w:rPr>
                <w:rFonts w:cs="Arial"/>
                <w:sz w:val="16"/>
                <w:szCs w:val="16"/>
                <w:lang w:eastAsia="fr-FR"/>
              </w:rPr>
              <w:t>accessibilité et de l</w:t>
            </w:r>
            <w:r w:rsidR="00E2055A" w:rsidRPr="00A32AF4">
              <w:rPr>
                <w:rFonts w:cs="Arial"/>
                <w:sz w:val="16"/>
                <w:szCs w:val="16"/>
                <w:lang w:eastAsia="fr-FR"/>
              </w:rPr>
              <w:t>’</w:t>
            </w:r>
            <w:r w:rsidRPr="00A32AF4">
              <w:rPr>
                <w:rFonts w:cs="Arial"/>
                <w:sz w:val="16"/>
                <w:szCs w:val="16"/>
                <w:lang w:eastAsia="fr-FR"/>
              </w:rPr>
              <w:t>utilisation de l</w:t>
            </w:r>
            <w:r w:rsidR="00E2055A" w:rsidRPr="00A32AF4">
              <w:rPr>
                <w:rFonts w:cs="Arial"/>
                <w:sz w:val="16"/>
                <w:szCs w:val="16"/>
                <w:lang w:eastAsia="fr-FR"/>
              </w:rPr>
              <w:t>’</w:t>
            </w:r>
            <w:r w:rsidRPr="00A32AF4">
              <w:rPr>
                <w:rFonts w:cs="Arial"/>
                <w:sz w:val="16"/>
                <w:szCs w:val="16"/>
                <w:lang w:eastAsia="fr-FR"/>
              </w:rPr>
              <w:t>information en matière de propriété intellectuelle par les institutions compétentes et le public afin de promouvoir l</w:t>
            </w:r>
            <w:r w:rsidR="00E2055A" w:rsidRPr="00A32AF4">
              <w:rPr>
                <w:rFonts w:cs="Arial"/>
                <w:sz w:val="16"/>
                <w:szCs w:val="16"/>
                <w:lang w:eastAsia="fr-FR"/>
              </w:rPr>
              <w:t>’</w:t>
            </w:r>
            <w:r w:rsidRPr="00A32AF4">
              <w:rPr>
                <w:rFonts w:cs="Arial"/>
                <w:sz w:val="16"/>
                <w:szCs w:val="16"/>
                <w:lang w:eastAsia="fr-FR"/>
              </w:rPr>
              <w:t>innovation et la créativité</w:t>
            </w:r>
          </w:p>
        </w:tc>
        <w:tc>
          <w:tcPr>
            <w:tcW w:w="1260" w:type="dxa"/>
            <w:tcBorders>
              <w:top w:val="nil"/>
              <w:left w:val="nil"/>
              <w:bottom w:val="nil"/>
              <w:right w:val="nil"/>
            </w:tcBorders>
            <w:shd w:val="clear" w:color="auto" w:fill="auto"/>
            <w:tcMar>
              <w:top w:w="113" w:type="dxa"/>
              <w:bottom w:w="113" w:type="dxa"/>
            </w:tcMar>
            <w:vAlign w:val="center"/>
            <w:hideMark/>
          </w:tcPr>
          <w:p w:rsidR="00BB36D3" w:rsidRPr="00A32AF4" w:rsidRDefault="00BB36D3" w:rsidP="00DC0553">
            <w:pPr>
              <w:jc w:val="right"/>
              <w:rPr>
                <w:rFonts w:cs="Arial"/>
                <w:sz w:val="16"/>
                <w:szCs w:val="16"/>
                <w:lang w:eastAsia="fr-FR"/>
              </w:rPr>
            </w:pPr>
            <w:r w:rsidRPr="00A32AF4">
              <w:rPr>
                <w:rFonts w:cs="Arial"/>
                <w:sz w:val="16"/>
                <w:szCs w:val="16"/>
                <w:lang w:eastAsia="fr-FR"/>
              </w:rPr>
              <w:t xml:space="preserve">1 442 </w:t>
            </w:r>
          </w:p>
        </w:tc>
        <w:tc>
          <w:tcPr>
            <w:tcW w:w="1440" w:type="dxa"/>
            <w:tcBorders>
              <w:top w:val="nil"/>
              <w:left w:val="nil"/>
              <w:bottom w:val="nil"/>
              <w:right w:val="nil"/>
            </w:tcBorders>
            <w:shd w:val="clear" w:color="auto" w:fill="auto"/>
            <w:tcMar>
              <w:top w:w="113" w:type="dxa"/>
              <w:bottom w:w="113" w:type="dxa"/>
            </w:tcMar>
            <w:vAlign w:val="center"/>
            <w:hideMark/>
          </w:tcPr>
          <w:p w:rsidR="00BB36D3" w:rsidRPr="00A32AF4" w:rsidRDefault="00BB36D3" w:rsidP="00DC0553">
            <w:pPr>
              <w:jc w:val="right"/>
              <w:rPr>
                <w:rFonts w:cs="Arial"/>
                <w:sz w:val="16"/>
                <w:szCs w:val="16"/>
                <w:lang w:eastAsia="fr-FR"/>
              </w:rPr>
            </w:pPr>
            <w:r w:rsidRPr="00A32AF4">
              <w:rPr>
                <w:rFonts w:cs="Arial"/>
                <w:sz w:val="16"/>
                <w:szCs w:val="16"/>
                <w:lang w:eastAsia="fr-FR"/>
              </w:rPr>
              <w:t xml:space="preserve">800 </w:t>
            </w:r>
          </w:p>
        </w:tc>
        <w:tc>
          <w:tcPr>
            <w:tcW w:w="1260" w:type="dxa"/>
            <w:tcBorders>
              <w:top w:val="nil"/>
              <w:left w:val="nil"/>
              <w:bottom w:val="nil"/>
              <w:right w:val="single" w:sz="4" w:space="0" w:color="auto"/>
            </w:tcBorders>
            <w:shd w:val="clear" w:color="auto" w:fill="auto"/>
            <w:noWrap/>
            <w:tcMar>
              <w:top w:w="113" w:type="dxa"/>
              <w:bottom w:w="113" w:type="dxa"/>
            </w:tcMar>
            <w:vAlign w:val="center"/>
            <w:hideMark/>
          </w:tcPr>
          <w:p w:rsidR="00BB36D3" w:rsidRPr="00A32AF4" w:rsidRDefault="00BB36D3" w:rsidP="00DC0553">
            <w:pPr>
              <w:jc w:val="right"/>
              <w:rPr>
                <w:rFonts w:cs="Arial"/>
                <w:color w:val="000000"/>
                <w:sz w:val="16"/>
                <w:szCs w:val="16"/>
                <w:lang w:eastAsia="fr-FR"/>
              </w:rPr>
            </w:pPr>
            <w:r w:rsidRPr="00A32AF4">
              <w:rPr>
                <w:rFonts w:cs="Arial"/>
                <w:color w:val="000000"/>
                <w:sz w:val="16"/>
                <w:szCs w:val="16"/>
                <w:lang w:eastAsia="fr-FR"/>
              </w:rPr>
              <w:t xml:space="preserve">976 </w:t>
            </w:r>
          </w:p>
        </w:tc>
      </w:tr>
      <w:tr w:rsidR="00BB36D3" w:rsidRPr="00A32AF4" w:rsidTr="00BB36D3">
        <w:trPr>
          <w:cantSplit/>
        </w:trPr>
        <w:tc>
          <w:tcPr>
            <w:tcW w:w="512" w:type="dxa"/>
            <w:tcBorders>
              <w:top w:val="single" w:sz="4" w:space="0" w:color="auto"/>
              <w:left w:val="single" w:sz="4" w:space="0" w:color="auto"/>
              <w:bottom w:val="single" w:sz="4" w:space="0" w:color="auto"/>
              <w:right w:val="nil"/>
            </w:tcBorders>
            <w:shd w:val="clear" w:color="000000" w:fill="C5D9F1"/>
            <w:noWrap/>
            <w:tcMar>
              <w:top w:w="113" w:type="dxa"/>
              <w:bottom w:w="113" w:type="dxa"/>
            </w:tcMar>
            <w:vAlign w:val="bottom"/>
            <w:hideMark/>
          </w:tcPr>
          <w:p w:rsidR="00BB36D3" w:rsidRPr="00A32AF4" w:rsidRDefault="00BB36D3" w:rsidP="00DC0553">
            <w:pPr>
              <w:rPr>
                <w:rFonts w:cs="Arial"/>
                <w:sz w:val="16"/>
                <w:szCs w:val="16"/>
                <w:lang w:eastAsia="fr-FR"/>
              </w:rPr>
            </w:pPr>
            <w:r w:rsidRPr="00A32AF4">
              <w:rPr>
                <w:rFonts w:cs="Arial"/>
                <w:sz w:val="16"/>
                <w:szCs w:val="16"/>
                <w:lang w:eastAsia="fr-FR"/>
              </w:rPr>
              <w:t> </w:t>
            </w:r>
          </w:p>
        </w:tc>
        <w:tc>
          <w:tcPr>
            <w:tcW w:w="4508"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BB36D3" w:rsidRPr="00A32AF4" w:rsidRDefault="00BB36D3" w:rsidP="00DC0553">
            <w:pPr>
              <w:rPr>
                <w:rFonts w:cs="Arial"/>
                <w:b/>
                <w:bCs/>
                <w:sz w:val="16"/>
                <w:szCs w:val="16"/>
                <w:lang w:eastAsia="fr-FR"/>
              </w:rPr>
            </w:pPr>
            <w:r w:rsidRPr="00A32AF4">
              <w:rPr>
                <w:rFonts w:cs="Arial"/>
                <w:b/>
                <w:bCs/>
                <w:sz w:val="16"/>
                <w:szCs w:val="16"/>
                <w:lang w:eastAsia="fr-FR"/>
              </w:rPr>
              <w:t>Total</w:t>
            </w:r>
          </w:p>
        </w:tc>
        <w:tc>
          <w:tcPr>
            <w:tcW w:w="1260"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BB36D3" w:rsidRPr="00A32AF4" w:rsidRDefault="00BB36D3" w:rsidP="00DC0553">
            <w:pPr>
              <w:jc w:val="right"/>
              <w:rPr>
                <w:rFonts w:cs="Arial"/>
                <w:b/>
                <w:bCs/>
                <w:sz w:val="16"/>
                <w:szCs w:val="16"/>
                <w:lang w:eastAsia="fr-FR"/>
              </w:rPr>
            </w:pPr>
            <w:r w:rsidRPr="00A32AF4">
              <w:rPr>
                <w:rFonts w:cs="Arial"/>
                <w:b/>
                <w:bCs/>
                <w:sz w:val="16"/>
                <w:szCs w:val="16"/>
                <w:lang w:eastAsia="fr-FR"/>
              </w:rPr>
              <w:t xml:space="preserve">6 696 </w:t>
            </w:r>
          </w:p>
        </w:tc>
        <w:tc>
          <w:tcPr>
            <w:tcW w:w="1440"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BB36D3" w:rsidRPr="00A32AF4" w:rsidRDefault="00BB36D3" w:rsidP="00DC0553">
            <w:pPr>
              <w:jc w:val="right"/>
              <w:rPr>
                <w:rFonts w:cs="Arial"/>
                <w:b/>
                <w:bCs/>
                <w:sz w:val="16"/>
                <w:szCs w:val="16"/>
                <w:lang w:eastAsia="fr-FR"/>
              </w:rPr>
            </w:pPr>
            <w:r w:rsidRPr="00A32AF4">
              <w:rPr>
                <w:rFonts w:cs="Arial"/>
                <w:b/>
                <w:bCs/>
                <w:sz w:val="16"/>
                <w:szCs w:val="16"/>
                <w:lang w:eastAsia="fr-FR"/>
              </w:rPr>
              <w:t xml:space="preserve">5 508 </w:t>
            </w:r>
          </w:p>
        </w:tc>
        <w:tc>
          <w:tcPr>
            <w:tcW w:w="1260"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BB36D3" w:rsidRPr="00A32AF4" w:rsidRDefault="00BB36D3" w:rsidP="00DC0553">
            <w:pPr>
              <w:jc w:val="right"/>
              <w:rPr>
                <w:rFonts w:cs="Arial"/>
                <w:b/>
                <w:bCs/>
                <w:sz w:val="16"/>
                <w:szCs w:val="16"/>
                <w:lang w:eastAsia="fr-FR"/>
              </w:rPr>
            </w:pPr>
            <w:r w:rsidRPr="00A32AF4">
              <w:rPr>
                <w:rFonts w:cs="Arial"/>
                <w:b/>
                <w:bCs/>
                <w:sz w:val="16"/>
                <w:szCs w:val="16"/>
                <w:lang w:eastAsia="fr-FR"/>
              </w:rPr>
              <w:t xml:space="preserve">6 083 </w:t>
            </w:r>
          </w:p>
        </w:tc>
      </w:tr>
    </w:tbl>
    <w:p w:rsidR="00BB36D3" w:rsidRPr="00A32AF4" w:rsidRDefault="00BB36D3" w:rsidP="00DC0553"/>
    <w:p w:rsidR="00BB36D3" w:rsidRPr="00A32AF4" w:rsidRDefault="00BB36D3" w:rsidP="00DC0553"/>
    <w:p w:rsidR="00BB36D3" w:rsidRPr="00A32AF4" w:rsidRDefault="00BB36D3" w:rsidP="00DC0553">
      <w:pPr>
        <w:keepNext/>
        <w:keepLines/>
        <w:autoSpaceDE w:val="0"/>
        <w:autoSpaceDN w:val="0"/>
        <w:jc w:val="center"/>
        <w:rPr>
          <w:rFonts w:cs="Arial"/>
          <w:b/>
        </w:rPr>
      </w:pPr>
      <w:r w:rsidRPr="00A32AF4">
        <w:rPr>
          <w:rFonts w:cs="Arial"/>
          <w:b/>
        </w:rPr>
        <w:t>Programme 30 : ressources par objet de dépense</w:t>
      </w:r>
    </w:p>
    <w:p w:rsidR="00BB36D3" w:rsidRPr="00A32AF4" w:rsidRDefault="00BB36D3" w:rsidP="00DC0553">
      <w:pPr>
        <w:keepNext/>
        <w:keepLines/>
        <w:autoSpaceDE w:val="0"/>
        <w:autoSpaceDN w:val="0"/>
        <w:jc w:val="center"/>
        <w:rPr>
          <w:rFonts w:cs="Arial"/>
          <w:i/>
        </w:rPr>
      </w:pPr>
      <w:r w:rsidRPr="00A32AF4">
        <w:rPr>
          <w:rFonts w:cs="Arial"/>
          <w:i/>
        </w:rPr>
        <w:t>(</w:t>
      </w:r>
      <w:proofErr w:type="gramStart"/>
      <w:r w:rsidRPr="00A32AF4">
        <w:rPr>
          <w:rFonts w:cs="Arial"/>
          <w:i/>
        </w:rPr>
        <w:t>en</w:t>
      </w:r>
      <w:proofErr w:type="gramEnd"/>
      <w:r w:rsidRPr="00A32AF4">
        <w:rPr>
          <w:rFonts w:cs="Arial"/>
          <w:i/>
        </w:rPr>
        <w:t xml:space="preserve"> milliers de francs suisses)</w:t>
      </w:r>
    </w:p>
    <w:p w:rsidR="00BB36D3" w:rsidRPr="00A32AF4" w:rsidRDefault="00BB36D3" w:rsidP="00DC0553">
      <w:pPr>
        <w:keepNext/>
        <w:rPr>
          <w:rFonts w:eastAsia="SimSun"/>
        </w:rPr>
      </w:pPr>
    </w:p>
    <w:p w:rsidR="00BB36D3" w:rsidRPr="00A32AF4" w:rsidRDefault="00E91FB4" w:rsidP="00DC0553">
      <w:pPr>
        <w:rPr>
          <w:rFonts w:eastAsia="SimSun"/>
        </w:rPr>
      </w:pPr>
      <w:r w:rsidRPr="00A32AF4">
        <w:rPr>
          <w:rFonts w:eastAsia="SimSun"/>
          <w:noProof/>
          <w:lang w:eastAsia="fr-FR"/>
        </w:rPr>
        <w:drawing>
          <wp:inline distT="0" distB="0" distL="0" distR="0" wp14:anchorId="33D70680" wp14:editId="5B2127A7">
            <wp:extent cx="5512435" cy="6555105"/>
            <wp:effectExtent l="0" t="0" r="0" b="0"/>
            <wp:docPr id="1045" name="Pictur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512435" cy="6555105"/>
                    </a:xfrm>
                    <a:prstGeom prst="rect">
                      <a:avLst/>
                    </a:prstGeom>
                    <a:noFill/>
                    <a:ln>
                      <a:noFill/>
                    </a:ln>
                  </pic:spPr>
                </pic:pic>
              </a:graphicData>
            </a:graphic>
          </wp:inline>
        </w:drawing>
      </w:r>
    </w:p>
    <w:p w:rsidR="00BB36D3" w:rsidRPr="00A32AF4" w:rsidRDefault="00BB36D3" w:rsidP="00DC0553"/>
    <w:p w:rsidR="00F93B76" w:rsidRPr="00A32AF4" w:rsidRDefault="00B54C10" w:rsidP="00FB1F61">
      <w:pPr>
        <w:pStyle w:val="Heading3"/>
      </w:pPr>
      <w:r w:rsidRPr="00A32AF4">
        <w:br w:type="page"/>
      </w:r>
    </w:p>
    <w:p w:rsidR="00F93B76" w:rsidRPr="00A32AF4" w:rsidRDefault="00B54C10" w:rsidP="00FB1F61">
      <w:pPr>
        <w:pStyle w:val="Heading2"/>
        <w:rPr>
          <w:rFonts w:hint="eastAsia"/>
        </w:rPr>
      </w:pPr>
      <w:bookmarkStart w:id="45" w:name="_Toc431555451"/>
      <w:r w:rsidRPr="00A32AF4">
        <w:t>Objectif stratégique IV</w:t>
      </w:r>
      <w:r w:rsidRPr="00A32AF4">
        <w:tab/>
        <w:t>Coordination et développement de l</w:t>
      </w:r>
      <w:r w:rsidR="00E2055A" w:rsidRPr="00A32AF4">
        <w:t>’</w:t>
      </w:r>
      <w:r w:rsidRPr="00A32AF4">
        <w:t>infrastructure mondiale en matière de propriété intellectuelle</w:t>
      </w:r>
      <w:bookmarkEnd w:id="45"/>
    </w:p>
    <w:p w:rsidR="00F93B76" w:rsidRPr="00A32AF4" w:rsidRDefault="00F93B76" w:rsidP="00DC0553"/>
    <w:p w:rsidR="00F93B76" w:rsidRPr="00A32AF4" w:rsidRDefault="00F93B76" w:rsidP="00DC0553"/>
    <w:p w:rsidR="00F93B76" w:rsidRPr="00A32AF4" w:rsidRDefault="0053596F" w:rsidP="00DC0553">
      <w:pPr>
        <w:autoSpaceDE w:val="0"/>
        <w:autoSpaceDN w:val="0"/>
        <w:adjustRightInd w:val="0"/>
        <w:jc w:val="both"/>
        <w:rPr>
          <w:rFonts w:cs="Arial"/>
        </w:rPr>
      </w:pPr>
      <w:r w:rsidRPr="00A32AF4">
        <w:rPr>
          <w:rFonts w:cs="Arial"/>
        </w:rPr>
        <w:t>Les technologies de l</w:t>
      </w:r>
      <w:r w:rsidR="00E2055A" w:rsidRPr="00A32AF4">
        <w:rPr>
          <w:rFonts w:cs="Arial"/>
        </w:rPr>
        <w:t>’</w:t>
      </w:r>
      <w:r w:rsidRPr="00A32AF4">
        <w:rPr>
          <w:rFonts w:cs="Arial"/>
        </w:rPr>
        <w:t>information et de la communication (TIC) ont permis d</w:t>
      </w:r>
      <w:r w:rsidR="00E2055A" w:rsidRPr="00A32AF4">
        <w:rPr>
          <w:rFonts w:cs="Arial"/>
        </w:rPr>
        <w:t>’</w:t>
      </w:r>
      <w:r w:rsidRPr="00A32AF4">
        <w:rPr>
          <w:rFonts w:cs="Arial"/>
        </w:rPr>
        <w:t>utiliser plus efficacement le système international de la propriété intellectuelle, d</w:t>
      </w:r>
      <w:r w:rsidR="00E2055A" w:rsidRPr="00A32AF4">
        <w:rPr>
          <w:rFonts w:cs="Arial"/>
        </w:rPr>
        <w:t>’</w:t>
      </w:r>
      <w:r w:rsidRPr="00A32AF4">
        <w:rPr>
          <w:rFonts w:cs="Arial"/>
        </w:rPr>
        <w:t>accroître l</w:t>
      </w:r>
      <w:r w:rsidR="00E2055A" w:rsidRPr="00A32AF4">
        <w:rPr>
          <w:rFonts w:cs="Arial"/>
        </w:rPr>
        <w:t>’</w:t>
      </w:r>
      <w:r w:rsidRPr="00A32AF4">
        <w:rPr>
          <w:rFonts w:cs="Arial"/>
        </w:rPr>
        <w:t>accès à ses services et d</w:t>
      </w:r>
      <w:r w:rsidR="00E2055A" w:rsidRPr="00A32AF4">
        <w:rPr>
          <w:rFonts w:cs="Arial"/>
        </w:rPr>
        <w:t>’</w:t>
      </w:r>
      <w:r w:rsidRPr="00A32AF4">
        <w:rPr>
          <w:rFonts w:cs="Arial"/>
        </w:rPr>
        <w:t>élargir la participation au système des pays les moins avancés, en développement ou en transition.  Cet objectif stratégique vise à renforcer l</w:t>
      </w:r>
      <w:r w:rsidR="00E2055A" w:rsidRPr="00A32AF4">
        <w:rPr>
          <w:rFonts w:cs="Arial"/>
        </w:rPr>
        <w:t>’</w:t>
      </w:r>
      <w:r w:rsidRPr="00A32AF4">
        <w:rPr>
          <w:rFonts w:cs="Arial"/>
        </w:rPr>
        <w:t>infrastructure des États membres, en particulier des pays les moins avancés, en développement ou en transition, à intensifier la coopération internationale en matière d</w:t>
      </w:r>
      <w:r w:rsidR="00E2055A" w:rsidRPr="00A32AF4">
        <w:rPr>
          <w:rFonts w:cs="Arial"/>
        </w:rPr>
        <w:t>’</w:t>
      </w:r>
      <w:r w:rsidRPr="00A32AF4">
        <w:rPr>
          <w:rFonts w:cs="Arial"/>
        </w:rPr>
        <w:t>infrastructure et d</w:t>
      </w:r>
      <w:r w:rsidR="00E2055A" w:rsidRPr="00A32AF4">
        <w:rPr>
          <w:rFonts w:cs="Arial"/>
        </w:rPr>
        <w:t>’</w:t>
      </w:r>
      <w:r w:rsidRPr="00A32AF4">
        <w:rPr>
          <w:rFonts w:cs="Arial"/>
        </w:rPr>
        <w:t>échange de données à travers tout le système, ainsi qu</w:t>
      </w:r>
      <w:r w:rsidR="00E2055A" w:rsidRPr="00A32AF4">
        <w:rPr>
          <w:rFonts w:cs="Arial"/>
        </w:rPr>
        <w:t>’</w:t>
      </w:r>
      <w:r w:rsidRPr="00A32AF4">
        <w:rPr>
          <w:rFonts w:cs="Arial"/>
        </w:rPr>
        <w:t>à élaborer des bases de données mondiales sur la propriété intellectuelle et des plates</w:t>
      </w:r>
      <w:r w:rsidR="00EB7F54" w:rsidRPr="00A32AF4">
        <w:rPr>
          <w:rFonts w:cs="Arial"/>
        </w:rPr>
        <w:noBreakHyphen/>
      </w:r>
      <w:r w:rsidRPr="00A32AF4">
        <w:rPr>
          <w:rFonts w:cs="Arial"/>
        </w:rPr>
        <w:t>formes volontaires pour accroître la coopération technique.</w:t>
      </w:r>
    </w:p>
    <w:p w:rsidR="00F93B76" w:rsidRPr="00A32AF4" w:rsidRDefault="00F93B76" w:rsidP="00DC0553">
      <w:pPr>
        <w:autoSpaceDE w:val="0"/>
        <w:autoSpaceDN w:val="0"/>
        <w:adjustRightInd w:val="0"/>
        <w:jc w:val="both"/>
        <w:rPr>
          <w:rFonts w:cs="Arial"/>
        </w:rPr>
      </w:pPr>
    </w:p>
    <w:p w:rsidR="00F93B76" w:rsidRPr="00A32AF4" w:rsidRDefault="0053596F" w:rsidP="00DC0553">
      <w:pPr>
        <w:autoSpaceDE w:val="0"/>
        <w:autoSpaceDN w:val="0"/>
        <w:adjustRightInd w:val="0"/>
        <w:jc w:val="both"/>
        <w:rPr>
          <w:rFonts w:cs="Arial"/>
        </w:rPr>
      </w:pPr>
      <w:r w:rsidRPr="00A32AF4">
        <w:rPr>
          <w:rFonts w:cs="Arial"/>
        </w:rPr>
        <w:t>La coordination et le développement de l</w:t>
      </w:r>
      <w:r w:rsidR="00E2055A" w:rsidRPr="00A32AF4">
        <w:rPr>
          <w:rFonts w:cs="Arial"/>
        </w:rPr>
        <w:t>’</w:t>
      </w:r>
      <w:r w:rsidRPr="00A32AF4">
        <w:rPr>
          <w:rFonts w:cs="Arial"/>
        </w:rPr>
        <w:t>infrastructure mondiale en matière de propriété intellectuelle contribuent également à la réalisation des objectifs stratégiques III (Favoriser l</w:t>
      </w:r>
      <w:r w:rsidR="00E2055A" w:rsidRPr="00A32AF4">
        <w:rPr>
          <w:rFonts w:cs="Arial"/>
        </w:rPr>
        <w:t>’</w:t>
      </w:r>
      <w:r w:rsidRPr="00A32AF4">
        <w:rPr>
          <w:rFonts w:cs="Arial"/>
        </w:rPr>
        <w:t>utilisation de la propriété intellectuelle au service du développement), II (Fourniture de services mondiaux de propriété intellectuelle de premier ordre) et V (Source de références mondiale pour l</w:t>
      </w:r>
      <w:r w:rsidR="00E2055A" w:rsidRPr="00A32AF4">
        <w:rPr>
          <w:rFonts w:cs="Arial"/>
        </w:rPr>
        <w:t>’</w:t>
      </w:r>
      <w:r w:rsidRPr="00A32AF4">
        <w:rPr>
          <w:rFonts w:cs="Arial"/>
        </w:rPr>
        <w:t>information et l</w:t>
      </w:r>
      <w:r w:rsidR="00E2055A" w:rsidRPr="00A32AF4">
        <w:rPr>
          <w:rFonts w:cs="Arial"/>
        </w:rPr>
        <w:t>’</w:t>
      </w:r>
      <w:r w:rsidRPr="00A32AF4">
        <w:rPr>
          <w:rFonts w:cs="Arial"/>
        </w:rPr>
        <w:t>analyse en matière de propriété intellectuelle).  S</w:t>
      </w:r>
      <w:r w:rsidR="00E2055A" w:rsidRPr="00A32AF4">
        <w:rPr>
          <w:rFonts w:cs="Arial"/>
        </w:rPr>
        <w:t>’</w:t>
      </w:r>
      <w:r w:rsidRPr="00A32AF4">
        <w:rPr>
          <w:rFonts w:cs="Arial"/>
        </w:rPr>
        <w:t>y rattache également la mise en œuvre d</w:t>
      </w:r>
      <w:r w:rsidR="00E2055A" w:rsidRPr="00A32AF4">
        <w:rPr>
          <w:rFonts w:cs="Arial"/>
        </w:rPr>
        <w:t>’</w:t>
      </w:r>
      <w:r w:rsidRPr="00A32AF4">
        <w:rPr>
          <w:rFonts w:cs="Arial"/>
        </w:rPr>
        <w:t>un certain nombre de recommandations du Plan d</w:t>
      </w:r>
      <w:r w:rsidR="00E2055A" w:rsidRPr="00A32AF4">
        <w:rPr>
          <w:rFonts w:cs="Arial"/>
        </w:rPr>
        <w:t>’</w:t>
      </w:r>
      <w:r w:rsidRPr="00A32AF4">
        <w:rPr>
          <w:rFonts w:cs="Arial"/>
        </w:rPr>
        <w:t>action pour le développement.</w:t>
      </w:r>
    </w:p>
    <w:p w:rsidR="00F93B76" w:rsidRPr="00A32AF4" w:rsidRDefault="00F93B76" w:rsidP="00DC0553"/>
    <w:p w:rsidR="0053596F" w:rsidRPr="00A32AF4" w:rsidRDefault="0053596F" w:rsidP="00DC0553">
      <w:pPr>
        <w:rPr>
          <w:rFonts w:cs="Arial"/>
        </w:rPr>
      </w:pPr>
    </w:p>
    <w:tbl>
      <w:tblPr>
        <w:tblW w:w="4856"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192"/>
        <w:gridCol w:w="3898"/>
        <w:gridCol w:w="1930"/>
      </w:tblGrid>
      <w:tr w:rsidR="0053596F" w:rsidRPr="00A32AF4" w:rsidTr="00FF3B36">
        <w:trPr>
          <w:cantSplit/>
          <w:tblHeader/>
        </w:trPr>
        <w:tc>
          <w:tcPr>
            <w:tcW w:w="1769" w:type="pct"/>
            <w:tcBorders>
              <w:top w:val="single" w:sz="4" w:space="0" w:color="auto"/>
              <w:bottom w:val="single" w:sz="4" w:space="0" w:color="auto"/>
            </w:tcBorders>
            <w:shd w:val="clear" w:color="auto" w:fill="C6D9F1" w:themeFill="text2" w:themeFillTint="33"/>
            <w:tcMar>
              <w:top w:w="113" w:type="dxa"/>
              <w:bottom w:w="113" w:type="dxa"/>
            </w:tcMar>
            <w:vAlign w:val="center"/>
          </w:tcPr>
          <w:p w:rsidR="0053596F" w:rsidRPr="00A32AF4" w:rsidRDefault="0053596F" w:rsidP="00DC0553">
            <w:pPr>
              <w:jc w:val="center"/>
              <w:rPr>
                <w:rFonts w:cs="Arial"/>
                <w:b/>
                <w:bCs/>
                <w:sz w:val="18"/>
                <w:szCs w:val="18"/>
              </w:rPr>
            </w:pPr>
            <w:r w:rsidRPr="00A32AF4">
              <w:rPr>
                <w:rFonts w:cs="Arial"/>
                <w:b/>
                <w:bCs/>
                <w:sz w:val="18"/>
                <w:szCs w:val="18"/>
              </w:rPr>
              <w:t>Résultats escomptés</w:t>
            </w:r>
          </w:p>
        </w:tc>
        <w:tc>
          <w:tcPr>
            <w:tcW w:w="2161" w:type="pct"/>
            <w:tcBorders>
              <w:top w:val="single" w:sz="4" w:space="0" w:color="auto"/>
              <w:bottom w:val="single" w:sz="4" w:space="0" w:color="auto"/>
            </w:tcBorders>
            <w:shd w:val="clear" w:color="auto" w:fill="C6D9F1" w:themeFill="text2" w:themeFillTint="33"/>
            <w:tcMar>
              <w:top w:w="113" w:type="dxa"/>
              <w:bottom w:w="113" w:type="dxa"/>
            </w:tcMar>
            <w:vAlign w:val="center"/>
          </w:tcPr>
          <w:p w:rsidR="0053596F" w:rsidRPr="00A32AF4" w:rsidRDefault="0053596F" w:rsidP="00DC0553">
            <w:pPr>
              <w:jc w:val="center"/>
              <w:rPr>
                <w:rFonts w:cs="Arial"/>
                <w:b/>
                <w:sz w:val="18"/>
                <w:szCs w:val="18"/>
              </w:rPr>
            </w:pPr>
            <w:r w:rsidRPr="00A32AF4">
              <w:rPr>
                <w:rFonts w:cs="Arial"/>
                <w:b/>
                <w:sz w:val="18"/>
                <w:szCs w:val="18"/>
              </w:rPr>
              <w:t>Indicateurs d</w:t>
            </w:r>
            <w:r w:rsidR="00E2055A" w:rsidRPr="00A32AF4">
              <w:rPr>
                <w:rFonts w:cs="Arial"/>
                <w:b/>
                <w:sz w:val="18"/>
                <w:szCs w:val="18"/>
              </w:rPr>
              <w:t>’</w:t>
            </w:r>
            <w:r w:rsidRPr="00A32AF4">
              <w:rPr>
                <w:rFonts w:cs="Arial"/>
                <w:b/>
                <w:sz w:val="18"/>
                <w:szCs w:val="18"/>
              </w:rPr>
              <w:t>exécution</w:t>
            </w:r>
          </w:p>
        </w:tc>
        <w:tc>
          <w:tcPr>
            <w:tcW w:w="1070" w:type="pct"/>
            <w:tcBorders>
              <w:top w:val="single" w:sz="4" w:space="0" w:color="auto"/>
              <w:bottom w:val="single" w:sz="4" w:space="0" w:color="auto"/>
            </w:tcBorders>
            <w:shd w:val="clear" w:color="auto" w:fill="C6D9F1" w:themeFill="text2" w:themeFillTint="33"/>
            <w:tcMar>
              <w:top w:w="113" w:type="dxa"/>
              <w:bottom w:w="113" w:type="dxa"/>
            </w:tcMar>
            <w:vAlign w:val="center"/>
          </w:tcPr>
          <w:p w:rsidR="0053596F" w:rsidRPr="00A32AF4" w:rsidRDefault="0053596F" w:rsidP="00DC0553">
            <w:pPr>
              <w:jc w:val="center"/>
              <w:rPr>
                <w:rFonts w:cs="Arial"/>
                <w:sz w:val="18"/>
                <w:szCs w:val="18"/>
              </w:rPr>
            </w:pPr>
            <w:r w:rsidRPr="00A32AF4">
              <w:rPr>
                <w:rFonts w:cs="Arial"/>
                <w:b/>
                <w:sz w:val="18"/>
                <w:szCs w:val="18"/>
              </w:rPr>
              <w:t>Programme(s) concerné(s)</w:t>
            </w:r>
          </w:p>
        </w:tc>
      </w:tr>
      <w:tr w:rsidR="00FF3B36" w:rsidRPr="00A32AF4" w:rsidTr="005C314E">
        <w:trPr>
          <w:cantSplit/>
        </w:trPr>
        <w:tc>
          <w:tcPr>
            <w:tcW w:w="1769" w:type="pct"/>
            <w:tcBorders>
              <w:top w:val="single" w:sz="4" w:space="0" w:color="auto"/>
              <w:bottom w:val="nil"/>
            </w:tcBorders>
            <w:shd w:val="clear" w:color="auto" w:fill="auto"/>
            <w:tcMar>
              <w:top w:w="113" w:type="dxa"/>
              <w:bottom w:w="113" w:type="dxa"/>
            </w:tcMar>
          </w:tcPr>
          <w:p w:rsidR="00FF3B36" w:rsidRPr="00A32AF4" w:rsidRDefault="00FF3B36" w:rsidP="00DC0553">
            <w:pPr>
              <w:rPr>
                <w:rFonts w:cs="Arial"/>
                <w:sz w:val="16"/>
                <w:szCs w:val="16"/>
              </w:rPr>
            </w:pPr>
            <w:r w:rsidRPr="00A32AF4">
              <w:rPr>
                <w:rFonts w:cs="Arial"/>
                <w:sz w:val="16"/>
                <w:szCs w:val="16"/>
              </w:rPr>
              <w:t>IV.1 Système actualisé et mondialement accepté des classifications internationales et des normes de l</w:t>
            </w:r>
            <w:r w:rsidR="00E2055A" w:rsidRPr="00A32AF4">
              <w:rPr>
                <w:rFonts w:cs="Arial"/>
                <w:sz w:val="16"/>
                <w:szCs w:val="16"/>
              </w:rPr>
              <w:t>’</w:t>
            </w:r>
            <w:r w:rsidRPr="00A32AF4">
              <w:rPr>
                <w:rFonts w:cs="Arial"/>
                <w:sz w:val="16"/>
                <w:szCs w:val="16"/>
              </w:rPr>
              <w:t>OMPI pour faciliter l</w:t>
            </w:r>
            <w:r w:rsidR="00E2055A" w:rsidRPr="00A32AF4">
              <w:rPr>
                <w:rFonts w:cs="Arial"/>
                <w:sz w:val="16"/>
                <w:szCs w:val="16"/>
              </w:rPr>
              <w:t>’</w:t>
            </w:r>
            <w:r w:rsidRPr="00A32AF4">
              <w:rPr>
                <w:rFonts w:cs="Arial"/>
                <w:sz w:val="16"/>
                <w:szCs w:val="16"/>
              </w:rPr>
              <w:t>accès des parties prenantes du monde entier à l</w:t>
            </w:r>
            <w:r w:rsidR="00E2055A" w:rsidRPr="00A32AF4">
              <w:rPr>
                <w:rFonts w:cs="Arial"/>
                <w:sz w:val="16"/>
                <w:szCs w:val="16"/>
              </w:rPr>
              <w:t>’</w:t>
            </w:r>
            <w:r w:rsidRPr="00A32AF4">
              <w:rPr>
                <w:rFonts w:cs="Arial"/>
                <w:sz w:val="16"/>
                <w:szCs w:val="16"/>
              </w:rPr>
              <w:t>information en matière de propriété intellectuelle, ainsi que son utilisation et sa diffusion</w:t>
            </w:r>
          </w:p>
        </w:tc>
        <w:tc>
          <w:tcPr>
            <w:tcW w:w="2161" w:type="pct"/>
            <w:tcBorders>
              <w:top w:val="single" w:sz="4" w:space="0" w:color="auto"/>
              <w:bottom w:val="nil"/>
            </w:tcBorders>
            <w:shd w:val="clear" w:color="auto" w:fill="auto"/>
            <w:tcMar>
              <w:top w:w="113" w:type="dxa"/>
              <w:bottom w:w="113" w:type="dxa"/>
            </w:tcMar>
          </w:tcPr>
          <w:p w:rsidR="00FF3B36" w:rsidRPr="00A32AF4" w:rsidRDefault="00942FB6" w:rsidP="005C314E">
            <w:pPr>
              <w:rPr>
                <w:rFonts w:cs="Arial"/>
                <w:sz w:val="16"/>
                <w:szCs w:val="16"/>
              </w:rPr>
            </w:pPr>
            <w:r w:rsidRPr="00A32AF4">
              <w:rPr>
                <w:sz w:val="16"/>
                <w:szCs w:val="16"/>
              </w:rPr>
              <w:t>Nombre de modifications et de dossiers d</w:t>
            </w:r>
            <w:r w:rsidR="00E2055A" w:rsidRPr="00A32AF4">
              <w:rPr>
                <w:sz w:val="16"/>
                <w:szCs w:val="16"/>
              </w:rPr>
              <w:t>’</w:t>
            </w:r>
            <w:r w:rsidRPr="00A32AF4">
              <w:rPr>
                <w:sz w:val="16"/>
                <w:szCs w:val="16"/>
              </w:rPr>
              <w:t>information introduits dans la classification de Nice</w:t>
            </w:r>
          </w:p>
        </w:tc>
        <w:tc>
          <w:tcPr>
            <w:tcW w:w="1070" w:type="pct"/>
            <w:tcBorders>
              <w:top w:val="single" w:sz="4" w:space="0" w:color="auto"/>
              <w:bottom w:val="nil"/>
            </w:tcBorders>
            <w:shd w:val="clear" w:color="auto" w:fill="FFFFFF"/>
            <w:tcMar>
              <w:top w:w="113" w:type="dxa"/>
              <w:bottom w:w="113" w:type="dxa"/>
            </w:tcMar>
          </w:tcPr>
          <w:p w:rsidR="00FF3B36" w:rsidRPr="00A32AF4" w:rsidRDefault="00FF3B36" w:rsidP="005C314E">
            <w:pPr>
              <w:jc w:val="center"/>
              <w:rPr>
                <w:rFonts w:cs="Arial"/>
                <w:sz w:val="16"/>
                <w:szCs w:val="16"/>
              </w:rPr>
            </w:pPr>
            <w:r w:rsidRPr="00A32AF4">
              <w:rPr>
                <w:rFonts w:cs="Arial"/>
                <w:sz w:val="16"/>
                <w:szCs w:val="16"/>
                <w:lang w:bidi="th-TH"/>
              </w:rPr>
              <w:t>Programme 12</w:t>
            </w:r>
          </w:p>
        </w:tc>
      </w:tr>
      <w:tr w:rsidR="005C314E" w:rsidRPr="00A32AF4" w:rsidTr="005C314E">
        <w:trPr>
          <w:cantSplit/>
        </w:trPr>
        <w:tc>
          <w:tcPr>
            <w:tcW w:w="1769" w:type="pct"/>
            <w:tcBorders>
              <w:top w:val="nil"/>
              <w:bottom w:val="nil"/>
            </w:tcBorders>
            <w:shd w:val="clear" w:color="auto" w:fill="auto"/>
            <w:tcMar>
              <w:top w:w="113" w:type="dxa"/>
              <w:bottom w:w="113" w:type="dxa"/>
            </w:tcMar>
          </w:tcPr>
          <w:p w:rsidR="005C314E" w:rsidRPr="00A32AF4" w:rsidRDefault="005C314E" w:rsidP="00DC0553">
            <w:pPr>
              <w:rPr>
                <w:rFonts w:cs="Arial"/>
                <w:sz w:val="16"/>
                <w:szCs w:val="16"/>
              </w:rPr>
            </w:pPr>
          </w:p>
        </w:tc>
        <w:tc>
          <w:tcPr>
            <w:tcW w:w="2161" w:type="pct"/>
            <w:tcBorders>
              <w:top w:val="nil"/>
              <w:bottom w:val="nil"/>
            </w:tcBorders>
            <w:shd w:val="clear" w:color="auto" w:fill="auto"/>
            <w:tcMar>
              <w:top w:w="113" w:type="dxa"/>
              <w:bottom w:w="113" w:type="dxa"/>
            </w:tcMar>
          </w:tcPr>
          <w:p w:rsidR="005C314E" w:rsidRPr="00A32AF4" w:rsidRDefault="005C314E" w:rsidP="00DC0553">
            <w:pPr>
              <w:rPr>
                <w:sz w:val="16"/>
                <w:szCs w:val="16"/>
              </w:rPr>
            </w:pPr>
            <w:r w:rsidRPr="00A32AF4">
              <w:rPr>
                <w:sz w:val="16"/>
                <w:szCs w:val="16"/>
              </w:rPr>
              <w:t>Nombre de nouvelles subdivisions introduites sur un an dans la CIB</w:t>
            </w:r>
          </w:p>
        </w:tc>
        <w:tc>
          <w:tcPr>
            <w:tcW w:w="1070" w:type="pct"/>
            <w:tcBorders>
              <w:top w:val="nil"/>
              <w:bottom w:val="nil"/>
            </w:tcBorders>
            <w:shd w:val="clear" w:color="auto" w:fill="FFFFFF"/>
            <w:tcMar>
              <w:top w:w="113" w:type="dxa"/>
              <w:bottom w:w="113" w:type="dxa"/>
            </w:tcMar>
          </w:tcPr>
          <w:p w:rsidR="005C314E" w:rsidRPr="00A32AF4" w:rsidRDefault="005C314E" w:rsidP="00DC0553">
            <w:pPr>
              <w:jc w:val="center"/>
              <w:rPr>
                <w:rFonts w:cs="Arial"/>
                <w:sz w:val="16"/>
                <w:szCs w:val="16"/>
                <w:lang w:bidi="th-TH"/>
              </w:rPr>
            </w:pPr>
            <w:r w:rsidRPr="00A32AF4">
              <w:rPr>
                <w:rFonts w:cs="Arial"/>
                <w:sz w:val="16"/>
                <w:szCs w:val="16"/>
                <w:lang w:bidi="th-TH"/>
              </w:rPr>
              <w:t>Programme 12</w:t>
            </w:r>
          </w:p>
        </w:tc>
      </w:tr>
      <w:tr w:rsidR="00FF3B36" w:rsidRPr="00A32AF4" w:rsidTr="005C314E">
        <w:trPr>
          <w:cantSplit/>
        </w:trPr>
        <w:tc>
          <w:tcPr>
            <w:tcW w:w="1769" w:type="pct"/>
            <w:tcBorders>
              <w:top w:val="nil"/>
            </w:tcBorders>
            <w:shd w:val="clear" w:color="auto" w:fill="auto"/>
            <w:tcMar>
              <w:top w:w="113" w:type="dxa"/>
              <w:bottom w:w="113" w:type="dxa"/>
            </w:tcMar>
          </w:tcPr>
          <w:p w:rsidR="00FF3B36" w:rsidRPr="00A32AF4" w:rsidRDefault="00FF3B36" w:rsidP="00DC0553">
            <w:pPr>
              <w:rPr>
                <w:rFonts w:cs="Arial"/>
                <w:sz w:val="16"/>
                <w:szCs w:val="16"/>
              </w:rPr>
            </w:pPr>
          </w:p>
        </w:tc>
        <w:tc>
          <w:tcPr>
            <w:tcW w:w="2161" w:type="pct"/>
            <w:tcBorders>
              <w:top w:val="nil"/>
            </w:tcBorders>
            <w:shd w:val="clear" w:color="auto" w:fill="auto"/>
            <w:tcMar>
              <w:top w:w="113" w:type="dxa"/>
              <w:bottom w:w="113" w:type="dxa"/>
            </w:tcMar>
          </w:tcPr>
          <w:p w:rsidR="00FF3B36" w:rsidRPr="00A32AF4" w:rsidRDefault="00942FB6" w:rsidP="00DC0553">
            <w:pPr>
              <w:rPr>
                <w:rFonts w:cs="Arial"/>
                <w:sz w:val="16"/>
                <w:szCs w:val="16"/>
              </w:rPr>
            </w:pPr>
            <w:r w:rsidRPr="00A32AF4">
              <w:rPr>
                <w:sz w:val="16"/>
                <w:szCs w:val="16"/>
              </w:rPr>
              <w:t>Nombre de normes modifiées et nouvelles adoptées</w:t>
            </w:r>
          </w:p>
        </w:tc>
        <w:tc>
          <w:tcPr>
            <w:tcW w:w="1070" w:type="pct"/>
            <w:tcBorders>
              <w:top w:val="nil"/>
            </w:tcBorders>
            <w:shd w:val="clear" w:color="auto" w:fill="FFFFFF"/>
            <w:tcMar>
              <w:top w:w="113" w:type="dxa"/>
              <w:bottom w:w="113" w:type="dxa"/>
            </w:tcMar>
          </w:tcPr>
          <w:p w:rsidR="00FF3B36" w:rsidRPr="00A32AF4" w:rsidRDefault="00FF3B36" w:rsidP="00DC0553">
            <w:pPr>
              <w:jc w:val="center"/>
              <w:rPr>
                <w:rFonts w:cs="Arial"/>
                <w:sz w:val="16"/>
                <w:szCs w:val="16"/>
              </w:rPr>
            </w:pPr>
            <w:r w:rsidRPr="00A32AF4">
              <w:rPr>
                <w:rFonts w:cs="Arial"/>
                <w:sz w:val="16"/>
                <w:szCs w:val="16"/>
                <w:lang w:bidi="th-TH"/>
              </w:rPr>
              <w:t>Programme 12</w:t>
            </w:r>
          </w:p>
        </w:tc>
      </w:tr>
      <w:tr w:rsidR="00FF3B36" w:rsidRPr="00A32AF4" w:rsidTr="00FF3B36">
        <w:trPr>
          <w:cantSplit/>
        </w:trPr>
        <w:tc>
          <w:tcPr>
            <w:tcW w:w="1769" w:type="pct"/>
            <w:shd w:val="clear" w:color="auto" w:fill="auto"/>
            <w:tcMar>
              <w:top w:w="113" w:type="dxa"/>
              <w:bottom w:w="113" w:type="dxa"/>
            </w:tcMar>
          </w:tcPr>
          <w:p w:rsidR="00FF3B36" w:rsidRPr="00A32AF4" w:rsidRDefault="00FF3B36" w:rsidP="00DC0553">
            <w:pPr>
              <w:rPr>
                <w:rFonts w:cs="Arial"/>
                <w:sz w:val="16"/>
                <w:szCs w:val="16"/>
              </w:rPr>
            </w:pPr>
          </w:p>
        </w:tc>
        <w:tc>
          <w:tcPr>
            <w:tcW w:w="2161" w:type="pct"/>
            <w:shd w:val="clear" w:color="auto" w:fill="auto"/>
            <w:tcMar>
              <w:top w:w="113" w:type="dxa"/>
              <w:bottom w:w="113" w:type="dxa"/>
            </w:tcMar>
          </w:tcPr>
          <w:p w:rsidR="00FF3B36" w:rsidRPr="00A32AF4" w:rsidRDefault="00942FB6" w:rsidP="00DC0553">
            <w:pPr>
              <w:rPr>
                <w:rFonts w:cs="Arial"/>
                <w:sz w:val="16"/>
                <w:szCs w:val="16"/>
              </w:rPr>
            </w:pPr>
            <w:r w:rsidRPr="00A32AF4">
              <w:rPr>
                <w:sz w:val="16"/>
                <w:szCs w:val="16"/>
              </w:rPr>
              <w:t>Nombre d</w:t>
            </w:r>
            <w:r w:rsidR="00E2055A" w:rsidRPr="00A32AF4">
              <w:rPr>
                <w:sz w:val="16"/>
                <w:szCs w:val="16"/>
              </w:rPr>
              <w:t>’</w:t>
            </w:r>
            <w:r w:rsidRPr="00A32AF4">
              <w:rPr>
                <w:sz w:val="16"/>
                <w:szCs w:val="16"/>
              </w:rPr>
              <w:t>utilisateurs consultant les publications sur l</w:t>
            </w:r>
            <w:r w:rsidR="00E2055A" w:rsidRPr="00A32AF4">
              <w:rPr>
                <w:sz w:val="16"/>
                <w:szCs w:val="16"/>
              </w:rPr>
              <w:t>’</w:t>
            </w:r>
            <w:r w:rsidRPr="00A32AF4">
              <w:rPr>
                <w:sz w:val="16"/>
                <w:szCs w:val="16"/>
              </w:rPr>
              <w:t>Internet des classifications internationales et des normes, notamment dans les pays en développement</w:t>
            </w:r>
          </w:p>
        </w:tc>
        <w:tc>
          <w:tcPr>
            <w:tcW w:w="1070" w:type="pct"/>
            <w:shd w:val="clear" w:color="auto" w:fill="FFFFFF"/>
            <w:tcMar>
              <w:top w:w="113" w:type="dxa"/>
              <w:bottom w:w="113" w:type="dxa"/>
            </w:tcMar>
          </w:tcPr>
          <w:p w:rsidR="00FF3B36" w:rsidRPr="00A32AF4" w:rsidRDefault="00FF3B36" w:rsidP="00DC0553">
            <w:pPr>
              <w:jc w:val="center"/>
              <w:rPr>
                <w:rFonts w:cs="Arial"/>
                <w:sz w:val="16"/>
                <w:szCs w:val="16"/>
              </w:rPr>
            </w:pPr>
            <w:r w:rsidRPr="00A32AF4">
              <w:rPr>
                <w:rFonts w:cs="Arial"/>
                <w:sz w:val="16"/>
                <w:szCs w:val="16"/>
                <w:lang w:bidi="th-TH"/>
              </w:rPr>
              <w:t>Programme 12</w:t>
            </w:r>
          </w:p>
        </w:tc>
      </w:tr>
      <w:tr w:rsidR="00FF3B36" w:rsidRPr="00A32AF4" w:rsidTr="00FF3B36">
        <w:trPr>
          <w:cantSplit/>
        </w:trPr>
        <w:tc>
          <w:tcPr>
            <w:tcW w:w="1769" w:type="pct"/>
            <w:shd w:val="clear" w:color="auto" w:fill="auto"/>
            <w:tcMar>
              <w:top w:w="113" w:type="dxa"/>
              <w:bottom w:w="113" w:type="dxa"/>
            </w:tcMar>
          </w:tcPr>
          <w:p w:rsidR="00FF3B36" w:rsidRPr="00A32AF4" w:rsidRDefault="00FF3B36" w:rsidP="00DC0553">
            <w:pPr>
              <w:rPr>
                <w:rFonts w:cs="Arial"/>
                <w:sz w:val="16"/>
                <w:szCs w:val="16"/>
              </w:rPr>
            </w:pPr>
            <w:r w:rsidRPr="00A32AF4">
              <w:rPr>
                <w:rFonts w:cs="Arial"/>
                <w:sz w:val="16"/>
                <w:szCs w:val="16"/>
              </w:rPr>
              <w:t>IV.2 Amélioration de l</w:t>
            </w:r>
            <w:r w:rsidR="00E2055A" w:rsidRPr="00A32AF4">
              <w:rPr>
                <w:rFonts w:cs="Arial"/>
                <w:sz w:val="16"/>
                <w:szCs w:val="16"/>
              </w:rPr>
              <w:t>’</w:t>
            </w:r>
            <w:r w:rsidRPr="00A32AF4">
              <w:rPr>
                <w:rFonts w:cs="Arial"/>
                <w:sz w:val="16"/>
                <w:szCs w:val="16"/>
              </w:rPr>
              <w:t>accessibilité et de l</w:t>
            </w:r>
            <w:r w:rsidR="00E2055A" w:rsidRPr="00A32AF4">
              <w:rPr>
                <w:rFonts w:cs="Arial"/>
                <w:sz w:val="16"/>
                <w:szCs w:val="16"/>
              </w:rPr>
              <w:t>’</w:t>
            </w:r>
            <w:r w:rsidRPr="00A32AF4">
              <w:rPr>
                <w:rFonts w:cs="Arial"/>
                <w:sz w:val="16"/>
                <w:szCs w:val="16"/>
              </w:rPr>
              <w:t>utilisation de l</w:t>
            </w:r>
            <w:r w:rsidR="00E2055A" w:rsidRPr="00A32AF4">
              <w:rPr>
                <w:rFonts w:cs="Arial"/>
                <w:sz w:val="16"/>
                <w:szCs w:val="16"/>
              </w:rPr>
              <w:t>’</w:t>
            </w:r>
            <w:r w:rsidRPr="00A32AF4">
              <w:rPr>
                <w:rFonts w:cs="Arial"/>
                <w:sz w:val="16"/>
                <w:szCs w:val="16"/>
              </w:rPr>
              <w:t>information en matière de propriété intellectuelle par les institutions compétentes et le public afin de promouvoir l</w:t>
            </w:r>
            <w:r w:rsidR="00E2055A" w:rsidRPr="00A32AF4">
              <w:rPr>
                <w:rFonts w:cs="Arial"/>
                <w:sz w:val="16"/>
                <w:szCs w:val="16"/>
              </w:rPr>
              <w:t>’</w:t>
            </w:r>
            <w:r w:rsidRPr="00A32AF4">
              <w:rPr>
                <w:rFonts w:cs="Arial"/>
                <w:sz w:val="16"/>
                <w:szCs w:val="16"/>
              </w:rPr>
              <w:t>innovation et la créativité</w:t>
            </w:r>
          </w:p>
        </w:tc>
        <w:tc>
          <w:tcPr>
            <w:tcW w:w="2161" w:type="pct"/>
            <w:shd w:val="clear" w:color="auto" w:fill="auto"/>
            <w:tcMar>
              <w:top w:w="113" w:type="dxa"/>
              <w:bottom w:w="113" w:type="dxa"/>
            </w:tcMar>
          </w:tcPr>
          <w:p w:rsidR="00FF3B36" w:rsidRPr="00A32AF4" w:rsidRDefault="004C6800" w:rsidP="00DC0553">
            <w:pPr>
              <w:rPr>
                <w:rFonts w:cs="Arial"/>
                <w:sz w:val="16"/>
                <w:szCs w:val="16"/>
              </w:rPr>
            </w:pPr>
            <w:r w:rsidRPr="00A32AF4">
              <w:rPr>
                <w:sz w:val="16"/>
                <w:szCs w:val="16"/>
              </w:rPr>
              <w:t>Nombre de membres constitutifs du Consortium pour des livres accessibles</w:t>
            </w:r>
          </w:p>
        </w:tc>
        <w:tc>
          <w:tcPr>
            <w:tcW w:w="1070" w:type="pct"/>
            <w:shd w:val="clear" w:color="auto" w:fill="FFFFFF"/>
            <w:tcMar>
              <w:top w:w="113" w:type="dxa"/>
              <w:bottom w:w="113" w:type="dxa"/>
            </w:tcMar>
          </w:tcPr>
          <w:p w:rsidR="00FF3B36" w:rsidRPr="00A32AF4" w:rsidRDefault="00FF3B36" w:rsidP="00DC0553">
            <w:pPr>
              <w:jc w:val="center"/>
              <w:rPr>
                <w:rFonts w:cs="Arial"/>
                <w:sz w:val="16"/>
                <w:szCs w:val="16"/>
                <w:lang w:bidi="th-TH"/>
              </w:rPr>
            </w:pPr>
            <w:r w:rsidRPr="00A32AF4">
              <w:rPr>
                <w:rFonts w:cs="Arial"/>
                <w:sz w:val="16"/>
                <w:szCs w:val="16"/>
                <w:lang w:bidi="th-TH"/>
              </w:rPr>
              <w:t>Programme 3</w:t>
            </w:r>
          </w:p>
        </w:tc>
      </w:tr>
      <w:tr w:rsidR="00FF3B36" w:rsidRPr="00A32AF4" w:rsidTr="00FF3B36">
        <w:trPr>
          <w:cantSplit/>
        </w:trPr>
        <w:tc>
          <w:tcPr>
            <w:tcW w:w="1769" w:type="pct"/>
            <w:shd w:val="clear" w:color="auto" w:fill="auto"/>
            <w:tcMar>
              <w:top w:w="113" w:type="dxa"/>
              <w:bottom w:w="113" w:type="dxa"/>
            </w:tcMar>
          </w:tcPr>
          <w:p w:rsidR="00FF3B36" w:rsidRPr="00A32AF4" w:rsidRDefault="00FF3B36" w:rsidP="00DC0553">
            <w:pPr>
              <w:rPr>
                <w:rFonts w:cs="Arial"/>
                <w:sz w:val="16"/>
                <w:szCs w:val="16"/>
              </w:rPr>
            </w:pPr>
          </w:p>
        </w:tc>
        <w:tc>
          <w:tcPr>
            <w:tcW w:w="2161" w:type="pct"/>
            <w:shd w:val="clear" w:color="auto" w:fill="auto"/>
            <w:tcMar>
              <w:top w:w="113" w:type="dxa"/>
              <w:bottom w:w="113" w:type="dxa"/>
            </w:tcMar>
          </w:tcPr>
          <w:p w:rsidR="00FF3B36" w:rsidRPr="00A32AF4" w:rsidRDefault="004C6800" w:rsidP="00DC0553">
            <w:pPr>
              <w:rPr>
                <w:rFonts w:cs="Arial"/>
                <w:sz w:val="16"/>
                <w:szCs w:val="16"/>
              </w:rPr>
            </w:pPr>
            <w:r w:rsidRPr="00A32AF4">
              <w:rPr>
                <w:sz w:val="16"/>
                <w:szCs w:val="16"/>
              </w:rPr>
              <w:t>Nombre de donateurs</w:t>
            </w:r>
          </w:p>
        </w:tc>
        <w:tc>
          <w:tcPr>
            <w:tcW w:w="1070" w:type="pct"/>
            <w:shd w:val="clear" w:color="auto" w:fill="FFFFFF"/>
            <w:tcMar>
              <w:top w:w="113" w:type="dxa"/>
              <w:bottom w:w="113" w:type="dxa"/>
            </w:tcMar>
          </w:tcPr>
          <w:p w:rsidR="00FF3B36" w:rsidRPr="00A32AF4" w:rsidRDefault="00FF3B36" w:rsidP="00DC0553">
            <w:pPr>
              <w:jc w:val="center"/>
              <w:rPr>
                <w:rFonts w:cs="Arial"/>
                <w:sz w:val="16"/>
                <w:szCs w:val="16"/>
                <w:lang w:bidi="th-TH"/>
              </w:rPr>
            </w:pPr>
            <w:r w:rsidRPr="00A32AF4">
              <w:rPr>
                <w:rFonts w:cs="Arial"/>
                <w:sz w:val="16"/>
                <w:szCs w:val="16"/>
                <w:lang w:bidi="th-TH"/>
              </w:rPr>
              <w:t>Programme 3</w:t>
            </w:r>
          </w:p>
        </w:tc>
      </w:tr>
      <w:tr w:rsidR="004C6800" w:rsidRPr="00A32AF4" w:rsidTr="00FF3B36">
        <w:trPr>
          <w:cantSplit/>
        </w:trPr>
        <w:tc>
          <w:tcPr>
            <w:tcW w:w="1769" w:type="pct"/>
            <w:shd w:val="clear" w:color="auto" w:fill="auto"/>
            <w:tcMar>
              <w:top w:w="113" w:type="dxa"/>
              <w:bottom w:w="113" w:type="dxa"/>
            </w:tcMar>
          </w:tcPr>
          <w:p w:rsidR="004C6800" w:rsidRPr="00A32AF4" w:rsidRDefault="004C6800" w:rsidP="00DC0553">
            <w:pPr>
              <w:rPr>
                <w:rFonts w:cs="Arial"/>
                <w:sz w:val="16"/>
                <w:szCs w:val="16"/>
              </w:rPr>
            </w:pPr>
          </w:p>
        </w:tc>
        <w:tc>
          <w:tcPr>
            <w:tcW w:w="2161" w:type="pct"/>
            <w:shd w:val="clear" w:color="auto" w:fill="auto"/>
            <w:tcMar>
              <w:top w:w="113" w:type="dxa"/>
              <w:bottom w:w="113" w:type="dxa"/>
            </w:tcMar>
          </w:tcPr>
          <w:p w:rsidR="004C6800" w:rsidRPr="00A32AF4" w:rsidRDefault="004C6800" w:rsidP="00DC0553">
            <w:pPr>
              <w:rPr>
                <w:sz w:val="16"/>
                <w:szCs w:val="16"/>
              </w:rPr>
            </w:pPr>
            <w:r w:rsidRPr="00A32AF4">
              <w:rPr>
                <w:sz w:val="16"/>
                <w:szCs w:val="16"/>
              </w:rPr>
              <w:t>Nombre d</w:t>
            </w:r>
            <w:r w:rsidR="00E2055A" w:rsidRPr="00A32AF4">
              <w:rPr>
                <w:sz w:val="16"/>
                <w:szCs w:val="16"/>
              </w:rPr>
              <w:t>’</w:t>
            </w:r>
            <w:r w:rsidRPr="00A32AF4">
              <w:rPr>
                <w:sz w:val="16"/>
                <w:szCs w:val="16"/>
              </w:rPr>
              <w:t>instruments juridiques, de lignes directrices, de déclarations de principes autres que les instruments contraignants avec la participation de parties prenantes concernées dans des domaines tels que les nouveaux traités sur le droit d</w:t>
            </w:r>
            <w:r w:rsidR="00E2055A" w:rsidRPr="00A32AF4">
              <w:rPr>
                <w:sz w:val="16"/>
                <w:szCs w:val="16"/>
              </w:rPr>
              <w:t>’</w:t>
            </w:r>
            <w:r w:rsidRPr="00A32AF4">
              <w:rPr>
                <w:sz w:val="16"/>
                <w:szCs w:val="16"/>
              </w:rPr>
              <w:t>auteur et le droit d</w:t>
            </w:r>
            <w:r w:rsidR="00E2055A" w:rsidRPr="00A32AF4">
              <w:rPr>
                <w:sz w:val="16"/>
                <w:szCs w:val="16"/>
              </w:rPr>
              <w:t>’</w:t>
            </w:r>
            <w:r w:rsidRPr="00A32AF4">
              <w:rPr>
                <w:sz w:val="16"/>
                <w:szCs w:val="16"/>
              </w:rPr>
              <w:t>auteur dans l</w:t>
            </w:r>
            <w:r w:rsidR="00E2055A" w:rsidRPr="00A32AF4">
              <w:rPr>
                <w:sz w:val="16"/>
                <w:szCs w:val="16"/>
              </w:rPr>
              <w:t>’</w:t>
            </w:r>
            <w:r w:rsidRPr="00A32AF4">
              <w:rPr>
                <w:sz w:val="16"/>
                <w:szCs w:val="16"/>
              </w:rPr>
              <w:t>environnement numérique</w:t>
            </w:r>
          </w:p>
        </w:tc>
        <w:tc>
          <w:tcPr>
            <w:tcW w:w="1070" w:type="pct"/>
            <w:shd w:val="clear" w:color="auto" w:fill="FFFFFF"/>
            <w:tcMar>
              <w:top w:w="113" w:type="dxa"/>
              <w:bottom w:w="113" w:type="dxa"/>
            </w:tcMar>
          </w:tcPr>
          <w:p w:rsidR="004C6800" w:rsidRPr="00A32AF4" w:rsidRDefault="004C6800" w:rsidP="00DC0553">
            <w:pPr>
              <w:jc w:val="center"/>
              <w:rPr>
                <w:rFonts w:cs="Arial"/>
                <w:sz w:val="16"/>
                <w:szCs w:val="16"/>
                <w:lang w:bidi="th-TH"/>
              </w:rPr>
            </w:pPr>
            <w:r w:rsidRPr="00A32AF4">
              <w:rPr>
                <w:rFonts w:cs="Arial"/>
                <w:sz w:val="16"/>
                <w:szCs w:val="16"/>
                <w:lang w:bidi="th-TH"/>
              </w:rPr>
              <w:t>Programme 3</w:t>
            </w:r>
          </w:p>
        </w:tc>
      </w:tr>
      <w:tr w:rsidR="00FF3B36" w:rsidRPr="00A32AF4" w:rsidTr="00FF3B36">
        <w:trPr>
          <w:cantSplit/>
        </w:trPr>
        <w:tc>
          <w:tcPr>
            <w:tcW w:w="1769" w:type="pct"/>
            <w:shd w:val="clear" w:color="auto" w:fill="auto"/>
            <w:tcMar>
              <w:top w:w="113" w:type="dxa"/>
              <w:bottom w:w="113" w:type="dxa"/>
            </w:tcMar>
          </w:tcPr>
          <w:p w:rsidR="00FF3B36" w:rsidRPr="00A32AF4" w:rsidRDefault="00FF3B36" w:rsidP="00DC0553">
            <w:pPr>
              <w:rPr>
                <w:rFonts w:cs="Arial"/>
                <w:sz w:val="16"/>
                <w:szCs w:val="16"/>
              </w:rPr>
            </w:pPr>
          </w:p>
        </w:tc>
        <w:tc>
          <w:tcPr>
            <w:tcW w:w="2161" w:type="pct"/>
            <w:shd w:val="clear" w:color="auto" w:fill="auto"/>
            <w:tcMar>
              <w:top w:w="113" w:type="dxa"/>
              <w:bottom w:w="113" w:type="dxa"/>
            </w:tcMar>
          </w:tcPr>
          <w:p w:rsidR="00FF3B36" w:rsidRPr="00A32AF4" w:rsidRDefault="004C6800" w:rsidP="00DC0553">
            <w:pPr>
              <w:rPr>
                <w:rFonts w:cs="Arial"/>
                <w:sz w:val="16"/>
                <w:szCs w:val="16"/>
              </w:rPr>
            </w:pPr>
            <w:r w:rsidRPr="00A32AF4">
              <w:rPr>
                <w:sz w:val="16"/>
                <w:szCs w:val="16"/>
              </w:rPr>
              <w:t>Pourcentage de participants ayant donné un retour d</w:t>
            </w:r>
            <w:r w:rsidR="00E2055A" w:rsidRPr="00A32AF4">
              <w:rPr>
                <w:sz w:val="16"/>
                <w:szCs w:val="16"/>
              </w:rPr>
              <w:t>’</w:t>
            </w:r>
            <w:r w:rsidRPr="00A32AF4">
              <w:rPr>
                <w:sz w:val="16"/>
                <w:szCs w:val="16"/>
              </w:rPr>
              <w:t>information positif sur les séminaires et les ateliers sur le droit d</w:t>
            </w:r>
            <w:r w:rsidR="00E2055A" w:rsidRPr="00A32AF4">
              <w:rPr>
                <w:sz w:val="16"/>
                <w:szCs w:val="16"/>
              </w:rPr>
              <w:t>’</w:t>
            </w:r>
            <w:r w:rsidRPr="00A32AF4">
              <w:rPr>
                <w:sz w:val="16"/>
                <w:szCs w:val="16"/>
              </w:rPr>
              <w:t>auteur dans l</w:t>
            </w:r>
            <w:r w:rsidR="00E2055A" w:rsidRPr="00A32AF4">
              <w:rPr>
                <w:sz w:val="16"/>
                <w:szCs w:val="16"/>
              </w:rPr>
              <w:t>’</w:t>
            </w:r>
            <w:r w:rsidRPr="00A32AF4">
              <w:rPr>
                <w:sz w:val="16"/>
                <w:szCs w:val="16"/>
              </w:rPr>
              <w:t>environnement numérique</w:t>
            </w:r>
          </w:p>
        </w:tc>
        <w:tc>
          <w:tcPr>
            <w:tcW w:w="1070" w:type="pct"/>
            <w:shd w:val="clear" w:color="auto" w:fill="FFFFFF"/>
            <w:tcMar>
              <w:top w:w="113" w:type="dxa"/>
              <w:bottom w:w="113" w:type="dxa"/>
            </w:tcMar>
          </w:tcPr>
          <w:p w:rsidR="00FF3B36" w:rsidRPr="00A32AF4" w:rsidRDefault="00FF3B36" w:rsidP="00DC0553">
            <w:pPr>
              <w:jc w:val="center"/>
              <w:rPr>
                <w:rFonts w:cs="Arial"/>
                <w:sz w:val="16"/>
                <w:szCs w:val="16"/>
                <w:lang w:bidi="th-TH"/>
              </w:rPr>
            </w:pPr>
            <w:r w:rsidRPr="00A32AF4">
              <w:rPr>
                <w:rFonts w:cs="Arial"/>
                <w:sz w:val="16"/>
                <w:szCs w:val="16"/>
                <w:lang w:bidi="th-TH"/>
              </w:rPr>
              <w:t>Programme 3</w:t>
            </w:r>
          </w:p>
        </w:tc>
      </w:tr>
      <w:tr w:rsidR="00FF3B36" w:rsidRPr="00A32AF4" w:rsidTr="00FF3B36">
        <w:trPr>
          <w:cantSplit/>
        </w:trPr>
        <w:tc>
          <w:tcPr>
            <w:tcW w:w="1769" w:type="pct"/>
            <w:shd w:val="clear" w:color="auto" w:fill="auto"/>
            <w:tcMar>
              <w:top w:w="113" w:type="dxa"/>
              <w:bottom w:w="113" w:type="dxa"/>
            </w:tcMar>
          </w:tcPr>
          <w:p w:rsidR="00FF3B36" w:rsidRPr="00A32AF4" w:rsidRDefault="00FF3B36" w:rsidP="00DC0553">
            <w:pPr>
              <w:rPr>
                <w:rFonts w:cs="Arial"/>
                <w:sz w:val="16"/>
                <w:szCs w:val="16"/>
              </w:rPr>
            </w:pPr>
          </w:p>
        </w:tc>
        <w:tc>
          <w:tcPr>
            <w:tcW w:w="2161" w:type="pct"/>
            <w:shd w:val="clear" w:color="auto" w:fill="auto"/>
            <w:tcMar>
              <w:top w:w="113" w:type="dxa"/>
              <w:bottom w:w="113" w:type="dxa"/>
            </w:tcMar>
          </w:tcPr>
          <w:p w:rsidR="00FF3B36" w:rsidRPr="00A32AF4" w:rsidRDefault="00172EB5">
            <w:pPr>
              <w:rPr>
                <w:rFonts w:cs="Arial"/>
                <w:sz w:val="16"/>
                <w:szCs w:val="16"/>
              </w:rPr>
            </w:pPr>
            <w:r w:rsidRPr="00A32AF4">
              <w:rPr>
                <w:sz w:val="16"/>
                <w:szCs w:val="16"/>
              </w:rPr>
              <w:t xml:space="preserve">Nombre de réseaux nationaux de </w:t>
            </w:r>
            <w:r w:rsidR="00DA273B" w:rsidRPr="00A32AF4">
              <w:rPr>
                <w:sz w:val="16"/>
                <w:szCs w:val="16"/>
              </w:rPr>
              <w:t>centres d</w:t>
            </w:r>
            <w:r w:rsidR="00E2055A" w:rsidRPr="00A32AF4">
              <w:rPr>
                <w:sz w:val="16"/>
                <w:szCs w:val="16"/>
              </w:rPr>
              <w:t>’</w:t>
            </w:r>
            <w:r w:rsidR="00DA273B" w:rsidRPr="00A32AF4">
              <w:rPr>
                <w:sz w:val="16"/>
                <w:szCs w:val="16"/>
              </w:rPr>
              <w:t>appui à la technologie et à l</w:t>
            </w:r>
            <w:r w:rsidR="00E2055A" w:rsidRPr="00A32AF4">
              <w:rPr>
                <w:sz w:val="16"/>
                <w:szCs w:val="16"/>
              </w:rPr>
              <w:t>’</w:t>
            </w:r>
            <w:r w:rsidR="00DA273B" w:rsidRPr="00A32AF4">
              <w:rPr>
                <w:sz w:val="16"/>
                <w:szCs w:val="16"/>
              </w:rPr>
              <w:t>innovation (CATI)</w:t>
            </w:r>
            <w:r w:rsidR="00A17A9D" w:rsidRPr="00A32AF4">
              <w:rPr>
                <w:sz w:val="16"/>
                <w:szCs w:val="16"/>
              </w:rPr>
              <w:t xml:space="preserve"> durables</w:t>
            </w:r>
            <w:r w:rsidR="00C740D3" w:rsidRPr="00A32AF4">
              <w:rPr>
                <w:rStyle w:val="FootnoteReference"/>
                <w:sz w:val="16"/>
                <w:szCs w:val="16"/>
              </w:rPr>
              <w:footnoteReference w:id="21"/>
            </w:r>
            <w:r w:rsidRPr="00A32AF4">
              <w:rPr>
                <w:sz w:val="16"/>
                <w:szCs w:val="16"/>
              </w:rPr>
              <w:t xml:space="preserve"> (</w:t>
            </w:r>
            <w:r w:rsidR="00A17A9D" w:rsidRPr="00A32AF4">
              <w:rPr>
                <w:sz w:val="16"/>
                <w:szCs w:val="16"/>
              </w:rPr>
              <w:t>données cumulées</w:t>
            </w:r>
            <w:r w:rsidRPr="00A32AF4">
              <w:rPr>
                <w:sz w:val="16"/>
                <w:szCs w:val="16"/>
              </w:rPr>
              <w:t>)</w:t>
            </w:r>
          </w:p>
        </w:tc>
        <w:tc>
          <w:tcPr>
            <w:tcW w:w="1070" w:type="pct"/>
            <w:shd w:val="clear" w:color="auto" w:fill="FFFFFF"/>
            <w:tcMar>
              <w:top w:w="113" w:type="dxa"/>
              <w:bottom w:w="113" w:type="dxa"/>
            </w:tcMar>
          </w:tcPr>
          <w:p w:rsidR="00F93B76" w:rsidRPr="00A32AF4" w:rsidRDefault="00FF3B36" w:rsidP="00DC0553">
            <w:pPr>
              <w:jc w:val="center"/>
              <w:rPr>
                <w:rFonts w:cs="Arial"/>
                <w:sz w:val="16"/>
                <w:szCs w:val="16"/>
                <w:lang w:bidi="th-TH"/>
              </w:rPr>
            </w:pPr>
            <w:r w:rsidRPr="00A32AF4">
              <w:rPr>
                <w:rFonts w:cs="Arial"/>
                <w:sz w:val="16"/>
                <w:szCs w:val="16"/>
                <w:lang w:bidi="th-TH"/>
              </w:rPr>
              <w:t>Programme 9</w:t>
            </w:r>
          </w:p>
          <w:p w:rsidR="00F93B76" w:rsidRPr="00A32AF4" w:rsidRDefault="00FF3B36" w:rsidP="00DC0553">
            <w:pPr>
              <w:jc w:val="center"/>
              <w:rPr>
                <w:rFonts w:cs="Arial"/>
                <w:sz w:val="16"/>
                <w:szCs w:val="16"/>
                <w:lang w:bidi="th-TH"/>
              </w:rPr>
            </w:pPr>
            <w:r w:rsidRPr="00A32AF4">
              <w:rPr>
                <w:rFonts w:cs="Arial"/>
                <w:sz w:val="16"/>
                <w:szCs w:val="16"/>
                <w:lang w:bidi="th-TH"/>
              </w:rPr>
              <w:t>Programme 14</w:t>
            </w:r>
          </w:p>
          <w:p w:rsidR="00FF3B36" w:rsidRPr="00A32AF4" w:rsidRDefault="00FF3B36" w:rsidP="00DC0553">
            <w:pPr>
              <w:jc w:val="center"/>
              <w:rPr>
                <w:rFonts w:cs="Arial"/>
                <w:sz w:val="16"/>
                <w:szCs w:val="16"/>
                <w:lang w:bidi="th-TH"/>
              </w:rPr>
            </w:pPr>
            <w:r w:rsidRPr="00A32AF4">
              <w:rPr>
                <w:rFonts w:cs="Arial"/>
                <w:sz w:val="16"/>
                <w:szCs w:val="16"/>
                <w:lang w:bidi="th-TH"/>
              </w:rPr>
              <w:t>Programme 20</w:t>
            </w:r>
          </w:p>
        </w:tc>
      </w:tr>
      <w:tr w:rsidR="00FF3B36" w:rsidRPr="00A32AF4" w:rsidTr="00FF3B36">
        <w:trPr>
          <w:cantSplit/>
        </w:trPr>
        <w:tc>
          <w:tcPr>
            <w:tcW w:w="1769" w:type="pct"/>
            <w:shd w:val="clear" w:color="auto" w:fill="auto"/>
            <w:tcMar>
              <w:top w:w="113" w:type="dxa"/>
              <w:bottom w:w="113" w:type="dxa"/>
            </w:tcMar>
          </w:tcPr>
          <w:p w:rsidR="00FF3B36" w:rsidRPr="00A32AF4" w:rsidRDefault="00FF3B36" w:rsidP="00DC0553">
            <w:pPr>
              <w:rPr>
                <w:rFonts w:cs="Arial"/>
                <w:sz w:val="16"/>
                <w:szCs w:val="16"/>
              </w:rPr>
            </w:pPr>
          </w:p>
        </w:tc>
        <w:tc>
          <w:tcPr>
            <w:tcW w:w="2161" w:type="pct"/>
            <w:shd w:val="clear" w:color="auto" w:fill="auto"/>
            <w:tcMar>
              <w:top w:w="113" w:type="dxa"/>
              <w:bottom w:w="113" w:type="dxa"/>
            </w:tcMar>
          </w:tcPr>
          <w:p w:rsidR="00FF3B36" w:rsidRPr="00A32AF4" w:rsidRDefault="00172EB5" w:rsidP="00DC0553">
            <w:pPr>
              <w:rPr>
                <w:rFonts w:cs="Arial"/>
                <w:sz w:val="16"/>
                <w:szCs w:val="16"/>
              </w:rPr>
            </w:pPr>
            <w:r w:rsidRPr="00A32AF4">
              <w:rPr>
                <w:sz w:val="16"/>
                <w:szCs w:val="16"/>
              </w:rPr>
              <w:t>Nombre d</w:t>
            </w:r>
            <w:r w:rsidR="00E2055A" w:rsidRPr="00A32AF4">
              <w:rPr>
                <w:sz w:val="16"/>
                <w:szCs w:val="16"/>
              </w:rPr>
              <w:t>’</w:t>
            </w:r>
            <w:r w:rsidRPr="00A32AF4">
              <w:rPr>
                <w:sz w:val="16"/>
                <w:szCs w:val="16"/>
              </w:rPr>
              <w:t>organisations, de communautés, de particuliers qui appliquent ou utilisent la technologie appropriée comme solution aux défis de développement recensés dans les PMA</w:t>
            </w:r>
          </w:p>
        </w:tc>
        <w:tc>
          <w:tcPr>
            <w:tcW w:w="1070" w:type="pct"/>
            <w:shd w:val="clear" w:color="auto" w:fill="FFFFFF"/>
            <w:tcMar>
              <w:top w:w="113" w:type="dxa"/>
              <w:bottom w:w="113" w:type="dxa"/>
            </w:tcMar>
          </w:tcPr>
          <w:p w:rsidR="00FF3B36" w:rsidRPr="00A32AF4" w:rsidRDefault="00FF3B36" w:rsidP="00DC0553">
            <w:pPr>
              <w:jc w:val="center"/>
              <w:rPr>
                <w:rFonts w:cs="Arial"/>
                <w:sz w:val="16"/>
                <w:szCs w:val="16"/>
                <w:lang w:bidi="th-TH"/>
              </w:rPr>
            </w:pPr>
            <w:r w:rsidRPr="00A32AF4">
              <w:rPr>
                <w:rFonts w:cs="Arial"/>
                <w:sz w:val="16"/>
                <w:szCs w:val="16"/>
                <w:lang w:bidi="th-TH"/>
              </w:rPr>
              <w:t>Programme 9</w:t>
            </w:r>
          </w:p>
        </w:tc>
      </w:tr>
      <w:tr w:rsidR="00172EB5" w:rsidRPr="00A32AF4" w:rsidTr="00FF3B36">
        <w:trPr>
          <w:cantSplit/>
        </w:trPr>
        <w:tc>
          <w:tcPr>
            <w:tcW w:w="1769" w:type="pct"/>
            <w:shd w:val="clear" w:color="auto" w:fill="auto"/>
            <w:tcMar>
              <w:top w:w="113" w:type="dxa"/>
              <w:bottom w:w="113" w:type="dxa"/>
            </w:tcMar>
          </w:tcPr>
          <w:p w:rsidR="00172EB5" w:rsidRPr="00A32AF4" w:rsidRDefault="00172EB5" w:rsidP="00DC0553">
            <w:pPr>
              <w:rPr>
                <w:rFonts w:cs="Arial"/>
                <w:sz w:val="16"/>
                <w:szCs w:val="16"/>
              </w:rPr>
            </w:pPr>
          </w:p>
        </w:tc>
        <w:tc>
          <w:tcPr>
            <w:tcW w:w="2161" w:type="pct"/>
            <w:shd w:val="clear" w:color="auto" w:fill="auto"/>
            <w:tcMar>
              <w:top w:w="113" w:type="dxa"/>
              <w:bottom w:w="113" w:type="dxa"/>
            </w:tcMar>
          </w:tcPr>
          <w:p w:rsidR="00172EB5" w:rsidRPr="00A32AF4" w:rsidRDefault="00172EB5" w:rsidP="00DC0553">
            <w:pPr>
              <w:rPr>
                <w:sz w:val="16"/>
                <w:szCs w:val="16"/>
              </w:rPr>
            </w:pPr>
            <w:r w:rsidRPr="00A32AF4">
              <w:rPr>
                <w:sz w:val="16"/>
                <w:szCs w:val="16"/>
              </w:rPr>
              <w:t>Utilisation d</w:t>
            </w:r>
            <w:r w:rsidR="00E2055A" w:rsidRPr="00A32AF4">
              <w:rPr>
                <w:sz w:val="16"/>
                <w:szCs w:val="16"/>
              </w:rPr>
              <w:t>’</w:t>
            </w:r>
            <w:r w:rsidRPr="00A32AF4">
              <w:rPr>
                <w:sz w:val="16"/>
                <w:szCs w:val="16"/>
              </w:rPr>
              <w:t>une technologie appropriée pour le développement par les recherches en matière de brevets et les rapports, panoramas technologiques, plans d</w:t>
            </w:r>
            <w:r w:rsidR="00E2055A" w:rsidRPr="00A32AF4">
              <w:rPr>
                <w:sz w:val="16"/>
                <w:szCs w:val="16"/>
              </w:rPr>
              <w:t>’</w:t>
            </w:r>
            <w:r w:rsidRPr="00A32AF4">
              <w:rPr>
                <w:sz w:val="16"/>
                <w:szCs w:val="16"/>
              </w:rPr>
              <w:t>action (nombre d</w:t>
            </w:r>
            <w:r w:rsidR="00E2055A" w:rsidRPr="00A32AF4">
              <w:rPr>
                <w:sz w:val="16"/>
                <w:szCs w:val="16"/>
              </w:rPr>
              <w:t>’</w:t>
            </w:r>
            <w:r w:rsidRPr="00A32AF4">
              <w:rPr>
                <w:sz w:val="16"/>
                <w:szCs w:val="16"/>
              </w:rPr>
              <w:t>experts, groupes d</w:t>
            </w:r>
            <w:r w:rsidR="00E2055A" w:rsidRPr="00A32AF4">
              <w:rPr>
                <w:sz w:val="16"/>
                <w:szCs w:val="16"/>
              </w:rPr>
              <w:t>’</w:t>
            </w:r>
            <w:r w:rsidRPr="00A32AF4">
              <w:rPr>
                <w:sz w:val="16"/>
                <w:szCs w:val="16"/>
              </w:rPr>
              <w:t>experts nationaux dans les PMA)</w:t>
            </w:r>
          </w:p>
        </w:tc>
        <w:tc>
          <w:tcPr>
            <w:tcW w:w="1070" w:type="pct"/>
            <w:shd w:val="clear" w:color="auto" w:fill="FFFFFF"/>
            <w:tcMar>
              <w:top w:w="113" w:type="dxa"/>
              <w:bottom w:w="113" w:type="dxa"/>
            </w:tcMar>
          </w:tcPr>
          <w:p w:rsidR="00172EB5" w:rsidRPr="00A32AF4" w:rsidRDefault="00172EB5" w:rsidP="00DC0553">
            <w:pPr>
              <w:jc w:val="center"/>
              <w:rPr>
                <w:rFonts w:cs="Arial"/>
                <w:sz w:val="16"/>
                <w:szCs w:val="16"/>
                <w:lang w:bidi="th-TH"/>
              </w:rPr>
            </w:pPr>
            <w:r w:rsidRPr="00A32AF4">
              <w:rPr>
                <w:rFonts w:cs="Arial"/>
                <w:sz w:val="16"/>
                <w:szCs w:val="16"/>
                <w:lang w:bidi="th-TH"/>
              </w:rPr>
              <w:t>Programme 9</w:t>
            </w:r>
          </w:p>
        </w:tc>
      </w:tr>
      <w:tr w:rsidR="00FF3B36" w:rsidRPr="00A32AF4" w:rsidTr="00FF3B36">
        <w:trPr>
          <w:cantSplit/>
        </w:trPr>
        <w:tc>
          <w:tcPr>
            <w:tcW w:w="1769" w:type="pct"/>
            <w:shd w:val="clear" w:color="auto" w:fill="auto"/>
            <w:tcMar>
              <w:top w:w="113" w:type="dxa"/>
              <w:bottom w:w="113" w:type="dxa"/>
            </w:tcMar>
          </w:tcPr>
          <w:p w:rsidR="00FF3B36" w:rsidRPr="00A32AF4" w:rsidRDefault="00FF3B36" w:rsidP="00DC0553">
            <w:pPr>
              <w:rPr>
                <w:rFonts w:cs="Arial"/>
                <w:sz w:val="16"/>
                <w:szCs w:val="16"/>
              </w:rPr>
            </w:pPr>
          </w:p>
        </w:tc>
        <w:tc>
          <w:tcPr>
            <w:tcW w:w="2161" w:type="pct"/>
            <w:shd w:val="clear" w:color="auto" w:fill="auto"/>
            <w:tcMar>
              <w:top w:w="113" w:type="dxa"/>
              <w:bottom w:w="113" w:type="dxa"/>
            </w:tcMar>
          </w:tcPr>
          <w:p w:rsidR="00FF3B36" w:rsidRPr="00A32AF4" w:rsidRDefault="00172EB5" w:rsidP="00DC0553">
            <w:pPr>
              <w:rPr>
                <w:rFonts w:cs="Arial"/>
                <w:sz w:val="16"/>
                <w:szCs w:val="16"/>
              </w:rPr>
            </w:pPr>
            <w:r w:rsidRPr="00A32AF4">
              <w:rPr>
                <w:sz w:val="16"/>
                <w:szCs w:val="16"/>
              </w:rPr>
              <w:t>Technologie appropriée recensée commercialisée dans les PMA</w:t>
            </w:r>
          </w:p>
        </w:tc>
        <w:tc>
          <w:tcPr>
            <w:tcW w:w="1070" w:type="pct"/>
            <w:shd w:val="clear" w:color="auto" w:fill="FFFFFF"/>
            <w:tcMar>
              <w:top w:w="113" w:type="dxa"/>
              <w:bottom w:w="113" w:type="dxa"/>
            </w:tcMar>
          </w:tcPr>
          <w:p w:rsidR="00FF3B36" w:rsidRPr="00A32AF4" w:rsidRDefault="00FF3B36" w:rsidP="00DC0553">
            <w:pPr>
              <w:jc w:val="center"/>
              <w:rPr>
                <w:rFonts w:cs="Arial"/>
                <w:sz w:val="16"/>
                <w:szCs w:val="16"/>
                <w:lang w:bidi="th-TH"/>
              </w:rPr>
            </w:pPr>
            <w:r w:rsidRPr="00A32AF4">
              <w:rPr>
                <w:rFonts w:cs="Arial"/>
                <w:sz w:val="16"/>
                <w:szCs w:val="16"/>
                <w:lang w:bidi="th-TH"/>
              </w:rPr>
              <w:t>Programme 9</w:t>
            </w:r>
          </w:p>
        </w:tc>
      </w:tr>
      <w:tr w:rsidR="00FF3B36" w:rsidRPr="00A32AF4" w:rsidTr="00FF3B36">
        <w:trPr>
          <w:cantSplit/>
        </w:trPr>
        <w:tc>
          <w:tcPr>
            <w:tcW w:w="1769" w:type="pct"/>
            <w:shd w:val="clear" w:color="auto" w:fill="auto"/>
            <w:tcMar>
              <w:top w:w="113" w:type="dxa"/>
              <w:bottom w:w="113" w:type="dxa"/>
            </w:tcMar>
          </w:tcPr>
          <w:p w:rsidR="00FF3B36" w:rsidRPr="00A32AF4" w:rsidRDefault="00FF3B36" w:rsidP="00DC0553">
            <w:pPr>
              <w:rPr>
                <w:rFonts w:cs="Arial"/>
                <w:sz w:val="16"/>
                <w:szCs w:val="16"/>
              </w:rPr>
            </w:pPr>
          </w:p>
        </w:tc>
        <w:tc>
          <w:tcPr>
            <w:tcW w:w="2161" w:type="pct"/>
            <w:shd w:val="clear" w:color="auto" w:fill="auto"/>
            <w:tcMar>
              <w:top w:w="113" w:type="dxa"/>
              <w:bottom w:w="113" w:type="dxa"/>
            </w:tcMar>
          </w:tcPr>
          <w:p w:rsidR="00FF3B36" w:rsidRPr="00A32AF4" w:rsidRDefault="00172EB5" w:rsidP="00DC0553">
            <w:pPr>
              <w:rPr>
                <w:rFonts w:cs="Arial"/>
                <w:sz w:val="16"/>
                <w:szCs w:val="16"/>
              </w:rPr>
            </w:pPr>
            <w:r w:rsidRPr="00A32AF4">
              <w:rPr>
                <w:sz w:val="16"/>
                <w:szCs w:val="16"/>
              </w:rPr>
              <w:t>Projets reproduits dans d</w:t>
            </w:r>
            <w:r w:rsidR="00E2055A" w:rsidRPr="00A32AF4">
              <w:rPr>
                <w:sz w:val="16"/>
                <w:szCs w:val="16"/>
              </w:rPr>
              <w:t>’</w:t>
            </w:r>
            <w:r w:rsidRPr="00A32AF4">
              <w:rPr>
                <w:sz w:val="16"/>
                <w:szCs w:val="16"/>
              </w:rPr>
              <w:t>autres secteurs dans les PMA</w:t>
            </w:r>
          </w:p>
        </w:tc>
        <w:tc>
          <w:tcPr>
            <w:tcW w:w="1070" w:type="pct"/>
            <w:shd w:val="clear" w:color="auto" w:fill="FFFFFF"/>
            <w:tcMar>
              <w:top w:w="113" w:type="dxa"/>
              <w:bottom w:w="113" w:type="dxa"/>
            </w:tcMar>
          </w:tcPr>
          <w:p w:rsidR="00FF3B36" w:rsidRPr="00A32AF4" w:rsidRDefault="00FF3B36" w:rsidP="00DC0553">
            <w:pPr>
              <w:jc w:val="center"/>
              <w:rPr>
                <w:rFonts w:cs="Arial"/>
                <w:sz w:val="16"/>
                <w:szCs w:val="16"/>
                <w:lang w:bidi="th-TH"/>
              </w:rPr>
            </w:pPr>
            <w:r w:rsidRPr="00A32AF4">
              <w:rPr>
                <w:rFonts w:cs="Arial"/>
                <w:sz w:val="16"/>
                <w:szCs w:val="16"/>
                <w:lang w:bidi="th-TH"/>
              </w:rPr>
              <w:t>Programme 9</w:t>
            </w:r>
          </w:p>
        </w:tc>
      </w:tr>
      <w:tr w:rsidR="00FF3B36" w:rsidRPr="00A32AF4" w:rsidTr="00FF3B36">
        <w:trPr>
          <w:cantSplit/>
        </w:trPr>
        <w:tc>
          <w:tcPr>
            <w:tcW w:w="1769" w:type="pct"/>
            <w:shd w:val="clear" w:color="auto" w:fill="auto"/>
            <w:tcMar>
              <w:top w:w="113" w:type="dxa"/>
              <w:bottom w:w="113" w:type="dxa"/>
            </w:tcMar>
          </w:tcPr>
          <w:p w:rsidR="00FF3B36" w:rsidRPr="00A32AF4" w:rsidRDefault="00FF3B36" w:rsidP="00DC0553">
            <w:pPr>
              <w:rPr>
                <w:rFonts w:cs="Arial"/>
                <w:sz w:val="16"/>
                <w:szCs w:val="16"/>
              </w:rPr>
            </w:pPr>
          </w:p>
        </w:tc>
        <w:tc>
          <w:tcPr>
            <w:tcW w:w="2161" w:type="pct"/>
            <w:shd w:val="clear" w:color="auto" w:fill="auto"/>
            <w:tcMar>
              <w:top w:w="113" w:type="dxa"/>
              <w:bottom w:w="113" w:type="dxa"/>
            </w:tcMar>
          </w:tcPr>
          <w:p w:rsidR="00FF3B36" w:rsidRPr="00A32AF4" w:rsidRDefault="00172EB5" w:rsidP="00DC0553">
            <w:pPr>
              <w:rPr>
                <w:rFonts w:cs="Arial"/>
                <w:sz w:val="16"/>
                <w:szCs w:val="16"/>
              </w:rPr>
            </w:pPr>
            <w:r w:rsidRPr="00A32AF4">
              <w:rPr>
                <w:sz w:val="16"/>
                <w:szCs w:val="16"/>
              </w:rPr>
              <w:t>Institutions créées pour continuer à travailler sur la technologie appropriée dans les PMA</w:t>
            </w:r>
          </w:p>
        </w:tc>
        <w:tc>
          <w:tcPr>
            <w:tcW w:w="1070" w:type="pct"/>
            <w:shd w:val="clear" w:color="auto" w:fill="FFFFFF"/>
            <w:tcMar>
              <w:top w:w="113" w:type="dxa"/>
              <w:bottom w:w="113" w:type="dxa"/>
            </w:tcMar>
          </w:tcPr>
          <w:p w:rsidR="00FF3B36" w:rsidRPr="00A32AF4" w:rsidRDefault="00FF3B36" w:rsidP="00DC0553">
            <w:pPr>
              <w:jc w:val="center"/>
              <w:rPr>
                <w:rFonts w:cs="Arial"/>
                <w:sz w:val="16"/>
                <w:szCs w:val="16"/>
                <w:lang w:bidi="th-TH"/>
              </w:rPr>
            </w:pPr>
            <w:r w:rsidRPr="00A32AF4">
              <w:rPr>
                <w:rFonts w:cs="Arial"/>
                <w:sz w:val="16"/>
                <w:szCs w:val="16"/>
                <w:lang w:bidi="th-TH"/>
              </w:rPr>
              <w:t>Programme 9</w:t>
            </w:r>
          </w:p>
        </w:tc>
      </w:tr>
      <w:tr w:rsidR="00172EB5" w:rsidRPr="00A32AF4" w:rsidTr="00FF3B36">
        <w:trPr>
          <w:cantSplit/>
        </w:trPr>
        <w:tc>
          <w:tcPr>
            <w:tcW w:w="1769" w:type="pct"/>
            <w:shd w:val="clear" w:color="auto" w:fill="auto"/>
            <w:tcMar>
              <w:top w:w="113" w:type="dxa"/>
              <w:bottom w:w="113" w:type="dxa"/>
            </w:tcMar>
          </w:tcPr>
          <w:p w:rsidR="00172EB5" w:rsidRPr="00A32AF4" w:rsidRDefault="00172EB5" w:rsidP="00DC0553">
            <w:pPr>
              <w:rPr>
                <w:rFonts w:cs="Arial"/>
                <w:sz w:val="16"/>
                <w:szCs w:val="16"/>
              </w:rPr>
            </w:pPr>
          </w:p>
        </w:tc>
        <w:tc>
          <w:tcPr>
            <w:tcW w:w="2161" w:type="pct"/>
            <w:shd w:val="clear" w:color="auto" w:fill="auto"/>
            <w:tcMar>
              <w:top w:w="113" w:type="dxa"/>
              <w:bottom w:w="113" w:type="dxa"/>
            </w:tcMar>
          </w:tcPr>
          <w:p w:rsidR="00172EB5" w:rsidRPr="00A32AF4" w:rsidRDefault="00172EB5" w:rsidP="00DC0553">
            <w:pPr>
              <w:rPr>
                <w:sz w:val="16"/>
                <w:szCs w:val="16"/>
              </w:rPr>
            </w:pPr>
            <w:r w:rsidRPr="00A32AF4">
              <w:rPr>
                <w:sz w:val="16"/>
                <w:szCs w:val="16"/>
              </w:rPr>
              <w:t>Poursuite et développement des programmes nationaux de renforcement des capacités techniques relatifs aux technologies appropriées dans les PMA</w:t>
            </w:r>
          </w:p>
        </w:tc>
        <w:tc>
          <w:tcPr>
            <w:tcW w:w="1070" w:type="pct"/>
            <w:shd w:val="clear" w:color="auto" w:fill="FFFFFF"/>
            <w:tcMar>
              <w:top w:w="113" w:type="dxa"/>
              <w:bottom w:w="113" w:type="dxa"/>
            </w:tcMar>
          </w:tcPr>
          <w:p w:rsidR="00172EB5" w:rsidRPr="00A32AF4" w:rsidRDefault="00172EB5" w:rsidP="00DC0553">
            <w:pPr>
              <w:jc w:val="center"/>
              <w:rPr>
                <w:rFonts w:cs="Arial"/>
                <w:sz w:val="16"/>
                <w:szCs w:val="16"/>
                <w:lang w:bidi="th-TH"/>
              </w:rPr>
            </w:pPr>
            <w:r w:rsidRPr="00A32AF4">
              <w:rPr>
                <w:rFonts w:cs="Arial"/>
                <w:sz w:val="16"/>
                <w:szCs w:val="16"/>
                <w:lang w:bidi="th-TH"/>
              </w:rPr>
              <w:t>Programme 9</w:t>
            </w:r>
          </w:p>
        </w:tc>
      </w:tr>
      <w:tr w:rsidR="00C470FB" w:rsidRPr="00A32AF4" w:rsidTr="00FF3B36">
        <w:trPr>
          <w:cantSplit/>
        </w:trPr>
        <w:tc>
          <w:tcPr>
            <w:tcW w:w="1769" w:type="pct"/>
            <w:shd w:val="clear" w:color="auto" w:fill="auto"/>
            <w:tcMar>
              <w:top w:w="113" w:type="dxa"/>
              <w:bottom w:w="113" w:type="dxa"/>
            </w:tcMar>
          </w:tcPr>
          <w:p w:rsidR="00C470FB" w:rsidRPr="00A32AF4" w:rsidRDefault="00C470FB" w:rsidP="00DC0553">
            <w:pPr>
              <w:rPr>
                <w:rFonts w:cs="Arial"/>
                <w:sz w:val="16"/>
                <w:szCs w:val="16"/>
              </w:rPr>
            </w:pPr>
          </w:p>
        </w:tc>
        <w:tc>
          <w:tcPr>
            <w:tcW w:w="2161" w:type="pct"/>
            <w:shd w:val="clear" w:color="auto" w:fill="auto"/>
            <w:tcMar>
              <w:top w:w="113" w:type="dxa"/>
              <w:bottom w:w="113" w:type="dxa"/>
            </w:tcMar>
          </w:tcPr>
          <w:p w:rsidR="00C470FB" w:rsidRPr="00A32AF4" w:rsidRDefault="00C470FB" w:rsidP="00DC0553">
            <w:pPr>
              <w:rPr>
                <w:sz w:val="16"/>
                <w:szCs w:val="16"/>
              </w:rPr>
            </w:pPr>
            <w:r w:rsidRPr="00A32AF4">
              <w:rPr>
                <w:sz w:val="16"/>
                <w:szCs w:val="16"/>
              </w:rPr>
              <w:t>Utilisation d</w:t>
            </w:r>
            <w:r w:rsidR="00E2055A" w:rsidRPr="00A32AF4">
              <w:rPr>
                <w:sz w:val="16"/>
                <w:szCs w:val="16"/>
              </w:rPr>
              <w:t>’</w:t>
            </w:r>
            <w:r w:rsidRPr="00A32AF4">
              <w:rPr>
                <w:sz w:val="16"/>
                <w:szCs w:val="16"/>
              </w:rPr>
              <w:t>une technologie appropriée pour le développement économique prévue dans les politiques et stratégies nationales en matière d</w:t>
            </w:r>
            <w:r w:rsidR="00E2055A" w:rsidRPr="00A32AF4">
              <w:rPr>
                <w:sz w:val="16"/>
                <w:szCs w:val="16"/>
              </w:rPr>
              <w:t>’</w:t>
            </w:r>
            <w:r w:rsidRPr="00A32AF4">
              <w:rPr>
                <w:sz w:val="16"/>
                <w:szCs w:val="16"/>
              </w:rPr>
              <w:t>innovation et de propriété intellectuelle dans les PMA</w:t>
            </w:r>
          </w:p>
        </w:tc>
        <w:tc>
          <w:tcPr>
            <w:tcW w:w="1070" w:type="pct"/>
            <w:shd w:val="clear" w:color="auto" w:fill="FFFFFF"/>
            <w:tcMar>
              <w:top w:w="113" w:type="dxa"/>
              <w:bottom w:w="113" w:type="dxa"/>
            </w:tcMar>
          </w:tcPr>
          <w:p w:rsidR="00C470FB" w:rsidRPr="00A32AF4" w:rsidRDefault="00C470FB" w:rsidP="00DC0553">
            <w:pPr>
              <w:jc w:val="center"/>
              <w:rPr>
                <w:rFonts w:cs="Arial"/>
                <w:sz w:val="16"/>
                <w:szCs w:val="16"/>
                <w:lang w:bidi="th-TH"/>
              </w:rPr>
            </w:pPr>
            <w:r w:rsidRPr="00A32AF4">
              <w:rPr>
                <w:rFonts w:cs="Arial"/>
                <w:sz w:val="16"/>
                <w:szCs w:val="16"/>
                <w:lang w:bidi="th-TH"/>
              </w:rPr>
              <w:t>Programme 9</w:t>
            </w:r>
          </w:p>
        </w:tc>
      </w:tr>
      <w:tr w:rsidR="00FF3B36" w:rsidRPr="00A32AF4" w:rsidTr="00FF3B36">
        <w:trPr>
          <w:cantSplit/>
        </w:trPr>
        <w:tc>
          <w:tcPr>
            <w:tcW w:w="1769" w:type="pct"/>
            <w:shd w:val="clear" w:color="auto" w:fill="auto"/>
            <w:tcMar>
              <w:top w:w="113" w:type="dxa"/>
              <w:bottom w:w="113" w:type="dxa"/>
            </w:tcMar>
          </w:tcPr>
          <w:p w:rsidR="00FF3B36" w:rsidRPr="00A32AF4" w:rsidRDefault="00FF3B36" w:rsidP="00DC0553">
            <w:pPr>
              <w:rPr>
                <w:rFonts w:cs="Arial"/>
                <w:sz w:val="16"/>
                <w:szCs w:val="16"/>
              </w:rPr>
            </w:pPr>
          </w:p>
        </w:tc>
        <w:tc>
          <w:tcPr>
            <w:tcW w:w="2161" w:type="pct"/>
            <w:shd w:val="clear" w:color="auto" w:fill="auto"/>
            <w:tcMar>
              <w:top w:w="113" w:type="dxa"/>
              <w:bottom w:w="113" w:type="dxa"/>
            </w:tcMar>
          </w:tcPr>
          <w:p w:rsidR="00FF3B36" w:rsidRPr="00A32AF4" w:rsidRDefault="00F94D4D" w:rsidP="00DC0553">
            <w:pPr>
              <w:rPr>
                <w:rFonts w:cs="Arial"/>
                <w:sz w:val="16"/>
                <w:szCs w:val="16"/>
              </w:rPr>
            </w:pPr>
            <w:r w:rsidRPr="00A32AF4">
              <w:rPr>
                <w:sz w:val="16"/>
                <w:szCs w:val="16"/>
              </w:rPr>
              <w:t>Nombre d</w:t>
            </w:r>
            <w:r w:rsidR="00E2055A" w:rsidRPr="00A32AF4">
              <w:rPr>
                <w:sz w:val="16"/>
                <w:szCs w:val="16"/>
              </w:rPr>
              <w:t>’</w:t>
            </w:r>
            <w:r w:rsidRPr="00A32AF4">
              <w:rPr>
                <w:sz w:val="16"/>
                <w:szCs w:val="16"/>
              </w:rPr>
              <w:t>utilisateurs différents par trimestre dans tous les systèmes de bases de données mondiales</w:t>
            </w:r>
          </w:p>
        </w:tc>
        <w:tc>
          <w:tcPr>
            <w:tcW w:w="1070" w:type="pct"/>
            <w:shd w:val="clear" w:color="auto" w:fill="FFFFFF"/>
            <w:tcMar>
              <w:top w:w="113" w:type="dxa"/>
              <w:bottom w:w="113" w:type="dxa"/>
            </w:tcMar>
          </w:tcPr>
          <w:p w:rsidR="00FF3B36" w:rsidRPr="00A32AF4" w:rsidRDefault="00FF3B36" w:rsidP="00DC0553">
            <w:pPr>
              <w:jc w:val="center"/>
              <w:rPr>
                <w:rFonts w:cs="Arial"/>
                <w:sz w:val="16"/>
                <w:szCs w:val="16"/>
                <w:lang w:bidi="th-TH"/>
              </w:rPr>
            </w:pPr>
            <w:r w:rsidRPr="00A32AF4">
              <w:rPr>
                <w:rFonts w:cs="Arial"/>
                <w:sz w:val="16"/>
                <w:szCs w:val="16"/>
                <w:lang w:bidi="th-TH"/>
              </w:rPr>
              <w:t>Programme 13</w:t>
            </w:r>
          </w:p>
        </w:tc>
      </w:tr>
      <w:tr w:rsidR="00F94D4D" w:rsidRPr="00A32AF4" w:rsidTr="00FF3B36">
        <w:trPr>
          <w:cantSplit/>
        </w:trPr>
        <w:tc>
          <w:tcPr>
            <w:tcW w:w="1769" w:type="pct"/>
            <w:shd w:val="clear" w:color="auto" w:fill="auto"/>
            <w:tcMar>
              <w:top w:w="113" w:type="dxa"/>
              <w:bottom w:w="113" w:type="dxa"/>
            </w:tcMar>
          </w:tcPr>
          <w:p w:rsidR="00F94D4D" w:rsidRPr="00A32AF4" w:rsidRDefault="00F94D4D" w:rsidP="00DC0553">
            <w:pPr>
              <w:rPr>
                <w:rFonts w:cs="Arial"/>
                <w:sz w:val="16"/>
                <w:szCs w:val="16"/>
              </w:rPr>
            </w:pPr>
          </w:p>
        </w:tc>
        <w:tc>
          <w:tcPr>
            <w:tcW w:w="2161" w:type="pct"/>
            <w:shd w:val="clear" w:color="auto" w:fill="auto"/>
            <w:tcMar>
              <w:top w:w="113" w:type="dxa"/>
              <w:bottom w:w="113" w:type="dxa"/>
            </w:tcMar>
          </w:tcPr>
          <w:p w:rsidR="00F94D4D" w:rsidRPr="00A32AF4" w:rsidRDefault="00F94D4D" w:rsidP="00DC0553">
            <w:pPr>
              <w:rPr>
                <w:sz w:val="16"/>
                <w:szCs w:val="16"/>
              </w:rPr>
            </w:pPr>
            <w:r w:rsidRPr="00A32AF4">
              <w:rPr>
                <w:sz w:val="16"/>
                <w:szCs w:val="16"/>
              </w:rPr>
              <w:t>Nombre de langues dans lesquelles il est possible de faire des recherches multilingues</w:t>
            </w:r>
          </w:p>
        </w:tc>
        <w:tc>
          <w:tcPr>
            <w:tcW w:w="1070" w:type="pct"/>
            <w:shd w:val="clear" w:color="auto" w:fill="FFFFFF"/>
            <w:tcMar>
              <w:top w:w="113" w:type="dxa"/>
              <w:bottom w:w="113" w:type="dxa"/>
            </w:tcMar>
          </w:tcPr>
          <w:p w:rsidR="00F94D4D" w:rsidRPr="00A32AF4" w:rsidRDefault="00F94D4D" w:rsidP="00DC0553">
            <w:pPr>
              <w:jc w:val="center"/>
              <w:rPr>
                <w:rFonts w:cs="Arial"/>
                <w:sz w:val="16"/>
                <w:szCs w:val="16"/>
                <w:lang w:bidi="th-TH"/>
              </w:rPr>
            </w:pPr>
            <w:r w:rsidRPr="00A32AF4">
              <w:rPr>
                <w:rFonts w:cs="Arial"/>
                <w:sz w:val="16"/>
                <w:szCs w:val="16"/>
                <w:lang w:bidi="th-TH"/>
              </w:rPr>
              <w:t>Programme 13</w:t>
            </w:r>
          </w:p>
        </w:tc>
      </w:tr>
      <w:tr w:rsidR="00F94D4D" w:rsidRPr="00A32AF4" w:rsidTr="00FF3B36">
        <w:trPr>
          <w:cantSplit/>
        </w:trPr>
        <w:tc>
          <w:tcPr>
            <w:tcW w:w="1769" w:type="pct"/>
            <w:shd w:val="clear" w:color="auto" w:fill="auto"/>
            <w:tcMar>
              <w:top w:w="113" w:type="dxa"/>
              <w:bottom w:w="113" w:type="dxa"/>
            </w:tcMar>
          </w:tcPr>
          <w:p w:rsidR="00F94D4D" w:rsidRPr="00A32AF4" w:rsidRDefault="00F94D4D" w:rsidP="00DC0553">
            <w:pPr>
              <w:rPr>
                <w:rFonts w:cs="Arial"/>
                <w:sz w:val="16"/>
                <w:szCs w:val="16"/>
              </w:rPr>
            </w:pPr>
          </w:p>
        </w:tc>
        <w:tc>
          <w:tcPr>
            <w:tcW w:w="2161" w:type="pct"/>
            <w:shd w:val="clear" w:color="auto" w:fill="auto"/>
            <w:tcMar>
              <w:top w:w="113" w:type="dxa"/>
              <w:bottom w:w="113" w:type="dxa"/>
            </w:tcMar>
          </w:tcPr>
          <w:p w:rsidR="00F94D4D" w:rsidRPr="00A32AF4" w:rsidRDefault="00F94D4D" w:rsidP="00DC0553">
            <w:pPr>
              <w:rPr>
                <w:sz w:val="16"/>
                <w:szCs w:val="16"/>
              </w:rPr>
            </w:pPr>
            <w:r w:rsidRPr="00A32AF4">
              <w:rPr>
                <w:sz w:val="16"/>
                <w:szCs w:val="16"/>
              </w:rPr>
              <w:t>Nombre de combinaisons linguistiques disponibles pour la traduction des descriptions et des revendications</w:t>
            </w:r>
          </w:p>
        </w:tc>
        <w:tc>
          <w:tcPr>
            <w:tcW w:w="1070" w:type="pct"/>
            <w:shd w:val="clear" w:color="auto" w:fill="FFFFFF"/>
            <w:tcMar>
              <w:top w:w="113" w:type="dxa"/>
              <w:bottom w:w="113" w:type="dxa"/>
            </w:tcMar>
          </w:tcPr>
          <w:p w:rsidR="00F94D4D" w:rsidRPr="00A32AF4" w:rsidRDefault="00F94D4D" w:rsidP="00DC0553">
            <w:pPr>
              <w:jc w:val="center"/>
              <w:rPr>
                <w:rFonts w:cs="Arial"/>
                <w:sz w:val="16"/>
                <w:szCs w:val="16"/>
                <w:lang w:bidi="th-TH"/>
              </w:rPr>
            </w:pPr>
            <w:r w:rsidRPr="00A32AF4">
              <w:rPr>
                <w:rFonts w:cs="Arial"/>
                <w:sz w:val="16"/>
                <w:szCs w:val="16"/>
                <w:lang w:bidi="th-TH"/>
              </w:rPr>
              <w:t>Programme 13</w:t>
            </w:r>
          </w:p>
        </w:tc>
      </w:tr>
      <w:tr w:rsidR="00F94D4D" w:rsidRPr="00A32AF4" w:rsidTr="00FF3B36">
        <w:trPr>
          <w:cantSplit/>
        </w:trPr>
        <w:tc>
          <w:tcPr>
            <w:tcW w:w="1769" w:type="pct"/>
            <w:shd w:val="clear" w:color="auto" w:fill="auto"/>
            <w:tcMar>
              <w:top w:w="113" w:type="dxa"/>
              <w:bottom w:w="113" w:type="dxa"/>
            </w:tcMar>
          </w:tcPr>
          <w:p w:rsidR="00F94D4D" w:rsidRPr="00A32AF4" w:rsidRDefault="00F94D4D" w:rsidP="00DC0553">
            <w:pPr>
              <w:rPr>
                <w:rFonts w:cs="Arial"/>
                <w:sz w:val="16"/>
                <w:szCs w:val="16"/>
              </w:rPr>
            </w:pPr>
          </w:p>
        </w:tc>
        <w:tc>
          <w:tcPr>
            <w:tcW w:w="2161" w:type="pct"/>
            <w:shd w:val="clear" w:color="auto" w:fill="auto"/>
            <w:tcMar>
              <w:top w:w="113" w:type="dxa"/>
              <w:bottom w:w="113" w:type="dxa"/>
            </w:tcMar>
          </w:tcPr>
          <w:p w:rsidR="00F94D4D" w:rsidRPr="00A32AF4" w:rsidRDefault="00F94D4D" w:rsidP="00DC0553">
            <w:pPr>
              <w:rPr>
                <w:sz w:val="16"/>
                <w:szCs w:val="16"/>
              </w:rPr>
            </w:pPr>
            <w:r w:rsidRPr="00A32AF4">
              <w:rPr>
                <w:sz w:val="16"/>
                <w:szCs w:val="16"/>
              </w:rPr>
              <w:t>Nombre d</w:t>
            </w:r>
            <w:r w:rsidR="00E2055A" w:rsidRPr="00A32AF4">
              <w:rPr>
                <w:sz w:val="16"/>
                <w:szCs w:val="16"/>
              </w:rPr>
              <w:t>’</w:t>
            </w:r>
            <w:r w:rsidRPr="00A32AF4">
              <w:rPr>
                <w:sz w:val="16"/>
                <w:szCs w:val="16"/>
              </w:rPr>
              <w:t>entrées figurant dans PATENTSCOPE</w:t>
            </w:r>
          </w:p>
        </w:tc>
        <w:tc>
          <w:tcPr>
            <w:tcW w:w="1070" w:type="pct"/>
            <w:shd w:val="clear" w:color="auto" w:fill="FFFFFF"/>
            <w:tcMar>
              <w:top w:w="113" w:type="dxa"/>
              <w:bottom w:w="113" w:type="dxa"/>
            </w:tcMar>
          </w:tcPr>
          <w:p w:rsidR="00F94D4D" w:rsidRPr="00A32AF4" w:rsidRDefault="00F94D4D" w:rsidP="00DC0553">
            <w:pPr>
              <w:jc w:val="center"/>
              <w:rPr>
                <w:rFonts w:cs="Arial"/>
                <w:sz w:val="16"/>
                <w:szCs w:val="16"/>
                <w:lang w:bidi="th-TH"/>
              </w:rPr>
            </w:pPr>
            <w:r w:rsidRPr="00A32AF4">
              <w:rPr>
                <w:rFonts w:cs="Arial"/>
                <w:sz w:val="16"/>
                <w:szCs w:val="16"/>
                <w:lang w:bidi="th-TH"/>
              </w:rPr>
              <w:t>Programme 13</w:t>
            </w:r>
          </w:p>
        </w:tc>
      </w:tr>
      <w:tr w:rsidR="0005319E" w:rsidRPr="00A32AF4" w:rsidTr="00FF3B36">
        <w:trPr>
          <w:cantSplit/>
        </w:trPr>
        <w:tc>
          <w:tcPr>
            <w:tcW w:w="1769" w:type="pct"/>
            <w:shd w:val="clear" w:color="auto" w:fill="auto"/>
            <w:tcMar>
              <w:top w:w="113" w:type="dxa"/>
              <w:bottom w:w="113" w:type="dxa"/>
            </w:tcMar>
          </w:tcPr>
          <w:p w:rsidR="0005319E" w:rsidRPr="00A32AF4" w:rsidRDefault="0005319E" w:rsidP="00DC0553">
            <w:pPr>
              <w:rPr>
                <w:rFonts w:cs="Arial"/>
                <w:sz w:val="16"/>
                <w:szCs w:val="16"/>
              </w:rPr>
            </w:pPr>
          </w:p>
        </w:tc>
        <w:tc>
          <w:tcPr>
            <w:tcW w:w="2161" w:type="pct"/>
            <w:shd w:val="clear" w:color="auto" w:fill="auto"/>
            <w:tcMar>
              <w:top w:w="113" w:type="dxa"/>
              <w:bottom w:w="113" w:type="dxa"/>
            </w:tcMar>
          </w:tcPr>
          <w:p w:rsidR="0005319E" w:rsidRPr="00A32AF4" w:rsidRDefault="00103363" w:rsidP="00B305E4">
            <w:pPr>
              <w:rPr>
                <w:sz w:val="16"/>
                <w:szCs w:val="16"/>
              </w:rPr>
            </w:pPr>
            <w:r w:rsidRPr="00A32AF4">
              <w:rPr>
                <w:sz w:val="16"/>
                <w:szCs w:val="16"/>
              </w:rPr>
              <w:t>Délai de téléchargement des données (nombre</w:t>
            </w:r>
            <w:r w:rsidR="00B305E4" w:rsidRPr="00A32AF4">
              <w:rPr>
                <w:sz w:val="16"/>
                <w:szCs w:val="16"/>
              </w:rPr>
              <w:t xml:space="preserve"> moyen</w:t>
            </w:r>
            <w:r w:rsidRPr="00A32AF4">
              <w:rPr>
                <w:sz w:val="16"/>
                <w:szCs w:val="16"/>
              </w:rPr>
              <w:t xml:space="preserve"> de jours entre la date de publication des enregistrements dans le registre officiel et leur mise à disposition dans les bases de données mondiales </w:t>
            </w:r>
            <w:r w:rsidR="00AB7495" w:rsidRPr="00A32AF4">
              <w:rPr>
                <w:sz w:val="16"/>
                <w:szCs w:val="16"/>
              </w:rPr>
              <w:t>pour un sous</w:t>
            </w:r>
            <w:r w:rsidR="00EB7F54" w:rsidRPr="00A32AF4">
              <w:rPr>
                <w:sz w:val="16"/>
                <w:szCs w:val="16"/>
              </w:rPr>
              <w:noBreakHyphen/>
            </w:r>
            <w:r w:rsidR="00AB7495" w:rsidRPr="00A32AF4">
              <w:rPr>
                <w:sz w:val="16"/>
                <w:szCs w:val="16"/>
              </w:rPr>
              <w:t>ensemble</w:t>
            </w:r>
            <w:r w:rsidRPr="00A32AF4">
              <w:rPr>
                <w:sz w:val="16"/>
                <w:szCs w:val="16"/>
              </w:rPr>
              <w:t xml:space="preserve"> </w:t>
            </w:r>
            <w:r w:rsidR="00AB7495" w:rsidRPr="00A32AF4">
              <w:rPr>
                <w:sz w:val="16"/>
                <w:szCs w:val="16"/>
              </w:rPr>
              <w:t>représentati</w:t>
            </w:r>
            <w:r w:rsidR="00971736" w:rsidRPr="00A32AF4">
              <w:rPr>
                <w:sz w:val="16"/>
                <w:szCs w:val="16"/>
              </w:rPr>
              <w:t>f</w:t>
            </w:r>
            <w:r w:rsidR="00AB7495" w:rsidRPr="00A32AF4">
              <w:rPr>
                <w:sz w:val="16"/>
                <w:szCs w:val="16"/>
              </w:rPr>
              <w:t xml:space="preserve"> </w:t>
            </w:r>
            <w:r w:rsidRPr="00A32AF4">
              <w:rPr>
                <w:sz w:val="16"/>
                <w:szCs w:val="16"/>
              </w:rPr>
              <w:t>de collections nationales)</w:t>
            </w:r>
          </w:p>
        </w:tc>
        <w:tc>
          <w:tcPr>
            <w:tcW w:w="1070" w:type="pct"/>
            <w:shd w:val="clear" w:color="auto" w:fill="FFFFFF"/>
            <w:tcMar>
              <w:top w:w="113" w:type="dxa"/>
              <w:bottom w:w="113" w:type="dxa"/>
            </w:tcMar>
          </w:tcPr>
          <w:p w:rsidR="0005319E" w:rsidRPr="00A32AF4" w:rsidRDefault="0005319E" w:rsidP="00DC0553">
            <w:pPr>
              <w:jc w:val="center"/>
              <w:rPr>
                <w:rFonts w:cs="Arial"/>
                <w:sz w:val="16"/>
                <w:szCs w:val="16"/>
                <w:lang w:bidi="th-TH"/>
              </w:rPr>
            </w:pPr>
            <w:r w:rsidRPr="00A32AF4">
              <w:rPr>
                <w:rFonts w:cs="Arial"/>
                <w:sz w:val="16"/>
                <w:szCs w:val="16"/>
                <w:lang w:bidi="th-TH"/>
              </w:rPr>
              <w:t>Programme 13</w:t>
            </w:r>
          </w:p>
        </w:tc>
      </w:tr>
      <w:tr w:rsidR="00FF3B36" w:rsidRPr="00A32AF4" w:rsidTr="00FF3B36">
        <w:trPr>
          <w:cantSplit/>
        </w:trPr>
        <w:tc>
          <w:tcPr>
            <w:tcW w:w="1769" w:type="pct"/>
            <w:shd w:val="clear" w:color="auto" w:fill="auto"/>
            <w:tcMar>
              <w:top w:w="113" w:type="dxa"/>
              <w:bottom w:w="113" w:type="dxa"/>
            </w:tcMar>
          </w:tcPr>
          <w:p w:rsidR="00FF3B36" w:rsidRPr="00A32AF4" w:rsidRDefault="00FF3B36" w:rsidP="00DC0553">
            <w:pPr>
              <w:rPr>
                <w:rFonts w:cs="Arial"/>
                <w:sz w:val="16"/>
                <w:szCs w:val="16"/>
              </w:rPr>
            </w:pPr>
          </w:p>
        </w:tc>
        <w:tc>
          <w:tcPr>
            <w:tcW w:w="2161" w:type="pct"/>
            <w:shd w:val="clear" w:color="auto" w:fill="auto"/>
            <w:tcMar>
              <w:top w:w="113" w:type="dxa"/>
              <w:bottom w:w="113" w:type="dxa"/>
            </w:tcMar>
          </w:tcPr>
          <w:p w:rsidR="00FF3B36" w:rsidRPr="00A32AF4" w:rsidRDefault="00066771" w:rsidP="00DC0553">
            <w:pPr>
              <w:rPr>
                <w:rFonts w:cs="Arial"/>
                <w:sz w:val="16"/>
                <w:szCs w:val="16"/>
              </w:rPr>
            </w:pPr>
            <w:r w:rsidRPr="00A32AF4">
              <w:rPr>
                <w:sz w:val="16"/>
                <w:szCs w:val="16"/>
              </w:rPr>
              <w:t>Moyenne des utilisateurs ayant bénéficié des services des CATI par an</w:t>
            </w:r>
          </w:p>
        </w:tc>
        <w:tc>
          <w:tcPr>
            <w:tcW w:w="1070" w:type="pct"/>
            <w:shd w:val="clear" w:color="auto" w:fill="FFFFFF"/>
            <w:tcMar>
              <w:top w:w="113" w:type="dxa"/>
              <w:bottom w:w="113" w:type="dxa"/>
            </w:tcMar>
          </w:tcPr>
          <w:p w:rsidR="00FF3B36" w:rsidRPr="00A32AF4" w:rsidRDefault="00FF3B36" w:rsidP="00DC0553">
            <w:pPr>
              <w:jc w:val="center"/>
              <w:rPr>
                <w:rFonts w:cs="Arial"/>
                <w:sz w:val="16"/>
                <w:szCs w:val="16"/>
                <w:lang w:bidi="th-TH"/>
              </w:rPr>
            </w:pPr>
            <w:r w:rsidRPr="00A32AF4">
              <w:rPr>
                <w:rFonts w:cs="Arial"/>
                <w:sz w:val="16"/>
                <w:szCs w:val="16"/>
                <w:lang w:bidi="th-TH"/>
              </w:rPr>
              <w:t>Programme 14</w:t>
            </w:r>
          </w:p>
        </w:tc>
      </w:tr>
      <w:tr w:rsidR="00FF3B36" w:rsidRPr="00A32AF4" w:rsidTr="00FF3B36">
        <w:trPr>
          <w:cantSplit/>
        </w:trPr>
        <w:tc>
          <w:tcPr>
            <w:tcW w:w="1769" w:type="pct"/>
            <w:shd w:val="clear" w:color="auto" w:fill="auto"/>
            <w:tcMar>
              <w:top w:w="113" w:type="dxa"/>
              <w:bottom w:w="113" w:type="dxa"/>
            </w:tcMar>
          </w:tcPr>
          <w:p w:rsidR="00FF3B36" w:rsidRPr="00A32AF4" w:rsidRDefault="00FF3B36" w:rsidP="00DC0553">
            <w:pPr>
              <w:rPr>
                <w:rFonts w:cs="Arial"/>
                <w:sz w:val="16"/>
                <w:szCs w:val="16"/>
              </w:rPr>
            </w:pPr>
          </w:p>
        </w:tc>
        <w:tc>
          <w:tcPr>
            <w:tcW w:w="2161" w:type="pct"/>
            <w:shd w:val="clear" w:color="auto" w:fill="auto"/>
            <w:tcMar>
              <w:top w:w="113" w:type="dxa"/>
              <w:bottom w:w="113" w:type="dxa"/>
            </w:tcMar>
          </w:tcPr>
          <w:p w:rsidR="00FF3B36" w:rsidRPr="00A32AF4" w:rsidRDefault="00066771" w:rsidP="00DC0553">
            <w:pPr>
              <w:rPr>
                <w:rFonts w:cs="Arial"/>
                <w:sz w:val="16"/>
                <w:szCs w:val="16"/>
              </w:rPr>
            </w:pPr>
            <w:r w:rsidRPr="00A32AF4">
              <w:rPr>
                <w:sz w:val="16"/>
                <w:szCs w:val="16"/>
              </w:rPr>
              <w:t>Nombre des États membres dans les régions concernées qui collaborent avec les bases de données mondiales</w:t>
            </w:r>
          </w:p>
        </w:tc>
        <w:tc>
          <w:tcPr>
            <w:tcW w:w="1070" w:type="pct"/>
            <w:shd w:val="clear" w:color="auto" w:fill="FFFFFF"/>
            <w:tcMar>
              <w:top w:w="113" w:type="dxa"/>
              <w:bottom w:w="113" w:type="dxa"/>
            </w:tcMar>
          </w:tcPr>
          <w:p w:rsidR="00FF3B36" w:rsidRPr="00A32AF4" w:rsidRDefault="00FF3B36" w:rsidP="00DC0553">
            <w:pPr>
              <w:jc w:val="center"/>
              <w:rPr>
                <w:rFonts w:cs="Arial"/>
                <w:sz w:val="16"/>
                <w:szCs w:val="16"/>
                <w:lang w:bidi="th-TH"/>
              </w:rPr>
            </w:pPr>
            <w:r w:rsidRPr="00A32AF4">
              <w:rPr>
                <w:rFonts w:cs="Arial"/>
                <w:sz w:val="16"/>
                <w:szCs w:val="16"/>
                <w:lang w:bidi="th-TH"/>
              </w:rPr>
              <w:t>Programme 14</w:t>
            </w:r>
          </w:p>
        </w:tc>
      </w:tr>
      <w:tr w:rsidR="00066771" w:rsidRPr="00A32AF4" w:rsidTr="00FF3B36">
        <w:trPr>
          <w:cantSplit/>
        </w:trPr>
        <w:tc>
          <w:tcPr>
            <w:tcW w:w="1769" w:type="pct"/>
            <w:shd w:val="clear" w:color="auto" w:fill="auto"/>
            <w:tcMar>
              <w:top w:w="113" w:type="dxa"/>
              <w:bottom w:w="113" w:type="dxa"/>
            </w:tcMar>
          </w:tcPr>
          <w:p w:rsidR="00066771" w:rsidRPr="00A32AF4" w:rsidRDefault="00066771" w:rsidP="00DC0553">
            <w:pPr>
              <w:rPr>
                <w:rFonts w:cs="Arial"/>
                <w:sz w:val="16"/>
                <w:szCs w:val="16"/>
              </w:rPr>
            </w:pPr>
          </w:p>
        </w:tc>
        <w:tc>
          <w:tcPr>
            <w:tcW w:w="2161" w:type="pct"/>
            <w:shd w:val="clear" w:color="auto" w:fill="auto"/>
            <w:tcMar>
              <w:top w:w="113" w:type="dxa"/>
              <w:bottom w:w="113" w:type="dxa"/>
            </w:tcMar>
          </w:tcPr>
          <w:p w:rsidR="00066771" w:rsidRPr="00A32AF4" w:rsidRDefault="00066771" w:rsidP="00DC0553">
            <w:pPr>
              <w:rPr>
                <w:sz w:val="16"/>
                <w:szCs w:val="16"/>
              </w:rPr>
            </w:pPr>
            <w:r w:rsidRPr="00A32AF4">
              <w:rPr>
                <w:sz w:val="16"/>
                <w:szCs w:val="16"/>
              </w:rPr>
              <w:t>Nombre d</w:t>
            </w:r>
            <w:r w:rsidR="00E2055A" w:rsidRPr="00A32AF4">
              <w:rPr>
                <w:sz w:val="16"/>
                <w:szCs w:val="16"/>
              </w:rPr>
              <w:t>’</w:t>
            </w:r>
            <w:r w:rsidRPr="00A32AF4">
              <w:rPr>
                <w:sz w:val="16"/>
                <w:szCs w:val="16"/>
              </w:rPr>
              <w:t>utilisateurs actifs inscrits aux programmes ARDI et ASPI</w:t>
            </w:r>
          </w:p>
        </w:tc>
        <w:tc>
          <w:tcPr>
            <w:tcW w:w="1070" w:type="pct"/>
            <w:shd w:val="clear" w:color="auto" w:fill="FFFFFF"/>
            <w:tcMar>
              <w:top w:w="113" w:type="dxa"/>
              <w:bottom w:w="113" w:type="dxa"/>
            </w:tcMar>
          </w:tcPr>
          <w:p w:rsidR="00066771" w:rsidRPr="00A32AF4" w:rsidRDefault="00066771" w:rsidP="00DC0553">
            <w:pPr>
              <w:jc w:val="center"/>
              <w:rPr>
                <w:rFonts w:cs="Arial"/>
                <w:sz w:val="16"/>
                <w:szCs w:val="16"/>
                <w:lang w:bidi="th-TH"/>
              </w:rPr>
            </w:pPr>
            <w:r w:rsidRPr="00A32AF4">
              <w:rPr>
                <w:rFonts w:cs="Arial"/>
                <w:sz w:val="16"/>
                <w:szCs w:val="16"/>
                <w:lang w:bidi="th-TH"/>
              </w:rPr>
              <w:t>Programme 14</w:t>
            </w:r>
          </w:p>
        </w:tc>
      </w:tr>
      <w:tr w:rsidR="00066771" w:rsidRPr="00A32AF4" w:rsidTr="00FF3B36">
        <w:trPr>
          <w:cantSplit/>
        </w:trPr>
        <w:tc>
          <w:tcPr>
            <w:tcW w:w="1769" w:type="pct"/>
            <w:shd w:val="clear" w:color="auto" w:fill="auto"/>
            <w:tcMar>
              <w:top w:w="113" w:type="dxa"/>
              <w:bottom w:w="113" w:type="dxa"/>
            </w:tcMar>
          </w:tcPr>
          <w:p w:rsidR="00066771" w:rsidRPr="00A32AF4" w:rsidRDefault="00066771" w:rsidP="00DC0553">
            <w:pPr>
              <w:rPr>
                <w:rFonts w:cs="Arial"/>
                <w:sz w:val="16"/>
                <w:szCs w:val="16"/>
              </w:rPr>
            </w:pPr>
          </w:p>
        </w:tc>
        <w:tc>
          <w:tcPr>
            <w:tcW w:w="2161" w:type="pct"/>
            <w:shd w:val="clear" w:color="auto" w:fill="auto"/>
            <w:tcMar>
              <w:top w:w="113" w:type="dxa"/>
              <w:bottom w:w="113" w:type="dxa"/>
            </w:tcMar>
          </w:tcPr>
          <w:p w:rsidR="00066771" w:rsidRPr="00A32AF4" w:rsidRDefault="00066771" w:rsidP="00DC0553">
            <w:pPr>
              <w:rPr>
                <w:sz w:val="16"/>
                <w:szCs w:val="16"/>
              </w:rPr>
            </w:pPr>
            <w:r w:rsidRPr="00A32AF4">
              <w:rPr>
                <w:sz w:val="16"/>
                <w:szCs w:val="16"/>
              </w:rPr>
              <w:t xml:space="preserve">Nombre de demandes adressées aux CATI dans le cadre du projet de “premier guichet” </w:t>
            </w:r>
          </w:p>
        </w:tc>
        <w:tc>
          <w:tcPr>
            <w:tcW w:w="1070" w:type="pct"/>
            <w:shd w:val="clear" w:color="auto" w:fill="FFFFFF"/>
            <w:tcMar>
              <w:top w:w="113" w:type="dxa"/>
              <w:bottom w:w="113" w:type="dxa"/>
            </w:tcMar>
          </w:tcPr>
          <w:p w:rsidR="00066771" w:rsidRPr="00A32AF4" w:rsidRDefault="00066771" w:rsidP="00DC0553">
            <w:pPr>
              <w:jc w:val="center"/>
              <w:rPr>
                <w:rFonts w:cs="Arial"/>
                <w:sz w:val="16"/>
                <w:szCs w:val="16"/>
                <w:lang w:bidi="th-TH"/>
              </w:rPr>
            </w:pPr>
            <w:r w:rsidRPr="00A32AF4">
              <w:rPr>
                <w:rFonts w:cs="Arial"/>
                <w:sz w:val="16"/>
                <w:szCs w:val="16"/>
                <w:lang w:bidi="th-TH"/>
              </w:rPr>
              <w:t>Programme 14</w:t>
            </w:r>
          </w:p>
        </w:tc>
      </w:tr>
      <w:tr w:rsidR="00066771" w:rsidRPr="00A32AF4" w:rsidTr="00FF3B36">
        <w:trPr>
          <w:cantSplit/>
        </w:trPr>
        <w:tc>
          <w:tcPr>
            <w:tcW w:w="1769" w:type="pct"/>
            <w:shd w:val="clear" w:color="auto" w:fill="auto"/>
            <w:tcMar>
              <w:top w:w="113" w:type="dxa"/>
              <w:bottom w:w="113" w:type="dxa"/>
            </w:tcMar>
          </w:tcPr>
          <w:p w:rsidR="00066771" w:rsidRPr="00A32AF4" w:rsidRDefault="00066771" w:rsidP="00DC0553">
            <w:pPr>
              <w:rPr>
                <w:rFonts w:cs="Arial"/>
                <w:sz w:val="16"/>
                <w:szCs w:val="16"/>
              </w:rPr>
            </w:pPr>
          </w:p>
        </w:tc>
        <w:tc>
          <w:tcPr>
            <w:tcW w:w="2161" w:type="pct"/>
            <w:shd w:val="clear" w:color="auto" w:fill="auto"/>
            <w:tcMar>
              <w:top w:w="113" w:type="dxa"/>
              <w:bottom w:w="113" w:type="dxa"/>
            </w:tcMar>
          </w:tcPr>
          <w:p w:rsidR="00066771" w:rsidRPr="00A32AF4" w:rsidRDefault="00066771" w:rsidP="00DC0553">
            <w:pPr>
              <w:rPr>
                <w:sz w:val="16"/>
                <w:szCs w:val="16"/>
              </w:rPr>
            </w:pPr>
            <w:r w:rsidRPr="00A32AF4">
              <w:rPr>
                <w:sz w:val="16"/>
                <w:szCs w:val="16"/>
              </w:rPr>
              <w:t>Nombre de CATI offrant des services d</w:t>
            </w:r>
            <w:r w:rsidR="00E2055A" w:rsidRPr="00A32AF4">
              <w:rPr>
                <w:sz w:val="16"/>
                <w:szCs w:val="16"/>
              </w:rPr>
              <w:t>’</w:t>
            </w:r>
            <w:r w:rsidRPr="00A32AF4">
              <w:rPr>
                <w:sz w:val="16"/>
                <w:szCs w:val="16"/>
              </w:rPr>
              <w:t>analyse des brevets</w:t>
            </w:r>
          </w:p>
        </w:tc>
        <w:tc>
          <w:tcPr>
            <w:tcW w:w="1070" w:type="pct"/>
            <w:shd w:val="clear" w:color="auto" w:fill="FFFFFF"/>
            <w:tcMar>
              <w:top w:w="113" w:type="dxa"/>
              <w:bottom w:w="113" w:type="dxa"/>
            </w:tcMar>
          </w:tcPr>
          <w:p w:rsidR="00066771" w:rsidRPr="00A32AF4" w:rsidRDefault="00066771" w:rsidP="00DC0553">
            <w:pPr>
              <w:jc w:val="center"/>
              <w:rPr>
                <w:rFonts w:cs="Arial"/>
                <w:sz w:val="16"/>
                <w:szCs w:val="16"/>
                <w:lang w:bidi="th-TH"/>
              </w:rPr>
            </w:pPr>
            <w:r w:rsidRPr="00A32AF4">
              <w:rPr>
                <w:rFonts w:cs="Arial"/>
                <w:sz w:val="16"/>
                <w:szCs w:val="16"/>
                <w:lang w:bidi="th-TH"/>
              </w:rPr>
              <w:t>Programme 14</w:t>
            </w:r>
          </w:p>
        </w:tc>
      </w:tr>
      <w:tr w:rsidR="00B368D5" w:rsidRPr="00A32AF4" w:rsidTr="00FF3B36">
        <w:trPr>
          <w:cantSplit/>
        </w:trPr>
        <w:tc>
          <w:tcPr>
            <w:tcW w:w="1769" w:type="pct"/>
            <w:shd w:val="clear" w:color="auto" w:fill="auto"/>
            <w:tcMar>
              <w:top w:w="113" w:type="dxa"/>
              <w:bottom w:w="113" w:type="dxa"/>
            </w:tcMar>
          </w:tcPr>
          <w:p w:rsidR="00B368D5" w:rsidRPr="00A32AF4" w:rsidRDefault="00B368D5" w:rsidP="00DC0553">
            <w:pPr>
              <w:rPr>
                <w:rFonts w:cs="Arial"/>
                <w:sz w:val="16"/>
                <w:szCs w:val="16"/>
              </w:rPr>
            </w:pPr>
          </w:p>
        </w:tc>
        <w:tc>
          <w:tcPr>
            <w:tcW w:w="2161" w:type="pct"/>
            <w:shd w:val="clear" w:color="auto" w:fill="auto"/>
            <w:tcMar>
              <w:top w:w="113" w:type="dxa"/>
              <w:bottom w:w="113" w:type="dxa"/>
            </w:tcMar>
          </w:tcPr>
          <w:p w:rsidR="00B368D5" w:rsidRPr="00A32AF4" w:rsidRDefault="00B368D5" w:rsidP="00DC0553">
            <w:pPr>
              <w:rPr>
                <w:rFonts w:cs="Arial"/>
                <w:sz w:val="16"/>
                <w:szCs w:val="16"/>
              </w:rPr>
            </w:pPr>
            <w:r w:rsidRPr="00A32AF4">
              <w:rPr>
                <w:rFonts w:cs="Arial"/>
                <w:sz w:val="16"/>
                <w:szCs w:val="16"/>
              </w:rPr>
              <w:t>Nombre d</w:t>
            </w:r>
            <w:r w:rsidR="00E2055A" w:rsidRPr="00A32AF4">
              <w:rPr>
                <w:rFonts w:cs="Arial"/>
                <w:sz w:val="16"/>
                <w:szCs w:val="16"/>
              </w:rPr>
              <w:t>’</w:t>
            </w:r>
            <w:r w:rsidRPr="00A32AF4">
              <w:rPr>
                <w:rFonts w:cs="Arial"/>
                <w:sz w:val="16"/>
                <w:szCs w:val="16"/>
              </w:rPr>
              <w:t>utilisateurs des bases de données mondiales de l</w:t>
            </w:r>
            <w:r w:rsidR="00E2055A" w:rsidRPr="00A32AF4">
              <w:rPr>
                <w:rFonts w:cs="Arial"/>
                <w:sz w:val="16"/>
                <w:szCs w:val="16"/>
              </w:rPr>
              <w:t>’</w:t>
            </w:r>
            <w:r w:rsidRPr="00A32AF4">
              <w:rPr>
                <w:rFonts w:cs="Arial"/>
                <w:sz w:val="16"/>
                <w:szCs w:val="16"/>
              </w:rPr>
              <w:t>OMPI : PATENTSCOPE, Base de données mondiale sur les marques et Base de données des dessins et modèles</w:t>
            </w:r>
          </w:p>
        </w:tc>
        <w:tc>
          <w:tcPr>
            <w:tcW w:w="1070" w:type="pct"/>
            <w:shd w:val="clear" w:color="auto" w:fill="FFFFFF"/>
            <w:tcMar>
              <w:top w:w="113" w:type="dxa"/>
              <w:bottom w:w="113" w:type="dxa"/>
            </w:tcMar>
          </w:tcPr>
          <w:p w:rsidR="00B368D5" w:rsidRPr="00A32AF4" w:rsidRDefault="00B368D5" w:rsidP="00DC0553">
            <w:pPr>
              <w:jc w:val="center"/>
              <w:rPr>
                <w:rFonts w:cs="Arial"/>
                <w:sz w:val="16"/>
                <w:szCs w:val="16"/>
                <w:lang w:bidi="th-TH"/>
              </w:rPr>
            </w:pPr>
            <w:r w:rsidRPr="00A32AF4">
              <w:rPr>
                <w:rFonts w:cs="Arial"/>
                <w:sz w:val="16"/>
                <w:szCs w:val="16"/>
                <w:lang w:bidi="th-TH"/>
              </w:rPr>
              <w:t>Programme 20</w:t>
            </w:r>
          </w:p>
        </w:tc>
      </w:tr>
      <w:tr w:rsidR="00FF3B36" w:rsidRPr="00A32AF4" w:rsidTr="00FF3B36">
        <w:trPr>
          <w:cantSplit/>
        </w:trPr>
        <w:tc>
          <w:tcPr>
            <w:tcW w:w="1769" w:type="pct"/>
            <w:shd w:val="clear" w:color="auto" w:fill="auto"/>
            <w:tcMar>
              <w:top w:w="113" w:type="dxa"/>
              <w:bottom w:w="113" w:type="dxa"/>
            </w:tcMar>
          </w:tcPr>
          <w:p w:rsidR="00FF3B36" w:rsidRPr="00A32AF4" w:rsidRDefault="00FF3B36" w:rsidP="00DC0553">
            <w:pPr>
              <w:rPr>
                <w:rFonts w:cs="Arial"/>
                <w:sz w:val="16"/>
                <w:szCs w:val="16"/>
              </w:rPr>
            </w:pPr>
          </w:p>
        </w:tc>
        <w:tc>
          <w:tcPr>
            <w:tcW w:w="2161" w:type="pct"/>
            <w:shd w:val="clear" w:color="auto" w:fill="auto"/>
            <w:tcMar>
              <w:top w:w="113" w:type="dxa"/>
              <w:bottom w:w="113" w:type="dxa"/>
            </w:tcMar>
          </w:tcPr>
          <w:p w:rsidR="00FF3B36" w:rsidRPr="00A32AF4" w:rsidRDefault="00B368D5" w:rsidP="001C61E6">
            <w:pPr>
              <w:rPr>
                <w:rFonts w:cs="Arial"/>
                <w:sz w:val="16"/>
                <w:szCs w:val="16"/>
              </w:rPr>
            </w:pPr>
            <w:r w:rsidRPr="00A32AF4">
              <w:rPr>
                <w:rFonts w:cs="Arial"/>
                <w:sz w:val="16"/>
                <w:szCs w:val="16"/>
              </w:rPr>
              <w:t>Augmentation du nombre d</w:t>
            </w:r>
            <w:r w:rsidR="00E2055A" w:rsidRPr="00A32AF4">
              <w:rPr>
                <w:rFonts w:cs="Arial"/>
                <w:sz w:val="16"/>
                <w:szCs w:val="16"/>
              </w:rPr>
              <w:t>’</w:t>
            </w:r>
            <w:r w:rsidRPr="00A32AF4">
              <w:rPr>
                <w:rFonts w:cs="Arial"/>
                <w:sz w:val="16"/>
                <w:szCs w:val="16"/>
              </w:rPr>
              <w:t>utilisateurs de WIPO Lex</w:t>
            </w:r>
          </w:p>
        </w:tc>
        <w:tc>
          <w:tcPr>
            <w:tcW w:w="1070" w:type="pct"/>
            <w:shd w:val="clear" w:color="auto" w:fill="FFFFFF"/>
            <w:tcMar>
              <w:top w:w="113" w:type="dxa"/>
              <w:bottom w:w="113" w:type="dxa"/>
            </w:tcMar>
          </w:tcPr>
          <w:p w:rsidR="00FF3B36" w:rsidRPr="00A32AF4" w:rsidRDefault="00FF3B36" w:rsidP="001C61E6">
            <w:pPr>
              <w:jc w:val="center"/>
              <w:rPr>
                <w:rFonts w:cs="Arial"/>
                <w:sz w:val="16"/>
                <w:szCs w:val="16"/>
                <w:lang w:bidi="th-TH"/>
              </w:rPr>
            </w:pPr>
            <w:r w:rsidRPr="00A32AF4">
              <w:rPr>
                <w:rFonts w:cs="Arial"/>
                <w:sz w:val="16"/>
                <w:szCs w:val="16"/>
                <w:lang w:bidi="th-TH"/>
              </w:rPr>
              <w:t>Programme 21</w:t>
            </w:r>
          </w:p>
        </w:tc>
      </w:tr>
      <w:tr w:rsidR="001C61E6" w:rsidRPr="00A32AF4" w:rsidTr="00FF3B36">
        <w:trPr>
          <w:cantSplit/>
        </w:trPr>
        <w:tc>
          <w:tcPr>
            <w:tcW w:w="1769" w:type="pct"/>
            <w:shd w:val="clear" w:color="auto" w:fill="auto"/>
            <w:tcMar>
              <w:top w:w="113" w:type="dxa"/>
              <w:bottom w:w="113" w:type="dxa"/>
            </w:tcMar>
          </w:tcPr>
          <w:p w:rsidR="001C61E6" w:rsidRPr="00A32AF4" w:rsidRDefault="001C61E6" w:rsidP="00DC0553">
            <w:pPr>
              <w:rPr>
                <w:rFonts w:cs="Arial"/>
                <w:sz w:val="16"/>
                <w:szCs w:val="16"/>
              </w:rPr>
            </w:pPr>
          </w:p>
        </w:tc>
        <w:tc>
          <w:tcPr>
            <w:tcW w:w="2161" w:type="pct"/>
            <w:shd w:val="clear" w:color="auto" w:fill="auto"/>
            <w:tcMar>
              <w:top w:w="113" w:type="dxa"/>
              <w:bottom w:w="113" w:type="dxa"/>
            </w:tcMar>
          </w:tcPr>
          <w:p w:rsidR="001C61E6" w:rsidRPr="00A32AF4" w:rsidRDefault="001C61E6" w:rsidP="001C61E6">
            <w:pPr>
              <w:rPr>
                <w:rFonts w:cs="Arial"/>
                <w:sz w:val="16"/>
                <w:szCs w:val="16"/>
              </w:rPr>
            </w:pPr>
            <w:r w:rsidRPr="00A32AF4">
              <w:rPr>
                <w:rFonts w:cs="Arial"/>
                <w:sz w:val="16"/>
                <w:szCs w:val="16"/>
              </w:rPr>
              <w:t>Nombre de bureaux de transfert de technologie ayant été créés ou renforcés au sein d</w:t>
            </w:r>
            <w:r w:rsidR="00E2055A" w:rsidRPr="00A32AF4">
              <w:rPr>
                <w:rFonts w:cs="Arial"/>
                <w:sz w:val="16"/>
                <w:szCs w:val="16"/>
              </w:rPr>
              <w:t>’</w:t>
            </w:r>
            <w:r w:rsidRPr="00A32AF4">
              <w:rPr>
                <w:rFonts w:cs="Arial"/>
                <w:sz w:val="16"/>
                <w:szCs w:val="16"/>
              </w:rPr>
              <w:t>universités ou d</w:t>
            </w:r>
            <w:r w:rsidR="00E2055A" w:rsidRPr="00A32AF4">
              <w:rPr>
                <w:rFonts w:cs="Arial"/>
                <w:sz w:val="16"/>
                <w:szCs w:val="16"/>
              </w:rPr>
              <w:t>’</w:t>
            </w:r>
            <w:r w:rsidRPr="00A32AF4">
              <w:rPr>
                <w:rFonts w:cs="Arial"/>
                <w:sz w:val="16"/>
                <w:szCs w:val="16"/>
              </w:rPr>
              <w:t>instituts de R</w:t>
            </w:r>
            <w:r w:rsidR="00EB7F54" w:rsidRPr="00A32AF4">
              <w:rPr>
                <w:rFonts w:cs="Arial"/>
                <w:sz w:val="16"/>
                <w:szCs w:val="16"/>
              </w:rPr>
              <w:noBreakHyphen/>
            </w:r>
            <w:r w:rsidRPr="00A32AF4">
              <w:rPr>
                <w:rFonts w:cs="Arial"/>
                <w:sz w:val="16"/>
                <w:szCs w:val="16"/>
              </w:rPr>
              <w:t>D dans le cadre de l</w:t>
            </w:r>
            <w:r w:rsidR="00E2055A" w:rsidRPr="00A32AF4">
              <w:rPr>
                <w:rFonts w:cs="Arial"/>
                <w:sz w:val="16"/>
                <w:szCs w:val="16"/>
              </w:rPr>
              <w:t>’</w:t>
            </w:r>
            <w:r w:rsidRPr="00A32AF4">
              <w:rPr>
                <w:rFonts w:cs="Arial"/>
                <w:sz w:val="16"/>
                <w:szCs w:val="16"/>
              </w:rPr>
              <w:t>initiative de l</w:t>
            </w:r>
            <w:r w:rsidR="00E2055A" w:rsidRPr="00A32AF4">
              <w:rPr>
                <w:rFonts w:cs="Arial"/>
                <w:sz w:val="16"/>
                <w:szCs w:val="16"/>
              </w:rPr>
              <w:t>’</w:t>
            </w:r>
            <w:r w:rsidRPr="00A32AF4">
              <w:rPr>
                <w:rFonts w:cs="Arial"/>
                <w:sz w:val="16"/>
                <w:szCs w:val="16"/>
              </w:rPr>
              <w:t>OMPI en faveur des universités</w:t>
            </w:r>
          </w:p>
        </w:tc>
        <w:tc>
          <w:tcPr>
            <w:tcW w:w="1070" w:type="pct"/>
            <w:shd w:val="clear" w:color="auto" w:fill="FFFFFF"/>
            <w:tcMar>
              <w:top w:w="113" w:type="dxa"/>
              <w:bottom w:w="113" w:type="dxa"/>
            </w:tcMar>
          </w:tcPr>
          <w:p w:rsidR="001C61E6" w:rsidRPr="00A32AF4" w:rsidRDefault="001C61E6" w:rsidP="001C61E6">
            <w:pPr>
              <w:jc w:val="center"/>
              <w:rPr>
                <w:rFonts w:cs="Arial"/>
                <w:sz w:val="16"/>
                <w:szCs w:val="16"/>
                <w:lang w:bidi="th-TH"/>
              </w:rPr>
            </w:pPr>
            <w:r w:rsidRPr="00A32AF4">
              <w:rPr>
                <w:rFonts w:cs="Arial"/>
                <w:sz w:val="16"/>
                <w:szCs w:val="16"/>
                <w:lang w:bidi="th-TH"/>
              </w:rPr>
              <w:t>Programme 30</w:t>
            </w:r>
          </w:p>
        </w:tc>
      </w:tr>
      <w:tr w:rsidR="001C61E6" w:rsidRPr="00A32AF4" w:rsidTr="00FF3B36">
        <w:trPr>
          <w:cantSplit/>
        </w:trPr>
        <w:tc>
          <w:tcPr>
            <w:tcW w:w="1769" w:type="pct"/>
            <w:shd w:val="clear" w:color="auto" w:fill="auto"/>
            <w:tcMar>
              <w:top w:w="113" w:type="dxa"/>
              <w:bottom w:w="113" w:type="dxa"/>
            </w:tcMar>
          </w:tcPr>
          <w:p w:rsidR="001C61E6" w:rsidRPr="00A32AF4" w:rsidRDefault="001C61E6" w:rsidP="00DC0553">
            <w:pPr>
              <w:rPr>
                <w:rFonts w:cs="Arial"/>
                <w:sz w:val="16"/>
                <w:szCs w:val="16"/>
              </w:rPr>
            </w:pPr>
          </w:p>
        </w:tc>
        <w:tc>
          <w:tcPr>
            <w:tcW w:w="2161" w:type="pct"/>
            <w:shd w:val="clear" w:color="auto" w:fill="auto"/>
            <w:tcMar>
              <w:top w:w="113" w:type="dxa"/>
              <w:bottom w:w="113" w:type="dxa"/>
            </w:tcMar>
          </w:tcPr>
          <w:p w:rsidR="001C61E6" w:rsidRPr="00A32AF4" w:rsidRDefault="001C61E6" w:rsidP="00DC0553">
            <w:pPr>
              <w:rPr>
                <w:rFonts w:cs="Arial"/>
                <w:sz w:val="16"/>
                <w:szCs w:val="16"/>
              </w:rPr>
            </w:pPr>
            <w:r w:rsidRPr="00A32AF4">
              <w:rPr>
                <w:rFonts w:cs="Arial"/>
                <w:sz w:val="16"/>
                <w:szCs w:val="16"/>
              </w:rPr>
              <w:t>Nombre d</w:t>
            </w:r>
            <w:r w:rsidR="00E2055A" w:rsidRPr="00A32AF4">
              <w:rPr>
                <w:rFonts w:cs="Arial"/>
                <w:sz w:val="16"/>
                <w:szCs w:val="16"/>
              </w:rPr>
              <w:t>’</w:t>
            </w:r>
            <w:r w:rsidRPr="00A32AF4">
              <w:rPr>
                <w:rFonts w:cs="Arial"/>
                <w:sz w:val="16"/>
                <w:szCs w:val="16"/>
              </w:rPr>
              <w:t>universités ou d</w:t>
            </w:r>
            <w:r w:rsidR="00E2055A" w:rsidRPr="00A32AF4">
              <w:rPr>
                <w:rFonts w:cs="Arial"/>
                <w:sz w:val="16"/>
                <w:szCs w:val="16"/>
              </w:rPr>
              <w:t>’</w:t>
            </w:r>
            <w:r w:rsidRPr="00A32AF4">
              <w:rPr>
                <w:rFonts w:cs="Arial"/>
                <w:sz w:val="16"/>
                <w:szCs w:val="16"/>
              </w:rPr>
              <w:t>instituts de recherche ayant élaboré ou amélioré leurs politiques en matière de propriété intellectuelle</w:t>
            </w:r>
          </w:p>
        </w:tc>
        <w:tc>
          <w:tcPr>
            <w:tcW w:w="1070" w:type="pct"/>
            <w:shd w:val="clear" w:color="auto" w:fill="FFFFFF"/>
            <w:tcMar>
              <w:top w:w="113" w:type="dxa"/>
              <w:bottom w:w="113" w:type="dxa"/>
            </w:tcMar>
          </w:tcPr>
          <w:p w:rsidR="001C61E6" w:rsidRPr="00A32AF4" w:rsidRDefault="001C61E6" w:rsidP="00DC0553">
            <w:pPr>
              <w:jc w:val="center"/>
              <w:rPr>
                <w:rFonts w:cs="Arial"/>
                <w:sz w:val="16"/>
                <w:szCs w:val="16"/>
                <w:lang w:bidi="th-TH"/>
              </w:rPr>
            </w:pPr>
            <w:r w:rsidRPr="00A32AF4">
              <w:rPr>
                <w:rFonts w:cs="Arial"/>
                <w:sz w:val="16"/>
                <w:szCs w:val="16"/>
                <w:lang w:bidi="th-TH"/>
              </w:rPr>
              <w:t>Programme 30</w:t>
            </w:r>
          </w:p>
        </w:tc>
      </w:tr>
      <w:tr w:rsidR="00FF3B36" w:rsidRPr="00A32AF4" w:rsidTr="00FF3B36">
        <w:trPr>
          <w:cantSplit/>
        </w:trPr>
        <w:tc>
          <w:tcPr>
            <w:tcW w:w="1769" w:type="pct"/>
            <w:shd w:val="clear" w:color="auto" w:fill="auto"/>
            <w:tcMar>
              <w:top w:w="113" w:type="dxa"/>
              <w:bottom w:w="113" w:type="dxa"/>
            </w:tcMar>
          </w:tcPr>
          <w:p w:rsidR="00FF3B36" w:rsidRPr="00A32AF4" w:rsidRDefault="00FF3B36" w:rsidP="00DC0553">
            <w:pPr>
              <w:rPr>
                <w:rFonts w:cs="Arial"/>
                <w:sz w:val="16"/>
                <w:szCs w:val="16"/>
              </w:rPr>
            </w:pPr>
            <w:r w:rsidRPr="00A32AF4">
              <w:rPr>
                <w:rFonts w:cs="Arial"/>
                <w:sz w:val="16"/>
                <w:szCs w:val="16"/>
              </w:rPr>
              <w:t>IV.3 Élargissement de la portée géographique du contenu et de l</w:t>
            </w:r>
            <w:r w:rsidR="00E2055A" w:rsidRPr="00A32AF4">
              <w:rPr>
                <w:rFonts w:cs="Arial"/>
                <w:sz w:val="16"/>
                <w:szCs w:val="16"/>
              </w:rPr>
              <w:t>’</w:t>
            </w:r>
            <w:r w:rsidRPr="00A32AF4">
              <w:rPr>
                <w:rFonts w:cs="Arial"/>
                <w:sz w:val="16"/>
                <w:szCs w:val="16"/>
              </w:rPr>
              <w:t>utilisation des bases de données mondiales de l</w:t>
            </w:r>
            <w:r w:rsidR="00E2055A" w:rsidRPr="00A32AF4">
              <w:rPr>
                <w:rFonts w:cs="Arial"/>
                <w:sz w:val="16"/>
                <w:szCs w:val="16"/>
              </w:rPr>
              <w:t>’</w:t>
            </w:r>
            <w:r w:rsidRPr="00A32AF4">
              <w:rPr>
                <w:rFonts w:cs="Arial"/>
                <w:sz w:val="16"/>
                <w:szCs w:val="16"/>
              </w:rPr>
              <w:t>OMPI en matière de propriété intellectuelle</w:t>
            </w:r>
          </w:p>
        </w:tc>
        <w:tc>
          <w:tcPr>
            <w:tcW w:w="2161" w:type="pct"/>
            <w:shd w:val="clear" w:color="auto" w:fill="auto"/>
            <w:tcMar>
              <w:top w:w="113" w:type="dxa"/>
              <w:bottom w:w="113" w:type="dxa"/>
            </w:tcMar>
          </w:tcPr>
          <w:p w:rsidR="00FF3B36" w:rsidRPr="00A32AF4" w:rsidRDefault="00F94D4D" w:rsidP="00DC0553">
            <w:pPr>
              <w:rPr>
                <w:rFonts w:cs="Arial"/>
                <w:sz w:val="16"/>
                <w:szCs w:val="16"/>
              </w:rPr>
            </w:pPr>
            <w:r w:rsidRPr="00A32AF4">
              <w:rPr>
                <w:sz w:val="16"/>
                <w:szCs w:val="16"/>
              </w:rPr>
              <w:t>Nombre d</w:t>
            </w:r>
            <w:r w:rsidR="00E2055A" w:rsidRPr="00A32AF4">
              <w:rPr>
                <w:sz w:val="16"/>
                <w:szCs w:val="16"/>
              </w:rPr>
              <w:t>’</w:t>
            </w:r>
            <w:r w:rsidRPr="00A32AF4">
              <w:rPr>
                <w:sz w:val="16"/>
                <w:szCs w:val="16"/>
              </w:rPr>
              <w:t>entrées figurant dans la base de données mondiale sur les marques</w:t>
            </w:r>
          </w:p>
        </w:tc>
        <w:tc>
          <w:tcPr>
            <w:tcW w:w="1070" w:type="pct"/>
            <w:shd w:val="clear" w:color="auto" w:fill="FFFFFF"/>
            <w:tcMar>
              <w:top w:w="113" w:type="dxa"/>
              <w:bottom w:w="113" w:type="dxa"/>
            </w:tcMar>
          </w:tcPr>
          <w:p w:rsidR="00FF3B36" w:rsidRPr="00A32AF4" w:rsidRDefault="00FF3B36" w:rsidP="001C61E6">
            <w:pPr>
              <w:jc w:val="center"/>
              <w:rPr>
                <w:rFonts w:cs="Arial"/>
                <w:sz w:val="16"/>
                <w:szCs w:val="16"/>
                <w:lang w:bidi="th-TH"/>
              </w:rPr>
            </w:pPr>
            <w:r w:rsidRPr="00A32AF4">
              <w:rPr>
                <w:rFonts w:cs="Arial"/>
                <w:sz w:val="16"/>
                <w:szCs w:val="16"/>
                <w:lang w:bidi="th-TH"/>
              </w:rPr>
              <w:t>Programme 13</w:t>
            </w:r>
          </w:p>
        </w:tc>
      </w:tr>
      <w:tr w:rsidR="001C61E6" w:rsidRPr="00A32AF4" w:rsidTr="00FF3B36">
        <w:trPr>
          <w:cantSplit/>
        </w:trPr>
        <w:tc>
          <w:tcPr>
            <w:tcW w:w="1769" w:type="pct"/>
            <w:shd w:val="clear" w:color="auto" w:fill="auto"/>
            <w:tcMar>
              <w:top w:w="113" w:type="dxa"/>
              <w:bottom w:w="113" w:type="dxa"/>
            </w:tcMar>
          </w:tcPr>
          <w:p w:rsidR="001C61E6" w:rsidRPr="00A32AF4" w:rsidRDefault="001C61E6" w:rsidP="00DC0553">
            <w:pPr>
              <w:rPr>
                <w:rFonts w:cs="Arial"/>
                <w:sz w:val="16"/>
                <w:szCs w:val="16"/>
              </w:rPr>
            </w:pPr>
          </w:p>
        </w:tc>
        <w:tc>
          <w:tcPr>
            <w:tcW w:w="2161" w:type="pct"/>
            <w:shd w:val="clear" w:color="auto" w:fill="auto"/>
            <w:tcMar>
              <w:top w:w="113" w:type="dxa"/>
              <w:bottom w:w="113" w:type="dxa"/>
            </w:tcMar>
          </w:tcPr>
          <w:p w:rsidR="001C61E6" w:rsidRPr="00A32AF4" w:rsidRDefault="001C61E6" w:rsidP="00DC0553">
            <w:pPr>
              <w:rPr>
                <w:sz w:val="16"/>
                <w:szCs w:val="16"/>
              </w:rPr>
            </w:pPr>
            <w:r w:rsidRPr="00A32AF4">
              <w:rPr>
                <w:sz w:val="16"/>
                <w:szCs w:val="16"/>
              </w:rPr>
              <w:t>Nombre d</w:t>
            </w:r>
            <w:r w:rsidR="00E2055A" w:rsidRPr="00A32AF4">
              <w:rPr>
                <w:sz w:val="16"/>
                <w:szCs w:val="16"/>
              </w:rPr>
              <w:t>’</w:t>
            </w:r>
            <w:r w:rsidRPr="00A32AF4">
              <w:rPr>
                <w:sz w:val="16"/>
                <w:szCs w:val="16"/>
              </w:rPr>
              <w:t>entrées figurant dans la base de données mondiale sur les dessins et modèles</w:t>
            </w:r>
          </w:p>
        </w:tc>
        <w:tc>
          <w:tcPr>
            <w:tcW w:w="1070" w:type="pct"/>
            <w:shd w:val="clear" w:color="auto" w:fill="FFFFFF"/>
            <w:tcMar>
              <w:top w:w="113" w:type="dxa"/>
              <w:bottom w:w="113" w:type="dxa"/>
            </w:tcMar>
          </w:tcPr>
          <w:p w:rsidR="001C61E6" w:rsidRPr="00A32AF4" w:rsidRDefault="001C61E6" w:rsidP="00DC0553">
            <w:pPr>
              <w:jc w:val="center"/>
              <w:rPr>
                <w:rFonts w:cs="Arial"/>
                <w:sz w:val="16"/>
                <w:szCs w:val="16"/>
                <w:lang w:bidi="th-TH"/>
              </w:rPr>
            </w:pPr>
            <w:r w:rsidRPr="00A32AF4">
              <w:rPr>
                <w:rFonts w:cs="Arial"/>
                <w:sz w:val="16"/>
                <w:szCs w:val="16"/>
                <w:lang w:bidi="th-TH"/>
              </w:rPr>
              <w:t>Programme 13</w:t>
            </w:r>
          </w:p>
        </w:tc>
      </w:tr>
      <w:tr w:rsidR="00FF3B36" w:rsidRPr="00A32AF4" w:rsidTr="00FF3B36">
        <w:trPr>
          <w:cantSplit/>
        </w:trPr>
        <w:tc>
          <w:tcPr>
            <w:tcW w:w="1769" w:type="pct"/>
            <w:shd w:val="clear" w:color="auto" w:fill="auto"/>
            <w:tcMar>
              <w:top w:w="113" w:type="dxa"/>
              <w:bottom w:w="113" w:type="dxa"/>
            </w:tcMar>
          </w:tcPr>
          <w:p w:rsidR="00FF3B36" w:rsidRPr="00A32AF4" w:rsidRDefault="00FF3B36" w:rsidP="00DC0553">
            <w:pPr>
              <w:rPr>
                <w:rFonts w:cs="Arial"/>
                <w:sz w:val="16"/>
                <w:szCs w:val="16"/>
              </w:rPr>
            </w:pPr>
          </w:p>
        </w:tc>
        <w:tc>
          <w:tcPr>
            <w:tcW w:w="2161" w:type="pct"/>
            <w:shd w:val="clear" w:color="auto" w:fill="auto"/>
            <w:tcMar>
              <w:top w:w="113" w:type="dxa"/>
              <w:bottom w:w="113" w:type="dxa"/>
            </w:tcMar>
          </w:tcPr>
          <w:p w:rsidR="00FF3B36" w:rsidRPr="00A32AF4" w:rsidRDefault="00F94D4D" w:rsidP="00DC0553">
            <w:pPr>
              <w:rPr>
                <w:rFonts w:cs="Arial"/>
                <w:sz w:val="16"/>
                <w:szCs w:val="16"/>
              </w:rPr>
            </w:pPr>
            <w:r w:rsidRPr="00A32AF4">
              <w:rPr>
                <w:sz w:val="16"/>
                <w:szCs w:val="16"/>
              </w:rPr>
              <w:t>Nombre de collections nationales dans PATENTSCOPE</w:t>
            </w:r>
          </w:p>
        </w:tc>
        <w:tc>
          <w:tcPr>
            <w:tcW w:w="1070" w:type="pct"/>
            <w:shd w:val="clear" w:color="auto" w:fill="FFFFFF"/>
            <w:tcMar>
              <w:top w:w="113" w:type="dxa"/>
              <w:bottom w:w="113" w:type="dxa"/>
            </w:tcMar>
          </w:tcPr>
          <w:p w:rsidR="00FF3B36" w:rsidRPr="00A32AF4" w:rsidRDefault="00FF3B36" w:rsidP="00DC0553">
            <w:pPr>
              <w:jc w:val="center"/>
              <w:rPr>
                <w:rFonts w:cs="Arial"/>
                <w:sz w:val="16"/>
                <w:szCs w:val="16"/>
                <w:lang w:bidi="th-TH"/>
              </w:rPr>
            </w:pPr>
            <w:r w:rsidRPr="00A32AF4">
              <w:rPr>
                <w:rFonts w:cs="Arial"/>
                <w:sz w:val="16"/>
                <w:szCs w:val="16"/>
                <w:lang w:bidi="th-TH"/>
              </w:rPr>
              <w:t>Programme 13</w:t>
            </w:r>
          </w:p>
        </w:tc>
      </w:tr>
      <w:tr w:rsidR="00F94D4D" w:rsidRPr="00A32AF4" w:rsidTr="00FF3B36">
        <w:trPr>
          <w:cantSplit/>
        </w:trPr>
        <w:tc>
          <w:tcPr>
            <w:tcW w:w="1769" w:type="pct"/>
            <w:shd w:val="clear" w:color="auto" w:fill="auto"/>
            <w:tcMar>
              <w:top w:w="113" w:type="dxa"/>
              <w:bottom w:w="113" w:type="dxa"/>
            </w:tcMar>
          </w:tcPr>
          <w:p w:rsidR="00F94D4D" w:rsidRPr="00A32AF4" w:rsidRDefault="00F94D4D" w:rsidP="00DC0553">
            <w:pPr>
              <w:rPr>
                <w:rFonts w:cs="Arial"/>
                <w:sz w:val="16"/>
                <w:szCs w:val="16"/>
              </w:rPr>
            </w:pPr>
          </w:p>
        </w:tc>
        <w:tc>
          <w:tcPr>
            <w:tcW w:w="2161" w:type="pct"/>
            <w:shd w:val="clear" w:color="auto" w:fill="auto"/>
            <w:tcMar>
              <w:top w:w="113" w:type="dxa"/>
              <w:bottom w:w="113" w:type="dxa"/>
            </w:tcMar>
          </w:tcPr>
          <w:p w:rsidR="00F94D4D" w:rsidRPr="00A32AF4" w:rsidRDefault="00F94D4D" w:rsidP="00DC0553">
            <w:pPr>
              <w:rPr>
                <w:sz w:val="16"/>
                <w:szCs w:val="16"/>
              </w:rPr>
            </w:pPr>
            <w:r w:rsidRPr="00A32AF4">
              <w:rPr>
                <w:sz w:val="16"/>
                <w:szCs w:val="16"/>
              </w:rPr>
              <w:t>Nombre de collections nationales dans la Base de données mondiale sur les marques</w:t>
            </w:r>
          </w:p>
        </w:tc>
        <w:tc>
          <w:tcPr>
            <w:tcW w:w="1070" w:type="pct"/>
            <w:shd w:val="clear" w:color="auto" w:fill="FFFFFF"/>
            <w:tcMar>
              <w:top w:w="113" w:type="dxa"/>
              <w:bottom w:w="113" w:type="dxa"/>
            </w:tcMar>
          </w:tcPr>
          <w:p w:rsidR="00F94D4D" w:rsidRPr="00A32AF4" w:rsidRDefault="00F94D4D" w:rsidP="00DC0553">
            <w:pPr>
              <w:jc w:val="center"/>
              <w:rPr>
                <w:rFonts w:cs="Arial"/>
                <w:sz w:val="16"/>
                <w:szCs w:val="16"/>
                <w:lang w:bidi="th-TH"/>
              </w:rPr>
            </w:pPr>
            <w:r w:rsidRPr="00A32AF4">
              <w:rPr>
                <w:rFonts w:cs="Arial"/>
                <w:sz w:val="16"/>
                <w:szCs w:val="16"/>
                <w:lang w:bidi="th-TH"/>
              </w:rPr>
              <w:t>Programme 13</w:t>
            </w:r>
          </w:p>
        </w:tc>
      </w:tr>
      <w:tr w:rsidR="00FF3B36" w:rsidRPr="00A32AF4" w:rsidTr="00FF3B36">
        <w:trPr>
          <w:cantSplit/>
        </w:trPr>
        <w:tc>
          <w:tcPr>
            <w:tcW w:w="1769" w:type="pct"/>
            <w:shd w:val="clear" w:color="auto" w:fill="auto"/>
            <w:tcMar>
              <w:top w:w="113" w:type="dxa"/>
              <w:bottom w:w="113" w:type="dxa"/>
            </w:tcMar>
          </w:tcPr>
          <w:p w:rsidR="00FF3B36" w:rsidRPr="00A32AF4" w:rsidRDefault="00FF3B36" w:rsidP="00DC0553">
            <w:pPr>
              <w:rPr>
                <w:rFonts w:cs="Arial"/>
                <w:sz w:val="16"/>
                <w:szCs w:val="16"/>
              </w:rPr>
            </w:pPr>
            <w:r w:rsidRPr="00A32AF4">
              <w:rPr>
                <w:rFonts w:cs="Arial"/>
                <w:sz w:val="16"/>
                <w:szCs w:val="16"/>
              </w:rPr>
              <w:t>IV.4 Amélioration de l</w:t>
            </w:r>
            <w:r w:rsidR="00E2055A" w:rsidRPr="00A32AF4">
              <w:rPr>
                <w:rFonts w:cs="Arial"/>
                <w:sz w:val="16"/>
                <w:szCs w:val="16"/>
              </w:rPr>
              <w:t>’</w:t>
            </w:r>
            <w:r w:rsidRPr="00A32AF4">
              <w:rPr>
                <w:rFonts w:cs="Arial"/>
                <w:sz w:val="16"/>
                <w:szCs w:val="16"/>
              </w:rPr>
              <w:t>infrastructure technique et du savoir pour les offices de propriété intellectuelle et les autres institutions de propriété intellectuelle, leur permettant de fournir à leurs parties prenantes des services améliorés (moins chers, plus rapides, de meilleure qualité) et d</w:t>
            </w:r>
            <w:r w:rsidR="00E2055A" w:rsidRPr="00A32AF4">
              <w:rPr>
                <w:rFonts w:cs="Arial"/>
                <w:sz w:val="16"/>
                <w:szCs w:val="16"/>
              </w:rPr>
              <w:t>’</w:t>
            </w:r>
            <w:r w:rsidRPr="00A32AF4">
              <w:rPr>
                <w:rFonts w:cs="Arial"/>
                <w:sz w:val="16"/>
                <w:szCs w:val="16"/>
              </w:rPr>
              <w:t>obtenir un meilleur résultat pour ce qui concerne l</w:t>
            </w:r>
            <w:r w:rsidR="00E2055A" w:rsidRPr="00A32AF4">
              <w:rPr>
                <w:rFonts w:cs="Arial"/>
                <w:sz w:val="16"/>
                <w:szCs w:val="16"/>
              </w:rPr>
              <w:t>’</w:t>
            </w:r>
            <w:r w:rsidRPr="00A32AF4">
              <w:rPr>
                <w:rFonts w:cs="Arial"/>
                <w:sz w:val="16"/>
                <w:szCs w:val="16"/>
              </w:rPr>
              <w:t>administration de la propriété intellectuelle</w:t>
            </w:r>
          </w:p>
        </w:tc>
        <w:tc>
          <w:tcPr>
            <w:tcW w:w="2161" w:type="pct"/>
            <w:shd w:val="clear" w:color="auto" w:fill="auto"/>
            <w:tcMar>
              <w:top w:w="113" w:type="dxa"/>
              <w:bottom w:w="113" w:type="dxa"/>
            </w:tcMar>
          </w:tcPr>
          <w:p w:rsidR="00FF3B36" w:rsidRPr="00A32AF4" w:rsidRDefault="00B368D5" w:rsidP="00DC0553">
            <w:pPr>
              <w:rPr>
                <w:rFonts w:cs="Arial"/>
                <w:sz w:val="16"/>
                <w:szCs w:val="16"/>
              </w:rPr>
            </w:pPr>
            <w:r w:rsidRPr="00A32AF4">
              <w:rPr>
                <w:sz w:val="16"/>
                <w:szCs w:val="16"/>
              </w:rPr>
              <w:t>Nombre d</w:t>
            </w:r>
            <w:r w:rsidR="00E2055A" w:rsidRPr="00A32AF4">
              <w:rPr>
                <w:sz w:val="16"/>
                <w:szCs w:val="16"/>
              </w:rPr>
              <w:t>’</w:t>
            </w:r>
            <w:r w:rsidRPr="00A32AF4">
              <w:rPr>
                <w:sz w:val="16"/>
                <w:szCs w:val="16"/>
              </w:rPr>
              <w:t>offices utilisant les plates</w:t>
            </w:r>
            <w:r w:rsidR="00EB7F54" w:rsidRPr="00A32AF4">
              <w:rPr>
                <w:sz w:val="16"/>
                <w:szCs w:val="16"/>
              </w:rPr>
              <w:noBreakHyphen/>
            </w:r>
            <w:r w:rsidRPr="00A32AF4">
              <w:rPr>
                <w:sz w:val="16"/>
                <w:szCs w:val="16"/>
              </w:rPr>
              <w:t>formes d</w:t>
            </w:r>
            <w:r w:rsidR="00E2055A" w:rsidRPr="00A32AF4">
              <w:rPr>
                <w:sz w:val="16"/>
                <w:szCs w:val="16"/>
              </w:rPr>
              <w:t>’</w:t>
            </w:r>
            <w:r w:rsidRPr="00A32AF4">
              <w:rPr>
                <w:sz w:val="16"/>
                <w:szCs w:val="16"/>
              </w:rPr>
              <w:t>infrastructure de l</w:t>
            </w:r>
            <w:r w:rsidR="00E2055A" w:rsidRPr="00A32AF4">
              <w:rPr>
                <w:sz w:val="16"/>
                <w:szCs w:val="16"/>
              </w:rPr>
              <w:t>’</w:t>
            </w:r>
            <w:r w:rsidRPr="00A32AF4">
              <w:rPr>
                <w:sz w:val="16"/>
                <w:szCs w:val="16"/>
              </w:rPr>
              <w:t>OMPI</w:t>
            </w:r>
          </w:p>
        </w:tc>
        <w:tc>
          <w:tcPr>
            <w:tcW w:w="1070" w:type="pct"/>
            <w:shd w:val="clear" w:color="auto" w:fill="FFFFFF"/>
            <w:tcMar>
              <w:top w:w="113" w:type="dxa"/>
              <w:bottom w:w="113" w:type="dxa"/>
            </w:tcMar>
          </w:tcPr>
          <w:p w:rsidR="00F93B76" w:rsidRPr="00A32AF4" w:rsidRDefault="00FF3B36" w:rsidP="00DC0553">
            <w:pPr>
              <w:jc w:val="center"/>
              <w:rPr>
                <w:rFonts w:cs="Arial"/>
                <w:sz w:val="16"/>
                <w:szCs w:val="16"/>
                <w:lang w:bidi="th-TH"/>
              </w:rPr>
            </w:pPr>
            <w:r w:rsidRPr="00A32AF4">
              <w:rPr>
                <w:rFonts w:cs="Arial"/>
                <w:sz w:val="16"/>
                <w:szCs w:val="16"/>
                <w:lang w:bidi="th-TH"/>
              </w:rPr>
              <w:t>Programme 15</w:t>
            </w:r>
          </w:p>
          <w:p w:rsidR="00FF3B36" w:rsidRPr="00A32AF4" w:rsidRDefault="00FF3B36" w:rsidP="00DC0553">
            <w:pPr>
              <w:jc w:val="center"/>
              <w:rPr>
                <w:rFonts w:cs="Arial"/>
                <w:sz w:val="16"/>
                <w:szCs w:val="16"/>
                <w:lang w:bidi="th-TH"/>
              </w:rPr>
            </w:pPr>
            <w:r w:rsidRPr="00A32AF4">
              <w:rPr>
                <w:rFonts w:cs="Arial"/>
                <w:sz w:val="16"/>
                <w:szCs w:val="16"/>
                <w:lang w:bidi="th-TH"/>
              </w:rPr>
              <w:t>Programme 20</w:t>
            </w:r>
          </w:p>
        </w:tc>
      </w:tr>
      <w:tr w:rsidR="00C470FB" w:rsidRPr="00A32AF4" w:rsidTr="00FF3B36">
        <w:trPr>
          <w:cantSplit/>
        </w:trPr>
        <w:tc>
          <w:tcPr>
            <w:tcW w:w="1769" w:type="pct"/>
            <w:shd w:val="clear" w:color="auto" w:fill="auto"/>
            <w:tcMar>
              <w:top w:w="113" w:type="dxa"/>
              <w:bottom w:w="113" w:type="dxa"/>
            </w:tcMar>
          </w:tcPr>
          <w:p w:rsidR="00C470FB" w:rsidRPr="00A32AF4" w:rsidRDefault="00C470FB" w:rsidP="00DC0553">
            <w:pPr>
              <w:rPr>
                <w:rFonts w:cs="Arial"/>
                <w:sz w:val="16"/>
                <w:szCs w:val="16"/>
              </w:rPr>
            </w:pPr>
          </w:p>
        </w:tc>
        <w:tc>
          <w:tcPr>
            <w:tcW w:w="2161" w:type="pct"/>
            <w:shd w:val="clear" w:color="auto" w:fill="auto"/>
            <w:tcMar>
              <w:top w:w="113" w:type="dxa"/>
              <w:bottom w:w="113" w:type="dxa"/>
            </w:tcMar>
          </w:tcPr>
          <w:p w:rsidR="00C470FB" w:rsidRPr="00A32AF4" w:rsidRDefault="00C470FB" w:rsidP="00DC0553">
            <w:pPr>
              <w:rPr>
                <w:sz w:val="16"/>
                <w:szCs w:val="16"/>
              </w:rPr>
            </w:pPr>
            <w:r w:rsidRPr="00A32AF4">
              <w:rPr>
                <w:sz w:val="16"/>
                <w:szCs w:val="16"/>
              </w:rPr>
              <w:t>Niveau de service moyen des offices de propriété intellectuelle bénéficiant d</w:t>
            </w:r>
            <w:r w:rsidR="00E2055A" w:rsidRPr="00A32AF4">
              <w:rPr>
                <w:sz w:val="16"/>
                <w:szCs w:val="16"/>
              </w:rPr>
              <w:t>’</w:t>
            </w:r>
            <w:r w:rsidRPr="00A32AF4">
              <w:rPr>
                <w:sz w:val="16"/>
                <w:szCs w:val="16"/>
              </w:rPr>
              <w:t>une assistance (de 1 à 5)</w:t>
            </w:r>
          </w:p>
        </w:tc>
        <w:tc>
          <w:tcPr>
            <w:tcW w:w="1070" w:type="pct"/>
            <w:shd w:val="clear" w:color="auto" w:fill="FFFFFF"/>
            <w:tcMar>
              <w:top w:w="113" w:type="dxa"/>
              <w:bottom w:w="113" w:type="dxa"/>
            </w:tcMar>
          </w:tcPr>
          <w:p w:rsidR="00C470FB" w:rsidRPr="00A32AF4" w:rsidRDefault="00C470FB" w:rsidP="00DC0553">
            <w:pPr>
              <w:jc w:val="center"/>
              <w:rPr>
                <w:rFonts w:cs="Arial"/>
                <w:sz w:val="16"/>
                <w:szCs w:val="16"/>
                <w:lang w:bidi="th-TH"/>
              </w:rPr>
            </w:pPr>
            <w:r w:rsidRPr="00A32AF4">
              <w:rPr>
                <w:rFonts w:cs="Arial"/>
                <w:sz w:val="16"/>
                <w:szCs w:val="16"/>
                <w:lang w:bidi="th-TH"/>
              </w:rPr>
              <w:t>Programme 9</w:t>
            </w:r>
          </w:p>
          <w:p w:rsidR="00C470FB" w:rsidRPr="00A32AF4" w:rsidRDefault="00C470FB" w:rsidP="00DC0553">
            <w:pPr>
              <w:jc w:val="center"/>
              <w:rPr>
                <w:rFonts w:cs="Arial"/>
                <w:sz w:val="16"/>
                <w:szCs w:val="16"/>
                <w:lang w:bidi="th-TH"/>
              </w:rPr>
            </w:pPr>
            <w:r w:rsidRPr="00A32AF4">
              <w:rPr>
                <w:rFonts w:cs="Arial"/>
                <w:sz w:val="16"/>
                <w:szCs w:val="16"/>
                <w:lang w:bidi="th-TH"/>
              </w:rPr>
              <w:t>Programme 15</w:t>
            </w:r>
          </w:p>
        </w:tc>
      </w:tr>
      <w:tr w:rsidR="00B368D5" w:rsidRPr="00A32AF4" w:rsidTr="00FF3B36">
        <w:trPr>
          <w:cantSplit/>
        </w:trPr>
        <w:tc>
          <w:tcPr>
            <w:tcW w:w="1769" w:type="pct"/>
            <w:shd w:val="clear" w:color="auto" w:fill="auto"/>
            <w:tcMar>
              <w:top w:w="113" w:type="dxa"/>
              <w:bottom w:w="113" w:type="dxa"/>
            </w:tcMar>
          </w:tcPr>
          <w:p w:rsidR="00B368D5" w:rsidRPr="00A32AF4" w:rsidRDefault="00B368D5" w:rsidP="00DC0553">
            <w:pPr>
              <w:rPr>
                <w:rFonts w:cs="Arial"/>
                <w:sz w:val="16"/>
                <w:szCs w:val="16"/>
              </w:rPr>
            </w:pPr>
          </w:p>
        </w:tc>
        <w:tc>
          <w:tcPr>
            <w:tcW w:w="2161" w:type="pct"/>
            <w:shd w:val="clear" w:color="auto" w:fill="auto"/>
            <w:tcMar>
              <w:top w:w="113" w:type="dxa"/>
              <w:bottom w:w="113" w:type="dxa"/>
            </w:tcMar>
          </w:tcPr>
          <w:p w:rsidR="00B368D5" w:rsidRPr="00A32AF4" w:rsidRDefault="00B368D5" w:rsidP="00DC0553">
            <w:pPr>
              <w:rPr>
                <w:sz w:val="16"/>
                <w:szCs w:val="16"/>
              </w:rPr>
            </w:pPr>
            <w:r w:rsidRPr="00A32AF4">
              <w:rPr>
                <w:sz w:val="16"/>
                <w:szCs w:val="16"/>
              </w:rPr>
              <w:t>Nombre d</w:t>
            </w:r>
            <w:r w:rsidR="00E2055A" w:rsidRPr="00A32AF4">
              <w:rPr>
                <w:sz w:val="16"/>
                <w:szCs w:val="16"/>
              </w:rPr>
              <w:t>’</w:t>
            </w:r>
            <w:r w:rsidRPr="00A32AF4">
              <w:rPr>
                <w:sz w:val="16"/>
                <w:szCs w:val="16"/>
              </w:rPr>
              <w:t>organismes de gestion collective dans les pays en développement et les PMA participant à des réseaux régionaux et mondiaux avec le concours de l</w:t>
            </w:r>
            <w:r w:rsidR="00E2055A" w:rsidRPr="00A32AF4">
              <w:rPr>
                <w:sz w:val="16"/>
                <w:szCs w:val="16"/>
              </w:rPr>
              <w:t>’</w:t>
            </w:r>
            <w:r w:rsidRPr="00A32AF4">
              <w:rPr>
                <w:sz w:val="16"/>
                <w:szCs w:val="16"/>
              </w:rPr>
              <w:t>OMPI</w:t>
            </w:r>
          </w:p>
        </w:tc>
        <w:tc>
          <w:tcPr>
            <w:tcW w:w="1070" w:type="pct"/>
            <w:shd w:val="clear" w:color="auto" w:fill="FFFFFF"/>
            <w:tcMar>
              <w:top w:w="113" w:type="dxa"/>
              <w:bottom w:w="113" w:type="dxa"/>
            </w:tcMar>
          </w:tcPr>
          <w:p w:rsidR="00B368D5" w:rsidRPr="00A32AF4" w:rsidRDefault="00B368D5" w:rsidP="00DC0553">
            <w:pPr>
              <w:jc w:val="center"/>
              <w:rPr>
                <w:rFonts w:cs="Arial"/>
                <w:sz w:val="16"/>
                <w:szCs w:val="16"/>
                <w:lang w:bidi="th-TH"/>
              </w:rPr>
            </w:pPr>
            <w:r w:rsidRPr="00A32AF4">
              <w:rPr>
                <w:rFonts w:cs="Arial"/>
                <w:sz w:val="16"/>
                <w:szCs w:val="16"/>
                <w:lang w:bidi="th-TH"/>
              </w:rPr>
              <w:t>Programme 15</w:t>
            </w:r>
          </w:p>
        </w:tc>
      </w:tr>
    </w:tbl>
    <w:p w:rsidR="00F93B76" w:rsidRPr="00A32AF4" w:rsidRDefault="00F93B76" w:rsidP="00DC0553"/>
    <w:p w:rsidR="00E2055A" w:rsidRPr="00A32AF4" w:rsidRDefault="00E2055A" w:rsidP="00DC0553"/>
    <w:p w:rsidR="00F93B76" w:rsidRPr="00A32AF4" w:rsidRDefault="00B54C10" w:rsidP="00FB1F61">
      <w:pPr>
        <w:pStyle w:val="Heading2"/>
        <w:rPr>
          <w:rFonts w:hint="eastAsia"/>
          <w:b/>
        </w:rPr>
      </w:pPr>
      <w:r w:rsidRPr="00A32AF4">
        <w:br w:type="page"/>
      </w:r>
    </w:p>
    <w:p w:rsidR="00F93B76" w:rsidRPr="00A32AF4" w:rsidRDefault="00CD1430" w:rsidP="00FB1F61">
      <w:pPr>
        <w:pStyle w:val="Heading3"/>
      </w:pPr>
      <w:bookmarkStart w:id="46" w:name="_Toc431555452"/>
      <w:r w:rsidRPr="00A32AF4">
        <w:t>PROGRAMME 12</w:t>
      </w:r>
      <w:r w:rsidRPr="00A32AF4">
        <w:tab/>
        <w:t>Classifications internationales et normes</w:t>
      </w:r>
      <w:bookmarkEnd w:id="46"/>
    </w:p>
    <w:p w:rsidR="00F93B76" w:rsidRPr="00A32AF4" w:rsidRDefault="00F93B76" w:rsidP="00DC0553"/>
    <w:p w:rsidR="00F93B76" w:rsidRPr="00A32AF4" w:rsidRDefault="00F93B76" w:rsidP="00DC0553"/>
    <w:p w:rsidR="00F93B76" w:rsidRPr="00A32AF4" w:rsidRDefault="00B54C10" w:rsidP="00DC0553">
      <w:pPr>
        <w:rPr>
          <w:szCs w:val="24"/>
        </w:rPr>
      </w:pPr>
      <w:r w:rsidRPr="00A32AF4">
        <w:t>CONTEXTE DE PLANIFICATION</w:t>
      </w:r>
    </w:p>
    <w:p w:rsidR="00F93B76" w:rsidRPr="00A32AF4" w:rsidRDefault="00F93B76" w:rsidP="00DC0553">
      <w:pPr>
        <w:rPr>
          <w:rFonts w:cs="Arial"/>
          <w:szCs w:val="22"/>
        </w:rPr>
      </w:pPr>
    </w:p>
    <w:p w:rsidR="00F93B76" w:rsidRPr="00A32AF4" w:rsidRDefault="00CD1430" w:rsidP="00DC0553">
      <w:pPr>
        <w:pStyle w:val="Body1"/>
        <w:numPr>
          <w:ilvl w:val="0"/>
          <w:numId w:val="24"/>
        </w:numPr>
        <w:tabs>
          <w:tab w:val="left" w:pos="709"/>
        </w:tabs>
        <w:ind w:left="0" w:firstLine="0"/>
        <w:jc w:val="both"/>
        <w:rPr>
          <w:rFonts w:ascii="Arial" w:hAnsi="Arial" w:cs="Arial"/>
          <w:color w:val="auto"/>
          <w:sz w:val="20"/>
          <w:szCs w:val="22"/>
        </w:rPr>
      </w:pPr>
      <w:r w:rsidRPr="00A32AF4">
        <w:rPr>
          <w:rFonts w:ascii="Arial" w:hAnsi="Arial" w:cs="Arial"/>
          <w:color w:val="auto"/>
          <w:sz w:val="20"/>
          <w:szCs w:val="22"/>
        </w:rPr>
        <w:t>L</w:t>
      </w:r>
      <w:r w:rsidR="00E2055A" w:rsidRPr="00A32AF4">
        <w:rPr>
          <w:rFonts w:ascii="Arial" w:hAnsi="Arial" w:cs="Arial"/>
          <w:color w:val="auto"/>
          <w:sz w:val="20"/>
          <w:szCs w:val="22"/>
        </w:rPr>
        <w:t>’</w:t>
      </w:r>
      <w:r w:rsidRPr="00A32AF4">
        <w:rPr>
          <w:rFonts w:ascii="Arial" w:hAnsi="Arial" w:cs="Arial"/>
          <w:color w:val="auto"/>
          <w:sz w:val="20"/>
          <w:szCs w:val="22"/>
        </w:rPr>
        <w:t>infrastructure mondiale des systèmes de propriété intellectuelle a de plus en plus besoin de pouvoir s</w:t>
      </w:r>
      <w:r w:rsidR="00E2055A" w:rsidRPr="00A32AF4">
        <w:rPr>
          <w:rFonts w:ascii="Arial" w:hAnsi="Arial" w:cs="Arial"/>
          <w:color w:val="auto"/>
          <w:sz w:val="20"/>
          <w:szCs w:val="22"/>
        </w:rPr>
        <w:t>’</w:t>
      </w:r>
      <w:r w:rsidRPr="00A32AF4">
        <w:rPr>
          <w:rFonts w:ascii="Arial" w:hAnsi="Arial" w:cs="Arial"/>
          <w:color w:val="auto"/>
          <w:sz w:val="20"/>
          <w:szCs w:val="22"/>
        </w:rPr>
        <w:t>appuyer sur des plates</w:t>
      </w:r>
      <w:r w:rsidR="00EB7F54" w:rsidRPr="00A32AF4">
        <w:rPr>
          <w:rFonts w:ascii="Arial" w:hAnsi="Arial" w:cs="Arial"/>
          <w:color w:val="auto"/>
          <w:sz w:val="20"/>
          <w:szCs w:val="22"/>
        </w:rPr>
        <w:noBreakHyphen/>
      </w:r>
      <w:r w:rsidRPr="00A32AF4">
        <w:rPr>
          <w:rFonts w:ascii="Arial" w:hAnsi="Arial" w:cs="Arial"/>
          <w:color w:val="auto"/>
          <w:sz w:val="20"/>
          <w:szCs w:val="22"/>
        </w:rPr>
        <w:t>formes interconnectées et susceptibles d</w:t>
      </w:r>
      <w:r w:rsidR="00E2055A" w:rsidRPr="00A32AF4">
        <w:rPr>
          <w:rFonts w:ascii="Arial" w:hAnsi="Arial" w:cs="Arial"/>
          <w:color w:val="auto"/>
          <w:sz w:val="20"/>
          <w:szCs w:val="22"/>
        </w:rPr>
        <w:t>’</w:t>
      </w:r>
      <w:r w:rsidRPr="00A32AF4">
        <w:rPr>
          <w:rFonts w:ascii="Arial" w:hAnsi="Arial" w:cs="Arial"/>
          <w:color w:val="auto"/>
          <w:sz w:val="20"/>
          <w:szCs w:val="22"/>
        </w:rPr>
        <w:t>interfonctionnement.  Les classifications internationales et les normes constituent des outils et des instruments d</w:t>
      </w:r>
      <w:r w:rsidR="00E2055A" w:rsidRPr="00A32AF4">
        <w:rPr>
          <w:rFonts w:ascii="Arial" w:hAnsi="Arial" w:cs="Arial"/>
          <w:color w:val="auto"/>
          <w:sz w:val="20"/>
          <w:szCs w:val="22"/>
        </w:rPr>
        <w:t>’</w:t>
      </w:r>
      <w:r w:rsidRPr="00A32AF4">
        <w:rPr>
          <w:rFonts w:ascii="Arial" w:hAnsi="Arial" w:cs="Arial"/>
          <w:color w:val="auto"/>
          <w:sz w:val="20"/>
          <w:szCs w:val="22"/>
        </w:rPr>
        <w:t>une importance cruciale pour établir une passerelle entre plusieurs offices de propriété intellectuelle travaillant dans des systèmes et des langues différents et pour permettre aux données de circuler entre les offices sur une plate</w:t>
      </w:r>
      <w:r w:rsidR="00EB7F54" w:rsidRPr="00A32AF4">
        <w:rPr>
          <w:rFonts w:ascii="Arial" w:hAnsi="Arial" w:cs="Arial"/>
          <w:color w:val="auto"/>
          <w:sz w:val="20"/>
          <w:szCs w:val="22"/>
        </w:rPr>
        <w:noBreakHyphen/>
      </w:r>
      <w:r w:rsidRPr="00A32AF4">
        <w:rPr>
          <w:rFonts w:ascii="Arial" w:hAnsi="Arial" w:cs="Arial"/>
          <w:color w:val="auto"/>
          <w:sz w:val="20"/>
          <w:szCs w:val="22"/>
        </w:rPr>
        <w:t>forme et des bases de données communes.  Étant donné l</w:t>
      </w:r>
      <w:r w:rsidR="00E2055A" w:rsidRPr="00A32AF4">
        <w:rPr>
          <w:rFonts w:ascii="Arial" w:hAnsi="Arial" w:cs="Arial"/>
          <w:color w:val="auto"/>
          <w:sz w:val="20"/>
          <w:szCs w:val="22"/>
        </w:rPr>
        <w:t>’</w:t>
      </w:r>
      <w:r w:rsidRPr="00A32AF4">
        <w:rPr>
          <w:rFonts w:ascii="Arial" w:hAnsi="Arial" w:cs="Arial"/>
          <w:color w:val="auto"/>
          <w:sz w:val="20"/>
          <w:szCs w:val="22"/>
        </w:rPr>
        <w:t>évolution constante des techniques, des solutions opérationnelles et des arrangements de collaboration entre offices, il faut également que les classifications internationales et les normes de l</w:t>
      </w:r>
      <w:r w:rsidR="00E2055A" w:rsidRPr="00A32AF4">
        <w:rPr>
          <w:rFonts w:ascii="Arial" w:hAnsi="Arial" w:cs="Arial"/>
          <w:color w:val="auto"/>
          <w:sz w:val="20"/>
          <w:szCs w:val="22"/>
        </w:rPr>
        <w:t>’</w:t>
      </w:r>
      <w:r w:rsidRPr="00A32AF4">
        <w:rPr>
          <w:rFonts w:ascii="Arial" w:hAnsi="Arial" w:cs="Arial"/>
          <w:color w:val="auto"/>
          <w:sz w:val="20"/>
          <w:szCs w:val="22"/>
        </w:rPr>
        <w:t>OMPI soient actualisées et précisées d</w:t>
      </w:r>
      <w:r w:rsidR="00E2055A" w:rsidRPr="00A32AF4">
        <w:rPr>
          <w:rFonts w:ascii="Arial" w:hAnsi="Arial" w:cs="Arial"/>
          <w:color w:val="auto"/>
          <w:sz w:val="20"/>
          <w:szCs w:val="22"/>
        </w:rPr>
        <w:t>’</w:t>
      </w:r>
      <w:r w:rsidRPr="00A32AF4">
        <w:rPr>
          <w:rFonts w:ascii="Arial" w:hAnsi="Arial" w:cs="Arial"/>
          <w:color w:val="auto"/>
          <w:sz w:val="20"/>
          <w:szCs w:val="22"/>
        </w:rPr>
        <w:t>une manière dynamique.</w:t>
      </w:r>
    </w:p>
    <w:p w:rsidR="00F93B76" w:rsidRPr="00A32AF4" w:rsidRDefault="00F93B76" w:rsidP="00DC0553">
      <w:pPr>
        <w:pStyle w:val="Body1"/>
        <w:jc w:val="both"/>
        <w:rPr>
          <w:rFonts w:ascii="Arial" w:hAnsi="Arial" w:cs="Arial"/>
          <w:color w:val="auto"/>
          <w:sz w:val="20"/>
          <w:szCs w:val="22"/>
        </w:rPr>
      </w:pPr>
    </w:p>
    <w:p w:rsidR="00F93B76" w:rsidRPr="00A32AF4" w:rsidRDefault="00CD1430" w:rsidP="00DC0553">
      <w:pPr>
        <w:pStyle w:val="Body1"/>
        <w:numPr>
          <w:ilvl w:val="0"/>
          <w:numId w:val="24"/>
        </w:numPr>
        <w:tabs>
          <w:tab w:val="left" w:pos="709"/>
        </w:tabs>
        <w:ind w:left="0" w:firstLine="0"/>
        <w:jc w:val="both"/>
        <w:rPr>
          <w:rFonts w:ascii="Arial" w:hAnsi="Arial" w:cs="Arial"/>
          <w:color w:val="auto"/>
          <w:sz w:val="20"/>
          <w:szCs w:val="22"/>
        </w:rPr>
      </w:pPr>
      <w:r w:rsidRPr="00A32AF4">
        <w:rPr>
          <w:rFonts w:ascii="Arial" w:hAnsi="Arial" w:cs="Arial"/>
          <w:color w:val="auto"/>
          <w:sz w:val="20"/>
          <w:szCs w:val="22"/>
        </w:rPr>
        <w:t>Dans ce contexte, l</w:t>
      </w:r>
      <w:r w:rsidR="00E2055A" w:rsidRPr="00A32AF4">
        <w:rPr>
          <w:rFonts w:ascii="Arial" w:hAnsi="Arial" w:cs="Arial"/>
          <w:color w:val="auto"/>
          <w:sz w:val="20"/>
          <w:szCs w:val="22"/>
        </w:rPr>
        <w:t>’</w:t>
      </w:r>
      <w:r w:rsidRPr="00A32AF4">
        <w:rPr>
          <w:rFonts w:ascii="Arial" w:hAnsi="Arial" w:cs="Arial"/>
          <w:color w:val="auto"/>
          <w:sz w:val="20"/>
          <w:szCs w:val="22"/>
        </w:rPr>
        <w:t>OMPI s</w:t>
      </w:r>
      <w:r w:rsidR="00E2055A" w:rsidRPr="00A32AF4">
        <w:rPr>
          <w:rFonts w:ascii="Arial" w:hAnsi="Arial" w:cs="Arial"/>
          <w:color w:val="auto"/>
          <w:sz w:val="20"/>
          <w:szCs w:val="22"/>
        </w:rPr>
        <w:t>’</w:t>
      </w:r>
      <w:r w:rsidRPr="00A32AF4">
        <w:rPr>
          <w:rFonts w:ascii="Arial" w:hAnsi="Arial" w:cs="Arial"/>
          <w:color w:val="auto"/>
          <w:sz w:val="20"/>
          <w:szCs w:val="22"/>
        </w:rPr>
        <w:t>efforce de fournir aux États membres le système le plus à jour et le plus universellement accepté de classifications internationales et de normes de l</w:t>
      </w:r>
      <w:r w:rsidR="00E2055A" w:rsidRPr="00A32AF4">
        <w:rPr>
          <w:rFonts w:ascii="Arial" w:hAnsi="Arial" w:cs="Arial"/>
          <w:color w:val="auto"/>
          <w:sz w:val="20"/>
          <w:szCs w:val="22"/>
        </w:rPr>
        <w:t>’</w:t>
      </w:r>
      <w:r w:rsidRPr="00A32AF4">
        <w:rPr>
          <w:rFonts w:ascii="Arial" w:hAnsi="Arial" w:cs="Arial"/>
          <w:color w:val="auto"/>
          <w:sz w:val="20"/>
          <w:szCs w:val="22"/>
        </w:rPr>
        <w:t>OMPI afin de permettre aux diverses parties prenantes dans le monde entier d</w:t>
      </w:r>
      <w:r w:rsidR="00E2055A" w:rsidRPr="00A32AF4">
        <w:rPr>
          <w:rFonts w:ascii="Arial" w:hAnsi="Arial" w:cs="Arial"/>
          <w:color w:val="auto"/>
          <w:sz w:val="20"/>
          <w:szCs w:val="22"/>
        </w:rPr>
        <w:t>’</w:t>
      </w:r>
      <w:r w:rsidRPr="00A32AF4">
        <w:rPr>
          <w:rFonts w:ascii="Arial" w:hAnsi="Arial" w:cs="Arial"/>
          <w:color w:val="auto"/>
          <w:sz w:val="20"/>
          <w:szCs w:val="22"/>
        </w:rPr>
        <w:t xml:space="preserve">accéder plus facilement aux informations relatives à la propriété intellectuelle, de les utiliser et de les partager.  À cet égard, les activités de ce programme </w:t>
      </w:r>
      <w:r w:rsidR="00893BAC" w:rsidRPr="00A32AF4">
        <w:rPr>
          <w:rFonts w:ascii="Arial" w:hAnsi="Arial" w:cs="Arial"/>
          <w:color w:val="auto"/>
          <w:sz w:val="20"/>
          <w:szCs w:val="22"/>
        </w:rPr>
        <w:t>s</w:t>
      </w:r>
      <w:r w:rsidRPr="00A32AF4">
        <w:rPr>
          <w:rFonts w:ascii="Arial" w:hAnsi="Arial" w:cs="Arial"/>
          <w:color w:val="auto"/>
          <w:sz w:val="20"/>
          <w:szCs w:val="22"/>
        </w:rPr>
        <w:t xml:space="preserve">ont </w:t>
      </w:r>
      <w:r w:rsidR="00893BAC" w:rsidRPr="00A32AF4">
        <w:rPr>
          <w:rFonts w:ascii="Arial" w:hAnsi="Arial" w:cs="Arial"/>
          <w:color w:val="auto"/>
          <w:sz w:val="20"/>
          <w:szCs w:val="22"/>
        </w:rPr>
        <w:t>liées aux</w:t>
      </w:r>
      <w:r w:rsidRPr="00A32AF4">
        <w:rPr>
          <w:rFonts w:ascii="Arial" w:hAnsi="Arial" w:cs="Arial"/>
          <w:color w:val="auto"/>
          <w:sz w:val="20"/>
          <w:szCs w:val="22"/>
        </w:rPr>
        <w:t xml:space="preserve"> recommandations n</w:t>
      </w:r>
      <w:r w:rsidRPr="00A32AF4">
        <w:rPr>
          <w:rFonts w:ascii="Arial" w:hAnsi="Arial" w:cs="Arial"/>
          <w:color w:val="auto"/>
          <w:sz w:val="20"/>
          <w:szCs w:val="22"/>
          <w:vertAlign w:val="superscript"/>
        </w:rPr>
        <w:t>os</w:t>
      </w:r>
      <w:r w:rsidRPr="00A32AF4">
        <w:rPr>
          <w:rFonts w:ascii="Arial" w:hAnsi="Arial" w:cs="Arial"/>
          <w:color w:val="auto"/>
          <w:sz w:val="20"/>
          <w:szCs w:val="22"/>
        </w:rPr>
        <w:t> 30 et 31 du Plan d</w:t>
      </w:r>
      <w:r w:rsidR="00E2055A" w:rsidRPr="00A32AF4">
        <w:rPr>
          <w:rFonts w:ascii="Arial" w:hAnsi="Arial" w:cs="Arial"/>
          <w:color w:val="auto"/>
          <w:sz w:val="20"/>
          <w:szCs w:val="22"/>
        </w:rPr>
        <w:t>’</w:t>
      </w:r>
      <w:r w:rsidRPr="00A32AF4">
        <w:rPr>
          <w:rFonts w:ascii="Arial" w:hAnsi="Arial" w:cs="Arial"/>
          <w:color w:val="auto"/>
          <w:sz w:val="20"/>
          <w:szCs w:val="22"/>
        </w:rPr>
        <w:t>action pour le développement.</w:t>
      </w:r>
    </w:p>
    <w:p w:rsidR="00F93B76" w:rsidRPr="00A32AF4" w:rsidRDefault="00F93B76" w:rsidP="00DC0553"/>
    <w:p w:rsidR="00F93B76" w:rsidRPr="00A32AF4" w:rsidRDefault="00F93B76" w:rsidP="00DC0553"/>
    <w:p w:rsidR="00F93B76" w:rsidRPr="00A32AF4" w:rsidRDefault="00B54C10" w:rsidP="00DC0553">
      <w:r w:rsidRPr="00A32AF4">
        <w:t>STRATÉGIES DE MISE EN ŒUVRE</w:t>
      </w:r>
    </w:p>
    <w:p w:rsidR="00F93B76" w:rsidRPr="00A32AF4" w:rsidRDefault="00F93B76" w:rsidP="00DC0553"/>
    <w:p w:rsidR="00F93B76" w:rsidRPr="00A32AF4" w:rsidRDefault="00CD1430" w:rsidP="00DC0553">
      <w:pPr>
        <w:pStyle w:val="Body1"/>
        <w:numPr>
          <w:ilvl w:val="0"/>
          <w:numId w:val="24"/>
        </w:numPr>
        <w:tabs>
          <w:tab w:val="left" w:pos="709"/>
        </w:tabs>
        <w:ind w:left="0" w:firstLine="0"/>
        <w:jc w:val="both"/>
        <w:rPr>
          <w:rFonts w:ascii="Arial" w:hAnsi="Arial" w:cs="Arial"/>
          <w:color w:val="auto"/>
          <w:sz w:val="20"/>
        </w:rPr>
      </w:pPr>
      <w:r w:rsidRPr="00A32AF4">
        <w:rPr>
          <w:rFonts w:ascii="Arial" w:hAnsi="Arial" w:cs="Arial"/>
          <w:color w:val="auto"/>
          <w:sz w:val="20"/>
        </w:rPr>
        <w:t>Les stratégies fixées dans le cadre de l</w:t>
      </w:r>
      <w:r w:rsidR="00E2055A" w:rsidRPr="00A32AF4">
        <w:rPr>
          <w:rFonts w:ascii="Arial" w:hAnsi="Arial" w:cs="Arial"/>
          <w:color w:val="auto"/>
          <w:sz w:val="20"/>
        </w:rPr>
        <w:t>’</w:t>
      </w:r>
      <w:r w:rsidRPr="00A32AF4">
        <w:rPr>
          <w:rFonts w:ascii="Arial" w:hAnsi="Arial" w:cs="Arial"/>
          <w:color w:val="auto"/>
          <w:sz w:val="20"/>
        </w:rPr>
        <w:t>exercice biennal 2014</w:t>
      </w:r>
      <w:r w:rsidR="00EB7F54" w:rsidRPr="00A32AF4">
        <w:rPr>
          <w:rFonts w:ascii="Arial" w:hAnsi="Arial" w:cs="Arial"/>
          <w:color w:val="auto"/>
          <w:sz w:val="20"/>
        </w:rPr>
        <w:noBreakHyphen/>
      </w:r>
      <w:r w:rsidRPr="00A32AF4">
        <w:rPr>
          <w:rFonts w:ascii="Arial" w:hAnsi="Arial" w:cs="Arial"/>
          <w:color w:val="auto"/>
          <w:sz w:val="20"/>
        </w:rPr>
        <w:t>2015 viseront essentiellement à continuer d</w:t>
      </w:r>
      <w:r w:rsidR="00E2055A" w:rsidRPr="00A32AF4">
        <w:rPr>
          <w:rFonts w:ascii="Arial" w:hAnsi="Arial" w:cs="Arial"/>
          <w:color w:val="auto"/>
          <w:sz w:val="20"/>
        </w:rPr>
        <w:t>’</w:t>
      </w:r>
      <w:r w:rsidRPr="00A32AF4">
        <w:rPr>
          <w:rFonts w:ascii="Arial" w:hAnsi="Arial" w:cs="Arial"/>
          <w:color w:val="auto"/>
          <w:sz w:val="20"/>
        </w:rPr>
        <w:t>améliorer et d</w:t>
      </w:r>
      <w:r w:rsidR="00E2055A" w:rsidRPr="00A32AF4">
        <w:rPr>
          <w:rFonts w:ascii="Arial" w:hAnsi="Arial" w:cs="Arial"/>
          <w:color w:val="auto"/>
          <w:sz w:val="20"/>
        </w:rPr>
        <w:t>’</w:t>
      </w:r>
      <w:r w:rsidRPr="00A32AF4">
        <w:rPr>
          <w:rFonts w:ascii="Arial" w:hAnsi="Arial" w:cs="Arial"/>
          <w:color w:val="auto"/>
          <w:sz w:val="20"/>
        </w:rPr>
        <w:t>élaborer les classifications internationales et les normes grâce à un large recours par les comités concernés à des forums électroniques, à des conférences en ligne et à des réunions physiques.  Des efforts seront faits pour intensifier les actions de sensibilisation aux classifications et les normes auprès de tous les groupes d</w:t>
      </w:r>
      <w:r w:rsidR="00E2055A" w:rsidRPr="00A32AF4">
        <w:rPr>
          <w:rFonts w:ascii="Arial" w:hAnsi="Arial" w:cs="Arial"/>
          <w:color w:val="auto"/>
          <w:sz w:val="20"/>
        </w:rPr>
        <w:t>’</w:t>
      </w:r>
      <w:r w:rsidRPr="00A32AF4">
        <w:rPr>
          <w:rFonts w:ascii="Arial" w:hAnsi="Arial" w:cs="Arial"/>
          <w:color w:val="auto"/>
          <w:sz w:val="20"/>
        </w:rPr>
        <w:t>utilisateurs.  À cet égard, des formations sur l</w:t>
      </w:r>
      <w:r w:rsidR="00E2055A" w:rsidRPr="00A32AF4">
        <w:rPr>
          <w:rFonts w:ascii="Arial" w:hAnsi="Arial" w:cs="Arial"/>
          <w:color w:val="auto"/>
          <w:sz w:val="20"/>
        </w:rPr>
        <w:t>’</w:t>
      </w:r>
      <w:r w:rsidRPr="00A32AF4">
        <w:rPr>
          <w:rFonts w:ascii="Arial" w:hAnsi="Arial" w:cs="Arial"/>
          <w:color w:val="auto"/>
          <w:sz w:val="20"/>
        </w:rPr>
        <w:t>utilisation des classifications et des normes seront dispensées suivant la demande, notamment dans les pays en développement.</w:t>
      </w:r>
    </w:p>
    <w:p w:rsidR="00F93B76" w:rsidRPr="00A32AF4" w:rsidRDefault="00F93B76" w:rsidP="00DC0553">
      <w:pPr>
        <w:pStyle w:val="Body1"/>
        <w:jc w:val="both"/>
        <w:rPr>
          <w:rFonts w:ascii="Arial" w:hAnsi="Arial" w:cs="Arial"/>
          <w:color w:val="auto"/>
          <w:sz w:val="20"/>
        </w:rPr>
      </w:pPr>
    </w:p>
    <w:p w:rsidR="00F93B76" w:rsidRPr="00A32AF4" w:rsidRDefault="00CD1430" w:rsidP="00DC0553">
      <w:pPr>
        <w:pStyle w:val="Body1"/>
        <w:jc w:val="both"/>
        <w:rPr>
          <w:rFonts w:ascii="Arial" w:hAnsi="Arial" w:cs="Arial"/>
          <w:color w:val="auto"/>
          <w:sz w:val="20"/>
          <w:u w:val="single"/>
        </w:rPr>
      </w:pPr>
      <w:r w:rsidRPr="00A32AF4">
        <w:rPr>
          <w:rFonts w:ascii="Arial" w:hAnsi="Arial" w:cs="Arial"/>
          <w:color w:val="auto"/>
          <w:sz w:val="20"/>
          <w:u w:val="single"/>
        </w:rPr>
        <w:t>CIB (classification internationale des brevets)</w:t>
      </w:r>
    </w:p>
    <w:p w:rsidR="00F93B76" w:rsidRPr="00A32AF4" w:rsidRDefault="00F93B76" w:rsidP="00DC0553">
      <w:pPr>
        <w:pStyle w:val="Body1"/>
        <w:jc w:val="both"/>
        <w:rPr>
          <w:rFonts w:ascii="Arial" w:hAnsi="Arial" w:cs="Arial"/>
          <w:color w:val="auto"/>
          <w:sz w:val="20"/>
        </w:rPr>
      </w:pPr>
    </w:p>
    <w:p w:rsidR="00F93B76" w:rsidRPr="00A32AF4" w:rsidRDefault="00CD1430" w:rsidP="00DC0553">
      <w:pPr>
        <w:pStyle w:val="Body1"/>
        <w:numPr>
          <w:ilvl w:val="0"/>
          <w:numId w:val="24"/>
        </w:numPr>
        <w:tabs>
          <w:tab w:val="left" w:pos="709"/>
        </w:tabs>
        <w:ind w:left="0" w:firstLine="0"/>
        <w:jc w:val="both"/>
        <w:rPr>
          <w:rFonts w:ascii="Arial" w:hAnsi="Arial" w:cs="Arial"/>
          <w:color w:val="auto"/>
          <w:sz w:val="20"/>
        </w:rPr>
      </w:pPr>
      <w:r w:rsidRPr="00A32AF4">
        <w:rPr>
          <w:rFonts w:ascii="Arial" w:hAnsi="Arial" w:cs="Arial"/>
          <w:color w:val="auto"/>
          <w:sz w:val="20"/>
        </w:rPr>
        <w:t>L</w:t>
      </w:r>
      <w:r w:rsidR="00E2055A" w:rsidRPr="00A32AF4">
        <w:rPr>
          <w:rFonts w:ascii="Arial" w:hAnsi="Arial" w:cs="Arial"/>
          <w:color w:val="auto"/>
          <w:sz w:val="20"/>
        </w:rPr>
        <w:t>’</w:t>
      </w:r>
      <w:r w:rsidRPr="00A32AF4">
        <w:rPr>
          <w:rFonts w:ascii="Arial" w:hAnsi="Arial" w:cs="Arial"/>
          <w:color w:val="auto"/>
          <w:sz w:val="20"/>
        </w:rPr>
        <w:t>amélioration de la classification internationale des brevets se poursuivra dans le cadre de la Feuille de route pour la révision de la CIB adoptée par le Comité d</w:t>
      </w:r>
      <w:r w:rsidR="00E2055A" w:rsidRPr="00A32AF4">
        <w:rPr>
          <w:rFonts w:ascii="Arial" w:hAnsi="Arial" w:cs="Arial"/>
          <w:color w:val="auto"/>
          <w:sz w:val="20"/>
        </w:rPr>
        <w:t>’</w:t>
      </w:r>
      <w:r w:rsidRPr="00A32AF4">
        <w:rPr>
          <w:rFonts w:ascii="Arial" w:hAnsi="Arial" w:cs="Arial"/>
          <w:color w:val="auto"/>
          <w:sz w:val="20"/>
        </w:rPr>
        <w:t>experts de la CIB en 2013.  Cette feuille de route a pour objet de développer la CIB dans les domaines techniques auxquels se rapportent un très grand nombre de demandes de brevet déposées par les pays émergents à un rythme de plus en plus important.  Sous les auspices du Comité d</w:t>
      </w:r>
      <w:r w:rsidR="00E2055A" w:rsidRPr="00A32AF4">
        <w:rPr>
          <w:rFonts w:ascii="Arial" w:hAnsi="Arial" w:cs="Arial"/>
          <w:color w:val="auto"/>
          <w:sz w:val="20"/>
        </w:rPr>
        <w:t>’</w:t>
      </w:r>
      <w:r w:rsidRPr="00A32AF4">
        <w:rPr>
          <w:rFonts w:ascii="Arial" w:hAnsi="Arial" w:cs="Arial"/>
          <w:color w:val="auto"/>
          <w:sz w:val="20"/>
        </w:rPr>
        <w:t>experts, l</w:t>
      </w:r>
      <w:r w:rsidR="00E2055A" w:rsidRPr="00A32AF4">
        <w:rPr>
          <w:rFonts w:ascii="Arial" w:hAnsi="Arial" w:cs="Arial"/>
          <w:color w:val="auto"/>
          <w:sz w:val="20"/>
        </w:rPr>
        <w:t>’</w:t>
      </w:r>
      <w:r w:rsidRPr="00A32AF4">
        <w:rPr>
          <w:rFonts w:ascii="Arial" w:hAnsi="Arial" w:cs="Arial"/>
          <w:color w:val="auto"/>
          <w:sz w:val="20"/>
        </w:rPr>
        <w:t>OMPI facilitera et suivra de près la mise en œuvre de la feuille de route et assurera la formation de fonctionnaires d</w:t>
      </w:r>
      <w:r w:rsidR="00E2055A" w:rsidRPr="00A32AF4">
        <w:rPr>
          <w:rFonts w:ascii="Arial" w:hAnsi="Arial" w:cs="Arial"/>
          <w:color w:val="auto"/>
          <w:sz w:val="20"/>
        </w:rPr>
        <w:t>’</w:t>
      </w:r>
      <w:r w:rsidRPr="00A32AF4">
        <w:rPr>
          <w:rFonts w:ascii="Arial" w:hAnsi="Arial" w:cs="Arial"/>
          <w:color w:val="auto"/>
          <w:sz w:val="20"/>
        </w:rPr>
        <w:t>offices de propriété intellectuelle pour permettre une plus large participation au processus de révision de la CIB.  La coopération internationale en matière de reclassement de documents de brevet selon la dernière version de la CIB sera renforcée et entièrement gérée par l</w:t>
      </w:r>
      <w:r w:rsidR="00E2055A" w:rsidRPr="00A32AF4">
        <w:rPr>
          <w:rFonts w:ascii="Arial" w:hAnsi="Arial" w:cs="Arial"/>
          <w:color w:val="auto"/>
          <w:sz w:val="20"/>
        </w:rPr>
        <w:t>’</w:t>
      </w:r>
      <w:r w:rsidRPr="00A32AF4">
        <w:rPr>
          <w:rFonts w:ascii="Arial" w:hAnsi="Arial" w:cs="Arial"/>
          <w:color w:val="auto"/>
          <w:sz w:val="20"/>
        </w:rPr>
        <w:t>OMPI.  L</w:t>
      </w:r>
      <w:r w:rsidR="00E2055A" w:rsidRPr="00A32AF4">
        <w:rPr>
          <w:rFonts w:ascii="Arial" w:hAnsi="Arial" w:cs="Arial"/>
          <w:color w:val="auto"/>
          <w:sz w:val="20"/>
        </w:rPr>
        <w:t>’</w:t>
      </w:r>
      <w:r w:rsidRPr="00A32AF4">
        <w:rPr>
          <w:rFonts w:ascii="Arial" w:hAnsi="Arial" w:cs="Arial"/>
          <w:color w:val="auto"/>
          <w:sz w:val="20"/>
        </w:rPr>
        <w:t>OMPI s</w:t>
      </w:r>
      <w:r w:rsidR="00E2055A" w:rsidRPr="00A32AF4">
        <w:rPr>
          <w:rFonts w:ascii="Arial" w:hAnsi="Arial" w:cs="Arial"/>
          <w:color w:val="auto"/>
          <w:sz w:val="20"/>
        </w:rPr>
        <w:t>’</w:t>
      </w:r>
      <w:r w:rsidRPr="00A32AF4">
        <w:rPr>
          <w:rFonts w:ascii="Arial" w:hAnsi="Arial" w:cs="Arial"/>
          <w:color w:val="auto"/>
          <w:sz w:val="20"/>
        </w:rPr>
        <w:t>efforcera de promouvoir et de faciliter davantage une utilisation plus large du système de la CIB grâce à l</w:t>
      </w:r>
      <w:r w:rsidR="00E2055A" w:rsidRPr="00A32AF4">
        <w:rPr>
          <w:rFonts w:ascii="Arial" w:hAnsi="Arial" w:cs="Arial"/>
          <w:color w:val="auto"/>
          <w:sz w:val="20"/>
        </w:rPr>
        <w:t>’</w:t>
      </w:r>
      <w:r w:rsidRPr="00A32AF4">
        <w:rPr>
          <w:rFonts w:ascii="Arial" w:hAnsi="Arial" w:cs="Arial"/>
          <w:color w:val="auto"/>
          <w:sz w:val="20"/>
        </w:rPr>
        <w:t>assistance en faveur du processus de traduction de la CIB dans les langues nationales.</w:t>
      </w:r>
    </w:p>
    <w:p w:rsidR="00F93B76" w:rsidRPr="00A32AF4" w:rsidRDefault="00F93B76" w:rsidP="00DC0553">
      <w:pPr>
        <w:pStyle w:val="Body1"/>
        <w:tabs>
          <w:tab w:val="left" w:pos="709"/>
        </w:tabs>
        <w:jc w:val="both"/>
        <w:rPr>
          <w:rFonts w:ascii="Arial" w:hAnsi="Arial" w:cs="Arial"/>
          <w:color w:val="auto"/>
          <w:sz w:val="20"/>
        </w:rPr>
      </w:pPr>
    </w:p>
    <w:p w:rsidR="00F93B76" w:rsidRPr="00A32AF4" w:rsidRDefault="00CD1430" w:rsidP="00DC0553">
      <w:pPr>
        <w:pStyle w:val="Body1"/>
        <w:tabs>
          <w:tab w:val="left" w:pos="709"/>
        </w:tabs>
        <w:jc w:val="both"/>
        <w:rPr>
          <w:rFonts w:ascii="Arial" w:hAnsi="Arial" w:cs="Arial"/>
          <w:color w:val="auto"/>
          <w:sz w:val="20"/>
          <w:u w:val="single"/>
        </w:rPr>
      </w:pPr>
      <w:r w:rsidRPr="00A32AF4">
        <w:rPr>
          <w:rFonts w:ascii="Arial" w:hAnsi="Arial" w:cs="Arial"/>
          <w:color w:val="auto"/>
          <w:sz w:val="20"/>
          <w:u w:val="single"/>
        </w:rPr>
        <w:t>La classification de Nice (liste de produits et de services en vue de l</w:t>
      </w:r>
      <w:r w:rsidR="00E2055A" w:rsidRPr="00A32AF4">
        <w:rPr>
          <w:rFonts w:ascii="Arial" w:hAnsi="Arial" w:cs="Arial"/>
          <w:color w:val="auto"/>
          <w:sz w:val="20"/>
          <w:u w:val="single"/>
        </w:rPr>
        <w:t>’</w:t>
      </w:r>
      <w:r w:rsidRPr="00A32AF4">
        <w:rPr>
          <w:rFonts w:ascii="Arial" w:hAnsi="Arial" w:cs="Arial"/>
          <w:color w:val="auto"/>
          <w:sz w:val="20"/>
          <w:u w:val="single"/>
        </w:rPr>
        <w:t>enregistrement des marques)</w:t>
      </w:r>
    </w:p>
    <w:p w:rsidR="00F93B76" w:rsidRPr="00A32AF4" w:rsidRDefault="00F93B76" w:rsidP="00DC0553">
      <w:pPr>
        <w:pStyle w:val="Body1"/>
        <w:jc w:val="both"/>
        <w:rPr>
          <w:rFonts w:ascii="Arial" w:hAnsi="Arial" w:cs="Arial"/>
          <w:color w:val="auto"/>
          <w:sz w:val="20"/>
        </w:rPr>
      </w:pPr>
    </w:p>
    <w:p w:rsidR="00F93B76" w:rsidRPr="00A32AF4" w:rsidRDefault="00CD1430" w:rsidP="00DC0553">
      <w:pPr>
        <w:pStyle w:val="Body1"/>
        <w:numPr>
          <w:ilvl w:val="0"/>
          <w:numId w:val="24"/>
        </w:numPr>
        <w:tabs>
          <w:tab w:val="left" w:pos="709"/>
        </w:tabs>
        <w:ind w:left="0" w:firstLine="0"/>
        <w:jc w:val="both"/>
        <w:rPr>
          <w:rFonts w:ascii="Arial" w:eastAsia="MS Mincho" w:hAnsi="Arial" w:cs="Arial"/>
          <w:color w:val="auto"/>
          <w:sz w:val="20"/>
          <w:lang w:eastAsia="ja-JP"/>
        </w:rPr>
      </w:pPr>
      <w:r w:rsidRPr="00A32AF4">
        <w:rPr>
          <w:rFonts w:ascii="Arial" w:eastAsia="MS Mincho" w:hAnsi="Arial" w:cs="Arial"/>
          <w:color w:val="auto"/>
          <w:sz w:val="20"/>
          <w:lang w:eastAsia="ja-JP"/>
        </w:rPr>
        <w:t>L</w:t>
      </w:r>
      <w:r w:rsidR="00E2055A" w:rsidRPr="00A32AF4">
        <w:rPr>
          <w:rFonts w:ascii="Arial" w:eastAsia="MS Mincho" w:hAnsi="Arial" w:cs="Arial"/>
          <w:color w:val="auto"/>
          <w:sz w:val="20"/>
          <w:lang w:eastAsia="ja-JP"/>
        </w:rPr>
        <w:t>’</w:t>
      </w:r>
      <w:r w:rsidRPr="00A32AF4">
        <w:rPr>
          <w:rFonts w:ascii="Arial" w:eastAsia="MS Mincho" w:hAnsi="Arial" w:cs="Arial"/>
          <w:color w:val="auto"/>
          <w:sz w:val="20"/>
          <w:lang w:eastAsia="ja-JP"/>
        </w:rPr>
        <w:t>amélioration de la classification de Nice se poursuivra sous les auspices du Comité d</w:t>
      </w:r>
      <w:r w:rsidR="00E2055A" w:rsidRPr="00A32AF4">
        <w:rPr>
          <w:rFonts w:ascii="Arial" w:eastAsia="MS Mincho" w:hAnsi="Arial" w:cs="Arial"/>
          <w:color w:val="auto"/>
          <w:sz w:val="20"/>
          <w:lang w:eastAsia="ja-JP"/>
        </w:rPr>
        <w:t>’</w:t>
      </w:r>
      <w:r w:rsidRPr="00A32AF4">
        <w:rPr>
          <w:rFonts w:ascii="Arial" w:eastAsia="MS Mincho" w:hAnsi="Arial" w:cs="Arial"/>
          <w:color w:val="auto"/>
          <w:sz w:val="20"/>
          <w:lang w:eastAsia="ja-JP"/>
        </w:rPr>
        <w:t>experts de l</w:t>
      </w:r>
      <w:r w:rsidR="00E2055A" w:rsidRPr="00A32AF4">
        <w:rPr>
          <w:rFonts w:ascii="Arial" w:eastAsia="MS Mincho" w:hAnsi="Arial" w:cs="Arial"/>
          <w:color w:val="auto"/>
          <w:sz w:val="20"/>
          <w:lang w:eastAsia="ja-JP"/>
        </w:rPr>
        <w:t>’</w:t>
      </w:r>
      <w:r w:rsidRPr="00A32AF4">
        <w:rPr>
          <w:rFonts w:ascii="Arial" w:eastAsia="MS Mincho" w:hAnsi="Arial" w:cs="Arial"/>
          <w:color w:val="auto"/>
          <w:sz w:val="20"/>
          <w:lang w:eastAsia="ja-JP"/>
        </w:rPr>
        <w:t>Union de Nice.  On veillera tout particulièrement à faire en sorte que la liste des biens et des services tienne dûment compte des particularités des marchés émergents et à accélérer l</w:t>
      </w:r>
      <w:r w:rsidR="00E2055A" w:rsidRPr="00A32AF4">
        <w:rPr>
          <w:rFonts w:ascii="Arial" w:eastAsia="MS Mincho" w:hAnsi="Arial" w:cs="Arial"/>
          <w:color w:val="auto"/>
          <w:sz w:val="20"/>
          <w:lang w:eastAsia="ja-JP"/>
        </w:rPr>
        <w:t>’</w:t>
      </w:r>
      <w:r w:rsidRPr="00A32AF4">
        <w:rPr>
          <w:rFonts w:ascii="Arial" w:eastAsia="MS Mincho" w:hAnsi="Arial" w:cs="Arial"/>
          <w:color w:val="auto"/>
          <w:sz w:val="20"/>
          <w:lang w:eastAsia="ja-JP"/>
        </w:rPr>
        <w:t>intégration de nouvelles indications largement utilisées à cette liste.  Il sera possible de parvenir à ce résultat en assurant un suivi de la base de données du système de Madrid et des bases de données nationales, et en supprimant les indications obsolètes grâce à un système de gestion rationalisée de la révision.  La mise au point d</w:t>
      </w:r>
      <w:r w:rsidR="00E2055A" w:rsidRPr="00A32AF4">
        <w:rPr>
          <w:rFonts w:ascii="Arial" w:eastAsia="MS Mincho" w:hAnsi="Arial" w:cs="Arial"/>
          <w:color w:val="auto"/>
          <w:sz w:val="20"/>
          <w:lang w:eastAsia="ja-JP"/>
        </w:rPr>
        <w:t>’</w:t>
      </w:r>
      <w:r w:rsidRPr="00A32AF4">
        <w:rPr>
          <w:rFonts w:ascii="Arial" w:eastAsia="MS Mincho" w:hAnsi="Arial" w:cs="Arial"/>
          <w:color w:val="auto"/>
          <w:sz w:val="20"/>
          <w:lang w:eastAsia="ja-JP"/>
        </w:rPr>
        <w:t>une plate</w:t>
      </w:r>
      <w:r w:rsidR="00EB7F54" w:rsidRPr="00A32AF4">
        <w:rPr>
          <w:rFonts w:ascii="Arial" w:eastAsia="MS Mincho" w:hAnsi="Arial" w:cs="Arial"/>
          <w:color w:val="auto"/>
          <w:sz w:val="20"/>
          <w:lang w:eastAsia="ja-JP"/>
        </w:rPr>
        <w:noBreakHyphen/>
      </w:r>
      <w:r w:rsidRPr="00A32AF4">
        <w:rPr>
          <w:rFonts w:ascii="Arial" w:eastAsia="MS Mincho" w:hAnsi="Arial" w:cs="Arial"/>
          <w:color w:val="auto"/>
          <w:sz w:val="20"/>
          <w:lang w:eastAsia="ja-JP"/>
        </w:rPr>
        <w:t>forme intégrée de publication pour les produits et les services listés dans la classification de Nice et de la base de données du Gestionnaire de produits et services de Madrid sera anticipée.  L</w:t>
      </w:r>
      <w:r w:rsidR="00E2055A" w:rsidRPr="00A32AF4">
        <w:rPr>
          <w:rFonts w:ascii="Arial" w:eastAsia="MS Mincho" w:hAnsi="Arial" w:cs="Arial"/>
          <w:color w:val="auto"/>
          <w:sz w:val="20"/>
          <w:lang w:eastAsia="ja-JP"/>
        </w:rPr>
        <w:t>’</w:t>
      </w:r>
      <w:r w:rsidRPr="00A32AF4">
        <w:rPr>
          <w:rFonts w:ascii="Arial" w:eastAsia="MS Mincho" w:hAnsi="Arial" w:cs="Arial"/>
          <w:color w:val="auto"/>
          <w:sz w:val="20"/>
          <w:lang w:eastAsia="ja-JP"/>
        </w:rPr>
        <w:t>OMPI participe activement aux initiatives de coopération en matière de classification des marques aux niveaux régional et international afin de faciliter l</w:t>
      </w:r>
      <w:r w:rsidR="00E2055A" w:rsidRPr="00A32AF4">
        <w:rPr>
          <w:rFonts w:ascii="Arial" w:eastAsia="MS Mincho" w:hAnsi="Arial" w:cs="Arial"/>
          <w:color w:val="auto"/>
          <w:sz w:val="20"/>
          <w:lang w:eastAsia="ja-JP"/>
        </w:rPr>
        <w:t>’</w:t>
      </w:r>
      <w:r w:rsidRPr="00A32AF4">
        <w:rPr>
          <w:rFonts w:ascii="Arial" w:eastAsia="MS Mincho" w:hAnsi="Arial" w:cs="Arial"/>
          <w:color w:val="auto"/>
          <w:sz w:val="20"/>
          <w:lang w:eastAsia="ja-JP"/>
        </w:rPr>
        <w:t>introduction de pratiques largement acceptées dans la classification de Nice.  Des documents explicites et des cours de formation interactifs sur la manière d</w:t>
      </w:r>
      <w:r w:rsidR="00E2055A" w:rsidRPr="00A32AF4">
        <w:rPr>
          <w:rFonts w:ascii="Arial" w:eastAsia="MS Mincho" w:hAnsi="Arial" w:cs="Arial"/>
          <w:color w:val="auto"/>
          <w:sz w:val="20"/>
          <w:lang w:eastAsia="ja-JP"/>
        </w:rPr>
        <w:t>’</w:t>
      </w:r>
      <w:r w:rsidRPr="00A32AF4">
        <w:rPr>
          <w:rFonts w:ascii="Arial" w:eastAsia="MS Mincho" w:hAnsi="Arial" w:cs="Arial"/>
          <w:color w:val="auto"/>
          <w:sz w:val="20"/>
          <w:lang w:eastAsia="ja-JP"/>
        </w:rPr>
        <w:t>effectuer des classifications seront améliorés et mis en ligne.  Les offices de propriété intellectuelle prendront une part plus active à ces processus.</w:t>
      </w:r>
    </w:p>
    <w:p w:rsidR="00F93B76" w:rsidRPr="00A32AF4" w:rsidRDefault="00F93B76" w:rsidP="00DC0553">
      <w:pPr>
        <w:pStyle w:val="Body1"/>
        <w:tabs>
          <w:tab w:val="left" w:pos="709"/>
        </w:tabs>
        <w:jc w:val="both"/>
        <w:rPr>
          <w:rFonts w:ascii="Arial" w:eastAsia="MS Mincho" w:hAnsi="Arial" w:cs="Arial"/>
          <w:color w:val="auto"/>
          <w:sz w:val="20"/>
          <w:lang w:eastAsia="ja-JP"/>
        </w:rPr>
      </w:pPr>
    </w:p>
    <w:p w:rsidR="00F93B76" w:rsidRPr="00A32AF4" w:rsidRDefault="00CD1430" w:rsidP="00DC0553">
      <w:pPr>
        <w:pStyle w:val="Body1"/>
        <w:jc w:val="both"/>
        <w:rPr>
          <w:rFonts w:ascii="Arial" w:hAnsi="Arial" w:cs="Arial"/>
          <w:color w:val="auto"/>
          <w:sz w:val="20"/>
          <w:u w:val="single"/>
        </w:rPr>
      </w:pPr>
      <w:r w:rsidRPr="00A32AF4">
        <w:rPr>
          <w:rFonts w:ascii="Arial" w:hAnsi="Arial" w:cs="Arial"/>
          <w:color w:val="auto"/>
          <w:sz w:val="20"/>
          <w:u w:val="single"/>
        </w:rPr>
        <w:t>La classification de Vienne (éléments figuratifs des marques) et la classification de Locarno (dessins et modèles industriels)</w:t>
      </w:r>
    </w:p>
    <w:p w:rsidR="00F93B76" w:rsidRPr="00A32AF4" w:rsidRDefault="00F93B76" w:rsidP="00DC0553">
      <w:pPr>
        <w:pStyle w:val="Body1"/>
        <w:jc w:val="both"/>
        <w:rPr>
          <w:rFonts w:ascii="Arial" w:hAnsi="Arial" w:cs="Arial"/>
          <w:color w:val="auto"/>
          <w:sz w:val="20"/>
          <w:u w:val="single"/>
        </w:rPr>
      </w:pPr>
    </w:p>
    <w:p w:rsidR="00F93B76" w:rsidRPr="00A32AF4" w:rsidRDefault="00CD1430" w:rsidP="00DC0553">
      <w:pPr>
        <w:pStyle w:val="Body1"/>
        <w:numPr>
          <w:ilvl w:val="0"/>
          <w:numId w:val="24"/>
        </w:numPr>
        <w:tabs>
          <w:tab w:val="left" w:pos="709"/>
        </w:tabs>
        <w:ind w:left="0" w:firstLine="0"/>
        <w:jc w:val="both"/>
        <w:rPr>
          <w:rFonts w:ascii="Arial" w:hAnsi="Arial" w:cs="Arial"/>
          <w:color w:val="auto"/>
          <w:sz w:val="20"/>
        </w:rPr>
      </w:pPr>
      <w:r w:rsidRPr="00A32AF4">
        <w:rPr>
          <w:rFonts w:ascii="Arial" w:hAnsi="Arial" w:cs="Arial"/>
          <w:color w:val="auto"/>
          <w:sz w:val="20"/>
        </w:rPr>
        <w:t>De nouvelles plates</w:t>
      </w:r>
      <w:r w:rsidR="00EB7F54" w:rsidRPr="00A32AF4">
        <w:rPr>
          <w:rFonts w:ascii="Arial" w:hAnsi="Arial" w:cs="Arial"/>
          <w:color w:val="auto"/>
          <w:sz w:val="20"/>
        </w:rPr>
        <w:noBreakHyphen/>
      </w:r>
      <w:r w:rsidRPr="00A32AF4">
        <w:rPr>
          <w:rFonts w:ascii="Arial" w:hAnsi="Arial" w:cs="Arial"/>
          <w:color w:val="auto"/>
          <w:sz w:val="20"/>
        </w:rPr>
        <w:t>formes de publication seront finalisées pour les classifications de Vienne et de Locarno, sur le modèle de la classification de Nice.  Les offices de propriété intellectuelle seront plus étroitement associés au processus de révision des classifications de Vienne et de Locarno.  Suite à la décision prise par le Comité d</w:t>
      </w:r>
      <w:r w:rsidR="00E2055A" w:rsidRPr="00A32AF4">
        <w:rPr>
          <w:rFonts w:ascii="Arial" w:hAnsi="Arial" w:cs="Arial"/>
          <w:color w:val="auto"/>
          <w:sz w:val="20"/>
        </w:rPr>
        <w:t>’</w:t>
      </w:r>
      <w:r w:rsidRPr="00A32AF4">
        <w:rPr>
          <w:rFonts w:ascii="Arial" w:hAnsi="Arial" w:cs="Arial"/>
          <w:color w:val="auto"/>
          <w:sz w:val="20"/>
        </w:rPr>
        <w:t>experts de l</w:t>
      </w:r>
      <w:r w:rsidR="00E2055A" w:rsidRPr="00A32AF4">
        <w:rPr>
          <w:rFonts w:ascii="Arial" w:hAnsi="Arial" w:cs="Arial"/>
          <w:color w:val="auto"/>
          <w:sz w:val="20"/>
        </w:rPr>
        <w:t>’</w:t>
      </w:r>
      <w:r w:rsidRPr="00A32AF4">
        <w:rPr>
          <w:rFonts w:ascii="Arial" w:hAnsi="Arial" w:cs="Arial"/>
          <w:color w:val="auto"/>
          <w:sz w:val="20"/>
        </w:rPr>
        <w:t>Union de Locarno en automne 2015, les sous</w:t>
      </w:r>
      <w:r w:rsidR="00EB7F54" w:rsidRPr="00A32AF4">
        <w:rPr>
          <w:rFonts w:ascii="Arial" w:hAnsi="Arial" w:cs="Arial"/>
          <w:color w:val="auto"/>
          <w:sz w:val="20"/>
        </w:rPr>
        <w:noBreakHyphen/>
      </w:r>
      <w:r w:rsidRPr="00A32AF4">
        <w:rPr>
          <w:rFonts w:ascii="Arial" w:hAnsi="Arial" w:cs="Arial"/>
          <w:color w:val="auto"/>
          <w:sz w:val="20"/>
        </w:rPr>
        <w:t xml:space="preserve">classes de la classification de Locarno seront subdivisées afin de rendre plus efficaces les recherches dans les bases de données consacrées aux dessins et modèles.  </w:t>
      </w:r>
      <w:r w:rsidRPr="00A32AF4">
        <w:rPr>
          <w:rFonts w:ascii="Arial" w:eastAsia="MS Mincho" w:hAnsi="Arial" w:cs="Arial"/>
          <w:color w:val="auto"/>
          <w:sz w:val="20"/>
          <w:lang w:eastAsia="ja-JP"/>
        </w:rPr>
        <w:t>Des documents explicites et des cours de formation interactifs sur la manière d</w:t>
      </w:r>
      <w:r w:rsidR="00E2055A" w:rsidRPr="00A32AF4">
        <w:rPr>
          <w:rFonts w:ascii="Arial" w:eastAsia="MS Mincho" w:hAnsi="Arial" w:cs="Arial"/>
          <w:color w:val="auto"/>
          <w:sz w:val="20"/>
          <w:lang w:eastAsia="ja-JP"/>
        </w:rPr>
        <w:t>’</w:t>
      </w:r>
      <w:r w:rsidRPr="00A32AF4">
        <w:rPr>
          <w:rFonts w:ascii="Arial" w:eastAsia="MS Mincho" w:hAnsi="Arial" w:cs="Arial"/>
          <w:color w:val="auto"/>
          <w:sz w:val="20"/>
          <w:lang w:eastAsia="ja-JP"/>
        </w:rPr>
        <w:t>effectuer des classifications seront élaborés et mis en ligne.  Les offices de propriété intellectuelle prendront une part plus active à ces processus.</w:t>
      </w:r>
    </w:p>
    <w:p w:rsidR="00F93B76" w:rsidRPr="00A32AF4" w:rsidRDefault="00F93B76" w:rsidP="00DC0553">
      <w:pPr>
        <w:pStyle w:val="Body1"/>
        <w:jc w:val="both"/>
        <w:rPr>
          <w:rFonts w:ascii="Arial" w:hAnsi="Arial" w:cs="Arial"/>
          <w:color w:val="auto"/>
          <w:sz w:val="20"/>
        </w:rPr>
      </w:pPr>
    </w:p>
    <w:p w:rsidR="00F93B76" w:rsidRPr="00A32AF4" w:rsidRDefault="00CD1430" w:rsidP="00DC0553">
      <w:pPr>
        <w:pStyle w:val="Body1"/>
        <w:jc w:val="both"/>
        <w:rPr>
          <w:rFonts w:ascii="Arial" w:hAnsi="Arial" w:cs="Arial"/>
          <w:color w:val="auto"/>
          <w:sz w:val="20"/>
          <w:u w:val="single"/>
        </w:rPr>
      </w:pPr>
      <w:r w:rsidRPr="00A32AF4">
        <w:rPr>
          <w:rFonts w:ascii="Arial" w:hAnsi="Arial" w:cs="Arial"/>
          <w:color w:val="auto"/>
          <w:sz w:val="20"/>
          <w:u w:val="single"/>
        </w:rPr>
        <w:t>Normes de l</w:t>
      </w:r>
      <w:r w:rsidR="00E2055A" w:rsidRPr="00A32AF4">
        <w:rPr>
          <w:rFonts w:ascii="Arial" w:hAnsi="Arial" w:cs="Arial"/>
          <w:color w:val="auto"/>
          <w:sz w:val="20"/>
          <w:u w:val="single"/>
        </w:rPr>
        <w:t>’</w:t>
      </w:r>
      <w:r w:rsidRPr="00A32AF4">
        <w:rPr>
          <w:rFonts w:ascii="Arial" w:hAnsi="Arial" w:cs="Arial"/>
          <w:color w:val="auto"/>
          <w:sz w:val="20"/>
          <w:u w:val="single"/>
        </w:rPr>
        <w:t>OMPI</w:t>
      </w:r>
    </w:p>
    <w:p w:rsidR="00F93B76" w:rsidRPr="00A32AF4" w:rsidRDefault="00F93B76" w:rsidP="00DC0553">
      <w:pPr>
        <w:pStyle w:val="Body1"/>
        <w:jc w:val="both"/>
        <w:rPr>
          <w:rFonts w:ascii="Arial" w:hAnsi="Arial" w:cs="Arial"/>
          <w:color w:val="auto"/>
          <w:sz w:val="20"/>
        </w:rPr>
      </w:pPr>
    </w:p>
    <w:p w:rsidR="00F93B76" w:rsidRPr="00A32AF4" w:rsidRDefault="00CD1430" w:rsidP="00DC0553">
      <w:pPr>
        <w:pStyle w:val="Body1"/>
        <w:numPr>
          <w:ilvl w:val="0"/>
          <w:numId w:val="24"/>
        </w:numPr>
        <w:tabs>
          <w:tab w:val="left" w:pos="709"/>
        </w:tabs>
        <w:ind w:left="0" w:firstLine="0"/>
        <w:jc w:val="both"/>
        <w:rPr>
          <w:rFonts w:ascii="Arial" w:hAnsi="Arial" w:cs="Arial"/>
          <w:color w:val="auto"/>
          <w:sz w:val="20"/>
        </w:rPr>
      </w:pPr>
      <w:r w:rsidRPr="00A32AF4">
        <w:rPr>
          <w:rFonts w:ascii="Arial" w:hAnsi="Arial" w:cs="Arial"/>
          <w:color w:val="auto"/>
          <w:sz w:val="20"/>
        </w:rPr>
        <w:t>Les normes de l</w:t>
      </w:r>
      <w:r w:rsidR="00E2055A" w:rsidRPr="00A32AF4">
        <w:rPr>
          <w:rFonts w:ascii="Arial" w:hAnsi="Arial" w:cs="Arial"/>
          <w:color w:val="auto"/>
          <w:sz w:val="20"/>
        </w:rPr>
        <w:t>’</w:t>
      </w:r>
      <w:r w:rsidRPr="00A32AF4">
        <w:rPr>
          <w:rFonts w:ascii="Arial" w:hAnsi="Arial" w:cs="Arial"/>
          <w:color w:val="auto"/>
          <w:sz w:val="20"/>
        </w:rPr>
        <w:t>OMPI servent de fondement au traitement, à la transmission, à</w:t>
      </w:r>
      <w:r w:rsidRPr="00A32AF4">
        <w:rPr>
          <w:color w:val="auto"/>
        </w:rPr>
        <w:t xml:space="preserve"> </w:t>
      </w:r>
      <w:r w:rsidRPr="00A32AF4">
        <w:rPr>
          <w:rFonts w:ascii="Arial" w:hAnsi="Arial" w:cs="Arial"/>
          <w:color w:val="auto"/>
          <w:sz w:val="20"/>
        </w:rPr>
        <w:t>l</w:t>
      </w:r>
      <w:r w:rsidR="00E2055A" w:rsidRPr="00A32AF4">
        <w:rPr>
          <w:rFonts w:ascii="Arial" w:hAnsi="Arial" w:cs="Arial"/>
          <w:color w:val="auto"/>
          <w:sz w:val="20"/>
        </w:rPr>
        <w:t>’</w:t>
      </w:r>
      <w:r w:rsidRPr="00A32AF4">
        <w:rPr>
          <w:rFonts w:ascii="Arial" w:hAnsi="Arial" w:cs="Arial"/>
          <w:color w:val="auto"/>
          <w:sz w:val="20"/>
        </w:rPr>
        <w:t>échange, à la diffusion et au partage des informations et de la documentation sur la propriété intellectuelle.  En élaborant de nouvelles normes ou en révisant des normes existantes, l</w:t>
      </w:r>
      <w:r w:rsidR="00E2055A" w:rsidRPr="00A32AF4">
        <w:rPr>
          <w:rFonts w:ascii="Arial" w:hAnsi="Arial" w:cs="Arial"/>
          <w:color w:val="auto"/>
          <w:sz w:val="20"/>
        </w:rPr>
        <w:t>’</w:t>
      </w:r>
      <w:r w:rsidRPr="00A32AF4">
        <w:rPr>
          <w:rFonts w:ascii="Arial" w:hAnsi="Arial" w:cs="Arial"/>
          <w:color w:val="auto"/>
          <w:sz w:val="20"/>
        </w:rPr>
        <w:t>OMPI collaborera avec les offices de propriété intellectuelle d</w:t>
      </w:r>
      <w:r w:rsidR="00E2055A" w:rsidRPr="00A32AF4">
        <w:rPr>
          <w:rFonts w:ascii="Arial" w:hAnsi="Arial" w:cs="Arial"/>
          <w:color w:val="auto"/>
          <w:sz w:val="20"/>
        </w:rPr>
        <w:t>’</w:t>
      </w:r>
      <w:r w:rsidRPr="00A32AF4">
        <w:rPr>
          <w:rFonts w:ascii="Arial" w:hAnsi="Arial" w:cs="Arial"/>
          <w:color w:val="auto"/>
          <w:sz w:val="20"/>
        </w:rPr>
        <w:t>une manière plus flexible et plus efficace afin de mieux répondre aux besoins et aux demandes des utilisateurs.  En outre, l</w:t>
      </w:r>
      <w:r w:rsidR="00E2055A" w:rsidRPr="00A32AF4">
        <w:rPr>
          <w:rFonts w:ascii="Arial" w:hAnsi="Arial" w:cs="Arial"/>
          <w:color w:val="auto"/>
          <w:sz w:val="20"/>
        </w:rPr>
        <w:t>’</w:t>
      </w:r>
      <w:r w:rsidRPr="00A32AF4">
        <w:rPr>
          <w:rFonts w:ascii="Arial" w:hAnsi="Arial" w:cs="Arial"/>
          <w:color w:val="auto"/>
          <w:sz w:val="20"/>
        </w:rPr>
        <w:t>utilisation plus poussée des moyens électroniques dans le cadre de la révision et de l</w:t>
      </w:r>
      <w:r w:rsidR="00E2055A" w:rsidRPr="00A32AF4">
        <w:rPr>
          <w:rFonts w:ascii="Arial" w:hAnsi="Arial" w:cs="Arial"/>
          <w:color w:val="auto"/>
          <w:sz w:val="20"/>
        </w:rPr>
        <w:t>’</w:t>
      </w:r>
      <w:r w:rsidRPr="00A32AF4">
        <w:rPr>
          <w:rFonts w:ascii="Arial" w:hAnsi="Arial" w:cs="Arial"/>
          <w:color w:val="auto"/>
          <w:sz w:val="20"/>
        </w:rPr>
        <w:t>adoption des normes sera encouragée.  La révision des normes existantes comprendra notamment la mise à jour des normes XML (pour assurer un format de données numériques mieux structuré) et des outils appropriés destinés à faciliter leur utilisation, tandis que l</w:t>
      </w:r>
      <w:r w:rsidR="00E2055A" w:rsidRPr="00A32AF4">
        <w:rPr>
          <w:rFonts w:ascii="Arial" w:hAnsi="Arial" w:cs="Arial"/>
          <w:color w:val="auto"/>
          <w:sz w:val="20"/>
        </w:rPr>
        <w:t>’</w:t>
      </w:r>
      <w:r w:rsidRPr="00A32AF4">
        <w:rPr>
          <w:rFonts w:ascii="Arial" w:hAnsi="Arial" w:cs="Arial"/>
          <w:color w:val="auto"/>
          <w:sz w:val="20"/>
        </w:rPr>
        <w:t>élaboration de nouvelles normes portera sur la diffusion et l</w:t>
      </w:r>
      <w:r w:rsidR="00E2055A" w:rsidRPr="00A32AF4">
        <w:rPr>
          <w:rFonts w:ascii="Arial" w:hAnsi="Arial" w:cs="Arial"/>
          <w:color w:val="auto"/>
          <w:sz w:val="20"/>
        </w:rPr>
        <w:t>’</w:t>
      </w:r>
      <w:r w:rsidRPr="00A32AF4">
        <w:rPr>
          <w:rFonts w:ascii="Arial" w:hAnsi="Arial" w:cs="Arial"/>
          <w:color w:val="auto"/>
          <w:sz w:val="20"/>
        </w:rPr>
        <w:t>échange d</w:t>
      </w:r>
      <w:r w:rsidR="00E2055A" w:rsidRPr="00A32AF4">
        <w:rPr>
          <w:rFonts w:ascii="Arial" w:hAnsi="Arial" w:cs="Arial"/>
          <w:color w:val="auto"/>
          <w:sz w:val="20"/>
        </w:rPr>
        <w:t>’</w:t>
      </w:r>
      <w:r w:rsidRPr="00A32AF4">
        <w:rPr>
          <w:rFonts w:ascii="Arial" w:hAnsi="Arial" w:cs="Arial"/>
          <w:color w:val="auto"/>
          <w:sz w:val="20"/>
        </w:rPr>
        <w:t>informations sur la situation juridique des brevets et de données concernant de nouveaux types de marques.  L</w:t>
      </w:r>
      <w:r w:rsidR="00E2055A" w:rsidRPr="00A32AF4">
        <w:rPr>
          <w:rFonts w:ascii="Arial" w:hAnsi="Arial" w:cs="Arial"/>
          <w:color w:val="auto"/>
          <w:sz w:val="20"/>
        </w:rPr>
        <w:t>’</w:t>
      </w:r>
      <w:r w:rsidRPr="00A32AF4">
        <w:rPr>
          <w:rFonts w:ascii="Arial" w:hAnsi="Arial" w:cs="Arial"/>
          <w:color w:val="auto"/>
          <w:sz w:val="20"/>
        </w:rPr>
        <w:t>OMPI poursuivra la collaboration avec les offices de propriété intellectuelle en vue de la publication d</w:t>
      </w:r>
      <w:r w:rsidR="00E2055A" w:rsidRPr="00A32AF4">
        <w:rPr>
          <w:rFonts w:ascii="Arial" w:hAnsi="Arial" w:cs="Arial"/>
          <w:color w:val="auto"/>
          <w:sz w:val="20"/>
        </w:rPr>
        <w:t>’</w:t>
      </w:r>
      <w:r w:rsidRPr="00A32AF4">
        <w:rPr>
          <w:rFonts w:ascii="Arial" w:hAnsi="Arial" w:cs="Arial"/>
          <w:color w:val="auto"/>
          <w:sz w:val="20"/>
        </w:rPr>
        <w:t>informations actualisées sur leurs pratiques en matière de normes de l</w:t>
      </w:r>
      <w:r w:rsidR="00E2055A" w:rsidRPr="00A32AF4">
        <w:rPr>
          <w:rFonts w:ascii="Arial" w:hAnsi="Arial" w:cs="Arial"/>
          <w:color w:val="auto"/>
          <w:sz w:val="20"/>
        </w:rPr>
        <w:t>’</w:t>
      </w:r>
      <w:r w:rsidRPr="00A32AF4">
        <w:rPr>
          <w:rFonts w:ascii="Arial" w:hAnsi="Arial" w:cs="Arial"/>
          <w:color w:val="auto"/>
          <w:sz w:val="20"/>
        </w:rPr>
        <w:t>OMPI et appuiera les offices au cours de la mise en œuvre de ces normes.  La consultation des normes de l</w:t>
      </w:r>
      <w:r w:rsidR="00E2055A" w:rsidRPr="00A32AF4">
        <w:rPr>
          <w:rFonts w:ascii="Arial" w:hAnsi="Arial" w:cs="Arial"/>
          <w:color w:val="auto"/>
          <w:sz w:val="20"/>
        </w:rPr>
        <w:t>’</w:t>
      </w:r>
      <w:r w:rsidRPr="00A32AF4">
        <w:rPr>
          <w:rFonts w:ascii="Arial" w:hAnsi="Arial" w:cs="Arial"/>
          <w:color w:val="auto"/>
          <w:sz w:val="20"/>
        </w:rPr>
        <w:t>OMPI et des résultats des enquêtes connexes dans les bases de données de propriété intellectuelle sera facilitée.</w:t>
      </w:r>
    </w:p>
    <w:p w:rsidR="00F93B76" w:rsidRPr="00A32AF4" w:rsidRDefault="00F93B76" w:rsidP="00DC0553">
      <w:pPr>
        <w:pStyle w:val="Body1"/>
        <w:jc w:val="both"/>
        <w:rPr>
          <w:rFonts w:ascii="Arial" w:hAnsi="Arial" w:cs="Arial"/>
          <w:color w:val="auto"/>
          <w:sz w:val="20"/>
        </w:rPr>
      </w:pPr>
    </w:p>
    <w:p w:rsidR="00F93B76" w:rsidRPr="00A32AF4" w:rsidRDefault="00CD1430" w:rsidP="00DC0553">
      <w:pPr>
        <w:pStyle w:val="Body1"/>
        <w:jc w:val="both"/>
        <w:rPr>
          <w:rFonts w:ascii="Arial" w:hAnsi="Arial" w:cs="Arial"/>
          <w:color w:val="auto"/>
          <w:sz w:val="20"/>
          <w:u w:val="single"/>
        </w:rPr>
      </w:pPr>
      <w:r w:rsidRPr="00A32AF4">
        <w:rPr>
          <w:rFonts w:ascii="Arial" w:hAnsi="Arial" w:cs="Arial"/>
          <w:color w:val="auto"/>
          <w:sz w:val="20"/>
          <w:u w:val="single"/>
        </w:rPr>
        <w:t>Systèmes informatiques pour les classifications internationales et les normes</w:t>
      </w:r>
    </w:p>
    <w:p w:rsidR="00F93B76" w:rsidRPr="00A32AF4" w:rsidRDefault="00F93B76" w:rsidP="00DC0553">
      <w:pPr>
        <w:pStyle w:val="Body1"/>
        <w:jc w:val="both"/>
        <w:rPr>
          <w:rFonts w:ascii="Arial" w:hAnsi="Arial" w:cs="Arial"/>
          <w:color w:val="auto"/>
          <w:sz w:val="20"/>
        </w:rPr>
      </w:pPr>
    </w:p>
    <w:p w:rsidR="00F93B76" w:rsidRPr="00A32AF4" w:rsidRDefault="00CD1430" w:rsidP="00DC0553">
      <w:pPr>
        <w:pStyle w:val="Body1"/>
        <w:numPr>
          <w:ilvl w:val="0"/>
          <w:numId w:val="24"/>
        </w:numPr>
        <w:tabs>
          <w:tab w:val="left" w:pos="709"/>
        </w:tabs>
        <w:ind w:left="0" w:firstLine="0"/>
        <w:jc w:val="both"/>
        <w:rPr>
          <w:rFonts w:ascii="Arial" w:hAnsi="Arial" w:cs="Arial"/>
          <w:color w:val="auto"/>
          <w:sz w:val="20"/>
        </w:rPr>
      </w:pPr>
      <w:r w:rsidRPr="00A32AF4">
        <w:rPr>
          <w:rFonts w:ascii="Arial" w:hAnsi="Arial" w:cs="Arial"/>
          <w:color w:val="auto"/>
          <w:sz w:val="20"/>
        </w:rPr>
        <w:t>Les systèmes informatiques utilisés pour la gestion des classifications internationales et des normes seront améliorés et regroupés.  De nouveaux outils seront mis au point pour accroître l</w:t>
      </w:r>
      <w:r w:rsidR="00E2055A" w:rsidRPr="00A32AF4">
        <w:rPr>
          <w:rFonts w:ascii="Arial" w:hAnsi="Arial" w:cs="Arial"/>
          <w:color w:val="auto"/>
          <w:sz w:val="20"/>
        </w:rPr>
        <w:t>’</w:t>
      </w:r>
      <w:r w:rsidRPr="00A32AF4">
        <w:rPr>
          <w:rFonts w:ascii="Arial" w:hAnsi="Arial" w:cs="Arial"/>
          <w:color w:val="auto"/>
          <w:sz w:val="20"/>
        </w:rPr>
        <w:t>efficacité de la coopération internationale en matière de reclassification des documents de brevet.  Des systèmes de gestion de la révision seront élaborés pour les classifications de Nice, de Vienne et de Locarno afin de faciliter le contrôle des données correspondantes par l</w:t>
      </w:r>
      <w:r w:rsidR="00E2055A" w:rsidRPr="00A32AF4">
        <w:rPr>
          <w:rFonts w:ascii="Arial" w:hAnsi="Arial" w:cs="Arial"/>
          <w:color w:val="auto"/>
          <w:sz w:val="20"/>
        </w:rPr>
        <w:t>’</w:t>
      </w:r>
      <w:r w:rsidRPr="00A32AF4">
        <w:rPr>
          <w:rFonts w:ascii="Arial" w:hAnsi="Arial" w:cs="Arial"/>
          <w:color w:val="auto"/>
          <w:sz w:val="20"/>
        </w:rPr>
        <w:t>OMPI, de rendre plus efficaces les échanges avec les offices de propriété intellectuelle au cours du processus de révision et de favoriser la maîtrise des coûts et de l</w:t>
      </w:r>
      <w:r w:rsidR="00E2055A" w:rsidRPr="00A32AF4">
        <w:rPr>
          <w:rFonts w:ascii="Arial" w:hAnsi="Arial" w:cs="Arial"/>
          <w:color w:val="auto"/>
          <w:sz w:val="20"/>
        </w:rPr>
        <w:t>’</w:t>
      </w:r>
      <w:r w:rsidRPr="00A32AF4">
        <w:rPr>
          <w:rFonts w:ascii="Arial" w:hAnsi="Arial" w:cs="Arial"/>
          <w:color w:val="auto"/>
          <w:sz w:val="20"/>
        </w:rPr>
        <w:t>efficacité lors de la publication régulière des classifications.  La publication des normes et des résultats des enquêtes sera revue aux fins d</w:t>
      </w:r>
      <w:r w:rsidR="00E2055A" w:rsidRPr="00A32AF4">
        <w:rPr>
          <w:rFonts w:ascii="Arial" w:hAnsi="Arial" w:cs="Arial"/>
          <w:color w:val="auto"/>
          <w:sz w:val="20"/>
        </w:rPr>
        <w:t>’</w:t>
      </w:r>
      <w:r w:rsidRPr="00A32AF4">
        <w:rPr>
          <w:rFonts w:ascii="Arial" w:hAnsi="Arial" w:cs="Arial"/>
          <w:color w:val="auto"/>
          <w:sz w:val="20"/>
        </w:rPr>
        <w:t>une meilleure intégration dans les bases de données contenant les informations relatives à la propriété intellectuelle.</w:t>
      </w:r>
    </w:p>
    <w:p w:rsidR="00F93B76" w:rsidRPr="00A32AF4" w:rsidRDefault="00F93B76" w:rsidP="00DC0553">
      <w:pPr>
        <w:pStyle w:val="Body1"/>
        <w:jc w:val="both"/>
        <w:rPr>
          <w:rFonts w:ascii="Arial" w:hAnsi="Arial" w:cs="Arial"/>
          <w:color w:val="auto"/>
          <w:sz w:val="22"/>
          <w:szCs w:val="22"/>
        </w:rPr>
      </w:pPr>
    </w:p>
    <w:p w:rsidR="00E2055A" w:rsidRPr="00A32AF4" w:rsidRDefault="00893BAC" w:rsidP="00DC0553">
      <w:pPr>
        <w:pStyle w:val="Body1"/>
        <w:numPr>
          <w:ilvl w:val="0"/>
          <w:numId w:val="24"/>
        </w:numPr>
        <w:tabs>
          <w:tab w:val="left" w:pos="709"/>
        </w:tabs>
        <w:ind w:left="0" w:firstLine="0"/>
        <w:jc w:val="both"/>
        <w:rPr>
          <w:rFonts w:ascii="Arial" w:hAnsi="Arial" w:cs="Arial"/>
          <w:color w:val="auto"/>
          <w:sz w:val="20"/>
        </w:rPr>
      </w:pPr>
      <w:r w:rsidRPr="00A32AF4">
        <w:rPr>
          <w:rFonts w:ascii="Arial" w:hAnsi="Arial" w:cs="Arial"/>
          <w:color w:val="auto"/>
          <w:sz w:val="20"/>
        </w:rPr>
        <w:t>Le p</w:t>
      </w:r>
      <w:r w:rsidR="00464052" w:rsidRPr="00A32AF4">
        <w:rPr>
          <w:rFonts w:ascii="Arial" w:hAnsi="Arial" w:cs="Arial"/>
          <w:color w:val="auto"/>
          <w:sz w:val="20"/>
        </w:rPr>
        <w:t>rogram</w:t>
      </w:r>
      <w:r w:rsidRPr="00A32AF4">
        <w:rPr>
          <w:rFonts w:ascii="Arial" w:hAnsi="Arial" w:cs="Arial"/>
          <w:color w:val="auto"/>
          <w:sz w:val="20"/>
        </w:rPr>
        <w:t>me 12 collabore essentiellement avec les autres programmes indiqués ci</w:t>
      </w:r>
      <w:r w:rsidR="00EB7F54" w:rsidRPr="00A32AF4">
        <w:rPr>
          <w:rFonts w:ascii="Arial" w:hAnsi="Arial" w:cs="Arial"/>
          <w:color w:val="auto"/>
          <w:sz w:val="20"/>
        </w:rPr>
        <w:noBreakHyphen/>
      </w:r>
      <w:r w:rsidRPr="00A32AF4">
        <w:rPr>
          <w:rFonts w:ascii="Arial" w:hAnsi="Arial" w:cs="Arial"/>
          <w:color w:val="auto"/>
          <w:sz w:val="20"/>
        </w:rPr>
        <w:t>dessous </w:t>
      </w:r>
      <w:r w:rsidR="00464052" w:rsidRPr="00A32AF4">
        <w:rPr>
          <w:rFonts w:ascii="Arial" w:hAnsi="Arial" w:cs="Arial"/>
          <w:color w:val="auto"/>
          <w:sz w:val="20"/>
        </w:rPr>
        <w:t>:</w:t>
      </w:r>
    </w:p>
    <w:p w:rsidR="00F93B76" w:rsidRPr="00A32AF4" w:rsidRDefault="00F93B76" w:rsidP="00DC0553"/>
    <w:p w:rsidR="00F93B76" w:rsidRPr="00A32AF4" w:rsidRDefault="002C735C" w:rsidP="00DC0553">
      <w:r w:rsidRPr="00A32AF4">
        <w:rPr>
          <w:rFonts w:cs="Arial"/>
          <w:noProof/>
          <w:lang w:eastAsia="fr-FR"/>
        </w:rPr>
        <w:drawing>
          <wp:inline distT="0" distB="0" distL="0" distR="0" wp14:anchorId="21FB12A1" wp14:editId="38065F9D">
            <wp:extent cx="5760085" cy="1614805"/>
            <wp:effectExtent l="57150" t="19050" r="50165" b="61595"/>
            <wp:docPr id="76" name="Diagram 7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2" r:lo="rId113" r:qs="rId114" r:cs="rId115"/>
              </a:graphicData>
            </a:graphic>
          </wp:inline>
        </w:drawing>
      </w:r>
    </w:p>
    <w:p w:rsidR="00F93B76" w:rsidRPr="00A32AF4" w:rsidRDefault="00F93B76" w:rsidP="00DC0553"/>
    <w:p w:rsidR="00F93B76" w:rsidRPr="00A32AF4" w:rsidRDefault="00F93B76" w:rsidP="00DC0553"/>
    <w:p w:rsidR="00F93B76" w:rsidRPr="00A32AF4" w:rsidRDefault="00F25D6F" w:rsidP="00DC0553">
      <w:pPr>
        <w:keepNext/>
      </w:pPr>
      <w:r w:rsidRPr="00A32AF4">
        <w:t>PRINCIPAUX RISQUES ET STRATÉGIES D</w:t>
      </w:r>
      <w:r w:rsidR="00E2055A" w:rsidRPr="00A32AF4">
        <w:t>’</w:t>
      </w:r>
      <w:r w:rsidRPr="00A32AF4">
        <w:t>ATTÉNUATION</w:t>
      </w:r>
    </w:p>
    <w:p w:rsidR="00CD1430" w:rsidRPr="00A32AF4" w:rsidRDefault="00CD1430" w:rsidP="00DC0553">
      <w:pPr>
        <w:keepNext/>
      </w:pPr>
    </w:p>
    <w:tbl>
      <w:tblPr>
        <w:tblW w:w="9214"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253"/>
        <w:gridCol w:w="4961"/>
      </w:tblGrid>
      <w:tr w:rsidR="0038294E" w:rsidRPr="00A32AF4" w:rsidTr="007575E1">
        <w:trPr>
          <w:trHeight w:val="558"/>
        </w:trPr>
        <w:tc>
          <w:tcPr>
            <w:tcW w:w="4253" w:type="dxa"/>
            <w:tcBorders>
              <w:top w:val="single" w:sz="4" w:space="0" w:color="auto"/>
              <w:bottom w:val="single" w:sz="4" w:space="0" w:color="auto"/>
            </w:tcBorders>
            <w:shd w:val="clear" w:color="auto" w:fill="C6D9F1" w:themeFill="text2" w:themeFillTint="33"/>
            <w:vAlign w:val="center"/>
          </w:tcPr>
          <w:p w:rsidR="00CD1430" w:rsidRPr="00A32AF4" w:rsidRDefault="00CD1430" w:rsidP="00DC0553">
            <w:pPr>
              <w:keepNext/>
              <w:keepLines/>
              <w:jc w:val="center"/>
              <w:rPr>
                <w:b/>
                <w:bCs/>
                <w:sz w:val="18"/>
                <w:szCs w:val="18"/>
              </w:rPr>
            </w:pPr>
            <w:r w:rsidRPr="00A32AF4">
              <w:rPr>
                <w:b/>
                <w:bCs/>
                <w:sz w:val="18"/>
                <w:szCs w:val="18"/>
              </w:rPr>
              <w:t>Risque</w:t>
            </w:r>
            <w:r w:rsidR="00783124" w:rsidRPr="00A32AF4">
              <w:rPr>
                <w:b/>
                <w:bCs/>
                <w:sz w:val="18"/>
                <w:szCs w:val="18"/>
              </w:rPr>
              <w:t>s</w:t>
            </w:r>
          </w:p>
        </w:tc>
        <w:tc>
          <w:tcPr>
            <w:tcW w:w="4961" w:type="dxa"/>
            <w:tcBorders>
              <w:top w:val="single" w:sz="4" w:space="0" w:color="auto"/>
              <w:bottom w:val="single" w:sz="4" w:space="0" w:color="auto"/>
            </w:tcBorders>
            <w:shd w:val="clear" w:color="auto" w:fill="C6D9F1" w:themeFill="text2" w:themeFillTint="33"/>
            <w:vAlign w:val="center"/>
          </w:tcPr>
          <w:p w:rsidR="00CD1430" w:rsidRPr="00A32AF4" w:rsidRDefault="00FD3E7B" w:rsidP="00DC0553">
            <w:pPr>
              <w:keepNext/>
              <w:keepLines/>
              <w:jc w:val="center"/>
              <w:rPr>
                <w:b/>
                <w:bCs/>
                <w:sz w:val="18"/>
                <w:szCs w:val="18"/>
              </w:rPr>
            </w:pPr>
            <w:r w:rsidRPr="00A32AF4">
              <w:rPr>
                <w:b/>
                <w:bCs/>
                <w:sz w:val="18"/>
                <w:szCs w:val="18"/>
              </w:rPr>
              <w:t>Stratégie</w:t>
            </w:r>
            <w:r w:rsidR="00783124" w:rsidRPr="00A32AF4">
              <w:rPr>
                <w:b/>
                <w:bCs/>
                <w:sz w:val="18"/>
                <w:szCs w:val="18"/>
              </w:rPr>
              <w:t>s</w:t>
            </w:r>
            <w:r w:rsidRPr="00A32AF4">
              <w:rPr>
                <w:b/>
                <w:bCs/>
                <w:sz w:val="18"/>
                <w:szCs w:val="18"/>
              </w:rPr>
              <w:t xml:space="preserve"> d</w:t>
            </w:r>
            <w:r w:rsidR="00E2055A" w:rsidRPr="00A32AF4">
              <w:rPr>
                <w:b/>
                <w:bCs/>
                <w:sz w:val="18"/>
                <w:szCs w:val="18"/>
              </w:rPr>
              <w:t>’</w:t>
            </w:r>
            <w:r w:rsidRPr="00A32AF4">
              <w:rPr>
                <w:b/>
                <w:bCs/>
                <w:sz w:val="18"/>
                <w:szCs w:val="18"/>
              </w:rPr>
              <w:t>atténuation</w:t>
            </w:r>
          </w:p>
        </w:tc>
      </w:tr>
      <w:tr w:rsidR="0038294E" w:rsidRPr="00A32AF4" w:rsidTr="007575E1">
        <w:trPr>
          <w:trHeight w:val="145"/>
        </w:trPr>
        <w:tc>
          <w:tcPr>
            <w:tcW w:w="4253" w:type="dxa"/>
            <w:tcBorders>
              <w:top w:val="single" w:sz="4" w:space="0" w:color="auto"/>
              <w:left w:val="single" w:sz="4" w:space="0" w:color="auto"/>
              <w:bottom w:val="nil"/>
              <w:right w:val="nil"/>
            </w:tcBorders>
            <w:shd w:val="clear" w:color="auto" w:fill="auto"/>
            <w:tcMar>
              <w:top w:w="113" w:type="dxa"/>
              <w:bottom w:w="113" w:type="dxa"/>
            </w:tcMar>
          </w:tcPr>
          <w:p w:rsidR="00CD1430" w:rsidRPr="00A32AF4" w:rsidRDefault="00CD1430" w:rsidP="00DC0553">
            <w:pPr>
              <w:keepNext/>
              <w:keepLines/>
              <w:rPr>
                <w:sz w:val="16"/>
                <w:szCs w:val="16"/>
              </w:rPr>
            </w:pPr>
            <w:r w:rsidRPr="00A32AF4">
              <w:rPr>
                <w:sz w:val="16"/>
              </w:rPr>
              <w:t>Divergence d</w:t>
            </w:r>
            <w:r w:rsidR="00E2055A" w:rsidRPr="00A32AF4">
              <w:rPr>
                <w:sz w:val="16"/>
              </w:rPr>
              <w:t>’</w:t>
            </w:r>
            <w:r w:rsidRPr="00A32AF4">
              <w:rPr>
                <w:sz w:val="16"/>
              </w:rPr>
              <w:t>opinions entre groupes de pays qui freinera l</w:t>
            </w:r>
            <w:r w:rsidR="00E2055A" w:rsidRPr="00A32AF4">
              <w:rPr>
                <w:sz w:val="16"/>
              </w:rPr>
              <w:t>’</w:t>
            </w:r>
            <w:r w:rsidRPr="00A32AF4">
              <w:rPr>
                <w:sz w:val="16"/>
              </w:rPr>
              <w:t>élaboration sur le plan technique de normes et de classifications.</w:t>
            </w:r>
          </w:p>
        </w:tc>
        <w:tc>
          <w:tcPr>
            <w:tcW w:w="4961" w:type="dxa"/>
            <w:tcBorders>
              <w:top w:val="single" w:sz="4" w:space="0" w:color="auto"/>
              <w:left w:val="nil"/>
              <w:bottom w:val="nil"/>
              <w:right w:val="single" w:sz="4" w:space="0" w:color="auto"/>
            </w:tcBorders>
            <w:shd w:val="clear" w:color="auto" w:fill="auto"/>
            <w:tcMar>
              <w:top w:w="113" w:type="dxa"/>
              <w:bottom w:w="113" w:type="dxa"/>
            </w:tcMar>
          </w:tcPr>
          <w:p w:rsidR="00CD1430" w:rsidRPr="00A32AF4" w:rsidRDefault="00CD1430" w:rsidP="00DC0553">
            <w:pPr>
              <w:keepNext/>
              <w:keepLines/>
              <w:rPr>
                <w:sz w:val="16"/>
                <w:szCs w:val="16"/>
              </w:rPr>
            </w:pPr>
            <w:r w:rsidRPr="00A32AF4">
              <w:rPr>
                <w:sz w:val="16"/>
              </w:rPr>
              <w:t xml:space="preserve">Débattre des problèmes et les résoudre en dehors des comités </w:t>
            </w:r>
            <w:proofErr w:type="gramStart"/>
            <w:r w:rsidRPr="00A32AF4">
              <w:rPr>
                <w:sz w:val="16"/>
              </w:rPr>
              <w:t>techniques;</w:t>
            </w:r>
            <w:proofErr w:type="gramEnd"/>
            <w:r w:rsidRPr="00A32AF4">
              <w:rPr>
                <w:sz w:val="16"/>
              </w:rPr>
              <w:t xml:space="preserve">  renforcer les discussions techniques à l</w:t>
            </w:r>
            <w:r w:rsidR="00E2055A" w:rsidRPr="00A32AF4">
              <w:rPr>
                <w:sz w:val="16"/>
              </w:rPr>
              <w:t>’</w:t>
            </w:r>
            <w:r w:rsidRPr="00A32AF4">
              <w:rPr>
                <w:sz w:val="16"/>
              </w:rPr>
              <w:t xml:space="preserve">intérieur des comités;  suivre la mise en œuvre de plans à long terme.  </w:t>
            </w:r>
          </w:p>
        </w:tc>
      </w:tr>
      <w:tr w:rsidR="00CD1430" w:rsidRPr="00A32AF4" w:rsidTr="007575E1">
        <w:trPr>
          <w:trHeight w:val="145"/>
        </w:trPr>
        <w:tc>
          <w:tcPr>
            <w:tcW w:w="4253" w:type="dxa"/>
            <w:tcBorders>
              <w:top w:val="nil"/>
              <w:left w:val="single" w:sz="4" w:space="0" w:color="auto"/>
              <w:bottom w:val="single" w:sz="4" w:space="0" w:color="auto"/>
              <w:right w:val="nil"/>
            </w:tcBorders>
            <w:shd w:val="clear" w:color="auto" w:fill="auto"/>
            <w:tcMar>
              <w:top w:w="113" w:type="dxa"/>
              <w:bottom w:w="113" w:type="dxa"/>
            </w:tcMar>
          </w:tcPr>
          <w:p w:rsidR="00CD1430" w:rsidRPr="00A32AF4" w:rsidRDefault="00CD1430" w:rsidP="00DC0553">
            <w:pPr>
              <w:rPr>
                <w:sz w:val="16"/>
                <w:szCs w:val="16"/>
              </w:rPr>
            </w:pPr>
          </w:p>
        </w:tc>
        <w:tc>
          <w:tcPr>
            <w:tcW w:w="4961" w:type="dxa"/>
            <w:tcBorders>
              <w:top w:val="nil"/>
              <w:left w:val="nil"/>
              <w:bottom w:val="single" w:sz="4" w:space="0" w:color="auto"/>
              <w:right w:val="single" w:sz="4" w:space="0" w:color="auto"/>
            </w:tcBorders>
            <w:shd w:val="clear" w:color="auto" w:fill="auto"/>
            <w:tcMar>
              <w:top w:w="113" w:type="dxa"/>
              <w:bottom w:w="113" w:type="dxa"/>
            </w:tcMar>
          </w:tcPr>
          <w:p w:rsidR="00CD1430" w:rsidRPr="00A32AF4" w:rsidRDefault="00CD1430" w:rsidP="00DC0553">
            <w:pPr>
              <w:rPr>
                <w:sz w:val="16"/>
                <w:szCs w:val="16"/>
              </w:rPr>
            </w:pPr>
            <w:r w:rsidRPr="00A32AF4">
              <w:rPr>
                <w:sz w:val="16"/>
              </w:rPr>
              <w:t xml:space="preserve">Organiser des missions de formation dans les pays en développement, notamment au niveau régional, afin de mieux faire connaître les classifications et les </w:t>
            </w:r>
            <w:proofErr w:type="gramStart"/>
            <w:r w:rsidRPr="00A32AF4">
              <w:rPr>
                <w:sz w:val="16"/>
              </w:rPr>
              <w:t>normes;</w:t>
            </w:r>
            <w:proofErr w:type="gramEnd"/>
            <w:r w:rsidRPr="00A32AF4">
              <w:rPr>
                <w:sz w:val="16"/>
              </w:rPr>
              <w:t xml:space="preserve">  prendre en compte les besoins régionaux en matière d</w:t>
            </w:r>
            <w:r w:rsidR="00E2055A" w:rsidRPr="00A32AF4">
              <w:rPr>
                <w:sz w:val="16"/>
              </w:rPr>
              <w:t>’</w:t>
            </w:r>
            <w:r w:rsidRPr="00A32AF4">
              <w:rPr>
                <w:sz w:val="16"/>
              </w:rPr>
              <w:t>élaboration de classifications et de normes.</w:t>
            </w:r>
          </w:p>
        </w:tc>
      </w:tr>
    </w:tbl>
    <w:p w:rsidR="00F93B76" w:rsidRPr="00A32AF4" w:rsidRDefault="00F93B76" w:rsidP="00DC0553"/>
    <w:p w:rsidR="00F93B76" w:rsidRPr="00A32AF4" w:rsidRDefault="00F93B76" w:rsidP="00DC0553"/>
    <w:p w:rsidR="00F93B76" w:rsidRPr="00A32AF4" w:rsidRDefault="00F25D6F" w:rsidP="00DC0553">
      <w:r w:rsidRPr="00A32AF4">
        <w:t>TABLEAU DES RÉSULTATS</w:t>
      </w:r>
    </w:p>
    <w:p w:rsidR="00CD1430" w:rsidRPr="00A32AF4" w:rsidRDefault="00CD1430" w:rsidP="00DC0553">
      <w:pPr>
        <w:rPr>
          <w:rFonts w:cs="Arial"/>
        </w:rPr>
      </w:pPr>
    </w:p>
    <w:tbl>
      <w:tblPr>
        <w:tblW w:w="9280" w:type="dxa"/>
        <w:tblInd w:w="93" w:type="dxa"/>
        <w:tblLook w:val="04A0" w:firstRow="1" w:lastRow="0" w:firstColumn="1" w:lastColumn="0" w:noHBand="0" w:noVBand="1"/>
      </w:tblPr>
      <w:tblGrid>
        <w:gridCol w:w="2200"/>
        <w:gridCol w:w="2640"/>
        <w:gridCol w:w="2300"/>
        <w:gridCol w:w="2140"/>
      </w:tblGrid>
      <w:tr w:rsidR="0038294E" w:rsidRPr="00A32AF4" w:rsidTr="00F25D6F">
        <w:tc>
          <w:tcPr>
            <w:tcW w:w="2200" w:type="dxa"/>
            <w:tcBorders>
              <w:top w:val="single" w:sz="4" w:space="0" w:color="auto"/>
              <w:left w:val="single" w:sz="4" w:space="0" w:color="auto"/>
              <w:bottom w:val="single" w:sz="4" w:space="0" w:color="auto"/>
              <w:right w:val="nil"/>
            </w:tcBorders>
            <w:shd w:val="clear" w:color="auto" w:fill="C6D9F1" w:themeFill="text2" w:themeFillTint="33"/>
            <w:tcMar>
              <w:top w:w="113" w:type="dxa"/>
              <w:bottom w:w="113" w:type="dxa"/>
            </w:tcMar>
            <w:vAlign w:val="center"/>
            <w:hideMark/>
          </w:tcPr>
          <w:p w:rsidR="00CD1430" w:rsidRPr="00A32AF4" w:rsidRDefault="00CD1430" w:rsidP="00DC0553">
            <w:pPr>
              <w:keepNext/>
              <w:keepLines/>
              <w:jc w:val="center"/>
              <w:rPr>
                <w:b/>
                <w:bCs/>
                <w:sz w:val="18"/>
                <w:szCs w:val="18"/>
              </w:rPr>
            </w:pPr>
            <w:r w:rsidRPr="00A32AF4">
              <w:rPr>
                <w:rFonts w:eastAsia="SimSun"/>
                <w:b/>
                <w:bCs/>
                <w:sz w:val="18"/>
              </w:rPr>
              <w:t>Résultats escomptés</w:t>
            </w:r>
          </w:p>
        </w:tc>
        <w:tc>
          <w:tcPr>
            <w:tcW w:w="2640" w:type="dxa"/>
            <w:tcBorders>
              <w:top w:val="single" w:sz="4" w:space="0" w:color="auto"/>
              <w:left w:val="nil"/>
              <w:bottom w:val="single" w:sz="4" w:space="0" w:color="auto"/>
              <w:right w:val="nil"/>
            </w:tcBorders>
            <w:shd w:val="clear" w:color="auto" w:fill="C6D9F1" w:themeFill="text2" w:themeFillTint="33"/>
            <w:tcMar>
              <w:top w:w="113" w:type="dxa"/>
              <w:bottom w:w="113" w:type="dxa"/>
            </w:tcMar>
            <w:vAlign w:val="center"/>
            <w:hideMark/>
          </w:tcPr>
          <w:p w:rsidR="00CD1430" w:rsidRPr="00A32AF4" w:rsidRDefault="00CD1430" w:rsidP="00DC0553">
            <w:pPr>
              <w:keepNext/>
              <w:keepLines/>
              <w:jc w:val="center"/>
              <w:rPr>
                <w:b/>
                <w:bCs/>
                <w:sz w:val="18"/>
                <w:szCs w:val="18"/>
              </w:rPr>
            </w:pPr>
            <w:r w:rsidRPr="00A32AF4">
              <w:rPr>
                <w:rFonts w:eastAsia="SimSun"/>
                <w:b/>
                <w:bCs/>
                <w:sz w:val="18"/>
              </w:rPr>
              <w:t>Indicateurs d</w:t>
            </w:r>
            <w:r w:rsidR="00E2055A" w:rsidRPr="00A32AF4">
              <w:rPr>
                <w:rFonts w:eastAsia="SimSun"/>
                <w:b/>
                <w:bCs/>
                <w:sz w:val="18"/>
              </w:rPr>
              <w:t>’</w:t>
            </w:r>
            <w:r w:rsidRPr="00A32AF4">
              <w:rPr>
                <w:rFonts w:eastAsia="SimSun"/>
                <w:b/>
                <w:bCs/>
                <w:sz w:val="18"/>
              </w:rPr>
              <w:t>exécution</w:t>
            </w:r>
          </w:p>
        </w:tc>
        <w:tc>
          <w:tcPr>
            <w:tcW w:w="2300" w:type="dxa"/>
            <w:tcBorders>
              <w:top w:val="single" w:sz="4" w:space="0" w:color="auto"/>
              <w:left w:val="nil"/>
              <w:bottom w:val="single" w:sz="4" w:space="0" w:color="auto"/>
              <w:right w:val="nil"/>
            </w:tcBorders>
            <w:shd w:val="clear" w:color="auto" w:fill="C6D9F1" w:themeFill="text2" w:themeFillTint="33"/>
            <w:tcMar>
              <w:top w:w="113" w:type="dxa"/>
              <w:bottom w:w="113" w:type="dxa"/>
            </w:tcMar>
            <w:vAlign w:val="center"/>
            <w:hideMark/>
          </w:tcPr>
          <w:p w:rsidR="00CD1430" w:rsidRPr="00A32AF4" w:rsidRDefault="00CD1430" w:rsidP="00DC0553">
            <w:pPr>
              <w:keepNext/>
              <w:keepLines/>
              <w:jc w:val="center"/>
              <w:rPr>
                <w:b/>
                <w:bCs/>
                <w:sz w:val="18"/>
                <w:szCs w:val="18"/>
              </w:rPr>
            </w:pPr>
            <w:r w:rsidRPr="00A32AF4">
              <w:rPr>
                <w:rFonts w:eastAsia="SimSun"/>
                <w:b/>
                <w:bCs/>
                <w:sz w:val="18"/>
              </w:rPr>
              <w:t>Niveaux de référence</w:t>
            </w:r>
          </w:p>
        </w:tc>
        <w:tc>
          <w:tcPr>
            <w:tcW w:w="2140" w:type="dxa"/>
            <w:tcBorders>
              <w:top w:val="single" w:sz="4" w:space="0" w:color="auto"/>
              <w:left w:val="nil"/>
              <w:bottom w:val="single" w:sz="4" w:space="0" w:color="auto"/>
              <w:right w:val="single" w:sz="4" w:space="0" w:color="auto"/>
            </w:tcBorders>
            <w:shd w:val="clear" w:color="auto" w:fill="C6D9F1" w:themeFill="text2" w:themeFillTint="33"/>
            <w:tcMar>
              <w:top w:w="113" w:type="dxa"/>
              <w:bottom w:w="113" w:type="dxa"/>
            </w:tcMar>
            <w:vAlign w:val="center"/>
            <w:hideMark/>
          </w:tcPr>
          <w:p w:rsidR="00CD1430" w:rsidRPr="00A32AF4" w:rsidRDefault="00CD1430" w:rsidP="00DC0553">
            <w:pPr>
              <w:keepNext/>
              <w:keepLines/>
              <w:jc w:val="center"/>
              <w:rPr>
                <w:b/>
                <w:bCs/>
                <w:sz w:val="18"/>
                <w:szCs w:val="18"/>
              </w:rPr>
            </w:pPr>
            <w:r w:rsidRPr="00A32AF4">
              <w:rPr>
                <w:rFonts w:eastAsia="SimSun"/>
                <w:b/>
                <w:bCs/>
                <w:sz w:val="18"/>
              </w:rPr>
              <w:t>Objectifs visés</w:t>
            </w:r>
          </w:p>
        </w:tc>
      </w:tr>
      <w:tr w:rsidR="0038294E" w:rsidRPr="00A32AF4" w:rsidTr="00F25D6F">
        <w:tc>
          <w:tcPr>
            <w:tcW w:w="2200" w:type="dxa"/>
            <w:vMerge w:val="restart"/>
            <w:tcBorders>
              <w:top w:val="nil"/>
              <w:left w:val="single" w:sz="4" w:space="0" w:color="auto"/>
              <w:bottom w:val="single" w:sz="4" w:space="0" w:color="000000"/>
              <w:right w:val="nil"/>
            </w:tcBorders>
            <w:shd w:val="clear" w:color="000000" w:fill="FFFFFF"/>
            <w:tcMar>
              <w:top w:w="113" w:type="dxa"/>
              <w:bottom w:w="113" w:type="dxa"/>
            </w:tcMar>
            <w:hideMark/>
          </w:tcPr>
          <w:p w:rsidR="00CD1430" w:rsidRPr="00A32AF4" w:rsidRDefault="00CD1430" w:rsidP="00DC0553">
            <w:pPr>
              <w:keepNext/>
              <w:keepLines/>
              <w:rPr>
                <w:sz w:val="16"/>
                <w:szCs w:val="16"/>
              </w:rPr>
            </w:pPr>
            <w:r w:rsidRPr="00A32AF4">
              <w:rPr>
                <w:sz w:val="16"/>
                <w:szCs w:val="16"/>
              </w:rPr>
              <w:t xml:space="preserve">IV.1 </w:t>
            </w:r>
            <w:r w:rsidR="007A7F0D" w:rsidRPr="00A32AF4">
              <w:rPr>
                <w:rFonts w:cs="Arial"/>
                <w:sz w:val="16"/>
                <w:szCs w:val="16"/>
              </w:rPr>
              <w:t>Système actualisé et mondialement accepté des classifications internationales et des normes de l</w:t>
            </w:r>
            <w:r w:rsidR="00E2055A" w:rsidRPr="00A32AF4">
              <w:rPr>
                <w:rFonts w:cs="Arial"/>
                <w:sz w:val="16"/>
                <w:szCs w:val="16"/>
              </w:rPr>
              <w:t>’</w:t>
            </w:r>
            <w:r w:rsidR="007A7F0D" w:rsidRPr="00A32AF4">
              <w:rPr>
                <w:rFonts w:cs="Arial"/>
                <w:sz w:val="16"/>
                <w:szCs w:val="16"/>
              </w:rPr>
              <w:t>OMPI pour faciliter l</w:t>
            </w:r>
            <w:r w:rsidR="00E2055A" w:rsidRPr="00A32AF4">
              <w:rPr>
                <w:rFonts w:cs="Arial"/>
                <w:sz w:val="16"/>
                <w:szCs w:val="16"/>
              </w:rPr>
              <w:t>’</w:t>
            </w:r>
            <w:r w:rsidR="007A7F0D" w:rsidRPr="00A32AF4">
              <w:rPr>
                <w:rFonts w:cs="Arial"/>
                <w:sz w:val="16"/>
                <w:szCs w:val="16"/>
              </w:rPr>
              <w:t>accès des parties prenantes du monde entier à l</w:t>
            </w:r>
            <w:r w:rsidR="00E2055A" w:rsidRPr="00A32AF4">
              <w:rPr>
                <w:rFonts w:cs="Arial"/>
                <w:sz w:val="16"/>
                <w:szCs w:val="16"/>
              </w:rPr>
              <w:t>’</w:t>
            </w:r>
            <w:r w:rsidR="007A7F0D" w:rsidRPr="00A32AF4">
              <w:rPr>
                <w:rFonts w:cs="Arial"/>
                <w:sz w:val="16"/>
                <w:szCs w:val="16"/>
              </w:rPr>
              <w:t>information en matière de propriété intellectuelle, ainsi que son utilisation et sa diffusion</w:t>
            </w:r>
          </w:p>
        </w:tc>
        <w:tc>
          <w:tcPr>
            <w:tcW w:w="2640" w:type="dxa"/>
            <w:tcBorders>
              <w:top w:val="nil"/>
              <w:left w:val="nil"/>
              <w:bottom w:val="nil"/>
              <w:right w:val="nil"/>
            </w:tcBorders>
            <w:shd w:val="clear" w:color="000000" w:fill="FFFFFF"/>
            <w:tcMar>
              <w:top w:w="113" w:type="dxa"/>
              <w:bottom w:w="113" w:type="dxa"/>
            </w:tcMar>
            <w:hideMark/>
          </w:tcPr>
          <w:p w:rsidR="00CD1430" w:rsidRPr="00A32AF4" w:rsidRDefault="00CD1430" w:rsidP="00DC0553">
            <w:pPr>
              <w:keepNext/>
              <w:keepLines/>
              <w:rPr>
                <w:sz w:val="16"/>
                <w:szCs w:val="16"/>
              </w:rPr>
            </w:pPr>
            <w:r w:rsidRPr="00A32AF4">
              <w:rPr>
                <w:sz w:val="16"/>
                <w:szCs w:val="16"/>
              </w:rPr>
              <w:t>Nombre de modifications et de dossiers d</w:t>
            </w:r>
            <w:r w:rsidR="00E2055A" w:rsidRPr="00A32AF4">
              <w:rPr>
                <w:sz w:val="16"/>
                <w:szCs w:val="16"/>
              </w:rPr>
              <w:t>’</w:t>
            </w:r>
            <w:r w:rsidRPr="00A32AF4">
              <w:rPr>
                <w:sz w:val="16"/>
                <w:szCs w:val="16"/>
              </w:rPr>
              <w:t>information introduits dans la classification de Nice</w:t>
            </w:r>
          </w:p>
        </w:tc>
        <w:tc>
          <w:tcPr>
            <w:tcW w:w="2300" w:type="dxa"/>
            <w:tcBorders>
              <w:top w:val="nil"/>
              <w:left w:val="nil"/>
              <w:bottom w:val="nil"/>
              <w:right w:val="nil"/>
            </w:tcBorders>
            <w:shd w:val="clear" w:color="000000" w:fill="FFFFFF"/>
            <w:tcMar>
              <w:top w:w="113" w:type="dxa"/>
              <w:bottom w:w="113" w:type="dxa"/>
            </w:tcMar>
            <w:hideMark/>
          </w:tcPr>
          <w:p w:rsidR="00CD1430" w:rsidRPr="00A32AF4" w:rsidRDefault="00CD1430" w:rsidP="00DC0553">
            <w:pPr>
              <w:keepNext/>
              <w:keepLines/>
              <w:rPr>
                <w:sz w:val="16"/>
                <w:szCs w:val="16"/>
              </w:rPr>
            </w:pPr>
            <w:r w:rsidRPr="00A32AF4">
              <w:rPr>
                <w:sz w:val="16"/>
                <w:szCs w:val="16"/>
              </w:rPr>
              <w:t xml:space="preserve">570 modifications en anglais et en français, </w:t>
            </w:r>
            <w:r w:rsidRPr="00A32AF4">
              <w:rPr>
                <w:sz w:val="16"/>
                <w:szCs w:val="16"/>
              </w:rPr>
              <w:br/>
              <w:t>50 dossiers d</w:t>
            </w:r>
            <w:r w:rsidR="00E2055A" w:rsidRPr="00A32AF4">
              <w:rPr>
                <w:sz w:val="16"/>
                <w:szCs w:val="16"/>
              </w:rPr>
              <w:t>’</w:t>
            </w:r>
            <w:r w:rsidRPr="00A32AF4">
              <w:rPr>
                <w:sz w:val="16"/>
                <w:szCs w:val="16"/>
              </w:rPr>
              <w:t>information nouveaux ou modifiés (2014)</w:t>
            </w:r>
          </w:p>
        </w:tc>
        <w:tc>
          <w:tcPr>
            <w:tcW w:w="2140" w:type="dxa"/>
            <w:tcBorders>
              <w:top w:val="nil"/>
              <w:left w:val="nil"/>
              <w:bottom w:val="nil"/>
              <w:right w:val="single" w:sz="4" w:space="0" w:color="auto"/>
            </w:tcBorders>
            <w:shd w:val="clear" w:color="000000" w:fill="FFFFFF"/>
            <w:tcMar>
              <w:top w:w="113" w:type="dxa"/>
              <w:bottom w:w="113" w:type="dxa"/>
            </w:tcMar>
            <w:hideMark/>
          </w:tcPr>
          <w:p w:rsidR="00CD1430" w:rsidRPr="00A32AF4" w:rsidRDefault="00CD1430" w:rsidP="00DC0553">
            <w:pPr>
              <w:keepNext/>
              <w:keepLines/>
              <w:rPr>
                <w:sz w:val="16"/>
                <w:szCs w:val="16"/>
              </w:rPr>
            </w:pPr>
            <w:r w:rsidRPr="00A32AF4">
              <w:rPr>
                <w:sz w:val="16"/>
                <w:szCs w:val="16"/>
              </w:rPr>
              <w:t>Hausse par rapport au niveau de référence</w:t>
            </w:r>
          </w:p>
        </w:tc>
      </w:tr>
      <w:tr w:rsidR="0038294E" w:rsidRPr="00A32AF4" w:rsidTr="00F25D6F">
        <w:tc>
          <w:tcPr>
            <w:tcW w:w="2200" w:type="dxa"/>
            <w:vMerge/>
            <w:tcBorders>
              <w:top w:val="nil"/>
              <w:left w:val="single" w:sz="4" w:space="0" w:color="auto"/>
              <w:bottom w:val="single" w:sz="4" w:space="0" w:color="000000"/>
              <w:right w:val="nil"/>
            </w:tcBorders>
            <w:tcMar>
              <w:top w:w="113" w:type="dxa"/>
              <w:bottom w:w="113" w:type="dxa"/>
            </w:tcMar>
            <w:vAlign w:val="center"/>
            <w:hideMark/>
          </w:tcPr>
          <w:p w:rsidR="00CD1430" w:rsidRPr="00A32AF4" w:rsidRDefault="00CD1430" w:rsidP="00DC0553">
            <w:pPr>
              <w:keepNext/>
              <w:keepLines/>
              <w:rPr>
                <w:sz w:val="16"/>
                <w:szCs w:val="16"/>
              </w:rPr>
            </w:pPr>
          </w:p>
        </w:tc>
        <w:tc>
          <w:tcPr>
            <w:tcW w:w="2640" w:type="dxa"/>
            <w:tcBorders>
              <w:top w:val="nil"/>
              <w:left w:val="nil"/>
              <w:bottom w:val="nil"/>
              <w:right w:val="nil"/>
            </w:tcBorders>
            <w:shd w:val="clear" w:color="000000" w:fill="FFFFFF"/>
            <w:tcMar>
              <w:top w:w="113" w:type="dxa"/>
              <w:bottom w:w="113" w:type="dxa"/>
            </w:tcMar>
            <w:hideMark/>
          </w:tcPr>
          <w:p w:rsidR="00CD1430" w:rsidRPr="00A32AF4" w:rsidRDefault="00CD1430" w:rsidP="00DC0553">
            <w:pPr>
              <w:keepNext/>
              <w:keepLines/>
              <w:rPr>
                <w:sz w:val="16"/>
                <w:szCs w:val="16"/>
              </w:rPr>
            </w:pPr>
            <w:r w:rsidRPr="00A32AF4">
              <w:rPr>
                <w:sz w:val="16"/>
                <w:szCs w:val="16"/>
              </w:rPr>
              <w:t>Nombre de nouvelles subdivisions introduites sur un an dans la CIB</w:t>
            </w:r>
          </w:p>
        </w:tc>
        <w:tc>
          <w:tcPr>
            <w:tcW w:w="2300" w:type="dxa"/>
            <w:tcBorders>
              <w:top w:val="nil"/>
              <w:left w:val="nil"/>
              <w:bottom w:val="nil"/>
              <w:right w:val="nil"/>
            </w:tcBorders>
            <w:shd w:val="clear" w:color="000000" w:fill="FFFFFF"/>
            <w:tcMar>
              <w:top w:w="113" w:type="dxa"/>
              <w:bottom w:w="113" w:type="dxa"/>
            </w:tcMar>
            <w:hideMark/>
          </w:tcPr>
          <w:p w:rsidR="00CD1430" w:rsidRPr="00A32AF4" w:rsidRDefault="00CD1430" w:rsidP="00DC0553">
            <w:pPr>
              <w:keepNext/>
              <w:keepLines/>
              <w:rPr>
                <w:sz w:val="16"/>
                <w:szCs w:val="16"/>
              </w:rPr>
            </w:pPr>
            <w:r w:rsidRPr="00A32AF4">
              <w:rPr>
                <w:sz w:val="16"/>
                <w:szCs w:val="16"/>
              </w:rPr>
              <w:t>337 nouveaux groupes (2014)</w:t>
            </w:r>
          </w:p>
        </w:tc>
        <w:tc>
          <w:tcPr>
            <w:tcW w:w="2140" w:type="dxa"/>
            <w:tcBorders>
              <w:top w:val="nil"/>
              <w:left w:val="nil"/>
              <w:bottom w:val="nil"/>
              <w:right w:val="single" w:sz="4" w:space="0" w:color="auto"/>
            </w:tcBorders>
            <w:shd w:val="clear" w:color="000000" w:fill="FFFFFF"/>
            <w:tcMar>
              <w:top w:w="113" w:type="dxa"/>
              <w:bottom w:w="113" w:type="dxa"/>
            </w:tcMar>
            <w:hideMark/>
          </w:tcPr>
          <w:p w:rsidR="00CD1430" w:rsidRPr="00A32AF4" w:rsidRDefault="00CD1430" w:rsidP="00DC0553">
            <w:pPr>
              <w:keepNext/>
              <w:keepLines/>
              <w:rPr>
                <w:sz w:val="16"/>
                <w:szCs w:val="16"/>
              </w:rPr>
            </w:pPr>
            <w:r w:rsidRPr="00A32AF4">
              <w:rPr>
                <w:sz w:val="16"/>
                <w:szCs w:val="16"/>
              </w:rPr>
              <w:t>Hausse par rapport au niveau de référence</w:t>
            </w:r>
          </w:p>
        </w:tc>
      </w:tr>
      <w:tr w:rsidR="0038294E" w:rsidRPr="00A32AF4" w:rsidTr="00F25D6F">
        <w:tc>
          <w:tcPr>
            <w:tcW w:w="2200" w:type="dxa"/>
            <w:vMerge/>
            <w:tcBorders>
              <w:top w:val="nil"/>
              <w:left w:val="single" w:sz="4" w:space="0" w:color="auto"/>
              <w:bottom w:val="single" w:sz="4" w:space="0" w:color="000000"/>
              <w:right w:val="nil"/>
            </w:tcBorders>
            <w:tcMar>
              <w:top w:w="113" w:type="dxa"/>
              <w:bottom w:w="113" w:type="dxa"/>
            </w:tcMar>
            <w:vAlign w:val="center"/>
            <w:hideMark/>
          </w:tcPr>
          <w:p w:rsidR="00CD1430" w:rsidRPr="00A32AF4" w:rsidRDefault="00CD1430" w:rsidP="00DC0553">
            <w:pPr>
              <w:rPr>
                <w:sz w:val="16"/>
                <w:szCs w:val="16"/>
              </w:rPr>
            </w:pPr>
          </w:p>
        </w:tc>
        <w:tc>
          <w:tcPr>
            <w:tcW w:w="2640" w:type="dxa"/>
            <w:tcBorders>
              <w:top w:val="nil"/>
              <w:left w:val="nil"/>
              <w:bottom w:val="nil"/>
              <w:right w:val="nil"/>
            </w:tcBorders>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Nombre de normes modifiées et nouvelles adoptées</w:t>
            </w:r>
          </w:p>
        </w:tc>
        <w:tc>
          <w:tcPr>
            <w:tcW w:w="2300" w:type="dxa"/>
            <w:tcBorders>
              <w:top w:val="nil"/>
              <w:left w:val="nil"/>
              <w:bottom w:val="nil"/>
              <w:right w:val="nil"/>
            </w:tcBorders>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Deux nouvelles normes (2014)</w:t>
            </w:r>
          </w:p>
        </w:tc>
        <w:tc>
          <w:tcPr>
            <w:tcW w:w="2140" w:type="dxa"/>
            <w:tcBorders>
              <w:top w:val="nil"/>
              <w:left w:val="nil"/>
              <w:bottom w:val="nil"/>
              <w:right w:val="single" w:sz="4" w:space="0" w:color="auto"/>
            </w:tcBorders>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Hausse par rapport au niveau de référence</w:t>
            </w:r>
          </w:p>
        </w:tc>
      </w:tr>
      <w:tr w:rsidR="0038294E" w:rsidRPr="00A32AF4" w:rsidTr="00F25D6F">
        <w:tc>
          <w:tcPr>
            <w:tcW w:w="2200" w:type="dxa"/>
            <w:vMerge/>
            <w:tcBorders>
              <w:top w:val="nil"/>
              <w:left w:val="single" w:sz="4" w:space="0" w:color="auto"/>
              <w:bottom w:val="single" w:sz="4" w:space="0" w:color="000000"/>
              <w:right w:val="nil"/>
            </w:tcBorders>
            <w:tcMar>
              <w:top w:w="113" w:type="dxa"/>
              <w:bottom w:w="113" w:type="dxa"/>
            </w:tcMar>
            <w:vAlign w:val="center"/>
            <w:hideMark/>
          </w:tcPr>
          <w:p w:rsidR="00CD1430" w:rsidRPr="00A32AF4" w:rsidRDefault="00CD1430" w:rsidP="00DC0553">
            <w:pPr>
              <w:rPr>
                <w:sz w:val="16"/>
                <w:szCs w:val="16"/>
              </w:rPr>
            </w:pPr>
          </w:p>
        </w:tc>
        <w:tc>
          <w:tcPr>
            <w:tcW w:w="2640" w:type="dxa"/>
            <w:tcBorders>
              <w:top w:val="nil"/>
              <w:left w:val="nil"/>
              <w:bottom w:val="single" w:sz="4" w:space="0" w:color="auto"/>
              <w:right w:val="nil"/>
            </w:tcBorders>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Nombre d</w:t>
            </w:r>
            <w:r w:rsidR="00E2055A" w:rsidRPr="00A32AF4">
              <w:rPr>
                <w:sz w:val="16"/>
                <w:szCs w:val="16"/>
              </w:rPr>
              <w:t>’</w:t>
            </w:r>
            <w:r w:rsidRPr="00A32AF4">
              <w:rPr>
                <w:sz w:val="16"/>
                <w:szCs w:val="16"/>
              </w:rPr>
              <w:t>utilisateurs consultant les publications sur l</w:t>
            </w:r>
            <w:r w:rsidR="00E2055A" w:rsidRPr="00A32AF4">
              <w:rPr>
                <w:sz w:val="16"/>
                <w:szCs w:val="16"/>
              </w:rPr>
              <w:t>’</w:t>
            </w:r>
            <w:r w:rsidRPr="00A32AF4">
              <w:rPr>
                <w:sz w:val="16"/>
                <w:szCs w:val="16"/>
              </w:rPr>
              <w:t>Internet des classifications internationales et des normes, notamment dans les pays en développement</w:t>
            </w:r>
          </w:p>
        </w:tc>
        <w:tc>
          <w:tcPr>
            <w:tcW w:w="2300" w:type="dxa"/>
            <w:tcBorders>
              <w:top w:val="nil"/>
              <w:left w:val="nil"/>
              <w:bottom w:val="single" w:sz="4" w:space="0" w:color="auto"/>
              <w:right w:val="nil"/>
            </w:tcBorders>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Page Nice : 2 587 788</w:t>
            </w:r>
            <w:r w:rsidRPr="00A32AF4">
              <w:rPr>
                <w:sz w:val="16"/>
                <w:szCs w:val="16"/>
              </w:rPr>
              <w:br/>
              <w:t>Page Locarno : 44 557</w:t>
            </w:r>
            <w:r w:rsidRPr="00A32AF4">
              <w:rPr>
                <w:sz w:val="16"/>
                <w:szCs w:val="16"/>
              </w:rPr>
              <w:br/>
              <w:t>Page Vienne : 29 596</w:t>
            </w:r>
            <w:r w:rsidRPr="00A32AF4">
              <w:rPr>
                <w:sz w:val="16"/>
                <w:szCs w:val="16"/>
              </w:rPr>
              <w:br/>
              <w:t>Publication CIB : 1 170 000</w:t>
            </w:r>
            <w:r w:rsidRPr="00A32AF4">
              <w:rPr>
                <w:sz w:val="16"/>
                <w:szCs w:val="16"/>
              </w:rPr>
              <w:br/>
              <w:t>Normes de l</w:t>
            </w:r>
            <w:r w:rsidR="00E2055A" w:rsidRPr="00A32AF4">
              <w:rPr>
                <w:sz w:val="16"/>
                <w:szCs w:val="16"/>
              </w:rPr>
              <w:t>’</w:t>
            </w:r>
            <w:r w:rsidRPr="00A32AF4">
              <w:rPr>
                <w:sz w:val="16"/>
                <w:szCs w:val="16"/>
              </w:rPr>
              <w:t>OMPI (Manuel) : 66 399</w:t>
            </w:r>
          </w:p>
        </w:tc>
        <w:tc>
          <w:tcPr>
            <w:tcW w:w="2140" w:type="dxa"/>
            <w:tcBorders>
              <w:top w:val="nil"/>
              <w:left w:val="nil"/>
              <w:bottom w:val="single" w:sz="4" w:space="0" w:color="auto"/>
              <w:right w:val="single" w:sz="4" w:space="0" w:color="auto"/>
            </w:tcBorders>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 xml:space="preserve">Hausse de 5% par rapport au niveau de référence </w:t>
            </w:r>
          </w:p>
        </w:tc>
      </w:tr>
    </w:tbl>
    <w:p w:rsidR="00F93B76" w:rsidRPr="00A32AF4" w:rsidRDefault="00F93B76" w:rsidP="00DC0553">
      <w:pPr>
        <w:pStyle w:val="Body1"/>
        <w:rPr>
          <w:rFonts w:ascii="Arial" w:hAnsi="Arial" w:cs="Arial"/>
          <w:color w:val="auto"/>
          <w:sz w:val="20"/>
        </w:rPr>
      </w:pPr>
    </w:p>
    <w:p w:rsidR="00F93B76" w:rsidRPr="00A32AF4" w:rsidRDefault="00F93B76" w:rsidP="00DC0553">
      <w:pPr>
        <w:pStyle w:val="Body1"/>
        <w:rPr>
          <w:rFonts w:ascii="Arial" w:hAnsi="Arial" w:cs="Arial"/>
          <w:color w:val="auto"/>
          <w:sz w:val="20"/>
        </w:rPr>
      </w:pPr>
    </w:p>
    <w:p w:rsidR="00F93B76" w:rsidRPr="00A32AF4" w:rsidRDefault="00DC2AF7" w:rsidP="00DC0553">
      <w:pPr>
        <w:pStyle w:val="Body1"/>
        <w:rPr>
          <w:rFonts w:ascii="Arial" w:hAnsi="Arial" w:cs="Arial"/>
          <w:color w:val="auto"/>
          <w:sz w:val="20"/>
        </w:rPr>
      </w:pPr>
      <w:r w:rsidRPr="00A32AF4">
        <w:rPr>
          <w:rFonts w:ascii="Arial" w:hAnsi="Arial" w:cs="Arial"/>
          <w:color w:val="auto"/>
          <w:sz w:val="20"/>
        </w:rPr>
        <w:t>RESSOURCES ALLOUÉES AU PROGRAMME</w:t>
      </w:r>
      <w:r w:rsidR="007A7F0D" w:rsidRPr="00A32AF4">
        <w:rPr>
          <w:rFonts w:ascii="Arial" w:hAnsi="Arial" w:cs="Arial"/>
          <w:color w:val="auto"/>
          <w:sz w:val="20"/>
        </w:rPr>
        <w:t xml:space="preserve"> 12</w:t>
      </w:r>
    </w:p>
    <w:p w:rsidR="00F93B76" w:rsidRPr="00A32AF4" w:rsidRDefault="00F93B76" w:rsidP="00DC0553">
      <w:pPr>
        <w:pStyle w:val="Body1"/>
        <w:rPr>
          <w:rFonts w:ascii="Arial" w:hAnsi="Arial" w:cs="Arial"/>
          <w:color w:val="auto"/>
          <w:sz w:val="20"/>
        </w:rPr>
      </w:pPr>
    </w:p>
    <w:p w:rsidR="00F93B76" w:rsidRPr="00A32AF4" w:rsidRDefault="00B70087" w:rsidP="00DC0553">
      <w:pPr>
        <w:pStyle w:val="CommentText"/>
        <w:numPr>
          <w:ilvl w:val="0"/>
          <w:numId w:val="24"/>
        </w:numPr>
        <w:tabs>
          <w:tab w:val="left" w:pos="709"/>
        </w:tabs>
        <w:ind w:left="0" w:firstLine="0"/>
        <w:jc w:val="both"/>
        <w:rPr>
          <w:rFonts w:cs="Arial"/>
        </w:rPr>
      </w:pPr>
      <w:r w:rsidRPr="00A32AF4">
        <w:rPr>
          <w:rFonts w:cs="Arial"/>
        </w:rPr>
        <w:t xml:space="preserve">Une légère diminution peut être observée dans les ressources globales allouées au programme </w:t>
      </w:r>
      <w:r w:rsidR="00D20772" w:rsidRPr="00A32AF4">
        <w:rPr>
          <w:rFonts w:cs="Arial"/>
        </w:rPr>
        <w:t>en</w:t>
      </w:r>
      <w:r w:rsidR="00FD43E3" w:rsidRPr="00A32AF4">
        <w:rPr>
          <w:rFonts w:cs="Arial"/>
        </w:rPr>
        <w:t> </w:t>
      </w:r>
      <w:r w:rsidR="007A7F0D" w:rsidRPr="00A32AF4">
        <w:rPr>
          <w:rFonts w:cs="Arial"/>
        </w:rPr>
        <w:t>2016</w:t>
      </w:r>
      <w:r w:rsidR="00EB7F54" w:rsidRPr="00A32AF4">
        <w:rPr>
          <w:rFonts w:cs="Arial"/>
        </w:rPr>
        <w:noBreakHyphen/>
      </w:r>
      <w:r w:rsidRPr="00A32AF4">
        <w:rPr>
          <w:rFonts w:cs="Arial"/>
        </w:rPr>
        <w:t>20</w:t>
      </w:r>
      <w:r w:rsidR="007A7F0D" w:rsidRPr="00A32AF4">
        <w:rPr>
          <w:rFonts w:cs="Arial"/>
        </w:rPr>
        <w:t xml:space="preserve">17 </w:t>
      </w:r>
      <w:r w:rsidRPr="00A32AF4">
        <w:rPr>
          <w:rFonts w:cs="Arial"/>
        </w:rPr>
        <w:t xml:space="preserve">par rapport au budget </w:t>
      </w:r>
      <w:r w:rsidR="007A7F0D" w:rsidRPr="00A32AF4">
        <w:rPr>
          <w:rFonts w:cs="Arial"/>
        </w:rPr>
        <w:t>2014</w:t>
      </w:r>
      <w:r w:rsidR="00EB7F54" w:rsidRPr="00A32AF4">
        <w:rPr>
          <w:rFonts w:cs="Arial"/>
        </w:rPr>
        <w:noBreakHyphen/>
      </w:r>
      <w:r w:rsidRPr="00A32AF4">
        <w:rPr>
          <w:rFonts w:cs="Arial"/>
        </w:rPr>
        <w:t>20</w:t>
      </w:r>
      <w:r w:rsidR="007A7F0D" w:rsidRPr="00A32AF4">
        <w:rPr>
          <w:rFonts w:cs="Arial"/>
        </w:rPr>
        <w:t xml:space="preserve">15 </w:t>
      </w:r>
      <w:r w:rsidRPr="00A32AF4">
        <w:rPr>
          <w:rFonts w:cs="Arial"/>
        </w:rPr>
        <w:t>après virements</w:t>
      </w:r>
      <w:r w:rsidR="007A7F0D" w:rsidRPr="00A32AF4">
        <w:rPr>
          <w:rFonts w:cs="Arial"/>
        </w:rPr>
        <w:t xml:space="preserve">.  </w:t>
      </w:r>
      <w:r w:rsidRPr="00A32AF4">
        <w:rPr>
          <w:rFonts w:cs="Arial"/>
        </w:rPr>
        <w:t xml:space="preserve">Les autres dépenses sont maintenues au niveau du budget </w:t>
      </w:r>
      <w:r w:rsidR="007A7F0D" w:rsidRPr="00A32AF4">
        <w:rPr>
          <w:rFonts w:eastAsia="Arial Unicode MS" w:cs="Arial"/>
        </w:rPr>
        <w:t>2014</w:t>
      </w:r>
      <w:r w:rsidR="00EB7F54" w:rsidRPr="00A32AF4">
        <w:rPr>
          <w:rFonts w:eastAsia="Arial Unicode MS" w:cs="Arial"/>
        </w:rPr>
        <w:noBreakHyphen/>
      </w:r>
      <w:r w:rsidRPr="00A32AF4">
        <w:rPr>
          <w:rFonts w:eastAsia="Arial Unicode MS" w:cs="Arial"/>
        </w:rPr>
        <w:t>20</w:t>
      </w:r>
      <w:r w:rsidR="007A7F0D" w:rsidRPr="00A32AF4">
        <w:rPr>
          <w:rFonts w:eastAsia="Arial Unicode MS" w:cs="Arial"/>
        </w:rPr>
        <w:t xml:space="preserve">15 </w:t>
      </w:r>
      <w:r w:rsidRPr="00A32AF4">
        <w:rPr>
          <w:rFonts w:cs="Arial"/>
        </w:rPr>
        <w:t>après virements</w:t>
      </w:r>
      <w:r w:rsidR="007A7F0D" w:rsidRPr="00A32AF4">
        <w:rPr>
          <w:rFonts w:cs="Arial"/>
        </w:rPr>
        <w:t xml:space="preserve">.  </w:t>
      </w:r>
      <w:r w:rsidRPr="00A32AF4">
        <w:rPr>
          <w:rFonts w:cs="Arial"/>
        </w:rPr>
        <w:t>La diminution des dépenses de personnel découle du transfert d</w:t>
      </w:r>
      <w:r w:rsidR="00E2055A" w:rsidRPr="00A32AF4">
        <w:rPr>
          <w:rFonts w:cs="Arial"/>
        </w:rPr>
        <w:t>’</w:t>
      </w:r>
      <w:r w:rsidRPr="00A32AF4">
        <w:rPr>
          <w:rFonts w:cs="Arial"/>
        </w:rPr>
        <w:t>un poste au p</w:t>
      </w:r>
      <w:r w:rsidR="007A7F0D" w:rsidRPr="00A32AF4">
        <w:rPr>
          <w:rFonts w:cs="Arial"/>
        </w:rPr>
        <w:t>rogram</w:t>
      </w:r>
      <w:r w:rsidRPr="00A32AF4">
        <w:rPr>
          <w:rFonts w:cs="Arial"/>
        </w:rPr>
        <w:t>me</w:t>
      </w:r>
      <w:r w:rsidR="007A7F0D" w:rsidRPr="00A32AF4">
        <w:rPr>
          <w:rFonts w:cs="Arial"/>
        </w:rPr>
        <w:t xml:space="preserve"> 15 (Solutions </w:t>
      </w:r>
      <w:r w:rsidRPr="00A32AF4">
        <w:rPr>
          <w:rFonts w:cs="Arial"/>
        </w:rPr>
        <w:t>opérationnelles pour les offices de propriété intellectuelle</w:t>
      </w:r>
      <w:r w:rsidR="007A7F0D" w:rsidRPr="00A32AF4">
        <w:rPr>
          <w:rFonts w:cs="Arial"/>
        </w:rPr>
        <w:t xml:space="preserve">) </w:t>
      </w:r>
      <w:r w:rsidRPr="00A32AF4">
        <w:rPr>
          <w:rFonts w:cs="Arial"/>
        </w:rPr>
        <w:t>afin de renforcer l</w:t>
      </w:r>
      <w:r w:rsidR="00E2055A" w:rsidRPr="00A32AF4">
        <w:rPr>
          <w:rFonts w:cs="Arial"/>
        </w:rPr>
        <w:t>’</w:t>
      </w:r>
      <w:r w:rsidRPr="00A32AF4">
        <w:rPr>
          <w:rFonts w:cs="Arial"/>
        </w:rPr>
        <w:t xml:space="preserve">appui aux offices de propriété intellectuelle </w:t>
      </w:r>
      <w:r w:rsidR="00D20772" w:rsidRPr="00A32AF4">
        <w:rPr>
          <w:rFonts w:cs="Arial"/>
        </w:rPr>
        <w:t>au niveau mondial</w:t>
      </w:r>
      <w:r w:rsidR="007A7F0D" w:rsidRPr="00A32AF4">
        <w:rPr>
          <w:rFonts w:cs="Arial"/>
        </w:rPr>
        <w:t>.</w:t>
      </w:r>
    </w:p>
    <w:p w:rsidR="00F93B76" w:rsidRPr="00A32AF4" w:rsidRDefault="00F93B76" w:rsidP="00DC0553">
      <w:pPr>
        <w:pStyle w:val="Body1"/>
        <w:rPr>
          <w:rFonts w:ascii="Arial" w:hAnsi="Arial" w:cs="Arial"/>
          <w:color w:val="auto"/>
          <w:sz w:val="20"/>
        </w:rPr>
      </w:pPr>
    </w:p>
    <w:p w:rsidR="00F93B76" w:rsidRPr="00A32AF4" w:rsidRDefault="00F93B76" w:rsidP="00DC0553">
      <w:pPr>
        <w:pStyle w:val="Body1"/>
        <w:rPr>
          <w:rFonts w:ascii="Arial" w:hAnsi="Arial" w:cs="Arial"/>
          <w:color w:val="auto"/>
          <w:sz w:val="20"/>
        </w:rPr>
      </w:pPr>
    </w:p>
    <w:p w:rsidR="00F93B76" w:rsidRPr="00A32AF4" w:rsidRDefault="007A7F0D" w:rsidP="00DC0553">
      <w:pPr>
        <w:keepNext/>
        <w:keepLines/>
        <w:autoSpaceDE w:val="0"/>
        <w:autoSpaceDN w:val="0"/>
        <w:jc w:val="center"/>
        <w:rPr>
          <w:rFonts w:cs="Arial"/>
          <w:b/>
        </w:rPr>
      </w:pPr>
      <w:r w:rsidRPr="00A32AF4">
        <w:rPr>
          <w:rFonts w:cs="Arial"/>
          <w:b/>
        </w:rPr>
        <w:t>Programme 12 : ressources par résultat</w:t>
      </w:r>
    </w:p>
    <w:p w:rsidR="00F93B76" w:rsidRPr="00A32AF4" w:rsidRDefault="007A7F0D" w:rsidP="00DC0553">
      <w:pPr>
        <w:keepNext/>
        <w:keepLines/>
        <w:autoSpaceDE w:val="0"/>
        <w:autoSpaceDN w:val="0"/>
        <w:jc w:val="center"/>
        <w:rPr>
          <w:rFonts w:cs="Arial"/>
          <w:i/>
        </w:rPr>
      </w:pPr>
      <w:r w:rsidRPr="00A32AF4">
        <w:rPr>
          <w:rFonts w:cs="Arial"/>
          <w:i/>
        </w:rPr>
        <w:t>(</w:t>
      </w:r>
      <w:proofErr w:type="gramStart"/>
      <w:r w:rsidRPr="00A32AF4">
        <w:rPr>
          <w:rFonts w:cs="Arial"/>
          <w:i/>
        </w:rPr>
        <w:t>en</w:t>
      </w:r>
      <w:proofErr w:type="gramEnd"/>
      <w:r w:rsidRPr="00A32AF4">
        <w:rPr>
          <w:rFonts w:cs="Arial"/>
          <w:i/>
        </w:rPr>
        <w:t xml:space="preserve"> milliers de francs suisses)</w:t>
      </w:r>
    </w:p>
    <w:p w:rsidR="007A7F0D" w:rsidRPr="00A32AF4" w:rsidRDefault="007A7F0D" w:rsidP="00DC0553">
      <w:pPr>
        <w:keepNext/>
      </w:pPr>
    </w:p>
    <w:tbl>
      <w:tblPr>
        <w:tblW w:w="8980" w:type="dxa"/>
        <w:tblInd w:w="55" w:type="dxa"/>
        <w:tblCellMar>
          <w:left w:w="70" w:type="dxa"/>
          <w:right w:w="70" w:type="dxa"/>
        </w:tblCellMar>
        <w:tblLook w:val="04A0" w:firstRow="1" w:lastRow="0" w:firstColumn="1" w:lastColumn="0" w:noHBand="0" w:noVBand="1"/>
      </w:tblPr>
      <w:tblGrid>
        <w:gridCol w:w="520"/>
        <w:gridCol w:w="4500"/>
        <w:gridCol w:w="1260"/>
        <w:gridCol w:w="1440"/>
        <w:gridCol w:w="1260"/>
      </w:tblGrid>
      <w:tr w:rsidR="007A7F0D" w:rsidRPr="00A32AF4" w:rsidTr="007A7F0D">
        <w:tc>
          <w:tcPr>
            <w:tcW w:w="5020" w:type="dxa"/>
            <w:gridSpan w:val="2"/>
            <w:tcBorders>
              <w:top w:val="single" w:sz="4" w:space="0" w:color="auto"/>
              <w:left w:val="single" w:sz="4" w:space="0" w:color="auto"/>
              <w:bottom w:val="single" w:sz="4" w:space="0" w:color="auto"/>
              <w:right w:val="single" w:sz="4" w:space="0" w:color="000000"/>
            </w:tcBorders>
            <w:shd w:val="clear" w:color="000000" w:fill="C5D9F1"/>
            <w:noWrap/>
            <w:tcMar>
              <w:top w:w="113" w:type="dxa"/>
              <w:bottom w:w="113" w:type="dxa"/>
            </w:tcMar>
            <w:vAlign w:val="center"/>
            <w:hideMark/>
          </w:tcPr>
          <w:p w:rsidR="007A7F0D" w:rsidRPr="00A32AF4" w:rsidRDefault="007A7F0D" w:rsidP="00DC0553">
            <w:pPr>
              <w:jc w:val="center"/>
              <w:rPr>
                <w:rFonts w:cs="Arial"/>
                <w:i/>
                <w:iCs/>
                <w:sz w:val="16"/>
                <w:szCs w:val="16"/>
                <w:lang w:eastAsia="fr-FR"/>
              </w:rPr>
            </w:pPr>
            <w:r w:rsidRPr="00A32AF4">
              <w:rPr>
                <w:rFonts w:cs="Arial"/>
                <w:i/>
                <w:iCs/>
                <w:sz w:val="16"/>
                <w:szCs w:val="16"/>
                <w:lang w:eastAsia="fr-FR"/>
              </w:rPr>
              <w:t xml:space="preserve">Numéro et description du résultat escompté </w:t>
            </w:r>
          </w:p>
        </w:tc>
        <w:tc>
          <w:tcPr>
            <w:tcW w:w="126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7A7F0D" w:rsidRPr="00A32AF4" w:rsidRDefault="007A7F0D" w:rsidP="00DC0553">
            <w:pPr>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2014</w:t>
            </w:r>
            <w:r w:rsidR="00EB7F54" w:rsidRPr="00A32AF4">
              <w:rPr>
                <w:rFonts w:cs="Arial"/>
                <w:i/>
                <w:iCs/>
                <w:sz w:val="16"/>
                <w:szCs w:val="16"/>
                <w:lang w:eastAsia="fr-FR"/>
              </w:rPr>
              <w:noBreakHyphen/>
            </w:r>
            <w:r w:rsidRPr="00A32AF4">
              <w:rPr>
                <w:rFonts w:cs="Arial"/>
                <w:i/>
                <w:iCs/>
                <w:sz w:val="16"/>
                <w:szCs w:val="16"/>
                <w:lang w:eastAsia="fr-FR"/>
              </w:rPr>
              <w:t>2015 approuvé</w:t>
            </w:r>
          </w:p>
        </w:tc>
        <w:tc>
          <w:tcPr>
            <w:tcW w:w="144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7A7F0D" w:rsidRPr="00A32AF4" w:rsidRDefault="007A7F0D" w:rsidP="00DC0553">
            <w:pPr>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2014</w:t>
            </w:r>
            <w:r w:rsidR="00EB7F54" w:rsidRPr="00A32AF4">
              <w:rPr>
                <w:rFonts w:cs="Arial"/>
                <w:i/>
                <w:iCs/>
                <w:sz w:val="16"/>
                <w:szCs w:val="16"/>
                <w:lang w:eastAsia="fr-FR"/>
              </w:rPr>
              <w:noBreakHyphen/>
            </w:r>
            <w:r w:rsidRPr="00A32AF4">
              <w:rPr>
                <w:rFonts w:cs="Arial"/>
                <w:i/>
                <w:iCs/>
                <w:sz w:val="16"/>
                <w:szCs w:val="16"/>
                <w:lang w:eastAsia="fr-FR"/>
              </w:rPr>
              <w:t>2015 après virements</w:t>
            </w:r>
          </w:p>
        </w:tc>
        <w:tc>
          <w:tcPr>
            <w:tcW w:w="126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7A7F0D" w:rsidRPr="00A32AF4" w:rsidRDefault="007A7F0D" w:rsidP="00DC0553">
            <w:pPr>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2016</w:t>
            </w:r>
            <w:r w:rsidR="00EB7F54" w:rsidRPr="00A32AF4">
              <w:rPr>
                <w:rFonts w:cs="Arial"/>
                <w:i/>
                <w:iCs/>
                <w:sz w:val="16"/>
                <w:szCs w:val="16"/>
                <w:lang w:eastAsia="fr-FR"/>
              </w:rPr>
              <w:noBreakHyphen/>
            </w:r>
            <w:r w:rsidRPr="00A32AF4">
              <w:rPr>
                <w:rFonts w:cs="Arial"/>
                <w:i/>
                <w:iCs/>
                <w:sz w:val="16"/>
                <w:szCs w:val="16"/>
                <w:lang w:eastAsia="fr-FR"/>
              </w:rPr>
              <w:t>2017 proposé</w:t>
            </w:r>
          </w:p>
        </w:tc>
      </w:tr>
      <w:tr w:rsidR="007A7F0D" w:rsidRPr="00A32AF4" w:rsidTr="007A7F0D">
        <w:tc>
          <w:tcPr>
            <w:tcW w:w="520" w:type="dxa"/>
            <w:tcBorders>
              <w:top w:val="nil"/>
              <w:left w:val="single" w:sz="4" w:space="0" w:color="auto"/>
              <w:bottom w:val="nil"/>
              <w:right w:val="nil"/>
            </w:tcBorders>
            <w:shd w:val="clear" w:color="auto" w:fill="auto"/>
            <w:noWrap/>
            <w:tcMar>
              <w:top w:w="113" w:type="dxa"/>
              <w:bottom w:w="113" w:type="dxa"/>
            </w:tcMar>
            <w:vAlign w:val="center"/>
            <w:hideMark/>
          </w:tcPr>
          <w:p w:rsidR="007A7F0D" w:rsidRPr="00A32AF4" w:rsidRDefault="007A7F0D" w:rsidP="00DC0553">
            <w:pPr>
              <w:rPr>
                <w:rFonts w:cs="Arial"/>
                <w:sz w:val="16"/>
                <w:szCs w:val="16"/>
                <w:lang w:eastAsia="fr-FR"/>
              </w:rPr>
            </w:pPr>
            <w:r w:rsidRPr="00A32AF4">
              <w:rPr>
                <w:rFonts w:cs="Arial"/>
                <w:sz w:val="16"/>
                <w:szCs w:val="16"/>
                <w:lang w:eastAsia="fr-FR"/>
              </w:rPr>
              <w:t>IV.1</w:t>
            </w:r>
          </w:p>
        </w:tc>
        <w:tc>
          <w:tcPr>
            <w:tcW w:w="4500" w:type="dxa"/>
            <w:tcBorders>
              <w:top w:val="nil"/>
              <w:left w:val="nil"/>
              <w:bottom w:val="nil"/>
              <w:right w:val="nil"/>
            </w:tcBorders>
            <w:shd w:val="clear" w:color="auto" w:fill="auto"/>
            <w:tcMar>
              <w:top w:w="113" w:type="dxa"/>
              <w:bottom w:w="113" w:type="dxa"/>
            </w:tcMar>
            <w:vAlign w:val="center"/>
            <w:hideMark/>
          </w:tcPr>
          <w:p w:rsidR="007A7F0D" w:rsidRPr="00A32AF4" w:rsidRDefault="007A7F0D" w:rsidP="00DC0553">
            <w:pPr>
              <w:rPr>
                <w:rFonts w:cs="Arial"/>
                <w:sz w:val="16"/>
                <w:szCs w:val="16"/>
                <w:lang w:eastAsia="fr-FR"/>
              </w:rPr>
            </w:pPr>
            <w:r w:rsidRPr="00A32AF4">
              <w:rPr>
                <w:rFonts w:cs="Arial"/>
                <w:sz w:val="16"/>
                <w:szCs w:val="16"/>
                <w:lang w:eastAsia="fr-FR"/>
              </w:rPr>
              <w:t>Système actualisé et mondialement accepté des classifications internationales et des normes de l</w:t>
            </w:r>
            <w:r w:rsidR="00E2055A" w:rsidRPr="00A32AF4">
              <w:rPr>
                <w:rFonts w:cs="Arial"/>
                <w:sz w:val="16"/>
                <w:szCs w:val="16"/>
                <w:lang w:eastAsia="fr-FR"/>
              </w:rPr>
              <w:t>’</w:t>
            </w:r>
            <w:r w:rsidRPr="00A32AF4">
              <w:rPr>
                <w:rFonts w:cs="Arial"/>
                <w:sz w:val="16"/>
                <w:szCs w:val="16"/>
                <w:lang w:eastAsia="fr-FR"/>
              </w:rPr>
              <w:t>OMPI pour faciliter l</w:t>
            </w:r>
            <w:r w:rsidR="00E2055A" w:rsidRPr="00A32AF4">
              <w:rPr>
                <w:rFonts w:cs="Arial"/>
                <w:sz w:val="16"/>
                <w:szCs w:val="16"/>
                <w:lang w:eastAsia="fr-FR"/>
              </w:rPr>
              <w:t>’</w:t>
            </w:r>
            <w:r w:rsidRPr="00A32AF4">
              <w:rPr>
                <w:rFonts w:cs="Arial"/>
                <w:sz w:val="16"/>
                <w:szCs w:val="16"/>
                <w:lang w:eastAsia="fr-FR"/>
              </w:rPr>
              <w:t>accès des parties prenantes du monde entier à l</w:t>
            </w:r>
            <w:r w:rsidR="00E2055A" w:rsidRPr="00A32AF4">
              <w:rPr>
                <w:rFonts w:cs="Arial"/>
                <w:sz w:val="16"/>
                <w:szCs w:val="16"/>
                <w:lang w:eastAsia="fr-FR"/>
              </w:rPr>
              <w:t>’</w:t>
            </w:r>
            <w:r w:rsidRPr="00A32AF4">
              <w:rPr>
                <w:rFonts w:cs="Arial"/>
                <w:sz w:val="16"/>
                <w:szCs w:val="16"/>
                <w:lang w:eastAsia="fr-FR"/>
              </w:rPr>
              <w:t>information en matière de propriété intellectuelle, ainsi que son utilisation et sa diffusion</w:t>
            </w:r>
          </w:p>
        </w:tc>
        <w:tc>
          <w:tcPr>
            <w:tcW w:w="1260" w:type="dxa"/>
            <w:tcBorders>
              <w:top w:val="nil"/>
              <w:left w:val="nil"/>
              <w:bottom w:val="nil"/>
              <w:right w:val="nil"/>
            </w:tcBorders>
            <w:shd w:val="clear" w:color="auto" w:fill="auto"/>
            <w:tcMar>
              <w:top w:w="113" w:type="dxa"/>
              <w:bottom w:w="113" w:type="dxa"/>
            </w:tcMar>
            <w:vAlign w:val="center"/>
            <w:hideMark/>
          </w:tcPr>
          <w:p w:rsidR="007A7F0D" w:rsidRPr="00A32AF4" w:rsidRDefault="007A7F0D" w:rsidP="00DC0553">
            <w:pPr>
              <w:jc w:val="right"/>
              <w:rPr>
                <w:rFonts w:cs="Arial"/>
                <w:sz w:val="16"/>
                <w:szCs w:val="16"/>
                <w:lang w:eastAsia="fr-FR"/>
              </w:rPr>
            </w:pPr>
            <w:r w:rsidRPr="00A32AF4">
              <w:rPr>
                <w:rFonts w:cs="Arial"/>
                <w:sz w:val="16"/>
                <w:szCs w:val="16"/>
                <w:lang w:eastAsia="fr-FR"/>
              </w:rPr>
              <w:t xml:space="preserve">7 317 </w:t>
            </w:r>
          </w:p>
        </w:tc>
        <w:tc>
          <w:tcPr>
            <w:tcW w:w="1440" w:type="dxa"/>
            <w:tcBorders>
              <w:top w:val="nil"/>
              <w:left w:val="nil"/>
              <w:bottom w:val="nil"/>
              <w:right w:val="nil"/>
            </w:tcBorders>
            <w:shd w:val="clear" w:color="auto" w:fill="auto"/>
            <w:tcMar>
              <w:top w:w="113" w:type="dxa"/>
              <w:bottom w:w="113" w:type="dxa"/>
            </w:tcMar>
            <w:vAlign w:val="center"/>
            <w:hideMark/>
          </w:tcPr>
          <w:p w:rsidR="007A7F0D" w:rsidRPr="00A32AF4" w:rsidRDefault="007A7F0D" w:rsidP="00DC0553">
            <w:pPr>
              <w:jc w:val="right"/>
              <w:rPr>
                <w:rFonts w:cs="Arial"/>
                <w:sz w:val="16"/>
                <w:szCs w:val="16"/>
                <w:lang w:eastAsia="fr-FR"/>
              </w:rPr>
            </w:pPr>
            <w:r w:rsidRPr="00A32AF4">
              <w:rPr>
                <w:rFonts w:cs="Arial"/>
                <w:sz w:val="16"/>
                <w:szCs w:val="16"/>
                <w:lang w:eastAsia="fr-FR"/>
              </w:rPr>
              <w:t xml:space="preserve">7 197 </w:t>
            </w:r>
          </w:p>
        </w:tc>
        <w:tc>
          <w:tcPr>
            <w:tcW w:w="1260" w:type="dxa"/>
            <w:tcBorders>
              <w:top w:val="nil"/>
              <w:left w:val="nil"/>
              <w:bottom w:val="single" w:sz="4" w:space="0" w:color="auto"/>
              <w:right w:val="single" w:sz="4" w:space="0" w:color="auto"/>
            </w:tcBorders>
            <w:shd w:val="clear" w:color="auto" w:fill="auto"/>
            <w:noWrap/>
            <w:tcMar>
              <w:top w:w="113" w:type="dxa"/>
              <w:bottom w:w="113" w:type="dxa"/>
            </w:tcMar>
            <w:vAlign w:val="center"/>
            <w:hideMark/>
          </w:tcPr>
          <w:p w:rsidR="007A7F0D" w:rsidRPr="00A32AF4" w:rsidRDefault="007A7F0D" w:rsidP="00DC0553">
            <w:pPr>
              <w:jc w:val="right"/>
              <w:rPr>
                <w:rFonts w:cs="Arial"/>
                <w:color w:val="000000"/>
                <w:sz w:val="16"/>
                <w:szCs w:val="16"/>
                <w:lang w:eastAsia="fr-FR"/>
              </w:rPr>
            </w:pPr>
            <w:r w:rsidRPr="00A32AF4">
              <w:rPr>
                <w:rFonts w:cs="Arial"/>
                <w:color w:val="000000"/>
                <w:sz w:val="16"/>
                <w:szCs w:val="16"/>
                <w:lang w:eastAsia="fr-FR"/>
              </w:rPr>
              <w:t xml:space="preserve">7 070 </w:t>
            </w:r>
          </w:p>
        </w:tc>
      </w:tr>
      <w:tr w:rsidR="007A7F0D" w:rsidRPr="00A32AF4" w:rsidTr="007A7F0D">
        <w:tc>
          <w:tcPr>
            <w:tcW w:w="520" w:type="dxa"/>
            <w:tcBorders>
              <w:top w:val="single" w:sz="4" w:space="0" w:color="auto"/>
              <w:left w:val="single" w:sz="4" w:space="0" w:color="auto"/>
              <w:bottom w:val="single" w:sz="4" w:space="0" w:color="auto"/>
              <w:right w:val="nil"/>
            </w:tcBorders>
            <w:shd w:val="clear" w:color="000000" w:fill="C5D9F1"/>
            <w:noWrap/>
            <w:tcMar>
              <w:top w:w="113" w:type="dxa"/>
              <w:bottom w:w="113" w:type="dxa"/>
            </w:tcMar>
            <w:vAlign w:val="bottom"/>
            <w:hideMark/>
          </w:tcPr>
          <w:p w:rsidR="007A7F0D" w:rsidRPr="00A32AF4" w:rsidRDefault="007A7F0D" w:rsidP="00DC0553">
            <w:pPr>
              <w:rPr>
                <w:rFonts w:cs="Arial"/>
                <w:sz w:val="16"/>
                <w:szCs w:val="16"/>
                <w:lang w:eastAsia="fr-FR"/>
              </w:rPr>
            </w:pPr>
            <w:r w:rsidRPr="00A32AF4">
              <w:rPr>
                <w:rFonts w:cs="Arial"/>
                <w:sz w:val="16"/>
                <w:szCs w:val="16"/>
                <w:lang w:eastAsia="fr-FR"/>
              </w:rPr>
              <w:t> </w:t>
            </w:r>
          </w:p>
        </w:tc>
        <w:tc>
          <w:tcPr>
            <w:tcW w:w="4500"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7A7F0D" w:rsidRPr="00A32AF4" w:rsidRDefault="007A7F0D" w:rsidP="00DC0553">
            <w:pPr>
              <w:rPr>
                <w:rFonts w:cs="Arial"/>
                <w:b/>
                <w:bCs/>
                <w:sz w:val="16"/>
                <w:szCs w:val="16"/>
                <w:lang w:eastAsia="fr-FR"/>
              </w:rPr>
            </w:pPr>
            <w:r w:rsidRPr="00A32AF4">
              <w:rPr>
                <w:rFonts w:cs="Arial"/>
                <w:b/>
                <w:bCs/>
                <w:sz w:val="16"/>
                <w:szCs w:val="16"/>
                <w:lang w:eastAsia="fr-FR"/>
              </w:rPr>
              <w:t>Total</w:t>
            </w:r>
          </w:p>
        </w:tc>
        <w:tc>
          <w:tcPr>
            <w:tcW w:w="1260"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7A7F0D" w:rsidRPr="00A32AF4" w:rsidRDefault="007A7F0D" w:rsidP="00DC0553">
            <w:pPr>
              <w:jc w:val="right"/>
              <w:rPr>
                <w:rFonts w:cs="Arial"/>
                <w:b/>
                <w:bCs/>
                <w:sz w:val="16"/>
                <w:szCs w:val="16"/>
                <w:lang w:eastAsia="fr-FR"/>
              </w:rPr>
            </w:pPr>
            <w:r w:rsidRPr="00A32AF4">
              <w:rPr>
                <w:rFonts w:cs="Arial"/>
                <w:b/>
                <w:bCs/>
                <w:sz w:val="16"/>
                <w:szCs w:val="16"/>
                <w:lang w:eastAsia="fr-FR"/>
              </w:rPr>
              <w:t xml:space="preserve">7 317 </w:t>
            </w:r>
          </w:p>
        </w:tc>
        <w:tc>
          <w:tcPr>
            <w:tcW w:w="1440"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7A7F0D" w:rsidRPr="00A32AF4" w:rsidRDefault="007A7F0D" w:rsidP="00DC0553">
            <w:pPr>
              <w:jc w:val="right"/>
              <w:rPr>
                <w:rFonts w:cs="Arial"/>
                <w:b/>
                <w:bCs/>
                <w:sz w:val="16"/>
                <w:szCs w:val="16"/>
                <w:lang w:eastAsia="fr-FR"/>
              </w:rPr>
            </w:pPr>
            <w:r w:rsidRPr="00A32AF4">
              <w:rPr>
                <w:rFonts w:cs="Arial"/>
                <w:b/>
                <w:bCs/>
                <w:sz w:val="16"/>
                <w:szCs w:val="16"/>
                <w:lang w:eastAsia="fr-FR"/>
              </w:rPr>
              <w:t xml:space="preserve">7 197 </w:t>
            </w:r>
          </w:p>
        </w:tc>
        <w:tc>
          <w:tcPr>
            <w:tcW w:w="1260" w:type="dxa"/>
            <w:tcBorders>
              <w:top w:val="nil"/>
              <w:left w:val="nil"/>
              <w:bottom w:val="single" w:sz="4" w:space="0" w:color="auto"/>
              <w:right w:val="single" w:sz="4" w:space="0" w:color="auto"/>
            </w:tcBorders>
            <w:shd w:val="clear" w:color="000000" w:fill="C5D9F1"/>
            <w:noWrap/>
            <w:tcMar>
              <w:top w:w="113" w:type="dxa"/>
              <w:bottom w:w="113" w:type="dxa"/>
            </w:tcMar>
            <w:vAlign w:val="bottom"/>
            <w:hideMark/>
          </w:tcPr>
          <w:p w:rsidR="007A7F0D" w:rsidRPr="00A32AF4" w:rsidRDefault="007A7F0D" w:rsidP="00DC0553">
            <w:pPr>
              <w:jc w:val="right"/>
              <w:rPr>
                <w:rFonts w:cs="Arial"/>
                <w:b/>
                <w:bCs/>
                <w:sz w:val="16"/>
                <w:szCs w:val="16"/>
                <w:lang w:eastAsia="fr-FR"/>
              </w:rPr>
            </w:pPr>
            <w:r w:rsidRPr="00A32AF4">
              <w:rPr>
                <w:rFonts w:cs="Arial"/>
                <w:b/>
                <w:bCs/>
                <w:sz w:val="16"/>
                <w:szCs w:val="16"/>
                <w:lang w:eastAsia="fr-FR"/>
              </w:rPr>
              <w:t xml:space="preserve">7 070 </w:t>
            </w:r>
          </w:p>
        </w:tc>
      </w:tr>
    </w:tbl>
    <w:p w:rsidR="00F93B76" w:rsidRPr="00A32AF4" w:rsidRDefault="00F93B76" w:rsidP="00DC0553"/>
    <w:p w:rsidR="00F93B76" w:rsidRPr="00A32AF4" w:rsidRDefault="00F93B76" w:rsidP="00DC0553">
      <w:pPr>
        <w:pStyle w:val="Body1"/>
        <w:rPr>
          <w:rFonts w:ascii="Arial" w:hAnsi="Arial" w:cs="Arial"/>
          <w:color w:val="auto"/>
          <w:sz w:val="20"/>
        </w:rPr>
      </w:pPr>
    </w:p>
    <w:p w:rsidR="00F93B76" w:rsidRPr="00A32AF4" w:rsidRDefault="007A7F0D" w:rsidP="00DC0553">
      <w:pPr>
        <w:keepNext/>
        <w:keepLines/>
        <w:autoSpaceDE w:val="0"/>
        <w:autoSpaceDN w:val="0"/>
        <w:jc w:val="center"/>
        <w:rPr>
          <w:rFonts w:cs="Arial"/>
          <w:b/>
        </w:rPr>
      </w:pPr>
      <w:r w:rsidRPr="00A32AF4">
        <w:rPr>
          <w:rFonts w:cs="Arial"/>
          <w:b/>
        </w:rPr>
        <w:t>Programme 12 : ressources par objet de dépense</w:t>
      </w:r>
    </w:p>
    <w:p w:rsidR="00F93B76" w:rsidRPr="00A32AF4" w:rsidRDefault="007A7F0D" w:rsidP="00DC0553">
      <w:pPr>
        <w:keepNext/>
        <w:keepLines/>
        <w:autoSpaceDE w:val="0"/>
        <w:autoSpaceDN w:val="0"/>
        <w:jc w:val="center"/>
        <w:rPr>
          <w:rFonts w:cs="Arial"/>
          <w:i/>
        </w:rPr>
      </w:pPr>
      <w:r w:rsidRPr="00A32AF4">
        <w:rPr>
          <w:rFonts w:cs="Arial"/>
          <w:i/>
        </w:rPr>
        <w:t>(</w:t>
      </w:r>
      <w:proofErr w:type="gramStart"/>
      <w:r w:rsidRPr="00A32AF4">
        <w:rPr>
          <w:rFonts w:cs="Arial"/>
          <w:i/>
        </w:rPr>
        <w:t>en</w:t>
      </w:r>
      <w:proofErr w:type="gramEnd"/>
      <w:r w:rsidRPr="00A32AF4">
        <w:rPr>
          <w:rFonts w:cs="Arial"/>
          <w:i/>
        </w:rPr>
        <w:t xml:space="preserve"> milliers de francs suisses)</w:t>
      </w:r>
    </w:p>
    <w:p w:rsidR="00F93B76" w:rsidRPr="00A32AF4" w:rsidRDefault="00F93B76" w:rsidP="00DC0553">
      <w:pPr>
        <w:keepNext/>
        <w:rPr>
          <w:rFonts w:eastAsia="SimSun"/>
        </w:rPr>
      </w:pPr>
    </w:p>
    <w:p w:rsidR="00F93B76" w:rsidRPr="00A32AF4" w:rsidRDefault="00E91FB4" w:rsidP="00DC0553">
      <w:pPr>
        <w:rPr>
          <w:rFonts w:eastAsia="SimSun"/>
        </w:rPr>
      </w:pPr>
      <w:r w:rsidRPr="00A32AF4">
        <w:rPr>
          <w:rFonts w:eastAsia="SimSun"/>
          <w:noProof/>
          <w:lang w:eastAsia="fr-FR"/>
        </w:rPr>
        <w:drawing>
          <wp:inline distT="0" distB="0" distL="0" distR="0" wp14:anchorId="678EDB8E" wp14:editId="6E89C866">
            <wp:extent cx="5512435" cy="6555105"/>
            <wp:effectExtent l="0" t="0" r="0" b="0"/>
            <wp:docPr id="1046" name="Pictur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512435" cy="6555105"/>
                    </a:xfrm>
                    <a:prstGeom prst="rect">
                      <a:avLst/>
                    </a:prstGeom>
                    <a:noFill/>
                    <a:ln>
                      <a:noFill/>
                    </a:ln>
                  </pic:spPr>
                </pic:pic>
              </a:graphicData>
            </a:graphic>
          </wp:inline>
        </w:drawing>
      </w:r>
    </w:p>
    <w:p w:rsidR="00F93B76" w:rsidRPr="00A32AF4" w:rsidRDefault="00F93B76" w:rsidP="00DC0553">
      <w:pPr>
        <w:pStyle w:val="Body1"/>
        <w:rPr>
          <w:rFonts w:ascii="Arial" w:hAnsi="Arial" w:cs="Arial"/>
          <w:color w:val="auto"/>
          <w:sz w:val="20"/>
        </w:rPr>
      </w:pPr>
    </w:p>
    <w:p w:rsidR="00F93B76" w:rsidRPr="00A32AF4" w:rsidRDefault="00F93B76" w:rsidP="00DC0553">
      <w:pPr>
        <w:pStyle w:val="Body1"/>
        <w:rPr>
          <w:rFonts w:ascii="Arial" w:hAnsi="Arial" w:cs="Arial"/>
          <w:color w:val="auto"/>
          <w:sz w:val="20"/>
        </w:rPr>
      </w:pPr>
    </w:p>
    <w:p w:rsidR="00F93B76" w:rsidRPr="00A32AF4" w:rsidRDefault="007A7F0D" w:rsidP="00DC0553">
      <w:pPr>
        <w:rPr>
          <w:rFonts w:ascii="Arial Bold" w:hAnsi="Arial Bold" w:cs="Arial"/>
          <w:b/>
          <w:caps/>
          <w:szCs w:val="22"/>
        </w:rPr>
      </w:pPr>
      <w:r w:rsidRPr="00A32AF4">
        <w:br w:type="page"/>
      </w:r>
    </w:p>
    <w:p w:rsidR="00F93B76" w:rsidRPr="00A32AF4" w:rsidRDefault="00CD1430" w:rsidP="00FB1F61">
      <w:pPr>
        <w:pStyle w:val="Heading3"/>
      </w:pPr>
      <w:bookmarkStart w:id="47" w:name="_Toc431555453"/>
      <w:r w:rsidRPr="00A32AF4">
        <w:t>PROGRAMME 13</w:t>
      </w:r>
      <w:r w:rsidRPr="00A32AF4">
        <w:tab/>
        <w:t>Service des bases de données mondiales</w:t>
      </w:r>
      <w:bookmarkEnd w:id="47"/>
    </w:p>
    <w:p w:rsidR="00F93B76" w:rsidRPr="00A32AF4" w:rsidRDefault="00F93B76" w:rsidP="00DC0553"/>
    <w:p w:rsidR="00F93B76" w:rsidRPr="00A32AF4" w:rsidRDefault="00F93B76" w:rsidP="00DC0553"/>
    <w:p w:rsidR="00F93B76" w:rsidRPr="00A32AF4" w:rsidRDefault="007A7F0D" w:rsidP="00DC0553">
      <w:r w:rsidRPr="00A32AF4">
        <w:t>CONTEXTE DE PLANIFICATION</w:t>
      </w:r>
    </w:p>
    <w:p w:rsidR="00F93B76" w:rsidRPr="00A32AF4" w:rsidRDefault="00F93B76" w:rsidP="00DC0553"/>
    <w:p w:rsidR="00F93B76" w:rsidRPr="00A32AF4" w:rsidRDefault="00CD1430" w:rsidP="00DC0553">
      <w:pPr>
        <w:pStyle w:val="ListParagraph"/>
        <w:numPr>
          <w:ilvl w:val="0"/>
          <w:numId w:val="25"/>
        </w:numPr>
        <w:tabs>
          <w:tab w:val="left" w:pos="567"/>
        </w:tabs>
        <w:autoSpaceDE w:val="0"/>
        <w:autoSpaceDN w:val="0"/>
        <w:adjustRightInd w:val="0"/>
        <w:spacing w:after="0" w:line="240" w:lineRule="auto"/>
        <w:ind w:left="0" w:firstLine="0"/>
        <w:jc w:val="both"/>
        <w:rPr>
          <w:rFonts w:ascii="Arial" w:hAnsi="Arial" w:cs="Arial"/>
          <w:szCs w:val="20"/>
        </w:rPr>
      </w:pPr>
      <w:r w:rsidRPr="00A32AF4">
        <w:rPr>
          <w:rFonts w:ascii="Arial" w:hAnsi="Arial" w:cs="Arial"/>
          <w:szCs w:val="20"/>
        </w:rPr>
        <w:t>L</w:t>
      </w:r>
      <w:r w:rsidR="00E2055A" w:rsidRPr="00A32AF4">
        <w:rPr>
          <w:rFonts w:ascii="Arial" w:hAnsi="Arial" w:cs="Arial"/>
          <w:szCs w:val="20"/>
        </w:rPr>
        <w:t>’</w:t>
      </w:r>
      <w:r w:rsidRPr="00A32AF4">
        <w:rPr>
          <w:rFonts w:ascii="Arial" w:hAnsi="Arial" w:cs="Arial"/>
          <w:szCs w:val="20"/>
        </w:rPr>
        <w:t>OMPI contribue à la création d</w:t>
      </w:r>
      <w:r w:rsidR="00E2055A" w:rsidRPr="00A32AF4">
        <w:rPr>
          <w:rFonts w:ascii="Arial" w:hAnsi="Arial" w:cs="Arial"/>
          <w:szCs w:val="20"/>
        </w:rPr>
        <w:t>’</w:t>
      </w:r>
      <w:r w:rsidRPr="00A32AF4">
        <w:rPr>
          <w:rFonts w:ascii="Arial" w:hAnsi="Arial" w:cs="Arial"/>
          <w:szCs w:val="20"/>
        </w:rPr>
        <w:t>une infrastructure mondiale de propriété intellectuelle en fournissant un contenu cognitif en matière de propriété intellectuelle sous forme de produits publics disponibles à partir de bases de données mondiales.  Les bases de données mondiales de l</w:t>
      </w:r>
      <w:r w:rsidR="00E2055A" w:rsidRPr="00A32AF4">
        <w:rPr>
          <w:rFonts w:ascii="Arial" w:hAnsi="Arial" w:cs="Arial"/>
          <w:szCs w:val="20"/>
        </w:rPr>
        <w:t>’</w:t>
      </w:r>
      <w:r w:rsidRPr="00A32AF4">
        <w:rPr>
          <w:rFonts w:ascii="Arial" w:hAnsi="Arial" w:cs="Arial"/>
          <w:szCs w:val="20"/>
        </w:rPr>
        <w:t xml:space="preserve">OMPI (PATENTSCOPE, Base de données mondiale sur les marques et Base de données mondiale sur les dessins et modèles) comprennent des données provenant des collections des systèmes du PCT, de Madrid, de Lisbonne, de </w:t>
      </w:r>
      <w:r w:rsidR="00E2055A" w:rsidRPr="00A32AF4">
        <w:rPr>
          <w:rFonts w:ascii="Arial" w:hAnsi="Arial" w:cs="Arial"/>
          <w:szCs w:val="20"/>
        </w:rPr>
        <w:t>La Haye</w:t>
      </w:r>
      <w:r w:rsidRPr="00A32AF4">
        <w:rPr>
          <w:rFonts w:ascii="Arial" w:hAnsi="Arial" w:cs="Arial"/>
          <w:szCs w:val="20"/>
        </w:rPr>
        <w:t xml:space="preserve"> et d</w:t>
      </w:r>
      <w:r w:rsidR="00E2055A" w:rsidRPr="00A32AF4">
        <w:rPr>
          <w:rFonts w:ascii="Arial" w:hAnsi="Arial" w:cs="Arial"/>
          <w:szCs w:val="20"/>
        </w:rPr>
        <w:t>’</w:t>
      </w:r>
      <w:r w:rsidRPr="00A32AF4">
        <w:rPr>
          <w:rFonts w:ascii="Arial" w:hAnsi="Arial" w:cs="Arial"/>
          <w:szCs w:val="20"/>
        </w:rPr>
        <w:t>emblèmes protégés en vertu de l</w:t>
      </w:r>
      <w:r w:rsidR="00E2055A" w:rsidRPr="00A32AF4">
        <w:rPr>
          <w:rFonts w:ascii="Arial" w:hAnsi="Arial" w:cs="Arial"/>
          <w:szCs w:val="20"/>
        </w:rPr>
        <w:t>’</w:t>
      </w:r>
      <w:r w:rsidRPr="00A32AF4">
        <w:rPr>
          <w:rFonts w:ascii="Arial" w:hAnsi="Arial" w:cs="Arial"/>
          <w:szCs w:val="20"/>
        </w:rPr>
        <w:t>article 6</w:t>
      </w:r>
      <w:r w:rsidRPr="00A32AF4">
        <w:rPr>
          <w:rFonts w:ascii="Arial" w:hAnsi="Arial" w:cs="Arial"/>
          <w:i/>
          <w:szCs w:val="20"/>
        </w:rPr>
        <w:t>ter</w:t>
      </w:r>
      <w:r w:rsidRPr="00A32AF4">
        <w:rPr>
          <w:rFonts w:ascii="Arial" w:hAnsi="Arial" w:cs="Arial"/>
          <w:szCs w:val="20"/>
        </w:rPr>
        <w:t xml:space="preserve"> de la Convention de Paris.  Ces bases de données comportent également des données relatives aux demandes/enregistrements nationaux et régionaux fournies par les offices de propriété intellectuelle qui ont convenu de coopérer pour élargir la portée des bases de données de l</w:t>
      </w:r>
      <w:r w:rsidR="00E2055A" w:rsidRPr="00A32AF4">
        <w:rPr>
          <w:rFonts w:ascii="Arial" w:hAnsi="Arial" w:cs="Arial"/>
          <w:szCs w:val="20"/>
        </w:rPr>
        <w:t>’</w:t>
      </w:r>
      <w:r w:rsidRPr="00A32AF4">
        <w:rPr>
          <w:rFonts w:ascii="Arial" w:hAnsi="Arial" w:cs="Arial"/>
          <w:szCs w:val="20"/>
        </w:rPr>
        <w:t>OMPI.  On escompte donc que les bases de données réduiront les inégalités en matière d</w:t>
      </w:r>
      <w:r w:rsidR="00E2055A" w:rsidRPr="00A32AF4">
        <w:rPr>
          <w:rFonts w:ascii="Arial" w:hAnsi="Arial" w:cs="Arial"/>
          <w:szCs w:val="20"/>
        </w:rPr>
        <w:t>’</w:t>
      </w:r>
      <w:r w:rsidRPr="00A32AF4">
        <w:rPr>
          <w:rFonts w:ascii="Arial" w:hAnsi="Arial" w:cs="Arial"/>
          <w:szCs w:val="20"/>
        </w:rPr>
        <w:t>accès aux savoirs en augmentant le nombre d</w:t>
      </w:r>
      <w:r w:rsidR="00E2055A" w:rsidRPr="00A32AF4">
        <w:rPr>
          <w:rFonts w:ascii="Arial" w:hAnsi="Arial" w:cs="Arial"/>
          <w:szCs w:val="20"/>
        </w:rPr>
        <w:t>’</w:t>
      </w:r>
      <w:r w:rsidRPr="00A32AF4">
        <w:rPr>
          <w:rFonts w:ascii="Arial" w:hAnsi="Arial" w:cs="Arial"/>
          <w:szCs w:val="20"/>
        </w:rPr>
        <w:t xml:space="preserve">utilisateurs des informations sur la propriété intellectuelle, </w:t>
      </w:r>
      <w:r w:rsidR="00E2055A" w:rsidRPr="00A32AF4">
        <w:rPr>
          <w:rFonts w:ascii="Arial" w:hAnsi="Arial" w:cs="Arial"/>
          <w:szCs w:val="20"/>
        </w:rPr>
        <w:t>y compris</w:t>
      </w:r>
      <w:r w:rsidRPr="00A32AF4">
        <w:rPr>
          <w:rFonts w:ascii="Arial" w:hAnsi="Arial" w:cs="Arial"/>
          <w:szCs w:val="20"/>
        </w:rPr>
        <w:t xml:space="preserve"> dans les pays en développement et les PMA et qu</w:t>
      </w:r>
      <w:r w:rsidR="00E2055A" w:rsidRPr="00A32AF4">
        <w:rPr>
          <w:rFonts w:ascii="Arial" w:hAnsi="Arial" w:cs="Arial"/>
          <w:szCs w:val="20"/>
        </w:rPr>
        <w:t>’</w:t>
      </w:r>
      <w:r w:rsidRPr="00A32AF4">
        <w:rPr>
          <w:rFonts w:ascii="Arial" w:hAnsi="Arial" w:cs="Arial"/>
          <w:szCs w:val="20"/>
        </w:rPr>
        <w:t>elles fourniront des données susceptibles de promouvoir l</w:t>
      </w:r>
      <w:r w:rsidR="00E2055A" w:rsidRPr="00A32AF4">
        <w:rPr>
          <w:rFonts w:ascii="Arial" w:hAnsi="Arial" w:cs="Arial"/>
          <w:szCs w:val="20"/>
        </w:rPr>
        <w:t>’</w:t>
      </w:r>
      <w:r w:rsidRPr="00A32AF4">
        <w:rPr>
          <w:rFonts w:ascii="Arial" w:hAnsi="Arial" w:cs="Arial"/>
          <w:szCs w:val="20"/>
        </w:rPr>
        <w:t>innovation.</w:t>
      </w:r>
    </w:p>
    <w:p w:rsidR="00F93B76" w:rsidRPr="00A32AF4" w:rsidRDefault="00F93B76" w:rsidP="00DC0553">
      <w:pPr>
        <w:tabs>
          <w:tab w:val="left" w:pos="567"/>
        </w:tabs>
        <w:autoSpaceDE w:val="0"/>
        <w:autoSpaceDN w:val="0"/>
        <w:adjustRightInd w:val="0"/>
        <w:jc w:val="both"/>
        <w:rPr>
          <w:rFonts w:cs="Arial"/>
        </w:rPr>
      </w:pPr>
    </w:p>
    <w:p w:rsidR="00F93B76" w:rsidRPr="00A32AF4" w:rsidRDefault="00CD1430" w:rsidP="00DC0553">
      <w:pPr>
        <w:pStyle w:val="ListParagraph"/>
        <w:numPr>
          <w:ilvl w:val="0"/>
          <w:numId w:val="25"/>
        </w:numPr>
        <w:tabs>
          <w:tab w:val="left" w:pos="567"/>
        </w:tabs>
        <w:autoSpaceDE w:val="0"/>
        <w:autoSpaceDN w:val="0"/>
        <w:adjustRightInd w:val="0"/>
        <w:spacing w:after="0" w:line="240" w:lineRule="auto"/>
        <w:ind w:left="0" w:firstLine="0"/>
        <w:jc w:val="both"/>
        <w:rPr>
          <w:rFonts w:ascii="Arial" w:hAnsi="Arial" w:cs="Arial"/>
          <w:szCs w:val="20"/>
        </w:rPr>
      </w:pPr>
      <w:r w:rsidRPr="00A32AF4">
        <w:rPr>
          <w:rFonts w:ascii="Arial" w:hAnsi="Arial" w:cs="Arial"/>
          <w:szCs w:val="20"/>
        </w:rPr>
        <w:t>Le programme assure la publication des demandes internationales selon le PCT et visera à garantir également la publication des demandes déposées selon les systèmes de Madrid</w:t>
      </w:r>
      <w:r w:rsidR="00564A9A" w:rsidRPr="00A32AF4">
        <w:rPr>
          <w:rFonts w:ascii="Arial" w:hAnsi="Arial" w:cs="Arial"/>
          <w:szCs w:val="20"/>
        </w:rPr>
        <w:t>,</w:t>
      </w:r>
      <w:r w:rsidRPr="00A32AF4">
        <w:rPr>
          <w:rFonts w:ascii="Arial" w:hAnsi="Arial" w:cs="Arial"/>
          <w:szCs w:val="20"/>
        </w:rPr>
        <w:t xml:space="preserve"> de </w:t>
      </w:r>
      <w:r w:rsidR="00E2055A" w:rsidRPr="00A32AF4">
        <w:rPr>
          <w:rFonts w:ascii="Arial" w:hAnsi="Arial" w:cs="Arial"/>
          <w:szCs w:val="20"/>
        </w:rPr>
        <w:t>La Haye</w:t>
      </w:r>
      <w:r w:rsidR="00564A9A" w:rsidRPr="00A32AF4">
        <w:rPr>
          <w:rFonts w:ascii="Arial" w:hAnsi="Arial" w:cs="Arial"/>
          <w:szCs w:val="20"/>
        </w:rPr>
        <w:t xml:space="preserve"> et de Lisbonne</w:t>
      </w:r>
      <w:r w:rsidRPr="00A32AF4">
        <w:rPr>
          <w:rFonts w:ascii="Arial" w:hAnsi="Arial" w:cs="Arial"/>
          <w:szCs w:val="20"/>
        </w:rPr>
        <w:t>.  Les bases de données mondiales de l</w:t>
      </w:r>
      <w:r w:rsidR="00E2055A" w:rsidRPr="00A32AF4">
        <w:rPr>
          <w:rFonts w:ascii="Arial" w:hAnsi="Arial" w:cs="Arial"/>
          <w:szCs w:val="20"/>
        </w:rPr>
        <w:t>’</w:t>
      </w:r>
      <w:r w:rsidRPr="00A32AF4">
        <w:rPr>
          <w:rFonts w:ascii="Arial" w:hAnsi="Arial" w:cs="Arial"/>
          <w:szCs w:val="20"/>
        </w:rPr>
        <w:t>OMPI appuient les programmes 5 (Système du PCT), 6 (Système de Madrid)</w:t>
      </w:r>
      <w:r w:rsidR="0022362D" w:rsidRPr="00A32AF4">
        <w:rPr>
          <w:rFonts w:ascii="Arial" w:hAnsi="Arial" w:cs="Arial"/>
          <w:szCs w:val="20"/>
        </w:rPr>
        <w:t>,</w:t>
      </w:r>
      <w:r w:rsidRPr="00A32AF4">
        <w:rPr>
          <w:rFonts w:ascii="Arial" w:hAnsi="Arial" w:cs="Arial"/>
          <w:szCs w:val="20"/>
        </w:rPr>
        <w:t xml:space="preserve"> 31 (Système de </w:t>
      </w:r>
      <w:r w:rsidR="00E2055A" w:rsidRPr="00A32AF4">
        <w:rPr>
          <w:rFonts w:ascii="Arial" w:hAnsi="Arial" w:cs="Arial"/>
          <w:szCs w:val="20"/>
        </w:rPr>
        <w:t>La Haye</w:t>
      </w:r>
      <w:r w:rsidRPr="00A32AF4">
        <w:rPr>
          <w:rFonts w:ascii="Arial" w:hAnsi="Arial" w:cs="Arial"/>
          <w:szCs w:val="20"/>
        </w:rPr>
        <w:t>)</w:t>
      </w:r>
      <w:r w:rsidR="0022362D" w:rsidRPr="00A32AF4">
        <w:rPr>
          <w:rFonts w:ascii="Arial" w:hAnsi="Arial" w:cs="Arial"/>
          <w:szCs w:val="20"/>
        </w:rPr>
        <w:t xml:space="preserve"> et 32 (Système de Lisbonne)</w:t>
      </w:r>
      <w:r w:rsidRPr="00A32AF4">
        <w:rPr>
          <w:rFonts w:ascii="Arial" w:hAnsi="Arial" w:cs="Arial"/>
          <w:szCs w:val="20"/>
        </w:rPr>
        <w:t>, et contribuent à la mise en œuvre de la recommandation n° 8 du Plan d‏</w:t>
      </w:r>
      <w:r w:rsidR="00E2055A" w:rsidRPr="00A32AF4">
        <w:rPr>
          <w:rFonts w:ascii="Arial" w:hAnsi="Arial" w:cs="Arial"/>
          <w:szCs w:val="20"/>
        </w:rPr>
        <w:t>’</w:t>
      </w:r>
      <w:r w:rsidRPr="00A32AF4">
        <w:rPr>
          <w:rFonts w:ascii="Arial" w:hAnsi="Arial" w:cs="Arial"/>
          <w:szCs w:val="20"/>
        </w:rPr>
        <w:t>‎action pour le développement.</w:t>
      </w:r>
    </w:p>
    <w:p w:rsidR="00F93B76" w:rsidRPr="00A32AF4" w:rsidRDefault="00F93B76" w:rsidP="00DC0553">
      <w:pPr>
        <w:autoSpaceDE w:val="0"/>
        <w:autoSpaceDN w:val="0"/>
        <w:adjustRightInd w:val="0"/>
        <w:jc w:val="both"/>
        <w:rPr>
          <w:rFonts w:cs="Arial"/>
        </w:rPr>
      </w:pPr>
    </w:p>
    <w:p w:rsidR="00F93B76" w:rsidRPr="00A32AF4" w:rsidRDefault="00F93B76" w:rsidP="00DC0553">
      <w:pPr>
        <w:autoSpaceDE w:val="0"/>
        <w:autoSpaceDN w:val="0"/>
        <w:adjustRightInd w:val="0"/>
        <w:jc w:val="both"/>
        <w:rPr>
          <w:rFonts w:cs="Arial"/>
        </w:rPr>
      </w:pPr>
    </w:p>
    <w:p w:rsidR="00F93B76" w:rsidRPr="00A32AF4" w:rsidRDefault="00CD1430" w:rsidP="00DC0553">
      <w:r w:rsidRPr="00A32AF4">
        <w:t>STRATÉGIES DE MISE EN ŒUVRE</w:t>
      </w:r>
    </w:p>
    <w:p w:rsidR="00F93B76" w:rsidRPr="00A32AF4" w:rsidRDefault="00F93B76" w:rsidP="00DC0553">
      <w:pPr>
        <w:jc w:val="both"/>
        <w:rPr>
          <w:rFonts w:cs="Arial"/>
          <w:bCs/>
        </w:rPr>
      </w:pPr>
    </w:p>
    <w:p w:rsidR="00F93B76" w:rsidRPr="00A32AF4" w:rsidRDefault="00CD1430" w:rsidP="00DC0553">
      <w:pPr>
        <w:pStyle w:val="ListParagraph"/>
        <w:numPr>
          <w:ilvl w:val="0"/>
          <w:numId w:val="25"/>
        </w:numPr>
        <w:tabs>
          <w:tab w:val="left" w:pos="567"/>
        </w:tabs>
        <w:autoSpaceDE w:val="0"/>
        <w:autoSpaceDN w:val="0"/>
        <w:adjustRightInd w:val="0"/>
        <w:spacing w:after="0" w:line="240" w:lineRule="auto"/>
        <w:ind w:left="0" w:firstLine="0"/>
        <w:jc w:val="both"/>
        <w:rPr>
          <w:rFonts w:ascii="Arial" w:hAnsi="Arial" w:cs="Arial"/>
          <w:szCs w:val="20"/>
        </w:rPr>
      </w:pPr>
      <w:r w:rsidRPr="00A32AF4">
        <w:rPr>
          <w:rFonts w:ascii="Arial" w:hAnsi="Arial" w:cs="Arial"/>
          <w:szCs w:val="20"/>
        </w:rPr>
        <w:t>L</w:t>
      </w:r>
      <w:r w:rsidR="00E2055A" w:rsidRPr="00A32AF4">
        <w:rPr>
          <w:rFonts w:ascii="Arial" w:hAnsi="Arial" w:cs="Arial"/>
          <w:szCs w:val="20"/>
        </w:rPr>
        <w:t>’</w:t>
      </w:r>
      <w:r w:rsidRPr="00A32AF4">
        <w:rPr>
          <w:rFonts w:ascii="Arial" w:hAnsi="Arial" w:cs="Arial"/>
          <w:szCs w:val="20"/>
        </w:rPr>
        <w:t>OMPI continuera de développer les bases de données mondiales du point de vue de la couverture géographique des collections nationales et d</w:t>
      </w:r>
      <w:r w:rsidR="00E2055A" w:rsidRPr="00A32AF4">
        <w:rPr>
          <w:rFonts w:ascii="Arial" w:hAnsi="Arial" w:cs="Arial"/>
          <w:szCs w:val="20"/>
        </w:rPr>
        <w:t>’</w:t>
      </w:r>
      <w:r w:rsidRPr="00A32AF4">
        <w:rPr>
          <w:rFonts w:ascii="Arial" w:hAnsi="Arial" w:cs="Arial"/>
          <w:szCs w:val="20"/>
        </w:rPr>
        <w:t>améliorer la qualité des données et la rapidité des mises à jour.  Les outils de recherche sophistiqués seront encore perfectionnés pour aider les innovateurs et les autres utilisateurs à chercher et à analyser les données relatives à la propriété intellectuelle.  Plus particulièrement, les recherches multilingues sur les brevets réalisées avec l</w:t>
      </w:r>
      <w:r w:rsidR="00E2055A" w:rsidRPr="00A32AF4">
        <w:rPr>
          <w:rFonts w:ascii="Arial" w:hAnsi="Arial" w:cs="Arial"/>
          <w:szCs w:val="20"/>
        </w:rPr>
        <w:t>’</w:t>
      </w:r>
      <w:r w:rsidRPr="00A32AF4">
        <w:rPr>
          <w:rFonts w:ascii="Arial" w:hAnsi="Arial" w:cs="Arial"/>
          <w:szCs w:val="20"/>
        </w:rPr>
        <w:t>outil Cross Lingual Information Retrieval (CLIR), l</w:t>
      </w:r>
      <w:r w:rsidR="00E2055A" w:rsidRPr="00A32AF4">
        <w:rPr>
          <w:rFonts w:ascii="Arial" w:hAnsi="Arial" w:cs="Arial"/>
          <w:szCs w:val="20"/>
        </w:rPr>
        <w:t>’</w:t>
      </w:r>
      <w:r w:rsidRPr="00A32AF4">
        <w:rPr>
          <w:rFonts w:ascii="Arial" w:hAnsi="Arial" w:cs="Arial"/>
          <w:szCs w:val="20"/>
        </w:rPr>
        <w:t>outil de traduction automatique WIPO Translate et le système de recherche d</w:t>
      </w:r>
      <w:r w:rsidR="00E2055A" w:rsidRPr="00A32AF4">
        <w:rPr>
          <w:rFonts w:ascii="Arial" w:hAnsi="Arial" w:cs="Arial"/>
          <w:szCs w:val="20"/>
        </w:rPr>
        <w:t>’</w:t>
      </w:r>
      <w:r w:rsidRPr="00A32AF4">
        <w:rPr>
          <w:rFonts w:ascii="Arial" w:hAnsi="Arial" w:cs="Arial"/>
          <w:szCs w:val="20"/>
        </w:rPr>
        <w:t>images par le contenu pour des marques d</w:t>
      </w:r>
      <w:r w:rsidR="00E2055A" w:rsidRPr="00A32AF4">
        <w:rPr>
          <w:rFonts w:ascii="Arial" w:hAnsi="Arial" w:cs="Arial"/>
          <w:szCs w:val="20"/>
        </w:rPr>
        <w:t>’</w:t>
      </w:r>
      <w:r w:rsidRPr="00A32AF4">
        <w:rPr>
          <w:rFonts w:ascii="Arial" w:hAnsi="Arial" w:cs="Arial"/>
          <w:szCs w:val="20"/>
        </w:rPr>
        <w:t>aspect similaire seront améliorées.  La possibilité de rechercher des unités de travail complexes (par exemple, des formules chimiques) dans les textes de brevet disponibles dans PATENTSCOPE sera également étudiée.</w:t>
      </w:r>
    </w:p>
    <w:p w:rsidR="00F93B76" w:rsidRPr="00A32AF4" w:rsidRDefault="00F93B76" w:rsidP="00DC0553">
      <w:pPr>
        <w:pStyle w:val="ListParagraph"/>
        <w:tabs>
          <w:tab w:val="left" w:pos="709"/>
        </w:tabs>
        <w:autoSpaceDE w:val="0"/>
        <w:autoSpaceDN w:val="0"/>
        <w:adjustRightInd w:val="0"/>
        <w:spacing w:line="240" w:lineRule="auto"/>
        <w:ind w:left="0"/>
        <w:jc w:val="both"/>
        <w:rPr>
          <w:rFonts w:ascii="Arial" w:hAnsi="Arial" w:cs="Arial"/>
          <w:szCs w:val="20"/>
        </w:rPr>
      </w:pPr>
    </w:p>
    <w:p w:rsidR="00F93B76" w:rsidRPr="00A32AF4" w:rsidRDefault="00CD1430" w:rsidP="00DC0553">
      <w:pPr>
        <w:pStyle w:val="ListParagraph"/>
        <w:numPr>
          <w:ilvl w:val="0"/>
          <w:numId w:val="25"/>
        </w:numPr>
        <w:tabs>
          <w:tab w:val="left" w:pos="567"/>
        </w:tabs>
        <w:autoSpaceDE w:val="0"/>
        <w:autoSpaceDN w:val="0"/>
        <w:adjustRightInd w:val="0"/>
        <w:spacing w:after="0" w:line="240" w:lineRule="auto"/>
        <w:ind w:left="0" w:firstLine="0"/>
        <w:jc w:val="both"/>
        <w:rPr>
          <w:rFonts w:ascii="Arial" w:hAnsi="Arial" w:cs="Arial"/>
          <w:szCs w:val="20"/>
        </w:rPr>
      </w:pPr>
      <w:r w:rsidRPr="00A32AF4">
        <w:rPr>
          <w:rFonts w:ascii="Arial" w:hAnsi="Arial" w:cs="Arial"/>
          <w:b/>
          <w:szCs w:val="20"/>
        </w:rPr>
        <w:t>PATENTSCOPE :</w:t>
      </w:r>
      <w:r w:rsidRPr="00A32AF4">
        <w:rPr>
          <w:rFonts w:ascii="Arial" w:hAnsi="Arial" w:cs="Arial"/>
          <w:szCs w:val="20"/>
        </w:rPr>
        <w:t xml:space="preserve"> PATENTSCOPE n</w:t>
      </w:r>
      <w:r w:rsidR="00E2055A" w:rsidRPr="00A32AF4">
        <w:rPr>
          <w:rFonts w:ascii="Arial" w:hAnsi="Arial" w:cs="Arial"/>
          <w:szCs w:val="20"/>
        </w:rPr>
        <w:t>’</w:t>
      </w:r>
      <w:r w:rsidRPr="00A32AF4">
        <w:rPr>
          <w:rFonts w:ascii="Arial" w:hAnsi="Arial" w:cs="Arial"/>
          <w:szCs w:val="20"/>
        </w:rPr>
        <w:t>est pas seulement la base de données mondiale sur les brevets couvrant les collections de brevets nationales ou régionales : c</w:t>
      </w:r>
      <w:r w:rsidR="00E2055A" w:rsidRPr="00A32AF4">
        <w:rPr>
          <w:rFonts w:ascii="Arial" w:hAnsi="Arial" w:cs="Arial"/>
          <w:szCs w:val="20"/>
        </w:rPr>
        <w:t>’</w:t>
      </w:r>
      <w:r w:rsidRPr="00A32AF4">
        <w:rPr>
          <w:rFonts w:ascii="Arial" w:hAnsi="Arial" w:cs="Arial"/>
          <w:szCs w:val="20"/>
        </w:rPr>
        <w:t>est également le mécanisme juridique servant à s</w:t>
      </w:r>
      <w:r w:rsidR="00E2055A" w:rsidRPr="00A32AF4">
        <w:rPr>
          <w:rFonts w:ascii="Arial" w:hAnsi="Arial" w:cs="Arial"/>
          <w:szCs w:val="20"/>
        </w:rPr>
        <w:t>’</w:t>
      </w:r>
      <w:r w:rsidRPr="00A32AF4">
        <w:rPr>
          <w:rFonts w:ascii="Arial" w:hAnsi="Arial" w:cs="Arial"/>
          <w:szCs w:val="20"/>
        </w:rPr>
        <w:t>acquitter de l</w:t>
      </w:r>
      <w:r w:rsidR="00E2055A" w:rsidRPr="00A32AF4">
        <w:rPr>
          <w:rFonts w:ascii="Arial" w:hAnsi="Arial" w:cs="Arial"/>
          <w:szCs w:val="20"/>
        </w:rPr>
        <w:t>’</w:t>
      </w:r>
      <w:r w:rsidRPr="00A32AF4">
        <w:rPr>
          <w:rFonts w:ascii="Arial" w:hAnsi="Arial" w:cs="Arial"/>
          <w:szCs w:val="20"/>
        </w:rPr>
        <w:t xml:space="preserve">obligation prévue par le traité, </w:t>
      </w:r>
      <w:r w:rsidR="00E2055A" w:rsidRPr="00A32AF4">
        <w:rPr>
          <w:rFonts w:ascii="Arial" w:hAnsi="Arial" w:cs="Arial"/>
          <w:szCs w:val="20"/>
        </w:rPr>
        <w:t>à savoir</w:t>
      </w:r>
      <w:r w:rsidRPr="00A32AF4">
        <w:rPr>
          <w:rFonts w:ascii="Arial" w:hAnsi="Arial" w:cs="Arial"/>
          <w:szCs w:val="20"/>
        </w:rPr>
        <w:t xml:space="preserve"> la publication internationale des demandes déposées selon le PCT.  Les collections nationales de brevets pourront être consultées en texte intégral grâce aux mécanismes de conversion du logiciel de reconnaissance optique des caractères (ROC) de l</w:t>
      </w:r>
      <w:r w:rsidR="00E2055A" w:rsidRPr="00A32AF4">
        <w:rPr>
          <w:rFonts w:ascii="Arial" w:hAnsi="Arial" w:cs="Arial"/>
          <w:szCs w:val="20"/>
        </w:rPr>
        <w:t>’</w:t>
      </w:r>
      <w:r w:rsidRPr="00A32AF4">
        <w:rPr>
          <w:rFonts w:ascii="Arial" w:hAnsi="Arial" w:cs="Arial"/>
          <w:szCs w:val="20"/>
        </w:rPr>
        <w:t>OMPI.  Le système sera davantage développé de manière à couvrir quelque 50 collections de données nationales et régionales et 50 millions d</w:t>
      </w:r>
      <w:r w:rsidR="00E2055A" w:rsidRPr="00A32AF4">
        <w:rPr>
          <w:rFonts w:ascii="Arial" w:hAnsi="Arial" w:cs="Arial"/>
          <w:szCs w:val="20"/>
        </w:rPr>
        <w:t>’</w:t>
      </w:r>
      <w:r w:rsidRPr="00A32AF4">
        <w:rPr>
          <w:rFonts w:ascii="Arial" w:hAnsi="Arial" w:cs="Arial"/>
          <w:szCs w:val="20"/>
        </w:rPr>
        <w:t>inventions d</w:t>
      </w:r>
      <w:r w:rsidR="00E2055A" w:rsidRPr="00A32AF4">
        <w:rPr>
          <w:rFonts w:ascii="Arial" w:hAnsi="Arial" w:cs="Arial"/>
          <w:szCs w:val="20"/>
        </w:rPr>
        <w:t>’</w:t>
      </w:r>
      <w:r w:rsidRPr="00A32AF4">
        <w:rPr>
          <w:rFonts w:ascii="Arial" w:hAnsi="Arial" w:cs="Arial"/>
          <w:szCs w:val="20"/>
        </w:rPr>
        <w:t>ici la fin de l</w:t>
      </w:r>
      <w:r w:rsidR="00E2055A" w:rsidRPr="00A32AF4">
        <w:rPr>
          <w:rFonts w:ascii="Arial" w:hAnsi="Arial" w:cs="Arial"/>
          <w:szCs w:val="20"/>
        </w:rPr>
        <w:t>’</w:t>
      </w:r>
      <w:r w:rsidRPr="00A32AF4">
        <w:rPr>
          <w:rFonts w:ascii="Arial" w:hAnsi="Arial" w:cs="Arial"/>
          <w:szCs w:val="20"/>
        </w:rPr>
        <w:t>exercice biennal.  Les principales difficultés rencontrées sont le traitement de l</w:t>
      </w:r>
      <w:r w:rsidR="00E2055A" w:rsidRPr="00A32AF4">
        <w:rPr>
          <w:rFonts w:ascii="Arial" w:hAnsi="Arial" w:cs="Arial"/>
          <w:szCs w:val="20"/>
        </w:rPr>
        <w:t>’</w:t>
      </w:r>
      <w:r w:rsidRPr="00A32AF4">
        <w:rPr>
          <w:rFonts w:ascii="Arial" w:hAnsi="Arial" w:cs="Arial"/>
          <w:szCs w:val="20"/>
        </w:rPr>
        <w:t>important volume de données et l</w:t>
      </w:r>
      <w:r w:rsidR="00E2055A" w:rsidRPr="00A32AF4">
        <w:rPr>
          <w:rFonts w:ascii="Arial" w:hAnsi="Arial" w:cs="Arial"/>
          <w:szCs w:val="20"/>
        </w:rPr>
        <w:t>’</w:t>
      </w:r>
      <w:r w:rsidRPr="00A32AF4">
        <w:rPr>
          <w:rFonts w:ascii="Arial" w:hAnsi="Arial" w:cs="Arial"/>
          <w:szCs w:val="20"/>
        </w:rPr>
        <w:t>amélioration de la qualité des données reçues et la nécessité de veiller à ce que les données diffusées soient à jour et complètes, de surmonter les obstacles linguistiques grâce à des outils de traduction sophistiqués et d</w:t>
      </w:r>
      <w:r w:rsidR="00E2055A" w:rsidRPr="00A32AF4">
        <w:rPr>
          <w:rFonts w:ascii="Arial" w:hAnsi="Arial" w:cs="Arial"/>
          <w:szCs w:val="20"/>
        </w:rPr>
        <w:t>’</w:t>
      </w:r>
      <w:r w:rsidRPr="00A32AF4">
        <w:rPr>
          <w:rFonts w:ascii="Arial" w:hAnsi="Arial" w:cs="Arial"/>
          <w:szCs w:val="20"/>
        </w:rPr>
        <w:t>obtenir le maximum de collections nationales.  Les informations contenues dans les dossiers seront mises à disposition du public au moyen de passerelles avec le système WIPO CASE et les systèmes de dossier mondial ouverts au public des autres offices de propriété intellectuelle.  En fin de compte, une étude sera réalisée afin de déterminer la faisabilité de l</w:t>
      </w:r>
      <w:r w:rsidR="00E2055A" w:rsidRPr="00A32AF4">
        <w:rPr>
          <w:rFonts w:ascii="Arial" w:hAnsi="Arial" w:cs="Arial"/>
          <w:szCs w:val="20"/>
        </w:rPr>
        <w:t>’</w:t>
      </w:r>
      <w:r w:rsidRPr="00A32AF4">
        <w:rPr>
          <w:rFonts w:ascii="Arial" w:hAnsi="Arial" w:cs="Arial"/>
          <w:szCs w:val="20"/>
        </w:rPr>
        <w:t>indexation de la littérature scientifique en libre accès dans PATENTSCOPE afin de faciliter les recherches sur l</w:t>
      </w:r>
      <w:r w:rsidR="00E2055A" w:rsidRPr="00A32AF4">
        <w:rPr>
          <w:rFonts w:ascii="Arial" w:hAnsi="Arial" w:cs="Arial"/>
          <w:szCs w:val="20"/>
        </w:rPr>
        <w:t>’</w:t>
      </w:r>
      <w:r w:rsidRPr="00A32AF4">
        <w:rPr>
          <w:rFonts w:ascii="Arial" w:hAnsi="Arial" w:cs="Arial"/>
          <w:szCs w:val="20"/>
        </w:rPr>
        <w:t>état de la technique dans la littérature non</w:t>
      </w:r>
      <w:r w:rsidR="00EB7F54" w:rsidRPr="00A32AF4">
        <w:rPr>
          <w:rFonts w:ascii="Arial" w:hAnsi="Arial" w:cs="Arial"/>
          <w:szCs w:val="20"/>
        </w:rPr>
        <w:noBreakHyphen/>
      </w:r>
      <w:r w:rsidRPr="00A32AF4">
        <w:rPr>
          <w:rFonts w:ascii="Arial" w:hAnsi="Arial" w:cs="Arial"/>
          <w:szCs w:val="20"/>
        </w:rPr>
        <w:t>brevet.</w:t>
      </w:r>
    </w:p>
    <w:p w:rsidR="00F93B76" w:rsidRPr="00A32AF4" w:rsidRDefault="00F93B76" w:rsidP="00DC0553">
      <w:pPr>
        <w:pStyle w:val="ListParagraph"/>
        <w:tabs>
          <w:tab w:val="left" w:pos="709"/>
        </w:tabs>
        <w:autoSpaceDE w:val="0"/>
        <w:autoSpaceDN w:val="0"/>
        <w:adjustRightInd w:val="0"/>
        <w:spacing w:line="240" w:lineRule="auto"/>
        <w:ind w:left="0"/>
        <w:jc w:val="both"/>
        <w:rPr>
          <w:rFonts w:ascii="Arial" w:hAnsi="Arial" w:cs="Arial"/>
          <w:szCs w:val="20"/>
        </w:rPr>
      </w:pPr>
    </w:p>
    <w:p w:rsidR="00F93B76" w:rsidRPr="00A32AF4" w:rsidRDefault="00CD1430" w:rsidP="00DC0553">
      <w:pPr>
        <w:pStyle w:val="ListParagraph"/>
        <w:numPr>
          <w:ilvl w:val="0"/>
          <w:numId w:val="25"/>
        </w:numPr>
        <w:tabs>
          <w:tab w:val="left" w:pos="567"/>
        </w:tabs>
        <w:autoSpaceDE w:val="0"/>
        <w:autoSpaceDN w:val="0"/>
        <w:adjustRightInd w:val="0"/>
        <w:spacing w:after="0" w:line="240" w:lineRule="auto"/>
        <w:ind w:left="0" w:firstLine="0"/>
        <w:jc w:val="both"/>
        <w:rPr>
          <w:rFonts w:ascii="Arial" w:hAnsi="Arial" w:cs="Arial"/>
          <w:szCs w:val="20"/>
        </w:rPr>
      </w:pPr>
      <w:r w:rsidRPr="00A32AF4">
        <w:rPr>
          <w:rFonts w:ascii="Arial" w:hAnsi="Arial" w:cs="Arial"/>
          <w:b/>
          <w:bCs/>
          <w:szCs w:val="20"/>
        </w:rPr>
        <w:t>BASE DE DONNÉES MONDIALE SUR LES MARQUES DE L</w:t>
      </w:r>
      <w:r w:rsidR="00E2055A" w:rsidRPr="00A32AF4">
        <w:rPr>
          <w:rFonts w:ascii="Arial" w:hAnsi="Arial" w:cs="Arial"/>
          <w:b/>
          <w:bCs/>
          <w:szCs w:val="20"/>
        </w:rPr>
        <w:t>’</w:t>
      </w:r>
      <w:r w:rsidRPr="00A32AF4">
        <w:rPr>
          <w:rFonts w:ascii="Arial" w:hAnsi="Arial" w:cs="Arial"/>
          <w:b/>
          <w:bCs/>
          <w:szCs w:val="20"/>
        </w:rPr>
        <w:t>OMPI :</w:t>
      </w:r>
      <w:r w:rsidRPr="00A32AF4">
        <w:rPr>
          <w:rFonts w:ascii="Arial" w:hAnsi="Arial" w:cs="Arial"/>
          <w:bCs/>
          <w:szCs w:val="20"/>
        </w:rPr>
        <w:t xml:space="preserve"> la base de données couvrant les enregistrements internationaux selon les systèmes de Madrid et de Lisbonne, les collections nationales et régionales de données sur les marques et les emblèmes protégés en vertu de l</w:t>
      </w:r>
      <w:r w:rsidR="00E2055A" w:rsidRPr="00A32AF4">
        <w:rPr>
          <w:rFonts w:ascii="Arial" w:hAnsi="Arial" w:cs="Arial"/>
          <w:bCs/>
          <w:szCs w:val="20"/>
        </w:rPr>
        <w:t>’</w:t>
      </w:r>
      <w:r w:rsidRPr="00A32AF4">
        <w:rPr>
          <w:rFonts w:ascii="Arial" w:hAnsi="Arial" w:cs="Arial"/>
          <w:bCs/>
          <w:szCs w:val="20"/>
        </w:rPr>
        <w:t>article 6</w:t>
      </w:r>
      <w:r w:rsidRPr="00A32AF4">
        <w:rPr>
          <w:rFonts w:ascii="Arial" w:hAnsi="Arial" w:cs="Arial"/>
          <w:bCs/>
          <w:i/>
          <w:szCs w:val="20"/>
        </w:rPr>
        <w:t>ter</w:t>
      </w:r>
      <w:r w:rsidRPr="00A32AF4">
        <w:rPr>
          <w:rFonts w:ascii="Arial" w:hAnsi="Arial" w:cs="Arial"/>
          <w:bCs/>
          <w:szCs w:val="20"/>
        </w:rPr>
        <w:t xml:space="preserve"> de la Convention de Paris sera davantage développée au cours de l</w:t>
      </w:r>
      <w:r w:rsidR="00E2055A" w:rsidRPr="00A32AF4">
        <w:rPr>
          <w:rFonts w:ascii="Arial" w:hAnsi="Arial" w:cs="Arial"/>
          <w:bCs/>
          <w:szCs w:val="20"/>
        </w:rPr>
        <w:t>’</w:t>
      </w:r>
      <w:r w:rsidRPr="00A32AF4">
        <w:rPr>
          <w:rFonts w:ascii="Arial" w:hAnsi="Arial" w:cs="Arial"/>
          <w:bCs/>
          <w:szCs w:val="20"/>
        </w:rPr>
        <w:t xml:space="preserve">exercice biennal pour couvrir une trentaine de collections nationales de données. </w:t>
      </w:r>
      <w:r w:rsidRPr="00A32AF4">
        <w:rPr>
          <w:rFonts w:ascii="Arial" w:hAnsi="Arial" w:cs="Arial"/>
          <w:szCs w:val="20"/>
        </w:rPr>
        <w:t xml:space="preserve"> Les principales difficultés rencontrées sont le téléchargement d</w:t>
      </w:r>
      <w:r w:rsidR="00E2055A" w:rsidRPr="00A32AF4">
        <w:rPr>
          <w:rFonts w:ascii="Arial" w:hAnsi="Arial" w:cs="Arial"/>
          <w:szCs w:val="20"/>
        </w:rPr>
        <w:t>’</w:t>
      </w:r>
      <w:r w:rsidRPr="00A32AF4">
        <w:rPr>
          <w:rFonts w:ascii="Arial" w:hAnsi="Arial" w:cs="Arial"/>
          <w:szCs w:val="20"/>
        </w:rPr>
        <w:t>un plus grand nombre de données dans des formats différents et la recherche visant à renforcer l</w:t>
      </w:r>
      <w:r w:rsidR="00E2055A" w:rsidRPr="00A32AF4">
        <w:rPr>
          <w:rFonts w:ascii="Arial" w:hAnsi="Arial" w:cs="Arial"/>
          <w:szCs w:val="20"/>
        </w:rPr>
        <w:t>’</w:t>
      </w:r>
      <w:r w:rsidRPr="00A32AF4">
        <w:rPr>
          <w:rFonts w:ascii="Arial" w:hAnsi="Arial" w:cs="Arial"/>
          <w:szCs w:val="20"/>
        </w:rPr>
        <w:t>efficacité du système de recherche de la similarité des images pour les marques.</w:t>
      </w:r>
    </w:p>
    <w:p w:rsidR="00F93B76" w:rsidRPr="00A32AF4" w:rsidRDefault="00F93B76" w:rsidP="00DC0553">
      <w:pPr>
        <w:autoSpaceDE w:val="0"/>
        <w:autoSpaceDN w:val="0"/>
        <w:adjustRightInd w:val="0"/>
        <w:jc w:val="both"/>
        <w:rPr>
          <w:rFonts w:cs="Arial"/>
        </w:rPr>
      </w:pPr>
    </w:p>
    <w:p w:rsidR="00F93B76" w:rsidRPr="00A32AF4" w:rsidRDefault="00CD1430" w:rsidP="00DC0553">
      <w:pPr>
        <w:pStyle w:val="ListParagraph"/>
        <w:numPr>
          <w:ilvl w:val="0"/>
          <w:numId w:val="25"/>
        </w:numPr>
        <w:tabs>
          <w:tab w:val="left" w:pos="567"/>
        </w:tabs>
        <w:autoSpaceDE w:val="0"/>
        <w:autoSpaceDN w:val="0"/>
        <w:adjustRightInd w:val="0"/>
        <w:spacing w:after="0" w:line="240" w:lineRule="auto"/>
        <w:ind w:left="0" w:firstLine="0"/>
        <w:jc w:val="both"/>
        <w:rPr>
          <w:rFonts w:ascii="Arial" w:hAnsi="Arial" w:cs="Arial"/>
          <w:szCs w:val="20"/>
        </w:rPr>
      </w:pPr>
      <w:r w:rsidRPr="00A32AF4">
        <w:rPr>
          <w:rFonts w:ascii="Arial" w:hAnsi="Arial" w:cs="Arial"/>
          <w:b/>
          <w:szCs w:val="20"/>
        </w:rPr>
        <w:t>BASE DE DONNÉES MONDIALE SUR LES DESSINS ET MODÈLES DE L</w:t>
      </w:r>
      <w:r w:rsidR="00E2055A" w:rsidRPr="00A32AF4">
        <w:rPr>
          <w:rFonts w:ascii="Arial" w:hAnsi="Arial" w:cs="Arial"/>
          <w:b/>
          <w:szCs w:val="20"/>
        </w:rPr>
        <w:t>’</w:t>
      </w:r>
      <w:r w:rsidRPr="00A32AF4">
        <w:rPr>
          <w:rFonts w:ascii="Arial" w:hAnsi="Arial" w:cs="Arial"/>
          <w:b/>
          <w:szCs w:val="20"/>
        </w:rPr>
        <w:t>OMPI :</w:t>
      </w:r>
      <w:r w:rsidRPr="00A32AF4">
        <w:rPr>
          <w:rFonts w:ascii="Arial" w:hAnsi="Arial" w:cs="Arial"/>
          <w:szCs w:val="20"/>
        </w:rPr>
        <w:t xml:space="preserve"> la base de données couvrant les enregistrements internationaux selon le système de </w:t>
      </w:r>
      <w:r w:rsidR="00E2055A" w:rsidRPr="00A32AF4">
        <w:rPr>
          <w:rFonts w:ascii="Arial" w:hAnsi="Arial" w:cs="Arial"/>
          <w:szCs w:val="20"/>
        </w:rPr>
        <w:t>La Haye</w:t>
      </w:r>
      <w:r w:rsidRPr="00A32AF4">
        <w:rPr>
          <w:rFonts w:ascii="Arial" w:hAnsi="Arial" w:cs="Arial"/>
          <w:szCs w:val="20"/>
        </w:rPr>
        <w:t xml:space="preserve"> et </w:t>
      </w:r>
      <w:r w:rsidRPr="00A32AF4">
        <w:rPr>
          <w:rFonts w:ascii="Arial" w:hAnsi="Arial" w:cs="Arial"/>
          <w:bCs/>
          <w:szCs w:val="20"/>
        </w:rPr>
        <w:t>les collections nationales et régionales de données sur les dessins et modèles sera davantage développée au cours de l</w:t>
      </w:r>
      <w:r w:rsidR="00E2055A" w:rsidRPr="00A32AF4">
        <w:rPr>
          <w:rFonts w:ascii="Arial" w:hAnsi="Arial" w:cs="Arial"/>
          <w:bCs/>
          <w:szCs w:val="20"/>
        </w:rPr>
        <w:t>’</w:t>
      </w:r>
      <w:r w:rsidRPr="00A32AF4">
        <w:rPr>
          <w:rFonts w:ascii="Arial" w:hAnsi="Arial" w:cs="Arial"/>
          <w:bCs/>
          <w:szCs w:val="20"/>
        </w:rPr>
        <w:t>exercice biennal pour couvrir une dizaine de collections nationales de données.  Les principales difficultés rencontrées sont le téléchargement de données d</w:t>
      </w:r>
      <w:r w:rsidR="00E2055A" w:rsidRPr="00A32AF4">
        <w:rPr>
          <w:rFonts w:ascii="Arial" w:hAnsi="Arial" w:cs="Arial"/>
          <w:bCs/>
          <w:szCs w:val="20"/>
        </w:rPr>
        <w:t>’</w:t>
      </w:r>
      <w:r w:rsidRPr="00A32AF4">
        <w:rPr>
          <w:rFonts w:ascii="Arial" w:hAnsi="Arial" w:cs="Arial"/>
          <w:bCs/>
          <w:szCs w:val="20"/>
        </w:rPr>
        <w:t>images dans des formats différents et la mise en place d</w:t>
      </w:r>
      <w:r w:rsidR="00E2055A" w:rsidRPr="00A32AF4">
        <w:rPr>
          <w:rFonts w:ascii="Arial" w:hAnsi="Arial" w:cs="Arial"/>
          <w:bCs/>
          <w:szCs w:val="20"/>
        </w:rPr>
        <w:t>’</w:t>
      </w:r>
      <w:r w:rsidRPr="00A32AF4">
        <w:rPr>
          <w:rFonts w:ascii="Arial" w:hAnsi="Arial" w:cs="Arial"/>
          <w:bCs/>
          <w:szCs w:val="20"/>
        </w:rPr>
        <w:t>un système efficace de recherche de la similarité des dessins et modèles enregistrés en deux dimensions (classification de Locarno 32).</w:t>
      </w:r>
    </w:p>
    <w:p w:rsidR="00F93B76" w:rsidRPr="00A32AF4" w:rsidRDefault="00F93B76" w:rsidP="00DC0553"/>
    <w:p w:rsidR="00E2055A" w:rsidRPr="00A32AF4" w:rsidRDefault="00B70087" w:rsidP="00DC0553">
      <w:pPr>
        <w:pStyle w:val="Footer"/>
        <w:numPr>
          <w:ilvl w:val="0"/>
          <w:numId w:val="25"/>
        </w:numPr>
        <w:tabs>
          <w:tab w:val="clear" w:pos="4320"/>
          <w:tab w:val="clear" w:pos="8640"/>
          <w:tab w:val="left" w:pos="567"/>
        </w:tabs>
        <w:autoSpaceDE w:val="0"/>
        <w:autoSpaceDN w:val="0"/>
        <w:adjustRightInd w:val="0"/>
        <w:ind w:left="0" w:firstLine="0"/>
        <w:contextualSpacing/>
        <w:jc w:val="both"/>
        <w:rPr>
          <w:rFonts w:cs="Arial"/>
          <w:color w:val="000000"/>
        </w:rPr>
      </w:pPr>
      <w:r w:rsidRPr="00A32AF4">
        <w:rPr>
          <w:rFonts w:cs="Arial"/>
          <w:color w:val="000000"/>
        </w:rPr>
        <w:t>Le p</w:t>
      </w:r>
      <w:r w:rsidR="00464052" w:rsidRPr="00A32AF4">
        <w:rPr>
          <w:rFonts w:cs="Arial"/>
          <w:color w:val="000000"/>
        </w:rPr>
        <w:t>rogram</w:t>
      </w:r>
      <w:r w:rsidRPr="00A32AF4">
        <w:rPr>
          <w:rFonts w:cs="Arial"/>
          <w:color w:val="000000"/>
        </w:rPr>
        <w:t>me</w:t>
      </w:r>
      <w:r w:rsidR="00464052" w:rsidRPr="00A32AF4">
        <w:rPr>
          <w:rFonts w:cs="Arial"/>
          <w:color w:val="000000"/>
        </w:rPr>
        <w:t xml:space="preserve"> 13 collabor</w:t>
      </w:r>
      <w:r w:rsidRPr="00A32AF4">
        <w:rPr>
          <w:rFonts w:cs="Arial"/>
          <w:color w:val="000000"/>
        </w:rPr>
        <w:t>e essentiellement avec les autres programmes indiqués ci</w:t>
      </w:r>
      <w:r w:rsidR="00EB7F54" w:rsidRPr="00A32AF4">
        <w:rPr>
          <w:rFonts w:cs="Arial"/>
          <w:color w:val="000000"/>
        </w:rPr>
        <w:noBreakHyphen/>
      </w:r>
      <w:r w:rsidRPr="00A32AF4">
        <w:rPr>
          <w:rFonts w:cs="Arial"/>
          <w:color w:val="000000"/>
        </w:rPr>
        <w:t>dessous </w:t>
      </w:r>
      <w:r w:rsidR="00464052" w:rsidRPr="00A32AF4">
        <w:rPr>
          <w:rFonts w:cs="Arial"/>
          <w:color w:val="000000"/>
        </w:rPr>
        <w:t>:</w:t>
      </w:r>
    </w:p>
    <w:p w:rsidR="00F93B76" w:rsidRPr="00A32AF4" w:rsidRDefault="00F93B76" w:rsidP="00DC0553"/>
    <w:p w:rsidR="00F93B76" w:rsidRPr="00A32AF4" w:rsidRDefault="00F93B76" w:rsidP="00DC0553">
      <w:pPr>
        <w:rPr>
          <w:bCs/>
        </w:rPr>
      </w:pPr>
    </w:p>
    <w:p w:rsidR="00F93B76" w:rsidRPr="00A32AF4" w:rsidRDefault="00F93B76" w:rsidP="00DC0553">
      <w:pPr>
        <w:rPr>
          <w:rFonts w:cs="Arial"/>
          <w:bCs/>
        </w:rPr>
      </w:pPr>
    </w:p>
    <w:p w:rsidR="009E3D29" w:rsidRPr="00A32AF4" w:rsidRDefault="00093E9C" w:rsidP="00DC0553">
      <w:pPr>
        <w:rPr>
          <w:rFonts w:cs="Arial"/>
          <w:bCs/>
        </w:rPr>
      </w:pPr>
      <w:r w:rsidRPr="00A32AF4">
        <w:rPr>
          <w:noProof/>
          <w:lang w:eastAsia="fr-FR"/>
        </w:rPr>
        <w:drawing>
          <wp:inline distT="0" distB="0" distL="0" distR="0" wp14:anchorId="36D9EDE3" wp14:editId="6187E877">
            <wp:extent cx="5889600" cy="2304000"/>
            <wp:effectExtent l="0" t="0" r="0" b="58420"/>
            <wp:docPr id="77" name="Diagram 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8" r:lo="rId119" r:qs="rId120" r:cs="rId121"/>
              </a:graphicData>
            </a:graphic>
          </wp:inline>
        </w:drawing>
      </w:r>
    </w:p>
    <w:p w:rsidR="009E3D29" w:rsidRPr="00A32AF4" w:rsidRDefault="009E3D29" w:rsidP="00DC0553">
      <w:pPr>
        <w:rPr>
          <w:rFonts w:cs="Arial"/>
          <w:bCs/>
        </w:rPr>
      </w:pPr>
    </w:p>
    <w:p w:rsidR="00F93B76" w:rsidRPr="00A32AF4" w:rsidRDefault="00F93B76" w:rsidP="00DC0553">
      <w:pPr>
        <w:rPr>
          <w:rFonts w:cs="Arial"/>
          <w:bCs/>
        </w:rPr>
      </w:pPr>
    </w:p>
    <w:p w:rsidR="00F93B76" w:rsidRPr="00A32AF4" w:rsidRDefault="00F93B76" w:rsidP="00DC0553">
      <w:pPr>
        <w:rPr>
          <w:rFonts w:cs="Arial"/>
          <w:bCs/>
        </w:rPr>
      </w:pPr>
    </w:p>
    <w:p w:rsidR="00F93B76" w:rsidRPr="00A32AF4" w:rsidRDefault="00C06B2A" w:rsidP="00DC0553">
      <w:r w:rsidRPr="00A32AF4">
        <w:t>PRINCIPAUX RISQUES ET STRATÉGIES D</w:t>
      </w:r>
      <w:r w:rsidR="00E2055A" w:rsidRPr="00A32AF4">
        <w:t>’</w:t>
      </w:r>
      <w:r w:rsidRPr="00A32AF4">
        <w:t>ATTÉNUATION</w:t>
      </w:r>
    </w:p>
    <w:p w:rsidR="00CD1430" w:rsidRPr="00A32AF4" w:rsidRDefault="00CD1430" w:rsidP="00DC0553">
      <w:pPr>
        <w:keepNext/>
        <w:keepLines/>
        <w:rPr>
          <w:rFonts w:cs="Arial"/>
        </w:rPr>
      </w:pPr>
    </w:p>
    <w:tbl>
      <w:tblPr>
        <w:tblW w:w="9356"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253"/>
        <w:gridCol w:w="5103"/>
      </w:tblGrid>
      <w:tr w:rsidR="0038294E" w:rsidRPr="00A32AF4" w:rsidTr="004848EA">
        <w:trPr>
          <w:trHeight w:val="577"/>
        </w:trPr>
        <w:tc>
          <w:tcPr>
            <w:tcW w:w="4253" w:type="dxa"/>
            <w:tcBorders>
              <w:top w:val="single" w:sz="4" w:space="0" w:color="auto"/>
              <w:bottom w:val="single" w:sz="4" w:space="0" w:color="auto"/>
            </w:tcBorders>
            <w:shd w:val="clear" w:color="auto" w:fill="C6D9F1" w:themeFill="text2" w:themeFillTint="33"/>
            <w:vAlign w:val="center"/>
          </w:tcPr>
          <w:p w:rsidR="00CD1430" w:rsidRPr="00A32AF4" w:rsidRDefault="00CD1430" w:rsidP="00DC0553">
            <w:pPr>
              <w:keepNext/>
              <w:keepLines/>
              <w:jc w:val="center"/>
              <w:rPr>
                <w:b/>
                <w:bCs/>
                <w:sz w:val="18"/>
                <w:szCs w:val="18"/>
              </w:rPr>
            </w:pPr>
            <w:r w:rsidRPr="00A32AF4">
              <w:rPr>
                <w:b/>
                <w:bCs/>
                <w:sz w:val="18"/>
                <w:szCs w:val="18"/>
              </w:rPr>
              <w:t>Risque</w:t>
            </w:r>
            <w:r w:rsidR="00783124" w:rsidRPr="00A32AF4">
              <w:rPr>
                <w:b/>
                <w:bCs/>
                <w:sz w:val="18"/>
                <w:szCs w:val="18"/>
              </w:rPr>
              <w:t>s</w:t>
            </w:r>
          </w:p>
        </w:tc>
        <w:tc>
          <w:tcPr>
            <w:tcW w:w="5103" w:type="dxa"/>
            <w:tcBorders>
              <w:top w:val="single" w:sz="4" w:space="0" w:color="auto"/>
              <w:bottom w:val="single" w:sz="4" w:space="0" w:color="auto"/>
            </w:tcBorders>
            <w:shd w:val="clear" w:color="auto" w:fill="C6D9F1" w:themeFill="text2" w:themeFillTint="33"/>
            <w:vAlign w:val="center"/>
          </w:tcPr>
          <w:p w:rsidR="00CD1430" w:rsidRPr="00A32AF4" w:rsidRDefault="00FD3E7B" w:rsidP="00DC0553">
            <w:pPr>
              <w:keepNext/>
              <w:keepLines/>
              <w:jc w:val="center"/>
              <w:rPr>
                <w:b/>
                <w:bCs/>
                <w:sz w:val="18"/>
                <w:szCs w:val="18"/>
              </w:rPr>
            </w:pPr>
            <w:r w:rsidRPr="00A32AF4">
              <w:rPr>
                <w:b/>
                <w:bCs/>
                <w:sz w:val="18"/>
                <w:szCs w:val="18"/>
              </w:rPr>
              <w:t>Stratégie</w:t>
            </w:r>
            <w:r w:rsidR="00783124" w:rsidRPr="00A32AF4">
              <w:rPr>
                <w:b/>
                <w:bCs/>
                <w:sz w:val="18"/>
                <w:szCs w:val="18"/>
              </w:rPr>
              <w:t>s</w:t>
            </w:r>
            <w:r w:rsidRPr="00A32AF4">
              <w:rPr>
                <w:b/>
                <w:bCs/>
                <w:sz w:val="18"/>
                <w:szCs w:val="18"/>
              </w:rPr>
              <w:t xml:space="preserve"> d</w:t>
            </w:r>
            <w:r w:rsidR="00E2055A" w:rsidRPr="00A32AF4">
              <w:rPr>
                <w:b/>
                <w:bCs/>
                <w:sz w:val="18"/>
                <w:szCs w:val="18"/>
              </w:rPr>
              <w:t>’</w:t>
            </w:r>
            <w:r w:rsidRPr="00A32AF4">
              <w:rPr>
                <w:b/>
                <w:bCs/>
                <w:sz w:val="18"/>
                <w:szCs w:val="18"/>
              </w:rPr>
              <w:t>atténuation</w:t>
            </w:r>
          </w:p>
        </w:tc>
      </w:tr>
      <w:tr w:rsidR="00CD1430" w:rsidRPr="00A32AF4" w:rsidTr="007575E1">
        <w:trPr>
          <w:trHeight w:val="720"/>
        </w:trPr>
        <w:tc>
          <w:tcPr>
            <w:tcW w:w="4253" w:type="dxa"/>
            <w:tcBorders>
              <w:top w:val="single" w:sz="4" w:space="0" w:color="auto"/>
              <w:left w:val="single" w:sz="4" w:space="0" w:color="auto"/>
              <w:bottom w:val="single" w:sz="4" w:space="0" w:color="auto"/>
              <w:right w:val="nil"/>
            </w:tcBorders>
            <w:shd w:val="clear" w:color="auto" w:fill="auto"/>
            <w:tcMar>
              <w:top w:w="113" w:type="dxa"/>
              <w:bottom w:w="113" w:type="dxa"/>
            </w:tcMar>
          </w:tcPr>
          <w:p w:rsidR="00CD1430" w:rsidRPr="00A32AF4" w:rsidRDefault="00CD1430" w:rsidP="00DC0553">
            <w:pPr>
              <w:keepNext/>
              <w:keepLines/>
              <w:rPr>
                <w:sz w:val="12"/>
                <w:szCs w:val="16"/>
              </w:rPr>
            </w:pPr>
            <w:r w:rsidRPr="00A32AF4">
              <w:rPr>
                <w:sz w:val="16"/>
              </w:rPr>
              <w:t>Perte d</w:t>
            </w:r>
            <w:r w:rsidR="00E2055A" w:rsidRPr="00A32AF4">
              <w:rPr>
                <w:sz w:val="16"/>
              </w:rPr>
              <w:t>’</w:t>
            </w:r>
            <w:r w:rsidRPr="00A32AF4">
              <w:rPr>
                <w:sz w:val="16"/>
              </w:rPr>
              <w:t>accès aux bases de données mondiales suite à une perturbation du service d</w:t>
            </w:r>
            <w:r w:rsidR="00E2055A" w:rsidRPr="00A32AF4">
              <w:rPr>
                <w:sz w:val="16"/>
              </w:rPr>
              <w:t>’</w:t>
            </w:r>
            <w:r w:rsidRPr="00A32AF4">
              <w:rPr>
                <w:sz w:val="16"/>
              </w:rPr>
              <w:t>Internet localisé ou à une panne technique au siège de Genève.</w:t>
            </w:r>
          </w:p>
        </w:tc>
        <w:tc>
          <w:tcPr>
            <w:tcW w:w="5103" w:type="dxa"/>
            <w:tcBorders>
              <w:top w:val="single" w:sz="4" w:space="0" w:color="auto"/>
              <w:left w:val="nil"/>
              <w:bottom w:val="single" w:sz="4" w:space="0" w:color="auto"/>
              <w:right w:val="single" w:sz="4" w:space="0" w:color="auto"/>
            </w:tcBorders>
            <w:shd w:val="clear" w:color="auto" w:fill="auto"/>
            <w:tcMar>
              <w:top w:w="113" w:type="dxa"/>
              <w:bottom w:w="113" w:type="dxa"/>
            </w:tcMar>
          </w:tcPr>
          <w:p w:rsidR="00CD1430" w:rsidRPr="00A32AF4" w:rsidRDefault="00CD1430" w:rsidP="00DC0553">
            <w:pPr>
              <w:keepNext/>
              <w:keepLines/>
              <w:rPr>
                <w:sz w:val="12"/>
                <w:szCs w:val="16"/>
              </w:rPr>
            </w:pPr>
            <w:r w:rsidRPr="00A32AF4">
              <w:rPr>
                <w:sz w:val="16"/>
              </w:rPr>
              <w:t>Il sera possible de dupliquer le service et d</w:t>
            </w:r>
            <w:r w:rsidR="00E2055A" w:rsidRPr="00A32AF4">
              <w:rPr>
                <w:sz w:val="16"/>
              </w:rPr>
              <w:t>’</w:t>
            </w:r>
            <w:r w:rsidRPr="00A32AF4">
              <w:rPr>
                <w:sz w:val="16"/>
              </w:rPr>
              <w:t>accroître la diversité géographique en installant des serveurs miroirs éloignés afin de fournir aux utilisateurs des services plus efficaces et de maintenir l</w:t>
            </w:r>
            <w:r w:rsidR="00E2055A" w:rsidRPr="00A32AF4">
              <w:rPr>
                <w:sz w:val="16"/>
              </w:rPr>
              <w:t>’</w:t>
            </w:r>
            <w:r w:rsidRPr="00A32AF4">
              <w:rPr>
                <w:sz w:val="16"/>
              </w:rPr>
              <w:t>accès aux données en cas de perturbation technique localisée au siège de Genève.</w:t>
            </w:r>
          </w:p>
        </w:tc>
      </w:tr>
    </w:tbl>
    <w:p w:rsidR="00F93B76" w:rsidRPr="00A32AF4" w:rsidRDefault="00F93B76" w:rsidP="00DC0553"/>
    <w:p w:rsidR="00F93B76" w:rsidRPr="00A32AF4" w:rsidRDefault="00F93B76" w:rsidP="00DC0553"/>
    <w:p w:rsidR="00F93B76" w:rsidRPr="00A32AF4" w:rsidRDefault="00C06B2A" w:rsidP="00DC0553">
      <w:r w:rsidRPr="00A32AF4">
        <w:t>TABLEAU DES RÉSULTATS</w:t>
      </w:r>
    </w:p>
    <w:p w:rsidR="00CD1430" w:rsidRPr="00A32AF4" w:rsidRDefault="00CD1430" w:rsidP="00DC0553"/>
    <w:tbl>
      <w:tblPr>
        <w:tblW w:w="9320" w:type="dxa"/>
        <w:tblInd w:w="9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20"/>
        <w:gridCol w:w="2380"/>
        <w:gridCol w:w="2380"/>
        <w:gridCol w:w="2240"/>
      </w:tblGrid>
      <w:tr w:rsidR="0038294E" w:rsidRPr="00A32AF4" w:rsidTr="004848EA">
        <w:trPr>
          <w:cantSplit/>
          <w:tblHeader/>
        </w:trPr>
        <w:tc>
          <w:tcPr>
            <w:tcW w:w="2320" w:type="dxa"/>
            <w:tcBorders>
              <w:top w:val="single" w:sz="4" w:space="0" w:color="auto"/>
              <w:bottom w:val="single" w:sz="4" w:space="0" w:color="auto"/>
            </w:tcBorders>
            <w:shd w:val="clear" w:color="auto" w:fill="C6D9F1" w:themeFill="text2" w:themeFillTint="33"/>
            <w:tcMar>
              <w:top w:w="113" w:type="dxa"/>
              <w:bottom w:w="113" w:type="dxa"/>
            </w:tcMar>
            <w:vAlign w:val="center"/>
            <w:hideMark/>
          </w:tcPr>
          <w:p w:rsidR="00CD1430" w:rsidRPr="00A32AF4" w:rsidRDefault="00CD1430" w:rsidP="00DC0553">
            <w:pPr>
              <w:jc w:val="center"/>
              <w:rPr>
                <w:b/>
                <w:bCs/>
                <w:sz w:val="18"/>
                <w:szCs w:val="18"/>
              </w:rPr>
            </w:pPr>
            <w:r w:rsidRPr="00A32AF4">
              <w:rPr>
                <w:rFonts w:eastAsia="SimSun"/>
                <w:b/>
                <w:bCs/>
                <w:sz w:val="18"/>
              </w:rPr>
              <w:t>Résultats escomptés</w:t>
            </w:r>
          </w:p>
        </w:tc>
        <w:tc>
          <w:tcPr>
            <w:tcW w:w="2380" w:type="dxa"/>
            <w:tcBorders>
              <w:top w:val="single" w:sz="4" w:space="0" w:color="auto"/>
              <w:bottom w:val="single" w:sz="4" w:space="0" w:color="auto"/>
            </w:tcBorders>
            <w:shd w:val="clear" w:color="auto" w:fill="C6D9F1" w:themeFill="text2" w:themeFillTint="33"/>
            <w:tcMar>
              <w:top w:w="113" w:type="dxa"/>
              <w:bottom w:w="113" w:type="dxa"/>
            </w:tcMar>
            <w:vAlign w:val="center"/>
            <w:hideMark/>
          </w:tcPr>
          <w:p w:rsidR="00CD1430" w:rsidRPr="00A32AF4" w:rsidRDefault="00CD1430" w:rsidP="00DC0553">
            <w:pPr>
              <w:jc w:val="center"/>
              <w:rPr>
                <w:b/>
                <w:bCs/>
                <w:sz w:val="18"/>
                <w:szCs w:val="18"/>
              </w:rPr>
            </w:pPr>
            <w:r w:rsidRPr="00A32AF4">
              <w:rPr>
                <w:rFonts w:eastAsia="SimSun"/>
                <w:b/>
                <w:bCs/>
                <w:sz w:val="18"/>
              </w:rPr>
              <w:t>Indicateurs d</w:t>
            </w:r>
            <w:r w:rsidR="00E2055A" w:rsidRPr="00A32AF4">
              <w:rPr>
                <w:rFonts w:eastAsia="SimSun"/>
                <w:b/>
                <w:bCs/>
                <w:sz w:val="18"/>
              </w:rPr>
              <w:t>’</w:t>
            </w:r>
            <w:r w:rsidRPr="00A32AF4">
              <w:rPr>
                <w:rFonts w:eastAsia="SimSun"/>
                <w:b/>
                <w:bCs/>
                <w:sz w:val="18"/>
              </w:rPr>
              <w:t>exécution</w:t>
            </w:r>
          </w:p>
        </w:tc>
        <w:tc>
          <w:tcPr>
            <w:tcW w:w="2380" w:type="dxa"/>
            <w:tcBorders>
              <w:top w:val="single" w:sz="4" w:space="0" w:color="auto"/>
              <w:bottom w:val="single" w:sz="4" w:space="0" w:color="auto"/>
            </w:tcBorders>
            <w:shd w:val="clear" w:color="auto" w:fill="C6D9F1" w:themeFill="text2" w:themeFillTint="33"/>
            <w:tcMar>
              <w:top w:w="113" w:type="dxa"/>
              <w:bottom w:w="113" w:type="dxa"/>
            </w:tcMar>
            <w:vAlign w:val="center"/>
            <w:hideMark/>
          </w:tcPr>
          <w:p w:rsidR="00CD1430" w:rsidRPr="00A32AF4" w:rsidRDefault="00CD1430" w:rsidP="00DC0553">
            <w:pPr>
              <w:jc w:val="center"/>
              <w:rPr>
                <w:b/>
                <w:bCs/>
                <w:sz w:val="18"/>
                <w:szCs w:val="18"/>
              </w:rPr>
            </w:pPr>
            <w:r w:rsidRPr="00A32AF4">
              <w:rPr>
                <w:rFonts w:eastAsia="SimSun"/>
                <w:b/>
                <w:bCs/>
                <w:sz w:val="18"/>
              </w:rPr>
              <w:t>Niveaux de référence</w:t>
            </w:r>
          </w:p>
        </w:tc>
        <w:tc>
          <w:tcPr>
            <w:tcW w:w="2240" w:type="dxa"/>
            <w:tcBorders>
              <w:top w:val="single" w:sz="4" w:space="0" w:color="auto"/>
              <w:bottom w:val="single" w:sz="4" w:space="0" w:color="auto"/>
            </w:tcBorders>
            <w:shd w:val="clear" w:color="auto" w:fill="C6D9F1" w:themeFill="text2" w:themeFillTint="33"/>
            <w:tcMar>
              <w:top w:w="113" w:type="dxa"/>
              <w:bottom w:w="113" w:type="dxa"/>
            </w:tcMar>
            <w:vAlign w:val="center"/>
            <w:hideMark/>
          </w:tcPr>
          <w:p w:rsidR="00CD1430" w:rsidRPr="00A32AF4" w:rsidRDefault="00CD1430" w:rsidP="00DC0553">
            <w:pPr>
              <w:jc w:val="center"/>
              <w:rPr>
                <w:b/>
                <w:bCs/>
                <w:sz w:val="18"/>
                <w:szCs w:val="18"/>
              </w:rPr>
            </w:pPr>
            <w:r w:rsidRPr="00A32AF4">
              <w:rPr>
                <w:rFonts w:eastAsia="SimSun"/>
                <w:b/>
                <w:bCs/>
                <w:sz w:val="18"/>
              </w:rPr>
              <w:t>Objectifs visés</w:t>
            </w:r>
          </w:p>
        </w:tc>
      </w:tr>
      <w:tr w:rsidR="0038294E" w:rsidRPr="00A32AF4" w:rsidTr="004848EA">
        <w:trPr>
          <w:cantSplit/>
        </w:trPr>
        <w:tc>
          <w:tcPr>
            <w:tcW w:w="2320" w:type="dxa"/>
            <w:vMerge w:val="restart"/>
            <w:tcBorders>
              <w:top w:val="single" w:sz="4" w:space="0" w:color="auto"/>
            </w:tcBorders>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IV.2 Amélioration de l</w:t>
            </w:r>
            <w:r w:rsidR="00E2055A" w:rsidRPr="00A32AF4">
              <w:rPr>
                <w:sz w:val="16"/>
                <w:szCs w:val="16"/>
              </w:rPr>
              <w:t>’</w:t>
            </w:r>
            <w:r w:rsidRPr="00A32AF4">
              <w:rPr>
                <w:sz w:val="16"/>
                <w:szCs w:val="16"/>
              </w:rPr>
              <w:t>accessibilité et de l</w:t>
            </w:r>
            <w:r w:rsidR="00E2055A" w:rsidRPr="00A32AF4">
              <w:rPr>
                <w:sz w:val="16"/>
                <w:szCs w:val="16"/>
              </w:rPr>
              <w:t>’</w:t>
            </w:r>
            <w:r w:rsidRPr="00A32AF4">
              <w:rPr>
                <w:sz w:val="16"/>
                <w:szCs w:val="16"/>
              </w:rPr>
              <w:t>utilisation de l</w:t>
            </w:r>
            <w:r w:rsidR="00E2055A" w:rsidRPr="00A32AF4">
              <w:rPr>
                <w:sz w:val="16"/>
                <w:szCs w:val="16"/>
              </w:rPr>
              <w:t>’</w:t>
            </w:r>
            <w:r w:rsidRPr="00A32AF4">
              <w:rPr>
                <w:sz w:val="16"/>
                <w:szCs w:val="16"/>
              </w:rPr>
              <w:t>information en matière de propriété intellectuelle par les institutions compétentes et le public afin de promouvoir l</w:t>
            </w:r>
            <w:r w:rsidR="00E2055A" w:rsidRPr="00A32AF4">
              <w:rPr>
                <w:sz w:val="16"/>
                <w:szCs w:val="16"/>
              </w:rPr>
              <w:t>’</w:t>
            </w:r>
            <w:r w:rsidRPr="00A32AF4">
              <w:rPr>
                <w:sz w:val="16"/>
                <w:szCs w:val="16"/>
              </w:rPr>
              <w:t>innovation et la créativité</w:t>
            </w:r>
          </w:p>
        </w:tc>
        <w:tc>
          <w:tcPr>
            <w:tcW w:w="2380" w:type="dxa"/>
            <w:tcBorders>
              <w:top w:val="single" w:sz="4" w:space="0" w:color="auto"/>
            </w:tcBorders>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Nombre d</w:t>
            </w:r>
            <w:r w:rsidR="00E2055A" w:rsidRPr="00A32AF4">
              <w:rPr>
                <w:sz w:val="16"/>
                <w:szCs w:val="16"/>
              </w:rPr>
              <w:t>’</w:t>
            </w:r>
            <w:r w:rsidRPr="00A32AF4">
              <w:rPr>
                <w:sz w:val="16"/>
                <w:szCs w:val="16"/>
              </w:rPr>
              <w:t xml:space="preserve">utilisateurs différents par trimestre dans tous les systèmes de bases de données mondiales </w:t>
            </w:r>
          </w:p>
        </w:tc>
        <w:tc>
          <w:tcPr>
            <w:tcW w:w="2380" w:type="dxa"/>
            <w:tcBorders>
              <w:top w:val="single" w:sz="4" w:space="0" w:color="auto"/>
            </w:tcBorders>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Visiteurs uniques (Q4 2014) PATENTSCOPE 592 </w:t>
            </w:r>
            <w:proofErr w:type="gramStart"/>
            <w:r w:rsidRPr="00A32AF4">
              <w:rPr>
                <w:sz w:val="16"/>
                <w:szCs w:val="16"/>
              </w:rPr>
              <w:t>000;</w:t>
            </w:r>
            <w:proofErr w:type="gramEnd"/>
            <w:r w:rsidRPr="00A32AF4">
              <w:rPr>
                <w:sz w:val="16"/>
                <w:szCs w:val="16"/>
              </w:rPr>
              <w:t xml:space="preserve">  GBD 49 000;  GDD n.d.</w:t>
            </w:r>
          </w:p>
        </w:tc>
        <w:tc>
          <w:tcPr>
            <w:tcW w:w="2240" w:type="dxa"/>
            <w:tcBorders>
              <w:top w:val="single" w:sz="4" w:space="0" w:color="auto"/>
            </w:tcBorders>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PATENTSCOPE 650 </w:t>
            </w:r>
            <w:proofErr w:type="gramStart"/>
            <w:r w:rsidRPr="00A32AF4">
              <w:rPr>
                <w:sz w:val="16"/>
                <w:szCs w:val="16"/>
              </w:rPr>
              <w:t>000;</w:t>
            </w:r>
            <w:proofErr w:type="gramEnd"/>
            <w:r w:rsidRPr="00A32AF4">
              <w:rPr>
                <w:sz w:val="16"/>
                <w:szCs w:val="16"/>
              </w:rPr>
              <w:t xml:space="preserve">  GBD 70 000;  GDD 15 000</w:t>
            </w:r>
          </w:p>
        </w:tc>
      </w:tr>
      <w:tr w:rsidR="0038294E" w:rsidRPr="00A32AF4" w:rsidTr="004848EA">
        <w:trPr>
          <w:cantSplit/>
        </w:trPr>
        <w:tc>
          <w:tcPr>
            <w:tcW w:w="2320" w:type="dxa"/>
            <w:vMerge/>
            <w:tcMar>
              <w:top w:w="113" w:type="dxa"/>
              <w:bottom w:w="113" w:type="dxa"/>
            </w:tcMar>
            <w:vAlign w:val="center"/>
            <w:hideMark/>
          </w:tcPr>
          <w:p w:rsidR="00CD1430" w:rsidRPr="00A32AF4" w:rsidRDefault="00CD1430" w:rsidP="00DC0553">
            <w:pPr>
              <w:rPr>
                <w:sz w:val="16"/>
                <w:szCs w:val="16"/>
              </w:rPr>
            </w:pPr>
          </w:p>
        </w:tc>
        <w:tc>
          <w:tcPr>
            <w:tcW w:w="2380" w:type="dxa"/>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Nombre de langues dans lesquelles il est possible de faire des recherches multilingues</w:t>
            </w:r>
          </w:p>
        </w:tc>
        <w:tc>
          <w:tcPr>
            <w:tcW w:w="2380" w:type="dxa"/>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12 (fin 2014)</w:t>
            </w:r>
          </w:p>
        </w:tc>
        <w:tc>
          <w:tcPr>
            <w:tcW w:w="2240" w:type="dxa"/>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14</w:t>
            </w:r>
          </w:p>
        </w:tc>
      </w:tr>
      <w:tr w:rsidR="0038294E" w:rsidRPr="00A32AF4" w:rsidTr="004848EA">
        <w:trPr>
          <w:cantSplit/>
        </w:trPr>
        <w:tc>
          <w:tcPr>
            <w:tcW w:w="2320" w:type="dxa"/>
            <w:vMerge/>
            <w:tcMar>
              <w:top w:w="113" w:type="dxa"/>
              <w:bottom w:w="113" w:type="dxa"/>
            </w:tcMar>
            <w:vAlign w:val="center"/>
            <w:hideMark/>
          </w:tcPr>
          <w:p w:rsidR="00CD1430" w:rsidRPr="00A32AF4" w:rsidRDefault="00CD1430" w:rsidP="00DC0553">
            <w:pPr>
              <w:rPr>
                <w:sz w:val="16"/>
                <w:szCs w:val="16"/>
              </w:rPr>
            </w:pPr>
          </w:p>
        </w:tc>
        <w:tc>
          <w:tcPr>
            <w:tcW w:w="2380" w:type="dxa"/>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Nombre de combinaisons linguistiques disponibles pour la traduction des descriptions et des revendications</w:t>
            </w:r>
          </w:p>
        </w:tc>
        <w:tc>
          <w:tcPr>
            <w:tcW w:w="2380" w:type="dxa"/>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0 (fin 2014)</w:t>
            </w:r>
          </w:p>
        </w:tc>
        <w:tc>
          <w:tcPr>
            <w:tcW w:w="2240" w:type="dxa"/>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4</w:t>
            </w:r>
          </w:p>
        </w:tc>
      </w:tr>
      <w:tr w:rsidR="0038294E" w:rsidRPr="00A32AF4" w:rsidTr="004848EA">
        <w:trPr>
          <w:cantSplit/>
        </w:trPr>
        <w:tc>
          <w:tcPr>
            <w:tcW w:w="2320" w:type="dxa"/>
            <w:vMerge/>
            <w:tcMar>
              <w:top w:w="113" w:type="dxa"/>
              <w:bottom w:w="113" w:type="dxa"/>
            </w:tcMar>
            <w:vAlign w:val="center"/>
            <w:hideMark/>
          </w:tcPr>
          <w:p w:rsidR="00CD1430" w:rsidRPr="00A32AF4" w:rsidRDefault="00CD1430" w:rsidP="00DC0553">
            <w:pPr>
              <w:rPr>
                <w:sz w:val="16"/>
                <w:szCs w:val="16"/>
              </w:rPr>
            </w:pPr>
          </w:p>
        </w:tc>
        <w:tc>
          <w:tcPr>
            <w:tcW w:w="2380" w:type="dxa"/>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Nombre d</w:t>
            </w:r>
            <w:r w:rsidR="00E2055A" w:rsidRPr="00A32AF4">
              <w:rPr>
                <w:sz w:val="16"/>
                <w:szCs w:val="16"/>
              </w:rPr>
              <w:t>’</w:t>
            </w:r>
            <w:r w:rsidRPr="00A32AF4">
              <w:rPr>
                <w:sz w:val="16"/>
                <w:szCs w:val="16"/>
              </w:rPr>
              <w:t>entrées figurant dans PATENTSCOPE</w:t>
            </w:r>
          </w:p>
        </w:tc>
        <w:tc>
          <w:tcPr>
            <w:tcW w:w="2380" w:type="dxa"/>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43 000 000 (fin 2014)</w:t>
            </w:r>
          </w:p>
        </w:tc>
        <w:tc>
          <w:tcPr>
            <w:tcW w:w="2240" w:type="dxa"/>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50 000 000</w:t>
            </w:r>
          </w:p>
        </w:tc>
      </w:tr>
      <w:tr w:rsidR="008C0302" w:rsidRPr="00A32AF4" w:rsidTr="004848EA">
        <w:trPr>
          <w:cantSplit/>
        </w:trPr>
        <w:tc>
          <w:tcPr>
            <w:tcW w:w="2320" w:type="dxa"/>
            <w:shd w:val="clear" w:color="000000" w:fill="FFFFFF"/>
            <w:tcMar>
              <w:top w:w="113" w:type="dxa"/>
              <w:bottom w:w="113" w:type="dxa"/>
            </w:tcMar>
          </w:tcPr>
          <w:p w:rsidR="008C0302" w:rsidRPr="00A32AF4" w:rsidRDefault="008C0302" w:rsidP="00DC0553">
            <w:pPr>
              <w:rPr>
                <w:sz w:val="16"/>
                <w:szCs w:val="16"/>
              </w:rPr>
            </w:pPr>
          </w:p>
        </w:tc>
        <w:tc>
          <w:tcPr>
            <w:tcW w:w="2380" w:type="dxa"/>
            <w:shd w:val="clear" w:color="000000" w:fill="FFFFFF"/>
            <w:tcMar>
              <w:top w:w="113" w:type="dxa"/>
              <w:bottom w:w="113" w:type="dxa"/>
            </w:tcMar>
          </w:tcPr>
          <w:p w:rsidR="008C0302" w:rsidRPr="00A32AF4" w:rsidRDefault="008C0302" w:rsidP="00B305E4">
            <w:pPr>
              <w:rPr>
                <w:sz w:val="16"/>
                <w:szCs w:val="16"/>
              </w:rPr>
            </w:pPr>
            <w:r w:rsidRPr="00A32AF4">
              <w:rPr>
                <w:sz w:val="16"/>
                <w:szCs w:val="16"/>
              </w:rPr>
              <w:t xml:space="preserve">Délai de téléchargement des données (nombre </w:t>
            </w:r>
            <w:r w:rsidR="00B305E4" w:rsidRPr="00A32AF4">
              <w:rPr>
                <w:sz w:val="16"/>
                <w:szCs w:val="16"/>
              </w:rPr>
              <w:t xml:space="preserve">moyen </w:t>
            </w:r>
            <w:r w:rsidRPr="00A32AF4">
              <w:rPr>
                <w:sz w:val="16"/>
                <w:szCs w:val="16"/>
              </w:rPr>
              <w:t>de jours</w:t>
            </w:r>
            <w:r w:rsidR="00B305E4" w:rsidRPr="00A32AF4">
              <w:rPr>
                <w:sz w:val="16"/>
                <w:szCs w:val="16"/>
              </w:rPr>
              <w:t xml:space="preserve"> </w:t>
            </w:r>
            <w:r w:rsidRPr="00A32AF4">
              <w:rPr>
                <w:sz w:val="16"/>
                <w:szCs w:val="16"/>
              </w:rPr>
              <w:t xml:space="preserve">entre la date de publication des enregistrements dans le registre officiel et leur mise à disposition dans les bases de données mondiales </w:t>
            </w:r>
            <w:r w:rsidR="002F02A1" w:rsidRPr="00A32AF4">
              <w:rPr>
                <w:sz w:val="16"/>
                <w:szCs w:val="16"/>
              </w:rPr>
              <w:t xml:space="preserve">pour un </w:t>
            </w:r>
            <w:r w:rsidRPr="00A32AF4">
              <w:rPr>
                <w:sz w:val="16"/>
                <w:szCs w:val="16"/>
              </w:rPr>
              <w:t>sous</w:t>
            </w:r>
            <w:r w:rsidR="00EB7F54" w:rsidRPr="00A32AF4">
              <w:rPr>
                <w:sz w:val="16"/>
                <w:szCs w:val="16"/>
              </w:rPr>
              <w:noBreakHyphen/>
            </w:r>
            <w:r w:rsidRPr="00A32AF4">
              <w:rPr>
                <w:sz w:val="16"/>
                <w:szCs w:val="16"/>
              </w:rPr>
              <w:t>ensemble</w:t>
            </w:r>
            <w:r w:rsidR="002F02A1" w:rsidRPr="00A32AF4">
              <w:rPr>
                <w:sz w:val="16"/>
                <w:szCs w:val="16"/>
              </w:rPr>
              <w:t xml:space="preserve"> représentatif</w:t>
            </w:r>
            <w:r w:rsidRPr="00A32AF4">
              <w:rPr>
                <w:sz w:val="16"/>
                <w:szCs w:val="16"/>
              </w:rPr>
              <w:t xml:space="preserve"> de collections nationales)</w:t>
            </w:r>
          </w:p>
        </w:tc>
        <w:tc>
          <w:tcPr>
            <w:tcW w:w="2380" w:type="dxa"/>
            <w:shd w:val="clear" w:color="000000" w:fill="FFFFFF"/>
            <w:tcMar>
              <w:top w:w="113" w:type="dxa"/>
              <w:bottom w:w="113" w:type="dxa"/>
            </w:tcMar>
          </w:tcPr>
          <w:p w:rsidR="008C0302" w:rsidRPr="00A32AF4" w:rsidRDefault="00752A62" w:rsidP="00DC0553">
            <w:pPr>
              <w:rPr>
                <w:sz w:val="16"/>
                <w:szCs w:val="16"/>
              </w:rPr>
            </w:pPr>
            <w:r w:rsidRPr="00A32AF4">
              <w:rPr>
                <w:sz w:val="16"/>
                <w:szCs w:val="16"/>
              </w:rPr>
              <w:t>s.o.</w:t>
            </w:r>
          </w:p>
        </w:tc>
        <w:tc>
          <w:tcPr>
            <w:tcW w:w="2240" w:type="dxa"/>
            <w:shd w:val="clear" w:color="000000" w:fill="FFFFFF"/>
            <w:tcMar>
              <w:top w:w="113" w:type="dxa"/>
              <w:bottom w:w="113" w:type="dxa"/>
            </w:tcMar>
          </w:tcPr>
          <w:p w:rsidR="008C0302" w:rsidRPr="00A32AF4" w:rsidRDefault="00C65C17" w:rsidP="00DC0553">
            <w:pPr>
              <w:rPr>
                <w:sz w:val="16"/>
                <w:szCs w:val="16"/>
              </w:rPr>
            </w:pPr>
            <w:r w:rsidRPr="00A32AF4">
              <w:rPr>
                <w:sz w:val="16"/>
                <w:szCs w:val="16"/>
              </w:rPr>
              <w:t>45 jours</w:t>
            </w:r>
          </w:p>
        </w:tc>
      </w:tr>
      <w:tr w:rsidR="0038294E" w:rsidRPr="00A32AF4" w:rsidTr="004848EA">
        <w:trPr>
          <w:cantSplit/>
        </w:trPr>
        <w:tc>
          <w:tcPr>
            <w:tcW w:w="2320" w:type="dxa"/>
            <w:vMerge w:val="restart"/>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IV.3 Élargissement de la portée géographique du contenu et de l</w:t>
            </w:r>
            <w:r w:rsidR="00E2055A" w:rsidRPr="00A32AF4">
              <w:rPr>
                <w:sz w:val="16"/>
                <w:szCs w:val="16"/>
              </w:rPr>
              <w:t>’</w:t>
            </w:r>
            <w:r w:rsidRPr="00A32AF4">
              <w:rPr>
                <w:sz w:val="16"/>
                <w:szCs w:val="16"/>
              </w:rPr>
              <w:t>utilisation des bases de données mondiales de l</w:t>
            </w:r>
            <w:r w:rsidR="00E2055A" w:rsidRPr="00A32AF4">
              <w:rPr>
                <w:sz w:val="16"/>
                <w:szCs w:val="16"/>
              </w:rPr>
              <w:t>’</w:t>
            </w:r>
            <w:r w:rsidRPr="00A32AF4">
              <w:rPr>
                <w:sz w:val="16"/>
                <w:szCs w:val="16"/>
              </w:rPr>
              <w:t>OMPI en matière de propriété intellectuelle</w:t>
            </w:r>
          </w:p>
        </w:tc>
        <w:tc>
          <w:tcPr>
            <w:tcW w:w="2380" w:type="dxa"/>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Nombre d</w:t>
            </w:r>
            <w:r w:rsidR="00E2055A" w:rsidRPr="00A32AF4">
              <w:rPr>
                <w:sz w:val="16"/>
                <w:szCs w:val="16"/>
              </w:rPr>
              <w:t>’</w:t>
            </w:r>
            <w:r w:rsidRPr="00A32AF4">
              <w:rPr>
                <w:sz w:val="16"/>
                <w:szCs w:val="16"/>
              </w:rPr>
              <w:t xml:space="preserve">entrées figurant dans la base de données mondiale sur les marques </w:t>
            </w:r>
          </w:p>
        </w:tc>
        <w:tc>
          <w:tcPr>
            <w:tcW w:w="2380" w:type="dxa"/>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15 800 000 (fin 2014)</w:t>
            </w:r>
          </w:p>
        </w:tc>
        <w:tc>
          <w:tcPr>
            <w:tcW w:w="2240" w:type="dxa"/>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25 000 000</w:t>
            </w:r>
          </w:p>
        </w:tc>
      </w:tr>
      <w:tr w:rsidR="0038294E" w:rsidRPr="00A32AF4" w:rsidTr="004848EA">
        <w:trPr>
          <w:cantSplit/>
        </w:trPr>
        <w:tc>
          <w:tcPr>
            <w:tcW w:w="2320" w:type="dxa"/>
            <w:vMerge/>
            <w:tcMar>
              <w:top w:w="113" w:type="dxa"/>
              <w:bottom w:w="113" w:type="dxa"/>
            </w:tcMar>
            <w:vAlign w:val="center"/>
            <w:hideMark/>
          </w:tcPr>
          <w:p w:rsidR="00CD1430" w:rsidRPr="00A32AF4" w:rsidRDefault="00CD1430" w:rsidP="00DC0553">
            <w:pPr>
              <w:rPr>
                <w:sz w:val="16"/>
                <w:szCs w:val="16"/>
              </w:rPr>
            </w:pPr>
          </w:p>
        </w:tc>
        <w:tc>
          <w:tcPr>
            <w:tcW w:w="2380" w:type="dxa"/>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Nombre d</w:t>
            </w:r>
            <w:r w:rsidR="00E2055A" w:rsidRPr="00A32AF4">
              <w:rPr>
                <w:sz w:val="16"/>
                <w:szCs w:val="16"/>
              </w:rPr>
              <w:t>’</w:t>
            </w:r>
            <w:r w:rsidRPr="00A32AF4">
              <w:rPr>
                <w:sz w:val="16"/>
                <w:szCs w:val="16"/>
              </w:rPr>
              <w:t xml:space="preserve">entrées figurant dans la base de données mondiale sur les dessins et modèles </w:t>
            </w:r>
          </w:p>
        </w:tc>
        <w:tc>
          <w:tcPr>
            <w:tcW w:w="2380" w:type="dxa"/>
            <w:shd w:val="clear" w:color="000000" w:fill="FFFFFF"/>
            <w:tcMar>
              <w:top w:w="113" w:type="dxa"/>
              <w:bottom w:w="113" w:type="dxa"/>
            </w:tcMar>
            <w:hideMark/>
          </w:tcPr>
          <w:p w:rsidR="00CD1430" w:rsidRPr="00A32AF4" w:rsidRDefault="00752A62" w:rsidP="00DC0553">
            <w:pPr>
              <w:rPr>
                <w:sz w:val="16"/>
                <w:szCs w:val="16"/>
              </w:rPr>
            </w:pPr>
            <w:r w:rsidRPr="00A32AF4">
              <w:rPr>
                <w:sz w:val="16"/>
                <w:szCs w:val="16"/>
              </w:rPr>
              <w:t>s.o.</w:t>
            </w:r>
          </w:p>
        </w:tc>
        <w:tc>
          <w:tcPr>
            <w:tcW w:w="2240" w:type="dxa"/>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1 000 000</w:t>
            </w:r>
          </w:p>
        </w:tc>
      </w:tr>
      <w:tr w:rsidR="0038294E" w:rsidRPr="00A32AF4" w:rsidTr="004848EA">
        <w:trPr>
          <w:cantSplit/>
        </w:trPr>
        <w:tc>
          <w:tcPr>
            <w:tcW w:w="2320" w:type="dxa"/>
            <w:vMerge/>
            <w:tcMar>
              <w:top w:w="113" w:type="dxa"/>
              <w:bottom w:w="113" w:type="dxa"/>
            </w:tcMar>
            <w:vAlign w:val="center"/>
            <w:hideMark/>
          </w:tcPr>
          <w:p w:rsidR="00CD1430" w:rsidRPr="00A32AF4" w:rsidRDefault="00CD1430" w:rsidP="00DC0553">
            <w:pPr>
              <w:rPr>
                <w:sz w:val="16"/>
                <w:szCs w:val="16"/>
              </w:rPr>
            </w:pPr>
          </w:p>
        </w:tc>
        <w:tc>
          <w:tcPr>
            <w:tcW w:w="2380" w:type="dxa"/>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 xml:space="preserve">Nombre de collections nationales dans PATENTSCOPE </w:t>
            </w:r>
          </w:p>
        </w:tc>
        <w:tc>
          <w:tcPr>
            <w:tcW w:w="2380" w:type="dxa"/>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40 (fin 2014)</w:t>
            </w:r>
          </w:p>
        </w:tc>
        <w:tc>
          <w:tcPr>
            <w:tcW w:w="2240" w:type="dxa"/>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50</w:t>
            </w:r>
          </w:p>
        </w:tc>
      </w:tr>
      <w:tr w:rsidR="0038294E" w:rsidRPr="00A32AF4" w:rsidTr="004848EA">
        <w:trPr>
          <w:cantSplit/>
        </w:trPr>
        <w:tc>
          <w:tcPr>
            <w:tcW w:w="2320" w:type="dxa"/>
            <w:vMerge/>
            <w:tcMar>
              <w:top w:w="113" w:type="dxa"/>
              <w:bottom w:w="113" w:type="dxa"/>
            </w:tcMar>
            <w:vAlign w:val="center"/>
            <w:hideMark/>
          </w:tcPr>
          <w:p w:rsidR="00CD1430" w:rsidRPr="00A32AF4" w:rsidRDefault="00CD1430" w:rsidP="00DC0553">
            <w:pPr>
              <w:rPr>
                <w:sz w:val="16"/>
                <w:szCs w:val="16"/>
              </w:rPr>
            </w:pPr>
          </w:p>
        </w:tc>
        <w:tc>
          <w:tcPr>
            <w:tcW w:w="2380" w:type="dxa"/>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Nombre de collections nationales dans la Base de données mondiale sur les marques</w:t>
            </w:r>
          </w:p>
        </w:tc>
        <w:tc>
          <w:tcPr>
            <w:tcW w:w="2380" w:type="dxa"/>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18 (fin 2014)</w:t>
            </w:r>
          </w:p>
        </w:tc>
        <w:tc>
          <w:tcPr>
            <w:tcW w:w="2240" w:type="dxa"/>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32</w:t>
            </w:r>
          </w:p>
        </w:tc>
      </w:tr>
    </w:tbl>
    <w:p w:rsidR="00F93B76" w:rsidRPr="00A32AF4" w:rsidRDefault="00F93B76" w:rsidP="00DC0553">
      <w:pPr>
        <w:tabs>
          <w:tab w:val="left" w:pos="567"/>
          <w:tab w:val="left" w:pos="1985"/>
        </w:tabs>
        <w:jc w:val="both"/>
        <w:rPr>
          <w:bCs/>
        </w:rPr>
      </w:pPr>
    </w:p>
    <w:p w:rsidR="00F93B76" w:rsidRPr="00A32AF4" w:rsidRDefault="00F93B76" w:rsidP="00DC0553">
      <w:pPr>
        <w:tabs>
          <w:tab w:val="left" w:pos="567"/>
          <w:tab w:val="left" w:pos="1985"/>
        </w:tabs>
        <w:jc w:val="both"/>
        <w:rPr>
          <w:bCs/>
        </w:rPr>
      </w:pPr>
    </w:p>
    <w:p w:rsidR="00F93B76" w:rsidRPr="00A32AF4" w:rsidRDefault="00DC2AF7" w:rsidP="00DC0553">
      <w:pPr>
        <w:tabs>
          <w:tab w:val="left" w:pos="567"/>
          <w:tab w:val="left" w:pos="1985"/>
        </w:tabs>
        <w:jc w:val="both"/>
        <w:rPr>
          <w:bCs/>
        </w:rPr>
      </w:pPr>
      <w:r w:rsidRPr="00A32AF4">
        <w:rPr>
          <w:bCs/>
        </w:rPr>
        <w:t>RESSOURCES ALLOUÉES AU PROGRAMME</w:t>
      </w:r>
      <w:r w:rsidR="00C06B2A" w:rsidRPr="00A32AF4">
        <w:rPr>
          <w:bCs/>
        </w:rPr>
        <w:t xml:space="preserve"> 13</w:t>
      </w:r>
    </w:p>
    <w:p w:rsidR="00F93B76" w:rsidRPr="00A32AF4" w:rsidRDefault="00F93B76" w:rsidP="00DC0553">
      <w:pPr>
        <w:tabs>
          <w:tab w:val="left" w:pos="567"/>
          <w:tab w:val="left" w:pos="1985"/>
        </w:tabs>
        <w:jc w:val="both"/>
        <w:rPr>
          <w:bCs/>
        </w:rPr>
      </w:pPr>
    </w:p>
    <w:p w:rsidR="00E2055A" w:rsidRPr="00A32AF4" w:rsidRDefault="00AB2C07" w:rsidP="00DC0553">
      <w:pPr>
        <w:pStyle w:val="Footer"/>
        <w:keepNext/>
        <w:keepLines/>
        <w:numPr>
          <w:ilvl w:val="0"/>
          <w:numId w:val="25"/>
        </w:numPr>
        <w:tabs>
          <w:tab w:val="clear" w:pos="4320"/>
          <w:tab w:val="clear" w:pos="8640"/>
          <w:tab w:val="left" w:pos="709"/>
        </w:tabs>
        <w:autoSpaceDE w:val="0"/>
        <w:autoSpaceDN w:val="0"/>
        <w:adjustRightInd w:val="0"/>
        <w:ind w:left="0" w:firstLine="0"/>
        <w:contextualSpacing/>
        <w:jc w:val="both"/>
        <w:rPr>
          <w:rFonts w:cs="Arial"/>
        </w:rPr>
      </w:pPr>
      <w:r w:rsidRPr="00A32AF4">
        <w:rPr>
          <w:rFonts w:cs="Arial"/>
          <w:szCs w:val="22"/>
        </w:rPr>
        <w:t>Les ressources globales allouées au programme augmentent d</w:t>
      </w:r>
      <w:r w:rsidR="00E2055A" w:rsidRPr="00A32AF4">
        <w:rPr>
          <w:rFonts w:cs="Arial"/>
          <w:szCs w:val="22"/>
        </w:rPr>
        <w:t>’</w:t>
      </w:r>
      <w:r w:rsidRPr="00A32AF4">
        <w:rPr>
          <w:rFonts w:cs="Arial"/>
          <w:szCs w:val="22"/>
        </w:rPr>
        <w:t xml:space="preserve">environ </w:t>
      </w:r>
      <w:r w:rsidR="00C06B2A" w:rsidRPr="00A32AF4">
        <w:rPr>
          <w:rFonts w:cs="Arial"/>
        </w:rPr>
        <w:t>20</w:t>
      </w:r>
      <w:r w:rsidRPr="00A32AF4">
        <w:rPr>
          <w:rFonts w:cs="Arial"/>
        </w:rPr>
        <w:t>% en</w:t>
      </w:r>
      <w:r w:rsidR="00FD43E3" w:rsidRPr="00A32AF4">
        <w:rPr>
          <w:rFonts w:cs="Arial"/>
        </w:rPr>
        <w:t> </w:t>
      </w:r>
      <w:r w:rsidR="00C06B2A" w:rsidRPr="00A32AF4">
        <w:rPr>
          <w:rFonts w:cs="Arial"/>
        </w:rPr>
        <w:t>2016</w:t>
      </w:r>
      <w:r w:rsidR="00EB7F54" w:rsidRPr="00A32AF4">
        <w:rPr>
          <w:rFonts w:cs="Arial"/>
        </w:rPr>
        <w:noBreakHyphen/>
      </w:r>
      <w:r w:rsidRPr="00A32AF4">
        <w:rPr>
          <w:rFonts w:cs="Arial"/>
        </w:rPr>
        <w:t>20</w:t>
      </w:r>
      <w:r w:rsidR="00C06B2A" w:rsidRPr="00A32AF4">
        <w:rPr>
          <w:rFonts w:cs="Arial"/>
        </w:rPr>
        <w:t xml:space="preserve">17 </w:t>
      </w:r>
      <w:r w:rsidRPr="00A32AF4">
        <w:rPr>
          <w:rFonts w:cs="Arial"/>
        </w:rPr>
        <w:t xml:space="preserve">par rapport au budget </w:t>
      </w:r>
      <w:r w:rsidR="00C06B2A" w:rsidRPr="00A32AF4">
        <w:rPr>
          <w:rFonts w:cs="Arial"/>
        </w:rPr>
        <w:t>2014</w:t>
      </w:r>
      <w:r w:rsidR="00EB7F54" w:rsidRPr="00A32AF4">
        <w:rPr>
          <w:rFonts w:cs="Arial"/>
        </w:rPr>
        <w:noBreakHyphen/>
      </w:r>
      <w:r w:rsidRPr="00A32AF4">
        <w:rPr>
          <w:rFonts w:cs="Arial"/>
        </w:rPr>
        <w:t>2015 après virements</w:t>
      </w:r>
      <w:r w:rsidR="00C06B2A" w:rsidRPr="00A32AF4">
        <w:rPr>
          <w:rFonts w:cs="Arial"/>
        </w:rPr>
        <w:t xml:space="preserve">. </w:t>
      </w:r>
      <w:r w:rsidRPr="00A32AF4">
        <w:rPr>
          <w:rFonts w:cs="Arial"/>
        </w:rPr>
        <w:t xml:space="preserve"> Les autres dépenses sont maintenues au niveau du budget 2014</w:t>
      </w:r>
      <w:r w:rsidR="00EB7F54" w:rsidRPr="00A32AF4">
        <w:rPr>
          <w:rFonts w:cs="Arial"/>
        </w:rPr>
        <w:noBreakHyphen/>
      </w:r>
      <w:r w:rsidRPr="00A32AF4">
        <w:rPr>
          <w:rFonts w:cs="Arial"/>
        </w:rPr>
        <w:t>2015 après virements</w:t>
      </w:r>
      <w:r w:rsidR="00C06B2A" w:rsidRPr="00A32AF4">
        <w:rPr>
          <w:rFonts w:cs="Arial"/>
        </w:rPr>
        <w:t xml:space="preserve">. </w:t>
      </w:r>
      <w:r w:rsidRPr="00A32AF4">
        <w:rPr>
          <w:rFonts w:cs="Arial"/>
        </w:rPr>
        <w:t xml:space="preserve"> L</w:t>
      </w:r>
      <w:r w:rsidR="00E2055A" w:rsidRPr="00A32AF4">
        <w:rPr>
          <w:rFonts w:cs="Arial"/>
        </w:rPr>
        <w:t>’</w:t>
      </w:r>
      <w:r w:rsidRPr="00A32AF4">
        <w:rPr>
          <w:rFonts w:cs="Arial"/>
        </w:rPr>
        <w:t>augmentation des dépenses de personnel découle de la réaffectation interne de ressources à l</w:t>
      </w:r>
      <w:r w:rsidR="00E2055A" w:rsidRPr="00A32AF4">
        <w:rPr>
          <w:rFonts w:cs="Arial"/>
        </w:rPr>
        <w:t>’</w:t>
      </w:r>
      <w:r w:rsidRPr="00A32AF4">
        <w:rPr>
          <w:rFonts w:cs="Arial"/>
        </w:rPr>
        <w:t>appui des activités relatives à l</w:t>
      </w:r>
      <w:r w:rsidR="00E2055A" w:rsidRPr="00A32AF4">
        <w:rPr>
          <w:rFonts w:cs="Arial"/>
        </w:rPr>
        <w:t>’</w:t>
      </w:r>
      <w:r w:rsidRPr="00A32AF4">
        <w:rPr>
          <w:rFonts w:cs="Arial"/>
        </w:rPr>
        <w:t>élaboration d</w:t>
      </w:r>
      <w:r w:rsidR="00E2055A" w:rsidRPr="00A32AF4">
        <w:rPr>
          <w:rFonts w:cs="Arial"/>
        </w:rPr>
        <w:t>’</w:t>
      </w:r>
      <w:r w:rsidRPr="00A32AF4">
        <w:rPr>
          <w:rFonts w:cs="Arial"/>
        </w:rPr>
        <w:t>un moteur et d</w:t>
      </w:r>
      <w:r w:rsidR="00E2055A" w:rsidRPr="00A32AF4">
        <w:rPr>
          <w:rFonts w:cs="Arial"/>
        </w:rPr>
        <w:t>’</w:t>
      </w:r>
      <w:r w:rsidRPr="00A32AF4">
        <w:rPr>
          <w:rFonts w:cs="Arial"/>
        </w:rPr>
        <w:t>une interface de recherche pour les bases de données mondiales</w:t>
      </w:r>
      <w:r w:rsidR="00C06B2A" w:rsidRPr="00A32AF4">
        <w:rPr>
          <w:rFonts w:cs="Arial"/>
        </w:rPr>
        <w:t xml:space="preserve">.  </w:t>
      </w:r>
      <w:r w:rsidR="00F875F7" w:rsidRPr="00A32AF4">
        <w:rPr>
          <w:rFonts w:cs="Arial"/>
        </w:rPr>
        <w:t>En outre</w:t>
      </w:r>
      <w:r w:rsidR="00C06B2A" w:rsidRPr="00A32AF4">
        <w:rPr>
          <w:rFonts w:cs="Arial"/>
        </w:rPr>
        <w:t xml:space="preserve">, </w:t>
      </w:r>
      <w:r w:rsidR="00F875F7" w:rsidRPr="00A32AF4">
        <w:rPr>
          <w:rFonts w:cs="Arial"/>
        </w:rPr>
        <w:t xml:space="preserve">des </w:t>
      </w:r>
      <w:r w:rsidR="00C06B2A" w:rsidRPr="00A32AF4">
        <w:rPr>
          <w:rFonts w:cs="Arial"/>
        </w:rPr>
        <w:t>res</w:t>
      </w:r>
      <w:r w:rsidR="00F875F7" w:rsidRPr="00A32AF4">
        <w:rPr>
          <w:rFonts w:cs="Arial"/>
        </w:rPr>
        <w:t>s</w:t>
      </w:r>
      <w:r w:rsidR="00C06B2A" w:rsidRPr="00A32AF4">
        <w:rPr>
          <w:rFonts w:cs="Arial"/>
        </w:rPr>
        <w:t xml:space="preserve">ources </w:t>
      </w:r>
      <w:r w:rsidR="00F875F7" w:rsidRPr="00A32AF4">
        <w:rPr>
          <w:rFonts w:cs="Arial"/>
        </w:rPr>
        <w:t>ont été réaffectées au sein du programme compte tenu de l</w:t>
      </w:r>
      <w:r w:rsidR="00E2055A" w:rsidRPr="00A32AF4">
        <w:rPr>
          <w:rFonts w:cs="Arial"/>
        </w:rPr>
        <w:t>’</w:t>
      </w:r>
      <w:r w:rsidR="00F875F7" w:rsidRPr="00A32AF4">
        <w:rPr>
          <w:rFonts w:cs="Arial"/>
        </w:rPr>
        <w:t>accent placé sur l</w:t>
      </w:r>
      <w:r w:rsidR="00E2055A" w:rsidRPr="00A32AF4">
        <w:rPr>
          <w:rFonts w:cs="Arial"/>
        </w:rPr>
        <w:t>’</w:t>
      </w:r>
      <w:r w:rsidR="00F875F7" w:rsidRPr="00A32AF4">
        <w:rPr>
          <w:rFonts w:cs="Arial"/>
        </w:rPr>
        <w:t>extension de la couverture géographique des bases de données mondiales</w:t>
      </w:r>
      <w:r w:rsidR="00C06B2A" w:rsidRPr="00A32AF4">
        <w:rPr>
          <w:rFonts w:cs="Arial"/>
          <w:color w:val="000000"/>
        </w:rPr>
        <w:t>.</w:t>
      </w:r>
      <w:r w:rsidR="00C06B2A" w:rsidRPr="00A32AF4">
        <w:rPr>
          <w:color w:val="000000"/>
        </w:rPr>
        <w:t xml:space="preserve"> </w:t>
      </w:r>
      <w:r w:rsidR="00F875F7" w:rsidRPr="00A32AF4">
        <w:rPr>
          <w:color w:val="000000"/>
        </w:rPr>
        <w:t xml:space="preserve"> </w:t>
      </w:r>
      <w:r w:rsidR="00F875F7" w:rsidRPr="00A32AF4">
        <w:rPr>
          <w:rFonts w:cs="Arial"/>
        </w:rPr>
        <w:t>Le résultat</w:t>
      </w:r>
      <w:r w:rsidR="00C06B2A" w:rsidRPr="00A32AF4">
        <w:rPr>
          <w:rFonts w:cs="Arial"/>
        </w:rPr>
        <w:t xml:space="preserve"> net </w:t>
      </w:r>
      <w:r w:rsidR="00F875F7" w:rsidRPr="00A32AF4">
        <w:rPr>
          <w:rFonts w:cs="Arial"/>
        </w:rPr>
        <w:t>est répercuté sous forme d</w:t>
      </w:r>
      <w:r w:rsidR="00E2055A" w:rsidRPr="00A32AF4">
        <w:rPr>
          <w:rFonts w:cs="Arial"/>
        </w:rPr>
        <w:t>’</w:t>
      </w:r>
      <w:r w:rsidR="00F875F7" w:rsidRPr="00A32AF4">
        <w:rPr>
          <w:rFonts w:cs="Arial"/>
        </w:rPr>
        <w:t xml:space="preserve">augmentation des ressources allouées aux résultats escomptés </w:t>
      </w:r>
      <w:r w:rsidR="00C06B2A" w:rsidRPr="00A32AF4">
        <w:rPr>
          <w:rFonts w:cs="Arial"/>
        </w:rPr>
        <w:t xml:space="preserve">IV.2 </w:t>
      </w:r>
      <w:r w:rsidR="00F875F7" w:rsidRPr="00A32AF4">
        <w:rPr>
          <w:rFonts w:cs="Arial"/>
        </w:rPr>
        <w:t xml:space="preserve">et </w:t>
      </w:r>
      <w:r w:rsidR="00C06B2A" w:rsidRPr="00A32AF4">
        <w:rPr>
          <w:rFonts w:cs="Arial"/>
        </w:rPr>
        <w:t>IV.3.</w:t>
      </w:r>
    </w:p>
    <w:p w:rsidR="00F93B76" w:rsidRPr="00A32AF4" w:rsidRDefault="00F93B76" w:rsidP="00DC0553">
      <w:pPr>
        <w:tabs>
          <w:tab w:val="left" w:pos="567"/>
          <w:tab w:val="left" w:pos="1985"/>
        </w:tabs>
        <w:jc w:val="both"/>
        <w:rPr>
          <w:bCs/>
        </w:rPr>
      </w:pPr>
    </w:p>
    <w:p w:rsidR="00F93B76" w:rsidRPr="00A32AF4" w:rsidRDefault="00F93B76" w:rsidP="00DC0553">
      <w:pPr>
        <w:tabs>
          <w:tab w:val="left" w:pos="567"/>
          <w:tab w:val="left" w:pos="1985"/>
        </w:tabs>
        <w:jc w:val="both"/>
        <w:rPr>
          <w:bCs/>
        </w:rPr>
      </w:pPr>
    </w:p>
    <w:p w:rsidR="00F93B76" w:rsidRPr="00A32AF4" w:rsidRDefault="00C06B2A" w:rsidP="00DC0553">
      <w:pPr>
        <w:keepNext/>
        <w:keepLines/>
        <w:autoSpaceDE w:val="0"/>
        <w:autoSpaceDN w:val="0"/>
        <w:jc w:val="center"/>
        <w:rPr>
          <w:rFonts w:cs="Arial"/>
          <w:b/>
        </w:rPr>
      </w:pPr>
      <w:r w:rsidRPr="00A32AF4">
        <w:rPr>
          <w:rFonts w:cs="Arial"/>
          <w:b/>
        </w:rPr>
        <w:t>Programme 13 : ressources par résultat</w:t>
      </w:r>
    </w:p>
    <w:p w:rsidR="00F93B76" w:rsidRPr="00A32AF4" w:rsidRDefault="00C06B2A" w:rsidP="00DC0553">
      <w:pPr>
        <w:keepNext/>
        <w:keepLines/>
        <w:autoSpaceDE w:val="0"/>
        <w:autoSpaceDN w:val="0"/>
        <w:jc w:val="center"/>
        <w:rPr>
          <w:rFonts w:cs="Arial"/>
          <w:i/>
        </w:rPr>
      </w:pPr>
      <w:r w:rsidRPr="00A32AF4">
        <w:rPr>
          <w:rFonts w:cs="Arial"/>
          <w:i/>
        </w:rPr>
        <w:t>(</w:t>
      </w:r>
      <w:proofErr w:type="gramStart"/>
      <w:r w:rsidRPr="00A32AF4">
        <w:rPr>
          <w:rFonts w:cs="Arial"/>
          <w:i/>
        </w:rPr>
        <w:t>en</w:t>
      </w:r>
      <w:proofErr w:type="gramEnd"/>
      <w:r w:rsidRPr="00A32AF4">
        <w:rPr>
          <w:rFonts w:cs="Arial"/>
          <w:i/>
        </w:rPr>
        <w:t xml:space="preserve"> milliers de francs suisses)</w:t>
      </w:r>
    </w:p>
    <w:p w:rsidR="00C06B2A" w:rsidRPr="00A32AF4" w:rsidRDefault="00C06B2A" w:rsidP="00DC0553">
      <w:pPr>
        <w:keepNext/>
      </w:pPr>
    </w:p>
    <w:tbl>
      <w:tblPr>
        <w:tblW w:w="8980" w:type="dxa"/>
        <w:tblInd w:w="55" w:type="dxa"/>
        <w:tblCellMar>
          <w:left w:w="70" w:type="dxa"/>
          <w:right w:w="70" w:type="dxa"/>
        </w:tblCellMar>
        <w:tblLook w:val="04A0" w:firstRow="1" w:lastRow="0" w:firstColumn="1" w:lastColumn="0" w:noHBand="0" w:noVBand="1"/>
      </w:tblPr>
      <w:tblGrid>
        <w:gridCol w:w="522"/>
        <w:gridCol w:w="4498"/>
        <w:gridCol w:w="1260"/>
        <w:gridCol w:w="1440"/>
        <w:gridCol w:w="1260"/>
      </w:tblGrid>
      <w:tr w:rsidR="00C06B2A" w:rsidRPr="00A32AF4" w:rsidTr="00C06B2A">
        <w:tc>
          <w:tcPr>
            <w:tcW w:w="5020" w:type="dxa"/>
            <w:gridSpan w:val="2"/>
            <w:tcBorders>
              <w:top w:val="single" w:sz="4" w:space="0" w:color="auto"/>
              <w:left w:val="single" w:sz="4" w:space="0" w:color="auto"/>
              <w:bottom w:val="single" w:sz="4" w:space="0" w:color="auto"/>
              <w:right w:val="single" w:sz="4" w:space="0" w:color="000000"/>
            </w:tcBorders>
            <w:shd w:val="clear" w:color="000000" w:fill="C5D9F1"/>
            <w:noWrap/>
            <w:tcMar>
              <w:top w:w="113" w:type="dxa"/>
              <w:bottom w:w="113" w:type="dxa"/>
            </w:tcMar>
            <w:vAlign w:val="center"/>
            <w:hideMark/>
          </w:tcPr>
          <w:p w:rsidR="00C06B2A" w:rsidRPr="00A32AF4" w:rsidRDefault="00C06B2A" w:rsidP="00DC0553">
            <w:pPr>
              <w:jc w:val="center"/>
              <w:rPr>
                <w:rFonts w:cs="Arial"/>
                <w:i/>
                <w:iCs/>
                <w:sz w:val="16"/>
                <w:szCs w:val="16"/>
                <w:lang w:eastAsia="fr-FR"/>
              </w:rPr>
            </w:pPr>
            <w:r w:rsidRPr="00A32AF4">
              <w:rPr>
                <w:rFonts w:cs="Arial"/>
                <w:i/>
                <w:iCs/>
                <w:sz w:val="16"/>
                <w:szCs w:val="16"/>
                <w:lang w:eastAsia="fr-FR"/>
              </w:rPr>
              <w:t xml:space="preserve">Numéro et description du résultat escompté </w:t>
            </w:r>
          </w:p>
        </w:tc>
        <w:tc>
          <w:tcPr>
            <w:tcW w:w="126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C06B2A" w:rsidRPr="00A32AF4" w:rsidRDefault="00C06B2A" w:rsidP="00DC0553">
            <w:pPr>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2014</w:t>
            </w:r>
            <w:r w:rsidR="00EB7F54" w:rsidRPr="00A32AF4">
              <w:rPr>
                <w:rFonts w:cs="Arial"/>
                <w:i/>
                <w:iCs/>
                <w:sz w:val="16"/>
                <w:szCs w:val="16"/>
                <w:lang w:eastAsia="fr-FR"/>
              </w:rPr>
              <w:noBreakHyphen/>
            </w:r>
            <w:r w:rsidRPr="00A32AF4">
              <w:rPr>
                <w:rFonts w:cs="Arial"/>
                <w:i/>
                <w:iCs/>
                <w:sz w:val="16"/>
                <w:szCs w:val="16"/>
                <w:lang w:eastAsia="fr-FR"/>
              </w:rPr>
              <w:t>2015 approuvé</w:t>
            </w:r>
          </w:p>
        </w:tc>
        <w:tc>
          <w:tcPr>
            <w:tcW w:w="144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C06B2A" w:rsidRPr="00A32AF4" w:rsidRDefault="00C06B2A" w:rsidP="00DC0553">
            <w:pPr>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2014</w:t>
            </w:r>
            <w:r w:rsidR="00EB7F54" w:rsidRPr="00A32AF4">
              <w:rPr>
                <w:rFonts w:cs="Arial"/>
                <w:i/>
                <w:iCs/>
                <w:sz w:val="16"/>
                <w:szCs w:val="16"/>
                <w:lang w:eastAsia="fr-FR"/>
              </w:rPr>
              <w:noBreakHyphen/>
            </w:r>
            <w:r w:rsidRPr="00A32AF4">
              <w:rPr>
                <w:rFonts w:cs="Arial"/>
                <w:i/>
                <w:iCs/>
                <w:sz w:val="16"/>
                <w:szCs w:val="16"/>
                <w:lang w:eastAsia="fr-FR"/>
              </w:rPr>
              <w:t>2015 après virements</w:t>
            </w:r>
          </w:p>
        </w:tc>
        <w:tc>
          <w:tcPr>
            <w:tcW w:w="126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C06B2A" w:rsidRPr="00A32AF4" w:rsidRDefault="00C06B2A" w:rsidP="00DC0553">
            <w:pPr>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2016</w:t>
            </w:r>
            <w:r w:rsidR="00EB7F54" w:rsidRPr="00A32AF4">
              <w:rPr>
                <w:rFonts w:cs="Arial"/>
                <w:i/>
                <w:iCs/>
                <w:sz w:val="16"/>
                <w:szCs w:val="16"/>
                <w:lang w:eastAsia="fr-FR"/>
              </w:rPr>
              <w:noBreakHyphen/>
            </w:r>
            <w:r w:rsidRPr="00A32AF4">
              <w:rPr>
                <w:rFonts w:cs="Arial"/>
                <w:i/>
                <w:iCs/>
                <w:sz w:val="16"/>
                <w:szCs w:val="16"/>
                <w:lang w:eastAsia="fr-FR"/>
              </w:rPr>
              <w:t>2017 proposé</w:t>
            </w:r>
          </w:p>
        </w:tc>
      </w:tr>
      <w:tr w:rsidR="00C06B2A" w:rsidRPr="00A32AF4" w:rsidTr="00C06B2A">
        <w:tc>
          <w:tcPr>
            <w:tcW w:w="522" w:type="dxa"/>
            <w:tcBorders>
              <w:top w:val="nil"/>
              <w:left w:val="single" w:sz="4" w:space="0" w:color="auto"/>
              <w:bottom w:val="nil"/>
              <w:right w:val="nil"/>
            </w:tcBorders>
            <w:shd w:val="clear" w:color="auto" w:fill="auto"/>
            <w:noWrap/>
            <w:tcMar>
              <w:top w:w="113" w:type="dxa"/>
              <w:bottom w:w="113" w:type="dxa"/>
            </w:tcMar>
            <w:vAlign w:val="center"/>
            <w:hideMark/>
          </w:tcPr>
          <w:p w:rsidR="00C06B2A" w:rsidRPr="00A32AF4" w:rsidRDefault="00C06B2A" w:rsidP="00DC0553">
            <w:pPr>
              <w:rPr>
                <w:rFonts w:cs="Arial"/>
                <w:sz w:val="16"/>
                <w:szCs w:val="16"/>
                <w:lang w:eastAsia="fr-FR"/>
              </w:rPr>
            </w:pPr>
            <w:r w:rsidRPr="00A32AF4">
              <w:rPr>
                <w:rFonts w:cs="Arial"/>
                <w:sz w:val="16"/>
                <w:szCs w:val="16"/>
                <w:lang w:eastAsia="fr-FR"/>
              </w:rPr>
              <w:t>IV.2</w:t>
            </w:r>
          </w:p>
        </w:tc>
        <w:tc>
          <w:tcPr>
            <w:tcW w:w="4498" w:type="dxa"/>
            <w:tcBorders>
              <w:top w:val="nil"/>
              <w:left w:val="nil"/>
              <w:bottom w:val="nil"/>
              <w:right w:val="nil"/>
            </w:tcBorders>
            <w:shd w:val="clear" w:color="auto" w:fill="auto"/>
            <w:tcMar>
              <w:top w:w="113" w:type="dxa"/>
              <w:bottom w:w="113" w:type="dxa"/>
            </w:tcMar>
            <w:vAlign w:val="center"/>
            <w:hideMark/>
          </w:tcPr>
          <w:p w:rsidR="00C06B2A" w:rsidRPr="00A32AF4" w:rsidRDefault="00C06B2A" w:rsidP="00DC0553">
            <w:pPr>
              <w:rPr>
                <w:rFonts w:cs="Arial"/>
                <w:sz w:val="16"/>
                <w:szCs w:val="16"/>
                <w:lang w:eastAsia="fr-FR"/>
              </w:rPr>
            </w:pPr>
            <w:r w:rsidRPr="00A32AF4">
              <w:rPr>
                <w:rFonts w:cs="Arial"/>
                <w:sz w:val="16"/>
                <w:szCs w:val="16"/>
                <w:lang w:eastAsia="fr-FR"/>
              </w:rPr>
              <w:t>Amélioration de l</w:t>
            </w:r>
            <w:r w:rsidR="00E2055A" w:rsidRPr="00A32AF4">
              <w:rPr>
                <w:rFonts w:cs="Arial"/>
                <w:sz w:val="16"/>
                <w:szCs w:val="16"/>
                <w:lang w:eastAsia="fr-FR"/>
              </w:rPr>
              <w:t>’</w:t>
            </w:r>
            <w:r w:rsidRPr="00A32AF4">
              <w:rPr>
                <w:rFonts w:cs="Arial"/>
                <w:sz w:val="16"/>
                <w:szCs w:val="16"/>
                <w:lang w:eastAsia="fr-FR"/>
              </w:rPr>
              <w:t>accessibilité et de l</w:t>
            </w:r>
            <w:r w:rsidR="00E2055A" w:rsidRPr="00A32AF4">
              <w:rPr>
                <w:rFonts w:cs="Arial"/>
                <w:sz w:val="16"/>
                <w:szCs w:val="16"/>
                <w:lang w:eastAsia="fr-FR"/>
              </w:rPr>
              <w:t>’</w:t>
            </w:r>
            <w:r w:rsidRPr="00A32AF4">
              <w:rPr>
                <w:rFonts w:cs="Arial"/>
                <w:sz w:val="16"/>
                <w:szCs w:val="16"/>
                <w:lang w:eastAsia="fr-FR"/>
              </w:rPr>
              <w:t>utilisation de l</w:t>
            </w:r>
            <w:r w:rsidR="00E2055A" w:rsidRPr="00A32AF4">
              <w:rPr>
                <w:rFonts w:cs="Arial"/>
                <w:sz w:val="16"/>
                <w:szCs w:val="16"/>
                <w:lang w:eastAsia="fr-FR"/>
              </w:rPr>
              <w:t>’</w:t>
            </w:r>
            <w:r w:rsidRPr="00A32AF4">
              <w:rPr>
                <w:rFonts w:cs="Arial"/>
                <w:sz w:val="16"/>
                <w:szCs w:val="16"/>
                <w:lang w:eastAsia="fr-FR"/>
              </w:rPr>
              <w:t>information en matière de propriété intellectuelle par les institutions compétentes et le public afin de promouvoir l</w:t>
            </w:r>
            <w:r w:rsidR="00E2055A" w:rsidRPr="00A32AF4">
              <w:rPr>
                <w:rFonts w:cs="Arial"/>
                <w:sz w:val="16"/>
                <w:szCs w:val="16"/>
                <w:lang w:eastAsia="fr-FR"/>
              </w:rPr>
              <w:t>’</w:t>
            </w:r>
            <w:r w:rsidRPr="00A32AF4">
              <w:rPr>
                <w:rFonts w:cs="Arial"/>
                <w:sz w:val="16"/>
                <w:szCs w:val="16"/>
                <w:lang w:eastAsia="fr-FR"/>
              </w:rPr>
              <w:t>innovation et la créativité</w:t>
            </w:r>
          </w:p>
        </w:tc>
        <w:tc>
          <w:tcPr>
            <w:tcW w:w="1260" w:type="dxa"/>
            <w:tcBorders>
              <w:top w:val="nil"/>
              <w:left w:val="nil"/>
              <w:bottom w:val="nil"/>
              <w:right w:val="nil"/>
            </w:tcBorders>
            <w:shd w:val="clear" w:color="auto" w:fill="auto"/>
            <w:tcMar>
              <w:top w:w="113" w:type="dxa"/>
              <w:bottom w:w="113" w:type="dxa"/>
            </w:tcMar>
            <w:vAlign w:val="center"/>
            <w:hideMark/>
          </w:tcPr>
          <w:p w:rsidR="00C06B2A" w:rsidRPr="00A32AF4" w:rsidRDefault="00C06B2A" w:rsidP="00DC0553">
            <w:pPr>
              <w:jc w:val="right"/>
              <w:rPr>
                <w:rFonts w:cs="Arial"/>
                <w:sz w:val="16"/>
                <w:szCs w:val="16"/>
                <w:lang w:eastAsia="fr-FR"/>
              </w:rPr>
            </w:pPr>
            <w:r w:rsidRPr="00A32AF4">
              <w:rPr>
                <w:rFonts w:cs="Arial"/>
                <w:sz w:val="16"/>
                <w:szCs w:val="16"/>
                <w:lang w:eastAsia="fr-FR"/>
              </w:rPr>
              <w:t xml:space="preserve">1 882 </w:t>
            </w:r>
          </w:p>
        </w:tc>
        <w:tc>
          <w:tcPr>
            <w:tcW w:w="1440" w:type="dxa"/>
            <w:tcBorders>
              <w:top w:val="nil"/>
              <w:left w:val="nil"/>
              <w:bottom w:val="nil"/>
              <w:right w:val="nil"/>
            </w:tcBorders>
            <w:shd w:val="clear" w:color="auto" w:fill="auto"/>
            <w:tcMar>
              <w:top w:w="113" w:type="dxa"/>
              <w:bottom w:w="113" w:type="dxa"/>
            </w:tcMar>
            <w:vAlign w:val="center"/>
            <w:hideMark/>
          </w:tcPr>
          <w:p w:rsidR="00C06B2A" w:rsidRPr="00A32AF4" w:rsidRDefault="00C06B2A" w:rsidP="00DC0553">
            <w:pPr>
              <w:jc w:val="right"/>
              <w:rPr>
                <w:rFonts w:cs="Arial"/>
                <w:sz w:val="16"/>
                <w:szCs w:val="16"/>
                <w:lang w:eastAsia="fr-FR"/>
              </w:rPr>
            </w:pPr>
            <w:r w:rsidRPr="00A32AF4">
              <w:rPr>
                <w:rFonts w:cs="Arial"/>
                <w:sz w:val="16"/>
                <w:szCs w:val="16"/>
                <w:lang w:eastAsia="fr-FR"/>
              </w:rPr>
              <w:t xml:space="preserve">3 357 </w:t>
            </w:r>
          </w:p>
        </w:tc>
        <w:tc>
          <w:tcPr>
            <w:tcW w:w="1260" w:type="dxa"/>
            <w:tcBorders>
              <w:top w:val="nil"/>
              <w:left w:val="nil"/>
              <w:bottom w:val="nil"/>
              <w:right w:val="single" w:sz="4" w:space="0" w:color="auto"/>
            </w:tcBorders>
            <w:shd w:val="clear" w:color="auto" w:fill="auto"/>
            <w:noWrap/>
            <w:tcMar>
              <w:top w:w="113" w:type="dxa"/>
              <w:bottom w:w="113" w:type="dxa"/>
            </w:tcMar>
            <w:vAlign w:val="center"/>
            <w:hideMark/>
          </w:tcPr>
          <w:p w:rsidR="00C06B2A" w:rsidRPr="00A32AF4" w:rsidRDefault="00C06B2A" w:rsidP="00DC0553">
            <w:pPr>
              <w:jc w:val="right"/>
              <w:rPr>
                <w:rFonts w:cs="Arial"/>
                <w:sz w:val="16"/>
                <w:szCs w:val="16"/>
                <w:lang w:eastAsia="fr-FR"/>
              </w:rPr>
            </w:pPr>
            <w:r w:rsidRPr="00A32AF4">
              <w:rPr>
                <w:rFonts w:cs="Arial"/>
                <w:color w:val="000000"/>
                <w:sz w:val="16"/>
                <w:szCs w:val="16"/>
                <w:lang w:eastAsia="fr-FR"/>
              </w:rPr>
              <w:t xml:space="preserve">3 803 </w:t>
            </w:r>
          </w:p>
        </w:tc>
      </w:tr>
      <w:tr w:rsidR="00C06B2A" w:rsidRPr="00A32AF4" w:rsidTr="00C06B2A">
        <w:tc>
          <w:tcPr>
            <w:tcW w:w="522" w:type="dxa"/>
            <w:tcBorders>
              <w:top w:val="nil"/>
              <w:left w:val="single" w:sz="4" w:space="0" w:color="auto"/>
              <w:bottom w:val="nil"/>
              <w:right w:val="nil"/>
            </w:tcBorders>
            <w:shd w:val="clear" w:color="auto" w:fill="auto"/>
            <w:noWrap/>
            <w:tcMar>
              <w:top w:w="113" w:type="dxa"/>
              <w:bottom w:w="113" w:type="dxa"/>
            </w:tcMar>
            <w:vAlign w:val="center"/>
            <w:hideMark/>
          </w:tcPr>
          <w:p w:rsidR="00C06B2A" w:rsidRPr="00A32AF4" w:rsidRDefault="00C06B2A" w:rsidP="00DC0553">
            <w:pPr>
              <w:rPr>
                <w:rFonts w:cs="Arial"/>
                <w:sz w:val="16"/>
                <w:szCs w:val="16"/>
                <w:lang w:eastAsia="fr-FR"/>
              </w:rPr>
            </w:pPr>
            <w:r w:rsidRPr="00A32AF4">
              <w:rPr>
                <w:rFonts w:cs="Arial"/>
                <w:sz w:val="16"/>
                <w:szCs w:val="16"/>
                <w:lang w:eastAsia="fr-FR"/>
              </w:rPr>
              <w:t>IV.3</w:t>
            </w:r>
          </w:p>
        </w:tc>
        <w:tc>
          <w:tcPr>
            <w:tcW w:w="4498" w:type="dxa"/>
            <w:tcBorders>
              <w:top w:val="nil"/>
              <w:left w:val="nil"/>
              <w:bottom w:val="nil"/>
              <w:right w:val="nil"/>
            </w:tcBorders>
            <w:shd w:val="clear" w:color="auto" w:fill="auto"/>
            <w:tcMar>
              <w:top w:w="113" w:type="dxa"/>
              <w:bottom w:w="113" w:type="dxa"/>
            </w:tcMar>
            <w:vAlign w:val="center"/>
            <w:hideMark/>
          </w:tcPr>
          <w:p w:rsidR="00C06B2A" w:rsidRPr="00A32AF4" w:rsidRDefault="00C06B2A" w:rsidP="00DC0553">
            <w:pPr>
              <w:rPr>
                <w:rFonts w:cs="Arial"/>
                <w:sz w:val="16"/>
                <w:szCs w:val="16"/>
                <w:lang w:eastAsia="fr-FR"/>
              </w:rPr>
            </w:pPr>
            <w:r w:rsidRPr="00A32AF4">
              <w:rPr>
                <w:rFonts w:cs="Arial"/>
                <w:sz w:val="16"/>
                <w:szCs w:val="16"/>
                <w:lang w:eastAsia="fr-FR"/>
              </w:rPr>
              <w:t>Élargissement de la portée géographique du contenu et de l</w:t>
            </w:r>
            <w:r w:rsidR="00E2055A" w:rsidRPr="00A32AF4">
              <w:rPr>
                <w:rFonts w:cs="Arial"/>
                <w:sz w:val="16"/>
                <w:szCs w:val="16"/>
                <w:lang w:eastAsia="fr-FR"/>
              </w:rPr>
              <w:t>’</w:t>
            </w:r>
            <w:r w:rsidRPr="00A32AF4">
              <w:rPr>
                <w:rFonts w:cs="Arial"/>
                <w:sz w:val="16"/>
                <w:szCs w:val="16"/>
                <w:lang w:eastAsia="fr-FR"/>
              </w:rPr>
              <w:t>utilisation des bases de données mondiales de l</w:t>
            </w:r>
            <w:r w:rsidR="00E2055A" w:rsidRPr="00A32AF4">
              <w:rPr>
                <w:rFonts w:cs="Arial"/>
                <w:sz w:val="16"/>
                <w:szCs w:val="16"/>
                <w:lang w:eastAsia="fr-FR"/>
              </w:rPr>
              <w:t>’</w:t>
            </w:r>
            <w:r w:rsidRPr="00A32AF4">
              <w:rPr>
                <w:rFonts w:cs="Arial"/>
                <w:sz w:val="16"/>
                <w:szCs w:val="16"/>
                <w:lang w:eastAsia="fr-FR"/>
              </w:rPr>
              <w:t>OMPI en matière de propriété intellectuelle</w:t>
            </w:r>
          </w:p>
        </w:tc>
        <w:tc>
          <w:tcPr>
            <w:tcW w:w="1260" w:type="dxa"/>
            <w:tcBorders>
              <w:top w:val="nil"/>
              <w:left w:val="nil"/>
              <w:bottom w:val="nil"/>
              <w:right w:val="nil"/>
            </w:tcBorders>
            <w:shd w:val="clear" w:color="auto" w:fill="auto"/>
            <w:tcMar>
              <w:top w:w="113" w:type="dxa"/>
              <w:bottom w:w="113" w:type="dxa"/>
            </w:tcMar>
            <w:vAlign w:val="center"/>
            <w:hideMark/>
          </w:tcPr>
          <w:p w:rsidR="00C06B2A" w:rsidRPr="00A32AF4" w:rsidRDefault="00C06B2A" w:rsidP="00DC0553">
            <w:pPr>
              <w:jc w:val="right"/>
              <w:rPr>
                <w:rFonts w:cs="Arial"/>
                <w:sz w:val="16"/>
                <w:szCs w:val="16"/>
                <w:lang w:eastAsia="fr-FR"/>
              </w:rPr>
            </w:pPr>
            <w:r w:rsidRPr="00A32AF4">
              <w:rPr>
                <w:rFonts w:cs="Arial"/>
                <w:sz w:val="16"/>
                <w:szCs w:val="16"/>
                <w:lang w:eastAsia="fr-FR"/>
              </w:rPr>
              <w:t xml:space="preserve">2 810 </w:t>
            </w:r>
          </w:p>
        </w:tc>
        <w:tc>
          <w:tcPr>
            <w:tcW w:w="1440" w:type="dxa"/>
            <w:tcBorders>
              <w:top w:val="nil"/>
              <w:left w:val="nil"/>
              <w:bottom w:val="nil"/>
              <w:right w:val="nil"/>
            </w:tcBorders>
            <w:shd w:val="clear" w:color="auto" w:fill="auto"/>
            <w:tcMar>
              <w:top w:w="113" w:type="dxa"/>
              <w:bottom w:w="113" w:type="dxa"/>
            </w:tcMar>
            <w:vAlign w:val="center"/>
            <w:hideMark/>
          </w:tcPr>
          <w:p w:rsidR="00C06B2A" w:rsidRPr="00A32AF4" w:rsidRDefault="00C06B2A" w:rsidP="00DC0553">
            <w:pPr>
              <w:jc w:val="right"/>
              <w:rPr>
                <w:rFonts w:cs="Arial"/>
                <w:sz w:val="16"/>
                <w:szCs w:val="16"/>
                <w:lang w:eastAsia="fr-FR"/>
              </w:rPr>
            </w:pPr>
            <w:r w:rsidRPr="00A32AF4">
              <w:rPr>
                <w:rFonts w:cs="Arial"/>
                <w:sz w:val="16"/>
                <w:szCs w:val="16"/>
                <w:lang w:eastAsia="fr-FR"/>
              </w:rPr>
              <w:t xml:space="preserve">1 453 </w:t>
            </w:r>
          </w:p>
        </w:tc>
        <w:tc>
          <w:tcPr>
            <w:tcW w:w="1260" w:type="dxa"/>
            <w:tcBorders>
              <w:top w:val="nil"/>
              <w:left w:val="nil"/>
              <w:bottom w:val="single" w:sz="4" w:space="0" w:color="auto"/>
              <w:right w:val="single" w:sz="4" w:space="0" w:color="auto"/>
            </w:tcBorders>
            <w:shd w:val="clear" w:color="auto" w:fill="auto"/>
            <w:noWrap/>
            <w:tcMar>
              <w:top w:w="113" w:type="dxa"/>
              <w:bottom w:w="113" w:type="dxa"/>
            </w:tcMar>
            <w:vAlign w:val="center"/>
            <w:hideMark/>
          </w:tcPr>
          <w:p w:rsidR="00C06B2A" w:rsidRPr="00A32AF4" w:rsidRDefault="00C06B2A" w:rsidP="00DC0553">
            <w:pPr>
              <w:jc w:val="right"/>
              <w:rPr>
                <w:rFonts w:cs="Arial"/>
                <w:color w:val="000000"/>
                <w:sz w:val="16"/>
                <w:szCs w:val="16"/>
                <w:lang w:eastAsia="fr-FR"/>
              </w:rPr>
            </w:pPr>
            <w:r w:rsidRPr="00A32AF4">
              <w:rPr>
                <w:rFonts w:cs="Arial"/>
                <w:color w:val="000000"/>
                <w:sz w:val="16"/>
                <w:szCs w:val="16"/>
                <w:lang w:eastAsia="fr-FR"/>
              </w:rPr>
              <w:t xml:space="preserve">1 956 </w:t>
            </w:r>
          </w:p>
        </w:tc>
      </w:tr>
      <w:tr w:rsidR="00C06B2A" w:rsidRPr="00A32AF4" w:rsidTr="00C06B2A">
        <w:tc>
          <w:tcPr>
            <w:tcW w:w="522" w:type="dxa"/>
            <w:tcBorders>
              <w:top w:val="single" w:sz="4" w:space="0" w:color="auto"/>
              <w:left w:val="single" w:sz="4" w:space="0" w:color="auto"/>
              <w:bottom w:val="single" w:sz="4" w:space="0" w:color="auto"/>
              <w:right w:val="nil"/>
            </w:tcBorders>
            <w:shd w:val="clear" w:color="000000" w:fill="C5D9F1"/>
            <w:noWrap/>
            <w:tcMar>
              <w:top w:w="113" w:type="dxa"/>
              <w:bottom w:w="113" w:type="dxa"/>
            </w:tcMar>
            <w:vAlign w:val="bottom"/>
            <w:hideMark/>
          </w:tcPr>
          <w:p w:rsidR="00C06B2A" w:rsidRPr="00A32AF4" w:rsidRDefault="00C06B2A" w:rsidP="00DC0553">
            <w:pPr>
              <w:rPr>
                <w:rFonts w:cs="Arial"/>
                <w:sz w:val="16"/>
                <w:szCs w:val="16"/>
                <w:lang w:eastAsia="fr-FR"/>
              </w:rPr>
            </w:pPr>
            <w:r w:rsidRPr="00A32AF4">
              <w:rPr>
                <w:rFonts w:cs="Arial"/>
                <w:sz w:val="16"/>
                <w:szCs w:val="16"/>
                <w:lang w:eastAsia="fr-FR"/>
              </w:rPr>
              <w:t> </w:t>
            </w:r>
          </w:p>
        </w:tc>
        <w:tc>
          <w:tcPr>
            <w:tcW w:w="4498"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C06B2A" w:rsidRPr="00A32AF4" w:rsidRDefault="00C06B2A" w:rsidP="00DC0553">
            <w:pPr>
              <w:rPr>
                <w:rFonts w:cs="Arial"/>
                <w:b/>
                <w:bCs/>
                <w:sz w:val="16"/>
                <w:szCs w:val="16"/>
                <w:lang w:eastAsia="fr-FR"/>
              </w:rPr>
            </w:pPr>
            <w:r w:rsidRPr="00A32AF4">
              <w:rPr>
                <w:rFonts w:cs="Arial"/>
                <w:b/>
                <w:bCs/>
                <w:sz w:val="16"/>
                <w:szCs w:val="16"/>
                <w:lang w:eastAsia="fr-FR"/>
              </w:rPr>
              <w:t>Total</w:t>
            </w:r>
          </w:p>
        </w:tc>
        <w:tc>
          <w:tcPr>
            <w:tcW w:w="1260"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C06B2A" w:rsidRPr="00A32AF4" w:rsidRDefault="00C06B2A" w:rsidP="00DC0553">
            <w:pPr>
              <w:jc w:val="right"/>
              <w:rPr>
                <w:rFonts w:cs="Arial"/>
                <w:b/>
                <w:bCs/>
                <w:sz w:val="16"/>
                <w:szCs w:val="16"/>
                <w:lang w:eastAsia="fr-FR"/>
              </w:rPr>
            </w:pPr>
            <w:r w:rsidRPr="00A32AF4">
              <w:rPr>
                <w:rFonts w:cs="Arial"/>
                <w:b/>
                <w:bCs/>
                <w:sz w:val="16"/>
                <w:szCs w:val="16"/>
                <w:lang w:eastAsia="fr-FR"/>
              </w:rPr>
              <w:t xml:space="preserve">4 692 </w:t>
            </w:r>
          </w:p>
        </w:tc>
        <w:tc>
          <w:tcPr>
            <w:tcW w:w="1440"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C06B2A" w:rsidRPr="00A32AF4" w:rsidRDefault="00C06B2A" w:rsidP="00DC0553">
            <w:pPr>
              <w:jc w:val="right"/>
              <w:rPr>
                <w:rFonts w:cs="Arial"/>
                <w:b/>
                <w:bCs/>
                <w:sz w:val="16"/>
                <w:szCs w:val="16"/>
                <w:lang w:eastAsia="fr-FR"/>
              </w:rPr>
            </w:pPr>
            <w:r w:rsidRPr="00A32AF4">
              <w:rPr>
                <w:rFonts w:cs="Arial"/>
                <w:b/>
                <w:bCs/>
                <w:sz w:val="16"/>
                <w:szCs w:val="16"/>
                <w:lang w:eastAsia="fr-FR"/>
              </w:rPr>
              <w:t xml:space="preserve">4 810 </w:t>
            </w:r>
          </w:p>
        </w:tc>
        <w:tc>
          <w:tcPr>
            <w:tcW w:w="1260" w:type="dxa"/>
            <w:tcBorders>
              <w:top w:val="nil"/>
              <w:left w:val="nil"/>
              <w:bottom w:val="single" w:sz="4" w:space="0" w:color="auto"/>
              <w:right w:val="single" w:sz="4" w:space="0" w:color="auto"/>
            </w:tcBorders>
            <w:shd w:val="clear" w:color="000000" w:fill="C5D9F1"/>
            <w:noWrap/>
            <w:tcMar>
              <w:top w:w="113" w:type="dxa"/>
              <w:bottom w:w="113" w:type="dxa"/>
            </w:tcMar>
            <w:vAlign w:val="bottom"/>
            <w:hideMark/>
          </w:tcPr>
          <w:p w:rsidR="00C06B2A" w:rsidRPr="00A32AF4" w:rsidRDefault="00C06B2A" w:rsidP="00DC0553">
            <w:pPr>
              <w:jc w:val="right"/>
              <w:rPr>
                <w:rFonts w:cs="Arial"/>
                <w:b/>
                <w:bCs/>
                <w:sz w:val="16"/>
                <w:szCs w:val="16"/>
                <w:lang w:eastAsia="fr-FR"/>
              </w:rPr>
            </w:pPr>
            <w:r w:rsidRPr="00A32AF4">
              <w:rPr>
                <w:rFonts w:cs="Arial"/>
                <w:b/>
                <w:bCs/>
                <w:sz w:val="16"/>
                <w:szCs w:val="16"/>
                <w:lang w:eastAsia="fr-FR"/>
              </w:rPr>
              <w:t xml:space="preserve">5 758 </w:t>
            </w:r>
          </w:p>
        </w:tc>
      </w:tr>
    </w:tbl>
    <w:p w:rsidR="00F93B76" w:rsidRPr="00A32AF4" w:rsidRDefault="00F93B76" w:rsidP="00DC0553"/>
    <w:p w:rsidR="00F93B76" w:rsidRPr="00A32AF4" w:rsidRDefault="00F93B76" w:rsidP="00DC0553">
      <w:pPr>
        <w:tabs>
          <w:tab w:val="left" w:pos="567"/>
          <w:tab w:val="left" w:pos="1985"/>
        </w:tabs>
        <w:jc w:val="both"/>
        <w:rPr>
          <w:bCs/>
        </w:rPr>
      </w:pPr>
    </w:p>
    <w:p w:rsidR="00F93B76" w:rsidRPr="00A32AF4" w:rsidRDefault="00C06B2A" w:rsidP="00DC0553">
      <w:pPr>
        <w:keepNext/>
        <w:keepLines/>
        <w:autoSpaceDE w:val="0"/>
        <w:autoSpaceDN w:val="0"/>
        <w:jc w:val="center"/>
        <w:rPr>
          <w:rFonts w:cs="Arial"/>
          <w:b/>
        </w:rPr>
      </w:pPr>
      <w:r w:rsidRPr="00A32AF4">
        <w:rPr>
          <w:rFonts w:cs="Arial"/>
          <w:b/>
        </w:rPr>
        <w:t>Programme 13 : ressources par objet de dépense</w:t>
      </w:r>
    </w:p>
    <w:p w:rsidR="00F93B76" w:rsidRPr="00A32AF4" w:rsidRDefault="00C06B2A" w:rsidP="00DC0553">
      <w:pPr>
        <w:keepNext/>
        <w:keepLines/>
        <w:autoSpaceDE w:val="0"/>
        <w:autoSpaceDN w:val="0"/>
        <w:jc w:val="center"/>
        <w:rPr>
          <w:rFonts w:cs="Arial"/>
          <w:i/>
        </w:rPr>
      </w:pPr>
      <w:r w:rsidRPr="00A32AF4">
        <w:rPr>
          <w:rFonts w:cs="Arial"/>
          <w:i/>
        </w:rPr>
        <w:t>(</w:t>
      </w:r>
      <w:proofErr w:type="gramStart"/>
      <w:r w:rsidRPr="00A32AF4">
        <w:rPr>
          <w:rFonts w:cs="Arial"/>
          <w:i/>
        </w:rPr>
        <w:t>en</w:t>
      </w:r>
      <w:proofErr w:type="gramEnd"/>
      <w:r w:rsidRPr="00A32AF4">
        <w:rPr>
          <w:rFonts w:cs="Arial"/>
          <w:i/>
        </w:rPr>
        <w:t xml:space="preserve"> milliers de francs suisses)</w:t>
      </w:r>
    </w:p>
    <w:p w:rsidR="00F93B76" w:rsidRPr="00A32AF4" w:rsidRDefault="00F93B76" w:rsidP="00DC0553">
      <w:pPr>
        <w:keepNext/>
        <w:rPr>
          <w:rFonts w:eastAsia="SimSun"/>
        </w:rPr>
      </w:pPr>
    </w:p>
    <w:p w:rsidR="00F93B76" w:rsidRPr="00A32AF4" w:rsidRDefault="00E91FB4" w:rsidP="00DC0553">
      <w:pPr>
        <w:rPr>
          <w:rFonts w:eastAsia="SimSun"/>
        </w:rPr>
      </w:pPr>
      <w:r w:rsidRPr="00A32AF4">
        <w:rPr>
          <w:rFonts w:eastAsia="SimSun"/>
          <w:noProof/>
          <w:lang w:eastAsia="fr-FR"/>
        </w:rPr>
        <w:drawing>
          <wp:inline distT="0" distB="0" distL="0" distR="0" wp14:anchorId="35EE169E" wp14:editId="09E668C5">
            <wp:extent cx="5512435" cy="6555105"/>
            <wp:effectExtent l="0" t="0" r="0" b="0"/>
            <wp:docPr id="1047" name="Pictur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5512435" cy="6555105"/>
                    </a:xfrm>
                    <a:prstGeom prst="rect">
                      <a:avLst/>
                    </a:prstGeom>
                    <a:noFill/>
                    <a:ln>
                      <a:noFill/>
                    </a:ln>
                  </pic:spPr>
                </pic:pic>
              </a:graphicData>
            </a:graphic>
          </wp:inline>
        </w:drawing>
      </w:r>
    </w:p>
    <w:p w:rsidR="00F93B76" w:rsidRPr="00A32AF4" w:rsidRDefault="00F93B76" w:rsidP="00DC0553">
      <w:pPr>
        <w:tabs>
          <w:tab w:val="left" w:pos="567"/>
          <w:tab w:val="left" w:pos="1985"/>
        </w:tabs>
        <w:jc w:val="both"/>
        <w:rPr>
          <w:bCs/>
        </w:rPr>
      </w:pPr>
    </w:p>
    <w:p w:rsidR="00F93B76" w:rsidRPr="00A32AF4" w:rsidRDefault="003156B7" w:rsidP="00DC0553">
      <w:pPr>
        <w:rPr>
          <w:rFonts w:ascii="Arial Bold" w:hAnsi="Arial Bold" w:cs="Arial"/>
          <w:b/>
          <w:caps/>
          <w:szCs w:val="22"/>
        </w:rPr>
      </w:pPr>
      <w:r w:rsidRPr="00A32AF4">
        <w:br w:type="page"/>
      </w:r>
    </w:p>
    <w:p w:rsidR="00F93B76" w:rsidRPr="00A32AF4" w:rsidRDefault="00CD1430" w:rsidP="00FB1F61">
      <w:pPr>
        <w:pStyle w:val="Heading3"/>
      </w:pPr>
      <w:bookmarkStart w:id="48" w:name="_Toc431555454"/>
      <w:r w:rsidRPr="00A32AF4">
        <w:t>PROGRAMME 14</w:t>
      </w:r>
      <w:r w:rsidRPr="00A32AF4">
        <w:tab/>
        <w:t>Services d</w:t>
      </w:r>
      <w:r w:rsidR="00E2055A" w:rsidRPr="00A32AF4">
        <w:t>’</w:t>
      </w:r>
      <w:r w:rsidRPr="00A32AF4">
        <w:t>accès à l</w:t>
      </w:r>
      <w:r w:rsidR="00E2055A" w:rsidRPr="00A32AF4">
        <w:t>’</w:t>
      </w:r>
      <w:r w:rsidRPr="00A32AF4">
        <w:t>information et aux savoirs</w:t>
      </w:r>
      <w:bookmarkEnd w:id="48"/>
    </w:p>
    <w:p w:rsidR="00F93B76" w:rsidRPr="00A32AF4" w:rsidRDefault="00F93B76" w:rsidP="00DC0553"/>
    <w:p w:rsidR="00F93B76" w:rsidRPr="00A32AF4" w:rsidRDefault="00F93B76" w:rsidP="00DC0553"/>
    <w:p w:rsidR="00F93B76" w:rsidRPr="00A32AF4" w:rsidRDefault="003156B7" w:rsidP="00DC0553">
      <w:r w:rsidRPr="00A32AF4">
        <w:t>CONTEXTE DE PLANIFICATION</w:t>
      </w:r>
    </w:p>
    <w:p w:rsidR="00F93B76" w:rsidRPr="00A32AF4" w:rsidRDefault="00F93B76" w:rsidP="00DC0553"/>
    <w:p w:rsidR="00F93B76" w:rsidRPr="00A32AF4" w:rsidRDefault="00CD1430" w:rsidP="00DC0553">
      <w:pPr>
        <w:numPr>
          <w:ilvl w:val="0"/>
          <w:numId w:val="9"/>
        </w:numPr>
        <w:tabs>
          <w:tab w:val="clear" w:pos="683"/>
          <w:tab w:val="left" w:pos="567"/>
          <w:tab w:val="num" w:pos="825"/>
        </w:tabs>
        <w:jc w:val="both"/>
        <w:rPr>
          <w:bCs/>
        </w:rPr>
      </w:pPr>
      <w:r w:rsidRPr="00A32AF4">
        <w:rPr>
          <w:bCs/>
        </w:rPr>
        <w:t>L</w:t>
      </w:r>
      <w:r w:rsidR="00E2055A" w:rsidRPr="00A32AF4">
        <w:rPr>
          <w:bCs/>
        </w:rPr>
        <w:t>’</w:t>
      </w:r>
      <w:r w:rsidRPr="00A32AF4">
        <w:rPr>
          <w:bCs/>
        </w:rPr>
        <w:t>importance de l</w:t>
      </w:r>
      <w:r w:rsidR="00E2055A" w:rsidRPr="00A32AF4">
        <w:rPr>
          <w:bCs/>
        </w:rPr>
        <w:t>’</w:t>
      </w:r>
      <w:r w:rsidRPr="00A32AF4">
        <w:rPr>
          <w:bCs/>
        </w:rPr>
        <w:t>accès aux informations techniques contenues dans les informations relatives aux brevets ainsi que dans les revues scientifiques et techniques a été reconnue comme cruciale pour réduire les inégalités en matière d</w:t>
      </w:r>
      <w:r w:rsidR="00E2055A" w:rsidRPr="00A32AF4">
        <w:rPr>
          <w:bCs/>
        </w:rPr>
        <w:t>’</w:t>
      </w:r>
      <w:r w:rsidRPr="00A32AF4">
        <w:rPr>
          <w:bCs/>
        </w:rPr>
        <w:t>accès au savoir dans le monde.  Des progrès significatifs ayant été accomplis afin de rendre ces informations accessibles, il existe désormais un besoin émergent de renforcer les capacités d</w:t>
      </w:r>
      <w:r w:rsidR="00E2055A" w:rsidRPr="00A32AF4">
        <w:rPr>
          <w:bCs/>
        </w:rPr>
        <w:t>’</w:t>
      </w:r>
      <w:r w:rsidRPr="00A32AF4">
        <w:rPr>
          <w:bCs/>
        </w:rPr>
        <w:t>utilisation et d</w:t>
      </w:r>
      <w:r w:rsidR="00E2055A" w:rsidRPr="00A32AF4">
        <w:rPr>
          <w:bCs/>
        </w:rPr>
        <w:t>’</w:t>
      </w:r>
      <w:r w:rsidRPr="00A32AF4">
        <w:rPr>
          <w:bCs/>
        </w:rPr>
        <w:t>analyse de ces informations dans les pays en développement et les pays les moins avancés.</w:t>
      </w:r>
    </w:p>
    <w:p w:rsidR="00F93B76" w:rsidRPr="00A32AF4" w:rsidRDefault="00F93B76" w:rsidP="00DC0553">
      <w:pPr>
        <w:tabs>
          <w:tab w:val="left" w:pos="567"/>
        </w:tabs>
        <w:jc w:val="both"/>
        <w:rPr>
          <w:bCs/>
        </w:rPr>
      </w:pPr>
    </w:p>
    <w:p w:rsidR="00F93B76" w:rsidRPr="00A32AF4" w:rsidRDefault="00CD1430" w:rsidP="00DC0553">
      <w:pPr>
        <w:numPr>
          <w:ilvl w:val="0"/>
          <w:numId w:val="9"/>
        </w:numPr>
        <w:tabs>
          <w:tab w:val="clear" w:pos="683"/>
          <w:tab w:val="left" w:pos="567"/>
          <w:tab w:val="num" w:pos="825"/>
        </w:tabs>
        <w:jc w:val="both"/>
        <w:rPr>
          <w:rFonts w:eastAsia="MS Mincho"/>
          <w:lang w:eastAsia="ja-JP" w:bidi="th-TH"/>
        </w:rPr>
      </w:pPr>
      <w:r w:rsidRPr="00A32AF4">
        <w:rPr>
          <w:rFonts w:eastAsia="MS Mincho"/>
          <w:lang w:eastAsia="ja-JP" w:bidi="th-TH"/>
        </w:rPr>
        <w:t xml:space="preserve">Les </w:t>
      </w:r>
      <w:r w:rsidRPr="00A32AF4">
        <w:rPr>
          <w:bCs/>
        </w:rPr>
        <w:t>activités</w:t>
      </w:r>
      <w:r w:rsidRPr="00A32AF4">
        <w:rPr>
          <w:rFonts w:eastAsia="MS Mincho"/>
          <w:lang w:eastAsia="ja-JP" w:bidi="th-TH"/>
        </w:rPr>
        <w:t xml:space="preserve"> du programme sont liées aux recommandations du Plan d</w:t>
      </w:r>
      <w:r w:rsidR="00E2055A" w:rsidRPr="00A32AF4">
        <w:rPr>
          <w:rFonts w:eastAsia="MS Mincho"/>
          <w:lang w:eastAsia="ja-JP" w:bidi="th-TH"/>
        </w:rPr>
        <w:t>’</w:t>
      </w:r>
      <w:r w:rsidRPr="00A32AF4">
        <w:rPr>
          <w:rFonts w:eastAsia="MS Mincho"/>
          <w:lang w:eastAsia="ja-JP" w:bidi="th-TH"/>
        </w:rPr>
        <w:t>action pour le développement préconisant un accès amélioré aux informations techniques et une utilisation accrue de ces dernières ainsi qu</w:t>
      </w:r>
      <w:r w:rsidR="00E2055A" w:rsidRPr="00A32AF4">
        <w:rPr>
          <w:rFonts w:eastAsia="MS Mincho"/>
          <w:lang w:eastAsia="ja-JP" w:bidi="th-TH"/>
        </w:rPr>
        <w:t>’</w:t>
      </w:r>
      <w:r w:rsidRPr="00A32AF4">
        <w:rPr>
          <w:rFonts w:eastAsia="MS Mincho"/>
          <w:lang w:eastAsia="ja-JP" w:bidi="th-TH"/>
        </w:rPr>
        <w:t xml:space="preserve">un renforcement des institutions de propriété intellectuelle, </w:t>
      </w:r>
      <w:r w:rsidR="00E2055A" w:rsidRPr="00A32AF4">
        <w:rPr>
          <w:rFonts w:eastAsia="MS Mincho"/>
          <w:lang w:eastAsia="ja-JP" w:bidi="th-TH"/>
        </w:rPr>
        <w:t>à savoir</w:t>
      </w:r>
      <w:r w:rsidRPr="00A32AF4">
        <w:rPr>
          <w:rFonts w:eastAsia="MS Mincho"/>
          <w:lang w:eastAsia="ja-JP" w:bidi="th-TH"/>
        </w:rPr>
        <w:t xml:space="preserve"> les recommandations n</w:t>
      </w:r>
      <w:r w:rsidRPr="00A32AF4">
        <w:rPr>
          <w:rFonts w:eastAsia="MS Mincho"/>
          <w:vertAlign w:val="superscript"/>
          <w:lang w:eastAsia="ja-JP" w:bidi="th-TH"/>
        </w:rPr>
        <w:t>os</w:t>
      </w:r>
      <w:r w:rsidRPr="00A32AF4">
        <w:rPr>
          <w:rFonts w:eastAsia="MS Mincho"/>
          <w:lang w:eastAsia="ja-JP" w:bidi="th-TH"/>
        </w:rPr>
        <w:t> 1, 8, 10, 11, 19, 30 et 31.  En outre, le programme sera mené en étroite coordination avec les États membres, les organisations intergouvernementales et les ONG en vue d</w:t>
      </w:r>
      <w:r w:rsidR="00E2055A" w:rsidRPr="00A32AF4">
        <w:rPr>
          <w:rFonts w:eastAsia="MS Mincho"/>
          <w:lang w:eastAsia="ja-JP" w:bidi="th-TH"/>
        </w:rPr>
        <w:t>’</w:t>
      </w:r>
      <w:r w:rsidRPr="00A32AF4">
        <w:rPr>
          <w:rFonts w:eastAsia="MS Mincho"/>
          <w:lang w:eastAsia="ja-JP" w:bidi="th-TH"/>
        </w:rPr>
        <w:t>élaborer des plates</w:t>
      </w:r>
      <w:r w:rsidR="00EB7F54" w:rsidRPr="00A32AF4">
        <w:rPr>
          <w:rFonts w:eastAsia="MS Mincho"/>
          <w:lang w:eastAsia="ja-JP" w:bidi="th-TH"/>
        </w:rPr>
        <w:noBreakHyphen/>
      </w:r>
      <w:r w:rsidRPr="00A32AF4">
        <w:rPr>
          <w:rFonts w:eastAsia="MS Mincho"/>
          <w:lang w:eastAsia="ja-JP" w:bidi="th-TH"/>
        </w:rPr>
        <w:t>formes, des outils et une infrastructure compatibles.</w:t>
      </w:r>
    </w:p>
    <w:p w:rsidR="00F93B76" w:rsidRPr="00A32AF4" w:rsidRDefault="00F93B76" w:rsidP="00DC0553"/>
    <w:p w:rsidR="00F93B76" w:rsidRPr="00A32AF4" w:rsidRDefault="00F93B76" w:rsidP="00DC0553"/>
    <w:p w:rsidR="00F93B76" w:rsidRPr="00A32AF4" w:rsidRDefault="00491A60" w:rsidP="00DC0553">
      <w:r w:rsidRPr="00A32AF4">
        <w:t>STRATÉGIES DE MISE EN ŒUVRE</w:t>
      </w:r>
    </w:p>
    <w:p w:rsidR="00F93B76" w:rsidRPr="00A32AF4" w:rsidRDefault="00F93B76" w:rsidP="00DC0553"/>
    <w:p w:rsidR="00F93B76" w:rsidRPr="00A32AF4" w:rsidRDefault="00CD1430" w:rsidP="00DC0553">
      <w:pPr>
        <w:numPr>
          <w:ilvl w:val="0"/>
          <w:numId w:val="9"/>
        </w:numPr>
        <w:tabs>
          <w:tab w:val="clear" w:pos="683"/>
          <w:tab w:val="num" w:pos="567"/>
          <w:tab w:val="num" w:pos="825"/>
        </w:tabs>
        <w:jc w:val="both"/>
        <w:rPr>
          <w:bCs/>
        </w:rPr>
      </w:pPr>
      <w:r w:rsidRPr="00A32AF4">
        <w:rPr>
          <w:bCs/>
        </w:rPr>
        <w:t>Le programme continue de faciliter l</w:t>
      </w:r>
      <w:r w:rsidR="00E2055A" w:rsidRPr="00A32AF4">
        <w:rPr>
          <w:bCs/>
        </w:rPr>
        <w:t>’</w:t>
      </w:r>
      <w:r w:rsidRPr="00A32AF4">
        <w:rPr>
          <w:bCs/>
        </w:rPr>
        <w:t>accès pour les pays les moins avancés aux outils de recherche et bases de données relatifs aux brevets et autres disponibles dans le commerce et d</w:t>
      </w:r>
      <w:r w:rsidR="00E2055A" w:rsidRPr="00A32AF4">
        <w:rPr>
          <w:bCs/>
        </w:rPr>
        <w:t>’</w:t>
      </w:r>
      <w:r w:rsidRPr="00A32AF4">
        <w:rPr>
          <w:bCs/>
        </w:rPr>
        <w:t>aider les États membres dans la création de points d</w:t>
      </w:r>
      <w:r w:rsidR="00E2055A" w:rsidRPr="00A32AF4">
        <w:rPr>
          <w:bCs/>
        </w:rPr>
        <w:t>’</w:t>
      </w:r>
      <w:r w:rsidRPr="00A32AF4">
        <w:rPr>
          <w:bCs/>
        </w:rPr>
        <w:t>accès institutionnels à des services d</w:t>
      </w:r>
      <w:r w:rsidR="00E2055A" w:rsidRPr="00A32AF4">
        <w:rPr>
          <w:bCs/>
        </w:rPr>
        <w:t>’</w:t>
      </w:r>
      <w:r w:rsidRPr="00A32AF4">
        <w:rPr>
          <w:bCs/>
        </w:rPr>
        <w:t>information technologique de qualité.  Le programme s</w:t>
      </w:r>
      <w:r w:rsidR="00E2055A" w:rsidRPr="00A32AF4">
        <w:rPr>
          <w:bCs/>
        </w:rPr>
        <w:t>’</w:t>
      </w:r>
      <w:r w:rsidRPr="00A32AF4">
        <w:rPr>
          <w:bCs/>
        </w:rPr>
        <w:t>efforcera en priorité de soutenir les centres d</w:t>
      </w:r>
      <w:r w:rsidR="00E2055A" w:rsidRPr="00A32AF4">
        <w:rPr>
          <w:bCs/>
        </w:rPr>
        <w:t>’</w:t>
      </w:r>
      <w:r w:rsidRPr="00A32AF4">
        <w:rPr>
          <w:bCs/>
        </w:rPr>
        <w:t>appui à la technologie et à l</w:t>
      </w:r>
      <w:r w:rsidR="00E2055A" w:rsidRPr="00A32AF4">
        <w:rPr>
          <w:bCs/>
        </w:rPr>
        <w:t>’</w:t>
      </w:r>
      <w:r w:rsidRPr="00A32AF4">
        <w:rPr>
          <w:bCs/>
        </w:rPr>
        <w:t>innovation (CATI) et de renforcer leurs capacités d</w:t>
      </w:r>
      <w:r w:rsidR="00E2055A" w:rsidRPr="00A32AF4">
        <w:rPr>
          <w:bCs/>
        </w:rPr>
        <w:t>’</w:t>
      </w:r>
      <w:r w:rsidRPr="00A32AF4">
        <w:rPr>
          <w:bCs/>
        </w:rPr>
        <w:t>analyse de l</w:t>
      </w:r>
      <w:r w:rsidR="00E2055A" w:rsidRPr="00A32AF4">
        <w:rPr>
          <w:bCs/>
        </w:rPr>
        <w:t>’</w:t>
      </w:r>
      <w:r w:rsidRPr="00A32AF4">
        <w:rPr>
          <w:bCs/>
        </w:rPr>
        <w:t>information en vue de promouvoir l</w:t>
      </w:r>
      <w:r w:rsidR="00E2055A" w:rsidRPr="00A32AF4">
        <w:rPr>
          <w:bCs/>
        </w:rPr>
        <w:t>’</w:t>
      </w:r>
      <w:r w:rsidRPr="00A32AF4">
        <w:rPr>
          <w:bCs/>
        </w:rPr>
        <w:t>innovation locale.</w:t>
      </w:r>
    </w:p>
    <w:p w:rsidR="00F93B76" w:rsidRPr="00A32AF4" w:rsidRDefault="00F93B76" w:rsidP="00DC0553">
      <w:pPr>
        <w:tabs>
          <w:tab w:val="num" w:pos="567"/>
        </w:tabs>
        <w:jc w:val="both"/>
        <w:rPr>
          <w:bCs/>
          <w:u w:val="single"/>
        </w:rPr>
      </w:pPr>
    </w:p>
    <w:p w:rsidR="00F93B76" w:rsidRPr="00A32AF4" w:rsidRDefault="00F93B76" w:rsidP="00DC0553">
      <w:pPr>
        <w:tabs>
          <w:tab w:val="num" w:pos="567"/>
        </w:tabs>
        <w:jc w:val="both"/>
        <w:rPr>
          <w:bCs/>
          <w:u w:val="single"/>
        </w:rPr>
      </w:pPr>
    </w:p>
    <w:p w:rsidR="00F93B76" w:rsidRPr="00A32AF4" w:rsidRDefault="00CD1430" w:rsidP="00DC0553">
      <w:pPr>
        <w:tabs>
          <w:tab w:val="num" w:pos="709"/>
        </w:tabs>
        <w:jc w:val="both"/>
        <w:rPr>
          <w:bCs/>
          <w:u w:val="single"/>
        </w:rPr>
      </w:pPr>
      <w:r w:rsidRPr="00A32AF4">
        <w:rPr>
          <w:bCs/>
          <w:u w:val="single"/>
        </w:rPr>
        <w:t>Faciliter l</w:t>
      </w:r>
      <w:r w:rsidR="00E2055A" w:rsidRPr="00A32AF4">
        <w:rPr>
          <w:bCs/>
          <w:u w:val="single"/>
        </w:rPr>
        <w:t>’</w:t>
      </w:r>
      <w:r w:rsidRPr="00A32AF4">
        <w:rPr>
          <w:bCs/>
          <w:u w:val="single"/>
        </w:rPr>
        <w:t>accès aux bases de données commerciales d</w:t>
      </w:r>
      <w:r w:rsidR="00E2055A" w:rsidRPr="00A32AF4">
        <w:rPr>
          <w:bCs/>
          <w:u w:val="single"/>
        </w:rPr>
        <w:t>’</w:t>
      </w:r>
      <w:r w:rsidRPr="00A32AF4">
        <w:rPr>
          <w:bCs/>
          <w:u w:val="single"/>
        </w:rPr>
        <w:t>information scientifique, technique et en matière de brevets</w:t>
      </w:r>
    </w:p>
    <w:p w:rsidR="00F93B76" w:rsidRPr="00A32AF4" w:rsidRDefault="00F93B76" w:rsidP="00DC0553">
      <w:pPr>
        <w:tabs>
          <w:tab w:val="num" w:pos="567"/>
        </w:tabs>
        <w:jc w:val="both"/>
        <w:rPr>
          <w:bCs/>
        </w:rPr>
      </w:pPr>
    </w:p>
    <w:p w:rsidR="00F93B76" w:rsidRPr="00A32AF4" w:rsidRDefault="00CD1430" w:rsidP="00DC0553">
      <w:pPr>
        <w:numPr>
          <w:ilvl w:val="0"/>
          <w:numId w:val="9"/>
        </w:numPr>
        <w:tabs>
          <w:tab w:val="clear" w:pos="683"/>
          <w:tab w:val="num" w:pos="567"/>
          <w:tab w:val="num" w:pos="825"/>
        </w:tabs>
        <w:jc w:val="both"/>
        <w:rPr>
          <w:bCs/>
        </w:rPr>
      </w:pPr>
      <w:r w:rsidRPr="00A32AF4">
        <w:rPr>
          <w:bCs/>
        </w:rPr>
        <w:t>L</w:t>
      </w:r>
      <w:r w:rsidR="00E2055A" w:rsidRPr="00A32AF4">
        <w:rPr>
          <w:bCs/>
        </w:rPr>
        <w:t>’</w:t>
      </w:r>
      <w:r w:rsidRPr="00A32AF4">
        <w:rPr>
          <w:bCs/>
        </w:rPr>
        <w:t>accès gratuit ou à bas prix aux bases de données commerciales d</w:t>
      </w:r>
      <w:r w:rsidR="00E2055A" w:rsidRPr="00A32AF4">
        <w:rPr>
          <w:bCs/>
        </w:rPr>
        <w:t>’</w:t>
      </w:r>
      <w:r w:rsidRPr="00A32AF4">
        <w:rPr>
          <w:bCs/>
        </w:rPr>
        <w:t>information scientifique, technique et en matière de brevets continuera à être fourni par l</w:t>
      </w:r>
      <w:r w:rsidR="00E2055A" w:rsidRPr="00A32AF4">
        <w:rPr>
          <w:bCs/>
        </w:rPr>
        <w:t>’</w:t>
      </w:r>
      <w:r w:rsidRPr="00A32AF4">
        <w:rPr>
          <w:bCs/>
        </w:rPr>
        <w:t>intermédiaire des programmes ARDI (Accès à la recherche pour le développement et l</w:t>
      </w:r>
      <w:r w:rsidR="00E2055A" w:rsidRPr="00A32AF4">
        <w:rPr>
          <w:bCs/>
        </w:rPr>
        <w:t>’</w:t>
      </w:r>
      <w:r w:rsidRPr="00A32AF4">
        <w:rPr>
          <w:bCs/>
        </w:rPr>
        <w:t>innovation) et ASPI (Accès à l</w:t>
      </w:r>
      <w:r w:rsidR="00E2055A" w:rsidRPr="00A32AF4">
        <w:rPr>
          <w:bCs/>
        </w:rPr>
        <w:t>’</w:t>
      </w:r>
      <w:r w:rsidRPr="00A32AF4">
        <w:rPr>
          <w:bCs/>
        </w:rPr>
        <w:t>information spécialisée en matière de brevets).  Ces deux programmes permettent aux offices de propriété intellectuelle ainsi qu</w:t>
      </w:r>
      <w:r w:rsidR="00E2055A" w:rsidRPr="00A32AF4">
        <w:rPr>
          <w:bCs/>
        </w:rPr>
        <w:t>’</w:t>
      </w:r>
      <w:r w:rsidRPr="00A32AF4">
        <w:rPr>
          <w:bCs/>
        </w:rPr>
        <w:t>aux établissements universitaires et instituts de recherche dans plus de 100 États membres remplissant les conditions requises d</w:t>
      </w:r>
      <w:r w:rsidR="00E2055A" w:rsidRPr="00A32AF4">
        <w:rPr>
          <w:bCs/>
        </w:rPr>
        <w:t>’</w:t>
      </w:r>
      <w:r w:rsidRPr="00A32AF4">
        <w:rPr>
          <w:bCs/>
        </w:rPr>
        <w:t>avoir accès gratuitement ou à bas prix à plus de 20 000 revues collégiales, livres, ouvrages de référence et à des outils d</w:t>
      </w:r>
      <w:r w:rsidR="00E2055A" w:rsidRPr="00A32AF4">
        <w:rPr>
          <w:bCs/>
        </w:rPr>
        <w:t>’</w:t>
      </w:r>
      <w:r w:rsidRPr="00A32AF4">
        <w:rPr>
          <w:bCs/>
        </w:rPr>
        <w:t>analyse et de recherche perfectionnés en matière de brevets, respectivement.  L</w:t>
      </w:r>
      <w:r w:rsidR="00E2055A" w:rsidRPr="00A32AF4">
        <w:rPr>
          <w:bCs/>
        </w:rPr>
        <w:t>’</w:t>
      </w:r>
      <w:r w:rsidRPr="00A32AF4">
        <w:rPr>
          <w:bCs/>
        </w:rPr>
        <w:t>intégration du programme ARDI aux activités du partenariat Research4Life (R4L) qui regroupe l</w:t>
      </w:r>
      <w:r w:rsidR="00E2055A" w:rsidRPr="00A32AF4">
        <w:rPr>
          <w:bCs/>
        </w:rPr>
        <w:t>’</w:t>
      </w:r>
      <w:r w:rsidRPr="00A32AF4">
        <w:rPr>
          <w:bCs/>
        </w:rPr>
        <w:t>OMS, la FAO et le PNUE se poursuivra, notamment en ce qui concerne l</w:t>
      </w:r>
      <w:r w:rsidR="00E2055A" w:rsidRPr="00A32AF4">
        <w:rPr>
          <w:bCs/>
        </w:rPr>
        <w:t>’</w:t>
      </w:r>
      <w:r w:rsidR="00CC2EA3" w:rsidRPr="00A32AF4">
        <w:rPr>
          <w:bCs/>
        </w:rPr>
        <w:t>administration des services d</w:t>
      </w:r>
      <w:r w:rsidR="00E2055A" w:rsidRPr="00A32AF4">
        <w:rPr>
          <w:bCs/>
        </w:rPr>
        <w:t>’</w:t>
      </w:r>
      <w:r w:rsidR="00CC2EA3" w:rsidRPr="00A32AF4">
        <w:rPr>
          <w:bCs/>
        </w:rPr>
        <w:t xml:space="preserve">appui </w:t>
      </w:r>
      <w:r w:rsidRPr="00A32AF4">
        <w:rPr>
          <w:bCs/>
        </w:rPr>
        <w:t>technique aux programmes, de communication, de commercialisation et de formation.</w:t>
      </w:r>
    </w:p>
    <w:p w:rsidR="00F93B76" w:rsidRPr="00A32AF4" w:rsidRDefault="00F93B76" w:rsidP="00DC0553">
      <w:pPr>
        <w:tabs>
          <w:tab w:val="num" w:pos="567"/>
        </w:tabs>
        <w:jc w:val="both"/>
        <w:rPr>
          <w:bCs/>
        </w:rPr>
      </w:pPr>
    </w:p>
    <w:p w:rsidR="00F93B76" w:rsidRPr="00A32AF4" w:rsidRDefault="00F93B76" w:rsidP="00DC0553">
      <w:pPr>
        <w:tabs>
          <w:tab w:val="num" w:pos="567"/>
        </w:tabs>
        <w:jc w:val="both"/>
        <w:rPr>
          <w:bCs/>
        </w:rPr>
      </w:pPr>
    </w:p>
    <w:p w:rsidR="00F93B76" w:rsidRPr="00A32AF4" w:rsidRDefault="00CD1430" w:rsidP="00DC0553">
      <w:pPr>
        <w:tabs>
          <w:tab w:val="num" w:pos="709"/>
        </w:tabs>
        <w:jc w:val="both"/>
        <w:rPr>
          <w:bCs/>
          <w:u w:val="single"/>
        </w:rPr>
      </w:pPr>
      <w:r w:rsidRPr="00A32AF4">
        <w:rPr>
          <w:bCs/>
          <w:u w:val="single"/>
        </w:rPr>
        <w:t>Mettre en place des réseaux durables et efficaces de centres d</w:t>
      </w:r>
      <w:r w:rsidR="00E2055A" w:rsidRPr="00A32AF4">
        <w:rPr>
          <w:bCs/>
          <w:u w:val="single"/>
        </w:rPr>
        <w:t>’</w:t>
      </w:r>
      <w:r w:rsidRPr="00A32AF4">
        <w:rPr>
          <w:bCs/>
          <w:u w:val="single"/>
        </w:rPr>
        <w:t>appui à la technologie et à l</w:t>
      </w:r>
      <w:r w:rsidR="00E2055A" w:rsidRPr="00A32AF4">
        <w:rPr>
          <w:bCs/>
          <w:u w:val="single"/>
        </w:rPr>
        <w:t>’</w:t>
      </w:r>
      <w:r w:rsidRPr="00A32AF4">
        <w:rPr>
          <w:bCs/>
          <w:u w:val="single"/>
        </w:rPr>
        <w:t>innovation</w:t>
      </w:r>
      <w:r w:rsidR="009774E7" w:rsidRPr="00A32AF4">
        <w:rPr>
          <w:bCs/>
          <w:u w:val="single"/>
        </w:rPr>
        <w:t xml:space="preserve"> (CATI)</w:t>
      </w:r>
    </w:p>
    <w:p w:rsidR="00F93B76" w:rsidRPr="00A32AF4" w:rsidRDefault="00F93B76" w:rsidP="00DC0553">
      <w:pPr>
        <w:tabs>
          <w:tab w:val="num" w:pos="709"/>
        </w:tabs>
        <w:jc w:val="both"/>
        <w:rPr>
          <w:bCs/>
        </w:rPr>
      </w:pPr>
    </w:p>
    <w:p w:rsidR="00F93B76" w:rsidRPr="00A32AF4" w:rsidRDefault="00CD1430" w:rsidP="00DC0553">
      <w:pPr>
        <w:numPr>
          <w:ilvl w:val="0"/>
          <w:numId w:val="9"/>
        </w:numPr>
        <w:tabs>
          <w:tab w:val="clear" w:pos="683"/>
          <w:tab w:val="num" w:pos="567"/>
        </w:tabs>
        <w:jc w:val="both"/>
        <w:rPr>
          <w:bCs/>
        </w:rPr>
      </w:pPr>
      <w:r w:rsidRPr="00A32AF4">
        <w:rPr>
          <w:bCs/>
        </w:rPr>
        <w:t>Alors que l</w:t>
      </w:r>
      <w:r w:rsidR="00E2055A" w:rsidRPr="00A32AF4">
        <w:rPr>
          <w:bCs/>
        </w:rPr>
        <w:t>’</w:t>
      </w:r>
      <w:r w:rsidRPr="00A32AF4">
        <w:rPr>
          <w:bCs/>
        </w:rPr>
        <w:t>objectif au cours des exercices biennaux précédents consistait à établir des centres d</w:t>
      </w:r>
      <w:r w:rsidR="00E2055A" w:rsidRPr="00A32AF4">
        <w:rPr>
          <w:bCs/>
        </w:rPr>
        <w:t>’</w:t>
      </w:r>
      <w:r w:rsidRPr="00A32AF4">
        <w:rPr>
          <w:bCs/>
        </w:rPr>
        <w:t>appui à la technologie et à l</w:t>
      </w:r>
      <w:r w:rsidR="00E2055A" w:rsidRPr="00A32AF4">
        <w:rPr>
          <w:bCs/>
        </w:rPr>
        <w:t>’</w:t>
      </w:r>
      <w:r w:rsidRPr="00A32AF4">
        <w:rPr>
          <w:bCs/>
        </w:rPr>
        <w:t>innovation, en 2016</w:t>
      </w:r>
      <w:r w:rsidR="00EB7F54" w:rsidRPr="00A32AF4">
        <w:rPr>
          <w:bCs/>
        </w:rPr>
        <w:noBreakHyphen/>
      </w:r>
      <w:r w:rsidRPr="00A32AF4">
        <w:rPr>
          <w:bCs/>
        </w:rPr>
        <w:t xml:space="preserve">2017, les efforts viseront de plus en plus à </w:t>
      </w:r>
      <w:r w:rsidR="00F875F7" w:rsidRPr="00A32AF4">
        <w:rPr>
          <w:bCs/>
        </w:rPr>
        <w:t>appuyer</w:t>
      </w:r>
      <w:r w:rsidRPr="00A32AF4">
        <w:rPr>
          <w:bCs/>
        </w:rPr>
        <w:t xml:space="preserve"> et à consolider leur viabilité à long terme et l</w:t>
      </w:r>
      <w:r w:rsidR="00E2055A" w:rsidRPr="00A32AF4">
        <w:rPr>
          <w:bCs/>
        </w:rPr>
        <w:t>’</w:t>
      </w:r>
      <w:r w:rsidRPr="00A32AF4">
        <w:rPr>
          <w:bCs/>
        </w:rPr>
        <w:t>efficacité des services qu</w:t>
      </w:r>
      <w:r w:rsidR="00E2055A" w:rsidRPr="00A32AF4">
        <w:rPr>
          <w:bCs/>
        </w:rPr>
        <w:t>’</w:t>
      </w:r>
      <w:r w:rsidRPr="00A32AF4">
        <w:rPr>
          <w:bCs/>
        </w:rPr>
        <w:t xml:space="preserve">ils offrent.  </w:t>
      </w:r>
      <w:proofErr w:type="gramStart"/>
      <w:r w:rsidRPr="00A32AF4">
        <w:rPr>
          <w:bCs/>
        </w:rPr>
        <w:t>Ce</w:t>
      </w:r>
      <w:r w:rsidR="00F875F7" w:rsidRPr="00A32AF4">
        <w:rPr>
          <w:bCs/>
        </w:rPr>
        <w:t>t</w:t>
      </w:r>
      <w:r w:rsidRPr="00A32AF4">
        <w:rPr>
          <w:bCs/>
        </w:rPr>
        <w:t xml:space="preserve"> </w:t>
      </w:r>
      <w:r w:rsidR="00F875F7" w:rsidRPr="00A32AF4">
        <w:rPr>
          <w:bCs/>
        </w:rPr>
        <w:t xml:space="preserve">appui </w:t>
      </w:r>
      <w:r w:rsidRPr="00A32AF4">
        <w:rPr>
          <w:bCs/>
        </w:rPr>
        <w:t xml:space="preserve">comprendra notamment : </w:t>
      </w:r>
      <w:r w:rsidR="003D3170" w:rsidRPr="00A32AF4">
        <w:rPr>
          <w:bCs/>
        </w:rPr>
        <w:t>la mise à disposition d</w:t>
      </w:r>
      <w:r w:rsidR="00E2055A" w:rsidRPr="00A32AF4">
        <w:rPr>
          <w:bCs/>
        </w:rPr>
        <w:t>’</w:t>
      </w:r>
      <w:r w:rsidRPr="00A32AF4">
        <w:rPr>
          <w:bCs/>
        </w:rPr>
        <w:t>un éventail plus large de programmes de formation des formateurs à l</w:t>
      </w:r>
      <w:r w:rsidR="00E2055A" w:rsidRPr="00A32AF4">
        <w:rPr>
          <w:bCs/>
        </w:rPr>
        <w:t>’</w:t>
      </w:r>
      <w:r w:rsidRPr="00A32AF4">
        <w:rPr>
          <w:bCs/>
        </w:rPr>
        <w:t>intention du personnel des centres d</w:t>
      </w:r>
      <w:r w:rsidR="00E2055A" w:rsidRPr="00A32AF4">
        <w:rPr>
          <w:bCs/>
        </w:rPr>
        <w:t>’</w:t>
      </w:r>
      <w:r w:rsidRPr="00A32AF4">
        <w:rPr>
          <w:bCs/>
        </w:rPr>
        <w:t>appui à la technologie et à l</w:t>
      </w:r>
      <w:r w:rsidR="00E2055A" w:rsidRPr="00A32AF4">
        <w:rPr>
          <w:bCs/>
        </w:rPr>
        <w:t>’</w:t>
      </w:r>
      <w:r w:rsidRPr="00A32AF4">
        <w:rPr>
          <w:bCs/>
        </w:rPr>
        <w:t>innovation, aussi bien en ligne que sur place;  la poursuite du développement du didacticiel interactif en ligne sur l</w:t>
      </w:r>
      <w:r w:rsidR="00E2055A" w:rsidRPr="00A32AF4">
        <w:rPr>
          <w:bCs/>
        </w:rPr>
        <w:t>’</w:t>
      </w:r>
      <w:r w:rsidRPr="00A32AF4">
        <w:rPr>
          <w:bCs/>
        </w:rPr>
        <w:t>utilisation et l</w:t>
      </w:r>
      <w:r w:rsidR="00E2055A" w:rsidRPr="00A32AF4">
        <w:rPr>
          <w:bCs/>
        </w:rPr>
        <w:t>’</w:t>
      </w:r>
      <w:r w:rsidRPr="00A32AF4">
        <w:rPr>
          <w:bCs/>
        </w:rPr>
        <w:t>exploitation de l</w:t>
      </w:r>
      <w:r w:rsidR="00E2055A" w:rsidRPr="00A32AF4">
        <w:rPr>
          <w:bCs/>
        </w:rPr>
        <w:t>’</w:t>
      </w:r>
      <w:r w:rsidRPr="00A32AF4">
        <w:rPr>
          <w:bCs/>
        </w:rPr>
        <w:t xml:space="preserve">information en matière de brevets;  la promotion </w:t>
      </w:r>
      <w:r w:rsidR="003D3170" w:rsidRPr="00A32AF4">
        <w:rPr>
          <w:bCs/>
        </w:rPr>
        <w:t>de la création de réseaux</w:t>
      </w:r>
      <w:r w:rsidRPr="00A32AF4">
        <w:rPr>
          <w:bCs/>
        </w:rPr>
        <w:t xml:space="preserve"> et du partage des connaissances grâce à la plate</w:t>
      </w:r>
      <w:r w:rsidR="00EB7F54" w:rsidRPr="00A32AF4">
        <w:rPr>
          <w:bCs/>
        </w:rPr>
        <w:noBreakHyphen/>
      </w:r>
      <w:r w:rsidRPr="00A32AF4">
        <w:rPr>
          <w:bCs/>
        </w:rPr>
        <w:t>forme eTISC et à la mise en place de réseaux et de plates</w:t>
      </w:r>
      <w:r w:rsidR="00EB7F54" w:rsidRPr="00A32AF4">
        <w:rPr>
          <w:bCs/>
        </w:rPr>
        <w:noBreakHyphen/>
      </w:r>
      <w:r w:rsidRPr="00A32AF4">
        <w:rPr>
          <w:bCs/>
        </w:rPr>
        <w:t>formes de centres d</w:t>
      </w:r>
      <w:r w:rsidR="00E2055A" w:rsidRPr="00A32AF4">
        <w:rPr>
          <w:bCs/>
        </w:rPr>
        <w:t>’</w:t>
      </w:r>
      <w:r w:rsidRPr="00A32AF4">
        <w:rPr>
          <w:bCs/>
        </w:rPr>
        <w:t>appui à la technologie et à l</w:t>
      </w:r>
      <w:r w:rsidR="00E2055A" w:rsidRPr="00A32AF4">
        <w:rPr>
          <w:bCs/>
        </w:rPr>
        <w:t>’</w:t>
      </w:r>
      <w:r w:rsidRPr="00A32AF4">
        <w:rPr>
          <w:bCs/>
        </w:rPr>
        <w:t>innovation à l</w:t>
      </w:r>
      <w:r w:rsidR="00E2055A" w:rsidRPr="00A32AF4">
        <w:rPr>
          <w:bCs/>
        </w:rPr>
        <w:t>’</w:t>
      </w:r>
      <w:r w:rsidRPr="00A32AF4">
        <w:rPr>
          <w:bCs/>
        </w:rPr>
        <w:t>échelle régionale;  des évaluations de viabilité</w:t>
      </w:r>
      <w:r w:rsidR="003D3170" w:rsidRPr="00A32AF4">
        <w:rPr>
          <w:bCs/>
        </w:rPr>
        <w:t xml:space="preserve"> sur une base continue</w:t>
      </w:r>
      <w:r w:rsidRPr="00A32AF4">
        <w:rPr>
          <w:bCs/>
        </w:rPr>
        <w:t xml:space="preserve">;  et le partage des </w:t>
      </w:r>
      <w:r w:rsidR="00B63C9F" w:rsidRPr="00A32AF4">
        <w:rPr>
          <w:bCs/>
        </w:rPr>
        <w:t>“</w:t>
      </w:r>
      <w:r w:rsidRPr="00A32AF4">
        <w:rPr>
          <w:bCs/>
        </w:rPr>
        <w:t>réussites</w:t>
      </w:r>
      <w:r w:rsidR="00B63C9F" w:rsidRPr="00A32AF4">
        <w:rPr>
          <w:bCs/>
        </w:rPr>
        <w:t>”</w:t>
      </w:r>
      <w:r w:rsidRPr="00A32AF4">
        <w:rPr>
          <w:bCs/>
        </w:rPr>
        <w:t xml:space="preserve"> en matière de résultats concrets obtenus par</w:t>
      </w:r>
      <w:r w:rsidR="00E2055A" w:rsidRPr="00A32AF4">
        <w:rPr>
          <w:bCs/>
        </w:rPr>
        <w:t xml:space="preserve"> les CAT</w:t>
      </w:r>
      <w:r w:rsidR="00710180" w:rsidRPr="00A32AF4">
        <w:rPr>
          <w:bCs/>
        </w:rPr>
        <w:t>I</w:t>
      </w:r>
      <w:r w:rsidRPr="00A32AF4">
        <w:rPr>
          <w:bCs/>
        </w:rPr>
        <w:t xml:space="preserve"> grâce aux services </w:t>
      </w:r>
      <w:r w:rsidR="00710180" w:rsidRPr="00A32AF4">
        <w:rPr>
          <w:bCs/>
        </w:rPr>
        <w:t>qu</w:t>
      </w:r>
      <w:r w:rsidR="00E2055A" w:rsidRPr="00A32AF4">
        <w:rPr>
          <w:bCs/>
        </w:rPr>
        <w:t>’</w:t>
      </w:r>
      <w:r w:rsidR="00710180" w:rsidRPr="00A32AF4">
        <w:rPr>
          <w:bCs/>
        </w:rPr>
        <w:t xml:space="preserve">ils </w:t>
      </w:r>
      <w:r w:rsidRPr="00A32AF4">
        <w:rPr>
          <w:bCs/>
        </w:rPr>
        <w:t>off</w:t>
      </w:r>
      <w:r w:rsidR="00710180" w:rsidRPr="00A32AF4">
        <w:rPr>
          <w:bCs/>
        </w:rPr>
        <w:t>ren</w:t>
      </w:r>
      <w:r w:rsidRPr="00A32AF4">
        <w:rPr>
          <w:bCs/>
        </w:rPr>
        <w:t>t.</w:t>
      </w:r>
      <w:proofErr w:type="gramEnd"/>
    </w:p>
    <w:p w:rsidR="00F93B76" w:rsidRPr="00A32AF4" w:rsidRDefault="00F93B76" w:rsidP="00DC0553">
      <w:pPr>
        <w:tabs>
          <w:tab w:val="num" w:pos="709"/>
        </w:tabs>
        <w:jc w:val="both"/>
        <w:rPr>
          <w:bCs/>
        </w:rPr>
      </w:pPr>
    </w:p>
    <w:p w:rsidR="00F93B76" w:rsidRPr="00A32AF4" w:rsidRDefault="00F93B76" w:rsidP="00DC0553">
      <w:pPr>
        <w:tabs>
          <w:tab w:val="num" w:pos="709"/>
        </w:tabs>
        <w:jc w:val="both"/>
        <w:rPr>
          <w:bCs/>
        </w:rPr>
      </w:pPr>
    </w:p>
    <w:p w:rsidR="00F93B76" w:rsidRPr="00A32AF4" w:rsidRDefault="00CD1430" w:rsidP="00DC0553">
      <w:pPr>
        <w:keepNext/>
        <w:tabs>
          <w:tab w:val="num" w:pos="709"/>
        </w:tabs>
        <w:jc w:val="both"/>
        <w:rPr>
          <w:bCs/>
          <w:u w:val="single"/>
        </w:rPr>
      </w:pPr>
      <w:r w:rsidRPr="00A32AF4">
        <w:rPr>
          <w:bCs/>
          <w:u w:val="single"/>
        </w:rPr>
        <w:t>Améliorer les services à valeur ajoutée</w:t>
      </w:r>
    </w:p>
    <w:p w:rsidR="00F93B76" w:rsidRPr="00A32AF4" w:rsidRDefault="00F93B76" w:rsidP="00DC0553">
      <w:pPr>
        <w:keepNext/>
        <w:tabs>
          <w:tab w:val="num" w:pos="709"/>
        </w:tabs>
        <w:jc w:val="both"/>
        <w:rPr>
          <w:bCs/>
        </w:rPr>
      </w:pPr>
    </w:p>
    <w:p w:rsidR="00F93B76" w:rsidRPr="00A32AF4" w:rsidRDefault="00CD1430" w:rsidP="00DC0553">
      <w:pPr>
        <w:numPr>
          <w:ilvl w:val="0"/>
          <w:numId w:val="9"/>
        </w:numPr>
        <w:tabs>
          <w:tab w:val="clear" w:pos="683"/>
          <w:tab w:val="num" w:pos="567"/>
        </w:tabs>
        <w:jc w:val="both"/>
        <w:rPr>
          <w:bCs/>
        </w:rPr>
      </w:pPr>
      <w:r w:rsidRPr="00A32AF4">
        <w:rPr>
          <w:bCs/>
        </w:rPr>
        <w:t>Les services offerts par les centres d</w:t>
      </w:r>
      <w:r w:rsidR="00E2055A" w:rsidRPr="00A32AF4">
        <w:rPr>
          <w:bCs/>
        </w:rPr>
        <w:t>’</w:t>
      </w:r>
      <w:r w:rsidRPr="00A32AF4">
        <w:rPr>
          <w:bCs/>
        </w:rPr>
        <w:t>appui à la technologie et à l</w:t>
      </w:r>
      <w:r w:rsidR="00E2055A" w:rsidRPr="00A32AF4">
        <w:rPr>
          <w:bCs/>
        </w:rPr>
        <w:t>’</w:t>
      </w:r>
      <w:r w:rsidRPr="00A32AF4">
        <w:rPr>
          <w:bCs/>
        </w:rPr>
        <w:t>innovation seront encore améliorés pour tenir compte des demandes des utilisateurs pour un éventail plus large de services à valeur ajoutée, tels que l</w:t>
      </w:r>
      <w:r w:rsidR="00E2055A" w:rsidRPr="00A32AF4">
        <w:rPr>
          <w:bCs/>
        </w:rPr>
        <w:t>’</w:t>
      </w:r>
      <w:r w:rsidRPr="00A32AF4">
        <w:rPr>
          <w:bCs/>
        </w:rPr>
        <w:t>analyse de l</w:t>
      </w:r>
      <w:r w:rsidR="00E2055A" w:rsidRPr="00A32AF4">
        <w:rPr>
          <w:bCs/>
        </w:rPr>
        <w:t>’</w:t>
      </w:r>
      <w:r w:rsidRPr="00A32AF4">
        <w:rPr>
          <w:bCs/>
        </w:rPr>
        <w:t xml:space="preserve">information en matière de brevets.  </w:t>
      </w:r>
      <w:proofErr w:type="gramStart"/>
      <w:r w:rsidRPr="00A32AF4">
        <w:rPr>
          <w:bCs/>
        </w:rPr>
        <w:t>Le soutien apporté permettra aux centres d</w:t>
      </w:r>
      <w:r w:rsidR="00E2055A" w:rsidRPr="00A32AF4">
        <w:rPr>
          <w:bCs/>
        </w:rPr>
        <w:t>’</w:t>
      </w:r>
      <w:r w:rsidRPr="00A32AF4">
        <w:rPr>
          <w:bCs/>
        </w:rPr>
        <w:t>appui à la technologie et à l</w:t>
      </w:r>
      <w:r w:rsidR="00E2055A" w:rsidRPr="00A32AF4">
        <w:rPr>
          <w:bCs/>
        </w:rPr>
        <w:t>’</w:t>
      </w:r>
      <w:r w:rsidRPr="00A32AF4">
        <w:rPr>
          <w:bCs/>
        </w:rPr>
        <w:t>innovation d</w:t>
      </w:r>
      <w:r w:rsidR="00E2055A" w:rsidRPr="00A32AF4">
        <w:rPr>
          <w:bCs/>
        </w:rPr>
        <w:t>’</w:t>
      </w:r>
      <w:r w:rsidRPr="00A32AF4">
        <w:rPr>
          <w:bCs/>
        </w:rPr>
        <w:t>offrir aux utilisateurs des services à valeur ajoutée tels que : la recherche sur l</w:t>
      </w:r>
      <w:r w:rsidR="00E2055A" w:rsidRPr="00A32AF4">
        <w:rPr>
          <w:bCs/>
        </w:rPr>
        <w:t>’</w:t>
      </w:r>
      <w:r w:rsidRPr="00A32AF4">
        <w:rPr>
          <w:bCs/>
        </w:rPr>
        <w:t>état de la technique fournie à ce jour par les services d</w:t>
      </w:r>
      <w:r w:rsidR="00E2055A" w:rsidRPr="00A32AF4">
        <w:rPr>
          <w:bCs/>
        </w:rPr>
        <w:t>’</w:t>
      </w:r>
      <w:r w:rsidRPr="00A32AF4">
        <w:rPr>
          <w:bCs/>
        </w:rPr>
        <w:t>information en matière de brevets de l</w:t>
      </w:r>
      <w:r w:rsidR="00E2055A" w:rsidRPr="00A32AF4">
        <w:rPr>
          <w:bCs/>
        </w:rPr>
        <w:t>’</w:t>
      </w:r>
      <w:r w:rsidRPr="00A32AF4">
        <w:rPr>
          <w:bCs/>
        </w:rPr>
        <w:t>OMPI;  et les rapports panoramiques sur les brevets grâce à l</w:t>
      </w:r>
      <w:r w:rsidR="00E2055A" w:rsidRPr="00A32AF4">
        <w:rPr>
          <w:bCs/>
        </w:rPr>
        <w:t>’</w:t>
      </w:r>
      <w:r w:rsidRPr="00A32AF4">
        <w:rPr>
          <w:bCs/>
        </w:rPr>
        <w:t>utilisation des lignes directrices de l</w:t>
      </w:r>
      <w:r w:rsidR="00E2055A" w:rsidRPr="00A32AF4">
        <w:rPr>
          <w:bCs/>
        </w:rPr>
        <w:t>’</w:t>
      </w:r>
      <w:r w:rsidRPr="00A32AF4">
        <w:rPr>
          <w:bCs/>
        </w:rPr>
        <w:t>OMPI pour l</w:t>
      </w:r>
      <w:r w:rsidR="00E2055A" w:rsidRPr="00A32AF4">
        <w:rPr>
          <w:bCs/>
        </w:rPr>
        <w:t>’</w:t>
      </w:r>
      <w:r w:rsidRPr="00A32AF4">
        <w:rPr>
          <w:bCs/>
        </w:rPr>
        <w:t>analyse de l</w:t>
      </w:r>
      <w:r w:rsidR="00E2055A" w:rsidRPr="00A32AF4">
        <w:rPr>
          <w:bCs/>
        </w:rPr>
        <w:t>’</w:t>
      </w:r>
      <w:r w:rsidRPr="00A32AF4">
        <w:rPr>
          <w:bCs/>
        </w:rPr>
        <w:t>information en matière de brevets (voir les orientations méthodologiques pour l</w:t>
      </w:r>
      <w:r w:rsidR="00E2055A" w:rsidRPr="00A32AF4">
        <w:rPr>
          <w:bCs/>
        </w:rPr>
        <w:t>’</w:t>
      </w:r>
      <w:r w:rsidRPr="00A32AF4">
        <w:rPr>
          <w:bCs/>
        </w:rPr>
        <w:t>établissement de rapports panoramiques sur les brevets et le manuel sur les logiciels libres d</w:t>
      </w:r>
      <w:r w:rsidR="00E2055A" w:rsidRPr="00A32AF4">
        <w:rPr>
          <w:bCs/>
        </w:rPr>
        <w:t>’</w:t>
      </w:r>
      <w:r w:rsidRPr="00A32AF4">
        <w:rPr>
          <w:bCs/>
        </w:rPr>
        <w:t>analyse de brevet).</w:t>
      </w:r>
      <w:proofErr w:type="gramEnd"/>
      <w:r w:rsidRPr="00A32AF4">
        <w:rPr>
          <w:bCs/>
        </w:rPr>
        <w:t xml:space="preserve">  </w:t>
      </w:r>
      <w:proofErr w:type="gramStart"/>
      <w:r w:rsidRPr="00A32AF4">
        <w:rPr>
          <w:bCs/>
        </w:rPr>
        <w:t>Afin de répondre aux demandes de conseils sur la gestion et la commercialisation des actifs de propriété intellectuelle, les services offerts par les centres d</w:t>
      </w:r>
      <w:r w:rsidR="00E2055A" w:rsidRPr="00A32AF4">
        <w:rPr>
          <w:bCs/>
        </w:rPr>
        <w:t>’</w:t>
      </w:r>
      <w:r w:rsidRPr="00A32AF4">
        <w:rPr>
          <w:bCs/>
        </w:rPr>
        <w:t>appui à la technologie et à l</w:t>
      </w:r>
      <w:r w:rsidR="00E2055A" w:rsidRPr="00A32AF4">
        <w:rPr>
          <w:bCs/>
        </w:rPr>
        <w:t>’</w:t>
      </w:r>
      <w:r w:rsidRPr="00A32AF4">
        <w:rPr>
          <w:bCs/>
        </w:rPr>
        <w:t xml:space="preserve">innovation prévoient également le lancement de deux projets, </w:t>
      </w:r>
      <w:r w:rsidR="00E2055A" w:rsidRPr="00A32AF4">
        <w:rPr>
          <w:bCs/>
        </w:rPr>
        <w:t>à savoir</w:t>
      </w:r>
      <w:r w:rsidRPr="00A32AF4">
        <w:rPr>
          <w:bCs/>
        </w:rPr>
        <w:t> : le portail de l</w:t>
      </w:r>
      <w:r w:rsidR="00E2055A" w:rsidRPr="00A32AF4">
        <w:rPr>
          <w:bCs/>
        </w:rPr>
        <w:t>’</w:t>
      </w:r>
      <w:r w:rsidRPr="00A32AF4">
        <w:rPr>
          <w:bCs/>
        </w:rPr>
        <w:t xml:space="preserve">OMPI concernant les bases de données nationales disponibles sur la situation juridique des brevets;  et le projet de </w:t>
      </w:r>
      <w:r w:rsidR="00B63C9F" w:rsidRPr="00A32AF4">
        <w:rPr>
          <w:bCs/>
        </w:rPr>
        <w:t>“</w:t>
      </w:r>
      <w:r w:rsidRPr="00A32AF4">
        <w:rPr>
          <w:bCs/>
        </w:rPr>
        <w:t>premier guichet</w:t>
      </w:r>
      <w:r w:rsidR="00B63C9F" w:rsidRPr="00A32AF4">
        <w:rPr>
          <w:bCs/>
        </w:rPr>
        <w:t>”</w:t>
      </w:r>
      <w:r w:rsidRPr="00A32AF4">
        <w:rPr>
          <w:bCs/>
        </w:rPr>
        <w:t xml:space="preserve"> qui permettra aux inventeurs locaux remplissant les conditions requises de présenter une invention aux fins de recherche sur l</w:t>
      </w:r>
      <w:r w:rsidR="00E2055A" w:rsidRPr="00A32AF4">
        <w:rPr>
          <w:bCs/>
        </w:rPr>
        <w:t>’</w:t>
      </w:r>
      <w:r w:rsidRPr="00A32AF4">
        <w:rPr>
          <w:bCs/>
        </w:rPr>
        <w:t>état de la technique menée par un centre d</w:t>
      </w:r>
      <w:r w:rsidR="00E2055A" w:rsidRPr="00A32AF4">
        <w:rPr>
          <w:bCs/>
        </w:rPr>
        <w:t>’</w:t>
      </w:r>
      <w:r w:rsidRPr="00A32AF4">
        <w:rPr>
          <w:bCs/>
        </w:rPr>
        <w:t>appui à la technologie et à l</w:t>
      </w:r>
      <w:r w:rsidR="00E2055A" w:rsidRPr="00A32AF4">
        <w:rPr>
          <w:bCs/>
        </w:rPr>
        <w:t>’</w:t>
      </w:r>
      <w:r w:rsidRPr="00A32AF4">
        <w:rPr>
          <w:bCs/>
        </w:rPr>
        <w:t>innovation et de recevoir des conseils d</w:t>
      </w:r>
      <w:r w:rsidR="00E2055A" w:rsidRPr="00A32AF4">
        <w:rPr>
          <w:bCs/>
        </w:rPr>
        <w:t>’</w:t>
      </w:r>
      <w:r w:rsidRPr="00A32AF4">
        <w:rPr>
          <w:bCs/>
        </w:rPr>
        <w:t>un juriste bénévole sur la meilleure façon de tirer profit de l</w:t>
      </w:r>
      <w:r w:rsidR="00E2055A" w:rsidRPr="00A32AF4">
        <w:rPr>
          <w:bCs/>
        </w:rPr>
        <w:t>’</w:t>
      </w:r>
      <w:r w:rsidRPr="00A32AF4">
        <w:rPr>
          <w:bCs/>
        </w:rPr>
        <w:t xml:space="preserve">invention, </w:t>
      </w:r>
      <w:r w:rsidR="00E2055A" w:rsidRPr="00A32AF4">
        <w:rPr>
          <w:bCs/>
        </w:rPr>
        <w:t>y compris</w:t>
      </w:r>
      <w:r w:rsidRPr="00A32AF4">
        <w:rPr>
          <w:bCs/>
        </w:rPr>
        <w:t xml:space="preserve"> sur un éventuel dépôt de demande de brevet et les aspects commerciaux ultérieurs.</w:t>
      </w:r>
      <w:proofErr w:type="gramEnd"/>
    </w:p>
    <w:p w:rsidR="00F93B76" w:rsidRPr="00A32AF4" w:rsidRDefault="00F93B76" w:rsidP="00DC0553">
      <w:pPr>
        <w:tabs>
          <w:tab w:val="num" w:pos="567"/>
        </w:tabs>
        <w:jc w:val="both"/>
        <w:rPr>
          <w:bCs/>
        </w:rPr>
      </w:pPr>
    </w:p>
    <w:p w:rsidR="00F93B76" w:rsidRPr="00A32AF4" w:rsidRDefault="00CD1430" w:rsidP="00DC0553">
      <w:pPr>
        <w:numPr>
          <w:ilvl w:val="0"/>
          <w:numId w:val="9"/>
        </w:numPr>
        <w:tabs>
          <w:tab w:val="clear" w:pos="683"/>
          <w:tab w:val="num" w:pos="567"/>
        </w:tabs>
        <w:jc w:val="both"/>
        <w:rPr>
          <w:rFonts w:eastAsia="MS Mincho" w:cs="ArialMT"/>
          <w:lang w:eastAsia="ja-JP" w:bidi="th-TH"/>
        </w:rPr>
      </w:pPr>
      <w:proofErr w:type="gramStart"/>
      <w:r w:rsidRPr="00A32AF4">
        <w:rPr>
          <w:bCs/>
        </w:rPr>
        <w:t>En coordination avec le programme 13 (Bases de données mondiales) et le programme 15 (Solutions opérationnelles pour les offices de propriété intellectuelle), le programme continuera d</w:t>
      </w:r>
      <w:r w:rsidR="00E2055A" w:rsidRPr="00A32AF4">
        <w:rPr>
          <w:bCs/>
        </w:rPr>
        <w:t>’</w:t>
      </w:r>
      <w:r w:rsidRPr="00A32AF4">
        <w:rPr>
          <w:bCs/>
        </w:rPr>
        <w:t>aider les pays en développement à créer des documents d</w:t>
      </w:r>
      <w:r w:rsidR="00E2055A" w:rsidRPr="00A32AF4">
        <w:rPr>
          <w:bCs/>
        </w:rPr>
        <w:t>’</w:t>
      </w:r>
      <w:r w:rsidRPr="00A32AF4">
        <w:rPr>
          <w:bCs/>
        </w:rPr>
        <w:t>information en texte intégral et d</w:t>
      </w:r>
      <w:r w:rsidR="00E2055A" w:rsidRPr="00A32AF4">
        <w:rPr>
          <w:bCs/>
        </w:rPr>
        <w:t>’</w:t>
      </w:r>
      <w:r w:rsidRPr="00A32AF4">
        <w:rPr>
          <w:bCs/>
        </w:rPr>
        <w:t>information sur la situation juridique des brevets aux formats numériques exploitables par les machines grâce à des programmes de partenariat tels que LATIPAT (une base de données régionale pour les pays d</w:t>
      </w:r>
      <w:r w:rsidR="00E2055A" w:rsidRPr="00A32AF4">
        <w:rPr>
          <w:bCs/>
        </w:rPr>
        <w:t>’</w:t>
      </w:r>
      <w:r w:rsidRPr="00A32AF4">
        <w:rPr>
          <w:bCs/>
        </w:rPr>
        <w:t>Amérique latine) et ARABPAT (une base de données régionale pour certains pays arabes).</w:t>
      </w:r>
      <w:proofErr w:type="gramEnd"/>
    </w:p>
    <w:p w:rsidR="00F93B76" w:rsidRPr="00A32AF4" w:rsidRDefault="00F93B76" w:rsidP="00DC0553">
      <w:pPr>
        <w:jc w:val="both"/>
        <w:rPr>
          <w:bCs/>
        </w:rPr>
      </w:pPr>
    </w:p>
    <w:p w:rsidR="00E2055A" w:rsidRPr="00A32AF4" w:rsidRDefault="00710180" w:rsidP="00DC0553">
      <w:pPr>
        <w:numPr>
          <w:ilvl w:val="0"/>
          <w:numId w:val="9"/>
        </w:numPr>
        <w:tabs>
          <w:tab w:val="clear" w:pos="683"/>
        </w:tabs>
        <w:jc w:val="both"/>
        <w:rPr>
          <w:rFonts w:cs="Arial"/>
          <w:bCs/>
        </w:rPr>
      </w:pPr>
      <w:r w:rsidRPr="00A32AF4">
        <w:rPr>
          <w:rFonts w:cs="Arial"/>
          <w:bCs/>
        </w:rPr>
        <w:t>Le p</w:t>
      </w:r>
      <w:r w:rsidR="00491A60" w:rsidRPr="00A32AF4">
        <w:rPr>
          <w:rFonts w:cs="Arial"/>
          <w:bCs/>
        </w:rPr>
        <w:t>rogram</w:t>
      </w:r>
      <w:r w:rsidRPr="00A32AF4">
        <w:rPr>
          <w:rFonts w:cs="Arial"/>
          <w:bCs/>
        </w:rPr>
        <w:t>me</w:t>
      </w:r>
      <w:r w:rsidR="00491A60" w:rsidRPr="00A32AF4">
        <w:rPr>
          <w:rFonts w:cs="Arial"/>
          <w:bCs/>
        </w:rPr>
        <w:t xml:space="preserve"> 14 </w:t>
      </w:r>
      <w:r w:rsidRPr="00A32AF4">
        <w:rPr>
          <w:rFonts w:cs="Arial"/>
          <w:bCs/>
        </w:rPr>
        <w:t>collabore essentiellement avec le</w:t>
      </w:r>
      <w:r w:rsidR="00D20772" w:rsidRPr="00A32AF4">
        <w:rPr>
          <w:rFonts w:cs="Arial"/>
          <w:bCs/>
        </w:rPr>
        <w:t>s autres programmes indiqués ci</w:t>
      </w:r>
      <w:r w:rsidR="00EB7F54" w:rsidRPr="00A32AF4">
        <w:rPr>
          <w:rFonts w:cs="Arial"/>
          <w:bCs/>
        </w:rPr>
        <w:noBreakHyphen/>
      </w:r>
      <w:r w:rsidRPr="00A32AF4">
        <w:rPr>
          <w:rFonts w:cs="Arial"/>
          <w:bCs/>
        </w:rPr>
        <w:t>dessous </w:t>
      </w:r>
      <w:r w:rsidR="00491A60" w:rsidRPr="00A32AF4">
        <w:rPr>
          <w:rFonts w:cs="Arial"/>
          <w:bCs/>
        </w:rPr>
        <w:t>:</w:t>
      </w:r>
    </w:p>
    <w:p w:rsidR="00F93B76" w:rsidRPr="00A32AF4" w:rsidRDefault="00F93B76" w:rsidP="00DC0553">
      <w:pPr>
        <w:jc w:val="both"/>
        <w:rPr>
          <w:bCs/>
        </w:rPr>
      </w:pPr>
    </w:p>
    <w:p w:rsidR="00F93B76" w:rsidRPr="00A32AF4" w:rsidRDefault="00CD1430" w:rsidP="00DC0553">
      <w:pPr>
        <w:ind w:left="142"/>
        <w:jc w:val="both"/>
        <w:rPr>
          <w:bCs/>
        </w:rPr>
      </w:pPr>
      <w:r w:rsidRPr="00A32AF4">
        <w:rPr>
          <w:noProof/>
          <w:lang w:eastAsia="fr-FR"/>
        </w:rPr>
        <w:drawing>
          <wp:inline distT="0" distB="0" distL="0" distR="0" wp14:anchorId="674DF7F9" wp14:editId="352F0451">
            <wp:extent cx="5943600" cy="1898650"/>
            <wp:effectExtent l="57150" t="0" r="57150" b="0"/>
            <wp:docPr id="962" name="Diagram 96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4" r:lo="rId125" r:qs="rId126" r:cs="rId127"/>
              </a:graphicData>
            </a:graphic>
          </wp:inline>
        </w:drawing>
      </w:r>
    </w:p>
    <w:p w:rsidR="00F93B76" w:rsidRPr="00A32AF4" w:rsidRDefault="00F93B76" w:rsidP="00DC0553"/>
    <w:p w:rsidR="00F93B76" w:rsidRPr="00A32AF4" w:rsidRDefault="00F93B76" w:rsidP="00DC0553"/>
    <w:p w:rsidR="00F93B76" w:rsidRPr="00A32AF4" w:rsidRDefault="00491A60" w:rsidP="00DC0553">
      <w:r w:rsidRPr="00A32AF4">
        <w:t>PRINCIPAUX RISQUES ET STRATÉGIES D</w:t>
      </w:r>
      <w:r w:rsidR="00E2055A" w:rsidRPr="00A32AF4">
        <w:t>’</w:t>
      </w:r>
      <w:r w:rsidRPr="00A32AF4">
        <w:t>ATTÉNUATION</w:t>
      </w:r>
    </w:p>
    <w:p w:rsidR="00CD1430" w:rsidRPr="00A32AF4" w:rsidRDefault="00CD1430" w:rsidP="00DC0553"/>
    <w:tbl>
      <w:tblPr>
        <w:tblW w:w="9498"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253"/>
        <w:gridCol w:w="5245"/>
      </w:tblGrid>
      <w:tr w:rsidR="0038294E" w:rsidRPr="00A32AF4" w:rsidTr="007575E1">
        <w:trPr>
          <w:trHeight w:val="459"/>
        </w:trPr>
        <w:tc>
          <w:tcPr>
            <w:tcW w:w="4253" w:type="dxa"/>
            <w:tcBorders>
              <w:top w:val="single" w:sz="4" w:space="0" w:color="auto"/>
              <w:bottom w:val="single" w:sz="4" w:space="0" w:color="auto"/>
            </w:tcBorders>
            <w:shd w:val="clear" w:color="auto" w:fill="C6D9F1" w:themeFill="text2" w:themeFillTint="33"/>
            <w:vAlign w:val="center"/>
          </w:tcPr>
          <w:p w:rsidR="00CD1430" w:rsidRPr="00A32AF4" w:rsidRDefault="00CD1430" w:rsidP="00DC0553">
            <w:pPr>
              <w:jc w:val="center"/>
              <w:rPr>
                <w:b/>
                <w:bCs/>
                <w:sz w:val="18"/>
                <w:szCs w:val="18"/>
              </w:rPr>
            </w:pPr>
            <w:r w:rsidRPr="00A32AF4">
              <w:rPr>
                <w:b/>
                <w:bCs/>
                <w:sz w:val="18"/>
                <w:szCs w:val="18"/>
              </w:rPr>
              <w:t>Risques</w:t>
            </w:r>
          </w:p>
        </w:tc>
        <w:tc>
          <w:tcPr>
            <w:tcW w:w="5245" w:type="dxa"/>
            <w:tcBorders>
              <w:top w:val="single" w:sz="4" w:space="0" w:color="auto"/>
              <w:bottom w:val="single" w:sz="4" w:space="0" w:color="auto"/>
            </w:tcBorders>
            <w:shd w:val="clear" w:color="auto" w:fill="C6D9F1" w:themeFill="text2" w:themeFillTint="33"/>
            <w:vAlign w:val="center"/>
          </w:tcPr>
          <w:p w:rsidR="00CD1430" w:rsidRPr="00A32AF4" w:rsidRDefault="00CD1430" w:rsidP="00DC0553">
            <w:pPr>
              <w:jc w:val="center"/>
              <w:rPr>
                <w:b/>
                <w:bCs/>
                <w:sz w:val="18"/>
                <w:szCs w:val="18"/>
              </w:rPr>
            </w:pPr>
            <w:r w:rsidRPr="00A32AF4">
              <w:rPr>
                <w:b/>
                <w:bCs/>
                <w:sz w:val="18"/>
                <w:szCs w:val="18"/>
              </w:rPr>
              <w:t>Stratégies d</w:t>
            </w:r>
            <w:r w:rsidR="00E2055A" w:rsidRPr="00A32AF4">
              <w:rPr>
                <w:b/>
                <w:bCs/>
                <w:sz w:val="18"/>
                <w:szCs w:val="18"/>
              </w:rPr>
              <w:t>’</w:t>
            </w:r>
            <w:r w:rsidRPr="00A32AF4">
              <w:rPr>
                <w:b/>
                <w:bCs/>
                <w:sz w:val="18"/>
                <w:szCs w:val="18"/>
              </w:rPr>
              <w:t>atténuation</w:t>
            </w:r>
          </w:p>
        </w:tc>
      </w:tr>
      <w:tr w:rsidR="00CD1430" w:rsidRPr="00A32AF4" w:rsidTr="007575E1">
        <w:trPr>
          <w:trHeight w:val="512"/>
        </w:trPr>
        <w:tc>
          <w:tcPr>
            <w:tcW w:w="4253" w:type="dxa"/>
            <w:tcBorders>
              <w:top w:val="single" w:sz="4" w:space="0" w:color="auto"/>
              <w:left w:val="single" w:sz="4" w:space="0" w:color="auto"/>
              <w:bottom w:val="single" w:sz="4" w:space="0" w:color="auto"/>
              <w:right w:val="nil"/>
            </w:tcBorders>
            <w:shd w:val="clear" w:color="auto" w:fill="auto"/>
            <w:tcMar>
              <w:top w:w="113" w:type="dxa"/>
              <w:bottom w:w="113" w:type="dxa"/>
            </w:tcMar>
          </w:tcPr>
          <w:p w:rsidR="00CD1430" w:rsidRPr="00A32AF4" w:rsidRDefault="00CD1430" w:rsidP="00DC0553">
            <w:pPr>
              <w:rPr>
                <w:sz w:val="16"/>
              </w:rPr>
            </w:pPr>
            <w:r w:rsidRPr="00A32AF4">
              <w:rPr>
                <w:sz w:val="16"/>
              </w:rPr>
              <w:t>Incapacité pour le pays hôte à assurer et à préserver le fonctionnement autonome des réseaux de Centres d</w:t>
            </w:r>
            <w:r w:rsidR="00E2055A" w:rsidRPr="00A32AF4">
              <w:rPr>
                <w:sz w:val="16"/>
              </w:rPr>
              <w:t>’</w:t>
            </w:r>
            <w:r w:rsidRPr="00A32AF4">
              <w:rPr>
                <w:sz w:val="16"/>
              </w:rPr>
              <w:t>appui la technologie et à l</w:t>
            </w:r>
            <w:r w:rsidR="00E2055A" w:rsidRPr="00A32AF4">
              <w:rPr>
                <w:sz w:val="16"/>
              </w:rPr>
              <w:t>’</w:t>
            </w:r>
            <w:r w:rsidRPr="00A32AF4">
              <w:rPr>
                <w:sz w:val="16"/>
              </w:rPr>
              <w:t>innovation, ce qui pourrait entraîner la fermeture de certains de ces centres.</w:t>
            </w:r>
          </w:p>
        </w:tc>
        <w:tc>
          <w:tcPr>
            <w:tcW w:w="5245" w:type="dxa"/>
            <w:tcBorders>
              <w:top w:val="single" w:sz="4" w:space="0" w:color="auto"/>
              <w:left w:val="nil"/>
              <w:bottom w:val="single" w:sz="4" w:space="0" w:color="auto"/>
              <w:right w:val="single" w:sz="4" w:space="0" w:color="auto"/>
            </w:tcBorders>
            <w:shd w:val="clear" w:color="auto" w:fill="auto"/>
            <w:tcMar>
              <w:top w:w="113" w:type="dxa"/>
              <w:bottom w:w="113" w:type="dxa"/>
            </w:tcMar>
          </w:tcPr>
          <w:p w:rsidR="00CD1430" w:rsidRPr="00A32AF4" w:rsidRDefault="00CD1430" w:rsidP="00DC0553">
            <w:pPr>
              <w:rPr>
                <w:sz w:val="16"/>
              </w:rPr>
            </w:pPr>
            <w:r w:rsidRPr="00A32AF4">
              <w:rPr>
                <w:sz w:val="16"/>
              </w:rPr>
              <w:t>Plus grande participation des pays hôtes aux activités de planification et de mise en œuvre du projet de Centres d</w:t>
            </w:r>
            <w:r w:rsidR="00E2055A" w:rsidRPr="00A32AF4">
              <w:rPr>
                <w:sz w:val="16"/>
              </w:rPr>
              <w:t>’</w:t>
            </w:r>
            <w:r w:rsidRPr="00A32AF4">
              <w:rPr>
                <w:sz w:val="16"/>
              </w:rPr>
              <w:t>appui à la technologie et à l</w:t>
            </w:r>
            <w:r w:rsidR="00E2055A" w:rsidRPr="00A32AF4">
              <w:rPr>
                <w:sz w:val="16"/>
              </w:rPr>
              <w:t>’</w:t>
            </w:r>
            <w:r w:rsidRPr="00A32AF4">
              <w:rPr>
                <w:sz w:val="16"/>
              </w:rPr>
              <w:t>innovation.</w:t>
            </w:r>
          </w:p>
        </w:tc>
      </w:tr>
    </w:tbl>
    <w:p w:rsidR="00F93B76" w:rsidRPr="00A32AF4" w:rsidRDefault="00F93B76" w:rsidP="00DC0553"/>
    <w:p w:rsidR="00F93B76" w:rsidRPr="00A32AF4" w:rsidRDefault="00F93B76" w:rsidP="00DC0553"/>
    <w:p w:rsidR="00F93B76" w:rsidRPr="00A32AF4" w:rsidRDefault="00491A60" w:rsidP="00DC0553">
      <w:pPr>
        <w:keepNext/>
      </w:pPr>
      <w:r w:rsidRPr="00A32AF4">
        <w:t>TABLEAU DES RÉSULTATS</w:t>
      </w:r>
    </w:p>
    <w:p w:rsidR="00CD1430" w:rsidRPr="00A32AF4" w:rsidRDefault="00CD1430" w:rsidP="00DC0553">
      <w:pPr>
        <w:keepNext/>
      </w:pPr>
    </w:p>
    <w:tbl>
      <w:tblPr>
        <w:tblW w:w="9513" w:type="dxa"/>
        <w:tblInd w:w="93" w:type="dxa"/>
        <w:tblLook w:val="04A0" w:firstRow="1" w:lastRow="0" w:firstColumn="1" w:lastColumn="0" w:noHBand="0" w:noVBand="1"/>
      </w:tblPr>
      <w:tblGrid>
        <w:gridCol w:w="2380"/>
        <w:gridCol w:w="2200"/>
        <w:gridCol w:w="2560"/>
        <w:gridCol w:w="2373"/>
      </w:tblGrid>
      <w:tr w:rsidR="0038294E" w:rsidRPr="00A32AF4" w:rsidTr="00491A60">
        <w:trPr>
          <w:cantSplit/>
          <w:tblHeader/>
        </w:trPr>
        <w:tc>
          <w:tcPr>
            <w:tcW w:w="2380" w:type="dxa"/>
            <w:tcBorders>
              <w:top w:val="single" w:sz="4" w:space="0" w:color="auto"/>
              <w:left w:val="single" w:sz="4" w:space="0" w:color="auto"/>
              <w:bottom w:val="single" w:sz="4" w:space="0" w:color="auto"/>
              <w:right w:val="nil"/>
            </w:tcBorders>
            <w:shd w:val="clear" w:color="auto" w:fill="C6D9F1" w:themeFill="text2" w:themeFillTint="33"/>
            <w:tcMar>
              <w:top w:w="113" w:type="dxa"/>
              <w:bottom w:w="113" w:type="dxa"/>
            </w:tcMar>
            <w:vAlign w:val="center"/>
            <w:hideMark/>
          </w:tcPr>
          <w:p w:rsidR="00CD1430" w:rsidRPr="00A32AF4" w:rsidRDefault="00CD1430" w:rsidP="00DC0553">
            <w:pPr>
              <w:keepNext/>
              <w:jc w:val="center"/>
              <w:rPr>
                <w:b/>
                <w:bCs/>
                <w:sz w:val="18"/>
                <w:szCs w:val="18"/>
              </w:rPr>
            </w:pPr>
            <w:r w:rsidRPr="00A32AF4">
              <w:rPr>
                <w:b/>
                <w:bCs/>
                <w:sz w:val="18"/>
                <w:szCs w:val="18"/>
              </w:rPr>
              <w:t>Résultats escomptés</w:t>
            </w:r>
          </w:p>
        </w:tc>
        <w:tc>
          <w:tcPr>
            <w:tcW w:w="2200" w:type="dxa"/>
            <w:tcBorders>
              <w:top w:val="single" w:sz="4" w:space="0" w:color="auto"/>
              <w:left w:val="nil"/>
              <w:bottom w:val="single" w:sz="4" w:space="0" w:color="auto"/>
              <w:right w:val="nil"/>
            </w:tcBorders>
            <w:shd w:val="clear" w:color="auto" w:fill="C6D9F1" w:themeFill="text2" w:themeFillTint="33"/>
            <w:tcMar>
              <w:top w:w="113" w:type="dxa"/>
              <w:bottom w:w="113" w:type="dxa"/>
            </w:tcMar>
            <w:vAlign w:val="center"/>
            <w:hideMark/>
          </w:tcPr>
          <w:p w:rsidR="00CD1430" w:rsidRPr="00A32AF4" w:rsidRDefault="00CD1430" w:rsidP="00DC0553">
            <w:pPr>
              <w:keepNext/>
              <w:jc w:val="center"/>
              <w:rPr>
                <w:b/>
                <w:bCs/>
                <w:sz w:val="18"/>
                <w:szCs w:val="18"/>
              </w:rPr>
            </w:pPr>
            <w:r w:rsidRPr="00A32AF4">
              <w:rPr>
                <w:b/>
                <w:bCs/>
                <w:sz w:val="18"/>
                <w:szCs w:val="18"/>
              </w:rPr>
              <w:t>Indicateurs d</w:t>
            </w:r>
            <w:r w:rsidR="00E2055A" w:rsidRPr="00A32AF4">
              <w:rPr>
                <w:b/>
                <w:bCs/>
                <w:sz w:val="18"/>
                <w:szCs w:val="18"/>
              </w:rPr>
              <w:t>’</w:t>
            </w:r>
            <w:r w:rsidRPr="00A32AF4">
              <w:rPr>
                <w:b/>
                <w:bCs/>
                <w:sz w:val="18"/>
                <w:szCs w:val="18"/>
              </w:rPr>
              <w:t>exécution</w:t>
            </w:r>
          </w:p>
        </w:tc>
        <w:tc>
          <w:tcPr>
            <w:tcW w:w="2560" w:type="dxa"/>
            <w:tcBorders>
              <w:top w:val="single" w:sz="4" w:space="0" w:color="auto"/>
              <w:left w:val="nil"/>
              <w:bottom w:val="single" w:sz="4" w:space="0" w:color="auto"/>
              <w:right w:val="nil"/>
            </w:tcBorders>
            <w:shd w:val="clear" w:color="auto" w:fill="C6D9F1" w:themeFill="text2" w:themeFillTint="33"/>
            <w:tcMar>
              <w:top w:w="113" w:type="dxa"/>
              <w:bottom w:w="113" w:type="dxa"/>
            </w:tcMar>
            <w:vAlign w:val="center"/>
            <w:hideMark/>
          </w:tcPr>
          <w:p w:rsidR="00CD1430" w:rsidRPr="00A32AF4" w:rsidRDefault="00CD1430" w:rsidP="00DC0553">
            <w:pPr>
              <w:keepNext/>
              <w:jc w:val="center"/>
              <w:rPr>
                <w:b/>
                <w:bCs/>
                <w:sz w:val="18"/>
                <w:szCs w:val="18"/>
              </w:rPr>
            </w:pPr>
            <w:r w:rsidRPr="00A32AF4">
              <w:rPr>
                <w:b/>
                <w:bCs/>
                <w:sz w:val="18"/>
                <w:szCs w:val="18"/>
              </w:rPr>
              <w:t>Niveaux de référence</w:t>
            </w:r>
          </w:p>
        </w:tc>
        <w:tc>
          <w:tcPr>
            <w:tcW w:w="2373" w:type="dxa"/>
            <w:tcBorders>
              <w:top w:val="single" w:sz="4" w:space="0" w:color="auto"/>
              <w:left w:val="nil"/>
              <w:bottom w:val="single" w:sz="4" w:space="0" w:color="auto"/>
              <w:right w:val="single" w:sz="4" w:space="0" w:color="auto"/>
            </w:tcBorders>
            <w:shd w:val="clear" w:color="auto" w:fill="C6D9F1" w:themeFill="text2" w:themeFillTint="33"/>
            <w:tcMar>
              <w:top w:w="113" w:type="dxa"/>
              <w:bottom w:w="113" w:type="dxa"/>
            </w:tcMar>
            <w:vAlign w:val="center"/>
            <w:hideMark/>
          </w:tcPr>
          <w:p w:rsidR="00CD1430" w:rsidRPr="00A32AF4" w:rsidRDefault="00CD1430" w:rsidP="00DC0553">
            <w:pPr>
              <w:keepNext/>
              <w:jc w:val="center"/>
              <w:rPr>
                <w:b/>
                <w:bCs/>
                <w:sz w:val="18"/>
                <w:szCs w:val="18"/>
              </w:rPr>
            </w:pPr>
            <w:r w:rsidRPr="00A32AF4">
              <w:rPr>
                <w:b/>
                <w:bCs/>
                <w:sz w:val="18"/>
                <w:szCs w:val="18"/>
              </w:rPr>
              <w:t>Objectifs visés</w:t>
            </w:r>
          </w:p>
        </w:tc>
      </w:tr>
      <w:tr w:rsidR="004B5723" w:rsidRPr="00A32AF4" w:rsidTr="004B5723">
        <w:trPr>
          <w:cantSplit/>
        </w:trPr>
        <w:tc>
          <w:tcPr>
            <w:tcW w:w="2380" w:type="dxa"/>
            <w:vMerge w:val="restart"/>
            <w:tcBorders>
              <w:top w:val="single" w:sz="4" w:space="0" w:color="auto"/>
              <w:left w:val="single" w:sz="4" w:space="0" w:color="auto"/>
              <w:right w:val="nil"/>
            </w:tcBorders>
            <w:shd w:val="clear" w:color="000000" w:fill="FFFFFF"/>
            <w:tcMar>
              <w:top w:w="113" w:type="dxa"/>
              <w:bottom w:w="113" w:type="dxa"/>
            </w:tcMar>
            <w:hideMark/>
          </w:tcPr>
          <w:p w:rsidR="004B5723" w:rsidRPr="00A32AF4" w:rsidRDefault="004B5723" w:rsidP="00DC0553">
            <w:pPr>
              <w:rPr>
                <w:sz w:val="16"/>
                <w:szCs w:val="16"/>
              </w:rPr>
            </w:pPr>
            <w:r w:rsidRPr="00A32AF4">
              <w:rPr>
                <w:sz w:val="16"/>
                <w:szCs w:val="16"/>
              </w:rPr>
              <w:t xml:space="preserve">IV.2 </w:t>
            </w:r>
            <w:r w:rsidRPr="00A32AF4">
              <w:rPr>
                <w:rFonts w:cs="Arial"/>
                <w:sz w:val="16"/>
                <w:szCs w:val="16"/>
              </w:rPr>
              <w:t>Amélioration de l</w:t>
            </w:r>
            <w:r w:rsidR="00E2055A" w:rsidRPr="00A32AF4">
              <w:rPr>
                <w:rFonts w:cs="Arial"/>
                <w:sz w:val="16"/>
                <w:szCs w:val="16"/>
              </w:rPr>
              <w:t>’</w:t>
            </w:r>
            <w:r w:rsidRPr="00A32AF4">
              <w:rPr>
                <w:rFonts w:cs="Arial"/>
                <w:sz w:val="16"/>
                <w:szCs w:val="16"/>
              </w:rPr>
              <w:t>accessibilité et de l</w:t>
            </w:r>
            <w:r w:rsidR="00E2055A" w:rsidRPr="00A32AF4">
              <w:rPr>
                <w:rFonts w:cs="Arial"/>
                <w:sz w:val="16"/>
                <w:szCs w:val="16"/>
              </w:rPr>
              <w:t>’</w:t>
            </w:r>
            <w:r w:rsidRPr="00A32AF4">
              <w:rPr>
                <w:rFonts w:cs="Arial"/>
                <w:sz w:val="16"/>
                <w:szCs w:val="16"/>
              </w:rPr>
              <w:t>utilisation de l</w:t>
            </w:r>
            <w:r w:rsidR="00E2055A" w:rsidRPr="00A32AF4">
              <w:rPr>
                <w:rFonts w:cs="Arial"/>
                <w:sz w:val="16"/>
                <w:szCs w:val="16"/>
              </w:rPr>
              <w:t>’</w:t>
            </w:r>
            <w:r w:rsidRPr="00A32AF4">
              <w:rPr>
                <w:rFonts w:cs="Arial"/>
                <w:sz w:val="16"/>
                <w:szCs w:val="16"/>
              </w:rPr>
              <w:t>information en matière de propriété intellectuelle par les institutions compétentes et le public afin de promouvoir l</w:t>
            </w:r>
            <w:r w:rsidR="00E2055A" w:rsidRPr="00A32AF4">
              <w:rPr>
                <w:rFonts w:cs="Arial"/>
                <w:sz w:val="16"/>
                <w:szCs w:val="16"/>
              </w:rPr>
              <w:t>’</w:t>
            </w:r>
            <w:r w:rsidRPr="00A32AF4">
              <w:rPr>
                <w:rFonts w:cs="Arial"/>
                <w:sz w:val="16"/>
                <w:szCs w:val="16"/>
              </w:rPr>
              <w:t>innovation et la créativité</w:t>
            </w:r>
          </w:p>
        </w:tc>
        <w:tc>
          <w:tcPr>
            <w:tcW w:w="2200" w:type="dxa"/>
            <w:tcBorders>
              <w:top w:val="single" w:sz="4" w:space="0" w:color="auto"/>
              <w:left w:val="nil"/>
              <w:right w:val="nil"/>
            </w:tcBorders>
            <w:shd w:val="clear" w:color="000000" w:fill="FFFFFF"/>
            <w:tcMar>
              <w:top w:w="113" w:type="dxa"/>
              <w:bottom w:w="113" w:type="dxa"/>
            </w:tcMar>
            <w:hideMark/>
          </w:tcPr>
          <w:p w:rsidR="004B5723" w:rsidRPr="00A32AF4" w:rsidRDefault="00165539" w:rsidP="00DC0553">
            <w:pPr>
              <w:rPr>
                <w:sz w:val="16"/>
                <w:szCs w:val="16"/>
              </w:rPr>
            </w:pPr>
            <w:r w:rsidRPr="00A32AF4">
              <w:rPr>
                <w:sz w:val="16"/>
                <w:szCs w:val="16"/>
              </w:rPr>
              <w:t xml:space="preserve">Nombre de réseaux nationaux de </w:t>
            </w:r>
            <w:r w:rsidR="00DA273B" w:rsidRPr="00A32AF4">
              <w:rPr>
                <w:sz w:val="16"/>
                <w:szCs w:val="16"/>
              </w:rPr>
              <w:t>centres d</w:t>
            </w:r>
            <w:r w:rsidR="00E2055A" w:rsidRPr="00A32AF4">
              <w:rPr>
                <w:sz w:val="16"/>
                <w:szCs w:val="16"/>
              </w:rPr>
              <w:t>’</w:t>
            </w:r>
            <w:r w:rsidR="00DA273B" w:rsidRPr="00A32AF4">
              <w:rPr>
                <w:sz w:val="16"/>
                <w:szCs w:val="16"/>
              </w:rPr>
              <w:t>appui à la technologie et à l</w:t>
            </w:r>
            <w:r w:rsidR="00E2055A" w:rsidRPr="00A32AF4">
              <w:rPr>
                <w:sz w:val="16"/>
                <w:szCs w:val="16"/>
              </w:rPr>
              <w:t>’</w:t>
            </w:r>
            <w:r w:rsidR="00DA273B" w:rsidRPr="00A32AF4">
              <w:rPr>
                <w:sz w:val="16"/>
                <w:szCs w:val="16"/>
              </w:rPr>
              <w:t>innovation (CATI)</w:t>
            </w:r>
            <w:r w:rsidRPr="00A32AF4">
              <w:rPr>
                <w:sz w:val="16"/>
                <w:szCs w:val="16"/>
              </w:rPr>
              <w:t xml:space="preserve"> durables</w:t>
            </w:r>
            <w:r w:rsidR="002E1CB9" w:rsidRPr="00A32AF4">
              <w:rPr>
                <w:rStyle w:val="FootnoteReference"/>
                <w:sz w:val="16"/>
                <w:szCs w:val="16"/>
              </w:rPr>
              <w:footnoteReference w:id="22"/>
            </w:r>
            <w:r w:rsidRPr="00A32AF4">
              <w:rPr>
                <w:sz w:val="16"/>
                <w:szCs w:val="16"/>
              </w:rPr>
              <w:t xml:space="preserve"> (données cumulées)</w:t>
            </w:r>
          </w:p>
        </w:tc>
        <w:tc>
          <w:tcPr>
            <w:tcW w:w="2560" w:type="dxa"/>
            <w:tcBorders>
              <w:top w:val="single" w:sz="4" w:space="0" w:color="auto"/>
              <w:left w:val="nil"/>
              <w:right w:val="nil"/>
            </w:tcBorders>
            <w:shd w:val="clear" w:color="000000" w:fill="FFFFFF"/>
            <w:tcMar>
              <w:top w:w="113" w:type="dxa"/>
              <w:bottom w:w="113" w:type="dxa"/>
            </w:tcMar>
            <w:hideMark/>
          </w:tcPr>
          <w:p w:rsidR="004B5723" w:rsidRPr="00A32AF4" w:rsidRDefault="004B5723" w:rsidP="00DC0553">
            <w:pPr>
              <w:rPr>
                <w:sz w:val="16"/>
                <w:szCs w:val="16"/>
              </w:rPr>
            </w:pPr>
            <w:r w:rsidRPr="00A32AF4">
              <w:rPr>
                <w:sz w:val="16"/>
                <w:szCs w:val="16"/>
              </w:rPr>
              <w:t>20 réseaux nationaux durables de CATI sur les 45 établis (données cumulées) : pays africains (9, dont 6 PMA</w:t>
            </w:r>
            <w:proofErr w:type="gramStart"/>
            <w:r w:rsidRPr="00A32AF4">
              <w:rPr>
                <w:sz w:val="16"/>
                <w:szCs w:val="16"/>
              </w:rPr>
              <w:t>);</w:t>
            </w:r>
            <w:proofErr w:type="gramEnd"/>
            <w:r w:rsidRPr="00A32AF4">
              <w:rPr>
                <w:sz w:val="16"/>
                <w:szCs w:val="16"/>
              </w:rPr>
              <w:t xml:space="preserve">  pays arabes (2);  Asie et Pacifique (3, dont 1 PMA);  pays d</w:t>
            </w:r>
            <w:r w:rsidR="00E2055A" w:rsidRPr="00A32AF4">
              <w:rPr>
                <w:sz w:val="16"/>
                <w:szCs w:val="16"/>
              </w:rPr>
              <w:t>’</w:t>
            </w:r>
            <w:r w:rsidRPr="00A32AF4">
              <w:rPr>
                <w:sz w:val="16"/>
                <w:szCs w:val="16"/>
              </w:rPr>
              <w:t>Amérique latine et des Caraïbes (5);  certains pays d</w:t>
            </w:r>
            <w:r w:rsidR="00E2055A" w:rsidRPr="00A32AF4">
              <w:rPr>
                <w:sz w:val="16"/>
                <w:szCs w:val="16"/>
              </w:rPr>
              <w:t>’</w:t>
            </w:r>
            <w:r w:rsidRPr="00A32AF4">
              <w:rPr>
                <w:sz w:val="16"/>
                <w:szCs w:val="16"/>
              </w:rPr>
              <w:t>Europe et d</w:t>
            </w:r>
            <w:r w:rsidR="00E2055A" w:rsidRPr="00A32AF4">
              <w:rPr>
                <w:sz w:val="16"/>
                <w:szCs w:val="16"/>
              </w:rPr>
              <w:t>’</w:t>
            </w:r>
            <w:r w:rsidRPr="00A32AF4">
              <w:rPr>
                <w:sz w:val="16"/>
                <w:szCs w:val="16"/>
              </w:rPr>
              <w:t>Asie (1)</w:t>
            </w:r>
          </w:p>
        </w:tc>
        <w:tc>
          <w:tcPr>
            <w:tcW w:w="2373" w:type="dxa"/>
            <w:tcBorders>
              <w:top w:val="single" w:sz="4" w:space="0" w:color="auto"/>
              <w:left w:val="nil"/>
              <w:right w:val="single" w:sz="4" w:space="0" w:color="auto"/>
            </w:tcBorders>
            <w:shd w:val="clear" w:color="000000" w:fill="FFFFFF"/>
            <w:tcMar>
              <w:top w:w="113" w:type="dxa"/>
              <w:bottom w:w="113" w:type="dxa"/>
            </w:tcMar>
            <w:hideMark/>
          </w:tcPr>
          <w:p w:rsidR="004B5723" w:rsidRPr="00A32AF4" w:rsidRDefault="004B5723" w:rsidP="00DC0553">
            <w:pPr>
              <w:rPr>
                <w:sz w:val="16"/>
                <w:szCs w:val="16"/>
              </w:rPr>
            </w:pPr>
            <w:r w:rsidRPr="00A32AF4">
              <w:rPr>
                <w:sz w:val="16"/>
                <w:szCs w:val="16"/>
              </w:rPr>
              <w:t>30 réseaux nationaux de CATI (données cumulées) : pays africains (11, dont 8 PMA</w:t>
            </w:r>
            <w:proofErr w:type="gramStart"/>
            <w:r w:rsidRPr="00A32AF4">
              <w:rPr>
                <w:sz w:val="16"/>
                <w:szCs w:val="16"/>
              </w:rPr>
              <w:t>);</w:t>
            </w:r>
            <w:proofErr w:type="gramEnd"/>
            <w:r w:rsidRPr="00A32AF4">
              <w:rPr>
                <w:sz w:val="16"/>
                <w:szCs w:val="16"/>
              </w:rPr>
              <w:t xml:space="preserve">  pays arabes (4);  Asie et Pacifique (5, dont 2 PMA);  pays d</w:t>
            </w:r>
            <w:r w:rsidR="00E2055A" w:rsidRPr="00A32AF4">
              <w:rPr>
                <w:sz w:val="16"/>
                <w:szCs w:val="16"/>
              </w:rPr>
              <w:t>’</w:t>
            </w:r>
            <w:r w:rsidRPr="00A32AF4">
              <w:rPr>
                <w:sz w:val="16"/>
                <w:szCs w:val="16"/>
              </w:rPr>
              <w:t>Amérique latine et des Caraïbes (7);  certains pays d</w:t>
            </w:r>
            <w:r w:rsidR="00E2055A" w:rsidRPr="00A32AF4">
              <w:rPr>
                <w:sz w:val="16"/>
                <w:szCs w:val="16"/>
              </w:rPr>
              <w:t>’</w:t>
            </w:r>
            <w:r w:rsidRPr="00A32AF4">
              <w:rPr>
                <w:sz w:val="16"/>
                <w:szCs w:val="16"/>
              </w:rPr>
              <w:t>Europe et d</w:t>
            </w:r>
            <w:r w:rsidR="00E2055A" w:rsidRPr="00A32AF4">
              <w:rPr>
                <w:sz w:val="16"/>
                <w:szCs w:val="16"/>
              </w:rPr>
              <w:t>’</w:t>
            </w:r>
            <w:r w:rsidRPr="00A32AF4">
              <w:rPr>
                <w:sz w:val="16"/>
                <w:szCs w:val="16"/>
              </w:rPr>
              <w:t>Asie (3)</w:t>
            </w:r>
          </w:p>
        </w:tc>
      </w:tr>
      <w:tr w:rsidR="0038294E" w:rsidRPr="00A32AF4" w:rsidTr="00491A60">
        <w:trPr>
          <w:cantSplit/>
        </w:trPr>
        <w:tc>
          <w:tcPr>
            <w:tcW w:w="2380" w:type="dxa"/>
            <w:vMerge/>
            <w:tcBorders>
              <w:left w:val="single" w:sz="4" w:space="0" w:color="auto"/>
              <w:bottom w:val="single" w:sz="4" w:space="0" w:color="auto"/>
              <w:right w:val="nil"/>
            </w:tcBorders>
            <w:tcMar>
              <w:top w:w="113" w:type="dxa"/>
              <w:bottom w:w="113" w:type="dxa"/>
            </w:tcMar>
            <w:vAlign w:val="center"/>
            <w:hideMark/>
          </w:tcPr>
          <w:p w:rsidR="00CD1430" w:rsidRPr="00A32AF4" w:rsidRDefault="00CD1430" w:rsidP="00DC0553">
            <w:pPr>
              <w:rPr>
                <w:sz w:val="16"/>
                <w:szCs w:val="16"/>
              </w:rPr>
            </w:pPr>
          </w:p>
        </w:tc>
        <w:tc>
          <w:tcPr>
            <w:tcW w:w="2200" w:type="dxa"/>
            <w:tcBorders>
              <w:left w:val="nil"/>
              <w:right w:val="nil"/>
            </w:tcBorders>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Moyenne des utilisateurs ayant bénéficié des services des CATI par an</w:t>
            </w:r>
          </w:p>
        </w:tc>
        <w:tc>
          <w:tcPr>
            <w:tcW w:w="2560" w:type="dxa"/>
            <w:tcBorders>
              <w:left w:val="nil"/>
              <w:right w:val="nil"/>
            </w:tcBorders>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 xml:space="preserve">548 (min.) – </w:t>
            </w:r>
            <w:r w:rsidR="00FD43E3" w:rsidRPr="00A32AF4">
              <w:rPr>
                <w:sz w:val="16"/>
                <w:szCs w:val="16"/>
              </w:rPr>
              <w:t>1625</w:t>
            </w:r>
            <w:r w:rsidRPr="00A32AF4">
              <w:rPr>
                <w:sz w:val="16"/>
                <w:szCs w:val="16"/>
              </w:rPr>
              <w:t xml:space="preserve"> (max.)</w:t>
            </w:r>
          </w:p>
        </w:tc>
        <w:tc>
          <w:tcPr>
            <w:tcW w:w="2373" w:type="dxa"/>
            <w:tcBorders>
              <w:left w:val="nil"/>
              <w:right w:val="single" w:sz="4" w:space="0" w:color="auto"/>
            </w:tcBorders>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1 100</w:t>
            </w:r>
          </w:p>
        </w:tc>
      </w:tr>
      <w:tr w:rsidR="0038294E" w:rsidRPr="00A32AF4" w:rsidTr="00491A60">
        <w:trPr>
          <w:cantSplit/>
        </w:trPr>
        <w:tc>
          <w:tcPr>
            <w:tcW w:w="2380" w:type="dxa"/>
            <w:vMerge/>
            <w:tcBorders>
              <w:top w:val="single" w:sz="4" w:space="0" w:color="auto"/>
              <w:left w:val="single" w:sz="4" w:space="0" w:color="auto"/>
              <w:bottom w:val="single" w:sz="4" w:space="0" w:color="000000"/>
              <w:right w:val="nil"/>
            </w:tcBorders>
            <w:tcMar>
              <w:top w:w="113" w:type="dxa"/>
              <w:bottom w:w="113" w:type="dxa"/>
            </w:tcMar>
            <w:vAlign w:val="center"/>
            <w:hideMark/>
          </w:tcPr>
          <w:p w:rsidR="00CD1430" w:rsidRPr="00A32AF4" w:rsidRDefault="00CD1430" w:rsidP="00DC0553">
            <w:pPr>
              <w:rPr>
                <w:sz w:val="16"/>
                <w:szCs w:val="16"/>
              </w:rPr>
            </w:pPr>
          </w:p>
        </w:tc>
        <w:tc>
          <w:tcPr>
            <w:tcW w:w="2200" w:type="dxa"/>
            <w:tcBorders>
              <w:left w:val="nil"/>
              <w:bottom w:val="nil"/>
              <w:right w:val="nil"/>
            </w:tcBorders>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Nombre des États membres dans les régions concernées qui collaborent avec les bases de données mondiales</w:t>
            </w:r>
          </w:p>
        </w:tc>
        <w:tc>
          <w:tcPr>
            <w:tcW w:w="2560" w:type="dxa"/>
            <w:tcBorders>
              <w:left w:val="nil"/>
              <w:bottom w:val="nil"/>
              <w:right w:val="nil"/>
            </w:tcBorders>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15 PATENTSCOPE, 1 GBD, 0 GDD LATIPAT</w:t>
            </w:r>
            <w:r w:rsidRPr="00A32AF4">
              <w:rPr>
                <w:sz w:val="16"/>
                <w:szCs w:val="16"/>
              </w:rPr>
              <w:br/>
              <w:t>3 PATENTSCOPE, 1 GBD, 0 GDD ARABPAT (février 2015)</w:t>
            </w:r>
          </w:p>
        </w:tc>
        <w:tc>
          <w:tcPr>
            <w:tcW w:w="2373" w:type="dxa"/>
            <w:tcBorders>
              <w:left w:val="nil"/>
              <w:bottom w:val="nil"/>
              <w:right w:val="single" w:sz="4" w:space="0" w:color="auto"/>
            </w:tcBorders>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+2 PATENTSCOPE, +4 GBD, +2 GDD au total</w:t>
            </w:r>
          </w:p>
        </w:tc>
      </w:tr>
      <w:tr w:rsidR="0038294E" w:rsidRPr="00A32AF4" w:rsidTr="00491A60">
        <w:trPr>
          <w:cantSplit/>
        </w:trPr>
        <w:tc>
          <w:tcPr>
            <w:tcW w:w="2380" w:type="dxa"/>
            <w:vMerge/>
            <w:tcBorders>
              <w:top w:val="nil"/>
              <w:left w:val="single" w:sz="4" w:space="0" w:color="auto"/>
              <w:bottom w:val="single" w:sz="4" w:space="0" w:color="000000"/>
              <w:right w:val="nil"/>
            </w:tcBorders>
            <w:tcMar>
              <w:top w:w="113" w:type="dxa"/>
              <w:bottom w:w="113" w:type="dxa"/>
            </w:tcMar>
            <w:vAlign w:val="center"/>
            <w:hideMark/>
          </w:tcPr>
          <w:p w:rsidR="00CD1430" w:rsidRPr="00A32AF4" w:rsidRDefault="00CD1430" w:rsidP="00DC0553">
            <w:pPr>
              <w:rPr>
                <w:sz w:val="16"/>
                <w:szCs w:val="16"/>
              </w:rPr>
            </w:pPr>
          </w:p>
        </w:tc>
        <w:tc>
          <w:tcPr>
            <w:tcW w:w="2200" w:type="dxa"/>
            <w:tcBorders>
              <w:top w:val="nil"/>
              <w:left w:val="nil"/>
              <w:bottom w:val="nil"/>
              <w:right w:val="nil"/>
            </w:tcBorders>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Nombre d</w:t>
            </w:r>
            <w:r w:rsidR="00E2055A" w:rsidRPr="00A32AF4">
              <w:rPr>
                <w:sz w:val="16"/>
                <w:szCs w:val="16"/>
              </w:rPr>
              <w:t>’</w:t>
            </w:r>
            <w:r w:rsidRPr="00A32AF4">
              <w:rPr>
                <w:sz w:val="16"/>
                <w:szCs w:val="16"/>
              </w:rPr>
              <w:t>utilisateurs actifs inscrits aux programmes ARDI et ASPI</w:t>
            </w:r>
          </w:p>
        </w:tc>
        <w:tc>
          <w:tcPr>
            <w:tcW w:w="2560" w:type="dxa"/>
            <w:tcBorders>
              <w:top w:val="nil"/>
              <w:left w:val="nil"/>
              <w:bottom w:val="nil"/>
              <w:right w:val="nil"/>
            </w:tcBorders>
            <w:shd w:val="clear" w:color="000000" w:fill="FFFFFF"/>
            <w:tcMar>
              <w:top w:w="113" w:type="dxa"/>
              <w:bottom w:w="113" w:type="dxa"/>
            </w:tcMar>
            <w:hideMark/>
          </w:tcPr>
          <w:p w:rsidR="00F93B76" w:rsidRPr="00A32AF4" w:rsidRDefault="00CD1430" w:rsidP="00DC0553">
            <w:pPr>
              <w:rPr>
                <w:sz w:val="16"/>
                <w:szCs w:val="16"/>
              </w:rPr>
            </w:pPr>
            <w:r w:rsidRPr="00A32AF4">
              <w:rPr>
                <w:sz w:val="16"/>
                <w:szCs w:val="16"/>
              </w:rPr>
              <w:t>ARDI (411 utilisateurs actifs)</w:t>
            </w:r>
          </w:p>
          <w:p w:rsidR="00F93B76" w:rsidRPr="00A32AF4" w:rsidRDefault="00CD1430" w:rsidP="00DC0553">
            <w:pPr>
              <w:rPr>
                <w:sz w:val="16"/>
                <w:szCs w:val="16"/>
              </w:rPr>
            </w:pPr>
            <w:r w:rsidRPr="00A32AF4">
              <w:rPr>
                <w:sz w:val="16"/>
                <w:szCs w:val="16"/>
              </w:rPr>
              <w:t>ASPI (35 utilisateurs actifs)</w:t>
            </w:r>
          </w:p>
          <w:p w:rsidR="00CD1430" w:rsidRPr="00A32AF4" w:rsidRDefault="00CD1430" w:rsidP="00DC0553">
            <w:pPr>
              <w:rPr>
                <w:sz w:val="16"/>
                <w:szCs w:val="16"/>
              </w:rPr>
            </w:pPr>
            <w:r w:rsidRPr="00A32AF4">
              <w:rPr>
                <w:sz w:val="16"/>
                <w:szCs w:val="16"/>
              </w:rPr>
              <w:t>(fin 2014)</w:t>
            </w:r>
          </w:p>
        </w:tc>
        <w:tc>
          <w:tcPr>
            <w:tcW w:w="2373" w:type="dxa"/>
            <w:tcBorders>
              <w:top w:val="nil"/>
              <w:left w:val="nil"/>
              <w:bottom w:val="nil"/>
              <w:right w:val="single" w:sz="4" w:space="0" w:color="auto"/>
            </w:tcBorders>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ARDI – 600, ASPI – 60</w:t>
            </w:r>
          </w:p>
        </w:tc>
      </w:tr>
      <w:tr w:rsidR="0038294E" w:rsidRPr="00A32AF4" w:rsidTr="00491A60">
        <w:trPr>
          <w:cantSplit/>
        </w:trPr>
        <w:tc>
          <w:tcPr>
            <w:tcW w:w="2380" w:type="dxa"/>
            <w:vMerge/>
            <w:tcBorders>
              <w:top w:val="nil"/>
              <w:left w:val="single" w:sz="4" w:space="0" w:color="auto"/>
              <w:bottom w:val="single" w:sz="4" w:space="0" w:color="000000"/>
              <w:right w:val="nil"/>
            </w:tcBorders>
            <w:tcMar>
              <w:top w:w="113" w:type="dxa"/>
              <w:bottom w:w="113" w:type="dxa"/>
            </w:tcMar>
            <w:vAlign w:val="center"/>
            <w:hideMark/>
          </w:tcPr>
          <w:p w:rsidR="00CD1430" w:rsidRPr="00A32AF4" w:rsidRDefault="00CD1430" w:rsidP="00DC0553">
            <w:pPr>
              <w:rPr>
                <w:sz w:val="16"/>
                <w:szCs w:val="16"/>
              </w:rPr>
            </w:pPr>
          </w:p>
        </w:tc>
        <w:tc>
          <w:tcPr>
            <w:tcW w:w="2200" w:type="dxa"/>
            <w:tcBorders>
              <w:top w:val="nil"/>
              <w:left w:val="nil"/>
              <w:bottom w:val="nil"/>
              <w:right w:val="nil"/>
            </w:tcBorders>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 xml:space="preserve">Nombre de demandes adressées aux CATI dans le cadre du projet de </w:t>
            </w:r>
            <w:r w:rsidR="00B63C9F" w:rsidRPr="00A32AF4">
              <w:rPr>
                <w:sz w:val="16"/>
                <w:szCs w:val="16"/>
              </w:rPr>
              <w:t>“</w:t>
            </w:r>
            <w:r w:rsidRPr="00A32AF4">
              <w:rPr>
                <w:sz w:val="16"/>
                <w:szCs w:val="16"/>
              </w:rPr>
              <w:t>premier guichet</w:t>
            </w:r>
            <w:r w:rsidR="00B63C9F" w:rsidRPr="00A32AF4">
              <w:rPr>
                <w:sz w:val="16"/>
                <w:szCs w:val="16"/>
              </w:rPr>
              <w:t>”</w:t>
            </w:r>
            <w:r w:rsidRPr="00A32AF4">
              <w:rPr>
                <w:sz w:val="16"/>
                <w:szCs w:val="16"/>
              </w:rPr>
              <w:t xml:space="preserve"> </w:t>
            </w:r>
          </w:p>
        </w:tc>
        <w:tc>
          <w:tcPr>
            <w:tcW w:w="2560" w:type="dxa"/>
            <w:tcBorders>
              <w:top w:val="nil"/>
              <w:left w:val="nil"/>
              <w:bottom w:val="nil"/>
              <w:right w:val="nil"/>
            </w:tcBorders>
            <w:shd w:val="clear" w:color="000000" w:fill="FFFFFF"/>
            <w:tcMar>
              <w:top w:w="113" w:type="dxa"/>
              <w:bottom w:w="113" w:type="dxa"/>
            </w:tcMar>
            <w:hideMark/>
          </w:tcPr>
          <w:p w:rsidR="00CD1430" w:rsidRPr="00A32AF4" w:rsidRDefault="003507F6" w:rsidP="00DC0553">
            <w:pPr>
              <w:rPr>
                <w:sz w:val="16"/>
                <w:szCs w:val="16"/>
              </w:rPr>
            </w:pPr>
            <w:r w:rsidRPr="00A32AF4">
              <w:rPr>
                <w:sz w:val="16"/>
                <w:szCs w:val="16"/>
              </w:rPr>
              <w:t>s.o.</w:t>
            </w:r>
            <w:r w:rsidR="00CD1430" w:rsidRPr="00A32AF4">
              <w:rPr>
                <w:sz w:val="16"/>
                <w:szCs w:val="16"/>
              </w:rPr>
              <w:t> (nouveau)</w:t>
            </w:r>
          </w:p>
        </w:tc>
        <w:tc>
          <w:tcPr>
            <w:tcW w:w="2373" w:type="dxa"/>
            <w:tcBorders>
              <w:top w:val="nil"/>
              <w:left w:val="nil"/>
              <w:bottom w:val="nil"/>
              <w:right w:val="single" w:sz="4" w:space="0" w:color="auto"/>
            </w:tcBorders>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10</w:t>
            </w:r>
          </w:p>
        </w:tc>
      </w:tr>
      <w:tr w:rsidR="0038294E" w:rsidRPr="00A32AF4" w:rsidTr="00491A60">
        <w:trPr>
          <w:cantSplit/>
        </w:trPr>
        <w:tc>
          <w:tcPr>
            <w:tcW w:w="2380" w:type="dxa"/>
            <w:vMerge/>
            <w:tcBorders>
              <w:top w:val="nil"/>
              <w:left w:val="single" w:sz="4" w:space="0" w:color="auto"/>
              <w:bottom w:val="single" w:sz="4" w:space="0" w:color="000000"/>
              <w:right w:val="nil"/>
            </w:tcBorders>
            <w:tcMar>
              <w:top w:w="113" w:type="dxa"/>
              <w:bottom w:w="113" w:type="dxa"/>
            </w:tcMar>
            <w:vAlign w:val="center"/>
            <w:hideMark/>
          </w:tcPr>
          <w:p w:rsidR="00CD1430" w:rsidRPr="00A32AF4" w:rsidRDefault="00CD1430" w:rsidP="00DC0553">
            <w:pPr>
              <w:rPr>
                <w:sz w:val="16"/>
                <w:szCs w:val="16"/>
              </w:rPr>
            </w:pPr>
          </w:p>
        </w:tc>
        <w:tc>
          <w:tcPr>
            <w:tcW w:w="2200" w:type="dxa"/>
            <w:tcBorders>
              <w:top w:val="nil"/>
              <w:left w:val="nil"/>
              <w:bottom w:val="single" w:sz="4" w:space="0" w:color="auto"/>
              <w:right w:val="nil"/>
            </w:tcBorders>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Nombre de CATI offrant des services d</w:t>
            </w:r>
            <w:r w:rsidR="00E2055A" w:rsidRPr="00A32AF4">
              <w:rPr>
                <w:sz w:val="16"/>
                <w:szCs w:val="16"/>
              </w:rPr>
              <w:t>’</w:t>
            </w:r>
            <w:r w:rsidRPr="00A32AF4">
              <w:rPr>
                <w:sz w:val="16"/>
                <w:szCs w:val="16"/>
              </w:rPr>
              <w:t>analyse des brevets</w:t>
            </w:r>
          </w:p>
        </w:tc>
        <w:tc>
          <w:tcPr>
            <w:tcW w:w="2560" w:type="dxa"/>
            <w:tcBorders>
              <w:top w:val="nil"/>
              <w:left w:val="nil"/>
              <w:bottom w:val="single" w:sz="4" w:space="0" w:color="auto"/>
              <w:right w:val="nil"/>
            </w:tcBorders>
            <w:shd w:val="clear" w:color="000000" w:fill="FFFFFF"/>
            <w:tcMar>
              <w:top w:w="113" w:type="dxa"/>
              <w:bottom w:w="113" w:type="dxa"/>
            </w:tcMar>
            <w:hideMark/>
          </w:tcPr>
          <w:p w:rsidR="00CD1430" w:rsidRPr="00A32AF4" w:rsidRDefault="003507F6" w:rsidP="00DC0553">
            <w:pPr>
              <w:rPr>
                <w:sz w:val="16"/>
                <w:szCs w:val="16"/>
              </w:rPr>
            </w:pPr>
            <w:r w:rsidRPr="00A32AF4">
              <w:rPr>
                <w:sz w:val="16"/>
                <w:szCs w:val="16"/>
              </w:rPr>
              <w:t>s.o.</w:t>
            </w:r>
            <w:r w:rsidR="00CD1430" w:rsidRPr="00A32AF4">
              <w:rPr>
                <w:sz w:val="16"/>
                <w:szCs w:val="16"/>
              </w:rPr>
              <w:t> (nouveau)</w:t>
            </w:r>
          </w:p>
        </w:tc>
        <w:tc>
          <w:tcPr>
            <w:tcW w:w="2373" w:type="dxa"/>
            <w:tcBorders>
              <w:top w:val="nil"/>
              <w:left w:val="nil"/>
              <w:bottom w:val="single" w:sz="4" w:space="0" w:color="auto"/>
              <w:right w:val="single" w:sz="4" w:space="0" w:color="auto"/>
            </w:tcBorders>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5</w:t>
            </w:r>
          </w:p>
        </w:tc>
      </w:tr>
    </w:tbl>
    <w:p w:rsidR="00F93B76" w:rsidRPr="00A32AF4" w:rsidRDefault="00F93B76" w:rsidP="00DC0553"/>
    <w:p w:rsidR="00F93B76" w:rsidRPr="00A32AF4" w:rsidRDefault="00F93B76" w:rsidP="00DC0553"/>
    <w:p w:rsidR="00F93B76" w:rsidRPr="00A32AF4" w:rsidRDefault="00DC2AF7" w:rsidP="00DC0553">
      <w:r w:rsidRPr="00A32AF4">
        <w:t>RESSOURCES ALLOUÉES AU PROGRAMME</w:t>
      </w:r>
      <w:r w:rsidR="00E203C6" w:rsidRPr="00A32AF4">
        <w:t xml:space="preserve"> 14</w:t>
      </w:r>
    </w:p>
    <w:p w:rsidR="00F93B76" w:rsidRPr="00A32AF4" w:rsidRDefault="00F93B76" w:rsidP="00DC0553">
      <w:pPr>
        <w:tabs>
          <w:tab w:val="left" w:pos="2041"/>
        </w:tabs>
      </w:pPr>
    </w:p>
    <w:p w:rsidR="00E2055A" w:rsidRPr="00A32AF4" w:rsidRDefault="00710180" w:rsidP="00DC0553">
      <w:pPr>
        <w:numPr>
          <w:ilvl w:val="0"/>
          <w:numId w:val="9"/>
        </w:numPr>
        <w:tabs>
          <w:tab w:val="clear" w:pos="683"/>
        </w:tabs>
        <w:jc w:val="both"/>
        <w:rPr>
          <w:rFonts w:cs="Arial"/>
        </w:rPr>
      </w:pPr>
      <w:r w:rsidRPr="00A32AF4">
        <w:rPr>
          <w:rFonts w:cs="Arial"/>
        </w:rPr>
        <w:t>Les ressources globales allouées au</w:t>
      </w:r>
      <w:r w:rsidR="00E203C6" w:rsidRPr="00A32AF4">
        <w:rPr>
          <w:rFonts w:cs="Arial"/>
        </w:rPr>
        <w:t xml:space="preserve"> </w:t>
      </w:r>
      <w:r w:rsidRPr="00A32AF4">
        <w:rPr>
          <w:rFonts w:cs="Arial"/>
        </w:rPr>
        <w:t xml:space="preserve">programme </w:t>
      </w:r>
      <w:r w:rsidR="00E203C6" w:rsidRPr="00A32AF4">
        <w:rPr>
          <w:rFonts w:cs="Arial"/>
        </w:rPr>
        <w:t xml:space="preserve">14 </w:t>
      </w:r>
      <w:r w:rsidRPr="00A32AF4">
        <w:rPr>
          <w:rFonts w:cs="Arial"/>
        </w:rPr>
        <w:t>en</w:t>
      </w:r>
      <w:r w:rsidR="00FD43E3" w:rsidRPr="00A32AF4">
        <w:rPr>
          <w:rFonts w:cs="Arial"/>
        </w:rPr>
        <w:t> </w:t>
      </w:r>
      <w:r w:rsidR="00E203C6" w:rsidRPr="00A32AF4">
        <w:rPr>
          <w:rFonts w:cs="Arial"/>
        </w:rPr>
        <w:t>2016</w:t>
      </w:r>
      <w:r w:rsidR="00EB7F54" w:rsidRPr="00A32AF4">
        <w:rPr>
          <w:rFonts w:cs="Arial"/>
        </w:rPr>
        <w:noBreakHyphen/>
      </w:r>
      <w:r w:rsidRPr="00A32AF4">
        <w:rPr>
          <w:rFonts w:cs="Arial"/>
        </w:rPr>
        <w:t>20</w:t>
      </w:r>
      <w:r w:rsidR="00E203C6" w:rsidRPr="00A32AF4">
        <w:rPr>
          <w:rFonts w:cs="Arial"/>
        </w:rPr>
        <w:t>17 re</w:t>
      </w:r>
      <w:r w:rsidRPr="00A32AF4">
        <w:rPr>
          <w:rFonts w:cs="Arial"/>
        </w:rPr>
        <w:t xml:space="preserve">stent approximativement au même niveau que dans le budget </w:t>
      </w:r>
      <w:r w:rsidR="00E203C6" w:rsidRPr="00A32AF4">
        <w:rPr>
          <w:rFonts w:cs="Arial"/>
        </w:rPr>
        <w:t>2014</w:t>
      </w:r>
      <w:r w:rsidR="00EB7F54" w:rsidRPr="00A32AF4">
        <w:rPr>
          <w:rFonts w:cs="Arial"/>
        </w:rPr>
        <w:noBreakHyphen/>
      </w:r>
      <w:r w:rsidRPr="00A32AF4">
        <w:rPr>
          <w:rFonts w:cs="Arial"/>
        </w:rPr>
        <w:t>20</w:t>
      </w:r>
      <w:r w:rsidR="00E203C6" w:rsidRPr="00A32AF4">
        <w:rPr>
          <w:rFonts w:cs="Arial"/>
        </w:rPr>
        <w:t xml:space="preserve">15 </w:t>
      </w:r>
      <w:r w:rsidRPr="00A32AF4">
        <w:rPr>
          <w:rFonts w:cs="Arial"/>
        </w:rPr>
        <w:t>après virements</w:t>
      </w:r>
      <w:r w:rsidR="00E203C6" w:rsidRPr="00A32AF4">
        <w:rPr>
          <w:rFonts w:cs="Arial"/>
        </w:rPr>
        <w:t xml:space="preserve">. </w:t>
      </w:r>
      <w:r w:rsidRPr="00A32AF4">
        <w:rPr>
          <w:rFonts w:cs="Arial"/>
        </w:rPr>
        <w:t xml:space="preserve"> Cette situation résulte d</w:t>
      </w:r>
      <w:r w:rsidR="00E2055A" w:rsidRPr="00A32AF4">
        <w:rPr>
          <w:rFonts w:cs="Arial"/>
        </w:rPr>
        <w:t>’</w:t>
      </w:r>
      <w:r w:rsidRPr="00A32AF4">
        <w:rPr>
          <w:rFonts w:cs="Arial"/>
        </w:rPr>
        <w:t>une diminution des dépenses de personnel imputable à la réaffectation d</w:t>
      </w:r>
      <w:r w:rsidR="00E2055A" w:rsidRPr="00A32AF4">
        <w:rPr>
          <w:rFonts w:cs="Arial"/>
        </w:rPr>
        <w:t>’</w:t>
      </w:r>
      <w:r w:rsidRPr="00A32AF4">
        <w:rPr>
          <w:rFonts w:cs="Arial"/>
        </w:rPr>
        <w:t>un poste et d</w:t>
      </w:r>
      <w:r w:rsidR="00E2055A" w:rsidRPr="00A32AF4">
        <w:rPr>
          <w:rFonts w:cs="Arial"/>
        </w:rPr>
        <w:t>’</w:t>
      </w:r>
      <w:r w:rsidRPr="00A32AF4">
        <w:rPr>
          <w:rFonts w:cs="Arial"/>
        </w:rPr>
        <w:t xml:space="preserve">une augmentation globale de </w:t>
      </w:r>
      <w:r w:rsidR="00E203C6" w:rsidRPr="00A32AF4">
        <w:rPr>
          <w:rFonts w:cs="Arial"/>
        </w:rPr>
        <w:t>450</w:t>
      </w:r>
      <w:r w:rsidRPr="00A32AF4">
        <w:rPr>
          <w:rFonts w:cs="Arial"/>
        </w:rPr>
        <w:t> </w:t>
      </w:r>
      <w:r w:rsidR="00E203C6" w:rsidRPr="00A32AF4">
        <w:rPr>
          <w:rFonts w:cs="Arial"/>
        </w:rPr>
        <w:t>000</w:t>
      </w:r>
      <w:r w:rsidR="00FD43E3" w:rsidRPr="00A32AF4">
        <w:rPr>
          <w:rFonts w:cs="Arial"/>
        </w:rPr>
        <w:t> </w:t>
      </w:r>
      <w:r w:rsidR="00E203C6" w:rsidRPr="00A32AF4">
        <w:rPr>
          <w:rFonts w:cs="Arial"/>
        </w:rPr>
        <w:t xml:space="preserve">francs </w:t>
      </w:r>
      <w:r w:rsidRPr="00A32AF4">
        <w:rPr>
          <w:rFonts w:cs="Arial"/>
        </w:rPr>
        <w:t xml:space="preserve">suisses </w:t>
      </w:r>
      <w:r w:rsidR="003C26E9" w:rsidRPr="00A32AF4">
        <w:rPr>
          <w:rFonts w:cs="Arial"/>
        </w:rPr>
        <w:t>au titre de</w:t>
      </w:r>
      <w:r w:rsidRPr="00A32AF4">
        <w:rPr>
          <w:rFonts w:cs="Arial"/>
        </w:rPr>
        <w:t xml:space="preserve"> la mise en œuvre du projet du Plan d</w:t>
      </w:r>
      <w:r w:rsidR="00E2055A" w:rsidRPr="00A32AF4">
        <w:rPr>
          <w:rFonts w:cs="Arial"/>
        </w:rPr>
        <w:t>’</w:t>
      </w:r>
      <w:r w:rsidRPr="00A32AF4">
        <w:rPr>
          <w:rFonts w:cs="Arial"/>
        </w:rPr>
        <w:t xml:space="preserve">action pour le développement </w:t>
      </w:r>
      <w:r w:rsidR="00D20772" w:rsidRPr="00A32AF4">
        <w:rPr>
          <w:rFonts w:cs="Arial"/>
        </w:rPr>
        <w:t>intitulé</w:t>
      </w:r>
      <w:r w:rsidR="00E203C6" w:rsidRPr="00A32AF4">
        <w:rPr>
          <w:rFonts w:cs="Arial"/>
        </w:rPr>
        <w:t xml:space="preserve"> </w:t>
      </w:r>
      <w:r w:rsidR="00B63C9F" w:rsidRPr="00A32AF4">
        <w:rPr>
          <w:rFonts w:cs="Arial"/>
        </w:rPr>
        <w:t>“</w:t>
      </w:r>
      <w:r w:rsidR="00E203C6" w:rsidRPr="00A32AF4">
        <w:rPr>
          <w:rFonts w:cs="Arial"/>
        </w:rPr>
        <w:t>U</w:t>
      </w:r>
      <w:r w:rsidRPr="00A32AF4">
        <w:rPr>
          <w:rFonts w:cs="Arial"/>
        </w:rPr>
        <w:t>tilisation de l</w:t>
      </w:r>
      <w:r w:rsidR="00E2055A" w:rsidRPr="00A32AF4">
        <w:rPr>
          <w:rFonts w:cs="Arial"/>
        </w:rPr>
        <w:t>’</w:t>
      </w:r>
      <w:r w:rsidRPr="00A32AF4">
        <w:rPr>
          <w:rFonts w:cs="Arial"/>
        </w:rPr>
        <w:t>information du domaine public aux fins de la recherche</w:t>
      </w:r>
      <w:r w:rsidR="00EB7F54" w:rsidRPr="00A32AF4">
        <w:rPr>
          <w:rFonts w:cs="Arial"/>
        </w:rPr>
        <w:noBreakHyphen/>
      </w:r>
      <w:r w:rsidRPr="00A32AF4">
        <w:rPr>
          <w:rFonts w:cs="Arial"/>
        </w:rPr>
        <w:t>développement dans les pays en développement</w:t>
      </w:r>
      <w:r w:rsidR="00B63C9F" w:rsidRPr="00A32AF4">
        <w:rPr>
          <w:rFonts w:cs="Arial"/>
        </w:rPr>
        <w:t>”</w:t>
      </w:r>
      <w:r w:rsidR="00E203C6" w:rsidRPr="00A32AF4">
        <w:rPr>
          <w:rFonts w:cs="Arial"/>
        </w:rPr>
        <w:t>.</w:t>
      </w:r>
    </w:p>
    <w:p w:rsidR="00F93B76" w:rsidRPr="00A32AF4" w:rsidRDefault="00F93B76" w:rsidP="00DC0553"/>
    <w:p w:rsidR="00F93B76" w:rsidRPr="00A32AF4" w:rsidRDefault="00F93B76" w:rsidP="00DC0553"/>
    <w:p w:rsidR="00F93B76" w:rsidRPr="00A32AF4" w:rsidRDefault="00E203C6" w:rsidP="00DC0553">
      <w:pPr>
        <w:keepNext/>
        <w:keepLines/>
        <w:autoSpaceDE w:val="0"/>
        <w:autoSpaceDN w:val="0"/>
        <w:jc w:val="center"/>
        <w:rPr>
          <w:rFonts w:cs="Arial"/>
          <w:b/>
        </w:rPr>
      </w:pPr>
      <w:r w:rsidRPr="00A32AF4">
        <w:rPr>
          <w:rFonts w:cs="Arial"/>
          <w:b/>
        </w:rPr>
        <w:t>Programme 14 : ressources par résultat</w:t>
      </w:r>
    </w:p>
    <w:p w:rsidR="00F93B76" w:rsidRPr="00A32AF4" w:rsidRDefault="00E203C6" w:rsidP="00DC0553">
      <w:pPr>
        <w:keepNext/>
        <w:keepLines/>
        <w:autoSpaceDE w:val="0"/>
        <w:autoSpaceDN w:val="0"/>
        <w:jc w:val="center"/>
        <w:rPr>
          <w:rFonts w:cs="Arial"/>
          <w:i/>
        </w:rPr>
      </w:pPr>
      <w:r w:rsidRPr="00A32AF4">
        <w:rPr>
          <w:rFonts w:cs="Arial"/>
          <w:i/>
        </w:rPr>
        <w:t>(</w:t>
      </w:r>
      <w:proofErr w:type="gramStart"/>
      <w:r w:rsidRPr="00A32AF4">
        <w:rPr>
          <w:rFonts w:cs="Arial"/>
          <w:i/>
        </w:rPr>
        <w:t>en</w:t>
      </w:r>
      <w:proofErr w:type="gramEnd"/>
      <w:r w:rsidRPr="00A32AF4">
        <w:rPr>
          <w:rFonts w:cs="Arial"/>
          <w:i/>
        </w:rPr>
        <w:t xml:space="preserve"> milliers de francs suisses)</w:t>
      </w:r>
    </w:p>
    <w:p w:rsidR="00E203C6" w:rsidRPr="00A32AF4" w:rsidRDefault="00E203C6" w:rsidP="00DC0553">
      <w:pPr>
        <w:keepNext/>
      </w:pPr>
    </w:p>
    <w:tbl>
      <w:tblPr>
        <w:tblW w:w="8980" w:type="dxa"/>
        <w:tblInd w:w="55" w:type="dxa"/>
        <w:tblCellMar>
          <w:left w:w="70" w:type="dxa"/>
          <w:right w:w="70" w:type="dxa"/>
        </w:tblCellMar>
        <w:tblLook w:val="04A0" w:firstRow="1" w:lastRow="0" w:firstColumn="1" w:lastColumn="0" w:noHBand="0" w:noVBand="1"/>
      </w:tblPr>
      <w:tblGrid>
        <w:gridCol w:w="529"/>
        <w:gridCol w:w="4491"/>
        <w:gridCol w:w="1260"/>
        <w:gridCol w:w="1440"/>
        <w:gridCol w:w="1260"/>
      </w:tblGrid>
      <w:tr w:rsidR="00E203C6" w:rsidRPr="00A32AF4" w:rsidTr="00E203C6">
        <w:tc>
          <w:tcPr>
            <w:tcW w:w="5020" w:type="dxa"/>
            <w:gridSpan w:val="2"/>
            <w:tcBorders>
              <w:top w:val="single" w:sz="4" w:space="0" w:color="auto"/>
              <w:left w:val="single" w:sz="4" w:space="0" w:color="auto"/>
              <w:bottom w:val="single" w:sz="4" w:space="0" w:color="auto"/>
              <w:right w:val="single" w:sz="4" w:space="0" w:color="000000"/>
            </w:tcBorders>
            <w:shd w:val="clear" w:color="000000" w:fill="C5D9F1"/>
            <w:noWrap/>
            <w:tcMar>
              <w:top w:w="113" w:type="dxa"/>
              <w:bottom w:w="113" w:type="dxa"/>
            </w:tcMar>
            <w:vAlign w:val="center"/>
            <w:hideMark/>
          </w:tcPr>
          <w:p w:rsidR="00E203C6" w:rsidRPr="00A32AF4" w:rsidRDefault="00E203C6" w:rsidP="00DC0553">
            <w:pPr>
              <w:jc w:val="center"/>
              <w:rPr>
                <w:rFonts w:cs="Arial"/>
                <w:i/>
                <w:iCs/>
                <w:sz w:val="16"/>
                <w:szCs w:val="16"/>
                <w:lang w:eastAsia="fr-FR"/>
              </w:rPr>
            </w:pPr>
            <w:r w:rsidRPr="00A32AF4">
              <w:rPr>
                <w:rFonts w:cs="Arial"/>
                <w:i/>
                <w:iCs/>
                <w:sz w:val="16"/>
                <w:szCs w:val="16"/>
                <w:lang w:eastAsia="fr-FR"/>
              </w:rPr>
              <w:t xml:space="preserve">Numéro et description du résultat escompté </w:t>
            </w:r>
          </w:p>
        </w:tc>
        <w:tc>
          <w:tcPr>
            <w:tcW w:w="126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E203C6" w:rsidRPr="00A32AF4" w:rsidRDefault="00E203C6" w:rsidP="00DC0553">
            <w:pPr>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2014</w:t>
            </w:r>
            <w:r w:rsidR="00EB7F54" w:rsidRPr="00A32AF4">
              <w:rPr>
                <w:rFonts w:cs="Arial"/>
                <w:i/>
                <w:iCs/>
                <w:sz w:val="16"/>
                <w:szCs w:val="16"/>
                <w:lang w:eastAsia="fr-FR"/>
              </w:rPr>
              <w:noBreakHyphen/>
            </w:r>
            <w:r w:rsidRPr="00A32AF4">
              <w:rPr>
                <w:rFonts w:cs="Arial"/>
                <w:i/>
                <w:iCs/>
                <w:sz w:val="16"/>
                <w:szCs w:val="16"/>
                <w:lang w:eastAsia="fr-FR"/>
              </w:rPr>
              <w:t>2015 approuvé</w:t>
            </w:r>
          </w:p>
        </w:tc>
        <w:tc>
          <w:tcPr>
            <w:tcW w:w="144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E203C6" w:rsidRPr="00A32AF4" w:rsidRDefault="00E203C6" w:rsidP="00DC0553">
            <w:pPr>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2014</w:t>
            </w:r>
            <w:r w:rsidR="00EB7F54" w:rsidRPr="00A32AF4">
              <w:rPr>
                <w:rFonts w:cs="Arial"/>
                <w:i/>
                <w:iCs/>
                <w:sz w:val="16"/>
                <w:szCs w:val="16"/>
                <w:lang w:eastAsia="fr-FR"/>
              </w:rPr>
              <w:noBreakHyphen/>
            </w:r>
            <w:r w:rsidRPr="00A32AF4">
              <w:rPr>
                <w:rFonts w:cs="Arial"/>
                <w:i/>
                <w:iCs/>
                <w:sz w:val="16"/>
                <w:szCs w:val="16"/>
                <w:lang w:eastAsia="fr-FR"/>
              </w:rPr>
              <w:t>2015 après virements</w:t>
            </w:r>
          </w:p>
        </w:tc>
        <w:tc>
          <w:tcPr>
            <w:tcW w:w="126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E203C6" w:rsidRPr="00A32AF4" w:rsidRDefault="00E203C6" w:rsidP="00DC0553">
            <w:pPr>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2016</w:t>
            </w:r>
            <w:r w:rsidR="00EB7F54" w:rsidRPr="00A32AF4">
              <w:rPr>
                <w:rFonts w:cs="Arial"/>
                <w:i/>
                <w:iCs/>
                <w:sz w:val="16"/>
                <w:szCs w:val="16"/>
                <w:lang w:eastAsia="fr-FR"/>
              </w:rPr>
              <w:noBreakHyphen/>
            </w:r>
            <w:r w:rsidRPr="00A32AF4">
              <w:rPr>
                <w:rFonts w:cs="Arial"/>
                <w:i/>
                <w:iCs/>
                <w:sz w:val="16"/>
                <w:szCs w:val="16"/>
                <w:lang w:eastAsia="fr-FR"/>
              </w:rPr>
              <w:t>2017 proposé</w:t>
            </w:r>
          </w:p>
        </w:tc>
      </w:tr>
      <w:tr w:rsidR="00E203C6" w:rsidRPr="00A32AF4" w:rsidTr="00E203C6">
        <w:tc>
          <w:tcPr>
            <w:tcW w:w="529" w:type="dxa"/>
            <w:tcBorders>
              <w:top w:val="nil"/>
              <w:left w:val="single" w:sz="4" w:space="0" w:color="auto"/>
              <w:bottom w:val="nil"/>
              <w:right w:val="nil"/>
            </w:tcBorders>
            <w:shd w:val="clear" w:color="auto" w:fill="auto"/>
            <w:noWrap/>
            <w:tcMar>
              <w:top w:w="113" w:type="dxa"/>
              <w:bottom w:w="113" w:type="dxa"/>
            </w:tcMar>
            <w:vAlign w:val="center"/>
            <w:hideMark/>
          </w:tcPr>
          <w:p w:rsidR="00E203C6" w:rsidRPr="00A32AF4" w:rsidRDefault="00E203C6" w:rsidP="00DC0553">
            <w:pPr>
              <w:rPr>
                <w:rFonts w:cs="Arial"/>
                <w:sz w:val="16"/>
                <w:szCs w:val="16"/>
                <w:lang w:eastAsia="fr-FR"/>
              </w:rPr>
            </w:pPr>
            <w:r w:rsidRPr="00A32AF4">
              <w:rPr>
                <w:rFonts w:cs="Arial"/>
                <w:sz w:val="16"/>
                <w:szCs w:val="16"/>
                <w:lang w:eastAsia="fr-FR"/>
              </w:rPr>
              <w:t>IV.2</w:t>
            </w:r>
          </w:p>
        </w:tc>
        <w:tc>
          <w:tcPr>
            <w:tcW w:w="4491" w:type="dxa"/>
            <w:tcBorders>
              <w:top w:val="nil"/>
              <w:left w:val="nil"/>
              <w:bottom w:val="nil"/>
              <w:right w:val="nil"/>
            </w:tcBorders>
            <w:shd w:val="clear" w:color="auto" w:fill="auto"/>
            <w:tcMar>
              <w:top w:w="113" w:type="dxa"/>
              <w:bottom w:w="113" w:type="dxa"/>
            </w:tcMar>
            <w:vAlign w:val="center"/>
            <w:hideMark/>
          </w:tcPr>
          <w:p w:rsidR="00E203C6" w:rsidRPr="00A32AF4" w:rsidRDefault="00E203C6" w:rsidP="00DC0553">
            <w:pPr>
              <w:rPr>
                <w:rFonts w:cs="Arial"/>
                <w:sz w:val="16"/>
                <w:szCs w:val="16"/>
                <w:lang w:eastAsia="fr-FR"/>
              </w:rPr>
            </w:pPr>
            <w:r w:rsidRPr="00A32AF4">
              <w:rPr>
                <w:rFonts w:cs="Arial"/>
                <w:sz w:val="16"/>
                <w:szCs w:val="16"/>
                <w:lang w:eastAsia="fr-FR"/>
              </w:rPr>
              <w:t>Amélioration de l</w:t>
            </w:r>
            <w:r w:rsidR="00E2055A" w:rsidRPr="00A32AF4">
              <w:rPr>
                <w:rFonts w:cs="Arial"/>
                <w:sz w:val="16"/>
                <w:szCs w:val="16"/>
                <w:lang w:eastAsia="fr-FR"/>
              </w:rPr>
              <w:t>’</w:t>
            </w:r>
            <w:r w:rsidRPr="00A32AF4">
              <w:rPr>
                <w:rFonts w:cs="Arial"/>
                <w:sz w:val="16"/>
                <w:szCs w:val="16"/>
                <w:lang w:eastAsia="fr-FR"/>
              </w:rPr>
              <w:t>accessibilité et de l</w:t>
            </w:r>
            <w:r w:rsidR="00E2055A" w:rsidRPr="00A32AF4">
              <w:rPr>
                <w:rFonts w:cs="Arial"/>
                <w:sz w:val="16"/>
                <w:szCs w:val="16"/>
                <w:lang w:eastAsia="fr-FR"/>
              </w:rPr>
              <w:t>’</w:t>
            </w:r>
            <w:r w:rsidRPr="00A32AF4">
              <w:rPr>
                <w:rFonts w:cs="Arial"/>
                <w:sz w:val="16"/>
                <w:szCs w:val="16"/>
                <w:lang w:eastAsia="fr-FR"/>
              </w:rPr>
              <w:t>utilisation de l</w:t>
            </w:r>
            <w:r w:rsidR="00E2055A" w:rsidRPr="00A32AF4">
              <w:rPr>
                <w:rFonts w:cs="Arial"/>
                <w:sz w:val="16"/>
                <w:szCs w:val="16"/>
                <w:lang w:eastAsia="fr-FR"/>
              </w:rPr>
              <w:t>’</w:t>
            </w:r>
            <w:r w:rsidRPr="00A32AF4">
              <w:rPr>
                <w:rFonts w:cs="Arial"/>
                <w:sz w:val="16"/>
                <w:szCs w:val="16"/>
                <w:lang w:eastAsia="fr-FR"/>
              </w:rPr>
              <w:t>information en matière de propriété intellectuelle par les institutions compétentes et le public afin de promouvoir l</w:t>
            </w:r>
            <w:r w:rsidR="00E2055A" w:rsidRPr="00A32AF4">
              <w:rPr>
                <w:rFonts w:cs="Arial"/>
                <w:sz w:val="16"/>
                <w:szCs w:val="16"/>
                <w:lang w:eastAsia="fr-FR"/>
              </w:rPr>
              <w:t>’</w:t>
            </w:r>
            <w:r w:rsidRPr="00A32AF4">
              <w:rPr>
                <w:rFonts w:cs="Arial"/>
                <w:sz w:val="16"/>
                <w:szCs w:val="16"/>
                <w:lang w:eastAsia="fr-FR"/>
              </w:rPr>
              <w:t>innovation et la créativité</w:t>
            </w:r>
          </w:p>
        </w:tc>
        <w:tc>
          <w:tcPr>
            <w:tcW w:w="1260" w:type="dxa"/>
            <w:tcBorders>
              <w:top w:val="nil"/>
              <w:left w:val="nil"/>
              <w:bottom w:val="nil"/>
              <w:right w:val="nil"/>
            </w:tcBorders>
            <w:shd w:val="clear" w:color="auto" w:fill="auto"/>
            <w:tcMar>
              <w:top w:w="113" w:type="dxa"/>
              <w:bottom w:w="113" w:type="dxa"/>
            </w:tcMar>
            <w:vAlign w:val="center"/>
            <w:hideMark/>
          </w:tcPr>
          <w:p w:rsidR="00E203C6" w:rsidRPr="00A32AF4" w:rsidRDefault="00E203C6" w:rsidP="00DC0553">
            <w:pPr>
              <w:rPr>
                <w:rFonts w:cs="Arial"/>
                <w:sz w:val="16"/>
                <w:szCs w:val="16"/>
                <w:lang w:eastAsia="fr-FR"/>
              </w:rPr>
            </w:pPr>
            <w:r w:rsidRPr="00A32AF4">
              <w:rPr>
                <w:rFonts w:cs="Arial"/>
                <w:sz w:val="16"/>
                <w:szCs w:val="16"/>
                <w:lang w:eastAsia="fr-FR"/>
              </w:rPr>
              <w:t xml:space="preserve">7 539 </w:t>
            </w:r>
          </w:p>
        </w:tc>
        <w:tc>
          <w:tcPr>
            <w:tcW w:w="1440" w:type="dxa"/>
            <w:tcBorders>
              <w:top w:val="nil"/>
              <w:left w:val="nil"/>
              <w:bottom w:val="nil"/>
              <w:right w:val="nil"/>
            </w:tcBorders>
            <w:shd w:val="clear" w:color="auto" w:fill="auto"/>
            <w:tcMar>
              <w:top w:w="113" w:type="dxa"/>
              <w:bottom w:w="113" w:type="dxa"/>
            </w:tcMar>
            <w:vAlign w:val="center"/>
            <w:hideMark/>
          </w:tcPr>
          <w:p w:rsidR="00E203C6" w:rsidRPr="00A32AF4" w:rsidRDefault="00E203C6" w:rsidP="00DC0553">
            <w:pPr>
              <w:rPr>
                <w:rFonts w:cs="Arial"/>
                <w:sz w:val="16"/>
                <w:szCs w:val="16"/>
                <w:lang w:eastAsia="fr-FR"/>
              </w:rPr>
            </w:pPr>
            <w:r w:rsidRPr="00A32AF4">
              <w:rPr>
                <w:rFonts w:cs="Arial"/>
                <w:sz w:val="16"/>
                <w:szCs w:val="16"/>
                <w:lang w:eastAsia="fr-FR"/>
              </w:rPr>
              <w:t xml:space="preserve">7 049 </w:t>
            </w:r>
          </w:p>
        </w:tc>
        <w:tc>
          <w:tcPr>
            <w:tcW w:w="1260" w:type="dxa"/>
            <w:tcBorders>
              <w:top w:val="nil"/>
              <w:left w:val="nil"/>
              <w:bottom w:val="single" w:sz="4" w:space="0" w:color="auto"/>
              <w:right w:val="single" w:sz="4" w:space="0" w:color="auto"/>
            </w:tcBorders>
            <w:shd w:val="clear" w:color="auto" w:fill="auto"/>
            <w:noWrap/>
            <w:tcMar>
              <w:top w:w="113" w:type="dxa"/>
              <w:bottom w:w="113" w:type="dxa"/>
            </w:tcMar>
            <w:vAlign w:val="center"/>
            <w:hideMark/>
          </w:tcPr>
          <w:p w:rsidR="00E203C6" w:rsidRPr="00A32AF4" w:rsidRDefault="00E203C6" w:rsidP="00DC0553">
            <w:pPr>
              <w:rPr>
                <w:rFonts w:cs="Arial"/>
                <w:color w:val="000000"/>
                <w:sz w:val="16"/>
                <w:szCs w:val="16"/>
                <w:lang w:eastAsia="fr-FR"/>
              </w:rPr>
            </w:pPr>
            <w:r w:rsidRPr="00A32AF4">
              <w:rPr>
                <w:rFonts w:cs="Arial"/>
                <w:color w:val="000000"/>
                <w:sz w:val="16"/>
                <w:szCs w:val="16"/>
                <w:lang w:eastAsia="fr-FR"/>
              </w:rPr>
              <w:t xml:space="preserve">6 990 </w:t>
            </w:r>
          </w:p>
        </w:tc>
      </w:tr>
      <w:tr w:rsidR="00E203C6" w:rsidRPr="00A32AF4" w:rsidTr="00E203C6">
        <w:tc>
          <w:tcPr>
            <w:tcW w:w="529" w:type="dxa"/>
            <w:tcBorders>
              <w:top w:val="single" w:sz="4" w:space="0" w:color="auto"/>
              <w:left w:val="single" w:sz="4" w:space="0" w:color="auto"/>
              <w:bottom w:val="single" w:sz="4" w:space="0" w:color="auto"/>
              <w:right w:val="nil"/>
            </w:tcBorders>
            <w:shd w:val="clear" w:color="000000" w:fill="C5D9F1"/>
            <w:noWrap/>
            <w:tcMar>
              <w:top w:w="113" w:type="dxa"/>
              <w:bottom w:w="113" w:type="dxa"/>
            </w:tcMar>
            <w:vAlign w:val="bottom"/>
            <w:hideMark/>
          </w:tcPr>
          <w:p w:rsidR="00E203C6" w:rsidRPr="00A32AF4" w:rsidRDefault="00E203C6" w:rsidP="00DC0553">
            <w:pPr>
              <w:rPr>
                <w:rFonts w:cs="Arial"/>
                <w:sz w:val="16"/>
                <w:szCs w:val="16"/>
                <w:lang w:eastAsia="fr-FR"/>
              </w:rPr>
            </w:pPr>
            <w:r w:rsidRPr="00A32AF4">
              <w:rPr>
                <w:rFonts w:cs="Arial"/>
                <w:sz w:val="16"/>
                <w:szCs w:val="16"/>
                <w:lang w:eastAsia="fr-FR"/>
              </w:rPr>
              <w:t> </w:t>
            </w:r>
          </w:p>
        </w:tc>
        <w:tc>
          <w:tcPr>
            <w:tcW w:w="4491"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E203C6" w:rsidRPr="00A32AF4" w:rsidRDefault="00E203C6" w:rsidP="00DC0553">
            <w:pPr>
              <w:rPr>
                <w:rFonts w:cs="Arial"/>
                <w:b/>
                <w:bCs/>
                <w:sz w:val="16"/>
                <w:szCs w:val="16"/>
                <w:lang w:eastAsia="fr-FR"/>
              </w:rPr>
            </w:pPr>
            <w:r w:rsidRPr="00A32AF4">
              <w:rPr>
                <w:rFonts w:cs="Arial"/>
                <w:b/>
                <w:bCs/>
                <w:sz w:val="16"/>
                <w:szCs w:val="16"/>
                <w:lang w:eastAsia="fr-FR"/>
              </w:rPr>
              <w:t>Total</w:t>
            </w:r>
          </w:p>
        </w:tc>
        <w:tc>
          <w:tcPr>
            <w:tcW w:w="1260"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E203C6" w:rsidRPr="00A32AF4" w:rsidRDefault="00E203C6" w:rsidP="00DC0553">
            <w:pPr>
              <w:rPr>
                <w:rFonts w:cs="Arial"/>
                <w:b/>
                <w:bCs/>
                <w:sz w:val="16"/>
                <w:szCs w:val="16"/>
                <w:lang w:eastAsia="fr-FR"/>
              </w:rPr>
            </w:pPr>
            <w:r w:rsidRPr="00A32AF4">
              <w:rPr>
                <w:rFonts w:cs="Arial"/>
                <w:b/>
                <w:bCs/>
                <w:sz w:val="16"/>
                <w:szCs w:val="16"/>
                <w:lang w:eastAsia="fr-FR"/>
              </w:rPr>
              <w:t xml:space="preserve">7 539 </w:t>
            </w:r>
          </w:p>
        </w:tc>
        <w:tc>
          <w:tcPr>
            <w:tcW w:w="1440"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E203C6" w:rsidRPr="00A32AF4" w:rsidRDefault="00E203C6" w:rsidP="00DC0553">
            <w:pPr>
              <w:rPr>
                <w:rFonts w:cs="Arial"/>
                <w:b/>
                <w:bCs/>
                <w:sz w:val="16"/>
                <w:szCs w:val="16"/>
                <w:lang w:eastAsia="fr-FR"/>
              </w:rPr>
            </w:pPr>
            <w:r w:rsidRPr="00A32AF4">
              <w:rPr>
                <w:rFonts w:cs="Arial"/>
                <w:b/>
                <w:bCs/>
                <w:sz w:val="16"/>
                <w:szCs w:val="16"/>
                <w:lang w:eastAsia="fr-FR"/>
              </w:rPr>
              <w:t xml:space="preserve">7 049 </w:t>
            </w:r>
          </w:p>
        </w:tc>
        <w:tc>
          <w:tcPr>
            <w:tcW w:w="1260" w:type="dxa"/>
            <w:tcBorders>
              <w:top w:val="nil"/>
              <w:left w:val="nil"/>
              <w:bottom w:val="single" w:sz="4" w:space="0" w:color="auto"/>
              <w:right w:val="single" w:sz="4" w:space="0" w:color="auto"/>
            </w:tcBorders>
            <w:shd w:val="clear" w:color="000000" w:fill="C5D9F1"/>
            <w:noWrap/>
            <w:tcMar>
              <w:top w:w="113" w:type="dxa"/>
              <w:bottom w:w="113" w:type="dxa"/>
            </w:tcMar>
            <w:vAlign w:val="bottom"/>
            <w:hideMark/>
          </w:tcPr>
          <w:p w:rsidR="00E203C6" w:rsidRPr="00A32AF4" w:rsidRDefault="00E203C6" w:rsidP="00DC0553">
            <w:pPr>
              <w:rPr>
                <w:rFonts w:cs="Arial"/>
                <w:b/>
                <w:bCs/>
                <w:sz w:val="16"/>
                <w:szCs w:val="16"/>
                <w:lang w:eastAsia="fr-FR"/>
              </w:rPr>
            </w:pPr>
            <w:r w:rsidRPr="00A32AF4">
              <w:rPr>
                <w:rFonts w:cs="Arial"/>
                <w:b/>
                <w:bCs/>
                <w:sz w:val="16"/>
                <w:szCs w:val="16"/>
                <w:lang w:eastAsia="fr-FR"/>
              </w:rPr>
              <w:t xml:space="preserve">6 990 </w:t>
            </w:r>
          </w:p>
        </w:tc>
      </w:tr>
    </w:tbl>
    <w:p w:rsidR="0047185D" w:rsidRPr="00A32AF4" w:rsidRDefault="0047185D">
      <w:pPr>
        <w:rPr>
          <w:rFonts w:cs="Arial"/>
          <w:b/>
        </w:rPr>
      </w:pPr>
      <w:r w:rsidRPr="00A32AF4">
        <w:rPr>
          <w:rFonts w:cs="Arial"/>
          <w:b/>
        </w:rPr>
        <w:br w:type="page"/>
      </w:r>
    </w:p>
    <w:p w:rsidR="00F93B76" w:rsidRPr="00A32AF4" w:rsidRDefault="00E203C6" w:rsidP="00DC0553">
      <w:pPr>
        <w:keepNext/>
        <w:keepLines/>
        <w:autoSpaceDE w:val="0"/>
        <w:autoSpaceDN w:val="0"/>
        <w:jc w:val="center"/>
        <w:rPr>
          <w:rFonts w:cs="Arial"/>
          <w:b/>
        </w:rPr>
      </w:pPr>
      <w:r w:rsidRPr="00A32AF4">
        <w:rPr>
          <w:rFonts w:cs="Arial"/>
          <w:b/>
        </w:rPr>
        <w:t>Programme 14 : ressources par objet de dépense</w:t>
      </w:r>
    </w:p>
    <w:p w:rsidR="00F93B76" w:rsidRPr="00A32AF4" w:rsidRDefault="00E203C6" w:rsidP="00DC0553">
      <w:pPr>
        <w:keepNext/>
        <w:keepLines/>
        <w:autoSpaceDE w:val="0"/>
        <w:autoSpaceDN w:val="0"/>
        <w:jc w:val="center"/>
        <w:rPr>
          <w:rFonts w:cs="Arial"/>
          <w:i/>
        </w:rPr>
      </w:pPr>
      <w:r w:rsidRPr="00A32AF4">
        <w:rPr>
          <w:rFonts w:cs="Arial"/>
          <w:i/>
        </w:rPr>
        <w:t>(</w:t>
      </w:r>
      <w:proofErr w:type="gramStart"/>
      <w:r w:rsidRPr="00A32AF4">
        <w:rPr>
          <w:rFonts w:cs="Arial"/>
          <w:i/>
        </w:rPr>
        <w:t>en</w:t>
      </w:r>
      <w:proofErr w:type="gramEnd"/>
      <w:r w:rsidRPr="00A32AF4">
        <w:rPr>
          <w:rFonts w:cs="Arial"/>
          <w:i/>
        </w:rPr>
        <w:t xml:space="preserve"> milliers de francs suisses)</w:t>
      </w:r>
    </w:p>
    <w:p w:rsidR="00F93B76" w:rsidRPr="00A32AF4" w:rsidRDefault="00F93B76" w:rsidP="00DC0553">
      <w:pPr>
        <w:keepNext/>
        <w:rPr>
          <w:rFonts w:eastAsia="SimSun"/>
        </w:rPr>
      </w:pPr>
    </w:p>
    <w:p w:rsidR="00F93B76" w:rsidRPr="00A32AF4" w:rsidRDefault="00E91FB4" w:rsidP="00DC0553">
      <w:pPr>
        <w:rPr>
          <w:rFonts w:eastAsia="SimSun"/>
        </w:rPr>
      </w:pPr>
      <w:r w:rsidRPr="00A32AF4">
        <w:rPr>
          <w:rFonts w:eastAsia="SimSun"/>
          <w:noProof/>
          <w:lang w:eastAsia="fr-FR"/>
        </w:rPr>
        <w:drawing>
          <wp:inline distT="0" distB="0" distL="0" distR="0" wp14:anchorId="67C570BD" wp14:editId="1C82F048">
            <wp:extent cx="5512435" cy="7051040"/>
            <wp:effectExtent l="0" t="0" r="0" b="0"/>
            <wp:docPr id="1048" name="Pictur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512435" cy="7051040"/>
                    </a:xfrm>
                    <a:prstGeom prst="rect">
                      <a:avLst/>
                    </a:prstGeom>
                    <a:noFill/>
                    <a:ln>
                      <a:noFill/>
                    </a:ln>
                  </pic:spPr>
                </pic:pic>
              </a:graphicData>
            </a:graphic>
          </wp:inline>
        </w:drawing>
      </w:r>
    </w:p>
    <w:p w:rsidR="00F93B76" w:rsidRPr="00A32AF4" w:rsidRDefault="00F93B76" w:rsidP="00DC0553"/>
    <w:p w:rsidR="00F93B76" w:rsidRPr="00A32AF4" w:rsidRDefault="00F93B76" w:rsidP="00DC0553"/>
    <w:p w:rsidR="00F93B76" w:rsidRPr="00A32AF4" w:rsidRDefault="00E203C6" w:rsidP="00DC0553">
      <w:pPr>
        <w:rPr>
          <w:rFonts w:ascii="Arial Bold" w:hAnsi="Arial Bold" w:cs="Arial"/>
          <w:b/>
          <w:caps/>
          <w:szCs w:val="22"/>
        </w:rPr>
      </w:pPr>
      <w:r w:rsidRPr="00A32AF4">
        <w:br w:type="page"/>
      </w:r>
    </w:p>
    <w:p w:rsidR="00F93B76" w:rsidRPr="00A32AF4" w:rsidRDefault="00CD1430" w:rsidP="00FB1F61">
      <w:pPr>
        <w:pStyle w:val="Heading3"/>
      </w:pPr>
      <w:bookmarkStart w:id="49" w:name="_Toc431555455"/>
      <w:r w:rsidRPr="00A32AF4">
        <w:t>Programme 15</w:t>
      </w:r>
      <w:r w:rsidRPr="00A32AF4">
        <w:tab/>
        <w:t>Solutions opérationnelles pour les offices de propriété intellectuelle</w:t>
      </w:r>
      <w:bookmarkEnd w:id="49"/>
    </w:p>
    <w:p w:rsidR="00F93B76" w:rsidRPr="00A32AF4" w:rsidRDefault="00F93B76" w:rsidP="00DC0553"/>
    <w:p w:rsidR="00F93B76" w:rsidRPr="00A32AF4" w:rsidRDefault="00F93B76" w:rsidP="00DC0553"/>
    <w:p w:rsidR="00F93B76" w:rsidRPr="00A32AF4" w:rsidRDefault="00CD54D0" w:rsidP="00DC0553">
      <w:r w:rsidRPr="00A32AF4">
        <w:t>CONTEXTE DE PLANIFICATION</w:t>
      </w:r>
    </w:p>
    <w:p w:rsidR="00F93B76" w:rsidRPr="00A32AF4" w:rsidRDefault="00F93B76" w:rsidP="00DC0553"/>
    <w:p w:rsidR="00F93B76" w:rsidRPr="00A32AF4" w:rsidRDefault="00CD1430" w:rsidP="00DC0553">
      <w:pPr>
        <w:numPr>
          <w:ilvl w:val="0"/>
          <w:numId w:val="26"/>
        </w:numPr>
        <w:shd w:val="clear" w:color="auto" w:fill="FFFFFF"/>
        <w:tabs>
          <w:tab w:val="left" w:pos="567"/>
        </w:tabs>
        <w:ind w:left="0" w:firstLine="0"/>
        <w:jc w:val="both"/>
      </w:pPr>
      <w:r w:rsidRPr="00A32AF4">
        <w:rPr>
          <w:szCs w:val="21"/>
        </w:rPr>
        <w:t>Ce programme constitue le fondement de l</w:t>
      </w:r>
      <w:r w:rsidR="00E2055A" w:rsidRPr="00A32AF4">
        <w:rPr>
          <w:szCs w:val="21"/>
        </w:rPr>
        <w:t>’</w:t>
      </w:r>
      <w:r w:rsidRPr="00A32AF4">
        <w:rPr>
          <w:szCs w:val="21"/>
        </w:rPr>
        <w:t>infrastructure mondiale, l</w:t>
      </w:r>
      <w:r w:rsidR="00E2055A" w:rsidRPr="00A32AF4">
        <w:rPr>
          <w:szCs w:val="21"/>
        </w:rPr>
        <w:t>’</w:t>
      </w:r>
      <w:r w:rsidRPr="00A32AF4">
        <w:rPr>
          <w:szCs w:val="21"/>
        </w:rPr>
        <w:t>architecture technique du système de propriété intellectuelle venant compléter son architecture juridique et opérationnelle.</w:t>
      </w:r>
      <w:r w:rsidRPr="00A32AF4">
        <w:t xml:space="preserve">  Le programme fournit des solutions logicielles personnalisées et du matériel de formation connexe, ainsi que des services de gestion de projets afin de renforcer l</w:t>
      </w:r>
      <w:r w:rsidR="00E2055A" w:rsidRPr="00A32AF4">
        <w:t>’</w:t>
      </w:r>
      <w:r w:rsidRPr="00A32AF4">
        <w:t>efficacité du traitement des demandes d</w:t>
      </w:r>
      <w:r w:rsidR="00E2055A" w:rsidRPr="00A32AF4">
        <w:t>’</w:t>
      </w:r>
      <w:r w:rsidRPr="00A32AF4">
        <w:t>enregistrement de titres de propriété intellectuelle dans les États membres et de la collaboration entre les offices de propriété intellectuelle, et de soutenir les organismes de gestion collective du droit d</w:t>
      </w:r>
      <w:r w:rsidR="00E2055A" w:rsidRPr="00A32AF4">
        <w:t>’</w:t>
      </w:r>
      <w:r w:rsidRPr="00A32AF4">
        <w:t>auteur.  Les activités prévues par le programme ciblent tout spécialement les offices de propriété intellectuelle dans les pays en développement et les pays les moins avancés.</w:t>
      </w:r>
    </w:p>
    <w:p w:rsidR="00F93B76" w:rsidRPr="00A32AF4" w:rsidRDefault="00F93B76" w:rsidP="00DC0553">
      <w:pPr>
        <w:shd w:val="clear" w:color="auto" w:fill="FFFFFF"/>
        <w:tabs>
          <w:tab w:val="left" w:pos="709"/>
        </w:tabs>
        <w:jc w:val="both"/>
      </w:pPr>
    </w:p>
    <w:p w:rsidR="00F93B76" w:rsidRPr="00A32AF4" w:rsidRDefault="00F93B76" w:rsidP="00DC0553">
      <w:pPr>
        <w:shd w:val="clear" w:color="auto" w:fill="FFFFFF"/>
        <w:jc w:val="both"/>
      </w:pPr>
    </w:p>
    <w:p w:rsidR="00F93B76" w:rsidRPr="00A32AF4" w:rsidRDefault="00CD1430" w:rsidP="00DC0553">
      <w:pPr>
        <w:pStyle w:val="p1"/>
        <w:shd w:val="clear" w:color="auto" w:fill="FFFFFF"/>
        <w:jc w:val="center"/>
        <w:rPr>
          <w:lang w:val="fr-FR" w:eastAsia="en-GB"/>
        </w:rPr>
      </w:pPr>
      <w:r w:rsidRPr="00A32AF4">
        <w:rPr>
          <w:noProof/>
          <w:lang w:val="fr-FR" w:eastAsia="fr-FR"/>
        </w:rPr>
        <w:drawing>
          <wp:inline distT="0" distB="0" distL="0" distR="0" wp14:anchorId="6648CA07" wp14:editId="117B6083">
            <wp:extent cx="5538347" cy="3226157"/>
            <wp:effectExtent l="0" t="0" r="5715" b="0"/>
            <wp:docPr id="963" name="Picture 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5540844" cy="3227611"/>
                    </a:xfrm>
                    <a:prstGeom prst="rect">
                      <a:avLst/>
                    </a:prstGeom>
                    <a:noFill/>
                    <a:ln>
                      <a:noFill/>
                    </a:ln>
                  </pic:spPr>
                </pic:pic>
              </a:graphicData>
            </a:graphic>
          </wp:inline>
        </w:drawing>
      </w:r>
    </w:p>
    <w:p w:rsidR="00F93B76" w:rsidRPr="00A32AF4" w:rsidRDefault="00F93B76" w:rsidP="00DC0553">
      <w:pPr>
        <w:shd w:val="clear" w:color="auto" w:fill="FFFFFF"/>
        <w:jc w:val="both"/>
        <w:rPr>
          <w:rFonts w:eastAsia="Calibri"/>
          <w:szCs w:val="21"/>
        </w:rPr>
      </w:pPr>
    </w:p>
    <w:p w:rsidR="00F93B76" w:rsidRPr="00A32AF4" w:rsidRDefault="00F93B76" w:rsidP="00DC0553">
      <w:pPr>
        <w:shd w:val="clear" w:color="auto" w:fill="FFFFFF"/>
        <w:jc w:val="both"/>
        <w:rPr>
          <w:rFonts w:eastAsia="Calibri"/>
          <w:szCs w:val="21"/>
        </w:rPr>
      </w:pPr>
    </w:p>
    <w:p w:rsidR="00F93B76" w:rsidRPr="00A32AF4" w:rsidRDefault="00CD1430" w:rsidP="00DC0553">
      <w:pPr>
        <w:numPr>
          <w:ilvl w:val="0"/>
          <w:numId w:val="26"/>
        </w:numPr>
        <w:shd w:val="clear" w:color="auto" w:fill="FFFFFF"/>
        <w:tabs>
          <w:tab w:val="left" w:pos="567"/>
        </w:tabs>
        <w:ind w:left="0" w:firstLine="0"/>
        <w:jc w:val="both"/>
        <w:rPr>
          <w:rFonts w:eastAsia="Calibri"/>
          <w:szCs w:val="21"/>
        </w:rPr>
      </w:pPr>
      <w:r w:rsidRPr="00A32AF4">
        <w:rPr>
          <w:szCs w:val="21"/>
        </w:rPr>
        <w:t>Toutes les solutions opérationnelles de l</w:t>
      </w:r>
      <w:r w:rsidR="00E2055A" w:rsidRPr="00A32AF4">
        <w:rPr>
          <w:szCs w:val="21"/>
        </w:rPr>
        <w:t>’</w:t>
      </w:r>
      <w:r w:rsidRPr="00A32AF4">
        <w:rPr>
          <w:szCs w:val="21"/>
        </w:rPr>
        <w:t>OMPI sont proposées à titre gracieux, mais les coûts restants dans le cadre d</w:t>
      </w:r>
      <w:r w:rsidR="00E2055A" w:rsidRPr="00A32AF4">
        <w:rPr>
          <w:szCs w:val="21"/>
        </w:rPr>
        <w:t>’</w:t>
      </w:r>
      <w:r w:rsidRPr="00A32AF4">
        <w:rPr>
          <w:szCs w:val="21"/>
        </w:rPr>
        <w:t>un projet (par exemple, les coûts afférents au matériel informatique et au personnel) sont à la charge de l</w:t>
      </w:r>
      <w:r w:rsidR="00E2055A" w:rsidRPr="00A32AF4">
        <w:rPr>
          <w:szCs w:val="21"/>
        </w:rPr>
        <w:t>’</w:t>
      </w:r>
      <w:r w:rsidRPr="00A32AF4">
        <w:rPr>
          <w:szCs w:val="21"/>
        </w:rPr>
        <w:t>office de propriété intellectuelle.  Parmi les offices de propriété intellectuelle utilisant les plates</w:t>
      </w:r>
      <w:r w:rsidR="00EB7F54" w:rsidRPr="00A32AF4">
        <w:rPr>
          <w:szCs w:val="21"/>
        </w:rPr>
        <w:noBreakHyphen/>
      </w:r>
      <w:r w:rsidRPr="00A32AF4">
        <w:rPr>
          <w:szCs w:val="21"/>
        </w:rPr>
        <w:t>formes logicielles de l</w:t>
      </w:r>
      <w:r w:rsidR="00E2055A" w:rsidRPr="00A32AF4">
        <w:rPr>
          <w:szCs w:val="21"/>
        </w:rPr>
        <w:t>’</w:t>
      </w:r>
      <w:r w:rsidRPr="00A32AF4">
        <w:rPr>
          <w:szCs w:val="21"/>
        </w:rPr>
        <w:t>OMPI, 17 se trouvent dans les PMA.  Les outils fournis comprennent le logiciel d</w:t>
      </w:r>
      <w:r w:rsidR="00E2055A" w:rsidRPr="00A32AF4">
        <w:rPr>
          <w:szCs w:val="21"/>
        </w:rPr>
        <w:t>’</w:t>
      </w:r>
      <w:r w:rsidRPr="00A32AF4">
        <w:rPr>
          <w:szCs w:val="21"/>
        </w:rPr>
        <w:t xml:space="preserve">automatisation des offices de propriété intellectuelle (IPAS), le système de numérisation et de gestion du travail (WIPO Scan) et le système de gestion électronique des documents (WIPO EDMS).  </w:t>
      </w:r>
      <w:proofErr w:type="gramStart"/>
      <w:r w:rsidRPr="00A32AF4">
        <w:rPr>
          <w:szCs w:val="21"/>
        </w:rPr>
        <w:t>Le programme met au point et propose des plates</w:t>
      </w:r>
      <w:r w:rsidR="00EB7F54" w:rsidRPr="00A32AF4">
        <w:rPr>
          <w:szCs w:val="21"/>
        </w:rPr>
        <w:noBreakHyphen/>
      </w:r>
      <w:r w:rsidRPr="00A32AF4">
        <w:rPr>
          <w:szCs w:val="21"/>
        </w:rPr>
        <w:t>formes internationales pour le traitement et l</w:t>
      </w:r>
      <w:r w:rsidR="00E2055A" w:rsidRPr="00A32AF4">
        <w:rPr>
          <w:szCs w:val="21"/>
        </w:rPr>
        <w:t>’</w:t>
      </w:r>
      <w:r w:rsidRPr="00A32AF4">
        <w:rPr>
          <w:szCs w:val="21"/>
        </w:rPr>
        <w:t>instruction des demandes d</w:t>
      </w:r>
      <w:r w:rsidR="00E2055A" w:rsidRPr="00A32AF4">
        <w:rPr>
          <w:szCs w:val="21"/>
        </w:rPr>
        <w:t>’</w:t>
      </w:r>
      <w:r w:rsidRPr="00A32AF4">
        <w:rPr>
          <w:szCs w:val="21"/>
        </w:rPr>
        <w:t>enregistrement de titres de propriété intellectuelle, telles que le Service d</w:t>
      </w:r>
      <w:r w:rsidR="00E2055A" w:rsidRPr="00A32AF4">
        <w:rPr>
          <w:szCs w:val="21"/>
        </w:rPr>
        <w:t>’</w:t>
      </w:r>
      <w:r w:rsidRPr="00A32AF4">
        <w:rPr>
          <w:szCs w:val="21"/>
        </w:rPr>
        <w:t>accès numérique pour la transmission de documents de priorité (WIPO DAS) et la plate</w:t>
      </w:r>
      <w:r w:rsidR="00EB7F54" w:rsidRPr="00A32AF4">
        <w:rPr>
          <w:szCs w:val="21"/>
        </w:rPr>
        <w:noBreakHyphen/>
      </w:r>
      <w:r w:rsidRPr="00A32AF4">
        <w:rPr>
          <w:szCs w:val="21"/>
        </w:rPr>
        <w:t>forme d</w:t>
      </w:r>
      <w:r w:rsidR="00E2055A" w:rsidRPr="00A32AF4">
        <w:rPr>
          <w:szCs w:val="21"/>
        </w:rPr>
        <w:t>’</w:t>
      </w:r>
      <w:r w:rsidRPr="00A32AF4">
        <w:rPr>
          <w:szCs w:val="21"/>
        </w:rPr>
        <w:t>accès centralisé aux résultats de la recherche et de l</w:t>
      </w:r>
      <w:r w:rsidR="00E2055A" w:rsidRPr="00A32AF4">
        <w:rPr>
          <w:szCs w:val="21"/>
        </w:rPr>
        <w:t>’</w:t>
      </w:r>
      <w:r w:rsidRPr="00A32AF4">
        <w:rPr>
          <w:szCs w:val="21"/>
        </w:rPr>
        <w:t>examen d</w:t>
      </w:r>
      <w:r w:rsidR="00E2055A" w:rsidRPr="00A32AF4">
        <w:rPr>
          <w:szCs w:val="21"/>
        </w:rPr>
        <w:t>’</w:t>
      </w:r>
      <w:r w:rsidRPr="00A32AF4">
        <w:rPr>
          <w:szCs w:val="21"/>
        </w:rPr>
        <w:t>informations contenues dans les dossiers (WIPO CASE), afin de faciliter la coopération internationale entre les offices de propriété intellectuelle et de fournir aux utilisateurs mondiaux du système de propriété intellectuelle des services économiques et efficaces.</w:t>
      </w:r>
      <w:proofErr w:type="gramEnd"/>
    </w:p>
    <w:p w:rsidR="00F93B76" w:rsidRPr="00A32AF4" w:rsidRDefault="00F93B76" w:rsidP="00DC0553"/>
    <w:p w:rsidR="00F93B76" w:rsidRPr="00A32AF4" w:rsidRDefault="00F93B76" w:rsidP="00DC0553"/>
    <w:p w:rsidR="00F93B76" w:rsidRPr="00A32AF4" w:rsidRDefault="00CD54D0" w:rsidP="00DC0553">
      <w:r w:rsidRPr="00A32AF4">
        <w:t>STRATÉGIES DE MISE EN ŒUVRE</w:t>
      </w:r>
    </w:p>
    <w:p w:rsidR="00F93B76" w:rsidRPr="00A32AF4" w:rsidRDefault="00F93B76" w:rsidP="00DC0553"/>
    <w:p w:rsidR="00F93B76" w:rsidRPr="00A32AF4" w:rsidRDefault="00CD1430" w:rsidP="00DC0553">
      <w:pPr>
        <w:numPr>
          <w:ilvl w:val="0"/>
          <w:numId w:val="26"/>
        </w:numPr>
        <w:shd w:val="clear" w:color="auto" w:fill="FFFFFF"/>
        <w:tabs>
          <w:tab w:val="clear" w:pos="0"/>
          <w:tab w:val="left" w:pos="567"/>
        </w:tabs>
        <w:ind w:left="0" w:firstLine="0"/>
        <w:jc w:val="both"/>
        <w:rPr>
          <w:rFonts w:eastAsia="Calibri"/>
          <w:szCs w:val="21"/>
        </w:rPr>
      </w:pPr>
      <w:r w:rsidRPr="00A32AF4">
        <w:rPr>
          <w:rFonts w:eastAsia="Calibri"/>
          <w:szCs w:val="21"/>
        </w:rPr>
        <w:t xml:space="preserve">Compte tenu des tendances et des demandes actuelles des offices de propriété intellectuelle, </w:t>
      </w:r>
      <w:proofErr w:type="gramStart"/>
      <w:r w:rsidRPr="00A32AF4">
        <w:rPr>
          <w:rFonts w:eastAsia="Calibri"/>
          <w:szCs w:val="21"/>
        </w:rPr>
        <w:t>il est</w:t>
      </w:r>
      <w:proofErr w:type="gramEnd"/>
      <w:r w:rsidRPr="00A32AF4">
        <w:rPr>
          <w:rFonts w:eastAsia="Calibri"/>
          <w:szCs w:val="21"/>
        </w:rPr>
        <w:t xml:space="preserve"> escompté que le nombre d</w:t>
      </w:r>
      <w:r w:rsidR="00E2055A" w:rsidRPr="00A32AF4">
        <w:rPr>
          <w:rFonts w:eastAsia="Calibri"/>
          <w:szCs w:val="21"/>
        </w:rPr>
        <w:t>’</w:t>
      </w:r>
      <w:r w:rsidRPr="00A32AF4">
        <w:rPr>
          <w:rFonts w:eastAsia="Calibri"/>
          <w:szCs w:val="21"/>
        </w:rPr>
        <w:t>offices de propriété intellectuelle bénéficiant des solutions opérationnelles de l</w:t>
      </w:r>
      <w:r w:rsidR="00E2055A" w:rsidRPr="00A32AF4">
        <w:rPr>
          <w:rFonts w:eastAsia="Calibri"/>
          <w:szCs w:val="21"/>
        </w:rPr>
        <w:t>’</w:t>
      </w:r>
      <w:r w:rsidRPr="00A32AF4">
        <w:rPr>
          <w:rFonts w:eastAsia="Calibri"/>
          <w:szCs w:val="21"/>
        </w:rPr>
        <w:t>OMPI s</w:t>
      </w:r>
      <w:r w:rsidR="00E2055A" w:rsidRPr="00A32AF4">
        <w:rPr>
          <w:rFonts w:eastAsia="Calibri"/>
          <w:szCs w:val="21"/>
        </w:rPr>
        <w:t>’</w:t>
      </w:r>
      <w:r w:rsidRPr="00A32AF4">
        <w:rPr>
          <w:rFonts w:eastAsia="Calibri"/>
          <w:szCs w:val="21"/>
        </w:rPr>
        <w:t>élèvera à 80.  Tout en répondant aux nouvelles demandes, les stratégies de mise en œuvre seront progressivement orientées vers l</w:t>
      </w:r>
      <w:r w:rsidR="00E2055A" w:rsidRPr="00A32AF4">
        <w:rPr>
          <w:rFonts w:eastAsia="Calibri"/>
          <w:szCs w:val="21"/>
        </w:rPr>
        <w:t>’</w:t>
      </w:r>
      <w:r w:rsidRPr="00A32AF4">
        <w:rPr>
          <w:rFonts w:eastAsia="Calibri"/>
          <w:szCs w:val="21"/>
        </w:rPr>
        <w:t>amélioration, la consolidation et l</w:t>
      </w:r>
      <w:r w:rsidR="00E2055A" w:rsidRPr="00A32AF4">
        <w:rPr>
          <w:rFonts w:eastAsia="Calibri"/>
          <w:szCs w:val="21"/>
        </w:rPr>
        <w:t>’</w:t>
      </w:r>
      <w:r w:rsidRPr="00A32AF4">
        <w:rPr>
          <w:rFonts w:eastAsia="Calibri"/>
          <w:szCs w:val="21"/>
        </w:rPr>
        <w:t>intégration des plates</w:t>
      </w:r>
      <w:r w:rsidR="00EB7F54" w:rsidRPr="00A32AF4">
        <w:rPr>
          <w:rFonts w:eastAsia="Calibri"/>
          <w:szCs w:val="21"/>
        </w:rPr>
        <w:noBreakHyphen/>
      </w:r>
      <w:r w:rsidRPr="00A32AF4">
        <w:rPr>
          <w:rFonts w:eastAsia="Calibri"/>
          <w:szCs w:val="21"/>
        </w:rPr>
        <w:t>formes logicielles et des services de l</w:t>
      </w:r>
      <w:r w:rsidR="00E2055A" w:rsidRPr="00A32AF4">
        <w:rPr>
          <w:rFonts w:eastAsia="Calibri"/>
          <w:szCs w:val="21"/>
        </w:rPr>
        <w:t>’</w:t>
      </w:r>
      <w:r w:rsidRPr="00A32AF4">
        <w:rPr>
          <w:rFonts w:eastAsia="Calibri"/>
          <w:szCs w:val="21"/>
        </w:rPr>
        <w:t>OMPI, ainsi que la durabilité des systèmes d</w:t>
      </w:r>
      <w:r w:rsidR="00E2055A" w:rsidRPr="00A32AF4">
        <w:rPr>
          <w:rFonts w:eastAsia="Calibri"/>
          <w:szCs w:val="21"/>
        </w:rPr>
        <w:t>’</w:t>
      </w:r>
      <w:r w:rsidRPr="00A32AF4">
        <w:rPr>
          <w:rFonts w:eastAsia="Calibri"/>
          <w:szCs w:val="21"/>
        </w:rPr>
        <w:t>administration et leur appropriation par les offices de propriété intellectuelle.</w:t>
      </w:r>
    </w:p>
    <w:p w:rsidR="00F93B76" w:rsidRPr="00A32AF4" w:rsidRDefault="00F93B76" w:rsidP="00DC0553">
      <w:pPr>
        <w:shd w:val="clear" w:color="auto" w:fill="FFFFFF"/>
        <w:jc w:val="both"/>
        <w:rPr>
          <w:rFonts w:eastAsia="Calibri"/>
          <w:szCs w:val="21"/>
        </w:rPr>
      </w:pPr>
    </w:p>
    <w:p w:rsidR="00F93B76" w:rsidRPr="00A32AF4" w:rsidRDefault="00CD1430" w:rsidP="00DC0553">
      <w:pPr>
        <w:numPr>
          <w:ilvl w:val="0"/>
          <w:numId w:val="26"/>
        </w:numPr>
        <w:shd w:val="clear" w:color="auto" w:fill="FFFFFF"/>
        <w:tabs>
          <w:tab w:val="clear" w:pos="0"/>
          <w:tab w:val="left" w:pos="567"/>
        </w:tabs>
        <w:ind w:left="0" w:firstLine="0"/>
        <w:jc w:val="both"/>
        <w:rPr>
          <w:szCs w:val="21"/>
        </w:rPr>
      </w:pPr>
      <w:r w:rsidRPr="00A32AF4">
        <w:rPr>
          <w:szCs w:val="21"/>
        </w:rPr>
        <w:t>L</w:t>
      </w:r>
      <w:r w:rsidR="00E2055A" w:rsidRPr="00A32AF4">
        <w:rPr>
          <w:szCs w:val="21"/>
        </w:rPr>
        <w:t>’</w:t>
      </w:r>
      <w:r w:rsidRPr="00A32AF4">
        <w:rPr>
          <w:szCs w:val="21"/>
        </w:rPr>
        <w:t>utilisation des solutions opérationnelles de l</w:t>
      </w:r>
      <w:r w:rsidR="00E2055A" w:rsidRPr="00A32AF4">
        <w:rPr>
          <w:szCs w:val="21"/>
        </w:rPr>
        <w:t>’</w:t>
      </w:r>
      <w:r w:rsidRPr="00A32AF4">
        <w:rPr>
          <w:szCs w:val="21"/>
        </w:rPr>
        <w:t>OMPI restera une solution d</w:t>
      </w:r>
      <w:r w:rsidR="00E2055A" w:rsidRPr="00A32AF4">
        <w:rPr>
          <w:szCs w:val="21"/>
        </w:rPr>
        <w:t>’</w:t>
      </w:r>
      <w:r w:rsidRPr="00A32AF4">
        <w:rPr>
          <w:szCs w:val="21"/>
        </w:rPr>
        <w:t>un bon rapport coût</w:t>
      </w:r>
      <w:r w:rsidR="00EB7F54" w:rsidRPr="00A32AF4">
        <w:rPr>
          <w:szCs w:val="21"/>
        </w:rPr>
        <w:noBreakHyphen/>
      </w:r>
      <w:r w:rsidRPr="00A32AF4">
        <w:rPr>
          <w:szCs w:val="21"/>
        </w:rPr>
        <w:t>efficacité pour les offices de propriété intellectuelle qui, par rapport aux autres formules existantes, se traduisent par plus d</w:t>
      </w:r>
      <w:r w:rsidR="00E2055A" w:rsidRPr="00A32AF4">
        <w:rPr>
          <w:szCs w:val="21"/>
        </w:rPr>
        <w:t>’</w:t>
      </w:r>
      <w:r w:rsidRPr="00A32AF4">
        <w:rPr>
          <w:szCs w:val="21"/>
        </w:rPr>
        <w:t>économies et moins de risques.  Les solutions opérationnelles seront encore améliorées et les services seront regroupés.  Le défi à relever durant l</w:t>
      </w:r>
      <w:r w:rsidR="00E2055A" w:rsidRPr="00A32AF4">
        <w:rPr>
          <w:szCs w:val="21"/>
        </w:rPr>
        <w:t>’</w:t>
      </w:r>
      <w:r w:rsidRPr="00A32AF4">
        <w:rPr>
          <w:szCs w:val="21"/>
        </w:rPr>
        <w:t>exercice biennal sera de continuer à fournir des services de grande qualité qui sont satisfaisants sur le plan du rapport coût</w:t>
      </w:r>
      <w:r w:rsidR="00EB7F54" w:rsidRPr="00A32AF4">
        <w:rPr>
          <w:szCs w:val="21"/>
        </w:rPr>
        <w:noBreakHyphen/>
      </w:r>
      <w:r w:rsidRPr="00A32AF4">
        <w:rPr>
          <w:szCs w:val="21"/>
        </w:rPr>
        <w:t>efficacité dans un contexte où la demande croît constamment.</w:t>
      </w:r>
    </w:p>
    <w:p w:rsidR="00F93B76" w:rsidRPr="00A32AF4" w:rsidRDefault="00F93B76" w:rsidP="00DC0553">
      <w:pPr>
        <w:pStyle w:val="p1"/>
        <w:shd w:val="clear" w:color="auto" w:fill="FFFFFF"/>
        <w:jc w:val="both"/>
        <w:rPr>
          <w:sz w:val="20"/>
          <w:szCs w:val="21"/>
          <w:lang w:val="fr-FR"/>
        </w:rPr>
      </w:pPr>
    </w:p>
    <w:p w:rsidR="00F93B76" w:rsidRPr="00A32AF4" w:rsidRDefault="00CD1430" w:rsidP="00DC0553">
      <w:pPr>
        <w:keepNext/>
        <w:keepLines/>
        <w:numPr>
          <w:ilvl w:val="0"/>
          <w:numId w:val="26"/>
        </w:numPr>
        <w:shd w:val="clear" w:color="auto" w:fill="FFFFFF"/>
        <w:tabs>
          <w:tab w:val="clear" w:pos="0"/>
          <w:tab w:val="num" w:pos="567"/>
        </w:tabs>
        <w:ind w:left="0" w:firstLine="0"/>
        <w:jc w:val="both"/>
        <w:rPr>
          <w:szCs w:val="21"/>
        </w:rPr>
      </w:pPr>
      <w:r w:rsidRPr="00A32AF4">
        <w:rPr>
          <w:szCs w:val="21"/>
        </w:rPr>
        <w:t>Les priorités spécifiques pour l</w:t>
      </w:r>
      <w:r w:rsidR="00E2055A" w:rsidRPr="00A32AF4">
        <w:rPr>
          <w:szCs w:val="21"/>
        </w:rPr>
        <w:t>’</w:t>
      </w:r>
      <w:r w:rsidRPr="00A32AF4">
        <w:rPr>
          <w:szCs w:val="21"/>
        </w:rPr>
        <w:t>exercice biennal se présentent comme suit :</w:t>
      </w:r>
    </w:p>
    <w:p w:rsidR="00F93B76" w:rsidRPr="00A32AF4" w:rsidRDefault="00F93B76" w:rsidP="00DC0553">
      <w:pPr>
        <w:pStyle w:val="p1"/>
        <w:shd w:val="clear" w:color="auto" w:fill="FFFFFF"/>
        <w:jc w:val="both"/>
        <w:rPr>
          <w:sz w:val="20"/>
          <w:szCs w:val="20"/>
          <w:lang w:val="fr-FR"/>
        </w:rPr>
      </w:pPr>
    </w:p>
    <w:p w:rsidR="00F93B76" w:rsidRPr="00A32AF4" w:rsidRDefault="00CD1430" w:rsidP="00DC0553">
      <w:pPr>
        <w:pStyle w:val="p1"/>
        <w:numPr>
          <w:ilvl w:val="0"/>
          <w:numId w:val="27"/>
        </w:numPr>
        <w:shd w:val="clear" w:color="auto" w:fill="FFFFFF"/>
        <w:tabs>
          <w:tab w:val="clear" w:pos="0"/>
        </w:tabs>
        <w:ind w:left="1134" w:hanging="567"/>
        <w:jc w:val="both"/>
        <w:rPr>
          <w:sz w:val="20"/>
          <w:szCs w:val="21"/>
          <w:lang w:val="fr-FR"/>
        </w:rPr>
      </w:pPr>
      <w:r w:rsidRPr="00A32AF4">
        <w:rPr>
          <w:sz w:val="20"/>
          <w:szCs w:val="21"/>
          <w:lang w:val="fr-FR"/>
        </w:rPr>
        <w:t>la durabilité des niveaux de service et la continuité des activités seront renforcées grâce à la mise en œuvre d</w:t>
      </w:r>
      <w:r w:rsidR="00E2055A" w:rsidRPr="00A32AF4">
        <w:rPr>
          <w:sz w:val="20"/>
          <w:szCs w:val="21"/>
          <w:lang w:val="fr-FR"/>
        </w:rPr>
        <w:t>’</w:t>
      </w:r>
      <w:r w:rsidRPr="00A32AF4">
        <w:rPr>
          <w:sz w:val="20"/>
          <w:szCs w:val="21"/>
          <w:lang w:val="fr-FR"/>
        </w:rPr>
        <w:t>un plan d</w:t>
      </w:r>
      <w:r w:rsidR="00E2055A" w:rsidRPr="00A32AF4">
        <w:rPr>
          <w:sz w:val="20"/>
          <w:szCs w:val="21"/>
          <w:lang w:val="fr-FR"/>
        </w:rPr>
        <w:t>’</w:t>
      </w:r>
      <w:r w:rsidRPr="00A32AF4">
        <w:rPr>
          <w:sz w:val="20"/>
          <w:szCs w:val="21"/>
          <w:lang w:val="fr-FR"/>
        </w:rPr>
        <w:t xml:space="preserve">urgence et de continuité des activités et en donnant la priorité au transfert des connaissances, aux formations et aux services de soutien </w:t>
      </w:r>
      <w:proofErr w:type="gramStart"/>
      <w:r w:rsidRPr="00A32AF4">
        <w:rPr>
          <w:sz w:val="20"/>
          <w:szCs w:val="21"/>
          <w:lang w:val="fr-FR"/>
        </w:rPr>
        <w:t>réactif;</w:t>
      </w:r>
      <w:proofErr w:type="gramEnd"/>
    </w:p>
    <w:p w:rsidR="00F93B76" w:rsidRPr="00A32AF4" w:rsidRDefault="00F93B76" w:rsidP="00DC0553">
      <w:pPr>
        <w:pStyle w:val="p1"/>
        <w:shd w:val="clear" w:color="auto" w:fill="FFFFFF"/>
        <w:ind w:left="1134" w:hanging="567"/>
        <w:jc w:val="both"/>
        <w:rPr>
          <w:sz w:val="20"/>
          <w:szCs w:val="21"/>
          <w:lang w:val="fr-FR"/>
        </w:rPr>
      </w:pPr>
    </w:p>
    <w:p w:rsidR="00F93B76" w:rsidRPr="00A32AF4" w:rsidRDefault="00CD1430" w:rsidP="00DC0553">
      <w:pPr>
        <w:pStyle w:val="p1"/>
        <w:numPr>
          <w:ilvl w:val="0"/>
          <w:numId w:val="27"/>
        </w:numPr>
        <w:shd w:val="clear" w:color="auto" w:fill="FFFFFF"/>
        <w:tabs>
          <w:tab w:val="clear" w:pos="0"/>
        </w:tabs>
        <w:ind w:left="1134" w:hanging="567"/>
        <w:jc w:val="both"/>
        <w:rPr>
          <w:sz w:val="20"/>
          <w:szCs w:val="21"/>
          <w:lang w:val="fr-FR"/>
        </w:rPr>
      </w:pPr>
      <w:r w:rsidRPr="00A32AF4">
        <w:rPr>
          <w:sz w:val="20"/>
          <w:szCs w:val="21"/>
          <w:lang w:val="fr-FR"/>
        </w:rPr>
        <w:t>de nouveaux modules logiciels pour le dépôt électronique (WIPO File) et la publication et l</w:t>
      </w:r>
      <w:r w:rsidR="00E2055A" w:rsidRPr="00A32AF4">
        <w:rPr>
          <w:sz w:val="20"/>
          <w:szCs w:val="21"/>
          <w:lang w:val="fr-FR"/>
        </w:rPr>
        <w:t>’</w:t>
      </w:r>
      <w:r w:rsidRPr="00A32AF4">
        <w:rPr>
          <w:sz w:val="20"/>
          <w:szCs w:val="21"/>
          <w:lang w:val="fr-FR"/>
        </w:rPr>
        <w:t xml:space="preserve">échange de données en ligne (WIPO Publish) seront achevés et mis à disposition des offices de propriété intellectuelle qui sont prêts à les </w:t>
      </w:r>
      <w:proofErr w:type="gramStart"/>
      <w:r w:rsidRPr="00A32AF4">
        <w:rPr>
          <w:sz w:val="20"/>
          <w:szCs w:val="21"/>
          <w:lang w:val="fr-FR"/>
        </w:rPr>
        <w:t>utiliser;</w:t>
      </w:r>
      <w:proofErr w:type="gramEnd"/>
    </w:p>
    <w:p w:rsidR="00F93B76" w:rsidRPr="00A32AF4" w:rsidRDefault="00F93B76" w:rsidP="00DC0553">
      <w:pPr>
        <w:pStyle w:val="p1"/>
        <w:shd w:val="clear" w:color="auto" w:fill="FFFFFF"/>
        <w:ind w:left="1134" w:hanging="567"/>
        <w:jc w:val="both"/>
        <w:rPr>
          <w:sz w:val="20"/>
          <w:szCs w:val="21"/>
          <w:lang w:val="fr-FR"/>
        </w:rPr>
      </w:pPr>
    </w:p>
    <w:p w:rsidR="00F93B76" w:rsidRPr="00A32AF4" w:rsidRDefault="00CD1430" w:rsidP="00DC0553">
      <w:pPr>
        <w:pStyle w:val="p1"/>
        <w:numPr>
          <w:ilvl w:val="0"/>
          <w:numId w:val="27"/>
        </w:numPr>
        <w:shd w:val="clear" w:color="auto" w:fill="FFFFFF"/>
        <w:tabs>
          <w:tab w:val="clear" w:pos="0"/>
        </w:tabs>
        <w:ind w:left="1134" w:hanging="567"/>
        <w:jc w:val="both"/>
        <w:rPr>
          <w:sz w:val="20"/>
          <w:szCs w:val="21"/>
          <w:lang w:val="fr-FR"/>
        </w:rPr>
      </w:pPr>
      <w:r w:rsidRPr="00A32AF4">
        <w:rPr>
          <w:sz w:val="20"/>
          <w:szCs w:val="21"/>
          <w:lang w:val="fr-FR"/>
        </w:rPr>
        <w:t xml:space="preserve">le système IPAS sera amélioré pour comporter de nouvelles fonctions, </w:t>
      </w:r>
      <w:r w:rsidR="00E2055A" w:rsidRPr="00A32AF4">
        <w:rPr>
          <w:sz w:val="20"/>
          <w:szCs w:val="21"/>
          <w:lang w:val="fr-FR"/>
        </w:rPr>
        <w:t>y compris</w:t>
      </w:r>
      <w:r w:rsidRPr="00A32AF4">
        <w:rPr>
          <w:sz w:val="20"/>
          <w:szCs w:val="21"/>
          <w:lang w:val="fr-FR"/>
        </w:rPr>
        <w:t xml:space="preserve"> une meilleure assistance pour les dépôts de demandes selon le système de Madrid et le PCT, une meilleure assistance pour les dessins et modèles industriels, et d</w:t>
      </w:r>
      <w:r w:rsidR="00E2055A" w:rsidRPr="00A32AF4">
        <w:rPr>
          <w:sz w:val="20"/>
          <w:szCs w:val="21"/>
          <w:lang w:val="fr-FR"/>
        </w:rPr>
        <w:t>’</w:t>
      </w:r>
      <w:r w:rsidRPr="00A32AF4">
        <w:rPr>
          <w:sz w:val="20"/>
          <w:szCs w:val="21"/>
          <w:lang w:val="fr-FR"/>
        </w:rPr>
        <w:t xml:space="preserve">autres fonctions répondant à la demande des </w:t>
      </w:r>
      <w:proofErr w:type="gramStart"/>
      <w:r w:rsidRPr="00A32AF4">
        <w:rPr>
          <w:sz w:val="20"/>
          <w:szCs w:val="21"/>
          <w:lang w:val="fr-FR"/>
        </w:rPr>
        <w:t>utilisateurs;</w:t>
      </w:r>
      <w:proofErr w:type="gramEnd"/>
    </w:p>
    <w:p w:rsidR="00F93B76" w:rsidRPr="00A32AF4" w:rsidRDefault="00F93B76" w:rsidP="00DC0553">
      <w:pPr>
        <w:pStyle w:val="p1"/>
        <w:shd w:val="clear" w:color="auto" w:fill="FFFFFF"/>
        <w:ind w:left="1134" w:hanging="567"/>
        <w:jc w:val="both"/>
        <w:rPr>
          <w:sz w:val="20"/>
          <w:szCs w:val="21"/>
          <w:lang w:val="fr-FR"/>
        </w:rPr>
      </w:pPr>
    </w:p>
    <w:p w:rsidR="00F93B76" w:rsidRPr="00A32AF4" w:rsidRDefault="00CD1430" w:rsidP="00DC0553">
      <w:pPr>
        <w:pStyle w:val="p1"/>
        <w:numPr>
          <w:ilvl w:val="0"/>
          <w:numId w:val="27"/>
        </w:numPr>
        <w:shd w:val="clear" w:color="auto" w:fill="FFFFFF"/>
        <w:tabs>
          <w:tab w:val="clear" w:pos="0"/>
        </w:tabs>
        <w:ind w:left="1134" w:hanging="567"/>
        <w:jc w:val="both"/>
        <w:rPr>
          <w:sz w:val="20"/>
          <w:szCs w:val="21"/>
          <w:lang w:val="fr-FR"/>
        </w:rPr>
      </w:pPr>
      <w:r w:rsidRPr="00A32AF4">
        <w:rPr>
          <w:sz w:val="20"/>
          <w:szCs w:val="21"/>
          <w:lang w:val="fr-FR"/>
        </w:rPr>
        <w:t>le système AIPMS sera progressivement supprimé pour être remplacé par IPAS qui à l</w:t>
      </w:r>
      <w:r w:rsidR="00E2055A" w:rsidRPr="00A32AF4">
        <w:rPr>
          <w:sz w:val="20"/>
          <w:szCs w:val="21"/>
          <w:lang w:val="fr-FR"/>
        </w:rPr>
        <w:t>’</w:t>
      </w:r>
      <w:r w:rsidRPr="00A32AF4">
        <w:rPr>
          <w:sz w:val="20"/>
          <w:szCs w:val="21"/>
          <w:lang w:val="fr-FR"/>
        </w:rPr>
        <w:t xml:space="preserve">heure actuelle fonctionne pleinement en langue </w:t>
      </w:r>
      <w:proofErr w:type="gramStart"/>
      <w:r w:rsidRPr="00A32AF4">
        <w:rPr>
          <w:sz w:val="20"/>
          <w:szCs w:val="21"/>
          <w:lang w:val="fr-FR"/>
        </w:rPr>
        <w:t>arabe;</w:t>
      </w:r>
      <w:proofErr w:type="gramEnd"/>
    </w:p>
    <w:p w:rsidR="00F93B76" w:rsidRPr="00A32AF4" w:rsidRDefault="00F93B76" w:rsidP="00DC0553">
      <w:pPr>
        <w:pStyle w:val="p1"/>
        <w:shd w:val="clear" w:color="auto" w:fill="FFFFFF"/>
        <w:ind w:left="1134" w:hanging="567"/>
        <w:jc w:val="both"/>
        <w:rPr>
          <w:sz w:val="20"/>
          <w:szCs w:val="21"/>
          <w:lang w:val="fr-FR"/>
        </w:rPr>
      </w:pPr>
    </w:p>
    <w:p w:rsidR="00F93B76" w:rsidRPr="00A32AF4" w:rsidRDefault="00CD1430" w:rsidP="00DC0553">
      <w:pPr>
        <w:pStyle w:val="p1"/>
        <w:numPr>
          <w:ilvl w:val="0"/>
          <w:numId w:val="27"/>
        </w:numPr>
        <w:shd w:val="clear" w:color="auto" w:fill="FFFFFF"/>
        <w:tabs>
          <w:tab w:val="clear" w:pos="0"/>
        </w:tabs>
        <w:ind w:left="1134" w:hanging="567"/>
        <w:jc w:val="both"/>
        <w:rPr>
          <w:sz w:val="20"/>
          <w:szCs w:val="21"/>
          <w:lang w:val="fr-FR"/>
        </w:rPr>
      </w:pPr>
      <w:r w:rsidRPr="00A32AF4">
        <w:rPr>
          <w:sz w:val="20"/>
          <w:szCs w:val="21"/>
          <w:lang w:val="fr-FR"/>
        </w:rPr>
        <w:t>les services d</w:t>
      </w:r>
      <w:r w:rsidR="00E2055A" w:rsidRPr="00A32AF4">
        <w:rPr>
          <w:sz w:val="20"/>
          <w:szCs w:val="21"/>
          <w:lang w:val="fr-FR"/>
        </w:rPr>
        <w:t>’</w:t>
      </w:r>
      <w:r w:rsidRPr="00A32AF4">
        <w:rPr>
          <w:sz w:val="20"/>
          <w:szCs w:val="21"/>
          <w:lang w:val="fr-FR"/>
        </w:rPr>
        <w:t>assistance continueront d</w:t>
      </w:r>
      <w:r w:rsidR="00E2055A" w:rsidRPr="00A32AF4">
        <w:rPr>
          <w:sz w:val="20"/>
          <w:szCs w:val="21"/>
          <w:lang w:val="fr-FR"/>
        </w:rPr>
        <w:t>’</w:t>
      </w:r>
      <w:r w:rsidRPr="00A32AF4">
        <w:rPr>
          <w:sz w:val="20"/>
          <w:szCs w:val="21"/>
          <w:lang w:val="fr-FR"/>
        </w:rPr>
        <w:t>être améliorés (service d</w:t>
      </w:r>
      <w:r w:rsidR="00E2055A" w:rsidRPr="00A32AF4">
        <w:rPr>
          <w:sz w:val="20"/>
          <w:szCs w:val="21"/>
          <w:lang w:val="fr-FR"/>
        </w:rPr>
        <w:t>’</w:t>
      </w:r>
      <w:r w:rsidRPr="00A32AF4">
        <w:rPr>
          <w:sz w:val="20"/>
          <w:szCs w:val="21"/>
          <w:lang w:val="fr-FR"/>
        </w:rPr>
        <w:t>assistance en ligne</w:t>
      </w:r>
      <w:proofErr w:type="gramStart"/>
      <w:r w:rsidRPr="00A32AF4">
        <w:rPr>
          <w:sz w:val="20"/>
          <w:szCs w:val="21"/>
          <w:lang w:val="fr-FR"/>
        </w:rPr>
        <w:t>);</w:t>
      </w:r>
      <w:proofErr w:type="gramEnd"/>
    </w:p>
    <w:p w:rsidR="00F93B76" w:rsidRPr="00A32AF4" w:rsidRDefault="00F93B76" w:rsidP="00DC0553">
      <w:pPr>
        <w:ind w:left="1134" w:hanging="567"/>
        <w:jc w:val="both"/>
        <w:rPr>
          <w:szCs w:val="21"/>
        </w:rPr>
      </w:pPr>
    </w:p>
    <w:p w:rsidR="00F93B76" w:rsidRPr="00A32AF4" w:rsidRDefault="00CD1430" w:rsidP="00DC0553">
      <w:pPr>
        <w:pStyle w:val="p1"/>
        <w:numPr>
          <w:ilvl w:val="0"/>
          <w:numId w:val="27"/>
        </w:numPr>
        <w:shd w:val="clear" w:color="auto" w:fill="FFFFFF"/>
        <w:tabs>
          <w:tab w:val="clear" w:pos="0"/>
        </w:tabs>
        <w:ind w:left="1134" w:hanging="567"/>
        <w:jc w:val="both"/>
        <w:rPr>
          <w:sz w:val="20"/>
          <w:szCs w:val="21"/>
          <w:lang w:val="fr-FR"/>
        </w:rPr>
      </w:pPr>
      <w:r w:rsidRPr="00A32AF4">
        <w:rPr>
          <w:sz w:val="20"/>
          <w:szCs w:val="21"/>
          <w:lang w:val="fr-FR"/>
        </w:rPr>
        <w:t>une première version du Réseau du droit d</w:t>
      </w:r>
      <w:r w:rsidR="00E2055A" w:rsidRPr="00A32AF4">
        <w:rPr>
          <w:sz w:val="20"/>
          <w:szCs w:val="21"/>
          <w:lang w:val="fr-FR"/>
        </w:rPr>
        <w:t>’</w:t>
      </w:r>
      <w:r w:rsidRPr="00A32AF4">
        <w:rPr>
          <w:sz w:val="20"/>
          <w:szCs w:val="21"/>
          <w:lang w:val="fr-FR"/>
        </w:rPr>
        <w:t>auteur de l</w:t>
      </w:r>
      <w:r w:rsidR="00E2055A" w:rsidRPr="00A32AF4">
        <w:rPr>
          <w:sz w:val="20"/>
          <w:szCs w:val="21"/>
          <w:lang w:val="fr-FR"/>
        </w:rPr>
        <w:t>’</w:t>
      </w:r>
      <w:r w:rsidRPr="00A32AF4">
        <w:rPr>
          <w:sz w:val="20"/>
          <w:szCs w:val="21"/>
          <w:lang w:val="fr-FR"/>
        </w:rPr>
        <w:t>OMPI (WCC) sera mise à disposition d</w:t>
      </w:r>
      <w:r w:rsidR="00E2055A" w:rsidRPr="00A32AF4">
        <w:rPr>
          <w:sz w:val="20"/>
          <w:szCs w:val="21"/>
          <w:lang w:val="fr-FR"/>
        </w:rPr>
        <w:t>’</w:t>
      </w:r>
      <w:r w:rsidRPr="00A32AF4">
        <w:rPr>
          <w:sz w:val="20"/>
          <w:szCs w:val="21"/>
          <w:lang w:val="fr-FR"/>
        </w:rPr>
        <w:t>un premier groupe d</w:t>
      </w:r>
      <w:r w:rsidR="00E2055A" w:rsidRPr="00A32AF4">
        <w:rPr>
          <w:sz w:val="20"/>
          <w:szCs w:val="21"/>
          <w:lang w:val="fr-FR"/>
        </w:rPr>
        <w:t>’</w:t>
      </w:r>
      <w:r w:rsidRPr="00A32AF4">
        <w:rPr>
          <w:sz w:val="20"/>
          <w:szCs w:val="21"/>
          <w:lang w:val="fr-FR"/>
        </w:rPr>
        <w:t>organismes de gestion collective dans des pays en développement ou des </w:t>
      </w:r>
      <w:proofErr w:type="gramStart"/>
      <w:r w:rsidRPr="00A32AF4">
        <w:rPr>
          <w:sz w:val="20"/>
          <w:szCs w:val="21"/>
          <w:lang w:val="fr-FR"/>
        </w:rPr>
        <w:t>PMA;</w:t>
      </w:r>
      <w:proofErr w:type="gramEnd"/>
    </w:p>
    <w:p w:rsidR="00F93B76" w:rsidRPr="00A32AF4" w:rsidRDefault="00F93B76" w:rsidP="00DC0553">
      <w:pPr>
        <w:pStyle w:val="p1"/>
        <w:shd w:val="clear" w:color="auto" w:fill="FFFFFF"/>
        <w:ind w:left="1134" w:hanging="567"/>
        <w:jc w:val="both"/>
        <w:rPr>
          <w:sz w:val="20"/>
          <w:szCs w:val="21"/>
          <w:lang w:val="fr-FR"/>
        </w:rPr>
      </w:pPr>
    </w:p>
    <w:p w:rsidR="00F93B76" w:rsidRPr="00A32AF4" w:rsidRDefault="00CD1430" w:rsidP="00DC0553">
      <w:pPr>
        <w:pStyle w:val="p1"/>
        <w:numPr>
          <w:ilvl w:val="0"/>
          <w:numId w:val="27"/>
        </w:numPr>
        <w:shd w:val="clear" w:color="auto" w:fill="FFFFFF"/>
        <w:tabs>
          <w:tab w:val="clear" w:pos="0"/>
        </w:tabs>
        <w:ind w:left="1134" w:hanging="567"/>
        <w:jc w:val="both"/>
        <w:rPr>
          <w:bCs/>
          <w:sz w:val="20"/>
          <w:szCs w:val="21"/>
          <w:lang w:val="fr-FR"/>
        </w:rPr>
      </w:pPr>
      <w:r w:rsidRPr="00A32AF4">
        <w:rPr>
          <w:sz w:val="20"/>
          <w:szCs w:val="21"/>
          <w:lang w:val="fr-FR"/>
        </w:rPr>
        <w:t>le système WIPO CASE (accès centralisé aux résultats de la recherche et de l</w:t>
      </w:r>
      <w:r w:rsidR="00E2055A" w:rsidRPr="00A32AF4">
        <w:rPr>
          <w:sz w:val="20"/>
          <w:szCs w:val="21"/>
          <w:lang w:val="fr-FR"/>
        </w:rPr>
        <w:t>’</w:t>
      </w:r>
      <w:r w:rsidRPr="00A32AF4">
        <w:rPr>
          <w:sz w:val="20"/>
          <w:szCs w:val="21"/>
          <w:lang w:val="fr-FR"/>
        </w:rPr>
        <w:t xml:space="preserve">examen) sera étendu à de nouveaux offices participants et une version publique sera mise au point pour donner un accès universel au contenu des dossiers des offices </w:t>
      </w:r>
      <w:proofErr w:type="gramStart"/>
      <w:r w:rsidRPr="00A32AF4">
        <w:rPr>
          <w:sz w:val="20"/>
          <w:szCs w:val="21"/>
          <w:lang w:val="fr-FR"/>
        </w:rPr>
        <w:t>participants;</w:t>
      </w:r>
      <w:proofErr w:type="gramEnd"/>
    </w:p>
    <w:p w:rsidR="00F93B76" w:rsidRPr="00A32AF4" w:rsidRDefault="00F93B76" w:rsidP="00DC0553">
      <w:pPr>
        <w:pStyle w:val="p1"/>
        <w:shd w:val="clear" w:color="auto" w:fill="FFFFFF"/>
        <w:ind w:left="1134" w:hanging="567"/>
        <w:jc w:val="both"/>
        <w:rPr>
          <w:bCs/>
          <w:sz w:val="20"/>
          <w:szCs w:val="21"/>
          <w:lang w:val="fr-FR"/>
        </w:rPr>
      </w:pPr>
    </w:p>
    <w:p w:rsidR="00F93B76" w:rsidRPr="00A32AF4" w:rsidRDefault="00CD1430" w:rsidP="00DC0553">
      <w:pPr>
        <w:pStyle w:val="p1"/>
        <w:numPr>
          <w:ilvl w:val="0"/>
          <w:numId w:val="27"/>
        </w:numPr>
        <w:shd w:val="clear" w:color="auto" w:fill="FFFFFF"/>
        <w:tabs>
          <w:tab w:val="clear" w:pos="0"/>
        </w:tabs>
        <w:ind w:left="1134" w:hanging="567"/>
        <w:jc w:val="both"/>
        <w:rPr>
          <w:bCs/>
          <w:sz w:val="20"/>
          <w:szCs w:val="21"/>
          <w:lang w:val="fr-FR"/>
        </w:rPr>
      </w:pPr>
      <w:r w:rsidRPr="00A32AF4">
        <w:rPr>
          <w:bCs/>
          <w:sz w:val="20"/>
          <w:szCs w:val="21"/>
          <w:lang w:val="fr-FR"/>
        </w:rPr>
        <w:t>une assistance technique sera fournie aux offices de propriété intellectuelle des PMA pour la numérisation et la saisie de données des dossiers de propriété intellectuelle en retard.</w:t>
      </w:r>
    </w:p>
    <w:p w:rsidR="00F93B76" w:rsidRPr="00A32AF4" w:rsidRDefault="00F93B76" w:rsidP="00DC0553">
      <w:pPr>
        <w:jc w:val="both"/>
        <w:rPr>
          <w:bCs/>
          <w:szCs w:val="21"/>
        </w:rPr>
      </w:pPr>
    </w:p>
    <w:p w:rsidR="00F93B76" w:rsidRPr="00A32AF4" w:rsidRDefault="00CD1430" w:rsidP="00DC0553">
      <w:pPr>
        <w:numPr>
          <w:ilvl w:val="0"/>
          <w:numId w:val="26"/>
        </w:numPr>
        <w:shd w:val="clear" w:color="auto" w:fill="FFFFFF"/>
        <w:tabs>
          <w:tab w:val="clear" w:pos="0"/>
          <w:tab w:val="left" w:pos="567"/>
        </w:tabs>
        <w:ind w:left="0" w:firstLine="0"/>
        <w:jc w:val="both"/>
        <w:rPr>
          <w:szCs w:val="21"/>
        </w:rPr>
      </w:pPr>
      <w:r w:rsidRPr="00A32AF4">
        <w:rPr>
          <w:szCs w:val="21"/>
        </w:rPr>
        <w:t>La conception, la planification et la mise en œuvre des activités entreprises dans le cadre du programme 15 s</w:t>
      </w:r>
      <w:r w:rsidR="00E2055A" w:rsidRPr="00A32AF4">
        <w:rPr>
          <w:szCs w:val="21"/>
        </w:rPr>
        <w:t>’</w:t>
      </w:r>
      <w:r w:rsidRPr="00A32AF4">
        <w:rPr>
          <w:szCs w:val="21"/>
        </w:rPr>
        <w:t>appuient sur les recommandations pertinentes du Plan d</w:t>
      </w:r>
      <w:r w:rsidR="00E2055A" w:rsidRPr="00A32AF4">
        <w:rPr>
          <w:szCs w:val="21"/>
        </w:rPr>
        <w:t>’</w:t>
      </w:r>
      <w:r w:rsidRPr="00A32AF4">
        <w:rPr>
          <w:szCs w:val="21"/>
        </w:rPr>
        <w:t>action pour le développement, notamment les recommandations n° 1, 2 et 10.</w:t>
      </w:r>
    </w:p>
    <w:p w:rsidR="00F93B76" w:rsidRPr="00A32AF4" w:rsidRDefault="00F93B76" w:rsidP="00DC0553">
      <w:pPr>
        <w:rPr>
          <w:sz w:val="18"/>
        </w:rPr>
      </w:pPr>
    </w:p>
    <w:p w:rsidR="00E2055A" w:rsidRPr="00A32AF4" w:rsidRDefault="003C26E9" w:rsidP="00DC0553">
      <w:pPr>
        <w:numPr>
          <w:ilvl w:val="0"/>
          <w:numId w:val="26"/>
        </w:numPr>
        <w:shd w:val="clear" w:color="auto" w:fill="FFFFFF"/>
        <w:tabs>
          <w:tab w:val="left" w:pos="709"/>
        </w:tabs>
        <w:suppressAutoHyphens/>
        <w:ind w:left="0" w:firstLine="0"/>
        <w:jc w:val="both"/>
        <w:rPr>
          <w:rFonts w:cs="Arial"/>
          <w:color w:val="000000"/>
          <w:szCs w:val="21"/>
        </w:rPr>
      </w:pPr>
      <w:r w:rsidRPr="00A32AF4">
        <w:rPr>
          <w:rFonts w:cs="Arial"/>
          <w:color w:val="000000"/>
          <w:szCs w:val="21"/>
        </w:rPr>
        <w:t>Le programme 15 collabore essentiellement avec les autres programmes indiqués ci</w:t>
      </w:r>
      <w:r w:rsidR="00EB7F54" w:rsidRPr="00A32AF4">
        <w:rPr>
          <w:rFonts w:cs="Arial"/>
          <w:color w:val="000000"/>
          <w:szCs w:val="21"/>
        </w:rPr>
        <w:noBreakHyphen/>
      </w:r>
      <w:r w:rsidRPr="00A32AF4">
        <w:rPr>
          <w:rFonts w:cs="Arial"/>
          <w:color w:val="000000"/>
          <w:szCs w:val="21"/>
        </w:rPr>
        <w:t>dessous </w:t>
      </w:r>
      <w:r w:rsidR="00CD54D0" w:rsidRPr="00A32AF4">
        <w:rPr>
          <w:rFonts w:cs="Arial"/>
          <w:color w:val="000000"/>
          <w:szCs w:val="21"/>
        </w:rPr>
        <w:t>:</w:t>
      </w:r>
    </w:p>
    <w:p w:rsidR="00F93B76" w:rsidRPr="00A32AF4" w:rsidRDefault="00CD1430" w:rsidP="00DC0553">
      <w:r w:rsidRPr="00A32AF4">
        <w:rPr>
          <w:noProof/>
          <w:lang w:eastAsia="fr-FR"/>
        </w:rPr>
        <w:drawing>
          <wp:anchor distT="0" distB="0" distL="114300" distR="114300" simplePos="0" relativeHeight="251663360" behindDoc="0" locked="0" layoutInCell="1" allowOverlap="1" wp14:anchorId="45323FA1" wp14:editId="33BFEC9D">
            <wp:simplePos x="0" y="0"/>
            <wp:positionH relativeFrom="column">
              <wp:posOffset>635</wp:posOffset>
            </wp:positionH>
            <wp:positionV relativeFrom="paragraph">
              <wp:posOffset>211455</wp:posOffset>
            </wp:positionV>
            <wp:extent cx="5840095" cy="2079625"/>
            <wp:effectExtent l="0" t="0" r="0" b="0"/>
            <wp:wrapTopAndBottom/>
            <wp:docPr id="965" name="Diagram 96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1" r:lo="rId132" r:qs="rId133" r:cs="rId134"/>
              </a:graphicData>
            </a:graphic>
            <wp14:sizeRelH relativeFrom="page">
              <wp14:pctWidth>0</wp14:pctWidth>
            </wp14:sizeRelH>
            <wp14:sizeRelV relativeFrom="page">
              <wp14:pctHeight>0</wp14:pctHeight>
            </wp14:sizeRelV>
          </wp:anchor>
        </w:drawing>
      </w:r>
    </w:p>
    <w:p w:rsidR="00F93B76" w:rsidRPr="00A32AF4" w:rsidRDefault="00CD54D0" w:rsidP="00DC0553">
      <w:r w:rsidRPr="00A32AF4">
        <w:t>PRINCIPAUX RISQUES ET STRATÉGIES D</w:t>
      </w:r>
      <w:r w:rsidR="00E2055A" w:rsidRPr="00A32AF4">
        <w:t>’</w:t>
      </w:r>
      <w:r w:rsidRPr="00A32AF4">
        <w:t>ATTÉNUATION</w:t>
      </w:r>
    </w:p>
    <w:p w:rsidR="00CD1430" w:rsidRPr="00A32AF4" w:rsidRDefault="00CD1430" w:rsidP="00DC0553"/>
    <w:tbl>
      <w:tblPr>
        <w:tblW w:w="9214"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253"/>
        <w:gridCol w:w="4961"/>
      </w:tblGrid>
      <w:tr w:rsidR="0038294E" w:rsidRPr="00A32AF4" w:rsidTr="004848EA">
        <w:trPr>
          <w:trHeight w:val="577"/>
        </w:trPr>
        <w:tc>
          <w:tcPr>
            <w:tcW w:w="4253" w:type="dxa"/>
            <w:tcBorders>
              <w:top w:val="single" w:sz="4" w:space="0" w:color="auto"/>
              <w:bottom w:val="single" w:sz="4" w:space="0" w:color="auto"/>
            </w:tcBorders>
            <w:shd w:val="clear" w:color="auto" w:fill="C6D9F1" w:themeFill="text2" w:themeFillTint="33"/>
            <w:vAlign w:val="center"/>
          </w:tcPr>
          <w:p w:rsidR="00CD1430" w:rsidRPr="00A32AF4" w:rsidRDefault="00CD1430" w:rsidP="00DC0553">
            <w:pPr>
              <w:jc w:val="center"/>
              <w:rPr>
                <w:b/>
                <w:bCs/>
                <w:sz w:val="18"/>
                <w:szCs w:val="18"/>
              </w:rPr>
            </w:pPr>
            <w:r w:rsidRPr="00A32AF4">
              <w:rPr>
                <w:b/>
                <w:bCs/>
                <w:sz w:val="18"/>
                <w:szCs w:val="18"/>
              </w:rPr>
              <w:t>Risque</w:t>
            </w:r>
            <w:r w:rsidR="00783124" w:rsidRPr="00A32AF4">
              <w:rPr>
                <w:b/>
                <w:bCs/>
                <w:sz w:val="18"/>
                <w:szCs w:val="18"/>
              </w:rPr>
              <w:t>s</w:t>
            </w:r>
          </w:p>
        </w:tc>
        <w:tc>
          <w:tcPr>
            <w:tcW w:w="4961" w:type="dxa"/>
            <w:tcBorders>
              <w:top w:val="single" w:sz="4" w:space="0" w:color="auto"/>
              <w:bottom w:val="single" w:sz="4" w:space="0" w:color="auto"/>
            </w:tcBorders>
            <w:shd w:val="clear" w:color="auto" w:fill="C6D9F1" w:themeFill="text2" w:themeFillTint="33"/>
            <w:vAlign w:val="center"/>
          </w:tcPr>
          <w:p w:rsidR="00CD1430" w:rsidRPr="00A32AF4" w:rsidRDefault="00FD3E7B" w:rsidP="00DC0553">
            <w:pPr>
              <w:jc w:val="center"/>
              <w:rPr>
                <w:b/>
                <w:bCs/>
                <w:sz w:val="18"/>
                <w:szCs w:val="18"/>
              </w:rPr>
            </w:pPr>
            <w:r w:rsidRPr="00A32AF4">
              <w:rPr>
                <w:b/>
                <w:bCs/>
                <w:sz w:val="18"/>
                <w:szCs w:val="18"/>
              </w:rPr>
              <w:t>Stratégie</w:t>
            </w:r>
            <w:r w:rsidR="00783124" w:rsidRPr="00A32AF4">
              <w:rPr>
                <w:b/>
                <w:bCs/>
                <w:sz w:val="18"/>
                <w:szCs w:val="18"/>
              </w:rPr>
              <w:t>s</w:t>
            </w:r>
            <w:r w:rsidRPr="00A32AF4">
              <w:rPr>
                <w:b/>
                <w:bCs/>
                <w:sz w:val="18"/>
                <w:szCs w:val="18"/>
              </w:rPr>
              <w:t xml:space="preserve"> d</w:t>
            </w:r>
            <w:r w:rsidR="00E2055A" w:rsidRPr="00A32AF4">
              <w:rPr>
                <w:b/>
                <w:bCs/>
                <w:sz w:val="18"/>
                <w:szCs w:val="18"/>
              </w:rPr>
              <w:t>’</w:t>
            </w:r>
            <w:r w:rsidRPr="00A32AF4">
              <w:rPr>
                <w:b/>
                <w:bCs/>
                <w:sz w:val="18"/>
                <w:szCs w:val="18"/>
              </w:rPr>
              <w:t>atténuation</w:t>
            </w:r>
          </w:p>
        </w:tc>
      </w:tr>
      <w:tr w:rsidR="0038294E" w:rsidRPr="00A32AF4" w:rsidTr="007575E1">
        <w:trPr>
          <w:trHeight w:val="540"/>
        </w:trPr>
        <w:tc>
          <w:tcPr>
            <w:tcW w:w="4253" w:type="dxa"/>
            <w:tcBorders>
              <w:top w:val="single" w:sz="4" w:space="0" w:color="auto"/>
              <w:left w:val="single" w:sz="4" w:space="0" w:color="auto"/>
              <w:bottom w:val="nil"/>
              <w:right w:val="nil"/>
            </w:tcBorders>
            <w:shd w:val="clear" w:color="auto" w:fill="auto"/>
            <w:tcMar>
              <w:top w:w="113" w:type="dxa"/>
              <w:bottom w:w="113" w:type="dxa"/>
            </w:tcMar>
          </w:tcPr>
          <w:p w:rsidR="00CD1430" w:rsidRPr="00A32AF4" w:rsidRDefault="00CD1430" w:rsidP="00DC0553">
            <w:pPr>
              <w:rPr>
                <w:sz w:val="16"/>
                <w:szCs w:val="16"/>
              </w:rPr>
            </w:pPr>
            <w:r w:rsidRPr="00A32AF4">
              <w:rPr>
                <w:sz w:val="16"/>
              </w:rPr>
              <w:t>Incapacité des offices de propriété intellectuelle à assurer et à préserver le fonctionnement autonome des systèmes logiciels de l</w:t>
            </w:r>
            <w:r w:rsidR="00E2055A" w:rsidRPr="00A32AF4">
              <w:rPr>
                <w:sz w:val="16"/>
              </w:rPr>
              <w:t>’</w:t>
            </w:r>
            <w:r w:rsidRPr="00A32AF4">
              <w:rPr>
                <w:sz w:val="16"/>
              </w:rPr>
              <w:t>OMPI utilisés dans le cadre des activités principales.</w:t>
            </w:r>
          </w:p>
        </w:tc>
        <w:tc>
          <w:tcPr>
            <w:tcW w:w="4961" w:type="dxa"/>
            <w:tcBorders>
              <w:top w:val="single" w:sz="4" w:space="0" w:color="auto"/>
              <w:left w:val="nil"/>
              <w:bottom w:val="nil"/>
              <w:right w:val="single" w:sz="4" w:space="0" w:color="auto"/>
            </w:tcBorders>
            <w:shd w:val="clear" w:color="auto" w:fill="auto"/>
            <w:tcMar>
              <w:top w:w="113" w:type="dxa"/>
              <w:bottom w:w="113" w:type="dxa"/>
            </w:tcMar>
          </w:tcPr>
          <w:p w:rsidR="00CD1430" w:rsidRPr="00A32AF4" w:rsidRDefault="00CD1430" w:rsidP="00DC0553">
            <w:pPr>
              <w:rPr>
                <w:sz w:val="16"/>
                <w:szCs w:val="16"/>
              </w:rPr>
            </w:pPr>
            <w:r w:rsidRPr="00A32AF4">
              <w:rPr>
                <w:sz w:val="16"/>
              </w:rPr>
              <w:t>Veiller à ce que le personnel local des offices de propriété intellectuelle soit formé.  Établir des procédures formelles pour le soutien logiciel et la maintenance.</w:t>
            </w:r>
          </w:p>
        </w:tc>
      </w:tr>
      <w:tr w:rsidR="00CD1430" w:rsidRPr="00A32AF4" w:rsidTr="007575E1">
        <w:trPr>
          <w:trHeight w:val="487"/>
        </w:trPr>
        <w:tc>
          <w:tcPr>
            <w:tcW w:w="4253" w:type="dxa"/>
            <w:tcBorders>
              <w:top w:val="nil"/>
              <w:left w:val="single" w:sz="4" w:space="0" w:color="auto"/>
              <w:bottom w:val="single" w:sz="4" w:space="0" w:color="auto"/>
              <w:right w:val="nil"/>
            </w:tcBorders>
            <w:shd w:val="clear" w:color="auto" w:fill="auto"/>
            <w:tcMar>
              <w:top w:w="113" w:type="dxa"/>
              <w:bottom w:w="113" w:type="dxa"/>
            </w:tcMar>
          </w:tcPr>
          <w:p w:rsidR="00CD1430" w:rsidRPr="00A32AF4" w:rsidRDefault="00CD1430" w:rsidP="00DC0553">
            <w:pPr>
              <w:rPr>
                <w:sz w:val="16"/>
              </w:rPr>
            </w:pPr>
            <w:r w:rsidRPr="00A32AF4">
              <w:rPr>
                <w:sz w:val="16"/>
              </w:rPr>
              <w:t>Manque d</w:t>
            </w:r>
            <w:r w:rsidR="00E2055A" w:rsidRPr="00A32AF4">
              <w:rPr>
                <w:sz w:val="16"/>
              </w:rPr>
              <w:t>’</w:t>
            </w:r>
            <w:r w:rsidRPr="00A32AF4">
              <w:rPr>
                <w:sz w:val="16"/>
              </w:rPr>
              <w:t xml:space="preserve">accès aux informations techniques et confidentielles qui sont détenues par les parties prenantes concernées et qui peuvent être nécessaires à la mise en œuvre du projet WCC.  </w:t>
            </w:r>
          </w:p>
        </w:tc>
        <w:tc>
          <w:tcPr>
            <w:tcW w:w="4961" w:type="dxa"/>
            <w:tcBorders>
              <w:top w:val="nil"/>
              <w:left w:val="nil"/>
              <w:bottom w:val="single" w:sz="4" w:space="0" w:color="auto"/>
              <w:right w:val="single" w:sz="4" w:space="0" w:color="auto"/>
            </w:tcBorders>
            <w:shd w:val="clear" w:color="auto" w:fill="auto"/>
            <w:tcMar>
              <w:top w:w="113" w:type="dxa"/>
              <w:bottom w:w="113" w:type="dxa"/>
            </w:tcMar>
          </w:tcPr>
          <w:p w:rsidR="00CD1430" w:rsidRPr="00A32AF4" w:rsidRDefault="00CD1430" w:rsidP="00DC0553">
            <w:pPr>
              <w:rPr>
                <w:sz w:val="16"/>
              </w:rPr>
            </w:pPr>
            <w:r w:rsidRPr="00A32AF4">
              <w:rPr>
                <w:sz w:val="16"/>
              </w:rPr>
              <w:t>Inviter les parties prenantes concernées à participer aux réunions du groupe d</w:t>
            </w:r>
            <w:r w:rsidR="00E2055A" w:rsidRPr="00A32AF4">
              <w:rPr>
                <w:sz w:val="16"/>
              </w:rPr>
              <w:t>’</w:t>
            </w:r>
            <w:r w:rsidRPr="00A32AF4">
              <w:rPr>
                <w:sz w:val="16"/>
              </w:rPr>
              <w:t>experts sur le projet WCC afin de partager les informations pertinentes.</w:t>
            </w:r>
          </w:p>
        </w:tc>
      </w:tr>
    </w:tbl>
    <w:p w:rsidR="00F93B76" w:rsidRPr="00A32AF4" w:rsidRDefault="00F93B76" w:rsidP="00DC0553"/>
    <w:p w:rsidR="00F93B76" w:rsidRPr="00A32AF4" w:rsidRDefault="00F93B76" w:rsidP="00DC0553"/>
    <w:p w:rsidR="00F93B76" w:rsidRPr="00A32AF4" w:rsidRDefault="00CD54D0" w:rsidP="00DC0553">
      <w:pPr>
        <w:rPr>
          <w:szCs w:val="24"/>
        </w:rPr>
      </w:pPr>
      <w:r w:rsidRPr="00A32AF4">
        <w:t>TABLEAU DES RÉSULTATS</w:t>
      </w:r>
    </w:p>
    <w:p w:rsidR="00CD1430" w:rsidRPr="00A32AF4" w:rsidRDefault="00CD1430" w:rsidP="00DC0553"/>
    <w:tbl>
      <w:tblPr>
        <w:tblW w:w="9340" w:type="dxa"/>
        <w:tblInd w:w="93" w:type="dxa"/>
        <w:tblLook w:val="04A0" w:firstRow="1" w:lastRow="0" w:firstColumn="1" w:lastColumn="0" w:noHBand="0" w:noVBand="1"/>
      </w:tblPr>
      <w:tblGrid>
        <w:gridCol w:w="2940"/>
        <w:gridCol w:w="2620"/>
        <w:gridCol w:w="1980"/>
        <w:gridCol w:w="1800"/>
      </w:tblGrid>
      <w:tr w:rsidR="0038294E" w:rsidRPr="00A32AF4" w:rsidTr="004848EA">
        <w:tc>
          <w:tcPr>
            <w:tcW w:w="2940" w:type="dxa"/>
            <w:tcBorders>
              <w:top w:val="single" w:sz="4" w:space="0" w:color="auto"/>
              <w:left w:val="single" w:sz="4" w:space="0" w:color="auto"/>
              <w:bottom w:val="single" w:sz="4" w:space="0" w:color="auto"/>
              <w:right w:val="nil"/>
            </w:tcBorders>
            <w:shd w:val="clear" w:color="auto" w:fill="C6D9F1" w:themeFill="text2" w:themeFillTint="33"/>
            <w:noWrap/>
            <w:tcMar>
              <w:top w:w="113" w:type="dxa"/>
              <w:bottom w:w="113" w:type="dxa"/>
            </w:tcMar>
            <w:vAlign w:val="center"/>
            <w:hideMark/>
          </w:tcPr>
          <w:p w:rsidR="00CD1430" w:rsidRPr="00A32AF4" w:rsidRDefault="00CD1430" w:rsidP="00DC0553">
            <w:pPr>
              <w:keepNext/>
              <w:keepLines/>
              <w:jc w:val="center"/>
              <w:rPr>
                <w:b/>
                <w:bCs/>
                <w:sz w:val="18"/>
                <w:szCs w:val="18"/>
              </w:rPr>
            </w:pPr>
            <w:r w:rsidRPr="00A32AF4">
              <w:rPr>
                <w:rFonts w:eastAsia="SimSun"/>
                <w:b/>
                <w:bCs/>
                <w:sz w:val="18"/>
              </w:rPr>
              <w:t>Résultats escomptés</w:t>
            </w:r>
          </w:p>
        </w:tc>
        <w:tc>
          <w:tcPr>
            <w:tcW w:w="2620" w:type="dxa"/>
            <w:tcBorders>
              <w:top w:val="single" w:sz="4" w:space="0" w:color="auto"/>
              <w:left w:val="nil"/>
              <w:bottom w:val="single" w:sz="4" w:space="0" w:color="auto"/>
              <w:right w:val="nil"/>
            </w:tcBorders>
            <w:shd w:val="clear" w:color="auto" w:fill="C6D9F1" w:themeFill="text2" w:themeFillTint="33"/>
            <w:noWrap/>
            <w:tcMar>
              <w:top w:w="113" w:type="dxa"/>
              <w:bottom w:w="113" w:type="dxa"/>
            </w:tcMar>
            <w:vAlign w:val="center"/>
            <w:hideMark/>
          </w:tcPr>
          <w:p w:rsidR="00CD1430" w:rsidRPr="00A32AF4" w:rsidRDefault="00CD1430" w:rsidP="00DC0553">
            <w:pPr>
              <w:keepNext/>
              <w:keepLines/>
              <w:jc w:val="center"/>
              <w:rPr>
                <w:b/>
                <w:bCs/>
                <w:sz w:val="18"/>
                <w:szCs w:val="18"/>
              </w:rPr>
            </w:pPr>
            <w:r w:rsidRPr="00A32AF4">
              <w:rPr>
                <w:rFonts w:eastAsia="SimSun"/>
                <w:b/>
                <w:bCs/>
                <w:sz w:val="18"/>
              </w:rPr>
              <w:t>Indicateurs d</w:t>
            </w:r>
            <w:r w:rsidR="00E2055A" w:rsidRPr="00A32AF4">
              <w:rPr>
                <w:rFonts w:eastAsia="SimSun"/>
                <w:b/>
                <w:bCs/>
                <w:sz w:val="18"/>
              </w:rPr>
              <w:t>’</w:t>
            </w:r>
            <w:r w:rsidRPr="00A32AF4">
              <w:rPr>
                <w:rFonts w:eastAsia="SimSun"/>
                <w:b/>
                <w:bCs/>
                <w:sz w:val="18"/>
              </w:rPr>
              <w:t>exécution</w:t>
            </w:r>
          </w:p>
        </w:tc>
        <w:tc>
          <w:tcPr>
            <w:tcW w:w="1980" w:type="dxa"/>
            <w:tcBorders>
              <w:top w:val="single" w:sz="4" w:space="0" w:color="auto"/>
              <w:left w:val="nil"/>
              <w:bottom w:val="single" w:sz="4" w:space="0" w:color="auto"/>
              <w:right w:val="nil"/>
            </w:tcBorders>
            <w:shd w:val="clear" w:color="auto" w:fill="C6D9F1" w:themeFill="text2" w:themeFillTint="33"/>
            <w:noWrap/>
            <w:tcMar>
              <w:top w:w="113" w:type="dxa"/>
              <w:bottom w:w="113" w:type="dxa"/>
            </w:tcMar>
            <w:vAlign w:val="center"/>
            <w:hideMark/>
          </w:tcPr>
          <w:p w:rsidR="00CD1430" w:rsidRPr="00A32AF4" w:rsidRDefault="00CD1430" w:rsidP="00DC0553">
            <w:pPr>
              <w:keepNext/>
              <w:keepLines/>
              <w:jc w:val="center"/>
              <w:rPr>
                <w:b/>
                <w:bCs/>
                <w:sz w:val="18"/>
                <w:szCs w:val="18"/>
              </w:rPr>
            </w:pPr>
            <w:r w:rsidRPr="00A32AF4">
              <w:rPr>
                <w:rFonts w:eastAsia="SimSun"/>
                <w:b/>
                <w:bCs/>
                <w:sz w:val="18"/>
              </w:rPr>
              <w:t>Niveaux de référence</w:t>
            </w:r>
          </w:p>
        </w:tc>
        <w:tc>
          <w:tcPr>
            <w:tcW w:w="1800" w:type="dxa"/>
            <w:tcBorders>
              <w:top w:val="single" w:sz="4" w:space="0" w:color="auto"/>
              <w:left w:val="nil"/>
              <w:bottom w:val="single" w:sz="4" w:space="0" w:color="auto"/>
              <w:right w:val="single" w:sz="4" w:space="0" w:color="auto"/>
            </w:tcBorders>
            <w:shd w:val="clear" w:color="auto" w:fill="C6D9F1" w:themeFill="text2" w:themeFillTint="33"/>
            <w:noWrap/>
            <w:tcMar>
              <w:top w:w="113" w:type="dxa"/>
              <w:bottom w:w="113" w:type="dxa"/>
            </w:tcMar>
            <w:vAlign w:val="center"/>
            <w:hideMark/>
          </w:tcPr>
          <w:p w:rsidR="00CD1430" w:rsidRPr="00A32AF4" w:rsidRDefault="00CD1430" w:rsidP="00DC0553">
            <w:pPr>
              <w:keepNext/>
              <w:keepLines/>
              <w:jc w:val="center"/>
              <w:rPr>
                <w:b/>
                <w:bCs/>
                <w:sz w:val="18"/>
                <w:szCs w:val="18"/>
              </w:rPr>
            </w:pPr>
            <w:r w:rsidRPr="00A32AF4">
              <w:rPr>
                <w:rFonts w:eastAsia="SimSun"/>
                <w:b/>
                <w:bCs/>
                <w:sz w:val="18"/>
              </w:rPr>
              <w:t>Objectifs visés</w:t>
            </w:r>
          </w:p>
        </w:tc>
      </w:tr>
      <w:tr w:rsidR="0038294E" w:rsidRPr="00A32AF4" w:rsidTr="00AA1A15">
        <w:tc>
          <w:tcPr>
            <w:tcW w:w="2940" w:type="dxa"/>
            <w:vMerge w:val="restart"/>
            <w:tcBorders>
              <w:top w:val="nil"/>
              <w:left w:val="single" w:sz="4" w:space="0" w:color="auto"/>
              <w:bottom w:val="single" w:sz="4" w:space="0" w:color="000000"/>
              <w:right w:val="nil"/>
            </w:tcBorders>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 xml:space="preserve">IV.4 </w:t>
            </w:r>
            <w:r w:rsidR="00AA1A15" w:rsidRPr="00A32AF4">
              <w:rPr>
                <w:rFonts w:cs="Arial"/>
                <w:sz w:val="16"/>
                <w:szCs w:val="16"/>
              </w:rPr>
              <w:t>Amélioration de l</w:t>
            </w:r>
            <w:r w:rsidR="00E2055A" w:rsidRPr="00A32AF4">
              <w:rPr>
                <w:rFonts w:cs="Arial"/>
                <w:sz w:val="16"/>
                <w:szCs w:val="16"/>
              </w:rPr>
              <w:t>’</w:t>
            </w:r>
            <w:r w:rsidR="00AA1A15" w:rsidRPr="00A32AF4">
              <w:rPr>
                <w:rFonts w:cs="Arial"/>
                <w:sz w:val="16"/>
                <w:szCs w:val="16"/>
              </w:rPr>
              <w:t>infrastructure technique et du savoir pour les offices de propriété intellectuelle et les autres institutions de propriété intellectuelle, leur permettant de fournir à leurs parties prenantes des services améliorés (moins chers, plus rapides, de meilleure qualité) et d</w:t>
            </w:r>
            <w:r w:rsidR="00E2055A" w:rsidRPr="00A32AF4">
              <w:rPr>
                <w:rFonts w:cs="Arial"/>
                <w:sz w:val="16"/>
                <w:szCs w:val="16"/>
              </w:rPr>
              <w:t>’</w:t>
            </w:r>
            <w:r w:rsidR="00AA1A15" w:rsidRPr="00A32AF4">
              <w:rPr>
                <w:rFonts w:cs="Arial"/>
                <w:sz w:val="16"/>
                <w:szCs w:val="16"/>
              </w:rPr>
              <w:t>obtenir un meilleur résultat pour ce qui concerne l</w:t>
            </w:r>
            <w:r w:rsidR="00E2055A" w:rsidRPr="00A32AF4">
              <w:rPr>
                <w:rFonts w:cs="Arial"/>
                <w:sz w:val="16"/>
                <w:szCs w:val="16"/>
              </w:rPr>
              <w:t>’</w:t>
            </w:r>
            <w:r w:rsidR="00AA1A15" w:rsidRPr="00A32AF4">
              <w:rPr>
                <w:rFonts w:cs="Arial"/>
                <w:sz w:val="16"/>
                <w:szCs w:val="16"/>
              </w:rPr>
              <w:t>administration de la propriété intellectuelle</w:t>
            </w:r>
          </w:p>
        </w:tc>
        <w:tc>
          <w:tcPr>
            <w:tcW w:w="2620" w:type="dxa"/>
            <w:tcBorders>
              <w:top w:val="nil"/>
              <w:left w:val="nil"/>
              <w:bottom w:val="nil"/>
              <w:right w:val="nil"/>
            </w:tcBorders>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Nombre d</w:t>
            </w:r>
            <w:r w:rsidR="00E2055A" w:rsidRPr="00A32AF4">
              <w:rPr>
                <w:sz w:val="16"/>
                <w:szCs w:val="16"/>
              </w:rPr>
              <w:t>’</w:t>
            </w:r>
            <w:r w:rsidRPr="00A32AF4">
              <w:rPr>
                <w:sz w:val="16"/>
                <w:szCs w:val="16"/>
              </w:rPr>
              <w:t>offices utilisant les plates</w:t>
            </w:r>
            <w:r w:rsidR="00EB7F54" w:rsidRPr="00A32AF4">
              <w:rPr>
                <w:sz w:val="16"/>
                <w:szCs w:val="16"/>
              </w:rPr>
              <w:noBreakHyphen/>
            </w:r>
            <w:r w:rsidRPr="00A32AF4">
              <w:rPr>
                <w:sz w:val="16"/>
                <w:szCs w:val="16"/>
              </w:rPr>
              <w:t>formes d</w:t>
            </w:r>
            <w:r w:rsidR="00E2055A" w:rsidRPr="00A32AF4">
              <w:rPr>
                <w:sz w:val="16"/>
                <w:szCs w:val="16"/>
              </w:rPr>
              <w:t>’</w:t>
            </w:r>
            <w:r w:rsidRPr="00A32AF4">
              <w:rPr>
                <w:sz w:val="16"/>
                <w:szCs w:val="16"/>
              </w:rPr>
              <w:t>infrastructure de l</w:t>
            </w:r>
            <w:r w:rsidR="00E2055A" w:rsidRPr="00A32AF4">
              <w:rPr>
                <w:sz w:val="16"/>
                <w:szCs w:val="16"/>
              </w:rPr>
              <w:t>’</w:t>
            </w:r>
            <w:r w:rsidRPr="00A32AF4">
              <w:rPr>
                <w:sz w:val="16"/>
                <w:szCs w:val="16"/>
              </w:rPr>
              <w:t xml:space="preserve">OMPI </w:t>
            </w:r>
          </w:p>
        </w:tc>
        <w:tc>
          <w:tcPr>
            <w:tcW w:w="1980" w:type="dxa"/>
            <w:tcBorders>
              <w:top w:val="nil"/>
              <w:left w:val="nil"/>
              <w:bottom w:val="nil"/>
              <w:right w:val="nil"/>
            </w:tcBorders>
            <w:shd w:val="clear" w:color="000000" w:fill="FFFFFF"/>
            <w:tcMar>
              <w:top w:w="113" w:type="dxa"/>
              <w:bottom w:w="113" w:type="dxa"/>
            </w:tcMar>
            <w:hideMark/>
          </w:tcPr>
          <w:p w:rsidR="00F93B76" w:rsidRPr="00A32AF4" w:rsidRDefault="00CD1430" w:rsidP="00DC0553">
            <w:pPr>
              <w:rPr>
                <w:sz w:val="16"/>
                <w:szCs w:val="16"/>
              </w:rPr>
            </w:pPr>
            <w:r w:rsidRPr="00A32AF4">
              <w:rPr>
                <w:sz w:val="16"/>
                <w:szCs w:val="16"/>
              </w:rPr>
              <w:t>22 offices en mars 2015</w:t>
            </w:r>
          </w:p>
          <w:p w:rsidR="00F93B76" w:rsidRPr="00A32AF4" w:rsidRDefault="00204F66" w:rsidP="00DC0553">
            <w:pPr>
              <w:rPr>
                <w:sz w:val="16"/>
                <w:szCs w:val="16"/>
              </w:rPr>
            </w:pPr>
            <w:r w:rsidRPr="00A32AF4">
              <w:rPr>
                <w:sz w:val="16"/>
                <w:szCs w:val="16"/>
              </w:rPr>
              <w:t>Asie et Pacifique </w:t>
            </w:r>
            <w:r w:rsidR="00CD1430" w:rsidRPr="00A32AF4">
              <w:rPr>
                <w:sz w:val="16"/>
                <w:szCs w:val="16"/>
              </w:rPr>
              <w:t>: 12</w:t>
            </w:r>
          </w:p>
          <w:p w:rsidR="00F93B76" w:rsidRPr="00A32AF4" w:rsidRDefault="00204F66" w:rsidP="00DC0553">
            <w:pPr>
              <w:rPr>
                <w:sz w:val="16"/>
                <w:szCs w:val="16"/>
              </w:rPr>
            </w:pPr>
            <w:r w:rsidRPr="00A32AF4">
              <w:rPr>
                <w:sz w:val="16"/>
                <w:szCs w:val="16"/>
              </w:rPr>
              <w:t>Pays en transition </w:t>
            </w:r>
            <w:r w:rsidR="00CD1430" w:rsidRPr="00A32AF4">
              <w:rPr>
                <w:sz w:val="16"/>
                <w:szCs w:val="16"/>
              </w:rPr>
              <w:t>: 1</w:t>
            </w:r>
          </w:p>
          <w:p w:rsidR="00CD1430" w:rsidRPr="00A32AF4" w:rsidRDefault="00204F66" w:rsidP="00DC0553">
            <w:pPr>
              <w:rPr>
                <w:sz w:val="16"/>
                <w:szCs w:val="16"/>
              </w:rPr>
            </w:pPr>
            <w:r w:rsidRPr="00A32AF4">
              <w:rPr>
                <w:sz w:val="16"/>
                <w:szCs w:val="16"/>
              </w:rPr>
              <w:t>Pays développés</w:t>
            </w:r>
            <w:r w:rsidR="00CD1430" w:rsidRPr="00A32AF4">
              <w:rPr>
                <w:sz w:val="16"/>
                <w:szCs w:val="16"/>
              </w:rPr>
              <w:t> : 9</w:t>
            </w:r>
          </w:p>
        </w:tc>
        <w:tc>
          <w:tcPr>
            <w:tcW w:w="1800" w:type="dxa"/>
            <w:tcBorders>
              <w:top w:val="nil"/>
              <w:left w:val="nil"/>
              <w:bottom w:val="nil"/>
              <w:right w:val="single" w:sz="4" w:space="0" w:color="auto"/>
            </w:tcBorders>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29 offices fin 2017</w:t>
            </w:r>
          </w:p>
        </w:tc>
      </w:tr>
      <w:tr w:rsidR="0038294E" w:rsidRPr="00A32AF4" w:rsidTr="00AA1A15">
        <w:tc>
          <w:tcPr>
            <w:tcW w:w="2940" w:type="dxa"/>
            <w:vMerge/>
            <w:tcBorders>
              <w:top w:val="nil"/>
              <w:left w:val="single" w:sz="4" w:space="0" w:color="auto"/>
              <w:bottom w:val="single" w:sz="4" w:space="0" w:color="000000"/>
              <w:right w:val="nil"/>
            </w:tcBorders>
            <w:tcMar>
              <w:top w:w="113" w:type="dxa"/>
              <w:bottom w:w="113" w:type="dxa"/>
            </w:tcMar>
            <w:vAlign w:val="center"/>
            <w:hideMark/>
          </w:tcPr>
          <w:p w:rsidR="00CD1430" w:rsidRPr="00A32AF4" w:rsidRDefault="00CD1430" w:rsidP="00DC0553">
            <w:pPr>
              <w:rPr>
                <w:sz w:val="16"/>
                <w:szCs w:val="16"/>
              </w:rPr>
            </w:pPr>
          </w:p>
        </w:tc>
        <w:tc>
          <w:tcPr>
            <w:tcW w:w="2620" w:type="dxa"/>
            <w:tcBorders>
              <w:top w:val="nil"/>
              <w:left w:val="nil"/>
              <w:bottom w:val="nil"/>
              <w:right w:val="nil"/>
            </w:tcBorders>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Niveau de service moyen des offices de propriété intellectuelle bénéficiant d</w:t>
            </w:r>
            <w:r w:rsidR="00E2055A" w:rsidRPr="00A32AF4">
              <w:rPr>
                <w:sz w:val="16"/>
                <w:szCs w:val="16"/>
              </w:rPr>
              <w:t>’</w:t>
            </w:r>
            <w:r w:rsidRPr="00A32AF4">
              <w:rPr>
                <w:sz w:val="16"/>
                <w:szCs w:val="16"/>
              </w:rPr>
              <w:t>une assistance (de</w:t>
            </w:r>
            <w:r w:rsidR="00AA1A15" w:rsidRPr="00A32AF4">
              <w:rPr>
                <w:sz w:val="16"/>
                <w:szCs w:val="16"/>
              </w:rPr>
              <w:t> </w:t>
            </w:r>
            <w:r w:rsidRPr="00A32AF4">
              <w:rPr>
                <w:sz w:val="16"/>
                <w:szCs w:val="16"/>
              </w:rPr>
              <w:t>1 à 5)</w:t>
            </w:r>
          </w:p>
        </w:tc>
        <w:tc>
          <w:tcPr>
            <w:tcW w:w="1980" w:type="dxa"/>
            <w:tcBorders>
              <w:top w:val="nil"/>
              <w:left w:val="nil"/>
              <w:bottom w:val="nil"/>
              <w:right w:val="nil"/>
            </w:tcBorders>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2,9 fin 2015</w:t>
            </w:r>
          </w:p>
        </w:tc>
        <w:tc>
          <w:tcPr>
            <w:tcW w:w="1800" w:type="dxa"/>
            <w:tcBorders>
              <w:top w:val="nil"/>
              <w:left w:val="nil"/>
              <w:bottom w:val="nil"/>
              <w:right w:val="single" w:sz="4" w:space="0" w:color="auto"/>
            </w:tcBorders>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3 fin 2017</w:t>
            </w:r>
          </w:p>
        </w:tc>
      </w:tr>
      <w:tr w:rsidR="0038294E" w:rsidRPr="00A32AF4" w:rsidTr="00AA1A15">
        <w:tc>
          <w:tcPr>
            <w:tcW w:w="2940" w:type="dxa"/>
            <w:vMerge/>
            <w:tcBorders>
              <w:top w:val="nil"/>
              <w:left w:val="single" w:sz="4" w:space="0" w:color="auto"/>
              <w:bottom w:val="single" w:sz="4" w:space="0" w:color="000000"/>
              <w:right w:val="nil"/>
            </w:tcBorders>
            <w:tcMar>
              <w:top w:w="113" w:type="dxa"/>
              <w:bottom w:w="113" w:type="dxa"/>
            </w:tcMar>
            <w:vAlign w:val="center"/>
            <w:hideMark/>
          </w:tcPr>
          <w:p w:rsidR="00CD1430" w:rsidRPr="00A32AF4" w:rsidRDefault="00CD1430" w:rsidP="00DC0553">
            <w:pPr>
              <w:rPr>
                <w:sz w:val="16"/>
                <w:szCs w:val="16"/>
              </w:rPr>
            </w:pPr>
          </w:p>
        </w:tc>
        <w:tc>
          <w:tcPr>
            <w:tcW w:w="2620" w:type="dxa"/>
            <w:tcBorders>
              <w:top w:val="nil"/>
              <w:left w:val="nil"/>
              <w:bottom w:val="single" w:sz="4" w:space="0" w:color="auto"/>
              <w:right w:val="nil"/>
            </w:tcBorders>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Nombre d</w:t>
            </w:r>
            <w:r w:rsidR="00E2055A" w:rsidRPr="00A32AF4">
              <w:rPr>
                <w:sz w:val="16"/>
                <w:szCs w:val="16"/>
              </w:rPr>
              <w:t>’</w:t>
            </w:r>
            <w:r w:rsidRPr="00A32AF4">
              <w:rPr>
                <w:sz w:val="16"/>
                <w:szCs w:val="16"/>
              </w:rPr>
              <w:t>organismes de gestion collective dans les pays en développement et les PMA participant à des réseaux régionaux et mondiaux avec le concours de l</w:t>
            </w:r>
            <w:r w:rsidR="00E2055A" w:rsidRPr="00A32AF4">
              <w:rPr>
                <w:sz w:val="16"/>
                <w:szCs w:val="16"/>
              </w:rPr>
              <w:t>’</w:t>
            </w:r>
            <w:r w:rsidRPr="00A32AF4">
              <w:rPr>
                <w:sz w:val="16"/>
                <w:szCs w:val="16"/>
              </w:rPr>
              <w:t>OMPI</w:t>
            </w:r>
          </w:p>
        </w:tc>
        <w:tc>
          <w:tcPr>
            <w:tcW w:w="1980" w:type="dxa"/>
            <w:tcBorders>
              <w:top w:val="nil"/>
              <w:left w:val="nil"/>
              <w:bottom w:val="single" w:sz="4" w:space="0" w:color="auto"/>
              <w:right w:val="nil"/>
            </w:tcBorders>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Zéro fin 2015</w:t>
            </w:r>
          </w:p>
        </w:tc>
        <w:tc>
          <w:tcPr>
            <w:tcW w:w="1800" w:type="dxa"/>
            <w:tcBorders>
              <w:top w:val="nil"/>
              <w:left w:val="nil"/>
              <w:bottom w:val="single" w:sz="4" w:space="0" w:color="auto"/>
              <w:right w:val="single" w:sz="4" w:space="0" w:color="auto"/>
            </w:tcBorders>
            <w:shd w:val="clear" w:color="000000" w:fill="FFFFFF"/>
            <w:tcMar>
              <w:top w:w="113" w:type="dxa"/>
              <w:bottom w:w="113" w:type="dxa"/>
            </w:tcMar>
            <w:hideMark/>
          </w:tcPr>
          <w:p w:rsidR="00CD1430" w:rsidRPr="00A32AF4" w:rsidRDefault="00CD1430" w:rsidP="00DC0553">
            <w:pPr>
              <w:rPr>
                <w:sz w:val="16"/>
                <w:szCs w:val="16"/>
              </w:rPr>
            </w:pPr>
            <w:r w:rsidRPr="00A32AF4">
              <w:rPr>
                <w:sz w:val="16"/>
                <w:szCs w:val="16"/>
              </w:rPr>
              <w:t>7 fin 2017</w:t>
            </w:r>
          </w:p>
        </w:tc>
      </w:tr>
    </w:tbl>
    <w:p w:rsidR="00F93B76" w:rsidRPr="00A32AF4" w:rsidRDefault="00F93B76" w:rsidP="00DC0553"/>
    <w:p w:rsidR="00F93B76" w:rsidRPr="00A32AF4" w:rsidRDefault="00F93B76" w:rsidP="00DC0553"/>
    <w:p w:rsidR="00F93B76" w:rsidRPr="00A32AF4" w:rsidRDefault="00DC2AF7" w:rsidP="00DC0553">
      <w:pPr>
        <w:rPr>
          <w:lang w:eastAsia="da-DK"/>
        </w:rPr>
      </w:pPr>
      <w:r w:rsidRPr="00A32AF4">
        <w:rPr>
          <w:lang w:eastAsia="da-DK"/>
        </w:rPr>
        <w:t>RESSOURCES ALLOUÉES AU PROGRAMME</w:t>
      </w:r>
      <w:r w:rsidR="00AA1A15" w:rsidRPr="00A32AF4">
        <w:rPr>
          <w:lang w:eastAsia="da-DK"/>
        </w:rPr>
        <w:t xml:space="preserve"> 15</w:t>
      </w:r>
    </w:p>
    <w:p w:rsidR="00F93B76" w:rsidRPr="00A32AF4" w:rsidRDefault="00F93B76" w:rsidP="00DC0553">
      <w:pPr>
        <w:rPr>
          <w:lang w:eastAsia="da-DK"/>
        </w:rPr>
      </w:pPr>
    </w:p>
    <w:p w:rsidR="00E2055A" w:rsidRPr="00A32AF4" w:rsidRDefault="003C26E9" w:rsidP="00DC0553">
      <w:pPr>
        <w:numPr>
          <w:ilvl w:val="0"/>
          <w:numId w:val="26"/>
        </w:numPr>
        <w:shd w:val="clear" w:color="auto" w:fill="FFFFFF"/>
        <w:tabs>
          <w:tab w:val="left" w:pos="709"/>
        </w:tabs>
        <w:suppressAutoHyphens/>
        <w:ind w:left="0" w:firstLine="0"/>
        <w:jc w:val="both"/>
        <w:rPr>
          <w:rFonts w:cs="Arial"/>
        </w:rPr>
      </w:pPr>
      <w:r w:rsidRPr="00A32AF4">
        <w:rPr>
          <w:rFonts w:cs="Arial"/>
        </w:rPr>
        <w:t>L</w:t>
      </w:r>
      <w:r w:rsidR="00E2055A" w:rsidRPr="00A32AF4">
        <w:rPr>
          <w:rFonts w:cs="Arial"/>
        </w:rPr>
        <w:t>’</w:t>
      </w:r>
      <w:r w:rsidRPr="00A32AF4">
        <w:rPr>
          <w:rFonts w:cs="Arial"/>
        </w:rPr>
        <w:t xml:space="preserve">augmentation des ressources globales (dépenses de </w:t>
      </w:r>
      <w:proofErr w:type="gramStart"/>
      <w:r w:rsidRPr="00A32AF4">
        <w:rPr>
          <w:rFonts w:cs="Arial"/>
        </w:rPr>
        <w:t>personnel et autres dépenses</w:t>
      </w:r>
      <w:proofErr w:type="gramEnd"/>
      <w:r w:rsidRPr="00A32AF4">
        <w:rPr>
          <w:rFonts w:cs="Arial"/>
        </w:rPr>
        <w:t>) allouées en</w:t>
      </w:r>
      <w:r w:rsidR="00FD43E3" w:rsidRPr="00A32AF4">
        <w:rPr>
          <w:rFonts w:cs="Arial"/>
        </w:rPr>
        <w:t> </w:t>
      </w:r>
      <w:r w:rsidR="00AA1A15" w:rsidRPr="00A32AF4">
        <w:rPr>
          <w:rFonts w:cs="Arial"/>
        </w:rPr>
        <w:t>2016</w:t>
      </w:r>
      <w:r w:rsidR="00EB7F54" w:rsidRPr="00A32AF4">
        <w:rPr>
          <w:rFonts w:cs="Arial"/>
        </w:rPr>
        <w:noBreakHyphen/>
      </w:r>
      <w:r w:rsidRPr="00A32AF4">
        <w:rPr>
          <w:rFonts w:cs="Arial"/>
        </w:rPr>
        <w:t>20</w:t>
      </w:r>
      <w:r w:rsidR="00AA1A15" w:rsidRPr="00A32AF4">
        <w:rPr>
          <w:rFonts w:cs="Arial"/>
        </w:rPr>
        <w:t xml:space="preserve">17 </w:t>
      </w:r>
      <w:r w:rsidRPr="00A32AF4">
        <w:rPr>
          <w:rFonts w:cs="Arial"/>
        </w:rPr>
        <w:t xml:space="preserve">par rapport au budget </w:t>
      </w:r>
      <w:r w:rsidR="00AA1A15" w:rsidRPr="00A32AF4">
        <w:rPr>
          <w:rFonts w:cs="Arial"/>
        </w:rPr>
        <w:t>2014</w:t>
      </w:r>
      <w:r w:rsidR="00EB7F54" w:rsidRPr="00A32AF4">
        <w:rPr>
          <w:rFonts w:cs="Arial"/>
        </w:rPr>
        <w:noBreakHyphen/>
      </w:r>
      <w:r w:rsidRPr="00A32AF4">
        <w:rPr>
          <w:rFonts w:cs="Arial"/>
        </w:rPr>
        <w:t>20</w:t>
      </w:r>
      <w:r w:rsidR="00AA1A15" w:rsidRPr="00A32AF4">
        <w:rPr>
          <w:rFonts w:cs="Arial"/>
        </w:rPr>
        <w:t xml:space="preserve">15 </w:t>
      </w:r>
      <w:r w:rsidRPr="00A32AF4">
        <w:rPr>
          <w:rFonts w:cs="Arial"/>
        </w:rPr>
        <w:t xml:space="preserve">après virements découle du transfert des responsabilités pour la conception et la mise en œuvre de la </w:t>
      </w:r>
      <w:r w:rsidR="00AA1A15" w:rsidRPr="00A32AF4">
        <w:rPr>
          <w:rFonts w:cs="Arial"/>
        </w:rPr>
        <w:t>plat</w:t>
      </w:r>
      <w:r w:rsidRPr="00A32AF4">
        <w:rPr>
          <w:rFonts w:cs="Arial"/>
        </w:rPr>
        <w:t>e</w:t>
      </w:r>
      <w:r w:rsidR="00EB7F54" w:rsidRPr="00A32AF4">
        <w:rPr>
          <w:rFonts w:cs="Arial"/>
        </w:rPr>
        <w:noBreakHyphen/>
      </w:r>
      <w:r w:rsidR="00AA1A15" w:rsidRPr="00A32AF4">
        <w:rPr>
          <w:rFonts w:cs="Arial"/>
        </w:rPr>
        <w:t>form</w:t>
      </w:r>
      <w:r w:rsidRPr="00A32AF4">
        <w:rPr>
          <w:rFonts w:cs="Arial"/>
        </w:rPr>
        <w:t xml:space="preserve">e logicielle pour </w:t>
      </w:r>
      <w:r w:rsidR="00D20772" w:rsidRPr="00A32AF4">
        <w:rPr>
          <w:rFonts w:cs="Arial"/>
        </w:rPr>
        <w:t xml:space="preserve">le </w:t>
      </w:r>
      <w:r w:rsidRPr="00A32AF4">
        <w:rPr>
          <w:rFonts w:cs="Arial"/>
        </w:rPr>
        <w:t>Réseau du droit d</w:t>
      </w:r>
      <w:r w:rsidR="00E2055A" w:rsidRPr="00A32AF4">
        <w:rPr>
          <w:rFonts w:cs="Arial"/>
        </w:rPr>
        <w:t>’</w:t>
      </w:r>
      <w:r w:rsidRPr="00A32AF4">
        <w:rPr>
          <w:rFonts w:cs="Arial"/>
        </w:rPr>
        <w:t>auteur et l</w:t>
      </w:r>
      <w:r w:rsidR="00E2055A" w:rsidRPr="00A32AF4">
        <w:rPr>
          <w:rFonts w:cs="Arial"/>
        </w:rPr>
        <w:t>’</w:t>
      </w:r>
      <w:r w:rsidRPr="00A32AF4">
        <w:rPr>
          <w:rFonts w:cs="Arial"/>
        </w:rPr>
        <w:t>appui connexe aux organisations de gestion collective depuis le programme </w:t>
      </w:r>
      <w:r w:rsidR="00AA1A15" w:rsidRPr="00A32AF4">
        <w:rPr>
          <w:rFonts w:cs="Arial"/>
        </w:rPr>
        <w:t>3 (</w:t>
      </w:r>
      <w:r w:rsidRPr="00A32AF4">
        <w:rPr>
          <w:rFonts w:cs="Arial"/>
        </w:rPr>
        <w:t>Droit d</w:t>
      </w:r>
      <w:r w:rsidR="00E2055A" w:rsidRPr="00A32AF4">
        <w:rPr>
          <w:rFonts w:cs="Arial"/>
        </w:rPr>
        <w:t>’</w:t>
      </w:r>
      <w:r w:rsidRPr="00A32AF4">
        <w:rPr>
          <w:rFonts w:cs="Arial"/>
        </w:rPr>
        <w:t>auteur et droits connexes</w:t>
      </w:r>
      <w:r w:rsidR="00AA1A15" w:rsidRPr="00A32AF4">
        <w:rPr>
          <w:rFonts w:cs="Arial"/>
        </w:rPr>
        <w:t xml:space="preserve">). </w:t>
      </w:r>
      <w:r w:rsidR="009F0B72" w:rsidRPr="00A32AF4">
        <w:rPr>
          <w:rFonts w:cs="Arial"/>
        </w:rPr>
        <w:t xml:space="preserve"> Cette augmentation procède en outre des ressources en personnel supplémentaires réaffectées du programme </w:t>
      </w:r>
      <w:r w:rsidR="00AA1A15" w:rsidRPr="00A32AF4">
        <w:rPr>
          <w:rFonts w:cs="Arial"/>
        </w:rPr>
        <w:t xml:space="preserve">12 </w:t>
      </w:r>
      <w:r w:rsidR="009F0B72" w:rsidRPr="00A32AF4">
        <w:rPr>
          <w:rFonts w:cs="Arial"/>
        </w:rPr>
        <w:t>pour renforcer l</w:t>
      </w:r>
      <w:r w:rsidR="00E2055A" w:rsidRPr="00A32AF4">
        <w:rPr>
          <w:rFonts w:cs="Arial"/>
        </w:rPr>
        <w:t>’</w:t>
      </w:r>
      <w:r w:rsidR="009F0B72" w:rsidRPr="00A32AF4">
        <w:rPr>
          <w:rFonts w:cs="Arial"/>
        </w:rPr>
        <w:t>appui aux offices de propriété intellectuelle au niveau mondial</w:t>
      </w:r>
      <w:r w:rsidR="00AA1A15" w:rsidRPr="00A32AF4">
        <w:rPr>
          <w:rFonts w:cs="Arial"/>
        </w:rPr>
        <w:t>.</w:t>
      </w:r>
    </w:p>
    <w:p w:rsidR="00F93B76" w:rsidRPr="00A32AF4" w:rsidRDefault="00F93B76" w:rsidP="00DC0553">
      <w:pPr>
        <w:rPr>
          <w:lang w:eastAsia="da-DK"/>
        </w:rPr>
      </w:pPr>
    </w:p>
    <w:p w:rsidR="00F93B76" w:rsidRPr="00A32AF4" w:rsidRDefault="00F93B76" w:rsidP="00DC0553">
      <w:pPr>
        <w:rPr>
          <w:lang w:eastAsia="da-DK"/>
        </w:rPr>
      </w:pPr>
    </w:p>
    <w:p w:rsidR="00F93B76" w:rsidRPr="00A32AF4" w:rsidRDefault="00AA1A15" w:rsidP="00DC0553">
      <w:pPr>
        <w:keepNext/>
        <w:keepLines/>
        <w:autoSpaceDE w:val="0"/>
        <w:autoSpaceDN w:val="0"/>
        <w:jc w:val="center"/>
        <w:rPr>
          <w:rFonts w:cs="Arial"/>
          <w:b/>
        </w:rPr>
      </w:pPr>
      <w:r w:rsidRPr="00A32AF4">
        <w:rPr>
          <w:rFonts w:cs="Arial"/>
          <w:b/>
        </w:rPr>
        <w:t>Programme 15 : ressources par résultat</w:t>
      </w:r>
    </w:p>
    <w:p w:rsidR="00F93B76" w:rsidRPr="00A32AF4" w:rsidRDefault="00AA1A15" w:rsidP="00DC0553">
      <w:pPr>
        <w:keepNext/>
        <w:keepLines/>
        <w:autoSpaceDE w:val="0"/>
        <w:autoSpaceDN w:val="0"/>
        <w:jc w:val="center"/>
        <w:rPr>
          <w:rFonts w:cs="Arial"/>
          <w:i/>
        </w:rPr>
      </w:pPr>
      <w:r w:rsidRPr="00A32AF4">
        <w:rPr>
          <w:rFonts w:cs="Arial"/>
          <w:i/>
        </w:rPr>
        <w:t>(</w:t>
      </w:r>
      <w:proofErr w:type="gramStart"/>
      <w:r w:rsidRPr="00A32AF4">
        <w:rPr>
          <w:rFonts w:cs="Arial"/>
          <w:i/>
        </w:rPr>
        <w:t>en</w:t>
      </w:r>
      <w:proofErr w:type="gramEnd"/>
      <w:r w:rsidRPr="00A32AF4">
        <w:rPr>
          <w:rFonts w:cs="Arial"/>
          <w:i/>
        </w:rPr>
        <w:t xml:space="preserve"> milliers de francs suisses)</w:t>
      </w:r>
    </w:p>
    <w:p w:rsidR="00AA1A15" w:rsidRPr="00A32AF4" w:rsidRDefault="00AA1A15" w:rsidP="00DC0553">
      <w:pPr>
        <w:keepNext/>
      </w:pPr>
    </w:p>
    <w:tbl>
      <w:tblPr>
        <w:tblW w:w="8980" w:type="dxa"/>
        <w:tblInd w:w="55" w:type="dxa"/>
        <w:tblCellMar>
          <w:left w:w="70" w:type="dxa"/>
          <w:right w:w="70" w:type="dxa"/>
        </w:tblCellMar>
        <w:tblLook w:val="04A0" w:firstRow="1" w:lastRow="0" w:firstColumn="1" w:lastColumn="0" w:noHBand="0" w:noVBand="1"/>
      </w:tblPr>
      <w:tblGrid>
        <w:gridCol w:w="518"/>
        <w:gridCol w:w="4502"/>
        <w:gridCol w:w="1260"/>
        <w:gridCol w:w="1440"/>
        <w:gridCol w:w="1260"/>
      </w:tblGrid>
      <w:tr w:rsidR="00AA1A15" w:rsidRPr="00A32AF4" w:rsidTr="00AA1A15">
        <w:tc>
          <w:tcPr>
            <w:tcW w:w="5020" w:type="dxa"/>
            <w:gridSpan w:val="2"/>
            <w:tcBorders>
              <w:top w:val="single" w:sz="4" w:space="0" w:color="auto"/>
              <w:left w:val="single" w:sz="4" w:space="0" w:color="auto"/>
              <w:bottom w:val="single" w:sz="4" w:space="0" w:color="auto"/>
              <w:right w:val="single" w:sz="4" w:space="0" w:color="000000"/>
            </w:tcBorders>
            <w:shd w:val="clear" w:color="000000" w:fill="C5D9F1"/>
            <w:noWrap/>
            <w:tcMar>
              <w:top w:w="113" w:type="dxa"/>
              <w:bottom w:w="113" w:type="dxa"/>
            </w:tcMar>
            <w:vAlign w:val="center"/>
            <w:hideMark/>
          </w:tcPr>
          <w:p w:rsidR="00AA1A15" w:rsidRPr="00A32AF4" w:rsidRDefault="00AA1A15" w:rsidP="00DC0553">
            <w:pPr>
              <w:keepNext/>
              <w:jc w:val="center"/>
              <w:rPr>
                <w:rFonts w:cs="Arial"/>
                <w:i/>
                <w:iCs/>
                <w:sz w:val="16"/>
                <w:szCs w:val="16"/>
                <w:lang w:eastAsia="fr-FR"/>
              </w:rPr>
            </w:pPr>
            <w:r w:rsidRPr="00A32AF4">
              <w:rPr>
                <w:rFonts w:cs="Arial"/>
                <w:i/>
                <w:iCs/>
                <w:sz w:val="16"/>
                <w:szCs w:val="16"/>
                <w:lang w:eastAsia="fr-FR"/>
              </w:rPr>
              <w:t xml:space="preserve">Numéro et description du résultat escompté </w:t>
            </w:r>
          </w:p>
        </w:tc>
        <w:tc>
          <w:tcPr>
            <w:tcW w:w="126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AA1A15" w:rsidRPr="00A32AF4" w:rsidRDefault="00AA1A15" w:rsidP="00DC0553">
            <w:pPr>
              <w:keepNext/>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2014</w:t>
            </w:r>
            <w:r w:rsidR="00EB7F54" w:rsidRPr="00A32AF4">
              <w:rPr>
                <w:rFonts w:cs="Arial"/>
                <w:i/>
                <w:iCs/>
                <w:sz w:val="16"/>
                <w:szCs w:val="16"/>
                <w:lang w:eastAsia="fr-FR"/>
              </w:rPr>
              <w:noBreakHyphen/>
            </w:r>
            <w:r w:rsidRPr="00A32AF4">
              <w:rPr>
                <w:rFonts w:cs="Arial"/>
                <w:i/>
                <w:iCs/>
                <w:sz w:val="16"/>
                <w:szCs w:val="16"/>
                <w:lang w:eastAsia="fr-FR"/>
              </w:rPr>
              <w:t>2015 approuvé</w:t>
            </w:r>
          </w:p>
        </w:tc>
        <w:tc>
          <w:tcPr>
            <w:tcW w:w="144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AA1A15" w:rsidRPr="00A32AF4" w:rsidRDefault="00AA1A15" w:rsidP="00DC0553">
            <w:pPr>
              <w:keepNext/>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2014</w:t>
            </w:r>
            <w:r w:rsidR="00EB7F54" w:rsidRPr="00A32AF4">
              <w:rPr>
                <w:rFonts w:cs="Arial"/>
                <w:i/>
                <w:iCs/>
                <w:sz w:val="16"/>
                <w:szCs w:val="16"/>
                <w:lang w:eastAsia="fr-FR"/>
              </w:rPr>
              <w:noBreakHyphen/>
            </w:r>
            <w:r w:rsidRPr="00A32AF4">
              <w:rPr>
                <w:rFonts w:cs="Arial"/>
                <w:i/>
                <w:iCs/>
                <w:sz w:val="16"/>
                <w:szCs w:val="16"/>
                <w:lang w:eastAsia="fr-FR"/>
              </w:rPr>
              <w:t>2015 après virements</w:t>
            </w:r>
          </w:p>
        </w:tc>
        <w:tc>
          <w:tcPr>
            <w:tcW w:w="126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AA1A15" w:rsidRPr="00A32AF4" w:rsidRDefault="00AA1A15" w:rsidP="00DC0553">
            <w:pPr>
              <w:keepNext/>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2016</w:t>
            </w:r>
            <w:r w:rsidR="00EB7F54" w:rsidRPr="00A32AF4">
              <w:rPr>
                <w:rFonts w:cs="Arial"/>
                <w:i/>
                <w:iCs/>
                <w:sz w:val="16"/>
                <w:szCs w:val="16"/>
                <w:lang w:eastAsia="fr-FR"/>
              </w:rPr>
              <w:noBreakHyphen/>
            </w:r>
            <w:r w:rsidRPr="00A32AF4">
              <w:rPr>
                <w:rFonts w:cs="Arial"/>
                <w:i/>
                <w:iCs/>
                <w:sz w:val="16"/>
                <w:szCs w:val="16"/>
                <w:lang w:eastAsia="fr-FR"/>
              </w:rPr>
              <w:t>2017 proposé</w:t>
            </w:r>
          </w:p>
        </w:tc>
      </w:tr>
      <w:tr w:rsidR="00AA1A15" w:rsidRPr="00A32AF4" w:rsidTr="00AA1A15">
        <w:tc>
          <w:tcPr>
            <w:tcW w:w="518" w:type="dxa"/>
            <w:tcBorders>
              <w:top w:val="nil"/>
              <w:left w:val="single" w:sz="4" w:space="0" w:color="auto"/>
              <w:bottom w:val="nil"/>
              <w:right w:val="nil"/>
            </w:tcBorders>
            <w:shd w:val="clear" w:color="auto" w:fill="auto"/>
            <w:noWrap/>
            <w:tcMar>
              <w:top w:w="113" w:type="dxa"/>
              <w:bottom w:w="113" w:type="dxa"/>
            </w:tcMar>
            <w:vAlign w:val="center"/>
            <w:hideMark/>
          </w:tcPr>
          <w:p w:rsidR="00AA1A15" w:rsidRPr="00A32AF4" w:rsidRDefault="00AA1A15" w:rsidP="00DC0553">
            <w:pPr>
              <w:keepNext/>
              <w:rPr>
                <w:rFonts w:cs="Arial"/>
                <w:sz w:val="16"/>
                <w:szCs w:val="16"/>
                <w:lang w:eastAsia="fr-FR"/>
              </w:rPr>
            </w:pPr>
            <w:r w:rsidRPr="00A32AF4">
              <w:rPr>
                <w:rFonts w:cs="Arial"/>
                <w:sz w:val="16"/>
                <w:szCs w:val="16"/>
                <w:lang w:eastAsia="fr-FR"/>
              </w:rPr>
              <w:t>IV.4</w:t>
            </w:r>
          </w:p>
        </w:tc>
        <w:tc>
          <w:tcPr>
            <w:tcW w:w="4502" w:type="dxa"/>
            <w:tcBorders>
              <w:top w:val="nil"/>
              <w:left w:val="nil"/>
              <w:bottom w:val="nil"/>
              <w:right w:val="nil"/>
            </w:tcBorders>
            <w:shd w:val="clear" w:color="auto" w:fill="auto"/>
            <w:tcMar>
              <w:top w:w="113" w:type="dxa"/>
              <w:bottom w:w="113" w:type="dxa"/>
            </w:tcMar>
            <w:vAlign w:val="center"/>
            <w:hideMark/>
          </w:tcPr>
          <w:p w:rsidR="00AA1A15" w:rsidRPr="00A32AF4" w:rsidRDefault="00AA1A15" w:rsidP="00DC0553">
            <w:pPr>
              <w:keepNext/>
              <w:rPr>
                <w:rFonts w:cs="Arial"/>
                <w:sz w:val="16"/>
                <w:szCs w:val="16"/>
                <w:lang w:eastAsia="fr-FR"/>
              </w:rPr>
            </w:pPr>
            <w:r w:rsidRPr="00A32AF4">
              <w:rPr>
                <w:rFonts w:cs="Arial"/>
                <w:sz w:val="16"/>
                <w:szCs w:val="16"/>
                <w:lang w:eastAsia="fr-FR"/>
              </w:rPr>
              <w:t>Amélioration de l</w:t>
            </w:r>
            <w:r w:rsidR="00E2055A" w:rsidRPr="00A32AF4">
              <w:rPr>
                <w:rFonts w:cs="Arial"/>
                <w:sz w:val="16"/>
                <w:szCs w:val="16"/>
                <w:lang w:eastAsia="fr-FR"/>
              </w:rPr>
              <w:t>’</w:t>
            </w:r>
            <w:r w:rsidRPr="00A32AF4">
              <w:rPr>
                <w:rFonts w:cs="Arial"/>
                <w:sz w:val="16"/>
                <w:szCs w:val="16"/>
                <w:lang w:eastAsia="fr-FR"/>
              </w:rPr>
              <w:t>infrastructure technique et du savoir pour les offices de propriété intellectuelle et les autres institutions de propriété intellectuelle, leur permettant de fournir à leurs parties prenantes des services améliorés (moins chers, plus rapides, de meilleure qualité) et d</w:t>
            </w:r>
            <w:r w:rsidR="00E2055A" w:rsidRPr="00A32AF4">
              <w:rPr>
                <w:rFonts w:cs="Arial"/>
                <w:sz w:val="16"/>
                <w:szCs w:val="16"/>
                <w:lang w:eastAsia="fr-FR"/>
              </w:rPr>
              <w:t>’</w:t>
            </w:r>
            <w:r w:rsidRPr="00A32AF4">
              <w:rPr>
                <w:rFonts w:cs="Arial"/>
                <w:sz w:val="16"/>
                <w:szCs w:val="16"/>
                <w:lang w:eastAsia="fr-FR"/>
              </w:rPr>
              <w:t>obtenir un meilleur résultat pour ce qui concerne l</w:t>
            </w:r>
            <w:r w:rsidR="00E2055A" w:rsidRPr="00A32AF4">
              <w:rPr>
                <w:rFonts w:cs="Arial"/>
                <w:sz w:val="16"/>
                <w:szCs w:val="16"/>
                <w:lang w:eastAsia="fr-FR"/>
              </w:rPr>
              <w:t>’</w:t>
            </w:r>
            <w:r w:rsidRPr="00A32AF4">
              <w:rPr>
                <w:rFonts w:cs="Arial"/>
                <w:sz w:val="16"/>
                <w:szCs w:val="16"/>
                <w:lang w:eastAsia="fr-FR"/>
              </w:rPr>
              <w:t>administration de la propriété intellectuelle</w:t>
            </w:r>
          </w:p>
        </w:tc>
        <w:tc>
          <w:tcPr>
            <w:tcW w:w="1260" w:type="dxa"/>
            <w:tcBorders>
              <w:top w:val="nil"/>
              <w:left w:val="nil"/>
              <w:bottom w:val="nil"/>
              <w:right w:val="nil"/>
            </w:tcBorders>
            <w:shd w:val="clear" w:color="auto" w:fill="auto"/>
            <w:tcMar>
              <w:top w:w="113" w:type="dxa"/>
              <w:bottom w:w="113" w:type="dxa"/>
            </w:tcMar>
            <w:vAlign w:val="center"/>
            <w:hideMark/>
          </w:tcPr>
          <w:p w:rsidR="00AA1A15" w:rsidRPr="00A32AF4" w:rsidRDefault="00AA1A15" w:rsidP="00DC0553">
            <w:pPr>
              <w:keepNext/>
              <w:jc w:val="right"/>
              <w:rPr>
                <w:rFonts w:cs="Arial"/>
                <w:sz w:val="16"/>
                <w:szCs w:val="16"/>
                <w:lang w:eastAsia="fr-FR"/>
              </w:rPr>
            </w:pPr>
            <w:r w:rsidRPr="00A32AF4">
              <w:rPr>
                <w:rFonts w:cs="Arial"/>
                <w:sz w:val="16"/>
                <w:szCs w:val="16"/>
                <w:lang w:eastAsia="fr-FR"/>
              </w:rPr>
              <w:t>11</w:t>
            </w:r>
            <w:r w:rsidR="00FD43E3" w:rsidRPr="00A32AF4">
              <w:rPr>
                <w:rFonts w:cs="Arial"/>
                <w:sz w:val="16"/>
                <w:szCs w:val="16"/>
                <w:lang w:eastAsia="fr-FR"/>
              </w:rPr>
              <w:t> </w:t>
            </w:r>
            <w:r w:rsidRPr="00A32AF4">
              <w:rPr>
                <w:rFonts w:cs="Arial"/>
                <w:sz w:val="16"/>
                <w:szCs w:val="16"/>
                <w:lang w:eastAsia="fr-FR"/>
              </w:rPr>
              <w:t xml:space="preserve">628 </w:t>
            </w:r>
          </w:p>
        </w:tc>
        <w:tc>
          <w:tcPr>
            <w:tcW w:w="1440" w:type="dxa"/>
            <w:tcBorders>
              <w:top w:val="nil"/>
              <w:left w:val="nil"/>
              <w:bottom w:val="nil"/>
              <w:right w:val="nil"/>
            </w:tcBorders>
            <w:shd w:val="clear" w:color="auto" w:fill="auto"/>
            <w:tcMar>
              <w:top w:w="113" w:type="dxa"/>
              <w:bottom w:w="113" w:type="dxa"/>
            </w:tcMar>
            <w:vAlign w:val="center"/>
            <w:hideMark/>
          </w:tcPr>
          <w:p w:rsidR="00AA1A15" w:rsidRPr="00A32AF4" w:rsidRDefault="00AA1A15" w:rsidP="00DC0553">
            <w:pPr>
              <w:keepNext/>
              <w:jc w:val="right"/>
              <w:rPr>
                <w:rFonts w:cs="Arial"/>
                <w:sz w:val="16"/>
                <w:szCs w:val="16"/>
                <w:lang w:eastAsia="fr-FR"/>
              </w:rPr>
            </w:pPr>
            <w:r w:rsidRPr="00A32AF4">
              <w:rPr>
                <w:rFonts w:cs="Arial"/>
                <w:sz w:val="16"/>
                <w:szCs w:val="16"/>
                <w:lang w:eastAsia="fr-FR"/>
              </w:rPr>
              <w:t>11</w:t>
            </w:r>
            <w:r w:rsidR="00FD43E3" w:rsidRPr="00A32AF4">
              <w:rPr>
                <w:rFonts w:cs="Arial"/>
                <w:sz w:val="16"/>
                <w:szCs w:val="16"/>
                <w:lang w:eastAsia="fr-FR"/>
              </w:rPr>
              <w:t> </w:t>
            </w:r>
            <w:r w:rsidRPr="00A32AF4">
              <w:rPr>
                <w:rFonts w:cs="Arial"/>
                <w:sz w:val="16"/>
                <w:szCs w:val="16"/>
                <w:lang w:eastAsia="fr-FR"/>
              </w:rPr>
              <w:t xml:space="preserve">995 </w:t>
            </w:r>
          </w:p>
        </w:tc>
        <w:tc>
          <w:tcPr>
            <w:tcW w:w="1260" w:type="dxa"/>
            <w:tcBorders>
              <w:top w:val="nil"/>
              <w:left w:val="nil"/>
              <w:bottom w:val="nil"/>
              <w:right w:val="single" w:sz="4" w:space="0" w:color="auto"/>
            </w:tcBorders>
            <w:shd w:val="clear" w:color="auto" w:fill="auto"/>
            <w:noWrap/>
            <w:tcMar>
              <w:top w:w="113" w:type="dxa"/>
              <w:bottom w:w="113" w:type="dxa"/>
            </w:tcMar>
            <w:vAlign w:val="center"/>
            <w:hideMark/>
          </w:tcPr>
          <w:p w:rsidR="00AA1A15" w:rsidRPr="00A32AF4" w:rsidRDefault="00AA1A15" w:rsidP="00DC0553">
            <w:pPr>
              <w:keepNext/>
              <w:jc w:val="right"/>
              <w:rPr>
                <w:rFonts w:cs="Arial"/>
                <w:color w:val="000000"/>
                <w:sz w:val="16"/>
                <w:szCs w:val="16"/>
                <w:lang w:eastAsia="fr-FR"/>
              </w:rPr>
            </w:pPr>
            <w:r w:rsidRPr="00A32AF4">
              <w:rPr>
                <w:rFonts w:cs="Arial"/>
                <w:color w:val="000000"/>
                <w:sz w:val="16"/>
                <w:szCs w:val="16"/>
                <w:lang w:eastAsia="fr-FR"/>
              </w:rPr>
              <w:t>13</w:t>
            </w:r>
            <w:r w:rsidR="00FD43E3" w:rsidRPr="00A32AF4">
              <w:rPr>
                <w:rFonts w:cs="Arial"/>
                <w:color w:val="000000"/>
                <w:sz w:val="16"/>
                <w:szCs w:val="16"/>
                <w:lang w:eastAsia="fr-FR"/>
              </w:rPr>
              <w:t> </w:t>
            </w:r>
            <w:r w:rsidRPr="00A32AF4">
              <w:rPr>
                <w:rFonts w:cs="Arial"/>
                <w:color w:val="000000"/>
                <w:sz w:val="16"/>
                <w:szCs w:val="16"/>
                <w:lang w:eastAsia="fr-FR"/>
              </w:rPr>
              <w:t xml:space="preserve">806 </w:t>
            </w:r>
          </w:p>
        </w:tc>
      </w:tr>
      <w:tr w:rsidR="00AA1A15" w:rsidRPr="00A32AF4" w:rsidTr="00AA1A15">
        <w:tc>
          <w:tcPr>
            <w:tcW w:w="518" w:type="dxa"/>
            <w:tcBorders>
              <w:top w:val="single" w:sz="4" w:space="0" w:color="auto"/>
              <w:left w:val="single" w:sz="4" w:space="0" w:color="auto"/>
              <w:bottom w:val="single" w:sz="4" w:space="0" w:color="auto"/>
              <w:right w:val="nil"/>
            </w:tcBorders>
            <w:shd w:val="clear" w:color="000000" w:fill="C5D9F1"/>
            <w:noWrap/>
            <w:tcMar>
              <w:top w:w="113" w:type="dxa"/>
              <w:bottom w:w="113" w:type="dxa"/>
            </w:tcMar>
            <w:vAlign w:val="bottom"/>
            <w:hideMark/>
          </w:tcPr>
          <w:p w:rsidR="00AA1A15" w:rsidRPr="00A32AF4" w:rsidRDefault="00AA1A15" w:rsidP="00DC0553">
            <w:pPr>
              <w:rPr>
                <w:rFonts w:cs="Arial"/>
                <w:sz w:val="16"/>
                <w:szCs w:val="16"/>
                <w:lang w:eastAsia="fr-FR"/>
              </w:rPr>
            </w:pPr>
          </w:p>
        </w:tc>
        <w:tc>
          <w:tcPr>
            <w:tcW w:w="4502"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AA1A15" w:rsidRPr="00A32AF4" w:rsidRDefault="00AA1A15" w:rsidP="00DC0553">
            <w:pPr>
              <w:rPr>
                <w:rFonts w:cs="Arial"/>
                <w:b/>
                <w:bCs/>
                <w:sz w:val="16"/>
                <w:szCs w:val="16"/>
                <w:lang w:eastAsia="fr-FR"/>
              </w:rPr>
            </w:pPr>
            <w:r w:rsidRPr="00A32AF4">
              <w:rPr>
                <w:rFonts w:cs="Arial"/>
                <w:b/>
                <w:bCs/>
                <w:sz w:val="16"/>
                <w:szCs w:val="16"/>
                <w:lang w:eastAsia="fr-FR"/>
              </w:rPr>
              <w:t>Total</w:t>
            </w:r>
          </w:p>
        </w:tc>
        <w:tc>
          <w:tcPr>
            <w:tcW w:w="1260"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AA1A15" w:rsidRPr="00A32AF4" w:rsidRDefault="00AA1A15" w:rsidP="00DC0553">
            <w:pPr>
              <w:jc w:val="right"/>
              <w:rPr>
                <w:rFonts w:cs="Arial"/>
                <w:b/>
                <w:bCs/>
                <w:sz w:val="16"/>
                <w:szCs w:val="16"/>
                <w:lang w:eastAsia="fr-FR"/>
              </w:rPr>
            </w:pPr>
            <w:r w:rsidRPr="00A32AF4">
              <w:rPr>
                <w:rFonts w:cs="Arial"/>
                <w:b/>
                <w:bCs/>
                <w:sz w:val="16"/>
                <w:szCs w:val="16"/>
                <w:lang w:eastAsia="fr-FR"/>
              </w:rPr>
              <w:t>11</w:t>
            </w:r>
            <w:r w:rsidR="00FD43E3" w:rsidRPr="00A32AF4">
              <w:rPr>
                <w:rFonts w:cs="Arial"/>
                <w:b/>
                <w:bCs/>
                <w:sz w:val="16"/>
                <w:szCs w:val="16"/>
                <w:lang w:eastAsia="fr-FR"/>
              </w:rPr>
              <w:t> </w:t>
            </w:r>
            <w:r w:rsidRPr="00A32AF4">
              <w:rPr>
                <w:rFonts w:cs="Arial"/>
                <w:b/>
                <w:bCs/>
                <w:sz w:val="16"/>
                <w:szCs w:val="16"/>
                <w:lang w:eastAsia="fr-FR"/>
              </w:rPr>
              <w:t xml:space="preserve">628 </w:t>
            </w:r>
          </w:p>
        </w:tc>
        <w:tc>
          <w:tcPr>
            <w:tcW w:w="1440"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AA1A15" w:rsidRPr="00A32AF4" w:rsidRDefault="00AA1A15" w:rsidP="00DC0553">
            <w:pPr>
              <w:jc w:val="right"/>
              <w:rPr>
                <w:rFonts w:cs="Arial"/>
                <w:b/>
                <w:bCs/>
                <w:sz w:val="16"/>
                <w:szCs w:val="16"/>
                <w:lang w:eastAsia="fr-FR"/>
              </w:rPr>
            </w:pPr>
            <w:r w:rsidRPr="00A32AF4">
              <w:rPr>
                <w:rFonts w:cs="Arial"/>
                <w:b/>
                <w:bCs/>
                <w:sz w:val="16"/>
                <w:szCs w:val="16"/>
                <w:lang w:eastAsia="fr-FR"/>
              </w:rPr>
              <w:t>11</w:t>
            </w:r>
            <w:r w:rsidR="00FD43E3" w:rsidRPr="00A32AF4">
              <w:rPr>
                <w:rFonts w:cs="Arial"/>
                <w:b/>
                <w:bCs/>
                <w:sz w:val="16"/>
                <w:szCs w:val="16"/>
                <w:lang w:eastAsia="fr-FR"/>
              </w:rPr>
              <w:t> </w:t>
            </w:r>
            <w:r w:rsidRPr="00A32AF4">
              <w:rPr>
                <w:rFonts w:cs="Arial"/>
                <w:b/>
                <w:bCs/>
                <w:sz w:val="16"/>
                <w:szCs w:val="16"/>
                <w:lang w:eastAsia="fr-FR"/>
              </w:rPr>
              <w:t xml:space="preserve">995 </w:t>
            </w:r>
          </w:p>
        </w:tc>
        <w:tc>
          <w:tcPr>
            <w:tcW w:w="1260"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AA1A15" w:rsidRPr="00A32AF4" w:rsidRDefault="00AA1A15" w:rsidP="00DC0553">
            <w:pPr>
              <w:jc w:val="right"/>
              <w:rPr>
                <w:rFonts w:cs="Arial"/>
                <w:b/>
                <w:bCs/>
                <w:sz w:val="16"/>
                <w:szCs w:val="16"/>
                <w:lang w:eastAsia="fr-FR"/>
              </w:rPr>
            </w:pPr>
            <w:r w:rsidRPr="00A32AF4">
              <w:rPr>
                <w:rFonts w:cs="Arial"/>
                <w:b/>
                <w:bCs/>
                <w:sz w:val="16"/>
                <w:szCs w:val="16"/>
                <w:lang w:eastAsia="fr-FR"/>
              </w:rPr>
              <w:t>13</w:t>
            </w:r>
            <w:r w:rsidR="00FD43E3" w:rsidRPr="00A32AF4">
              <w:rPr>
                <w:rFonts w:cs="Arial"/>
                <w:b/>
                <w:bCs/>
                <w:sz w:val="16"/>
                <w:szCs w:val="16"/>
                <w:lang w:eastAsia="fr-FR"/>
              </w:rPr>
              <w:t> </w:t>
            </w:r>
            <w:r w:rsidRPr="00A32AF4">
              <w:rPr>
                <w:rFonts w:cs="Arial"/>
                <w:b/>
                <w:bCs/>
                <w:sz w:val="16"/>
                <w:szCs w:val="16"/>
                <w:lang w:eastAsia="fr-FR"/>
              </w:rPr>
              <w:t xml:space="preserve">806 </w:t>
            </w:r>
          </w:p>
        </w:tc>
      </w:tr>
    </w:tbl>
    <w:p w:rsidR="00F93B76" w:rsidRPr="00A32AF4" w:rsidRDefault="0047185D" w:rsidP="0047185D">
      <w:pPr>
        <w:jc w:val="center"/>
        <w:rPr>
          <w:rFonts w:cs="Arial"/>
          <w:b/>
        </w:rPr>
      </w:pPr>
      <w:r w:rsidRPr="00A32AF4">
        <w:rPr>
          <w:rFonts w:cs="Arial"/>
          <w:b/>
        </w:rPr>
        <w:br w:type="page"/>
      </w:r>
      <w:r w:rsidR="00AA1A15" w:rsidRPr="00A32AF4">
        <w:rPr>
          <w:rFonts w:cs="Arial"/>
          <w:b/>
        </w:rPr>
        <w:t>Programme 15 : ressources par objet de dépense</w:t>
      </w:r>
    </w:p>
    <w:p w:rsidR="00F93B76" w:rsidRPr="00A32AF4" w:rsidRDefault="00AA1A15" w:rsidP="00DC0553">
      <w:pPr>
        <w:keepNext/>
        <w:keepLines/>
        <w:autoSpaceDE w:val="0"/>
        <w:autoSpaceDN w:val="0"/>
        <w:jc w:val="center"/>
        <w:rPr>
          <w:rFonts w:cs="Arial"/>
          <w:i/>
        </w:rPr>
      </w:pPr>
      <w:r w:rsidRPr="00A32AF4">
        <w:rPr>
          <w:rFonts w:cs="Arial"/>
          <w:i/>
        </w:rPr>
        <w:t>(</w:t>
      </w:r>
      <w:proofErr w:type="gramStart"/>
      <w:r w:rsidRPr="00A32AF4">
        <w:rPr>
          <w:rFonts w:cs="Arial"/>
          <w:i/>
        </w:rPr>
        <w:t>en</w:t>
      </w:r>
      <w:proofErr w:type="gramEnd"/>
      <w:r w:rsidRPr="00A32AF4">
        <w:rPr>
          <w:rFonts w:cs="Arial"/>
          <w:i/>
        </w:rPr>
        <w:t xml:space="preserve"> milliers de francs suisses)</w:t>
      </w:r>
    </w:p>
    <w:p w:rsidR="00F93B76" w:rsidRPr="00A32AF4" w:rsidRDefault="00F93B76" w:rsidP="00DC0553">
      <w:pPr>
        <w:keepNext/>
        <w:rPr>
          <w:rFonts w:eastAsia="SimSun"/>
        </w:rPr>
      </w:pPr>
    </w:p>
    <w:p w:rsidR="00F93B76" w:rsidRPr="00A32AF4" w:rsidRDefault="00E91FB4" w:rsidP="00DC0553">
      <w:pPr>
        <w:rPr>
          <w:rFonts w:eastAsia="SimSun"/>
        </w:rPr>
      </w:pPr>
      <w:r w:rsidRPr="00A32AF4">
        <w:rPr>
          <w:rFonts w:eastAsia="SimSun"/>
          <w:noProof/>
          <w:lang w:eastAsia="fr-FR"/>
        </w:rPr>
        <w:drawing>
          <wp:inline distT="0" distB="0" distL="0" distR="0" wp14:anchorId="64E516CE" wp14:editId="43A8B986">
            <wp:extent cx="5512435" cy="6555105"/>
            <wp:effectExtent l="0" t="0" r="0" b="0"/>
            <wp:docPr id="1049" name="Picture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512435" cy="6555105"/>
                    </a:xfrm>
                    <a:prstGeom prst="rect">
                      <a:avLst/>
                    </a:prstGeom>
                    <a:noFill/>
                    <a:ln>
                      <a:noFill/>
                    </a:ln>
                  </pic:spPr>
                </pic:pic>
              </a:graphicData>
            </a:graphic>
          </wp:inline>
        </w:drawing>
      </w:r>
    </w:p>
    <w:p w:rsidR="00F93B76" w:rsidRPr="00A32AF4" w:rsidRDefault="00F93B76" w:rsidP="00DC0553">
      <w:pPr>
        <w:rPr>
          <w:lang w:eastAsia="da-DK"/>
        </w:rPr>
      </w:pPr>
    </w:p>
    <w:p w:rsidR="00F93B76" w:rsidRPr="00A32AF4" w:rsidRDefault="00AA1A15" w:rsidP="00DC0553">
      <w:pPr>
        <w:rPr>
          <w:lang w:eastAsia="da-DK"/>
        </w:rPr>
      </w:pPr>
      <w:r w:rsidRPr="00A32AF4">
        <w:rPr>
          <w:lang w:eastAsia="da-DK"/>
        </w:rPr>
        <w:br w:type="page"/>
      </w:r>
    </w:p>
    <w:p w:rsidR="00F93B76" w:rsidRPr="00A32AF4" w:rsidRDefault="00AA1A15" w:rsidP="00FB1F61">
      <w:pPr>
        <w:pStyle w:val="Heading2"/>
        <w:rPr>
          <w:rFonts w:hint="eastAsia"/>
          <w:lang w:eastAsia="da-DK"/>
        </w:rPr>
      </w:pPr>
      <w:bookmarkStart w:id="50" w:name="_Toc431555456"/>
      <w:r w:rsidRPr="00A32AF4">
        <w:rPr>
          <w:lang w:eastAsia="da-DK"/>
        </w:rPr>
        <w:t>Objectif stratégique V</w:t>
      </w:r>
      <w:r w:rsidRPr="00A32AF4">
        <w:rPr>
          <w:lang w:eastAsia="da-DK"/>
        </w:rPr>
        <w:tab/>
        <w:t>Source de références mondiale pour l</w:t>
      </w:r>
      <w:r w:rsidR="00E2055A" w:rsidRPr="00A32AF4">
        <w:rPr>
          <w:lang w:eastAsia="da-DK"/>
        </w:rPr>
        <w:t>’</w:t>
      </w:r>
      <w:r w:rsidRPr="00A32AF4">
        <w:rPr>
          <w:lang w:eastAsia="da-DK"/>
        </w:rPr>
        <w:t>information et l</w:t>
      </w:r>
      <w:r w:rsidR="00E2055A" w:rsidRPr="00A32AF4">
        <w:rPr>
          <w:lang w:eastAsia="da-DK"/>
        </w:rPr>
        <w:t>’</w:t>
      </w:r>
      <w:r w:rsidRPr="00A32AF4">
        <w:rPr>
          <w:lang w:eastAsia="da-DK"/>
        </w:rPr>
        <w:t>analyse en matière de propriété intellectuelle</w:t>
      </w:r>
      <w:bookmarkEnd w:id="50"/>
    </w:p>
    <w:p w:rsidR="00F93B76" w:rsidRPr="00A32AF4" w:rsidRDefault="00F93B76" w:rsidP="00DC0553">
      <w:pPr>
        <w:rPr>
          <w:lang w:eastAsia="da-DK"/>
        </w:rPr>
      </w:pPr>
    </w:p>
    <w:p w:rsidR="00F93B76" w:rsidRPr="00A32AF4" w:rsidRDefault="00F93B76" w:rsidP="00DC0553">
      <w:pPr>
        <w:rPr>
          <w:lang w:eastAsia="da-DK"/>
        </w:rPr>
      </w:pPr>
    </w:p>
    <w:p w:rsidR="00F93B76" w:rsidRPr="00A32AF4" w:rsidRDefault="00506DC4" w:rsidP="00DC0553">
      <w:pPr>
        <w:jc w:val="both"/>
        <w:rPr>
          <w:rFonts w:cs="Arial"/>
        </w:rPr>
      </w:pPr>
      <w:r w:rsidRPr="00A32AF4">
        <w:rPr>
          <w:rFonts w:cs="Arial"/>
        </w:rPr>
        <w:t>L</w:t>
      </w:r>
      <w:r w:rsidR="00E2055A" w:rsidRPr="00A32AF4">
        <w:rPr>
          <w:rFonts w:cs="Arial"/>
        </w:rPr>
        <w:t>’</w:t>
      </w:r>
      <w:r w:rsidRPr="00A32AF4">
        <w:rPr>
          <w:rFonts w:cs="Arial"/>
        </w:rPr>
        <w:t>OMPI est productrice et dépositaire de remarquables collections d</w:t>
      </w:r>
      <w:r w:rsidR="00E2055A" w:rsidRPr="00A32AF4">
        <w:rPr>
          <w:rFonts w:cs="Arial"/>
        </w:rPr>
        <w:t>’</w:t>
      </w:r>
      <w:r w:rsidRPr="00A32AF4">
        <w:rPr>
          <w:rFonts w:cs="Arial"/>
        </w:rPr>
        <w:t>informations techniques divulguées, de données relatives aux marques et d</w:t>
      </w:r>
      <w:r w:rsidR="00E2055A" w:rsidRPr="00A32AF4">
        <w:rPr>
          <w:rFonts w:cs="Arial"/>
        </w:rPr>
        <w:t>’</w:t>
      </w:r>
      <w:r w:rsidRPr="00A32AF4">
        <w:rPr>
          <w:rFonts w:cs="Arial"/>
        </w:rPr>
        <w:t>informations techniques et juridiques dans le domaine de la propriété intellectuelle.  Ces collections donnent un aperçu de l</w:t>
      </w:r>
      <w:r w:rsidR="00E2055A" w:rsidRPr="00A32AF4">
        <w:rPr>
          <w:rFonts w:cs="Arial"/>
        </w:rPr>
        <w:t>’</w:t>
      </w:r>
      <w:r w:rsidRPr="00A32AF4">
        <w:rPr>
          <w:rFonts w:cs="Arial"/>
        </w:rPr>
        <w:t>évolution de secteurs essentiels de l</w:t>
      </w:r>
      <w:r w:rsidR="00E2055A" w:rsidRPr="00A32AF4">
        <w:rPr>
          <w:rFonts w:cs="Arial"/>
        </w:rPr>
        <w:t>’</w:t>
      </w:r>
      <w:r w:rsidRPr="00A32AF4">
        <w:rPr>
          <w:rFonts w:cs="Arial"/>
        </w:rPr>
        <w:t>économie et du système de la propriété intellectuelle.  Elles présentent un intérêt considérable pour les responsables de l</w:t>
      </w:r>
      <w:r w:rsidR="00E2055A" w:rsidRPr="00A32AF4">
        <w:rPr>
          <w:rFonts w:cs="Arial"/>
        </w:rPr>
        <w:t>’</w:t>
      </w:r>
      <w:r w:rsidRPr="00A32AF4">
        <w:rPr>
          <w:rFonts w:cs="Arial"/>
        </w:rPr>
        <w:t>élaboration des politiques, les entreprises, les milieux d</w:t>
      </w:r>
      <w:r w:rsidR="00E2055A" w:rsidRPr="00A32AF4">
        <w:rPr>
          <w:rFonts w:cs="Arial"/>
        </w:rPr>
        <w:t>’</w:t>
      </w:r>
      <w:r w:rsidRPr="00A32AF4">
        <w:rPr>
          <w:rFonts w:cs="Arial"/>
        </w:rPr>
        <w:t>affaires et les autres utilisateurs du système de la propriété intellectuelle, ainsi que pour le public intéressé.  Cet intérêt est également reconnu dans le cadre du Plan d</w:t>
      </w:r>
      <w:r w:rsidR="00E2055A" w:rsidRPr="00A32AF4">
        <w:rPr>
          <w:rFonts w:cs="Arial"/>
        </w:rPr>
        <w:t>’</w:t>
      </w:r>
      <w:r w:rsidRPr="00A32AF4">
        <w:rPr>
          <w:rFonts w:cs="Arial"/>
        </w:rPr>
        <w:t>action pour le développement, où l</w:t>
      </w:r>
      <w:r w:rsidR="00E2055A" w:rsidRPr="00A32AF4">
        <w:rPr>
          <w:rFonts w:cs="Arial"/>
        </w:rPr>
        <w:t>’</w:t>
      </w:r>
      <w:r w:rsidRPr="00A32AF4">
        <w:rPr>
          <w:rFonts w:cs="Arial"/>
        </w:rPr>
        <w:t>Organisation est vivement invitée à fournir des analyses et des études économiques empiriques.</w:t>
      </w:r>
    </w:p>
    <w:p w:rsidR="00F93B76" w:rsidRPr="00A32AF4" w:rsidRDefault="00F93B76" w:rsidP="00DC0553">
      <w:pPr>
        <w:jc w:val="both"/>
        <w:rPr>
          <w:rFonts w:cs="Arial"/>
        </w:rPr>
      </w:pPr>
    </w:p>
    <w:p w:rsidR="00F93B76" w:rsidRPr="00A32AF4" w:rsidRDefault="00506DC4" w:rsidP="00DC0553">
      <w:pPr>
        <w:jc w:val="both"/>
        <w:rPr>
          <w:rFonts w:cs="Arial"/>
        </w:rPr>
      </w:pPr>
      <w:r w:rsidRPr="00A32AF4">
        <w:rPr>
          <w:rFonts w:cs="Arial"/>
        </w:rPr>
        <w:t>Toutefois, ces collections de référence de l</w:t>
      </w:r>
      <w:r w:rsidR="00E2055A" w:rsidRPr="00A32AF4">
        <w:rPr>
          <w:rFonts w:cs="Arial"/>
        </w:rPr>
        <w:t>’</w:t>
      </w:r>
      <w:r w:rsidRPr="00A32AF4">
        <w:rPr>
          <w:rFonts w:cs="Arial"/>
        </w:rPr>
        <w:t>OMPI n</w:t>
      </w:r>
      <w:r w:rsidR="00E2055A" w:rsidRPr="00A32AF4">
        <w:rPr>
          <w:rFonts w:cs="Arial"/>
        </w:rPr>
        <w:t>’</w:t>
      </w:r>
      <w:r w:rsidRPr="00A32AF4">
        <w:rPr>
          <w:rFonts w:cs="Arial"/>
        </w:rPr>
        <w:t>ont de valeur que si elles sont exactes, actualisées et axées sur les besoins des parties prenantes, tout en étant librement et universellement accessibles.  L</w:t>
      </w:r>
      <w:r w:rsidR="00E2055A" w:rsidRPr="00A32AF4">
        <w:rPr>
          <w:rFonts w:cs="Arial"/>
        </w:rPr>
        <w:t>’</w:t>
      </w:r>
      <w:r w:rsidRPr="00A32AF4">
        <w:rPr>
          <w:rFonts w:cs="Arial"/>
        </w:rPr>
        <w:t>Organisation est la mieux placée pour rassembler les collections d</w:t>
      </w:r>
      <w:r w:rsidR="00E2055A" w:rsidRPr="00A32AF4">
        <w:rPr>
          <w:rFonts w:cs="Arial"/>
        </w:rPr>
        <w:t>’</w:t>
      </w:r>
      <w:r w:rsidRPr="00A32AF4">
        <w:rPr>
          <w:rFonts w:cs="Arial"/>
        </w:rPr>
        <w:t>informations en matière de propriété intellectuelle les plus complètes et les plus précieuses au monde et mettre en place un portail vers ces collections.  Dans le cadre de cet objectif stratégique, elle s</w:t>
      </w:r>
      <w:r w:rsidR="00E2055A" w:rsidRPr="00A32AF4">
        <w:rPr>
          <w:rFonts w:cs="Arial"/>
        </w:rPr>
        <w:t>’</w:t>
      </w:r>
      <w:r w:rsidRPr="00A32AF4">
        <w:rPr>
          <w:rFonts w:cs="Arial"/>
        </w:rPr>
        <w:t>efforcera de concrétiser le potentiel qu</w:t>
      </w:r>
      <w:r w:rsidR="00E2055A" w:rsidRPr="00A32AF4">
        <w:rPr>
          <w:rFonts w:cs="Arial"/>
        </w:rPr>
        <w:t>’</w:t>
      </w:r>
      <w:r w:rsidRPr="00A32AF4">
        <w:rPr>
          <w:rFonts w:cs="Arial"/>
        </w:rPr>
        <w:t>offre cette position privilégiée.</w:t>
      </w:r>
    </w:p>
    <w:p w:rsidR="00F93B76" w:rsidRPr="00A32AF4" w:rsidRDefault="00F93B76" w:rsidP="00DC0553"/>
    <w:p w:rsidR="00506DC4" w:rsidRPr="00A32AF4" w:rsidRDefault="00506DC4" w:rsidP="00DC0553">
      <w:pPr>
        <w:rPr>
          <w:rFonts w:cs="Arial"/>
        </w:rPr>
      </w:pPr>
    </w:p>
    <w:tbl>
      <w:tblPr>
        <w:tblW w:w="4855"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192"/>
        <w:gridCol w:w="3898"/>
        <w:gridCol w:w="1928"/>
      </w:tblGrid>
      <w:tr w:rsidR="00506DC4" w:rsidRPr="00A32AF4" w:rsidTr="0064145F">
        <w:trPr>
          <w:cantSplit/>
          <w:tblHeader/>
        </w:trPr>
        <w:tc>
          <w:tcPr>
            <w:tcW w:w="1770" w:type="pct"/>
            <w:tcBorders>
              <w:top w:val="single" w:sz="4" w:space="0" w:color="auto"/>
              <w:bottom w:val="single" w:sz="4" w:space="0" w:color="auto"/>
            </w:tcBorders>
            <w:shd w:val="clear" w:color="auto" w:fill="C6D9F1" w:themeFill="text2" w:themeFillTint="33"/>
            <w:tcMar>
              <w:top w:w="113" w:type="dxa"/>
              <w:bottom w:w="113" w:type="dxa"/>
            </w:tcMar>
            <w:vAlign w:val="center"/>
          </w:tcPr>
          <w:p w:rsidR="00506DC4" w:rsidRPr="00A32AF4" w:rsidRDefault="00506DC4" w:rsidP="00DC0553">
            <w:pPr>
              <w:jc w:val="center"/>
              <w:rPr>
                <w:rFonts w:cs="Arial"/>
                <w:b/>
                <w:bCs/>
                <w:sz w:val="18"/>
                <w:szCs w:val="18"/>
              </w:rPr>
            </w:pPr>
            <w:r w:rsidRPr="00A32AF4">
              <w:rPr>
                <w:rFonts w:cs="Arial"/>
                <w:b/>
                <w:bCs/>
                <w:sz w:val="18"/>
                <w:szCs w:val="18"/>
              </w:rPr>
              <w:t>Résultats escomptés</w:t>
            </w:r>
          </w:p>
        </w:tc>
        <w:tc>
          <w:tcPr>
            <w:tcW w:w="2161" w:type="pct"/>
            <w:tcBorders>
              <w:top w:val="single" w:sz="4" w:space="0" w:color="auto"/>
              <w:bottom w:val="single" w:sz="4" w:space="0" w:color="auto"/>
            </w:tcBorders>
            <w:shd w:val="clear" w:color="auto" w:fill="C6D9F1" w:themeFill="text2" w:themeFillTint="33"/>
            <w:tcMar>
              <w:top w:w="113" w:type="dxa"/>
              <w:bottom w:w="113" w:type="dxa"/>
            </w:tcMar>
            <w:vAlign w:val="center"/>
          </w:tcPr>
          <w:p w:rsidR="00506DC4" w:rsidRPr="00A32AF4" w:rsidRDefault="00506DC4" w:rsidP="00DC0553">
            <w:pPr>
              <w:jc w:val="center"/>
              <w:rPr>
                <w:rFonts w:cs="Arial"/>
                <w:b/>
                <w:sz w:val="18"/>
                <w:szCs w:val="18"/>
              </w:rPr>
            </w:pPr>
            <w:r w:rsidRPr="00A32AF4">
              <w:rPr>
                <w:rFonts w:cs="Arial"/>
                <w:b/>
                <w:sz w:val="18"/>
                <w:szCs w:val="18"/>
              </w:rPr>
              <w:t>Indicateurs d</w:t>
            </w:r>
            <w:r w:rsidR="00E2055A" w:rsidRPr="00A32AF4">
              <w:rPr>
                <w:rFonts w:cs="Arial"/>
                <w:b/>
                <w:sz w:val="18"/>
                <w:szCs w:val="18"/>
              </w:rPr>
              <w:t>’</w:t>
            </w:r>
            <w:r w:rsidRPr="00A32AF4">
              <w:rPr>
                <w:rFonts w:cs="Arial"/>
                <w:b/>
                <w:sz w:val="18"/>
                <w:szCs w:val="18"/>
              </w:rPr>
              <w:t>exécution</w:t>
            </w:r>
          </w:p>
        </w:tc>
        <w:tc>
          <w:tcPr>
            <w:tcW w:w="1069" w:type="pct"/>
            <w:tcBorders>
              <w:top w:val="single" w:sz="4" w:space="0" w:color="auto"/>
              <w:bottom w:val="single" w:sz="4" w:space="0" w:color="auto"/>
            </w:tcBorders>
            <w:shd w:val="clear" w:color="auto" w:fill="C6D9F1" w:themeFill="text2" w:themeFillTint="33"/>
            <w:tcMar>
              <w:top w:w="113" w:type="dxa"/>
              <w:bottom w:w="113" w:type="dxa"/>
            </w:tcMar>
            <w:vAlign w:val="center"/>
          </w:tcPr>
          <w:p w:rsidR="00506DC4" w:rsidRPr="00A32AF4" w:rsidRDefault="00506DC4" w:rsidP="00DC0553">
            <w:pPr>
              <w:jc w:val="center"/>
              <w:rPr>
                <w:rFonts w:cs="Arial"/>
                <w:sz w:val="18"/>
                <w:szCs w:val="18"/>
              </w:rPr>
            </w:pPr>
            <w:r w:rsidRPr="00A32AF4">
              <w:rPr>
                <w:rFonts w:cs="Arial"/>
                <w:b/>
                <w:sz w:val="18"/>
                <w:szCs w:val="18"/>
              </w:rPr>
              <w:t>Programme(s) concerné(s)</w:t>
            </w:r>
          </w:p>
        </w:tc>
      </w:tr>
      <w:tr w:rsidR="0064145F" w:rsidRPr="00A32AF4" w:rsidTr="0064145F">
        <w:trPr>
          <w:cantSplit/>
        </w:trPr>
        <w:tc>
          <w:tcPr>
            <w:tcW w:w="1770" w:type="pct"/>
            <w:tcBorders>
              <w:top w:val="single" w:sz="4" w:space="0" w:color="auto"/>
            </w:tcBorders>
            <w:shd w:val="clear" w:color="auto" w:fill="auto"/>
            <w:tcMar>
              <w:top w:w="113" w:type="dxa"/>
              <w:bottom w:w="113" w:type="dxa"/>
            </w:tcMar>
          </w:tcPr>
          <w:p w:rsidR="0064145F" w:rsidRPr="00A32AF4" w:rsidRDefault="0064145F" w:rsidP="00DC0553">
            <w:pPr>
              <w:rPr>
                <w:rFonts w:cs="Arial"/>
                <w:sz w:val="16"/>
                <w:szCs w:val="16"/>
              </w:rPr>
            </w:pPr>
            <w:r w:rsidRPr="00A32AF4">
              <w:rPr>
                <w:rFonts w:cs="Arial"/>
                <w:sz w:val="16"/>
                <w:szCs w:val="16"/>
              </w:rPr>
              <w:t>V.1 Utilisation élargie et améliorée de l</w:t>
            </w:r>
            <w:r w:rsidR="00E2055A" w:rsidRPr="00A32AF4">
              <w:rPr>
                <w:rFonts w:cs="Arial"/>
                <w:sz w:val="16"/>
                <w:szCs w:val="16"/>
              </w:rPr>
              <w:t>’</w:t>
            </w:r>
            <w:r w:rsidRPr="00A32AF4">
              <w:rPr>
                <w:rFonts w:cs="Arial"/>
                <w:sz w:val="16"/>
                <w:szCs w:val="16"/>
              </w:rPr>
              <w:t>information statistique de l</w:t>
            </w:r>
            <w:r w:rsidR="00E2055A" w:rsidRPr="00A32AF4">
              <w:rPr>
                <w:rFonts w:cs="Arial"/>
                <w:sz w:val="16"/>
                <w:szCs w:val="16"/>
              </w:rPr>
              <w:t>’</w:t>
            </w:r>
            <w:r w:rsidRPr="00A32AF4">
              <w:rPr>
                <w:rFonts w:cs="Arial"/>
                <w:sz w:val="16"/>
                <w:szCs w:val="16"/>
              </w:rPr>
              <w:t>OMPI relative à la propriété intellectuelle</w:t>
            </w:r>
          </w:p>
        </w:tc>
        <w:tc>
          <w:tcPr>
            <w:tcW w:w="2161" w:type="pct"/>
            <w:tcBorders>
              <w:top w:val="single" w:sz="4" w:space="0" w:color="auto"/>
            </w:tcBorders>
            <w:shd w:val="clear" w:color="auto" w:fill="auto"/>
            <w:tcMar>
              <w:top w:w="113" w:type="dxa"/>
              <w:bottom w:w="113" w:type="dxa"/>
            </w:tcMar>
          </w:tcPr>
          <w:p w:rsidR="0064145F" w:rsidRPr="00A32AF4" w:rsidRDefault="0064145F" w:rsidP="00DC0553">
            <w:pPr>
              <w:keepNext/>
              <w:keepLines/>
              <w:rPr>
                <w:rFonts w:cs="Arial"/>
                <w:sz w:val="16"/>
                <w:szCs w:val="16"/>
              </w:rPr>
            </w:pPr>
            <w:r w:rsidRPr="00A32AF4">
              <w:rPr>
                <w:rFonts w:cs="Arial"/>
                <w:sz w:val="16"/>
                <w:szCs w:val="16"/>
              </w:rPr>
              <w:t>Nombre de recherches effectuées via le Centre de données statistiques de propriété intellectuelle</w:t>
            </w:r>
          </w:p>
        </w:tc>
        <w:tc>
          <w:tcPr>
            <w:tcW w:w="1069" w:type="pct"/>
            <w:tcBorders>
              <w:top w:val="single" w:sz="4" w:space="0" w:color="auto"/>
            </w:tcBorders>
            <w:shd w:val="clear" w:color="auto" w:fill="FFFFFF"/>
            <w:tcMar>
              <w:top w:w="113" w:type="dxa"/>
              <w:bottom w:w="113" w:type="dxa"/>
            </w:tcMar>
          </w:tcPr>
          <w:p w:rsidR="0064145F" w:rsidRPr="00A32AF4" w:rsidRDefault="0064145F" w:rsidP="00DC0553">
            <w:pPr>
              <w:jc w:val="center"/>
              <w:rPr>
                <w:rFonts w:cs="Arial"/>
                <w:sz w:val="16"/>
                <w:szCs w:val="16"/>
              </w:rPr>
            </w:pPr>
            <w:r w:rsidRPr="00A32AF4">
              <w:rPr>
                <w:rFonts w:cs="Arial"/>
                <w:sz w:val="16"/>
                <w:szCs w:val="16"/>
                <w:lang w:bidi="th-TH"/>
              </w:rPr>
              <w:t>Programme 16</w:t>
            </w:r>
          </w:p>
        </w:tc>
      </w:tr>
      <w:tr w:rsidR="0064145F" w:rsidRPr="00A32AF4" w:rsidTr="0064145F">
        <w:trPr>
          <w:cantSplit/>
        </w:trPr>
        <w:tc>
          <w:tcPr>
            <w:tcW w:w="1770" w:type="pct"/>
            <w:shd w:val="clear" w:color="auto" w:fill="auto"/>
            <w:tcMar>
              <w:top w:w="113" w:type="dxa"/>
              <w:bottom w:w="113" w:type="dxa"/>
            </w:tcMar>
          </w:tcPr>
          <w:p w:rsidR="0064145F" w:rsidRPr="00A32AF4" w:rsidRDefault="0064145F" w:rsidP="00DC0553">
            <w:pPr>
              <w:rPr>
                <w:rFonts w:cs="Arial"/>
                <w:sz w:val="16"/>
                <w:szCs w:val="16"/>
              </w:rPr>
            </w:pPr>
          </w:p>
        </w:tc>
        <w:tc>
          <w:tcPr>
            <w:tcW w:w="2161" w:type="pct"/>
            <w:shd w:val="clear" w:color="auto" w:fill="auto"/>
            <w:tcMar>
              <w:top w:w="113" w:type="dxa"/>
              <w:bottom w:w="113" w:type="dxa"/>
            </w:tcMar>
          </w:tcPr>
          <w:p w:rsidR="0064145F" w:rsidRPr="00A32AF4" w:rsidRDefault="0064145F" w:rsidP="00DC0553">
            <w:pPr>
              <w:rPr>
                <w:rFonts w:cs="Arial"/>
                <w:sz w:val="16"/>
                <w:szCs w:val="16"/>
              </w:rPr>
            </w:pPr>
            <w:r w:rsidRPr="00A32AF4">
              <w:rPr>
                <w:rFonts w:cs="Arial"/>
                <w:sz w:val="16"/>
                <w:szCs w:val="16"/>
              </w:rPr>
              <w:t>Nombre de téléchargements de rapports statistiques annuels dans les six mois suivant leur publication</w:t>
            </w:r>
          </w:p>
        </w:tc>
        <w:tc>
          <w:tcPr>
            <w:tcW w:w="1069" w:type="pct"/>
            <w:shd w:val="clear" w:color="auto" w:fill="FFFFFF"/>
            <w:tcMar>
              <w:top w:w="113" w:type="dxa"/>
              <w:bottom w:w="113" w:type="dxa"/>
            </w:tcMar>
          </w:tcPr>
          <w:p w:rsidR="0064145F" w:rsidRPr="00A32AF4" w:rsidRDefault="0064145F" w:rsidP="00DC0553">
            <w:pPr>
              <w:jc w:val="center"/>
              <w:rPr>
                <w:rFonts w:cs="Arial"/>
                <w:sz w:val="16"/>
                <w:szCs w:val="16"/>
              </w:rPr>
            </w:pPr>
            <w:r w:rsidRPr="00A32AF4">
              <w:rPr>
                <w:rFonts w:cs="Arial"/>
                <w:sz w:val="16"/>
                <w:szCs w:val="16"/>
                <w:lang w:bidi="th-TH"/>
              </w:rPr>
              <w:t>Programme 16</w:t>
            </w:r>
          </w:p>
        </w:tc>
      </w:tr>
      <w:tr w:rsidR="0064145F" w:rsidRPr="00A32AF4" w:rsidTr="0064145F">
        <w:trPr>
          <w:cantSplit/>
        </w:trPr>
        <w:tc>
          <w:tcPr>
            <w:tcW w:w="1770" w:type="pct"/>
            <w:shd w:val="clear" w:color="auto" w:fill="auto"/>
            <w:tcMar>
              <w:top w:w="113" w:type="dxa"/>
              <w:bottom w:w="113" w:type="dxa"/>
            </w:tcMar>
          </w:tcPr>
          <w:p w:rsidR="0064145F" w:rsidRPr="00A32AF4" w:rsidRDefault="0064145F" w:rsidP="00DC0553">
            <w:pPr>
              <w:rPr>
                <w:rFonts w:cs="Arial"/>
                <w:sz w:val="16"/>
                <w:szCs w:val="16"/>
              </w:rPr>
            </w:pPr>
          </w:p>
        </w:tc>
        <w:tc>
          <w:tcPr>
            <w:tcW w:w="2161" w:type="pct"/>
            <w:shd w:val="clear" w:color="auto" w:fill="auto"/>
            <w:tcMar>
              <w:top w:w="113" w:type="dxa"/>
              <w:bottom w:w="113" w:type="dxa"/>
            </w:tcMar>
          </w:tcPr>
          <w:p w:rsidR="0064145F" w:rsidRPr="00A32AF4" w:rsidRDefault="0064145F" w:rsidP="00DC0553">
            <w:pPr>
              <w:rPr>
                <w:rFonts w:cs="Arial"/>
                <w:sz w:val="16"/>
                <w:szCs w:val="16"/>
              </w:rPr>
            </w:pPr>
            <w:r w:rsidRPr="00A32AF4">
              <w:rPr>
                <w:rFonts w:cs="Arial"/>
                <w:sz w:val="16"/>
                <w:szCs w:val="16"/>
              </w:rPr>
              <w:t>L</w:t>
            </w:r>
            <w:r w:rsidR="00E2055A" w:rsidRPr="00A32AF4">
              <w:rPr>
                <w:rFonts w:cs="Arial"/>
                <w:sz w:val="16"/>
                <w:szCs w:val="16"/>
              </w:rPr>
              <w:t>’</w:t>
            </w:r>
            <w:r w:rsidRPr="00A32AF4">
              <w:rPr>
                <w:rFonts w:cs="Arial"/>
                <w:sz w:val="16"/>
                <w:szCs w:val="16"/>
              </w:rPr>
              <w:t xml:space="preserve">écart entre les prévisions de janvier et les chiffres réels concernant les demandes déposées par les systèmes du PCT, de Madrid et de </w:t>
            </w:r>
            <w:r w:rsidR="00E2055A" w:rsidRPr="00A32AF4">
              <w:rPr>
                <w:rFonts w:cs="Arial"/>
                <w:sz w:val="16"/>
                <w:szCs w:val="16"/>
              </w:rPr>
              <w:t>La Haye</w:t>
            </w:r>
            <w:r w:rsidRPr="00A32AF4">
              <w:rPr>
                <w:rFonts w:cs="Arial"/>
                <w:sz w:val="16"/>
                <w:szCs w:val="16"/>
              </w:rPr>
              <w:t xml:space="preserve"> s</w:t>
            </w:r>
            <w:r w:rsidR="00E2055A" w:rsidRPr="00A32AF4">
              <w:rPr>
                <w:rFonts w:cs="Arial"/>
                <w:sz w:val="16"/>
                <w:szCs w:val="16"/>
              </w:rPr>
              <w:t>’</w:t>
            </w:r>
            <w:r w:rsidRPr="00A32AF4">
              <w:rPr>
                <w:rFonts w:cs="Arial"/>
                <w:sz w:val="16"/>
                <w:szCs w:val="16"/>
              </w:rPr>
              <w:t xml:space="preserve">inscrit dans la marche prévue.  </w:t>
            </w:r>
          </w:p>
        </w:tc>
        <w:tc>
          <w:tcPr>
            <w:tcW w:w="1069" w:type="pct"/>
            <w:shd w:val="clear" w:color="auto" w:fill="FFFFFF"/>
            <w:tcMar>
              <w:top w:w="113" w:type="dxa"/>
              <w:bottom w:w="113" w:type="dxa"/>
            </w:tcMar>
          </w:tcPr>
          <w:p w:rsidR="0064145F" w:rsidRPr="00A32AF4" w:rsidRDefault="0064145F" w:rsidP="00DC0553">
            <w:pPr>
              <w:jc w:val="center"/>
              <w:rPr>
                <w:rFonts w:cs="Arial"/>
                <w:sz w:val="16"/>
                <w:szCs w:val="16"/>
                <w:lang w:bidi="th-TH"/>
              </w:rPr>
            </w:pPr>
            <w:r w:rsidRPr="00A32AF4">
              <w:rPr>
                <w:rFonts w:cs="Arial"/>
                <w:sz w:val="16"/>
                <w:szCs w:val="16"/>
                <w:lang w:bidi="th-TH"/>
              </w:rPr>
              <w:t>Programme 16</w:t>
            </w:r>
          </w:p>
        </w:tc>
      </w:tr>
      <w:tr w:rsidR="0064145F" w:rsidRPr="00A32AF4" w:rsidTr="0064145F">
        <w:trPr>
          <w:cantSplit/>
        </w:trPr>
        <w:tc>
          <w:tcPr>
            <w:tcW w:w="1770" w:type="pct"/>
            <w:shd w:val="clear" w:color="auto" w:fill="auto"/>
            <w:tcMar>
              <w:top w:w="113" w:type="dxa"/>
              <w:bottom w:w="113" w:type="dxa"/>
            </w:tcMar>
          </w:tcPr>
          <w:p w:rsidR="0064145F" w:rsidRPr="00A32AF4" w:rsidRDefault="0064145F" w:rsidP="00DC0553">
            <w:pPr>
              <w:tabs>
                <w:tab w:val="right" w:pos="2835"/>
              </w:tabs>
              <w:rPr>
                <w:rFonts w:cs="Arial"/>
                <w:sz w:val="16"/>
                <w:szCs w:val="16"/>
              </w:rPr>
            </w:pPr>
            <w:r w:rsidRPr="00A32AF4">
              <w:rPr>
                <w:rFonts w:cs="Arial"/>
                <w:sz w:val="16"/>
                <w:szCs w:val="16"/>
              </w:rPr>
              <w:t>V.2</w:t>
            </w:r>
            <w:r w:rsidRPr="00A32AF4">
              <w:rPr>
                <w:rFonts w:cs="Arial"/>
                <w:sz w:val="15"/>
                <w:szCs w:val="15"/>
              </w:rPr>
              <w:t xml:space="preserve"> </w:t>
            </w:r>
            <w:r w:rsidRPr="00A32AF4">
              <w:rPr>
                <w:rFonts w:cs="Arial"/>
                <w:sz w:val="16"/>
                <w:szCs w:val="16"/>
              </w:rPr>
              <w:t>Utilisation élargie et améliorée des analyses économiques de l</w:t>
            </w:r>
            <w:r w:rsidR="00E2055A" w:rsidRPr="00A32AF4">
              <w:rPr>
                <w:rFonts w:cs="Arial"/>
                <w:sz w:val="16"/>
                <w:szCs w:val="16"/>
              </w:rPr>
              <w:t>’</w:t>
            </w:r>
            <w:r w:rsidRPr="00A32AF4">
              <w:rPr>
                <w:rFonts w:cs="Arial"/>
                <w:sz w:val="16"/>
                <w:szCs w:val="16"/>
              </w:rPr>
              <w:t>OMPI aux fins de l</w:t>
            </w:r>
            <w:r w:rsidR="00E2055A" w:rsidRPr="00A32AF4">
              <w:rPr>
                <w:rFonts w:cs="Arial"/>
                <w:sz w:val="16"/>
                <w:szCs w:val="16"/>
              </w:rPr>
              <w:t>’</w:t>
            </w:r>
            <w:r w:rsidRPr="00A32AF4">
              <w:rPr>
                <w:rFonts w:cs="Arial"/>
                <w:sz w:val="16"/>
                <w:szCs w:val="16"/>
              </w:rPr>
              <w:t>élaboration des politiques</w:t>
            </w:r>
          </w:p>
        </w:tc>
        <w:tc>
          <w:tcPr>
            <w:tcW w:w="2161" w:type="pct"/>
            <w:shd w:val="clear" w:color="auto" w:fill="auto"/>
            <w:tcMar>
              <w:top w:w="113" w:type="dxa"/>
              <w:bottom w:w="113" w:type="dxa"/>
            </w:tcMar>
          </w:tcPr>
          <w:p w:rsidR="0064145F" w:rsidRPr="00A32AF4" w:rsidRDefault="0064145F" w:rsidP="00DC0553">
            <w:pPr>
              <w:rPr>
                <w:rFonts w:cs="Arial"/>
                <w:sz w:val="16"/>
                <w:szCs w:val="16"/>
              </w:rPr>
            </w:pPr>
            <w:r w:rsidRPr="00A32AF4">
              <w:rPr>
                <w:rFonts w:cs="Arial"/>
                <w:sz w:val="16"/>
                <w:szCs w:val="16"/>
              </w:rPr>
              <w:t>Nombre annuel de visiteurs sur les sites Web de l</w:t>
            </w:r>
            <w:r w:rsidR="00E2055A" w:rsidRPr="00A32AF4">
              <w:rPr>
                <w:rFonts w:cs="Arial"/>
                <w:sz w:val="16"/>
                <w:szCs w:val="16"/>
              </w:rPr>
              <w:t>’</w:t>
            </w:r>
            <w:r w:rsidRPr="00A32AF4">
              <w:rPr>
                <w:rFonts w:cs="Arial"/>
                <w:sz w:val="16"/>
                <w:szCs w:val="16"/>
              </w:rPr>
              <w:t>Indice mondial de l</w:t>
            </w:r>
            <w:r w:rsidR="00E2055A" w:rsidRPr="00A32AF4">
              <w:rPr>
                <w:rFonts w:cs="Arial"/>
                <w:sz w:val="16"/>
                <w:szCs w:val="16"/>
              </w:rPr>
              <w:t>’</w:t>
            </w:r>
            <w:r w:rsidRPr="00A32AF4">
              <w:rPr>
                <w:rFonts w:cs="Arial"/>
                <w:sz w:val="16"/>
                <w:szCs w:val="16"/>
              </w:rPr>
              <w:t>innovation</w:t>
            </w:r>
          </w:p>
        </w:tc>
        <w:tc>
          <w:tcPr>
            <w:tcW w:w="1069" w:type="pct"/>
            <w:shd w:val="clear" w:color="auto" w:fill="FFFFFF"/>
            <w:tcMar>
              <w:top w:w="113" w:type="dxa"/>
              <w:bottom w:w="113" w:type="dxa"/>
            </w:tcMar>
          </w:tcPr>
          <w:p w:rsidR="0064145F" w:rsidRPr="00A32AF4" w:rsidRDefault="0064145F" w:rsidP="00DC0553">
            <w:pPr>
              <w:jc w:val="center"/>
              <w:rPr>
                <w:rFonts w:cs="Arial"/>
                <w:sz w:val="16"/>
                <w:szCs w:val="16"/>
              </w:rPr>
            </w:pPr>
            <w:r w:rsidRPr="00A32AF4">
              <w:rPr>
                <w:rFonts w:cs="Arial"/>
                <w:sz w:val="16"/>
                <w:szCs w:val="16"/>
                <w:lang w:bidi="th-TH"/>
              </w:rPr>
              <w:t>Programme 16</w:t>
            </w:r>
          </w:p>
        </w:tc>
      </w:tr>
      <w:tr w:rsidR="0064145F" w:rsidRPr="00A32AF4" w:rsidTr="0064145F">
        <w:trPr>
          <w:cantSplit/>
        </w:trPr>
        <w:tc>
          <w:tcPr>
            <w:tcW w:w="1770" w:type="pct"/>
            <w:shd w:val="clear" w:color="auto" w:fill="auto"/>
            <w:tcMar>
              <w:top w:w="113" w:type="dxa"/>
              <w:bottom w:w="113" w:type="dxa"/>
            </w:tcMar>
          </w:tcPr>
          <w:p w:rsidR="0064145F" w:rsidRPr="00A32AF4" w:rsidRDefault="0064145F" w:rsidP="00DC0553">
            <w:pPr>
              <w:rPr>
                <w:rFonts w:cs="Arial"/>
                <w:sz w:val="16"/>
                <w:szCs w:val="16"/>
              </w:rPr>
            </w:pPr>
          </w:p>
        </w:tc>
        <w:tc>
          <w:tcPr>
            <w:tcW w:w="2161" w:type="pct"/>
            <w:shd w:val="clear" w:color="auto" w:fill="auto"/>
            <w:tcMar>
              <w:top w:w="113" w:type="dxa"/>
              <w:bottom w:w="113" w:type="dxa"/>
            </w:tcMar>
          </w:tcPr>
          <w:p w:rsidR="0064145F" w:rsidRPr="00A32AF4" w:rsidRDefault="0064145F" w:rsidP="00DC0553">
            <w:pPr>
              <w:rPr>
                <w:rFonts w:cs="Arial"/>
                <w:sz w:val="16"/>
                <w:szCs w:val="16"/>
              </w:rPr>
            </w:pPr>
            <w:r w:rsidRPr="00A32AF4">
              <w:rPr>
                <w:rFonts w:cs="Arial"/>
                <w:sz w:val="16"/>
                <w:szCs w:val="16"/>
              </w:rPr>
              <w:t>Nombre de téléchargements du Rapport sur la propriété intellectuelle dans le monde dans les six mois suivant sa publication</w:t>
            </w:r>
          </w:p>
        </w:tc>
        <w:tc>
          <w:tcPr>
            <w:tcW w:w="1069" w:type="pct"/>
            <w:shd w:val="clear" w:color="auto" w:fill="FFFFFF"/>
            <w:tcMar>
              <w:top w:w="113" w:type="dxa"/>
              <w:bottom w:w="113" w:type="dxa"/>
            </w:tcMar>
          </w:tcPr>
          <w:p w:rsidR="0064145F" w:rsidRPr="00A32AF4" w:rsidRDefault="0064145F" w:rsidP="00DC0553">
            <w:pPr>
              <w:jc w:val="center"/>
              <w:rPr>
                <w:rFonts w:cs="Arial"/>
                <w:sz w:val="16"/>
                <w:szCs w:val="16"/>
              </w:rPr>
            </w:pPr>
            <w:r w:rsidRPr="00A32AF4">
              <w:rPr>
                <w:rFonts w:cs="Arial"/>
                <w:sz w:val="16"/>
                <w:szCs w:val="16"/>
                <w:lang w:bidi="th-TH"/>
              </w:rPr>
              <w:t>Programme 16</w:t>
            </w:r>
          </w:p>
        </w:tc>
      </w:tr>
    </w:tbl>
    <w:p w:rsidR="00F93B76" w:rsidRPr="00A32AF4" w:rsidRDefault="00F93B76" w:rsidP="00DC0553">
      <w:pPr>
        <w:rPr>
          <w:lang w:eastAsia="da-DK"/>
        </w:rPr>
      </w:pPr>
    </w:p>
    <w:p w:rsidR="00F93B76" w:rsidRPr="00A32AF4" w:rsidRDefault="003068C2" w:rsidP="00DC0553">
      <w:pPr>
        <w:rPr>
          <w:lang w:eastAsia="da-DK"/>
        </w:rPr>
      </w:pPr>
      <w:r w:rsidRPr="00A32AF4">
        <w:rPr>
          <w:lang w:eastAsia="da-DK"/>
        </w:rPr>
        <w:br w:type="page"/>
      </w:r>
    </w:p>
    <w:p w:rsidR="0064145F" w:rsidRPr="00A32AF4" w:rsidRDefault="0064145F" w:rsidP="00FB1F61">
      <w:pPr>
        <w:pStyle w:val="Heading3"/>
      </w:pPr>
      <w:bookmarkStart w:id="51" w:name="_Toc431555457"/>
      <w:r w:rsidRPr="00A32AF4">
        <w:t>PROGRAMME 16</w:t>
      </w:r>
      <w:r w:rsidRPr="00A32AF4">
        <w:tab/>
        <w:t>‎Économie et statistiques</w:t>
      </w:r>
      <w:bookmarkEnd w:id="51"/>
    </w:p>
    <w:p w:rsidR="0064145F" w:rsidRPr="00A32AF4" w:rsidRDefault="0064145F" w:rsidP="00DC0553"/>
    <w:p w:rsidR="0064145F" w:rsidRPr="00A32AF4" w:rsidRDefault="0064145F" w:rsidP="00DC0553"/>
    <w:p w:rsidR="0064145F" w:rsidRPr="00A32AF4" w:rsidRDefault="0064145F" w:rsidP="00DC0553">
      <w:pPr>
        <w:rPr>
          <w:rFonts w:cs="Arial"/>
          <w:bCs/>
        </w:rPr>
      </w:pPr>
      <w:r w:rsidRPr="00A32AF4">
        <w:rPr>
          <w:rFonts w:cs="Arial"/>
          <w:bCs/>
        </w:rPr>
        <w:t>CONTEXTE DE PLANIFICATION</w:t>
      </w:r>
    </w:p>
    <w:p w:rsidR="0064145F" w:rsidRPr="00A32AF4" w:rsidRDefault="0064145F" w:rsidP="00DC0553">
      <w:pPr>
        <w:rPr>
          <w:rFonts w:cs="Arial"/>
        </w:rPr>
      </w:pPr>
    </w:p>
    <w:p w:rsidR="0064145F" w:rsidRPr="00A32AF4" w:rsidRDefault="0064145F" w:rsidP="00DC0553">
      <w:pPr>
        <w:numPr>
          <w:ilvl w:val="0"/>
          <w:numId w:val="65"/>
        </w:numPr>
        <w:jc w:val="both"/>
        <w:rPr>
          <w:rFonts w:cs="Arial"/>
          <w:bCs/>
        </w:rPr>
      </w:pPr>
      <w:r w:rsidRPr="00A32AF4">
        <w:rPr>
          <w:rFonts w:cs="Arial"/>
          <w:bCs/>
        </w:rPr>
        <w:t>Tandis que l</w:t>
      </w:r>
      <w:r w:rsidR="00E2055A" w:rsidRPr="00A32AF4">
        <w:rPr>
          <w:rFonts w:cs="Arial"/>
          <w:bCs/>
        </w:rPr>
        <w:t>’</w:t>
      </w:r>
      <w:r w:rsidRPr="00A32AF4">
        <w:rPr>
          <w:rFonts w:cs="Arial"/>
          <w:bCs/>
        </w:rPr>
        <w:t>économie mondiale poursuit sa reprise à un rythme irrégulier, l</w:t>
      </w:r>
      <w:r w:rsidR="00E2055A" w:rsidRPr="00A32AF4">
        <w:rPr>
          <w:rFonts w:cs="Arial"/>
          <w:bCs/>
        </w:rPr>
        <w:t>’</w:t>
      </w:r>
      <w:r w:rsidRPr="00A32AF4">
        <w:rPr>
          <w:rFonts w:cs="Arial"/>
          <w:bCs/>
        </w:rPr>
        <w:t>innovation continue de jouer un rôle essentiel dans le maintien de la croissance économique à long terme et le renforcement du développement humain.</w:t>
      </w:r>
      <w:r w:rsidRPr="00A32AF4">
        <w:t xml:space="preserve">  </w:t>
      </w:r>
      <w:r w:rsidRPr="00A32AF4">
        <w:rPr>
          <w:rFonts w:cs="Arial"/>
          <w:bCs/>
        </w:rPr>
        <w:t>Heureusement, le paysage de l</w:t>
      </w:r>
      <w:r w:rsidR="00E2055A" w:rsidRPr="00A32AF4">
        <w:rPr>
          <w:rFonts w:cs="Arial"/>
          <w:bCs/>
        </w:rPr>
        <w:t>’</w:t>
      </w:r>
      <w:r w:rsidRPr="00A32AF4">
        <w:rPr>
          <w:rFonts w:cs="Arial"/>
          <w:bCs/>
        </w:rPr>
        <w:t>innovation en constante évolution offre de nouvelles possibilités de mettre à profit les connaissances dans l</w:t>
      </w:r>
      <w:r w:rsidR="00E2055A" w:rsidRPr="00A32AF4">
        <w:rPr>
          <w:rFonts w:cs="Arial"/>
          <w:bCs/>
        </w:rPr>
        <w:t>’</w:t>
      </w:r>
      <w:r w:rsidRPr="00A32AF4">
        <w:rPr>
          <w:rFonts w:cs="Arial"/>
          <w:bCs/>
        </w:rPr>
        <w:t>intérêt des sociétés.</w:t>
      </w:r>
      <w:r w:rsidRPr="00A32AF4">
        <w:t xml:space="preserve">  </w:t>
      </w:r>
      <w:r w:rsidRPr="00A32AF4">
        <w:rPr>
          <w:rFonts w:cs="Arial"/>
          <w:bCs/>
        </w:rPr>
        <w:t>Les pays n</w:t>
      </w:r>
      <w:r w:rsidR="00E2055A" w:rsidRPr="00A32AF4">
        <w:rPr>
          <w:rFonts w:cs="Arial"/>
          <w:bCs/>
        </w:rPr>
        <w:t>’</w:t>
      </w:r>
      <w:r w:rsidRPr="00A32AF4">
        <w:rPr>
          <w:rFonts w:cs="Arial"/>
          <w:bCs/>
        </w:rPr>
        <w:t>ont d</w:t>
      </w:r>
      <w:r w:rsidR="00E2055A" w:rsidRPr="00A32AF4">
        <w:rPr>
          <w:rFonts w:cs="Arial"/>
          <w:bCs/>
        </w:rPr>
        <w:t>’</w:t>
      </w:r>
      <w:r w:rsidRPr="00A32AF4">
        <w:rPr>
          <w:rFonts w:cs="Arial"/>
          <w:bCs/>
        </w:rPr>
        <w:t>ailleurs jamais autant investi dans l</w:t>
      </w:r>
      <w:r w:rsidR="00E2055A" w:rsidRPr="00A32AF4">
        <w:rPr>
          <w:rFonts w:cs="Arial"/>
          <w:bCs/>
        </w:rPr>
        <w:t>’</w:t>
      </w:r>
      <w:r w:rsidRPr="00A32AF4">
        <w:rPr>
          <w:rFonts w:cs="Arial"/>
          <w:bCs/>
        </w:rPr>
        <w:t>économie du savoir, et de nouvelles sources d</w:t>
      </w:r>
      <w:r w:rsidR="00E2055A" w:rsidRPr="00A32AF4">
        <w:rPr>
          <w:rFonts w:cs="Arial"/>
          <w:bCs/>
        </w:rPr>
        <w:t>’</w:t>
      </w:r>
      <w:r w:rsidRPr="00A32AF4">
        <w:rPr>
          <w:rFonts w:cs="Arial"/>
          <w:bCs/>
        </w:rPr>
        <w:t>innovation font leur apparition, notamment en Asie.</w:t>
      </w:r>
      <w:r w:rsidRPr="00A32AF4">
        <w:t xml:space="preserve">  </w:t>
      </w:r>
      <w:r w:rsidRPr="00A32AF4">
        <w:rPr>
          <w:rFonts w:cs="Arial"/>
          <w:bCs/>
        </w:rPr>
        <w:t>Néanmoins, malgré une croissance économique rapide dans certains pays en développement, une partie significative de la population mondiale continue de vivre dans la pauvreté et n</w:t>
      </w:r>
      <w:r w:rsidR="00E2055A" w:rsidRPr="00A32AF4">
        <w:rPr>
          <w:rFonts w:cs="Arial"/>
          <w:bCs/>
        </w:rPr>
        <w:t>’</w:t>
      </w:r>
      <w:r w:rsidRPr="00A32AF4">
        <w:rPr>
          <w:rFonts w:cs="Arial"/>
          <w:bCs/>
        </w:rPr>
        <w:t>est pas en mesure de mettre ses savoirs au service de la prospérité économique.</w:t>
      </w:r>
    </w:p>
    <w:p w:rsidR="0064145F" w:rsidRPr="00A32AF4" w:rsidRDefault="0064145F" w:rsidP="00DC0553">
      <w:pPr>
        <w:tabs>
          <w:tab w:val="num" w:pos="709"/>
        </w:tabs>
        <w:jc w:val="both"/>
        <w:rPr>
          <w:rFonts w:cs="Arial"/>
          <w:bCs/>
        </w:rPr>
      </w:pPr>
    </w:p>
    <w:p w:rsidR="0064145F" w:rsidRPr="00A32AF4" w:rsidRDefault="0064145F" w:rsidP="00DC0553">
      <w:pPr>
        <w:numPr>
          <w:ilvl w:val="0"/>
          <w:numId w:val="65"/>
        </w:numPr>
        <w:jc w:val="both"/>
        <w:rPr>
          <w:rFonts w:cs="Arial"/>
          <w:bCs/>
        </w:rPr>
      </w:pPr>
      <w:r w:rsidRPr="00A32AF4">
        <w:rPr>
          <w:rFonts w:cs="Arial"/>
          <w:bCs/>
        </w:rPr>
        <w:t>Dans ce contexte, le système mondial de la propriété intellectuelle fait face à des défis de taille.</w:t>
      </w:r>
      <w:r w:rsidRPr="00A32AF4">
        <w:t xml:space="preserve">  </w:t>
      </w:r>
      <w:r w:rsidRPr="00A32AF4">
        <w:rPr>
          <w:rFonts w:cs="Arial"/>
          <w:bCs/>
        </w:rPr>
        <w:t>Les responsables de l</w:t>
      </w:r>
      <w:r w:rsidR="00E2055A" w:rsidRPr="00A32AF4">
        <w:rPr>
          <w:rFonts w:cs="Arial"/>
          <w:bCs/>
        </w:rPr>
        <w:t>’</w:t>
      </w:r>
      <w:r w:rsidRPr="00A32AF4">
        <w:rPr>
          <w:rFonts w:cs="Arial"/>
          <w:bCs/>
        </w:rPr>
        <w:t>élaboration des politiques doivent répondre à une demande croissante de titres de propriété intellectuelle, faire face à de nouvelles techniques et de nouveaux modèles d</w:t>
      </w:r>
      <w:r w:rsidR="00E2055A" w:rsidRPr="00A32AF4">
        <w:rPr>
          <w:rFonts w:cs="Arial"/>
          <w:bCs/>
        </w:rPr>
        <w:t>’</w:t>
      </w:r>
      <w:r w:rsidRPr="00A32AF4">
        <w:rPr>
          <w:rFonts w:cs="Arial"/>
          <w:bCs/>
        </w:rPr>
        <w:t>affaires et favoriser la création d</w:t>
      </w:r>
      <w:r w:rsidR="00E2055A" w:rsidRPr="00A32AF4">
        <w:rPr>
          <w:rFonts w:cs="Arial"/>
          <w:bCs/>
        </w:rPr>
        <w:t>’</w:t>
      </w:r>
      <w:r w:rsidRPr="00A32AF4">
        <w:rPr>
          <w:rFonts w:cs="Arial"/>
          <w:bCs/>
        </w:rPr>
        <w:t>un cadre international qui permette une protection de la propriété intellectuelle équilibrée.</w:t>
      </w:r>
      <w:r w:rsidRPr="00A32AF4">
        <w:t xml:space="preserve">  </w:t>
      </w:r>
      <w:r w:rsidRPr="00A32AF4">
        <w:rPr>
          <w:rFonts w:cs="Arial"/>
          <w:bCs/>
        </w:rPr>
        <w:t>De même, les responsables de l</w:t>
      </w:r>
      <w:r w:rsidR="00E2055A" w:rsidRPr="00A32AF4">
        <w:rPr>
          <w:rFonts w:cs="Arial"/>
          <w:bCs/>
        </w:rPr>
        <w:t>’</w:t>
      </w:r>
      <w:r w:rsidRPr="00A32AF4">
        <w:rPr>
          <w:rFonts w:cs="Arial"/>
          <w:bCs/>
        </w:rPr>
        <w:t>élaboration des politiques dans les pays en développement se heurtent à la difficulté qui consiste à adapter les politiques de propriété intellectuelle aux besoins de leurs économies, en tenant compte de différences en matière de dotation en ressources et de structures industrielles.</w:t>
      </w:r>
    </w:p>
    <w:p w:rsidR="0064145F" w:rsidRPr="00A32AF4" w:rsidRDefault="0064145F" w:rsidP="00DC0553">
      <w:pPr>
        <w:tabs>
          <w:tab w:val="num" w:pos="709"/>
        </w:tabs>
        <w:jc w:val="both"/>
        <w:rPr>
          <w:rFonts w:cs="Arial"/>
          <w:bCs/>
        </w:rPr>
      </w:pPr>
    </w:p>
    <w:p w:rsidR="0064145F" w:rsidRPr="00A32AF4" w:rsidRDefault="0064145F" w:rsidP="00DC0553">
      <w:pPr>
        <w:numPr>
          <w:ilvl w:val="0"/>
          <w:numId w:val="65"/>
        </w:numPr>
        <w:jc w:val="both"/>
        <w:rPr>
          <w:rFonts w:cs="Arial"/>
          <w:bCs/>
        </w:rPr>
      </w:pPr>
      <w:r w:rsidRPr="00A32AF4">
        <w:rPr>
          <w:rFonts w:cs="Arial"/>
          <w:bCs/>
        </w:rPr>
        <w:t xml:space="preserve">Par conséquent, il y a deux objectifs : premièrement, fournir des données statistiques précises, complètes et opportunes sur les résultats du système de la propriété intellectuelle dans le monde </w:t>
      </w:r>
      <w:proofErr w:type="gramStart"/>
      <w:r w:rsidRPr="00A32AF4">
        <w:rPr>
          <w:rFonts w:cs="Arial"/>
          <w:bCs/>
        </w:rPr>
        <w:t>entier;</w:t>
      </w:r>
      <w:proofErr w:type="gramEnd"/>
      <w:r w:rsidRPr="00A32AF4">
        <w:rPr>
          <w:rFonts w:cs="Arial"/>
          <w:bCs/>
        </w:rPr>
        <w:t xml:space="preserve">  deuxièmement, fournir des analyses empiriques de qualité en vue de faciliter l</w:t>
      </w:r>
      <w:r w:rsidR="00E2055A" w:rsidRPr="00A32AF4">
        <w:rPr>
          <w:rFonts w:cs="Arial"/>
          <w:bCs/>
        </w:rPr>
        <w:t>’</w:t>
      </w:r>
      <w:r w:rsidRPr="00A32AF4">
        <w:rPr>
          <w:rFonts w:cs="Arial"/>
          <w:bCs/>
        </w:rPr>
        <w:t>élaboration de politiques reposant sur des bases factuelles.</w:t>
      </w:r>
    </w:p>
    <w:p w:rsidR="0064145F" w:rsidRPr="00A32AF4" w:rsidRDefault="0064145F" w:rsidP="00DC0553">
      <w:pPr>
        <w:tabs>
          <w:tab w:val="num" w:pos="709"/>
        </w:tabs>
        <w:jc w:val="both"/>
        <w:rPr>
          <w:rFonts w:cs="Arial"/>
          <w:bCs/>
        </w:rPr>
      </w:pPr>
    </w:p>
    <w:p w:rsidR="0064145F" w:rsidRPr="00A32AF4" w:rsidRDefault="0064145F" w:rsidP="00DC0553">
      <w:pPr>
        <w:tabs>
          <w:tab w:val="num" w:pos="709"/>
        </w:tabs>
        <w:jc w:val="both"/>
        <w:rPr>
          <w:rFonts w:cs="Arial"/>
          <w:bCs/>
        </w:rPr>
      </w:pPr>
    </w:p>
    <w:p w:rsidR="0064145F" w:rsidRPr="00A32AF4" w:rsidRDefault="0064145F" w:rsidP="00DC0553">
      <w:pPr>
        <w:tabs>
          <w:tab w:val="num" w:pos="709"/>
        </w:tabs>
        <w:jc w:val="both"/>
        <w:rPr>
          <w:rFonts w:cs="Arial"/>
          <w:bCs/>
        </w:rPr>
      </w:pPr>
      <w:r w:rsidRPr="00A32AF4">
        <w:rPr>
          <w:rFonts w:cs="Arial"/>
          <w:bCs/>
        </w:rPr>
        <w:t>STRATÉGIES DE MISE EN ŒUVRE</w:t>
      </w:r>
    </w:p>
    <w:p w:rsidR="0064145F" w:rsidRPr="00A32AF4" w:rsidRDefault="0064145F" w:rsidP="00DC0553">
      <w:pPr>
        <w:tabs>
          <w:tab w:val="num" w:pos="709"/>
        </w:tabs>
        <w:jc w:val="both"/>
        <w:rPr>
          <w:rFonts w:cs="Arial"/>
          <w:bCs/>
        </w:rPr>
      </w:pPr>
    </w:p>
    <w:p w:rsidR="0064145F" w:rsidRPr="00A32AF4" w:rsidRDefault="0064145F" w:rsidP="002C7A75">
      <w:pPr>
        <w:numPr>
          <w:ilvl w:val="0"/>
          <w:numId w:val="65"/>
        </w:numPr>
        <w:jc w:val="both"/>
        <w:rPr>
          <w:rFonts w:cs="Arial"/>
          <w:bCs/>
        </w:rPr>
      </w:pPr>
      <w:r w:rsidRPr="00A32AF4">
        <w:rPr>
          <w:rFonts w:cs="Arial"/>
          <w:bCs/>
        </w:rPr>
        <w:t>S</w:t>
      </w:r>
      <w:r w:rsidR="00E2055A" w:rsidRPr="00A32AF4">
        <w:rPr>
          <w:rFonts w:cs="Arial"/>
          <w:bCs/>
        </w:rPr>
        <w:t>’</w:t>
      </w:r>
      <w:r w:rsidRPr="00A32AF4">
        <w:rPr>
          <w:rFonts w:cs="Arial"/>
          <w:bCs/>
        </w:rPr>
        <w:t>agissant des statistiques sur la propriété intellectuelle, l</w:t>
      </w:r>
      <w:r w:rsidR="00E2055A" w:rsidRPr="00A32AF4">
        <w:rPr>
          <w:rFonts w:cs="Arial"/>
          <w:bCs/>
        </w:rPr>
        <w:t>’</w:t>
      </w:r>
      <w:r w:rsidRPr="00A32AF4">
        <w:rPr>
          <w:rFonts w:cs="Arial"/>
          <w:bCs/>
        </w:rPr>
        <w:t>OMPI s</w:t>
      </w:r>
      <w:r w:rsidR="00E2055A" w:rsidRPr="00A32AF4">
        <w:rPr>
          <w:rFonts w:cs="Arial"/>
          <w:bCs/>
        </w:rPr>
        <w:t>’</w:t>
      </w:r>
      <w:r w:rsidRPr="00A32AF4">
        <w:rPr>
          <w:rFonts w:cs="Arial"/>
          <w:bCs/>
        </w:rPr>
        <w:t>emploie, en collaboration avec les offices nationaux et régionaux, à collecter des données sur les activités de propriété intellectuelle dans le monde dans le cadre de son enquête statistique annuelle.</w:t>
      </w:r>
      <w:r w:rsidRPr="00A32AF4">
        <w:t xml:space="preserve">  </w:t>
      </w:r>
      <w:r w:rsidRPr="00A32AF4">
        <w:rPr>
          <w:rFonts w:cs="Arial"/>
          <w:bCs/>
        </w:rPr>
        <w:t>Les statistiques sur les traités en matière de dépôt administrés par l</w:t>
      </w:r>
      <w:r w:rsidR="00E2055A" w:rsidRPr="00A32AF4">
        <w:rPr>
          <w:rFonts w:cs="Arial"/>
          <w:bCs/>
        </w:rPr>
        <w:t>’</w:t>
      </w:r>
      <w:r w:rsidRPr="00A32AF4">
        <w:rPr>
          <w:rFonts w:cs="Arial"/>
          <w:bCs/>
        </w:rPr>
        <w:t>OMPI sont établies en interne.</w:t>
      </w:r>
      <w:r w:rsidRPr="00A32AF4">
        <w:t xml:space="preserve"> </w:t>
      </w:r>
      <w:r w:rsidRPr="00A32AF4">
        <w:rPr>
          <w:rFonts w:cs="Arial"/>
          <w:bCs/>
        </w:rPr>
        <w:t xml:space="preserve"> La publication phare de l</w:t>
      </w:r>
      <w:r w:rsidR="00E2055A" w:rsidRPr="00A32AF4">
        <w:rPr>
          <w:rFonts w:cs="Arial"/>
          <w:bCs/>
        </w:rPr>
        <w:t>’</w:t>
      </w:r>
      <w:r w:rsidRPr="00A32AF4">
        <w:rPr>
          <w:rFonts w:cs="Arial"/>
          <w:bCs/>
        </w:rPr>
        <w:t>OMPI en matière de statistiques – les Indicateurs mondiaux relatifs à la propriété intellectuelle – continuera de présenter un résumé des principales tendances statistiques dans le domaine des brevets, des modèles d</w:t>
      </w:r>
      <w:r w:rsidR="00E2055A" w:rsidRPr="00A32AF4">
        <w:rPr>
          <w:rFonts w:cs="Arial"/>
          <w:bCs/>
        </w:rPr>
        <w:t>’</w:t>
      </w:r>
      <w:r w:rsidRPr="00A32AF4">
        <w:rPr>
          <w:rFonts w:cs="Arial"/>
          <w:bCs/>
        </w:rPr>
        <w:t>utilité, des marques, des dessins et modèles industriels et des obtentions végétales.</w:t>
      </w:r>
      <w:r w:rsidRPr="00A32AF4">
        <w:t xml:space="preserve"> </w:t>
      </w:r>
      <w:r w:rsidRPr="00A32AF4">
        <w:rPr>
          <w:rFonts w:cs="Arial"/>
          <w:bCs/>
        </w:rPr>
        <w:t xml:space="preserve"> De même, d</w:t>
      </w:r>
      <w:r w:rsidR="00E2055A" w:rsidRPr="00A32AF4">
        <w:rPr>
          <w:rFonts w:cs="Arial"/>
          <w:bCs/>
        </w:rPr>
        <w:t>’</w:t>
      </w:r>
      <w:r w:rsidRPr="00A32AF4">
        <w:rPr>
          <w:rFonts w:cs="Arial"/>
          <w:bCs/>
        </w:rPr>
        <w:t xml:space="preserve">autres ouvrages statistiques rendront compte des résultats des systèmes du PCT, de Madrid et de </w:t>
      </w:r>
      <w:r w:rsidR="00E2055A" w:rsidRPr="00A32AF4">
        <w:rPr>
          <w:rFonts w:cs="Arial"/>
          <w:bCs/>
        </w:rPr>
        <w:t>La Haye</w:t>
      </w:r>
      <w:r w:rsidRPr="00A32AF4">
        <w:rPr>
          <w:rFonts w:cs="Arial"/>
          <w:bCs/>
        </w:rPr>
        <w:t>.</w:t>
      </w:r>
      <w:r w:rsidRPr="00A32AF4">
        <w:t xml:space="preserve">  </w:t>
      </w:r>
      <w:r w:rsidRPr="00A32AF4">
        <w:rPr>
          <w:rFonts w:cs="Arial"/>
          <w:bCs/>
        </w:rPr>
        <w:t>Enfin, le Centre de données statistiques de propriété intellectuelle continuera de mettre toutes les données statistiques disponibles à la disposition des utilisateurs du monde entier.</w:t>
      </w:r>
      <w:r w:rsidRPr="00A32AF4">
        <w:t xml:space="preserve"> </w:t>
      </w:r>
      <w:r w:rsidRPr="00A32AF4">
        <w:rPr>
          <w:rFonts w:cs="Arial"/>
          <w:bCs/>
        </w:rPr>
        <w:t xml:space="preserve"> Compte tenu des priorités définies ci</w:t>
      </w:r>
      <w:r w:rsidR="00EB7F54" w:rsidRPr="00A32AF4">
        <w:rPr>
          <w:rFonts w:cs="Arial"/>
          <w:bCs/>
        </w:rPr>
        <w:noBreakHyphen/>
      </w:r>
      <w:r w:rsidRPr="00A32AF4">
        <w:rPr>
          <w:rFonts w:cs="Arial"/>
          <w:bCs/>
        </w:rPr>
        <w:t>dessus, des efforts particuliers seront déployés afin de collecter et de présenter de nouvelles statistiques sur les indications géographiques</w:t>
      </w:r>
      <w:r w:rsidR="002C7A75" w:rsidRPr="00A32AF4">
        <w:rPr>
          <w:rFonts w:cs="Arial"/>
          <w:bCs/>
        </w:rPr>
        <w:t>, les marques collectives et marques de certification</w:t>
      </w:r>
      <w:r w:rsidRPr="00A32AF4">
        <w:rPr>
          <w:rFonts w:cs="Arial"/>
          <w:bCs/>
        </w:rPr>
        <w:t xml:space="preserve"> et les activités relatives au droit d</w:t>
      </w:r>
      <w:r w:rsidR="00E2055A" w:rsidRPr="00A32AF4">
        <w:rPr>
          <w:rFonts w:cs="Arial"/>
          <w:bCs/>
        </w:rPr>
        <w:t>’</w:t>
      </w:r>
      <w:r w:rsidRPr="00A32AF4">
        <w:rPr>
          <w:rFonts w:cs="Arial"/>
          <w:bCs/>
        </w:rPr>
        <w:t>auteur</w:t>
      </w:r>
      <w:r w:rsidR="007A0EB9" w:rsidRPr="00A32AF4">
        <w:rPr>
          <w:rFonts w:cs="Arial"/>
          <w:bCs/>
        </w:rPr>
        <w:t>,</w:t>
      </w:r>
      <w:r w:rsidRPr="00A32AF4">
        <w:rPr>
          <w:rFonts w:cs="Arial"/>
          <w:bCs/>
        </w:rPr>
        <w:t xml:space="preserve"> et afin d</w:t>
      </w:r>
      <w:r w:rsidR="00E2055A" w:rsidRPr="00A32AF4">
        <w:rPr>
          <w:rFonts w:cs="Arial"/>
          <w:bCs/>
        </w:rPr>
        <w:t>’</w:t>
      </w:r>
      <w:r w:rsidRPr="00A32AF4">
        <w:rPr>
          <w:rFonts w:cs="Arial"/>
          <w:bCs/>
        </w:rPr>
        <w:t>améliorer davantage la convivialité des statistiques de l</w:t>
      </w:r>
      <w:r w:rsidR="00E2055A" w:rsidRPr="00A32AF4">
        <w:rPr>
          <w:rFonts w:cs="Arial"/>
          <w:bCs/>
        </w:rPr>
        <w:t>’</w:t>
      </w:r>
      <w:r w:rsidRPr="00A32AF4">
        <w:rPr>
          <w:rFonts w:cs="Arial"/>
          <w:bCs/>
        </w:rPr>
        <w:t>OMPI.</w:t>
      </w:r>
    </w:p>
    <w:p w:rsidR="0064145F" w:rsidRPr="00A32AF4" w:rsidRDefault="0064145F" w:rsidP="00DC0553">
      <w:pPr>
        <w:tabs>
          <w:tab w:val="num" w:pos="709"/>
        </w:tabs>
        <w:jc w:val="both"/>
        <w:rPr>
          <w:rFonts w:cs="Arial"/>
          <w:bCs/>
        </w:rPr>
      </w:pPr>
    </w:p>
    <w:p w:rsidR="0064145F" w:rsidRPr="00A32AF4" w:rsidRDefault="0064145F" w:rsidP="00265B2A">
      <w:pPr>
        <w:numPr>
          <w:ilvl w:val="0"/>
          <w:numId w:val="65"/>
        </w:numPr>
        <w:jc w:val="both"/>
        <w:rPr>
          <w:rFonts w:cs="Arial"/>
          <w:bCs/>
        </w:rPr>
      </w:pPr>
      <w:r w:rsidRPr="00A32AF4">
        <w:rPr>
          <w:rFonts w:cs="Arial"/>
          <w:bCs/>
        </w:rPr>
        <w:t>En ce qui concerne l</w:t>
      </w:r>
      <w:r w:rsidR="00E2055A" w:rsidRPr="00A32AF4">
        <w:rPr>
          <w:rFonts w:cs="Arial"/>
          <w:bCs/>
        </w:rPr>
        <w:t>’</w:t>
      </w:r>
      <w:r w:rsidRPr="00A32AF4">
        <w:rPr>
          <w:rFonts w:cs="Arial"/>
          <w:bCs/>
        </w:rPr>
        <w:t>analyse économique, l</w:t>
      </w:r>
      <w:r w:rsidR="00E2055A" w:rsidRPr="00A32AF4">
        <w:rPr>
          <w:rFonts w:cs="Arial"/>
          <w:bCs/>
        </w:rPr>
        <w:t>’</w:t>
      </w:r>
      <w:r w:rsidRPr="00A32AF4">
        <w:rPr>
          <w:rFonts w:cs="Arial"/>
          <w:bCs/>
        </w:rPr>
        <w:t>OMPI continuera de coéditer l</w:t>
      </w:r>
      <w:r w:rsidR="00E2055A" w:rsidRPr="00A32AF4">
        <w:rPr>
          <w:rFonts w:cs="Arial"/>
          <w:bCs/>
        </w:rPr>
        <w:t>’</w:t>
      </w:r>
      <w:r w:rsidRPr="00A32AF4">
        <w:rPr>
          <w:rFonts w:cs="Arial"/>
          <w:bCs/>
        </w:rPr>
        <w:t>Indice mondial de l</w:t>
      </w:r>
      <w:r w:rsidR="00E2055A" w:rsidRPr="00A32AF4">
        <w:rPr>
          <w:rFonts w:cs="Arial"/>
          <w:bCs/>
        </w:rPr>
        <w:t>’</w:t>
      </w:r>
      <w:r w:rsidRPr="00A32AF4">
        <w:rPr>
          <w:rFonts w:cs="Arial"/>
          <w:bCs/>
        </w:rPr>
        <w:t>innovation, qui s</w:t>
      </w:r>
      <w:r w:rsidR="00E2055A" w:rsidRPr="00A32AF4">
        <w:rPr>
          <w:rFonts w:cs="Arial"/>
          <w:bCs/>
        </w:rPr>
        <w:t>’</w:t>
      </w:r>
      <w:r w:rsidRPr="00A32AF4">
        <w:rPr>
          <w:rFonts w:cs="Arial"/>
          <w:bCs/>
        </w:rPr>
        <w:t>emploie à mesurer l</w:t>
      </w:r>
      <w:r w:rsidR="00E2055A" w:rsidRPr="00A32AF4">
        <w:rPr>
          <w:rFonts w:cs="Arial"/>
          <w:bCs/>
        </w:rPr>
        <w:t>’</w:t>
      </w:r>
      <w:r w:rsidRPr="00A32AF4">
        <w:rPr>
          <w:rFonts w:cs="Arial"/>
          <w:bCs/>
        </w:rPr>
        <w:t>innovation et à fournir aux responsables de l</w:t>
      </w:r>
      <w:r w:rsidR="00E2055A" w:rsidRPr="00A32AF4">
        <w:rPr>
          <w:rFonts w:cs="Arial"/>
          <w:bCs/>
        </w:rPr>
        <w:t>’</w:t>
      </w:r>
      <w:r w:rsidRPr="00A32AF4">
        <w:rPr>
          <w:rFonts w:cs="Arial"/>
          <w:bCs/>
        </w:rPr>
        <w:t xml:space="preserve">élaboration des politiques </w:t>
      </w:r>
      <w:r w:rsidR="004A1803" w:rsidRPr="00A32AF4">
        <w:rPr>
          <w:rFonts w:cs="Arial"/>
          <w:bCs/>
        </w:rPr>
        <w:t>des informations sur</w:t>
      </w:r>
      <w:r w:rsidRPr="00A32AF4">
        <w:rPr>
          <w:rFonts w:cs="Arial"/>
          <w:bCs/>
        </w:rPr>
        <w:t xml:space="preserve"> les résultats en matière d</w:t>
      </w:r>
      <w:r w:rsidR="00E2055A" w:rsidRPr="00A32AF4">
        <w:rPr>
          <w:rFonts w:cs="Arial"/>
          <w:bCs/>
        </w:rPr>
        <w:t>’</w:t>
      </w:r>
      <w:r w:rsidRPr="00A32AF4">
        <w:rPr>
          <w:rFonts w:cs="Arial"/>
          <w:bCs/>
        </w:rPr>
        <w:t>innovation.</w:t>
      </w:r>
      <w:r w:rsidRPr="00A32AF4">
        <w:t xml:space="preserve">  </w:t>
      </w:r>
      <w:r w:rsidR="00265B2A" w:rsidRPr="00A32AF4">
        <w:t>L</w:t>
      </w:r>
      <w:r w:rsidR="00E2055A" w:rsidRPr="00A32AF4">
        <w:t>’</w:t>
      </w:r>
      <w:r w:rsidR="00265B2A" w:rsidRPr="00A32AF4">
        <w:t>OMPI continuera de solliciter des retours d</w:t>
      </w:r>
      <w:r w:rsidR="00E2055A" w:rsidRPr="00A32AF4">
        <w:t>’</w:t>
      </w:r>
      <w:r w:rsidR="00265B2A" w:rsidRPr="00A32AF4">
        <w:t>information de la part des États membres sur les moyens d</w:t>
      </w:r>
      <w:r w:rsidR="00E2055A" w:rsidRPr="00A32AF4">
        <w:t>’</w:t>
      </w:r>
      <w:r w:rsidR="00265B2A" w:rsidRPr="00A32AF4">
        <w:t xml:space="preserve">améliorer cet indice. </w:t>
      </w:r>
      <w:r w:rsidR="00E81C6E" w:rsidRPr="00A32AF4">
        <w:t xml:space="preserve"> </w:t>
      </w:r>
      <w:r w:rsidRPr="00A32AF4">
        <w:rPr>
          <w:rFonts w:cs="Arial"/>
          <w:bCs/>
        </w:rPr>
        <w:t>De même, la série des Rapports mondiaux sur la propriété intellectuelle de l</w:t>
      </w:r>
      <w:r w:rsidR="00E2055A" w:rsidRPr="00A32AF4">
        <w:rPr>
          <w:rFonts w:cs="Arial"/>
          <w:bCs/>
        </w:rPr>
        <w:t>’</w:t>
      </w:r>
      <w:r w:rsidRPr="00A32AF4">
        <w:rPr>
          <w:rFonts w:cs="Arial"/>
          <w:bCs/>
        </w:rPr>
        <w:t>OMPI, qui s</w:t>
      </w:r>
      <w:r w:rsidR="00E2055A" w:rsidRPr="00A32AF4">
        <w:rPr>
          <w:rFonts w:cs="Arial"/>
          <w:bCs/>
        </w:rPr>
        <w:t>’</w:t>
      </w:r>
      <w:r w:rsidRPr="00A32AF4">
        <w:rPr>
          <w:rFonts w:cs="Arial"/>
          <w:bCs/>
        </w:rPr>
        <w:t>attache à étudier de nouveaux thèmes et à enrichir l</w:t>
      </w:r>
      <w:r w:rsidR="00E2055A" w:rsidRPr="00A32AF4">
        <w:rPr>
          <w:rFonts w:cs="Arial"/>
          <w:bCs/>
        </w:rPr>
        <w:t>’</w:t>
      </w:r>
      <w:r w:rsidRPr="00A32AF4">
        <w:rPr>
          <w:rFonts w:cs="Arial"/>
          <w:bCs/>
        </w:rPr>
        <w:t>analyse relative à des questions mondiales de propriété intellectuelle, sera maintenue.</w:t>
      </w:r>
      <w:r w:rsidRPr="00A32AF4">
        <w:t xml:space="preserve">  </w:t>
      </w:r>
      <w:r w:rsidRPr="00A32AF4">
        <w:rPr>
          <w:rFonts w:cs="Arial"/>
          <w:bCs/>
        </w:rPr>
        <w:t>En outre, le programme visera à développer un nouvel axe de recherche sur la politique et les résultats dans l</w:t>
      </w:r>
      <w:r w:rsidR="00E2055A" w:rsidRPr="00A32AF4">
        <w:rPr>
          <w:rFonts w:cs="Arial"/>
          <w:bCs/>
        </w:rPr>
        <w:t>’</w:t>
      </w:r>
      <w:r w:rsidRPr="00A32AF4">
        <w:rPr>
          <w:rFonts w:cs="Arial"/>
          <w:bCs/>
        </w:rPr>
        <w:t>économie de la création.</w:t>
      </w:r>
      <w:r w:rsidR="003A7C8C" w:rsidRPr="00A32AF4">
        <w:rPr>
          <w:rFonts w:cs="Arial"/>
          <w:bCs/>
        </w:rPr>
        <w:t xml:space="preserve"> </w:t>
      </w:r>
      <w:r w:rsidR="00E81C6E" w:rsidRPr="00A32AF4">
        <w:rPr>
          <w:rFonts w:cs="Arial"/>
          <w:bCs/>
        </w:rPr>
        <w:t xml:space="preserve"> </w:t>
      </w:r>
      <w:r w:rsidR="003A7C8C" w:rsidRPr="00A32AF4">
        <w:rPr>
          <w:rFonts w:cs="Arial"/>
          <w:bCs/>
        </w:rPr>
        <w:t xml:space="preserve">Afin de mener à bien les travaux </w:t>
      </w:r>
      <w:r w:rsidR="007A599E" w:rsidRPr="00A32AF4">
        <w:rPr>
          <w:rFonts w:cs="Arial"/>
          <w:bCs/>
        </w:rPr>
        <w:t>relatifs à</w:t>
      </w:r>
      <w:r w:rsidR="003A7C8C" w:rsidRPr="00A32AF4">
        <w:rPr>
          <w:rFonts w:cs="Arial"/>
          <w:bCs/>
        </w:rPr>
        <w:t xml:space="preserve"> ce nouvel axe de recherche, le programme collaborera étroitement avec le programme</w:t>
      </w:r>
      <w:r w:rsidR="00E81C6E" w:rsidRPr="00A32AF4">
        <w:rPr>
          <w:rFonts w:cs="Arial"/>
          <w:bCs/>
        </w:rPr>
        <w:t> </w:t>
      </w:r>
      <w:r w:rsidR="003A7C8C" w:rsidRPr="00A32AF4">
        <w:rPr>
          <w:rFonts w:cs="Arial"/>
          <w:bCs/>
        </w:rPr>
        <w:t>3.</w:t>
      </w:r>
    </w:p>
    <w:p w:rsidR="0064145F" w:rsidRPr="00A32AF4" w:rsidRDefault="0064145F" w:rsidP="00DC0553">
      <w:pPr>
        <w:tabs>
          <w:tab w:val="num" w:pos="709"/>
        </w:tabs>
        <w:jc w:val="both"/>
        <w:rPr>
          <w:rFonts w:cs="Arial"/>
          <w:bCs/>
        </w:rPr>
      </w:pPr>
    </w:p>
    <w:p w:rsidR="0064145F" w:rsidRPr="00A32AF4" w:rsidRDefault="0064145F" w:rsidP="00DC0553">
      <w:pPr>
        <w:numPr>
          <w:ilvl w:val="0"/>
          <w:numId w:val="65"/>
        </w:numPr>
        <w:jc w:val="both"/>
        <w:rPr>
          <w:rFonts w:cs="Arial"/>
          <w:bCs/>
        </w:rPr>
      </w:pPr>
      <w:r w:rsidRPr="00A32AF4">
        <w:rPr>
          <w:rFonts w:cs="Arial"/>
          <w:bCs/>
        </w:rPr>
        <w:t>Comme par le passé, le programme sera prêt à répondre à toutes les demandes d</w:t>
      </w:r>
      <w:r w:rsidR="00E2055A" w:rsidRPr="00A32AF4">
        <w:rPr>
          <w:rFonts w:cs="Arial"/>
          <w:bCs/>
        </w:rPr>
        <w:t>’</w:t>
      </w:r>
      <w:r w:rsidRPr="00A32AF4">
        <w:rPr>
          <w:rFonts w:cs="Arial"/>
          <w:bCs/>
        </w:rPr>
        <w:t>analyse économique émanant des comités de l</w:t>
      </w:r>
      <w:r w:rsidR="00E2055A" w:rsidRPr="00A32AF4">
        <w:rPr>
          <w:rFonts w:cs="Arial"/>
          <w:bCs/>
        </w:rPr>
        <w:t>’</w:t>
      </w:r>
      <w:r w:rsidRPr="00A32AF4">
        <w:rPr>
          <w:rFonts w:cs="Arial"/>
          <w:bCs/>
        </w:rPr>
        <w:t>OMPI.</w:t>
      </w:r>
      <w:r w:rsidRPr="00A32AF4">
        <w:t xml:space="preserve">  </w:t>
      </w:r>
      <w:r w:rsidRPr="00A32AF4">
        <w:rPr>
          <w:rFonts w:cs="Arial"/>
          <w:bCs/>
        </w:rPr>
        <w:t>Enfin, les travaux d</w:t>
      </w:r>
      <w:r w:rsidR="00E2055A" w:rsidRPr="00A32AF4">
        <w:rPr>
          <w:rFonts w:cs="Arial"/>
          <w:bCs/>
        </w:rPr>
        <w:t>’</w:t>
      </w:r>
      <w:r w:rsidRPr="00A32AF4">
        <w:rPr>
          <w:rFonts w:cs="Arial"/>
          <w:bCs/>
        </w:rPr>
        <w:t>étude dans les pays en développement, menés dans le cadre d</w:t>
      </w:r>
      <w:r w:rsidR="00E2055A" w:rsidRPr="00A32AF4">
        <w:rPr>
          <w:rFonts w:cs="Arial"/>
          <w:bCs/>
        </w:rPr>
        <w:t>’</w:t>
      </w:r>
      <w:r w:rsidRPr="00A32AF4">
        <w:rPr>
          <w:rFonts w:cs="Arial"/>
          <w:bCs/>
        </w:rPr>
        <w:t>un projet du Plan d</w:t>
      </w:r>
      <w:r w:rsidR="00E2055A" w:rsidRPr="00A32AF4">
        <w:rPr>
          <w:rFonts w:cs="Arial"/>
          <w:bCs/>
        </w:rPr>
        <w:t>’</w:t>
      </w:r>
      <w:r w:rsidRPr="00A32AF4">
        <w:rPr>
          <w:rFonts w:cs="Arial"/>
          <w:bCs/>
        </w:rPr>
        <w:t>action pour le développement, seront étendus à quatre ou cinq nouveaux pays.</w:t>
      </w:r>
      <w:r w:rsidRPr="00A32AF4">
        <w:t xml:space="preserve">  </w:t>
      </w:r>
      <w:r w:rsidRPr="00A32AF4">
        <w:rPr>
          <w:rFonts w:cs="Arial"/>
          <w:bCs/>
        </w:rPr>
        <w:t>En réponse aux besoins des États membres, ces études continueront de s</w:t>
      </w:r>
      <w:r w:rsidR="00E2055A" w:rsidRPr="00A32AF4">
        <w:rPr>
          <w:rFonts w:cs="Arial"/>
          <w:bCs/>
        </w:rPr>
        <w:t>’</w:t>
      </w:r>
      <w:r w:rsidRPr="00A32AF4">
        <w:rPr>
          <w:rFonts w:cs="Arial"/>
          <w:bCs/>
        </w:rPr>
        <w:t>inspirer des recommandations pertinentes du Plan d</w:t>
      </w:r>
      <w:r w:rsidR="00E2055A" w:rsidRPr="00A32AF4">
        <w:rPr>
          <w:rFonts w:cs="Arial"/>
          <w:bCs/>
        </w:rPr>
        <w:t>’</w:t>
      </w:r>
      <w:r w:rsidRPr="00A32AF4">
        <w:rPr>
          <w:rFonts w:cs="Arial"/>
          <w:bCs/>
        </w:rPr>
        <w:t>action pour le développement, en particulier les recommandations n</w:t>
      </w:r>
      <w:r w:rsidRPr="00A32AF4">
        <w:rPr>
          <w:rFonts w:cs="Arial"/>
          <w:bCs/>
          <w:vertAlign w:val="superscript"/>
        </w:rPr>
        <w:t>os</w:t>
      </w:r>
      <w:r w:rsidRPr="00A32AF4">
        <w:rPr>
          <w:rFonts w:cs="Arial"/>
          <w:bCs/>
        </w:rPr>
        <w:t> 34, 35, 37 et 39, et d</w:t>
      </w:r>
      <w:r w:rsidR="00E2055A" w:rsidRPr="00A32AF4">
        <w:rPr>
          <w:rFonts w:cs="Arial"/>
          <w:bCs/>
        </w:rPr>
        <w:t>’</w:t>
      </w:r>
      <w:r w:rsidRPr="00A32AF4">
        <w:rPr>
          <w:rFonts w:cs="Arial"/>
          <w:bCs/>
        </w:rPr>
        <w:t>apporter une contribution empirique à la réflexion sur les incidences économiques de différents choix de politique publique en matière de propriété intellectuelle.</w:t>
      </w:r>
    </w:p>
    <w:p w:rsidR="0064145F" w:rsidRPr="00A32AF4" w:rsidRDefault="0064145F" w:rsidP="00DC0553">
      <w:pPr>
        <w:tabs>
          <w:tab w:val="num" w:pos="709"/>
        </w:tabs>
        <w:jc w:val="both"/>
        <w:rPr>
          <w:rFonts w:cs="Arial"/>
          <w:bCs/>
        </w:rPr>
      </w:pPr>
    </w:p>
    <w:p w:rsidR="0064145F" w:rsidRPr="00A32AF4" w:rsidRDefault="0064145F" w:rsidP="00DC0553">
      <w:pPr>
        <w:numPr>
          <w:ilvl w:val="0"/>
          <w:numId w:val="65"/>
        </w:numPr>
        <w:jc w:val="both"/>
        <w:rPr>
          <w:rFonts w:cs="Arial"/>
          <w:bCs/>
        </w:rPr>
      </w:pPr>
      <w:r w:rsidRPr="00A32AF4">
        <w:rPr>
          <w:rFonts w:cs="Arial"/>
          <w:bCs/>
        </w:rPr>
        <w:t>Pour favoriser une analyse économique de qualité et maximiser les synergies, l</w:t>
      </w:r>
      <w:r w:rsidR="00E2055A" w:rsidRPr="00A32AF4">
        <w:rPr>
          <w:rFonts w:cs="Arial"/>
          <w:bCs/>
        </w:rPr>
        <w:t>’</w:t>
      </w:r>
      <w:r w:rsidRPr="00A32AF4">
        <w:rPr>
          <w:rFonts w:cs="Arial"/>
          <w:bCs/>
        </w:rPr>
        <w:t>OMPI fera appel à son vaste réseau international d</w:t>
      </w:r>
      <w:r w:rsidR="00E2055A" w:rsidRPr="00A32AF4">
        <w:rPr>
          <w:rFonts w:cs="Arial"/>
          <w:bCs/>
        </w:rPr>
        <w:t>’</w:t>
      </w:r>
      <w:r w:rsidRPr="00A32AF4">
        <w:rPr>
          <w:rFonts w:cs="Arial"/>
          <w:bCs/>
        </w:rPr>
        <w:t>économistes universitaires et continuera d</w:t>
      </w:r>
      <w:r w:rsidR="00E2055A" w:rsidRPr="00A32AF4">
        <w:rPr>
          <w:rFonts w:cs="Arial"/>
          <w:bCs/>
        </w:rPr>
        <w:t>’</w:t>
      </w:r>
      <w:r w:rsidRPr="00A32AF4">
        <w:rPr>
          <w:rFonts w:cs="Arial"/>
          <w:bCs/>
        </w:rPr>
        <w:t>assurer la coordination du réseau mondial d</w:t>
      </w:r>
      <w:r w:rsidR="00E2055A" w:rsidRPr="00A32AF4">
        <w:rPr>
          <w:rFonts w:cs="Arial"/>
          <w:bCs/>
        </w:rPr>
        <w:t>’</w:t>
      </w:r>
      <w:r w:rsidRPr="00A32AF4">
        <w:rPr>
          <w:rFonts w:cs="Arial"/>
          <w:bCs/>
        </w:rPr>
        <w:t>économistes rattachés aux offices de propriété intellectuelle.</w:t>
      </w:r>
    </w:p>
    <w:p w:rsidR="0064145F" w:rsidRPr="00A32AF4" w:rsidRDefault="0064145F" w:rsidP="00DC0553">
      <w:pPr>
        <w:tabs>
          <w:tab w:val="num" w:pos="709"/>
        </w:tabs>
        <w:jc w:val="both"/>
        <w:rPr>
          <w:rFonts w:cs="Arial"/>
          <w:bCs/>
        </w:rPr>
      </w:pPr>
    </w:p>
    <w:p w:rsidR="0064145F" w:rsidRPr="00A32AF4" w:rsidRDefault="0064145F" w:rsidP="00DC0553">
      <w:pPr>
        <w:keepNext/>
        <w:keepLines/>
        <w:numPr>
          <w:ilvl w:val="0"/>
          <w:numId w:val="65"/>
        </w:numPr>
        <w:jc w:val="both"/>
        <w:rPr>
          <w:rFonts w:cs="Arial"/>
          <w:bCs/>
        </w:rPr>
      </w:pPr>
      <w:r w:rsidRPr="00A32AF4">
        <w:rPr>
          <w:rFonts w:cs="Arial"/>
          <w:bCs/>
        </w:rPr>
        <w:t>Les principaux liens avec d</w:t>
      </w:r>
      <w:r w:rsidR="00E2055A" w:rsidRPr="00A32AF4">
        <w:rPr>
          <w:rFonts w:cs="Arial"/>
          <w:bCs/>
        </w:rPr>
        <w:t>’</w:t>
      </w:r>
      <w:r w:rsidRPr="00A32AF4">
        <w:rPr>
          <w:rFonts w:cs="Arial"/>
          <w:bCs/>
        </w:rPr>
        <w:t>autres programmes sont les suivants :</w:t>
      </w:r>
    </w:p>
    <w:p w:rsidR="0064145F" w:rsidRPr="00A32AF4" w:rsidRDefault="0064145F" w:rsidP="00DC0553">
      <w:pPr>
        <w:keepNext/>
        <w:keepLines/>
        <w:tabs>
          <w:tab w:val="num" w:pos="709"/>
        </w:tabs>
        <w:jc w:val="both"/>
        <w:rPr>
          <w:rFonts w:cs="Arial"/>
          <w:bCs/>
        </w:rPr>
      </w:pPr>
    </w:p>
    <w:p w:rsidR="0064145F" w:rsidRPr="00A32AF4" w:rsidRDefault="0064145F" w:rsidP="00DC0553">
      <w:pPr>
        <w:keepNext/>
        <w:keepLines/>
        <w:tabs>
          <w:tab w:val="num" w:pos="709"/>
        </w:tabs>
        <w:jc w:val="both"/>
        <w:rPr>
          <w:rFonts w:cs="Arial"/>
          <w:bCs/>
        </w:rPr>
      </w:pPr>
      <w:r w:rsidRPr="00A32AF4">
        <w:rPr>
          <w:rFonts w:cs="Arial"/>
          <w:noProof/>
          <w:lang w:eastAsia="fr-FR"/>
        </w:rPr>
        <w:drawing>
          <wp:inline distT="0" distB="0" distL="0" distR="0" wp14:anchorId="3AE2179B" wp14:editId="0EB06B8E">
            <wp:extent cx="5988676" cy="2891307"/>
            <wp:effectExtent l="57150" t="0" r="0" b="156845"/>
            <wp:docPr id="80" name="Diagram 8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7" r:lo="rId138" r:qs="rId139" r:cs="rId140"/>
              </a:graphicData>
            </a:graphic>
          </wp:inline>
        </w:drawing>
      </w:r>
    </w:p>
    <w:p w:rsidR="0064145F" w:rsidRPr="00A32AF4" w:rsidRDefault="0064145F" w:rsidP="00DC0553">
      <w:pPr>
        <w:keepNext/>
        <w:keepLines/>
        <w:tabs>
          <w:tab w:val="num" w:pos="709"/>
        </w:tabs>
        <w:jc w:val="both"/>
        <w:rPr>
          <w:rFonts w:cs="Arial"/>
          <w:bCs/>
        </w:rPr>
      </w:pPr>
    </w:p>
    <w:p w:rsidR="0064145F" w:rsidRPr="00A32AF4" w:rsidRDefault="0064145F" w:rsidP="00DC0553">
      <w:pPr>
        <w:tabs>
          <w:tab w:val="num" w:pos="709"/>
        </w:tabs>
        <w:jc w:val="both"/>
        <w:rPr>
          <w:rFonts w:cs="Arial"/>
          <w:bCs/>
        </w:rPr>
      </w:pPr>
    </w:p>
    <w:p w:rsidR="0064145F" w:rsidRPr="00A32AF4" w:rsidRDefault="0064145F" w:rsidP="00DC0553">
      <w:pPr>
        <w:keepNext/>
        <w:keepLines/>
        <w:rPr>
          <w:rFonts w:cs="Arial"/>
        </w:rPr>
      </w:pPr>
      <w:r w:rsidRPr="00A32AF4">
        <w:rPr>
          <w:rFonts w:cs="Arial"/>
        </w:rPr>
        <w:t>PRINCIPAUX RISQUES ET STRATÉGIES D</w:t>
      </w:r>
      <w:r w:rsidR="00E2055A" w:rsidRPr="00A32AF4">
        <w:rPr>
          <w:rFonts w:cs="Arial"/>
        </w:rPr>
        <w:t>’</w:t>
      </w:r>
      <w:r w:rsidRPr="00A32AF4">
        <w:rPr>
          <w:rFonts w:cs="Arial"/>
        </w:rPr>
        <w:t>ATTÉNUATION</w:t>
      </w:r>
    </w:p>
    <w:p w:rsidR="0064145F" w:rsidRPr="00A32AF4" w:rsidRDefault="0064145F" w:rsidP="00DC0553">
      <w:pPr>
        <w:keepNext/>
        <w:keepLines/>
        <w:rPr>
          <w:rFonts w:cs="Arial"/>
        </w:rPr>
      </w:pPr>
    </w:p>
    <w:tbl>
      <w:tblPr>
        <w:tblW w:w="9214"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253"/>
        <w:gridCol w:w="4961"/>
      </w:tblGrid>
      <w:tr w:rsidR="0064145F" w:rsidRPr="00A32AF4" w:rsidTr="000B5CFC">
        <w:trPr>
          <w:trHeight w:val="484"/>
        </w:trPr>
        <w:tc>
          <w:tcPr>
            <w:tcW w:w="4253" w:type="dxa"/>
            <w:tcBorders>
              <w:top w:val="single" w:sz="4" w:space="0" w:color="auto"/>
              <w:bottom w:val="single" w:sz="4" w:space="0" w:color="auto"/>
            </w:tcBorders>
            <w:shd w:val="clear" w:color="auto" w:fill="C6D9F1" w:themeFill="text2" w:themeFillTint="33"/>
            <w:vAlign w:val="center"/>
          </w:tcPr>
          <w:p w:rsidR="0064145F" w:rsidRPr="00A32AF4" w:rsidRDefault="0064145F" w:rsidP="00DC0553">
            <w:pPr>
              <w:keepNext/>
              <w:keepLines/>
              <w:jc w:val="center"/>
              <w:rPr>
                <w:rFonts w:cs="Arial"/>
                <w:b/>
                <w:bCs/>
                <w:sz w:val="18"/>
                <w:szCs w:val="18"/>
              </w:rPr>
            </w:pPr>
            <w:r w:rsidRPr="00A32AF4">
              <w:rPr>
                <w:rFonts w:cs="Arial"/>
                <w:b/>
                <w:bCs/>
                <w:sz w:val="18"/>
                <w:szCs w:val="18"/>
              </w:rPr>
              <w:t>Risques</w:t>
            </w:r>
          </w:p>
        </w:tc>
        <w:tc>
          <w:tcPr>
            <w:tcW w:w="4961" w:type="dxa"/>
            <w:tcBorders>
              <w:top w:val="single" w:sz="4" w:space="0" w:color="auto"/>
              <w:bottom w:val="single" w:sz="4" w:space="0" w:color="auto"/>
            </w:tcBorders>
            <w:shd w:val="clear" w:color="auto" w:fill="C6D9F1" w:themeFill="text2" w:themeFillTint="33"/>
            <w:vAlign w:val="center"/>
          </w:tcPr>
          <w:p w:rsidR="0064145F" w:rsidRPr="00A32AF4" w:rsidRDefault="0064145F" w:rsidP="00DC0553">
            <w:pPr>
              <w:keepNext/>
              <w:keepLines/>
              <w:jc w:val="center"/>
              <w:rPr>
                <w:rFonts w:cs="Arial"/>
                <w:b/>
                <w:bCs/>
                <w:sz w:val="18"/>
                <w:szCs w:val="18"/>
              </w:rPr>
            </w:pPr>
            <w:r w:rsidRPr="00A32AF4">
              <w:rPr>
                <w:rFonts w:cs="Arial"/>
                <w:b/>
                <w:bCs/>
                <w:sz w:val="18"/>
                <w:szCs w:val="18"/>
              </w:rPr>
              <w:t>Stratégies d</w:t>
            </w:r>
            <w:r w:rsidR="00E2055A" w:rsidRPr="00A32AF4">
              <w:rPr>
                <w:rFonts w:cs="Arial"/>
                <w:b/>
                <w:bCs/>
                <w:sz w:val="18"/>
                <w:szCs w:val="18"/>
              </w:rPr>
              <w:t>’</w:t>
            </w:r>
            <w:r w:rsidRPr="00A32AF4">
              <w:rPr>
                <w:rFonts w:cs="Arial"/>
                <w:b/>
                <w:bCs/>
                <w:sz w:val="18"/>
                <w:szCs w:val="18"/>
              </w:rPr>
              <w:t>atténuation</w:t>
            </w:r>
          </w:p>
        </w:tc>
      </w:tr>
      <w:tr w:rsidR="0064145F" w:rsidRPr="00A32AF4" w:rsidTr="000B5CFC">
        <w:trPr>
          <w:trHeight w:val="350"/>
        </w:trPr>
        <w:tc>
          <w:tcPr>
            <w:tcW w:w="4253" w:type="dxa"/>
            <w:tcBorders>
              <w:top w:val="single" w:sz="4" w:space="0" w:color="auto"/>
              <w:left w:val="single" w:sz="4" w:space="0" w:color="auto"/>
              <w:bottom w:val="nil"/>
              <w:right w:val="nil"/>
            </w:tcBorders>
            <w:shd w:val="clear" w:color="auto" w:fill="auto"/>
            <w:tcMar>
              <w:top w:w="113" w:type="dxa"/>
              <w:bottom w:w="113" w:type="dxa"/>
            </w:tcMar>
          </w:tcPr>
          <w:p w:rsidR="0064145F" w:rsidRPr="00A32AF4" w:rsidRDefault="0064145F" w:rsidP="00DC0553">
            <w:pPr>
              <w:keepNext/>
              <w:keepLines/>
              <w:rPr>
                <w:rFonts w:cs="Arial"/>
                <w:sz w:val="16"/>
                <w:szCs w:val="16"/>
              </w:rPr>
            </w:pPr>
            <w:r w:rsidRPr="00A32AF4">
              <w:rPr>
                <w:rFonts w:cs="Arial"/>
                <w:sz w:val="16"/>
                <w:szCs w:val="16"/>
              </w:rPr>
              <w:t>Publication d</w:t>
            </w:r>
            <w:r w:rsidR="00E2055A" w:rsidRPr="00A32AF4">
              <w:rPr>
                <w:rFonts w:cs="Arial"/>
                <w:sz w:val="16"/>
                <w:szCs w:val="16"/>
              </w:rPr>
              <w:t>’</w:t>
            </w:r>
            <w:r w:rsidRPr="00A32AF4">
              <w:rPr>
                <w:rFonts w:cs="Arial"/>
                <w:sz w:val="16"/>
                <w:szCs w:val="16"/>
              </w:rPr>
              <w:t>informations statistiques incomplètes (WIPI).</w:t>
            </w:r>
          </w:p>
        </w:tc>
        <w:tc>
          <w:tcPr>
            <w:tcW w:w="4961" w:type="dxa"/>
            <w:tcBorders>
              <w:top w:val="single" w:sz="4" w:space="0" w:color="auto"/>
              <w:left w:val="nil"/>
              <w:bottom w:val="nil"/>
              <w:right w:val="single" w:sz="4" w:space="0" w:color="auto"/>
            </w:tcBorders>
            <w:shd w:val="clear" w:color="auto" w:fill="auto"/>
            <w:tcMar>
              <w:top w:w="113" w:type="dxa"/>
              <w:bottom w:w="113" w:type="dxa"/>
            </w:tcMar>
          </w:tcPr>
          <w:p w:rsidR="0064145F" w:rsidRPr="00A32AF4" w:rsidRDefault="0064145F" w:rsidP="00DC0553">
            <w:pPr>
              <w:keepNext/>
              <w:keepLines/>
              <w:rPr>
                <w:rFonts w:cs="Arial"/>
                <w:sz w:val="16"/>
                <w:szCs w:val="16"/>
              </w:rPr>
            </w:pPr>
            <w:r w:rsidRPr="00A32AF4">
              <w:rPr>
                <w:rFonts w:cs="Arial"/>
                <w:sz w:val="16"/>
                <w:szCs w:val="16"/>
              </w:rPr>
              <w:t>Prévoir un délai de réponse suffisant et contribuer à renforcer les capacités de production de données statistiques à l</w:t>
            </w:r>
            <w:r w:rsidR="00E2055A" w:rsidRPr="00A32AF4">
              <w:rPr>
                <w:rFonts w:cs="Arial"/>
                <w:sz w:val="16"/>
                <w:szCs w:val="16"/>
              </w:rPr>
              <w:t>’</w:t>
            </w:r>
            <w:r w:rsidRPr="00A32AF4">
              <w:rPr>
                <w:rFonts w:cs="Arial"/>
                <w:sz w:val="16"/>
                <w:szCs w:val="16"/>
              </w:rPr>
              <w:t>échelle nationale.</w:t>
            </w:r>
          </w:p>
        </w:tc>
      </w:tr>
      <w:tr w:rsidR="0064145F" w:rsidRPr="00A32AF4" w:rsidTr="000B5CFC">
        <w:trPr>
          <w:trHeight w:val="625"/>
        </w:trPr>
        <w:tc>
          <w:tcPr>
            <w:tcW w:w="4253" w:type="dxa"/>
            <w:tcBorders>
              <w:top w:val="nil"/>
              <w:left w:val="single" w:sz="4" w:space="0" w:color="auto"/>
              <w:bottom w:val="single" w:sz="4" w:space="0" w:color="auto"/>
              <w:right w:val="nil"/>
            </w:tcBorders>
            <w:shd w:val="clear" w:color="auto" w:fill="auto"/>
            <w:tcMar>
              <w:top w:w="113" w:type="dxa"/>
              <w:bottom w:w="113" w:type="dxa"/>
            </w:tcMar>
          </w:tcPr>
          <w:p w:rsidR="0064145F" w:rsidRPr="00A32AF4" w:rsidRDefault="0064145F" w:rsidP="00DC0553">
            <w:pPr>
              <w:keepNext/>
              <w:keepLines/>
              <w:rPr>
                <w:rFonts w:cs="Arial"/>
                <w:sz w:val="16"/>
                <w:szCs w:val="16"/>
              </w:rPr>
            </w:pPr>
            <w:r w:rsidRPr="00A32AF4">
              <w:rPr>
                <w:rFonts w:cs="Arial"/>
                <w:sz w:val="16"/>
              </w:rPr>
              <w:t>Les publications de l</w:t>
            </w:r>
            <w:r w:rsidR="00E2055A" w:rsidRPr="00A32AF4">
              <w:rPr>
                <w:rFonts w:cs="Arial"/>
                <w:sz w:val="16"/>
              </w:rPr>
              <w:t>’</w:t>
            </w:r>
            <w:r w:rsidRPr="00A32AF4">
              <w:rPr>
                <w:rFonts w:cs="Arial"/>
                <w:sz w:val="16"/>
              </w:rPr>
              <w:t>OMPI contiennent des données statistiques incomplètes ou présentent des lacunes en termes d</w:t>
            </w:r>
            <w:r w:rsidR="00E2055A" w:rsidRPr="00A32AF4">
              <w:rPr>
                <w:rFonts w:cs="Arial"/>
                <w:sz w:val="16"/>
              </w:rPr>
              <w:t>’</w:t>
            </w:r>
            <w:r w:rsidRPr="00A32AF4">
              <w:rPr>
                <w:rFonts w:cs="Arial"/>
                <w:sz w:val="16"/>
              </w:rPr>
              <w:t>analyse.</w:t>
            </w:r>
            <w:r w:rsidRPr="00A32AF4">
              <w:rPr>
                <w:sz w:val="16"/>
              </w:rPr>
              <w:t xml:space="preserve"> </w:t>
            </w:r>
            <w:r w:rsidRPr="00A32AF4">
              <w:rPr>
                <w:rFonts w:cs="Arial"/>
                <w:sz w:val="16"/>
              </w:rPr>
              <w:t xml:space="preserve"> </w:t>
            </w:r>
          </w:p>
        </w:tc>
        <w:tc>
          <w:tcPr>
            <w:tcW w:w="4961" w:type="dxa"/>
            <w:tcBorders>
              <w:top w:val="nil"/>
              <w:left w:val="nil"/>
              <w:bottom w:val="single" w:sz="4" w:space="0" w:color="auto"/>
              <w:right w:val="single" w:sz="4" w:space="0" w:color="auto"/>
            </w:tcBorders>
            <w:shd w:val="clear" w:color="auto" w:fill="auto"/>
            <w:tcMar>
              <w:top w:w="113" w:type="dxa"/>
              <w:bottom w:w="113" w:type="dxa"/>
            </w:tcMar>
          </w:tcPr>
          <w:p w:rsidR="0064145F" w:rsidRPr="00A32AF4" w:rsidRDefault="0064145F" w:rsidP="00DC0553">
            <w:pPr>
              <w:keepNext/>
              <w:keepLines/>
              <w:rPr>
                <w:rFonts w:cs="Arial"/>
                <w:sz w:val="16"/>
                <w:szCs w:val="16"/>
              </w:rPr>
            </w:pPr>
            <w:r w:rsidRPr="00A32AF4">
              <w:rPr>
                <w:rFonts w:cs="Arial"/>
                <w:sz w:val="16"/>
                <w:szCs w:val="16"/>
              </w:rPr>
              <w:t xml:space="preserve">Des mécanismes de contrôle sont instaurés pour repérer les incohérences dans les données au moment de la collecte des statistiques sur les activités de propriété </w:t>
            </w:r>
            <w:proofErr w:type="gramStart"/>
            <w:r w:rsidRPr="00A32AF4">
              <w:rPr>
                <w:rFonts w:cs="Arial"/>
                <w:sz w:val="16"/>
                <w:szCs w:val="16"/>
              </w:rPr>
              <w:t>intellectuelle;</w:t>
            </w:r>
            <w:proofErr w:type="gramEnd"/>
            <w:r w:rsidRPr="00A32AF4">
              <w:rPr>
                <w:rFonts w:cs="Arial"/>
                <w:sz w:val="16"/>
                <w:szCs w:val="16"/>
              </w:rPr>
              <w:t xml:space="preserve">  toutes les publications statistiques sont examinées avec attention par des experts en statistiques et au sein des secteurs de l</w:t>
            </w:r>
            <w:r w:rsidR="00E2055A" w:rsidRPr="00A32AF4">
              <w:rPr>
                <w:rFonts w:cs="Arial"/>
                <w:sz w:val="16"/>
                <w:szCs w:val="16"/>
              </w:rPr>
              <w:t>’</w:t>
            </w:r>
            <w:r w:rsidRPr="00A32AF4">
              <w:rPr>
                <w:rFonts w:cs="Arial"/>
                <w:sz w:val="16"/>
                <w:szCs w:val="16"/>
              </w:rPr>
              <w:t>OMPI concernés;  toutes les publications analytiques sont soumises à un comité de lecture en externe.</w:t>
            </w:r>
          </w:p>
        </w:tc>
      </w:tr>
    </w:tbl>
    <w:p w:rsidR="0064145F" w:rsidRPr="00A32AF4" w:rsidRDefault="0064145F" w:rsidP="00DC0553"/>
    <w:p w:rsidR="0064145F" w:rsidRPr="00A32AF4" w:rsidRDefault="0064145F" w:rsidP="00DC0553"/>
    <w:p w:rsidR="0064145F" w:rsidRPr="00A32AF4" w:rsidRDefault="0064145F" w:rsidP="00DC0553">
      <w:pPr>
        <w:keepNext/>
        <w:keepLines/>
        <w:jc w:val="both"/>
        <w:rPr>
          <w:rFonts w:cs="Arial"/>
          <w:bCs/>
        </w:rPr>
      </w:pPr>
      <w:r w:rsidRPr="00A32AF4">
        <w:rPr>
          <w:rFonts w:cs="Arial"/>
          <w:bCs/>
        </w:rPr>
        <w:t>TABLEAU DES RÉSULTATS</w:t>
      </w:r>
    </w:p>
    <w:p w:rsidR="0064145F" w:rsidRPr="00A32AF4" w:rsidRDefault="0064145F" w:rsidP="00DC0553">
      <w:pPr>
        <w:keepNext/>
        <w:keepLines/>
        <w:jc w:val="both"/>
        <w:rPr>
          <w:rFonts w:cs="Arial"/>
          <w:bCs/>
        </w:rPr>
      </w:pPr>
    </w:p>
    <w:tbl>
      <w:tblPr>
        <w:tblW w:w="9229" w:type="dxa"/>
        <w:tblInd w:w="9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60"/>
        <w:gridCol w:w="3080"/>
        <w:gridCol w:w="1640"/>
        <w:gridCol w:w="2049"/>
      </w:tblGrid>
      <w:tr w:rsidR="0064145F" w:rsidRPr="00A32AF4" w:rsidTr="000B5CFC">
        <w:trPr>
          <w:cantSplit/>
          <w:tblHeader/>
        </w:trPr>
        <w:tc>
          <w:tcPr>
            <w:tcW w:w="2460" w:type="dxa"/>
            <w:tcBorders>
              <w:top w:val="single" w:sz="4" w:space="0" w:color="auto"/>
              <w:bottom w:val="single" w:sz="4" w:space="0" w:color="auto"/>
            </w:tcBorders>
            <w:shd w:val="clear" w:color="auto" w:fill="C6D9F1" w:themeFill="text2" w:themeFillTint="33"/>
            <w:noWrap/>
            <w:tcMar>
              <w:top w:w="113" w:type="dxa"/>
              <w:bottom w:w="113" w:type="dxa"/>
            </w:tcMar>
            <w:vAlign w:val="center"/>
            <w:hideMark/>
          </w:tcPr>
          <w:p w:rsidR="0064145F" w:rsidRPr="00A32AF4" w:rsidRDefault="0064145F" w:rsidP="00DC0553">
            <w:pPr>
              <w:keepNext/>
              <w:keepLines/>
              <w:jc w:val="center"/>
              <w:rPr>
                <w:rFonts w:cs="Arial"/>
                <w:b/>
                <w:bCs/>
                <w:sz w:val="18"/>
                <w:szCs w:val="18"/>
              </w:rPr>
            </w:pPr>
            <w:r w:rsidRPr="00A32AF4">
              <w:rPr>
                <w:rFonts w:cs="Arial"/>
                <w:b/>
                <w:bCs/>
                <w:sz w:val="18"/>
                <w:szCs w:val="18"/>
              </w:rPr>
              <w:t xml:space="preserve">Résultats escomptés </w:t>
            </w:r>
          </w:p>
        </w:tc>
        <w:tc>
          <w:tcPr>
            <w:tcW w:w="3080" w:type="dxa"/>
            <w:tcBorders>
              <w:top w:val="single" w:sz="4" w:space="0" w:color="auto"/>
              <w:bottom w:val="single" w:sz="4" w:space="0" w:color="auto"/>
            </w:tcBorders>
            <w:shd w:val="clear" w:color="auto" w:fill="C6D9F1" w:themeFill="text2" w:themeFillTint="33"/>
            <w:noWrap/>
            <w:tcMar>
              <w:top w:w="113" w:type="dxa"/>
              <w:bottom w:w="113" w:type="dxa"/>
            </w:tcMar>
            <w:vAlign w:val="center"/>
            <w:hideMark/>
          </w:tcPr>
          <w:p w:rsidR="0064145F" w:rsidRPr="00A32AF4" w:rsidRDefault="0064145F" w:rsidP="00DC0553">
            <w:pPr>
              <w:keepNext/>
              <w:keepLines/>
              <w:jc w:val="center"/>
              <w:rPr>
                <w:rFonts w:cs="Arial"/>
                <w:b/>
                <w:bCs/>
                <w:sz w:val="18"/>
                <w:szCs w:val="18"/>
              </w:rPr>
            </w:pPr>
            <w:r w:rsidRPr="00A32AF4">
              <w:rPr>
                <w:rFonts w:cs="Arial"/>
                <w:b/>
                <w:bCs/>
                <w:sz w:val="18"/>
                <w:szCs w:val="18"/>
              </w:rPr>
              <w:t>Indicateurs d</w:t>
            </w:r>
            <w:r w:rsidR="00E2055A" w:rsidRPr="00A32AF4">
              <w:rPr>
                <w:rFonts w:cs="Arial"/>
                <w:b/>
                <w:bCs/>
                <w:sz w:val="18"/>
                <w:szCs w:val="18"/>
              </w:rPr>
              <w:t>’</w:t>
            </w:r>
            <w:r w:rsidRPr="00A32AF4">
              <w:rPr>
                <w:rFonts w:cs="Arial"/>
                <w:b/>
                <w:bCs/>
                <w:sz w:val="18"/>
                <w:szCs w:val="18"/>
              </w:rPr>
              <w:t>exécution</w:t>
            </w:r>
          </w:p>
        </w:tc>
        <w:tc>
          <w:tcPr>
            <w:tcW w:w="1640" w:type="dxa"/>
            <w:tcBorders>
              <w:top w:val="single" w:sz="4" w:space="0" w:color="auto"/>
              <w:bottom w:val="single" w:sz="4" w:space="0" w:color="auto"/>
            </w:tcBorders>
            <w:shd w:val="clear" w:color="auto" w:fill="C6D9F1" w:themeFill="text2" w:themeFillTint="33"/>
            <w:noWrap/>
            <w:tcMar>
              <w:top w:w="113" w:type="dxa"/>
              <w:bottom w:w="113" w:type="dxa"/>
            </w:tcMar>
            <w:vAlign w:val="center"/>
            <w:hideMark/>
          </w:tcPr>
          <w:p w:rsidR="0064145F" w:rsidRPr="00A32AF4" w:rsidRDefault="0064145F" w:rsidP="00DC0553">
            <w:pPr>
              <w:keepNext/>
              <w:keepLines/>
              <w:jc w:val="center"/>
              <w:rPr>
                <w:rFonts w:cs="Arial"/>
                <w:b/>
                <w:bCs/>
                <w:sz w:val="18"/>
                <w:szCs w:val="18"/>
              </w:rPr>
            </w:pPr>
            <w:r w:rsidRPr="00A32AF4">
              <w:rPr>
                <w:rFonts w:cs="Arial"/>
                <w:b/>
                <w:bCs/>
                <w:sz w:val="18"/>
                <w:szCs w:val="18"/>
              </w:rPr>
              <w:t>Niveaux de référence</w:t>
            </w:r>
          </w:p>
        </w:tc>
        <w:tc>
          <w:tcPr>
            <w:tcW w:w="2049" w:type="dxa"/>
            <w:tcBorders>
              <w:top w:val="single" w:sz="4" w:space="0" w:color="auto"/>
              <w:bottom w:val="single" w:sz="4" w:space="0" w:color="auto"/>
            </w:tcBorders>
            <w:shd w:val="clear" w:color="auto" w:fill="C6D9F1" w:themeFill="text2" w:themeFillTint="33"/>
            <w:noWrap/>
            <w:tcMar>
              <w:top w:w="113" w:type="dxa"/>
              <w:bottom w:w="113" w:type="dxa"/>
            </w:tcMar>
            <w:vAlign w:val="center"/>
            <w:hideMark/>
          </w:tcPr>
          <w:p w:rsidR="0064145F" w:rsidRPr="00A32AF4" w:rsidRDefault="0064145F" w:rsidP="00DC0553">
            <w:pPr>
              <w:keepNext/>
              <w:keepLines/>
              <w:jc w:val="center"/>
              <w:rPr>
                <w:rFonts w:cs="Arial"/>
                <w:b/>
                <w:bCs/>
                <w:sz w:val="18"/>
                <w:szCs w:val="18"/>
              </w:rPr>
            </w:pPr>
            <w:r w:rsidRPr="00A32AF4">
              <w:rPr>
                <w:rFonts w:cs="Arial"/>
                <w:b/>
                <w:bCs/>
                <w:sz w:val="18"/>
                <w:szCs w:val="18"/>
              </w:rPr>
              <w:t>Objectifs visés</w:t>
            </w:r>
          </w:p>
        </w:tc>
      </w:tr>
      <w:tr w:rsidR="0064145F" w:rsidRPr="00A32AF4" w:rsidTr="000B5CFC">
        <w:trPr>
          <w:cantSplit/>
        </w:trPr>
        <w:tc>
          <w:tcPr>
            <w:tcW w:w="2460" w:type="dxa"/>
            <w:vMerge w:val="restart"/>
            <w:tcBorders>
              <w:top w:val="single" w:sz="4" w:space="0" w:color="auto"/>
            </w:tcBorders>
            <w:shd w:val="clear" w:color="000000" w:fill="FFFFFF"/>
            <w:tcMar>
              <w:top w:w="113" w:type="dxa"/>
              <w:bottom w:w="113" w:type="dxa"/>
            </w:tcMar>
            <w:hideMark/>
          </w:tcPr>
          <w:p w:rsidR="0064145F" w:rsidRPr="00A32AF4" w:rsidRDefault="0064145F" w:rsidP="00DC0553">
            <w:pPr>
              <w:keepNext/>
              <w:keepLines/>
              <w:rPr>
                <w:rFonts w:cs="Arial"/>
                <w:sz w:val="16"/>
                <w:szCs w:val="16"/>
              </w:rPr>
            </w:pPr>
            <w:r w:rsidRPr="00A32AF4">
              <w:rPr>
                <w:rFonts w:cs="Arial"/>
                <w:sz w:val="16"/>
                <w:szCs w:val="16"/>
              </w:rPr>
              <w:t>V.1 Utilisation élargie et améliorée de l</w:t>
            </w:r>
            <w:r w:rsidR="00E2055A" w:rsidRPr="00A32AF4">
              <w:rPr>
                <w:rFonts w:cs="Arial"/>
                <w:sz w:val="16"/>
                <w:szCs w:val="16"/>
              </w:rPr>
              <w:t>’</w:t>
            </w:r>
            <w:r w:rsidRPr="00A32AF4">
              <w:rPr>
                <w:rFonts w:cs="Arial"/>
                <w:sz w:val="16"/>
                <w:szCs w:val="16"/>
              </w:rPr>
              <w:t>information statistique de l</w:t>
            </w:r>
            <w:r w:rsidR="00E2055A" w:rsidRPr="00A32AF4">
              <w:rPr>
                <w:rFonts w:cs="Arial"/>
                <w:sz w:val="16"/>
                <w:szCs w:val="16"/>
              </w:rPr>
              <w:t>’</w:t>
            </w:r>
            <w:r w:rsidRPr="00A32AF4">
              <w:rPr>
                <w:rFonts w:cs="Arial"/>
                <w:sz w:val="16"/>
                <w:szCs w:val="16"/>
              </w:rPr>
              <w:t>OMPI relative à la propriété intellectuelle</w:t>
            </w:r>
          </w:p>
        </w:tc>
        <w:tc>
          <w:tcPr>
            <w:tcW w:w="3080" w:type="dxa"/>
            <w:tcBorders>
              <w:top w:val="single" w:sz="4" w:space="0" w:color="auto"/>
            </w:tcBorders>
            <w:shd w:val="clear" w:color="000000" w:fill="FFFFFF"/>
            <w:tcMar>
              <w:top w:w="113" w:type="dxa"/>
              <w:bottom w:w="113" w:type="dxa"/>
            </w:tcMar>
            <w:hideMark/>
          </w:tcPr>
          <w:p w:rsidR="0064145F" w:rsidRPr="00A32AF4" w:rsidRDefault="0064145F" w:rsidP="00DC0553">
            <w:pPr>
              <w:keepNext/>
              <w:keepLines/>
              <w:rPr>
                <w:rFonts w:cs="Arial"/>
                <w:sz w:val="16"/>
                <w:szCs w:val="16"/>
              </w:rPr>
            </w:pPr>
            <w:r w:rsidRPr="00A32AF4">
              <w:rPr>
                <w:rFonts w:cs="Arial"/>
                <w:sz w:val="16"/>
                <w:szCs w:val="16"/>
              </w:rPr>
              <w:t>Nombre de recherches effectuées via le Centre de données statistiques de propriété intellectuelle</w:t>
            </w:r>
          </w:p>
        </w:tc>
        <w:tc>
          <w:tcPr>
            <w:tcW w:w="1640" w:type="dxa"/>
            <w:tcBorders>
              <w:top w:val="single" w:sz="4" w:space="0" w:color="auto"/>
            </w:tcBorders>
            <w:shd w:val="clear" w:color="000000" w:fill="FFFFFF"/>
            <w:tcMar>
              <w:top w:w="113" w:type="dxa"/>
              <w:bottom w:w="113" w:type="dxa"/>
            </w:tcMar>
            <w:hideMark/>
          </w:tcPr>
          <w:p w:rsidR="0064145F" w:rsidRPr="00A32AF4" w:rsidRDefault="0064145F" w:rsidP="00DC0553">
            <w:pPr>
              <w:keepNext/>
              <w:keepLines/>
              <w:rPr>
                <w:rFonts w:cs="Arial"/>
                <w:sz w:val="16"/>
                <w:szCs w:val="16"/>
              </w:rPr>
            </w:pPr>
            <w:r w:rsidRPr="00A32AF4">
              <w:rPr>
                <w:rFonts w:cs="Arial"/>
                <w:sz w:val="16"/>
                <w:szCs w:val="16"/>
              </w:rPr>
              <w:t>À déterminer fin 2015</w:t>
            </w:r>
          </w:p>
        </w:tc>
        <w:tc>
          <w:tcPr>
            <w:tcW w:w="2049" w:type="dxa"/>
            <w:tcBorders>
              <w:top w:val="single" w:sz="4" w:space="0" w:color="auto"/>
            </w:tcBorders>
            <w:shd w:val="clear" w:color="000000" w:fill="FFFFFF"/>
            <w:tcMar>
              <w:top w:w="113" w:type="dxa"/>
              <w:bottom w:w="113" w:type="dxa"/>
            </w:tcMar>
            <w:hideMark/>
          </w:tcPr>
          <w:p w:rsidR="0064145F" w:rsidRPr="00A32AF4" w:rsidRDefault="0064145F" w:rsidP="00DC0553">
            <w:pPr>
              <w:keepNext/>
              <w:keepLines/>
              <w:rPr>
                <w:rFonts w:cs="Arial"/>
                <w:sz w:val="16"/>
                <w:szCs w:val="16"/>
              </w:rPr>
            </w:pPr>
            <w:r w:rsidRPr="00A32AF4">
              <w:rPr>
                <w:rFonts w:cs="Arial"/>
                <w:sz w:val="16"/>
                <w:szCs w:val="16"/>
              </w:rPr>
              <w:t>À déterminer</w:t>
            </w:r>
          </w:p>
        </w:tc>
      </w:tr>
      <w:tr w:rsidR="0064145F" w:rsidRPr="00A32AF4" w:rsidTr="000B5CFC">
        <w:trPr>
          <w:cantSplit/>
        </w:trPr>
        <w:tc>
          <w:tcPr>
            <w:tcW w:w="2460" w:type="dxa"/>
            <w:vMerge/>
            <w:tcMar>
              <w:top w:w="113" w:type="dxa"/>
              <w:bottom w:w="113" w:type="dxa"/>
            </w:tcMar>
            <w:vAlign w:val="center"/>
            <w:hideMark/>
          </w:tcPr>
          <w:p w:rsidR="0064145F" w:rsidRPr="00A32AF4" w:rsidRDefault="0064145F" w:rsidP="00DC0553">
            <w:pPr>
              <w:rPr>
                <w:rFonts w:cs="Arial"/>
                <w:sz w:val="16"/>
                <w:szCs w:val="16"/>
              </w:rPr>
            </w:pPr>
          </w:p>
        </w:tc>
        <w:tc>
          <w:tcPr>
            <w:tcW w:w="3080" w:type="dxa"/>
            <w:shd w:val="clear" w:color="000000" w:fill="FFFFFF"/>
            <w:tcMar>
              <w:top w:w="113" w:type="dxa"/>
              <w:bottom w:w="113" w:type="dxa"/>
            </w:tcMar>
            <w:hideMark/>
          </w:tcPr>
          <w:p w:rsidR="0064145F" w:rsidRPr="00A32AF4" w:rsidRDefault="0064145F" w:rsidP="00DC0553">
            <w:pPr>
              <w:rPr>
                <w:rFonts w:cs="Arial"/>
                <w:sz w:val="16"/>
                <w:szCs w:val="16"/>
              </w:rPr>
            </w:pPr>
            <w:r w:rsidRPr="00A32AF4">
              <w:rPr>
                <w:rFonts w:cs="Arial"/>
                <w:sz w:val="16"/>
                <w:szCs w:val="16"/>
              </w:rPr>
              <w:t>Nombre de téléchargements de rapports statistiques annuels dans les six mois suivant leur publication</w:t>
            </w:r>
          </w:p>
        </w:tc>
        <w:tc>
          <w:tcPr>
            <w:tcW w:w="1640" w:type="dxa"/>
            <w:shd w:val="clear" w:color="000000" w:fill="FFFFFF"/>
            <w:tcMar>
              <w:top w:w="113" w:type="dxa"/>
              <w:bottom w:w="113" w:type="dxa"/>
            </w:tcMar>
            <w:hideMark/>
          </w:tcPr>
          <w:p w:rsidR="0064145F" w:rsidRPr="00A32AF4" w:rsidRDefault="0064145F" w:rsidP="00DC0553">
            <w:pPr>
              <w:rPr>
                <w:rFonts w:cs="Arial"/>
                <w:sz w:val="16"/>
                <w:szCs w:val="16"/>
              </w:rPr>
            </w:pPr>
            <w:r w:rsidRPr="00A32AF4">
              <w:rPr>
                <w:rFonts w:cs="Arial"/>
                <w:sz w:val="16"/>
                <w:szCs w:val="16"/>
              </w:rPr>
              <w:t>À déterminer</w:t>
            </w:r>
            <w:r w:rsidRPr="00A32AF4">
              <w:rPr>
                <w:rStyle w:val="FootnoteReference"/>
                <w:rFonts w:cs="Arial"/>
                <w:sz w:val="16"/>
                <w:szCs w:val="16"/>
              </w:rPr>
              <w:footnoteReference w:id="23"/>
            </w:r>
          </w:p>
        </w:tc>
        <w:tc>
          <w:tcPr>
            <w:tcW w:w="2049" w:type="dxa"/>
            <w:shd w:val="clear" w:color="000000" w:fill="FFFFFF"/>
            <w:tcMar>
              <w:top w:w="113" w:type="dxa"/>
              <w:bottom w:w="113" w:type="dxa"/>
            </w:tcMar>
            <w:hideMark/>
          </w:tcPr>
          <w:p w:rsidR="0064145F" w:rsidRPr="00A32AF4" w:rsidRDefault="0064145F" w:rsidP="00DC0553">
            <w:pPr>
              <w:rPr>
                <w:rFonts w:cs="Arial"/>
                <w:sz w:val="16"/>
                <w:szCs w:val="16"/>
              </w:rPr>
            </w:pPr>
            <w:r w:rsidRPr="00A32AF4">
              <w:rPr>
                <w:rFonts w:cs="Arial"/>
                <w:sz w:val="16"/>
                <w:szCs w:val="16"/>
              </w:rPr>
              <w:t>À déterminer</w:t>
            </w:r>
          </w:p>
        </w:tc>
      </w:tr>
      <w:tr w:rsidR="0064145F" w:rsidRPr="00A32AF4" w:rsidTr="000B5CFC">
        <w:trPr>
          <w:cantSplit/>
        </w:trPr>
        <w:tc>
          <w:tcPr>
            <w:tcW w:w="2460" w:type="dxa"/>
            <w:vMerge/>
            <w:tcMar>
              <w:top w:w="113" w:type="dxa"/>
              <w:bottom w:w="113" w:type="dxa"/>
            </w:tcMar>
            <w:vAlign w:val="center"/>
            <w:hideMark/>
          </w:tcPr>
          <w:p w:rsidR="0064145F" w:rsidRPr="00A32AF4" w:rsidRDefault="0064145F" w:rsidP="00DC0553">
            <w:pPr>
              <w:rPr>
                <w:rFonts w:cs="Arial"/>
                <w:sz w:val="16"/>
                <w:szCs w:val="16"/>
              </w:rPr>
            </w:pPr>
          </w:p>
        </w:tc>
        <w:tc>
          <w:tcPr>
            <w:tcW w:w="3080" w:type="dxa"/>
            <w:shd w:val="clear" w:color="000000" w:fill="FFFFFF"/>
            <w:tcMar>
              <w:top w:w="113" w:type="dxa"/>
              <w:bottom w:w="113" w:type="dxa"/>
            </w:tcMar>
            <w:hideMark/>
          </w:tcPr>
          <w:p w:rsidR="0064145F" w:rsidRPr="00A32AF4" w:rsidRDefault="0064145F" w:rsidP="00DC0553">
            <w:pPr>
              <w:rPr>
                <w:rFonts w:cs="Arial"/>
                <w:sz w:val="16"/>
                <w:szCs w:val="16"/>
              </w:rPr>
            </w:pPr>
            <w:r w:rsidRPr="00A32AF4">
              <w:rPr>
                <w:rFonts w:cs="Arial"/>
                <w:sz w:val="16"/>
                <w:szCs w:val="16"/>
              </w:rPr>
              <w:t>L</w:t>
            </w:r>
            <w:r w:rsidR="00E2055A" w:rsidRPr="00A32AF4">
              <w:rPr>
                <w:rFonts w:cs="Arial"/>
                <w:sz w:val="16"/>
                <w:szCs w:val="16"/>
              </w:rPr>
              <w:t>’</w:t>
            </w:r>
            <w:r w:rsidRPr="00A32AF4">
              <w:rPr>
                <w:rFonts w:cs="Arial"/>
                <w:sz w:val="16"/>
                <w:szCs w:val="16"/>
              </w:rPr>
              <w:t xml:space="preserve">écart entre les prévisions de janvier et les chiffres réels concernant les demandes déposées par les systèmes du PCT, de Madrid et de </w:t>
            </w:r>
            <w:r w:rsidR="00E2055A" w:rsidRPr="00A32AF4">
              <w:rPr>
                <w:rFonts w:cs="Arial"/>
                <w:sz w:val="16"/>
                <w:szCs w:val="16"/>
              </w:rPr>
              <w:t>La Haye</w:t>
            </w:r>
            <w:r w:rsidRPr="00A32AF4">
              <w:rPr>
                <w:rFonts w:cs="Arial"/>
                <w:sz w:val="16"/>
                <w:szCs w:val="16"/>
              </w:rPr>
              <w:t xml:space="preserve"> s</w:t>
            </w:r>
            <w:r w:rsidR="00E2055A" w:rsidRPr="00A32AF4">
              <w:rPr>
                <w:rFonts w:cs="Arial"/>
                <w:sz w:val="16"/>
                <w:szCs w:val="16"/>
              </w:rPr>
              <w:t>’</w:t>
            </w:r>
            <w:r w:rsidRPr="00A32AF4">
              <w:rPr>
                <w:rFonts w:cs="Arial"/>
                <w:sz w:val="16"/>
                <w:szCs w:val="16"/>
              </w:rPr>
              <w:t xml:space="preserve">inscrit dans la marche prévue.  </w:t>
            </w:r>
          </w:p>
        </w:tc>
        <w:tc>
          <w:tcPr>
            <w:tcW w:w="1640" w:type="dxa"/>
            <w:shd w:val="clear" w:color="000000" w:fill="FFFFFF"/>
            <w:tcMar>
              <w:top w:w="113" w:type="dxa"/>
              <w:bottom w:w="113" w:type="dxa"/>
            </w:tcMar>
            <w:hideMark/>
          </w:tcPr>
          <w:p w:rsidR="0064145F" w:rsidRPr="00A32AF4" w:rsidRDefault="0064145F" w:rsidP="00DC0553">
            <w:pPr>
              <w:rPr>
                <w:rFonts w:cs="Arial"/>
                <w:sz w:val="16"/>
                <w:szCs w:val="16"/>
              </w:rPr>
            </w:pPr>
            <w:r w:rsidRPr="00A32AF4">
              <w:rPr>
                <w:rFonts w:cs="Arial"/>
                <w:sz w:val="16"/>
                <w:szCs w:val="16"/>
              </w:rPr>
              <w:t>À déterminer début 2016</w:t>
            </w:r>
          </w:p>
        </w:tc>
        <w:tc>
          <w:tcPr>
            <w:tcW w:w="2049" w:type="dxa"/>
            <w:shd w:val="clear" w:color="000000" w:fill="FFFFFF"/>
            <w:tcMar>
              <w:top w:w="113" w:type="dxa"/>
              <w:bottom w:w="113" w:type="dxa"/>
            </w:tcMar>
            <w:hideMark/>
          </w:tcPr>
          <w:p w:rsidR="0064145F" w:rsidRPr="00A32AF4" w:rsidRDefault="0064145F" w:rsidP="00DC0553">
            <w:pPr>
              <w:rPr>
                <w:rFonts w:cs="Arial"/>
                <w:sz w:val="16"/>
                <w:szCs w:val="16"/>
              </w:rPr>
            </w:pPr>
            <w:r w:rsidRPr="00A32AF4">
              <w:rPr>
                <w:rFonts w:cs="Arial"/>
                <w:sz w:val="16"/>
                <w:szCs w:val="16"/>
              </w:rPr>
              <w:t>Prévisions comprises dans l</w:t>
            </w:r>
            <w:r w:rsidR="00E2055A" w:rsidRPr="00A32AF4">
              <w:rPr>
                <w:rFonts w:cs="Arial"/>
                <w:sz w:val="16"/>
                <w:szCs w:val="16"/>
              </w:rPr>
              <w:t>’</w:t>
            </w:r>
            <w:r w:rsidRPr="00A32AF4">
              <w:rPr>
                <w:rFonts w:cs="Arial"/>
                <w:sz w:val="16"/>
                <w:szCs w:val="16"/>
              </w:rPr>
              <w:t>intervalle de confiance de 80%</w:t>
            </w:r>
          </w:p>
        </w:tc>
      </w:tr>
      <w:tr w:rsidR="0064145F" w:rsidRPr="00A32AF4" w:rsidTr="000B5CFC">
        <w:trPr>
          <w:cantSplit/>
        </w:trPr>
        <w:tc>
          <w:tcPr>
            <w:tcW w:w="2460" w:type="dxa"/>
            <w:vMerge w:val="restart"/>
            <w:shd w:val="clear" w:color="000000" w:fill="FFFFFF"/>
            <w:tcMar>
              <w:top w:w="113" w:type="dxa"/>
              <w:bottom w:w="113" w:type="dxa"/>
            </w:tcMar>
            <w:hideMark/>
          </w:tcPr>
          <w:p w:rsidR="0064145F" w:rsidRPr="00A32AF4" w:rsidRDefault="0064145F" w:rsidP="00DC0553">
            <w:pPr>
              <w:rPr>
                <w:rFonts w:cs="Arial"/>
                <w:sz w:val="16"/>
                <w:szCs w:val="16"/>
              </w:rPr>
            </w:pPr>
            <w:r w:rsidRPr="00A32AF4">
              <w:rPr>
                <w:rFonts w:cs="Arial"/>
                <w:sz w:val="16"/>
                <w:szCs w:val="16"/>
              </w:rPr>
              <w:t>V.2 Utilisation élargie et améliorée des analyses économiques de l</w:t>
            </w:r>
            <w:r w:rsidR="00E2055A" w:rsidRPr="00A32AF4">
              <w:rPr>
                <w:rFonts w:cs="Arial"/>
                <w:sz w:val="16"/>
                <w:szCs w:val="16"/>
              </w:rPr>
              <w:t>’</w:t>
            </w:r>
            <w:r w:rsidRPr="00A32AF4">
              <w:rPr>
                <w:rFonts w:cs="Arial"/>
                <w:sz w:val="16"/>
                <w:szCs w:val="16"/>
              </w:rPr>
              <w:t>OMPI aux fins de l</w:t>
            </w:r>
            <w:r w:rsidR="00E2055A" w:rsidRPr="00A32AF4">
              <w:rPr>
                <w:rFonts w:cs="Arial"/>
                <w:sz w:val="16"/>
                <w:szCs w:val="16"/>
              </w:rPr>
              <w:t>’</w:t>
            </w:r>
            <w:r w:rsidRPr="00A32AF4">
              <w:rPr>
                <w:rFonts w:cs="Arial"/>
                <w:sz w:val="16"/>
                <w:szCs w:val="16"/>
              </w:rPr>
              <w:t>élaboration des politiques</w:t>
            </w:r>
          </w:p>
        </w:tc>
        <w:tc>
          <w:tcPr>
            <w:tcW w:w="3080" w:type="dxa"/>
            <w:shd w:val="clear" w:color="000000" w:fill="FFFFFF"/>
            <w:tcMar>
              <w:top w:w="113" w:type="dxa"/>
              <w:bottom w:w="113" w:type="dxa"/>
            </w:tcMar>
            <w:hideMark/>
          </w:tcPr>
          <w:p w:rsidR="0064145F" w:rsidRPr="00A32AF4" w:rsidRDefault="0064145F" w:rsidP="00DC0553">
            <w:pPr>
              <w:rPr>
                <w:rFonts w:cs="Arial"/>
                <w:sz w:val="16"/>
                <w:szCs w:val="16"/>
              </w:rPr>
            </w:pPr>
            <w:r w:rsidRPr="00A32AF4">
              <w:rPr>
                <w:rFonts w:cs="Arial"/>
                <w:sz w:val="16"/>
                <w:szCs w:val="16"/>
              </w:rPr>
              <w:t>Nombre annuel de visiteurs sur les sites Web de l</w:t>
            </w:r>
            <w:r w:rsidR="00E2055A" w:rsidRPr="00A32AF4">
              <w:rPr>
                <w:rFonts w:cs="Arial"/>
                <w:sz w:val="16"/>
                <w:szCs w:val="16"/>
              </w:rPr>
              <w:t>’</w:t>
            </w:r>
            <w:r w:rsidRPr="00A32AF4">
              <w:rPr>
                <w:rFonts w:cs="Arial"/>
                <w:sz w:val="16"/>
                <w:szCs w:val="16"/>
              </w:rPr>
              <w:t>Indice mondial de l</w:t>
            </w:r>
            <w:r w:rsidR="00E2055A" w:rsidRPr="00A32AF4">
              <w:rPr>
                <w:rFonts w:cs="Arial"/>
                <w:sz w:val="16"/>
                <w:szCs w:val="16"/>
              </w:rPr>
              <w:t>’</w:t>
            </w:r>
            <w:r w:rsidRPr="00A32AF4">
              <w:rPr>
                <w:rFonts w:cs="Arial"/>
                <w:sz w:val="16"/>
                <w:szCs w:val="16"/>
              </w:rPr>
              <w:t>innovation</w:t>
            </w:r>
          </w:p>
        </w:tc>
        <w:tc>
          <w:tcPr>
            <w:tcW w:w="1640" w:type="dxa"/>
            <w:shd w:val="clear" w:color="000000" w:fill="FFFFFF"/>
            <w:tcMar>
              <w:top w:w="113" w:type="dxa"/>
              <w:bottom w:w="113" w:type="dxa"/>
            </w:tcMar>
            <w:hideMark/>
          </w:tcPr>
          <w:p w:rsidR="0064145F" w:rsidRPr="00A32AF4" w:rsidRDefault="0064145F" w:rsidP="00DC0553">
            <w:pPr>
              <w:rPr>
                <w:rFonts w:cs="Arial"/>
                <w:sz w:val="16"/>
                <w:szCs w:val="16"/>
              </w:rPr>
            </w:pPr>
            <w:r w:rsidRPr="00A32AF4">
              <w:rPr>
                <w:rFonts w:cs="Arial"/>
                <w:sz w:val="16"/>
                <w:szCs w:val="16"/>
              </w:rPr>
              <w:t>À déterminer fin 2015</w:t>
            </w:r>
          </w:p>
        </w:tc>
        <w:tc>
          <w:tcPr>
            <w:tcW w:w="2049" w:type="dxa"/>
            <w:shd w:val="clear" w:color="000000" w:fill="FFFFFF"/>
            <w:tcMar>
              <w:top w:w="113" w:type="dxa"/>
              <w:bottom w:w="113" w:type="dxa"/>
            </w:tcMar>
            <w:hideMark/>
          </w:tcPr>
          <w:p w:rsidR="0064145F" w:rsidRPr="00A32AF4" w:rsidRDefault="0064145F" w:rsidP="00DC0553">
            <w:pPr>
              <w:tabs>
                <w:tab w:val="left" w:pos="169"/>
              </w:tabs>
              <w:rPr>
                <w:rFonts w:cs="Arial"/>
                <w:sz w:val="16"/>
                <w:szCs w:val="16"/>
              </w:rPr>
            </w:pPr>
            <w:r w:rsidRPr="00A32AF4">
              <w:rPr>
                <w:rFonts w:cs="Arial"/>
                <w:sz w:val="16"/>
                <w:szCs w:val="16"/>
              </w:rPr>
              <w:t>À déterminer</w:t>
            </w:r>
          </w:p>
        </w:tc>
      </w:tr>
      <w:tr w:rsidR="0064145F" w:rsidRPr="00A32AF4" w:rsidTr="000B5CFC">
        <w:trPr>
          <w:cantSplit/>
        </w:trPr>
        <w:tc>
          <w:tcPr>
            <w:tcW w:w="2460" w:type="dxa"/>
            <w:vMerge/>
            <w:tcMar>
              <w:top w:w="113" w:type="dxa"/>
              <w:bottom w:w="113" w:type="dxa"/>
            </w:tcMar>
            <w:vAlign w:val="center"/>
            <w:hideMark/>
          </w:tcPr>
          <w:p w:rsidR="0064145F" w:rsidRPr="00A32AF4" w:rsidRDefault="0064145F" w:rsidP="00DC0553">
            <w:pPr>
              <w:rPr>
                <w:rFonts w:cs="Arial"/>
                <w:sz w:val="16"/>
                <w:szCs w:val="16"/>
              </w:rPr>
            </w:pPr>
          </w:p>
        </w:tc>
        <w:tc>
          <w:tcPr>
            <w:tcW w:w="3080" w:type="dxa"/>
            <w:shd w:val="clear" w:color="000000" w:fill="FFFFFF"/>
            <w:tcMar>
              <w:top w:w="113" w:type="dxa"/>
              <w:bottom w:w="113" w:type="dxa"/>
            </w:tcMar>
            <w:hideMark/>
          </w:tcPr>
          <w:p w:rsidR="0064145F" w:rsidRPr="00A32AF4" w:rsidRDefault="0064145F" w:rsidP="00DC0553">
            <w:pPr>
              <w:rPr>
                <w:rFonts w:cs="Arial"/>
                <w:sz w:val="16"/>
                <w:szCs w:val="16"/>
              </w:rPr>
            </w:pPr>
            <w:r w:rsidRPr="00A32AF4">
              <w:rPr>
                <w:rFonts w:cs="Arial"/>
                <w:sz w:val="16"/>
                <w:szCs w:val="16"/>
              </w:rPr>
              <w:t>Nombre de téléchargements du Rapport sur la propriété intellectuelle dans le monde dans les six mois suivant sa publication</w:t>
            </w:r>
          </w:p>
        </w:tc>
        <w:tc>
          <w:tcPr>
            <w:tcW w:w="1640" w:type="dxa"/>
            <w:shd w:val="clear" w:color="000000" w:fill="FFFFFF"/>
            <w:tcMar>
              <w:top w:w="113" w:type="dxa"/>
              <w:bottom w:w="113" w:type="dxa"/>
            </w:tcMar>
            <w:hideMark/>
          </w:tcPr>
          <w:p w:rsidR="0064145F" w:rsidRPr="00A32AF4" w:rsidRDefault="0064145F" w:rsidP="00DC0553">
            <w:pPr>
              <w:rPr>
                <w:rFonts w:cs="Arial"/>
                <w:sz w:val="16"/>
                <w:szCs w:val="16"/>
              </w:rPr>
            </w:pPr>
            <w:r w:rsidRPr="00A32AF4">
              <w:rPr>
                <w:rFonts w:cs="Arial"/>
                <w:sz w:val="16"/>
                <w:szCs w:val="16"/>
              </w:rPr>
              <w:t>À déterminer</w:t>
            </w:r>
          </w:p>
        </w:tc>
        <w:tc>
          <w:tcPr>
            <w:tcW w:w="2049" w:type="dxa"/>
            <w:shd w:val="clear" w:color="000000" w:fill="FFFFFF"/>
            <w:tcMar>
              <w:top w:w="113" w:type="dxa"/>
              <w:bottom w:w="113" w:type="dxa"/>
            </w:tcMar>
            <w:hideMark/>
          </w:tcPr>
          <w:p w:rsidR="0064145F" w:rsidRPr="00A32AF4" w:rsidRDefault="0064145F" w:rsidP="00DC0553">
            <w:pPr>
              <w:rPr>
                <w:rFonts w:cs="Arial"/>
                <w:sz w:val="16"/>
                <w:szCs w:val="16"/>
              </w:rPr>
            </w:pPr>
            <w:r w:rsidRPr="00A32AF4">
              <w:rPr>
                <w:rFonts w:cs="Arial"/>
                <w:sz w:val="16"/>
                <w:szCs w:val="16"/>
              </w:rPr>
              <w:t>À déterminer</w:t>
            </w:r>
          </w:p>
        </w:tc>
      </w:tr>
    </w:tbl>
    <w:p w:rsidR="0064145F" w:rsidRPr="00A32AF4" w:rsidRDefault="0064145F" w:rsidP="00DC0553">
      <w:pPr>
        <w:jc w:val="both"/>
        <w:rPr>
          <w:rFonts w:cs="Arial"/>
          <w:bCs/>
        </w:rPr>
      </w:pPr>
    </w:p>
    <w:p w:rsidR="0064145F" w:rsidRPr="00A32AF4" w:rsidRDefault="0064145F" w:rsidP="00DC0553">
      <w:pPr>
        <w:rPr>
          <w:rFonts w:cs="Arial"/>
          <w:bCs/>
        </w:rPr>
      </w:pPr>
    </w:p>
    <w:p w:rsidR="0064145F" w:rsidRPr="00A32AF4" w:rsidRDefault="0064145F" w:rsidP="00DC0553">
      <w:pPr>
        <w:jc w:val="both"/>
        <w:rPr>
          <w:rFonts w:cs="Arial"/>
          <w:bCs/>
        </w:rPr>
      </w:pPr>
      <w:r w:rsidRPr="00A32AF4">
        <w:rPr>
          <w:rFonts w:cs="Arial"/>
          <w:bCs/>
        </w:rPr>
        <w:t>RESSOURCES ALLOUÉES AU PROGRAMME 16</w:t>
      </w:r>
    </w:p>
    <w:p w:rsidR="0064145F" w:rsidRPr="00A32AF4" w:rsidRDefault="0064145F" w:rsidP="00DC0553">
      <w:pPr>
        <w:jc w:val="both"/>
        <w:rPr>
          <w:rFonts w:cs="Arial"/>
          <w:bCs/>
        </w:rPr>
      </w:pPr>
    </w:p>
    <w:p w:rsidR="0064145F" w:rsidRPr="00A32AF4" w:rsidRDefault="0064145F" w:rsidP="00DC0553">
      <w:pPr>
        <w:numPr>
          <w:ilvl w:val="0"/>
          <w:numId w:val="65"/>
        </w:numPr>
        <w:jc w:val="both"/>
        <w:rPr>
          <w:rFonts w:cs="Arial"/>
          <w:bCs/>
        </w:rPr>
      </w:pPr>
      <w:proofErr w:type="gramStart"/>
      <w:r w:rsidRPr="00A32AF4">
        <w:rPr>
          <w:rFonts w:cs="Arial"/>
          <w:bCs/>
        </w:rPr>
        <w:t>L</w:t>
      </w:r>
      <w:r w:rsidR="00E2055A" w:rsidRPr="00A32AF4">
        <w:rPr>
          <w:rFonts w:cs="Arial"/>
          <w:bCs/>
        </w:rPr>
        <w:t>’</w:t>
      </w:r>
      <w:r w:rsidRPr="00A32AF4">
        <w:rPr>
          <w:rFonts w:cs="Arial"/>
          <w:bCs/>
        </w:rPr>
        <w:t>augmentation des dépenses de personnel et des dépenses autres que les dépenses de personnel en ce qui concerne le résultat escompté V.1 (Utilisation élargie et améliorée de l</w:t>
      </w:r>
      <w:r w:rsidR="00E2055A" w:rsidRPr="00A32AF4">
        <w:rPr>
          <w:rFonts w:cs="Arial"/>
          <w:bCs/>
        </w:rPr>
        <w:t>’</w:t>
      </w:r>
      <w:r w:rsidRPr="00A32AF4">
        <w:rPr>
          <w:rFonts w:cs="Arial"/>
          <w:bCs/>
        </w:rPr>
        <w:t>information statistique de l</w:t>
      </w:r>
      <w:r w:rsidR="00E2055A" w:rsidRPr="00A32AF4">
        <w:rPr>
          <w:rFonts w:cs="Arial"/>
          <w:bCs/>
        </w:rPr>
        <w:t>’</w:t>
      </w:r>
      <w:r w:rsidRPr="00A32AF4">
        <w:rPr>
          <w:rFonts w:cs="Arial"/>
          <w:bCs/>
        </w:rPr>
        <w:t xml:space="preserve">OMPI relative à la propriété intellectuelle) résulte des efforts déployés pour fournir des informations statistiques sur les résultats du système de la propriété intellectuelle dans le monde entier, notamment en ce qui concerne la collecte et la diffusion de nouvelles statistiques sur les </w:t>
      </w:r>
      <w:r w:rsidR="00DD7483" w:rsidRPr="00A32AF4">
        <w:rPr>
          <w:rFonts w:cs="Arial"/>
          <w:bCs/>
        </w:rPr>
        <w:t>marques</w:t>
      </w:r>
      <w:r w:rsidR="00B305E4" w:rsidRPr="00A32AF4">
        <w:rPr>
          <w:rFonts w:cs="Arial"/>
          <w:bCs/>
        </w:rPr>
        <w:t>,</w:t>
      </w:r>
      <w:r w:rsidR="00DD7483" w:rsidRPr="00A32AF4">
        <w:rPr>
          <w:rFonts w:cs="Arial"/>
          <w:bCs/>
        </w:rPr>
        <w:t xml:space="preserve"> les </w:t>
      </w:r>
      <w:r w:rsidRPr="00A32AF4">
        <w:rPr>
          <w:rFonts w:cs="Arial"/>
          <w:bCs/>
        </w:rPr>
        <w:t>indications géographiques</w:t>
      </w:r>
      <w:r w:rsidR="00B305E4" w:rsidRPr="00A32AF4">
        <w:rPr>
          <w:rFonts w:cs="Arial"/>
          <w:bCs/>
        </w:rPr>
        <w:t xml:space="preserve"> et </w:t>
      </w:r>
      <w:r w:rsidRPr="00A32AF4">
        <w:rPr>
          <w:rFonts w:cs="Arial"/>
          <w:bCs/>
        </w:rPr>
        <w:t>le droit d</w:t>
      </w:r>
      <w:r w:rsidR="00E2055A" w:rsidRPr="00A32AF4">
        <w:rPr>
          <w:rFonts w:cs="Arial"/>
          <w:bCs/>
        </w:rPr>
        <w:t>’</w:t>
      </w:r>
      <w:r w:rsidRPr="00A32AF4">
        <w:rPr>
          <w:rFonts w:cs="Arial"/>
          <w:bCs/>
        </w:rPr>
        <w:t>auteur</w:t>
      </w:r>
      <w:r w:rsidR="00B305E4" w:rsidRPr="00A32AF4">
        <w:rPr>
          <w:rFonts w:cs="Arial"/>
          <w:bCs/>
        </w:rPr>
        <w:t>, les travaux sur ce dernier thème ayant été menés en collaboration étroite</w:t>
      </w:r>
      <w:r w:rsidR="00DD7483" w:rsidRPr="00A32AF4">
        <w:rPr>
          <w:rFonts w:cs="Arial"/>
          <w:bCs/>
        </w:rPr>
        <w:t xml:space="preserve"> avec le programme</w:t>
      </w:r>
      <w:r w:rsidR="00E81C6E" w:rsidRPr="00A32AF4">
        <w:rPr>
          <w:rFonts w:cs="Arial"/>
          <w:bCs/>
        </w:rPr>
        <w:t> </w:t>
      </w:r>
      <w:r w:rsidR="00DD7483" w:rsidRPr="00A32AF4">
        <w:rPr>
          <w:rFonts w:cs="Arial"/>
          <w:bCs/>
        </w:rPr>
        <w:t>3</w:t>
      </w:r>
      <w:r w:rsidRPr="00A32AF4">
        <w:rPr>
          <w:rFonts w:cs="Arial"/>
          <w:bCs/>
        </w:rPr>
        <w:t>.</w:t>
      </w:r>
      <w:proofErr w:type="gramEnd"/>
    </w:p>
    <w:p w:rsidR="0064145F" w:rsidRPr="00A32AF4" w:rsidRDefault="0064145F" w:rsidP="00DC0553">
      <w:pPr>
        <w:jc w:val="both"/>
        <w:rPr>
          <w:rFonts w:cs="Arial"/>
          <w:bCs/>
        </w:rPr>
      </w:pPr>
    </w:p>
    <w:p w:rsidR="0064145F" w:rsidRPr="00A32AF4" w:rsidRDefault="0064145F" w:rsidP="00DC0553">
      <w:pPr>
        <w:numPr>
          <w:ilvl w:val="0"/>
          <w:numId w:val="65"/>
        </w:numPr>
        <w:jc w:val="both"/>
        <w:rPr>
          <w:rFonts w:cs="Arial"/>
          <w:bCs/>
        </w:rPr>
      </w:pPr>
      <w:proofErr w:type="gramStart"/>
      <w:r w:rsidRPr="00A32AF4">
        <w:rPr>
          <w:rFonts w:cs="Arial"/>
          <w:bCs/>
        </w:rPr>
        <w:t>L</w:t>
      </w:r>
      <w:r w:rsidR="00E2055A" w:rsidRPr="00A32AF4">
        <w:rPr>
          <w:rFonts w:cs="Arial"/>
          <w:bCs/>
        </w:rPr>
        <w:t>’</w:t>
      </w:r>
      <w:r w:rsidRPr="00A32AF4">
        <w:rPr>
          <w:rFonts w:cs="Arial"/>
          <w:bCs/>
        </w:rPr>
        <w:t>augmentation des dépenses de personnel et des dépenses autres que les dépenses de personnel en ce qui concerne le résultat escompté V.2 (Utilisation élargie et améliorée des analyses économiques de l</w:t>
      </w:r>
      <w:r w:rsidR="00E2055A" w:rsidRPr="00A32AF4">
        <w:rPr>
          <w:rFonts w:cs="Arial"/>
          <w:bCs/>
        </w:rPr>
        <w:t>’</w:t>
      </w:r>
      <w:r w:rsidRPr="00A32AF4">
        <w:rPr>
          <w:rFonts w:cs="Arial"/>
          <w:bCs/>
        </w:rPr>
        <w:t>OMPI aux fins de l</w:t>
      </w:r>
      <w:r w:rsidR="00E2055A" w:rsidRPr="00A32AF4">
        <w:rPr>
          <w:rFonts w:cs="Arial"/>
          <w:bCs/>
        </w:rPr>
        <w:t>’</w:t>
      </w:r>
      <w:r w:rsidRPr="00A32AF4">
        <w:rPr>
          <w:rFonts w:cs="Arial"/>
          <w:bCs/>
        </w:rPr>
        <w:t>élaboration des politiques) résulte des engagements pris en matière de recherche notamment en ce qui concerne les politiques et les résultats dans les industries de la création et les études menées dans le cadre du projet du Plan d</w:t>
      </w:r>
      <w:r w:rsidR="00E2055A" w:rsidRPr="00A32AF4">
        <w:rPr>
          <w:rFonts w:cs="Arial"/>
          <w:bCs/>
        </w:rPr>
        <w:t>’</w:t>
      </w:r>
      <w:r w:rsidRPr="00A32AF4">
        <w:rPr>
          <w:rFonts w:cs="Arial"/>
          <w:bCs/>
        </w:rPr>
        <w:t>action pour le développement relatif à la propriété intellectuelle et au développement socioéconomique.</w:t>
      </w:r>
      <w:proofErr w:type="gramEnd"/>
    </w:p>
    <w:p w:rsidR="0064145F" w:rsidRPr="00A32AF4" w:rsidRDefault="0064145F" w:rsidP="00DC0553">
      <w:pPr>
        <w:jc w:val="both"/>
        <w:rPr>
          <w:rFonts w:cs="Arial"/>
          <w:bCs/>
        </w:rPr>
      </w:pPr>
    </w:p>
    <w:p w:rsidR="00F93B76" w:rsidRPr="00A32AF4" w:rsidRDefault="00F93B76" w:rsidP="00DC0553">
      <w:pPr>
        <w:rPr>
          <w:lang w:eastAsia="da-DK"/>
        </w:rPr>
      </w:pPr>
    </w:p>
    <w:p w:rsidR="00F93B76" w:rsidRPr="00A32AF4" w:rsidRDefault="003068C2" w:rsidP="00DC0553">
      <w:pPr>
        <w:keepNext/>
        <w:keepLines/>
        <w:autoSpaceDE w:val="0"/>
        <w:autoSpaceDN w:val="0"/>
        <w:jc w:val="center"/>
        <w:rPr>
          <w:rFonts w:cs="Arial"/>
          <w:b/>
        </w:rPr>
      </w:pPr>
      <w:r w:rsidRPr="00A32AF4">
        <w:rPr>
          <w:rFonts w:cs="Arial"/>
          <w:b/>
        </w:rPr>
        <w:t>Programme 16 : ressources par résultat</w:t>
      </w:r>
    </w:p>
    <w:p w:rsidR="00F93B76" w:rsidRPr="00A32AF4" w:rsidRDefault="003068C2" w:rsidP="00DC0553">
      <w:pPr>
        <w:keepNext/>
        <w:keepLines/>
        <w:autoSpaceDE w:val="0"/>
        <w:autoSpaceDN w:val="0"/>
        <w:jc w:val="center"/>
        <w:rPr>
          <w:rFonts w:cs="Arial"/>
          <w:i/>
        </w:rPr>
      </w:pPr>
      <w:r w:rsidRPr="00A32AF4">
        <w:rPr>
          <w:rFonts w:cs="Arial"/>
          <w:i/>
        </w:rPr>
        <w:t>(</w:t>
      </w:r>
      <w:proofErr w:type="gramStart"/>
      <w:r w:rsidRPr="00A32AF4">
        <w:rPr>
          <w:rFonts w:cs="Arial"/>
          <w:i/>
        </w:rPr>
        <w:t>en</w:t>
      </w:r>
      <w:proofErr w:type="gramEnd"/>
      <w:r w:rsidRPr="00A32AF4">
        <w:rPr>
          <w:rFonts w:cs="Arial"/>
          <w:i/>
        </w:rPr>
        <w:t xml:space="preserve"> milliers de francs suisses)</w:t>
      </w:r>
    </w:p>
    <w:p w:rsidR="003068C2" w:rsidRPr="00A32AF4" w:rsidRDefault="003068C2" w:rsidP="00DC0553">
      <w:pPr>
        <w:keepNext/>
      </w:pPr>
    </w:p>
    <w:tbl>
      <w:tblPr>
        <w:tblW w:w="8980" w:type="dxa"/>
        <w:tblInd w:w="55" w:type="dxa"/>
        <w:tblCellMar>
          <w:left w:w="70" w:type="dxa"/>
          <w:right w:w="70" w:type="dxa"/>
        </w:tblCellMar>
        <w:tblLook w:val="04A0" w:firstRow="1" w:lastRow="0" w:firstColumn="1" w:lastColumn="0" w:noHBand="0" w:noVBand="1"/>
      </w:tblPr>
      <w:tblGrid>
        <w:gridCol w:w="461"/>
        <w:gridCol w:w="4559"/>
        <w:gridCol w:w="1260"/>
        <w:gridCol w:w="1440"/>
        <w:gridCol w:w="1260"/>
      </w:tblGrid>
      <w:tr w:rsidR="003068C2" w:rsidRPr="00A32AF4" w:rsidTr="003068C2">
        <w:tc>
          <w:tcPr>
            <w:tcW w:w="5020" w:type="dxa"/>
            <w:gridSpan w:val="2"/>
            <w:tcBorders>
              <w:top w:val="single" w:sz="4" w:space="0" w:color="auto"/>
              <w:left w:val="single" w:sz="4" w:space="0" w:color="auto"/>
              <w:bottom w:val="single" w:sz="4" w:space="0" w:color="auto"/>
              <w:right w:val="single" w:sz="4" w:space="0" w:color="000000"/>
            </w:tcBorders>
            <w:shd w:val="clear" w:color="000000" w:fill="C5D9F1"/>
            <w:noWrap/>
            <w:tcMar>
              <w:top w:w="113" w:type="dxa"/>
              <w:bottom w:w="113" w:type="dxa"/>
            </w:tcMar>
            <w:vAlign w:val="center"/>
            <w:hideMark/>
          </w:tcPr>
          <w:p w:rsidR="003068C2" w:rsidRPr="00A32AF4" w:rsidRDefault="003068C2" w:rsidP="00DC0553">
            <w:pPr>
              <w:jc w:val="center"/>
              <w:rPr>
                <w:rFonts w:cs="Arial"/>
                <w:i/>
                <w:iCs/>
                <w:sz w:val="16"/>
                <w:szCs w:val="16"/>
                <w:lang w:eastAsia="fr-FR"/>
              </w:rPr>
            </w:pPr>
            <w:r w:rsidRPr="00A32AF4">
              <w:rPr>
                <w:rFonts w:cs="Arial"/>
                <w:i/>
                <w:iCs/>
                <w:sz w:val="16"/>
                <w:szCs w:val="16"/>
                <w:lang w:eastAsia="fr-FR"/>
              </w:rPr>
              <w:t xml:space="preserve">Numéro et description du résultat escompté </w:t>
            </w:r>
          </w:p>
        </w:tc>
        <w:tc>
          <w:tcPr>
            <w:tcW w:w="126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3068C2" w:rsidRPr="00A32AF4" w:rsidRDefault="003068C2" w:rsidP="00DC0553">
            <w:pPr>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2014</w:t>
            </w:r>
            <w:r w:rsidR="00EB7F54" w:rsidRPr="00A32AF4">
              <w:rPr>
                <w:rFonts w:cs="Arial"/>
                <w:i/>
                <w:iCs/>
                <w:sz w:val="16"/>
                <w:szCs w:val="16"/>
                <w:lang w:eastAsia="fr-FR"/>
              </w:rPr>
              <w:noBreakHyphen/>
            </w:r>
            <w:r w:rsidRPr="00A32AF4">
              <w:rPr>
                <w:rFonts w:cs="Arial"/>
                <w:i/>
                <w:iCs/>
                <w:sz w:val="16"/>
                <w:szCs w:val="16"/>
                <w:lang w:eastAsia="fr-FR"/>
              </w:rPr>
              <w:t>2015 approuvé</w:t>
            </w:r>
          </w:p>
        </w:tc>
        <w:tc>
          <w:tcPr>
            <w:tcW w:w="144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3068C2" w:rsidRPr="00A32AF4" w:rsidRDefault="003068C2" w:rsidP="00DC0553">
            <w:pPr>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2014</w:t>
            </w:r>
            <w:r w:rsidR="00EB7F54" w:rsidRPr="00A32AF4">
              <w:rPr>
                <w:rFonts w:cs="Arial"/>
                <w:i/>
                <w:iCs/>
                <w:sz w:val="16"/>
                <w:szCs w:val="16"/>
                <w:lang w:eastAsia="fr-FR"/>
              </w:rPr>
              <w:noBreakHyphen/>
            </w:r>
            <w:r w:rsidRPr="00A32AF4">
              <w:rPr>
                <w:rFonts w:cs="Arial"/>
                <w:i/>
                <w:iCs/>
                <w:sz w:val="16"/>
                <w:szCs w:val="16"/>
                <w:lang w:eastAsia="fr-FR"/>
              </w:rPr>
              <w:t>2015 après virements</w:t>
            </w:r>
          </w:p>
        </w:tc>
        <w:tc>
          <w:tcPr>
            <w:tcW w:w="126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3068C2" w:rsidRPr="00A32AF4" w:rsidRDefault="003068C2" w:rsidP="00DC0553">
            <w:pPr>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2016</w:t>
            </w:r>
            <w:r w:rsidR="00EB7F54" w:rsidRPr="00A32AF4">
              <w:rPr>
                <w:rFonts w:cs="Arial"/>
                <w:i/>
                <w:iCs/>
                <w:sz w:val="16"/>
                <w:szCs w:val="16"/>
                <w:lang w:eastAsia="fr-FR"/>
              </w:rPr>
              <w:noBreakHyphen/>
            </w:r>
            <w:r w:rsidRPr="00A32AF4">
              <w:rPr>
                <w:rFonts w:cs="Arial"/>
                <w:i/>
                <w:iCs/>
                <w:sz w:val="16"/>
                <w:szCs w:val="16"/>
                <w:lang w:eastAsia="fr-FR"/>
              </w:rPr>
              <w:t>2017 proposé</w:t>
            </w:r>
          </w:p>
        </w:tc>
      </w:tr>
      <w:tr w:rsidR="003068C2" w:rsidRPr="00A32AF4" w:rsidTr="003068C2">
        <w:tc>
          <w:tcPr>
            <w:tcW w:w="461" w:type="dxa"/>
            <w:tcBorders>
              <w:top w:val="nil"/>
              <w:left w:val="single" w:sz="4" w:space="0" w:color="auto"/>
              <w:bottom w:val="nil"/>
              <w:right w:val="nil"/>
            </w:tcBorders>
            <w:shd w:val="clear" w:color="auto" w:fill="auto"/>
            <w:noWrap/>
            <w:tcMar>
              <w:top w:w="113" w:type="dxa"/>
              <w:bottom w:w="113" w:type="dxa"/>
            </w:tcMar>
            <w:vAlign w:val="center"/>
            <w:hideMark/>
          </w:tcPr>
          <w:p w:rsidR="003068C2" w:rsidRPr="00A32AF4" w:rsidRDefault="003068C2" w:rsidP="00DC0553">
            <w:pPr>
              <w:rPr>
                <w:rFonts w:cs="Arial"/>
                <w:sz w:val="16"/>
                <w:szCs w:val="16"/>
                <w:lang w:eastAsia="fr-FR"/>
              </w:rPr>
            </w:pPr>
            <w:r w:rsidRPr="00A32AF4">
              <w:rPr>
                <w:rFonts w:cs="Arial"/>
                <w:sz w:val="16"/>
                <w:szCs w:val="16"/>
                <w:lang w:eastAsia="fr-FR"/>
              </w:rPr>
              <w:t>V.1</w:t>
            </w:r>
          </w:p>
        </w:tc>
        <w:tc>
          <w:tcPr>
            <w:tcW w:w="4559" w:type="dxa"/>
            <w:tcBorders>
              <w:top w:val="nil"/>
              <w:left w:val="nil"/>
              <w:bottom w:val="nil"/>
              <w:right w:val="nil"/>
            </w:tcBorders>
            <w:shd w:val="clear" w:color="auto" w:fill="auto"/>
            <w:tcMar>
              <w:top w:w="113" w:type="dxa"/>
              <w:bottom w:w="113" w:type="dxa"/>
            </w:tcMar>
            <w:vAlign w:val="center"/>
            <w:hideMark/>
          </w:tcPr>
          <w:p w:rsidR="003068C2" w:rsidRPr="00A32AF4" w:rsidRDefault="003068C2" w:rsidP="00DC0553">
            <w:pPr>
              <w:rPr>
                <w:rFonts w:cs="Arial"/>
                <w:sz w:val="16"/>
                <w:szCs w:val="16"/>
                <w:lang w:eastAsia="fr-FR"/>
              </w:rPr>
            </w:pPr>
            <w:r w:rsidRPr="00A32AF4">
              <w:rPr>
                <w:rFonts w:cs="Arial"/>
                <w:sz w:val="16"/>
                <w:szCs w:val="16"/>
                <w:lang w:eastAsia="fr-FR"/>
              </w:rPr>
              <w:t>Utilisation élargie et améliorée de l</w:t>
            </w:r>
            <w:r w:rsidR="00E2055A" w:rsidRPr="00A32AF4">
              <w:rPr>
                <w:rFonts w:cs="Arial"/>
                <w:sz w:val="16"/>
                <w:szCs w:val="16"/>
                <w:lang w:eastAsia="fr-FR"/>
              </w:rPr>
              <w:t>’</w:t>
            </w:r>
            <w:r w:rsidRPr="00A32AF4">
              <w:rPr>
                <w:rFonts w:cs="Arial"/>
                <w:sz w:val="16"/>
                <w:szCs w:val="16"/>
                <w:lang w:eastAsia="fr-FR"/>
              </w:rPr>
              <w:t>information statistique de l</w:t>
            </w:r>
            <w:r w:rsidR="00E2055A" w:rsidRPr="00A32AF4">
              <w:rPr>
                <w:rFonts w:cs="Arial"/>
                <w:sz w:val="16"/>
                <w:szCs w:val="16"/>
                <w:lang w:eastAsia="fr-FR"/>
              </w:rPr>
              <w:t>’</w:t>
            </w:r>
            <w:r w:rsidRPr="00A32AF4">
              <w:rPr>
                <w:rFonts w:cs="Arial"/>
                <w:sz w:val="16"/>
                <w:szCs w:val="16"/>
                <w:lang w:eastAsia="fr-FR"/>
              </w:rPr>
              <w:t>OMPI relative à la propriété intellectuelle</w:t>
            </w:r>
          </w:p>
        </w:tc>
        <w:tc>
          <w:tcPr>
            <w:tcW w:w="1260" w:type="dxa"/>
            <w:tcBorders>
              <w:top w:val="nil"/>
              <w:left w:val="nil"/>
              <w:bottom w:val="nil"/>
              <w:right w:val="nil"/>
            </w:tcBorders>
            <w:shd w:val="clear" w:color="auto" w:fill="auto"/>
            <w:tcMar>
              <w:top w:w="113" w:type="dxa"/>
              <w:bottom w:w="113" w:type="dxa"/>
            </w:tcMar>
            <w:vAlign w:val="center"/>
            <w:hideMark/>
          </w:tcPr>
          <w:p w:rsidR="003068C2" w:rsidRPr="00A32AF4" w:rsidRDefault="00086EFD" w:rsidP="00DC0553">
            <w:pPr>
              <w:jc w:val="right"/>
              <w:rPr>
                <w:rFonts w:cs="Arial"/>
                <w:sz w:val="16"/>
                <w:szCs w:val="16"/>
                <w:lang w:eastAsia="fr-FR"/>
              </w:rPr>
            </w:pPr>
            <w:r w:rsidRPr="00A32AF4">
              <w:rPr>
                <w:rFonts w:cs="Arial"/>
                <w:sz w:val="16"/>
                <w:szCs w:val="16"/>
                <w:lang w:eastAsia="fr-FR"/>
              </w:rPr>
              <w:t>2 1</w:t>
            </w:r>
            <w:r w:rsidR="003068C2" w:rsidRPr="00A32AF4">
              <w:rPr>
                <w:rFonts w:cs="Arial"/>
                <w:sz w:val="16"/>
                <w:szCs w:val="16"/>
                <w:lang w:eastAsia="fr-FR"/>
              </w:rPr>
              <w:t xml:space="preserve">41 </w:t>
            </w:r>
          </w:p>
        </w:tc>
        <w:tc>
          <w:tcPr>
            <w:tcW w:w="1440" w:type="dxa"/>
            <w:tcBorders>
              <w:top w:val="nil"/>
              <w:left w:val="nil"/>
              <w:bottom w:val="nil"/>
              <w:right w:val="nil"/>
            </w:tcBorders>
            <w:shd w:val="clear" w:color="auto" w:fill="auto"/>
            <w:tcMar>
              <w:top w:w="113" w:type="dxa"/>
              <w:bottom w:w="113" w:type="dxa"/>
            </w:tcMar>
            <w:vAlign w:val="center"/>
            <w:hideMark/>
          </w:tcPr>
          <w:p w:rsidR="003068C2" w:rsidRPr="00A32AF4" w:rsidRDefault="00086EFD" w:rsidP="00DC0553">
            <w:pPr>
              <w:jc w:val="right"/>
              <w:rPr>
                <w:rFonts w:cs="Arial"/>
                <w:sz w:val="16"/>
                <w:szCs w:val="16"/>
                <w:lang w:eastAsia="fr-FR"/>
              </w:rPr>
            </w:pPr>
            <w:r w:rsidRPr="00A32AF4">
              <w:rPr>
                <w:rFonts w:cs="Arial"/>
                <w:sz w:val="16"/>
                <w:szCs w:val="16"/>
                <w:lang w:eastAsia="fr-FR"/>
              </w:rPr>
              <w:t>2 1</w:t>
            </w:r>
            <w:r w:rsidR="003068C2" w:rsidRPr="00A32AF4">
              <w:rPr>
                <w:rFonts w:cs="Arial"/>
                <w:sz w:val="16"/>
                <w:szCs w:val="16"/>
                <w:lang w:eastAsia="fr-FR"/>
              </w:rPr>
              <w:t xml:space="preserve">82 </w:t>
            </w:r>
          </w:p>
        </w:tc>
        <w:tc>
          <w:tcPr>
            <w:tcW w:w="1260" w:type="dxa"/>
            <w:tcBorders>
              <w:top w:val="nil"/>
              <w:left w:val="nil"/>
              <w:bottom w:val="nil"/>
              <w:right w:val="single" w:sz="4" w:space="0" w:color="auto"/>
            </w:tcBorders>
            <w:shd w:val="clear" w:color="auto" w:fill="auto"/>
            <w:noWrap/>
            <w:tcMar>
              <w:top w:w="113" w:type="dxa"/>
              <w:bottom w:w="113" w:type="dxa"/>
            </w:tcMar>
            <w:vAlign w:val="center"/>
            <w:hideMark/>
          </w:tcPr>
          <w:p w:rsidR="003068C2" w:rsidRPr="00A32AF4" w:rsidRDefault="00086EFD" w:rsidP="00DC0553">
            <w:pPr>
              <w:jc w:val="right"/>
              <w:rPr>
                <w:rFonts w:cs="Arial"/>
                <w:color w:val="000000"/>
                <w:sz w:val="16"/>
                <w:szCs w:val="16"/>
                <w:lang w:eastAsia="fr-FR"/>
              </w:rPr>
            </w:pPr>
            <w:r w:rsidRPr="00A32AF4">
              <w:rPr>
                <w:rFonts w:cs="Arial"/>
                <w:color w:val="000000"/>
                <w:sz w:val="16"/>
                <w:szCs w:val="16"/>
                <w:lang w:eastAsia="fr-FR"/>
              </w:rPr>
              <w:t>2 6</w:t>
            </w:r>
            <w:r w:rsidR="003068C2" w:rsidRPr="00A32AF4">
              <w:rPr>
                <w:rFonts w:cs="Arial"/>
                <w:color w:val="000000"/>
                <w:sz w:val="16"/>
                <w:szCs w:val="16"/>
                <w:lang w:eastAsia="fr-FR"/>
              </w:rPr>
              <w:t xml:space="preserve">77 </w:t>
            </w:r>
          </w:p>
        </w:tc>
      </w:tr>
      <w:tr w:rsidR="003068C2" w:rsidRPr="00A32AF4" w:rsidTr="003068C2">
        <w:tc>
          <w:tcPr>
            <w:tcW w:w="461" w:type="dxa"/>
            <w:tcBorders>
              <w:top w:val="nil"/>
              <w:left w:val="single" w:sz="4" w:space="0" w:color="auto"/>
              <w:bottom w:val="nil"/>
              <w:right w:val="nil"/>
            </w:tcBorders>
            <w:shd w:val="clear" w:color="auto" w:fill="auto"/>
            <w:noWrap/>
            <w:tcMar>
              <w:top w:w="113" w:type="dxa"/>
              <w:bottom w:w="113" w:type="dxa"/>
            </w:tcMar>
            <w:vAlign w:val="center"/>
            <w:hideMark/>
          </w:tcPr>
          <w:p w:rsidR="003068C2" w:rsidRPr="00A32AF4" w:rsidRDefault="003068C2" w:rsidP="00DC0553">
            <w:pPr>
              <w:rPr>
                <w:rFonts w:cs="Arial"/>
                <w:sz w:val="16"/>
                <w:szCs w:val="16"/>
                <w:lang w:eastAsia="fr-FR"/>
              </w:rPr>
            </w:pPr>
            <w:r w:rsidRPr="00A32AF4">
              <w:rPr>
                <w:rFonts w:cs="Arial"/>
                <w:sz w:val="16"/>
                <w:szCs w:val="16"/>
                <w:lang w:eastAsia="fr-FR"/>
              </w:rPr>
              <w:t>V.2</w:t>
            </w:r>
          </w:p>
        </w:tc>
        <w:tc>
          <w:tcPr>
            <w:tcW w:w="4559" w:type="dxa"/>
            <w:tcBorders>
              <w:top w:val="nil"/>
              <w:left w:val="nil"/>
              <w:bottom w:val="nil"/>
              <w:right w:val="nil"/>
            </w:tcBorders>
            <w:shd w:val="clear" w:color="auto" w:fill="auto"/>
            <w:tcMar>
              <w:top w:w="113" w:type="dxa"/>
              <w:bottom w:w="113" w:type="dxa"/>
            </w:tcMar>
            <w:vAlign w:val="center"/>
            <w:hideMark/>
          </w:tcPr>
          <w:p w:rsidR="003068C2" w:rsidRPr="00A32AF4" w:rsidRDefault="003068C2" w:rsidP="00DC0553">
            <w:pPr>
              <w:rPr>
                <w:rFonts w:cs="Arial"/>
                <w:sz w:val="16"/>
                <w:szCs w:val="16"/>
                <w:lang w:eastAsia="fr-FR"/>
              </w:rPr>
            </w:pPr>
            <w:r w:rsidRPr="00A32AF4">
              <w:rPr>
                <w:rFonts w:cs="Arial"/>
                <w:sz w:val="16"/>
                <w:szCs w:val="16"/>
                <w:lang w:eastAsia="fr-FR"/>
              </w:rPr>
              <w:t>Utilisation élargie et améliorée des analyses économiques de l</w:t>
            </w:r>
            <w:r w:rsidR="00E2055A" w:rsidRPr="00A32AF4">
              <w:rPr>
                <w:rFonts w:cs="Arial"/>
                <w:sz w:val="16"/>
                <w:szCs w:val="16"/>
                <w:lang w:eastAsia="fr-FR"/>
              </w:rPr>
              <w:t>’</w:t>
            </w:r>
            <w:r w:rsidRPr="00A32AF4">
              <w:rPr>
                <w:rFonts w:cs="Arial"/>
                <w:sz w:val="16"/>
                <w:szCs w:val="16"/>
                <w:lang w:eastAsia="fr-FR"/>
              </w:rPr>
              <w:t>OMPI aux fins de l</w:t>
            </w:r>
            <w:r w:rsidR="00E2055A" w:rsidRPr="00A32AF4">
              <w:rPr>
                <w:rFonts w:cs="Arial"/>
                <w:sz w:val="16"/>
                <w:szCs w:val="16"/>
                <w:lang w:eastAsia="fr-FR"/>
              </w:rPr>
              <w:t>’</w:t>
            </w:r>
            <w:r w:rsidRPr="00A32AF4">
              <w:rPr>
                <w:rFonts w:cs="Arial"/>
                <w:sz w:val="16"/>
                <w:szCs w:val="16"/>
                <w:lang w:eastAsia="fr-FR"/>
              </w:rPr>
              <w:t>élaboration des politiques</w:t>
            </w:r>
          </w:p>
        </w:tc>
        <w:tc>
          <w:tcPr>
            <w:tcW w:w="1260" w:type="dxa"/>
            <w:tcBorders>
              <w:top w:val="nil"/>
              <w:left w:val="nil"/>
              <w:bottom w:val="nil"/>
              <w:right w:val="nil"/>
            </w:tcBorders>
            <w:shd w:val="clear" w:color="auto" w:fill="auto"/>
            <w:tcMar>
              <w:top w:w="113" w:type="dxa"/>
              <w:bottom w:w="113" w:type="dxa"/>
            </w:tcMar>
            <w:vAlign w:val="center"/>
            <w:hideMark/>
          </w:tcPr>
          <w:p w:rsidR="003068C2" w:rsidRPr="00A32AF4" w:rsidRDefault="00086EFD" w:rsidP="00DC0553">
            <w:pPr>
              <w:jc w:val="right"/>
              <w:rPr>
                <w:rFonts w:cs="Arial"/>
                <w:sz w:val="16"/>
                <w:szCs w:val="16"/>
                <w:lang w:eastAsia="fr-FR"/>
              </w:rPr>
            </w:pPr>
            <w:r w:rsidRPr="00A32AF4">
              <w:rPr>
                <w:rFonts w:cs="Arial"/>
                <w:sz w:val="16"/>
                <w:szCs w:val="16"/>
                <w:lang w:eastAsia="fr-FR"/>
              </w:rPr>
              <w:t>3 1</w:t>
            </w:r>
            <w:r w:rsidR="003068C2" w:rsidRPr="00A32AF4">
              <w:rPr>
                <w:rFonts w:cs="Arial"/>
                <w:sz w:val="16"/>
                <w:szCs w:val="16"/>
                <w:lang w:eastAsia="fr-FR"/>
              </w:rPr>
              <w:t xml:space="preserve">95 </w:t>
            </w:r>
          </w:p>
        </w:tc>
        <w:tc>
          <w:tcPr>
            <w:tcW w:w="1440" w:type="dxa"/>
            <w:tcBorders>
              <w:top w:val="nil"/>
              <w:left w:val="nil"/>
              <w:bottom w:val="nil"/>
              <w:right w:val="nil"/>
            </w:tcBorders>
            <w:shd w:val="clear" w:color="auto" w:fill="auto"/>
            <w:tcMar>
              <w:top w:w="113" w:type="dxa"/>
              <w:bottom w:w="113" w:type="dxa"/>
            </w:tcMar>
            <w:vAlign w:val="center"/>
            <w:hideMark/>
          </w:tcPr>
          <w:p w:rsidR="003068C2" w:rsidRPr="00A32AF4" w:rsidRDefault="00086EFD" w:rsidP="00DC0553">
            <w:pPr>
              <w:jc w:val="right"/>
              <w:rPr>
                <w:rFonts w:cs="Arial"/>
                <w:sz w:val="16"/>
                <w:szCs w:val="16"/>
                <w:lang w:eastAsia="fr-FR"/>
              </w:rPr>
            </w:pPr>
            <w:r w:rsidRPr="00A32AF4">
              <w:rPr>
                <w:rFonts w:cs="Arial"/>
                <w:sz w:val="16"/>
                <w:szCs w:val="16"/>
                <w:lang w:eastAsia="fr-FR"/>
              </w:rPr>
              <w:t>2 7</w:t>
            </w:r>
            <w:r w:rsidR="003068C2" w:rsidRPr="00A32AF4">
              <w:rPr>
                <w:rFonts w:cs="Arial"/>
                <w:sz w:val="16"/>
                <w:szCs w:val="16"/>
                <w:lang w:eastAsia="fr-FR"/>
              </w:rPr>
              <w:t xml:space="preserve">11 </w:t>
            </w:r>
          </w:p>
        </w:tc>
        <w:tc>
          <w:tcPr>
            <w:tcW w:w="1260" w:type="dxa"/>
            <w:tcBorders>
              <w:top w:val="nil"/>
              <w:left w:val="nil"/>
              <w:bottom w:val="nil"/>
              <w:right w:val="single" w:sz="4" w:space="0" w:color="auto"/>
            </w:tcBorders>
            <w:shd w:val="clear" w:color="auto" w:fill="auto"/>
            <w:noWrap/>
            <w:tcMar>
              <w:top w:w="113" w:type="dxa"/>
              <w:bottom w:w="113" w:type="dxa"/>
            </w:tcMar>
            <w:vAlign w:val="center"/>
            <w:hideMark/>
          </w:tcPr>
          <w:p w:rsidR="003068C2" w:rsidRPr="00A32AF4" w:rsidRDefault="00086EFD" w:rsidP="00DC0553">
            <w:pPr>
              <w:jc w:val="right"/>
              <w:rPr>
                <w:rFonts w:cs="Arial"/>
                <w:color w:val="000000"/>
                <w:sz w:val="16"/>
                <w:szCs w:val="16"/>
                <w:lang w:eastAsia="fr-FR"/>
              </w:rPr>
            </w:pPr>
            <w:r w:rsidRPr="00A32AF4">
              <w:rPr>
                <w:rFonts w:cs="Arial"/>
                <w:color w:val="000000"/>
                <w:sz w:val="16"/>
                <w:szCs w:val="16"/>
                <w:lang w:eastAsia="fr-FR"/>
              </w:rPr>
              <w:t>3 3</w:t>
            </w:r>
            <w:r w:rsidR="003068C2" w:rsidRPr="00A32AF4">
              <w:rPr>
                <w:rFonts w:cs="Arial"/>
                <w:color w:val="000000"/>
                <w:sz w:val="16"/>
                <w:szCs w:val="16"/>
                <w:lang w:eastAsia="fr-FR"/>
              </w:rPr>
              <w:t xml:space="preserve">95 </w:t>
            </w:r>
          </w:p>
        </w:tc>
      </w:tr>
      <w:tr w:rsidR="003068C2" w:rsidRPr="00A32AF4" w:rsidTr="003068C2">
        <w:tc>
          <w:tcPr>
            <w:tcW w:w="461" w:type="dxa"/>
            <w:tcBorders>
              <w:top w:val="single" w:sz="4" w:space="0" w:color="auto"/>
              <w:left w:val="single" w:sz="4" w:space="0" w:color="auto"/>
              <w:bottom w:val="single" w:sz="4" w:space="0" w:color="auto"/>
              <w:right w:val="nil"/>
            </w:tcBorders>
            <w:shd w:val="clear" w:color="000000" w:fill="C5D9F1"/>
            <w:noWrap/>
            <w:tcMar>
              <w:top w:w="113" w:type="dxa"/>
              <w:bottom w:w="113" w:type="dxa"/>
            </w:tcMar>
            <w:vAlign w:val="bottom"/>
            <w:hideMark/>
          </w:tcPr>
          <w:p w:rsidR="003068C2" w:rsidRPr="00A32AF4" w:rsidRDefault="003068C2" w:rsidP="00DC0553">
            <w:pPr>
              <w:rPr>
                <w:rFonts w:cs="Arial"/>
                <w:sz w:val="16"/>
                <w:szCs w:val="16"/>
                <w:lang w:eastAsia="fr-FR"/>
              </w:rPr>
            </w:pPr>
            <w:r w:rsidRPr="00A32AF4">
              <w:rPr>
                <w:rFonts w:cs="Arial"/>
                <w:sz w:val="16"/>
                <w:szCs w:val="16"/>
                <w:lang w:eastAsia="fr-FR"/>
              </w:rPr>
              <w:t> </w:t>
            </w:r>
          </w:p>
        </w:tc>
        <w:tc>
          <w:tcPr>
            <w:tcW w:w="4559"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3068C2" w:rsidRPr="00A32AF4" w:rsidRDefault="003068C2" w:rsidP="00DC0553">
            <w:pPr>
              <w:rPr>
                <w:rFonts w:cs="Arial"/>
                <w:b/>
                <w:bCs/>
                <w:sz w:val="16"/>
                <w:szCs w:val="16"/>
                <w:lang w:eastAsia="fr-FR"/>
              </w:rPr>
            </w:pPr>
            <w:r w:rsidRPr="00A32AF4">
              <w:rPr>
                <w:rFonts w:cs="Arial"/>
                <w:b/>
                <w:bCs/>
                <w:sz w:val="16"/>
                <w:szCs w:val="16"/>
                <w:lang w:eastAsia="fr-FR"/>
              </w:rPr>
              <w:t>Total</w:t>
            </w:r>
          </w:p>
        </w:tc>
        <w:tc>
          <w:tcPr>
            <w:tcW w:w="1260"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3068C2" w:rsidRPr="00A32AF4" w:rsidRDefault="00086EFD" w:rsidP="00DC0553">
            <w:pPr>
              <w:jc w:val="right"/>
              <w:rPr>
                <w:rFonts w:cs="Arial"/>
                <w:b/>
                <w:bCs/>
                <w:sz w:val="16"/>
                <w:szCs w:val="16"/>
                <w:lang w:eastAsia="fr-FR"/>
              </w:rPr>
            </w:pPr>
            <w:r w:rsidRPr="00A32AF4">
              <w:rPr>
                <w:rFonts w:cs="Arial"/>
                <w:b/>
                <w:bCs/>
                <w:sz w:val="16"/>
                <w:szCs w:val="16"/>
                <w:lang w:eastAsia="fr-FR"/>
              </w:rPr>
              <w:t>5 3</w:t>
            </w:r>
            <w:r w:rsidR="003068C2" w:rsidRPr="00A32AF4">
              <w:rPr>
                <w:rFonts w:cs="Arial"/>
                <w:b/>
                <w:bCs/>
                <w:sz w:val="16"/>
                <w:szCs w:val="16"/>
                <w:lang w:eastAsia="fr-FR"/>
              </w:rPr>
              <w:t xml:space="preserve">36 </w:t>
            </w:r>
          </w:p>
        </w:tc>
        <w:tc>
          <w:tcPr>
            <w:tcW w:w="1440"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3068C2" w:rsidRPr="00A32AF4" w:rsidRDefault="00086EFD" w:rsidP="00DC0553">
            <w:pPr>
              <w:jc w:val="right"/>
              <w:rPr>
                <w:rFonts w:cs="Arial"/>
                <w:b/>
                <w:bCs/>
                <w:sz w:val="16"/>
                <w:szCs w:val="16"/>
                <w:lang w:eastAsia="fr-FR"/>
              </w:rPr>
            </w:pPr>
            <w:r w:rsidRPr="00A32AF4">
              <w:rPr>
                <w:rFonts w:cs="Arial"/>
                <w:b/>
                <w:bCs/>
                <w:sz w:val="16"/>
                <w:szCs w:val="16"/>
                <w:lang w:eastAsia="fr-FR"/>
              </w:rPr>
              <w:t>4 8</w:t>
            </w:r>
            <w:r w:rsidR="003068C2" w:rsidRPr="00A32AF4">
              <w:rPr>
                <w:rFonts w:cs="Arial"/>
                <w:b/>
                <w:bCs/>
                <w:sz w:val="16"/>
                <w:szCs w:val="16"/>
                <w:lang w:eastAsia="fr-FR"/>
              </w:rPr>
              <w:t xml:space="preserve">93 </w:t>
            </w:r>
          </w:p>
        </w:tc>
        <w:tc>
          <w:tcPr>
            <w:tcW w:w="1260"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3068C2" w:rsidRPr="00A32AF4" w:rsidRDefault="00086EFD" w:rsidP="00DC0553">
            <w:pPr>
              <w:jc w:val="right"/>
              <w:rPr>
                <w:rFonts w:cs="Arial"/>
                <w:b/>
                <w:bCs/>
                <w:sz w:val="16"/>
                <w:szCs w:val="16"/>
                <w:lang w:eastAsia="fr-FR"/>
              </w:rPr>
            </w:pPr>
            <w:r w:rsidRPr="00A32AF4">
              <w:rPr>
                <w:rFonts w:cs="Arial"/>
                <w:b/>
                <w:bCs/>
                <w:sz w:val="16"/>
                <w:szCs w:val="16"/>
                <w:lang w:eastAsia="fr-FR"/>
              </w:rPr>
              <w:t>6 0</w:t>
            </w:r>
            <w:r w:rsidR="003068C2" w:rsidRPr="00A32AF4">
              <w:rPr>
                <w:rFonts w:cs="Arial"/>
                <w:b/>
                <w:bCs/>
                <w:sz w:val="16"/>
                <w:szCs w:val="16"/>
                <w:lang w:eastAsia="fr-FR"/>
              </w:rPr>
              <w:t xml:space="preserve">72 </w:t>
            </w:r>
          </w:p>
        </w:tc>
      </w:tr>
    </w:tbl>
    <w:p w:rsidR="00F93B76" w:rsidRPr="00A32AF4" w:rsidRDefault="0047185D" w:rsidP="0047185D">
      <w:pPr>
        <w:jc w:val="center"/>
        <w:rPr>
          <w:rFonts w:cs="Arial"/>
          <w:b/>
        </w:rPr>
      </w:pPr>
      <w:r w:rsidRPr="00A32AF4">
        <w:rPr>
          <w:rFonts w:cs="Arial"/>
          <w:b/>
        </w:rPr>
        <w:br w:type="page"/>
      </w:r>
      <w:r w:rsidR="00AD080B" w:rsidRPr="00A32AF4">
        <w:rPr>
          <w:rFonts w:cs="Arial"/>
          <w:b/>
        </w:rPr>
        <w:t>Programme 16 : ressources par objet de dépense</w:t>
      </w:r>
    </w:p>
    <w:p w:rsidR="00F93B76" w:rsidRPr="00A32AF4" w:rsidRDefault="00AD080B" w:rsidP="00DC0553">
      <w:pPr>
        <w:keepNext/>
        <w:keepLines/>
        <w:autoSpaceDE w:val="0"/>
        <w:autoSpaceDN w:val="0"/>
        <w:jc w:val="center"/>
        <w:rPr>
          <w:rFonts w:cs="Arial"/>
          <w:i/>
        </w:rPr>
      </w:pPr>
      <w:r w:rsidRPr="00A32AF4">
        <w:rPr>
          <w:rFonts w:cs="Arial"/>
          <w:i/>
        </w:rPr>
        <w:t>(</w:t>
      </w:r>
      <w:proofErr w:type="gramStart"/>
      <w:r w:rsidRPr="00A32AF4">
        <w:rPr>
          <w:rFonts w:cs="Arial"/>
          <w:i/>
        </w:rPr>
        <w:t>en</w:t>
      </w:r>
      <w:proofErr w:type="gramEnd"/>
      <w:r w:rsidRPr="00A32AF4">
        <w:rPr>
          <w:rFonts w:cs="Arial"/>
          <w:i/>
        </w:rPr>
        <w:t xml:space="preserve"> milliers de francs suisses)</w:t>
      </w:r>
    </w:p>
    <w:p w:rsidR="00F93B76" w:rsidRPr="00A32AF4" w:rsidRDefault="00F93B76" w:rsidP="00DC0553">
      <w:pPr>
        <w:keepNext/>
        <w:rPr>
          <w:rFonts w:eastAsia="SimSun"/>
        </w:rPr>
      </w:pPr>
    </w:p>
    <w:p w:rsidR="00F93B76" w:rsidRPr="00A32AF4" w:rsidRDefault="00E91FB4" w:rsidP="00DC0553">
      <w:pPr>
        <w:rPr>
          <w:rFonts w:eastAsia="SimSun"/>
        </w:rPr>
      </w:pPr>
      <w:r w:rsidRPr="00A32AF4">
        <w:rPr>
          <w:rFonts w:eastAsia="SimSun"/>
          <w:noProof/>
          <w:lang w:eastAsia="fr-FR"/>
        </w:rPr>
        <w:drawing>
          <wp:inline distT="0" distB="0" distL="0" distR="0" wp14:anchorId="211ADCB0" wp14:editId="1E9104F6">
            <wp:extent cx="5512435" cy="7051040"/>
            <wp:effectExtent l="0" t="0" r="0" b="0"/>
            <wp:docPr id="1050" name="Picture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512435" cy="7051040"/>
                    </a:xfrm>
                    <a:prstGeom prst="rect">
                      <a:avLst/>
                    </a:prstGeom>
                    <a:noFill/>
                    <a:ln>
                      <a:noFill/>
                    </a:ln>
                  </pic:spPr>
                </pic:pic>
              </a:graphicData>
            </a:graphic>
          </wp:inline>
        </w:drawing>
      </w:r>
    </w:p>
    <w:p w:rsidR="00F93B76" w:rsidRPr="00A32AF4" w:rsidRDefault="00F93B76" w:rsidP="00DC0553">
      <w:pPr>
        <w:rPr>
          <w:lang w:eastAsia="da-DK"/>
        </w:rPr>
      </w:pPr>
    </w:p>
    <w:p w:rsidR="00F93B76" w:rsidRPr="00A32AF4" w:rsidRDefault="00BF6478" w:rsidP="00DC0553">
      <w:pPr>
        <w:rPr>
          <w:lang w:eastAsia="da-DK"/>
        </w:rPr>
      </w:pPr>
      <w:r w:rsidRPr="00A32AF4">
        <w:rPr>
          <w:lang w:eastAsia="da-DK"/>
        </w:rPr>
        <w:br w:type="page"/>
      </w:r>
    </w:p>
    <w:p w:rsidR="00F93B76" w:rsidRPr="00A32AF4" w:rsidRDefault="00BF6478" w:rsidP="00FB1F61">
      <w:pPr>
        <w:pStyle w:val="Heading2"/>
        <w:rPr>
          <w:rFonts w:hint="eastAsia"/>
          <w:lang w:eastAsia="da-DK"/>
        </w:rPr>
      </w:pPr>
      <w:bookmarkStart w:id="52" w:name="_Toc431555458"/>
      <w:r w:rsidRPr="00A32AF4">
        <w:rPr>
          <w:lang w:eastAsia="da-DK"/>
        </w:rPr>
        <w:t>Objectif stratégique VI</w:t>
      </w:r>
      <w:r w:rsidRPr="00A32AF4">
        <w:rPr>
          <w:lang w:eastAsia="da-DK"/>
        </w:rPr>
        <w:tab/>
        <w:t>Coopéra</w:t>
      </w:r>
      <w:r w:rsidR="00563E68" w:rsidRPr="00A32AF4">
        <w:rPr>
          <w:lang w:eastAsia="da-DK"/>
        </w:rPr>
        <w:t>tion internationale pour le </w:t>
      </w:r>
      <w:r w:rsidRPr="00A32AF4">
        <w:rPr>
          <w:lang w:eastAsia="da-DK"/>
        </w:rPr>
        <w:t>respect de la propriété intellectuelle</w:t>
      </w:r>
      <w:bookmarkEnd w:id="52"/>
    </w:p>
    <w:p w:rsidR="00F93B76" w:rsidRPr="00A32AF4" w:rsidRDefault="00F93B76" w:rsidP="00DC0553">
      <w:pPr>
        <w:rPr>
          <w:lang w:eastAsia="da-DK"/>
        </w:rPr>
      </w:pPr>
    </w:p>
    <w:p w:rsidR="00F93B76" w:rsidRPr="00A32AF4" w:rsidRDefault="00F93B76" w:rsidP="00DC0553">
      <w:pPr>
        <w:rPr>
          <w:lang w:eastAsia="da-DK"/>
        </w:rPr>
      </w:pPr>
    </w:p>
    <w:p w:rsidR="00F93B76" w:rsidRPr="00A32AF4" w:rsidRDefault="00B26C01" w:rsidP="00DC0553">
      <w:pPr>
        <w:jc w:val="both"/>
        <w:rPr>
          <w:rFonts w:cs="Arial"/>
        </w:rPr>
      </w:pPr>
      <w:r w:rsidRPr="00A32AF4">
        <w:rPr>
          <w:rFonts w:cs="Arial"/>
        </w:rPr>
        <w:t>La promotion du respect de la propriété intellectuelle passe par l</w:t>
      </w:r>
      <w:r w:rsidR="00E2055A" w:rsidRPr="00A32AF4">
        <w:rPr>
          <w:rFonts w:cs="Arial"/>
        </w:rPr>
        <w:t>’</w:t>
      </w:r>
      <w:r w:rsidRPr="00A32AF4">
        <w:rPr>
          <w:rFonts w:cs="Arial"/>
        </w:rPr>
        <w:t>adoption d</w:t>
      </w:r>
      <w:r w:rsidR="00E2055A" w:rsidRPr="00A32AF4">
        <w:rPr>
          <w:rFonts w:cs="Arial"/>
        </w:rPr>
        <w:t>’</w:t>
      </w:r>
      <w:r w:rsidRPr="00A32AF4">
        <w:rPr>
          <w:rFonts w:cs="Arial"/>
        </w:rPr>
        <w:t>une stratégie plus large que celle mise en œuvre pour la seule application des droits de propriété intellectuelle.  Elle exige une démarche axée sur la coopération internationale permettant à l</w:t>
      </w:r>
      <w:r w:rsidR="00E2055A" w:rsidRPr="00A32AF4">
        <w:rPr>
          <w:rFonts w:cs="Arial"/>
        </w:rPr>
        <w:t>’</w:t>
      </w:r>
      <w:r w:rsidRPr="00A32AF4">
        <w:rPr>
          <w:rFonts w:cs="Arial"/>
        </w:rPr>
        <w:t>OMPI d</w:t>
      </w:r>
      <w:r w:rsidR="00E2055A" w:rsidRPr="00A32AF4">
        <w:rPr>
          <w:rFonts w:cs="Arial"/>
        </w:rPr>
        <w:t>’</w:t>
      </w:r>
      <w:r w:rsidRPr="00A32AF4">
        <w:rPr>
          <w:rFonts w:cs="Arial"/>
        </w:rPr>
        <w:t>obtenir des résultats tangibles.  Il s</w:t>
      </w:r>
      <w:r w:rsidR="00E2055A" w:rsidRPr="00A32AF4">
        <w:rPr>
          <w:rFonts w:cs="Arial"/>
        </w:rPr>
        <w:t>’</w:t>
      </w:r>
      <w:r w:rsidRPr="00A32AF4">
        <w:rPr>
          <w:rFonts w:cs="Arial"/>
        </w:rPr>
        <w:t>agit d</w:t>
      </w:r>
      <w:r w:rsidR="00E2055A" w:rsidRPr="00A32AF4">
        <w:rPr>
          <w:rFonts w:cs="Arial"/>
        </w:rPr>
        <w:t>’</w:t>
      </w:r>
      <w:r w:rsidRPr="00A32AF4">
        <w:rPr>
          <w:rFonts w:cs="Arial"/>
        </w:rPr>
        <w:t>un vaste objectif transversal, auquel contribuent de nombreux domaines d</w:t>
      </w:r>
      <w:r w:rsidR="00E2055A" w:rsidRPr="00A32AF4">
        <w:rPr>
          <w:rFonts w:cs="Arial"/>
        </w:rPr>
        <w:t>’</w:t>
      </w:r>
      <w:r w:rsidRPr="00A32AF4">
        <w:rPr>
          <w:rFonts w:cs="Arial"/>
        </w:rPr>
        <w:t>activité de l</w:t>
      </w:r>
      <w:r w:rsidR="00E2055A" w:rsidRPr="00A32AF4">
        <w:rPr>
          <w:rFonts w:cs="Arial"/>
        </w:rPr>
        <w:t>’</w:t>
      </w:r>
      <w:r w:rsidRPr="00A32AF4">
        <w:rPr>
          <w:rFonts w:cs="Arial"/>
        </w:rPr>
        <w:t>OMPI.  Le Comité consultatif de l</w:t>
      </w:r>
      <w:r w:rsidR="00E2055A" w:rsidRPr="00A32AF4">
        <w:rPr>
          <w:rFonts w:cs="Arial"/>
        </w:rPr>
        <w:t>’</w:t>
      </w:r>
      <w:r w:rsidRPr="00A32AF4">
        <w:rPr>
          <w:rFonts w:cs="Arial"/>
        </w:rPr>
        <w:t>OMPI sur l</w:t>
      </w:r>
      <w:r w:rsidR="00E2055A" w:rsidRPr="00A32AF4">
        <w:rPr>
          <w:rFonts w:cs="Arial"/>
        </w:rPr>
        <w:t>’</w:t>
      </w:r>
      <w:r w:rsidRPr="00A32AF4">
        <w:rPr>
          <w:rFonts w:cs="Arial"/>
        </w:rPr>
        <w:t>application des droits (ACE) sert aux États membres de mécanisme de coordination des efforts déployés en vue d</w:t>
      </w:r>
      <w:r w:rsidR="00E2055A" w:rsidRPr="00A32AF4">
        <w:rPr>
          <w:rFonts w:cs="Arial"/>
        </w:rPr>
        <w:t>’</w:t>
      </w:r>
      <w:r w:rsidRPr="00A32AF4">
        <w:rPr>
          <w:rFonts w:cs="Arial"/>
        </w:rPr>
        <w:t>atteindre cet objectif.  Les activités au titre de cet objectif stratégique s</w:t>
      </w:r>
      <w:r w:rsidR="00E2055A" w:rsidRPr="00A32AF4">
        <w:rPr>
          <w:rFonts w:cs="Arial"/>
        </w:rPr>
        <w:t>’</w:t>
      </w:r>
      <w:r w:rsidRPr="00A32AF4">
        <w:rPr>
          <w:rFonts w:cs="Arial"/>
        </w:rPr>
        <w:t>inscrivent dans le cadre de la recommandation n° 45 du Plan d</w:t>
      </w:r>
      <w:r w:rsidR="00E2055A" w:rsidRPr="00A32AF4">
        <w:rPr>
          <w:rFonts w:cs="Arial"/>
        </w:rPr>
        <w:t>’</w:t>
      </w:r>
      <w:r w:rsidRPr="00A32AF4">
        <w:rPr>
          <w:rFonts w:cs="Arial"/>
        </w:rPr>
        <w:t>action pour le développement.</w:t>
      </w:r>
    </w:p>
    <w:p w:rsidR="00F93B76" w:rsidRPr="00A32AF4" w:rsidRDefault="00F93B76" w:rsidP="00DC0553"/>
    <w:p w:rsidR="00B26C01" w:rsidRPr="00A32AF4" w:rsidRDefault="00B26C01" w:rsidP="00DC0553">
      <w:pPr>
        <w:rPr>
          <w:rFonts w:cs="Arial"/>
        </w:rPr>
      </w:pPr>
    </w:p>
    <w:tbl>
      <w:tblPr>
        <w:tblW w:w="4855"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192"/>
        <w:gridCol w:w="3898"/>
        <w:gridCol w:w="1928"/>
      </w:tblGrid>
      <w:tr w:rsidR="00F735D5" w:rsidRPr="00A32AF4" w:rsidTr="0046629D">
        <w:trPr>
          <w:cantSplit/>
          <w:tblHeader/>
        </w:trPr>
        <w:tc>
          <w:tcPr>
            <w:tcW w:w="1770" w:type="pct"/>
            <w:tcBorders>
              <w:top w:val="single" w:sz="4" w:space="0" w:color="auto"/>
              <w:bottom w:val="single" w:sz="4" w:space="0" w:color="auto"/>
            </w:tcBorders>
            <w:shd w:val="clear" w:color="auto" w:fill="C6D9F1" w:themeFill="text2" w:themeFillTint="33"/>
            <w:tcMar>
              <w:top w:w="113" w:type="dxa"/>
              <w:bottom w:w="113" w:type="dxa"/>
            </w:tcMar>
            <w:vAlign w:val="center"/>
          </w:tcPr>
          <w:p w:rsidR="00B26C01" w:rsidRPr="00A32AF4" w:rsidRDefault="00B26C01" w:rsidP="00DC0553">
            <w:pPr>
              <w:jc w:val="center"/>
              <w:rPr>
                <w:rFonts w:cs="Arial"/>
                <w:b/>
                <w:bCs/>
                <w:sz w:val="18"/>
                <w:szCs w:val="18"/>
              </w:rPr>
            </w:pPr>
            <w:r w:rsidRPr="00A32AF4">
              <w:rPr>
                <w:rFonts w:cs="Arial"/>
                <w:b/>
                <w:bCs/>
                <w:sz w:val="18"/>
                <w:szCs w:val="18"/>
              </w:rPr>
              <w:t>Résultats escomptés</w:t>
            </w:r>
          </w:p>
        </w:tc>
        <w:tc>
          <w:tcPr>
            <w:tcW w:w="2161" w:type="pct"/>
            <w:tcBorders>
              <w:top w:val="single" w:sz="4" w:space="0" w:color="auto"/>
              <w:bottom w:val="single" w:sz="4" w:space="0" w:color="auto"/>
            </w:tcBorders>
            <w:shd w:val="clear" w:color="auto" w:fill="C6D9F1" w:themeFill="text2" w:themeFillTint="33"/>
            <w:tcMar>
              <w:top w:w="113" w:type="dxa"/>
              <w:bottom w:w="113" w:type="dxa"/>
            </w:tcMar>
            <w:vAlign w:val="center"/>
          </w:tcPr>
          <w:p w:rsidR="00B26C01" w:rsidRPr="00A32AF4" w:rsidRDefault="00B26C01" w:rsidP="00DC0553">
            <w:pPr>
              <w:jc w:val="center"/>
              <w:rPr>
                <w:rFonts w:cs="Arial"/>
                <w:b/>
                <w:sz w:val="18"/>
                <w:szCs w:val="18"/>
              </w:rPr>
            </w:pPr>
            <w:r w:rsidRPr="00A32AF4">
              <w:rPr>
                <w:rFonts w:cs="Arial"/>
                <w:b/>
                <w:sz w:val="18"/>
                <w:szCs w:val="18"/>
              </w:rPr>
              <w:t>Indicateurs d</w:t>
            </w:r>
            <w:r w:rsidR="00E2055A" w:rsidRPr="00A32AF4">
              <w:rPr>
                <w:rFonts w:cs="Arial"/>
                <w:b/>
                <w:sz w:val="18"/>
                <w:szCs w:val="18"/>
              </w:rPr>
              <w:t>’</w:t>
            </w:r>
            <w:r w:rsidRPr="00A32AF4">
              <w:rPr>
                <w:rFonts w:cs="Arial"/>
                <w:b/>
                <w:sz w:val="18"/>
                <w:szCs w:val="18"/>
              </w:rPr>
              <w:t>exécution</w:t>
            </w:r>
          </w:p>
        </w:tc>
        <w:tc>
          <w:tcPr>
            <w:tcW w:w="1069" w:type="pct"/>
            <w:tcBorders>
              <w:top w:val="single" w:sz="4" w:space="0" w:color="auto"/>
              <w:bottom w:val="single" w:sz="4" w:space="0" w:color="auto"/>
            </w:tcBorders>
            <w:shd w:val="clear" w:color="auto" w:fill="C6D9F1" w:themeFill="text2" w:themeFillTint="33"/>
            <w:tcMar>
              <w:top w:w="113" w:type="dxa"/>
              <w:bottom w:w="113" w:type="dxa"/>
            </w:tcMar>
            <w:vAlign w:val="center"/>
          </w:tcPr>
          <w:p w:rsidR="00B26C01" w:rsidRPr="00A32AF4" w:rsidRDefault="00B26C01" w:rsidP="00DC0553">
            <w:pPr>
              <w:jc w:val="center"/>
              <w:rPr>
                <w:rFonts w:cs="Arial"/>
                <w:sz w:val="18"/>
                <w:szCs w:val="18"/>
              </w:rPr>
            </w:pPr>
            <w:r w:rsidRPr="00A32AF4">
              <w:rPr>
                <w:rFonts w:cs="Arial"/>
                <w:b/>
                <w:sz w:val="18"/>
                <w:szCs w:val="18"/>
              </w:rPr>
              <w:t>Programme(s) concerné(s)</w:t>
            </w:r>
          </w:p>
        </w:tc>
      </w:tr>
      <w:tr w:rsidR="0046629D" w:rsidRPr="00A32AF4" w:rsidTr="0046629D">
        <w:trPr>
          <w:cantSplit/>
        </w:trPr>
        <w:tc>
          <w:tcPr>
            <w:tcW w:w="1770" w:type="pct"/>
            <w:tcBorders>
              <w:top w:val="single" w:sz="4" w:space="0" w:color="auto"/>
            </w:tcBorders>
            <w:shd w:val="clear" w:color="auto" w:fill="auto"/>
            <w:tcMar>
              <w:top w:w="113" w:type="dxa"/>
              <w:bottom w:w="113" w:type="dxa"/>
            </w:tcMar>
          </w:tcPr>
          <w:p w:rsidR="0046629D" w:rsidRPr="00A32AF4" w:rsidRDefault="0046629D" w:rsidP="00DC0553">
            <w:pPr>
              <w:rPr>
                <w:rFonts w:cs="Arial"/>
                <w:sz w:val="16"/>
                <w:szCs w:val="16"/>
              </w:rPr>
            </w:pPr>
            <w:r w:rsidRPr="00A32AF4">
              <w:rPr>
                <w:rFonts w:cs="Arial"/>
                <w:sz w:val="16"/>
                <w:szCs w:val="16"/>
              </w:rPr>
              <w:t xml:space="preserve">VI.1 </w:t>
            </w:r>
            <w:r w:rsidRPr="00A32AF4">
              <w:rPr>
                <w:sz w:val="16"/>
                <w:szCs w:val="16"/>
              </w:rPr>
              <w:t>Progrès du dialogue international de politique générale entre les États membres de l</w:t>
            </w:r>
            <w:r w:rsidR="00E2055A" w:rsidRPr="00A32AF4">
              <w:rPr>
                <w:sz w:val="16"/>
                <w:szCs w:val="16"/>
              </w:rPr>
              <w:t>’</w:t>
            </w:r>
            <w:r w:rsidRPr="00A32AF4">
              <w:rPr>
                <w:sz w:val="16"/>
                <w:szCs w:val="16"/>
              </w:rPr>
              <w:t>OMPI en ce qui concerne la promotion du respect de la propriété intellectuelle, compte tenu de la recommandation n° 45 du Plan d</w:t>
            </w:r>
            <w:r w:rsidR="00E2055A" w:rsidRPr="00A32AF4">
              <w:rPr>
                <w:sz w:val="16"/>
                <w:szCs w:val="16"/>
              </w:rPr>
              <w:t>’</w:t>
            </w:r>
            <w:r w:rsidRPr="00A32AF4">
              <w:rPr>
                <w:sz w:val="16"/>
                <w:szCs w:val="16"/>
              </w:rPr>
              <w:t>action pour le développement</w:t>
            </w:r>
          </w:p>
        </w:tc>
        <w:tc>
          <w:tcPr>
            <w:tcW w:w="2161" w:type="pct"/>
            <w:tcBorders>
              <w:top w:val="single" w:sz="4" w:space="0" w:color="auto"/>
            </w:tcBorders>
            <w:shd w:val="clear" w:color="auto" w:fill="auto"/>
            <w:tcMar>
              <w:top w:w="113" w:type="dxa"/>
              <w:bottom w:w="113" w:type="dxa"/>
            </w:tcMar>
          </w:tcPr>
          <w:p w:rsidR="0046629D" w:rsidRPr="00A32AF4" w:rsidRDefault="0046629D" w:rsidP="00DC0553">
            <w:pPr>
              <w:rPr>
                <w:sz w:val="16"/>
                <w:szCs w:val="16"/>
              </w:rPr>
            </w:pPr>
            <w:r w:rsidRPr="00A32AF4">
              <w:rPr>
                <w:sz w:val="16"/>
                <w:szCs w:val="16"/>
              </w:rPr>
              <w:t>Accord permanent des États membres sur les activités de fond du Comité consultatif de l</w:t>
            </w:r>
            <w:r w:rsidR="00E2055A" w:rsidRPr="00A32AF4">
              <w:rPr>
                <w:sz w:val="16"/>
                <w:szCs w:val="16"/>
              </w:rPr>
              <w:t>’</w:t>
            </w:r>
            <w:r w:rsidRPr="00A32AF4">
              <w:rPr>
                <w:sz w:val="16"/>
                <w:szCs w:val="16"/>
              </w:rPr>
              <w:t>OMPI sur l</w:t>
            </w:r>
            <w:r w:rsidR="00E2055A" w:rsidRPr="00A32AF4">
              <w:rPr>
                <w:sz w:val="16"/>
                <w:szCs w:val="16"/>
              </w:rPr>
              <w:t>’</w:t>
            </w:r>
            <w:r w:rsidRPr="00A32AF4">
              <w:rPr>
                <w:sz w:val="16"/>
                <w:szCs w:val="16"/>
              </w:rPr>
              <w:t>application des droits (ACE), en prenant en considération les préoccupations relatives au développement</w:t>
            </w:r>
          </w:p>
        </w:tc>
        <w:tc>
          <w:tcPr>
            <w:tcW w:w="1069" w:type="pct"/>
            <w:tcBorders>
              <w:top w:val="single" w:sz="4" w:space="0" w:color="auto"/>
            </w:tcBorders>
            <w:shd w:val="clear" w:color="auto" w:fill="FFFFFF"/>
            <w:tcMar>
              <w:top w:w="113" w:type="dxa"/>
              <w:bottom w:w="113" w:type="dxa"/>
            </w:tcMar>
          </w:tcPr>
          <w:p w:rsidR="0046629D" w:rsidRPr="00A32AF4" w:rsidRDefault="0046629D" w:rsidP="00DC0553">
            <w:pPr>
              <w:jc w:val="center"/>
              <w:rPr>
                <w:rFonts w:cs="Arial"/>
                <w:sz w:val="16"/>
                <w:szCs w:val="16"/>
              </w:rPr>
            </w:pPr>
            <w:r w:rsidRPr="00A32AF4">
              <w:rPr>
                <w:rFonts w:cs="Arial"/>
                <w:sz w:val="16"/>
                <w:szCs w:val="16"/>
                <w:lang w:bidi="th-TH"/>
              </w:rPr>
              <w:t>Programme 17</w:t>
            </w:r>
          </w:p>
        </w:tc>
      </w:tr>
      <w:tr w:rsidR="0046629D" w:rsidRPr="00A32AF4" w:rsidTr="0046629D">
        <w:trPr>
          <w:cantSplit/>
        </w:trPr>
        <w:tc>
          <w:tcPr>
            <w:tcW w:w="1770" w:type="pct"/>
            <w:shd w:val="clear" w:color="auto" w:fill="auto"/>
            <w:tcMar>
              <w:top w:w="113" w:type="dxa"/>
              <w:bottom w:w="113" w:type="dxa"/>
            </w:tcMar>
          </w:tcPr>
          <w:p w:rsidR="0046629D" w:rsidRPr="00A32AF4" w:rsidRDefault="0046629D" w:rsidP="00DC0553">
            <w:pPr>
              <w:rPr>
                <w:rFonts w:cs="Arial"/>
                <w:sz w:val="16"/>
                <w:szCs w:val="16"/>
              </w:rPr>
            </w:pPr>
            <w:r w:rsidRPr="00A32AF4">
              <w:rPr>
                <w:rFonts w:cs="Arial"/>
                <w:sz w:val="16"/>
                <w:szCs w:val="16"/>
              </w:rPr>
              <w:t xml:space="preserve">VI.2 </w:t>
            </w:r>
            <w:r w:rsidRPr="00A32AF4">
              <w:rPr>
                <w:sz w:val="16"/>
                <w:szCs w:val="16"/>
              </w:rPr>
              <w:t>Coopération et coordination systématiques, efficaces et transparentes entre les travaux de l</w:t>
            </w:r>
            <w:r w:rsidR="00E2055A" w:rsidRPr="00A32AF4">
              <w:rPr>
                <w:sz w:val="16"/>
                <w:szCs w:val="16"/>
              </w:rPr>
              <w:t>’</w:t>
            </w:r>
            <w:r w:rsidRPr="00A32AF4">
              <w:rPr>
                <w:sz w:val="16"/>
                <w:szCs w:val="16"/>
              </w:rPr>
              <w:t>OMPI et ceux d</w:t>
            </w:r>
            <w:r w:rsidR="00E2055A" w:rsidRPr="00A32AF4">
              <w:rPr>
                <w:sz w:val="16"/>
                <w:szCs w:val="16"/>
              </w:rPr>
              <w:t>’</w:t>
            </w:r>
            <w:r w:rsidRPr="00A32AF4">
              <w:rPr>
                <w:sz w:val="16"/>
                <w:szCs w:val="16"/>
              </w:rPr>
              <w:t>autres organisations internationales dans le domaine de la promotion du respect de la propriété intellectuelle</w:t>
            </w:r>
          </w:p>
        </w:tc>
        <w:tc>
          <w:tcPr>
            <w:tcW w:w="2161" w:type="pct"/>
            <w:shd w:val="clear" w:color="auto" w:fill="auto"/>
            <w:tcMar>
              <w:top w:w="113" w:type="dxa"/>
              <w:bottom w:w="113" w:type="dxa"/>
            </w:tcMar>
          </w:tcPr>
          <w:p w:rsidR="0046629D" w:rsidRPr="00A32AF4" w:rsidRDefault="0046629D" w:rsidP="00DC0553">
            <w:pPr>
              <w:rPr>
                <w:sz w:val="16"/>
                <w:szCs w:val="16"/>
              </w:rPr>
            </w:pPr>
            <w:r w:rsidRPr="00A32AF4">
              <w:rPr>
                <w:sz w:val="16"/>
                <w:szCs w:val="16"/>
              </w:rPr>
              <w:t xml:space="preserve">Nombre de collaborations stratégiques ou autres activités communes menées avec les organisations partenaires dans le domaine de la promotion du respect de la propriété intellectuelle </w:t>
            </w:r>
          </w:p>
        </w:tc>
        <w:tc>
          <w:tcPr>
            <w:tcW w:w="1069" w:type="pct"/>
            <w:shd w:val="clear" w:color="auto" w:fill="FFFFFF"/>
            <w:tcMar>
              <w:top w:w="113" w:type="dxa"/>
              <w:bottom w:w="113" w:type="dxa"/>
            </w:tcMar>
          </w:tcPr>
          <w:p w:rsidR="0046629D" w:rsidRPr="00A32AF4" w:rsidRDefault="0046629D" w:rsidP="00DC0553">
            <w:pPr>
              <w:jc w:val="center"/>
              <w:rPr>
                <w:rFonts w:cs="Arial"/>
                <w:sz w:val="16"/>
                <w:szCs w:val="16"/>
              </w:rPr>
            </w:pPr>
            <w:r w:rsidRPr="00A32AF4">
              <w:rPr>
                <w:rFonts w:cs="Arial"/>
                <w:sz w:val="16"/>
                <w:szCs w:val="16"/>
                <w:lang w:bidi="th-TH"/>
              </w:rPr>
              <w:t>Programme 17</w:t>
            </w:r>
          </w:p>
        </w:tc>
      </w:tr>
    </w:tbl>
    <w:p w:rsidR="00F93B76" w:rsidRPr="00A32AF4" w:rsidRDefault="00F93B76" w:rsidP="00DC0553">
      <w:pPr>
        <w:rPr>
          <w:lang w:eastAsia="da-DK"/>
        </w:rPr>
      </w:pPr>
    </w:p>
    <w:p w:rsidR="00F93B76" w:rsidRPr="00A32AF4" w:rsidRDefault="00F93B76" w:rsidP="00DC0553">
      <w:pPr>
        <w:rPr>
          <w:lang w:eastAsia="da-DK"/>
        </w:rPr>
      </w:pPr>
    </w:p>
    <w:p w:rsidR="00F93B76" w:rsidRPr="00A32AF4" w:rsidRDefault="00F735D5" w:rsidP="00DC0553">
      <w:pPr>
        <w:rPr>
          <w:lang w:eastAsia="da-DK"/>
        </w:rPr>
      </w:pPr>
      <w:r w:rsidRPr="00A32AF4">
        <w:rPr>
          <w:lang w:eastAsia="da-DK"/>
        </w:rPr>
        <w:br w:type="page"/>
      </w:r>
    </w:p>
    <w:p w:rsidR="00F93B76" w:rsidRPr="00A32AF4" w:rsidRDefault="00F735D5" w:rsidP="00FB1F61">
      <w:pPr>
        <w:pStyle w:val="Heading3"/>
      </w:pPr>
      <w:bookmarkStart w:id="53" w:name="_Toc431555459"/>
      <w:r w:rsidRPr="00A32AF4">
        <w:t>Programme 17‏</w:t>
      </w:r>
      <w:r w:rsidRPr="00A32AF4">
        <w:tab/>
        <w:t>Promouvoir le respect de la propriété intellectuelle</w:t>
      </w:r>
      <w:bookmarkEnd w:id="53"/>
    </w:p>
    <w:p w:rsidR="00F93B76" w:rsidRPr="00A32AF4" w:rsidRDefault="00F93B76" w:rsidP="00DC0553"/>
    <w:p w:rsidR="00F93B76" w:rsidRPr="00A32AF4" w:rsidRDefault="00F93B76" w:rsidP="00DC0553"/>
    <w:p w:rsidR="00F93B76" w:rsidRPr="00A32AF4" w:rsidRDefault="00F735D5" w:rsidP="00DC0553">
      <w:r w:rsidRPr="00A32AF4">
        <w:t>CONTEXTE DE PLANIFICATION</w:t>
      </w:r>
    </w:p>
    <w:p w:rsidR="00F93B76" w:rsidRPr="00A32AF4" w:rsidRDefault="00F93B76" w:rsidP="00DC0553">
      <w:pPr>
        <w:rPr>
          <w:bCs/>
        </w:rPr>
      </w:pPr>
    </w:p>
    <w:p w:rsidR="00E2055A" w:rsidRPr="00A32AF4" w:rsidRDefault="00F735D5" w:rsidP="00DC0553">
      <w:pPr>
        <w:numPr>
          <w:ilvl w:val="0"/>
          <w:numId w:val="28"/>
        </w:numPr>
        <w:jc w:val="both"/>
      </w:pPr>
      <w:r w:rsidRPr="00A32AF4">
        <w:t>Le respect de la propriété intellectuelle est un principe fondamental partagé par l</w:t>
      </w:r>
      <w:r w:rsidR="00E2055A" w:rsidRPr="00A32AF4">
        <w:t>’</w:t>
      </w:r>
      <w:r w:rsidRPr="00A32AF4">
        <w:t>ensemble des États membres de l</w:t>
      </w:r>
      <w:r w:rsidR="00E2055A" w:rsidRPr="00A32AF4">
        <w:t>’</w:t>
      </w:r>
      <w:r w:rsidRPr="00A32AF4">
        <w:t>OMPI.  Cependant, il reste difficile à appliquer pleinement car les atteintes aux droits de propriété intellectuelle, principalement des actes de contrefaçon et de piratage, sont très fréquentes dans de nombreuses régions du monde.  Pour concevoir des mesures appropriées pour lutter contre ce phénomène, il faut bien connaître les motivations des fabricants et des consommateurs de marchandises portant atteinte aux droits de propriété intellectuelle, ainsi que les incidences des atteintes aux droits de propriété intellectuelle sur le bien</w:t>
      </w:r>
      <w:r w:rsidR="00EB7F54" w:rsidRPr="00A32AF4">
        <w:rPr>
          <w:szCs w:val="22"/>
        </w:rPr>
        <w:noBreakHyphen/>
      </w:r>
      <w:r w:rsidRPr="00A32AF4">
        <w:rPr>
          <w:szCs w:val="22"/>
        </w:rPr>
        <w:t xml:space="preserve">être </w:t>
      </w:r>
      <w:r w:rsidRPr="00A32AF4">
        <w:t>des sociétés.  Un large éventail de mesures curatives et préventives peuvent alors être adoptées selon les besoins stratégiques des pays, couvrant par exemple l</w:t>
      </w:r>
      <w:r w:rsidR="00E2055A" w:rsidRPr="00A32AF4">
        <w:t>’</w:t>
      </w:r>
      <w:r w:rsidRPr="00A32AF4">
        <w:t>amélioration des législations et des mécanismes d</w:t>
      </w:r>
      <w:r w:rsidR="00E2055A" w:rsidRPr="00A32AF4">
        <w:t>’</w:t>
      </w:r>
      <w:r w:rsidRPr="00A32AF4">
        <w:t>application des droits, la sensibilisation du public et les changements culturels compte tenu de l</w:t>
      </w:r>
      <w:r w:rsidR="00E2055A" w:rsidRPr="00A32AF4">
        <w:t>’</w:t>
      </w:r>
      <w:r w:rsidRPr="00A32AF4">
        <w:t>importance de la propriété intellectuelle, les solutions commerciales et technologiques mettant en avant d</w:t>
      </w:r>
      <w:r w:rsidR="00E2055A" w:rsidRPr="00A32AF4">
        <w:t>’</w:t>
      </w:r>
      <w:r w:rsidRPr="00A32AF4">
        <w:t>autres options légales, et la collaboration institutionnelle.</w:t>
      </w:r>
    </w:p>
    <w:p w:rsidR="00F93B76" w:rsidRPr="00A32AF4" w:rsidRDefault="00F93B76" w:rsidP="00DC0553">
      <w:pPr>
        <w:jc w:val="both"/>
      </w:pPr>
    </w:p>
    <w:p w:rsidR="00F93B76" w:rsidRPr="00A32AF4" w:rsidRDefault="00F735D5" w:rsidP="00DC0553">
      <w:pPr>
        <w:numPr>
          <w:ilvl w:val="0"/>
          <w:numId w:val="28"/>
        </w:numPr>
        <w:jc w:val="both"/>
      </w:pPr>
      <w:r w:rsidRPr="00A32AF4">
        <w:t>De multiples acteurs ayant souvent des intérêts et des opinions divers influencent les politiques internationales et nationales en matière de promotion du respect de la propriété intellectuelle.  Parallèlement, les États membres s</w:t>
      </w:r>
      <w:r w:rsidR="00E2055A" w:rsidRPr="00A32AF4">
        <w:t>’</w:t>
      </w:r>
      <w:r w:rsidRPr="00A32AF4">
        <w:t>efforcent d</w:t>
      </w:r>
      <w:r w:rsidR="00E2055A" w:rsidRPr="00A32AF4">
        <w:t>’</w:t>
      </w:r>
      <w:r w:rsidRPr="00A32AF4">
        <w:t>adopter des mesures en accord avec les diverses réalités socioéconomiques de leurs pays respectifs.  L</w:t>
      </w:r>
      <w:r w:rsidR="00E2055A" w:rsidRPr="00A32AF4">
        <w:t>’</w:t>
      </w:r>
      <w:r w:rsidRPr="00A32AF4">
        <w:t>enjeu du programme 17 consistera à faire en sorte que l</w:t>
      </w:r>
      <w:r w:rsidR="00E2055A" w:rsidRPr="00A32AF4">
        <w:t>’</w:t>
      </w:r>
      <w:r w:rsidRPr="00A32AF4">
        <w:t>OMPI conserve toute sa pertinence à la tête du débat visant à trouver un juste équilibre en matière de protection et d</w:t>
      </w:r>
      <w:r w:rsidR="00E2055A" w:rsidRPr="00A32AF4">
        <w:t>’</w:t>
      </w:r>
      <w:r w:rsidRPr="00A32AF4">
        <w:t>application des droits de propriété intellectuelle.  Le programme visera à garantir l</w:t>
      </w:r>
      <w:r w:rsidR="00E2055A" w:rsidRPr="00A32AF4">
        <w:t>’</w:t>
      </w:r>
      <w:r w:rsidRPr="00A32AF4">
        <w:t>effet durable des contributions de l</w:t>
      </w:r>
      <w:r w:rsidR="00E2055A" w:rsidRPr="00A32AF4">
        <w:t>’</w:t>
      </w:r>
      <w:r w:rsidRPr="00A32AF4">
        <w:t>OMPI à la création d</w:t>
      </w:r>
      <w:r w:rsidR="00E2055A" w:rsidRPr="00A32AF4">
        <w:t>’</w:t>
      </w:r>
      <w:r w:rsidRPr="00A32AF4">
        <w:t>un environnement propice au respect des droits de propriété intellectuelle.  Ces contributions visent à renforcer la capacité des États membres à consolider les marchés légitimes des produits et services protégés par des droits de propriété intellectuelle et à améliorer le respect de la propriété intellectuelle, compte tenu des intérêts sociétaux en général, tels que la protection des consommateurs et les préoccupations liées au développement.</w:t>
      </w:r>
    </w:p>
    <w:p w:rsidR="00F93B76" w:rsidRPr="00A32AF4" w:rsidRDefault="00F93B76" w:rsidP="00DC0553">
      <w:pPr>
        <w:jc w:val="both"/>
      </w:pPr>
    </w:p>
    <w:p w:rsidR="00F93B76" w:rsidRPr="00A32AF4" w:rsidRDefault="00F735D5" w:rsidP="00DC0553">
      <w:pPr>
        <w:numPr>
          <w:ilvl w:val="0"/>
          <w:numId w:val="28"/>
        </w:numPr>
        <w:jc w:val="both"/>
      </w:pPr>
      <w:r w:rsidRPr="00A32AF4">
        <w:t>Le programme 17 continue de faciliter le dialogue entre les États membres sur les politiques à mener en matière de promotion du respect de la propriété intellectuelle, dans le cadre du Comité consultatif sur l</w:t>
      </w:r>
      <w:r w:rsidR="00E2055A" w:rsidRPr="00A32AF4">
        <w:t>’</w:t>
      </w:r>
      <w:r w:rsidRPr="00A32AF4">
        <w:t>application des droits (ACE), et permet d</w:t>
      </w:r>
      <w:r w:rsidR="00E2055A" w:rsidRPr="00A32AF4">
        <w:t>’</w:t>
      </w:r>
      <w:r w:rsidRPr="00A32AF4">
        <w:t xml:space="preserve">établir des partenariats systématiques, efficaces et transparents en vue de créer des synergies dans ce domaine.  </w:t>
      </w:r>
      <w:proofErr w:type="gramStart"/>
      <w:r w:rsidRPr="00A32AF4">
        <w:t>S</w:t>
      </w:r>
      <w:r w:rsidR="00E2055A" w:rsidRPr="00A32AF4">
        <w:t>’</w:t>
      </w:r>
      <w:r w:rsidRPr="00A32AF4">
        <w:t>agissant des activités d</w:t>
      </w:r>
      <w:r w:rsidR="00E2055A" w:rsidRPr="00A32AF4">
        <w:t>’</w:t>
      </w:r>
      <w:r w:rsidRPr="00A32AF4">
        <w:t>assistance technique axées sur la demande qu</w:t>
      </w:r>
      <w:r w:rsidR="00E2055A" w:rsidRPr="00A32AF4">
        <w:t>’</w:t>
      </w:r>
      <w:r w:rsidRPr="00A32AF4">
        <w:t>il prévoit, le programme 17 met l</w:t>
      </w:r>
      <w:r w:rsidR="00E2055A" w:rsidRPr="00A32AF4">
        <w:t>’</w:t>
      </w:r>
      <w:r w:rsidRPr="00A32AF4">
        <w:t>accent sur la fourniture de conseils équilibrés en matière de législation et de politique, le renforcement des capacités nationales en matière de promotion du respect de la propriété intellectuelle, la fourniture d</w:t>
      </w:r>
      <w:r w:rsidR="00E2055A" w:rsidRPr="00A32AF4">
        <w:t>’</w:t>
      </w:r>
      <w:r w:rsidRPr="00A32AF4">
        <w:t>un appui stratégique pour l</w:t>
      </w:r>
      <w:r w:rsidR="00E2055A" w:rsidRPr="00A32AF4">
        <w:t>’</w:t>
      </w:r>
      <w:r w:rsidRPr="00A32AF4">
        <w:t>intégration du respect de la propriété intellectuelle dans les stratégies nationales, et l</w:t>
      </w:r>
      <w:r w:rsidR="00E2055A" w:rsidRPr="00A32AF4">
        <w:t>’</w:t>
      </w:r>
      <w:r w:rsidRPr="00A32AF4">
        <w:t>encouragement des consommateurs, notamment les jeunes, à jouer un rôle, afin de les amener à mieux comprendre les avantages sociaux d</w:t>
      </w:r>
      <w:r w:rsidR="00E2055A" w:rsidRPr="00A32AF4">
        <w:t>’</w:t>
      </w:r>
      <w:r w:rsidRPr="00A32AF4">
        <w:t>un écosystème solide de la propriété intellectuelle.</w:t>
      </w:r>
      <w:proofErr w:type="gramEnd"/>
    </w:p>
    <w:p w:rsidR="00F93B76" w:rsidRPr="00A32AF4" w:rsidRDefault="00F93B76" w:rsidP="00DC0553"/>
    <w:p w:rsidR="00F93B76" w:rsidRPr="00A32AF4" w:rsidRDefault="00F93B76" w:rsidP="00DC0553"/>
    <w:p w:rsidR="00F93B76" w:rsidRPr="00A32AF4" w:rsidRDefault="00F735D5" w:rsidP="00DC0553">
      <w:r w:rsidRPr="00A32AF4">
        <w:t>STRATÉGIES DE MISE EN ŒUVRE</w:t>
      </w:r>
    </w:p>
    <w:p w:rsidR="00F93B76" w:rsidRPr="00A32AF4" w:rsidRDefault="00F93B76" w:rsidP="00DC0553"/>
    <w:p w:rsidR="00F93B76" w:rsidRPr="00A32AF4" w:rsidRDefault="00F735D5" w:rsidP="00DC0553">
      <w:pPr>
        <w:numPr>
          <w:ilvl w:val="0"/>
          <w:numId w:val="28"/>
        </w:numPr>
        <w:jc w:val="both"/>
      </w:pPr>
      <w:r w:rsidRPr="00A32AF4">
        <w:t>Tous les travaux menés au titre du programme 17 s</w:t>
      </w:r>
      <w:r w:rsidR="00E2055A" w:rsidRPr="00A32AF4">
        <w:t>’</w:t>
      </w:r>
      <w:r w:rsidRPr="00A32AF4">
        <w:t>inscrivent dans le cadre de la recommandation n° 45.  Considéré comme une foire aux idées, l</w:t>
      </w:r>
      <w:r w:rsidR="00E2055A" w:rsidRPr="00A32AF4">
        <w:t>’</w:t>
      </w:r>
      <w:r w:rsidRPr="00A32AF4">
        <w:t>ACE permet des échanges sur les pratiques et les données d</w:t>
      </w:r>
      <w:r w:rsidR="00E2055A" w:rsidRPr="00A32AF4">
        <w:t>’</w:t>
      </w:r>
      <w:r w:rsidRPr="00A32AF4">
        <w:t>expérience nationales.  Le programme facilitera l</w:t>
      </w:r>
      <w:r w:rsidR="00E2055A" w:rsidRPr="00A32AF4">
        <w:t>’</w:t>
      </w:r>
      <w:r w:rsidRPr="00A32AF4">
        <w:t>accord permanent des États membres sur un programme de travail thématique qui favorise le débat sur la promotion du respect de la propriété intellectuelle et étudie cette question dans toute sa complexité</w:t>
      </w:r>
      <w:r w:rsidR="00785AA4" w:rsidRPr="00A32AF4">
        <w:t xml:space="preserve">, </w:t>
      </w:r>
      <w:r w:rsidR="006634D3" w:rsidRPr="00A32AF4">
        <w:t>et organisera pour ce faire</w:t>
      </w:r>
      <w:r w:rsidR="00785AA4" w:rsidRPr="00A32AF4">
        <w:t xml:space="preserve"> deux</w:t>
      </w:r>
      <w:r w:rsidR="001657BE" w:rsidRPr="00A32AF4">
        <w:t> </w:t>
      </w:r>
      <w:r w:rsidR="00785AA4" w:rsidRPr="00A32AF4">
        <w:t>réunions de l</w:t>
      </w:r>
      <w:r w:rsidR="00E2055A" w:rsidRPr="00A32AF4">
        <w:t>’</w:t>
      </w:r>
      <w:r w:rsidR="00785AA4" w:rsidRPr="00A32AF4">
        <w:t>ACE au cours de l</w:t>
      </w:r>
      <w:r w:rsidR="00E2055A" w:rsidRPr="00A32AF4">
        <w:t>’</w:t>
      </w:r>
      <w:r w:rsidR="00785AA4" w:rsidRPr="00A32AF4">
        <w:t>exercice biennal</w:t>
      </w:r>
      <w:r w:rsidRPr="00A32AF4">
        <w:t>.  Se fondant sur les délibérations de l</w:t>
      </w:r>
      <w:r w:rsidR="00E2055A" w:rsidRPr="00A32AF4">
        <w:t>’</w:t>
      </w:r>
      <w:r w:rsidRPr="00A32AF4">
        <w:t>ACE, les États membres peuvent définir individuellement des stratégies nationales visant à promouvoir le respect de la propriété intellectuelle reposant, le cas échéant, sur des mesures préventives ou curatives et prenant pleinement en considération les réalités socioéconomiques du pays concerné et son niveau de développement.</w:t>
      </w:r>
    </w:p>
    <w:p w:rsidR="00F93B76" w:rsidRPr="00A32AF4" w:rsidRDefault="00F93B76" w:rsidP="00DC0553">
      <w:pPr>
        <w:jc w:val="both"/>
      </w:pPr>
    </w:p>
    <w:p w:rsidR="00F93B76" w:rsidRPr="00A32AF4" w:rsidRDefault="00F735D5" w:rsidP="00DC0553">
      <w:pPr>
        <w:numPr>
          <w:ilvl w:val="0"/>
          <w:numId w:val="28"/>
        </w:numPr>
        <w:jc w:val="both"/>
      </w:pPr>
      <w:r w:rsidRPr="00A32AF4">
        <w:t>En vue d</w:t>
      </w:r>
      <w:r w:rsidR="00E2055A" w:rsidRPr="00A32AF4">
        <w:t>’</w:t>
      </w:r>
      <w:r w:rsidRPr="00A32AF4">
        <w:t>assurer une cohésion des politiques internationales et d</w:t>
      </w:r>
      <w:r w:rsidR="00E2055A" w:rsidRPr="00A32AF4">
        <w:t>’</w:t>
      </w:r>
      <w:r w:rsidRPr="00A32AF4">
        <w:t>obtenir des résultats optimaux grâce à une mise en commun des ressources, le programme 17 permettra d</w:t>
      </w:r>
      <w:r w:rsidR="00E2055A" w:rsidRPr="00A32AF4">
        <w:t>’</w:t>
      </w:r>
      <w:r w:rsidRPr="00A32AF4">
        <w:t>établir des partenariats stratégiques de collaboration, de prévoir des activités communes visant à promouvoir le respect de la propriété intellectuelle et de participer aux activités pertinentes des partenaires.  En outre, le partage de données d</w:t>
      </w:r>
      <w:r w:rsidR="00E2055A" w:rsidRPr="00A32AF4">
        <w:t>’</w:t>
      </w:r>
      <w:r w:rsidRPr="00A32AF4">
        <w:t>expérience pratiques relatives à la promotion du respect de la propriété intellectuelle sera facilité par la création de cadres réunissant un large éventail d</w:t>
      </w:r>
      <w:r w:rsidR="00E2055A" w:rsidRPr="00A32AF4">
        <w:t>’</w:t>
      </w:r>
      <w:r w:rsidRPr="00A32AF4">
        <w:t>acteurs internationaux intéressés et d</w:t>
      </w:r>
      <w:r w:rsidR="00E2055A" w:rsidRPr="00A32AF4">
        <w:t>’</w:t>
      </w:r>
      <w:r w:rsidRPr="00A32AF4">
        <w:t>experts compétents dans le domaine.  Les collaborations, qui intègrent pleinement la démarche de l</w:t>
      </w:r>
      <w:r w:rsidR="00E2055A" w:rsidRPr="00A32AF4">
        <w:t>’</w:t>
      </w:r>
      <w:r w:rsidRPr="00A32AF4">
        <w:t>OMPI axée sur le développement pour favoriser le respect de la propriété intellectuelle, s</w:t>
      </w:r>
      <w:r w:rsidR="00E2055A" w:rsidRPr="00A32AF4">
        <w:t>’</w:t>
      </w:r>
      <w:r w:rsidRPr="00A32AF4">
        <w:t>inscrivent dans le champ de la recommandation n° 40 du Plan d</w:t>
      </w:r>
      <w:r w:rsidR="00E2055A" w:rsidRPr="00A32AF4">
        <w:t>’</w:t>
      </w:r>
      <w:r w:rsidRPr="00A32AF4">
        <w:t>action pour le développement.</w:t>
      </w:r>
    </w:p>
    <w:p w:rsidR="00F93B76" w:rsidRPr="00A32AF4" w:rsidRDefault="00F93B76" w:rsidP="00DC0553">
      <w:pPr>
        <w:jc w:val="both"/>
      </w:pPr>
    </w:p>
    <w:p w:rsidR="00F93B76" w:rsidRPr="00A32AF4" w:rsidRDefault="00F735D5" w:rsidP="00DC0553">
      <w:pPr>
        <w:numPr>
          <w:ilvl w:val="0"/>
          <w:numId w:val="28"/>
        </w:numPr>
        <w:jc w:val="both"/>
      </w:pPr>
      <w:r w:rsidRPr="00A32AF4">
        <w:t>Le programme 17 permet de continuer d</w:t>
      </w:r>
      <w:r w:rsidR="00E2055A" w:rsidRPr="00A32AF4">
        <w:t>’</w:t>
      </w:r>
      <w:r w:rsidRPr="00A32AF4">
        <w:t>aider les États membres, sur demande, à formuler des cadres politiques, législatifs et réglementaires sur mesure et équilibrés en faveur du respect de la propriété intellectuelle, conformément aux caractéristiques et aux besoins spécifiques des pays.  Une assistance est également fournie à des publics très divers sous la forme d</w:t>
      </w:r>
      <w:r w:rsidR="00E2055A" w:rsidRPr="00A32AF4">
        <w:t>’</w:t>
      </w:r>
      <w:r w:rsidRPr="00A32AF4">
        <w:t>activités de renforcement des capacités dans le domaine de la promotion du respect de la propriété intellectuelle.  Afin d</w:t>
      </w:r>
      <w:r w:rsidR="00E2055A" w:rsidRPr="00A32AF4">
        <w:t>’</w:t>
      </w:r>
      <w:r w:rsidRPr="00A32AF4">
        <w:t>obtenir des résultats durables, l</w:t>
      </w:r>
      <w:r w:rsidR="00E2055A" w:rsidRPr="00A32AF4">
        <w:t>’</w:t>
      </w:r>
      <w:r w:rsidRPr="00A32AF4">
        <w:t>accent sera mis en particulier sur le renforcement des capacités des établissements nationaux de formation en droit, tels que les écoles de police et de la magistrature, destinés à avoir un effet multiplicateur, et la mise à disposition de matériel de formation conçu spécialement pour promouvoir le respect de la propriété intellectuelle.  Le programme 17 permettra également d</w:t>
      </w:r>
      <w:r w:rsidR="00E2055A" w:rsidRPr="00A32AF4">
        <w:t>’</w:t>
      </w:r>
      <w:r w:rsidRPr="00A32AF4">
        <w:t>appuyer l</w:t>
      </w:r>
      <w:r w:rsidR="00E2055A" w:rsidRPr="00A32AF4">
        <w:t>’</w:t>
      </w:r>
      <w:r w:rsidRPr="00A32AF4">
        <w:t>élaboration de stratégies nationales de sensibilisation destinées à limiter les atteintes aux droits de propriété intellectuelle grâce à une modification des comportements.  Ces travaux seront complétés par des activités visant à faire mieux comprendre l</w:t>
      </w:r>
      <w:r w:rsidR="00E2055A" w:rsidRPr="00A32AF4">
        <w:t>’</w:t>
      </w:r>
      <w:r w:rsidRPr="00A32AF4">
        <w:t>importance de la propriété intellectuelle au public, comme des concours organisés pour la Journée mondiale de la propriété intellectuelle et le programme d</w:t>
      </w:r>
      <w:r w:rsidR="00E2055A" w:rsidRPr="00A32AF4">
        <w:t>’</w:t>
      </w:r>
      <w:r w:rsidRPr="00A32AF4">
        <w:t>attribution de prix de l</w:t>
      </w:r>
      <w:r w:rsidR="00E2055A" w:rsidRPr="00A32AF4">
        <w:t>’</w:t>
      </w:r>
      <w:r w:rsidRPr="00A32AF4">
        <w:t>OMPI, destinées en particulier à aider les jeunes à comprendre les avantages de la propriété intellectuelle pour la société.  Les activités d</w:t>
      </w:r>
      <w:r w:rsidR="00E2055A" w:rsidRPr="00A32AF4">
        <w:t>’</w:t>
      </w:r>
      <w:r w:rsidRPr="00A32AF4">
        <w:t>assistance technique s</w:t>
      </w:r>
      <w:r w:rsidR="00E2055A" w:rsidRPr="00A32AF4">
        <w:t>’</w:t>
      </w:r>
      <w:r w:rsidRPr="00A32AF4">
        <w:t>inscrivent dans le cadre des recommandations n° 1, 6, 12, 13, 14, 17 (assistance en matière de législation, de réglementation et de politique), 45 (assistance en matière de législation, de réglementation et de politique) et 3, 10 et 11 (renforcement des capacités et sensibilisation).</w:t>
      </w:r>
    </w:p>
    <w:p w:rsidR="00F93B76" w:rsidRPr="00A32AF4" w:rsidRDefault="00F93B76" w:rsidP="00DC0553">
      <w:pPr>
        <w:jc w:val="both"/>
        <w:rPr>
          <w:rFonts w:cs="Arial"/>
        </w:rPr>
      </w:pPr>
    </w:p>
    <w:p w:rsidR="00E2055A" w:rsidRPr="00A32AF4" w:rsidRDefault="009F0B72" w:rsidP="00DC0553">
      <w:pPr>
        <w:numPr>
          <w:ilvl w:val="0"/>
          <w:numId w:val="28"/>
        </w:numPr>
        <w:jc w:val="both"/>
        <w:rPr>
          <w:rFonts w:cs="Arial"/>
        </w:rPr>
      </w:pPr>
      <w:r w:rsidRPr="00A32AF4">
        <w:rPr>
          <w:rFonts w:cs="Arial"/>
        </w:rPr>
        <w:t>Le p</w:t>
      </w:r>
      <w:r w:rsidR="004B5723" w:rsidRPr="00A32AF4">
        <w:rPr>
          <w:rFonts w:cs="Arial"/>
        </w:rPr>
        <w:t>rogram</w:t>
      </w:r>
      <w:r w:rsidRPr="00A32AF4">
        <w:rPr>
          <w:rFonts w:cs="Arial"/>
        </w:rPr>
        <w:t>me 17 collabore essentiellement avec les autres programmes indiqués ci</w:t>
      </w:r>
      <w:r w:rsidR="00EB7F54" w:rsidRPr="00A32AF4">
        <w:rPr>
          <w:rFonts w:cs="Arial"/>
        </w:rPr>
        <w:noBreakHyphen/>
      </w:r>
      <w:r w:rsidRPr="00A32AF4">
        <w:rPr>
          <w:rFonts w:cs="Arial"/>
        </w:rPr>
        <w:t>dessous </w:t>
      </w:r>
      <w:r w:rsidR="004B5723" w:rsidRPr="00A32AF4">
        <w:rPr>
          <w:rFonts w:cs="Arial"/>
        </w:rPr>
        <w:t>:</w:t>
      </w:r>
    </w:p>
    <w:p w:rsidR="00F93B76" w:rsidRPr="00A32AF4" w:rsidRDefault="00F93B76" w:rsidP="00DC0553">
      <w:pPr>
        <w:jc w:val="both"/>
      </w:pPr>
    </w:p>
    <w:p w:rsidR="00F93B76" w:rsidRPr="00A32AF4" w:rsidRDefault="00F735D5" w:rsidP="00DC0553">
      <w:pPr>
        <w:jc w:val="both"/>
      </w:pPr>
      <w:r w:rsidRPr="00A32AF4">
        <w:rPr>
          <w:noProof/>
          <w:lang w:eastAsia="fr-FR"/>
        </w:rPr>
        <w:drawing>
          <wp:inline distT="0" distB="0" distL="0" distR="0" wp14:anchorId="3C780D9C" wp14:editId="64AEF502">
            <wp:extent cx="5947200" cy="2678400"/>
            <wp:effectExtent l="0" t="0" r="0" b="0"/>
            <wp:docPr id="25" name="Diagram 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3" r:lo="rId144" r:qs="rId145" r:cs="rId146"/>
              </a:graphicData>
            </a:graphic>
          </wp:inline>
        </w:drawing>
      </w:r>
    </w:p>
    <w:p w:rsidR="00F93B76" w:rsidRPr="00A32AF4" w:rsidRDefault="00F93B76" w:rsidP="00DC0553"/>
    <w:p w:rsidR="00F93B76" w:rsidRPr="00A32AF4" w:rsidRDefault="00F93B76" w:rsidP="00DC0553"/>
    <w:p w:rsidR="005C314E" w:rsidRPr="00A32AF4" w:rsidRDefault="005C314E">
      <w:r w:rsidRPr="00A32AF4">
        <w:br w:type="page"/>
      </w:r>
    </w:p>
    <w:p w:rsidR="00F93B76" w:rsidRPr="00A32AF4" w:rsidRDefault="00F735D5" w:rsidP="00DC0553">
      <w:r w:rsidRPr="00A32AF4">
        <w:t>PRINCIPAUX RISQUES ET STRATÉGIES D</w:t>
      </w:r>
      <w:r w:rsidR="00E2055A" w:rsidRPr="00A32AF4">
        <w:t>’</w:t>
      </w:r>
      <w:r w:rsidRPr="00A32AF4">
        <w:t>ATTÉNUATION</w:t>
      </w:r>
    </w:p>
    <w:p w:rsidR="00F735D5" w:rsidRPr="00A32AF4" w:rsidRDefault="00F735D5" w:rsidP="00DC0553"/>
    <w:tbl>
      <w:tblPr>
        <w:tblW w:w="9214" w:type="dxa"/>
        <w:tblInd w:w="108"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4253"/>
        <w:gridCol w:w="4961"/>
      </w:tblGrid>
      <w:tr w:rsidR="00F735D5" w:rsidRPr="00A32AF4" w:rsidTr="004331C7">
        <w:trPr>
          <w:cantSplit/>
          <w:tblHeader/>
        </w:trPr>
        <w:tc>
          <w:tcPr>
            <w:tcW w:w="4253" w:type="dxa"/>
            <w:tcBorders>
              <w:top w:val="single" w:sz="4" w:space="0" w:color="auto"/>
              <w:bottom w:val="single" w:sz="4" w:space="0" w:color="auto"/>
            </w:tcBorders>
            <w:shd w:val="clear" w:color="auto" w:fill="C6D9F1" w:themeFill="text2" w:themeFillTint="33"/>
            <w:tcMar>
              <w:top w:w="113" w:type="dxa"/>
              <w:left w:w="108" w:type="dxa"/>
              <w:bottom w:w="113" w:type="dxa"/>
              <w:right w:w="108" w:type="dxa"/>
            </w:tcMar>
            <w:vAlign w:val="center"/>
            <w:hideMark/>
          </w:tcPr>
          <w:p w:rsidR="00F735D5" w:rsidRPr="00A32AF4" w:rsidRDefault="00F735D5" w:rsidP="00DC0553">
            <w:pPr>
              <w:jc w:val="center"/>
              <w:rPr>
                <w:rFonts w:eastAsiaTheme="minorHAnsi"/>
                <w:b/>
                <w:bCs/>
                <w:sz w:val="18"/>
                <w:szCs w:val="18"/>
              </w:rPr>
            </w:pPr>
            <w:r w:rsidRPr="00A32AF4">
              <w:rPr>
                <w:rFonts w:eastAsiaTheme="minorHAnsi"/>
                <w:b/>
                <w:bCs/>
                <w:sz w:val="18"/>
                <w:szCs w:val="18"/>
              </w:rPr>
              <w:t>Risque</w:t>
            </w:r>
            <w:r w:rsidR="00783124" w:rsidRPr="00A32AF4">
              <w:rPr>
                <w:rFonts w:eastAsiaTheme="minorHAnsi"/>
                <w:b/>
                <w:bCs/>
                <w:sz w:val="18"/>
                <w:szCs w:val="18"/>
              </w:rPr>
              <w:t>s</w:t>
            </w:r>
          </w:p>
        </w:tc>
        <w:tc>
          <w:tcPr>
            <w:tcW w:w="4961" w:type="dxa"/>
            <w:tcBorders>
              <w:top w:val="single" w:sz="4" w:space="0" w:color="auto"/>
              <w:bottom w:val="single" w:sz="4" w:space="0" w:color="auto"/>
            </w:tcBorders>
            <w:shd w:val="clear" w:color="auto" w:fill="C6D9F1" w:themeFill="text2" w:themeFillTint="33"/>
            <w:tcMar>
              <w:top w:w="113" w:type="dxa"/>
              <w:left w:w="108" w:type="dxa"/>
              <w:bottom w:w="113" w:type="dxa"/>
              <w:right w:w="108" w:type="dxa"/>
            </w:tcMar>
            <w:vAlign w:val="center"/>
            <w:hideMark/>
          </w:tcPr>
          <w:p w:rsidR="00F735D5" w:rsidRPr="00A32AF4" w:rsidRDefault="00F735D5" w:rsidP="00DC0553">
            <w:pPr>
              <w:jc w:val="center"/>
              <w:rPr>
                <w:rFonts w:eastAsiaTheme="minorHAnsi"/>
                <w:b/>
                <w:bCs/>
                <w:sz w:val="18"/>
                <w:szCs w:val="18"/>
              </w:rPr>
            </w:pPr>
            <w:r w:rsidRPr="00A32AF4">
              <w:rPr>
                <w:rFonts w:eastAsiaTheme="minorHAnsi"/>
                <w:b/>
                <w:bCs/>
                <w:sz w:val="18"/>
                <w:szCs w:val="18"/>
              </w:rPr>
              <w:t>Stratégie</w:t>
            </w:r>
            <w:r w:rsidR="00783124" w:rsidRPr="00A32AF4">
              <w:rPr>
                <w:rFonts w:eastAsiaTheme="minorHAnsi"/>
                <w:b/>
                <w:bCs/>
                <w:sz w:val="18"/>
                <w:szCs w:val="18"/>
              </w:rPr>
              <w:t>s</w:t>
            </w:r>
            <w:r w:rsidRPr="00A32AF4">
              <w:rPr>
                <w:rFonts w:eastAsiaTheme="minorHAnsi"/>
                <w:b/>
                <w:bCs/>
                <w:sz w:val="18"/>
                <w:szCs w:val="18"/>
              </w:rPr>
              <w:t xml:space="preserve"> d</w:t>
            </w:r>
            <w:r w:rsidR="00E2055A" w:rsidRPr="00A32AF4">
              <w:rPr>
                <w:rFonts w:eastAsiaTheme="minorHAnsi"/>
                <w:b/>
                <w:bCs/>
                <w:sz w:val="18"/>
                <w:szCs w:val="18"/>
              </w:rPr>
              <w:t>’</w:t>
            </w:r>
            <w:r w:rsidRPr="00A32AF4">
              <w:rPr>
                <w:rFonts w:eastAsiaTheme="minorHAnsi"/>
                <w:b/>
                <w:bCs/>
                <w:sz w:val="18"/>
                <w:szCs w:val="18"/>
              </w:rPr>
              <w:t>atténuation</w:t>
            </w:r>
          </w:p>
        </w:tc>
      </w:tr>
      <w:tr w:rsidR="00F735D5" w:rsidRPr="00A32AF4" w:rsidTr="004331C7">
        <w:trPr>
          <w:cantSplit/>
        </w:trPr>
        <w:tc>
          <w:tcPr>
            <w:tcW w:w="4253" w:type="dxa"/>
            <w:tcBorders>
              <w:top w:val="single" w:sz="4" w:space="0" w:color="auto"/>
            </w:tcBorders>
            <w:tcMar>
              <w:top w:w="113" w:type="dxa"/>
              <w:left w:w="108" w:type="dxa"/>
              <w:bottom w:w="113" w:type="dxa"/>
              <w:right w:w="108" w:type="dxa"/>
            </w:tcMar>
            <w:hideMark/>
          </w:tcPr>
          <w:p w:rsidR="00F735D5" w:rsidRPr="00A32AF4" w:rsidRDefault="00F735D5" w:rsidP="00DC0553">
            <w:pPr>
              <w:rPr>
                <w:rFonts w:eastAsiaTheme="minorHAnsi"/>
                <w:sz w:val="16"/>
                <w:szCs w:val="16"/>
              </w:rPr>
            </w:pPr>
            <w:r w:rsidRPr="00A32AF4">
              <w:rPr>
                <w:sz w:val="16"/>
                <w:szCs w:val="16"/>
              </w:rPr>
              <w:t>Absence d</w:t>
            </w:r>
            <w:r w:rsidR="00E2055A" w:rsidRPr="00A32AF4">
              <w:rPr>
                <w:sz w:val="16"/>
                <w:szCs w:val="16"/>
              </w:rPr>
              <w:t>’</w:t>
            </w:r>
            <w:r w:rsidRPr="00A32AF4">
              <w:rPr>
                <w:sz w:val="16"/>
                <w:szCs w:val="16"/>
              </w:rPr>
              <w:t>accord entre les États membres, et de soutien politique de leur part, s</w:t>
            </w:r>
            <w:r w:rsidR="00E2055A" w:rsidRPr="00A32AF4">
              <w:rPr>
                <w:sz w:val="16"/>
                <w:szCs w:val="16"/>
              </w:rPr>
              <w:t>’</w:t>
            </w:r>
            <w:r w:rsidRPr="00A32AF4">
              <w:rPr>
                <w:sz w:val="16"/>
                <w:szCs w:val="16"/>
              </w:rPr>
              <w:t>agissant des activités de l</w:t>
            </w:r>
            <w:r w:rsidR="00E2055A" w:rsidRPr="00A32AF4">
              <w:rPr>
                <w:sz w:val="16"/>
                <w:szCs w:val="16"/>
              </w:rPr>
              <w:t>’</w:t>
            </w:r>
            <w:r w:rsidRPr="00A32AF4">
              <w:rPr>
                <w:sz w:val="16"/>
                <w:szCs w:val="16"/>
              </w:rPr>
              <w:t>OMPI en matière de promotion du respect de la propriété intellectuelle.  Le rôle de l</w:t>
            </w:r>
            <w:r w:rsidR="00E2055A" w:rsidRPr="00A32AF4">
              <w:rPr>
                <w:sz w:val="16"/>
                <w:szCs w:val="16"/>
              </w:rPr>
              <w:t>’</w:t>
            </w:r>
            <w:r w:rsidRPr="00A32AF4">
              <w:rPr>
                <w:sz w:val="16"/>
                <w:szCs w:val="16"/>
              </w:rPr>
              <w:t xml:space="preserve">OMPI dans ce domaine pourrait alors être remis en question. </w:t>
            </w:r>
            <w:r w:rsidRPr="00A32AF4">
              <w:rPr>
                <w:sz w:val="16"/>
              </w:rPr>
              <w:t xml:space="preserve"> </w:t>
            </w:r>
          </w:p>
        </w:tc>
        <w:tc>
          <w:tcPr>
            <w:tcW w:w="4961" w:type="dxa"/>
            <w:tcBorders>
              <w:top w:val="single" w:sz="4" w:space="0" w:color="auto"/>
            </w:tcBorders>
            <w:tcMar>
              <w:top w:w="113" w:type="dxa"/>
              <w:left w:w="108" w:type="dxa"/>
              <w:bottom w:w="113" w:type="dxa"/>
              <w:right w:w="108" w:type="dxa"/>
            </w:tcMar>
            <w:hideMark/>
          </w:tcPr>
          <w:p w:rsidR="00F735D5" w:rsidRPr="00A32AF4" w:rsidRDefault="00F735D5" w:rsidP="00DC0553">
            <w:pPr>
              <w:rPr>
                <w:rFonts w:eastAsiaTheme="minorHAnsi"/>
                <w:sz w:val="16"/>
                <w:szCs w:val="16"/>
              </w:rPr>
            </w:pPr>
            <w:r w:rsidRPr="00A32AF4">
              <w:rPr>
                <w:sz w:val="16"/>
                <w:szCs w:val="16"/>
              </w:rPr>
              <w:t>Prévoir des consultations régulières avec les États membres pour faciliter une convergence de vues quant à la pertinence du Comité consultatif de l</w:t>
            </w:r>
            <w:r w:rsidR="00E2055A" w:rsidRPr="00A32AF4">
              <w:rPr>
                <w:sz w:val="16"/>
                <w:szCs w:val="16"/>
              </w:rPr>
              <w:t>’</w:t>
            </w:r>
            <w:r w:rsidRPr="00A32AF4">
              <w:rPr>
                <w:sz w:val="16"/>
                <w:szCs w:val="16"/>
              </w:rPr>
              <w:t>OMPI sur l</w:t>
            </w:r>
            <w:r w:rsidR="00E2055A" w:rsidRPr="00A32AF4">
              <w:rPr>
                <w:sz w:val="16"/>
                <w:szCs w:val="16"/>
              </w:rPr>
              <w:t>’</w:t>
            </w:r>
            <w:r w:rsidRPr="00A32AF4">
              <w:rPr>
                <w:sz w:val="16"/>
                <w:szCs w:val="16"/>
              </w:rPr>
              <w:t>application des droits (ACE), à sa fonction en matière d</w:t>
            </w:r>
            <w:r w:rsidR="00E2055A" w:rsidRPr="00A32AF4">
              <w:rPr>
                <w:sz w:val="16"/>
                <w:szCs w:val="16"/>
              </w:rPr>
              <w:t>’</w:t>
            </w:r>
            <w:r w:rsidRPr="00A32AF4">
              <w:rPr>
                <w:sz w:val="16"/>
                <w:szCs w:val="16"/>
              </w:rPr>
              <w:t xml:space="preserve">élaboration de politiques et aux activités de renforcement des capacités y afférentes. </w:t>
            </w:r>
            <w:r w:rsidRPr="00A32AF4">
              <w:rPr>
                <w:sz w:val="16"/>
              </w:rPr>
              <w:t xml:space="preserve"> </w:t>
            </w:r>
            <w:r w:rsidRPr="00A32AF4">
              <w:rPr>
                <w:sz w:val="16"/>
                <w:szCs w:val="16"/>
              </w:rPr>
              <w:t>Toutes les activités répondent à des normes rigoureuses, gage de qualité, de transparence, de neutralité et d</w:t>
            </w:r>
            <w:r w:rsidR="00E2055A" w:rsidRPr="00A32AF4">
              <w:rPr>
                <w:sz w:val="16"/>
                <w:szCs w:val="16"/>
              </w:rPr>
              <w:t>’</w:t>
            </w:r>
            <w:r w:rsidRPr="00A32AF4">
              <w:rPr>
                <w:sz w:val="16"/>
                <w:szCs w:val="16"/>
              </w:rPr>
              <w:t>une approche équilibrée.</w:t>
            </w:r>
          </w:p>
        </w:tc>
      </w:tr>
      <w:tr w:rsidR="00F735D5" w:rsidRPr="00A32AF4" w:rsidTr="004331C7">
        <w:trPr>
          <w:cantSplit/>
        </w:trPr>
        <w:tc>
          <w:tcPr>
            <w:tcW w:w="4253" w:type="dxa"/>
            <w:tcMar>
              <w:top w:w="113" w:type="dxa"/>
              <w:left w:w="108" w:type="dxa"/>
              <w:bottom w:w="113" w:type="dxa"/>
              <w:right w:w="108" w:type="dxa"/>
            </w:tcMar>
            <w:hideMark/>
          </w:tcPr>
          <w:p w:rsidR="00F735D5" w:rsidRPr="00A32AF4" w:rsidRDefault="00F735D5" w:rsidP="00DC0553">
            <w:pPr>
              <w:rPr>
                <w:rFonts w:eastAsiaTheme="minorHAnsi"/>
                <w:sz w:val="16"/>
                <w:szCs w:val="16"/>
              </w:rPr>
            </w:pPr>
            <w:r w:rsidRPr="00A32AF4">
              <w:rPr>
                <w:rFonts w:eastAsiaTheme="minorHAnsi"/>
                <w:sz w:val="16"/>
                <w:szCs w:val="16"/>
              </w:rPr>
              <w:t>Pays et parties prenantes se détournant de l</w:t>
            </w:r>
            <w:r w:rsidR="00E2055A" w:rsidRPr="00A32AF4">
              <w:rPr>
                <w:rFonts w:eastAsiaTheme="minorHAnsi"/>
                <w:sz w:val="16"/>
                <w:szCs w:val="16"/>
              </w:rPr>
              <w:t>’</w:t>
            </w:r>
            <w:r w:rsidRPr="00A32AF4">
              <w:rPr>
                <w:rFonts w:eastAsiaTheme="minorHAnsi"/>
                <w:sz w:val="16"/>
                <w:szCs w:val="16"/>
              </w:rPr>
              <w:t>OMPI pour s</w:t>
            </w:r>
            <w:r w:rsidR="00E2055A" w:rsidRPr="00A32AF4">
              <w:rPr>
                <w:rFonts w:eastAsiaTheme="minorHAnsi"/>
                <w:sz w:val="16"/>
                <w:szCs w:val="16"/>
              </w:rPr>
              <w:t>’</w:t>
            </w:r>
            <w:r w:rsidRPr="00A32AF4">
              <w:rPr>
                <w:rFonts w:eastAsiaTheme="minorHAnsi"/>
                <w:sz w:val="16"/>
                <w:szCs w:val="16"/>
              </w:rPr>
              <w:t>intéresser à d</w:t>
            </w:r>
            <w:r w:rsidR="00E2055A" w:rsidRPr="00A32AF4">
              <w:rPr>
                <w:rFonts w:eastAsiaTheme="minorHAnsi"/>
                <w:sz w:val="16"/>
                <w:szCs w:val="16"/>
              </w:rPr>
              <w:t>’</w:t>
            </w:r>
            <w:r w:rsidRPr="00A32AF4">
              <w:rPr>
                <w:rFonts w:eastAsiaTheme="minorHAnsi"/>
                <w:sz w:val="16"/>
                <w:szCs w:val="16"/>
              </w:rPr>
              <w:t>autres organisations internationales ou régionales mettant au point des activités de promotion du respect de la propriété intellectuelle.</w:t>
            </w:r>
          </w:p>
        </w:tc>
        <w:tc>
          <w:tcPr>
            <w:tcW w:w="4961" w:type="dxa"/>
            <w:tcMar>
              <w:top w:w="113" w:type="dxa"/>
              <w:left w:w="108" w:type="dxa"/>
              <w:bottom w:w="113" w:type="dxa"/>
              <w:right w:w="108" w:type="dxa"/>
            </w:tcMar>
          </w:tcPr>
          <w:p w:rsidR="00F93B76" w:rsidRPr="00A32AF4" w:rsidRDefault="00F735D5" w:rsidP="00DC0553">
            <w:pPr>
              <w:rPr>
                <w:rFonts w:eastAsiaTheme="minorHAnsi"/>
                <w:sz w:val="16"/>
                <w:szCs w:val="16"/>
              </w:rPr>
            </w:pPr>
            <w:r w:rsidRPr="00A32AF4">
              <w:rPr>
                <w:rFonts w:eastAsiaTheme="minorHAnsi"/>
                <w:sz w:val="16"/>
                <w:szCs w:val="16"/>
              </w:rPr>
              <w:t>Tirer parti des partenariats, définir et créer des synergies en attribuant des rôles clairs et délimités aux différents partenaires.</w:t>
            </w:r>
          </w:p>
          <w:p w:rsidR="00F93B76" w:rsidRPr="00A32AF4" w:rsidRDefault="00F93B76" w:rsidP="00DC0553">
            <w:pPr>
              <w:rPr>
                <w:sz w:val="16"/>
                <w:szCs w:val="16"/>
              </w:rPr>
            </w:pPr>
          </w:p>
          <w:p w:rsidR="00F93B76" w:rsidRPr="00A32AF4" w:rsidRDefault="00F735D5" w:rsidP="00DC0553">
            <w:pPr>
              <w:rPr>
                <w:sz w:val="16"/>
                <w:szCs w:val="16"/>
              </w:rPr>
            </w:pPr>
            <w:r w:rsidRPr="00A32AF4">
              <w:rPr>
                <w:sz w:val="16"/>
                <w:szCs w:val="16"/>
              </w:rPr>
              <w:t>Intégrer les activités et stratégies de promotion du respect de la propriété intellectuelle dans les politiques nationales de propriété intellectuelle en coopération avec les bureaux régionaux de l</w:t>
            </w:r>
            <w:r w:rsidR="00E2055A" w:rsidRPr="00A32AF4">
              <w:rPr>
                <w:sz w:val="16"/>
                <w:szCs w:val="16"/>
              </w:rPr>
              <w:t>’</w:t>
            </w:r>
            <w:r w:rsidRPr="00A32AF4">
              <w:rPr>
                <w:sz w:val="16"/>
                <w:szCs w:val="16"/>
              </w:rPr>
              <w:t>OMPI et le Département des pays en transition et des pays développés.</w:t>
            </w:r>
          </w:p>
          <w:p w:rsidR="00F93B76" w:rsidRPr="00A32AF4" w:rsidRDefault="00F93B76" w:rsidP="00DC0553">
            <w:pPr>
              <w:rPr>
                <w:sz w:val="16"/>
                <w:szCs w:val="16"/>
              </w:rPr>
            </w:pPr>
          </w:p>
          <w:p w:rsidR="00F735D5" w:rsidRPr="00A32AF4" w:rsidRDefault="00F735D5" w:rsidP="00DC0553">
            <w:pPr>
              <w:rPr>
                <w:rFonts w:eastAsiaTheme="minorHAnsi"/>
                <w:sz w:val="16"/>
                <w:szCs w:val="16"/>
              </w:rPr>
            </w:pPr>
            <w:r w:rsidRPr="00A32AF4">
              <w:rPr>
                <w:rFonts w:eastAsiaTheme="minorHAnsi"/>
                <w:sz w:val="16"/>
                <w:szCs w:val="16"/>
              </w:rPr>
              <w:t>Mettre l</w:t>
            </w:r>
            <w:r w:rsidR="00E2055A" w:rsidRPr="00A32AF4">
              <w:rPr>
                <w:rFonts w:eastAsiaTheme="minorHAnsi"/>
                <w:sz w:val="16"/>
                <w:szCs w:val="16"/>
              </w:rPr>
              <w:t>’</w:t>
            </w:r>
            <w:r w:rsidRPr="00A32AF4">
              <w:rPr>
                <w:rFonts w:eastAsiaTheme="minorHAnsi"/>
                <w:sz w:val="16"/>
                <w:szCs w:val="16"/>
              </w:rPr>
              <w:t>accent sur les activités axées sur la politique où l</w:t>
            </w:r>
            <w:r w:rsidR="00E2055A" w:rsidRPr="00A32AF4">
              <w:rPr>
                <w:rFonts w:eastAsiaTheme="minorHAnsi"/>
                <w:sz w:val="16"/>
                <w:szCs w:val="16"/>
              </w:rPr>
              <w:t>’</w:t>
            </w:r>
            <w:r w:rsidRPr="00A32AF4">
              <w:rPr>
                <w:rFonts w:eastAsiaTheme="minorHAnsi"/>
                <w:sz w:val="16"/>
                <w:szCs w:val="16"/>
              </w:rPr>
              <w:t>OMPI peut jouer un rôle notable et offrir un avantage concurrentiel.</w:t>
            </w:r>
          </w:p>
        </w:tc>
      </w:tr>
    </w:tbl>
    <w:p w:rsidR="00F93B76" w:rsidRPr="00A32AF4" w:rsidRDefault="00F93B76" w:rsidP="00DC0553">
      <w:pPr>
        <w:rPr>
          <w:rFonts w:eastAsiaTheme="minorHAnsi"/>
        </w:rPr>
      </w:pPr>
    </w:p>
    <w:p w:rsidR="00F93B76" w:rsidRPr="00A32AF4" w:rsidRDefault="00F93B76" w:rsidP="00DC0553">
      <w:pPr>
        <w:rPr>
          <w:rFonts w:eastAsiaTheme="minorHAnsi"/>
        </w:rPr>
      </w:pPr>
    </w:p>
    <w:p w:rsidR="00F93B76" w:rsidRPr="00A32AF4" w:rsidRDefault="00F735D5" w:rsidP="00DC0553">
      <w:r w:rsidRPr="00A32AF4">
        <w:t>TABLEAU DES RÉSULTATS</w:t>
      </w:r>
    </w:p>
    <w:p w:rsidR="00F735D5" w:rsidRPr="00A32AF4" w:rsidRDefault="00F735D5" w:rsidP="00DC0553"/>
    <w:tbl>
      <w:tblPr>
        <w:tblW w:w="9229" w:type="dxa"/>
        <w:tblInd w:w="9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80"/>
        <w:gridCol w:w="2660"/>
        <w:gridCol w:w="2120"/>
        <w:gridCol w:w="1969"/>
      </w:tblGrid>
      <w:tr w:rsidR="00F735D5" w:rsidRPr="00A32AF4" w:rsidTr="00F735D5">
        <w:trPr>
          <w:cantSplit/>
          <w:tblHeader/>
        </w:trPr>
        <w:tc>
          <w:tcPr>
            <w:tcW w:w="2480" w:type="dxa"/>
            <w:tcBorders>
              <w:top w:val="single" w:sz="4" w:space="0" w:color="auto"/>
              <w:bottom w:val="single" w:sz="4" w:space="0" w:color="auto"/>
            </w:tcBorders>
            <w:shd w:val="clear" w:color="auto" w:fill="C6D9F1" w:themeFill="text2" w:themeFillTint="33"/>
            <w:tcMar>
              <w:top w:w="113" w:type="dxa"/>
              <w:bottom w:w="113" w:type="dxa"/>
            </w:tcMar>
            <w:vAlign w:val="center"/>
            <w:hideMark/>
          </w:tcPr>
          <w:p w:rsidR="00F735D5" w:rsidRPr="00A32AF4" w:rsidRDefault="00F735D5" w:rsidP="00DC0553">
            <w:pPr>
              <w:keepNext/>
              <w:keepLines/>
              <w:jc w:val="center"/>
              <w:rPr>
                <w:b/>
                <w:bCs/>
                <w:sz w:val="18"/>
                <w:szCs w:val="18"/>
              </w:rPr>
            </w:pPr>
            <w:r w:rsidRPr="00A32AF4">
              <w:rPr>
                <w:b/>
                <w:bCs/>
                <w:sz w:val="18"/>
                <w:szCs w:val="18"/>
              </w:rPr>
              <w:t>Résultats escomptés</w:t>
            </w:r>
          </w:p>
        </w:tc>
        <w:tc>
          <w:tcPr>
            <w:tcW w:w="2660" w:type="dxa"/>
            <w:tcBorders>
              <w:top w:val="single" w:sz="4" w:space="0" w:color="auto"/>
              <w:bottom w:val="single" w:sz="4" w:space="0" w:color="auto"/>
            </w:tcBorders>
            <w:shd w:val="clear" w:color="auto" w:fill="C6D9F1" w:themeFill="text2" w:themeFillTint="33"/>
            <w:tcMar>
              <w:top w:w="113" w:type="dxa"/>
              <w:bottom w:w="113" w:type="dxa"/>
            </w:tcMar>
            <w:vAlign w:val="center"/>
            <w:hideMark/>
          </w:tcPr>
          <w:p w:rsidR="00F735D5" w:rsidRPr="00A32AF4" w:rsidRDefault="00F735D5" w:rsidP="00DC0553">
            <w:pPr>
              <w:keepNext/>
              <w:keepLines/>
              <w:jc w:val="center"/>
              <w:rPr>
                <w:b/>
                <w:bCs/>
                <w:sz w:val="18"/>
                <w:szCs w:val="18"/>
              </w:rPr>
            </w:pPr>
            <w:r w:rsidRPr="00A32AF4">
              <w:rPr>
                <w:b/>
                <w:bCs/>
                <w:sz w:val="18"/>
                <w:szCs w:val="18"/>
              </w:rPr>
              <w:t>Indicateurs d</w:t>
            </w:r>
            <w:r w:rsidR="00E2055A" w:rsidRPr="00A32AF4">
              <w:rPr>
                <w:b/>
                <w:bCs/>
                <w:sz w:val="18"/>
                <w:szCs w:val="18"/>
              </w:rPr>
              <w:t>’</w:t>
            </w:r>
            <w:r w:rsidRPr="00A32AF4">
              <w:rPr>
                <w:b/>
                <w:bCs/>
                <w:sz w:val="18"/>
                <w:szCs w:val="18"/>
              </w:rPr>
              <w:t>exécution</w:t>
            </w:r>
          </w:p>
        </w:tc>
        <w:tc>
          <w:tcPr>
            <w:tcW w:w="2120" w:type="dxa"/>
            <w:tcBorders>
              <w:top w:val="single" w:sz="4" w:space="0" w:color="auto"/>
              <w:bottom w:val="single" w:sz="4" w:space="0" w:color="auto"/>
            </w:tcBorders>
            <w:shd w:val="clear" w:color="auto" w:fill="C6D9F1" w:themeFill="text2" w:themeFillTint="33"/>
            <w:tcMar>
              <w:top w:w="113" w:type="dxa"/>
              <w:bottom w:w="113" w:type="dxa"/>
            </w:tcMar>
            <w:vAlign w:val="center"/>
            <w:hideMark/>
          </w:tcPr>
          <w:p w:rsidR="00F735D5" w:rsidRPr="00A32AF4" w:rsidRDefault="00F735D5" w:rsidP="00DC0553">
            <w:pPr>
              <w:keepNext/>
              <w:keepLines/>
              <w:jc w:val="center"/>
              <w:rPr>
                <w:b/>
                <w:bCs/>
                <w:sz w:val="18"/>
                <w:szCs w:val="18"/>
              </w:rPr>
            </w:pPr>
            <w:r w:rsidRPr="00A32AF4">
              <w:rPr>
                <w:b/>
                <w:bCs/>
                <w:sz w:val="18"/>
                <w:szCs w:val="18"/>
              </w:rPr>
              <w:t>Niveaux de référence</w:t>
            </w:r>
          </w:p>
        </w:tc>
        <w:tc>
          <w:tcPr>
            <w:tcW w:w="1969" w:type="dxa"/>
            <w:tcBorders>
              <w:top w:val="single" w:sz="4" w:space="0" w:color="auto"/>
              <w:bottom w:val="single" w:sz="4" w:space="0" w:color="auto"/>
            </w:tcBorders>
            <w:shd w:val="clear" w:color="auto" w:fill="C6D9F1" w:themeFill="text2" w:themeFillTint="33"/>
            <w:tcMar>
              <w:top w:w="113" w:type="dxa"/>
              <w:bottom w:w="113" w:type="dxa"/>
            </w:tcMar>
            <w:vAlign w:val="center"/>
            <w:hideMark/>
          </w:tcPr>
          <w:p w:rsidR="00F735D5" w:rsidRPr="00A32AF4" w:rsidRDefault="00F735D5" w:rsidP="00DC0553">
            <w:pPr>
              <w:keepNext/>
              <w:keepLines/>
              <w:jc w:val="center"/>
              <w:rPr>
                <w:b/>
                <w:bCs/>
                <w:sz w:val="18"/>
                <w:szCs w:val="18"/>
              </w:rPr>
            </w:pPr>
            <w:r w:rsidRPr="00A32AF4">
              <w:rPr>
                <w:b/>
                <w:bCs/>
                <w:sz w:val="18"/>
                <w:szCs w:val="18"/>
              </w:rPr>
              <w:t>Objectifs visés</w:t>
            </w:r>
          </w:p>
        </w:tc>
      </w:tr>
      <w:tr w:rsidR="00F735D5" w:rsidRPr="00A32AF4" w:rsidTr="00F735D5">
        <w:trPr>
          <w:cantSplit/>
        </w:trPr>
        <w:tc>
          <w:tcPr>
            <w:tcW w:w="2480" w:type="dxa"/>
            <w:vMerge w:val="restart"/>
            <w:tcBorders>
              <w:top w:val="single" w:sz="4" w:space="0" w:color="auto"/>
            </w:tcBorders>
            <w:shd w:val="clear" w:color="000000" w:fill="FFFFFF"/>
            <w:tcMar>
              <w:top w:w="113" w:type="dxa"/>
              <w:bottom w:w="113" w:type="dxa"/>
            </w:tcMar>
            <w:hideMark/>
          </w:tcPr>
          <w:p w:rsidR="00F735D5" w:rsidRPr="00A32AF4" w:rsidRDefault="00F735D5" w:rsidP="00DC0553">
            <w:pPr>
              <w:keepNext/>
              <w:keepLines/>
              <w:rPr>
                <w:sz w:val="16"/>
                <w:szCs w:val="16"/>
              </w:rPr>
            </w:pPr>
            <w:r w:rsidRPr="00A32AF4">
              <w:rPr>
                <w:sz w:val="16"/>
                <w:szCs w:val="16"/>
              </w:rPr>
              <w:t>I.2 Cadres législatifs, réglementaires et politiques de propriété intellectuelle adaptés et équilibrés</w:t>
            </w:r>
          </w:p>
        </w:tc>
        <w:tc>
          <w:tcPr>
            <w:tcW w:w="2660" w:type="dxa"/>
            <w:tcBorders>
              <w:top w:val="single" w:sz="4" w:space="0" w:color="auto"/>
            </w:tcBorders>
            <w:shd w:val="clear" w:color="000000" w:fill="FFFFFF"/>
            <w:tcMar>
              <w:top w:w="113" w:type="dxa"/>
              <w:bottom w:w="113" w:type="dxa"/>
            </w:tcMar>
            <w:hideMark/>
          </w:tcPr>
          <w:p w:rsidR="00F735D5" w:rsidRPr="00A32AF4" w:rsidRDefault="00F735D5">
            <w:pPr>
              <w:keepNext/>
              <w:keepLines/>
              <w:rPr>
                <w:sz w:val="16"/>
                <w:szCs w:val="16"/>
              </w:rPr>
            </w:pPr>
            <w:r w:rsidRPr="00A32AF4">
              <w:rPr>
                <w:sz w:val="16"/>
                <w:szCs w:val="16"/>
              </w:rPr>
              <w:t>Nombre de pays ou d</w:t>
            </w:r>
            <w:r w:rsidR="00E2055A" w:rsidRPr="00A32AF4">
              <w:rPr>
                <w:sz w:val="16"/>
                <w:szCs w:val="16"/>
              </w:rPr>
              <w:t>’</w:t>
            </w:r>
            <w:r w:rsidRPr="00A32AF4">
              <w:rPr>
                <w:sz w:val="16"/>
                <w:szCs w:val="16"/>
              </w:rPr>
              <w:t>organisations régionales ayant adopté ou modifié leurs cadres de référence aux fins de l</w:t>
            </w:r>
            <w:r w:rsidR="00E2055A" w:rsidRPr="00A32AF4">
              <w:rPr>
                <w:sz w:val="16"/>
                <w:szCs w:val="16"/>
              </w:rPr>
              <w:t>’</w:t>
            </w:r>
            <w:r w:rsidRPr="00A32AF4">
              <w:rPr>
                <w:sz w:val="16"/>
                <w:szCs w:val="16"/>
              </w:rPr>
              <w:t>application effective des droits de propriété intellectuelle au regard du titre III de l</w:t>
            </w:r>
            <w:r w:rsidR="00E2055A" w:rsidRPr="00A32AF4">
              <w:rPr>
                <w:sz w:val="16"/>
                <w:szCs w:val="16"/>
              </w:rPr>
              <w:t>’</w:t>
            </w:r>
            <w:r w:rsidRPr="00A32AF4">
              <w:rPr>
                <w:sz w:val="16"/>
                <w:szCs w:val="16"/>
              </w:rPr>
              <w:t>Accord sur les ADPIC</w:t>
            </w:r>
            <w:r w:rsidR="00DB6931" w:rsidRPr="00A32AF4">
              <w:rPr>
                <w:sz w:val="16"/>
                <w:szCs w:val="16"/>
              </w:rPr>
              <w:t xml:space="preserve"> et de la recommandation n° 45 du Plan d</w:t>
            </w:r>
            <w:r w:rsidR="00E2055A" w:rsidRPr="00A32AF4">
              <w:rPr>
                <w:sz w:val="16"/>
                <w:szCs w:val="16"/>
              </w:rPr>
              <w:t>’</w:t>
            </w:r>
            <w:r w:rsidR="00DB6931" w:rsidRPr="00A32AF4">
              <w:rPr>
                <w:sz w:val="16"/>
                <w:szCs w:val="16"/>
              </w:rPr>
              <w:t>action pour le développement</w:t>
            </w:r>
            <w:r w:rsidRPr="00A32AF4">
              <w:rPr>
                <w:sz w:val="16"/>
                <w:szCs w:val="16"/>
              </w:rPr>
              <w:t>, ou s</w:t>
            </w:r>
            <w:r w:rsidR="00E2055A" w:rsidRPr="00A32AF4">
              <w:rPr>
                <w:sz w:val="16"/>
                <w:szCs w:val="16"/>
              </w:rPr>
              <w:t>’</w:t>
            </w:r>
            <w:r w:rsidRPr="00A32AF4">
              <w:rPr>
                <w:sz w:val="16"/>
                <w:szCs w:val="16"/>
              </w:rPr>
              <w:t>apprêtant à le faire, suite à l</w:t>
            </w:r>
            <w:r w:rsidR="00E2055A" w:rsidRPr="00A32AF4">
              <w:rPr>
                <w:sz w:val="16"/>
                <w:szCs w:val="16"/>
              </w:rPr>
              <w:t>’</w:t>
            </w:r>
            <w:r w:rsidRPr="00A32AF4">
              <w:rPr>
                <w:sz w:val="16"/>
                <w:szCs w:val="16"/>
              </w:rPr>
              <w:t>assistance fournie par l</w:t>
            </w:r>
            <w:r w:rsidR="00E2055A" w:rsidRPr="00A32AF4">
              <w:rPr>
                <w:sz w:val="16"/>
                <w:szCs w:val="16"/>
              </w:rPr>
              <w:t>’</w:t>
            </w:r>
            <w:r w:rsidRPr="00A32AF4">
              <w:rPr>
                <w:sz w:val="16"/>
                <w:szCs w:val="16"/>
              </w:rPr>
              <w:t>OMPI</w:t>
            </w:r>
          </w:p>
        </w:tc>
        <w:tc>
          <w:tcPr>
            <w:tcW w:w="2120" w:type="dxa"/>
            <w:tcBorders>
              <w:top w:val="single" w:sz="4" w:space="0" w:color="auto"/>
            </w:tcBorders>
            <w:shd w:val="clear" w:color="000000" w:fill="FFFFFF"/>
            <w:tcMar>
              <w:top w:w="113" w:type="dxa"/>
              <w:bottom w:w="113" w:type="dxa"/>
            </w:tcMar>
            <w:hideMark/>
          </w:tcPr>
          <w:p w:rsidR="00F735D5" w:rsidRPr="00A32AF4" w:rsidRDefault="00F735D5" w:rsidP="00DC0553">
            <w:pPr>
              <w:keepNext/>
              <w:keepLines/>
              <w:ind w:firstLineChars="7" w:firstLine="11"/>
              <w:rPr>
                <w:sz w:val="16"/>
                <w:szCs w:val="16"/>
              </w:rPr>
            </w:pPr>
            <w:r w:rsidRPr="00A32AF4">
              <w:rPr>
                <w:sz w:val="16"/>
                <w:szCs w:val="16"/>
              </w:rPr>
              <w:t>13 pays engagés dans un processus de modification ou d</w:t>
            </w:r>
            <w:r w:rsidR="00E2055A" w:rsidRPr="00A32AF4">
              <w:rPr>
                <w:sz w:val="16"/>
                <w:szCs w:val="16"/>
              </w:rPr>
              <w:t>’</w:t>
            </w:r>
            <w:r w:rsidRPr="00A32AF4">
              <w:rPr>
                <w:sz w:val="16"/>
                <w:szCs w:val="16"/>
              </w:rPr>
              <w:t>adoption de cadres de référence aux fins de l</w:t>
            </w:r>
            <w:r w:rsidR="00E2055A" w:rsidRPr="00A32AF4">
              <w:rPr>
                <w:sz w:val="16"/>
                <w:szCs w:val="16"/>
              </w:rPr>
              <w:t>’</w:t>
            </w:r>
            <w:r w:rsidRPr="00A32AF4">
              <w:rPr>
                <w:sz w:val="16"/>
                <w:szCs w:val="16"/>
              </w:rPr>
              <w:t>application effective des droits de propriété intellectuelle (au 15 février 2015)</w:t>
            </w:r>
          </w:p>
        </w:tc>
        <w:tc>
          <w:tcPr>
            <w:tcW w:w="1969" w:type="dxa"/>
            <w:tcBorders>
              <w:top w:val="single" w:sz="4" w:space="0" w:color="auto"/>
            </w:tcBorders>
            <w:shd w:val="clear" w:color="000000" w:fill="FFFFFF"/>
            <w:tcMar>
              <w:top w:w="113" w:type="dxa"/>
              <w:bottom w:w="113" w:type="dxa"/>
            </w:tcMar>
            <w:hideMark/>
          </w:tcPr>
          <w:p w:rsidR="00F735D5" w:rsidRPr="00A32AF4" w:rsidRDefault="00F735D5" w:rsidP="00DC0553">
            <w:pPr>
              <w:keepNext/>
              <w:keepLines/>
              <w:rPr>
                <w:sz w:val="16"/>
                <w:szCs w:val="16"/>
              </w:rPr>
            </w:pPr>
            <w:r w:rsidRPr="00A32AF4">
              <w:rPr>
                <w:sz w:val="16"/>
                <w:szCs w:val="16"/>
              </w:rPr>
              <w:t>1 pays ou organisation régionale ayant adopté ou modifié leurs cadres de référence aux fins de l</w:t>
            </w:r>
            <w:r w:rsidR="00E2055A" w:rsidRPr="00A32AF4">
              <w:rPr>
                <w:sz w:val="16"/>
                <w:szCs w:val="16"/>
              </w:rPr>
              <w:t>’</w:t>
            </w:r>
            <w:r w:rsidRPr="00A32AF4">
              <w:rPr>
                <w:sz w:val="16"/>
                <w:szCs w:val="16"/>
              </w:rPr>
              <w:t xml:space="preserve">application effective des droits de propriété intellectuelle </w:t>
            </w:r>
          </w:p>
        </w:tc>
      </w:tr>
      <w:tr w:rsidR="00F735D5" w:rsidRPr="00A32AF4" w:rsidTr="00F735D5">
        <w:trPr>
          <w:cantSplit/>
        </w:trPr>
        <w:tc>
          <w:tcPr>
            <w:tcW w:w="2480" w:type="dxa"/>
            <w:vMerge/>
            <w:tcMar>
              <w:top w:w="113" w:type="dxa"/>
              <w:bottom w:w="113" w:type="dxa"/>
            </w:tcMar>
            <w:vAlign w:val="center"/>
            <w:hideMark/>
          </w:tcPr>
          <w:p w:rsidR="00F735D5" w:rsidRPr="00A32AF4" w:rsidRDefault="00F735D5" w:rsidP="00DC0553">
            <w:pPr>
              <w:rPr>
                <w:sz w:val="16"/>
                <w:szCs w:val="16"/>
              </w:rPr>
            </w:pPr>
          </w:p>
        </w:tc>
        <w:tc>
          <w:tcPr>
            <w:tcW w:w="2660" w:type="dxa"/>
            <w:shd w:val="clear" w:color="000000" w:fill="FFFFFF"/>
            <w:tcMar>
              <w:top w:w="113" w:type="dxa"/>
              <w:bottom w:w="113" w:type="dxa"/>
            </w:tcMar>
            <w:hideMark/>
          </w:tcPr>
          <w:p w:rsidR="00F735D5" w:rsidRPr="00A32AF4" w:rsidRDefault="00F735D5" w:rsidP="00DC0553">
            <w:pPr>
              <w:rPr>
                <w:sz w:val="16"/>
                <w:szCs w:val="16"/>
              </w:rPr>
            </w:pPr>
            <w:r w:rsidRPr="00A32AF4">
              <w:rPr>
                <w:sz w:val="16"/>
                <w:szCs w:val="16"/>
              </w:rPr>
              <w:t>Nombre de pays ayant adopté ou mis en œuvre une stratégie nationale de promotion du respect de la propriété intellectuelle, ou étant engagés dans un tel processus, avec l</w:t>
            </w:r>
            <w:r w:rsidR="00E2055A" w:rsidRPr="00A32AF4">
              <w:rPr>
                <w:sz w:val="16"/>
                <w:szCs w:val="16"/>
              </w:rPr>
              <w:t>’</w:t>
            </w:r>
            <w:r w:rsidRPr="00A32AF4">
              <w:rPr>
                <w:sz w:val="16"/>
                <w:szCs w:val="16"/>
              </w:rPr>
              <w:t>assistance de l</w:t>
            </w:r>
            <w:r w:rsidR="00E2055A" w:rsidRPr="00A32AF4">
              <w:rPr>
                <w:sz w:val="16"/>
                <w:szCs w:val="16"/>
              </w:rPr>
              <w:t>’</w:t>
            </w:r>
            <w:r w:rsidRPr="00A32AF4">
              <w:rPr>
                <w:sz w:val="16"/>
                <w:szCs w:val="16"/>
              </w:rPr>
              <w:t>OMPI</w:t>
            </w:r>
          </w:p>
        </w:tc>
        <w:tc>
          <w:tcPr>
            <w:tcW w:w="2120" w:type="dxa"/>
            <w:shd w:val="clear" w:color="000000" w:fill="FFFFFF"/>
            <w:tcMar>
              <w:top w:w="113" w:type="dxa"/>
              <w:bottom w:w="113" w:type="dxa"/>
            </w:tcMar>
            <w:hideMark/>
          </w:tcPr>
          <w:p w:rsidR="00F735D5" w:rsidRPr="00A32AF4" w:rsidRDefault="00F735D5" w:rsidP="00DC0553">
            <w:pPr>
              <w:rPr>
                <w:sz w:val="16"/>
                <w:szCs w:val="16"/>
              </w:rPr>
            </w:pPr>
            <w:r w:rsidRPr="00A32AF4">
              <w:rPr>
                <w:sz w:val="16"/>
                <w:szCs w:val="16"/>
              </w:rPr>
              <w:t>2 pays engagés dans un processus d</w:t>
            </w:r>
            <w:r w:rsidR="00E2055A" w:rsidRPr="00A32AF4">
              <w:rPr>
                <w:sz w:val="16"/>
                <w:szCs w:val="16"/>
              </w:rPr>
              <w:t>’</w:t>
            </w:r>
            <w:r w:rsidRPr="00A32AF4">
              <w:rPr>
                <w:sz w:val="16"/>
                <w:szCs w:val="16"/>
              </w:rPr>
              <w:t>adoption d</w:t>
            </w:r>
            <w:r w:rsidR="00E2055A" w:rsidRPr="00A32AF4">
              <w:rPr>
                <w:sz w:val="16"/>
                <w:szCs w:val="16"/>
              </w:rPr>
              <w:t>’</w:t>
            </w:r>
            <w:r w:rsidRPr="00A32AF4">
              <w:rPr>
                <w:sz w:val="16"/>
                <w:szCs w:val="16"/>
              </w:rPr>
              <w:t>une telle stratégie</w:t>
            </w:r>
          </w:p>
        </w:tc>
        <w:tc>
          <w:tcPr>
            <w:tcW w:w="1969" w:type="dxa"/>
            <w:shd w:val="clear" w:color="000000" w:fill="FFFFFF"/>
            <w:tcMar>
              <w:top w:w="113" w:type="dxa"/>
              <w:bottom w:w="113" w:type="dxa"/>
            </w:tcMar>
            <w:hideMark/>
          </w:tcPr>
          <w:p w:rsidR="00F735D5" w:rsidRPr="00A32AF4" w:rsidRDefault="00F735D5" w:rsidP="00DC0553">
            <w:pPr>
              <w:rPr>
                <w:sz w:val="16"/>
                <w:szCs w:val="16"/>
              </w:rPr>
            </w:pPr>
            <w:r w:rsidRPr="00A32AF4">
              <w:rPr>
                <w:sz w:val="16"/>
                <w:szCs w:val="16"/>
              </w:rPr>
              <w:t>2 pays ayant adopté une telle stratégie</w:t>
            </w:r>
          </w:p>
        </w:tc>
      </w:tr>
      <w:tr w:rsidR="00F735D5" w:rsidRPr="00A32AF4" w:rsidTr="00F735D5">
        <w:trPr>
          <w:cantSplit/>
        </w:trPr>
        <w:tc>
          <w:tcPr>
            <w:tcW w:w="2480" w:type="dxa"/>
            <w:shd w:val="clear" w:color="000000" w:fill="FFFFFF"/>
            <w:tcMar>
              <w:top w:w="113" w:type="dxa"/>
              <w:bottom w:w="113" w:type="dxa"/>
            </w:tcMar>
            <w:hideMark/>
          </w:tcPr>
          <w:p w:rsidR="00F735D5" w:rsidRPr="00A32AF4" w:rsidRDefault="00F735D5" w:rsidP="00DC0553">
            <w:pPr>
              <w:rPr>
                <w:sz w:val="16"/>
                <w:szCs w:val="16"/>
              </w:rPr>
            </w:pPr>
            <w:r w:rsidRPr="00A32AF4">
              <w:rPr>
                <w:sz w:val="16"/>
                <w:szCs w:val="16"/>
              </w:rPr>
              <w:t>III.2 Mise en valeur des ressources humaines pour répondre aux diverses exigences en matière d</w:t>
            </w:r>
            <w:r w:rsidR="00E2055A" w:rsidRPr="00A32AF4">
              <w:rPr>
                <w:sz w:val="16"/>
                <w:szCs w:val="16"/>
              </w:rPr>
              <w:t>’</w:t>
            </w:r>
            <w:r w:rsidRPr="00A32AF4">
              <w:rPr>
                <w:sz w:val="16"/>
                <w:szCs w:val="16"/>
              </w:rPr>
              <w:t>utilisation efficace de la propriété intellectuelle au service du développement dans les pays en développement, les PMA et les pays en transition</w:t>
            </w:r>
          </w:p>
        </w:tc>
        <w:tc>
          <w:tcPr>
            <w:tcW w:w="2660" w:type="dxa"/>
            <w:shd w:val="clear" w:color="000000" w:fill="FFFFFF"/>
            <w:tcMar>
              <w:top w:w="113" w:type="dxa"/>
              <w:bottom w:w="113" w:type="dxa"/>
            </w:tcMar>
            <w:hideMark/>
          </w:tcPr>
          <w:p w:rsidR="00F735D5" w:rsidRPr="00A32AF4" w:rsidRDefault="00F735D5" w:rsidP="00DC0553">
            <w:pPr>
              <w:rPr>
                <w:sz w:val="16"/>
                <w:szCs w:val="16"/>
              </w:rPr>
            </w:pPr>
            <w:r w:rsidRPr="00A32AF4">
              <w:rPr>
                <w:sz w:val="16"/>
                <w:szCs w:val="16"/>
              </w:rPr>
              <w:t>Pourcentage de participants formés faisant état de leur satisfaction quant à l</w:t>
            </w:r>
            <w:r w:rsidR="00E2055A" w:rsidRPr="00A32AF4">
              <w:rPr>
                <w:sz w:val="16"/>
                <w:szCs w:val="16"/>
              </w:rPr>
              <w:t>’</w:t>
            </w:r>
            <w:r w:rsidRPr="00A32AF4">
              <w:rPr>
                <w:sz w:val="16"/>
                <w:szCs w:val="16"/>
              </w:rPr>
              <w:t>utilité de la formation reçue et à sa pertinence pour l</w:t>
            </w:r>
            <w:r w:rsidR="00E2055A" w:rsidRPr="00A32AF4">
              <w:rPr>
                <w:sz w:val="16"/>
                <w:szCs w:val="16"/>
              </w:rPr>
              <w:t>’</w:t>
            </w:r>
            <w:r w:rsidRPr="00A32AF4">
              <w:rPr>
                <w:sz w:val="16"/>
                <w:szCs w:val="16"/>
              </w:rPr>
              <w:t>exercice de leurs activités professionnelles</w:t>
            </w:r>
          </w:p>
        </w:tc>
        <w:tc>
          <w:tcPr>
            <w:tcW w:w="2120" w:type="dxa"/>
            <w:shd w:val="clear" w:color="000000" w:fill="FFFFFF"/>
            <w:tcMar>
              <w:top w:w="113" w:type="dxa"/>
              <w:bottom w:w="113" w:type="dxa"/>
            </w:tcMar>
            <w:hideMark/>
          </w:tcPr>
          <w:p w:rsidR="00F735D5" w:rsidRPr="00A32AF4" w:rsidRDefault="00F735D5" w:rsidP="00DC0553">
            <w:pPr>
              <w:rPr>
                <w:sz w:val="16"/>
                <w:szCs w:val="16"/>
              </w:rPr>
            </w:pPr>
            <w:r w:rsidRPr="00A32AF4">
              <w:rPr>
                <w:sz w:val="16"/>
                <w:szCs w:val="16"/>
              </w:rPr>
              <w:t>Pertinence : 90%</w:t>
            </w:r>
            <w:r w:rsidRPr="00A32AF4">
              <w:rPr>
                <w:sz w:val="16"/>
                <w:szCs w:val="16"/>
              </w:rPr>
              <w:br/>
              <w:t>Utilité : 90</w:t>
            </w:r>
            <w:proofErr w:type="gramStart"/>
            <w:r w:rsidRPr="00A32AF4">
              <w:rPr>
                <w:sz w:val="16"/>
                <w:szCs w:val="16"/>
              </w:rPr>
              <w:t>%</w:t>
            </w:r>
            <w:proofErr w:type="gramEnd"/>
            <w:r w:rsidRPr="00A32AF4">
              <w:rPr>
                <w:sz w:val="16"/>
                <w:szCs w:val="16"/>
              </w:rPr>
              <w:br/>
              <w:t>(au 15 février 2015)</w:t>
            </w:r>
          </w:p>
        </w:tc>
        <w:tc>
          <w:tcPr>
            <w:tcW w:w="1969" w:type="dxa"/>
            <w:shd w:val="clear" w:color="000000" w:fill="FFFFFF"/>
            <w:tcMar>
              <w:top w:w="113" w:type="dxa"/>
              <w:bottom w:w="113" w:type="dxa"/>
            </w:tcMar>
            <w:hideMark/>
          </w:tcPr>
          <w:p w:rsidR="00F735D5" w:rsidRPr="00A32AF4" w:rsidRDefault="00F735D5" w:rsidP="00DC0553">
            <w:pPr>
              <w:rPr>
                <w:sz w:val="16"/>
                <w:szCs w:val="16"/>
              </w:rPr>
            </w:pPr>
            <w:r w:rsidRPr="00A32AF4">
              <w:rPr>
                <w:sz w:val="16"/>
                <w:szCs w:val="16"/>
              </w:rPr>
              <w:t>Pertinence : &gt;85%</w:t>
            </w:r>
            <w:r w:rsidRPr="00A32AF4">
              <w:rPr>
                <w:sz w:val="16"/>
                <w:szCs w:val="16"/>
              </w:rPr>
              <w:br/>
              <w:t>Utilité : &gt; 85%</w:t>
            </w:r>
          </w:p>
        </w:tc>
      </w:tr>
      <w:tr w:rsidR="00F735D5" w:rsidRPr="00A32AF4" w:rsidTr="00F735D5">
        <w:trPr>
          <w:cantSplit/>
        </w:trPr>
        <w:tc>
          <w:tcPr>
            <w:tcW w:w="2480" w:type="dxa"/>
            <w:shd w:val="clear" w:color="000000" w:fill="FFFFFF"/>
            <w:tcMar>
              <w:top w:w="113" w:type="dxa"/>
              <w:bottom w:w="113" w:type="dxa"/>
            </w:tcMar>
            <w:hideMark/>
          </w:tcPr>
          <w:p w:rsidR="00F735D5" w:rsidRPr="00A32AF4" w:rsidRDefault="00F735D5" w:rsidP="00DC0553">
            <w:pPr>
              <w:rPr>
                <w:sz w:val="16"/>
                <w:szCs w:val="16"/>
              </w:rPr>
            </w:pPr>
            <w:r w:rsidRPr="00A32AF4">
              <w:rPr>
                <w:sz w:val="16"/>
                <w:szCs w:val="16"/>
              </w:rPr>
              <w:t>VI.1 Progrès du dialogue international de politique générale entre les États membres de l</w:t>
            </w:r>
            <w:r w:rsidR="00E2055A" w:rsidRPr="00A32AF4">
              <w:rPr>
                <w:sz w:val="16"/>
                <w:szCs w:val="16"/>
              </w:rPr>
              <w:t>’</w:t>
            </w:r>
            <w:r w:rsidRPr="00A32AF4">
              <w:rPr>
                <w:sz w:val="16"/>
                <w:szCs w:val="16"/>
              </w:rPr>
              <w:t>OMPI en ce qui concerne la promotion du respect de la propriété intellectuelle, compte tenu de la recommandation n° 45 du Plan d</w:t>
            </w:r>
            <w:r w:rsidR="00E2055A" w:rsidRPr="00A32AF4">
              <w:rPr>
                <w:sz w:val="16"/>
                <w:szCs w:val="16"/>
              </w:rPr>
              <w:t>’</w:t>
            </w:r>
            <w:r w:rsidRPr="00A32AF4">
              <w:rPr>
                <w:sz w:val="16"/>
                <w:szCs w:val="16"/>
              </w:rPr>
              <w:t>action pour le développement</w:t>
            </w:r>
          </w:p>
        </w:tc>
        <w:tc>
          <w:tcPr>
            <w:tcW w:w="2660" w:type="dxa"/>
            <w:shd w:val="clear" w:color="000000" w:fill="FFFFFF"/>
            <w:tcMar>
              <w:top w:w="113" w:type="dxa"/>
              <w:bottom w:w="113" w:type="dxa"/>
            </w:tcMar>
            <w:hideMark/>
          </w:tcPr>
          <w:p w:rsidR="00F735D5" w:rsidRPr="00A32AF4" w:rsidRDefault="00F735D5" w:rsidP="00DC0553">
            <w:pPr>
              <w:rPr>
                <w:sz w:val="16"/>
                <w:szCs w:val="16"/>
              </w:rPr>
            </w:pPr>
            <w:r w:rsidRPr="00A32AF4">
              <w:rPr>
                <w:sz w:val="16"/>
                <w:szCs w:val="16"/>
              </w:rPr>
              <w:t>Accord permanent des États membres sur les activités de fond du Comité consultatif de l</w:t>
            </w:r>
            <w:r w:rsidR="00E2055A" w:rsidRPr="00A32AF4">
              <w:rPr>
                <w:sz w:val="16"/>
                <w:szCs w:val="16"/>
              </w:rPr>
              <w:t>’</w:t>
            </w:r>
            <w:r w:rsidRPr="00A32AF4">
              <w:rPr>
                <w:sz w:val="16"/>
                <w:szCs w:val="16"/>
              </w:rPr>
              <w:t>OMPI sur l</w:t>
            </w:r>
            <w:r w:rsidR="00E2055A" w:rsidRPr="00A32AF4">
              <w:rPr>
                <w:sz w:val="16"/>
                <w:szCs w:val="16"/>
              </w:rPr>
              <w:t>’</w:t>
            </w:r>
            <w:r w:rsidRPr="00A32AF4">
              <w:rPr>
                <w:sz w:val="16"/>
                <w:szCs w:val="16"/>
              </w:rPr>
              <w:t>application des droits (ACE), en prenant en considération les préoccupations relatives au développement</w:t>
            </w:r>
          </w:p>
        </w:tc>
        <w:tc>
          <w:tcPr>
            <w:tcW w:w="2120" w:type="dxa"/>
            <w:shd w:val="clear" w:color="000000" w:fill="FFFFFF"/>
            <w:tcMar>
              <w:top w:w="113" w:type="dxa"/>
              <w:bottom w:w="113" w:type="dxa"/>
            </w:tcMar>
            <w:hideMark/>
          </w:tcPr>
          <w:p w:rsidR="00F735D5" w:rsidRPr="00A32AF4" w:rsidRDefault="00F735D5" w:rsidP="00DC0553">
            <w:pPr>
              <w:rPr>
                <w:sz w:val="16"/>
                <w:szCs w:val="16"/>
              </w:rPr>
            </w:pPr>
            <w:r w:rsidRPr="00A32AF4">
              <w:rPr>
                <w:sz w:val="16"/>
                <w:szCs w:val="16"/>
              </w:rPr>
              <w:t>Accord sur le programme de travail de la dixième session de l</w:t>
            </w:r>
            <w:r w:rsidR="00E2055A" w:rsidRPr="00A32AF4">
              <w:rPr>
                <w:sz w:val="16"/>
                <w:szCs w:val="16"/>
              </w:rPr>
              <w:t>’</w:t>
            </w:r>
            <w:r w:rsidRPr="00A32AF4">
              <w:rPr>
                <w:sz w:val="16"/>
                <w:szCs w:val="16"/>
              </w:rPr>
              <w:t>ACE</w:t>
            </w:r>
          </w:p>
        </w:tc>
        <w:tc>
          <w:tcPr>
            <w:tcW w:w="1969" w:type="dxa"/>
            <w:shd w:val="clear" w:color="000000" w:fill="FFFFFF"/>
            <w:tcMar>
              <w:top w:w="113" w:type="dxa"/>
              <w:bottom w:w="113" w:type="dxa"/>
            </w:tcMar>
            <w:hideMark/>
          </w:tcPr>
          <w:p w:rsidR="00F735D5" w:rsidRPr="00A32AF4" w:rsidRDefault="00F735D5" w:rsidP="00DC0553">
            <w:pPr>
              <w:rPr>
                <w:sz w:val="16"/>
                <w:szCs w:val="16"/>
              </w:rPr>
            </w:pPr>
            <w:r w:rsidRPr="00A32AF4">
              <w:rPr>
                <w:sz w:val="16"/>
                <w:szCs w:val="16"/>
              </w:rPr>
              <w:t>Accord sur le programme de travail de la session suivante de l</w:t>
            </w:r>
            <w:r w:rsidR="00E2055A" w:rsidRPr="00A32AF4">
              <w:rPr>
                <w:sz w:val="16"/>
                <w:szCs w:val="16"/>
              </w:rPr>
              <w:t>’</w:t>
            </w:r>
            <w:r w:rsidRPr="00A32AF4">
              <w:rPr>
                <w:sz w:val="16"/>
                <w:szCs w:val="16"/>
              </w:rPr>
              <w:t>ACE</w:t>
            </w:r>
          </w:p>
        </w:tc>
      </w:tr>
      <w:tr w:rsidR="00F735D5" w:rsidRPr="00A32AF4" w:rsidTr="00F735D5">
        <w:trPr>
          <w:cantSplit/>
        </w:trPr>
        <w:tc>
          <w:tcPr>
            <w:tcW w:w="2480" w:type="dxa"/>
            <w:shd w:val="clear" w:color="000000" w:fill="FFFFFF"/>
            <w:tcMar>
              <w:top w:w="113" w:type="dxa"/>
              <w:bottom w:w="113" w:type="dxa"/>
            </w:tcMar>
            <w:hideMark/>
          </w:tcPr>
          <w:p w:rsidR="00F735D5" w:rsidRPr="00A32AF4" w:rsidRDefault="00F735D5" w:rsidP="00DC0553">
            <w:pPr>
              <w:rPr>
                <w:sz w:val="16"/>
                <w:szCs w:val="16"/>
              </w:rPr>
            </w:pPr>
            <w:r w:rsidRPr="00A32AF4">
              <w:rPr>
                <w:sz w:val="16"/>
                <w:szCs w:val="16"/>
              </w:rPr>
              <w:t>VI.2 Coopération et coordination systématiques, efficaces et transparentes entre les travaux de l</w:t>
            </w:r>
            <w:r w:rsidR="00E2055A" w:rsidRPr="00A32AF4">
              <w:rPr>
                <w:sz w:val="16"/>
                <w:szCs w:val="16"/>
              </w:rPr>
              <w:t>’</w:t>
            </w:r>
            <w:r w:rsidRPr="00A32AF4">
              <w:rPr>
                <w:sz w:val="16"/>
                <w:szCs w:val="16"/>
              </w:rPr>
              <w:t>OMPI et ceux d</w:t>
            </w:r>
            <w:r w:rsidR="00E2055A" w:rsidRPr="00A32AF4">
              <w:rPr>
                <w:sz w:val="16"/>
                <w:szCs w:val="16"/>
              </w:rPr>
              <w:t>’</w:t>
            </w:r>
            <w:r w:rsidRPr="00A32AF4">
              <w:rPr>
                <w:sz w:val="16"/>
                <w:szCs w:val="16"/>
              </w:rPr>
              <w:t>autres organisations internationales dans le domaine de la promotion du respect de la propriété intellectuelle</w:t>
            </w:r>
          </w:p>
        </w:tc>
        <w:tc>
          <w:tcPr>
            <w:tcW w:w="2660" w:type="dxa"/>
            <w:shd w:val="clear" w:color="000000" w:fill="FFFFFF"/>
            <w:tcMar>
              <w:top w:w="113" w:type="dxa"/>
              <w:bottom w:w="113" w:type="dxa"/>
            </w:tcMar>
            <w:hideMark/>
          </w:tcPr>
          <w:p w:rsidR="00F735D5" w:rsidRPr="00A32AF4" w:rsidRDefault="00F735D5" w:rsidP="00DC0553">
            <w:pPr>
              <w:rPr>
                <w:sz w:val="16"/>
                <w:szCs w:val="16"/>
              </w:rPr>
            </w:pPr>
            <w:r w:rsidRPr="00A32AF4">
              <w:rPr>
                <w:sz w:val="16"/>
                <w:szCs w:val="16"/>
              </w:rPr>
              <w:t xml:space="preserve">Nombre de collaborations stratégiques ou autres activités communes menées avec les organisations partenaires dans le domaine de la promotion du respect de la propriété intellectuelle </w:t>
            </w:r>
          </w:p>
        </w:tc>
        <w:tc>
          <w:tcPr>
            <w:tcW w:w="2120" w:type="dxa"/>
            <w:shd w:val="clear" w:color="000000" w:fill="FFFFFF"/>
            <w:tcMar>
              <w:top w:w="113" w:type="dxa"/>
              <w:bottom w:w="113" w:type="dxa"/>
            </w:tcMar>
            <w:hideMark/>
          </w:tcPr>
          <w:p w:rsidR="00F735D5" w:rsidRPr="00A32AF4" w:rsidRDefault="00F735D5" w:rsidP="00DC0553">
            <w:pPr>
              <w:rPr>
                <w:sz w:val="16"/>
                <w:szCs w:val="16"/>
              </w:rPr>
            </w:pPr>
            <w:r w:rsidRPr="00A32AF4">
              <w:rPr>
                <w:sz w:val="16"/>
                <w:szCs w:val="16"/>
              </w:rPr>
              <w:t xml:space="preserve">6 collaborations </w:t>
            </w:r>
            <w:proofErr w:type="gramStart"/>
            <w:r w:rsidRPr="00A32AF4">
              <w:rPr>
                <w:sz w:val="16"/>
                <w:szCs w:val="16"/>
              </w:rPr>
              <w:t>stratégiques;</w:t>
            </w:r>
            <w:proofErr w:type="gramEnd"/>
            <w:r w:rsidRPr="00A32AF4">
              <w:rPr>
                <w:sz w:val="16"/>
                <w:szCs w:val="16"/>
              </w:rPr>
              <w:t xml:space="preserve">  24 autres activités communes (au 15 février 2015)</w:t>
            </w:r>
          </w:p>
        </w:tc>
        <w:tc>
          <w:tcPr>
            <w:tcW w:w="1969" w:type="dxa"/>
            <w:shd w:val="clear" w:color="000000" w:fill="FFFFFF"/>
            <w:tcMar>
              <w:top w:w="113" w:type="dxa"/>
              <w:bottom w:w="113" w:type="dxa"/>
            </w:tcMar>
            <w:hideMark/>
          </w:tcPr>
          <w:p w:rsidR="00F735D5" w:rsidRPr="00A32AF4" w:rsidRDefault="00F735D5" w:rsidP="00DC0553">
            <w:pPr>
              <w:rPr>
                <w:sz w:val="16"/>
                <w:szCs w:val="16"/>
              </w:rPr>
            </w:pPr>
            <w:r w:rsidRPr="00A32AF4">
              <w:rPr>
                <w:sz w:val="16"/>
                <w:szCs w:val="16"/>
              </w:rPr>
              <w:t xml:space="preserve">6 collaborations </w:t>
            </w:r>
            <w:proofErr w:type="gramStart"/>
            <w:r w:rsidRPr="00A32AF4">
              <w:rPr>
                <w:sz w:val="16"/>
                <w:szCs w:val="16"/>
              </w:rPr>
              <w:t>stratégiques;</w:t>
            </w:r>
            <w:proofErr w:type="gramEnd"/>
            <w:r w:rsidRPr="00A32AF4">
              <w:rPr>
                <w:sz w:val="16"/>
                <w:szCs w:val="16"/>
              </w:rPr>
              <w:t xml:space="preserve">  25 autres activités communes</w:t>
            </w:r>
          </w:p>
        </w:tc>
      </w:tr>
      <w:tr w:rsidR="00F735D5" w:rsidRPr="00A32AF4" w:rsidTr="00F735D5">
        <w:trPr>
          <w:cantSplit/>
        </w:trPr>
        <w:tc>
          <w:tcPr>
            <w:tcW w:w="2480" w:type="dxa"/>
            <w:shd w:val="clear" w:color="000000" w:fill="FFFFFF"/>
            <w:tcMar>
              <w:top w:w="113" w:type="dxa"/>
              <w:bottom w:w="113" w:type="dxa"/>
            </w:tcMar>
            <w:hideMark/>
          </w:tcPr>
          <w:p w:rsidR="00F735D5" w:rsidRPr="00A32AF4" w:rsidRDefault="00F735D5" w:rsidP="00DC0553">
            <w:pPr>
              <w:rPr>
                <w:sz w:val="16"/>
                <w:szCs w:val="16"/>
              </w:rPr>
            </w:pPr>
            <w:r w:rsidRPr="00A32AF4">
              <w:rPr>
                <w:sz w:val="16"/>
                <w:szCs w:val="16"/>
              </w:rPr>
              <w:t>VIII.1 Communication plus efficace avec le grand public concernant la propriété intellectuelle et le rôle de l</w:t>
            </w:r>
            <w:r w:rsidR="00E2055A" w:rsidRPr="00A32AF4">
              <w:rPr>
                <w:sz w:val="16"/>
                <w:szCs w:val="16"/>
              </w:rPr>
              <w:t>’</w:t>
            </w:r>
            <w:r w:rsidRPr="00A32AF4">
              <w:rPr>
                <w:sz w:val="16"/>
                <w:szCs w:val="16"/>
              </w:rPr>
              <w:t>OMPI</w:t>
            </w:r>
          </w:p>
        </w:tc>
        <w:tc>
          <w:tcPr>
            <w:tcW w:w="2660" w:type="dxa"/>
            <w:shd w:val="clear" w:color="000000" w:fill="FFFFFF"/>
            <w:tcMar>
              <w:top w:w="113" w:type="dxa"/>
              <w:bottom w:w="113" w:type="dxa"/>
            </w:tcMar>
            <w:hideMark/>
          </w:tcPr>
          <w:p w:rsidR="00F735D5" w:rsidRPr="00A32AF4" w:rsidRDefault="00F735D5" w:rsidP="00DC0553">
            <w:pPr>
              <w:rPr>
                <w:sz w:val="16"/>
                <w:szCs w:val="16"/>
              </w:rPr>
            </w:pPr>
            <w:r w:rsidRPr="00A32AF4">
              <w:rPr>
                <w:sz w:val="16"/>
                <w:szCs w:val="16"/>
              </w:rPr>
              <w:t>Nombre d</w:t>
            </w:r>
            <w:r w:rsidR="00E2055A" w:rsidRPr="00A32AF4">
              <w:rPr>
                <w:sz w:val="16"/>
                <w:szCs w:val="16"/>
              </w:rPr>
              <w:t>’</w:t>
            </w:r>
            <w:r w:rsidRPr="00A32AF4">
              <w:rPr>
                <w:sz w:val="16"/>
                <w:szCs w:val="16"/>
              </w:rPr>
              <w:t>États membres participant au programme d</w:t>
            </w:r>
            <w:r w:rsidR="00E2055A" w:rsidRPr="00A32AF4">
              <w:rPr>
                <w:sz w:val="16"/>
                <w:szCs w:val="16"/>
              </w:rPr>
              <w:t>’</w:t>
            </w:r>
            <w:r w:rsidRPr="00A32AF4">
              <w:rPr>
                <w:sz w:val="16"/>
                <w:szCs w:val="16"/>
              </w:rPr>
              <w:t>attribution de prix de l</w:t>
            </w:r>
            <w:r w:rsidR="00E2055A" w:rsidRPr="00A32AF4">
              <w:rPr>
                <w:sz w:val="16"/>
                <w:szCs w:val="16"/>
              </w:rPr>
              <w:t>’</w:t>
            </w:r>
            <w:r w:rsidRPr="00A32AF4">
              <w:rPr>
                <w:sz w:val="16"/>
                <w:szCs w:val="16"/>
              </w:rPr>
              <w:t>OMPI</w:t>
            </w:r>
          </w:p>
        </w:tc>
        <w:tc>
          <w:tcPr>
            <w:tcW w:w="2120" w:type="dxa"/>
            <w:shd w:val="clear" w:color="000000" w:fill="FFFFFF"/>
            <w:tcMar>
              <w:top w:w="113" w:type="dxa"/>
              <w:bottom w:w="113" w:type="dxa"/>
            </w:tcMar>
            <w:hideMark/>
          </w:tcPr>
          <w:p w:rsidR="00F735D5" w:rsidRPr="00A32AF4" w:rsidRDefault="00F735D5" w:rsidP="00DC0553">
            <w:pPr>
              <w:rPr>
                <w:sz w:val="16"/>
                <w:szCs w:val="16"/>
              </w:rPr>
            </w:pPr>
            <w:r w:rsidRPr="00A32AF4">
              <w:rPr>
                <w:sz w:val="16"/>
                <w:szCs w:val="16"/>
              </w:rPr>
              <w:t>38 (en 2014)</w:t>
            </w:r>
          </w:p>
        </w:tc>
        <w:tc>
          <w:tcPr>
            <w:tcW w:w="1969" w:type="dxa"/>
            <w:shd w:val="clear" w:color="000000" w:fill="FFFFFF"/>
            <w:tcMar>
              <w:top w:w="113" w:type="dxa"/>
              <w:bottom w:w="113" w:type="dxa"/>
            </w:tcMar>
            <w:hideMark/>
          </w:tcPr>
          <w:p w:rsidR="00F735D5" w:rsidRPr="00A32AF4" w:rsidRDefault="00F735D5" w:rsidP="00DC0553">
            <w:pPr>
              <w:ind w:firstLineChars="3" w:firstLine="5"/>
              <w:rPr>
                <w:sz w:val="16"/>
                <w:szCs w:val="16"/>
              </w:rPr>
            </w:pPr>
            <w:r w:rsidRPr="00A32AF4">
              <w:rPr>
                <w:sz w:val="16"/>
                <w:szCs w:val="16"/>
              </w:rPr>
              <w:t>45 en 2016</w:t>
            </w:r>
            <w:r w:rsidR="00EB7F54" w:rsidRPr="00A32AF4">
              <w:rPr>
                <w:sz w:val="16"/>
                <w:szCs w:val="16"/>
              </w:rPr>
              <w:noBreakHyphen/>
            </w:r>
            <w:r w:rsidRPr="00A32AF4">
              <w:rPr>
                <w:sz w:val="16"/>
                <w:szCs w:val="16"/>
              </w:rPr>
              <w:t>2017</w:t>
            </w:r>
          </w:p>
        </w:tc>
      </w:tr>
    </w:tbl>
    <w:p w:rsidR="00F93B76" w:rsidRPr="00A32AF4" w:rsidRDefault="00F93B76" w:rsidP="00DC0553">
      <w:pPr>
        <w:jc w:val="both"/>
      </w:pPr>
    </w:p>
    <w:p w:rsidR="00F93B76" w:rsidRPr="00A32AF4" w:rsidRDefault="00F93B76" w:rsidP="00DC0553">
      <w:pPr>
        <w:jc w:val="both"/>
      </w:pPr>
    </w:p>
    <w:p w:rsidR="00F93B76" w:rsidRPr="00A32AF4" w:rsidRDefault="00DC2AF7" w:rsidP="00DC0553">
      <w:pPr>
        <w:jc w:val="both"/>
      </w:pPr>
      <w:r w:rsidRPr="00A32AF4">
        <w:t>RESSOURCES ALLOUÉES AU PROGRAMME</w:t>
      </w:r>
      <w:r w:rsidR="00F735D5" w:rsidRPr="00A32AF4">
        <w:t xml:space="preserve"> 17</w:t>
      </w:r>
    </w:p>
    <w:p w:rsidR="00F93B76" w:rsidRPr="00A32AF4" w:rsidRDefault="00F93B76" w:rsidP="00DC0553">
      <w:pPr>
        <w:jc w:val="both"/>
      </w:pPr>
    </w:p>
    <w:p w:rsidR="00F93B76" w:rsidRPr="00A32AF4" w:rsidRDefault="009F0B72" w:rsidP="00DC0553">
      <w:pPr>
        <w:numPr>
          <w:ilvl w:val="0"/>
          <w:numId w:val="28"/>
        </w:numPr>
        <w:jc w:val="both"/>
        <w:rPr>
          <w:rFonts w:cs="Arial"/>
        </w:rPr>
      </w:pPr>
      <w:r w:rsidRPr="00A32AF4">
        <w:rPr>
          <w:rFonts w:cs="Arial"/>
        </w:rPr>
        <w:t>Les</w:t>
      </w:r>
      <w:r w:rsidR="00F735D5" w:rsidRPr="00A32AF4">
        <w:rPr>
          <w:rFonts w:cs="Arial"/>
        </w:rPr>
        <w:t xml:space="preserve"> res</w:t>
      </w:r>
      <w:r w:rsidRPr="00A32AF4">
        <w:rPr>
          <w:rFonts w:cs="Arial"/>
        </w:rPr>
        <w:t>s</w:t>
      </w:r>
      <w:r w:rsidR="00F735D5" w:rsidRPr="00A32AF4">
        <w:rPr>
          <w:rFonts w:cs="Arial"/>
        </w:rPr>
        <w:t xml:space="preserve">ources </w:t>
      </w:r>
      <w:r w:rsidRPr="00A32AF4">
        <w:rPr>
          <w:rFonts w:cs="Arial"/>
        </w:rPr>
        <w:t>globales allouées au programme </w:t>
      </w:r>
      <w:r w:rsidR="00F735D5" w:rsidRPr="00A32AF4">
        <w:rPr>
          <w:rFonts w:cs="Arial"/>
        </w:rPr>
        <w:t xml:space="preserve">17 </w:t>
      </w:r>
      <w:r w:rsidRPr="00A32AF4">
        <w:rPr>
          <w:rFonts w:cs="Arial"/>
        </w:rPr>
        <w:t>pour l</w:t>
      </w:r>
      <w:r w:rsidR="00E2055A" w:rsidRPr="00A32AF4">
        <w:rPr>
          <w:rFonts w:cs="Arial"/>
        </w:rPr>
        <w:t>’</w:t>
      </w:r>
      <w:r w:rsidRPr="00A32AF4">
        <w:rPr>
          <w:rFonts w:cs="Arial"/>
        </w:rPr>
        <w:t>exercice biennal</w:t>
      </w:r>
      <w:r w:rsidR="00FD43E3" w:rsidRPr="00A32AF4">
        <w:rPr>
          <w:rFonts w:cs="Arial"/>
        </w:rPr>
        <w:t> </w:t>
      </w:r>
      <w:r w:rsidR="00F735D5" w:rsidRPr="00A32AF4">
        <w:rPr>
          <w:rFonts w:cs="Arial"/>
        </w:rPr>
        <w:t>2016</w:t>
      </w:r>
      <w:r w:rsidR="00EB7F54" w:rsidRPr="00A32AF4">
        <w:rPr>
          <w:rFonts w:cs="Arial"/>
        </w:rPr>
        <w:noBreakHyphen/>
      </w:r>
      <w:r w:rsidRPr="00A32AF4">
        <w:rPr>
          <w:rFonts w:cs="Arial"/>
        </w:rPr>
        <w:t>20</w:t>
      </w:r>
      <w:r w:rsidR="00F735D5" w:rsidRPr="00A32AF4">
        <w:rPr>
          <w:rFonts w:cs="Arial"/>
        </w:rPr>
        <w:t xml:space="preserve">17 </w:t>
      </w:r>
      <w:r w:rsidRPr="00A32AF4">
        <w:rPr>
          <w:rFonts w:cs="Arial"/>
        </w:rPr>
        <w:t>restent au même niveau que dans le budget</w:t>
      </w:r>
      <w:r w:rsidR="00F735D5" w:rsidRPr="00A32AF4">
        <w:rPr>
          <w:rFonts w:cs="Arial"/>
        </w:rPr>
        <w:t xml:space="preserve"> 2014</w:t>
      </w:r>
      <w:r w:rsidR="00EB7F54" w:rsidRPr="00A32AF4">
        <w:rPr>
          <w:rFonts w:cs="Arial"/>
        </w:rPr>
        <w:noBreakHyphen/>
      </w:r>
      <w:r w:rsidRPr="00A32AF4">
        <w:rPr>
          <w:rFonts w:cs="Arial"/>
        </w:rPr>
        <w:t>20</w:t>
      </w:r>
      <w:r w:rsidR="00F735D5" w:rsidRPr="00A32AF4">
        <w:rPr>
          <w:rFonts w:cs="Arial"/>
        </w:rPr>
        <w:t xml:space="preserve">15 </w:t>
      </w:r>
      <w:r w:rsidRPr="00A32AF4">
        <w:rPr>
          <w:rFonts w:cs="Arial"/>
        </w:rPr>
        <w:t xml:space="preserve">approuvé </w:t>
      </w:r>
      <w:r w:rsidR="00F735D5" w:rsidRPr="00A32AF4">
        <w:rPr>
          <w:rFonts w:cs="Arial"/>
        </w:rPr>
        <w:t>(</w:t>
      </w:r>
      <w:r w:rsidRPr="00A32AF4">
        <w:rPr>
          <w:rFonts w:cs="Arial"/>
        </w:rPr>
        <w:t xml:space="preserve">la diminution par rapport au budget </w:t>
      </w:r>
      <w:r w:rsidR="00F735D5" w:rsidRPr="00A32AF4">
        <w:rPr>
          <w:rFonts w:cs="Arial"/>
        </w:rPr>
        <w:t>2014</w:t>
      </w:r>
      <w:r w:rsidR="00EB7F54" w:rsidRPr="00A32AF4">
        <w:rPr>
          <w:rFonts w:cs="Arial"/>
        </w:rPr>
        <w:noBreakHyphen/>
      </w:r>
      <w:r w:rsidRPr="00A32AF4">
        <w:rPr>
          <w:rFonts w:cs="Arial"/>
        </w:rPr>
        <w:t>20</w:t>
      </w:r>
      <w:r w:rsidR="00F735D5" w:rsidRPr="00A32AF4">
        <w:rPr>
          <w:rFonts w:cs="Arial"/>
        </w:rPr>
        <w:t xml:space="preserve">15 </w:t>
      </w:r>
      <w:r w:rsidRPr="00A32AF4">
        <w:rPr>
          <w:rFonts w:cs="Arial"/>
        </w:rPr>
        <w:t>après virements est imputable à la réaffectation temporaire d</w:t>
      </w:r>
      <w:r w:rsidR="00E2055A" w:rsidRPr="00A32AF4">
        <w:rPr>
          <w:rFonts w:cs="Arial"/>
        </w:rPr>
        <w:t>’</w:t>
      </w:r>
      <w:r w:rsidRPr="00A32AF4">
        <w:rPr>
          <w:rFonts w:cs="Arial"/>
        </w:rPr>
        <w:t>un juriste au programme en</w:t>
      </w:r>
      <w:r w:rsidR="00FD43E3" w:rsidRPr="00A32AF4">
        <w:rPr>
          <w:rFonts w:cs="Arial"/>
        </w:rPr>
        <w:t> </w:t>
      </w:r>
      <w:r w:rsidR="00F735D5" w:rsidRPr="00A32AF4">
        <w:rPr>
          <w:rFonts w:cs="Arial"/>
        </w:rPr>
        <w:t>2014</w:t>
      </w:r>
      <w:r w:rsidR="00EB7F54" w:rsidRPr="00A32AF4">
        <w:rPr>
          <w:rFonts w:cs="Arial"/>
        </w:rPr>
        <w:noBreakHyphen/>
      </w:r>
      <w:r w:rsidRPr="00A32AF4">
        <w:rPr>
          <w:rFonts w:cs="Arial"/>
        </w:rPr>
        <w:t>20</w:t>
      </w:r>
      <w:r w:rsidR="00F735D5" w:rsidRPr="00A32AF4">
        <w:rPr>
          <w:rFonts w:cs="Arial"/>
        </w:rPr>
        <w:t>15).</w:t>
      </w:r>
    </w:p>
    <w:p w:rsidR="00F93B76" w:rsidRPr="00A32AF4" w:rsidRDefault="00F93B76" w:rsidP="00DC0553">
      <w:pPr>
        <w:jc w:val="both"/>
        <w:rPr>
          <w:rFonts w:cs="Arial"/>
        </w:rPr>
      </w:pPr>
    </w:p>
    <w:p w:rsidR="00E2055A" w:rsidRPr="00A32AF4" w:rsidRDefault="009F0B72" w:rsidP="00DC0553">
      <w:pPr>
        <w:numPr>
          <w:ilvl w:val="0"/>
          <w:numId w:val="28"/>
        </w:numPr>
        <w:jc w:val="both"/>
        <w:rPr>
          <w:rFonts w:cs="Arial"/>
        </w:rPr>
      </w:pPr>
      <w:r w:rsidRPr="00A32AF4">
        <w:rPr>
          <w:rFonts w:cs="Arial"/>
        </w:rPr>
        <w:t>On peut observer un transfert de ressources du résultat escompté </w:t>
      </w:r>
      <w:r w:rsidR="00F735D5" w:rsidRPr="00A32AF4">
        <w:rPr>
          <w:rFonts w:cs="Arial"/>
        </w:rPr>
        <w:t xml:space="preserve">III.2 </w:t>
      </w:r>
      <w:r w:rsidRPr="00A32AF4">
        <w:rPr>
          <w:rFonts w:cs="Arial"/>
        </w:rPr>
        <w:t xml:space="preserve">aux résultats escomptés </w:t>
      </w:r>
      <w:r w:rsidR="00F735D5" w:rsidRPr="00A32AF4">
        <w:rPr>
          <w:rFonts w:cs="Arial"/>
        </w:rPr>
        <w:t xml:space="preserve">I.2 </w:t>
      </w:r>
      <w:r w:rsidRPr="00A32AF4">
        <w:rPr>
          <w:rFonts w:cs="Arial"/>
        </w:rPr>
        <w:t>et VIII.1</w:t>
      </w:r>
      <w:r w:rsidR="00F735D5" w:rsidRPr="00A32AF4">
        <w:rPr>
          <w:rFonts w:cs="Arial"/>
        </w:rPr>
        <w:t xml:space="preserve">. </w:t>
      </w:r>
      <w:r w:rsidRPr="00A32AF4">
        <w:rPr>
          <w:rFonts w:cs="Arial"/>
        </w:rPr>
        <w:t xml:space="preserve"> </w:t>
      </w:r>
      <w:r w:rsidRPr="00A32AF4">
        <w:rPr>
          <w:rFonts w:cs="Arial"/>
          <w:iCs/>
        </w:rPr>
        <w:t>Cette évolution découle d</w:t>
      </w:r>
      <w:r w:rsidR="00E2055A" w:rsidRPr="00A32AF4">
        <w:rPr>
          <w:rFonts w:cs="Arial"/>
          <w:iCs/>
        </w:rPr>
        <w:t>’</w:t>
      </w:r>
      <w:r w:rsidRPr="00A32AF4">
        <w:rPr>
          <w:rFonts w:cs="Arial"/>
          <w:iCs/>
        </w:rPr>
        <w:t>un meilleur équilibre entre les divers résultats escomptés avec</w:t>
      </w:r>
      <w:r w:rsidR="00F735D5" w:rsidRPr="00A32AF4">
        <w:rPr>
          <w:rFonts w:cs="Arial"/>
          <w:iCs/>
        </w:rPr>
        <w:t xml:space="preserve"> i) </w:t>
      </w:r>
      <w:r w:rsidRPr="00A32AF4">
        <w:rPr>
          <w:rFonts w:cs="Arial"/>
          <w:iCs/>
        </w:rPr>
        <w:t>l</w:t>
      </w:r>
      <w:r w:rsidR="00E2055A" w:rsidRPr="00A32AF4">
        <w:rPr>
          <w:rFonts w:cs="Arial"/>
          <w:iCs/>
        </w:rPr>
        <w:t>’</w:t>
      </w:r>
      <w:r w:rsidRPr="00A32AF4">
        <w:rPr>
          <w:rFonts w:cs="Arial"/>
          <w:iCs/>
        </w:rPr>
        <w:t xml:space="preserve">allocation de ressources pour </w:t>
      </w:r>
      <w:r w:rsidR="00D20772" w:rsidRPr="00A32AF4">
        <w:rPr>
          <w:rFonts w:cs="Arial"/>
          <w:iCs/>
        </w:rPr>
        <w:t>les services</w:t>
      </w:r>
      <w:r w:rsidRPr="00A32AF4">
        <w:rPr>
          <w:rFonts w:cs="Arial"/>
          <w:iCs/>
        </w:rPr>
        <w:t xml:space="preserve"> offert</w:t>
      </w:r>
      <w:r w:rsidR="00D20772" w:rsidRPr="00A32AF4">
        <w:rPr>
          <w:rFonts w:cs="Arial"/>
          <w:iCs/>
        </w:rPr>
        <w:t>s</w:t>
      </w:r>
      <w:r w:rsidR="00F735D5" w:rsidRPr="00A32AF4">
        <w:rPr>
          <w:rFonts w:cs="Arial"/>
          <w:iCs/>
        </w:rPr>
        <w:t xml:space="preserve">, </w:t>
      </w:r>
      <w:r w:rsidRPr="00A32AF4">
        <w:rPr>
          <w:rFonts w:cs="Arial"/>
          <w:iCs/>
        </w:rPr>
        <w:t>compte tenu de la demande croissante des États membres, en matière d</w:t>
      </w:r>
      <w:r w:rsidR="00E2055A" w:rsidRPr="00A32AF4">
        <w:rPr>
          <w:rFonts w:cs="Arial"/>
          <w:iCs/>
        </w:rPr>
        <w:t>’</w:t>
      </w:r>
      <w:r w:rsidRPr="00A32AF4">
        <w:rPr>
          <w:rFonts w:cs="Arial"/>
          <w:iCs/>
        </w:rPr>
        <w:t xml:space="preserve">assistance législative et de stratégies nationales de promotion du respect de la propriété intellectuelle et </w:t>
      </w:r>
      <w:r w:rsidR="00F735D5" w:rsidRPr="00A32AF4">
        <w:rPr>
          <w:rFonts w:cs="Arial"/>
          <w:iCs/>
        </w:rPr>
        <w:t>ii)</w:t>
      </w:r>
      <w:r w:rsidR="00FD43E3" w:rsidRPr="00A32AF4">
        <w:rPr>
          <w:rFonts w:cs="Arial"/>
          <w:iCs/>
        </w:rPr>
        <w:t> </w:t>
      </w:r>
      <w:r w:rsidRPr="00A32AF4">
        <w:rPr>
          <w:rFonts w:cs="Arial"/>
          <w:iCs/>
        </w:rPr>
        <w:t>l</w:t>
      </w:r>
      <w:r w:rsidR="00E2055A" w:rsidRPr="00A32AF4">
        <w:rPr>
          <w:rFonts w:cs="Arial"/>
          <w:iCs/>
        </w:rPr>
        <w:t>’</w:t>
      </w:r>
      <w:r w:rsidRPr="00A32AF4">
        <w:rPr>
          <w:rFonts w:cs="Arial"/>
          <w:iCs/>
        </w:rPr>
        <w:t>inscription des ressources au titre</w:t>
      </w:r>
      <w:r w:rsidR="00F735D5" w:rsidRPr="00A32AF4">
        <w:rPr>
          <w:rFonts w:cs="Arial"/>
          <w:iCs/>
        </w:rPr>
        <w:t xml:space="preserve"> </w:t>
      </w:r>
      <w:r w:rsidRPr="00A32AF4">
        <w:rPr>
          <w:rFonts w:cs="Arial"/>
          <w:iCs/>
        </w:rPr>
        <w:t>du programme de prix de l</w:t>
      </w:r>
      <w:r w:rsidR="00E2055A" w:rsidRPr="00A32AF4">
        <w:rPr>
          <w:rFonts w:cs="Arial"/>
          <w:iCs/>
        </w:rPr>
        <w:t>’</w:t>
      </w:r>
      <w:r w:rsidRPr="00A32AF4">
        <w:rPr>
          <w:rFonts w:cs="Arial"/>
          <w:iCs/>
        </w:rPr>
        <w:t>OMPI sous le résultat escompté </w:t>
      </w:r>
      <w:r w:rsidR="00F735D5" w:rsidRPr="00A32AF4">
        <w:rPr>
          <w:rFonts w:cs="Arial"/>
          <w:iCs/>
        </w:rPr>
        <w:t>VIII.1 (</w:t>
      </w:r>
      <w:r w:rsidRPr="00A32AF4">
        <w:rPr>
          <w:rFonts w:cs="Arial"/>
          <w:iCs/>
        </w:rPr>
        <w:t>au lieu du résultat escompté </w:t>
      </w:r>
      <w:r w:rsidR="00F735D5" w:rsidRPr="00A32AF4">
        <w:rPr>
          <w:rFonts w:cs="Arial"/>
          <w:iCs/>
        </w:rPr>
        <w:t xml:space="preserve">III.2 </w:t>
      </w:r>
      <w:r w:rsidRPr="00A32AF4">
        <w:rPr>
          <w:rFonts w:cs="Arial"/>
          <w:iCs/>
        </w:rPr>
        <w:t>en</w:t>
      </w:r>
      <w:r w:rsidR="00FD43E3" w:rsidRPr="00A32AF4">
        <w:rPr>
          <w:rFonts w:cs="Arial"/>
          <w:iCs/>
        </w:rPr>
        <w:t> </w:t>
      </w:r>
      <w:r w:rsidR="00F735D5" w:rsidRPr="00A32AF4">
        <w:rPr>
          <w:rFonts w:cs="Arial"/>
          <w:iCs/>
        </w:rPr>
        <w:t>2014</w:t>
      </w:r>
      <w:r w:rsidR="00EB7F54" w:rsidRPr="00A32AF4">
        <w:rPr>
          <w:rFonts w:cs="Arial"/>
          <w:iCs/>
        </w:rPr>
        <w:noBreakHyphen/>
      </w:r>
      <w:r w:rsidRPr="00A32AF4">
        <w:rPr>
          <w:rFonts w:cs="Arial"/>
          <w:iCs/>
        </w:rPr>
        <w:t>20</w:t>
      </w:r>
      <w:r w:rsidR="00F735D5" w:rsidRPr="00A32AF4">
        <w:rPr>
          <w:rFonts w:cs="Arial"/>
          <w:iCs/>
        </w:rPr>
        <w:t>15).</w:t>
      </w:r>
    </w:p>
    <w:p w:rsidR="00F93B76" w:rsidRPr="00A32AF4" w:rsidRDefault="00F93B76" w:rsidP="00DC0553">
      <w:pPr>
        <w:jc w:val="both"/>
      </w:pPr>
    </w:p>
    <w:p w:rsidR="00F93B76" w:rsidRPr="00A32AF4" w:rsidRDefault="00F93B76" w:rsidP="00DC0553">
      <w:pPr>
        <w:jc w:val="both"/>
      </w:pPr>
    </w:p>
    <w:p w:rsidR="00F93B76" w:rsidRPr="00A32AF4" w:rsidRDefault="00F735D5" w:rsidP="00DC0553">
      <w:pPr>
        <w:keepNext/>
        <w:keepLines/>
        <w:autoSpaceDE w:val="0"/>
        <w:autoSpaceDN w:val="0"/>
        <w:jc w:val="center"/>
        <w:rPr>
          <w:rFonts w:cs="Arial"/>
          <w:b/>
        </w:rPr>
      </w:pPr>
      <w:r w:rsidRPr="00A32AF4">
        <w:rPr>
          <w:rFonts w:cs="Arial"/>
          <w:b/>
        </w:rPr>
        <w:t>Programme 17 : ressources par résultat</w:t>
      </w:r>
    </w:p>
    <w:p w:rsidR="00F93B76" w:rsidRPr="00A32AF4" w:rsidRDefault="00F735D5" w:rsidP="00DC0553">
      <w:pPr>
        <w:keepNext/>
        <w:keepLines/>
        <w:autoSpaceDE w:val="0"/>
        <w:autoSpaceDN w:val="0"/>
        <w:jc w:val="center"/>
        <w:rPr>
          <w:rFonts w:cs="Arial"/>
          <w:i/>
        </w:rPr>
      </w:pPr>
      <w:r w:rsidRPr="00A32AF4">
        <w:rPr>
          <w:rFonts w:cs="Arial"/>
          <w:i/>
        </w:rPr>
        <w:t>(</w:t>
      </w:r>
      <w:proofErr w:type="gramStart"/>
      <w:r w:rsidRPr="00A32AF4">
        <w:rPr>
          <w:rFonts w:cs="Arial"/>
          <w:i/>
        </w:rPr>
        <w:t>en</w:t>
      </w:r>
      <w:proofErr w:type="gramEnd"/>
      <w:r w:rsidRPr="00A32AF4">
        <w:rPr>
          <w:rFonts w:cs="Arial"/>
          <w:i/>
        </w:rPr>
        <w:t xml:space="preserve"> milliers de francs suisses)</w:t>
      </w:r>
    </w:p>
    <w:p w:rsidR="00F735D5" w:rsidRPr="00A32AF4" w:rsidRDefault="00F735D5" w:rsidP="00DC0553">
      <w:pPr>
        <w:keepNext/>
      </w:pPr>
    </w:p>
    <w:tbl>
      <w:tblPr>
        <w:tblW w:w="8980" w:type="dxa"/>
        <w:tblInd w:w="55" w:type="dxa"/>
        <w:tblCellMar>
          <w:left w:w="70" w:type="dxa"/>
          <w:right w:w="70" w:type="dxa"/>
        </w:tblCellMar>
        <w:tblLook w:val="04A0" w:firstRow="1" w:lastRow="0" w:firstColumn="1" w:lastColumn="0" w:noHBand="0" w:noVBand="1"/>
      </w:tblPr>
      <w:tblGrid>
        <w:gridCol w:w="633"/>
        <w:gridCol w:w="4387"/>
        <w:gridCol w:w="1260"/>
        <w:gridCol w:w="1440"/>
        <w:gridCol w:w="1260"/>
      </w:tblGrid>
      <w:tr w:rsidR="00F735D5" w:rsidRPr="00A32AF4" w:rsidTr="00F735D5">
        <w:tc>
          <w:tcPr>
            <w:tcW w:w="5020" w:type="dxa"/>
            <w:gridSpan w:val="2"/>
            <w:tcBorders>
              <w:top w:val="single" w:sz="4" w:space="0" w:color="auto"/>
              <w:left w:val="single" w:sz="4" w:space="0" w:color="auto"/>
              <w:bottom w:val="single" w:sz="4" w:space="0" w:color="auto"/>
              <w:right w:val="single" w:sz="4" w:space="0" w:color="000000"/>
            </w:tcBorders>
            <w:shd w:val="clear" w:color="000000" w:fill="C5D9F1"/>
            <w:noWrap/>
            <w:tcMar>
              <w:top w:w="113" w:type="dxa"/>
              <w:bottom w:w="113" w:type="dxa"/>
            </w:tcMar>
            <w:vAlign w:val="center"/>
            <w:hideMark/>
          </w:tcPr>
          <w:p w:rsidR="00F735D5" w:rsidRPr="00A32AF4" w:rsidRDefault="00F735D5" w:rsidP="00DC0553">
            <w:pPr>
              <w:jc w:val="center"/>
              <w:rPr>
                <w:rFonts w:cs="Arial"/>
                <w:i/>
                <w:iCs/>
                <w:sz w:val="16"/>
                <w:szCs w:val="16"/>
                <w:lang w:eastAsia="fr-FR"/>
              </w:rPr>
            </w:pPr>
            <w:r w:rsidRPr="00A32AF4">
              <w:rPr>
                <w:rFonts w:cs="Arial"/>
                <w:i/>
                <w:iCs/>
                <w:sz w:val="16"/>
                <w:szCs w:val="16"/>
                <w:lang w:eastAsia="fr-FR"/>
              </w:rPr>
              <w:t xml:space="preserve">Numéro et description du résultat escompté </w:t>
            </w:r>
          </w:p>
        </w:tc>
        <w:tc>
          <w:tcPr>
            <w:tcW w:w="126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F735D5" w:rsidRPr="00A32AF4" w:rsidRDefault="00F735D5" w:rsidP="00DC0553">
            <w:pPr>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2014</w:t>
            </w:r>
            <w:r w:rsidR="00EB7F54" w:rsidRPr="00A32AF4">
              <w:rPr>
                <w:rFonts w:cs="Arial"/>
                <w:i/>
                <w:iCs/>
                <w:sz w:val="16"/>
                <w:szCs w:val="16"/>
                <w:lang w:eastAsia="fr-FR"/>
              </w:rPr>
              <w:noBreakHyphen/>
            </w:r>
            <w:r w:rsidRPr="00A32AF4">
              <w:rPr>
                <w:rFonts w:cs="Arial"/>
                <w:i/>
                <w:iCs/>
                <w:sz w:val="16"/>
                <w:szCs w:val="16"/>
                <w:lang w:eastAsia="fr-FR"/>
              </w:rPr>
              <w:t>2015 approuvé</w:t>
            </w:r>
          </w:p>
        </w:tc>
        <w:tc>
          <w:tcPr>
            <w:tcW w:w="144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F735D5" w:rsidRPr="00A32AF4" w:rsidRDefault="00F735D5" w:rsidP="00DC0553">
            <w:pPr>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2014</w:t>
            </w:r>
            <w:r w:rsidR="00EB7F54" w:rsidRPr="00A32AF4">
              <w:rPr>
                <w:rFonts w:cs="Arial"/>
                <w:i/>
                <w:iCs/>
                <w:sz w:val="16"/>
                <w:szCs w:val="16"/>
                <w:lang w:eastAsia="fr-FR"/>
              </w:rPr>
              <w:noBreakHyphen/>
            </w:r>
            <w:r w:rsidRPr="00A32AF4">
              <w:rPr>
                <w:rFonts w:cs="Arial"/>
                <w:i/>
                <w:iCs/>
                <w:sz w:val="16"/>
                <w:szCs w:val="16"/>
                <w:lang w:eastAsia="fr-FR"/>
              </w:rPr>
              <w:t>2015 après virements</w:t>
            </w:r>
          </w:p>
        </w:tc>
        <w:tc>
          <w:tcPr>
            <w:tcW w:w="126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F735D5" w:rsidRPr="00A32AF4" w:rsidRDefault="00F735D5" w:rsidP="00DC0553">
            <w:pPr>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2016</w:t>
            </w:r>
            <w:r w:rsidR="00EB7F54" w:rsidRPr="00A32AF4">
              <w:rPr>
                <w:rFonts w:cs="Arial"/>
                <w:i/>
                <w:iCs/>
                <w:sz w:val="16"/>
                <w:szCs w:val="16"/>
                <w:lang w:eastAsia="fr-FR"/>
              </w:rPr>
              <w:noBreakHyphen/>
            </w:r>
            <w:r w:rsidRPr="00A32AF4">
              <w:rPr>
                <w:rFonts w:cs="Arial"/>
                <w:i/>
                <w:iCs/>
                <w:sz w:val="16"/>
                <w:szCs w:val="16"/>
                <w:lang w:eastAsia="fr-FR"/>
              </w:rPr>
              <w:t>2017 proposé</w:t>
            </w:r>
          </w:p>
        </w:tc>
      </w:tr>
      <w:tr w:rsidR="00F735D5" w:rsidRPr="00A32AF4" w:rsidTr="00F735D5">
        <w:tc>
          <w:tcPr>
            <w:tcW w:w="633" w:type="dxa"/>
            <w:tcBorders>
              <w:top w:val="nil"/>
              <w:left w:val="single" w:sz="4" w:space="0" w:color="auto"/>
              <w:bottom w:val="nil"/>
              <w:right w:val="nil"/>
            </w:tcBorders>
            <w:shd w:val="clear" w:color="auto" w:fill="auto"/>
            <w:noWrap/>
            <w:tcMar>
              <w:top w:w="113" w:type="dxa"/>
              <w:bottom w:w="113" w:type="dxa"/>
            </w:tcMar>
            <w:vAlign w:val="center"/>
            <w:hideMark/>
          </w:tcPr>
          <w:p w:rsidR="00F735D5" w:rsidRPr="00A32AF4" w:rsidRDefault="00F735D5" w:rsidP="00DC0553">
            <w:pPr>
              <w:rPr>
                <w:rFonts w:cs="Arial"/>
                <w:sz w:val="16"/>
                <w:szCs w:val="16"/>
                <w:lang w:eastAsia="fr-FR"/>
              </w:rPr>
            </w:pPr>
            <w:r w:rsidRPr="00A32AF4">
              <w:rPr>
                <w:rFonts w:cs="Arial"/>
                <w:sz w:val="16"/>
                <w:szCs w:val="16"/>
                <w:lang w:eastAsia="fr-FR"/>
              </w:rPr>
              <w:t>I.2</w:t>
            </w:r>
          </w:p>
        </w:tc>
        <w:tc>
          <w:tcPr>
            <w:tcW w:w="4387" w:type="dxa"/>
            <w:tcBorders>
              <w:top w:val="nil"/>
              <w:left w:val="nil"/>
              <w:bottom w:val="nil"/>
              <w:right w:val="nil"/>
            </w:tcBorders>
            <w:shd w:val="clear" w:color="auto" w:fill="auto"/>
            <w:tcMar>
              <w:top w:w="113" w:type="dxa"/>
              <w:bottom w:w="113" w:type="dxa"/>
            </w:tcMar>
            <w:vAlign w:val="center"/>
            <w:hideMark/>
          </w:tcPr>
          <w:p w:rsidR="00F735D5" w:rsidRPr="00A32AF4" w:rsidRDefault="00F735D5" w:rsidP="00DC0553">
            <w:pPr>
              <w:rPr>
                <w:rFonts w:cs="Arial"/>
                <w:sz w:val="16"/>
                <w:szCs w:val="16"/>
                <w:lang w:eastAsia="fr-FR"/>
              </w:rPr>
            </w:pPr>
            <w:r w:rsidRPr="00A32AF4">
              <w:rPr>
                <w:rFonts w:cs="Arial"/>
                <w:sz w:val="16"/>
                <w:szCs w:val="16"/>
                <w:lang w:eastAsia="fr-FR"/>
              </w:rPr>
              <w:t>Cadres législatifs, réglementaires et politiques de propriété intellectuelle adaptés et équilibrés</w:t>
            </w:r>
          </w:p>
        </w:tc>
        <w:tc>
          <w:tcPr>
            <w:tcW w:w="1260" w:type="dxa"/>
            <w:tcBorders>
              <w:top w:val="nil"/>
              <w:left w:val="nil"/>
              <w:bottom w:val="nil"/>
              <w:right w:val="nil"/>
            </w:tcBorders>
            <w:shd w:val="clear" w:color="auto" w:fill="auto"/>
            <w:tcMar>
              <w:top w:w="113" w:type="dxa"/>
              <w:bottom w:w="113" w:type="dxa"/>
            </w:tcMar>
            <w:vAlign w:val="center"/>
            <w:hideMark/>
          </w:tcPr>
          <w:p w:rsidR="00F735D5" w:rsidRPr="00A32AF4" w:rsidRDefault="00F735D5" w:rsidP="00DC0553">
            <w:pPr>
              <w:jc w:val="right"/>
              <w:rPr>
                <w:rFonts w:cs="Arial"/>
                <w:sz w:val="16"/>
                <w:szCs w:val="16"/>
                <w:lang w:eastAsia="fr-FR"/>
              </w:rPr>
            </w:pPr>
            <w:r w:rsidRPr="00A32AF4">
              <w:rPr>
                <w:rFonts w:cs="Arial"/>
                <w:sz w:val="16"/>
                <w:szCs w:val="16"/>
                <w:lang w:eastAsia="fr-FR"/>
              </w:rPr>
              <w:t xml:space="preserve">130 </w:t>
            </w:r>
          </w:p>
        </w:tc>
        <w:tc>
          <w:tcPr>
            <w:tcW w:w="1440" w:type="dxa"/>
            <w:tcBorders>
              <w:top w:val="nil"/>
              <w:left w:val="nil"/>
              <w:bottom w:val="nil"/>
              <w:right w:val="nil"/>
            </w:tcBorders>
            <w:shd w:val="clear" w:color="auto" w:fill="auto"/>
            <w:tcMar>
              <w:top w:w="113" w:type="dxa"/>
              <w:bottom w:w="113" w:type="dxa"/>
            </w:tcMar>
            <w:vAlign w:val="center"/>
            <w:hideMark/>
          </w:tcPr>
          <w:p w:rsidR="00F735D5" w:rsidRPr="00A32AF4" w:rsidRDefault="00F735D5" w:rsidP="00DC0553">
            <w:pPr>
              <w:jc w:val="right"/>
              <w:rPr>
                <w:rFonts w:cs="Arial"/>
                <w:sz w:val="16"/>
                <w:szCs w:val="16"/>
                <w:lang w:eastAsia="fr-FR"/>
              </w:rPr>
            </w:pPr>
            <w:r w:rsidRPr="00A32AF4">
              <w:rPr>
                <w:rFonts w:cs="Arial"/>
                <w:sz w:val="16"/>
                <w:szCs w:val="16"/>
                <w:lang w:eastAsia="fr-FR"/>
              </w:rPr>
              <w:t>510</w:t>
            </w:r>
          </w:p>
        </w:tc>
        <w:tc>
          <w:tcPr>
            <w:tcW w:w="1260" w:type="dxa"/>
            <w:tcBorders>
              <w:top w:val="nil"/>
              <w:left w:val="nil"/>
              <w:bottom w:val="nil"/>
              <w:right w:val="single" w:sz="4" w:space="0" w:color="auto"/>
            </w:tcBorders>
            <w:shd w:val="clear" w:color="auto" w:fill="auto"/>
            <w:noWrap/>
            <w:tcMar>
              <w:top w:w="113" w:type="dxa"/>
              <w:bottom w:w="113" w:type="dxa"/>
            </w:tcMar>
            <w:vAlign w:val="center"/>
            <w:hideMark/>
          </w:tcPr>
          <w:p w:rsidR="00F735D5" w:rsidRPr="00A32AF4" w:rsidRDefault="00F735D5" w:rsidP="00DC0553">
            <w:pPr>
              <w:jc w:val="right"/>
              <w:rPr>
                <w:rFonts w:cs="Arial"/>
                <w:color w:val="000000"/>
                <w:sz w:val="16"/>
                <w:szCs w:val="16"/>
                <w:lang w:eastAsia="fr-FR"/>
              </w:rPr>
            </w:pPr>
            <w:r w:rsidRPr="00A32AF4">
              <w:rPr>
                <w:rFonts w:cs="Arial"/>
                <w:color w:val="000000"/>
                <w:sz w:val="16"/>
                <w:szCs w:val="16"/>
                <w:lang w:eastAsia="fr-FR"/>
              </w:rPr>
              <w:t xml:space="preserve">639 </w:t>
            </w:r>
          </w:p>
        </w:tc>
      </w:tr>
      <w:tr w:rsidR="00F735D5" w:rsidRPr="00A32AF4" w:rsidTr="00F735D5">
        <w:tc>
          <w:tcPr>
            <w:tcW w:w="633" w:type="dxa"/>
            <w:tcBorders>
              <w:top w:val="nil"/>
              <w:left w:val="single" w:sz="4" w:space="0" w:color="auto"/>
              <w:bottom w:val="nil"/>
              <w:right w:val="nil"/>
            </w:tcBorders>
            <w:shd w:val="clear" w:color="auto" w:fill="auto"/>
            <w:noWrap/>
            <w:tcMar>
              <w:top w:w="113" w:type="dxa"/>
              <w:bottom w:w="113" w:type="dxa"/>
            </w:tcMar>
            <w:vAlign w:val="center"/>
            <w:hideMark/>
          </w:tcPr>
          <w:p w:rsidR="00F735D5" w:rsidRPr="00A32AF4" w:rsidRDefault="00F735D5" w:rsidP="00DC0553">
            <w:pPr>
              <w:rPr>
                <w:rFonts w:cs="Arial"/>
                <w:sz w:val="16"/>
                <w:szCs w:val="16"/>
                <w:lang w:eastAsia="fr-FR"/>
              </w:rPr>
            </w:pPr>
            <w:r w:rsidRPr="00A32AF4">
              <w:rPr>
                <w:rFonts w:cs="Arial"/>
                <w:sz w:val="16"/>
                <w:szCs w:val="16"/>
                <w:lang w:eastAsia="fr-FR"/>
              </w:rPr>
              <w:t>III.2</w:t>
            </w:r>
          </w:p>
        </w:tc>
        <w:tc>
          <w:tcPr>
            <w:tcW w:w="4387" w:type="dxa"/>
            <w:tcBorders>
              <w:top w:val="nil"/>
              <w:left w:val="nil"/>
              <w:bottom w:val="nil"/>
              <w:right w:val="nil"/>
            </w:tcBorders>
            <w:shd w:val="clear" w:color="auto" w:fill="auto"/>
            <w:tcMar>
              <w:top w:w="113" w:type="dxa"/>
              <w:bottom w:w="113" w:type="dxa"/>
            </w:tcMar>
            <w:vAlign w:val="center"/>
            <w:hideMark/>
          </w:tcPr>
          <w:p w:rsidR="00F735D5" w:rsidRPr="00A32AF4" w:rsidRDefault="00F735D5" w:rsidP="00DC0553">
            <w:pPr>
              <w:rPr>
                <w:rFonts w:cs="Arial"/>
                <w:sz w:val="16"/>
                <w:szCs w:val="16"/>
                <w:lang w:eastAsia="fr-FR"/>
              </w:rPr>
            </w:pPr>
            <w:r w:rsidRPr="00A32AF4">
              <w:rPr>
                <w:rFonts w:cs="Arial"/>
                <w:sz w:val="16"/>
                <w:szCs w:val="16"/>
                <w:lang w:eastAsia="fr-FR"/>
              </w:rPr>
              <w:t>Mise en valeur des ressources humaines pour répondre aux diverses exigences en matière d</w:t>
            </w:r>
            <w:r w:rsidR="00E2055A" w:rsidRPr="00A32AF4">
              <w:rPr>
                <w:rFonts w:cs="Arial"/>
                <w:sz w:val="16"/>
                <w:szCs w:val="16"/>
                <w:lang w:eastAsia="fr-FR"/>
              </w:rPr>
              <w:t>’</w:t>
            </w:r>
            <w:r w:rsidRPr="00A32AF4">
              <w:rPr>
                <w:rFonts w:cs="Arial"/>
                <w:sz w:val="16"/>
                <w:szCs w:val="16"/>
                <w:lang w:eastAsia="fr-FR"/>
              </w:rPr>
              <w:t>utilisation efficace de la propriété intellectuelle au service du développement dans les pays en développement,</w:t>
            </w:r>
            <w:r w:rsidR="00E2055A" w:rsidRPr="00A32AF4">
              <w:rPr>
                <w:rFonts w:cs="Arial"/>
                <w:sz w:val="16"/>
                <w:szCs w:val="16"/>
                <w:lang w:eastAsia="fr-FR"/>
              </w:rPr>
              <w:t xml:space="preserve"> les PMA</w:t>
            </w:r>
            <w:r w:rsidRPr="00A32AF4">
              <w:rPr>
                <w:rFonts w:cs="Arial"/>
                <w:sz w:val="16"/>
                <w:szCs w:val="16"/>
                <w:lang w:eastAsia="fr-FR"/>
              </w:rPr>
              <w:t xml:space="preserve"> et les pays en transition</w:t>
            </w:r>
          </w:p>
        </w:tc>
        <w:tc>
          <w:tcPr>
            <w:tcW w:w="1260" w:type="dxa"/>
            <w:tcBorders>
              <w:top w:val="nil"/>
              <w:left w:val="nil"/>
              <w:bottom w:val="nil"/>
              <w:right w:val="nil"/>
            </w:tcBorders>
            <w:shd w:val="clear" w:color="auto" w:fill="auto"/>
            <w:tcMar>
              <w:top w:w="113" w:type="dxa"/>
              <w:bottom w:w="113" w:type="dxa"/>
            </w:tcMar>
            <w:vAlign w:val="center"/>
            <w:hideMark/>
          </w:tcPr>
          <w:p w:rsidR="00F735D5" w:rsidRPr="00A32AF4" w:rsidRDefault="00F735D5" w:rsidP="00DC0553">
            <w:pPr>
              <w:jc w:val="right"/>
              <w:rPr>
                <w:rFonts w:cs="Arial"/>
                <w:sz w:val="16"/>
                <w:szCs w:val="16"/>
                <w:lang w:eastAsia="fr-FR"/>
              </w:rPr>
            </w:pPr>
            <w:r w:rsidRPr="00A32AF4">
              <w:rPr>
                <w:rFonts w:cs="Arial"/>
                <w:sz w:val="16"/>
                <w:szCs w:val="16"/>
                <w:lang w:eastAsia="fr-FR"/>
              </w:rPr>
              <w:t xml:space="preserve">2 307 </w:t>
            </w:r>
          </w:p>
        </w:tc>
        <w:tc>
          <w:tcPr>
            <w:tcW w:w="1440" w:type="dxa"/>
            <w:tcBorders>
              <w:top w:val="nil"/>
              <w:left w:val="nil"/>
              <w:bottom w:val="nil"/>
              <w:right w:val="nil"/>
            </w:tcBorders>
            <w:shd w:val="clear" w:color="auto" w:fill="auto"/>
            <w:tcMar>
              <w:top w:w="113" w:type="dxa"/>
              <w:bottom w:w="113" w:type="dxa"/>
            </w:tcMar>
            <w:vAlign w:val="center"/>
            <w:hideMark/>
          </w:tcPr>
          <w:p w:rsidR="00F735D5" w:rsidRPr="00A32AF4" w:rsidRDefault="00F735D5" w:rsidP="00DC0553">
            <w:pPr>
              <w:jc w:val="right"/>
              <w:rPr>
                <w:rFonts w:cs="Arial"/>
                <w:sz w:val="16"/>
                <w:szCs w:val="16"/>
                <w:lang w:eastAsia="fr-FR"/>
              </w:rPr>
            </w:pPr>
            <w:r w:rsidRPr="00A32AF4">
              <w:rPr>
                <w:rFonts w:cs="Arial"/>
                <w:sz w:val="16"/>
                <w:szCs w:val="16"/>
                <w:lang w:eastAsia="fr-FR"/>
              </w:rPr>
              <w:t xml:space="preserve">2 269 </w:t>
            </w:r>
          </w:p>
        </w:tc>
        <w:tc>
          <w:tcPr>
            <w:tcW w:w="1260" w:type="dxa"/>
            <w:tcBorders>
              <w:top w:val="nil"/>
              <w:left w:val="nil"/>
              <w:bottom w:val="nil"/>
              <w:right w:val="single" w:sz="4" w:space="0" w:color="auto"/>
            </w:tcBorders>
            <w:shd w:val="clear" w:color="auto" w:fill="auto"/>
            <w:noWrap/>
            <w:tcMar>
              <w:top w:w="113" w:type="dxa"/>
              <w:bottom w:w="113" w:type="dxa"/>
            </w:tcMar>
            <w:vAlign w:val="center"/>
            <w:hideMark/>
          </w:tcPr>
          <w:p w:rsidR="00F735D5" w:rsidRPr="00A32AF4" w:rsidRDefault="00F735D5" w:rsidP="00DC0553">
            <w:pPr>
              <w:jc w:val="right"/>
              <w:rPr>
                <w:rFonts w:cs="Arial"/>
                <w:color w:val="000000"/>
                <w:sz w:val="16"/>
                <w:szCs w:val="16"/>
                <w:lang w:eastAsia="fr-FR"/>
              </w:rPr>
            </w:pPr>
            <w:r w:rsidRPr="00A32AF4">
              <w:rPr>
                <w:rFonts w:cs="Arial"/>
                <w:color w:val="000000"/>
                <w:sz w:val="16"/>
                <w:szCs w:val="16"/>
                <w:lang w:eastAsia="fr-FR"/>
              </w:rPr>
              <w:t xml:space="preserve">1 105 </w:t>
            </w:r>
          </w:p>
        </w:tc>
      </w:tr>
      <w:tr w:rsidR="00F735D5" w:rsidRPr="00A32AF4" w:rsidTr="00F735D5">
        <w:tc>
          <w:tcPr>
            <w:tcW w:w="633" w:type="dxa"/>
            <w:tcBorders>
              <w:top w:val="nil"/>
              <w:left w:val="single" w:sz="4" w:space="0" w:color="auto"/>
              <w:bottom w:val="nil"/>
              <w:right w:val="nil"/>
            </w:tcBorders>
            <w:shd w:val="clear" w:color="auto" w:fill="auto"/>
            <w:noWrap/>
            <w:tcMar>
              <w:top w:w="113" w:type="dxa"/>
              <w:bottom w:w="113" w:type="dxa"/>
            </w:tcMar>
            <w:vAlign w:val="center"/>
            <w:hideMark/>
          </w:tcPr>
          <w:p w:rsidR="00F735D5" w:rsidRPr="00A32AF4" w:rsidRDefault="00F735D5" w:rsidP="00DC0553">
            <w:pPr>
              <w:rPr>
                <w:rFonts w:cs="Arial"/>
                <w:sz w:val="16"/>
                <w:szCs w:val="16"/>
                <w:lang w:eastAsia="fr-FR"/>
              </w:rPr>
            </w:pPr>
            <w:r w:rsidRPr="00A32AF4">
              <w:rPr>
                <w:rFonts w:cs="Arial"/>
                <w:sz w:val="16"/>
                <w:szCs w:val="16"/>
                <w:lang w:eastAsia="fr-FR"/>
              </w:rPr>
              <w:t>VI.1</w:t>
            </w:r>
          </w:p>
        </w:tc>
        <w:tc>
          <w:tcPr>
            <w:tcW w:w="4387" w:type="dxa"/>
            <w:tcBorders>
              <w:top w:val="nil"/>
              <w:left w:val="nil"/>
              <w:bottom w:val="nil"/>
              <w:right w:val="nil"/>
            </w:tcBorders>
            <w:shd w:val="clear" w:color="auto" w:fill="auto"/>
            <w:tcMar>
              <w:top w:w="113" w:type="dxa"/>
              <w:bottom w:w="113" w:type="dxa"/>
            </w:tcMar>
            <w:vAlign w:val="center"/>
            <w:hideMark/>
          </w:tcPr>
          <w:p w:rsidR="00F735D5" w:rsidRPr="00A32AF4" w:rsidRDefault="00F735D5" w:rsidP="00DC0553">
            <w:pPr>
              <w:rPr>
                <w:rFonts w:cs="Arial"/>
                <w:sz w:val="16"/>
                <w:szCs w:val="16"/>
                <w:lang w:eastAsia="fr-FR"/>
              </w:rPr>
            </w:pPr>
            <w:r w:rsidRPr="00A32AF4">
              <w:rPr>
                <w:rFonts w:cs="Arial"/>
                <w:sz w:val="16"/>
                <w:szCs w:val="16"/>
                <w:lang w:eastAsia="fr-FR"/>
              </w:rPr>
              <w:t>Progrès du dialogue international de politique générale entre les États membres de l</w:t>
            </w:r>
            <w:r w:rsidR="00E2055A" w:rsidRPr="00A32AF4">
              <w:rPr>
                <w:rFonts w:cs="Arial"/>
                <w:sz w:val="16"/>
                <w:szCs w:val="16"/>
                <w:lang w:eastAsia="fr-FR"/>
              </w:rPr>
              <w:t>’</w:t>
            </w:r>
            <w:r w:rsidRPr="00A32AF4">
              <w:rPr>
                <w:rFonts w:cs="Arial"/>
                <w:sz w:val="16"/>
                <w:szCs w:val="16"/>
                <w:lang w:eastAsia="fr-FR"/>
              </w:rPr>
              <w:t>OMPI en ce qui concerne la promotion du respect de la propriété intellectuelle, compte tenu de la recommandation n°</w:t>
            </w:r>
            <w:r w:rsidR="00FD43E3" w:rsidRPr="00A32AF4">
              <w:rPr>
                <w:rFonts w:cs="Arial"/>
                <w:sz w:val="16"/>
                <w:szCs w:val="16"/>
                <w:lang w:eastAsia="fr-FR"/>
              </w:rPr>
              <w:t> </w:t>
            </w:r>
            <w:r w:rsidRPr="00A32AF4">
              <w:rPr>
                <w:rFonts w:cs="Arial"/>
                <w:sz w:val="16"/>
                <w:szCs w:val="16"/>
                <w:lang w:eastAsia="fr-FR"/>
              </w:rPr>
              <w:t>45 du Plan d</w:t>
            </w:r>
            <w:r w:rsidR="00E2055A" w:rsidRPr="00A32AF4">
              <w:rPr>
                <w:rFonts w:cs="Arial"/>
                <w:sz w:val="16"/>
                <w:szCs w:val="16"/>
                <w:lang w:eastAsia="fr-FR"/>
              </w:rPr>
              <w:t>’</w:t>
            </w:r>
            <w:r w:rsidRPr="00A32AF4">
              <w:rPr>
                <w:rFonts w:cs="Arial"/>
                <w:sz w:val="16"/>
                <w:szCs w:val="16"/>
                <w:lang w:eastAsia="fr-FR"/>
              </w:rPr>
              <w:t>action pour le développement</w:t>
            </w:r>
          </w:p>
        </w:tc>
        <w:tc>
          <w:tcPr>
            <w:tcW w:w="1260" w:type="dxa"/>
            <w:tcBorders>
              <w:top w:val="nil"/>
              <w:left w:val="nil"/>
              <w:bottom w:val="nil"/>
              <w:right w:val="nil"/>
            </w:tcBorders>
            <w:shd w:val="clear" w:color="auto" w:fill="auto"/>
            <w:tcMar>
              <w:top w:w="113" w:type="dxa"/>
              <w:bottom w:w="113" w:type="dxa"/>
            </w:tcMar>
            <w:vAlign w:val="center"/>
            <w:hideMark/>
          </w:tcPr>
          <w:p w:rsidR="00F735D5" w:rsidRPr="00A32AF4" w:rsidRDefault="00F735D5" w:rsidP="00DC0553">
            <w:pPr>
              <w:jc w:val="right"/>
              <w:rPr>
                <w:rFonts w:cs="Arial"/>
                <w:sz w:val="16"/>
                <w:szCs w:val="16"/>
                <w:lang w:eastAsia="fr-FR"/>
              </w:rPr>
            </w:pPr>
            <w:r w:rsidRPr="00A32AF4">
              <w:rPr>
                <w:rFonts w:cs="Arial"/>
                <w:sz w:val="16"/>
                <w:szCs w:val="16"/>
                <w:lang w:eastAsia="fr-FR"/>
              </w:rPr>
              <w:t xml:space="preserve">429 </w:t>
            </w:r>
          </w:p>
        </w:tc>
        <w:tc>
          <w:tcPr>
            <w:tcW w:w="1440" w:type="dxa"/>
            <w:tcBorders>
              <w:top w:val="nil"/>
              <w:left w:val="nil"/>
              <w:bottom w:val="nil"/>
              <w:right w:val="nil"/>
            </w:tcBorders>
            <w:shd w:val="clear" w:color="auto" w:fill="auto"/>
            <w:tcMar>
              <w:top w:w="113" w:type="dxa"/>
              <w:bottom w:w="113" w:type="dxa"/>
            </w:tcMar>
            <w:vAlign w:val="center"/>
            <w:hideMark/>
          </w:tcPr>
          <w:p w:rsidR="00F735D5" w:rsidRPr="00A32AF4" w:rsidRDefault="00F735D5" w:rsidP="00DC0553">
            <w:pPr>
              <w:jc w:val="right"/>
              <w:rPr>
                <w:rFonts w:cs="Arial"/>
                <w:sz w:val="16"/>
                <w:szCs w:val="16"/>
                <w:lang w:eastAsia="fr-FR"/>
              </w:rPr>
            </w:pPr>
            <w:r w:rsidRPr="00A32AF4">
              <w:rPr>
                <w:rFonts w:cs="Arial"/>
                <w:sz w:val="16"/>
                <w:szCs w:val="16"/>
                <w:lang w:eastAsia="fr-FR"/>
              </w:rPr>
              <w:t xml:space="preserve">911 </w:t>
            </w:r>
          </w:p>
        </w:tc>
        <w:tc>
          <w:tcPr>
            <w:tcW w:w="1260" w:type="dxa"/>
            <w:tcBorders>
              <w:top w:val="nil"/>
              <w:left w:val="nil"/>
              <w:bottom w:val="nil"/>
              <w:right w:val="single" w:sz="4" w:space="0" w:color="auto"/>
            </w:tcBorders>
            <w:shd w:val="clear" w:color="auto" w:fill="auto"/>
            <w:noWrap/>
            <w:tcMar>
              <w:top w:w="113" w:type="dxa"/>
              <w:bottom w:w="113" w:type="dxa"/>
            </w:tcMar>
            <w:vAlign w:val="center"/>
            <w:hideMark/>
          </w:tcPr>
          <w:p w:rsidR="00F735D5" w:rsidRPr="00A32AF4" w:rsidRDefault="00F735D5" w:rsidP="00DC0553">
            <w:pPr>
              <w:jc w:val="right"/>
              <w:rPr>
                <w:rFonts w:cs="Arial"/>
                <w:color w:val="000000"/>
                <w:sz w:val="16"/>
                <w:szCs w:val="16"/>
                <w:lang w:eastAsia="fr-FR"/>
              </w:rPr>
            </w:pPr>
            <w:r w:rsidRPr="00A32AF4">
              <w:rPr>
                <w:rFonts w:cs="Arial"/>
                <w:color w:val="000000"/>
                <w:sz w:val="16"/>
                <w:szCs w:val="16"/>
                <w:lang w:eastAsia="fr-FR"/>
              </w:rPr>
              <w:t xml:space="preserve">569 </w:t>
            </w:r>
          </w:p>
        </w:tc>
      </w:tr>
      <w:tr w:rsidR="00F735D5" w:rsidRPr="00A32AF4" w:rsidTr="00F735D5">
        <w:tc>
          <w:tcPr>
            <w:tcW w:w="633" w:type="dxa"/>
            <w:tcBorders>
              <w:top w:val="nil"/>
              <w:left w:val="single" w:sz="4" w:space="0" w:color="auto"/>
              <w:bottom w:val="nil"/>
              <w:right w:val="nil"/>
            </w:tcBorders>
            <w:shd w:val="clear" w:color="auto" w:fill="auto"/>
            <w:noWrap/>
            <w:tcMar>
              <w:top w:w="113" w:type="dxa"/>
              <w:bottom w:w="113" w:type="dxa"/>
            </w:tcMar>
            <w:vAlign w:val="center"/>
            <w:hideMark/>
          </w:tcPr>
          <w:p w:rsidR="00F735D5" w:rsidRPr="00A32AF4" w:rsidRDefault="00F735D5" w:rsidP="00DC0553">
            <w:pPr>
              <w:rPr>
                <w:rFonts w:cs="Arial"/>
                <w:sz w:val="16"/>
                <w:szCs w:val="16"/>
                <w:lang w:eastAsia="fr-FR"/>
              </w:rPr>
            </w:pPr>
            <w:r w:rsidRPr="00A32AF4">
              <w:rPr>
                <w:rFonts w:cs="Arial"/>
                <w:sz w:val="16"/>
                <w:szCs w:val="16"/>
                <w:lang w:eastAsia="fr-FR"/>
              </w:rPr>
              <w:t>VI.2</w:t>
            </w:r>
          </w:p>
        </w:tc>
        <w:tc>
          <w:tcPr>
            <w:tcW w:w="4387" w:type="dxa"/>
            <w:tcBorders>
              <w:top w:val="nil"/>
              <w:left w:val="nil"/>
              <w:bottom w:val="nil"/>
              <w:right w:val="nil"/>
            </w:tcBorders>
            <w:shd w:val="clear" w:color="auto" w:fill="auto"/>
            <w:tcMar>
              <w:top w:w="113" w:type="dxa"/>
              <w:bottom w:w="113" w:type="dxa"/>
            </w:tcMar>
            <w:vAlign w:val="center"/>
            <w:hideMark/>
          </w:tcPr>
          <w:p w:rsidR="00F735D5" w:rsidRPr="00A32AF4" w:rsidRDefault="00F735D5" w:rsidP="00DC0553">
            <w:pPr>
              <w:rPr>
                <w:rFonts w:cs="Arial"/>
                <w:sz w:val="16"/>
                <w:szCs w:val="16"/>
                <w:lang w:eastAsia="fr-FR"/>
              </w:rPr>
            </w:pPr>
            <w:r w:rsidRPr="00A32AF4">
              <w:rPr>
                <w:rFonts w:cs="Arial"/>
                <w:sz w:val="16"/>
                <w:szCs w:val="16"/>
                <w:lang w:eastAsia="fr-FR"/>
              </w:rPr>
              <w:t>Coopération et coordination systématiques, efficaces et transparentes entre les travaux de l</w:t>
            </w:r>
            <w:r w:rsidR="00E2055A" w:rsidRPr="00A32AF4">
              <w:rPr>
                <w:rFonts w:cs="Arial"/>
                <w:sz w:val="16"/>
                <w:szCs w:val="16"/>
                <w:lang w:eastAsia="fr-FR"/>
              </w:rPr>
              <w:t>’</w:t>
            </w:r>
            <w:r w:rsidRPr="00A32AF4">
              <w:rPr>
                <w:rFonts w:cs="Arial"/>
                <w:sz w:val="16"/>
                <w:szCs w:val="16"/>
                <w:lang w:eastAsia="fr-FR"/>
              </w:rPr>
              <w:t>OMPI et ceux d</w:t>
            </w:r>
            <w:r w:rsidR="00E2055A" w:rsidRPr="00A32AF4">
              <w:rPr>
                <w:rFonts w:cs="Arial"/>
                <w:sz w:val="16"/>
                <w:szCs w:val="16"/>
                <w:lang w:eastAsia="fr-FR"/>
              </w:rPr>
              <w:t>’</w:t>
            </w:r>
            <w:r w:rsidRPr="00A32AF4">
              <w:rPr>
                <w:rFonts w:cs="Arial"/>
                <w:sz w:val="16"/>
                <w:szCs w:val="16"/>
                <w:lang w:eastAsia="fr-FR"/>
              </w:rPr>
              <w:t>autres organisations internationales dans le domaine de la promotion du respect de la propriété intellectuelle</w:t>
            </w:r>
          </w:p>
        </w:tc>
        <w:tc>
          <w:tcPr>
            <w:tcW w:w="1260" w:type="dxa"/>
            <w:tcBorders>
              <w:top w:val="nil"/>
              <w:left w:val="nil"/>
              <w:bottom w:val="nil"/>
              <w:right w:val="nil"/>
            </w:tcBorders>
            <w:shd w:val="clear" w:color="auto" w:fill="auto"/>
            <w:tcMar>
              <w:top w:w="113" w:type="dxa"/>
              <w:bottom w:w="113" w:type="dxa"/>
            </w:tcMar>
            <w:vAlign w:val="center"/>
            <w:hideMark/>
          </w:tcPr>
          <w:p w:rsidR="00F735D5" w:rsidRPr="00A32AF4" w:rsidRDefault="00F735D5" w:rsidP="00DC0553">
            <w:pPr>
              <w:jc w:val="right"/>
              <w:rPr>
                <w:rFonts w:cs="Arial"/>
                <w:sz w:val="16"/>
                <w:szCs w:val="16"/>
                <w:lang w:eastAsia="fr-FR"/>
              </w:rPr>
            </w:pPr>
            <w:r w:rsidRPr="00A32AF4">
              <w:rPr>
                <w:rFonts w:cs="Arial"/>
                <w:sz w:val="16"/>
                <w:szCs w:val="16"/>
                <w:lang w:eastAsia="fr-FR"/>
              </w:rPr>
              <w:t xml:space="preserve">1 124 </w:t>
            </w:r>
          </w:p>
        </w:tc>
        <w:tc>
          <w:tcPr>
            <w:tcW w:w="1440" w:type="dxa"/>
            <w:tcBorders>
              <w:top w:val="nil"/>
              <w:left w:val="nil"/>
              <w:bottom w:val="nil"/>
              <w:right w:val="nil"/>
            </w:tcBorders>
            <w:shd w:val="clear" w:color="auto" w:fill="auto"/>
            <w:tcMar>
              <w:top w:w="113" w:type="dxa"/>
              <w:bottom w:w="113" w:type="dxa"/>
            </w:tcMar>
            <w:vAlign w:val="center"/>
            <w:hideMark/>
          </w:tcPr>
          <w:p w:rsidR="00F735D5" w:rsidRPr="00A32AF4" w:rsidRDefault="00F735D5" w:rsidP="00DC0553">
            <w:pPr>
              <w:jc w:val="right"/>
              <w:rPr>
                <w:rFonts w:cs="Arial"/>
                <w:sz w:val="16"/>
                <w:szCs w:val="16"/>
                <w:lang w:eastAsia="fr-FR"/>
              </w:rPr>
            </w:pPr>
            <w:r w:rsidRPr="00A32AF4">
              <w:rPr>
                <w:rFonts w:cs="Arial"/>
                <w:sz w:val="16"/>
                <w:szCs w:val="16"/>
                <w:lang w:eastAsia="fr-FR"/>
              </w:rPr>
              <w:t xml:space="preserve">517 </w:t>
            </w:r>
          </w:p>
        </w:tc>
        <w:tc>
          <w:tcPr>
            <w:tcW w:w="1260" w:type="dxa"/>
            <w:tcBorders>
              <w:top w:val="nil"/>
              <w:left w:val="nil"/>
              <w:bottom w:val="nil"/>
              <w:right w:val="single" w:sz="4" w:space="0" w:color="auto"/>
            </w:tcBorders>
            <w:shd w:val="clear" w:color="auto" w:fill="auto"/>
            <w:noWrap/>
            <w:tcMar>
              <w:top w:w="113" w:type="dxa"/>
              <w:bottom w:w="113" w:type="dxa"/>
            </w:tcMar>
            <w:vAlign w:val="center"/>
            <w:hideMark/>
          </w:tcPr>
          <w:p w:rsidR="00F735D5" w:rsidRPr="00A32AF4" w:rsidRDefault="00F735D5" w:rsidP="00DC0553">
            <w:pPr>
              <w:jc w:val="right"/>
              <w:rPr>
                <w:rFonts w:cs="Arial"/>
                <w:color w:val="000000"/>
                <w:sz w:val="16"/>
                <w:szCs w:val="16"/>
                <w:lang w:eastAsia="fr-FR"/>
              </w:rPr>
            </w:pPr>
            <w:r w:rsidRPr="00A32AF4">
              <w:rPr>
                <w:rFonts w:cs="Arial"/>
                <w:color w:val="000000"/>
                <w:sz w:val="16"/>
                <w:szCs w:val="16"/>
                <w:lang w:eastAsia="fr-FR"/>
              </w:rPr>
              <w:t xml:space="preserve">1 111 </w:t>
            </w:r>
          </w:p>
        </w:tc>
      </w:tr>
      <w:tr w:rsidR="00F735D5" w:rsidRPr="00A32AF4" w:rsidTr="00F735D5">
        <w:tc>
          <w:tcPr>
            <w:tcW w:w="633" w:type="dxa"/>
            <w:tcBorders>
              <w:top w:val="nil"/>
              <w:left w:val="single" w:sz="4" w:space="0" w:color="auto"/>
              <w:bottom w:val="nil"/>
              <w:right w:val="nil"/>
            </w:tcBorders>
            <w:shd w:val="clear" w:color="auto" w:fill="auto"/>
            <w:noWrap/>
            <w:tcMar>
              <w:top w:w="113" w:type="dxa"/>
              <w:bottom w:w="113" w:type="dxa"/>
            </w:tcMar>
            <w:vAlign w:val="center"/>
            <w:hideMark/>
          </w:tcPr>
          <w:p w:rsidR="00F735D5" w:rsidRPr="00A32AF4" w:rsidRDefault="00F735D5" w:rsidP="00DC0553">
            <w:pPr>
              <w:rPr>
                <w:rFonts w:cs="Arial"/>
                <w:sz w:val="16"/>
                <w:szCs w:val="16"/>
                <w:lang w:eastAsia="fr-FR"/>
              </w:rPr>
            </w:pPr>
            <w:r w:rsidRPr="00A32AF4">
              <w:rPr>
                <w:rFonts w:cs="Arial"/>
                <w:sz w:val="16"/>
                <w:szCs w:val="16"/>
                <w:lang w:eastAsia="fr-FR"/>
              </w:rPr>
              <w:t>VIII.1</w:t>
            </w:r>
          </w:p>
        </w:tc>
        <w:tc>
          <w:tcPr>
            <w:tcW w:w="4387" w:type="dxa"/>
            <w:tcBorders>
              <w:top w:val="nil"/>
              <w:left w:val="nil"/>
              <w:bottom w:val="nil"/>
              <w:right w:val="nil"/>
            </w:tcBorders>
            <w:shd w:val="clear" w:color="auto" w:fill="auto"/>
            <w:tcMar>
              <w:top w:w="113" w:type="dxa"/>
              <w:bottom w:w="113" w:type="dxa"/>
            </w:tcMar>
            <w:vAlign w:val="center"/>
            <w:hideMark/>
          </w:tcPr>
          <w:p w:rsidR="00F735D5" w:rsidRPr="00A32AF4" w:rsidRDefault="00F735D5" w:rsidP="00DC0553">
            <w:pPr>
              <w:rPr>
                <w:rFonts w:cs="Arial"/>
                <w:sz w:val="16"/>
                <w:szCs w:val="16"/>
                <w:lang w:eastAsia="fr-FR"/>
              </w:rPr>
            </w:pPr>
            <w:r w:rsidRPr="00A32AF4">
              <w:rPr>
                <w:rFonts w:cs="Arial"/>
                <w:sz w:val="16"/>
                <w:szCs w:val="16"/>
                <w:lang w:eastAsia="fr-FR"/>
              </w:rPr>
              <w:t>Communication plus efficace avec le grand public concernant la propriété intellectuelle et le rôle de l</w:t>
            </w:r>
            <w:r w:rsidR="00E2055A" w:rsidRPr="00A32AF4">
              <w:rPr>
                <w:rFonts w:cs="Arial"/>
                <w:sz w:val="16"/>
                <w:szCs w:val="16"/>
                <w:lang w:eastAsia="fr-FR"/>
              </w:rPr>
              <w:t>’</w:t>
            </w:r>
            <w:r w:rsidRPr="00A32AF4">
              <w:rPr>
                <w:rFonts w:cs="Arial"/>
                <w:sz w:val="16"/>
                <w:szCs w:val="16"/>
                <w:lang w:eastAsia="fr-FR"/>
              </w:rPr>
              <w:t>OMPI</w:t>
            </w:r>
          </w:p>
        </w:tc>
        <w:tc>
          <w:tcPr>
            <w:tcW w:w="1260" w:type="dxa"/>
            <w:tcBorders>
              <w:top w:val="nil"/>
              <w:left w:val="nil"/>
              <w:bottom w:val="nil"/>
              <w:right w:val="nil"/>
            </w:tcBorders>
            <w:shd w:val="clear" w:color="auto" w:fill="auto"/>
            <w:tcMar>
              <w:top w:w="113" w:type="dxa"/>
              <w:bottom w:w="113" w:type="dxa"/>
            </w:tcMar>
            <w:vAlign w:val="center"/>
            <w:hideMark/>
          </w:tcPr>
          <w:p w:rsidR="00F735D5" w:rsidRPr="00A32AF4" w:rsidRDefault="00F735D5" w:rsidP="00DC0553">
            <w:pPr>
              <w:jc w:val="right"/>
              <w:rPr>
                <w:rFonts w:cs="Arial"/>
                <w:sz w:val="16"/>
                <w:szCs w:val="16"/>
                <w:lang w:eastAsia="fr-FR"/>
              </w:rPr>
            </w:pPr>
            <w:r w:rsidRPr="00A32AF4">
              <w:rPr>
                <w:rFonts w:cs="Arial"/>
                <w:sz w:val="16"/>
                <w:szCs w:val="16"/>
                <w:lang w:eastAsia="fr-FR"/>
              </w:rPr>
              <w:t>–</w:t>
            </w:r>
          </w:p>
        </w:tc>
        <w:tc>
          <w:tcPr>
            <w:tcW w:w="1440" w:type="dxa"/>
            <w:tcBorders>
              <w:top w:val="nil"/>
              <w:left w:val="nil"/>
              <w:bottom w:val="nil"/>
              <w:right w:val="nil"/>
            </w:tcBorders>
            <w:shd w:val="clear" w:color="auto" w:fill="auto"/>
            <w:tcMar>
              <w:top w:w="113" w:type="dxa"/>
              <w:bottom w:w="113" w:type="dxa"/>
            </w:tcMar>
            <w:vAlign w:val="center"/>
            <w:hideMark/>
          </w:tcPr>
          <w:p w:rsidR="00F735D5" w:rsidRPr="00A32AF4" w:rsidRDefault="00F735D5" w:rsidP="00DC0553">
            <w:pPr>
              <w:jc w:val="right"/>
              <w:rPr>
                <w:rFonts w:cs="Arial"/>
                <w:sz w:val="16"/>
                <w:szCs w:val="16"/>
                <w:lang w:eastAsia="fr-FR"/>
              </w:rPr>
            </w:pPr>
            <w:r w:rsidRPr="00A32AF4">
              <w:rPr>
                <w:rFonts w:cs="Arial"/>
                <w:sz w:val="16"/>
                <w:szCs w:val="16"/>
                <w:lang w:eastAsia="fr-FR"/>
              </w:rPr>
              <w:t>–</w:t>
            </w:r>
          </w:p>
        </w:tc>
        <w:tc>
          <w:tcPr>
            <w:tcW w:w="1260" w:type="dxa"/>
            <w:tcBorders>
              <w:top w:val="nil"/>
              <w:left w:val="nil"/>
              <w:bottom w:val="single" w:sz="4" w:space="0" w:color="auto"/>
              <w:right w:val="single" w:sz="4" w:space="0" w:color="auto"/>
            </w:tcBorders>
            <w:shd w:val="clear" w:color="auto" w:fill="auto"/>
            <w:noWrap/>
            <w:tcMar>
              <w:top w:w="113" w:type="dxa"/>
              <w:bottom w:w="113" w:type="dxa"/>
            </w:tcMar>
            <w:vAlign w:val="center"/>
            <w:hideMark/>
          </w:tcPr>
          <w:p w:rsidR="00F735D5" w:rsidRPr="00A32AF4" w:rsidRDefault="00F735D5" w:rsidP="00DC0553">
            <w:pPr>
              <w:jc w:val="right"/>
              <w:rPr>
                <w:rFonts w:cs="Arial"/>
                <w:color w:val="000000"/>
                <w:sz w:val="16"/>
                <w:szCs w:val="16"/>
                <w:lang w:eastAsia="fr-FR"/>
              </w:rPr>
            </w:pPr>
            <w:r w:rsidRPr="00A32AF4">
              <w:rPr>
                <w:rFonts w:cs="Arial"/>
                <w:color w:val="000000"/>
                <w:sz w:val="16"/>
                <w:szCs w:val="16"/>
                <w:lang w:eastAsia="fr-FR"/>
              </w:rPr>
              <w:t xml:space="preserve">327 </w:t>
            </w:r>
          </w:p>
        </w:tc>
      </w:tr>
      <w:tr w:rsidR="00F735D5" w:rsidRPr="00A32AF4" w:rsidTr="00F735D5">
        <w:tc>
          <w:tcPr>
            <w:tcW w:w="633" w:type="dxa"/>
            <w:tcBorders>
              <w:top w:val="single" w:sz="4" w:space="0" w:color="auto"/>
              <w:left w:val="single" w:sz="4" w:space="0" w:color="auto"/>
              <w:bottom w:val="single" w:sz="4" w:space="0" w:color="auto"/>
              <w:right w:val="nil"/>
            </w:tcBorders>
            <w:shd w:val="clear" w:color="000000" w:fill="C5D9F1"/>
            <w:noWrap/>
            <w:tcMar>
              <w:top w:w="113" w:type="dxa"/>
              <w:bottom w:w="113" w:type="dxa"/>
            </w:tcMar>
            <w:vAlign w:val="bottom"/>
            <w:hideMark/>
          </w:tcPr>
          <w:p w:rsidR="00F735D5" w:rsidRPr="00A32AF4" w:rsidRDefault="00F735D5" w:rsidP="00DC0553">
            <w:pPr>
              <w:rPr>
                <w:rFonts w:cs="Arial"/>
                <w:sz w:val="16"/>
                <w:szCs w:val="16"/>
                <w:lang w:eastAsia="fr-FR"/>
              </w:rPr>
            </w:pPr>
            <w:r w:rsidRPr="00A32AF4">
              <w:rPr>
                <w:rFonts w:cs="Arial"/>
                <w:sz w:val="16"/>
                <w:szCs w:val="16"/>
                <w:lang w:eastAsia="fr-FR"/>
              </w:rPr>
              <w:t> </w:t>
            </w:r>
          </w:p>
        </w:tc>
        <w:tc>
          <w:tcPr>
            <w:tcW w:w="4387"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F735D5" w:rsidRPr="00A32AF4" w:rsidRDefault="00F735D5" w:rsidP="00DC0553">
            <w:pPr>
              <w:rPr>
                <w:rFonts w:cs="Arial"/>
                <w:b/>
                <w:bCs/>
                <w:sz w:val="16"/>
                <w:szCs w:val="16"/>
                <w:lang w:eastAsia="fr-FR"/>
              </w:rPr>
            </w:pPr>
            <w:r w:rsidRPr="00A32AF4">
              <w:rPr>
                <w:rFonts w:cs="Arial"/>
                <w:b/>
                <w:bCs/>
                <w:sz w:val="16"/>
                <w:szCs w:val="16"/>
                <w:lang w:eastAsia="fr-FR"/>
              </w:rPr>
              <w:t>Total</w:t>
            </w:r>
          </w:p>
        </w:tc>
        <w:tc>
          <w:tcPr>
            <w:tcW w:w="1260"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F735D5" w:rsidRPr="00A32AF4" w:rsidRDefault="00F735D5" w:rsidP="00DC0553">
            <w:pPr>
              <w:jc w:val="right"/>
              <w:rPr>
                <w:rFonts w:cs="Arial"/>
                <w:b/>
                <w:bCs/>
                <w:sz w:val="16"/>
                <w:szCs w:val="16"/>
                <w:lang w:eastAsia="fr-FR"/>
              </w:rPr>
            </w:pPr>
            <w:r w:rsidRPr="00A32AF4">
              <w:rPr>
                <w:rFonts w:cs="Arial"/>
                <w:b/>
                <w:bCs/>
                <w:sz w:val="16"/>
                <w:szCs w:val="16"/>
                <w:lang w:eastAsia="fr-FR"/>
              </w:rPr>
              <w:t xml:space="preserve">3 989 </w:t>
            </w:r>
          </w:p>
        </w:tc>
        <w:tc>
          <w:tcPr>
            <w:tcW w:w="1440"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F735D5" w:rsidRPr="00A32AF4" w:rsidRDefault="00F735D5" w:rsidP="00DC0553">
            <w:pPr>
              <w:jc w:val="right"/>
              <w:rPr>
                <w:rFonts w:cs="Arial"/>
                <w:b/>
                <w:bCs/>
                <w:sz w:val="16"/>
                <w:szCs w:val="16"/>
                <w:lang w:eastAsia="fr-FR"/>
              </w:rPr>
            </w:pPr>
            <w:r w:rsidRPr="00A32AF4">
              <w:rPr>
                <w:rFonts w:cs="Arial"/>
                <w:b/>
                <w:bCs/>
                <w:sz w:val="16"/>
                <w:szCs w:val="16"/>
                <w:lang w:eastAsia="fr-FR"/>
              </w:rPr>
              <w:t xml:space="preserve">4 207 </w:t>
            </w:r>
          </w:p>
        </w:tc>
        <w:tc>
          <w:tcPr>
            <w:tcW w:w="1260" w:type="dxa"/>
            <w:tcBorders>
              <w:top w:val="nil"/>
              <w:left w:val="nil"/>
              <w:bottom w:val="single" w:sz="4" w:space="0" w:color="auto"/>
              <w:right w:val="single" w:sz="4" w:space="0" w:color="auto"/>
            </w:tcBorders>
            <w:shd w:val="clear" w:color="000000" w:fill="C5D9F1"/>
            <w:noWrap/>
            <w:tcMar>
              <w:top w:w="113" w:type="dxa"/>
              <w:bottom w:w="113" w:type="dxa"/>
            </w:tcMar>
            <w:vAlign w:val="bottom"/>
            <w:hideMark/>
          </w:tcPr>
          <w:p w:rsidR="00F735D5" w:rsidRPr="00A32AF4" w:rsidRDefault="00F735D5" w:rsidP="00DC0553">
            <w:pPr>
              <w:jc w:val="right"/>
              <w:rPr>
                <w:rFonts w:cs="Arial"/>
                <w:b/>
                <w:bCs/>
                <w:sz w:val="16"/>
                <w:szCs w:val="16"/>
                <w:lang w:eastAsia="fr-FR"/>
              </w:rPr>
            </w:pPr>
            <w:r w:rsidRPr="00A32AF4">
              <w:rPr>
                <w:rFonts w:cs="Arial"/>
                <w:b/>
                <w:bCs/>
                <w:sz w:val="16"/>
                <w:szCs w:val="16"/>
                <w:lang w:eastAsia="fr-FR"/>
              </w:rPr>
              <w:t xml:space="preserve">3 752 </w:t>
            </w:r>
          </w:p>
        </w:tc>
      </w:tr>
    </w:tbl>
    <w:p w:rsidR="00F93B76" w:rsidRPr="00A32AF4" w:rsidRDefault="00F93B76" w:rsidP="00DC0553"/>
    <w:p w:rsidR="00F93B76" w:rsidRPr="00A32AF4" w:rsidRDefault="00F93B76" w:rsidP="00DC0553">
      <w:pPr>
        <w:jc w:val="both"/>
      </w:pPr>
    </w:p>
    <w:p w:rsidR="00F93B76" w:rsidRPr="00A32AF4" w:rsidRDefault="00466DC3" w:rsidP="00DC0553">
      <w:pPr>
        <w:keepNext/>
        <w:keepLines/>
        <w:autoSpaceDE w:val="0"/>
        <w:autoSpaceDN w:val="0"/>
        <w:jc w:val="center"/>
        <w:rPr>
          <w:rFonts w:cs="Arial"/>
          <w:b/>
        </w:rPr>
      </w:pPr>
      <w:r w:rsidRPr="00A32AF4">
        <w:rPr>
          <w:rFonts w:cs="Arial"/>
          <w:b/>
        </w:rPr>
        <w:t>Programme 17 : ressources par objet de dépense</w:t>
      </w:r>
    </w:p>
    <w:p w:rsidR="00F93B76" w:rsidRPr="00A32AF4" w:rsidRDefault="00466DC3" w:rsidP="00DC0553">
      <w:pPr>
        <w:keepNext/>
        <w:keepLines/>
        <w:autoSpaceDE w:val="0"/>
        <w:autoSpaceDN w:val="0"/>
        <w:jc w:val="center"/>
        <w:rPr>
          <w:rFonts w:cs="Arial"/>
          <w:i/>
        </w:rPr>
      </w:pPr>
      <w:r w:rsidRPr="00A32AF4">
        <w:rPr>
          <w:rFonts w:cs="Arial"/>
          <w:i/>
        </w:rPr>
        <w:t>(</w:t>
      </w:r>
      <w:proofErr w:type="gramStart"/>
      <w:r w:rsidRPr="00A32AF4">
        <w:rPr>
          <w:rFonts w:cs="Arial"/>
          <w:i/>
        </w:rPr>
        <w:t>en</w:t>
      </w:r>
      <w:proofErr w:type="gramEnd"/>
      <w:r w:rsidRPr="00A32AF4">
        <w:rPr>
          <w:rFonts w:cs="Arial"/>
          <w:i/>
        </w:rPr>
        <w:t xml:space="preserve"> milliers de francs suisses)</w:t>
      </w:r>
    </w:p>
    <w:p w:rsidR="00F93B76" w:rsidRPr="00A32AF4" w:rsidRDefault="00F93B76" w:rsidP="00DC0553">
      <w:pPr>
        <w:keepNext/>
        <w:rPr>
          <w:rFonts w:eastAsia="SimSun"/>
        </w:rPr>
      </w:pPr>
    </w:p>
    <w:p w:rsidR="00F93B76" w:rsidRPr="00A32AF4" w:rsidRDefault="00E91FB4" w:rsidP="00DC0553">
      <w:pPr>
        <w:rPr>
          <w:rFonts w:eastAsia="SimSun"/>
        </w:rPr>
      </w:pPr>
      <w:r w:rsidRPr="00A32AF4">
        <w:rPr>
          <w:rFonts w:eastAsia="SimSun"/>
          <w:noProof/>
          <w:lang w:eastAsia="fr-FR"/>
        </w:rPr>
        <w:drawing>
          <wp:inline distT="0" distB="0" distL="0" distR="0" wp14:anchorId="26FA37AD" wp14:editId="6836BB8A">
            <wp:extent cx="5512435" cy="6555105"/>
            <wp:effectExtent l="0" t="0" r="0" b="0"/>
            <wp:docPr id="1051" name="Picture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5512435" cy="6555105"/>
                    </a:xfrm>
                    <a:prstGeom prst="rect">
                      <a:avLst/>
                    </a:prstGeom>
                    <a:noFill/>
                    <a:ln>
                      <a:noFill/>
                    </a:ln>
                  </pic:spPr>
                </pic:pic>
              </a:graphicData>
            </a:graphic>
          </wp:inline>
        </w:drawing>
      </w:r>
    </w:p>
    <w:p w:rsidR="00F93B76" w:rsidRPr="00A32AF4" w:rsidRDefault="00F93B76" w:rsidP="00DC0553">
      <w:pPr>
        <w:jc w:val="both"/>
      </w:pPr>
    </w:p>
    <w:p w:rsidR="00F93B76" w:rsidRPr="00A32AF4" w:rsidRDefault="00F93B76" w:rsidP="00DC0553">
      <w:pPr>
        <w:jc w:val="both"/>
      </w:pPr>
    </w:p>
    <w:p w:rsidR="00F93B76" w:rsidRPr="00A32AF4" w:rsidRDefault="00466DC3" w:rsidP="00DC0553">
      <w:pPr>
        <w:keepNext/>
        <w:jc w:val="center"/>
        <w:rPr>
          <w:b/>
        </w:rPr>
      </w:pPr>
      <w:r w:rsidRPr="00A32AF4">
        <w:rPr>
          <w:b/>
        </w:rPr>
        <w:t>Ressources au titre des fonds fiduciaires potentiellement disponibles pour les activités de programme en</w:t>
      </w:r>
      <w:r w:rsidR="00FD43E3" w:rsidRPr="00A32AF4">
        <w:rPr>
          <w:b/>
        </w:rPr>
        <w:t> </w:t>
      </w:r>
      <w:r w:rsidRPr="00A32AF4">
        <w:rPr>
          <w:b/>
        </w:rPr>
        <w:t>2016</w:t>
      </w:r>
      <w:r w:rsidR="00EB7F54" w:rsidRPr="00A32AF4">
        <w:rPr>
          <w:b/>
        </w:rPr>
        <w:noBreakHyphen/>
      </w:r>
      <w:r w:rsidRPr="00A32AF4">
        <w:rPr>
          <w:b/>
        </w:rPr>
        <w:t>2017 (PAR PROGRAMME</w:t>
      </w:r>
      <w:proofErr w:type="gramStart"/>
      <w:r w:rsidRPr="00A32AF4">
        <w:rPr>
          <w:b/>
        </w:rPr>
        <w:t>)</w:t>
      </w:r>
      <w:r w:rsidRPr="00A32AF4">
        <w:rPr>
          <w:vertAlign w:val="superscript"/>
        </w:rPr>
        <w:t>1</w:t>
      </w:r>
      <w:proofErr w:type="gramEnd"/>
    </w:p>
    <w:p w:rsidR="00F93B76" w:rsidRPr="00A32AF4" w:rsidRDefault="00466DC3" w:rsidP="00DC0553">
      <w:pPr>
        <w:keepNext/>
        <w:jc w:val="center"/>
        <w:rPr>
          <w:i/>
        </w:rPr>
      </w:pPr>
      <w:r w:rsidRPr="00A32AF4">
        <w:rPr>
          <w:i/>
        </w:rPr>
        <w:t>(</w:t>
      </w:r>
      <w:proofErr w:type="gramStart"/>
      <w:r w:rsidRPr="00A32AF4">
        <w:rPr>
          <w:i/>
        </w:rPr>
        <w:t>en</w:t>
      </w:r>
      <w:proofErr w:type="gramEnd"/>
      <w:r w:rsidRPr="00A32AF4">
        <w:rPr>
          <w:i/>
        </w:rPr>
        <w:t xml:space="preserve"> milliers de francs suisses)</w:t>
      </w:r>
    </w:p>
    <w:p w:rsidR="00F93B76" w:rsidRPr="00A32AF4" w:rsidRDefault="00F93B76" w:rsidP="00DC0553">
      <w:pPr>
        <w:keepNext/>
        <w:jc w:val="center"/>
        <w:rPr>
          <w:rStyle w:val="StyleStyleHeading3ComplexItalicLatin12ptChar"/>
          <w:b w:val="0"/>
          <w:i/>
          <w:lang w:val="fr-FR"/>
        </w:rPr>
      </w:pPr>
    </w:p>
    <w:p w:rsidR="00F93B76" w:rsidRPr="00A32AF4" w:rsidRDefault="00466DC3" w:rsidP="00DC0553">
      <w:pPr>
        <w:keepNext/>
        <w:rPr>
          <w:rStyle w:val="StyleStyleHeading3ComplexItalicLatin12ptChar"/>
          <w:b w:val="0"/>
          <w:i/>
          <w:lang w:val="fr-FR"/>
        </w:rPr>
      </w:pPr>
      <w:r w:rsidRPr="00A32AF4">
        <w:rPr>
          <w:noProof/>
          <w:lang w:eastAsia="fr-FR"/>
        </w:rPr>
        <w:drawing>
          <wp:inline distT="0" distB="0" distL="0" distR="0" wp14:anchorId="16C59938" wp14:editId="3593A507">
            <wp:extent cx="5760085" cy="874570"/>
            <wp:effectExtent l="0" t="0" r="0" b="190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760085" cy="874570"/>
                    </a:xfrm>
                    <a:prstGeom prst="rect">
                      <a:avLst/>
                    </a:prstGeom>
                    <a:noFill/>
                    <a:ln>
                      <a:noFill/>
                    </a:ln>
                  </pic:spPr>
                </pic:pic>
              </a:graphicData>
            </a:graphic>
          </wp:inline>
        </w:drawing>
      </w:r>
    </w:p>
    <w:p w:rsidR="00F93B76" w:rsidRPr="00A32AF4" w:rsidRDefault="00466DC3" w:rsidP="00DC0553">
      <w:pPr>
        <w:keepNext/>
        <w:rPr>
          <w:i/>
          <w:sz w:val="16"/>
        </w:rPr>
      </w:pPr>
      <w:r w:rsidRPr="00A32AF4">
        <w:rPr>
          <w:i/>
          <w:sz w:val="16"/>
          <w:vertAlign w:val="superscript"/>
        </w:rPr>
        <w:t>1</w:t>
      </w:r>
      <w:r w:rsidRPr="00A32AF4">
        <w:rPr>
          <w:i/>
          <w:sz w:val="16"/>
        </w:rPr>
        <w:t xml:space="preserve"> Les chiffres ne comprennent pas les ajustements pour intérêts et taux de change.  Il est à noter également que ces fonds financent en général des activités qui portent sur une période excédant un exercice biennal ou qui sont à cheval sur deux</w:t>
      </w:r>
      <w:r w:rsidR="00FD43E3" w:rsidRPr="00A32AF4">
        <w:rPr>
          <w:i/>
          <w:sz w:val="16"/>
        </w:rPr>
        <w:t> </w:t>
      </w:r>
      <w:r w:rsidRPr="00A32AF4">
        <w:rPr>
          <w:i/>
          <w:sz w:val="16"/>
        </w:rPr>
        <w:t>exercices, à mesure que les recettes sont perçues et les dépenses encourues.</w:t>
      </w:r>
    </w:p>
    <w:p w:rsidR="00F93B76" w:rsidRPr="00A32AF4" w:rsidRDefault="00466DC3" w:rsidP="00DC0553">
      <w:pPr>
        <w:rPr>
          <w:i/>
          <w:sz w:val="16"/>
        </w:rPr>
      </w:pPr>
      <w:r w:rsidRPr="00A32AF4">
        <w:rPr>
          <w:i/>
          <w:sz w:val="16"/>
          <w:vertAlign w:val="superscript"/>
        </w:rPr>
        <w:t>2</w:t>
      </w:r>
      <w:r w:rsidRPr="00A32AF4">
        <w:rPr>
          <w:i/>
          <w:sz w:val="16"/>
        </w:rPr>
        <w:t xml:space="preserve"> Ces chiffres purement indicatifs découlent des modes de financement précédents.  Ils ne représentent pas des engagements de la part des États membres, sauf dans les cas où l</w:t>
      </w:r>
      <w:r w:rsidR="00E2055A" w:rsidRPr="00A32AF4">
        <w:rPr>
          <w:i/>
          <w:sz w:val="16"/>
        </w:rPr>
        <w:t>’</w:t>
      </w:r>
      <w:r w:rsidRPr="00A32AF4">
        <w:rPr>
          <w:i/>
          <w:sz w:val="16"/>
        </w:rPr>
        <w:t>accord de fonds fiduciaire comprend un tel engagement.</w:t>
      </w:r>
    </w:p>
    <w:p w:rsidR="00F93B76" w:rsidRPr="00A32AF4" w:rsidRDefault="00F93B76" w:rsidP="00DC0553">
      <w:pPr>
        <w:jc w:val="both"/>
      </w:pPr>
    </w:p>
    <w:p w:rsidR="00F93B76" w:rsidRPr="00A32AF4" w:rsidRDefault="00F93B76" w:rsidP="00DC0553"/>
    <w:p w:rsidR="00F93B76" w:rsidRPr="00A32AF4" w:rsidRDefault="00466DC3" w:rsidP="00DC0553">
      <w:r w:rsidRPr="00A32AF4">
        <w:br w:type="page"/>
      </w:r>
    </w:p>
    <w:p w:rsidR="00F93B76" w:rsidRPr="00A32AF4" w:rsidRDefault="00466DC3" w:rsidP="00FB1F61">
      <w:pPr>
        <w:pStyle w:val="Heading2"/>
        <w:rPr>
          <w:rFonts w:hint="eastAsia"/>
        </w:rPr>
      </w:pPr>
      <w:bookmarkStart w:id="54" w:name="_Toc431555460"/>
      <w:r w:rsidRPr="00A32AF4">
        <w:t>Objectif stratégique VII</w:t>
      </w:r>
      <w:r w:rsidRPr="00A32AF4">
        <w:tab/>
      </w:r>
      <w:r w:rsidR="001552A2" w:rsidRPr="00A32AF4">
        <w:t>Propriété intellectuelle et enjeux mondiaux</w:t>
      </w:r>
      <w:bookmarkEnd w:id="54"/>
    </w:p>
    <w:p w:rsidR="00F93B76" w:rsidRPr="00A32AF4" w:rsidRDefault="00F93B76" w:rsidP="00DC0553"/>
    <w:p w:rsidR="00F93B76" w:rsidRPr="00A32AF4" w:rsidRDefault="00F93B76" w:rsidP="00DC0553"/>
    <w:p w:rsidR="00F93B76" w:rsidRPr="00A32AF4" w:rsidRDefault="009A24BE" w:rsidP="00DC0553">
      <w:pPr>
        <w:jc w:val="both"/>
        <w:rPr>
          <w:rFonts w:cs="Arial"/>
        </w:rPr>
      </w:pPr>
      <w:r w:rsidRPr="00A32AF4">
        <w:rPr>
          <w:rFonts w:cs="Arial"/>
        </w:rPr>
        <w:t>Cet objectif stratégique traduit le potentiel qu</w:t>
      </w:r>
      <w:r w:rsidR="00E2055A" w:rsidRPr="00A32AF4">
        <w:rPr>
          <w:rFonts w:cs="Arial"/>
        </w:rPr>
        <w:t>’</w:t>
      </w:r>
      <w:r w:rsidRPr="00A32AF4">
        <w:rPr>
          <w:rFonts w:cs="Arial"/>
        </w:rPr>
        <w:t>a l</w:t>
      </w:r>
      <w:r w:rsidR="00E2055A" w:rsidRPr="00A32AF4">
        <w:rPr>
          <w:rFonts w:cs="Arial"/>
        </w:rPr>
        <w:t>’</w:t>
      </w:r>
      <w:r w:rsidRPr="00A32AF4">
        <w:rPr>
          <w:rFonts w:cs="Arial"/>
        </w:rPr>
        <w:t>OMPI de devenir la première instance intergouvernementale qualifiée pour traiter des questions situées au carrefour de la propriété intellectuelle, de l</w:t>
      </w:r>
      <w:r w:rsidR="00E2055A" w:rsidRPr="00A32AF4">
        <w:rPr>
          <w:rFonts w:cs="Arial"/>
        </w:rPr>
        <w:t>’</w:t>
      </w:r>
      <w:r w:rsidRPr="00A32AF4">
        <w:rPr>
          <w:rFonts w:cs="Arial"/>
        </w:rPr>
        <w:t>innovation et des enjeux relatifs aux politiques publiques à l</w:t>
      </w:r>
      <w:r w:rsidR="00E2055A" w:rsidRPr="00A32AF4">
        <w:rPr>
          <w:rFonts w:cs="Arial"/>
        </w:rPr>
        <w:t>’</w:t>
      </w:r>
      <w:r w:rsidRPr="00A32AF4">
        <w:rPr>
          <w:rFonts w:cs="Arial"/>
        </w:rPr>
        <w:t xml:space="preserve">échelle mondiale.  Cela implique un engagement à la fois profond et prospectif avec les autres organisations des </w:t>
      </w:r>
      <w:r w:rsidR="00E2055A" w:rsidRPr="00A32AF4">
        <w:rPr>
          <w:rFonts w:cs="Arial"/>
        </w:rPr>
        <w:t>Nations Unies</w:t>
      </w:r>
      <w:r w:rsidRPr="00A32AF4">
        <w:rPr>
          <w:rFonts w:cs="Arial"/>
        </w:rPr>
        <w:t xml:space="preserve"> et des organisations intergouvernementales et non gouvernementales, afin d</w:t>
      </w:r>
      <w:r w:rsidR="00E2055A" w:rsidRPr="00A32AF4">
        <w:rPr>
          <w:rFonts w:cs="Arial"/>
        </w:rPr>
        <w:t>’</w:t>
      </w:r>
      <w:r w:rsidRPr="00A32AF4">
        <w:rPr>
          <w:rFonts w:cs="Arial"/>
        </w:rPr>
        <w:t>œuvrer à la recherche de solutions communes à apporter aux défis majeurs auxquels l</w:t>
      </w:r>
      <w:r w:rsidR="00E2055A" w:rsidRPr="00A32AF4">
        <w:rPr>
          <w:rFonts w:cs="Arial"/>
        </w:rPr>
        <w:t>’</w:t>
      </w:r>
      <w:r w:rsidRPr="00A32AF4">
        <w:rPr>
          <w:rFonts w:cs="Arial"/>
        </w:rPr>
        <w:t xml:space="preserve">humanité est confrontée, notamment le changement climatique, la sécurité alimentaire, la santé publique, la protection de la biodiversité et la réalisation des </w:t>
      </w:r>
      <w:r w:rsidR="00FD43E3" w:rsidRPr="00A32AF4">
        <w:rPr>
          <w:rFonts w:cs="Arial"/>
        </w:rPr>
        <w:t>objectifs</w:t>
      </w:r>
      <w:r w:rsidRPr="00A32AF4">
        <w:rPr>
          <w:rFonts w:cs="Arial"/>
        </w:rPr>
        <w:t xml:space="preserve"> du Millénaire pour le développement.  Les pays en développement et les pays les moins avancés (PMA) étant le plus immédiatement touchés par bon nombre de ces problèmes de dimension mondiale, les programmes qui relèvent de cet objectif stratégique joueront un rôle important dans la réalisation de plusieurs objectifs de développement et recommandations du Plan d</w:t>
      </w:r>
      <w:r w:rsidR="00E2055A" w:rsidRPr="00A32AF4">
        <w:rPr>
          <w:rFonts w:cs="Arial"/>
        </w:rPr>
        <w:t>’</w:t>
      </w:r>
      <w:r w:rsidRPr="00A32AF4">
        <w:rPr>
          <w:rFonts w:cs="Arial"/>
        </w:rPr>
        <w:t>action pour le développement.</w:t>
      </w:r>
    </w:p>
    <w:p w:rsidR="00F93B76" w:rsidRPr="00A32AF4" w:rsidRDefault="00F93B76" w:rsidP="00DC0553"/>
    <w:p w:rsidR="009A24BE" w:rsidRPr="00A32AF4" w:rsidRDefault="009A24BE" w:rsidP="00DC0553">
      <w:pPr>
        <w:rPr>
          <w:rFonts w:cs="Arial"/>
        </w:rPr>
      </w:pPr>
    </w:p>
    <w:tbl>
      <w:tblPr>
        <w:tblW w:w="4855"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190"/>
        <w:gridCol w:w="3898"/>
        <w:gridCol w:w="9"/>
        <w:gridCol w:w="1921"/>
      </w:tblGrid>
      <w:tr w:rsidR="009A24BE" w:rsidRPr="00A32AF4" w:rsidTr="0046629D">
        <w:trPr>
          <w:cantSplit/>
          <w:tblHeader/>
        </w:trPr>
        <w:tc>
          <w:tcPr>
            <w:tcW w:w="1769" w:type="pct"/>
            <w:tcBorders>
              <w:top w:val="single" w:sz="4" w:space="0" w:color="auto"/>
              <w:bottom w:val="single" w:sz="4" w:space="0" w:color="auto"/>
            </w:tcBorders>
            <w:shd w:val="clear" w:color="auto" w:fill="C6D9F1" w:themeFill="text2" w:themeFillTint="33"/>
            <w:tcMar>
              <w:top w:w="113" w:type="dxa"/>
              <w:bottom w:w="113" w:type="dxa"/>
            </w:tcMar>
            <w:vAlign w:val="center"/>
          </w:tcPr>
          <w:p w:rsidR="009A24BE" w:rsidRPr="00A32AF4" w:rsidRDefault="009A24BE" w:rsidP="00DC0553">
            <w:pPr>
              <w:jc w:val="center"/>
              <w:rPr>
                <w:rFonts w:cs="Arial"/>
                <w:b/>
                <w:bCs/>
                <w:sz w:val="18"/>
                <w:szCs w:val="18"/>
              </w:rPr>
            </w:pPr>
            <w:r w:rsidRPr="00A32AF4">
              <w:rPr>
                <w:rFonts w:cs="Arial"/>
                <w:b/>
                <w:bCs/>
                <w:sz w:val="18"/>
                <w:szCs w:val="18"/>
              </w:rPr>
              <w:t>Résultats escomptés</w:t>
            </w:r>
          </w:p>
        </w:tc>
        <w:tc>
          <w:tcPr>
            <w:tcW w:w="2161" w:type="pct"/>
            <w:tcBorders>
              <w:top w:val="single" w:sz="4" w:space="0" w:color="auto"/>
              <w:bottom w:val="single" w:sz="4" w:space="0" w:color="auto"/>
            </w:tcBorders>
            <w:shd w:val="clear" w:color="auto" w:fill="C6D9F1" w:themeFill="text2" w:themeFillTint="33"/>
            <w:tcMar>
              <w:top w:w="113" w:type="dxa"/>
              <w:bottom w:w="113" w:type="dxa"/>
            </w:tcMar>
            <w:vAlign w:val="center"/>
          </w:tcPr>
          <w:p w:rsidR="009A24BE" w:rsidRPr="00A32AF4" w:rsidRDefault="009A24BE" w:rsidP="00DC0553">
            <w:pPr>
              <w:jc w:val="center"/>
              <w:rPr>
                <w:rFonts w:cs="Arial"/>
                <w:b/>
                <w:sz w:val="18"/>
                <w:szCs w:val="18"/>
              </w:rPr>
            </w:pPr>
            <w:r w:rsidRPr="00A32AF4">
              <w:rPr>
                <w:rFonts w:cs="Arial"/>
                <w:b/>
                <w:sz w:val="18"/>
                <w:szCs w:val="18"/>
              </w:rPr>
              <w:t>Indicateurs d</w:t>
            </w:r>
            <w:r w:rsidR="00E2055A" w:rsidRPr="00A32AF4">
              <w:rPr>
                <w:rFonts w:cs="Arial"/>
                <w:b/>
                <w:sz w:val="18"/>
                <w:szCs w:val="18"/>
              </w:rPr>
              <w:t>’</w:t>
            </w:r>
            <w:r w:rsidRPr="00A32AF4">
              <w:rPr>
                <w:rFonts w:cs="Arial"/>
                <w:b/>
                <w:sz w:val="18"/>
                <w:szCs w:val="18"/>
              </w:rPr>
              <w:t>exécution</w:t>
            </w:r>
          </w:p>
        </w:tc>
        <w:tc>
          <w:tcPr>
            <w:tcW w:w="1070" w:type="pct"/>
            <w:gridSpan w:val="2"/>
            <w:tcBorders>
              <w:top w:val="single" w:sz="4" w:space="0" w:color="auto"/>
              <w:bottom w:val="single" w:sz="4" w:space="0" w:color="auto"/>
            </w:tcBorders>
            <w:shd w:val="clear" w:color="auto" w:fill="C6D9F1" w:themeFill="text2" w:themeFillTint="33"/>
            <w:tcMar>
              <w:top w:w="113" w:type="dxa"/>
              <w:bottom w:w="113" w:type="dxa"/>
            </w:tcMar>
            <w:vAlign w:val="center"/>
          </w:tcPr>
          <w:p w:rsidR="009A24BE" w:rsidRPr="00A32AF4" w:rsidRDefault="009A24BE" w:rsidP="00DC0553">
            <w:pPr>
              <w:jc w:val="center"/>
              <w:rPr>
                <w:rFonts w:cs="Arial"/>
                <w:sz w:val="18"/>
                <w:szCs w:val="18"/>
              </w:rPr>
            </w:pPr>
            <w:r w:rsidRPr="00A32AF4">
              <w:rPr>
                <w:rFonts w:cs="Arial"/>
                <w:b/>
                <w:sz w:val="18"/>
                <w:szCs w:val="18"/>
              </w:rPr>
              <w:t>Programme(s) concerné(s)</w:t>
            </w:r>
          </w:p>
        </w:tc>
      </w:tr>
      <w:tr w:rsidR="009A24BE" w:rsidRPr="00A32AF4" w:rsidTr="0046629D">
        <w:trPr>
          <w:cantSplit/>
        </w:trPr>
        <w:tc>
          <w:tcPr>
            <w:tcW w:w="1769" w:type="pct"/>
            <w:tcBorders>
              <w:top w:val="nil"/>
            </w:tcBorders>
            <w:shd w:val="clear" w:color="auto" w:fill="auto"/>
            <w:tcMar>
              <w:top w:w="113" w:type="dxa"/>
              <w:bottom w:w="113" w:type="dxa"/>
            </w:tcMar>
          </w:tcPr>
          <w:p w:rsidR="009A24BE" w:rsidRPr="00A32AF4" w:rsidRDefault="009A24BE" w:rsidP="00DC0553">
            <w:pPr>
              <w:rPr>
                <w:rFonts w:cs="Arial"/>
                <w:sz w:val="16"/>
                <w:szCs w:val="16"/>
              </w:rPr>
            </w:pPr>
            <w:r w:rsidRPr="00A32AF4">
              <w:rPr>
                <w:rFonts w:cs="Arial"/>
                <w:sz w:val="16"/>
                <w:szCs w:val="16"/>
              </w:rPr>
              <w:t xml:space="preserve">VII.2 </w:t>
            </w:r>
            <w:r w:rsidRPr="00A32AF4">
              <w:rPr>
                <w:sz w:val="16"/>
                <w:szCs w:val="16"/>
              </w:rPr>
              <w:t>Plates</w:t>
            </w:r>
            <w:r w:rsidR="00EB7F54" w:rsidRPr="00A32AF4">
              <w:rPr>
                <w:sz w:val="16"/>
                <w:szCs w:val="16"/>
              </w:rPr>
              <w:noBreakHyphen/>
            </w:r>
            <w:r w:rsidRPr="00A32AF4">
              <w:rPr>
                <w:sz w:val="16"/>
                <w:szCs w:val="16"/>
              </w:rPr>
              <w:t>formes et instruments fondés sur la propriété intellectuelle pour le transfert de connaissances et l</w:t>
            </w:r>
            <w:r w:rsidR="00E2055A" w:rsidRPr="00A32AF4">
              <w:rPr>
                <w:sz w:val="16"/>
                <w:szCs w:val="16"/>
              </w:rPr>
              <w:t>’</w:t>
            </w:r>
            <w:r w:rsidRPr="00A32AF4">
              <w:rPr>
                <w:sz w:val="16"/>
                <w:szCs w:val="16"/>
              </w:rPr>
              <w:t>adaptation et la diffusion de la technologie entre les pays développés et les pays en développement, notamment les PMA, pour relever des défis mondiaux</w:t>
            </w:r>
          </w:p>
        </w:tc>
        <w:tc>
          <w:tcPr>
            <w:tcW w:w="2166" w:type="pct"/>
            <w:gridSpan w:val="2"/>
            <w:tcBorders>
              <w:top w:val="nil"/>
            </w:tcBorders>
            <w:shd w:val="clear" w:color="auto" w:fill="auto"/>
            <w:tcMar>
              <w:top w:w="113" w:type="dxa"/>
              <w:bottom w:w="113" w:type="dxa"/>
            </w:tcMar>
          </w:tcPr>
          <w:p w:rsidR="009A24BE" w:rsidRPr="00A32AF4" w:rsidRDefault="0046629D" w:rsidP="005C314E">
            <w:pPr>
              <w:rPr>
                <w:rFonts w:cs="Arial"/>
                <w:sz w:val="16"/>
                <w:szCs w:val="16"/>
              </w:rPr>
            </w:pPr>
            <w:r w:rsidRPr="00A32AF4">
              <w:rPr>
                <w:rFonts w:cs="Arial"/>
                <w:sz w:val="16"/>
                <w:szCs w:val="16"/>
              </w:rPr>
              <w:t xml:space="preserve">Augmentation du nombre de participants du programme WIPO </w:t>
            </w:r>
            <w:proofErr w:type="gramStart"/>
            <w:r w:rsidRPr="00A32AF4">
              <w:rPr>
                <w:rFonts w:cs="Arial"/>
                <w:sz w:val="16"/>
                <w:szCs w:val="16"/>
              </w:rPr>
              <w:t>Re:Search</w:t>
            </w:r>
            <w:proofErr w:type="gramEnd"/>
            <w:r w:rsidRPr="00A32AF4">
              <w:rPr>
                <w:rFonts w:cs="Arial"/>
                <w:sz w:val="16"/>
                <w:szCs w:val="16"/>
              </w:rPr>
              <w:t xml:space="preserve">, </w:t>
            </w:r>
            <w:r w:rsidR="00E2055A" w:rsidRPr="00A32AF4">
              <w:rPr>
                <w:rFonts w:cs="Arial"/>
                <w:sz w:val="16"/>
                <w:szCs w:val="16"/>
              </w:rPr>
              <w:t>y compris</w:t>
            </w:r>
            <w:r w:rsidRPr="00A32AF4">
              <w:rPr>
                <w:rFonts w:cs="Arial"/>
                <w:sz w:val="16"/>
                <w:szCs w:val="16"/>
              </w:rPr>
              <w:t xml:space="preserve"> dans les pays en développement et les PMA</w:t>
            </w:r>
          </w:p>
        </w:tc>
        <w:tc>
          <w:tcPr>
            <w:tcW w:w="1065" w:type="pct"/>
            <w:tcBorders>
              <w:top w:val="nil"/>
            </w:tcBorders>
            <w:shd w:val="clear" w:color="auto" w:fill="FFFFFF"/>
            <w:tcMar>
              <w:top w:w="113" w:type="dxa"/>
              <w:bottom w:w="113" w:type="dxa"/>
            </w:tcMar>
          </w:tcPr>
          <w:p w:rsidR="009A24BE" w:rsidRPr="00A32AF4" w:rsidRDefault="009A24BE" w:rsidP="005C314E">
            <w:pPr>
              <w:jc w:val="center"/>
              <w:rPr>
                <w:rFonts w:cs="Arial"/>
                <w:sz w:val="16"/>
                <w:szCs w:val="16"/>
              </w:rPr>
            </w:pPr>
            <w:r w:rsidRPr="00A32AF4">
              <w:rPr>
                <w:rFonts w:cs="Arial"/>
                <w:sz w:val="16"/>
                <w:szCs w:val="16"/>
                <w:lang w:bidi="th-TH"/>
              </w:rPr>
              <w:t>Programme 18</w:t>
            </w:r>
          </w:p>
        </w:tc>
      </w:tr>
      <w:tr w:rsidR="005C314E" w:rsidRPr="00A32AF4" w:rsidTr="0046629D">
        <w:trPr>
          <w:cantSplit/>
        </w:trPr>
        <w:tc>
          <w:tcPr>
            <w:tcW w:w="1769" w:type="pct"/>
            <w:tcBorders>
              <w:top w:val="nil"/>
            </w:tcBorders>
            <w:shd w:val="clear" w:color="auto" w:fill="auto"/>
            <w:tcMar>
              <w:top w:w="113" w:type="dxa"/>
              <w:bottom w:w="113" w:type="dxa"/>
            </w:tcMar>
          </w:tcPr>
          <w:p w:rsidR="005C314E" w:rsidRPr="00A32AF4" w:rsidRDefault="005C314E" w:rsidP="00DC0553">
            <w:pPr>
              <w:rPr>
                <w:rFonts w:cs="Arial"/>
                <w:sz w:val="16"/>
                <w:szCs w:val="16"/>
              </w:rPr>
            </w:pPr>
          </w:p>
        </w:tc>
        <w:tc>
          <w:tcPr>
            <w:tcW w:w="2166" w:type="pct"/>
            <w:gridSpan w:val="2"/>
            <w:tcBorders>
              <w:top w:val="nil"/>
            </w:tcBorders>
            <w:shd w:val="clear" w:color="auto" w:fill="auto"/>
            <w:tcMar>
              <w:top w:w="113" w:type="dxa"/>
              <w:bottom w:w="113" w:type="dxa"/>
            </w:tcMar>
          </w:tcPr>
          <w:p w:rsidR="005C314E" w:rsidRPr="00A32AF4" w:rsidRDefault="005C314E" w:rsidP="00DC0553">
            <w:pPr>
              <w:rPr>
                <w:rFonts w:cs="Arial"/>
                <w:sz w:val="16"/>
                <w:szCs w:val="16"/>
              </w:rPr>
            </w:pPr>
            <w:r w:rsidRPr="00A32AF4">
              <w:rPr>
                <w:rFonts w:cs="Arial"/>
                <w:sz w:val="16"/>
                <w:szCs w:val="16"/>
              </w:rPr>
              <w:t xml:space="preserve">Nombre de données dans la base WIPO </w:t>
            </w:r>
            <w:proofErr w:type="gramStart"/>
            <w:r w:rsidRPr="00A32AF4">
              <w:rPr>
                <w:rFonts w:cs="Arial"/>
                <w:sz w:val="16"/>
                <w:szCs w:val="16"/>
              </w:rPr>
              <w:t>Re:Search</w:t>
            </w:r>
            <w:proofErr w:type="gramEnd"/>
          </w:p>
        </w:tc>
        <w:tc>
          <w:tcPr>
            <w:tcW w:w="1065" w:type="pct"/>
            <w:tcBorders>
              <w:top w:val="nil"/>
            </w:tcBorders>
            <w:shd w:val="clear" w:color="auto" w:fill="FFFFFF"/>
            <w:tcMar>
              <w:top w:w="113" w:type="dxa"/>
              <w:bottom w:w="113" w:type="dxa"/>
            </w:tcMar>
          </w:tcPr>
          <w:p w:rsidR="005C314E" w:rsidRPr="00A32AF4" w:rsidRDefault="005C314E" w:rsidP="005C314E">
            <w:pPr>
              <w:jc w:val="center"/>
              <w:rPr>
                <w:rFonts w:cs="Arial"/>
                <w:sz w:val="16"/>
                <w:szCs w:val="16"/>
                <w:lang w:bidi="th-TH"/>
              </w:rPr>
            </w:pPr>
            <w:r w:rsidRPr="00A32AF4">
              <w:rPr>
                <w:rFonts w:cs="Arial"/>
                <w:sz w:val="16"/>
                <w:szCs w:val="16"/>
                <w:lang w:bidi="th-TH"/>
              </w:rPr>
              <w:t>Programme 18</w:t>
            </w:r>
          </w:p>
        </w:tc>
      </w:tr>
      <w:tr w:rsidR="009A24BE" w:rsidRPr="00A32AF4" w:rsidTr="0046629D">
        <w:trPr>
          <w:cantSplit/>
        </w:trPr>
        <w:tc>
          <w:tcPr>
            <w:tcW w:w="1769" w:type="pct"/>
            <w:shd w:val="clear" w:color="auto" w:fill="auto"/>
            <w:tcMar>
              <w:top w:w="113" w:type="dxa"/>
              <w:bottom w:w="113" w:type="dxa"/>
            </w:tcMar>
          </w:tcPr>
          <w:p w:rsidR="009A24BE" w:rsidRPr="00A32AF4" w:rsidRDefault="009A24BE" w:rsidP="00DC0553">
            <w:pPr>
              <w:rPr>
                <w:rFonts w:cs="Arial"/>
                <w:sz w:val="16"/>
                <w:szCs w:val="16"/>
              </w:rPr>
            </w:pPr>
          </w:p>
        </w:tc>
        <w:tc>
          <w:tcPr>
            <w:tcW w:w="2166" w:type="pct"/>
            <w:gridSpan w:val="2"/>
            <w:shd w:val="clear" w:color="auto" w:fill="auto"/>
            <w:tcMar>
              <w:top w:w="113" w:type="dxa"/>
              <w:bottom w:w="113" w:type="dxa"/>
            </w:tcMar>
          </w:tcPr>
          <w:p w:rsidR="009A24BE" w:rsidRPr="00A32AF4" w:rsidRDefault="0046629D" w:rsidP="00DC0553">
            <w:pPr>
              <w:rPr>
                <w:rFonts w:cs="Arial"/>
                <w:sz w:val="16"/>
                <w:szCs w:val="16"/>
              </w:rPr>
            </w:pPr>
            <w:r w:rsidRPr="00A32AF4">
              <w:rPr>
                <w:rFonts w:cs="Arial"/>
                <w:sz w:val="16"/>
                <w:szCs w:val="16"/>
              </w:rPr>
              <w:t>Augmentation du nombre d</w:t>
            </w:r>
            <w:r w:rsidR="00E2055A" w:rsidRPr="00A32AF4">
              <w:rPr>
                <w:rFonts w:cs="Arial"/>
                <w:sz w:val="16"/>
                <w:szCs w:val="16"/>
              </w:rPr>
              <w:t>’</w:t>
            </w:r>
            <w:r w:rsidRPr="00A32AF4">
              <w:rPr>
                <w:rFonts w:cs="Arial"/>
                <w:sz w:val="16"/>
                <w:szCs w:val="16"/>
              </w:rPr>
              <w:t xml:space="preserve">accords au titre de WIPO </w:t>
            </w:r>
            <w:proofErr w:type="gramStart"/>
            <w:r w:rsidRPr="00A32AF4">
              <w:rPr>
                <w:rFonts w:cs="Arial"/>
                <w:sz w:val="16"/>
                <w:szCs w:val="16"/>
              </w:rPr>
              <w:t>Re:Search</w:t>
            </w:r>
            <w:proofErr w:type="gramEnd"/>
            <w:r w:rsidRPr="00A32AF4">
              <w:rPr>
                <w:rFonts w:cs="Arial"/>
                <w:sz w:val="16"/>
                <w:szCs w:val="16"/>
              </w:rPr>
              <w:t xml:space="preserve"> qui mènent à des activités nouvelles ou accélérées de recherche</w:t>
            </w:r>
            <w:r w:rsidR="00EB7F54" w:rsidRPr="00A32AF4">
              <w:rPr>
                <w:rFonts w:cs="Arial"/>
                <w:sz w:val="16"/>
                <w:szCs w:val="16"/>
              </w:rPr>
              <w:noBreakHyphen/>
            </w:r>
            <w:r w:rsidRPr="00A32AF4">
              <w:rPr>
                <w:rFonts w:cs="Arial"/>
                <w:sz w:val="16"/>
                <w:szCs w:val="16"/>
              </w:rPr>
              <w:t>développement dans le domaine des maladies tropicales négligées, du paludisme et de la tuberculose</w:t>
            </w:r>
          </w:p>
        </w:tc>
        <w:tc>
          <w:tcPr>
            <w:tcW w:w="1065" w:type="pct"/>
            <w:shd w:val="clear" w:color="auto" w:fill="FFFFFF"/>
            <w:tcMar>
              <w:top w:w="113" w:type="dxa"/>
              <w:bottom w:w="113" w:type="dxa"/>
            </w:tcMar>
          </w:tcPr>
          <w:p w:rsidR="009A24BE" w:rsidRPr="00A32AF4" w:rsidRDefault="009A24BE" w:rsidP="00DC0553">
            <w:pPr>
              <w:jc w:val="center"/>
              <w:rPr>
                <w:rFonts w:cs="Arial"/>
                <w:sz w:val="16"/>
                <w:szCs w:val="16"/>
              </w:rPr>
            </w:pPr>
            <w:r w:rsidRPr="00A32AF4">
              <w:rPr>
                <w:rFonts w:cs="Arial"/>
                <w:sz w:val="16"/>
                <w:szCs w:val="16"/>
                <w:lang w:bidi="th-TH"/>
              </w:rPr>
              <w:t>Programme 18</w:t>
            </w:r>
          </w:p>
        </w:tc>
      </w:tr>
      <w:tr w:rsidR="009A24BE" w:rsidRPr="00A32AF4" w:rsidTr="0046629D">
        <w:trPr>
          <w:cantSplit/>
        </w:trPr>
        <w:tc>
          <w:tcPr>
            <w:tcW w:w="1769" w:type="pct"/>
            <w:shd w:val="clear" w:color="auto" w:fill="auto"/>
            <w:tcMar>
              <w:top w:w="113" w:type="dxa"/>
              <w:bottom w:w="113" w:type="dxa"/>
            </w:tcMar>
          </w:tcPr>
          <w:p w:rsidR="009A24BE" w:rsidRPr="00A32AF4" w:rsidRDefault="009A24BE" w:rsidP="00DC0553">
            <w:pPr>
              <w:rPr>
                <w:rFonts w:cs="Arial"/>
                <w:sz w:val="16"/>
                <w:szCs w:val="16"/>
              </w:rPr>
            </w:pPr>
          </w:p>
        </w:tc>
        <w:tc>
          <w:tcPr>
            <w:tcW w:w="2166" w:type="pct"/>
            <w:gridSpan w:val="2"/>
            <w:shd w:val="clear" w:color="auto" w:fill="auto"/>
            <w:tcMar>
              <w:top w:w="113" w:type="dxa"/>
              <w:bottom w:w="113" w:type="dxa"/>
            </w:tcMar>
          </w:tcPr>
          <w:p w:rsidR="009A24BE" w:rsidRPr="00A32AF4" w:rsidRDefault="0046629D" w:rsidP="00DC0553">
            <w:pPr>
              <w:rPr>
                <w:rFonts w:cs="Arial"/>
                <w:sz w:val="16"/>
                <w:szCs w:val="16"/>
              </w:rPr>
            </w:pPr>
            <w:r w:rsidRPr="00A32AF4">
              <w:rPr>
                <w:rFonts w:cs="Arial"/>
                <w:sz w:val="16"/>
                <w:szCs w:val="16"/>
              </w:rPr>
              <w:t>Nombre de membres de WIPO GREEN</w:t>
            </w:r>
          </w:p>
        </w:tc>
        <w:tc>
          <w:tcPr>
            <w:tcW w:w="1065" w:type="pct"/>
            <w:shd w:val="clear" w:color="auto" w:fill="FFFFFF"/>
            <w:tcMar>
              <w:top w:w="113" w:type="dxa"/>
              <w:bottom w:w="113" w:type="dxa"/>
            </w:tcMar>
          </w:tcPr>
          <w:p w:rsidR="009A24BE" w:rsidRPr="00A32AF4" w:rsidRDefault="009A24BE" w:rsidP="00DC0553">
            <w:pPr>
              <w:jc w:val="center"/>
              <w:rPr>
                <w:rFonts w:cs="Arial"/>
                <w:sz w:val="16"/>
                <w:szCs w:val="16"/>
                <w:lang w:bidi="th-TH"/>
              </w:rPr>
            </w:pPr>
            <w:r w:rsidRPr="00A32AF4">
              <w:rPr>
                <w:rFonts w:cs="Arial"/>
                <w:sz w:val="16"/>
                <w:szCs w:val="16"/>
                <w:lang w:bidi="th-TH"/>
              </w:rPr>
              <w:t>Programme 18</w:t>
            </w:r>
          </w:p>
        </w:tc>
      </w:tr>
      <w:tr w:rsidR="009A24BE" w:rsidRPr="00A32AF4" w:rsidTr="0046629D">
        <w:trPr>
          <w:cantSplit/>
        </w:trPr>
        <w:tc>
          <w:tcPr>
            <w:tcW w:w="1769" w:type="pct"/>
            <w:shd w:val="clear" w:color="auto" w:fill="auto"/>
            <w:tcMar>
              <w:top w:w="113" w:type="dxa"/>
              <w:bottom w:w="113" w:type="dxa"/>
            </w:tcMar>
          </w:tcPr>
          <w:p w:rsidR="009A24BE" w:rsidRPr="00A32AF4" w:rsidRDefault="009A24BE" w:rsidP="00DC0553">
            <w:pPr>
              <w:rPr>
                <w:rFonts w:cs="Arial"/>
                <w:sz w:val="16"/>
                <w:szCs w:val="16"/>
              </w:rPr>
            </w:pPr>
          </w:p>
        </w:tc>
        <w:tc>
          <w:tcPr>
            <w:tcW w:w="2166" w:type="pct"/>
            <w:gridSpan w:val="2"/>
            <w:shd w:val="clear" w:color="auto" w:fill="auto"/>
            <w:tcMar>
              <w:top w:w="113" w:type="dxa"/>
              <w:bottom w:w="113" w:type="dxa"/>
            </w:tcMar>
          </w:tcPr>
          <w:p w:rsidR="009A24BE" w:rsidRPr="00A32AF4" w:rsidRDefault="0046629D" w:rsidP="00DC0553">
            <w:pPr>
              <w:rPr>
                <w:rFonts w:cs="Arial"/>
                <w:sz w:val="16"/>
                <w:szCs w:val="16"/>
              </w:rPr>
            </w:pPr>
            <w:r w:rsidRPr="00A32AF4">
              <w:rPr>
                <w:rFonts w:cs="Arial"/>
                <w:sz w:val="16"/>
                <w:szCs w:val="16"/>
              </w:rPr>
              <w:t>Nombre de données dans la base WIPO GREEN</w:t>
            </w:r>
          </w:p>
        </w:tc>
        <w:tc>
          <w:tcPr>
            <w:tcW w:w="1065" w:type="pct"/>
            <w:shd w:val="clear" w:color="auto" w:fill="FFFFFF"/>
            <w:tcMar>
              <w:top w:w="113" w:type="dxa"/>
              <w:bottom w:w="113" w:type="dxa"/>
            </w:tcMar>
          </w:tcPr>
          <w:p w:rsidR="009A24BE" w:rsidRPr="00A32AF4" w:rsidRDefault="009A24BE" w:rsidP="00DC0553">
            <w:pPr>
              <w:jc w:val="center"/>
              <w:rPr>
                <w:rFonts w:cs="Arial"/>
                <w:sz w:val="16"/>
                <w:szCs w:val="16"/>
                <w:lang w:bidi="th-TH"/>
              </w:rPr>
            </w:pPr>
            <w:r w:rsidRPr="00A32AF4">
              <w:rPr>
                <w:rFonts w:cs="Arial"/>
                <w:sz w:val="16"/>
                <w:szCs w:val="16"/>
                <w:lang w:bidi="th-TH"/>
              </w:rPr>
              <w:t>Programme 18</w:t>
            </w:r>
          </w:p>
        </w:tc>
      </w:tr>
      <w:tr w:rsidR="009A24BE" w:rsidRPr="00A32AF4" w:rsidTr="0046629D">
        <w:trPr>
          <w:cantSplit/>
        </w:trPr>
        <w:tc>
          <w:tcPr>
            <w:tcW w:w="1769" w:type="pct"/>
            <w:shd w:val="clear" w:color="auto" w:fill="auto"/>
            <w:tcMar>
              <w:top w:w="113" w:type="dxa"/>
              <w:bottom w:w="113" w:type="dxa"/>
            </w:tcMar>
          </w:tcPr>
          <w:p w:rsidR="009A24BE" w:rsidRPr="00A32AF4" w:rsidRDefault="009A24BE" w:rsidP="00DC0553">
            <w:pPr>
              <w:rPr>
                <w:rFonts w:cs="Arial"/>
                <w:sz w:val="16"/>
                <w:szCs w:val="16"/>
              </w:rPr>
            </w:pPr>
          </w:p>
        </w:tc>
        <w:tc>
          <w:tcPr>
            <w:tcW w:w="2166" w:type="pct"/>
            <w:gridSpan w:val="2"/>
            <w:shd w:val="clear" w:color="auto" w:fill="auto"/>
            <w:tcMar>
              <w:top w:w="113" w:type="dxa"/>
              <w:bottom w:w="113" w:type="dxa"/>
            </w:tcMar>
          </w:tcPr>
          <w:p w:rsidR="009A24BE" w:rsidRPr="00A32AF4" w:rsidRDefault="0046629D" w:rsidP="00DC0553">
            <w:pPr>
              <w:rPr>
                <w:rFonts w:cs="Arial"/>
                <w:sz w:val="16"/>
                <w:szCs w:val="16"/>
              </w:rPr>
            </w:pPr>
            <w:r w:rsidRPr="00A32AF4">
              <w:rPr>
                <w:rFonts w:cs="Arial"/>
                <w:sz w:val="16"/>
                <w:szCs w:val="16"/>
              </w:rPr>
              <w:t>Nombre d</w:t>
            </w:r>
            <w:r w:rsidR="00E2055A" w:rsidRPr="00A32AF4">
              <w:rPr>
                <w:rFonts w:cs="Arial"/>
                <w:sz w:val="16"/>
                <w:szCs w:val="16"/>
              </w:rPr>
              <w:t>’</w:t>
            </w:r>
            <w:r w:rsidRPr="00A32AF4">
              <w:rPr>
                <w:rFonts w:cs="Arial"/>
                <w:sz w:val="16"/>
                <w:szCs w:val="16"/>
              </w:rPr>
              <w:t>accords favorisés par WIPO GREEN qui facilitent le transfert de connaissances, et l</w:t>
            </w:r>
            <w:r w:rsidR="00E2055A" w:rsidRPr="00A32AF4">
              <w:rPr>
                <w:rFonts w:cs="Arial"/>
                <w:sz w:val="16"/>
                <w:szCs w:val="16"/>
              </w:rPr>
              <w:t>’</w:t>
            </w:r>
            <w:r w:rsidRPr="00A32AF4">
              <w:rPr>
                <w:rFonts w:cs="Arial"/>
                <w:sz w:val="16"/>
                <w:szCs w:val="16"/>
              </w:rPr>
              <w:t>adaptation, le transfert ou la diffusion des technologies</w:t>
            </w:r>
          </w:p>
        </w:tc>
        <w:tc>
          <w:tcPr>
            <w:tcW w:w="1065" w:type="pct"/>
            <w:shd w:val="clear" w:color="auto" w:fill="FFFFFF"/>
            <w:tcMar>
              <w:top w:w="113" w:type="dxa"/>
              <w:bottom w:w="113" w:type="dxa"/>
            </w:tcMar>
          </w:tcPr>
          <w:p w:rsidR="009A24BE" w:rsidRPr="00A32AF4" w:rsidRDefault="009A24BE" w:rsidP="00DC0553">
            <w:pPr>
              <w:jc w:val="center"/>
              <w:rPr>
                <w:rFonts w:cs="Arial"/>
                <w:sz w:val="16"/>
                <w:szCs w:val="16"/>
                <w:lang w:bidi="th-TH"/>
              </w:rPr>
            </w:pPr>
            <w:r w:rsidRPr="00A32AF4">
              <w:rPr>
                <w:rFonts w:cs="Arial"/>
                <w:sz w:val="16"/>
                <w:szCs w:val="16"/>
                <w:lang w:bidi="th-TH"/>
              </w:rPr>
              <w:t>Programme 18</w:t>
            </w:r>
          </w:p>
        </w:tc>
      </w:tr>
      <w:tr w:rsidR="0046629D" w:rsidRPr="00A32AF4" w:rsidTr="0046629D">
        <w:trPr>
          <w:cantSplit/>
        </w:trPr>
        <w:tc>
          <w:tcPr>
            <w:tcW w:w="1769" w:type="pct"/>
            <w:shd w:val="clear" w:color="auto" w:fill="auto"/>
            <w:tcMar>
              <w:top w:w="113" w:type="dxa"/>
              <w:bottom w:w="113" w:type="dxa"/>
            </w:tcMar>
          </w:tcPr>
          <w:p w:rsidR="0046629D" w:rsidRPr="00A32AF4" w:rsidRDefault="0046629D" w:rsidP="00DC0553">
            <w:pPr>
              <w:rPr>
                <w:rFonts w:cs="Arial"/>
                <w:sz w:val="16"/>
                <w:szCs w:val="16"/>
              </w:rPr>
            </w:pPr>
          </w:p>
        </w:tc>
        <w:tc>
          <w:tcPr>
            <w:tcW w:w="2166" w:type="pct"/>
            <w:gridSpan w:val="2"/>
            <w:shd w:val="clear" w:color="auto" w:fill="auto"/>
            <w:tcMar>
              <w:top w:w="113" w:type="dxa"/>
              <w:bottom w:w="113" w:type="dxa"/>
            </w:tcMar>
          </w:tcPr>
          <w:p w:rsidR="0046629D" w:rsidRPr="00A32AF4" w:rsidRDefault="0046629D" w:rsidP="00DC0553">
            <w:pPr>
              <w:rPr>
                <w:rFonts w:cs="Arial"/>
                <w:sz w:val="16"/>
                <w:szCs w:val="16"/>
              </w:rPr>
            </w:pPr>
            <w:r w:rsidRPr="00A32AF4">
              <w:rPr>
                <w:rFonts w:cs="Arial"/>
                <w:sz w:val="16"/>
                <w:szCs w:val="16"/>
              </w:rPr>
              <w:t>Progrès dans l</w:t>
            </w:r>
            <w:r w:rsidR="00E2055A" w:rsidRPr="00A32AF4">
              <w:rPr>
                <w:rFonts w:cs="Arial"/>
                <w:sz w:val="16"/>
                <w:szCs w:val="16"/>
              </w:rPr>
              <w:t>’</w:t>
            </w:r>
            <w:r w:rsidRPr="00A32AF4">
              <w:rPr>
                <w:rFonts w:cs="Arial"/>
                <w:sz w:val="16"/>
                <w:szCs w:val="16"/>
              </w:rPr>
              <w:t>élaboration d</w:t>
            </w:r>
            <w:r w:rsidR="00E2055A" w:rsidRPr="00A32AF4">
              <w:rPr>
                <w:rFonts w:cs="Arial"/>
                <w:sz w:val="16"/>
                <w:szCs w:val="16"/>
              </w:rPr>
              <w:t>’</w:t>
            </w:r>
            <w:r w:rsidRPr="00A32AF4">
              <w:rPr>
                <w:rFonts w:cs="Arial"/>
                <w:sz w:val="16"/>
                <w:szCs w:val="16"/>
              </w:rPr>
              <w:t>un cadre international de collaboration aux fins d</w:t>
            </w:r>
            <w:r w:rsidR="00E2055A" w:rsidRPr="00A32AF4">
              <w:rPr>
                <w:rFonts w:cs="Arial"/>
                <w:sz w:val="16"/>
                <w:szCs w:val="16"/>
              </w:rPr>
              <w:t>’</w:t>
            </w:r>
            <w:r w:rsidRPr="00A32AF4">
              <w:rPr>
                <w:rFonts w:cs="Arial"/>
                <w:sz w:val="16"/>
                <w:szCs w:val="16"/>
              </w:rPr>
              <w:t>une contribution efficace de la propriété intellectuelle à la sécurité alimentaire grâce au processus de consultation</w:t>
            </w:r>
          </w:p>
        </w:tc>
        <w:tc>
          <w:tcPr>
            <w:tcW w:w="1065" w:type="pct"/>
            <w:shd w:val="clear" w:color="auto" w:fill="FFFFFF"/>
            <w:tcMar>
              <w:top w:w="113" w:type="dxa"/>
              <w:bottom w:w="113" w:type="dxa"/>
            </w:tcMar>
          </w:tcPr>
          <w:p w:rsidR="0046629D" w:rsidRPr="00A32AF4" w:rsidRDefault="0046629D" w:rsidP="00DC0553">
            <w:pPr>
              <w:jc w:val="center"/>
              <w:rPr>
                <w:rFonts w:cs="Arial"/>
                <w:sz w:val="16"/>
                <w:szCs w:val="16"/>
                <w:lang w:bidi="th-TH"/>
              </w:rPr>
            </w:pPr>
            <w:r w:rsidRPr="00A32AF4">
              <w:rPr>
                <w:rFonts w:cs="Arial"/>
                <w:sz w:val="16"/>
                <w:szCs w:val="16"/>
                <w:lang w:bidi="th-TH"/>
              </w:rPr>
              <w:t>Programme 18</w:t>
            </w:r>
          </w:p>
        </w:tc>
      </w:tr>
      <w:tr w:rsidR="009A24BE" w:rsidRPr="00A32AF4" w:rsidTr="0046629D">
        <w:trPr>
          <w:cantSplit/>
        </w:trPr>
        <w:tc>
          <w:tcPr>
            <w:tcW w:w="1769" w:type="pct"/>
            <w:shd w:val="clear" w:color="auto" w:fill="auto"/>
            <w:tcMar>
              <w:top w:w="113" w:type="dxa"/>
              <w:bottom w:w="113" w:type="dxa"/>
            </w:tcMar>
          </w:tcPr>
          <w:p w:rsidR="009A24BE" w:rsidRPr="00A32AF4" w:rsidRDefault="009A24BE" w:rsidP="00DC0553">
            <w:pPr>
              <w:rPr>
                <w:rFonts w:cs="Arial"/>
                <w:sz w:val="16"/>
                <w:szCs w:val="16"/>
              </w:rPr>
            </w:pPr>
          </w:p>
        </w:tc>
        <w:tc>
          <w:tcPr>
            <w:tcW w:w="2166" w:type="pct"/>
            <w:gridSpan w:val="2"/>
            <w:shd w:val="clear" w:color="auto" w:fill="auto"/>
            <w:tcMar>
              <w:top w:w="113" w:type="dxa"/>
              <w:bottom w:w="113" w:type="dxa"/>
            </w:tcMar>
          </w:tcPr>
          <w:p w:rsidR="009A24BE" w:rsidRPr="00A32AF4" w:rsidRDefault="0046629D" w:rsidP="00DC0553">
            <w:pPr>
              <w:rPr>
                <w:rFonts w:cs="Arial"/>
                <w:sz w:val="16"/>
                <w:szCs w:val="16"/>
              </w:rPr>
            </w:pPr>
            <w:r w:rsidRPr="00A32AF4">
              <w:rPr>
                <w:rFonts w:cs="Arial"/>
                <w:sz w:val="16"/>
                <w:szCs w:val="16"/>
              </w:rPr>
              <w:t>Nombre de consultations du site Web consacré aux défis mondiaux</w:t>
            </w:r>
          </w:p>
        </w:tc>
        <w:tc>
          <w:tcPr>
            <w:tcW w:w="1065" w:type="pct"/>
            <w:shd w:val="clear" w:color="auto" w:fill="FFFFFF"/>
            <w:tcMar>
              <w:top w:w="113" w:type="dxa"/>
              <w:bottom w:w="113" w:type="dxa"/>
            </w:tcMar>
          </w:tcPr>
          <w:p w:rsidR="009A24BE" w:rsidRPr="00A32AF4" w:rsidRDefault="009A24BE" w:rsidP="00DC0553">
            <w:pPr>
              <w:jc w:val="center"/>
              <w:rPr>
                <w:rFonts w:cs="Arial"/>
                <w:sz w:val="16"/>
                <w:szCs w:val="16"/>
                <w:lang w:bidi="th-TH"/>
              </w:rPr>
            </w:pPr>
            <w:r w:rsidRPr="00A32AF4">
              <w:rPr>
                <w:rFonts w:cs="Arial"/>
                <w:sz w:val="16"/>
                <w:szCs w:val="16"/>
                <w:lang w:bidi="th-TH"/>
              </w:rPr>
              <w:t>Programme 18</w:t>
            </w:r>
          </w:p>
        </w:tc>
      </w:tr>
      <w:tr w:rsidR="009A24BE" w:rsidRPr="00A32AF4" w:rsidTr="0046629D">
        <w:trPr>
          <w:cantSplit/>
        </w:trPr>
        <w:tc>
          <w:tcPr>
            <w:tcW w:w="1769" w:type="pct"/>
            <w:shd w:val="clear" w:color="auto" w:fill="auto"/>
            <w:tcMar>
              <w:top w:w="113" w:type="dxa"/>
              <w:bottom w:w="113" w:type="dxa"/>
            </w:tcMar>
          </w:tcPr>
          <w:p w:rsidR="009A24BE" w:rsidRPr="00A32AF4" w:rsidRDefault="009A24BE" w:rsidP="00DC0553">
            <w:pPr>
              <w:rPr>
                <w:rFonts w:cs="Arial"/>
                <w:sz w:val="16"/>
                <w:szCs w:val="16"/>
              </w:rPr>
            </w:pPr>
          </w:p>
        </w:tc>
        <w:tc>
          <w:tcPr>
            <w:tcW w:w="2166" w:type="pct"/>
            <w:gridSpan w:val="2"/>
            <w:shd w:val="clear" w:color="auto" w:fill="auto"/>
            <w:tcMar>
              <w:top w:w="113" w:type="dxa"/>
              <w:bottom w:w="113" w:type="dxa"/>
            </w:tcMar>
          </w:tcPr>
          <w:p w:rsidR="009A24BE" w:rsidRPr="00A32AF4" w:rsidRDefault="0046629D" w:rsidP="00DC0553">
            <w:pPr>
              <w:rPr>
                <w:rFonts w:cs="Arial"/>
                <w:sz w:val="16"/>
                <w:szCs w:val="16"/>
              </w:rPr>
            </w:pPr>
            <w:r w:rsidRPr="00A32AF4">
              <w:rPr>
                <w:rFonts w:cs="Arial"/>
                <w:sz w:val="16"/>
                <w:szCs w:val="16"/>
              </w:rPr>
              <w:t>Participation de parties prenantes aux différentes plates</w:t>
            </w:r>
            <w:r w:rsidR="00EB7F54" w:rsidRPr="00A32AF4">
              <w:rPr>
                <w:rFonts w:cs="Arial"/>
                <w:sz w:val="16"/>
                <w:szCs w:val="16"/>
              </w:rPr>
              <w:noBreakHyphen/>
            </w:r>
            <w:r w:rsidRPr="00A32AF4">
              <w:rPr>
                <w:rFonts w:cs="Arial"/>
                <w:sz w:val="16"/>
                <w:szCs w:val="16"/>
              </w:rPr>
              <w:t>formes de l</w:t>
            </w:r>
            <w:r w:rsidR="00E2055A" w:rsidRPr="00A32AF4">
              <w:rPr>
                <w:rFonts w:cs="Arial"/>
                <w:sz w:val="16"/>
                <w:szCs w:val="16"/>
              </w:rPr>
              <w:t>’</w:t>
            </w:r>
            <w:r w:rsidRPr="00A32AF4">
              <w:rPr>
                <w:rFonts w:cs="Arial"/>
                <w:sz w:val="16"/>
                <w:szCs w:val="16"/>
              </w:rPr>
              <w:t>OMPI, à l</w:t>
            </w:r>
            <w:r w:rsidR="00E2055A" w:rsidRPr="00A32AF4">
              <w:rPr>
                <w:rFonts w:cs="Arial"/>
                <w:sz w:val="16"/>
                <w:szCs w:val="16"/>
              </w:rPr>
              <w:t>’</w:t>
            </w:r>
            <w:r w:rsidRPr="00A32AF4">
              <w:rPr>
                <w:rFonts w:cs="Arial"/>
                <w:sz w:val="16"/>
                <w:szCs w:val="16"/>
              </w:rPr>
              <w:t xml:space="preserve">image de WIPO GREEN ou de WIPO </w:t>
            </w:r>
            <w:proofErr w:type="gramStart"/>
            <w:r w:rsidRPr="00A32AF4">
              <w:rPr>
                <w:rFonts w:cs="Arial"/>
                <w:sz w:val="16"/>
                <w:szCs w:val="16"/>
              </w:rPr>
              <w:t>Re:Search</w:t>
            </w:r>
            <w:proofErr w:type="gramEnd"/>
          </w:p>
        </w:tc>
        <w:tc>
          <w:tcPr>
            <w:tcW w:w="1065" w:type="pct"/>
            <w:shd w:val="clear" w:color="auto" w:fill="FFFFFF"/>
            <w:tcMar>
              <w:top w:w="113" w:type="dxa"/>
              <w:bottom w:w="113" w:type="dxa"/>
            </w:tcMar>
          </w:tcPr>
          <w:p w:rsidR="009A24BE" w:rsidRPr="00A32AF4" w:rsidRDefault="009A24BE" w:rsidP="00DC0553">
            <w:pPr>
              <w:jc w:val="center"/>
              <w:rPr>
                <w:rFonts w:cs="Arial"/>
                <w:sz w:val="16"/>
                <w:szCs w:val="16"/>
                <w:lang w:bidi="th-TH"/>
              </w:rPr>
            </w:pPr>
            <w:r w:rsidRPr="00A32AF4">
              <w:rPr>
                <w:rFonts w:cs="Arial"/>
                <w:sz w:val="16"/>
                <w:szCs w:val="16"/>
                <w:lang w:bidi="th-TH"/>
              </w:rPr>
              <w:t>Programme 20</w:t>
            </w:r>
          </w:p>
        </w:tc>
      </w:tr>
    </w:tbl>
    <w:p w:rsidR="00F93B76" w:rsidRPr="00A32AF4" w:rsidRDefault="00F93B76" w:rsidP="00DC0553">
      <w:pPr>
        <w:jc w:val="both"/>
        <w:rPr>
          <w:rFonts w:cs="Arial"/>
        </w:rPr>
      </w:pPr>
    </w:p>
    <w:p w:rsidR="00F93B76" w:rsidRPr="00A32AF4" w:rsidRDefault="00F93B76" w:rsidP="00DC0553">
      <w:pPr>
        <w:jc w:val="both"/>
      </w:pPr>
    </w:p>
    <w:p w:rsidR="00F93B76" w:rsidRPr="00A32AF4" w:rsidRDefault="00F735D5" w:rsidP="00DC0553">
      <w:pPr>
        <w:rPr>
          <w:rFonts w:ascii="Arial Bold" w:hAnsi="Arial Bold" w:cs="Arial"/>
          <w:iCs/>
          <w:caps/>
          <w:szCs w:val="22"/>
        </w:rPr>
      </w:pPr>
      <w:r w:rsidRPr="00A32AF4">
        <w:br w:type="page"/>
      </w:r>
    </w:p>
    <w:p w:rsidR="00F93B76" w:rsidRPr="00A32AF4" w:rsidRDefault="00F735D5" w:rsidP="00FB1F61">
      <w:pPr>
        <w:pStyle w:val="Heading3"/>
      </w:pPr>
      <w:bookmarkStart w:id="55" w:name="_Toc431555461"/>
      <w:r w:rsidRPr="00A32AF4">
        <w:t>PROGRAMME 18</w:t>
      </w:r>
      <w:r w:rsidR="009A24BE" w:rsidRPr="00A32AF4">
        <w:tab/>
      </w:r>
      <w:r w:rsidRPr="00A32AF4">
        <w:t>Propriété intellectuelle et défis mondiaux</w:t>
      </w:r>
      <w:bookmarkEnd w:id="55"/>
    </w:p>
    <w:p w:rsidR="00F93B76" w:rsidRPr="00A32AF4" w:rsidRDefault="00F93B76" w:rsidP="00DC0553"/>
    <w:p w:rsidR="00F93B76" w:rsidRPr="00A32AF4" w:rsidRDefault="00F93B76" w:rsidP="00DC0553"/>
    <w:p w:rsidR="00F93B76" w:rsidRPr="00A32AF4" w:rsidRDefault="00F735D5" w:rsidP="00DC0553">
      <w:pPr>
        <w:rPr>
          <w:b/>
        </w:rPr>
      </w:pPr>
      <w:r w:rsidRPr="00A32AF4">
        <w:rPr>
          <w:b/>
        </w:rPr>
        <w:t>PROPRIÉTÉ INTELLECTUELLE ET DÉFIS MONDIAUX</w:t>
      </w:r>
    </w:p>
    <w:p w:rsidR="00F93B76" w:rsidRPr="00A32AF4" w:rsidRDefault="00F93B76" w:rsidP="00DC0553"/>
    <w:p w:rsidR="00F93B76" w:rsidRPr="00A32AF4" w:rsidRDefault="00F735D5" w:rsidP="00DC0553">
      <w:r w:rsidRPr="00A32AF4">
        <w:t>CONTEXTE DE PLANIFICATION</w:t>
      </w:r>
    </w:p>
    <w:p w:rsidR="00F93B76" w:rsidRPr="00A32AF4" w:rsidRDefault="00F93B76" w:rsidP="00DC0553"/>
    <w:p w:rsidR="00F93B76" w:rsidRPr="00A32AF4" w:rsidRDefault="00F735D5" w:rsidP="00DC0553">
      <w:pPr>
        <w:numPr>
          <w:ilvl w:val="0"/>
          <w:numId w:val="29"/>
        </w:numPr>
        <w:tabs>
          <w:tab w:val="left" w:pos="709"/>
        </w:tabs>
        <w:jc w:val="both"/>
        <w:rPr>
          <w:rFonts w:cs="Arial"/>
        </w:rPr>
      </w:pPr>
      <w:r w:rsidRPr="00A32AF4">
        <w:rPr>
          <w:rFonts w:cs="Arial"/>
          <w:spacing w:val="1"/>
        </w:rPr>
        <w:t>Ce programme traite du lien étroit entre l</w:t>
      </w:r>
      <w:r w:rsidR="00E2055A" w:rsidRPr="00A32AF4">
        <w:rPr>
          <w:rFonts w:cs="Arial"/>
          <w:spacing w:val="1"/>
        </w:rPr>
        <w:t>’</w:t>
      </w:r>
      <w:r w:rsidRPr="00A32AF4">
        <w:rPr>
          <w:rFonts w:cs="Arial"/>
          <w:spacing w:val="1"/>
        </w:rPr>
        <w:t>innovation et la propriété intellectuelle et des questions interdépendantes qui se posent à l</w:t>
      </w:r>
      <w:r w:rsidR="00E2055A" w:rsidRPr="00A32AF4">
        <w:rPr>
          <w:rFonts w:cs="Arial"/>
          <w:spacing w:val="1"/>
        </w:rPr>
        <w:t>’</w:t>
      </w:r>
      <w:r w:rsidRPr="00A32AF4">
        <w:rPr>
          <w:rFonts w:cs="Arial"/>
          <w:spacing w:val="1"/>
        </w:rPr>
        <w:t>échelle mondiale, notamment en termes de santé publique et de changement climatique et, dans une moindre mesure, de sécurité alimentaire.</w:t>
      </w:r>
      <w:r w:rsidRPr="00A32AF4">
        <w:rPr>
          <w:spacing w:val="1"/>
        </w:rPr>
        <w:t xml:space="preserve">  </w:t>
      </w:r>
      <w:r w:rsidRPr="00A32AF4">
        <w:rPr>
          <w:rFonts w:cs="Arial"/>
          <w:spacing w:val="1"/>
        </w:rPr>
        <w:t>Le choix des priorités reflète l</w:t>
      </w:r>
      <w:r w:rsidR="00E2055A" w:rsidRPr="00A32AF4">
        <w:rPr>
          <w:rFonts w:cs="Arial"/>
          <w:spacing w:val="1"/>
        </w:rPr>
        <w:t>’</w:t>
      </w:r>
      <w:r w:rsidRPr="00A32AF4">
        <w:rPr>
          <w:rFonts w:cs="Arial"/>
          <w:spacing w:val="1"/>
        </w:rPr>
        <w:t>objectif des États membres (par exemple, dans le Programme de développement pour l</w:t>
      </w:r>
      <w:r w:rsidR="00E2055A" w:rsidRPr="00A32AF4">
        <w:rPr>
          <w:rFonts w:cs="Arial"/>
          <w:spacing w:val="1"/>
        </w:rPr>
        <w:t>’</w:t>
      </w:r>
      <w:r w:rsidRPr="00A32AF4">
        <w:rPr>
          <w:rFonts w:cs="Arial"/>
          <w:spacing w:val="1"/>
        </w:rPr>
        <w:t>après</w:t>
      </w:r>
      <w:r w:rsidR="00EB7F54" w:rsidRPr="00A32AF4">
        <w:rPr>
          <w:rFonts w:cs="Arial"/>
          <w:spacing w:val="1"/>
        </w:rPr>
        <w:noBreakHyphen/>
      </w:r>
      <w:r w:rsidRPr="00A32AF4">
        <w:rPr>
          <w:rFonts w:cs="Arial"/>
          <w:spacing w:val="1"/>
        </w:rPr>
        <w:t>2015) et la possibilité que des solutions axées sur l</w:t>
      </w:r>
      <w:r w:rsidR="00E2055A" w:rsidRPr="00A32AF4">
        <w:rPr>
          <w:rFonts w:cs="Arial"/>
          <w:spacing w:val="1"/>
        </w:rPr>
        <w:t>’</w:t>
      </w:r>
      <w:r w:rsidRPr="00A32AF4">
        <w:rPr>
          <w:rFonts w:cs="Arial"/>
          <w:spacing w:val="1"/>
        </w:rPr>
        <w:t>innovation produisent des résultats tangibles.</w:t>
      </w:r>
    </w:p>
    <w:p w:rsidR="00F93B76" w:rsidRPr="00A32AF4" w:rsidRDefault="00F735D5" w:rsidP="00DC0553">
      <w:pPr>
        <w:numPr>
          <w:ilvl w:val="0"/>
          <w:numId w:val="29"/>
        </w:numPr>
        <w:tabs>
          <w:tab w:val="left" w:pos="709"/>
        </w:tabs>
        <w:spacing w:before="216"/>
        <w:jc w:val="both"/>
        <w:rPr>
          <w:rFonts w:cs="Arial"/>
          <w:spacing w:val="2"/>
        </w:rPr>
      </w:pPr>
      <w:r w:rsidRPr="00A32AF4">
        <w:rPr>
          <w:rFonts w:cs="Arial"/>
          <w:spacing w:val="2"/>
        </w:rPr>
        <w:t>Libérer le potentiel de l</w:t>
      </w:r>
      <w:r w:rsidR="00E2055A" w:rsidRPr="00A32AF4">
        <w:rPr>
          <w:rFonts w:cs="Arial"/>
          <w:spacing w:val="2"/>
        </w:rPr>
        <w:t>’</w:t>
      </w:r>
      <w:r w:rsidRPr="00A32AF4">
        <w:rPr>
          <w:rFonts w:cs="Arial"/>
          <w:spacing w:val="2"/>
        </w:rPr>
        <w:t>innovation de sorte que tous les pays, quel que soit leur niveau de développement, en bénéficient peut constituer une amorce de solution à ces problèmes mondiaux.</w:t>
      </w:r>
      <w:r w:rsidRPr="00A32AF4">
        <w:rPr>
          <w:spacing w:val="2"/>
        </w:rPr>
        <w:t xml:space="preserve">  </w:t>
      </w:r>
      <w:r w:rsidRPr="00A32AF4">
        <w:rPr>
          <w:rFonts w:cs="Arial"/>
          <w:spacing w:val="2"/>
        </w:rPr>
        <w:t>De nouvelles formes de collaboration reposant sur un large éventail de parties prenantes servent ainsi de plus en plus souvent de canal pour le renforcement des capacités, le transfert de technologie et la diffusion d</w:t>
      </w:r>
      <w:r w:rsidR="00E2055A" w:rsidRPr="00A32AF4">
        <w:rPr>
          <w:rFonts w:cs="Arial"/>
          <w:spacing w:val="2"/>
        </w:rPr>
        <w:t>’</w:t>
      </w:r>
      <w:r w:rsidRPr="00A32AF4">
        <w:rPr>
          <w:rFonts w:cs="Arial"/>
          <w:spacing w:val="2"/>
        </w:rPr>
        <w:t>outils pratiques.</w:t>
      </w:r>
    </w:p>
    <w:p w:rsidR="00F93B76" w:rsidRPr="00A32AF4" w:rsidRDefault="00F735D5" w:rsidP="0038345F">
      <w:pPr>
        <w:numPr>
          <w:ilvl w:val="0"/>
          <w:numId w:val="29"/>
        </w:numPr>
        <w:tabs>
          <w:tab w:val="left" w:pos="709"/>
        </w:tabs>
        <w:spacing w:before="216"/>
        <w:jc w:val="both"/>
        <w:rPr>
          <w:rFonts w:cs="Arial"/>
          <w:spacing w:val="2"/>
        </w:rPr>
      </w:pPr>
      <w:proofErr w:type="gramStart"/>
      <w:r w:rsidRPr="00A32AF4">
        <w:rPr>
          <w:rFonts w:cs="Arial"/>
          <w:bCs/>
        </w:rPr>
        <w:t xml:space="preserve">Le programme </w:t>
      </w:r>
      <w:r w:rsidR="00E73BB8" w:rsidRPr="00A32AF4">
        <w:rPr>
          <w:rFonts w:cs="Arial"/>
          <w:bCs/>
        </w:rPr>
        <w:t>a mis en place</w:t>
      </w:r>
      <w:r w:rsidRPr="00A32AF4">
        <w:rPr>
          <w:rFonts w:cs="Arial"/>
          <w:bCs/>
        </w:rPr>
        <w:t xml:space="preserve"> deux plates</w:t>
      </w:r>
      <w:r w:rsidR="00EB7F54" w:rsidRPr="00A32AF4">
        <w:rPr>
          <w:rFonts w:cs="Arial"/>
          <w:bCs/>
        </w:rPr>
        <w:noBreakHyphen/>
      </w:r>
      <w:r w:rsidRPr="00A32AF4">
        <w:rPr>
          <w:rFonts w:cs="Arial"/>
          <w:bCs/>
        </w:rPr>
        <w:t>formes multipartites</w:t>
      </w:r>
      <w:r w:rsidR="009F0B72" w:rsidRPr="00A32AF4">
        <w:rPr>
          <w:rFonts w:cs="Arial"/>
          <w:bCs/>
        </w:rPr>
        <w:t xml:space="preserve">, WIPO Re:Search </w:t>
      </w:r>
      <w:r w:rsidR="00E73BB8" w:rsidRPr="00A32AF4">
        <w:rPr>
          <w:rFonts w:cs="Arial"/>
          <w:bCs/>
        </w:rPr>
        <w:t>(</w:t>
      </w:r>
      <w:r w:rsidR="00271EB5" w:rsidRPr="00A32AF4">
        <w:rPr>
          <w:rFonts w:cs="Arial"/>
          <w:bCs/>
        </w:rPr>
        <w:t>dans le but de faciliter l</w:t>
      </w:r>
      <w:r w:rsidR="00E2055A" w:rsidRPr="00A32AF4">
        <w:rPr>
          <w:rFonts w:cs="Arial"/>
          <w:bCs/>
        </w:rPr>
        <w:t>’</w:t>
      </w:r>
      <w:r w:rsidR="00271EB5" w:rsidRPr="00A32AF4">
        <w:rPr>
          <w:rFonts w:cs="Arial"/>
          <w:bCs/>
        </w:rPr>
        <w:t xml:space="preserve">accès </w:t>
      </w:r>
      <w:r w:rsidR="002F02A1" w:rsidRPr="00A32AF4">
        <w:rPr>
          <w:rFonts w:cs="Arial"/>
          <w:bCs/>
        </w:rPr>
        <w:t>aux données</w:t>
      </w:r>
      <w:r w:rsidR="00EB6412" w:rsidRPr="00A32AF4">
        <w:rPr>
          <w:rFonts w:cs="Arial"/>
          <w:bCs/>
        </w:rPr>
        <w:t xml:space="preserve"> de</w:t>
      </w:r>
      <w:r w:rsidR="00271EB5" w:rsidRPr="00A32AF4">
        <w:rPr>
          <w:rFonts w:cs="Arial"/>
          <w:bCs/>
        </w:rPr>
        <w:t xml:space="preserve"> propriété intellectuelle et d</w:t>
      </w:r>
      <w:r w:rsidR="00E2055A" w:rsidRPr="00A32AF4">
        <w:rPr>
          <w:rFonts w:cs="Arial"/>
          <w:bCs/>
        </w:rPr>
        <w:t>’</w:t>
      </w:r>
      <w:r w:rsidR="00271EB5" w:rsidRPr="00A32AF4">
        <w:rPr>
          <w:rFonts w:cs="Arial"/>
          <w:bCs/>
        </w:rPr>
        <w:t>accélérer la recherche</w:t>
      </w:r>
      <w:r w:rsidR="00EB7F54" w:rsidRPr="00A32AF4">
        <w:rPr>
          <w:rFonts w:cs="Arial"/>
          <w:bCs/>
        </w:rPr>
        <w:noBreakHyphen/>
      </w:r>
      <w:r w:rsidR="00271EB5" w:rsidRPr="00A32AF4">
        <w:rPr>
          <w:rFonts w:cs="Arial"/>
          <w:bCs/>
        </w:rPr>
        <w:t xml:space="preserve">développement pour mettre au point des médicaments permettant de lutter contre les maladies tropicales négligées, le paludisme et la tuberculose) </w:t>
      </w:r>
      <w:r w:rsidR="009F0B72" w:rsidRPr="00A32AF4">
        <w:rPr>
          <w:rFonts w:cs="Arial"/>
          <w:bCs/>
        </w:rPr>
        <w:t xml:space="preserve">dans le domaine de la santé </w:t>
      </w:r>
      <w:r w:rsidR="00E42026" w:rsidRPr="00A32AF4">
        <w:rPr>
          <w:rFonts w:cs="Arial"/>
          <w:bCs/>
        </w:rPr>
        <w:t>au niveau</w:t>
      </w:r>
      <w:r w:rsidR="00271EB5" w:rsidRPr="00A32AF4">
        <w:rPr>
          <w:rFonts w:cs="Arial"/>
          <w:bCs/>
        </w:rPr>
        <w:t xml:space="preserve"> mondial, </w:t>
      </w:r>
      <w:r w:rsidR="009F0B72" w:rsidRPr="00A32AF4">
        <w:rPr>
          <w:rFonts w:cs="Arial"/>
          <w:bCs/>
        </w:rPr>
        <w:t xml:space="preserve">et WIPO GREEN </w:t>
      </w:r>
      <w:r w:rsidR="00C67436" w:rsidRPr="00A32AF4">
        <w:rPr>
          <w:rFonts w:cs="Arial"/>
          <w:bCs/>
        </w:rPr>
        <w:t>(</w:t>
      </w:r>
      <w:r w:rsidR="00C67436" w:rsidRPr="00A32AF4">
        <w:t xml:space="preserve">une </w:t>
      </w:r>
      <w:r w:rsidR="002C0142" w:rsidRPr="00A32AF4">
        <w:t>plate</w:t>
      </w:r>
      <w:r w:rsidR="00EB7F54" w:rsidRPr="00A32AF4">
        <w:noBreakHyphen/>
      </w:r>
      <w:r w:rsidR="002C0142" w:rsidRPr="00A32AF4">
        <w:t>forme</w:t>
      </w:r>
      <w:r w:rsidR="00C67436" w:rsidRPr="00A32AF4">
        <w:rPr>
          <w:rFonts w:cs="Arial"/>
          <w:bCs/>
        </w:rPr>
        <w:t xml:space="preserve"> </w:t>
      </w:r>
      <w:r w:rsidR="00670BF1" w:rsidRPr="00A32AF4">
        <w:rPr>
          <w:rFonts w:cs="Arial"/>
          <w:bCs/>
        </w:rPr>
        <w:t>destinée à améliorer le cadre de l</w:t>
      </w:r>
      <w:r w:rsidR="00E2055A" w:rsidRPr="00A32AF4">
        <w:rPr>
          <w:rFonts w:cs="Arial"/>
          <w:bCs/>
        </w:rPr>
        <w:t>’</w:t>
      </w:r>
      <w:r w:rsidR="00670BF1" w:rsidRPr="00A32AF4">
        <w:rPr>
          <w:rFonts w:cs="Arial"/>
          <w:bCs/>
        </w:rPr>
        <w:t>innovation tout en accélérant la diffusion des technologies vertes</w:t>
      </w:r>
      <w:r w:rsidR="00C67436" w:rsidRPr="00A32AF4">
        <w:rPr>
          <w:rFonts w:cs="Arial"/>
          <w:bCs/>
        </w:rPr>
        <w:t xml:space="preserve">) </w:t>
      </w:r>
      <w:r w:rsidR="009F0B72" w:rsidRPr="00A32AF4">
        <w:rPr>
          <w:rFonts w:cs="Arial"/>
          <w:bCs/>
        </w:rPr>
        <w:t>dans le domaine du changement climatique</w:t>
      </w:r>
      <w:r w:rsidRPr="00A32AF4">
        <w:rPr>
          <w:rFonts w:cs="Arial"/>
          <w:bCs/>
        </w:rPr>
        <w:t>.</w:t>
      </w:r>
      <w:proofErr w:type="gramEnd"/>
      <w:r w:rsidR="004331C7" w:rsidRPr="00A32AF4">
        <w:rPr>
          <w:rFonts w:cs="Arial"/>
          <w:bCs/>
        </w:rPr>
        <w:t xml:space="preserve">  </w:t>
      </w:r>
      <w:r w:rsidR="009F0B72" w:rsidRPr="00A32AF4">
        <w:rPr>
          <w:rFonts w:cs="Arial"/>
          <w:spacing w:val="2"/>
        </w:rPr>
        <w:t>S</w:t>
      </w:r>
      <w:r w:rsidR="00E2055A" w:rsidRPr="00A32AF4">
        <w:rPr>
          <w:rFonts w:cs="Arial"/>
          <w:spacing w:val="2"/>
        </w:rPr>
        <w:t>’</w:t>
      </w:r>
      <w:r w:rsidR="009F0B72" w:rsidRPr="00A32AF4">
        <w:rPr>
          <w:rFonts w:cs="Arial"/>
          <w:spacing w:val="2"/>
        </w:rPr>
        <w:t>agissant de ces</w:t>
      </w:r>
      <w:r w:rsidRPr="00A32AF4">
        <w:rPr>
          <w:rFonts w:cs="Arial"/>
          <w:spacing w:val="2"/>
        </w:rPr>
        <w:t xml:space="preserve"> deux plates</w:t>
      </w:r>
      <w:r w:rsidR="00EB7F54" w:rsidRPr="00A32AF4">
        <w:rPr>
          <w:rFonts w:cs="Arial"/>
          <w:spacing w:val="2"/>
        </w:rPr>
        <w:noBreakHyphen/>
      </w:r>
      <w:r w:rsidRPr="00A32AF4">
        <w:rPr>
          <w:rFonts w:cs="Arial"/>
          <w:spacing w:val="2"/>
        </w:rPr>
        <w:t xml:space="preserve">formes, le </w:t>
      </w:r>
      <w:r w:rsidR="009F0B72" w:rsidRPr="00A32AF4">
        <w:rPr>
          <w:rFonts w:cs="Arial"/>
          <w:spacing w:val="2"/>
        </w:rPr>
        <w:t xml:space="preserve">programme prendra une série de mesures </w:t>
      </w:r>
      <w:r w:rsidR="00607A0A" w:rsidRPr="00A32AF4">
        <w:rPr>
          <w:rFonts w:cs="Arial"/>
          <w:spacing w:val="2"/>
        </w:rPr>
        <w:t>et</w:t>
      </w:r>
      <w:r w:rsidR="00EB6412" w:rsidRPr="00A32AF4">
        <w:rPr>
          <w:rFonts w:cs="Arial"/>
          <w:spacing w:val="2"/>
        </w:rPr>
        <w:t xml:space="preserve">, </w:t>
      </w:r>
      <w:r w:rsidR="00D56548" w:rsidRPr="00A32AF4">
        <w:rPr>
          <w:rFonts w:cs="Arial"/>
          <w:spacing w:val="2"/>
        </w:rPr>
        <w:t>conformément aux fonctions du Secrétariat telles qu</w:t>
      </w:r>
      <w:r w:rsidR="00E2055A" w:rsidRPr="00A32AF4">
        <w:rPr>
          <w:rFonts w:cs="Arial"/>
          <w:spacing w:val="2"/>
        </w:rPr>
        <w:t>’</w:t>
      </w:r>
      <w:r w:rsidR="00D56548" w:rsidRPr="00A32AF4">
        <w:rPr>
          <w:rFonts w:cs="Arial"/>
          <w:spacing w:val="2"/>
        </w:rPr>
        <w:t xml:space="preserve">elles sont définies </w:t>
      </w:r>
      <w:r w:rsidR="008F6E9C" w:rsidRPr="00A32AF4">
        <w:rPr>
          <w:rFonts w:cs="Arial"/>
          <w:spacing w:val="2"/>
        </w:rPr>
        <w:t>en vertu</w:t>
      </w:r>
      <w:r w:rsidR="00D56548" w:rsidRPr="00A32AF4">
        <w:rPr>
          <w:rFonts w:cs="Arial"/>
          <w:spacing w:val="2"/>
        </w:rPr>
        <w:t xml:space="preserve"> des Principes directeurs du Consortium WIPO </w:t>
      </w:r>
      <w:proofErr w:type="gramStart"/>
      <w:r w:rsidR="00D56548" w:rsidRPr="00A32AF4">
        <w:rPr>
          <w:rFonts w:cs="Arial"/>
          <w:spacing w:val="2"/>
        </w:rPr>
        <w:t>Re:Search</w:t>
      </w:r>
      <w:proofErr w:type="gramEnd"/>
      <w:r w:rsidR="00D56548" w:rsidRPr="00A32AF4">
        <w:rPr>
          <w:rFonts w:cs="Arial"/>
          <w:spacing w:val="2"/>
        </w:rPr>
        <w:t xml:space="preserve"> et de la charte de WIPO GREEN</w:t>
      </w:r>
      <w:r w:rsidR="00EB6412" w:rsidRPr="00A32AF4">
        <w:rPr>
          <w:rFonts w:cs="Arial"/>
          <w:spacing w:val="2"/>
        </w:rPr>
        <w:t>,</w:t>
      </w:r>
      <w:r w:rsidR="00607A0A" w:rsidRPr="00A32AF4">
        <w:rPr>
          <w:rFonts w:cs="Arial"/>
          <w:spacing w:val="2"/>
        </w:rPr>
        <w:t xml:space="preserve"> </w:t>
      </w:r>
      <w:r w:rsidR="009F0B72" w:rsidRPr="00A32AF4">
        <w:rPr>
          <w:rFonts w:cs="Arial"/>
          <w:spacing w:val="2"/>
        </w:rPr>
        <w:t>continuer</w:t>
      </w:r>
      <w:r w:rsidR="00607A0A" w:rsidRPr="00A32AF4">
        <w:rPr>
          <w:rFonts w:cs="Arial"/>
          <w:spacing w:val="2"/>
        </w:rPr>
        <w:t>a</w:t>
      </w:r>
      <w:r w:rsidR="009F0B72" w:rsidRPr="00A32AF4">
        <w:rPr>
          <w:rFonts w:cs="Arial"/>
          <w:spacing w:val="2"/>
        </w:rPr>
        <w:t xml:space="preserve"> d</w:t>
      </w:r>
      <w:r w:rsidR="00E2055A" w:rsidRPr="00A32AF4">
        <w:rPr>
          <w:rFonts w:cs="Arial"/>
          <w:spacing w:val="2"/>
        </w:rPr>
        <w:t>’</w:t>
      </w:r>
      <w:r w:rsidR="009F0B72" w:rsidRPr="00A32AF4">
        <w:rPr>
          <w:rFonts w:cs="Arial"/>
          <w:spacing w:val="2"/>
        </w:rPr>
        <w:t xml:space="preserve">élaborer et </w:t>
      </w:r>
      <w:r w:rsidR="00D01609" w:rsidRPr="00A32AF4">
        <w:rPr>
          <w:rFonts w:cs="Arial"/>
          <w:spacing w:val="2"/>
        </w:rPr>
        <w:t xml:space="preserve">de </w:t>
      </w:r>
      <w:r w:rsidR="009F0B72" w:rsidRPr="00A32AF4">
        <w:rPr>
          <w:rFonts w:cs="Arial"/>
          <w:spacing w:val="2"/>
        </w:rPr>
        <w:t xml:space="preserve">mettre en œuvre des stratégies visant </w:t>
      </w:r>
      <w:r w:rsidRPr="00A32AF4">
        <w:rPr>
          <w:rFonts w:cs="Arial"/>
          <w:spacing w:val="2"/>
        </w:rPr>
        <w:t xml:space="preserve">à permettre aux consortiums de poursuivre sur leur lancée et </w:t>
      </w:r>
      <w:r w:rsidR="00EB6412" w:rsidRPr="00A32AF4">
        <w:rPr>
          <w:rFonts w:cs="Arial"/>
          <w:spacing w:val="2"/>
        </w:rPr>
        <w:t>de</w:t>
      </w:r>
      <w:r w:rsidRPr="00A32AF4">
        <w:rPr>
          <w:rFonts w:cs="Arial"/>
          <w:spacing w:val="2"/>
        </w:rPr>
        <w:t xml:space="preserve"> mobiliser des ressources </w:t>
      </w:r>
      <w:r w:rsidR="009F0B72" w:rsidRPr="00A32AF4">
        <w:rPr>
          <w:rFonts w:cs="Arial"/>
          <w:spacing w:val="2"/>
        </w:rPr>
        <w:t xml:space="preserve">supplémentaires </w:t>
      </w:r>
      <w:r w:rsidRPr="00A32AF4">
        <w:rPr>
          <w:rFonts w:cs="Arial"/>
          <w:spacing w:val="2"/>
        </w:rPr>
        <w:t>pour financer de manière adéquate les activités en cours et planifiées.</w:t>
      </w:r>
    </w:p>
    <w:p w:rsidR="00F93B76" w:rsidRPr="00A32AF4" w:rsidRDefault="00F93B76" w:rsidP="00DC0553"/>
    <w:p w:rsidR="00F93B76" w:rsidRPr="00A32AF4" w:rsidRDefault="00F93B76" w:rsidP="00DC0553">
      <w:pPr>
        <w:rPr>
          <w:bCs/>
        </w:rPr>
      </w:pPr>
    </w:p>
    <w:p w:rsidR="00F93B76" w:rsidRPr="00A32AF4" w:rsidRDefault="00F735D5" w:rsidP="00DC0553">
      <w:pPr>
        <w:rPr>
          <w:bCs/>
          <w:szCs w:val="22"/>
        </w:rPr>
      </w:pPr>
      <w:r w:rsidRPr="00A32AF4">
        <w:rPr>
          <w:bCs/>
          <w:szCs w:val="22"/>
        </w:rPr>
        <w:t>STRATÉGIES DE MISE EN ŒUVRE</w:t>
      </w:r>
    </w:p>
    <w:p w:rsidR="00F93B76" w:rsidRPr="00A32AF4" w:rsidRDefault="00F93B76" w:rsidP="00DC0553"/>
    <w:p w:rsidR="00F93B76" w:rsidRPr="00A32AF4" w:rsidRDefault="00F735D5" w:rsidP="00DC0553">
      <w:pPr>
        <w:numPr>
          <w:ilvl w:val="0"/>
          <w:numId w:val="29"/>
        </w:numPr>
        <w:tabs>
          <w:tab w:val="left" w:pos="709"/>
        </w:tabs>
        <w:jc w:val="both"/>
        <w:rPr>
          <w:rFonts w:cs="Arial"/>
        </w:rPr>
      </w:pPr>
      <w:r w:rsidRPr="00A32AF4">
        <w:rPr>
          <w:rFonts w:cs="Arial"/>
        </w:rPr>
        <w:t>La contribution effective et constructive au débat mondial sur la politique à mener et à la recherche de solutions axées sur l</w:t>
      </w:r>
      <w:r w:rsidR="00E2055A" w:rsidRPr="00A32AF4">
        <w:rPr>
          <w:rFonts w:cs="Arial"/>
        </w:rPr>
        <w:t>’</w:t>
      </w:r>
      <w:r w:rsidRPr="00A32AF4">
        <w:rPr>
          <w:rFonts w:cs="Arial"/>
        </w:rPr>
        <w:t>innovation se poursuivra dans le cadre d</w:t>
      </w:r>
      <w:r w:rsidR="00E2055A" w:rsidRPr="00A32AF4">
        <w:rPr>
          <w:rFonts w:cs="Arial"/>
        </w:rPr>
        <w:t>’</w:t>
      </w:r>
      <w:r w:rsidRPr="00A32AF4">
        <w:rPr>
          <w:rFonts w:cs="Arial"/>
        </w:rPr>
        <w:t>une stratégie de mise en œuvre comportant trois volets :</w:t>
      </w:r>
    </w:p>
    <w:p w:rsidR="00F93B76" w:rsidRPr="00A32AF4" w:rsidRDefault="00F93B76" w:rsidP="00DC0553">
      <w:pPr>
        <w:tabs>
          <w:tab w:val="left" w:pos="709"/>
        </w:tabs>
        <w:jc w:val="both"/>
        <w:rPr>
          <w:rFonts w:cs="Arial"/>
        </w:rPr>
      </w:pPr>
    </w:p>
    <w:p w:rsidR="00F93B76" w:rsidRPr="00A32AF4" w:rsidRDefault="00F735D5" w:rsidP="00DC0553">
      <w:pPr>
        <w:tabs>
          <w:tab w:val="left" w:pos="709"/>
        </w:tabs>
        <w:rPr>
          <w:rFonts w:cs="Arial"/>
          <w:u w:val="single"/>
        </w:rPr>
      </w:pPr>
      <w:r w:rsidRPr="00A32AF4">
        <w:rPr>
          <w:rFonts w:cs="Arial"/>
          <w:u w:val="single"/>
        </w:rPr>
        <w:t>Élaborer et assurer le maintien en vigueur de plates</w:t>
      </w:r>
      <w:r w:rsidR="00EB7F54" w:rsidRPr="00A32AF4">
        <w:rPr>
          <w:rFonts w:cs="Arial"/>
          <w:u w:val="single"/>
        </w:rPr>
        <w:noBreakHyphen/>
      </w:r>
      <w:r w:rsidRPr="00A32AF4">
        <w:rPr>
          <w:rFonts w:cs="Arial"/>
          <w:u w:val="single"/>
        </w:rPr>
        <w:t>formes et d</w:t>
      </w:r>
      <w:r w:rsidR="00E2055A" w:rsidRPr="00A32AF4">
        <w:rPr>
          <w:rFonts w:cs="Arial"/>
          <w:u w:val="single"/>
        </w:rPr>
        <w:t>’</w:t>
      </w:r>
      <w:r w:rsidRPr="00A32AF4">
        <w:rPr>
          <w:rFonts w:cs="Arial"/>
          <w:u w:val="single"/>
        </w:rPr>
        <w:t>instruments fondés sur la propriété intellectuelle en vue de répondre aux défis mondiaux</w:t>
      </w:r>
    </w:p>
    <w:p w:rsidR="00F93B76" w:rsidRPr="00A32AF4" w:rsidRDefault="00F93B76" w:rsidP="00DC0553">
      <w:pPr>
        <w:tabs>
          <w:tab w:val="left" w:pos="709"/>
        </w:tabs>
        <w:jc w:val="both"/>
        <w:rPr>
          <w:rFonts w:cs="Arial"/>
        </w:rPr>
      </w:pPr>
    </w:p>
    <w:p w:rsidR="00F93B76" w:rsidRPr="00A32AF4" w:rsidRDefault="00F735D5" w:rsidP="00DC0553">
      <w:pPr>
        <w:numPr>
          <w:ilvl w:val="0"/>
          <w:numId w:val="29"/>
        </w:numPr>
        <w:tabs>
          <w:tab w:val="left" w:pos="709"/>
        </w:tabs>
        <w:jc w:val="both"/>
        <w:rPr>
          <w:rFonts w:cs="Arial"/>
        </w:rPr>
      </w:pPr>
      <w:r w:rsidRPr="00A32AF4">
        <w:rPr>
          <w:rFonts w:cs="Arial"/>
          <w:spacing w:val="3"/>
        </w:rPr>
        <w:t>Le principal élément stratégique de ce programme reposera sur la poursuite de la mise en œuvre et la pérennisation de ses deux plates</w:t>
      </w:r>
      <w:r w:rsidR="00EB7F54" w:rsidRPr="00A32AF4">
        <w:rPr>
          <w:rFonts w:cs="Arial"/>
          <w:spacing w:val="3"/>
        </w:rPr>
        <w:noBreakHyphen/>
      </w:r>
      <w:r w:rsidRPr="00A32AF4">
        <w:rPr>
          <w:rFonts w:cs="Arial"/>
          <w:spacing w:val="3"/>
        </w:rPr>
        <w:t>formes multipartites permettant de faciliter la création de réseaux de collaboration efficaces et de favoriser le transfert de technologie en rapport avec la santé et le changement climatique.</w:t>
      </w:r>
      <w:r w:rsidRPr="00A32AF4">
        <w:rPr>
          <w:spacing w:val="3"/>
        </w:rPr>
        <w:t xml:space="preserve">  </w:t>
      </w:r>
      <w:r w:rsidRPr="00A32AF4">
        <w:rPr>
          <w:rFonts w:cs="Arial"/>
          <w:spacing w:val="3"/>
        </w:rPr>
        <w:t>Les initiatives seront fondées sur des partenariats et des collaborations utilisant des structures d</w:t>
      </w:r>
      <w:r w:rsidR="00E2055A" w:rsidRPr="00A32AF4">
        <w:rPr>
          <w:rFonts w:cs="Arial"/>
          <w:spacing w:val="3"/>
        </w:rPr>
        <w:t>’</w:t>
      </w:r>
      <w:r w:rsidRPr="00A32AF4">
        <w:rPr>
          <w:rFonts w:cs="Arial"/>
          <w:spacing w:val="3"/>
        </w:rPr>
        <w:t>innovation ouverte, l</w:t>
      </w:r>
      <w:r w:rsidR="00E2055A" w:rsidRPr="00A32AF4">
        <w:rPr>
          <w:rFonts w:cs="Arial"/>
          <w:spacing w:val="3"/>
        </w:rPr>
        <w:t>’</w:t>
      </w:r>
      <w:r w:rsidRPr="00A32AF4">
        <w:rPr>
          <w:rFonts w:cs="Arial"/>
          <w:spacing w:val="3"/>
        </w:rPr>
        <w:t>innovation en réseau et d</w:t>
      </w:r>
      <w:r w:rsidR="00E2055A" w:rsidRPr="00A32AF4">
        <w:rPr>
          <w:rFonts w:cs="Arial"/>
          <w:spacing w:val="3"/>
        </w:rPr>
        <w:t>’</w:t>
      </w:r>
      <w:r w:rsidRPr="00A32AF4">
        <w:rPr>
          <w:rFonts w:cs="Arial"/>
          <w:spacing w:val="3"/>
        </w:rPr>
        <w:t>autres types de partenariats en vue d</w:t>
      </w:r>
      <w:r w:rsidR="00E2055A" w:rsidRPr="00A32AF4">
        <w:rPr>
          <w:rFonts w:cs="Arial"/>
          <w:spacing w:val="3"/>
        </w:rPr>
        <w:t>’</w:t>
      </w:r>
      <w:r w:rsidRPr="00A32AF4">
        <w:rPr>
          <w:rFonts w:cs="Arial"/>
          <w:spacing w:val="3"/>
        </w:rPr>
        <w:t>accélérer leur incidence.</w:t>
      </w:r>
      <w:r w:rsidRPr="00A32AF4">
        <w:rPr>
          <w:spacing w:val="3"/>
        </w:rPr>
        <w:t xml:space="preserve">  </w:t>
      </w:r>
      <w:r w:rsidRPr="00A32AF4">
        <w:rPr>
          <w:rFonts w:cs="Arial"/>
        </w:rPr>
        <w:t>Le renforcement de la coopération Nord</w:t>
      </w:r>
      <w:r w:rsidR="00EB7F54" w:rsidRPr="00A32AF4">
        <w:rPr>
          <w:rFonts w:cs="Arial"/>
        </w:rPr>
        <w:noBreakHyphen/>
      </w:r>
      <w:r w:rsidRPr="00A32AF4">
        <w:rPr>
          <w:rFonts w:cs="Arial"/>
        </w:rPr>
        <w:t>Sud et Sud</w:t>
      </w:r>
      <w:r w:rsidR="00EB7F54" w:rsidRPr="00A32AF4">
        <w:rPr>
          <w:rFonts w:cs="Arial"/>
        </w:rPr>
        <w:noBreakHyphen/>
      </w:r>
      <w:r w:rsidRPr="00A32AF4">
        <w:rPr>
          <w:rFonts w:cs="Arial"/>
        </w:rPr>
        <w:t>Sud et des partenariats favorisant la connectivité des innovateurs des pays en développement fera également l</w:t>
      </w:r>
      <w:r w:rsidR="00E2055A" w:rsidRPr="00A32AF4">
        <w:rPr>
          <w:rFonts w:cs="Arial"/>
        </w:rPr>
        <w:t>’</w:t>
      </w:r>
      <w:r w:rsidRPr="00A32AF4">
        <w:rPr>
          <w:rFonts w:cs="Arial"/>
        </w:rPr>
        <w:t>objet d</w:t>
      </w:r>
      <w:r w:rsidR="00E2055A" w:rsidRPr="00A32AF4">
        <w:rPr>
          <w:rFonts w:cs="Arial"/>
        </w:rPr>
        <w:t>’</w:t>
      </w:r>
      <w:r w:rsidRPr="00A32AF4">
        <w:rPr>
          <w:rFonts w:cs="Arial"/>
        </w:rPr>
        <w:t>une attention particulière.</w:t>
      </w:r>
    </w:p>
    <w:p w:rsidR="00F93B76" w:rsidRPr="00A32AF4" w:rsidRDefault="00F93B76" w:rsidP="00DC0553">
      <w:pPr>
        <w:tabs>
          <w:tab w:val="left" w:pos="709"/>
        </w:tabs>
        <w:jc w:val="both"/>
        <w:rPr>
          <w:rFonts w:cs="Arial"/>
        </w:rPr>
      </w:pPr>
    </w:p>
    <w:p w:rsidR="00F93B76" w:rsidRPr="00A32AF4" w:rsidRDefault="00F735D5" w:rsidP="00DC0553">
      <w:pPr>
        <w:numPr>
          <w:ilvl w:val="0"/>
          <w:numId w:val="29"/>
        </w:numPr>
        <w:tabs>
          <w:tab w:val="left" w:pos="709"/>
        </w:tabs>
        <w:jc w:val="both"/>
        <w:rPr>
          <w:rFonts w:cs="Arial"/>
        </w:rPr>
      </w:pPr>
      <w:r w:rsidRPr="00A32AF4">
        <w:rPr>
          <w:rFonts w:cs="Arial"/>
        </w:rPr>
        <w:t>En collaboration avec des partenaires extérieurs, des outils de partage des connaissances techniques visant à favoriser la diffusion et le transfert de technologies dans le domaine de la santé et de l</w:t>
      </w:r>
      <w:r w:rsidR="00E2055A" w:rsidRPr="00A32AF4">
        <w:rPr>
          <w:rFonts w:cs="Arial"/>
        </w:rPr>
        <w:t>’</w:t>
      </w:r>
      <w:r w:rsidRPr="00A32AF4">
        <w:rPr>
          <w:rFonts w:cs="Arial"/>
        </w:rPr>
        <w:t>écologie seront renforcés, conformément aux objectifs du Plan d</w:t>
      </w:r>
      <w:r w:rsidR="00E2055A" w:rsidRPr="00A32AF4">
        <w:rPr>
          <w:rFonts w:cs="Arial"/>
        </w:rPr>
        <w:t>’</w:t>
      </w:r>
      <w:r w:rsidRPr="00A32AF4">
        <w:rPr>
          <w:rFonts w:cs="Arial"/>
        </w:rPr>
        <w:t>action pour le développement, notamment les recommandations n</w:t>
      </w:r>
      <w:r w:rsidRPr="00A32AF4">
        <w:t>°</w:t>
      </w:r>
      <w:r w:rsidRPr="00A32AF4">
        <w:rPr>
          <w:rFonts w:cs="Arial"/>
        </w:rPr>
        <w:t> 19 (accès aux savoirs et à la technologie), 25 (transfert de technologie), 30, 40 et 42 (coopération avec les organisations intergouvernementales et ONG).</w:t>
      </w:r>
    </w:p>
    <w:p w:rsidR="00F93B76" w:rsidRPr="00A32AF4" w:rsidRDefault="00F93B76" w:rsidP="00DC0553"/>
    <w:p w:rsidR="0047185D" w:rsidRPr="00A32AF4" w:rsidRDefault="00F735D5" w:rsidP="0047185D">
      <w:pPr>
        <w:numPr>
          <w:ilvl w:val="0"/>
          <w:numId w:val="29"/>
        </w:numPr>
        <w:tabs>
          <w:tab w:val="left" w:pos="709"/>
        </w:tabs>
        <w:jc w:val="both"/>
        <w:rPr>
          <w:u w:val="single"/>
        </w:rPr>
      </w:pPr>
      <w:r w:rsidRPr="00A32AF4">
        <w:rPr>
          <w:rFonts w:cs="Arial"/>
        </w:rPr>
        <w:t>Une stratégie pour traiter les questions de propriété intellectuelle et de sécurité alimentaire qui tire parti des activités antérieures de l</w:t>
      </w:r>
      <w:r w:rsidR="00E2055A" w:rsidRPr="00A32AF4">
        <w:rPr>
          <w:rFonts w:cs="Arial"/>
        </w:rPr>
        <w:t>’</w:t>
      </w:r>
      <w:r w:rsidRPr="00A32AF4">
        <w:rPr>
          <w:rFonts w:cs="Arial"/>
        </w:rPr>
        <w:t>OMPI dans ce domaine sera aussi élaborée au cours de l</w:t>
      </w:r>
      <w:r w:rsidR="00E2055A" w:rsidRPr="00A32AF4">
        <w:rPr>
          <w:rFonts w:cs="Arial"/>
        </w:rPr>
        <w:t>’</w:t>
      </w:r>
      <w:r w:rsidRPr="00A32AF4">
        <w:rPr>
          <w:rFonts w:cs="Arial"/>
        </w:rPr>
        <w:t>exercice biennal, en consultation avec les responsables des programmes de l</w:t>
      </w:r>
      <w:r w:rsidR="00E2055A" w:rsidRPr="00A32AF4">
        <w:rPr>
          <w:rFonts w:cs="Arial"/>
        </w:rPr>
        <w:t>’</w:t>
      </w:r>
      <w:r w:rsidRPr="00A32AF4">
        <w:rPr>
          <w:rFonts w:cs="Arial"/>
        </w:rPr>
        <w:t>OMPI concernés et les parties prenantes extérieures, notamment les organisations intergouvernementales, le secteur privé et la société civile.</w:t>
      </w:r>
      <w:r w:rsidR="0047185D" w:rsidRPr="00A32AF4">
        <w:rPr>
          <w:u w:val="single"/>
        </w:rPr>
        <w:br w:type="page"/>
      </w:r>
    </w:p>
    <w:p w:rsidR="00F93B76" w:rsidRPr="00A32AF4" w:rsidRDefault="00F735D5" w:rsidP="00DC0553">
      <w:pPr>
        <w:rPr>
          <w:u w:val="single"/>
        </w:rPr>
      </w:pPr>
      <w:r w:rsidRPr="00A32AF4">
        <w:rPr>
          <w:u w:val="single"/>
        </w:rPr>
        <w:t>Offrir un accès amélioré à l</w:t>
      </w:r>
      <w:r w:rsidR="00E2055A" w:rsidRPr="00A32AF4">
        <w:rPr>
          <w:u w:val="single"/>
        </w:rPr>
        <w:t>’</w:t>
      </w:r>
      <w:r w:rsidRPr="00A32AF4">
        <w:rPr>
          <w:u w:val="single"/>
        </w:rPr>
        <w:t>information en matière de propriété intellectuelle et permettre son utilisation pour fournir un appui aux États membres, aux organisations intergouvernementales, au secteur privé, à la société civile et aux autres parties prenantes et les aider à déterminer les options applicables</w:t>
      </w:r>
    </w:p>
    <w:p w:rsidR="00F93B76" w:rsidRPr="00A32AF4" w:rsidRDefault="00F93B76" w:rsidP="00DC0553"/>
    <w:p w:rsidR="00F93B76" w:rsidRPr="00A32AF4" w:rsidRDefault="00A418AB" w:rsidP="007F6CD1">
      <w:pPr>
        <w:keepNext/>
        <w:keepLines/>
        <w:numPr>
          <w:ilvl w:val="0"/>
          <w:numId w:val="29"/>
        </w:numPr>
        <w:jc w:val="both"/>
        <w:rPr>
          <w:rFonts w:cs="Arial"/>
        </w:rPr>
      </w:pPr>
      <w:r w:rsidRPr="00A32AF4">
        <w:rPr>
          <w:rFonts w:cs="Arial"/>
        </w:rPr>
        <w:t xml:space="preserve">Le </w:t>
      </w:r>
      <w:r w:rsidR="00F735D5" w:rsidRPr="00A32AF4">
        <w:rPr>
          <w:rFonts w:cs="Arial"/>
        </w:rPr>
        <w:t xml:space="preserve">programme continuera de </w:t>
      </w:r>
      <w:r w:rsidRPr="00A32AF4">
        <w:rPr>
          <w:rFonts w:cs="Arial"/>
        </w:rPr>
        <w:t xml:space="preserve">prendre part aux discussions </w:t>
      </w:r>
      <w:r w:rsidR="00F735D5" w:rsidRPr="00A32AF4">
        <w:rPr>
          <w:rFonts w:cs="Arial"/>
        </w:rPr>
        <w:t>de politique générale sur la propriété intellectuelle et les défis mondiaux, dans le but d</w:t>
      </w:r>
      <w:r w:rsidR="00E2055A" w:rsidRPr="00A32AF4">
        <w:rPr>
          <w:rFonts w:cs="Arial"/>
        </w:rPr>
        <w:t>’</w:t>
      </w:r>
      <w:r w:rsidR="00F735D5" w:rsidRPr="00A32AF4">
        <w:rPr>
          <w:rFonts w:cs="Arial"/>
        </w:rPr>
        <w:t>asseoir le rôle de l</w:t>
      </w:r>
      <w:r w:rsidR="00E2055A" w:rsidRPr="00A32AF4">
        <w:rPr>
          <w:rFonts w:cs="Arial"/>
        </w:rPr>
        <w:t>’</w:t>
      </w:r>
      <w:r w:rsidR="00F735D5" w:rsidRPr="00A32AF4">
        <w:rPr>
          <w:rFonts w:cs="Arial"/>
        </w:rPr>
        <w:t>OMPI en tant que source fiable d</w:t>
      </w:r>
      <w:r w:rsidR="00E2055A" w:rsidRPr="00A32AF4">
        <w:rPr>
          <w:rFonts w:cs="Arial"/>
        </w:rPr>
        <w:t>’</w:t>
      </w:r>
      <w:r w:rsidR="00F735D5" w:rsidRPr="00A32AF4">
        <w:rPr>
          <w:rFonts w:cs="Arial"/>
        </w:rPr>
        <w:t>informations et d</w:t>
      </w:r>
      <w:r w:rsidR="00E2055A" w:rsidRPr="00A32AF4">
        <w:rPr>
          <w:rFonts w:cs="Arial"/>
        </w:rPr>
        <w:t>’</w:t>
      </w:r>
      <w:r w:rsidR="00F735D5" w:rsidRPr="00A32AF4">
        <w:rPr>
          <w:rFonts w:cs="Arial"/>
        </w:rPr>
        <w:t xml:space="preserve">analyses objectives, </w:t>
      </w:r>
      <w:r w:rsidR="00863C2E" w:rsidRPr="00A32AF4">
        <w:rPr>
          <w:rFonts w:cs="Arial"/>
        </w:rPr>
        <w:t>en organisant des manifestations de l</w:t>
      </w:r>
      <w:r w:rsidR="00E2055A" w:rsidRPr="00A32AF4">
        <w:rPr>
          <w:rFonts w:cs="Arial"/>
        </w:rPr>
        <w:t>’</w:t>
      </w:r>
      <w:r w:rsidR="00863C2E" w:rsidRPr="00A32AF4">
        <w:rPr>
          <w:rFonts w:cs="Arial"/>
        </w:rPr>
        <w:t xml:space="preserve">OMPI qui </w:t>
      </w:r>
      <w:r w:rsidR="00F735D5" w:rsidRPr="00A32AF4">
        <w:rPr>
          <w:rFonts w:cs="Arial"/>
        </w:rPr>
        <w:t>serv</w:t>
      </w:r>
      <w:r w:rsidR="00863C2E" w:rsidRPr="00A32AF4">
        <w:rPr>
          <w:rFonts w:cs="Arial"/>
        </w:rPr>
        <w:t>iro</w:t>
      </w:r>
      <w:r w:rsidR="00F735D5" w:rsidRPr="00A32AF4">
        <w:rPr>
          <w:rFonts w:cs="Arial"/>
        </w:rPr>
        <w:t xml:space="preserve">nt de cadre à des débats </w:t>
      </w:r>
      <w:r w:rsidR="001D13F3" w:rsidRPr="00A32AF4">
        <w:rPr>
          <w:rFonts w:cs="Arial"/>
        </w:rPr>
        <w:t xml:space="preserve">sur ces questions. </w:t>
      </w:r>
      <w:r w:rsidR="00D22625" w:rsidRPr="00A32AF4">
        <w:rPr>
          <w:rFonts w:cs="Arial"/>
        </w:rPr>
        <w:t xml:space="preserve"> </w:t>
      </w:r>
      <w:r w:rsidR="001D13F3" w:rsidRPr="00A32AF4">
        <w:rPr>
          <w:rFonts w:cs="Arial"/>
        </w:rPr>
        <w:t>En coopération étroite avec le progr</w:t>
      </w:r>
      <w:r w:rsidR="00577E24" w:rsidRPr="00A32AF4">
        <w:rPr>
          <w:rFonts w:cs="Arial"/>
        </w:rPr>
        <w:t>amme</w:t>
      </w:r>
      <w:r w:rsidR="00D22625" w:rsidRPr="00A32AF4">
        <w:rPr>
          <w:rFonts w:cs="Arial"/>
        </w:rPr>
        <w:t> </w:t>
      </w:r>
      <w:r w:rsidR="00577E24" w:rsidRPr="00A32AF4">
        <w:rPr>
          <w:rFonts w:cs="Arial"/>
        </w:rPr>
        <w:t>20, le programme</w:t>
      </w:r>
      <w:r w:rsidR="00D22625" w:rsidRPr="00A32AF4">
        <w:rPr>
          <w:rFonts w:cs="Arial"/>
        </w:rPr>
        <w:t> </w:t>
      </w:r>
      <w:r w:rsidR="00577E24" w:rsidRPr="00A32AF4">
        <w:rPr>
          <w:rFonts w:cs="Arial"/>
        </w:rPr>
        <w:t>18 veille</w:t>
      </w:r>
      <w:r w:rsidR="001D13F3" w:rsidRPr="00A32AF4">
        <w:rPr>
          <w:rFonts w:cs="Arial"/>
        </w:rPr>
        <w:t>ra à ce que l</w:t>
      </w:r>
      <w:r w:rsidR="00E2055A" w:rsidRPr="00A32AF4">
        <w:rPr>
          <w:rFonts w:cs="Arial"/>
        </w:rPr>
        <w:t>’</w:t>
      </w:r>
      <w:r w:rsidR="001D13F3" w:rsidRPr="00A32AF4">
        <w:rPr>
          <w:rFonts w:cs="Arial"/>
        </w:rPr>
        <w:t xml:space="preserve">OMPI, dans le cadre du système des </w:t>
      </w:r>
      <w:r w:rsidR="00E2055A" w:rsidRPr="00A32AF4">
        <w:rPr>
          <w:rFonts w:cs="Arial"/>
        </w:rPr>
        <w:t>Nations Unies</w:t>
      </w:r>
      <w:r w:rsidR="001D13F3" w:rsidRPr="00A32AF4">
        <w:rPr>
          <w:rFonts w:cs="Arial"/>
        </w:rPr>
        <w:t xml:space="preserve"> et en tant qu</w:t>
      </w:r>
      <w:r w:rsidR="00E2055A" w:rsidRPr="00A32AF4">
        <w:rPr>
          <w:rFonts w:cs="Arial"/>
        </w:rPr>
        <w:t>’</w:t>
      </w:r>
      <w:r w:rsidR="001D13F3" w:rsidRPr="00A32AF4">
        <w:rPr>
          <w:rFonts w:cs="Arial"/>
        </w:rPr>
        <w:t>organisation ayant le statut d</w:t>
      </w:r>
      <w:r w:rsidR="00E2055A" w:rsidRPr="00A32AF4">
        <w:rPr>
          <w:rFonts w:cs="Arial"/>
        </w:rPr>
        <w:t>’</w:t>
      </w:r>
      <w:r w:rsidR="001D13F3" w:rsidRPr="00A32AF4">
        <w:rPr>
          <w:rFonts w:cs="Arial"/>
        </w:rPr>
        <w:t xml:space="preserve">observateur dans un certain nombre de processus </w:t>
      </w:r>
      <w:r w:rsidR="006E76F0" w:rsidRPr="00A32AF4">
        <w:rPr>
          <w:rFonts w:cs="Arial"/>
        </w:rPr>
        <w:t>au sein de l</w:t>
      </w:r>
      <w:r w:rsidR="00E2055A" w:rsidRPr="00A32AF4">
        <w:rPr>
          <w:rFonts w:cs="Arial"/>
        </w:rPr>
        <w:t>’</w:t>
      </w:r>
      <w:r w:rsidR="006E76F0" w:rsidRPr="00A32AF4">
        <w:rPr>
          <w:rFonts w:cs="Arial"/>
        </w:rPr>
        <w:t>ONU</w:t>
      </w:r>
      <w:r w:rsidR="001D13F3" w:rsidRPr="00A32AF4">
        <w:rPr>
          <w:rFonts w:cs="Arial"/>
        </w:rPr>
        <w:t xml:space="preserve">, </w:t>
      </w:r>
      <w:r w:rsidR="00A34A72" w:rsidRPr="00A32AF4">
        <w:rPr>
          <w:rFonts w:cs="Arial"/>
        </w:rPr>
        <w:t xml:space="preserve">apporte des réponses rapides et </w:t>
      </w:r>
      <w:r w:rsidR="003600FA" w:rsidRPr="00A32AF4">
        <w:rPr>
          <w:rFonts w:cs="Arial"/>
        </w:rPr>
        <w:t xml:space="preserve">opportunes </w:t>
      </w:r>
      <w:r w:rsidR="001D13F3" w:rsidRPr="00A32AF4">
        <w:rPr>
          <w:rFonts w:cs="Arial"/>
        </w:rPr>
        <w:t>aux demandes d</w:t>
      </w:r>
      <w:r w:rsidR="00E2055A" w:rsidRPr="00A32AF4">
        <w:rPr>
          <w:rFonts w:cs="Arial"/>
        </w:rPr>
        <w:t>’</w:t>
      </w:r>
      <w:r w:rsidR="001D13F3" w:rsidRPr="00A32AF4">
        <w:rPr>
          <w:rFonts w:cs="Arial"/>
        </w:rPr>
        <w:t xml:space="preserve">informations émanant des organisations des </w:t>
      </w:r>
      <w:r w:rsidR="00E2055A" w:rsidRPr="00A32AF4">
        <w:rPr>
          <w:rFonts w:cs="Arial"/>
        </w:rPr>
        <w:t>Nations Unies</w:t>
      </w:r>
      <w:r w:rsidR="001D13F3" w:rsidRPr="00A32AF4">
        <w:rPr>
          <w:rFonts w:cs="Arial"/>
        </w:rPr>
        <w:t>, des organisations internationales et des États membres</w:t>
      </w:r>
      <w:r w:rsidR="00F735D5" w:rsidRPr="00A32AF4">
        <w:rPr>
          <w:rFonts w:cs="Arial"/>
        </w:rPr>
        <w:t>.</w:t>
      </w:r>
      <w:r w:rsidR="00F735D5" w:rsidRPr="00A32AF4">
        <w:t xml:space="preserve">  </w:t>
      </w:r>
      <w:r w:rsidR="00F735D5" w:rsidRPr="00A32AF4">
        <w:rPr>
          <w:rFonts w:cs="Arial"/>
        </w:rPr>
        <w:t>Les travaux menés reposeront sur l</w:t>
      </w:r>
      <w:r w:rsidR="00E2055A" w:rsidRPr="00A32AF4">
        <w:rPr>
          <w:rFonts w:cs="Arial"/>
        </w:rPr>
        <w:t>’</w:t>
      </w:r>
      <w:r w:rsidR="00F735D5" w:rsidRPr="00A32AF4">
        <w:rPr>
          <w:rFonts w:cs="Arial"/>
        </w:rPr>
        <w:t>importance de la propriété intellectuelle et de l</w:t>
      </w:r>
      <w:r w:rsidR="00E2055A" w:rsidRPr="00A32AF4">
        <w:rPr>
          <w:rFonts w:cs="Arial"/>
        </w:rPr>
        <w:t>’</w:t>
      </w:r>
      <w:r w:rsidR="00F735D5" w:rsidRPr="00A32AF4">
        <w:rPr>
          <w:rFonts w:cs="Arial"/>
        </w:rPr>
        <w:t>innovation pour la santé mondiale, le changement climatique et la sécurité alimentaire, le Plan d</w:t>
      </w:r>
      <w:r w:rsidR="00E2055A" w:rsidRPr="00A32AF4">
        <w:rPr>
          <w:rFonts w:cs="Arial"/>
        </w:rPr>
        <w:t>’</w:t>
      </w:r>
      <w:r w:rsidR="00F735D5" w:rsidRPr="00A32AF4">
        <w:rPr>
          <w:rFonts w:cs="Arial"/>
        </w:rPr>
        <w:t xml:space="preserve">action pour le développement et le Programme de développement des </w:t>
      </w:r>
      <w:r w:rsidR="00E2055A" w:rsidRPr="00A32AF4">
        <w:rPr>
          <w:rFonts w:cs="Arial"/>
        </w:rPr>
        <w:t>Nations Unies</w:t>
      </w:r>
      <w:r w:rsidR="00F735D5" w:rsidRPr="00A32AF4">
        <w:rPr>
          <w:rFonts w:cs="Arial"/>
        </w:rPr>
        <w:t xml:space="preserve"> pour l</w:t>
      </w:r>
      <w:r w:rsidR="00E2055A" w:rsidRPr="00A32AF4">
        <w:rPr>
          <w:rFonts w:cs="Arial"/>
        </w:rPr>
        <w:t>’</w:t>
      </w:r>
      <w:r w:rsidR="00F735D5" w:rsidRPr="00A32AF4">
        <w:rPr>
          <w:rFonts w:cs="Arial"/>
        </w:rPr>
        <w:t>après</w:t>
      </w:r>
      <w:r w:rsidR="00EB7F54" w:rsidRPr="00A32AF4">
        <w:rPr>
          <w:rFonts w:cs="Arial"/>
        </w:rPr>
        <w:noBreakHyphen/>
      </w:r>
      <w:r w:rsidR="00F735D5" w:rsidRPr="00A32AF4">
        <w:rPr>
          <w:rFonts w:cs="Arial"/>
        </w:rPr>
        <w:t>2015.</w:t>
      </w:r>
    </w:p>
    <w:p w:rsidR="00F93B76" w:rsidRPr="00A32AF4" w:rsidRDefault="00F93B76" w:rsidP="00DC0553">
      <w:pPr>
        <w:jc w:val="both"/>
        <w:rPr>
          <w:rFonts w:cs="Arial"/>
        </w:rPr>
      </w:pPr>
    </w:p>
    <w:p w:rsidR="00F93B76" w:rsidRPr="00A32AF4" w:rsidRDefault="00F735D5" w:rsidP="00DC0553">
      <w:pPr>
        <w:numPr>
          <w:ilvl w:val="0"/>
          <w:numId w:val="29"/>
        </w:numPr>
        <w:jc w:val="both"/>
        <w:rPr>
          <w:rFonts w:cs="Arial"/>
        </w:rPr>
      </w:pPr>
      <w:r w:rsidRPr="00A32AF4">
        <w:rPr>
          <w:rFonts w:cs="Arial"/>
        </w:rPr>
        <w:t>Des études sur la politique générale à mener continueront d</w:t>
      </w:r>
      <w:r w:rsidR="00E2055A" w:rsidRPr="00A32AF4">
        <w:rPr>
          <w:rFonts w:cs="Arial"/>
        </w:rPr>
        <w:t>’</w:t>
      </w:r>
      <w:r w:rsidRPr="00A32AF4">
        <w:rPr>
          <w:rFonts w:cs="Arial"/>
        </w:rPr>
        <w:t>être réalisées sur des thèmes comme le rôle de la propriété intellectuelle et de la gestion de la propriété intellectuelle dans le cadre de l</w:t>
      </w:r>
      <w:r w:rsidR="00E2055A" w:rsidRPr="00A32AF4">
        <w:rPr>
          <w:rFonts w:cs="Arial"/>
        </w:rPr>
        <w:t>’</w:t>
      </w:r>
      <w:r w:rsidRPr="00A32AF4">
        <w:rPr>
          <w:rFonts w:cs="Arial"/>
        </w:rPr>
        <w:t>innovation, du transfert de technologie et de la diffusion des technologies pour relever les défis mondiaux.</w:t>
      </w:r>
      <w:r w:rsidRPr="00A32AF4">
        <w:t xml:space="preserve">  </w:t>
      </w:r>
      <w:r w:rsidRPr="00A32AF4">
        <w:rPr>
          <w:rFonts w:cs="Arial"/>
        </w:rPr>
        <w:t>Des analyses approfondies, sous la forme de rapports et de notes d</w:t>
      </w:r>
      <w:r w:rsidR="00E2055A" w:rsidRPr="00A32AF4">
        <w:rPr>
          <w:rFonts w:cs="Arial"/>
        </w:rPr>
        <w:t>’</w:t>
      </w:r>
      <w:r w:rsidRPr="00A32AF4">
        <w:rPr>
          <w:rFonts w:cs="Arial"/>
        </w:rPr>
        <w:t xml:space="preserve">information, auront pour objet de favoriser une meilleure compréhension des moteurs politiques et stratégiques de </w:t>
      </w:r>
      <w:proofErr w:type="gramStart"/>
      <w:r w:rsidRPr="00A32AF4">
        <w:rPr>
          <w:rFonts w:cs="Arial"/>
        </w:rPr>
        <w:t>l</w:t>
      </w:r>
      <w:r w:rsidR="00E2055A" w:rsidRPr="00A32AF4">
        <w:rPr>
          <w:rFonts w:cs="Arial"/>
        </w:rPr>
        <w:t>’</w:t>
      </w:r>
      <w:r w:rsidRPr="00A32AF4">
        <w:rPr>
          <w:rFonts w:cs="Arial"/>
        </w:rPr>
        <w:t>innovation;</w:t>
      </w:r>
      <w:proofErr w:type="gramEnd"/>
      <w:r w:rsidRPr="00A32AF4">
        <w:rPr>
          <w:rFonts w:cs="Arial"/>
        </w:rPr>
        <w:t xml:space="preserve">  </w:t>
      </w:r>
      <w:r w:rsidR="009F0B72" w:rsidRPr="00A32AF4">
        <w:rPr>
          <w:rFonts w:cs="Arial"/>
        </w:rPr>
        <w:t xml:space="preserve">et </w:t>
      </w:r>
      <w:r w:rsidRPr="00A32AF4">
        <w:rPr>
          <w:rFonts w:cs="Arial"/>
        </w:rPr>
        <w:t xml:space="preserve">de démontrer de façon anticipée </w:t>
      </w:r>
      <w:r w:rsidR="009F0B72" w:rsidRPr="00A32AF4">
        <w:rPr>
          <w:rFonts w:cs="Arial"/>
        </w:rPr>
        <w:t>l</w:t>
      </w:r>
      <w:r w:rsidR="00E2055A" w:rsidRPr="00A32AF4">
        <w:rPr>
          <w:rFonts w:cs="Arial"/>
        </w:rPr>
        <w:t>’</w:t>
      </w:r>
      <w:r w:rsidR="009F0B72" w:rsidRPr="00A32AF4">
        <w:rPr>
          <w:rFonts w:cs="Arial"/>
        </w:rPr>
        <w:t xml:space="preserve">intérêt de la </w:t>
      </w:r>
      <w:r w:rsidRPr="00A32AF4">
        <w:rPr>
          <w:rFonts w:cs="Arial"/>
        </w:rPr>
        <w:t>propriété intellectuelle</w:t>
      </w:r>
      <w:r w:rsidR="009F0B72" w:rsidRPr="00A32AF4">
        <w:rPr>
          <w:rFonts w:cs="Arial"/>
        </w:rPr>
        <w:t xml:space="preserve"> comme moteur de développement</w:t>
      </w:r>
      <w:r w:rsidRPr="00A32AF4">
        <w:rPr>
          <w:rFonts w:cs="Arial"/>
        </w:rPr>
        <w:t>.</w:t>
      </w:r>
      <w:r w:rsidRPr="00A32AF4">
        <w:t xml:space="preserve">  </w:t>
      </w:r>
      <w:r w:rsidR="00355624" w:rsidRPr="00A32AF4">
        <w:rPr>
          <w:rFonts w:cs="Arial"/>
        </w:rPr>
        <w:t>Il s</w:t>
      </w:r>
      <w:r w:rsidR="00E2055A" w:rsidRPr="00A32AF4">
        <w:rPr>
          <w:rFonts w:cs="Arial"/>
        </w:rPr>
        <w:t>’</w:t>
      </w:r>
      <w:r w:rsidR="00355624" w:rsidRPr="00A32AF4">
        <w:rPr>
          <w:rFonts w:cs="Arial"/>
        </w:rPr>
        <w:t>agira notamment de promouvoir</w:t>
      </w:r>
      <w:r w:rsidRPr="00A32AF4">
        <w:rPr>
          <w:rFonts w:cs="Arial"/>
        </w:rPr>
        <w:t xml:space="preserve"> l</w:t>
      </w:r>
      <w:r w:rsidR="00E2055A" w:rsidRPr="00A32AF4">
        <w:rPr>
          <w:rFonts w:cs="Arial"/>
        </w:rPr>
        <w:t>’</w:t>
      </w:r>
      <w:r w:rsidRPr="00A32AF4">
        <w:rPr>
          <w:rFonts w:cs="Arial"/>
        </w:rPr>
        <w:t>échange de données d</w:t>
      </w:r>
      <w:r w:rsidR="00E2055A" w:rsidRPr="00A32AF4">
        <w:rPr>
          <w:rFonts w:cs="Arial"/>
        </w:rPr>
        <w:t>’</w:t>
      </w:r>
      <w:r w:rsidRPr="00A32AF4">
        <w:rPr>
          <w:rFonts w:cs="Arial"/>
        </w:rPr>
        <w:t>expérience provenant des deux plates</w:t>
      </w:r>
      <w:r w:rsidR="00EB7F54" w:rsidRPr="00A32AF4">
        <w:rPr>
          <w:rFonts w:cs="Arial"/>
        </w:rPr>
        <w:noBreakHyphen/>
      </w:r>
      <w:r w:rsidRPr="00A32AF4">
        <w:rPr>
          <w:rFonts w:cs="Arial"/>
        </w:rPr>
        <w:t>formes au moyen d</w:t>
      </w:r>
      <w:r w:rsidR="00E2055A" w:rsidRPr="00A32AF4">
        <w:rPr>
          <w:rFonts w:cs="Arial"/>
        </w:rPr>
        <w:t>’</w:t>
      </w:r>
      <w:r w:rsidRPr="00A32AF4">
        <w:rPr>
          <w:rFonts w:cs="Arial"/>
        </w:rPr>
        <w:t>études de cas visant à faire mieux connaître les activités du programme.</w:t>
      </w:r>
    </w:p>
    <w:p w:rsidR="00F93B76" w:rsidRPr="00A32AF4" w:rsidRDefault="00F93B76" w:rsidP="00DC0553">
      <w:pPr>
        <w:jc w:val="both"/>
        <w:rPr>
          <w:rFonts w:cs="Arial"/>
        </w:rPr>
      </w:pPr>
    </w:p>
    <w:p w:rsidR="00F93B76" w:rsidRPr="00A32AF4" w:rsidRDefault="00F735D5" w:rsidP="00DC0553">
      <w:pPr>
        <w:numPr>
          <w:ilvl w:val="0"/>
          <w:numId w:val="29"/>
        </w:numPr>
        <w:jc w:val="both"/>
        <w:rPr>
          <w:rFonts w:cs="Arial"/>
        </w:rPr>
      </w:pPr>
      <w:r w:rsidRPr="00A32AF4">
        <w:rPr>
          <w:rFonts w:cs="Arial"/>
        </w:rPr>
        <w:t>De plus, en réponse aux demandes émanant des États membres, des organisations intergouvernementales, de la société civile et d</w:t>
      </w:r>
      <w:r w:rsidR="00E2055A" w:rsidRPr="00A32AF4">
        <w:rPr>
          <w:rFonts w:cs="Arial"/>
        </w:rPr>
        <w:t>’</w:t>
      </w:r>
      <w:r w:rsidRPr="00A32AF4">
        <w:rPr>
          <w:rFonts w:cs="Arial"/>
        </w:rPr>
        <w:t>autres parties prenantes, le programme visera à apporter, si nécessaire, des contributions dans le cadre d</w:t>
      </w:r>
      <w:r w:rsidR="00E2055A" w:rsidRPr="00A32AF4">
        <w:rPr>
          <w:rFonts w:cs="Arial"/>
        </w:rPr>
        <w:t>’</w:t>
      </w:r>
      <w:r w:rsidRPr="00A32AF4">
        <w:rPr>
          <w:rFonts w:cs="Arial"/>
        </w:rPr>
        <w:t>instances de discussion traitant des questions fondamentales relevant du programme.</w:t>
      </w:r>
      <w:r w:rsidRPr="00A32AF4">
        <w:t xml:space="preserve">  </w:t>
      </w:r>
      <w:r w:rsidRPr="00A32AF4">
        <w:rPr>
          <w:rFonts w:cs="Arial"/>
        </w:rPr>
        <w:t>Assurer la participation constructive de l</w:t>
      </w:r>
      <w:r w:rsidR="00E2055A" w:rsidRPr="00A32AF4">
        <w:rPr>
          <w:rFonts w:cs="Arial"/>
        </w:rPr>
        <w:t>’</w:t>
      </w:r>
      <w:r w:rsidRPr="00A32AF4">
        <w:rPr>
          <w:rFonts w:cs="Arial"/>
        </w:rPr>
        <w:t>OMPI aux débats pertinents relatifs aux questions d</w:t>
      </w:r>
      <w:r w:rsidR="00E2055A" w:rsidRPr="00A32AF4">
        <w:rPr>
          <w:rFonts w:cs="Arial"/>
        </w:rPr>
        <w:t>’</w:t>
      </w:r>
      <w:r w:rsidRPr="00A32AF4">
        <w:rPr>
          <w:rFonts w:cs="Arial"/>
        </w:rPr>
        <w:t>intérêt général permet d</w:t>
      </w:r>
      <w:r w:rsidR="00E2055A" w:rsidRPr="00A32AF4">
        <w:rPr>
          <w:rFonts w:cs="Arial"/>
        </w:rPr>
        <w:t>’</w:t>
      </w:r>
      <w:r w:rsidRPr="00A32AF4">
        <w:rPr>
          <w:rFonts w:cs="Arial"/>
        </w:rPr>
        <w:t>apporter un appui aux autres acteurs et de contribuer à faire de l</w:t>
      </w:r>
      <w:r w:rsidR="00E2055A" w:rsidRPr="00A32AF4">
        <w:rPr>
          <w:rFonts w:cs="Arial"/>
        </w:rPr>
        <w:t>’</w:t>
      </w:r>
      <w:r w:rsidRPr="00A32AF4">
        <w:rPr>
          <w:rFonts w:cs="Arial"/>
        </w:rPr>
        <w:t>Organisation l</w:t>
      </w:r>
      <w:r w:rsidR="00E2055A" w:rsidRPr="00A32AF4">
        <w:rPr>
          <w:rFonts w:cs="Arial"/>
        </w:rPr>
        <w:t>’</w:t>
      </w:r>
      <w:r w:rsidRPr="00A32AF4">
        <w:rPr>
          <w:rFonts w:cs="Arial"/>
        </w:rPr>
        <w:t>instance qualifiée et la référence en matière de propriété intellectuelle s</w:t>
      </w:r>
      <w:r w:rsidR="00E2055A" w:rsidRPr="00A32AF4">
        <w:rPr>
          <w:rFonts w:cs="Arial"/>
        </w:rPr>
        <w:t>’</w:t>
      </w:r>
      <w:r w:rsidRPr="00A32AF4">
        <w:rPr>
          <w:rFonts w:cs="Arial"/>
        </w:rPr>
        <w:t>agissant des questions d</w:t>
      </w:r>
      <w:r w:rsidR="00E2055A" w:rsidRPr="00A32AF4">
        <w:rPr>
          <w:rFonts w:cs="Arial"/>
        </w:rPr>
        <w:t>’</w:t>
      </w:r>
      <w:r w:rsidRPr="00A32AF4">
        <w:rPr>
          <w:rFonts w:cs="Arial"/>
        </w:rPr>
        <w:t>intérêt général au niveau mondial.</w:t>
      </w:r>
      <w:r w:rsidRPr="00A32AF4">
        <w:t xml:space="preserve"> </w:t>
      </w:r>
      <w:r w:rsidRPr="00A32AF4">
        <w:rPr>
          <w:rFonts w:cs="Arial"/>
        </w:rPr>
        <w:t xml:space="preserve"> La poursuite de la coopération trilatérale fructueuse entre le programme, l</w:t>
      </w:r>
      <w:r w:rsidR="00E2055A" w:rsidRPr="00A32AF4">
        <w:rPr>
          <w:rFonts w:cs="Arial"/>
        </w:rPr>
        <w:t>’</w:t>
      </w:r>
      <w:r w:rsidRPr="00A32AF4">
        <w:rPr>
          <w:rFonts w:cs="Arial"/>
        </w:rPr>
        <w:t>Organisation mondiale de la Santé (OMS) et l</w:t>
      </w:r>
      <w:r w:rsidR="00E2055A" w:rsidRPr="00A32AF4">
        <w:rPr>
          <w:rFonts w:cs="Arial"/>
        </w:rPr>
        <w:t>’</w:t>
      </w:r>
      <w:r w:rsidRPr="00A32AF4">
        <w:rPr>
          <w:rFonts w:cs="Arial"/>
        </w:rPr>
        <w:t>Organisation mondiale du commerce (OMC) fait partie intégrante de cet objectif.</w:t>
      </w:r>
    </w:p>
    <w:p w:rsidR="00F93B76" w:rsidRPr="00A32AF4" w:rsidRDefault="00F93B76" w:rsidP="00DC0553">
      <w:pPr>
        <w:rPr>
          <w:rFonts w:cs="Arial"/>
        </w:rPr>
      </w:pPr>
    </w:p>
    <w:p w:rsidR="00F93B76" w:rsidRPr="00A32AF4" w:rsidRDefault="00F735D5" w:rsidP="00DC0553">
      <w:pPr>
        <w:rPr>
          <w:rFonts w:cs="Arial"/>
          <w:u w:val="single"/>
        </w:rPr>
      </w:pPr>
      <w:r w:rsidRPr="00A32AF4">
        <w:rPr>
          <w:rFonts w:cs="Arial"/>
          <w:u w:val="single"/>
        </w:rPr>
        <w:t>Renforcer les capacités en matière de ressources humaines en ce qui concerne le rapport entre défis mondiaux, innovation et transfert de technologie</w:t>
      </w:r>
    </w:p>
    <w:p w:rsidR="00F93B76" w:rsidRPr="00A32AF4" w:rsidRDefault="00F93B76" w:rsidP="00DC0553">
      <w:pPr>
        <w:rPr>
          <w:rFonts w:cs="Arial"/>
          <w:u w:val="single"/>
        </w:rPr>
      </w:pPr>
    </w:p>
    <w:p w:rsidR="00F93B76" w:rsidRPr="00A32AF4" w:rsidRDefault="00F735D5" w:rsidP="00DC0553">
      <w:pPr>
        <w:numPr>
          <w:ilvl w:val="0"/>
          <w:numId w:val="29"/>
        </w:numPr>
        <w:jc w:val="both"/>
        <w:rPr>
          <w:rFonts w:cs="Arial"/>
        </w:rPr>
      </w:pPr>
      <w:r w:rsidRPr="00A32AF4">
        <w:rPr>
          <w:rFonts w:cs="Arial"/>
        </w:rPr>
        <w:t>L</w:t>
      </w:r>
      <w:r w:rsidR="00E2055A" w:rsidRPr="00A32AF4">
        <w:rPr>
          <w:rFonts w:cs="Arial"/>
        </w:rPr>
        <w:t>’</w:t>
      </w:r>
      <w:r w:rsidRPr="00A32AF4">
        <w:rPr>
          <w:rFonts w:cs="Arial"/>
        </w:rPr>
        <w:t>un des éléments clés de ces activités consistera à étudier les synergies possibles avec d</w:t>
      </w:r>
      <w:r w:rsidR="00E2055A" w:rsidRPr="00A32AF4">
        <w:rPr>
          <w:rFonts w:cs="Arial"/>
        </w:rPr>
        <w:t>’</w:t>
      </w:r>
      <w:r w:rsidRPr="00A32AF4">
        <w:rPr>
          <w:rFonts w:cs="Arial"/>
        </w:rPr>
        <w:t>autres programmes de l</w:t>
      </w:r>
      <w:r w:rsidR="00E2055A" w:rsidRPr="00A32AF4">
        <w:rPr>
          <w:rFonts w:cs="Arial"/>
        </w:rPr>
        <w:t>’</w:t>
      </w:r>
      <w:r w:rsidRPr="00A32AF4">
        <w:rPr>
          <w:rFonts w:cs="Arial"/>
        </w:rPr>
        <w:t>OMPI.  Par exemple, les plates</w:t>
      </w:r>
      <w:r w:rsidR="00EB7F54" w:rsidRPr="00A32AF4">
        <w:rPr>
          <w:rFonts w:cs="Arial"/>
        </w:rPr>
        <w:noBreakHyphen/>
      </w:r>
      <w:r w:rsidRPr="00A32AF4">
        <w:rPr>
          <w:rFonts w:cs="Arial"/>
        </w:rPr>
        <w:t>formes techniques ayant été mises au point, elles devraient servir de plus en plus de points d</w:t>
      </w:r>
      <w:r w:rsidR="00E2055A" w:rsidRPr="00A32AF4">
        <w:rPr>
          <w:rFonts w:cs="Arial"/>
        </w:rPr>
        <w:t>’</w:t>
      </w:r>
      <w:r w:rsidRPr="00A32AF4">
        <w:rPr>
          <w:rFonts w:cs="Arial"/>
        </w:rPr>
        <w:t>entrée aux organismes des pays en développement et leur permettre d</w:t>
      </w:r>
      <w:r w:rsidR="00E2055A" w:rsidRPr="00A32AF4">
        <w:rPr>
          <w:rFonts w:cs="Arial"/>
        </w:rPr>
        <w:t>’</w:t>
      </w:r>
      <w:r w:rsidRPr="00A32AF4">
        <w:rPr>
          <w:rFonts w:cs="Arial"/>
        </w:rPr>
        <w:t>accéder à toute une palette de services et de programmes de formation pertinents proposés par l</w:t>
      </w:r>
      <w:r w:rsidR="00E2055A" w:rsidRPr="00A32AF4">
        <w:rPr>
          <w:rFonts w:cs="Arial"/>
        </w:rPr>
        <w:t>’</w:t>
      </w:r>
      <w:r w:rsidRPr="00A32AF4">
        <w:rPr>
          <w:rFonts w:cs="Arial"/>
        </w:rPr>
        <w:t>OMPI pour faciliter l</w:t>
      </w:r>
      <w:r w:rsidR="00E2055A" w:rsidRPr="00A32AF4">
        <w:rPr>
          <w:rFonts w:cs="Arial"/>
        </w:rPr>
        <w:t>’</w:t>
      </w:r>
      <w:r w:rsidRPr="00A32AF4">
        <w:rPr>
          <w:rFonts w:cs="Arial"/>
        </w:rPr>
        <w:t>accès aux informations techniques relatives à la propriété intellectuelle (par exemple, les bases de données sur les brevets).</w:t>
      </w:r>
      <w:r w:rsidRPr="00A32AF4">
        <w:t xml:space="preserve">  </w:t>
      </w:r>
      <w:r w:rsidRPr="00A32AF4">
        <w:rPr>
          <w:rFonts w:cs="Arial"/>
        </w:rPr>
        <w:t>Les projets financés par des fonds fiduciaires seront maintenus et tireront parti des réalisations accomplies lors d</w:t>
      </w:r>
      <w:r w:rsidR="00E2055A" w:rsidRPr="00A32AF4">
        <w:rPr>
          <w:rFonts w:cs="Arial"/>
        </w:rPr>
        <w:t>’</w:t>
      </w:r>
      <w:r w:rsidRPr="00A32AF4">
        <w:rPr>
          <w:rFonts w:cs="Arial"/>
        </w:rPr>
        <w:t>exercices biennaux précédents.</w:t>
      </w:r>
    </w:p>
    <w:p w:rsidR="00F93B76" w:rsidRPr="00A32AF4" w:rsidRDefault="00F93B76" w:rsidP="00DC0553">
      <w:pPr>
        <w:jc w:val="both"/>
        <w:rPr>
          <w:rFonts w:cs="Arial"/>
        </w:rPr>
      </w:pPr>
    </w:p>
    <w:p w:rsidR="00E2055A" w:rsidRPr="00A32AF4" w:rsidRDefault="00355624" w:rsidP="00DC0553">
      <w:pPr>
        <w:numPr>
          <w:ilvl w:val="0"/>
          <w:numId w:val="29"/>
        </w:numPr>
        <w:jc w:val="both"/>
        <w:rPr>
          <w:rFonts w:cs="Arial"/>
        </w:rPr>
      </w:pPr>
      <w:r w:rsidRPr="00A32AF4">
        <w:rPr>
          <w:rFonts w:cs="Arial"/>
        </w:rPr>
        <w:t>Le p</w:t>
      </w:r>
      <w:r w:rsidR="004331C7" w:rsidRPr="00A32AF4">
        <w:rPr>
          <w:rFonts w:cs="Arial"/>
        </w:rPr>
        <w:t>rogram</w:t>
      </w:r>
      <w:r w:rsidRPr="00A32AF4">
        <w:rPr>
          <w:rFonts w:cs="Arial"/>
        </w:rPr>
        <w:t>me 18 collabore essentiellement avec les autres programmes indiqués ci</w:t>
      </w:r>
      <w:r w:rsidR="00EB7F54" w:rsidRPr="00A32AF4">
        <w:rPr>
          <w:rFonts w:cs="Arial"/>
        </w:rPr>
        <w:noBreakHyphen/>
      </w:r>
      <w:r w:rsidRPr="00A32AF4">
        <w:rPr>
          <w:rFonts w:cs="Arial"/>
        </w:rPr>
        <w:t>dessous </w:t>
      </w:r>
      <w:r w:rsidR="004331C7" w:rsidRPr="00A32AF4">
        <w:rPr>
          <w:rFonts w:cs="Arial"/>
        </w:rPr>
        <w:t>:</w:t>
      </w:r>
    </w:p>
    <w:p w:rsidR="00F93B76" w:rsidRPr="00A32AF4" w:rsidRDefault="00F93B76" w:rsidP="00DC0553">
      <w:pPr>
        <w:jc w:val="both"/>
        <w:rPr>
          <w:rFonts w:cs="Arial"/>
        </w:rPr>
      </w:pPr>
    </w:p>
    <w:p w:rsidR="00F93B76" w:rsidRPr="00A32AF4" w:rsidRDefault="00F93B76" w:rsidP="00DC0553">
      <w:pPr>
        <w:tabs>
          <w:tab w:val="left" w:pos="567"/>
          <w:tab w:val="left" w:pos="1985"/>
        </w:tabs>
        <w:jc w:val="both"/>
        <w:rPr>
          <w:rFonts w:cs="Arial"/>
          <w:bCs/>
        </w:rPr>
      </w:pPr>
    </w:p>
    <w:p w:rsidR="00F93B76" w:rsidRPr="00A32AF4" w:rsidRDefault="00F735D5" w:rsidP="00DC0553">
      <w:pPr>
        <w:tabs>
          <w:tab w:val="left" w:pos="567"/>
          <w:tab w:val="left" w:pos="1985"/>
        </w:tabs>
        <w:jc w:val="both"/>
        <w:rPr>
          <w:rFonts w:cs="Arial"/>
          <w:bCs/>
        </w:rPr>
      </w:pPr>
      <w:r w:rsidRPr="00A32AF4">
        <w:rPr>
          <w:rFonts w:cs="Arial"/>
          <w:noProof/>
          <w:lang w:eastAsia="fr-FR"/>
        </w:rPr>
        <w:drawing>
          <wp:inline distT="0" distB="0" distL="0" distR="0" wp14:anchorId="7C2ED368" wp14:editId="2B714321">
            <wp:extent cx="5983200" cy="1620000"/>
            <wp:effectExtent l="57150" t="19050" r="36830" b="0"/>
            <wp:docPr id="26" name="Diagram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0" r:lo="rId151" r:qs="rId152" r:cs="rId153"/>
              </a:graphicData>
            </a:graphic>
          </wp:inline>
        </w:drawing>
      </w:r>
    </w:p>
    <w:p w:rsidR="00F93B76" w:rsidRPr="00A32AF4" w:rsidRDefault="00F93B76" w:rsidP="00DC0553"/>
    <w:p w:rsidR="00F93B76" w:rsidRPr="00A32AF4" w:rsidRDefault="00F93B76" w:rsidP="00DC0553"/>
    <w:p w:rsidR="00F93B76" w:rsidRPr="00A32AF4" w:rsidRDefault="00F735D5" w:rsidP="00DC0553">
      <w:r w:rsidRPr="00A32AF4">
        <w:t>PRINCIPAUX RISQUES ET STRATÉGIES D</w:t>
      </w:r>
      <w:r w:rsidR="00E2055A" w:rsidRPr="00A32AF4">
        <w:t>’</w:t>
      </w:r>
      <w:r w:rsidRPr="00A32AF4">
        <w:t>ATTÉNUATION</w:t>
      </w:r>
    </w:p>
    <w:p w:rsidR="00F735D5" w:rsidRPr="00A32AF4" w:rsidRDefault="00F735D5" w:rsidP="00DC0553"/>
    <w:tbl>
      <w:tblPr>
        <w:tblW w:w="9214"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11"/>
        <w:gridCol w:w="5103"/>
      </w:tblGrid>
      <w:tr w:rsidR="00F735D5" w:rsidRPr="00A32AF4" w:rsidTr="00F735D5">
        <w:trPr>
          <w:trHeight w:val="577"/>
        </w:trPr>
        <w:tc>
          <w:tcPr>
            <w:tcW w:w="4111" w:type="dxa"/>
            <w:tcBorders>
              <w:top w:val="single" w:sz="4" w:space="0" w:color="auto"/>
              <w:bottom w:val="single" w:sz="4" w:space="0" w:color="auto"/>
            </w:tcBorders>
            <w:shd w:val="clear" w:color="auto" w:fill="C6D9F1" w:themeFill="text2" w:themeFillTint="33"/>
            <w:vAlign w:val="center"/>
          </w:tcPr>
          <w:p w:rsidR="00F735D5" w:rsidRPr="00A32AF4" w:rsidRDefault="00F735D5" w:rsidP="00DC0553">
            <w:pPr>
              <w:jc w:val="center"/>
              <w:rPr>
                <w:rFonts w:cs="Arial"/>
                <w:b/>
                <w:bCs/>
                <w:sz w:val="18"/>
                <w:szCs w:val="18"/>
              </w:rPr>
            </w:pPr>
            <w:r w:rsidRPr="00A32AF4">
              <w:rPr>
                <w:rFonts w:cs="Arial"/>
                <w:b/>
                <w:bCs/>
                <w:sz w:val="18"/>
                <w:szCs w:val="18"/>
              </w:rPr>
              <w:t>Risque</w:t>
            </w:r>
            <w:r w:rsidR="00783124" w:rsidRPr="00A32AF4">
              <w:rPr>
                <w:rFonts w:cs="Arial"/>
                <w:b/>
                <w:bCs/>
                <w:sz w:val="18"/>
                <w:szCs w:val="18"/>
              </w:rPr>
              <w:t>s</w:t>
            </w:r>
          </w:p>
        </w:tc>
        <w:tc>
          <w:tcPr>
            <w:tcW w:w="5103" w:type="dxa"/>
            <w:tcBorders>
              <w:top w:val="single" w:sz="4" w:space="0" w:color="auto"/>
              <w:bottom w:val="single" w:sz="4" w:space="0" w:color="auto"/>
            </w:tcBorders>
            <w:shd w:val="clear" w:color="auto" w:fill="C6D9F1" w:themeFill="text2" w:themeFillTint="33"/>
            <w:vAlign w:val="center"/>
          </w:tcPr>
          <w:p w:rsidR="00F735D5" w:rsidRPr="00A32AF4" w:rsidRDefault="00783124" w:rsidP="00DC0553">
            <w:pPr>
              <w:jc w:val="center"/>
              <w:rPr>
                <w:rFonts w:cs="Arial"/>
                <w:b/>
                <w:bCs/>
                <w:sz w:val="18"/>
                <w:szCs w:val="18"/>
              </w:rPr>
            </w:pPr>
            <w:r w:rsidRPr="00A32AF4">
              <w:rPr>
                <w:rFonts w:cs="Arial"/>
                <w:b/>
                <w:bCs/>
                <w:sz w:val="18"/>
                <w:szCs w:val="18"/>
              </w:rPr>
              <w:t>Stratégies d</w:t>
            </w:r>
            <w:r w:rsidR="00E2055A" w:rsidRPr="00A32AF4">
              <w:rPr>
                <w:rFonts w:cs="Arial"/>
                <w:b/>
                <w:bCs/>
                <w:sz w:val="18"/>
                <w:szCs w:val="18"/>
              </w:rPr>
              <w:t>’</w:t>
            </w:r>
            <w:r w:rsidRPr="00A32AF4">
              <w:rPr>
                <w:rFonts w:cs="Arial"/>
                <w:b/>
                <w:bCs/>
                <w:sz w:val="18"/>
                <w:szCs w:val="18"/>
              </w:rPr>
              <w:t>a</w:t>
            </w:r>
            <w:r w:rsidR="00F735D5" w:rsidRPr="00A32AF4">
              <w:rPr>
                <w:rFonts w:cs="Arial"/>
                <w:b/>
                <w:bCs/>
                <w:sz w:val="18"/>
                <w:szCs w:val="18"/>
              </w:rPr>
              <w:t>tténuation</w:t>
            </w:r>
          </w:p>
        </w:tc>
      </w:tr>
      <w:tr w:rsidR="00F735D5" w:rsidRPr="00A32AF4" w:rsidTr="00F735D5">
        <w:trPr>
          <w:trHeight w:val="147"/>
        </w:trPr>
        <w:tc>
          <w:tcPr>
            <w:tcW w:w="4111" w:type="dxa"/>
            <w:tcBorders>
              <w:top w:val="single" w:sz="4" w:space="0" w:color="auto"/>
            </w:tcBorders>
            <w:shd w:val="clear" w:color="auto" w:fill="auto"/>
            <w:tcMar>
              <w:top w:w="113" w:type="dxa"/>
              <w:bottom w:w="113" w:type="dxa"/>
            </w:tcMar>
          </w:tcPr>
          <w:p w:rsidR="00F735D5" w:rsidRPr="00A32AF4" w:rsidRDefault="00F735D5" w:rsidP="00DC0553">
            <w:pPr>
              <w:rPr>
                <w:sz w:val="16"/>
                <w:szCs w:val="16"/>
              </w:rPr>
            </w:pPr>
            <w:r w:rsidRPr="00A32AF4">
              <w:rPr>
                <w:rFonts w:cs="Arial"/>
                <w:sz w:val="16"/>
                <w:szCs w:val="16"/>
              </w:rPr>
              <w:t xml:space="preserve">Le manque de volonté des membres ou partenaires des programmes WIPO </w:t>
            </w:r>
            <w:proofErr w:type="gramStart"/>
            <w:r w:rsidRPr="00A32AF4">
              <w:rPr>
                <w:rFonts w:cs="Arial"/>
                <w:sz w:val="16"/>
                <w:szCs w:val="16"/>
              </w:rPr>
              <w:t>Re:Search</w:t>
            </w:r>
            <w:proofErr w:type="gramEnd"/>
            <w:r w:rsidRPr="00A32AF4">
              <w:rPr>
                <w:rFonts w:cs="Arial"/>
                <w:sz w:val="16"/>
                <w:szCs w:val="16"/>
              </w:rPr>
              <w:t xml:space="preserve"> et WIPO GREEN pourraient avoir pour résultat un nombre insuffisant de données et une donc baisse de crédibilité des plates</w:t>
            </w:r>
            <w:r w:rsidR="00EB7F54" w:rsidRPr="00A32AF4">
              <w:rPr>
                <w:rFonts w:cs="Arial"/>
                <w:sz w:val="16"/>
                <w:szCs w:val="16"/>
              </w:rPr>
              <w:noBreakHyphen/>
            </w:r>
            <w:r w:rsidRPr="00A32AF4">
              <w:rPr>
                <w:rFonts w:cs="Arial"/>
                <w:sz w:val="16"/>
                <w:szCs w:val="16"/>
              </w:rPr>
              <w:t>formes.</w:t>
            </w:r>
            <w:r w:rsidRPr="00A32AF4" w:rsidDel="008D4CE6">
              <w:rPr>
                <w:rFonts w:cs="Arial"/>
                <w:sz w:val="16"/>
                <w:szCs w:val="16"/>
              </w:rPr>
              <w:t xml:space="preserve"> </w:t>
            </w:r>
            <w:r w:rsidRPr="00A32AF4">
              <w:rPr>
                <w:rFonts w:cs="Arial"/>
                <w:sz w:val="16"/>
                <w:szCs w:val="16"/>
              </w:rPr>
              <w:t xml:space="preserve"> </w:t>
            </w:r>
          </w:p>
        </w:tc>
        <w:tc>
          <w:tcPr>
            <w:tcW w:w="5103" w:type="dxa"/>
            <w:tcBorders>
              <w:top w:val="single" w:sz="4" w:space="0" w:color="auto"/>
            </w:tcBorders>
            <w:shd w:val="clear" w:color="auto" w:fill="auto"/>
            <w:tcMar>
              <w:top w:w="113" w:type="dxa"/>
              <w:bottom w:w="113" w:type="dxa"/>
            </w:tcMar>
          </w:tcPr>
          <w:p w:rsidR="00F93B76" w:rsidRPr="00A32AF4" w:rsidRDefault="00F735D5" w:rsidP="00DC0553">
            <w:pPr>
              <w:rPr>
                <w:rFonts w:cs="Arial"/>
                <w:sz w:val="16"/>
                <w:szCs w:val="16"/>
              </w:rPr>
            </w:pPr>
            <w:r w:rsidRPr="00A32AF4">
              <w:rPr>
                <w:rFonts w:cs="Arial"/>
                <w:sz w:val="16"/>
                <w:szCs w:val="16"/>
              </w:rPr>
              <w:t xml:space="preserve">WIPO </w:t>
            </w:r>
            <w:proofErr w:type="gramStart"/>
            <w:r w:rsidRPr="00A32AF4">
              <w:rPr>
                <w:rFonts w:cs="Arial"/>
                <w:sz w:val="16"/>
                <w:szCs w:val="16"/>
              </w:rPr>
              <w:t>Re:Search</w:t>
            </w:r>
            <w:proofErr w:type="gramEnd"/>
            <w:r w:rsidRPr="00A32AF4">
              <w:rPr>
                <w:rFonts w:cs="Arial"/>
                <w:sz w:val="16"/>
                <w:szCs w:val="16"/>
              </w:rPr>
              <w:t> : intensifier les efforts pour accroître les ressources et renforcer les activités du centre de partenariat.</w:t>
            </w:r>
          </w:p>
          <w:p w:rsidR="00F93B76" w:rsidRPr="00A32AF4" w:rsidRDefault="00F93B76" w:rsidP="00DC0553">
            <w:pPr>
              <w:rPr>
                <w:rFonts w:cs="Arial"/>
                <w:sz w:val="8"/>
                <w:szCs w:val="8"/>
              </w:rPr>
            </w:pPr>
          </w:p>
          <w:p w:rsidR="00F735D5" w:rsidRPr="00A32AF4" w:rsidRDefault="00F735D5" w:rsidP="00DC0553">
            <w:pPr>
              <w:rPr>
                <w:sz w:val="16"/>
                <w:szCs w:val="16"/>
              </w:rPr>
            </w:pPr>
            <w:r w:rsidRPr="00A32AF4">
              <w:rPr>
                <w:rFonts w:cs="Arial"/>
                <w:sz w:val="16"/>
                <w:szCs w:val="16"/>
              </w:rPr>
              <w:t xml:space="preserve">WIPO GREEN : veiller à ce que les services proposés correspondent aux besoins des clients et à une commercialisation efficace, et poursuivre la collaboration étroite avec les partenaires et les parties prenantes actuelles.  </w:t>
            </w:r>
          </w:p>
        </w:tc>
      </w:tr>
    </w:tbl>
    <w:p w:rsidR="00F93B76" w:rsidRPr="00A32AF4" w:rsidRDefault="00F93B76" w:rsidP="00DC0553">
      <w:pPr>
        <w:tabs>
          <w:tab w:val="left" w:pos="567"/>
          <w:tab w:val="left" w:pos="1985"/>
        </w:tabs>
        <w:jc w:val="both"/>
      </w:pPr>
    </w:p>
    <w:p w:rsidR="00F93B76" w:rsidRPr="00A32AF4" w:rsidRDefault="00F93B76" w:rsidP="00DC0553">
      <w:pPr>
        <w:tabs>
          <w:tab w:val="left" w:pos="567"/>
          <w:tab w:val="left" w:pos="1985"/>
        </w:tabs>
        <w:jc w:val="both"/>
      </w:pPr>
    </w:p>
    <w:p w:rsidR="00F93B76" w:rsidRPr="00A32AF4" w:rsidRDefault="00F735D5" w:rsidP="00DC0553">
      <w:pPr>
        <w:keepNext/>
        <w:keepLines/>
        <w:tabs>
          <w:tab w:val="left" w:pos="567"/>
          <w:tab w:val="left" w:pos="1985"/>
        </w:tabs>
        <w:jc w:val="both"/>
      </w:pPr>
      <w:r w:rsidRPr="00A32AF4">
        <w:t>TABLEAU DES RÉSULTATS</w:t>
      </w:r>
    </w:p>
    <w:p w:rsidR="00F735D5" w:rsidRPr="00A32AF4" w:rsidRDefault="00F735D5" w:rsidP="00DC0553">
      <w:pPr>
        <w:keepNext/>
        <w:keepLines/>
        <w:tabs>
          <w:tab w:val="left" w:pos="567"/>
          <w:tab w:val="left" w:pos="1985"/>
        </w:tabs>
        <w:jc w:val="both"/>
      </w:pPr>
    </w:p>
    <w:tbl>
      <w:tblPr>
        <w:tblW w:w="9260" w:type="dxa"/>
        <w:tblInd w:w="9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193"/>
        <w:gridCol w:w="2334"/>
        <w:gridCol w:w="2480"/>
        <w:gridCol w:w="2253"/>
      </w:tblGrid>
      <w:tr w:rsidR="00F735D5" w:rsidRPr="00A32AF4" w:rsidTr="009A24BE">
        <w:trPr>
          <w:cantSplit/>
        </w:trPr>
        <w:tc>
          <w:tcPr>
            <w:tcW w:w="2340" w:type="dxa"/>
            <w:tcBorders>
              <w:top w:val="single" w:sz="4" w:space="0" w:color="auto"/>
              <w:bottom w:val="single" w:sz="4" w:space="0" w:color="auto"/>
            </w:tcBorders>
            <w:shd w:val="clear" w:color="auto" w:fill="C6D9F1" w:themeFill="text2" w:themeFillTint="33"/>
            <w:tcMar>
              <w:top w:w="113" w:type="dxa"/>
              <w:bottom w:w="113" w:type="dxa"/>
            </w:tcMar>
            <w:vAlign w:val="center"/>
            <w:hideMark/>
          </w:tcPr>
          <w:p w:rsidR="00F735D5" w:rsidRPr="00A32AF4" w:rsidRDefault="00F735D5" w:rsidP="00D22625">
            <w:pPr>
              <w:keepNext/>
              <w:keepLines/>
              <w:jc w:val="center"/>
              <w:rPr>
                <w:rFonts w:cs="Arial"/>
                <w:b/>
                <w:bCs/>
                <w:sz w:val="18"/>
                <w:szCs w:val="18"/>
              </w:rPr>
            </w:pPr>
            <w:r w:rsidRPr="00A32AF4">
              <w:rPr>
                <w:rFonts w:cs="Arial"/>
                <w:b/>
                <w:bCs/>
                <w:sz w:val="18"/>
                <w:szCs w:val="18"/>
              </w:rPr>
              <w:t>Résultats escomptés</w:t>
            </w:r>
          </w:p>
        </w:tc>
        <w:tc>
          <w:tcPr>
            <w:tcW w:w="2380" w:type="dxa"/>
            <w:tcBorders>
              <w:top w:val="single" w:sz="4" w:space="0" w:color="auto"/>
              <w:bottom w:val="single" w:sz="4" w:space="0" w:color="auto"/>
            </w:tcBorders>
            <w:shd w:val="clear" w:color="auto" w:fill="C6D9F1" w:themeFill="text2" w:themeFillTint="33"/>
            <w:tcMar>
              <w:top w:w="113" w:type="dxa"/>
              <w:bottom w:w="113" w:type="dxa"/>
            </w:tcMar>
            <w:vAlign w:val="center"/>
            <w:hideMark/>
          </w:tcPr>
          <w:p w:rsidR="00F735D5" w:rsidRPr="00A32AF4" w:rsidRDefault="00F735D5" w:rsidP="00D22625">
            <w:pPr>
              <w:keepNext/>
              <w:keepLines/>
              <w:jc w:val="center"/>
              <w:rPr>
                <w:rFonts w:cs="Arial"/>
                <w:b/>
                <w:bCs/>
                <w:sz w:val="18"/>
                <w:szCs w:val="18"/>
              </w:rPr>
            </w:pPr>
            <w:r w:rsidRPr="00A32AF4">
              <w:rPr>
                <w:rFonts w:cs="Arial"/>
                <w:b/>
                <w:bCs/>
                <w:sz w:val="18"/>
                <w:szCs w:val="18"/>
              </w:rPr>
              <w:t>Indicateurs d</w:t>
            </w:r>
            <w:r w:rsidR="00E2055A" w:rsidRPr="00A32AF4">
              <w:rPr>
                <w:rFonts w:cs="Arial"/>
                <w:b/>
                <w:bCs/>
                <w:sz w:val="18"/>
                <w:szCs w:val="18"/>
              </w:rPr>
              <w:t>’</w:t>
            </w:r>
            <w:r w:rsidRPr="00A32AF4">
              <w:rPr>
                <w:rFonts w:cs="Arial"/>
                <w:b/>
                <w:bCs/>
                <w:sz w:val="18"/>
                <w:szCs w:val="18"/>
              </w:rPr>
              <w:t>exécution</w:t>
            </w:r>
          </w:p>
        </w:tc>
        <w:tc>
          <w:tcPr>
            <w:tcW w:w="2520" w:type="dxa"/>
            <w:tcBorders>
              <w:top w:val="single" w:sz="4" w:space="0" w:color="auto"/>
              <w:bottom w:val="single" w:sz="4" w:space="0" w:color="auto"/>
            </w:tcBorders>
            <w:shd w:val="clear" w:color="auto" w:fill="C6D9F1" w:themeFill="text2" w:themeFillTint="33"/>
            <w:tcMar>
              <w:top w:w="113" w:type="dxa"/>
              <w:bottom w:w="113" w:type="dxa"/>
            </w:tcMar>
            <w:vAlign w:val="center"/>
            <w:hideMark/>
          </w:tcPr>
          <w:p w:rsidR="00F735D5" w:rsidRPr="00A32AF4" w:rsidRDefault="00F735D5" w:rsidP="00D22625">
            <w:pPr>
              <w:keepNext/>
              <w:keepLines/>
              <w:jc w:val="center"/>
              <w:rPr>
                <w:rFonts w:cs="Arial"/>
                <w:b/>
                <w:bCs/>
                <w:sz w:val="18"/>
                <w:szCs w:val="18"/>
              </w:rPr>
            </w:pPr>
            <w:r w:rsidRPr="00A32AF4">
              <w:rPr>
                <w:rFonts w:cs="Arial"/>
                <w:b/>
                <w:bCs/>
                <w:sz w:val="18"/>
                <w:szCs w:val="18"/>
              </w:rPr>
              <w:t>Niveaux de référence</w:t>
            </w:r>
          </w:p>
        </w:tc>
        <w:tc>
          <w:tcPr>
            <w:tcW w:w="2020" w:type="dxa"/>
            <w:tcBorders>
              <w:top w:val="single" w:sz="4" w:space="0" w:color="auto"/>
              <w:bottom w:val="single" w:sz="4" w:space="0" w:color="auto"/>
            </w:tcBorders>
            <w:shd w:val="clear" w:color="auto" w:fill="C6D9F1" w:themeFill="text2" w:themeFillTint="33"/>
            <w:tcMar>
              <w:top w:w="113" w:type="dxa"/>
              <w:bottom w:w="113" w:type="dxa"/>
            </w:tcMar>
            <w:vAlign w:val="center"/>
            <w:hideMark/>
          </w:tcPr>
          <w:p w:rsidR="00F735D5" w:rsidRPr="00A32AF4" w:rsidRDefault="00F735D5" w:rsidP="00D22625">
            <w:pPr>
              <w:keepNext/>
              <w:keepLines/>
              <w:jc w:val="center"/>
              <w:rPr>
                <w:rFonts w:cs="Arial"/>
                <w:b/>
                <w:bCs/>
                <w:sz w:val="18"/>
                <w:szCs w:val="18"/>
              </w:rPr>
            </w:pPr>
            <w:r w:rsidRPr="00A32AF4">
              <w:rPr>
                <w:rFonts w:cs="Arial"/>
                <w:b/>
                <w:bCs/>
                <w:sz w:val="18"/>
                <w:szCs w:val="18"/>
              </w:rPr>
              <w:t>Objectifs visés</w:t>
            </w:r>
          </w:p>
        </w:tc>
      </w:tr>
      <w:tr w:rsidR="001E11B4" w:rsidRPr="00A32AF4" w:rsidTr="009A24BE">
        <w:trPr>
          <w:cantSplit/>
        </w:trPr>
        <w:tc>
          <w:tcPr>
            <w:tcW w:w="2340" w:type="dxa"/>
            <w:tcBorders>
              <w:top w:val="single" w:sz="4" w:space="0" w:color="auto"/>
            </w:tcBorders>
            <w:shd w:val="clear" w:color="000000" w:fill="FFFFFF"/>
            <w:tcMar>
              <w:top w:w="113" w:type="dxa"/>
              <w:bottom w:w="113" w:type="dxa"/>
            </w:tcMar>
          </w:tcPr>
          <w:p w:rsidR="001E11B4" w:rsidRPr="00A32AF4" w:rsidRDefault="00B305E4" w:rsidP="00D22625">
            <w:pPr>
              <w:keepNext/>
              <w:keepLines/>
              <w:rPr>
                <w:rFonts w:cs="Arial"/>
                <w:sz w:val="16"/>
                <w:szCs w:val="16"/>
              </w:rPr>
            </w:pPr>
            <w:r w:rsidRPr="00A32AF4">
              <w:rPr>
                <w:rFonts w:cs="Arial"/>
                <w:sz w:val="16"/>
                <w:szCs w:val="16"/>
              </w:rPr>
              <w:t xml:space="preserve">I.2 </w:t>
            </w:r>
            <w:r w:rsidR="001E11B4" w:rsidRPr="00A32AF4">
              <w:rPr>
                <w:rFonts w:cs="Arial"/>
                <w:sz w:val="16"/>
                <w:szCs w:val="16"/>
              </w:rPr>
              <w:t>Cadres législatifs, réglementaires et politiques de propriété intellectuelle adaptés et équilibrés</w:t>
            </w:r>
          </w:p>
        </w:tc>
        <w:tc>
          <w:tcPr>
            <w:tcW w:w="2380" w:type="dxa"/>
            <w:tcBorders>
              <w:top w:val="single" w:sz="4" w:space="0" w:color="auto"/>
            </w:tcBorders>
            <w:shd w:val="clear" w:color="000000" w:fill="FFFFFF"/>
            <w:tcMar>
              <w:top w:w="113" w:type="dxa"/>
              <w:bottom w:w="113" w:type="dxa"/>
            </w:tcMar>
          </w:tcPr>
          <w:p w:rsidR="001E11B4" w:rsidRPr="00A32AF4" w:rsidRDefault="001E11B4" w:rsidP="00D22625">
            <w:pPr>
              <w:keepNext/>
              <w:keepLines/>
              <w:rPr>
                <w:rFonts w:cs="Arial"/>
                <w:sz w:val="16"/>
                <w:szCs w:val="16"/>
              </w:rPr>
            </w:pPr>
            <w:r w:rsidRPr="00A32AF4">
              <w:rPr>
                <w:sz w:val="16"/>
                <w:szCs w:val="16"/>
              </w:rPr>
              <w:t>Nombre de pays demandant à l</w:t>
            </w:r>
            <w:r w:rsidR="00E2055A" w:rsidRPr="00A32AF4">
              <w:rPr>
                <w:sz w:val="16"/>
                <w:szCs w:val="16"/>
              </w:rPr>
              <w:t>’</w:t>
            </w:r>
            <w:r w:rsidRPr="00A32AF4">
              <w:rPr>
                <w:sz w:val="16"/>
                <w:szCs w:val="16"/>
              </w:rPr>
              <w:t>OMPI une contribution dans le domaine de la propriété intellectuelle en rapport avec des questions relatives à la politique en matière de concurrence</w:t>
            </w:r>
          </w:p>
        </w:tc>
        <w:tc>
          <w:tcPr>
            <w:tcW w:w="2520" w:type="dxa"/>
            <w:tcBorders>
              <w:top w:val="single" w:sz="4" w:space="0" w:color="auto"/>
            </w:tcBorders>
            <w:shd w:val="clear" w:color="000000" w:fill="FFFFFF"/>
            <w:tcMar>
              <w:top w:w="113" w:type="dxa"/>
              <w:bottom w:w="113" w:type="dxa"/>
            </w:tcMar>
          </w:tcPr>
          <w:p w:rsidR="001E11B4" w:rsidRPr="00A32AF4" w:rsidRDefault="001E11B4" w:rsidP="00D22625">
            <w:pPr>
              <w:keepNext/>
              <w:keepLines/>
              <w:rPr>
                <w:rFonts w:cs="Arial"/>
                <w:sz w:val="16"/>
                <w:szCs w:val="16"/>
              </w:rPr>
            </w:pPr>
            <w:r w:rsidRPr="00A32AF4">
              <w:rPr>
                <w:rFonts w:cs="Arial"/>
                <w:color w:val="000000"/>
                <w:sz w:val="16"/>
                <w:szCs w:val="16"/>
              </w:rPr>
              <w:t>12 pays (2014)</w:t>
            </w:r>
          </w:p>
        </w:tc>
        <w:tc>
          <w:tcPr>
            <w:tcW w:w="2020" w:type="dxa"/>
            <w:tcBorders>
              <w:top w:val="single" w:sz="4" w:space="0" w:color="auto"/>
            </w:tcBorders>
            <w:shd w:val="clear" w:color="000000" w:fill="FFFFFF"/>
            <w:tcMar>
              <w:top w:w="113" w:type="dxa"/>
              <w:bottom w:w="113" w:type="dxa"/>
            </w:tcMar>
          </w:tcPr>
          <w:p w:rsidR="001E11B4" w:rsidRPr="00A32AF4" w:rsidRDefault="001E11B4" w:rsidP="00D22625">
            <w:pPr>
              <w:keepNext/>
              <w:keepLines/>
              <w:rPr>
                <w:rFonts w:cs="Arial"/>
                <w:sz w:val="16"/>
                <w:szCs w:val="16"/>
              </w:rPr>
            </w:pPr>
            <w:r w:rsidRPr="00A32AF4">
              <w:rPr>
                <w:rFonts w:cs="Arial"/>
                <w:color w:val="000000"/>
                <w:sz w:val="16"/>
                <w:szCs w:val="16"/>
              </w:rPr>
              <w:t>12 pays au cours de l</w:t>
            </w:r>
            <w:r w:rsidR="00E2055A" w:rsidRPr="00A32AF4">
              <w:rPr>
                <w:rFonts w:cs="Arial"/>
                <w:color w:val="000000"/>
                <w:sz w:val="16"/>
                <w:szCs w:val="16"/>
              </w:rPr>
              <w:t>’</w:t>
            </w:r>
            <w:r w:rsidRPr="00A32AF4">
              <w:rPr>
                <w:rFonts w:cs="Arial"/>
                <w:color w:val="000000"/>
                <w:sz w:val="16"/>
                <w:szCs w:val="16"/>
              </w:rPr>
              <w:t>exercice 2016</w:t>
            </w:r>
            <w:r w:rsidR="00EB7F54" w:rsidRPr="00A32AF4">
              <w:rPr>
                <w:rFonts w:cs="Arial"/>
                <w:color w:val="000000"/>
                <w:sz w:val="16"/>
                <w:szCs w:val="16"/>
              </w:rPr>
              <w:noBreakHyphen/>
            </w:r>
            <w:r w:rsidR="00D22625" w:rsidRPr="00A32AF4">
              <w:rPr>
                <w:rFonts w:cs="Arial"/>
                <w:color w:val="000000"/>
                <w:sz w:val="16"/>
                <w:szCs w:val="16"/>
              </w:rPr>
              <w:t>20</w:t>
            </w:r>
            <w:r w:rsidRPr="00A32AF4">
              <w:rPr>
                <w:rFonts w:cs="Arial"/>
                <w:color w:val="000000"/>
                <w:sz w:val="16"/>
                <w:szCs w:val="16"/>
              </w:rPr>
              <w:t>17</w:t>
            </w:r>
          </w:p>
        </w:tc>
      </w:tr>
      <w:tr w:rsidR="001E11B4" w:rsidRPr="00A32AF4" w:rsidTr="009A24BE">
        <w:trPr>
          <w:cantSplit/>
        </w:trPr>
        <w:tc>
          <w:tcPr>
            <w:tcW w:w="2340" w:type="dxa"/>
            <w:tcBorders>
              <w:top w:val="single" w:sz="4" w:space="0" w:color="auto"/>
            </w:tcBorders>
            <w:shd w:val="clear" w:color="000000" w:fill="FFFFFF"/>
            <w:tcMar>
              <w:top w:w="113" w:type="dxa"/>
              <w:bottom w:w="113" w:type="dxa"/>
            </w:tcMar>
          </w:tcPr>
          <w:p w:rsidR="001E11B4" w:rsidRPr="00A32AF4" w:rsidRDefault="001E11B4" w:rsidP="00DC0553">
            <w:pPr>
              <w:rPr>
                <w:rFonts w:cs="Arial"/>
                <w:sz w:val="16"/>
                <w:szCs w:val="16"/>
              </w:rPr>
            </w:pPr>
          </w:p>
        </w:tc>
        <w:tc>
          <w:tcPr>
            <w:tcW w:w="2380" w:type="dxa"/>
            <w:tcBorders>
              <w:top w:val="single" w:sz="4" w:space="0" w:color="auto"/>
            </w:tcBorders>
            <w:shd w:val="clear" w:color="000000" w:fill="FFFFFF"/>
            <w:tcMar>
              <w:top w:w="113" w:type="dxa"/>
              <w:bottom w:w="113" w:type="dxa"/>
            </w:tcMar>
          </w:tcPr>
          <w:p w:rsidR="001E11B4" w:rsidRPr="00A32AF4" w:rsidRDefault="001E11B4" w:rsidP="00DC0553">
            <w:pPr>
              <w:rPr>
                <w:rFonts w:cs="Arial"/>
                <w:sz w:val="16"/>
                <w:szCs w:val="16"/>
              </w:rPr>
            </w:pPr>
            <w:r w:rsidRPr="00A32AF4">
              <w:rPr>
                <w:rFonts w:eastAsia="MS Mincho" w:cs="Courier New"/>
                <w:sz w:val="16"/>
                <w:szCs w:val="16"/>
                <w:lang w:bidi="th-TH"/>
              </w:rPr>
              <w:t>Nombre et éventail de parties prenantes (offices de propriété intellectuelle, services chargés de l</w:t>
            </w:r>
            <w:r w:rsidR="00E2055A" w:rsidRPr="00A32AF4">
              <w:rPr>
                <w:rFonts w:eastAsia="MS Mincho" w:cs="Courier New"/>
                <w:sz w:val="16"/>
                <w:szCs w:val="16"/>
                <w:lang w:bidi="th-TH"/>
              </w:rPr>
              <w:t>’</w:t>
            </w:r>
            <w:r w:rsidRPr="00A32AF4">
              <w:rPr>
                <w:rFonts w:eastAsia="MS Mincho" w:cs="Courier New"/>
                <w:sz w:val="16"/>
                <w:szCs w:val="16"/>
                <w:lang w:bidi="th-TH"/>
              </w:rPr>
              <w:t>application du droit de la concurrence, organisations intergouvernementales et ONG compétentes) ayant engagé un dialogue avec l</w:t>
            </w:r>
            <w:r w:rsidR="00E2055A" w:rsidRPr="00A32AF4">
              <w:rPr>
                <w:rFonts w:eastAsia="MS Mincho" w:cs="Courier New"/>
                <w:sz w:val="16"/>
                <w:szCs w:val="16"/>
                <w:lang w:bidi="th-TH"/>
              </w:rPr>
              <w:t>’</w:t>
            </w:r>
            <w:r w:rsidRPr="00A32AF4">
              <w:rPr>
                <w:rFonts w:eastAsia="MS Mincho" w:cs="Courier New"/>
                <w:sz w:val="16"/>
                <w:szCs w:val="16"/>
                <w:lang w:bidi="th-TH"/>
              </w:rPr>
              <w:t>OMPI</w:t>
            </w:r>
          </w:p>
        </w:tc>
        <w:tc>
          <w:tcPr>
            <w:tcW w:w="2520" w:type="dxa"/>
            <w:tcBorders>
              <w:top w:val="single" w:sz="4" w:space="0" w:color="auto"/>
            </w:tcBorders>
            <w:shd w:val="clear" w:color="000000" w:fill="FFFFFF"/>
            <w:tcMar>
              <w:top w:w="113" w:type="dxa"/>
              <w:bottom w:w="113" w:type="dxa"/>
            </w:tcMar>
          </w:tcPr>
          <w:p w:rsidR="001E11B4" w:rsidRPr="00A32AF4" w:rsidRDefault="001E11B4">
            <w:pPr>
              <w:rPr>
                <w:rFonts w:cs="Arial"/>
                <w:sz w:val="16"/>
                <w:szCs w:val="16"/>
              </w:rPr>
            </w:pPr>
            <w:r w:rsidRPr="00A32AF4">
              <w:rPr>
                <w:rFonts w:cs="Arial"/>
                <w:color w:val="000000"/>
                <w:sz w:val="16"/>
                <w:szCs w:val="16"/>
              </w:rPr>
              <w:t>64</w:t>
            </w:r>
            <w:r w:rsidR="00D22625" w:rsidRPr="00A32AF4">
              <w:rPr>
                <w:rFonts w:cs="Arial"/>
                <w:color w:val="000000"/>
                <w:sz w:val="16"/>
                <w:szCs w:val="16"/>
              </w:rPr>
              <w:t> </w:t>
            </w:r>
            <w:r w:rsidR="00EE7C3D" w:rsidRPr="00A32AF4">
              <w:rPr>
                <w:rFonts w:eastAsia="MS Mincho" w:cs="Courier New"/>
                <w:sz w:val="16"/>
                <w:szCs w:val="16"/>
                <w:lang w:bidi="th-TH"/>
              </w:rPr>
              <w:t>administrations nationales chargées de la propriété intellectuelle</w:t>
            </w:r>
            <w:r w:rsidRPr="00A32AF4">
              <w:rPr>
                <w:rFonts w:cs="Arial"/>
                <w:color w:val="000000"/>
                <w:sz w:val="16"/>
                <w:szCs w:val="16"/>
              </w:rPr>
              <w:t>/</w:t>
            </w:r>
            <w:r w:rsidRPr="00A32AF4">
              <w:rPr>
                <w:rFonts w:eastAsia="MS Mincho" w:cs="Courier New"/>
                <w:sz w:val="16"/>
                <w:szCs w:val="16"/>
                <w:lang w:bidi="th-TH"/>
              </w:rPr>
              <w:t xml:space="preserve">services </w:t>
            </w:r>
            <w:r w:rsidR="00F37DC9" w:rsidRPr="00A32AF4">
              <w:rPr>
                <w:rFonts w:cs="Arial"/>
                <w:color w:val="000000"/>
                <w:sz w:val="16"/>
                <w:szCs w:val="16"/>
              </w:rPr>
              <w:t xml:space="preserve">nationaux </w:t>
            </w:r>
            <w:r w:rsidRPr="00A32AF4">
              <w:rPr>
                <w:rFonts w:eastAsia="MS Mincho" w:cs="Courier New"/>
                <w:sz w:val="16"/>
                <w:szCs w:val="16"/>
                <w:lang w:bidi="th-TH"/>
              </w:rPr>
              <w:t>chargés de l</w:t>
            </w:r>
            <w:r w:rsidR="00E2055A" w:rsidRPr="00A32AF4">
              <w:rPr>
                <w:rFonts w:eastAsia="MS Mincho" w:cs="Courier New"/>
                <w:sz w:val="16"/>
                <w:szCs w:val="16"/>
                <w:lang w:bidi="th-TH"/>
              </w:rPr>
              <w:t>’</w:t>
            </w:r>
            <w:r w:rsidRPr="00A32AF4">
              <w:rPr>
                <w:rFonts w:eastAsia="MS Mincho" w:cs="Courier New"/>
                <w:sz w:val="16"/>
                <w:szCs w:val="16"/>
                <w:lang w:bidi="th-TH"/>
              </w:rPr>
              <w:t>application du droit de la concurrence</w:t>
            </w:r>
            <w:r w:rsidRPr="00A32AF4">
              <w:rPr>
                <w:rFonts w:cs="Arial"/>
                <w:color w:val="000000"/>
                <w:sz w:val="16"/>
                <w:szCs w:val="16"/>
              </w:rPr>
              <w:t xml:space="preserve"> </w:t>
            </w:r>
            <w:r w:rsidR="00850CF4" w:rsidRPr="00A32AF4">
              <w:rPr>
                <w:rFonts w:cs="Arial"/>
                <w:color w:val="000000"/>
                <w:sz w:val="16"/>
                <w:szCs w:val="16"/>
              </w:rPr>
              <w:t>et</w:t>
            </w:r>
            <w:r w:rsidRPr="00A32AF4">
              <w:rPr>
                <w:rFonts w:cs="Arial"/>
                <w:color w:val="000000"/>
                <w:sz w:val="16"/>
                <w:szCs w:val="16"/>
              </w:rPr>
              <w:t xml:space="preserve"> 5</w:t>
            </w:r>
            <w:r w:rsidR="00D22625" w:rsidRPr="00A32AF4">
              <w:rPr>
                <w:rFonts w:cs="Arial"/>
                <w:color w:val="000000"/>
                <w:sz w:val="16"/>
                <w:szCs w:val="16"/>
              </w:rPr>
              <w:t> </w:t>
            </w:r>
            <w:r w:rsidR="00850CF4" w:rsidRPr="00A32AF4">
              <w:rPr>
                <w:rFonts w:eastAsia="MS Mincho" w:cs="Courier New"/>
                <w:sz w:val="16"/>
                <w:szCs w:val="16"/>
                <w:lang w:bidi="th-TH"/>
              </w:rPr>
              <w:t xml:space="preserve">organisations intergouvernementales/ONG </w:t>
            </w:r>
            <w:r w:rsidRPr="00A32AF4">
              <w:rPr>
                <w:rFonts w:cs="Arial"/>
                <w:color w:val="000000"/>
                <w:sz w:val="16"/>
                <w:szCs w:val="16"/>
              </w:rPr>
              <w:t>(</w:t>
            </w:r>
            <w:r w:rsidR="00850CF4" w:rsidRPr="00A32AF4">
              <w:rPr>
                <w:rFonts w:cs="Arial"/>
                <w:color w:val="000000"/>
                <w:sz w:val="16"/>
                <w:szCs w:val="16"/>
              </w:rPr>
              <w:t>au total</w:t>
            </w:r>
            <w:r w:rsidRPr="00A32AF4">
              <w:rPr>
                <w:rFonts w:cs="Arial"/>
                <w:color w:val="000000"/>
                <w:sz w:val="16"/>
                <w:szCs w:val="16"/>
              </w:rPr>
              <w:t>)</w:t>
            </w:r>
          </w:p>
        </w:tc>
        <w:tc>
          <w:tcPr>
            <w:tcW w:w="2020" w:type="dxa"/>
            <w:tcBorders>
              <w:top w:val="single" w:sz="4" w:space="0" w:color="auto"/>
            </w:tcBorders>
            <w:shd w:val="clear" w:color="000000" w:fill="FFFFFF"/>
            <w:tcMar>
              <w:top w:w="113" w:type="dxa"/>
              <w:bottom w:w="113" w:type="dxa"/>
            </w:tcMar>
          </w:tcPr>
          <w:p w:rsidR="001E11B4" w:rsidRPr="00A32AF4" w:rsidRDefault="001E11B4">
            <w:pPr>
              <w:rPr>
                <w:rFonts w:cs="Arial"/>
                <w:sz w:val="16"/>
                <w:szCs w:val="16"/>
              </w:rPr>
            </w:pPr>
            <w:r w:rsidRPr="00A32AF4">
              <w:rPr>
                <w:rFonts w:cs="Arial"/>
                <w:color w:val="000000"/>
                <w:sz w:val="16"/>
                <w:szCs w:val="16"/>
              </w:rPr>
              <w:t>26</w:t>
            </w:r>
            <w:r w:rsidR="00D22625" w:rsidRPr="00A32AF4">
              <w:rPr>
                <w:rFonts w:cs="Arial"/>
                <w:color w:val="000000"/>
                <w:sz w:val="16"/>
                <w:szCs w:val="16"/>
              </w:rPr>
              <w:t> </w:t>
            </w:r>
            <w:r w:rsidR="00F37DC9" w:rsidRPr="00A32AF4">
              <w:rPr>
                <w:rFonts w:eastAsia="MS Mincho" w:cs="Courier New"/>
                <w:sz w:val="16"/>
                <w:szCs w:val="16"/>
                <w:lang w:bidi="th-TH"/>
              </w:rPr>
              <w:t>administrations nationales chargées de la propriété intellectuelle</w:t>
            </w:r>
            <w:r w:rsidR="00F37DC9" w:rsidRPr="00A32AF4">
              <w:rPr>
                <w:rFonts w:cs="Arial"/>
                <w:color w:val="000000"/>
                <w:sz w:val="16"/>
                <w:szCs w:val="16"/>
              </w:rPr>
              <w:t>/</w:t>
            </w:r>
            <w:r w:rsidR="00F37DC9" w:rsidRPr="00A32AF4">
              <w:rPr>
                <w:rFonts w:eastAsia="MS Mincho" w:cs="Courier New"/>
                <w:sz w:val="16"/>
                <w:szCs w:val="16"/>
                <w:lang w:bidi="th-TH"/>
              </w:rPr>
              <w:t xml:space="preserve">services </w:t>
            </w:r>
            <w:r w:rsidR="00F37DC9" w:rsidRPr="00A32AF4">
              <w:rPr>
                <w:rFonts w:cs="Arial"/>
                <w:color w:val="000000"/>
                <w:sz w:val="16"/>
                <w:szCs w:val="16"/>
              </w:rPr>
              <w:t xml:space="preserve">nationaux </w:t>
            </w:r>
            <w:r w:rsidR="00F37DC9" w:rsidRPr="00A32AF4">
              <w:rPr>
                <w:rFonts w:eastAsia="MS Mincho" w:cs="Courier New"/>
                <w:sz w:val="16"/>
                <w:szCs w:val="16"/>
                <w:lang w:bidi="th-TH"/>
              </w:rPr>
              <w:t>chargés de l</w:t>
            </w:r>
            <w:r w:rsidR="00E2055A" w:rsidRPr="00A32AF4">
              <w:rPr>
                <w:rFonts w:eastAsia="MS Mincho" w:cs="Courier New"/>
                <w:sz w:val="16"/>
                <w:szCs w:val="16"/>
                <w:lang w:bidi="th-TH"/>
              </w:rPr>
              <w:t>’</w:t>
            </w:r>
            <w:r w:rsidR="00F37DC9" w:rsidRPr="00A32AF4">
              <w:rPr>
                <w:rFonts w:eastAsia="MS Mincho" w:cs="Courier New"/>
                <w:sz w:val="16"/>
                <w:szCs w:val="16"/>
                <w:lang w:bidi="th-TH"/>
              </w:rPr>
              <w:t>application du droit de la concurrence</w:t>
            </w:r>
            <w:r w:rsidR="00F37DC9" w:rsidRPr="00A32AF4">
              <w:rPr>
                <w:rFonts w:cs="Arial"/>
                <w:color w:val="000000"/>
                <w:sz w:val="16"/>
                <w:szCs w:val="16"/>
              </w:rPr>
              <w:t xml:space="preserve"> </w:t>
            </w:r>
            <w:r w:rsidR="00850CF4" w:rsidRPr="00A32AF4">
              <w:rPr>
                <w:rFonts w:cs="Arial"/>
                <w:color w:val="000000"/>
                <w:sz w:val="16"/>
                <w:szCs w:val="16"/>
              </w:rPr>
              <w:t>et</w:t>
            </w:r>
            <w:r w:rsidRPr="00A32AF4">
              <w:rPr>
                <w:rFonts w:cs="Arial"/>
                <w:color w:val="000000"/>
                <w:sz w:val="16"/>
                <w:szCs w:val="16"/>
              </w:rPr>
              <w:t xml:space="preserve"> 5</w:t>
            </w:r>
            <w:r w:rsidR="00D22625" w:rsidRPr="00A32AF4">
              <w:rPr>
                <w:rFonts w:cs="Arial"/>
                <w:color w:val="000000"/>
                <w:sz w:val="16"/>
                <w:szCs w:val="16"/>
              </w:rPr>
              <w:t> </w:t>
            </w:r>
            <w:r w:rsidR="00850CF4" w:rsidRPr="00A32AF4">
              <w:rPr>
                <w:rFonts w:eastAsia="MS Mincho" w:cs="Courier New"/>
                <w:sz w:val="16"/>
                <w:szCs w:val="16"/>
                <w:lang w:bidi="th-TH"/>
              </w:rPr>
              <w:t>organisations intergouvernementales/ONG supplémentaires</w:t>
            </w:r>
          </w:p>
        </w:tc>
      </w:tr>
      <w:tr w:rsidR="00F735D5" w:rsidRPr="00A32AF4" w:rsidTr="009A24BE">
        <w:trPr>
          <w:cantSplit/>
        </w:trPr>
        <w:tc>
          <w:tcPr>
            <w:tcW w:w="2340" w:type="dxa"/>
            <w:tcBorders>
              <w:top w:val="single" w:sz="4" w:space="0" w:color="auto"/>
            </w:tcBorders>
            <w:shd w:val="clear" w:color="000000" w:fill="FFFFFF"/>
            <w:tcMar>
              <w:top w:w="113" w:type="dxa"/>
              <w:bottom w:w="113" w:type="dxa"/>
            </w:tcMar>
            <w:hideMark/>
          </w:tcPr>
          <w:p w:rsidR="00F735D5" w:rsidRPr="00A32AF4" w:rsidRDefault="00F735D5" w:rsidP="00DC0553">
            <w:pPr>
              <w:rPr>
                <w:rFonts w:cs="Arial"/>
                <w:sz w:val="16"/>
                <w:szCs w:val="16"/>
              </w:rPr>
            </w:pPr>
            <w:r w:rsidRPr="00A32AF4">
              <w:rPr>
                <w:rFonts w:cs="Arial"/>
                <w:sz w:val="16"/>
                <w:szCs w:val="16"/>
              </w:rPr>
              <w:t>III.2 Mise en valeur des ressources humaines pour répondre aux diverses exigences en matière d</w:t>
            </w:r>
            <w:r w:rsidR="00E2055A" w:rsidRPr="00A32AF4">
              <w:rPr>
                <w:rFonts w:cs="Arial"/>
                <w:sz w:val="16"/>
                <w:szCs w:val="16"/>
              </w:rPr>
              <w:t>’</w:t>
            </w:r>
            <w:r w:rsidRPr="00A32AF4">
              <w:rPr>
                <w:rFonts w:cs="Arial"/>
                <w:sz w:val="16"/>
                <w:szCs w:val="16"/>
              </w:rPr>
              <w:t>utilisation efficace de la propriété intellectuelle au service du développement dans les pays en développement, les PMA et les pays en transition</w:t>
            </w:r>
          </w:p>
        </w:tc>
        <w:tc>
          <w:tcPr>
            <w:tcW w:w="2380" w:type="dxa"/>
            <w:tcBorders>
              <w:top w:val="single" w:sz="4" w:space="0" w:color="auto"/>
            </w:tcBorders>
            <w:shd w:val="clear" w:color="000000" w:fill="FFFFFF"/>
            <w:tcMar>
              <w:top w:w="113" w:type="dxa"/>
              <w:bottom w:w="113" w:type="dxa"/>
            </w:tcMar>
            <w:hideMark/>
          </w:tcPr>
          <w:p w:rsidR="00F93B76" w:rsidRPr="00A32AF4" w:rsidRDefault="00F735D5" w:rsidP="00DC0553">
            <w:pPr>
              <w:rPr>
                <w:rFonts w:cs="Arial"/>
                <w:sz w:val="16"/>
                <w:szCs w:val="16"/>
              </w:rPr>
            </w:pPr>
            <w:r w:rsidRPr="00A32AF4">
              <w:rPr>
                <w:rFonts w:cs="Arial"/>
                <w:sz w:val="16"/>
                <w:szCs w:val="16"/>
              </w:rPr>
              <w:t>Nombre de dispositions prises pour l</w:t>
            </w:r>
            <w:r w:rsidR="00E2055A" w:rsidRPr="00A32AF4">
              <w:rPr>
                <w:rFonts w:cs="Arial"/>
                <w:sz w:val="16"/>
                <w:szCs w:val="16"/>
              </w:rPr>
              <w:t>’</w:t>
            </w:r>
            <w:r w:rsidRPr="00A32AF4">
              <w:rPr>
                <w:rFonts w:cs="Arial"/>
                <w:sz w:val="16"/>
                <w:szCs w:val="16"/>
              </w:rPr>
              <w:t>hébergement de scientifiques de pays en développement</w:t>
            </w:r>
          </w:p>
          <w:p w:rsidR="00F93B76" w:rsidRPr="00A32AF4" w:rsidRDefault="00F93B76" w:rsidP="00DC0553">
            <w:pPr>
              <w:rPr>
                <w:rFonts w:cs="Arial"/>
                <w:sz w:val="16"/>
                <w:szCs w:val="16"/>
              </w:rPr>
            </w:pPr>
          </w:p>
          <w:p w:rsidR="00F735D5" w:rsidRPr="00A32AF4" w:rsidRDefault="00CD25CA" w:rsidP="00DC0553">
            <w:pPr>
              <w:rPr>
                <w:rFonts w:cs="Arial"/>
                <w:sz w:val="16"/>
                <w:szCs w:val="16"/>
              </w:rPr>
            </w:pPr>
            <w:r w:rsidRPr="00A32AF4">
              <w:rPr>
                <w:rFonts w:cs="Arial"/>
                <w:sz w:val="16"/>
                <w:szCs w:val="16"/>
              </w:rPr>
              <w:t>Pourcentage</w:t>
            </w:r>
            <w:r w:rsidR="00F735D5" w:rsidRPr="00A32AF4">
              <w:rPr>
                <w:rFonts w:cs="Arial"/>
                <w:sz w:val="16"/>
                <w:szCs w:val="16"/>
              </w:rPr>
              <w:t xml:space="preserve"> de participants ayant suivi le module d</w:t>
            </w:r>
            <w:r w:rsidR="00E2055A" w:rsidRPr="00A32AF4">
              <w:rPr>
                <w:rFonts w:cs="Arial"/>
                <w:sz w:val="16"/>
                <w:szCs w:val="16"/>
              </w:rPr>
              <w:t>’</w:t>
            </w:r>
            <w:r w:rsidR="00F735D5" w:rsidRPr="00A32AF4">
              <w:rPr>
                <w:rFonts w:cs="Arial"/>
                <w:sz w:val="16"/>
                <w:szCs w:val="16"/>
              </w:rPr>
              <w:t xml:space="preserve">enseignement à distance sur la propriété intellectuelle relative à la santé qui </w:t>
            </w:r>
            <w:proofErr w:type="gramStart"/>
            <w:r w:rsidR="00F735D5" w:rsidRPr="00A32AF4">
              <w:rPr>
                <w:rFonts w:cs="Arial"/>
                <w:sz w:val="16"/>
                <w:szCs w:val="16"/>
              </w:rPr>
              <w:t>sont</w:t>
            </w:r>
            <w:proofErr w:type="gramEnd"/>
            <w:r w:rsidR="00F735D5" w:rsidRPr="00A32AF4">
              <w:rPr>
                <w:rFonts w:cs="Arial"/>
                <w:sz w:val="16"/>
                <w:szCs w:val="16"/>
              </w:rPr>
              <w:t xml:space="preserve"> favorables à l</w:t>
            </w:r>
            <w:r w:rsidR="00E2055A" w:rsidRPr="00A32AF4">
              <w:rPr>
                <w:rFonts w:cs="Arial"/>
                <w:sz w:val="16"/>
                <w:szCs w:val="16"/>
              </w:rPr>
              <w:t>’</w:t>
            </w:r>
            <w:r w:rsidR="00F735D5" w:rsidRPr="00A32AF4">
              <w:rPr>
                <w:rFonts w:cs="Arial"/>
                <w:sz w:val="16"/>
                <w:szCs w:val="16"/>
              </w:rPr>
              <w:t>utilisation de la propriété intellectuelle au service du développement grâce au transfert de connaissances et à l</w:t>
            </w:r>
            <w:r w:rsidR="00E2055A" w:rsidRPr="00A32AF4">
              <w:rPr>
                <w:rFonts w:cs="Arial"/>
                <w:sz w:val="16"/>
                <w:szCs w:val="16"/>
              </w:rPr>
              <w:t>’</w:t>
            </w:r>
            <w:r w:rsidR="00F735D5" w:rsidRPr="00A32AF4">
              <w:rPr>
                <w:rFonts w:cs="Arial"/>
                <w:sz w:val="16"/>
                <w:szCs w:val="16"/>
              </w:rPr>
              <w:t>acquisition de compétences</w:t>
            </w:r>
          </w:p>
        </w:tc>
        <w:tc>
          <w:tcPr>
            <w:tcW w:w="2520" w:type="dxa"/>
            <w:tcBorders>
              <w:top w:val="single" w:sz="4" w:space="0" w:color="auto"/>
            </w:tcBorders>
            <w:shd w:val="clear" w:color="000000" w:fill="FFFFFF"/>
            <w:tcMar>
              <w:top w:w="113" w:type="dxa"/>
              <w:bottom w:w="113" w:type="dxa"/>
            </w:tcMar>
            <w:hideMark/>
          </w:tcPr>
          <w:p w:rsidR="00F93B76" w:rsidRPr="00A32AF4" w:rsidRDefault="00F735D5" w:rsidP="00DC0553">
            <w:pPr>
              <w:rPr>
                <w:rFonts w:cs="Arial"/>
                <w:sz w:val="16"/>
                <w:szCs w:val="16"/>
              </w:rPr>
            </w:pPr>
            <w:r w:rsidRPr="00A32AF4">
              <w:rPr>
                <w:rFonts w:cs="Arial"/>
                <w:sz w:val="16"/>
                <w:szCs w:val="16"/>
              </w:rPr>
              <w:t>5</w:t>
            </w:r>
          </w:p>
          <w:p w:rsidR="00F93B76" w:rsidRPr="00A32AF4" w:rsidRDefault="00F93B76" w:rsidP="00DC0553">
            <w:pPr>
              <w:rPr>
                <w:rFonts w:cs="Arial"/>
                <w:sz w:val="16"/>
                <w:szCs w:val="16"/>
              </w:rPr>
            </w:pPr>
          </w:p>
          <w:p w:rsidR="00F93B76" w:rsidRPr="00A32AF4" w:rsidRDefault="00F93B76" w:rsidP="00DC0553">
            <w:pPr>
              <w:rPr>
                <w:rFonts w:cs="Arial"/>
                <w:sz w:val="16"/>
                <w:szCs w:val="16"/>
              </w:rPr>
            </w:pPr>
          </w:p>
          <w:p w:rsidR="00F93B76" w:rsidRPr="00A32AF4" w:rsidRDefault="00F93B76" w:rsidP="00DC0553">
            <w:pPr>
              <w:rPr>
                <w:rFonts w:cs="Arial"/>
                <w:sz w:val="16"/>
                <w:szCs w:val="16"/>
              </w:rPr>
            </w:pPr>
          </w:p>
          <w:p w:rsidR="00F93B76" w:rsidRPr="00A32AF4" w:rsidRDefault="00F93B76" w:rsidP="00DC0553">
            <w:pPr>
              <w:rPr>
                <w:rFonts w:cs="Arial"/>
                <w:sz w:val="16"/>
                <w:szCs w:val="16"/>
              </w:rPr>
            </w:pPr>
          </w:p>
          <w:p w:rsidR="00F735D5" w:rsidRPr="00A32AF4" w:rsidRDefault="00F735D5" w:rsidP="00DC0553">
            <w:pPr>
              <w:rPr>
                <w:rFonts w:cs="Arial"/>
                <w:sz w:val="16"/>
                <w:szCs w:val="16"/>
              </w:rPr>
            </w:pPr>
            <w:r w:rsidRPr="00A32AF4">
              <w:rPr>
                <w:rFonts w:cs="Arial"/>
                <w:sz w:val="16"/>
                <w:szCs w:val="16"/>
              </w:rPr>
              <w:t>n.d.</w:t>
            </w:r>
          </w:p>
        </w:tc>
        <w:tc>
          <w:tcPr>
            <w:tcW w:w="2020" w:type="dxa"/>
            <w:tcBorders>
              <w:top w:val="single" w:sz="4" w:space="0" w:color="auto"/>
            </w:tcBorders>
            <w:shd w:val="clear" w:color="000000" w:fill="FFFFFF"/>
            <w:tcMar>
              <w:top w:w="113" w:type="dxa"/>
              <w:bottom w:w="113" w:type="dxa"/>
            </w:tcMar>
            <w:hideMark/>
          </w:tcPr>
          <w:p w:rsidR="00F93B76" w:rsidRPr="00A32AF4" w:rsidRDefault="00F735D5" w:rsidP="00DC0553">
            <w:pPr>
              <w:rPr>
                <w:rFonts w:cs="Arial"/>
                <w:sz w:val="16"/>
                <w:szCs w:val="16"/>
              </w:rPr>
            </w:pPr>
            <w:r w:rsidRPr="00A32AF4">
              <w:rPr>
                <w:rFonts w:cs="Arial"/>
                <w:sz w:val="16"/>
                <w:szCs w:val="16"/>
              </w:rPr>
              <w:t>2 dispositions supplémentaires pour l</w:t>
            </w:r>
            <w:r w:rsidR="00E2055A" w:rsidRPr="00A32AF4">
              <w:rPr>
                <w:rFonts w:cs="Arial"/>
                <w:sz w:val="16"/>
                <w:szCs w:val="16"/>
              </w:rPr>
              <w:t>’</w:t>
            </w:r>
            <w:r w:rsidRPr="00A32AF4">
              <w:rPr>
                <w:rFonts w:cs="Arial"/>
                <w:sz w:val="16"/>
                <w:szCs w:val="16"/>
              </w:rPr>
              <w:t>hébergement</w:t>
            </w:r>
          </w:p>
          <w:p w:rsidR="00F93B76" w:rsidRPr="00A32AF4" w:rsidRDefault="00F93B76" w:rsidP="00DC0553">
            <w:pPr>
              <w:rPr>
                <w:rFonts w:cs="Arial"/>
                <w:sz w:val="16"/>
                <w:szCs w:val="16"/>
              </w:rPr>
            </w:pPr>
          </w:p>
          <w:p w:rsidR="00F93B76" w:rsidRPr="00A32AF4" w:rsidRDefault="00F93B76" w:rsidP="00DC0553">
            <w:pPr>
              <w:rPr>
                <w:rFonts w:cs="Arial"/>
                <w:sz w:val="16"/>
                <w:szCs w:val="16"/>
              </w:rPr>
            </w:pPr>
          </w:p>
          <w:p w:rsidR="00F735D5" w:rsidRPr="00A32AF4" w:rsidRDefault="00F735D5" w:rsidP="00DC0553">
            <w:pPr>
              <w:rPr>
                <w:rFonts w:cs="Arial"/>
                <w:sz w:val="16"/>
                <w:szCs w:val="16"/>
              </w:rPr>
            </w:pPr>
            <w:r w:rsidRPr="00A32AF4">
              <w:rPr>
                <w:rFonts w:cs="Arial"/>
                <w:sz w:val="16"/>
                <w:szCs w:val="16"/>
              </w:rPr>
              <w:t xml:space="preserve">Au moins 70% des personnes interrogées </w:t>
            </w:r>
          </w:p>
        </w:tc>
      </w:tr>
      <w:tr w:rsidR="00F735D5" w:rsidRPr="00A32AF4" w:rsidTr="009A24BE">
        <w:trPr>
          <w:cantSplit/>
        </w:trPr>
        <w:tc>
          <w:tcPr>
            <w:tcW w:w="2340" w:type="dxa"/>
            <w:shd w:val="clear" w:color="000000" w:fill="FFFFFF"/>
            <w:tcMar>
              <w:top w:w="113" w:type="dxa"/>
              <w:bottom w:w="113" w:type="dxa"/>
            </w:tcMar>
            <w:hideMark/>
          </w:tcPr>
          <w:p w:rsidR="00F735D5" w:rsidRPr="00A32AF4" w:rsidRDefault="00F735D5" w:rsidP="00DC0553">
            <w:pPr>
              <w:rPr>
                <w:rFonts w:cs="Arial"/>
                <w:sz w:val="16"/>
                <w:szCs w:val="16"/>
              </w:rPr>
            </w:pPr>
            <w:r w:rsidRPr="00A32AF4">
              <w:rPr>
                <w:rFonts w:cs="Arial"/>
                <w:sz w:val="16"/>
                <w:szCs w:val="16"/>
              </w:rPr>
              <w:t>VII.2 Plates</w:t>
            </w:r>
            <w:r w:rsidR="00EB7F54" w:rsidRPr="00A32AF4">
              <w:rPr>
                <w:rFonts w:cs="Arial"/>
                <w:sz w:val="16"/>
                <w:szCs w:val="16"/>
              </w:rPr>
              <w:noBreakHyphen/>
            </w:r>
            <w:r w:rsidRPr="00A32AF4">
              <w:rPr>
                <w:rFonts w:cs="Arial"/>
                <w:sz w:val="16"/>
                <w:szCs w:val="16"/>
              </w:rPr>
              <w:t>formes et instruments fondés sur la propriété intellectuelle pour le transfert de connaissances et l</w:t>
            </w:r>
            <w:r w:rsidR="00E2055A" w:rsidRPr="00A32AF4">
              <w:rPr>
                <w:rFonts w:cs="Arial"/>
                <w:sz w:val="16"/>
                <w:szCs w:val="16"/>
              </w:rPr>
              <w:t>’</w:t>
            </w:r>
            <w:r w:rsidRPr="00A32AF4">
              <w:rPr>
                <w:rFonts w:cs="Arial"/>
                <w:sz w:val="16"/>
                <w:szCs w:val="16"/>
              </w:rPr>
              <w:t>adaptation et la diffusion de la technologie entre les pays développés et les pays en développement, notamment les PMA, pour relever des défis mondiaux</w:t>
            </w:r>
          </w:p>
        </w:tc>
        <w:tc>
          <w:tcPr>
            <w:tcW w:w="2380" w:type="dxa"/>
            <w:shd w:val="clear" w:color="000000" w:fill="FFFFFF"/>
            <w:tcMar>
              <w:top w:w="113" w:type="dxa"/>
              <w:bottom w:w="113" w:type="dxa"/>
            </w:tcMar>
            <w:hideMark/>
          </w:tcPr>
          <w:p w:rsidR="00F735D5" w:rsidRPr="00A32AF4" w:rsidRDefault="00F735D5" w:rsidP="00DC0553">
            <w:pPr>
              <w:rPr>
                <w:rFonts w:cs="Arial"/>
                <w:sz w:val="16"/>
                <w:szCs w:val="16"/>
              </w:rPr>
            </w:pPr>
            <w:r w:rsidRPr="00A32AF4">
              <w:rPr>
                <w:rFonts w:cs="Arial"/>
                <w:sz w:val="16"/>
                <w:szCs w:val="16"/>
              </w:rPr>
              <w:t xml:space="preserve">Augmentation du nombre de participants du programme WIPO </w:t>
            </w:r>
            <w:proofErr w:type="gramStart"/>
            <w:r w:rsidRPr="00A32AF4">
              <w:rPr>
                <w:rFonts w:cs="Arial"/>
                <w:sz w:val="16"/>
                <w:szCs w:val="16"/>
              </w:rPr>
              <w:t>Re:Search</w:t>
            </w:r>
            <w:proofErr w:type="gramEnd"/>
            <w:r w:rsidRPr="00A32AF4">
              <w:rPr>
                <w:rFonts w:cs="Arial"/>
                <w:sz w:val="16"/>
                <w:szCs w:val="16"/>
              </w:rPr>
              <w:t xml:space="preserve">, </w:t>
            </w:r>
            <w:r w:rsidR="00E2055A" w:rsidRPr="00A32AF4">
              <w:rPr>
                <w:rFonts w:cs="Arial"/>
                <w:sz w:val="16"/>
                <w:szCs w:val="16"/>
              </w:rPr>
              <w:t>y compris</w:t>
            </w:r>
            <w:r w:rsidRPr="00A32AF4">
              <w:rPr>
                <w:rFonts w:cs="Arial"/>
                <w:sz w:val="16"/>
                <w:szCs w:val="16"/>
              </w:rPr>
              <w:t xml:space="preserve"> dans les pays en développement et les PMA</w:t>
            </w:r>
            <w:r w:rsidRPr="00A32AF4">
              <w:rPr>
                <w:rFonts w:cs="Arial"/>
                <w:sz w:val="16"/>
                <w:szCs w:val="16"/>
              </w:rPr>
              <w:br/>
            </w:r>
            <w:r w:rsidRPr="00A32AF4">
              <w:rPr>
                <w:rFonts w:cs="Arial"/>
                <w:sz w:val="16"/>
                <w:szCs w:val="16"/>
              </w:rPr>
              <w:br/>
              <w:t>Nombre de données dans la base WIPO Re:Search</w:t>
            </w:r>
            <w:r w:rsidR="0046629D" w:rsidRPr="00A32AF4">
              <w:rPr>
                <w:rFonts w:cs="Arial"/>
                <w:sz w:val="16"/>
                <w:szCs w:val="16"/>
              </w:rPr>
              <w:br/>
            </w:r>
            <w:r w:rsidR="0046629D" w:rsidRPr="00A32AF4">
              <w:rPr>
                <w:rFonts w:cs="Arial"/>
                <w:sz w:val="16"/>
                <w:szCs w:val="16"/>
              </w:rPr>
              <w:br/>
            </w:r>
            <w:r w:rsidRPr="00A32AF4">
              <w:rPr>
                <w:rFonts w:cs="Arial"/>
                <w:sz w:val="16"/>
                <w:szCs w:val="16"/>
              </w:rPr>
              <w:t>Augmentation du nombre d</w:t>
            </w:r>
            <w:r w:rsidR="00E2055A" w:rsidRPr="00A32AF4">
              <w:rPr>
                <w:rFonts w:cs="Arial"/>
                <w:sz w:val="16"/>
                <w:szCs w:val="16"/>
              </w:rPr>
              <w:t>’</w:t>
            </w:r>
            <w:r w:rsidRPr="00A32AF4">
              <w:rPr>
                <w:rFonts w:cs="Arial"/>
                <w:sz w:val="16"/>
                <w:szCs w:val="16"/>
              </w:rPr>
              <w:t>accords au titre de WIPO Re:Search qui mènent à des activités nouvelles ou accélérées de recherche</w:t>
            </w:r>
            <w:r w:rsidR="00EB7F54" w:rsidRPr="00A32AF4">
              <w:rPr>
                <w:rFonts w:cs="Arial"/>
                <w:sz w:val="16"/>
                <w:szCs w:val="16"/>
              </w:rPr>
              <w:noBreakHyphen/>
            </w:r>
            <w:r w:rsidRPr="00A32AF4">
              <w:rPr>
                <w:rFonts w:cs="Arial"/>
                <w:sz w:val="16"/>
                <w:szCs w:val="16"/>
              </w:rPr>
              <w:t>développement dans le domaine des maladies tropicales négligées, du paludisme et de la tuberculose</w:t>
            </w:r>
          </w:p>
        </w:tc>
        <w:tc>
          <w:tcPr>
            <w:tcW w:w="2520" w:type="dxa"/>
            <w:shd w:val="clear" w:color="000000" w:fill="FFFFFF"/>
            <w:tcMar>
              <w:top w:w="113" w:type="dxa"/>
              <w:bottom w:w="113" w:type="dxa"/>
            </w:tcMar>
            <w:hideMark/>
          </w:tcPr>
          <w:p w:rsidR="00F93B76" w:rsidRPr="00A32AF4" w:rsidRDefault="004331C7" w:rsidP="00DC0553">
            <w:pPr>
              <w:rPr>
                <w:rFonts w:cs="Arial"/>
                <w:sz w:val="16"/>
                <w:szCs w:val="16"/>
              </w:rPr>
            </w:pPr>
            <w:r w:rsidRPr="00A32AF4">
              <w:rPr>
                <w:rFonts w:cs="Arial"/>
                <w:sz w:val="16"/>
                <w:szCs w:val="16"/>
              </w:rPr>
              <w:t>96 membres dont 27</w:t>
            </w:r>
            <w:r w:rsidR="00F735D5" w:rsidRPr="00A32AF4">
              <w:rPr>
                <w:rFonts w:cs="Arial"/>
                <w:sz w:val="16"/>
                <w:szCs w:val="16"/>
              </w:rPr>
              <w:t xml:space="preserve"> de pays en développement</w:t>
            </w:r>
          </w:p>
          <w:p w:rsidR="00F93B76" w:rsidRPr="00A32AF4" w:rsidRDefault="00F735D5" w:rsidP="00DC0553">
            <w:pPr>
              <w:rPr>
                <w:rFonts w:cs="Arial"/>
                <w:sz w:val="16"/>
                <w:szCs w:val="16"/>
              </w:rPr>
            </w:pPr>
            <w:r w:rsidRPr="00A32AF4">
              <w:rPr>
                <w:rFonts w:cs="Arial"/>
                <w:sz w:val="16"/>
                <w:szCs w:val="16"/>
              </w:rPr>
              <w:t>(fin décembre 2014)</w:t>
            </w:r>
            <w:r w:rsidRPr="00A32AF4">
              <w:rPr>
                <w:rFonts w:cs="Arial"/>
                <w:sz w:val="16"/>
                <w:szCs w:val="16"/>
              </w:rPr>
              <w:br/>
            </w:r>
            <w:r w:rsidRPr="00A32AF4">
              <w:rPr>
                <w:rFonts w:cs="Arial"/>
                <w:sz w:val="16"/>
                <w:szCs w:val="16"/>
              </w:rPr>
              <w:br/>
            </w:r>
            <w:r w:rsidRPr="00A32AF4">
              <w:rPr>
                <w:rFonts w:cs="Arial"/>
                <w:sz w:val="16"/>
                <w:szCs w:val="16"/>
              </w:rPr>
              <w:br/>
            </w:r>
            <w:r w:rsidRPr="00A32AF4">
              <w:rPr>
                <w:rFonts w:cs="Arial"/>
                <w:sz w:val="16"/>
                <w:szCs w:val="16"/>
              </w:rPr>
              <w:br/>
              <w:t>186 données dans la base</w:t>
            </w:r>
          </w:p>
          <w:p w:rsidR="00F93B76" w:rsidRPr="00A32AF4" w:rsidRDefault="00F735D5" w:rsidP="00DC0553">
            <w:pPr>
              <w:rPr>
                <w:rFonts w:cs="Arial"/>
                <w:sz w:val="16"/>
                <w:szCs w:val="16"/>
              </w:rPr>
            </w:pPr>
            <w:r w:rsidRPr="00A32AF4">
              <w:rPr>
                <w:rFonts w:cs="Arial"/>
                <w:sz w:val="16"/>
                <w:szCs w:val="16"/>
              </w:rPr>
              <w:t>(au 24 avril 2015)</w:t>
            </w:r>
          </w:p>
          <w:p w:rsidR="00F93B76" w:rsidRPr="00A32AF4" w:rsidRDefault="0046629D" w:rsidP="00DC0553">
            <w:pPr>
              <w:rPr>
                <w:rFonts w:cs="Arial"/>
                <w:sz w:val="16"/>
                <w:szCs w:val="16"/>
              </w:rPr>
            </w:pPr>
            <w:r w:rsidRPr="00A32AF4">
              <w:rPr>
                <w:rFonts w:cs="Arial"/>
                <w:sz w:val="16"/>
                <w:szCs w:val="16"/>
              </w:rPr>
              <w:br/>
            </w:r>
            <w:r w:rsidR="00F735D5" w:rsidRPr="00A32AF4">
              <w:rPr>
                <w:rFonts w:cs="Arial"/>
                <w:sz w:val="16"/>
                <w:szCs w:val="16"/>
              </w:rPr>
              <w:t>90 accords</w:t>
            </w:r>
          </w:p>
          <w:p w:rsidR="00F735D5" w:rsidRPr="00A32AF4" w:rsidRDefault="00F735D5" w:rsidP="00DC0553">
            <w:pPr>
              <w:rPr>
                <w:rFonts w:cs="Arial"/>
                <w:sz w:val="16"/>
                <w:szCs w:val="16"/>
              </w:rPr>
            </w:pPr>
            <w:r w:rsidRPr="00A32AF4">
              <w:rPr>
                <w:rFonts w:cs="Arial"/>
                <w:sz w:val="16"/>
                <w:szCs w:val="16"/>
              </w:rPr>
              <w:t>(au 9 avril 2015)</w:t>
            </w:r>
          </w:p>
        </w:tc>
        <w:tc>
          <w:tcPr>
            <w:tcW w:w="2020" w:type="dxa"/>
            <w:shd w:val="clear" w:color="000000" w:fill="FFFFFF"/>
            <w:tcMar>
              <w:top w:w="113" w:type="dxa"/>
              <w:bottom w:w="113" w:type="dxa"/>
            </w:tcMar>
            <w:hideMark/>
          </w:tcPr>
          <w:p w:rsidR="00F93B76" w:rsidRPr="00A32AF4" w:rsidRDefault="004331C7" w:rsidP="00DC0553">
            <w:pPr>
              <w:rPr>
                <w:rFonts w:cs="Arial"/>
                <w:sz w:val="16"/>
                <w:szCs w:val="16"/>
              </w:rPr>
            </w:pPr>
            <w:r w:rsidRPr="00A32AF4">
              <w:rPr>
                <w:rFonts w:cs="Arial"/>
                <w:sz w:val="16"/>
                <w:szCs w:val="16"/>
              </w:rPr>
              <w:t>8</w:t>
            </w:r>
            <w:r w:rsidR="00F735D5" w:rsidRPr="00A32AF4">
              <w:rPr>
                <w:rFonts w:cs="Arial"/>
                <w:sz w:val="16"/>
                <w:szCs w:val="16"/>
              </w:rPr>
              <w:t xml:space="preserve"> nouveaux </w:t>
            </w:r>
            <w:proofErr w:type="gramStart"/>
            <w:r w:rsidR="00F735D5" w:rsidRPr="00A32AF4">
              <w:rPr>
                <w:rFonts w:cs="Arial"/>
                <w:sz w:val="16"/>
                <w:szCs w:val="16"/>
              </w:rPr>
              <w:t>membres;</w:t>
            </w:r>
            <w:proofErr w:type="gramEnd"/>
            <w:r w:rsidR="00F735D5" w:rsidRPr="00A32AF4">
              <w:rPr>
                <w:rFonts w:cs="Arial"/>
                <w:sz w:val="16"/>
                <w:szCs w:val="16"/>
              </w:rPr>
              <w:t xml:space="preserve">  7 membres de pays en développement</w:t>
            </w:r>
            <w:r w:rsidR="00F735D5" w:rsidRPr="00A32AF4">
              <w:rPr>
                <w:rFonts w:cs="Arial"/>
                <w:sz w:val="16"/>
                <w:szCs w:val="16"/>
              </w:rPr>
              <w:br/>
            </w:r>
            <w:r w:rsidR="00F735D5" w:rsidRPr="00A32AF4">
              <w:rPr>
                <w:rFonts w:cs="Arial"/>
                <w:sz w:val="16"/>
                <w:szCs w:val="16"/>
              </w:rPr>
              <w:br/>
            </w:r>
            <w:r w:rsidR="00F735D5" w:rsidRPr="00A32AF4">
              <w:rPr>
                <w:rFonts w:cs="Arial"/>
                <w:sz w:val="16"/>
                <w:szCs w:val="16"/>
              </w:rPr>
              <w:br/>
            </w:r>
            <w:r w:rsidR="00F735D5" w:rsidRPr="00A32AF4">
              <w:rPr>
                <w:rFonts w:cs="Arial"/>
                <w:sz w:val="16"/>
                <w:szCs w:val="16"/>
              </w:rPr>
              <w:br/>
              <w:t>300 données au total dans la base</w:t>
            </w:r>
          </w:p>
          <w:p w:rsidR="00F735D5" w:rsidRPr="00A32AF4" w:rsidRDefault="0046629D" w:rsidP="00DC0553">
            <w:pPr>
              <w:rPr>
                <w:rFonts w:cs="Arial"/>
                <w:sz w:val="16"/>
                <w:szCs w:val="16"/>
              </w:rPr>
            </w:pPr>
            <w:r w:rsidRPr="00A32AF4">
              <w:rPr>
                <w:rFonts w:cs="Arial"/>
                <w:sz w:val="16"/>
                <w:szCs w:val="16"/>
              </w:rPr>
              <w:br/>
            </w:r>
            <w:r w:rsidR="00F735D5" w:rsidRPr="00A32AF4">
              <w:rPr>
                <w:rFonts w:cs="Arial"/>
                <w:sz w:val="16"/>
                <w:szCs w:val="16"/>
              </w:rPr>
              <w:t>30 nouveaux accords dont une vingtaine d</w:t>
            </w:r>
            <w:r w:rsidR="00E2055A" w:rsidRPr="00A32AF4">
              <w:rPr>
                <w:rFonts w:cs="Arial"/>
                <w:sz w:val="16"/>
                <w:szCs w:val="16"/>
              </w:rPr>
              <w:t>’</w:t>
            </w:r>
            <w:r w:rsidR="00F735D5" w:rsidRPr="00A32AF4">
              <w:rPr>
                <w:rFonts w:cs="Arial"/>
                <w:sz w:val="16"/>
                <w:szCs w:val="16"/>
              </w:rPr>
              <w:t>accords de suivi</w:t>
            </w:r>
          </w:p>
        </w:tc>
      </w:tr>
      <w:tr w:rsidR="00F735D5" w:rsidRPr="00A32AF4" w:rsidTr="009A24BE">
        <w:trPr>
          <w:cantSplit/>
        </w:trPr>
        <w:tc>
          <w:tcPr>
            <w:tcW w:w="2340" w:type="dxa"/>
            <w:shd w:val="clear" w:color="000000" w:fill="FFFFFF"/>
            <w:tcMar>
              <w:top w:w="113" w:type="dxa"/>
              <w:bottom w:w="113" w:type="dxa"/>
            </w:tcMar>
            <w:hideMark/>
          </w:tcPr>
          <w:p w:rsidR="00F735D5" w:rsidRPr="00A32AF4" w:rsidRDefault="00F735D5" w:rsidP="00DC0553">
            <w:pPr>
              <w:rPr>
                <w:rFonts w:cs="Arial"/>
                <w:sz w:val="16"/>
                <w:szCs w:val="16"/>
              </w:rPr>
            </w:pPr>
          </w:p>
        </w:tc>
        <w:tc>
          <w:tcPr>
            <w:tcW w:w="2380" w:type="dxa"/>
            <w:shd w:val="clear" w:color="000000" w:fill="FFFFFF"/>
            <w:tcMar>
              <w:top w:w="113" w:type="dxa"/>
              <w:bottom w:w="113" w:type="dxa"/>
            </w:tcMar>
            <w:hideMark/>
          </w:tcPr>
          <w:p w:rsidR="00F735D5" w:rsidRPr="00A32AF4" w:rsidRDefault="00F735D5" w:rsidP="00DC0553">
            <w:pPr>
              <w:rPr>
                <w:rFonts w:cs="Arial"/>
                <w:sz w:val="16"/>
                <w:szCs w:val="16"/>
              </w:rPr>
            </w:pPr>
            <w:r w:rsidRPr="00A32AF4">
              <w:rPr>
                <w:rFonts w:cs="Arial"/>
                <w:sz w:val="16"/>
                <w:szCs w:val="16"/>
              </w:rPr>
              <w:t xml:space="preserve">Nombre de membres de WIPO GREEN </w:t>
            </w:r>
            <w:r w:rsidRPr="00A32AF4">
              <w:rPr>
                <w:rFonts w:cs="Arial"/>
                <w:sz w:val="16"/>
                <w:szCs w:val="16"/>
              </w:rPr>
              <w:br/>
            </w:r>
            <w:r w:rsidRPr="00A32AF4">
              <w:rPr>
                <w:rFonts w:cs="Arial"/>
                <w:sz w:val="16"/>
                <w:szCs w:val="16"/>
              </w:rPr>
              <w:br/>
            </w:r>
            <w:r w:rsidRPr="00A32AF4">
              <w:rPr>
                <w:rFonts w:cs="Arial"/>
                <w:sz w:val="16"/>
                <w:szCs w:val="16"/>
              </w:rPr>
              <w:br/>
            </w:r>
            <w:r w:rsidRPr="00A32AF4">
              <w:rPr>
                <w:rFonts w:cs="Arial"/>
                <w:sz w:val="16"/>
                <w:szCs w:val="16"/>
              </w:rPr>
              <w:br/>
              <w:t xml:space="preserve">Nombre de données dans la base WIPO GREEN </w:t>
            </w:r>
            <w:r w:rsidRPr="00A32AF4">
              <w:rPr>
                <w:rFonts w:cs="Arial"/>
                <w:sz w:val="16"/>
                <w:szCs w:val="16"/>
              </w:rPr>
              <w:br/>
            </w:r>
            <w:r w:rsidRPr="00A32AF4">
              <w:rPr>
                <w:rFonts w:cs="Arial"/>
                <w:sz w:val="16"/>
                <w:szCs w:val="16"/>
              </w:rPr>
              <w:br/>
              <w:t>Nombre d</w:t>
            </w:r>
            <w:r w:rsidR="00E2055A" w:rsidRPr="00A32AF4">
              <w:rPr>
                <w:rFonts w:cs="Arial"/>
                <w:sz w:val="16"/>
                <w:szCs w:val="16"/>
              </w:rPr>
              <w:t>’</w:t>
            </w:r>
            <w:r w:rsidRPr="00A32AF4">
              <w:rPr>
                <w:rFonts w:cs="Arial"/>
                <w:sz w:val="16"/>
                <w:szCs w:val="16"/>
              </w:rPr>
              <w:t>accords favorisés par WIPO GREEN qui facilitent le transfert de connaissances, et l</w:t>
            </w:r>
            <w:r w:rsidR="00E2055A" w:rsidRPr="00A32AF4">
              <w:rPr>
                <w:rFonts w:cs="Arial"/>
                <w:sz w:val="16"/>
                <w:szCs w:val="16"/>
              </w:rPr>
              <w:t>’</w:t>
            </w:r>
            <w:r w:rsidRPr="00A32AF4">
              <w:rPr>
                <w:rFonts w:cs="Arial"/>
                <w:sz w:val="16"/>
                <w:szCs w:val="16"/>
              </w:rPr>
              <w:t xml:space="preserve">adaptation, le transfert ou la diffusion des technologies </w:t>
            </w:r>
          </w:p>
        </w:tc>
        <w:tc>
          <w:tcPr>
            <w:tcW w:w="2520" w:type="dxa"/>
            <w:shd w:val="clear" w:color="000000" w:fill="FFFFFF"/>
            <w:tcMar>
              <w:top w:w="113" w:type="dxa"/>
              <w:bottom w:w="113" w:type="dxa"/>
            </w:tcMar>
            <w:hideMark/>
          </w:tcPr>
          <w:p w:rsidR="00F93B76" w:rsidRPr="00A32AF4" w:rsidRDefault="00F735D5" w:rsidP="00DC0553">
            <w:pPr>
              <w:rPr>
                <w:rFonts w:cs="Arial"/>
                <w:sz w:val="16"/>
                <w:szCs w:val="16"/>
              </w:rPr>
            </w:pPr>
            <w:r w:rsidRPr="00A32AF4">
              <w:rPr>
                <w:rFonts w:cs="Arial"/>
                <w:sz w:val="16"/>
                <w:szCs w:val="16"/>
              </w:rPr>
              <w:t>57 </w:t>
            </w:r>
            <w:proofErr w:type="gramStart"/>
            <w:r w:rsidRPr="00A32AF4">
              <w:rPr>
                <w:rFonts w:cs="Arial"/>
                <w:sz w:val="16"/>
                <w:szCs w:val="16"/>
              </w:rPr>
              <w:t>partenaires;</w:t>
            </w:r>
            <w:proofErr w:type="gramEnd"/>
            <w:r w:rsidRPr="00A32AF4">
              <w:rPr>
                <w:rFonts w:cs="Arial"/>
                <w:sz w:val="16"/>
                <w:szCs w:val="16"/>
              </w:rPr>
              <w:t xml:space="preserve">  430 utilisateurs</w:t>
            </w:r>
          </w:p>
          <w:p w:rsidR="00F93B76" w:rsidRPr="00A32AF4" w:rsidRDefault="00702CE5" w:rsidP="00DC0553">
            <w:pPr>
              <w:rPr>
                <w:rFonts w:cs="Arial"/>
                <w:sz w:val="16"/>
                <w:szCs w:val="16"/>
              </w:rPr>
            </w:pPr>
            <w:r w:rsidRPr="00A32AF4">
              <w:rPr>
                <w:rFonts w:cs="Arial"/>
                <w:sz w:val="16"/>
                <w:szCs w:val="16"/>
              </w:rPr>
              <w:t>(au 24 avril 2015)</w:t>
            </w:r>
            <w:r w:rsidRPr="00A32AF4">
              <w:rPr>
                <w:rFonts w:cs="Arial"/>
                <w:sz w:val="16"/>
                <w:szCs w:val="16"/>
              </w:rPr>
              <w:br/>
            </w:r>
            <w:r w:rsidRPr="00A32AF4">
              <w:rPr>
                <w:rFonts w:cs="Arial"/>
                <w:sz w:val="16"/>
                <w:szCs w:val="16"/>
              </w:rPr>
              <w:br/>
            </w:r>
            <w:r w:rsidRPr="00A32AF4">
              <w:rPr>
                <w:rFonts w:cs="Arial"/>
                <w:sz w:val="16"/>
                <w:szCs w:val="16"/>
              </w:rPr>
              <w:br/>
            </w:r>
            <w:r w:rsidRPr="00A32AF4">
              <w:rPr>
                <w:rFonts w:cs="Arial"/>
                <w:sz w:val="16"/>
                <w:szCs w:val="16"/>
              </w:rPr>
              <w:br/>
              <w:t>2</w:t>
            </w:r>
            <w:r w:rsidR="00F735D5" w:rsidRPr="00A32AF4">
              <w:rPr>
                <w:rFonts w:cs="Arial"/>
                <w:sz w:val="16"/>
                <w:szCs w:val="16"/>
              </w:rPr>
              <w:t>050 données</w:t>
            </w:r>
          </w:p>
          <w:p w:rsidR="00F735D5" w:rsidRPr="00A32AF4" w:rsidRDefault="00F735D5" w:rsidP="00DC0553">
            <w:pPr>
              <w:rPr>
                <w:rFonts w:cs="Arial"/>
                <w:sz w:val="16"/>
                <w:szCs w:val="16"/>
              </w:rPr>
            </w:pPr>
            <w:r w:rsidRPr="00A32AF4">
              <w:rPr>
                <w:rFonts w:cs="Arial"/>
                <w:sz w:val="16"/>
                <w:szCs w:val="16"/>
              </w:rPr>
              <w:t>(au 24 avril 2015)</w:t>
            </w:r>
            <w:r w:rsidRPr="00A32AF4">
              <w:rPr>
                <w:rFonts w:cs="Arial"/>
                <w:sz w:val="16"/>
                <w:szCs w:val="16"/>
              </w:rPr>
              <w:br/>
            </w:r>
            <w:r w:rsidRPr="00A32AF4">
              <w:rPr>
                <w:rFonts w:cs="Arial"/>
                <w:sz w:val="16"/>
                <w:szCs w:val="16"/>
              </w:rPr>
              <w:br/>
              <w:t>7 accords (AUTM, DKPTO, EACIN, Eco</w:t>
            </w:r>
            <w:r w:rsidR="00EB7F54" w:rsidRPr="00A32AF4">
              <w:rPr>
                <w:rFonts w:cs="Arial"/>
                <w:sz w:val="16"/>
                <w:szCs w:val="16"/>
              </w:rPr>
              <w:noBreakHyphen/>
            </w:r>
            <w:r w:rsidRPr="00A32AF4">
              <w:rPr>
                <w:rFonts w:cs="Arial"/>
                <w:sz w:val="16"/>
                <w:szCs w:val="16"/>
              </w:rPr>
              <w:t>patent commons, KOTEC, TechnologieAllianz, UNOSCC) (au 24 avril 2015)</w:t>
            </w:r>
          </w:p>
        </w:tc>
        <w:tc>
          <w:tcPr>
            <w:tcW w:w="2020" w:type="dxa"/>
            <w:shd w:val="clear" w:color="000000" w:fill="FFFFFF"/>
            <w:tcMar>
              <w:top w:w="113" w:type="dxa"/>
              <w:bottom w:w="113" w:type="dxa"/>
            </w:tcMar>
            <w:hideMark/>
          </w:tcPr>
          <w:p w:rsidR="00F735D5" w:rsidRPr="00A32AF4" w:rsidRDefault="00F735D5" w:rsidP="00DC0553">
            <w:pPr>
              <w:rPr>
                <w:rFonts w:cs="Arial"/>
                <w:sz w:val="16"/>
                <w:szCs w:val="16"/>
              </w:rPr>
            </w:pPr>
            <w:r w:rsidRPr="00A32AF4">
              <w:rPr>
                <w:rFonts w:cs="Arial"/>
                <w:sz w:val="16"/>
                <w:szCs w:val="16"/>
              </w:rPr>
              <w:t xml:space="preserve">14 partenaires </w:t>
            </w:r>
            <w:proofErr w:type="gramStart"/>
            <w:r w:rsidRPr="00A32AF4">
              <w:rPr>
                <w:rFonts w:cs="Arial"/>
                <w:sz w:val="16"/>
                <w:szCs w:val="16"/>
              </w:rPr>
              <w:t>supplémentaires;</w:t>
            </w:r>
            <w:proofErr w:type="gramEnd"/>
            <w:r w:rsidRPr="00A32AF4">
              <w:rPr>
                <w:rFonts w:cs="Arial"/>
                <w:sz w:val="16"/>
                <w:szCs w:val="16"/>
              </w:rPr>
              <w:t xml:space="preserve">  200 </w:t>
            </w:r>
            <w:r w:rsidR="00702CE5" w:rsidRPr="00A32AF4">
              <w:rPr>
                <w:rFonts w:cs="Arial"/>
                <w:sz w:val="16"/>
                <w:szCs w:val="16"/>
              </w:rPr>
              <w:t>utilisateurs supplémentaires</w:t>
            </w:r>
            <w:r w:rsidR="00702CE5" w:rsidRPr="00A32AF4">
              <w:rPr>
                <w:rFonts w:cs="Arial"/>
                <w:sz w:val="16"/>
                <w:szCs w:val="16"/>
              </w:rPr>
              <w:br/>
            </w:r>
            <w:r w:rsidR="00702CE5" w:rsidRPr="00A32AF4">
              <w:rPr>
                <w:rFonts w:cs="Arial"/>
                <w:sz w:val="16"/>
                <w:szCs w:val="16"/>
              </w:rPr>
              <w:br/>
              <w:t>1</w:t>
            </w:r>
            <w:r w:rsidRPr="00A32AF4">
              <w:rPr>
                <w:rFonts w:cs="Arial"/>
                <w:sz w:val="16"/>
                <w:szCs w:val="16"/>
              </w:rPr>
              <w:t>200 données supplémentaires</w:t>
            </w:r>
            <w:r w:rsidRPr="00A32AF4">
              <w:rPr>
                <w:rFonts w:cs="Arial"/>
                <w:sz w:val="16"/>
                <w:szCs w:val="16"/>
              </w:rPr>
              <w:br/>
            </w:r>
            <w:r w:rsidRPr="00A32AF4">
              <w:rPr>
                <w:rFonts w:cs="Arial"/>
                <w:sz w:val="16"/>
                <w:szCs w:val="16"/>
              </w:rPr>
              <w:br/>
              <w:t>10 accords</w:t>
            </w:r>
          </w:p>
        </w:tc>
      </w:tr>
      <w:tr w:rsidR="00F735D5" w:rsidRPr="00A32AF4" w:rsidTr="009A24BE">
        <w:trPr>
          <w:cantSplit/>
        </w:trPr>
        <w:tc>
          <w:tcPr>
            <w:tcW w:w="2340" w:type="dxa"/>
            <w:shd w:val="clear" w:color="000000" w:fill="FFFFFF"/>
            <w:tcMar>
              <w:top w:w="113" w:type="dxa"/>
              <w:bottom w:w="113" w:type="dxa"/>
            </w:tcMar>
            <w:hideMark/>
          </w:tcPr>
          <w:p w:rsidR="00F735D5" w:rsidRPr="00A32AF4" w:rsidRDefault="00F735D5" w:rsidP="00DC0553">
            <w:pPr>
              <w:rPr>
                <w:rFonts w:cs="Arial"/>
                <w:sz w:val="16"/>
                <w:szCs w:val="16"/>
              </w:rPr>
            </w:pPr>
          </w:p>
        </w:tc>
        <w:tc>
          <w:tcPr>
            <w:tcW w:w="2380" w:type="dxa"/>
            <w:shd w:val="clear" w:color="000000" w:fill="FFFFFF"/>
            <w:tcMar>
              <w:top w:w="113" w:type="dxa"/>
              <w:bottom w:w="113" w:type="dxa"/>
            </w:tcMar>
            <w:hideMark/>
          </w:tcPr>
          <w:p w:rsidR="00F735D5" w:rsidRPr="00A32AF4" w:rsidRDefault="00F735D5" w:rsidP="00DC0553">
            <w:pPr>
              <w:rPr>
                <w:rFonts w:cs="Arial"/>
                <w:sz w:val="16"/>
                <w:szCs w:val="16"/>
              </w:rPr>
            </w:pPr>
            <w:r w:rsidRPr="00A32AF4">
              <w:rPr>
                <w:rFonts w:cs="Arial"/>
                <w:sz w:val="16"/>
                <w:szCs w:val="16"/>
              </w:rPr>
              <w:t>Progrès dans l</w:t>
            </w:r>
            <w:r w:rsidR="00E2055A" w:rsidRPr="00A32AF4">
              <w:rPr>
                <w:rFonts w:cs="Arial"/>
                <w:sz w:val="16"/>
                <w:szCs w:val="16"/>
              </w:rPr>
              <w:t>’</w:t>
            </w:r>
            <w:r w:rsidRPr="00A32AF4">
              <w:rPr>
                <w:rFonts w:cs="Arial"/>
                <w:sz w:val="16"/>
                <w:szCs w:val="16"/>
              </w:rPr>
              <w:t>élaboration d</w:t>
            </w:r>
            <w:r w:rsidR="00E2055A" w:rsidRPr="00A32AF4">
              <w:rPr>
                <w:rFonts w:cs="Arial"/>
                <w:sz w:val="16"/>
                <w:szCs w:val="16"/>
              </w:rPr>
              <w:t>’</w:t>
            </w:r>
            <w:r w:rsidRPr="00A32AF4">
              <w:rPr>
                <w:rFonts w:cs="Arial"/>
                <w:sz w:val="16"/>
                <w:szCs w:val="16"/>
              </w:rPr>
              <w:t>un cadre international de collaboration aux fins d</w:t>
            </w:r>
            <w:r w:rsidR="00E2055A" w:rsidRPr="00A32AF4">
              <w:rPr>
                <w:rFonts w:cs="Arial"/>
                <w:sz w:val="16"/>
                <w:szCs w:val="16"/>
              </w:rPr>
              <w:t>’</w:t>
            </w:r>
            <w:r w:rsidRPr="00A32AF4">
              <w:rPr>
                <w:rFonts w:cs="Arial"/>
                <w:sz w:val="16"/>
                <w:szCs w:val="16"/>
              </w:rPr>
              <w:t>une contribution efficace de la propriété intellectuelle à la sécurité alimentaire grâce au processus de consultation</w:t>
            </w:r>
          </w:p>
        </w:tc>
        <w:tc>
          <w:tcPr>
            <w:tcW w:w="2520" w:type="dxa"/>
            <w:shd w:val="clear" w:color="000000" w:fill="FFFFFF"/>
            <w:tcMar>
              <w:top w:w="113" w:type="dxa"/>
              <w:bottom w:w="113" w:type="dxa"/>
            </w:tcMar>
            <w:hideMark/>
          </w:tcPr>
          <w:p w:rsidR="00F735D5" w:rsidRPr="00A32AF4" w:rsidRDefault="00F735D5" w:rsidP="00DC0553">
            <w:pPr>
              <w:rPr>
                <w:rFonts w:cs="Arial"/>
                <w:sz w:val="16"/>
                <w:szCs w:val="16"/>
              </w:rPr>
            </w:pPr>
            <w:r w:rsidRPr="00A32AF4">
              <w:rPr>
                <w:rFonts w:cs="Arial"/>
                <w:sz w:val="16"/>
                <w:szCs w:val="16"/>
              </w:rPr>
              <w:t>n.d.</w:t>
            </w:r>
          </w:p>
        </w:tc>
        <w:tc>
          <w:tcPr>
            <w:tcW w:w="2020" w:type="dxa"/>
            <w:shd w:val="clear" w:color="000000" w:fill="FFFFFF"/>
            <w:tcMar>
              <w:top w:w="113" w:type="dxa"/>
              <w:bottom w:w="113" w:type="dxa"/>
            </w:tcMar>
            <w:hideMark/>
          </w:tcPr>
          <w:p w:rsidR="00F735D5" w:rsidRPr="00A32AF4" w:rsidRDefault="00F735D5" w:rsidP="00DC0553">
            <w:pPr>
              <w:rPr>
                <w:rFonts w:cs="Arial"/>
                <w:sz w:val="16"/>
                <w:szCs w:val="16"/>
              </w:rPr>
            </w:pPr>
            <w:r w:rsidRPr="00A32AF4">
              <w:rPr>
                <w:rFonts w:cs="Arial"/>
                <w:sz w:val="16"/>
                <w:szCs w:val="16"/>
              </w:rPr>
              <w:t>Élaboration d</w:t>
            </w:r>
            <w:r w:rsidR="00E2055A" w:rsidRPr="00A32AF4">
              <w:rPr>
                <w:rFonts w:cs="Arial"/>
                <w:sz w:val="16"/>
                <w:szCs w:val="16"/>
              </w:rPr>
              <w:t>’</w:t>
            </w:r>
            <w:r w:rsidRPr="00A32AF4">
              <w:rPr>
                <w:rFonts w:cs="Arial"/>
                <w:sz w:val="16"/>
                <w:szCs w:val="16"/>
              </w:rPr>
              <w:t xml:space="preserve">un projet de cadre général </w:t>
            </w:r>
          </w:p>
        </w:tc>
      </w:tr>
      <w:tr w:rsidR="00F735D5" w:rsidRPr="00A32AF4" w:rsidTr="009A24BE">
        <w:trPr>
          <w:cantSplit/>
        </w:trPr>
        <w:tc>
          <w:tcPr>
            <w:tcW w:w="2340" w:type="dxa"/>
            <w:shd w:val="clear" w:color="000000" w:fill="FFFFFF"/>
            <w:tcMar>
              <w:top w:w="113" w:type="dxa"/>
              <w:bottom w:w="113" w:type="dxa"/>
            </w:tcMar>
            <w:hideMark/>
          </w:tcPr>
          <w:p w:rsidR="00F735D5" w:rsidRPr="00A32AF4" w:rsidRDefault="00F735D5" w:rsidP="00DC0553">
            <w:pPr>
              <w:rPr>
                <w:rFonts w:cs="Arial"/>
                <w:sz w:val="16"/>
                <w:szCs w:val="16"/>
              </w:rPr>
            </w:pPr>
          </w:p>
        </w:tc>
        <w:tc>
          <w:tcPr>
            <w:tcW w:w="2380" w:type="dxa"/>
            <w:shd w:val="clear" w:color="000000" w:fill="FFFFFF"/>
            <w:tcMar>
              <w:top w:w="113" w:type="dxa"/>
              <w:bottom w:w="113" w:type="dxa"/>
            </w:tcMar>
            <w:hideMark/>
          </w:tcPr>
          <w:p w:rsidR="00F735D5" w:rsidRPr="00A32AF4" w:rsidRDefault="00F735D5" w:rsidP="00DC0553">
            <w:pPr>
              <w:rPr>
                <w:rFonts w:cs="Arial"/>
                <w:sz w:val="16"/>
                <w:szCs w:val="16"/>
              </w:rPr>
            </w:pPr>
            <w:r w:rsidRPr="00A32AF4">
              <w:rPr>
                <w:rFonts w:cs="Arial"/>
                <w:sz w:val="16"/>
                <w:szCs w:val="16"/>
              </w:rPr>
              <w:t xml:space="preserve">Nombre de consultations du site Web consacré aux défis mondiaux </w:t>
            </w:r>
          </w:p>
        </w:tc>
        <w:tc>
          <w:tcPr>
            <w:tcW w:w="2520" w:type="dxa"/>
            <w:shd w:val="clear" w:color="000000" w:fill="FFFFFF"/>
            <w:tcMar>
              <w:top w:w="113" w:type="dxa"/>
              <w:bottom w:w="113" w:type="dxa"/>
            </w:tcMar>
            <w:hideMark/>
          </w:tcPr>
          <w:p w:rsidR="00F93B76" w:rsidRPr="00A32AF4" w:rsidRDefault="00F735D5" w:rsidP="00DC0553">
            <w:pPr>
              <w:rPr>
                <w:rFonts w:cs="Arial"/>
                <w:sz w:val="16"/>
                <w:szCs w:val="16"/>
              </w:rPr>
            </w:pPr>
            <w:r w:rsidRPr="00A32AF4">
              <w:rPr>
                <w:rFonts w:cs="Arial"/>
                <w:sz w:val="16"/>
                <w:szCs w:val="16"/>
              </w:rPr>
              <w:t xml:space="preserve">Nombre de pages consultées : </w:t>
            </w:r>
            <w:r w:rsidRPr="00A32AF4">
              <w:rPr>
                <w:rFonts w:cs="Arial"/>
                <w:sz w:val="16"/>
                <w:szCs w:val="16"/>
              </w:rPr>
              <w:br/>
            </w:r>
            <w:r w:rsidR="00EB7F54" w:rsidRPr="00A32AF4">
              <w:rPr>
                <w:rFonts w:cs="Arial"/>
                <w:sz w:val="16"/>
                <w:szCs w:val="16"/>
              </w:rPr>
              <w:noBreakHyphen/>
            </w:r>
            <w:r w:rsidRPr="00A32AF4">
              <w:rPr>
                <w:rFonts w:cs="Arial"/>
                <w:sz w:val="16"/>
                <w:szCs w:val="16"/>
              </w:rPr>
              <w:t xml:space="preserve"> </w:t>
            </w:r>
            <w:r w:rsidR="00702CE5" w:rsidRPr="00A32AF4">
              <w:rPr>
                <w:rFonts w:cs="Arial"/>
                <w:sz w:val="16"/>
                <w:szCs w:val="16"/>
              </w:rPr>
              <w:t>Division des défis mondiaux : 1</w:t>
            </w:r>
            <w:r w:rsidRPr="00A32AF4">
              <w:rPr>
                <w:rFonts w:cs="Arial"/>
                <w:sz w:val="16"/>
                <w:szCs w:val="16"/>
              </w:rPr>
              <w:t xml:space="preserve">353 </w:t>
            </w:r>
            <w:r w:rsidRPr="00A32AF4">
              <w:rPr>
                <w:rFonts w:cs="Arial"/>
                <w:sz w:val="16"/>
                <w:szCs w:val="16"/>
              </w:rPr>
              <w:br/>
            </w:r>
            <w:r w:rsidR="00EB7F54" w:rsidRPr="00A32AF4">
              <w:rPr>
                <w:rFonts w:cs="Arial"/>
                <w:sz w:val="16"/>
                <w:szCs w:val="16"/>
              </w:rPr>
              <w:noBreakHyphen/>
            </w:r>
            <w:r w:rsidRPr="00A32AF4">
              <w:rPr>
                <w:rFonts w:cs="Arial"/>
                <w:sz w:val="16"/>
                <w:szCs w:val="16"/>
              </w:rPr>
              <w:t xml:space="preserve"> Santé mondiale et propriété intellectuelle :</w:t>
            </w:r>
          </w:p>
          <w:p w:rsidR="00F93B76" w:rsidRPr="00A32AF4" w:rsidRDefault="00702CE5" w:rsidP="00DC0553">
            <w:pPr>
              <w:rPr>
                <w:rFonts w:cs="Arial"/>
                <w:sz w:val="16"/>
                <w:szCs w:val="16"/>
              </w:rPr>
            </w:pPr>
            <w:r w:rsidRPr="00A32AF4">
              <w:rPr>
                <w:rFonts w:cs="Arial"/>
                <w:sz w:val="16"/>
                <w:szCs w:val="16"/>
              </w:rPr>
              <w:t>4</w:t>
            </w:r>
            <w:r w:rsidR="00F735D5" w:rsidRPr="00A32AF4">
              <w:rPr>
                <w:rFonts w:cs="Arial"/>
                <w:sz w:val="16"/>
                <w:szCs w:val="16"/>
              </w:rPr>
              <w:t>778</w:t>
            </w:r>
            <w:r w:rsidR="00F735D5" w:rsidRPr="00A32AF4">
              <w:rPr>
                <w:rFonts w:cs="Arial"/>
                <w:sz w:val="16"/>
                <w:szCs w:val="16"/>
              </w:rPr>
              <w:br/>
            </w:r>
            <w:r w:rsidR="00EB7F54" w:rsidRPr="00A32AF4">
              <w:rPr>
                <w:rFonts w:cs="Arial"/>
                <w:sz w:val="16"/>
                <w:szCs w:val="16"/>
              </w:rPr>
              <w:noBreakHyphen/>
            </w:r>
            <w:r w:rsidR="00F735D5" w:rsidRPr="00A32AF4">
              <w:rPr>
                <w:rFonts w:cs="Arial"/>
                <w:sz w:val="16"/>
                <w:szCs w:val="16"/>
              </w:rPr>
              <w:t xml:space="preserve"> Changement climatique et propriété intellectuelle :</w:t>
            </w:r>
          </w:p>
          <w:p w:rsidR="00F735D5" w:rsidRPr="00A32AF4" w:rsidRDefault="00702CE5" w:rsidP="00DC0553">
            <w:pPr>
              <w:rPr>
                <w:rFonts w:cs="Arial"/>
                <w:sz w:val="16"/>
                <w:szCs w:val="16"/>
              </w:rPr>
            </w:pPr>
            <w:r w:rsidRPr="00A32AF4">
              <w:rPr>
                <w:rFonts w:cs="Arial"/>
                <w:sz w:val="16"/>
                <w:szCs w:val="16"/>
              </w:rPr>
              <w:t>2</w:t>
            </w:r>
            <w:r w:rsidR="00F735D5" w:rsidRPr="00A32AF4">
              <w:rPr>
                <w:rFonts w:cs="Arial"/>
                <w:sz w:val="16"/>
                <w:szCs w:val="16"/>
              </w:rPr>
              <w:t xml:space="preserve">462 </w:t>
            </w:r>
            <w:r w:rsidR="00F735D5" w:rsidRPr="00A32AF4">
              <w:rPr>
                <w:rFonts w:cs="Arial"/>
                <w:sz w:val="16"/>
                <w:szCs w:val="16"/>
              </w:rPr>
              <w:br/>
            </w:r>
            <w:r w:rsidR="00EB7F54" w:rsidRPr="00A32AF4">
              <w:rPr>
                <w:rFonts w:cs="Arial"/>
                <w:sz w:val="16"/>
                <w:szCs w:val="16"/>
              </w:rPr>
              <w:noBreakHyphen/>
            </w:r>
            <w:r w:rsidR="00F735D5" w:rsidRPr="00A32AF4">
              <w:rPr>
                <w:rFonts w:cs="Arial"/>
                <w:sz w:val="16"/>
                <w:szCs w:val="16"/>
              </w:rPr>
              <w:t xml:space="preserve"> WIPO </w:t>
            </w:r>
            <w:proofErr w:type="gramStart"/>
            <w:r w:rsidR="00F735D5" w:rsidRPr="00A32AF4">
              <w:rPr>
                <w:rFonts w:cs="Arial"/>
                <w:sz w:val="16"/>
                <w:szCs w:val="16"/>
              </w:rPr>
              <w:t>Re:Search</w:t>
            </w:r>
            <w:proofErr w:type="gramEnd"/>
            <w:r w:rsidR="00F735D5" w:rsidRPr="00A32AF4">
              <w:rPr>
                <w:rFonts w:cs="Arial"/>
                <w:sz w:val="16"/>
                <w:szCs w:val="16"/>
              </w:rPr>
              <w:t xml:space="preserve"> : 38 852 </w:t>
            </w:r>
            <w:r w:rsidR="00F735D5" w:rsidRPr="00A32AF4">
              <w:rPr>
                <w:rFonts w:cs="Arial"/>
                <w:sz w:val="16"/>
                <w:szCs w:val="16"/>
              </w:rPr>
              <w:br/>
            </w:r>
            <w:r w:rsidR="00EB7F54" w:rsidRPr="00A32AF4">
              <w:rPr>
                <w:rFonts w:cs="Arial"/>
                <w:sz w:val="16"/>
                <w:szCs w:val="16"/>
              </w:rPr>
              <w:noBreakHyphen/>
            </w:r>
            <w:r w:rsidR="00F735D5" w:rsidRPr="00A32AF4">
              <w:rPr>
                <w:rFonts w:cs="Arial"/>
                <w:sz w:val="16"/>
                <w:szCs w:val="16"/>
              </w:rPr>
              <w:t xml:space="preserve"> WIPO GREEN : 77 752</w:t>
            </w:r>
          </w:p>
        </w:tc>
        <w:tc>
          <w:tcPr>
            <w:tcW w:w="2020" w:type="dxa"/>
            <w:shd w:val="clear" w:color="000000" w:fill="FFFFFF"/>
            <w:tcMar>
              <w:top w:w="113" w:type="dxa"/>
              <w:bottom w:w="113" w:type="dxa"/>
            </w:tcMar>
            <w:hideMark/>
          </w:tcPr>
          <w:p w:rsidR="00F735D5" w:rsidRPr="00A32AF4" w:rsidRDefault="00F735D5" w:rsidP="00DC0553">
            <w:pPr>
              <w:rPr>
                <w:rFonts w:cs="Arial"/>
                <w:sz w:val="16"/>
                <w:szCs w:val="16"/>
              </w:rPr>
            </w:pPr>
            <w:r w:rsidRPr="00A32AF4">
              <w:rPr>
                <w:rFonts w:cs="Arial"/>
                <w:sz w:val="16"/>
                <w:szCs w:val="16"/>
              </w:rPr>
              <w:t xml:space="preserve">Augmentation de 10% </w:t>
            </w:r>
          </w:p>
        </w:tc>
      </w:tr>
    </w:tbl>
    <w:p w:rsidR="00F93B76" w:rsidRPr="00A32AF4" w:rsidRDefault="00F93B76" w:rsidP="00DC0553">
      <w:pPr>
        <w:tabs>
          <w:tab w:val="left" w:pos="567"/>
          <w:tab w:val="left" w:pos="1985"/>
        </w:tabs>
        <w:jc w:val="both"/>
        <w:rPr>
          <w:rFonts w:cs="Arial"/>
          <w:bCs/>
        </w:rPr>
      </w:pPr>
    </w:p>
    <w:p w:rsidR="00F93B76" w:rsidRPr="00A32AF4" w:rsidRDefault="00F93B76" w:rsidP="00DC0553"/>
    <w:p w:rsidR="00F93B76" w:rsidRPr="00A32AF4" w:rsidRDefault="00F735D5" w:rsidP="00DC0553">
      <w:pPr>
        <w:rPr>
          <w:b/>
        </w:rPr>
      </w:pPr>
      <w:r w:rsidRPr="00A32AF4">
        <w:rPr>
          <w:b/>
        </w:rPr>
        <w:t>PROPRIÉTÉ INTELLECTUELLE ET POLITIQUE EN MATIÈRE DE CONCURRENCE</w:t>
      </w:r>
    </w:p>
    <w:p w:rsidR="00F93B76" w:rsidRPr="00A32AF4" w:rsidRDefault="00F93B76" w:rsidP="00DC0553"/>
    <w:p w:rsidR="00F93B76" w:rsidRPr="00A32AF4" w:rsidRDefault="00F735D5" w:rsidP="00DC0553">
      <w:r w:rsidRPr="00A32AF4">
        <w:t>CONTEXTE DE PLANIFICATION</w:t>
      </w:r>
    </w:p>
    <w:p w:rsidR="00F93B76" w:rsidRPr="00A32AF4" w:rsidRDefault="00F93B76" w:rsidP="00DC0553"/>
    <w:p w:rsidR="00F93B76" w:rsidRPr="00A32AF4" w:rsidRDefault="00F735D5" w:rsidP="00DC0553">
      <w:pPr>
        <w:numPr>
          <w:ilvl w:val="0"/>
          <w:numId w:val="29"/>
        </w:numPr>
        <w:tabs>
          <w:tab w:val="left" w:pos="709"/>
        </w:tabs>
        <w:jc w:val="both"/>
        <w:rPr>
          <w:rFonts w:cs="Arial"/>
        </w:rPr>
      </w:pPr>
      <w:r w:rsidRPr="00A32AF4">
        <w:rPr>
          <w:rFonts w:cs="Arial"/>
        </w:rPr>
        <w:t>Les activités de l</w:t>
      </w:r>
      <w:r w:rsidR="00E2055A" w:rsidRPr="00A32AF4">
        <w:rPr>
          <w:rFonts w:cs="Arial"/>
        </w:rPr>
        <w:t>’</w:t>
      </w:r>
      <w:r w:rsidRPr="00A32AF4">
        <w:rPr>
          <w:rFonts w:cs="Arial"/>
        </w:rPr>
        <w:t>OMPI dans le domaine de la propriété intellectuelle et de la politique en matière de concurrence sont liées aux objectifs stratégiques I et III.  Au titre de l</w:t>
      </w:r>
      <w:r w:rsidR="00E2055A" w:rsidRPr="00A32AF4">
        <w:rPr>
          <w:rFonts w:cs="Arial"/>
        </w:rPr>
        <w:t>’</w:t>
      </w:r>
      <w:r w:rsidRPr="00A32AF4">
        <w:rPr>
          <w:rFonts w:cs="Arial"/>
        </w:rPr>
        <w:t>objectif stratégique I, les travaux visent à fournir aux États membres de l</w:t>
      </w:r>
      <w:r w:rsidR="00E2055A" w:rsidRPr="00A32AF4">
        <w:rPr>
          <w:rFonts w:cs="Arial"/>
        </w:rPr>
        <w:t>’</w:t>
      </w:r>
      <w:r w:rsidRPr="00A32AF4">
        <w:rPr>
          <w:rFonts w:cs="Arial"/>
        </w:rPr>
        <w:t>OMPI les outils nécessaires pour établir – au niveau national – un système normatif équilibré assurant que la propriété intellectuelle continue d</w:t>
      </w:r>
      <w:r w:rsidR="00E2055A" w:rsidRPr="00A32AF4">
        <w:rPr>
          <w:rFonts w:cs="Arial"/>
        </w:rPr>
        <w:t>’</w:t>
      </w:r>
      <w:r w:rsidRPr="00A32AF4">
        <w:rPr>
          <w:rFonts w:cs="Arial"/>
        </w:rPr>
        <w:t>être le cadre juridique de marchés libres et ouverts.</w:t>
      </w:r>
      <w:r w:rsidRPr="00A32AF4">
        <w:t xml:space="preserve">  </w:t>
      </w:r>
      <w:r w:rsidRPr="00A32AF4">
        <w:rPr>
          <w:rFonts w:cs="Arial"/>
        </w:rPr>
        <w:t>En même temps, garantir la liberté des marchés est un puissant catalyseur de développement.</w:t>
      </w:r>
    </w:p>
    <w:p w:rsidR="00F93B76" w:rsidRPr="00A32AF4" w:rsidRDefault="00F93B76" w:rsidP="00DC0553">
      <w:pPr>
        <w:jc w:val="both"/>
        <w:rPr>
          <w:rFonts w:cs="Arial"/>
        </w:rPr>
      </w:pPr>
    </w:p>
    <w:p w:rsidR="0047185D" w:rsidRPr="00A32AF4" w:rsidRDefault="00F735D5" w:rsidP="0047185D">
      <w:pPr>
        <w:numPr>
          <w:ilvl w:val="0"/>
          <w:numId w:val="29"/>
        </w:numPr>
        <w:tabs>
          <w:tab w:val="left" w:pos="709"/>
        </w:tabs>
        <w:jc w:val="both"/>
        <w:rPr>
          <w:rFonts w:cs="Arial"/>
        </w:rPr>
      </w:pPr>
      <w:r w:rsidRPr="00A32AF4">
        <w:rPr>
          <w:rFonts w:cs="Arial"/>
        </w:rPr>
        <w:t>L</w:t>
      </w:r>
      <w:r w:rsidR="00E2055A" w:rsidRPr="00A32AF4">
        <w:rPr>
          <w:rFonts w:cs="Arial"/>
        </w:rPr>
        <w:t>’</w:t>
      </w:r>
      <w:r w:rsidRPr="00A32AF4">
        <w:rPr>
          <w:rFonts w:cs="Arial"/>
        </w:rPr>
        <w:t>OMPI continuera d</w:t>
      </w:r>
      <w:r w:rsidR="00E2055A" w:rsidRPr="00A32AF4">
        <w:rPr>
          <w:rFonts w:cs="Arial"/>
        </w:rPr>
        <w:t>’</w:t>
      </w:r>
      <w:r w:rsidRPr="00A32AF4">
        <w:rPr>
          <w:rFonts w:cs="Arial"/>
        </w:rPr>
        <w:t>être un cadre d</w:t>
      </w:r>
      <w:r w:rsidR="00E2055A" w:rsidRPr="00A32AF4">
        <w:rPr>
          <w:rFonts w:cs="Arial"/>
        </w:rPr>
        <w:t>’</w:t>
      </w:r>
      <w:r w:rsidRPr="00A32AF4">
        <w:rPr>
          <w:rFonts w:cs="Arial"/>
        </w:rPr>
        <w:t>échange de données d</w:t>
      </w:r>
      <w:r w:rsidR="00E2055A" w:rsidRPr="00A32AF4">
        <w:rPr>
          <w:rFonts w:cs="Arial"/>
        </w:rPr>
        <w:t>’</w:t>
      </w:r>
      <w:r w:rsidRPr="00A32AF4">
        <w:rPr>
          <w:rFonts w:cs="Arial"/>
        </w:rPr>
        <w:t>expérience entre les États membres sur la propriété intellectuelle et la politique en matière de concurrence grâce à la sensibilisation et à la diffusion de l</w:t>
      </w:r>
      <w:r w:rsidR="00E2055A" w:rsidRPr="00A32AF4">
        <w:rPr>
          <w:rFonts w:cs="Arial"/>
        </w:rPr>
        <w:t>’</w:t>
      </w:r>
      <w:r w:rsidRPr="00A32AF4">
        <w:rPr>
          <w:rFonts w:cs="Arial"/>
        </w:rPr>
        <w:t>information, avec une attention particulière accordée aux pays en développement et aux pays les moins avancés.</w:t>
      </w:r>
      <w:r w:rsidR="0047185D" w:rsidRPr="00A32AF4">
        <w:rPr>
          <w:rFonts w:cs="Arial"/>
        </w:rPr>
        <w:br w:type="page"/>
      </w:r>
    </w:p>
    <w:p w:rsidR="00F93B76" w:rsidRPr="00A32AF4" w:rsidRDefault="00F735D5" w:rsidP="00DC0553">
      <w:pPr>
        <w:jc w:val="both"/>
        <w:rPr>
          <w:rFonts w:cs="Arial"/>
        </w:rPr>
      </w:pPr>
      <w:r w:rsidRPr="00A32AF4">
        <w:rPr>
          <w:rFonts w:cs="Arial"/>
        </w:rPr>
        <w:t>STRATÉGIES DE MISE EN ŒUVRE</w:t>
      </w:r>
    </w:p>
    <w:p w:rsidR="00F93B76" w:rsidRPr="00A32AF4" w:rsidRDefault="00F93B76" w:rsidP="00DC0553">
      <w:pPr>
        <w:jc w:val="both"/>
        <w:rPr>
          <w:rFonts w:cs="Arial"/>
        </w:rPr>
      </w:pPr>
    </w:p>
    <w:p w:rsidR="00F93B76" w:rsidRPr="00A32AF4" w:rsidRDefault="00F735D5" w:rsidP="00DC0553">
      <w:pPr>
        <w:numPr>
          <w:ilvl w:val="0"/>
          <w:numId w:val="29"/>
        </w:numPr>
        <w:tabs>
          <w:tab w:val="left" w:pos="709"/>
        </w:tabs>
        <w:jc w:val="both"/>
        <w:rPr>
          <w:rFonts w:cs="Arial"/>
        </w:rPr>
      </w:pPr>
      <w:r w:rsidRPr="00A32AF4">
        <w:rPr>
          <w:rFonts w:cs="Arial"/>
        </w:rPr>
        <w:t>Les activités liées à l</w:t>
      </w:r>
      <w:r w:rsidR="00E2055A" w:rsidRPr="00A32AF4">
        <w:rPr>
          <w:rFonts w:cs="Arial"/>
        </w:rPr>
        <w:t>’</w:t>
      </w:r>
      <w:r w:rsidRPr="00A32AF4">
        <w:rPr>
          <w:rFonts w:cs="Arial"/>
        </w:rPr>
        <w:t>échange de données d</w:t>
      </w:r>
      <w:r w:rsidR="00E2055A" w:rsidRPr="00A32AF4">
        <w:rPr>
          <w:rFonts w:cs="Arial"/>
        </w:rPr>
        <w:t>’</w:t>
      </w:r>
      <w:r w:rsidRPr="00A32AF4">
        <w:rPr>
          <w:rFonts w:cs="Arial"/>
        </w:rPr>
        <w:t>expérience et l</w:t>
      </w:r>
      <w:r w:rsidR="00E2055A" w:rsidRPr="00A32AF4">
        <w:rPr>
          <w:rFonts w:cs="Arial"/>
        </w:rPr>
        <w:t>’</w:t>
      </w:r>
      <w:r w:rsidRPr="00A32AF4">
        <w:rPr>
          <w:rFonts w:cs="Arial"/>
        </w:rPr>
        <w:t>aide apportée aux États membres dans la prise en considération de l</w:t>
      </w:r>
      <w:r w:rsidR="00E2055A" w:rsidRPr="00A32AF4">
        <w:rPr>
          <w:rFonts w:cs="Arial"/>
        </w:rPr>
        <w:t>’</w:t>
      </w:r>
      <w:r w:rsidRPr="00A32AF4">
        <w:rPr>
          <w:rFonts w:cs="Arial"/>
        </w:rPr>
        <w:t>articulation entre propriété intellectuelle et politique en matière de concurrence se poursuivront en 2016</w:t>
      </w:r>
      <w:r w:rsidR="00EB7F54" w:rsidRPr="00A32AF4">
        <w:rPr>
          <w:rFonts w:cs="Arial"/>
        </w:rPr>
        <w:noBreakHyphen/>
      </w:r>
      <w:r w:rsidRPr="00A32AF4">
        <w:rPr>
          <w:rFonts w:cs="Arial"/>
        </w:rPr>
        <w:t>2017.  Elles incluront l</w:t>
      </w:r>
      <w:r w:rsidR="00E2055A" w:rsidRPr="00A32AF4">
        <w:rPr>
          <w:rFonts w:cs="Arial"/>
        </w:rPr>
        <w:t>’</w:t>
      </w:r>
      <w:r w:rsidRPr="00A32AF4">
        <w:rPr>
          <w:rFonts w:cs="Arial"/>
        </w:rPr>
        <w:t>étude et l</w:t>
      </w:r>
      <w:r w:rsidR="00E2055A" w:rsidRPr="00A32AF4">
        <w:rPr>
          <w:rFonts w:cs="Arial"/>
        </w:rPr>
        <w:t>’</w:t>
      </w:r>
      <w:r w:rsidRPr="00A32AF4">
        <w:rPr>
          <w:rFonts w:cs="Arial"/>
        </w:rPr>
        <w:t>analyse de l</w:t>
      </w:r>
      <w:r w:rsidR="00E2055A" w:rsidRPr="00A32AF4">
        <w:rPr>
          <w:rFonts w:cs="Arial"/>
        </w:rPr>
        <w:t>’</w:t>
      </w:r>
      <w:r w:rsidRPr="00A32AF4">
        <w:rPr>
          <w:rFonts w:cs="Arial"/>
        </w:rPr>
        <w:t>utilisation, par un certain nombre d</w:t>
      </w:r>
      <w:r w:rsidR="00E2055A" w:rsidRPr="00A32AF4">
        <w:rPr>
          <w:rFonts w:cs="Arial"/>
        </w:rPr>
        <w:t>’</w:t>
      </w:r>
      <w:r w:rsidRPr="00A32AF4">
        <w:rPr>
          <w:rFonts w:cs="Arial"/>
        </w:rPr>
        <w:t>États membres, des règles de protection contre la concurrence déloyale en tant que mécanismes complémentaires à l</w:t>
      </w:r>
      <w:r w:rsidR="00E2055A" w:rsidRPr="00A32AF4">
        <w:rPr>
          <w:rFonts w:cs="Arial"/>
        </w:rPr>
        <w:t>’</w:t>
      </w:r>
      <w:r w:rsidRPr="00A32AF4">
        <w:rPr>
          <w:rFonts w:cs="Arial"/>
        </w:rPr>
        <w:t>application du droit de la concurrence.</w:t>
      </w:r>
    </w:p>
    <w:p w:rsidR="00F93B76" w:rsidRPr="00A32AF4" w:rsidRDefault="00F93B76" w:rsidP="00DC0553">
      <w:pPr>
        <w:jc w:val="both"/>
        <w:rPr>
          <w:rFonts w:cs="Arial"/>
        </w:rPr>
      </w:pPr>
    </w:p>
    <w:p w:rsidR="00F93B76" w:rsidRPr="00A32AF4" w:rsidRDefault="00F735D5" w:rsidP="00DC0553">
      <w:pPr>
        <w:numPr>
          <w:ilvl w:val="0"/>
          <w:numId w:val="29"/>
        </w:numPr>
        <w:tabs>
          <w:tab w:val="left" w:pos="709"/>
        </w:tabs>
        <w:jc w:val="both"/>
        <w:rPr>
          <w:rFonts w:cs="Arial"/>
        </w:rPr>
      </w:pPr>
      <w:r w:rsidRPr="00A32AF4">
        <w:rPr>
          <w:rFonts w:cs="Arial"/>
        </w:rPr>
        <w:t>En outre, pour s</w:t>
      </w:r>
      <w:r w:rsidR="00E2055A" w:rsidRPr="00A32AF4">
        <w:rPr>
          <w:rFonts w:cs="Arial"/>
        </w:rPr>
        <w:t>’</w:t>
      </w:r>
      <w:r w:rsidRPr="00A32AF4">
        <w:rPr>
          <w:rFonts w:cs="Arial"/>
        </w:rPr>
        <w:t>assurer que ses efforts ne répéteront pas les travaux menés par d</w:t>
      </w:r>
      <w:r w:rsidR="00E2055A" w:rsidRPr="00A32AF4">
        <w:rPr>
          <w:rFonts w:cs="Arial"/>
        </w:rPr>
        <w:t>’</w:t>
      </w:r>
      <w:r w:rsidRPr="00A32AF4">
        <w:rPr>
          <w:rFonts w:cs="Arial"/>
        </w:rPr>
        <w:t>autres organisations internationales, l</w:t>
      </w:r>
      <w:r w:rsidR="00E2055A" w:rsidRPr="00A32AF4">
        <w:rPr>
          <w:rFonts w:cs="Arial"/>
        </w:rPr>
        <w:t>’</w:t>
      </w:r>
      <w:r w:rsidRPr="00A32AF4">
        <w:rPr>
          <w:rFonts w:cs="Arial"/>
        </w:rPr>
        <w:t>OMPI continuera d</w:t>
      </w:r>
      <w:r w:rsidR="00E2055A" w:rsidRPr="00A32AF4">
        <w:rPr>
          <w:rFonts w:cs="Arial"/>
        </w:rPr>
        <w:t>’</w:t>
      </w:r>
      <w:r w:rsidRPr="00A32AF4">
        <w:rPr>
          <w:rFonts w:cs="Arial"/>
        </w:rPr>
        <w:t>agir en coordination régulière avec l</w:t>
      </w:r>
      <w:r w:rsidR="00E2055A" w:rsidRPr="00A32AF4">
        <w:rPr>
          <w:rFonts w:cs="Arial"/>
        </w:rPr>
        <w:t>’</w:t>
      </w:r>
      <w:r w:rsidRPr="00A32AF4">
        <w:rPr>
          <w:rFonts w:cs="Arial"/>
        </w:rPr>
        <w:t>Organisation de coopération et de développement économiques (OCDE), l</w:t>
      </w:r>
      <w:r w:rsidR="00E2055A" w:rsidRPr="00A32AF4">
        <w:rPr>
          <w:rFonts w:cs="Arial"/>
        </w:rPr>
        <w:t>’</w:t>
      </w:r>
      <w:r w:rsidRPr="00A32AF4">
        <w:rPr>
          <w:rFonts w:cs="Arial"/>
        </w:rPr>
        <w:t xml:space="preserve">OMC, la Conférence des </w:t>
      </w:r>
      <w:r w:rsidR="00E2055A" w:rsidRPr="00A32AF4">
        <w:rPr>
          <w:rFonts w:cs="Arial"/>
        </w:rPr>
        <w:t>Nations Unies</w:t>
      </w:r>
      <w:r w:rsidRPr="00A32AF4">
        <w:rPr>
          <w:rFonts w:cs="Arial"/>
        </w:rPr>
        <w:t xml:space="preserve"> sur le commerce et le développement (CNUCED) et, le cas échéant, le Réseau international de la concurrence.</w:t>
      </w:r>
    </w:p>
    <w:p w:rsidR="00F93B76" w:rsidRPr="00A32AF4" w:rsidRDefault="00F93B76" w:rsidP="00DC0553">
      <w:pPr>
        <w:tabs>
          <w:tab w:val="left" w:pos="567"/>
          <w:tab w:val="left" w:pos="1985"/>
        </w:tabs>
        <w:jc w:val="both"/>
        <w:rPr>
          <w:rFonts w:cs="Arial"/>
          <w:bCs/>
        </w:rPr>
      </w:pPr>
    </w:p>
    <w:p w:rsidR="00F93B76" w:rsidRPr="00A32AF4" w:rsidRDefault="00F93B76" w:rsidP="00DC0553">
      <w:pPr>
        <w:rPr>
          <w:lang w:eastAsia="da-DK"/>
        </w:rPr>
      </w:pPr>
    </w:p>
    <w:p w:rsidR="00F93B76" w:rsidRPr="00A32AF4" w:rsidRDefault="00DC2AF7" w:rsidP="00DC0553">
      <w:pPr>
        <w:rPr>
          <w:lang w:eastAsia="da-DK"/>
        </w:rPr>
      </w:pPr>
      <w:r w:rsidRPr="00A32AF4">
        <w:rPr>
          <w:lang w:eastAsia="da-DK"/>
        </w:rPr>
        <w:t>RESSOURCES ALLOUÉES AU PROGRAMME</w:t>
      </w:r>
      <w:r w:rsidR="005C314E" w:rsidRPr="00A32AF4">
        <w:rPr>
          <w:lang w:eastAsia="da-DK"/>
        </w:rPr>
        <w:t> </w:t>
      </w:r>
      <w:r w:rsidR="009A24BE" w:rsidRPr="00A32AF4">
        <w:rPr>
          <w:lang w:eastAsia="da-DK"/>
        </w:rPr>
        <w:t>18</w:t>
      </w:r>
    </w:p>
    <w:p w:rsidR="00F93B76" w:rsidRPr="00A32AF4" w:rsidRDefault="00F93B76" w:rsidP="00DC0553">
      <w:pPr>
        <w:rPr>
          <w:lang w:eastAsia="da-DK"/>
        </w:rPr>
      </w:pPr>
    </w:p>
    <w:p w:rsidR="00E2055A" w:rsidRPr="00A32AF4" w:rsidRDefault="00355624" w:rsidP="005C314E">
      <w:pPr>
        <w:numPr>
          <w:ilvl w:val="0"/>
          <w:numId w:val="29"/>
        </w:numPr>
        <w:tabs>
          <w:tab w:val="left" w:pos="709"/>
        </w:tabs>
        <w:jc w:val="both"/>
        <w:rPr>
          <w:rFonts w:cs="Arial"/>
        </w:rPr>
      </w:pPr>
      <w:r w:rsidRPr="00A32AF4">
        <w:rPr>
          <w:rFonts w:cs="Arial"/>
          <w:bCs/>
        </w:rPr>
        <w:t>Une légère</w:t>
      </w:r>
      <w:r w:rsidR="009A24BE" w:rsidRPr="00A32AF4">
        <w:rPr>
          <w:rFonts w:cs="Arial"/>
          <w:bCs/>
        </w:rPr>
        <w:t xml:space="preserve"> r</w:t>
      </w:r>
      <w:r w:rsidRPr="00A32AF4">
        <w:rPr>
          <w:rFonts w:cs="Arial"/>
          <w:bCs/>
        </w:rPr>
        <w:t>é</w:t>
      </w:r>
      <w:r w:rsidR="009A24BE" w:rsidRPr="00A32AF4">
        <w:rPr>
          <w:rFonts w:cs="Arial"/>
          <w:bCs/>
        </w:rPr>
        <w:t xml:space="preserve">duction </w:t>
      </w:r>
      <w:r w:rsidRPr="00A32AF4">
        <w:rPr>
          <w:rFonts w:cs="Arial"/>
          <w:bCs/>
        </w:rPr>
        <w:t>peut être observée dans les ressources totales allouées pour</w:t>
      </w:r>
      <w:r w:rsidR="00FD43E3" w:rsidRPr="00A32AF4">
        <w:rPr>
          <w:rFonts w:cs="Arial"/>
          <w:bCs/>
        </w:rPr>
        <w:t> </w:t>
      </w:r>
      <w:r w:rsidR="009A24BE" w:rsidRPr="00A32AF4">
        <w:rPr>
          <w:rFonts w:cs="Arial"/>
          <w:bCs/>
        </w:rPr>
        <w:t>2016</w:t>
      </w:r>
      <w:r w:rsidR="00EB7F54" w:rsidRPr="00A32AF4">
        <w:rPr>
          <w:rFonts w:cs="Arial"/>
          <w:bCs/>
        </w:rPr>
        <w:noBreakHyphen/>
      </w:r>
      <w:r w:rsidRPr="00A32AF4">
        <w:rPr>
          <w:rFonts w:cs="Arial"/>
          <w:bCs/>
        </w:rPr>
        <w:t>20</w:t>
      </w:r>
      <w:r w:rsidR="009A24BE" w:rsidRPr="00A32AF4">
        <w:rPr>
          <w:rFonts w:cs="Arial"/>
          <w:bCs/>
        </w:rPr>
        <w:t xml:space="preserve">17 </w:t>
      </w:r>
      <w:r w:rsidRPr="00A32AF4">
        <w:rPr>
          <w:rFonts w:cs="Arial"/>
          <w:bCs/>
        </w:rPr>
        <w:t>au programme </w:t>
      </w:r>
      <w:r w:rsidR="009A24BE" w:rsidRPr="00A32AF4">
        <w:rPr>
          <w:rFonts w:cs="Arial"/>
          <w:bCs/>
        </w:rPr>
        <w:t xml:space="preserve">18 </w:t>
      </w:r>
      <w:r w:rsidRPr="00A32AF4">
        <w:rPr>
          <w:rFonts w:cs="Arial"/>
          <w:bCs/>
        </w:rPr>
        <w:t xml:space="preserve">par rapport au budget </w:t>
      </w:r>
      <w:r w:rsidR="009A24BE" w:rsidRPr="00A32AF4">
        <w:rPr>
          <w:rFonts w:cs="Arial"/>
          <w:bCs/>
        </w:rPr>
        <w:t>2014</w:t>
      </w:r>
      <w:r w:rsidR="00EB7F54" w:rsidRPr="00A32AF4">
        <w:rPr>
          <w:rFonts w:cs="Arial"/>
          <w:bCs/>
        </w:rPr>
        <w:noBreakHyphen/>
      </w:r>
      <w:r w:rsidRPr="00A32AF4">
        <w:rPr>
          <w:rFonts w:cs="Arial"/>
          <w:bCs/>
        </w:rPr>
        <w:t>20</w:t>
      </w:r>
      <w:r w:rsidR="009A24BE" w:rsidRPr="00A32AF4">
        <w:rPr>
          <w:rFonts w:cs="Arial"/>
          <w:bCs/>
        </w:rPr>
        <w:t xml:space="preserve">15 </w:t>
      </w:r>
      <w:r w:rsidRPr="00A32AF4">
        <w:rPr>
          <w:rFonts w:cs="Arial"/>
          <w:bCs/>
        </w:rPr>
        <w:t>après virements</w:t>
      </w:r>
      <w:r w:rsidR="009A24BE" w:rsidRPr="00A32AF4">
        <w:rPr>
          <w:rFonts w:cs="Arial"/>
          <w:bCs/>
        </w:rPr>
        <w:t xml:space="preserve">. </w:t>
      </w:r>
      <w:r w:rsidRPr="00A32AF4">
        <w:rPr>
          <w:rFonts w:cs="Arial"/>
          <w:bCs/>
        </w:rPr>
        <w:t xml:space="preserve"> Cette réduction est due à une diminution des dépenses de personnel au titre de la propriété intellectuelle</w:t>
      </w:r>
      <w:r w:rsidR="00D20772" w:rsidRPr="00A32AF4">
        <w:rPr>
          <w:rFonts w:cs="Arial"/>
          <w:bCs/>
        </w:rPr>
        <w:t xml:space="preserve"> et de la politique </w:t>
      </w:r>
      <w:r w:rsidRPr="00A32AF4">
        <w:rPr>
          <w:rFonts w:cs="Arial"/>
          <w:bCs/>
        </w:rPr>
        <w:t>e</w:t>
      </w:r>
      <w:r w:rsidR="00D20772" w:rsidRPr="00A32AF4">
        <w:rPr>
          <w:rFonts w:cs="Arial"/>
          <w:bCs/>
        </w:rPr>
        <w:t>n</w:t>
      </w:r>
      <w:r w:rsidRPr="00A32AF4">
        <w:rPr>
          <w:rFonts w:cs="Arial"/>
          <w:bCs/>
        </w:rPr>
        <w:t xml:space="preserve"> matière de concurrence ainsi qu</w:t>
      </w:r>
      <w:r w:rsidR="00E2055A" w:rsidRPr="00A32AF4">
        <w:rPr>
          <w:rFonts w:cs="Arial"/>
          <w:bCs/>
        </w:rPr>
        <w:t>’</w:t>
      </w:r>
      <w:r w:rsidRPr="00A32AF4">
        <w:rPr>
          <w:rFonts w:cs="Arial"/>
          <w:bCs/>
        </w:rPr>
        <w:t xml:space="preserve">à une réduction des dépenses de </w:t>
      </w:r>
      <w:r w:rsidR="009A24BE" w:rsidRPr="00A32AF4">
        <w:rPr>
          <w:rFonts w:cs="Arial"/>
          <w:bCs/>
        </w:rPr>
        <w:t xml:space="preserve">personnel </w:t>
      </w:r>
      <w:r w:rsidRPr="00A32AF4">
        <w:rPr>
          <w:rFonts w:cs="Arial"/>
          <w:bCs/>
        </w:rPr>
        <w:t>pour le programme en</w:t>
      </w:r>
      <w:r w:rsidR="00FD43E3" w:rsidRPr="00A32AF4">
        <w:rPr>
          <w:rFonts w:cs="Arial"/>
          <w:bCs/>
        </w:rPr>
        <w:t> </w:t>
      </w:r>
      <w:r w:rsidR="009A24BE" w:rsidRPr="00A32AF4">
        <w:rPr>
          <w:rFonts w:cs="Arial"/>
          <w:bCs/>
        </w:rPr>
        <w:t>2016</w:t>
      </w:r>
      <w:r w:rsidR="00EB7F54" w:rsidRPr="00A32AF4">
        <w:rPr>
          <w:rFonts w:cs="Arial"/>
          <w:bCs/>
        </w:rPr>
        <w:noBreakHyphen/>
      </w:r>
      <w:r w:rsidRPr="00A32AF4">
        <w:rPr>
          <w:rFonts w:cs="Arial"/>
          <w:bCs/>
        </w:rPr>
        <w:t>20</w:t>
      </w:r>
      <w:r w:rsidR="009A24BE" w:rsidRPr="00A32AF4">
        <w:rPr>
          <w:rFonts w:cs="Arial"/>
          <w:bCs/>
        </w:rPr>
        <w:t xml:space="preserve">17 </w:t>
      </w:r>
      <w:r w:rsidRPr="00A32AF4">
        <w:rPr>
          <w:rFonts w:cs="Arial"/>
          <w:bCs/>
        </w:rPr>
        <w:t xml:space="preserve">compte tenu du changement de </w:t>
      </w:r>
      <w:r w:rsidR="00D20772" w:rsidRPr="00A32AF4">
        <w:rPr>
          <w:rFonts w:cs="Arial"/>
          <w:bCs/>
        </w:rPr>
        <w:t xml:space="preserve">la </w:t>
      </w:r>
      <w:r w:rsidRPr="00A32AF4">
        <w:rPr>
          <w:rFonts w:cs="Arial"/>
          <w:bCs/>
        </w:rPr>
        <w:t>méthode de comptabilisation de ces dépenses</w:t>
      </w:r>
      <w:r w:rsidRPr="00A32AF4">
        <w:rPr>
          <w:rFonts w:cs="Arial"/>
        </w:rPr>
        <w:t>, fondée sur les montants effectifs</w:t>
      </w:r>
      <w:r w:rsidR="009A24BE" w:rsidRPr="00A32AF4">
        <w:rPr>
          <w:rFonts w:cs="Arial"/>
        </w:rPr>
        <w:t>.</w:t>
      </w:r>
    </w:p>
    <w:p w:rsidR="00F93B76" w:rsidRPr="00A32AF4" w:rsidRDefault="00F93B76" w:rsidP="00DC0553">
      <w:pPr>
        <w:tabs>
          <w:tab w:val="left" w:pos="709"/>
          <w:tab w:val="left" w:pos="1985"/>
        </w:tabs>
        <w:jc w:val="both"/>
        <w:rPr>
          <w:rFonts w:cs="Arial"/>
        </w:rPr>
      </w:pPr>
    </w:p>
    <w:p w:rsidR="00E2055A" w:rsidRPr="00A32AF4" w:rsidRDefault="00355624" w:rsidP="005C314E">
      <w:pPr>
        <w:numPr>
          <w:ilvl w:val="0"/>
          <w:numId w:val="29"/>
        </w:numPr>
        <w:tabs>
          <w:tab w:val="left" w:pos="709"/>
        </w:tabs>
        <w:jc w:val="both"/>
        <w:rPr>
          <w:rFonts w:cs="Arial"/>
        </w:rPr>
      </w:pPr>
      <w:r w:rsidRPr="00A32AF4">
        <w:rPr>
          <w:rFonts w:cs="Arial"/>
        </w:rPr>
        <w:t>Le résultat escompté </w:t>
      </w:r>
      <w:r w:rsidR="009A24BE" w:rsidRPr="00A32AF4">
        <w:rPr>
          <w:rFonts w:cs="Arial"/>
        </w:rPr>
        <w:t xml:space="preserve">VII.3 </w:t>
      </w:r>
      <w:r w:rsidRPr="00A32AF4">
        <w:rPr>
          <w:rFonts w:cs="Arial"/>
        </w:rPr>
        <w:t>a été fusionné avec le résultat escompté </w:t>
      </w:r>
      <w:r w:rsidR="009A24BE" w:rsidRPr="00A32AF4">
        <w:rPr>
          <w:rFonts w:cs="Arial"/>
        </w:rPr>
        <w:t xml:space="preserve">I.2 </w:t>
      </w:r>
      <w:r w:rsidRPr="00A32AF4">
        <w:rPr>
          <w:rFonts w:cs="Arial"/>
        </w:rPr>
        <w:t>en</w:t>
      </w:r>
      <w:r w:rsidR="00FD43E3" w:rsidRPr="00A32AF4">
        <w:rPr>
          <w:rFonts w:cs="Arial"/>
        </w:rPr>
        <w:t> </w:t>
      </w:r>
      <w:r w:rsidR="009A24BE" w:rsidRPr="00A32AF4">
        <w:rPr>
          <w:rFonts w:cs="Arial"/>
        </w:rPr>
        <w:t>2016/17</w:t>
      </w:r>
      <w:r w:rsidRPr="00A32AF4">
        <w:rPr>
          <w:rFonts w:cs="Arial"/>
        </w:rPr>
        <w:t xml:space="preserve">, ce qui entraîne un transfert des ressources du résultat escompté </w:t>
      </w:r>
      <w:r w:rsidR="009A24BE" w:rsidRPr="00A32AF4">
        <w:rPr>
          <w:rFonts w:cs="Arial"/>
        </w:rPr>
        <w:t xml:space="preserve">VII.3 </w:t>
      </w:r>
      <w:r w:rsidRPr="00A32AF4">
        <w:rPr>
          <w:rFonts w:cs="Arial"/>
        </w:rPr>
        <w:t>en</w:t>
      </w:r>
      <w:r w:rsidR="00FD43E3" w:rsidRPr="00A32AF4">
        <w:rPr>
          <w:rFonts w:cs="Arial"/>
        </w:rPr>
        <w:t> </w:t>
      </w:r>
      <w:r w:rsidR="009A24BE" w:rsidRPr="00A32AF4">
        <w:rPr>
          <w:rFonts w:cs="Arial"/>
        </w:rPr>
        <w:t>2014</w:t>
      </w:r>
      <w:r w:rsidR="00EB7F54" w:rsidRPr="00A32AF4">
        <w:rPr>
          <w:rFonts w:cs="Arial"/>
        </w:rPr>
        <w:noBreakHyphen/>
      </w:r>
      <w:r w:rsidRPr="00A32AF4">
        <w:rPr>
          <w:rFonts w:cs="Arial"/>
        </w:rPr>
        <w:t>2015 au résultat escompté </w:t>
      </w:r>
      <w:r w:rsidR="009A24BE" w:rsidRPr="00A32AF4">
        <w:rPr>
          <w:rFonts w:cs="Arial"/>
        </w:rPr>
        <w:t xml:space="preserve">I.2 </w:t>
      </w:r>
      <w:r w:rsidRPr="00A32AF4">
        <w:rPr>
          <w:rFonts w:cs="Arial"/>
        </w:rPr>
        <w:t>en</w:t>
      </w:r>
      <w:r w:rsidR="00FD43E3" w:rsidRPr="00A32AF4">
        <w:rPr>
          <w:rFonts w:cs="Arial"/>
        </w:rPr>
        <w:t> </w:t>
      </w:r>
      <w:r w:rsidRPr="00A32AF4">
        <w:rPr>
          <w:rFonts w:cs="Arial"/>
        </w:rPr>
        <w:t>2016</w:t>
      </w:r>
      <w:r w:rsidR="00EB7F54" w:rsidRPr="00A32AF4">
        <w:rPr>
          <w:rFonts w:cs="Arial"/>
        </w:rPr>
        <w:noBreakHyphen/>
      </w:r>
      <w:r w:rsidRPr="00A32AF4">
        <w:rPr>
          <w:rFonts w:cs="Arial"/>
        </w:rPr>
        <w:t>20</w:t>
      </w:r>
      <w:r w:rsidR="009A24BE" w:rsidRPr="00A32AF4">
        <w:rPr>
          <w:rFonts w:cs="Arial"/>
        </w:rPr>
        <w:t>17.</w:t>
      </w:r>
    </w:p>
    <w:p w:rsidR="00F93B76" w:rsidRPr="00A32AF4" w:rsidRDefault="00F93B76" w:rsidP="00DC0553">
      <w:pPr>
        <w:tabs>
          <w:tab w:val="left" w:pos="709"/>
          <w:tab w:val="left" w:pos="1985"/>
        </w:tabs>
        <w:jc w:val="both"/>
        <w:rPr>
          <w:rFonts w:cs="Arial"/>
        </w:rPr>
      </w:pPr>
    </w:p>
    <w:p w:rsidR="00F93B76" w:rsidRPr="00A32AF4" w:rsidRDefault="00355624" w:rsidP="005C314E">
      <w:pPr>
        <w:numPr>
          <w:ilvl w:val="0"/>
          <w:numId w:val="29"/>
        </w:numPr>
        <w:tabs>
          <w:tab w:val="left" w:pos="709"/>
        </w:tabs>
        <w:jc w:val="both"/>
        <w:rPr>
          <w:rFonts w:cs="Arial"/>
        </w:rPr>
      </w:pPr>
      <w:r w:rsidRPr="00A32AF4">
        <w:rPr>
          <w:rFonts w:cs="Arial"/>
        </w:rPr>
        <w:t>Les r</w:t>
      </w:r>
      <w:r w:rsidR="009A24BE" w:rsidRPr="00A32AF4">
        <w:rPr>
          <w:rFonts w:cs="Arial"/>
        </w:rPr>
        <w:t>es</w:t>
      </w:r>
      <w:r w:rsidRPr="00A32AF4">
        <w:rPr>
          <w:rFonts w:cs="Arial"/>
        </w:rPr>
        <w:t>s</w:t>
      </w:r>
      <w:r w:rsidR="009A24BE" w:rsidRPr="00A32AF4">
        <w:rPr>
          <w:rFonts w:cs="Arial"/>
        </w:rPr>
        <w:t xml:space="preserve">ources </w:t>
      </w:r>
      <w:r w:rsidRPr="00A32AF4">
        <w:rPr>
          <w:rFonts w:cs="Arial"/>
        </w:rPr>
        <w:t>liées aux activités relatives à la santé dans le monde ont été inscrites sous le résultat escompté </w:t>
      </w:r>
      <w:r w:rsidR="009A24BE" w:rsidRPr="00A32AF4">
        <w:rPr>
          <w:rFonts w:cs="Arial"/>
        </w:rPr>
        <w:t xml:space="preserve">VIII.5 </w:t>
      </w:r>
      <w:r w:rsidRPr="00A32AF4">
        <w:rPr>
          <w:rFonts w:cs="Arial"/>
        </w:rPr>
        <w:t>pour l</w:t>
      </w:r>
      <w:r w:rsidR="00E2055A" w:rsidRPr="00A32AF4">
        <w:rPr>
          <w:rFonts w:cs="Arial"/>
        </w:rPr>
        <w:t>’</w:t>
      </w:r>
      <w:r w:rsidRPr="00A32AF4">
        <w:rPr>
          <w:rFonts w:cs="Arial"/>
        </w:rPr>
        <w:t>exercice biennal </w:t>
      </w:r>
      <w:r w:rsidR="009A24BE" w:rsidRPr="00A32AF4">
        <w:rPr>
          <w:rFonts w:cs="Arial"/>
        </w:rPr>
        <w:t>2016</w:t>
      </w:r>
      <w:r w:rsidR="00EB7F54" w:rsidRPr="00A32AF4">
        <w:rPr>
          <w:rFonts w:cs="Arial"/>
        </w:rPr>
        <w:noBreakHyphen/>
      </w:r>
      <w:r w:rsidRPr="00A32AF4">
        <w:rPr>
          <w:rFonts w:cs="Arial"/>
        </w:rPr>
        <w:t>20</w:t>
      </w:r>
      <w:r w:rsidR="009A24BE" w:rsidRPr="00A32AF4">
        <w:rPr>
          <w:rFonts w:cs="Arial"/>
        </w:rPr>
        <w:t xml:space="preserve">17 </w:t>
      </w:r>
      <w:r w:rsidRPr="00A32AF4">
        <w:rPr>
          <w:rFonts w:cs="Arial"/>
        </w:rPr>
        <w:t>afin de mieux rendre compte de la coopé</w:t>
      </w:r>
      <w:r w:rsidR="009A24BE" w:rsidRPr="00A32AF4">
        <w:rPr>
          <w:rFonts w:cs="Arial"/>
        </w:rPr>
        <w:t xml:space="preserve">ration </w:t>
      </w:r>
      <w:r w:rsidRPr="00A32AF4">
        <w:rPr>
          <w:rFonts w:cs="Arial"/>
        </w:rPr>
        <w:t>trilatérale avec l</w:t>
      </w:r>
      <w:r w:rsidR="00E2055A" w:rsidRPr="00A32AF4">
        <w:rPr>
          <w:rFonts w:cs="Arial"/>
        </w:rPr>
        <w:t>’</w:t>
      </w:r>
      <w:r w:rsidRPr="00A32AF4">
        <w:rPr>
          <w:rFonts w:cs="Arial"/>
        </w:rPr>
        <w:t>OMS et l</w:t>
      </w:r>
      <w:r w:rsidR="00E2055A" w:rsidRPr="00A32AF4">
        <w:rPr>
          <w:rFonts w:cs="Arial"/>
        </w:rPr>
        <w:t>’</w:t>
      </w:r>
      <w:r w:rsidRPr="00A32AF4">
        <w:rPr>
          <w:rFonts w:cs="Arial"/>
        </w:rPr>
        <w:t>OMC</w:t>
      </w:r>
      <w:r w:rsidR="009A24BE" w:rsidRPr="00A32AF4">
        <w:rPr>
          <w:rFonts w:cs="Arial"/>
        </w:rPr>
        <w:t>.</w:t>
      </w:r>
      <w:r w:rsidRPr="00A32AF4">
        <w:rPr>
          <w:rFonts w:cs="Arial"/>
        </w:rPr>
        <w:t xml:space="preserve"> </w:t>
      </w:r>
      <w:r w:rsidR="009A24BE" w:rsidRPr="00A32AF4">
        <w:rPr>
          <w:rFonts w:cs="Arial"/>
        </w:rPr>
        <w:t xml:space="preserve"> </w:t>
      </w:r>
      <w:r w:rsidRPr="00A32AF4">
        <w:rPr>
          <w:rFonts w:cs="Arial"/>
        </w:rPr>
        <w:t>Ce changement est compensé par un transfert des ressources liées au résultat escompté </w:t>
      </w:r>
      <w:r w:rsidR="009A24BE" w:rsidRPr="00A32AF4">
        <w:rPr>
          <w:rFonts w:cs="Arial"/>
        </w:rPr>
        <w:t>IV.2.</w:t>
      </w:r>
    </w:p>
    <w:p w:rsidR="00F93B76" w:rsidRPr="00A32AF4" w:rsidRDefault="00F93B76" w:rsidP="00DC0553">
      <w:pPr>
        <w:tabs>
          <w:tab w:val="left" w:pos="709"/>
          <w:tab w:val="left" w:pos="1985"/>
        </w:tabs>
        <w:jc w:val="both"/>
        <w:rPr>
          <w:rFonts w:cs="Arial"/>
        </w:rPr>
      </w:pPr>
    </w:p>
    <w:p w:rsidR="00F93B76" w:rsidRPr="00A32AF4" w:rsidRDefault="00355624" w:rsidP="005C314E">
      <w:pPr>
        <w:numPr>
          <w:ilvl w:val="0"/>
          <w:numId w:val="29"/>
        </w:numPr>
        <w:tabs>
          <w:tab w:val="left" w:pos="709"/>
        </w:tabs>
        <w:jc w:val="both"/>
        <w:rPr>
          <w:rFonts w:cs="Arial"/>
          <w:bCs/>
        </w:rPr>
      </w:pPr>
      <w:r w:rsidRPr="00A32AF4">
        <w:rPr>
          <w:rFonts w:cs="Arial"/>
        </w:rPr>
        <w:t>Les ressources liées aux résultats escomptés </w:t>
      </w:r>
      <w:r w:rsidR="009A24BE" w:rsidRPr="00A32AF4">
        <w:rPr>
          <w:rFonts w:cs="Arial"/>
        </w:rPr>
        <w:t xml:space="preserve">I.1, VI.1, VI.2 </w:t>
      </w:r>
      <w:r w:rsidRPr="00A32AF4">
        <w:rPr>
          <w:rFonts w:cs="Arial"/>
        </w:rPr>
        <w:t xml:space="preserve">et </w:t>
      </w:r>
      <w:r w:rsidR="009A24BE" w:rsidRPr="00A32AF4">
        <w:rPr>
          <w:rFonts w:cs="Arial"/>
        </w:rPr>
        <w:t xml:space="preserve">VIII.5 </w:t>
      </w:r>
      <w:r w:rsidRPr="00A32AF4">
        <w:rPr>
          <w:rFonts w:cs="Arial"/>
        </w:rPr>
        <w:t xml:space="preserve">au titre de ce programme </w:t>
      </w:r>
      <w:r w:rsidR="00F40289" w:rsidRPr="00A32AF4">
        <w:rPr>
          <w:rFonts w:cs="Arial"/>
        </w:rPr>
        <w:t xml:space="preserve">rendent compte des </w:t>
      </w:r>
      <w:r w:rsidR="009A24BE" w:rsidRPr="00A32AF4">
        <w:rPr>
          <w:rFonts w:cs="Arial"/>
        </w:rPr>
        <w:t xml:space="preserve">efforts </w:t>
      </w:r>
      <w:r w:rsidR="00F40289" w:rsidRPr="00A32AF4">
        <w:rPr>
          <w:rFonts w:cs="Arial"/>
        </w:rPr>
        <w:t xml:space="preserve">consacrés par le Bureau du </w:t>
      </w:r>
      <w:r w:rsidR="009615B0" w:rsidRPr="00A32AF4">
        <w:rPr>
          <w:rFonts w:cs="Arial"/>
        </w:rPr>
        <w:t>sous</w:t>
      </w:r>
      <w:r w:rsidR="00EB7F54" w:rsidRPr="00A32AF4">
        <w:rPr>
          <w:rFonts w:cs="Arial"/>
        </w:rPr>
        <w:noBreakHyphen/>
      </w:r>
      <w:r w:rsidR="009615B0" w:rsidRPr="00A32AF4">
        <w:rPr>
          <w:rFonts w:cs="Arial"/>
        </w:rPr>
        <w:t>directeur</w:t>
      </w:r>
      <w:r w:rsidR="00F40289" w:rsidRPr="00A32AF4">
        <w:rPr>
          <w:rFonts w:cs="Arial"/>
        </w:rPr>
        <w:t xml:space="preserve"> général chargé du Secteur des questions mondiales en faveur des activités relevant respectivement des programmes </w:t>
      </w:r>
      <w:r w:rsidR="009A24BE" w:rsidRPr="00A32AF4">
        <w:rPr>
          <w:rFonts w:cs="Arial"/>
        </w:rPr>
        <w:t xml:space="preserve">4, 17 </w:t>
      </w:r>
      <w:r w:rsidR="00F40289" w:rsidRPr="00A32AF4">
        <w:rPr>
          <w:rFonts w:cs="Arial"/>
        </w:rPr>
        <w:t xml:space="preserve">et </w:t>
      </w:r>
      <w:r w:rsidR="009A24BE" w:rsidRPr="00A32AF4">
        <w:rPr>
          <w:rFonts w:cs="Arial"/>
        </w:rPr>
        <w:t>20</w:t>
      </w:r>
      <w:r w:rsidR="004331C7" w:rsidRPr="00A32AF4">
        <w:rPr>
          <w:rFonts w:cs="Arial"/>
        </w:rPr>
        <w:t>.</w:t>
      </w:r>
    </w:p>
    <w:p w:rsidR="00F93B76" w:rsidRPr="00A32AF4" w:rsidRDefault="00F93B76" w:rsidP="00DC0553">
      <w:pPr>
        <w:rPr>
          <w:lang w:eastAsia="da-DK"/>
        </w:rPr>
      </w:pPr>
    </w:p>
    <w:p w:rsidR="00F93B76" w:rsidRPr="00A32AF4" w:rsidRDefault="00F93B76" w:rsidP="00DC0553">
      <w:pPr>
        <w:rPr>
          <w:lang w:eastAsia="da-DK"/>
        </w:rPr>
      </w:pPr>
    </w:p>
    <w:p w:rsidR="00F93B76" w:rsidRPr="00A32AF4" w:rsidRDefault="009A24BE" w:rsidP="00DC0553">
      <w:pPr>
        <w:keepNext/>
        <w:keepLines/>
        <w:autoSpaceDE w:val="0"/>
        <w:autoSpaceDN w:val="0"/>
        <w:jc w:val="center"/>
        <w:rPr>
          <w:rFonts w:cs="Arial"/>
          <w:b/>
        </w:rPr>
      </w:pPr>
      <w:r w:rsidRPr="00A32AF4">
        <w:rPr>
          <w:rFonts w:cs="Arial"/>
          <w:b/>
        </w:rPr>
        <w:t>Programme 18 : ressources par résultat</w:t>
      </w:r>
    </w:p>
    <w:p w:rsidR="00F93B76" w:rsidRPr="00A32AF4" w:rsidRDefault="009A24BE" w:rsidP="00DC0553">
      <w:pPr>
        <w:keepNext/>
        <w:keepLines/>
        <w:autoSpaceDE w:val="0"/>
        <w:autoSpaceDN w:val="0"/>
        <w:jc w:val="center"/>
        <w:rPr>
          <w:rFonts w:cs="Arial"/>
          <w:i/>
        </w:rPr>
      </w:pPr>
      <w:r w:rsidRPr="00A32AF4">
        <w:rPr>
          <w:rFonts w:cs="Arial"/>
          <w:i/>
        </w:rPr>
        <w:t>(</w:t>
      </w:r>
      <w:proofErr w:type="gramStart"/>
      <w:r w:rsidRPr="00A32AF4">
        <w:rPr>
          <w:rFonts w:cs="Arial"/>
          <w:i/>
        </w:rPr>
        <w:t>en</w:t>
      </w:r>
      <w:proofErr w:type="gramEnd"/>
      <w:r w:rsidRPr="00A32AF4">
        <w:rPr>
          <w:rFonts w:cs="Arial"/>
          <w:i/>
        </w:rPr>
        <w:t xml:space="preserve"> milliers de francs suisses)</w:t>
      </w:r>
    </w:p>
    <w:p w:rsidR="009A24BE" w:rsidRPr="00A32AF4" w:rsidRDefault="009A24BE" w:rsidP="00DC0553">
      <w:pPr>
        <w:keepNext/>
      </w:pPr>
    </w:p>
    <w:tbl>
      <w:tblPr>
        <w:tblW w:w="8980" w:type="dxa"/>
        <w:tblInd w:w="55"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592"/>
        <w:gridCol w:w="4428"/>
        <w:gridCol w:w="1260"/>
        <w:gridCol w:w="1440"/>
        <w:gridCol w:w="1260"/>
      </w:tblGrid>
      <w:tr w:rsidR="009A24BE" w:rsidRPr="00A32AF4" w:rsidTr="009A24BE">
        <w:trPr>
          <w:tblHeader/>
        </w:trPr>
        <w:tc>
          <w:tcPr>
            <w:tcW w:w="5020" w:type="dxa"/>
            <w:gridSpan w:val="2"/>
            <w:tcBorders>
              <w:top w:val="single" w:sz="4" w:space="0" w:color="auto"/>
              <w:left w:val="single" w:sz="4" w:space="0" w:color="auto"/>
              <w:bottom w:val="single" w:sz="4" w:space="0" w:color="auto"/>
            </w:tcBorders>
            <w:shd w:val="clear" w:color="000000" w:fill="C5D9F1"/>
            <w:noWrap/>
            <w:tcMar>
              <w:top w:w="113" w:type="dxa"/>
              <w:bottom w:w="113" w:type="dxa"/>
            </w:tcMar>
            <w:vAlign w:val="center"/>
            <w:hideMark/>
          </w:tcPr>
          <w:p w:rsidR="009A24BE" w:rsidRPr="00A32AF4" w:rsidRDefault="009A24BE" w:rsidP="00DC0553">
            <w:pPr>
              <w:jc w:val="center"/>
              <w:rPr>
                <w:rFonts w:cs="Arial"/>
                <w:i/>
                <w:iCs/>
                <w:sz w:val="16"/>
                <w:szCs w:val="16"/>
                <w:lang w:eastAsia="fr-FR"/>
              </w:rPr>
            </w:pPr>
            <w:r w:rsidRPr="00A32AF4">
              <w:rPr>
                <w:rFonts w:cs="Arial"/>
                <w:i/>
                <w:iCs/>
                <w:sz w:val="16"/>
                <w:szCs w:val="16"/>
                <w:lang w:eastAsia="fr-FR"/>
              </w:rPr>
              <w:t xml:space="preserve">Numéro et description du résultat escompté </w:t>
            </w:r>
          </w:p>
        </w:tc>
        <w:tc>
          <w:tcPr>
            <w:tcW w:w="1260" w:type="dxa"/>
            <w:tcBorders>
              <w:top w:val="single" w:sz="4" w:space="0" w:color="auto"/>
              <w:bottom w:val="single" w:sz="4" w:space="0" w:color="auto"/>
            </w:tcBorders>
            <w:shd w:val="clear" w:color="000000" w:fill="C5D9F1"/>
            <w:tcMar>
              <w:top w:w="113" w:type="dxa"/>
              <w:bottom w:w="113" w:type="dxa"/>
            </w:tcMar>
            <w:vAlign w:val="center"/>
            <w:hideMark/>
          </w:tcPr>
          <w:p w:rsidR="009A24BE" w:rsidRPr="00A32AF4" w:rsidRDefault="009A24BE" w:rsidP="00DC0553">
            <w:pPr>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2014</w:t>
            </w:r>
            <w:r w:rsidR="00EB7F54" w:rsidRPr="00A32AF4">
              <w:rPr>
                <w:rFonts w:cs="Arial"/>
                <w:i/>
                <w:iCs/>
                <w:sz w:val="16"/>
                <w:szCs w:val="16"/>
                <w:lang w:eastAsia="fr-FR"/>
              </w:rPr>
              <w:noBreakHyphen/>
            </w:r>
            <w:r w:rsidRPr="00A32AF4">
              <w:rPr>
                <w:rFonts w:cs="Arial"/>
                <w:i/>
                <w:iCs/>
                <w:sz w:val="16"/>
                <w:szCs w:val="16"/>
                <w:lang w:eastAsia="fr-FR"/>
              </w:rPr>
              <w:t>2015 approuvé</w:t>
            </w:r>
          </w:p>
        </w:tc>
        <w:tc>
          <w:tcPr>
            <w:tcW w:w="1440" w:type="dxa"/>
            <w:tcBorders>
              <w:top w:val="single" w:sz="4" w:space="0" w:color="auto"/>
              <w:bottom w:val="single" w:sz="4" w:space="0" w:color="auto"/>
            </w:tcBorders>
            <w:shd w:val="clear" w:color="000000" w:fill="C5D9F1"/>
            <w:tcMar>
              <w:top w:w="113" w:type="dxa"/>
              <w:bottom w:w="113" w:type="dxa"/>
            </w:tcMar>
            <w:vAlign w:val="center"/>
            <w:hideMark/>
          </w:tcPr>
          <w:p w:rsidR="009A24BE" w:rsidRPr="00A32AF4" w:rsidRDefault="009A24BE" w:rsidP="00DC0553">
            <w:pPr>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2014</w:t>
            </w:r>
            <w:r w:rsidR="00EB7F54" w:rsidRPr="00A32AF4">
              <w:rPr>
                <w:rFonts w:cs="Arial"/>
                <w:i/>
                <w:iCs/>
                <w:sz w:val="16"/>
                <w:szCs w:val="16"/>
                <w:lang w:eastAsia="fr-FR"/>
              </w:rPr>
              <w:noBreakHyphen/>
            </w:r>
            <w:r w:rsidRPr="00A32AF4">
              <w:rPr>
                <w:rFonts w:cs="Arial"/>
                <w:i/>
                <w:iCs/>
                <w:sz w:val="16"/>
                <w:szCs w:val="16"/>
                <w:lang w:eastAsia="fr-FR"/>
              </w:rPr>
              <w:t>2015 après virements</w:t>
            </w:r>
          </w:p>
        </w:tc>
        <w:tc>
          <w:tcPr>
            <w:tcW w:w="1260" w:type="dxa"/>
            <w:tcBorders>
              <w:top w:val="single" w:sz="4" w:space="0" w:color="auto"/>
              <w:bottom w:val="single" w:sz="4" w:space="0" w:color="auto"/>
              <w:right w:val="single" w:sz="4" w:space="0" w:color="auto"/>
            </w:tcBorders>
            <w:shd w:val="clear" w:color="000000" w:fill="C5D9F1"/>
            <w:tcMar>
              <w:top w:w="113" w:type="dxa"/>
              <w:bottom w:w="113" w:type="dxa"/>
            </w:tcMar>
            <w:vAlign w:val="center"/>
            <w:hideMark/>
          </w:tcPr>
          <w:p w:rsidR="009A24BE" w:rsidRPr="00A32AF4" w:rsidRDefault="009A24BE" w:rsidP="00DC0553">
            <w:pPr>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2016</w:t>
            </w:r>
            <w:r w:rsidR="00EB7F54" w:rsidRPr="00A32AF4">
              <w:rPr>
                <w:rFonts w:cs="Arial"/>
                <w:i/>
                <w:iCs/>
                <w:sz w:val="16"/>
                <w:szCs w:val="16"/>
                <w:lang w:eastAsia="fr-FR"/>
              </w:rPr>
              <w:noBreakHyphen/>
            </w:r>
            <w:r w:rsidRPr="00A32AF4">
              <w:rPr>
                <w:rFonts w:cs="Arial"/>
                <w:i/>
                <w:iCs/>
                <w:sz w:val="16"/>
                <w:szCs w:val="16"/>
                <w:lang w:eastAsia="fr-FR"/>
              </w:rPr>
              <w:t>2017 proposé</w:t>
            </w:r>
          </w:p>
        </w:tc>
      </w:tr>
      <w:tr w:rsidR="009A24BE" w:rsidRPr="00A32AF4" w:rsidTr="009A24BE">
        <w:tc>
          <w:tcPr>
            <w:tcW w:w="592" w:type="dxa"/>
            <w:tcBorders>
              <w:top w:val="single" w:sz="4" w:space="0" w:color="auto"/>
            </w:tcBorders>
            <w:shd w:val="clear" w:color="auto" w:fill="auto"/>
            <w:noWrap/>
            <w:tcMar>
              <w:top w:w="113" w:type="dxa"/>
              <w:bottom w:w="113" w:type="dxa"/>
            </w:tcMar>
            <w:vAlign w:val="center"/>
            <w:hideMark/>
          </w:tcPr>
          <w:p w:rsidR="009A24BE" w:rsidRPr="00A32AF4" w:rsidRDefault="009A24BE" w:rsidP="00DC0553">
            <w:pPr>
              <w:rPr>
                <w:rFonts w:cs="Arial"/>
                <w:sz w:val="16"/>
                <w:szCs w:val="16"/>
                <w:lang w:eastAsia="fr-FR"/>
              </w:rPr>
            </w:pPr>
            <w:r w:rsidRPr="00A32AF4">
              <w:rPr>
                <w:rFonts w:cs="Arial"/>
                <w:sz w:val="16"/>
                <w:szCs w:val="16"/>
                <w:lang w:eastAsia="fr-FR"/>
              </w:rPr>
              <w:t>I.1</w:t>
            </w:r>
          </w:p>
        </w:tc>
        <w:tc>
          <w:tcPr>
            <w:tcW w:w="4428" w:type="dxa"/>
            <w:tcBorders>
              <w:top w:val="single" w:sz="4" w:space="0" w:color="auto"/>
            </w:tcBorders>
            <w:shd w:val="clear" w:color="auto" w:fill="auto"/>
            <w:tcMar>
              <w:top w:w="113" w:type="dxa"/>
              <w:bottom w:w="113" w:type="dxa"/>
            </w:tcMar>
            <w:vAlign w:val="center"/>
            <w:hideMark/>
          </w:tcPr>
          <w:p w:rsidR="009A24BE" w:rsidRPr="00A32AF4" w:rsidRDefault="009A24BE" w:rsidP="00DC0553">
            <w:pPr>
              <w:rPr>
                <w:rFonts w:cs="Arial"/>
                <w:sz w:val="16"/>
                <w:szCs w:val="16"/>
                <w:lang w:eastAsia="fr-FR"/>
              </w:rPr>
            </w:pPr>
            <w:r w:rsidRPr="00A32AF4">
              <w:rPr>
                <w:rFonts w:cs="Arial"/>
                <w:sz w:val="16"/>
                <w:szCs w:val="16"/>
                <w:lang w:eastAsia="fr-FR"/>
              </w:rPr>
              <w:t>Renforcement de la coopération entre les États membres en ce qui concerne l</w:t>
            </w:r>
            <w:r w:rsidR="00E2055A" w:rsidRPr="00A32AF4">
              <w:rPr>
                <w:rFonts w:cs="Arial"/>
                <w:sz w:val="16"/>
                <w:szCs w:val="16"/>
                <w:lang w:eastAsia="fr-FR"/>
              </w:rPr>
              <w:t>’</w:t>
            </w:r>
            <w:r w:rsidRPr="00A32AF4">
              <w:rPr>
                <w:rFonts w:cs="Arial"/>
                <w:sz w:val="16"/>
                <w:szCs w:val="16"/>
                <w:lang w:eastAsia="fr-FR"/>
              </w:rPr>
              <w:t xml:space="preserve">élaboration de cadres normatifs internationaux équilibrés dans le domaine de la propriété intellectuelle </w:t>
            </w:r>
          </w:p>
        </w:tc>
        <w:tc>
          <w:tcPr>
            <w:tcW w:w="1260" w:type="dxa"/>
            <w:tcBorders>
              <w:top w:val="single" w:sz="4" w:space="0" w:color="auto"/>
            </w:tcBorders>
            <w:shd w:val="clear" w:color="auto" w:fill="auto"/>
            <w:tcMar>
              <w:top w:w="113" w:type="dxa"/>
              <w:bottom w:w="113" w:type="dxa"/>
            </w:tcMar>
            <w:vAlign w:val="center"/>
            <w:hideMark/>
          </w:tcPr>
          <w:p w:rsidR="009A24BE" w:rsidRPr="00A32AF4" w:rsidRDefault="009A24BE" w:rsidP="00DC0553">
            <w:pPr>
              <w:jc w:val="right"/>
              <w:rPr>
                <w:rFonts w:cs="Arial"/>
                <w:sz w:val="16"/>
                <w:szCs w:val="16"/>
                <w:lang w:eastAsia="fr-FR"/>
              </w:rPr>
            </w:pPr>
            <w:r w:rsidRPr="00A32AF4">
              <w:rPr>
                <w:rFonts w:cs="Arial"/>
                <w:sz w:val="16"/>
                <w:szCs w:val="16"/>
                <w:lang w:eastAsia="fr-FR"/>
              </w:rPr>
              <w:t>–</w:t>
            </w:r>
          </w:p>
        </w:tc>
        <w:tc>
          <w:tcPr>
            <w:tcW w:w="1440" w:type="dxa"/>
            <w:tcBorders>
              <w:top w:val="single" w:sz="4" w:space="0" w:color="auto"/>
            </w:tcBorders>
            <w:shd w:val="clear" w:color="auto" w:fill="auto"/>
            <w:tcMar>
              <w:top w:w="113" w:type="dxa"/>
              <w:bottom w:w="113" w:type="dxa"/>
            </w:tcMar>
            <w:vAlign w:val="center"/>
            <w:hideMark/>
          </w:tcPr>
          <w:p w:rsidR="009A24BE" w:rsidRPr="00A32AF4" w:rsidRDefault="009A24BE" w:rsidP="00DC0553">
            <w:pPr>
              <w:jc w:val="right"/>
              <w:rPr>
                <w:rFonts w:cs="Arial"/>
                <w:sz w:val="16"/>
                <w:szCs w:val="16"/>
                <w:lang w:eastAsia="fr-FR"/>
              </w:rPr>
            </w:pPr>
            <w:r w:rsidRPr="00A32AF4">
              <w:rPr>
                <w:rFonts w:cs="Arial"/>
                <w:sz w:val="16"/>
                <w:szCs w:val="16"/>
                <w:lang w:eastAsia="fr-FR"/>
              </w:rPr>
              <w:t xml:space="preserve">224 </w:t>
            </w:r>
          </w:p>
        </w:tc>
        <w:tc>
          <w:tcPr>
            <w:tcW w:w="1260" w:type="dxa"/>
            <w:tcBorders>
              <w:top w:val="single" w:sz="4" w:space="0" w:color="auto"/>
            </w:tcBorders>
            <w:shd w:val="clear" w:color="auto" w:fill="auto"/>
            <w:noWrap/>
            <w:tcMar>
              <w:top w:w="113" w:type="dxa"/>
              <w:bottom w:w="113" w:type="dxa"/>
            </w:tcMar>
            <w:vAlign w:val="center"/>
            <w:hideMark/>
          </w:tcPr>
          <w:p w:rsidR="009A24BE" w:rsidRPr="00A32AF4" w:rsidRDefault="009A24BE" w:rsidP="00DC0553">
            <w:pPr>
              <w:jc w:val="right"/>
              <w:rPr>
                <w:rFonts w:cs="Arial"/>
                <w:color w:val="000000"/>
                <w:sz w:val="16"/>
                <w:szCs w:val="16"/>
                <w:lang w:eastAsia="fr-FR"/>
              </w:rPr>
            </w:pPr>
            <w:r w:rsidRPr="00A32AF4">
              <w:rPr>
                <w:rFonts w:cs="Arial"/>
                <w:color w:val="000000"/>
                <w:sz w:val="16"/>
                <w:szCs w:val="16"/>
                <w:lang w:eastAsia="fr-FR"/>
              </w:rPr>
              <w:t xml:space="preserve">387 </w:t>
            </w:r>
          </w:p>
        </w:tc>
      </w:tr>
      <w:tr w:rsidR="009A24BE" w:rsidRPr="00A32AF4" w:rsidTr="009A24BE">
        <w:tc>
          <w:tcPr>
            <w:tcW w:w="592" w:type="dxa"/>
            <w:shd w:val="clear" w:color="auto" w:fill="auto"/>
            <w:noWrap/>
            <w:tcMar>
              <w:top w:w="113" w:type="dxa"/>
              <w:bottom w:w="113" w:type="dxa"/>
            </w:tcMar>
            <w:vAlign w:val="center"/>
            <w:hideMark/>
          </w:tcPr>
          <w:p w:rsidR="009A24BE" w:rsidRPr="00A32AF4" w:rsidRDefault="009A24BE" w:rsidP="00DC0553">
            <w:pPr>
              <w:rPr>
                <w:rFonts w:cs="Arial"/>
                <w:sz w:val="16"/>
                <w:szCs w:val="16"/>
                <w:lang w:eastAsia="fr-FR"/>
              </w:rPr>
            </w:pPr>
            <w:r w:rsidRPr="00A32AF4">
              <w:rPr>
                <w:rFonts w:cs="Arial"/>
                <w:sz w:val="16"/>
                <w:szCs w:val="16"/>
                <w:lang w:eastAsia="fr-FR"/>
              </w:rPr>
              <w:t>I.2</w:t>
            </w:r>
          </w:p>
        </w:tc>
        <w:tc>
          <w:tcPr>
            <w:tcW w:w="4428" w:type="dxa"/>
            <w:shd w:val="clear" w:color="auto" w:fill="auto"/>
            <w:tcMar>
              <w:top w:w="113" w:type="dxa"/>
              <w:bottom w:w="113" w:type="dxa"/>
            </w:tcMar>
            <w:vAlign w:val="center"/>
            <w:hideMark/>
          </w:tcPr>
          <w:p w:rsidR="009A24BE" w:rsidRPr="00A32AF4" w:rsidRDefault="009A24BE" w:rsidP="00DC0553">
            <w:pPr>
              <w:rPr>
                <w:rFonts w:cs="Arial"/>
                <w:sz w:val="16"/>
                <w:szCs w:val="16"/>
                <w:lang w:eastAsia="fr-FR"/>
              </w:rPr>
            </w:pPr>
            <w:r w:rsidRPr="00A32AF4">
              <w:rPr>
                <w:rFonts w:cs="Arial"/>
                <w:sz w:val="16"/>
                <w:szCs w:val="16"/>
                <w:lang w:eastAsia="fr-FR"/>
              </w:rPr>
              <w:t>Cadres législatifs, réglementaires et politiques de propriété intellectuelle adaptés et équilibrés</w:t>
            </w:r>
          </w:p>
        </w:tc>
        <w:tc>
          <w:tcPr>
            <w:tcW w:w="1260" w:type="dxa"/>
            <w:shd w:val="clear" w:color="auto" w:fill="auto"/>
            <w:tcMar>
              <w:top w:w="113" w:type="dxa"/>
              <w:bottom w:w="113" w:type="dxa"/>
            </w:tcMar>
            <w:vAlign w:val="center"/>
            <w:hideMark/>
          </w:tcPr>
          <w:p w:rsidR="009A24BE" w:rsidRPr="00A32AF4" w:rsidRDefault="009A24BE" w:rsidP="00DC0553">
            <w:pPr>
              <w:jc w:val="right"/>
              <w:rPr>
                <w:rFonts w:cs="Arial"/>
                <w:sz w:val="16"/>
                <w:szCs w:val="16"/>
                <w:lang w:eastAsia="fr-FR"/>
              </w:rPr>
            </w:pPr>
            <w:r w:rsidRPr="00A32AF4">
              <w:rPr>
                <w:rFonts w:cs="Arial"/>
                <w:sz w:val="16"/>
                <w:szCs w:val="16"/>
                <w:lang w:eastAsia="fr-FR"/>
              </w:rPr>
              <w:t>–</w:t>
            </w:r>
          </w:p>
        </w:tc>
        <w:tc>
          <w:tcPr>
            <w:tcW w:w="1440" w:type="dxa"/>
            <w:shd w:val="clear" w:color="auto" w:fill="auto"/>
            <w:tcMar>
              <w:top w:w="113" w:type="dxa"/>
              <w:bottom w:w="113" w:type="dxa"/>
            </w:tcMar>
            <w:vAlign w:val="center"/>
            <w:hideMark/>
          </w:tcPr>
          <w:p w:rsidR="009A24BE" w:rsidRPr="00A32AF4" w:rsidRDefault="009A24BE" w:rsidP="00DC0553">
            <w:pPr>
              <w:jc w:val="right"/>
              <w:rPr>
                <w:rFonts w:cs="Arial"/>
                <w:sz w:val="16"/>
                <w:szCs w:val="16"/>
                <w:lang w:eastAsia="fr-FR"/>
              </w:rPr>
            </w:pPr>
            <w:r w:rsidRPr="00A32AF4">
              <w:rPr>
                <w:rFonts w:cs="Arial"/>
                <w:sz w:val="16"/>
                <w:szCs w:val="16"/>
                <w:lang w:eastAsia="fr-FR"/>
              </w:rPr>
              <w:t>–</w:t>
            </w:r>
          </w:p>
        </w:tc>
        <w:tc>
          <w:tcPr>
            <w:tcW w:w="1260" w:type="dxa"/>
            <w:shd w:val="clear" w:color="auto" w:fill="auto"/>
            <w:noWrap/>
            <w:tcMar>
              <w:top w:w="113" w:type="dxa"/>
              <w:bottom w:w="113" w:type="dxa"/>
            </w:tcMar>
            <w:vAlign w:val="center"/>
            <w:hideMark/>
          </w:tcPr>
          <w:p w:rsidR="009A24BE" w:rsidRPr="00A32AF4" w:rsidRDefault="009A24BE" w:rsidP="00DC0553">
            <w:pPr>
              <w:jc w:val="right"/>
              <w:rPr>
                <w:rFonts w:cs="Arial"/>
                <w:color w:val="000000"/>
                <w:sz w:val="16"/>
                <w:szCs w:val="16"/>
                <w:lang w:eastAsia="fr-FR"/>
              </w:rPr>
            </w:pPr>
            <w:r w:rsidRPr="00A32AF4">
              <w:rPr>
                <w:rFonts w:cs="Arial"/>
                <w:color w:val="000000"/>
                <w:sz w:val="16"/>
                <w:szCs w:val="16"/>
                <w:lang w:eastAsia="fr-FR"/>
              </w:rPr>
              <w:t xml:space="preserve">1 500 </w:t>
            </w:r>
          </w:p>
        </w:tc>
      </w:tr>
      <w:tr w:rsidR="009A24BE" w:rsidRPr="00A32AF4" w:rsidTr="009A24BE">
        <w:tc>
          <w:tcPr>
            <w:tcW w:w="592" w:type="dxa"/>
            <w:shd w:val="clear" w:color="auto" w:fill="auto"/>
            <w:noWrap/>
            <w:tcMar>
              <w:top w:w="113" w:type="dxa"/>
              <w:bottom w:w="113" w:type="dxa"/>
            </w:tcMar>
            <w:vAlign w:val="center"/>
            <w:hideMark/>
          </w:tcPr>
          <w:p w:rsidR="009A24BE" w:rsidRPr="00A32AF4" w:rsidRDefault="009A24BE" w:rsidP="00DC0553">
            <w:pPr>
              <w:rPr>
                <w:rFonts w:cs="Arial"/>
                <w:sz w:val="16"/>
                <w:szCs w:val="16"/>
                <w:lang w:eastAsia="fr-FR"/>
              </w:rPr>
            </w:pPr>
            <w:r w:rsidRPr="00A32AF4">
              <w:rPr>
                <w:rFonts w:cs="Arial"/>
                <w:sz w:val="16"/>
                <w:szCs w:val="16"/>
                <w:lang w:eastAsia="fr-FR"/>
              </w:rPr>
              <w:t>III.2</w:t>
            </w:r>
          </w:p>
        </w:tc>
        <w:tc>
          <w:tcPr>
            <w:tcW w:w="4428" w:type="dxa"/>
            <w:shd w:val="clear" w:color="auto" w:fill="auto"/>
            <w:tcMar>
              <w:top w:w="113" w:type="dxa"/>
              <w:bottom w:w="113" w:type="dxa"/>
            </w:tcMar>
            <w:vAlign w:val="center"/>
            <w:hideMark/>
          </w:tcPr>
          <w:p w:rsidR="009A24BE" w:rsidRPr="00A32AF4" w:rsidRDefault="009A24BE" w:rsidP="00DC0553">
            <w:pPr>
              <w:rPr>
                <w:rFonts w:cs="Arial"/>
                <w:sz w:val="16"/>
                <w:szCs w:val="16"/>
                <w:lang w:eastAsia="fr-FR"/>
              </w:rPr>
            </w:pPr>
            <w:r w:rsidRPr="00A32AF4">
              <w:rPr>
                <w:rFonts w:cs="Arial"/>
                <w:sz w:val="16"/>
                <w:szCs w:val="16"/>
                <w:lang w:eastAsia="fr-FR"/>
              </w:rPr>
              <w:t>Mise en valeur des ressources humaines pour répondre aux diverses exigences en matière d</w:t>
            </w:r>
            <w:r w:rsidR="00E2055A" w:rsidRPr="00A32AF4">
              <w:rPr>
                <w:rFonts w:cs="Arial"/>
                <w:sz w:val="16"/>
                <w:szCs w:val="16"/>
                <w:lang w:eastAsia="fr-FR"/>
              </w:rPr>
              <w:t>’</w:t>
            </w:r>
            <w:r w:rsidRPr="00A32AF4">
              <w:rPr>
                <w:rFonts w:cs="Arial"/>
                <w:sz w:val="16"/>
                <w:szCs w:val="16"/>
                <w:lang w:eastAsia="fr-FR"/>
              </w:rPr>
              <w:t>utilisation efficace de la propriété intellectuelle au service du développement dans les pays en développement,</w:t>
            </w:r>
            <w:r w:rsidR="00E2055A" w:rsidRPr="00A32AF4">
              <w:rPr>
                <w:rFonts w:cs="Arial"/>
                <w:sz w:val="16"/>
                <w:szCs w:val="16"/>
                <w:lang w:eastAsia="fr-FR"/>
              </w:rPr>
              <w:t xml:space="preserve"> les PMA</w:t>
            </w:r>
            <w:r w:rsidRPr="00A32AF4">
              <w:rPr>
                <w:rFonts w:cs="Arial"/>
                <w:sz w:val="16"/>
                <w:szCs w:val="16"/>
                <w:lang w:eastAsia="fr-FR"/>
              </w:rPr>
              <w:t xml:space="preserve"> et les pays en transition</w:t>
            </w:r>
          </w:p>
        </w:tc>
        <w:tc>
          <w:tcPr>
            <w:tcW w:w="1260" w:type="dxa"/>
            <w:shd w:val="clear" w:color="auto" w:fill="auto"/>
            <w:tcMar>
              <w:top w:w="113" w:type="dxa"/>
              <w:bottom w:w="113" w:type="dxa"/>
            </w:tcMar>
            <w:vAlign w:val="center"/>
            <w:hideMark/>
          </w:tcPr>
          <w:p w:rsidR="009A24BE" w:rsidRPr="00A32AF4" w:rsidRDefault="009A24BE" w:rsidP="00DC0553">
            <w:pPr>
              <w:jc w:val="right"/>
              <w:rPr>
                <w:rFonts w:cs="Arial"/>
                <w:sz w:val="16"/>
                <w:szCs w:val="16"/>
                <w:lang w:eastAsia="fr-FR"/>
              </w:rPr>
            </w:pPr>
            <w:r w:rsidRPr="00A32AF4">
              <w:rPr>
                <w:rFonts w:cs="Arial"/>
                <w:sz w:val="16"/>
                <w:szCs w:val="16"/>
                <w:lang w:eastAsia="fr-FR"/>
              </w:rPr>
              <w:t xml:space="preserve">506 </w:t>
            </w:r>
          </w:p>
        </w:tc>
        <w:tc>
          <w:tcPr>
            <w:tcW w:w="1440" w:type="dxa"/>
            <w:shd w:val="clear" w:color="auto" w:fill="auto"/>
            <w:tcMar>
              <w:top w:w="113" w:type="dxa"/>
              <w:bottom w:w="113" w:type="dxa"/>
            </w:tcMar>
            <w:vAlign w:val="center"/>
            <w:hideMark/>
          </w:tcPr>
          <w:p w:rsidR="009A24BE" w:rsidRPr="00A32AF4" w:rsidRDefault="009A24BE" w:rsidP="00DC0553">
            <w:pPr>
              <w:jc w:val="right"/>
              <w:rPr>
                <w:rFonts w:cs="Arial"/>
                <w:sz w:val="16"/>
                <w:szCs w:val="16"/>
                <w:lang w:eastAsia="fr-FR"/>
              </w:rPr>
            </w:pPr>
            <w:r w:rsidRPr="00A32AF4">
              <w:rPr>
                <w:rFonts w:cs="Arial"/>
                <w:sz w:val="16"/>
                <w:szCs w:val="16"/>
                <w:lang w:eastAsia="fr-FR"/>
              </w:rPr>
              <w:t xml:space="preserve">319 </w:t>
            </w:r>
          </w:p>
        </w:tc>
        <w:tc>
          <w:tcPr>
            <w:tcW w:w="1260" w:type="dxa"/>
            <w:shd w:val="clear" w:color="auto" w:fill="auto"/>
            <w:noWrap/>
            <w:tcMar>
              <w:top w:w="113" w:type="dxa"/>
              <w:bottom w:w="113" w:type="dxa"/>
            </w:tcMar>
            <w:vAlign w:val="center"/>
            <w:hideMark/>
          </w:tcPr>
          <w:p w:rsidR="009A24BE" w:rsidRPr="00A32AF4" w:rsidRDefault="009A24BE" w:rsidP="00DC0553">
            <w:pPr>
              <w:jc w:val="right"/>
              <w:rPr>
                <w:rFonts w:cs="Arial"/>
                <w:color w:val="000000"/>
                <w:sz w:val="16"/>
                <w:szCs w:val="16"/>
                <w:lang w:eastAsia="fr-FR"/>
              </w:rPr>
            </w:pPr>
            <w:r w:rsidRPr="00A32AF4">
              <w:rPr>
                <w:rFonts w:cs="Arial"/>
                <w:color w:val="000000"/>
                <w:sz w:val="16"/>
                <w:szCs w:val="16"/>
                <w:lang w:eastAsia="fr-FR"/>
              </w:rPr>
              <w:t xml:space="preserve">145 </w:t>
            </w:r>
          </w:p>
        </w:tc>
      </w:tr>
      <w:tr w:rsidR="009A24BE" w:rsidRPr="00A32AF4" w:rsidTr="009A24BE">
        <w:tc>
          <w:tcPr>
            <w:tcW w:w="592" w:type="dxa"/>
            <w:shd w:val="clear" w:color="auto" w:fill="auto"/>
            <w:noWrap/>
            <w:tcMar>
              <w:top w:w="113" w:type="dxa"/>
              <w:bottom w:w="113" w:type="dxa"/>
            </w:tcMar>
            <w:vAlign w:val="center"/>
            <w:hideMark/>
          </w:tcPr>
          <w:p w:rsidR="009A24BE" w:rsidRPr="00A32AF4" w:rsidRDefault="009A24BE" w:rsidP="00DC0553">
            <w:pPr>
              <w:rPr>
                <w:rFonts w:cs="Arial"/>
                <w:sz w:val="16"/>
                <w:szCs w:val="16"/>
                <w:lang w:eastAsia="fr-FR"/>
              </w:rPr>
            </w:pPr>
            <w:r w:rsidRPr="00A32AF4">
              <w:rPr>
                <w:rFonts w:cs="Arial"/>
                <w:sz w:val="16"/>
                <w:szCs w:val="16"/>
                <w:lang w:eastAsia="fr-FR"/>
              </w:rPr>
              <w:t>IV.2</w:t>
            </w:r>
          </w:p>
        </w:tc>
        <w:tc>
          <w:tcPr>
            <w:tcW w:w="4428" w:type="dxa"/>
            <w:shd w:val="clear" w:color="auto" w:fill="auto"/>
            <w:tcMar>
              <w:top w:w="113" w:type="dxa"/>
              <w:bottom w:w="113" w:type="dxa"/>
            </w:tcMar>
            <w:vAlign w:val="center"/>
            <w:hideMark/>
          </w:tcPr>
          <w:p w:rsidR="009A24BE" w:rsidRPr="00A32AF4" w:rsidRDefault="009A24BE" w:rsidP="00DC0553">
            <w:pPr>
              <w:rPr>
                <w:rFonts w:cs="Arial"/>
                <w:sz w:val="16"/>
                <w:szCs w:val="16"/>
                <w:lang w:eastAsia="fr-FR"/>
              </w:rPr>
            </w:pPr>
            <w:r w:rsidRPr="00A32AF4">
              <w:rPr>
                <w:rFonts w:cs="Arial"/>
                <w:sz w:val="16"/>
                <w:szCs w:val="16"/>
                <w:lang w:eastAsia="fr-FR"/>
              </w:rPr>
              <w:t>Amélioration de l</w:t>
            </w:r>
            <w:r w:rsidR="00E2055A" w:rsidRPr="00A32AF4">
              <w:rPr>
                <w:rFonts w:cs="Arial"/>
                <w:sz w:val="16"/>
                <w:szCs w:val="16"/>
                <w:lang w:eastAsia="fr-FR"/>
              </w:rPr>
              <w:t>’</w:t>
            </w:r>
            <w:r w:rsidRPr="00A32AF4">
              <w:rPr>
                <w:rFonts w:cs="Arial"/>
                <w:sz w:val="16"/>
                <w:szCs w:val="16"/>
                <w:lang w:eastAsia="fr-FR"/>
              </w:rPr>
              <w:t>accessibilité et de l</w:t>
            </w:r>
            <w:r w:rsidR="00E2055A" w:rsidRPr="00A32AF4">
              <w:rPr>
                <w:rFonts w:cs="Arial"/>
                <w:sz w:val="16"/>
                <w:szCs w:val="16"/>
                <w:lang w:eastAsia="fr-FR"/>
              </w:rPr>
              <w:t>’</w:t>
            </w:r>
            <w:r w:rsidRPr="00A32AF4">
              <w:rPr>
                <w:rFonts w:cs="Arial"/>
                <w:sz w:val="16"/>
                <w:szCs w:val="16"/>
                <w:lang w:eastAsia="fr-FR"/>
              </w:rPr>
              <w:t>utilisation de l</w:t>
            </w:r>
            <w:r w:rsidR="00E2055A" w:rsidRPr="00A32AF4">
              <w:rPr>
                <w:rFonts w:cs="Arial"/>
                <w:sz w:val="16"/>
                <w:szCs w:val="16"/>
                <w:lang w:eastAsia="fr-FR"/>
              </w:rPr>
              <w:t>’</w:t>
            </w:r>
            <w:r w:rsidRPr="00A32AF4">
              <w:rPr>
                <w:rFonts w:cs="Arial"/>
                <w:sz w:val="16"/>
                <w:szCs w:val="16"/>
                <w:lang w:eastAsia="fr-FR"/>
              </w:rPr>
              <w:t>information en matière de propriété intellectuelle par les institutions compétentes et le public afin de promouvoir l</w:t>
            </w:r>
            <w:r w:rsidR="00E2055A" w:rsidRPr="00A32AF4">
              <w:rPr>
                <w:rFonts w:cs="Arial"/>
                <w:sz w:val="16"/>
                <w:szCs w:val="16"/>
                <w:lang w:eastAsia="fr-FR"/>
              </w:rPr>
              <w:t>’</w:t>
            </w:r>
            <w:r w:rsidRPr="00A32AF4">
              <w:rPr>
                <w:rFonts w:cs="Arial"/>
                <w:sz w:val="16"/>
                <w:szCs w:val="16"/>
                <w:lang w:eastAsia="fr-FR"/>
              </w:rPr>
              <w:t>innovation et la créativité</w:t>
            </w:r>
          </w:p>
        </w:tc>
        <w:tc>
          <w:tcPr>
            <w:tcW w:w="1260" w:type="dxa"/>
            <w:shd w:val="clear" w:color="auto" w:fill="auto"/>
            <w:tcMar>
              <w:top w:w="113" w:type="dxa"/>
              <w:bottom w:w="113" w:type="dxa"/>
            </w:tcMar>
            <w:vAlign w:val="center"/>
            <w:hideMark/>
          </w:tcPr>
          <w:p w:rsidR="009A24BE" w:rsidRPr="00A32AF4" w:rsidRDefault="009A24BE" w:rsidP="00DC0553">
            <w:pPr>
              <w:jc w:val="right"/>
              <w:rPr>
                <w:rFonts w:cs="Arial"/>
                <w:sz w:val="16"/>
                <w:szCs w:val="16"/>
                <w:lang w:eastAsia="fr-FR"/>
              </w:rPr>
            </w:pPr>
            <w:r w:rsidRPr="00A32AF4">
              <w:rPr>
                <w:rFonts w:cs="Arial"/>
                <w:sz w:val="16"/>
                <w:szCs w:val="16"/>
                <w:lang w:eastAsia="fr-FR"/>
              </w:rPr>
              <w:t xml:space="preserve">303 </w:t>
            </w:r>
          </w:p>
        </w:tc>
        <w:tc>
          <w:tcPr>
            <w:tcW w:w="1440" w:type="dxa"/>
            <w:shd w:val="clear" w:color="auto" w:fill="auto"/>
            <w:tcMar>
              <w:top w:w="113" w:type="dxa"/>
              <w:bottom w:w="113" w:type="dxa"/>
            </w:tcMar>
            <w:vAlign w:val="center"/>
            <w:hideMark/>
          </w:tcPr>
          <w:p w:rsidR="009A24BE" w:rsidRPr="00A32AF4" w:rsidRDefault="009A24BE" w:rsidP="00DC0553">
            <w:pPr>
              <w:jc w:val="right"/>
              <w:rPr>
                <w:rFonts w:cs="Arial"/>
                <w:sz w:val="16"/>
                <w:szCs w:val="16"/>
                <w:lang w:eastAsia="fr-FR"/>
              </w:rPr>
            </w:pPr>
            <w:r w:rsidRPr="00A32AF4">
              <w:rPr>
                <w:rFonts w:cs="Arial"/>
                <w:sz w:val="16"/>
                <w:szCs w:val="16"/>
                <w:lang w:eastAsia="fr-FR"/>
              </w:rPr>
              <w:t xml:space="preserve">386 </w:t>
            </w:r>
          </w:p>
        </w:tc>
        <w:tc>
          <w:tcPr>
            <w:tcW w:w="1260" w:type="dxa"/>
            <w:shd w:val="clear" w:color="auto" w:fill="auto"/>
            <w:tcMar>
              <w:top w:w="113" w:type="dxa"/>
              <w:bottom w:w="113" w:type="dxa"/>
            </w:tcMar>
            <w:vAlign w:val="center"/>
            <w:hideMark/>
          </w:tcPr>
          <w:p w:rsidR="009A24BE" w:rsidRPr="00A32AF4" w:rsidRDefault="009A24BE" w:rsidP="00DC0553">
            <w:pPr>
              <w:jc w:val="right"/>
              <w:rPr>
                <w:rFonts w:cs="Arial"/>
                <w:sz w:val="16"/>
                <w:szCs w:val="16"/>
                <w:lang w:eastAsia="fr-FR"/>
              </w:rPr>
            </w:pPr>
            <w:r w:rsidRPr="00A32AF4">
              <w:rPr>
                <w:rFonts w:cs="Arial"/>
                <w:sz w:val="16"/>
                <w:szCs w:val="16"/>
                <w:lang w:eastAsia="fr-FR"/>
              </w:rPr>
              <w:t>–</w:t>
            </w:r>
          </w:p>
        </w:tc>
      </w:tr>
      <w:tr w:rsidR="009A24BE" w:rsidRPr="00A32AF4" w:rsidTr="009A24BE">
        <w:tc>
          <w:tcPr>
            <w:tcW w:w="592" w:type="dxa"/>
            <w:shd w:val="clear" w:color="auto" w:fill="auto"/>
            <w:noWrap/>
            <w:tcMar>
              <w:top w:w="113" w:type="dxa"/>
              <w:bottom w:w="113" w:type="dxa"/>
            </w:tcMar>
            <w:vAlign w:val="center"/>
            <w:hideMark/>
          </w:tcPr>
          <w:p w:rsidR="009A24BE" w:rsidRPr="00A32AF4" w:rsidRDefault="009A24BE" w:rsidP="00DC0553">
            <w:pPr>
              <w:rPr>
                <w:rFonts w:cs="Arial"/>
                <w:sz w:val="16"/>
                <w:szCs w:val="16"/>
                <w:lang w:eastAsia="fr-FR"/>
              </w:rPr>
            </w:pPr>
            <w:r w:rsidRPr="00A32AF4">
              <w:rPr>
                <w:rFonts w:cs="Arial"/>
                <w:sz w:val="16"/>
                <w:szCs w:val="16"/>
                <w:lang w:eastAsia="fr-FR"/>
              </w:rPr>
              <w:t>VI.1</w:t>
            </w:r>
          </w:p>
        </w:tc>
        <w:tc>
          <w:tcPr>
            <w:tcW w:w="4428" w:type="dxa"/>
            <w:shd w:val="clear" w:color="auto" w:fill="auto"/>
            <w:tcMar>
              <w:top w:w="113" w:type="dxa"/>
              <w:bottom w:w="113" w:type="dxa"/>
            </w:tcMar>
            <w:vAlign w:val="center"/>
            <w:hideMark/>
          </w:tcPr>
          <w:p w:rsidR="009A24BE" w:rsidRPr="00A32AF4" w:rsidRDefault="009A24BE" w:rsidP="00DC0553">
            <w:pPr>
              <w:rPr>
                <w:rFonts w:cs="Arial"/>
                <w:sz w:val="16"/>
                <w:szCs w:val="16"/>
                <w:lang w:eastAsia="fr-FR"/>
              </w:rPr>
            </w:pPr>
            <w:r w:rsidRPr="00A32AF4">
              <w:rPr>
                <w:rFonts w:cs="Arial"/>
                <w:sz w:val="16"/>
                <w:szCs w:val="16"/>
                <w:lang w:eastAsia="fr-FR"/>
              </w:rPr>
              <w:t>Progrès du dialogue international de politique générale entre les États membres de l</w:t>
            </w:r>
            <w:r w:rsidR="00E2055A" w:rsidRPr="00A32AF4">
              <w:rPr>
                <w:rFonts w:cs="Arial"/>
                <w:sz w:val="16"/>
                <w:szCs w:val="16"/>
                <w:lang w:eastAsia="fr-FR"/>
              </w:rPr>
              <w:t>’</w:t>
            </w:r>
            <w:r w:rsidRPr="00A32AF4">
              <w:rPr>
                <w:rFonts w:cs="Arial"/>
                <w:sz w:val="16"/>
                <w:szCs w:val="16"/>
                <w:lang w:eastAsia="fr-FR"/>
              </w:rPr>
              <w:t>OMPI en ce qui concerne la promotion du respect de la propriété intellectuelle, compte tenu de la recommandation n°</w:t>
            </w:r>
            <w:r w:rsidR="00FD43E3" w:rsidRPr="00A32AF4">
              <w:rPr>
                <w:rFonts w:cs="Arial"/>
                <w:sz w:val="16"/>
                <w:szCs w:val="16"/>
                <w:lang w:eastAsia="fr-FR"/>
              </w:rPr>
              <w:t> </w:t>
            </w:r>
            <w:r w:rsidRPr="00A32AF4">
              <w:rPr>
                <w:rFonts w:cs="Arial"/>
                <w:sz w:val="16"/>
                <w:szCs w:val="16"/>
                <w:lang w:eastAsia="fr-FR"/>
              </w:rPr>
              <w:t>45 du Plan d</w:t>
            </w:r>
            <w:r w:rsidR="00E2055A" w:rsidRPr="00A32AF4">
              <w:rPr>
                <w:rFonts w:cs="Arial"/>
                <w:sz w:val="16"/>
                <w:szCs w:val="16"/>
                <w:lang w:eastAsia="fr-FR"/>
              </w:rPr>
              <w:t>’</w:t>
            </w:r>
            <w:r w:rsidRPr="00A32AF4">
              <w:rPr>
                <w:rFonts w:cs="Arial"/>
                <w:sz w:val="16"/>
                <w:szCs w:val="16"/>
                <w:lang w:eastAsia="fr-FR"/>
              </w:rPr>
              <w:t>action pour le développement</w:t>
            </w:r>
          </w:p>
        </w:tc>
        <w:tc>
          <w:tcPr>
            <w:tcW w:w="1260" w:type="dxa"/>
            <w:shd w:val="clear" w:color="auto" w:fill="auto"/>
            <w:tcMar>
              <w:top w:w="113" w:type="dxa"/>
              <w:bottom w:w="113" w:type="dxa"/>
            </w:tcMar>
            <w:vAlign w:val="center"/>
            <w:hideMark/>
          </w:tcPr>
          <w:p w:rsidR="009A24BE" w:rsidRPr="00A32AF4" w:rsidRDefault="009A24BE" w:rsidP="00DC0553">
            <w:pPr>
              <w:jc w:val="right"/>
              <w:rPr>
                <w:rFonts w:cs="Arial"/>
                <w:sz w:val="16"/>
                <w:szCs w:val="16"/>
                <w:lang w:eastAsia="fr-FR"/>
              </w:rPr>
            </w:pPr>
            <w:r w:rsidRPr="00A32AF4">
              <w:rPr>
                <w:rFonts w:cs="Arial"/>
                <w:sz w:val="16"/>
                <w:szCs w:val="16"/>
                <w:lang w:eastAsia="fr-FR"/>
              </w:rPr>
              <w:t>–</w:t>
            </w:r>
          </w:p>
        </w:tc>
        <w:tc>
          <w:tcPr>
            <w:tcW w:w="1440" w:type="dxa"/>
            <w:shd w:val="clear" w:color="auto" w:fill="auto"/>
            <w:tcMar>
              <w:top w:w="113" w:type="dxa"/>
              <w:bottom w:w="113" w:type="dxa"/>
            </w:tcMar>
            <w:vAlign w:val="center"/>
            <w:hideMark/>
          </w:tcPr>
          <w:p w:rsidR="009A24BE" w:rsidRPr="00A32AF4" w:rsidRDefault="009A24BE" w:rsidP="00DC0553">
            <w:pPr>
              <w:jc w:val="right"/>
              <w:rPr>
                <w:rFonts w:cs="Arial"/>
                <w:sz w:val="16"/>
                <w:szCs w:val="16"/>
                <w:lang w:eastAsia="fr-FR"/>
              </w:rPr>
            </w:pPr>
            <w:r w:rsidRPr="00A32AF4">
              <w:rPr>
                <w:rFonts w:cs="Arial"/>
                <w:sz w:val="16"/>
                <w:szCs w:val="16"/>
                <w:lang w:eastAsia="fr-FR"/>
              </w:rPr>
              <w:t xml:space="preserve">222 </w:t>
            </w:r>
          </w:p>
        </w:tc>
        <w:tc>
          <w:tcPr>
            <w:tcW w:w="1260" w:type="dxa"/>
            <w:shd w:val="clear" w:color="auto" w:fill="auto"/>
            <w:noWrap/>
            <w:tcMar>
              <w:top w:w="113" w:type="dxa"/>
              <w:bottom w:w="113" w:type="dxa"/>
            </w:tcMar>
            <w:vAlign w:val="center"/>
            <w:hideMark/>
          </w:tcPr>
          <w:p w:rsidR="009A24BE" w:rsidRPr="00A32AF4" w:rsidRDefault="009A24BE" w:rsidP="00DC0553">
            <w:pPr>
              <w:jc w:val="right"/>
              <w:rPr>
                <w:rFonts w:cs="Arial"/>
                <w:color w:val="000000"/>
                <w:sz w:val="16"/>
                <w:szCs w:val="16"/>
                <w:lang w:eastAsia="fr-FR"/>
              </w:rPr>
            </w:pPr>
            <w:r w:rsidRPr="00A32AF4">
              <w:rPr>
                <w:rFonts w:cs="Arial"/>
                <w:color w:val="000000"/>
                <w:sz w:val="16"/>
                <w:szCs w:val="16"/>
                <w:lang w:eastAsia="fr-FR"/>
              </w:rPr>
              <w:t xml:space="preserve">187 </w:t>
            </w:r>
          </w:p>
        </w:tc>
      </w:tr>
      <w:tr w:rsidR="009A24BE" w:rsidRPr="00A32AF4" w:rsidTr="009A24BE">
        <w:tc>
          <w:tcPr>
            <w:tcW w:w="592" w:type="dxa"/>
            <w:shd w:val="clear" w:color="auto" w:fill="auto"/>
            <w:noWrap/>
            <w:tcMar>
              <w:top w:w="113" w:type="dxa"/>
              <w:bottom w:w="113" w:type="dxa"/>
            </w:tcMar>
            <w:vAlign w:val="center"/>
            <w:hideMark/>
          </w:tcPr>
          <w:p w:rsidR="009A24BE" w:rsidRPr="00A32AF4" w:rsidRDefault="009A24BE" w:rsidP="00DC0553">
            <w:pPr>
              <w:rPr>
                <w:rFonts w:cs="Arial"/>
                <w:sz w:val="16"/>
                <w:szCs w:val="16"/>
                <w:lang w:eastAsia="fr-FR"/>
              </w:rPr>
            </w:pPr>
            <w:r w:rsidRPr="00A32AF4">
              <w:rPr>
                <w:rFonts w:cs="Arial"/>
                <w:sz w:val="16"/>
                <w:szCs w:val="16"/>
                <w:lang w:eastAsia="fr-FR"/>
              </w:rPr>
              <w:t>VI.2</w:t>
            </w:r>
          </w:p>
        </w:tc>
        <w:tc>
          <w:tcPr>
            <w:tcW w:w="4428" w:type="dxa"/>
            <w:shd w:val="clear" w:color="auto" w:fill="auto"/>
            <w:tcMar>
              <w:top w:w="113" w:type="dxa"/>
              <w:bottom w:w="113" w:type="dxa"/>
            </w:tcMar>
            <w:vAlign w:val="center"/>
            <w:hideMark/>
          </w:tcPr>
          <w:p w:rsidR="009A24BE" w:rsidRPr="00A32AF4" w:rsidRDefault="009A24BE" w:rsidP="00DC0553">
            <w:pPr>
              <w:rPr>
                <w:rFonts w:cs="Arial"/>
                <w:sz w:val="16"/>
                <w:szCs w:val="16"/>
                <w:lang w:eastAsia="fr-FR"/>
              </w:rPr>
            </w:pPr>
            <w:r w:rsidRPr="00A32AF4">
              <w:rPr>
                <w:rFonts w:cs="Arial"/>
                <w:sz w:val="16"/>
                <w:szCs w:val="16"/>
                <w:lang w:eastAsia="fr-FR"/>
              </w:rPr>
              <w:t>Coopération et coordination systématiques, efficaces et transparentes entre les travaux de l</w:t>
            </w:r>
            <w:r w:rsidR="00E2055A" w:rsidRPr="00A32AF4">
              <w:rPr>
                <w:rFonts w:cs="Arial"/>
                <w:sz w:val="16"/>
                <w:szCs w:val="16"/>
                <w:lang w:eastAsia="fr-FR"/>
              </w:rPr>
              <w:t>’</w:t>
            </w:r>
            <w:r w:rsidRPr="00A32AF4">
              <w:rPr>
                <w:rFonts w:cs="Arial"/>
                <w:sz w:val="16"/>
                <w:szCs w:val="16"/>
                <w:lang w:eastAsia="fr-FR"/>
              </w:rPr>
              <w:t>OMPI et ceux d</w:t>
            </w:r>
            <w:r w:rsidR="00E2055A" w:rsidRPr="00A32AF4">
              <w:rPr>
                <w:rFonts w:cs="Arial"/>
                <w:sz w:val="16"/>
                <w:szCs w:val="16"/>
                <w:lang w:eastAsia="fr-FR"/>
              </w:rPr>
              <w:t>’</w:t>
            </w:r>
            <w:r w:rsidRPr="00A32AF4">
              <w:rPr>
                <w:rFonts w:cs="Arial"/>
                <w:sz w:val="16"/>
                <w:szCs w:val="16"/>
                <w:lang w:eastAsia="fr-FR"/>
              </w:rPr>
              <w:t>autres organisations internationales dans le domaine de la promotion du respect de la propriété intellectuelle</w:t>
            </w:r>
          </w:p>
        </w:tc>
        <w:tc>
          <w:tcPr>
            <w:tcW w:w="1260" w:type="dxa"/>
            <w:shd w:val="clear" w:color="auto" w:fill="auto"/>
            <w:tcMar>
              <w:top w:w="113" w:type="dxa"/>
              <w:bottom w:w="113" w:type="dxa"/>
            </w:tcMar>
            <w:vAlign w:val="center"/>
            <w:hideMark/>
          </w:tcPr>
          <w:p w:rsidR="009A24BE" w:rsidRPr="00A32AF4" w:rsidRDefault="009A24BE" w:rsidP="00DC0553">
            <w:pPr>
              <w:jc w:val="right"/>
              <w:rPr>
                <w:rFonts w:cs="Arial"/>
                <w:sz w:val="16"/>
                <w:szCs w:val="16"/>
                <w:lang w:eastAsia="fr-FR"/>
              </w:rPr>
            </w:pPr>
            <w:r w:rsidRPr="00A32AF4">
              <w:rPr>
                <w:rFonts w:cs="Arial"/>
                <w:sz w:val="16"/>
                <w:szCs w:val="16"/>
                <w:lang w:eastAsia="fr-FR"/>
              </w:rPr>
              <w:t>–</w:t>
            </w:r>
          </w:p>
        </w:tc>
        <w:tc>
          <w:tcPr>
            <w:tcW w:w="1440" w:type="dxa"/>
            <w:shd w:val="clear" w:color="auto" w:fill="auto"/>
            <w:tcMar>
              <w:top w:w="113" w:type="dxa"/>
              <w:bottom w:w="113" w:type="dxa"/>
            </w:tcMar>
            <w:vAlign w:val="center"/>
            <w:hideMark/>
          </w:tcPr>
          <w:p w:rsidR="009A24BE" w:rsidRPr="00A32AF4" w:rsidRDefault="009A24BE" w:rsidP="00DC0553">
            <w:pPr>
              <w:jc w:val="right"/>
              <w:rPr>
                <w:rFonts w:cs="Arial"/>
                <w:sz w:val="16"/>
                <w:szCs w:val="16"/>
                <w:lang w:eastAsia="fr-FR"/>
              </w:rPr>
            </w:pPr>
            <w:r w:rsidRPr="00A32AF4">
              <w:rPr>
                <w:rFonts w:cs="Arial"/>
                <w:sz w:val="16"/>
                <w:szCs w:val="16"/>
                <w:lang w:eastAsia="fr-FR"/>
              </w:rPr>
              <w:t xml:space="preserve">222 </w:t>
            </w:r>
          </w:p>
        </w:tc>
        <w:tc>
          <w:tcPr>
            <w:tcW w:w="1260" w:type="dxa"/>
            <w:shd w:val="clear" w:color="auto" w:fill="auto"/>
            <w:noWrap/>
            <w:tcMar>
              <w:top w:w="113" w:type="dxa"/>
              <w:bottom w:w="113" w:type="dxa"/>
            </w:tcMar>
            <w:vAlign w:val="center"/>
            <w:hideMark/>
          </w:tcPr>
          <w:p w:rsidR="009A24BE" w:rsidRPr="00A32AF4" w:rsidRDefault="009A24BE" w:rsidP="00DC0553">
            <w:pPr>
              <w:jc w:val="right"/>
              <w:rPr>
                <w:rFonts w:cs="Arial"/>
                <w:color w:val="000000"/>
                <w:sz w:val="16"/>
                <w:szCs w:val="16"/>
                <w:lang w:eastAsia="fr-FR"/>
              </w:rPr>
            </w:pPr>
            <w:r w:rsidRPr="00A32AF4">
              <w:rPr>
                <w:rFonts w:cs="Arial"/>
                <w:color w:val="000000"/>
                <w:sz w:val="16"/>
                <w:szCs w:val="16"/>
                <w:lang w:eastAsia="fr-FR"/>
              </w:rPr>
              <w:t xml:space="preserve">197 </w:t>
            </w:r>
          </w:p>
        </w:tc>
      </w:tr>
      <w:tr w:rsidR="009A24BE" w:rsidRPr="00A32AF4" w:rsidTr="009A24BE">
        <w:tc>
          <w:tcPr>
            <w:tcW w:w="592" w:type="dxa"/>
            <w:shd w:val="clear" w:color="auto" w:fill="auto"/>
            <w:noWrap/>
            <w:tcMar>
              <w:top w:w="113" w:type="dxa"/>
              <w:bottom w:w="113" w:type="dxa"/>
            </w:tcMar>
            <w:vAlign w:val="center"/>
            <w:hideMark/>
          </w:tcPr>
          <w:p w:rsidR="009A24BE" w:rsidRPr="00A32AF4" w:rsidRDefault="009A24BE" w:rsidP="00DC0553">
            <w:pPr>
              <w:rPr>
                <w:rFonts w:cs="Arial"/>
                <w:sz w:val="16"/>
                <w:szCs w:val="16"/>
                <w:lang w:eastAsia="fr-FR"/>
              </w:rPr>
            </w:pPr>
            <w:r w:rsidRPr="00A32AF4">
              <w:rPr>
                <w:rFonts w:cs="Arial"/>
                <w:sz w:val="16"/>
                <w:szCs w:val="16"/>
                <w:lang w:eastAsia="fr-FR"/>
              </w:rPr>
              <w:t>VII.2</w:t>
            </w:r>
          </w:p>
        </w:tc>
        <w:tc>
          <w:tcPr>
            <w:tcW w:w="4428" w:type="dxa"/>
            <w:shd w:val="clear" w:color="auto" w:fill="auto"/>
            <w:tcMar>
              <w:top w:w="113" w:type="dxa"/>
              <w:bottom w:w="113" w:type="dxa"/>
            </w:tcMar>
            <w:vAlign w:val="center"/>
            <w:hideMark/>
          </w:tcPr>
          <w:p w:rsidR="009A24BE" w:rsidRPr="00A32AF4" w:rsidRDefault="009A24BE" w:rsidP="00DC0553">
            <w:pPr>
              <w:rPr>
                <w:rFonts w:cs="Arial"/>
                <w:sz w:val="16"/>
                <w:szCs w:val="16"/>
                <w:lang w:eastAsia="fr-FR"/>
              </w:rPr>
            </w:pPr>
            <w:r w:rsidRPr="00A32AF4">
              <w:rPr>
                <w:rFonts w:cs="Arial"/>
                <w:sz w:val="16"/>
                <w:szCs w:val="16"/>
                <w:lang w:eastAsia="fr-FR"/>
              </w:rPr>
              <w:t>Plates</w:t>
            </w:r>
            <w:r w:rsidR="00EB7F54" w:rsidRPr="00A32AF4">
              <w:rPr>
                <w:rFonts w:cs="Arial"/>
                <w:sz w:val="16"/>
                <w:szCs w:val="16"/>
                <w:lang w:eastAsia="fr-FR"/>
              </w:rPr>
              <w:noBreakHyphen/>
            </w:r>
            <w:r w:rsidRPr="00A32AF4">
              <w:rPr>
                <w:rFonts w:cs="Arial"/>
                <w:sz w:val="16"/>
                <w:szCs w:val="16"/>
                <w:lang w:eastAsia="fr-FR"/>
              </w:rPr>
              <w:t>formes et instruments fondés sur la propriété intellectuelle pour le transfert de connaissances et l</w:t>
            </w:r>
            <w:r w:rsidR="00E2055A" w:rsidRPr="00A32AF4">
              <w:rPr>
                <w:rFonts w:cs="Arial"/>
                <w:sz w:val="16"/>
                <w:szCs w:val="16"/>
                <w:lang w:eastAsia="fr-FR"/>
              </w:rPr>
              <w:t>’</w:t>
            </w:r>
            <w:r w:rsidRPr="00A32AF4">
              <w:rPr>
                <w:rFonts w:cs="Arial"/>
                <w:sz w:val="16"/>
                <w:szCs w:val="16"/>
                <w:lang w:eastAsia="fr-FR"/>
              </w:rPr>
              <w:t>adaptation et la diffusion de la technologie entre les pays développés et les pays en développement, notamment</w:t>
            </w:r>
            <w:r w:rsidR="00E2055A" w:rsidRPr="00A32AF4">
              <w:rPr>
                <w:rFonts w:cs="Arial"/>
                <w:sz w:val="16"/>
                <w:szCs w:val="16"/>
                <w:lang w:eastAsia="fr-FR"/>
              </w:rPr>
              <w:t xml:space="preserve"> les PMA</w:t>
            </w:r>
            <w:r w:rsidRPr="00A32AF4">
              <w:rPr>
                <w:rFonts w:cs="Arial"/>
                <w:sz w:val="16"/>
                <w:szCs w:val="16"/>
                <w:lang w:eastAsia="fr-FR"/>
              </w:rPr>
              <w:t>, pour relever des défis mondiaux</w:t>
            </w:r>
          </w:p>
        </w:tc>
        <w:tc>
          <w:tcPr>
            <w:tcW w:w="1260" w:type="dxa"/>
            <w:shd w:val="clear" w:color="auto" w:fill="auto"/>
            <w:tcMar>
              <w:top w:w="113" w:type="dxa"/>
              <w:bottom w:w="113" w:type="dxa"/>
            </w:tcMar>
            <w:vAlign w:val="center"/>
            <w:hideMark/>
          </w:tcPr>
          <w:p w:rsidR="009A24BE" w:rsidRPr="00A32AF4" w:rsidRDefault="009A24BE" w:rsidP="00DC0553">
            <w:pPr>
              <w:jc w:val="right"/>
              <w:rPr>
                <w:rFonts w:cs="Arial"/>
                <w:sz w:val="16"/>
                <w:szCs w:val="16"/>
                <w:lang w:eastAsia="fr-FR"/>
              </w:rPr>
            </w:pPr>
            <w:r w:rsidRPr="00A32AF4">
              <w:rPr>
                <w:rFonts w:cs="Arial"/>
                <w:sz w:val="16"/>
                <w:szCs w:val="16"/>
                <w:lang w:eastAsia="fr-FR"/>
              </w:rPr>
              <w:t xml:space="preserve">4 097 </w:t>
            </w:r>
          </w:p>
        </w:tc>
        <w:tc>
          <w:tcPr>
            <w:tcW w:w="1440" w:type="dxa"/>
            <w:shd w:val="clear" w:color="auto" w:fill="auto"/>
            <w:noWrap/>
            <w:tcMar>
              <w:top w:w="113" w:type="dxa"/>
              <w:bottom w:w="113" w:type="dxa"/>
            </w:tcMar>
            <w:vAlign w:val="center"/>
            <w:hideMark/>
          </w:tcPr>
          <w:p w:rsidR="009A24BE" w:rsidRPr="00A32AF4" w:rsidRDefault="009A24BE" w:rsidP="00DC0553">
            <w:pPr>
              <w:jc w:val="right"/>
              <w:rPr>
                <w:rFonts w:cs="Arial"/>
                <w:sz w:val="16"/>
                <w:szCs w:val="16"/>
                <w:lang w:eastAsia="fr-FR"/>
              </w:rPr>
            </w:pPr>
            <w:r w:rsidRPr="00A32AF4">
              <w:rPr>
                <w:rFonts w:cs="Arial"/>
                <w:sz w:val="16"/>
                <w:szCs w:val="16"/>
                <w:lang w:eastAsia="fr-FR"/>
              </w:rPr>
              <w:t xml:space="preserve">3 161 </w:t>
            </w:r>
          </w:p>
        </w:tc>
        <w:tc>
          <w:tcPr>
            <w:tcW w:w="1260" w:type="dxa"/>
            <w:shd w:val="clear" w:color="auto" w:fill="auto"/>
            <w:noWrap/>
            <w:tcMar>
              <w:top w:w="113" w:type="dxa"/>
              <w:bottom w:w="113" w:type="dxa"/>
            </w:tcMar>
            <w:vAlign w:val="center"/>
            <w:hideMark/>
          </w:tcPr>
          <w:p w:rsidR="009A24BE" w:rsidRPr="00A32AF4" w:rsidRDefault="009A24BE" w:rsidP="00DC0553">
            <w:pPr>
              <w:jc w:val="right"/>
              <w:rPr>
                <w:rFonts w:cs="Arial"/>
                <w:color w:val="000000"/>
                <w:sz w:val="16"/>
                <w:szCs w:val="16"/>
                <w:lang w:eastAsia="fr-FR"/>
              </w:rPr>
            </w:pPr>
            <w:r w:rsidRPr="00A32AF4">
              <w:rPr>
                <w:rFonts w:cs="Arial"/>
                <w:color w:val="000000"/>
                <w:sz w:val="16"/>
                <w:szCs w:val="16"/>
                <w:lang w:eastAsia="fr-FR"/>
              </w:rPr>
              <w:t xml:space="preserve">3 497 </w:t>
            </w:r>
          </w:p>
        </w:tc>
      </w:tr>
      <w:tr w:rsidR="009A24BE" w:rsidRPr="00A32AF4" w:rsidTr="009A24BE">
        <w:tc>
          <w:tcPr>
            <w:tcW w:w="592" w:type="dxa"/>
            <w:shd w:val="clear" w:color="auto" w:fill="auto"/>
            <w:noWrap/>
            <w:tcMar>
              <w:top w:w="113" w:type="dxa"/>
              <w:bottom w:w="113" w:type="dxa"/>
            </w:tcMar>
            <w:vAlign w:val="center"/>
            <w:hideMark/>
          </w:tcPr>
          <w:p w:rsidR="009A24BE" w:rsidRPr="00A32AF4" w:rsidRDefault="009A24BE" w:rsidP="00DC0553">
            <w:pPr>
              <w:rPr>
                <w:rFonts w:cs="Arial"/>
                <w:sz w:val="16"/>
                <w:szCs w:val="16"/>
                <w:lang w:eastAsia="fr-FR"/>
              </w:rPr>
            </w:pPr>
            <w:r w:rsidRPr="00A32AF4">
              <w:rPr>
                <w:rFonts w:cs="Arial"/>
                <w:sz w:val="16"/>
                <w:szCs w:val="16"/>
                <w:lang w:eastAsia="fr-FR"/>
              </w:rPr>
              <w:t>VII.3</w:t>
            </w:r>
          </w:p>
        </w:tc>
        <w:tc>
          <w:tcPr>
            <w:tcW w:w="4428" w:type="dxa"/>
            <w:shd w:val="clear" w:color="auto" w:fill="auto"/>
            <w:tcMar>
              <w:top w:w="113" w:type="dxa"/>
              <w:bottom w:w="113" w:type="dxa"/>
            </w:tcMar>
            <w:vAlign w:val="center"/>
            <w:hideMark/>
          </w:tcPr>
          <w:p w:rsidR="009A24BE" w:rsidRPr="00A32AF4" w:rsidRDefault="009A24BE" w:rsidP="00DC0553">
            <w:pPr>
              <w:rPr>
                <w:rFonts w:cs="Arial"/>
                <w:sz w:val="16"/>
                <w:szCs w:val="16"/>
                <w:lang w:eastAsia="fr-FR"/>
              </w:rPr>
            </w:pPr>
            <w:r w:rsidRPr="00A32AF4">
              <w:rPr>
                <w:rFonts w:cs="Arial"/>
                <w:sz w:val="16"/>
                <w:szCs w:val="16"/>
                <w:lang w:eastAsia="fr-FR"/>
              </w:rPr>
              <w:t>Crédibilité croissante de l</w:t>
            </w:r>
            <w:r w:rsidR="00E2055A" w:rsidRPr="00A32AF4">
              <w:rPr>
                <w:rFonts w:cs="Arial"/>
                <w:sz w:val="16"/>
                <w:szCs w:val="16"/>
                <w:lang w:eastAsia="fr-FR"/>
              </w:rPr>
              <w:t>’</w:t>
            </w:r>
            <w:r w:rsidRPr="00A32AF4">
              <w:rPr>
                <w:rFonts w:cs="Arial"/>
                <w:sz w:val="16"/>
                <w:szCs w:val="16"/>
                <w:lang w:eastAsia="fr-FR"/>
              </w:rPr>
              <w:t>OMPI en tant qu</w:t>
            </w:r>
            <w:r w:rsidR="00E2055A" w:rsidRPr="00A32AF4">
              <w:rPr>
                <w:rFonts w:cs="Arial"/>
                <w:sz w:val="16"/>
                <w:szCs w:val="16"/>
                <w:lang w:eastAsia="fr-FR"/>
              </w:rPr>
              <w:t>’</w:t>
            </w:r>
            <w:r w:rsidRPr="00A32AF4">
              <w:rPr>
                <w:rFonts w:cs="Arial"/>
                <w:sz w:val="16"/>
                <w:szCs w:val="16"/>
                <w:lang w:eastAsia="fr-FR"/>
              </w:rPr>
              <w:t>instance d</w:t>
            </w:r>
            <w:r w:rsidR="00E2055A" w:rsidRPr="00A32AF4">
              <w:rPr>
                <w:rFonts w:cs="Arial"/>
                <w:sz w:val="16"/>
                <w:szCs w:val="16"/>
                <w:lang w:eastAsia="fr-FR"/>
              </w:rPr>
              <w:t>’</w:t>
            </w:r>
            <w:r w:rsidRPr="00A32AF4">
              <w:rPr>
                <w:rFonts w:cs="Arial"/>
                <w:sz w:val="16"/>
                <w:szCs w:val="16"/>
                <w:lang w:eastAsia="fr-FR"/>
              </w:rPr>
              <w:t>analyse des questions relatives à la propriété intellectuelle et à la politique en matière de concurrence</w:t>
            </w:r>
          </w:p>
        </w:tc>
        <w:tc>
          <w:tcPr>
            <w:tcW w:w="1260" w:type="dxa"/>
            <w:shd w:val="clear" w:color="auto" w:fill="auto"/>
            <w:tcMar>
              <w:top w:w="113" w:type="dxa"/>
              <w:bottom w:w="113" w:type="dxa"/>
            </w:tcMar>
            <w:vAlign w:val="center"/>
            <w:hideMark/>
          </w:tcPr>
          <w:p w:rsidR="009A24BE" w:rsidRPr="00A32AF4" w:rsidRDefault="009A24BE" w:rsidP="00DC0553">
            <w:pPr>
              <w:jc w:val="right"/>
              <w:rPr>
                <w:rFonts w:cs="Arial"/>
                <w:sz w:val="16"/>
                <w:szCs w:val="16"/>
                <w:lang w:eastAsia="fr-FR"/>
              </w:rPr>
            </w:pPr>
            <w:r w:rsidRPr="00A32AF4">
              <w:rPr>
                <w:rFonts w:cs="Arial"/>
                <w:sz w:val="16"/>
                <w:szCs w:val="16"/>
                <w:lang w:eastAsia="fr-FR"/>
              </w:rPr>
              <w:t xml:space="preserve">2 032 </w:t>
            </w:r>
          </w:p>
        </w:tc>
        <w:tc>
          <w:tcPr>
            <w:tcW w:w="1440" w:type="dxa"/>
            <w:shd w:val="clear" w:color="auto" w:fill="auto"/>
            <w:noWrap/>
            <w:tcMar>
              <w:top w:w="113" w:type="dxa"/>
              <w:bottom w:w="113" w:type="dxa"/>
            </w:tcMar>
            <w:vAlign w:val="center"/>
            <w:hideMark/>
          </w:tcPr>
          <w:p w:rsidR="009A24BE" w:rsidRPr="00A32AF4" w:rsidRDefault="009A24BE" w:rsidP="00DC0553">
            <w:pPr>
              <w:jc w:val="right"/>
              <w:rPr>
                <w:rFonts w:cs="Arial"/>
                <w:sz w:val="16"/>
                <w:szCs w:val="16"/>
                <w:lang w:eastAsia="fr-FR"/>
              </w:rPr>
            </w:pPr>
            <w:r w:rsidRPr="00A32AF4">
              <w:rPr>
                <w:rFonts w:cs="Arial"/>
                <w:sz w:val="16"/>
                <w:szCs w:val="16"/>
                <w:lang w:eastAsia="fr-FR"/>
              </w:rPr>
              <w:t xml:space="preserve">1 813 </w:t>
            </w:r>
          </w:p>
        </w:tc>
        <w:tc>
          <w:tcPr>
            <w:tcW w:w="1260" w:type="dxa"/>
            <w:shd w:val="clear" w:color="auto" w:fill="auto"/>
            <w:tcMar>
              <w:top w:w="113" w:type="dxa"/>
              <w:bottom w:w="113" w:type="dxa"/>
            </w:tcMar>
            <w:vAlign w:val="center"/>
            <w:hideMark/>
          </w:tcPr>
          <w:p w:rsidR="009A24BE" w:rsidRPr="00A32AF4" w:rsidRDefault="009A24BE" w:rsidP="00DC0553">
            <w:pPr>
              <w:jc w:val="right"/>
              <w:rPr>
                <w:rFonts w:cs="Arial"/>
                <w:sz w:val="16"/>
                <w:szCs w:val="16"/>
                <w:lang w:eastAsia="fr-FR"/>
              </w:rPr>
            </w:pPr>
            <w:r w:rsidRPr="00A32AF4">
              <w:rPr>
                <w:rFonts w:cs="Arial"/>
                <w:sz w:val="16"/>
                <w:szCs w:val="16"/>
                <w:lang w:eastAsia="fr-FR"/>
              </w:rPr>
              <w:t>–</w:t>
            </w:r>
          </w:p>
        </w:tc>
      </w:tr>
      <w:tr w:rsidR="009A24BE" w:rsidRPr="00A32AF4" w:rsidTr="009A24BE">
        <w:tc>
          <w:tcPr>
            <w:tcW w:w="592" w:type="dxa"/>
            <w:tcBorders>
              <w:bottom w:val="single" w:sz="4" w:space="0" w:color="auto"/>
            </w:tcBorders>
            <w:shd w:val="clear" w:color="auto" w:fill="auto"/>
            <w:noWrap/>
            <w:tcMar>
              <w:top w:w="113" w:type="dxa"/>
              <w:bottom w:w="113" w:type="dxa"/>
            </w:tcMar>
            <w:vAlign w:val="center"/>
            <w:hideMark/>
          </w:tcPr>
          <w:p w:rsidR="009A24BE" w:rsidRPr="00A32AF4" w:rsidRDefault="009A24BE" w:rsidP="00DC0553">
            <w:pPr>
              <w:rPr>
                <w:rFonts w:cs="Arial"/>
                <w:sz w:val="16"/>
                <w:szCs w:val="16"/>
                <w:lang w:eastAsia="fr-FR"/>
              </w:rPr>
            </w:pPr>
            <w:r w:rsidRPr="00A32AF4">
              <w:rPr>
                <w:rFonts w:cs="Arial"/>
                <w:sz w:val="16"/>
                <w:szCs w:val="16"/>
                <w:lang w:eastAsia="fr-FR"/>
              </w:rPr>
              <w:t>VIII.5</w:t>
            </w:r>
          </w:p>
        </w:tc>
        <w:tc>
          <w:tcPr>
            <w:tcW w:w="4428" w:type="dxa"/>
            <w:tcBorders>
              <w:bottom w:val="single" w:sz="4" w:space="0" w:color="auto"/>
            </w:tcBorders>
            <w:shd w:val="clear" w:color="auto" w:fill="auto"/>
            <w:tcMar>
              <w:top w:w="113" w:type="dxa"/>
              <w:bottom w:w="113" w:type="dxa"/>
            </w:tcMar>
            <w:vAlign w:val="center"/>
            <w:hideMark/>
          </w:tcPr>
          <w:p w:rsidR="009A24BE" w:rsidRPr="00A32AF4" w:rsidRDefault="009A24BE" w:rsidP="00DC0553">
            <w:pPr>
              <w:rPr>
                <w:rFonts w:cs="Arial"/>
                <w:sz w:val="16"/>
                <w:szCs w:val="16"/>
                <w:lang w:eastAsia="fr-FR"/>
              </w:rPr>
            </w:pPr>
            <w:r w:rsidRPr="00A32AF4">
              <w:rPr>
                <w:rFonts w:cs="Arial"/>
                <w:sz w:val="16"/>
                <w:szCs w:val="16"/>
                <w:lang w:eastAsia="fr-FR"/>
              </w:rPr>
              <w:t>L</w:t>
            </w:r>
            <w:r w:rsidR="00E2055A" w:rsidRPr="00A32AF4">
              <w:rPr>
                <w:rFonts w:cs="Arial"/>
                <w:sz w:val="16"/>
                <w:szCs w:val="16"/>
                <w:lang w:eastAsia="fr-FR"/>
              </w:rPr>
              <w:t>’</w:t>
            </w:r>
            <w:r w:rsidRPr="00A32AF4">
              <w:rPr>
                <w:rFonts w:cs="Arial"/>
                <w:sz w:val="16"/>
                <w:szCs w:val="16"/>
                <w:lang w:eastAsia="fr-FR"/>
              </w:rPr>
              <w:t>OMPI collabore efficacement avec d</w:t>
            </w:r>
            <w:r w:rsidR="00E2055A" w:rsidRPr="00A32AF4">
              <w:rPr>
                <w:rFonts w:cs="Arial"/>
                <w:sz w:val="16"/>
                <w:szCs w:val="16"/>
                <w:lang w:eastAsia="fr-FR"/>
              </w:rPr>
              <w:t>’</w:t>
            </w:r>
            <w:r w:rsidRPr="00A32AF4">
              <w:rPr>
                <w:rFonts w:cs="Arial"/>
                <w:sz w:val="16"/>
                <w:szCs w:val="16"/>
                <w:lang w:eastAsia="fr-FR"/>
              </w:rPr>
              <w:t>autres processus et instances de négociation de l</w:t>
            </w:r>
            <w:r w:rsidR="00E2055A" w:rsidRPr="00A32AF4">
              <w:rPr>
                <w:rFonts w:cs="Arial"/>
                <w:sz w:val="16"/>
                <w:szCs w:val="16"/>
                <w:lang w:eastAsia="fr-FR"/>
              </w:rPr>
              <w:t>’</w:t>
            </w:r>
            <w:r w:rsidRPr="00A32AF4">
              <w:rPr>
                <w:rFonts w:cs="Arial"/>
                <w:sz w:val="16"/>
                <w:szCs w:val="16"/>
                <w:lang w:eastAsia="fr-FR"/>
              </w:rPr>
              <w:t>ONU et d</w:t>
            </w:r>
            <w:r w:rsidR="00E2055A" w:rsidRPr="00A32AF4">
              <w:rPr>
                <w:rFonts w:cs="Arial"/>
                <w:sz w:val="16"/>
                <w:szCs w:val="16"/>
                <w:lang w:eastAsia="fr-FR"/>
              </w:rPr>
              <w:t>’</w:t>
            </w:r>
            <w:r w:rsidRPr="00A32AF4">
              <w:rPr>
                <w:rFonts w:cs="Arial"/>
                <w:sz w:val="16"/>
                <w:szCs w:val="16"/>
                <w:lang w:eastAsia="fr-FR"/>
              </w:rPr>
              <w:t>autres organisations intergouvernementales</w:t>
            </w:r>
          </w:p>
        </w:tc>
        <w:tc>
          <w:tcPr>
            <w:tcW w:w="1260" w:type="dxa"/>
            <w:tcBorders>
              <w:bottom w:val="single" w:sz="4" w:space="0" w:color="auto"/>
            </w:tcBorders>
            <w:shd w:val="clear" w:color="auto" w:fill="auto"/>
            <w:tcMar>
              <w:top w:w="113" w:type="dxa"/>
              <w:bottom w:w="113" w:type="dxa"/>
            </w:tcMar>
            <w:vAlign w:val="center"/>
            <w:hideMark/>
          </w:tcPr>
          <w:p w:rsidR="009A24BE" w:rsidRPr="00A32AF4" w:rsidRDefault="009A24BE" w:rsidP="00DC0553">
            <w:pPr>
              <w:jc w:val="right"/>
              <w:rPr>
                <w:rFonts w:cs="Arial"/>
                <w:sz w:val="16"/>
                <w:szCs w:val="16"/>
                <w:lang w:eastAsia="fr-FR"/>
              </w:rPr>
            </w:pPr>
            <w:r w:rsidRPr="00A32AF4">
              <w:rPr>
                <w:rFonts w:cs="Arial"/>
                <w:sz w:val="16"/>
                <w:szCs w:val="16"/>
                <w:lang w:eastAsia="fr-FR"/>
              </w:rPr>
              <w:t>–</w:t>
            </w:r>
          </w:p>
        </w:tc>
        <w:tc>
          <w:tcPr>
            <w:tcW w:w="1440" w:type="dxa"/>
            <w:tcBorders>
              <w:bottom w:val="single" w:sz="4" w:space="0" w:color="auto"/>
            </w:tcBorders>
            <w:shd w:val="clear" w:color="auto" w:fill="auto"/>
            <w:noWrap/>
            <w:tcMar>
              <w:top w:w="113" w:type="dxa"/>
              <w:bottom w:w="113" w:type="dxa"/>
            </w:tcMar>
            <w:vAlign w:val="center"/>
            <w:hideMark/>
          </w:tcPr>
          <w:p w:rsidR="009A24BE" w:rsidRPr="00A32AF4" w:rsidRDefault="009A24BE" w:rsidP="00DC0553">
            <w:pPr>
              <w:jc w:val="right"/>
              <w:rPr>
                <w:rFonts w:cs="Arial"/>
                <w:sz w:val="16"/>
                <w:szCs w:val="16"/>
                <w:lang w:eastAsia="fr-FR"/>
              </w:rPr>
            </w:pPr>
            <w:r w:rsidRPr="00A32AF4">
              <w:rPr>
                <w:rFonts w:cs="Arial"/>
                <w:sz w:val="16"/>
                <w:szCs w:val="16"/>
                <w:lang w:eastAsia="fr-FR"/>
              </w:rPr>
              <w:t xml:space="preserve">229 </w:t>
            </w:r>
          </w:p>
        </w:tc>
        <w:tc>
          <w:tcPr>
            <w:tcW w:w="1260" w:type="dxa"/>
            <w:tcBorders>
              <w:bottom w:val="single" w:sz="4" w:space="0" w:color="auto"/>
            </w:tcBorders>
            <w:shd w:val="clear" w:color="auto" w:fill="auto"/>
            <w:noWrap/>
            <w:tcMar>
              <w:top w:w="113" w:type="dxa"/>
              <w:bottom w:w="113" w:type="dxa"/>
            </w:tcMar>
            <w:vAlign w:val="center"/>
            <w:hideMark/>
          </w:tcPr>
          <w:p w:rsidR="009A24BE" w:rsidRPr="00A32AF4" w:rsidRDefault="009A24BE" w:rsidP="00DC0553">
            <w:pPr>
              <w:jc w:val="right"/>
              <w:rPr>
                <w:rFonts w:cs="Arial"/>
                <w:color w:val="000000"/>
                <w:sz w:val="16"/>
                <w:szCs w:val="16"/>
                <w:lang w:eastAsia="fr-FR"/>
              </w:rPr>
            </w:pPr>
            <w:r w:rsidRPr="00A32AF4">
              <w:rPr>
                <w:rFonts w:cs="Arial"/>
                <w:color w:val="000000"/>
                <w:sz w:val="16"/>
                <w:szCs w:val="16"/>
                <w:lang w:eastAsia="fr-FR"/>
              </w:rPr>
              <w:t xml:space="preserve">410 </w:t>
            </w:r>
          </w:p>
        </w:tc>
      </w:tr>
      <w:tr w:rsidR="009A24BE" w:rsidRPr="00A32AF4" w:rsidTr="009A24BE">
        <w:tc>
          <w:tcPr>
            <w:tcW w:w="592" w:type="dxa"/>
            <w:tcBorders>
              <w:top w:val="single" w:sz="4" w:space="0" w:color="auto"/>
              <w:bottom w:val="single" w:sz="4" w:space="0" w:color="auto"/>
            </w:tcBorders>
            <w:shd w:val="clear" w:color="000000" w:fill="C5D9F1"/>
            <w:noWrap/>
            <w:tcMar>
              <w:top w:w="113" w:type="dxa"/>
              <w:bottom w:w="113" w:type="dxa"/>
            </w:tcMar>
            <w:vAlign w:val="bottom"/>
            <w:hideMark/>
          </w:tcPr>
          <w:p w:rsidR="009A24BE" w:rsidRPr="00A32AF4" w:rsidRDefault="009A24BE" w:rsidP="00DC0553">
            <w:pPr>
              <w:rPr>
                <w:rFonts w:cs="Arial"/>
                <w:sz w:val="16"/>
                <w:szCs w:val="16"/>
                <w:lang w:eastAsia="fr-FR"/>
              </w:rPr>
            </w:pPr>
            <w:r w:rsidRPr="00A32AF4">
              <w:rPr>
                <w:rFonts w:cs="Arial"/>
                <w:sz w:val="16"/>
                <w:szCs w:val="16"/>
                <w:lang w:eastAsia="fr-FR"/>
              </w:rPr>
              <w:t> </w:t>
            </w:r>
          </w:p>
        </w:tc>
        <w:tc>
          <w:tcPr>
            <w:tcW w:w="4428" w:type="dxa"/>
            <w:tcBorders>
              <w:top w:val="single" w:sz="4" w:space="0" w:color="auto"/>
              <w:bottom w:val="single" w:sz="4" w:space="0" w:color="auto"/>
            </w:tcBorders>
            <w:shd w:val="clear" w:color="000000" w:fill="C5D9F1"/>
            <w:noWrap/>
            <w:tcMar>
              <w:top w:w="113" w:type="dxa"/>
              <w:bottom w:w="113" w:type="dxa"/>
            </w:tcMar>
            <w:vAlign w:val="bottom"/>
            <w:hideMark/>
          </w:tcPr>
          <w:p w:rsidR="009A24BE" w:rsidRPr="00A32AF4" w:rsidRDefault="009A24BE" w:rsidP="00DC0553">
            <w:pPr>
              <w:rPr>
                <w:rFonts w:cs="Arial"/>
                <w:b/>
                <w:bCs/>
                <w:sz w:val="16"/>
                <w:szCs w:val="16"/>
                <w:lang w:eastAsia="fr-FR"/>
              </w:rPr>
            </w:pPr>
            <w:r w:rsidRPr="00A32AF4">
              <w:rPr>
                <w:rFonts w:cs="Arial"/>
                <w:b/>
                <w:bCs/>
                <w:sz w:val="16"/>
                <w:szCs w:val="16"/>
                <w:lang w:eastAsia="fr-FR"/>
              </w:rPr>
              <w:t>Total</w:t>
            </w:r>
          </w:p>
        </w:tc>
        <w:tc>
          <w:tcPr>
            <w:tcW w:w="1260" w:type="dxa"/>
            <w:tcBorders>
              <w:top w:val="single" w:sz="4" w:space="0" w:color="auto"/>
              <w:bottom w:val="single" w:sz="4" w:space="0" w:color="auto"/>
            </w:tcBorders>
            <w:shd w:val="clear" w:color="000000" w:fill="C5D9F1"/>
            <w:noWrap/>
            <w:tcMar>
              <w:top w:w="113" w:type="dxa"/>
              <w:bottom w:w="113" w:type="dxa"/>
            </w:tcMar>
            <w:vAlign w:val="bottom"/>
            <w:hideMark/>
          </w:tcPr>
          <w:p w:rsidR="009A24BE" w:rsidRPr="00A32AF4" w:rsidRDefault="009A24BE" w:rsidP="00DC0553">
            <w:pPr>
              <w:jc w:val="right"/>
              <w:rPr>
                <w:rFonts w:cs="Arial"/>
                <w:b/>
                <w:bCs/>
                <w:sz w:val="16"/>
                <w:szCs w:val="16"/>
                <w:lang w:eastAsia="fr-FR"/>
              </w:rPr>
            </w:pPr>
            <w:r w:rsidRPr="00A32AF4">
              <w:rPr>
                <w:rFonts w:cs="Arial"/>
                <w:b/>
                <w:bCs/>
                <w:sz w:val="16"/>
                <w:szCs w:val="16"/>
                <w:lang w:eastAsia="fr-FR"/>
              </w:rPr>
              <w:t xml:space="preserve">6 938 </w:t>
            </w:r>
          </w:p>
        </w:tc>
        <w:tc>
          <w:tcPr>
            <w:tcW w:w="1440" w:type="dxa"/>
            <w:tcBorders>
              <w:top w:val="single" w:sz="4" w:space="0" w:color="auto"/>
              <w:bottom w:val="single" w:sz="4" w:space="0" w:color="auto"/>
            </w:tcBorders>
            <w:shd w:val="clear" w:color="000000" w:fill="C5D9F1"/>
            <w:noWrap/>
            <w:tcMar>
              <w:top w:w="113" w:type="dxa"/>
              <w:bottom w:w="113" w:type="dxa"/>
            </w:tcMar>
            <w:vAlign w:val="bottom"/>
            <w:hideMark/>
          </w:tcPr>
          <w:p w:rsidR="009A24BE" w:rsidRPr="00A32AF4" w:rsidRDefault="009A24BE" w:rsidP="00DC0553">
            <w:pPr>
              <w:jc w:val="right"/>
              <w:rPr>
                <w:rFonts w:cs="Arial"/>
                <w:b/>
                <w:bCs/>
                <w:sz w:val="16"/>
                <w:szCs w:val="16"/>
                <w:lang w:eastAsia="fr-FR"/>
              </w:rPr>
            </w:pPr>
            <w:r w:rsidRPr="00A32AF4">
              <w:rPr>
                <w:rFonts w:cs="Arial"/>
                <w:b/>
                <w:bCs/>
                <w:sz w:val="16"/>
                <w:szCs w:val="16"/>
                <w:lang w:eastAsia="fr-FR"/>
              </w:rPr>
              <w:t xml:space="preserve">6 576 </w:t>
            </w:r>
          </w:p>
        </w:tc>
        <w:tc>
          <w:tcPr>
            <w:tcW w:w="1260" w:type="dxa"/>
            <w:tcBorders>
              <w:top w:val="single" w:sz="4" w:space="0" w:color="auto"/>
              <w:bottom w:val="single" w:sz="4" w:space="0" w:color="auto"/>
            </w:tcBorders>
            <w:shd w:val="clear" w:color="000000" w:fill="C5D9F1"/>
            <w:noWrap/>
            <w:tcMar>
              <w:top w:w="113" w:type="dxa"/>
              <w:bottom w:w="113" w:type="dxa"/>
            </w:tcMar>
            <w:vAlign w:val="bottom"/>
            <w:hideMark/>
          </w:tcPr>
          <w:p w:rsidR="009A24BE" w:rsidRPr="00A32AF4" w:rsidRDefault="009A24BE" w:rsidP="00DC0553">
            <w:pPr>
              <w:jc w:val="right"/>
              <w:rPr>
                <w:rFonts w:cs="Arial"/>
                <w:b/>
                <w:bCs/>
                <w:sz w:val="16"/>
                <w:szCs w:val="16"/>
                <w:lang w:eastAsia="fr-FR"/>
              </w:rPr>
            </w:pPr>
            <w:r w:rsidRPr="00A32AF4">
              <w:rPr>
                <w:rFonts w:cs="Arial"/>
                <w:b/>
                <w:bCs/>
                <w:sz w:val="16"/>
                <w:szCs w:val="16"/>
                <w:lang w:eastAsia="fr-FR"/>
              </w:rPr>
              <w:t xml:space="preserve">6 323 </w:t>
            </w:r>
          </w:p>
        </w:tc>
      </w:tr>
    </w:tbl>
    <w:p w:rsidR="00F93B76" w:rsidRPr="00A32AF4" w:rsidRDefault="00F93B76" w:rsidP="00DC0553"/>
    <w:p w:rsidR="00F93B76" w:rsidRPr="00A32AF4" w:rsidRDefault="00F93B76" w:rsidP="00DC0553">
      <w:pPr>
        <w:rPr>
          <w:lang w:eastAsia="da-DK"/>
        </w:rPr>
      </w:pPr>
    </w:p>
    <w:p w:rsidR="00F93B76" w:rsidRPr="00A32AF4" w:rsidRDefault="009A24BE" w:rsidP="00DC0553">
      <w:pPr>
        <w:keepNext/>
        <w:keepLines/>
        <w:autoSpaceDE w:val="0"/>
        <w:autoSpaceDN w:val="0"/>
        <w:jc w:val="center"/>
        <w:rPr>
          <w:rFonts w:cs="Arial"/>
          <w:b/>
        </w:rPr>
      </w:pPr>
      <w:r w:rsidRPr="00A32AF4">
        <w:rPr>
          <w:rFonts w:cs="Arial"/>
          <w:b/>
        </w:rPr>
        <w:t>Programme 18 : ressources par objet de dépense</w:t>
      </w:r>
    </w:p>
    <w:p w:rsidR="00F93B76" w:rsidRPr="00A32AF4" w:rsidRDefault="009A24BE" w:rsidP="00DC0553">
      <w:pPr>
        <w:keepNext/>
        <w:keepLines/>
        <w:autoSpaceDE w:val="0"/>
        <w:autoSpaceDN w:val="0"/>
        <w:jc w:val="center"/>
        <w:rPr>
          <w:rFonts w:cs="Arial"/>
          <w:i/>
        </w:rPr>
      </w:pPr>
      <w:r w:rsidRPr="00A32AF4">
        <w:rPr>
          <w:rFonts w:cs="Arial"/>
          <w:i/>
        </w:rPr>
        <w:t>(</w:t>
      </w:r>
      <w:proofErr w:type="gramStart"/>
      <w:r w:rsidRPr="00A32AF4">
        <w:rPr>
          <w:rFonts w:cs="Arial"/>
          <w:i/>
        </w:rPr>
        <w:t>en</w:t>
      </w:r>
      <w:proofErr w:type="gramEnd"/>
      <w:r w:rsidRPr="00A32AF4">
        <w:rPr>
          <w:rFonts w:cs="Arial"/>
          <w:i/>
        </w:rPr>
        <w:t xml:space="preserve"> milliers de francs suisses)</w:t>
      </w:r>
    </w:p>
    <w:p w:rsidR="00F93B76" w:rsidRPr="00A32AF4" w:rsidRDefault="00F93B76" w:rsidP="00DC0553">
      <w:pPr>
        <w:keepNext/>
        <w:rPr>
          <w:rFonts w:eastAsia="SimSun"/>
        </w:rPr>
      </w:pPr>
    </w:p>
    <w:p w:rsidR="005C314E" w:rsidRPr="00A32AF4" w:rsidRDefault="0007734A" w:rsidP="00DC0553">
      <w:pPr>
        <w:rPr>
          <w:lang w:eastAsia="da-DK"/>
        </w:rPr>
      </w:pPr>
      <w:r w:rsidRPr="00A32AF4">
        <w:rPr>
          <w:noProof/>
          <w:lang w:eastAsia="fr-FR"/>
        </w:rPr>
        <w:drawing>
          <wp:inline distT="0" distB="0" distL="0" distR="0" wp14:anchorId="332916B1" wp14:editId="4A5845A3">
            <wp:extent cx="5512435" cy="6555105"/>
            <wp:effectExtent l="0" t="0" r="0" b="0"/>
            <wp:docPr id="1052" name="Picture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5512435" cy="6555105"/>
                    </a:xfrm>
                    <a:prstGeom prst="rect">
                      <a:avLst/>
                    </a:prstGeom>
                    <a:noFill/>
                    <a:ln>
                      <a:noFill/>
                    </a:ln>
                  </pic:spPr>
                </pic:pic>
              </a:graphicData>
            </a:graphic>
          </wp:inline>
        </w:drawing>
      </w:r>
    </w:p>
    <w:p w:rsidR="005C314E" w:rsidRPr="00A32AF4" w:rsidRDefault="005C314E" w:rsidP="00DC0553">
      <w:pPr>
        <w:rPr>
          <w:lang w:eastAsia="da-DK"/>
        </w:rPr>
      </w:pPr>
    </w:p>
    <w:p w:rsidR="00F93B76" w:rsidRPr="00A32AF4" w:rsidRDefault="009A24BE" w:rsidP="00DC0553">
      <w:pPr>
        <w:rPr>
          <w:lang w:eastAsia="da-DK"/>
        </w:rPr>
      </w:pPr>
      <w:r w:rsidRPr="00A32AF4">
        <w:rPr>
          <w:lang w:eastAsia="da-DK"/>
        </w:rPr>
        <w:br w:type="page"/>
      </w:r>
    </w:p>
    <w:p w:rsidR="00F93B76" w:rsidRPr="00A32AF4" w:rsidRDefault="00A214A2" w:rsidP="00FB1F61">
      <w:pPr>
        <w:pStyle w:val="Heading2"/>
        <w:rPr>
          <w:rFonts w:hint="eastAsia"/>
          <w:lang w:eastAsia="da-DK"/>
        </w:rPr>
      </w:pPr>
      <w:bookmarkStart w:id="56" w:name="_Toc431555462"/>
      <w:r w:rsidRPr="00A32AF4">
        <w:rPr>
          <w:lang w:eastAsia="da-DK"/>
        </w:rPr>
        <w:t>Objectif stratégique VIII</w:t>
      </w:r>
      <w:r w:rsidRPr="00A32AF4">
        <w:rPr>
          <w:lang w:eastAsia="da-DK"/>
        </w:rPr>
        <w:tab/>
        <w:t>Interface de communication dynamique entre l</w:t>
      </w:r>
      <w:r w:rsidR="00E2055A" w:rsidRPr="00A32AF4">
        <w:rPr>
          <w:lang w:eastAsia="da-DK"/>
        </w:rPr>
        <w:t>’</w:t>
      </w:r>
      <w:r w:rsidRPr="00A32AF4">
        <w:rPr>
          <w:lang w:eastAsia="da-DK"/>
        </w:rPr>
        <w:t>OMPI, ses États membres et l</w:t>
      </w:r>
      <w:r w:rsidR="00E2055A" w:rsidRPr="00A32AF4">
        <w:rPr>
          <w:lang w:eastAsia="da-DK"/>
        </w:rPr>
        <w:t>’</w:t>
      </w:r>
      <w:r w:rsidRPr="00A32AF4">
        <w:rPr>
          <w:lang w:eastAsia="da-DK"/>
        </w:rPr>
        <w:t>ensemble des parties prenantes</w:t>
      </w:r>
      <w:bookmarkEnd w:id="56"/>
    </w:p>
    <w:p w:rsidR="00F93B76" w:rsidRPr="00A32AF4" w:rsidRDefault="00F93B76" w:rsidP="00DC0553">
      <w:pPr>
        <w:rPr>
          <w:lang w:eastAsia="da-DK"/>
        </w:rPr>
      </w:pPr>
    </w:p>
    <w:p w:rsidR="00F93B76" w:rsidRPr="00A32AF4" w:rsidRDefault="00F93B76" w:rsidP="00DC0553">
      <w:pPr>
        <w:rPr>
          <w:lang w:eastAsia="da-DK"/>
        </w:rPr>
      </w:pPr>
    </w:p>
    <w:p w:rsidR="00F93B76" w:rsidRPr="00A32AF4" w:rsidRDefault="0004269B" w:rsidP="00DC0553">
      <w:pPr>
        <w:jc w:val="both"/>
      </w:pPr>
      <w:r w:rsidRPr="00A32AF4">
        <w:t>Cet objectif stratégique témoigne de la place hautement prioritaire que le Secrétariat de l</w:t>
      </w:r>
      <w:r w:rsidR="00E2055A" w:rsidRPr="00A32AF4">
        <w:t>’</w:t>
      </w:r>
      <w:r w:rsidRPr="00A32AF4">
        <w:t>OMPI accorde à une communication efficace en tant que critère essentiel de succès pour chaque aspect de ses travaux et à la prestation de services en tant que valeur institutionnelle fondamentale.  L</w:t>
      </w:r>
      <w:r w:rsidR="00E2055A" w:rsidRPr="00A32AF4">
        <w:t>’</w:t>
      </w:r>
      <w:r w:rsidRPr="00A32AF4">
        <w:t>OMPI offre divers services à un large éventail de parties prenantes et, en premier lieu, en sa qualité d</w:t>
      </w:r>
      <w:r w:rsidR="00E2055A" w:rsidRPr="00A32AF4">
        <w:t>’</w:t>
      </w:r>
      <w:r w:rsidRPr="00A32AF4">
        <w:t xml:space="preserve">institution spécialisée des </w:t>
      </w:r>
      <w:r w:rsidR="00E2055A" w:rsidRPr="00A32AF4">
        <w:t>Nations Unies</w:t>
      </w:r>
      <w:r w:rsidRPr="00A32AF4">
        <w:t>, à ses États membres.  Ces services comprennent un appui aux comités chargés des activités normatives, des services de renforcement des capacités aux pays en développement, des services d</w:t>
      </w:r>
      <w:r w:rsidR="00E2055A" w:rsidRPr="00A32AF4">
        <w:t>’</w:t>
      </w:r>
      <w:r w:rsidRPr="00A32AF4">
        <w:t>information, des services techniques ainsi que des services généraux liés à l</w:t>
      </w:r>
      <w:r w:rsidR="00E2055A" w:rsidRPr="00A32AF4">
        <w:t>’</w:t>
      </w:r>
      <w:r w:rsidRPr="00A32AF4">
        <w:t>enregistrement et au dépôt de titres de propriété intellectuelle et au règlement extrajudiciaire des litiges en matière de propriété intellectuelle.</w:t>
      </w:r>
    </w:p>
    <w:p w:rsidR="00F93B76" w:rsidRPr="00A32AF4" w:rsidRDefault="00F93B76" w:rsidP="00DC0553"/>
    <w:p w:rsidR="0004269B" w:rsidRPr="00A32AF4" w:rsidRDefault="0004269B" w:rsidP="00DC0553">
      <w:pPr>
        <w:rPr>
          <w:rFonts w:cs="Arial"/>
        </w:rPr>
      </w:pPr>
    </w:p>
    <w:tbl>
      <w:tblPr>
        <w:tblW w:w="4855"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192"/>
        <w:gridCol w:w="3898"/>
        <w:gridCol w:w="1928"/>
      </w:tblGrid>
      <w:tr w:rsidR="0004269B" w:rsidRPr="00A32AF4" w:rsidTr="0004269B">
        <w:trPr>
          <w:cantSplit/>
          <w:tblHeader/>
        </w:trPr>
        <w:tc>
          <w:tcPr>
            <w:tcW w:w="1770" w:type="pct"/>
            <w:tcBorders>
              <w:top w:val="single" w:sz="4" w:space="0" w:color="auto"/>
              <w:bottom w:val="single" w:sz="4" w:space="0" w:color="auto"/>
            </w:tcBorders>
            <w:shd w:val="clear" w:color="auto" w:fill="C6D9F1" w:themeFill="text2" w:themeFillTint="33"/>
            <w:tcMar>
              <w:top w:w="113" w:type="dxa"/>
              <w:bottom w:w="113" w:type="dxa"/>
            </w:tcMar>
            <w:vAlign w:val="center"/>
          </w:tcPr>
          <w:p w:rsidR="0004269B" w:rsidRPr="00A32AF4" w:rsidRDefault="0004269B" w:rsidP="00DC0553">
            <w:pPr>
              <w:jc w:val="center"/>
              <w:rPr>
                <w:rFonts w:cs="Arial"/>
                <w:b/>
                <w:bCs/>
                <w:sz w:val="18"/>
                <w:szCs w:val="18"/>
              </w:rPr>
            </w:pPr>
            <w:r w:rsidRPr="00A32AF4">
              <w:rPr>
                <w:rFonts w:cs="Arial"/>
                <w:b/>
                <w:bCs/>
                <w:sz w:val="18"/>
                <w:szCs w:val="18"/>
              </w:rPr>
              <w:t>Résultats escomptés</w:t>
            </w:r>
          </w:p>
        </w:tc>
        <w:tc>
          <w:tcPr>
            <w:tcW w:w="2161" w:type="pct"/>
            <w:tcBorders>
              <w:top w:val="single" w:sz="4" w:space="0" w:color="auto"/>
              <w:bottom w:val="single" w:sz="4" w:space="0" w:color="auto"/>
            </w:tcBorders>
            <w:shd w:val="clear" w:color="auto" w:fill="C6D9F1" w:themeFill="text2" w:themeFillTint="33"/>
            <w:tcMar>
              <w:top w:w="113" w:type="dxa"/>
              <w:bottom w:w="113" w:type="dxa"/>
            </w:tcMar>
            <w:vAlign w:val="center"/>
          </w:tcPr>
          <w:p w:rsidR="0004269B" w:rsidRPr="00A32AF4" w:rsidRDefault="0004269B" w:rsidP="00DC0553">
            <w:pPr>
              <w:jc w:val="center"/>
              <w:rPr>
                <w:rFonts w:cs="Arial"/>
                <w:b/>
                <w:sz w:val="18"/>
                <w:szCs w:val="18"/>
              </w:rPr>
            </w:pPr>
            <w:r w:rsidRPr="00A32AF4">
              <w:rPr>
                <w:rFonts w:cs="Arial"/>
                <w:b/>
                <w:sz w:val="18"/>
                <w:szCs w:val="18"/>
              </w:rPr>
              <w:t>Indicateurs d</w:t>
            </w:r>
            <w:r w:rsidR="00E2055A" w:rsidRPr="00A32AF4">
              <w:rPr>
                <w:rFonts w:cs="Arial"/>
                <w:b/>
                <w:sz w:val="18"/>
                <w:szCs w:val="18"/>
              </w:rPr>
              <w:t>’</w:t>
            </w:r>
            <w:r w:rsidRPr="00A32AF4">
              <w:rPr>
                <w:rFonts w:cs="Arial"/>
                <w:b/>
                <w:sz w:val="18"/>
                <w:szCs w:val="18"/>
              </w:rPr>
              <w:t>exécution</w:t>
            </w:r>
          </w:p>
        </w:tc>
        <w:tc>
          <w:tcPr>
            <w:tcW w:w="1069" w:type="pct"/>
            <w:tcBorders>
              <w:top w:val="single" w:sz="4" w:space="0" w:color="auto"/>
              <w:bottom w:val="single" w:sz="4" w:space="0" w:color="auto"/>
            </w:tcBorders>
            <w:shd w:val="clear" w:color="auto" w:fill="C6D9F1" w:themeFill="text2" w:themeFillTint="33"/>
            <w:tcMar>
              <w:top w:w="113" w:type="dxa"/>
              <w:bottom w:w="113" w:type="dxa"/>
            </w:tcMar>
            <w:vAlign w:val="center"/>
          </w:tcPr>
          <w:p w:rsidR="0004269B" w:rsidRPr="00A32AF4" w:rsidRDefault="0004269B" w:rsidP="00DC0553">
            <w:pPr>
              <w:jc w:val="center"/>
              <w:rPr>
                <w:rFonts w:cs="Arial"/>
                <w:sz w:val="18"/>
                <w:szCs w:val="18"/>
              </w:rPr>
            </w:pPr>
            <w:r w:rsidRPr="00A32AF4">
              <w:rPr>
                <w:rFonts w:cs="Arial"/>
                <w:b/>
                <w:sz w:val="18"/>
                <w:szCs w:val="18"/>
              </w:rPr>
              <w:t>Programme(s) concerné(s)</w:t>
            </w:r>
          </w:p>
        </w:tc>
      </w:tr>
      <w:tr w:rsidR="0046629D" w:rsidRPr="00A32AF4" w:rsidTr="0046629D">
        <w:trPr>
          <w:cantSplit/>
        </w:trPr>
        <w:tc>
          <w:tcPr>
            <w:tcW w:w="1770" w:type="pct"/>
            <w:tcBorders>
              <w:top w:val="single" w:sz="4" w:space="0" w:color="auto"/>
            </w:tcBorders>
            <w:shd w:val="clear" w:color="auto" w:fill="auto"/>
            <w:tcMar>
              <w:top w:w="113" w:type="dxa"/>
              <w:bottom w:w="113" w:type="dxa"/>
            </w:tcMar>
          </w:tcPr>
          <w:p w:rsidR="0046629D" w:rsidRPr="00A32AF4" w:rsidRDefault="0046629D" w:rsidP="00DC0553">
            <w:pPr>
              <w:rPr>
                <w:rFonts w:cs="Arial"/>
                <w:sz w:val="16"/>
                <w:szCs w:val="16"/>
              </w:rPr>
            </w:pPr>
            <w:r w:rsidRPr="00A32AF4">
              <w:rPr>
                <w:rFonts w:cs="Arial"/>
                <w:sz w:val="16"/>
                <w:szCs w:val="16"/>
              </w:rPr>
              <w:t xml:space="preserve">VIII.1 </w:t>
            </w:r>
            <w:r w:rsidRPr="00A32AF4">
              <w:rPr>
                <w:sz w:val="16"/>
                <w:szCs w:val="16"/>
              </w:rPr>
              <w:t>Communication plus efficace avec le grand public concernant la propriété intellectuelle et le rôle de l</w:t>
            </w:r>
            <w:r w:rsidR="00E2055A" w:rsidRPr="00A32AF4">
              <w:rPr>
                <w:sz w:val="16"/>
                <w:szCs w:val="16"/>
              </w:rPr>
              <w:t>’</w:t>
            </w:r>
            <w:r w:rsidRPr="00A32AF4">
              <w:rPr>
                <w:sz w:val="16"/>
                <w:szCs w:val="16"/>
              </w:rPr>
              <w:t>OMPI</w:t>
            </w:r>
          </w:p>
        </w:tc>
        <w:tc>
          <w:tcPr>
            <w:tcW w:w="2161" w:type="pct"/>
            <w:tcBorders>
              <w:top w:val="single" w:sz="4" w:space="0" w:color="auto"/>
            </w:tcBorders>
            <w:shd w:val="clear" w:color="auto" w:fill="auto"/>
            <w:tcMar>
              <w:top w:w="113" w:type="dxa"/>
              <w:bottom w:w="113" w:type="dxa"/>
            </w:tcMar>
          </w:tcPr>
          <w:p w:rsidR="0046629D" w:rsidRPr="00A32AF4" w:rsidRDefault="0046629D" w:rsidP="00DC0553">
            <w:pPr>
              <w:rPr>
                <w:sz w:val="16"/>
                <w:szCs w:val="16"/>
              </w:rPr>
            </w:pPr>
            <w:r w:rsidRPr="00A32AF4">
              <w:rPr>
                <w:sz w:val="16"/>
                <w:szCs w:val="16"/>
              </w:rPr>
              <w:t>Nombre d</w:t>
            </w:r>
            <w:r w:rsidR="00E2055A" w:rsidRPr="00A32AF4">
              <w:rPr>
                <w:sz w:val="16"/>
                <w:szCs w:val="16"/>
              </w:rPr>
              <w:t>’</w:t>
            </w:r>
            <w:r w:rsidRPr="00A32AF4">
              <w:rPr>
                <w:sz w:val="16"/>
                <w:szCs w:val="16"/>
              </w:rPr>
              <w:t>États membres participant au programme d</w:t>
            </w:r>
            <w:r w:rsidR="00E2055A" w:rsidRPr="00A32AF4">
              <w:rPr>
                <w:sz w:val="16"/>
                <w:szCs w:val="16"/>
              </w:rPr>
              <w:t>’</w:t>
            </w:r>
            <w:r w:rsidRPr="00A32AF4">
              <w:rPr>
                <w:sz w:val="16"/>
                <w:szCs w:val="16"/>
              </w:rPr>
              <w:t>attribution de prix de l</w:t>
            </w:r>
            <w:r w:rsidR="00E2055A" w:rsidRPr="00A32AF4">
              <w:rPr>
                <w:sz w:val="16"/>
                <w:szCs w:val="16"/>
              </w:rPr>
              <w:t>’</w:t>
            </w:r>
            <w:r w:rsidRPr="00A32AF4">
              <w:rPr>
                <w:sz w:val="16"/>
                <w:szCs w:val="16"/>
              </w:rPr>
              <w:t>OMPI</w:t>
            </w:r>
          </w:p>
        </w:tc>
        <w:tc>
          <w:tcPr>
            <w:tcW w:w="1069" w:type="pct"/>
            <w:tcBorders>
              <w:top w:val="single" w:sz="4" w:space="0" w:color="auto"/>
            </w:tcBorders>
            <w:shd w:val="clear" w:color="auto" w:fill="FFFFFF"/>
            <w:tcMar>
              <w:top w:w="113" w:type="dxa"/>
              <w:bottom w:w="113" w:type="dxa"/>
            </w:tcMar>
          </w:tcPr>
          <w:p w:rsidR="0046629D" w:rsidRPr="00A32AF4" w:rsidRDefault="0046629D" w:rsidP="00DC0553">
            <w:pPr>
              <w:jc w:val="center"/>
              <w:rPr>
                <w:rFonts w:cs="Arial"/>
                <w:sz w:val="16"/>
                <w:szCs w:val="16"/>
              </w:rPr>
            </w:pPr>
            <w:r w:rsidRPr="00A32AF4">
              <w:rPr>
                <w:rFonts w:cs="Arial"/>
                <w:sz w:val="16"/>
                <w:szCs w:val="16"/>
                <w:lang w:bidi="th-TH"/>
              </w:rPr>
              <w:t>Programme 17</w:t>
            </w:r>
          </w:p>
        </w:tc>
      </w:tr>
      <w:tr w:rsidR="0046629D" w:rsidRPr="00A32AF4" w:rsidTr="0046629D">
        <w:trPr>
          <w:cantSplit/>
        </w:trPr>
        <w:tc>
          <w:tcPr>
            <w:tcW w:w="1770" w:type="pct"/>
            <w:shd w:val="clear" w:color="auto" w:fill="auto"/>
            <w:tcMar>
              <w:top w:w="113" w:type="dxa"/>
              <w:bottom w:w="113" w:type="dxa"/>
            </w:tcMar>
          </w:tcPr>
          <w:p w:rsidR="0046629D" w:rsidRPr="00A32AF4" w:rsidRDefault="0046629D" w:rsidP="00DC0553">
            <w:pPr>
              <w:rPr>
                <w:rFonts w:cs="Arial"/>
                <w:sz w:val="16"/>
                <w:szCs w:val="16"/>
              </w:rPr>
            </w:pPr>
          </w:p>
        </w:tc>
        <w:tc>
          <w:tcPr>
            <w:tcW w:w="2161" w:type="pct"/>
            <w:shd w:val="clear" w:color="auto" w:fill="auto"/>
            <w:tcMar>
              <w:top w:w="113" w:type="dxa"/>
              <w:bottom w:w="113" w:type="dxa"/>
            </w:tcMar>
          </w:tcPr>
          <w:p w:rsidR="0046629D" w:rsidRPr="00A32AF4" w:rsidRDefault="0046629D" w:rsidP="00DC0553">
            <w:pPr>
              <w:rPr>
                <w:sz w:val="16"/>
                <w:szCs w:val="16"/>
              </w:rPr>
            </w:pPr>
            <w:r w:rsidRPr="00A32AF4">
              <w:rPr>
                <w:sz w:val="16"/>
                <w:szCs w:val="16"/>
              </w:rPr>
              <w:t xml:space="preserve">Parties prenantes ayant une vision positive de la réputation de </w:t>
            </w:r>
            <w:proofErr w:type="gramStart"/>
            <w:r w:rsidRPr="00A32AF4">
              <w:rPr>
                <w:sz w:val="16"/>
                <w:szCs w:val="16"/>
              </w:rPr>
              <w:t>l</w:t>
            </w:r>
            <w:r w:rsidR="00E2055A" w:rsidRPr="00A32AF4">
              <w:rPr>
                <w:sz w:val="16"/>
                <w:szCs w:val="16"/>
              </w:rPr>
              <w:t>’</w:t>
            </w:r>
            <w:r w:rsidRPr="00A32AF4">
              <w:rPr>
                <w:sz w:val="16"/>
                <w:szCs w:val="16"/>
              </w:rPr>
              <w:t>OMPI;</w:t>
            </w:r>
            <w:proofErr w:type="gramEnd"/>
            <w:r w:rsidRPr="00A32AF4">
              <w:rPr>
                <w:sz w:val="16"/>
                <w:szCs w:val="16"/>
              </w:rPr>
              <w:t xml:space="preserve">  et reconnaissance accrue de la marque OMPI </w:t>
            </w:r>
          </w:p>
        </w:tc>
        <w:tc>
          <w:tcPr>
            <w:tcW w:w="1069" w:type="pct"/>
            <w:shd w:val="clear" w:color="auto" w:fill="FFFFFF"/>
            <w:tcMar>
              <w:top w:w="113" w:type="dxa"/>
              <w:bottom w:w="113" w:type="dxa"/>
            </w:tcMar>
          </w:tcPr>
          <w:p w:rsidR="0046629D" w:rsidRPr="00A32AF4" w:rsidRDefault="0046629D" w:rsidP="00DC0553">
            <w:pPr>
              <w:jc w:val="center"/>
              <w:rPr>
                <w:rFonts w:cs="Arial"/>
                <w:sz w:val="16"/>
                <w:szCs w:val="16"/>
                <w:lang w:bidi="th-TH"/>
              </w:rPr>
            </w:pPr>
            <w:r w:rsidRPr="00A32AF4">
              <w:rPr>
                <w:rFonts w:cs="Arial"/>
                <w:sz w:val="16"/>
                <w:szCs w:val="16"/>
                <w:lang w:bidi="th-TH"/>
              </w:rPr>
              <w:t>Programme 19</w:t>
            </w:r>
          </w:p>
        </w:tc>
      </w:tr>
      <w:tr w:rsidR="0004269B" w:rsidRPr="00A32AF4" w:rsidTr="0046629D">
        <w:trPr>
          <w:cantSplit/>
        </w:trPr>
        <w:tc>
          <w:tcPr>
            <w:tcW w:w="1770" w:type="pct"/>
            <w:shd w:val="clear" w:color="auto" w:fill="auto"/>
            <w:tcMar>
              <w:top w:w="113" w:type="dxa"/>
              <w:bottom w:w="113" w:type="dxa"/>
            </w:tcMar>
          </w:tcPr>
          <w:p w:rsidR="0004269B" w:rsidRPr="00A32AF4" w:rsidRDefault="0004269B" w:rsidP="00DC0553">
            <w:pPr>
              <w:rPr>
                <w:rFonts w:cs="Arial"/>
                <w:sz w:val="16"/>
                <w:szCs w:val="16"/>
              </w:rPr>
            </w:pPr>
          </w:p>
        </w:tc>
        <w:tc>
          <w:tcPr>
            <w:tcW w:w="2161" w:type="pct"/>
            <w:shd w:val="clear" w:color="auto" w:fill="auto"/>
            <w:tcMar>
              <w:top w:w="113" w:type="dxa"/>
              <w:bottom w:w="113" w:type="dxa"/>
            </w:tcMar>
          </w:tcPr>
          <w:p w:rsidR="0004269B" w:rsidRPr="00A32AF4" w:rsidRDefault="0088461B" w:rsidP="00DC0553">
            <w:pPr>
              <w:rPr>
                <w:rFonts w:cs="Arial"/>
                <w:sz w:val="16"/>
                <w:szCs w:val="16"/>
              </w:rPr>
            </w:pPr>
            <w:r w:rsidRPr="00A32AF4">
              <w:rPr>
                <w:sz w:val="16"/>
                <w:szCs w:val="16"/>
              </w:rPr>
              <w:t>Nombre de personnes qui consultent les contenus relatifs aux principaux événements, réalisations et activités de l</w:t>
            </w:r>
            <w:r w:rsidR="00E2055A" w:rsidRPr="00A32AF4">
              <w:rPr>
                <w:sz w:val="16"/>
                <w:szCs w:val="16"/>
              </w:rPr>
              <w:t>’</w:t>
            </w:r>
            <w:r w:rsidRPr="00A32AF4">
              <w:rPr>
                <w:sz w:val="16"/>
                <w:szCs w:val="16"/>
              </w:rPr>
              <w:t>OMPI</w:t>
            </w:r>
          </w:p>
        </w:tc>
        <w:tc>
          <w:tcPr>
            <w:tcW w:w="1069" w:type="pct"/>
            <w:shd w:val="clear" w:color="auto" w:fill="FFFFFF"/>
            <w:tcMar>
              <w:top w:w="113" w:type="dxa"/>
              <w:bottom w:w="113" w:type="dxa"/>
            </w:tcMar>
          </w:tcPr>
          <w:p w:rsidR="0004269B" w:rsidRPr="00A32AF4" w:rsidRDefault="0004269B" w:rsidP="00DC0553">
            <w:pPr>
              <w:jc w:val="center"/>
              <w:rPr>
                <w:rFonts w:cs="Arial"/>
                <w:sz w:val="16"/>
                <w:szCs w:val="16"/>
              </w:rPr>
            </w:pPr>
            <w:r w:rsidRPr="00A32AF4">
              <w:rPr>
                <w:rFonts w:cs="Arial"/>
                <w:sz w:val="16"/>
                <w:szCs w:val="16"/>
                <w:lang w:bidi="th-TH"/>
              </w:rPr>
              <w:t>Programme 19</w:t>
            </w:r>
          </w:p>
        </w:tc>
      </w:tr>
      <w:tr w:rsidR="0088461B" w:rsidRPr="00A32AF4" w:rsidTr="0046629D">
        <w:trPr>
          <w:cantSplit/>
        </w:trPr>
        <w:tc>
          <w:tcPr>
            <w:tcW w:w="1770" w:type="pct"/>
            <w:shd w:val="clear" w:color="auto" w:fill="auto"/>
            <w:tcMar>
              <w:top w:w="113" w:type="dxa"/>
              <w:bottom w:w="113" w:type="dxa"/>
            </w:tcMar>
          </w:tcPr>
          <w:p w:rsidR="0088461B" w:rsidRPr="00A32AF4" w:rsidRDefault="0088461B" w:rsidP="00DC0553">
            <w:pPr>
              <w:rPr>
                <w:rFonts w:cs="Arial"/>
                <w:sz w:val="16"/>
                <w:szCs w:val="16"/>
              </w:rPr>
            </w:pPr>
          </w:p>
        </w:tc>
        <w:tc>
          <w:tcPr>
            <w:tcW w:w="2161" w:type="pct"/>
            <w:shd w:val="clear" w:color="auto" w:fill="auto"/>
            <w:tcMar>
              <w:top w:w="113" w:type="dxa"/>
              <w:bottom w:w="113" w:type="dxa"/>
            </w:tcMar>
          </w:tcPr>
          <w:p w:rsidR="0088461B" w:rsidRPr="00A32AF4" w:rsidRDefault="0088461B" w:rsidP="00DC0553">
            <w:pPr>
              <w:rPr>
                <w:sz w:val="16"/>
                <w:szCs w:val="16"/>
              </w:rPr>
            </w:pPr>
            <w:r w:rsidRPr="00A32AF4">
              <w:rPr>
                <w:sz w:val="16"/>
                <w:szCs w:val="16"/>
              </w:rPr>
              <w:t>Participation à la campagne de la Journée mondiale de la propriété intellectuelle</w:t>
            </w:r>
          </w:p>
        </w:tc>
        <w:tc>
          <w:tcPr>
            <w:tcW w:w="1069" w:type="pct"/>
            <w:shd w:val="clear" w:color="auto" w:fill="FFFFFF"/>
            <w:tcMar>
              <w:top w:w="113" w:type="dxa"/>
              <w:bottom w:w="113" w:type="dxa"/>
            </w:tcMar>
          </w:tcPr>
          <w:p w:rsidR="0088461B" w:rsidRPr="00A32AF4" w:rsidRDefault="0088461B" w:rsidP="00DC0553">
            <w:pPr>
              <w:jc w:val="center"/>
              <w:rPr>
                <w:rFonts w:cs="Arial"/>
                <w:sz w:val="16"/>
                <w:szCs w:val="16"/>
              </w:rPr>
            </w:pPr>
            <w:r w:rsidRPr="00A32AF4">
              <w:rPr>
                <w:rFonts w:cs="Arial"/>
                <w:sz w:val="16"/>
                <w:szCs w:val="16"/>
                <w:lang w:bidi="th-TH"/>
              </w:rPr>
              <w:t>Programme 19</w:t>
            </w:r>
          </w:p>
        </w:tc>
      </w:tr>
      <w:tr w:rsidR="0088461B" w:rsidRPr="00A32AF4" w:rsidTr="0046629D">
        <w:trPr>
          <w:cantSplit/>
        </w:trPr>
        <w:tc>
          <w:tcPr>
            <w:tcW w:w="1770" w:type="pct"/>
            <w:shd w:val="clear" w:color="auto" w:fill="auto"/>
            <w:tcMar>
              <w:top w:w="113" w:type="dxa"/>
              <w:bottom w:w="113" w:type="dxa"/>
            </w:tcMar>
          </w:tcPr>
          <w:p w:rsidR="0088461B" w:rsidRPr="00A32AF4" w:rsidRDefault="0088461B" w:rsidP="00DC0553">
            <w:pPr>
              <w:rPr>
                <w:rFonts w:cs="Arial"/>
                <w:sz w:val="16"/>
                <w:szCs w:val="16"/>
              </w:rPr>
            </w:pPr>
          </w:p>
        </w:tc>
        <w:tc>
          <w:tcPr>
            <w:tcW w:w="2161" w:type="pct"/>
            <w:shd w:val="clear" w:color="auto" w:fill="auto"/>
            <w:tcMar>
              <w:top w:w="113" w:type="dxa"/>
              <w:bottom w:w="113" w:type="dxa"/>
            </w:tcMar>
          </w:tcPr>
          <w:p w:rsidR="0088461B" w:rsidRPr="00A32AF4" w:rsidRDefault="0088461B" w:rsidP="00DC0553">
            <w:pPr>
              <w:rPr>
                <w:sz w:val="16"/>
                <w:szCs w:val="16"/>
              </w:rPr>
            </w:pPr>
            <w:r w:rsidRPr="00A32AF4">
              <w:rPr>
                <w:sz w:val="16"/>
                <w:szCs w:val="16"/>
              </w:rPr>
              <w:t>Visites sur les sites des publications de l</w:t>
            </w:r>
            <w:r w:rsidR="00E2055A" w:rsidRPr="00A32AF4">
              <w:rPr>
                <w:sz w:val="16"/>
                <w:szCs w:val="16"/>
              </w:rPr>
              <w:t>’</w:t>
            </w:r>
            <w:r w:rsidRPr="00A32AF4">
              <w:rPr>
                <w:sz w:val="16"/>
                <w:szCs w:val="16"/>
              </w:rPr>
              <w:t>OMPI et du Magazine de l</w:t>
            </w:r>
            <w:r w:rsidR="00E2055A" w:rsidRPr="00A32AF4">
              <w:rPr>
                <w:sz w:val="16"/>
                <w:szCs w:val="16"/>
              </w:rPr>
              <w:t>’</w:t>
            </w:r>
            <w:r w:rsidRPr="00A32AF4">
              <w:rPr>
                <w:sz w:val="16"/>
                <w:szCs w:val="16"/>
              </w:rPr>
              <w:t xml:space="preserve">OMPI </w:t>
            </w:r>
          </w:p>
        </w:tc>
        <w:tc>
          <w:tcPr>
            <w:tcW w:w="1069" w:type="pct"/>
            <w:shd w:val="clear" w:color="auto" w:fill="FFFFFF"/>
            <w:tcMar>
              <w:top w:w="113" w:type="dxa"/>
              <w:bottom w:w="113" w:type="dxa"/>
            </w:tcMar>
          </w:tcPr>
          <w:p w:rsidR="0088461B" w:rsidRPr="00A32AF4" w:rsidRDefault="0088461B" w:rsidP="00DC0553">
            <w:pPr>
              <w:jc w:val="center"/>
              <w:rPr>
                <w:rFonts w:cs="Arial"/>
                <w:sz w:val="16"/>
                <w:szCs w:val="16"/>
              </w:rPr>
            </w:pPr>
            <w:r w:rsidRPr="00A32AF4">
              <w:rPr>
                <w:rFonts w:cs="Arial"/>
                <w:sz w:val="16"/>
                <w:szCs w:val="16"/>
                <w:lang w:bidi="th-TH"/>
              </w:rPr>
              <w:t>Programme 19</w:t>
            </w:r>
          </w:p>
        </w:tc>
      </w:tr>
      <w:tr w:rsidR="00A879BA" w:rsidRPr="00A32AF4" w:rsidTr="0046629D">
        <w:trPr>
          <w:cantSplit/>
        </w:trPr>
        <w:tc>
          <w:tcPr>
            <w:tcW w:w="1770" w:type="pct"/>
            <w:shd w:val="clear" w:color="auto" w:fill="auto"/>
            <w:tcMar>
              <w:top w:w="113" w:type="dxa"/>
              <w:bottom w:w="113" w:type="dxa"/>
            </w:tcMar>
          </w:tcPr>
          <w:p w:rsidR="00A879BA" w:rsidRPr="00A32AF4" w:rsidRDefault="00A879BA" w:rsidP="00DC0553">
            <w:pPr>
              <w:rPr>
                <w:rFonts w:cs="Arial"/>
                <w:sz w:val="16"/>
                <w:szCs w:val="16"/>
              </w:rPr>
            </w:pPr>
          </w:p>
        </w:tc>
        <w:tc>
          <w:tcPr>
            <w:tcW w:w="2161" w:type="pct"/>
            <w:shd w:val="clear" w:color="auto" w:fill="auto"/>
            <w:tcMar>
              <w:top w:w="113" w:type="dxa"/>
              <w:bottom w:w="113" w:type="dxa"/>
            </w:tcMar>
          </w:tcPr>
          <w:p w:rsidR="00A879BA" w:rsidRPr="00A32AF4" w:rsidRDefault="00A879BA" w:rsidP="00DC0553">
            <w:pPr>
              <w:rPr>
                <w:sz w:val="16"/>
                <w:szCs w:val="16"/>
              </w:rPr>
            </w:pPr>
            <w:r w:rsidRPr="00A32AF4">
              <w:rPr>
                <w:sz w:val="16"/>
                <w:szCs w:val="16"/>
              </w:rPr>
              <w:t xml:space="preserve">Consultations des contenus </w:t>
            </w:r>
            <w:proofErr w:type="gramStart"/>
            <w:r w:rsidRPr="00A32AF4">
              <w:rPr>
                <w:sz w:val="16"/>
                <w:szCs w:val="16"/>
              </w:rPr>
              <w:t>presse</w:t>
            </w:r>
            <w:proofErr w:type="gramEnd"/>
            <w:r w:rsidRPr="00A32AF4">
              <w:rPr>
                <w:sz w:val="16"/>
                <w:szCs w:val="16"/>
              </w:rPr>
              <w:t>, vidéo et photo de l</w:t>
            </w:r>
            <w:r w:rsidR="00E2055A" w:rsidRPr="00A32AF4">
              <w:rPr>
                <w:sz w:val="16"/>
                <w:szCs w:val="16"/>
              </w:rPr>
              <w:t>’</w:t>
            </w:r>
            <w:r w:rsidRPr="00A32AF4">
              <w:rPr>
                <w:sz w:val="16"/>
                <w:szCs w:val="16"/>
              </w:rPr>
              <w:t>OMPI</w:t>
            </w:r>
          </w:p>
        </w:tc>
        <w:tc>
          <w:tcPr>
            <w:tcW w:w="1069" w:type="pct"/>
            <w:shd w:val="clear" w:color="auto" w:fill="FFFFFF"/>
            <w:tcMar>
              <w:top w:w="113" w:type="dxa"/>
              <w:bottom w:w="113" w:type="dxa"/>
            </w:tcMar>
          </w:tcPr>
          <w:p w:rsidR="00A879BA" w:rsidRPr="00A32AF4" w:rsidRDefault="00A879BA" w:rsidP="00DC0553">
            <w:pPr>
              <w:jc w:val="center"/>
              <w:rPr>
                <w:rFonts w:cs="Arial"/>
                <w:sz w:val="16"/>
                <w:szCs w:val="16"/>
                <w:lang w:bidi="th-TH"/>
              </w:rPr>
            </w:pPr>
            <w:r w:rsidRPr="00A32AF4">
              <w:rPr>
                <w:rFonts w:cs="Arial"/>
                <w:sz w:val="16"/>
                <w:szCs w:val="16"/>
                <w:lang w:bidi="th-TH"/>
              </w:rPr>
              <w:t>Programme 19</w:t>
            </w:r>
          </w:p>
        </w:tc>
      </w:tr>
      <w:tr w:rsidR="00A879BA" w:rsidRPr="00A32AF4" w:rsidTr="0046629D">
        <w:trPr>
          <w:cantSplit/>
        </w:trPr>
        <w:tc>
          <w:tcPr>
            <w:tcW w:w="1770" w:type="pct"/>
            <w:shd w:val="clear" w:color="auto" w:fill="auto"/>
            <w:tcMar>
              <w:top w:w="113" w:type="dxa"/>
              <w:bottom w:w="113" w:type="dxa"/>
            </w:tcMar>
          </w:tcPr>
          <w:p w:rsidR="00A879BA" w:rsidRPr="00A32AF4" w:rsidRDefault="00A879BA" w:rsidP="00DC0553">
            <w:pPr>
              <w:rPr>
                <w:rFonts w:cs="Arial"/>
                <w:sz w:val="16"/>
                <w:szCs w:val="16"/>
              </w:rPr>
            </w:pPr>
          </w:p>
        </w:tc>
        <w:tc>
          <w:tcPr>
            <w:tcW w:w="2161" w:type="pct"/>
            <w:shd w:val="clear" w:color="auto" w:fill="auto"/>
            <w:tcMar>
              <w:top w:w="113" w:type="dxa"/>
              <w:bottom w:w="113" w:type="dxa"/>
            </w:tcMar>
          </w:tcPr>
          <w:p w:rsidR="00A879BA" w:rsidRPr="00A32AF4" w:rsidRDefault="00A879BA" w:rsidP="00DC0553">
            <w:pPr>
              <w:rPr>
                <w:sz w:val="16"/>
                <w:szCs w:val="16"/>
              </w:rPr>
            </w:pPr>
            <w:r w:rsidRPr="00A32AF4">
              <w:rPr>
                <w:sz w:val="16"/>
                <w:szCs w:val="16"/>
              </w:rPr>
              <w:t>Réduction du nombre d</w:t>
            </w:r>
            <w:r w:rsidR="00E2055A" w:rsidRPr="00A32AF4">
              <w:rPr>
                <w:sz w:val="16"/>
                <w:szCs w:val="16"/>
              </w:rPr>
              <w:t>’</w:t>
            </w:r>
            <w:r w:rsidRPr="00A32AF4">
              <w:rPr>
                <w:sz w:val="16"/>
                <w:szCs w:val="16"/>
              </w:rPr>
              <w:t>utilisateurs qui quittent le site Web de l</w:t>
            </w:r>
            <w:r w:rsidR="00E2055A" w:rsidRPr="00A32AF4">
              <w:rPr>
                <w:sz w:val="16"/>
                <w:szCs w:val="16"/>
              </w:rPr>
              <w:t>’</w:t>
            </w:r>
            <w:r w:rsidRPr="00A32AF4">
              <w:rPr>
                <w:sz w:val="16"/>
                <w:szCs w:val="16"/>
              </w:rPr>
              <w:t>OMPI directement à partir du portail et des principales pages d</w:t>
            </w:r>
            <w:r w:rsidR="00E2055A" w:rsidRPr="00A32AF4">
              <w:rPr>
                <w:sz w:val="16"/>
                <w:szCs w:val="16"/>
              </w:rPr>
              <w:t>’</w:t>
            </w:r>
            <w:r w:rsidRPr="00A32AF4">
              <w:rPr>
                <w:sz w:val="16"/>
                <w:szCs w:val="16"/>
              </w:rPr>
              <w:t xml:space="preserve">aiguillage </w:t>
            </w:r>
          </w:p>
        </w:tc>
        <w:tc>
          <w:tcPr>
            <w:tcW w:w="1069" w:type="pct"/>
            <w:shd w:val="clear" w:color="auto" w:fill="FFFFFF"/>
            <w:tcMar>
              <w:top w:w="113" w:type="dxa"/>
              <w:bottom w:w="113" w:type="dxa"/>
            </w:tcMar>
          </w:tcPr>
          <w:p w:rsidR="00A879BA" w:rsidRPr="00A32AF4" w:rsidRDefault="00A879BA" w:rsidP="00DC0553">
            <w:pPr>
              <w:jc w:val="center"/>
              <w:rPr>
                <w:rFonts w:cs="Arial"/>
                <w:sz w:val="16"/>
                <w:szCs w:val="16"/>
                <w:lang w:bidi="th-TH"/>
              </w:rPr>
            </w:pPr>
            <w:r w:rsidRPr="00A32AF4">
              <w:rPr>
                <w:rFonts w:cs="Arial"/>
                <w:sz w:val="16"/>
                <w:szCs w:val="16"/>
                <w:lang w:bidi="th-TH"/>
              </w:rPr>
              <w:t>Programme 19</w:t>
            </w:r>
          </w:p>
        </w:tc>
      </w:tr>
      <w:tr w:rsidR="00A879BA" w:rsidRPr="00A32AF4" w:rsidTr="0046629D">
        <w:trPr>
          <w:cantSplit/>
        </w:trPr>
        <w:tc>
          <w:tcPr>
            <w:tcW w:w="1770" w:type="pct"/>
            <w:shd w:val="clear" w:color="auto" w:fill="auto"/>
            <w:tcMar>
              <w:top w:w="113" w:type="dxa"/>
              <w:bottom w:w="113" w:type="dxa"/>
            </w:tcMar>
          </w:tcPr>
          <w:p w:rsidR="00A879BA" w:rsidRPr="00A32AF4" w:rsidRDefault="00A879BA" w:rsidP="00DC0553">
            <w:pPr>
              <w:rPr>
                <w:rFonts w:cs="Arial"/>
                <w:sz w:val="16"/>
                <w:szCs w:val="16"/>
              </w:rPr>
            </w:pPr>
          </w:p>
        </w:tc>
        <w:tc>
          <w:tcPr>
            <w:tcW w:w="2161" w:type="pct"/>
            <w:shd w:val="clear" w:color="auto" w:fill="auto"/>
            <w:tcMar>
              <w:top w:w="113" w:type="dxa"/>
              <w:bottom w:w="113" w:type="dxa"/>
            </w:tcMar>
          </w:tcPr>
          <w:p w:rsidR="00A879BA" w:rsidRPr="00A32AF4" w:rsidRDefault="00A879BA" w:rsidP="00DC0553">
            <w:pPr>
              <w:rPr>
                <w:sz w:val="16"/>
                <w:szCs w:val="16"/>
              </w:rPr>
            </w:pPr>
            <w:r w:rsidRPr="00A32AF4">
              <w:rPr>
                <w:sz w:val="16"/>
                <w:szCs w:val="16"/>
              </w:rPr>
              <w:t>Influence de l</w:t>
            </w:r>
            <w:r w:rsidR="00E2055A" w:rsidRPr="00A32AF4">
              <w:rPr>
                <w:sz w:val="16"/>
                <w:szCs w:val="16"/>
              </w:rPr>
              <w:t>’</w:t>
            </w:r>
            <w:r w:rsidRPr="00A32AF4">
              <w:rPr>
                <w:sz w:val="16"/>
                <w:szCs w:val="16"/>
              </w:rPr>
              <w:t xml:space="preserve">OMPI et participation des parties prenantes dans les médias sociaux </w:t>
            </w:r>
          </w:p>
        </w:tc>
        <w:tc>
          <w:tcPr>
            <w:tcW w:w="1069" w:type="pct"/>
            <w:shd w:val="clear" w:color="auto" w:fill="FFFFFF"/>
            <w:tcMar>
              <w:top w:w="113" w:type="dxa"/>
              <w:bottom w:w="113" w:type="dxa"/>
            </w:tcMar>
          </w:tcPr>
          <w:p w:rsidR="00A879BA" w:rsidRPr="00A32AF4" w:rsidRDefault="00A879BA" w:rsidP="00DC0553">
            <w:pPr>
              <w:jc w:val="center"/>
              <w:rPr>
                <w:rFonts w:cs="Arial"/>
                <w:sz w:val="16"/>
                <w:szCs w:val="16"/>
                <w:lang w:bidi="th-TH"/>
              </w:rPr>
            </w:pPr>
            <w:r w:rsidRPr="00A32AF4">
              <w:rPr>
                <w:rFonts w:cs="Arial"/>
                <w:sz w:val="16"/>
                <w:szCs w:val="16"/>
                <w:lang w:bidi="th-TH"/>
              </w:rPr>
              <w:t>Programme 19</w:t>
            </w:r>
          </w:p>
        </w:tc>
      </w:tr>
      <w:tr w:rsidR="0004269B" w:rsidRPr="00A32AF4" w:rsidTr="0046629D">
        <w:trPr>
          <w:cantSplit/>
        </w:trPr>
        <w:tc>
          <w:tcPr>
            <w:tcW w:w="1770" w:type="pct"/>
            <w:shd w:val="clear" w:color="auto" w:fill="auto"/>
            <w:tcMar>
              <w:top w:w="113" w:type="dxa"/>
              <w:bottom w:w="113" w:type="dxa"/>
            </w:tcMar>
          </w:tcPr>
          <w:p w:rsidR="0004269B" w:rsidRPr="00A32AF4" w:rsidRDefault="0004269B" w:rsidP="00DC0553">
            <w:pPr>
              <w:rPr>
                <w:rFonts w:cs="Arial"/>
                <w:sz w:val="16"/>
                <w:szCs w:val="16"/>
              </w:rPr>
            </w:pPr>
          </w:p>
        </w:tc>
        <w:tc>
          <w:tcPr>
            <w:tcW w:w="2161" w:type="pct"/>
            <w:shd w:val="clear" w:color="auto" w:fill="auto"/>
            <w:tcMar>
              <w:top w:w="113" w:type="dxa"/>
              <w:bottom w:w="113" w:type="dxa"/>
            </w:tcMar>
          </w:tcPr>
          <w:p w:rsidR="0004269B" w:rsidRPr="00A32AF4" w:rsidRDefault="00A879BA" w:rsidP="00DC0553">
            <w:pPr>
              <w:rPr>
                <w:rFonts w:cs="Arial"/>
                <w:sz w:val="16"/>
                <w:szCs w:val="16"/>
              </w:rPr>
            </w:pPr>
            <w:r w:rsidRPr="00A32AF4">
              <w:rPr>
                <w:rFonts w:cs="Arial"/>
                <w:sz w:val="16"/>
                <w:szCs w:val="16"/>
              </w:rPr>
              <w:t>Augmentation de la fréquentation du site Web des bureaux extérieurs de l</w:t>
            </w:r>
            <w:r w:rsidR="00E2055A" w:rsidRPr="00A32AF4">
              <w:rPr>
                <w:rFonts w:cs="Arial"/>
                <w:sz w:val="16"/>
                <w:szCs w:val="16"/>
              </w:rPr>
              <w:t>’</w:t>
            </w:r>
            <w:r w:rsidRPr="00A32AF4">
              <w:rPr>
                <w:rFonts w:cs="Arial"/>
                <w:sz w:val="16"/>
                <w:szCs w:val="16"/>
              </w:rPr>
              <w:t>OMPI</w:t>
            </w:r>
          </w:p>
        </w:tc>
        <w:tc>
          <w:tcPr>
            <w:tcW w:w="1069" w:type="pct"/>
            <w:shd w:val="clear" w:color="auto" w:fill="FFFFFF"/>
            <w:tcMar>
              <w:top w:w="113" w:type="dxa"/>
              <w:bottom w:w="113" w:type="dxa"/>
            </w:tcMar>
          </w:tcPr>
          <w:p w:rsidR="0004269B" w:rsidRPr="00A32AF4" w:rsidRDefault="0004269B" w:rsidP="00DC0553">
            <w:pPr>
              <w:jc w:val="center"/>
              <w:rPr>
                <w:rFonts w:cs="Arial"/>
                <w:sz w:val="16"/>
                <w:szCs w:val="16"/>
                <w:lang w:bidi="th-TH"/>
              </w:rPr>
            </w:pPr>
            <w:r w:rsidRPr="00A32AF4">
              <w:rPr>
                <w:rFonts w:cs="Arial"/>
                <w:sz w:val="16"/>
                <w:szCs w:val="16"/>
                <w:lang w:bidi="th-TH"/>
              </w:rPr>
              <w:t>Programme 20</w:t>
            </w:r>
          </w:p>
        </w:tc>
      </w:tr>
      <w:tr w:rsidR="00A879BA" w:rsidRPr="00A32AF4" w:rsidTr="0046629D">
        <w:trPr>
          <w:cantSplit/>
        </w:trPr>
        <w:tc>
          <w:tcPr>
            <w:tcW w:w="1770" w:type="pct"/>
            <w:shd w:val="clear" w:color="auto" w:fill="auto"/>
            <w:tcMar>
              <w:top w:w="113" w:type="dxa"/>
              <w:bottom w:w="113" w:type="dxa"/>
            </w:tcMar>
          </w:tcPr>
          <w:p w:rsidR="00A879BA" w:rsidRPr="00A32AF4" w:rsidRDefault="00A879BA" w:rsidP="00DC0553">
            <w:pPr>
              <w:rPr>
                <w:rFonts w:cs="Arial"/>
                <w:sz w:val="16"/>
                <w:szCs w:val="16"/>
              </w:rPr>
            </w:pPr>
            <w:r w:rsidRPr="00A32AF4">
              <w:rPr>
                <w:rFonts w:cs="Arial"/>
                <w:sz w:val="16"/>
                <w:szCs w:val="16"/>
              </w:rPr>
              <w:t xml:space="preserve">VIII.2 </w:t>
            </w:r>
            <w:r w:rsidRPr="00A32AF4">
              <w:rPr>
                <w:sz w:val="16"/>
                <w:szCs w:val="16"/>
              </w:rPr>
              <w:t>Amélioration de l</w:t>
            </w:r>
            <w:r w:rsidR="00E2055A" w:rsidRPr="00A32AF4">
              <w:rPr>
                <w:sz w:val="16"/>
                <w:szCs w:val="16"/>
              </w:rPr>
              <w:t>’</w:t>
            </w:r>
            <w:r w:rsidRPr="00A32AF4">
              <w:rPr>
                <w:sz w:val="16"/>
                <w:szCs w:val="16"/>
              </w:rPr>
              <w:t>orientation vers les services et de la réactivité à la demande</w:t>
            </w:r>
          </w:p>
        </w:tc>
        <w:tc>
          <w:tcPr>
            <w:tcW w:w="2161" w:type="pct"/>
            <w:shd w:val="clear" w:color="auto" w:fill="auto"/>
            <w:tcMar>
              <w:top w:w="113" w:type="dxa"/>
              <w:bottom w:w="113" w:type="dxa"/>
            </w:tcMar>
          </w:tcPr>
          <w:p w:rsidR="00A879BA" w:rsidRPr="00A32AF4" w:rsidRDefault="00A879BA" w:rsidP="00DC0553">
            <w:pPr>
              <w:keepNext/>
              <w:keepLines/>
              <w:rPr>
                <w:sz w:val="16"/>
                <w:szCs w:val="16"/>
              </w:rPr>
            </w:pPr>
            <w:r w:rsidRPr="00A32AF4">
              <w:rPr>
                <w:sz w:val="16"/>
                <w:szCs w:val="16"/>
              </w:rPr>
              <w:t xml:space="preserve">Utilisateurs satisfaits des services de la Bibliothèque </w:t>
            </w:r>
          </w:p>
        </w:tc>
        <w:tc>
          <w:tcPr>
            <w:tcW w:w="1069" w:type="pct"/>
            <w:shd w:val="clear" w:color="auto" w:fill="FFFFFF"/>
            <w:tcMar>
              <w:top w:w="113" w:type="dxa"/>
              <w:bottom w:w="113" w:type="dxa"/>
            </w:tcMar>
          </w:tcPr>
          <w:p w:rsidR="00A879BA" w:rsidRPr="00A32AF4" w:rsidRDefault="00A879BA" w:rsidP="00DC0553">
            <w:pPr>
              <w:jc w:val="center"/>
              <w:rPr>
                <w:rFonts w:cs="Arial"/>
                <w:sz w:val="16"/>
                <w:szCs w:val="16"/>
                <w:lang w:bidi="th-TH"/>
              </w:rPr>
            </w:pPr>
            <w:r w:rsidRPr="00A32AF4">
              <w:rPr>
                <w:rFonts w:cs="Arial"/>
                <w:sz w:val="16"/>
                <w:szCs w:val="16"/>
                <w:lang w:bidi="th-TH"/>
              </w:rPr>
              <w:t>Programme 19</w:t>
            </w:r>
          </w:p>
        </w:tc>
      </w:tr>
      <w:tr w:rsidR="00A879BA" w:rsidRPr="00A32AF4" w:rsidTr="0046629D">
        <w:trPr>
          <w:cantSplit/>
        </w:trPr>
        <w:tc>
          <w:tcPr>
            <w:tcW w:w="1770" w:type="pct"/>
            <w:shd w:val="clear" w:color="auto" w:fill="auto"/>
            <w:tcMar>
              <w:top w:w="113" w:type="dxa"/>
              <w:bottom w:w="113" w:type="dxa"/>
            </w:tcMar>
          </w:tcPr>
          <w:p w:rsidR="00A879BA" w:rsidRPr="00A32AF4" w:rsidRDefault="00A879BA" w:rsidP="00DC0553">
            <w:pPr>
              <w:rPr>
                <w:rFonts w:cs="Arial"/>
                <w:sz w:val="16"/>
                <w:szCs w:val="16"/>
              </w:rPr>
            </w:pPr>
          </w:p>
        </w:tc>
        <w:tc>
          <w:tcPr>
            <w:tcW w:w="2161" w:type="pct"/>
            <w:shd w:val="clear" w:color="auto" w:fill="auto"/>
            <w:tcMar>
              <w:top w:w="113" w:type="dxa"/>
              <w:bottom w:w="113" w:type="dxa"/>
            </w:tcMar>
          </w:tcPr>
          <w:p w:rsidR="00A879BA" w:rsidRPr="00A32AF4" w:rsidRDefault="00A879BA" w:rsidP="00DC0553">
            <w:pPr>
              <w:keepNext/>
              <w:keepLines/>
              <w:rPr>
                <w:sz w:val="16"/>
                <w:szCs w:val="16"/>
              </w:rPr>
            </w:pPr>
            <w:r w:rsidRPr="00A32AF4">
              <w:rPr>
                <w:sz w:val="16"/>
                <w:szCs w:val="16"/>
              </w:rPr>
              <w:t>Taux de satisfaction des clients et des parties prenantes</w:t>
            </w:r>
          </w:p>
        </w:tc>
        <w:tc>
          <w:tcPr>
            <w:tcW w:w="1069" w:type="pct"/>
            <w:shd w:val="clear" w:color="auto" w:fill="FFFFFF"/>
            <w:tcMar>
              <w:top w:w="113" w:type="dxa"/>
              <w:bottom w:w="113" w:type="dxa"/>
            </w:tcMar>
          </w:tcPr>
          <w:p w:rsidR="00A879BA" w:rsidRPr="00A32AF4" w:rsidRDefault="00A879BA" w:rsidP="00DC0553">
            <w:pPr>
              <w:jc w:val="center"/>
              <w:rPr>
                <w:rFonts w:cs="Arial"/>
                <w:sz w:val="16"/>
                <w:szCs w:val="16"/>
                <w:lang w:bidi="th-TH"/>
              </w:rPr>
            </w:pPr>
            <w:r w:rsidRPr="00A32AF4">
              <w:rPr>
                <w:rFonts w:cs="Arial"/>
                <w:sz w:val="16"/>
                <w:szCs w:val="16"/>
                <w:lang w:bidi="th-TH"/>
              </w:rPr>
              <w:t>Programme 19</w:t>
            </w:r>
          </w:p>
        </w:tc>
      </w:tr>
      <w:tr w:rsidR="00A879BA" w:rsidRPr="00A32AF4" w:rsidTr="0046629D">
        <w:trPr>
          <w:cantSplit/>
        </w:trPr>
        <w:tc>
          <w:tcPr>
            <w:tcW w:w="1770" w:type="pct"/>
            <w:shd w:val="clear" w:color="auto" w:fill="auto"/>
            <w:tcMar>
              <w:top w:w="113" w:type="dxa"/>
              <w:bottom w:w="113" w:type="dxa"/>
            </w:tcMar>
          </w:tcPr>
          <w:p w:rsidR="00A879BA" w:rsidRPr="00A32AF4" w:rsidRDefault="00A879BA" w:rsidP="00DC0553">
            <w:pPr>
              <w:rPr>
                <w:rFonts w:cs="Arial"/>
                <w:sz w:val="16"/>
                <w:szCs w:val="16"/>
              </w:rPr>
            </w:pPr>
          </w:p>
        </w:tc>
        <w:tc>
          <w:tcPr>
            <w:tcW w:w="2161" w:type="pct"/>
            <w:shd w:val="clear" w:color="auto" w:fill="auto"/>
            <w:tcMar>
              <w:top w:w="113" w:type="dxa"/>
              <w:bottom w:w="113" w:type="dxa"/>
            </w:tcMar>
          </w:tcPr>
          <w:p w:rsidR="00A879BA" w:rsidRPr="00A32AF4" w:rsidRDefault="00A879BA" w:rsidP="00DC0553">
            <w:pPr>
              <w:rPr>
                <w:sz w:val="16"/>
                <w:szCs w:val="16"/>
              </w:rPr>
            </w:pPr>
            <w:r w:rsidRPr="00A32AF4">
              <w:rPr>
                <w:sz w:val="16"/>
                <w:szCs w:val="16"/>
              </w:rPr>
              <w:t>Normes de services du Centre de services à la clientèle de l</w:t>
            </w:r>
            <w:r w:rsidR="00E2055A" w:rsidRPr="00A32AF4">
              <w:rPr>
                <w:sz w:val="16"/>
                <w:szCs w:val="16"/>
              </w:rPr>
              <w:t>’</w:t>
            </w:r>
            <w:r w:rsidRPr="00A32AF4">
              <w:rPr>
                <w:sz w:val="16"/>
                <w:szCs w:val="16"/>
              </w:rPr>
              <w:t xml:space="preserve">OMPI </w:t>
            </w:r>
          </w:p>
        </w:tc>
        <w:tc>
          <w:tcPr>
            <w:tcW w:w="1069" w:type="pct"/>
            <w:shd w:val="clear" w:color="auto" w:fill="FFFFFF"/>
            <w:tcMar>
              <w:top w:w="113" w:type="dxa"/>
              <w:bottom w:w="113" w:type="dxa"/>
            </w:tcMar>
          </w:tcPr>
          <w:p w:rsidR="00A879BA" w:rsidRPr="00A32AF4" w:rsidRDefault="00A879BA" w:rsidP="00DC0553">
            <w:pPr>
              <w:jc w:val="center"/>
              <w:rPr>
                <w:rFonts w:cs="Arial"/>
                <w:sz w:val="16"/>
                <w:szCs w:val="16"/>
                <w:lang w:bidi="th-TH"/>
              </w:rPr>
            </w:pPr>
            <w:r w:rsidRPr="00A32AF4">
              <w:rPr>
                <w:rFonts w:cs="Arial"/>
                <w:sz w:val="16"/>
                <w:szCs w:val="16"/>
                <w:lang w:bidi="th-TH"/>
              </w:rPr>
              <w:t>Programme 19</w:t>
            </w:r>
          </w:p>
        </w:tc>
      </w:tr>
      <w:tr w:rsidR="00A879BA" w:rsidRPr="00A32AF4" w:rsidTr="0046629D">
        <w:trPr>
          <w:cantSplit/>
        </w:trPr>
        <w:tc>
          <w:tcPr>
            <w:tcW w:w="1770" w:type="pct"/>
            <w:shd w:val="clear" w:color="auto" w:fill="auto"/>
            <w:tcMar>
              <w:top w:w="113" w:type="dxa"/>
              <w:bottom w:w="113" w:type="dxa"/>
            </w:tcMar>
          </w:tcPr>
          <w:p w:rsidR="00A879BA" w:rsidRPr="00A32AF4" w:rsidRDefault="00A879BA" w:rsidP="00DC0553">
            <w:pPr>
              <w:rPr>
                <w:rFonts w:cs="Arial"/>
                <w:sz w:val="16"/>
                <w:szCs w:val="16"/>
              </w:rPr>
            </w:pPr>
          </w:p>
        </w:tc>
        <w:tc>
          <w:tcPr>
            <w:tcW w:w="2161" w:type="pct"/>
            <w:shd w:val="clear" w:color="auto" w:fill="auto"/>
            <w:tcMar>
              <w:top w:w="113" w:type="dxa"/>
              <w:bottom w:w="113" w:type="dxa"/>
            </w:tcMar>
          </w:tcPr>
          <w:p w:rsidR="00A879BA" w:rsidRPr="00A32AF4" w:rsidRDefault="00A879BA" w:rsidP="00DC0553">
            <w:pPr>
              <w:rPr>
                <w:rFonts w:cs="Arial"/>
                <w:sz w:val="16"/>
                <w:szCs w:val="16"/>
              </w:rPr>
            </w:pPr>
            <w:r w:rsidRPr="00A32AF4">
              <w:rPr>
                <w:rFonts w:cs="Arial"/>
                <w:sz w:val="16"/>
                <w:szCs w:val="16"/>
              </w:rPr>
              <w:t>Durée de traitement des demandes de renseignements</w:t>
            </w:r>
          </w:p>
        </w:tc>
        <w:tc>
          <w:tcPr>
            <w:tcW w:w="1069" w:type="pct"/>
            <w:shd w:val="clear" w:color="auto" w:fill="FFFFFF"/>
            <w:tcMar>
              <w:top w:w="113" w:type="dxa"/>
              <w:bottom w:w="113" w:type="dxa"/>
            </w:tcMar>
          </w:tcPr>
          <w:p w:rsidR="00A879BA" w:rsidRPr="00A32AF4" w:rsidRDefault="00A879BA" w:rsidP="00DC0553">
            <w:pPr>
              <w:jc w:val="center"/>
              <w:rPr>
                <w:rFonts w:cs="Arial"/>
                <w:sz w:val="16"/>
                <w:szCs w:val="16"/>
                <w:lang w:bidi="th-TH"/>
              </w:rPr>
            </w:pPr>
            <w:r w:rsidRPr="00A32AF4">
              <w:rPr>
                <w:rFonts w:cs="Arial"/>
                <w:sz w:val="16"/>
                <w:szCs w:val="16"/>
                <w:lang w:bidi="th-TH"/>
              </w:rPr>
              <w:t>Programme 20</w:t>
            </w:r>
          </w:p>
        </w:tc>
      </w:tr>
      <w:tr w:rsidR="00A879BA" w:rsidRPr="00A32AF4" w:rsidTr="0046629D">
        <w:trPr>
          <w:cantSplit/>
        </w:trPr>
        <w:tc>
          <w:tcPr>
            <w:tcW w:w="1770" w:type="pct"/>
            <w:shd w:val="clear" w:color="auto" w:fill="auto"/>
            <w:tcMar>
              <w:top w:w="113" w:type="dxa"/>
              <w:bottom w:w="113" w:type="dxa"/>
            </w:tcMar>
          </w:tcPr>
          <w:p w:rsidR="00A879BA" w:rsidRPr="00A32AF4" w:rsidRDefault="00A879BA" w:rsidP="00DC0553">
            <w:pPr>
              <w:rPr>
                <w:rFonts w:cs="Arial"/>
                <w:sz w:val="16"/>
                <w:szCs w:val="16"/>
              </w:rPr>
            </w:pPr>
            <w:r w:rsidRPr="00A32AF4">
              <w:rPr>
                <w:rFonts w:cs="Arial"/>
                <w:sz w:val="16"/>
                <w:szCs w:val="16"/>
              </w:rPr>
              <w:t xml:space="preserve">VIII.3 </w:t>
            </w:r>
            <w:r w:rsidRPr="00A32AF4">
              <w:rPr>
                <w:sz w:val="16"/>
                <w:szCs w:val="16"/>
              </w:rPr>
              <w:t>Engagement réel auprès des États membres</w:t>
            </w:r>
          </w:p>
        </w:tc>
        <w:tc>
          <w:tcPr>
            <w:tcW w:w="2161" w:type="pct"/>
            <w:shd w:val="clear" w:color="auto" w:fill="auto"/>
            <w:tcMar>
              <w:top w:w="113" w:type="dxa"/>
              <w:bottom w:w="113" w:type="dxa"/>
            </w:tcMar>
          </w:tcPr>
          <w:p w:rsidR="00A879BA" w:rsidRPr="00A32AF4" w:rsidRDefault="00A879BA" w:rsidP="00DC0553">
            <w:pPr>
              <w:keepNext/>
              <w:keepLines/>
              <w:rPr>
                <w:rFonts w:cs="Arial"/>
                <w:sz w:val="16"/>
                <w:szCs w:val="16"/>
              </w:rPr>
            </w:pPr>
            <w:r w:rsidRPr="00A32AF4">
              <w:rPr>
                <w:rFonts w:cs="Arial"/>
                <w:sz w:val="16"/>
                <w:szCs w:val="16"/>
              </w:rPr>
              <w:t>Pourcentage de réunions de comité pour lesquelles des réunions d</w:t>
            </w:r>
            <w:r w:rsidR="00E2055A" w:rsidRPr="00A32AF4">
              <w:rPr>
                <w:rFonts w:cs="Arial"/>
                <w:sz w:val="16"/>
                <w:szCs w:val="16"/>
              </w:rPr>
              <w:t>’</w:t>
            </w:r>
            <w:r w:rsidRPr="00A32AF4">
              <w:rPr>
                <w:rFonts w:cs="Arial"/>
                <w:sz w:val="16"/>
                <w:szCs w:val="16"/>
              </w:rPr>
              <w:t>information préalables sont tenues pour les États membres</w:t>
            </w:r>
          </w:p>
        </w:tc>
        <w:tc>
          <w:tcPr>
            <w:tcW w:w="1069" w:type="pct"/>
            <w:shd w:val="clear" w:color="auto" w:fill="FFFFFF"/>
            <w:tcMar>
              <w:top w:w="113" w:type="dxa"/>
              <w:bottom w:w="113" w:type="dxa"/>
            </w:tcMar>
          </w:tcPr>
          <w:p w:rsidR="00A879BA" w:rsidRPr="00A32AF4" w:rsidRDefault="00A879BA" w:rsidP="00DC0553">
            <w:pPr>
              <w:jc w:val="center"/>
              <w:rPr>
                <w:rFonts w:cs="Arial"/>
                <w:sz w:val="16"/>
                <w:szCs w:val="16"/>
                <w:lang w:bidi="th-TH"/>
              </w:rPr>
            </w:pPr>
            <w:r w:rsidRPr="00A32AF4">
              <w:rPr>
                <w:rFonts w:cs="Arial"/>
                <w:sz w:val="16"/>
                <w:szCs w:val="16"/>
                <w:lang w:bidi="th-TH"/>
              </w:rPr>
              <w:t>Programme 21</w:t>
            </w:r>
          </w:p>
        </w:tc>
      </w:tr>
      <w:tr w:rsidR="00A879BA" w:rsidRPr="00A32AF4" w:rsidTr="0046629D">
        <w:trPr>
          <w:cantSplit/>
        </w:trPr>
        <w:tc>
          <w:tcPr>
            <w:tcW w:w="1770" w:type="pct"/>
            <w:shd w:val="clear" w:color="auto" w:fill="auto"/>
            <w:tcMar>
              <w:top w:w="113" w:type="dxa"/>
              <w:bottom w:w="113" w:type="dxa"/>
            </w:tcMar>
          </w:tcPr>
          <w:p w:rsidR="00A879BA" w:rsidRPr="00A32AF4" w:rsidRDefault="00A879BA" w:rsidP="00DC0553">
            <w:pPr>
              <w:rPr>
                <w:rFonts w:cs="Arial"/>
                <w:sz w:val="16"/>
                <w:szCs w:val="16"/>
              </w:rPr>
            </w:pPr>
          </w:p>
        </w:tc>
        <w:tc>
          <w:tcPr>
            <w:tcW w:w="2161" w:type="pct"/>
            <w:shd w:val="clear" w:color="auto" w:fill="auto"/>
            <w:tcMar>
              <w:top w:w="113" w:type="dxa"/>
              <w:bottom w:w="113" w:type="dxa"/>
            </w:tcMar>
          </w:tcPr>
          <w:p w:rsidR="00A879BA" w:rsidRPr="00A32AF4" w:rsidRDefault="00A879BA" w:rsidP="00DC0553">
            <w:pPr>
              <w:rPr>
                <w:rFonts w:cs="Arial"/>
                <w:sz w:val="16"/>
                <w:szCs w:val="16"/>
              </w:rPr>
            </w:pPr>
            <w:r w:rsidRPr="00A32AF4">
              <w:rPr>
                <w:rFonts w:cs="Arial"/>
                <w:sz w:val="16"/>
                <w:szCs w:val="16"/>
              </w:rPr>
              <w:t>Pourcentage d</w:t>
            </w:r>
            <w:r w:rsidR="00E2055A" w:rsidRPr="00A32AF4">
              <w:rPr>
                <w:rFonts w:cs="Arial"/>
                <w:sz w:val="16"/>
                <w:szCs w:val="16"/>
              </w:rPr>
              <w:t>’</w:t>
            </w:r>
            <w:r w:rsidRPr="00A32AF4">
              <w:rPr>
                <w:rFonts w:cs="Arial"/>
                <w:sz w:val="16"/>
                <w:szCs w:val="16"/>
              </w:rPr>
              <w:t>actes d</w:t>
            </w:r>
            <w:r w:rsidR="00E2055A" w:rsidRPr="00A32AF4">
              <w:rPr>
                <w:rFonts w:cs="Arial"/>
                <w:sz w:val="16"/>
                <w:szCs w:val="16"/>
              </w:rPr>
              <w:t>’</w:t>
            </w:r>
            <w:r w:rsidRPr="00A32AF4">
              <w:rPr>
                <w:rFonts w:cs="Arial"/>
                <w:sz w:val="16"/>
                <w:szCs w:val="16"/>
              </w:rPr>
              <w:t xml:space="preserve">adhésion et autres actes accomplis </w:t>
            </w:r>
            <w:r w:rsidR="00E2055A" w:rsidRPr="00A32AF4">
              <w:rPr>
                <w:rFonts w:cs="Arial"/>
                <w:sz w:val="16"/>
                <w:szCs w:val="16"/>
              </w:rPr>
              <w:t>à l’égard</w:t>
            </w:r>
            <w:r w:rsidRPr="00A32AF4">
              <w:rPr>
                <w:rFonts w:cs="Arial"/>
                <w:sz w:val="16"/>
                <w:szCs w:val="16"/>
              </w:rPr>
              <w:t xml:space="preserve"> de traités faisant l</w:t>
            </w:r>
            <w:r w:rsidR="00E2055A" w:rsidRPr="00A32AF4">
              <w:rPr>
                <w:rFonts w:cs="Arial"/>
                <w:sz w:val="16"/>
                <w:szCs w:val="16"/>
              </w:rPr>
              <w:t>’</w:t>
            </w:r>
            <w:r w:rsidRPr="00A32AF4">
              <w:rPr>
                <w:rFonts w:cs="Arial"/>
                <w:sz w:val="16"/>
                <w:szCs w:val="16"/>
              </w:rPr>
              <w:t>objet d</w:t>
            </w:r>
            <w:r w:rsidR="00E2055A" w:rsidRPr="00A32AF4">
              <w:rPr>
                <w:rFonts w:cs="Arial"/>
                <w:sz w:val="16"/>
                <w:szCs w:val="16"/>
              </w:rPr>
              <w:t>’</w:t>
            </w:r>
            <w:r w:rsidRPr="00A32AF4">
              <w:rPr>
                <w:rFonts w:cs="Arial"/>
                <w:sz w:val="16"/>
                <w:szCs w:val="16"/>
              </w:rPr>
              <w:t>un traitement dans les délais requis</w:t>
            </w:r>
          </w:p>
        </w:tc>
        <w:tc>
          <w:tcPr>
            <w:tcW w:w="1069" w:type="pct"/>
            <w:shd w:val="clear" w:color="auto" w:fill="FFFFFF"/>
            <w:tcMar>
              <w:top w:w="113" w:type="dxa"/>
              <w:bottom w:w="113" w:type="dxa"/>
            </w:tcMar>
          </w:tcPr>
          <w:p w:rsidR="00A879BA" w:rsidRPr="00A32AF4" w:rsidRDefault="00A879BA" w:rsidP="00DC0553">
            <w:pPr>
              <w:jc w:val="center"/>
              <w:rPr>
                <w:rFonts w:cs="Arial"/>
                <w:sz w:val="16"/>
                <w:szCs w:val="16"/>
                <w:lang w:bidi="th-TH"/>
              </w:rPr>
            </w:pPr>
            <w:r w:rsidRPr="00A32AF4">
              <w:rPr>
                <w:rFonts w:cs="Arial"/>
                <w:sz w:val="16"/>
                <w:szCs w:val="16"/>
                <w:lang w:bidi="th-TH"/>
              </w:rPr>
              <w:t>Programme 21</w:t>
            </w:r>
          </w:p>
        </w:tc>
      </w:tr>
      <w:tr w:rsidR="00A879BA" w:rsidRPr="00A32AF4" w:rsidTr="0046629D">
        <w:trPr>
          <w:cantSplit/>
        </w:trPr>
        <w:tc>
          <w:tcPr>
            <w:tcW w:w="1770" w:type="pct"/>
            <w:shd w:val="clear" w:color="auto" w:fill="auto"/>
            <w:tcMar>
              <w:top w:w="113" w:type="dxa"/>
              <w:bottom w:w="113" w:type="dxa"/>
            </w:tcMar>
          </w:tcPr>
          <w:p w:rsidR="00A879BA" w:rsidRPr="00A32AF4" w:rsidRDefault="00A879BA" w:rsidP="00DC0553">
            <w:pPr>
              <w:rPr>
                <w:rFonts w:cs="Arial"/>
                <w:sz w:val="16"/>
                <w:szCs w:val="16"/>
              </w:rPr>
            </w:pPr>
          </w:p>
        </w:tc>
        <w:tc>
          <w:tcPr>
            <w:tcW w:w="2161" w:type="pct"/>
            <w:shd w:val="clear" w:color="auto" w:fill="auto"/>
            <w:tcMar>
              <w:top w:w="113" w:type="dxa"/>
              <w:bottom w:w="113" w:type="dxa"/>
            </w:tcMar>
          </w:tcPr>
          <w:p w:rsidR="00A879BA" w:rsidRPr="00A32AF4" w:rsidRDefault="00A879BA" w:rsidP="00DC0553">
            <w:pPr>
              <w:rPr>
                <w:rFonts w:cs="Arial"/>
                <w:sz w:val="16"/>
                <w:szCs w:val="16"/>
              </w:rPr>
            </w:pPr>
            <w:r w:rsidRPr="00A32AF4">
              <w:rPr>
                <w:rFonts w:cs="Arial"/>
                <w:sz w:val="16"/>
                <w:szCs w:val="16"/>
              </w:rPr>
              <w:t>Délais de publication des documents des assemblées</w:t>
            </w:r>
          </w:p>
        </w:tc>
        <w:tc>
          <w:tcPr>
            <w:tcW w:w="1069" w:type="pct"/>
            <w:shd w:val="clear" w:color="auto" w:fill="FFFFFF"/>
            <w:tcMar>
              <w:top w:w="113" w:type="dxa"/>
              <w:bottom w:w="113" w:type="dxa"/>
            </w:tcMar>
          </w:tcPr>
          <w:p w:rsidR="00A879BA" w:rsidRPr="00A32AF4" w:rsidRDefault="00A879BA" w:rsidP="00DC0553">
            <w:pPr>
              <w:jc w:val="center"/>
              <w:rPr>
                <w:rFonts w:cs="Arial"/>
                <w:sz w:val="16"/>
                <w:szCs w:val="16"/>
                <w:lang w:bidi="th-TH"/>
              </w:rPr>
            </w:pPr>
            <w:r w:rsidRPr="00A32AF4">
              <w:rPr>
                <w:rFonts w:cs="Arial"/>
                <w:sz w:val="16"/>
                <w:szCs w:val="16"/>
                <w:lang w:bidi="th-TH"/>
              </w:rPr>
              <w:t>Programme 21</w:t>
            </w:r>
          </w:p>
        </w:tc>
      </w:tr>
      <w:tr w:rsidR="00A879BA" w:rsidRPr="00A32AF4" w:rsidTr="0046629D">
        <w:trPr>
          <w:cantSplit/>
        </w:trPr>
        <w:tc>
          <w:tcPr>
            <w:tcW w:w="1770" w:type="pct"/>
            <w:shd w:val="clear" w:color="auto" w:fill="auto"/>
            <w:tcMar>
              <w:top w:w="113" w:type="dxa"/>
              <w:bottom w:w="113" w:type="dxa"/>
            </w:tcMar>
          </w:tcPr>
          <w:p w:rsidR="00A879BA" w:rsidRPr="00A32AF4" w:rsidRDefault="00A879BA" w:rsidP="00DC0553">
            <w:pPr>
              <w:rPr>
                <w:rFonts w:cs="Arial"/>
                <w:sz w:val="16"/>
                <w:szCs w:val="16"/>
              </w:rPr>
            </w:pPr>
          </w:p>
        </w:tc>
        <w:tc>
          <w:tcPr>
            <w:tcW w:w="2161" w:type="pct"/>
            <w:shd w:val="clear" w:color="auto" w:fill="auto"/>
            <w:tcMar>
              <w:top w:w="113" w:type="dxa"/>
              <w:bottom w:w="113" w:type="dxa"/>
            </w:tcMar>
          </w:tcPr>
          <w:p w:rsidR="00A879BA" w:rsidRPr="00A32AF4" w:rsidRDefault="00A879BA" w:rsidP="00DC0553">
            <w:pPr>
              <w:rPr>
                <w:rFonts w:cs="Arial"/>
                <w:sz w:val="16"/>
                <w:szCs w:val="16"/>
              </w:rPr>
            </w:pPr>
            <w:r w:rsidRPr="00A32AF4">
              <w:rPr>
                <w:rFonts w:cs="Arial"/>
                <w:sz w:val="16"/>
                <w:szCs w:val="16"/>
              </w:rPr>
              <w:t>Taux de satisfaction des États membres et des parties prenantes en ce concerne l</w:t>
            </w:r>
            <w:r w:rsidR="00E2055A" w:rsidRPr="00A32AF4">
              <w:rPr>
                <w:rFonts w:cs="Arial"/>
                <w:sz w:val="16"/>
                <w:szCs w:val="16"/>
              </w:rPr>
              <w:t>’</w:t>
            </w:r>
            <w:r w:rsidRPr="00A32AF4">
              <w:rPr>
                <w:rFonts w:cs="Arial"/>
                <w:sz w:val="16"/>
                <w:szCs w:val="16"/>
              </w:rPr>
              <w:t>organisation des événements</w:t>
            </w:r>
          </w:p>
        </w:tc>
        <w:tc>
          <w:tcPr>
            <w:tcW w:w="1069" w:type="pct"/>
            <w:shd w:val="clear" w:color="auto" w:fill="FFFFFF"/>
            <w:tcMar>
              <w:top w:w="113" w:type="dxa"/>
              <w:bottom w:w="113" w:type="dxa"/>
            </w:tcMar>
          </w:tcPr>
          <w:p w:rsidR="00A879BA" w:rsidRPr="00A32AF4" w:rsidRDefault="00A879BA" w:rsidP="00DC0553">
            <w:pPr>
              <w:jc w:val="center"/>
              <w:rPr>
                <w:rFonts w:cs="Arial"/>
                <w:sz w:val="16"/>
                <w:szCs w:val="16"/>
                <w:lang w:bidi="th-TH"/>
              </w:rPr>
            </w:pPr>
            <w:r w:rsidRPr="00A32AF4">
              <w:rPr>
                <w:rFonts w:cs="Arial"/>
                <w:sz w:val="16"/>
                <w:szCs w:val="16"/>
                <w:lang w:bidi="th-TH"/>
              </w:rPr>
              <w:t>Programme 21</w:t>
            </w:r>
          </w:p>
        </w:tc>
      </w:tr>
      <w:tr w:rsidR="00A879BA" w:rsidRPr="00A32AF4" w:rsidTr="0046629D">
        <w:trPr>
          <w:cantSplit/>
        </w:trPr>
        <w:tc>
          <w:tcPr>
            <w:tcW w:w="1770" w:type="pct"/>
            <w:shd w:val="clear" w:color="auto" w:fill="auto"/>
            <w:tcMar>
              <w:top w:w="113" w:type="dxa"/>
              <w:bottom w:w="113" w:type="dxa"/>
            </w:tcMar>
          </w:tcPr>
          <w:p w:rsidR="00A879BA" w:rsidRPr="00A32AF4" w:rsidRDefault="00A879BA" w:rsidP="00DC0553">
            <w:pPr>
              <w:rPr>
                <w:rFonts w:cs="Arial"/>
                <w:sz w:val="16"/>
                <w:szCs w:val="16"/>
              </w:rPr>
            </w:pPr>
          </w:p>
        </w:tc>
        <w:tc>
          <w:tcPr>
            <w:tcW w:w="2161" w:type="pct"/>
            <w:shd w:val="clear" w:color="auto" w:fill="auto"/>
            <w:tcMar>
              <w:top w:w="113" w:type="dxa"/>
              <w:bottom w:w="113" w:type="dxa"/>
            </w:tcMar>
          </w:tcPr>
          <w:p w:rsidR="00A879BA" w:rsidRPr="00A32AF4" w:rsidRDefault="00A879BA" w:rsidP="00DC0553">
            <w:pPr>
              <w:rPr>
                <w:rFonts w:cs="Arial"/>
                <w:sz w:val="16"/>
                <w:szCs w:val="16"/>
              </w:rPr>
            </w:pPr>
            <w:r w:rsidRPr="00A32AF4">
              <w:rPr>
                <w:rFonts w:cs="Arial"/>
                <w:sz w:val="16"/>
                <w:szCs w:val="16"/>
              </w:rPr>
              <w:t>Taux de satisfaction des délégués en ce qui concerne l</w:t>
            </w:r>
            <w:r w:rsidR="00E2055A" w:rsidRPr="00A32AF4">
              <w:rPr>
                <w:rFonts w:cs="Arial"/>
                <w:sz w:val="16"/>
                <w:szCs w:val="16"/>
              </w:rPr>
              <w:t>’</w:t>
            </w:r>
            <w:r w:rsidRPr="00A32AF4">
              <w:rPr>
                <w:rFonts w:cs="Arial"/>
                <w:sz w:val="16"/>
                <w:szCs w:val="16"/>
              </w:rPr>
              <w:t>organisation des assemblées</w:t>
            </w:r>
          </w:p>
        </w:tc>
        <w:tc>
          <w:tcPr>
            <w:tcW w:w="1069" w:type="pct"/>
            <w:shd w:val="clear" w:color="auto" w:fill="FFFFFF"/>
            <w:tcMar>
              <w:top w:w="113" w:type="dxa"/>
              <w:bottom w:w="113" w:type="dxa"/>
            </w:tcMar>
          </w:tcPr>
          <w:p w:rsidR="00A879BA" w:rsidRPr="00A32AF4" w:rsidRDefault="00A879BA" w:rsidP="00DC0553">
            <w:pPr>
              <w:jc w:val="center"/>
              <w:rPr>
                <w:rFonts w:cs="Arial"/>
                <w:sz w:val="16"/>
                <w:szCs w:val="16"/>
                <w:lang w:bidi="th-TH"/>
              </w:rPr>
            </w:pPr>
            <w:r w:rsidRPr="00A32AF4">
              <w:rPr>
                <w:rFonts w:cs="Arial"/>
                <w:sz w:val="16"/>
                <w:szCs w:val="16"/>
                <w:lang w:bidi="th-TH"/>
              </w:rPr>
              <w:t>Programme 21</w:t>
            </w:r>
          </w:p>
        </w:tc>
      </w:tr>
      <w:tr w:rsidR="00A879BA" w:rsidRPr="00A32AF4" w:rsidTr="0046629D">
        <w:trPr>
          <w:cantSplit/>
        </w:trPr>
        <w:tc>
          <w:tcPr>
            <w:tcW w:w="1770" w:type="pct"/>
            <w:shd w:val="clear" w:color="auto" w:fill="auto"/>
            <w:tcMar>
              <w:top w:w="113" w:type="dxa"/>
              <w:bottom w:w="113" w:type="dxa"/>
            </w:tcMar>
          </w:tcPr>
          <w:p w:rsidR="00A879BA" w:rsidRPr="00A32AF4" w:rsidRDefault="00A879BA" w:rsidP="00DC0553">
            <w:pPr>
              <w:rPr>
                <w:rFonts w:cs="Arial"/>
                <w:sz w:val="16"/>
                <w:szCs w:val="16"/>
              </w:rPr>
            </w:pPr>
            <w:r w:rsidRPr="00A32AF4">
              <w:rPr>
                <w:rFonts w:cs="Arial"/>
                <w:sz w:val="16"/>
                <w:szCs w:val="16"/>
              </w:rPr>
              <w:t xml:space="preserve">VIII.4 </w:t>
            </w:r>
            <w:r w:rsidRPr="00A32AF4">
              <w:rPr>
                <w:sz w:val="16"/>
                <w:szCs w:val="16"/>
              </w:rPr>
              <w:t>Échanges ouverts, transparents et dynamiques avec les parties prenantes non gouvernementales</w:t>
            </w:r>
          </w:p>
        </w:tc>
        <w:tc>
          <w:tcPr>
            <w:tcW w:w="2161" w:type="pct"/>
            <w:shd w:val="clear" w:color="auto" w:fill="auto"/>
            <w:tcMar>
              <w:top w:w="113" w:type="dxa"/>
              <w:bottom w:w="113" w:type="dxa"/>
            </w:tcMar>
          </w:tcPr>
          <w:p w:rsidR="00A879BA" w:rsidRPr="00A32AF4" w:rsidRDefault="00A879BA" w:rsidP="00DC0553">
            <w:pPr>
              <w:rPr>
                <w:rFonts w:cs="Arial"/>
                <w:sz w:val="16"/>
                <w:szCs w:val="16"/>
              </w:rPr>
            </w:pPr>
            <w:r w:rsidRPr="00A32AF4">
              <w:rPr>
                <w:rFonts w:cs="Arial"/>
                <w:sz w:val="16"/>
                <w:szCs w:val="16"/>
              </w:rPr>
              <w:t>Nombre d</w:t>
            </w:r>
            <w:r w:rsidR="00E2055A" w:rsidRPr="00A32AF4">
              <w:rPr>
                <w:rFonts w:cs="Arial"/>
                <w:sz w:val="16"/>
                <w:szCs w:val="16"/>
              </w:rPr>
              <w:t>’</w:t>
            </w:r>
            <w:r w:rsidRPr="00A32AF4">
              <w:rPr>
                <w:rFonts w:cs="Arial"/>
                <w:sz w:val="16"/>
                <w:szCs w:val="16"/>
              </w:rPr>
              <w:t>ONG ayant le statut d</w:t>
            </w:r>
            <w:r w:rsidR="00E2055A" w:rsidRPr="00A32AF4">
              <w:rPr>
                <w:rFonts w:cs="Arial"/>
                <w:sz w:val="16"/>
                <w:szCs w:val="16"/>
              </w:rPr>
              <w:t>’</w:t>
            </w:r>
            <w:r w:rsidRPr="00A32AF4">
              <w:rPr>
                <w:rFonts w:cs="Arial"/>
                <w:sz w:val="16"/>
                <w:szCs w:val="16"/>
              </w:rPr>
              <w:t>observateur permanent qui participent aux travaux de l</w:t>
            </w:r>
            <w:r w:rsidR="00E2055A" w:rsidRPr="00A32AF4">
              <w:rPr>
                <w:rFonts w:cs="Arial"/>
                <w:sz w:val="16"/>
                <w:szCs w:val="16"/>
              </w:rPr>
              <w:t>’</w:t>
            </w:r>
            <w:r w:rsidRPr="00A32AF4">
              <w:rPr>
                <w:rFonts w:cs="Arial"/>
                <w:sz w:val="16"/>
                <w:szCs w:val="16"/>
              </w:rPr>
              <w:t>OMPI et inversement</w:t>
            </w:r>
          </w:p>
        </w:tc>
        <w:tc>
          <w:tcPr>
            <w:tcW w:w="1069" w:type="pct"/>
            <w:shd w:val="clear" w:color="auto" w:fill="FFFFFF"/>
            <w:tcMar>
              <w:top w:w="113" w:type="dxa"/>
              <w:bottom w:w="113" w:type="dxa"/>
            </w:tcMar>
          </w:tcPr>
          <w:p w:rsidR="00A879BA" w:rsidRPr="00A32AF4" w:rsidRDefault="00A879BA" w:rsidP="00DC0553">
            <w:pPr>
              <w:jc w:val="center"/>
              <w:rPr>
                <w:rFonts w:cs="Arial"/>
                <w:sz w:val="16"/>
                <w:szCs w:val="16"/>
                <w:lang w:bidi="th-TH"/>
              </w:rPr>
            </w:pPr>
            <w:r w:rsidRPr="00A32AF4">
              <w:rPr>
                <w:rFonts w:cs="Arial"/>
                <w:sz w:val="16"/>
                <w:szCs w:val="16"/>
                <w:lang w:bidi="th-TH"/>
              </w:rPr>
              <w:t>Programme 21</w:t>
            </w:r>
          </w:p>
        </w:tc>
      </w:tr>
      <w:tr w:rsidR="0004269B" w:rsidRPr="00A32AF4" w:rsidTr="0046629D">
        <w:trPr>
          <w:cantSplit/>
        </w:trPr>
        <w:tc>
          <w:tcPr>
            <w:tcW w:w="1770" w:type="pct"/>
            <w:shd w:val="clear" w:color="auto" w:fill="auto"/>
            <w:tcMar>
              <w:top w:w="113" w:type="dxa"/>
              <w:bottom w:w="113" w:type="dxa"/>
            </w:tcMar>
          </w:tcPr>
          <w:p w:rsidR="0004269B" w:rsidRPr="00A32AF4" w:rsidRDefault="0004269B" w:rsidP="00DC0553">
            <w:pPr>
              <w:rPr>
                <w:rFonts w:cs="Arial"/>
                <w:sz w:val="16"/>
                <w:szCs w:val="16"/>
              </w:rPr>
            </w:pPr>
            <w:r w:rsidRPr="00A32AF4">
              <w:rPr>
                <w:rFonts w:cs="Arial"/>
                <w:sz w:val="16"/>
                <w:szCs w:val="16"/>
              </w:rPr>
              <w:t xml:space="preserve">VIII.5 </w:t>
            </w:r>
            <w:r w:rsidRPr="00A32AF4">
              <w:rPr>
                <w:sz w:val="16"/>
                <w:szCs w:val="16"/>
              </w:rPr>
              <w:t>L</w:t>
            </w:r>
            <w:r w:rsidR="00E2055A" w:rsidRPr="00A32AF4">
              <w:rPr>
                <w:sz w:val="16"/>
                <w:szCs w:val="16"/>
              </w:rPr>
              <w:t>’</w:t>
            </w:r>
            <w:r w:rsidRPr="00A32AF4">
              <w:rPr>
                <w:sz w:val="16"/>
                <w:szCs w:val="16"/>
              </w:rPr>
              <w:t>OMPI collabore efficacement avec d</w:t>
            </w:r>
            <w:r w:rsidR="00E2055A" w:rsidRPr="00A32AF4">
              <w:rPr>
                <w:sz w:val="16"/>
                <w:szCs w:val="16"/>
              </w:rPr>
              <w:t>’</w:t>
            </w:r>
            <w:r w:rsidRPr="00A32AF4">
              <w:rPr>
                <w:sz w:val="16"/>
                <w:szCs w:val="16"/>
              </w:rPr>
              <w:t>autres processus et instances de négociation de l</w:t>
            </w:r>
            <w:r w:rsidR="00E2055A" w:rsidRPr="00A32AF4">
              <w:rPr>
                <w:sz w:val="16"/>
                <w:szCs w:val="16"/>
              </w:rPr>
              <w:t>’</w:t>
            </w:r>
            <w:r w:rsidRPr="00A32AF4">
              <w:rPr>
                <w:sz w:val="16"/>
                <w:szCs w:val="16"/>
              </w:rPr>
              <w:t>ONU et d</w:t>
            </w:r>
            <w:r w:rsidR="00E2055A" w:rsidRPr="00A32AF4">
              <w:rPr>
                <w:sz w:val="16"/>
                <w:szCs w:val="16"/>
              </w:rPr>
              <w:t>’</w:t>
            </w:r>
            <w:r w:rsidRPr="00A32AF4">
              <w:rPr>
                <w:sz w:val="16"/>
                <w:szCs w:val="16"/>
              </w:rPr>
              <w:t>autres organisations intergouvernementales</w:t>
            </w:r>
          </w:p>
        </w:tc>
        <w:tc>
          <w:tcPr>
            <w:tcW w:w="2161" w:type="pct"/>
            <w:shd w:val="clear" w:color="auto" w:fill="auto"/>
            <w:tcMar>
              <w:top w:w="113" w:type="dxa"/>
              <w:bottom w:w="113" w:type="dxa"/>
            </w:tcMar>
          </w:tcPr>
          <w:p w:rsidR="0004269B" w:rsidRPr="00A32AF4" w:rsidRDefault="00A879BA" w:rsidP="00DC0553">
            <w:pPr>
              <w:rPr>
                <w:rFonts w:cs="Arial"/>
                <w:sz w:val="16"/>
                <w:szCs w:val="16"/>
              </w:rPr>
            </w:pPr>
            <w:r w:rsidRPr="00A32AF4">
              <w:rPr>
                <w:rFonts w:cs="Arial"/>
                <w:sz w:val="16"/>
                <w:szCs w:val="16"/>
              </w:rPr>
              <w:t>Les contributions de l</w:t>
            </w:r>
            <w:r w:rsidR="00E2055A" w:rsidRPr="00A32AF4">
              <w:rPr>
                <w:rFonts w:cs="Arial"/>
                <w:sz w:val="16"/>
                <w:szCs w:val="16"/>
              </w:rPr>
              <w:t>’</w:t>
            </w:r>
            <w:r w:rsidRPr="00A32AF4">
              <w:rPr>
                <w:rFonts w:cs="Arial"/>
                <w:sz w:val="16"/>
                <w:szCs w:val="16"/>
              </w:rPr>
              <w:t>OMPI figurant dans les rapports, les résolutions et les documents émanant de l</w:t>
            </w:r>
            <w:r w:rsidR="00E2055A" w:rsidRPr="00A32AF4">
              <w:rPr>
                <w:rFonts w:cs="Arial"/>
                <w:sz w:val="16"/>
                <w:szCs w:val="16"/>
              </w:rPr>
              <w:t>’</w:t>
            </w:r>
            <w:r w:rsidRPr="00A32AF4">
              <w:rPr>
                <w:rFonts w:cs="Arial"/>
                <w:sz w:val="16"/>
                <w:szCs w:val="16"/>
              </w:rPr>
              <w:t>ONU et d</w:t>
            </w:r>
            <w:r w:rsidR="00E2055A" w:rsidRPr="00A32AF4">
              <w:rPr>
                <w:rFonts w:cs="Arial"/>
                <w:sz w:val="16"/>
                <w:szCs w:val="16"/>
              </w:rPr>
              <w:t>’</w:t>
            </w:r>
            <w:r w:rsidRPr="00A32AF4">
              <w:rPr>
                <w:rFonts w:cs="Arial"/>
                <w:sz w:val="16"/>
                <w:szCs w:val="16"/>
              </w:rPr>
              <w:t>organisations intergouvernementales et relatifs à des processus pertinents et ciblés</w:t>
            </w:r>
          </w:p>
        </w:tc>
        <w:tc>
          <w:tcPr>
            <w:tcW w:w="1069" w:type="pct"/>
            <w:shd w:val="clear" w:color="auto" w:fill="FFFFFF"/>
            <w:tcMar>
              <w:top w:w="113" w:type="dxa"/>
              <w:bottom w:w="113" w:type="dxa"/>
            </w:tcMar>
          </w:tcPr>
          <w:p w:rsidR="0004269B" w:rsidRPr="00A32AF4" w:rsidRDefault="0004269B" w:rsidP="00DC0553">
            <w:pPr>
              <w:jc w:val="center"/>
              <w:rPr>
                <w:rFonts w:cs="Arial"/>
                <w:sz w:val="16"/>
                <w:szCs w:val="16"/>
                <w:lang w:bidi="th-TH"/>
              </w:rPr>
            </w:pPr>
            <w:r w:rsidRPr="00A32AF4">
              <w:rPr>
                <w:rFonts w:cs="Arial"/>
                <w:sz w:val="16"/>
                <w:szCs w:val="16"/>
                <w:lang w:bidi="th-TH"/>
              </w:rPr>
              <w:t>Programme 20</w:t>
            </w:r>
          </w:p>
        </w:tc>
      </w:tr>
      <w:tr w:rsidR="0004269B" w:rsidRPr="00A32AF4" w:rsidTr="0046629D">
        <w:trPr>
          <w:cantSplit/>
        </w:trPr>
        <w:tc>
          <w:tcPr>
            <w:tcW w:w="1770" w:type="pct"/>
            <w:shd w:val="clear" w:color="auto" w:fill="auto"/>
            <w:tcMar>
              <w:top w:w="113" w:type="dxa"/>
              <w:bottom w:w="113" w:type="dxa"/>
            </w:tcMar>
          </w:tcPr>
          <w:p w:rsidR="0004269B" w:rsidRPr="00A32AF4" w:rsidRDefault="0004269B" w:rsidP="00DC0553">
            <w:pPr>
              <w:rPr>
                <w:rFonts w:cs="Arial"/>
                <w:sz w:val="16"/>
                <w:szCs w:val="16"/>
              </w:rPr>
            </w:pPr>
          </w:p>
        </w:tc>
        <w:tc>
          <w:tcPr>
            <w:tcW w:w="2161" w:type="pct"/>
            <w:shd w:val="clear" w:color="auto" w:fill="auto"/>
            <w:tcMar>
              <w:top w:w="113" w:type="dxa"/>
              <w:bottom w:w="113" w:type="dxa"/>
            </w:tcMar>
          </w:tcPr>
          <w:p w:rsidR="0004269B" w:rsidRPr="00A32AF4" w:rsidRDefault="00A879BA" w:rsidP="00DC0553">
            <w:pPr>
              <w:rPr>
                <w:rFonts w:cs="Arial"/>
                <w:sz w:val="16"/>
                <w:szCs w:val="16"/>
              </w:rPr>
            </w:pPr>
            <w:r w:rsidRPr="00A32AF4">
              <w:rPr>
                <w:rFonts w:cs="Arial"/>
                <w:sz w:val="16"/>
                <w:szCs w:val="16"/>
              </w:rPr>
              <w:t>Nombre d</w:t>
            </w:r>
            <w:r w:rsidR="00E2055A" w:rsidRPr="00A32AF4">
              <w:rPr>
                <w:rFonts w:cs="Arial"/>
                <w:sz w:val="16"/>
                <w:szCs w:val="16"/>
              </w:rPr>
              <w:t>’</w:t>
            </w:r>
            <w:r w:rsidRPr="00A32AF4">
              <w:rPr>
                <w:rFonts w:cs="Arial"/>
                <w:sz w:val="16"/>
                <w:szCs w:val="16"/>
              </w:rPr>
              <w:t>initiatives menées par l</w:t>
            </w:r>
            <w:r w:rsidR="00E2055A" w:rsidRPr="00A32AF4">
              <w:rPr>
                <w:rFonts w:cs="Arial"/>
                <w:sz w:val="16"/>
                <w:szCs w:val="16"/>
              </w:rPr>
              <w:t>’</w:t>
            </w:r>
            <w:r w:rsidRPr="00A32AF4">
              <w:rPr>
                <w:rFonts w:cs="Arial"/>
                <w:sz w:val="16"/>
                <w:szCs w:val="16"/>
              </w:rPr>
              <w:t>OMPI en partenariat avec l</w:t>
            </w:r>
            <w:r w:rsidR="00E2055A" w:rsidRPr="00A32AF4">
              <w:rPr>
                <w:rFonts w:cs="Arial"/>
                <w:sz w:val="16"/>
                <w:szCs w:val="16"/>
              </w:rPr>
              <w:t>’</w:t>
            </w:r>
            <w:r w:rsidRPr="00A32AF4">
              <w:rPr>
                <w:rFonts w:cs="Arial"/>
                <w:sz w:val="16"/>
                <w:szCs w:val="16"/>
              </w:rPr>
              <w:t>ONU et d</w:t>
            </w:r>
            <w:r w:rsidR="00E2055A" w:rsidRPr="00A32AF4">
              <w:rPr>
                <w:rFonts w:cs="Arial"/>
                <w:sz w:val="16"/>
                <w:szCs w:val="16"/>
              </w:rPr>
              <w:t>’</w:t>
            </w:r>
            <w:r w:rsidRPr="00A32AF4">
              <w:rPr>
                <w:rFonts w:cs="Arial"/>
                <w:sz w:val="16"/>
                <w:szCs w:val="16"/>
              </w:rPr>
              <w:t>autres organisations intergouvernementales afin de mener à bien les objectifs de développement durable</w:t>
            </w:r>
          </w:p>
        </w:tc>
        <w:tc>
          <w:tcPr>
            <w:tcW w:w="1069" w:type="pct"/>
            <w:shd w:val="clear" w:color="auto" w:fill="FFFFFF"/>
            <w:tcMar>
              <w:top w:w="113" w:type="dxa"/>
              <w:bottom w:w="113" w:type="dxa"/>
            </w:tcMar>
          </w:tcPr>
          <w:p w:rsidR="0004269B" w:rsidRPr="00A32AF4" w:rsidRDefault="0004269B" w:rsidP="00DC0553">
            <w:pPr>
              <w:jc w:val="center"/>
              <w:rPr>
                <w:rFonts w:cs="Arial"/>
                <w:sz w:val="16"/>
                <w:szCs w:val="16"/>
                <w:lang w:bidi="th-TH"/>
              </w:rPr>
            </w:pPr>
            <w:r w:rsidRPr="00A32AF4">
              <w:rPr>
                <w:rFonts w:cs="Arial"/>
                <w:sz w:val="16"/>
                <w:szCs w:val="16"/>
                <w:lang w:bidi="th-TH"/>
              </w:rPr>
              <w:t>Programme 20</w:t>
            </w:r>
          </w:p>
        </w:tc>
      </w:tr>
      <w:tr w:rsidR="00A879BA" w:rsidRPr="00A32AF4" w:rsidTr="0046629D">
        <w:trPr>
          <w:cantSplit/>
        </w:trPr>
        <w:tc>
          <w:tcPr>
            <w:tcW w:w="1770" w:type="pct"/>
            <w:shd w:val="clear" w:color="auto" w:fill="auto"/>
            <w:tcMar>
              <w:top w:w="113" w:type="dxa"/>
              <w:bottom w:w="113" w:type="dxa"/>
            </w:tcMar>
          </w:tcPr>
          <w:p w:rsidR="00A879BA" w:rsidRPr="00A32AF4" w:rsidRDefault="00A879BA" w:rsidP="00DC0553">
            <w:pPr>
              <w:rPr>
                <w:rFonts w:cs="Arial"/>
                <w:sz w:val="16"/>
                <w:szCs w:val="16"/>
              </w:rPr>
            </w:pPr>
          </w:p>
        </w:tc>
        <w:tc>
          <w:tcPr>
            <w:tcW w:w="2161" w:type="pct"/>
            <w:shd w:val="clear" w:color="auto" w:fill="auto"/>
            <w:tcMar>
              <w:top w:w="113" w:type="dxa"/>
              <w:bottom w:w="113" w:type="dxa"/>
            </w:tcMar>
          </w:tcPr>
          <w:p w:rsidR="00A879BA" w:rsidRPr="00A32AF4" w:rsidRDefault="00A879BA" w:rsidP="00DC0553">
            <w:pPr>
              <w:rPr>
                <w:rFonts w:cs="Arial"/>
                <w:sz w:val="16"/>
                <w:szCs w:val="16"/>
              </w:rPr>
            </w:pPr>
            <w:r w:rsidRPr="00A32AF4">
              <w:rPr>
                <w:rFonts w:cs="Arial"/>
                <w:sz w:val="16"/>
                <w:szCs w:val="16"/>
              </w:rPr>
              <w:t>Nombre d</w:t>
            </w:r>
            <w:r w:rsidR="00E2055A" w:rsidRPr="00A32AF4">
              <w:rPr>
                <w:rFonts w:cs="Arial"/>
                <w:sz w:val="16"/>
                <w:szCs w:val="16"/>
              </w:rPr>
              <w:t>’</w:t>
            </w:r>
            <w:r w:rsidRPr="00A32AF4">
              <w:rPr>
                <w:rFonts w:cs="Arial"/>
                <w:sz w:val="16"/>
                <w:szCs w:val="16"/>
              </w:rPr>
              <w:t>activités communes avec le Secrétariat de l</w:t>
            </w:r>
            <w:r w:rsidR="00E2055A" w:rsidRPr="00A32AF4">
              <w:rPr>
                <w:rFonts w:cs="Arial"/>
                <w:sz w:val="16"/>
                <w:szCs w:val="16"/>
              </w:rPr>
              <w:t>’</w:t>
            </w:r>
            <w:r w:rsidRPr="00A32AF4">
              <w:rPr>
                <w:rFonts w:cs="Arial"/>
                <w:sz w:val="16"/>
                <w:szCs w:val="16"/>
              </w:rPr>
              <w:t>ASEAN, l</w:t>
            </w:r>
            <w:r w:rsidR="00E2055A" w:rsidRPr="00A32AF4">
              <w:rPr>
                <w:rFonts w:cs="Arial"/>
                <w:sz w:val="16"/>
                <w:szCs w:val="16"/>
              </w:rPr>
              <w:t>’</w:t>
            </w:r>
            <w:r w:rsidRPr="00A32AF4">
              <w:rPr>
                <w:rFonts w:cs="Arial"/>
                <w:sz w:val="16"/>
                <w:szCs w:val="16"/>
              </w:rPr>
              <w:t>OHMI</w:t>
            </w:r>
            <w:r w:rsidR="00EB7F54" w:rsidRPr="00A32AF4">
              <w:rPr>
                <w:rFonts w:cs="Arial"/>
                <w:sz w:val="16"/>
                <w:szCs w:val="16"/>
              </w:rPr>
              <w:noBreakHyphen/>
            </w:r>
            <w:r w:rsidRPr="00A32AF4">
              <w:rPr>
                <w:rFonts w:cs="Arial"/>
                <w:sz w:val="16"/>
                <w:szCs w:val="16"/>
              </w:rPr>
              <w:t>ECAP, la Fondation Asie</w:t>
            </w:r>
            <w:r w:rsidR="00EB7F54" w:rsidRPr="00A32AF4">
              <w:rPr>
                <w:rFonts w:cs="Arial"/>
                <w:sz w:val="16"/>
                <w:szCs w:val="16"/>
              </w:rPr>
              <w:noBreakHyphen/>
            </w:r>
            <w:r w:rsidRPr="00A32AF4">
              <w:rPr>
                <w:rFonts w:cs="Arial"/>
                <w:sz w:val="16"/>
                <w:szCs w:val="16"/>
              </w:rPr>
              <w:t>Europe et l</w:t>
            </w:r>
            <w:r w:rsidR="00E2055A" w:rsidRPr="00A32AF4">
              <w:rPr>
                <w:rFonts w:cs="Arial"/>
                <w:sz w:val="16"/>
                <w:szCs w:val="16"/>
              </w:rPr>
              <w:t>’</w:t>
            </w:r>
            <w:r w:rsidRPr="00A32AF4">
              <w:rPr>
                <w:rFonts w:cs="Arial"/>
                <w:sz w:val="16"/>
                <w:szCs w:val="16"/>
              </w:rPr>
              <w:t>AANZFTA</w:t>
            </w:r>
          </w:p>
        </w:tc>
        <w:tc>
          <w:tcPr>
            <w:tcW w:w="1069" w:type="pct"/>
            <w:shd w:val="clear" w:color="auto" w:fill="FFFFFF"/>
            <w:tcMar>
              <w:top w:w="113" w:type="dxa"/>
              <w:bottom w:w="113" w:type="dxa"/>
            </w:tcMar>
          </w:tcPr>
          <w:p w:rsidR="00A879BA" w:rsidRPr="00A32AF4" w:rsidRDefault="00A879BA" w:rsidP="00DC0553">
            <w:pPr>
              <w:jc w:val="center"/>
              <w:rPr>
                <w:rFonts w:cs="Arial"/>
                <w:sz w:val="16"/>
                <w:szCs w:val="16"/>
                <w:lang w:bidi="th-TH"/>
              </w:rPr>
            </w:pPr>
            <w:r w:rsidRPr="00A32AF4">
              <w:rPr>
                <w:rFonts w:cs="Arial"/>
                <w:sz w:val="16"/>
                <w:szCs w:val="16"/>
                <w:lang w:bidi="th-TH"/>
              </w:rPr>
              <w:t>Programme 20</w:t>
            </w:r>
          </w:p>
        </w:tc>
      </w:tr>
      <w:tr w:rsidR="00A879BA" w:rsidRPr="00A32AF4" w:rsidTr="0046629D">
        <w:trPr>
          <w:cantSplit/>
        </w:trPr>
        <w:tc>
          <w:tcPr>
            <w:tcW w:w="1770" w:type="pct"/>
            <w:shd w:val="clear" w:color="auto" w:fill="auto"/>
            <w:tcMar>
              <w:top w:w="113" w:type="dxa"/>
              <w:bottom w:w="113" w:type="dxa"/>
            </w:tcMar>
          </w:tcPr>
          <w:p w:rsidR="00A879BA" w:rsidRPr="00A32AF4" w:rsidRDefault="00A879BA" w:rsidP="00DC0553">
            <w:pPr>
              <w:rPr>
                <w:rFonts w:cs="Arial"/>
                <w:sz w:val="16"/>
                <w:szCs w:val="16"/>
              </w:rPr>
            </w:pPr>
          </w:p>
        </w:tc>
        <w:tc>
          <w:tcPr>
            <w:tcW w:w="2161" w:type="pct"/>
            <w:shd w:val="clear" w:color="auto" w:fill="auto"/>
            <w:tcMar>
              <w:top w:w="113" w:type="dxa"/>
              <w:bottom w:w="113" w:type="dxa"/>
            </w:tcMar>
          </w:tcPr>
          <w:p w:rsidR="00A879BA" w:rsidRPr="00A32AF4" w:rsidRDefault="00A879BA" w:rsidP="00DC0553">
            <w:pPr>
              <w:rPr>
                <w:rFonts w:cs="Arial"/>
                <w:sz w:val="16"/>
                <w:szCs w:val="16"/>
              </w:rPr>
            </w:pPr>
            <w:r w:rsidRPr="00A32AF4">
              <w:rPr>
                <w:rFonts w:cs="Arial"/>
                <w:sz w:val="16"/>
                <w:szCs w:val="16"/>
              </w:rPr>
              <w:t>Nouvelles initiatives communes avec d</w:t>
            </w:r>
            <w:r w:rsidR="00E2055A" w:rsidRPr="00A32AF4">
              <w:rPr>
                <w:rFonts w:cs="Arial"/>
                <w:sz w:val="16"/>
                <w:szCs w:val="16"/>
              </w:rPr>
              <w:t>’</w:t>
            </w:r>
            <w:r w:rsidRPr="00A32AF4">
              <w:rPr>
                <w:rFonts w:cs="Arial"/>
                <w:sz w:val="16"/>
                <w:szCs w:val="16"/>
              </w:rPr>
              <w:t xml:space="preserve">autres organismes des </w:t>
            </w:r>
            <w:r w:rsidR="00E2055A" w:rsidRPr="00A32AF4">
              <w:rPr>
                <w:rFonts w:cs="Arial"/>
                <w:sz w:val="16"/>
                <w:szCs w:val="16"/>
              </w:rPr>
              <w:t>Nations Unies</w:t>
            </w:r>
            <w:r w:rsidRPr="00A32AF4">
              <w:rPr>
                <w:rFonts w:cs="Arial"/>
                <w:sz w:val="16"/>
                <w:szCs w:val="16"/>
              </w:rPr>
              <w:t xml:space="preserve"> ou organisations intergouvernementales</w:t>
            </w:r>
          </w:p>
        </w:tc>
        <w:tc>
          <w:tcPr>
            <w:tcW w:w="1069" w:type="pct"/>
            <w:shd w:val="clear" w:color="auto" w:fill="FFFFFF"/>
            <w:tcMar>
              <w:top w:w="113" w:type="dxa"/>
              <w:bottom w:w="113" w:type="dxa"/>
            </w:tcMar>
          </w:tcPr>
          <w:p w:rsidR="00A879BA" w:rsidRPr="00A32AF4" w:rsidRDefault="00A879BA" w:rsidP="00DC0553">
            <w:pPr>
              <w:jc w:val="center"/>
              <w:rPr>
                <w:rFonts w:cs="Arial"/>
                <w:sz w:val="16"/>
                <w:szCs w:val="16"/>
                <w:lang w:bidi="th-TH"/>
              </w:rPr>
            </w:pPr>
            <w:r w:rsidRPr="00A32AF4">
              <w:rPr>
                <w:rFonts w:cs="Arial"/>
                <w:sz w:val="16"/>
                <w:szCs w:val="16"/>
                <w:lang w:bidi="th-TH"/>
              </w:rPr>
              <w:t>Programme 21</w:t>
            </w:r>
          </w:p>
        </w:tc>
      </w:tr>
      <w:tr w:rsidR="00A879BA" w:rsidRPr="00A32AF4" w:rsidTr="0046629D">
        <w:trPr>
          <w:cantSplit/>
        </w:trPr>
        <w:tc>
          <w:tcPr>
            <w:tcW w:w="1770" w:type="pct"/>
            <w:shd w:val="clear" w:color="auto" w:fill="auto"/>
            <w:tcMar>
              <w:top w:w="113" w:type="dxa"/>
              <w:bottom w:w="113" w:type="dxa"/>
            </w:tcMar>
          </w:tcPr>
          <w:p w:rsidR="00A879BA" w:rsidRPr="00A32AF4" w:rsidRDefault="00A879BA" w:rsidP="00DC0553">
            <w:pPr>
              <w:rPr>
                <w:rFonts w:cs="Arial"/>
                <w:sz w:val="16"/>
                <w:szCs w:val="16"/>
              </w:rPr>
            </w:pPr>
          </w:p>
        </w:tc>
        <w:tc>
          <w:tcPr>
            <w:tcW w:w="2161" w:type="pct"/>
            <w:shd w:val="clear" w:color="auto" w:fill="auto"/>
            <w:tcMar>
              <w:top w:w="113" w:type="dxa"/>
              <w:bottom w:w="113" w:type="dxa"/>
            </w:tcMar>
          </w:tcPr>
          <w:p w:rsidR="00A879BA" w:rsidRPr="00A32AF4" w:rsidRDefault="00A879BA" w:rsidP="00DC0553">
            <w:pPr>
              <w:contextualSpacing/>
              <w:rPr>
                <w:rFonts w:cs="Arial"/>
                <w:sz w:val="16"/>
                <w:szCs w:val="16"/>
              </w:rPr>
            </w:pPr>
            <w:r w:rsidRPr="00A32AF4">
              <w:rPr>
                <w:rFonts w:cs="Arial"/>
                <w:sz w:val="16"/>
                <w:szCs w:val="16"/>
              </w:rPr>
              <w:t>Pourcentage des biens et services d</w:t>
            </w:r>
            <w:r w:rsidR="00E2055A" w:rsidRPr="00A32AF4">
              <w:rPr>
                <w:rFonts w:cs="Arial"/>
                <w:sz w:val="16"/>
                <w:szCs w:val="16"/>
              </w:rPr>
              <w:t>’</w:t>
            </w:r>
            <w:r w:rsidRPr="00A32AF4">
              <w:rPr>
                <w:rFonts w:cs="Arial"/>
                <w:sz w:val="16"/>
                <w:szCs w:val="16"/>
              </w:rPr>
              <w:t>origine locale par rapport au total des biens et services acquis pour les activités de développement</w:t>
            </w:r>
          </w:p>
        </w:tc>
        <w:tc>
          <w:tcPr>
            <w:tcW w:w="1069" w:type="pct"/>
            <w:shd w:val="clear" w:color="auto" w:fill="FFFFFF"/>
            <w:tcMar>
              <w:top w:w="113" w:type="dxa"/>
              <w:bottom w:w="113" w:type="dxa"/>
            </w:tcMar>
          </w:tcPr>
          <w:p w:rsidR="00A879BA" w:rsidRPr="00A32AF4" w:rsidRDefault="00A879BA" w:rsidP="00DC0553">
            <w:pPr>
              <w:jc w:val="center"/>
              <w:rPr>
                <w:rFonts w:cs="Arial"/>
                <w:sz w:val="16"/>
                <w:szCs w:val="16"/>
                <w:lang w:bidi="th-TH"/>
              </w:rPr>
            </w:pPr>
            <w:r w:rsidRPr="00A32AF4">
              <w:rPr>
                <w:rFonts w:cs="Arial"/>
                <w:sz w:val="16"/>
                <w:szCs w:val="16"/>
                <w:lang w:bidi="th-TH"/>
              </w:rPr>
              <w:t>Programme 24</w:t>
            </w:r>
          </w:p>
        </w:tc>
      </w:tr>
      <w:tr w:rsidR="00A879BA" w:rsidRPr="00A32AF4" w:rsidTr="0046629D">
        <w:trPr>
          <w:cantSplit/>
        </w:trPr>
        <w:tc>
          <w:tcPr>
            <w:tcW w:w="1770" w:type="pct"/>
            <w:shd w:val="clear" w:color="auto" w:fill="auto"/>
            <w:tcMar>
              <w:top w:w="113" w:type="dxa"/>
              <w:bottom w:w="113" w:type="dxa"/>
            </w:tcMar>
          </w:tcPr>
          <w:p w:rsidR="00A879BA" w:rsidRPr="00A32AF4" w:rsidRDefault="00A879BA" w:rsidP="00DC0553">
            <w:pPr>
              <w:rPr>
                <w:rFonts w:cs="Arial"/>
                <w:sz w:val="16"/>
                <w:szCs w:val="16"/>
              </w:rPr>
            </w:pPr>
          </w:p>
        </w:tc>
        <w:tc>
          <w:tcPr>
            <w:tcW w:w="2161" w:type="pct"/>
            <w:shd w:val="clear" w:color="auto" w:fill="auto"/>
            <w:tcMar>
              <w:top w:w="113" w:type="dxa"/>
              <w:bottom w:w="113" w:type="dxa"/>
            </w:tcMar>
          </w:tcPr>
          <w:p w:rsidR="00A879BA" w:rsidRPr="00A32AF4" w:rsidRDefault="00A879BA" w:rsidP="00DC0553">
            <w:pPr>
              <w:contextualSpacing/>
              <w:rPr>
                <w:rFonts w:cs="Arial"/>
                <w:sz w:val="16"/>
                <w:szCs w:val="16"/>
              </w:rPr>
            </w:pPr>
            <w:r w:rsidRPr="00A32AF4">
              <w:rPr>
                <w:rFonts w:cs="Arial"/>
                <w:sz w:val="16"/>
                <w:szCs w:val="16"/>
              </w:rPr>
              <w:t>Pourcentage de dépenses soumises à effet de levier de l</w:t>
            </w:r>
            <w:r w:rsidR="00E2055A" w:rsidRPr="00A32AF4">
              <w:rPr>
                <w:rFonts w:cs="Arial"/>
                <w:sz w:val="16"/>
                <w:szCs w:val="16"/>
              </w:rPr>
              <w:t>’</w:t>
            </w:r>
            <w:r w:rsidRPr="00A32AF4">
              <w:rPr>
                <w:rFonts w:cs="Arial"/>
                <w:sz w:val="16"/>
                <w:szCs w:val="16"/>
              </w:rPr>
              <w:t>ONU (appels d</w:t>
            </w:r>
            <w:r w:rsidR="00E2055A" w:rsidRPr="00A32AF4">
              <w:rPr>
                <w:rFonts w:cs="Arial"/>
                <w:sz w:val="16"/>
                <w:szCs w:val="16"/>
              </w:rPr>
              <w:t>’</w:t>
            </w:r>
            <w:r w:rsidRPr="00A32AF4">
              <w:rPr>
                <w:rFonts w:cs="Arial"/>
                <w:sz w:val="16"/>
                <w:szCs w:val="16"/>
              </w:rPr>
              <w:t>offres communs ou portage)</w:t>
            </w:r>
          </w:p>
        </w:tc>
        <w:tc>
          <w:tcPr>
            <w:tcW w:w="1069" w:type="pct"/>
            <w:shd w:val="clear" w:color="auto" w:fill="FFFFFF"/>
            <w:tcMar>
              <w:top w:w="113" w:type="dxa"/>
              <w:bottom w:w="113" w:type="dxa"/>
            </w:tcMar>
          </w:tcPr>
          <w:p w:rsidR="00A879BA" w:rsidRPr="00A32AF4" w:rsidRDefault="00A879BA" w:rsidP="00DC0553">
            <w:pPr>
              <w:jc w:val="center"/>
              <w:rPr>
                <w:rFonts w:cs="Arial"/>
                <w:sz w:val="16"/>
                <w:szCs w:val="16"/>
                <w:lang w:bidi="th-TH"/>
              </w:rPr>
            </w:pPr>
            <w:r w:rsidRPr="00A32AF4">
              <w:rPr>
                <w:rFonts w:cs="Arial"/>
                <w:sz w:val="16"/>
                <w:szCs w:val="16"/>
                <w:lang w:bidi="th-TH"/>
              </w:rPr>
              <w:t>Programme 24</w:t>
            </w:r>
          </w:p>
        </w:tc>
      </w:tr>
    </w:tbl>
    <w:p w:rsidR="00F93B76" w:rsidRPr="00A32AF4" w:rsidRDefault="00F93B76" w:rsidP="00DC0553">
      <w:pPr>
        <w:jc w:val="both"/>
        <w:rPr>
          <w:lang w:eastAsia="da-DK"/>
        </w:rPr>
      </w:pPr>
    </w:p>
    <w:p w:rsidR="00F93B76" w:rsidRPr="00A32AF4" w:rsidRDefault="00F93B76" w:rsidP="00DC0553">
      <w:pPr>
        <w:jc w:val="both"/>
        <w:rPr>
          <w:lang w:eastAsia="da-DK"/>
        </w:rPr>
      </w:pPr>
    </w:p>
    <w:p w:rsidR="00F93B76" w:rsidRPr="00A32AF4" w:rsidRDefault="0028621E" w:rsidP="00DC0553">
      <w:pPr>
        <w:rPr>
          <w:lang w:eastAsia="da-DK"/>
        </w:rPr>
      </w:pPr>
      <w:r w:rsidRPr="00A32AF4">
        <w:rPr>
          <w:lang w:eastAsia="da-DK"/>
        </w:rPr>
        <w:br w:type="page"/>
      </w:r>
    </w:p>
    <w:p w:rsidR="00F93B76" w:rsidRPr="00A32AF4" w:rsidRDefault="005C314E" w:rsidP="00FB1F61">
      <w:pPr>
        <w:pStyle w:val="Heading3"/>
        <w:rPr>
          <w:lang w:eastAsia="da-DK"/>
        </w:rPr>
      </w:pPr>
      <w:bookmarkStart w:id="57" w:name="_Toc431555463"/>
      <w:r w:rsidRPr="00A32AF4">
        <w:rPr>
          <w:lang w:eastAsia="da-DK"/>
        </w:rPr>
        <w:t>Programme </w:t>
      </w:r>
      <w:r w:rsidR="0028621E" w:rsidRPr="00A32AF4">
        <w:rPr>
          <w:lang w:eastAsia="da-DK"/>
        </w:rPr>
        <w:t>19</w:t>
      </w:r>
      <w:r w:rsidR="0028621E" w:rsidRPr="00A32AF4">
        <w:rPr>
          <w:lang w:eastAsia="da-DK"/>
        </w:rPr>
        <w:tab/>
      </w:r>
      <w:r w:rsidR="004D52AA" w:rsidRPr="00A32AF4">
        <w:t>Communications</w:t>
      </w:r>
      <w:bookmarkEnd w:id="57"/>
    </w:p>
    <w:p w:rsidR="00F93B76" w:rsidRPr="00A32AF4" w:rsidRDefault="00F93B76" w:rsidP="00DC0553">
      <w:pPr>
        <w:rPr>
          <w:lang w:eastAsia="da-DK"/>
        </w:rPr>
      </w:pPr>
    </w:p>
    <w:p w:rsidR="00877B63" w:rsidRPr="00A32AF4" w:rsidRDefault="00877B63" w:rsidP="00DC0553">
      <w:pPr>
        <w:rPr>
          <w:lang w:eastAsia="da-DK"/>
        </w:rPr>
      </w:pPr>
    </w:p>
    <w:p w:rsidR="00075D09" w:rsidRPr="00A32AF4" w:rsidRDefault="004D52AA" w:rsidP="00DC0553">
      <w:pPr>
        <w:rPr>
          <w:rFonts w:eastAsia="MS Mincho"/>
        </w:rPr>
      </w:pPr>
      <w:r w:rsidRPr="00A32AF4">
        <w:t>CONTEXTE DE PLANIFICATION</w:t>
      </w:r>
    </w:p>
    <w:p w:rsidR="00075D09" w:rsidRPr="00A32AF4" w:rsidRDefault="00075D09" w:rsidP="00DC0553">
      <w:pPr>
        <w:tabs>
          <w:tab w:val="num" w:pos="709"/>
        </w:tabs>
        <w:ind w:left="1140" w:hanging="1140"/>
        <w:jc w:val="both"/>
        <w:rPr>
          <w:rFonts w:eastAsia="MS Mincho"/>
          <w:bCs/>
          <w:szCs w:val="22"/>
          <w:lang w:eastAsia="ja-JP"/>
        </w:rPr>
      </w:pPr>
    </w:p>
    <w:p w:rsidR="00075D09" w:rsidRPr="00A32AF4" w:rsidRDefault="00075D09" w:rsidP="00DC0553">
      <w:pPr>
        <w:numPr>
          <w:ilvl w:val="0"/>
          <w:numId w:val="60"/>
        </w:numPr>
        <w:jc w:val="both"/>
        <w:rPr>
          <w:rFonts w:eastAsia="MS Mincho"/>
          <w:lang w:eastAsia="ja-JP"/>
        </w:rPr>
      </w:pPr>
      <w:r w:rsidRPr="00A32AF4">
        <w:rPr>
          <w:rFonts w:eastAsia="MS Mincho"/>
          <w:lang w:eastAsia="ja-JP"/>
        </w:rPr>
        <w:t>L</w:t>
      </w:r>
      <w:r w:rsidR="00E2055A" w:rsidRPr="00A32AF4">
        <w:rPr>
          <w:rFonts w:eastAsia="MS Mincho"/>
          <w:lang w:eastAsia="ja-JP"/>
        </w:rPr>
        <w:t>’</w:t>
      </w:r>
      <w:r w:rsidRPr="00A32AF4">
        <w:rPr>
          <w:rFonts w:eastAsia="MS Mincho"/>
          <w:lang w:eastAsia="ja-JP"/>
        </w:rPr>
        <w:t>OMPI est une organisation polyvalente qui traite de nombreuses questions complexes et mène beaucoup d</w:t>
      </w:r>
      <w:r w:rsidR="00E2055A" w:rsidRPr="00A32AF4">
        <w:rPr>
          <w:rFonts w:eastAsia="MS Mincho"/>
          <w:lang w:eastAsia="ja-JP"/>
        </w:rPr>
        <w:t>’</w:t>
      </w:r>
      <w:r w:rsidRPr="00A32AF4">
        <w:rPr>
          <w:rFonts w:eastAsia="MS Mincho"/>
          <w:lang w:eastAsia="ja-JP"/>
        </w:rPr>
        <w:t>activités.  Le défi en matière de communication est de simplifier la complexité et d</w:t>
      </w:r>
      <w:r w:rsidR="00E2055A" w:rsidRPr="00A32AF4">
        <w:rPr>
          <w:rFonts w:eastAsia="MS Mincho"/>
          <w:lang w:eastAsia="ja-JP"/>
        </w:rPr>
        <w:t>’</w:t>
      </w:r>
      <w:r w:rsidRPr="00A32AF4">
        <w:rPr>
          <w:rFonts w:eastAsia="MS Mincho"/>
          <w:lang w:eastAsia="ja-JP"/>
        </w:rPr>
        <w:t>atteindre un public varié partout dans le monde.  Afin de bâtir la compréhension, l</w:t>
      </w:r>
      <w:r w:rsidR="00E2055A" w:rsidRPr="00A32AF4">
        <w:rPr>
          <w:rFonts w:eastAsia="MS Mincho"/>
          <w:lang w:eastAsia="ja-JP"/>
        </w:rPr>
        <w:t>’</w:t>
      </w:r>
      <w:r w:rsidRPr="00A32AF4">
        <w:rPr>
          <w:rFonts w:eastAsia="MS Mincho"/>
          <w:lang w:eastAsia="ja-JP"/>
        </w:rPr>
        <w:t>engagement et la confiance nécessaires pour exécuter son mandat, l</w:t>
      </w:r>
      <w:r w:rsidR="00E2055A" w:rsidRPr="00A32AF4">
        <w:rPr>
          <w:rFonts w:eastAsia="MS Mincho"/>
          <w:lang w:eastAsia="ja-JP"/>
        </w:rPr>
        <w:t>’</w:t>
      </w:r>
      <w:r w:rsidRPr="00A32AF4">
        <w:rPr>
          <w:rFonts w:eastAsia="MS Mincho"/>
          <w:lang w:eastAsia="ja-JP"/>
        </w:rPr>
        <w:t>OMPI doit faire connaître sa raison d</w:t>
      </w:r>
      <w:r w:rsidR="00E2055A" w:rsidRPr="00A32AF4">
        <w:rPr>
          <w:rFonts w:eastAsia="MS Mincho"/>
          <w:lang w:eastAsia="ja-JP"/>
        </w:rPr>
        <w:t>’</w:t>
      </w:r>
      <w:r w:rsidRPr="00A32AF4">
        <w:rPr>
          <w:rFonts w:eastAsia="MS Mincho"/>
          <w:lang w:eastAsia="ja-JP"/>
        </w:rPr>
        <w:t>être, ses valeurs et les efforts qu</w:t>
      </w:r>
      <w:r w:rsidR="00E2055A" w:rsidRPr="00A32AF4">
        <w:rPr>
          <w:rFonts w:eastAsia="MS Mincho"/>
          <w:lang w:eastAsia="ja-JP"/>
        </w:rPr>
        <w:t>’</w:t>
      </w:r>
      <w:r w:rsidRPr="00A32AF4">
        <w:rPr>
          <w:rFonts w:eastAsia="MS Mincho"/>
          <w:lang w:eastAsia="ja-JP"/>
        </w:rPr>
        <w:t>elle déploie pour mettre la propriété intellectuelle au service de l</w:t>
      </w:r>
      <w:r w:rsidR="00E2055A" w:rsidRPr="00A32AF4">
        <w:rPr>
          <w:rFonts w:eastAsia="MS Mincho"/>
          <w:lang w:eastAsia="ja-JP"/>
        </w:rPr>
        <w:t>’</w:t>
      </w:r>
      <w:r w:rsidRPr="00A32AF4">
        <w:rPr>
          <w:rFonts w:eastAsia="MS Mincho"/>
          <w:lang w:eastAsia="ja-JP"/>
        </w:rPr>
        <w:t xml:space="preserve">innovation et de la créativité.  Elle doit faire en sorte que son statut unique de forum mondial en matière de propriété intellectuelle soit mieux reconnu et que la demande </w:t>
      </w:r>
      <w:r w:rsidR="00E2055A" w:rsidRPr="00A32AF4">
        <w:rPr>
          <w:rFonts w:eastAsia="MS Mincho"/>
          <w:lang w:eastAsia="ja-JP"/>
        </w:rPr>
        <w:t>à l’égard</w:t>
      </w:r>
      <w:r w:rsidRPr="00A32AF4">
        <w:rPr>
          <w:rFonts w:eastAsia="MS Mincho"/>
          <w:lang w:eastAsia="ja-JP"/>
        </w:rPr>
        <w:t xml:space="preserve"> de ses instruments et services de propriété intellectuelle augmente.</w:t>
      </w:r>
    </w:p>
    <w:p w:rsidR="00075D09" w:rsidRPr="00A32AF4" w:rsidRDefault="00075D09" w:rsidP="00DC0553">
      <w:pPr>
        <w:jc w:val="both"/>
        <w:rPr>
          <w:rFonts w:eastAsia="MS Mincho"/>
          <w:lang w:eastAsia="ja-JP"/>
        </w:rPr>
      </w:pPr>
    </w:p>
    <w:p w:rsidR="00075D09" w:rsidRPr="00A32AF4" w:rsidRDefault="00075D09" w:rsidP="00DC0553">
      <w:pPr>
        <w:numPr>
          <w:ilvl w:val="0"/>
          <w:numId w:val="60"/>
        </w:numPr>
        <w:jc w:val="both"/>
        <w:rPr>
          <w:rFonts w:eastAsia="MS Mincho"/>
          <w:lang w:eastAsia="ja-JP"/>
        </w:rPr>
      </w:pPr>
      <w:r w:rsidRPr="00A32AF4">
        <w:rPr>
          <w:rFonts w:eastAsia="MS Mincho"/>
          <w:lang w:eastAsia="ja-JP"/>
        </w:rPr>
        <w:t>La propriété intellectuelle est un domaine où l</w:t>
      </w:r>
      <w:r w:rsidR="00E2055A" w:rsidRPr="00A32AF4">
        <w:rPr>
          <w:rFonts w:eastAsia="MS Mincho"/>
          <w:lang w:eastAsia="ja-JP"/>
        </w:rPr>
        <w:t>’</w:t>
      </w:r>
      <w:r w:rsidRPr="00A32AF4">
        <w:rPr>
          <w:rFonts w:eastAsia="MS Mincho"/>
          <w:lang w:eastAsia="ja-JP"/>
        </w:rPr>
        <w:t>offre abonde et dans lequel l</w:t>
      </w:r>
      <w:r w:rsidR="00E2055A" w:rsidRPr="00A32AF4">
        <w:rPr>
          <w:rFonts w:eastAsia="MS Mincho"/>
          <w:lang w:eastAsia="ja-JP"/>
        </w:rPr>
        <w:t>’</w:t>
      </w:r>
      <w:r w:rsidRPr="00A32AF4">
        <w:rPr>
          <w:rFonts w:eastAsia="MS Mincho"/>
          <w:lang w:eastAsia="ja-JP"/>
        </w:rPr>
        <w:t>OMPI doit gagner l</w:t>
      </w:r>
      <w:r w:rsidR="00E2055A" w:rsidRPr="00A32AF4">
        <w:rPr>
          <w:rFonts w:eastAsia="MS Mincho"/>
          <w:lang w:eastAsia="ja-JP"/>
        </w:rPr>
        <w:t>’</w:t>
      </w:r>
      <w:r w:rsidRPr="00A32AF4">
        <w:rPr>
          <w:rFonts w:eastAsia="MS Mincho"/>
          <w:lang w:eastAsia="ja-JP"/>
        </w:rPr>
        <w:t xml:space="preserve">attention des parties prenantes grâce à ses activités de marketing et de promotion concernant ses services, ses produits, ses événements et ses progrès.  Pour optimiser les effets de ces efforts, une coordination interne plus intégrée devra être mise en </w:t>
      </w:r>
      <w:proofErr w:type="gramStart"/>
      <w:r w:rsidRPr="00A32AF4">
        <w:rPr>
          <w:rFonts w:eastAsia="MS Mincho"/>
          <w:lang w:eastAsia="ja-JP"/>
        </w:rPr>
        <w:t>place;</w:t>
      </w:r>
      <w:proofErr w:type="gramEnd"/>
      <w:r w:rsidRPr="00A32AF4">
        <w:rPr>
          <w:rFonts w:eastAsia="MS Mincho"/>
          <w:lang w:eastAsia="ja-JP"/>
        </w:rPr>
        <w:t xml:space="preserve">  les partenariats externes devront être exploités plus systématiquement;  et les activités de communication de l</w:t>
      </w:r>
      <w:r w:rsidR="00E2055A" w:rsidRPr="00A32AF4">
        <w:rPr>
          <w:rFonts w:eastAsia="MS Mincho"/>
          <w:lang w:eastAsia="ja-JP"/>
        </w:rPr>
        <w:t>’</w:t>
      </w:r>
      <w:r w:rsidRPr="00A32AF4">
        <w:rPr>
          <w:rFonts w:eastAsia="MS Mincho"/>
          <w:lang w:eastAsia="ja-JP"/>
        </w:rPr>
        <w:t>OMPI devront être innovantes, accessibles, stimulantes et axées sur les utilisateurs, et mettre fortement l</w:t>
      </w:r>
      <w:r w:rsidR="00E2055A" w:rsidRPr="00A32AF4">
        <w:rPr>
          <w:rFonts w:eastAsia="MS Mincho"/>
          <w:lang w:eastAsia="ja-JP"/>
        </w:rPr>
        <w:t>’</w:t>
      </w:r>
      <w:r w:rsidRPr="00A32AF4">
        <w:rPr>
          <w:rFonts w:eastAsia="MS Mincho"/>
          <w:lang w:eastAsia="ja-JP"/>
        </w:rPr>
        <w:t>accent sur la pertinence de la propriété intellectuelle pour les individus et les économies du monde entier.  Afin de ne pas se laisser distancer par l</w:t>
      </w:r>
      <w:r w:rsidR="00E2055A" w:rsidRPr="00A32AF4">
        <w:rPr>
          <w:rFonts w:eastAsia="MS Mincho"/>
          <w:lang w:eastAsia="ja-JP"/>
        </w:rPr>
        <w:t>’</w:t>
      </w:r>
      <w:r w:rsidRPr="00A32AF4">
        <w:rPr>
          <w:rFonts w:eastAsia="MS Mincho"/>
          <w:lang w:eastAsia="ja-JP"/>
        </w:rPr>
        <w:t>évolution rapide de l</w:t>
      </w:r>
      <w:r w:rsidR="00E2055A" w:rsidRPr="00A32AF4">
        <w:rPr>
          <w:rFonts w:eastAsia="MS Mincho"/>
          <w:lang w:eastAsia="ja-JP"/>
        </w:rPr>
        <w:t>’</w:t>
      </w:r>
      <w:r w:rsidRPr="00A32AF4">
        <w:rPr>
          <w:rFonts w:eastAsia="MS Mincho"/>
          <w:lang w:eastAsia="ja-JP"/>
        </w:rPr>
        <w:t>environnement mondial des communications électroniques et d</w:t>
      </w:r>
      <w:r w:rsidR="00E2055A" w:rsidRPr="00A32AF4">
        <w:rPr>
          <w:rFonts w:eastAsia="MS Mincho"/>
          <w:lang w:eastAsia="ja-JP"/>
        </w:rPr>
        <w:t>’</w:t>
      </w:r>
      <w:r w:rsidRPr="00A32AF4">
        <w:rPr>
          <w:rFonts w:eastAsia="MS Mincho"/>
          <w:lang w:eastAsia="ja-JP"/>
        </w:rPr>
        <w:t>exploiter les possibilités offertes par les nouvelles technologies, l</w:t>
      </w:r>
      <w:r w:rsidR="00E2055A" w:rsidRPr="00A32AF4">
        <w:rPr>
          <w:rFonts w:eastAsia="MS Mincho"/>
          <w:lang w:eastAsia="ja-JP"/>
        </w:rPr>
        <w:t>’</w:t>
      </w:r>
      <w:r w:rsidRPr="00A32AF4">
        <w:rPr>
          <w:rFonts w:eastAsia="MS Mincho"/>
          <w:lang w:eastAsia="ja-JP"/>
        </w:rPr>
        <w:t>accent restera mis sur la création de compétences multimédia dans la création et la gestion de contenus numériques, et l</w:t>
      </w:r>
      <w:r w:rsidR="00E2055A" w:rsidRPr="00A32AF4">
        <w:rPr>
          <w:rFonts w:eastAsia="MS Mincho"/>
          <w:lang w:eastAsia="ja-JP"/>
        </w:rPr>
        <w:t>’</w:t>
      </w:r>
      <w:r w:rsidRPr="00A32AF4">
        <w:rPr>
          <w:rFonts w:eastAsia="MS Mincho"/>
          <w:lang w:eastAsia="ja-JP"/>
        </w:rPr>
        <w:t>accélération de la transition de l</w:t>
      </w:r>
      <w:r w:rsidR="00E2055A" w:rsidRPr="00A32AF4">
        <w:rPr>
          <w:rFonts w:eastAsia="MS Mincho"/>
          <w:lang w:eastAsia="ja-JP"/>
        </w:rPr>
        <w:t>’</w:t>
      </w:r>
      <w:r w:rsidRPr="00A32AF4">
        <w:rPr>
          <w:rFonts w:eastAsia="MS Mincho"/>
          <w:lang w:eastAsia="ja-JP"/>
        </w:rPr>
        <w:t>édition traditionnelle vers les publications “nées numériques”.</w:t>
      </w:r>
    </w:p>
    <w:p w:rsidR="00075D09" w:rsidRPr="00A32AF4" w:rsidRDefault="00075D09" w:rsidP="00DC0553">
      <w:pPr>
        <w:jc w:val="both"/>
        <w:rPr>
          <w:rFonts w:eastAsia="MS Mincho"/>
          <w:lang w:eastAsia="ja-JP"/>
        </w:rPr>
      </w:pPr>
    </w:p>
    <w:p w:rsidR="00075D09" w:rsidRPr="00A32AF4" w:rsidRDefault="00075D09" w:rsidP="00DC0553">
      <w:pPr>
        <w:numPr>
          <w:ilvl w:val="0"/>
          <w:numId w:val="60"/>
        </w:numPr>
        <w:jc w:val="both"/>
        <w:rPr>
          <w:rFonts w:eastAsia="MS Mincho"/>
          <w:lang w:eastAsia="ja-JP"/>
        </w:rPr>
      </w:pPr>
      <w:r w:rsidRPr="00A32AF4">
        <w:rPr>
          <w:rFonts w:eastAsia="MS Mincho"/>
          <w:lang w:eastAsia="ja-JP"/>
        </w:rPr>
        <w:t>Une communication efficace et la réactivité constituent un élément essentiel de la prestation de services que ceux</w:t>
      </w:r>
      <w:r w:rsidR="00EB7F54" w:rsidRPr="00A32AF4">
        <w:rPr>
          <w:rFonts w:eastAsia="MS Mincho"/>
          <w:lang w:eastAsia="ja-JP"/>
        </w:rPr>
        <w:noBreakHyphen/>
      </w:r>
      <w:r w:rsidRPr="00A32AF4">
        <w:rPr>
          <w:rFonts w:eastAsia="MS Mincho"/>
          <w:lang w:eastAsia="ja-JP"/>
        </w:rPr>
        <w:t>ci soient internes ou externes.  L</w:t>
      </w:r>
      <w:r w:rsidR="00E2055A" w:rsidRPr="00A32AF4">
        <w:rPr>
          <w:rFonts w:eastAsia="MS Mincho"/>
          <w:lang w:eastAsia="ja-JP"/>
        </w:rPr>
        <w:t>’</w:t>
      </w:r>
      <w:r w:rsidRPr="00A32AF4">
        <w:rPr>
          <w:rFonts w:eastAsia="MS Mincho"/>
          <w:lang w:eastAsia="ja-JP"/>
        </w:rPr>
        <w:t>OMPI doit s</w:t>
      </w:r>
      <w:r w:rsidR="00E2055A" w:rsidRPr="00A32AF4">
        <w:rPr>
          <w:rFonts w:eastAsia="MS Mincho"/>
          <w:lang w:eastAsia="ja-JP"/>
        </w:rPr>
        <w:t>’</w:t>
      </w:r>
      <w:r w:rsidRPr="00A32AF4">
        <w:rPr>
          <w:rFonts w:eastAsia="MS Mincho"/>
          <w:lang w:eastAsia="ja-JP"/>
        </w:rPr>
        <w:t>efforcer de comprendre les besoins et les attentes de ses nombreuses parties prenantes et de favoriser, à l</w:t>
      </w:r>
      <w:r w:rsidR="00E2055A" w:rsidRPr="00A32AF4">
        <w:rPr>
          <w:rFonts w:eastAsia="MS Mincho"/>
          <w:lang w:eastAsia="ja-JP"/>
        </w:rPr>
        <w:t>’</w:t>
      </w:r>
      <w:r w:rsidRPr="00A32AF4">
        <w:rPr>
          <w:rFonts w:eastAsia="MS Mincho"/>
          <w:lang w:eastAsia="ja-JP"/>
        </w:rPr>
        <w:t>échelle de l</w:t>
      </w:r>
      <w:r w:rsidR="00E2055A" w:rsidRPr="00A32AF4">
        <w:rPr>
          <w:rFonts w:eastAsia="MS Mincho"/>
          <w:lang w:eastAsia="ja-JP"/>
        </w:rPr>
        <w:t>’</w:t>
      </w:r>
      <w:r w:rsidRPr="00A32AF4">
        <w:rPr>
          <w:rFonts w:eastAsia="MS Mincho"/>
          <w:lang w:eastAsia="ja-JP"/>
        </w:rPr>
        <w:t>Organisation, une culture orientée vers les services reposant sur de meilleurs instruments et applications techniques.</w:t>
      </w:r>
    </w:p>
    <w:p w:rsidR="00075D09" w:rsidRPr="00A32AF4" w:rsidRDefault="00075D09" w:rsidP="00DC0553">
      <w:pPr>
        <w:tabs>
          <w:tab w:val="num" w:pos="709"/>
        </w:tabs>
        <w:jc w:val="both"/>
        <w:rPr>
          <w:rFonts w:eastAsia="MS Mincho"/>
          <w:szCs w:val="22"/>
          <w:lang w:eastAsia="ja-JP"/>
        </w:rPr>
      </w:pPr>
    </w:p>
    <w:p w:rsidR="00075D09" w:rsidRPr="00A32AF4" w:rsidRDefault="00075D09" w:rsidP="00DC0553">
      <w:pPr>
        <w:jc w:val="both"/>
        <w:rPr>
          <w:rFonts w:eastAsia="MS Mincho"/>
          <w:szCs w:val="22"/>
          <w:lang w:eastAsia="ja-JP"/>
        </w:rPr>
      </w:pPr>
    </w:p>
    <w:p w:rsidR="00075D09" w:rsidRPr="00A32AF4" w:rsidRDefault="00075D09" w:rsidP="00DC0553">
      <w:pPr>
        <w:jc w:val="both"/>
        <w:rPr>
          <w:rFonts w:eastAsia="MS Mincho"/>
          <w:szCs w:val="22"/>
          <w:lang w:eastAsia="ja-JP"/>
        </w:rPr>
      </w:pPr>
      <w:r w:rsidRPr="00A32AF4">
        <w:rPr>
          <w:bCs/>
          <w:szCs w:val="22"/>
        </w:rPr>
        <w:t>STRATÉGIES DE MISE EN ŒUVRE</w:t>
      </w:r>
    </w:p>
    <w:p w:rsidR="00075D09" w:rsidRPr="00A32AF4" w:rsidRDefault="00075D09" w:rsidP="00DC0553">
      <w:pPr>
        <w:tabs>
          <w:tab w:val="num" w:pos="709"/>
        </w:tabs>
        <w:jc w:val="both"/>
        <w:rPr>
          <w:rFonts w:eastAsia="MS Mincho"/>
          <w:szCs w:val="22"/>
          <w:lang w:eastAsia="ja-JP"/>
        </w:rPr>
      </w:pPr>
    </w:p>
    <w:p w:rsidR="00075D09" w:rsidRPr="00A32AF4" w:rsidRDefault="00075D09" w:rsidP="00DC0553">
      <w:pPr>
        <w:numPr>
          <w:ilvl w:val="0"/>
          <w:numId w:val="60"/>
        </w:numPr>
        <w:jc w:val="both"/>
        <w:rPr>
          <w:rFonts w:eastAsia="MS Mincho"/>
          <w:lang w:eastAsia="ja-JP"/>
        </w:rPr>
      </w:pPr>
      <w:r w:rsidRPr="00A32AF4">
        <w:rPr>
          <w:rFonts w:eastAsia="MS Mincho"/>
          <w:lang w:eastAsia="ja-JP"/>
        </w:rPr>
        <w:t>Le travail qui sera entrepris dans le cadre du programme 19 au cours de l</w:t>
      </w:r>
      <w:r w:rsidR="00E2055A" w:rsidRPr="00A32AF4">
        <w:rPr>
          <w:rFonts w:eastAsia="MS Mincho"/>
          <w:lang w:eastAsia="ja-JP"/>
        </w:rPr>
        <w:t>’</w:t>
      </w:r>
      <w:r w:rsidRPr="00A32AF4">
        <w:rPr>
          <w:rFonts w:eastAsia="MS Mincho"/>
          <w:lang w:eastAsia="ja-JP"/>
        </w:rPr>
        <w:t>exercice 2016</w:t>
      </w:r>
      <w:r w:rsidR="00EB7F54" w:rsidRPr="00A32AF4">
        <w:rPr>
          <w:rFonts w:eastAsia="MS Mincho"/>
          <w:lang w:eastAsia="ja-JP"/>
        </w:rPr>
        <w:noBreakHyphen/>
      </w:r>
      <w:r w:rsidRPr="00A32AF4">
        <w:rPr>
          <w:rFonts w:eastAsia="MS Mincho"/>
          <w:lang w:eastAsia="ja-JP"/>
        </w:rPr>
        <w:t>2017 devrait se traduire par une communication efficace sur la propriété intellectuelle et l</w:t>
      </w:r>
      <w:r w:rsidR="00E2055A" w:rsidRPr="00A32AF4">
        <w:rPr>
          <w:rFonts w:eastAsia="MS Mincho"/>
          <w:lang w:eastAsia="ja-JP"/>
        </w:rPr>
        <w:t>’</w:t>
      </w:r>
      <w:r w:rsidRPr="00A32AF4">
        <w:rPr>
          <w:rFonts w:eastAsia="MS Mincho"/>
          <w:lang w:eastAsia="ja-JP"/>
        </w:rPr>
        <w:t>OMPI.  Le succès du programme se mesurera par la consultation accrue des contenus d</w:t>
      </w:r>
      <w:r w:rsidR="00E2055A" w:rsidRPr="00A32AF4">
        <w:rPr>
          <w:rFonts w:eastAsia="MS Mincho"/>
          <w:lang w:eastAsia="ja-JP"/>
        </w:rPr>
        <w:t>’</w:t>
      </w:r>
      <w:r w:rsidRPr="00A32AF4">
        <w:rPr>
          <w:rFonts w:eastAsia="MS Mincho"/>
          <w:lang w:eastAsia="ja-JP"/>
        </w:rPr>
        <w:t>information publics, notamment des publications, des vidéos, des images, des documents de presse et des ressources en ligne, et par la participation des parties prenantes aux médias sociaux et aux activités de l</w:t>
      </w:r>
      <w:r w:rsidR="00E2055A" w:rsidRPr="00A32AF4">
        <w:rPr>
          <w:rFonts w:eastAsia="MS Mincho"/>
          <w:lang w:eastAsia="ja-JP"/>
        </w:rPr>
        <w:t>’</w:t>
      </w:r>
      <w:r w:rsidRPr="00A32AF4">
        <w:rPr>
          <w:rFonts w:eastAsia="MS Mincho"/>
          <w:lang w:eastAsia="ja-JP"/>
        </w:rPr>
        <w:t>OMPI.  Une communication efficace concernant les faits marquants et les progrès réalisés permettra également à l</w:t>
      </w:r>
      <w:r w:rsidR="00E2055A" w:rsidRPr="00A32AF4">
        <w:rPr>
          <w:rFonts w:eastAsia="MS Mincho"/>
          <w:lang w:eastAsia="ja-JP"/>
        </w:rPr>
        <w:t>’</w:t>
      </w:r>
      <w:r w:rsidRPr="00A32AF4">
        <w:rPr>
          <w:rFonts w:eastAsia="MS Mincho"/>
          <w:lang w:eastAsia="ja-JP"/>
        </w:rPr>
        <w:t>Organisation d</w:t>
      </w:r>
      <w:r w:rsidR="00E2055A" w:rsidRPr="00A32AF4">
        <w:rPr>
          <w:rFonts w:eastAsia="MS Mincho"/>
          <w:lang w:eastAsia="ja-JP"/>
        </w:rPr>
        <w:t>’</w:t>
      </w:r>
      <w:r w:rsidRPr="00A32AF4">
        <w:rPr>
          <w:rFonts w:eastAsia="MS Mincho"/>
          <w:lang w:eastAsia="ja-JP"/>
        </w:rPr>
        <w:t>accroître sa visibilité dans les médias internationaux et de faire reconnaître son rôle et son image auprès des parties prenantes.  Une réactivité accrue s</w:t>
      </w:r>
      <w:r w:rsidR="00E2055A" w:rsidRPr="00A32AF4">
        <w:rPr>
          <w:rFonts w:eastAsia="MS Mincho"/>
          <w:lang w:eastAsia="ja-JP"/>
        </w:rPr>
        <w:t>’</w:t>
      </w:r>
      <w:r w:rsidRPr="00A32AF4">
        <w:rPr>
          <w:rFonts w:eastAsia="MS Mincho"/>
          <w:lang w:eastAsia="ja-JP"/>
        </w:rPr>
        <w:t>agissant de répondre aux demandes de renseignements externes entraînera une hausse du taux de satisfaction des parties prenantes.  Les stratégies qui seront appliquées pour atteindre ces résultats seront les suivantes :</w:t>
      </w:r>
    </w:p>
    <w:p w:rsidR="00075D09" w:rsidRPr="00A32AF4" w:rsidRDefault="00075D09" w:rsidP="00DC0553">
      <w:pPr>
        <w:jc w:val="both"/>
        <w:rPr>
          <w:rFonts w:eastAsia="MS Mincho"/>
          <w:lang w:eastAsia="ja-JP"/>
        </w:rPr>
      </w:pPr>
    </w:p>
    <w:p w:rsidR="00075D09" w:rsidRPr="00A32AF4" w:rsidRDefault="00075D09" w:rsidP="00DC0553">
      <w:pPr>
        <w:ind w:left="567"/>
        <w:jc w:val="both"/>
        <w:rPr>
          <w:rFonts w:eastAsia="MS Mincho"/>
          <w:b/>
          <w:lang w:eastAsia="ja-JP"/>
        </w:rPr>
      </w:pPr>
      <w:r w:rsidRPr="00A32AF4">
        <w:rPr>
          <w:rFonts w:eastAsia="MS Mincho"/>
          <w:i/>
          <w:lang w:eastAsia="ja-JP"/>
        </w:rPr>
        <w:t>i)</w:t>
      </w:r>
      <w:r w:rsidRPr="00A32AF4">
        <w:rPr>
          <w:rFonts w:eastAsia="MS Mincho"/>
          <w:i/>
          <w:lang w:eastAsia="ja-JP"/>
        </w:rPr>
        <w:tab/>
        <w:t>Classement par ordre de priorité.</w:t>
      </w:r>
      <w:r w:rsidRPr="00A32AF4">
        <w:rPr>
          <w:rFonts w:eastAsia="MS Mincho"/>
          <w:i/>
        </w:rPr>
        <w:t xml:space="preserve">  </w:t>
      </w:r>
      <w:r w:rsidRPr="00A32AF4">
        <w:rPr>
          <w:rFonts w:eastAsia="MS Mincho"/>
          <w:lang w:eastAsia="ja-JP"/>
        </w:rPr>
        <w:t>L</w:t>
      </w:r>
      <w:r w:rsidR="00E2055A" w:rsidRPr="00A32AF4">
        <w:rPr>
          <w:rFonts w:eastAsia="MS Mincho"/>
          <w:lang w:eastAsia="ja-JP"/>
        </w:rPr>
        <w:t>’</w:t>
      </w:r>
      <w:r w:rsidRPr="00A32AF4">
        <w:rPr>
          <w:rFonts w:eastAsia="MS Mincho"/>
          <w:lang w:eastAsia="ja-JP"/>
        </w:rPr>
        <w:t>accent sera mis sur la production de contenu appuyant les objectifs principaux de l</w:t>
      </w:r>
      <w:r w:rsidR="00E2055A" w:rsidRPr="00A32AF4">
        <w:rPr>
          <w:rFonts w:eastAsia="MS Mincho"/>
          <w:lang w:eastAsia="ja-JP"/>
        </w:rPr>
        <w:t>’</w:t>
      </w:r>
      <w:r w:rsidRPr="00A32AF4">
        <w:rPr>
          <w:rFonts w:eastAsia="MS Mincho"/>
          <w:lang w:eastAsia="ja-JP"/>
        </w:rPr>
        <w:t>Organisation.  Un nombre limité de manifestations, de produits et de réalisations majeurs de l</w:t>
      </w:r>
      <w:r w:rsidR="00E2055A" w:rsidRPr="00A32AF4">
        <w:rPr>
          <w:rFonts w:eastAsia="MS Mincho"/>
          <w:lang w:eastAsia="ja-JP"/>
        </w:rPr>
        <w:t>’</w:t>
      </w:r>
      <w:r w:rsidRPr="00A32AF4">
        <w:rPr>
          <w:rFonts w:eastAsia="MS Mincho"/>
          <w:lang w:eastAsia="ja-JP"/>
        </w:rPr>
        <w:t>OMPI seront identifiés chaque année comme priorités principales en termes de communication stratégique et de commercialisation.  Une visibilité accrue leur sera donnée dans les médias grâce à une stratégie de communication taillée sur mesure afin de mobiliser les ressources disponibles de manière à produire un impact plus fort et à étendre leur portée.  Des partenariats stratégiques seront créés avec les médias pour augmenter la visibilité et la portée des manifestations de haut niveau.  De nouveaux outils de commercialisation, tels que la base de données centrale de contacts et la plate</w:t>
      </w:r>
      <w:r w:rsidR="00EB7F54" w:rsidRPr="00A32AF4">
        <w:rPr>
          <w:rFonts w:eastAsia="MS Mincho"/>
          <w:lang w:eastAsia="ja-JP"/>
        </w:rPr>
        <w:noBreakHyphen/>
      </w:r>
      <w:r w:rsidRPr="00A32AF4">
        <w:rPr>
          <w:rFonts w:eastAsia="MS Mincho"/>
          <w:lang w:eastAsia="ja-JP"/>
        </w:rPr>
        <w:t>forme de bulletins d</w:t>
      </w:r>
      <w:r w:rsidR="00E2055A" w:rsidRPr="00A32AF4">
        <w:rPr>
          <w:rFonts w:eastAsia="MS Mincho"/>
          <w:lang w:eastAsia="ja-JP"/>
        </w:rPr>
        <w:t>’</w:t>
      </w:r>
      <w:r w:rsidRPr="00A32AF4">
        <w:rPr>
          <w:rFonts w:eastAsia="MS Mincho"/>
          <w:lang w:eastAsia="ja-JP"/>
        </w:rPr>
        <w:t>information électroniques, permettront de faire en sorte que les communications promotionnelles atteignent le public visé.</w:t>
      </w:r>
    </w:p>
    <w:p w:rsidR="00075D09" w:rsidRPr="00A32AF4" w:rsidRDefault="00075D09" w:rsidP="00DC0553">
      <w:pPr>
        <w:ind w:left="567"/>
        <w:rPr>
          <w:rFonts w:eastAsia="MS Mincho"/>
          <w:lang w:eastAsia="ja-JP"/>
        </w:rPr>
      </w:pPr>
    </w:p>
    <w:p w:rsidR="00075D09" w:rsidRPr="00A32AF4" w:rsidRDefault="00075D09" w:rsidP="00DC0553">
      <w:pPr>
        <w:tabs>
          <w:tab w:val="left" w:pos="1100"/>
        </w:tabs>
        <w:ind w:left="567"/>
        <w:jc w:val="both"/>
        <w:rPr>
          <w:rFonts w:eastAsia="MS Mincho"/>
          <w:lang w:eastAsia="ja-JP"/>
        </w:rPr>
      </w:pPr>
      <w:r w:rsidRPr="00A32AF4">
        <w:rPr>
          <w:rFonts w:eastAsia="MS Mincho"/>
          <w:i/>
          <w:lang w:eastAsia="ja-JP"/>
        </w:rPr>
        <w:t>ii)</w:t>
      </w:r>
      <w:r w:rsidRPr="00A32AF4">
        <w:rPr>
          <w:rFonts w:eastAsia="MS Mincho"/>
          <w:i/>
          <w:lang w:eastAsia="ja-JP"/>
        </w:rPr>
        <w:tab/>
        <w:t>Contenu et diffusion axés sur les utilisateurs.</w:t>
      </w:r>
      <w:r w:rsidRPr="00A32AF4">
        <w:rPr>
          <w:rFonts w:eastAsia="MS Mincho"/>
          <w:i/>
        </w:rPr>
        <w:t xml:space="preserve">  </w:t>
      </w:r>
      <w:r w:rsidRPr="00A32AF4">
        <w:rPr>
          <w:rFonts w:eastAsia="MS Mincho"/>
          <w:lang w:eastAsia="ja-JP"/>
        </w:rPr>
        <w:t>Un contenu de qualité, qu</w:t>
      </w:r>
      <w:r w:rsidR="00E2055A" w:rsidRPr="00A32AF4">
        <w:rPr>
          <w:rFonts w:eastAsia="MS Mincho"/>
          <w:lang w:eastAsia="ja-JP"/>
        </w:rPr>
        <w:t>’</w:t>
      </w:r>
      <w:r w:rsidRPr="00A32AF4">
        <w:rPr>
          <w:rFonts w:eastAsia="MS Mincho"/>
          <w:lang w:eastAsia="ja-JP"/>
        </w:rPr>
        <w:t>il s</w:t>
      </w:r>
      <w:r w:rsidR="00E2055A" w:rsidRPr="00A32AF4">
        <w:rPr>
          <w:rFonts w:eastAsia="MS Mincho"/>
          <w:lang w:eastAsia="ja-JP"/>
        </w:rPr>
        <w:t>’</w:t>
      </w:r>
      <w:r w:rsidRPr="00A32AF4">
        <w:rPr>
          <w:rFonts w:eastAsia="MS Mincho"/>
          <w:lang w:eastAsia="ja-JP"/>
        </w:rPr>
        <w:t>agisse d</w:t>
      </w:r>
      <w:r w:rsidR="00E2055A" w:rsidRPr="00A32AF4">
        <w:rPr>
          <w:rFonts w:eastAsia="MS Mincho"/>
          <w:lang w:eastAsia="ja-JP"/>
        </w:rPr>
        <w:t>’</w:t>
      </w:r>
      <w:r w:rsidRPr="00A32AF4">
        <w:rPr>
          <w:rFonts w:eastAsia="MS Mincho"/>
          <w:lang w:eastAsia="ja-JP"/>
        </w:rPr>
        <w:t>articles présentant des données ou de récits sur la propriété intellectuelle, sera créé, personnalisé et diffusé via divers canaux pour répondre aux besoins et aux intérêts de différents publics ne partageant pas le même niveau de connaissances en matière de propriété intellectuelle.  Une attention particulière sera accordée aux considérations d</w:t>
      </w:r>
      <w:r w:rsidR="00E2055A" w:rsidRPr="00A32AF4">
        <w:rPr>
          <w:rFonts w:eastAsia="MS Mincho"/>
          <w:lang w:eastAsia="ja-JP"/>
        </w:rPr>
        <w:t>’</w:t>
      </w:r>
      <w:r w:rsidRPr="00A32AF4">
        <w:rPr>
          <w:rFonts w:eastAsia="MS Mincho"/>
          <w:lang w:eastAsia="ja-JP"/>
        </w:rPr>
        <w:t xml:space="preserve">ordre géographique et à la </w:t>
      </w:r>
      <w:proofErr w:type="gramStart"/>
      <w:r w:rsidRPr="00A32AF4">
        <w:rPr>
          <w:rFonts w:eastAsia="MS Mincho"/>
          <w:lang w:eastAsia="ja-JP"/>
        </w:rPr>
        <w:t>parité;</w:t>
      </w:r>
      <w:proofErr w:type="gramEnd"/>
      <w:r w:rsidRPr="00A32AF4">
        <w:rPr>
          <w:rFonts w:eastAsia="MS Mincho"/>
          <w:lang w:eastAsia="ja-JP"/>
        </w:rPr>
        <w:t xml:space="preserve">  on veillera également à diffuser les témoignages des innovateurs du monde entier qui se servent de la propriété intellectuelle pour améliorer des vies.  Le nouveau bulletin d</w:t>
      </w:r>
      <w:r w:rsidR="00E2055A" w:rsidRPr="00A32AF4">
        <w:rPr>
          <w:rFonts w:eastAsia="MS Mincho"/>
          <w:lang w:eastAsia="ja-JP"/>
        </w:rPr>
        <w:t>’</w:t>
      </w:r>
      <w:r w:rsidRPr="00A32AF4">
        <w:rPr>
          <w:rFonts w:eastAsia="MS Mincho"/>
          <w:lang w:eastAsia="ja-JP"/>
        </w:rPr>
        <w:t xml:space="preserve">information mensuel WIPO Wire permettra aux parties prenantes de se tenir au courant des actualités et des ressources de </w:t>
      </w:r>
      <w:proofErr w:type="gramStart"/>
      <w:r w:rsidRPr="00A32AF4">
        <w:rPr>
          <w:rFonts w:eastAsia="MS Mincho"/>
          <w:lang w:eastAsia="ja-JP"/>
        </w:rPr>
        <w:t>l</w:t>
      </w:r>
      <w:r w:rsidR="00E2055A" w:rsidRPr="00A32AF4">
        <w:rPr>
          <w:rFonts w:eastAsia="MS Mincho"/>
          <w:lang w:eastAsia="ja-JP"/>
        </w:rPr>
        <w:t>’</w:t>
      </w:r>
      <w:r w:rsidRPr="00A32AF4">
        <w:rPr>
          <w:rFonts w:eastAsia="MS Mincho"/>
          <w:lang w:eastAsia="ja-JP"/>
        </w:rPr>
        <w:t>OMPI;</w:t>
      </w:r>
      <w:proofErr w:type="gramEnd"/>
      <w:r w:rsidRPr="00A32AF4">
        <w:rPr>
          <w:rFonts w:eastAsia="MS Mincho"/>
          <w:lang w:eastAsia="ja-JP"/>
        </w:rPr>
        <w:t xml:space="preserve">  les bulletins d</w:t>
      </w:r>
      <w:r w:rsidR="00E2055A" w:rsidRPr="00A32AF4">
        <w:rPr>
          <w:rFonts w:eastAsia="MS Mincho"/>
          <w:lang w:eastAsia="ja-JP"/>
        </w:rPr>
        <w:t>’</w:t>
      </w:r>
      <w:r w:rsidRPr="00A32AF4">
        <w:rPr>
          <w:rFonts w:eastAsia="MS Mincho"/>
          <w:lang w:eastAsia="ja-JP"/>
        </w:rPr>
        <w:t>information et les notifications électroniques seront plus conviviaux grâce à la nouvelle plate</w:t>
      </w:r>
      <w:r w:rsidR="00EB7F54" w:rsidRPr="00A32AF4">
        <w:rPr>
          <w:rFonts w:eastAsia="MS Mincho"/>
          <w:lang w:eastAsia="ja-JP"/>
        </w:rPr>
        <w:noBreakHyphen/>
      </w:r>
      <w:r w:rsidRPr="00A32AF4">
        <w:rPr>
          <w:rFonts w:eastAsia="MS Mincho"/>
          <w:lang w:eastAsia="ja-JP"/>
        </w:rPr>
        <w:t>forme pour le courrier électronique.  D</w:t>
      </w:r>
      <w:r w:rsidR="00E2055A" w:rsidRPr="00A32AF4">
        <w:rPr>
          <w:rFonts w:eastAsia="MS Mincho"/>
          <w:lang w:eastAsia="ja-JP"/>
        </w:rPr>
        <w:t>’</w:t>
      </w:r>
      <w:r w:rsidRPr="00A32AF4">
        <w:rPr>
          <w:rFonts w:eastAsia="MS Mincho"/>
          <w:lang w:eastAsia="ja-JP"/>
        </w:rPr>
        <w:t>autres améliorations apportées à l</w:t>
      </w:r>
      <w:r w:rsidR="00E2055A" w:rsidRPr="00A32AF4">
        <w:rPr>
          <w:rFonts w:eastAsia="MS Mincho"/>
          <w:lang w:eastAsia="ja-JP"/>
        </w:rPr>
        <w:t>’</w:t>
      </w:r>
      <w:r w:rsidRPr="00A32AF4">
        <w:rPr>
          <w:rFonts w:eastAsia="MS Mincho"/>
          <w:lang w:eastAsia="ja-JP"/>
        </w:rPr>
        <w:t>architecture, à la conception et au contenu de l</w:t>
      </w:r>
      <w:r w:rsidR="00E2055A" w:rsidRPr="00A32AF4">
        <w:rPr>
          <w:rFonts w:eastAsia="MS Mincho"/>
          <w:lang w:eastAsia="ja-JP"/>
        </w:rPr>
        <w:t>’</w:t>
      </w:r>
      <w:r w:rsidRPr="00A32AF4">
        <w:rPr>
          <w:rFonts w:eastAsia="MS Mincho"/>
          <w:lang w:eastAsia="ja-JP"/>
        </w:rPr>
        <w:t>information sur le site Web de l</w:t>
      </w:r>
      <w:r w:rsidR="00E2055A" w:rsidRPr="00A32AF4">
        <w:rPr>
          <w:rFonts w:eastAsia="MS Mincho"/>
          <w:lang w:eastAsia="ja-JP"/>
        </w:rPr>
        <w:t>’</w:t>
      </w:r>
      <w:r w:rsidRPr="00A32AF4">
        <w:rPr>
          <w:rFonts w:eastAsia="MS Mincho"/>
          <w:lang w:eastAsia="ja-JP"/>
        </w:rPr>
        <w:t>OMPI aideront les différents utilisateurs à trouver ce qu</w:t>
      </w:r>
      <w:r w:rsidR="00E2055A" w:rsidRPr="00A32AF4">
        <w:rPr>
          <w:rFonts w:eastAsia="MS Mincho"/>
          <w:lang w:eastAsia="ja-JP"/>
        </w:rPr>
        <w:t>’</w:t>
      </w:r>
      <w:r w:rsidRPr="00A32AF4">
        <w:rPr>
          <w:rFonts w:eastAsia="MS Mincho"/>
          <w:lang w:eastAsia="ja-JP"/>
        </w:rPr>
        <w:t>ils cherchent plus facilement.  Des outils analytiques permettront de mesurer l</w:t>
      </w:r>
      <w:r w:rsidR="00E2055A" w:rsidRPr="00A32AF4">
        <w:rPr>
          <w:rFonts w:eastAsia="MS Mincho"/>
          <w:lang w:eastAsia="ja-JP"/>
        </w:rPr>
        <w:t>’</w:t>
      </w:r>
      <w:r w:rsidRPr="00A32AF4">
        <w:rPr>
          <w:rFonts w:eastAsia="MS Mincho"/>
          <w:lang w:eastAsia="ja-JP"/>
        </w:rPr>
        <w:t>efficacité de la communication et de mieux servir les intérêts des utilisateurs.</w:t>
      </w:r>
    </w:p>
    <w:p w:rsidR="00075D09" w:rsidRPr="00A32AF4" w:rsidRDefault="00075D09" w:rsidP="00DC0553">
      <w:pPr>
        <w:tabs>
          <w:tab w:val="left" w:pos="1100"/>
        </w:tabs>
        <w:ind w:left="567"/>
        <w:jc w:val="both"/>
        <w:rPr>
          <w:rFonts w:eastAsia="MS Mincho"/>
          <w:lang w:eastAsia="ja-JP"/>
        </w:rPr>
      </w:pPr>
    </w:p>
    <w:p w:rsidR="00075D09" w:rsidRPr="00A32AF4" w:rsidRDefault="00075D09" w:rsidP="00DC0553">
      <w:pPr>
        <w:tabs>
          <w:tab w:val="left" w:pos="1100"/>
        </w:tabs>
        <w:ind w:left="567"/>
        <w:jc w:val="both"/>
        <w:rPr>
          <w:rFonts w:eastAsia="MS Mincho"/>
          <w:iCs/>
          <w:lang w:eastAsia="ja-JP"/>
        </w:rPr>
      </w:pPr>
      <w:r w:rsidRPr="00A32AF4">
        <w:rPr>
          <w:rFonts w:eastAsia="MS Mincho"/>
          <w:i/>
          <w:iCs/>
          <w:lang w:eastAsia="ja-JP"/>
        </w:rPr>
        <w:t>iii)</w:t>
      </w:r>
      <w:r w:rsidRPr="00A32AF4">
        <w:rPr>
          <w:rFonts w:eastAsia="MS Mincho"/>
          <w:i/>
          <w:iCs/>
          <w:lang w:eastAsia="ja-JP"/>
        </w:rPr>
        <w:tab/>
        <w:t>Élargir l</w:t>
      </w:r>
      <w:r w:rsidR="00E2055A" w:rsidRPr="00A32AF4">
        <w:rPr>
          <w:rFonts w:eastAsia="MS Mincho"/>
          <w:i/>
          <w:iCs/>
          <w:lang w:eastAsia="ja-JP"/>
        </w:rPr>
        <w:t>’</w:t>
      </w:r>
      <w:r w:rsidRPr="00A32AF4">
        <w:rPr>
          <w:rFonts w:eastAsia="MS Mincho"/>
          <w:i/>
          <w:iCs/>
          <w:lang w:eastAsia="ja-JP"/>
        </w:rPr>
        <w:t xml:space="preserve">accès.  </w:t>
      </w:r>
      <w:r w:rsidRPr="00A32AF4">
        <w:rPr>
          <w:rFonts w:eastAsia="MS Mincho"/>
          <w:iCs/>
          <w:lang w:eastAsia="ja-JP"/>
        </w:rPr>
        <w:t>La politique de libre accès de l</w:t>
      </w:r>
      <w:r w:rsidR="00E2055A" w:rsidRPr="00A32AF4">
        <w:rPr>
          <w:rFonts w:eastAsia="MS Mincho"/>
          <w:iCs/>
          <w:lang w:eastAsia="ja-JP"/>
        </w:rPr>
        <w:t>’</w:t>
      </w:r>
      <w:r w:rsidRPr="00A32AF4">
        <w:rPr>
          <w:rFonts w:eastAsia="MS Mincho"/>
          <w:iCs/>
          <w:lang w:eastAsia="ja-JP"/>
        </w:rPr>
        <w:t>OMPI, appuyée par les outils de licences Creative Commons, sera affichée sur le site Web.  Une nouvelle plate</w:t>
      </w:r>
      <w:r w:rsidR="00EB7F54" w:rsidRPr="00A32AF4">
        <w:rPr>
          <w:rFonts w:eastAsia="MS Mincho"/>
          <w:iCs/>
          <w:lang w:eastAsia="ja-JP"/>
        </w:rPr>
        <w:noBreakHyphen/>
      </w:r>
      <w:r w:rsidRPr="00A32AF4">
        <w:rPr>
          <w:rFonts w:eastAsia="MS Mincho"/>
          <w:iCs/>
          <w:lang w:eastAsia="ja-JP"/>
        </w:rPr>
        <w:t>forme électronique exhaustive et permettant d</w:t>
      </w:r>
      <w:r w:rsidR="00E2055A" w:rsidRPr="00A32AF4">
        <w:rPr>
          <w:rFonts w:eastAsia="MS Mincho"/>
          <w:iCs/>
          <w:lang w:eastAsia="ja-JP"/>
        </w:rPr>
        <w:t>’</w:t>
      </w:r>
      <w:r w:rsidRPr="00A32AF4">
        <w:rPr>
          <w:rFonts w:eastAsia="MS Mincho"/>
          <w:iCs/>
          <w:lang w:eastAsia="ja-JP"/>
        </w:rPr>
        <w:t>effectuer des recherches plein texte (lancée en 2015 en même temps que l</w:t>
      </w:r>
      <w:r w:rsidR="00E2055A" w:rsidRPr="00A32AF4">
        <w:rPr>
          <w:rFonts w:eastAsia="MS Mincho"/>
          <w:iCs/>
          <w:lang w:eastAsia="ja-JP"/>
        </w:rPr>
        <w:t>’</w:t>
      </w:r>
      <w:r w:rsidRPr="00A32AF4">
        <w:rPr>
          <w:rFonts w:eastAsia="MS Mincho"/>
          <w:iCs/>
          <w:lang w:eastAsia="ja-JP"/>
        </w:rPr>
        <w:t>impression à la demande) permettra de consulter en ligne, gratuitement et facilement, toutes les publications et études de l</w:t>
      </w:r>
      <w:r w:rsidR="00E2055A" w:rsidRPr="00A32AF4">
        <w:rPr>
          <w:rFonts w:eastAsia="MS Mincho"/>
          <w:iCs/>
          <w:lang w:eastAsia="ja-JP"/>
        </w:rPr>
        <w:t>’</w:t>
      </w:r>
      <w:r w:rsidRPr="00A32AF4">
        <w:rPr>
          <w:rFonts w:eastAsia="MS Mincho"/>
          <w:iCs/>
          <w:lang w:eastAsia="ja-JP"/>
        </w:rPr>
        <w:t>OMPI, ainsi que d</w:t>
      </w:r>
      <w:r w:rsidR="00E2055A" w:rsidRPr="00A32AF4">
        <w:rPr>
          <w:rFonts w:eastAsia="MS Mincho"/>
          <w:iCs/>
          <w:lang w:eastAsia="ja-JP"/>
        </w:rPr>
        <w:t>’</w:t>
      </w:r>
      <w:r w:rsidRPr="00A32AF4">
        <w:rPr>
          <w:rFonts w:eastAsia="MS Mincho"/>
          <w:iCs/>
          <w:lang w:eastAsia="ja-JP"/>
        </w:rPr>
        <w:t>accéder plus aisément aux différentes versions linguistiques.  Les archives de l</w:t>
      </w:r>
      <w:r w:rsidR="00E2055A" w:rsidRPr="00A32AF4">
        <w:rPr>
          <w:rFonts w:eastAsia="MS Mincho"/>
          <w:iCs/>
          <w:lang w:eastAsia="ja-JP"/>
        </w:rPr>
        <w:t>’</w:t>
      </w:r>
      <w:r w:rsidRPr="00A32AF4">
        <w:rPr>
          <w:rFonts w:eastAsia="MS Mincho"/>
          <w:iCs/>
          <w:lang w:eastAsia="ja-JP"/>
        </w:rPr>
        <w:t>OMPI seront numérisées et ajoutées à la collection.  Des titres phares de l</w:t>
      </w:r>
      <w:r w:rsidR="00E2055A" w:rsidRPr="00A32AF4">
        <w:rPr>
          <w:rFonts w:eastAsia="MS Mincho"/>
          <w:iCs/>
          <w:lang w:eastAsia="ja-JP"/>
        </w:rPr>
        <w:t>’</w:t>
      </w:r>
      <w:r w:rsidRPr="00A32AF4">
        <w:rPr>
          <w:rFonts w:eastAsia="MS Mincho"/>
          <w:iCs/>
          <w:lang w:eastAsia="ja-JP"/>
        </w:rPr>
        <w:t>OMPI seront publiés en formats alternatifs pour être plus accessibles et renforcer l</w:t>
      </w:r>
      <w:r w:rsidR="00E2055A" w:rsidRPr="00A32AF4">
        <w:rPr>
          <w:rFonts w:eastAsia="MS Mincho"/>
          <w:iCs/>
          <w:lang w:eastAsia="ja-JP"/>
        </w:rPr>
        <w:t>’</w:t>
      </w:r>
      <w:r w:rsidRPr="00A32AF4">
        <w:rPr>
          <w:rFonts w:eastAsia="MS Mincho"/>
          <w:iCs/>
          <w:lang w:eastAsia="ja-JP"/>
        </w:rPr>
        <w:t>engagement de l</w:t>
      </w:r>
      <w:r w:rsidR="00E2055A" w:rsidRPr="00A32AF4">
        <w:rPr>
          <w:rFonts w:eastAsia="MS Mincho"/>
          <w:iCs/>
          <w:lang w:eastAsia="ja-JP"/>
        </w:rPr>
        <w:t>’</w:t>
      </w:r>
      <w:r w:rsidRPr="00A32AF4">
        <w:rPr>
          <w:rFonts w:eastAsia="MS Mincho"/>
          <w:iCs/>
          <w:lang w:eastAsia="ja-JP"/>
        </w:rPr>
        <w:t>OMPI en faveur de l</w:t>
      </w:r>
      <w:r w:rsidR="00E2055A" w:rsidRPr="00A32AF4">
        <w:rPr>
          <w:rFonts w:eastAsia="MS Mincho"/>
          <w:iCs/>
          <w:lang w:eastAsia="ja-JP"/>
        </w:rPr>
        <w:t>’</w:t>
      </w:r>
      <w:r w:rsidRPr="00A32AF4">
        <w:rPr>
          <w:rFonts w:eastAsia="MS Mincho"/>
          <w:iCs/>
          <w:lang w:eastAsia="ja-JP"/>
        </w:rPr>
        <w:t>édition en format accessible.  La bibliothèque proposera aux fonctionnaires et aux visiteurs de l</w:t>
      </w:r>
      <w:r w:rsidR="00E2055A" w:rsidRPr="00A32AF4">
        <w:rPr>
          <w:rFonts w:eastAsia="MS Mincho"/>
          <w:iCs/>
          <w:lang w:eastAsia="ja-JP"/>
        </w:rPr>
        <w:t>’</w:t>
      </w:r>
      <w:r w:rsidRPr="00A32AF4">
        <w:rPr>
          <w:rFonts w:eastAsia="MS Mincho"/>
          <w:iCs/>
          <w:lang w:eastAsia="ja-JP"/>
        </w:rPr>
        <w:t>OMPI autant de livres et de revues électroniques que possible.  Le programme de bibliothèques dépositaires de l</w:t>
      </w:r>
      <w:r w:rsidR="00E2055A" w:rsidRPr="00A32AF4">
        <w:rPr>
          <w:rFonts w:eastAsia="MS Mincho"/>
          <w:iCs/>
          <w:lang w:eastAsia="ja-JP"/>
        </w:rPr>
        <w:t>’</w:t>
      </w:r>
      <w:r w:rsidRPr="00A32AF4">
        <w:rPr>
          <w:rFonts w:eastAsia="MS Mincho"/>
          <w:iCs/>
          <w:lang w:eastAsia="ja-JP"/>
        </w:rPr>
        <w:t>OMPI continuera de répondre aux demandes formulées par les pays en développement concernant les documents de référence sur la propriété intellectuelle en version papier et en version électronique.</w:t>
      </w:r>
    </w:p>
    <w:p w:rsidR="00075D09" w:rsidRPr="00A32AF4" w:rsidRDefault="00075D09" w:rsidP="00DC0553">
      <w:pPr>
        <w:ind w:left="567"/>
        <w:jc w:val="both"/>
        <w:rPr>
          <w:rFonts w:eastAsia="MS Mincho"/>
          <w:lang w:eastAsia="ja-JP"/>
        </w:rPr>
      </w:pPr>
    </w:p>
    <w:p w:rsidR="00075D09" w:rsidRPr="00A32AF4" w:rsidRDefault="00075D09" w:rsidP="00DC0553">
      <w:pPr>
        <w:tabs>
          <w:tab w:val="left" w:pos="1100"/>
        </w:tabs>
        <w:ind w:left="567"/>
        <w:jc w:val="both"/>
        <w:rPr>
          <w:rFonts w:eastAsia="MS Mincho"/>
          <w:iCs/>
          <w:lang w:eastAsia="ja-JP"/>
        </w:rPr>
      </w:pPr>
      <w:r w:rsidRPr="00A32AF4">
        <w:rPr>
          <w:rFonts w:eastAsia="MS Mincho"/>
          <w:i/>
          <w:iCs/>
          <w:lang w:eastAsia="ja-JP"/>
        </w:rPr>
        <w:t>iv)</w:t>
      </w:r>
      <w:r w:rsidRPr="00A32AF4">
        <w:rPr>
          <w:rFonts w:eastAsia="MS Mincho"/>
          <w:i/>
          <w:iCs/>
          <w:lang w:eastAsia="ja-JP"/>
        </w:rPr>
        <w:tab/>
        <w:t xml:space="preserve">Participation des parties prenantes.  </w:t>
      </w:r>
      <w:r w:rsidRPr="00A32AF4">
        <w:rPr>
          <w:rFonts w:eastAsia="MS Mincho"/>
          <w:iCs/>
          <w:lang w:eastAsia="ja-JP"/>
        </w:rPr>
        <w:t>Le programme 19 poursuivra l</w:t>
      </w:r>
      <w:r w:rsidR="00E2055A" w:rsidRPr="00A32AF4">
        <w:rPr>
          <w:rFonts w:eastAsia="MS Mincho"/>
          <w:iCs/>
          <w:lang w:eastAsia="ja-JP"/>
        </w:rPr>
        <w:t>’</w:t>
      </w:r>
      <w:r w:rsidRPr="00A32AF4">
        <w:rPr>
          <w:rFonts w:eastAsia="MS Mincho"/>
          <w:iCs/>
          <w:lang w:eastAsia="ja-JP"/>
        </w:rPr>
        <w:t>intégration et l</w:t>
      </w:r>
      <w:r w:rsidR="00E2055A" w:rsidRPr="00A32AF4">
        <w:rPr>
          <w:rFonts w:eastAsia="MS Mincho"/>
          <w:iCs/>
          <w:lang w:eastAsia="ja-JP"/>
        </w:rPr>
        <w:t>’</w:t>
      </w:r>
      <w:r w:rsidRPr="00A32AF4">
        <w:rPr>
          <w:rFonts w:eastAsia="MS Mincho"/>
          <w:iCs/>
          <w:lang w:eastAsia="ja-JP"/>
        </w:rPr>
        <w:t>expansion des médias sociaux et des stratégies destinées à favoriser la communication multidirectionnelle, à améliorer la réactivité de l</w:t>
      </w:r>
      <w:r w:rsidR="00E2055A" w:rsidRPr="00A32AF4">
        <w:rPr>
          <w:rFonts w:eastAsia="MS Mincho"/>
          <w:iCs/>
          <w:lang w:eastAsia="ja-JP"/>
        </w:rPr>
        <w:t>’</w:t>
      </w:r>
      <w:r w:rsidRPr="00A32AF4">
        <w:rPr>
          <w:rFonts w:eastAsia="MS Mincho"/>
          <w:iCs/>
          <w:lang w:eastAsia="ja-JP"/>
        </w:rPr>
        <w:t>OMPI et à renforcer la participation directe des parties prenantes qui pourront ainsi faire entendre leur voix.  Un contenu médiatique partageable sera produit et diffusé via un nombre de plates</w:t>
      </w:r>
      <w:r w:rsidR="00EB7F54" w:rsidRPr="00A32AF4">
        <w:rPr>
          <w:rFonts w:eastAsia="MS Mincho"/>
          <w:iCs/>
          <w:lang w:eastAsia="ja-JP"/>
        </w:rPr>
        <w:noBreakHyphen/>
      </w:r>
      <w:r w:rsidRPr="00A32AF4">
        <w:rPr>
          <w:rFonts w:eastAsia="MS Mincho"/>
          <w:iCs/>
          <w:lang w:eastAsia="ja-JP"/>
        </w:rPr>
        <w:t>formes plus important.  Le Magazine de l</w:t>
      </w:r>
      <w:r w:rsidR="00E2055A" w:rsidRPr="00A32AF4">
        <w:rPr>
          <w:rFonts w:eastAsia="MS Mincho"/>
          <w:iCs/>
          <w:lang w:eastAsia="ja-JP"/>
        </w:rPr>
        <w:t>’</w:t>
      </w:r>
      <w:r w:rsidRPr="00A32AF4">
        <w:rPr>
          <w:rFonts w:eastAsia="MS Mincho"/>
          <w:iCs/>
          <w:lang w:eastAsia="ja-JP"/>
        </w:rPr>
        <w:t>OMPI sera disponible dans une version électronique plus interactive.  La campagne annuelle autour de la Journée mondiale de la propriété intellectuelle sera étendue en tant que plate</w:t>
      </w:r>
      <w:r w:rsidR="00EB7F54" w:rsidRPr="00A32AF4">
        <w:rPr>
          <w:rFonts w:eastAsia="MS Mincho"/>
          <w:iCs/>
          <w:lang w:eastAsia="ja-JP"/>
        </w:rPr>
        <w:noBreakHyphen/>
      </w:r>
      <w:r w:rsidRPr="00A32AF4">
        <w:rPr>
          <w:rFonts w:eastAsia="MS Mincho"/>
          <w:iCs/>
          <w:lang w:eastAsia="ja-JP"/>
        </w:rPr>
        <w:t>forme privilégiée pour aller à la rencontre de nouveaux publics et promouvoir le lien positif entre la propriété intellectuelle et l</w:t>
      </w:r>
      <w:r w:rsidR="00E2055A" w:rsidRPr="00A32AF4">
        <w:rPr>
          <w:rFonts w:eastAsia="MS Mincho"/>
          <w:iCs/>
          <w:lang w:eastAsia="ja-JP"/>
        </w:rPr>
        <w:t>’</w:t>
      </w:r>
      <w:r w:rsidRPr="00A32AF4">
        <w:rPr>
          <w:rFonts w:eastAsia="MS Mincho"/>
          <w:iCs/>
          <w:lang w:eastAsia="ja-JP"/>
        </w:rPr>
        <w:t>innovation.  L</w:t>
      </w:r>
      <w:r w:rsidR="00E2055A" w:rsidRPr="00A32AF4">
        <w:rPr>
          <w:rFonts w:eastAsia="MS Mincho"/>
          <w:iCs/>
          <w:lang w:eastAsia="ja-JP"/>
        </w:rPr>
        <w:t>’</w:t>
      </w:r>
      <w:r w:rsidRPr="00A32AF4">
        <w:rPr>
          <w:rFonts w:eastAsia="MS Mincho"/>
          <w:iCs/>
          <w:lang w:eastAsia="ja-JP"/>
        </w:rPr>
        <w:t>engagement envers les médias restera un outil efficace.  Pour renforcer la position de l</w:t>
      </w:r>
      <w:r w:rsidR="00E2055A" w:rsidRPr="00A32AF4">
        <w:rPr>
          <w:rFonts w:eastAsia="MS Mincho"/>
          <w:iCs/>
          <w:lang w:eastAsia="ja-JP"/>
        </w:rPr>
        <w:t>’</w:t>
      </w:r>
      <w:r w:rsidRPr="00A32AF4">
        <w:rPr>
          <w:rFonts w:eastAsia="MS Mincho"/>
          <w:iCs/>
          <w:lang w:eastAsia="ja-JP"/>
        </w:rPr>
        <w:t>OMPI en tant que source de références mondiale et une autorité fiable en matière de propriété intellectuelle, et pour aider à modifier l</w:t>
      </w:r>
      <w:r w:rsidR="00E2055A" w:rsidRPr="00A32AF4">
        <w:rPr>
          <w:rFonts w:eastAsia="MS Mincho"/>
          <w:iCs/>
          <w:lang w:eastAsia="ja-JP"/>
        </w:rPr>
        <w:t>’</w:t>
      </w:r>
      <w:r w:rsidRPr="00A32AF4">
        <w:rPr>
          <w:rFonts w:eastAsia="MS Mincho"/>
          <w:iCs/>
          <w:lang w:eastAsia="ja-JP"/>
        </w:rPr>
        <w:t>opinion publique lorsque cela est nécessaire, des campagnes d</w:t>
      </w:r>
      <w:r w:rsidR="00E2055A" w:rsidRPr="00A32AF4">
        <w:rPr>
          <w:rFonts w:eastAsia="MS Mincho"/>
          <w:iCs/>
          <w:lang w:eastAsia="ja-JP"/>
        </w:rPr>
        <w:t>’</w:t>
      </w:r>
      <w:r w:rsidRPr="00A32AF4">
        <w:rPr>
          <w:rFonts w:eastAsia="MS Mincho"/>
          <w:iCs/>
          <w:lang w:eastAsia="ja-JP"/>
        </w:rPr>
        <w:t>information énergiques seront organisées en permanence à l</w:t>
      </w:r>
      <w:r w:rsidR="00E2055A" w:rsidRPr="00A32AF4">
        <w:rPr>
          <w:rFonts w:eastAsia="MS Mincho"/>
          <w:iCs/>
          <w:lang w:eastAsia="ja-JP"/>
        </w:rPr>
        <w:t>’</w:t>
      </w:r>
      <w:r w:rsidRPr="00A32AF4">
        <w:rPr>
          <w:rFonts w:eastAsia="MS Mincho"/>
          <w:iCs/>
          <w:lang w:eastAsia="ja-JP"/>
        </w:rPr>
        <w:t>intention de la presse, des blogs et des médias numériques influents.</w:t>
      </w:r>
    </w:p>
    <w:p w:rsidR="00075D09" w:rsidRPr="00A32AF4" w:rsidRDefault="00075D09" w:rsidP="00DC0553">
      <w:pPr>
        <w:ind w:left="567"/>
        <w:jc w:val="both"/>
        <w:rPr>
          <w:rFonts w:eastAsia="MS Mincho"/>
          <w:bCs/>
          <w:lang w:eastAsia="ja-JP"/>
        </w:rPr>
      </w:pPr>
    </w:p>
    <w:p w:rsidR="00075D09" w:rsidRPr="00A32AF4" w:rsidRDefault="00075D09" w:rsidP="00DC0553">
      <w:pPr>
        <w:tabs>
          <w:tab w:val="left" w:pos="1100"/>
        </w:tabs>
        <w:ind w:left="567"/>
        <w:jc w:val="both"/>
        <w:rPr>
          <w:rFonts w:eastAsia="MS Mincho"/>
          <w:iCs/>
          <w:lang w:eastAsia="ja-JP"/>
        </w:rPr>
      </w:pPr>
      <w:r w:rsidRPr="00A32AF4">
        <w:rPr>
          <w:rFonts w:eastAsia="MS Mincho"/>
          <w:i/>
          <w:iCs/>
          <w:lang w:eastAsia="ja-JP"/>
        </w:rPr>
        <w:t>v)</w:t>
      </w:r>
      <w:r w:rsidRPr="00A32AF4">
        <w:rPr>
          <w:rFonts w:eastAsia="MS Mincho"/>
          <w:i/>
          <w:iCs/>
          <w:lang w:eastAsia="ja-JP"/>
        </w:rPr>
        <w:tab/>
        <w:t xml:space="preserve">Communication vidéo et visuelle.  </w:t>
      </w:r>
      <w:r w:rsidRPr="00A32AF4">
        <w:rPr>
          <w:rFonts w:eastAsia="MS Mincho"/>
          <w:iCs/>
          <w:lang w:eastAsia="ja-JP"/>
        </w:rPr>
        <w:t>Des images, des graphiques et des dessins pertinents seront utilisés de manière créative sur les supports Web, numériques et imprimés pour renforcer l</w:t>
      </w:r>
      <w:r w:rsidR="00E2055A" w:rsidRPr="00A32AF4">
        <w:rPr>
          <w:rFonts w:eastAsia="MS Mincho"/>
          <w:iCs/>
          <w:lang w:eastAsia="ja-JP"/>
        </w:rPr>
        <w:t>’</w:t>
      </w:r>
      <w:r w:rsidRPr="00A32AF4">
        <w:rPr>
          <w:rFonts w:eastAsia="MS Mincho"/>
          <w:iCs/>
          <w:lang w:eastAsia="ja-JP"/>
        </w:rPr>
        <w:t>impact visuel et l</w:t>
      </w:r>
      <w:r w:rsidR="00E2055A" w:rsidRPr="00A32AF4">
        <w:rPr>
          <w:rFonts w:eastAsia="MS Mincho"/>
          <w:iCs/>
          <w:lang w:eastAsia="ja-JP"/>
        </w:rPr>
        <w:t>’</w:t>
      </w:r>
      <w:r w:rsidRPr="00A32AF4">
        <w:rPr>
          <w:rFonts w:eastAsia="MS Mincho"/>
          <w:iCs/>
          <w:lang w:eastAsia="ja-JP"/>
        </w:rPr>
        <w:t>instantanéité des communications de l</w:t>
      </w:r>
      <w:r w:rsidR="00E2055A" w:rsidRPr="00A32AF4">
        <w:rPr>
          <w:rFonts w:eastAsia="MS Mincho"/>
          <w:iCs/>
          <w:lang w:eastAsia="ja-JP"/>
        </w:rPr>
        <w:t>’</w:t>
      </w:r>
      <w:r w:rsidRPr="00A32AF4">
        <w:rPr>
          <w:rFonts w:eastAsia="MS Mincho"/>
          <w:iCs/>
          <w:lang w:eastAsia="ja-JP"/>
        </w:rPr>
        <w:t>OMPI.  Les moyens nécessaires seront mobilisés pour accroître le nombre de graphiques et d</w:t>
      </w:r>
      <w:r w:rsidR="00E2055A" w:rsidRPr="00A32AF4">
        <w:rPr>
          <w:rFonts w:eastAsia="MS Mincho"/>
          <w:iCs/>
          <w:lang w:eastAsia="ja-JP"/>
        </w:rPr>
        <w:t>’</w:t>
      </w:r>
      <w:r w:rsidRPr="00A32AF4">
        <w:rPr>
          <w:rFonts w:eastAsia="MS Mincho"/>
          <w:iCs/>
          <w:lang w:eastAsia="ja-JP"/>
        </w:rPr>
        <w:t>images de qualité dans le but de promouvoir des contenus à forte valeur ajoutée et riches en données, comme les rapports statistiques et économiques de l</w:t>
      </w:r>
      <w:r w:rsidR="00E2055A" w:rsidRPr="00A32AF4">
        <w:rPr>
          <w:rFonts w:eastAsia="MS Mincho"/>
          <w:iCs/>
          <w:lang w:eastAsia="ja-JP"/>
        </w:rPr>
        <w:t>’</w:t>
      </w:r>
      <w:r w:rsidRPr="00A32AF4">
        <w:rPr>
          <w:rFonts w:eastAsia="MS Mincho"/>
          <w:iCs/>
          <w:lang w:eastAsia="ja-JP"/>
        </w:rPr>
        <w:t>OMPI qui sont uniques dans leur genre.  L</w:t>
      </w:r>
      <w:r w:rsidR="00E2055A" w:rsidRPr="00A32AF4">
        <w:rPr>
          <w:rFonts w:eastAsia="MS Mincho"/>
          <w:iCs/>
          <w:lang w:eastAsia="ja-JP"/>
        </w:rPr>
        <w:t>’</w:t>
      </w:r>
      <w:r w:rsidRPr="00A32AF4">
        <w:rPr>
          <w:rFonts w:eastAsia="MS Mincho"/>
          <w:iCs/>
          <w:lang w:eastAsia="ja-JP"/>
        </w:rPr>
        <w:t>intérêt du public pour les contenus vidéo sera exploité à travers la production plus abondante d</w:t>
      </w:r>
      <w:r w:rsidR="00E2055A" w:rsidRPr="00A32AF4">
        <w:rPr>
          <w:rFonts w:eastAsia="MS Mincho"/>
          <w:iCs/>
          <w:lang w:eastAsia="ja-JP"/>
        </w:rPr>
        <w:t>’</w:t>
      </w:r>
      <w:r w:rsidRPr="00A32AF4">
        <w:rPr>
          <w:rFonts w:eastAsia="MS Mincho"/>
          <w:iCs/>
          <w:lang w:eastAsia="ja-JP"/>
        </w:rPr>
        <w:t>entretiens, de contenus d</w:t>
      </w:r>
      <w:r w:rsidR="00E2055A" w:rsidRPr="00A32AF4">
        <w:rPr>
          <w:rFonts w:eastAsia="MS Mincho"/>
          <w:iCs/>
          <w:lang w:eastAsia="ja-JP"/>
        </w:rPr>
        <w:t>’</w:t>
      </w:r>
      <w:r w:rsidRPr="00A32AF4">
        <w:rPr>
          <w:rFonts w:eastAsia="MS Mincho"/>
          <w:iCs/>
          <w:lang w:eastAsia="ja-JP"/>
        </w:rPr>
        <w:t>actualité, de documentaires, de graphiques animés, de tutoriels vidéo et d</w:t>
      </w:r>
      <w:r w:rsidR="00E2055A" w:rsidRPr="00A32AF4">
        <w:rPr>
          <w:rFonts w:eastAsia="MS Mincho"/>
          <w:iCs/>
          <w:lang w:eastAsia="ja-JP"/>
        </w:rPr>
        <w:t>’</w:t>
      </w:r>
      <w:r w:rsidRPr="00A32AF4">
        <w:rPr>
          <w:rFonts w:eastAsia="MS Mincho"/>
          <w:iCs/>
          <w:lang w:eastAsia="ja-JP"/>
        </w:rPr>
        <w:t>autres contenus audiovisuels décrivant les travaux et les produits de l</w:t>
      </w:r>
      <w:r w:rsidR="00E2055A" w:rsidRPr="00A32AF4">
        <w:rPr>
          <w:rFonts w:eastAsia="MS Mincho"/>
          <w:iCs/>
          <w:lang w:eastAsia="ja-JP"/>
        </w:rPr>
        <w:t>’</w:t>
      </w:r>
      <w:r w:rsidRPr="00A32AF4">
        <w:rPr>
          <w:rFonts w:eastAsia="MS Mincho"/>
          <w:iCs/>
          <w:lang w:eastAsia="ja-JP"/>
        </w:rPr>
        <w:t>OMPI.</w:t>
      </w:r>
    </w:p>
    <w:p w:rsidR="00075D09" w:rsidRPr="00A32AF4" w:rsidRDefault="00075D09" w:rsidP="00DC0553">
      <w:pPr>
        <w:tabs>
          <w:tab w:val="left" w:pos="1100"/>
        </w:tabs>
        <w:ind w:left="567"/>
        <w:jc w:val="both"/>
        <w:rPr>
          <w:rFonts w:eastAsia="MS Mincho"/>
          <w:lang w:eastAsia="ja-JP"/>
        </w:rPr>
      </w:pPr>
    </w:p>
    <w:p w:rsidR="00075D09" w:rsidRPr="00A32AF4" w:rsidRDefault="00075D09" w:rsidP="00DC0553">
      <w:pPr>
        <w:tabs>
          <w:tab w:val="left" w:pos="1100"/>
        </w:tabs>
        <w:ind w:left="567"/>
        <w:jc w:val="both"/>
        <w:rPr>
          <w:rFonts w:eastAsia="MS Mincho"/>
          <w:lang w:eastAsia="ja-JP"/>
        </w:rPr>
      </w:pPr>
      <w:r w:rsidRPr="00A32AF4">
        <w:rPr>
          <w:rFonts w:eastAsia="MS Mincho"/>
          <w:i/>
          <w:lang w:eastAsia="ja-JP"/>
        </w:rPr>
        <w:t>vi)</w:t>
      </w:r>
      <w:r w:rsidRPr="00A32AF4">
        <w:rPr>
          <w:rFonts w:eastAsia="MS Mincho"/>
          <w:i/>
          <w:lang w:eastAsia="ja-JP"/>
        </w:rPr>
        <w:tab/>
        <w:t xml:space="preserve">OMPI – une identité forte.  </w:t>
      </w:r>
      <w:r w:rsidRPr="00A32AF4">
        <w:rPr>
          <w:rFonts w:eastAsia="MS Mincho"/>
          <w:lang w:eastAsia="ja-JP"/>
        </w:rPr>
        <w:t>La constante expression verbale et visuelle de la “marque” OMPI – sa mission, ses valeurs et son rôle – sera intégrée à l</w:t>
      </w:r>
      <w:r w:rsidR="00E2055A" w:rsidRPr="00A32AF4">
        <w:rPr>
          <w:rFonts w:eastAsia="MS Mincho"/>
          <w:lang w:eastAsia="ja-JP"/>
        </w:rPr>
        <w:t>’</w:t>
      </w:r>
      <w:r w:rsidRPr="00A32AF4">
        <w:rPr>
          <w:rFonts w:eastAsia="MS Mincho"/>
          <w:lang w:eastAsia="ja-JP"/>
        </w:rPr>
        <w:t>échelle de l</w:t>
      </w:r>
      <w:r w:rsidR="00E2055A" w:rsidRPr="00A32AF4">
        <w:rPr>
          <w:rFonts w:eastAsia="MS Mincho"/>
          <w:lang w:eastAsia="ja-JP"/>
        </w:rPr>
        <w:t>’</w:t>
      </w:r>
      <w:r w:rsidRPr="00A32AF4">
        <w:rPr>
          <w:rFonts w:eastAsia="MS Mincho"/>
          <w:lang w:eastAsia="ja-JP"/>
        </w:rPr>
        <w:t>Organisation dans les activités de rédaction, de conception et de création de contenu, ainsi que dans les activités en rapport avec les médias, l</w:t>
      </w:r>
      <w:r w:rsidR="00E2055A" w:rsidRPr="00A32AF4">
        <w:rPr>
          <w:rFonts w:eastAsia="MS Mincho"/>
          <w:lang w:eastAsia="ja-JP"/>
        </w:rPr>
        <w:t>’</w:t>
      </w:r>
      <w:r w:rsidRPr="00A32AF4">
        <w:rPr>
          <w:rFonts w:eastAsia="MS Mincho"/>
          <w:lang w:eastAsia="ja-JP"/>
        </w:rPr>
        <w:t>édition et le service à la clientèle.  L</w:t>
      </w:r>
      <w:r w:rsidR="00E2055A" w:rsidRPr="00A32AF4">
        <w:rPr>
          <w:rFonts w:eastAsia="MS Mincho"/>
          <w:lang w:eastAsia="ja-JP"/>
        </w:rPr>
        <w:t>’</w:t>
      </w:r>
      <w:r w:rsidRPr="00A32AF4">
        <w:rPr>
          <w:rFonts w:eastAsia="MS Mincho"/>
          <w:lang w:eastAsia="ja-JP"/>
        </w:rPr>
        <w:t>identité visuelle de l</w:t>
      </w:r>
      <w:r w:rsidR="00E2055A" w:rsidRPr="00A32AF4">
        <w:rPr>
          <w:rFonts w:eastAsia="MS Mincho"/>
          <w:lang w:eastAsia="ja-JP"/>
        </w:rPr>
        <w:t>’</w:t>
      </w:r>
      <w:r w:rsidRPr="00A32AF4">
        <w:rPr>
          <w:rFonts w:eastAsia="MS Mincho"/>
          <w:lang w:eastAsia="ja-JP"/>
        </w:rPr>
        <w:t>Organisation sera actualisée.  La perception qu</w:t>
      </w:r>
      <w:r w:rsidR="00E2055A" w:rsidRPr="00A32AF4">
        <w:rPr>
          <w:rFonts w:eastAsia="MS Mincho"/>
          <w:lang w:eastAsia="ja-JP"/>
        </w:rPr>
        <w:t>’</w:t>
      </w:r>
      <w:r w:rsidRPr="00A32AF4">
        <w:rPr>
          <w:rFonts w:eastAsia="MS Mincho"/>
          <w:lang w:eastAsia="ja-JP"/>
        </w:rPr>
        <w:t>auront les parties prenantes de l</w:t>
      </w:r>
      <w:r w:rsidR="00E2055A" w:rsidRPr="00A32AF4">
        <w:rPr>
          <w:rFonts w:eastAsia="MS Mincho"/>
          <w:lang w:eastAsia="ja-JP"/>
        </w:rPr>
        <w:t>’</w:t>
      </w:r>
      <w:r w:rsidRPr="00A32AF4">
        <w:rPr>
          <w:rFonts w:eastAsia="MS Mincho"/>
          <w:lang w:eastAsia="ja-JP"/>
        </w:rPr>
        <w:t>image et des résultats de l</w:t>
      </w:r>
      <w:r w:rsidR="00E2055A" w:rsidRPr="00A32AF4">
        <w:rPr>
          <w:rFonts w:eastAsia="MS Mincho"/>
          <w:lang w:eastAsia="ja-JP"/>
        </w:rPr>
        <w:t>’</w:t>
      </w:r>
      <w:r w:rsidRPr="00A32AF4">
        <w:rPr>
          <w:rFonts w:eastAsia="MS Mincho"/>
          <w:lang w:eastAsia="ja-JP"/>
        </w:rPr>
        <w:t>OMPI par rapport à d</w:t>
      </w:r>
      <w:r w:rsidR="00E2055A" w:rsidRPr="00A32AF4">
        <w:rPr>
          <w:rFonts w:eastAsia="MS Mincho"/>
          <w:lang w:eastAsia="ja-JP"/>
        </w:rPr>
        <w:t>’</w:t>
      </w:r>
      <w:r w:rsidRPr="00A32AF4">
        <w:rPr>
          <w:rFonts w:eastAsia="MS Mincho"/>
          <w:lang w:eastAsia="ja-JP"/>
        </w:rPr>
        <w:t>autres références réputées fera l</w:t>
      </w:r>
      <w:r w:rsidR="00E2055A" w:rsidRPr="00A32AF4">
        <w:rPr>
          <w:rFonts w:eastAsia="MS Mincho"/>
          <w:lang w:eastAsia="ja-JP"/>
        </w:rPr>
        <w:t>’</w:t>
      </w:r>
      <w:r w:rsidRPr="00A32AF4">
        <w:rPr>
          <w:rFonts w:eastAsia="MS Mincho"/>
          <w:lang w:eastAsia="ja-JP"/>
        </w:rPr>
        <w:t>objet d</w:t>
      </w:r>
      <w:r w:rsidR="00E2055A" w:rsidRPr="00A32AF4">
        <w:rPr>
          <w:rFonts w:eastAsia="MS Mincho"/>
          <w:lang w:eastAsia="ja-JP"/>
        </w:rPr>
        <w:t>’</w:t>
      </w:r>
      <w:r w:rsidRPr="00A32AF4">
        <w:rPr>
          <w:rFonts w:eastAsia="MS Mincho"/>
          <w:lang w:eastAsia="ja-JP"/>
        </w:rPr>
        <w:t>une enquête et des leçons en seront tirées pour améliorer les aspects qui laisseraient à désirer.</w:t>
      </w:r>
    </w:p>
    <w:p w:rsidR="00075D09" w:rsidRPr="00A32AF4" w:rsidRDefault="00075D09" w:rsidP="00DC0553">
      <w:pPr>
        <w:tabs>
          <w:tab w:val="left" w:pos="1100"/>
        </w:tabs>
        <w:ind w:left="567"/>
        <w:jc w:val="both"/>
        <w:rPr>
          <w:rFonts w:eastAsia="MS Mincho"/>
          <w:lang w:eastAsia="ja-JP"/>
        </w:rPr>
      </w:pPr>
    </w:p>
    <w:p w:rsidR="00075D09" w:rsidRPr="00A32AF4" w:rsidRDefault="00075D09" w:rsidP="00DC0553">
      <w:pPr>
        <w:tabs>
          <w:tab w:val="left" w:pos="1100"/>
        </w:tabs>
        <w:ind w:left="567"/>
        <w:jc w:val="both"/>
        <w:rPr>
          <w:rFonts w:eastAsia="MS Mincho"/>
          <w:iCs/>
          <w:lang w:eastAsia="ja-JP"/>
        </w:rPr>
      </w:pPr>
      <w:r w:rsidRPr="00A32AF4">
        <w:rPr>
          <w:rFonts w:eastAsia="MS Mincho"/>
          <w:i/>
          <w:iCs/>
          <w:lang w:eastAsia="ja-JP"/>
        </w:rPr>
        <w:t>vii)</w:t>
      </w:r>
      <w:r w:rsidRPr="00A32AF4">
        <w:rPr>
          <w:rFonts w:eastAsia="MS Mincho"/>
          <w:i/>
          <w:iCs/>
          <w:lang w:eastAsia="ja-JP"/>
        </w:rPr>
        <w:tab/>
        <w:t>Coordination interne.</w:t>
      </w:r>
      <w:r w:rsidRPr="00A32AF4">
        <w:rPr>
          <w:rFonts w:eastAsia="MS Mincho"/>
          <w:i/>
        </w:rPr>
        <w:t xml:space="preserve">  </w:t>
      </w:r>
      <w:r w:rsidRPr="00A32AF4">
        <w:rPr>
          <w:rFonts w:eastAsia="MS Mincho"/>
          <w:iCs/>
          <w:lang w:eastAsia="ja-JP"/>
        </w:rPr>
        <w:t>Une approche plus stratégique de la communication sera favorisée au sein de l</w:t>
      </w:r>
      <w:r w:rsidR="00E2055A" w:rsidRPr="00A32AF4">
        <w:rPr>
          <w:rFonts w:eastAsia="MS Mincho"/>
          <w:iCs/>
          <w:lang w:eastAsia="ja-JP"/>
        </w:rPr>
        <w:t>’</w:t>
      </w:r>
      <w:r w:rsidRPr="00A32AF4">
        <w:rPr>
          <w:rFonts w:eastAsia="MS Mincho"/>
          <w:iCs/>
          <w:lang w:eastAsia="ja-JP"/>
        </w:rPr>
        <w:t>Organisation grâce à une planification et une coordination intersectorielles plus systématiques.  Le programme 19 permettra de conduire des activités visant à pratiquer une communication uniforme et d</w:t>
      </w:r>
      <w:r w:rsidR="00E2055A" w:rsidRPr="00A32AF4">
        <w:rPr>
          <w:rFonts w:eastAsia="MS Mincho"/>
          <w:iCs/>
          <w:lang w:eastAsia="ja-JP"/>
        </w:rPr>
        <w:t>’</w:t>
      </w:r>
      <w:r w:rsidRPr="00A32AF4">
        <w:rPr>
          <w:rFonts w:eastAsia="MS Mincho"/>
          <w:iCs/>
          <w:lang w:eastAsia="ja-JP"/>
        </w:rPr>
        <w:t>appuyer les efforts déployés pour encourager une communication plus horizontale et le partage d</w:t>
      </w:r>
      <w:r w:rsidR="00E2055A" w:rsidRPr="00A32AF4">
        <w:rPr>
          <w:rFonts w:eastAsia="MS Mincho"/>
          <w:iCs/>
          <w:lang w:eastAsia="ja-JP"/>
        </w:rPr>
        <w:t>’</w:t>
      </w:r>
      <w:r w:rsidRPr="00A32AF4">
        <w:rPr>
          <w:rFonts w:eastAsia="MS Mincho"/>
          <w:iCs/>
          <w:lang w:eastAsia="ja-JP"/>
        </w:rPr>
        <w:t>informations.</w:t>
      </w:r>
    </w:p>
    <w:p w:rsidR="00075D09" w:rsidRPr="00A32AF4" w:rsidRDefault="00075D09" w:rsidP="00DC0553">
      <w:pPr>
        <w:tabs>
          <w:tab w:val="left" w:pos="1100"/>
        </w:tabs>
        <w:ind w:left="567"/>
        <w:jc w:val="both"/>
        <w:rPr>
          <w:rFonts w:eastAsia="MS Mincho"/>
          <w:lang w:eastAsia="ja-JP"/>
        </w:rPr>
      </w:pPr>
    </w:p>
    <w:p w:rsidR="00075D09" w:rsidRPr="00A32AF4" w:rsidRDefault="00075D09" w:rsidP="00DC0553">
      <w:pPr>
        <w:tabs>
          <w:tab w:val="left" w:pos="1100"/>
        </w:tabs>
        <w:ind w:left="567"/>
        <w:jc w:val="both"/>
        <w:rPr>
          <w:rFonts w:eastAsia="MS Mincho"/>
        </w:rPr>
      </w:pPr>
      <w:r w:rsidRPr="00A32AF4">
        <w:rPr>
          <w:rFonts w:eastAsia="MS Mincho"/>
          <w:i/>
          <w:iCs/>
          <w:lang w:eastAsia="ja-JP"/>
        </w:rPr>
        <w:t>viii)</w:t>
      </w:r>
      <w:r w:rsidRPr="00A32AF4">
        <w:rPr>
          <w:rFonts w:eastAsia="MS Mincho"/>
          <w:i/>
          <w:iCs/>
          <w:lang w:eastAsia="ja-JP"/>
        </w:rPr>
        <w:tab/>
        <w:t xml:space="preserve">Culture axée sur les services.  </w:t>
      </w:r>
      <w:r w:rsidRPr="00A32AF4">
        <w:rPr>
          <w:rFonts w:eastAsia="MS Mincho"/>
          <w:iCs/>
          <w:lang w:eastAsia="ja-JP"/>
        </w:rPr>
        <w:t>Le programme 19 permettra de renforcer le style propre à l</w:t>
      </w:r>
      <w:r w:rsidR="00E2055A" w:rsidRPr="00A32AF4">
        <w:rPr>
          <w:rFonts w:eastAsia="MS Mincho"/>
          <w:iCs/>
          <w:lang w:eastAsia="ja-JP"/>
        </w:rPr>
        <w:t>’</w:t>
      </w:r>
      <w:r w:rsidRPr="00A32AF4">
        <w:rPr>
          <w:rFonts w:eastAsia="MS Mincho"/>
          <w:iCs/>
          <w:lang w:eastAsia="ja-JP"/>
        </w:rPr>
        <w:t>OMPI, qui privilégie la prestation de services aux parties prenantes et la réceptivité aux demandes de celles</w:t>
      </w:r>
      <w:r w:rsidR="00EB7F54" w:rsidRPr="00A32AF4">
        <w:rPr>
          <w:rFonts w:eastAsia="MS Mincho"/>
          <w:iCs/>
          <w:lang w:eastAsia="ja-JP"/>
        </w:rPr>
        <w:noBreakHyphen/>
      </w:r>
      <w:r w:rsidRPr="00A32AF4">
        <w:rPr>
          <w:rFonts w:eastAsia="MS Mincho"/>
          <w:iCs/>
          <w:lang w:eastAsia="ja-JP"/>
        </w:rPr>
        <w:t>ci, et d</w:t>
      </w:r>
      <w:r w:rsidR="00E2055A" w:rsidRPr="00A32AF4">
        <w:rPr>
          <w:rFonts w:eastAsia="MS Mincho"/>
          <w:iCs/>
          <w:lang w:eastAsia="ja-JP"/>
        </w:rPr>
        <w:t>’</w:t>
      </w:r>
      <w:r w:rsidRPr="00A32AF4">
        <w:rPr>
          <w:rFonts w:eastAsia="MS Mincho"/>
          <w:iCs/>
          <w:lang w:eastAsia="ja-JP"/>
        </w:rPr>
        <w:t>appuyer les services à la clientèle de toute l</w:t>
      </w:r>
      <w:r w:rsidR="00E2055A" w:rsidRPr="00A32AF4">
        <w:rPr>
          <w:rFonts w:eastAsia="MS Mincho"/>
          <w:iCs/>
          <w:lang w:eastAsia="ja-JP"/>
        </w:rPr>
        <w:t>’</w:t>
      </w:r>
      <w:r w:rsidRPr="00A32AF4">
        <w:rPr>
          <w:rFonts w:eastAsia="MS Mincho"/>
          <w:iCs/>
          <w:lang w:eastAsia="ja-JP"/>
        </w:rPr>
        <w:t>Organisation.  L</w:t>
      </w:r>
      <w:r w:rsidR="00E2055A" w:rsidRPr="00A32AF4">
        <w:rPr>
          <w:rFonts w:eastAsia="MS Mincho"/>
          <w:iCs/>
          <w:lang w:eastAsia="ja-JP"/>
        </w:rPr>
        <w:t>’</w:t>
      </w:r>
      <w:r w:rsidRPr="00A32AF4">
        <w:rPr>
          <w:rFonts w:eastAsia="MS Mincho"/>
          <w:iCs/>
          <w:lang w:eastAsia="ja-JP"/>
        </w:rPr>
        <w:t>orientation du personnel sur les services sera encore renforcée par des activités de formation et de sensibilisation fondées sur la Charte de services à la clientèle de l</w:t>
      </w:r>
      <w:r w:rsidR="00E2055A" w:rsidRPr="00A32AF4">
        <w:rPr>
          <w:rFonts w:eastAsia="MS Mincho"/>
          <w:iCs/>
          <w:lang w:eastAsia="ja-JP"/>
        </w:rPr>
        <w:t>’</w:t>
      </w:r>
      <w:r w:rsidRPr="00A32AF4">
        <w:rPr>
          <w:rFonts w:eastAsia="MS Mincho"/>
          <w:iCs/>
          <w:lang w:eastAsia="ja-JP"/>
        </w:rPr>
        <w:t>OMPI.  Des outils seront fournis afin de rationaliser le traitement des demandes de renseignements (base de données centrale de contacts, systèmes de billetterie, mesure du volume de demandes de renseignements, etc.).  Les attentes extérieures seront systématiquement suivies grâce aux informations fournies par les clients et aux enquêtes réalisées auprès d</w:t>
      </w:r>
      <w:r w:rsidR="00E2055A" w:rsidRPr="00A32AF4">
        <w:rPr>
          <w:rFonts w:eastAsia="MS Mincho"/>
          <w:iCs/>
          <w:lang w:eastAsia="ja-JP"/>
        </w:rPr>
        <w:t>’</w:t>
      </w:r>
      <w:r w:rsidRPr="00A32AF4">
        <w:rPr>
          <w:rFonts w:eastAsia="MS Mincho"/>
          <w:iCs/>
          <w:lang w:eastAsia="ja-JP"/>
        </w:rPr>
        <w:t>eux pour mieux les satisfaire.</w:t>
      </w:r>
    </w:p>
    <w:p w:rsidR="00075D09" w:rsidRPr="00A32AF4" w:rsidRDefault="00075D09" w:rsidP="00DC0553">
      <w:pPr>
        <w:rPr>
          <w:rFonts w:eastAsia="MS Mincho"/>
        </w:rPr>
      </w:pPr>
    </w:p>
    <w:p w:rsidR="00075D09" w:rsidRPr="00A32AF4" w:rsidRDefault="00075D09" w:rsidP="00DC0553">
      <w:pPr>
        <w:jc w:val="both"/>
      </w:pPr>
    </w:p>
    <w:p w:rsidR="00075D09" w:rsidRPr="00A32AF4" w:rsidRDefault="00877B63" w:rsidP="00DC0553">
      <w:r w:rsidRPr="00A32AF4">
        <w:t>PRINCIPAUX RISQUES ET STRATÉGIES D</w:t>
      </w:r>
      <w:r w:rsidR="00E2055A" w:rsidRPr="00A32AF4">
        <w:t>’</w:t>
      </w:r>
      <w:r w:rsidRPr="00A32AF4">
        <w:t>ATTÉNUATION</w:t>
      </w:r>
    </w:p>
    <w:p w:rsidR="00075D09" w:rsidRPr="00A32AF4" w:rsidRDefault="00075D09" w:rsidP="00DC0553">
      <w:pPr>
        <w:rPr>
          <w:rFonts w:eastAsia="SimSun"/>
        </w:rPr>
      </w:pPr>
    </w:p>
    <w:tbl>
      <w:tblPr>
        <w:tblW w:w="9214" w:type="dxa"/>
        <w:tblInd w:w="108" w:type="dxa"/>
        <w:tblCellMar>
          <w:left w:w="0" w:type="dxa"/>
          <w:right w:w="0" w:type="dxa"/>
        </w:tblCellMar>
        <w:tblLook w:val="04A0" w:firstRow="1" w:lastRow="0" w:firstColumn="1" w:lastColumn="0" w:noHBand="0" w:noVBand="1"/>
      </w:tblPr>
      <w:tblGrid>
        <w:gridCol w:w="4253"/>
        <w:gridCol w:w="4961"/>
      </w:tblGrid>
      <w:tr w:rsidR="00075D09" w:rsidRPr="00A32AF4" w:rsidTr="00075D09">
        <w:trPr>
          <w:trHeight w:val="540"/>
        </w:trPr>
        <w:tc>
          <w:tcPr>
            <w:tcW w:w="4253" w:type="dxa"/>
            <w:tcBorders>
              <w:top w:val="single" w:sz="8" w:space="0" w:color="auto"/>
              <w:left w:val="single" w:sz="8" w:space="0" w:color="auto"/>
              <w:bottom w:val="single" w:sz="8" w:space="0" w:color="auto"/>
              <w:right w:val="nil"/>
            </w:tcBorders>
            <w:shd w:val="clear" w:color="auto" w:fill="C6D9F1" w:themeFill="text2" w:themeFillTint="33"/>
            <w:tcMar>
              <w:top w:w="0" w:type="dxa"/>
              <w:left w:w="108" w:type="dxa"/>
              <w:bottom w:w="0" w:type="dxa"/>
              <w:right w:w="108" w:type="dxa"/>
            </w:tcMar>
            <w:vAlign w:val="center"/>
            <w:hideMark/>
          </w:tcPr>
          <w:p w:rsidR="00075D09" w:rsidRPr="00A32AF4" w:rsidRDefault="00075D09" w:rsidP="00DC0553">
            <w:pPr>
              <w:keepNext/>
              <w:keepLines/>
              <w:jc w:val="center"/>
              <w:rPr>
                <w:rFonts w:eastAsiaTheme="minorHAnsi"/>
                <w:b/>
                <w:bCs/>
                <w:sz w:val="18"/>
                <w:szCs w:val="18"/>
              </w:rPr>
            </w:pPr>
            <w:r w:rsidRPr="00A32AF4">
              <w:rPr>
                <w:b/>
                <w:bCs/>
                <w:sz w:val="18"/>
                <w:szCs w:val="18"/>
              </w:rPr>
              <w:t>Risque</w:t>
            </w:r>
            <w:r w:rsidR="00783124" w:rsidRPr="00A32AF4">
              <w:rPr>
                <w:b/>
                <w:bCs/>
                <w:sz w:val="18"/>
                <w:szCs w:val="18"/>
              </w:rPr>
              <w:t>s</w:t>
            </w:r>
          </w:p>
        </w:tc>
        <w:tc>
          <w:tcPr>
            <w:tcW w:w="4961" w:type="dxa"/>
            <w:tcBorders>
              <w:top w:val="single" w:sz="8" w:space="0" w:color="auto"/>
              <w:left w:val="nil"/>
              <w:bottom w:val="single" w:sz="8" w:space="0" w:color="auto"/>
              <w:right w:val="single" w:sz="8" w:space="0" w:color="auto"/>
            </w:tcBorders>
            <w:shd w:val="clear" w:color="auto" w:fill="C6D9F1" w:themeFill="text2" w:themeFillTint="33"/>
            <w:tcMar>
              <w:top w:w="0" w:type="dxa"/>
              <w:left w:w="108" w:type="dxa"/>
              <w:bottom w:w="0" w:type="dxa"/>
              <w:right w:w="108" w:type="dxa"/>
            </w:tcMar>
            <w:vAlign w:val="center"/>
            <w:hideMark/>
          </w:tcPr>
          <w:p w:rsidR="00075D09" w:rsidRPr="00A32AF4" w:rsidRDefault="00075D09" w:rsidP="00DC0553">
            <w:pPr>
              <w:keepNext/>
              <w:keepLines/>
              <w:jc w:val="center"/>
              <w:rPr>
                <w:rFonts w:eastAsiaTheme="minorHAnsi"/>
                <w:b/>
                <w:bCs/>
                <w:sz w:val="18"/>
                <w:szCs w:val="18"/>
              </w:rPr>
            </w:pPr>
            <w:r w:rsidRPr="00A32AF4">
              <w:rPr>
                <w:b/>
                <w:bCs/>
                <w:sz w:val="18"/>
                <w:szCs w:val="18"/>
              </w:rPr>
              <w:t>Stratégies d</w:t>
            </w:r>
            <w:r w:rsidR="00E2055A" w:rsidRPr="00A32AF4">
              <w:rPr>
                <w:b/>
                <w:bCs/>
                <w:sz w:val="18"/>
                <w:szCs w:val="18"/>
              </w:rPr>
              <w:t>’</w:t>
            </w:r>
            <w:r w:rsidRPr="00A32AF4">
              <w:rPr>
                <w:b/>
                <w:bCs/>
                <w:sz w:val="18"/>
                <w:szCs w:val="18"/>
              </w:rPr>
              <w:t>atténuation</w:t>
            </w:r>
          </w:p>
        </w:tc>
      </w:tr>
      <w:tr w:rsidR="00075D09" w:rsidRPr="00A32AF4" w:rsidTr="00075D09">
        <w:trPr>
          <w:trHeight w:val="1296"/>
        </w:trPr>
        <w:tc>
          <w:tcPr>
            <w:tcW w:w="4253" w:type="dxa"/>
            <w:tcBorders>
              <w:top w:val="nil"/>
              <w:left w:val="single" w:sz="8" w:space="0" w:color="auto"/>
              <w:bottom w:val="nil"/>
              <w:right w:val="nil"/>
            </w:tcBorders>
            <w:tcMar>
              <w:top w:w="113" w:type="dxa"/>
              <w:left w:w="108" w:type="dxa"/>
              <w:bottom w:w="113" w:type="dxa"/>
              <w:right w:w="108" w:type="dxa"/>
            </w:tcMar>
            <w:hideMark/>
          </w:tcPr>
          <w:p w:rsidR="00075D09" w:rsidRPr="00A32AF4" w:rsidRDefault="00075D09" w:rsidP="00DC0553">
            <w:pPr>
              <w:keepNext/>
              <w:keepLines/>
              <w:rPr>
                <w:color w:val="000000"/>
                <w:sz w:val="16"/>
                <w:szCs w:val="16"/>
              </w:rPr>
            </w:pPr>
            <w:r w:rsidRPr="00A32AF4">
              <w:rPr>
                <w:color w:val="000000"/>
                <w:sz w:val="16"/>
                <w:szCs w:val="16"/>
              </w:rPr>
              <w:t>Il incombe à l</w:t>
            </w:r>
            <w:r w:rsidR="00E2055A" w:rsidRPr="00A32AF4">
              <w:rPr>
                <w:color w:val="000000"/>
                <w:sz w:val="16"/>
                <w:szCs w:val="16"/>
              </w:rPr>
              <w:t>’</w:t>
            </w:r>
            <w:r w:rsidRPr="00A32AF4">
              <w:rPr>
                <w:color w:val="000000"/>
                <w:sz w:val="16"/>
                <w:szCs w:val="16"/>
              </w:rPr>
              <w:t>OMPI de respecter les normes les plus élevées en matière de transparence et de responsabilisation et à ce titre, l</w:t>
            </w:r>
            <w:r w:rsidR="00E2055A" w:rsidRPr="00A32AF4">
              <w:rPr>
                <w:color w:val="000000"/>
                <w:sz w:val="16"/>
                <w:szCs w:val="16"/>
              </w:rPr>
              <w:t>’</w:t>
            </w:r>
            <w:r w:rsidRPr="00A32AF4">
              <w:rPr>
                <w:color w:val="000000"/>
                <w:sz w:val="16"/>
                <w:szCs w:val="16"/>
              </w:rPr>
              <w:t>Organisation fait l</w:t>
            </w:r>
            <w:r w:rsidR="00E2055A" w:rsidRPr="00A32AF4">
              <w:rPr>
                <w:color w:val="000000"/>
                <w:sz w:val="16"/>
                <w:szCs w:val="16"/>
              </w:rPr>
              <w:t>’</w:t>
            </w:r>
            <w:r w:rsidRPr="00A32AF4">
              <w:rPr>
                <w:color w:val="000000"/>
                <w:sz w:val="16"/>
                <w:szCs w:val="16"/>
              </w:rPr>
              <w:t>objet d</w:t>
            </w:r>
            <w:r w:rsidR="00E2055A" w:rsidRPr="00A32AF4">
              <w:rPr>
                <w:color w:val="000000"/>
                <w:sz w:val="16"/>
                <w:szCs w:val="16"/>
              </w:rPr>
              <w:t>’</w:t>
            </w:r>
            <w:r w:rsidRPr="00A32AF4">
              <w:rPr>
                <w:color w:val="000000"/>
                <w:sz w:val="16"/>
                <w:szCs w:val="16"/>
              </w:rPr>
              <w:t>un examen attentif de la part de ses clients, de ses parties prenantes, de ses fonctionnaires, ainsi que du public.  L</w:t>
            </w:r>
            <w:r w:rsidR="00E2055A" w:rsidRPr="00A32AF4">
              <w:rPr>
                <w:color w:val="000000"/>
                <w:sz w:val="16"/>
                <w:szCs w:val="16"/>
              </w:rPr>
              <w:t>’</w:t>
            </w:r>
            <w:r w:rsidRPr="00A32AF4">
              <w:rPr>
                <w:color w:val="000000"/>
                <w:sz w:val="16"/>
                <w:szCs w:val="16"/>
              </w:rPr>
              <w:t>occurrence d</w:t>
            </w:r>
            <w:r w:rsidR="00E2055A" w:rsidRPr="00A32AF4">
              <w:rPr>
                <w:color w:val="000000"/>
                <w:sz w:val="16"/>
                <w:szCs w:val="16"/>
              </w:rPr>
              <w:t>’</w:t>
            </w:r>
            <w:r w:rsidRPr="00A32AF4">
              <w:rPr>
                <w:color w:val="000000"/>
                <w:sz w:val="16"/>
                <w:szCs w:val="16"/>
              </w:rPr>
              <w:t>un événement présentant un risque peut avoir une incidence considérable sur la crédibilité des travaux de l</w:t>
            </w:r>
            <w:r w:rsidR="00E2055A" w:rsidRPr="00A32AF4">
              <w:rPr>
                <w:color w:val="000000"/>
                <w:sz w:val="16"/>
                <w:szCs w:val="16"/>
              </w:rPr>
              <w:t>’</w:t>
            </w:r>
            <w:r w:rsidRPr="00A32AF4">
              <w:rPr>
                <w:color w:val="000000"/>
                <w:sz w:val="16"/>
                <w:szCs w:val="16"/>
              </w:rPr>
              <w:t>Organisation.</w:t>
            </w:r>
          </w:p>
        </w:tc>
        <w:tc>
          <w:tcPr>
            <w:tcW w:w="4961" w:type="dxa"/>
            <w:tcBorders>
              <w:top w:val="nil"/>
              <w:left w:val="nil"/>
              <w:bottom w:val="nil"/>
              <w:right w:val="single" w:sz="8" w:space="0" w:color="auto"/>
            </w:tcBorders>
            <w:tcMar>
              <w:top w:w="113" w:type="dxa"/>
              <w:left w:w="108" w:type="dxa"/>
              <w:bottom w:w="113" w:type="dxa"/>
              <w:right w:w="108" w:type="dxa"/>
            </w:tcMar>
          </w:tcPr>
          <w:p w:rsidR="00075D09" w:rsidRPr="00A32AF4" w:rsidRDefault="00075D09" w:rsidP="00DC0553">
            <w:pPr>
              <w:keepNext/>
              <w:keepLines/>
              <w:rPr>
                <w:color w:val="000000"/>
                <w:sz w:val="16"/>
                <w:szCs w:val="16"/>
              </w:rPr>
            </w:pPr>
            <w:r w:rsidRPr="00A32AF4">
              <w:rPr>
                <w:color w:val="000000"/>
                <w:sz w:val="16"/>
                <w:szCs w:val="16"/>
              </w:rPr>
              <w:t>Divulgation publique, diffusion anticipée d</w:t>
            </w:r>
            <w:r w:rsidR="00E2055A" w:rsidRPr="00A32AF4">
              <w:rPr>
                <w:color w:val="000000"/>
                <w:sz w:val="16"/>
                <w:szCs w:val="16"/>
              </w:rPr>
              <w:t>’</w:t>
            </w:r>
            <w:r w:rsidRPr="00A32AF4">
              <w:rPr>
                <w:color w:val="000000"/>
                <w:sz w:val="16"/>
                <w:szCs w:val="16"/>
              </w:rPr>
              <w:t>informations, sensibilisation des médias et esprit d</w:t>
            </w:r>
            <w:r w:rsidR="00E2055A" w:rsidRPr="00A32AF4">
              <w:rPr>
                <w:color w:val="000000"/>
                <w:sz w:val="16"/>
                <w:szCs w:val="16"/>
              </w:rPr>
              <w:t>’</w:t>
            </w:r>
            <w:r w:rsidRPr="00A32AF4">
              <w:rPr>
                <w:color w:val="000000"/>
                <w:sz w:val="16"/>
                <w:szCs w:val="16"/>
              </w:rPr>
              <w:t>ouverture pour répondre aux demandes.  Suivi constant de la couverture par la presse et les médias sociaux afin de pouvoir réagir rapidement si cela est nécessaire.</w:t>
            </w:r>
          </w:p>
          <w:p w:rsidR="00075D09" w:rsidRPr="00A32AF4" w:rsidRDefault="00075D09" w:rsidP="00DC0553">
            <w:pPr>
              <w:keepNext/>
              <w:keepLines/>
              <w:rPr>
                <w:rFonts w:eastAsiaTheme="minorHAnsi"/>
                <w:color w:val="000000"/>
                <w:sz w:val="16"/>
                <w:szCs w:val="16"/>
              </w:rPr>
            </w:pPr>
          </w:p>
        </w:tc>
      </w:tr>
      <w:tr w:rsidR="00075D09" w:rsidRPr="00A32AF4" w:rsidTr="00075D09">
        <w:trPr>
          <w:trHeight w:val="874"/>
        </w:trPr>
        <w:tc>
          <w:tcPr>
            <w:tcW w:w="4253" w:type="dxa"/>
            <w:tcBorders>
              <w:top w:val="nil"/>
              <w:left w:val="single" w:sz="8" w:space="0" w:color="auto"/>
              <w:bottom w:val="single" w:sz="8" w:space="0" w:color="auto"/>
              <w:right w:val="nil"/>
            </w:tcBorders>
            <w:tcMar>
              <w:top w:w="113" w:type="dxa"/>
              <w:left w:w="108" w:type="dxa"/>
              <w:bottom w:w="113" w:type="dxa"/>
              <w:right w:w="108" w:type="dxa"/>
            </w:tcMar>
          </w:tcPr>
          <w:p w:rsidR="00075D09" w:rsidRPr="00A32AF4" w:rsidRDefault="00075D09" w:rsidP="005C314E">
            <w:pPr>
              <w:keepNext/>
              <w:keepLines/>
              <w:rPr>
                <w:rFonts w:eastAsiaTheme="minorHAnsi"/>
                <w:sz w:val="16"/>
                <w:szCs w:val="16"/>
              </w:rPr>
            </w:pPr>
            <w:r w:rsidRPr="00A32AF4">
              <w:rPr>
                <w:color w:val="000000"/>
                <w:sz w:val="16"/>
                <w:szCs w:val="16"/>
              </w:rPr>
              <w:t>La présence de l</w:t>
            </w:r>
            <w:r w:rsidR="00E2055A" w:rsidRPr="00A32AF4">
              <w:rPr>
                <w:color w:val="000000"/>
                <w:sz w:val="16"/>
                <w:szCs w:val="16"/>
              </w:rPr>
              <w:t>’</w:t>
            </w:r>
            <w:r w:rsidRPr="00A32AF4">
              <w:rPr>
                <w:color w:val="000000"/>
                <w:sz w:val="16"/>
                <w:szCs w:val="16"/>
              </w:rPr>
              <w:t>OMPI sur le Web et dans les médias sociaux ne parvient pas à suivre le rythme des tendances des communications numériques et à satisfaire les préférences des parties prenantes.</w:t>
            </w:r>
          </w:p>
        </w:tc>
        <w:tc>
          <w:tcPr>
            <w:tcW w:w="4961" w:type="dxa"/>
            <w:tcBorders>
              <w:top w:val="nil"/>
              <w:left w:val="nil"/>
              <w:bottom w:val="single" w:sz="8" w:space="0" w:color="auto"/>
              <w:right w:val="single" w:sz="8" w:space="0" w:color="auto"/>
            </w:tcBorders>
            <w:tcMar>
              <w:top w:w="113" w:type="dxa"/>
              <w:left w:w="108" w:type="dxa"/>
              <w:bottom w:w="113" w:type="dxa"/>
              <w:right w:w="108" w:type="dxa"/>
            </w:tcMar>
          </w:tcPr>
          <w:p w:rsidR="00075D09" w:rsidRPr="00A32AF4" w:rsidRDefault="00075D09" w:rsidP="00DC0553">
            <w:pPr>
              <w:keepNext/>
              <w:keepLines/>
              <w:rPr>
                <w:rFonts w:eastAsiaTheme="minorHAnsi"/>
                <w:color w:val="000000"/>
                <w:sz w:val="16"/>
                <w:szCs w:val="16"/>
              </w:rPr>
            </w:pPr>
            <w:r w:rsidRPr="00A32AF4">
              <w:rPr>
                <w:color w:val="000000"/>
                <w:sz w:val="16"/>
                <w:szCs w:val="16"/>
              </w:rPr>
              <w:t>Mettre en place une conception graphique accessible sur le site Web de l</w:t>
            </w:r>
            <w:r w:rsidR="00E2055A" w:rsidRPr="00A32AF4">
              <w:rPr>
                <w:color w:val="000000"/>
                <w:sz w:val="16"/>
                <w:szCs w:val="16"/>
              </w:rPr>
              <w:t>’</w:t>
            </w:r>
            <w:r w:rsidRPr="00A32AF4">
              <w:rPr>
                <w:color w:val="000000"/>
                <w:sz w:val="16"/>
                <w:szCs w:val="16"/>
              </w:rPr>
              <w:t>OMPI pour garantir un affichage optimal sur les appareils mobiles.</w:t>
            </w:r>
          </w:p>
          <w:p w:rsidR="00075D09" w:rsidRPr="00A32AF4" w:rsidRDefault="00075D09" w:rsidP="00DC0553">
            <w:pPr>
              <w:keepNext/>
              <w:keepLines/>
              <w:rPr>
                <w:color w:val="000000"/>
                <w:sz w:val="16"/>
                <w:szCs w:val="16"/>
              </w:rPr>
            </w:pPr>
          </w:p>
          <w:p w:rsidR="00075D09" w:rsidRPr="00A32AF4" w:rsidRDefault="00075D09" w:rsidP="00DC0553">
            <w:pPr>
              <w:keepNext/>
              <w:keepLines/>
              <w:rPr>
                <w:rFonts w:eastAsiaTheme="minorHAnsi"/>
                <w:sz w:val="16"/>
                <w:szCs w:val="16"/>
              </w:rPr>
            </w:pPr>
            <w:r w:rsidRPr="00A32AF4">
              <w:rPr>
                <w:color w:val="000000"/>
                <w:sz w:val="16"/>
                <w:szCs w:val="16"/>
              </w:rPr>
              <w:t>Utilisation des ressources externes et des partenariats pour renforcer la capacité interne.</w:t>
            </w:r>
          </w:p>
        </w:tc>
      </w:tr>
    </w:tbl>
    <w:p w:rsidR="00075D09" w:rsidRPr="00A32AF4" w:rsidRDefault="00075D09" w:rsidP="00DC0553">
      <w:pPr>
        <w:autoSpaceDE w:val="0"/>
        <w:autoSpaceDN w:val="0"/>
        <w:adjustRightInd w:val="0"/>
        <w:rPr>
          <w:szCs w:val="22"/>
        </w:rPr>
      </w:pPr>
    </w:p>
    <w:p w:rsidR="00877B63" w:rsidRPr="00A32AF4" w:rsidRDefault="00877B63" w:rsidP="00DC0553">
      <w:pPr>
        <w:autoSpaceDE w:val="0"/>
        <w:autoSpaceDN w:val="0"/>
        <w:adjustRightInd w:val="0"/>
        <w:rPr>
          <w:szCs w:val="22"/>
        </w:rPr>
      </w:pPr>
    </w:p>
    <w:p w:rsidR="00075D09" w:rsidRPr="00A32AF4" w:rsidRDefault="00877B63" w:rsidP="00DC0553">
      <w:r w:rsidRPr="00A32AF4">
        <w:t>TABLEAU DES RÉSULTATS</w:t>
      </w:r>
    </w:p>
    <w:p w:rsidR="00075D09" w:rsidRPr="00A32AF4" w:rsidRDefault="00075D09" w:rsidP="00DC0553">
      <w:pPr>
        <w:autoSpaceDE w:val="0"/>
        <w:autoSpaceDN w:val="0"/>
        <w:adjustRightInd w:val="0"/>
        <w:rPr>
          <w:szCs w:val="22"/>
        </w:rPr>
      </w:pPr>
    </w:p>
    <w:tbl>
      <w:tblPr>
        <w:tblW w:w="9195" w:type="dxa"/>
        <w:tblInd w:w="9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140"/>
        <w:gridCol w:w="2140"/>
        <w:gridCol w:w="2485"/>
        <w:gridCol w:w="2430"/>
      </w:tblGrid>
      <w:tr w:rsidR="00075D09" w:rsidRPr="00A32AF4" w:rsidTr="00075D09">
        <w:trPr>
          <w:cantSplit/>
          <w:tblHeader/>
        </w:trPr>
        <w:tc>
          <w:tcPr>
            <w:tcW w:w="2140" w:type="dxa"/>
            <w:tcBorders>
              <w:top w:val="single" w:sz="4" w:space="0" w:color="auto"/>
              <w:bottom w:val="single" w:sz="4" w:space="0" w:color="auto"/>
            </w:tcBorders>
            <w:shd w:val="clear" w:color="000000" w:fill="C5D9F1"/>
            <w:tcMar>
              <w:top w:w="113" w:type="dxa"/>
              <w:bottom w:w="113" w:type="dxa"/>
            </w:tcMar>
            <w:vAlign w:val="center"/>
            <w:hideMark/>
          </w:tcPr>
          <w:p w:rsidR="00075D09" w:rsidRPr="00A32AF4" w:rsidRDefault="00075D09" w:rsidP="00DC0553">
            <w:pPr>
              <w:jc w:val="center"/>
              <w:rPr>
                <w:b/>
                <w:bCs/>
                <w:color w:val="000000"/>
                <w:sz w:val="18"/>
                <w:szCs w:val="18"/>
              </w:rPr>
            </w:pPr>
            <w:r w:rsidRPr="00A32AF4">
              <w:rPr>
                <w:rFonts w:eastAsia="SimSun"/>
                <w:b/>
                <w:bCs/>
                <w:color w:val="000000"/>
                <w:sz w:val="18"/>
              </w:rPr>
              <w:t>Résultats escomptés</w:t>
            </w:r>
          </w:p>
        </w:tc>
        <w:tc>
          <w:tcPr>
            <w:tcW w:w="2140" w:type="dxa"/>
            <w:tcBorders>
              <w:top w:val="single" w:sz="4" w:space="0" w:color="auto"/>
              <w:bottom w:val="single" w:sz="4" w:space="0" w:color="auto"/>
            </w:tcBorders>
            <w:shd w:val="clear" w:color="000000" w:fill="C5D9F1"/>
            <w:tcMar>
              <w:top w:w="113" w:type="dxa"/>
              <w:bottom w:w="113" w:type="dxa"/>
            </w:tcMar>
            <w:vAlign w:val="center"/>
            <w:hideMark/>
          </w:tcPr>
          <w:p w:rsidR="00075D09" w:rsidRPr="00A32AF4" w:rsidRDefault="00075D09" w:rsidP="00DC0553">
            <w:pPr>
              <w:jc w:val="center"/>
              <w:rPr>
                <w:b/>
                <w:bCs/>
                <w:color w:val="000000"/>
                <w:sz w:val="18"/>
                <w:szCs w:val="18"/>
              </w:rPr>
            </w:pPr>
            <w:r w:rsidRPr="00A32AF4">
              <w:rPr>
                <w:rFonts w:eastAsia="SimSun"/>
                <w:b/>
                <w:bCs/>
                <w:color w:val="000000"/>
                <w:sz w:val="18"/>
              </w:rPr>
              <w:t>Indicateurs d</w:t>
            </w:r>
            <w:r w:rsidR="00E2055A" w:rsidRPr="00A32AF4">
              <w:rPr>
                <w:rFonts w:eastAsia="SimSun"/>
                <w:b/>
                <w:bCs/>
                <w:color w:val="000000"/>
                <w:sz w:val="18"/>
              </w:rPr>
              <w:t>’</w:t>
            </w:r>
            <w:r w:rsidRPr="00A32AF4">
              <w:rPr>
                <w:rFonts w:eastAsia="SimSun"/>
                <w:b/>
                <w:bCs/>
                <w:color w:val="000000"/>
                <w:sz w:val="18"/>
              </w:rPr>
              <w:t>exécution</w:t>
            </w:r>
          </w:p>
        </w:tc>
        <w:tc>
          <w:tcPr>
            <w:tcW w:w="2485" w:type="dxa"/>
            <w:tcBorders>
              <w:top w:val="single" w:sz="4" w:space="0" w:color="auto"/>
              <w:bottom w:val="single" w:sz="4" w:space="0" w:color="auto"/>
            </w:tcBorders>
            <w:shd w:val="clear" w:color="000000" w:fill="C5D9F1"/>
            <w:tcMar>
              <w:top w:w="113" w:type="dxa"/>
              <w:bottom w:w="113" w:type="dxa"/>
            </w:tcMar>
            <w:vAlign w:val="center"/>
            <w:hideMark/>
          </w:tcPr>
          <w:p w:rsidR="00075D09" w:rsidRPr="00A32AF4" w:rsidRDefault="00075D09" w:rsidP="00DC0553">
            <w:pPr>
              <w:jc w:val="center"/>
              <w:rPr>
                <w:b/>
                <w:bCs/>
                <w:color w:val="000000"/>
                <w:sz w:val="18"/>
                <w:szCs w:val="18"/>
              </w:rPr>
            </w:pPr>
            <w:r w:rsidRPr="00A32AF4">
              <w:rPr>
                <w:rFonts w:eastAsia="SimSun"/>
                <w:b/>
                <w:bCs/>
                <w:color w:val="000000"/>
                <w:sz w:val="18"/>
              </w:rPr>
              <w:t>Niveaux de référence</w:t>
            </w:r>
          </w:p>
        </w:tc>
        <w:tc>
          <w:tcPr>
            <w:tcW w:w="2430" w:type="dxa"/>
            <w:tcBorders>
              <w:top w:val="single" w:sz="4" w:space="0" w:color="auto"/>
              <w:bottom w:val="single" w:sz="4" w:space="0" w:color="auto"/>
            </w:tcBorders>
            <w:shd w:val="clear" w:color="000000" w:fill="C5D9F1"/>
            <w:tcMar>
              <w:top w:w="113" w:type="dxa"/>
              <w:bottom w:w="113" w:type="dxa"/>
            </w:tcMar>
            <w:vAlign w:val="center"/>
            <w:hideMark/>
          </w:tcPr>
          <w:p w:rsidR="00075D09" w:rsidRPr="00A32AF4" w:rsidRDefault="00075D09" w:rsidP="00DC0553">
            <w:pPr>
              <w:jc w:val="center"/>
              <w:rPr>
                <w:b/>
                <w:bCs/>
                <w:color w:val="000000"/>
                <w:sz w:val="18"/>
                <w:szCs w:val="18"/>
              </w:rPr>
            </w:pPr>
            <w:r w:rsidRPr="00A32AF4">
              <w:rPr>
                <w:rFonts w:eastAsia="SimSun"/>
                <w:b/>
                <w:bCs/>
                <w:color w:val="000000"/>
                <w:sz w:val="18"/>
              </w:rPr>
              <w:t>Objectifs visés</w:t>
            </w:r>
          </w:p>
        </w:tc>
      </w:tr>
      <w:tr w:rsidR="00075D09" w:rsidRPr="00A32AF4" w:rsidTr="00075D09">
        <w:trPr>
          <w:cantSplit/>
        </w:trPr>
        <w:tc>
          <w:tcPr>
            <w:tcW w:w="2140" w:type="dxa"/>
            <w:tcBorders>
              <w:top w:val="single" w:sz="4" w:space="0" w:color="auto"/>
            </w:tcBorders>
            <w:shd w:val="clear" w:color="000000" w:fill="FFFFFF"/>
            <w:tcMar>
              <w:top w:w="113" w:type="dxa"/>
              <w:bottom w:w="113" w:type="dxa"/>
            </w:tcMar>
            <w:hideMark/>
          </w:tcPr>
          <w:p w:rsidR="00075D09" w:rsidRPr="00A32AF4" w:rsidRDefault="00075D09" w:rsidP="00DC0553">
            <w:pPr>
              <w:rPr>
                <w:color w:val="000000"/>
                <w:sz w:val="16"/>
                <w:szCs w:val="16"/>
              </w:rPr>
            </w:pPr>
            <w:r w:rsidRPr="00A32AF4">
              <w:rPr>
                <w:color w:val="000000"/>
                <w:sz w:val="16"/>
                <w:szCs w:val="16"/>
              </w:rPr>
              <w:t>VIII.1 Communication plus efficace avec le grand public concernant la propriété intellectuelle et le rôle de l</w:t>
            </w:r>
            <w:r w:rsidR="00E2055A" w:rsidRPr="00A32AF4">
              <w:rPr>
                <w:color w:val="000000"/>
                <w:sz w:val="16"/>
                <w:szCs w:val="16"/>
              </w:rPr>
              <w:t>’</w:t>
            </w:r>
            <w:r w:rsidRPr="00A32AF4">
              <w:rPr>
                <w:color w:val="000000"/>
                <w:sz w:val="16"/>
                <w:szCs w:val="16"/>
              </w:rPr>
              <w:t>OMPI</w:t>
            </w:r>
          </w:p>
        </w:tc>
        <w:tc>
          <w:tcPr>
            <w:tcW w:w="2140" w:type="dxa"/>
            <w:tcBorders>
              <w:top w:val="single" w:sz="4" w:space="0" w:color="auto"/>
            </w:tcBorders>
            <w:shd w:val="clear" w:color="000000" w:fill="FFFFFF"/>
            <w:tcMar>
              <w:top w:w="113" w:type="dxa"/>
              <w:bottom w:w="113" w:type="dxa"/>
            </w:tcMar>
            <w:hideMark/>
          </w:tcPr>
          <w:p w:rsidR="00075D09" w:rsidRPr="00A32AF4" w:rsidRDefault="00075D09" w:rsidP="00DC0553">
            <w:pPr>
              <w:rPr>
                <w:color w:val="000000"/>
                <w:sz w:val="16"/>
                <w:szCs w:val="16"/>
              </w:rPr>
            </w:pPr>
            <w:r w:rsidRPr="00A32AF4">
              <w:rPr>
                <w:color w:val="000000"/>
                <w:sz w:val="16"/>
                <w:szCs w:val="16"/>
              </w:rPr>
              <w:t xml:space="preserve">Parties prenantes ayant une vision positive de la réputation de </w:t>
            </w:r>
            <w:proofErr w:type="gramStart"/>
            <w:r w:rsidRPr="00A32AF4">
              <w:rPr>
                <w:color w:val="000000"/>
                <w:sz w:val="16"/>
                <w:szCs w:val="16"/>
              </w:rPr>
              <w:t>l</w:t>
            </w:r>
            <w:r w:rsidR="00E2055A" w:rsidRPr="00A32AF4">
              <w:rPr>
                <w:color w:val="000000"/>
                <w:sz w:val="16"/>
                <w:szCs w:val="16"/>
              </w:rPr>
              <w:t>’</w:t>
            </w:r>
            <w:r w:rsidRPr="00A32AF4">
              <w:rPr>
                <w:color w:val="000000"/>
                <w:sz w:val="16"/>
                <w:szCs w:val="16"/>
              </w:rPr>
              <w:t>OMPI;</w:t>
            </w:r>
            <w:proofErr w:type="gramEnd"/>
            <w:r w:rsidRPr="00A32AF4">
              <w:rPr>
                <w:color w:val="000000"/>
                <w:sz w:val="16"/>
                <w:szCs w:val="16"/>
              </w:rPr>
              <w:t xml:space="preserve">  et reconnaissance accrue de la marque OMPI </w:t>
            </w:r>
          </w:p>
        </w:tc>
        <w:tc>
          <w:tcPr>
            <w:tcW w:w="2485" w:type="dxa"/>
            <w:tcBorders>
              <w:top w:val="single" w:sz="4" w:space="0" w:color="auto"/>
            </w:tcBorders>
            <w:shd w:val="clear" w:color="000000" w:fill="FFFFFF"/>
            <w:tcMar>
              <w:top w:w="113" w:type="dxa"/>
              <w:bottom w:w="113" w:type="dxa"/>
            </w:tcMar>
            <w:hideMark/>
          </w:tcPr>
          <w:p w:rsidR="00075D09" w:rsidRPr="00A32AF4" w:rsidRDefault="00075D09" w:rsidP="00DC0553">
            <w:pPr>
              <w:rPr>
                <w:color w:val="000000"/>
                <w:sz w:val="16"/>
                <w:szCs w:val="16"/>
              </w:rPr>
            </w:pPr>
            <w:r w:rsidRPr="00A32AF4">
              <w:rPr>
                <w:color w:val="000000"/>
                <w:sz w:val="16"/>
                <w:szCs w:val="16"/>
              </w:rPr>
              <w:t>85,3% des participants de l</w:t>
            </w:r>
            <w:r w:rsidR="00E2055A" w:rsidRPr="00A32AF4">
              <w:rPr>
                <w:color w:val="000000"/>
                <w:sz w:val="16"/>
                <w:szCs w:val="16"/>
              </w:rPr>
              <w:t>’</w:t>
            </w:r>
            <w:r w:rsidRPr="00A32AF4">
              <w:rPr>
                <w:color w:val="000000"/>
                <w:sz w:val="16"/>
                <w:szCs w:val="16"/>
              </w:rPr>
              <w:t>enquête sont d</w:t>
            </w:r>
            <w:r w:rsidR="00E2055A" w:rsidRPr="00A32AF4">
              <w:rPr>
                <w:color w:val="000000"/>
                <w:sz w:val="16"/>
                <w:szCs w:val="16"/>
              </w:rPr>
              <w:t>’</w:t>
            </w:r>
            <w:r w:rsidRPr="00A32AF4">
              <w:rPr>
                <w:color w:val="000000"/>
                <w:sz w:val="16"/>
                <w:szCs w:val="16"/>
              </w:rPr>
              <w:t>accord/tout à fait d</w:t>
            </w:r>
            <w:r w:rsidR="00E2055A" w:rsidRPr="00A32AF4">
              <w:rPr>
                <w:color w:val="000000"/>
                <w:sz w:val="16"/>
                <w:szCs w:val="16"/>
              </w:rPr>
              <w:t>’</w:t>
            </w:r>
            <w:r w:rsidRPr="00A32AF4">
              <w:rPr>
                <w:color w:val="000000"/>
                <w:sz w:val="16"/>
                <w:szCs w:val="16"/>
              </w:rPr>
              <w:t>accord que l</w:t>
            </w:r>
            <w:r w:rsidR="00E2055A" w:rsidRPr="00A32AF4">
              <w:rPr>
                <w:color w:val="000000"/>
                <w:sz w:val="16"/>
                <w:szCs w:val="16"/>
              </w:rPr>
              <w:t>’</w:t>
            </w:r>
            <w:r w:rsidRPr="00A32AF4">
              <w:rPr>
                <w:color w:val="000000"/>
                <w:sz w:val="16"/>
                <w:szCs w:val="16"/>
              </w:rPr>
              <w:t>OMPI a une bonne réputation générale.  70,2% des participants à l</w:t>
            </w:r>
            <w:r w:rsidR="00E2055A" w:rsidRPr="00A32AF4">
              <w:rPr>
                <w:color w:val="000000"/>
                <w:sz w:val="16"/>
                <w:szCs w:val="16"/>
              </w:rPr>
              <w:t>’</w:t>
            </w:r>
            <w:r w:rsidRPr="00A32AF4">
              <w:rPr>
                <w:color w:val="000000"/>
                <w:sz w:val="16"/>
                <w:szCs w:val="16"/>
              </w:rPr>
              <w:t>enquête percevaient l</w:t>
            </w:r>
            <w:r w:rsidR="00E2055A" w:rsidRPr="00A32AF4">
              <w:rPr>
                <w:color w:val="000000"/>
                <w:sz w:val="16"/>
                <w:szCs w:val="16"/>
              </w:rPr>
              <w:t>’</w:t>
            </w:r>
            <w:r w:rsidRPr="00A32AF4">
              <w:rPr>
                <w:color w:val="000000"/>
                <w:sz w:val="16"/>
                <w:szCs w:val="16"/>
              </w:rPr>
              <w:t>OMPI comme un forum mondial pour la promotion de la propriété intellectuelle (Enquête de l</w:t>
            </w:r>
            <w:r w:rsidR="00E2055A" w:rsidRPr="00A32AF4">
              <w:rPr>
                <w:color w:val="000000"/>
                <w:sz w:val="16"/>
                <w:szCs w:val="16"/>
              </w:rPr>
              <w:t>’</w:t>
            </w:r>
            <w:r w:rsidRPr="00A32AF4">
              <w:rPr>
                <w:color w:val="000000"/>
                <w:sz w:val="16"/>
                <w:szCs w:val="16"/>
              </w:rPr>
              <w:t>OMPI sur les perceptions des parties prenantes, juin 2014)</w:t>
            </w:r>
          </w:p>
        </w:tc>
        <w:tc>
          <w:tcPr>
            <w:tcW w:w="2430" w:type="dxa"/>
            <w:tcBorders>
              <w:top w:val="single" w:sz="4" w:space="0" w:color="auto"/>
            </w:tcBorders>
            <w:shd w:val="clear" w:color="000000" w:fill="FFFFFF"/>
            <w:tcMar>
              <w:top w:w="113" w:type="dxa"/>
              <w:bottom w:w="113" w:type="dxa"/>
            </w:tcMar>
            <w:hideMark/>
          </w:tcPr>
          <w:p w:rsidR="00075D09" w:rsidRPr="00A32AF4" w:rsidRDefault="00075D09" w:rsidP="00DC0553">
            <w:pPr>
              <w:rPr>
                <w:color w:val="000000"/>
                <w:sz w:val="16"/>
                <w:szCs w:val="16"/>
              </w:rPr>
            </w:pPr>
            <w:r w:rsidRPr="00A32AF4">
              <w:rPr>
                <w:color w:val="000000"/>
                <w:sz w:val="16"/>
                <w:szCs w:val="16"/>
              </w:rPr>
              <w:t>85% des participants ont une opinion positive de la réputation de l</w:t>
            </w:r>
            <w:r w:rsidR="00E2055A" w:rsidRPr="00A32AF4">
              <w:rPr>
                <w:color w:val="000000"/>
                <w:sz w:val="16"/>
                <w:szCs w:val="16"/>
              </w:rPr>
              <w:t>’</w:t>
            </w:r>
            <w:r w:rsidRPr="00A32AF4">
              <w:rPr>
                <w:color w:val="000000"/>
                <w:sz w:val="16"/>
                <w:szCs w:val="16"/>
              </w:rPr>
              <w:t>OMPI.  75% des participants perçoivent l</w:t>
            </w:r>
            <w:r w:rsidR="00E2055A" w:rsidRPr="00A32AF4">
              <w:rPr>
                <w:color w:val="000000"/>
                <w:sz w:val="16"/>
                <w:szCs w:val="16"/>
              </w:rPr>
              <w:t>’</w:t>
            </w:r>
            <w:r w:rsidRPr="00A32AF4">
              <w:rPr>
                <w:color w:val="000000"/>
                <w:sz w:val="16"/>
                <w:szCs w:val="16"/>
              </w:rPr>
              <w:t xml:space="preserve">OMPI comme un forum mondial pour la propriété intellectuelle </w:t>
            </w:r>
          </w:p>
        </w:tc>
      </w:tr>
      <w:tr w:rsidR="00075D09" w:rsidRPr="00A32AF4" w:rsidTr="00075D09">
        <w:trPr>
          <w:cantSplit/>
        </w:trPr>
        <w:tc>
          <w:tcPr>
            <w:tcW w:w="2140" w:type="dxa"/>
            <w:shd w:val="clear" w:color="000000" w:fill="FFFFFF"/>
            <w:tcMar>
              <w:top w:w="113" w:type="dxa"/>
              <w:bottom w:w="113" w:type="dxa"/>
            </w:tcMar>
            <w:hideMark/>
          </w:tcPr>
          <w:p w:rsidR="00075D09" w:rsidRPr="00A32AF4" w:rsidRDefault="00075D09" w:rsidP="00DC0553">
            <w:pPr>
              <w:rPr>
                <w:color w:val="000000"/>
                <w:sz w:val="16"/>
                <w:szCs w:val="16"/>
              </w:rPr>
            </w:pPr>
            <w:r w:rsidRPr="00A32AF4">
              <w:rPr>
                <w:color w:val="000000"/>
                <w:sz w:val="16"/>
                <w:szCs w:val="16"/>
              </w:rPr>
              <w:t> </w:t>
            </w:r>
          </w:p>
        </w:tc>
        <w:tc>
          <w:tcPr>
            <w:tcW w:w="2140" w:type="dxa"/>
            <w:shd w:val="clear" w:color="000000" w:fill="FFFFFF"/>
            <w:tcMar>
              <w:top w:w="113" w:type="dxa"/>
              <w:bottom w:w="113" w:type="dxa"/>
            </w:tcMar>
            <w:hideMark/>
          </w:tcPr>
          <w:p w:rsidR="00075D09" w:rsidRPr="00A32AF4" w:rsidRDefault="00075D09" w:rsidP="00DC0553">
            <w:pPr>
              <w:rPr>
                <w:color w:val="000000"/>
                <w:sz w:val="16"/>
                <w:szCs w:val="16"/>
              </w:rPr>
            </w:pPr>
            <w:r w:rsidRPr="00A32AF4">
              <w:rPr>
                <w:color w:val="000000"/>
                <w:sz w:val="16"/>
                <w:szCs w:val="16"/>
              </w:rPr>
              <w:t>Nombre de personnes qui consultent les contenus relatifs aux principaux événements, réalisations et activités de l</w:t>
            </w:r>
            <w:r w:rsidR="00E2055A" w:rsidRPr="00A32AF4">
              <w:rPr>
                <w:color w:val="000000"/>
                <w:sz w:val="16"/>
                <w:szCs w:val="16"/>
              </w:rPr>
              <w:t>’</w:t>
            </w:r>
            <w:r w:rsidRPr="00A32AF4">
              <w:rPr>
                <w:color w:val="000000"/>
                <w:sz w:val="16"/>
                <w:szCs w:val="16"/>
              </w:rPr>
              <w:t xml:space="preserve">OMPI </w:t>
            </w:r>
          </w:p>
        </w:tc>
        <w:tc>
          <w:tcPr>
            <w:tcW w:w="2485" w:type="dxa"/>
            <w:shd w:val="clear" w:color="000000" w:fill="FFFFFF"/>
            <w:tcMar>
              <w:top w:w="113" w:type="dxa"/>
              <w:bottom w:w="113" w:type="dxa"/>
            </w:tcMar>
            <w:hideMark/>
          </w:tcPr>
          <w:p w:rsidR="00075D09" w:rsidRPr="00A32AF4" w:rsidRDefault="00075D09" w:rsidP="00DC0553">
            <w:pPr>
              <w:rPr>
                <w:color w:val="000000"/>
                <w:sz w:val="16"/>
                <w:szCs w:val="16"/>
              </w:rPr>
            </w:pPr>
            <w:r w:rsidRPr="00A32AF4">
              <w:rPr>
                <w:color w:val="000000"/>
                <w:sz w:val="16"/>
                <w:szCs w:val="16"/>
              </w:rPr>
              <w:t>À définir</w:t>
            </w:r>
          </w:p>
        </w:tc>
        <w:tc>
          <w:tcPr>
            <w:tcW w:w="2430" w:type="dxa"/>
            <w:shd w:val="clear" w:color="000000" w:fill="FFFFFF"/>
            <w:tcMar>
              <w:top w:w="113" w:type="dxa"/>
              <w:bottom w:w="113" w:type="dxa"/>
            </w:tcMar>
            <w:hideMark/>
          </w:tcPr>
          <w:p w:rsidR="00075D09" w:rsidRPr="00A32AF4" w:rsidRDefault="00075D09" w:rsidP="00DC0553">
            <w:pPr>
              <w:rPr>
                <w:color w:val="000000"/>
                <w:sz w:val="16"/>
                <w:szCs w:val="16"/>
              </w:rPr>
            </w:pPr>
            <w:r w:rsidRPr="00A32AF4">
              <w:rPr>
                <w:color w:val="000000"/>
                <w:sz w:val="16"/>
                <w:szCs w:val="16"/>
              </w:rPr>
              <w:t>23% des personnes recevant le bulletin d</w:t>
            </w:r>
            <w:r w:rsidR="00E2055A" w:rsidRPr="00A32AF4">
              <w:rPr>
                <w:color w:val="000000"/>
                <w:sz w:val="16"/>
                <w:szCs w:val="16"/>
              </w:rPr>
              <w:t>’</w:t>
            </w:r>
            <w:r w:rsidRPr="00A32AF4">
              <w:rPr>
                <w:color w:val="000000"/>
                <w:sz w:val="16"/>
                <w:szCs w:val="16"/>
              </w:rPr>
              <w:t>information WIPO Wire ouvrent celui</w:t>
            </w:r>
            <w:r w:rsidR="00EB7F54" w:rsidRPr="00A32AF4">
              <w:rPr>
                <w:color w:val="000000"/>
                <w:sz w:val="16"/>
                <w:szCs w:val="16"/>
              </w:rPr>
              <w:noBreakHyphen/>
            </w:r>
            <w:r w:rsidRPr="00A32AF4">
              <w:rPr>
                <w:color w:val="000000"/>
                <w:sz w:val="16"/>
                <w:szCs w:val="16"/>
              </w:rPr>
              <w:t xml:space="preserve">ci pour en consulter le contenu </w:t>
            </w:r>
          </w:p>
        </w:tc>
      </w:tr>
      <w:tr w:rsidR="00075D09" w:rsidRPr="00A32AF4" w:rsidTr="00075D09">
        <w:trPr>
          <w:cantSplit/>
        </w:trPr>
        <w:tc>
          <w:tcPr>
            <w:tcW w:w="2140" w:type="dxa"/>
            <w:shd w:val="clear" w:color="000000" w:fill="FFFFFF"/>
            <w:tcMar>
              <w:top w:w="113" w:type="dxa"/>
              <w:bottom w:w="113" w:type="dxa"/>
            </w:tcMar>
            <w:hideMark/>
          </w:tcPr>
          <w:p w:rsidR="00075D09" w:rsidRPr="00A32AF4" w:rsidRDefault="00075D09" w:rsidP="00DC0553">
            <w:pPr>
              <w:rPr>
                <w:color w:val="000000"/>
                <w:sz w:val="16"/>
                <w:szCs w:val="16"/>
              </w:rPr>
            </w:pPr>
            <w:r w:rsidRPr="00A32AF4">
              <w:rPr>
                <w:color w:val="000000"/>
                <w:sz w:val="16"/>
                <w:szCs w:val="16"/>
              </w:rPr>
              <w:t> </w:t>
            </w:r>
          </w:p>
        </w:tc>
        <w:tc>
          <w:tcPr>
            <w:tcW w:w="2140" w:type="dxa"/>
            <w:shd w:val="clear" w:color="000000" w:fill="FFFFFF"/>
            <w:tcMar>
              <w:top w:w="113" w:type="dxa"/>
              <w:bottom w:w="113" w:type="dxa"/>
            </w:tcMar>
            <w:hideMark/>
          </w:tcPr>
          <w:p w:rsidR="00075D09" w:rsidRPr="00A32AF4" w:rsidRDefault="00075D09" w:rsidP="00DC0553">
            <w:pPr>
              <w:rPr>
                <w:color w:val="000000"/>
                <w:sz w:val="16"/>
                <w:szCs w:val="16"/>
              </w:rPr>
            </w:pPr>
            <w:r w:rsidRPr="00A32AF4">
              <w:rPr>
                <w:color w:val="000000"/>
                <w:sz w:val="16"/>
                <w:szCs w:val="16"/>
              </w:rPr>
              <w:t>Participation à la campagne de la Journée mondiale de la propriété intellectuelle</w:t>
            </w:r>
          </w:p>
        </w:tc>
        <w:tc>
          <w:tcPr>
            <w:tcW w:w="2485" w:type="dxa"/>
            <w:shd w:val="clear" w:color="000000" w:fill="FFFFFF"/>
            <w:tcMar>
              <w:top w:w="113" w:type="dxa"/>
              <w:bottom w:w="113" w:type="dxa"/>
            </w:tcMar>
            <w:hideMark/>
          </w:tcPr>
          <w:p w:rsidR="00075D09" w:rsidRPr="00A32AF4" w:rsidRDefault="00075D09" w:rsidP="00DC0553">
            <w:pPr>
              <w:rPr>
                <w:color w:val="000000"/>
                <w:sz w:val="16"/>
                <w:szCs w:val="16"/>
              </w:rPr>
            </w:pPr>
            <w:r w:rsidRPr="00A32AF4">
              <w:rPr>
                <w:color w:val="000000"/>
                <w:sz w:val="16"/>
                <w:szCs w:val="16"/>
              </w:rPr>
              <w:t>Des événements s</w:t>
            </w:r>
            <w:r w:rsidR="00E2055A" w:rsidRPr="00A32AF4">
              <w:rPr>
                <w:color w:val="000000"/>
                <w:sz w:val="16"/>
                <w:szCs w:val="16"/>
              </w:rPr>
              <w:t>’</w:t>
            </w:r>
            <w:r w:rsidRPr="00A32AF4">
              <w:rPr>
                <w:color w:val="000000"/>
                <w:sz w:val="16"/>
                <w:szCs w:val="16"/>
              </w:rPr>
              <w:t>étant déroulés dans 110 pays ont été publiés sur la carte de la Journée mondiale de la propriété intellectuelle de 2014</w:t>
            </w:r>
          </w:p>
        </w:tc>
        <w:tc>
          <w:tcPr>
            <w:tcW w:w="2430" w:type="dxa"/>
            <w:shd w:val="clear" w:color="000000" w:fill="FFFFFF"/>
            <w:tcMar>
              <w:top w:w="113" w:type="dxa"/>
              <w:bottom w:w="113" w:type="dxa"/>
            </w:tcMar>
            <w:hideMark/>
          </w:tcPr>
          <w:p w:rsidR="00075D09" w:rsidRPr="00A32AF4" w:rsidRDefault="00075D09" w:rsidP="00DC0553">
            <w:pPr>
              <w:rPr>
                <w:color w:val="000000"/>
                <w:sz w:val="16"/>
                <w:szCs w:val="16"/>
              </w:rPr>
            </w:pPr>
            <w:r w:rsidRPr="00A32AF4">
              <w:rPr>
                <w:color w:val="000000"/>
                <w:sz w:val="16"/>
                <w:szCs w:val="16"/>
              </w:rPr>
              <w:t>Événements dans ≥ 100 publiés sur la carte de la Journée mondiale de la propriété intellectuelle</w:t>
            </w:r>
          </w:p>
        </w:tc>
      </w:tr>
      <w:tr w:rsidR="00075D09" w:rsidRPr="00A32AF4" w:rsidTr="00075D09">
        <w:trPr>
          <w:cantSplit/>
        </w:trPr>
        <w:tc>
          <w:tcPr>
            <w:tcW w:w="2140" w:type="dxa"/>
            <w:shd w:val="clear" w:color="000000" w:fill="FFFFFF"/>
            <w:tcMar>
              <w:top w:w="113" w:type="dxa"/>
              <w:bottom w:w="113" w:type="dxa"/>
            </w:tcMar>
            <w:hideMark/>
          </w:tcPr>
          <w:p w:rsidR="00075D09" w:rsidRPr="00A32AF4" w:rsidRDefault="00075D09" w:rsidP="00DC0553">
            <w:pPr>
              <w:rPr>
                <w:color w:val="000000"/>
                <w:sz w:val="16"/>
                <w:szCs w:val="16"/>
              </w:rPr>
            </w:pPr>
            <w:r w:rsidRPr="00A32AF4">
              <w:rPr>
                <w:color w:val="000000"/>
                <w:sz w:val="16"/>
                <w:szCs w:val="16"/>
              </w:rPr>
              <w:t> </w:t>
            </w:r>
          </w:p>
        </w:tc>
        <w:tc>
          <w:tcPr>
            <w:tcW w:w="2140" w:type="dxa"/>
            <w:shd w:val="clear" w:color="000000" w:fill="FFFFFF"/>
            <w:tcMar>
              <w:top w:w="113" w:type="dxa"/>
              <w:bottom w:w="113" w:type="dxa"/>
            </w:tcMar>
            <w:hideMark/>
          </w:tcPr>
          <w:p w:rsidR="00075D09" w:rsidRPr="00A32AF4" w:rsidRDefault="00075D09" w:rsidP="00DC0553">
            <w:pPr>
              <w:rPr>
                <w:color w:val="000000"/>
                <w:sz w:val="16"/>
                <w:szCs w:val="16"/>
              </w:rPr>
            </w:pPr>
            <w:r w:rsidRPr="00A32AF4">
              <w:rPr>
                <w:color w:val="000000"/>
                <w:sz w:val="16"/>
                <w:szCs w:val="16"/>
              </w:rPr>
              <w:t>Visites sur les sites des publications de l</w:t>
            </w:r>
            <w:r w:rsidR="00E2055A" w:rsidRPr="00A32AF4">
              <w:rPr>
                <w:color w:val="000000"/>
                <w:sz w:val="16"/>
                <w:szCs w:val="16"/>
              </w:rPr>
              <w:t>’</w:t>
            </w:r>
            <w:r w:rsidRPr="00A32AF4">
              <w:rPr>
                <w:color w:val="000000"/>
                <w:sz w:val="16"/>
                <w:szCs w:val="16"/>
              </w:rPr>
              <w:t>OMPI et du Magazine de l</w:t>
            </w:r>
            <w:r w:rsidR="00E2055A" w:rsidRPr="00A32AF4">
              <w:rPr>
                <w:color w:val="000000"/>
                <w:sz w:val="16"/>
                <w:szCs w:val="16"/>
              </w:rPr>
              <w:t>’</w:t>
            </w:r>
            <w:r w:rsidRPr="00A32AF4">
              <w:rPr>
                <w:color w:val="000000"/>
                <w:sz w:val="16"/>
                <w:szCs w:val="16"/>
              </w:rPr>
              <w:t xml:space="preserve">OMPI </w:t>
            </w:r>
          </w:p>
        </w:tc>
        <w:tc>
          <w:tcPr>
            <w:tcW w:w="2485" w:type="dxa"/>
            <w:shd w:val="clear" w:color="000000" w:fill="FFFFFF"/>
            <w:tcMar>
              <w:top w:w="113" w:type="dxa"/>
              <w:bottom w:w="113" w:type="dxa"/>
            </w:tcMar>
            <w:hideMark/>
          </w:tcPr>
          <w:p w:rsidR="00075D09" w:rsidRPr="00A32AF4" w:rsidRDefault="00075D09" w:rsidP="00DC0553">
            <w:pPr>
              <w:rPr>
                <w:sz w:val="16"/>
                <w:szCs w:val="16"/>
              </w:rPr>
            </w:pPr>
            <w:r w:rsidRPr="00A32AF4">
              <w:rPr>
                <w:sz w:val="16"/>
                <w:szCs w:val="16"/>
              </w:rPr>
              <w:t xml:space="preserve">i) 97 804 consultations uniques du site des </w:t>
            </w:r>
            <w:proofErr w:type="gramStart"/>
            <w:r w:rsidRPr="00A32AF4">
              <w:rPr>
                <w:sz w:val="16"/>
                <w:szCs w:val="16"/>
              </w:rPr>
              <w:t>publications;</w:t>
            </w:r>
            <w:proofErr w:type="gramEnd"/>
            <w:r w:rsidRPr="00A32AF4">
              <w:rPr>
                <w:sz w:val="16"/>
                <w:szCs w:val="16"/>
              </w:rPr>
              <w:t xml:space="preserve">  ii) 432 342 consultations uniques du site Web du magazine de l</w:t>
            </w:r>
            <w:r w:rsidR="00E2055A" w:rsidRPr="00A32AF4">
              <w:rPr>
                <w:sz w:val="16"/>
                <w:szCs w:val="16"/>
              </w:rPr>
              <w:t>’</w:t>
            </w:r>
            <w:r w:rsidRPr="00A32AF4">
              <w:rPr>
                <w:sz w:val="16"/>
                <w:szCs w:val="16"/>
              </w:rPr>
              <w:t>OMPI en 2014</w:t>
            </w:r>
          </w:p>
        </w:tc>
        <w:tc>
          <w:tcPr>
            <w:tcW w:w="2430" w:type="dxa"/>
            <w:shd w:val="clear" w:color="000000" w:fill="FFFFFF"/>
            <w:tcMar>
              <w:top w:w="113" w:type="dxa"/>
              <w:bottom w:w="113" w:type="dxa"/>
            </w:tcMar>
            <w:hideMark/>
          </w:tcPr>
          <w:p w:rsidR="00075D09" w:rsidRPr="00A32AF4" w:rsidRDefault="00075D09" w:rsidP="00DC0553">
            <w:pPr>
              <w:rPr>
                <w:color w:val="000000"/>
                <w:sz w:val="16"/>
                <w:szCs w:val="16"/>
              </w:rPr>
            </w:pPr>
            <w:r w:rsidRPr="00A32AF4">
              <w:rPr>
                <w:color w:val="000000"/>
                <w:sz w:val="16"/>
                <w:szCs w:val="16"/>
              </w:rPr>
              <w:t xml:space="preserve">i) + 20% de consultations uniques sur le site des </w:t>
            </w:r>
            <w:proofErr w:type="gramStart"/>
            <w:r w:rsidRPr="00A32AF4">
              <w:rPr>
                <w:color w:val="000000"/>
                <w:sz w:val="16"/>
                <w:szCs w:val="16"/>
              </w:rPr>
              <w:t>publications;</w:t>
            </w:r>
            <w:proofErr w:type="gramEnd"/>
            <w:r w:rsidRPr="00A32AF4">
              <w:rPr>
                <w:color w:val="000000"/>
                <w:sz w:val="16"/>
                <w:szCs w:val="16"/>
              </w:rPr>
              <w:t xml:space="preserve">  ii) +10% de consultations uniques sur le site du Magazine </w:t>
            </w:r>
          </w:p>
        </w:tc>
      </w:tr>
      <w:tr w:rsidR="00075D09" w:rsidRPr="00A32AF4" w:rsidTr="00075D09">
        <w:trPr>
          <w:cantSplit/>
        </w:trPr>
        <w:tc>
          <w:tcPr>
            <w:tcW w:w="2140" w:type="dxa"/>
            <w:shd w:val="clear" w:color="000000" w:fill="FFFFFF"/>
            <w:tcMar>
              <w:top w:w="113" w:type="dxa"/>
              <w:bottom w:w="113" w:type="dxa"/>
            </w:tcMar>
            <w:hideMark/>
          </w:tcPr>
          <w:p w:rsidR="00075D09" w:rsidRPr="00A32AF4" w:rsidRDefault="00075D09" w:rsidP="00DC0553">
            <w:pPr>
              <w:rPr>
                <w:color w:val="000000"/>
                <w:sz w:val="16"/>
                <w:szCs w:val="16"/>
              </w:rPr>
            </w:pPr>
            <w:r w:rsidRPr="00A32AF4">
              <w:rPr>
                <w:color w:val="000000"/>
                <w:sz w:val="16"/>
                <w:szCs w:val="16"/>
              </w:rPr>
              <w:t> </w:t>
            </w:r>
          </w:p>
        </w:tc>
        <w:tc>
          <w:tcPr>
            <w:tcW w:w="2140" w:type="dxa"/>
            <w:shd w:val="clear" w:color="000000" w:fill="FFFFFF"/>
            <w:tcMar>
              <w:top w:w="113" w:type="dxa"/>
              <w:bottom w:w="113" w:type="dxa"/>
            </w:tcMar>
            <w:hideMark/>
          </w:tcPr>
          <w:p w:rsidR="00075D09" w:rsidRPr="00A32AF4" w:rsidRDefault="00075D09" w:rsidP="00DC0553">
            <w:pPr>
              <w:rPr>
                <w:color w:val="000000"/>
                <w:sz w:val="16"/>
                <w:szCs w:val="16"/>
              </w:rPr>
            </w:pPr>
            <w:r w:rsidRPr="00A32AF4">
              <w:rPr>
                <w:color w:val="000000"/>
                <w:sz w:val="16"/>
                <w:szCs w:val="16"/>
              </w:rPr>
              <w:t xml:space="preserve">Consultations des contenus </w:t>
            </w:r>
            <w:proofErr w:type="gramStart"/>
            <w:r w:rsidRPr="00A32AF4">
              <w:rPr>
                <w:color w:val="000000"/>
                <w:sz w:val="16"/>
                <w:szCs w:val="16"/>
              </w:rPr>
              <w:t>presse</w:t>
            </w:r>
            <w:proofErr w:type="gramEnd"/>
            <w:r w:rsidRPr="00A32AF4">
              <w:rPr>
                <w:color w:val="000000"/>
                <w:sz w:val="16"/>
                <w:szCs w:val="16"/>
              </w:rPr>
              <w:t>, vidéo et photo de l</w:t>
            </w:r>
            <w:r w:rsidR="00E2055A" w:rsidRPr="00A32AF4">
              <w:rPr>
                <w:color w:val="000000"/>
                <w:sz w:val="16"/>
                <w:szCs w:val="16"/>
              </w:rPr>
              <w:t>’</w:t>
            </w:r>
            <w:r w:rsidRPr="00A32AF4">
              <w:rPr>
                <w:color w:val="000000"/>
                <w:sz w:val="16"/>
                <w:szCs w:val="16"/>
              </w:rPr>
              <w:t>OMPI</w:t>
            </w:r>
          </w:p>
        </w:tc>
        <w:tc>
          <w:tcPr>
            <w:tcW w:w="2485" w:type="dxa"/>
            <w:shd w:val="clear" w:color="000000" w:fill="FFFFFF"/>
            <w:tcMar>
              <w:top w:w="113" w:type="dxa"/>
              <w:bottom w:w="113" w:type="dxa"/>
            </w:tcMar>
            <w:hideMark/>
          </w:tcPr>
          <w:p w:rsidR="00075D09" w:rsidRPr="00A32AF4" w:rsidRDefault="00075D09" w:rsidP="00DC0553">
            <w:pPr>
              <w:rPr>
                <w:color w:val="000000"/>
                <w:sz w:val="16"/>
                <w:szCs w:val="16"/>
              </w:rPr>
            </w:pPr>
            <w:r w:rsidRPr="00A32AF4">
              <w:rPr>
                <w:color w:val="000000"/>
                <w:sz w:val="16"/>
                <w:szCs w:val="16"/>
              </w:rPr>
              <w:t xml:space="preserve">i) 250 000 </w:t>
            </w:r>
            <w:r w:rsidRPr="00A32AF4">
              <w:rPr>
                <w:sz w:val="16"/>
                <w:szCs w:val="16"/>
              </w:rPr>
              <w:t>consultations uniques</w:t>
            </w:r>
            <w:r w:rsidRPr="00A32AF4">
              <w:rPr>
                <w:color w:val="000000"/>
                <w:sz w:val="16"/>
                <w:szCs w:val="16"/>
              </w:rPr>
              <w:t xml:space="preserve"> du contenu Web du Centre des médias (toutes langues) en 2014</w:t>
            </w:r>
          </w:p>
          <w:p w:rsidR="00075D09" w:rsidRPr="00A32AF4" w:rsidRDefault="00075D09" w:rsidP="00DC0553">
            <w:pPr>
              <w:rPr>
                <w:color w:val="000000"/>
                <w:sz w:val="16"/>
                <w:szCs w:val="16"/>
              </w:rPr>
            </w:pPr>
            <w:r w:rsidRPr="00A32AF4">
              <w:rPr>
                <w:color w:val="000000"/>
                <w:sz w:val="16"/>
                <w:szCs w:val="16"/>
              </w:rPr>
              <w:t>ii) 467 180 consultations de la chaîne YouTube de l</w:t>
            </w:r>
            <w:r w:rsidR="00E2055A" w:rsidRPr="00A32AF4">
              <w:rPr>
                <w:color w:val="000000"/>
                <w:sz w:val="16"/>
                <w:szCs w:val="16"/>
              </w:rPr>
              <w:t>’</w:t>
            </w:r>
            <w:r w:rsidRPr="00A32AF4">
              <w:rPr>
                <w:color w:val="000000"/>
                <w:sz w:val="16"/>
                <w:szCs w:val="16"/>
              </w:rPr>
              <w:t>OMPI en 2013</w:t>
            </w:r>
            <w:r w:rsidR="00EB7F54" w:rsidRPr="00A32AF4">
              <w:rPr>
                <w:color w:val="000000"/>
                <w:sz w:val="16"/>
                <w:szCs w:val="16"/>
              </w:rPr>
              <w:noBreakHyphen/>
            </w:r>
            <w:r w:rsidRPr="00A32AF4">
              <w:rPr>
                <w:color w:val="000000"/>
                <w:sz w:val="16"/>
                <w:szCs w:val="16"/>
              </w:rPr>
              <w:t xml:space="preserve">2014 (vidéos destinées aux enfants non comprises) </w:t>
            </w:r>
            <w:r w:rsidRPr="00A32AF4">
              <w:rPr>
                <w:color w:val="000000"/>
                <w:sz w:val="16"/>
                <w:szCs w:val="16"/>
              </w:rPr>
              <w:br/>
              <w:t>iii) 1,44 million de consultations supplémentaires des photos postées sur Flickr en 2014.  (Consultations globales fin 2014 : 2,41 millions)</w:t>
            </w:r>
          </w:p>
        </w:tc>
        <w:tc>
          <w:tcPr>
            <w:tcW w:w="2430" w:type="dxa"/>
            <w:shd w:val="clear" w:color="000000" w:fill="FFFFFF"/>
            <w:tcMar>
              <w:top w:w="113" w:type="dxa"/>
              <w:bottom w:w="113" w:type="dxa"/>
            </w:tcMar>
            <w:hideMark/>
          </w:tcPr>
          <w:p w:rsidR="00075D09" w:rsidRPr="00A32AF4" w:rsidRDefault="00075D09" w:rsidP="00DC0553">
            <w:pPr>
              <w:rPr>
                <w:color w:val="000000"/>
                <w:sz w:val="16"/>
                <w:szCs w:val="16"/>
              </w:rPr>
            </w:pPr>
            <w:r w:rsidRPr="00A32AF4">
              <w:rPr>
                <w:color w:val="000000"/>
                <w:sz w:val="16"/>
                <w:szCs w:val="16"/>
              </w:rPr>
              <w:t xml:space="preserve">i) +10% de </w:t>
            </w:r>
            <w:r w:rsidRPr="00A32AF4">
              <w:rPr>
                <w:sz w:val="16"/>
                <w:szCs w:val="16"/>
              </w:rPr>
              <w:t>consultations uniques</w:t>
            </w:r>
            <w:r w:rsidRPr="00A32AF4">
              <w:rPr>
                <w:color w:val="000000"/>
                <w:sz w:val="16"/>
                <w:szCs w:val="16"/>
              </w:rPr>
              <w:t xml:space="preserve"> du contenu Web du Centre des médias </w:t>
            </w:r>
            <w:r w:rsidRPr="00A32AF4">
              <w:rPr>
                <w:color w:val="000000"/>
                <w:sz w:val="16"/>
                <w:szCs w:val="16"/>
              </w:rPr>
              <w:br/>
            </w:r>
            <w:r w:rsidRPr="00A32AF4">
              <w:rPr>
                <w:color w:val="000000"/>
                <w:sz w:val="16"/>
                <w:szCs w:val="16"/>
              </w:rPr>
              <w:br/>
              <w:t>ii) +10% de consultations de vidéos sur la chaîne YouTube de l</w:t>
            </w:r>
            <w:r w:rsidR="00E2055A" w:rsidRPr="00A32AF4">
              <w:rPr>
                <w:color w:val="000000"/>
                <w:sz w:val="16"/>
                <w:szCs w:val="16"/>
              </w:rPr>
              <w:t>’</w:t>
            </w:r>
            <w:r w:rsidRPr="00A32AF4">
              <w:rPr>
                <w:color w:val="000000"/>
                <w:sz w:val="16"/>
                <w:szCs w:val="16"/>
              </w:rPr>
              <w:t xml:space="preserve">OMPI (vidéos destinées aux enfants non comprises) </w:t>
            </w:r>
            <w:r w:rsidRPr="00A32AF4">
              <w:rPr>
                <w:color w:val="000000"/>
                <w:sz w:val="16"/>
                <w:szCs w:val="16"/>
              </w:rPr>
              <w:br/>
            </w:r>
            <w:r w:rsidRPr="00A32AF4">
              <w:rPr>
                <w:color w:val="000000"/>
                <w:sz w:val="16"/>
                <w:szCs w:val="16"/>
              </w:rPr>
              <w:br/>
              <w:t>iii) Objectif : 1 million de consultations supplémentaires des photos postées sur Flickr (d</w:t>
            </w:r>
            <w:r w:rsidR="00E2055A" w:rsidRPr="00A32AF4">
              <w:rPr>
                <w:color w:val="000000"/>
                <w:sz w:val="16"/>
                <w:szCs w:val="16"/>
              </w:rPr>
              <w:t>’</w:t>
            </w:r>
            <w:r w:rsidRPr="00A32AF4">
              <w:rPr>
                <w:color w:val="000000"/>
                <w:sz w:val="16"/>
                <w:szCs w:val="16"/>
              </w:rPr>
              <w:t>ici fin 2017)</w:t>
            </w:r>
          </w:p>
        </w:tc>
      </w:tr>
      <w:tr w:rsidR="00075D09" w:rsidRPr="00A32AF4" w:rsidTr="00075D09">
        <w:trPr>
          <w:cantSplit/>
        </w:trPr>
        <w:tc>
          <w:tcPr>
            <w:tcW w:w="2140" w:type="dxa"/>
            <w:shd w:val="clear" w:color="000000" w:fill="FFFFFF"/>
            <w:tcMar>
              <w:top w:w="113" w:type="dxa"/>
              <w:bottom w:w="113" w:type="dxa"/>
            </w:tcMar>
            <w:hideMark/>
          </w:tcPr>
          <w:p w:rsidR="00075D09" w:rsidRPr="00A32AF4" w:rsidRDefault="00075D09" w:rsidP="00DC0553">
            <w:pPr>
              <w:rPr>
                <w:color w:val="000000"/>
                <w:sz w:val="16"/>
                <w:szCs w:val="16"/>
              </w:rPr>
            </w:pPr>
            <w:r w:rsidRPr="00A32AF4">
              <w:rPr>
                <w:color w:val="000000"/>
                <w:sz w:val="16"/>
                <w:szCs w:val="16"/>
              </w:rPr>
              <w:t> </w:t>
            </w:r>
          </w:p>
        </w:tc>
        <w:tc>
          <w:tcPr>
            <w:tcW w:w="2140" w:type="dxa"/>
            <w:shd w:val="clear" w:color="000000" w:fill="FFFFFF"/>
            <w:tcMar>
              <w:top w:w="113" w:type="dxa"/>
              <w:bottom w:w="113" w:type="dxa"/>
            </w:tcMar>
            <w:hideMark/>
          </w:tcPr>
          <w:p w:rsidR="00075D09" w:rsidRPr="00A32AF4" w:rsidRDefault="00075D09" w:rsidP="00DC0553">
            <w:pPr>
              <w:rPr>
                <w:color w:val="000000"/>
                <w:sz w:val="16"/>
                <w:szCs w:val="16"/>
              </w:rPr>
            </w:pPr>
            <w:r w:rsidRPr="00A32AF4">
              <w:rPr>
                <w:color w:val="000000"/>
                <w:sz w:val="16"/>
                <w:szCs w:val="16"/>
              </w:rPr>
              <w:t>Réduction du nombre d</w:t>
            </w:r>
            <w:r w:rsidR="00E2055A" w:rsidRPr="00A32AF4">
              <w:rPr>
                <w:color w:val="000000"/>
                <w:sz w:val="16"/>
                <w:szCs w:val="16"/>
              </w:rPr>
              <w:t>’</w:t>
            </w:r>
            <w:r w:rsidRPr="00A32AF4">
              <w:rPr>
                <w:color w:val="000000"/>
                <w:sz w:val="16"/>
                <w:szCs w:val="16"/>
              </w:rPr>
              <w:t>utilisateurs qui quittent le site Web de l</w:t>
            </w:r>
            <w:r w:rsidR="00E2055A" w:rsidRPr="00A32AF4">
              <w:rPr>
                <w:color w:val="000000"/>
                <w:sz w:val="16"/>
                <w:szCs w:val="16"/>
              </w:rPr>
              <w:t>’</w:t>
            </w:r>
            <w:r w:rsidRPr="00A32AF4">
              <w:rPr>
                <w:color w:val="000000"/>
                <w:sz w:val="16"/>
                <w:szCs w:val="16"/>
              </w:rPr>
              <w:t>OMPI directement à partir du portail et des principales pages d</w:t>
            </w:r>
            <w:r w:rsidR="00E2055A" w:rsidRPr="00A32AF4">
              <w:rPr>
                <w:color w:val="000000"/>
                <w:sz w:val="16"/>
                <w:szCs w:val="16"/>
              </w:rPr>
              <w:t>’</w:t>
            </w:r>
            <w:r w:rsidRPr="00A32AF4">
              <w:rPr>
                <w:color w:val="000000"/>
                <w:sz w:val="16"/>
                <w:szCs w:val="16"/>
              </w:rPr>
              <w:t xml:space="preserve">aiguillage </w:t>
            </w:r>
          </w:p>
        </w:tc>
        <w:tc>
          <w:tcPr>
            <w:tcW w:w="2485" w:type="dxa"/>
            <w:shd w:val="clear" w:color="000000" w:fill="FFFFFF"/>
            <w:tcMar>
              <w:top w:w="113" w:type="dxa"/>
              <w:bottom w:w="113" w:type="dxa"/>
            </w:tcMar>
            <w:hideMark/>
          </w:tcPr>
          <w:p w:rsidR="00075D09" w:rsidRPr="00A32AF4" w:rsidRDefault="00075D09" w:rsidP="00DC0553">
            <w:pPr>
              <w:rPr>
                <w:color w:val="000000"/>
                <w:sz w:val="16"/>
                <w:szCs w:val="16"/>
              </w:rPr>
            </w:pPr>
            <w:r w:rsidRPr="00A32AF4">
              <w:rPr>
                <w:color w:val="000000"/>
                <w:sz w:val="16"/>
                <w:szCs w:val="16"/>
              </w:rPr>
              <w:t>i) Taux de rebondissement sur le portail : 25,1%</w:t>
            </w:r>
            <w:proofErr w:type="gramStart"/>
            <w:r w:rsidRPr="00A32AF4">
              <w:rPr>
                <w:color w:val="000000"/>
                <w:sz w:val="16"/>
                <w:szCs w:val="16"/>
              </w:rPr>
              <w:t xml:space="preserve">;  </w:t>
            </w:r>
            <w:proofErr w:type="gramEnd"/>
            <w:r w:rsidRPr="00A32AF4">
              <w:rPr>
                <w:color w:val="000000"/>
                <w:sz w:val="16"/>
                <w:szCs w:val="16"/>
              </w:rPr>
              <w:br/>
              <w:t>ii) Taux de sortie depuis les pages d</w:t>
            </w:r>
            <w:r w:rsidR="00E2055A" w:rsidRPr="00A32AF4">
              <w:rPr>
                <w:color w:val="000000"/>
                <w:sz w:val="16"/>
                <w:szCs w:val="16"/>
              </w:rPr>
              <w:t>’</w:t>
            </w:r>
            <w:r w:rsidRPr="00A32AF4">
              <w:rPr>
                <w:color w:val="000000"/>
                <w:sz w:val="16"/>
                <w:szCs w:val="16"/>
              </w:rPr>
              <w:t>aiguillage : Services : 13%;  Politiques : 16,9%;  Coopération : 15,3%;  Références : 19,1%;  À propos de la P.I. : 55.1%;  Au sein de l</w:t>
            </w:r>
            <w:r w:rsidR="00E2055A" w:rsidRPr="00A32AF4">
              <w:rPr>
                <w:color w:val="000000"/>
                <w:sz w:val="16"/>
                <w:szCs w:val="16"/>
              </w:rPr>
              <w:t>’</w:t>
            </w:r>
            <w:r w:rsidRPr="00A32AF4">
              <w:rPr>
                <w:color w:val="000000"/>
                <w:sz w:val="16"/>
                <w:szCs w:val="16"/>
              </w:rPr>
              <w:t>OMPI : 23.5%</w:t>
            </w:r>
          </w:p>
        </w:tc>
        <w:tc>
          <w:tcPr>
            <w:tcW w:w="2430" w:type="dxa"/>
            <w:shd w:val="clear" w:color="000000" w:fill="FFFFFF"/>
            <w:tcMar>
              <w:top w:w="113" w:type="dxa"/>
              <w:bottom w:w="113" w:type="dxa"/>
            </w:tcMar>
            <w:hideMark/>
          </w:tcPr>
          <w:p w:rsidR="00075D09" w:rsidRPr="00A32AF4" w:rsidRDefault="00075D09" w:rsidP="00DC0553">
            <w:pPr>
              <w:rPr>
                <w:color w:val="000000"/>
                <w:sz w:val="16"/>
                <w:szCs w:val="16"/>
              </w:rPr>
            </w:pPr>
            <w:r w:rsidRPr="00A32AF4">
              <w:rPr>
                <w:color w:val="000000"/>
                <w:sz w:val="16"/>
                <w:szCs w:val="16"/>
              </w:rPr>
              <w:t xml:space="preserve">i) Taux de rebondissement stable depuis le </w:t>
            </w:r>
            <w:proofErr w:type="gramStart"/>
            <w:r w:rsidRPr="00A32AF4">
              <w:rPr>
                <w:color w:val="000000"/>
                <w:sz w:val="16"/>
                <w:szCs w:val="16"/>
              </w:rPr>
              <w:t>portail;</w:t>
            </w:r>
            <w:proofErr w:type="gramEnd"/>
            <w:r w:rsidRPr="00A32AF4">
              <w:rPr>
                <w:color w:val="000000"/>
                <w:sz w:val="16"/>
                <w:szCs w:val="16"/>
              </w:rPr>
              <w:t xml:space="preserve">  </w:t>
            </w:r>
            <w:r w:rsidRPr="00A32AF4">
              <w:rPr>
                <w:color w:val="000000"/>
                <w:sz w:val="16"/>
                <w:szCs w:val="16"/>
              </w:rPr>
              <w:br/>
              <w:t>ii) Taux de sortie stable depuis les pages d</w:t>
            </w:r>
            <w:r w:rsidR="00E2055A" w:rsidRPr="00A32AF4">
              <w:rPr>
                <w:color w:val="000000"/>
                <w:sz w:val="16"/>
                <w:szCs w:val="16"/>
              </w:rPr>
              <w:t>’</w:t>
            </w:r>
            <w:r w:rsidRPr="00A32AF4">
              <w:rPr>
                <w:color w:val="000000"/>
                <w:sz w:val="16"/>
                <w:szCs w:val="16"/>
              </w:rPr>
              <w:t>aiguillage pour chacune des six catégories principales (Services de P.I., Politiques, Coopération, Références, À propos de la P.I., Au sein de l</w:t>
            </w:r>
            <w:r w:rsidR="00E2055A" w:rsidRPr="00A32AF4">
              <w:rPr>
                <w:color w:val="000000"/>
                <w:sz w:val="16"/>
                <w:szCs w:val="16"/>
              </w:rPr>
              <w:t>’</w:t>
            </w:r>
            <w:r w:rsidRPr="00A32AF4">
              <w:rPr>
                <w:color w:val="000000"/>
                <w:sz w:val="16"/>
                <w:szCs w:val="16"/>
              </w:rPr>
              <w:t>OMPI)</w:t>
            </w:r>
          </w:p>
        </w:tc>
      </w:tr>
      <w:tr w:rsidR="00075D09" w:rsidRPr="00A32AF4" w:rsidTr="00075D09">
        <w:trPr>
          <w:cantSplit/>
        </w:trPr>
        <w:tc>
          <w:tcPr>
            <w:tcW w:w="2140" w:type="dxa"/>
            <w:shd w:val="clear" w:color="000000" w:fill="FFFFFF"/>
            <w:tcMar>
              <w:top w:w="113" w:type="dxa"/>
              <w:bottom w:w="113" w:type="dxa"/>
            </w:tcMar>
            <w:hideMark/>
          </w:tcPr>
          <w:p w:rsidR="00075D09" w:rsidRPr="00A32AF4" w:rsidRDefault="00075D09" w:rsidP="00DC0553">
            <w:pPr>
              <w:rPr>
                <w:color w:val="000000"/>
                <w:sz w:val="16"/>
                <w:szCs w:val="16"/>
              </w:rPr>
            </w:pPr>
            <w:r w:rsidRPr="00A32AF4">
              <w:rPr>
                <w:color w:val="000000"/>
                <w:sz w:val="16"/>
                <w:szCs w:val="16"/>
              </w:rPr>
              <w:t> </w:t>
            </w:r>
          </w:p>
        </w:tc>
        <w:tc>
          <w:tcPr>
            <w:tcW w:w="2140" w:type="dxa"/>
            <w:shd w:val="clear" w:color="000000" w:fill="FFFFFF"/>
            <w:tcMar>
              <w:top w:w="113" w:type="dxa"/>
              <w:bottom w:w="113" w:type="dxa"/>
            </w:tcMar>
            <w:hideMark/>
          </w:tcPr>
          <w:p w:rsidR="00075D09" w:rsidRPr="00A32AF4" w:rsidRDefault="00075D09" w:rsidP="00DC0553">
            <w:pPr>
              <w:rPr>
                <w:color w:val="000000"/>
                <w:sz w:val="16"/>
                <w:szCs w:val="16"/>
              </w:rPr>
            </w:pPr>
            <w:r w:rsidRPr="00A32AF4">
              <w:rPr>
                <w:color w:val="000000"/>
                <w:sz w:val="16"/>
                <w:szCs w:val="16"/>
              </w:rPr>
              <w:t>Influence de l</w:t>
            </w:r>
            <w:r w:rsidR="00E2055A" w:rsidRPr="00A32AF4">
              <w:rPr>
                <w:color w:val="000000"/>
                <w:sz w:val="16"/>
                <w:szCs w:val="16"/>
              </w:rPr>
              <w:t>’</w:t>
            </w:r>
            <w:r w:rsidRPr="00A32AF4">
              <w:rPr>
                <w:color w:val="000000"/>
                <w:sz w:val="16"/>
                <w:szCs w:val="16"/>
              </w:rPr>
              <w:t xml:space="preserve">OMPI et participation des parties prenantes dans les médias sociaux </w:t>
            </w:r>
          </w:p>
        </w:tc>
        <w:tc>
          <w:tcPr>
            <w:tcW w:w="2485" w:type="dxa"/>
            <w:shd w:val="clear" w:color="000000" w:fill="FFFFFF"/>
            <w:tcMar>
              <w:top w:w="113" w:type="dxa"/>
              <w:bottom w:w="113" w:type="dxa"/>
            </w:tcMar>
            <w:hideMark/>
          </w:tcPr>
          <w:p w:rsidR="00075D09" w:rsidRPr="00A32AF4" w:rsidRDefault="00702CE5" w:rsidP="00D22625">
            <w:pPr>
              <w:rPr>
                <w:color w:val="000000"/>
                <w:sz w:val="16"/>
                <w:szCs w:val="16"/>
              </w:rPr>
            </w:pPr>
            <w:r w:rsidRPr="00A32AF4">
              <w:rPr>
                <w:color w:val="000000"/>
                <w:sz w:val="16"/>
                <w:szCs w:val="16"/>
              </w:rPr>
              <w:t>i) nombre de favoris (2014=5</w:t>
            </w:r>
            <w:r w:rsidR="00075D09" w:rsidRPr="00A32AF4">
              <w:rPr>
                <w:color w:val="000000"/>
                <w:sz w:val="16"/>
                <w:szCs w:val="16"/>
              </w:rPr>
              <w:t>121</w:t>
            </w:r>
            <w:proofErr w:type="gramStart"/>
            <w:r w:rsidR="00075D09" w:rsidRPr="00A32AF4">
              <w:rPr>
                <w:color w:val="000000"/>
                <w:sz w:val="16"/>
                <w:szCs w:val="16"/>
              </w:rPr>
              <w:t>)</w:t>
            </w:r>
            <w:proofErr w:type="gramEnd"/>
            <w:r w:rsidR="00075D09" w:rsidRPr="00A32AF4">
              <w:rPr>
                <w:color w:val="000000"/>
                <w:sz w:val="16"/>
                <w:szCs w:val="16"/>
              </w:rPr>
              <w:br/>
              <w:t>ii) nombre total de retweets (2014=11 920)</w:t>
            </w:r>
          </w:p>
        </w:tc>
        <w:tc>
          <w:tcPr>
            <w:tcW w:w="2430" w:type="dxa"/>
            <w:shd w:val="clear" w:color="000000" w:fill="FFFFFF"/>
            <w:tcMar>
              <w:top w:w="113" w:type="dxa"/>
              <w:bottom w:w="113" w:type="dxa"/>
            </w:tcMar>
            <w:hideMark/>
          </w:tcPr>
          <w:p w:rsidR="00075D09" w:rsidRPr="00A32AF4" w:rsidRDefault="00075D09" w:rsidP="00DC0553">
            <w:pPr>
              <w:rPr>
                <w:color w:val="000000"/>
                <w:sz w:val="16"/>
                <w:szCs w:val="16"/>
              </w:rPr>
            </w:pPr>
            <w:r w:rsidRPr="00A32AF4">
              <w:rPr>
                <w:color w:val="000000"/>
                <w:sz w:val="16"/>
                <w:szCs w:val="16"/>
              </w:rPr>
              <w:t xml:space="preserve">i) +25% du nombre annuel de tweets ajoutés aux favoris </w:t>
            </w:r>
            <w:r w:rsidRPr="00A32AF4">
              <w:rPr>
                <w:color w:val="000000"/>
                <w:sz w:val="16"/>
                <w:szCs w:val="16"/>
              </w:rPr>
              <w:br/>
              <w:t>ii) +15% du nombre total annuel de retweets</w:t>
            </w:r>
          </w:p>
        </w:tc>
      </w:tr>
      <w:tr w:rsidR="00075D09" w:rsidRPr="00A32AF4" w:rsidTr="00075D09">
        <w:trPr>
          <w:cantSplit/>
        </w:trPr>
        <w:tc>
          <w:tcPr>
            <w:tcW w:w="2140" w:type="dxa"/>
            <w:shd w:val="clear" w:color="000000" w:fill="FFFFFF"/>
            <w:tcMar>
              <w:top w:w="113" w:type="dxa"/>
              <w:bottom w:w="113" w:type="dxa"/>
            </w:tcMar>
            <w:hideMark/>
          </w:tcPr>
          <w:p w:rsidR="00075D09" w:rsidRPr="00A32AF4" w:rsidRDefault="00075D09" w:rsidP="00DC0553">
            <w:pPr>
              <w:keepNext/>
              <w:keepLines/>
              <w:rPr>
                <w:color w:val="000000"/>
                <w:sz w:val="16"/>
                <w:szCs w:val="16"/>
              </w:rPr>
            </w:pPr>
            <w:r w:rsidRPr="00A32AF4">
              <w:rPr>
                <w:color w:val="000000"/>
                <w:sz w:val="16"/>
                <w:szCs w:val="16"/>
              </w:rPr>
              <w:t>VIII.2 Amélioration de l</w:t>
            </w:r>
            <w:r w:rsidR="00E2055A" w:rsidRPr="00A32AF4">
              <w:rPr>
                <w:color w:val="000000"/>
                <w:sz w:val="16"/>
                <w:szCs w:val="16"/>
              </w:rPr>
              <w:t>’</w:t>
            </w:r>
            <w:r w:rsidRPr="00A32AF4">
              <w:rPr>
                <w:color w:val="000000"/>
                <w:sz w:val="16"/>
                <w:szCs w:val="16"/>
              </w:rPr>
              <w:t>orientation vers les services et de la réactivité à la demande</w:t>
            </w:r>
          </w:p>
        </w:tc>
        <w:tc>
          <w:tcPr>
            <w:tcW w:w="2140" w:type="dxa"/>
            <w:shd w:val="clear" w:color="000000" w:fill="FFFFFF"/>
            <w:tcMar>
              <w:top w:w="113" w:type="dxa"/>
              <w:bottom w:w="113" w:type="dxa"/>
            </w:tcMar>
            <w:hideMark/>
          </w:tcPr>
          <w:p w:rsidR="00075D09" w:rsidRPr="00A32AF4" w:rsidRDefault="00075D09" w:rsidP="00DC0553">
            <w:pPr>
              <w:keepNext/>
              <w:keepLines/>
              <w:rPr>
                <w:color w:val="000000"/>
                <w:sz w:val="16"/>
                <w:szCs w:val="16"/>
              </w:rPr>
            </w:pPr>
            <w:r w:rsidRPr="00A32AF4">
              <w:rPr>
                <w:color w:val="000000"/>
                <w:sz w:val="16"/>
                <w:szCs w:val="16"/>
              </w:rPr>
              <w:t xml:space="preserve">Utilisateurs satisfaits des services de la Bibliothèque </w:t>
            </w:r>
          </w:p>
        </w:tc>
        <w:tc>
          <w:tcPr>
            <w:tcW w:w="2485" w:type="dxa"/>
            <w:shd w:val="clear" w:color="000000" w:fill="FFFFFF"/>
            <w:tcMar>
              <w:top w:w="113" w:type="dxa"/>
              <w:bottom w:w="113" w:type="dxa"/>
            </w:tcMar>
            <w:hideMark/>
          </w:tcPr>
          <w:p w:rsidR="00075D09" w:rsidRPr="00A32AF4" w:rsidRDefault="00075D09" w:rsidP="00DC0553">
            <w:pPr>
              <w:keepNext/>
              <w:keepLines/>
              <w:rPr>
                <w:color w:val="000000"/>
                <w:sz w:val="16"/>
                <w:szCs w:val="16"/>
              </w:rPr>
            </w:pPr>
            <w:r w:rsidRPr="00A32AF4">
              <w:rPr>
                <w:color w:val="000000"/>
                <w:sz w:val="16"/>
                <w:szCs w:val="16"/>
              </w:rPr>
              <w:t xml:space="preserve">72,2% des participants au questionnaire de satisfaction auprès des utilisateurs des services de la Bibliothèque en 2014 étaient très satisfaits </w:t>
            </w:r>
          </w:p>
        </w:tc>
        <w:tc>
          <w:tcPr>
            <w:tcW w:w="2430" w:type="dxa"/>
            <w:shd w:val="clear" w:color="000000" w:fill="FFFFFF"/>
            <w:tcMar>
              <w:top w:w="113" w:type="dxa"/>
              <w:bottom w:w="113" w:type="dxa"/>
            </w:tcMar>
            <w:hideMark/>
          </w:tcPr>
          <w:p w:rsidR="00075D09" w:rsidRPr="00A32AF4" w:rsidRDefault="00075D09" w:rsidP="00DC0553">
            <w:pPr>
              <w:keepNext/>
              <w:keepLines/>
              <w:rPr>
                <w:color w:val="000000"/>
                <w:sz w:val="16"/>
                <w:szCs w:val="16"/>
              </w:rPr>
            </w:pPr>
            <w:r w:rsidRPr="00A32AF4">
              <w:rPr>
                <w:color w:val="000000"/>
                <w:sz w:val="16"/>
                <w:szCs w:val="16"/>
              </w:rPr>
              <w:t>≥ 70% de visiteurs et d</w:t>
            </w:r>
            <w:r w:rsidR="00E2055A" w:rsidRPr="00A32AF4">
              <w:rPr>
                <w:color w:val="000000"/>
                <w:sz w:val="16"/>
                <w:szCs w:val="16"/>
              </w:rPr>
              <w:t>’</w:t>
            </w:r>
            <w:r w:rsidRPr="00A32AF4">
              <w:rPr>
                <w:color w:val="000000"/>
                <w:sz w:val="16"/>
                <w:szCs w:val="16"/>
              </w:rPr>
              <w:t xml:space="preserve">utilisateurs en ligne très satisfaits </w:t>
            </w:r>
          </w:p>
        </w:tc>
      </w:tr>
      <w:tr w:rsidR="00075D09" w:rsidRPr="00A32AF4" w:rsidTr="00075D09">
        <w:trPr>
          <w:cantSplit/>
        </w:trPr>
        <w:tc>
          <w:tcPr>
            <w:tcW w:w="2140" w:type="dxa"/>
            <w:shd w:val="clear" w:color="000000" w:fill="FFFFFF"/>
            <w:tcMar>
              <w:top w:w="113" w:type="dxa"/>
              <w:bottom w:w="113" w:type="dxa"/>
            </w:tcMar>
            <w:hideMark/>
          </w:tcPr>
          <w:p w:rsidR="00075D09" w:rsidRPr="00A32AF4" w:rsidRDefault="00075D09" w:rsidP="00DC0553">
            <w:pPr>
              <w:keepNext/>
              <w:keepLines/>
              <w:rPr>
                <w:color w:val="000000"/>
                <w:sz w:val="16"/>
                <w:szCs w:val="16"/>
              </w:rPr>
            </w:pPr>
            <w:r w:rsidRPr="00A32AF4">
              <w:rPr>
                <w:color w:val="000000"/>
                <w:sz w:val="16"/>
                <w:szCs w:val="16"/>
              </w:rPr>
              <w:t> </w:t>
            </w:r>
          </w:p>
        </w:tc>
        <w:tc>
          <w:tcPr>
            <w:tcW w:w="2140" w:type="dxa"/>
            <w:shd w:val="clear" w:color="000000" w:fill="FFFFFF"/>
            <w:tcMar>
              <w:top w:w="113" w:type="dxa"/>
              <w:bottom w:w="113" w:type="dxa"/>
            </w:tcMar>
            <w:hideMark/>
          </w:tcPr>
          <w:p w:rsidR="00075D09" w:rsidRPr="00A32AF4" w:rsidRDefault="00075D09" w:rsidP="00DC0553">
            <w:pPr>
              <w:keepNext/>
              <w:keepLines/>
              <w:rPr>
                <w:color w:val="000000"/>
                <w:sz w:val="16"/>
                <w:szCs w:val="16"/>
              </w:rPr>
            </w:pPr>
            <w:r w:rsidRPr="00A32AF4">
              <w:rPr>
                <w:color w:val="000000"/>
                <w:sz w:val="16"/>
                <w:szCs w:val="16"/>
              </w:rPr>
              <w:t>Taux de satisfaction des clients et des parties prenantes</w:t>
            </w:r>
          </w:p>
        </w:tc>
        <w:tc>
          <w:tcPr>
            <w:tcW w:w="2485" w:type="dxa"/>
            <w:shd w:val="clear" w:color="000000" w:fill="FFFFFF"/>
            <w:tcMar>
              <w:top w:w="113" w:type="dxa"/>
              <w:bottom w:w="113" w:type="dxa"/>
            </w:tcMar>
            <w:hideMark/>
          </w:tcPr>
          <w:p w:rsidR="00075D09" w:rsidRPr="00A32AF4" w:rsidRDefault="00075D09" w:rsidP="00DC0553">
            <w:pPr>
              <w:keepNext/>
              <w:keepLines/>
              <w:rPr>
                <w:color w:val="000000"/>
                <w:sz w:val="16"/>
                <w:szCs w:val="16"/>
              </w:rPr>
            </w:pPr>
            <w:r w:rsidRPr="00A32AF4">
              <w:rPr>
                <w:color w:val="000000"/>
                <w:sz w:val="16"/>
                <w:szCs w:val="16"/>
              </w:rPr>
              <w:t xml:space="preserve">86% des clients des systèmes de Madrid et de </w:t>
            </w:r>
            <w:r w:rsidR="00E2055A" w:rsidRPr="00A32AF4">
              <w:rPr>
                <w:color w:val="000000"/>
                <w:sz w:val="16"/>
                <w:szCs w:val="16"/>
              </w:rPr>
              <w:t>La Haye</w:t>
            </w:r>
            <w:r w:rsidRPr="00A32AF4">
              <w:rPr>
                <w:color w:val="000000"/>
                <w:sz w:val="16"/>
                <w:szCs w:val="16"/>
              </w:rPr>
              <w:t xml:space="preserve"> satisfaits ou très satisfaits (enquête de 2013)</w:t>
            </w:r>
          </w:p>
        </w:tc>
        <w:tc>
          <w:tcPr>
            <w:tcW w:w="2430" w:type="dxa"/>
            <w:shd w:val="clear" w:color="000000" w:fill="FFFFFF"/>
            <w:tcMar>
              <w:top w:w="113" w:type="dxa"/>
              <w:bottom w:w="113" w:type="dxa"/>
            </w:tcMar>
            <w:hideMark/>
          </w:tcPr>
          <w:p w:rsidR="00075D09" w:rsidRPr="00A32AF4" w:rsidRDefault="00075D09" w:rsidP="00DC0553">
            <w:pPr>
              <w:keepNext/>
              <w:keepLines/>
              <w:rPr>
                <w:color w:val="000000"/>
                <w:sz w:val="16"/>
                <w:szCs w:val="16"/>
              </w:rPr>
            </w:pPr>
            <w:r w:rsidRPr="00A32AF4">
              <w:rPr>
                <w:color w:val="000000"/>
                <w:sz w:val="16"/>
                <w:szCs w:val="16"/>
              </w:rPr>
              <w:t>≥ 90% de satisfaits ou très satisfaits</w:t>
            </w:r>
          </w:p>
        </w:tc>
      </w:tr>
      <w:tr w:rsidR="00075D09" w:rsidRPr="00A32AF4" w:rsidTr="00075D09">
        <w:trPr>
          <w:cantSplit/>
        </w:trPr>
        <w:tc>
          <w:tcPr>
            <w:tcW w:w="2140" w:type="dxa"/>
            <w:shd w:val="clear" w:color="000000" w:fill="FFFFFF"/>
            <w:tcMar>
              <w:top w:w="113" w:type="dxa"/>
              <w:bottom w:w="113" w:type="dxa"/>
            </w:tcMar>
            <w:hideMark/>
          </w:tcPr>
          <w:p w:rsidR="00075D09" w:rsidRPr="00A32AF4" w:rsidRDefault="00075D09" w:rsidP="00DC0553">
            <w:pPr>
              <w:rPr>
                <w:color w:val="000000"/>
                <w:sz w:val="16"/>
                <w:szCs w:val="16"/>
              </w:rPr>
            </w:pPr>
            <w:r w:rsidRPr="00A32AF4">
              <w:rPr>
                <w:color w:val="000000"/>
                <w:sz w:val="16"/>
                <w:szCs w:val="16"/>
              </w:rPr>
              <w:t> </w:t>
            </w:r>
          </w:p>
        </w:tc>
        <w:tc>
          <w:tcPr>
            <w:tcW w:w="2140" w:type="dxa"/>
            <w:shd w:val="clear" w:color="000000" w:fill="FFFFFF"/>
            <w:tcMar>
              <w:top w:w="113" w:type="dxa"/>
              <w:bottom w:w="113" w:type="dxa"/>
            </w:tcMar>
            <w:hideMark/>
          </w:tcPr>
          <w:p w:rsidR="00075D09" w:rsidRPr="00A32AF4" w:rsidRDefault="00075D09" w:rsidP="00DC0553">
            <w:pPr>
              <w:rPr>
                <w:color w:val="000000"/>
                <w:sz w:val="16"/>
                <w:szCs w:val="16"/>
              </w:rPr>
            </w:pPr>
            <w:r w:rsidRPr="00A32AF4">
              <w:rPr>
                <w:color w:val="000000"/>
                <w:sz w:val="16"/>
                <w:szCs w:val="16"/>
              </w:rPr>
              <w:t>Normes de services du Centre de services à la clientèle de l</w:t>
            </w:r>
            <w:r w:rsidR="00E2055A" w:rsidRPr="00A32AF4">
              <w:rPr>
                <w:color w:val="000000"/>
                <w:sz w:val="16"/>
                <w:szCs w:val="16"/>
              </w:rPr>
              <w:t>’</w:t>
            </w:r>
            <w:r w:rsidRPr="00A32AF4">
              <w:rPr>
                <w:color w:val="000000"/>
                <w:sz w:val="16"/>
                <w:szCs w:val="16"/>
              </w:rPr>
              <w:t xml:space="preserve">OMPI </w:t>
            </w:r>
          </w:p>
        </w:tc>
        <w:tc>
          <w:tcPr>
            <w:tcW w:w="2485" w:type="dxa"/>
            <w:shd w:val="clear" w:color="000000" w:fill="FFFFFF"/>
            <w:tcMar>
              <w:top w:w="113" w:type="dxa"/>
              <w:bottom w:w="113" w:type="dxa"/>
            </w:tcMar>
            <w:hideMark/>
          </w:tcPr>
          <w:p w:rsidR="00075D09" w:rsidRPr="00A32AF4" w:rsidRDefault="00075D09" w:rsidP="00DC0553">
            <w:pPr>
              <w:rPr>
                <w:color w:val="000000"/>
                <w:sz w:val="16"/>
                <w:szCs w:val="16"/>
              </w:rPr>
            </w:pPr>
            <w:r w:rsidRPr="00A32AF4">
              <w:rPr>
                <w:color w:val="000000"/>
                <w:sz w:val="16"/>
                <w:szCs w:val="16"/>
              </w:rPr>
              <w:t xml:space="preserve">92% de billets traités en une </w:t>
            </w:r>
            <w:proofErr w:type="gramStart"/>
            <w:r w:rsidRPr="00A32AF4">
              <w:rPr>
                <w:color w:val="000000"/>
                <w:sz w:val="16"/>
                <w:szCs w:val="16"/>
              </w:rPr>
              <w:t>journée;</w:t>
            </w:r>
            <w:proofErr w:type="gramEnd"/>
            <w:r w:rsidRPr="00A32AF4">
              <w:rPr>
                <w:color w:val="000000"/>
                <w:sz w:val="16"/>
                <w:szCs w:val="16"/>
              </w:rPr>
              <w:t xml:space="preserve">  100% des plaintes traitées dans les huit heures durant les horaires de travail</w:t>
            </w:r>
          </w:p>
        </w:tc>
        <w:tc>
          <w:tcPr>
            <w:tcW w:w="2430" w:type="dxa"/>
            <w:shd w:val="clear" w:color="000000" w:fill="FFFFFF"/>
            <w:tcMar>
              <w:top w:w="113" w:type="dxa"/>
              <w:bottom w:w="113" w:type="dxa"/>
            </w:tcMar>
            <w:hideMark/>
          </w:tcPr>
          <w:p w:rsidR="00075D09" w:rsidRPr="00A32AF4" w:rsidRDefault="00075D09" w:rsidP="00DC0553">
            <w:pPr>
              <w:rPr>
                <w:color w:val="000000"/>
                <w:sz w:val="16"/>
                <w:szCs w:val="16"/>
              </w:rPr>
            </w:pPr>
            <w:r w:rsidRPr="00A32AF4">
              <w:rPr>
                <w:color w:val="000000"/>
                <w:sz w:val="16"/>
                <w:szCs w:val="16"/>
              </w:rPr>
              <w:t xml:space="preserve">90% de billets traités en une </w:t>
            </w:r>
            <w:proofErr w:type="gramStart"/>
            <w:r w:rsidRPr="00A32AF4">
              <w:rPr>
                <w:color w:val="000000"/>
                <w:sz w:val="16"/>
                <w:szCs w:val="16"/>
              </w:rPr>
              <w:t>journée;</w:t>
            </w:r>
            <w:proofErr w:type="gramEnd"/>
            <w:r w:rsidRPr="00A32AF4">
              <w:rPr>
                <w:color w:val="000000"/>
                <w:sz w:val="16"/>
                <w:szCs w:val="16"/>
              </w:rPr>
              <w:t xml:space="preserve">  ii. 90% des plaintes traitées dans les huit heures durant les horaires de travail</w:t>
            </w:r>
          </w:p>
        </w:tc>
      </w:tr>
    </w:tbl>
    <w:p w:rsidR="00075D09" w:rsidRPr="00A32AF4" w:rsidRDefault="00075D09" w:rsidP="00DC0553">
      <w:pPr>
        <w:autoSpaceDE w:val="0"/>
        <w:autoSpaceDN w:val="0"/>
        <w:adjustRightInd w:val="0"/>
        <w:rPr>
          <w:szCs w:val="22"/>
        </w:rPr>
      </w:pPr>
    </w:p>
    <w:p w:rsidR="00075D09" w:rsidRPr="00A32AF4" w:rsidRDefault="00075D09" w:rsidP="00DC0553">
      <w:pPr>
        <w:autoSpaceDE w:val="0"/>
        <w:autoSpaceDN w:val="0"/>
        <w:adjustRightInd w:val="0"/>
        <w:rPr>
          <w:szCs w:val="22"/>
        </w:rPr>
      </w:pPr>
    </w:p>
    <w:p w:rsidR="005C314E" w:rsidRPr="00A32AF4" w:rsidRDefault="005C314E">
      <w:r w:rsidRPr="00A32AF4">
        <w:br w:type="page"/>
      </w:r>
    </w:p>
    <w:p w:rsidR="00075D09" w:rsidRPr="00A32AF4" w:rsidRDefault="00075D09" w:rsidP="00DC0553">
      <w:r w:rsidRPr="00A32AF4">
        <w:t>RESSOURCES ALLOUÉES AU PROGRAMME 19</w:t>
      </w:r>
    </w:p>
    <w:p w:rsidR="00075D09" w:rsidRPr="00A32AF4" w:rsidRDefault="00075D09" w:rsidP="00DC0553">
      <w:pPr>
        <w:autoSpaceDE w:val="0"/>
        <w:autoSpaceDN w:val="0"/>
        <w:adjustRightInd w:val="0"/>
        <w:rPr>
          <w:szCs w:val="22"/>
        </w:rPr>
      </w:pPr>
    </w:p>
    <w:p w:rsidR="00075D09" w:rsidRPr="00A32AF4" w:rsidRDefault="00075D09" w:rsidP="00DC0553">
      <w:pPr>
        <w:autoSpaceDE w:val="0"/>
        <w:autoSpaceDN w:val="0"/>
        <w:adjustRightInd w:val="0"/>
      </w:pPr>
      <w:r w:rsidRPr="00A32AF4">
        <w:t>19.5.</w:t>
      </w:r>
      <w:r w:rsidRPr="00A32AF4">
        <w:tab/>
        <w:t>Les ressources totales allouées au programme 19 pour l</w:t>
      </w:r>
      <w:r w:rsidR="00E2055A" w:rsidRPr="00A32AF4">
        <w:t>’</w:t>
      </w:r>
      <w:r w:rsidRPr="00A32AF4">
        <w:t>exercice biennal 2016</w:t>
      </w:r>
      <w:r w:rsidR="00EB7F54" w:rsidRPr="00A32AF4">
        <w:noBreakHyphen/>
      </w:r>
      <w:r w:rsidRPr="00A32AF4">
        <w:t>2017 restent au même niveau que le budget 2014</w:t>
      </w:r>
      <w:r w:rsidR="00EB7F54" w:rsidRPr="00A32AF4">
        <w:noBreakHyphen/>
      </w:r>
      <w:r w:rsidRPr="00A32AF4">
        <w:t>2015 après virements.  La migration des ressources entre les deux résultats escomptés est le reflet du renforcement de l</w:t>
      </w:r>
      <w:r w:rsidR="00E2055A" w:rsidRPr="00A32AF4">
        <w:t>’</w:t>
      </w:r>
      <w:r w:rsidRPr="00A32AF4">
        <w:t>appui aux services à la clientèle à l</w:t>
      </w:r>
      <w:r w:rsidR="00E2055A" w:rsidRPr="00A32AF4">
        <w:t>’</w:t>
      </w:r>
      <w:r w:rsidRPr="00A32AF4">
        <w:t>échelle de l</w:t>
      </w:r>
      <w:r w:rsidR="00E2055A" w:rsidRPr="00A32AF4">
        <w:t>’</w:t>
      </w:r>
      <w:r w:rsidRPr="00A32AF4">
        <w:t>Organisation.</w:t>
      </w:r>
    </w:p>
    <w:p w:rsidR="00075D09" w:rsidRPr="00A32AF4" w:rsidRDefault="00075D09" w:rsidP="00DC0553">
      <w:pPr>
        <w:autoSpaceDE w:val="0"/>
        <w:autoSpaceDN w:val="0"/>
        <w:adjustRightInd w:val="0"/>
        <w:rPr>
          <w:szCs w:val="22"/>
        </w:rPr>
      </w:pPr>
    </w:p>
    <w:p w:rsidR="00F93B76" w:rsidRPr="00A32AF4" w:rsidRDefault="00F93B76" w:rsidP="00DC0553">
      <w:pPr>
        <w:rPr>
          <w:lang w:eastAsia="da-DK"/>
        </w:rPr>
      </w:pPr>
    </w:p>
    <w:p w:rsidR="00F93B76" w:rsidRPr="00A32AF4" w:rsidRDefault="0028621E" w:rsidP="00DC0553">
      <w:pPr>
        <w:keepNext/>
        <w:keepLines/>
        <w:autoSpaceDE w:val="0"/>
        <w:autoSpaceDN w:val="0"/>
        <w:jc w:val="center"/>
        <w:rPr>
          <w:rFonts w:cs="Arial"/>
          <w:b/>
        </w:rPr>
      </w:pPr>
      <w:r w:rsidRPr="00A32AF4">
        <w:rPr>
          <w:rFonts w:cs="Arial"/>
          <w:b/>
        </w:rPr>
        <w:t>Programme 19 : ressources par résultat</w:t>
      </w:r>
    </w:p>
    <w:p w:rsidR="00F93B76" w:rsidRPr="00A32AF4" w:rsidRDefault="0028621E" w:rsidP="00DC0553">
      <w:pPr>
        <w:keepNext/>
        <w:keepLines/>
        <w:autoSpaceDE w:val="0"/>
        <w:autoSpaceDN w:val="0"/>
        <w:jc w:val="center"/>
        <w:rPr>
          <w:rFonts w:cs="Arial"/>
          <w:i/>
        </w:rPr>
      </w:pPr>
      <w:r w:rsidRPr="00A32AF4">
        <w:rPr>
          <w:rFonts w:cs="Arial"/>
          <w:i/>
        </w:rPr>
        <w:t>(</w:t>
      </w:r>
      <w:proofErr w:type="gramStart"/>
      <w:r w:rsidRPr="00A32AF4">
        <w:rPr>
          <w:rFonts w:cs="Arial"/>
          <w:i/>
        </w:rPr>
        <w:t>en</w:t>
      </w:r>
      <w:proofErr w:type="gramEnd"/>
      <w:r w:rsidRPr="00A32AF4">
        <w:rPr>
          <w:rFonts w:cs="Arial"/>
          <w:i/>
        </w:rPr>
        <w:t xml:space="preserve"> milliers de francs suisses)</w:t>
      </w:r>
    </w:p>
    <w:p w:rsidR="0028621E" w:rsidRPr="00A32AF4" w:rsidRDefault="0028621E" w:rsidP="00DC0553">
      <w:pPr>
        <w:keepNext/>
      </w:pPr>
    </w:p>
    <w:tbl>
      <w:tblPr>
        <w:tblW w:w="8980" w:type="dxa"/>
        <w:tblInd w:w="55" w:type="dxa"/>
        <w:tblCellMar>
          <w:left w:w="70" w:type="dxa"/>
          <w:right w:w="70" w:type="dxa"/>
        </w:tblCellMar>
        <w:tblLook w:val="04A0" w:firstRow="1" w:lastRow="0" w:firstColumn="1" w:lastColumn="0" w:noHBand="0" w:noVBand="1"/>
      </w:tblPr>
      <w:tblGrid>
        <w:gridCol w:w="641"/>
        <w:gridCol w:w="4379"/>
        <w:gridCol w:w="1260"/>
        <w:gridCol w:w="1440"/>
        <w:gridCol w:w="1260"/>
      </w:tblGrid>
      <w:tr w:rsidR="0028621E" w:rsidRPr="00A32AF4" w:rsidTr="0028621E">
        <w:tc>
          <w:tcPr>
            <w:tcW w:w="5020" w:type="dxa"/>
            <w:gridSpan w:val="2"/>
            <w:tcBorders>
              <w:top w:val="single" w:sz="4" w:space="0" w:color="auto"/>
              <w:left w:val="single" w:sz="4" w:space="0" w:color="auto"/>
              <w:bottom w:val="single" w:sz="4" w:space="0" w:color="auto"/>
              <w:right w:val="single" w:sz="4" w:space="0" w:color="000000"/>
            </w:tcBorders>
            <w:shd w:val="clear" w:color="000000" w:fill="C5D9F1"/>
            <w:noWrap/>
            <w:tcMar>
              <w:top w:w="113" w:type="dxa"/>
              <w:bottom w:w="113" w:type="dxa"/>
            </w:tcMar>
            <w:vAlign w:val="center"/>
            <w:hideMark/>
          </w:tcPr>
          <w:p w:rsidR="0028621E" w:rsidRPr="00A32AF4" w:rsidRDefault="0028621E" w:rsidP="00DC0553">
            <w:pPr>
              <w:jc w:val="center"/>
              <w:rPr>
                <w:rFonts w:cs="Arial"/>
                <w:i/>
                <w:iCs/>
                <w:sz w:val="16"/>
                <w:szCs w:val="16"/>
                <w:lang w:eastAsia="fr-FR"/>
              </w:rPr>
            </w:pPr>
            <w:r w:rsidRPr="00A32AF4">
              <w:rPr>
                <w:rFonts w:cs="Arial"/>
                <w:i/>
                <w:iCs/>
                <w:sz w:val="16"/>
                <w:szCs w:val="16"/>
                <w:lang w:eastAsia="fr-FR"/>
              </w:rPr>
              <w:t xml:space="preserve">Numéro et description du résultat escompté </w:t>
            </w:r>
          </w:p>
        </w:tc>
        <w:tc>
          <w:tcPr>
            <w:tcW w:w="126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28621E" w:rsidRPr="00A32AF4" w:rsidRDefault="0028621E" w:rsidP="00DC0553">
            <w:pPr>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2014</w:t>
            </w:r>
            <w:r w:rsidR="00EB7F54" w:rsidRPr="00A32AF4">
              <w:rPr>
                <w:rFonts w:cs="Arial"/>
                <w:i/>
                <w:iCs/>
                <w:sz w:val="16"/>
                <w:szCs w:val="16"/>
                <w:lang w:eastAsia="fr-FR"/>
              </w:rPr>
              <w:noBreakHyphen/>
            </w:r>
            <w:r w:rsidRPr="00A32AF4">
              <w:rPr>
                <w:rFonts w:cs="Arial"/>
                <w:i/>
                <w:iCs/>
                <w:sz w:val="16"/>
                <w:szCs w:val="16"/>
                <w:lang w:eastAsia="fr-FR"/>
              </w:rPr>
              <w:t>2015 approuvé</w:t>
            </w:r>
          </w:p>
        </w:tc>
        <w:tc>
          <w:tcPr>
            <w:tcW w:w="144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28621E" w:rsidRPr="00A32AF4" w:rsidRDefault="0028621E" w:rsidP="00DC0553">
            <w:pPr>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2014</w:t>
            </w:r>
            <w:r w:rsidR="00EB7F54" w:rsidRPr="00A32AF4">
              <w:rPr>
                <w:rFonts w:cs="Arial"/>
                <w:i/>
                <w:iCs/>
                <w:sz w:val="16"/>
                <w:szCs w:val="16"/>
                <w:lang w:eastAsia="fr-FR"/>
              </w:rPr>
              <w:noBreakHyphen/>
            </w:r>
            <w:r w:rsidRPr="00A32AF4">
              <w:rPr>
                <w:rFonts w:cs="Arial"/>
                <w:i/>
                <w:iCs/>
                <w:sz w:val="16"/>
                <w:szCs w:val="16"/>
                <w:lang w:eastAsia="fr-FR"/>
              </w:rPr>
              <w:t>2015 après virements</w:t>
            </w:r>
          </w:p>
        </w:tc>
        <w:tc>
          <w:tcPr>
            <w:tcW w:w="126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28621E" w:rsidRPr="00A32AF4" w:rsidRDefault="0028621E" w:rsidP="00DC0553">
            <w:pPr>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2016</w:t>
            </w:r>
            <w:r w:rsidR="00EB7F54" w:rsidRPr="00A32AF4">
              <w:rPr>
                <w:rFonts w:cs="Arial"/>
                <w:i/>
                <w:iCs/>
                <w:sz w:val="16"/>
                <w:szCs w:val="16"/>
                <w:lang w:eastAsia="fr-FR"/>
              </w:rPr>
              <w:noBreakHyphen/>
            </w:r>
            <w:r w:rsidRPr="00A32AF4">
              <w:rPr>
                <w:rFonts w:cs="Arial"/>
                <w:i/>
                <w:iCs/>
                <w:sz w:val="16"/>
                <w:szCs w:val="16"/>
                <w:lang w:eastAsia="fr-FR"/>
              </w:rPr>
              <w:t>2017 proposé</w:t>
            </w:r>
          </w:p>
        </w:tc>
      </w:tr>
      <w:tr w:rsidR="0028621E" w:rsidRPr="00A32AF4" w:rsidTr="0028621E">
        <w:tc>
          <w:tcPr>
            <w:tcW w:w="641" w:type="dxa"/>
            <w:tcBorders>
              <w:top w:val="nil"/>
              <w:left w:val="single" w:sz="4" w:space="0" w:color="auto"/>
              <w:bottom w:val="nil"/>
              <w:right w:val="nil"/>
            </w:tcBorders>
            <w:shd w:val="clear" w:color="auto" w:fill="auto"/>
            <w:noWrap/>
            <w:tcMar>
              <w:top w:w="113" w:type="dxa"/>
              <w:bottom w:w="113" w:type="dxa"/>
            </w:tcMar>
            <w:vAlign w:val="center"/>
            <w:hideMark/>
          </w:tcPr>
          <w:p w:rsidR="0028621E" w:rsidRPr="00A32AF4" w:rsidRDefault="0028621E" w:rsidP="00DC0553">
            <w:pPr>
              <w:rPr>
                <w:rFonts w:cs="Arial"/>
                <w:sz w:val="16"/>
                <w:szCs w:val="16"/>
                <w:lang w:eastAsia="fr-FR"/>
              </w:rPr>
            </w:pPr>
            <w:r w:rsidRPr="00A32AF4">
              <w:rPr>
                <w:rFonts w:cs="Arial"/>
                <w:sz w:val="16"/>
                <w:szCs w:val="16"/>
                <w:lang w:eastAsia="fr-FR"/>
              </w:rPr>
              <w:t>VIII.1</w:t>
            </w:r>
          </w:p>
        </w:tc>
        <w:tc>
          <w:tcPr>
            <w:tcW w:w="4379" w:type="dxa"/>
            <w:tcBorders>
              <w:top w:val="nil"/>
              <w:left w:val="nil"/>
              <w:bottom w:val="nil"/>
              <w:right w:val="nil"/>
            </w:tcBorders>
            <w:shd w:val="clear" w:color="auto" w:fill="auto"/>
            <w:tcMar>
              <w:top w:w="113" w:type="dxa"/>
              <w:bottom w:w="113" w:type="dxa"/>
            </w:tcMar>
            <w:vAlign w:val="center"/>
            <w:hideMark/>
          </w:tcPr>
          <w:p w:rsidR="0028621E" w:rsidRPr="00A32AF4" w:rsidRDefault="0028621E" w:rsidP="00DC0553">
            <w:pPr>
              <w:rPr>
                <w:rFonts w:cs="Arial"/>
                <w:sz w:val="16"/>
                <w:szCs w:val="16"/>
                <w:lang w:eastAsia="fr-FR"/>
              </w:rPr>
            </w:pPr>
            <w:r w:rsidRPr="00A32AF4">
              <w:rPr>
                <w:rFonts w:cs="Arial"/>
                <w:sz w:val="16"/>
                <w:szCs w:val="16"/>
                <w:lang w:eastAsia="fr-FR"/>
              </w:rPr>
              <w:t>Communication plus efficace avec le grand public concernant la propriété intellectuelle et le rôle de l</w:t>
            </w:r>
            <w:r w:rsidR="00E2055A" w:rsidRPr="00A32AF4">
              <w:rPr>
                <w:rFonts w:cs="Arial"/>
                <w:sz w:val="16"/>
                <w:szCs w:val="16"/>
                <w:lang w:eastAsia="fr-FR"/>
              </w:rPr>
              <w:t>’</w:t>
            </w:r>
            <w:r w:rsidRPr="00A32AF4">
              <w:rPr>
                <w:rFonts w:cs="Arial"/>
                <w:sz w:val="16"/>
                <w:szCs w:val="16"/>
                <w:lang w:eastAsia="fr-FR"/>
              </w:rPr>
              <w:t>OMPI</w:t>
            </w:r>
          </w:p>
        </w:tc>
        <w:tc>
          <w:tcPr>
            <w:tcW w:w="1260" w:type="dxa"/>
            <w:tcBorders>
              <w:top w:val="nil"/>
              <w:left w:val="nil"/>
              <w:bottom w:val="nil"/>
              <w:right w:val="nil"/>
            </w:tcBorders>
            <w:shd w:val="clear" w:color="auto" w:fill="auto"/>
            <w:tcMar>
              <w:top w:w="113" w:type="dxa"/>
              <w:bottom w:w="113" w:type="dxa"/>
            </w:tcMar>
            <w:vAlign w:val="center"/>
            <w:hideMark/>
          </w:tcPr>
          <w:p w:rsidR="0028621E" w:rsidRPr="00A32AF4" w:rsidRDefault="0028621E" w:rsidP="00DC0553">
            <w:pPr>
              <w:jc w:val="right"/>
              <w:rPr>
                <w:rFonts w:cs="Arial"/>
                <w:sz w:val="16"/>
                <w:szCs w:val="16"/>
                <w:lang w:eastAsia="fr-FR"/>
              </w:rPr>
            </w:pPr>
            <w:r w:rsidRPr="00A32AF4">
              <w:rPr>
                <w:rFonts w:cs="Arial"/>
                <w:sz w:val="16"/>
                <w:szCs w:val="16"/>
                <w:lang w:eastAsia="fr-FR"/>
              </w:rPr>
              <w:t>12</w:t>
            </w:r>
            <w:r w:rsidR="00FD43E3" w:rsidRPr="00A32AF4">
              <w:rPr>
                <w:rFonts w:cs="Arial"/>
                <w:sz w:val="16"/>
                <w:szCs w:val="16"/>
                <w:lang w:eastAsia="fr-FR"/>
              </w:rPr>
              <w:t> </w:t>
            </w:r>
            <w:r w:rsidRPr="00A32AF4">
              <w:rPr>
                <w:rFonts w:cs="Arial"/>
                <w:sz w:val="16"/>
                <w:szCs w:val="16"/>
                <w:lang w:eastAsia="fr-FR"/>
              </w:rPr>
              <w:t xml:space="preserve">034 </w:t>
            </w:r>
          </w:p>
        </w:tc>
        <w:tc>
          <w:tcPr>
            <w:tcW w:w="1440" w:type="dxa"/>
            <w:tcBorders>
              <w:top w:val="nil"/>
              <w:left w:val="nil"/>
              <w:bottom w:val="nil"/>
              <w:right w:val="nil"/>
            </w:tcBorders>
            <w:shd w:val="clear" w:color="auto" w:fill="auto"/>
            <w:tcMar>
              <w:top w:w="113" w:type="dxa"/>
              <w:bottom w:w="113" w:type="dxa"/>
            </w:tcMar>
            <w:vAlign w:val="center"/>
            <w:hideMark/>
          </w:tcPr>
          <w:p w:rsidR="0028621E" w:rsidRPr="00A32AF4" w:rsidRDefault="0028621E" w:rsidP="00DC0553">
            <w:pPr>
              <w:jc w:val="right"/>
              <w:rPr>
                <w:rFonts w:cs="Arial"/>
                <w:sz w:val="16"/>
                <w:szCs w:val="16"/>
                <w:lang w:eastAsia="fr-FR"/>
              </w:rPr>
            </w:pPr>
            <w:r w:rsidRPr="00A32AF4">
              <w:rPr>
                <w:rFonts w:cs="Arial"/>
                <w:sz w:val="16"/>
                <w:szCs w:val="16"/>
                <w:lang w:eastAsia="fr-FR"/>
              </w:rPr>
              <w:t>11</w:t>
            </w:r>
            <w:r w:rsidR="00FD43E3" w:rsidRPr="00A32AF4">
              <w:rPr>
                <w:rFonts w:cs="Arial"/>
                <w:sz w:val="16"/>
                <w:szCs w:val="16"/>
                <w:lang w:eastAsia="fr-FR"/>
              </w:rPr>
              <w:t> </w:t>
            </w:r>
            <w:r w:rsidRPr="00A32AF4">
              <w:rPr>
                <w:rFonts w:cs="Arial"/>
                <w:sz w:val="16"/>
                <w:szCs w:val="16"/>
                <w:lang w:eastAsia="fr-FR"/>
              </w:rPr>
              <w:t xml:space="preserve">746 </w:t>
            </w:r>
          </w:p>
        </w:tc>
        <w:tc>
          <w:tcPr>
            <w:tcW w:w="1260" w:type="dxa"/>
            <w:tcBorders>
              <w:top w:val="nil"/>
              <w:left w:val="nil"/>
              <w:bottom w:val="nil"/>
              <w:right w:val="single" w:sz="4" w:space="0" w:color="auto"/>
            </w:tcBorders>
            <w:shd w:val="clear" w:color="auto" w:fill="auto"/>
            <w:noWrap/>
            <w:tcMar>
              <w:top w:w="113" w:type="dxa"/>
              <w:bottom w:w="113" w:type="dxa"/>
            </w:tcMar>
            <w:vAlign w:val="center"/>
            <w:hideMark/>
          </w:tcPr>
          <w:p w:rsidR="0028621E" w:rsidRPr="00A32AF4" w:rsidRDefault="0028621E" w:rsidP="00DC0553">
            <w:pPr>
              <w:jc w:val="right"/>
              <w:rPr>
                <w:rFonts w:cs="Arial"/>
                <w:color w:val="000000"/>
                <w:sz w:val="16"/>
                <w:szCs w:val="16"/>
                <w:lang w:eastAsia="fr-FR"/>
              </w:rPr>
            </w:pPr>
            <w:r w:rsidRPr="00A32AF4">
              <w:rPr>
                <w:rFonts w:cs="Arial"/>
                <w:color w:val="000000"/>
                <w:sz w:val="16"/>
                <w:szCs w:val="16"/>
                <w:lang w:eastAsia="fr-FR"/>
              </w:rPr>
              <w:t>10</w:t>
            </w:r>
            <w:r w:rsidR="00FD43E3" w:rsidRPr="00A32AF4">
              <w:rPr>
                <w:rFonts w:cs="Arial"/>
                <w:color w:val="000000"/>
                <w:sz w:val="16"/>
                <w:szCs w:val="16"/>
                <w:lang w:eastAsia="fr-FR"/>
              </w:rPr>
              <w:t> </w:t>
            </w:r>
            <w:r w:rsidRPr="00A32AF4">
              <w:rPr>
                <w:rFonts w:cs="Arial"/>
                <w:color w:val="000000"/>
                <w:sz w:val="16"/>
                <w:szCs w:val="16"/>
                <w:lang w:eastAsia="fr-FR"/>
              </w:rPr>
              <w:t xml:space="preserve">808 </w:t>
            </w:r>
          </w:p>
        </w:tc>
      </w:tr>
      <w:tr w:rsidR="0028621E" w:rsidRPr="00A32AF4" w:rsidTr="0028621E">
        <w:tc>
          <w:tcPr>
            <w:tcW w:w="641" w:type="dxa"/>
            <w:tcBorders>
              <w:top w:val="nil"/>
              <w:left w:val="single" w:sz="4" w:space="0" w:color="auto"/>
              <w:bottom w:val="nil"/>
              <w:right w:val="nil"/>
            </w:tcBorders>
            <w:shd w:val="clear" w:color="auto" w:fill="auto"/>
            <w:noWrap/>
            <w:tcMar>
              <w:top w:w="113" w:type="dxa"/>
              <w:bottom w:w="113" w:type="dxa"/>
            </w:tcMar>
            <w:vAlign w:val="center"/>
            <w:hideMark/>
          </w:tcPr>
          <w:p w:rsidR="0028621E" w:rsidRPr="00A32AF4" w:rsidRDefault="0028621E" w:rsidP="00DC0553">
            <w:pPr>
              <w:rPr>
                <w:rFonts w:cs="Arial"/>
                <w:sz w:val="16"/>
                <w:szCs w:val="16"/>
                <w:lang w:eastAsia="fr-FR"/>
              </w:rPr>
            </w:pPr>
            <w:r w:rsidRPr="00A32AF4">
              <w:rPr>
                <w:rFonts w:cs="Arial"/>
                <w:sz w:val="16"/>
                <w:szCs w:val="16"/>
                <w:lang w:eastAsia="fr-FR"/>
              </w:rPr>
              <w:t>VIII.2</w:t>
            </w:r>
          </w:p>
        </w:tc>
        <w:tc>
          <w:tcPr>
            <w:tcW w:w="4379" w:type="dxa"/>
            <w:tcBorders>
              <w:top w:val="nil"/>
              <w:left w:val="nil"/>
              <w:bottom w:val="nil"/>
              <w:right w:val="nil"/>
            </w:tcBorders>
            <w:shd w:val="clear" w:color="auto" w:fill="auto"/>
            <w:tcMar>
              <w:top w:w="113" w:type="dxa"/>
              <w:bottom w:w="113" w:type="dxa"/>
            </w:tcMar>
            <w:vAlign w:val="center"/>
            <w:hideMark/>
          </w:tcPr>
          <w:p w:rsidR="0028621E" w:rsidRPr="00A32AF4" w:rsidRDefault="0028621E" w:rsidP="00DC0553">
            <w:pPr>
              <w:rPr>
                <w:rFonts w:cs="Arial"/>
                <w:sz w:val="16"/>
                <w:szCs w:val="16"/>
                <w:lang w:eastAsia="fr-FR"/>
              </w:rPr>
            </w:pPr>
            <w:r w:rsidRPr="00A32AF4">
              <w:rPr>
                <w:rFonts w:cs="Arial"/>
                <w:sz w:val="16"/>
                <w:szCs w:val="16"/>
                <w:lang w:eastAsia="fr-FR"/>
              </w:rPr>
              <w:t>Amélioration de l</w:t>
            </w:r>
            <w:r w:rsidR="00E2055A" w:rsidRPr="00A32AF4">
              <w:rPr>
                <w:rFonts w:cs="Arial"/>
                <w:sz w:val="16"/>
                <w:szCs w:val="16"/>
                <w:lang w:eastAsia="fr-FR"/>
              </w:rPr>
              <w:t>’</w:t>
            </w:r>
            <w:r w:rsidRPr="00A32AF4">
              <w:rPr>
                <w:rFonts w:cs="Arial"/>
                <w:sz w:val="16"/>
                <w:szCs w:val="16"/>
                <w:lang w:eastAsia="fr-FR"/>
              </w:rPr>
              <w:t>orientation vers les services et de la réactivité à la demande</w:t>
            </w:r>
          </w:p>
        </w:tc>
        <w:tc>
          <w:tcPr>
            <w:tcW w:w="1260" w:type="dxa"/>
            <w:tcBorders>
              <w:top w:val="nil"/>
              <w:left w:val="nil"/>
              <w:bottom w:val="nil"/>
              <w:right w:val="nil"/>
            </w:tcBorders>
            <w:shd w:val="clear" w:color="auto" w:fill="auto"/>
            <w:tcMar>
              <w:top w:w="113" w:type="dxa"/>
              <w:bottom w:w="113" w:type="dxa"/>
            </w:tcMar>
            <w:vAlign w:val="center"/>
            <w:hideMark/>
          </w:tcPr>
          <w:p w:rsidR="0028621E" w:rsidRPr="00A32AF4" w:rsidRDefault="0028621E" w:rsidP="00DC0553">
            <w:pPr>
              <w:jc w:val="right"/>
              <w:rPr>
                <w:rFonts w:cs="Arial"/>
                <w:sz w:val="16"/>
                <w:szCs w:val="16"/>
                <w:lang w:eastAsia="fr-FR"/>
              </w:rPr>
            </w:pPr>
            <w:r w:rsidRPr="00A32AF4">
              <w:rPr>
                <w:rFonts w:cs="Arial"/>
                <w:sz w:val="16"/>
                <w:szCs w:val="16"/>
                <w:lang w:eastAsia="fr-FR"/>
              </w:rPr>
              <w:t xml:space="preserve">5 223 </w:t>
            </w:r>
          </w:p>
        </w:tc>
        <w:tc>
          <w:tcPr>
            <w:tcW w:w="1440" w:type="dxa"/>
            <w:tcBorders>
              <w:top w:val="nil"/>
              <w:left w:val="nil"/>
              <w:bottom w:val="nil"/>
              <w:right w:val="nil"/>
            </w:tcBorders>
            <w:shd w:val="clear" w:color="auto" w:fill="auto"/>
            <w:tcMar>
              <w:top w:w="113" w:type="dxa"/>
              <w:bottom w:w="113" w:type="dxa"/>
            </w:tcMar>
            <w:vAlign w:val="center"/>
            <w:hideMark/>
          </w:tcPr>
          <w:p w:rsidR="0028621E" w:rsidRPr="00A32AF4" w:rsidRDefault="0028621E" w:rsidP="00DC0553">
            <w:pPr>
              <w:jc w:val="right"/>
              <w:rPr>
                <w:rFonts w:cs="Arial"/>
                <w:sz w:val="16"/>
                <w:szCs w:val="16"/>
                <w:lang w:eastAsia="fr-FR"/>
              </w:rPr>
            </w:pPr>
            <w:r w:rsidRPr="00A32AF4">
              <w:rPr>
                <w:rFonts w:cs="Arial"/>
                <w:sz w:val="16"/>
                <w:szCs w:val="16"/>
                <w:lang w:eastAsia="fr-FR"/>
              </w:rPr>
              <w:t xml:space="preserve">4 793 </w:t>
            </w:r>
          </w:p>
        </w:tc>
        <w:tc>
          <w:tcPr>
            <w:tcW w:w="1260" w:type="dxa"/>
            <w:tcBorders>
              <w:top w:val="nil"/>
              <w:left w:val="nil"/>
              <w:bottom w:val="single" w:sz="4" w:space="0" w:color="auto"/>
              <w:right w:val="single" w:sz="4" w:space="0" w:color="auto"/>
            </w:tcBorders>
            <w:shd w:val="clear" w:color="auto" w:fill="auto"/>
            <w:noWrap/>
            <w:tcMar>
              <w:top w:w="113" w:type="dxa"/>
              <w:bottom w:w="113" w:type="dxa"/>
            </w:tcMar>
            <w:vAlign w:val="center"/>
            <w:hideMark/>
          </w:tcPr>
          <w:p w:rsidR="0028621E" w:rsidRPr="00A32AF4" w:rsidRDefault="0028621E" w:rsidP="00DC0553">
            <w:pPr>
              <w:jc w:val="right"/>
              <w:rPr>
                <w:rFonts w:cs="Arial"/>
                <w:color w:val="000000"/>
                <w:sz w:val="16"/>
                <w:szCs w:val="16"/>
                <w:lang w:eastAsia="fr-FR"/>
              </w:rPr>
            </w:pPr>
            <w:r w:rsidRPr="00A32AF4">
              <w:rPr>
                <w:rFonts w:cs="Arial"/>
                <w:color w:val="000000"/>
                <w:sz w:val="16"/>
                <w:szCs w:val="16"/>
                <w:lang w:eastAsia="fr-FR"/>
              </w:rPr>
              <w:t xml:space="preserve">5 674 </w:t>
            </w:r>
          </w:p>
        </w:tc>
      </w:tr>
      <w:tr w:rsidR="0028621E" w:rsidRPr="00A32AF4" w:rsidTr="0028621E">
        <w:tc>
          <w:tcPr>
            <w:tcW w:w="641" w:type="dxa"/>
            <w:tcBorders>
              <w:top w:val="single" w:sz="4" w:space="0" w:color="auto"/>
              <w:left w:val="single" w:sz="4" w:space="0" w:color="auto"/>
              <w:bottom w:val="single" w:sz="4" w:space="0" w:color="auto"/>
              <w:right w:val="nil"/>
            </w:tcBorders>
            <w:shd w:val="clear" w:color="000000" w:fill="C5D9F1"/>
            <w:noWrap/>
            <w:tcMar>
              <w:top w:w="113" w:type="dxa"/>
              <w:bottom w:w="113" w:type="dxa"/>
            </w:tcMar>
            <w:vAlign w:val="bottom"/>
            <w:hideMark/>
          </w:tcPr>
          <w:p w:rsidR="0028621E" w:rsidRPr="00A32AF4" w:rsidRDefault="0028621E" w:rsidP="00DC0553">
            <w:pPr>
              <w:rPr>
                <w:rFonts w:cs="Arial"/>
                <w:sz w:val="16"/>
                <w:szCs w:val="16"/>
                <w:lang w:eastAsia="fr-FR"/>
              </w:rPr>
            </w:pPr>
            <w:r w:rsidRPr="00A32AF4">
              <w:rPr>
                <w:rFonts w:cs="Arial"/>
                <w:sz w:val="16"/>
                <w:szCs w:val="16"/>
                <w:lang w:eastAsia="fr-FR"/>
              </w:rPr>
              <w:t> </w:t>
            </w:r>
          </w:p>
        </w:tc>
        <w:tc>
          <w:tcPr>
            <w:tcW w:w="4379"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28621E" w:rsidRPr="00A32AF4" w:rsidRDefault="0028621E" w:rsidP="00DC0553">
            <w:pPr>
              <w:rPr>
                <w:rFonts w:cs="Arial"/>
                <w:b/>
                <w:bCs/>
                <w:sz w:val="16"/>
                <w:szCs w:val="16"/>
                <w:lang w:eastAsia="fr-FR"/>
              </w:rPr>
            </w:pPr>
            <w:r w:rsidRPr="00A32AF4">
              <w:rPr>
                <w:rFonts w:cs="Arial"/>
                <w:b/>
                <w:bCs/>
                <w:sz w:val="16"/>
                <w:szCs w:val="16"/>
                <w:lang w:eastAsia="fr-FR"/>
              </w:rPr>
              <w:t>Total</w:t>
            </w:r>
          </w:p>
        </w:tc>
        <w:tc>
          <w:tcPr>
            <w:tcW w:w="1260"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28621E" w:rsidRPr="00A32AF4" w:rsidRDefault="0028621E" w:rsidP="00DC0553">
            <w:pPr>
              <w:jc w:val="right"/>
              <w:rPr>
                <w:rFonts w:cs="Arial"/>
                <w:b/>
                <w:bCs/>
                <w:sz w:val="16"/>
                <w:szCs w:val="16"/>
                <w:lang w:eastAsia="fr-FR"/>
              </w:rPr>
            </w:pPr>
            <w:r w:rsidRPr="00A32AF4">
              <w:rPr>
                <w:rFonts w:cs="Arial"/>
                <w:b/>
                <w:bCs/>
                <w:sz w:val="16"/>
                <w:szCs w:val="16"/>
                <w:lang w:eastAsia="fr-FR"/>
              </w:rPr>
              <w:t>17</w:t>
            </w:r>
            <w:r w:rsidR="00FD43E3" w:rsidRPr="00A32AF4">
              <w:rPr>
                <w:rFonts w:cs="Arial"/>
                <w:b/>
                <w:bCs/>
                <w:sz w:val="16"/>
                <w:szCs w:val="16"/>
                <w:lang w:eastAsia="fr-FR"/>
              </w:rPr>
              <w:t> </w:t>
            </w:r>
            <w:r w:rsidRPr="00A32AF4">
              <w:rPr>
                <w:rFonts w:cs="Arial"/>
                <w:b/>
                <w:bCs/>
                <w:sz w:val="16"/>
                <w:szCs w:val="16"/>
                <w:lang w:eastAsia="fr-FR"/>
              </w:rPr>
              <w:t xml:space="preserve">257 </w:t>
            </w:r>
          </w:p>
        </w:tc>
        <w:tc>
          <w:tcPr>
            <w:tcW w:w="1440"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28621E" w:rsidRPr="00A32AF4" w:rsidRDefault="0028621E" w:rsidP="00DC0553">
            <w:pPr>
              <w:jc w:val="right"/>
              <w:rPr>
                <w:rFonts w:cs="Arial"/>
                <w:b/>
                <w:bCs/>
                <w:sz w:val="16"/>
                <w:szCs w:val="16"/>
                <w:lang w:eastAsia="fr-FR"/>
              </w:rPr>
            </w:pPr>
            <w:r w:rsidRPr="00A32AF4">
              <w:rPr>
                <w:rFonts w:cs="Arial"/>
                <w:b/>
                <w:bCs/>
                <w:sz w:val="16"/>
                <w:szCs w:val="16"/>
                <w:lang w:eastAsia="fr-FR"/>
              </w:rPr>
              <w:t>16</w:t>
            </w:r>
            <w:r w:rsidR="00FD43E3" w:rsidRPr="00A32AF4">
              <w:rPr>
                <w:rFonts w:cs="Arial"/>
                <w:b/>
                <w:bCs/>
                <w:sz w:val="16"/>
                <w:szCs w:val="16"/>
                <w:lang w:eastAsia="fr-FR"/>
              </w:rPr>
              <w:t> </w:t>
            </w:r>
            <w:r w:rsidRPr="00A32AF4">
              <w:rPr>
                <w:rFonts w:cs="Arial"/>
                <w:b/>
                <w:bCs/>
                <w:sz w:val="16"/>
                <w:szCs w:val="16"/>
                <w:lang w:eastAsia="fr-FR"/>
              </w:rPr>
              <w:t xml:space="preserve">539 </w:t>
            </w:r>
          </w:p>
        </w:tc>
        <w:tc>
          <w:tcPr>
            <w:tcW w:w="1260" w:type="dxa"/>
            <w:tcBorders>
              <w:top w:val="nil"/>
              <w:left w:val="nil"/>
              <w:bottom w:val="single" w:sz="4" w:space="0" w:color="auto"/>
              <w:right w:val="single" w:sz="4" w:space="0" w:color="auto"/>
            </w:tcBorders>
            <w:shd w:val="clear" w:color="000000" w:fill="C5D9F1"/>
            <w:noWrap/>
            <w:tcMar>
              <w:top w:w="113" w:type="dxa"/>
              <w:bottom w:w="113" w:type="dxa"/>
            </w:tcMar>
            <w:vAlign w:val="bottom"/>
            <w:hideMark/>
          </w:tcPr>
          <w:p w:rsidR="0028621E" w:rsidRPr="00A32AF4" w:rsidRDefault="0028621E" w:rsidP="00DC0553">
            <w:pPr>
              <w:jc w:val="right"/>
              <w:rPr>
                <w:rFonts w:cs="Arial"/>
                <w:b/>
                <w:bCs/>
                <w:sz w:val="16"/>
                <w:szCs w:val="16"/>
                <w:lang w:eastAsia="fr-FR"/>
              </w:rPr>
            </w:pPr>
            <w:r w:rsidRPr="00A32AF4">
              <w:rPr>
                <w:rFonts w:cs="Arial"/>
                <w:b/>
                <w:bCs/>
                <w:sz w:val="16"/>
                <w:szCs w:val="16"/>
                <w:lang w:eastAsia="fr-FR"/>
              </w:rPr>
              <w:t>16</w:t>
            </w:r>
            <w:r w:rsidR="00FD43E3" w:rsidRPr="00A32AF4">
              <w:rPr>
                <w:rFonts w:cs="Arial"/>
                <w:b/>
                <w:bCs/>
                <w:sz w:val="16"/>
                <w:szCs w:val="16"/>
                <w:lang w:eastAsia="fr-FR"/>
              </w:rPr>
              <w:t> </w:t>
            </w:r>
            <w:r w:rsidRPr="00A32AF4">
              <w:rPr>
                <w:rFonts w:cs="Arial"/>
                <w:b/>
                <w:bCs/>
                <w:sz w:val="16"/>
                <w:szCs w:val="16"/>
                <w:lang w:eastAsia="fr-FR"/>
              </w:rPr>
              <w:t xml:space="preserve">483 </w:t>
            </w:r>
          </w:p>
        </w:tc>
      </w:tr>
    </w:tbl>
    <w:p w:rsidR="00F93B76" w:rsidRPr="00A32AF4" w:rsidRDefault="00F93B76" w:rsidP="00DC0553"/>
    <w:p w:rsidR="00F93B76" w:rsidRPr="00A32AF4" w:rsidRDefault="00F93B76" w:rsidP="00DC0553">
      <w:pPr>
        <w:rPr>
          <w:lang w:eastAsia="da-DK"/>
        </w:rPr>
      </w:pPr>
    </w:p>
    <w:p w:rsidR="00F93B76" w:rsidRPr="00A32AF4" w:rsidRDefault="0028621E" w:rsidP="00DC0553">
      <w:pPr>
        <w:keepNext/>
        <w:keepLines/>
        <w:autoSpaceDE w:val="0"/>
        <w:autoSpaceDN w:val="0"/>
        <w:jc w:val="center"/>
        <w:rPr>
          <w:rFonts w:cs="Arial"/>
          <w:b/>
        </w:rPr>
      </w:pPr>
      <w:r w:rsidRPr="00A32AF4">
        <w:rPr>
          <w:rFonts w:cs="Arial"/>
          <w:b/>
        </w:rPr>
        <w:t>Programme 19 : ressources par objet de dépense</w:t>
      </w:r>
    </w:p>
    <w:p w:rsidR="00F93B76" w:rsidRPr="00A32AF4" w:rsidRDefault="0028621E" w:rsidP="00DC0553">
      <w:pPr>
        <w:keepNext/>
        <w:keepLines/>
        <w:autoSpaceDE w:val="0"/>
        <w:autoSpaceDN w:val="0"/>
        <w:jc w:val="center"/>
        <w:rPr>
          <w:rFonts w:cs="Arial"/>
          <w:i/>
        </w:rPr>
      </w:pPr>
      <w:r w:rsidRPr="00A32AF4">
        <w:rPr>
          <w:rFonts w:cs="Arial"/>
          <w:i/>
        </w:rPr>
        <w:t>(</w:t>
      </w:r>
      <w:proofErr w:type="gramStart"/>
      <w:r w:rsidRPr="00A32AF4">
        <w:rPr>
          <w:rFonts w:cs="Arial"/>
          <w:i/>
        </w:rPr>
        <w:t>en</w:t>
      </w:r>
      <w:proofErr w:type="gramEnd"/>
      <w:r w:rsidRPr="00A32AF4">
        <w:rPr>
          <w:rFonts w:cs="Arial"/>
          <w:i/>
        </w:rPr>
        <w:t xml:space="preserve"> milliers de francs suisses)</w:t>
      </w:r>
    </w:p>
    <w:p w:rsidR="00F93B76" w:rsidRPr="00A32AF4" w:rsidRDefault="00F93B76" w:rsidP="00DC0553">
      <w:pPr>
        <w:keepNext/>
        <w:rPr>
          <w:rFonts w:eastAsia="SimSun"/>
        </w:rPr>
      </w:pPr>
    </w:p>
    <w:p w:rsidR="00F93B76" w:rsidRPr="00A32AF4" w:rsidRDefault="000F7CA0" w:rsidP="00DC0553">
      <w:pPr>
        <w:rPr>
          <w:rFonts w:eastAsia="SimSun"/>
        </w:rPr>
      </w:pPr>
      <w:r w:rsidRPr="00A32AF4">
        <w:rPr>
          <w:rFonts w:eastAsia="SimSun"/>
          <w:noProof/>
          <w:lang w:eastAsia="fr-FR"/>
        </w:rPr>
        <w:drawing>
          <wp:inline distT="0" distB="0" distL="0" distR="0" wp14:anchorId="3774670A" wp14:editId="07A1C8E5">
            <wp:extent cx="5512435" cy="6555105"/>
            <wp:effectExtent l="0" t="0" r="0" b="0"/>
            <wp:docPr id="1053" name="Picture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5512435" cy="6555105"/>
                    </a:xfrm>
                    <a:prstGeom prst="rect">
                      <a:avLst/>
                    </a:prstGeom>
                    <a:noFill/>
                    <a:ln>
                      <a:noFill/>
                    </a:ln>
                  </pic:spPr>
                </pic:pic>
              </a:graphicData>
            </a:graphic>
          </wp:inline>
        </w:drawing>
      </w:r>
    </w:p>
    <w:p w:rsidR="00F93B76" w:rsidRPr="00A32AF4" w:rsidRDefault="00F93B76" w:rsidP="00DC0553">
      <w:pPr>
        <w:rPr>
          <w:lang w:eastAsia="da-DK"/>
        </w:rPr>
      </w:pPr>
    </w:p>
    <w:p w:rsidR="00F93B76" w:rsidRPr="00A32AF4" w:rsidRDefault="0028621E" w:rsidP="00DC0553">
      <w:pPr>
        <w:rPr>
          <w:lang w:eastAsia="da-DK"/>
        </w:rPr>
      </w:pPr>
      <w:r w:rsidRPr="00A32AF4">
        <w:rPr>
          <w:lang w:eastAsia="da-DK"/>
        </w:rPr>
        <w:br w:type="page"/>
      </w:r>
    </w:p>
    <w:p w:rsidR="00877B63" w:rsidRPr="00A32AF4" w:rsidRDefault="00D21583" w:rsidP="00FB1F61">
      <w:pPr>
        <w:pStyle w:val="Heading3"/>
      </w:pPr>
      <w:bookmarkStart w:id="58" w:name="_Toc419283269"/>
      <w:bookmarkStart w:id="59" w:name="_Toc431555464"/>
      <w:r w:rsidRPr="00A32AF4">
        <w:t>Programme </w:t>
      </w:r>
      <w:r w:rsidR="00877B63" w:rsidRPr="00A32AF4">
        <w:t>20</w:t>
      </w:r>
      <w:r w:rsidR="00877B63" w:rsidRPr="00A32AF4">
        <w:tab/>
      </w:r>
      <w:bookmarkEnd w:id="58"/>
      <w:r w:rsidR="00877B63" w:rsidRPr="00A32AF4">
        <w:t>Relations extérieures, partenariats et bureaux extérieurs</w:t>
      </w:r>
      <w:bookmarkEnd w:id="59"/>
    </w:p>
    <w:p w:rsidR="00877B63" w:rsidRPr="00A32AF4" w:rsidRDefault="00877B63" w:rsidP="00DC0553"/>
    <w:p w:rsidR="00877B63" w:rsidRPr="00A32AF4" w:rsidRDefault="00877B63" w:rsidP="00DC0553"/>
    <w:p w:rsidR="00E2055A" w:rsidRPr="00A32AF4" w:rsidRDefault="00877B63" w:rsidP="00DC0553">
      <w:r w:rsidRPr="00A32AF4">
        <w:t>CONTEXTE DE PLANIFICATION</w:t>
      </w:r>
    </w:p>
    <w:p w:rsidR="00877B63" w:rsidRPr="00A32AF4" w:rsidRDefault="00877B63" w:rsidP="00DC0553">
      <w:pPr>
        <w:tabs>
          <w:tab w:val="num" w:pos="709"/>
        </w:tabs>
        <w:jc w:val="both"/>
        <w:rPr>
          <w:rFonts w:cs="Arial"/>
          <w:bCs/>
        </w:rPr>
      </w:pPr>
    </w:p>
    <w:p w:rsidR="00877B63" w:rsidRPr="00A32AF4" w:rsidRDefault="00877B63" w:rsidP="00DC0553">
      <w:pPr>
        <w:pStyle w:val="ListParagraph"/>
        <w:numPr>
          <w:ilvl w:val="0"/>
          <w:numId w:val="61"/>
        </w:numPr>
        <w:spacing w:after="0" w:line="240" w:lineRule="auto"/>
        <w:jc w:val="both"/>
        <w:rPr>
          <w:rFonts w:ascii="Arial" w:hAnsi="Arial" w:cs="Arial"/>
          <w:bCs/>
        </w:rPr>
      </w:pPr>
      <w:r w:rsidRPr="00A32AF4">
        <w:rPr>
          <w:rFonts w:ascii="Arial" w:hAnsi="Arial" w:cs="Arial"/>
          <w:bCs/>
        </w:rPr>
        <w:t>Au cours de l</w:t>
      </w:r>
      <w:r w:rsidR="00E2055A" w:rsidRPr="00A32AF4">
        <w:rPr>
          <w:rFonts w:ascii="Arial" w:hAnsi="Arial" w:cs="Arial"/>
          <w:bCs/>
        </w:rPr>
        <w:t>’</w:t>
      </w:r>
      <w:r w:rsidRPr="00A32AF4">
        <w:rPr>
          <w:rFonts w:ascii="Arial" w:hAnsi="Arial" w:cs="Arial"/>
          <w:bCs/>
        </w:rPr>
        <w:t>exercice biennal 2016</w:t>
      </w:r>
      <w:r w:rsidR="00EB7F54" w:rsidRPr="00A32AF4">
        <w:rPr>
          <w:rFonts w:ascii="Arial" w:hAnsi="Arial" w:cs="Arial"/>
          <w:bCs/>
        </w:rPr>
        <w:noBreakHyphen/>
      </w:r>
      <w:r w:rsidRPr="00A32AF4">
        <w:rPr>
          <w:rFonts w:ascii="Arial" w:hAnsi="Arial" w:cs="Arial"/>
          <w:bCs/>
        </w:rPr>
        <w:t>2017, l</w:t>
      </w:r>
      <w:r w:rsidR="00E2055A" w:rsidRPr="00A32AF4">
        <w:rPr>
          <w:rFonts w:ascii="Arial" w:hAnsi="Arial" w:cs="Arial"/>
          <w:bCs/>
        </w:rPr>
        <w:t>’</w:t>
      </w:r>
      <w:r w:rsidRPr="00A32AF4">
        <w:rPr>
          <w:rFonts w:ascii="Arial" w:hAnsi="Arial" w:cs="Arial"/>
          <w:bCs/>
        </w:rPr>
        <w:t xml:space="preserve">Organisation des </w:t>
      </w:r>
      <w:r w:rsidR="00E2055A" w:rsidRPr="00A32AF4">
        <w:rPr>
          <w:rFonts w:ascii="Arial" w:hAnsi="Arial" w:cs="Arial"/>
          <w:bCs/>
        </w:rPr>
        <w:t>Nations Unies</w:t>
      </w:r>
      <w:r w:rsidRPr="00A32AF4">
        <w:rPr>
          <w:rFonts w:ascii="Arial" w:hAnsi="Arial" w:cs="Arial"/>
          <w:bCs/>
        </w:rPr>
        <w:t xml:space="preserve"> sera appelée à passer de la phase des négociations à celle de la mise en œuvre, car un certain nombre de processus de négociation importants vont converger et aboutir d</w:t>
      </w:r>
      <w:r w:rsidR="00E2055A" w:rsidRPr="00A32AF4">
        <w:rPr>
          <w:rFonts w:ascii="Arial" w:hAnsi="Arial" w:cs="Arial"/>
          <w:bCs/>
        </w:rPr>
        <w:t>’</w:t>
      </w:r>
      <w:r w:rsidRPr="00A32AF4">
        <w:rPr>
          <w:rFonts w:ascii="Arial" w:hAnsi="Arial" w:cs="Arial"/>
          <w:bCs/>
        </w:rPr>
        <w:t>ici la fin de 2015.  On s</w:t>
      </w:r>
      <w:r w:rsidR="00E2055A" w:rsidRPr="00A32AF4">
        <w:rPr>
          <w:rFonts w:ascii="Arial" w:hAnsi="Arial" w:cs="Arial"/>
          <w:bCs/>
        </w:rPr>
        <w:t>’</w:t>
      </w:r>
      <w:r w:rsidRPr="00A32AF4">
        <w:rPr>
          <w:rFonts w:ascii="Arial" w:hAnsi="Arial" w:cs="Arial"/>
          <w:bCs/>
        </w:rPr>
        <w:t>attend à ce que les États membres concluent les négociations concernant le programme de développement pour l</w:t>
      </w:r>
      <w:r w:rsidR="00E2055A" w:rsidRPr="00A32AF4">
        <w:rPr>
          <w:rFonts w:ascii="Arial" w:hAnsi="Arial" w:cs="Arial"/>
          <w:bCs/>
        </w:rPr>
        <w:t>’</w:t>
      </w:r>
      <w:r w:rsidRPr="00A32AF4">
        <w:rPr>
          <w:rFonts w:ascii="Arial" w:hAnsi="Arial" w:cs="Arial"/>
          <w:bCs/>
        </w:rPr>
        <w:t xml:space="preserve">après 2015 lors du sommet des </w:t>
      </w:r>
      <w:r w:rsidR="00E2055A" w:rsidRPr="00A32AF4">
        <w:rPr>
          <w:rFonts w:ascii="Arial" w:hAnsi="Arial" w:cs="Arial"/>
          <w:bCs/>
        </w:rPr>
        <w:t>Nations Unies</w:t>
      </w:r>
      <w:r w:rsidRPr="00A32AF4">
        <w:rPr>
          <w:rFonts w:ascii="Arial" w:hAnsi="Arial" w:cs="Arial"/>
          <w:bCs/>
        </w:rPr>
        <w:t xml:space="preserve"> à New York en septembre 2015 : “Élaborer et concrétiser un programme de développement porteur de transformation pour l</w:t>
      </w:r>
      <w:r w:rsidR="00E2055A" w:rsidRPr="00A32AF4">
        <w:rPr>
          <w:rFonts w:ascii="Arial" w:hAnsi="Arial" w:cs="Arial"/>
          <w:bCs/>
        </w:rPr>
        <w:t>’</w:t>
      </w:r>
      <w:r w:rsidRPr="00A32AF4">
        <w:rPr>
          <w:rFonts w:ascii="Arial" w:hAnsi="Arial" w:cs="Arial"/>
          <w:bCs/>
        </w:rPr>
        <w:t>après 2015”.  Avant cela, en juillet 2015, les États membres devraient convenir d</w:t>
      </w:r>
      <w:r w:rsidR="00E2055A" w:rsidRPr="00A32AF4">
        <w:rPr>
          <w:rFonts w:ascii="Arial" w:hAnsi="Arial" w:cs="Arial"/>
          <w:bCs/>
        </w:rPr>
        <w:t>’</w:t>
      </w:r>
      <w:r w:rsidRPr="00A32AF4">
        <w:rPr>
          <w:rFonts w:ascii="Arial" w:hAnsi="Arial" w:cs="Arial"/>
          <w:bCs/>
        </w:rPr>
        <w:t>un document final pour la troisième Conférence internationale sur le financement du développement (FfD).  Cette question est liée aux débats sur les “Moyens de mise en œuvre” des Objectifs de développement durable recouvrant à la fois l</w:t>
      </w:r>
      <w:r w:rsidR="00E2055A" w:rsidRPr="00A32AF4">
        <w:rPr>
          <w:rFonts w:ascii="Arial" w:hAnsi="Arial" w:cs="Arial"/>
          <w:bCs/>
        </w:rPr>
        <w:t>’</w:t>
      </w:r>
      <w:r w:rsidRPr="00A32AF4">
        <w:rPr>
          <w:rFonts w:ascii="Arial" w:hAnsi="Arial" w:cs="Arial"/>
          <w:bCs/>
        </w:rPr>
        <w:t>aspect financier et l</w:t>
      </w:r>
      <w:r w:rsidR="00E2055A" w:rsidRPr="00A32AF4">
        <w:rPr>
          <w:rFonts w:ascii="Arial" w:hAnsi="Arial" w:cs="Arial"/>
          <w:bCs/>
        </w:rPr>
        <w:t>’</w:t>
      </w:r>
      <w:r w:rsidRPr="00A32AF4">
        <w:rPr>
          <w:rFonts w:ascii="Arial" w:hAnsi="Arial" w:cs="Arial"/>
          <w:bCs/>
        </w:rPr>
        <w:t>intensification du soutien en faveur du renforcement des capacités d</w:t>
      </w:r>
      <w:r w:rsidR="00E2055A" w:rsidRPr="00A32AF4">
        <w:rPr>
          <w:rFonts w:ascii="Arial" w:hAnsi="Arial" w:cs="Arial"/>
          <w:bCs/>
        </w:rPr>
        <w:t>’</w:t>
      </w:r>
      <w:r w:rsidRPr="00A32AF4">
        <w:rPr>
          <w:rFonts w:ascii="Arial" w:hAnsi="Arial" w:cs="Arial"/>
          <w:bCs/>
        </w:rPr>
        <w:t>innovation et du développement et du transfert de technologies pour le développement durable.  Ce dernier point étant également étroitement lié aux travaux concernant un mécanisme de facilitation de transfert de technologies, qui trouve son origine dans le document final de la Conférence Rio+20 et les processus de suivi ultérieurs.  En parallèle, les négociations se poursuivent à un rythme soutenu en vue d</w:t>
      </w:r>
      <w:r w:rsidR="00E2055A" w:rsidRPr="00A32AF4">
        <w:rPr>
          <w:rFonts w:ascii="Arial" w:hAnsi="Arial" w:cs="Arial"/>
          <w:bCs/>
        </w:rPr>
        <w:t>’</w:t>
      </w:r>
      <w:r w:rsidRPr="00A32AF4">
        <w:rPr>
          <w:rFonts w:ascii="Arial" w:hAnsi="Arial" w:cs="Arial"/>
          <w:bCs/>
        </w:rPr>
        <w:t>un nouvel accord international sur le changement climatique dans le cadre de la Convention</w:t>
      </w:r>
      <w:r w:rsidR="00EB7F54" w:rsidRPr="00A32AF4">
        <w:rPr>
          <w:rFonts w:ascii="Arial" w:hAnsi="Arial" w:cs="Arial"/>
          <w:bCs/>
        </w:rPr>
        <w:noBreakHyphen/>
      </w:r>
      <w:r w:rsidRPr="00A32AF4">
        <w:rPr>
          <w:rFonts w:ascii="Arial" w:hAnsi="Arial" w:cs="Arial"/>
          <w:bCs/>
        </w:rPr>
        <w:t xml:space="preserve">cadre des </w:t>
      </w:r>
      <w:r w:rsidR="00E2055A" w:rsidRPr="00A32AF4">
        <w:rPr>
          <w:rFonts w:ascii="Arial" w:hAnsi="Arial" w:cs="Arial"/>
          <w:bCs/>
        </w:rPr>
        <w:t>Nations Unies</w:t>
      </w:r>
      <w:r w:rsidRPr="00A32AF4">
        <w:rPr>
          <w:rFonts w:ascii="Arial" w:hAnsi="Arial" w:cs="Arial"/>
          <w:bCs/>
        </w:rPr>
        <w:t xml:space="preserve"> sur les changements climatiques (CCNUCC), dont la signature est prévue lors de la vingt et unième Conférence des Parties à la CCNUCC à Paris en décembre 2015.  En outre, les travaux se poursuivent concernant un certain nombre d</w:t>
      </w:r>
      <w:r w:rsidR="00E2055A" w:rsidRPr="00A32AF4">
        <w:rPr>
          <w:rFonts w:ascii="Arial" w:hAnsi="Arial" w:cs="Arial"/>
          <w:bCs/>
        </w:rPr>
        <w:t>’</w:t>
      </w:r>
      <w:r w:rsidRPr="00A32AF4">
        <w:rPr>
          <w:rFonts w:ascii="Arial" w:hAnsi="Arial" w:cs="Arial"/>
          <w:bCs/>
        </w:rPr>
        <w:t>autres processus menés en collaboration avec des organisations internationales et concernant des questions importantes pour l</w:t>
      </w:r>
      <w:r w:rsidR="00E2055A" w:rsidRPr="00A32AF4">
        <w:rPr>
          <w:rFonts w:ascii="Arial" w:hAnsi="Arial" w:cs="Arial"/>
          <w:bCs/>
        </w:rPr>
        <w:t>’</w:t>
      </w:r>
      <w:r w:rsidRPr="00A32AF4">
        <w:rPr>
          <w:rFonts w:ascii="Arial" w:hAnsi="Arial" w:cs="Arial"/>
          <w:bCs/>
        </w:rPr>
        <w:t>OMPI, telles que la fracture numérique, la santé publique et les maladies non transmissibles.</w:t>
      </w:r>
    </w:p>
    <w:p w:rsidR="00877B63" w:rsidRPr="00A32AF4" w:rsidRDefault="00877B63" w:rsidP="00DC0553">
      <w:pPr>
        <w:jc w:val="both"/>
        <w:rPr>
          <w:rFonts w:cs="Arial"/>
        </w:rPr>
      </w:pPr>
    </w:p>
    <w:p w:rsidR="00877B63" w:rsidRPr="00A32AF4" w:rsidRDefault="00877B63" w:rsidP="00DC0553">
      <w:pPr>
        <w:pStyle w:val="ListParagraph"/>
        <w:numPr>
          <w:ilvl w:val="0"/>
          <w:numId w:val="61"/>
        </w:numPr>
        <w:spacing w:after="0" w:line="240" w:lineRule="auto"/>
        <w:jc w:val="both"/>
        <w:rPr>
          <w:rFonts w:ascii="Arial" w:hAnsi="Arial" w:cs="Arial"/>
          <w:bCs/>
        </w:rPr>
      </w:pPr>
      <w:r w:rsidRPr="00A32AF4">
        <w:rPr>
          <w:rFonts w:ascii="Arial" w:hAnsi="Arial" w:cs="Arial"/>
          <w:bCs/>
        </w:rPr>
        <w:t>La technologie, l</w:t>
      </w:r>
      <w:r w:rsidR="00E2055A" w:rsidRPr="00A32AF4">
        <w:rPr>
          <w:rFonts w:ascii="Arial" w:hAnsi="Arial" w:cs="Arial"/>
          <w:bCs/>
        </w:rPr>
        <w:t>’</w:t>
      </w:r>
      <w:r w:rsidRPr="00A32AF4">
        <w:rPr>
          <w:rFonts w:ascii="Arial" w:hAnsi="Arial" w:cs="Arial"/>
          <w:bCs/>
        </w:rPr>
        <w:t>innovation, la créativité et le développement culturel restent des éléments essentiels de tous ces processus.  Le partenariat mondial pour le programme de développement pour l</w:t>
      </w:r>
      <w:r w:rsidR="00E2055A" w:rsidRPr="00A32AF4">
        <w:rPr>
          <w:rFonts w:ascii="Arial" w:hAnsi="Arial" w:cs="Arial"/>
          <w:bCs/>
        </w:rPr>
        <w:t>’</w:t>
      </w:r>
      <w:r w:rsidRPr="00A32AF4">
        <w:rPr>
          <w:rFonts w:ascii="Arial" w:hAnsi="Arial" w:cs="Arial"/>
          <w:bCs/>
        </w:rPr>
        <w:t>après 2015 envisage la création d</w:t>
      </w:r>
      <w:r w:rsidR="00E2055A" w:rsidRPr="00A32AF4">
        <w:rPr>
          <w:rFonts w:ascii="Arial" w:hAnsi="Arial" w:cs="Arial"/>
          <w:bCs/>
        </w:rPr>
        <w:t>’</w:t>
      </w:r>
      <w:r w:rsidRPr="00A32AF4">
        <w:rPr>
          <w:rFonts w:ascii="Arial" w:hAnsi="Arial" w:cs="Arial"/>
          <w:bCs/>
        </w:rPr>
        <w:t>alliances multipartites autour de questions</w:t>
      </w:r>
      <w:r w:rsidR="00EB7F54" w:rsidRPr="00A32AF4">
        <w:rPr>
          <w:rFonts w:ascii="Arial" w:hAnsi="Arial" w:cs="Arial"/>
          <w:bCs/>
        </w:rPr>
        <w:noBreakHyphen/>
      </w:r>
      <w:r w:rsidRPr="00A32AF4">
        <w:rPr>
          <w:rFonts w:ascii="Arial" w:hAnsi="Arial" w:cs="Arial"/>
          <w:bCs/>
        </w:rPr>
        <w:t xml:space="preserve">clés.  </w:t>
      </w:r>
      <w:proofErr w:type="gramStart"/>
      <w:r w:rsidRPr="00A32AF4">
        <w:rPr>
          <w:rFonts w:ascii="Arial" w:hAnsi="Arial" w:cs="Arial"/>
          <w:bCs/>
        </w:rPr>
        <w:t>L</w:t>
      </w:r>
      <w:r w:rsidR="00E2055A" w:rsidRPr="00A32AF4">
        <w:rPr>
          <w:rFonts w:ascii="Arial" w:hAnsi="Arial" w:cs="Arial"/>
          <w:bCs/>
        </w:rPr>
        <w:t>’</w:t>
      </w:r>
      <w:r w:rsidRPr="00A32AF4">
        <w:rPr>
          <w:rFonts w:ascii="Arial" w:hAnsi="Arial" w:cs="Arial"/>
          <w:bCs/>
        </w:rPr>
        <w:t>OMPI assumera pleinement son rôle en facilitant de tels partenariats, et s</w:t>
      </w:r>
      <w:r w:rsidR="00E2055A" w:rsidRPr="00A32AF4">
        <w:rPr>
          <w:rFonts w:ascii="Arial" w:hAnsi="Arial" w:cs="Arial"/>
          <w:bCs/>
        </w:rPr>
        <w:t>’</w:t>
      </w:r>
      <w:r w:rsidRPr="00A32AF4">
        <w:rPr>
          <w:rFonts w:ascii="Arial" w:hAnsi="Arial" w:cs="Arial"/>
          <w:bCs/>
        </w:rPr>
        <w:t>emploiera à renforcer les liens existant avec ses partenaires traditionnels, tels que l</w:t>
      </w:r>
      <w:r w:rsidR="00E2055A" w:rsidRPr="00A32AF4">
        <w:rPr>
          <w:rFonts w:ascii="Arial" w:hAnsi="Arial" w:cs="Arial"/>
          <w:bCs/>
        </w:rPr>
        <w:t>’</w:t>
      </w:r>
      <w:r w:rsidRPr="00A32AF4">
        <w:rPr>
          <w:rFonts w:ascii="Arial" w:hAnsi="Arial" w:cs="Arial"/>
          <w:bCs/>
        </w:rPr>
        <w:t>Organisation mondiale du commerce (OMC), l</w:t>
      </w:r>
      <w:r w:rsidR="00E2055A" w:rsidRPr="00A32AF4">
        <w:rPr>
          <w:rFonts w:ascii="Arial" w:hAnsi="Arial" w:cs="Arial"/>
          <w:bCs/>
        </w:rPr>
        <w:t>’</w:t>
      </w:r>
      <w:r w:rsidRPr="00A32AF4">
        <w:rPr>
          <w:rFonts w:ascii="Arial" w:hAnsi="Arial" w:cs="Arial"/>
          <w:bCs/>
        </w:rPr>
        <w:t xml:space="preserve">Organisation mondiale de la Santé (OMS), la Conférence des </w:t>
      </w:r>
      <w:r w:rsidR="00E2055A" w:rsidRPr="00A32AF4">
        <w:rPr>
          <w:rFonts w:ascii="Arial" w:hAnsi="Arial" w:cs="Arial"/>
          <w:bCs/>
        </w:rPr>
        <w:t>Nations Unies</w:t>
      </w:r>
      <w:r w:rsidRPr="00A32AF4">
        <w:rPr>
          <w:rFonts w:ascii="Arial" w:hAnsi="Arial" w:cs="Arial"/>
          <w:bCs/>
        </w:rPr>
        <w:t xml:space="preserve"> sur le commerce et le développement (CNUCED), le Programme des </w:t>
      </w:r>
      <w:r w:rsidR="00E2055A" w:rsidRPr="00A32AF4">
        <w:rPr>
          <w:rFonts w:ascii="Arial" w:hAnsi="Arial" w:cs="Arial"/>
          <w:bCs/>
        </w:rPr>
        <w:t>Nations Unies</w:t>
      </w:r>
      <w:r w:rsidRPr="00A32AF4">
        <w:rPr>
          <w:rFonts w:ascii="Arial" w:hAnsi="Arial" w:cs="Arial"/>
          <w:bCs/>
        </w:rPr>
        <w:t xml:space="preserve"> pour l</w:t>
      </w:r>
      <w:r w:rsidR="00E2055A" w:rsidRPr="00A32AF4">
        <w:rPr>
          <w:rFonts w:ascii="Arial" w:hAnsi="Arial" w:cs="Arial"/>
          <w:bCs/>
        </w:rPr>
        <w:t>’</w:t>
      </w:r>
      <w:r w:rsidRPr="00A32AF4">
        <w:rPr>
          <w:rFonts w:ascii="Arial" w:hAnsi="Arial" w:cs="Arial"/>
          <w:bCs/>
        </w:rPr>
        <w:t>environnement (PNUE), l</w:t>
      </w:r>
      <w:r w:rsidR="00E2055A" w:rsidRPr="00A32AF4">
        <w:rPr>
          <w:rFonts w:ascii="Arial" w:hAnsi="Arial" w:cs="Arial"/>
          <w:bCs/>
        </w:rPr>
        <w:t>’</w:t>
      </w:r>
      <w:r w:rsidRPr="00A32AF4">
        <w:rPr>
          <w:rFonts w:ascii="Arial" w:hAnsi="Arial" w:cs="Arial"/>
          <w:bCs/>
        </w:rPr>
        <w:t xml:space="preserve">Organisation des </w:t>
      </w:r>
      <w:r w:rsidR="00E2055A" w:rsidRPr="00A32AF4">
        <w:rPr>
          <w:rFonts w:ascii="Arial" w:hAnsi="Arial" w:cs="Arial"/>
          <w:bCs/>
        </w:rPr>
        <w:t>Nations Unies</w:t>
      </w:r>
      <w:r w:rsidRPr="00A32AF4">
        <w:rPr>
          <w:rFonts w:ascii="Arial" w:hAnsi="Arial" w:cs="Arial"/>
          <w:bCs/>
        </w:rPr>
        <w:t xml:space="preserve"> pour le développement industriel (ONUDI), l</w:t>
      </w:r>
      <w:r w:rsidR="00E2055A" w:rsidRPr="00A32AF4">
        <w:rPr>
          <w:rFonts w:ascii="Arial" w:hAnsi="Arial" w:cs="Arial"/>
          <w:bCs/>
        </w:rPr>
        <w:t>’</w:t>
      </w:r>
      <w:r w:rsidRPr="00A32AF4">
        <w:rPr>
          <w:rFonts w:ascii="Arial" w:hAnsi="Arial" w:cs="Arial"/>
          <w:bCs/>
        </w:rPr>
        <w:t xml:space="preserve">Organisation des </w:t>
      </w:r>
      <w:r w:rsidR="00E2055A" w:rsidRPr="00A32AF4">
        <w:rPr>
          <w:rFonts w:ascii="Arial" w:hAnsi="Arial" w:cs="Arial"/>
          <w:bCs/>
        </w:rPr>
        <w:t>Nations Unies</w:t>
      </w:r>
      <w:r w:rsidRPr="00A32AF4">
        <w:rPr>
          <w:rFonts w:ascii="Arial" w:hAnsi="Arial" w:cs="Arial"/>
          <w:bCs/>
        </w:rPr>
        <w:t xml:space="preserve"> pour l</w:t>
      </w:r>
      <w:r w:rsidR="00E2055A" w:rsidRPr="00A32AF4">
        <w:rPr>
          <w:rFonts w:ascii="Arial" w:hAnsi="Arial" w:cs="Arial"/>
          <w:bCs/>
        </w:rPr>
        <w:t>’</w:t>
      </w:r>
      <w:r w:rsidRPr="00A32AF4">
        <w:rPr>
          <w:rFonts w:ascii="Arial" w:hAnsi="Arial" w:cs="Arial"/>
          <w:bCs/>
        </w:rPr>
        <w:t>éducation, la science et la culture (UNESCO), l</w:t>
      </w:r>
      <w:r w:rsidR="00E2055A" w:rsidRPr="00A32AF4">
        <w:rPr>
          <w:rFonts w:ascii="Arial" w:hAnsi="Arial" w:cs="Arial"/>
          <w:bCs/>
        </w:rPr>
        <w:t>’</w:t>
      </w:r>
      <w:r w:rsidRPr="00A32AF4">
        <w:rPr>
          <w:rFonts w:ascii="Arial" w:hAnsi="Arial" w:cs="Arial"/>
          <w:bCs/>
        </w:rPr>
        <w:t>Union internationale des télécommunications (UIT), la CCNUCC, le Département des affaires économiques et sociales (DAES) de l</w:t>
      </w:r>
      <w:r w:rsidR="00E2055A" w:rsidRPr="00A32AF4">
        <w:rPr>
          <w:rFonts w:ascii="Arial" w:hAnsi="Arial" w:cs="Arial"/>
          <w:bCs/>
        </w:rPr>
        <w:t>’</w:t>
      </w:r>
      <w:r w:rsidRPr="00A32AF4">
        <w:rPr>
          <w:rFonts w:ascii="Arial" w:hAnsi="Arial" w:cs="Arial"/>
          <w:bCs/>
        </w:rPr>
        <w:t>ONU, ainsi qu</w:t>
      </w:r>
      <w:r w:rsidR="00E2055A" w:rsidRPr="00A32AF4">
        <w:rPr>
          <w:rFonts w:ascii="Arial" w:hAnsi="Arial" w:cs="Arial"/>
          <w:bCs/>
        </w:rPr>
        <w:t>’</w:t>
      </w:r>
      <w:r w:rsidRPr="00A32AF4">
        <w:rPr>
          <w:rFonts w:ascii="Arial" w:hAnsi="Arial" w:cs="Arial"/>
          <w:bCs/>
        </w:rPr>
        <w:t>avec les Commissions écon</w:t>
      </w:r>
      <w:r w:rsidR="00563E68" w:rsidRPr="00A32AF4">
        <w:rPr>
          <w:rFonts w:ascii="Arial" w:hAnsi="Arial" w:cs="Arial"/>
          <w:bCs/>
        </w:rPr>
        <w:t xml:space="preserve">omiques des </w:t>
      </w:r>
      <w:r w:rsidR="00E2055A" w:rsidRPr="00A32AF4">
        <w:rPr>
          <w:rFonts w:ascii="Arial" w:hAnsi="Arial" w:cs="Arial"/>
          <w:bCs/>
        </w:rPr>
        <w:t>Nations Unies</w:t>
      </w:r>
      <w:r w:rsidR="00563E68" w:rsidRPr="00A32AF4">
        <w:rPr>
          <w:rFonts w:ascii="Arial" w:hAnsi="Arial" w:cs="Arial"/>
          <w:bCs/>
        </w:rPr>
        <w:t>.</w:t>
      </w:r>
      <w:proofErr w:type="gramEnd"/>
      <w:r w:rsidR="00563E68" w:rsidRPr="00A32AF4">
        <w:rPr>
          <w:rFonts w:ascii="Arial" w:hAnsi="Arial" w:cs="Arial"/>
          <w:bCs/>
        </w:rPr>
        <w:t xml:space="preserve">  Le p</w:t>
      </w:r>
      <w:r w:rsidRPr="00A32AF4">
        <w:rPr>
          <w:rFonts w:ascii="Arial" w:hAnsi="Arial" w:cs="Arial"/>
          <w:bCs/>
        </w:rPr>
        <w:t>rogramme 20 portera également un regard nouveau sur les possibilités pour l</w:t>
      </w:r>
      <w:r w:rsidR="00E2055A" w:rsidRPr="00A32AF4">
        <w:rPr>
          <w:rFonts w:ascii="Arial" w:hAnsi="Arial" w:cs="Arial"/>
          <w:bCs/>
        </w:rPr>
        <w:t>’</w:t>
      </w:r>
      <w:r w:rsidRPr="00A32AF4">
        <w:rPr>
          <w:rFonts w:ascii="Arial" w:hAnsi="Arial" w:cs="Arial"/>
          <w:bCs/>
        </w:rPr>
        <w:t>OMPI de travailler avec l</w:t>
      </w:r>
      <w:r w:rsidR="00E2055A" w:rsidRPr="00A32AF4">
        <w:rPr>
          <w:rFonts w:ascii="Arial" w:hAnsi="Arial" w:cs="Arial"/>
          <w:bCs/>
        </w:rPr>
        <w:t>’</w:t>
      </w:r>
      <w:r w:rsidRPr="00A32AF4">
        <w:rPr>
          <w:rFonts w:ascii="Arial" w:hAnsi="Arial" w:cs="Arial"/>
          <w:bCs/>
        </w:rPr>
        <w:t>ensemble des parties prenantes (les organisations intergouvernementales, les ONG et le secteur privé) à l</w:t>
      </w:r>
      <w:r w:rsidR="00E2055A" w:rsidRPr="00A32AF4">
        <w:rPr>
          <w:rFonts w:ascii="Arial" w:hAnsi="Arial" w:cs="Arial"/>
          <w:bCs/>
        </w:rPr>
        <w:t>’</w:t>
      </w:r>
      <w:r w:rsidRPr="00A32AF4">
        <w:rPr>
          <w:rFonts w:ascii="Arial" w:hAnsi="Arial" w:cs="Arial"/>
          <w:bCs/>
        </w:rPr>
        <w:t>échelle mondiale, régionale et nationale afin d</w:t>
      </w:r>
      <w:r w:rsidR="00E2055A" w:rsidRPr="00A32AF4">
        <w:rPr>
          <w:rFonts w:ascii="Arial" w:hAnsi="Arial" w:cs="Arial"/>
          <w:bCs/>
        </w:rPr>
        <w:t>’</w:t>
      </w:r>
      <w:r w:rsidRPr="00A32AF4">
        <w:rPr>
          <w:rFonts w:ascii="Arial" w:hAnsi="Arial" w:cs="Arial"/>
          <w:bCs/>
        </w:rPr>
        <w:t>assurer une meilleure coordination et une plus grande cohérence en matière d</w:t>
      </w:r>
      <w:r w:rsidR="00E2055A" w:rsidRPr="00A32AF4">
        <w:rPr>
          <w:rFonts w:ascii="Arial" w:hAnsi="Arial" w:cs="Arial"/>
          <w:bCs/>
        </w:rPr>
        <w:t>’</w:t>
      </w:r>
      <w:r w:rsidRPr="00A32AF4">
        <w:rPr>
          <w:rFonts w:ascii="Arial" w:hAnsi="Arial" w:cs="Arial"/>
          <w:bCs/>
        </w:rPr>
        <w:t>assistance technique spécialisée fournie par l</w:t>
      </w:r>
      <w:r w:rsidR="00E2055A" w:rsidRPr="00A32AF4">
        <w:rPr>
          <w:rFonts w:ascii="Arial" w:hAnsi="Arial" w:cs="Arial"/>
          <w:bCs/>
        </w:rPr>
        <w:t>’</w:t>
      </w:r>
      <w:r w:rsidRPr="00A32AF4">
        <w:rPr>
          <w:rFonts w:ascii="Arial" w:hAnsi="Arial" w:cs="Arial"/>
          <w:bCs/>
        </w:rPr>
        <w:t>OMPI.  Ce processus, qui doit se dérouler de façon stratégique et ciblée, doit s</w:t>
      </w:r>
      <w:r w:rsidR="00E2055A" w:rsidRPr="00A32AF4">
        <w:rPr>
          <w:rFonts w:ascii="Arial" w:hAnsi="Arial" w:cs="Arial"/>
          <w:bCs/>
        </w:rPr>
        <w:t>’</w:t>
      </w:r>
      <w:r w:rsidRPr="00A32AF4">
        <w:rPr>
          <w:rFonts w:ascii="Arial" w:hAnsi="Arial" w:cs="Arial"/>
          <w:bCs/>
        </w:rPr>
        <w:t>acquitter du mandat de l</w:t>
      </w:r>
      <w:r w:rsidR="00E2055A" w:rsidRPr="00A32AF4">
        <w:rPr>
          <w:rFonts w:ascii="Arial" w:hAnsi="Arial" w:cs="Arial"/>
          <w:bCs/>
        </w:rPr>
        <w:t>’</w:t>
      </w:r>
      <w:r w:rsidRPr="00A32AF4">
        <w:rPr>
          <w:rFonts w:ascii="Arial" w:hAnsi="Arial" w:cs="Arial"/>
          <w:bCs/>
        </w:rPr>
        <w:t>OMPI ainsi que de la mise en œuvre des recommandations pertinentes du Plan d</w:t>
      </w:r>
      <w:r w:rsidR="00E2055A" w:rsidRPr="00A32AF4">
        <w:rPr>
          <w:rFonts w:ascii="Arial" w:hAnsi="Arial" w:cs="Arial"/>
          <w:bCs/>
        </w:rPr>
        <w:t>’</w:t>
      </w:r>
      <w:r w:rsidRPr="00A32AF4">
        <w:rPr>
          <w:rFonts w:ascii="Arial" w:hAnsi="Arial" w:cs="Arial"/>
          <w:bCs/>
        </w:rPr>
        <w:t>action pour le développement (recommandations n</w:t>
      </w:r>
      <w:r w:rsidRPr="00A32AF4">
        <w:rPr>
          <w:rFonts w:ascii="Arial" w:hAnsi="Arial" w:cs="Arial"/>
          <w:bCs/>
          <w:vertAlign w:val="superscript"/>
        </w:rPr>
        <w:t>os</w:t>
      </w:r>
      <w:r w:rsidRPr="00A32AF4">
        <w:rPr>
          <w:rFonts w:ascii="Arial" w:hAnsi="Arial" w:cs="Arial"/>
          <w:bCs/>
        </w:rPr>
        <w:t> 2, 9, 22, 30, 40 et 42).</w:t>
      </w:r>
    </w:p>
    <w:p w:rsidR="00877B63" w:rsidRPr="00A32AF4" w:rsidRDefault="00877B63" w:rsidP="00DC0553">
      <w:pPr>
        <w:pStyle w:val="ListParagraph"/>
        <w:ind w:left="0"/>
        <w:jc w:val="both"/>
        <w:rPr>
          <w:rFonts w:ascii="Arial" w:hAnsi="Arial" w:cs="Arial"/>
          <w:bCs/>
        </w:rPr>
      </w:pPr>
    </w:p>
    <w:p w:rsidR="00877B63" w:rsidRPr="00A32AF4" w:rsidRDefault="00877B63" w:rsidP="00DC0553">
      <w:pPr>
        <w:pStyle w:val="ListParagraph"/>
        <w:numPr>
          <w:ilvl w:val="0"/>
          <w:numId w:val="61"/>
        </w:numPr>
        <w:spacing w:after="0" w:line="240" w:lineRule="auto"/>
        <w:jc w:val="both"/>
        <w:rPr>
          <w:rFonts w:ascii="Arial" w:hAnsi="Arial" w:cs="Arial"/>
          <w:bCs/>
        </w:rPr>
      </w:pPr>
      <w:r w:rsidRPr="00A32AF4">
        <w:rPr>
          <w:rFonts w:ascii="Arial" w:hAnsi="Arial" w:cs="Arial"/>
          <w:bCs/>
        </w:rPr>
        <w:t>L</w:t>
      </w:r>
      <w:r w:rsidR="00E2055A" w:rsidRPr="00A32AF4">
        <w:rPr>
          <w:rFonts w:ascii="Arial" w:hAnsi="Arial" w:cs="Arial"/>
          <w:bCs/>
        </w:rPr>
        <w:t>’</w:t>
      </w:r>
      <w:r w:rsidRPr="00A32AF4">
        <w:rPr>
          <w:rFonts w:ascii="Arial" w:hAnsi="Arial" w:cs="Arial"/>
          <w:bCs/>
        </w:rPr>
        <w:t>OMPI cherche également à nouer des engagements stratégiques et efficaces auprès d</w:t>
      </w:r>
      <w:r w:rsidR="00E2055A" w:rsidRPr="00A32AF4">
        <w:rPr>
          <w:rFonts w:ascii="Arial" w:hAnsi="Arial" w:cs="Arial"/>
          <w:bCs/>
        </w:rPr>
        <w:t>’</w:t>
      </w:r>
      <w:r w:rsidRPr="00A32AF4">
        <w:rPr>
          <w:rFonts w:ascii="Arial" w:hAnsi="Arial" w:cs="Arial"/>
          <w:bCs/>
        </w:rPr>
        <w:t>un grand nombre d</w:t>
      </w:r>
      <w:r w:rsidR="00E2055A" w:rsidRPr="00A32AF4">
        <w:rPr>
          <w:rFonts w:ascii="Arial" w:hAnsi="Arial" w:cs="Arial"/>
          <w:bCs/>
        </w:rPr>
        <w:t>’</w:t>
      </w:r>
      <w:r w:rsidRPr="00A32AF4">
        <w:rPr>
          <w:rFonts w:ascii="Arial" w:hAnsi="Arial" w:cs="Arial"/>
          <w:bCs/>
        </w:rPr>
        <w:t>acteurs non gouvernementaux, notamment les organisations non gouvernementales (ONG), les entreprises privées et la société civile dans son ensemble, dont les compétences techniques variées et les idées contribuent à atteindre cet objectif.  L</w:t>
      </w:r>
      <w:r w:rsidR="00E2055A" w:rsidRPr="00A32AF4">
        <w:rPr>
          <w:rFonts w:ascii="Arial" w:hAnsi="Arial" w:cs="Arial"/>
          <w:bCs/>
        </w:rPr>
        <w:t>’</w:t>
      </w:r>
      <w:r w:rsidRPr="00A32AF4">
        <w:rPr>
          <w:rFonts w:ascii="Arial" w:hAnsi="Arial" w:cs="Arial"/>
          <w:bCs/>
        </w:rPr>
        <w:t>OMPI bénéficie de la forte participation d</w:t>
      </w:r>
      <w:r w:rsidR="00E2055A" w:rsidRPr="00A32AF4">
        <w:rPr>
          <w:rFonts w:ascii="Arial" w:hAnsi="Arial" w:cs="Arial"/>
          <w:bCs/>
        </w:rPr>
        <w:t>’</w:t>
      </w:r>
      <w:r w:rsidRPr="00A32AF4">
        <w:rPr>
          <w:rFonts w:ascii="Arial" w:hAnsi="Arial" w:cs="Arial"/>
          <w:bCs/>
        </w:rPr>
        <w:t>un large éventail d</w:t>
      </w:r>
      <w:r w:rsidR="00E2055A" w:rsidRPr="00A32AF4">
        <w:rPr>
          <w:rFonts w:ascii="Arial" w:hAnsi="Arial" w:cs="Arial"/>
          <w:bCs/>
        </w:rPr>
        <w:t>’</w:t>
      </w:r>
      <w:r w:rsidRPr="00A32AF4">
        <w:rPr>
          <w:rFonts w:ascii="Arial" w:hAnsi="Arial" w:cs="Arial"/>
          <w:bCs/>
        </w:rPr>
        <w:t>organisations non gouvernementales internationales et nationales, qui sont accréditées en qualité d</w:t>
      </w:r>
      <w:r w:rsidR="00E2055A" w:rsidRPr="00A32AF4">
        <w:rPr>
          <w:rFonts w:ascii="Arial" w:hAnsi="Arial" w:cs="Arial"/>
          <w:bCs/>
        </w:rPr>
        <w:t>’</w:t>
      </w:r>
      <w:r w:rsidRPr="00A32AF4">
        <w:rPr>
          <w:rFonts w:ascii="Arial" w:hAnsi="Arial" w:cs="Arial"/>
          <w:bCs/>
        </w:rPr>
        <w:t>observateurs aux réunions de l</w:t>
      </w:r>
      <w:r w:rsidR="00E2055A" w:rsidRPr="00A32AF4">
        <w:rPr>
          <w:rFonts w:ascii="Arial" w:hAnsi="Arial" w:cs="Arial"/>
          <w:bCs/>
        </w:rPr>
        <w:t>’</w:t>
      </w:r>
      <w:r w:rsidRPr="00A32AF4">
        <w:rPr>
          <w:rFonts w:ascii="Arial" w:hAnsi="Arial" w:cs="Arial"/>
          <w:bCs/>
        </w:rPr>
        <w:t>OMPI et qui contribuent, avec leurs partenaires respectifs, aux programmes et aux activités de l</w:t>
      </w:r>
      <w:r w:rsidR="00E2055A" w:rsidRPr="00A32AF4">
        <w:rPr>
          <w:rFonts w:ascii="Arial" w:hAnsi="Arial" w:cs="Arial"/>
          <w:bCs/>
        </w:rPr>
        <w:t>’</w:t>
      </w:r>
      <w:r w:rsidRPr="00A32AF4">
        <w:rPr>
          <w:rFonts w:ascii="Arial" w:hAnsi="Arial" w:cs="Arial"/>
          <w:bCs/>
        </w:rPr>
        <w:t>OMPI.  Les représentants du secteur privé directement engagés dans la création et l</w:t>
      </w:r>
      <w:r w:rsidR="00E2055A" w:rsidRPr="00A32AF4">
        <w:rPr>
          <w:rFonts w:ascii="Arial" w:hAnsi="Arial" w:cs="Arial"/>
          <w:bCs/>
        </w:rPr>
        <w:t>’</w:t>
      </w:r>
      <w:r w:rsidRPr="00A32AF4">
        <w:rPr>
          <w:rFonts w:ascii="Arial" w:hAnsi="Arial" w:cs="Arial"/>
          <w:bCs/>
        </w:rPr>
        <w:t>utilisation des œuvres innovantes et créatives peuvent aussi apporter une contribution unique et précieuse aux travaux de l</w:t>
      </w:r>
      <w:r w:rsidR="00E2055A" w:rsidRPr="00A32AF4">
        <w:rPr>
          <w:rFonts w:ascii="Arial" w:hAnsi="Arial" w:cs="Arial"/>
          <w:bCs/>
        </w:rPr>
        <w:t>’</w:t>
      </w:r>
      <w:r w:rsidRPr="00A32AF4">
        <w:rPr>
          <w:rFonts w:ascii="Arial" w:hAnsi="Arial" w:cs="Arial"/>
          <w:bCs/>
        </w:rPr>
        <w:t>OMPI grâce à leur expérience directe de l</w:t>
      </w:r>
      <w:r w:rsidR="00E2055A" w:rsidRPr="00A32AF4">
        <w:rPr>
          <w:rFonts w:ascii="Arial" w:hAnsi="Arial" w:cs="Arial"/>
          <w:bCs/>
        </w:rPr>
        <w:t>’</w:t>
      </w:r>
      <w:r w:rsidRPr="00A32AF4">
        <w:rPr>
          <w:rFonts w:ascii="Arial" w:hAnsi="Arial" w:cs="Arial"/>
          <w:bCs/>
        </w:rPr>
        <w:t>utilisation de la propriété intellectuelle aux fins de croissance et de développement économique.</w:t>
      </w:r>
      <w:r w:rsidRPr="00A32AF4">
        <w:rPr>
          <w:rFonts w:ascii="Arial" w:hAnsi="Arial" w:cs="Arial"/>
        </w:rPr>
        <w:t xml:space="preserve"> </w:t>
      </w:r>
      <w:r w:rsidRPr="00A32AF4">
        <w:rPr>
          <w:rFonts w:ascii="Arial" w:hAnsi="Arial" w:cs="Arial"/>
          <w:bCs/>
        </w:rPr>
        <w:t xml:space="preserve"> L</w:t>
      </w:r>
      <w:r w:rsidR="00E2055A" w:rsidRPr="00A32AF4">
        <w:rPr>
          <w:rFonts w:ascii="Arial" w:hAnsi="Arial" w:cs="Arial"/>
          <w:bCs/>
        </w:rPr>
        <w:t>’</w:t>
      </w:r>
      <w:r w:rsidRPr="00A32AF4">
        <w:rPr>
          <w:rFonts w:ascii="Arial" w:hAnsi="Arial" w:cs="Arial"/>
          <w:bCs/>
        </w:rPr>
        <w:t>assurance d</w:t>
      </w:r>
      <w:r w:rsidR="00E2055A" w:rsidRPr="00A32AF4">
        <w:rPr>
          <w:rFonts w:ascii="Arial" w:hAnsi="Arial" w:cs="Arial"/>
          <w:bCs/>
        </w:rPr>
        <w:t>’</w:t>
      </w:r>
      <w:r w:rsidRPr="00A32AF4">
        <w:rPr>
          <w:rFonts w:ascii="Arial" w:hAnsi="Arial" w:cs="Arial"/>
          <w:bCs/>
        </w:rPr>
        <w:t>un engagement plus stratégique et efficace auprès de tous ces acteurs non gouvernementaux sera l</w:t>
      </w:r>
      <w:r w:rsidR="00E2055A" w:rsidRPr="00A32AF4">
        <w:rPr>
          <w:rFonts w:ascii="Arial" w:hAnsi="Arial" w:cs="Arial"/>
          <w:bCs/>
        </w:rPr>
        <w:t>’</w:t>
      </w:r>
      <w:r w:rsidRPr="00A32AF4">
        <w:rPr>
          <w:rFonts w:ascii="Arial" w:hAnsi="Arial" w:cs="Arial"/>
          <w:bCs/>
        </w:rPr>
        <w:t>une des pierres angulaires d</w:t>
      </w:r>
      <w:r w:rsidR="00E2055A" w:rsidRPr="00A32AF4">
        <w:rPr>
          <w:rFonts w:ascii="Arial" w:hAnsi="Arial" w:cs="Arial"/>
          <w:bCs/>
        </w:rPr>
        <w:t>’</w:t>
      </w:r>
      <w:r w:rsidRPr="00A32AF4">
        <w:rPr>
          <w:rFonts w:ascii="Arial" w:hAnsi="Arial" w:cs="Arial"/>
          <w:bCs/>
        </w:rPr>
        <w:t>un dialogue politique réellement à même de contribuer à l</w:t>
      </w:r>
      <w:r w:rsidR="00E2055A" w:rsidRPr="00A32AF4">
        <w:rPr>
          <w:rFonts w:ascii="Arial" w:hAnsi="Arial" w:cs="Arial"/>
          <w:bCs/>
        </w:rPr>
        <w:t>’</w:t>
      </w:r>
      <w:r w:rsidRPr="00A32AF4">
        <w:rPr>
          <w:rFonts w:ascii="Arial" w:hAnsi="Arial" w:cs="Arial"/>
          <w:bCs/>
        </w:rPr>
        <w:t>utilisation de la propriété intellectuelle comme outil de développement par le biais d</w:t>
      </w:r>
      <w:r w:rsidR="00E2055A" w:rsidRPr="00A32AF4">
        <w:rPr>
          <w:rFonts w:ascii="Arial" w:hAnsi="Arial" w:cs="Arial"/>
          <w:bCs/>
        </w:rPr>
        <w:t>’</w:t>
      </w:r>
      <w:r w:rsidRPr="00A32AF4">
        <w:rPr>
          <w:rFonts w:ascii="Arial" w:hAnsi="Arial" w:cs="Arial"/>
          <w:bCs/>
        </w:rPr>
        <w:t>une coopération multipartite et internationale.</w:t>
      </w:r>
    </w:p>
    <w:p w:rsidR="005D6438" w:rsidRPr="00A32AF4" w:rsidRDefault="005D6438">
      <w:r w:rsidRPr="00A32AF4">
        <w:br w:type="page"/>
      </w:r>
    </w:p>
    <w:p w:rsidR="00877B63" w:rsidRPr="00A32AF4" w:rsidRDefault="00877B63" w:rsidP="00DC0553">
      <w:r w:rsidRPr="00A32AF4">
        <w:t>STRATÉGIES DE MISE EN ŒUVRE</w:t>
      </w:r>
    </w:p>
    <w:p w:rsidR="00877B63" w:rsidRPr="00A32AF4" w:rsidRDefault="00877B63" w:rsidP="00DC0553"/>
    <w:p w:rsidR="00877B63" w:rsidRPr="00A32AF4" w:rsidRDefault="00877B63" w:rsidP="00DC0553">
      <w:pPr>
        <w:numPr>
          <w:ilvl w:val="0"/>
          <w:numId w:val="61"/>
        </w:numPr>
        <w:jc w:val="both"/>
        <w:rPr>
          <w:rFonts w:cs="Arial"/>
          <w:bCs/>
        </w:rPr>
      </w:pPr>
      <w:r w:rsidRPr="00A32AF4">
        <w:rPr>
          <w:rFonts w:cs="Arial"/>
          <w:bCs/>
        </w:rPr>
        <w:t>Le programme 20 a pour mission principale d</w:t>
      </w:r>
      <w:r w:rsidR="00E2055A" w:rsidRPr="00A32AF4">
        <w:rPr>
          <w:rFonts w:cs="Arial"/>
          <w:bCs/>
        </w:rPr>
        <w:t>’</w:t>
      </w:r>
      <w:r w:rsidRPr="00A32AF4">
        <w:rPr>
          <w:rFonts w:cs="Arial"/>
          <w:bCs/>
        </w:rPr>
        <w:t>assurer les activités de coordination, d</w:t>
      </w:r>
      <w:r w:rsidR="00E2055A" w:rsidRPr="00A32AF4">
        <w:rPr>
          <w:rFonts w:cs="Arial"/>
          <w:bCs/>
        </w:rPr>
        <w:t>’</w:t>
      </w:r>
      <w:r w:rsidRPr="00A32AF4">
        <w:rPr>
          <w:rFonts w:cs="Arial"/>
          <w:bCs/>
        </w:rPr>
        <w:t>engagement, de suivi et de présentation de rapports afin de veiller à ce que les contributions de l</w:t>
      </w:r>
      <w:r w:rsidR="00E2055A" w:rsidRPr="00A32AF4">
        <w:rPr>
          <w:rFonts w:cs="Arial"/>
          <w:bCs/>
        </w:rPr>
        <w:t>’</w:t>
      </w:r>
      <w:r w:rsidRPr="00A32AF4">
        <w:rPr>
          <w:rFonts w:cs="Arial"/>
          <w:bCs/>
        </w:rPr>
        <w:t>OMPI à ces processus soient pertinentes au regard du mandat de l</w:t>
      </w:r>
      <w:r w:rsidR="00E2055A" w:rsidRPr="00A32AF4">
        <w:rPr>
          <w:rFonts w:cs="Arial"/>
          <w:bCs/>
        </w:rPr>
        <w:t>’</w:t>
      </w:r>
      <w:r w:rsidRPr="00A32AF4">
        <w:rPr>
          <w:rFonts w:cs="Arial"/>
          <w:bCs/>
        </w:rPr>
        <w:t>Organisation et axées sur les domaines pour lesquels nos compétences spécialisées sont le plus à même d</w:t>
      </w:r>
      <w:r w:rsidR="00E2055A" w:rsidRPr="00A32AF4">
        <w:rPr>
          <w:rFonts w:cs="Arial"/>
          <w:bCs/>
        </w:rPr>
        <w:t>’</w:t>
      </w:r>
      <w:r w:rsidRPr="00A32AF4">
        <w:rPr>
          <w:rFonts w:cs="Arial"/>
          <w:bCs/>
        </w:rPr>
        <w:t>apporter une valeur ajoutée.  Les stratégies de mise en œuvre de l</w:t>
      </w:r>
      <w:r w:rsidR="00E2055A" w:rsidRPr="00A32AF4">
        <w:rPr>
          <w:rFonts w:cs="Arial"/>
          <w:bCs/>
        </w:rPr>
        <w:t>’</w:t>
      </w:r>
      <w:r w:rsidRPr="00A32AF4">
        <w:rPr>
          <w:rFonts w:cs="Arial"/>
          <w:bCs/>
        </w:rPr>
        <w:t>exercice biennal 2016</w:t>
      </w:r>
      <w:r w:rsidR="00EB7F54" w:rsidRPr="00A32AF4">
        <w:rPr>
          <w:rFonts w:cs="Arial"/>
          <w:bCs/>
        </w:rPr>
        <w:noBreakHyphen/>
      </w:r>
      <w:r w:rsidRPr="00A32AF4">
        <w:rPr>
          <w:rFonts w:cs="Arial"/>
          <w:bCs/>
        </w:rPr>
        <w:t>2017 visent à traiter ces questions et, en outre, l</w:t>
      </w:r>
      <w:r w:rsidR="00E2055A" w:rsidRPr="00A32AF4">
        <w:rPr>
          <w:rFonts w:cs="Arial"/>
          <w:bCs/>
        </w:rPr>
        <w:t>’</w:t>
      </w:r>
      <w:r w:rsidRPr="00A32AF4">
        <w:rPr>
          <w:rFonts w:cs="Arial"/>
          <w:bCs/>
        </w:rPr>
        <w:t>accent sera davantage mis sur les façons dont l</w:t>
      </w:r>
      <w:r w:rsidR="00E2055A" w:rsidRPr="00A32AF4">
        <w:rPr>
          <w:rFonts w:cs="Arial"/>
          <w:bCs/>
        </w:rPr>
        <w:t>’</w:t>
      </w:r>
      <w:r w:rsidRPr="00A32AF4">
        <w:rPr>
          <w:rFonts w:cs="Arial"/>
          <w:bCs/>
        </w:rPr>
        <w:t>OMPI pourra soutenir au mieux la mise en œuvre du Programme de développement pour l</w:t>
      </w:r>
      <w:r w:rsidR="00E2055A" w:rsidRPr="00A32AF4">
        <w:rPr>
          <w:rFonts w:cs="Arial"/>
          <w:bCs/>
        </w:rPr>
        <w:t>’</w:t>
      </w:r>
      <w:r w:rsidRPr="00A32AF4">
        <w:rPr>
          <w:rFonts w:cs="Arial"/>
          <w:bCs/>
        </w:rPr>
        <w:t>après</w:t>
      </w:r>
      <w:r w:rsidR="00EB7F54" w:rsidRPr="00A32AF4">
        <w:rPr>
          <w:rFonts w:cs="Arial"/>
          <w:bCs/>
        </w:rPr>
        <w:noBreakHyphen/>
      </w:r>
      <w:r w:rsidRPr="00A32AF4">
        <w:rPr>
          <w:rFonts w:cs="Arial"/>
          <w:bCs/>
        </w:rPr>
        <w:t>2015.  Ces stratégies comprendront :</w:t>
      </w:r>
    </w:p>
    <w:p w:rsidR="00877B63" w:rsidRPr="00A32AF4" w:rsidRDefault="00877B63" w:rsidP="00DC0553">
      <w:pPr>
        <w:tabs>
          <w:tab w:val="num" w:pos="709"/>
        </w:tabs>
        <w:jc w:val="both"/>
        <w:rPr>
          <w:rFonts w:cs="Arial"/>
          <w:bCs/>
        </w:rPr>
      </w:pPr>
    </w:p>
    <w:p w:rsidR="00877B63" w:rsidRPr="00A32AF4" w:rsidRDefault="00877B63" w:rsidP="005D6438">
      <w:pPr>
        <w:numPr>
          <w:ilvl w:val="0"/>
          <w:numId w:val="62"/>
        </w:numPr>
        <w:tabs>
          <w:tab w:val="clear" w:pos="1174"/>
          <w:tab w:val="num" w:pos="1134"/>
        </w:tabs>
        <w:ind w:left="1134" w:hanging="567"/>
        <w:contextualSpacing/>
        <w:jc w:val="both"/>
        <w:rPr>
          <w:rFonts w:cs="Arial"/>
          <w:bCs/>
        </w:rPr>
      </w:pPr>
      <w:r w:rsidRPr="00A32AF4">
        <w:rPr>
          <w:rFonts w:cs="Arial"/>
          <w:bCs/>
        </w:rPr>
        <w:t>poursuivre le renforcement des partenariats existants et établir de nouveaux partenariats multipartites novateurs, ainsi que des alliances et des coalitions autour d</w:t>
      </w:r>
      <w:r w:rsidR="00E2055A" w:rsidRPr="00A32AF4">
        <w:rPr>
          <w:rFonts w:cs="Arial"/>
          <w:bCs/>
        </w:rPr>
        <w:t>’</w:t>
      </w:r>
      <w:r w:rsidRPr="00A32AF4">
        <w:rPr>
          <w:rFonts w:cs="Arial"/>
          <w:bCs/>
        </w:rPr>
        <w:t>enjeux spécifiques et visant à soutenir le développement durable et la mise en œuvre du Programme de développement pour l</w:t>
      </w:r>
      <w:r w:rsidR="00E2055A" w:rsidRPr="00A32AF4">
        <w:rPr>
          <w:rFonts w:cs="Arial"/>
          <w:bCs/>
        </w:rPr>
        <w:t>’</w:t>
      </w:r>
      <w:r w:rsidRPr="00A32AF4">
        <w:rPr>
          <w:rFonts w:cs="Arial"/>
          <w:bCs/>
        </w:rPr>
        <w:t>après</w:t>
      </w:r>
      <w:r w:rsidR="00EB7F54" w:rsidRPr="00A32AF4">
        <w:rPr>
          <w:rFonts w:cs="Arial"/>
          <w:bCs/>
        </w:rPr>
        <w:noBreakHyphen/>
      </w:r>
      <w:proofErr w:type="gramStart"/>
      <w:r w:rsidRPr="00A32AF4">
        <w:rPr>
          <w:rFonts w:cs="Arial"/>
          <w:bCs/>
        </w:rPr>
        <w:t>2015;</w:t>
      </w:r>
      <w:proofErr w:type="gramEnd"/>
    </w:p>
    <w:p w:rsidR="00877B63" w:rsidRPr="00A32AF4" w:rsidRDefault="00877B63" w:rsidP="005D6438">
      <w:pPr>
        <w:tabs>
          <w:tab w:val="num" w:pos="1134"/>
        </w:tabs>
        <w:ind w:left="1134" w:hanging="567"/>
        <w:contextualSpacing/>
        <w:jc w:val="both"/>
        <w:rPr>
          <w:rFonts w:cs="Arial"/>
          <w:bCs/>
        </w:rPr>
      </w:pPr>
    </w:p>
    <w:p w:rsidR="00877B63" w:rsidRPr="00A32AF4" w:rsidRDefault="00877B63" w:rsidP="005D6438">
      <w:pPr>
        <w:numPr>
          <w:ilvl w:val="0"/>
          <w:numId w:val="62"/>
        </w:numPr>
        <w:ind w:left="1134" w:hanging="567"/>
        <w:contextualSpacing/>
        <w:jc w:val="both"/>
        <w:rPr>
          <w:rFonts w:cs="Arial"/>
          <w:bCs/>
        </w:rPr>
      </w:pPr>
      <w:r w:rsidRPr="00A32AF4">
        <w:rPr>
          <w:rFonts w:cs="Arial"/>
          <w:bCs/>
        </w:rPr>
        <w:t>agir en étroite collaboration avec d</w:t>
      </w:r>
      <w:r w:rsidR="00E2055A" w:rsidRPr="00A32AF4">
        <w:rPr>
          <w:rFonts w:cs="Arial"/>
          <w:bCs/>
        </w:rPr>
        <w:t>’</w:t>
      </w:r>
      <w:r w:rsidRPr="00A32AF4">
        <w:rPr>
          <w:rFonts w:cs="Arial"/>
          <w:bCs/>
        </w:rPr>
        <w:t>autres programmes (voir schéma ci</w:t>
      </w:r>
      <w:r w:rsidR="00EB7F54" w:rsidRPr="00A32AF4">
        <w:rPr>
          <w:rFonts w:cs="Arial"/>
          <w:bCs/>
        </w:rPr>
        <w:noBreakHyphen/>
      </w:r>
      <w:r w:rsidRPr="00A32AF4">
        <w:rPr>
          <w:rFonts w:cs="Arial"/>
          <w:bCs/>
        </w:rPr>
        <w:t>dessous) afin de renforcer l</w:t>
      </w:r>
      <w:r w:rsidR="00E2055A" w:rsidRPr="00A32AF4">
        <w:rPr>
          <w:rFonts w:cs="Arial"/>
          <w:bCs/>
        </w:rPr>
        <w:t>’</w:t>
      </w:r>
      <w:r w:rsidRPr="00A32AF4">
        <w:rPr>
          <w:rFonts w:cs="Arial"/>
          <w:bCs/>
        </w:rPr>
        <w:t>intégration des compétences de l</w:t>
      </w:r>
      <w:r w:rsidR="00E2055A" w:rsidRPr="00A32AF4">
        <w:rPr>
          <w:rFonts w:cs="Arial"/>
          <w:bCs/>
        </w:rPr>
        <w:t>’</w:t>
      </w:r>
      <w:r w:rsidRPr="00A32AF4">
        <w:rPr>
          <w:rFonts w:cs="Arial"/>
          <w:bCs/>
        </w:rPr>
        <w:t>OMPI à la coopération et la collaboration à l</w:t>
      </w:r>
      <w:r w:rsidR="00E2055A" w:rsidRPr="00A32AF4">
        <w:rPr>
          <w:rFonts w:cs="Arial"/>
          <w:bCs/>
        </w:rPr>
        <w:t>’</w:t>
      </w:r>
      <w:r w:rsidRPr="00A32AF4">
        <w:rPr>
          <w:rFonts w:cs="Arial"/>
          <w:bCs/>
        </w:rPr>
        <w:t xml:space="preserve">échelle mondiale, régionale et nationale, en travaillant de façon plus étroite avec les organisations de la famille des </w:t>
      </w:r>
      <w:r w:rsidR="00E2055A" w:rsidRPr="00A32AF4">
        <w:rPr>
          <w:rFonts w:cs="Arial"/>
          <w:bCs/>
        </w:rPr>
        <w:t>Nations Unies</w:t>
      </w:r>
      <w:r w:rsidRPr="00A32AF4">
        <w:rPr>
          <w:rFonts w:cs="Arial"/>
          <w:bCs/>
        </w:rPr>
        <w:t>, notamment les organisations économiques régionales de l</w:t>
      </w:r>
      <w:r w:rsidR="00E2055A" w:rsidRPr="00A32AF4">
        <w:rPr>
          <w:rFonts w:cs="Arial"/>
          <w:bCs/>
        </w:rPr>
        <w:t>’</w:t>
      </w:r>
      <w:r w:rsidRPr="00A32AF4">
        <w:rPr>
          <w:rFonts w:cs="Arial"/>
          <w:bCs/>
        </w:rPr>
        <w:t>ONU, les banques régionales de développement et les équipes de pays de l</w:t>
      </w:r>
      <w:r w:rsidR="00E2055A" w:rsidRPr="00A32AF4">
        <w:rPr>
          <w:rFonts w:cs="Arial"/>
          <w:bCs/>
        </w:rPr>
        <w:t>’</w:t>
      </w:r>
      <w:r w:rsidRPr="00A32AF4">
        <w:rPr>
          <w:rFonts w:cs="Arial"/>
          <w:bCs/>
        </w:rPr>
        <w:t>ONU;</w:t>
      </w:r>
    </w:p>
    <w:p w:rsidR="00877B63" w:rsidRPr="00A32AF4" w:rsidRDefault="00877B63" w:rsidP="005D6438">
      <w:pPr>
        <w:tabs>
          <w:tab w:val="num" w:pos="1134"/>
        </w:tabs>
        <w:ind w:left="1134" w:hanging="567"/>
        <w:contextualSpacing/>
        <w:jc w:val="both"/>
        <w:rPr>
          <w:rFonts w:cs="Arial"/>
          <w:bCs/>
        </w:rPr>
      </w:pPr>
    </w:p>
    <w:p w:rsidR="00877B63" w:rsidRPr="00A32AF4" w:rsidRDefault="00877B63" w:rsidP="005D6438">
      <w:pPr>
        <w:numPr>
          <w:ilvl w:val="0"/>
          <w:numId w:val="62"/>
        </w:numPr>
        <w:tabs>
          <w:tab w:val="clear" w:pos="1174"/>
          <w:tab w:val="num" w:pos="1134"/>
        </w:tabs>
        <w:ind w:left="1134" w:hanging="567"/>
        <w:contextualSpacing/>
        <w:jc w:val="both"/>
        <w:rPr>
          <w:rFonts w:cs="Arial"/>
          <w:bCs/>
        </w:rPr>
      </w:pPr>
      <w:r w:rsidRPr="00A32AF4">
        <w:rPr>
          <w:rFonts w:cs="Arial"/>
          <w:bCs/>
        </w:rPr>
        <w:t>améliorer la qualité des contributions de l</w:t>
      </w:r>
      <w:r w:rsidR="00E2055A" w:rsidRPr="00A32AF4">
        <w:rPr>
          <w:rFonts w:cs="Arial"/>
          <w:bCs/>
        </w:rPr>
        <w:t>’</w:t>
      </w:r>
      <w:r w:rsidRPr="00A32AF4">
        <w:rPr>
          <w:rFonts w:cs="Arial"/>
          <w:bCs/>
        </w:rPr>
        <w:t>OMPI aux mécanismes de surveillance, de révision et de responsabilisation du Programme de développement pour l</w:t>
      </w:r>
      <w:r w:rsidR="00E2055A" w:rsidRPr="00A32AF4">
        <w:rPr>
          <w:rFonts w:cs="Arial"/>
          <w:bCs/>
        </w:rPr>
        <w:t>’</w:t>
      </w:r>
      <w:r w:rsidRPr="00A32AF4">
        <w:rPr>
          <w:rFonts w:cs="Arial"/>
          <w:bCs/>
        </w:rPr>
        <w:t>après</w:t>
      </w:r>
      <w:r w:rsidR="00EB7F54" w:rsidRPr="00A32AF4">
        <w:rPr>
          <w:rFonts w:cs="Arial"/>
          <w:bCs/>
        </w:rPr>
        <w:noBreakHyphen/>
      </w:r>
      <w:proofErr w:type="gramStart"/>
      <w:r w:rsidRPr="00A32AF4">
        <w:rPr>
          <w:rFonts w:cs="Arial"/>
          <w:bCs/>
        </w:rPr>
        <w:t>2015;</w:t>
      </w:r>
      <w:proofErr w:type="gramEnd"/>
    </w:p>
    <w:p w:rsidR="00877B63" w:rsidRPr="00A32AF4" w:rsidRDefault="00877B63" w:rsidP="005D6438">
      <w:pPr>
        <w:tabs>
          <w:tab w:val="num" w:pos="1134"/>
        </w:tabs>
        <w:ind w:left="1134" w:hanging="567"/>
        <w:contextualSpacing/>
        <w:jc w:val="both"/>
        <w:rPr>
          <w:rFonts w:cs="Arial"/>
        </w:rPr>
      </w:pPr>
    </w:p>
    <w:p w:rsidR="00877B63" w:rsidRPr="00A32AF4" w:rsidRDefault="00877B63" w:rsidP="005D6438">
      <w:pPr>
        <w:numPr>
          <w:ilvl w:val="0"/>
          <w:numId w:val="62"/>
        </w:numPr>
        <w:ind w:left="1134" w:hanging="567"/>
        <w:contextualSpacing/>
        <w:jc w:val="both"/>
        <w:rPr>
          <w:rFonts w:cs="Arial"/>
        </w:rPr>
      </w:pPr>
      <w:r w:rsidRPr="00A32AF4">
        <w:rPr>
          <w:rFonts w:cs="Arial"/>
        </w:rPr>
        <w:t xml:space="preserve">soutenir le processus de la CCNUCC, notamment le mécanisme technologique de la CCNUCC, </w:t>
      </w:r>
      <w:r w:rsidR="00E2055A" w:rsidRPr="00A32AF4">
        <w:rPr>
          <w:rFonts w:cs="Arial"/>
        </w:rPr>
        <w:t>y compris</w:t>
      </w:r>
      <w:r w:rsidRPr="00A32AF4">
        <w:rPr>
          <w:rFonts w:cs="Arial"/>
        </w:rPr>
        <w:t xml:space="preserve"> la collaboration pratique entre WIPO GREEN et le Centre et Réseau des technologies climatiques (CRTC) de la CCNUCC.</w:t>
      </w:r>
    </w:p>
    <w:p w:rsidR="00877B63" w:rsidRPr="00A32AF4" w:rsidRDefault="00877B63" w:rsidP="005D6438">
      <w:pPr>
        <w:pStyle w:val="ListParagraph"/>
        <w:tabs>
          <w:tab w:val="num" w:pos="1134"/>
        </w:tabs>
        <w:spacing w:after="0"/>
        <w:ind w:left="1134" w:hanging="567"/>
        <w:jc w:val="both"/>
        <w:rPr>
          <w:rFonts w:ascii="Arial" w:hAnsi="Arial" w:cs="Arial"/>
        </w:rPr>
      </w:pPr>
    </w:p>
    <w:p w:rsidR="00877B63" w:rsidRPr="00A32AF4" w:rsidRDefault="00877B63" w:rsidP="005D6438">
      <w:pPr>
        <w:numPr>
          <w:ilvl w:val="0"/>
          <w:numId w:val="62"/>
        </w:numPr>
        <w:ind w:left="1134" w:hanging="567"/>
        <w:contextualSpacing/>
        <w:jc w:val="both"/>
        <w:rPr>
          <w:rFonts w:cs="Arial"/>
        </w:rPr>
      </w:pPr>
      <w:r w:rsidRPr="00A32AF4">
        <w:rPr>
          <w:rFonts w:cs="Arial"/>
        </w:rPr>
        <w:t>maintenir une participation constante aux travaux du cadre trilatéral OMPI</w:t>
      </w:r>
      <w:r w:rsidR="00EB7F54" w:rsidRPr="00A32AF4">
        <w:rPr>
          <w:rFonts w:cs="Arial"/>
        </w:rPr>
        <w:noBreakHyphen/>
      </w:r>
      <w:r w:rsidRPr="00A32AF4">
        <w:rPr>
          <w:rFonts w:cs="Arial"/>
        </w:rPr>
        <w:t>OMC</w:t>
      </w:r>
      <w:r w:rsidR="00EB7F54" w:rsidRPr="00A32AF4">
        <w:rPr>
          <w:rFonts w:cs="Arial"/>
        </w:rPr>
        <w:noBreakHyphen/>
      </w:r>
      <w:r w:rsidRPr="00A32AF4">
        <w:rPr>
          <w:rFonts w:cs="Arial"/>
        </w:rPr>
        <w:t xml:space="preserve">OMS sur la santé publique, au mécanisme de coordination mondiale sur les maladies non </w:t>
      </w:r>
      <w:proofErr w:type="gramStart"/>
      <w:r w:rsidRPr="00A32AF4">
        <w:rPr>
          <w:rFonts w:cs="Arial"/>
        </w:rPr>
        <w:t>transmissibles;</w:t>
      </w:r>
      <w:proofErr w:type="gramEnd"/>
      <w:r w:rsidRPr="00A32AF4">
        <w:rPr>
          <w:rFonts w:cs="Arial"/>
        </w:rPr>
        <w:t xml:space="preserve">  au Sommet mondial sur la société de l</w:t>
      </w:r>
      <w:r w:rsidR="00E2055A" w:rsidRPr="00A32AF4">
        <w:rPr>
          <w:rFonts w:cs="Arial"/>
        </w:rPr>
        <w:t>’</w:t>
      </w:r>
      <w:r w:rsidRPr="00A32AF4">
        <w:rPr>
          <w:rFonts w:cs="Arial"/>
        </w:rPr>
        <w:t>information (SMSI+10) et au Forum sur la gouvernance d</w:t>
      </w:r>
      <w:r w:rsidR="00E2055A" w:rsidRPr="00A32AF4">
        <w:rPr>
          <w:rFonts w:cs="Arial"/>
        </w:rPr>
        <w:t>’</w:t>
      </w:r>
      <w:r w:rsidRPr="00A32AF4">
        <w:rPr>
          <w:rFonts w:cs="Arial"/>
        </w:rPr>
        <w:t>Internet au sujet de la fracture numérique.</w:t>
      </w:r>
    </w:p>
    <w:p w:rsidR="00877B63" w:rsidRPr="00A32AF4" w:rsidRDefault="00877B63" w:rsidP="005D6438">
      <w:pPr>
        <w:pStyle w:val="ListParagraph"/>
        <w:tabs>
          <w:tab w:val="num" w:pos="1134"/>
        </w:tabs>
        <w:spacing w:after="0"/>
        <w:ind w:left="1134" w:hanging="567"/>
        <w:jc w:val="both"/>
        <w:rPr>
          <w:rFonts w:ascii="Arial" w:hAnsi="Arial" w:cs="Arial"/>
          <w:bCs/>
        </w:rPr>
      </w:pPr>
    </w:p>
    <w:p w:rsidR="00877B63" w:rsidRPr="00A32AF4" w:rsidRDefault="00877B63" w:rsidP="005D6438">
      <w:pPr>
        <w:numPr>
          <w:ilvl w:val="0"/>
          <w:numId w:val="62"/>
        </w:numPr>
        <w:ind w:left="1134" w:hanging="567"/>
        <w:contextualSpacing/>
        <w:jc w:val="both"/>
        <w:rPr>
          <w:rFonts w:cs="Arial"/>
          <w:bCs/>
        </w:rPr>
      </w:pPr>
      <w:r w:rsidRPr="00A32AF4">
        <w:rPr>
          <w:rFonts w:cs="Arial"/>
          <w:bCs/>
        </w:rPr>
        <w:t>promouvoir les connaissances spécialisées, les projets, les programmes et outils de l</w:t>
      </w:r>
      <w:r w:rsidR="00E2055A" w:rsidRPr="00A32AF4">
        <w:rPr>
          <w:rFonts w:cs="Arial"/>
          <w:bCs/>
        </w:rPr>
        <w:t>’</w:t>
      </w:r>
      <w:r w:rsidRPr="00A32AF4">
        <w:rPr>
          <w:rFonts w:cs="Arial"/>
          <w:bCs/>
        </w:rPr>
        <w:t>OMPI auprès de l</w:t>
      </w:r>
      <w:r w:rsidR="00E2055A" w:rsidRPr="00A32AF4">
        <w:rPr>
          <w:rFonts w:cs="Arial"/>
          <w:bCs/>
        </w:rPr>
        <w:t>’</w:t>
      </w:r>
      <w:r w:rsidRPr="00A32AF4">
        <w:rPr>
          <w:rFonts w:cs="Arial"/>
          <w:bCs/>
        </w:rPr>
        <w:t>ONU et d</w:t>
      </w:r>
      <w:r w:rsidR="00E2055A" w:rsidRPr="00A32AF4">
        <w:rPr>
          <w:rFonts w:cs="Arial"/>
          <w:bCs/>
        </w:rPr>
        <w:t>’</w:t>
      </w:r>
      <w:r w:rsidRPr="00A32AF4">
        <w:rPr>
          <w:rFonts w:cs="Arial"/>
          <w:bCs/>
        </w:rPr>
        <w:t>autres organisations intergouvernementales en vue d</w:t>
      </w:r>
      <w:r w:rsidR="00E2055A" w:rsidRPr="00A32AF4">
        <w:rPr>
          <w:rFonts w:cs="Arial"/>
          <w:bCs/>
        </w:rPr>
        <w:t>’</w:t>
      </w:r>
      <w:r w:rsidRPr="00A32AF4">
        <w:rPr>
          <w:rFonts w:cs="Arial"/>
          <w:bCs/>
        </w:rPr>
        <w:t>une plus grande sensibilisation, une meilleure reconnaissance et une utilisation plus étendue en ce qui concerne les services proposés par l</w:t>
      </w:r>
      <w:r w:rsidR="00E2055A" w:rsidRPr="00A32AF4">
        <w:rPr>
          <w:rFonts w:cs="Arial"/>
          <w:bCs/>
        </w:rPr>
        <w:t>’</w:t>
      </w:r>
      <w:r w:rsidRPr="00A32AF4">
        <w:rPr>
          <w:rFonts w:cs="Arial"/>
          <w:bCs/>
        </w:rPr>
        <w:t>OMPI;</w:t>
      </w:r>
    </w:p>
    <w:p w:rsidR="00877B63" w:rsidRPr="00A32AF4" w:rsidRDefault="00877B63" w:rsidP="005D6438">
      <w:pPr>
        <w:pStyle w:val="ListParagraph"/>
        <w:tabs>
          <w:tab w:val="num" w:pos="1134"/>
        </w:tabs>
        <w:spacing w:after="0"/>
        <w:ind w:left="1134" w:hanging="567"/>
        <w:jc w:val="both"/>
        <w:rPr>
          <w:rFonts w:ascii="Arial" w:hAnsi="Arial" w:cs="Arial"/>
          <w:bCs/>
        </w:rPr>
      </w:pPr>
    </w:p>
    <w:p w:rsidR="00877B63" w:rsidRPr="00A32AF4" w:rsidRDefault="00877B63" w:rsidP="005D6438">
      <w:pPr>
        <w:numPr>
          <w:ilvl w:val="0"/>
          <w:numId w:val="62"/>
        </w:numPr>
        <w:ind w:left="1134" w:hanging="567"/>
        <w:contextualSpacing/>
        <w:jc w:val="both"/>
        <w:rPr>
          <w:rFonts w:cs="Arial"/>
          <w:bCs/>
        </w:rPr>
      </w:pPr>
      <w:r w:rsidRPr="00A32AF4">
        <w:rPr>
          <w:rFonts w:cs="Arial"/>
          <w:bCs/>
        </w:rPr>
        <w:t>intensifier les efforts de sensibilisation auprès des donateurs et des partenaires qui apportent leur soutien aux États membres de l</w:t>
      </w:r>
      <w:r w:rsidR="00E2055A" w:rsidRPr="00A32AF4">
        <w:rPr>
          <w:rFonts w:cs="Arial"/>
          <w:bCs/>
        </w:rPr>
        <w:t>’</w:t>
      </w:r>
      <w:r w:rsidRPr="00A32AF4">
        <w:rPr>
          <w:rFonts w:cs="Arial"/>
          <w:bCs/>
        </w:rPr>
        <w:t>OMPI et aux autres programmes de l</w:t>
      </w:r>
      <w:r w:rsidR="00E2055A" w:rsidRPr="00A32AF4">
        <w:rPr>
          <w:rFonts w:cs="Arial"/>
          <w:bCs/>
        </w:rPr>
        <w:t>’</w:t>
      </w:r>
      <w:r w:rsidRPr="00A32AF4">
        <w:rPr>
          <w:rFonts w:cs="Arial"/>
          <w:bCs/>
        </w:rPr>
        <w:t>OMPI afin de renforcer les partenariats et la mobilisation des ressources en faveur des projets de propriété intellectuelle;  et</w:t>
      </w:r>
    </w:p>
    <w:p w:rsidR="00877B63" w:rsidRPr="00A32AF4" w:rsidRDefault="00877B63" w:rsidP="005D6438">
      <w:pPr>
        <w:tabs>
          <w:tab w:val="num" w:pos="1134"/>
        </w:tabs>
        <w:ind w:left="1134" w:hanging="567"/>
        <w:contextualSpacing/>
        <w:jc w:val="both"/>
        <w:rPr>
          <w:rFonts w:cs="Arial"/>
          <w:bCs/>
        </w:rPr>
      </w:pPr>
    </w:p>
    <w:p w:rsidR="00877B63" w:rsidRPr="00A32AF4" w:rsidRDefault="00877B63" w:rsidP="005D6438">
      <w:pPr>
        <w:pStyle w:val="ListParagraph"/>
        <w:numPr>
          <w:ilvl w:val="0"/>
          <w:numId w:val="62"/>
        </w:numPr>
        <w:tabs>
          <w:tab w:val="clear" w:pos="1174"/>
          <w:tab w:val="num" w:pos="1134"/>
        </w:tabs>
        <w:spacing w:after="0" w:line="240" w:lineRule="auto"/>
        <w:ind w:left="1134" w:hanging="567"/>
        <w:jc w:val="both"/>
        <w:rPr>
          <w:rFonts w:ascii="Arial" w:hAnsi="Arial" w:cs="Arial"/>
          <w:bCs/>
        </w:rPr>
      </w:pPr>
      <w:r w:rsidRPr="00A32AF4">
        <w:rPr>
          <w:rFonts w:ascii="Arial" w:hAnsi="Arial" w:cs="Arial"/>
          <w:bCs/>
        </w:rPr>
        <w:t>continuer, en coordination avec les autres programmes, à établir des accords institutionnels et des partenariats concrets visant à réaliser les objectifs de l</w:t>
      </w:r>
      <w:r w:rsidR="00E2055A" w:rsidRPr="00A32AF4">
        <w:rPr>
          <w:rFonts w:ascii="Arial" w:hAnsi="Arial" w:cs="Arial"/>
          <w:bCs/>
        </w:rPr>
        <w:t>’</w:t>
      </w:r>
      <w:r w:rsidRPr="00A32AF4">
        <w:rPr>
          <w:rFonts w:ascii="Arial" w:hAnsi="Arial" w:cs="Arial"/>
          <w:bCs/>
        </w:rPr>
        <w:t>OMPI grâce à leurs capacités et leur expertise, et continuer à renforcer leur participation efficace aux activités de l</w:t>
      </w:r>
      <w:r w:rsidR="00E2055A" w:rsidRPr="00A32AF4">
        <w:rPr>
          <w:rFonts w:ascii="Arial" w:hAnsi="Arial" w:cs="Arial"/>
          <w:bCs/>
        </w:rPr>
        <w:t>’</w:t>
      </w:r>
      <w:r w:rsidRPr="00A32AF4">
        <w:rPr>
          <w:rFonts w:ascii="Arial" w:hAnsi="Arial" w:cs="Arial"/>
          <w:bCs/>
        </w:rPr>
        <w:t>OMPI.</w:t>
      </w:r>
    </w:p>
    <w:p w:rsidR="00877B63" w:rsidRPr="00A32AF4" w:rsidRDefault="00877B63" w:rsidP="00DC0553">
      <w:pPr>
        <w:tabs>
          <w:tab w:val="num" w:pos="540"/>
        </w:tabs>
        <w:jc w:val="both"/>
        <w:rPr>
          <w:rFonts w:cs="Arial"/>
          <w:bCs/>
        </w:rPr>
      </w:pPr>
    </w:p>
    <w:p w:rsidR="00877B63" w:rsidRPr="00A32AF4" w:rsidRDefault="00877B63" w:rsidP="00DC0553">
      <w:pPr>
        <w:jc w:val="both"/>
        <w:rPr>
          <w:rFonts w:cs="Arial"/>
          <w:bCs/>
          <w:u w:val="single"/>
          <w:lang w:eastAsia="zh-CN"/>
        </w:rPr>
      </w:pPr>
      <w:r w:rsidRPr="00A32AF4">
        <w:rPr>
          <w:rFonts w:cs="Arial"/>
          <w:bCs/>
          <w:u w:val="single"/>
          <w:lang w:eastAsia="zh-CN"/>
        </w:rPr>
        <w:t>Le Bureau de coordination de l</w:t>
      </w:r>
      <w:r w:rsidR="00E2055A" w:rsidRPr="00A32AF4">
        <w:rPr>
          <w:rFonts w:cs="Arial"/>
          <w:bCs/>
          <w:u w:val="single"/>
          <w:lang w:eastAsia="zh-CN"/>
        </w:rPr>
        <w:t>’</w:t>
      </w:r>
      <w:r w:rsidRPr="00A32AF4">
        <w:rPr>
          <w:rFonts w:cs="Arial"/>
          <w:bCs/>
          <w:u w:val="single"/>
          <w:lang w:eastAsia="zh-CN"/>
        </w:rPr>
        <w:t xml:space="preserve">OMPI auprès des </w:t>
      </w:r>
      <w:r w:rsidR="00E2055A" w:rsidRPr="00A32AF4">
        <w:rPr>
          <w:rFonts w:cs="Arial"/>
          <w:bCs/>
          <w:u w:val="single"/>
          <w:lang w:eastAsia="zh-CN"/>
        </w:rPr>
        <w:t>Nations Unies</w:t>
      </w:r>
      <w:r w:rsidRPr="00A32AF4">
        <w:rPr>
          <w:rFonts w:cs="Arial"/>
          <w:bCs/>
          <w:u w:val="single"/>
          <w:lang w:eastAsia="zh-CN"/>
        </w:rPr>
        <w:t xml:space="preserve"> à New York</w:t>
      </w:r>
    </w:p>
    <w:p w:rsidR="00877B63" w:rsidRPr="00A32AF4" w:rsidRDefault="00877B63" w:rsidP="00DC0553">
      <w:pPr>
        <w:jc w:val="both"/>
        <w:rPr>
          <w:rFonts w:cs="Arial"/>
          <w:bCs/>
          <w:lang w:eastAsia="zh-CN"/>
        </w:rPr>
      </w:pPr>
    </w:p>
    <w:p w:rsidR="00877B63" w:rsidRPr="00A32AF4" w:rsidRDefault="00877B63" w:rsidP="00DC0553">
      <w:pPr>
        <w:pStyle w:val="ListParagraph"/>
        <w:numPr>
          <w:ilvl w:val="0"/>
          <w:numId w:val="61"/>
        </w:numPr>
        <w:spacing w:after="0" w:line="240" w:lineRule="auto"/>
        <w:jc w:val="both"/>
        <w:rPr>
          <w:rFonts w:ascii="Arial" w:hAnsi="Arial" w:cs="Arial"/>
          <w:lang w:eastAsia="zh-CN"/>
        </w:rPr>
      </w:pPr>
      <w:r w:rsidRPr="00A32AF4">
        <w:rPr>
          <w:rFonts w:ascii="Arial" w:hAnsi="Arial" w:cs="Arial"/>
          <w:lang w:eastAsia="zh-CN"/>
        </w:rPr>
        <w:t>Le bureau de l</w:t>
      </w:r>
      <w:r w:rsidR="00E2055A" w:rsidRPr="00A32AF4">
        <w:rPr>
          <w:rFonts w:ascii="Arial" w:hAnsi="Arial" w:cs="Arial"/>
          <w:lang w:eastAsia="zh-CN"/>
        </w:rPr>
        <w:t>’</w:t>
      </w:r>
      <w:r w:rsidRPr="00A32AF4">
        <w:rPr>
          <w:rFonts w:ascii="Arial" w:hAnsi="Arial" w:cs="Arial"/>
          <w:lang w:eastAsia="zh-CN"/>
        </w:rPr>
        <w:t>OMPI à New York assure la liaison entre le siège de l</w:t>
      </w:r>
      <w:r w:rsidR="00E2055A" w:rsidRPr="00A32AF4">
        <w:rPr>
          <w:rFonts w:ascii="Arial" w:hAnsi="Arial" w:cs="Arial"/>
          <w:lang w:eastAsia="zh-CN"/>
        </w:rPr>
        <w:t>’</w:t>
      </w:r>
      <w:r w:rsidRPr="00A32AF4">
        <w:rPr>
          <w:rFonts w:ascii="Arial" w:hAnsi="Arial" w:cs="Arial"/>
          <w:lang w:eastAsia="zh-CN"/>
        </w:rPr>
        <w:t>OMPI à Genève et l</w:t>
      </w:r>
      <w:r w:rsidR="00E2055A" w:rsidRPr="00A32AF4">
        <w:rPr>
          <w:rFonts w:ascii="Arial" w:hAnsi="Arial" w:cs="Arial"/>
          <w:lang w:eastAsia="zh-CN"/>
        </w:rPr>
        <w:t>’</w:t>
      </w:r>
      <w:r w:rsidRPr="00A32AF4">
        <w:rPr>
          <w:rFonts w:ascii="Arial" w:hAnsi="Arial" w:cs="Arial"/>
          <w:lang w:eastAsia="zh-CN"/>
        </w:rPr>
        <w:t>ONU, ainsi qu</w:t>
      </w:r>
      <w:r w:rsidR="00E2055A" w:rsidRPr="00A32AF4">
        <w:rPr>
          <w:rFonts w:ascii="Arial" w:hAnsi="Arial" w:cs="Arial"/>
          <w:lang w:eastAsia="zh-CN"/>
        </w:rPr>
        <w:t>’</w:t>
      </w:r>
      <w:r w:rsidRPr="00A32AF4">
        <w:rPr>
          <w:rFonts w:ascii="Arial" w:hAnsi="Arial" w:cs="Arial"/>
          <w:lang w:eastAsia="zh-CN"/>
        </w:rPr>
        <w:t>avec ses parties prenantes à New York.  Ce bureau participe à New York à un large éventail de processus intergouvernementaux et d</w:t>
      </w:r>
      <w:r w:rsidR="00E2055A" w:rsidRPr="00A32AF4">
        <w:rPr>
          <w:rFonts w:ascii="Arial" w:hAnsi="Arial" w:cs="Arial"/>
          <w:lang w:eastAsia="zh-CN"/>
        </w:rPr>
        <w:t>’</w:t>
      </w:r>
      <w:r w:rsidRPr="00A32AF4">
        <w:rPr>
          <w:rFonts w:ascii="Arial" w:hAnsi="Arial" w:cs="Arial"/>
          <w:lang w:eastAsia="zh-CN"/>
        </w:rPr>
        <w:t>autres à l</w:t>
      </w:r>
      <w:r w:rsidR="00E2055A" w:rsidRPr="00A32AF4">
        <w:rPr>
          <w:rFonts w:ascii="Arial" w:hAnsi="Arial" w:cs="Arial"/>
          <w:lang w:eastAsia="zh-CN"/>
        </w:rPr>
        <w:t>’</w:t>
      </w:r>
      <w:r w:rsidRPr="00A32AF4">
        <w:rPr>
          <w:rFonts w:ascii="Arial" w:hAnsi="Arial" w:cs="Arial"/>
          <w:lang w:eastAsia="zh-CN"/>
        </w:rPr>
        <w:t>initiative de la société civile, afin de contribuer à un débat équilibré sur les questions de propriété intellectuelle et de fournir des informations et des analyses concernant les questions de propriété intellectuelle à l</w:t>
      </w:r>
      <w:r w:rsidR="00E2055A" w:rsidRPr="00A32AF4">
        <w:rPr>
          <w:rFonts w:ascii="Arial" w:hAnsi="Arial" w:cs="Arial"/>
          <w:lang w:eastAsia="zh-CN"/>
        </w:rPr>
        <w:t>’</w:t>
      </w:r>
      <w:r w:rsidRPr="00A32AF4">
        <w:rPr>
          <w:rFonts w:ascii="Arial" w:hAnsi="Arial" w:cs="Arial"/>
          <w:lang w:eastAsia="zh-CN"/>
        </w:rPr>
        <w:t>intention des milieux diplomatiques et des organisations du système des </w:t>
      </w:r>
      <w:r w:rsidR="00E2055A" w:rsidRPr="00A32AF4">
        <w:rPr>
          <w:rFonts w:ascii="Arial" w:hAnsi="Arial" w:cs="Arial"/>
          <w:lang w:eastAsia="zh-CN"/>
        </w:rPr>
        <w:t>Nations Unies</w:t>
      </w:r>
      <w:r w:rsidRPr="00A32AF4">
        <w:rPr>
          <w:rFonts w:ascii="Arial" w:hAnsi="Arial" w:cs="Arial"/>
          <w:lang w:eastAsia="zh-CN"/>
        </w:rPr>
        <w:t>.  Travaillant en étroite collaboration avec divers programmes de l</w:t>
      </w:r>
      <w:r w:rsidR="00E2055A" w:rsidRPr="00A32AF4">
        <w:rPr>
          <w:rFonts w:ascii="Arial" w:hAnsi="Arial" w:cs="Arial"/>
          <w:lang w:eastAsia="zh-CN"/>
        </w:rPr>
        <w:t>’</w:t>
      </w:r>
      <w:r w:rsidRPr="00A32AF4">
        <w:rPr>
          <w:rFonts w:ascii="Arial" w:hAnsi="Arial" w:cs="Arial"/>
          <w:lang w:eastAsia="zh-CN"/>
        </w:rPr>
        <w:t>OMPI, le bureau de New York participe à des activités de sensibilisation et à des séances d</w:t>
      </w:r>
      <w:r w:rsidR="00E2055A" w:rsidRPr="00A32AF4">
        <w:rPr>
          <w:rFonts w:ascii="Arial" w:hAnsi="Arial" w:cs="Arial"/>
          <w:lang w:eastAsia="zh-CN"/>
        </w:rPr>
        <w:t>’</w:t>
      </w:r>
      <w:r w:rsidRPr="00A32AF4">
        <w:rPr>
          <w:rFonts w:ascii="Arial" w:hAnsi="Arial" w:cs="Arial"/>
          <w:lang w:eastAsia="zh-CN"/>
        </w:rPr>
        <w:t xml:space="preserve">information destinées aux milieux diplomatiques des </w:t>
      </w:r>
      <w:r w:rsidR="00E2055A" w:rsidRPr="00A32AF4">
        <w:rPr>
          <w:rFonts w:ascii="Arial" w:hAnsi="Arial" w:cs="Arial"/>
          <w:lang w:eastAsia="zh-CN"/>
        </w:rPr>
        <w:t>Nations Unies</w:t>
      </w:r>
      <w:r w:rsidRPr="00A32AF4">
        <w:rPr>
          <w:rFonts w:ascii="Arial" w:hAnsi="Arial" w:cs="Arial"/>
          <w:lang w:eastAsia="zh-CN"/>
        </w:rPr>
        <w:t xml:space="preserve"> afin de favoriser une meilleure compréhension des travaux de l</w:t>
      </w:r>
      <w:r w:rsidR="00E2055A" w:rsidRPr="00A32AF4">
        <w:rPr>
          <w:rFonts w:ascii="Arial" w:hAnsi="Arial" w:cs="Arial"/>
          <w:lang w:eastAsia="zh-CN"/>
        </w:rPr>
        <w:t>’</w:t>
      </w:r>
      <w:r w:rsidRPr="00A32AF4">
        <w:rPr>
          <w:rFonts w:ascii="Arial" w:hAnsi="Arial" w:cs="Arial"/>
          <w:lang w:eastAsia="zh-CN"/>
        </w:rPr>
        <w:t>OMPI;  il assure également la promotion des traités, des processus, des services et des plates</w:t>
      </w:r>
      <w:r w:rsidR="00EB7F54" w:rsidRPr="00A32AF4">
        <w:rPr>
          <w:rFonts w:ascii="Arial" w:hAnsi="Arial" w:cs="Arial"/>
          <w:lang w:eastAsia="zh-CN"/>
        </w:rPr>
        <w:noBreakHyphen/>
      </w:r>
      <w:r w:rsidRPr="00A32AF4">
        <w:rPr>
          <w:rFonts w:ascii="Arial" w:hAnsi="Arial" w:cs="Arial"/>
          <w:lang w:eastAsia="zh-CN"/>
        </w:rPr>
        <w:t>formes de l</w:t>
      </w:r>
      <w:r w:rsidR="00E2055A" w:rsidRPr="00A32AF4">
        <w:rPr>
          <w:rFonts w:ascii="Arial" w:hAnsi="Arial" w:cs="Arial"/>
          <w:lang w:eastAsia="zh-CN"/>
        </w:rPr>
        <w:t>’</w:t>
      </w:r>
      <w:r w:rsidRPr="00A32AF4">
        <w:rPr>
          <w:rFonts w:ascii="Arial" w:hAnsi="Arial" w:cs="Arial"/>
          <w:lang w:eastAsia="zh-CN"/>
        </w:rPr>
        <w:t>OMPI et met à disposition des rapports et des séances d</w:t>
      </w:r>
      <w:r w:rsidR="00E2055A" w:rsidRPr="00A32AF4">
        <w:rPr>
          <w:rFonts w:ascii="Arial" w:hAnsi="Arial" w:cs="Arial"/>
          <w:lang w:eastAsia="zh-CN"/>
        </w:rPr>
        <w:t>’</w:t>
      </w:r>
      <w:r w:rsidRPr="00A32AF4">
        <w:rPr>
          <w:rFonts w:ascii="Arial" w:hAnsi="Arial" w:cs="Arial"/>
          <w:lang w:eastAsia="zh-CN"/>
        </w:rPr>
        <w:t>information par l</w:t>
      </w:r>
      <w:r w:rsidR="00E2055A" w:rsidRPr="00A32AF4">
        <w:rPr>
          <w:rFonts w:ascii="Arial" w:hAnsi="Arial" w:cs="Arial"/>
          <w:lang w:eastAsia="zh-CN"/>
        </w:rPr>
        <w:t>’</w:t>
      </w:r>
      <w:r w:rsidRPr="00A32AF4">
        <w:rPr>
          <w:rFonts w:ascii="Arial" w:hAnsi="Arial" w:cs="Arial"/>
          <w:lang w:eastAsia="zh-CN"/>
        </w:rPr>
        <w:t xml:space="preserve">intermédiaire de forums basés à New York.  </w:t>
      </w:r>
      <w:r w:rsidR="00A32AF4" w:rsidRPr="00A32AF4">
        <w:rPr>
          <w:rFonts w:ascii="Arial" w:hAnsi="Arial" w:cs="Arial"/>
          <w:lang w:eastAsia="zh-CN"/>
        </w:rPr>
        <w:t>En attendant qu’il soit décidé de conserver ou non au cours de l’exercice biennal 2016-2017 le modèle opérationnel actuel du bureau de l’OMPI à New York, le Secrétariat va continuer de rechercher des gains d’efficacité dans ses opérations</w:t>
      </w:r>
      <w:r w:rsidR="00A32AF4" w:rsidRPr="00A32AF4">
        <w:rPr>
          <w:rFonts w:ascii="Arial" w:hAnsi="Arial" w:cs="Arial"/>
          <w:bCs/>
          <w:lang w:eastAsia="ja-JP"/>
        </w:rPr>
        <w:t>.</w:t>
      </w:r>
    </w:p>
    <w:p w:rsidR="00877B63" w:rsidRPr="00A32AF4" w:rsidRDefault="00877B63" w:rsidP="00DC0553"/>
    <w:p w:rsidR="00877B63" w:rsidRPr="00A32AF4" w:rsidRDefault="00877B63" w:rsidP="00DC0553">
      <w:r w:rsidRPr="00A32AF4">
        <w:rPr>
          <w:rFonts w:cs="Arial"/>
          <w:noProof/>
          <w:lang w:eastAsia="fr-FR"/>
        </w:rPr>
        <w:drawing>
          <wp:anchor distT="0" distB="0" distL="114300" distR="114300" simplePos="0" relativeHeight="251665408" behindDoc="0" locked="0" layoutInCell="1" allowOverlap="1" wp14:anchorId="64A4BFFF" wp14:editId="1F668C6E">
            <wp:simplePos x="0" y="0"/>
            <wp:positionH relativeFrom="column">
              <wp:posOffset>23495</wp:posOffset>
            </wp:positionH>
            <wp:positionV relativeFrom="paragraph">
              <wp:posOffset>102870</wp:posOffset>
            </wp:positionV>
            <wp:extent cx="5801360" cy="2891155"/>
            <wp:effectExtent l="57150" t="38100" r="66040" b="0"/>
            <wp:wrapTopAndBottom/>
            <wp:docPr id="60" name="Diagram 6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7" r:lo="rId158" r:qs="rId159" r:cs="rId160"/>
              </a:graphicData>
            </a:graphic>
            <wp14:sizeRelH relativeFrom="page">
              <wp14:pctWidth>0</wp14:pctWidth>
            </wp14:sizeRelH>
            <wp14:sizeRelV relativeFrom="page">
              <wp14:pctHeight>0</wp14:pctHeight>
            </wp14:sizeRelV>
          </wp:anchor>
        </w:drawing>
      </w:r>
    </w:p>
    <w:p w:rsidR="00877B63" w:rsidRPr="00A32AF4" w:rsidRDefault="00877B63" w:rsidP="00DC0553">
      <w:pPr>
        <w:tabs>
          <w:tab w:val="num" w:pos="540"/>
        </w:tabs>
        <w:jc w:val="both"/>
        <w:rPr>
          <w:rFonts w:cs="Arial"/>
        </w:rPr>
      </w:pPr>
    </w:p>
    <w:p w:rsidR="00877B63" w:rsidRPr="00A32AF4" w:rsidRDefault="00877B63" w:rsidP="00DC0553">
      <w:r w:rsidRPr="00A32AF4">
        <w:t>PRINCIPAUX RISQUES ET STRATÉGIES D</w:t>
      </w:r>
      <w:r w:rsidR="00E2055A" w:rsidRPr="00A32AF4">
        <w:t>’</w:t>
      </w:r>
      <w:r w:rsidRPr="00A32AF4">
        <w:t>ATTÉNUATION</w:t>
      </w:r>
    </w:p>
    <w:p w:rsidR="00877B63" w:rsidRPr="00A32AF4" w:rsidRDefault="00877B63" w:rsidP="00DC0553">
      <w:pPr>
        <w:keepNext/>
        <w:keepLines/>
        <w:rPr>
          <w:rFonts w:cs="Arial"/>
        </w:rPr>
      </w:pPr>
    </w:p>
    <w:tbl>
      <w:tblPr>
        <w:tblW w:w="9214"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11"/>
        <w:gridCol w:w="5103"/>
      </w:tblGrid>
      <w:tr w:rsidR="00877B63" w:rsidRPr="00A32AF4" w:rsidTr="00D27E4C">
        <w:trPr>
          <w:cantSplit/>
        </w:trPr>
        <w:tc>
          <w:tcPr>
            <w:tcW w:w="4111" w:type="dxa"/>
            <w:tcBorders>
              <w:top w:val="single" w:sz="4" w:space="0" w:color="auto"/>
              <w:bottom w:val="single" w:sz="4" w:space="0" w:color="auto"/>
            </w:tcBorders>
            <w:shd w:val="clear" w:color="auto" w:fill="B8CCE4" w:themeFill="accent1" w:themeFillTint="66"/>
            <w:tcMar>
              <w:top w:w="113" w:type="dxa"/>
              <w:left w:w="108" w:type="dxa"/>
              <w:bottom w:w="113" w:type="dxa"/>
              <w:right w:w="108" w:type="dxa"/>
            </w:tcMar>
            <w:vAlign w:val="center"/>
          </w:tcPr>
          <w:p w:rsidR="00877B63" w:rsidRPr="00A32AF4" w:rsidRDefault="00877B63" w:rsidP="00DC0553">
            <w:pPr>
              <w:keepNext/>
              <w:keepLines/>
              <w:jc w:val="center"/>
              <w:rPr>
                <w:rFonts w:cs="Arial"/>
                <w:b/>
                <w:bCs/>
                <w:sz w:val="18"/>
                <w:szCs w:val="18"/>
              </w:rPr>
            </w:pPr>
            <w:r w:rsidRPr="00A32AF4">
              <w:rPr>
                <w:rFonts w:cs="Arial"/>
                <w:b/>
                <w:bCs/>
                <w:sz w:val="18"/>
                <w:szCs w:val="18"/>
              </w:rPr>
              <w:t>Risques</w:t>
            </w:r>
          </w:p>
        </w:tc>
        <w:tc>
          <w:tcPr>
            <w:tcW w:w="5103" w:type="dxa"/>
            <w:tcBorders>
              <w:top w:val="single" w:sz="4" w:space="0" w:color="auto"/>
              <w:bottom w:val="single" w:sz="4" w:space="0" w:color="auto"/>
            </w:tcBorders>
            <w:shd w:val="clear" w:color="auto" w:fill="B8CCE4" w:themeFill="accent1" w:themeFillTint="66"/>
            <w:tcMar>
              <w:top w:w="113" w:type="dxa"/>
              <w:left w:w="108" w:type="dxa"/>
              <w:bottom w:w="113" w:type="dxa"/>
              <w:right w:w="108" w:type="dxa"/>
            </w:tcMar>
            <w:vAlign w:val="center"/>
          </w:tcPr>
          <w:p w:rsidR="00877B63" w:rsidRPr="00A32AF4" w:rsidRDefault="00877B63" w:rsidP="00DC0553">
            <w:pPr>
              <w:keepNext/>
              <w:keepLines/>
              <w:jc w:val="center"/>
              <w:rPr>
                <w:rFonts w:cs="Arial"/>
                <w:b/>
                <w:bCs/>
                <w:sz w:val="18"/>
                <w:szCs w:val="18"/>
              </w:rPr>
            </w:pPr>
            <w:r w:rsidRPr="00A32AF4">
              <w:rPr>
                <w:rFonts w:cs="Arial"/>
                <w:b/>
                <w:bCs/>
                <w:sz w:val="18"/>
                <w:szCs w:val="18"/>
              </w:rPr>
              <w:t>Stratégies d</w:t>
            </w:r>
            <w:r w:rsidR="00E2055A" w:rsidRPr="00A32AF4">
              <w:rPr>
                <w:rFonts w:cs="Arial"/>
                <w:b/>
                <w:bCs/>
                <w:sz w:val="18"/>
                <w:szCs w:val="18"/>
              </w:rPr>
              <w:t>’</w:t>
            </w:r>
            <w:r w:rsidRPr="00A32AF4">
              <w:rPr>
                <w:rFonts w:cs="Arial"/>
                <w:b/>
                <w:bCs/>
                <w:sz w:val="18"/>
                <w:szCs w:val="18"/>
              </w:rPr>
              <w:t>atténuation</w:t>
            </w:r>
          </w:p>
        </w:tc>
      </w:tr>
      <w:tr w:rsidR="00877B63" w:rsidRPr="00A32AF4" w:rsidTr="00D27E4C">
        <w:trPr>
          <w:cantSplit/>
        </w:trPr>
        <w:tc>
          <w:tcPr>
            <w:tcW w:w="4111" w:type="dxa"/>
            <w:tcBorders>
              <w:top w:val="single" w:sz="4" w:space="0" w:color="auto"/>
              <w:bottom w:val="single" w:sz="4" w:space="0" w:color="auto"/>
            </w:tcBorders>
            <w:shd w:val="clear" w:color="auto" w:fill="auto"/>
            <w:tcMar>
              <w:top w:w="113" w:type="dxa"/>
              <w:left w:w="108" w:type="dxa"/>
              <w:bottom w:w="113" w:type="dxa"/>
              <w:right w:w="108" w:type="dxa"/>
            </w:tcMar>
          </w:tcPr>
          <w:p w:rsidR="00877B63" w:rsidRPr="00A32AF4" w:rsidRDefault="00877B63" w:rsidP="00DC0553">
            <w:pPr>
              <w:keepNext/>
              <w:keepLines/>
              <w:rPr>
                <w:rFonts w:cs="Arial"/>
                <w:sz w:val="16"/>
                <w:szCs w:val="16"/>
              </w:rPr>
            </w:pPr>
            <w:r w:rsidRPr="00A32AF4">
              <w:rPr>
                <w:rFonts w:cs="Arial"/>
                <w:sz w:val="16"/>
                <w:szCs w:val="16"/>
              </w:rPr>
              <w:t xml:space="preserve">Les décisions et les mesures prises au niveau international au sein des </w:t>
            </w:r>
            <w:r w:rsidR="00E2055A" w:rsidRPr="00A32AF4">
              <w:rPr>
                <w:rFonts w:cs="Arial"/>
                <w:sz w:val="16"/>
                <w:szCs w:val="16"/>
              </w:rPr>
              <w:t>Nations Unies</w:t>
            </w:r>
            <w:r w:rsidRPr="00A32AF4">
              <w:rPr>
                <w:rFonts w:cs="Arial"/>
                <w:sz w:val="16"/>
                <w:szCs w:val="16"/>
              </w:rPr>
              <w:t xml:space="preserve"> et dans le cadre d</w:t>
            </w:r>
            <w:r w:rsidR="00E2055A" w:rsidRPr="00A32AF4">
              <w:rPr>
                <w:rFonts w:cs="Arial"/>
                <w:sz w:val="16"/>
                <w:szCs w:val="16"/>
              </w:rPr>
              <w:t>’</w:t>
            </w:r>
            <w:r w:rsidRPr="00A32AF4">
              <w:rPr>
                <w:rFonts w:cs="Arial"/>
                <w:sz w:val="16"/>
                <w:szCs w:val="16"/>
              </w:rPr>
              <w:t>autres processus intergouvernementaux sont préjudiciables au système international de la propriété intellectuelle.</w:t>
            </w:r>
          </w:p>
        </w:tc>
        <w:tc>
          <w:tcPr>
            <w:tcW w:w="5103" w:type="dxa"/>
            <w:tcBorders>
              <w:top w:val="single" w:sz="4" w:space="0" w:color="auto"/>
              <w:bottom w:val="single" w:sz="4" w:space="0" w:color="auto"/>
            </w:tcBorders>
            <w:shd w:val="clear" w:color="auto" w:fill="auto"/>
            <w:tcMar>
              <w:top w:w="113" w:type="dxa"/>
              <w:left w:w="108" w:type="dxa"/>
              <w:bottom w:w="113" w:type="dxa"/>
              <w:right w:w="108" w:type="dxa"/>
            </w:tcMar>
          </w:tcPr>
          <w:p w:rsidR="00877B63" w:rsidRPr="00A32AF4" w:rsidRDefault="00877B63" w:rsidP="00DC0553">
            <w:pPr>
              <w:keepNext/>
              <w:keepLines/>
              <w:rPr>
                <w:rFonts w:cs="Arial"/>
                <w:sz w:val="16"/>
                <w:szCs w:val="16"/>
              </w:rPr>
            </w:pPr>
            <w:r w:rsidRPr="00A32AF4">
              <w:rPr>
                <w:rFonts w:cs="Arial"/>
                <w:sz w:val="16"/>
                <w:szCs w:val="16"/>
              </w:rPr>
              <w:t xml:space="preserve">Participer activement aux principaux processus des </w:t>
            </w:r>
            <w:r w:rsidR="00E2055A" w:rsidRPr="00A32AF4">
              <w:rPr>
                <w:rFonts w:cs="Arial"/>
                <w:sz w:val="16"/>
                <w:szCs w:val="16"/>
              </w:rPr>
              <w:t>Nations Unies</w:t>
            </w:r>
            <w:r w:rsidRPr="00A32AF4">
              <w:rPr>
                <w:rFonts w:cs="Arial"/>
                <w:sz w:val="16"/>
                <w:szCs w:val="16"/>
              </w:rPr>
              <w:t xml:space="preserve"> et veiller à maintenir un réseau efficace de contacts au sein du Secrétariat de l</w:t>
            </w:r>
            <w:r w:rsidR="00E2055A" w:rsidRPr="00A32AF4">
              <w:rPr>
                <w:rFonts w:cs="Arial"/>
                <w:sz w:val="16"/>
                <w:szCs w:val="16"/>
              </w:rPr>
              <w:t>’</w:t>
            </w:r>
            <w:r w:rsidRPr="00A32AF4">
              <w:rPr>
                <w:rFonts w:cs="Arial"/>
                <w:sz w:val="16"/>
                <w:szCs w:val="16"/>
              </w:rPr>
              <w:t xml:space="preserve">ONU et des missions permanentes auprès des </w:t>
            </w:r>
            <w:r w:rsidR="00E2055A" w:rsidRPr="00A32AF4">
              <w:rPr>
                <w:rFonts w:cs="Arial"/>
                <w:sz w:val="16"/>
                <w:szCs w:val="16"/>
              </w:rPr>
              <w:t>Nations Unies</w:t>
            </w:r>
            <w:r w:rsidRPr="00A32AF4">
              <w:rPr>
                <w:rFonts w:cs="Arial"/>
                <w:sz w:val="16"/>
                <w:szCs w:val="16"/>
              </w:rPr>
              <w:t>.</w:t>
            </w:r>
          </w:p>
          <w:p w:rsidR="00877B63" w:rsidRPr="00A32AF4" w:rsidRDefault="00877B63" w:rsidP="00DC0553">
            <w:pPr>
              <w:keepNext/>
              <w:keepLines/>
              <w:rPr>
                <w:rFonts w:cs="Arial"/>
                <w:sz w:val="8"/>
                <w:szCs w:val="8"/>
              </w:rPr>
            </w:pPr>
          </w:p>
          <w:p w:rsidR="00877B63" w:rsidRPr="00A32AF4" w:rsidRDefault="00877B63" w:rsidP="00DC0553">
            <w:pPr>
              <w:keepNext/>
              <w:keepLines/>
              <w:rPr>
                <w:rFonts w:cs="Arial"/>
                <w:sz w:val="16"/>
                <w:szCs w:val="16"/>
              </w:rPr>
            </w:pPr>
            <w:r w:rsidRPr="00A32AF4">
              <w:rPr>
                <w:rFonts w:cs="Arial"/>
                <w:sz w:val="16"/>
                <w:szCs w:val="16"/>
              </w:rPr>
              <w:t>Soutenir une approche équilibrée et exhaustive de la propriété intellectuelle en permettant à toutes les parties prenantes de l</w:t>
            </w:r>
            <w:r w:rsidR="00E2055A" w:rsidRPr="00A32AF4">
              <w:rPr>
                <w:rFonts w:cs="Arial"/>
                <w:sz w:val="16"/>
                <w:szCs w:val="16"/>
              </w:rPr>
              <w:t>’</w:t>
            </w:r>
            <w:r w:rsidRPr="00A32AF4">
              <w:rPr>
                <w:rFonts w:cs="Arial"/>
                <w:sz w:val="16"/>
                <w:szCs w:val="16"/>
              </w:rPr>
              <w:t>OMPI (les ONG et les entreprises) de s</w:t>
            </w:r>
            <w:r w:rsidR="00E2055A" w:rsidRPr="00A32AF4">
              <w:rPr>
                <w:rFonts w:cs="Arial"/>
                <w:sz w:val="16"/>
                <w:szCs w:val="16"/>
              </w:rPr>
              <w:t>’</w:t>
            </w:r>
            <w:r w:rsidRPr="00A32AF4">
              <w:rPr>
                <w:rFonts w:cs="Arial"/>
                <w:sz w:val="16"/>
                <w:szCs w:val="16"/>
              </w:rPr>
              <w:t>exprimer quant aux travaux de l</w:t>
            </w:r>
            <w:r w:rsidR="00E2055A" w:rsidRPr="00A32AF4">
              <w:rPr>
                <w:rFonts w:cs="Arial"/>
                <w:sz w:val="16"/>
                <w:szCs w:val="16"/>
              </w:rPr>
              <w:t>’</w:t>
            </w:r>
            <w:r w:rsidRPr="00A32AF4">
              <w:rPr>
                <w:rFonts w:cs="Arial"/>
                <w:sz w:val="16"/>
                <w:szCs w:val="16"/>
              </w:rPr>
              <w:t>OMPI.</w:t>
            </w:r>
          </w:p>
        </w:tc>
      </w:tr>
    </w:tbl>
    <w:p w:rsidR="00877B63" w:rsidRPr="00A32AF4" w:rsidRDefault="00877B63" w:rsidP="00DC0553">
      <w:pPr>
        <w:rPr>
          <w:rFonts w:cs="Arial"/>
        </w:rPr>
      </w:pPr>
    </w:p>
    <w:p w:rsidR="00877B63" w:rsidRPr="00A32AF4" w:rsidRDefault="00877B63" w:rsidP="00DC0553">
      <w:pPr>
        <w:rPr>
          <w:rFonts w:cs="Arial"/>
        </w:rPr>
      </w:pPr>
    </w:p>
    <w:p w:rsidR="00877B63" w:rsidRPr="00A32AF4" w:rsidRDefault="00877B63" w:rsidP="00DC0553">
      <w:pPr>
        <w:keepNext/>
        <w:keepLines/>
      </w:pPr>
      <w:r w:rsidRPr="00A32AF4">
        <w:t>TABLEAU DES RÉSULTATS</w:t>
      </w:r>
    </w:p>
    <w:p w:rsidR="00877B63" w:rsidRPr="00A32AF4" w:rsidRDefault="00877B63" w:rsidP="00DC0553">
      <w:pPr>
        <w:keepNext/>
        <w:keepLines/>
        <w:jc w:val="both"/>
        <w:rPr>
          <w:rFonts w:cs="Arial"/>
          <w:bCs/>
          <w:lang w:eastAsia="zh-CN"/>
        </w:rPr>
      </w:pPr>
    </w:p>
    <w:tbl>
      <w:tblPr>
        <w:tblW w:w="9195" w:type="dxa"/>
        <w:tblInd w:w="93" w:type="dxa"/>
        <w:tblBorders>
          <w:top w:val="single" w:sz="4" w:space="0" w:color="auto"/>
          <w:left w:val="single" w:sz="4" w:space="0" w:color="auto"/>
          <w:right w:val="single" w:sz="4" w:space="0" w:color="auto"/>
          <w:insideH w:val="single" w:sz="4" w:space="0" w:color="auto"/>
        </w:tblBorders>
        <w:tblLook w:val="04A0" w:firstRow="1" w:lastRow="0" w:firstColumn="1" w:lastColumn="0" w:noHBand="0" w:noVBand="1"/>
      </w:tblPr>
      <w:tblGrid>
        <w:gridCol w:w="2160"/>
        <w:gridCol w:w="2880"/>
        <w:gridCol w:w="2205"/>
        <w:gridCol w:w="1950"/>
      </w:tblGrid>
      <w:tr w:rsidR="00877B63" w:rsidRPr="00A32AF4" w:rsidTr="00D27E4C">
        <w:trPr>
          <w:cantSplit/>
        </w:trPr>
        <w:tc>
          <w:tcPr>
            <w:tcW w:w="2160" w:type="dxa"/>
            <w:tcBorders>
              <w:bottom w:val="single" w:sz="4" w:space="0" w:color="auto"/>
            </w:tcBorders>
            <w:shd w:val="clear" w:color="auto" w:fill="B8CCE4" w:themeFill="accent1" w:themeFillTint="66"/>
            <w:noWrap/>
            <w:tcMar>
              <w:top w:w="113" w:type="dxa"/>
              <w:bottom w:w="113" w:type="dxa"/>
            </w:tcMar>
            <w:vAlign w:val="center"/>
            <w:hideMark/>
          </w:tcPr>
          <w:p w:rsidR="00877B63" w:rsidRPr="00A32AF4" w:rsidRDefault="00877B63" w:rsidP="00DC0553">
            <w:pPr>
              <w:keepNext/>
              <w:keepLines/>
              <w:jc w:val="center"/>
              <w:rPr>
                <w:rFonts w:cs="Arial"/>
                <w:b/>
                <w:bCs/>
                <w:sz w:val="18"/>
                <w:szCs w:val="18"/>
              </w:rPr>
            </w:pPr>
            <w:r w:rsidRPr="00A32AF4">
              <w:rPr>
                <w:rFonts w:cs="Arial"/>
                <w:b/>
                <w:bCs/>
                <w:sz w:val="18"/>
                <w:szCs w:val="18"/>
              </w:rPr>
              <w:t>Résultats escomptés</w:t>
            </w:r>
          </w:p>
        </w:tc>
        <w:tc>
          <w:tcPr>
            <w:tcW w:w="2880" w:type="dxa"/>
            <w:tcBorders>
              <w:bottom w:val="single" w:sz="4" w:space="0" w:color="auto"/>
            </w:tcBorders>
            <w:shd w:val="clear" w:color="auto" w:fill="B8CCE4" w:themeFill="accent1" w:themeFillTint="66"/>
            <w:noWrap/>
            <w:tcMar>
              <w:top w:w="113" w:type="dxa"/>
              <w:bottom w:w="113" w:type="dxa"/>
            </w:tcMar>
            <w:vAlign w:val="center"/>
            <w:hideMark/>
          </w:tcPr>
          <w:p w:rsidR="00877B63" w:rsidRPr="00A32AF4" w:rsidRDefault="00877B63" w:rsidP="00DC0553">
            <w:pPr>
              <w:keepNext/>
              <w:keepLines/>
              <w:jc w:val="center"/>
              <w:rPr>
                <w:rFonts w:cs="Arial"/>
                <w:b/>
                <w:bCs/>
                <w:sz w:val="18"/>
                <w:szCs w:val="18"/>
              </w:rPr>
            </w:pPr>
            <w:r w:rsidRPr="00A32AF4">
              <w:rPr>
                <w:rFonts w:cs="Arial"/>
                <w:b/>
                <w:bCs/>
                <w:sz w:val="18"/>
                <w:szCs w:val="18"/>
              </w:rPr>
              <w:t>Indicateurs d</w:t>
            </w:r>
            <w:r w:rsidR="00E2055A" w:rsidRPr="00A32AF4">
              <w:rPr>
                <w:rFonts w:cs="Arial"/>
                <w:b/>
                <w:bCs/>
                <w:sz w:val="18"/>
                <w:szCs w:val="18"/>
              </w:rPr>
              <w:t>’</w:t>
            </w:r>
            <w:r w:rsidRPr="00A32AF4">
              <w:rPr>
                <w:rFonts w:cs="Arial"/>
                <w:b/>
                <w:bCs/>
                <w:sz w:val="18"/>
                <w:szCs w:val="18"/>
              </w:rPr>
              <w:t>exécution</w:t>
            </w:r>
          </w:p>
        </w:tc>
        <w:tc>
          <w:tcPr>
            <w:tcW w:w="2205" w:type="dxa"/>
            <w:tcBorders>
              <w:bottom w:val="single" w:sz="4" w:space="0" w:color="auto"/>
            </w:tcBorders>
            <w:shd w:val="clear" w:color="auto" w:fill="B8CCE4" w:themeFill="accent1" w:themeFillTint="66"/>
            <w:noWrap/>
            <w:tcMar>
              <w:top w:w="113" w:type="dxa"/>
              <w:bottom w:w="113" w:type="dxa"/>
            </w:tcMar>
            <w:vAlign w:val="center"/>
            <w:hideMark/>
          </w:tcPr>
          <w:p w:rsidR="00877B63" w:rsidRPr="00A32AF4" w:rsidRDefault="00877B63" w:rsidP="00DC0553">
            <w:pPr>
              <w:keepNext/>
              <w:keepLines/>
              <w:jc w:val="center"/>
              <w:rPr>
                <w:rFonts w:cs="Arial"/>
                <w:b/>
                <w:bCs/>
                <w:sz w:val="18"/>
                <w:szCs w:val="18"/>
              </w:rPr>
            </w:pPr>
            <w:r w:rsidRPr="00A32AF4">
              <w:rPr>
                <w:rFonts w:cs="Arial"/>
                <w:b/>
                <w:bCs/>
                <w:sz w:val="18"/>
                <w:szCs w:val="18"/>
              </w:rPr>
              <w:t>Niveaux de référence</w:t>
            </w:r>
          </w:p>
        </w:tc>
        <w:tc>
          <w:tcPr>
            <w:tcW w:w="1950" w:type="dxa"/>
            <w:tcBorders>
              <w:bottom w:val="single" w:sz="4" w:space="0" w:color="auto"/>
            </w:tcBorders>
            <w:shd w:val="clear" w:color="auto" w:fill="B8CCE4" w:themeFill="accent1" w:themeFillTint="66"/>
            <w:noWrap/>
            <w:tcMar>
              <w:top w:w="113" w:type="dxa"/>
              <w:bottom w:w="113" w:type="dxa"/>
            </w:tcMar>
            <w:vAlign w:val="center"/>
            <w:hideMark/>
          </w:tcPr>
          <w:p w:rsidR="00877B63" w:rsidRPr="00A32AF4" w:rsidRDefault="00877B63" w:rsidP="00DC0553">
            <w:pPr>
              <w:keepNext/>
              <w:keepLines/>
              <w:jc w:val="center"/>
              <w:rPr>
                <w:rFonts w:cs="Arial"/>
                <w:b/>
                <w:bCs/>
                <w:sz w:val="18"/>
                <w:szCs w:val="18"/>
              </w:rPr>
            </w:pPr>
            <w:r w:rsidRPr="00A32AF4">
              <w:rPr>
                <w:rFonts w:cs="Arial"/>
                <w:b/>
                <w:bCs/>
                <w:sz w:val="18"/>
                <w:szCs w:val="18"/>
              </w:rPr>
              <w:t>Objectifs visés</w:t>
            </w:r>
          </w:p>
        </w:tc>
      </w:tr>
      <w:tr w:rsidR="00877B63" w:rsidRPr="00A32AF4" w:rsidTr="00D27E4C">
        <w:trPr>
          <w:cantSplit/>
        </w:trPr>
        <w:tc>
          <w:tcPr>
            <w:tcW w:w="2160" w:type="dxa"/>
            <w:tcBorders>
              <w:bottom w:val="single" w:sz="4" w:space="0" w:color="auto"/>
            </w:tcBorders>
            <w:shd w:val="clear" w:color="000000" w:fill="FFFFFF"/>
            <w:tcMar>
              <w:top w:w="113" w:type="dxa"/>
              <w:bottom w:w="113" w:type="dxa"/>
            </w:tcMar>
            <w:hideMark/>
          </w:tcPr>
          <w:p w:rsidR="00877B63" w:rsidRPr="00A32AF4" w:rsidRDefault="00877B63" w:rsidP="00702CE5">
            <w:pPr>
              <w:keepNext/>
              <w:keepLines/>
              <w:rPr>
                <w:rFonts w:cs="Arial"/>
                <w:sz w:val="16"/>
                <w:szCs w:val="16"/>
              </w:rPr>
            </w:pPr>
            <w:r w:rsidRPr="00A32AF4">
              <w:rPr>
                <w:rFonts w:cs="Arial"/>
                <w:sz w:val="16"/>
                <w:szCs w:val="16"/>
              </w:rPr>
              <w:t>VIII.5 L</w:t>
            </w:r>
            <w:r w:rsidR="00E2055A" w:rsidRPr="00A32AF4">
              <w:rPr>
                <w:rFonts w:cs="Arial"/>
                <w:sz w:val="16"/>
                <w:szCs w:val="16"/>
              </w:rPr>
              <w:t>’</w:t>
            </w:r>
            <w:r w:rsidRPr="00A32AF4">
              <w:rPr>
                <w:rFonts w:cs="Arial"/>
                <w:sz w:val="16"/>
                <w:szCs w:val="16"/>
              </w:rPr>
              <w:t>OMPI collabore efficacement avec d</w:t>
            </w:r>
            <w:r w:rsidR="00E2055A" w:rsidRPr="00A32AF4">
              <w:rPr>
                <w:rFonts w:cs="Arial"/>
                <w:sz w:val="16"/>
                <w:szCs w:val="16"/>
              </w:rPr>
              <w:t>’</w:t>
            </w:r>
            <w:r w:rsidRPr="00A32AF4">
              <w:rPr>
                <w:rFonts w:cs="Arial"/>
                <w:sz w:val="16"/>
                <w:szCs w:val="16"/>
              </w:rPr>
              <w:t>autres processus et instances de négociation de l</w:t>
            </w:r>
            <w:r w:rsidR="00E2055A" w:rsidRPr="00A32AF4">
              <w:rPr>
                <w:rFonts w:cs="Arial"/>
                <w:sz w:val="16"/>
                <w:szCs w:val="16"/>
              </w:rPr>
              <w:t>’</w:t>
            </w:r>
            <w:r w:rsidRPr="00A32AF4">
              <w:rPr>
                <w:rFonts w:cs="Arial"/>
                <w:sz w:val="16"/>
                <w:szCs w:val="16"/>
              </w:rPr>
              <w:t>ONU et d</w:t>
            </w:r>
            <w:r w:rsidR="00E2055A" w:rsidRPr="00A32AF4">
              <w:rPr>
                <w:rFonts w:cs="Arial"/>
                <w:sz w:val="16"/>
                <w:szCs w:val="16"/>
              </w:rPr>
              <w:t>’</w:t>
            </w:r>
            <w:r w:rsidRPr="00A32AF4">
              <w:rPr>
                <w:rFonts w:cs="Arial"/>
                <w:sz w:val="16"/>
                <w:szCs w:val="16"/>
              </w:rPr>
              <w:t>autres organisations intergouvernementales</w:t>
            </w:r>
          </w:p>
        </w:tc>
        <w:tc>
          <w:tcPr>
            <w:tcW w:w="2880" w:type="dxa"/>
            <w:tcBorders>
              <w:bottom w:val="single" w:sz="4" w:space="0" w:color="auto"/>
            </w:tcBorders>
            <w:shd w:val="clear" w:color="000000" w:fill="FFFFFF"/>
            <w:tcMar>
              <w:top w:w="113" w:type="dxa"/>
              <w:bottom w:w="113" w:type="dxa"/>
            </w:tcMar>
            <w:hideMark/>
          </w:tcPr>
          <w:p w:rsidR="00877B63" w:rsidRPr="00A32AF4" w:rsidRDefault="00877B63" w:rsidP="00DC0553">
            <w:pPr>
              <w:keepNext/>
              <w:keepLines/>
              <w:rPr>
                <w:rFonts w:cs="Arial"/>
                <w:sz w:val="16"/>
                <w:szCs w:val="16"/>
              </w:rPr>
            </w:pPr>
            <w:r w:rsidRPr="00A32AF4">
              <w:rPr>
                <w:rFonts w:cs="Arial"/>
                <w:sz w:val="16"/>
                <w:szCs w:val="16"/>
              </w:rPr>
              <w:t>Les contributions de l</w:t>
            </w:r>
            <w:r w:rsidR="00E2055A" w:rsidRPr="00A32AF4">
              <w:rPr>
                <w:rFonts w:cs="Arial"/>
                <w:sz w:val="16"/>
                <w:szCs w:val="16"/>
              </w:rPr>
              <w:t>’</w:t>
            </w:r>
            <w:r w:rsidRPr="00A32AF4">
              <w:rPr>
                <w:rFonts w:cs="Arial"/>
                <w:sz w:val="16"/>
                <w:szCs w:val="16"/>
              </w:rPr>
              <w:t>OMPI figurant dans les rapports, les résolutions et les documents émanant de l</w:t>
            </w:r>
            <w:r w:rsidR="00E2055A" w:rsidRPr="00A32AF4">
              <w:rPr>
                <w:rFonts w:cs="Arial"/>
                <w:sz w:val="16"/>
                <w:szCs w:val="16"/>
              </w:rPr>
              <w:t>’</w:t>
            </w:r>
            <w:r w:rsidRPr="00A32AF4">
              <w:rPr>
                <w:rFonts w:cs="Arial"/>
                <w:sz w:val="16"/>
                <w:szCs w:val="16"/>
              </w:rPr>
              <w:t>ONU et d</w:t>
            </w:r>
            <w:r w:rsidR="00E2055A" w:rsidRPr="00A32AF4">
              <w:rPr>
                <w:rFonts w:cs="Arial"/>
                <w:sz w:val="16"/>
                <w:szCs w:val="16"/>
              </w:rPr>
              <w:t>’</w:t>
            </w:r>
            <w:r w:rsidRPr="00A32AF4">
              <w:rPr>
                <w:rFonts w:cs="Arial"/>
                <w:sz w:val="16"/>
                <w:szCs w:val="16"/>
              </w:rPr>
              <w:t>organisations intergouvernementales et relatifs à des processus pertinents et ciblés</w:t>
            </w:r>
          </w:p>
          <w:p w:rsidR="00877B63" w:rsidRPr="00A32AF4" w:rsidRDefault="00877B63" w:rsidP="00DC0553">
            <w:pPr>
              <w:keepNext/>
              <w:keepLines/>
              <w:jc w:val="both"/>
              <w:rPr>
                <w:rFonts w:cs="Arial"/>
                <w:sz w:val="16"/>
                <w:szCs w:val="16"/>
              </w:rPr>
            </w:pPr>
          </w:p>
          <w:p w:rsidR="00877B63" w:rsidRPr="00A32AF4" w:rsidRDefault="00877B63" w:rsidP="00DC0553">
            <w:pPr>
              <w:keepNext/>
              <w:keepLines/>
              <w:rPr>
                <w:rFonts w:cs="Arial"/>
                <w:sz w:val="16"/>
                <w:szCs w:val="16"/>
              </w:rPr>
            </w:pPr>
            <w:r w:rsidRPr="00A32AF4">
              <w:rPr>
                <w:rFonts w:cs="Arial"/>
                <w:sz w:val="16"/>
                <w:szCs w:val="16"/>
              </w:rPr>
              <w:t>Nombre d</w:t>
            </w:r>
            <w:r w:rsidR="00E2055A" w:rsidRPr="00A32AF4">
              <w:rPr>
                <w:rFonts w:cs="Arial"/>
                <w:sz w:val="16"/>
                <w:szCs w:val="16"/>
              </w:rPr>
              <w:t>’</w:t>
            </w:r>
            <w:r w:rsidRPr="00A32AF4">
              <w:rPr>
                <w:rFonts w:cs="Arial"/>
                <w:sz w:val="16"/>
                <w:szCs w:val="16"/>
              </w:rPr>
              <w:t>initiatives menées par l</w:t>
            </w:r>
            <w:r w:rsidR="00E2055A" w:rsidRPr="00A32AF4">
              <w:rPr>
                <w:rFonts w:cs="Arial"/>
                <w:sz w:val="16"/>
                <w:szCs w:val="16"/>
              </w:rPr>
              <w:t>’</w:t>
            </w:r>
            <w:r w:rsidRPr="00A32AF4">
              <w:rPr>
                <w:rFonts w:cs="Arial"/>
                <w:sz w:val="16"/>
                <w:szCs w:val="16"/>
              </w:rPr>
              <w:t>OMPI en partenariat avec l</w:t>
            </w:r>
            <w:r w:rsidR="00E2055A" w:rsidRPr="00A32AF4">
              <w:rPr>
                <w:rFonts w:cs="Arial"/>
                <w:sz w:val="16"/>
                <w:szCs w:val="16"/>
              </w:rPr>
              <w:t>’</w:t>
            </w:r>
            <w:r w:rsidRPr="00A32AF4">
              <w:rPr>
                <w:rFonts w:cs="Arial"/>
                <w:sz w:val="16"/>
                <w:szCs w:val="16"/>
              </w:rPr>
              <w:t>ONU et d</w:t>
            </w:r>
            <w:r w:rsidR="00E2055A" w:rsidRPr="00A32AF4">
              <w:rPr>
                <w:rFonts w:cs="Arial"/>
                <w:sz w:val="16"/>
                <w:szCs w:val="16"/>
              </w:rPr>
              <w:t>’</w:t>
            </w:r>
            <w:r w:rsidRPr="00A32AF4">
              <w:rPr>
                <w:rFonts w:cs="Arial"/>
                <w:sz w:val="16"/>
                <w:szCs w:val="16"/>
              </w:rPr>
              <w:t>autres organisations intergouvernementales afin de mener à bien les objectifs de développement durable</w:t>
            </w:r>
          </w:p>
        </w:tc>
        <w:tc>
          <w:tcPr>
            <w:tcW w:w="2205" w:type="dxa"/>
            <w:tcBorders>
              <w:bottom w:val="single" w:sz="4" w:space="0" w:color="auto"/>
            </w:tcBorders>
            <w:shd w:val="clear" w:color="000000" w:fill="FFFFFF"/>
            <w:tcMar>
              <w:top w:w="113" w:type="dxa"/>
              <w:bottom w:w="113" w:type="dxa"/>
            </w:tcMar>
            <w:hideMark/>
          </w:tcPr>
          <w:p w:rsidR="00877B63" w:rsidRPr="00A32AF4" w:rsidRDefault="00877B63" w:rsidP="00DC0553">
            <w:pPr>
              <w:keepNext/>
              <w:keepLines/>
              <w:rPr>
                <w:rFonts w:cs="Arial"/>
                <w:sz w:val="16"/>
                <w:szCs w:val="16"/>
              </w:rPr>
            </w:pPr>
            <w:r w:rsidRPr="00A32AF4">
              <w:rPr>
                <w:rFonts w:cs="Arial"/>
                <w:sz w:val="16"/>
                <w:szCs w:val="16"/>
              </w:rPr>
              <w:t>En 2012</w:t>
            </w:r>
            <w:r w:rsidR="00EB7F54" w:rsidRPr="00A32AF4">
              <w:rPr>
                <w:rFonts w:cs="Arial"/>
                <w:sz w:val="16"/>
                <w:szCs w:val="16"/>
              </w:rPr>
              <w:noBreakHyphen/>
            </w:r>
            <w:r w:rsidRPr="00A32AF4">
              <w:rPr>
                <w:rFonts w:cs="Arial"/>
                <w:sz w:val="16"/>
                <w:szCs w:val="16"/>
              </w:rPr>
              <w:t xml:space="preserve">2013, 38 sur </w:t>
            </w:r>
            <w:proofErr w:type="gramStart"/>
            <w:r w:rsidRPr="00A32AF4">
              <w:rPr>
                <w:rFonts w:cs="Arial"/>
                <w:sz w:val="16"/>
                <w:szCs w:val="16"/>
              </w:rPr>
              <w:t>38;</w:t>
            </w:r>
            <w:proofErr w:type="gramEnd"/>
          </w:p>
          <w:p w:rsidR="00E2055A" w:rsidRPr="00A32AF4" w:rsidRDefault="00877B63" w:rsidP="00DC0553">
            <w:pPr>
              <w:keepNext/>
              <w:keepLines/>
              <w:rPr>
                <w:rFonts w:cs="Arial"/>
                <w:sz w:val="16"/>
                <w:szCs w:val="16"/>
              </w:rPr>
            </w:pPr>
            <w:r w:rsidRPr="00A32AF4">
              <w:rPr>
                <w:rFonts w:cs="Arial"/>
                <w:sz w:val="16"/>
                <w:szCs w:val="16"/>
              </w:rPr>
              <w:t>en 2014, 12 sur 15,</w:t>
            </w:r>
          </w:p>
          <w:p w:rsidR="00877B63" w:rsidRPr="00A32AF4" w:rsidRDefault="00877B63" w:rsidP="00DC0553">
            <w:pPr>
              <w:keepNext/>
              <w:keepLines/>
              <w:rPr>
                <w:rFonts w:cs="Arial"/>
                <w:sz w:val="16"/>
                <w:szCs w:val="16"/>
              </w:rPr>
            </w:pPr>
            <w:r w:rsidRPr="00A32AF4">
              <w:rPr>
                <w:rFonts w:cs="Arial"/>
                <w:sz w:val="16"/>
                <w:szCs w:val="16"/>
              </w:rPr>
              <w:t>3 en cours</w:t>
            </w:r>
          </w:p>
          <w:p w:rsidR="00877B63" w:rsidRPr="00A32AF4" w:rsidRDefault="00877B63" w:rsidP="00DC0553">
            <w:pPr>
              <w:keepNext/>
              <w:keepLines/>
              <w:rPr>
                <w:rFonts w:cs="Arial"/>
                <w:sz w:val="16"/>
                <w:szCs w:val="16"/>
              </w:rPr>
            </w:pPr>
          </w:p>
          <w:p w:rsidR="00877B63" w:rsidRPr="00A32AF4" w:rsidRDefault="00877B63" w:rsidP="00DC0553">
            <w:pPr>
              <w:keepNext/>
              <w:keepLines/>
              <w:rPr>
                <w:rFonts w:cs="Arial"/>
                <w:sz w:val="16"/>
                <w:szCs w:val="16"/>
              </w:rPr>
            </w:pPr>
          </w:p>
          <w:p w:rsidR="00877B63" w:rsidRPr="00A32AF4" w:rsidRDefault="00877B63" w:rsidP="00DC0553">
            <w:pPr>
              <w:keepNext/>
              <w:keepLines/>
              <w:rPr>
                <w:rFonts w:cs="Arial"/>
                <w:sz w:val="16"/>
                <w:szCs w:val="16"/>
              </w:rPr>
            </w:pPr>
          </w:p>
          <w:p w:rsidR="00877B63" w:rsidRPr="00A32AF4" w:rsidRDefault="00877B63" w:rsidP="00DC0553">
            <w:pPr>
              <w:keepNext/>
              <w:keepLines/>
              <w:rPr>
                <w:rFonts w:cs="Arial"/>
                <w:sz w:val="16"/>
                <w:szCs w:val="16"/>
              </w:rPr>
            </w:pPr>
          </w:p>
          <w:p w:rsidR="00877B63" w:rsidRPr="00A32AF4" w:rsidRDefault="00877B63" w:rsidP="005C314E">
            <w:pPr>
              <w:keepNext/>
              <w:keepLines/>
              <w:rPr>
                <w:rFonts w:cs="Arial"/>
                <w:sz w:val="16"/>
                <w:szCs w:val="16"/>
              </w:rPr>
            </w:pPr>
            <w:r w:rsidRPr="00A32AF4">
              <w:rPr>
                <w:rFonts w:cs="Arial"/>
                <w:sz w:val="16"/>
                <w:szCs w:val="16"/>
              </w:rPr>
              <w:t>aucune</w:t>
            </w:r>
          </w:p>
        </w:tc>
        <w:tc>
          <w:tcPr>
            <w:tcW w:w="1950" w:type="dxa"/>
            <w:tcBorders>
              <w:bottom w:val="single" w:sz="4" w:space="0" w:color="auto"/>
            </w:tcBorders>
            <w:shd w:val="clear" w:color="000000" w:fill="FFFFFF"/>
            <w:tcMar>
              <w:top w:w="113" w:type="dxa"/>
              <w:bottom w:w="113" w:type="dxa"/>
            </w:tcMar>
            <w:hideMark/>
          </w:tcPr>
          <w:p w:rsidR="00877B63" w:rsidRPr="00A32AF4" w:rsidRDefault="00877B63" w:rsidP="00DC0553">
            <w:pPr>
              <w:keepNext/>
              <w:keepLines/>
              <w:rPr>
                <w:rFonts w:cs="Arial"/>
                <w:sz w:val="16"/>
                <w:szCs w:val="16"/>
              </w:rPr>
            </w:pPr>
            <w:r w:rsidRPr="00A32AF4">
              <w:rPr>
                <w:rFonts w:cs="Arial"/>
                <w:sz w:val="16"/>
                <w:szCs w:val="16"/>
              </w:rPr>
              <w:t>80%</w:t>
            </w:r>
          </w:p>
          <w:p w:rsidR="00877B63" w:rsidRPr="00A32AF4" w:rsidRDefault="00877B63" w:rsidP="00DC0553">
            <w:pPr>
              <w:keepNext/>
              <w:keepLines/>
              <w:ind w:firstLineChars="200" w:firstLine="320"/>
              <w:rPr>
                <w:rFonts w:cs="Arial"/>
                <w:sz w:val="16"/>
                <w:szCs w:val="16"/>
              </w:rPr>
            </w:pPr>
          </w:p>
          <w:p w:rsidR="00877B63" w:rsidRPr="00A32AF4" w:rsidRDefault="00877B63" w:rsidP="00DC0553">
            <w:pPr>
              <w:keepNext/>
              <w:keepLines/>
              <w:ind w:firstLineChars="200" w:firstLine="320"/>
              <w:rPr>
                <w:rFonts w:cs="Arial"/>
                <w:sz w:val="16"/>
                <w:szCs w:val="16"/>
              </w:rPr>
            </w:pPr>
          </w:p>
          <w:p w:rsidR="00877B63" w:rsidRPr="00A32AF4" w:rsidRDefault="00877B63" w:rsidP="00DC0553">
            <w:pPr>
              <w:keepNext/>
              <w:keepLines/>
              <w:rPr>
                <w:rFonts w:cs="Arial"/>
                <w:sz w:val="16"/>
                <w:szCs w:val="16"/>
              </w:rPr>
            </w:pPr>
          </w:p>
          <w:p w:rsidR="00877B63" w:rsidRPr="00A32AF4" w:rsidRDefault="00877B63" w:rsidP="00DC0553">
            <w:pPr>
              <w:keepNext/>
              <w:keepLines/>
              <w:rPr>
                <w:rFonts w:cs="Arial"/>
                <w:sz w:val="16"/>
                <w:szCs w:val="16"/>
              </w:rPr>
            </w:pPr>
          </w:p>
          <w:p w:rsidR="00877B63" w:rsidRPr="00A32AF4" w:rsidRDefault="00877B63" w:rsidP="00DC0553">
            <w:pPr>
              <w:keepNext/>
              <w:keepLines/>
              <w:rPr>
                <w:rFonts w:cs="Arial"/>
                <w:sz w:val="16"/>
                <w:szCs w:val="16"/>
              </w:rPr>
            </w:pPr>
          </w:p>
          <w:p w:rsidR="00877B63" w:rsidRPr="00A32AF4" w:rsidRDefault="00877B63" w:rsidP="00DC0553">
            <w:pPr>
              <w:keepNext/>
              <w:keepLines/>
              <w:rPr>
                <w:rFonts w:cs="Arial"/>
                <w:sz w:val="16"/>
                <w:szCs w:val="16"/>
              </w:rPr>
            </w:pPr>
          </w:p>
          <w:p w:rsidR="00877B63" w:rsidRPr="00A32AF4" w:rsidRDefault="00877B63" w:rsidP="005C314E">
            <w:pPr>
              <w:keepNext/>
              <w:keepLines/>
              <w:rPr>
                <w:rFonts w:cs="Arial"/>
                <w:sz w:val="16"/>
                <w:szCs w:val="16"/>
              </w:rPr>
            </w:pPr>
            <w:r w:rsidRPr="00A32AF4">
              <w:rPr>
                <w:rFonts w:cs="Arial"/>
                <w:sz w:val="16"/>
                <w:szCs w:val="16"/>
              </w:rPr>
              <w:t>5</w:t>
            </w:r>
          </w:p>
        </w:tc>
      </w:tr>
    </w:tbl>
    <w:p w:rsidR="00877B63" w:rsidRPr="00A32AF4" w:rsidRDefault="00877B63" w:rsidP="00DC0553">
      <w:pPr>
        <w:jc w:val="both"/>
        <w:rPr>
          <w:rFonts w:cs="Arial"/>
          <w:bCs/>
          <w:lang w:eastAsia="zh-CN"/>
        </w:rPr>
      </w:pPr>
    </w:p>
    <w:p w:rsidR="00877B63" w:rsidRPr="00A32AF4" w:rsidRDefault="00877B63" w:rsidP="00DC0553">
      <w:pPr>
        <w:rPr>
          <w:rFonts w:cs="Arial"/>
          <w:lang w:eastAsia="zh-CN"/>
        </w:rPr>
      </w:pPr>
    </w:p>
    <w:p w:rsidR="00877B63" w:rsidRPr="00A32AF4" w:rsidRDefault="00877B63" w:rsidP="00DC0553">
      <w:pPr>
        <w:rPr>
          <w:rFonts w:cs="Arial"/>
          <w:lang w:eastAsia="zh-CN"/>
        </w:rPr>
      </w:pPr>
    </w:p>
    <w:p w:rsidR="00877B63" w:rsidRPr="00A32AF4" w:rsidRDefault="00877B63" w:rsidP="00DC0553">
      <w:pPr>
        <w:rPr>
          <w:rFonts w:cs="Arial"/>
          <w:b/>
        </w:rPr>
      </w:pPr>
      <w:r w:rsidRPr="00A32AF4">
        <w:rPr>
          <w:rFonts w:cs="Arial"/>
          <w:b/>
        </w:rPr>
        <w:t>BUREAUX EXTÉRIEURS</w:t>
      </w:r>
    </w:p>
    <w:p w:rsidR="00877B63" w:rsidRPr="00A32AF4" w:rsidRDefault="00877B63" w:rsidP="00DC0553"/>
    <w:p w:rsidR="00877B63" w:rsidRPr="00A32AF4" w:rsidRDefault="00877B63" w:rsidP="00DC0553"/>
    <w:p w:rsidR="00877B63" w:rsidRPr="00A32AF4" w:rsidRDefault="00877B63" w:rsidP="00DC0553">
      <w:r w:rsidRPr="00A32AF4">
        <w:t>CONTEXTE DE PLANIFICATION</w:t>
      </w:r>
    </w:p>
    <w:p w:rsidR="00877B63" w:rsidRPr="00A32AF4" w:rsidRDefault="00877B63" w:rsidP="00DC0553"/>
    <w:p w:rsidR="00877B63" w:rsidRPr="00A32AF4" w:rsidRDefault="00877B63" w:rsidP="00DC0553">
      <w:pPr>
        <w:keepNext/>
        <w:keepLines/>
        <w:numPr>
          <w:ilvl w:val="0"/>
          <w:numId w:val="61"/>
        </w:numPr>
        <w:jc w:val="both"/>
        <w:rPr>
          <w:rFonts w:cs="Arial"/>
        </w:rPr>
      </w:pPr>
      <w:r w:rsidRPr="00A32AF4">
        <w:rPr>
          <w:rFonts w:cs="Arial"/>
        </w:rPr>
        <w:t>Le réseau de bureaux extérieurs de l</w:t>
      </w:r>
      <w:r w:rsidR="00E2055A" w:rsidRPr="00A32AF4">
        <w:rPr>
          <w:rFonts w:cs="Arial"/>
        </w:rPr>
        <w:t>’</w:t>
      </w:r>
      <w:r w:rsidRPr="00A32AF4">
        <w:rPr>
          <w:rFonts w:cs="Arial"/>
        </w:rPr>
        <w:t>OMPI, dont la mise en place a débuté il y a plus de 10 ans, compte actuellement cinq bureaux : le Bureau de l</w:t>
      </w:r>
      <w:r w:rsidR="00E2055A" w:rsidRPr="00A32AF4">
        <w:rPr>
          <w:rFonts w:cs="Arial"/>
        </w:rPr>
        <w:t>’</w:t>
      </w:r>
      <w:r w:rsidRPr="00A32AF4">
        <w:rPr>
          <w:rFonts w:cs="Arial"/>
        </w:rPr>
        <w:t>OMPI à Singapour (créé en 2005), le Bureau de l</w:t>
      </w:r>
      <w:r w:rsidR="00E2055A" w:rsidRPr="00A32AF4">
        <w:rPr>
          <w:rFonts w:cs="Arial"/>
        </w:rPr>
        <w:t>’</w:t>
      </w:r>
      <w:r w:rsidRPr="00A32AF4">
        <w:rPr>
          <w:rFonts w:cs="Arial"/>
        </w:rPr>
        <w:t>OMPI au Japon (créé en 2006), le bureau de l</w:t>
      </w:r>
      <w:r w:rsidR="00E2055A" w:rsidRPr="00A32AF4">
        <w:rPr>
          <w:rFonts w:cs="Arial"/>
        </w:rPr>
        <w:t>’</w:t>
      </w:r>
      <w:r w:rsidRPr="00A32AF4">
        <w:rPr>
          <w:rFonts w:cs="Arial"/>
        </w:rPr>
        <w:t>OMPI au Brésil (créé en 2010), le Bureau de l</w:t>
      </w:r>
      <w:r w:rsidR="00E2055A" w:rsidRPr="00A32AF4">
        <w:rPr>
          <w:rFonts w:cs="Arial"/>
        </w:rPr>
        <w:t>’</w:t>
      </w:r>
      <w:r w:rsidRPr="00A32AF4">
        <w:rPr>
          <w:rFonts w:cs="Arial"/>
        </w:rPr>
        <w:t>OMPI en Chine (créé en 2014) et le Bureau de l</w:t>
      </w:r>
      <w:r w:rsidR="00E2055A" w:rsidRPr="00A32AF4">
        <w:rPr>
          <w:rFonts w:cs="Arial"/>
        </w:rPr>
        <w:t>’</w:t>
      </w:r>
      <w:r w:rsidRPr="00A32AF4">
        <w:rPr>
          <w:rFonts w:cs="Arial"/>
        </w:rPr>
        <w:t>OMPI en Russie (créé en 2014).</w:t>
      </w:r>
    </w:p>
    <w:p w:rsidR="00877B63" w:rsidRPr="00A32AF4" w:rsidRDefault="00877B63" w:rsidP="00DC0553">
      <w:pPr>
        <w:jc w:val="both"/>
        <w:rPr>
          <w:rFonts w:cs="Arial"/>
        </w:rPr>
      </w:pPr>
    </w:p>
    <w:p w:rsidR="00877B63" w:rsidRPr="00A32AF4" w:rsidRDefault="00877B63" w:rsidP="00DC0553">
      <w:pPr>
        <w:numPr>
          <w:ilvl w:val="0"/>
          <w:numId w:val="61"/>
        </w:numPr>
        <w:jc w:val="both"/>
        <w:rPr>
          <w:rFonts w:cs="Arial"/>
        </w:rPr>
      </w:pPr>
      <w:r w:rsidRPr="00A32AF4">
        <w:rPr>
          <w:rFonts w:cs="Arial"/>
        </w:rPr>
        <w:t>Les bureaux extérieurs de l</w:t>
      </w:r>
      <w:r w:rsidR="00E2055A" w:rsidRPr="00A32AF4">
        <w:rPr>
          <w:rFonts w:cs="Arial"/>
        </w:rPr>
        <w:t>’</w:t>
      </w:r>
      <w:r w:rsidRPr="00A32AF4">
        <w:rPr>
          <w:rFonts w:cs="Arial"/>
        </w:rPr>
        <w:t>OMPI font partie intégrante de l</w:t>
      </w:r>
      <w:r w:rsidR="00E2055A" w:rsidRPr="00A32AF4">
        <w:rPr>
          <w:rFonts w:cs="Arial"/>
        </w:rPr>
        <w:t>’</w:t>
      </w:r>
      <w:r w:rsidRPr="00A32AF4">
        <w:rPr>
          <w:rFonts w:cs="Arial"/>
        </w:rPr>
        <w:t>Organisation, travaillant en collaboration avec l</w:t>
      </w:r>
      <w:r w:rsidR="00E2055A" w:rsidRPr="00A32AF4">
        <w:rPr>
          <w:rFonts w:cs="Arial"/>
        </w:rPr>
        <w:t>’</w:t>
      </w:r>
      <w:r w:rsidRPr="00A32AF4">
        <w:rPr>
          <w:rFonts w:cs="Arial"/>
        </w:rPr>
        <w:t>ensemble des programmes au siège de l</w:t>
      </w:r>
      <w:r w:rsidR="00E2055A" w:rsidRPr="00A32AF4">
        <w:rPr>
          <w:rFonts w:cs="Arial"/>
        </w:rPr>
        <w:t>’</w:t>
      </w:r>
      <w:r w:rsidRPr="00A32AF4">
        <w:rPr>
          <w:rFonts w:cs="Arial"/>
        </w:rPr>
        <w:t>OMPI en vue de contribuer à la réalisation des objectifs stratégiques.  Ainsi, les bureaux extérieurs constituent un important prolongement concret de la présence de l</w:t>
      </w:r>
      <w:r w:rsidR="00E2055A" w:rsidRPr="00A32AF4">
        <w:rPr>
          <w:rFonts w:cs="Arial"/>
        </w:rPr>
        <w:t>’</w:t>
      </w:r>
      <w:r w:rsidRPr="00A32AF4">
        <w:rPr>
          <w:rFonts w:cs="Arial"/>
        </w:rPr>
        <w:t>OMPI dans les régions et pays avoisinants.  À cet égard, ils sont parfaitement adaptés à favoriser le rapprochement entre l</w:t>
      </w:r>
      <w:r w:rsidR="00E2055A" w:rsidRPr="00A32AF4">
        <w:rPr>
          <w:rFonts w:cs="Arial"/>
        </w:rPr>
        <w:t>’</w:t>
      </w:r>
      <w:r w:rsidRPr="00A32AF4">
        <w:rPr>
          <w:rFonts w:cs="Arial"/>
        </w:rPr>
        <w:t>Organisation, ses États membres et ses parties prenantes.</w:t>
      </w:r>
    </w:p>
    <w:p w:rsidR="00877B63" w:rsidRPr="00A32AF4" w:rsidRDefault="00877B63" w:rsidP="00DC0553">
      <w:pPr>
        <w:jc w:val="both"/>
        <w:rPr>
          <w:rFonts w:cs="Arial"/>
        </w:rPr>
      </w:pPr>
    </w:p>
    <w:p w:rsidR="00877B63" w:rsidRPr="00A32AF4" w:rsidRDefault="00877B63" w:rsidP="00DC0553">
      <w:pPr>
        <w:numPr>
          <w:ilvl w:val="0"/>
          <w:numId w:val="61"/>
        </w:numPr>
        <w:jc w:val="both"/>
        <w:rPr>
          <w:rFonts w:cs="Arial"/>
        </w:rPr>
      </w:pPr>
      <w:proofErr w:type="gramStart"/>
      <w:r w:rsidRPr="00A32AF4">
        <w:rPr>
          <w:rFonts w:cs="Arial"/>
        </w:rPr>
        <w:t>La création du réseau de bureaux extérieurs repose sur les principes fondamentaux selon lesquels : 1) les bureaux extérieurs doivent apporter une valeur ajoutée et accroître l</w:t>
      </w:r>
      <w:r w:rsidR="00E2055A" w:rsidRPr="00A32AF4">
        <w:rPr>
          <w:rFonts w:cs="Arial"/>
        </w:rPr>
        <w:t>’</w:t>
      </w:r>
      <w:r w:rsidRPr="00A32AF4">
        <w:rPr>
          <w:rFonts w:cs="Arial"/>
        </w:rPr>
        <w:t>efficacité et l</w:t>
      </w:r>
      <w:r w:rsidR="00E2055A" w:rsidRPr="00A32AF4">
        <w:rPr>
          <w:rFonts w:cs="Arial"/>
        </w:rPr>
        <w:t>’</w:t>
      </w:r>
      <w:r w:rsidRPr="00A32AF4">
        <w:rPr>
          <w:rFonts w:cs="Arial"/>
        </w:rPr>
        <w:t>efficience de l</w:t>
      </w:r>
      <w:r w:rsidR="00E2055A" w:rsidRPr="00A32AF4">
        <w:rPr>
          <w:rFonts w:cs="Arial"/>
        </w:rPr>
        <w:t>’</w:t>
      </w:r>
      <w:r w:rsidRPr="00A32AF4">
        <w:rPr>
          <w:rFonts w:cs="Arial"/>
        </w:rPr>
        <w:t>exécution du programme, en coordination avec les travaux réalisés au siège et de manière complémentaire;  2) les bureaux extérieurs ont différentes combinaisons de fonctions selon les priorités et les particularités régionales;  3) les bureaux extérieurs doivent avoir rapport coût</w:t>
      </w:r>
      <w:r w:rsidR="00EB7F54" w:rsidRPr="00A32AF4">
        <w:rPr>
          <w:rFonts w:cs="Arial"/>
        </w:rPr>
        <w:noBreakHyphen/>
      </w:r>
      <w:r w:rsidRPr="00A32AF4">
        <w:rPr>
          <w:rFonts w:cs="Arial"/>
        </w:rPr>
        <w:t>efficacité satisfaisant;  et 4) les bureaux extérieurs font tous partie intégrante du cadre réglementaire et du cadre de la gestion axée sur les résultats mis en œuvre par l</w:t>
      </w:r>
      <w:r w:rsidR="00E2055A" w:rsidRPr="00A32AF4">
        <w:rPr>
          <w:rFonts w:cs="Arial"/>
        </w:rPr>
        <w:t>’</w:t>
      </w:r>
      <w:r w:rsidRPr="00A32AF4">
        <w:rPr>
          <w:rFonts w:cs="Arial"/>
        </w:rPr>
        <w:t>OMPI.</w:t>
      </w:r>
      <w:proofErr w:type="gramEnd"/>
    </w:p>
    <w:p w:rsidR="00877B63" w:rsidRPr="00A32AF4" w:rsidRDefault="00877B63" w:rsidP="00DC0553">
      <w:pPr>
        <w:jc w:val="both"/>
        <w:rPr>
          <w:rFonts w:cs="Arial"/>
        </w:rPr>
      </w:pPr>
    </w:p>
    <w:p w:rsidR="00877B63" w:rsidRPr="00A32AF4" w:rsidRDefault="00877B63" w:rsidP="00DC0553">
      <w:pPr>
        <w:numPr>
          <w:ilvl w:val="0"/>
          <w:numId w:val="61"/>
        </w:numPr>
        <w:jc w:val="both"/>
        <w:rPr>
          <w:rFonts w:cs="Arial"/>
        </w:rPr>
      </w:pPr>
      <w:r w:rsidRPr="00A32AF4">
        <w:rPr>
          <w:rFonts w:cs="Arial"/>
        </w:rPr>
        <w:t>Dans ce contexte, les bureaux extérieurs de l</w:t>
      </w:r>
      <w:r w:rsidR="00E2055A" w:rsidRPr="00A32AF4">
        <w:rPr>
          <w:rFonts w:cs="Arial"/>
        </w:rPr>
        <w:t>’</w:t>
      </w:r>
      <w:r w:rsidRPr="00A32AF4">
        <w:rPr>
          <w:rFonts w:cs="Arial"/>
        </w:rPr>
        <w:t>OMPI contribuent à l</w:t>
      </w:r>
      <w:r w:rsidR="00E2055A" w:rsidRPr="00A32AF4">
        <w:rPr>
          <w:rFonts w:cs="Arial"/>
        </w:rPr>
        <w:t>’</w:t>
      </w:r>
      <w:r w:rsidRPr="00A32AF4">
        <w:rPr>
          <w:rFonts w:cs="Arial"/>
        </w:rPr>
        <w:t>obtention des résultats escomptés et à la réalisation des objectifs stratégiques de l</w:t>
      </w:r>
      <w:r w:rsidR="00E2055A" w:rsidRPr="00A32AF4">
        <w:rPr>
          <w:rFonts w:cs="Arial"/>
        </w:rPr>
        <w:t>’</w:t>
      </w:r>
      <w:r w:rsidRPr="00A32AF4">
        <w:rPr>
          <w:rFonts w:cs="Arial"/>
        </w:rPr>
        <w:t xml:space="preserve">OMPI.  </w:t>
      </w:r>
      <w:proofErr w:type="gramStart"/>
      <w:r w:rsidRPr="00A32AF4">
        <w:rPr>
          <w:rFonts w:cs="Arial"/>
        </w:rPr>
        <w:t>Les bureaux extérieurs ont : fourni des services d</w:t>
      </w:r>
      <w:r w:rsidR="00E2055A" w:rsidRPr="00A32AF4">
        <w:rPr>
          <w:rFonts w:cs="Arial"/>
        </w:rPr>
        <w:t>’</w:t>
      </w:r>
      <w:r w:rsidRPr="00A32AF4">
        <w:rPr>
          <w:rFonts w:cs="Arial"/>
        </w:rPr>
        <w:t>appui aux systèmes mondiaux de propriété intellectuelle de l</w:t>
      </w:r>
      <w:r w:rsidR="00E2055A" w:rsidRPr="00A32AF4">
        <w:rPr>
          <w:rFonts w:cs="Arial"/>
        </w:rPr>
        <w:t>’</w:t>
      </w:r>
      <w:r w:rsidRPr="00A32AF4">
        <w:rPr>
          <w:rFonts w:cs="Arial"/>
        </w:rPr>
        <w:t>OMPI;  apporté une assistance technique dans les pays en développement en rapport avec les programmes de l</w:t>
      </w:r>
      <w:r w:rsidR="00E2055A" w:rsidRPr="00A32AF4">
        <w:rPr>
          <w:rFonts w:cs="Arial"/>
        </w:rPr>
        <w:t>’</w:t>
      </w:r>
      <w:r w:rsidRPr="00A32AF4">
        <w:rPr>
          <w:rFonts w:cs="Arial"/>
        </w:rPr>
        <w:t>Organisation relatifs à l</w:t>
      </w:r>
      <w:r w:rsidR="00E2055A" w:rsidRPr="00A32AF4">
        <w:rPr>
          <w:rFonts w:cs="Arial"/>
        </w:rPr>
        <w:t>’</w:t>
      </w:r>
      <w:r w:rsidRPr="00A32AF4">
        <w:rPr>
          <w:rFonts w:cs="Arial"/>
        </w:rPr>
        <w:t>infrastructure mondiale;  organisé des activités de renforcement des capacités visant à favoriser l</w:t>
      </w:r>
      <w:r w:rsidR="00E2055A" w:rsidRPr="00A32AF4">
        <w:rPr>
          <w:rFonts w:cs="Arial"/>
        </w:rPr>
        <w:t>’</w:t>
      </w:r>
      <w:r w:rsidRPr="00A32AF4">
        <w:rPr>
          <w:rFonts w:cs="Arial"/>
        </w:rPr>
        <w:t>utilisation de la propriété intellectuelle au service du développement;  fait connaître les traités de l</w:t>
      </w:r>
      <w:r w:rsidR="00E2055A" w:rsidRPr="00A32AF4">
        <w:rPr>
          <w:rFonts w:cs="Arial"/>
        </w:rPr>
        <w:t>’</w:t>
      </w:r>
      <w:r w:rsidRPr="00A32AF4">
        <w:rPr>
          <w:rFonts w:cs="Arial"/>
        </w:rPr>
        <w:t>OMPI aux fins d</w:t>
      </w:r>
      <w:r w:rsidR="00E2055A" w:rsidRPr="00A32AF4">
        <w:rPr>
          <w:rFonts w:cs="Arial"/>
        </w:rPr>
        <w:t>’</w:t>
      </w:r>
      <w:r w:rsidRPr="00A32AF4">
        <w:rPr>
          <w:rFonts w:cs="Arial"/>
        </w:rPr>
        <w:t>évolution équilibrée du cadre normatif international de la propriété intellectuelle;  communiqué plus efficacement en direction d</w:t>
      </w:r>
      <w:r w:rsidR="00E2055A" w:rsidRPr="00A32AF4">
        <w:rPr>
          <w:rFonts w:cs="Arial"/>
        </w:rPr>
        <w:t>’</w:t>
      </w:r>
      <w:r w:rsidRPr="00A32AF4">
        <w:rPr>
          <w:rFonts w:cs="Arial"/>
        </w:rPr>
        <w:t>un large public;  tiré parti de leur situation de proximité immédiate afin de mener des activités de proximité ciblées et de nouer des relations plus étroites avec les parties prenantes;  et, fourni des services “</w:t>
      </w:r>
      <w:r w:rsidR="00C20880" w:rsidRPr="00A32AF4">
        <w:rPr>
          <w:rFonts w:cs="Arial"/>
        </w:rPr>
        <w:t>24 </w:t>
      </w:r>
      <w:r w:rsidRPr="00A32AF4">
        <w:rPr>
          <w:rFonts w:cs="Arial"/>
        </w:rPr>
        <w:t>heures sur 24” afin d</w:t>
      </w:r>
      <w:r w:rsidR="00E2055A" w:rsidRPr="00A32AF4">
        <w:rPr>
          <w:rFonts w:cs="Arial"/>
        </w:rPr>
        <w:t>’</w:t>
      </w:r>
      <w:r w:rsidRPr="00A32AF4">
        <w:rPr>
          <w:rFonts w:cs="Arial"/>
        </w:rPr>
        <w:t>assurer la disponibilité de l</w:t>
      </w:r>
      <w:r w:rsidR="00E2055A" w:rsidRPr="00A32AF4">
        <w:rPr>
          <w:rFonts w:cs="Arial"/>
        </w:rPr>
        <w:t>’</w:t>
      </w:r>
      <w:r w:rsidRPr="00A32AF4">
        <w:rPr>
          <w:rFonts w:cs="Arial"/>
        </w:rPr>
        <w:t>OMPI en dehors des heures d</w:t>
      </w:r>
      <w:r w:rsidR="00E2055A" w:rsidRPr="00A32AF4">
        <w:rPr>
          <w:rFonts w:cs="Arial"/>
        </w:rPr>
        <w:t>’</w:t>
      </w:r>
      <w:r w:rsidRPr="00A32AF4">
        <w:rPr>
          <w:rFonts w:cs="Arial"/>
        </w:rPr>
        <w:t>ouverture de Genève.</w:t>
      </w:r>
      <w:proofErr w:type="gramEnd"/>
    </w:p>
    <w:p w:rsidR="00877B63" w:rsidRPr="00A32AF4" w:rsidRDefault="00877B63" w:rsidP="00DC0553">
      <w:pPr>
        <w:jc w:val="both"/>
        <w:rPr>
          <w:rFonts w:cs="Arial"/>
        </w:rPr>
      </w:pPr>
    </w:p>
    <w:p w:rsidR="00E2055A" w:rsidRPr="00A32AF4" w:rsidRDefault="00877B63" w:rsidP="00DC0553">
      <w:pPr>
        <w:numPr>
          <w:ilvl w:val="0"/>
          <w:numId w:val="61"/>
        </w:numPr>
        <w:jc w:val="both"/>
        <w:rPr>
          <w:rFonts w:cs="Arial"/>
        </w:rPr>
      </w:pPr>
      <w:r w:rsidRPr="00A32AF4">
        <w:rPr>
          <w:rFonts w:cs="Arial"/>
          <w:bCs/>
        </w:rPr>
        <w:t>Compte tenu des difficultés que pose l</w:t>
      </w:r>
      <w:r w:rsidR="00E2055A" w:rsidRPr="00A32AF4">
        <w:rPr>
          <w:rFonts w:cs="Arial"/>
          <w:bCs/>
        </w:rPr>
        <w:t>’</w:t>
      </w:r>
      <w:r w:rsidRPr="00A32AF4">
        <w:rPr>
          <w:rFonts w:cs="Arial"/>
          <w:bCs/>
        </w:rPr>
        <w:t>intégration complète d</w:t>
      </w:r>
      <w:r w:rsidR="00E2055A" w:rsidRPr="00A32AF4">
        <w:rPr>
          <w:rFonts w:cs="Arial"/>
          <w:bCs/>
        </w:rPr>
        <w:t>’</w:t>
      </w:r>
      <w:r w:rsidRPr="00A32AF4">
        <w:rPr>
          <w:rFonts w:cs="Arial"/>
          <w:bCs/>
        </w:rPr>
        <w:t>un réseau relativement récent aux opérations d</w:t>
      </w:r>
      <w:r w:rsidR="00E2055A" w:rsidRPr="00A32AF4">
        <w:rPr>
          <w:rFonts w:cs="Arial"/>
          <w:bCs/>
        </w:rPr>
        <w:t>’</w:t>
      </w:r>
      <w:r w:rsidRPr="00A32AF4">
        <w:rPr>
          <w:rFonts w:cs="Arial"/>
          <w:bCs/>
        </w:rPr>
        <w:t xml:space="preserve">une organisation </w:t>
      </w:r>
      <w:r w:rsidRPr="00A32AF4">
        <w:rPr>
          <w:rFonts w:cs="Arial"/>
        </w:rPr>
        <w:t>dont les activités sont en grande partie basées au siège, le besoin s</w:t>
      </w:r>
      <w:r w:rsidR="00E2055A" w:rsidRPr="00A32AF4">
        <w:rPr>
          <w:rFonts w:cs="Arial"/>
        </w:rPr>
        <w:t>’</w:t>
      </w:r>
      <w:r w:rsidRPr="00A32AF4">
        <w:rPr>
          <w:rFonts w:cs="Arial"/>
        </w:rPr>
        <w:t>est fait sentir d</w:t>
      </w:r>
      <w:r w:rsidR="00E2055A" w:rsidRPr="00A32AF4">
        <w:rPr>
          <w:rFonts w:cs="Arial"/>
        </w:rPr>
        <w:t>’</w:t>
      </w:r>
      <w:r w:rsidRPr="00A32AF4">
        <w:rPr>
          <w:rFonts w:cs="Arial"/>
        </w:rPr>
        <w:t>améliorer davantage la productivité et l</w:t>
      </w:r>
      <w:r w:rsidR="00E2055A" w:rsidRPr="00A32AF4">
        <w:rPr>
          <w:rFonts w:cs="Arial"/>
        </w:rPr>
        <w:t>’</w:t>
      </w:r>
      <w:r w:rsidRPr="00A32AF4">
        <w:rPr>
          <w:rFonts w:cs="Arial"/>
        </w:rPr>
        <w:t>efficacité des bureaux extérieurs, de simplifier leur coordination avec l</w:t>
      </w:r>
      <w:r w:rsidR="00E2055A" w:rsidRPr="00A32AF4">
        <w:rPr>
          <w:rFonts w:cs="Arial"/>
        </w:rPr>
        <w:t>’</w:t>
      </w:r>
      <w:r w:rsidRPr="00A32AF4">
        <w:rPr>
          <w:rFonts w:cs="Arial"/>
        </w:rPr>
        <w:t xml:space="preserve">ensemble des programmes basés au siège et de renforcer la cohérence de leur gestion globale par des mesures concrètes.  </w:t>
      </w:r>
      <w:proofErr w:type="gramStart"/>
      <w:r w:rsidRPr="00A32AF4">
        <w:rPr>
          <w:rFonts w:cs="Arial"/>
        </w:rPr>
        <w:t>À cette fin, des initiatives ont été lancées en 2014</w:t>
      </w:r>
      <w:r w:rsidR="00EB7F54" w:rsidRPr="00A32AF4">
        <w:rPr>
          <w:rFonts w:cs="Arial"/>
        </w:rPr>
        <w:noBreakHyphen/>
      </w:r>
      <w:r w:rsidRPr="00A32AF4">
        <w:rPr>
          <w:rFonts w:cs="Arial"/>
        </w:rPr>
        <w:t>2015, afin : d</w:t>
      </w:r>
      <w:r w:rsidR="00E2055A" w:rsidRPr="00A32AF4">
        <w:rPr>
          <w:rFonts w:cs="Arial"/>
        </w:rPr>
        <w:t>’</w:t>
      </w:r>
      <w:r w:rsidRPr="00A32AF4">
        <w:rPr>
          <w:rFonts w:cs="Arial"/>
        </w:rPr>
        <w:t>améliorer l</w:t>
      </w:r>
      <w:r w:rsidR="00E2055A" w:rsidRPr="00A32AF4">
        <w:rPr>
          <w:rFonts w:cs="Arial"/>
        </w:rPr>
        <w:t>’</w:t>
      </w:r>
      <w:r w:rsidRPr="00A32AF4">
        <w:rPr>
          <w:rFonts w:cs="Arial"/>
        </w:rPr>
        <w:t>infrastructure informatique des bureaux extérieurs et de les intégrer de manière homogène au sein de l</w:t>
      </w:r>
      <w:r w:rsidR="00E2055A" w:rsidRPr="00A32AF4">
        <w:rPr>
          <w:rFonts w:cs="Arial"/>
        </w:rPr>
        <w:t>’</w:t>
      </w:r>
      <w:r w:rsidRPr="00A32AF4">
        <w:rPr>
          <w:rFonts w:cs="Arial"/>
        </w:rPr>
        <w:t>architecture informatique globale de l</w:t>
      </w:r>
      <w:r w:rsidR="00E2055A" w:rsidRPr="00A32AF4">
        <w:rPr>
          <w:rFonts w:cs="Arial"/>
        </w:rPr>
        <w:t>’</w:t>
      </w:r>
      <w:r w:rsidRPr="00A32AF4">
        <w:rPr>
          <w:rFonts w:cs="Arial"/>
        </w:rPr>
        <w:t>Organisation;  d</w:t>
      </w:r>
      <w:r w:rsidR="00E2055A" w:rsidRPr="00A32AF4">
        <w:rPr>
          <w:rFonts w:cs="Arial"/>
        </w:rPr>
        <w:t>’</w:t>
      </w:r>
      <w:r w:rsidRPr="00A32AF4">
        <w:rPr>
          <w:rFonts w:cs="Arial"/>
        </w:rPr>
        <w:t>améliorer et de rationaliser les politiques de ressources humaines concernant la dotation en personnel des bureaux extérieurs;  de renforcer la planification des programmes, la mise en place et le suivi des bureaux extérieurs;  d</w:t>
      </w:r>
      <w:r w:rsidR="00E2055A" w:rsidRPr="00A32AF4">
        <w:rPr>
          <w:rFonts w:cs="Arial"/>
        </w:rPr>
        <w:t>’</w:t>
      </w:r>
      <w:r w:rsidRPr="00A32AF4">
        <w:rPr>
          <w:rFonts w:cs="Arial"/>
        </w:rPr>
        <w:t>établir une stratégie de communication globale pour les bureaux extérieurs;  d</w:t>
      </w:r>
      <w:r w:rsidR="00E2055A" w:rsidRPr="00A32AF4">
        <w:rPr>
          <w:rFonts w:cs="Arial"/>
        </w:rPr>
        <w:t>’</w:t>
      </w:r>
      <w:r w:rsidRPr="00A32AF4">
        <w:rPr>
          <w:rFonts w:cs="Arial"/>
        </w:rPr>
        <w:t>améliorer et d</w:t>
      </w:r>
      <w:r w:rsidR="00E2055A" w:rsidRPr="00A32AF4">
        <w:rPr>
          <w:rFonts w:cs="Arial"/>
        </w:rPr>
        <w:t>’</w:t>
      </w:r>
      <w:r w:rsidRPr="00A32AF4">
        <w:rPr>
          <w:rFonts w:cs="Arial"/>
        </w:rPr>
        <w:t>institutionnaliser la présentation de rapports et la communication entre les bureaux extérieurs et le siège;  et, d</w:t>
      </w:r>
      <w:r w:rsidR="00E2055A" w:rsidRPr="00A32AF4">
        <w:rPr>
          <w:rFonts w:cs="Arial"/>
        </w:rPr>
        <w:t>’</w:t>
      </w:r>
      <w:r w:rsidRPr="00A32AF4">
        <w:rPr>
          <w:rFonts w:cs="Arial"/>
        </w:rPr>
        <w:t>élaborer des plans de continuité des opérations pour chaque bureau extérieur.</w:t>
      </w:r>
      <w:proofErr w:type="gramEnd"/>
    </w:p>
    <w:p w:rsidR="00877B63" w:rsidRPr="00A32AF4" w:rsidRDefault="00877B63" w:rsidP="00DC0553">
      <w:pPr>
        <w:jc w:val="both"/>
        <w:rPr>
          <w:rFonts w:cs="Arial"/>
        </w:rPr>
      </w:pPr>
    </w:p>
    <w:p w:rsidR="00877B63" w:rsidRPr="00A32AF4" w:rsidRDefault="00877B63" w:rsidP="00DC0553">
      <w:pPr>
        <w:jc w:val="both"/>
        <w:rPr>
          <w:rFonts w:cs="Arial"/>
        </w:rPr>
      </w:pPr>
    </w:p>
    <w:p w:rsidR="00877B63" w:rsidRPr="00A32AF4" w:rsidRDefault="00877B63" w:rsidP="00DC0553">
      <w:r w:rsidRPr="00A32AF4">
        <w:t>STRATÉGIES DE MISE EN ŒUVRE</w:t>
      </w:r>
    </w:p>
    <w:p w:rsidR="00877B63" w:rsidRPr="00A32AF4" w:rsidRDefault="00877B63" w:rsidP="00DC0553">
      <w:pPr>
        <w:jc w:val="both"/>
        <w:rPr>
          <w:rFonts w:cs="Arial"/>
        </w:rPr>
      </w:pPr>
    </w:p>
    <w:p w:rsidR="00877B63" w:rsidRPr="00A32AF4" w:rsidRDefault="00877B63" w:rsidP="00DC0553">
      <w:pPr>
        <w:numPr>
          <w:ilvl w:val="0"/>
          <w:numId w:val="61"/>
        </w:numPr>
        <w:jc w:val="both"/>
        <w:rPr>
          <w:rFonts w:cs="Arial"/>
        </w:rPr>
      </w:pPr>
      <w:r w:rsidRPr="00A32AF4">
        <w:rPr>
          <w:rFonts w:cs="Arial"/>
        </w:rPr>
        <w:t>En se fondant sur les initiatives susmentionnées, des efforts continus seront déployés afin de renforcer l</w:t>
      </w:r>
      <w:r w:rsidR="00E2055A" w:rsidRPr="00A32AF4">
        <w:rPr>
          <w:rFonts w:cs="Arial"/>
        </w:rPr>
        <w:t>’</w:t>
      </w:r>
      <w:r w:rsidRPr="00A32AF4">
        <w:rPr>
          <w:rFonts w:cs="Arial"/>
        </w:rPr>
        <w:t>intégration homogène des bureaux extérieurs à tous les aspects de fonctionnement de l</w:t>
      </w:r>
      <w:r w:rsidR="00E2055A" w:rsidRPr="00A32AF4">
        <w:rPr>
          <w:rFonts w:cs="Arial"/>
        </w:rPr>
        <w:t>’</w:t>
      </w:r>
      <w:r w:rsidRPr="00A32AF4">
        <w:rPr>
          <w:rFonts w:cs="Arial"/>
        </w:rPr>
        <w:t>Organisation.  Cette intégration sera essentielle afin de garantir que l</w:t>
      </w:r>
      <w:r w:rsidR="00E2055A" w:rsidRPr="00A32AF4">
        <w:rPr>
          <w:rFonts w:cs="Arial"/>
        </w:rPr>
        <w:t>’</w:t>
      </w:r>
      <w:r w:rsidRPr="00A32AF4">
        <w:rPr>
          <w:rFonts w:cs="Arial"/>
        </w:rPr>
        <w:t>OMPI puisse continuer de renforcer sa position en tant qu</w:t>
      </w:r>
      <w:r w:rsidR="00E2055A" w:rsidRPr="00A32AF4">
        <w:rPr>
          <w:rFonts w:cs="Arial"/>
        </w:rPr>
        <w:t>’</w:t>
      </w:r>
      <w:r w:rsidRPr="00A32AF4">
        <w:rPr>
          <w:rFonts w:cs="Arial"/>
        </w:rPr>
        <w:t>organisation véritablement mondiale répondant aux besoins de ses États membres et de ses parties prenantes et soit capable d</w:t>
      </w:r>
      <w:r w:rsidR="00E2055A" w:rsidRPr="00A32AF4">
        <w:rPr>
          <w:rFonts w:cs="Arial"/>
        </w:rPr>
        <w:t>’</w:t>
      </w:r>
      <w:r w:rsidRPr="00A32AF4">
        <w:rPr>
          <w:rFonts w:cs="Arial"/>
        </w:rPr>
        <w:t>atteindre ses objectifs ambitieux en matière d</w:t>
      </w:r>
      <w:r w:rsidR="00E2055A" w:rsidRPr="00A32AF4">
        <w:rPr>
          <w:rFonts w:cs="Arial"/>
        </w:rPr>
        <w:t>’</w:t>
      </w:r>
      <w:r w:rsidRPr="00A32AF4">
        <w:rPr>
          <w:rFonts w:cs="Arial"/>
        </w:rPr>
        <w:t>offres de services plus efficaces grâce à une coopération plus étroite.  À cette fin, les bureaux extérieurs de l</w:t>
      </w:r>
      <w:r w:rsidR="00E2055A" w:rsidRPr="00A32AF4">
        <w:rPr>
          <w:rFonts w:cs="Arial"/>
        </w:rPr>
        <w:t>’</w:t>
      </w:r>
      <w:r w:rsidRPr="00A32AF4">
        <w:rPr>
          <w:rFonts w:cs="Arial"/>
        </w:rPr>
        <w:t>OMPI contribueront, dans leur pays hôte ou dans la région environnante, à la réalisation des objectifs stratégiques et à l</w:t>
      </w:r>
      <w:r w:rsidR="00E2055A" w:rsidRPr="00A32AF4">
        <w:rPr>
          <w:rFonts w:cs="Arial"/>
        </w:rPr>
        <w:t>’</w:t>
      </w:r>
      <w:r w:rsidRPr="00A32AF4">
        <w:rPr>
          <w:rFonts w:cs="Arial"/>
        </w:rPr>
        <w:t>obtention des résultats escomptés de l</w:t>
      </w:r>
      <w:r w:rsidR="00E2055A" w:rsidRPr="00A32AF4">
        <w:rPr>
          <w:rFonts w:cs="Arial"/>
        </w:rPr>
        <w:t>’</w:t>
      </w:r>
      <w:r w:rsidRPr="00A32AF4">
        <w:rPr>
          <w:rFonts w:cs="Arial"/>
        </w:rPr>
        <w:t>OMPI en coordination avec le siège.</w:t>
      </w:r>
    </w:p>
    <w:p w:rsidR="00877B63" w:rsidRPr="00A32AF4" w:rsidRDefault="00877B63" w:rsidP="00DC0553">
      <w:pPr>
        <w:jc w:val="both"/>
        <w:rPr>
          <w:rFonts w:cs="Arial"/>
        </w:rPr>
      </w:pPr>
    </w:p>
    <w:p w:rsidR="00877B63" w:rsidRPr="00A32AF4" w:rsidRDefault="00877B63" w:rsidP="00DC0553">
      <w:pPr>
        <w:jc w:val="both"/>
        <w:rPr>
          <w:rFonts w:cs="Arial"/>
          <w:u w:val="single"/>
        </w:rPr>
      </w:pPr>
      <w:r w:rsidRPr="00A32AF4">
        <w:rPr>
          <w:rFonts w:cs="Arial"/>
          <w:u w:val="single"/>
        </w:rPr>
        <w:t>Bureau de l</w:t>
      </w:r>
      <w:r w:rsidR="00E2055A" w:rsidRPr="00A32AF4">
        <w:rPr>
          <w:rFonts w:cs="Arial"/>
          <w:u w:val="single"/>
        </w:rPr>
        <w:t>’</w:t>
      </w:r>
      <w:r w:rsidRPr="00A32AF4">
        <w:rPr>
          <w:rFonts w:cs="Arial"/>
          <w:u w:val="single"/>
        </w:rPr>
        <w:t>OMPI à Singapour</w:t>
      </w:r>
    </w:p>
    <w:p w:rsidR="00877B63" w:rsidRPr="00A32AF4" w:rsidRDefault="00877B63" w:rsidP="00DC0553">
      <w:pPr>
        <w:keepNext/>
        <w:keepLines/>
        <w:jc w:val="both"/>
        <w:rPr>
          <w:rFonts w:cs="Arial"/>
        </w:rPr>
      </w:pPr>
    </w:p>
    <w:p w:rsidR="00877B63" w:rsidRPr="00A32AF4" w:rsidRDefault="00877B63" w:rsidP="00DC0553">
      <w:pPr>
        <w:keepNext/>
        <w:keepLines/>
        <w:numPr>
          <w:ilvl w:val="0"/>
          <w:numId w:val="61"/>
        </w:numPr>
        <w:jc w:val="both"/>
        <w:rPr>
          <w:rFonts w:cs="Arial"/>
        </w:rPr>
      </w:pPr>
      <w:r w:rsidRPr="00A32AF4">
        <w:rPr>
          <w:rFonts w:cs="Arial"/>
        </w:rPr>
        <w:t>Le Bureau de l</w:t>
      </w:r>
      <w:r w:rsidR="00E2055A" w:rsidRPr="00A32AF4">
        <w:rPr>
          <w:rFonts w:cs="Arial"/>
        </w:rPr>
        <w:t>’</w:t>
      </w:r>
      <w:r w:rsidRPr="00A32AF4">
        <w:rPr>
          <w:rFonts w:cs="Arial"/>
        </w:rPr>
        <w:t>OMPI à Singapour continuera d</w:t>
      </w:r>
      <w:r w:rsidR="00E2055A" w:rsidRPr="00A32AF4">
        <w:rPr>
          <w:rFonts w:cs="Arial"/>
        </w:rPr>
        <w:t>’</w:t>
      </w:r>
      <w:r w:rsidRPr="00A32AF4">
        <w:rPr>
          <w:rFonts w:cs="Arial"/>
        </w:rPr>
        <w:t>être un centre de prestation de services pour la région, et notamment de faciliter le recours à la propriété intellectuelle aux fins de développement et de promouvoir les services mondiaux de propriété intellectuelle de l</w:t>
      </w:r>
      <w:r w:rsidR="00E2055A" w:rsidRPr="00A32AF4">
        <w:rPr>
          <w:rFonts w:cs="Arial"/>
        </w:rPr>
        <w:t>’</w:t>
      </w:r>
      <w:r w:rsidRPr="00A32AF4">
        <w:rPr>
          <w:rFonts w:cs="Arial"/>
        </w:rPr>
        <w:t>OMPI et de soutenir et de promouvoir le Centre d</w:t>
      </w:r>
      <w:r w:rsidR="00E2055A" w:rsidRPr="00A32AF4">
        <w:rPr>
          <w:rFonts w:cs="Arial"/>
        </w:rPr>
        <w:t>’</w:t>
      </w:r>
      <w:r w:rsidRPr="00A32AF4">
        <w:rPr>
          <w:rFonts w:cs="Arial"/>
        </w:rPr>
        <w:t>arbitrage et de médiation de l</w:t>
      </w:r>
      <w:r w:rsidR="00E2055A" w:rsidRPr="00A32AF4">
        <w:rPr>
          <w:rFonts w:cs="Arial"/>
        </w:rPr>
        <w:t>’</w:t>
      </w:r>
      <w:r w:rsidRPr="00A32AF4">
        <w:rPr>
          <w:rFonts w:cs="Arial"/>
        </w:rPr>
        <w:t>OMPI à Singapour.</w:t>
      </w:r>
    </w:p>
    <w:p w:rsidR="00877B63" w:rsidRPr="00A32AF4" w:rsidRDefault="00877B63" w:rsidP="00DC0553">
      <w:pPr>
        <w:jc w:val="both"/>
        <w:rPr>
          <w:rFonts w:cs="Arial"/>
        </w:rPr>
      </w:pPr>
    </w:p>
    <w:p w:rsidR="00877B63" w:rsidRPr="00A32AF4" w:rsidRDefault="00877B63" w:rsidP="00DC0553">
      <w:pPr>
        <w:numPr>
          <w:ilvl w:val="0"/>
          <w:numId w:val="61"/>
        </w:numPr>
        <w:jc w:val="both"/>
        <w:rPr>
          <w:rFonts w:cs="Arial"/>
        </w:rPr>
      </w:pPr>
      <w:r w:rsidRPr="00A32AF4">
        <w:rPr>
          <w:rFonts w:cs="Arial"/>
        </w:rPr>
        <w:t>Une attention toute particulière continuera d</w:t>
      </w:r>
      <w:r w:rsidR="00E2055A" w:rsidRPr="00A32AF4">
        <w:rPr>
          <w:rFonts w:cs="Arial"/>
        </w:rPr>
        <w:t>’</w:t>
      </w:r>
      <w:r w:rsidRPr="00A32AF4">
        <w:rPr>
          <w:rFonts w:cs="Arial"/>
        </w:rPr>
        <w:t>être accordée à la sous</w:t>
      </w:r>
      <w:r w:rsidR="00EB7F54" w:rsidRPr="00A32AF4">
        <w:rPr>
          <w:rFonts w:cs="Arial"/>
        </w:rPr>
        <w:noBreakHyphen/>
      </w:r>
      <w:r w:rsidRPr="00A32AF4">
        <w:rPr>
          <w:rFonts w:cs="Arial"/>
        </w:rPr>
        <w:t>région de l</w:t>
      </w:r>
      <w:r w:rsidR="00E2055A" w:rsidRPr="00A32AF4">
        <w:rPr>
          <w:rFonts w:cs="Arial"/>
        </w:rPr>
        <w:t>’</w:t>
      </w:r>
      <w:r w:rsidRPr="00A32AF4">
        <w:rPr>
          <w:rFonts w:cs="Arial"/>
        </w:rPr>
        <w:t>Association des nations de l</w:t>
      </w:r>
      <w:r w:rsidR="00E2055A" w:rsidRPr="00A32AF4">
        <w:rPr>
          <w:rFonts w:cs="Arial"/>
        </w:rPr>
        <w:t>’</w:t>
      </w:r>
      <w:r w:rsidRPr="00A32AF4">
        <w:rPr>
          <w:rFonts w:cs="Arial"/>
        </w:rPr>
        <w:t>Asie du Sud</w:t>
      </w:r>
      <w:r w:rsidR="00EB7F54" w:rsidRPr="00A32AF4">
        <w:rPr>
          <w:rFonts w:cs="Arial"/>
        </w:rPr>
        <w:noBreakHyphen/>
      </w:r>
      <w:r w:rsidRPr="00A32AF4">
        <w:rPr>
          <w:rFonts w:cs="Arial"/>
        </w:rPr>
        <w:t>Est (ASEAN), grâce à une assistance à la mise en œuvre du Plan d</w:t>
      </w:r>
      <w:r w:rsidR="00E2055A" w:rsidRPr="00A32AF4">
        <w:rPr>
          <w:rFonts w:cs="Arial"/>
        </w:rPr>
        <w:t>’</w:t>
      </w:r>
      <w:r w:rsidRPr="00A32AF4">
        <w:rPr>
          <w:rFonts w:cs="Arial"/>
        </w:rPr>
        <w:t>action de l</w:t>
      </w:r>
      <w:r w:rsidR="00E2055A" w:rsidRPr="00A32AF4">
        <w:rPr>
          <w:rFonts w:cs="Arial"/>
        </w:rPr>
        <w:t>’</w:t>
      </w:r>
      <w:r w:rsidRPr="00A32AF4">
        <w:rPr>
          <w:rFonts w:cs="Arial"/>
        </w:rPr>
        <w:t>ASEAN sur la propriété intellectuelle (2011</w:t>
      </w:r>
      <w:r w:rsidR="00EB7F54" w:rsidRPr="00A32AF4">
        <w:rPr>
          <w:rFonts w:cs="Arial"/>
        </w:rPr>
        <w:noBreakHyphen/>
      </w:r>
      <w:r w:rsidRPr="00A32AF4">
        <w:rPr>
          <w:rFonts w:cs="Arial"/>
        </w:rPr>
        <w:t>2015), conformément aux programmes nationaux élaborés et aux priorités définies dans le cadre de leurs stratégies nationales en matière de propriété intellectuelle.  Une collaboration étroite avec le Groupe de travail de l</w:t>
      </w:r>
      <w:r w:rsidR="00E2055A" w:rsidRPr="00A32AF4">
        <w:rPr>
          <w:rFonts w:cs="Arial"/>
        </w:rPr>
        <w:t>’</w:t>
      </w:r>
      <w:r w:rsidRPr="00A32AF4">
        <w:rPr>
          <w:rFonts w:cs="Arial"/>
        </w:rPr>
        <w:t>ASEAN sur la coopération en matière de propriété intellectuelle (AWGIPC) et avec le Secrétariat de l</w:t>
      </w:r>
      <w:r w:rsidR="00E2055A" w:rsidRPr="00A32AF4">
        <w:rPr>
          <w:rFonts w:cs="Arial"/>
        </w:rPr>
        <w:t>’</w:t>
      </w:r>
      <w:r w:rsidRPr="00A32AF4">
        <w:rPr>
          <w:rFonts w:cs="Arial"/>
        </w:rPr>
        <w:t>ASEAN sera utile à cet égard.</w:t>
      </w:r>
    </w:p>
    <w:p w:rsidR="00877B63" w:rsidRPr="00A32AF4" w:rsidRDefault="00877B63" w:rsidP="00DC0553">
      <w:pPr>
        <w:jc w:val="both"/>
        <w:rPr>
          <w:rFonts w:cs="Arial"/>
        </w:rPr>
      </w:pPr>
    </w:p>
    <w:p w:rsidR="00877B63" w:rsidRPr="00A32AF4" w:rsidRDefault="00877B63" w:rsidP="00DC0553">
      <w:pPr>
        <w:jc w:val="both"/>
        <w:rPr>
          <w:rFonts w:cs="Arial"/>
          <w:u w:val="single"/>
        </w:rPr>
      </w:pPr>
      <w:r w:rsidRPr="00A32AF4">
        <w:rPr>
          <w:rFonts w:cs="Arial"/>
          <w:u w:val="single"/>
        </w:rPr>
        <w:t>Bureau de l</w:t>
      </w:r>
      <w:r w:rsidR="00E2055A" w:rsidRPr="00A32AF4">
        <w:rPr>
          <w:rFonts w:cs="Arial"/>
          <w:u w:val="single"/>
        </w:rPr>
        <w:t>’</w:t>
      </w:r>
      <w:r w:rsidRPr="00A32AF4">
        <w:rPr>
          <w:rFonts w:cs="Arial"/>
          <w:u w:val="single"/>
        </w:rPr>
        <w:t>OMPI au Brésil</w:t>
      </w:r>
    </w:p>
    <w:p w:rsidR="00877B63" w:rsidRPr="00A32AF4" w:rsidRDefault="00877B63" w:rsidP="00DC0553">
      <w:pPr>
        <w:jc w:val="both"/>
        <w:rPr>
          <w:rFonts w:cs="Arial"/>
        </w:rPr>
      </w:pPr>
    </w:p>
    <w:p w:rsidR="00877B63" w:rsidRPr="00A32AF4" w:rsidRDefault="00877B63" w:rsidP="00DC0553">
      <w:pPr>
        <w:numPr>
          <w:ilvl w:val="0"/>
          <w:numId w:val="61"/>
        </w:numPr>
        <w:jc w:val="both"/>
        <w:rPr>
          <w:rFonts w:cs="Arial"/>
        </w:rPr>
      </w:pPr>
      <w:r w:rsidRPr="00A32AF4">
        <w:rPr>
          <w:rFonts w:cs="Arial"/>
        </w:rPr>
        <w:t>En tant que centre de services de l</w:t>
      </w:r>
      <w:r w:rsidR="00E2055A" w:rsidRPr="00A32AF4">
        <w:rPr>
          <w:rFonts w:cs="Arial"/>
        </w:rPr>
        <w:t>’</w:t>
      </w:r>
      <w:r w:rsidRPr="00A32AF4">
        <w:rPr>
          <w:rFonts w:cs="Arial"/>
        </w:rPr>
        <w:t>OMPI au Brésil, le Bureau de l</w:t>
      </w:r>
      <w:r w:rsidR="00E2055A" w:rsidRPr="00A32AF4">
        <w:rPr>
          <w:rFonts w:cs="Arial"/>
        </w:rPr>
        <w:t>’</w:t>
      </w:r>
      <w:r w:rsidRPr="00A32AF4">
        <w:rPr>
          <w:rFonts w:cs="Arial"/>
        </w:rPr>
        <w:t>OMPI au Brésil s</w:t>
      </w:r>
      <w:r w:rsidR="00E2055A" w:rsidRPr="00A32AF4">
        <w:rPr>
          <w:rFonts w:cs="Arial"/>
        </w:rPr>
        <w:t>’</w:t>
      </w:r>
      <w:r w:rsidRPr="00A32AF4">
        <w:rPr>
          <w:rFonts w:cs="Arial"/>
        </w:rPr>
        <w:t>attachera en priorité à promouvoir les services mondiaux de propriété intellectuelle de l</w:t>
      </w:r>
      <w:r w:rsidR="00E2055A" w:rsidRPr="00A32AF4">
        <w:rPr>
          <w:rFonts w:cs="Arial"/>
        </w:rPr>
        <w:t>’</w:t>
      </w:r>
      <w:r w:rsidRPr="00A32AF4">
        <w:rPr>
          <w:rFonts w:cs="Arial"/>
        </w:rPr>
        <w:t>OMPI et à favoriser l</w:t>
      </w:r>
      <w:r w:rsidR="00E2055A" w:rsidRPr="00A32AF4">
        <w:rPr>
          <w:rFonts w:cs="Arial"/>
        </w:rPr>
        <w:t>’</w:t>
      </w:r>
      <w:r w:rsidRPr="00A32AF4">
        <w:rPr>
          <w:rFonts w:cs="Arial"/>
        </w:rPr>
        <w:t>utilisation de la propriété intellectuelle au service du développement grâce à la mise en valeur des ressources humaines, notamment au Brésil ainsi que dans d</w:t>
      </w:r>
      <w:r w:rsidR="00E2055A" w:rsidRPr="00A32AF4">
        <w:rPr>
          <w:rFonts w:cs="Arial"/>
        </w:rPr>
        <w:t>’</w:t>
      </w:r>
      <w:r w:rsidRPr="00A32AF4">
        <w:rPr>
          <w:rFonts w:cs="Arial"/>
        </w:rPr>
        <w:t>autres pays en développement qui participent à des programmes de coopération avec le Brésil.</w:t>
      </w:r>
    </w:p>
    <w:p w:rsidR="00877B63" w:rsidRPr="00A32AF4" w:rsidRDefault="00877B63" w:rsidP="00DC0553">
      <w:pPr>
        <w:jc w:val="both"/>
        <w:rPr>
          <w:rFonts w:cs="Arial"/>
        </w:rPr>
      </w:pPr>
    </w:p>
    <w:p w:rsidR="00877B63" w:rsidRPr="00A32AF4" w:rsidRDefault="00877B63" w:rsidP="00DC0553">
      <w:pPr>
        <w:numPr>
          <w:ilvl w:val="0"/>
          <w:numId w:val="61"/>
        </w:numPr>
        <w:jc w:val="both"/>
        <w:rPr>
          <w:rFonts w:cs="Arial"/>
        </w:rPr>
      </w:pPr>
      <w:r w:rsidRPr="00A32AF4">
        <w:rPr>
          <w:rFonts w:cs="Arial"/>
        </w:rPr>
        <w:t>Le Bureau de l</w:t>
      </w:r>
      <w:r w:rsidR="00E2055A" w:rsidRPr="00A32AF4">
        <w:rPr>
          <w:rFonts w:cs="Arial"/>
        </w:rPr>
        <w:t>’</w:t>
      </w:r>
      <w:r w:rsidRPr="00A32AF4">
        <w:rPr>
          <w:rFonts w:cs="Arial"/>
        </w:rPr>
        <w:t>OMPI au Brésil administre deux fonds fiduciaires entre le Gouvernement brésilien et l</w:t>
      </w:r>
      <w:r w:rsidR="00E2055A" w:rsidRPr="00A32AF4">
        <w:rPr>
          <w:rFonts w:cs="Arial"/>
        </w:rPr>
        <w:t>’</w:t>
      </w:r>
      <w:r w:rsidRPr="00A32AF4">
        <w:rPr>
          <w:rFonts w:cs="Arial"/>
        </w:rPr>
        <w:t>OMPI, qui visent notamment à promouvoir une culture de la propriété intellectuelle au sein des institutions et des utilisateurs nationaux et internationaux grâce à une coopération Sud</w:t>
      </w:r>
      <w:r w:rsidR="00EB7F54" w:rsidRPr="00A32AF4">
        <w:rPr>
          <w:rFonts w:cs="Arial"/>
        </w:rPr>
        <w:noBreakHyphen/>
      </w:r>
      <w:r w:rsidRPr="00A32AF4">
        <w:rPr>
          <w:rFonts w:cs="Arial"/>
        </w:rPr>
        <w:t>Sud entre les pays en développement à l</w:t>
      </w:r>
      <w:r w:rsidR="00E2055A" w:rsidRPr="00A32AF4">
        <w:rPr>
          <w:rFonts w:cs="Arial"/>
        </w:rPr>
        <w:t>’</w:t>
      </w:r>
      <w:r w:rsidRPr="00A32AF4">
        <w:rPr>
          <w:rFonts w:cs="Arial"/>
        </w:rPr>
        <w:t>intérieur et à l</w:t>
      </w:r>
      <w:r w:rsidR="00E2055A" w:rsidRPr="00A32AF4">
        <w:rPr>
          <w:rFonts w:cs="Arial"/>
        </w:rPr>
        <w:t>’</w:t>
      </w:r>
      <w:r w:rsidRPr="00A32AF4">
        <w:rPr>
          <w:rFonts w:cs="Arial"/>
        </w:rPr>
        <w:t>extérieur de la région Amérique latine.</w:t>
      </w:r>
    </w:p>
    <w:p w:rsidR="00877B63" w:rsidRPr="00A32AF4" w:rsidRDefault="00877B63" w:rsidP="00DC0553">
      <w:pPr>
        <w:jc w:val="both"/>
        <w:rPr>
          <w:rFonts w:cs="Arial"/>
        </w:rPr>
      </w:pPr>
    </w:p>
    <w:p w:rsidR="00877B63" w:rsidRPr="00A32AF4" w:rsidRDefault="00877B63" w:rsidP="00DC0553">
      <w:pPr>
        <w:jc w:val="both"/>
        <w:rPr>
          <w:rFonts w:cs="Arial"/>
          <w:u w:val="single"/>
        </w:rPr>
      </w:pPr>
      <w:r w:rsidRPr="00A32AF4">
        <w:rPr>
          <w:rFonts w:cs="Arial"/>
          <w:u w:val="single"/>
        </w:rPr>
        <w:t>Bureau de l</w:t>
      </w:r>
      <w:r w:rsidR="00E2055A" w:rsidRPr="00A32AF4">
        <w:rPr>
          <w:rFonts w:cs="Arial"/>
          <w:u w:val="single"/>
        </w:rPr>
        <w:t>’</w:t>
      </w:r>
      <w:r w:rsidRPr="00A32AF4">
        <w:rPr>
          <w:rFonts w:cs="Arial"/>
          <w:u w:val="single"/>
        </w:rPr>
        <w:t>OMPI au Japon</w:t>
      </w:r>
    </w:p>
    <w:p w:rsidR="00877B63" w:rsidRPr="00A32AF4" w:rsidRDefault="00877B63" w:rsidP="00DC0553">
      <w:pPr>
        <w:jc w:val="both"/>
        <w:rPr>
          <w:rFonts w:cs="Arial"/>
        </w:rPr>
      </w:pPr>
    </w:p>
    <w:p w:rsidR="00877B63" w:rsidRPr="00A32AF4" w:rsidRDefault="00877B63" w:rsidP="00DC0553">
      <w:pPr>
        <w:numPr>
          <w:ilvl w:val="0"/>
          <w:numId w:val="61"/>
        </w:numPr>
        <w:jc w:val="both"/>
        <w:rPr>
          <w:rFonts w:cs="Arial"/>
        </w:rPr>
      </w:pPr>
      <w:r w:rsidRPr="00A32AF4">
        <w:rPr>
          <w:rFonts w:cs="Arial"/>
        </w:rPr>
        <w:t>Le Bureau de l</w:t>
      </w:r>
      <w:r w:rsidR="00E2055A" w:rsidRPr="00A32AF4">
        <w:rPr>
          <w:rFonts w:cs="Arial"/>
        </w:rPr>
        <w:t>’</w:t>
      </w:r>
      <w:r w:rsidRPr="00A32AF4">
        <w:rPr>
          <w:rFonts w:cs="Arial"/>
        </w:rPr>
        <w:t>OMPI au Japon prévoit de renforcer son rôle en tant que centre de service de l</w:t>
      </w:r>
      <w:r w:rsidR="00E2055A" w:rsidRPr="00A32AF4">
        <w:rPr>
          <w:rFonts w:cs="Arial"/>
        </w:rPr>
        <w:t>’</w:t>
      </w:r>
      <w:r w:rsidRPr="00A32AF4">
        <w:rPr>
          <w:rFonts w:cs="Arial"/>
        </w:rPr>
        <w:t>OMPI au Japon, en mettant notamment l</w:t>
      </w:r>
      <w:r w:rsidR="00E2055A" w:rsidRPr="00A32AF4">
        <w:rPr>
          <w:rFonts w:cs="Arial"/>
        </w:rPr>
        <w:t>’</w:t>
      </w:r>
      <w:r w:rsidRPr="00A32AF4">
        <w:rPr>
          <w:rFonts w:cs="Arial"/>
        </w:rPr>
        <w:t>accent sur la promotion des services mondiaux de propriété intellectuelle de l</w:t>
      </w:r>
      <w:r w:rsidR="00E2055A" w:rsidRPr="00A32AF4">
        <w:rPr>
          <w:rFonts w:cs="Arial"/>
        </w:rPr>
        <w:t>’</w:t>
      </w:r>
      <w:r w:rsidRPr="00A32AF4">
        <w:rPr>
          <w:rFonts w:cs="Arial"/>
        </w:rPr>
        <w:t>OMPI destinés aux utilisateurs actuels et aux futurs utilisateurs potentiels.  Les résultats dans ce domaine seront obtenus grâce à une coopération renforcée avec les institutions, les milieux universitaires, le secteur industriel et d</w:t>
      </w:r>
      <w:r w:rsidR="00E2055A" w:rsidRPr="00A32AF4">
        <w:rPr>
          <w:rFonts w:cs="Arial"/>
        </w:rPr>
        <w:t>’</w:t>
      </w:r>
      <w:r w:rsidRPr="00A32AF4">
        <w:rPr>
          <w:rFonts w:cs="Arial"/>
        </w:rPr>
        <w:t>autres groupes de parties prenantes au Japon.</w:t>
      </w:r>
    </w:p>
    <w:p w:rsidR="00877B63" w:rsidRPr="00A32AF4" w:rsidRDefault="00877B63" w:rsidP="00DC0553">
      <w:pPr>
        <w:jc w:val="both"/>
        <w:rPr>
          <w:rFonts w:cs="Arial"/>
        </w:rPr>
      </w:pPr>
    </w:p>
    <w:p w:rsidR="00877B63" w:rsidRPr="00A32AF4" w:rsidRDefault="00877B63" w:rsidP="00DC0553">
      <w:pPr>
        <w:numPr>
          <w:ilvl w:val="0"/>
          <w:numId w:val="61"/>
        </w:numPr>
        <w:jc w:val="both"/>
        <w:rPr>
          <w:rFonts w:cs="Arial"/>
        </w:rPr>
      </w:pPr>
      <w:proofErr w:type="gramStart"/>
      <w:r w:rsidRPr="00A32AF4">
        <w:rPr>
          <w:rFonts w:cs="Arial"/>
        </w:rPr>
        <w:t>Le Bureau de l</w:t>
      </w:r>
      <w:r w:rsidR="00E2055A" w:rsidRPr="00A32AF4">
        <w:rPr>
          <w:rFonts w:cs="Arial"/>
        </w:rPr>
        <w:t>’</w:t>
      </w:r>
      <w:r w:rsidRPr="00A32AF4">
        <w:rPr>
          <w:rFonts w:cs="Arial"/>
        </w:rPr>
        <w:t>OMPI au Japon maintiendra sa coopération avec le Gouvernement japonais dans le cadre de l</w:t>
      </w:r>
      <w:r w:rsidR="00E2055A" w:rsidRPr="00A32AF4">
        <w:rPr>
          <w:rFonts w:cs="Arial"/>
        </w:rPr>
        <w:t>’</w:t>
      </w:r>
      <w:r w:rsidRPr="00A32AF4">
        <w:rPr>
          <w:rFonts w:cs="Arial"/>
        </w:rPr>
        <w:t>accord relatif à des fonds fiduciaires conclu en vue de la mise en œuvre des activités visant au renforcement des capacités et de l</w:t>
      </w:r>
      <w:r w:rsidR="00E2055A" w:rsidRPr="00A32AF4">
        <w:rPr>
          <w:rFonts w:cs="Arial"/>
        </w:rPr>
        <w:t>’</w:t>
      </w:r>
      <w:r w:rsidRPr="00A32AF4">
        <w:rPr>
          <w:rFonts w:cs="Arial"/>
        </w:rPr>
        <w:t>infrastructure technique et à l</w:t>
      </w:r>
      <w:r w:rsidR="00E2055A" w:rsidRPr="00A32AF4">
        <w:rPr>
          <w:rFonts w:cs="Arial"/>
        </w:rPr>
        <w:t>’</w:t>
      </w:r>
      <w:r w:rsidRPr="00A32AF4">
        <w:rPr>
          <w:rFonts w:cs="Arial"/>
        </w:rPr>
        <w:t>amélioration de l</w:t>
      </w:r>
      <w:r w:rsidR="00E2055A" w:rsidRPr="00A32AF4">
        <w:rPr>
          <w:rFonts w:cs="Arial"/>
        </w:rPr>
        <w:t>’</w:t>
      </w:r>
      <w:r w:rsidRPr="00A32AF4">
        <w:rPr>
          <w:rFonts w:cs="Arial"/>
        </w:rPr>
        <w:t xml:space="preserve">utilisation de la propriété intellectuelle au sein des entreprises, </w:t>
      </w:r>
      <w:r w:rsidR="00E2055A" w:rsidRPr="00A32AF4">
        <w:rPr>
          <w:rFonts w:cs="Arial"/>
        </w:rPr>
        <w:t>y compris</w:t>
      </w:r>
      <w:r w:rsidRPr="00A32AF4">
        <w:rPr>
          <w:rFonts w:cs="Arial"/>
        </w:rPr>
        <w:t xml:space="preserve"> par le biais de projets spécifiques tels que le développement de la base de données IP Advantage, principalement dans les pays de la région Asie et Pacifique.</w:t>
      </w:r>
      <w:proofErr w:type="gramEnd"/>
    </w:p>
    <w:p w:rsidR="00877B63" w:rsidRPr="00A32AF4" w:rsidRDefault="00877B63" w:rsidP="00DC0553">
      <w:pPr>
        <w:jc w:val="both"/>
        <w:rPr>
          <w:rFonts w:cs="Arial"/>
        </w:rPr>
      </w:pPr>
    </w:p>
    <w:p w:rsidR="00877B63" w:rsidRPr="00A32AF4" w:rsidRDefault="00877B63" w:rsidP="00DC0553">
      <w:pPr>
        <w:numPr>
          <w:ilvl w:val="0"/>
          <w:numId w:val="61"/>
        </w:numPr>
        <w:jc w:val="both"/>
        <w:rPr>
          <w:rFonts w:cs="Arial"/>
        </w:rPr>
      </w:pPr>
      <w:r w:rsidRPr="00A32AF4">
        <w:rPr>
          <w:rFonts w:cs="Arial"/>
        </w:rPr>
        <w:t>Le Bureau de l</w:t>
      </w:r>
      <w:r w:rsidR="00E2055A" w:rsidRPr="00A32AF4">
        <w:rPr>
          <w:rFonts w:cs="Arial"/>
        </w:rPr>
        <w:t>’</w:t>
      </w:r>
      <w:r w:rsidRPr="00A32AF4">
        <w:rPr>
          <w:rFonts w:cs="Arial"/>
        </w:rPr>
        <w:t xml:space="preserve">OMPI au Japon accordera une attention particulière à la promotion du système de </w:t>
      </w:r>
      <w:r w:rsidR="00E2055A" w:rsidRPr="00A32AF4">
        <w:rPr>
          <w:rFonts w:cs="Arial"/>
        </w:rPr>
        <w:t>La Haye</w:t>
      </w:r>
      <w:r w:rsidRPr="00A32AF4">
        <w:rPr>
          <w:rFonts w:cs="Arial"/>
        </w:rPr>
        <w:t xml:space="preserve"> (en gardant à l</w:t>
      </w:r>
      <w:r w:rsidR="00E2055A" w:rsidRPr="00A32AF4">
        <w:rPr>
          <w:rFonts w:cs="Arial"/>
        </w:rPr>
        <w:t>’</w:t>
      </w:r>
      <w:r w:rsidRPr="00A32AF4">
        <w:rPr>
          <w:rFonts w:cs="Arial"/>
        </w:rPr>
        <w:t>esprit la ratification de l</w:t>
      </w:r>
      <w:r w:rsidR="00E2055A" w:rsidRPr="00A32AF4">
        <w:rPr>
          <w:rFonts w:cs="Arial"/>
        </w:rPr>
        <w:t>’</w:t>
      </w:r>
      <w:r w:rsidRPr="00A32AF4">
        <w:rPr>
          <w:rFonts w:cs="Arial"/>
        </w:rPr>
        <w:t xml:space="preserve">Arrangement de </w:t>
      </w:r>
      <w:r w:rsidR="00E2055A" w:rsidRPr="00A32AF4">
        <w:rPr>
          <w:rFonts w:cs="Arial"/>
        </w:rPr>
        <w:t>La Haye</w:t>
      </w:r>
      <w:r w:rsidRPr="00A32AF4">
        <w:rPr>
          <w:rFonts w:cs="Arial"/>
        </w:rPr>
        <w:t xml:space="preserve"> par le Japon en 2015) et mettra l</w:t>
      </w:r>
      <w:r w:rsidR="00E2055A" w:rsidRPr="00A32AF4">
        <w:rPr>
          <w:rFonts w:cs="Arial"/>
        </w:rPr>
        <w:t>’</w:t>
      </w:r>
      <w:r w:rsidRPr="00A32AF4">
        <w:rPr>
          <w:rFonts w:cs="Arial"/>
        </w:rPr>
        <w:t>accent sur la sensibilisation des PME afin de les encourager à utiliser les services de l</w:t>
      </w:r>
      <w:r w:rsidR="00E2055A" w:rsidRPr="00A32AF4">
        <w:rPr>
          <w:rFonts w:cs="Arial"/>
        </w:rPr>
        <w:t>’</w:t>
      </w:r>
      <w:r w:rsidRPr="00A32AF4">
        <w:rPr>
          <w:rFonts w:cs="Arial"/>
        </w:rPr>
        <w:t>OMPI.</w:t>
      </w:r>
    </w:p>
    <w:p w:rsidR="00877B63" w:rsidRPr="00A32AF4" w:rsidRDefault="00877B63" w:rsidP="00DC0553">
      <w:pPr>
        <w:jc w:val="both"/>
        <w:rPr>
          <w:rFonts w:cs="Arial"/>
        </w:rPr>
      </w:pPr>
    </w:p>
    <w:p w:rsidR="00877B63" w:rsidRPr="00A32AF4" w:rsidRDefault="00877B63" w:rsidP="00DC0553">
      <w:pPr>
        <w:jc w:val="both"/>
        <w:rPr>
          <w:rFonts w:cs="Arial"/>
          <w:u w:val="single"/>
        </w:rPr>
      </w:pPr>
      <w:r w:rsidRPr="00A32AF4">
        <w:rPr>
          <w:rFonts w:cs="Arial"/>
          <w:u w:val="single"/>
        </w:rPr>
        <w:t>Bureau de l</w:t>
      </w:r>
      <w:r w:rsidR="00E2055A" w:rsidRPr="00A32AF4">
        <w:rPr>
          <w:rFonts w:cs="Arial"/>
          <w:u w:val="single"/>
        </w:rPr>
        <w:t>’</w:t>
      </w:r>
      <w:r w:rsidRPr="00A32AF4">
        <w:rPr>
          <w:rFonts w:cs="Arial"/>
          <w:u w:val="single"/>
        </w:rPr>
        <w:t>OMPI en Chine</w:t>
      </w:r>
    </w:p>
    <w:p w:rsidR="00877B63" w:rsidRPr="00A32AF4" w:rsidRDefault="00877B63" w:rsidP="00DC0553">
      <w:pPr>
        <w:jc w:val="both"/>
        <w:rPr>
          <w:rFonts w:cs="Arial"/>
        </w:rPr>
      </w:pPr>
    </w:p>
    <w:p w:rsidR="00877B63" w:rsidRPr="00A32AF4" w:rsidRDefault="00877B63" w:rsidP="00DC0553">
      <w:pPr>
        <w:numPr>
          <w:ilvl w:val="0"/>
          <w:numId w:val="61"/>
        </w:numPr>
        <w:jc w:val="both"/>
        <w:rPr>
          <w:rFonts w:cs="Arial"/>
        </w:rPr>
      </w:pPr>
      <w:r w:rsidRPr="00A32AF4">
        <w:rPr>
          <w:rFonts w:cs="Arial"/>
        </w:rPr>
        <w:t>Étant un bureau relativement récent, le bureau de l</w:t>
      </w:r>
      <w:r w:rsidR="00E2055A" w:rsidRPr="00A32AF4">
        <w:rPr>
          <w:rFonts w:cs="Arial"/>
        </w:rPr>
        <w:t>’</w:t>
      </w:r>
      <w:r w:rsidRPr="00A32AF4">
        <w:rPr>
          <w:rFonts w:cs="Arial"/>
        </w:rPr>
        <w:t>OMPI en Chine poursuivra ses activités et ses initiatives ciblées afin de renforcer davantage son rôle en tant que centre de service de l</w:t>
      </w:r>
      <w:r w:rsidR="00E2055A" w:rsidRPr="00A32AF4">
        <w:rPr>
          <w:rFonts w:cs="Arial"/>
        </w:rPr>
        <w:t>’</w:t>
      </w:r>
      <w:r w:rsidRPr="00A32AF4">
        <w:rPr>
          <w:rFonts w:cs="Arial"/>
        </w:rPr>
        <w:t>OMPI en Chine.  Le succès de cette démarche repose notamment sur la promotion des services mondiaux de propriété intellectuelle de l</w:t>
      </w:r>
      <w:r w:rsidR="00E2055A" w:rsidRPr="00A32AF4">
        <w:rPr>
          <w:rFonts w:cs="Arial"/>
        </w:rPr>
        <w:t>’</w:t>
      </w:r>
      <w:r w:rsidRPr="00A32AF4">
        <w:rPr>
          <w:rFonts w:cs="Arial"/>
        </w:rPr>
        <w:t>OMPI destinés aux utilisateurs actuels et aux futurs utilisateurs.  Compte tenu de la taille de la Chine, il sera particulièrement difficile de sensibiliser les régions administratives et territoriales du pays.  Les efforts viseront donc à renforcer davantage la coopération constructive avec le Gouvernement chinois, à étendre la portée des activités de sensibilisation et à renforcer les liens existants avec le secteur de l</w:t>
      </w:r>
      <w:r w:rsidR="00E2055A" w:rsidRPr="00A32AF4">
        <w:rPr>
          <w:rFonts w:cs="Arial"/>
        </w:rPr>
        <w:t>’</w:t>
      </w:r>
      <w:r w:rsidRPr="00A32AF4">
        <w:rPr>
          <w:rFonts w:cs="Arial"/>
        </w:rPr>
        <w:t>industrie et les parties prenantes.</w:t>
      </w:r>
    </w:p>
    <w:p w:rsidR="00877B63" w:rsidRPr="00A32AF4" w:rsidRDefault="00877B63" w:rsidP="00DC0553">
      <w:pPr>
        <w:jc w:val="both"/>
        <w:rPr>
          <w:rFonts w:cs="Arial"/>
        </w:rPr>
      </w:pPr>
    </w:p>
    <w:p w:rsidR="00877B63" w:rsidRPr="00A32AF4" w:rsidRDefault="00877B63" w:rsidP="005D6438">
      <w:pPr>
        <w:keepNext/>
        <w:jc w:val="both"/>
        <w:rPr>
          <w:rFonts w:cs="Arial"/>
          <w:u w:val="single"/>
        </w:rPr>
      </w:pPr>
      <w:r w:rsidRPr="00A32AF4">
        <w:rPr>
          <w:rFonts w:cs="Arial"/>
          <w:u w:val="single"/>
        </w:rPr>
        <w:t>Bureau de l</w:t>
      </w:r>
      <w:r w:rsidR="00E2055A" w:rsidRPr="00A32AF4">
        <w:rPr>
          <w:rFonts w:cs="Arial"/>
          <w:u w:val="single"/>
        </w:rPr>
        <w:t>’</w:t>
      </w:r>
      <w:r w:rsidRPr="00A32AF4">
        <w:rPr>
          <w:rFonts w:cs="Arial"/>
          <w:u w:val="single"/>
        </w:rPr>
        <w:t>OMPI en Russie</w:t>
      </w:r>
    </w:p>
    <w:p w:rsidR="00877B63" w:rsidRPr="00A32AF4" w:rsidRDefault="00877B63" w:rsidP="005D6438">
      <w:pPr>
        <w:keepNext/>
        <w:jc w:val="both"/>
        <w:rPr>
          <w:rFonts w:cs="Arial"/>
        </w:rPr>
      </w:pPr>
    </w:p>
    <w:p w:rsidR="00877B63" w:rsidRPr="00A32AF4" w:rsidRDefault="00877B63" w:rsidP="00DC0553">
      <w:pPr>
        <w:numPr>
          <w:ilvl w:val="0"/>
          <w:numId w:val="61"/>
        </w:numPr>
        <w:jc w:val="both"/>
        <w:rPr>
          <w:rFonts w:cs="Arial"/>
        </w:rPr>
      </w:pPr>
      <w:r w:rsidRPr="00A32AF4">
        <w:rPr>
          <w:rFonts w:cs="Arial"/>
        </w:rPr>
        <w:t>Le Bureau de l</w:t>
      </w:r>
      <w:r w:rsidR="00E2055A" w:rsidRPr="00A32AF4">
        <w:rPr>
          <w:rFonts w:cs="Arial"/>
        </w:rPr>
        <w:t>’</w:t>
      </w:r>
      <w:r w:rsidRPr="00A32AF4">
        <w:rPr>
          <w:rFonts w:cs="Arial"/>
        </w:rPr>
        <w:t>OMPI en Russie a été créé en 2014 et poursuivra par conséquent ses activités en vue de renforcer son rôle en tant que centre de service de l</w:t>
      </w:r>
      <w:r w:rsidR="00E2055A" w:rsidRPr="00A32AF4">
        <w:rPr>
          <w:rFonts w:cs="Arial"/>
        </w:rPr>
        <w:t>’</w:t>
      </w:r>
      <w:r w:rsidRPr="00A32AF4">
        <w:rPr>
          <w:rFonts w:cs="Arial"/>
        </w:rPr>
        <w:t>OMPI en Fédération de Russie.  La promotion des services mondiaux de propriété intellectuelle de l</w:t>
      </w:r>
      <w:r w:rsidR="00E2055A" w:rsidRPr="00A32AF4">
        <w:rPr>
          <w:rFonts w:cs="Arial"/>
        </w:rPr>
        <w:t>’</w:t>
      </w:r>
      <w:r w:rsidRPr="00A32AF4">
        <w:rPr>
          <w:rFonts w:cs="Arial"/>
        </w:rPr>
        <w:t>OMPI sera importante à cet égard.  Compte tenu de la taille de la Fédération de Russie, il sera particulièrement difficile de sensibiliser les diverses régions du pays.  Une coopération constructive davantage renforcée avec le Gouvernement de la Fédération de Russie et un programme de sensibilisation visant les milieux universitaires, le secteur industriel et d</w:t>
      </w:r>
      <w:r w:rsidR="00E2055A" w:rsidRPr="00A32AF4">
        <w:rPr>
          <w:rFonts w:cs="Arial"/>
        </w:rPr>
        <w:t>’</w:t>
      </w:r>
      <w:r w:rsidRPr="00A32AF4">
        <w:rPr>
          <w:rFonts w:cs="Arial"/>
        </w:rPr>
        <w:t>autres parties prenantes seront déterminants dans ce processus.</w:t>
      </w:r>
    </w:p>
    <w:p w:rsidR="00877B63" w:rsidRPr="00A32AF4" w:rsidRDefault="00877B63" w:rsidP="00DC0553">
      <w:pPr>
        <w:jc w:val="both"/>
        <w:rPr>
          <w:rFonts w:cs="Arial"/>
        </w:rPr>
      </w:pPr>
    </w:p>
    <w:p w:rsidR="00E2055A" w:rsidRPr="00A32AF4" w:rsidRDefault="00877B63" w:rsidP="00DC0553">
      <w:pPr>
        <w:numPr>
          <w:ilvl w:val="0"/>
          <w:numId w:val="61"/>
        </w:numPr>
        <w:jc w:val="both"/>
        <w:rPr>
          <w:rFonts w:cs="Arial"/>
        </w:rPr>
      </w:pPr>
      <w:r w:rsidRPr="00A32AF4">
        <w:rPr>
          <w:rFonts w:cs="Arial"/>
          <w:bCs/>
        </w:rPr>
        <w:t>Les efforts du Bureau de l</w:t>
      </w:r>
      <w:r w:rsidR="00E2055A" w:rsidRPr="00A32AF4">
        <w:rPr>
          <w:rFonts w:cs="Arial"/>
          <w:bCs/>
        </w:rPr>
        <w:t>’</w:t>
      </w:r>
      <w:r w:rsidRPr="00A32AF4">
        <w:rPr>
          <w:rFonts w:cs="Arial"/>
          <w:bCs/>
        </w:rPr>
        <w:t xml:space="preserve">OMPI en Russie porteront notamment sur la fourniture de programmes de </w:t>
      </w:r>
      <w:r w:rsidRPr="00A32AF4">
        <w:rPr>
          <w:rFonts w:cs="Arial"/>
        </w:rPr>
        <w:t>renforcement des capacités et d</w:t>
      </w:r>
      <w:r w:rsidR="00E2055A" w:rsidRPr="00A32AF4">
        <w:rPr>
          <w:rFonts w:cs="Arial"/>
        </w:rPr>
        <w:t>’</w:t>
      </w:r>
      <w:r w:rsidRPr="00A32AF4">
        <w:rPr>
          <w:rFonts w:cs="Arial"/>
        </w:rPr>
        <w:t xml:space="preserve">assistance technique ciblés et personnalisés, </w:t>
      </w:r>
      <w:r w:rsidR="00E2055A" w:rsidRPr="00A32AF4">
        <w:rPr>
          <w:rFonts w:cs="Arial"/>
        </w:rPr>
        <w:t>y compris</w:t>
      </w:r>
      <w:r w:rsidRPr="00A32AF4">
        <w:rPr>
          <w:rFonts w:cs="Arial"/>
        </w:rPr>
        <w:t xml:space="preserve"> un soutien permanent en vue de la mise en place d</w:t>
      </w:r>
      <w:r w:rsidR="00E2055A" w:rsidRPr="00A32AF4">
        <w:rPr>
          <w:rFonts w:cs="Arial"/>
        </w:rPr>
        <w:t>’</w:t>
      </w:r>
      <w:r w:rsidRPr="00A32AF4">
        <w:rPr>
          <w:rFonts w:cs="Arial"/>
        </w:rPr>
        <w:t>un réseau national de centres d</w:t>
      </w:r>
      <w:r w:rsidR="00E2055A" w:rsidRPr="00A32AF4">
        <w:rPr>
          <w:rFonts w:cs="Arial"/>
        </w:rPr>
        <w:t>’</w:t>
      </w:r>
      <w:r w:rsidRPr="00A32AF4">
        <w:rPr>
          <w:rFonts w:cs="Arial"/>
        </w:rPr>
        <w:t>appui à la technologie et à l</w:t>
      </w:r>
      <w:r w:rsidR="00E2055A" w:rsidRPr="00A32AF4">
        <w:rPr>
          <w:rFonts w:cs="Arial"/>
        </w:rPr>
        <w:t>’</w:t>
      </w:r>
      <w:r w:rsidRPr="00A32AF4">
        <w:rPr>
          <w:rFonts w:cs="Arial"/>
        </w:rPr>
        <w:t>innovation durable.</w:t>
      </w:r>
    </w:p>
    <w:p w:rsidR="00877B63" w:rsidRPr="00A32AF4" w:rsidRDefault="00877B63" w:rsidP="00DC0553">
      <w:pPr>
        <w:jc w:val="both"/>
        <w:rPr>
          <w:rFonts w:cs="Arial"/>
        </w:rPr>
      </w:pPr>
    </w:p>
    <w:p w:rsidR="00877B63" w:rsidRPr="00A32AF4" w:rsidRDefault="00877B63" w:rsidP="00DC0553">
      <w:pPr>
        <w:jc w:val="both"/>
        <w:rPr>
          <w:rFonts w:cs="Arial"/>
        </w:rPr>
      </w:pPr>
    </w:p>
    <w:p w:rsidR="00877B63" w:rsidRPr="00A32AF4" w:rsidRDefault="00877B63" w:rsidP="00DC0553">
      <w:r w:rsidRPr="00A32AF4">
        <w:t>PRINCIPAUX RISQUES ET STRATÉGIES D</w:t>
      </w:r>
      <w:r w:rsidR="00E2055A" w:rsidRPr="00A32AF4">
        <w:t>’</w:t>
      </w:r>
      <w:r w:rsidRPr="00A32AF4">
        <w:t>ATTÉNUATION</w:t>
      </w:r>
    </w:p>
    <w:p w:rsidR="00877B63" w:rsidRPr="00A32AF4" w:rsidRDefault="00877B63" w:rsidP="00DC0553">
      <w:pPr>
        <w:jc w:val="both"/>
        <w:rPr>
          <w:rFonts w:cs="Arial"/>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3552"/>
        <w:gridCol w:w="5662"/>
      </w:tblGrid>
      <w:tr w:rsidR="00877B63" w:rsidRPr="00A32AF4" w:rsidTr="00D27E4C">
        <w:tc>
          <w:tcPr>
            <w:tcW w:w="0" w:type="auto"/>
            <w:shd w:val="clear" w:color="auto" w:fill="B8CCE4" w:themeFill="accent1" w:themeFillTint="66"/>
            <w:tcMar>
              <w:top w:w="113" w:type="dxa"/>
              <w:left w:w="108" w:type="dxa"/>
              <w:bottom w:w="113" w:type="dxa"/>
              <w:right w:w="108" w:type="dxa"/>
            </w:tcMar>
            <w:vAlign w:val="center"/>
          </w:tcPr>
          <w:p w:rsidR="00877B63" w:rsidRPr="00A32AF4" w:rsidRDefault="00877B63" w:rsidP="00DC0553">
            <w:pPr>
              <w:keepNext/>
              <w:keepLines/>
              <w:jc w:val="center"/>
              <w:rPr>
                <w:rFonts w:cs="Arial"/>
                <w:b/>
                <w:bCs/>
                <w:sz w:val="18"/>
                <w:szCs w:val="18"/>
              </w:rPr>
            </w:pPr>
            <w:r w:rsidRPr="00A32AF4">
              <w:rPr>
                <w:rFonts w:cs="Arial"/>
                <w:b/>
                <w:bCs/>
                <w:sz w:val="18"/>
                <w:szCs w:val="18"/>
              </w:rPr>
              <w:t>Risques</w:t>
            </w:r>
          </w:p>
        </w:tc>
        <w:tc>
          <w:tcPr>
            <w:tcW w:w="0" w:type="auto"/>
            <w:shd w:val="clear" w:color="auto" w:fill="B8CCE4" w:themeFill="accent1" w:themeFillTint="66"/>
            <w:tcMar>
              <w:top w:w="113" w:type="dxa"/>
              <w:left w:w="108" w:type="dxa"/>
              <w:bottom w:w="113" w:type="dxa"/>
              <w:right w:w="108" w:type="dxa"/>
            </w:tcMar>
            <w:vAlign w:val="center"/>
          </w:tcPr>
          <w:p w:rsidR="00877B63" w:rsidRPr="00A32AF4" w:rsidRDefault="00877B63" w:rsidP="00DC0553">
            <w:pPr>
              <w:keepNext/>
              <w:keepLines/>
              <w:jc w:val="center"/>
              <w:rPr>
                <w:rFonts w:cs="Arial"/>
                <w:b/>
                <w:bCs/>
                <w:sz w:val="18"/>
                <w:szCs w:val="18"/>
              </w:rPr>
            </w:pPr>
            <w:r w:rsidRPr="00A32AF4">
              <w:rPr>
                <w:rFonts w:cs="Arial"/>
                <w:b/>
                <w:bCs/>
                <w:sz w:val="18"/>
                <w:szCs w:val="18"/>
              </w:rPr>
              <w:t>Stratégies d</w:t>
            </w:r>
            <w:r w:rsidR="00E2055A" w:rsidRPr="00A32AF4">
              <w:rPr>
                <w:rFonts w:cs="Arial"/>
                <w:b/>
                <w:bCs/>
                <w:sz w:val="18"/>
                <w:szCs w:val="18"/>
              </w:rPr>
              <w:t>’</w:t>
            </w:r>
            <w:r w:rsidRPr="00A32AF4">
              <w:rPr>
                <w:rFonts w:cs="Arial"/>
                <w:b/>
                <w:bCs/>
                <w:sz w:val="18"/>
                <w:szCs w:val="18"/>
              </w:rPr>
              <w:t>atténuation</w:t>
            </w:r>
          </w:p>
        </w:tc>
      </w:tr>
      <w:tr w:rsidR="00877B63" w:rsidRPr="00A32AF4" w:rsidTr="00D27E4C">
        <w:tc>
          <w:tcPr>
            <w:tcW w:w="0" w:type="auto"/>
            <w:shd w:val="clear" w:color="auto" w:fill="auto"/>
            <w:tcMar>
              <w:top w:w="113" w:type="dxa"/>
              <w:left w:w="108" w:type="dxa"/>
              <w:bottom w:w="113" w:type="dxa"/>
              <w:right w:w="108" w:type="dxa"/>
            </w:tcMar>
          </w:tcPr>
          <w:p w:rsidR="00877B63" w:rsidRPr="00A32AF4" w:rsidRDefault="00877B63" w:rsidP="00DC0553">
            <w:pPr>
              <w:keepNext/>
              <w:keepLines/>
              <w:rPr>
                <w:rFonts w:cs="Arial"/>
                <w:sz w:val="16"/>
                <w:szCs w:val="16"/>
              </w:rPr>
            </w:pPr>
            <w:r w:rsidRPr="00A32AF4">
              <w:rPr>
                <w:rFonts w:cs="Arial"/>
                <w:sz w:val="16"/>
                <w:szCs w:val="16"/>
              </w:rPr>
              <w:t>L</w:t>
            </w:r>
            <w:r w:rsidR="00E2055A" w:rsidRPr="00A32AF4">
              <w:rPr>
                <w:rFonts w:cs="Arial"/>
                <w:sz w:val="16"/>
                <w:szCs w:val="16"/>
              </w:rPr>
              <w:t>’</w:t>
            </w:r>
            <w:r w:rsidRPr="00A32AF4">
              <w:rPr>
                <w:rFonts w:cs="Arial"/>
                <w:sz w:val="16"/>
                <w:szCs w:val="16"/>
              </w:rPr>
              <w:t>éloignement géographique des bureaux extérieurs par rapport au siège pourrait entraîner une fragmentation en matière de coordination et de communication.</w:t>
            </w:r>
          </w:p>
        </w:tc>
        <w:tc>
          <w:tcPr>
            <w:tcW w:w="0" w:type="auto"/>
            <w:shd w:val="clear" w:color="auto" w:fill="auto"/>
            <w:tcMar>
              <w:top w:w="113" w:type="dxa"/>
              <w:left w:w="108" w:type="dxa"/>
              <w:bottom w:w="113" w:type="dxa"/>
              <w:right w:w="108" w:type="dxa"/>
            </w:tcMar>
          </w:tcPr>
          <w:p w:rsidR="00877B63" w:rsidRPr="00A32AF4" w:rsidRDefault="00877B63" w:rsidP="00DC0553">
            <w:pPr>
              <w:keepNext/>
              <w:keepLines/>
              <w:rPr>
                <w:rFonts w:cs="Arial"/>
                <w:sz w:val="16"/>
                <w:szCs w:val="16"/>
              </w:rPr>
            </w:pPr>
            <w:r w:rsidRPr="00A32AF4">
              <w:rPr>
                <w:rFonts w:cs="Arial"/>
                <w:sz w:val="16"/>
                <w:szCs w:val="16"/>
              </w:rPr>
              <w:t>Poursuivre une participation étroite, constante et structurée afin de veiller à ce que les travaux des bureaux extérieurs soient pleinement intégrés au sein d</w:t>
            </w:r>
            <w:r w:rsidR="00E2055A" w:rsidRPr="00A32AF4">
              <w:rPr>
                <w:rFonts w:cs="Arial"/>
                <w:sz w:val="16"/>
                <w:szCs w:val="16"/>
              </w:rPr>
              <w:t>’</w:t>
            </w:r>
            <w:r w:rsidRPr="00A32AF4">
              <w:rPr>
                <w:rFonts w:cs="Arial"/>
                <w:sz w:val="16"/>
                <w:szCs w:val="16"/>
              </w:rPr>
              <w:t>un réseau cohérent et coordonné, conformément au cadre de résultats, aux plans de travail et au fonctionnement quotidien de l</w:t>
            </w:r>
            <w:r w:rsidR="00E2055A" w:rsidRPr="00A32AF4">
              <w:rPr>
                <w:rFonts w:cs="Arial"/>
                <w:sz w:val="16"/>
                <w:szCs w:val="16"/>
              </w:rPr>
              <w:t>’</w:t>
            </w:r>
            <w:r w:rsidRPr="00A32AF4">
              <w:rPr>
                <w:rFonts w:cs="Arial"/>
                <w:sz w:val="16"/>
                <w:szCs w:val="16"/>
              </w:rPr>
              <w:t>Organisation</w:t>
            </w:r>
          </w:p>
        </w:tc>
      </w:tr>
    </w:tbl>
    <w:p w:rsidR="00877B63" w:rsidRPr="00A32AF4" w:rsidRDefault="00877B63" w:rsidP="00DC0553">
      <w:pPr>
        <w:jc w:val="both"/>
        <w:rPr>
          <w:rFonts w:cs="Arial"/>
        </w:rPr>
      </w:pPr>
    </w:p>
    <w:p w:rsidR="00877B63" w:rsidRPr="00A32AF4" w:rsidRDefault="00877B63" w:rsidP="00DC0553">
      <w:pPr>
        <w:jc w:val="both"/>
        <w:rPr>
          <w:rFonts w:cs="Arial"/>
        </w:rPr>
      </w:pPr>
    </w:p>
    <w:p w:rsidR="00877B63" w:rsidRPr="00A32AF4" w:rsidRDefault="00877B63" w:rsidP="00DC0553">
      <w:r w:rsidRPr="00A32AF4">
        <w:t>TABLEAU DES RÉSULTATS</w:t>
      </w:r>
    </w:p>
    <w:p w:rsidR="00877B63" w:rsidRPr="00A32AF4" w:rsidRDefault="00877B63" w:rsidP="00DC0553">
      <w:pPr>
        <w:jc w:val="both"/>
        <w:rPr>
          <w:rFonts w:cs="Arial"/>
        </w:rPr>
      </w:pPr>
    </w:p>
    <w:tbl>
      <w:tblPr>
        <w:tblW w:w="9195" w:type="dxa"/>
        <w:tblInd w:w="9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80"/>
        <w:gridCol w:w="2380"/>
        <w:gridCol w:w="2380"/>
        <w:gridCol w:w="2055"/>
      </w:tblGrid>
      <w:tr w:rsidR="00877B63" w:rsidRPr="00A32AF4" w:rsidTr="00D27E4C">
        <w:trPr>
          <w:cantSplit/>
          <w:tblHeader/>
        </w:trPr>
        <w:tc>
          <w:tcPr>
            <w:tcW w:w="2380" w:type="dxa"/>
            <w:tcBorders>
              <w:top w:val="single" w:sz="4" w:space="0" w:color="auto"/>
              <w:bottom w:val="single" w:sz="4" w:space="0" w:color="auto"/>
            </w:tcBorders>
            <w:shd w:val="clear" w:color="auto" w:fill="C6D9F1" w:themeFill="text2" w:themeFillTint="33"/>
            <w:tcMar>
              <w:top w:w="113" w:type="dxa"/>
              <w:bottom w:w="113" w:type="dxa"/>
            </w:tcMar>
            <w:vAlign w:val="center"/>
            <w:hideMark/>
          </w:tcPr>
          <w:p w:rsidR="00877B63" w:rsidRPr="00A32AF4" w:rsidRDefault="00877B63" w:rsidP="00DC0553">
            <w:pPr>
              <w:jc w:val="center"/>
              <w:rPr>
                <w:rFonts w:cs="Arial"/>
                <w:b/>
                <w:bCs/>
                <w:sz w:val="18"/>
                <w:szCs w:val="18"/>
              </w:rPr>
            </w:pPr>
            <w:r w:rsidRPr="00A32AF4">
              <w:rPr>
                <w:rFonts w:cs="Arial"/>
                <w:b/>
                <w:bCs/>
                <w:sz w:val="18"/>
                <w:szCs w:val="18"/>
              </w:rPr>
              <w:t>Résultats escomptés</w:t>
            </w:r>
          </w:p>
        </w:tc>
        <w:tc>
          <w:tcPr>
            <w:tcW w:w="2380" w:type="dxa"/>
            <w:tcBorders>
              <w:top w:val="single" w:sz="4" w:space="0" w:color="auto"/>
              <w:bottom w:val="single" w:sz="4" w:space="0" w:color="auto"/>
            </w:tcBorders>
            <w:shd w:val="clear" w:color="auto" w:fill="C6D9F1" w:themeFill="text2" w:themeFillTint="33"/>
            <w:tcMar>
              <w:top w:w="113" w:type="dxa"/>
              <w:bottom w:w="113" w:type="dxa"/>
            </w:tcMar>
            <w:vAlign w:val="center"/>
            <w:hideMark/>
          </w:tcPr>
          <w:p w:rsidR="00877B63" w:rsidRPr="00A32AF4" w:rsidRDefault="00877B63" w:rsidP="00DC0553">
            <w:pPr>
              <w:jc w:val="center"/>
              <w:rPr>
                <w:rFonts w:cs="Arial"/>
                <w:b/>
                <w:bCs/>
                <w:sz w:val="18"/>
                <w:szCs w:val="18"/>
              </w:rPr>
            </w:pPr>
            <w:r w:rsidRPr="00A32AF4">
              <w:rPr>
                <w:rFonts w:cs="Arial"/>
                <w:b/>
                <w:bCs/>
                <w:sz w:val="18"/>
                <w:szCs w:val="18"/>
              </w:rPr>
              <w:t>Indicateurs d</w:t>
            </w:r>
            <w:r w:rsidR="00E2055A" w:rsidRPr="00A32AF4">
              <w:rPr>
                <w:rFonts w:cs="Arial"/>
                <w:b/>
                <w:bCs/>
                <w:sz w:val="18"/>
                <w:szCs w:val="18"/>
              </w:rPr>
              <w:t>’</w:t>
            </w:r>
            <w:r w:rsidRPr="00A32AF4">
              <w:rPr>
                <w:rFonts w:cs="Arial"/>
                <w:b/>
                <w:bCs/>
                <w:sz w:val="18"/>
                <w:szCs w:val="18"/>
              </w:rPr>
              <w:t>exécution</w:t>
            </w:r>
          </w:p>
        </w:tc>
        <w:tc>
          <w:tcPr>
            <w:tcW w:w="2380" w:type="dxa"/>
            <w:tcBorders>
              <w:top w:val="single" w:sz="4" w:space="0" w:color="auto"/>
              <w:bottom w:val="single" w:sz="4" w:space="0" w:color="auto"/>
            </w:tcBorders>
            <w:shd w:val="clear" w:color="auto" w:fill="C6D9F1" w:themeFill="text2" w:themeFillTint="33"/>
            <w:tcMar>
              <w:top w:w="113" w:type="dxa"/>
              <w:bottom w:w="113" w:type="dxa"/>
            </w:tcMar>
            <w:vAlign w:val="center"/>
            <w:hideMark/>
          </w:tcPr>
          <w:p w:rsidR="00877B63" w:rsidRPr="00A32AF4" w:rsidRDefault="00877B63" w:rsidP="00DC0553">
            <w:pPr>
              <w:jc w:val="center"/>
              <w:rPr>
                <w:rFonts w:cs="Arial"/>
                <w:b/>
                <w:bCs/>
                <w:sz w:val="18"/>
                <w:szCs w:val="18"/>
              </w:rPr>
            </w:pPr>
            <w:r w:rsidRPr="00A32AF4">
              <w:rPr>
                <w:rFonts w:cs="Arial"/>
                <w:b/>
                <w:bCs/>
                <w:sz w:val="18"/>
                <w:szCs w:val="18"/>
              </w:rPr>
              <w:t>Niveaux de référence</w:t>
            </w:r>
          </w:p>
        </w:tc>
        <w:tc>
          <w:tcPr>
            <w:tcW w:w="2055" w:type="dxa"/>
            <w:tcBorders>
              <w:top w:val="single" w:sz="4" w:space="0" w:color="auto"/>
              <w:bottom w:val="single" w:sz="4" w:space="0" w:color="auto"/>
            </w:tcBorders>
            <w:shd w:val="clear" w:color="auto" w:fill="C6D9F1" w:themeFill="text2" w:themeFillTint="33"/>
            <w:tcMar>
              <w:top w:w="113" w:type="dxa"/>
              <w:bottom w:w="113" w:type="dxa"/>
            </w:tcMar>
            <w:vAlign w:val="center"/>
            <w:hideMark/>
          </w:tcPr>
          <w:p w:rsidR="00877B63" w:rsidRPr="00A32AF4" w:rsidRDefault="00877B63" w:rsidP="00DC0553">
            <w:pPr>
              <w:jc w:val="center"/>
              <w:rPr>
                <w:rFonts w:cs="Arial"/>
                <w:b/>
                <w:bCs/>
                <w:sz w:val="18"/>
                <w:szCs w:val="18"/>
              </w:rPr>
            </w:pPr>
            <w:r w:rsidRPr="00A32AF4">
              <w:rPr>
                <w:rFonts w:cs="Arial"/>
                <w:b/>
                <w:bCs/>
                <w:sz w:val="18"/>
                <w:szCs w:val="18"/>
              </w:rPr>
              <w:t>Objectifs visés</w:t>
            </w:r>
          </w:p>
        </w:tc>
      </w:tr>
      <w:tr w:rsidR="00877B63" w:rsidRPr="00A32AF4" w:rsidTr="00D27E4C">
        <w:trPr>
          <w:cantSplit/>
        </w:trPr>
        <w:tc>
          <w:tcPr>
            <w:tcW w:w="2380" w:type="dxa"/>
            <w:tcBorders>
              <w:top w:val="single" w:sz="4" w:space="0" w:color="auto"/>
            </w:tcBorders>
            <w:shd w:val="clear" w:color="auto" w:fill="auto"/>
            <w:tcMar>
              <w:top w:w="113" w:type="dxa"/>
              <w:bottom w:w="113" w:type="dxa"/>
            </w:tcMar>
            <w:hideMark/>
          </w:tcPr>
          <w:p w:rsidR="00877B63" w:rsidRPr="00A32AF4" w:rsidRDefault="00877B63" w:rsidP="00DC0553">
            <w:pPr>
              <w:rPr>
                <w:rFonts w:cs="Arial"/>
                <w:sz w:val="16"/>
                <w:szCs w:val="16"/>
              </w:rPr>
            </w:pPr>
            <w:r w:rsidRPr="00A32AF4">
              <w:rPr>
                <w:rFonts w:cs="Arial"/>
                <w:sz w:val="16"/>
                <w:szCs w:val="16"/>
              </w:rPr>
              <w:t>I.1 Renforcement de la coopération entre les États membres en ce qui concerne l</w:t>
            </w:r>
            <w:r w:rsidR="00E2055A" w:rsidRPr="00A32AF4">
              <w:rPr>
                <w:rFonts w:cs="Arial"/>
                <w:sz w:val="16"/>
                <w:szCs w:val="16"/>
              </w:rPr>
              <w:t>’</w:t>
            </w:r>
            <w:r w:rsidRPr="00A32AF4">
              <w:rPr>
                <w:rFonts w:cs="Arial"/>
                <w:sz w:val="16"/>
                <w:szCs w:val="16"/>
              </w:rPr>
              <w:t>élaboration de cadres normatifs internationaux équilibrés dans le domaine de la propriété intellectuelle</w:t>
            </w:r>
          </w:p>
        </w:tc>
        <w:tc>
          <w:tcPr>
            <w:tcW w:w="2380" w:type="dxa"/>
            <w:tcBorders>
              <w:top w:val="single" w:sz="4" w:space="0" w:color="auto"/>
            </w:tcBorders>
            <w:shd w:val="clear" w:color="auto" w:fill="auto"/>
            <w:tcMar>
              <w:top w:w="113" w:type="dxa"/>
              <w:bottom w:w="113" w:type="dxa"/>
            </w:tcMar>
            <w:hideMark/>
          </w:tcPr>
          <w:p w:rsidR="00877B63" w:rsidRPr="00A32AF4" w:rsidRDefault="00877B63" w:rsidP="00DC0553">
            <w:pPr>
              <w:rPr>
                <w:rFonts w:cs="Arial"/>
                <w:sz w:val="16"/>
                <w:szCs w:val="16"/>
              </w:rPr>
            </w:pPr>
            <w:r w:rsidRPr="00A32AF4">
              <w:rPr>
                <w:rFonts w:cs="Arial"/>
                <w:sz w:val="16"/>
                <w:szCs w:val="16"/>
              </w:rPr>
              <w:t>Nombre de ratifications du Traité de Marrakech ou d</w:t>
            </w:r>
            <w:r w:rsidR="00E2055A" w:rsidRPr="00A32AF4">
              <w:rPr>
                <w:rFonts w:cs="Arial"/>
                <w:sz w:val="16"/>
                <w:szCs w:val="16"/>
              </w:rPr>
              <w:t>’</w:t>
            </w:r>
            <w:r w:rsidRPr="00A32AF4">
              <w:rPr>
                <w:rFonts w:cs="Arial"/>
                <w:sz w:val="16"/>
                <w:szCs w:val="16"/>
              </w:rPr>
              <w:t>adhésions à ce traité</w:t>
            </w:r>
          </w:p>
        </w:tc>
        <w:tc>
          <w:tcPr>
            <w:tcW w:w="2380" w:type="dxa"/>
            <w:tcBorders>
              <w:top w:val="single" w:sz="4" w:space="0" w:color="auto"/>
            </w:tcBorders>
            <w:shd w:val="clear" w:color="auto" w:fill="auto"/>
            <w:tcMar>
              <w:top w:w="113" w:type="dxa"/>
              <w:bottom w:w="113" w:type="dxa"/>
            </w:tcMar>
            <w:hideMark/>
          </w:tcPr>
          <w:p w:rsidR="00877B63" w:rsidRPr="00A32AF4" w:rsidRDefault="00877B63" w:rsidP="00DC0553">
            <w:pPr>
              <w:rPr>
                <w:rFonts w:cs="Arial"/>
                <w:sz w:val="16"/>
                <w:szCs w:val="16"/>
              </w:rPr>
            </w:pPr>
            <w:r w:rsidRPr="00A32AF4">
              <w:rPr>
                <w:rFonts w:cs="Arial"/>
                <w:sz w:val="16"/>
                <w:szCs w:val="16"/>
              </w:rPr>
              <w:t>0 (Bureau de l</w:t>
            </w:r>
            <w:r w:rsidR="00E2055A" w:rsidRPr="00A32AF4">
              <w:rPr>
                <w:rFonts w:cs="Arial"/>
                <w:sz w:val="16"/>
                <w:szCs w:val="16"/>
              </w:rPr>
              <w:t>’</w:t>
            </w:r>
            <w:r w:rsidRPr="00A32AF4">
              <w:rPr>
                <w:rFonts w:cs="Arial"/>
                <w:sz w:val="16"/>
                <w:szCs w:val="16"/>
              </w:rPr>
              <w:t>OMPI à Singapour</w:t>
            </w:r>
            <w:proofErr w:type="gramStart"/>
            <w:r w:rsidRPr="00A32AF4">
              <w:rPr>
                <w:rFonts w:cs="Arial"/>
                <w:sz w:val="16"/>
                <w:szCs w:val="16"/>
              </w:rPr>
              <w:t>)</w:t>
            </w:r>
            <w:proofErr w:type="gramEnd"/>
            <w:r w:rsidRPr="00A32AF4">
              <w:rPr>
                <w:rFonts w:cs="Arial"/>
                <w:sz w:val="16"/>
                <w:szCs w:val="16"/>
              </w:rPr>
              <w:br/>
              <w:t>0 (Bureau de l</w:t>
            </w:r>
            <w:r w:rsidR="00E2055A" w:rsidRPr="00A32AF4">
              <w:rPr>
                <w:rFonts w:cs="Arial"/>
                <w:sz w:val="16"/>
                <w:szCs w:val="16"/>
              </w:rPr>
              <w:t>’</w:t>
            </w:r>
            <w:r w:rsidRPr="00A32AF4">
              <w:rPr>
                <w:rFonts w:cs="Arial"/>
                <w:sz w:val="16"/>
                <w:szCs w:val="16"/>
              </w:rPr>
              <w:t xml:space="preserve">OMPI au Brésil) </w:t>
            </w:r>
            <w:r w:rsidRPr="00A32AF4">
              <w:rPr>
                <w:rFonts w:cs="Arial"/>
                <w:sz w:val="16"/>
                <w:szCs w:val="16"/>
              </w:rPr>
              <w:br/>
              <w:t>0 (Bureau de l</w:t>
            </w:r>
            <w:r w:rsidR="00E2055A" w:rsidRPr="00A32AF4">
              <w:rPr>
                <w:rFonts w:cs="Arial"/>
                <w:sz w:val="16"/>
                <w:szCs w:val="16"/>
              </w:rPr>
              <w:t>’</w:t>
            </w:r>
            <w:r w:rsidRPr="00A32AF4">
              <w:rPr>
                <w:rFonts w:cs="Arial"/>
                <w:sz w:val="16"/>
                <w:szCs w:val="16"/>
              </w:rPr>
              <w:t>OMPI au Japon)</w:t>
            </w:r>
            <w:r w:rsidRPr="00A32AF4">
              <w:rPr>
                <w:rFonts w:cs="Arial"/>
                <w:sz w:val="16"/>
                <w:szCs w:val="16"/>
              </w:rPr>
              <w:br/>
              <w:t>0 (Bureau de l</w:t>
            </w:r>
            <w:r w:rsidR="00E2055A" w:rsidRPr="00A32AF4">
              <w:rPr>
                <w:rFonts w:cs="Arial"/>
                <w:sz w:val="16"/>
                <w:szCs w:val="16"/>
              </w:rPr>
              <w:t>’</w:t>
            </w:r>
            <w:r w:rsidRPr="00A32AF4">
              <w:rPr>
                <w:rFonts w:cs="Arial"/>
                <w:sz w:val="16"/>
                <w:szCs w:val="16"/>
              </w:rPr>
              <w:t xml:space="preserve">OMPI en Russie) </w:t>
            </w:r>
            <w:r w:rsidRPr="00A32AF4">
              <w:rPr>
                <w:rFonts w:cs="Arial"/>
                <w:sz w:val="16"/>
                <w:szCs w:val="16"/>
              </w:rPr>
              <w:br/>
              <w:t>0 (Bureau de l</w:t>
            </w:r>
            <w:r w:rsidR="00E2055A" w:rsidRPr="00A32AF4">
              <w:rPr>
                <w:rFonts w:cs="Arial"/>
                <w:sz w:val="16"/>
                <w:szCs w:val="16"/>
              </w:rPr>
              <w:t>’</w:t>
            </w:r>
            <w:r w:rsidRPr="00A32AF4">
              <w:rPr>
                <w:rFonts w:cs="Arial"/>
                <w:sz w:val="16"/>
                <w:szCs w:val="16"/>
              </w:rPr>
              <w:t>OMPI en Chine)</w:t>
            </w:r>
          </w:p>
        </w:tc>
        <w:tc>
          <w:tcPr>
            <w:tcW w:w="2055" w:type="dxa"/>
            <w:tcBorders>
              <w:top w:val="single" w:sz="4" w:space="0" w:color="auto"/>
            </w:tcBorders>
            <w:shd w:val="clear" w:color="auto" w:fill="auto"/>
            <w:tcMar>
              <w:top w:w="113" w:type="dxa"/>
              <w:bottom w:w="113" w:type="dxa"/>
            </w:tcMar>
            <w:hideMark/>
          </w:tcPr>
          <w:p w:rsidR="00877B63" w:rsidRPr="00A32AF4" w:rsidRDefault="00877B63" w:rsidP="00DC0553">
            <w:pPr>
              <w:rPr>
                <w:rFonts w:cs="Arial"/>
                <w:sz w:val="16"/>
                <w:szCs w:val="16"/>
              </w:rPr>
            </w:pPr>
            <w:r w:rsidRPr="00A32AF4">
              <w:rPr>
                <w:rFonts w:cs="Arial"/>
                <w:sz w:val="16"/>
                <w:szCs w:val="16"/>
              </w:rPr>
              <w:t>2 (Bureau de l</w:t>
            </w:r>
            <w:r w:rsidR="00E2055A" w:rsidRPr="00A32AF4">
              <w:rPr>
                <w:rFonts w:cs="Arial"/>
                <w:sz w:val="16"/>
                <w:szCs w:val="16"/>
              </w:rPr>
              <w:t>’</w:t>
            </w:r>
            <w:r w:rsidRPr="00A32AF4">
              <w:rPr>
                <w:rFonts w:cs="Arial"/>
                <w:sz w:val="16"/>
                <w:szCs w:val="16"/>
              </w:rPr>
              <w:t>OMPI à Singapour)</w:t>
            </w:r>
          </w:p>
          <w:p w:rsidR="00877B63" w:rsidRPr="00A32AF4" w:rsidRDefault="00877B63" w:rsidP="00DC0553">
            <w:pPr>
              <w:rPr>
                <w:rFonts w:cs="Arial"/>
                <w:sz w:val="16"/>
                <w:szCs w:val="16"/>
              </w:rPr>
            </w:pPr>
            <w:r w:rsidRPr="00A32AF4">
              <w:rPr>
                <w:rFonts w:cs="Arial"/>
                <w:sz w:val="16"/>
                <w:szCs w:val="16"/>
              </w:rPr>
              <w:t>1 (Bureau de l</w:t>
            </w:r>
            <w:r w:rsidR="00E2055A" w:rsidRPr="00A32AF4">
              <w:rPr>
                <w:rFonts w:cs="Arial"/>
                <w:sz w:val="16"/>
                <w:szCs w:val="16"/>
              </w:rPr>
              <w:t>’</w:t>
            </w:r>
            <w:r w:rsidRPr="00A32AF4">
              <w:rPr>
                <w:rFonts w:cs="Arial"/>
                <w:sz w:val="16"/>
                <w:szCs w:val="16"/>
              </w:rPr>
              <w:t>OMPI au Brésil)</w:t>
            </w:r>
          </w:p>
          <w:p w:rsidR="00877B63" w:rsidRPr="00A32AF4" w:rsidRDefault="00877B63" w:rsidP="00DC0553">
            <w:pPr>
              <w:rPr>
                <w:rFonts w:cs="Arial"/>
                <w:sz w:val="16"/>
                <w:szCs w:val="16"/>
              </w:rPr>
            </w:pPr>
            <w:r w:rsidRPr="00A32AF4">
              <w:rPr>
                <w:rFonts w:cs="Arial"/>
                <w:sz w:val="16"/>
                <w:szCs w:val="16"/>
              </w:rPr>
              <w:t>1 (Bureau de l</w:t>
            </w:r>
            <w:r w:rsidR="00E2055A" w:rsidRPr="00A32AF4">
              <w:rPr>
                <w:rFonts w:cs="Arial"/>
                <w:sz w:val="16"/>
                <w:szCs w:val="16"/>
              </w:rPr>
              <w:t>’</w:t>
            </w:r>
            <w:r w:rsidRPr="00A32AF4">
              <w:rPr>
                <w:rFonts w:cs="Arial"/>
                <w:sz w:val="16"/>
                <w:szCs w:val="16"/>
              </w:rPr>
              <w:t>OMPI au Japon</w:t>
            </w:r>
            <w:proofErr w:type="gramStart"/>
            <w:r w:rsidRPr="00A32AF4">
              <w:rPr>
                <w:rFonts w:cs="Arial"/>
                <w:sz w:val="16"/>
                <w:szCs w:val="16"/>
              </w:rPr>
              <w:t>)</w:t>
            </w:r>
            <w:proofErr w:type="gramEnd"/>
            <w:r w:rsidRPr="00A32AF4">
              <w:rPr>
                <w:rFonts w:cs="Arial"/>
                <w:sz w:val="16"/>
                <w:szCs w:val="16"/>
              </w:rPr>
              <w:br/>
              <w:t>1 (Bureau de l</w:t>
            </w:r>
            <w:r w:rsidR="00E2055A" w:rsidRPr="00A32AF4">
              <w:rPr>
                <w:rFonts w:cs="Arial"/>
                <w:sz w:val="16"/>
                <w:szCs w:val="16"/>
              </w:rPr>
              <w:t>’</w:t>
            </w:r>
            <w:r w:rsidRPr="00A32AF4">
              <w:rPr>
                <w:rFonts w:cs="Arial"/>
                <w:sz w:val="16"/>
                <w:szCs w:val="16"/>
              </w:rPr>
              <w:t xml:space="preserve">OMPI en Russie) </w:t>
            </w:r>
            <w:r w:rsidRPr="00A32AF4">
              <w:rPr>
                <w:rFonts w:cs="Arial"/>
                <w:sz w:val="16"/>
                <w:szCs w:val="16"/>
              </w:rPr>
              <w:br/>
              <w:t>1 (Bureau de l</w:t>
            </w:r>
            <w:r w:rsidR="00E2055A" w:rsidRPr="00A32AF4">
              <w:rPr>
                <w:rFonts w:cs="Arial"/>
                <w:sz w:val="16"/>
                <w:szCs w:val="16"/>
              </w:rPr>
              <w:t>’</w:t>
            </w:r>
            <w:r w:rsidRPr="00A32AF4">
              <w:rPr>
                <w:rFonts w:cs="Arial"/>
                <w:sz w:val="16"/>
                <w:szCs w:val="16"/>
              </w:rPr>
              <w:t>OMPI en Chine)</w:t>
            </w:r>
          </w:p>
        </w:tc>
      </w:tr>
      <w:tr w:rsidR="00877B63" w:rsidRPr="00A32AF4" w:rsidTr="00D27E4C">
        <w:trPr>
          <w:cantSplit/>
        </w:trPr>
        <w:tc>
          <w:tcPr>
            <w:tcW w:w="2380" w:type="dxa"/>
            <w:shd w:val="clear" w:color="auto" w:fill="auto"/>
            <w:tcMar>
              <w:top w:w="113" w:type="dxa"/>
              <w:bottom w:w="113" w:type="dxa"/>
            </w:tcMar>
            <w:hideMark/>
          </w:tcPr>
          <w:p w:rsidR="00877B63" w:rsidRPr="00A32AF4" w:rsidRDefault="00877B63" w:rsidP="00DC0553">
            <w:pPr>
              <w:rPr>
                <w:rFonts w:cs="Arial"/>
                <w:sz w:val="16"/>
                <w:szCs w:val="16"/>
              </w:rPr>
            </w:pPr>
          </w:p>
        </w:tc>
        <w:tc>
          <w:tcPr>
            <w:tcW w:w="2380" w:type="dxa"/>
            <w:shd w:val="clear" w:color="auto" w:fill="auto"/>
            <w:tcMar>
              <w:top w:w="113" w:type="dxa"/>
              <w:bottom w:w="113" w:type="dxa"/>
            </w:tcMar>
            <w:hideMark/>
          </w:tcPr>
          <w:p w:rsidR="00877B63" w:rsidRPr="00A32AF4" w:rsidRDefault="00877B63" w:rsidP="00DC0553">
            <w:pPr>
              <w:rPr>
                <w:rFonts w:cs="Arial"/>
                <w:sz w:val="16"/>
                <w:szCs w:val="16"/>
              </w:rPr>
            </w:pPr>
            <w:r w:rsidRPr="00A32AF4">
              <w:rPr>
                <w:rFonts w:cs="Arial"/>
                <w:sz w:val="16"/>
                <w:szCs w:val="16"/>
              </w:rPr>
              <w:t>Nombre de ratifications du Traité de Beijing ou d</w:t>
            </w:r>
            <w:r w:rsidR="00E2055A" w:rsidRPr="00A32AF4">
              <w:rPr>
                <w:rFonts w:cs="Arial"/>
                <w:sz w:val="16"/>
                <w:szCs w:val="16"/>
              </w:rPr>
              <w:t>’</w:t>
            </w:r>
            <w:r w:rsidRPr="00A32AF4">
              <w:rPr>
                <w:rFonts w:cs="Arial"/>
                <w:sz w:val="16"/>
                <w:szCs w:val="16"/>
              </w:rPr>
              <w:t>adhésions à ce traité</w:t>
            </w:r>
          </w:p>
        </w:tc>
        <w:tc>
          <w:tcPr>
            <w:tcW w:w="2380" w:type="dxa"/>
            <w:shd w:val="clear" w:color="auto" w:fill="auto"/>
            <w:tcMar>
              <w:top w:w="113" w:type="dxa"/>
              <w:bottom w:w="113" w:type="dxa"/>
            </w:tcMar>
            <w:hideMark/>
          </w:tcPr>
          <w:p w:rsidR="00877B63" w:rsidRPr="00A32AF4" w:rsidRDefault="00877B63" w:rsidP="00DC0553">
            <w:pPr>
              <w:rPr>
                <w:rFonts w:cs="Arial"/>
                <w:sz w:val="16"/>
                <w:szCs w:val="16"/>
              </w:rPr>
            </w:pPr>
            <w:r w:rsidRPr="00A32AF4">
              <w:rPr>
                <w:rFonts w:cs="Arial"/>
                <w:sz w:val="16"/>
                <w:szCs w:val="16"/>
              </w:rPr>
              <w:t>0 (Bureau de l</w:t>
            </w:r>
            <w:r w:rsidR="00E2055A" w:rsidRPr="00A32AF4">
              <w:rPr>
                <w:rFonts w:cs="Arial"/>
                <w:sz w:val="16"/>
                <w:szCs w:val="16"/>
              </w:rPr>
              <w:t>’</w:t>
            </w:r>
            <w:r w:rsidRPr="00A32AF4">
              <w:rPr>
                <w:rFonts w:cs="Arial"/>
                <w:sz w:val="16"/>
                <w:szCs w:val="16"/>
              </w:rPr>
              <w:t>OMPI à Singapour</w:t>
            </w:r>
            <w:proofErr w:type="gramStart"/>
            <w:r w:rsidRPr="00A32AF4">
              <w:rPr>
                <w:rFonts w:cs="Arial"/>
                <w:sz w:val="16"/>
                <w:szCs w:val="16"/>
              </w:rPr>
              <w:t>)</w:t>
            </w:r>
            <w:proofErr w:type="gramEnd"/>
            <w:r w:rsidRPr="00A32AF4">
              <w:rPr>
                <w:rFonts w:cs="Arial"/>
                <w:sz w:val="16"/>
                <w:szCs w:val="16"/>
              </w:rPr>
              <w:br/>
              <w:t>0 (Bureau de l</w:t>
            </w:r>
            <w:r w:rsidR="00E2055A" w:rsidRPr="00A32AF4">
              <w:rPr>
                <w:rFonts w:cs="Arial"/>
                <w:sz w:val="16"/>
                <w:szCs w:val="16"/>
              </w:rPr>
              <w:t>’</w:t>
            </w:r>
            <w:r w:rsidRPr="00A32AF4">
              <w:rPr>
                <w:rFonts w:cs="Arial"/>
                <w:sz w:val="16"/>
                <w:szCs w:val="16"/>
              </w:rPr>
              <w:t>OMPI en Russie)</w:t>
            </w:r>
          </w:p>
        </w:tc>
        <w:tc>
          <w:tcPr>
            <w:tcW w:w="2055" w:type="dxa"/>
            <w:shd w:val="clear" w:color="auto" w:fill="auto"/>
            <w:tcMar>
              <w:top w:w="113" w:type="dxa"/>
              <w:bottom w:w="113" w:type="dxa"/>
            </w:tcMar>
            <w:hideMark/>
          </w:tcPr>
          <w:p w:rsidR="00877B63" w:rsidRPr="00A32AF4" w:rsidRDefault="00877B63" w:rsidP="00DC0553">
            <w:pPr>
              <w:rPr>
                <w:rFonts w:cs="Arial"/>
                <w:sz w:val="16"/>
                <w:szCs w:val="16"/>
              </w:rPr>
            </w:pPr>
            <w:r w:rsidRPr="00A32AF4">
              <w:rPr>
                <w:rFonts w:cs="Arial"/>
                <w:sz w:val="16"/>
                <w:szCs w:val="16"/>
              </w:rPr>
              <w:t>2 (Bureau de l</w:t>
            </w:r>
            <w:r w:rsidR="00E2055A" w:rsidRPr="00A32AF4">
              <w:rPr>
                <w:rFonts w:cs="Arial"/>
                <w:sz w:val="16"/>
                <w:szCs w:val="16"/>
              </w:rPr>
              <w:t>’</w:t>
            </w:r>
            <w:r w:rsidRPr="00A32AF4">
              <w:rPr>
                <w:rFonts w:cs="Arial"/>
                <w:sz w:val="16"/>
                <w:szCs w:val="16"/>
              </w:rPr>
              <w:t>OMPI à Singapour)</w:t>
            </w:r>
          </w:p>
          <w:p w:rsidR="00877B63" w:rsidRPr="00A32AF4" w:rsidRDefault="00877B63" w:rsidP="00DC0553">
            <w:pPr>
              <w:rPr>
                <w:rFonts w:cs="Arial"/>
                <w:sz w:val="16"/>
                <w:szCs w:val="16"/>
              </w:rPr>
            </w:pPr>
            <w:r w:rsidRPr="00A32AF4">
              <w:rPr>
                <w:rFonts w:cs="Arial"/>
                <w:sz w:val="16"/>
                <w:szCs w:val="16"/>
              </w:rPr>
              <w:t>1 (Bureau de l</w:t>
            </w:r>
            <w:r w:rsidR="00E2055A" w:rsidRPr="00A32AF4">
              <w:rPr>
                <w:rFonts w:cs="Arial"/>
                <w:sz w:val="16"/>
                <w:szCs w:val="16"/>
              </w:rPr>
              <w:t>’</w:t>
            </w:r>
            <w:r w:rsidRPr="00A32AF4">
              <w:rPr>
                <w:rFonts w:cs="Arial"/>
                <w:sz w:val="16"/>
                <w:szCs w:val="16"/>
              </w:rPr>
              <w:t>OMPI en Russie)</w:t>
            </w:r>
          </w:p>
        </w:tc>
      </w:tr>
      <w:tr w:rsidR="00877B63" w:rsidRPr="00A32AF4" w:rsidTr="00D27E4C">
        <w:trPr>
          <w:cantSplit/>
        </w:trPr>
        <w:tc>
          <w:tcPr>
            <w:tcW w:w="2380" w:type="dxa"/>
            <w:shd w:val="clear" w:color="auto" w:fill="auto"/>
            <w:tcMar>
              <w:top w:w="113" w:type="dxa"/>
              <w:bottom w:w="113" w:type="dxa"/>
            </w:tcMar>
            <w:hideMark/>
          </w:tcPr>
          <w:p w:rsidR="00877B63" w:rsidRPr="00A32AF4" w:rsidRDefault="00877B63" w:rsidP="00DC0553">
            <w:pPr>
              <w:rPr>
                <w:rFonts w:cs="Arial"/>
                <w:sz w:val="16"/>
                <w:szCs w:val="16"/>
              </w:rPr>
            </w:pPr>
          </w:p>
        </w:tc>
        <w:tc>
          <w:tcPr>
            <w:tcW w:w="2380" w:type="dxa"/>
            <w:shd w:val="clear" w:color="auto" w:fill="auto"/>
            <w:tcMar>
              <w:top w:w="113" w:type="dxa"/>
              <w:bottom w:w="113" w:type="dxa"/>
            </w:tcMar>
            <w:hideMark/>
          </w:tcPr>
          <w:p w:rsidR="00877B63" w:rsidRPr="00A32AF4" w:rsidRDefault="00877B63" w:rsidP="00DC0553">
            <w:pPr>
              <w:rPr>
                <w:rFonts w:cs="Arial"/>
                <w:sz w:val="16"/>
                <w:szCs w:val="16"/>
              </w:rPr>
            </w:pPr>
            <w:r w:rsidRPr="00A32AF4">
              <w:rPr>
                <w:rFonts w:cs="Arial"/>
                <w:sz w:val="16"/>
                <w:szCs w:val="16"/>
              </w:rPr>
              <w:t>Nombre de ratifications du Traité de Singapour ou d</w:t>
            </w:r>
            <w:r w:rsidR="00E2055A" w:rsidRPr="00A32AF4">
              <w:rPr>
                <w:rFonts w:cs="Arial"/>
                <w:sz w:val="16"/>
                <w:szCs w:val="16"/>
              </w:rPr>
              <w:t>’</w:t>
            </w:r>
            <w:r w:rsidRPr="00A32AF4">
              <w:rPr>
                <w:rFonts w:cs="Arial"/>
                <w:sz w:val="16"/>
                <w:szCs w:val="16"/>
              </w:rPr>
              <w:t>adhésions à ce traité</w:t>
            </w:r>
          </w:p>
        </w:tc>
        <w:tc>
          <w:tcPr>
            <w:tcW w:w="2380" w:type="dxa"/>
            <w:shd w:val="clear" w:color="auto" w:fill="auto"/>
            <w:tcMar>
              <w:top w:w="113" w:type="dxa"/>
              <w:bottom w:w="113" w:type="dxa"/>
            </w:tcMar>
            <w:hideMark/>
          </w:tcPr>
          <w:p w:rsidR="00877B63" w:rsidRPr="00A32AF4" w:rsidRDefault="00877B63" w:rsidP="00DC0553">
            <w:pPr>
              <w:rPr>
                <w:rFonts w:cs="Arial"/>
                <w:sz w:val="16"/>
                <w:szCs w:val="16"/>
              </w:rPr>
            </w:pPr>
            <w:r w:rsidRPr="00A32AF4">
              <w:rPr>
                <w:rFonts w:cs="Arial"/>
                <w:sz w:val="16"/>
                <w:szCs w:val="16"/>
              </w:rPr>
              <w:t>1 (Bureau de l</w:t>
            </w:r>
            <w:r w:rsidR="00E2055A" w:rsidRPr="00A32AF4">
              <w:rPr>
                <w:rFonts w:cs="Arial"/>
                <w:sz w:val="16"/>
                <w:szCs w:val="16"/>
              </w:rPr>
              <w:t>’</w:t>
            </w:r>
            <w:r w:rsidRPr="00A32AF4">
              <w:rPr>
                <w:rFonts w:cs="Arial"/>
                <w:sz w:val="16"/>
                <w:szCs w:val="16"/>
              </w:rPr>
              <w:t>OMPI à Singapour</w:t>
            </w:r>
            <w:proofErr w:type="gramStart"/>
            <w:r w:rsidRPr="00A32AF4">
              <w:rPr>
                <w:rFonts w:cs="Arial"/>
                <w:sz w:val="16"/>
                <w:szCs w:val="16"/>
              </w:rPr>
              <w:t>)</w:t>
            </w:r>
            <w:proofErr w:type="gramEnd"/>
            <w:r w:rsidRPr="00A32AF4">
              <w:rPr>
                <w:rFonts w:cs="Arial"/>
                <w:sz w:val="16"/>
                <w:szCs w:val="16"/>
              </w:rPr>
              <w:br/>
              <w:t>0 (Bureau de l</w:t>
            </w:r>
            <w:r w:rsidR="00E2055A" w:rsidRPr="00A32AF4">
              <w:rPr>
                <w:rFonts w:cs="Arial"/>
                <w:sz w:val="16"/>
                <w:szCs w:val="16"/>
              </w:rPr>
              <w:t>’</w:t>
            </w:r>
            <w:r w:rsidRPr="00A32AF4">
              <w:rPr>
                <w:rFonts w:cs="Arial"/>
                <w:sz w:val="16"/>
                <w:szCs w:val="16"/>
              </w:rPr>
              <w:t>OMPI au Japon)</w:t>
            </w:r>
          </w:p>
        </w:tc>
        <w:tc>
          <w:tcPr>
            <w:tcW w:w="2055" w:type="dxa"/>
            <w:shd w:val="clear" w:color="auto" w:fill="auto"/>
            <w:tcMar>
              <w:top w:w="113" w:type="dxa"/>
              <w:bottom w:w="113" w:type="dxa"/>
            </w:tcMar>
            <w:hideMark/>
          </w:tcPr>
          <w:p w:rsidR="00877B63" w:rsidRPr="00A32AF4" w:rsidRDefault="00877B63" w:rsidP="00DC0553">
            <w:pPr>
              <w:rPr>
                <w:rFonts w:cs="Arial"/>
                <w:sz w:val="16"/>
                <w:szCs w:val="16"/>
              </w:rPr>
            </w:pPr>
            <w:r w:rsidRPr="00A32AF4">
              <w:rPr>
                <w:rFonts w:cs="Arial"/>
                <w:sz w:val="16"/>
                <w:szCs w:val="16"/>
              </w:rPr>
              <w:t>1 supplémentaire (Bureau de l</w:t>
            </w:r>
            <w:r w:rsidR="00E2055A" w:rsidRPr="00A32AF4">
              <w:rPr>
                <w:rFonts w:cs="Arial"/>
                <w:sz w:val="16"/>
                <w:szCs w:val="16"/>
              </w:rPr>
              <w:t>’</w:t>
            </w:r>
            <w:r w:rsidRPr="00A32AF4">
              <w:rPr>
                <w:rFonts w:cs="Arial"/>
                <w:sz w:val="16"/>
                <w:szCs w:val="16"/>
              </w:rPr>
              <w:t>OMPI à Singapour)</w:t>
            </w:r>
          </w:p>
          <w:p w:rsidR="00877B63" w:rsidRPr="00A32AF4" w:rsidRDefault="00877B63" w:rsidP="00DC0553">
            <w:pPr>
              <w:rPr>
                <w:rFonts w:cs="Arial"/>
                <w:sz w:val="16"/>
                <w:szCs w:val="16"/>
              </w:rPr>
            </w:pPr>
            <w:r w:rsidRPr="00A32AF4">
              <w:rPr>
                <w:rFonts w:cs="Arial"/>
                <w:sz w:val="16"/>
                <w:szCs w:val="16"/>
              </w:rPr>
              <w:t>1 (Bureau de l</w:t>
            </w:r>
            <w:r w:rsidR="00E2055A" w:rsidRPr="00A32AF4">
              <w:rPr>
                <w:rFonts w:cs="Arial"/>
                <w:sz w:val="16"/>
                <w:szCs w:val="16"/>
              </w:rPr>
              <w:t>’</w:t>
            </w:r>
            <w:r w:rsidRPr="00A32AF4">
              <w:rPr>
                <w:rFonts w:cs="Arial"/>
                <w:sz w:val="16"/>
                <w:szCs w:val="16"/>
              </w:rPr>
              <w:t>OMPI au Japon)</w:t>
            </w:r>
          </w:p>
        </w:tc>
      </w:tr>
      <w:tr w:rsidR="00877B63" w:rsidRPr="00A32AF4" w:rsidTr="00D27E4C">
        <w:trPr>
          <w:cantSplit/>
        </w:trPr>
        <w:tc>
          <w:tcPr>
            <w:tcW w:w="2380" w:type="dxa"/>
            <w:shd w:val="clear" w:color="auto" w:fill="auto"/>
            <w:tcMar>
              <w:top w:w="113" w:type="dxa"/>
              <w:bottom w:w="113" w:type="dxa"/>
            </w:tcMar>
            <w:hideMark/>
          </w:tcPr>
          <w:p w:rsidR="00877B63" w:rsidRPr="00A32AF4" w:rsidRDefault="00877B63" w:rsidP="00DC0553">
            <w:pPr>
              <w:rPr>
                <w:rFonts w:cs="Arial"/>
                <w:sz w:val="16"/>
                <w:szCs w:val="16"/>
              </w:rPr>
            </w:pPr>
          </w:p>
        </w:tc>
        <w:tc>
          <w:tcPr>
            <w:tcW w:w="2380" w:type="dxa"/>
            <w:shd w:val="clear" w:color="auto" w:fill="auto"/>
            <w:tcMar>
              <w:top w:w="113" w:type="dxa"/>
              <w:bottom w:w="113" w:type="dxa"/>
            </w:tcMar>
            <w:hideMark/>
          </w:tcPr>
          <w:p w:rsidR="00877B63" w:rsidRPr="00A32AF4" w:rsidRDefault="00877B63" w:rsidP="00DC0553">
            <w:pPr>
              <w:rPr>
                <w:rFonts w:cs="Arial"/>
                <w:sz w:val="16"/>
                <w:szCs w:val="16"/>
              </w:rPr>
            </w:pPr>
            <w:r w:rsidRPr="00A32AF4">
              <w:rPr>
                <w:rFonts w:cs="Arial"/>
                <w:sz w:val="16"/>
                <w:szCs w:val="16"/>
              </w:rPr>
              <w:t>Nombre de ratifications des traités Internet ou d</w:t>
            </w:r>
            <w:r w:rsidR="00E2055A" w:rsidRPr="00A32AF4">
              <w:rPr>
                <w:rFonts w:cs="Arial"/>
                <w:sz w:val="16"/>
                <w:szCs w:val="16"/>
              </w:rPr>
              <w:t>’</w:t>
            </w:r>
            <w:r w:rsidRPr="00A32AF4">
              <w:rPr>
                <w:rFonts w:cs="Arial"/>
                <w:sz w:val="16"/>
                <w:szCs w:val="16"/>
              </w:rPr>
              <w:t xml:space="preserve">adhésions à ces traités </w:t>
            </w:r>
          </w:p>
        </w:tc>
        <w:tc>
          <w:tcPr>
            <w:tcW w:w="2380" w:type="dxa"/>
            <w:shd w:val="clear" w:color="auto" w:fill="auto"/>
            <w:tcMar>
              <w:top w:w="113" w:type="dxa"/>
              <w:bottom w:w="113" w:type="dxa"/>
            </w:tcMar>
            <w:hideMark/>
          </w:tcPr>
          <w:p w:rsidR="00877B63" w:rsidRPr="00A32AF4" w:rsidRDefault="00877B63" w:rsidP="00DC0553">
            <w:pPr>
              <w:rPr>
                <w:rFonts w:cs="Arial"/>
                <w:sz w:val="16"/>
                <w:szCs w:val="16"/>
              </w:rPr>
            </w:pPr>
            <w:r w:rsidRPr="00A32AF4">
              <w:rPr>
                <w:rFonts w:cs="Arial"/>
                <w:sz w:val="16"/>
                <w:szCs w:val="16"/>
              </w:rPr>
              <w:t>Traité de l</w:t>
            </w:r>
            <w:r w:rsidR="00E2055A" w:rsidRPr="00A32AF4">
              <w:rPr>
                <w:rFonts w:cs="Arial"/>
                <w:sz w:val="16"/>
                <w:szCs w:val="16"/>
              </w:rPr>
              <w:t>’</w:t>
            </w:r>
            <w:r w:rsidRPr="00A32AF4">
              <w:rPr>
                <w:rFonts w:cs="Arial"/>
                <w:sz w:val="16"/>
                <w:szCs w:val="16"/>
              </w:rPr>
              <w:t>OMPI sur le droit d</w:t>
            </w:r>
            <w:r w:rsidR="00E2055A" w:rsidRPr="00A32AF4">
              <w:rPr>
                <w:rFonts w:cs="Arial"/>
                <w:sz w:val="16"/>
                <w:szCs w:val="16"/>
              </w:rPr>
              <w:t>’</w:t>
            </w:r>
            <w:r w:rsidRPr="00A32AF4">
              <w:rPr>
                <w:rFonts w:cs="Arial"/>
                <w:sz w:val="16"/>
                <w:szCs w:val="16"/>
              </w:rPr>
              <w:t>auteur </w:t>
            </w:r>
            <w:proofErr w:type="gramStart"/>
            <w:r w:rsidRPr="00A32AF4">
              <w:rPr>
                <w:rFonts w:cs="Arial"/>
                <w:sz w:val="16"/>
                <w:szCs w:val="16"/>
              </w:rPr>
              <w:t>:</w:t>
            </w:r>
            <w:proofErr w:type="gramEnd"/>
            <w:r w:rsidRPr="00A32AF4">
              <w:rPr>
                <w:rFonts w:cs="Arial"/>
                <w:sz w:val="16"/>
                <w:szCs w:val="16"/>
              </w:rPr>
              <w:br/>
              <w:t>4 (Bureau de l</w:t>
            </w:r>
            <w:r w:rsidR="00E2055A" w:rsidRPr="00A32AF4">
              <w:rPr>
                <w:rFonts w:cs="Arial"/>
                <w:sz w:val="16"/>
                <w:szCs w:val="16"/>
              </w:rPr>
              <w:t>’</w:t>
            </w:r>
            <w:r w:rsidRPr="00A32AF4">
              <w:rPr>
                <w:rFonts w:cs="Arial"/>
                <w:sz w:val="16"/>
                <w:szCs w:val="16"/>
              </w:rPr>
              <w:t xml:space="preserve">OMPI à Singapour) </w:t>
            </w:r>
            <w:r w:rsidRPr="00A32AF4">
              <w:rPr>
                <w:rFonts w:cs="Arial"/>
                <w:sz w:val="16"/>
                <w:szCs w:val="16"/>
              </w:rPr>
              <w:br/>
            </w:r>
            <w:r w:rsidRPr="00A32AF4">
              <w:rPr>
                <w:rFonts w:cs="Arial"/>
                <w:sz w:val="16"/>
                <w:szCs w:val="16"/>
              </w:rPr>
              <w:br/>
              <w:t>Traité de l</w:t>
            </w:r>
            <w:r w:rsidR="00E2055A" w:rsidRPr="00A32AF4">
              <w:rPr>
                <w:rFonts w:cs="Arial"/>
                <w:sz w:val="16"/>
                <w:szCs w:val="16"/>
              </w:rPr>
              <w:t>’</w:t>
            </w:r>
            <w:r w:rsidRPr="00A32AF4">
              <w:rPr>
                <w:rFonts w:cs="Arial"/>
                <w:sz w:val="16"/>
                <w:szCs w:val="16"/>
              </w:rPr>
              <w:t>OMPI sur les interprétations et exécutions et les phonogrammes :</w:t>
            </w:r>
            <w:r w:rsidRPr="00A32AF4">
              <w:rPr>
                <w:rFonts w:cs="Arial"/>
                <w:sz w:val="16"/>
                <w:szCs w:val="16"/>
              </w:rPr>
              <w:br/>
              <w:t>4 (Bureau de l</w:t>
            </w:r>
            <w:r w:rsidR="00E2055A" w:rsidRPr="00A32AF4">
              <w:rPr>
                <w:rFonts w:cs="Arial"/>
                <w:sz w:val="16"/>
                <w:szCs w:val="16"/>
              </w:rPr>
              <w:t>’</w:t>
            </w:r>
            <w:r w:rsidRPr="00A32AF4">
              <w:rPr>
                <w:rFonts w:cs="Arial"/>
                <w:sz w:val="16"/>
                <w:szCs w:val="16"/>
              </w:rPr>
              <w:t>OMPI à Singapour)</w:t>
            </w:r>
          </w:p>
        </w:tc>
        <w:tc>
          <w:tcPr>
            <w:tcW w:w="2055" w:type="dxa"/>
            <w:shd w:val="clear" w:color="auto" w:fill="auto"/>
            <w:tcMar>
              <w:top w:w="113" w:type="dxa"/>
              <w:bottom w:w="113" w:type="dxa"/>
            </w:tcMar>
            <w:hideMark/>
          </w:tcPr>
          <w:p w:rsidR="00877B63" w:rsidRPr="00A32AF4" w:rsidRDefault="00877B63" w:rsidP="00DC0553">
            <w:pPr>
              <w:rPr>
                <w:rFonts w:cs="Arial"/>
                <w:sz w:val="16"/>
                <w:szCs w:val="16"/>
              </w:rPr>
            </w:pPr>
            <w:r w:rsidRPr="00A32AF4">
              <w:rPr>
                <w:rFonts w:cs="Arial"/>
                <w:sz w:val="16"/>
                <w:szCs w:val="16"/>
              </w:rPr>
              <w:t>1 supplémentaire (Bureau de l</w:t>
            </w:r>
            <w:r w:rsidR="00E2055A" w:rsidRPr="00A32AF4">
              <w:rPr>
                <w:rFonts w:cs="Arial"/>
                <w:sz w:val="16"/>
                <w:szCs w:val="16"/>
              </w:rPr>
              <w:t>’</w:t>
            </w:r>
            <w:r w:rsidRPr="00A32AF4">
              <w:rPr>
                <w:rFonts w:cs="Arial"/>
                <w:sz w:val="16"/>
                <w:szCs w:val="16"/>
              </w:rPr>
              <w:t>OMPI à Singapour)</w:t>
            </w:r>
          </w:p>
          <w:p w:rsidR="00877B63" w:rsidRPr="00A32AF4" w:rsidRDefault="00877B63" w:rsidP="00DC0553">
            <w:pPr>
              <w:rPr>
                <w:rFonts w:cs="Arial"/>
                <w:sz w:val="16"/>
                <w:szCs w:val="16"/>
              </w:rPr>
            </w:pPr>
          </w:p>
          <w:p w:rsidR="00877B63" w:rsidRPr="00A32AF4" w:rsidRDefault="00877B63" w:rsidP="00DC0553">
            <w:pPr>
              <w:rPr>
                <w:rFonts w:cs="Arial"/>
                <w:sz w:val="16"/>
                <w:szCs w:val="16"/>
              </w:rPr>
            </w:pPr>
          </w:p>
          <w:p w:rsidR="00877B63" w:rsidRPr="00A32AF4" w:rsidRDefault="00877B63" w:rsidP="00DC0553">
            <w:pPr>
              <w:rPr>
                <w:rFonts w:cs="Arial"/>
                <w:sz w:val="16"/>
                <w:szCs w:val="16"/>
              </w:rPr>
            </w:pPr>
            <w:r w:rsidRPr="00A32AF4">
              <w:rPr>
                <w:rFonts w:cs="Arial"/>
                <w:sz w:val="16"/>
                <w:szCs w:val="16"/>
              </w:rPr>
              <w:t>1 supplémentaire (Bureau de l</w:t>
            </w:r>
            <w:r w:rsidR="00E2055A" w:rsidRPr="00A32AF4">
              <w:rPr>
                <w:rFonts w:cs="Arial"/>
                <w:sz w:val="16"/>
                <w:szCs w:val="16"/>
              </w:rPr>
              <w:t>’</w:t>
            </w:r>
            <w:r w:rsidRPr="00A32AF4">
              <w:rPr>
                <w:rFonts w:cs="Arial"/>
                <w:sz w:val="16"/>
                <w:szCs w:val="16"/>
              </w:rPr>
              <w:t>OMPI à Singapour)</w:t>
            </w:r>
          </w:p>
        </w:tc>
      </w:tr>
      <w:tr w:rsidR="00877B63" w:rsidRPr="00A32AF4" w:rsidTr="00D27E4C">
        <w:trPr>
          <w:cantSplit/>
        </w:trPr>
        <w:tc>
          <w:tcPr>
            <w:tcW w:w="2380" w:type="dxa"/>
            <w:shd w:val="clear" w:color="auto" w:fill="auto"/>
            <w:tcMar>
              <w:top w:w="113" w:type="dxa"/>
              <w:bottom w:w="113" w:type="dxa"/>
            </w:tcMar>
            <w:hideMark/>
          </w:tcPr>
          <w:p w:rsidR="00877B63" w:rsidRPr="00A32AF4" w:rsidRDefault="00877B63" w:rsidP="00DC0553">
            <w:pPr>
              <w:rPr>
                <w:rFonts w:cs="Arial"/>
                <w:sz w:val="16"/>
                <w:szCs w:val="16"/>
              </w:rPr>
            </w:pPr>
            <w:r w:rsidRPr="00A32AF4">
              <w:rPr>
                <w:rFonts w:cs="Arial"/>
                <w:sz w:val="16"/>
                <w:szCs w:val="16"/>
              </w:rPr>
              <w:t>II.1 Utilisation élargie et plus efficace du système du PCT pour le dépôt des demandes internationales de brevet</w:t>
            </w:r>
          </w:p>
        </w:tc>
        <w:tc>
          <w:tcPr>
            <w:tcW w:w="2380" w:type="dxa"/>
            <w:shd w:val="clear" w:color="auto" w:fill="auto"/>
            <w:tcMar>
              <w:top w:w="113" w:type="dxa"/>
              <w:bottom w:w="113" w:type="dxa"/>
            </w:tcMar>
            <w:hideMark/>
          </w:tcPr>
          <w:p w:rsidR="00877B63" w:rsidRPr="00A32AF4" w:rsidRDefault="00877B63" w:rsidP="00DC0553">
            <w:pPr>
              <w:rPr>
                <w:rFonts w:cs="Arial"/>
                <w:sz w:val="16"/>
                <w:szCs w:val="16"/>
              </w:rPr>
            </w:pPr>
            <w:r w:rsidRPr="00A32AF4">
              <w:rPr>
                <w:rFonts w:cs="Arial"/>
                <w:sz w:val="16"/>
                <w:szCs w:val="16"/>
              </w:rPr>
              <w:t>Nombre de demandes PCT</w:t>
            </w:r>
          </w:p>
        </w:tc>
        <w:tc>
          <w:tcPr>
            <w:tcW w:w="2380" w:type="dxa"/>
            <w:shd w:val="clear" w:color="auto" w:fill="auto"/>
            <w:tcMar>
              <w:top w:w="113" w:type="dxa"/>
              <w:bottom w:w="113" w:type="dxa"/>
            </w:tcMar>
            <w:hideMark/>
          </w:tcPr>
          <w:p w:rsidR="00877B63" w:rsidRPr="00A32AF4" w:rsidRDefault="00702CE5" w:rsidP="00DC0553">
            <w:pPr>
              <w:rPr>
                <w:rFonts w:cs="Arial"/>
                <w:sz w:val="16"/>
                <w:szCs w:val="16"/>
              </w:rPr>
            </w:pPr>
            <w:r w:rsidRPr="00A32AF4">
              <w:rPr>
                <w:rFonts w:cs="Arial"/>
                <w:sz w:val="16"/>
                <w:szCs w:val="16"/>
              </w:rPr>
              <w:t>1</w:t>
            </w:r>
            <w:r w:rsidR="00877B63" w:rsidRPr="00A32AF4">
              <w:rPr>
                <w:rFonts w:cs="Arial"/>
                <w:sz w:val="16"/>
                <w:szCs w:val="16"/>
              </w:rPr>
              <w:t>387 (en 2014) (Bureau de l</w:t>
            </w:r>
            <w:r w:rsidR="00E2055A" w:rsidRPr="00A32AF4">
              <w:rPr>
                <w:rFonts w:cs="Arial"/>
                <w:sz w:val="16"/>
                <w:szCs w:val="16"/>
              </w:rPr>
              <w:t>’</w:t>
            </w:r>
            <w:r w:rsidR="00877B63" w:rsidRPr="00A32AF4">
              <w:rPr>
                <w:rFonts w:cs="Arial"/>
                <w:sz w:val="16"/>
                <w:szCs w:val="16"/>
              </w:rPr>
              <w:t>OMPI à Singapour</w:t>
            </w:r>
            <w:proofErr w:type="gramStart"/>
            <w:r w:rsidR="00877B63" w:rsidRPr="00A32AF4">
              <w:rPr>
                <w:rFonts w:cs="Arial"/>
                <w:sz w:val="16"/>
                <w:szCs w:val="16"/>
              </w:rPr>
              <w:t>)</w:t>
            </w:r>
            <w:proofErr w:type="gramEnd"/>
            <w:r w:rsidR="00877B63" w:rsidRPr="00A32AF4">
              <w:rPr>
                <w:rFonts w:cs="Arial"/>
                <w:sz w:val="16"/>
                <w:szCs w:val="16"/>
              </w:rPr>
              <w:br/>
              <w:t>581 (en 2014) (Bureau de l</w:t>
            </w:r>
            <w:r w:rsidR="00E2055A" w:rsidRPr="00A32AF4">
              <w:rPr>
                <w:rFonts w:cs="Arial"/>
                <w:sz w:val="16"/>
                <w:szCs w:val="16"/>
              </w:rPr>
              <w:t>’</w:t>
            </w:r>
            <w:r w:rsidR="00877B63" w:rsidRPr="00A32AF4">
              <w:rPr>
                <w:rFonts w:cs="Arial"/>
                <w:sz w:val="16"/>
                <w:szCs w:val="16"/>
              </w:rPr>
              <w:t xml:space="preserve">OMPI au Brésil) </w:t>
            </w:r>
            <w:r w:rsidR="00877B63" w:rsidRPr="00A32AF4">
              <w:rPr>
                <w:rFonts w:cs="Arial"/>
                <w:sz w:val="16"/>
                <w:szCs w:val="16"/>
              </w:rPr>
              <w:br/>
              <w:t>42 459 (en 2014) (Bureau de l</w:t>
            </w:r>
            <w:r w:rsidR="00E2055A" w:rsidRPr="00A32AF4">
              <w:rPr>
                <w:rFonts w:cs="Arial"/>
                <w:sz w:val="16"/>
                <w:szCs w:val="16"/>
              </w:rPr>
              <w:t>’</w:t>
            </w:r>
            <w:r w:rsidR="00877B63" w:rsidRPr="00A32AF4">
              <w:rPr>
                <w:rFonts w:cs="Arial"/>
                <w:sz w:val="16"/>
                <w:szCs w:val="16"/>
              </w:rPr>
              <w:t>OMPI au Japon)</w:t>
            </w:r>
            <w:r w:rsidR="00877B63" w:rsidRPr="00A32AF4">
              <w:rPr>
                <w:rFonts w:cs="Arial"/>
                <w:i/>
                <w:iCs/>
                <w:sz w:val="16"/>
                <w:szCs w:val="16"/>
              </w:rPr>
              <w:br/>
            </w:r>
            <w:r w:rsidR="00877B63" w:rsidRPr="00A32AF4">
              <w:rPr>
                <w:rFonts w:cs="Arial"/>
                <w:sz w:val="16"/>
                <w:szCs w:val="16"/>
              </w:rPr>
              <w:t>890 (en 2014) (Bureau de l</w:t>
            </w:r>
            <w:r w:rsidR="00E2055A" w:rsidRPr="00A32AF4">
              <w:rPr>
                <w:rFonts w:cs="Arial"/>
                <w:sz w:val="16"/>
                <w:szCs w:val="16"/>
              </w:rPr>
              <w:t>’</w:t>
            </w:r>
            <w:r w:rsidR="00877B63" w:rsidRPr="00A32AF4">
              <w:rPr>
                <w:rFonts w:cs="Arial"/>
                <w:sz w:val="16"/>
                <w:szCs w:val="16"/>
              </w:rPr>
              <w:t>OMPI en Russie)</w:t>
            </w:r>
            <w:r w:rsidR="00877B63" w:rsidRPr="00A32AF4">
              <w:rPr>
                <w:rFonts w:cs="Arial"/>
                <w:i/>
                <w:iCs/>
                <w:sz w:val="16"/>
                <w:szCs w:val="16"/>
              </w:rPr>
              <w:br/>
            </w:r>
            <w:r w:rsidR="00877B63" w:rsidRPr="00A32AF4">
              <w:rPr>
                <w:rFonts w:cs="Arial"/>
                <w:sz w:val="16"/>
                <w:szCs w:val="16"/>
              </w:rPr>
              <w:t>25 539 (en 2014) (Bureau de l</w:t>
            </w:r>
            <w:r w:rsidR="00E2055A" w:rsidRPr="00A32AF4">
              <w:rPr>
                <w:rFonts w:cs="Arial"/>
                <w:sz w:val="16"/>
                <w:szCs w:val="16"/>
              </w:rPr>
              <w:t>’</w:t>
            </w:r>
            <w:r w:rsidR="00877B63" w:rsidRPr="00A32AF4">
              <w:rPr>
                <w:rFonts w:cs="Arial"/>
                <w:sz w:val="16"/>
                <w:szCs w:val="16"/>
              </w:rPr>
              <w:t xml:space="preserve">OMPI en Chine) </w:t>
            </w:r>
          </w:p>
        </w:tc>
        <w:tc>
          <w:tcPr>
            <w:tcW w:w="2055" w:type="dxa"/>
            <w:shd w:val="clear" w:color="auto" w:fill="auto"/>
            <w:tcMar>
              <w:top w:w="113" w:type="dxa"/>
              <w:bottom w:w="113" w:type="dxa"/>
            </w:tcMar>
            <w:hideMark/>
          </w:tcPr>
          <w:p w:rsidR="00877B63" w:rsidRPr="00A32AF4" w:rsidRDefault="00877B63" w:rsidP="00DC0553">
            <w:pPr>
              <w:rPr>
                <w:rFonts w:cs="Arial"/>
                <w:sz w:val="16"/>
                <w:szCs w:val="16"/>
              </w:rPr>
            </w:pPr>
            <w:r w:rsidRPr="00A32AF4">
              <w:rPr>
                <w:rFonts w:cs="Arial"/>
                <w:sz w:val="16"/>
                <w:szCs w:val="16"/>
              </w:rPr>
              <w:t>Une croissance annuelle de 2% (tous bureaux confondus)</w:t>
            </w:r>
          </w:p>
        </w:tc>
      </w:tr>
      <w:tr w:rsidR="00877B63" w:rsidRPr="00A32AF4" w:rsidTr="00D27E4C">
        <w:trPr>
          <w:cantSplit/>
        </w:trPr>
        <w:tc>
          <w:tcPr>
            <w:tcW w:w="2380" w:type="dxa"/>
            <w:shd w:val="clear" w:color="auto" w:fill="auto"/>
            <w:tcMar>
              <w:top w:w="113" w:type="dxa"/>
              <w:bottom w:w="113" w:type="dxa"/>
            </w:tcMar>
            <w:hideMark/>
          </w:tcPr>
          <w:p w:rsidR="00877B63" w:rsidRPr="00A32AF4" w:rsidRDefault="00877B63" w:rsidP="00DC0553">
            <w:pPr>
              <w:rPr>
                <w:rFonts w:cs="Arial"/>
                <w:sz w:val="16"/>
                <w:szCs w:val="16"/>
              </w:rPr>
            </w:pPr>
          </w:p>
        </w:tc>
        <w:tc>
          <w:tcPr>
            <w:tcW w:w="2380" w:type="dxa"/>
            <w:shd w:val="clear" w:color="auto" w:fill="auto"/>
            <w:tcMar>
              <w:top w:w="113" w:type="dxa"/>
              <w:bottom w:w="113" w:type="dxa"/>
            </w:tcMar>
            <w:hideMark/>
          </w:tcPr>
          <w:p w:rsidR="00877B63" w:rsidRPr="00A32AF4" w:rsidRDefault="00877B63" w:rsidP="00DC0553">
            <w:pPr>
              <w:rPr>
                <w:rFonts w:cs="Arial"/>
                <w:sz w:val="16"/>
                <w:szCs w:val="16"/>
              </w:rPr>
            </w:pPr>
            <w:r w:rsidRPr="00A32AF4">
              <w:rPr>
                <w:rFonts w:cs="Arial"/>
                <w:sz w:val="16"/>
                <w:szCs w:val="16"/>
              </w:rPr>
              <w:t>Pourcentage de décideurs, de fonctionnaires gouvernementaux, de spécialistes de la propriété intellectuelle et de participants à des séminaires ciblés ayant une meilleure connaissance du PCT et de thèmes connexes</w:t>
            </w:r>
          </w:p>
        </w:tc>
        <w:tc>
          <w:tcPr>
            <w:tcW w:w="2380" w:type="dxa"/>
            <w:shd w:val="clear" w:color="auto" w:fill="auto"/>
            <w:tcMar>
              <w:top w:w="113" w:type="dxa"/>
              <w:bottom w:w="113" w:type="dxa"/>
            </w:tcMar>
            <w:hideMark/>
          </w:tcPr>
          <w:p w:rsidR="00877B63" w:rsidRPr="00A32AF4" w:rsidRDefault="00877B63" w:rsidP="00DC0553">
            <w:pPr>
              <w:rPr>
                <w:rFonts w:cs="Arial"/>
                <w:sz w:val="16"/>
                <w:szCs w:val="16"/>
              </w:rPr>
            </w:pPr>
            <w:r w:rsidRPr="00A32AF4">
              <w:rPr>
                <w:rFonts w:cs="Arial"/>
                <w:sz w:val="16"/>
                <w:szCs w:val="16"/>
              </w:rPr>
              <w:t>93% (Bureau de l</w:t>
            </w:r>
            <w:r w:rsidR="00E2055A" w:rsidRPr="00A32AF4">
              <w:rPr>
                <w:rFonts w:cs="Arial"/>
                <w:sz w:val="16"/>
                <w:szCs w:val="16"/>
              </w:rPr>
              <w:t>’</w:t>
            </w:r>
            <w:r w:rsidRPr="00A32AF4">
              <w:rPr>
                <w:rFonts w:cs="Arial"/>
                <w:sz w:val="16"/>
                <w:szCs w:val="16"/>
              </w:rPr>
              <w:t>OMPI à Singapour)</w:t>
            </w:r>
          </w:p>
          <w:p w:rsidR="00877B63" w:rsidRPr="00A32AF4" w:rsidRDefault="00877B63" w:rsidP="00DC0553">
            <w:pPr>
              <w:rPr>
                <w:rFonts w:cs="Arial"/>
                <w:sz w:val="16"/>
                <w:szCs w:val="16"/>
              </w:rPr>
            </w:pPr>
            <w:r w:rsidRPr="00A32AF4">
              <w:rPr>
                <w:rFonts w:cs="Arial"/>
                <w:sz w:val="16"/>
                <w:szCs w:val="16"/>
              </w:rPr>
              <w:t>75% (Bureau de l</w:t>
            </w:r>
            <w:r w:rsidR="00E2055A" w:rsidRPr="00A32AF4">
              <w:rPr>
                <w:rFonts w:cs="Arial"/>
                <w:sz w:val="16"/>
                <w:szCs w:val="16"/>
              </w:rPr>
              <w:t>’</w:t>
            </w:r>
            <w:r w:rsidRPr="00A32AF4">
              <w:rPr>
                <w:rFonts w:cs="Arial"/>
                <w:sz w:val="16"/>
                <w:szCs w:val="16"/>
              </w:rPr>
              <w:t>OMPI au Brésil)</w:t>
            </w:r>
          </w:p>
          <w:p w:rsidR="00877B63" w:rsidRPr="00A32AF4" w:rsidRDefault="00877B63" w:rsidP="00DC0553">
            <w:pPr>
              <w:rPr>
                <w:rFonts w:cs="Arial"/>
                <w:sz w:val="16"/>
                <w:szCs w:val="16"/>
              </w:rPr>
            </w:pPr>
            <w:r w:rsidRPr="00A32AF4">
              <w:rPr>
                <w:rFonts w:cs="Arial"/>
                <w:sz w:val="16"/>
                <w:szCs w:val="16"/>
              </w:rPr>
              <w:t>94% (Bureau de l</w:t>
            </w:r>
            <w:r w:rsidR="00E2055A" w:rsidRPr="00A32AF4">
              <w:rPr>
                <w:rFonts w:cs="Arial"/>
                <w:sz w:val="16"/>
                <w:szCs w:val="16"/>
              </w:rPr>
              <w:t>’</w:t>
            </w:r>
            <w:r w:rsidRPr="00A32AF4">
              <w:rPr>
                <w:rFonts w:cs="Arial"/>
                <w:sz w:val="16"/>
                <w:szCs w:val="16"/>
              </w:rPr>
              <w:t>OMPI au Japon)</w:t>
            </w:r>
          </w:p>
        </w:tc>
        <w:tc>
          <w:tcPr>
            <w:tcW w:w="2055" w:type="dxa"/>
            <w:shd w:val="clear" w:color="auto" w:fill="auto"/>
            <w:tcMar>
              <w:top w:w="113" w:type="dxa"/>
              <w:bottom w:w="113" w:type="dxa"/>
            </w:tcMar>
            <w:hideMark/>
          </w:tcPr>
          <w:p w:rsidR="00877B63" w:rsidRPr="00A32AF4" w:rsidRDefault="00877B63" w:rsidP="00DC0553">
            <w:pPr>
              <w:rPr>
                <w:rFonts w:cs="Arial"/>
                <w:sz w:val="16"/>
                <w:szCs w:val="16"/>
              </w:rPr>
            </w:pPr>
            <w:r w:rsidRPr="00A32AF4">
              <w:rPr>
                <w:rFonts w:cs="Arial"/>
                <w:sz w:val="16"/>
                <w:szCs w:val="16"/>
              </w:rPr>
              <w:t>75% (tous bureaux confondus)</w:t>
            </w:r>
          </w:p>
        </w:tc>
      </w:tr>
      <w:tr w:rsidR="00877B63" w:rsidRPr="00A32AF4" w:rsidTr="00D27E4C">
        <w:trPr>
          <w:cantSplit/>
        </w:trPr>
        <w:tc>
          <w:tcPr>
            <w:tcW w:w="2380" w:type="dxa"/>
            <w:shd w:val="clear" w:color="auto" w:fill="auto"/>
            <w:tcMar>
              <w:top w:w="113" w:type="dxa"/>
              <w:bottom w:w="113" w:type="dxa"/>
            </w:tcMar>
            <w:hideMark/>
          </w:tcPr>
          <w:p w:rsidR="00877B63" w:rsidRPr="00A32AF4" w:rsidRDefault="00877B63" w:rsidP="00DC0553">
            <w:pPr>
              <w:rPr>
                <w:rFonts w:cs="Arial"/>
                <w:sz w:val="16"/>
                <w:szCs w:val="16"/>
              </w:rPr>
            </w:pPr>
            <w:r w:rsidRPr="00A32AF4">
              <w:rPr>
                <w:rFonts w:cs="Arial"/>
                <w:sz w:val="16"/>
                <w:szCs w:val="16"/>
              </w:rPr>
              <w:t xml:space="preserve">II.4 Utilisation élargie et plus efficace du système de </w:t>
            </w:r>
            <w:r w:rsidR="00E2055A" w:rsidRPr="00A32AF4">
              <w:rPr>
                <w:rFonts w:cs="Arial"/>
                <w:sz w:val="16"/>
                <w:szCs w:val="16"/>
              </w:rPr>
              <w:t>La Haye</w:t>
            </w:r>
            <w:r w:rsidRPr="00A32AF4">
              <w:rPr>
                <w:rFonts w:cs="Arial"/>
                <w:sz w:val="16"/>
                <w:szCs w:val="16"/>
              </w:rPr>
              <w:t>, notamment par les pays en développement et les PMA</w:t>
            </w:r>
          </w:p>
        </w:tc>
        <w:tc>
          <w:tcPr>
            <w:tcW w:w="2380" w:type="dxa"/>
            <w:shd w:val="clear" w:color="auto" w:fill="auto"/>
            <w:tcMar>
              <w:top w:w="113" w:type="dxa"/>
              <w:bottom w:w="113" w:type="dxa"/>
            </w:tcMar>
            <w:hideMark/>
          </w:tcPr>
          <w:p w:rsidR="00877B63" w:rsidRPr="00A32AF4" w:rsidRDefault="00877B63" w:rsidP="00DC0553">
            <w:pPr>
              <w:rPr>
                <w:rFonts w:cs="Arial"/>
                <w:sz w:val="16"/>
                <w:szCs w:val="16"/>
              </w:rPr>
            </w:pPr>
            <w:r w:rsidRPr="00A32AF4">
              <w:rPr>
                <w:rFonts w:cs="Arial"/>
                <w:sz w:val="16"/>
                <w:szCs w:val="16"/>
              </w:rPr>
              <w:t>Parties contractantes à l</w:t>
            </w:r>
            <w:r w:rsidR="00E2055A" w:rsidRPr="00A32AF4">
              <w:rPr>
                <w:rFonts w:cs="Arial"/>
                <w:sz w:val="16"/>
                <w:szCs w:val="16"/>
              </w:rPr>
              <w:t>’</w:t>
            </w:r>
            <w:r w:rsidRPr="00A32AF4">
              <w:rPr>
                <w:rFonts w:cs="Arial"/>
                <w:sz w:val="16"/>
                <w:szCs w:val="16"/>
              </w:rPr>
              <w:t xml:space="preserve">Acte de Genève (1999) </w:t>
            </w:r>
          </w:p>
        </w:tc>
        <w:tc>
          <w:tcPr>
            <w:tcW w:w="2380" w:type="dxa"/>
            <w:shd w:val="clear" w:color="auto" w:fill="auto"/>
            <w:tcMar>
              <w:top w:w="113" w:type="dxa"/>
              <w:bottom w:w="113" w:type="dxa"/>
            </w:tcMar>
            <w:hideMark/>
          </w:tcPr>
          <w:p w:rsidR="00877B63" w:rsidRPr="00A32AF4" w:rsidRDefault="00877B63" w:rsidP="00DC0553">
            <w:pPr>
              <w:rPr>
                <w:rFonts w:cs="Arial"/>
                <w:sz w:val="16"/>
                <w:szCs w:val="16"/>
              </w:rPr>
            </w:pPr>
            <w:r w:rsidRPr="00A32AF4">
              <w:rPr>
                <w:rFonts w:cs="Arial"/>
                <w:sz w:val="16"/>
                <w:szCs w:val="16"/>
              </w:rPr>
              <w:t>2 (Bureau de l</w:t>
            </w:r>
            <w:r w:rsidR="00E2055A" w:rsidRPr="00A32AF4">
              <w:rPr>
                <w:rFonts w:cs="Arial"/>
                <w:sz w:val="16"/>
                <w:szCs w:val="16"/>
              </w:rPr>
              <w:t>’</w:t>
            </w:r>
            <w:r w:rsidRPr="00A32AF4">
              <w:rPr>
                <w:rFonts w:cs="Arial"/>
                <w:sz w:val="16"/>
                <w:szCs w:val="16"/>
              </w:rPr>
              <w:t>OMPI à Singapour</w:t>
            </w:r>
            <w:proofErr w:type="gramStart"/>
            <w:r w:rsidRPr="00A32AF4">
              <w:rPr>
                <w:rFonts w:cs="Arial"/>
                <w:sz w:val="16"/>
                <w:szCs w:val="16"/>
              </w:rPr>
              <w:t>)</w:t>
            </w:r>
            <w:proofErr w:type="gramEnd"/>
            <w:r w:rsidRPr="00A32AF4">
              <w:rPr>
                <w:rFonts w:cs="Arial"/>
                <w:sz w:val="16"/>
                <w:szCs w:val="16"/>
              </w:rPr>
              <w:br/>
              <w:t>0 (Bureau de l</w:t>
            </w:r>
            <w:r w:rsidR="00E2055A" w:rsidRPr="00A32AF4">
              <w:rPr>
                <w:rFonts w:cs="Arial"/>
                <w:sz w:val="16"/>
                <w:szCs w:val="16"/>
              </w:rPr>
              <w:t>’</w:t>
            </w:r>
            <w:r w:rsidRPr="00A32AF4">
              <w:rPr>
                <w:rFonts w:cs="Arial"/>
                <w:sz w:val="16"/>
                <w:szCs w:val="16"/>
              </w:rPr>
              <w:t>OMPI en Russie)</w:t>
            </w:r>
          </w:p>
        </w:tc>
        <w:tc>
          <w:tcPr>
            <w:tcW w:w="2055" w:type="dxa"/>
            <w:shd w:val="clear" w:color="auto" w:fill="auto"/>
            <w:tcMar>
              <w:top w:w="113" w:type="dxa"/>
              <w:bottom w:w="113" w:type="dxa"/>
            </w:tcMar>
            <w:hideMark/>
          </w:tcPr>
          <w:p w:rsidR="00877B63" w:rsidRPr="00A32AF4" w:rsidRDefault="00877B63" w:rsidP="00DC0553">
            <w:pPr>
              <w:rPr>
                <w:rFonts w:cs="Arial"/>
                <w:sz w:val="16"/>
                <w:szCs w:val="16"/>
              </w:rPr>
            </w:pPr>
            <w:r w:rsidRPr="00A32AF4">
              <w:rPr>
                <w:rFonts w:cs="Arial"/>
                <w:sz w:val="16"/>
                <w:szCs w:val="16"/>
              </w:rPr>
              <w:t>3 supplémentaires (Bureau de l</w:t>
            </w:r>
            <w:r w:rsidR="00E2055A" w:rsidRPr="00A32AF4">
              <w:rPr>
                <w:rFonts w:cs="Arial"/>
                <w:sz w:val="16"/>
                <w:szCs w:val="16"/>
              </w:rPr>
              <w:t>’</w:t>
            </w:r>
            <w:r w:rsidRPr="00A32AF4">
              <w:rPr>
                <w:rFonts w:cs="Arial"/>
                <w:sz w:val="16"/>
                <w:szCs w:val="16"/>
              </w:rPr>
              <w:t>OMPI à Singapour)</w:t>
            </w:r>
          </w:p>
          <w:p w:rsidR="00877B63" w:rsidRPr="00A32AF4" w:rsidRDefault="00894828" w:rsidP="00DC0553">
            <w:pPr>
              <w:rPr>
                <w:rFonts w:cs="Arial"/>
                <w:sz w:val="16"/>
                <w:szCs w:val="16"/>
              </w:rPr>
            </w:pPr>
            <w:r w:rsidRPr="00A32AF4">
              <w:rPr>
                <w:rFonts w:cs="Arial"/>
                <w:sz w:val="16"/>
                <w:szCs w:val="16"/>
              </w:rPr>
              <w:t xml:space="preserve">1 </w:t>
            </w:r>
            <w:r w:rsidR="00877B63" w:rsidRPr="00A32AF4">
              <w:rPr>
                <w:rFonts w:cs="Arial"/>
                <w:sz w:val="16"/>
                <w:szCs w:val="16"/>
              </w:rPr>
              <w:t>(Bureau de l</w:t>
            </w:r>
            <w:r w:rsidR="00E2055A" w:rsidRPr="00A32AF4">
              <w:rPr>
                <w:rFonts w:cs="Arial"/>
                <w:sz w:val="16"/>
                <w:szCs w:val="16"/>
              </w:rPr>
              <w:t>’</w:t>
            </w:r>
            <w:r w:rsidR="00877B63" w:rsidRPr="00A32AF4">
              <w:rPr>
                <w:rFonts w:cs="Arial"/>
                <w:sz w:val="16"/>
                <w:szCs w:val="16"/>
              </w:rPr>
              <w:t>OMPI en Russie)</w:t>
            </w:r>
          </w:p>
        </w:tc>
      </w:tr>
      <w:tr w:rsidR="00877B63" w:rsidRPr="00A32AF4" w:rsidTr="00D27E4C">
        <w:trPr>
          <w:cantSplit/>
        </w:trPr>
        <w:tc>
          <w:tcPr>
            <w:tcW w:w="2380" w:type="dxa"/>
            <w:shd w:val="clear" w:color="auto" w:fill="auto"/>
            <w:tcMar>
              <w:top w:w="113" w:type="dxa"/>
              <w:bottom w:w="113" w:type="dxa"/>
            </w:tcMar>
            <w:hideMark/>
          </w:tcPr>
          <w:p w:rsidR="00877B63" w:rsidRPr="00A32AF4" w:rsidRDefault="00877B63" w:rsidP="00DC0553">
            <w:pPr>
              <w:rPr>
                <w:rFonts w:cs="Arial"/>
                <w:sz w:val="16"/>
                <w:szCs w:val="16"/>
              </w:rPr>
            </w:pPr>
          </w:p>
        </w:tc>
        <w:tc>
          <w:tcPr>
            <w:tcW w:w="2380" w:type="dxa"/>
            <w:shd w:val="clear" w:color="auto" w:fill="auto"/>
            <w:tcMar>
              <w:top w:w="113" w:type="dxa"/>
              <w:bottom w:w="113" w:type="dxa"/>
            </w:tcMar>
            <w:hideMark/>
          </w:tcPr>
          <w:p w:rsidR="00877B63" w:rsidRPr="00A32AF4" w:rsidRDefault="00877B63" w:rsidP="00DC0553">
            <w:pPr>
              <w:rPr>
                <w:rFonts w:cs="Arial"/>
                <w:sz w:val="16"/>
                <w:szCs w:val="16"/>
              </w:rPr>
            </w:pPr>
            <w:r w:rsidRPr="00A32AF4">
              <w:rPr>
                <w:rFonts w:cs="Arial"/>
                <w:sz w:val="16"/>
                <w:szCs w:val="16"/>
              </w:rPr>
              <w:t xml:space="preserve">Nombre de demandes déposées selon le système de </w:t>
            </w:r>
            <w:r w:rsidR="00E2055A" w:rsidRPr="00A32AF4">
              <w:rPr>
                <w:rFonts w:cs="Arial"/>
                <w:sz w:val="16"/>
                <w:szCs w:val="16"/>
              </w:rPr>
              <w:t>La Haye</w:t>
            </w:r>
          </w:p>
        </w:tc>
        <w:tc>
          <w:tcPr>
            <w:tcW w:w="2380" w:type="dxa"/>
            <w:shd w:val="clear" w:color="auto" w:fill="auto"/>
            <w:tcMar>
              <w:top w:w="113" w:type="dxa"/>
              <w:bottom w:w="113" w:type="dxa"/>
            </w:tcMar>
            <w:hideMark/>
          </w:tcPr>
          <w:p w:rsidR="00877B63" w:rsidRPr="00A32AF4" w:rsidRDefault="00877B63" w:rsidP="00DC0553">
            <w:pPr>
              <w:rPr>
                <w:rFonts w:cs="Arial"/>
                <w:sz w:val="16"/>
                <w:szCs w:val="16"/>
              </w:rPr>
            </w:pPr>
            <w:r w:rsidRPr="00A32AF4">
              <w:rPr>
                <w:rFonts w:cs="Arial"/>
                <w:sz w:val="16"/>
                <w:szCs w:val="16"/>
              </w:rPr>
              <w:t>50 (Bureau de l</w:t>
            </w:r>
            <w:r w:rsidR="00E2055A" w:rsidRPr="00A32AF4">
              <w:rPr>
                <w:rFonts w:cs="Arial"/>
                <w:sz w:val="16"/>
                <w:szCs w:val="16"/>
              </w:rPr>
              <w:t>’</w:t>
            </w:r>
            <w:r w:rsidRPr="00A32AF4">
              <w:rPr>
                <w:rFonts w:cs="Arial"/>
                <w:sz w:val="16"/>
                <w:szCs w:val="16"/>
              </w:rPr>
              <w:t>OMPI à Singapour</w:t>
            </w:r>
            <w:proofErr w:type="gramStart"/>
            <w:r w:rsidRPr="00A32AF4">
              <w:rPr>
                <w:rFonts w:cs="Arial"/>
                <w:sz w:val="16"/>
                <w:szCs w:val="16"/>
              </w:rPr>
              <w:t>)</w:t>
            </w:r>
            <w:proofErr w:type="gramEnd"/>
            <w:r w:rsidRPr="00A32AF4">
              <w:rPr>
                <w:rFonts w:cs="Arial"/>
                <w:sz w:val="16"/>
                <w:szCs w:val="16"/>
              </w:rPr>
              <w:br/>
              <w:t>0 (Bureau de l</w:t>
            </w:r>
            <w:r w:rsidR="00E2055A" w:rsidRPr="00A32AF4">
              <w:rPr>
                <w:rFonts w:cs="Arial"/>
                <w:sz w:val="16"/>
                <w:szCs w:val="16"/>
              </w:rPr>
              <w:t>’</w:t>
            </w:r>
            <w:r w:rsidRPr="00A32AF4">
              <w:rPr>
                <w:rFonts w:cs="Arial"/>
                <w:sz w:val="16"/>
                <w:szCs w:val="16"/>
              </w:rPr>
              <w:t>OMPI au Japon)</w:t>
            </w:r>
          </w:p>
        </w:tc>
        <w:tc>
          <w:tcPr>
            <w:tcW w:w="2055" w:type="dxa"/>
            <w:shd w:val="clear" w:color="auto" w:fill="auto"/>
            <w:tcMar>
              <w:top w:w="113" w:type="dxa"/>
              <w:bottom w:w="113" w:type="dxa"/>
            </w:tcMar>
            <w:hideMark/>
          </w:tcPr>
          <w:p w:rsidR="00877B63" w:rsidRPr="00A32AF4" w:rsidRDefault="00877B63" w:rsidP="00DC0553">
            <w:pPr>
              <w:rPr>
                <w:rFonts w:cs="Arial"/>
                <w:sz w:val="16"/>
                <w:szCs w:val="16"/>
              </w:rPr>
            </w:pPr>
            <w:r w:rsidRPr="00A32AF4">
              <w:rPr>
                <w:rFonts w:cs="Arial"/>
                <w:sz w:val="16"/>
                <w:szCs w:val="16"/>
              </w:rPr>
              <w:t>Une croissance annuelle de 2%</w:t>
            </w:r>
          </w:p>
        </w:tc>
      </w:tr>
      <w:tr w:rsidR="00877B63" w:rsidRPr="00A32AF4" w:rsidTr="00D27E4C">
        <w:trPr>
          <w:cantSplit/>
        </w:trPr>
        <w:tc>
          <w:tcPr>
            <w:tcW w:w="2380" w:type="dxa"/>
            <w:shd w:val="clear" w:color="auto" w:fill="auto"/>
            <w:tcMar>
              <w:top w:w="113" w:type="dxa"/>
              <w:bottom w:w="113" w:type="dxa"/>
            </w:tcMar>
            <w:hideMark/>
          </w:tcPr>
          <w:p w:rsidR="00877B63" w:rsidRPr="00A32AF4" w:rsidRDefault="00877B63" w:rsidP="00DC0553">
            <w:pPr>
              <w:rPr>
                <w:rFonts w:cs="Arial"/>
                <w:sz w:val="16"/>
                <w:szCs w:val="16"/>
              </w:rPr>
            </w:pPr>
          </w:p>
        </w:tc>
        <w:tc>
          <w:tcPr>
            <w:tcW w:w="2380" w:type="dxa"/>
            <w:shd w:val="clear" w:color="auto" w:fill="auto"/>
            <w:tcMar>
              <w:top w:w="113" w:type="dxa"/>
              <w:bottom w:w="113" w:type="dxa"/>
            </w:tcMar>
            <w:hideMark/>
          </w:tcPr>
          <w:p w:rsidR="00877B63" w:rsidRPr="00A32AF4" w:rsidRDefault="00877B63" w:rsidP="00DC0553">
            <w:pPr>
              <w:rPr>
                <w:rFonts w:cs="Arial"/>
                <w:sz w:val="16"/>
                <w:szCs w:val="16"/>
              </w:rPr>
            </w:pPr>
            <w:r w:rsidRPr="00A32AF4">
              <w:rPr>
                <w:rFonts w:cs="Arial"/>
                <w:sz w:val="16"/>
                <w:szCs w:val="16"/>
              </w:rPr>
              <w:t xml:space="preserve">Pourcentage de décideurs, de fonctionnaires gouvernementaux, de spécialistes de la propriété intellectuelle et de participants à des séminaires ciblés ayant une meilleure connaissance du système de </w:t>
            </w:r>
            <w:r w:rsidR="00E2055A" w:rsidRPr="00A32AF4">
              <w:rPr>
                <w:rFonts w:cs="Arial"/>
                <w:sz w:val="16"/>
                <w:szCs w:val="16"/>
              </w:rPr>
              <w:t>La Haye</w:t>
            </w:r>
          </w:p>
        </w:tc>
        <w:tc>
          <w:tcPr>
            <w:tcW w:w="2380" w:type="dxa"/>
            <w:shd w:val="clear" w:color="auto" w:fill="auto"/>
            <w:tcMar>
              <w:top w:w="113" w:type="dxa"/>
              <w:bottom w:w="113" w:type="dxa"/>
            </w:tcMar>
            <w:hideMark/>
          </w:tcPr>
          <w:p w:rsidR="00877B63" w:rsidRPr="00A32AF4" w:rsidRDefault="00877B63" w:rsidP="00DC0553">
            <w:pPr>
              <w:rPr>
                <w:rFonts w:cs="Arial"/>
                <w:sz w:val="16"/>
                <w:szCs w:val="16"/>
              </w:rPr>
            </w:pPr>
            <w:r w:rsidRPr="00A32AF4">
              <w:rPr>
                <w:rFonts w:cs="Arial"/>
                <w:sz w:val="16"/>
                <w:szCs w:val="16"/>
              </w:rPr>
              <w:t>85% (Bureau de l</w:t>
            </w:r>
            <w:r w:rsidR="00E2055A" w:rsidRPr="00A32AF4">
              <w:rPr>
                <w:rFonts w:cs="Arial"/>
                <w:sz w:val="16"/>
                <w:szCs w:val="16"/>
              </w:rPr>
              <w:t>’</w:t>
            </w:r>
            <w:r w:rsidRPr="00A32AF4">
              <w:rPr>
                <w:rFonts w:cs="Arial"/>
                <w:sz w:val="16"/>
                <w:szCs w:val="16"/>
              </w:rPr>
              <w:t>OMPI à Singapour)</w:t>
            </w:r>
          </w:p>
          <w:p w:rsidR="00877B63" w:rsidRPr="00A32AF4" w:rsidRDefault="00877B63" w:rsidP="00DC0553">
            <w:pPr>
              <w:rPr>
                <w:rFonts w:cs="Arial"/>
                <w:sz w:val="16"/>
                <w:szCs w:val="16"/>
              </w:rPr>
            </w:pPr>
            <w:r w:rsidRPr="00A32AF4">
              <w:rPr>
                <w:rFonts w:cs="Arial"/>
                <w:sz w:val="16"/>
                <w:szCs w:val="16"/>
              </w:rPr>
              <w:t>75% (Bureau de l</w:t>
            </w:r>
            <w:r w:rsidR="00E2055A" w:rsidRPr="00A32AF4">
              <w:rPr>
                <w:rFonts w:cs="Arial"/>
                <w:sz w:val="16"/>
                <w:szCs w:val="16"/>
              </w:rPr>
              <w:t>’</w:t>
            </w:r>
            <w:r w:rsidRPr="00A32AF4">
              <w:rPr>
                <w:rFonts w:cs="Arial"/>
                <w:sz w:val="16"/>
                <w:szCs w:val="16"/>
              </w:rPr>
              <w:t>OMPI au Brésil)</w:t>
            </w:r>
          </w:p>
          <w:p w:rsidR="00877B63" w:rsidRPr="00A32AF4" w:rsidRDefault="00877B63" w:rsidP="00DC0553">
            <w:pPr>
              <w:rPr>
                <w:rFonts w:cs="Arial"/>
                <w:sz w:val="16"/>
                <w:szCs w:val="16"/>
              </w:rPr>
            </w:pPr>
            <w:r w:rsidRPr="00A32AF4">
              <w:rPr>
                <w:rFonts w:cs="Arial"/>
                <w:sz w:val="16"/>
                <w:szCs w:val="16"/>
              </w:rPr>
              <w:t>94% (Bureau de l</w:t>
            </w:r>
            <w:r w:rsidR="00E2055A" w:rsidRPr="00A32AF4">
              <w:rPr>
                <w:rFonts w:cs="Arial"/>
                <w:sz w:val="16"/>
                <w:szCs w:val="16"/>
              </w:rPr>
              <w:t>’</w:t>
            </w:r>
            <w:r w:rsidRPr="00A32AF4">
              <w:rPr>
                <w:rFonts w:cs="Arial"/>
                <w:sz w:val="16"/>
                <w:szCs w:val="16"/>
              </w:rPr>
              <w:t>OMPI au Japon)</w:t>
            </w:r>
          </w:p>
        </w:tc>
        <w:tc>
          <w:tcPr>
            <w:tcW w:w="2055" w:type="dxa"/>
            <w:shd w:val="clear" w:color="auto" w:fill="auto"/>
            <w:tcMar>
              <w:top w:w="113" w:type="dxa"/>
              <w:bottom w:w="113" w:type="dxa"/>
            </w:tcMar>
            <w:hideMark/>
          </w:tcPr>
          <w:p w:rsidR="00877B63" w:rsidRPr="00A32AF4" w:rsidRDefault="00877B63" w:rsidP="00DC0553">
            <w:pPr>
              <w:rPr>
                <w:rFonts w:cs="Arial"/>
                <w:sz w:val="16"/>
                <w:szCs w:val="16"/>
              </w:rPr>
            </w:pPr>
            <w:r w:rsidRPr="00A32AF4">
              <w:rPr>
                <w:rFonts w:cs="Arial"/>
                <w:sz w:val="16"/>
                <w:szCs w:val="16"/>
              </w:rPr>
              <w:t>75%</w:t>
            </w:r>
          </w:p>
        </w:tc>
      </w:tr>
      <w:tr w:rsidR="00877B63" w:rsidRPr="00A32AF4" w:rsidTr="00D27E4C">
        <w:trPr>
          <w:cantSplit/>
        </w:trPr>
        <w:tc>
          <w:tcPr>
            <w:tcW w:w="2380" w:type="dxa"/>
            <w:shd w:val="clear" w:color="auto" w:fill="auto"/>
            <w:tcMar>
              <w:top w:w="113" w:type="dxa"/>
              <w:bottom w:w="113" w:type="dxa"/>
            </w:tcMar>
            <w:hideMark/>
          </w:tcPr>
          <w:p w:rsidR="00877B63" w:rsidRPr="00A32AF4" w:rsidRDefault="00877B63" w:rsidP="00F87292">
            <w:pPr>
              <w:rPr>
                <w:rFonts w:cs="Arial"/>
                <w:sz w:val="16"/>
                <w:szCs w:val="16"/>
              </w:rPr>
            </w:pPr>
            <w:r w:rsidRPr="00A32AF4">
              <w:rPr>
                <w:rFonts w:cs="Arial"/>
                <w:sz w:val="16"/>
                <w:szCs w:val="16"/>
              </w:rPr>
              <w:t>II.6 Utilisation élargie et plus efficace d</w:t>
            </w:r>
            <w:r w:rsidR="00F87292" w:rsidRPr="00A32AF4">
              <w:rPr>
                <w:rFonts w:cs="Arial"/>
                <w:sz w:val="16"/>
                <w:szCs w:val="16"/>
              </w:rPr>
              <w:t>u système</w:t>
            </w:r>
            <w:r w:rsidRPr="00A32AF4">
              <w:rPr>
                <w:rFonts w:cs="Arial"/>
                <w:sz w:val="16"/>
                <w:szCs w:val="16"/>
              </w:rPr>
              <w:t xml:space="preserve"> de Madrid, notamment par les pays en développement et les PMA</w:t>
            </w:r>
          </w:p>
        </w:tc>
        <w:tc>
          <w:tcPr>
            <w:tcW w:w="2380" w:type="dxa"/>
            <w:shd w:val="clear" w:color="auto" w:fill="auto"/>
            <w:tcMar>
              <w:top w:w="113" w:type="dxa"/>
              <w:bottom w:w="113" w:type="dxa"/>
            </w:tcMar>
            <w:hideMark/>
          </w:tcPr>
          <w:p w:rsidR="00877B63" w:rsidRPr="00A32AF4" w:rsidRDefault="00877B63" w:rsidP="00DC0553">
            <w:pPr>
              <w:rPr>
                <w:rFonts w:cs="Arial"/>
                <w:sz w:val="16"/>
                <w:szCs w:val="16"/>
              </w:rPr>
            </w:pPr>
            <w:r w:rsidRPr="00A32AF4">
              <w:rPr>
                <w:rFonts w:cs="Arial"/>
                <w:sz w:val="16"/>
                <w:szCs w:val="16"/>
              </w:rPr>
              <w:t>États membres du système de Madrid</w:t>
            </w:r>
          </w:p>
          <w:p w:rsidR="00877B63" w:rsidRPr="00A32AF4" w:rsidRDefault="00877B63" w:rsidP="00DC0553">
            <w:pPr>
              <w:rPr>
                <w:rFonts w:cs="Arial"/>
                <w:sz w:val="16"/>
                <w:szCs w:val="16"/>
              </w:rPr>
            </w:pPr>
          </w:p>
          <w:p w:rsidR="00877B63" w:rsidRPr="00A32AF4" w:rsidRDefault="00877B63" w:rsidP="00DC0553">
            <w:pPr>
              <w:rPr>
                <w:rFonts w:cs="Arial"/>
                <w:sz w:val="16"/>
                <w:szCs w:val="16"/>
              </w:rPr>
            </w:pPr>
          </w:p>
          <w:p w:rsidR="00877B63" w:rsidRPr="00A32AF4" w:rsidRDefault="00877B63" w:rsidP="00DC0553">
            <w:pPr>
              <w:rPr>
                <w:rFonts w:cs="Arial"/>
                <w:sz w:val="16"/>
                <w:szCs w:val="16"/>
              </w:rPr>
            </w:pPr>
            <w:r w:rsidRPr="00A32AF4">
              <w:rPr>
                <w:rFonts w:cs="Arial"/>
                <w:sz w:val="16"/>
                <w:szCs w:val="16"/>
              </w:rPr>
              <w:t>Nombre de demandes déposées selon le système de Madrid</w:t>
            </w:r>
          </w:p>
        </w:tc>
        <w:tc>
          <w:tcPr>
            <w:tcW w:w="2380" w:type="dxa"/>
            <w:shd w:val="clear" w:color="auto" w:fill="auto"/>
            <w:tcMar>
              <w:top w:w="113" w:type="dxa"/>
              <w:bottom w:w="113" w:type="dxa"/>
            </w:tcMar>
            <w:hideMark/>
          </w:tcPr>
          <w:p w:rsidR="00877B63" w:rsidRPr="00A32AF4" w:rsidRDefault="00877B63" w:rsidP="00DC0553">
            <w:pPr>
              <w:rPr>
                <w:rFonts w:cs="Arial"/>
                <w:sz w:val="16"/>
                <w:szCs w:val="16"/>
              </w:rPr>
            </w:pPr>
            <w:r w:rsidRPr="00A32AF4">
              <w:rPr>
                <w:rFonts w:cs="Arial"/>
                <w:sz w:val="16"/>
                <w:szCs w:val="16"/>
              </w:rPr>
              <w:t>4 (Bureau de l</w:t>
            </w:r>
            <w:r w:rsidR="00E2055A" w:rsidRPr="00A32AF4">
              <w:rPr>
                <w:rFonts w:cs="Arial"/>
                <w:sz w:val="16"/>
                <w:szCs w:val="16"/>
              </w:rPr>
              <w:t>’</w:t>
            </w:r>
            <w:r w:rsidRPr="00A32AF4">
              <w:rPr>
                <w:rFonts w:cs="Arial"/>
                <w:sz w:val="16"/>
                <w:szCs w:val="16"/>
              </w:rPr>
              <w:t>OMPI à Singapour)</w:t>
            </w:r>
          </w:p>
          <w:p w:rsidR="00877B63" w:rsidRPr="00A32AF4" w:rsidRDefault="00877B63" w:rsidP="00DC0553">
            <w:pPr>
              <w:rPr>
                <w:rFonts w:cs="Arial"/>
                <w:sz w:val="16"/>
                <w:szCs w:val="16"/>
              </w:rPr>
            </w:pPr>
          </w:p>
          <w:p w:rsidR="00877B63" w:rsidRPr="00A32AF4" w:rsidRDefault="00877B63" w:rsidP="00DC0553">
            <w:pPr>
              <w:rPr>
                <w:rFonts w:cs="Arial"/>
                <w:sz w:val="16"/>
                <w:szCs w:val="16"/>
              </w:rPr>
            </w:pPr>
          </w:p>
          <w:p w:rsidR="00877B63" w:rsidRPr="00A32AF4" w:rsidRDefault="00877B63" w:rsidP="00DC0553">
            <w:pPr>
              <w:rPr>
                <w:rFonts w:cs="Arial"/>
                <w:sz w:val="16"/>
                <w:szCs w:val="16"/>
              </w:rPr>
            </w:pPr>
            <w:r w:rsidRPr="00A32AF4">
              <w:rPr>
                <w:rFonts w:cs="Arial"/>
                <w:sz w:val="16"/>
                <w:szCs w:val="16"/>
              </w:rPr>
              <w:t>351 (Bureau de l</w:t>
            </w:r>
            <w:r w:rsidR="00E2055A" w:rsidRPr="00A32AF4">
              <w:rPr>
                <w:rFonts w:cs="Arial"/>
                <w:sz w:val="16"/>
                <w:szCs w:val="16"/>
              </w:rPr>
              <w:t>’</w:t>
            </w:r>
            <w:r w:rsidRPr="00A32AF4">
              <w:rPr>
                <w:rFonts w:cs="Arial"/>
                <w:sz w:val="16"/>
                <w:szCs w:val="16"/>
              </w:rPr>
              <w:t>OMPI à Singapour</w:t>
            </w:r>
            <w:proofErr w:type="gramStart"/>
            <w:r w:rsidRPr="00A32AF4">
              <w:rPr>
                <w:rFonts w:cs="Arial"/>
                <w:sz w:val="16"/>
                <w:szCs w:val="16"/>
              </w:rPr>
              <w:t>)</w:t>
            </w:r>
            <w:proofErr w:type="gramEnd"/>
            <w:r w:rsidRPr="00A32AF4">
              <w:rPr>
                <w:rFonts w:cs="Arial"/>
                <w:sz w:val="16"/>
                <w:szCs w:val="16"/>
              </w:rPr>
              <w:br/>
              <w:t>0</w:t>
            </w:r>
            <w:r w:rsidR="00702CE5" w:rsidRPr="00A32AF4">
              <w:rPr>
                <w:rFonts w:cs="Arial"/>
                <w:sz w:val="16"/>
                <w:szCs w:val="16"/>
              </w:rPr>
              <w:t xml:space="preserve"> (Bureau de l</w:t>
            </w:r>
            <w:r w:rsidR="00E2055A" w:rsidRPr="00A32AF4">
              <w:rPr>
                <w:rFonts w:cs="Arial"/>
                <w:sz w:val="16"/>
                <w:szCs w:val="16"/>
              </w:rPr>
              <w:t>’</w:t>
            </w:r>
            <w:r w:rsidR="00702CE5" w:rsidRPr="00A32AF4">
              <w:rPr>
                <w:rFonts w:cs="Arial"/>
                <w:sz w:val="16"/>
                <w:szCs w:val="16"/>
              </w:rPr>
              <w:t>OMPI au Brésil)</w:t>
            </w:r>
            <w:r w:rsidR="00702CE5" w:rsidRPr="00A32AF4">
              <w:rPr>
                <w:rFonts w:cs="Arial"/>
                <w:sz w:val="16"/>
                <w:szCs w:val="16"/>
              </w:rPr>
              <w:br/>
              <w:t>2</w:t>
            </w:r>
            <w:r w:rsidRPr="00A32AF4">
              <w:rPr>
                <w:rFonts w:cs="Arial"/>
                <w:sz w:val="16"/>
                <w:szCs w:val="16"/>
              </w:rPr>
              <w:t>033 (Bureau de l</w:t>
            </w:r>
            <w:r w:rsidR="00E2055A" w:rsidRPr="00A32AF4">
              <w:rPr>
                <w:rFonts w:cs="Arial"/>
                <w:sz w:val="16"/>
                <w:szCs w:val="16"/>
              </w:rPr>
              <w:t>’</w:t>
            </w:r>
            <w:r w:rsidRPr="00A32AF4">
              <w:rPr>
                <w:rFonts w:cs="Arial"/>
                <w:sz w:val="16"/>
                <w:szCs w:val="16"/>
              </w:rPr>
              <w:t>OMPI au Japon)</w:t>
            </w:r>
            <w:r w:rsidRPr="00A32AF4">
              <w:rPr>
                <w:rFonts w:cs="Arial"/>
                <w:sz w:val="16"/>
                <w:szCs w:val="16"/>
              </w:rPr>
              <w:br/>
              <w:t>1543 (Bureau de l</w:t>
            </w:r>
            <w:r w:rsidR="00E2055A" w:rsidRPr="00A32AF4">
              <w:rPr>
                <w:rFonts w:cs="Arial"/>
                <w:sz w:val="16"/>
                <w:szCs w:val="16"/>
              </w:rPr>
              <w:t>’</w:t>
            </w:r>
            <w:r w:rsidRPr="00A32AF4">
              <w:rPr>
                <w:rFonts w:cs="Arial"/>
                <w:sz w:val="16"/>
                <w:szCs w:val="16"/>
              </w:rPr>
              <w:t xml:space="preserve">OMPI en Russie) </w:t>
            </w:r>
            <w:r w:rsidRPr="00A32AF4">
              <w:rPr>
                <w:rFonts w:cs="Arial"/>
                <w:sz w:val="16"/>
                <w:szCs w:val="16"/>
              </w:rPr>
              <w:br/>
              <w:t>2140 (Bureau de l</w:t>
            </w:r>
            <w:r w:rsidR="00E2055A" w:rsidRPr="00A32AF4">
              <w:rPr>
                <w:rFonts w:cs="Arial"/>
                <w:sz w:val="16"/>
                <w:szCs w:val="16"/>
              </w:rPr>
              <w:t>’</w:t>
            </w:r>
            <w:r w:rsidRPr="00A32AF4">
              <w:rPr>
                <w:rFonts w:cs="Arial"/>
                <w:sz w:val="16"/>
                <w:szCs w:val="16"/>
              </w:rPr>
              <w:t>OMPI en Chine)</w:t>
            </w:r>
          </w:p>
        </w:tc>
        <w:tc>
          <w:tcPr>
            <w:tcW w:w="2055" w:type="dxa"/>
            <w:shd w:val="clear" w:color="auto" w:fill="auto"/>
            <w:tcMar>
              <w:top w:w="113" w:type="dxa"/>
              <w:bottom w:w="113" w:type="dxa"/>
            </w:tcMar>
            <w:hideMark/>
          </w:tcPr>
          <w:p w:rsidR="00877B63" w:rsidRPr="00A32AF4" w:rsidRDefault="00877B63" w:rsidP="00DC0553">
            <w:pPr>
              <w:rPr>
                <w:rFonts w:cs="Arial"/>
                <w:sz w:val="16"/>
                <w:szCs w:val="16"/>
              </w:rPr>
            </w:pPr>
            <w:r w:rsidRPr="00A32AF4">
              <w:rPr>
                <w:rFonts w:cs="Arial"/>
                <w:sz w:val="16"/>
                <w:szCs w:val="16"/>
              </w:rPr>
              <w:t>5 supplémentaires (Bureau de l</w:t>
            </w:r>
            <w:r w:rsidR="00E2055A" w:rsidRPr="00A32AF4">
              <w:rPr>
                <w:rFonts w:cs="Arial"/>
                <w:sz w:val="16"/>
                <w:szCs w:val="16"/>
              </w:rPr>
              <w:t>’</w:t>
            </w:r>
            <w:r w:rsidRPr="00A32AF4">
              <w:rPr>
                <w:rFonts w:cs="Arial"/>
                <w:sz w:val="16"/>
                <w:szCs w:val="16"/>
              </w:rPr>
              <w:t>OMPI à Singapour)</w:t>
            </w:r>
            <w:r w:rsidRPr="00A32AF4">
              <w:rPr>
                <w:rFonts w:cs="Arial"/>
                <w:sz w:val="16"/>
                <w:szCs w:val="16"/>
              </w:rPr>
              <w:br/>
            </w:r>
          </w:p>
          <w:p w:rsidR="00877B63" w:rsidRPr="00A32AF4" w:rsidRDefault="00877B63" w:rsidP="00DC0553">
            <w:pPr>
              <w:rPr>
                <w:rFonts w:cs="Arial"/>
                <w:sz w:val="16"/>
                <w:szCs w:val="16"/>
              </w:rPr>
            </w:pPr>
            <w:r w:rsidRPr="00A32AF4">
              <w:rPr>
                <w:rFonts w:cs="Arial"/>
                <w:sz w:val="16"/>
                <w:szCs w:val="16"/>
              </w:rPr>
              <w:t>Une croissance annuelle de 2% (tous bureaux confondus)</w:t>
            </w:r>
          </w:p>
        </w:tc>
      </w:tr>
      <w:tr w:rsidR="00877B63" w:rsidRPr="00A32AF4" w:rsidTr="00D27E4C">
        <w:trPr>
          <w:cantSplit/>
        </w:trPr>
        <w:tc>
          <w:tcPr>
            <w:tcW w:w="2380" w:type="dxa"/>
            <w:shd w:val="clear" w:color="auto" w:fill="auto"/>
            <w:tcMar>
              <w:top w:w="113" w:type="dxa"/>
              <w:bottom w:w="113" w:type="dxa"/>
            </w:tcMar>
            <w:hideMark/>
          </w:tcPr>
          <w:p w:rsidR="00877B63" w:rsidRPr="00A32AF4" w:rsidRDefault="00877B63" w:rsidP="00DC0553">
            <w:pPr>
              <w:rPr>
                <w:rFonts w:cs="Arial"/>
                <w:sz w:val="16"/>
                <w:szCs w:val="16"/>
              </w:rPr>
            </w:pPr>
          </w:p>
        </w:tc>
        <w:tc>
          <w:tcPr>
            <w:tcW w:w="2380" w:type="dxa"/>
            <w:shd w:val="clear" w:color="auto" w:fill="auto"/>
            <w:tcMar>
              <w:top w:w="113" w:type="dxa"/>
              <w:bottom w:w="113" w:type="dxa"/>
            </w:tcMar>
            <w:hideMark/>
          </w:tcPr>
          <w:p w:rsidR="00877B63" w:rsidRPr="00A32AF4" w:rsidRDefault="00877B63" w:rsidP="00DC0553">
            <w:pPr>
              <w:rPr>
                <w:rFonts w:cs="Arial"/>
                <w:sz w:val="16"/>
                <w:szCs w:val="16"/>
              </w:rPr>
            </w:pPr>
            <w:r w:rsidRPr="00A32AF4">
              <w:rPr>
                <w:rFonts w:cs="Arial"/>
                <w:sz w:val="16"/>
                <w:szCs w:val="16"/>
              </w:rPr>
              <w:t>Pourcentage de décideurs, de fonctionnaires gouvernementaux, de spécialistes de la propriété intellectuelle et de participants à des séminaires ciblés ayant une meilleure connaissance du système de Madrid</w:t>
            </w:r>
          </w:p>
        </w:tc>
        <w:tc>
          <w:tcPr>
            <w:tcW w:w="2380" w:type="dxa"/>
            <w:shd w:val="clear" w:color="auto" w:fill="auto"/>
            <w:tcMar>
              <w:top w:w="113" w:type="dxa"/>
              <w:bottom w:w="113" w:type="dxa"/>
            </w:tcMar>
            <w:hideMark/>
          </w:tcPr>
          <w:p w:rsidR="00877B63" w:rsidRPr="00A32AF4" w:rsidRDefault="00877B63" w:rsidP="00DC0553">
            <w:pPr>
              <w:rPr>
                <w:rFonts w:cs="Arial"/>
                <w:sz w:val="16"/>
                <w:szCs w:val="16"/>
              </w:rPr>
            </w:pPr>
            <w:r w:rsidRPr="00A32AF4">
              <w:rPr>
                <w:rFonts w:cs="Arial"/>
                <w:sz w:val="16"/>
                <w:szCs w:val="16"/>
              </w:rPr>
              <w:t>89% fondé sur le retour d</w:t>
            </w:r>
            <w:r w:rsidR="00E2055A" w:rsidRPr="00A32AF4">
              <w:rPr>
                <w:rFonts w:cs="Arial"/>
                <w:sz w:val="16"/>
                <w:szCs w:val="16"/>
              </w:rPr>
              <w:t>’</w:t>
            </w:r>
            <w:r w:rsidRPr="00A32AF4">
              <w:rPr>
                <w:rFonts w:cs="Arial"/>
                <w:sz w:val="16"/>
                <w:szCs w:val="16"/>
              </w:rPr>
              <w:t>information des participants (Bureau de l</w:t>
            </w:r>
            <w:r w:rsidR="00E2055A" w:rsidRPr="00A32AF4">
              <w:rPr>
                <w:rFonts w:cs="Arial"/>
                <w:sz w:val="16"/>
                <w:szCs w:val="16"/>
              </w:rPr>
              <w:t>’</w:t>
            </w:r>
            <w:r w:rsidRPr="00A32AF4">
              <w:rPr>
                <w:rFonts w:cs="Arial"/>
                <w:sz w:val="16"/>
                <w:szCs w:val="16"/>
              </w:rPr>
              <w:t>OMPI à Singapour)</w:t>
            </w:r>
          </w:p>
        </w:tc>
        <w:tc>
          <w:tcPr>
            <w:tcW w:w="2055" w:type="dxa"/>
            <w:shd w:val="clear" w:color="auto" w:fill="auto"/>
            <w:tcMar>
              <w:top w:w="113" w:type="dxa"/>
              <w:bottom w:w="113" w:type="dxa"/>
            </w:tcMar>
            <w:hideMark/>
          </w:tcPr>
          <w:p w:rsidR="00877B63" w:rsidRPr="00A32AF4" w:rsidRDefault="00877B63" w:rsidP="00DC0553">
            <w:pPr>
              <w:ind w:leftChars="-1" w:hangingChars="1" w:hanging="2"/>
              <w:rPr>
                <w:rFonts w:cs="Arial"/>
                <w:sz w:val="16"/>
                <w:szCs w:val="16"/>
              </w:rPr>
            </w:pPr>
            <w:r w:rsidRPr="00A32AF4">
              <w:rPr>
                <w:rFonts w:cs="Arial"/>
                <w:sz w:val="16"/>
                <w:szCs w:val="16"/>
              </w:rPr>
              <w:t>75%</w:t>
            </w:r>
          </w:p>
        </w:tc>
      </w:tr>
      <w:tr w:rsidR="00877B63" w:rsidRPr="00A32AF4" w:rsidTr="00D27E4C">
        <w:trPr>
          <w:cantSplit/>
        </w:trPr>
        <w:tc>
          <w:tcPr>
            <w:tcW w:w="2380" w:type="dxa"/>
            <w:shd w:val="clear" w:color="auto" w:fill="auto"/>
            <w:tcMar>
              <w:top w:w="113" w:type="dxa"/>
              <w:bottom w:w="113" w:type="dxa"/>
            </w:tcMar>
            <w:hideMark/>
          </w:tcPr>
          <w:p w:rsidR="00877B63" w:rsidRPr="00A32AF4" w:rsidRDefault="00877B63" w:rsidP="00DC0553">
            <w:pPr>
              <w:rPr>
                <w:rFonts w:cs="Arial"/>
                <w:sz w:val="16"/>
                <w:szCs w:val="16"/>
              </w:rPr>
            </w:pPr>
            <w:r w:rsidRPr="00A32AF4">
              <w:rPr>
                <w:rFonts w:cs="Arial"/>
                <w:sz w:val="16"/>
                <w:szCs w:val="16"/>
              </w:rPr>
              <w:t>III.2 Mise en valeur des ressources humaines pour répondre aux diverses exigences en matière d</w:t>
            </w:r>
            <w:r w:rsidR="00E2055A" w:rsidRPr="00A32AF4">
              <w:rPr>
                <w:rFonts w:cs="Arial"/>
                <w:sz w:val="16"/>
                <w:szCs w:val="16"/>
              </w:rPr>
              <w:t>’</w:t>
            </w:r>
            <w:r w:rsidRPr="00A32AF4">
              <w:rPr>
                <w:rFonts w:cs="Arial"/>
                <w:sz w:val="16"/>
                <w:szCs w:val="16"/>
              </w:rPr>
              <w:t>utilisation efficace de la propriété intellectuelle au service du développement dans les pays en développement, les PMA et les pays en transition</w:t>
            </w:r>
          </w:p>
        </w:tc>
        <w:tc>
          <w:tcPr>
            <w:tcW w:w="2380" w:type="dxa"/>
            <w:shd w:val="clear" w:color="auto" w:fill="auto"/>
            <w:tcMar>
              <w:top w:w="113" w:type="dxa"/>
              <w:bottom w:w="113" w:type="dxa"/>
            </w:tcMar>
            <w:hideMark/>
          </w:tcPr>
          <w:p w:rsidR="00877B63" w:rsidRPr="00A32AF4" w:rsidRDefault="00877B63" w:rsidP="00DC0553">
            <w:pPr>
              <w:rPr>
                <w:rFonts w:cs="Arial"/>
                <w:sz w:val="16"/>
                <w:szCs w:val="16"/>
              </w:rPr>
            </w:pPr>
            <w:r w:rsidRPr="00A32AF4">
              <w:rPr>
                <w:rFonts w:cs="Arial"/>
                <w:sz w:val="16"/>
                <w:szCs w:val="16"/>
              </w:rPr>
              <w:t>Pourcentage de décideurs, de fonctionnaires gouvernementaux, de spécialistes de la propriété intellectuelle et d</w:t>
            </w:r>
            <w:r w:rsidR="00E2055A" w:rsidRPr="00A32AF4">
              <w:rPr>
                <w:rFonts w:cs="Arial"/>
                <w:sz w:val="16"/>
                <w:szCs w:val="16"/>
              </w:rPr>
              <w:t>’</w:t>
            </w:r>
            <w:r w:rsidRPr="00A32AF4">
              <w:rPr>
                <w:rFonts w:cs="Arial"/>
                <w:sz w:val="16"/>
                <w:szCs w:val="16"/>
              </w:rPr>
              <w:t xml:space="preserve">autres groupes cibles, </w:t>
            </w:r>
            <w:r w:rsidR="00E2055A" w:rsidRPr="00A32AF4">
              <w:rPr>
                <w:rFonts w:cs="Arial"/>
                <w:sz w:val="16"/>
                <w:szCs w:val="16"/>
              </w:rPr>
              <w:t>y compris</w:t>
            </w:r>
            <w:r w:rsidRPr="00A32AF4">
              <w:rPr>
                <w:rFonts w:cs="Arial"/>
                <w:sz w:val="16"/>
                <w:szCs w:val="16"/>
              </w:rPr>
              <w:t xml:space="preserve"> les universités, les organisations de gestion collective, et les journalistes ayant une connaissance approfondie en matière de propriété intellectuelle et d</w:t>
            </w:r>
            <w:r w:rsidR="00E2055A" w:rsidRPr="00A32AF4">
              <w:rPr>
                <w:rFonts w:cs="Arial"/>
                <w:sz w:val="16"/>
                <w:szCs w:val="16"/>
              </w:rPr>
              <w:t>’</w:t>
            </w:r>
            <w:r w:rsidRPr="00A32AF4">
              <w:rPr>
                <w:rFonts w:cs="Arial"/>
                <w:sz w:val="16"/>
                <w:szCs w:val="16"/>
              </w:rPr>
              <w:t>utilisation du développement de la propriété intellectuelle</w:t>
            </w:r>
          </w:p>
        </w:tc>
        <w:tc>
          <w:tcPr>
            <w:tcW w:w="2380" w:type="dxa"/>
            <w:shd w:val="clear" w:color="auto" w:fill="auto"/>
            <w:tcMar>
              <w:top w:w="113" w:type="dxa"/>
              <w:bottom w:w="113" w:type="dxa"/>
            </w:tcMar>
            <w:hideMark/>
          </w:tcPr>
          <w:p w:rsidR="00877B63" w:rsidRPr="00A32AF4" w:rsidRDefault="00877B63" w:rsidP="00DC0553">
            <w:pPr>
              <w:rPr>
                <w:rFonts w:cs="Arial"/>
                <w:sz w:val="16"/>
                <w:szCs w:val="16"/>
              </w:rPr>
            </w:pPr>
            <w:r w:rsidRPr="00A32AF4">
              <w:rPr>
                <w:rFonts w:cs="Arial"/>
                <w:sz w:val="16"/>
                <w:szCs w:val="16"/>
              </w:rPr>
              <w:t>100% des participants sont convenus que les compétences et les connaissances acquises au cours du séminaire apportent une valeur ajoutée à leur organisation (Bureau de l</w:t>
            </w:r>
            <w:r w:rsidR="00E2055A" w:rsidRPr="00A32AF4">
              <w:rPr>
                <w:rFonts w:cs="Arial"/>
                <w:sz w:val="16"/>
                <w:szCs w:val="16"/>
              </w:rPr>
              <w:t>’</w:t>
            </w:r>
            <w:r w:rsidRPr="00A32AF4">
              <w:rPr>
                <w:rFonts w:cs="Arial"/>
                <w:sz w:val="16"/>
                <w:szCs w:val="16"/>
              </w:rPr>
              <w:t>OMPI à Singapour)</w:t>
            </w:r>
          </w:p>
          <w:p w:rsidR="00877B63" w:rsidRPr="00A32AF4" w:rsidRDefault="00877B63" w:rsidP="00DC0553">
            <w:pPr>
              <w:rPr>
                <w:rFonts w:cs="Arial"/>
                <w:sz w:val="16"/>
                <w:szCs w:val="16"/>
              </w:rPr>
            </w:pPr>
            <w:r w:rsidRPr="00A32AF4">
              <w:rPr>
                <w:rFonts w:cs="Arial"/>
                <w:sz w:val="16"/>
                <w:szCs w:val="16"/>
              </w:rPr>
              <w:t>75% (Bureau de l</w:t>
            </w:r>
            <w:r w:rsidR="00E2055A" w:rsidRPr="00A32AF4">
              <w:rPr>
                <w:rFonts w:cs="Arial"/>
                <w:sz w:val="16"/>
                <w:szCs w:val="16"/>
              </w:rPr>
              <w:t>’</w:t>
            </w:r>
            <w:r w:rsidRPr="00A32AF4">
              <w:rPr>
                <w:rFonts w:cs="Arial"/>
                <w:sz w:val="16"/>
                <w:szCs w:val="16"/>
              </w:rPr>
              <w:t>OMPI au Brésil)</w:t>
            </w:r>
          </w:p>
          <w:p w:rsidR="00877B63" w:rsidRPr="00A32AF4" w:rsidRDefault="00877B63" w:rsidP="00DC0553">
            <w:pPr>
              <w:rPr>
                <w:rFonts w:cs="Arial"/>
                <w:sz w:val="16"/>
                <w:szCs w:val="16"/>
              </w:rPr>
            </w:pPr>
            <w:r w:rsidRPr="00A32AF4">
              <w:rPr>
                <w:rFonts w:cs="Arial"/>
                <w:sz w:val="16"/>
                <w:szCs w:val="16"/>
              </w:rPr>
              <w:t>s.o. (en 2014 le Bureau de l</w:t>
            </w:r>
            <w:r w:rsidR="00E2055A" w:rsidRPr="00A32AF4">
              <w:rPr>
                <w:rFonts w:cs="Arial"/>
                <w:sz w:val="16"/>
                <w:szCs w:val="16"/>
              </w:rPr>
              <w:t>’</w:t>
            </w:r>
            <w:r w:rsidRPr="00A32AF4">
              <w:rPr>
                <w:rFonts w:cs="Arial"/>
                <w:sz w:val="16"/>
                <w:szCs w:val="16"/>
              </w:rPr>
              <w:t>OMPI au Japon n</w:t>
            </w:r>
            <w:r w:rsidR="00E2055A" w:rsidRPr="00A32AF4">
              <w:rPr>
                <w:rFonts w:cs="Arial"/>
                <w:sz w:val="16"/>
                <w:szCs w:val="16"/>
              </w:rPr>
              <w:t>’</w:t>
            </w:r>
            <w:r w:rsidRPr="00A32AF4">
              <w:rPr>
                <w:rFonts w:cs="Arial"/>
                <w:sz w:val="16"/>
                <w:szCs w:val="16"/>
              </w:rPr>
              <w:t>a pas organisé de séminaire) (Bureau de l</w:t>
            </w:r>
            <w:r w:rsidR="00E2055A" w:rsidRPr="00A32AF4">
              <w:rPr>
                <w:rFonts w:cs="Arial"/>
                <w:sz w:val="16"/>
                <w:szCs w:val="16"/>
              </w:rPr>
              <w:t>’</w:t>
            </w:r>
            <w:r w:rsidRPr="00A32AF4">
              <w:rPr>
                <w:rFonts w:cs="Arial"/>
                <w:sz w:val="16"/>
                <w:szCs w:val="16"/>
              </w:rPr>
              <w:t>OMPI au Japon)</w:t>
            </w:r>
          </w:p>
        </w:tc>
        <w:tc>
          <w:tcPr>
            <w:tcW w:w="2055" w:type="dxa"/>
            <w:shd w:val="clear" w:color="auto" w:fill="auto"/>
            <w:tcMar>
              <w:top w:w="113" w:type="dxa"/>
              <w:bottom w:w="113" w:type="dxa"/>
            </w:tcMar>
            <w:hideMark/>
          </w:tcPr>
          <w:p w:rsidR="00877B63" w:rsidRPr="00A32AF4" w:rsidRDefault="00877B63" w:rsidP="00DC0553">
            <w:pPr>
              <w:ind w:leftChars="-1" w:hangingChars="1" w:hanging="2"/>
              <w:rPr>
                <w:rFonts w:cs="Arial"/>
                <w:sz w:val="16"/>
                <w:szCs w:val="16"/>
              </w:rPr>
            </w:pPr>
            <w:r w:rsidRPr="00A32AF4">
              <w:rPr>
                <w:rFonts w:cs="Arial"/>
                <w:sz w:val="16"/>
                <w:szCs w:val="16"/>
              </w:rPr>
              <w:t xml:space="preserve">75% </w:t>
            </w:r>
          </w:p>
        </w:tc>
      </w:tr>
      <w:tr w:rsidR="00877B63" w:rsidRPr="00A32AF4" w:rsidTr="00D27E4C">
        <w:trPr>
          <w:cantSplit/>
        </w:trPr>
        <w:tc>
          <w:tcPr>
            <w:tcW w:w="2380" w:type="dxa"/>
            <w:shd w:val="clear" w:color="auto" w:fill="auto"/>
            <w:tcMar>
              <w:top w:w="113" w:type="dxa"/>
              <w:bottom w:w="113" w:type="dxa"/>
            </w:tcMar>
            <w:hideMark/>
          </w:tcPr>
          <w:p w:rsidR="00877B63" w:rsidRPr="00A32AF4" w:rsidRDefault="00877B63" w:rsidP="00DC0553">
            <w:pPr>
              <w:rPr>
                <w:rFonts w:cs="Arial"/>
                <w:sz w:val="16"/>
                <w:szCs w:val="16"/>
              </w:rPr>
            </w:pPr>
            <w:r w:rsidRPr="00A32AF4">
              <w:rPr>
                <w:rFonts w:cs="Arial"/>
                <w:sz w:val="16"/>
                <w:szCs w:val="16"/>
              </w:rPr>
              <w:t>IV.2 Amélioration de l</w:t>
            </w:r>
            <w:r w:rsidR="00E2055A" w:rsidRPr="00A32AF4">
              <w:rPr>
                <w:rFonts w:cs="Arial"/>
                <w:sz w:val="16"/>
                <w:szCs w:val="16"/>
              </w:rPr>
              <w:t>’</w:t>
            </w:r>
            <w:r w:rsidRPr="00A32AF4">
              <w:rPr>
                <w:rFonts w:cs="Arial"/>
                <w:sz w:val="16"/>
                <w:szCs w:val="16"/>
              </w:rPr>
              <w:t>accessibilité et de l</w:t>
            </w:r>
            <w:r w:rsidR="00E2055A" w:rsidRPr="00A32AF4">
              <w:rPr>
                <w:rFonts w:cs="Arial"/>
                <w:sz w:val="16"/>
                <w:szCs w:val="16"/>
              </w:rPr>
              <w:t>’</w:t>
            </w:r>
            <w:r w:rsidRPr="00A32AF4">
              <w:rPr>
                <w:rFonts w:cs="Arial"/>
                <w:sz w:val="16"/>
                <w:szCs w:val="16"/>
              </w:rPr>
              <w:t>utilisation de l</w:t>
            </w:r>
            <w:r w:rsidR="00E2055A" w:rsidRPr="00A32AF4">
              <w:rPr>
                <w:rFonts w:cs="Arial"/>
                <w:sz w:val="16"/>
                <w:szCs w:val="16"/>
              </w:rPr>
              <w:t>’</w:t>
            </w:r>
            <w:r w:rsidRPr="00A32AF4">
              <w:rPr>
                <w:rFonts w:cs="Arial"/>
                <w:sz w:val="16"/>
                <w:szCs w:val="16"/>
              </w:rPr>
              <w:t>information en matière de propriété intellectuelle par les institutions compétentes et le public afin de promouvoir l</w:t>
            </w:r>
            <w:r w:rsidR="00E2055A" w:rsidRPr="00A32AF4">
              <w:rPr>
                <w:rFonts w:cs="Arial"/>
                <w:sz w:val="16"/>
                <w:szCs w:val="16"/>
              </w:rPr>
              <w:t>’</w:t>
            </w:r>
            <w:r w:rsidRPr="00A32AF4">
              <w:rPr>
                <w:rFonts w:cs="Arial"/>
                <w:sz w:val="16"/>
                <w:szCs w:val="16"/>
              </w:rPr>
              <w:t>innovation et la créativité</w:t>
            </w:r>
          </w:p>
        </w:tc>
        <w:tc>
          <w:tcPr>
            <w:tcW w:w="2380" w:type="dxa"/>
            <w:shd w:val="clear" w:color="auto" w:fill="auto"/>
            <w:tcMar>
              <w:top w:w="113" w:type="dxa"/>
              <w:bottom w:w="113" w:type="dxa"/>
            </w:tcMar>
            <w:hideMark/>
          </w:tcPr>
          <w:p w:rsidR="00877B63" w:rsidRPr="00A32AF4" w:rsidRDefault="00877B63" w:rsidP="00DC0553">
            <w:pPr>
              <w:rPr>
                <w:rFonts w:cs="Arial"/>
                <w:sz w:val="16"/>
                <w:szCs w:val="16"/>
              </w:rPr>
            </w:pPr>
            <w:r w:rsidRPr="00A32AF4">
              <w:rPr>
                <w:rFonts w:cs="Arial"/>
                <w:sz w:val="16"/>
                <w:szCs w:val="16"/>
              </w:rPr>
              <w:t>Nombre d</w:t>
            </w:r>
            <w:r w:rsidR="00E2055A" w:rsidRPr="00A32AF4">
              <w:rPr>
                <w:rFonts w:cs="Arial"/>
                <w:sz w:val="16"/>
                <w:szCs w:val="16"/>
              </w:rPr>
              <w:t>’</w:t>
            </w:r>
            <w:r w:rsidRPr="00A32AF4">
              <w:rPr>
                <w:rFonts w:cs="Arial"/>
                <w:sz w:val="16"/>
                <w:szCs w:val="16"/>
              </w:rPr>
              <w:t>utilisateurs des bases de données mondiales de l</w:t>
            </w:r>
            <w:r w:rsidR="00E2055A" w:rsidRPr="00A32AF4">
              <w:rPr>
                <w:rFonts w:cs="Arial"/>
                <w:sz w:val="16"/>
                <w:szCs w:val="16"/>
              </w:rPr>
              <w:t>’</w:t>
            </w:r>
            <w:r w:rsidRPr="00A32AF4">
              <w:rPr>
                <w:rFonts w:cs="Arial"/>
                <w:sz w:val="16"/>
                <w:szCs w:val="16"/>
              </w:rPr>
              <w:t>OMPI : PATENTSCOPE, Base de données mondiale sur les marques et Base de données des dessins et modèles</w:t>
            </w:r>
          </w:p>
        </w:tc>
        <w:tc>
          <w:tcPr>
            <w:tcW w:w="2380" w:type="dxa"/>
            <w:shd w:val="clear" w:color="auto" w:fill="auto"/>
            <w:tcMar>
              <w:top w:w="113" w:type="dxa"/>
              <w:bottom w:w="113" w:type="dxa"/>
            </w:tcMar>
            <w:hideMark/>
          </w:tcPr>
          <w:p w:rsidR="00877B63" w:rsidRPr="00A32AF4" w:rsidRDefault="00702CE5" w:rsidP="00DC0553">
            <w:pPr>
              <w:rPr>
                <w:rFonts w:cs="Arial"/>
                <w:sz w:val="16"/>
                <w:szCs w:val="16"/>
              </w:rPr>
            </w:pPr>
            <w:r w:rsidRPr="00A32AF4">
              <w:rPr>
                <w:rFonts w:cs="Arial"/>
                <w:sz w:val="16"/>
                <w:szCs w:val="16"/>
              </w:rPr>
              <w:t xml:space="preserve">PATENTSCOPE : </w:t>
            </w:r>
            <w:r w:rsidRPr="00A32AF4">
              <w:rPr>
                <w:rFonts w:cs="Arial"/>
                <w:sz w:val="16"/>
                <w:szCs w:val="16"/>
              </w:rPr>
              <w:br/>
              <w:t>8</w:t>
            </w:r>
            <w:r w:rsidR="00877B63" w:rsidRPr="00A32AF4">
              <w:rPr>
                <w:rFonts w:cs="Arial"/>
                <w:sz w:val="16"/>
                <w:szCs w:val="16"/>
              </w:rPr>
              <w:t>054 (Bureau de l</w:t>
            </w:r>
            <w:r w:rsidR="00E2055A" w:rsidRPr="00A32AF4">
              <w:rPr>
                <w:rFonts w:cs="Arial"/>
                <w:sz w:val="16"/>
                <w:szCs w:val="16"/>
              </w:rPr>
              <w:t>’</w:t>
            </w:r>
            <w:r w:rsidRPr="00A32AF4">
              <w:rPr>
                <w:rFonts w:cs="Arial"/>
                <w:sz w:val="16"/>
                <w:szCs w:val="16"/>
              </w:rPr>
              <w:t xml:space="preserve">OMPI à Singapour) </w:t>
            </w:r>
            <w:r w:rsidRPr="00A32AF4">
              <w:rPr>
                <w:rFonts w:cs="Arial"/>
                <w:sz w:val="16"/>
                <w:szCs w:val="16"/>
              </w:rPr>
              <w:br/>
              <w:t>4</w:t>
            </w:r>
            <w:r w:rsidR="00877B63" w:rsidRPr="00A32AF4">
              <w:rPr>
                <w:rFonts w:cs="Arial"/>
                <w:sz w:val="16"/>
                <w:szCs w:val="16"/>
              </w:rPr>
              <w:t>688 (Bureau de l</w:t>
            </w:r>
            <w:r w:rsidR="00E2055A" w:rsidRPr="00A32AF4">
              <w:rPr>
                <w:rFonts w:cs="Arial"/>
                <w:sz w:val="16"/>
                <w:szCs w:val="16"/>
              </w:rPr>
              <w:t>’</w:t>
            </w:r>
            <w:r w:rsidR="00877B63" w:rsidRPr="00A32AF4">
              <w:rPr>
                <w:rFonts w:cs="Arial"/>
                <w:sz w:val="16"/>
                <w:szCs w:val="16"/>
              </w:rPr>
              <w:t>OMPI au Brésil)</w:t>
            </w:r>
            <w:r w:rsidR="00877B63" w:rsidRPr="00A32AF4">
              <w:rPr>
                <w:rFonts w:cs="Arial"/>
                <w:sz w:val="16"/>
                <w:szCs w:val="16"/>
              </w:rPr>
              <w:br/>
              <w:t>14 711 (Bureau de l</w:t>
            </w:r>
            <w:r w:rsidR="00E2055A" w:rsidRPr="00A32AF4">
              <w:rPr>
                <w:rFonts w:cs="Arial"/>
                <w:sz w:val="16"/>
                <w:szCs w:val="16"/>
              </w:rPr>
              <w:t>’</w:t>
            </w:r>
            <w:r w:rsidR="00877B63" w:rsidRPr="00A32AF4">
              <w:rPr>
                <w:rFonts w:cs="Arial"/>
                <w:sz w:val="16"/>
                <w:szCs w:val="16"/>
              </w:rPr>
              <w:t>OMPI au Japon)</w:t>
            </w:r>
            <w:r w:rsidR="00877B63" w:rsidRPr="00A32AF4">
              <w:rPr>
                <w:rFonts w:cs="Arial"/>
                <w:sz w:val="16"/>
                <w:szCs w:val="16"/>
              </w:rPr>
              <w:br/>
              <w:t>6257 (Bureau de l</w:t>
            </w:r>
            <w:r w:rsidR="00E2055A" w:rsidRPr="00A32AF4">
              <w:rPr>
                <w:rFonts w:cs="Arial"/>
                <w:sz w:val="16"/>
                <w:szCs w:val="16"/>
              </w:rPr>
              <w:t>’</w:t>
            </w:r>
            <w:r w:rsidR="00877B63" w:rsidRPr="00A32AF4">
              <w:rPr>
                <w:rFonts w:cs="Arial"/>
                <w:sz w:val="16"/>
                <w:szCs w:val="16"/>
              </w:rPr>
              <w:t>OMPI en Russie)</w:t>
            </w:r>
            <w:r w:rsidR="00877B63" w:rsidRPr="00A32AF4">
              <w:rPr>
                <w:rFonts w:cs="Arial"/>
                <w:sz w:val="16"/>
                <w:szCs w:val="16"/>
              </w:rPr>
              <w:br/>
              <w:t>56 355 (Bureau de l</w:t>
            </w:r>
            <w:r w:rsidR="00E2055A" w:rsidRPr="00A32AF4">
              <w:rPr>
                <w:rFonts w:cs="Arial"/>
                <w:sz w:val="16"/>
                <w:szCs w:val="16"/>
              </w:rPr>
              <w:t>’</w:t>
            </w:r>
            <w:r w:rsidR="00877B63" w:rsidRPr="00A32AF4">
              <w:rPr>
                <w:rFonts w:cs="Arial"/>
                <w:sz w:val="16"/>
                <w:szCs w:val="16"/>
              </w:rPr>
              <w:t>OMPI en Chine)</w:t>
            </w:r>
            <w:r w:rsidR="00877B63" w:rsidRPr="00A32AF4">
              <w:rPr>
                <w:rFonts w:cs="Arial"/>
                <w:sz w:val="16"/>
                <w:szCs w:val="16"/>
              </w:rPr>
              <w:br/>
            </w:r>
            <w:r w:rsidR="00877B63" w:rsidRPr="00A32AF4">
              <w:rPr>
                <w:rFonts w:cs="Arial"/>
                <w:sz w:val="16"/>
                <w:szCs w:val="16"/>
              </w:rPr>
              <w:br/>
              <w:t>Base de donné</w:t>
            </w:r>
            <w:r w:rsidRPr="00A32AF4">
              <w:rPr>
                <w:rFonts w:cs="Arial"/>
                <w:sz w:val="16"/>
                <w:szCs w:val="16"/>
              </w:rPr>
              <w:t>es mondiale sur les marques :</w:t>
            </w:r>
            <w:r w:rsidRPr="00A32AF4">
              <w:rPr>
                <w:rFonts w:cs="Arial"/>
                <w:sz w:val="16"/>
                <w:szCs w:val="16"/>
              </w:rPr>
              <w:br/>
              <w:t>9</w:t>
            </w:r>
            <w:r w:rsidR="00877B63" w:rsidRPr="00A32AF4">
              <w:rPr>
                <w:rFonts w:cs="Arial"/>
                <w:sz w:val="16"/>
                <w:szCs w:val="16"/>
              </w:rPr>
              <w:t>162 (Bureau de l</w:t>
            </w:r>
            <w:r w:rsidR="00E2055A" w:rsidRPr="00A32AF4">
              <w:rPr>
                <w:rFonts w:cs="Arial"/>
                <w:sz w:val="16"/>
                <w:szCs w:val="16"/>
              </w:rPr>
              <w:t>’</w:t>
            </w:r>
            <w:r w:rsidR="00877B63" w:rsidRPr="00A32AF4">
              <w:rPr>
                <w:rFonts w:cs="Arial"/>
                <w:sz w:val="16"/>
                <w:szCs w:val="16"/>
              </w:rPr>
              <w:t xml:space="preserve">OMPI à Singapour) </w:t>
            </w:r>
            <w:r w:rsidR="00877B63" w:rsidRPr="00A32AF4">
              <w:rPr>
                <w:rFonts w:cs="Arial"/>
                <w:sz w:val="16"/>
                <w:szCs w:val="16"/>
              </w:rPr>
              <w:br/>
              <w:t xml:space="preserve">596 (Bureau de </w:t>
            </w:r>
            <w:r w:rsidRPr="00A32AF4">
              <w:rPr>
                <w:rFonts w:cs="Arial"/>
                <w:sz w:val="16"/>
                <w:szCs w:val="16"/>
              </w:rPr>
              <w:t>l</w:t>
            </w:r>
            <w:r w:rsidR="00E2055A" w:rsidRPr="00A32AF4">
              <w:rPr>
                <w:rFonts w:cs="Arial"/>
                <w:sz w:val="16"/>
                <w:szCs w:val="16"/>
              </w:rPr>
              <w:t>’</w:t>
            </w:r>
            <w:r w:rsidRPr="00A32AF4">
              <w:rPr>
                <w:rFonts w:cs="Arial"/>
                <w:sz w:val="16"/>
                <w:szCs w:val="16"/>
              </w:rPr>
              <w:t>OMPI au Brésil)</w:t>
            </w:r>
            <w:r w:rsidRPr="00A32AF4">
              <w:rPr>
                <w:rFonts w:cs="Arial"/>
                <w:sz w:val="16"/>
                <w:szCs w:val="16"/>
              </w:rPr>
              <w:br/>
              <w:t>2</w:t>
            </w:r>
            <w:r w:rsidR="00877B63" w:rsidRPr="00A32AF4">
              <w:rPr>
                <w:rFonts w:cs="Arial"/>
                <w:sz w:val="16"/>
                <w:szCs w:val="16"/>
              </w:rPr>
              <w:t>871 (Bureau de l</w:t>
            </w:r>
            <w:r w:rsidR="00E2055A" w:rsidRPr="00A32AF4">
              <w:rPr>
                <w:rFonts w:cs="Arial"/>
                <w:sz w:val="16"/>
                <w:szCs w:val="16"/>
              </w:rPr>
              <w:t>’</w:t>
            </w:r>
            <w:r w:rsidR="00877B63" w:rsidRPr="00A32AF4">
              <w:rPr>
                <w:rFonts w:cs="Arial"/>
                <w:sz w:val="16"/>
                <w:szCs w:val="16"/>
              </w:rPr>
              <w:t>OMPI au Japon)</w:t>
            </w:r>
            <w:r w:rsidR="00877B63" w:rsidRPr="00A32AF4">
              <w:rPr>
                <w:rFonts w:cs="Arial"/>
                <w:sz w:val="16"/>
                <w:szCs w:val="16"/>
              </w:rPr>
              <w:br/>
              <w:t>2352</w:t>
            </w:r>
            <w:r w:rsidRPr="00A32AF4">
              <w:rPr>
                <w:rFonts w:cs="Arial"/>
                <w:sz w:val="16"/>
                <w:szCs w:val="16"/>
              </w:rPr>
              <w:t xml:space="preserve"> (Bureau de l</w:t>
            </w:r>
            <w:r w:rsidR="00E2055A" w:rsidRPr="00A32AF4">
              <w:rPr>
                <w:rFonts w:cs="Arial"/>
                <w:sz w:val="16"/>
                <w:szCs w:val="16"/>
              </w:rPr>
              <w:t>’</w:t>
            </w:r>
            <w:r w:rsidRPr="00A32AF4">
              <w:rPr>
                <w:rFonts w:cs="Arial"/>
                <w:sz w:val="16"/>
                <w:szCs w:val="16"/>
              </w:rPr>
              <w:t>OMPI en Russie)</w:t>
            </w:r>
            <w:r w:rsidRPr="00A32AF4">
              <w:rPr>
                <w:rFonts w:cs="Arial"/>
                <w:sz w:val="16"/>
                <w:szCs w:val="16"/>
              </w:rPr>
              <w:br/>
              <w:t>3</w:t>
            </w:r>
            <w:r w:rsidR="00877B63" w:rsidRPr="00A32AF4">
              <w:rPr>
                <w:rFonts w:cs="Arial"/>
                <w:sz w:val="16"/>
                <w:szCs w:val="16"/>
              </w:rPr>
              <w:t>398 (Bureau de l</w:t>
            </w:r>
            <w:r w:rsidR="00E2055A" w:rsidRPr="00A32AF4">
              <w:rPr>
                <w:rFonts w:cs="Arial"/>
                <w:sz w:val="16"/>
                <w:szCs w:val="16"/>
              </w:rPr>
              <w:t>’</w:t>
            </w:r>
            <w:r w:rsidR="00877B63" w:rsidRPr="00A32AF4">
              <w:rPr>
                <w:rFonts w:cs="Arial"/>
                <w:sz w:val="16"/>
                <w:szCs w:val="16"/>
              </w:rPr>
              <w:t>OMPI en Chine)</w:t>
            </w:r>
            <w:r w:rsidR="00877B63" w:rsidRPr="00A32AF4">
              <w:rPr>
                <w:rFonts w:cs="Arial"/>
                <w:sz w:val="16"/>
                <w:szCs w:val="16"/>
              </w:rPr>
              <w:br/>
            </w:r>
            <w:r w:rsidR="00877B63" w:rsidRPr="00A32AF4">
              <w:rPr>
                <w:rFonts w:cs="Arial"/>
                <w:sz w:val="16"/>
                <w:szCs w:val="16"/>
              </w:rPr>
              <w:br/>
              <w:t>Base de données des dessins et modèles : s.o.</w:t>
            </w:r>
          </w:p>
          <w:p w:rsidR="00877B63" w:rsidRPr="00A32AF4" w:rsidRDefault="00877B63" w:rsidP="00DC0553">
            <w:pPr>
              <w:rPr>
                <w:rFonts w:cs="Arial"/>
                <w:sz w:val="16"/>
                <w:szCs w:val="16"/>
              </w:rPr>
            </w:pPr>
          </w:p>
        </w:tc>
        <w:tc>
          <w:tcPr>
            <w:tcW w:w="2055" w:type="dxa"/>
            <w:shd w:val="clear" w:color="auto" w:fill="auto"/>
            <w:tcMar>
              <w:top w:w="113" w:type="dxa"/>
              <w:bottom w:w="113" w:type="dxa"/>
            </w:tcMar>
            <w:hideMark/>
          </w:tcPr>
          <w:p w:rsidR="00877B63" w:rsidRPr="00A32AF4" w:rsidRDefault="00877B63" w:rsidP="00DC0553">
            <w:pPr>
              <w:rPr>
                <w:rFonts w:cs="Arial"/>
                <w:sz w:val="16"/>
                <w:szCs w:val="16"/>
              </w:rPr>
            </w:pPr>
            <w:r w:rsidRPr="00A32AF4">
              <w:rPr>
                <w:rFonts w:cs="Arial"/>
                <w:sz w:val="16"/>
                <w:szCs w:val="16"/>
              </w:rPr>
              <w:t>Une augmentation de 5%</w:t>
            </w:r>
          </w:p>
          <w:p w:rsidR="00877B63" w:rsidRPr="00A32AF4" w:rsidRDefault="00877B63" w:rsidP="00DC0553">
            <w:pPr>
              <w:rPr>
                <w:rFonts w:cs="Arial"/>
                <w:sz w:val="16"/>
                <w:szCs w:val="16"/>
              </w:rPr>
            </w:pPr>
          </w:p>
          <w:p w:rsidR="00877B63" w:rsidRPr="00A32AF4" w:rsidRDefault="00877B63" w:rsidP="00DC0553">
            <w:pPr>
              <w:rPr>
                <w:rFonts w:cs="Arial"/>
                <w:sz w:val="16"/>
                <w:szCs w:val="16"/>
              </w:rPr>
            </w:pPr>
          </w:p>
          <w:p w:rsidR="00877B63" w:rsidRPr="00A32AF4" w:rsidRDefault="00877B63" w:rsidP="00DC0553">
            <w:pPr>
              <w:rPr>
                <w:rFonts w:cs="Arial"/>
                <w:sz w:val="16"/>
                <w:szCs w:val="16"/>
              </w:rPr>
            </w:pPr>
          </w:p>
          <w:p w:rsidR="00877B63" w:rsidRPr="00A32AF4" w:rsidRDefault="00877B63" w:rsidP="00DC0553">
            <w:pPr>
              <w:rPr>
                <w:rFonts w:cs="Arial"/>
                <w:sz w:val="16"/>
                <w:szCs w:val="16"/>
              </w:rPr>
            </w:pPr>
          </w:p>
          <w:p w:rsidR="00877B63" w:rsidRPr="00A32AF4" w:rsidRDefault="00877B63" w:rsidP="00DC0553">
            <w:pPr>
              <w:rPr>
                <w:rFonts w:cs="Arial"/>
                <w:sz w:val="16"/>
                <w:szCs w:val="16"/>
              </w:rPr>
            </w:pPr>
          </w:p>
          <w:p w:rsidR="00877B63" w:rsidRPr="00A32AF4" w:rsidRDefault="00877B63" w:rsidP="00DC0553">
            <w:pPr>
              <w:rPr>
                <w:rFonts w:cs="Arial"/>
                <w:sz w:val="16"/>
                <w:szCs w:val="16"/>
              </w:rPr>
            </w:pPr>
          </w:p>
          <w:p w:rsidR="00877B63" w:rsidRPr="00A32AF4" w:rsidRDefault="00877B63" w:rsidP="00DC0553">
            <w:pPr>
              <w:rPr>
                <w:rFonts w:cs="Arial"/>
                <w:sz w:val="16"/>
                <w:szCs w:val="16"/>
              </w:rPr>
            </w:pPr>
          </w:p>
          <w:p w:rsidR="00877B63" w:rsidRPr="00A32AF4" w:rsidRDefault="00877B63" w:rsidP="00DC0553">
            <w:pPr>
              <w:rPr>
                <w:rFonts w:cs="Arial"/>
                <w:sz w:val="16"/>
                <w:szCs w:val="16"/>
              </w:rPr>
            </w:pPr>
          </w:p>
          <w:p w:rsidR="00877B63" w:rsidRPr="00A32AF4" w:rsidRDefault="00877B63" w:rsidP="00DC0553">
            <w:pPr>
              <w:rPr>
                <w:rFonts w:cs="Arial"/>
                <w:sz w:val="16"/>
                <w:szCs w:val="16"/>
              </w:rPr>
            </w:pPr>
          </w:p>
          <w:p w:rsidR="00877B63" w:rsidRPr="00A32AF4" w:rsidRDefault="00877B63" w:rsidP="00DC0553">
            <w:pPr>
              <w:rPr>
                <w:rFonts w:cs="Arial"/>
                <w:sz w:val="16"/>
                <w:szCs w:val="16"/>
              </w:rPr>
            </w:pPr>
          </w:p>
          <w:p w:rsidR="00877B63" w:rsidRPr="00A32AF4" w:rsidRDefault="00877B63" w:rsidP="00DC0553">
            <w:pPr>
              <w:rPr>
                <w:rFonts w:cs="Arial"/>
                <w:sz w:val="16"/>
                <w:szCs w:val="16"/>
              </w:rPr>
            </w:pPr>
          </w:p>
          <w:p w:rsidR="00877B63" w:rsidRPr="00A32AF4" w:rsidRDefault="00877B63" w:rsidP="00DC0553">
            <w:pPr>
              <w:rPr>
                <w:rFonts w:cs="Arial"/>
                <w:sz w:val="16"/>
                <w:szCs w:val="16"/>
              </w:rPr>
            </w:pPr>
            <w:r w:rsidRPr="00A32AF4">
              <w:rPr>
                <w:rFonts w:cs="Arial"/>
                <w:sz w:val="16"/>
                <w:szCs w:val="16"/>
              </w:rPr>
              <w:t>Une augmentation de 5%</w:t>
            </w:r>
          </w:p>
        </w:tc>
      </w:tr>
      <w:tr w:rsidR="00877B63" w:rsidRPr="00A32AF4" w:rsidTr="00D27E4C">
        <w:trPr>
          <w:cantSplit/>
        </w:trPr>
        <w:tc>
          <w:tcPr>
            <w:tcW w:w="2380" w:type="dxa"/>
            <w:shd w:val="clear" w:color="auto" w:fill="auto"/>
            <w:tcMar>
              <w:top w:w="113" w:type="dxa"/>
              <w:bottom w:w="113" w:type="dxa"/>
            </w:tcMar>
            <w:hideMark/>
          </w:tcPr>
          <w:p w:rsidR="00877B63" w:rsidRPr="00A32AF4" w:rsidRDefault="00877B63" w:rsidP="00DC0553">
            <w:pPr>
              <w:rPr>
                <w:rFonts w:cs="Arial"/>
                <w:sz w:val="16"/>
                <w:szCs w:val="16"/>
              </w:rPr>
            </w:pPr>
            <w:r w:rsidRPr="00A32AF4">
              <w:rPr>
                <w:rFonts w:cs="Arial"/>
                <w:sz w:val="16"/>
                <w:szCs w:val="16"/>
              </w:rPr>
              <w:t> </w:t>
            </w:r>
          </w:p>
        </w:tc>
        <w:tc>
          <w:tcPr>
            <w:tcW w:w="2380" w:type="dxa"/>
            <w:shd w:val="clear" w:color="auto" w:fill="auto"/>
            <w:tcMar>
              <w:top w:w="113" w:type="dxa"/>
              <w:bottom w:w="113" w:type="dxa"/>
            </w:tcMar>
            <w:hideMark/>
          </w:tcPr>
          <w:p w:rsidR="00877B63" w:rsidRPr="00A32AF4" w:rsidRDefault="00877B63" w:rsidP="00DC0553">
            <w:pPr>
              <w:rPr>
                <w:rFonts w:cs="Arial"/>
                <w:sz w:val="16"/>
                <w:szCs w:val="16"/>
              </w:rPr>
            </w:pPr>
            <w:r w:rsidRPr="00A32AF4">
              <w:rPr>
                <w:rFonts w:cs="Arial"/>
                <w:sz w:val="16"/>
                <w:szCs w:val="16"/>
              </w:rPr>
              <w:t xml:space="preserve">Nombre de réseaux nationaux de CATI durables </w:t>
            </w:r>
          </w:p>
        </w:tc>
        <w:tc>
          <w:tcPr>
            <w:tcW w:w="2380" w:type="dxa"/>
            <w:shd w:val="clear" w:color="auto" w:fill="auto"/>
            <w:tcMar>
              <w:top w:w="113" w:type="dxa"/>
              <w:bottom w:w="113" w:type="dxa"/>
            </w:tcMar>
            <w:hideMark/>
          </w:tcPr>
          <w:p w:rsidR="00877B63" w:rsidRPr="00A32AF4" w:rsidRDefault="00877B63" w:rsidP="00DC0553">
            <w:pPr>
              <w:rPr>
                <w:rFonts w:cs="Arial"/>
                <w:sz w:val="16"/>
                <w:szCs w:val="16"/>
              </w:rPr>
            </w:pPr>
            <w:r w:rsidRPr="00A32AF4">
              <w:rPr>
                <w:rFonts w:cs="Arial"/>
                <w:sz w:val="16"/>
                <w:szCs w:val="16"/>
              </w:rPr>
              <w:t>2 (Bureau de l</w:t>
            </w:r>
            <w:r w:rsidR="00E2055A" w:rsidRPr="00A32AF4">
              <w:rPr>
                <w:rFonts w:cs="Arial"/>
                <w:sz w:val="16"/>
                <w:szCs w:val="16"/>
              </w:rPr>
              <w:t>’</w:t>
            </w:r>
            <w:r w:rsidRPr="00A32AF4">
              <w:rPr>
                <w:rFonts w:cs="Arial"/>
                <w:sz w:val="16"/>
                <w:szCs w:val="16"/>
              </w:rPr>
              <w:t>OMPI à Singapour</w:t>
            </w:r>
            <w:proofErr w:type="gramStart"/>
            <w:r w:rsidRPr="00A32AF4">
              <w:rPr>
                <w:rFonts w:cs="Arial"/>
                <w:sz w:val="16"/>
                <w:szCs w:val="16"/>
              </w:rPr>
              <w:t>)</w:t>
            </w:r>
            <w:proofErr w:type="gramEnd"/>
            <w:r w:rsidRPr="00A32AF4">
              <w:rPr>
                <w:rFonts w:cs="Arial"/>
                <w:sz w:val="16"/>
                <w:szCs w:val="16"/>
              </w:rPr>
              <w:br/>
              <w:t>0 (Bureau de l</w:t>
            </w:r>
            <w:r w:rsidR="00E2055A" w:rsidRPr="00A32AF4">
              <w:rPr>
                <w:rFonts w:cs="Arial"/>
                <w:sz w:val="16"/>
                <w:szCs w:val="16"/>
              </w:rPr>
              <w:t>’</w:t>
            </w:r>
            <w:r w:rsidRPr="00A32AF4">
              <w:rPr>
                <w:rFonts w:cs="Arial"/>
                <w:sz w:val="16"/>
                <w:szCs w:val="16"/>
              </w:rPr>
              <w:t>OMPI en Chine)</w:t>
            </w:r>
          </w:p>
        </w:tc>
        <w:tc>
          <w:tcPr>
            <w:tcW w:w="2055" w:type="dxa"/>
            <w:shd w:val="clear" w:color="auto" w:fill="auto"/>
            <w:tcMar>
              <w:top w:w="113" w:type="dxa"/>
              <w:bottom w:w="113" w:type="dxa"/>
            </w:tcMar>
            <w:hideMark/>
          </w:tcPr>
          <w:p w:rsidR="00877B63" w:rsidRPr="00A32AF4" w:rsidRDefault="00877B63" w:rsidP="00DC0553">
            <w:pPr>
              <w:rPr>
                <w:rFonts w:cs="Arial"/>
                <w:sz w:val="16"/>
                <w:szCs w:val="16"/>
              </w:rPr>
            </w:pPr>
            <w:r w:rsidRPr="00A32AF4">
              <w:rPr>
                <w:rFonts w:cs="Arial"/>
                <w:sz w:val="16"/>
                <w:szCs w:val="16"/>
              </w:rPr>
              <w:t>2 supplémentaires (Bureau de l</w:t>
            </w:r>
            <w:r w:rsidR="00E2055A" w:rsidRPr="00A32AF4">
              <w:rPr>
                <w:rFonts w:cs="Arial"/>
                <w:sz w:val="16"/>
                <w:szCs w:val="16"/>
              </w:rPr>
              <w:t>’</w:t>
            </w:r>
            <w:r w:rsidRPr="00A32AF4">
              <w:rPr>
                <w:rFonts w:cs="Arial"/>
                <w:sz w:val="16"/>
                <w:szCs w:val="16"/>
              </w:rPr>
              <w:t>OMPI à Singapour)</w:t>
            </w:r>
          </w:p>
          <w:p w:rsidR="00877B63" w:rsidRPr="00A32AF4" w:rsidRDefault="00877B63" w:rsidP="00DC0553">
            <w:pPr>
              <w:rPr>
                <w:rFonts w:cs="Arial"/>
                <w:sz w:val="16"/>
                <w:szCs w:val="16"/>
              </w:rPr>
            </w:pPr>
            <w:r w:rsidRPr="00A32AF4">
              <w:rPr>
                <w:rFonts w:cs="Arial"/>
                <w:sz w:val="16"/>
                <w:szCs w:val="16"/>
              </w:rPr>
              <w:t>1 (Bureau de l</w:t>
            </w:r>
            <w:r w:rsidR="00E2055A" w:rsidRPr="00A32AF4">
              <w:rPr>
                <w:rFonts w:cs="Arial"/>
                <w:sz w:val="16"/>
                <w:szCs w:val="16"/>
              </w:rPr>
              <w:t>’</w:t>
            </w:r>
            <w:r w:rsidRPr="00A32AF4">
              <w:rPr>
                <w:rFonts w:cs="Arial"/>
                <w:sz w:val="16"/>
                <w:szCs w:val="16"/>
              </w:rPr>
              <w:t>OMPI en Chine)</w:t>
            </w:r>
          </w:p>
        </w:tc>
      </w:tr>
      <w:tr w:rsidR="00877B63" w:rsidRPr="00A32AF4" w:rsidTr="00D27E4C">
        <w:trPr>
          <w:cantSplit/>
        </w:trPr>
        <w:tc>
          <w:tcPr>
            <w:tcW w:w="2380" w:type="dxa"/>
            <w:shd w:val="clear" w:color="auto" w:fill="auto"/>
            <w:tcMar>
              <w:top w:w="113" w:type="dxa"/>
              <w:bottom w:w="113" w:type="dxa"/>
            </w:tcMar>
            <w:hideMark/>
          </w:tcPr>
          <w:p w:rsidR="00877B63" w:rsidRPr="00A32AF4" w:rsidRDefault="00877B63" w:rsidP="00DC0553">
            <w:pPr>
              <w:rPr>
                <w:rFonts w:cs="Arial"/>
                <w:sz w:val="16"/>
                <w:szCs w:val="16"/>
              </w:rPr>
            </w:pPr>
            <w:r w:rsidRPr="00A32AF4">
              <w:rPr>
                <w:rFonts w:cs="Arial"/>
                <w:sz w:val="16"/>
                <w:szCs w:val="16"/>
              </w:rPr>
              <w:t>IV.4 Amélioration de l</w:t>
            </w:r>
            <w:r w:rsidR="00E2055A" w:rsidRPr="00A32AF4">
              <w:rPr>
                <w:rFonts w:cs="Arial"/>
                <w:sz w:val="16"/>
                <w:szCs w:val="16"/>
              </w:rPr>
              <w:t>’</w:t>
            </w:r>
            <w:r w:rsidRPr="00A32AF4">
              <w:rPr>
                <w:rFonts w:cs="Arial"/>
                <w:sz w:val="16"/>
                <w:szCs w:val="16"/>
              </w:rPr>
              <w:t>infrastructure technique et du savoir pour les offices de propriété intellectuelle et les autres institutions de propriété intellectuelle, leur permettant de fournir à leurs parties prenantes des services améliorés (moins chers, plus rapides, de meilleure qualité) et d</w:t>
            </w:r>
            <w:r w:rsidR="00E2055A" w:rsidRPr="00A32AF4">
              <w:rPr>
                <w:rFonts w:cs="Arial"/>
                <w:sz w:val="16"/>
                <w:szCs w:val="16"/>
              </w:rPr>
              <w:t>’</w:t>
            </w:r>
            <w:r w:rsidRPr="00A32AF4">
              <w:rPr>
                <w:rFonts w:cs="Arial"/>
                <w:sz w:val="16"/>
                <w:szCs w:val="16"/>
              </w:rPr>
              <w:t>obtenir un meilleur résultat pour ce qui concerne l</w:t>
            </w:r>
            <w:r w:rsidR="00E2055A" w:rsidRPr="00A32AF4">
              <w:rPr>
                <w:rFonts w:cs="Arial"/>
                <w:sz w:val="16"/>
                <w:szCs w:val="16"/>
              </w:rPr>
              <w:t>’</w:t>
            </w:r>
            <w:r w:rsidRPr="00A32AF4">
              <w:rPr>
                <w:rFonts w:cs="Arial"/>
                <w:sz w:val="16"/>
                <w:szCs w:val="16"/>
              </w:rPr>
              <w:t>administration de la propriété intellectuelle</w:t>
            </w:r>
          </w:p>
        </w:tc>
        <w:tc>
          <w:tcPr>
            <w:tcW w:w="2380" w:type="dxa"/>
            <w:shd w:val="clear" w:color="auto" w:fill="auto"/>
            <w:tcMar>
              <w:top w:w="113" w:type="dxa"/>
              <w:bottom w:w="113" w:type="dxa"/>
            </w:tcMar>
            <w:hideMark/>
          </w:tcPr>
          <w:p w:rsidR="00877B63" w:rsidRPr="00A32AF4" w:rsidRDefault="00877B63" w:rsidP="00DC0553">
            <w:pPr>
              <w:rPr>
                <w:rFonts w:cs="Arial"/>
                <w:sz w:val="16"/>
                <w:szCs w:val="16"/>
              </w:rPr>
            </w:pPr>
            <w:r w:rsidRPr="00A32AF4">
              <w:rPr>
                <w:rFonts w:cs="Arial"/>
                <w:sz w:val="16"/>
                <w:szCs w:val="16"/>
              </w:rPr>
              <w:t>Nombre d</w:t>
            </w:r>
            <w:r w:rsidR="00E2055A" w:rsidRPr="00A32AF4">
              <w:rPr>
                <w:rFonts w:cs="Arial"/>
                <w:sz w:val="16"/>
                <w:szCs w:val="16"/>
              </w:rPr>
              <w:t>’</w:t>
            </w:r>
            <w:r w:rsidRPr="00A32AF4">
              <w:rPr>
                <w:rFonts w:cs="Arial"/>
                <w:sz w:val="16"/>
                <w:szCs w:val="16"/>
              </w:rPr>
              <w:t>offices utilisant les plates</w:t>
            </w:r>
            <w:r w:rsidR="00EB7F54" w:rsidRPr="00A32AF4">
              <w:rPr>
                <w:rFonts w:cs="Arial"/>
                <w:sz w:val="16"/>
                <w:szCs w:val="16"/>
              </w:rPr>
              <w:noBreakHyphen/>
            </w:r>
            <w:r w:rsidRPr="00A32AF4">
              <w:rPr>
                <w:rFonts w:cs="Arial"/>
                <w:sz w:val="16"/>
                <w:szCs w:val="16"/>
              </w:rPr>
              <w:t>formes d</w:t>
            </w:r>
            <w:r w:rsidR="00E2055A" w:rsidRPr="00A32AF4">
              <w:rPr>
                <w:rFonts w:cs="Arial"/>
                <w:sz w:val="16"/>
                <w:szCs w:val="16"/>
              </w:rPr>
              <w:t>’</w:t>
            </w:r>
            <w:r w:rsidRPr="00A32AF4">
              <w:rPr>
                <w:rFonts w:cs="Arial"/>
                <w:sz w:val="16"/>
                <w:szCs w:val="16"/>
              </w:rPr>
              <w:t>infrastructure de l</w:t>
            </w:r>
            <w:r w:rsidR="00E2055A" w:rsidRPr="00A32AF4">
              <w:rPr>
                <w:rFonts w:cs="Arial"/>
                <w:sz w:val="16"/>
                <w:szCs w:val="16"/>
              </w:rPr>
              <w:t>’</w:t>
            </w:r>
            <w:r w:rsidRPr="00A32AF4">
              <w:rPr>
                <w:rFonts w:cs="Arial"/>
                <w:sz w:val="16"/>
                <w:szCs w:val="16"/>
              </w:rPr>
              <w:t>OMPI</w:t>
            </w:r>
          </w:p>
        </w:tc>
        <w:tc>
          <w:tcPr>
            <w:tcW w:w="2380" w:type="dxa"/>
            <w:shd w:val="clear" w:color="auto" w:fill="auto"/>
            <w:tcMar>
              <w:top w:w="113" w:type="dxa"/>
              <w:bottom w:w="113" w:type="dxa"/>
            </w:tcMar>
            <w:hideMark/>
          </w:tcPr>
          <w:p w:rsidR="00877B63" w:rsidRPr="00A32AF4" w:rsidRDefault="00877B63" w:rsidP="00DC0553">
            <w:pPr>
              <w:rPr>
                <w:rFonts w:cs="Arial"/>
                <w:sz w:val="16"/>
                <w:szCs w:val="16"/>
              </w:rPr>
            </w:pPr>
            <w:r w:rsidRPr="00A32AF4">
              <w:rPr>
                <w:rFonts w:cs="Arial"/>
                <w:sz w:val="16"/>
                <w:szCs w:val="16"/>
              </w:rPr>
              <w:t>7 (Bureau de l</w:t>
            </w:r>
            <w:r w:rsidR="00E2055A" w:rsidRPr="00A32AF4">
              <w:rPr>
                <w:rFonts w:cs="Arial"/>
                <w:sz w:val="16"/>
                <w:szCs w:val="16"/>
              </w:rPr>
              <w:t>’</w:t>
            </w:r>
            <w:r w:rsidRPr="00A32AF4">
              <w:rPr>
                <w:rFonts w:cs="Arial"/>
                <w:sz w:val="16"/>
                <w:szCs w:val="16"/>
              </w:rPr>
              <w:t>OMPI à Singapour)</w:t>
            </w:r>
          </w:p>
          <w:p w:rsidR="00877B63" w:rsidRPr="00A32AF4" w:rsidRDefault="00877B63" w:rsidP="00DC0553">
            <w:pPr>
              <w:rPr>
                <w:rFonts w:cs="Arial"/>
                <w:sz w:val="16"/>
                <w:szCs w:val="16"/>
              </w:rPr>
            </w:pPr>
            <w:r w:rsidRPr="00A32AF4">
              <w:rPr>
                <w:rFonts w:cs="Arial"/>
                <w:sz w:val="16"/>
                <w:szCs w:val="16"/>
              </w:rPr>
              <w:t>0 (Bureau de l</w:t>
            </w:r>
            <w:r w:rsidR="00E2055A" w:rsidRPr="00A32AF4">
              <w:rPr>
                <w:rFonts w:cs="Arial"/>
                <w:sz w:val="16"/>
                <w:szCs w:val="16"/>
              </w:rPr>
              <w:t>’</w:t>
            </w:r>
            <w:r w:rsidRPr="00A32AF4">
              <w:rPr>
                <w:rFonts w:cs="Arial"/>
                <w:sz w:val="16"/>
                <w:szCs w:val="16"/>
              </w:rPr>
              <w:t>OMPI au Brésil)</w:t>
            </w:r>
          </w:p>
        </w:tc>
        <w:tc>
          <w:tcPr>
            <w:tcW w:w="2055" w:type="dxa"/>
            <w:shd w:val="clear" w:color="auto" w:fill="auto"/>
            <w:tcMar>
              <w:top w:w="113" w:type="dxa"/>
              <w:bottom w:w="113" w:type="dxa"/>
            </w:tcMar>
            <w:hideMark/>
          </w:tcPr>
          <w:p w:rsidR="00877B63" w:rsidRPr="00A32AF4" w:rsidRDefault="00877B63" w:rsidP="00DC0553">
            <w:pPr>
              <w:rPr>
                <w:rFonts w:cs="Arial"/>
                <w:sz w:val="16"/>
                <w:szCs w:val="16"/>
              </w:rPr>
            </w:pPr>
            <w:r w:rsidRPr="00A32AF4">
              <w:rPr>
                <w:rFonts w:cs="Arial"/>
                <w:sz w:val="16"/>
                <w:szCs w:val="16"/>
              </w:rPr>
              <w:t>À déterminer (Bureau de l</w:t>
            </w:r>
            <w:r w:rsidR="00E2055A" w:rsidRPr="00A32AF4">
              <w:rPr>
                <w:rFonts w:cs="Arial"/>
                <w:sz w:val="16"/>
                <w:szCs w:val="16"/>
              </w:rPr>
              <w:t>’</w:t>
            </w:r>
            <w:r w:rsidRPr="00A32AF4">
              <w:rPr>
                <w:rFonts w:cs="Arial"/>
                <w:sz w:val="16"/>
                <w:szCs w:val="16"/>
              </w:rPr>
              <w:t>OMPI à Singapour)</w:t>
            </w:r>
          </w:p>
          <w:p w:rsidR="00877B63" w:rsidRPr="00A32AF4" w:rsidRDefault="00877B63" w:rsidP="00DC0553">
            <w:pPr>
              <w:rPr>
                <w:rFonts w:cs="Arial"/>
                <w:sz w:val="16"/>
                <w:szCs w:val="16"/>
              </w:rPr>
            </w:pPr>
            <w:r w:rsidRPr="00A32AF4">
              <w:rPr>
                <w:rFonts w:cs="Arial"/>
                <w:sz w:val="16"/>
                <w:szCs w:val="16"/>
              </w:rPr>
              <w:t>1 (Bureau de l</w:t>
            </w:r>
            <w:r w:rsidR="00E2055A" w:rsidRPr="00A32AF4">
              <w:rPr>
                <w:rFonts w:cs="Arial"/>
                <w:sz w:val="16"/>
                <w:szCs w:val="16"/>
              </w:rPr>
              <w:t>’</w:t>
            </w:r>
            <w:r w:rsidRPr="00A32AF4">
              <w:rPr>
                <w:rFonts w:cs="Arial"/>
                <w:sz w:val="16"/>
                <w:szCs w:val="16"/>
              </w:rPr>
              <w:t>OMPI au Brésil)</w:t>
            </w:r>
          </w:p>
        </w:tc>
      </w:tr>
      <w:tr w:rsidR="00877B63" w:rsidRPr="00A32AF4" w:rsidTr="00D27E4C">
        <w:trPr>
          <w:cantSplit/>
        </w:trPr>
        <w:tc>
          <w:tcPr>
            <w:tcW w:w="2380" w:type="dxa"/>
            <w:shd w:val="clear" w:color="auto" w:fill="auto"/>
            <w:tcMar>
              <w:top w:w="113" w:type="dxa"/>
              <w:bottom w:w="113" w:type="dxa"/>
            </w:tcMar>
            <w:hideMark/>
          </w:tcPr>
          <w:p w:rsidR="00877B63" w:rsidRPr="00A32AF4" w:rsidRDefault="00877B63" w:rsidP="00DC0553">
            <w:pPr>
              <w:rPr>
                <w:rFonts w:cs="Arial"/>
                <w:sz w:val="16"/>
                <w:szCs w:val="16"/>
              </w:rPr>
            </w:pPr>
            <w:r w:rsidRPr="00A32AF4">
              <w:rPr>
                <w:rFonts w:cs="Arial"/>
                <w:sz w:val="16"/>
                <w:szCs w:val="16"/>
              </w:rPr>
              <w:t>VII.2 Plates</w:t>
            </w:r>
            <w:r w:rsidR="00EB7F54" w:rsidRPr="00A32AF4">
              <w:rPr>
                <w:rFonts w:cs="Arial"/>
                <w:sz w:val="16"/>
                <w:szCs w:val="16"/>
              </w:rPr>
              <w:noBreakHyphen/>
            </w:r>
            <w:r w:rsidRPr="00A32AF4">
              <w:rPr>
                <w:rFonts w:cs="Arial"/>
                <w:sz w:val="16"/>
                <w:szCs w:val="16"/>
              </w:rPr>
              <w:t>formes et instruments fondés sur la propriété intellectuelle pour le transfert de connaissances et l</w:t>
            </w:r>
            <w:r w:rsidR="00E2055A" w:rsidRPr="00A32AF4">
              <w:rPr>
                <w:rFonts w:cs="Arial"/>
                <w:sz w:val="16"/>
                <w:szCs w:val="16"/>
              </w:rPr>
              <w:t>’</w:t>
            </w:r>
            <w:r w:rsidRPr="00A32AF4">
              <w:rPr>
                <w:rFonts w:cs="Arial"/>
                <w:sz w:val="16"/>
                <w:szCs w:val="16"/>
              </w:rPr>
              <w:t>adaptation et la diffusion de la technologie entre les pays développés et les pays en développement, notamment les PMA, pour relever des défis mondiaux</w:t>
            </w:r>
          </w:p>
        </w:tc>
        <w:tc>
          <w:tcPr>
            <w:tcW w:w="2380" w:type="dxa"/>
            <w:shd w:val="clear" w:color="auto" w:fill="auto"/>
            <w:tcMar>
              <w:top w:w="113" w:type="dxa"/>
              <w:bottom w:w="113" w:type="dxa"/>
            </w:tcMar>
            <w:hideMark/>
          </w:tcPr>
          <w:p w:rsidR="00877B63" w:rsidRPr="00A32AF4" w:rsidRDefault="00877B63" w:rsidP="00DC0553">
            <w:pPr>
              <w:rPr>
                <w:rFonts w:cs="Arial"/>
                <w:sz w:val="16"/>
                <w:szCs w:val="16"/>
              </w:rPr>
            </w:pPr>
            <w:r w:rsidRPr="00A32AF4">
              <w:rPr>
                <w:rFonts w:cs="Arial"/>
                <w:sz w:val="16"/>
                <w:szCs w:val="16"/>
              </w:rPr>
              <w:t>Participation de parties prenantes aux différentes plates</w:t>
            </w:r>
            <w:r w:rsidR="00EB7F54" w:rsidRPr="00A32AF4">
              <w:rPr>
                <w:rFonts w:cs="Arial"/>
                <w:sz w:val="16"/>
                <w:szCs w:val="16"/>
              </w:rPr>
              <w:noBreakHyphen/>
            </w:r>
            <w:r w:rsidRPr="00A32AF4">
              <w:rPr>
                <w:rFonts w:cs="Arial"/>
                <w:sz w:val="16"/>
                <w:szCs w:val="16"/>
              </w:rPr>
              <w:t>formes de l</w:t>
            </w:r>
            <w:r w:rsidR="00E2055A" w:rsidRPr="00A32AF4">
              <w:rPr>
                <w:rFonts w:cs="Arial"/>
                <w:sz w:val="16"/>
                <w:szCs w:val="16"/>
              </w:rPr>
              <w:t>’</w:t>
            </w:r>
            <w:r w:rsidRPr="00A32AF4">
              <w:rPr>
                <w:rFonts w:cs="Arial"/>
                <w:sz w:val="16"/>
                <w:szCs w:val="16"/>
              </w:rPr>
              <w:t>OMPI, à l</w:t>
            </w:r>
            <w:r w:rsidR="00E2055A" w:rsidRPr="00A32AF4">
              <w:rPr>
                <w:rFonts w:cs="Arial"/>
                <w:sz w:val="16"/>
                <w:szCs w:val="16"/>
              </w:rPr>
              <w:t>’</w:t>
            </w:r>
            <w:r w:rsidRPr="00A32AF4">
              <w:rPr>
                <w:rFonts w:cs="Arial"/>
                <w:sz w:val="16"/>
                <w:szCs w:val="16"/>
              </w:rPr>
              <w:t xml:space="preserve">image de WIPO GREEN ou de WIPO </w:t>
            </w:r>
            <w:proofErr w:type="gramStart"/>
            <w:r w:rsidRPr="00A32AF4">
              <w:rPr>
                <w:rFonts w:cs="Arial"/>
                <w:sz w:val="16"/>
                <w:szCs w:val="16"/>
              </w:rPr>
              <w:t>Re:Search</w:t>
            </w:r>
            <w:proofErr w:type="gramEnd"/>
          </w:p>
        </w:tc>
        <w:tc>
          <w:tcPr>
            <w:tcW w:w="2380" w:type="dxa"/>
            <w:shd w:val="clear" w:color="auto" w:fill="auto"/>
            <w:tcMar>
              <w:top w:w="113" w:type="dxa"/>
              <w:bottom w:w="113" w:type="dxa"/>
            </w:tcMar>
            <w:hideMark/>
          </w:tcPr>
          <w:p w:rsidR="00877B63" w:rsidRPr="00A32AF4" w:rsidRDefault="00877B63" w:rsidP="00DC0553">
            <w:pPr>
              <w:rPr>
                <w:rFonts w:cs="Arial"/>
                <w:sz w:val="16"/>
                <w:szCs w:val="16"/>
              </w:rPr>
            </w:pPr>
            <w:r w:rsidRPr="00A32AF4">
              <w:rPr>
                <w:rFonts w:cs="Arial"/>
                <w:sz w:val="16"/>
                <w:szCs w:val="16"/>
              </w:rPr>
              <w:t xml:space="preserve">WIPO </w:t>
            </w:r>
            <w:r w:rsidR="00204F66" w:rsidRPr="00A32AF4">
              <w:rPr>
                <w:rFonts w:cs="Arial"/>
                <w:sz w:val="16"/>
                <w:szCs w:val="16"/>
              </w:rPr>
              <w:t>GREEN</w:t>
            </w:r>
          </w:p>
          <w:p w:rsidR="00877B63" w:rsidRPr="00A32AF4" w:rsidRDefault="00877B63" w:rsidP="00DC0553">
            <w:pPr>
              <w:rPr>
                <w:rFonts w:cs="Arial"/>
                <w:sz w:val="16"/>
                <w:szCs w:val="16"/>
              </w:rPr>
            </w:pPr>
            <w:r w:rsidRPr="00A32AF4">
              <w:rPr>
                <w:rFonts w:cs="Arial"/>
                <w:sz w:val="16"/>
                <w:szCs w:val="16"/>
              </w:rPr>
              <w:t>21 (Bureau de l</w:t>
            </w:r>
            <w:r w:rsidR="00E2055A" w:rsidRPr="00A32AF4">
              <w:rPr>
                <w:rFonts w:cs="Arial"/>
                <w:sz w:val="16"/>
                <w:szCs w:val="16"/>
              </w:rPr>
              <w:t>’</w:t>
            </w:r>
            <w:r w:rsidRPr="00A32AF4">
              <w:rPr>
                <w:rFonts w:cs="Arial"/>
                <w:sz w:val="16"/>
                <w:szCs w:val="16"/>
              </w:rPr>
              <w:t>OMPI à Singapour)</w:t>
            </w:r>
          </w:p>
          <w:p w:rsidR="00877B63" w:rsidRPr="00A32AF4" w:rsidRDefault="00877B63" w:rsidP="00DC0553">
            <w:pPr>
              <w:rPr>
                <w:rFonts w:cs="Arial"/>
                <w:sz w:val="16"/>
                <w:szCs w:val="16"/>
              </w:rPr>
            </w:pPr>
            <w:r w:rsidRPr="00A32AF4">
              <w:rPr>
                <w:rFonts w:cs="Arial"/>
                <w:sz w:val="16"/>
                <w:szCs w:val="16"/>
              </w:rPr>
              <w:t>48 pour la région Amérique latine et Caraïbes (Bureau de l</w:t>
            </w:r>
            <w:r w:rsidR="00E2055A" w:rsidRPr="00A32AF4">
              <w:rPr>
                <w:rFonts w:cs="Arial"/>
                <w:sz w:val="16"/>
                <w:szCs w:val="16"/>
              </w:rPr>
              <w:t>’</w:t>
            </w:r>
            <w:r w:rsidRPr="00A32AF4">
              <w:rPr>
                <w:rFonts w:cs="Arial"/>
                <w:sz w:val="16"/>
                <w:szCs w:val="16"/>
              </w:rPr>
              <w:t>OMPI au Brésil)</w:t>
            </w:r>
          </w:p>
          <w:p w:rsidR="00877B63" w:rsidRPr="00A32AF4" w:rsidRDefault="00877B63" w:rsidP="00DC0553">
            <w:pPr>
              <w:rPr>
                <w:rFonts w:cs="Arial"/>
                <w:sz w:val="16"/>
                <w:szCs w:val="16"/>
              </w:rPr>
            </w:pPr>
            <w:r w:rsidRPr="00A32AF4">
              <w:rPr>
                <w:rFonts w:cs="Arial"/>
                <w:sz w:val="16"/>
                <w:szCs w:val="16"/>
              </w:rPr>
              <w:t>45 (Bureau de l</w:t>
            </w:r>
            <w:r w:rsidR="00E2055A" w:rsidRPr="00A32AF4">
              <w:rPr>
                <w:rFonts w:cs="Arial"/>
                <w:sz w:val="16"/>
                <w:szCs w:val="16"/>
              </w:rPr>
              <w:t>’</w:t>
            </w:r>
            <w:r w:rsidRPr="00A32AF4">
              <w:rPr>
                <w:rFonts w:cs="Arial"/>
                <w:sz w:val="16"/>
                <w:szCs w:val="16"/>
              </w:rPr>
              <w:t>OMPI au Japon)</w:t>
            </w:r>
          </w:p>
          <w:p w:rsidR="00877B63" w:rsidRPr="00A32AF4" w:rsidRDefault="00877B63" w:rsidP="00DC0553">
            <w:pPr>
              <w:rPr>
                <w:rFonts w:cs="Arial"/>
                <w:sz w:val="16"/>
                <w:szCs w:val="16"/>
              </w:rPr>
            </w:pPr>
            <w:r w:rsidRPr="00A32AF4">
              <w:rPr>
                <w:rFonts w:cs="Arial"/>
                <w:sz w:val="16"/>
                <w:szCs w:val="16"/>
              </w:rPr>
              <w:t>1 (Bureau de l</w:t>
            </w:r>
            <w:r w:rsidR="00E2055A" w:rsidRPr="00A32AF4">
              <w:rPr>
                <w:rFonts w:cs="Arial"/>
                <w:sz w:val="16"/>
                <w:szCs w:val="16"/>
              </w:rPr>
              <w:t>’</w:t>
            </w:r>
            <w:r w:rsidRPr="00A32AF4">
              <w:rPr>
                <w:rFonts w:cs="Arial"/>
                <w:sz w:val="16"/>
                <w:szCs w:val="16"/>
              </w:rPr>
              <w:t>OMPI en Russie)</w:t>
            </w:r>
          </w:p>
          <w:p w:rsidR="00877B63" w:rsidRPr="00A32AF4" w:rsidRDefault="00877B63" w:rsidP="00DC0553">
            <w:pPr>
              <w:rPr>
                <w:rFonts w:cs="Arial"/>
                <w:sz w:val="16"/>
                <w:szCs w:val="16"/>
              </w:rPr>
            </w:pPr>
            <w:r w:rsidRPr="00A32AF4">
              <w:rPr>
                <w:rFonts w:cs="Arial"/>
                <w:sz w:val="16"/>
                <w:szCs w:val="16"/>
              </w:rPr>
              <w:t>29 (Bureau de l</w:t>
            </w:r>
            <w:r w:rsidR="00E2055A" w:rsidRPr="00A32AF4">
              <w:rPr>
                <w:rFonts w:cs="Arial"/>
                <w:sz w:val="16"/>
                <w:szCs w:val="16"/>
              </w:rPr>
              <w:t>’</w:t>
            </w:r>
            <w:r w:rsidRPr="00A32AF4">
              <w:rPr>
                <w:rFonts w:cs="Arial"/>
                <w:sz w:val="16"/>
                <w:szCs w:val="16"/>
              </w:rPr>
              <w:t>OMPI en Chine)</w:t>
            </w:r>
          </w:p>
          <w:p w:rsidR="00877B63" w:rsidRPr="00A32AF4" w:rsidRDefault="00877B63" w:rsidP="00DC0553">
            <w:pPr>
              <w:rPr>
                <w:rFonts w:cs="Arial"/>
                <w:sz w:val="16"/>
                <w:szCs w:val="16"/>
              </w:rPr>
            </w:pPr>
            <w:r w:rsidRPr="00A32AF4">
              <w:rPr>
                <w:rFonts w:cs="Arial"/>
                <w:sz w:val="16"/>
                <w:szCs w:val="16"/>
              </w:rPr>
              <w:t xml:space="preserve">WIPO </w:t>
            </w:r>
            <w:proofErr w:type="gramStart"/>
            <w:r w:rsidRPr="00A32AF4">
              <w:rPr>
                <w:rFonts w:cs="Arial"/>
                <w:sz w:val="16"/>
                <w:szCs w:val="16"/>
              </w:rPr>
              <w:t>Re:Search</w:t>
            </w:r>
            <w:proofErr w:type="gramEnd"/>
            <w:r w:rsidRPr="00A32AF4">
              <w:rPr>
                <w:rFonts w:cs="Arial"/>
                <w:sz w:val="16"/>
                <w:szCs w:val="16"/>
              </w:rPr>
              <w:t xml:space="preserve"> : s.o. </w:t>
            </w:r>
          </w:p>
        </w:tc>
        <w:tc>
          <w:tcPr>
            <w:tcW w:w="2055" w:type="dxa"/>
            <w:shd w:val="clear" w:color="auto" w:fill="auto"/>
            <w:tcMar>
              <w:top w:w="113" w:type="dxa"/>
              <w:bottom w:w="113" w:type="dxa"/>
            </w:tcMar>
            <w:hideMark/>
          </w:tcPr>
          <w:p w:rsidR="00877B63" w:rsidRPr="00A32AF4" w:rsidRDefault="00877B63" w:rsidP="00DC0553">
            <w:pPr>
              <w:rPr>
                <w:rFonts w:cs="Arial"/>
                <w:sz w:val="16"/>
                <w:szCs w:val="16"/>
              </w:rPr>
            </w:pPr>
            <w:r w:rsidRPr="00A32AF4">
              <w:rPr>
                <w:rFonts w:cs="Arial"/>
                <w:sz w:val="16"/>
                <w:szCs w:val="16"/>
              </w:rPr>
              <w:t xml:space="preserve">Une augmentation de 20% pour WIPO </w:t>
            </w:r>
            <w:r w:rsidR="00204F66" w:rsidRPr="00A32AF4">
              <w:rPr>
                <w:rFonts w:cs="Arial"/>
                <w:sz w:val="16"/>
                <w:szCs w:val="16"/>
              </w:rPr>
              <w:t xml:space="preserve">GREEN </w:t>
            </w:r>
            <w:r w:rsidRPr="00A32AF4">
              <w:rPr>
                <w:rFonts w:cs="Arial"/>
                <w:sz w:val="16"/>
                <w:szCs w:val="16"/>
              </w:rPr>
              <w:t xml:space="preserve">et </w:t>
            </w:r>
            <w:proofErr w:type="gramStart"/>
            <w:r w:rsidRPr="00A32AF4">
              <w:rPr>
                <w:rFonts w:cs="Arial"/>
                <w:sz w:val="16"/>
                <w:szCs w:val="16"/>
              </w:rPr>
              <w:t>Re:Search</w:t>
            </w:r>
            <w:proofErr w:type="gramEnd"/>
          </w:p>
          <w:p w:rsidR="00877B63" w:rsidRPr="00A32AF4" w:rsidRDefault="00877B63" w:rsidP="00DC0553">
            <w:pPr>
              <w:rPr>
                <w:rFonts w:cs="Arial"/>
                <w:sz w:val="16"/>
                <w:szCs w:val="16"/>
              </w:rPr>
            </w:pPr>
            <w:r w:rsidRPr="00A32AF4">
              <w:rPr>
                <w:rFonts w:cs="Arial"/>
                <w:sz w:val="16"/>
                <w:szCs w:val="16"/>
              </w:rPr>
              <w:t>(tous bureaux confondus)</w:t>
            </w:r>
          </w:p>
        </w:tc>
      </w:tr>
      <w:tr w:rsidR="00877B63" w:rsidRPr="00A32AF4" w:rsidTr="00D27E4C">
        <w:trPr>
          <w:cantSplit/>
        </w:trPr>
        <w:tc>
          <w:tcPr>
            <w:tcW w:w="2380" w:type="dxa"/>
            <w:shd w:val="clear" w:color="auto" w:fill="auto"/>
            <w:tcMar>
              <w:top w:w="113" w:type="dxa"/>
              <w:bottom w:w="113" w:type="dxa"/>
            </w:tcMar>
            <w:hideMark/>
          </w:tcPr>
          <w:p w:rsidR="00877B63" w:rsidRPr="00A32AF4" w:rsidRDefault="00877B63" w:rsidP="00DC0553">
            <w:pPr>
              <w:rPr>
                <w:rFonts w:cs="Arial"/>
                <w:sz w:val="16"/>
                <w:szCs w:val="16"/>
              </w:rPr>
            </w:pPr>
            <w:r w:rsidRPr="00A32AF4">
              <w:rPr>
                <w:rFonts w:cs="Arial"/>
                <w:sz w:val="16"/>
                <w:szCs w:val="16"/>
              </w:rPr>
              <w:t>VIII.1 Communication plus efficace avec le grand public concernant la propriété intellectuelle et le rôle de l</w:t>
            </w:r>
            <w:r w:rsidR="00E2055A" w:rsidRPr="00A32AF4">
              <w:rPr>
                <w:rFonts w:cs="Arial"/>
                <w:sz w:val="16"/>
                <w:szCs w:val="16"/>
              </w:rPr>
              <w:t>’</w:t>
            </w:r>
            <w:r w:rsidRPr="00A32AF4">
              <w:rPr>
                <w:rFonts w:cs="Arial"/>
                <w:sz w:val="16"/>
                <w:szCs w:val="16"/>
              </w:rPr>
              <w:t>OMPI</w:t>
            </w:r>
          </w:p>
        </w:tc>
        <w:tc>
          <w:tcPr>
            <w:tcW w:w="2380" w:type="dxa"/>
            <w:shd w:val="clear" w:color="auto" w:fill="auto"/>
            <w:tcMar>
              <w:top w:w="113" w:type="dxa"/>
              <w:bottom w:w="113" w:type="dxa"/>
            </w:tcMar>
            <w:hideMark/>
          </w:tcPr>
          <w:p w:rsidR="00877B63" w:rsidRPr="00A32AF4" w:rsidRDefault="00877B63" w:rsidP="00DC0553">
            <w:pPr>
              <w:rPr>
                <w:rFonts w:cs="Arial"/>
                <w:sz w:val="16"/>
                <w:szCs w:val="16"/>
              </w:rPr>
            </w:pPr>
            <w:r w:rsidRPr="00A32AF4">
              <w:rPr>
                <w:rFonts w:cs="Arial"/>
                <w:sz w:val="16"/>
                <w:szCs w:val="16"/>
              </w:rPr>
              <w:t>Augmentation de la fréquentation du site Web des bureaux extérieurs de l</w:t>
            </w:r>
            <w:r w:rsidR="00E2055A" w:rsidRPr="00A32AF4">
              <w:rPr>
                <w:rFonts w:cs="Arial"/>
                <w:sz w:val="16"/>
                <w:szCs w:val="16"/>
              </w:rPr>
              <w:t>’</w:t>
            </w:r>
            <w:r w:rsidRPr="00A32AF4">
              <w:rPr>
                <w:rFonts w:cs="Arial"/>
                <w:sz w:val="16"/>
                <w:szCs w:val="16"/>
              </w:rPr>
              <w:t>OMPI</w:t>
            </w:r>
          </w:p>
        </w:tc>
        <w:tc>
          <w:tcPr>
            <w:tcW w:w="2380" w:type="dxa"/>
            <w:shd w:val="clear" w:color="auto" w:fill="auto"/>
            <w:tcMar>
              <w:top w:w="113" w:type="dxa"/>
              <w:bottom w:w="113" w:type="dxa"/>
            </w:tcMar>
            <w:hideMark/>
          </w:tcPr>
          <w:p w:rsidR="00877B63" w:rsidRPr="00A32AF4" w:rsidRDefault="00702CE5" w:rsidP="00DC0553">
            <w:pPr>
              <w:rPr>
                <w:rFonts w:cs="Arial"/>
                <w:sz w:val="16"/>
                <w:szCs w:val="16"/>
              </w:rPr>
            </w:pPr>
            <w:r w:rsidRPr="00A32AF4">
              <w:rPr>
                <w:rFonts w:cs="Arial"/>
                <w:sz w:val="16"/>
                <w:szCs w:val="16"/>
              </w:rPr>
              <w:t>9</w:t>
            </w:r>
            <w:r w:rsidR="00877B63" w:rsidRPr="00A32AF4">
              <w:rPr>
                <w:rFonts w:cs="Arial"/>
                <w:sz w:val="16"/>
                <w:szCs w:val="16"/>
              </w:rPr>
              <w:t>882 (Bureau de l</w:t>
            </w:r>
            <w:r w:rsidR="00E2055A" w:rsidRPr="00A32AF4">
              <w:rPr>
                <w:rFonts w:cs="Arial"/>
                <w:sz w:val="16"/>
                <w:szCs w:val="16"/>
              </w:rPr>
              <w:t>’</w:t>
            </w:r>
            <w:r w:rsidR="00877B63" w:rsidRPr="00A32AF4">
              <w:rPr>
                <w:rFonts w:cs="Arial"/>
                <w:sz w:val="16"/>
                <w:szCs w:val="16"/>
              </w:rPr>
              <w:t>OMPI à Singapour</w:t>
            </w:r>
            <w:proofErr w:type="gramStart"/>
            <w:r w:rsidR="00877B63" w:rsidRPr="00A32AF4">
              <w:rPr>
                <w:rFonts w:cs="Arial"/>
                <w:sz w:val="16"/>
                <w:szCs w:val="16"/>
              </w:rPr>
              <w:t>)</w:t>
            </w:r>
            <w:proofErr w:type="gramEnd"/>
            <w:r w:rsidR="00877B63" w:rsidRPr="00A32AF4">
              <w:rPr>
                <w:rFonts w:cs="Arial"/>
                <w:sz w:val="16"/>
                <w:szCs w:val="16"/>
              </w:rPr>
              <w:br/>
              <w:t>Bureau de l</w:t>
            </w:r>
            <w:r w:rsidR="00E2055A" w:rsidRPr="00A32AF4">
              <w:rPr>
                <w:rFonts w:cs="Arial"/>
                <w:sz w:val="16"/>
                <w:szCs w:val="16"/>
              </w:rPr>
              <w:t>’</w:t>
            </w:r>
            <w:r w:rsidR="00877B63" w:rsidRPr="00A32AF4">
              <w:rPr>
                <w:rFonts w:cs="Arial"/>
                <w:sz w:val="16"/>
                <w:szCs w:val="16"/>
              </w:rPr>
              <w:t>OMPI au Brésil et Bureau de l</w:t>
            </w:r>
            <w:r w:rsidR="00E2055A" w:rsidRPr="00A32AF4">
              <w:rPr>
                <w:rFonts w:cs="Arial"/>
                <w:sz w:val="16"/>
                <w:szCs w:val="16"/>
              </w:rPr>
              <w:t>’</w:t>
            </w:r>
            <w:r w:rsidR="00877B63" w:rsidRPr="00A32AF4">
              <w:rPr>
                <w:rFonts w:cs="Arial"/>
                <w:sz w:val="16"/>
                <w:szCs w:val="16"/>
              </w:rPr>
              <w:t>OMPI au Japon : à déterminer</w:t>
            </w:r>
          </w:p>
          <w:p w:rsidR="00877B63" w:rsidRPr="00A32AF4" w:rsidRDefault="00877B63" w:rsidP="00DC0553">
            <w:pPr>
              <w:rPr>
                <w:rFonts w:cs="Arial"/>
                <w:sz w:val="16"/>
                <w:szCs w:val="16"/>
              </w:rPr>
            </w:pPr>
            <w:r w:rsidRPr="00A32AF4">
              <w:rPr>
                <w:rFonts w:cs="Arial"/>
                <w:sz w:val="16"/>
                <w:szCs w:val="16"/>
              </w:rPr>
              <w:t>0 (Bureau de l</w:t>
            </w:r>
            <w:r w:rsidR="00E2055A" w:rsidRPr="00A32AF4">
              <w:rPr>
                <w:rFonts w:cs="Arial"/>
                <w:sz w:val="16"/>
                <w:szCs w:val="16"/>
              </w:rPr>
              <w:t>’</w:t>
            </w:r>
            <w:r w:rsidRPr="00A32AF4">
              <w:rPr>
                <w:rFonts w:cs="Arial"/>
                <w:sz w:val="16"/>
                <w:szCs w:val="16"/>
              </w:rPr>
              <w:t>OMPI en Russie)</w:t>
            </w:r>
          </w:p>
          <w:p w:rsidR="00877B63" w:rsidRPr="00A32AF4" w:rsidRDefault="00877B63" w:rsidP="00DC0553">
            <w:pPr>
              <w:rPr>
                <w:rFonts w:cs="Arial"/>
                <w:sz w:val="16"/>
                <w:szCs w:val="16"/>
              </w:rPr>
            </w:pPr>
            <w:r w:rsidRPr="00A32AF4">
              <w:rPr>
                <w:rFonts w:cs="Arial"/>
                <w:sz w:val="16"/>
                <w:szCs w:val="16"/>
              </w:rPr>
              <w:t>0 (Bureau de l</w:t>
            </w:r>
            <w:r w:rsidR="00E2055A" w:rsidRPr="00A32AF4">
              <w:rPr>
                <w:rFonts w:cs="Arial"/>
                <w:sz w:val="16"/>
                <w:szCs w:val="16"/>
              </w:rPr>
              <w:t>’</w:t>
            </w:r>
            <w:r w:rsidRPr="00A32AF4">
              <w:rPr>
                <w:rFonts w:cs="Arial"/>
                <w:sz w:val="16"/>
                <w:szCs w:val="16"/>
              </w:rPr>
              <w:t>OMPI en Chine)</w:t>
            </w:r>
          </w:p>
        </w:tc>
        <w:tc>
          <w:tcPr>
            <w:tcW w:w="2055" w:type="dxa"/>
            <w:shd w:val="clear" w:color="auto" w:fill="auto"/>
            <w:tcMar>
              <w:top w:w="113" w:type="dxa"/>
              <w:bottom w:w="113" w:type="dxa"/>
            </w:tcMar>
            <w:hideMark/>
          </w:tcPr>
          <w:p w:rsidR="00877B63" w:rsidRPr="00A32AF4" w:rsidRDefault="00877B63" w:rsidP="00DC0553">
            <w:pPr>
              <w:rPr>
                <w:rFonts w:cs="Arial"/>
                <w:sz w:val="16"/>
                <w:szCs w:val="16"/>
              </w:rPr>
            </w:pPr>
            <w:r w:rsidRPr="00A32AF4">
              <w:rPr>
                <w:rFonts w:cs="Arial"/>
                <w:sz w:val="16"/>
                <w:szCs w:val="16"/>
              </w:rPr>
              <w:t>Une croissance de 5% tous bureaux confondus</w:t>
            </w:r>
          </w:p>
        </w:tc>
      </w:tr>
      <w:tr w:rsidR="00877B63" w:rsidRPr="00A32AF4" w:rsidTr="00D27E4C">
        <w:trPr>
          <w:cantSplit/>
        </w:trPr>
        <w:tc>
          <w:tcPr>
            <w:tcW w:w="2380" w:type="dxa"/>
            <w:shd w:val="clear" w:color="auto" w:fill="auto"/>
            <w:tcMar>
              <w:top w:w="113" w:type="dxa"/>
              <w:bottom w:w="113" w:type="dxa"/>
            </w:tcMar>
            <w:hideMark/>
          </w:tcPr>
          <w:p w:rsidR="00877B63" w:rsidRPr="00A32AF4" w:rsidRDefault="00877B63" w:rsidP="00DC0553">
            <w:pPr>
              <w:rPr>
                <w:rFonts w:cs="Arial"/>
                <w:sz w:val="16"/>
                <w:szCs w:val="16"/>
              </w:rPr>
            </w:pPr>
            <w:r w:rsidRPr="00A32AF4">
              <w:rPr>
                <w:rFonts w:cs="Arial"/>
                <w:sz w:val="16"/>
                <w:szCs w:val="16"/>
              </w:rPr>
              <w:t>VIII.2 Amélioration de l</w:t>
            </w:r>
            <w:r w:rsidR="00E2055A" w:rsidRPr="00A32AF4">
              <w:rPr>
                <w:rFonts w:cs="Arial"/>
                <w:sz w:val="16"/>
                <w:szCs w:val="16"/>
              </w:rPr>
              <w:t>’</w:t>
            </w:r>
            <w:r w:rsidRPr="00A32AF4">
              <w:rPr>
                <w:rFonts w:cs="Arial"/>
                <w:sz w:val="16"/>
                <w:szCs w:val="16"/>
              </w:rPr>
              <w:t>orientation vers les services et de la réactivité à la demande</w:t>
            </w:r>
          </w:p>
        </w:tc>
        <w:tc>
          <w:tcPr>
            <w:tcW w:w="2380" w:type="dxa"/>
            <w:shd w:val="clear" w:color="auto" w:fill="auto"/>
            <w:tcMar>
              <w:top w:w="113" w:type="dxa"/>
              <w:bottom w:w="113" w:type="dxa"/>
            </w:tcMar>
            <w:hideMark/>
          </w:tcPr>
          <w:p w:rsidR="00877B63" w:rsidRPr="00A32AF4" w:rsidRDefault="00877B63" w:rsidP="00DC0553">
            <w:pPr>
              <w:rPr>
                <w:rFonts w:cs="Arial"/>
                <w:sz w:val="16"/>
                <w:szCs w:val="16"/>
              </w:rPr>
            </w:pPr>
            <w:r w:rsidRPr="00A32AF4">
              <w:rPr>
                <w:rFonts w:cs="Arial"/>
                <w:sz w:val="16"/>
                <w:szCs w:val="16"/>
              </w:rPr>
              <w:t>Durée de traitement des demandes de renseignements</w:t>
            </w:r>
          </w:p>
        </w:tc>
        <w:tc>
          <w:tcPr>
            <w:tcW w:w="2380" w:type="dxa"/>
            <w:shd w:val="clear" w:color="auto" w:fill="auto"/>
            <w:tcMar>
              <w:top w:w="113" w:type="dxa"/>
              <w:bottom w:w="113" w:type="dxa"/>
            </w:tcMar>
            <w:hideMark/>
          </w:tcPr>
          <w:p w:rsidR="00877B63" w:rsidRPr="00A32AF4" w:rsidRDefault="00877B63" w:rsidP="00DC0553">
            <w:pPr>
              <w:rPr>
                <w:rFonts w:cs="Arial"/>
                <w:sz w:val="16"/>
                <w:szCs w:val="16"/>
              </w:rPr>
            </w:pPr>
            <w:r w:rsidRPr="00A32AF4">
              <w:rPr>
                <w:rFonts w:cs="Arial"/>
                <w:sz w:val="16"/>
                <w:szCs w:val="16"/>
              </w:rPr>
              <w:t>48 heures (tous bureaux confondus)</w:t>
            </w:r>
          </w:p>
        </w:tc>
        <w:tc>
          <w:tcPr>
            <w:tcW w:w="2055" w:type="dxa"/>
            <w:shd w:val="clear" w:color="auto" w:fill="auto"/>
            <w:tcMar>
              <w:top w:w="113" w:type="dxa"/>
              <w:bottom w:w="113" w:type="dxa"/>
            </w:tcMar>
            <w:hideMark/>
          </w:tcPr>
          <w:p w:rsidR="00877B63" w:rsidRPr="00A32AF4" w:rsidRDefault="00877B63" w:rsidP="00DC0553">
            <w:pPr>
              <w:rPr>
                <w:rFonts w:cs="Arial"/>
                <w:sz w:val="16"/>
                <w:szCs w:val="16"/>
              </w:rPr>
            </w:pPr>
            <w:r w:rsidRPr="00A32AF4">
              <w:rPr>
                <w:rFonts w:cs="Arial"/>
                <w:sz w:val="16"/>
                <w:szCs w:val="16"/>
              </w:rPr>
              <w:t>36 heures (tous bureaux confondus)</w:t>
            </w:r>
          </w:p>
        </w:tc>
      </w:tr>
      <w:tr w:rsidR="00877B63" w:rsidRPr="00A32AF4" w:rsidTr="00D27E4C">
        <w:trPr>
          <w:cantSplit/>
        </w:trPr>
        <w:tc>
          <w:tcPr>
            <w:tcW w:w="2380" w:type="dxa"/>
            <w:shd w:val="clear" w:color="auto" w:fill="auto"/>
            <w:tcMar>
              <w:top w:w="113" w:type="dxa"/>
              <w:bottom w:w="113" w:type="dxa"/>
            </w:tcMar>
            <w:hideMark/>
          </w:tcPr>
          <w:p w:rsidR="00877B63" w:rsidRPr="00A32AF4" w:rsidRDefault="00877B63" w:rsidP="00DC0553">
            <w:pPr>
              <w:rPr>
                <w:rFonts w:cs="Arial"/>
                <w:sz w:val="16"/>
                <w:szCs w:val="16"/>
              </w:rPr>
            </w:pPr>
            <w:r w:rsidRPr="00A32AF4">
              <w:rPr>
                <w:rFonts w:cs="Arial"/>
                <w:sz w:val="16"/>
                <w:szCs w:val="16"/>
              </w:rPr>
              <w:t>VIII.5 L</w:t>
            </w:r>
            <w:r w:rsidR="00E2055A" w:rsidRPr="00A32AF4">
              <w:rPr>
                <w:rFonts w:cs="Arial"/>
                <w:sz w:val="16"/>
                <w:szCs w:val="16"/>
              </w:rPr>
              <w:t>’</w:t>
            </w:r>
            <w:r w:rsidRPr="00A32AF4">
              <w:rPr>
                <w:rFonts w:cs="Arial"/>
                <w:sz w:val="16"/>
                <w:szCs w:val="16"/>
              </w:rPr>
              <w:t>OMPI collabore efficacement avec d</w:t>
            </w:r>
            <w:r w:rsidR="00E2055A" w:rsidRPr="00A32AF4">
              <w:rPr>
                <w:rFonts w:cs="Arial"/>
                <w:sz w:val="16"/>
                <w:szCs w:val="16"/>
              </w:rPr>
              <w:t>’</w:t>
            </w:r>
            <w:r w:rsidRPr="00A32AF4">
              <w:rPr>
                <w:rFonts w:cs="Arial"/>
                <w:sz w:val="16"/>
                <w:szCs w:val="16"/>
              </w:rPr>
              <w:t>autres processus et instances de négociation de l</w:t>
            </w:r>
            <w:r w:rsidR="00E2055A" w:rsidRPr="00A32AF4">
              <w:rPr>
                <w:rFonts w:cs="Arial"/>
                <w:sz w:val="16"/>
                <w:szCs w:val="16"/>
              </w:rPr>
              <w:t>’</w:t>
            </w:r>
            <w:r w:rsidRPr="00A32AF4">
              <w:rPr>
                <w:rFonts w:cs="Arial"/>
                <w:sz w:val="16"/>
                <w:szCs w:val="16"/>
              </w:rPr>
              <w:t>ONU et d</w:t>
            </w:r>
            <w:r w:rsidR="00E2055A" w:rsidRPr="00A32AF4">
              <w:rPr>
                <w:rFonts w:cs="Arial"/>
                <w:sz w:val="16"/>
                <w:szCs w:val="16"/>
              </w:rPr>
              <w:t>’</w:t>
            </w:r>
            <w:r w:rsidRPr="00A32AF4">
              <w:rPr>
                <w:rFonts w:cs="Arial"/>
                <w:sz w:val="16"/>
                <w:szCs w:val="16"/>
              </w:rPr>
              <w:t>autres organisations intergouvernementales</w:t>
            </w:r>
          </w:p>
        </w:tc>
        <w:tc>
          <w:tcPr>
            <w:tcW w:w="2380" w:type="dxa"/>
            <w:shd w:val="clear" w:color="auto" w:fill="auto"/>
            <w:tcMar>
              <w:top w:w="113" w:type="dxa"/>
              <w:bottom w:w="113" w:type="dxa"/>
            </w:tcMar>
            <w:hideMark/>
          </w:tcPr>
          <w:p w:rsidR="00877B63" w:rsidRPr="00A32AF4" w:rsidRDefault="00877B63" w:rsidP="00DC0553">
            <w:pPr>
              <w:rPr>
                <w:rFonts w:cs="Arial"/>
                <w:sz w:val="16"/>
                <w:szCs w:val="16"/>
              </w:rPr>
            </w:pPr>
            <w:r w:rsidRPr="00A32AF4">
              <w:rPr>
                <w:rFonts w:cs="Arial"/>
                <w:sz w:val="16"/>
                <w:szCs w:val="16"/>
              </w:rPr>
              <w:t>Nombre d</w:t>
            </w:r>
            <w:r w:rsidR="00E2055A" w:rsidRPr="00A32AF4">
              <w:rPr>
                <w:rFonts w:cs="Arial"/>
                <w:sz w:val="16"/>
                <w:szCs w:val="16"/>
              </w:rPr>
              <w:t>’</w:t>
            </w:r>
            <w:r w:rsidRPr="00A32AF4">
              <w:rPr>
                <w:rFonts w:cs="Arial"/>
                <w:sz w:val="16"/>
                <w:szCs w:val="16"/>
              </w:rPr>
              <w:t>activités communes avec le Secrétariat de l</w:t>
            </w:r>
            <w:r w:rsidR="00E2055A" w:rsidRPr="00A32AF4">
              <w:rPr>
                <w:rFonts w:cs="Arial"/>
                <w:sz w:val="16"/>
                <w:szCs w:val="16"/>
              </w:rPr>
              <w:t>’</w:t>
            </w:r>
            <w:r w:rsidRPr="00A32AF4">
              <w:rPr>
                <w:rFonts w:cs="Arial"/>
                <w:sz w:val="16"/>
                <w:szCs w:val="16"/>
              </w:rPr>
              <w:t>ASEAN, l</w:t>
            </w:r>
            <w:r w:rsidR="00E2055A" w:rsidRPr="00A32AF4">
              <w:rPr>
                <w:rFonts w:cs="Arial"/>
                <w:sz w:val="16"/>
                <w:szCs w:val="16"/>
              </w:rPr>
              <w:t>’</w:t>
            </w:r>
            <w:r w:rsidRPr="00A32AF4">
              <w:rPr>
                <w:rFonts w:cs="Arial"/>
                <w:sz w:val="16"/>
                <w:szCs w:val="16"/>
              </w:rPr>
              <w:t>OHMI</w:t>
            </w:r>
            <w:r w:rsidR="00EB7F54" w:rsidRPr="00A32AF4">
              <w:rPr>
                <w:rFonts w:cs="Arial"/>
                <w:sz w:val="16"/>
                <w:szCs w:val="16"/>
              </w:rPr>
              <w:noBreakHyphen/>
            </w:r>
            <w:r w:rsidRPr="00A32AF4">
              <w:rPr>
                <w:rFonts w:cs="Arial"/>
                <w:sz w:val="16"/>
                <w:szCs w:val="16"/>
              </w:rPr>
              <w:t>ECAP, la Fondation Asie</w:t>
            </w:r>
            <w:r w:rsidR="00EB7F54" w:rsidRPr="00A32AF4">
              <w:rPr>
                <w:rFonts w:cs="Arial"/>
                <w:sz w:val="16"/>
                <w:szCs w:val="16"/>
              </w:rPr>
              <w:noBreakHyphen/>
            </w:r>
            <w:r w:rsidRPr="00A32AF4">
              <w:rPr>
                <w:rFonts w:cs="Arial"/>
                <w:sz w:val="16"/>
                <w:szCs w:val="16"/>
              </w:rPr>
              <w:t>Europe et l</w:t>
            </w:r>
            <w:r w:rsidR="00E2055A" w:rsidRPr="00A32AF4">
              <w:rPr>
                <w:rFonts w:cs="Arial"/>
                <w:sz w:val="16"/>
                <w:szCs w:val="16"/>
              </w:rPr>
              <w:t>’</w:t>
            </w:r>
            <w:r w:rsidRPr="00A32AF4">
              <w:rPr>
                <w:rFonts w:cs="Arial"/>
                <w:sz w:val="16"/>
                <w:szCs w:val="16"/>
              </w:rPr>
              <w:t>AANZFTA</w:t>
            </w:r>
          </w:p>
        </w:tc>
        <w:tc>
          <w:tcPr>
            <w:tcW w:w="2380" w:type="dxa"/>
            <w:shd w:val="clear" w:color="auto" w:fill="auto"/>
            <w:tcMar>
              <w:top w:w="113" w:type="dxa"/>
              <w:bottom w:w="113" w:type="dxa"/>
            </w:tcMar>
            <w:hideMark/>
          </w:tcPr>
          <w:p w:rsidR="00877B63" w:rsidRPr="00A32AF4" w:rsidRDefault="00877B63" w:rsidP="00DC0553">
            <w:pPr>
              <w:rPr>
                <w:rFonts w:cs="Arial"/>
                <w:sz w:val="16"/>
                <w:szCs w:val="16"/>
              </w:rPr>
            </w:pPr>
            <w:r w:rsidRPr="00A32AF4">
              <w:rPr>
                <w:rFonts w:cs="Arial"/>
                <w:sz w:val="16"/>
                <w:szCs w:val="16"/>
              </w:rPr>
              <w:t>11 (Bureau de l</w:t>
            </w:r>
            <w:r w:rsidR="00E2055A" w:rsidRPr="00A32AF4">
              <w:rPr>
                <w:rFonts w:cs="Arial"/>
                <w:sz w:val="16"/>
                <w:szCs w:val="16"/>
              </w:rPr>
              <w:t>’</w:t>
            </w:r>
            <w:r w:rsidRPr="00A32AF4">
              <w:rPr>
                <w:rFonts w:cs="Arial"/>
                <w:sz w:val="16"/>
                <w:szCs w:val="16"/>
              </w:rPr>
              <w:t>OMPI à Singapour)</w:t>
            </w:r>
          </w:p>
        </w:tc>
        <w:tc>
          <w:tcPr>
            <w:tcW w:w="2055" w:type="dxa"/>
            <w:shd w:val="clear" w:color="auto" w:fill="auto"/>
            <w:tcMar>
              <w:top w:w="113" w:type="dxa"/>
              <w:bottom w:w="113" w:type="dxa"/>
            </w:tcMar>
            <w:hideMark/>
          </w:tcPr>
          <w:p w:rsidR="00877B63" w:rsidRPr="00A32AF4" w:rsidRDefault="00877B63" w:rsidP="00DC0553">
            <w:pPr>
              <w:rPr>
                <w:rFonts w:cs="Arial"/>
                <w:sz w:val="16"/>
                <w:szCs w:val="16"/>
              </w:rPr>
            </w:pPr>
            <w:r w:rsidRPr="00A32AF4">
              <w:rPr>
                <w:rFonts w:cs="Arial"/>
                <w:sz w:val="16"/>
                <w:szCs w:val="16"/>
              </w:rPr>
              <w:t>8 supplémentaires</w:t>
            </w:r>
          </w:p>
        </w:tc>
      </w:tr>
    </w:tbl>
    <w:p w:rsidR="00877B63" w:rsidRPr="00A32AF4" w:rsidRDefault="00877B63" w:rsidP="00DC0553">
      <w:pPr>
        <w:jc w:val="both"/>
        <w:rPr>
          <w:rFonts w:cs="Arial"/>
          <w:lang w:eastAsia="zh-CN"/>
        </w:rPr>
      </w:pPr>
    </w:p>
    <w:p w:rsidR="00877B63" w:rsidRPr="00A32AF4" w:rsidRDefault="00877B63" w:rsidP="00DC0553">
      <w:pPr>
        <w:jc w:val="both"/>
        <w:rPr>
          <w:rFonts w:cs="Arial"/>
          <w:lang w:eastAsia="zh-CN"/>
        </w:rPr>
      </w:pPr>
    </w:p>
    <w:p w:rsidR="00F93B76" w:rsidRPr="00A32AF4" w:rsidRDefault="00DC2AF7" w:rsidP="00DC0553">
      <w:pPr>
        <w:rPr>
          <w:lang w:eastAsia="da-DK"/>
        </w:rPr>
      </w:pPr>
      <w:r w:rsidRPr="00A32AF4">
        <w:rPr>
          <w:lang w:eastAsia="da-DK"/>
        </w:rPr>
        <w:t>RESSOURCES ALLOUÉES AU PROGRAMME</w:t>
      </w:r>
      <w:r w:rsidR="008F6432" w:rsidRPr="00A32AF4">
        <w:rPr>
          <w:lang w:eastAsia="da-DK"/>
        </w:rPr>
        <w:t xml:space="preserve"> 20</w:t>
      </w:r>
    </w:p>
    <w:p w:rsidR="00894828" w:rsidRPr="00A32AF4" w:rsidRDefault="00894828" w:rsidP="00DC0553">
      <w:pPr>
        <w:rPr>
          <w:lang w:eastAsia="da-DK"/>
        </w:rPr>
      </w:pPr>
    </w:p>
    <w:p w:rsidR="00894828" w:rsidRPr="00A32AF4" w:rsidRDefault="00A32AF4" w:rsidP="00F87292">
      <w:pPr>
        <w:numPr>
          <w:ilvl w:val="0"/>
          <w:numId w:val="61"/>
        </w:numPr>
        <w:jc w:val="both"/>
        <w:rPr>
          <w:rFonts w:cs="Arial"/>
        </w:rPr>
      </w:pPr>
      <w:r w:rsidRPr="00A32AF4">
        <w:rPr>
          <w:rFonts w:cs="Arial"/>
        </w:rPr>
        <w:t>Les ressources nécessaires pour conserver au cours de l’exercice biennal 2016-2017 le modèle opérationnel actuel du bureau de l’OMPI à New York seront garanties moyennant les économies réalisées et les mesures de maîtrise des coûts mises en œuvre dans le cadre de la mise en œuvre générale du programme et budget de l’OMPI.</w:t>
      </w:r>
    </w:p>
    <w:p w:rsidR="007F6CD1" w:rsidRPr="00A32AF4" w:rsidRDefault="007F6CD1" w:rsidP="007F6CD1">
      <w:pPr>
        <w:jc w:val="both"/>
        <w:rPr>
          <w:rFonts w:cs="Arial"/>
        </w:rPr>
      </w:pPr>
    </w:p>
    <w:p w:rsidR="00037728" w:rsidRPr="00A32AF4" w:rsidRDefault="00037728" w:rsidP="007F6CD1">
      <w:pPr>
        <w:numPr>
          <w:ilvl w:val="0"/>
          <w:numId w:val="61"/>
        </w:numPr>
        <w:jc w:val="both"/>
        <w:rPr>
          <w:rFonts w:cs="Arial"/>
        </w:rPr>
      </w:pPr>
      <w:r w:rsidRPr="00A32AF4">
        <w:rPr>
          <w:rFonts w:cs="Arial"/>
        </w:rPr>
        <w:t xml:space="preserve">Les variations </w:t>
      </w:r>
      <w:r w:rsidR="000D5E3D" w:rsidRPr="00A32AF4">
        <w:rPr>
          <w:rFonts w:cs="Arial"/>
        </w:rPr>
        <w:t xml:space="preserve">en ce qui concerne les ressources </w:t>
      </w:r>
      <w:r w:rsidRPr="00A32AF4">
        <w:rPr>
          <w:rFonts w:cs="Arial"/>
        </w:rPr>
        <w:t xml:space="preserve">entre les résultats escomptés </w:t>
      </w:r>
      <w:r w:rsidRPr="00A32AF4">
        <w:rPr>
          <w:rFonts w:cs="Arial"/>
          <w:bCs/>
        </w:rPr>
        <w:t>par rapport</w:t>
      </w:r>
      <w:r w:rsidRPr="00A32AF4">
        <w:rPr>
          <w:rFonts w:cs="Arial"/>
        </w:rPr>
        <w:t xml:space="preserve"> au budget 2014</w:t>
      </w:r>
      <w:r w:rsidR="00EB7F54" w:rsidRPr="00A32AF4">
        <w:rPr>
          <w:rFonts w:cs="Arial"/>
        </w:rPr>
        <w:noBreakHyphen/>
      </w:r>
      <w:r w:rsidRPr="00A32AF4">
        <w:rPr>
          <w:rFonts w:cs="Arial"/>
        </w:rPr>
        <w:t xml:space="preserve">2015 après virements sont principalement </w:t>
      </w:r>
      <w:r w:rsidR="00577E24" w:rsidRPr="00A32AF4">
        <w:rPr>
          <w:rFonts w:cs="Arial"/>
        </w:rPr>
        <w:t>dues</w:t>
      </w:r>
      <w:r w:rsidR="00025F2F" w:rsidRPr="00A32AF4">
        <w:rPr>
          <w:rFonts w:cs="Arial"/>
        </w:rPr>
        <w:t xml:space="preserve"> à </w:t>
      </w:r>
      <w:r w:rsidRPr="00A32AF4">
        <w:rPr>
          <w:rFonts w:cs="Arial"/>
        </w:rPr>
        <w:t xml:space="preserve">un alignement plus </w:t>
      </w:r>
      <w:r w:rsidR="00025F2F" w:rsidRPr="00A32AF4">
        <w:rPr>
          <w:rFonts w:cs="Arial"/>
        </w:rPr>
        <w:t>précis</w:t>
      </w:r>
      <w:r w:rsidRPr="00A32AF4">
        <w:rPr>
          <w:rFonts w:cs="Arial"/>
        </w:rPr>
        <w:t xml:space="preserve"> des ressources </w:t>
      </w:r>
      <w:r w:rsidR="00712284" w:rsidRPr="00A32AF4">
        <w:rPr>
          <w:rFonts w:cs="Arial"/>
        </w:rPr>
        <w:t>sur les</w:t>
      </w:r>
      <w:r w:rsidRPr="00A32AF4">
        <w:rPr>
          <w:rFonts w:cs="Arial"/>
        </w:rPr>
        <w:t xml:space="preserve"> résultats escomptés pour </w:t>
      </w:r>
      <w:r w:rsidR="00712284" w:rsidRPr="00A32AF4">
        <w:rPr>
          <w:rFonts w:cs="Arial"/>
        </w:rPr>
        <w:t xml:space="preserve">tous </w:t>
      </w:r>
      <w:r w:rsidR="001830AA" w:rsidRPr="00A32AF4">
        <w:rPr>
          <w:rFonts w:cs="Arial"/>
        </w:rPr>
        <w:t>les b</w:t>
      </w:r>
      <w:r w:rsidRPr="00A32AF4">
        <w:rPr>
          <w:rFonts w:cs="Arial"/>
        </w:rPr>
        <w:t>ureaux extérieurs de l</w:t>
      </w:r>
      <w:r w:rsidR="00E2055A" w:rsidRPr="00A32AF4">
        <w:rPr>
          <w:rFonts w:cs="Arial"/>
        </w:rPr>
        <w:t>’</w:t>
      </w:r>
      <w:r w:rsidRPr="00A32AF4">
        <w:rPr>
          <w:rFonts w:cs="Arial"/>
        </w:rPr>
        <w:t>OMPI pour l</w:t>
      </w:r>
      <w:r w:rsidR="00E2055A" w:rsidRPr="00A32AF4">
        <w:rPr>
          <w:rFonts w:cs="Arial"/>
        </w:rPr>
        <w:t>’</w:t>
      </w:r>
      <w:r w:rsidRPr="00A32AF4">
        <w:rPr>
          <w:rFonts w:cs="Arial"/>
        </w:rPr>
        <w:t>exercice biennal</w:t>
      </w:r>
      <w:r w:rsidR="00FD43E3" w:rsidRPr="00A32AF4">
        <w:rPr>
          <w:rFonts w:cs="Arial"/>
        </w:rPr>
        <w:t> </w:t>
      </w:r>
      <w:r w:rsidRPr="00A32AF4">
        <w:rPr>
          <w:rFonts w:cs="Arial"/>
        </w:rPr>
        <w:t>2016</w:t>
      </w:r>
      <w:r w:rsidR="00EB7F54" w:rsidRPr="00A32AF4">
        <w:rPr>
          <w:rFonts w:cs="Arial"/>
        </w:rPr>
        <w:noBreakHyphen/>
      </w:r>
      <w:r w:rsidRPr="00A32AF4">
        <w:rPr>
          <w:rFonts w:cs="Arial"/>
        </w:rPr>
        <w:t>2017.</w:t>
      </w:r>
    </w:p>
    <w:p w:rsidR="00F93B76" w:rsidRPr="00A32AF4" w:rsidRDefault="00F93B76" w:rsidP="00DC0553">
      <w:pPr>
        <w:rPr>
          <w:lang w:eastAsia="da-DK"/>
        </w:rPr>
      </w:pPr>
    </w:p>
    <w:p w:rsidR="00F93B76" w:rsidRPr="00A32AF4" w:rsidRDefault="008F6432" w:rsidP="00DC0553">
      <w:pPr>
        <w:keepNext/>
        <w:keepLines/>
        <w:autoSpaceDE w:val="0"/>
        <w:autoSpaceDN w:val="0"/>
        <w:jc w:val="center"/>
        <w:rPr>
          <w:rFonts w:cs="Arial"/>
          <w:b/>
        </w:rPr>
      </w:pPr>
      <w:r w:rsidRPr="00A32AF4">
        <w:rPr>
          <w:rFonts w:cs="Arial"/>
          <w:b/>
        </w:rPr>
        <w:t>Programme 20 : ressources par résultat</w:t>
      </w:r>
    </w:p>
    <w:p w:rsidR="00F93B76" w:rsidRPr="00A32AF4" w:rsidRDefault="008F6432" w:rsidP="00DC0553">
      <w:pPr>
        <w:keepNext/>
        <w:keepLines/>
        <w:autoSpaceDE w:val="0"/>
        <w:autoSpaceDN w:val="0"/>
        <w:jc w:val="center"/>
        <w:rPr>
          <w:rFonts w:cs="Arial"/>
          <w:i/>
        </w:rPr>
      </w:pPr>
      <w:r w:rsidRPr="00A32AF4">
        <w:rPr>
          <w:rFonts w:cs="Arial"/>
          <w:i/>
        </w:rPr>
        <w:t>(</w:t>
      </w:r>
      <w:proofErr w:type="gramStart"/>
      <w:r w:rsidRPr="00A32AF4">
        <w:rPr>
          <w:rFonts w:cs="Arial"/>
          <w:i/>
        </w:rPr>
        <w:t>en</w:t>
      </w:r>
      <w:proofErr w:type="gramEnd"/>
      <w:r w:rsidRPr="00A32AF4">
        <w:rPr>
          <w:rFonts w:cs="Arial"/>
          <w:i/>
        </w:rPr>
        <w:t xml:space="preserve"> milliers de francs suisses)</w:t>
      </w:r>
    </w:p>
    <w:p w:rsidR="008F6432" w:rsidRPr="00A32AF4" w:rsidRDefault="008F6432" w:rsidP="00DC0553">
      <w:pPr>
        <w:keepNext/>
        <w:rPr>
          <w:sz w:val="10"/>
        </w:rPr>
      </w:pPr>
    </w:p>
    <w:tbl>
      <w:tblPr>
        <w:tblW w:w="8980" w:type="dxa"/>
        <w:tblInd w:w="55"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592"/>
        <w:gridCol w:w="4428"/>
        <w:gridCol w:w="1260"/>
        <w:gridCol w:w="1440"/>
        <w:gridCol w:w="1260"/>
      </w:tblGrid>
      <w:tr w:rsidR="008F6432" w:rsidRPr="00A32AF4" w:rsidTr="00E325C7">
        <w:trPr>
          <w:cantSplit/>
          <w:trHeight w:val="572"/>
          <w:tblHeader/>
        </w:trPr>
        <w:tc>
          <w:tcPr>
            <w:tcW w:w="5020" w:type="dxa"/>
            <w:gridSpan w:val="2"/>
            <w:tcBorders>
              <w:top w:val="single" w:sz="4" w:space="0" w:color="auto"/>
              <w:bottom w:val="single" w:sz="4" w:space="0" w:color="auto"/>
            </w:tcBorders>
            <w:shd w:val="clear" w:color="000000" w:fill="C5D9F1"/>
            <w:noWrap/>
            <w:tcMar>
              <w:top w:w="113" w:type="dxa"/>
              <w:bottom w:w="113" w:type="dxa"/>
            </w:tcMar>
            <w:vAlign w:val="center"/>
            <w:hideMark/>
          </w:tcPr>
          <w:p w:rsidR="008F6432" w:rsidRPr="00A32AF4" w:rsidRDefault="008F6432" w:rsidP="00DC0553">
            <w:pPr>
              <w:jc w:val="center"/>
              <w:rPr>
                <w:rFonts w:cs="Arial"/>
                <w:i/>
                <w:iCs/>
                <w:sz w:val="16"/>
                <w:szCs w:val="16"/>
                <w:lang w:eastAsia="fr-FR"/>
              </w:rPr>
            </w:pPr>
            <w:r w:rsidRPr="00A32AF4">
              <w:rPr>
                <w:rFonts w:cs="Arial"/>
                <w:i/>
                <w:iCs/>
                <w:sz w:val="16"/>
                <w:szCs w:val="16"/>
                <w:lang w:eastAsia="fr-FR"/>
              </w:rPr>
              <w:t xml:space="preserve">Numéro et description du résultat escompté </w:t>
            </w:r>
          </w:p>
        </w:tc>
        <w:tc>
          <w:tcPr>
            <w:tcW w:w="1260" w:type="dxa"/>
            <w:tcBorders>
              <w:top w:val="single" w:sz="4" w:space="0" w:color="auto"/>
              <w:bottom w:val="single" w:sz="4" w:space="0" w:color="auto"/>
            </w:tcBorders>
            <w:shd w:val="clear" w:color="000000" w:fill="C5D9F1"/>
            <w:tcMar>
              <w:top w:w="113" w:type="dxa"/>
              <w:bottom w:w="113" w:type="dxa"/>
            </w:tcMar>
            <w:vAlign w:val="center"/>
            <w:hideMark/>
          </w:tcPr>
          <w:p w:rsidR="008F6432" w:rsidRPr="00A32AF4" w:rsidRDefault="008F6432" w:rsidP="00DC0553">
            <w:pPr>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2014</w:t>
            </w:r>
            <w:r w:rsidR="00EB7F54" w:rsidRPr="00A32AF4">
              <w:rPr>
                <w:rFonts w:cs="Arial"/>
                <w:i/>
                <w:iCs/>
                <w:sz w:val="16"/>
                <w:szCs w:val="16"/>
                <w:lang w:eastAsia="fr-FR"/>
              </w:rPr>
              <w:noBreakHyphen/>
            </w:r>
            <w:r w:rsidRPr="00A32AF4">
              <w:rPr>
                <w:rFonts w:cs="Arial"/>
                <w:i/>
                <w:iCs/>
                <w:sz w:val="16"/>
                <w:szCs w:val="16"/>
                <w:lang w:eastAsia="fr-FR"/>
              </w:rPr>
              <w:t>2015 approuvé</w:t>
            </w:r>
          </w:p>
        </w:tc>
        <w:tc>
          <w:tcPr>
            <w:tcW w:w="1440" w:type="dxa"/>
            <w:tcBorders>
              <w:top w:val="single" w:sz="4" w:space="0" w:color="auto"/>
              <w:bottom w:val="single" w:sz="4" w:space="0" w:color="auto"/>
            </w:tcBorders>
            <w:shd w:val="clear" w:color="000000" w:fill="C5D9F1"/>
            <w:tcMar>
              <w:top w:w="113" w:type="dxa"/>
              <w:bottom w:w="113" w:type="dxa"/>
            </w:tcMar>
            <w:vAlign w:val="center"/>
            <w:hideMark/>
          </w:tcPr>
          <w:p w:rsidR="008F6432" w:rsidRPr="00A32AF4" w:rsidRDefault="008F6432" w:rsidP="00DC0553">
            <w:pPr>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2014</w:t>
            </w:r>
            <w:r w:rsidR="00EB7F54" w:rsidRPr="00A32AF4">
              <w:rPr>
                <w:rFonts w:cs="Arial"/>
                <w:i/>
                <w:iCs/>
                <w:sz w:val="16"/>
                <w:szCs w:val="16"/>
                <w:lang w:eastAsia="fr-FR"/>
              </w:rPr>
              <w:noBreakHyphen/>
            </w:r>
            <w:r w:rsidRPr="00A32AF4">
              <w:rPr>
                <w:rFonts w:cs="Arial"/>
                <w:i/>
                <w:iCs/>
                <w:sz w:val="16"/>
                <w:szCs w:val="16"/>
                <w:lang w:eastAsia="fr-FR"/>
              </w:rPr>
              <w:t>2015 après virements</w:t>
            </w:r>
          </w:p>
        </w:tc>
        <w:tc>
          <w:tcPr>
            <w:tcW w:w="1260" w:type="dxa"/>
            <w:tcBorders>
              <w:top w:val="single" w:sz="4" w:space="0" w:color="auto"/>
              <w:bottom w:val="single" w:sz="4" w:space="0" w:color="auto"/>
            </w:tcBorders>
            <w:shd w:val="clear" w:color="000000" w:fill="C5D9F1"/>
            <w:tcMar>
              <w:top w:w="113" w:type="dxa"/>
              <w:bottom w:w="113" w:type="dxa"/>
            </w:tcMar>
            <w:vAlign w:val="center"/>
            <w:hideMark/>
          </w:tcPr>
          <w:p w:rsidR="008F6432" w:rsidRPr="00A32AF4" w:rsidRDefault="008F6432" w:rsidP="00DC0553">
            <w:pPr>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2016</w:t>
            </w:r>
            <w:r w:rsidR="00EB7F54" w:rsidRPr="00A32AF4">
              <w:rPr>
                <w:rFonts w:cs="Arial"/>
                <w:i/>
                <w:iCs/>
                <w:sz w:val="16"/>
                <w:szCs w:val="16"/>
                <w:lang w:eastAsia="fr-FR"/>
              </w:rPr>
              <w:noBreakHyphen/>
            </w:r>
            <w:r w:rsidRPr="00A32AF4">
              <w:rPr>
                <w:rFonts w:cs="Arial"/>
                <w:i/>
                <w:iCs/>
                <w:sz w:val="16"/>
                <w:szCs w:val="16"/>
                <w:lang w:eastAsia="fr-FR"/>
              </w:rPr>
              <w:t>2017 proposé</w:t>
            </w:r>
          </w:p>
        </w:tc>
      </w:tr>
      <w:tr w:rsidR="008F6432" w:rsidRPr="00A32AF4" w:rsidTr="008F6432">
        <w:trPr>
          <w:cantSplit/>
        </w:trPr>
        <w:tc>
          <w:tcPr>
            <w:tcW w:w="592" w:type="dxa"/>
            <w:tcBorders>
              <w:top w:val="single" w:sz="4" w:space="0" w:color="auto"/>
            </w:tcBorders>
            <w:shd w:val="clear" w:color="000000" w:fill="FFFFFF"/>
            <w:noWrap/>
            <w:tcMar>
              <w:top w:w="113" w:type="dxa"/>
              <w:bottom w:w="113" w:type="dxa"/>
            </w:tcMar>
            <w:vAlign w:val="center"/>
            <w:hideMark/>
          </w:tcPr>
          <w:p w:rsidR="008F6432" w:rsidRPr="00A32AF4" w:rsidRDefault="008F6432" w:rsidP="00DC0553">
            <w:pPr>
              <w:rPr>
                <w:rFonts w:cs="Arial"/>
                <w:sz w:val="16"/>
                <w:szCs w:val="16"/>
                <w:lang w:eastAsia="fr-FR"/>
              </w:rPr>
            </w:pPr>
            <w:r w:rsidRPr="00A32AF4">
              <w:rPr>
                <w:rFonts w:cs="Arial"/>
                <w:sz w:val="16"/>
                <w:szCs w:val="16"/>
                <w:lang w:eastAsia="fr-FR"/>
              </w:rPr>
              <w:t>I.1</w:t>
            </w:r>
          </w:p>
        </w:tc>
        <w:tc>
          <w:tcPr>
            <w:tcW w:w="4428" w:type="dxa"/>
            <w:tcBorders>
              <w:top w:val="single" w:sz="4" w:space="0" w:color="auto"/>
            </w:tcBorders>
            <w:shd w:val="clear" w:color="auto" w:fill="auto"/>
            <w:tcMar>
              <w:top w:w="113" w:type="dxa"/>
              <w:bottom w:w="113" w:type="dxa"/>
            </w:tcMar>
            <w:vAlign w:val="center"/>
            <w:hideMark/>
          </w:tcPr>
          <w:p w:rsidR="008F6432" w:rsidRPr="00A32AF4" w:rsidRDefault="008F6432" w:rsidP="00DC0553">
            <w:pPr>
              <w:rPr>
                <w:rFonts w:cs="Arial"/>
                <w:sz w:val="16"/>
                <w:szCs w:val="16"/>
                <w:lang w:eastAsia="fr-FR"/>
              </w:rPr>
            </w:pPr>
            <w:r w:rsidRPr="00A32AF4">
              <w:rPr>
                <w:rFonts w:cs="Arial"/>
                <w:sz w:val="16"/>
                <w:szCs w:val="16"/>
                <w:lang w:eastAsia="fr-FR"/>
              </w:rPr>
              <w:t>Renforcement de la coopération entre les États membres en ce qui concerne l</w:t>
            </w:r>
            <w:r w:rsidR="00E2055A" w:rsidRPr="00A32AF4">
              <w:rPr>
                <w:rFonts w:cs="Arial"/>
                <w:sz w:val="16"/>
                <w:szCs w:val="16"/>
                <w:lang w:eastAsia="fr-FR"/>
              </w:rPr>
              <w:t>’</w:t>
            </w:r>
            <w:r w:rsidRPr="00A32AF4">
              <w:rPr>
                <w:rFonts w:cs="Arial"/>
                <w:sz w:val="16"/>
                <w:szCs w:val="16"/>
                <w:lang w:eastAsia="fr-FR"/>
              </w:rPr>
              <w:t xml:space="preserve">élaboration de cadres normatifs internationaux équilibrés dans le domaine de la propriété intellectuelle </w:t>
            </w:r>
          </w:p>
        </w:tc>
        <w:tc>
          <w:tcPr>
            <w:tcW w:w="1260" w:type="dxa"/>
            <w:tcBorders>
              <w:top w:val="single" w:sz="4" w:space="0" w:color="auto"/>
            </w:tcBorders>
            <w:shd w:val="clear" w:color="auto" w:fill="auto"/>
            <w:tcMar>
              <w:top w:w="113" w:type="dxa"/>
              <w:bottom w:w="113" w:type="dxa"/>
            </w:tcMar>
            <w:vAlign w:val="center"/>
            <w:hideMark/>
          </w:tcPr>
          <w:p w:rsidR="008F6432" w:rsidRPr="00A32AF4" w:rsidRDefault="008F6432" w:rsidP="00DC0553">
            <w:pPr>
              <w:jc w:val="right"/>
              <w:rPr>
                <w:rFonts w:cs="Arial"/>
                <w:sz w:val="16"/>
                <w:szCs w:val="16"/>
                <w:lang w:eastAsia="fr-FR"/>
              </w:rPr>
            </w:pPr>
            <w:r w:rsidRPr="00A32AF4">
              <w:rPr>
                <w:rFonts w:cs="Arial"/>
                <w:sz w:val="16"/>
                <w:szCs w:val="16"/>
                <w:lang w:eastAsia="fr-FR"/>
              </w:rPr>
              <w:t>–</w:t>
            </w:r>
          </w:p>
        </w:tc>
        <w:tc>
          <w:tcPr>
            <w:tcW w:w="1440" w:type="dxa"/>
            <w:tcBorders>
              <w:top w:val="single" w:sz="4" w:space="0" w:color="auto"/>
            </w:tcBorders>
            <w:shd w:val="clear" w:color="auto" w:fill="auto"/>
            <w:tcMar>
              <w:top w:w="113" w:type="dxa"/>
              <w:bottom w:w="113" w:type="dxa"/>
            </w:tcMar>
            <w:vAlign w:val="center"/>
            <w:hideMark/>
          </w:tcPr>
          <w:p w:rsidR="008F6432" w:rsidRPr="00A32AF4" w:rsidRDefault="008F6432" w:rsidP="00DC0553">
            <w:pPr>
              <w:jc w:val="right"/>
              <w:rPr>
                <w:rFonts w:cs="Arial"/>
                <w:sz w:val="16"/>
                <w:szCs w:val="16"/>
                <w:lang w:eastAsia="fr-FR"/>
              </w:rPr>
            </w:pPr>
            <w:r w:rsidRPr="00A32AF4">
              <w:rPr>
                <w:rFonts w:cs="Arial"/>
                <w:sz w:val="16"/>
                <w:szCs w:val="16"/>
                <w:lang w:eastAsia="fr-FR"/>
              </w:rPr>
              <w:t xml:space="preserve"> –</w:t>
            </w:r>
          </w:p>
        </w:tc>
        <w:tc>
          <w:tcPr>
            <w:tcW w:w="1260" w:type="dxa"/>
            <w:tcBorders>
              <w:top w:val="single" w:sz="4" w:space="0" w:color="auto"/>
            </w:tcBorders>
            <w:shd w:val="clear" w:color="auto" w:fill="auto"/>
            <w:noWrap/>
            <w:tcMar>
              <w:top w:w="113" w:type="dxa"/>
              <w:bottom w:w="113" w:type="dxa"/>
            </w:tcMar>
            <w:vAlign w:val="center"/>
            <w:hideMark/>
          </w:tcPr>
          <w:p w:rsidR="008F6432" w:rsidRPr="00A32AF4" w:rsidRDefault="008F6432" w:rsidP="00DC0553">
            <w:pPr>
              <w:jc w:val="right"/>
              <w:rPr>
                <w:rFonts w:cs="Arial"/>
                <w:color w:val="000000"/>
                <w:sz w:val="16"/>
                <w:szCs w:val="16"/>
                <w:lang w:eastAsia="fr-FR"/>
              </w:rPr>
            </w:pPr>
            <w:r w:rsidRPr="00A32AF4">
              <w:rPr>
                <w:rFonts w:cs="Arial"/>
                <w:color w:val="000000"/>
                <w:sz w:val="16"/>
                <w:szCs w:val="16"/>
                <w:lang w:eastAsia="fr-FR"/>
              </w:rPr>
              <w:t xml:space="preserve">685 </w:t>
            </w:r>
          </w:p>
        </w:tc>
      </w:tr>
      <w:tr w:rsidR="008F6432" w:rsidRPr="00A32AF4" w:rsidTr="008F6432">
        <w:trPr>
          <w:cantSplit/>
        </w:trPr>
        <w:tc>
          <w:tcPr>
            <w:tcW w:w="592" w:type="dxa"/>
            <w:shd w:val="clear" w:color="auto" w:fill="auto"/>
            <w:noWrap/>
            <w:tcMar>
              <w:top w:w="113" w:type="dxa"/>
              <w:bottom w:w="113" w:type="dxa"/>
            </w:tcMar>
            <w:vAlign w:val="center"/>
            <w:hideMark/>
          </w:tcPr>
          <w:p w:rsidR="008F6432" w:rsidRPr="00A32AF4" w:rsidRDefault="008F6432" w:rsidP="00DC0553">
            <w:pPr>
              <w:rPr>
                <w:rFonts w:cs="Arial"/>
                <w:sz w:val="16"/>
                <w:szCs w:val="16"/>
                <w:lang w:eastAsia="fr-FR"/>
              </w:rPr>
            </w:pPr>
            <w:r w:rsidRPr="00A32AF4">
              <w:rPr>
                <w:rFonts w:cs="Arial"/>
                <w:sz w:val="16"/>
                <w:szCs w:val="16"/>
                <w:lang w:eastAsia="fr-FR"/>
              </w:rPr>
              <w:t>II.1</w:t>
            </w:r>
          </w:p>
        </w:tc>
        <w:tc>
          <w:tcPr>
            <w:tcW w:w="4428" w:type="dxa"/>
            <w:shd w:val="clear" w:color="auto" w:fill="auto"/>
            <w:tcMar>
              <w:top w:w="113" w:type="dxa"/>
              <w:bottom w:w="113" w:type="dxa"/>
            </w:tcMar>
            <w:vAlign w:val="center"/>
            <w:hideMark/>
          </w:tcPr>
          <w:p w:rsidR="008F6432" w:rsidRPr="00A32AF4" w:rsidRDefault="008F6432" w:rsidP="00DC0553">
            <w:pPr>
              <w:rPr>
                <w:rFonts w:cs="Arial"/>
                <w:sz w:val="16"/>
                <w:szCs w:val="16"/>
                <w:lang w:eastAsia="fr-FR"/>
              </w:rPr>
            </w:pPr>
            <w:r w:rsidRPr="00A32AF4">
              <w:rPr>
                <w:rFonts w:cs="Arial"/>
                <w:sz w:val="16"/>
                <w:szCs w:val="16"/>
                <w:lang w:eastAsia="fr-FR"/>
              </w:rPr>
              <w:t>Utilisation élargie et plus efficace du système</w:t>
            </w:r>
            <w:r w:rsidR="00E2055A" w:rsidRPr="00A32AF4">
              <w:rPr>
                <w:rFonts w:cs="Arial"/>
                <w:sz w:val="16"/>
                <w:szCs w:val="16"/>
                <w:lang w:eastAsia="fr-FR"/>
              </w:rPr>
              <w:t xml:space="preserve"> du PCT</w:t>
            </w:r>
            <w:r w:rsidRPr="00A32AF4">
              <w:rPr>
                <w:rFonts w:cs="Arial"/>
                <w:sz w:val="16"/>
                <w:szCs w:val="16"/>
                <w:lang w:eastAsia="fr-FR"/>
              </w:rPr>
              <w:t xml:space="preserve"> pour le dépôt des demandes internationales de brevet</w:t>
            </w:r>
          </w:p>
        </w:tc>
        <w:tc>
          <w:tcPr>
            <w:tcW w:w="1260" w:type="dxa"/>
            <w:shd w:val="clear" w:color="auto" w:fill="auto"/>
            <w:tcMar>
              <w:top w:w="113" w:type="dxa"/>
              <w:bottom w:w="113" w:type="dxa"/>
            </w:tcMar>
            <w:vAlign w:val="center"/>
            <w:hideMark/>
          </w:tcPr>
          <w:p w:rsidR="008F6432" w:rsidRPr="00A32AF4" w:rsidRDefault="008F6432" w:rsidP="00DC0553">
            <w:pPr>
              <w:jc w:val="right"/>
              <w:rPr>
                <w:rFonts w:cs="Arial"/>
                <w:sz w:val="16"/>
                <w:szCs w:val="16"/>
                <w:lang w:eastAsia="fr-FR"/>
              </w:rPr>
            </w:pPr>
            <w:r w:rsidRPr="00A32AF4">
              <w:rPr>
                <w:rFonts w:cs="Arial"/>
                <w:sz w:val="16"/>
                <w:szCs w:val="16"/>
                <w:lang w:eastAsia="fr-FR"/>
              </w:rPr>
              <w:t xml:space="preserve">894 </w:t>
            </w:r>
          </w:p>
        </w:tc>
        <w:tc>
          <w:tcPr>
            <w:tcW w:w="1440" w:type="dxa"/>
            <w:shd w:val="clear" w:color="auto" w:fill="auto"/>
            <w:tcMar>
              <w:top w:w="113" w:type="dxa"/>
              <w:bottom w:w="113" w:type="dxa"/>
            </w:tcMar>
            <w:vAlign w:val="center"/>
            <w:hideMark/>
          </w:tcPr>
          <w:p w:rsidR="008F6432" w:rsidRPr="00A32AF4" w:rsidRDefault="008F6432" w:rsidP="00DC0553">
            <w:pPr>
              <w:jc w:val="right"/>
              <w:rPr>
                <w:rFonts w:cs="Arial"/>
                <w:sz w:val="16"/>
                <w:szCs w:val="16"/>
                <w:lang w:eastAsia="fr-FR"/>
              </w:rPr>
            </w:pPr>
            <w:r w:rsidRPr="00A32AF4">
              <w:rPr>
                <w:rFonts w:cs="Arial"/>
                <w:sz w:val="16"/>
                <w:szCs w:val="16"/>
                <w:lang w:eastAsia="fr-FR"/>
              </w:rPr>
              <w:t xml:space="preserve">1 489 </w:t>
            </w:r>
          </w:p>
        </w:tc>
        <w:tc>
          <w:tcPr>
            <w:tcW w:w="1260" w:type="dxa"/>
            <w:shd w:val="clear" w:color="auto" w:fill="auto"/>
            <w:noWrap/>
            <w:tcMar>
              <w:top w:w="113" w:type="dxa"/>
              <w:bottom w:w="113" w:type="dxa"/>
            </w:tcMar>
            <w:vAlign w:val="center"/>
            <w:hideMark/>
          </w:tcPr>
          <w:p w:rsidR="008F6432" w:rsidRPr="00A32AF4" w:rsidRDefault="008F6432" w:rsidP="00DC0553">
            <w:pPr>
              <w:jc w:val="right"/>
              <w:rPr>
                <w:rFonts w:cs="Arial"/>
                <w:color w:val="000000"/>
                <w:sz w:val="16"/>
                <w:szCs w:val="16"/>
                <w:lang w:eastAsia="fr-FR"/>
              </w:rPr>
            </w:pPr>
            <w:r w:rsidRPr="00A32AF4">
              <w:rPr>
                <w:rFonts w:cs="Arial"/>
                <w:color w:val="000000"/>
                <w:sz w:val="16"/>
                <w:szCs w:val="16"/>
                <w:lang w:eastAsia="fr-FR"/>
              </w:rPr>
              <w:t xml:space="preserve">857 </w:t>
            </w:r>
          </w:p>
        </w:tc>
      </w:tr>
      <w:tr w:rsidR="008F6432" w:rsidRPr="00A32AF4" w:rsidTr="008F6432">
        <w:trPr>
          <w:cantSplit/>
        </w:trPr>
        <w:tc>
          <w:tcPr>
            <w:tcW w:w="592" w:type="dxa"/>
            <w:shd w:val="clear" w:color="auto" w:fill="auto"/>
            <w:noWrap/>
            <w:tcMar>
              <w:top w:w="113" w:type="dxa"/>
              <w:bottom w:w="113" w:type="dxa"/>
            </w:tcMar>
            <w:vAlign w:val="center"/>
            <w:hideMark/>
          </w:tcPr>
          <w:p w:rsidR="008F6432" w:rsidRPr="00A32AF4" w:rsidRDefault="008F6432" w:rsidP="00DC0553">
            <w:pPr>
              <w:rPr>
                <w:rFonts w:cs="Arial"/>
                <w:sz w:val="16"/>
                <w:szCs w:val="16"/>
                <w:lang w:eastAsia="fr-FR"/>
              </w:rPr>
            </w:pPr>
            <w:r w:rsidRPr="00A32AF4">
              <w:rPr>
                <w:rFonts w:cs="Arial"/>
                <w:sz w:val="16"/>
                <w:szCs w:val="16"/>
                <w:lang w:eastAsia="fr-FR"/>
              </w:rPr>
              <w:t>II.4</w:t>
            </w:r>
          </w:p>
        </w:tc>
        <w:tc>
          <w:tcPr>
            <w:tcW w:w="4428" w:type="dxa"/>
            <w:shd w:val="clear" w:color="auto" w:fill="auto"/>
            <w:tcMar>
              <w:top w:w="113" w:type="dxa"/>
              <w:bottom w:w="113" w:type="dxa"/>
            </w:tcMar>
            <w:vAlign w:val="center"/>
            <w:hideMark/>
          </w:tcPr>
          <w:p w:rsidR="008F6432" w:rsidRPr="00A32AF4" w:rsidRDefault="008F6432" w:rsidP="00DC0553">
            <w:pPr>
              <w:rPr>
                <w:rFonts w:cs="Arial"/>
                <w:sz w:val="16"/>
                <w:szCs w:val="16"/>
                <w:lang w:eastAsia="fr-FR"/>
              </w:rPr>
            </w:pPr>
            <w:r w:rsidRPr="00A32AF4">
              <w:rPr>
                <w:rFonts w:cs="Arial"/>
                <w:sz w:val="16"/>
                <w:szCs w:val="16"/>
                <w:lang w:eastAsia="fr-FR"/>
              </w:rPr>
              <w:t xml:space="preserve">Utilisation élargie et plus efficace du système de </w:t>
            </w:r>
            <w:r w:rsidR="00E2055A" w:rsidRPr="00A32AF4">
              <w:rPr>
                <w:rFonts w:cs="Arial"/>
                <w:sz w:val="16"/>
                <w:szCs w:val="16"/>
                <w:lang w:eastAsia="fr-FR"/>
              </w:rPr>
              <w:t>La Haye</w:t>
            </w:r>
            <w:r w:rsidRPr="00A32AF4">
              <w:rPr>
                <w:rFonts w:cs="Arial"/>
                <w:sz w:val="16"/>
                <w:szCs w:val="16"/>
                <w:lang w:eastAsia="fr-FR"/>
              </w:rPr>
              <w:t>, notamment par les pays en développement et</w:t>
            </w:r>
            <w:r w:rsidR="00E2055A" w:rsidRPr="00A32AF4">
              <w:rPr>
                <w:rFonts w:cs="Arial"/>
                <w:sz w:val="16"/>
                <w:szCs w:val="16"/>
                <w:lang w:eastAsia="fr-FR"/>
              </w:rPr>
              <w:t xml:space="preserve"> les PMA</w:t>
            </w:r>
          </w:p>
        </w:tc>
        <w:tc>
          <w:tcPr>
            <w:tcW w:w="1260" w:type="dxa"/>
            <w:shd w:val="clear" w:color="auto" w:fill="auto"/>
            <w:tcMar>
              <w:top w:w="113" w:type="dxa"/>
              <w:bottom w:w="113" w:type="dxa"/>
            </w:tcMar>
            <w:vAlign w:val="center"/>
            <w:hideMark/>
          </w:tcPr>
          <w:p w:rsidR="008F6432" w:rsidRPr="00A32AF4" w:rsidRDefault="008F6432" w:rsidP="00DC0553">
            <w:pPr>
              <w:jc w:val="right"/>
              <w:rPr>
                <w:rFonts w:cs="Arial"/>
                <w:sz w:val="16"/>
                <w:szCs w:val="16"/>
                <w:lang w:eastAsia="fr-FR"/>
              </w:rPr>
            </w:pPr>
            <w:r w:rsidRPr="00A32AF4">
              <w:rPr>
                <w:rFonts w:cs="Arial"/>
                <w:sz w:val="16"/>
                <w:szCs w:val="16"/>
                <w:lang w:eastAsia="fr-FR"/>
              </w:rPr>
              <w:t xml:space="preserve">486 </w:t>
            </w:r>
          </w:p>
        </w:tc>
        <w:tc>
          <w:tcPr>
            <w:tcW w:w="1440" w:type="dxa"/>
            <w:shd w:val="clear" w:color="auto" w:fill="auto"/>
            <w:tcMar>
              <w:top w:w="113" w:type="dxa"/>
              <w:bottom w:w="113" w:type="dxa"/>
            </w:tcMar>
            <w:vAlign w:val="center"/>
            <w:hideMark/>
          </w:tcPr>
          <w:p w:rsidR="008F6432" w:rsidRPr="00A32AF4" w:rsidRDefault="008F6432" w:rsidP="00DC0553">
            <w:pPr>
              <w:jc w:val="right"/>
              <w:rPr>
                <w:rFonts w:cs="Arial"/>
                <w:sz w:val="16"/>
                <w:szCs w:val="16"/>
                <w:lang w:eastAsia="fr-FR"/>
              </w:rPr>
            </w:pPr>
            <w:r w:rsidRPr="00A32AF4">
              <w:rPr>
                <w:rFonts w:cs="Arial"/>
                <w:sz w:val="16"/>
                <w:szCs w:val="16"/>
                <w:lang w:eastAsia="fr-FR"/>
              </w:rPr>
              <w:t xml:space="preserve">367 </w:t>
            </w:r>
          </w:p>
        </w:tc>
        <w:tc>
          <w:tcPr>
            <w:tcW w:w="1260" w:type="dxa"/>
            <w:shd w:val="clear" w:color="auto" w:fill="auto"/>
            <w:noWrap/>
            <w:tcMar>
              <w:top w:w="113" w:type="dxa"/>
              <w:bottom w:w="113" w:type="dxa"/>
            </w:tcMar>
            <w:vAlign w:val="center"/>
            <w:hideMark/>
          </w:tcPr>
          <w:p w:rsidR="008F6432" w:rsidRPr="00A32AF4" w:rsidRDefault="008F6432" w:rsidP="00DC0553">
            <w:pPr>
              <w:jc w:val="right"/>
              <w:rPr>
                <w:rFonts w:cs="Arial"/>
                <w:color w:val="000000"/>
                <w:sz w:val="16"/>
                <w:szCs w:val="16"/>
                <w:lang w:eastAsia="fr-FR"/>
              </w:rPr>
            </w:pPr>
            <w:r w:rsidRPr="00A32AF4">
              <w:rPr>
                <w:rFonts w:cs="Arial"/>
                <w:color w:val="000000"/>
                <w:sz w:val="16"/>
                <w:szCs w:val="16"/>
                <w:lang w:eastAsia="fr-FR"/>
              </w:rPr>
              <w:t xml:space="preserve">729 </w:t>
            </w:r>
          </w:p>
        </w:tc>
      </w:tr>
      <w:tr w:rsidR="008F6432" w:rsidRPr="00A32AF4" w:rsidTr="008F6432">
        <w:trPr>
          <w:cantSplit/>
        </w:trPr>
        <w:tc>
          <w:tcPr>
            <w:tcW w:w="592" w:type="dxa"/>
            <w:shd w:val="clear" w:color="auto" w:fill="auto"/>
            <w:noWrap/>
            <w:tcMar>
              <w:top w:w="113" w:type="dxa"/>
              <w:bottom w:w="113" w:type="dxa"/>
            </w:tcMar>
            <w:vAlign w:val="center"/>
            <w:hideMark/>
          </w:tcPr>
          <w:p w:rsidR="008F6432" w:rsidRPr="00A32AF4" w:rsidRDefault="008F6432" w:rsidP="00DC0553">
            <w:pPr>
              <w:rPr>
                <w:rFonts w:cs="Arial"/>
                <w:sz w:val="16"/>
                <w:szCs w:val="16"/>
                <w:lang w:eastAsia="fr-FR"/>
              </w:rPr>
            </w:pPr>
            <w:r w:rsidRPr="00A32AF4">
              <w:rPr>
                <w:rFonts w:cs="Arial"/>
                <w:sz w:val="16"/>
                <w:szCs w:val="16"/>
                <w:lang w:eastAsia="fr-FR"/>
              </w:rPr>
              <w:t>II.6</w:t>
            </w:r>
          </w:p>
        </w:tc>
        <w:tc>
          <w:tcPr>
            <w:tcW w:w="4428" w:type="dxa"/>
            <w:shd w:val="clear" w:color="auto" w:fill="auto"/>
            <w:tcMar>
              <w:top w:w="113" w:type="dxa"/>
              <w:bottom w:w="113" w:type="dxa"/>
            </w:tcMar>
            <w:vAlign w:val="center"/>
            <w:hideMark/>
          </w:tcPr>
          <w:p w:rsidR="008F6432" w:rsidRPr="00A32AF4" w:rsidRDefault="008F6432" w:rsidP="00F87292">
            <w:pPr>
              <w:rPr>
                <w:rFonts w:cs="Arial"/>
                <w:sz w:val="16"/>
                <w:szCs w:val="16"/>
                <w:lang w:eastAsia="fr-FR"/>
              </w:rPr>
            </w:pPr>
            <w:r w:rsidRPr="00A32AF4">
              <w:rPr>
                <w:rFonts w:cs="Arial"/>
                <w:sz w:val="16"/>
                <w:szCs w:val="16"/>
                <w:lang w:eastAsia="fr-FR"/>
              </w:rPr>
              <w:t xml:space="preserve">Utilisation élargie et plus efficace </w:t>
            </w:r>
            <w:r w:rsidR="00F87292" w:rsidRPr="00A32AF4">
              <w:rPr>
                <w:rFonts w:cs="Arial"/>
                <w:sz w:val="16"/>
                <w:szCs w:val="16"/>
                <w:lang w:eastAsia="fr-FR"/>
              </w:rPr>
              <w:t>du système</w:t>
            </w:r>
            <w:r w:rsidRPr="00A32AF4">
              <w:rPr>
                <w:rFonts w:cs="Arial"/>
                <w:sz w:val="16"/>
                <w:szCs w:val="16"/>
                <w:lang w:eastAsia="fr-FR"/>
              </w:rPr>
              <w:t xml:space="preserve"> de Madrid, notamment par les pays en développement et</w:t>
            </w:r>
            <w:r w:rsidR="00E2055A" w:rsidRPr="00A32AF4">
              <w:rPr>
                <w:rFonts w:cs="Arial"/>
                <w:sz w:val="16"/>
                <w:szCs w:val="16"/>
                <w:lang w:eastAsia="fr-FR"/>
              </w:rPr>
              <w:t xml:space="preserve"> les PMA</w:t>
            </w:r>
          </w:p>
        </w:tc>
        <w:tc>
          <w:tcPr>
            <w:tcW w:w="1260" w:type="dxa"/>
            <w:shd w:val="clear" w:color="auto" w:fill="auto"/>
            <w:tcMar>
              <w:top w:w="113" w:type="dxa"/>
              <w:bottom w:w="113" w:type="dxa"/>
            </w:tcMar>
            <w:vAlign w:val="center"/>
            <w:hideMark/>
          </w:tcPr>
          <w:p w:rsidR="008F6432" w:rsidRPr="00A32AF4" w:rsidRDefault="008F6432" w:rsidP="00DC0553">
            <w:pPr>
              <w:jc w:val="right"/>
              <w:rPr>
                <w:rFonts w:cs="Arial"/>
                <w:sz w:val="16"/>
                <w:szCs w:val="16"/>
                <w:lang w:eastAsia="fr-FR"/>
              </w:rPr>
            </w:pPr>
            <w:r w:rsidRPr="00A32AF4">
              <w:rPr>
                <w:rFonts w:cs="Arial"/>
                <w:sz w:val="16"/>
                <w:szCs w:val="16"/>
                <w:lang w:eastAsia="fr-FR"/>
              </w:rPr>
              <w:t xml:space="preserve">1 114 </w:t>
            </w:r>
          </w:p>
        </w:tc>
        <w:tc>
          <w:tcPr>
            <w:tcW w:w="1440" w:type="dxa"/>
            <w:shd w:val="clear" w:color="auto" w:fill="auto"/>
            <w:tcMar>
              <w:top w:w="113" w:type="dxa"/>
              <w:bottom w:w="113" w:type="dxa"/>
            </w:tcMar>
            <w:vAlign w:val="center"/>
            <w:hideMark/>
          </w:tcPr>
          <w:p w:rsidR="008F6432" w:rsidRPr="00A32AF4" w:rsidRDefault="008F6432" w:rsidP="00DC0553">
            <w:pPr>
              <w:jc w:val="right"/>
              <w:rPr>
                <w:rFonts w:cs="Arial"/>
                <w:sz w:val="16"/>
                <w:szCs w:val="16"/>
                <w:lang w:eastAsia="fr-FR"/>
              </w:rPr>
            </w:pPr>
            <w:r w:rsidRPr="00A32AF4">
              <w:rPr>
                <w:rFonts w:cs="Arial"/>
                <w:sz w:val="16"/>
                <w:szCs w:val="16"/>
                <w:lang w:eastAsia="fr-FR"/>
              </w:rPr>
              <w:t xml:space="preserve">1 279 </w:t>
            </w:r>
          </w:p>
        </w:tc>
        <w:tc>
          <w:tcPr>
            <w:tcW w:w="1260" w:type="dxa"/>
            <w:shd w:val="clear" w:color="auto" w:fill="auto"/>
            <w:noWrap/>
            <w:tcMar>
              <w:top w:w="113" w:type="dxa"/>
              <w:bottom w:w="113" w:type="dxa"/>
            </w:tcMar>
            <w:vAlign w:val="center"/>
            <w:hideMark/>
          </w:tcPr>
          <w:p w:rsidR="008F6432" w:rsidRPr="00A32AF4" w:rsidRDefault="008F6432" w:rsidP="00DC0553">
            <w:pPr>
              <w:jc w:val="right"/>
              <w:rPr>
                <w:rFonts w:cs="Arial"/>
                <w:color w:val="000000"/>
                <w:sz w:val="16"/>
                <w:szCs w:val="16"/>
                <w:lang w:eastAsia="fr-FR"/>
              </w:rPr>
            </w:pPr>
            <w:r w:rsidRPr="00A32AF4">
              <w:rPr>
                <w:rFonts w:cs="Arial"/>
                <w:color w:val="000000"/>
                <w:sz w:val="16"/>
                <w:szCs w:val="16"/>
                <w:lang w:eastAsia="fr-FR"/>
              </w:rPr>
              <w:t xml:space="preserve">789 </w:t>
            </w:r>
          </w:p>
        </w:tc>
      </w:tr>
      <w:tr w:rsidR="008F6432" w:rsidRPr="00A32AF4" w:rsidTr="008F6432">
        <w:trPr>
          <w:cantSplit/>
        </w:trPr>
        <w:tc>
          <w:tcPr>
            <w:tcW w:w="592" w:type="dxa"/>
            <w:shd w:val="clear" w:color="auto" w:fill="auto"/>
            <w:noWrap/>
            <w:tcMar>
              <w:top w:w="113" w:type="dxa"/>
              <w:bottom w:w="113" w:type="dxa"/>
            </w:tcMar>
            <w:vAlign w:val="center"/>
            <w:hideMark/>
          </w:tcPr>
          <w:p w:rsidR="008F6432" w:rsidRPr="00A32AF4" w:rsidRDefault="008F6432" w:rsidP="00DC0553">
            <w:pPr>
              <w:rPr>
                <w:rFonts w:cs="Arial"/>
                <w:sz w:val="16"/>
                <w:szCs w:val="16"/>
                <w:lang w:eastAsia="fr-FR"/>
              </w:rPr>
            </w:pPr>
            <w:r w:rsidRPr="00A32AF4">
              <w:rPr>
                <w:rFonts w:cs="Arial"/>
                <w:sz w:val="16"/>
                <w:szCs w:val="16"/>
                <w:lang w:eastAsia="fr-FR"/>
              </w:rPr>
              <w:t>II.8</w:t>
            </w:r>
          </w:p>
        </w:tc>
        <w:tc>
          <w:tcPr>
            <w:tcW w:w="4428" w:type="dxa"/>
            <w:shd w:val="clear" w:color="auto" w:fill="auto"/>
            <w:tcMar>
              <w:top w:w="113" w:type="dxa"/>
              <w:bottom w:w="113" w:type="dxa"/>
            </w:tcMar>
            <w:vAlign w:val="center"/>
            <w:hideMark/>
          </w:tcPr>
          <w:p w:rsidR="008F6432" w:rsidRPr="00A32AF4" w:rsidRDefault="008F6432" w:rsidP="00DC0553">
            <w:pPr>
              <w:rPr>
                <w:rFonts w:cs="Arial"/>
                <w:sz w:val="16"/>
                <w:szCs w:val="16"/>
                <w:lang w:eastAsia="fr-FR"/>
              </w:rPr>
            </w:pPr>
            <w:r w:rsidRPr="00A32AF4">
              <w:rPr>
                <w:rFonts w:cs="Arial"/>
                <w:sz w:val="16"/>
                <w:szCs w:val="16"/>
                <w:lang w:eastAsia="fr-FR"/>
              </w:rPr>
              <w:t>De plus en plus de litiges internationaux ou nationaux de propriété intellectuelle sont évités ou réglés par la médiation, l</w:t>
            </w:r>
            <w:r w:rsidR="00E2055A" w:rsidRPr="00A32AF4">
              <w:rPr>
                <w:rFonts w:cs="Arial"/>
                <w:sz w:val="16"/>
                <w:szCs w:val="16"/>
                <w:lang w:eastAsia="fr-FR"/>
              </w:rPr>
              <w:t>’</w:t>
            </w:r>
            <w:r w:rsidRPr="00A32AF4">
              <w:rPr>
                <w:rFonts w:cs="Arial"/>
                <w:sz w:val="16"/>
                <w:szCs w:val="16"/>
                <w:lang w:eastAsia="fr-FR"/>
              </w:rPr>
              <w:t>arbitrage et les autres modes extrajudiciaires de règlement des litiges de l</w:t>
            </w:r>
            <w:r w:rsidR="00E2055A" w:rsidRPr="00A32AF4">
              <w:rPr>
                <w:rFonts w:cs="Arial"/>
                <w:sz w:val="16"/>
                <w:szCs w:val="16"/>
                <w:lang w:eastAsia="fr-FR"/>
              </w:rPr>
              <w:t>’</w:t>
            </w:r>
            <w:r w:rsidRPr="00A32AF4">
              <w:rPr>
                <w:rFonts w:cs="Arial"/>
                <w:sz w:val="16"/>
                <w:szCs w:val="16"/>
                <w:lang w:eastAsia="fr-FR"/>
              </w:rPr>
              <w:t>OMPI</w:t>
            </w:r>
          </w:p>
        </w:tc>
        <w:tc>
          <w:tcPr>
            <w:tcW w:w="1260" w:type="dxa"/>
            <w:shd w:val="clear" w:color="auto" w:fill="auto"/>
            <w:tcMar>
              <w:top w:w="113" w:type="dxa"/>
              <w:bottom w:w="113" w:type="dxa"/>
            </w:tcMar>
            <w:vAlign w:val="center"/>
            <w:hideMark/>
          </w:tcPr>
          <w:p w:rsidR="008F6432" w:rsidRPr="00A32AF4" w:rsidRDefault="008F6432" w:rsidP="00DC0553">
            <w:pPr>
              <w:jc w:val="right"/>
              <w:rPr>
                <w:rFonts w:cs="Arial"/>
                <w:sz w:val="16"/>
                <w:szCs w:val="16"/>
                <w:lang w:eastAsia="fr-FR"/>
              </w:rPr>
            </w:pPr>
            <w:r w:rsidRPr="00A32AF4">
              <w:rPr>
                <w:rFonts w:cs="Arial"/>
                <w:sz w:val="16"/>
                <w:szCs w:val="16"/>
                <w:lang w:eastAsia="fr-FR"/>
              </w:rPr>
              <w:t xml:space="preserve">122 </w:t>
            </w:r>
          </w:p>
        </w:tc>
        <w:tc>
          <w:tcPr>
            <w:tcW w:w="1440" w:type="dxa"/>
            <w:shd w:val="clear" w:color="auto" w:fill="auto"/>
            <w:tcMar>
              <w:top w:w="113" w:type="dxa"/>
              <w:bottom w:w="113" w:type="dxa"/>
            </w:tcMar>
            <w:vAlign w:val="center"/>
            <w:hideMark/>
          </w:tcPr>
          <w:p w:rsidR="008F6432" w:rsidRPr="00A32AF4" w:rsidRDefault="008F6432" w:rsidP="00DC0553">
            <w:pPr>
              <w:jc w:val="right"/>
              <w:rPr>
                <w:rFonts w:cs="Arial"/>
                <w:sz w:val="16"/>
                <w:szCs w:val="16"/>
                <w:lang w:eastAsia="fr-FR"/>
              </w:rPr>
            </w:pPr>
            <w:r w:rsidRPr="00A32AF4">
              <w:rPr>
                <w:rFonts w:cs="Arial"/>
                <w:sz w:val="16"/>
                <w:szCs w:val="16"/>
                <w:lang w:eastAsia="fr-FR"/>
              </w:rPr>
              <w:t xml:space="preserve">149 </w:t>
            </w:r>
          </w:p>
        </w:tc>
        <w:tc>
          <w:tcPr>
            <w:tcW w:w="1260" w:type="dxa"/>
            <w:shd w:val="clear" w:color="auto" w:fill="auto"/>
            <w:tcMar>
              <w:top w:w="113" w:type="dxa"/>
              <w:bottom w:w="113" w:type="dxa"/>
            </w:tcMar>
            <w:vAlign w:val="center"/>
            <w:hideMark/>
          </w:tcPr>
          <w:p w:rsidR="008F6432" w:rsidRPr="00A32AF4" w:rsidRDefault="008F6432" w:rsidP="00DC0553">
            <w:pPr>
              <w:jc w:val="right"/>
              <w:rPr>
                <w:rFonts w:cs="Arial"/>
                <w:sz w:val="16"/>
                <w:szCs w:val="16"/>
                <w:lang w:eastAsia="fr-FR"/>
              </w:rPr>
            </w:pPr>
            <w:r w:rsidRPr="00A32AF4">
              <w:rPr>
                <w:rFonts w:cs="Arial"/>
                <w:sz w:val="16"/>
                <w:szCs w:val="16"/>
                <w:lang w:eastAsia="fr-FR"/>
              </w:rPr>
              <w:t>–</w:t>
            </w:r>
          </w:p>
        </w:tc>
      </w:tr>
      <w:tr w:rsidR="008F6432" w:rsidRPr="00A32AF4" w:rsidTr="008F6432">
        <w:trPr>
          <w:cantSplit/>
        </w:trPr>
        <w:tc>
          <w:tcPr>
            <w:tcW w:w="592" w:type="dxa"/>
            <w:shd w:val="clear" w:color="auto" w:fill="auto"/>
            <w:noWrap/>
            <w:tcMar>
              <w:top w:w="113" w:type="dxa"/>
              <w:bottom w:w="113" w:type="dxa"/>
            </w:tcMar>
            <w:vAlign w:val="center"/>
            <w:hideMark/>
          </w:tcPr>
          <w:p w:rsidR="008F6432" w:rsidRPr="00A32AF4" w:rsidRDefault="008F6432" w:rsidP="00DC0553">
            <w:pPr>
              <w:rPr>
                <w:rFonts w:cs="Arial"/>
                <w:sz w:val="16"/>
                <w:szCs w:val="16"/>
                <w:lang w:eastAsia="fr-FR"/>
              </w:rPr>
            </w:pPr>
            <w:r w:rsidRPr="00A32AF4">
              <w:rPr>
                <w:rFonts w:cs="Arial"/>
                <w:sz w:val="16"/>
                <w:szCs w:val="16"/>
                <w:lang w:eastAsia="fr-FR"/>
              </w:rPr>
              <w:t>III.2</w:t>
            </w:r>
          </w:p>
        </w:tc>
        <w:tc>
          <w:tcPr>
            <w:tcW w:w="4428" w:type="dxa"/>
            <w:shd w:val="clear" w:color="auto" w:fill="auto"/>
            <w:tcMar>
              <w:top w:w="113" w:type="dxa"/>
              <w:bottom w:w="113" w:type="dxa"/>
            </w:tcMar>
            <w:vAlign w:val="center"/>
            <w:hideMark/>
          </w:tcPr>
          <w:p w:rsidR="008F6432" w:rsidRPr="00A32AF4" w:rsidRDefault="008F6432" w:rsidP="00DC0553">
            <w:pPr>
              <w:rPr>
                <w:rFonts w:cs="Arial"/>
                <w:sz w:val="16"/>
                <w:szCs w:val="16"/>
                <w:lang w:eastAsia="fr-FR"/>
              </w:rPr>
            </w:pPr>
            <w:r w:rsidRPr="00A32AF4">
              <w:rPr>
                <w:rFonts w:cs="Arial"/>
                <w:sz w:val="16"/>
                <w:szCs w:val="16"/>
                <w:lang w:eastAsia="fr-FR"/>
              </w:rPr>
              <w:t>Mise en valeur des ressources humaines pour répondre aux diverses exigences en matière d</w:t>
            </w:r>
            <w:r w:rsidR="00E2055A" w:rsidRPr="00A32AF4">
              <w:rPr>
                <w:rFonts w:cs="Arial"/>
                <w:sz w:val="16"/>
                <w:szCs w:val="16"/>
                <w:lang w:eastAsia="fr-FR"/>
              </w:rPr>
              <w:t>’</w:t>
            </w:r>
            <w:r w:rsidRPr="00A32AF4">
              <w:rPr>
                <w:rFonts w:cs="Arial"/>
                <w:sz w:val="16"/>
                <w:szCs w:val="16"/>
                <w:lang w:eastAsia="fr-FR"/>
              </w:rPr>
              <w:t>utilisation efficace de la propriété intellectuelle au service du développement dans les pays en développement,</w:t>
            </w:r>
            <w:r w:rsidR="00E2055A" w:rsidRPr="00A32AF4">
              <w:rPr>
                <w:rFonts w:cs="Arial"/>
                <w:sz w:val="16"/>
                <w:szCs w:val="16"/>
                <w:lang w:eastAsia="fr-FR"/>
              </w:rPr>
              <w:t xml:space="preserve"> les PMA</w:t>
            </w:r>
            <w:r w:rsidRPr="00A32AF4">
              <w:rPr>
                <w:rFonts w:cs="Arial"/>
                <w:sz w:val="16"/>
                <w:szCs w:val="16"/>
                <w:lang w:eastAsia="fr-FR"/>
              </w:rPr>
              <w:t xml:space="preserve"> et les pays en transition</w:t>
            </w:r>
          </w:p>
        </w:tc>
        <w:tc>
          <w:tcPr>
            <w:tcW w:w="1260" w:type="dxa"/>
            <w:shd w:val="clear" w:color="auto" w:fill="auto"/>
            <w:tcMar>
              <w:top w:w="113" w:type="dxa"/>
              <w:bottom w:w="113" w:type="dxa"/>
            </w:tcMar>
            <w:vAlign w:val="center"/>
            <w:hideMark/>
          </w:tcPr>
          <w:p w:rsidR="008F6432" w:rsidRPr="00A32AF4" w:rsidRDefault="008F6432" w:rsidP="00DC0553">
            <w:pPr>
              <w:jc w:val="right"/>
              <w:rPr>
                <w:rFonts w:cs="Arial"/>
                <w:sz w:val="16"/>
                <w:szCs w:val="16"/>
                <w:lang w:eastAsia="fr-FR"/>
              </w:rPr>
            </w:pPr>
            <w:r w:rsidRPr="00A32AF4">
              <w:rPr>
                <w:rFonts w:cs="Arial"/>
                <w:sz w:val="16"/>
                <w:szCs w:val="16"/>
                <w:lang w:eastAsia="fr-FR"/>
              </w:rPr>
              <w:t xml:space="preserve">1231 </w:t>
            </w:r>
          </w:p>
        </w:tc>
        <w:tc>
          <w:tcPr>
            <w:tcW w:w="1440" w:type="dxa"/>
            <w:shd w:val="clear" w:color="auto" w:fill="auto"/>
            <w:tcMar>
              <w:top w:w="113" w:type="dxa"/>
              <w:bottom w:w="113" w:type="dxa"/>
            </w:tcMar>
            <w:vAlign w:val="center"/>
            <w:hideMark/>
          </w:tcPr>
          <w:p w:rsidR="008F6432" w:rsidRPr="00A32AF4" w:rsidRDefault="008F6432" w:rsidP="00DC0553">
            <w:pPr>
              <w:jc w:val="right"/>
              <w:rPr>
                <w:rFonts w:cs="Arial"/>
                <w:sz w:val="16"/>
                <w:szCs w:val="16"/>
                <w:lang w:eastAsia="fr-FR"/>
              </w:rPr>
            </w:pPr>
            <w:r w:rsidRPr="00A32AF4">
              <w:rPr>
                <w:rFonts w:cs="Arial"/>
                <w:sz w:val="16"/>
                <w:szCs w:val="16"/>
                <w:lang w:eastAsia="fr-FR"/>
              </w:rPr>
              <w:t xml:space="preserve">1 270 </w:t>
            </w:r>
          </w:p>
        </w:tc>
        <w:tc>
          <w:tcPr>
            <w:tcW w:w="1260" w:type="dxa"/>
            <w:shd w:val="clear" w:color="auto" w:fill="auto"/>
            <w:noWrap/>
            <w:tcMar>
              <w:top w:w="113" w:type="dxa"/>
              <w:bottom w:w="113" w:type="dxa"/>
            </w:tcMar>
            <w:vAlign w:val="center"/>
            <w:hideMark/>
          </w:tcPr>
          <w:p w:rsidR="008F6432" w:rsidRPr="00A32AF4" w:rsidRDefault="008F6432" w:rsidP="00DC0553">
            <w:pPr>
              <w:jc w:val="right"/>
              <w:rPr>
                <w:rFonts w:cs="Arial"/>
                <w:color w:val="000000"/>
                <w:sz w:val="16"/>
                <w:szCs w:val="16"/>
                <w:lang w:eastAsia="fr-FR"/>
              </w:rPr>
            </w:pPr>
            <w:r w:rsidRPr="00A32AF4">
              <w:rPr>
                <w:rFonts w:cs="Arial"/>
                <w:color w:val="000000"/>
                <w:sz w:val="16"/>
                <w:szCs w:val="16"/>
                <w:lang w:eastAsia="fr-FR"/>
              </w:rPr>
              <w:t xml:space="preserve">858 </w:t>
            </w:r>
          </w:p>
        </w:tc>
      </w:tr>
      <w:tr w:rsidR="008F6432" w:rsidRPr="00A32AF4" w:rsidTr="008F6432">
        <w:trPr>
          <w:cantSplit/>
        </w:trPr>
        <w:tc>
          <w:tcPr>
            <w:tcW w:w="592" w:type="dxa"/>
            <w:shd w:val="clear" w:color="auto" w:fill="auto"/>
            <w:noWrap/>
            <w:tcMar>
              <w:top w:w="113" w:type="dxa"/>
              <w:bottom w:w="113" w:type="dxa"/>
            </w:tcMar>
            <w:vAlign w:val="center"/>
            <w:hideMark/>
          </w:tcPr>
          <w:p w:rsidR="008F6432" w:rsidRPr="00A32AF4" w:rsidRDefault="008F6432" w:rsidP="00DC0553">
            <w:pPr>
              <w:rPr>
                <w:rFonts w:cs="Arial"/>
                <w:sz w:val="16"/>
                <w:szCs w:val="16"/>
                <w:lang w:eastAsia="fr-FR"/>
              </w:rPr>
            </w:pPr>
            <w:r w:rsidRPr="00A32AF4">
              <w:rPr>
                <w:rFonts w:cs="Arial"/>
                <w:sz w:val="16"/>
                <w:szCs w:val="16"/>
                <w:lang w:eastAsia="fr-FR"/>
              </w:rPr>
              <w:t>IV.2</w:t>
            </w:r>
          </w:p>
        </w:tc>
        <w:tc>
          <w:tcPr>
            <w:tcW w:w="4428" w:type="dxa"/>
            <w:shd w:val="clear" w:color="auto" w:fill="auto"/>
            <w:tcMar>
              <w:top w:w="113" w:type="dxa"/>
              <w:bottom w:w="113" w:type="dxa"/>
            </w:tcMar>
            <w:vAlign w:val="center"/>
            <w:hideMark/>
          </w:tcPr>
          <w:p w:rsidR="008F6432" w:rsidRPr="00A32AF4" w:rsidRDefault="008F6432" w:rsidP="00DC0553">
            <w:pPr>
              <w:rPr>
                <w:rFonts w:cs="Arial"/>
                <w:sz w:val="16"/>
                <w:szCs w:val="16"/>
                <w:lang w:eastAsia="fr-FR"/>
              </w:rPr>
            </w:pPr>
            <w:r w:rsidRPr="00A32AF4">
              <w:rPr>
                <w:rFonts w:cs="Arial"/>
                <w:sz w:val="16"/>
                <w:szCs w:val="16"/>
                <w:lang w:eastAsia="fr-FR"/>
              </w:rPr>
              <w:t>Amélioration de l</w:t>
            </w:r>
            <w:r w:rsidR="00E2055A" w:rsidRPr="00A32AF4">
              <w:rPr>
                <w:rFonts w:cs="Arial"/>
                <w:sz w:val="16"/>
                <w:szCs w:val="16"/>
                <w:lang w:eastAsia="fr-FR"/>
              </w:rPr>
              <w:t>’</w:t>
            </w:r>
            <w:r w:rsidRPr="00A32AF4">
              <w:rPr>
                <w:rFonts w:cs="Arial"/>
                <w:sz w:val="16"/>
                <w:szCs w:val="16"/>
                <w:lang w:eastAsia="fr-FR"/>
              </w:rPr>
              <w:t>accessibilité et de l</w:t>
            </w:r>
            <w:r w:rsidR="00E2055A" w:rsidRPr="00A32AF4">
              <w:rPr>
                <w:rFonts w:cs="Arial"/>
                <w:sz w:val="16"/>
                <w:szCs w:val="16"/>
                <w:lang w:eastAsia="fr-FR"/>
              </w:rPr>
              <w:t>’</w:t>
            </w:r>
            <w:r w:rsidRPr="00A32AF4">
              <w:rPr>
                <w:rFonts w:cs="Arial"/>
                <w:sz w:val="16"/>
                <w:szCs w:val="16"/>
                <w:lang w:eastAsia="fr-FR"/>
              </w:rPr>
              <w:t>utilisation de l</w:t>
            </w:r>
            <w:r w:rsidR="00E2055A" w:rsidRPr="00A32AF4">
              <w:rPr>
                <w:rFonts w:cs="Arial"/>
                <w:sz w:val="16"/>
                <w:szCs w:val="16"/>
                <w:lang w:eastAsia="fr-FR"/>
              </w:rPr>
              <w:t>’</w:t>
            </w:r>
            <w:r w:rsidRPr="00A32AF4">
              <w:rPr>
                <w:rFonts w:cs="Arial"/>
                <w:sz w:val="16"/>
                <w:szCs w:val="16"/>
                <w:lang w:eastAsia="fr-FR"/>
              </w:rPr>
              <w:t>information en matière de propriété intellectuelle par les institutions compétentes et le public afin de promouvoir l</w:t>
            </w:r>
            <w:r w:rsidR="00E2055A" w:rsidRPr="00A32AF4">
              <w:rPr>
                <w:rFonts w:cs="Arial"/>
                <w:sz w:val="16"/>
                <w:szCs w:val="16"/>
                <w:lang w:eastAsia="fr-FR"/>
              </w:rPr>
              <w:t>’</w:t>
            </w:r>
            <w:r w:rsidRPr="00A32AF4">
              <w:rPr>
                <w:rFonts w:cs="Arial"/>
                <w:sz w:val="16"/>
                <w:szCs w:val="16"/>
                <w:lang w:eastAsia="fr-FR"/>
              </w:rPr>
              <w:t>innovation et la créativité</w:t>
            </w:r>
          </w:p>
        </w:tc>
        <w:tc>
          <w:tcPr>
            <w:tcW w:w="1260" w:type="dxa"/>
            <w:shd w:val="clear" w:color="auto" w:fill="auto"/>
            <w:tcMar>
              <w:top w:w="113" w:type="dxa"/>
              <w:bottom w:w="113" w:type="dxa"/>
            </w:tcMar>
            <w:vAlign w:val="center"/>
            <w:hideMark/>
          </w:tcPr>
          <w:p w:rsidR="008F6432" w:rsidRPr="00A32AF4" w:rsidRDefault="008F6432" w:rsidP="00DC0553">
            <w:pPr>
              <w:jc w:val="right"/>
              <w:rPr>
                <w:rFonts w:cs="Arial"/>
                <w:sz w:val="16"/>
                <w:szCs w:val="16"/>
                <w:lang w:eastAsia="fr-FR"/>
              </w:rPr>
            </w:pPr>
            <w:r w:rsidRPr="00A32AF4">
              <w:rPr>
                <w:rFonts w:cs="Arial"/>
                <w:sz w:val="16"/>
                <w:szCs w:val="16"/>
                <w:lang w:eastAsia="fr-FR"/>
              </w:rPr>
              <w:t xml:space="preserve">774 </w:t>
            </w:r>
          </w:p>
        </w:tc>
        <w:tc>
          <w:tcPr>
            <w:tcW w:w="1440" w:type="dxa"/>
            <w:shd w:val="clear" w:color="auto" w:fill="auto"/>
            <w:tcMar>
              <w:top w:w="113" w:type="dxa"/>
              <w:bottom w:w="113" w:type="dxa"/>
            </w:tcMar>
            <w:vAlign w:val="center"/>
            <w:hideMark/>
          </w:tcPr>
          <w:p w:rsidR="008F6432" w:rsidRPr="00A32AF4" w:rsidRDefault="008F6432" w:rsidP="00DC0553">
            <w:pPr>
              <w:jc w:val="right"/>
              <w:rPr>
                <w:rFonts w:cs="Arial"/>
                <w:sz w:val="16"/>
                <w:szCs w:val="16"/>
                <w:lang w:eastAsia="fr-FR"/>
              </w:rPr>
            </w:pPr>
            <w:r w:rsidRPr="00A32AF4">
              <w:rPr>
                <w:rFonts w:cs="Arial"/>
                <w:sz w:val="16"/>
                <w:szCs w:val="16"/>
                <w:lang w:eastAsia="fr-FR"/>
              </w:rPr>
              <w:t xml:space="preserve">354 </w:t>
            </w:r>
          </w:p>
        </w:tc>
        <w:tc>
          <w:tcPr>
            <w:tcW w:w="1260" w:type="dxa"/>
            <w:shd w:val="clear" w:color="auto" w:fill="auto"/>
            <w:noWrap/>
            <w:tcMar>
              <w:top w:w="113" w:type="dxa"/>
              <w:bottom w:w="113" w:type="dxa"/>
            </w:tcMar>
            <w:vAlign w:val="center"/>
            <w:hideMark/>
          </w:tcPr>
          <w:p w:rsidR="008F6432" w:rsidRPr="00A32AF4" w:rsidRDefault="008F6432" w:rsidP="00DC0553">
            <w:pPr>
              <w:jc w:val="right"/>
              <w:rPr>
                <w:rFonts w:cs="Arial"/>
                <w:color w:val="000000"/>
                <w:sz w:val="16"/>
                <w:szCs w:val="16"/>
                <w:lang w:eastAsia="fr-FR"/>
              </w:rPr>
            </w:pPr>
            <w:r w:rsidRPr="00A32AF4">
              <w:rPr>
                <w:rFonts w:cs="Arial"/>
                <w:color w:val="000000"/>
                <w:sz w:val="16"/>
                <w:szCs w:val="16"/>
                <w:lang w:eastAsia="fr-FR"/>
              </w:rPr>
              <w:t xml:space="preserve">1209 </w:t>
            </w:r>
          </w:p>
        </w:tc>
      </w:tr>
      <w:tr w:rsidR="008F6432" w:rsidRPr="00A32AF4" w:rsidTr="008F6432">
        <w:trPr>
          <w:cantSplit/>
        </w:trPr>
        <w:tc>
          <w:tcPr>
            <w:tcW w:w="592" w:type="dxa"/>
            <w:shd w:val="clear" w:color="auto" w:fill="auto"/>
            <w:noWrap/>
            <w:tcMar>
              <w:top w:w="113" w:type="dxa"/>
              <w:bottom w:w="113" w:type="dxa"/>
            </w:tcMar>
            <w:vAlign w:val="center"/>
            <w:hideMark/>
          </w:tcPr>
          <w:p w:rsidR="008F6432" w:rsidRPr="00A32AF4" w:rsidRDefault="008F6432" w:rsidP="00DC0553">
            <w:pPr>
              <w:rPr>
                <w:rFonts w:cs="Arial"/>
                <w:sz w:val="16"/>
                <w:szCs w:val="16"/>
                <w:lang w:eastAsia="fr-FR"/>
              </w:rPr>
            </w:pPr>
            <w:r w:rsidRPr="00A32AF4">
              <w:rPr>
                <w:rFonts w:cs="Arial"/>
                <w:sz w:val="16"/>
                <w:szCs w:val="16"/>
                <w:lang w:eastAsia="fr-FR"/>
              </w:rPr>
              <w:t>IV.4</w:t>
            </w:r>
          </w:p>
        </w:tc>
        <w:tc>
          <w:tcPr>
            <w:tcW w:w="4428" w:type="dxa"/>
            <w:shd w:val="clear" w:color="auto" w:fill="auto"/>
            <w:tcMar>
              <w:top w:w="113" w:type="dxa"/>
              <w:bottom w:w="113" w:type="dxa"/>
            </w:tcMar>
            <w:vAlign w:val="center"/>
            <w:hideMark/>
          </w:tcPr>
          <w:p w:rsidR="008F6432" w:rsidRPr="00A32AF4" w:rsidRDefault="008F6432" w:rsidP="00DC0553">
            <w:pPr>
              <w:rPr>
                <w:rFonts w:cs="Arial"/>
                <w:sz w:val="16"/>
                <w:szCs w:val="16"/>
                <w:lang w:eastAsia="fr-FR"/>
              </w:rPr>
            </w:pPr>
            <w:r w:rsidRPr="00A32AF4">
              <w:rPr>
                <w:rFonts w:cs="Arial"/>
                <w:sz w:val="16"/>
                <w:szCs w:val="16"/>
                <w:lang w:eastAsia="fr-FR"/>
              </w:rPr>
              <w:t>Amélioration de l</w:t>
            </w:r>
            <w:r w:rsidR="00E2055A" w:rsidRPr="00A32AF4">
              <w:rPr>
                <w:rFonts w:cs="Arial"/>
                <w:sz w:val="16"/>
                <w:szCs w:val="16"/>
                <w:lang w:eastAsia="fr-FR"/>
              </w:rPr>
              <w:t>’</w:t>
            </w:r>
            <w:r w:rsidRPr="00A32AF4">
              <w:rPr>
                <w:rFonts w:cs="Arial"/>
                <w:sz w:val="16"/>
                <w:szCs w:val="16"/>
                <w:lang w:eastAsia="fr-FR"/>
              </w:rPr>
              <w:t>infrastructure technique et du savoir pour les offices de propriété intellectuelle et les autres institutions de propriété intellectuelle, leur permettant de fournir à leurs parties prenantes des services améliorés (moins chers, plus rapides, de meilleure qualité) et d</w:t>
            </w:r>
            <w:r w:rsidR="00E2055A" w:rsidRPr="00A32AF4">
              <w:rPr>
                <w:rFonts w:cs="Arial"/>
                <w:sz w:val="16"/>
                <w:szCs w:val="16"/>
                <w:lang w:eastAsia="fr-FR"/>
              </w:rPr>
              <w:t>’</w:t>
            </w:r>
            <w:r w:rsidRPr="00A32AF4">
              <w:rPr>
                <w:rFonts w:cs="Arial"/>
                <w:sz w:val="16"/>
                <w:szCs w:val="16"/>
                <w:lang w:eastAsia="fr-FR"/>
              </w:rPr>
              <w:t>obtenir un meilleur résultat pour ce qui concerne l</w:t>
            </w:r>
            <w:r w:rsidR="00E2055A" w:rsidRPr="00A32AF4">
              <w:rPr>
                <w:rFonts w:cs="Arial"/>
                <w:sz w:val="16"/>
                <w:szCs w:val="16"/>
                <w:lang w:eastAsia="fr-FR"/>
              </w:rPr>
              <w:t>’</w:t>
            </w:r>
            <w:r w:rsidRPr="00A32AF4">
              <w:rPr>
                <w:rFonts w:cs="Arial"/>
                <w:sz w:val="16"/>
                <w:szCs w:val="16"/>
                <w:lang w:eastAsia="fr-FR"/>
              </w:rPr>
              <w:t>administration de la propriété intellectuelle</w:t>
            </w:r>
          </w:p>
        </w:tc>
        <w:tc>
          <w:tcPr>
            <w:tcW w:w="1260" w:type="dxa"/>
            <w:shd w:val="clear" w:color="auto" w:fill="auto"/>
            <w:tcMar>
              <w:top w:w="113" w:type="dxa"/>
              <w:bottom w:w="113" w:type="dxa"/>
            </w:tcMar>
            <w:vAlign w:val="center"/>
            <w:hideMark/>
          </w:tcPr>
          <w:p w:rsidR="008F6432" w:rsidRPr="00A32AF4" w:rsidRDefault="008F6432" w:rsidP="00DC0553">
            <w:pPr>
              <w:jc w:val="right"/>
              <w:rPr>
                <w:rFonts w:cs="Arial"/>
                <w:sz w:val="16"/>
                <w:szCs w:val="16"/>
                <w:lang w:eastAsia="fr-FR"/>
              </w:rPr>
            </w:pPr>
            <w:r w:rsidRPr="00A32AF4">
              <w:rPr>
                <w:rFonts w:cs="Arial"/>
                <w:sz w:val="16"/>
                <w:szCs w:val="16"/>
                <w:lang w:eastAsia="fr-FR"/>
              </w:rPr>
              <w:t>–</w:t>
            </w:r>
          </w:p>
        </w:tc>
        <w:tc>
          <w:tcPr>
            <w:tcW w:w="1440" w:type="dxa"/>
            <w:shd w:val="clear" w:color="auto" w:fill="auto"/>
            <w:tcMar>
              <w:top w:w="113" w:type="dxa"/>
              <w:bottom w:w="113" w:type="dxa"/>
            </w:tcMar>
            <w:vAlign w:val="center"/>
            <w:hideMark/>
          </w:tcPr>
          <w:p w:rsidR="008F6432" w:rsidRPr="00A32AF4" w:rsidRDefault="008F6432" w:rsidP="00DC0553">
            <w:pPr>
              <w:jc w:val="right"/>
              <w:rPr>
                <w:rFonts w:cs="Arial"/>
                <w:sz w:val="16"/>
                <w:szCs w:val="16"/>
                <w:lang w:eastAsia="fr-FR"/>
              </w:rPr>
            </w:pPr>
            <w:r w:rsidRPr="00A32AF4">
              <w:rPr>
                <w:rFonts w:cs="Arial"/>
                <w:sz w:val="16"/>
                <w:szCs w:val="16"/>
                <w:lang w:eastAsia="fr-FR"/>
              </w:rPr>
              <w:t xml:space="preserve"> –</w:t>
            </w:r>
          </w:p>
        </w:tc>
        <w:tc>
          <w:tcPr>
            <w:tcW w:w="1260" w:type="dxa"/>
            <w:shd w:val="clear" w:color="auto" w:fill="auto"/>
            <w:noWrap/>
            <w:tcMar>
              <w:top w:w="113" w:type="dxa"/>
              <w:bottom w:w="113" w:type="dxa"/>
            </w:tcMar>
            <w:vAlign w:val="center"/>
            <w:hideMark/>
          </w:tcPr>
          <w:p w:rsidR="008F6432" w:rsidRPr="00A32AF4" w:rsidRDefault="008F6432" w:rsidP="00DC0553">
            <w:pPr>
              <w:jc w:val="right"/>
              <w:rPr>
                <w:rFonts w:cs="Arial"/>
                <w:color w:val="000000"/>
                <w:sz w:val="16"/>
                <w:szCs w:val="16"/>
                <w:lang w:eastAsia="fr-FR"/>
              </w:rPr>
            </w:pPr>
            <w:r w:rsidRPr="00A32AF4">
              <w:rPr>
                <w:rFonts w:cs="Arial"/>
                <w:color w:val="000000"/>
                <w:sz w:val="16"/>
                <w:szCs w:val="16"/>
                <w:lang w:eastAsia="fr-FR"/>
              </w:rPr>
              <w:t xml:space="preserve">264 </w:t>
            </w:r>
          </w:p>
        </w:tc>
      </w:tr>
      <w:tr w:rsidR="008F6432" w:rsidRPr="00A32AF4" w:rsidTr="008F6432">
        <w:trPr>
          <w:cantSplit/>
        </w:trPr>
        <w:tc>
          <w:tcPr>
            <w:tcW w:w="592" w:type="dxa"/>
            <w:shd w:val="clear" w:color="auto" w:fill="auto"/>
            <w:noWrap/>
            <w:tcMar>
              <w:top w:w="113" w:type="dxa"/>
              <w:bottom w:w="113" w:type="dxa"/>
            </w:tcMar>
            <w:vAlign w:val="center"/>
            <w:hideMark/>
          </w:tcPr>
          <w:p w:rsidR="008F6432" w:rsidRPr="00A32AF4" w:rsidRDefault="008F6432" w:rsidP="00DC0553">
            <w:pPr>
              <w:rPr>
                <w:rFonts w:cs="Arial"/>
                <w:sz w:val="16"/>
                <w:szCs w:val="16"/>
                <w:lang w:eastAsia="fr-FR"/>
              </w:rPr>
            </w:pPr>
            <w:r w:rsidRPr="00A32AF4">
              <w:rPr>
                <w:rFonts w:cs="Arial"/>
                <w:sz w:val="16"/>
                <w:szCs w:val="16"/>
                <w:lang w:eastAsia="fr-FR"/>
              </w:rPr>
              <w:t>VII.2</w:t>
            </w:r>
          </w:p>
        </w:tc>
        <w:tc>
          <w:tcPr>
            <w:tcW w:w="4428" w:type="dxa"/>
            <w:shd w:val="clear" w:color="auto" w:fill="auto"/>
            <w:tcMar>
              <w:top w:w="113" w:type="dxa"/>
              <w:bottom w:w="113" w:type="dxa"/>
            </w:tcMar>
            <w:vAlign w:val="center"/>
            <w:hideMark/>
          </w:tcPr>
          <w:p w:rsidR="008F6432" w:rsidRPr="00A32AF4" w:rsidRDefault="008F6432" w:rsidP="00DC0553">
            <w:pPr>
              <w:rPr>
                <w:rFonts w:cs="Arial"/>
                <w:sz w:val="16"/>
                <w:szCs w:val="16"/>
                <w:lang w:eastAsia="fr-FR"/>
              </w:rPr>
            </w:pPr>
            <w:r w:rsidRPr="00A32AF4">
              <w:rPr>
                <w:rFonts w:cs="Arial"/>
                <w:sz w:val="16"/>
                <w:szCs w:val="16"/>
                <w:lang w:eastAsia="fr-FR"/>
              </w:rPr>
              <w:t>Plates</w:t>
            </w:r>
            <w:r w:rsidR="00EB7F54" w:rsidRPr="00A32AF4">
              <w:rPr>
                <w:rFonts w:cs="Arial"/>
                <w:sz w:val="16"/>
                <w:szCs w:val="16"/>
                <w:lang w:eastAsia="fr-FR"/>
              </w:rPr>
              <w:noBreakHyphen/>
            </w:r>
            <w:r w:rsidRPr="00A32AF4">
              <w:rPr>
                <w:rFonts w:cs="Arial"/>
                <w:sz w:val="16"/>
                <w:szCs w:val="16"/>
                <w:lang w:eastAsia="fr-FR"/>
              </w:rPr>
              <w:t>formes et instruments fondés sur la propriété intellectuelle pour le transfert de connaissances et l</w:t>
            </w:r>
            <w:r w:rsidR="00E2055A" w:rsidRPr="00A32AF4">
              <w:rPr>
                <w:rFonts w:cs="Arial"/>
                <w:sz w:val="16"/>
                <w:szCs w:val="16"/>
                <w:lang w:eastAsia="fr-FR"/>
              </w:rPr>
              <w:t>’</w:t>
            </w:r>
            <w:r w:rsidRPr="00A32AF4">
              <w:rPr>
                <w:rFonts w:cs="Arial"/>
                <w:sz w:val="16"/>
                <w:szCs w:val="16"/>
                <w:lang w:eastAsia="fr-FR"/>
              </w:rPr>
              <w:t>adaptation et la diffusion de la technologie entre les pays développés et les pays en développement, notamment</w:t>
            </w:r>
            <w:r w:rsidR="00E2055A" w:rsidRPr="00A32AF4">
              <w:rPr>
                <w:rFonts w:cs="Arial"/>
                <w:sz w:val="16"/>
                <w:szCs w:val="16"/>
                <w:lang w:eastAsia="fr-FR"/>
              </w:rPr>
              <w:t xml:space="preserve"> les PMA</w:t>
            </w:r>
            <w:r w:rsidRPr="00A32AF4">
              <w:rPr>
                <w:rFonts w:cs="Arial"/>
                <w:sz w:val="16"/>
                <w:szCs w:val="16"/>
                <w:lang w:eastAsia="fr-FR"/>
              </w:rPr>
              <w:t>, pour relever des défis mondiaux</w:t>
            </w:r>
          </w:p>
        </w:tc>
        <w:tc>
          <w:tcPr>
            <w:tcW w:w="1260" w:type="dxa"/>
            <w:shd w:val="clear" w:color="auto" w:fill="auto"/>
            <w:tcMar>
              <w:top w:w="113" w:type="dxa"/>
              <w:bottom w:w="113" w:type="dxa"/>
            </w:tcMar>
            <w:vAlign w:val="center"/>
            <w:hideMark/>
          </w:tcPr>
          <w:p w:rsidR="008F6432" w:rsidRPr="00A32AF4" w:rsidRDefault="008F6432" w:rsidP="00DC0553">
            <w:pPr>
              <w:jc w:val="right"/>
              <w:rPr>
                <w:rFonts w:cs="Arial"/>
                <w:sz w:val="16"/>
                <w:szCs w:val="16"/>
                <w:lang w:eastAsia="fr-FR"/>
              </w:rPr>
            </w:pPr>
            <w:r w:rsidRPr="00A32AF4">
              <w:rPr>
                <w:rFonts w:cs="Arial"/>
                <w:sz w:val="16"/>
                <w:szCs w:val="16"/>
                <w:lang w:eastAsia="fr-FR"/>
              </w:rPr>
              <w:t xml:space="preserve">304 </w:t>
            </w:r>
          </w:p>
        </w:tc>
        <w:tc>
          <w:tcPr>
            <w:tcW w:w="1440" w:type="dxa"/>
            <w:shd w:val="clear" w:color="auto" w:fill="auto"/>
            <w:tcMar>
              <w:top w:w="113" w:type="dxa"/>
              <w:bottom w:w="113" w:type="dxa"/>
            </w:tcMar>
            <w:vAlign w:val="center"/>
            <w:hideMark/>
          </w:tcPr>
          <w:p w:rsidR="008F6432" w:rsidRPr="00A32AF4" w:rsidRDefault="008F6432" w:rsidP="00DC0553">
            <w:pPr>
              <w:jc w:val="right"/>
              <w:rPr>
                <w:rFonts w:cs="Arial"/>
                <w:sz w:val="16"/>
                <w:szCs w:val="16"/>
                <w:lang w:eastAsia="fr-FR"/>
              </w:rPr>
            </w:pPr>
            <w:r w:rsidRPr="00A32AF4">
              <w:rPr>
                <w:rFonts w:cs="Arial"/>
                <w:sz w:val="16"/>
                <w:szCs w:val="16"/>
                <w:lang w:eastAsia="fr-FR"/>
              </w:rPr>
              <w:t xml:space="preserve">212 </w:t>
            </w:r>
          </w:p>
        </w:tc>
        <w:tc>
          <w:tcPr>
            <w:tcW w:w="1260" w:type="dxa"/>
            <w:shd w:val="clear" w:color="auto" w:fill="auto"/>
            <w:noWrap/>
            <w:tcMar>
              <w:top w:w="113" w:type="dxa"/>
              <w:bottom w:w="113" w:type="dxa"/>
            </w:tcMar>
            <w:vAlign w:val="center"/>
            <w:hideMark/>
          </w:tcPr>
          <w:p w:rsidR="008F6432" w:rsidRPr="00A32AF4" w:rsidRDefault="008F6432" w:rsidP="00DC0553">
            <w:pPr>
              <w:jc w:val="right"/>
              <w:rPr>
                <w:rFonts w:cs="Arial"/>
                <w:color w:val="000000"/>
                <w:sz w:val="16"/>
                <w:szCs w:val="16"/>
                <w:lang w:eastAsia="fr-FR"/>
              </w:rPr>
            </w:pPr>
            <w:r w:rsidRPr="00A32AF4">
              <w:rPr>
                <w:rFonts w:cs="Arial"/>
                <w:color w:val="000000"/>
                <w:sz w:val="16"/>
                <w:szCs w:val="16"/>
                <w:lang w:eastAsia="fr-FR"/>
              </w:rPr>
              <w:t xml:space="preserve">452 </w:t>
            </w:r>
          </w:p>
        </w:tc>
      </w:tr>
      <w:tr w:rsidR="008F6432" w:rsidRPr="00A32AF4" w:rsidTr="008F6432">
        <w:trPr>
          <w:cantSplit/>
        </w:trPr>
        <w:tc>
          <w:tcPr>
            <w:tcW w:w="592" w:type="dxa"/>
            <w:shd w:val="clear" w:color="auto" w:fill="auto"/>
            <w:noWrap/>
            <w:tcMar>
              <w:top w:w="113" w:type="dxa"/>
              <w:bottom w:w="113" w:type="dxa"/>
            </w:tcMar>
            <w:vAlign w:val="center"/>
            <w:hideMark/>
          </w:tcPr>
          <w:p w:rsidR="008F6432" w:rsidRPr="00A32AF4" w:rsidRDefault="008F6432" w:rsidP="00DC0553">
            <w:pPr>
              <w:rPr>
                <w:rFonts w:cs="Arial"/>
                <w:sz w:val="16"/>
                <w:szCs w:val="16"/>
                <w:lang w:eastAsia="fr-FR"/>
              </w:rPr>
            </w:pPr>
            <w:r w:rsidRPr="00A32AF4">
              <w:rPr>
                <w:rFonts w:cs="Arial"/>
                <w:sz w:val="16"/>
                <w:szCs w:val="16"/>
                <w:lang w:eastAsia="fr-FR"/>
              </w:rPr>
              <w:t>VIII.1</w:t>
            </w:r>
          </w:p>
        </w:tc>
        <w:tc>
          <w:tcPr>
            <w:tcW w:w="4428" w:type="dxa"/>
            <w:shd w:val="clear" w:color="auto" w:fill="auto"/>
            <w:tcMar>
              <w:top w:w="113" w:type="dxa"/>
              <w:bottom w:w="113" w:type="dxa"/>
            </w:tcMar>
            <w:vAlign w:val="center"/>
            <w:hideMark/>
          </w:tcPr>
          <w:p w:rsidR="008F6432" w:rsidRPr="00A32AF4" w:rsidRDefault="008F6432" w:rsidP="00DC0553">
            <w:pPr>
              <w:rPr>
                <w:rFonts w:cs="Arial"/>
                <w:sz w:val="16"/>
                <w:szCs w:val="16"/>
                <w:lang w:eastAsia="fr-FR"/>
              </w:rPr>
            </w:pPr>
            <w:r w:rsidRPr="00A32AF4">
              <w:rPr>
                <w:rFonts w:cs="Arial"/>
                <w:sz w:val="16"/>
                <w:szCs w:val="16"/>
                <w:lang w:eastAsia="fr-FR"/>
              </w:rPr>
              <w:t>Communication plus efficace avec le grand public concernant la propriété intellectuelle et le rôle de l</w:t>
            </w:r>
            <w:r w:rsidR="00E2055A" w:rsidRPr="00A32AF4">
              <w:rPr>
                <w:rFonts w:cs="Arial"/>
                <w:sz w:val="16"/>
                <w:szCs w:val="16"/>
                <w:lang w:eastAsia="fr-FR"/>
              </w:rPr>
              <w:t>’</w:t>
            </w:r>
            <w:r w:rsidRPr="00A32AF4">
              <w:rPr>
                <w:rFonts w:cs="Arial"/>
                <w:sz w:val="16"/>
                <w:szCs w:val="16"/>
                <w:lang w:eastAsia="fr-FR"/>
              </w:rPr>
              <w:t>OMPI</w:t>
            </w:r>
          </w:p>
        </w:tc>
        <w:tc>
          <w:tcPr>
            <w:tcW w:w="1260" w:type="dxa"/>
            <w:shd w:val="clear" w:color="auto" w:fill="auto"/>
            <w:tcMar>
              <w:top w:w="113" w:type="dxa"/>
              <w:bottom w:w="113" w:type="dxa"/>
            </w:tcMar>
            <w:vAlign w:val="center"/>
            <w:hideMark/>
          </w:tcPr>
          <w:p w:rsidR="008F6432" w:rsidRPr="00A32AF4" w:rsidRDefault="008F6432" w:rsidP="00DC0553">
            <w:pPr>
              <w:jc w:val="right"/>
              <w:rPr>
                <w:rFonts w:cs="Arial"/>
                <w:sz w:val="16"/>
                <w:szCs w:val="16"/>
                <w:lang w:eastAsia="fr-FR"/>
              </w:rPr>
            </w:pPr>
            <w:r w:rsidRPr="00A32AF4">
              <w:rPr>
                <w:rFonts w:cs="Arial"/>
                <w:sz w:val="16"/>
                <w:szCs w:val="16"/>
                <w:lang w:eastAsia="fr-FR"/>
              </w:rPr>
              <w:t xml:space="preserve">848 </w:t>
            </w:r>
          </w:p>
        </w:tc>
        <w:tc>
          <w:tcPr>
            <w:tcW w:w="1440" w:type="dxa"/>
            <w:shd w:val="clear" w:color="auto" w:fill="auto"/>
            <w:tcMar>
              <w:top w:w="113" w:type="dxa"/>
              <w:bottom w:w="113" w:type="dxa"/>
            </w:tcMar>
            <w:vAlign w:val="center"/>
            <w:hideMark/>
          </w:tcPr>
          <w:p w:rsidR="008F6432" w:rsidRPr="00A32AF4" w:rsidRDefault="008F6432" w:rsidP="00DC0553">
            <w:pPr>
              <w:jc w:val="right"/>
              <w:rPr>
                <w:rFonts w:cs="Arial"/>
                <w:sz w:val="16"/>
                <w:szCs w:val="16"/>
                <w:lang w:eastAsia="fr-FR"/>
              </w:rPr>
            </w:pPr>
            <w:r w:rsidRPr="00A32AF4">
              <w:rPr>
                <w:rFonts w:cs="Arial"/>
                <w:sz w:val="16"/>
                <w:szCs w:val="16"/>
                <w:lang w:eastAsia="fr-FR"/>
              </w:rPr>
              <w:t xml:space="preserve">1 152 </w:t>
            </w:r>
          </w:p>
        </w:tc>
        <w:tc>
          <w:tcPr>
            <w:tcW w:w="1260" w:type="dxa"/>
            <w:shd w:val="clear" w:color="auto" w:fill="auto"/>
            <w:noWrap/>
            <w:tcMar>
              <w:top w:w="113" w:type="dxa"/>
              <w:bottom w:w="113" w:type="dxa"/>
            </w:tcMar>
            <w:vAlign w:val="center"/>
            <w:hideMark/>
          </w:tcPr>
          <w:p w:rsidR="008F6432" w:rsidRPr="00A32AF4" w:rsidRDefault="008F6432" w:rsidP="00DC0553">
            <w:pPr>
              <w:jc w:val="right"/>
              <w:rPr>
                <w:rFonts w:cs="Arial"/>
                <w:color w:val="000000"/>
                <w:sz w:val="16"/>
                <w:szCs w:val="16"/>
                <w:lang w:eastAsia="fr-FR"/>
              </w:rPr>
            </w:pPr>
            <w:r w:rsidRPr="00A32AF4">
              <w:rPr>
                <w:rFonts w:cs="Arial"/>
                <w:color w:val="000000"/>
                <w:sz w:val="16"/>
                <w:szCs w:val="16"/>
                <w:lang w:eastAsia="fr-FR"/>
              </w:rPr>
              <w:t xml:space="preserve">878 </w:t>
            </w:r>
          </w:p>
        </w:tc>
      </w:tr>
      <w:tr w:rsidR="008F6432" w:rsidRPr="00A32AF4" w:rsidTr="008F6432">
        <w:trPr>
          <w:cantSplit/>
        </w:trPr>
        <w:tc>
          <w:tcPr>
            <w:tcW w:w="592" w:type="dxa"/>
            <w:shd w:val="clear" w:color="auto" w:fill="auto"/>
            <w:noWrap/>
            <w:tcMar>
              <w:top w:w="113" w:type="dxa"/>
              <w:bottom w:w="113" w:type="dxa"/>
            </w:tcMar>
            <w:vAlign w:val="center"/>
            <w:hideMark/>
          </w:tcPr>
          <w:p w:rsidR="008F6432" w:rsidRPr="00A32AF4" w:rsidRDefault="008F6432" w:rsidP="00DC0553">
            <w:pPr>
              <w:rPr>
                <w:rFonts w:cs="Arial"/>
                <w:sz w:val="16"/>
                <w:szCs w:val="16"/>
                <w:lang w:eastAsia="fr-FR"/>
              </w:rPr>
            </w:pPr>
            <w:r w:rsidRPr="00A32AF4">
              <w:rPr>
                <w:rFonts w:cs="Arial"/>
                <w:sz w:val="16"/>
                <w:szCs w:val="16"/>
                <w:lang w:eastAsia="fr-FR"/>
              </w:rPr>
              <w:t>VIII.2</w:t>
            </w:r>
          </w:p>
        </w:tc>
        <w:tc>
          <w:tcPr>
            <w:tcW w:w="4428" w:type="dxa"/>
            <w:shd w:val="clear" w:color="auto" w:fill="auto"/>
            <w:tcMar>
              <w:top w:w="113" w:type="dxa"/>
              <w:bottom w:w="113" w:type="dxa"/>
            </w:tcMar>
            <w:vAlign w:val="center"/>
            <w:hideMark/>
          </w:tcPr>
          <w:p w:rsidR="008F6432" w:rsidRPr="00A32AF4" w:rsidRDefault="008F6432" w:rsidP="00DC0553">
            <w:pPr>
              <w:rPr>
                <w:rFonts w:cs="Arial"/>
                <w:sz w:val="16"/>
                <w:szCs w:val="16"/>
                <w:lang w:eastAsia="fr-FR"/>
              </w:rPr>
            </w:pPr>
            <w:r w:rsidRPr="00A32AF4">
              <w:rPr>
                <w:rFonts w:cs="Arial"/>
                <w:sz w:val="16"/>
                <w:szCs w:val="16"/>
                <w:lang w:eastAsia="fr-FR"/>
              </w:rPr>
              <w:t>Amélioration de l</w:t>
            </w:r>
            <w:r w:rsidR="00E2055A" w:rsidRPr="00A32AF4">
              <w:rPr>
                <w:rFonts w:cs="Arial"/>
                <w:sz w:val="16"/>
                <w:szCs w:val="16"/>
                <w:lang w:eastAsia="fr-FR"/>
              </w:rPr>
              <w:t>’</w:t>
            </w:r>
            <w:r w:rsidRPr="00A32AF4">
              <w:rPr>
                <w:rFonts w:cs="Arial"/>
                <w:sz w:val="16"/>
                <w:szCs w:val="16"/>
                <w:lang w:eastAsia="fr-FR"/>
              </w:rPr>
              <w:t>orientation vers les services et de la réactivité à la demande</w:t>
            </w:r>
          </w:p>
        </w:tc>
        <w:tc>
          <w:tcPr>
            <w:tcW w:w="1260" w:type="dxa"/>
            <w:shd w:val="clear" w:color="auto" w:fill="auto"/>
            <w:tcMar>
              <w:top w:w="113" w:type="dxa"/>
              <w:bottom w:w="113" w:type="dxa"/>
            </w:tcMar>
            <w:vAlign w:val="center"/>
            <w:hideMark/>
          </w:tcPr>
          <w:p w:rsidR="008F6432" w:rsidRPr="00A32AF4" w:rsidRDefault="008F6432" w:rsidP="00DC0553">
            <w:pPr>
              <w:jc w:val="right"/>
              <w:rPr>
                <w:rFonts w:cs="Arial"/>
                <w:sz w:val="16"/>
                <w:szCs w:val="16"/>
                <w:lang w:eastAsia="fr-FR"/>
              </w:rPr>
            </w:pPr>
            <w:r w:rsidRPr="00A32AF4">
              <w:rPr>
                <w:rFonts w:cs="Arial"/>
                <w:sz w:val="16"/>
                <w:szCs w:val="16"/>
                <w:lang w:eastAsia="fr-FR"/>
              </w:rPr>
              <w:t xml:space="preserve">313 </w:t>
            </w:r>
          </w:p>
        </w:tc>
        <w:tc>
          <w:tcPr>
            <w:tcW w:w="1440" w:type="dxa"/>
            <w:shd w:val="clear" w:color="auto" w:fill="auto"/>
            <w:tcMar>
              <w:top w:w="113" w:type="dxa"/>
              <w:bottom w:w="113" w:type="dxa"/>
            </w:tcMar>
            <w:vAlign w:val="center"/>
            <w:hideMark/>
          </w:tcPr>
          <w:p w:rsidR="008F6432" w:rsidRPr="00A32AF4" w:rsidRDefault="008F6432" w:rsidP="00DC0553">
            <w:pPr>
              <w:jc w:val="right"/>
              <w:rPr>
                <w:rFonts w:cs="Arial"/>
                <w:sz w:val="16"/>
                <w:szCs w:val="16"/>
                <w:lang w:eastAsia="fr-FR"/>
              </w:rPr>
            </w:pPr>
            <w:r w:rsidRPr="00A32AF4">
              <w:rPr>
                <w:rFonts w:cs="Arial"/>
                <w:sz w:val="16"/>
                <w:szCs w:val="16"/>
                <w:lang w:eastAsia="fr-FR"/>
              </w:rPr>
              <w:t xml:space="preserve">946 </w:t>
            </w:r>
          </w:p>
        </w:tc>
        <w:tc>
          <w:tcPr>
            <w:tcW w:w="1260" w:type="dxa"/>
            <w:shd w:val="clear" w:color="auto" w:fill="auto"/>
            <w:noWrap/>
            <w:tcMar>
              <w:top w:w="113" w:type="dxa"/>
              <w:bottom w:w="113" w:type="dxa"/>
            </w:tcMar>
            <w:vAlign w:val="center"/>
            <w:hideMark/>
          </w:tcPr>
          <w:p w:rsidR="008F6432" w:rsidRPr="00A32AF4" w:rsidRDefault="008F6432" w:rsidP="00DC0553">
            <w:pPr>
              <w:jc w:val="right"/>
              <w:rPr>
                <w:rFonts w:cs="Arial"/>
                <w:color w:val="000000"/>
                <w:sz w:val="16"/>
                <w:szCs w:val="16"/>
                <w:lang w:eastAsia="fr-FR"/>
              </w:rPr>
            </w:pPr>
            <w:r w:rsidRPr="00A32AF4">
              <w:rPr>
                <w:rFonts w:cs="Arial"/>
                <w:color w:val="000000"/>
                <w:sz w:val="16"/>
                <w:szCs w:val="16"/>
                <w:lang w:eastAsia="fr-FR"/>
              </w:rPr>
              <w:t xml:space="preserve">544 </w:t>
            </w:r>
          </w:p>
        </w:tc>
      </w:tr>
      <w:tr w:rsidR="008F6432" w:rsidRPr="00A32AF4" w:rsidTr="008F6432">
        <w:trPr>
          <w:cantSplit/>
        </w:trPr>
        <w:tc>
          <w:tcPr>
            <w:tcW w:w="592" w:type="dxa"/>
            <w:shd w:val="clear" w:color="auto" w:fill="auto"/>
            <w:noWrap/>
            <w:tcMar>
              <w:top w:w="113" w:type="dxa"/>
              <w:bottom w:w="113" w:type="dxa"/>
            </w:tcMar>
            <w:vAlign w:val="center"/>
            <w:hideMark/>
          </w:tcPr>
          <w:p w:rsidR="008F6432" w:rsidRPr="00A32AF4" w:rsidRDefault="008F6432" w:rsidP="00DC0553">
            <w:pPr>
              <w:rPr>
                <w:rFonts w:cs="Arial"/>
                <w:sz w:val="16"/>
                <w:szCs w:val="16"/>
                <w:lang w:eastAsia="fr-FR"/>
              </w:rPr>
            </w:pPr>
            <w:r w:rsidRPr="00A32AF4">
              <w:rPr>
                <w:rFonts w:cs="Arial"/>
                <w:sz w:val="16"/>
                <w:szCs w:val="16"/>
                <w:lang w:eastAsia="fr-FR"/>
              </w:rPr>
              <w:t>VIII.4</w:t>
            </w:r>
          </w:p>
        </w:tc>
        <w:tc>
          <w:tcPr>
            <w:tcW w:w="4428" w:type="dxa"/>
            <w:shd w:val="clear" w:color="auto" w:fill="auto"/>
            <w:tcMar>
              <w:top w:w="113" w:type="dxa"/>
              <w:bottom w:w="113" w:type="dxa"/>
            </w:tcMar>
            <w:vAlign w:val="center"/>
            <w:hideMark/>
          </w:tcPr>
          <w:p w:rsidR="008F6432" w:rsidRPr="00A32AF4" w:rsidRDefault="008F6432" w:rsidP="00DC0553">
            <w:pPr>
              <w:rPr>
                <w:rFonts w:cs="Arial"/>
                <w:sz w:val="16"/>
                <w:szCs w:val="16"/>
                <w:lang w:eastAsia="fr-FR"/>
              </w:rPr>
            </w:pPr>
            <w:r w:rsidRPr="00A32AF4">
              <w:rPr>
                <w:rFonts w:cs="Arial"/>
                <w:sz w:val="16"/>
                <w:szCs w:val="16"/>
                <w:lang w:eastAsia="fr-FR"/>
              </w:rPr>
              <w:t>Échanges ouverts, transparents et dynamiques avec les parties prenantes non gouvernementales</w:t>
            </w:r>
          </w:p>
        </w:tc>
        <w:tc>
          <w:tcPr>
            <w:tcW w:w="1260" w:type="dxa"/>
            <w:shd w:val="clear" w:color="auto" w:fill="auto"/>
            <w:tcMar>
              <w:top w:w="113" w:type="dxa"/>
              <w:bottom w:w="113" w:type="dxa"/>
            </w:tcMar>
            <w:vAlign w:val="center"/>
            <w:hideMark/>
          </w:tcPr>
          <w:p w:rsidR="008F6432" w:rsidRPr="00A32AF4" w:rsidRDefault="008F6432" w:rsidP="00DC0553">
            <w:pPr>
              <w:jc w:val="right"/>
              <w:rPr>
                <w:rFonts w:cs="Arial"/>
                <w:sz w:val="16"/>
                <w:szCs w:val="16"/>
                <w:lang w:eastAsia="fr-FR"/>
              </w:rPr>
            </w:pPr>
            <w:r w:rsidRPr="00A32AF4">
              <w:rPr>
                <w:rFonts w:cs="Arial"/>
                <w:sz w:val="16"/>
                <w:szCs w:val="16"/>
                <w:lang w:eastAsia="fr-FR"/>
              </w:rPr>
              <w:t xml:space="preserve">1 771 </w:t>
            </w:r>
          </w:p>
        </w:tc>
        <w:tc>
          <w:tcPr>
            <w:tcW w:w="1440" w:type="dxa"/>
            <w:shd w:val="clear" w:color="auto" w:fill="auto"/>
            <w:tcMar>
              <w:top w:w="113" w:type="dxa"/>
              <w:bottom w:w="113" w:type="dxa"/>
            </w:tcMar>
            <w:vAlign w:val="center"/>
            <w:hideMark/>
          </w:tcPr>
          <w:p w:rsidR="008F6432" w:rsidRPr="00A32AF4" w:rsidRDefault="008F6432" w:rsidP="00DC0553">
            <w:pPr>
              <w:jc w:val="right"/>
              <w:rPr>
                <w:rFonts w:cs="Arial"/>
                <w:sz w:val="16"/>
                <w:szCs w:val="16"/>
                <w:lang w:eastAsia="fr-FR"/>
              </w:rPr>
            </w:pPr>
            <w:r w:rsidRPr="00A32AF4">
              <w:rPr>
                <w:rFonts w:cs="Arial"/>
                <w:sz w:val="16"/>
                <w:szCs w:val="16"/>
                <w:lang w:eastAsia="fr-FR"/>
              </w:rPr>
              <w:t xml:space="preserve">1 225 </w:t>
            </w:r>
          </w:p>
        </w:tc>
        <w:tc>
          <w:tcPr>
            <w:tcW w:w="1260" w:type="dxa"/>
            <w:shd w:val="clear" w:color="auto" w:fill="auto"/>
            <w:noWrap/>
            <w:tcMar>
              <w:top w:w="113" w:type="dxa"/>
              <w:bottom w:w="113" w:type="dxa"/>
            </w:tcMar>
            <w:vAlign w:val="center"/>
            <w:hideMark/>
          </w:tcPr>
          <w:p w:rsidR="008F6432" w:rsidRPr="00A32AF4" w:rsidRDefault="008F6432" w:rsidP="00DC0553">
            <w:pPr>
              <w:jc w:val="right"/>
              <w:rPr>
                <w:rFonts w:cs="Arial"/>
                <w:color w:val="000000"/>
                <w:sz w:val="16"/>
                <w:szCs w:val="16"/>
                <w:lang w:eastAsia="fr-FR"/>
              </w:rPr>
            </w:pPr>
            <w:r w:rsidRPr="00A32AF4">
              <w:rPr>
                <w:rFonts w:cs="Arial"/>
                <w:color w:val="000000"/>
                <w:sz w:val="16"/>
                <w:szCs w:val="16"/>
                <w:lang w:eastAsia="fr-FR"/>
              </w:rPr>
              <w:t xml:space="preserve">666 </w:t>
            </w:r>
          </w:p>
        </w:tc>
      </w:tr>
      <w:tr w:rsidR="008F6432" w:rsidRPr="00A32AF4" w:rsidTr="008F6432">
        <w:trPr>
          <w:cantSplit/>
        </w:trPr>
        <w:tc>
          <w:tcPr>
            <w:tcW w:w="592" w:type="dxa"/>
            <w:shd w:val="clear" w:color="auto" w:fill="auto"/>
            <w:noWrap/>
            <w:tcMar>
              <w:top w:w="113" w:type="dxa"/>
              <w:bottom w:w="113" w:type="dxa"/>
            </w:tcMar>
            <w:vAlign w:val="center"/>
            <w:hideMark/>
          </w:tcPr>
          <w:p w:rsidR="008F6432" w:rsidRPr="00A32AF4" w:rsidRDefault="008F6432" w:rsidP="00DC0553">
            <w:pPr>
              <w:rPr>
                <w:rFonts w:cs="Arial"/>
                <w:sz w:val="16"/>
                <w:szCs w:val="16"/>
                <w:lang w:eastAsia="fr-FR"/>
              </w:rPr>
            </w:pPr>
            <w:r w:rsidRPr="00A32AF4">
              <w:rPr>
                <w:rFonts w:cs="Arial"/>
                <w:sz w:val="16"/>
                <w:szCs w:val="16"/>
                <w:lang w:eastAsia="fr-FR"/>
              </w:rPr>
              <w:t>VIII.5</w:t>
            </w:r>
          </w:p>
        </w:tc>
        <w:tc>
          <w:tcPr>
            <w:tcW w:w="4428" w:type="dxa"/>
            <w:shd w:val="clear" w:color="auto" w:fill="auto"/>
            <w:tcMar>
              <w:top w:w="113" w:type="dxa"/>
              <w:bottom w:w="113" w:type="dxa"/>
            </w:tcMar>
            <w:vAlign w:val="center"/>
            <w:hideMark/>
          </w:tcPr>
          <w:p w:rsidR="008F6432" w:rsidRPr="00A32AF4" w:rsidRDefault="008F6432" w:rsidP="00DC0553">
            <w:pPr>
              <w:rPr>
                <w:rFonts w:cs="Arial"/>
                <w:sz w:val="16"/>
                <w:szCs w:val="16"/>
                <w:lang w:eastAsia="fr-FR"/>
              </w:rPr>
            </w:pPr>
            <w:r w:rsidRPr="00A32AF4">
              <w:rPr>
                <w:rFonts w:cs="Arial"/>
                <w:sz w:val="16"/>
                <w:szCs w:val="16"/>
                <w:lang w:eastAsia="fr-FR"/>
              </w:rPr>
              <w:t>L</w:t>
            </w:r>
            <w:r w:rsidR="00E2055A" w:rsidRPr="00A32AF4">
              <w:rPr>
                <w:rFonts w:cs="Arial"/>
                <w:sz w:val="16"/>
                <w:szCs w:val="16"/>
                <w:lang w:eastAsia="fr-FR"/>
              </w:rPr>
              <w:t>’</w:t>
            </w:r>
            <w:r w:rsidRPr="00A32AF4">
              <w:rPr>
                <w:rFonts w:cs="Arial"/>
                <w:sz w:val="16"/>
                <w:szCs w:val="16"/>
                <w:lang w:eastAsia="fr-FR"/>
              </w:rPr>
              <w:t>OMPI collabore efficacement avec d</w:t>
            </w:r>
            <w:r w:rsidR="00E2055A" w:rsidRPr="00A32AF4">
              <w:rPr>
                <w:rFonts w:cs="Arial"/>
                <w:sz w:val="16"/>
                <w:szCs w:val="16"/>
                <w:lang w:eastAsia="fr-FR"/>
              </w:rPr>
              <w:t>’</w:t>
            </w:r>
            <w:r w:rsidRPr="00A32AF4">
              <w:rPr>
                <w:rFonts w:cs="Arial"/>
                <w:sz w:val="16"/>
                <w:szCs w:val="16"/>
                <w:lang w:eastAsia="fr-FR"/>
              </w:rPr>
              <w:t>autres processus et instances de négociation de l</w:t>
            </w:r>
            <w:r w:rsidR="00E2055A" w:rsidRPr="00A32AF4">
              <w:rPr>
                <w:rFonts w:cs="Arial"/>
                <w:sz w:val="16"/>
                <w:szCs w:val="16"/>
                <w:lang w:eastAsia="fr-FR"/>
              </w:rPr>
              <w:t>’</w:t>
            </w:r>
            <w:r w:rsidRPr="00A32AF4">
              <w:rPr>
                <w:rFonts w:cs="Arial"/>
                <w:sz w:val="16"/>
                <w:szCs w:val="16"/>
                <w:lang w:eastAsia="fr-FR"/>
              </w:rPr>
              <w:t>ONU et d</w:t>
            </w:r>
            <w:r w:rsidR="00E2055A" w:rsidRPr="00A32AF4">
              <w:rPr>
                <w:rFonts w:cs="Arial"/>
                <w:sz w:val="16"/>
                <w:szCs w:val="16"/>
                <w:lang w:eastAsia="fr-FR"/>
              </w:rPr>
              <w:t>’</w:t>
            </w:r>
            <w:r w:rsidRPr="00A32AF4">
              <w:rPr>
                <w:rFonts w:cs="Arial"/>
                <w:sz w:val="16"/>
                <w:szCs w:val="16"/>
                <w:lang w:eastAsia="fr-FR"/>
              </w:rPr>
              <w:t>autres organisations intergouvernementales</w:t>
            </w:r>
          </w:p>
        </w:tc>
        <w:tc>
          <w:tcPr>
            <w:tcW w:w="1260" w:type="dxa"/>
            <w:shd w:val="clear" w:color="auto" w:fill="auto"/>
            <w:tcMar>
              <w:top w:w="113" w:type="dxa"/>
              <w:bottom w:w="113" w:type="dxa"/>
            </w:tcMar>
            <w:vAlign w:val="center"/>
            <w:hideMark/>
          </w:tcPr>
          <w:p w:rsidR="008F6432" w:rsidRPr="00A32AF4" w:rsidRDefault="008F6432" w:rsidP="00DC0553">
            <w:pPr>
              <w:jc w:val="right"/>
              <w:rPr>
                <w:rFonts w:cs="Arial"/>
                <w:sz w:val="16"/>
                <w:szCs w:val="16"/>
                <w:lang w:eastAsia="fr-FR"/>
              </w:rPr>
            </w:pPr>
            <w:r w:rsidRPr="00A32AF4">
              <w:rPr>
                <w:rFonts w:cs="Arial"/>
                <w:sz w:val="16"/>
                <w:szCs w:val="16"/>
                <w:lang w:eastAsia="fr-FR"/>
              </w:rPr>
              <w:t xml:space="preserve">4 578 </w:t>
            </w:r>
          </w:p>
        </w:tc>
        <w:tc>
          <w:tcPr>
            <w:tcW w:w="1440" w:type="dxa"/>
            <w:shd w:val="clear" w:color="auto" w:fill="auto"/>
            <w:tcMar>
              <w:top w:w="113" w:type="dxa"/>
              <w:bottom w:w="113" w:type="dxa"/>
            </w:tcMar>
            <w:vAlign w:val="center"/>
            <w:hideMark/>
          </w:tcPr>
          <w:p w:rsidR="008F6432" w:rsidRPr="00A32AF4" w:rsidRDefault="008F6432" w:rsidP="00DC0553">
            <w:pPr>
              <w:jc w:val="right"/>
              <w:rPr>
                <w:rFonts w:cs="Arial"/>
                <w:sz w:val="16"/>
                <w:szCs w:val="16"/>
                <w:lang w:eastAsia="fr-FR"/>
              </w:rPr>
            </w:pPr>
            <w:r w:rsidRPr="00A32AF4">
              <w:rPr>
                <w:rFonts w:cs="Arial"/>
                <w:sz w:val="16"/>
                <w:szCs w:val="16"/>
                <w:lang w:eastAsia="fr-FR"/>
              </w:rPr>
              <w:t xml:space="preserve">4 702 </w:t>
            </w:r>
          </w:p>
        </w:tc>
        <w:tc>
          <w:tcPr>
            <w:tcW w:w="1260" w:type="dxa"/>
            <w:shd w:val="clear" w:color="auto" w:fill="auto"/>
            <w:noWrap/>
            <w:tcMar>
              <w:top w:w="113" w:type="dxa"/>
              <w:bottom w:w="113" w:type="dxa"/>
            </w:tcMar>
            <w:vAlign w:val="center"/>
            <w:hideMark/>
          </w:tcPr>
          <w:p w:rsidR="008F6432" w:rsidRPr="00A32AF4" w:rsidRDefault="008F6432" w:rsidP="00DC0553">
            <w:pPr>
              <w:jc w:val="right"/>
              <w:rPr>
                <w:rFonts w:cs="Arial"/>
                <w:color w:val="000000"/>
                <w:sz w:val="16"/>
                <w:szCs w:val="16"/>
                <w:lang w:eastAsia="fr-FR"/>
              </w:rPr>
            </w:pPr>
            <w:r w:rsidRPr="00A32AF4">
              <w:rPr>
                <w:rFonts w:cs="Arial"/>
                <w:color w:val="000000"/>
                <w:sz w:val="16"/>
                <w:szCs w:val="16"/>
                <w:lang w:eastAsia="fr-FR"/>
              </w:rPr>
              <w:t xml:space="preserve">4 152 </w:t>
            </w:r>
          </w:p>
        </w:tc>
      </w:tr>
      <w:tr w:rsidR="008F6432" w:rsidRPr="00A32AF4" w:rsidTr="008F6432">
        <w:trPr>
          <w:cantSplit/>
        </w:trPr>
        <w:tc>
          <w:tcPr>
            <w:tcW w:w="592" w:type="dxa"/>
            <w:tcBorders>
              <w:bottom w:val="single" w:sz="4" w:space="0" w:color="auto"/>
            </w:tcBorders>
            <w:shd w:val="clear" w:color="auto" w:fill="auto"/>
            <w:noWrap/>
            <w:tcMar>
              <w:top w:w="113" w:type="dxa"/>
              <w:bottom w:w="113" w:type="dxa"/>
            </w:tcMar>
            <w:vAlign w:val="center"/>
            <w:hideMark/>
          </w:tcPr>
          <w:p w:rsidR="008F6432" w:rsidRPr="00A32AF4" w:rsidRDefault="008F6432" w:rsidP="00DC0553">
            <w:pPr>
              <w:rPr>
                <w:rFonts w:cs="Arial"/>
                <w:sz w:val="16"/>
                <w:szCs w:val="16"/>
                <w:lang w:eastAsia="fr-FR"/>
              </w:rPr>
            </w:pPr>
            <w:r w:rsidRPr="00A32AF4">
              <w:rPr>
                <w:rFonts w:cs="Arial"/>
                <w:sz w:val="16"/>
                <w:szCs w:val="16"/>
                <w:lang w:eastAsia="fr-FR"/>
              </w:rPr>
              <w:t>IX.1</w:t>
            </w:r>
          </w:p>
        </w:tc>
        <w:tc>
          <w:tcPr>
            <w:tcW w:w="4428" w:type="dxa"/>
            <w:tcBorders>
              <w:bottom w:val="single" w:sz="4" w:space="0" w:color="auto"/>
            </w:tcBorders>
            <w:shd w:val="clear" w:color="auto" w:fill="auto"/>
            <w:tcMar>
              <w:top w:w="113" w:type="dxa"/>
              <w:bottom w:w="113" w:type="dxa"/>
            </w:tcMar>
            <w:vAlign w:val="center"/>
            <w:hideMark/>
          </w:tcPr>
          <w:p w:rsidR="008F6432" w:rsidRPr="00A32AF4" w:rsidRDefault="008F6432" w:rsidP="00DC0553">
            <w:pPr>
              <w:rPr>
                <w:rFonts w:cs="Arial"/>
                <w:sz w:val="16"/>
                <w:szCs w:val="16"/>
                <w:lang w:eastAsia="fr-FR"/>
              </w:rPr>
            </w:pPr>
            <w:r w:rsidRPr="00A32AF4">
              <w:rPr>
                <w:rFonts w:cs="Arial"/>
                <w:sz w:val="16"/>
                <w:szCs w:val="16"/>
                <w:lang w:eastAsia="fr-FR"/>
              </w:rPr>
              <w:t>Services d</w:t>
            </w:r>
            <w:r w:rsidR="00E2055A" w:rsidRPr="00A32AF4">
              <w:rPr>
                <w:rFonts w:cs="Arial"/>
                <w:sz w:val="16"/>
                <w:szCs w:val="16"/>
                <w:lang w:eastAsia="fr-FR"/>
              </w:rPr>
              <w:t>’</w:t>
            </w:r>
            <w:r w:rsidRPr="00A32AF4">
              <w:rPr>
                <w:rFonts w:cs="Arial"/>
                <w:sz w:val="16"/>
                <w:szCs w:val="16"/>
                <w:lang w:eastAsia="fr-FR"/>
              </w:rPr>
              <w:t>appui efficaces, efficients, de qualité et tournés vers la clientèle, à l</w:t>
            </w:r>
            <w:r w:rsidR="00E2055A" w:rsidRPr="00A32AF4">
              <w:rPr>
                <w:rFonts w:cs="Arial"/>
                <w:sz w:val="16"/>
                <w:szCs w:val="16"/>
                <w:lang w:eastAsia="fr-FR"/>
              </w:rPr>
              <w:t>’</w:t>
            </w:r>
            <w:r w:rsidRPr="00A32AF4">
              <w:rPr>
                <w:rFonts w:cs="Arial"/>
                <w:sz w:val="16"/>
                <w:szCs w:val="16"/>
                <w:lang w:eastAsia="fr-FR"/>
              </w:rPr>
              <w:t>intention à la fois des clients internes et des parties prenantes externes</w:t>
            </w:r>
          </w:p>
        </w:tc>
        <w:tc>
          <w:tcPr>
            <w:tcW w:w="1260" w:type="dxa"/>
            <w:tcBorders>
              <w:bottom w:val="single" w:sz="4" w:space="0" w:color="auto"/>
            </w:tcBorders>
            <w:shd w:val="clear" w:color="auto" w:fill="auto"/>
            <w:tcMar>
              <w:top w:w="113" w:type="dxa"/>
              <w:bottom w:w="113" w:type="dxa"/>
            </w:tcMar>
            <w:vAlign w:val="center"/>
            <w:hideMark/>
          </w:tcPr>
          <w:p w:rsidR="008F6432" w:rsidRPr="00A32AF4" w:rsidRDefault="008F6432" w:rsidP="00DC0553">
            <w:pPr>
              <w:jc w:val="right"/>
              <w:rPr>
                <w:rFonts w:cs="Arial"/>
                <w:sz w:val="16"/>
                <w:szCs w:val="16"/>
                <w:lang w:eastAsia="fr-FR"/>
              </w:rPr>
            </w:pPr>
            <w:r w:rsidRPr="00A32AF4">
              <w:rPr>
                <w:rFonts w:cs="Arial"/>
                <w:sz w:val="16"/>
                <w:szCs w:val="16"/>
                <w:lang w:eastAsia="fr-FR"/>
              </w:rPr>
              <w:t>–</w:t>
            </w:r>
          </w:p>
        </w:tc>
        <w:tc>
          <w:tcPr>
            <w:tcW w:w="1440" w:type="dxa"/>
            <w:tcBorders>
              <w:bottom w:val="single" w:sz="4" w:space="0" w:color="auto"/>
            </w:tcBorders>
            <w:shd w:val="clear" w:color="auto" w:fill="auto"/>
            <w:tcMar>
              <w:top w:w="113" w:type="dxa"/>
              <w:bottom w:w="113" w:type="dxa"/>
            </w:tcMar>
            <w:vAlign w:val="center"/>
            <w:hideMark/>
          </w:tcPr>
          <w:p w:rsidR="008F6432" w:rsidRPr="00A32AF4" w:rsidRDefault="008F6432" w:rsidP="00DC0553">
            <w:pPr>
              <w:jc w:val="right"/>
              <w:rPr>
                <w:rFonts w:cs="Arial"/>
                <w:sz w:val="16"/>
                <w:szCs w:val="16"/>
                <w:lang w:eastAsia="fr-FR"/>
              </w:rPr>
            </w:pPr>
            <w:r w:rsidRPr="00A32AF4">
              <w:rPr>
                <w:rFonts w:cs="Arial"/>
                <w:sz w:val="16"/>
                <w:szCs w:val="16"/>
                <w:lang w:eastAsia="fr-FR"/>
              </w:rPr>
              <w:t xml:space="preserve"> –</w:t>
            </w:r>
          </w:p>
        </w:tc>
        <w:tc>
          <w:tcPr>
            <w:tcW w:w="1260" w:type="dxa"/>
            <w:tcBorders>
              <w:bottom w:val="single" w:sz="4" w:space="0" w:color="auto"/>
            </w:tcBorders>
            <w:shd w:val="clear" w:color="auto" w:fill="auto"/>
            <w:noWrap/>
            <w:tcMar>
              <w:top w:w="113" w:type="dxa"/>
              <w:bottom w:w="113" w:type="dxa"/>
            </w:tcMar>
            <w:vAlign w:val="center"/>
            <w:hideMark/>
          </w:tcPr>
          <w:p w:rsidR="008F6432" w:rsidRPr="00A32AF4" w:rsidRDefault="008F6432" w:rsidP="00DC0553">
            <w:pPr>
              <w:jc w:val="right"/>
              <w:rPr>
                <w:rFonts w:cs="Arial"/>
                <w:color w:val="000000"/>
                <w:sz w:val="16"/>
                <w:szCs w:val="16"/>
                <w:lang w:eastAsia="fr-FR"/>
              </w:rPr>
            </w:pPr>
            <w:r w:rsidRPr="00A32AF4">
              <w:rPr>
                <w:rFonts w:cs="Arial"/>
                <w:color w:val="000000"/>
                <w:sz w:val="16"/>
                <w:szCs w:val="16"/>
                <w:lang w:eastAsia="fr-FR"/>
              </w:rPr>
              <w:t xml:space="preserve">311 </w:t>
            </w:r>
          </w:p>
        </w:tc>
      </w:tr>
      <w:tr w:rsidR="008F6432" w:rsidRPr="00A32AF4" w:rsidTr="008F6432">
        <w:trPr>
          <w:cantSplit/>
        </w:trPr>
        <w:tc>
          <w:tcPr>
            <w:tcW w:w="592" w:type="dxa"/>
            <w:tcBorders>
              <w:top w:val="single" w:sz="4" w:space="0" w:color="auto"/>
              <w:bottom w:val="single" w:sz="4" w:space="0" w:color="auto"/>
            </w:tcBorders>
            <w:shd w:val="clear" w:color="000000" w:fill="C5D9F1"/>
            <w:noWrap/>
            <w:tcMar>
              <w:top w:w="113" w:type="dxa"/>
              <w:bottom w:w="113" w:type="dxa"/>
            </w:tcMar>
            <w:vAlign w:val="bottom"/>
            <w:hideMark/>
          </w:tcPr>
          <w:p w:rsidR="008F6432" w:rsidRPr="00A32AF4" w:rsidRDefault="008F6432" w:rsidP="00DC0553">
            <w:pPr>
              <w:rPr>
                <w:rFonts w:cs="Arial"/>
                <w:sz w:val="16"/>
                <w:szCs w:val="16"/>
                <w:lang w:eastAsia="fr-FR"/>
              </w:rPr>
            </w:pPr>
            <w:r w:rsidRPr="00A32AF4">
              <w:rPr>
                <w:rFonts w:cs="Arial"/>
                <w:sz w:val="16"/>
                <w:szCs w:val="16"/>
                <w:lang w:eastAsia="fr-FR"/>
              </w:rPr>
              <w:t> </w:t>
            </w:r>
          </w:p>
        </w:tc>
        <w:tc>
          <w:tcPr>
            <w:tcW w:w="4428" w:type="dxa"/>
            <w:tcBorders>
              <w:top w:val="single" w:sz="4" w:space="0" w:color="auto"/>
              <w:bottom w:val="single" w:sz="4" w:space="0" w:color="auto"/>
            </w:tcBorders>
            <w:shd w:val="clear" w:color="000000" w:fill="C5D9F1"/>
            <w:noWrap/>
            <w:tcMar>
              <w:top w:w="113" w:type="dxa"/>
              <w:bottom w:w="113" w:type="dxa"/>
            </w:tcMar>
            <w:vAlign w:val="bottom"/>
            <w:hideMark/>
          </w:tcPr>
          <w:p w:rsidR="008F6432" w:rsidRPr="00A32AF4" w:rsidRDefault="008F6432" w:rsidP="00DC0553">
            <w:pPr>
              <w:rPr>
                <w:rFonts w:cs="Arial"/>
                <w:b/>
                <w:bCs/>
                <w:sz w:val="16"/>
                <w:szCs w:val="16"/>
                <w:lang w:eastAsia="fr-FR"/>
              </w:rPr>
            </w:pPr>
            <w:r w:rsidRPr="00A32AF4">
              <w:rPr>
                <w:rFonts w:cs="Arial"/>
                <w:b/>
                <w:bCs/>
                <w:sz w:val="16"/>
                <w:szCs w:val="16"/>
                <w:lang w:eastAsia="fr-FR"/>
              </w:rPr>
              <w:t>Total</w:t>
            </w:r>
          </w:p>
        </w:tc>
        <w:tc>
          <w:tcPr>
            <w:tcW w:w="1260" w:type="dxa"/>
            <w:tcBorders>
              <w:top w:val="single" w:sz="4" w:space="0" w:color="auto"/>
              <w:bottom w:val="single" w:sz="4" w:space="0" w:color="auto"/>
            </w:tcBorders>
            <w:shd w:val="clear" w:color="000000" w:fill="C5D9F1"/>
            <w:noWrap/>
            <w:tcMar>
              <w:top w:w="113" w:type="dxa"/>
              <w:bottom w:w="113" w:type="dxa"/>
            </w:tcMar>
            <w:vAlign w:val="bottom"/>
            <w:hideMark/>
          </w:tcPr>
          <w:p w:rsidR="008F6432" w:rsidRPr="00A32AF4" w:rsidRDefault="008F6432" w:rsidP="00DC0553">
            <w:pPr>
              <w:jc w:val="right"/>
              <w:rPr>
                <w:rFonts w:cs="Arial"/>
                <w:b/>
                <w:bCs/>
                <w:sz w:val="16"/>
                <w:szCs w:val="16"/>
                <w:lang w:eastAsia="fr-FR"/>
              </w:rPr>
            </w:pPr>
            <w:r w:rsidRPr="00A32AF4">
              <w:rPr>
                <w:rFonts w:cs="Arial"/>
                <w:b/>
                <w:bCs/>
                <w:sz w:val="16"/>
                <w:szCs w:val="16"/>
                <w:lang w:eastAsia="fr-FR"/>
              </w:rPr>
              <w:t>12</w:t>
            </w:r>
            <w:r w:rsidR="00FD43E3" w:rsidRPr="00A32AF4">
              <w:rPr>
                <w:rFonts w:cs="Arial"/>
                <w:b/>
                <w:bCs/>
                <w:sz w:val="16"/>
                <w:szCs w:val="16"/>
                <w:lang w:eastAsia="fr-FR"/>
              </w:rPr>
              <w:t> </w:t>
            </w:r>
            <w:r w:rsidRPr="00A32AF4">
              <w:rPr>
                <w:rFonts w:cs="Arial"/>
                <w:b/>
                <w:bCs/>
                <w:sz w:val="16"/>
                <w:szCs w:val="16"/>
                <w:lang w:eastAsia="fr-FR"/>
              </w:rPr>
              <w:t xml:space="preserve">435 </w:t>
            </w:r>
          </w:p>
        </w:tc>
        <w:tc>
          <w:tcPr>
            <w:tcW w:w="1440" w:type="dxa"/>
            <w:tcBorders>
              <w:top w:val="single" w:sz="4" w:space="0" w:color="auto"/>
              <w:bottom w:val="single" w:sz="4" w:space="0" w:color="auto"/>
            </w:tcBorders>
            <w:shd w:val="clear" w:color="000000" w:fill="C5D9F1"/>
            <w:noWrap/>
            <w:tcMar>
              <w:top w:w="113" w:type="dxa"/>
              <w:bottom w:w="113" w:type="dxa"/>
            </w:tcMar>
            <w:vAlign w:val="bottom"/>
            <w:hideMark/>
          </w:tcPr>
          <w:p w:rsidR="008F6432" w:rsidRPr="00A32AF4" w:rsidRDefault="008F6432" w:rsidP="00DC0553">
            <w:pPr>
              <w:jc w:val="right"/>
              <w:rPr>
                <w:rFonts w:cs="Arial"/>
                <w:b/>
                <w:bCs/>
                <w:sz w:val="16"/>
                <w:szCs w:val="16"/>
                <w:lang w:eastAsia="fr-FR"/>
              </w:rPr>
            </w:pPr>
            <w:r w:rsidRPr="00A32AF4">
              <w:rPr>
                <w:rFonts w:cs="Arial"/>
                <w:b/>
                <w:bCs/>
                <w:sz w:val="16"/>
                <w:szCs w:val="16"/>
                <w:lang w:eastAsia="fr-FR"/>
              </w:rPr>
              <w:t>13</w:t>
            </w:r>
            <w:r w:rsidR="00FD43E3" w:rsidRPr="00A32AF4">
              <w:rPr>
                <w:rFonts w:cs="Arial"/>
                <w:b/>
                <w:bCs/>
                <w:sz w:val="16"/>
                <w:szCs w:val="16"/>
                <w:lang w:eastAsia="fr-FR"/>
              </w:rPr>
              <w:t> </w:t>
            </w:r>
            <w:r w:rsidRPr="00A32AF4">
              <w:rPr>
                <w:rFonts w:cs="Arial"/>
                <w:b/>
                <w:bCs/>
                <w:sz w:val="16"/>
                <w:szCs w:val="16"/>
                <w:lang w:eastAsia="fr-FR"/>
              </w:rPr>
              <w:t xml:space="preserve">144 </w:t>
            </w:r>
          </w:p>
        </w:tc>
        <w:tc>
          <w:tcPr>
            <w:tcW w:w="1260" w:type="dxa"/>
            <w:tcBorders>
              <w:top w:val="single" w:sz="4" w:space="0" w:color="auto"/>
              <w:bottom w:val="single" w:sz="4" w:space="0" w:color="auto"/>
            </w:tcBorders>
            <w:shd w:val="clear" w:color="000000" w:fill="C5D9F1"/>
            <w:noWrap/>
            <w:tcMar>
              <w:top w:w="113" w:type="dxa"/>
              <w:bottom w:w="113" w:type="dxa"/>
            </w:tcMar>
            <w:vAlign w:val="bottom"/>
            <w:hideMark/>
          </w:tcPr>
          <w:p w:rsidR="008F6432" w:rsidRPr="00A32AF4" w:rsidRDefault="008F6432" w:rsidP="00DC0553">
            <w:pPr>
              <w:jc w:val="right"/>
              <w:rPr>
                <w:rFonts w:cs="Arial"/>
                <w:b/>
                <w:bCs/>
                <w:sz w:val="16"/>
                <w:szCs w:val="16"/>
                <w:lang w:eastAsia="fr-FR"/>
              </w:rPr>
            </w:pPr>
            <w:r w:rsidRPr="00A32AF4">
              <w:rPr>
                <w:rFonts w:cs="Arial"/>
                <w:b/>
                <w:bCs/>
                <w:sz w:val="16"/>
                <w:szCs w:val="16"/>
                <w:lang w:eastAsia="fr-FR"/>
              </w:rPr>
              <w:t>12</w:t>
            </w:r>
            <w:r w:rsidR="00FD43E3" w:rsidRPr="00A32AF4">
              <w:rPr>
                <w:rFonts w:cs="Arial"/>
                <w:b/>
                <w:bCs/>
                <w:sz w:val="16"/>
                <w:szCs w:val="16"/>
                <w:lang w:eastAsia="fr-FR"/>
              </w:rPr>
              <w:t> </w:t>
            </w:r>
            <w:r w:rsidRPr="00A32AF4">
              <w:rPr>
                <w:rFonts w:cs="Arial"/>
                <w:b/>
                <w:bCs/>
                <w:sz w:val="16"/>
                <w:szCs w:val="16"/>
                <w:lang w:eastAsia="fr-FR"/>
              </w:rPr>
              <w:t xml:space="preserve">395 </w:t>
            </w:r>
          </w:p>
        </w:tc>
      </w:tr>
    </w:tbl>
    <w:p w:rsidR="00F93B76" w:rsidRPr="00A32AF4" w:rsidRDefault="00F93B76" w:rsidP="00DC0553"/>
    <w:p w:rsidR="00F93B76" w:rsidRPr="00A32AF4" w:rsidRDefault="00F93B76" w:rsidP="00DC0553">
      <w:pPr>
        <w:rPr>
          <w:lang w:eastAsia="da-DK"/>
        </w:rPr>
      </w:pPr>
    </w:p>
    <w:p w:rsidR="00F93B76" w:rsidRPr="00A32AF4" w:rsidRDefault="008F6432" w:rsidP="00DC0553">
      <w:pPr>
        <w:keepNext/>
        <w:keepLines/>
        <w:autoSpaceDE w:val="0"/>
        <w:autoSpaceDN w:val="0"/>
        <w:jc w:val="center"/>
        <w:rPr>
          <w:rFonts w:cs="Arial"/>
          <w:b/>
        </w:rPr>
      </w:pPr>
      <w:r w:rsidRPr="00A32AF4">
        <w:rPr>
          <w:rFonts w:cs="Arial"/>
          <w:b/>
        </w:rPr>
        <w:t>Programme 20 : ressources par objet de dépense</w:t>
      </w:r>
    </w:p>
    <w:p w:rsidR="00F93B76" w:rsidRPr="00A32AF4" w:rsidRDefault="008F6432" w:rsidP="00DC0553">
      <w:pPr>
        <w:keepNext/>
        <w:keepLines/>
        <w:autoSpaceDE w:val="0"/>
        <w:autoSpaceDN w:val="0"/>
        <w:jc w:val="center"/>
        <w:rPr>
          <w:rFonts w:cs="Arial"/>
          <w:i/>
        </w:rPr>
      </w:pPr>
      <w:r w:rsidRPr="00A32AF4">
        <w:rPr>
          <w:rFonts w:cs="Arial"/>
          <w:i/>
        </w:rPr>
        <w:t>(</w:t>
      </w:r>
      <w:proofErr w:type="gramStart"/>
      <w:r w:rsidRPr="00A32AF4">
        <w:rPr>
          <w:rFonts w:cs="Arial"/>
          <w:i/>
        </w:rPr>
        <w:t>en</w:t>
      </w:r>
      <w:proofErr w:type="gramEnd"/>
      <w:r w:rsidRPr="00A32AF4">
        <w:rPr>
          <w:rFonts w:cs="Arial"/>
          <w:i/>
        </w:rPr>
        <w:t xml:space="preserve"> milliers de francs suisses)</w:t>
      </w:r>
    </w:p>
    <w:p w:rsidR="00F93B76" w:rsidRPr="00A32AF4" w:rsidRDefault="00F93B76" w:rsidP="00DC0553">
      <w:pPr>
        <w:keepNext/>
        <w:rPr>
          <w:rFonts w:eastAsia="SimSun"/>
        </w:rPr>
      </w:pPr>
    </w:p>
    <w:p w:rsidR="00F93B76" w:rsidRPr="00A32AF4" w:rsidRDefault="00285C29" w:rsidP="00DC0553">
      <w:pPr>
        <w:rPr>
          <w:rFonts w:eastAsia="SimSun"/>
        </w:rPr>
      </w:pPr>
      <w:r w:rsidRPr="00A32AF4">
        <w:rPr>
          <w:rFonts w:cs="Arial"/>
          <w:i/>
          <w:noProof/>
          <w:lang w:eastAsia="fr-FR"/>
        </w:rPr>
        <mc:AlternateContent>
          <mc:Choice Requires="wps">
            <w:drawing>
              <wp:anchor distT="0" distB="0" distL="114300" distR="114300" simplePos="0" relativeHeight="251671552" behindDoc="0" locked="0" layoutInCell="1" allowOverlap="1" wp14:anchorId="3C2615ED" wp14:editId="1C240742">
                <wp:simplePos x="0" y="0"/>
                <wp:positionH relativeFrom="column">
                  <wp:posOffset>3905885</wp:posOffset>
                </wp:positionH>
                <wp:positionV relativeFrom="paragraph">
                  <wp:posOffset>301362</wp:posOffset>
                </wp:positionV>
                <wp:extent cx="394138"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138" cy="1403985"/>
                        </a:xfrm>
                        <a:prstGeom prst="rect">
                          <a:avLst/>
                        </a:prstGeom>
                        <a:noFill/>
                        <a:ln w="9525">
                          <a:noFill/>
                          <a:miter lim="800000"/>
                          <a:headEnd/>
                          <a:tailEnd/>
                        </a:ln>
                      </wps:spPr>
                      <wps:txbx>
                        <w:txbxContent>
                          <w:p w:rsidR="002C1ED1" w:rsidRPr="00285C29" w:rsidRDefault="002C1ED1">
                            <w:pPr>
                              <w:rPr>
                                <w:sz w:val="18"/>
                                <w:vertAlign w:val="superscript"/>
                              </w:rPr>
                            </w:pPr>
                            <w:r w:rsidRPr="00285C29">
                              <w:rPr>
                                <w:sz w:val="18"/>
                                <w:vertAlign w:val="superscript"/>
                              </w:rPr>
                              <w:t>23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07.55pt;margin-top:23.75pt;width:31.05pt;height:110.55pt;z-index:2516715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" filled="f" stroked="f">
                <v:textbox style="mso-fit-shape-to-text:t">
                  <w:txbxContent>
                    <w:p w:rsidR="002C1ED1" w:rsidRPr="00285C29" w:rsidRDefault="002C1ED1">
                      <w:pPr>
                        <w:rPr>
                          <w:sz w:val="18"/>
                          <w:vertAlign w:val="superscript"/>
                        </w:rPr>
                      </w:pPr>
                      <w:r w:rsidRPr="00285C29">
                        <w:rPr>
                          <w:sz w:val="18"/>
                          <w:vertAlign w:val="superscript"/>
                        </w:rPr>
                        <w:t>23</w:t>
                      </w:r>
                    </w:p>
                  </w:txbxContent>
                </v:textbox>
              </v:shape>
            </w:pict>
          </mc:Fallback>
        </mc:AlternateContent>
      </w:r>
      <w:r w:rsidR="00E6349F" w:rsidRPr="00A32AF4">
        <w:rPr>
          <w:rFonts w:eastAsia="SimSun"/>
          <w:noProof/>
          <w:lang w:eastAsia="fr-FR"/>
        </w:rPr>
        <w:drawing>
          <wp:inline distT="0" distB="0" distL="0" distR="0" wp14:anchorId="2D372081" wp14:editId="36E6D12D">
            <wp:extent cx="5512435" cy="6555105"/>
            <wp:effectExtent l="0" t="0" r="0" b="0"/>
            <wp:docPr id="1054" name="Picture 1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5512435" cy="6555105"/>
                    </a:xfrm>
                    <a:prstGeom prst="rect">
                      <a:avLst/>
                    </a:prstGeom>
                    <a:noFill/>
                    <a:ln>
                      <a:noFill/>
                    </a:ln>
                  </pic:spPr>
                </pic:pic>
              </a:graphicData>
            </a:graphic>
          </wp:inline>
        </w:drawing>
      </w:r>
    </w:p>
    <w:p w:rsidR="00F93B76" w:rsidRPr="00A32AF4" w:rsidRDefault="00F93B76" w:rsidP="00DC0553">
      <w:pPr>
        <w:rPr>
          <w:lang w:eastAsia="da-DK"/>
        </w:rPr>
      </w:pPr>
    </w:p>
    <w:p w:rsidR="008A4FC1" w:rsidRPr="00A32AF4" w:rsidRDefault="008A4FC1" w:rsidP="008A4FC1">
      <w:pPr>
        <w:rPr>
          <w:rFonts w:cs="Arial"/>
          <w:color w:val="FFFFFF" w:themeColor="background1"/>
          <w:lang w:eastAsia="zh-CN"/>
        </w:rPr>
      </w:pPr>
      <w:r w:rsidRPr="00A32AF4">
        <w:rPr>
          <w:rStyle w:val="FootnoteReference"/>
          <w:rFonts w:cs="Arial"/>
          <w:color w:val="FFFFFF" w:themeColor="background1"/>
          <w:lang w:eastAsia="zh-CN"/>
        </w:rPr>
        <w:footnoteReference w:id="24"/>
      </w:r>
    </w:p>
    <w:p w:rsidR="00F93B76" w:rsidRPr="00A32AF4" w:rsidRDefault="00F93B76" w:rsidP="00DC0553">
      <w:pPr>
        <w:rPr>
          <w:lang w:eastAsia="da-DK"/>
        </w:rPr>
      </w:pPr>
    </w:p>
    <w:p w:rsidR="00F93B76" w:rsidRPr="00A32AF4" w:rsidRDefault="008F6432" w:rsidP="00DC0553">
      <w:pPr>
        <w:keepNext/>
        <w:jc w:val="center"/>
        <w:rPr>
          <w:b/>
        </w:rPr>
      </w:pPr>
      <w:r w:rsidRPr="00A32AF4">
        <w:rPr>
          <w:b/>
        </w:rPr>
        <w:t>Ressources au titre des fonds fiduciaires potentiellement disponibles pour les activités de programme en</w:t>
      </w:r>
      <w:r w:rsidR="00FD43E3" w:rsidRPr="00A32AF4">
        <w:rPr>
          <w:b/>
        </w:rPr>
        <w:t> </w:t>
      </w:r>
      <w:r w:rsidRPr="00A32AF4">
        <w:rPr>
          <w:b/>
        </w:rPr>
        <w:t>2016</w:t>
      </w:r>
      <w:r w:rsidR="00EB7F54" w:rsidRPr="00A32AF4">
        <w:rPr>
          <w:b/>
        </w:rPr>
        <w:noBreakHyphen/>
      </w:r>
      <w:r w:rsidRPr="00A32AF4">
        <w:rPr>
          <w:b/>
        </w:rPr>
        <w:t>2017 (PAR PROGRAMME</w:t>
      </w:r>
      <w:proofErr w:type="gramStart"/>
      <w:r w:rsidRPr="00A32AF4">
        <w:rPr>
          <w:b/>
        </w:rPr>
        <w:t>)</w:t>
      </w:r>
      <w:r w:rsidRPr="00A32AF4">
        <w:rPr>
          <w:vertAlign w:val="superscript"/>
        </w:rPr>
        <w:t>1</w:t>
      </w:r>
      <w:proofErr w:type="gramEnd"/>
    </w:p>
    <w:p w:rsidR="00F93B76" w:rsidRPr="00A32AF4" w:rsidRDefault="008F6432" w:rsidP="00DC0553">
      <w:pPr>
        <w:keepNext/>
        <w:jc w:val="center"/>
        <w:rPr>
          <w:i/>
        </w:rPr>
      </w:pPr>
      <w:r w:rsidRPr="00A32AF4">
        <w:rPr>
          <w:i/>
        </w:rPr>
        <w:t>(</w:t>
      </w:r>
      <w:proofErr w:type="gramStart"/>
      <w:r w:rsidRPr="00A32AF4">
        <w:rPr>
          <w:i/>
        </w:rPr>
        <w:t>en</w:t>
      </w:r>
      <w:proofErr w:type="gramEnd"/>
      <w:r w:rsidRPr="00A32AF4">
        <w:rPr>
          <w:i/>
        </w:rPr>
        <w:t xml:space="preserve"> milliers de francs suisses)</w:t>
      </w:r>
    </w:p>
    <w:p w:rsidR="00F93B76" w:rsidRPr="00A32AF4" w:rsidRDefault="00F93B76" w:rsidP="00DC0553">
      <w:pPr>
        <w:keepNext/>
        <w:jc w:val="center"/>
        <w:rPr>
          <w:rStyle w:val="StyleStyleHeading3ComplexItalicLatin12ptChar"/>
          <w:b w:val="0"/>
          <w:i/>
          <w:lang w:val="fr-FR"/>
        </w:rPr>
      </w:pPr>
    </w:p>
    <w:p w:rsidR="00F93B76" w:rsidRPr="00A32AF4" w:rsidRDefault="008F6432" w:rsidP="00DC0553">
      <w:pPr>
        <w:keepNext/>
        <w:rPr>
          <w:rStyle w:val="StyleStyleHeading3ComplexItalicLatin12ptChar"/>
          <w:b w:val="0"/>
          <w:i/>
          <w:lang w:val="fr-FR"/>
        </w:rPr>
      </w:pPr>
      <w:r w:rsidRPr="00A32AF4">
        <w:rPr>
          <w:noProof/>
          <w:lang w:eastAsia="fr-FR"/>
        </w:rPr>
        <w:drawing>
          <wp:inline distT="0" distB="0" distL="0" distR="0" wp14:anchorId="4FF37CCB" wp14:editId="4B076298">
            <wp:extent cx="5760085" cy="874570"/>
            <wp:effectExtent l="0" t="0" r="0" b="1905"/>
            <wp:docPr id="986" name="Picture 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760085" cy="874570"/>
                    </a:xfrm>
                    <a:prstGeom prst="rect">
                      <a:avLst/>
                    </a:prstGeom>
                    <a:noFill/>
                    <a:ln>
                      <a:noFill/>
                    </a:ln>
                  </pic:spPr>
                </pic:pic>
              </a:graphicData>
            </a:graphic>
          </wp:inline>
        </w:drawing>
      </w:r>
    </w:p>
    <w:p w:rsidR="00F93B76" w:rsidRPr="00A32AF4" w:rsidRDefault="008F6432" w:rsidP="00DC0553">
      <w:pPr>
        <w:keepNext/>
        <w:rPr>
          <w:i/>
          <w:sz w:val="16"/>
        </w:rPr>
      </w:pPr>
      <w:r w:rsidRPr="00A32AF4">
        <w:rPr>
          <w:i/>
          <w:sz w:val="16"/>
          <w:vertAlign w:val="superscript"/>
        </w:rPr>
        <w:t>1</w:t>
      </w:r>
      <w:r w:rsidRPr="00A32AF4">
        <w:rPr>
          <w:i/>
          <w:sz w:val="16"/>
        </w:rPr>
        <w:t xml:space="preserve"> Les chiffres ne comprennent pas les ajustements pour intérêts et taux de change.  Il est à noter également que ces fonds financent en général des activités qui portent sur une période excédant un exercice biennal ou qui sont à cheval sur deux</w:t>
      </w:r>
      <w:r w:rsidR="00FD43E3" w:rsidRPr="00A32AF4">
        <w:rPr>
          <w:i/>
          <w:sz w:val="16"/>
        </w:rPr>
        <w:t> </w:t>
      </w:r>
      <w:r w:rsidRPr="00A32AF4">
        <w:rPr>
          <w:i/>
          <w:sz w:val="16"/>
        </w:rPr>
        <w:t>exercices, à mesure que les recettes sont perçues et les dépenses encourues.</w:t>
      </w:r>
    </w:p>
    <w:p w:rsidR="00F93B76" w:rsidRPr="00A32AF4" w:rsidRDefault="008F6432" w:rsidP="00DC0553">
      <w:pPr>
        <w:rPr>
          <w:i/>
          <w:sz w:val="16"/>
        </w:rPr>
      </w:pPr>
      <w:r w:rsidRPr="00A32AF4">
        <w:rPr>
          <w:i/>
          <w:sz w:val="16"/>
          <w:vertAlign w:val="superscript"/>
        </w:rPr>
        <w:t>2</w:t>
      </w:r>
      <w:r w:rsidRPr="00A32AF4">
        <w:rPr>
          <w:i/>
          <w:sz w:val="16"/>
        </w:rPr>
        <w:t xml:space="preserve"> Ces chiffres purement indicatifs découlent des modes de financement précédents.  Ils ne représentent pas des engagements de la part des États membres, sauf dans les cas où l</w:t>
      </w:r>
      <w:r w:rsidR="00E2055A" w:rsidRPr="00A32AF4">
        <w:rPr>
          <w:i/>
          <w:sz w:val="16"/>
        </w:rPr>
        <w:t>’</w:t>
      </w:r>
      <w:r w:rsidRPr="00A32AF4">
        <w:rPr>
          <w:i/>
          <w:sz w:val="16"/>
        </w:rPr>
        <w:t>accord de fonds fiduciaire comprend un tel engagement.</w:t>
      </w:r>
    </w:p>
    <w:p w:rsidR="00F93B76" w:rsidRPr="00A32AF4" w:rsidRDefault="00F93B76" w:rsidP="00DC0553">
      <w:pPr>
        <w:rPr>
          <w:lang w:eastAsia="da-DK"/>
        </w:rPr>
      </w:pPr>
    </w:p>
    <w:p w:rsidR="00F93B76" w:rsidRPr="00A32AF4" w:rsidRDefault="008F6432" w:rsidP="00DC0553">
      <w:pPr>
        <w:rPr>
          <w:lang w:eastAsia="da-DK"/>
        </w:rPr>
      </w:pPr>
      <w:r w:rsidRPr="00A32AF4">
        <w:rPr>
          <w:lang w:eastAsia="da-DK"/>
        </w:rPr>
        <w:br w:type="page"/>
      </w:r>
    </w:p>
    <w:p w:rsidR="00F93B76" w:rsidRPr="00A32AF4" w:rsidRDefault="00DF2DE6" w:rsidP="00FB1F61">
      <w:pPr>
        <w:pStyle w:val="Heading2"/>
        <w:rPr>
          <w:rFonts w:hint="eastAsia"/>
          <w:lang w:eastAsia="da-DK"/>
        </w:rPr>
      </w:pPr>
      <w:bookmarkStart w:id="60" w:name="_Toc431555465"/>
      <w:r w:rsidRPr="00A32AF4">
        <w:rPr>
          <w:lang w:eastAsia="da-DK"/>
        </w:rPr>
        <w:t>Objectif stratégique IX</w:t>
      </w:r>
      <w:r w:rsidRPr="00A32AF4">
        <w:rPr>
          <w:lang w:eastAsia="da-DK"/>
        </w:rPr>
        <w:tab/>
        <w:t>Structure d</w:t>
      </w:r>
      <w:r w:rsidR="00E2055A" w:rsidRPr="00A32AF4">
        <w:rPr>
          <w:lang w:eastAsia="da-DK"/>
        </w:rPr>
        <w:t>’</w:t>
      </w:r>
      <w:r w:rsidRPr="00A32AF4">
        <w:rPr>
          <w:lang w:eastAsia="da-DK"/>
        </w:rPr>
        <w:t>appui administratif et financier efficace afin de permettre à l</w:t>
      </w:r>
      <w:r w:rsidR="00E2055A" w:rsidRPr="00A32AF4">
        <w:rPr>
          <w:lang w:eastAsia="da-DK"/>
        </w:rPr>
        <w:t>’</w:t>
      </w:r>
      <w:r w:rsidRPr="00A32AF4">
        <w:rPr>
          <w:lang w:eastAsia="da-DK"/>
        </w:rPr>
        <w:t>OMPI d</w:t>
      </w:r>
      <w:r w:rsidR="00E2055A" w:rsidRPr="00A32AF4">
        <w:rPr>
          <w:lang w:eastAsia="da-DK"/>
        </w:rPr>
        <w:t>’</w:t>
      </w:r>
      <w:r w:rsidRPr="00A32AF4">
        <w:rPr>
          <w:lang w:eastAsia="da-DK"/>
        </w:rPr>
        <w:t>exécuter ses programmes</w:t>
      </w:r>
      <w:bookmarkEnd w:id="60"/>
    </w:p>
    <w:p w:rsidR="00F93B76" w:rsidRPr="00A32AF4" w:rsidRDefault="00F93B76" w:rsidP="00DC0553">
      <w:pPr>
        <w:rPr>
          <w:lang w:eastAsia="da-DK"/>
        </w:rPr>
      </w:pPr>
    </w:p>
    <w:p w:rsidR="00F93B76" w:rsidRPr="00A32AF4" w:rsidRDefault="00F93B76" w:rsidP="00DC0553">
      <w:pPr>
        <w:rPr>
          <w:lang w:eastAsia="da-DK"/>
        </w:rPr>
      </w:pPr>
    </w:p>
    <w:p w:rsidR="00F93B76" w:rsidRPr="00A32AF4" w:rsidRDefault="0053085A" w:rsidP="00DC0553">
      <w:pPr>
        <w:jc w:val="both"/>
      </w:pPr>
      <w:r w:rsidRPr="00A32AF4">
        <w:t>L</w:t>
      </w:r>
      <w:r w:rsidR="00E2055A" w:rsidRPr="00A32AF4">
        <w:t>’</w:t>
      </w:r>
      <w:r w:rsidRPr="00A32AF4">
        <w:t>objectif stratégique IX est le deuxième objectif de base.  Il traduit les besoins de l</w:t>
      </w:r>
      <w:r w:rsidR="00E2055A" w:rsidRPr="00A32AF4">
        <w:t>’</w:t>
      </w:r>
      <w:r w:rsidRPr="00A32AF4">
        <w:t>Organisation dans son ensemble et y répond par une infrastructure d</w:t>
      </w:r>
      <w:r w:rsidR="00E2055A" w:rsidRPr="00A32AF4">
        <w:t>’</w:t>
      </w:r>
      <w:r w:rsidRPr="00A32AF4">
        <w:t>appui administratif, financier et de gestion favorisant l</w:t>
      </w:r>
      <w:r w:rsidR="00E2055A" w:rsidRPr="00A32AF4">
        <w:t>’</w:t>
      </w:r>
      <w:r w:rsidRPr="00A32AF4">
        <w:t>exécution des programmes et axée sur l</w:t>
      </w:r>
      <w:r w:rsidR="00E2055A" w:rsidRPr="00A32AF4">
        <w:t>’</w:t>
      </w:r>
      <w:r w:rsidRPr="00A32AF4">
        <w:t>efficacité et la transparence.  Cet objectif stratégique couvre également la vaste réforme institutionnelle (le Programme de réorientation stratégique) qui permettra à l</w:t>
      </w:r>
      <w:r w:rsidR="00E2055A" w:rsidRPr="00A32AF4">
        <w:t>’</w:t>
      </w:r>
      <w:r w:rsidRPr="00A32AF4">
        <w:t>OMPI de fournir un meilleur appui, plus efficace et plus économique tout en étant plus performante.</w:t>
      </w:r>
    </w:p>
    <w:p w:rsidR="00F93B76" w:rsidRPr="00A32AF4" w:rsidRDefault="00F93B76" w:rsidP="00DC0553"/>
    <w:p w:rsidR="0053085A" w:rsidRPr="00A32AF4" w:rsidRDefault="0053085A" w:rsidP="00DC0553">
      <w:pPr>
        <w:rPr>
          <w:rFonts w:cs="Arial"/>
        </w:rPr>
      </w:pPr>
    </w:p>
    <w:tbl>
      <w:tblPr>
        <w:tblW w:w="4855"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192"/>
        <w:gridCol w:w="3898"/>
        <w:gridCol w:w="1928"/>
      </w:tblGrid>
      <w:tr w:rsidR="0053085A" w:rsidRPr="00A32AF4" w:rsidTr="00451DF0">
        <w:trPr>
          <w:cantSplit/>
          <w:tblHeader/>
        </w:trPr>
        <w:tc>
          <w:tcPr>
            <w:tcW w:w="1770" w:type="pct"/>
            <w:tcBorders>
              <w:top w:val="single" w:sz="4" w:space="0" w:color="auto"/>
              <w:bottom w:val="single" w:sz="4" w:space="0" w:color="auto"/>
            </w:tcBorders>
            <w:shd w:val="clear" w:color="auto" w:fill="C6D9F1" w:themeFill="text2" w:themeFillTint="33"/>
            <w:tcMar>
              <w:top w:w="113" w:type="dxa"/>
              <w:bottom w:w="113" w:type="dxa"/>
            </w:tcMar>
            <w:vAlign w:val="center"/>
          </w:tcPr>
          <w:p w:rsidR="0053085A" w:rsidRPr="00A32AF4" w:rsidRDefault="0053085A" w:rsidP="00DC0553">
            <w:pPr>
              <w:jc w:val="center"/>
              <w:rPr>
                <w:rFonts w:cs="Arial"/>
                <w:b/>
                <w:bCs/>
                <w:sz w:val="18"/>
                <w:szCs w:val="18"/>
              </w:rPr>
            </w:pPr>
            <w:r w:rsidRPr="00A32AF4">
              <w:rPr>
                <w:rFonts w:cs="Arial"/>
                <w:b/>
                <w:bCs/>
                <w:sz w:val="18"/>
                <w:szCs w:val="18"/>
              </w:rPr>
              <w:t>Résultats escomptés</w:t>
            </w:r>
          </w:p>
        </w:tc>
        <w:tc>
          <w:tcPr>
            <w:tcW w:w="2161" w:type="pct"/>
            <w:tcBorders>
              <w:top w:val="single" w:sz="4" w:space="0" w:color="auto"/>
              <w:bottom w:val="single" w:sz="4" w:space="0" w:color="auto"/>
            </w:tcBorders>
            <w:shd w:val="clear" w:color="auto" w:fill="C6D9F1" w:themeFill="text2" w:themeFillTint="33"/>
            <w:tcMar>
              <w:top w:w="113" w:type="dxa"/>
              <w:bottom w:w="113" w:type="dxa"/>
            </w:tcMar>
            <w:vAlign w:val="center"/>
          </w:tcPr>
          <w:p w:rsidR="0053085A" w:rsidRPr="00A32AF4" w:rsidRDefault="0053085A" w:rsidP="00DC0553">
            <w:pPr>
              <w:jc w:val="center"/>
              <w:rPr>
                <w:rFonts w:cs="Arial"/>
                <w:b/>
                <w:sz w:val="18"/>
                <w:szCs w:val="18"/>
              </w:rPr>
            </w:pPr>
            <w:r w:rsidRPr="00A32AF4">
              <w:rPr>
                <w:rFonts w:cs="Arial"/>
                <w:b/>
                <w:sz w:val="18"/>
                <w:szCs w:val="18"/>
              </w:rPr>
              <w:t>Indicateurs d</w:t>
            </w:r>
            <w:r w:rsidR="00E2055A" w:rsidRPr="00A32AF4">
              <w:rPr>
                <w:rFonts w:cs="Arial"/>
                <w:b/>
                <w:sz w:val="18"/>
                <w:szCs w:val="18"/>
              </w:rPr>
              <w:t>’</w:t>
            </w:r>
            <w:r w:rsidRPr="00A32AF4">
              <w:rPr>
                <w:rFonts w:cs="Arial"/>
                <w:b/>
                <w:sz w:val="18"/>
                <w:szCs w:val="18"/>
              </w:rPr>
              <w:t>exécution</w:t>
            </w:r>
          </w:p>
        </w:tc>
        <w:tc>
          <w:tcPr>
            <w:tcW w:w="1069" w:type="pct"/>
            <w:tcBorders>
              <w:top w:val="single" w:sz="4" w:space="0" w:color="auto"/>
              <w:bottom w:val="single" w:sz="4" w:space="0" w:color="auto"/>
            </w:tcBorders>
            <w:shd w:val="clear" w:color="auto" w:fill="C6D9F1" w:themeFill="text2" w:themeFillTint="33"/>
            <w:tcMar>
              <w:top w:w="113" w:type="dxa"/>
              <w:bottom w:w="113" w:type="dxa"/>
            </w:tcMar>
            <w:vAlign w:val="center"/>
          </w:tcPr>
          <w:p w:rsidR="0053085A" w:rsidRPr="00A32AF4" w:rsidRDefault="0053085A" w:rsidP="00DC0553">
            <w:pPr>
              <w:jc w:val="center"/>
              <w:rPr>
                <w:rFonts w:cs="Arial"/>
                <w:sz w:val="18"/>
                <w:szCs w:val="18"/>
              </w:rPr>
            </w:pPr>
            <w:r w:rsidRPr="00A32AF4">
              <w:rPr>
                <w:rFonts w:cs="Arial"/>
                <w:b/>
                <w:sz w:val="18"/>
                <w:szCs w:val="18"/>
              </w:rPr>
              <w:t>Programme(s) concerné(s)</w:t>
            </w:r>
          </w:p>
        </w:tc>
      </w:tr>
      <w:tr w:rsidR="0053085A" w:rsidRPr="00A32AF4" w:rsidTr="00052D5E">
        <w:trPr>
          <w:cantSplit/>
        </w:trPr>
        <w:tc>
          <w:tcPr>
            <w:tcW w:w="1770" w:type="pct"/>
            <w:tcBorders>
              <w:top w:val="single" w:sz="4" w:space="0" w:color="auto"/>
            </w:tcBorders>
            <w:shd w:val="clear" w:color="auto" w:fill="auto"/>
            <w:tcMar>
              <w:top w:w="113" w:type="dxa"/>
              <w:bottom w:w="113" w:type="dxa"/>
            </w:tcMar>
          </w:tcPr>
          <w:p w:rsidR="0053085A" w:rsidRPr="00A32AF4" w:rsidRDefault="0053085A" w:rsidP="00DC0553">
            <w:pPr>
              <w:rPr>
                <w:rFonts w:cs="Arial"/>
                <w:sz w:val="16"/>
                <w:szCs w:val="16"/>
              </w:rPr>
            </w:pPr>
            <w:r w:rsidRPr="00A32AF4">
              <w:rPr>
                <w:rFonts w:cs="Arial"/>
                <w:sz w:val="16"/>
                <w:szCs w:val="16"/>
              </w:rPr>
              <w:t xml:space="preserve">IX.1 </w:t>
            </w:r>
            <w:r w:rsidRPr="00A32AF4">
              <w:rPr>
                <w:sz w:val="16"/>
                <w:szCs w:val="16"/>
              </w:rPr>
              <w:t>Services d</w:t>
            </w:r>
            <w:r w:rsidR="00E2055A" w:rsidRPr="00A32AF4">
              <w:rPr>
                <w:sz w:val="16"/>
                <w:szCs w:val="16"/>
              </w:rPr>
              <w:t>’</w:t>
            </w:r>
            <w:r w:rsidRPr="00A32AF4">
              <w:rPr>
                <w:sz w:val="16"/>
                <w:szCs w:val="16"/>
              </w:rPr>
              <w:t>appui efficaces, efficients, de qualité et tournés vers la clientèle, à l</w:t>
            </w:r>
            <w:r w:rsidR="00E2055A" w:rsidRPr="00A32AF4">
              <w:rPr>
                <w:sz w:val="16"/>
                <w:szCs w:val="16"/>
              </w:rPr>
              <w:t>’</w:t>
            </w:r>
            <w:r w:rsidRPr="00A32AF4">
              <w:rPr>
                <w:sz w:val="16"/>
                <w:szCs w:val="16"/>
              </w:rPr>
              <w:t>intention à la fois des clients internes et des parties prenantes externes</w:t>
            </w:r>
          </w:p>
        </w:tc>
        <w:tc>
          <w:tcPr>
            <w:tcW w:w="2161" w:type="pct"/>
            <w:tcBorders>
              <w:top w:val="single" w:sz="4" w:space="0" w:color="auto"/>
            </w:tcBorders>
            <w:shd w:val="clear" w:color="auto" w:fill="auto"/>
            <w:tcMar>
              <w:top w:w="113" w:type="dxa"/>
              <w:bottom w:w="113" w:type="dxa"/>
            </w:tcMar>
          </w:tcPr>
          <w:p w:rsidR="0053085A" w:rsidRPr="00A32AF4" w:rsidRDefault="00DF692B" w:rsidP="00DC0553">
            <w:pPr>
              <w:rPr>
                <w:rFonts w:cs="Arial"/>
                <w:sz w:val="16"/>
                <w:szCs w:val="16"/>
              </w:rPr>
            </w:pPr>
            <w:r w:rsidRPr="00A32AF4">
              <w:rPr>
                <w:rFonts w:cs="Arial"/>
                <w:sz w:val="16"/>
                <w:szCs w:val="16"/>
              </w:rPr>
              <w:t>Pourcentage de demandes d</w:t>
            </w:r>
            <w:r w:rsidR="00E2055A" w:rsidRPr="00A32AF4">
              <w:rPr>
                <w:rFonts w:cs="Arial"/>
                <w:sz w:val="16"/>
                <w:szCs w:val="16"/>
              </w:rPr>
              <w:t>’</w:t>
            </w:r>
            <w:r w:rsidRPr="00A32AF4">
              <w:rPr>
                <w:rFonts w:cs="Arial"/>
                <w:sz w:val="16"/>
                <w:szCs w:val="16"/>
              </w:rPr>
              <w:t>avis juridique qui reçoivent des réponses rapides du Bureau du conseiller juridique</w:t>
            </w:r>
          </w:p>
        </w:tc>
        <w:tc>
          <w:tcPr>
            <w:tcW w:w="1069" w:type="pct"/>
            <w:tcBorders>
              <w:top w:val="single" w:sz="4" w:space="0" w:color="auto"/>
            </w:tcBorders>
            <w:shd w:val="clear" w:color="auto" w:fill="FFFFFF"/>
            <w:tcMar>
              <w:top w:w="113" w:type="dxa"/>
              <w:bottom w:w="113" w:type="dxa"/>
            </w:tcMar>
          </w:tcPr>
          <w:p w:rsidR="0053085A" w:rsidRPr="00A32AF4" w:rsidRDefault="0053085A" w:rsidP="00DC0553">
            <w:pPr>
              <w:jc w:val="center"/>
              <w:rPr>
                <w:rFonts w:cs="Arial"/>
                <w:sz w:val="16"/>
                <w:szCs w:val="16"/>
              </w:rPr>
            </w:pPr>
            <w:r w:rsidRPr="00A32AF4">
              <w:rPr>
                <w:rFonts w:cs="Arial"/>
                <w:sz w:val="16"/>
                <w:szCs w:val="16"/>
              </w:rPr>
              <w:t>Programme 21</w:t>
            </w:r>
          </w:p>
        </w:tc>
      </w:tr>
      <w:tr w:rsidR="00153D26" w:rsidRPr="00A32AF4" w:rsidTr="00052D5E">
        <w:trPr>
          <w:cantSplit/>
        </w:trPr>
        <w:tc>
          <w:tcPr>
            <w:tcW w:w="1770" w:type="pct"/>
            <w:shd w:val="clear" w:color="auto" w:fill="auto"/>
            <w:tcMar>
              <w:top w:w="113" w:type="dxa"/>
              <w:bottom w:w="113" w:type="dxa"/>
            </w:tcMar>
          </w:tcPr>
          <w:p w:rsidR="00153D26" w:rsidRPr="00A32AF4" w:rsidRDefault="00153D26" w:rsidP="00DC0553">
            <w:pPr>
              <w:rPr>
                <w:rFonts w:cs="Arial"/>
                <w:sz w:val="16"/>
                <w:szCs w:val="16"/>
              </w:rPr>
            </w:pPr>
          </w:p>
        </w:tc>
        <w:tc>
          <w:tcPr>
            <w:tcW w:w="2161" w:type="pct"/>
            <w:shd w:val="clear" w:color="auto" w:fill="auto"/>
            <w:tcMar>
              <w:top w:w="113" w:type="dxa"/>
              <w:bottom w:w="113" w:type="dxa"/>
            </w:tcMar>
          </w:tcPr>
          <w:p w:rsidR="00153D26" w:rsidRPr="00A32AF4" w:rsidRDefault="00153D26" w:rsidP="00DC0553">
            <w:pPr>
              <w:rPr>
                <w:rFonts w:cs="Arial"/>
                <w:sz w:val="16"/>
                <w:szCs w:val="16"/>
              </w:rPr>
            </w:pPr>
            <w:r w:rsidRPr="00A32AF4">
              <w:rPr>
                <w:rFonts w:cs="Arial"/>
                <w:sz w:val="16"/>
                <w:szCs w:val="16"/>
              </w:rPr>
              <w:t>Mise à disposition des rapports et analyses de nature financière et de gestion demandés par la haute direction, les chefs de programmes et les États membres conformément aux échéances convenues</w:t>
            </w:r>
          </w:p>
        </w:tc>
        <w:tc>
          <w:tcPr>
            <w:tcW w:w="1069" w:type="pct"/>
            <w:shd w:val="clear" w:color="auto" w:fill="FFFFFF"/>
            <w:tcMar>
              <w:top w:w="113" w:type="dxa"/>
              <w:bottom w:w="113" w:type="dxa"/>
            </w:tcMar>
          </w:tcPr>
          <w:p w:rsidR="00153D26" w:rsidRPr="00A32AF4" w:rsidRDefault="00153D26" w:rsidP="00DC0553">
            <w:pPr>
              <w:jc w:val="center"/>
              <w:rPr>
                <w:rFonts w:cs="Arial"/>
                <w:sz w:val="16"/>
                <w:szCs w:val="16"/>
              </w:rPr>
            </w:pPr>
            <w:r w:rsidRPr="00A32AF4">
              <w:rPr>
                <w:rFonts w:cs="Arial"/>
                <w:sz w:val="16"/>
                <w:szCs w:val="16"/>
              </w:rPr>
              <w:t>Programme 22</w:t>
            </w:r>
          </w:p>
        </w:tc>
      </w:tr>
      <w:tr w:rsidR="00153D26" w:rsidRPr="00A32AF4" w:rsidTr="00052D5E">
        <w:trPr>
          <w:cantSplit/>
        </w:trPr>
        <w:tc>
          <w:tcPr>
            <w:tcW w:w="1770" w:type="pct"/>
            <w:shd w:val="clear" w:color="auto" w:fill="auto"/>
            <w:tcMar>
              <w:top w:w="113" w:type="dxa"/>
              <w:bottom w:w="113" w:type="dxa"/>
            </w:tcMar>
          </w:tcPr>
          <w:p w:rsidR="00153D26" w:rsidRPr="00A32AF4" w:rsidRDefault="00153D26" w:rsidP="00DC0553">
            <w:pPr>
              <w:rPr>
                <w:rFonts w:cs="Arial"/>
                <w:sz w:val="16"/>
                <w:szCs w:val="16"/>
              </w:rPr>
            </w:pPr>
          </w:p>
        </w:tc>
        <w:tc>
          <w:tcPr>
            <w:tcW w:w="2161" w:type="pct"/>
            <w:shd w:val="clear" w:color="auto" w:fill="auto"/>
            <w:tcMar>
              <w:top w:w="113" w:type="dxa"/>
              <w:bottom w:w="113" w:type="dxa"/>
            </w:tcMar>
          </w:tcPr>
          <w:p w:rsidR="00153D26" w:rsidRPr="00A32AF4" w:rsidRDefault="00153D26" w:rsidP="00DC0553">
            <w:pPr>
              <w:rPr>
                <w:rFonts w:cs="Arial"/>
                <w:sz w:val="16"/>
                <w:szCs w:val="16"/>
              </w:rPr>
            </w:pPr>
            <w:r w:rsidRPr="00A32AF4">
              <w:rPr>
                <w:rFonts w:cs="Arial"/>
                <w:sz w:val="16"/>
                <w:szCs w:val="16"/>
              </w:rPr>
              <w:t>Quantité de documents du PBC soumis à temps aux États membres</w:t>
            </w:r>
          </w:p>
        </w:tc>
        <w:tc>
          <w:tcPr>
            <w:tcW w:w="1069" w:type="pct"/>
            <w:shd w:val="clear" w:color="auto" w:fill="FFFFFF"/>
            <w:tcMar>
              <w:top w:w="113" w:type="dxa"/>
              <w:bottom w:w="113" w:type="dxa"/>
            </w:tcMar>
          </w:tcPr>
          <w:p w:rsidR="00153D26" w:rsidRPr="00A32AF4" w:rsidRDefault="00153D26" w:rsidP="00DC0553">
            <w:pPr>
              <w:jc w:val="center"/>
              <w:rPr>
                <w:rFonts w:cs="Arial"/>
                <w:sz w:val="16"/>
                <w:szCs w:val="16"/>
                <w:lang w:bidi="th-TH"/>
              </w:rPr>
            </w:pPr>
            <w:r w:rsidRPr="00A32AF4">
              <w:rPr>
                <w:rFonts w:cs="Arial"/>
                <w:sz w:val="16"/>
                <w:szCs w:val="16"/>
              </w:rPr>
              <w:t>Programme 22</w:t>
            </w:r>
          </w:p>
        </w:tc>
      </w:tr>
      <w:tr w:rsidR="00153D26" w:rsidRPr="00A32AF4" w:rsidTr="00052D5E">
        <w:trPr>
          <w:cantSplit/>
        </w:trPr>
        <w:tc>
          <w:tcPr>
            <w:tcW w:w="1770" w:type="pct"/>
            <w:shd w:val="clear" w:color="auto" w:fill="auto"/>
            <w:tcMar>
              <w:top w:w="113" w:type="dxa"/>
              <w:bottom w:w="113" w:type="dxa"/>
            </w:tcMar>
          </w:tcPr>
          <w:p w:rsidR="00153D26" w:rsidRPr="00A32AF4" w:rsidRDefault="00153D26" w:rsidP="00DC0553">
            <w:pPr>
              <w:rPr>
                <w:rFonts w:cs="Arial"/>
                <w:sz w:val="16"/>
                <w:szCs w:val="16"/>
              </w:rPr>
            </w:pPr>
          </w:p>
        </w:tc>
        <w:tc>
          <w:tcPr>
            <w:tcW w:w="2161" w:type="pct"/>
            <w:shd w:val="clear" w:color="auto" w:fill="auto"/>
            <w:tcMar>
              <w:top w:w="113" w:type="dxa"/>
              <w:bottom w:w="113" w:type="dxa"/>
            </w:tcMar>
          </w:tcPr>
          <w:p w:rsidR="00153D26" w:rsidRPr="00A32AF4" w:rsidRDefault="00153D26" w:rsidP="00DC0553">
            <w:pPr>
              <w:keepNext/>
              <w:keepLines/>
              <w:rPr>
                <w:rFonts w:cs="Arial"/>
                <w:sz w:val="16"/>
                <w:szCs w:val="16"/>
              </w:rPr>
            </w:pPr>
            <w:r w:rsidRPr="00A32AF4">
              <w:rPr>
                <w:rFonts w:cs="Arial"/>
                <w:sz w:val="16"/>
                <w:szCs w:val="16"/>
              </w:rPr>
              <w:t>Le système ERP de l</w:t>
            </w:r>
            <w:r w:rsidR="00E2055A" w:rsidRPr="00A32AF4">
              <w:rPr>
                <w:rFonts w:cs="Arial"/>
                <w:sz w:val="16"/>
                <w:szCs w:val="16"/>
              </w:rPr>
              <w:t>’</w:t>
            </w:r>
            <w:r w:rsidRPr="00A32AF4">
              <w:rPr>
                <w:rFonts w:cs="Arial"/>
                <w:sz w:val="16"/>
                <w:szCs w:val="16"/>
              </w:rPr>
              <w:t>Organisation (AIMS) fonctionne de manière efficiente, compte tenu des besoins opérationnels et conformément aux pratiques recommandées</w:t>
            </w:r>
          </w:p>
        </w:tc>
        <w:tc>
          <w:tcPr>
            <w:tcW w:w="1069" w:type="pct"/>
            <w:shd w:val="clear" w:color="auto" w:fill="FFFFFF"/>
            <w:tcMar>
              <w:top w:w="113" w:type="dxa"/>
              <w:bottom w:w="113" w:type="dxa"/>
            </w:tcMar>
          </w:tcPr>
          <w:p w:rsidR="00153D26" w:rsidRPr="00A32AF4" w:rsidRDefault="00153D26" w:rsidP="00DC0553">
            <w:pPr>
              <w:jc w:val="center"/>
              <w:rPr>
                <w:rFonts w:cs="Arial"/>
                <w:sz w:val="16"/>
                <w:szCs w:val="16"/>
              </w:rPr>
            </w:pPr>
            <w:r w:rsidRPr="00A32AF4">
              <w:rPr>
                <w:rFonts w:cs="Arial"/>
                <w:sz w:val="16"/>
                <w:szCs w:val="16"/>
              </w:rPr>
              <w:t>Programme 22</w:t>
            </w:r>
          </w:p>
        </w:tc>
      </w:tr>
      <w:tr w:rsidR="00153D26" w:rsidRPr="00A32AF4" w:rsidTr="00052D5E">
        <w:trPr>
          <w:cantSplit/>
        </w:trPr>
        <w:tc>
          <w:tcPr>
            <w:tcW w:w="1770" w:type="pct"/>
            <w:shd w:val="clear" w:color="auto" w:fill="auto"/>
            <w:tcMar>
              <w:top w:w="113" w:type="dxa"/>
              <w:bottom w:w="113" w:type="dxa"/>
            </w:tcMar>
          </w:tcPr>
          <w:p w:rsidR="00153D26" w:rsidRPr="00A32AF4" w:rsidRDefault="00153D26" w:rsidP="00DC0553">
            <w:pPr>
              <w:rPr>
                <w:rFonts w:cs="Arial"/>
                <w:sz w:val="16"/>
                <w:szCs w:val="16"/>
              </w:rPr>
            </w:pPr>
          </w:p>
        </w:tc>
        <w:tc>
          <w:tcPr>
            <w:tcW w:w="2161" w:type="pct"/>
            <w:shd w:val="clear" w:color="auto" w:fill="auto"/>
            <w:tcMar>
              <w:top w:w="113" w:type="dxa"/>
              <w:bottom w:w="113" w:type="dxa"/>
            </w:tcMar>
          </w:tcPr>
          <w:p w:rsidR="00153D26" w:rsidRPr="00A32AF4" w:rsidRDefault="00153D26" w:rsidP="00DC0553">
            <w:pPr>
              <w:keepNext/>
              <w:keepLines/>
              <w:rPr>
                <w:rFonts w:cs="Arial"/>
                <w:sz w:val="16"/>
                <w:szCs w:val="16"/>
              </w:rPr>
            </w:pPr>
            <w:r w:rsidRPr="00A32AF4">
              <w:rPr>
                <w:rFonts w:cs="Arial"/>
                <w:sz w:val="16"/>
                <w:szCs w:val="16"/>
              </w:rPr>
              <w:t>Les projets ERP sont mis en œuvre conformément au plan et dans les limites du budget du portefeuille</w:t>
            </w:r>
          </w:p>
        </w:tc>
        <w:tc>
          <w:tcPr>
            <w:tcW w:w="1069" w:type="pct"/>
            <w:shd w:val="clear" w:color="auto" w:fill="FFFFFF"/>
            <w:tcMar>
              <w:top w:w="113" w:type="dxa"/>
              <w:bottom w:w="113" w:type="dxa"/>
            </w:tcMar>
          </w:tcPr>
          <w:p w:rsidR="00153D26" w:rsidRPr="00A32AF4" w:rsidRDefault="00153D26" w:rsidP="00DC0553">
            <w:pPr>
              <w:jc w:val="center"/>
              <w:rPr>
                <w:rFonts w:cs="Arial"/>
                <w:sz w:val="16"/>
                <w:szCs w:val="16"/>
              </w:rPr>
            </w:pPr>
            <w:r w:rsidRPr="00A32AF4">
              <w:rPr>
                <w:rFonts w:cs="Arial"/>
                <w:sz w:val="16"/>
                <w:szCs w:val="16"/>
              </w:rPr>
              <w:t>Programme 22</w:t>
            </w:r>
          </w:p>
        </w:tc>
      </w:tr>
      <w:tr w:rsidR="00B620D6" w:rsidRPr="00A32AF4" w:rsidTr="00052D5E">
        <w:trPr>
          <w:cantSplit/>
        </w:trPr>
        <w:tc>
          <w:tcPr>
            <w:tcW w:w="1770" w:type="pct"/>
            <w:shd w:val="clear" w:color="auto" w:fill="auto"/>
            <w:tcMar>
              <w:top w:w="113" w:type="dxa"/>
              <w:bottom w:w="113" w:type="dxa"/>
            </w:tcMar>
          </w:tcPr>
          <w:p w:rsidR="00B620D6" w:rsidRPr="00A32AF4" w:rsidRDefault="00B620D6" w:rsidP="00DC0553">
            <w:pPr>
              <w:rPr>
                <w:rFonts w:cs="Arial"/>
                <w:sz w:val="16"/>
                <w:szCs w:val="16"/>
              </w:rPr>
            </w:pPr>
          </w:p>
        </w:tc>
        <w:tc>
          <w:tcPr>
            <w:tcW w:w="2161" w:type="pct"/>
            <w:shd w:val="clear" w:color="auto" w:fill="auto"/>
            <w:tcMar>
              <w:top w:w="113" w:type="dxa"/>
              <w:bottom w:w="113" w:type="dxa"/>
            </w:tcMar>
          </w:tcPr>
          <w:p w:rsidR="00B620D6" w:rsidRPr="00A32AF4" w:rsidRDefault="00B620D6" w:rsidP="00DC0553">
            <w:pPr>
              <w:rPr>
                <w:rFonts w:cs="Arial"/>
                <w:sz w:val="16"/>
                <w:szCs w:val="16"/>
              </w:rPr>
            </w:pPr>
            <w:r w:rsidRPr="00A32AF4">
              <w:rPr>
                <w:rFonts w:cs="Arial"/>
                <w:sz w:val="16"/>
                <w:szCs w:val="16"/>
              </w:rPr>
              <w:t>Pourcentage du personnel satisfait des services des ressources humaines</w:t>
            </w:r>
          </w:p>
        </w:tc>
        <w:tc>
          <w:tcPr>
            <w:tcW w:w="1069" w:type="pct"/>
            <w:shd w:val="clear" w:color="auto" w:fill="FFFFFF"/>
            <w:tcMar>
              <w:top w:w="113" w:type="dxa"/>
              <w:bottom w:w="113" w:type="dxa"/>
            </w:tcMar>
          </w:tcPr>
          <w:p w:rsidR="00B620D6" w:rsidRPr="00A32AF4" w:rsidRDefault="00B620D6" w:rsidP="00DC0553">
            <w:pPr>
              <w:jc w:val="center"/>
              <w:rPr>
                <w:rFonts w:cs="Arial"/>
                <w:sz w:val="16"/>
                <w:szCs w:val="16"/>
              </w:rPr>
            </w:pPr>
            <w:r w:rsidRPr="00A32AF4">
              <w:rPr>
                <w:rFonts w:cs="Arial"/>
                <w:sz w:val="16"/>
                <w:szCs w:val="16"/>
              </w:rPr>
              <w:t>Programme 23</w:t>
            </w:r>
          </w:p>
        </w:tc>
      </w:tr>
      <w:tr w:rsidR="00B620D6" w:rsidRPr="00A32AF4" w:rsidTr="00052D5E">
        <w:trPr>
          <w:cantSplit/>
        </w:trPr>
        <w:tc>
          <w:tcPr>
            <w:tcW w:w="1770" w:type="pct"/>
            <w:shd w:val="clear" w:color="auto" w:fill="auto"/>
            <w:tcMar>
              <w:top w:w="113" w:type="dxa"/>
              <w:bottom w:w="113" w:type="dxa"/>
            </w:tcMar>
          </w:tcPr>
          <w:p w:rsidR="00B620D6" w:rsidRPr="00A32AF4" w:rsidRDefault="00B620D6" w:rsidP="00DC0553">
            <w:pPr>
              <w:rPr>
                <w:rFonts w:cs="Arial"/>
                <w:sz w:val="16"/>
                <w:szCs w:val="16"/>
              </w:rPr>
            </w:pPr>
          </w:p>
        </w:tc>
        <w:tc>
          <w:tcPr>
            <w:tcW w:w="2161" w:type="pct"/>
            <w:shd w:val="clear" w:color="auto" w:fill="auto"/>
            <w:tcMar>
              <w:top w:w="113" w:type="dxa"/>
              <w:bottom w:w="113" w:type="dxa"/>
            </w:tcMar>
          </w:tcPr>
          <w:p w:rsidR="00B620D6" w:rsidRPr="00A32AF4" w:rsidRDefault="00B620D6" w:rsidP="00DC0553">
            <w:pPr>
              <w:rPr>
                <w:rFonts w:cs="Arial"/>
                <w:sz w:val="16"/>
                <w:szCs w:val="16"/>
              </w:rPr>
            </w:pPr>
            <w:r w:rsidRPr="00A32AF4">
              <w:rPr>
                <w:rFonts w:cs="Arial"/>
                <w:sz w:val="16"/>
                <w:szCs w:val="16"/>
              </w:rPr>
              <w:t>Augmentation d</w:t>
            </w:r>
            <w:r w:rsidR="00E2055A" w:rsidRPr="00A32AF4">
              <w:rPr>
                <w:rFonts w:cs="Arial"/>
                <w:sz w:val="16"/>
                <w:szCs w:val="16"/>
              </w:rPr>
              <w:t>’</w:t>
            </w:r>
            <w:r w:rsidRPr="00A32AF4">
              <w:rPr>
                <w:rFonts w:cs="Arial"/>
                <w:sz w:val="16"/>
                <w:szCs w:val="16"/>
              </w:rPr>
              <w:t xml:space="preserve">activités gérées automatiquement par rapport aux actions gérées manuellement </w:t>
            </w:r>
          </w:p>
        </w:tc>
        <w:tc>
          <w:tcPr>
            <w:tcW w:w="1069" w:type="pct"/>
            <w:shd w:val="clear" w:color="auto" w:fill="FFFFFF"/>
            <w:tcMar>
              <w:top w:w="113" w:type="dxa"/>
              <w:bottom w:w="113" w:type="dxa"/>
            </w:tcMar>
          </w:tcPr>
          <w:p w:rsidR="00B620D6" w:rsidRPr="00A32AF4" w:rsidRDefault="00B620D6" w:rsidP="00DC0553">
            <w:pPr>
              <w:jc w:val="center"/>
              <w:rPr>
                <w:rFonts w:cs="Arial"/>
                <w:sz w:val="16"/>
                <w:szCs w:val="16"/>
              </w:rPr>
            </w:pPr>
            <w:r w:rsidRPr="00A32AF4">
              <w:rPr>
                <w:rFonts w:cs="Arial"/>
                <w:sz w:val="16"/>
                <w:szCs w:val="16"/>
              </w:rPr>
              <w:t>Programme 23</w:t>
            </w:r>
          </w:p>
        </w:tc>
      </w:tr>
      <w:tr w:rsidR="00B620D6" w:rsidRPr="00A32AF4" w:rsidTr="00052D5E">
        <w:trPr>
          <w:cantSplit/>
        </w:trPr>
        <w:tc>
          <w:tcPr>
            <w:tcW w:w="1770" w:type="pct"/>
            <w:shd w:val="clear" w:color="auto" w:fill="auto"/>
            <w:tcMar>
              <w:top w:w="113" w:type="dxa"/>
              <w:bottom w:w="113" w:type="dxa"/>
            </w:tcMar>
          </w:tcPr>
          <w:p w:rsidR="00B620D6" w:rsidRPr="00A32AF4" w:rsidRDefault="00B620D6" w:rsidP="00DC0553">
            <w:pPr>
              <w:rPr>
                <w:rFonts w:cs="Arial"/>
                <w:sz w:val="16"/>
                <w:szCs w:val="16"/>
              </w:rPr>
            </w:pPr>
          </w:p>
        </w:tc>
        <w:tc>
          <w:tcPr>
            <w:tcW w:w="2161" w:type="pct"/>
            <w:shd w:val="clear" w:color="auto" w:fill="auto"/>
            <w:tcMar>
              <w:top w:w="113" w:type="dxa"/>
              <w:bottom w:w="113" w:type="dxa"/>
            </w:tcMar>
          </w:tcPr>
          <w:p w:rsidR="00B620D6" w:rsidRPr="00A32AF4" w:rsidRDefault="00B620D6" w:rsidP="00DC0553">
            <w:pPr>
              <w:rPr>
                <w:rFonts w:cs="Arial"/>
                <w:sz w:val="16"/>
                <w:szCs w:val="16"/>
              </w:rPr>
            </w:pPr>
            <w:r w:rsidRPr="00A32AF4">
              <w:rPr>
                <w:rFonts w:cs="Arial"/>
                <w:sz w:val="16"/>
                <w:szCs w:val="16"/>
              </w:rPr>
              <w:t xml:space="preserve">Pourcentage des requêtes traitées en moins de cinq jours ouvrables </w:t>
            </w:r>
          </w:p>
        </w:tc>
        <w:tc>
          <w:tcPr>
            <w:tcW w:w="1069" w:type="pct"/>
            <w:shd w:val="clear" w:color="auto" w:fill="FFFFFF"/>
            <w:tcMar>
              <w:top w:w="113" w:type="dxa"/>
              <w:bottom w:w="113" w:type="dxa"/>
            </w:tcMar>
          </w:tcPr>
          <w:p w:rsidR="00B620D6" w:rsidRPr="00A32AF4" w:rsidRDefault="00B620D6" w:rsidP="00DC0553">
            <w:pPr>
              <w:jc w:val="center"/>
              <w:rPr>
                <w:rFonts w:cs="Arial"/>
                <w:sz w:val="16"/>
                <w:szCs w:val="16"/>
              </w:rPr>
            </w:pPr>
            <w:r w:rsidRPr="00A32AF4">
              <w:rPr>
                <w:rFonts w:cs="Arial"/>
                <w:sz w:val="16"/>
                <w:szCs w:val="16"/>
              </w:rPr>
              <w:t>Programme 23</w:t>
            </w:r>
          </w:p>
        </w:tc>
      </w:tr>
      <w:tr w:rsidR="00B620D6" w:rsidRPr="00A32AF4" w:rsidTr="00052D5E">
        <w:trPr>
          <w:cantSplit/>
        </w:trPr>
        <w:tc>
          <w:tcPr>
            <w:tcW w:w="1770" w:type="pct"/>
            <w:shd w:val="clear" w:color="auto" w:fill="auto"/>
            <w:tcMar>
              <w:top w:w="113" w:type="dxa"/>
              <w:bottom w:w="113" w:type="dxa"/>
            </w:tcMar>
          </w:tcPr>
          <w:p w:rsidR="00B620D6" w:rsidRPr="00A32AF4" w:rsidRDefault="00B620D6" w:rsidP="00DC0553">
            <w:pPr>
              <w:rPr>
                <w:rFonts w:cs="Arial"/>
                <w:sz w:val="16"/>
                <w:szCs w:val="16"/>
              </w:rPr>
            </w:pPr>
          </w:p>
        </w:tc>
        <w:tc>
          <w:tcPr>
            <w:tcW w:w="2161" w:type="pct"/>
            <w:shd w:val="clear" w:color="auto" w:fill="auto"/>
            <w:tcMar>
              <w:top w:w="113" w:type="dxa"/>
              <w:bottom w:w="113" w:type="dxa"/>
            </w:tcMar>
          </w:tcPr>
          <w:p w:rsidR="00B620D6" w:rsidRPr="00A32AF4" w:rsidRDefault="00B620D6" w:rsidP="00DC0553">
            <w:pPr>
              <w:rPr>
                <w:rFonts w:cs="Arial"/>
                <w:sz w:val="16"/>
                <w:szCs w:val="16"/>
              </w:rPr>
            </w:pPr>
            <w:r w:rsidRPr="00A32AF4">
              <w:rPr>
                <w:rFonts w:cs="Arial"/>
                <w:sz w:val="16"/>
                <w:szCs w:val="16"/>
              </w:rPr>
              <w:t>Couverture d</w:t>
            </w:r>
            <w:r w:rsidR="00E2055A" w:rsidRPr="00A32AF4">
              <w:rPr>
                <w:rFonts w:cs="Arial"/>
                <w:sz w:val="16"/>
                <w:szCs w:val="16"/>
              </w:rPr>
              <w:t>’</w:t>
            </w:r>
            <w:r w:rsidRPr="00A32AF4">
              <w:rPr>
                <w:rFonts w:cs="Arial"/>
                <w:sz w:val="16"/>
                <w:szCs w:val="16"/>
              </w:rPr>
              <w:t xml:space="preserve">assurance optimisée </w:t>
            </w:r>
          </w:p>
        </w:tc>
        <w:tc>
          <w:tcPr>
            <w:tcW w:w="1069" w:type="pct"/>
            <w:shd w:val="clear" w:color="auto" w:fill="FFFFFF"/>
            <w:tcMar>
              <w:top w:w="113" w:type="dxa"/>
              <w:bottom w:w="113" w:type="dxa"/>
            </w:tcMar>
          </w:tcPr>
          <w:p w:rsidR="00B620D6" w:rsidRPr="00A32AF4" w:rsidRDefault="00B620D6" w:rsidP="00DC0553">
            <w:pPr>
              <w:jc w:val="center"/>
              <w:rPr>
                <w:rFonts w:cs="Arial"/>
                <w:sz w:val="16"/>
                <w:szCs w:val="16"/>
              </w:rPr>
            </w:pPr>
            <w:r w:rsidRPr="00A32AF4">
              <w:rPr>
                <w:rFonts w:cs="Arial"/>
                <w:sz w:val="16"/>
                <w:szCs w:val="16"/>
              </w:rPr>
              <w:t>Programme 23</w:t>
            </w:r>
          </w:p>
        </w:tc>
      </w:tr>
      <w:tr w:rsidR="00052D5E" w:rsidRPr="00A32AF4" w:rsidTr="00052D5E">
        <w:trPr>
          <w:cantSplit/>
        </w:trPr>
        <w:tc>
          <w:tcPr>
            <w:tcW w:w="1770" w:type="pct"/>
            <w:shd w:val="clear" w:color="auto" w:fill="auto"/>
            <w:tcMar>
              <w:top w:w="113" w:type="dxa"/>
              <w:bottom w:w="113" w:type="dxa"/>
            </w:tcMar>
          </w:tcPr>
          <w:p w:rsidR="00052D5E" w:rsidRPr="00A32AF4" w:rsidRDefault="00052D5E" w:rsidP="00DC0553">
            <w:pPr>
              <w:rPr>
                <w:rFonts w:cs="Arial"/>
                <w:sz w:val="16"/>
                <w:szCs w:val="16"/>
              </w:rPr>
            </w:pPr>
          </w:p>
        </w:tc>
        <w:tc>
          <w:tcPr>
            <w:tcW w:w="2161" w:type="pct"/>
            <w:shd w:val="clear" w:color="auto" w:fill="auto"/>
            <w:tcMar>
              <w:top w:w="113" w:type="dxa"/>
              <w:bottom w:w="113" w:type="dxa"/>
            </w:tcMar>
          </w:tcPr>
          <w:p w:rsidR="00052D5E" w:rsidRPr="00A32AF4" w:rsidRDefault="00052D5E" w:rsidP="00DC0553">
            <w:pPr>
              <w:contextualSpacing/>
              <w:rPr>
                <w:rFonts w:cs="Arial"/>
                <w:sz w:val="16"/>
                <w:szCs w:val="16"/>
              </w:rPr>
            </w:pPr>
            <w:r w:rsidRPr="00A32AF4">
              <w:rPr>
                <w:rFonts w:cs="Arial"/>
                <w:sz w:val="16"/>
                <w:szCs w:val="16"/>
              </w:rPr>
              <w:t>Économies sur les achats de biens et de services effectués par l</w:t>
            </w:r>
            <w:r w:rsidR="00E2055A" w:rsidRPr="00A32AF4">
              <w:rPr>
                <w:rFonts w:cs="Arial"/>
                <w:sz w:val="16"/>
                <w:szCs w:val="16"/>
              </w:rPr>
              <w:t>’</w:t>
            </w:r>
            <w:r w:rsidRPr="00A32AF4">
              <w:rPr>
                <w:rFonts w:cs="Arial"/>
                <w:sz w:val="16"/>
                <w:szCs w:val="16"/>
              </w:rPr>
              <w:t>OMPI (par suite d</w:t>
            </w:r>
            <w:r w:rsidR="00E2055A" w:rsidRPr="00A32AF4">
              <w:rPr>
                <w:rFonts w:cs="Arial"/>
                <w:sz w:val="16"/>
                <w:szCs w:val="16"/>
              </w:rPr>
              <w:t>’</w:t>
            </w:r>
            <w:r w:rsidRPr="00A32AF4">
              <w:rPr>
                <w:rFonts w:cs="Arial"/>
                <w:sz w:val="16"/>
                <w:szCs w:val="16"/>
              </w:rPr>
              <w:t>invitations à soumissionner ou de négociations directes)</w:t>
            </w:r>
          </w:p>
        </w:tc>
        <w:tc>
          <w:tcPr>
            <w:tcW w:w="1069" w:type="pct"/>
            <w:shd w:val="clear" w:color="auto" w:fill="FFFFFF"/>
            <w:tcMar>
              <w:top w:w="113" w:type="dxa"/>
              <w:bottom w:w="113" w:type="dxa"/>
            </w:tcMar>
          </w:tcPr>
          <w:p w:rsidR="00052D5E" w:rsidRPr="00A32AF4" w:rsidRDefault="00052D5E" w:rsidP="00DC0553">
            <w:pPr>
              <w:jc w:val="center"/>
              <w:rPr>
                <w:rFonts w:cs="Arial"/>
                <w:sz w:val="16"/>
                <w:szCs w:val="16"/>
                <w:lang w:bidi="th-TH"/>
              </w:rPr>
            </w:pPr>
            <w:r w:rsidRPr="00A32AF4">
              <w:rPr>
                <w:rFonts w:cs="Arial"/>
                <w:sz w:val="16"/>
                <w:szCs w:val="16"/>
                <w:lang w:bidi="th-TH"/>
              </w:rPr>
              <w:t>Programme 24</w:t>
            </w:r>
          </w:p>
        </w:tc>
      </w:tr>
      <w:tr w:rsidR="0053085A" w:rsidRPr="00A32AF4" w:rsidTr="00052D5E">
        <w:trPr>
          <w:cantSplit/>
        </w:trPr>
        <w:tc>
          <w:tcPr>
            <w:tcW w:w="1770" w:type="pct"/>
            <w:shd w:val="clear" w:color="auto" w:fill="auto"/>
            <w:tcMar>
              <w:top w:w="113" w:type="dxa"/>
              <w:bottom w:w="113" w:type="dxa"/>
            </w:tcMar>
          </w:tcPr>
          <w:p w:rsidR="0053085A" w:rsidRPr="00A32AF4" w:rsidRDefault="0053085A" w:rsidP="00DC0553">
            <w:pPr>
              <w:rPr>
                <w:rFonts w:cs="Arial"/>
                <w:sz w:val="16"/>
                <w:szCs w:val="16"/>
              </w:rPr>
            </w:pPr>
          </w:p>
        </w:tc>
        <w:tc>
          <w:tcPr>
            <w:tcW w:w="2161" w:type="pct"/>
            <w:shd w:val="clear" w:color="auto" w:fill="auto"/>
            <w:tcMar>
              <w:top w:w="113" w:type="dxa"/>
              <w:bottom w:w="113" w:type="dxa"/>
            </w:tcMar>
          </w:tcPr>
          <w:p w:rsidR="0053085A" w:rsidRPr="00A32AF4" w:rsidRDefault="00052D5E" w:rsidP="00DC0553">
            <w:pPr>
              <w:rPr>
                <w:rFonts w:cs="Arial"/>
                <w:sz w:val="16"/>
                <w:szCs w:val="16"/>
              </w:rPr>
            </w:pPr>
            <w:r w:rsidRPr="00A32AF4">
              <w:rPr>
                <w:rFonts w:cs="Arial"/>
                <w:sz w:val="16"/>
                <w:szCs w:val="16"/>
              </w:rPr>
              <w:t>Temps de traitement des demandes électroniques</w:t>
            </w:r>
          </w:p>
        </w:tc>
        <w:tc>
          <w:tcPr>
            <w:tcW w:w="1069" w:type="pct"/>
            <w:shd w:val="clear" w:color="auto" w:fill="FFFFFF"/>
            <w:tcMar>
              <w:top w:w="113" w:type="dxa"/>
              <w:bottom w:w="113" w:type="dxa"/>
            </w:tcMar>
          </w:tcPr>
          <w:p w:rsidR="0053085A" w:rsidRPr="00A32AF4" w:rsidRDefault="0053085A" w:rsidP="00DC0553">
            <w:pPr>
              <w:jc w:val="center"/>
            </w:pPr>
            <w:r w:rsidRPr="00A32AF4">
              <w:rPr>
                <w:rFonts w:cs="Arial"/>
                <w:sz w:val="16"/>
                <w:szCs w:val="16"/>
                <w:lang w:bidi="th-TH"/>
              </w:rPr>
              <w:t>Programme 24</w:t>
            </w:r>
          </w:p>
        </w:tc>
      </w:tr>
      <w:tr w:rsidR="0053085A" w:rsidRPr="00A32AF4" w:rsidTr="00052D5E">
        <w:trPr>
          <w:cantSplit/>
        </w:trPr>
        <w:tc>
          <w:tcPr>
            <w:tcW w:w="1770" w:type="pct"/>
            <w:shd w:val="clear" w:color="auto" w:fill="auto"/>
            <w:tcMar>
              <w:top w:w="113" w:type="dxa"/>
              <w:bottom w:w="113" w:type="dxa"/>
            </w:tcMar>
          </w:tcPr>
          <w:p w:rsidR="0053085A" w:rsidRPr="00A32AF4" w:rsidRDefault="0053085A" w:rsidP="00DC0553">
            <w:pPr>
              <w:rPr>
                <w:rFonts w:cs="Arial"/>
                <w:sz w:val="16"/>
                <w:szCs w:val="16"/>
              </w:rPr>
            </w:pPr>
          </w:p>
        </w:tc>
        <w:tc>
          <w:tcPr>
            <w:tcW w:w="2161" w:type="pct"/>
            <w:shd w:val="clear" w:color="auto" w:fill="auto"/>
            <w:tcMar>
              <w:top w:w="113" w:type="dxa"/>
              <w:bottom w:w="113" w:type="dxa"/>
            </w:tcMar>
          </w:tcPr>
          <w:p w:rsidR="0053085A" w:rsidRPr="00A32AF4" w:rsidRDefault="00052D5E" w:rsidP="00DC0553">
            <w:pPr>
              <w:rPr>
                <w:rFonts w:cs="Arial"/>
                <w:sz w:val="16"/>
                <w:szCs w:val="16"/>
              </w:rPr>
            </w:pPr>
            <w:r w:rsidRPr="00A32AF4">
              <w:rPr>
                <w:rFonts w:cs="Arial"/>
                <w:sz w:val="16"/>
                <w:szCs w:val="16"/>
              </w:rPr>
              <w:t>Temps de traitement des autorisations de voyage électroniques</w:t>
            </w:r>
          </w:p>
        </w:tc>
        <w:tc>
          <w:tcPr>
            <w:tcW w:w="1069" w:type="pct"/>
            <w:shd w:val="clear" w:color="auto" w:fill="FFFFFF"/>
            <w:tcMar>
              <w:top w:w="113" w:type="dxa"/>
              <w:bottom w:w="113" w:type="dxa"/>
            </w:tcMar>
          </w:tcPr>
          <w:p w:rsidR="0053085A" w:rsidRPr="00A32AF4" w:rsidRDefault="0053085A" w:rsidP="00DC0553">
            <w:pPr>
              <w:jc w:val="center"/>
            </w:pPr>
            <w:r w:rsidRPr="00A32AF4">
              <w:rPr>
                <w:rFonts w:cs="Arial"/>
                <w:sz w:val="16"/>
                <w:szCs w:val="16"/>
                <w:lang w:bidi="th-TH"/>
              </w:rPr>
              <w:t>Programme 24</w:t>
            </w:r>
          </w:p>
        </w:tc>
      </w:tr>
      <w:tr w:rsidR="0053085A" w:rsidRPr="00A32AF4" w:rsidTr="00052D5E">
        <w:trPr>
          <w:cantSplit/>
        </w:trPr>
        <w:tc>
          <w:tcPr>
            <w:tcW w:w="1770" w:type="pct"/>
            <w:shd w:val="clear" w:color="auto" w:fill="auto"/>
            <w:tcMar>
              <w:top w:w="113" w:type="dxa"/>
              <w:bottom w:w="113" w:type="dxa"/>
            </w:tcMar>
          </w:tcPr>
          <w:p w:rsidR="0053085A" w:rsidRPr="00A32AF4" w:rsidRDefault="0053085A" w:rsidP="00DC0553">
            <w:pPr>
              <w:rPr>
                <w:rFonts w:cs="Arial"/>
                <w:sz w:val="16"/>
                <w:szCs w:val="16"/>
              </w:rPr>
            </w:pPr>
          </w:p>
        </w:tc>
        <w:tc>
          <w:tcPr>
            <w:tcW w:w="2161" w:type="pct"/>
            <w:shd w:val="clear" w:color="auto" w:fill="auto"/>
            <w:tcMar>
              <w:top w:w="113" w:type="dxa"/>
              <w:bottom w:w="113" w:type="dxa"/>
            </w:tcMar>
          </w:tcPr>
          <w:p w:rsidR="0053085A" w:rsidRPr="00A32AF4" w:rsidRDefault="00052D5E" w:rsidP="00DC0553">
            <w:pPr>
              <w:rPr>
                <w:sz w:val="16"/>
                <w:szCs w:val="16"/>
              </w:rPr>
            </w:pPr>
            <w:r w:rsidRPr="00A32AF4">
              <w:rPr>
                <w:rFonts w:cs="Arial"/>
                <w:sz w:val="16"/>
                <w:szCs w:val="16"/>
              </w:rPr>
              <w:t>Temps de traitement des visas</w:t>
            </w:r>
          </w:p>
        </w:tc>
        <w:tc>
          <w:tcPr>
            <w:tcW w:w="1069" w:type="pct"/>
            <w:shd w:val="clear" w:color="auto" w:fill="FFFFFF"/>
            <w:tcMar>
              <w:top w:w="113" w:type="dxa"/>
              <w:bottom w:w="113" w:type="dxa"/>
            </w:tcMar>
          </w:tcPr>
          <w:p w:rsidR="0053085A" w:rsidRPr="00A32AF4" w:rsidRDefault="0053085A" w:rsidP="00DC0553">
            <w:pPr>
              <w:jc w:val="center"/>
            </w:pPr>
            <w:r w:rsidRPr="00A32AF4">
              <w:rPr>
                <w:rFonts w:cs="Arial"/>
                <w:sz w:val="16"/>
                <w:szCs w:val="16"/>
                <w:lang w:bidi="th-TH"/>
              </w:rPr>
              <w:t>Programme 24</w:t>
            </w:r>
          </w:p>
        </w:tc>
      </w:tr>
      <w:tr w:rsidR="0053085A" w:rsidRPr="00A32AF4" w:rsidTr="00052D5E">
        <w:trPr>
          <w:cantSplit/>
        </w:trPr>
        <w:tc>
          <w:tcPr>
            <w:tcW w:w="1770" w:type="pct"/>
            <w:shd w:val="clear" w:color="auto" w:fill="auto"/>
            <w:tcMar>
              <w:top w:w="113" w:type="dxa"/>
              <w:bottom w:w="113" w:type="dxa"/>
            </w:tcMar>
          </w:tcPr>
          <w:p w:rsidR="0053085A" w:rsidRPr="00A32AF4" w:rsidRDefault="0053085A" w:rsidP="00DC0553">
            <w:pPr>
              <w:rPr>
                <w:rFonts w:cs="Arial"/>
                <w:sz w:val="16"/>
                <w:szCs w:val="16"/>
              </w:rPr>
            </w:pPr>
          </w:p>
        </w:tc>
        <w:tc>
          <w:tcPr>
            <w:tcW w:w="2161" w:type="pct"/>
            <w:shd w:val="clear" w:color="auto" w:fill="auto"/>
            <w:tcMar>
              <w:top w:w="113" w:type="dxa"/>
              <w:bottom w:w="113" w:type="dxa"/>
            </w:tcMar>
          </w:tcPr>
          <w:p w:rsidR="0053085A" w:rsidRPr="00A32AF4" w:rsidRDefault="00052D5E" w:rsidP="00DC0553">
            <w:pPr>
              <w:rPr>
                <w:sz w:val="16"/>
                <w:szCs w:val="16"/>
              </w:rPr>
            </w:pPr>
            <w:r w:rsidRPr="00A32AF4">
              <w:rPr>
                <w:rFonts w:cs="Arial"/>
                <w:sz w:val="16"/>
                <w:szCs w:val="16"/>
              </w:rPr>
              <w:t>Moyenne TMC du prix d</w:t>
            </w:r>
            <w:r w:rsidR="00E2055A" w:rsidRPr="00A32AF4">
              <w:rPr>
                <w:rFonts w:cs="Arial"/>
                <w:sz w:val="16"/>
                <w:szCs w:val="16"/>
              </w:rPr>
              <w:t>’</w:t>
            </w:r>
            <w:r w:rsidRPr="00A32AF4">
              <w:rPr>
                <w:rFonts w:cs="Arial"/>
                <w:sz w:val="16"/>
                <w:szCs w:val="16"/>
              </w:rPr>
              <w:t>un billet</w:t>
            </w:r>
          </w:p>
        </w:tc>
        <w:tc>
          <w:tcPr>
            <w:tcW w:w="1069" w:type="pct"/>
            <w:shd w:val="clear" w:color="auto" w:fill="FFFFFF"/>
            <w:tcMar>
              <w:top w:w="113" w:type="dxa"/>
              <w:bottom w:w="113" w:type="dxa"/>
            </w:tcMar>
          </w:tcPr>
          <w:p w:rsidR="0053085A" w:rsidRPr="00A32AF4" w:rsidRDefault="0053085A" w:rsidP="00DC0553">
            <w:pPr>
              <w:jc w:val="center"/>
            </w:pPr>
            <w:r w:rsidRPr="00A32AF4">
              <w:rPr>
                <w:rFonts w:cs="Arial"/>
                <w:sz w:val="16"/>
                <w:szCs w:val="16"/>
                <w:lang w:bidi="th-TH"/>
              </w:rPr>
              <w:t>Programme 24</w:t>
            </w:r>
          </w:p>
        </w:tc>
      </w:tr>
      <w:tr w:rsidR="0053085A" w:rsidRPr="00A32AF4" w:rsidTr="00052D5E">
        <w:trPr>
          <w:cantSplit/>
        </w:trPr>
        <w:tc>
          <w:tcPr>
            <w:tcW w:w="1770" w:type="pct"/>
            <w:shd w:val="clear" w:color="auto" w:fill="auto"/>
            <w:tcMar>
              <w:top w:w="113" w:type="dxa"/>
              <w:bottom w:w="113" w:type="dxa"/>
            </w:tcMar>
          </w:tcPr>
          <w:p w:rsidR="0053085A" w:rsidRPr="00A32AF4" w:rsidRDefault="0053085A" w:rsidP="00DC0553">
            <w:pPr>
              <w:rPr>
                <w:rFonts w:cs="Arial"/>
                <w:sz w:val="16"/>
                <w:szCs w:val="16"/>
              </w:rPr>
            </w:pPr>
          </w:p>
        </w:tc>
        <w:tc>
          <w:tcPr>
            <w:tcW w:w="2161" w:type="pct"/>
            <w:shd w:val="clear" w:color="auto" w:fill="auto"/>
            <w:tcMar>
              <w:top w:w="113" w:type="dxa"/>
              <w:bottom w:w="113" w:type="dxa"/>
            </w:tcMar>
          </w:tcPr>
          <w:p w:rsidR="0053085A" w:rsidRPr="00A32AF4" w:rsidRDefault="00052D5E" w:rsidP="00DC0553">
            <w:pPr>
              <w:rPr>
                <w:sz w:val="16"/>
                <w:szCs w:val="16"/>
              </w:rPr>
            </w:pPr>
            <w:r w:rsidRPr="00A32AF4">
              <w:rPr>
                <w:rFonts w:cs="Arial"/>
                <w:sz w:val="16"/>
                <w:szCs w:val="16"/>
              </w:rPr>
              <w:t>Moyenne globale du prix d</w:t>
            </w:r>
            <w:r w:rsidR="00E2055A" w:rsidRPr="00A32AF4">
              <w:rPr>
                <w:rFonts w:cs="Arial"/>
                <w:sz w:val="16"/>
                <w:szCs w:val="16"/>
              </w:rPr>
              <w:t>’</w:t>
            </w:r>
            <w:r w:rsidRPr="00A32AF4">
              <w:rPr>
                <w:rFonts w:cs="Arial"/>
                <w:sz w:val="16"/>
                <w:szCs w:val="16"/>
              </w:rPr>
              <w:t>un billet</w:t>
            </w:r>
          </w:p>
        </w:tc>
        <w:tc>
          <w:tcPr>
            <w:tcW w:w="1069" w:type="pct"/>
            <w:shd w:val="clear" w:color="auto" w:fill="FFFFFF"/>
            <w:tcMar>
              <w:top w:w="113" w:type="dxa"/>
              <w:bottom w:w="113" w:type="dxa"/>
            </w:tcMar>
          </w:tcPr>
          <w:p w:rsidR="0053085A" w:rsidRPr="00A32AF4" w:rsidRDefault="0053085A" w:rsidP="00DC0553">
            <w:pPr>
              <w:jc w:val="center"/>
            </w:pPr>
            <w:r w:rsidRPr="00A32AF4">
              <w:rPr>
                <w:rFonts w:cs="Arial"/>
                <w:sz w:val="16"/>
                <w:szCs w:val="16"/>
                <w:lang w:bidi="th-TH"/>
              </w:rPr>
              <w:t>Programme 24</w:t>
            </w:r>
          </w:p>
        </w:tc>
      </w:tr>
      <w:tr w:rsidR="0053085A" w:rsidRPr="00A32AF4" w:rsidTr="00052D5E">
        <w:trPr>
          <w:cantSplit/>
        </w:trPr>
        <w:tc>
          <w:tcPr>
            <w:tcW w:w="1770" w:type="pct"/>
            <w:shd w:val="clear" w:color="auto" w:fill="auto"/>
            <w:tcMar>
              <w:top w:w="113" w:type="dxa"/>
              <w:bottom w:w="113" w:type="dxa"/>
            </w:tcMar>
          </w:tcPr>
          <w:p w:rsidR="0053085A" w:rsidRPr="00A32AF4" w:rsidRDefault="0053085A" w:rsidP="00DC0553">
            <w:pPr>
              <w:rPr>
                <w:rFonts w:cs="Arial"/>
                <w:sz w:val="16"/>
                <w:szCs w:val="16"/>
              </w:rPr>
            </w:pPr>
          </w:p>
        </w:tc>
        <w:tc>
          <w:tcPr>
            <w:tcW w:w="2161" w:type="pct"/>
            <w:shd w:val="clear" w:color="auto" w:fill="auto"/>
            <w:tcMar>
              <w:top w:w="113" w:type="dxa"/>
              <w:bottom w:w="113" w:type="dxa"/>
            </w:tcMar>
          </w:tcPr>
          <w:p w:rsidR="0053085A" w:rsidRPr="00A32AF4" w:rsidRDefault="00052D5E" w:rsidP="00DC0553">
            <w:pPr>
              <w:rPr>
                <w:sz w:val="16"/>
                <w:szCs w:val="16"/>
              </w:rPr>
            </w:pPr>
            <w:r w:rsidRPr="00A32AF4">
              <w:rPr>
                <w:rFonts w:cs="Arial"/>
                <w:sz w:val="16"/>
                <w:szCs w:val="16"/>
              </w:rPr>
              <w:t>Coût moyen des frais de service</w:t>
            </w:r>
          </w:p>
        </w:tc>
        <w:tc>
          <w:tcPr>
            <w:tcW w:w="1069" w:type="pct"/>
            <w:shd w:val="clear" w:color="auto" w:fill="FFFFFF"/>
            <w:tcMar>
              <w:top w:w="113" w:type="dxa"/>
              <w:bottom w:w="113" w:type="dxa"/>
            </w:tcMar>
          </w:tcPr>
          <w:p w:rsidR="0053085A" w:rsidRPr="00A32AF4" w:rsidRDefault="0053085A" w:rsidP="00DC0553">
            <w:pPr>
              <w:jc w:val="center"/>
              <w:rPr>
                <w:rFonts w:cs="Arial"/>
                <w:sz w:val="16"/>
                <w:szCs w:val="16"/>
                <w:lang w:bidi="th-TH"/>
              </w:rPr>
            </w:pPr>
            <w:r w:rsidRPr="00A32AF4">
              <w:rPr>
                <w:rFonts w:cs="Arial"/>
                <w:sz w:val="16"/>
                <w:szCs w:val="16"/>
                <w:lang w:bidi="th-TH"/>
              </w:rPr>
              <w:t>Programme 24</w:t>
            </w:r>
          </w:p>
        </w:tc>
      </w:tr>
      <w:tr w:rsidR="00052D5E" w:rsidRPr="00A32AF4" w:rsidTr="00052D5E">
        <w:trPr>
          <w:cantSplit/>
        </w:trPr>
        <w:tc>
          <w:tcPr>
            <w:tcW w:w="1770" w:type="pct"/>
            <w:shd w:val="clear" w:color="auto" w:fill="auto"/>
            <w:tcMar>
              <w:top w:w="113" w:type="dxa"/>
              <w:bottom w:w="113" w:type="dxa"/>
            </w:tcMar>
          </w:tcPr>
          <w:p w:rsidR="00052D5E" w:rsidRPr="00A32AF4" w:rsidRDefault="00052D5E" w:rsidP="00DC0553">
            <w:pPr>
              <w:rPr>
                <w:rFonts w:cs="Arial"/>
                <w:sz w:val="16"/>
                <w:szCs w:val="16"/>
              </w:rPr>
            </w:pPr>
          </w:p>
        </w:tc>
        <w:tc>
          <w:tcPr>
            <w:tcW w:w="2161" w:type="pct"/>
            <w:shd w:val="clear" w:color="auto" w:fill="auto"/>
            <w:tcMar>
              <w:top w:w="113" w:type="dxa"/>
              <w:bottom w:w="113" w:type="dxa"/>
            </w:tcMar>
          </w:tcPr>
          <w:p w:rsidR="00052D5E" w:rsidRPr="00A32AF4" w:rsidRDefault="00052D5E" w:rsidP="00DC0553">
            <w:pPr>
              <w:contextualSpacing/>
              <w:rPr>
                <w:rFonts w:cs="Arial"/>
                <w:sz w:val="16"/>
                <w:szCs w:val="16"/>
              </w:rPr>
            </w:pPr>
            <w:r w:rsidRPr="00A32AF4">
              <w:rPr>
                <w:rFonts w:cs="Arial"/>
                <w:sz w:val="16"/>
                <w:szCs w:val="16"/>
              </w:rPr>
              <w:t>Locaux et installations de l</w:t>
            </w:r>
            <w:r w:rsidR="00E2055A" w:rsidRPr="00A32AF4">
              <w:rPr>
                <w:rFonts w:cs="Arial"/>
                <w:sz w:val="16"/>
                <w:szCs w:val="16"/>
              </w:rPr>
              <w:t>’</w:t>
            </w:r>
            <w:r w:rsidRPr="00A32AF4">
              <w:rPr>
                <w:rFonts w:cs="Arial"/>
                <w:sz w:val="16"/>
                <w:szCs w:val="16"/>
              </w:rPr>
              <w:t>OMPI restant adaptés à l</w:t>
            </w:r>
            <w:r w:rsidR="00E2055A" w:rsidRPr="00A32AF4">
              <w:rPr>
                <w:rFonts w:cs="Arial"/>
                <w:sz w:val="16"/>
                <w:szCs w:val="16"/>
              </w:rPr>
              <w:t>’</w:t>
            </w:r>
            <w:r w:rsidRPr="00A32AF4">
              <w:rPr>
                <w:rFonts w:cs="Arial"/>
                <w:sz w:val="16"/>
                <w:szCs w:val="16"/>
              </w:rPr>
              <w:t xml:space="preserve">usage prévu </w:t>
            </w:r>
          </w:p>
        </w:tc>
        <w:tc>
          <w:tcPr>
            <w:tcW w:w="1069" w:type="pct"/>
            <w:shd w:val="clear" w:color="auto" w:fill="FFFFFF"/>
            <w:tcMar>
              <w:top w:w="113" w:type="dxa"/>
              <w:bottom w:w="113" w:type="dxa"/>
            </w:tcMar>
          </w:tcPr>
          <w:p w:rsidR="00052D5E" w:rsidRPr="00A32AF4" w:rsidRDefault="00052D5E" w:rsidP="00DC0553">
            <w:pPr>
              <w:jc w:val="center"/>
              <w:rPr>
                <w:rFonts w:cs="Arial"/>
                <w:sz w:val="16"/>
                <w:szCs w:val="16"/>
                <w:lang w:bidi="th-TH"/>
              </w:rPr>
            </w:pPr>
            <w:r w:rsidRPr="00A32AF4">
              <w:rPr>
                <w:rFonts w:cs="Arial"/>
                <w:sz w:val="16"/>
                <w:szCs w:val="16"/>
                <w:lang w:bidi="th-TH"/>
              </w:rPr>
              <w:t>Programme 24</w:t>
            </w:r>
          </w:p>
        </w:tc>
      </w:tr>
      <w:tr w:rsidR="0053085A" w:rsidRPr="00A32AF4" w:rsidTr="00052D5E">
        <w:trPr>
          <w:cantSplit/>
        </w:trPr>
        <w:tc>
          <w:tcPr>
            <w:tcW w:w="1770" w:type="pct"/>
            <w:shd w:val="clear" w:color="auto" w:fill="auto"/>
            <w:tcMar>
              <w:top w:w="113" w:type="dxa"/>
              <w:bottom w:w="113" w:type="dxa"/>
            </w:tcMar>
          </w:tcPr>
          <w:p w:rsidR="0053085A" w:rsidRPr="00A32AF4" w:rsidRDefault="0053085A" w:rsidP="00DC0553">
            <w:pPr>
              <w:rPr>
                <w:rFonts w:cs="Arial"/>
                <w:sz w:val="16"/>
                <w:szCs w:val="16"/>
              </w:rPr>
            </w:pPr>
          </w:p>
        </w:tc>
        <w:tc>
          <w:tcPr>
            <w:tcW w:w="2161" w:type="pct"/>
            <w:shd w:val="clear" w:color="auto" w:fill="auto"/>
            <w:tcMar>
              <w:top w:w="113" w:type="dxa"/>
              <w:bottom w:w="113" w:type="dxa"/>
            </w:tcMar>
          </w:tcPr>
          <w:p w:rsidR="0053085A" w:rsidRPr="00A32AF4" w:rsidRDefault="00052D5E" w:rsidP="00DC0553">
            <w:pPr>
              <w:contextualSpacing/>
              <w:rPr>
                <w:rFonts w:cs="Arial"/>
                <w:sz w:val="16"/>
                <w:szCs w:val="16"/>
              </w:rPr>
            </w:pPr>
            <w:r w:rsidRPr="00A32AF4">
              <w:rPr>
                <w:rFonts w:cs="Arial"/>
                <w:sz w:val="16"/>
                <w:szCs w:val="16"/>
              </w:rPr>
              <w:t>Utiliser de manière optimale les locaux de l</w:t>
            </w:r>
            <w:r w:rsidR="00E2055A" w:rsidRPr="00A32AF4">
              <w:rPr>
                <w:rFonts w:cs="Arial"/>
                <w:sz w:val="16"/>
                <w:szCs w:val="16"/>
              </w:rPr>
              <w:t>’</w:t>
            </w:r>
            <w:r w:rsidRPr="00A32AF4">
              <w:rPr>
                <w:rFonts w:cs="Arial"/>
                <w:sz w:val="16"/>
                <w:szCs w:val="16"/>
              </w:rPr>
              <w:t>OMPI et tous les types d</w:t>
            </w:r>
            <w:r w:rsidR="00E2055A" w:rsidRPr="00A32AF4">
              <w:rPr>
                <w:rFonts w:cs="Arial"/>
                <w:sz w:val="16"/>
                <w:szCs w:val="16"/>
              </w:rPr>
              <w:t>’</w:t>
            </w:r>
            <w:r w:rsidRPr="00A32AF4">
              <w:rPr>
                <w:rFonts w:cs="Arial"/>
                <w:sz w:val="16"/>
                <w:szCs w:val="16"/>
              </w:rPr>
              <w:t>espace</w:t>
            </w:r>
          </w:p>
        </w:tc>
        <w:tc>
          <w:tcPr>
            <w:tcW w:w="1069" w:type="pct"/>
            <w:shd w:val="clear" w:color="auto" w:fill="FFFFFF"/>
            <w:tcMar>
              <w:top w:w="113" w:type="dxa"/>
              <w:bottom w:w="113" w:type="dxa"/>
            </w:tcMar>
          </w:tcPr>
          <w:p w:rsidR="0053085A" w:rsidRPr="00A32AF4" w:rsidRDefault="0053085A" w:rsidP="00DC0553">
            <w:pPr>
              <w:jc w:val="center"/>
              <w:rPr>
                <w:rFonts w:cs="Arial"/>
                <w:sz w:val="16"/>
                <w:szCs w:val="16"/>
                <w:lang w:bidi="th-TH"/>
              </w:rPr>
            </w:pPr>
            <w:r w:rsidRPr="00A32AF4">
              <w:rPr>
                <w:rFonts w:cs="Arial"/>
                <w:sz w:val="16"/>
                <w:szCs w:val="16"/>
                <w:lang w:bidi="th-TH"/>
              </w:rPr>
              <w:t>Programme 24</w:t>
            </w:r>
          </w:p>
        </w:tc>
      </w:tr>
      <w:tr w:rsidR="0053085A" w:rsidRPr="00A32AF4" w:rsidTr="00052D5E">
        <w:trPr>
          <w:cantSplit/>
        </w:trPr>
        <w:tc>
          <w:tcPr>
            <w:tcW w:w="1770" w:type="pct"/>
            <w:shd w:val="clear" w:color="auto" w:fill="auto"/>
            <w:tcMar>
              <w:top w:w="113" w:type="dxa"/>
              <w:bottom w:w="113" w:type="dxa"/>
            </w:tcMar>
          </w:tcPr>
          <w:p w:rsidR="0053085A" w:rsidRPr="00A32AF4" w:rsidRDefault="0053085A" w:rsidP="00DC0553">
            <w:pPr>
              <w:rPr>
                <w:rFonts w:cs="Arial"/>
                <w:sz w:val="16"/>
                <w:szCs w:val="16"/>
              </w:rPr>
            </w:pPr>
          </w:p>
        </w:tc>
        <w:tc>
          <w:tcPr>
            <w:tcW w:w="2161" w:type="pct"/>
            <w:shd w:val="clear" w:color="auto" w:fill="auto"/>
            <w:tcMar>
              <w:top w:w="113" w:type="dxa"/>
              <w:bottom w:w="113" w:type="dxa"/>
            </w:tcMar>
          </w:tcPr>
          <w:p w:rsidR="0053085A" w:rsidRPr="00A32AF4" w:rsidRDefault="00052D5E" w:rsidP="00DC0553">
            <w:pPr>
              <w:rPr>
                <w:rFonts w:cs="Arial"/>
                <w:sz w:val="16"/>
                <w:szCs w:val="16"/>
              </w:rPr>
            </w:pPr>
            <w:r w:rsidRPr="00A32AF4">
              <w:rPr>
                <w:rFonts w:cs="Arial"/>
                <w:sz w:val="16"/>
                <w:szCs w:val="16"/>
              </w:rPr>
              <w:t>Pourcentage d</w:t>
            </w:r>
            <w:r w:rsidR="00E2055A" w:rsidRPr="00A32AF4">
              <w:rPr>
                <w:rFonts w:cs="Arial"/>
                <w:sz w:val="16"/>
                <w:szCs w:val="16"/>
              </w:rPr>
              <w:t>’</w:t>
            </w:r>
            <w:r w:rsidRPr="00A32AF4">
              <w:rPr>
                <w:rFonts w:cs="Arial"/>
                <w:sz w:val="16"/>
                <w:szCs w:val="16"/>
              </w:rPr>
              <w:t>articles de haute valeur (c.</w:t>
            </w:r>
            <w:r w:rsidR="00EB7F54" w:rsidRPr="00A32AF4">
              <w:rPr>
                <w:rFonts w:cs="Arial"/>
                <w:sz w:val="16"/>
                <w:szCs w:val="16"/>
              </w:rPr>
              <w:noBreakHyphen/>
            </w:r>
            <w:r w:rsidRPr="00A32AF4">
              <w:rPr>
                <w:rFonts w:cs="Arial"/>
                <w:sz w:val="16"/>
                <w:szCs w:val="16"/>
              </w:rPr>
              <w:t>à</w:t>
            </w:r>
            <w:r w:rsidR="00EB7F54" w:rsidRPr="00A32AF4">
              <w:rPr>
                <w:rFonts w:cs="Arial"/>
                <w:sz w:val="16"/>
                <w:szCs w:val="16"/>
              </w:rPr>
              <w:noBreakHyphen/>
            </w:r>
            <w:r w:rsidRPr="00A32AF4">
              <w:rPr>
                <w:rFonts w:cs="Arial"/>
                <w:sz w:val="16"/>
                <w:szCs w:val="16"/>
              </w:rPr>
              <w:t>.d &gt;5000 francs suisses) inventoriés</w:t>
            </w:r>
          </w:p>
        </w:tc>
        <w:tc>
          <w:tcPr>
            <w:tcW w:w="1069" w:type="pct"/>
            <w:shd w:val="clear" w:color="auto" w:fill="FFFFFF"/>
            <w:tcMar>
              <w:top w:w="113" w:type="dxa"/>
              <w:bottom w:w="113" w:type="dxa"/>
            </w:tcMar>
          </w:tcPr>
          <w:p w:rsidR="0053085A" w:rsidRPr="00A32AF4" w:rsidRDefault="0053085A" w:rsidP="00DC0553">
            <w:pPr>
              <w:jc w:val="center"/>
              <w:rPr>
                <w:rFonts w:cs="Arial"/>
                <w:sz w:val="16"/>
                <w:szCs w:val="16"/>
                <w:lang w:bidi="th-TH"/>
              </w:rPr>
            </w:pPr>
            <w:r w:rsidRPr="00A32AF4">
              <w:rPr>
                <w:rFonts w:cs="Arial"/>
                <w:sz w:val="16"/>
                <w:szCs w:val="16"/>
                <w:lang w:bidi="th-TH"/>
              </w:rPr>
              <w:t>Programme 24</w:t>
            </w:r>
          </w:p>
        </w:tc>
      </w:tr>
      <w:tr w:rsidR="0053085A" w:rsidRPr="00A32AF4" w:rsidTr="00052D5E">
        <w:trPr>
          <w:cantSplit/>
        </w:trPr>
        <w:tc>
          <w:tcPr>
            <w:tcW w:w="1770" w:type="pct"/>
            <w:shd w:val="clear" w:color="auto" w:fill="auto"/>
            <w:tcMar>
              <w:top w:w="113" w:type="dxa"/>
              <w:bottom w:w="113" w:type="dxa"/>
            </w:tcMar>
          </w:tcPr>
          <w:p w:rsidR="0053085A" w:rsidRPr="00A32AF4" w:rsidRDefault="0053085A" w:rsidP="00DC0553">
            <w:pPr>
              <w:rPr>
                <w:rFonts w:cs="Arial"/>
                <w:sz w:val="16"/>
                <w:szCs w:val="16"/>
              </w:rPr>
            </w:pPr>
          </w:p>
        </w:tc>
        <w:tc>
          <w:tcPr>
            <w:tcW w:w="2161" w:type="pct"/>
            <w:shd w:val="clear" w:color="auto" w:fill="auto"/>
            <w:tcMar>
              <w:top w:w="113" w:type="dxa"/>
              <w:bottom w:w="113" w:type="dxa"/>
            </w:tcMar>
          </w:tcPr>
          <w:p w:rsidR="0053085A" w:rsidRPr="00A32AF4" w:rsidRDefault="00C464B2" w:rsidP="00DC0553">
            <w:pPr>
              <w:rPr>
                <w:rFonts w:cs="Arial"/>
                <w:sz w:val="16"/>
                <w:szCs w:val="16"/>
              </w:rPr>
            </w:pPr>
            <w:r w:rsidRPr="00A32AF4">
              <w:rPr>
                <w:rFonts w:cs="Arial"/>
                <w:sz w:val="16"/>
                <w:szCs w:val="16"/>
              </w:rPr>
              <w:t>Pourcentage d</w:t>
            </w:r>
            <w:r w:rsidR="00E2055A" w:rsidRPr="00A32AF4">
              <w:rPr>
                <w:rFonts w:cs="Arial"/>
                <w:sz w:val="16"/>
                <w:szCs w:val="16"/>
              </w:rPr>
              <w:t>’</w:t>
            </w:r>
            <w:r w:rsidRPr="00A32AF4">
              <w:rPr>
                <w:rFonts w:cs="Arial"/>
                <w:sz w:val="16"/>
                <w:szCs w:val="16"/>
              </w:rPr>
              <w:t>articles compris entre 1000 et 5000 francs suisses, œuvres d</w:t>
            </w:r>
            <w:r w:rsidR="00E2055A" w:rsidRPr="00A32AF4">
              <w:rPr>
                <w:rFonts w:cs="Arial"/>
                <w:sz w:val="16"/>
                <w:szCs w:val="16"/>
              </w:rPr>
              <w:t>’</w:t>
            </w:r>
            <w:r w:rsidRPr="00A32AF4">
              <w:rPr>
                <w:rFonts w:cs="Arial"/>
                <w:sz w:val="16"/>
                <w:szCs w:val="16"/>
              </w:rPr>
              <w:t>art et articles d</w:t>
            </w:r>
            <w:r w:rsidR="00E2055A" w:rsidRPr="00A32AF4">
              <w:rPr>
                <w:rFonts w:cs="Arial"/>
                <w:sz w:val="16"/>
                <w:szCs w:val="16"/>
              </w:rPr>
              <w:t>’</w:t>
            </w:r>
            <w:r w:rsidRPr="00A32AF4">
              <w:rPr>
                <w:rFonts w:cs="Arial"/>
                <w:sz w:val="16"/>
                <w:szCs w:val="16"/>
              </w:rPr>
              <w:t>une certaine valeur</w:t>
            </w:r>
          </w:p>
        </w:tc>
        <w:tc>
          <w:tcPr>
            <w:tcW w:w="1069" w:type="pct"/>
            <w:shd w:val="clear" w:color="auto" w:fill="FFFFFF"/>
            <w:tcMar>
              <w:top w:w="113" w:type="dxa"/>
              <w:bottom w:w="113" w:type="dxa"/>
            </w:tcMar>
          </w:tcPr>
          <w:p w:rsidR="0053085A" w:rsidRPr="00A32AF4" w:rsidRDefault="0053085A" w:rsidP="00DC0553">
            <w:pPr>
              <w:jc w:val="center"/>
              <w:rPr>
                <w:rFonts w:cs="Arial"/>
                <w:sz w:val="16"/>
                <w:szCs w:val="16"/>
                <w:lang w:bidi="th-TH"/>
              </w:rPr>
            </w:pPr>
            <w:r w:rsidRPr="00A32AF4">
              <w:rPr>
                <w:rFonts w:cs="Arial"/>
                <w:sz w:val="16"/>
                <w:szCs w:val="16"/>
                <w:lang w:bidi="th-TH"/>
              </w:rPr>
              <w:t>Programme 24</w:t>
            </w:r>
          </w:p>
        </w:tc>
      </w:tr>
      <w:tr w:rsidR="004F1ABA" w:rsidRPr="00A32AF4" w:rsidTr="00052D5E">
        <w:trPr>
          <w:cantSplit/>
        </w:trPr>
        <w:tc>
          <w:tcPr>
            <w:tcW w:w="1770" w:type="pct"/>
            <w:shd w:val="clear" w:color="auto" w:fill="auto"/>
            <w:tcMar>
              <w:top w:w="113" w:type="dxa"/>
              <w:bottom w:w="113" w:type="dxa"/>
            </w:tcMar>
          </w:tcPr>
          <w:p w:rsidR="004F1ABA" w:rsidRPr="00A32AF4" w:rsidRDefault="004F1ABA" w:rsidP="00DC0553">
            <w:pPr>
              <w:rPr>
                <w:rFonts w:cs="Arial"/>
                <w:sz w:val="16"/>
                <w:szCs w:val="16"/>
              </w:rPr>
            </w:pPr>
          </w:p>
        </w:tc>
        <w:tc>
          <w:tcPr>
            <w:tcW w:w="2161" w:type="pct"/>
            <w:shd w:val="clear" w:color="auto" w:fill="auto"/>
            <w:tcMar>
              <w:top w:w="113" w:type="dxa"/>
              <w:bottom w:w="113" w:type="dxa"/>
            </w:tcMar>
          </w:tcPr>
          <w:p w:rsidR="004F1ABA" w:rsidRPr="00A32AF4" w:rsidRDefault="004F1ABA" w:rsidP="00DC0553">
            <w:pPr>
              <w:rPr>
                <w:rFonts w:cs="Arial"/>
                <w:sz w:val="16"/>
                <w:szCs w:val="16"/>
              </w:rPr>
            </w:pPr>
            <w:r w:rsidRPr="00A32AF4">
              <w:rPr>
                <w:rFonts w:cs="Arial"/>
                <w:sz w:val="16"/>
                <w:szCs w:val="16"/>
              </w:rPr>
              <w:t>Les plates</w:t>
            </w:r>
            <w:r w:rsidR="00EB7F54" w:rsidRPr="00A32AF4">
              <w:rPr>
                <w:rFonts w:cs="Arial"/>
                <w:sz w:val="16"/>
                <w:szCs w:val="16"/>
              </w:rPr>
              <w:noBreakHyphen/>
            </w:r>
            <w:r w:rsidRPr="00A32AF4">
              <w:rPr>
                <w:rFonts w:cs="Arial"/>
                <w:sz w:val="16"/>
                <w:szCs w:val="16"/>
              </w:rPr>
              <w:t>formes TIC sont hébergées et gérées de manière rentable, conformément aux demandes liées à l</w:t>
            </w:r>
            <w:r w:rsidR="00E2055A" w:rsidRPr="00A32AF4">
              <w:rPr>
                <w:rFonts w:cs="Arial"/>
                <w:sz w:val="16"/>
                <w:szCs w:val="16"/>
              </w:rPr>
              <w:t>’</w:t>
            </w:r>
            <w:r w:rsidRPr="00A32AF4">
              <w:rPr>
                <w:rFonts w:cs="Arial"/>
                <w:sz w:val="16"/>
                <w:szCs w:val="16"/>
              </w:rPr>
              <w:t>activité.</w:t>
            </w:r>
          </w:p>
        </w:tc>
        <w:tc>
          <w:tcPr>
            <w:tcW w:w="1069" w:type="pct"/>
            <w:shd w:val="clear" w:color="auto" w:fill="FFFFFF"/>
            <w:tcMar>
              <w:top w:w="113" w:type="dxa"/>
              <w:bottom w:w="113" w:type="dxa"/>
            </w:tcMar>
          </w:tcPr>
          <w:p w:rsidR="004F1ABA" w:rsidRPr="00A32AF4" w:rsidRDefault="004F1ABA" w:rsidP="00DC0553">
            <w:pPr>
              <w:jc w:val="center"/>
              <w:rPr>
                <w:rFonts w:cs="Arial"/>
                <w:sz w:val="16"/>
                <w:szCs w:val="16"/>
                <w:lang w:bidi="th-TH"/>
              </w:rPr>
            </w:pPr>
            <w:r w:rsidRPr="00A32AF4">
              <w:rPr>
                <w:rFonts w:cs="Arial"/>
                <w:sz w:val="16"/>
                <w:szCs w:val="16"/>
                <w:lang w:bidi="th-TH"/>
              </w:rPr>
              <w:t>Programme 25</w:t>
            </w:r>
          </w:p>
        </w:tc>
      </w:tr>
      <w:tr w:rsidR="004F1ABA" w:rsidRPr="00A32AF4" w:rsidTr="00052D5E">
        <w:trPr>
          <w:cantSplit/>
        </w:trPr>
        <w:tc>
          <w:tcPr>
            <w:tcW w:w="1770" w:type="pct"/>
            <w:shd w:val="clear" w:color="auto" w:fill="auto"/>
            <w:tcMar>
              <w:top w:w="113" w:type="dxa"/>
              <w:bottom w:w="113" w:type="dxa"/>
            </w:tcMar>
          </w:tcPr>
          <w:p w:rsidR="004F1ABA" w:rsidRPr="00A32AF4" w:rsidRDefault="004F1ABA" w:rsidP="00DC0553">
            <w:pPr>
              <w:rPr>
                <w:rFonts w:cs="Arial"/>
                <w:sz w:val="16"/>
                <w:szCs w:val="16"/>
              </w:rPr>
            </w:pPr>
          </w:p>
        </w:tc>
        <w:tc>
          <w:tcPr>
            <w:tcW w:w="2161" w:type="pct"/>
            <w:shd w:val="clear" w:color="auto" w:fill="auto"/>
            <w:tcMar>
              <w:top w:w="113" w:type="dxa"/>
              <w:bottom w:w="113" w:type="dxa"/>
            </w:tcMar>
          </w:tcPr>
          <w:p w:rsidR="004F1ABA" w:rsidRPr="00A32AF4" w:rsidRDefault="004F1ABA" w:rsidP="00087DDF">
            <w:pPr>
              <w:rPr>
                <w:rFonts w:cs="Arial"/>
                <w:sz w:val="16"/>
                <w:szCs w:val="16"/>
              </w:rPr>
            </w:pPr>
            <w:r w:rsidRPr="00A32AF4">
              <w:rPr>
                <w:rFonts w:cs="Arial"/>
                <w:sz w:val="16"/>
                <w:szCs w:val="16"/>
              </w:rPr>
              <w:t>Les activités de développement des applications sont conformes aux normes de l</w:t>
            </w:r>
            <w:r w:rsidR="00E2055A" w:rsidRPr="00A32AF4">
              <w:rPr>
                <w:rFonts w:cs="Arial"/>
                <w:sz w:val="16"/>
                <w:szCs w:val="16"/>
              </w:rPr>
              <w:t>’</w:t>
            </w:r>
            <w:r w:rsidRPr="00A32AF4">
              <w:rPr>
                <w:rFonts w:cs="Arial"/>
                <w:sz w:val="16"/>
                <w:szCs w:val="16"/>
              </w:rPr>
              <w:t>OMPI en matière de références et de données de base.</w:t>
            </w:r>
          </w:p>
        </w:tc>
        <w:tc>
          <w:tcPr>
            <w:tcW w:w="1069" w:type="pct"/>
            <w:shd w:val="clear" w:color="auto" w:fill="FFFFFF"/>
            <w:tcMar>
              <w:top w:w="113" w:type="dxa"/>
              <w:bottom w:w="113" w:type="dxa"/>
            </w:tcMar>
          </w:tcPr>
          <w:p w:rsidR="004F1ABA" w:rsidRPr="00A32AF4" w:rsidRDefault="004F1ABA" w:rsidP="00DC0553">
            <w:pPr>
              <w:jc w:val="center"/>
            </w:pPr>
            <w:r w:rsidRPr="00A32AF4">
              <w:rPr>
                <w:rFonts w:cs="Arial"/>
                <w:sz w:val="16"/>
                <w:szCs w:val="16"/>
                <w:lang w:bidi="th-TH"/>
              </w:rPr>
              <w:t>Programme 25</w:t>
            </w:r>
          </w:p>
        </w:tc>
      </w:tr>
      <w:tr w:rsidR="004F1ABA" w:rsidRPr="00A32AF4" w:rsidTr="00052D5E">
        <w:trPr>
          <w:cantSplit/>
        </w:trPr>
        <w:tc>
          <w:tcPr>
            <w:tcW w:w="1770" w:type="pct"/>
            <w:shd w:val="clear" w:color="auto" w:fill="auto"/>
            <w:tcMar>
              <w:top w:w="113" w:type="dxa"/>
              <w:bottom w:w="113" w:type="dxa"/>
            </w:tcMar>
          </w:tcPr>
          <w:p w:rsidR="004F1ABA" w:rsidRPr="00A32AF4" w:rsidRDefault="004F1ABA" w:rsidP="00DC0553">
            <w:pPr>
              <w:rPr>
                <w:rFonts w:cs="Arial"/>
                <w:sz w:val="16"/>
                <w:szCs w:val="16"/>
              </w:rPr>
            </w:pPr>
          </w:p>
        </w:tc>
        <w:tc>
          <w:tcPr>
            <w:tcW w:w="2161" w:type="pct"/>
            <w:shd w:val="clear" w:color="auto" w:fill="auto"/>
            <w:tcMar>
              <w:top w:w="113" w:type="dxa"/>
              <w:bottom w:w="113" w:type="dxa"/>
            </w:tcMar>
          </w:tcPr>
          <w:p w:rsidR="004F1ABA" w:rsidRPr="00A32AF4" w:rsidRDefault="004F1ABA" w:rsidP="00DC0553">
            <w:pPr>
              <w:rPr>
                <w:rFonts w:cs="Arial"/>
                <w:sz w:val="16"/>
                <w:szCs w:val="16"/>
              </w:rPr>
            </w:pPr>
            <w:r w:rsidRPr="00A32AF4">
              <w:rPr>
                <w:rFonts w:cs="Arial"/>
                <w:sz w:val="16"/>
                <w:szCs w:val="16"/>
              </w:rPr>
              <w:t>Les projets TIC sont gérés conformément aux principes directeurs de l</w:t>
            </w:r>
            <w:r w:rsidR="00E2055A" w:rsidRPr="00A32AF4">
              <w:rPr>
                <w:rFonts w:cs="Arial"/>
                <w:sz w:val="16"/>
                <w:szCs w:val="16"/>
              </w:rPr>
              <w:t>’</w:t>
            </w:r>
            <w:r w:rsidRPr="00A32AF4">
              <w:rPr>
                <w:rFonts w:cs="Arial"/>
                <w:sz w:val="16"/>
                <w:szCs w:val="16"/>
              </w:rPr>
              <w:t>OMPI en matière de gestion de projets.</w:t>
            </w:r>
          </w:p>
        </w:tc>
        <w:tc>
          <w:tcPr>
            <w:tcW w:w="1069" w:type="pct"/>
            <w:shd w:val="clear" w:color="auto" w:fill="FFFFFF"/>
            <w:tcMar>
              <w:top w:w="113" w:type="dxa"/>
              <w:bottom w:w="113" w:type="dxa"/>
            </w:tcMar>
          </w:tcPr>
          <w:p w:rsidR="004F1ABA" w:rsidRPr="00A32AF4" w:rsidRDefault="004F1ABA" w:rsidP="00DC0553">
            <w:pPr>
              <w:jc w:val="center"/>
            </w:pPr>
            <w:r w:rsidRPr="00A32AF4">
              <w:rPr>
                <w:rFonts w:cs="Arial"/>
                <w:sz w:val="16"/>
                <w:szCs w:val="16"/>
                <w:lang w:bidi="th-TH"/>
              </w:rPr>
              <w:t>Programme 25</w:t>
            </w:r>
          </w:p>
        </w:tc>
      </w:tr>
      <w:tr w:rsidR="004F1ABA" w:rsidRPr="00A32AF4" w:rsidTr="00052D5E">
        <w:trPr>
          <w:cantSplit/>
        </w:trPr>
        <w:tc>
          <w:tcPr>
            <w:tcW w:w="1770" w:type="pct"/>
            <w:shd w:val="clear" w:color="auto" w:fill="auto"/>
            <w:tcMar>
              <w:top w:w="113" w:type="dxa"/>
              <w:bottom w:w="113" w:type="dxa"/>
            </w:tcMar>
          </w:tcPr>
          <w:p w:rsidR="004F1ABA" w:rsidRPr="00A32AF4" w:rsidRDefault="004F1ABA" w:rsidP="00DC0553">
            <w:pPr>
              <w:rPr>
                <w:rFonts w:cs="Arial"/>
                <w:sz w:val="16"/>
                <w:szCs w:val="16"/>
              </w:rPr>
            </w:pPr>
          </w:p>
        </w:tc>
        <w:tc>
          <w:tcPr>
            <w:tcW w:w="2161" w:type="pct"/>
            <w:shd w:val="clear" w:color="auto" w:fill="auto"/>
            <w:tcMar>
              <w:top w:w="113" w:type="dxa"/>
              <w:bottom w:w="113" w:type="dxa"/>
            </w:tcMar>
          </w:tcPr>
          <w:p w:rsidR="004F1ABA" w:rsidRPr="00A32AF4" w:rsidRDefault="004F1ABA" w:rsidP="00DC0553">
            <w:pPr>
              <w:rPr>
                <w:rFonts w:cs="Arial"/>
                <w:sz w:val="16"/>
                <w:szCs w:val="16"/>
              </w:rPr>
            </w:pPr>
            <w:r w:rsidRPr="00A32AF4">
              <w:rPr>
                <w:rFonts w:cs="Arial"/>
                <w:sz w:val="16"/>
                <w:szCs w:val="16"/>
              </w:rPr>
              <w:t>Pourcentage de clients satisfaits des prestations du service d</w:t>
            </w:r>
            <w:r w:rsidR="00E2055A" w:rsidRPr="00A32AF4">
              <w:rPr>
                <w:rFonts w:cs="Arial"/>
                <w:sz w:val="16"/>
                <w:szCs w:val="16"/>
              </w:rPr>
              <w:t>’</w:t>
            </w:r>
            <w:r w:rsidRPr="00A32AF4">
              <w:rPr>
                <w:rFonts w:cs="Arial"/>
                <w:sz w:val="16"/>
                <w:szCs w:val="16"/>
              </w:rPr>
              <w:t>assistance.</w:t>
            </w:r>
          </w:p>
        </w:tc>
        <w:tc>
          <w:tcPr>
            <w:tcW w:w="1069" w:type="pct"/>
            <w:shd w:val="clear" w:color="auto" w:fill="FFFFFF"/>
            <w:tcMar>
              <w:top w:w="113" w:type="dxa"/>
              <w:bottom w:w="113" w:type="dxa"/>
            </w:tcMar>
          </w:tcPr>
          <w:p w:rsidR="004F1ABA" w:rsidRPr="00A32AF4" w:rsidRDefault="004F1ABA" w:rsidP="00DC0553">
            <w:pPr>
              <w:jc w:val="center"/>
            </w:pPr>
            <w:r w:rsidRPr="00A32AF4">
              <w:rPr>
                <w:rFonts w:cs="Arial"/>
                <w:sz w:val="16"/>
                <w:szCs w:val="16"/>
                <w:lang w:bidi="th-TH"/>
              </w:rPr>
              <w:t>Programme 25</w:t>
            </w:r>
          </w:p>
        </w:tc>
      </w:tr>
      <w:tr w:rsidR="004F1ABA" w:rsidRPr="00A32AF4" w:rsidTr="00052D5E">
        <w:trPr>
          <w:cantSplit/>
        </w:trPr>
        <w:tc>
          <w:tcPr>
            <w:tcW w:w="1770" w:type="pct"/>
            <w:shd w:val="clear" w:color="auto" w:fill="auto"/>
            <w:tcMar>
              <w:top w:w="113" w:type="dxa"/>
              <w:bottom w:w="113" w:type="dxa"/>
            </w:tcMar>
          </w:tcPr>
          <w:p w:rsidR="004F1ABA" w:rsidRPr="00A32AF4" w:rsidRDefault="004F1ABA" w:rsidP="00DC0553">
            <w:pPr>
              <w:rPr>
                <w:rFonts w:cs="Arial"/>
                <w:sz w:val="16"/>
                <w:szCs w:val="16"/>
              </w:rPr>
            </w:pPr>
          </w:p>
        </w:tc>
        <w:tc>
          <w:tcPr>
            <w:tcW w:w="2161" w:type="pct"/>
            <w:shd w:val="clear" w:color="auto" w:fill="auto"/>
            <w:tcMar>
              <w:top w:w="113" w:type="dxa"/>
              <w:bottom w:w="113" w:type="dxa"/>
            </w:tcMar>
          </w:tcPr>
          <w:p w:rsidR="004F1ABA" w:rsidRPr="00A32AF4" w:rsidRDefault="004F1ABA" w:rsidP="00DC0553">
            <w:pPr>
              <w:rPr>
                <w:rFonts w:cs="Arial"/>
                <w:sz w:val="16"/>
                <w:szCs w:val="16"/>
              </w:rPr>
            </w:pPr>
            <w:r w:rsidRPr="00A32AF4">
              <w:rPr>
                <w:rFonts w:cs="Arial"/>
                <w:sz w:val="16"/>
                <w:szCs w:val="16"/>
              </w:rPr>
              <w:t>Les projets de l</w:t>
            </w:r>
            <w:r w:rsidR="00E2055A" w:rsidRPr="00A32AF4">
              <w:rPr>
                <w:rFonts w:cs="Arial"/>
                <w:sz w:val="16"/>
                <w:szCs w:val="16"/>
              </w:rPr>
              <w:t>’</w:t>
            </w:r>
            <w:r w:rsidRPr="00A32AF4">
              <w:rPr>
                <w:rFonts w:cs="Arial"/>
                <w:sz w:val="16"/>
                <w:szCs w:val="16"/>
              </w:rPr>
              <w:t>OMPI relatifs aux TIC sont gérés conformément aux principes directeurs de l</w:t>
            </w:r>
            <w:r w:rsidR="00E2055A" w:rsidRPr="00A32AF4">
              <w:rPr>
                <w:rFonts w:cs="Arial"/>
                <w:sz w:val="16"/>
                <w:szCs w:val="16"/>
              </w:rPr>
              <w:t>’</w:t>
            </w:r>
            <w:r w:rsidRPr="00A32AF4">
              <w:rPr>
                <w:rFonts w:cs="Arial"/>
                <w:sz w:val="16"/>
                <w:szCs w:val="16"/>
              </w:rPr>
              <w:t>OMPI en matière de gestion des projets et de transition de services.</w:t>
            </w:r>
          </w:p>
        </w:tc>
        <w:tc>
          <w:tcPr>
            <w:tcW w:w="1069" w:type="pct"/>
            <w:shd w:val="clear" w:color="auto" w:fill="FFFFFF"/>
            <w:tcMar>
              <w:top w:w="113" w:type="dxa"/>
              <w:bottom w:w="113" w:type="dxa"/>
            </w:tcMar>
          </w:tcPr>
          <w:p w:rsidR="004F1ABA" w:rsidRPr="00A32AF4" w:rsidRDefault="004F1ABA" w:rsidP="00DC0553">
            <w:pPr>
              <w:jc w:val="center"/>
            </w:pPr>
            <w:r w:rsidRPr="00A32AF4">
              <w:rPr>
                <w:rFonts w:cs="Arial"/>
                <w:sz w:val="16"/>
                <w:szCs w:val="16"/>
                <w:lang w:bidi="th-TH"/>
              </w:rPr>
              <w:t>Programme 25</w:t>
            </w:r>
          </w:p>
        </w:tc>
      </w:tr>
      <w:tr w:rsidR="0053085A" w:rsidRPr="00A32AF4" w:rsidTr="00052D5E">
        <w:trPr>
          <w:cantSplit/>
        </w:trPr>
        <w:tc>
          <w:tcPr>
            <w:tcW w:w="1770" w:type="pct"/>
            <w:shd w:val="clear" w:color="auto" w:fill="auto"/>
            <w:tcMar>
              <w:top w:w="113" w:type="dxa"/>
              <w:bottom w:w="113" w:type="dxa"/>
            </w:tcMar>
          </w:tcPr>
          <w:p w:rsidR="0053085A" w:rsidRPr="00A32AF4" w:rsidRDefault="0053085A" w:rsidP="00DC0553">
            <w:pPr>
              <w:rPr>
                <w:rFonts w:cs="Arial"/>
                <w:sz w:val="16"/>
                <w:szCs w:val="16"/>
              </w:rPr>
            </w:pPr>
          </w:p>
        </w:tc>
        <w:tc>
          <w:tcPr>
            <w:tcW w:w="2161" w:type="pct"/>
            <w:shd w:val="clear" w:color="auto" w:fill="auto"/>
            <w:tcMar>
              <w:top w:w="113" w:type="dxa"/>
              <w:bottom w:w="113" w:type="dxa"/>
            </w:tcMar>
          </w:tcPr>
          <w:p w:rsidR="0053085A" w:rsidRPr="00A32AF4" w:rsidRDefault="00790986" w:rsidP="00DC0553">
            <w:pPr>
              <w:rPr>
                <w:rFonts w:cs="Arial"/>
                <w:bCs/>
                <w:sz w:val="16"/>
                <w:szCs w:val="16"/>
              </w:rPr>
            </w:pPr>
            <w:r w:rsidRPr="00A32AF4">
              <w:rPr>
                <w:rFonts w:cs="Arial"/>
                <w:sz w:val="16"/>
                <w:szCs w:val="16"/>
              </w:rPr>
              <w:t>Pourcentage de participants internes et externes satisfaits des services de conférence de l</w:t>
            </w:r>
            <w:r w:rsidR="00E2055A" w:rsidRPr="00A32AF4">
              <w:rPr>
                <w:rFonts w:cs="Arial"/>
                <w:sz w:val="16"/>
                <w:szCs w:val="16"/>
              </w:rPr>
              <w:t>’</w:t>
            </w:r>
            <w:r w:rsidRPr="00A32AF4">
              <w:rPr>
                <w:rFonts w:cs="Arial"/>
                <w:sz w:val="16"/>
                <w:szCs w:val="16"/>
              </w:rPr>
              <w:t>OMPI.</w:t>
            </w:r>
          </w:p>
        </w:tc>
        <w:tc>
          <w:tcPr>
            <w:tcW w:w="1069" w:type="pct"/>
            <w:shd w:val="clear" w:color="auto" w:fill="FFFFFF"/>
            <w:tcMar>
              <w:top w:w="113" w:type="dxa"/>
              <w:bottom w:w="113" w:type="dxa"/>
            </w:tcMar>
          </w:tcPr>
          <w:p w:rsidR="0053085A" w:rsidRPr="00A32AF4" w:rsidRDefault="0053085A" w:rsidP="00DC0553">
            <w:pPr>
              <w:jc w:val="center"/>
              <w:rPr>
                <w:rFonts w:cs="Arial"/>
                <w:sz w:val="16"/>
                <w:szCs w:val="16"/>
                <w:lang w:bidi="th-TH"/>
              </w:rPr>
            </w:pPr>
            <w:r w:rsidRPr="00A32AF4">
              <w:rPr>
                <w:rFonts w:cs="Arial"/>
                <w:sz w:val="16"/>
                <w:szCs w:val="16"/>
                <w:lang w:bidi="th-TH"/>
              </w:rPr>
              <w:t>Programme 27</w:t>
            </w:r>
          </w:p>
        </w:tc>
      </w:tr>
      <w:tr w:rsidR="0053085A" w:rsidRPr="00A32AF4" w:rsidTr="00052D5E">
        <w:trPr>
          <w:cantSplit/>
        </w:trPr>
        <w:tc>
          <w:tcPr>
            <w:tcW w:w="1770" w:type="pct"/>
            <w:shd w:val="clear" w:color="auto" w:fill="auto"/>
            <w:tcMar>
              <w:top w:w="113" w:type="dxa"/>
              <w:bottom w:w="113" w:type="dxa"/>
            </w:tcMar>
          </w:tcPr>
          <w:p w:rsidR="0053085A" w:rsidRPr="00A32AF4" w:rsidRDefault="0053085A" w:rsidP="00DC0553">
            <w:pPr>
              <w:rPr>
                <w:rFonts w:cs="Arial"/>
                <w:sz w:val="16"/>
                <w:szCs w:val="16"/>
              </w:rPr>
            </w:pPr>
          </w:p>
        </w:tc>
        <w:tc>
          <w:tcPr>
            <w:tcW w:w="2161" w:type="pct"/>
            <w:shd w:val="clear" w:color="auto" w:fill="auto"/>
            <w:tcMar>
              <w:top w:w="113" w:type="dxa"/>
              <w:bottom w:w="113" w:type="dxa"/>
            </w:tcMar>
          </w:tcPr>
          <w:p w:rsidR="0053085A" w:rsidRPr="00A32AF4" w:rsidRDefault="00790986" w:rsidP="00DC0553">
            <w:pPr>
              <w:rPr>
                <w:rFonts w:cs="Arial"/>
                <w:sz w:val="16"/>
                <w:szCs w:val="16"/>
              </w:rPr>
            </w:pPr>
            <w:r w:rsidRPr="00A32AF4">
              <w:rPr>
                <w:rFonts w:cs="Arial"/>
                <w:sz w:val="16"/>
                <w:szCs w:val="16"/>
              </w:rPr>
              <w:t>Mise en œuvre efficace de la politique linguistique de l</w:t>
            </w:r>
            <w:r w:rsidR="00E2055A" w:rsidRPr="00A32AF4">
              <w:rPr>
                <w:rFonts w:cs="Arial"/>
                <w:sz w:val="16"/>
                <w:szCs w:val="16"/>
              </w:rPr>
              <w:t>’</w:t>
            </w:r>
            <w:r w:rsidRPr="00A32AF4">
              <w:rPr>
                <w:rFonts w:cs="Arial"/>
                <w:sz w:val="16"/>
                <w:szCs w:val="16"/>
              </w:rPr>
              <w:t>OMPI</w:t>
            </w:r>
          </w:p>
        </w:tc>
        <w:tc>
          <w:tcPr>
            <w:tcW w:w="1069" w:type="pct"/>
            <w:shd w:val="clear" w:color="auto" w:fill="FFFFFF"/>
            <w:tcMar>
              <w:top w:w="113" w:type="dxa"/>
              <w:bottom w:w="113" w:type="dxa"/>
            </w:tcMar>
          </w:tcPr>
          <w:p w:rsidR="0053085A" w:rsidRPr="00A32AF4" w:rsidRDefault="0053085A" w:rsidP="00DC0553">
            <w:pPr>
              <w:jc w:val="center"/>
            </w:pPr>
            <w:r w:rsidRPr="00A32AF4">
              <w:rPr>
                <w:rFonts w:cs="Arial"/>
                <w:sz w:val="16"/>
                <w:szCs w:val="16"/>
                <w:lang w:bidi="th-TH"/>
              </w:rPr>
              <w:t>Programme 27</w:t>
            </w:r>
          </w:p>
        </w:tc>
      </w:tr>
      <w:tr w:rsidR="00790986" w:rsidRPr="00A32AF4" w:rsidTr="00052D5E">
        <w:trPr>
          <w:cantSplit/>
        </w:trPr>
        <w:tc>
          <w:tcPr>
            <w:tcW w:w="1770" w:type="pct"/>
            <w:shd w:val="clear" w:color="auto" w:fill="auto"/>
            <w:tcMar>
              <w:top w:w="113" w:type="dxa"/>
              <w:bottom w:w="113" w:type="dxa"/>
            </w:tcMar>
          </w:tcPr>
          <w:p w:rsidR="00790986" w:rsidRPr="00A32AF4" w:rsidRDefault="00790986" w:rsidP="00DC0553">
            <w:pPr>
              <w:rPr>
                <w:rFonts w:cs="Arial"/>
                <w:sz w:val="16"/>
                <w:szCs w:val="16"/>
              </w:rPr>
            </w:pPr>
          </w:p>
        </w:tc>
        <w:tc>
          <w:tcPr>
            <w:tcW w:w="2161" w:type="pct"/>
            <w:shd w:val="clear" w:color="auto" w:fill="auto"/>
            <w:tcMar>
              <w:top w:w="113" w:type="dxa"/>
              <w:bottom w:w="113" w:type="dxa"/>
            </w:tcMar>
          </w:tcPr>
          <w:p w:rsidR="00790986" w:rsidRPr="00A32AF4" w:rsidRDefault="00790986" w:rsidP="00DC0553">
            <w:pPr>
              <w:rPr>
                <w:rFonts w:cs="Arial"/>
                <w:sz w:val="16"/>
                <w:szCs w:val="16"/>
              </w:rPr>
            </w:pPr>
            <w:r w:rsidRPr="00A32AF4">
              <w:rPr>
                <w:rFonts w:cs="Arial"/>
                <w:sz w:val="16"/>
                <w:szCs w:val="16"/>
              </w:rPr>
              <w:t>Réduction des coûts d</w:t>
            </w:r>
            <w:r w:rsidR="00E2055A" w:rsidRPr="00A32AF4">
              <w:rPr>
                <w:rFonts w:cs="Arial"/>
                <w:sz w:val="16"/>
                <w:szCs w:val="16"/>
              </w:rPr>
              <w:t>’</w:t>
            </w:r>
            <w:r w:rsidRPr="00A32AF4">
              <w:rPr>
                <w:rFonts w:cs="Arial"/>
                <w:sz w:val="16"/>
                <w:szCs w:val="16"/>
              </w:rPr>
              <w:t>impression (par page)</w:t>
            </w:r>
          </w:p>
        </w:tc>
        <w:tc>
          <w:tcPr>
            <w:tcW w:w="1069" w:type="pct"/>
            <w:shd w:val="clear" w:color="auto" w:fill="FFFFFF"/>
            <w:tcMar>
              <w:top w:w="113" w:type="dxa"/>
              <w:bottom w:w="113" w:type="dxa"/>
            </w:tcMar>
          </w:tcPr>
          <w:p w:rsidR="00790986" w:rsidRPr="00A32AF4" w:rsidRDefault="00790986" w:rsidP="00DC0553">
            <w:pPr>
              <w:jc w:val="center"/>
            </w:pPr>
            <w:r w:rsidRPr="00A32AF4">
              <w:rPr>
                <w:rFonts w:cs="Arial"/>
                <w:sz w:val="16"/>
                <w:szCs w:val="16"/>
                <w:lang w:bidi="th-TH"/>
              </w:rPr>
              <w:t>Programme 27</w:t>
            </w:r>
          </w:p>
        </w:tc>
      </w:tr>
      <w:tr w:rsidR="00790986" w:rsidRPr="00A32AF4" w:rsidTr="00052D5E">
        <w:trPr>
          <w:cantSplit/>
        </w:trPr>
        <w:tc>
          <w:tcPr>
            <w:tcW w:w="1770" w:type="pct"/>
            <w:shd w:val="clear" w:color="auto" w:fill="auto"/>
            <w:tcMar>
              <w:top w:w="113" w:type="dxa"/>
              <w:bottom w:w="113" w:type="dxa"/>
            </w:tcMar>
          </w:tcPr>
          <w:p w:rsidR="00790986" w:rsidRPr="00A32AF4" w:rsidRDefault="00790986" w:rsidP="00DC0553">
            <w:pPr>
              <w:rPr>
                <w:rFonts w:cs="Arial"/>
                <w:sz w:val="16"/>
                <w:szCs w:val="16"/>
              </w:rPr>
            </w:pPr>
          </w:p>
        </w:tc>
        <w:tc>
          <w:tcPr>
            <w:tcW w:w="2161" w:type="pct"/>
            <w:shd w:val="clear" w:color="auto" w:fill="auto"/>
            <w:tcMar>
              <w:top w:w="113" w:type="dxa"/>
              <w:bottom w:w="113" w:type="dxa"/>
            </w:tcMar>
          </w:tcPr>
          <w:p w:rsidR="00790986" w:rsidRPr="00A32AF4" w:rsidRDefault="00790986" w:rsidP="00DC0553">
            <w:pPr>
              <w:rPr>
                <w:rFonts w:cs="Arial"/>
                <w:sz w:val="16"/>
                <w:szCs w:val="16"/>
              </w:rPr>
            </w:pPr>
            <w:r w:rsidRPr="00A32AF4">
              <w:rPr>
                <w:rFonts w:cs="Arial"/>
                <w:sz w:val="16"/>
                <w:szCs w:val="16"/>
              </w:rPr>
              <w:t>Publication en temps voulu des documents pour les comités et groupes de travail</w:t>
            </w:r>
          </w:p>
        </w:tc>
        <w:tc>
          <w:tcPr>
            <w:tcW w:w="1069" w:type="pct"/>
            <w:shd w:val="clear" w:color="auto" w:fill="FFFFFF"/>
            <w:tcMar>
              <w:top w:w="113" w:type="dxa"/>
              <w:bottom w:w="113" w:type="dxa"/>
            </w:tcMar>
          </w:tcPr>
          <w:p w:rsidR="00790986" w:rsidRPr="00A32AF4" w:rsidRDefault="00790986" w:rsidP="00DC0553">
            <w:pPr>
              <w:jc w:val="center"/>
            </w:pPr>
            <w:r w:rsidRPr="00A32AF4">
              <w:rPr>
                <w:rFonts w:cs="Arial"/>
                <w:sz w:val="16"/>
                <w:szCs w:val="16"/>
                <w:lang w:bidi="th-TH"/>
              </w:rPr>
              <w:t>Programme 27</w:t>
            </w:r>
          </w:p>
        </w:tc>
      </w:tr>
      <w:tr w:rsidR="00790986" w:rsidRPr="00A32AF4" w:rsidTr="00052D5E">
        <w:trPr>
          <w:cantSplit/>
        </w:trPr>
        <w:tc>
          <w:tcPr>
            <w:tcW w:w="1770" w:type="pct"/>
            <w:shd w:val="clear" w:color="auto" w:fill="auto"/>
            <w:tcMar>
              <w:top w:w="113" w:type="dxa"/>
              <w:bottom w:w="113" w:type="dxa"/>
            </w:tcMar>
          </w:tcPr>
          <w:p w:rsidR="00790986" w:rsidRPr="00A32AF4" w:rsidRDefault="00790986" w:rsidP="00DC0553">
            <w:pPr>
              <w:rPr>
                <w:rFonts w:cs="Arial"/>
                <w:sz w:val="16"/>
                <w:szCs w:val="16"/>
              </w:rPr>
            </w:pPr>
          </w:p>
        </w:tc>
        <w:tc>
          <w:tcPr>
            <w:tcW w:w="2161" w:type="pct"/>
            <w:shd w:val="clear" w:color="auto" w:fill="auto"/>
            <w:tcMar>
              <w:top w:w="113" w:type="dxa"/>
              <w:bottom w:w="113" w:type="dxa"/>
            </w:tcMar>
          </w:tcPr>
          <w:p w:rsidR="00790986" w:rsidRPr="00A32AF4" w:rsidRDefault="00790986" w:rsidP="00DC0553">
            <w:pPr>
              <w:rPr>
                <w:rFonts w:cs="Arial"/>
                <w:sz w:val="16"/>
                <w:szCs w:val="16"/>
              </w:rPr>
            </w:pPr>
            <w:r w:rsidRPr="00A32AF4">
              <w:rPr>
                <w:rFonts w:cs="Arial"/>
                <w:sz w:val="16"/>
                <w:szCs w:val="16"/>
              </w:rPr>
              <w:t>Coût par mot traduit</w:t>
            </w:r>
          </w:p>
        </w:tc>
        <w:tc>
          <w:tcPr>
            <w:tcW w:w="1069" w:type="pct"/>
            <w:shd w:val="clear" w:color="auto" w:fill="FFFFFF"/>
            <w:tcMar>
              <w:top w:w="113" w:type="dxa"/>
              <w:bottom w:w="113" w:type="dxa"/>
            </w:tcMar>
          </w:tcPr>
          <w:p w:rsidR="00790986" w:rsidRPr="00A32AF4" w:rsidRDefault="00790986" w:rsidP="00DC0553">
            <w:pPr>
              <w:jc w:val="center"/>
            </w:pPr>
            <w:r w:rsidRPr="00A32AF4">
              <w:rPr>
                <w:rFonts w:cs="Arial"/>
                <w:sz w:val="16"/>
                <w:szCs w:val="16"/>
                <w:lang w:bidi="th-TH"/>
              </w:rPr>
              <w:t>Programme 27</w:t>
            </w:r>
          </w:p>
        </w:tc>
      </w:tr>
      <w:tr w:rsidR="0053085A" w:rsidRPr="00A32AF4" w:rsidTr="00052D5E">
        <w:trPr>
          <w:cantSplit/>
        </w:trPr>
        <w:tc>
          <w:tcPr>
            <w:tcW w:w="1770" w:type="pct"/>
            <w:shd w:val="clear" w:color="auto" w:fill="auto"/>
            <w:tcMar>
              <w:top w:w="113" w:type="dxa"/>
              <w:bottom w:w="113" w:type="dxa"/>
            </w:tcMar>
          </w:tcPr>
          <w:p w:rsidR="0053085A" w:rsidRPr="00A32AF4" w:rsidRDefault="0053085A" w:rsidP="00DC0553">
            <w:pPr>
              <w:rPr>
                <w:rFonts w:cs="Arial"/>
                <w:sz w:val="16"/>
                <w:szCs w:val="16"/>
              </w:rPr>
            </w:pPr>
          </w:p>
        </w:tc>
        <w:tc>
          <w:tcPr>
            <w:tcW w:w="2161" w:type="pct"/>
            <w:shd w:val="clear" w:color="auto" w:fill="auto"/>
            <w:tcMar>
              <w:top w:w="113" w:type="dxa"/>
              <w:bottom w:w="113" w:type="dxa"/>
            </w:tcMar>
          </w:tcPr>
          <w:p w:rsidR="0053085A" w:rsidRPr="00A32AF4" w:rsidRDefault="002842C3" w:rsidP="00DC0553">
            <w:pPr>
              <w:rPr>
                <w:rFonts w:cs="Arial"/>
                <w:sz w:val="16"/>
                <w:szCs w:val="16"/>
              </w:rPr>
            </w:pPr>
            <w:r w:rsidRPr="00A32AF4">
              <w:rPr>
                <w:rFonts w:cs="Arial"/>
                <w:sz w:val="16"/>
                <w:szCs w:val="16"/>
              </w:rPr>
              <w:t>Gouvernance en matière de sécurité de l</w:t>
            </w:r>
            <w:r w:rsidR="00E2055A" w:rsidRPr="00A32AF4">
              <w:rPr>
                <w:rFonts w:cs="Arial"/>
                <w:sz w:val="16"/>
                <w:szCs w:val="16"/>
              </w:rPr>
              <w:t>’</w:t>
            </w:r>
            <w:r w:rsidRPr="00A32AF4">
              <w:rPr>
                <w:rFonts w:cs="Arial"/>
                <w:sz w:val="16"/>
                <w:szCs w:val="16"/>
              </w:rPr>
              <w:t>information définie et appliquée.</w:t>
            </w:r>
          </w:p>
        </w:tc>
        <w:tc>
          <w:tcPr>
            <w:tcW w:w="1069" w:type="pct"/>
            <w:shd w:val="clear" w:color="auto" w:fill="FFFFFF"/>
            <w:tcMar>
              <w:top w:w="113" w:type="dxa"/>
              <w:bottom w:w="113" w:type="dxa"/>
            </w:tcMar>
          </w:tcPr>
          <w:p w:rsidR="0053085A" w:rsidRPr="00A32AF4" w:rsidRDefault="0053085A" w:rsidP="00DC0553">
            <w:pPr>
              <w:jc w:val="center"/>
              <w:rPr>
                <w:rFonts w:cs="Arial"/>
                <w:sz w:val="16"/>
                <w:szCs w:val="16"/>
                <w:lang w:bidi="th-TH"/>
              </w:rPr>
            </w:pPr>
            <w:r w:rsidRPr="00A32AF4">
              <w:rPr>
                <w:rFonts w:cs="Arial"/>
                <w:sz w:val="16"/>
                <w:szCs w:val="16"/>
                <w:lang w:bidi="th-TH"/>
              </w:rPr>
              <w:t>Programme 28</w:t>
            </w:r>
          </w:p>
        </w:tc>
      </w:tr>
      <w:tr w:rsidR="0053085A" w:rsidRPr="00A32AF4" w:rsidTr="00052D5E">
        <w:trPr>
          <w:cantSplit/>
        </w:trPr>
        <w:tc>
          <w:tcPr>
            <w:tcW w:w="1770" w:type="pct"/>
            <w:shd w:val="clear" w:color="auto" w:fill="auto"/>
            <w:tcMar>
              <w:top w:w="113" w:type="dxa"/>
              <w:bottom w:w="113" w:type="dxa"/>
            </w:tcMar>
          </w:tcPr>
          <w:p w:rsidR="0053085A" w:rsidRPr="00A32AF4" w:rsidRDefault="0053085A" w:rsidP="00DC0553">
            <w:pPr>
              <w:rPr>
                <w:rFonts w:cs="Arial"/>
                <w:sz w:val="16"/>
                <w:szCs w:val="16"/>
              </w:rPr>
            </w:pPr>
          </w:p>
        </w:tc>
        <w:tc>
          <w:tcPr>
            <w:tcW w:w="2161" w:type="pct"/>
            <w:shd w:val="clear" w:color="auto" w:fill="auto"/>
            <w:tcMar>
              <w:top w:w="113" w:type="dxa"/>
              <w:bottom w:w="113" w:type="dxa"/>
            </w:tcMar>
          </w:tcPr>
          <w:p w:rsidR="0053085A" w:rsidRPr="00A32AF4" w:rsidRDefault="002842C3" w:rsidP="00DC0553">
            <w:pPr>
              <w:rPr>
                <w:rFonts w:cs="Arial"/>
                <w:sz w:val="16"/>
                <w:szCs w:val="16"/>
              </w:rPr>
            </w:pPr>
            <w:r w:rsidRPr="00A32AF4">
              <w:rPr>
                <w:rFonts w:cs="Arial"/>
                <w:sz w:val="16"/>
                <w:szCs w:val="16"/>
              </w:rPr>
              <w:t>Nombre de membres du personnel au courant de leurs responsabilités, des politiques et des pratiques recommandées en matière de sécurité de l</w:t>
            </w:r>
            <w:r w:rsidR="00E2055A" w:rsidRPr="00A32AF4">
              <w:rPr>
                <w:rFonts w:cs="Arial"/>
                <w:sz w:val="16"/>
                <w:szCs w:val="16"/>
              </w:rPr>
              <w:t>’</w:t>
            </w:r>
            <w:r w:rsidRPr="00A32AF4">
              <w:rPr>
                <w:rFonts w:cs="Arial"/>
                <w:sz w:val="16"/>
                <w:szCs w:val="16"/>
              </w:rPr>
              <w:t>information.</w:t>
            </w:r>
          </w:p>
        </w:tc>
        <w:tc>
          <w:tcPr>
            <w:tcW w:w="1069" w:type="pct"/>
            <w:shd w:val="clear" w:color="auto" w:fill="FFFFFF"/>
            <w:tcMar>
              <w:top w:w="113" w:type="dxa"/>
              <w:bottom w:w="113" w:type="dxa"/>
            </w:tcMar>
          </w:tcPr>
          <w:p w:rsidR="0053085A" w:rsidRPr="00A32AF4" w:rsidRDefault="0053085A" w:rsidP="00DC0553">
            <w:pPr>
              <w:jc w:val="center"/>
              <w:rPr>
                <w:rFonts w:cs="Arial"/>
                <w:sz w:val="16"/>
                <w:szCs w:val="16"/>
                <w:lang w:bidi="th-TH"/>
              </w:rPr>
            </w:pPr>
            <w:r w:rsidRPr="00A32AF4">
              <w:rPr>
                <w:rFonts w:cs="Arial"/>
                <w:sz w:val="16"/>
                <w:szCs w:val="16"/>
                <w:lang w:bidi="th-TH"/>
              </w:rPr>
              <w:t>Programme 28</w:t>
            </w:r>
          </w:p>
        </w:tc>
      </w:tr>
      <w:tr w:rsidR="00DF692B" w:rsidRPr="00A32AF4" w:rsidTr="00052D5E">
        <w:trPr>
          <w:cantSplit/>
        </w:trPr>
        <w:tc>
          <w:tcPr>
            <w:tcW w:w="1770" w:type="pct"/>
            <w:shd w:val="clear" w:color="auto" w:fill="auto"/>
            <w:tcMar>
              <w:top w:w="113" w:type="dxa"/>
              <w:bottom w:w="113" w:type="dxa"/>
            </w:tcMar>
          </w:tcPr>
          <w:p w:rsidR="00DF692B" w:rsidRPr="00A32AF4" w:rsidRDefault="00DF692B" w:rsidP="00DC0553">
            <w:pPr>
              <w:rPr>
                <w:rFonts w:cs="Arial"/>
                <w:sz w:val="16"/>
                <w:szCs w:val="16"/>
              </w:rPr>
            </w:pPr>
            <w:r w:rsidRPr="00A32AF4">
              <w:rPr>
                <w:rFonts w:cs="Arial"/>
                <w:sz w:val="16"/>
                <w:szCs w:val="16"/>
              </w:rPr>
              <w:t xml:space="preserve">IX.2 </w:t>
            </w:r>
            <w:r w:rsidRPr="00A32AF4">
              <w:rPr>
                <w:sz w:val="16"/>
                <w:szCs w:val="16"/>
              </w:rPr>
              <w:t>Un Secrétariat réactif, fonctionnant harmonieusement et doté de ressources humaines bien gérées et compétentes, à même d</w:t>
            </w:r>
            <w:r w:rsidR="00E2055A" w:rsidRPr="00A32AF4">
              <w:rPr>
                <w:sz w:val="16"/>
                <w:szCs w:val="16"/>
              </w:rPr>
              <w:t>’</w:t>
            </w:r>
            <w:r w:rsidRPr="00A32AF4">
              <w:rPr>
                <w:sz w:val="16"/>
                <w:szCs w:val="16"/>
              </w:rPr>
              <w:t>obtenir des résultats concrets</w:t>
            </w:r>
          </w:p>
        </w:tc>
        <w:tc>
          <w:tcPr>
            <w:tcW w:w="2161" w:type="pct"/>
            <w:shd w:val="clear" w:color="auto" w:fill="auto"/>
            <w:tcMar>
              <w:top w:w="113" w:type="dxa"/>
              <w:bottom w:w="113" w:type="dxa"/>
            </w:tcMar>
          </w:tcPr>
          <w:p w:rsidR="00DF692B" w:rsidRPr="00A32AF4" w:rsidRDefault="00DF692B" w:rsidP="00DC0553">
            <w:pPr>
              <w:rPr>
                <w:rFonts w:cs="Arial"/>
                <w:sz w:val="16"/>
                <w:szCs w:val="16"/>
              </w:rPr>
            </w:pPr>
            <w:r w:rsidRPr="00A32AF4">
              <w:rPr>
                <w:rFonts w:cs="Arial"/>
                <w:sz w:val="16"/>
                <w:szCs w:val="16"/>
              </w:rPr>
              <w:t>Création d</w:t>
            </w:r>
            <w:r w:rsidR="00E2055A" w:rsidRPr="00A32AF4">
              <w:rPr>
                <w:rFonts w:cs="Arial"/>
                <w:sz w:val="16"/>
                <w:szCs w:val="16"/>
              </w:rPr>
              <w:t>’</w:t>
            </w:r>
            <w:r w:rsidRPr="00A32AF4">
              <w:rPr>
                <w:rFonts w:cs="Arial"/>
                <w:sz w:val="16"/>
                <w:szCs w:val="16"/>
              </w:rPr>
              <w:t>un nouveau cadre relatif à la résilience et à la continuité des opérations de l</w:t>
            </w:r>
            <w:r w:rsidR="00E2055A" w:rsidRPr="00A32AF4">
              <w:rPr>
                <w:rFonts w:cs="Arial"/>
                <w:sz w:val="16"/>
                <w:szCs w:val="16"/>
              </w:rPr>
              <w:t>’</w:t>
            </w:r>
            <w:r w:rsidRPr="00A32AF4">
              <w:rPr>
                <w:rFonts w:cs="Arial"/>
                <w:sz w:val="16"/>
                <w:szCs w:val="16"/>
              </w:rPr>
              <w:t>Organisation et de la documentation connexe</w:t>
            </w:r>
          </w:p>
        </w:tc>
        <w:tc>
          <w:tcPr>
            <w:tcW w:w="1069" w:type="pct"/>
            <w:shd w:val="clear" w:color="auto" w:fill="FFFFFF"/>
            <w:tcMar>
              <w:top w:w="113" w:type="dxa"/>
              <w:bottom w:w="113" w:type="dxa"/>
            </w:tcMar>
          </w:tcPr>
          <w:p w:rsidR="00DF692B" w:rsidRPr="00A32AF4" w:rsidRDefault="00DF692B" w:rsidP="00DC0553">
            <w:pPr>
              <w:jc w:val="center"/>
              <w:rPr>
                <w:rFonts w:cs="Arial"/>
                <w:sz w:val="16"/>
                <w:szCs w:val="16"/>
                <w:lang w:bidi="th-TH"/>
              </w:rPr>
            </w:pPr>
            <w:r w:rsidRPr="00A32AF4">
              <w:rPr>
                <w:rFonts w:cs="Arial"/>
                <w:sz w:val="16"/>
                <w:szCs w:val="16"/>
                <w:lang w:bidi="th-TH"/>
              </w:rPr>
              <w:t>Programme 21</w:t>
            </w:r>
          </w:p>
        </w:tc>
      </w:tr>
      <w:tr w:rsidR="00153D26" w:rsidRPr="00A32AF4" w:rsidTr="00052D5E">
        <w:trPr>
          <w:cantSplit/>
        </w:trPr>
        <w:tc>
          <w:tcPr>
            <w:tcW w:w="1770" w:type="pct"/>
            <w:shd w:val="clear" w:color="auto" w:fill="auto"/>
            <w:tcMar>
              <w:top w:w="113" w:type="dxa"/>
              <w:bottom w:w="113" w:type="dxa"/>
            </w:tcMar>
          </w:tcPr>
          <w:p w:rsidR="00153D26" w:rsidRPr="00A32AF4" w:rsidRDefault="00153D26" w:rsidP="00DC0553">
            <w:pPr>
              <w:rPr>
                <w:rFonts w:cs="Arial"/>
                <w:sz w:val="16"/>
                <w:szCs w:val="16"/>
              </w:rPr>
            </w:pPr>
          </w:p>
        </w:tc>
        <w:tc>
          <w:tcPr>
            <w:tcW w:w="2161" w:type="pct"/>
            <w:shd w:val="clear" w:color="auto" w:fill="auto"/>
            <w:tcMar>
              <w:top w:w="113" w:type="dxa"/>
              <w:bottom w:w="113" w:type="dxa"/>
            </w:tcMar>
          </w:tcPr>
          <w:p w:rsidR="00153D26" w:rsidRPr="00A32AF4" w:rsidRDefault="00153D26" w:rsidP="00DC0553">
            <w:pPr>
              <w:rPr>
                <w:rFonts w:cs="Arial"/>
                <w:sz w:val="16"/>
                <w:szCs w:val="16"/>
              </w:rPr>
            </w:pPr>
            <w:r w:rsidRPr="00A32AF4">
              <w:rPr>
                <w:rFonts w:cs="Arial"/>
                <w:sz w:val="16"/>
                <w:szCs w:val="16"/>
              </w:rPr>
              <w:t>Les vérificateurs externes des comptes ont produit un rapport financier satisfaisant, qui confirme que les opérations financières sont conformes aux dispositions des conventions et des traités de l</w:t>
            </w:r>
            <w:r w:rsidR="00E2055A" w:rsidRPr="00A32AF4">
              <w:rPr>
                <w:rFonts w:cs="Arial"/>
                <w:sz w:val="16"/>
                <w:szCs w:val="16"/>
              </w:rPr>
              <w:t>’</w:t>
            </w:r>
            <w:r w:rsidRPr="00A32AF4">
              <w:rPr>
                <w:rFonts w:cs="Arial"/>
                <w:sz w:val="16"/>
                <w:szCs w:val="16"/>
              </w:rPr>
              <w:t>OMPI applicables, au Règlement financier de l</w:t>
            </w:r>
            <w:r w:rsidR="00E2055A" w:rsidRPr="00A32AF4">
              <w:rPr>
                <w:rFonts w:cs="Arial"/>
                <w:sz w:val="16"/>
                <w:szCs w:val="16"/>
              </w:rPr>
              <w:t>’</w:t>
            </w:r>
            <w:r w:rsidRPr="00A32AF4">
              <w:rPr>
                <w:rFonts w:cs="Arial"/>
                <w:sz w:val="16"/>
                <w:szCs w:val="16"/>
              </w:rPr>
              <w:t>OMPI et aux Normes comptables internationales pour le secteur public (IPSAS).</w:t>
            </w:r>
          </w:p>
        </w:tc>
        <w:tc>
          <w:tcPr>
            <w:tcW w:w="1069" w:type="pct"/>
            <w:shd w:val="clear" w:color="auto" w:fill="FFFFFF"/>
            <w:tcMar>
              <w:top w:w="113" w:type="dxa"/>
              <w:bottom w:w="113" w:type="dxa"/>
            </w:tcMar>
          </w:tcPr>
          <w:p w:rsidR="00153D26" w:rsidRPr="00A32AF4" w:rsidRDefault="00153D26" w:rsidP="00DC0553">
            <w:pPr>
              <w:jc w:val="center"/>
              <w:rPr>
                <w:rFonts w:cs="Arial"/>
                <w:sz w:val="16"/>
                <w:szCs w:val="16"/>
                <w:lang w:bidi="th-TH"/>
              </w:rPr>
            </w:pPr>
            <w:r w:rsidRPr="00A32AF4">
              <w:rPr>
                <w:rFonts w:cs="Arial"/>
                <w:sz w:val="16"/>
                <w:szCs w:val="16"/>
              </w:rPr>
              <w:t>Programme 22</w:t>
            </w:r>
          </w:p>
        </w:tc>
      </w:tr>
      <w:tr w:rsidR="00153D26" w:rsidRPr="00A32AF4" w:rsidTr="00052D5E">
        <w:trPr>
          <w:cantSplit/>
        </w:trPr>
        <w:tc>
          <w:tcPr>
            <w:tcW w:w="1770" w:type="pct"/>
            <w:shd w:val="clear" w:color="auto" w:fill="auto"/>
            <w:tcMar>
              <w:top w:w="113" w:type="dxa"/>
              <w:bottom w:w="113" w:type="dxa"/>
            </w:tcMar>
          </w:tcPr>
          <w:p w:rsidR="00153D26" w:rsidRPr="00A32AF4" w:rsidRDefault="00153D26" w:rsidP="00DC0553">
            <w:pPr>
              <w:rPr>
                <w:rFonts w:cs="Arial"/>
                <w:sz w:val="16"/>
                <w:szCs w:val="16"/>
              </w:rPr>
            </w:pPr>
          </w:p>
        </w:tc>
        <w:tc>
          <w:tcPr>
            <w:tcW w:w="2161" w:type="pct"/>
            <w:shd w:val="clear" w:color="auto" w:fill="auto"/>
            <w:tcMar>
              <w:top w:w="113" w:type="dxa"/>
              <w:bottom w:w="113" w:type="dxa"/>
            </w:tcMar>
          </w:tcPr>
          <w:p w:rsidR="00153D26" w:rsidRPr="00A32AF4" w:rsidRDefault="00153D26" w:rsidP="00DC0553">
            <w:pPr>
              <w:rPr>
                <w:rFonts w:cs="Arial"/>
                <w:sz w:val="16"/>
                <w:szCs w:val="16"/>
              </w:rPr>
            </w:pPr>
            <w:r w:rsidRPr="00A32AF4">
              <w:rPr>
                <w:rFonts w:cs="Arial"/>
                <w:sz w:val="16"/>
                <w:szCs w:val="16"/>
              </w:rPr>
              <w:t>Développement accru de la gestion axée sur les résultats</w:t>
            </w:r>
          </w:p>
        </w:tc>
        <w:tc>
          <w:tcPr>
            <w:tcW w:w="1069" w:type="pct"/>
            <w:shd w:val="clear" w:color="auto" w:fill="FFFFFF"/>
            <w:tcMar>
              <w:top w:w="113" w:type="dxa"/>
              <w:bottom w:w="113" w:type="dxa"/>
            </w:tcMar>
          </w:tcPr>
          <w:p w:rsidR="00153D26" w:rsidRPr="00A32AF4" w:rsidRDefault="00153D26" w:rsidP="00DC0553">
            <w:pPr>
              <w:jc w:val="center"/>
              <w:rPr>
                <w:rFonts w:cs="Arial"/>
                <w:sz w:val="16"/>
                <w:szCs w:val="16"/>
                <w:lang w:bidi="th-TH"/>
              </w:rPr>
            </w:pPr>
            <w:r w:rsidRPr="00A32AF4">
              <w:rPr>
                <w:rFonts w:cs="Arial"/>
                <w:sz w:val="16"/>
                <w:szCs w:val="16"/>
              </w:rPr>
              <w:t>Programme 22</w:t>
            </w:r>
          </w:p>
        </w:tc>
      </w:tr>
      <w:tr w:rsidR="00153D26" w:rsidRPr="00A32AF4" w:rsidTr="00052D5E">
        <w:trPr>
          <w:cantSplit/>
        </w:trPr>
        <w:tc>
          <w:tcPr>
            <w:tcW w:w="1770" w:type="pct"/>
            <w:shd w:val="clear" w:color="auto" w:fill="auto"/>
            <w:tcMar>
              <w:top w:w="113" w:type="dxa"/>
              <w:bottom w:w="113" w:type="dxa"/>
            </w:tcMar>
          </w:tcPr>
          <w:p w:rsidR="00153D26" w:rsidRPr="00A32AF4" w:rsidRDefault="00153D26" w:rsidP="00DC0553">
            <w:pPr>
              <w:rPr>
                <w:rFonts w:cs="Arial"/>
                <w:sz w:val="16"/>
                <w:szCs w:val="16"/>
              </w:rPr>
            </w:pPr>
          </w:p>
        </w:tc>
        <w:tc>
          <w:tcPr>
            <w:tcW w:w="2161" w:type="pct"/>
            <w:shd w:val="clear" w:color="auto" w:fill="auto"/>
            <w:tcMar>
              <w:top w:w="113" w:type="dxa"/>
              <w:bottom w:w="113" w:type="dxa"/>
            </w:tcMar>
          </w:tcPr>
          <w:p w:rsidR="00153D26" w:rsidRPr="00A32AF4" w:rsidRDefault="00153D26" w:rsidP="00DC0553">
            <w:pPr>
              <w:rPr>
                <w:rFonts w:cs="Arial"/>
                <w:sz w:val="16"/>
                <w:szCs w:val="16"/>
              </w:rPr>
            </w:pPr>
            <w:r w:rsidRPr="00A32AF4">
              <w:rPr>
                <w:rFonts w:cs="Arial"/>
                <w:sz w:val="16"/>
                <w:szCs w:val="16"/>
              </w:rPr>
              <w:t>Retour sur investissements conforme aux critères établis par le Comité consultatif pour l</w:t>
            </w:r>
            <w:r w:rsidR="00E2055A" w:rsidRPr="00A32AF4">
              <w:rPr>
                <w:rFonts w:cs="Arial"/>
                <w:sz w:val="16"/>
                <w:szCs w:val="16"/>
              </w:rPr>
              <w:t>’</w:t>
            </w:r>
            <w:r w:rsidRPr="00A32AF4">
              <w:rPr>
                <w:rFonts w:cs="Arial"/>
                <w:sz w:val="16"/>
                <w:szCs w:val="16"/>
              </w:rPr>
              <w:t>investissement (CCI)</w:t>
            </w:r>
          </w:p>
        </w:tc>
        <w:tc>
          <w:tcPr>
            <w:tcW w:w="1069" w:type="pct"/>
            <w:shd w:val="clear" w:color="auto" w:fill="FFFFFF"/>
            <w:tcMar>
              <w:top w:w="113" w:type="dxa"/>
              <w:bottom w:w="113" w:type="dxa"/>
            </w:tcMar>
          </w:tcPr>
          <w:p w:rsidR="00153D26" w:rsidRPr="00A32AF4" w:rsidRDefault="00153D26" w:rsidP="00DC0553">
            <w:pPr>
              <w:jc w:val="center"/>
              <w:rPr>
                <w:rFonts w:cs="Arial"/>
                <w:sz w:val="16"/>
                <w:szCs w:val="16"/>
                <w:lang w:bidi="th-TH"/>
              </w:rPr>
            </w:pPr>
            <w:r w:rsidRPr="00A32AF4">
              <w:rPr>
                <w:rFonts w:cs="Arial"/>
                <w:sz w:val="16"/>
                <w:szCs w:val="16"/>
              </w:rPr>
              <w:t>Programme 22</w:t>
            </w:r>
          </w:p>
        </w:tc>
      </w:tr>
      <w:tr w:rsidR="00153D26" w:rsidRPr="00A32AF4" w:rsidTr="00052D5E">
        <w:trPr>
          <w:cantSplit/>
        </w:trPr>
        <w:tc>
          <w:tcPr>
            <w:tcW w:w="1770" w:type="pct"/>
            <w:shd w:val="clear" w:color="auto" w:fill="auto"/>
            <w:tcMar>
              <w:top w:w="113" w:type="dxa"/>
              <w:bottom w:w="113" w:type="dxa"/>
            </w:tcMar>
          </w:tcPr>
          <w:p w:rsidR="00153D26" w:rsidRPr="00A32AF4" w:rsidRDefault="00153D26" w:rsidP="00DC0553">
            <w:pPr>
              <w:rPr>
                <w:rFonts w:cs="Arial"/>
                <w:sz w:val="16"/>
                <w:szCs w:val="16"/>
              </w:rPr>
            </w:pPr>
          </w:p>
        </w:tc>
        <w:tc>
          <w:tcPr>
            <w:tcW w:w="2161" w:type="pct"/>
            <w:shd w:val="clear" w:color="auto" w:fill="auto"/>
            <w:tcMar>
              <w:top w:w="113" w:type="dxa"/>
              <w:bottom w:w="113" w:type="dxa"/>
            </w:tcMar>
          </w:tcPr>
          <w:p w:rsidR="00153D26" w:rsidRPr="00A32AF4" w:rsidRDefault="00153D26" w:rsidP="00DC0553">
            <w:pPr>
              <w:rPr>
                <w:rFonts w:cs="Arial"/>
                <w:sz w:val="16"/>
                <w:szCs w:val="16"/>
              </w:rPr>
            </w:pPr>
            <w:r w:rsidRPr="00A32AF4">
              <w:rPr>
                <w:rFonts w:cs="Arial"/>
                <w:sz w:val="16"/>
                <w:szCs w:val="16"/>
              </w:rPr>
              <w:t>Gestion efficace des dépenses et des réserves</w:t>
            </w:r>
          </w:p>
        </w:tc>
        <w:tc>
          <w:tcPr>
            <w:tcW w:w="1069" w:type="pct"/>
            <w:shd w:val="clear" w:color="auto" w:fill="FFFFFF"/>
            <w:tcMar>
              <w:top w:w="113" w:type="dxa"/>
              <w:bottom w:w="113" w:type="dxa"/>
            </w:tcMar>
          </w:tcPr>
          <w:p w:rsidR="00153D26" w:rsidRPr="00A32AF4" w:rsidRDefault="00153D26" w:rsidP="00DC0553">
            <w:pPr>
              <w:jc w:val="center"/>
              <w:rPr>
                <w:rFonts w:cs="Arial"/>
                <w:sz w:val="16"/>
                <w:szCs w:val="16"/>
                <w:lang w:bidi="th-TH"/>
              </w:rPr>
            </w:pPr>
            <w:r w:rsidRPr="00A32AF4">
              <w:rPr>
                <w:rFonts w:cs="Arial"/>
                <w:sz w:val="16"/>
                <w:szCs w:val="16"/>
              </w:rPr>
              <w:t>Programme 22</w:t>
            </w:r>
          </w:p>
        </w:tc>
      </w:tr>
      <w:tr w:rsidR="00153D26" w:rsidRPr="00A32AF4" w:rsidTr="00052D5E">
        <w:trPr>
          <w:cantSplit/>
        </w:trPr>
        <w:tc>
          <w:tcPr>
            <w:tcW w:w="1770" w:type="pct"/>
            <w:shd w:val="clear" w:color="auto" w:fill="auto"/>
            <w:tcMar>
              <w:top w:w="113" w:type="dxa"/>
              <w:bottom w:w="113" w:type="dxa"/>
            </w:tcMar>
          </w:tcPr>
          <w:p w:rsidR="00153D26" w:rsidRPr="00A32AF4" w:rsidRDefault="00153D26" w:rsidP="00DC0553">
            <w:pPr>
              <w:rPr>
                <w:rFonts w:cs="Arial"/>
                <w:sz w:val="16"/>
                <w:szCs w:val="16"/>
              </w:rPr>
            </w:pPr>
          </w:p>
        </w:tc>
        <w:tc>
          <w:tcPr>
            <w:tcW w:w="2161" w:type="pct"/>
            <w:shd w:val="clear" w:color="auto" w:fill="auto"/>
            <w:tcMar>
              <w:top w:w="113" w:type="dxa"/>
              <w:bottom w:w="113" w:type="dxa"/>
            </w:tcMar>
          </w:tcPr>
          <w:p w:rsidR="00153D26" w:rsidRPr="00A32AF4" w:rsidRDefault="00153D26" w:rsidP="00DC0553">
            <w:pPr>
              <w:rPr>
                <w:rFonts w:cs="Arial"/>
                <w:sz w:val="16"/>
                <w:szCs w:val="16"/>
              </w:rPr>
            </w:pPr>
            <w:r w:rsidRPr="00A32AF4">
              <w:rPr>
                <w:rFonts w:cs="Arial"/>
                <w:sz w:val="16"/>
                <w:szCs w:val="16"/>
              </w:rPr>
              <w:t>Paiements (</w:t>
            </w:r>
            <w:r w:rsidR="00E2055A" w:rsidRPr="00A32AF4">
              <w:rPr>
                <w:rFonts w:cs="Arial"/>
                <w:sz w:val="16"/>
                <w:szCs w:val="16"/>
              </w:rPr>
              <w:t>y compris</w:t>
            </w:r>
            <w:r w:rsidRPr="00A32AF4">
              <w:rPr>
                <w:rFonts w:cs="Arial"/>
                <w:sz w:val="16"/>
                <w:szCs w:val="16"/>
              </w:rPr>
              <w:t xml:space="preserve"> taxes perçues au titre des services fournis dans le cadre des systèmes de Madrid et de </w:t>
            </w:r>
            <w:r w:rsidR="00E2055A" w:rsidRPr="00A32AF4">
              <w:rPr>
                <w:rFonts w:cs="Arial"/>
                <w:sz w:val="16"/>
                <w:szCs w:val="16"/>
              </w:rPr>
              <w:t>La Haye</w:t>
            </w:r>
            <w:r w:rsidRPr="00A32AF4">
              <w:rPr>
                <w:rFonts w:cs="Arial"/>
                <w:sz w:val="16"/>
                <w:szCs w:val="16"/>
              </w:rPr>
              <w:t>) effectués à temps</w:t>
            </w:r>
          </w:p>
        </w:tc>
        <w:tc>
          <w:tcPr>
            <w:tcW w:w="1069" w:type="pct"/>
            <w:shd w:val="clear" w:color="auto" w:fill="FFFFFF"/>
            <w:tcMar>
              <w:top w:w="113" w:type="dxa"/>
              <w:bottom w:w="113" w:type="dxa"/>
            </w:tcMar>
          </w:tcPr>
          <w:p w:rsidR="00153D26" w:rsidRPr="00A32AF4" w:rsidRDefault="00153D26" w:rsidP="00DC0553">
            <w:pPr>
              <w:jc w:val="center"/>
              <w:rPr>
                <w:rFonts w:cs="Arial"/>
                <w:sz w:val="16"/>
                <w:szCs w:val="16"/>
                <w:lang w:bidi="th-TH"/>
              </w:rPr>
            </w:pPr>
            <w:r w:rsidRPr="00A32AF4">
              <w:rPr>
                <w:rFonts w:cs="Arial"/>
                <w:sz w:val="16"/>
                <w:szCs w:val="16"/>
              </w:rPr>
              <w:t>Programme 22</w:t>
            </w:r>
          </w:p>
        </w:tc>
      </w:tr>
      <w:tr w:rsidR="0053085A" w:rsidRPr="00A32AF4" w:rsidTr="00052D5E">
        <w:trPr>
          <w:cantSplit/>
        </w:trPr>
        <w:tc>
          <w:tcPr>
            <w:tcW w:w="1770" w:type="pct"/>
            <w:shd w:val="clear" w:color="auto" w:fill="auto"/>
            <w:tcMar>
              <w:top w:w="113" w:type="dxa"/>
              <w:bottom w:w="113" w:type="dxa"/>
            </w:tcMar>
          </w:tcPr>
          <w:p w:rsidR="0053085A" w:rsidRPr="00A32AF4" w:rsidRDefault="0053085A" w:rsidP="00DC0553">
            <w:pPr>
              <w:rPr>
                <w:rFonts w:cs="Arial"/>
                <w:sz w:val="16"/>
                <w:szCs w:val="16"/>
              </w:rPr>
            </w:pPr>
          </w:p>
        </w:tc>
        <w:tc>
          <w:tcPr>
            <w:tcW w:w="2161" w:type="pct"/>
            <w:shd w:val="clear" w:color="auto" w:fill="auto"/>
            <w:tcMar>
              <w:top w:w="113" w:type="dxa"/>
              <w:bottom w:w="113" w:type="dxa"/>
            </w:tcMar>
          </w:tcPr>
          <w:p w:rsidR="0053085A" w:rsidRPr="00A32AF4" w:rsidRDefault="00B620D6" w:rsidP="00DC0553">
            <w:pPr>
              <w:rPr>
                <w:rFonts w:cs="Arial"/>
                <w:sz w:val="16"/>
                <w:szCs w:val="16"/>
              </w:rPr>
            </w:pPr>
            <w:r w:rsidRPr="00A32AF4">
              <w:rPr>
                <w:rFonts w:cs="Arial"/>
                <w:sz w:val="16"/>
                <w:szCs w:val="16"/>
              </w:rPr>
              <w:t>Pourcentage de femmes à des postes d</w:t>
            </w:r>
            <w:r w:rsidR="00E2055A" w:rsidRPr="00A32AF4">
              <w:rPr>
                <w:rFonts w:cs="Arial"/>
                <w:sz w:val="16"/>
                <w:szCs w:val="16"/>
              </w:rPr>
              <w:t>’</w:t>
            </w:r>
            <w:r w:rsidRPr="00A32AF4">
              <w:rPr>
                <w:rFonts w:cs="Arial"/>
                <w:sz w:val="16"/>
                <w:szCs w:val="16"/>
              </w:rPr>
              <w:t>administrateur et dans les catégories supérieures</w:t>
            </w:r>
          </w:p>
        </w:tc>
        <w:tc>
          <w:tcPr>
            <w:tcW w:w="1069" w:type="pct"/>
            <w:shd w:val="clear" w:color="auto" w:fill="FFFFFF"/>
            <w:tcMar>
              <w:top w:w="113" w:type="dxa"/>
              <w:bottom w:w="113" w:type="dxa"/>
            </w:tcMar>
          </w:tcPr>
          <w:p w:rsidR="0053085A" w:rsidRPr="00A32AF4" w:rsidRDefault="0053085A" w:rsidP="00DC0553">
            <w:pPr>
              <w:jc w:val="center"/>
              <w:rPr>
                <w:rFonts w:cs="Arial"/>
                <w:sz w:val="16"/>
                <w:szCs w:val="16"/>
                <w:lang w:bidi="th-TH"/>
              </w:rPr>
            </w:pPr>
            <w:r w:rsidRPr="00A32AF4">
              <w:rPr>
                <w:rFonts w:cs="Arial"/>
                <w:sz w:val="16"/>
                <w:szCs w:val="16"/>
              </w:rPr>
              <w:t>Programme 23</w:t>
            </w:r>
          </w:p>
        </w:tc>
      </w:tr>
      <w:tr w:rsidR="0053085A" w:rsidRPr="00A32AF4" w:rsidTr="00052D5E">
        <w:trPr>
          <w:cantSplit/>
        </w:trPr>
        <w:tc>
          <w:tcPr>
            <w:tcW w:w="1770" w:type="pct"/>
            <w:shd w:val="clear" w:color="auto" w:fill="auto"/>
            <w:tcMar>
              <w:top w:w="113" w:type="dxa"/>
              <w:bottom w:w="113" w:type="dxa"/>
            </w:tcMar>
          </w:tcPr>
          <w:p w:rsidR="0053085A" w:rsidRPr="00A32AF4" w:rsidRDefault="0053085A" w:rsidP="00DC0553">
            <w:pPr>
              <w:rPr>
                <w:rFonts w:cs="Arial"/>
                <w:sz w:val="16"/>
                <w:szCs w:val="16"/>
              </w:rPr>
            </w:pPr>
          </w:p>
        </w:tc>
        <w:tc>
          <w:tcPr>
            <w:tcW w:w="2161" w:type="pct"/>
            <w:shd w:val="clear" w:color="auto" w:fill="auto"/>
            <w:tcMar>
              <w:top w:w="113" w:type="dxa"/>
              <w:bottom w:w="113" w:type="dxa"/>
            </w:tcMar>
          </w:tcPr>
          <w:p w:rsidR="0053085A" w:rsidRPr="00A32AF4" w:rsidRDefault="00B620D6" w:rsidP="00DC0553">
            <w:pPr>
              <w:rPr>
                <w:rFonts w:cs="Arial"/>
                <w:sz w:val="16"/>
                <w:szCs w:val="16"/>
              </w:rPr>
            </w:pPr>
            <w:r w:rsidRPr="00A32AF4">
              <w:rPr>
                <w:rFonts w:cs="Arial"/>
                <w:sz w:val="16"/>
                <w:szCs w:val="16"/>
              </w:rPr>
              <w:t>Délais de recrutement</w:t>
            </w:r>
          </w:p>
        </w:tc>
        <w:tc>
          <w:tcPr>
            <w:tcW w:w="1069" w:type="pct"/>
            <w:shd w:val="clear" w:color="auto" w:fill="FFFFFF"/>
            <w:tcMar>
              <w:top w:w="113" w:type="dxa"/>
              <w:bottom w:w="113" w:type="dxa"/>
            </w:tcMar>
          </w:tcPr>
          <w:p w:rsidR="0053085A" w:rsidRPr="00A32AF4" w:rsidRDefault="0053085A" w:rsidP="00DC0553">
            <w:pPr>
              <w:jc w:val="center"/>
            </w:pPr>
            <w:r w:rsidRPr="00A32AF4">
              <w:rPr>
                <w:rFonts w:cs="Arial"/>
                <w:sz w:val="16"/>
                <w:szCs w:val="16"/>
              </w:rPr>
              <w:t>Programme 23</w:t>
            </w:r>
          </w:p>
        </w:tc>
      </w:tr>
      <w:tr w:rsidR="00B620D6" w:rsidRPr="00A32AF4" w:rsidTr="00052D5E">
        <w:trPr>
          <w:cantSplit/>
        </w:trPr>
        <w:tc>
          <w:tcPr>
            <w:tcW w:w="1770" w:type="pct"/>
            <w:shd w:val="clear" w:color="auto" w:fill="auto"/>
            <w:tcMar>
              <w:top w:w="113" w:type="dxa"/>
              <w:bottom w:w="113" w:type="dxa"/>
            </w:tcMar>
          </w:tcPr>
          <w:p w:rsidR="00B620D6" w:rsidRPr="00A32AF4" w:rsidRDefault="00B620D6" w:rsidP="00DC0553">
            <w:pPr>
              <w:rPr>
                <w:rFonts w:cs="Arial"/>
                <w:sz w:val="16"/>
                <w:szCs w:val="16"/>
              </w:rPr>
            </w:pPr>
          </w:p>
        </w:tc>
        <w:tc>
          <w:tcPr>
            <w:tcW w:w="2161" w:type="pct"/>
            <w:shd w:val="clear" w:color="auto" w:fill="auto"/>
            <w:tcMar>
              <w:top w:w="113" w:type="dxa"/>
              <w:bottom w:w="113" w:type="dxa"/>
            </w:tcMar>
          </w:tcPr>
          <w:p w:rsidR="00B620D6" w:rsidRPr="00A32AF4" w:rsidRDefault="00B620D6" w:rsidP="00DC0553">
            <w:pPr>
              <w:rPr>
                <w:rFonts w:cs="Arial"/>
                <w:sz w:val="16"/>
                <w:szCs w:val="16"/>
              </w:rPr>
            </w:pPr>
            <w:r w:rsidRPr="00A32AF4">
              <w:rPr>
                <w:rFonts w:cs="Arial"/>
                <w:sz w:val="16"/>
                <w:szCs w:val="16"/>
              </w:rPr>
              <w:t>Pourcentage du personnel dont le travail est évalué en fonction de leurs objectifs et de leurs compétences individuels</w:t>
            </w:r>
          </w:p>
        </w:tc>
        <w:tc>
          <w:tcPr>
            <w:tcW w:w="1069" w:type="pct"/>
            <w:shd w:val="clear" w:color="auto" w:fill="FFFFFF"/>
            <w:tcMar>
              <w:top w:w="113" w:type="dxa"/>
              <w:bottom w:w="113" w:type="dxa"/>
            </w:tcMar>
          </w:tcPr>
          <w:p w:rsidR="00B620D6" w:rsidRPr="00A32AF4" w:rsidRDefault="00B620D6" w:rsidP="00DC0553">
            <w:pPr>
              <w:jc w:val="center"/>
            </w:pPr>
            <w:r w:rsidRPr="00A32AF4">
              <w:rPr>
                <w:rFonts w:cs="Arial"/>
                <w:sz w:val="16"/>
                <w:szCs w:val="16"/>
              </w:rPr>
              <w:t>Programme 23</w:t>
            </w:r>
          </w:p>
        </w:tc>
      </w:tr>
      <w:tr w:rsidR="00B620D6" w:rsidRPr="00A32AF4" w:rsidTr="00052D5E">
        <w:trPr>
          <w:cantSplit/>
        </w:trPr>
        <w:tc>
          <w:tcPr>
            <w:tcW w:w="1770" w:type="pct"/>
            <w:shd w:val="clear" w:color="auto" w:fill="auto"/>
            <w:tcMar>
              <w:top w:w="113" w:type="dxa"/>
              <w:bottom w:w="113" w:type="dxa"/>
            </w:tcMar>
          </w:tcPr>
          <w:p w:rsidR="00B620D6" w:rsidRPr="00A32AF4" w:rsidRDefault="00B620D6" w:rsidP="00DC0553">
            <w:pPr>
              <w:rPr>
                <w:rFonts w:cs="Arial"/>
                <w:sz w:val="16"/>
                <w:szCs w:val="16"/>
              </w:rPr>
            </w:pPr>
          </w:p>
        </w:tc>
        <w:tc>
          <w:tcPr>
            <w:tcW w:w="2161" w:type="pct"/>
            <w:shd w:val="clear" w:color="auto" w:fill="auto"/>
            <w:tcMar>
              <w:top w:w="113" w:type="dxa"/>
              <w:bottom w:w="113" w:type="dxa"/>
            </w:tcMar>
          </w:tcPr>
          <w:p w:rsidR="00B620D6" w:rsidRPr="00A32AF4" w:rsidRDefault="00B620D6" w:rsidP="00DC0553">
            <w:pPr>
              <w:rPr>
                <w:rFonts w:cs="Arial"/>
                <w:sz w:val="16"/>
                <w:szCs w:val="16"/>
              </w:rPr>
            </w:pPr>
            <w:r w:rsidRPr="00A32AF4">
              <w:rPr>
                <w:rFonts w:cs="Arial"/>
                <w:sz w:val="16"/>
                <w:szCs w:val="16"/>
              </w:rPr>
              <w:t>Nombre de jours nécessaires pour : i) notifier au personnel les décisions concernant les requêtes en réexamen et les plaintes, ii) notifier au personnel les décisions concernant les objections/affaires disciplinaires et iii) répondre aux demandes de conseil</w:t>
            </w:r>
          </w:p>
        </w:tc>
        <w:tc>
          <w:tcPr>
            <w:tcW w:w="1069" w:type="pct"/>
            <w:shd w:val="clear" w:color="auto" w:fill="FFFFFF"/>
            <w:tcMar>
              <w:top w:w="113" w:type="dxa"/>
              <w:bottom w:w="113" w:type="dxa"/>
            </w:tcMar>
          </w:tcPr>
          <w:p w:rsidR="00B620D6" w:rsidRPr="00A32AF4" w:rsidRDefault="00B620D6" w:rsidP="00DC0553">
            <w:pPr>
              <w:jc w:val="center"/>
            </w:pPr>
            <w:r w:rsidRPr="00A32AF4">
              <w:rPr>
                <w:rFonts w:cs="Arial"/>
                <w:sz w:val="16"/>
                <w:szCs w:val="16"/>
              </w:rPr>
              <w:t>Programme 23</w:t>
            </w:r>
          </w:p>
        </w:tc>
      </w:tr>
      <w:tr w:rsidR="0053085A" w:rsidRPr="00A32AF4" w:rsidTr="00052D5E">
        <w:trPr>
          <w:cantSplit/>
        </w:trPr>
        <w:tc>
          <w:tcPr>
            <w:tcW w:w="1770" w:type="pct"/>
            <w:shd w:val="clear" w:color="auto" w:fill="auto"/>
            <w:tcMar>
              <w:top w:w="113" w:type="dxa"/>
              <w:bottom w:w="113" w:type="dxa"/>
            </w:tcMar>
          </w:tcPr>
          <w:p w:rsidR="0053085A" w:rsidRPr="00A32AF4" w:rsidRDefault="0053085A" w:rsidP="00DC0553">
            <w:pPr>
              <w:rPr>
                <w:rFonts w:cs="Arial"/>
                <w:sz w:val="16"/>
                <w:szCs w:val="16"/>
              </w:rPr>
            </w:pPr>
          </w:p>
        </w:tc>
        <w:tc>
          <w:tcPr>
            <w:tcW w:w="2161" w:type="pct"/>
            <w:shd w:val="clear" w:color="auto" w:fill="auto"/>
            <w:tcMar>
              <w:top w:w="113" w:type="dxa"/>
              <w:bottom w:w="113" w:type="dxa"/>
            </w:tcMar>
          </w:tcPr>
          <w:p w:rsidR="0053085A" w:rsidRPr="00A32AF4" w:rsidRDefault="00B620D6" w:rsidP="00DC0553">
            <w:pPr>
              <w:rPr>
                <w:sz w:val="16"/>
                <w:szCs w:val="16"/>
              </w:rPr>
            </w:pPr>
            <w:r w:rsidRPr="00A32AF4">
              <w:rPr>
                <w:rFonts w:cs="Arial"/>
                <w:sz w:val="16"/>
                <w:szCs w:val="16"/>
              </w:rPr>
              <w:t>Diversité géographique : pourcentage du personnel par région</w:t>
            </w:r>
          </w:p>
        </w:tc>
        <w:tc>
          <w:tcPr>
            <w:tcW w:w="1069" w:type="pct"/>
            <w:shd w:val="clear" w:color="auto" w:fill="FFFFFF"/>
            <w:tcMar>
              <w:top w:w="113" w:type="dxa"/>
              <w:bottom w:w="113" w:type="dxa"/>
            </w:tcMar>
          </w:tcPr>
          <w:p w:rsidR="0053085A" w:rsidRPr="00A32AF4" w:rsidRDefault="0053085A" w:rsidP="00DC0553">
            <w:pPr>
              <w:jc w:val="center"/>
              <w:rPr>
                <w:rFonts w:cs="Arial"/>
                <w:sz w:val="16"/>
                <w:szCs w:val="16"/>
                <w:lang w:bidi="th-TH"/>
              </w:rPr>
            </w:pPr>
            <w:r w:rsidRPr="00A32AF4">
              <w:rPr>
                <w:rFonts w:cs="Arial"/>
                <w:sz w:val="16"/>
                <w:szCs w:val="16"/>
              </w:rPr>
              <w:t>Programme 23</w:t>
            </w:r>
          </w:p>
        </w:tc>
      </w:tr>
      <w:tr w:rsidR="00B620D6" w:rsidRPr="00A32AF4" w:rsidTr="00052D5E">
        <w:trPr>
          <w:cantSplit/>
        </w:trPr>
        <w:tc>
          <w:tcPr>
            <w:tcW w:w="1770" w:type="pct"/>
            <w:shd w:val="clear" w:color="auto" w:fill="auto"/>
            <w:tcMar>
              <w:top w:w="113" w:type="dxa"/>
              <w:bottom w:w="113" w:type="dxa"/>
            </w:tcMar>
          </w:tcPr>
          <w:p w:rsidR="00B620D6" w:rsidRPr="00A32AF4" w:rsidRDefault="00B620D6" w:rsidP="00DC0553">
            <w:pPr>
              <w:rPr>
                <w:rFonts w:cs="Arial"/>
                <w:sz w:val="16"/>
                <w:szCs w:val="16"/>
              </w:rPr>
            </w:pPr>
          </w:p>
        </w:tc>
        <w:tc>
          <w:tcPr>
            <w:tcW w:w="2161" w:type="pct"/>
            <w:shd w:val="clear" w:color="auto" w:fill="auto"/>
            <w:tcMar>
              <w:top w:w="113" w:type="dxa"/>
              <w:bottom w:w="113" w:type="dxa"/>
            </w:tcMar>
          </w:tcPr>
          <w:p w:rsidR="00B620D6" w:rsidRPr="00A32AF4" w:rsidRDefault="00B620D6" w:rsidP="00DC0553">
            <w:pPr>
              <w:rPr>
                <w:rFonts w:cs="Arial"/>
                <w:sz w:val="16"/>
                <w:szCs w:val="16"/>
              </w:rPr>
            </w:pPr>
            <w:r w:rsidRPr="00A32AF4">
              <w:rPr>
                <w:rFonts w:cs="Arial"/>
                <w:sz w:val="16"/>
                <w:szCs w:val="16"/>
              </w:rPr>
              <w:t xml:space="preserve">Nombre de candidatures reçues depuis les États membres non représentés en pourcentage du total </w:t>
            </w:r>
          </w:p>
        </w:tc>
        <w:tc>
          <w:tcPr>
            <w:tcW w:w="1069" w:type="pct"/>
            <w:shd w:val="clear" w:color="auto" w:fill="FFFFFF"/>
            <w:tcMar>
              <w:top w:w="113" w:type="dxa"/>
              <w:bottom w:w="113" w:type="dxa"/>
            </w:tcMar>
          </w:tcPr>
          <w:p w:rsidR="00B620D6" w:rsidRPr="00A32AF4" w:rsidRDefault="00B620D6" w:rsidP="00DC0553">
            <w:pPr>
              <w:jc w:val="center"/>
              <w:rPr>
                <w:rFonts w:cs="Arial"/>
                <w:sz w:val="16"/>
                <w:szCs w:val="16"/>
              </w:rPr>
            </w:pPr>
            <w:r w:rsidRPr="00A32AF4">
              <w:rPr>
                <w:rFonts w:cs="Arial"/>
                <w:sz w:val="16"/>
                <w:szCs w:val="16"/>
              </w:rPr>
              <w:t>Programme 23</w:t>
            </w:r>
          </w:p>
        </w:tc>
      </w:tr>
      <w:tr w:rsidR="00B620D6" w:rsidRPr="00A32AF4" w:rsidTr="00052D5E">
        <w:trPr>
          <w:cantSplit/>
        </w:trPr>
        <w:tc>
          <w:tcPr>
            <w:tcW w:w="1770" w:type="pct"/>
            <w:shd w:val="clear" w:color="auto" w:fill="auto"/>
            <w:tcMar>
              <w:top w:w="113" w:type="dxa"/>
              <w:bottom w:w="113" w:type="dxa"/>
            </w:tcMar>
          </w:tcPr>
          <w:p w:rsidR="00B620D6" w:rsidRPr="00A32AF4" w:rsidRDefault="00B620D6" w:rsidP="00DC0553">
            <w:pPr>
              <w:rPr>
                <w:rFonts w:cs="Arial"/>
                <w:sz w:val="16"/>
                <w:szCs w:val="16"/>
              </w:rPr>
            </w:pPr>
          </w:p>
        </w:tc>
        <w:tc>
          <w:tcPr>
            <w:tcW w:w="2161" w:type="pct"/>
            <w:shd w:val="clear" w:color="auto" w:fill="auto"/>
            <w:tcMar>
              <w:top w:w="113" w:type="dxa"/>
              <w:bottom w:w="113" w:type="dxa"/>
            </w:tcMar>
          </w:tcPr>
          <w:p w:rsidR="00B620D6" w:rsidRPr="00A32AF4" w:rsidRDefault="00B620D6" w:rsidP="00DC0553">
            <w:pPr>
              <w:rPr>
                <w:rFonts w:cs="Arial"/>
                <w:sz w:val="16"/>
                <w:szCs w:val="16"/>
              </w:rPr>
            </w:pPr>
            <w:r w:rsidRPr="00A32AF4">
              <w:rPr>
                <w:rFonts w:cs="Arial"/>
                <w:sz w:val="16"/>
                <w:szCs w:val="16"/>
              </w:rPr>
              <w:t>Perfectionnement de la planification des ressources humaines</w:t>
            </w:r>
          </w:p>
        </w:tc>
        <w:tc>
          <w:tcPr>
            <w:tcW w:w="1069" w:type="pct"/>
            <w:shd w:val="clear" w:color="auto" w:fill="FFFFFF"/>
            <w:tcMar>
              <w:top w:w="113" w:type="dxa"/>
              <w:bottom w:w="113" w:type="dxa"/>
            </w:tcMar>
          </w:tcPr>
          <w:p w:rsidR="00B620D6" w:rsidRPr="00A32AF4" w:rsidRDefault="00B620D6" w:rsidP="00DC0553">
            <w:pPr>
              <w:jc w:val="center"/>
              <w:rPr>
                <w:rFonts w:cs="Arial"/>
                <w:sz w:val="16"/>
                <w:szCs w:val="16"/>
              </w:rPr>
            </w:pPr>
            <w:r w:rsidRPr="00A32AF4">
              <w:rPr>
                <w:rFonts w:cs="Arial"/>
                <w:sz w:val="16"/>
                <w:szCs w:val="16"/>
              </w:rPr>
              <w:t>Programme 23</w:t>
            </w:r>
          </w:p>
        </w:tc>
      </w:tr>
      <w:tr w:rsidR="00294E8A" w:rsidRPr="00A32AF4" w:rsidTr="00052D5E">
        <w:trPr>
          <w:cantSplit/>
        </w:trPr>
        <w:tc>
          <w:tcPr>
            <w:tcW w:w="1770" w:type="pct"/>
            <w:shd w:val="clear" w:color="auto" w:fill="auto"/>
            <w:tcMar>
              <w:top w:w="113" w:type="dxa"/>
              <w:bottom w:w="113" w:type="dxa"/>
            </w:tcMar>
          </w:tcPr>
          <w:p w:rsidR="00294E8A" w:rsidRPr="00A32AF4" w:rsidRDefault="00294E8A" w:rsidP="00DC0553">
            <w:pPr>
              <w:rPr>
                <w:rFonts w:cs="Arial"/>
                <w:sz w:val="16"/>
                <w:szCs w:val="16"/>
              </w:rPr>
            </w:pPr>
          </w:p>
        </w:tc>
        <w:tc>
          <w:tcPr>
            <w:tcW w:w="2161" w:type="pct"/>
            <w:shd w:val="clear" w:color="auto" w:fill="auto"/>
            <w:tcMar>
              <w:top w:w="113" w:type="dxa"/>
              <w:bottom w:w="113" w:type="dxa"/>
            </w:tcMar>
          </w:tcPr>
          <w:p w:rsidR="00294E8A" w:rsidRPr="00A32AF4" w:rsidRDefault="00294E8A" w:rsidP="00DC0553">
            <w:pPr>
              <w:rPr>
                <w:rFonts w:cs="Arial"/>
                <w:sz w:val="16"/>
                <w:szCs w:val="16"/>
              </w:rPr>
            </w:pPr>
            <w:r w:rsidRPr="00A32AF4">
              <w:rPr>
                <w:rFonts w:cs="Arial"/>
                <w:sz w:val="16"/>
                <w:szCs w:val="16"/>
              </w:rPr>
              <w:t>Pourcentage des besoins en formation satisfaits dont : i) besoins critiques en formation collective et ii) besoins en formation individuels</w:t>
            </w:r>
          </w:p>
        </w:tc>
        <w:tc>
          <w:tcPr>
            <w:tcW w:w="1069" w:type="pct"/>
            <w:shd w:val="clear" w:color="auto" w:fill="FFFFFF"/>
            <w:tcMar>
              <w:top w:w="113" w:type="dxa"/>
              <w:bottom w:w="113" w:type="dxa"/>
            </w:tcMar>
          </w:tcPr>
          <w:p w:rsidR="00294E8A" w:rsidRPr="00A32AF4" w:rsidRDefault="00294E8A" w:rsidP="00DC0553">
            <w:pPr>
              <w:jc w:val="center"/>
              <w:rPr>
                <w:rFonts w:cs="Arial"/>
                <w:sz w:val="16"/>
                <w:szCs w:val="16"/>
              </w:rPr>
            </w:pPr>
            <w:r w:rsidRPr="00A32AF4">
              <w:rPr>
                <w:rFonts w:cs="Arial"/>
                <w:sz w:val="16"/>
                <w:szCs w:val="16"/>
              </w:rPr>
              <w:t>Programme 23</w:t>
            </w:r>
          </w:p>
        </w:tc>
      </w:tr>
      <w:tr w:rsidR="00DF692B" w:rsidRPr="00A32AF4" w:rsidTr="00052D5E">
        <w:trPr>
          <w:cantSplit/>
        </w:trPr>
        <w:tc>
          <w:tcPr>
            <w:tcW w:w="1770" w:type="pct"/>
            <w:shd w:val="clear" w:color="auto" w:fill="auto"/>
            <w:tcMar>
              <w:top w:w="113" w:type="dxa"/>
              <w:bottom w:w="113" w:type="dxa"/>
            </w:tcMar>
          </w:tcPr>
          <w:p w:rsidR="00DF692B" w:rsidRPr="00A32AF4" w:rsidRDefault="00DF692B" w:rsidP="00DC0553">
            <w:pPr>
              <w:rPr>
                <w:rFonts w:cs="Arial"/>
                <w:sz w:val="16"/>
                <w:szCs w:val="16"/>
              </w:rPr>
            </w:pPr>
            <w:r w:rsidRPr="00A32AF4">
              <w:rPr>
                <w:rFonts w:cs="Arial"/>
                <w:sz w:val="16"/>
                <w:szCs w:val="16"/>
              </w:rPr>
              <w:t xml:space="preserve">IX.3 </w:t>
            </w:r>
            <w:r w:rsidRPr="00A32AF4">
              <w:rPr>
                <w:sz w:val="16"/>
                <w:szCs w:val="16"/>
              </w:rPr>
              <w:t>Un environnement de travail stimulant étayé par un cadre réglementaire efficace et des voies appropriées pour répondre aux préoccupations du personnel</w:t>
            </w:r>
          </w:p>
        </w:tc>
        <w:tc>
          <w:tcPr>
            <w:tcW w:w="2161" w:type="pct"/>
            <w:shd w:val="clear" w:color="auto" w:fill="auto"/>
            <w:tcMar>
              <w:top w:w="113" w:type="dxa"/>
              <w:bottom w:w="113" w:type="dxa"/>
            </w:tcMar>
          </w:tcPr>
          <w:p w:rsidR="00DF692B" w:rsidRPr="00A32AF4" w:rsidRDefault="00DF692B" w:rsidP="00DC0553">
            <w:pPr>
              <w:rPr>
                <w:rFonts w:cs="Arial"/>
                <w:sz w:val="16"/>
                <w:szCs w:val="16"/>
              </w:rPr>
            </w:pPr>
            <w:r w:rsidRPr="00A32AF4">
              <w:rPr>
                <w:rFonts w:cs="Arial"/>
                <w:sz w:val="16"/>
                <w:szCs w:val="16"/>
              </w:rPr>
              <w:t>Pourcentage du personnel de l</w:t>
            </w:r>
            <w:r w:rsidR="00E2055A" w:rsidRPr="00A32AF4">
              <w:rPr>
                <w:rFonts w:cs="Arial"/>
                <w:sz w:val="16"/>
                <w:szCs w:val="16"/>
              </w:rPr>
              <w:t>’</w:t>
            </w:r>
            <w:r w:rsidRPr="00A32AF4">
              <w:rPr>
                <w:rFonts w:cs="Arial"/>
                <w:sz w:val="16"/>
                <w:szCs w:val="16"/>
              </w:rPr>
              <w:t>OMPI ayant connaissance des services qu</w:t>
            </w:r>
            <w:r w:rsidR="00E2055A" w:rsidRPr="00A32AF4">
              <w:rPr>
                <w:rFonts w:cs="Arial"/>
                <w:sz w:val="16"/>
                <w:szCs w:val="16"/>
              </w:rPr>
              <w:t>’</w:t>
            </w:r>
            <w:r w:rsidRPr="00A32AF4">
              <w:rPr>
                <w:rFonts w:cs="Arial"/>
                <w:sz w:val="16"/>
                <w:szCs w:val="16"/>
              </w:rPr>
              <w:t>ils peuvent obtenir du Bureau du médiateur et de l</w:t>
            </w:r>
            <w:r w:rsidR="00E2055A" w:rsidRPr="00A32AF4">
              <w:rPr>
                <w:rFonts w:cs="Arial"/>
                <w:sz w:val="16"/>
                <w:szCs w:val="16"/>
              </w:rPr>
              <w:t>’</w:t>
            </w:r>
            <w:r w:rsidRPr="00A32AF4">
              <w:rPr>
                <w:rFonts w:cs="Arial"/>
                <w:sz w:val="16"/>
                <w:szCs w:val="16"/>
              </w:rPr>
              <w:t>existence d</w:t>
            </w:r>
            <w:r w:rsidR="00E2055A" w:rsidRPr="00A32AF4">
              <w:rPr>
                <w:rFonts w:cs="Arial"/>
                <w:sz w:val="16"/>
                <w:szCs w:val="16"/>
              </w:rPr>
              <w:t>’</w:t>
            </w:r>
            <w:r w:rsidRPr="00A32AF4">
              <w:rPr>
                <w:rFonts w:cs="Arial"/>
                <w:sz w:val="16"/>
                <w:szCs w:val="16"/>
              </w:rPr>
              <w:t>un mécanisme informel de résolution des conflits</w:t>
            </w:r>
          </w:p>
        </w:tc>
        <w:tc>
          <w:tcPr>
            <w:tcW w:w="1069" w:type="pct"/>
            <w:shd w:val="clear" w:color="auto" w:fill="FFFFFF"/>
            <w:tcMar>
              <w:top w:w="113" w:type="dxa"/>
              <w:bottom w:w="113" w:type="dxa"/>
            </w:tcMar>
          </w:tcPr>
          <w:p w:rsidR="00DF692B" w:rsidRPr="00A32AF4" w:rsidRDefault="00DF692B" w:rsidP="00DC0553">
            <w:pPr>
              <w:jc w:val="center"/>
              <w:rPr>
                <w:rFonts w:cs="Arial"/>
                <w:sz w:val="16"/>
                <w:szCs w:val="16"/>
                <w:lang w:bidi="th-TH"/>
              </w:rPr>
            </w:pPr>
            <w:r w:rsidRPr="00A32AF4">
              <w:rPr>
                <w:rFonts w:cs="Arial"/>
                <w:sz w:val="16"/>
                <w:szCs w:val="16"/>
                <w:lang w:bidi="th-TH"/>
              </w:rPr>
              <w:t>Programme 21</w:t>
            </w:r>
          </w:p>
        </w:tc>
      </w:tr>
      <w:tr w:rsidR="00DF692B" w:rsidRPr="00A32AF4" w:rsidTr="00052D5E">
        <w:trPr>
          <w:cantSplit/>
        </w:trPr>
        <w:tc>
          <w:tcPr>
            <w:tcW w:w="1770" w:type="pct"/>
            <w:shd w:val="clear" w:color="auto" w:fill="auto"/>
            <w:tcMar>
              <w:top w:w="113" w:type="dxa"/>
              <w:bottom w:w="113" w:type="dxa"/>
            </w:tcMar>
          </w:tcPr>
          <w:p w:rsidR="00DF692B" w:rsidRPr="00A32AF4" w:rsidRDefault="00DF692B" w:rsidP="00DC0553">
            <w:pPr>
              <w:rPr>
                <w:rFonts w:cs="Arial"/>
                <w:sz w:val="16"/>
                <w:szCs w:val="16"/>
              </w:rPr>
            </w:pPr>
          </w:p>
        </w:tc>
        <w:tc>
          <w:tcPr>
            <w:tcW w:w="2161" w:type="pct"/>
            <w:shd w:val="clear" w:color="auto" w:fill="auto"/>
            <w:tcMar>
              <w:top w:w="113" w:type="dxa"/>
              <w:bottom w:w="113" w:type="dxa"/>
            </w:tcMar>
          </w:tcPr>
          <w:p w:rsidR="00DF692B" w:rsidRPr="00A32AF4" w:rsidRDefault="00DF692B" w:rsidP="00DC0553">
            <w:pPr>
              <w:rPr>
                <w:rFonts w:cs="Arial"/>
                <w:sz w:val="16"/>
                <w:szCs w:val="16"/>
              </w:rPr>
            </w:pPr>
            <w:r w:rsidRPr="00A32AF4">
              <w:rPr>
                <w:rFonts w:cs="Arial"/>
                <w:sz w:val="16"/>
                <w:szCs w:val="16"/>
              </w:rPr>
              <w:t>Pourcentage de fonctionnaires ayant connaissance des principes et des politiques de l</w:t>
            </w:r>
            <w:r w:rsidR="00E2055A" w:rsidRPr="00A32AF4">
              <w:rPr>
                <w:rFonts w:cs="Arial"/>
                <w:sz w:val="16"/>
                <w:szCs w:val="16"/>
              </w:rPr>
              <w:t>’</w:t>
            </w:r>
            <w:r w:rsidRPr="00A32AF4">
              <w:rPr>
                <w:rFonts w:cs="Arial"/>
                <w:sz w:val="16"/>
                <w:szCs w:val="16"/>
              </w:rPr>
              <w:t>OMPI dans le domaine éthique</w:t>
            </w:r>
          </w:p>
        </w:tc>
        <w:tc>
          <w:tcPr>
            <w:tcW w:w="1069" w:type="pct"/>
            <w:shd w:val="clear" w:color="auto" w:fill="FFFFFF"/>
            <w:tcMar>
              <w:top w:w="113" w:type="dxa"/>
              <w:bottom w:w="113" w:type="dxa"/>
            </w:tcMar>
          </w:tcPr>
          <w:p w:rsidR="00DF692B" w:rsidRPr="00A32AF4" w:rsidRDefault="00DF692B" w:rsidP="00DC0553">
            <w:pPr>
              <w:jc w:val="center"/>
              <w:rPr>
                <w:rFonts w:cs="Arial"/>
                <w:sz w:val="16"/>
                <w:szCs w:val="16"/>
                <w:lang w:bidi="th-TH"/>
              </w:rPr>
            </w:pPr>
            <w:r w:rsidRPr="00A32AF4">
              <w:rPr>
                <w:rFonts w:cs="Arial"/>
                <w:sz w:val="16"/>
                <w:szCs w:val="16"/>
                <w:lang w:bidi="th-TH"/>
              </w:rPr>
              <w:t>Programme 21</w:t>
            </w:r>
          </w:p>
        </w:tc>
      </w:tr>
      <w:tr w:rsidR="00153D26" w:rsidRPr="00A32AF4" w:rsidTr="00052D5E">
        <w:trPr>
          <w:cantSplit/>
        </w:trPr>
        <w:tc>
          <w:tcPr>
            <w:tcW w:w="1770" w:type="pct"/>
            <w:shd w:val="clear" w:color="auto" w:fill="auto"/>
            <w:tcMar>
              <w:top w:w="113" w:type="dxa"/>
              <w:bottom w:w="113" w:type="dxa"/>
            </w:tcMar>
          </w:tcPr>
          <w:p w:rsidR="00153D26" w:rsidRPr="00A32AF4" w:rsidRDefault="00153D26" w:rsidP="00DC0553">
            <w:pPr>
              <w:rPr>
                <w:rFonts w:cs="Arial"/>
                <w:sz w:val="16"/>
                <w:szCs w:val="16"/>
              </w:rPr>
            </w:pPr>
          </w:p>
        </w:tc>
        <w:tc>
          <w:tcPr>
            <w:tcW w:w="2161" w:type="pct"/>
            <w:shd w:val="clear" w:color="auto" w:fill="auto"/>
            <w:tcMar>
              <w:top w:w="113" w:type="dxa"/>
              <w:bottom w:w="113" w:type="dxa"/>
            </w:tcMar>
          </w:tcPr>
          <w:p w:rsidR="00153D26" w:rsidRPr="00A32AF4" w:rsidRDefault="00153D26" w:rsidP="00DC0553">
            <w:pPr>
              <w:rPr>
                <w:rFonts w:cs="Arial"/>
                <w:sz w:val="16"/>
                <w:szCs w:val="16"/>
              </w:rPr>
            </w:pPr>
            <w:r w:rsidRPr="00A32AF4">
              <w:rPr>
                <w:rFonts w:cs="Arial"/>
                <w:sz w:val="16"/>
                <w:szCs w:val="16"/>
              </w:rPr>
              <w:t>Règlement financier et ses règlements d</w:t>
            </w:r>
            <w:r w:rsidR="00E2055A" w:rsidRPr="00A32AF4">
              <w:rPr>
                <w:rFonts w:cs="Arial"/>
                <w:sz w:val="16"/>
                <w:szCs w:val="16"/>
              </w:rPr>
              <w:t>’</w:t>
            </w:r>
            <w:r w:rsidRPr="00A32AF4">
              <w:rPr>
                <w:rFonts w:cs="Arial"/>
                <w:sz w:val="16"/>
                <w:szCs w:val="16"/>
              </w:rPr>
              <w:t>exécution et ordres de service correspondants à jour</w:t>
            </w:r>
          </w:p>
        </w:tc>
        <w:tc>
          <w:tcPr>
            <w:tcW w:w="1069" w:type="pct"/>
            <w:shd w:val="clear" w:color="auto" w:fill="FFFFFF"/>
            <w:tcMar>
              <w:top w:w="113" w:type="dxa"/>
              <w:bottom w:w="113" w:type="dxa"/>
            </w:tcMar>
          </w:tcPr>
          <w:p w:rsidR="00153D26" w:rsidRPr="00A32AF4" w:rsidRDefault="00153D26" w:rsidP="00DC0553">
            <w:pPr>
              <w:jc w:val="center"/>
              <w:rPr>
                <w:rFonts w:cs="Arial"/>
                <w:sz w:val="16"/>
                <w:szCs w:val="16"/>
                <w:lang w:bidi="th-TH"/>
              </w:rPr>
            </w:pPr>
            <w:r w:rsidRPr="00A32AF4">
              <w:rPr>
                <w:rFonts w:cs="Arial"/>
                <w:sz w:val="16"/>
                <w:szCs w:val="16"/>
              </w:rPr>
              <w:t>Programme 22</w:t>
            </w:r>
          </w:p>
        </w:tc>
      </w:tr>
      <w:tr w:rsidR="00153D26" w:rsidRPr="00A32AF4" w:rsidTr="00052D5E">
        <w:trPr>
          <w:cantSplit/>
        </w:trPr>
        <w:tc>
          <w:tcPr>
            <w:tcW w:w="1770" w:type="pct"/>
            <w:shd w:val="clear" w:color="auto" w:fill="auto"/>
            <w:tcMar>
              <w:top w:w="113" w:type="dxa"/>
              <w:bottom w:w="113" w:type="dxa"/>
            </w:tcMar>
          </w:tcPr>
          <w:p w:rsidR="00153D26" w:rsidRPr="00A32AF4" w:rsidRDefault="00153D26" w:rsidP="00DC0553">
            <w:pPr>
              <w:rPr>
                <w:rFonts w:cs="Arial"/>
                <w:sz w:val="16"/>
                <w:szCs w:val="16"/>
              </w:rPr>
            </w:pPr>
          </w:p>
        </w:tc>
        <w:tc>
          <w:tcPr>
            <w:tcW w:w="2161" w:type="pct"/>
            <w:shd w:val="clear" w:color="auto" w:fill="auto"/>
            <w:tcMar>
              <w:top w:w="113" w:type="dxa"/>
              <w:bottom w:w="113" w:type="dxa"/>
            </w:tcMar>
          </w:tcPr>
          <w:p w:rsidR="00153D26" w:rsidRPr="00A32AF4" w:rsidRDefault="00153D26" w:rsidP="00DC0553">
            <w:pPr>
              <w:rPr>
                <w:rFonts w:cs="Arial"/>
                <w:sz w:val="16"/>
                <w:szCs w:val="16"/>
              </w:rPr>
            </w:pPr>
            <w:r w:rsidRPr="00A32AF4">
              <w:rPr>
                <w:rFonts w:cs="Arial"/>
                <w:sz w:val="16"/>
                <w:szCs w:val="16"/>
              </w:rPr>
              <w:t>Gestion des risques et contrôles internes plus élaborés, conformément à la feuille de route</w:t>
            </w:r>
          </w:p>
        </w:tc>
        <w:tc>
          <w:tcPr>
            <w:tcW w:w="1069" w:type="pct"/>
            <w:shd w:val="clear" w:color="auto" w:fill="FFFFFF"/>
            <w:tcMar>
              <w:top w:w="113" w:type="dxa"/>
              <w:bottom w:w="113" w:type="dxa"/>
            </w:tcMar>
          </w:tcPr>
          <w:p w:rsidR="00153D26" w:rsidRPr="00A32AF4" w:rsidRDefault="00153D26" w:rsidP="00DC0553">
            <w:pPr>
              <w:jc w:val="center"/>
              <w:rPr>
                <w:rFonts w:cs="Arial"/>
                <w:sz w:val="16"/>
                <w:szCs w:val="16"/>
              </w:rPr>
            </w:pPr>
            <w:r w:rsidRPr="00A32AF4">
              <w:rPr>
                <w:rFonts w:cs="Arial"/>
                <w:sz w:val="16"/>
                <w:szCs w:val="16"/>
              </w:rPr>
              <w:t>Programme 22</w:t>
            </w:r>
          </w:p>
        </w:tc>
      </w:tr>
      <w:tr w:rsidR="00153D26" w:rsidRPr="00A32AF4" w:rsidTr="00052D5E">
        <w:trPr>
          <w:cantSplit/>
        </w:trPr>
        <w:tc>
          <w:tcPr>
            <w:tcW w:w="1770" w:type="pct"/>
            <w:shd w:val="clear" w:color="auto" w:fill="auto"/>
            <w:tcMar>
              <w:top w:w="113" w:type="dxa"/>
              <w:bottom w:w="113" w:type="dxa"/>
            </w:tcMar>
          </w:tcPr>
          <w:p w:rsidR="00153D26" w:rsidRPr="00A32AF4" w:rsidRDefault="00153D26" w:rsidP="00DC0553">
            <w:pPr>
              <w:rPr>
                <w:rFonts w:cs="Arial"/>
                <w:sz w:val="16"/>
                <w:szCs w:val="16"/>
              </w:rPr>
            </w:pPr>
          </w:p>
        </w:tc>
        <w:tc>
          <w:tcPr>
            <w:tcW w:w="2161" w:type="pct"/>
            <w:shd w:val="clear" w:color="auto" w:fill="auto"/>
            <w:tcMar>
              <w:top w:w="113" w:type="dxa"/>
              <w:bottom w:w="113" w:type="dxa"/>
            </w:tcMar>
          </w:tcPr>
          <w:p w:rsidR="00153D26" w:rsidRPr="00A32AF4" w:rsidRDefault="00153D26" w:rsidP="00DC0553">
            <w:pPr>
              <w:rPr>
                <w:rFonts w:cs="Arial"/>
                <w:sz w:val="16"/>
                <w:szCs w:val="16"/>
              </w:rPr>
            </w:pPr>
            <w:r w:rsidRPr="00A32AF4">
              <w:rPr>
                <w:rFonts w:cs="Arial"/>
                <w:sz w:val="16"/>
                <w:szCs w:val="16"/>
              </w:rPr>
              <w:t xml:space="preserve">Suivi efficace des recommandations de supervision </w:t>
            </w:r>
          </w:p>
        </w:tc>
        <w:tc>
          <w:tcPr>
            <w:tcW w:w="1069" w:type="pct"/>
            <w:shd w:val="clear" w:color="auto" w:fill="FFFFFF"/>
            <w:tcMar>
              <w:top w:w="113" w:type="dxa"/>
              <w:bottom w:w="113" w:type="dxa"/>
            </w:tcMar>
          </w:tcPr>
          <w:p w:rsidR="00153D26" w:rsidRPr="00A32AF4" w:rsidRDefault="00153D26" w:rsidP="00DC0553">
            <w:pPr>
              <w:jc w:val="center"/>
              <w:rPr>
                <w:rFonts w:cs="Arial"/>
                <w:sz w:val="16"/>
                <w:szCs w:val="16"/>
              </w:rPr>
            </w:pPr>
            <w:r w:rsidRPr="00A32AF4">
              <w:rPr>
                <w:rFonts w:cs="Arial"/>
                <w:sz w:val="16"/>
                <w:szCs w:val="16"/>
              </w:rPr>
              <w:t>Programme 22</w:t>
            </w:r>
          </w:p>
        </w:tc>
      </w:tr>
      <w:tr w:rsidR="0053085A" w:rsidRPr="00A32AF4" w:rsidTr="00052D5E">
        <w:trPr>
          <w:cantSplit/>
        </w:trPr>
        <w:tc>
          <w:tcPr>
            <w:tcW w:w="1770" w:type="pct"/>
            <w:shd w:val="clear" w:color="auto" w:fill="auto"/>
            <w:tcMar>
              <w:top w:w="113" w:type="dxa"/>
              <w:bottom w:w="113" w:type="dxa"/>
            </w:tcMar>
          </w:tcPr>
          <w:p w:rsidR="0053085A" w:rsidRPr="00A32AF4" w:rsidRDefault="0053085A" w:rsidP="00DC0553">
            <w:pPr>
              <w:rPr>
                <w:rFonts w:cs="Arial"/>
                <w:sz w:val="16"/>
                <w:szCs w:val="16"/>
              </w:rPr>
            </w:pPr>
            <w:r w:rsidRPr="00A32AF4">
              <w:rPr>
                <w:rFonts w:cs="Arial"/>
                <w:sz w:val="16"/>
                <w:szCs w:val="16"/>
              </w:rPr>
              <w:t xml:space="preserve">IX.4 </w:t>
            </w:r>
            <w:r w:rsidRPr="00A32AF4">
              <w:rPr>
                <w:sz w:val="16"/>
                <w:szCs w:val="16"/>
              </w:rPr>
              <w:t>Une Organisation écologiquement et socialement responsable assurant la sûreté et la sécurité du personnel, des délégués, des visiteurs, de l</w:t>
            </w:r>
            <w:r w:rsidR="00E2055A" w:rsidRPr="00A32AF4">
              <w:rPr>
                <w:sz w:val="16"/>
                <w:szCs w:val="16"/>
              </w:rPr>
              <w:t>’</w:t>
            </w:r>
            <w:r w:rsidRPr="00A32AF4">
              <w:rPr>
                <w:sz w:val="16"/>
                <w:szCs w:val="16"/>
              </w:rPr>
              <w:t>information et des biens</w:t>
            </w:r>
          </w:p>
        </w:tc>
        <w:tc>
          <w:tcPr>
            <w:tcW w:w="2161" w:type="pct"/>
            <w:shd w:val="clear" w:color="auto" w:fill="auto"/>
            <w:tcMar>
              <w:top w:w="113" w:type="dxa"/>
              <w:bottom w:w="113" w:type="dxa"/>
            </w:tcMar>
          </w:tcPr>
          <w:p w:rsidR="0053085A" w:rsidRPr="00A32AF4" w:rsidRDefault="00294E8A" w:rsidP="00DC0553">
            <w:pPr>
              <w:rPr>
                <w:sz w:val="16"/>
                <w:szCs w:val="16"/>
              </w:rPr>
            </w:pPr>
            <w:r w:rsidRPr="00A32AF4">
              <w:rPr>
                <w:rFonts w:cs="Arial"/>
                <w:sz w:val="16"/>
                <w:szCs w:val="16"/>
              </w:rPr>
              <w:t>Réduction de l</w:t>
            </w:r>
            <w:r w:rsidR="00E2055A" w:rsidRPr="00A32AF4">
              <w:rPr>
                <w:rFonts w:cs="Arial"/>
                <w:sz w:val="16"/>
                <w:szCs w:val="16"/>
              </w:rPr>
              <w:t>’</w:t>
            </w:r>
            <w:r w:rsidRPr="00A32AF4">
              <w:rPr>
                <w:rFonts w:cs="Arial"/>
                <w:sz w:val="16"/>
                <w:szCs w:val="16"/>
              </w:rPr>
              <w:t>impact environnemental des activités de l</w:t>
            </w:r>
            <w:r w:rsidR="00E2055A" w:rsidRPr="00A32AF4">
              <w:rPr>
                <w:rFonts w:cs="Arial"/>
                <w:sz w:val="16"/>
                <w:szCs w:val="16"/>
              </w:rPr>
              <w:t>’</w:t>
            </w:r>
            <w:r w:rsidRPr="00A32AF4">
              <w:rPr>
                <w:rFonts w:cs="Arial"/>
                <w:sz w:val="16"/>
                <w:szCs w:val="16"/>
              </w:rPr>
              <w:t>OMPI</w:t>
            </w:r>
          </w:p>
        </w:tc>
        <w:tc>
          <w:tcPr>
            <w:tcW w:w="1069" w:type="pct"/>
            <w:shd w:val="clear" w:color="auto" w:fill="FFFFFF"/>
            <w:tcMar>
              <w:top w:w="113" w:type="dxa"/>
              <w:bottom w:w="113" w:type="dxa"/>
            </w:tcMar>
          </w:tcPr>
          <w:p w:rsidR="0053085A" w:rsidRPr="00A32AF4" w:rsidRDefault="0053085A" w:rsidP="00DC0553">
            <w:pPr>
              <w:jc w:val="center"/>
              <w:rPr>
                <w:rFonts w:cs="Arial"/>
                <w:sz w:val="16"/>
                <w:szCs w:val="16"/>
                <w:lang w:bidi="th-TH"/>
              </w:rPr>
            </w:pPr>
            <w:r w:rsidRPr="00A32AF4">
              <w:rPr>
                <w:rFonts w:cs="Arial"/>
                <w:sz w:val="16"/>
                <w:szCs w:val="16"/>
                <w:lang w:bidi="th-TH"/>
              </w:rPr>
              <w:t>Programme 24</w:t>
            </w:r>
          </w:p>
        </w:tc>
      </w:tr>
      <w:tr w:rsidR="00294E8A" w:rsidRPr="00A32AF4" w:rsidTr="00052D5E">
        <w:trPr>
          <w:cantSplit/>
        </w:trPr>
        <w:tc>
          <w:tcPr>
            <w:tcW w:w="1770" w:type="pct"/>
            <w:shd w:val="clear" w:color="auto" w:fill="auto"/>
            <w:tcMar>
              <w:top w:w="113" w:type="dxa"/>
              <w:bottom w:w="113" w:type="dxa"/>
            </w:tcMar>
          </w:tcPr>
          <w:p w:rsidR="00294E8A" w:rsidRPr="00A32AF4" w:rsidRDefault="00294E8A" w:rsidP="00DC0553">
            <w:pPr>
              <w:rPr>
                <w:rFonts w:cs="Arial"/>
                <w:sz w:val="16"/>
                <w:szCs w:val="16"/>
              </w:rPr>
            </w:pPr>
          </w:p>
        </w:tc>
        <w:tc>
          <w:tcPr>
            <w:tcW w:w="2161" w:type="pct"/>
            <w:shd w:val="clear" w:color="auto" w:fill="auto"/>
            <w:tcMar>
              <w:top w:w="113" w:type="dxa"/>
              <w:bottom w:w="113" w:type="dxa"/>
            </w:tcMar>
          </w:tcPr>
          <w:p w:rsidR="00294E8A" w:rsidRPr="00A32AF4" w:rsidRDefault="00294E8A" w:rsidP="00DC0553">
            <w:pPr>
              <w:contextualSpacing/>
              <w:rPr>
                <w:rFonts w:cs="Arial"/>
                <w:sz w:val="16"/>
                <w:szCs w:val="16"/>
              </w:rPr>
            </w:pPr>
            <w:r w:rsidRPr="00A32AF4">
              <w:rPr>
                <w:rFonts w:cs="Arial"/>
                <w:sz w:val="16"/>
                <w:szCs w:val="16"/>
              </w:rPr>
              <w:t>Amélioration de l</w:t>
            </w:r>
            <w:r w:rsidR="00E2055A" w:rsidRPr="00A32AF4">
              <w:rPr>
                <w:rFonts w:cs="Arial"/>
                <w:sz w:val="16"/>
                <w:szCs w:val="16"/>
              </w:rPr>
              <w:t>’</w:t>
            </w:r>
            <w:r w:rsidRPr="00A32AF4">
              <w:rPr>
                <w:rFonts w:cs="Arial"/>
                <w:sz w:val="16"/>
                <w:szCs w:val="16"/>
              </w:rPr>
              <w:t>accès physique au campus de l</w:t>
            </w:r>
            <w:r w:rsidR="00E2055A" w:rsidRPr="00A32AF4">
              <w:rPr>
                <w:rFonts w:cs="Arial"/>
                <w:sz w:val="16"/>
                <w:szCs w:val="16"/>
              </w:rPr>
              <w:t>’</w:t>
            </w:r>
            <w:r w:rsidRPr="00A32AF4">
              <w:rPr>
                <w:rFonts w:cs="Arial"/>
                <w:sz w:val="16"/>
                <w:szCs w:val="16"/>
              </w:rPr>
              <w:t xml:space="preserve">OMPI </w:t>
            </w:r>
          </w:p>
        </w:tc>
        <w:tc>
          <w:tcPr>
            <w:tcW w:w="1069" w:type="pct"/>
            <w:shd w:val="clear" w:color="auto" w:fill="FFFFFF"/>
            <w:tcMar>
              <w:top w:w="113" w:type="dxa"/>
              <w:bottom w:w="113" w:type="dxa"/>
            </w:tcMar>
          </w:tcPr>
          <w:p w:rsidR="00294E8A" w:rsidRPr="00A32AF4" w:rsidRDefault="00294E8A" w:rsidP="00DC0553">
            <w:pPr>
              <w:jc w:val="center"/>
              <w:rPr>
                <w:rFonts w:cs="Arial"/>
                <w:sz w:val="16"/>
                <w:szCs w:val="16"/>
              </w:rPr>
            </w:pPr>
            <w:r w:rsidRPr="00A32AF4">
              <w:rPr>
                <w:rFonts w:cs="Arial"/>
                <w:sz w:val="16"/>
                <w:szCs w:val="16"/>
              </w:rPr>
              <w:t>Programme 24</w:t>
            </w:r>
          </w:p>
        </w:tc>
      </w:tr>
      <w:tr w:rsidR="004F1ABA" w:rsidRPr="00A32AF4" w:rsidTr="00052D5E">
        <w:trPr>
          <w:cantSplit/>
        </w:trPr>
        <w:tc>
          <w:tcPr>
            <w:tcW w:w="1770" w:type="pct"/>
            <w:shd w:val="clear" w:color="auto" w:fill="auto"/>
            <w:tcMar>
              <w:top w:w="113" w:type="dxa"/>
              <w:bottom w:w="113" w:type="dxa"/>
            </w:tcMar>
          </w:tcPr>
          <w:p w:rsidR="004F1ABA" w:rsidRPr="00A32AF4" w:rsidRDefault="004F1ABA" w:rsidP="00DC0553">
            <w:pPr>
              <w:rPr>
                <w:rFonts w:cs="Arial"/>
                <w:sz w:val="16"/>
                <w:szCs w:val="16"/>
              </w:rPr>
            </w:pPr>
          </w:p>
        </w:tc>
        <w:tc>
          <w:tcPr>
            <w:tcW w:w="2161" w:type="pct"/>
            <w:shd w:val="clear" w:color="auto" w:fill="auto"/>
            <w:tcMar>
              <w:top w:w="113" w:type="dxa"/>
              <w:bottom w:w="113" w:type="dxa"/>
            </w:tcMar>
          </w:tcPr>
          <w:p w:rsidR="004F1ABA" w:rsidRPr="00A32AF4" w:rsidRDefault="004F1ABA" w:rsidP="00DC0553">
            <w:pPr>
              <w:rPr>
                <w:rFonts w:cs="Arial"/>
                <w:sz w:val="16"/>
                <w:szCs w:val="16"/>
              </w:rPr>
            </w:pPr>
            <w:r w:rsidRPr="00A32AF4">
              <w:rPr>
                <w:rFonts w:cs="Arial"/>
                <w:sz w:val="16"/>
                <w:szCs w:val="16"/>
              </w:rPr>
              <w:t>Continuité de service des TIC pour les systèmes essentiels.</w:t>
            </w:r>
          </w:p>
        </w:tc>
        <w:tc>
          <w:tcPr>
            <w:tcW w:w="1069" w:type="pct"/>
            <w:shd w:val="clear" w:color="auto" w:fill="FFFFFF"/>
            <w:tcMar>
              <w:top w:w="113" w:type="dxa"/>
              <w:bottom w:w="113" w:type="dxa"/>
            </w:tcMar>
          </w:tcPr>
          <w:p w:rsidR="004F1ABA" w:rsidRPr="00A32AF4" w:rsidRDefault="004F1ABA" w:rsidP="00DC0553">
            <w:pPr>
              <w:jc w:val="center"/>
            </w:pPr>
            <w:r w:rsidRPr="00A32AF4">
              <w:rPr>
                <w:rFonts w:cs="Arial"/>
                <w:sz w:val="16"/>
                <w:szCs w:val="16"/>
              </w:rPr>
              <w:t>Programme 25</w:t>
            </w:r>
          </w:p>
        </w:tc>
      </w:tr>
      <w:tr w:rsidR="002842C3" w:rsidRPr="00A32AF4" w:rsidTr="00052D5E">
        <w:trPr>
          <w:cantSplit/>
        </w:trPr>
        <w:tc>
          <w:tcPr>
            <w:tcW w:w="1770" w:type="pct"/>
            <w:shd w:val="clear" w:color="auto" w:fill="auto"/>
            <w:tcMar>
              <w:top w:w="113" w:type="dxa"/>
              <w:bottom w:w="113" w:type="dxa"/>
            </w:tcMar>
          </w:tcPr>
          <w:p w:rsidR="002842C3" w:rsidRPr="00A32AF4" w:rsidRDefault="002842C3" w:rsidP="00DC0553">
            <w:pPr>
              <w:rPr>
                <w:rFonts w:cs="Arial"/>
                <w:sz w:val="16"/>
                <w:szCs w:val="16"/>
              </w:rPr>
            </w:pPr>
          </w:p>
        </w:tc>
        <w:tc>
          <w:tcPr>
            <w:tcW w:w="2161" w:type="pct"/>
            <w:shd w:val="clear" w:color="auto" w:fill="auto"/>
            <w:tcMar>
              <w:top w:w="113" w:type="dxa"/>
              <w:bottom w:w="113" w:type="dxa"/>
            </w:tcMar>
          </w:tcPr>
          <w:p w:rsidR="002842C3" w:rsidRPr="00A32AF4" w:rsidRDefault="002842C3" w:rsidP="00DC0553">
            <w:pPr>
              <w:rPr>
                <w:rFonts w:cs="Arial"/>
                <w:sz w:val="16"/>
                <w:szCs w:val="16"/>
              </w:rPr>
            </w:pPr>
            <w:r w:rsidRPr="00A32AF4">
              <w:rPr>
                <w:rFonts w:cs="Arial"/>
                <w:sz w:val="16"/>
                <w:szCs w:val="16"/>
              </w:rPr>
              <w:t>Pourcentage de risques pour l</w:t>
            </w:r>
            <w:r w:rsidR="00E2055A" w:rsidRPr="00A32AF4">
              <w:rPr>
                <w:rFonts w:cs="Arial"/>
                <w:sz w:val="16"/>
                <w:szCs w:val="16"/>
              </w:rPr>
              <w:t>’</w:t>
            </w:r>
            <w:r w:rsidRPr="00A32AF4">
              <w:rPr>
                <w:rFonts w:cs="Arial"/>
                <w:sz w:val="16"/>
                <w:szCs w:val="16"/>
              </w:rPr>
              <w:t xml:space="preserve">information, </w:t>
            </w:r>
            <w:r w:rsidR="00E2055A" w:rsidRPr="00A32AF4">
              <w:rPr>
                <w:rFonts w:cs="Arial"/>
                <w:sz w:val="16"/>
                <w:szCs w:val="16"/>
              </w:rPr>
              <w:t>y compris</w:t>
            </w:r>
            <w:r w:rsidRPr="00A32AF4">
              <w:rPr>
                <w:rFonts w:cs="Arial"/>
                <w:sz w:val="16"/>
                <w:szCs w:val="16"/>
              </w:rPr>
              <w:t xml:space="preserve"> les risques tiers, détectés et gérés conformément aux seuils de tolérance définis par l</w:t>
            </w:r>
            <w:r w:rsidR="00E2055A" w:rsidRPr="00A32AF4">
              <w:rPr>
                <w:rFonts w:cs="Arial"/>
                <w:sz w:val="16"/>
                <w:szCs w:val="16"/>
              </w:rPr>
              <w:t>’</w:t>
            </w:r>
            <w:r w:rsidRPr="00A32AF4">
              <w:rPr>
                <w:rFonts w:cs="Arial"/>
                <w:sz w:val="16"/>
                <w:szCs w:val="16"/>
              </w:rPr>
              <w:t>OMPI.</w:t>
            </w:r>
          </w:p>
        </w:tc>
        <w:tc>
          <w:tcPr>
            <w:tcW w:w="1069" w:type="pct"/>
            <w:shd w:val="clear" w:color="auto" w:fill="FFFFFF"/>
            <w:tcMar>
              <w:top w:w="113" w:type="dxa"/>
              <w:bottom w:w="113" w:type="dxa"/>
            </w:tcMar>
          </w:tcPr>
          <w:p w:rsidR="002842C3" w:rsidRPr="00A32AF4" w:rsidRDefault="002842C3" w:rsidP="00DC0553">
            <w:pPr>
              <w:jc w:val="center"/>
              <w:rPr>
                <w:rFonts w:cs="Arial"/>
                <w:sz w:val="16"/>
                <w:szCs w:val="16"/>
                <w:lang w:bidi="th-TH"/>
              </w:rPr>
            </w:pPr>
            <w:r w:rsidRPr="00A32AF4">
              <w:rPr>
                <w:rFonts w:cs="Arial"/>
                <w:sz w:val="16"/>
                <w:szCs w:val="16"/>
              </w:rPr>
              <w:t>Programme 28</w:t>
            </w:r>
          </w:p>
        </w:tc>
      </w:tr>
      <w:tr w:rsidR="0053085A" w:rsidRPr="00A32AF4" w:rsidTr="00052D5E">
        <w:trPr>
          <w:cantSplit/>
        </w:trPr>
        <w:tc>
          <w:tcPr>
            <w:tcW w:w="1770" w:type="pct"/>
            <w:shd w:val="clear" w:color="auto" w:fill="auto"/>
            <w:tcMar>
              <w:top w:w="113" w:type="dxa"/>
              <w:bottom w:w="113" w:type="dxa"/>
            </w:tcMar>
          </w:tcPr>
          <w:p w:rsidR="0053085A" w:rsidRPr="00A32AF4" w:rsidRDefault="0053085A" w:rsidP="00DC0553">
            <w:pPr>
              <w:rPr>
                <w:rFonts w:cs="Arial"/>
                <w:sz w:val="16"/>
                <w:szCs w:val="16"/>
              </w:rPr>
            </w:pPr>
          </w:p>
        </w:tc>
        <w:tc>
          <w:tcPr>
            <w:tcW w:w="2161" w:type="pct"/>
            <w:shd w:val="clear" w:color="auto" w:fill="auto"/>
            <w:tcMar>
              <w:top w:w="113" w:type="dxa"/>
              <w:bottom w:w="113" w:type="dxa"/>
            </w:tcMar>
          </w:tcPr>
          <w:p w:rsidR="0053085A" w:rsidRPr="00A32AF4" w:rsidRDefault="002842C3" w:rsidP="00DC0553">
            <w:pPr>
              <w:rPr>
                <w:rFonts w:cs="Arial"/>
                <w:sz w:val="16"/>
                <w:szCs w:val="16"/>
              </w:rPr>
            </w:pPr>
            <w:r w:rsidRPr="00A32AF4">
              <w:rPr>
                <w:rFonts w:cs="Arial"/>
                <w:sz w:val="16"/>
                <w:szCs w:val="16"/>
              </w:rPr>
              <w:t>Détection anticipée et résolution rapide des failles de sécurité conformément au niveau de service défini.</w:t>
            </w:r>
          </w:p>
        </w:tc>
        <w:tc>
          <w:tcPr>
            <w:tcW w:w="1069" w:type="pct"/>
            <w:shd w:val="clear" w:color="auto" w:fill="FFFFFF"/>
            <w:tcMar>
              <w:top w:w="113" w:type="dxa"/>
              <w:bottom w:w="113" w:type="dxa"/>
            </w:tcMar>
          </w:tcPr>
          <w:p w:rsidR="0053085A" w:rsidRPr="00A32AF4" w:rsidRDefault="0053085A" w:rsidP="00DC0553">
            <w:pPr>
              <w:jc w:val="center"/>
              <w:rPr>
                <w:rFonts w:cs="Arial"/>
                <w:sz w:val="16"/>
                <w:szCs w:val="16"/>
                <w:lang w:bidi="th-TH"/>
              </w:rPr>
            </w:pPr>
            <w:r w:rsidRPr="00A32AF4">
              <w:rPr>
                <w:rFonts w:cs="Arial"/>
                <w:sz w:val="16"/>
                <w:szCs w:val="16"/>
              </w:rPr>
              <w:t>Programme 28</w:t>
            </w:r>
          </w:p>
        </w:tc>
      </w:tr>
      <w:tr w:rsidR="0053085A" w:rsidRPr="00A32AF4" w:rsidTr="00052D5E">
        <w:trPr>
          <w:cantSplit/>
        </w:trPr>
        <w:tc>
          <w:tcPr>
            <w:tcW w:w="1770" w:type="pct"/>
            <w:shd w:val="clear" w:color="auto" w:fill="auto"/>
            <w:tcMar>
              <w:top w:w="113" w:type="dxa"/>
              <w:bottom w:w="113" w:type="dxa"/>
            </w:tcMar>
          </w:tcPr>
          <w:p w:rsidR="0053085A" w:rsidRPr="00A32AF4" w:rsidRDefault="0053085A" w:rsidP="00DC0553">
            <w:pPr>
              <w:rPr>
                <w:rFonts w:cs="Arial"/>
                <w:sz w:val="16"/>
                <w:szCs w:val="16"/>
              </w:rPr>
            </w:pPr>
          </w:p>
        </w:tc>
        <w:tc>
          <w:tcPr>
            <w:tcW w:w="2161" w:type="pct"/>
            <w:shd w:val="clear" w:color="auto" w:fill="auto"/>
            <w:tcMar>
              <w:top w:w="113" w:type="dxa"/>
              <w:bottom w:w="113" w:type="dxa"/>
            </w:tcMar>
          </w:tcPr>
          <w:p w:rsidR="0053085A" w:rsidRPr="00A32AF4" w:rsidRDefault="002842C3" w:rsidP="00DC0553">
            <w:pPr>
              <w:rPr>
                <w:rFonts w:cs="Arial"/>
                <w:sz w:val="16"/>
                <w:szCs w:val="16"/>
              </w:rPr>
            </w:pPr>
            <w:r w:rsidRPr="00A32AF4">
              <w:rPr>
                <w:rFonts w:cs="Arial"/>
                <w:sz w:val="16"/>
                <w:szCs w:val="16"/>
              </w:rPr>
              <w:t>Respect accru des politiques et normes en matière de sécurité de l</w:t>
            </w:r>
            <w:r w:rsidR="00E2055A" w:rsidRPr="00A32AF4">
              <w:rPr>
                <w:rFonts w:cs="Arial"/>
                <w:sz w:val="16"/>
                <w:szCs w:val="16"/>
              </w:rPr>
              <w:t>’</w:t>
            </w:r>
            <w:r w:rsidRPr="00A32AF4">
              <w:rPr>
                <w:rFonts w:cs="Arial"/>
                <w:sz w:val="16"/>
                <w:szCs w:val="16"/>
              </w:rPr>
              <w:t>information.</w:t>
            </w:r>
          </w:p>
        </w:tc>
        <w:tc>
          <w:tcPr>
            <w:tcW w:w="1069" w:type="pct"/>
            <w:shd w:val="clear" w:color="auto" w:fill="FFFFFF"/>
            <w:tcMar>
              <w:top w:w="113" w:type="dxa"/>
              <w:bottom w:w="113" w:type="dxa"/>
            </w:tcMar>
          </w:tcPr>
          <w:p w:rsidR="0053085A" w:rsidRPr="00A32AF4" w:rsidRDefault="0053085A" w:rsidP="00DC0553">
            <w:pPr>
              <w:jc w:val="center"/>
              <w:rPr>
                <w:rFonts w:cs="Arial"/>
                <w:sz w:val="16"/>
                <w:szCs w:val="16"/>
              </w:rPr>
            </w:pPr>
            <w:r w:rsidRPr="00A32AF4">
              <w:rPr>
                <w:rFonts w:cs="Arial"/>
                <w:sz w:val="16"/>
                <w:szCs w:val="16"/>
              </w:rPr>
              <w:t>Programme 28</w:t>
            </w:r>
          </w:p>
        </w:tc>
      </w:tr>
      <w:tr w:rsidR="0053085A" w:rsidRPr="00A32AF4" w:rsidTr="00052D5E">
        <w:trPr>
          <w:cantSplit/>
        </w:trPr>
        <w:tc>
          <w:tcPr>
            <w:tcW w:w="1770" w:type="pct"/>
            <w:shd w:val="clear" w:color="auto" w:fill="auto"/>
            <w:tcMar>
              <w:top w:w="113" w:type="dxa"/>
              <w:bottom w:w="113" w:type="dxa"/>
            </w:tcMar>
          </w:tcPr>
          <w:p w:rsidR="0053085A" w:rsidRPr="00A32AF4" w:rsidRDefault="0053085A" w:rsidP="00DC0553">
            <w:pPr>
              <w:rPr>
                <w:rFonts w:cs="Arial"/>
                <w:sz w:val="16"/>
                <w:szCs w:val="16"/>
              </w:rPr>
            </w:pPr>
          </w:p>
        </w:tc>
        <w:tc>
          <w:tcPr>
            <w:tcW w:w="2161" w:type="pct"/>
            <w:shd w:val="clear" w:color="auto" w:fill="auto"/>
            <w:tcMar>
              <w:top w:w="113" w:type="dxa"/>
              <w:bottom w:w="113" w:type="dxa"/>
            </w:tcMar>
          </w:tcPr>
          <w:p w:rsidR="0053085A" w:rsidRPr="00A32AF4" w:rsidRDefault="002842C3" w:rsidP="00DC0553">
            <w:pPr>
              <w:rPr>
                <w:rFonts w:cs="Arial"/>
                <w:sz w:val="16"/>
                <w:szCs w:val="16"/>
              </w:rPr>
            </w:pPr>
            <w:r w:rsidRPr="00A32AF4">
              <w:rPr>
                <w:rFonts w:cs="Arial"/>
                <w:sz w:val="16"/>
                <w:szCs w:val="16"/>
              </w:rPr>
              <w:t>Politique de classification et de diffusion de l</w:t>
            </w:r>
            <w:r w:rsidR="00E2055A" w:rsidRPr="00A32AF4">
              <w:rPr>
                <w:rFonts w:cs="Arial"/>
                <w:sz w:val="16"/>
                <w:szCs w:val="16"/>
              </w:rPr>
              <w:t>’</w:t>
            </w:r>
            <w:r w:rsidRPr="00A32AF4">
              <w:rPr>
                <w:rFonts w:cs="Arial"/>
                <w:sz w:val="16"/>
                <w:szCs w:val="16"/>
              </w:rPr>
              <w:t>information largement adoptée afin d</w:t>
            </w:r>
            <w:r w:rsidR="00E2055A" w:rsidRPr="00A32AF4">
              <w:rPr>
                <w:rFonts w:cs="Arial"/>
                <w:sz w:val="16"/>
                <w:szCs w:val="16"/>
              </w:rPr>
              <w:t>’</w:t>
            </w:r>
            <w:r w:rsidRPr="00A32AF4">
              <w:rPr>
                <w:rFonts w:cs="Arial"/>
                <w:sz w:val="16"/>
                <w:szCs w:val="16"/>
              </w:rPr>
              <w:t>assurer la confidentialité de l</w:t>
            </w:r>
            <w:r w:rsidR="00E2055A" w:rsidRPr="00A32AF4">
              <w:rPr>
                <w:rFonts w:cs="Arial"/>
                <w:sz w:val="16"/>
                <w:szCs w:val="16"/>
              </w:rPr>
              <w:t>’</w:t>
            </w:r>
            <w:r w:rsidRPr="00A32AF4">
              <w:rPr>
                <w:rFonts w:cs="Arial"/>
                <w:sz w:val="16"/>
                <w:szCs w:val="16"/>
              </w:rPr>
              <w:t>information.</w:t>
            </w:r>
          </w:p>
        </w:tc>
        <w:tc>
          <w:tcPr>
            <w:tcW w:w="1069" w:type="pct"/>
            <w:shd w:val="clear" w:color="auto" w:fill="FFFFFF"/>
            <w:tcMar>
              <w:top w:w="113" w:type="dxa"/>
              <w:bottom w:w="113" w:type="dxa"/>
            </w:tcMar>
          </w:tcPr>
          <w:p w:rsidR="0053085A" w:rsidRPr="00A32AF4" w:rsidRDefault="0053085A" w:rsidP="00DC0553">
            <w:pPr>
              <w:jc w:val="center"/>
              <w:rPr>
                <w:rFonts w:cs="Arial"/>
                <w:sz w:val="16"/>
                <w:szCs w:val="16"/>
              </w:rPr>
            </w:pPr>
            <w:r w:rsidRPr="00A32AF4">
              <w:rPr>
                <w:rFonts w:cs="Arial"/>
                <w:sz w:val="16"/>
                <w:szCs w:val="16"/>
              </w:rPr>
              <w:t>Programme 28</w:t>
            </w:r>
          </w:p>
        </w:tc>
      </w:tr>
      <w:tr w:rsidR="0053085A" w:rsidRPr="00A32AF4" w:rsidTr="00052D5E">
        <w:trPr>
          <w:cantSplit/>
        </w:trPr>
        <w:tc>
          <w:tcPr>
            <w:tcW w:w="1770" w:type="pct"/>
            <w:shd w:val="clear" w:color="auto" w:fill="auto"/>
            <w:tcMar>
              <w:top w:w="113" w:type="dxa"/>
              <w:bottom w:w="113" w:type="dxa"/>
            </w:tcMar>
          </w:tcPr>
          <w:p w:rsidR="0053085A" w:rsidRPr="00A32AF4" w:rsidRDefault="0053085A" w:rsidP="00DC0553">
            <w:pPr>
              <w:rPr>
                <w:rFonts w:cs="Arial"/>
                <w:sz w:val="16"/>
                <w:szCs w:val="16"/>
              </w:rPr>
            </w:pPr>
          </w:p>
        </w:tc>
        <w:tc>
          <w:tcPr>
            <w:tcW w:w="2161" w:type="pct"/>
            <w:shd w:val="clear" w:color="auto" w:fill="auto"/>
            <w:tcMar>
              <w:top w:w="113" w:type="dxa"/>
              <w:bottom w:w="113" w:type="dxa"/>
            </w:tcMar>
          </w:tcPr>
          <w:p w:rsidR="0053085A" w:rsidRPr="00A32AF4" w:rsidRDefault="002842C3" w:rsidP="00DC0553">
            <w:pPr>
              <w:rPr>
                <w:rFonts w:cs="Arial"/>
                <w:sz w:val="16"/>
                <w:szCs w:val="16"/>
              </w:rPr>
            </w:pPr>
            <w:r w:rsidRPr="00A32AF4">
              <w:rPr>
                <w:rFonts w:cs="Arial"/>
                <w:sz w:val="16"/>
                <w:szCs w:val="16"/>
              </w:rPr>
              <w:t>Réduction des chevauchements dans l</w:t>
            </w:r>
            <w:r w:rsidR="001A6BD0" w:rsidRPr="00A32AF4">
              <w:rPr>
                <w:rFonts w:cs="Arial"/>
                <w:sz w:val="16"/>
                <w:szCs w:val="16"/>
              </w:rPr>
              <w:t>es</w:t>
            </w:r>
            <w:r w:rsidRPr="00A32AF4">
              <w:rPr>
                <w:rFonts w:cs="Arial"/>
                <w:sz w:val="16"/>
                <w:szCs w:val="16"/>
              </w:rPr>
              <w:t xml:space="preserve"> capacités techniques en matière de sécurité de l</w:t>
            </w:r>
            <w:r w:rsidR="00E2055A" w:rsidRPr="00A32AF4">
              <w:rPr>
                <w:rFonts w:cs="Arial"/>
                <w:sz w:val="16"/>
                <w:szCs w:val="16"/>
              </w:rPr>
              <w:t>’</w:t>
            </w:r>
            <w:r w:rsidRPr="00A32AF4">
              <w:rPr>
                <w:rFonts w:cs="Arial"/>
                <w:sz w:val="16"/>
                <w:szCs w:val="16"/>
              </w:rPr>
              <w:t>information grâce à des structures d</w:t>
            </w:r>
            <w:r w:rsidR="00E2055A" w:rsidRPr="00A32AF4">
              <w:rPr>
                <w:rFonts w:cs="Arial"/>
                <w:sz w:val="16"/>
                <w:szCs w:val="16"/>
              </w:rPr>
              <w:t>’</w:t>
            </w:r>
            <w:r w:rsidRPr="00A32AF4">
              <w:rPr>
                <w:rFonts w:cs="Arial"/>
                <w:sz w:val="16"/>
                <w:szCs w:val="16"/>
              </w:rPr>
              <w:t>architecture réutilisables.</w:t>
            </w:r>
          </w:p>
        </w:tc>
        <w:tc>
          <w:tcPr>
            <w:tcW w:w="1069" w:type="pct"/>
            <w:shd w:val="clear" w:color="auto" w:fill="FFFFFF"/>
            <w:tcMar>
              <w:top w:w="113" w:type="dxa"/>
              <w:bottom w:w="113" w:type="dxa"/>
            </w:tcMar>
          </w:tcPr>
          <w:p w:rsidR="0053085A" w:rsidRPr="00A32AF4" w:rsidRDefault="0053085A" w:rsidP="00DC0553">
            <w:pPr>
              <w:jc w:val="center"/>
              <w:rPr>
                <w:rFonts w:cs="Arial"/>
                <w:sz w:val="16"/>
                <w:szCs w:val="16"/>
              </w:rPr>
            </w:pPr>
            <w:r w:rsidRPr="00A32AF4">
              <w:rPr>
                <w:rFonts w:cs="Arial"/>
                <w:sz w:val="16"/>
                <w:szCs w:val="16"/>
              </w:rPr>
              <w:t>Programme 28</w:t>
            </w:r>
          </w:p>
        </w:tc>
      </w:tr>
      <w:tr w:rsidR="002842C3" w:rsidRPr="00A32AF4" w:rsidTr="00052D5E">
        <w:trPr>
          <w:cantSplit/>
        </w:trPr>
        <w:tc>
          <w:tcPr>
            <w:tcW w:w="1770" w:type="pct"/>
            <w:shd w:val="clear" w:color="auto" w:fill="auto"/>
            <w:tcMar>
              <w:top w:w="113" w:type="dxa"/>
              <w:bottom w:w="113" w:type="dxa"/>
            </w:tcMar>
          </w:tcPr>
          <w:p w:rsidR="002842C3" w:rsidRPr="00A32AF4" w:rsidRDefault="002842C3" w:rsidP="00DC0553">
            <w:pPr>
              <w:rPr>
                <w:rFonts w:cs="Arial"/>
                <w:sz w:val="16"/>
                <w:szCs w:val="16"/>
              </w:rPr>
            </w:pPr>
          </w:p>
        </w:tc>
        <w:tc>
          <w:tcPr>
            <w:tcW w:w="2161" w:type="pct"/>
            <w:shd w:val="clear" w:color="auto" w:fill="auto"/>
            <w:tcMar>
              <w:top w:w="113" w:type="dxa"/>
              <w:bottom w:w="113" w:type="dxa"/>
            </w:tcMar>
          </w:tcPr>
          <w:p w:rsidR="002842C3" w:rsidRPr="00A32AF4" w:rsidRDefault="002842C3" w:rsidP="00DC0553">
            <w:pPr>
              <w:rPr>
                <w:rFonts w:cs="Arial"/>
                <w:sz w:val="16"/>
                <w:szCs w:val="16"/>
              </w:rPr>
            </w:pPr>
            <w:r w:rsidRPr="00A32AF4">
              <w:rPr>
                <w:rFonts w:cs="Arial"/>
                <w:sz w:val="16"/>
                <w:szCs w:val="16"/>
              </w:rPr>
              <w:t>Capacité accrue de détection des menaces informatiques et de réaction rapide à ces menaces, garantissant une interruption minimale des opérations.</w:t>
            </w:r>
          </w:p>
        </w:tc>
        <w:tc>
          <w:tcPr>
            <w:tcW w:w="1069" w:type="pct"/>
            <w:shd w:val="clear" w:color="auto" w:fill="FFFFFF"/>
            <w:tcMar>
              <w:top w:w="113" w:type="dxa"/>
              <w:bottom w:w="113" w:type="dxa"/>
            </w:tcMar>
          </w:tcPr>
          <w:p w:rsidR="002842C3" w:rsidRPr="00A32AF4" w:rsidRDefault="002842C3" w:rsidP="00DC0553">
            <w:pPr>
              <w:jc w:val="center"/>
              <w:rPr>
                <w:rFonts w:cs="Arial"/>
                <w:sz w:val="16"/>
                <w:szCs w:val="16"/>
              </w:rPr>
            </w:pPr>
            <w:r w:rsidRPr="00A32AF4">
              <w:rPr>
                <w:rFonts w:cs="Arial"/>
                <w:sz w:val="16"/>
                <w:szCs w:val="16"/>
              </w:rPr>
              <w:t>Programme 28</w:t>
            </w:r>
          </w:p>
        </w:tc>
      </w:tr>
      <w:tr w:rsidR="002842C3" w:rsidRPr="00A32AF4" w:rsidTr="00052D5E">
        <w:trPr>
          <w:cantSplit/>
        </w:trPr>
        <w:tc>
          <w:tcPr>
            <w:tcW w:w="1770" w:type="pct"/>
            <w:shd w:val="clear" w:color="auto" w:fill="auto"/>
            <w:tcMar>
              <w:top w:w="113" w:type="dxa"/>
              <w:bottom w:w="113" w:type="dxa"/>
            </w:tcMar>
          </w:tcPr>
          <w:p w:rsidR="002842C3" w:rsidRPr="00A32AF4" w:rsidRDefault="002842C3" w:rsidP="00DC0553">
            <w:pPr>
              <w:rPr>
                <w:rFonts w:cs="Arial"/>
                <w:sz w:val="16"/>
                <w:szCs w:val="16"/>
              </w:rPr>
            </w:pPr>
          </w:p>
        </w:tc>
        <w:tc>
          <w:tcPr>
            <w:tcW w:w="2161" w:type="pct"/>
            <w:shd w:val="clear" w:color="auto" w:fill="auto"/>
            <w:tcMar>
              <w:top w:w="113" w:type="dxa"/>
              <w:bottom w:w="113" w:type="dxa"/>
            </w:tcMar>
          </w:tcPr>
          <w:p w:rsidR="002842C3" w:rsidRPr="00A32AF4" w:rsidRDefault="002842C3" w:rsidP="00DC0553">
            <w:pPr>
              <w:rPr>
                <w:rFonts w:cs="Arial"/>
                <w:sz w:val="16"/>
                <w:szCs w:val="16"/>
              </w:rPr>
            </w:pPr>
            <w:r w:rsidRPr="00A32AF4">
              <w:rPr>
                <w:rFonts w:cs="Arial"/>
                <w:sz w:val="16"/>
                <w:szCs w:val="16"/>
              </w:rPr>
              <w:t>Pourcentage de membres du personnel, de délégués et de visiteurs de l</w:t>
            </w:r>
            <w:r w:rsidR="00E2055A" w:rsidRPr="00A32AF4">
              <w:rPr>
                <w:rFonts w:cs="Arial"/>
                <w:sz w:val="16"/>
                <w:szCs w:val="16"/>
              </w:rPr>
              <w:t>’</w:t>
            </w:r>
            <w:r w:rsidRPr="00A32AF4">
              <w:rPr>
                <w:rFonts w:cs="Arial"/>
                <w:sz w:val="16"/>
                <w:szCs w:val="16"/>
              </w:rPr>
              <w:t>OMPI qui signalent une blessure ou un incident du travail.</w:t>
            </w:r>
          </w:p>
        </w:tc>
        <w:tc>
          <w:tcPr>
            <w:tcW w:w="1069" w:type="pct"/>
            <w:shd w:val="clear" w:color="auto" w:fill="FFFFFF"/>
            <w:tcMar>
              <w:top w:w="113" w:type="dxa"/>
              <w:bottom w:w="113" w:type="dxa"/>
            </w:tcMar>
          </w:tcPr>
          <w:p w:rsidR="002842C3" w:rsidRPr="00A32AF4" w:rsidRDefault="002842C3" w:rsidP="00DC0553">
            <w:pPr>
              <w:jc w:val="center"/>
              <w:rPr>
                <w:rFonts w:cs="Arial"/>
                <w:sz w:val="16"/>
                <w:szCs w:val="16"/>
              </w:rPr>
            </w:pPr>
            <w:r w:rsidRPr="00A32AF4">
              <w:rPr>
                <w:rFonts w:cs="Arial"/>
                <w:sz w:val="16"/>
                <w:szCs w:val="16"/>
              </w:rPr>
              <w:t>Programme 28</w:t>
            </w:r>
          </w:p>
        </w:tc>
      </w:tr>
      <w:tr w:rsidR="002842C3" w:rsidRPr="00A32AF4" w:rsidTr="00052D5E">
        <w:trPr>
          <w:cantSplit/>
        </w:trPr>
        <w:tc>
          <w:tcPr>
            <w:tcW w:w="1770" w:type="pct"/>
            <w:shd w:val="clear" w:color="auto" w:fill="auto"/>
            <w:tcMar>
              <w:top w:w="113" w:type="dxa"/>
              <w:bottom w:w="113" w:type="dxa"/>
            </w:tcMar>
          </w:tcPr>
          <w:p w:rsidR="002842C3" w:rsidRPr="00A32AF4" w:rsidRDefault="002842C3" w:rsidP="00DC0553">
            <w:pPr>
              <w:rPr>
                <w:rFonts w:cs="Arial"/>
                <w:sz w:val="16"/>
                <w:szCs w:val="16"/>
              </w:rPr>
            </w:pPr>
          </w:p>
        </w:tc>
        <w:tc>
          <w:tcPr>
            <w:tcW w:w="2161" w:type="pct"/>
            <w:shd w:val="clear" w:color="auto" w:fill="auto"/>
            <w:tcMar>
              <w:top w:w="113" w:type="dxa"/>
              <w:bottom w:w="113" w:type="dxa"/>
            </w:tcMar>
          </w:tcPr>
          <w:p w:rsidR="002842C3" w:rsidRPr="00A32AF4" w:rsidRDefault="002842C3" w:rsidP="00DC0553">
            <w:pPr>
              <w:rPr>
                <w:rFonts w:cs="Arial"/>
                <w:sz w:val="16"/>
                <w:szCs w:val="16"/>
              </w:rPr>
            </w:pPr>
            <w:r w:rsidRPr="00A32AF4">
              <w:rPr>
                <w:rFonts w:cs="Arial"/>
                <w:sz w:val="16"/>
                <w:szCs w:val="16"/>
              </w:rPr>
              <w:t>Pourcentage de demandes d</w:t>
            </w:r>
            <w:r w:rsidR="00E2055A" w:rsidRPr="00A32AF4">
              <w:rPr>
                <w:rFonts w:cs="Arial"/>
                <w:sz w:val="16"/>
                <w:szCs w:val="16"/>
              </w:rPr>
              <w:t>’</w:t>
            </w:r>
            <w:r w:rsidRPr="00A32AF4">
              <w:rPr>
                <w:rFonts w:cs="Arial"/>
                <w:sz w:val="16"/>
                <w:szCs w:val="16"/>
              </w:rPr>
              <w:t>assistance en matière de sécurité reçues dans les délais pour des conférences ou des manifestations organisées à Genève ou à l</w:t>
            </w:r>
            <w:r w:rsidR="00E2055A" w:rsidRPr="00A32AF4">
              <w:rPr>
                <w:rFonts w:cs="Arial"/>
                <w:sz w:val="16"/>
                <w:szCs w:val="16"/>
              </w:rPr>
              <w:t>’</w:t>
            </w:r>
            <w:r w:rsidRPr="00A32AF4">
              <w:rPr>
                <w:rFonts w:cs="Arial"/>
                <w:sz w:val="16"/>
                <w:szCs w:val="16"/>
              </w:rPr>
              <w:t>extérieur.</w:t>
            </w:r>
          </w:p>
        </w:tc>
        <w:tc>
          <w:tcPr>
            <w:tcW w:w="1069" w:type="pct"/>
            <w:shd w:val="clear" w:color="auto" w:fill="FFFFFF"/>
            <w:tcMar>
              <w:top w:w="113" w:type="dxa"/>
              <w:bottom w:w="113" w:type="dxa"/>
            </w:tcMar>
          </w:tcPr>
          <w:p w:rsidR="002842C3" w:rsidRPr="00A32AF4" w:rsidRDefault="002842C3" w:rsidP="00DC0553">
            <w:pPr>
              <w:jc w:val="center"/>
              <w:rPr>
                <w:rFonts w:cs="Arial"/>
                <w:sz w:val="16"/>
                <w:szCs w:val="16"/>
              </w:rPr>
            </w:pPr>
            <w:r w:rsidRPr="00A32AF4">
              <w:rPr>
                <w:rFonts w:cs="Arial"/>
                <w:sz w:val="16"/>
                <w:szCs w:val="16"/>
              </w:rPr>
              <w:t>Programme 28</w:t>
            </w:r>
          </w:p>
        </w:tc>
      </w:tr>
      <w:tr w:rsidR="00294E8A" w:rsidRPr="00A32AF4" w:rsidTr="00052D5E">
        <w:trPr>
          <w:cantSplit/>
        </w:trPr>
        <w:tc>
          <w:tcPr>
            <w:tcW w:w="1770" w:type="pct"/>
            <w:shd w:val="clear" w:color="auto" w:fill="auto"/>
            <w:tcMar>
              <w:top w:w="113" w:type="dxa"/>
              <w:bottom w:w="113" w:type="dxa"/>
            </w:tcMar>
          </w:tcPr>
          <w:p w:rsidR="00294E8A" w:rsidRPr="00A32AF4" w:rsidRDefault="00294E8A" w:rsidP="00DC0553">
            <w:pPr>
              <w:rPr>
                <w:rFonts w:cs="Arial"/>
                <w:sz w:val="16"/>
                <w:szCs w:val="16"/>
              </w:rPr>
            </w:pPr>
            <w:r w:rsidRPr="00A32AF4">
              <w:rPr>
                <w:rFonts w:cs="Arial"/>
                <w:sz w:val="16"/>
                <w:szCs w:val="16"/>
              </w:rPr>
              <w:t xml:space="preserve">IX.8 </w:t>
            </w:r>
            <w:r w:rsidRPr="00A32AF4">
              <w:rPr>
                <w:sz w:val="16"/>
                <w:szCs w:val="16"/>
              </w:rPr>
              <w:t>Renforcement de l</w:t>
            </w:r>
            <w:r w:rsidR="00E2055A" w:rsidRPr="00A32AF4">
              <w:rPr>
                <w:sz w:val="16"/>
                <w:szCs w:val="16"/>
              </w:rPr>
              <w:t>’</w:t>
            </w:r>
            <w:r w:rsidRPr="00A32AF4">
              <w:rPr>
                <w:sz w:val="16"/>
                <w:szCs w:val="16"/>
              </w:rPr>
              <w:t>obligation redditionnelle, de l</w:t>
            </w:r>
            <w:r w:rsidR="00E2055A" w:rsidRPr="00A32AF4">
              <w:rPr>
                <w:sz w:val="16"/>
                <w:szCs w:val="16"/>
              </w:rPr>
              <w:t>’</w:t>
            </w:r>
            <w:r w:rsidRPr="00A32AF4">
              <w:rPr>
                <w:sz w:val="16"/>
                <w:szCs w:val="16"/>
              </w:rPr>
              <w:t>apprentissage institutionnel, de l</w:t>
            </w:r>
            <w:r w:rsidR="00E2055A" w:rsidRPr="00A32AF4">
              <w:rPr>
                <w:sz w:val="16"/>
                <w:szCs w:val="16"/>
              </w:rPr>
              <w:t>’</w:t>
            </w:r>
            <w:r w:rsidRPr="00A32AF4">
              <w:rPr>
                <w:sz w:val="16"/>
                <w:szCs w:val="16"/>
              </w:rPr>
              <w:t>optimisation des ressources financières, de l</w:t>
            </w:r>
            <w:r w:rsidR="00E2055A" w:rsidRPr="00A32AF4">
              <w:rPr>
                <w:sz w:val="16"/>
                <w:szCs w:val="16"/>
              </w:rPr>
              <w:t>’</w:t>
            </w:r>
            <w:r w:rsidRPr="00A32AF4">
              <w:rPr>
                <w:sz w:val="16"/>
                <w:szCs w:val="16"/>
              </w:rPr>
              <w:t>administration, du contrôle interne et de la gestion institutionnelle avec le concours d</w:t>
            </w:r>
            <w:r w:rsidR="00E2055A" w:rsidRPr="00A32AF4">
              <w:rPr>
                <w:sz w:val="16"/>
                <w:szCs w:val="16"/>
              </w:rPr>
              <w:t>’</w:t>
            </w:r>
            <w:r w:rsidRPr="00A32AF4">
              <w:rPr>
                <w:sz w:val="16"/>
                <w:szCs w:val="16"/>
              </w:rPr>
              <w:t>une supervision indépendante efficace</w:t>
            </w:r>
          </w:p>
        </w:tc>
        <w:tc>
          <w:tcPr>
            <w:tcW w:w="2161" w:type="pct"/>
            <w:shd w:val="clear" w:color="auto" w:fill="auto"/>
            <w:tcMar>
              <w:top w:w="113" w:type="dxa"/>
              <w:bottom w:w="113" w:type="dxa"/>
            </w:tcMar>
          </w:tcPr>
          <w:p w:rsidR="00294E8A" w:rsidRPr="00A32AF4" w:rsidRDefault="00294E8A" w:rsidP="00DC0553">
            <w:pPr>
              <w:ind w:firstLineChars="13" w:firstLine="21"/>
              <w:rPr>
                <w:sz w:val="16"/>
                <w:szCs w:val="16"/>
              </w:rPr>
            </w:pPr>
            <w:r w:rsidRPr="00A32AF4">
              <w:rPr>
                <w:caps/>
                <w:sz w:val="16"/>
                <w:szCs w:val="16"/>
              </w:rPr>
              <w:t>INDÉPENDaNCE</w:t>
            </w:r>
            <w:r w:rsidRPr="00A32AF4">
              <w:rPr>
                <w:sz w:val="16"/>
                <w:szCs w:val="16"/>
              </w:rPr>
              <w:t xml:space="preserve"> – Aucune interférence et indépendance perçue par les principales parties prenantes</w:t>
            </w:r>
          </w:p>
        </w:tc>
        <w:tc>
          <w:tcPr>
            <w:tcW w:w="1069" w:type="pct"/>
            <w:shd w:val="clear" w:color="auto" w:fill="FFFFFF"/>
            <w:tcMar>
              <w:top w:w="113" w:type="dxa"/>
              <w:bottom w:w="113" w:type="dxa"/>
            </w:tcMar>
          </w:tcPr>
          <w:p w:rsidR="00294E8A" w:rsidRPr="00A32AF4" w:rsidRDefault="00294E8A" w:rsidP="00DC0553">
            <w:pPr>
              <w:jc w:val="center"/>
              <w:rPr>
                <w:rFonts w:cs="Arial"/>
                <w:sz w:val="16"/>
                <w:szCs w:val="16"/>
                <w:lang w:bidi="th-TH"/>
              </w:rPr>
            </w:pPr>
            <w:r w:rsidRPr="00A32AF4">
              <w:rPr>
                <w:rFonts w:cs="Arial"/>
                <w:sz w:val="16"/>
                <w:szCs w:val="16"/>
              </w:rPr>
              <w:t>Programme 26</w:t>
            </w:r>
          </w:p>
        </w:tc>
      </w:tr>
      <w:tr w:rsidR="0053085A" w:rsidRPr="00A32AF4" w:rsidTr="00052D5E">
        <w:trPr>
          <w:cantSplit/>
        </w:trPr>
        <w:tc>
          <w:tcPr>
            <w:tcW w:w="1770" w:type="pct"/>
            <w:shd w:val="clear" w:color="auto" w:fill="auto"/>
            <w:tcMar>
              <w:top w:w="113" w:type="dxa"/>
              <w:bottom w:w="113" w:type="dxa"/>
            </w:tcMar>
          </w:tcPr>
          <w:p w:rsidR="0053085A" w:rsidRPr="00A32AF4" w:rsidRDefault="0053085A" w:rsidP="00DC0553">
            <w:pPr>
              <w:rPr>
                <w:rFonts w:cs="Arial"/>
                <w:sz w:val="16"/>
                <w:szCs w:val="16"/>
              </w:rPr>
            </w:pPr>
          </w:p>
        </w:tc>
        <w:tc>
          <w:tcPr>
            <w:tcW w:w="2161" w:type="pct"/>
            <w:shd w:val="clear" w:color="auto" w:fill="auto"/>
            <w:tcMar>
              <w:top w:w="113" w:type="dxa"/>
              <w:bottom w:w="113" w:type="dxa"/>
            </w:tcMar>
          </w:tcPr>
          <w:p w:rsidR="0053085A" w:rsidRPr="00A32AF4" w:rsidRDefault="00294E8A" w:rsidP="00DC0553">
            <w:pPr>
              <w:rPr>
                <w:rFonts w:cs="Arial"/>
                <w:sz w:val="16"/>
                <w:szCs w:val="16"/>
              </w:rPr>
            </w:pPr>
            <w:r w:rsidRPr="00A32AF4">
              <w:rPr>
                <w:caps/>
                <w:sz w:val="16"/>
                <w:szCs w:val="16"/>
              </w:rPr>
              <w:t>EFFicacitÉ</w:t>
            </w:r>
            <w:r w:rsidRPr="00A32AF4">
              <w:rPr>
                <w:sz w:val="16"/>
                <w:szCs w:val="16"/>
              </w:rPr>
              <w:t xml:space="preserve"> – Pourcentage des travaux qui couvrent des domaines à haut risque, de la plus haute importance, en conformité avec la stratégie de l</w:t>
            </w:r>
            <w:r w:rsidR="00E2055A" w:rsidRPr="00A32AF4">
              <w:rPr>
                <w:sz w:val="16"/>
                <w:szCs w:val="16"/>
              </w:rPr>
              <w:t>’</w:t>
            </w:r>
            <w:r w:rsidRPr="00A32AF4">
              <w:rPr>
                <w:sz w:val="16"/>
                <w:szCs w:val="16"/>
              </w:rPr>
              <w:t>Organisation</w:t>
            </w:r>
          </w:p>
        </w:tc>
        <w:tc>
          <w:tcPr>
            <w:tcW w:w="1069" w:type="pct"/>
            <w:shd w:val="clear" w:color="auto" w:fill="FFFFFF"/>
            <w:tcMar>
              <w:top w:w="113" w:type="dxa"/>
              <w:bottom w:w="113" w:type="dxa"/>
            </w:tcMar>
          </w:tcPr>
          <w:p w:rsidR="0053085A" w:rsidRPr="00A32AF4" w:rsidRDefault="0053085A" w:rsidP="00DC0553">
            <w:pPr>
              <w:jc w:val="center"/>
              <w:rPr>
                <w:rFonts w:cs="Arial"/>
                <w:sz w:val="16"/>
                <w:szCs w:val="16"/>
                <w:lang w:bidi="th-TH"/>
              </w:rPr>
            </w:pPr>
            <w:r w:rsidRPr="00A32AF4">
              <w:rPr>
                <w:rFonts w:cs="Arial"/>
                <w:sz w:val="16"/>
                <w:szCs w:val="16"/>
              </w:rPr>
              <w:t>Programme 26</w:t>
            </w:r>
          </w:p>
        </w:tc>
      </w:tr>
      <w:tr w:rsidR="0053085A" w:rsidRPr="00A32AF4" w:rsidTr="00052D5E">
        <w:trPr>
          <w:cantSplit/>
        </w:trPr>
        <w:tc>
          <w:tcPr>
            <w:tcW w:w="1770" w:type="pct"/>
            <w:shd w:val="clear" w:color="auto" w:fill="auto"/>
            <w:tcMar>
              <w:top w:w="113" w:type="dxa"/>
              <w:bottom w:w="113" w:type="dxa"/>
            </w:tcMar>
          </w:tcPr>
          <w:p w:rsidR="0053085A" w:rsidRPr="00A32AF4" w:rsidRDefault="0053085A" w:rsidP="00DC0553">
            <w:pPr>
              <w:rPr>
                <w:rFonts w:cs="Arial"/>
                <w:sz w:val="16"/>
                <w:szCs w:val="16"/>
              </w:rPr>
            </w:pPr>
          </w:p>
        </w:tc>
        <w:tc>
          <w:tcPr>
            <w:tcW w:w="2161" w:type="pct"/>
            <w:shd w:val="clear" w:color="auto" w:fill="auto"/>
            <w:tcMar>
              <w:top w:w="113" w:type="dxa"/>
              <w:bottom w:w="113" w:type="dxa"/>
            </w:tcMar>
          </w:tcPr>
          <w:p w:rsidR="0053085A" w:rsidRPr="00A32AF4" w:rsidRDefault="00294E8A" w:rsidP="00DC0553">
            <w:pPr>
              <w:rPr>
                <w:rFonts w:cs="Arial"/>
                <w:sz w:val="16"/>
                <w:szCs w:val="16"/>
              </w:rPr>
            </w:pPr>
            <w:r w:rsidRPr="00A32AF4">
              <w:rPr>
                <w:sz w:val="16"/>
                <w:szCs w:val="16"/>
              </w:rPr>
              <w:t>EFFICIENCE – les rapports de la DSI sont établis dans les délais et contiennent des recommandations précises, mesurables, réalistes, pertinentes et assorties de délais</w:t>
            </w:r>
          </w:p>
        </w:tc>
        <w:tc>
          <w:tcPr>
            <w:tcW w:w="1069" w:type="pct"/>
            <w:shd w:val="clear" w:color="auto" w:fill="FFFFFF"/>
            <w:tcMar>
              <w:top w:w="113" w:type="dxa"/>
              <w:bottom w:w="113" w:type="dxa"/>
            </w:tcMar>
          </w:tcPr>
          <w:p w:rsidR="0053085A" w:rsidRPr="00A32AF4" w:rsidRDefault="0053085A" w:rsidP="00DC0553">
            <w:pPr>
              <w:jc w:val="center"/>
              <w:rPr>
                <w:rFonts w:cs="Arial"/>
                <w:sz w:val="16"/>
                <w:szCs w:val="16"/>
                <w:lang w:bidi="th-TH"/>
              </w:rPr>
            </w:pPr>
            <w:r w:rsidRPr="00A32AF4">
              <w:rPr>
                <w:rFonts w:cs="Arial"/>
                <w:sz w:val="16"/>
                <w:szCs w:val="16"/>
              </w:rPr>
              <w:t>Programme 26</w:t>
            </w:r>
          </w:p>
        </w:tc>
      </w:tr>
      <w:tr w:rsidR="00294E8A" w:rsidRPr="00A32AF4" w:rsidTr="00052D5E">
        <w:trPr>
          <w:cantSplit/>
        </w:trPr>
        <w:tc>
          <w:tcPr>
            <w:tcW w:w="1770" w:type="pct"/>
            <w:shd w:val="clear" w:color="auto" w:fill="auto"/>
            <w:tcMar>
              <w:top w:w="113" w:type="dxa"/>
              <w:bottom w:w="113" w:type="dxa"/>
            </w:tcMar>
          </w:tcPr>
          <w:p w:rsidR="00294E8A" w:rsidRPr="00A32AF4" w:rsidRDefault="00294E8A" w:rsidP="00DC0553">
            <w:pPr>
              <w:rPr>
                <w:rFonts w:cs="Arial"/>
                <w:sz w:val="16"/>
                <w:szCs w:val="16"/>
              </w:rPr>
            </w:pPr>
          </w:p>
        </w:tc>
        <w:tc>
          <w:tcPr>
            <w:tcW w:w="2161" w:type="pct"/>
            <w:shd w:val="clear" w:color="auto" w:fill="auto"/>
            <w:tcMar>
              <w:top w:w="113" w:type="dxa"/>
              <w:bottom w:w="113" w:type="dxa"/>
            </w:tcMar>
          </w:tcPr>
          <w:p w:rsidR="00294E8A" w:rsidRPr="00A32AF4" w:rsidRDefault="00294E8A" w:rsidP="00DC0553">
            <w:pPr>
              <w:rPr>
                <w:sz w:val="16"/>
                <w:szCs w:val="16"/>
              </w:rPr>
            </w:pPr>
            <w:r w:rsidRPr="00A32AF4">
              <w:rPr>
                <w:sz w:val="16"/>
                <w:szCs w:val="16"/>
              </w:rPr>
              <w:t>PERTINENCE, VALEUR AJOUTÉE &amp; ADMINISTRATION – Économies tangibles ou améliorations concrètes apportées aux processus et systèmes opérationnels</w:t>
            </w:r>
          </w:p>
        </w:tc>
        <w:tc>
          <w:tcPr>
            <w:tcW w:w="1069" w:type="pct"/>
            <w:shd w:val="clear" w:color="auto" w:fill="FFFFFF"/>
            <w:tcMar>
              <w:top w:w="113" w:type="dxa"/>
              <w:bottom w:w="113" w:type="dxa"/>
            </w:tcMar>
          </w:tcPr>
          <w:p w:rsidR="00294E8A" w:rsidRPr="00A32AF4" w:rsidRDefault="00294E8A" w:rsidP="00DC0553">
            <w:pPr>
              <w:jc w:val="center"/>
              <w:rPr>
                <w:rFonts w:cs="Arial"/>
                <w:sz w:val="16"/>
                <w:szCs w:val="16"/>
                <w:lang w:bidi="th-TH"/>
              </w:rPr>
            </w:pPr>
            <w:r w:rsidRPr="00A32AF4">
              <w:rPr>
                <w:rFonts w:cs="Arial"/>
                <w:sz w:val="16"/>
                <w:szCs w:val="16"/>
              </w:rPr>
              <w:t>Programme 26</w:t>
            </w:r>
          </w:p>
        </w:tc>
      </w:tr>
      <w:tr w:rsidR="00294E8A" w:rsidRPr="00A32AF4" w:rsidTr="00052D5E">
        <w:trPr>
          <w:cantSplit/>
        </w:trPr>
        <w:tc>
          <w:tcPr>
            <w:tcW w:w="1770" w:type="pct"/>
            <w:shd w:val="clear" w:color="auto" w:fill="auto"/>
            <w:tcMar>
              <w:top w:w="113" w:type="dxa"/>
              <w:bottom w:w="113" w:type="dxa"/>
            </w:tcMar>
          </w:tcPr>
          <w:p w:rsidR="00294E8A" w:rsidRPr="00A32AF4" w:rsidRDefault="00294E8A" w:rsidP="00DC0553">
            <w:pPr>
              <w:rPr>
                <w:rFonts w:cs="Arial"/>
                <w:sz w:val="16"/>
                <w:szCs w:val="16"/>
              </w:rPr>
            </w:pPr>
          </w:p>
        </w:tc>
        <w:tc>
          <w:tcPr>
            <w:tcW w:w="2161" w:type="pct"/>
            <w:shd w:val="clear" w:color="auto" w:fill="auto"/>
            <w:tcMar>
              <w:top w:w="113" w:type="dxa"/>
              <w:bottom w:w="113" w:type="dxa"/>
            </w:tcMar>
          </w:tcPr>
          <w:p w:rsidR="00294E8A" w:rsidRPr="00A32AF4" w:rsidRDefault="00294E8A" w:rsidP="00DC0553">
            <w:pPr>
              <w:rPr>
                <w:sz w:val="16"/>
                <w:szCs w:val="16"/>
              </w:rPr>
            </w:pPr>
            <w:r w:rsidRPr="00A32AF4">
              <w:rPr>
                <w:sz w:val="16"/>
                <w:szCs w:val="16"/>
              </w:rPr>
              <w:t>APPRENTISSAGE INSTITUTIONNEL – Assimilation des enseignements et recommandations des processus de supervision</w:t>
            </w:r>
          </w:p>
        </w:tc>
        <w:tc>
          <w:tcPr>
            <w:tcW w:w="1069" w:type="pct"/>
            <w:shd w:val="clear" w:color="auto" w:fill="FFFFFF"/>
            <w:tcMar>
              <w:top w:w="113" w:type="dxa"/>
              <w:bottom w:w="113" w:type="dxa"/>
            </w:tcMar>
          </w:tcPr>
          <w:p w:rsidR="00294E8A" w:rsidRPr="00A32AF4" w:rsidRDefault="00294E8A" w:rsidP="00DC0553">
            <w:pPr>
              <w:jc w:val="center"/>
              <w:rPr>
                <w:rFonts w:cs="Arial"/>
                <w:sz w:val="16"/>
                <w:szCs w:val="16"/>
                <w:lang w:bidi="th-TH"/>
              </w:rPr>
            </w:pPr>
            <w:r w:rsidRPr="00A32AF4">
              <w:rPr>
                <w:rFonts w:cs="Arial"/>
                <w:sz w:val="16"/>
                <w:szCs w:val="16"/>
              </w:rPr>
              <w:t>Programme 26</w:t>
            </w:r>
          </w:p>
        </w:tc>
      </w:tr>
    </w:tbl>
    <w:p w:rsidR="00F93B76" w:rsidRPr="00A32AF4" w:rsidRDefault="00F93B76" w:rsidP="00DC0553">
      <w:pPr>
        <w:jc w:val="both"/>
      </w:pPr>
    </w:p>
    <w:p w:rsidR="00F93B76" w:rsidRPr="00A32AF4" w:rsidRDefault="0053085A" w:rsidP="00DC0553">
      <w:pPr>
        <w:rPr>
          <w:lang w:eastAsia="da-DK"/>
        </w:rPr>
      </w:pPr>
      <w:r w:rsidRPr="00A32AF4">
        <w:rPr>
          <w:lang w:eastAsia="da-DK"/>
        </w:rPr>
        <w:br w:type="page"/>
      </w:r>
    </w:p>
    <w:p w:rsidR="00F93B76" w:rsidRPr="00A32AF4" w:rsidRDefault="00E325C7" w:rsidP="00FB1F61">
      <w:pPr>
        <w:pStyle w:val="Heading3"/>
        <w:rPr>
          <w:iCs/>
        </w:rPr>
      </w:pPr>
      <w:bookmarkStart w:id="61" w:name="_Toc431555466"/>
      <w:r w:rsidRPr="00A32AF4">
        <w:t>Programme </w:t>
      </w:r>
      <w:r w:rsidR="0053085A" w:rsidRPr="00A32AF4">
        <w:t>21</w:t>
      </w:r>
      <w:r w:rsidR="0053085A" w:rsidRPr="00A32AF4">
        <w:tab/>
        <w:t>‎Direction générale</w:t>
      </w:r>
      <w:bookmarkEnd w:id="61"/>
    </w:p>
    <w:p w:rsidR="00F93B76" w:rsidRPr="00A32AF4" w:rsidRDefault="00F93B76" w:rsidP="00DC0553"/>
    <w:p w:rsidR="00F93B76" w:rsidRPr="00A32AF4" w:rsidRDefault="00F93B76" w:rsidP="00DC0553"/>
    <w:p w:rsidR="00F93B76" w:rsidRPr="00A32AF4" w:rsidRDefault="0053085A" w:rsidP="00DC0553">
      <w:r w:rsidRPr="00A32AF4">
        <w:t>CONTEXTE DE PLANIFICATION</w:t>
      </w:r>
    </w:p>
    <w:p w:rsidR="00F93B76" w:rsidRPr="00A32AF4" w:rsidRDefault="00F93B76" w:rsidP="00DC0553"/>
    <w:p w:rsidR="00F93B76" w:rsidRPr="00A32AF4" w:rsidRDefault="0053085A" w:rsidP="00DC0553">
      <w:pPr>
        <w:numPr>
          <w:ilvl w:val="0"/>
          <w:numId w:val="31"/>
        </w:numPr>
        <w:jc w:val="both"/>
        <w:rPr>
          <w:rFonts w:cs="Arial"/>
        </w:rPr>
      </w:pPr>
      <w:r w:rsidRPr="00A32AF4">
        <w:rPr>
          <w:rFonts w:cs="Arial"/>
        </w:rPr>
        <w:t>Le programme Direction générale de l</w:t>
      </w:r>
      <w:r w:rsidR="00E2055A" w:rsidRPr="00A32AF4">
        <w:rPr>
          <w:rFonts w:cs="Arial"/>
        </w:rPr>
        <w:t>’</w:t>
      </w:r>
      <w:r w:rsidRPr="00A32AF4">
        <w:rPr>
          <w:rFonts w:cs="Arial"/>
        </w:rPr>
        <w:t>OMPI donne l</w:t>
      </w:r>
      <w:r w:rsidR="00E2055A" w:rsidRPr="00A32AF4">
        <w:rPr>
          <w:rFonts w:cs="Arial"/>
        </w:rPr>
        <w:t>’</w:t>
      </w:r>
      <w:r w:rsidRPr="00A32AF4">
        <w:rPr>
          <w:rFonts w:cs="Arial"/>
        </w:rPr>
        <w:t>orientation stratégique permettant à l</w:t>
      </w:r>
      <w:r w:rsidR="00E2055A" w:rsidRPr="00A32AF4">
        <w:rPr>
          <w:rFonts w:cs="Arial"/>
        </w:rPr>
        <w:t>’</w:t>
      </w:r>
      <w:r w:rsidRPr="00A32AF4">
        <w:rPr>
          <w:rFonts w:cs="Arial"/>
        </w:rPr>
        <w:t>Organisation de tendre vers la réalisation de ses objectifs stratégiques.</w:t>
      </w:r>
      <w:r w:rsidRPr="00A32AF4">
        <w:t xml:space="preserve">  </w:t>
      </w:r>
      <w:r w:rsidRPr="00A32AF4">
        <w:rPr>
          <w:rFonts w:cs="Arial"/>
        </w:rPr>
        <w:t>Le programme a également pour vocation d</w:t>
      </w:r>
      <w:r w:rsidR="00E2055A" w:rsidRPr="00A32AF4">
        <w:rPr>
          <w:rFonts w:cs="Arial"/>
        </w:rPr>
        <w:t>’</w:t>
      </w:r>
      <w:r w:rsidRPr="00A32AF4">
        <w:rPr>
          <w:rFonts w:cs="Arial"/>
        </w:rPr>
        <w:t>impulser le changement requis pour permettre à l</w:t>
      </w:r>
      <w:r w:rsidR="00E2055A" w:rsidRPr="00A32AF4">
        <w:rPr>
          <w:rFonts w:cs="Arial"/>
        </w:rPr>
        <w:t>’</w:t>
      </w:r>
      <w:r w:rsidRPr="00A32AF4">
        <w:rPr>
          <w:rFonts w:cs="Arial"/>
        </w:rPr>
        <w:t>OMPI de s</w:t>
      </w:r>
      <w:r w:rsidR="00E2055A" w:rsidRPr="00A32AF4">
        <w:rPr>
          <w:rFonts w:cs="Arial"/>
        </w:rPr>
        <w:t>’</w:t>
      </w:r>
      <w:r w:rsidRPr="00A32AF4">
        <w:rPr>
          <w:rFonts w:cs="Arial"/>
        </w:rPr>
        <w:t>acquitter efficacement de son mandat, dans un environnement extérieur en perpétuelle évolution.</w:t>
      </w:r>
    </w:p>
    <w:p w:rsidR="00F93B76" w:rsidRPr="00A32AF4" w:rsidRDefault="00F93B76" w:rsidP="00DC0553">
      <w:pPr>
        <w:jc w:val="both"/>
        <w:rPr>
          <w:rFonts w:cs="Arial"/>
        </w:rPr>
      </w:pPr>
    </w:p>
    <w:p w:rsidR="00F93B76" w:rsidRPr="00A32AF4" w:rsidRDefault="0053085A" w:rsidP="00DC0553">
      <w:pPr>
        <w:numPr>
          <w:ilvl w:val="0"/>
          <w:numId w:val="31"/>
        </w:numPr>
        <w:jc w:val="both"/>
        <w:rPr>
          <w:rFonts w:cs="Arial"/>
        </w:rPr>
      </w:pPr>
      <w:r w:rsidRPr="00A32AF4">
        <w:rPr>
          <w:rFonts w:cs="Arial"/>
        </w:rPr>
        <w:t>L</w:t>
      </w:r>
      <w:r w:rsidR="00E2055A" w:rsidRPr="00A32AF4">
        <w:rPr>
          <w:rFonts w:cs="Arial"/>
        </w:rPr>
        <w:t>’</w:t>
      </w:r>
      <w:r w:rsidRPr="00A32AF4">
        <w:rPr>
          <w:rFonts w:cs="Arial"/>
        </w:rPr>
        <w:t>environnement extérieur dans lequel opère l</w:t>
      </w:r>
      <w:r w:rsidR="00E2055A" w:rsidRPr="00A32AF4">
        <w:rPr>
          <w:rFonts w:cs="Arial"/>
        </w:rPr>
        <w:t>’</w:t>
      </w:r>
      <w:r w:rsidRPr="00A32AF4">
        <w:rPr>
          <w:rFonts w:cs="Arial"/>
        </w:rPr>
        <w:t>OMPI reste exigeant et ne facilite pas l</w:t>
      </w:r>
      <w:r w:rsidR="00E2055A" w:rsidRPr="00A32AF4">
        <w:rPr>
          <w:rFonts w:cs="Arial"/>
        </w:rPr>
        <w:t>’</w:t>
      </w:r>
      <w:r w:rsidRPr="00A32AF4">
        <w:rPr>
          <w:rFonts w:cs="Arial"/>
        </w:rPr>
        <w:t>atteinte des objectifs institutionnels.</w:t>
      </w:r>
      <w:r w:rsidRPr="00A32AF4">
        <w:t xml:space="preserve">  </w:t>
      </w:r>
      <w:r w:rsidRPr="00A32AF4">
        <w:rPr>
          <w:rFonts w:cs="Arial"/>
        </w:rPr>
        <w:t>La reprise économique mondiale a été inégale et des difficultés récentes, comme la volatilité des taux de change, rappellent que l</w:t>
      </w:r>
      <w:r w:rsidR="00E2055A" w:rsidRPr="00A32AF4">
        <w:rPr>
          <w:rFonts w:cs="Arial"/>
        </w:rPr>
        <w:t>’</w:t>
      </w:r>
      <w:r w:rsidRPr="00A32AF4">
        <w:rPr>
          <w:rFonts w:cs="Arial"/>
        </w:rPr>
        <w:t>Organisation doit continuellement faire face à des risques extérieurs.  De plus, la propriété intellectuelle et l</w:t>
      </w:r>
      <w:r w:rsidR="00E2055A" w:rsidRPr="00A32AF4">
        <w:rPr>
          <w:rFonts w:cs="Arial"/>
        </w:rPr>
        <w:t>’</w:t>
      </w:r>
      <w:r w:rsidRPr="00A32AF4">
        <w:rPr>
          <w:rFonts w:cs="Arial"/>
        </w:rPr>
        <w:t>innovation font l</w:t>
      </w:r>
      <w:r w:rsidR="00E2055A" w:rsidRPr="00A32AF4">
        <w:rPr>
          <w:rFonts w:cs="Arial"/>
        </w:rPr>
        <w:t>’</w:t>
      </w:r>
      <w:r w:rsidRPr="00A32AF4">
        <w:rPr>
          <w:rFonts w:cs="Arial"/>
        </w:rPr>
        <w:t>objet d</w:t>
      </w:r>
      <w:r w:rsidR="00E2055A" w:rsidRPr="00A32AF4">
        <w:rPr>
          <w:rFonts w:cs="Arial"/>
        </w:rPr>
        <w:t>’</w:t>
      </w:r>
      <w:r w:rsidRPr="00A32AF4">
        <w:rPr>
          <w:rFonts w:cs="Arial"/>
        </w:rPr>
        <w:t>une concurrence économique très vive qui souligne le rôle essentiel qu</w:t>
      </w:r>
      <w:r w:rsidR="00E2055A" w:rsidRPr="00A32AF4">
        <w:rPr>
          <w:rFonts w:cs="Arial"/>
        </w:rPr>
        <w:t>’</w:t>
      </w:r>
      <w:r w:rsidRPr="00A32AF4">
        <w:rPr>
          <w:rFonts w:cs="Arial"/>
        </w:rPr>
        <w:t>elles continuent de jouer en termes de réussite économique et de développement national.  C</w:t>
      </w:r>
      <w:r w:rsidR="00E2055A" w:rsidRPr="00A32AF4">
        <w:rPr>
          <w:rFonts w:cs="Arial"/>
        </w:rPr>
        <w:t>’</w:t>
      </w:r>
      <w:r w:rsidRPr="00A32AF4">
        <w:rPr>
          <w:rFonts w:cs="Arial"/>
        </w:rPr>
        <w:t>est ce que l</w:t>
      </w:r>
      <w:r w:rsidR="00E2055A" w:rsidRPr="00A32AF4">
        <w:rPr>
          <w:rFonts w:cs="Arial"/>
        </w:rPr>
        <w:t>’</w:t>
      </w:r>
      <w:r w:rsidRPr="00A32AF4">
        <w:rPr>
          <w:rFonts w:cs="Arial"/>
        </w:rPr>
        <w:t>on constate avec la forte demande de soutien et d</w:t>
      </w:r>
      <w:r w:rsidR="00E2055A" w:rsidRPr="00A32AF4">
        <w:rPr>
          <w:rFonts w:cs="Arial"/>
        </w:rPr>
        <w:t>’</w:t>
      </w:r>
      <w:r w:rsidRPr="00A32AF4">
        <w:rPr>
          <w:rFonts w:cs="Arial"/>
        </w:rPr>
        <w:t>assistance de l</w:t>
      </w:r>
      <w:r w:rsidR="00E2055A" w:rsidRPr="00A32AF4">
        <w:rPr>
          <w:rFonts w:cs="Arial"/>
        </w:rPr>
        <w:t>’</w:t>
      </w:r>
      <w:r w:rsidRPr="00A32AF4">
        <w:rPr>
          <w:rFonts w:cs="Arial"/>
        </w:rPr>
        <w:t>OMPI de la part des États membres.  De même, le rythme de l</w:t>
      </w:r>
      <w:r w:rsidR="00E2055A" w:rsidRPr="00A32AF4">
        <w:rPr>
          <w:rFonts w:cs="Arial"/>
        </w:rPr>
        <w:t>’</w:t>
      </w:r>
      <w:r w:rsidRPr="00A32AF4">
        <w:rPr>
          <w:rFonts w:cs="Arial"/>
        </w:rPr>
        <w:t>élaboration de nouvelles normes de propriété intellectuelle contraste avec celui, plus rapide, des mutations technologiques et sociales.  Désormais, l</w:t>
      </w:r>
      <w:r w:rsidR="00E2055A" w:rsidRPr="00A32AF4">
        <w:rPr>
          <w:rFonts w:cs="Arial"/>
        </w:rPr>
        <w:t>’</w:t>
      </w:r>
      <w:r w:rsidRPr="00A32AF4">
        <w:rPr>
          <w:rFonts w:cs="Arial"/>
        </w:rPr>
        <w:t>Organisation devra faire face à de nombreux défis et notamment prévoir une réponse juste et efficace à ces demandes d</w:t>
      </w:r>
      <w:r w:rsidR="00E2055A" w:rsidRPr="00A32AF4">
        <w:rPr>
          <w:rFonts w:cs="Arial"/>
        </w:rPr>
        <w:t>’</w:t>
      </w:r>
      <w:r w:rsidRPr="00A32AF4">
        <w:rPr>
          <w:rFonts w:cs="Arial"/>
        </w:rPr>
        <w:t>assistance, s</w:t>
      </w:r>
      <w:r w:rsidR="00E2055A" w:rsidRPr="00A32AF4">
        <w:rPr>
          <w:rFonts w:cs="Arial"/>
        </w:rPr>
        <w:t>’</w:t>
      </w:r>
      <w:r w:rsidRPr="00A32AF4">
        <w:rPr>
          <w:rFonts w:cs="Arial"/>
        </w:rPr>
        <w:t xml:space="preserve">assurer que les services générateurs de </w:t>
      </w:r>
      <w:r w:rsidR="00154EC2" w:rsidRPr="00A32AF4">
        <w:rPr>
          <w:rFonts w:cs="Arial"/>
        </w:rPr>
        <w:t>recette</w:t>
      </w:r>
      <w:r w:rsidRPr="00A32AF4">
        <w:rPr>
          <w:rFonts w:cs="Arial"/>
        </w:rPr>
        <w:t>s de l</w:t>
      </w:r>
      <w:r w:rsidR="00E2055A" w:rsidRPr="00A32AF4">
        <w:rPr>
          <w:rFonts w:cs="Arial"/>
        </w:rPr>
        <w:t>’</w:t>
      </w:r>
      <w:r w:rsidRPr="00A32AF4">
        <w:rPr>
          <w:rFonts w:cs="Arial"/>
        </w:rPr>
        <w:t>Organisation disposent des ressources nécessaires, qu</w:t>
      </w:r>
      <w:r w:rsidR="00E2055A" w:rsidRPr="00A32AF4">
        <w:rPr>
          <w:rFonts w:cs="Arial"/>
        </w:rPr>
        <w:t>’</w:t>
      </w:r>
      <w:r w:rsidRPr="00A32AF4">
        <w:rPr>
          <w:rFonts w:cs="Arial"/>
        </w:rPr>
        <w:t>ils sont réformés et demeurent compétitifs, et créer un espace stimulant dans lequel les États membres peuvent se réunir et trouver un consensus sur le cadre normatif.</w:t>
      </w:r>
    </w:p>
    <w:p w:rsidR="00F93B76" w:rsidRPr="00A32AF4" w:rsidRDefault="00F93B76" w:rsidP="00DC0553"/>
    <w:p w:rsidR="00F93B76" w:rsidRPr="00A32AF4" w:rsidRDefault="00F93B76" w:rsidP="00DC0553"/>
    <w:p w:rsidR="00F93B76" w:rsidRPr="00A32AF4" w:rsidRDefault="0053085A" w:rsidP="00DC0553">
      <w:r w:rsidRPr="00A32AF4">
        <w:t>STRATÉGIES DE MISE EN ŒUVRE</w:t>
      </w:r>
    </w:p>
    <w:p w:rsidR="00F93B76" w:rsidRPr="00A32AF4" w:rsidRDefault="00F93B76" w:rsidP="00DC0553"/>
    <w:p w:rsidR="00F93B76" w:rsidRPr="00A32AF4" w:rsidRDefault="0053085A" w:rsidP="00DC0553">
      <w:pPr>
        <w:numPr>
          <w:ilvl w:val="0"/>
          <w:numId w:val="31"/>
        </w:numPr>
        <w:jc w:val="both"/>
        <w:rPr>
          <w:rFonts w:cs="Arial"/>
        </w:rPr>
      </w:pPr>
      <w:r w:rsidRPr="00A32AF4">
        <w:rPr>
          <w:rFonts w:cs="Arial"/>
        </w:rPr>
        <w:t>Pour que l</w:t>
      </w:r>
      <w:r w:rsidR="00E2055A" w:rsidRPr="00A32AF4">
        <w:rPr>
          <w:rFonts w:cs="Arial"/>
        </w:rPr>
        <w:t>’</w:t>
      </w:r>
      <w:r w:rsidRPr="00A32AF4">
        <w:rPr>
          <w:rFonts w:cs="Arial"/>
        </w:rPr>
        <w:t>accent soit mis en permanence sur la propriété intellectuelle et que les intérêts de chacun soient respectés dans le contexte actuel, le programme devra continuer à s</w:t>
      </w:r>
      <w:r w:rsidR="00E2055A" w:rsidRPr="00A32AF4">
        <w:rPr>
          <w:rFonts w:cs="Arial"/>
        </w:rPr>
        <w:t>’</w:t>
      </w:r>
      <w:r w:rsidRPr="00A32AF4">
        <w:rPr>
          <w:rFonts w:cs="Arial"/>
        </w:rPr>
        <w:t>efforcer de renforcer, sur une base de confiance et de transparence, la communication avec les États membres et les parties prenantes, afin de faciliter l</w:t>
      </w:r>
      <w:r w:rsidR="00E2055A" w:rsidRPr="00A32AF4">
        <w:rPr>
          <w:rFonts w:cs="Arial"/>
        </w:rPr>
        <w:t>’</w:t>
      </w:r>
      <w:r w:rsidRPr="00A32AF4">
        <w:rPr>
          <w:rFonts w:cs="Arial"/>
        </w:rPr>
        <w:t>obtention d</w:t>
      </w:r>
      <w:r w:rsidR="00E2055A" w:rsidRPr="00A32AF4">
        <w:rPr>
          <w:rFonts w:cs="Arial"/>
        </w:rPr>
        <w:t>’</w:t>
      </w:r>
      <w:r w:rsidRPr="00A32AF4">
        <w:rPr>
          <w:rFonts w:cs="Arial"/>
        </w:rPr>
        <w:t>un consensus sur la progression des objectifs stratégiques.</w:t>
      </w:r>
    </w:p>
    <w:p w:rsidR="00F93B76" w:rsidRPr="00A32AF4" w:rsidRDefault="00F93B76" w:rsidP="00DC0553">
      <w:pPr>
        <w:jc w:val="both"/>
        <w:rPr>
          <w:rFonts w:cs="Arial"/>
        </w:rPr>
      </w:pPr>
    </w:p>
    <w:p w:rsidR="00F93B76" w:rsidRPr="00A32AF4" w:rsidRDefault="0053085A" w:rsidP="00DC0553">
      <w:pPr>
        <w:numPr>
          <w:ilvl w:val="0"/>
          <w:numId w:val="31"/>
        </w:numPr>
        <w:jc w:val="both"/>
        <w:rPr>
          <w:rFonts w:cs="Arial"/>
        </w:rPr>
      </w:pPr>
      <w:r w:rsidRPr="00A32AF4">
        <w:rPr>
          <w:rFonts w:cs="Arial"/>
        </w:rPr>
        <w:t>Le programme défendra et soutiendra la mise en œuvre des stratégies et des initiatives qui visent à assurer une direction forte, intégrée et fiable tournée vers les résultats, et à rendre plus transparente la gestion.  À cet égard, les tâches prévues dans le programme viseront dans une large mesure à assurer que les bureaux extérieurs sont efficaces et qu</w:t>
      </w:r>
      <w:r w:rsidR="00E2055A" w:rsidRPr="00A32AF4">
        <w:rPr>
          <w:rFonts w:cs="Arial"/>
        </w:rPr>
        <w:t>’</w:t>
      </w:r>
      <w:r w:rsidRPr="00A32AF4">
        <w:rPr>
          <w:rFonts w:cs="Arial"/>
        </w:rPr>
        <w:t>ils participent pleinement aux efforts déployés par l</w:t>
      </w:r>
      <w:r w:rsidR="00E2055A" w:rsidRPr="00A32AF4">
        <w:rPr>
          <w:rFonts w:cs="Arial"/>
        </w:rPr>
        <w:t>’</w:t>
      </w:r>
      <w:r w:rsidRPr="00A32AF4">
        <w:rPr>
          <w:rFonts w:cs="Arial"/>
        </w:rPr>
        <w:t>Organisation aux fins de la réalisation des objectifs stratégiques.  L</w:t>
      </w:r>
      <w:r w:rsidR="00E2055A" w:rsidRPr="00A32AF4">
        <w:rPr>
          <w:rFonts w:cs="Arial"/>
        </w:rPr>
        <w:t>’</w:t>
      </w:r>
      <w:r w:rsidRPr="00A32AF4">
        <w:rPr>
          <w:rFonts w:cs="Arial"/>
        </w:rPr>
        <w:t>accent sera mis notamment sur le renforcement de la résilience de l</w:t>
      </w:r>
      <w:r w:rsidR="00E2055A" w:rsidRPr="00A32AF4">
        <w:rPr>
          <w:rFonts w:cs="Arial"/>
        </w:rPr>
        <w:t>’</w:t>
      </w:r>
      <w:r w:rsidRPr="00A32AF4">
        <w:rPr>
          <w:rFonts w:cs="Arial"/>
        </w:rPr>
        <w:t>Organisation par rapport à de nombreux risques et sur la préservation des principaux processus opérationnels.  Les tâches prévues dans le programme viseront également à mettre en place un environnement de travail productif qui tienne compte des valeurs de l</w:t>
      </w:r>
      <w:r w:rsidR="00E2055A" w:rsidRPr="00A32AF4">
        <w:rPr>
          <w:rFonts w:cs="Arial"/>
        </w:rPr>
        <w:t>’</w:t>
      </w:r>
      <w:r w:rsidRPr="00A32AF4">
        <w:rPr>
          <w:rFonts w:cs="Arial"/>
        </w:rPr>
        <w:t>Organisation et s</w:t>
      </w:r>
      <w:r w:rsidR="00E2055A" w:rsidRPr="00A32AF4">
        <w:rPr>
          <w:rFonts w:cs="Arial"/>
        </w:rPr>
        <w:t>’</w:t>
      </w:r>
      <w:r w:rsidRPr="00A32AF4">
        <w:rPr>
          <w:rFonts w:cs="Arial"/>
        </w:rPr>
        <w:t>appuie sur un ensemble de règles justes et équitables, des politiques relatives au lieu de travail et des voies de communication efficaces pour répondre aux préoccupations du personnel.</w:t>
      </w:r>
    </w:p>
    <w:p w:rsidR="00F93B76" w:rsidRPr="00A32AF4" w:rsidRDefault="00F93B76" w:rsidP="00DC0553">
      <w:pPr>
        <w:jc w:val="both"/>
        <w:rPr>
          <w:rFonts w:cs="Arial"/>
        </w:rPr>
      </w:pPr>
    </w:p>
    <w:p w:rsidR="00F93B76" w:rsidRPr="00A32AF4" w:rsidRDefault="0053085A" w:rsidP="00DC0553">
      <w:pPr>
        <w:numPr>
          <w:ilvl w:val="0"/>
          <w:numId w:val="31"/>
        </w:numPr>
        <w:jc w:val="both"/>
        <w:rPr>
          <w:rFonts w:cs="Arial"/>
        </w:rPr>
      </w:pPr>
      <w:r w:rsidRPr="00A32AF4">
        <w:rPr>
          <w:rFonts w:cs="Arial"/>
        </w:rPr>
        <w:t>Les stratégies suivantes seront menées en 2016</w:t>
      </w:r>
      <w:r w:rsidR="00EB7F54" w:rsidRPr="00A32AF4">
        <w:rPr>
          <w:rFonts w:cs="Arial"/>
        </w:rPr>
        <w:noBreakHyphen/>
      </w:r>
      <w:r w:rsidRPr="00A32AF4">
        <w:rPr>
          <w:rFonts w:cs="Arial"/>
        </w:rPr>
        <w:t>2017 :</w:t>
      </w:r>
    </w:p>
    <w:p w:rsidR="00F93B76" w:rsidRPr="00A32AF4" w:rsidRDefault="00F93B76" w:rsidP="00DC0553">
      <w:pPr>
        <w:tabs>
          <w:tab w:val="left" w:pos="1134"/>
        </w:tabs>
        <w:ind w:left="567"/>
        <w:jc w:val="both"/>
        <w:rPr>
          <w:rFonts w:cs="Arial"/>
        </w:rPr>
      </w:pPr>
    </w:p>
    <w:p w:rsidR="00F93B76" w:rsidRPr="00A32AF4" w:rsidRDefault="0053085A" w:rsidP="00DC0553">
      <w:pPr>
        <w:numPr>
          <w:ilvl w:val="1"/>
          <w:numId w:val="31"/>
        </w:numPr>
        <w:tabs>
          <w:tab w:val="clear" w:pos="1250"/>
          <w:tab w:val="num" w:pos="360"/>
          <w:tab w:val="left" w:pos="1134"/>
        </w:tabs>
        <w:ind w:left="567"/>
        <w:jc w:val="both"/>
        <w:rPr>
          <w:rFonts w:cs="Arial"/>
        </w:rPr>
      </w:pPr>
      <w:r w:rsidRPr="00A32AF4">
        <w:rPr>
          <w:rFonts w:cs="Arial"/>
          <w:i/>
        </w:rPr>
        <w:t xml:space="preserve">Renforcer la communication avec les États membres : </w:t>
      </w:r>
      <w:r w:rsidRPr="00A32AF4">
        <w:rPr>
          <w:rFonts w:cs="Arial"/>
        </w:rPr>
        <w:t>une communication, une consultation et un dialogue de qualité sur une base régulière avec les États membres renforceront l</w:t>
      </w:r>
      <w:r w:rsidR="00E2055A" w:rsidRPr="00A32AF4">
        <w:rPr>
          <w:rFonts w:cs="Arial"/>
        </w:rPr>
        <w:t>’</w:t>
      </w:r>
      <w:r w:rsidRPr="00A32AF4">
        <w:rPr>
          <w:rFonts w:cs="Arial"/>
        </w:rPr>
        <w:t>échange d</w:t>
      </w:r>
      <w:r w:rsidR="00E2055A" w:rsidRPr="00A32AF4">
        <w:rPr>
          <w:rFonts w:cs="Arial"/>
        </w:rPr>
        <w:t>’</w:t>
      </w:r>
      <w:r w:rsidRPr="00A32AF4">
        <w:rPr>
          <w:rFonts w:cs="Arial"/>
        </w:rPr>
        <w:t>informations à tous les niveaux et la transparence pour ce qui est des activités du programme.</w:t>
      </w:r>
    </w:p>
    <w:p w:rsidR="00F93B76" w:rsidRPr="00A32AF4" w:rsidRDefault="00F93B76" w:rsidP="00DC0553">
      <w:pPr>
        <w:tabs>
          <w:tab w:val="num" w:pos="360"/>
          <w:tab w:val="left" w:pos="1134"/>
        </w:tabs>
        <w:ind w:left="567"/>
        <w:jc w:val="both"/>
        <w:rPr>
          <w:rFonts w:cs="Arial"/>
        </w:rPr>
      </w:pPr>
    </w:p>
    <w:p w:rsidR="00F93B76" w:rsidRPr="00A32AF4" w:rsidRDefault="0053085A" w:rsidP="00DC0553">
      <w:pPr>
        <w:numPr>
          <w:ilvl w:val="1"/>
          <w:numId w:val="31"/>
        </w:numPr>
        <w:tabs>
          <w:tab w:val="clear" w:pos="1250"/>
          <w:tab w:val="num" w:pos="360"/>
          <w:tab w:val="left" w:pos="1134"/>
        </w:tabs>
        <w:ind w:left="567"/>
        <w:jc w:val="both"/>
        <w:rPr>
          <w:rFonts w:cs="Arial"/>
        </w:rPr>
      </w:pPr>
      <w:r w:rsidRPr="00A32AF4">
        <w:rPr>
          <w:rFonts w:cs="Arial"/>
          <w:i/>
        </w:rPr>
        <w:t>Améliorer la cohésion et l</w:t>
      </w:r>
      <w:r w:rsidR="00E2055A" w:rsidRPr="00A32AF4">
        <w:rPr>
          <w:rFonts w:cs="Arial"/>
          <w:i/>
        </w:rPr>
        <w:t>’</w:t>
      </w:r>
      <w:r w:rsidRPr="00A32AF4">
        <w:rPr>
          <w:rFonts w:cs="Arial"/>
          <w:i/>
        </w:rPr>
        <w:t>efficacité internes </w:t>
      </w:r>
      <w:r w:rsidRPr="00A32AF4">
        <w:rPr>
          <w:i/>
        </w:rPr>
        <w:t>:</w:t>
      </w:r>
      <w:r w:rsidRPr="00A32AF4">
        <w:rPr>
          <w:rFonts w:cs="Arial"/>
        </w:rPr>
        <w:t xml:space="preserve"> des efforts continueront dans ce sens dans le cadre des mécanismes de coordination au niveau de l</w:t>
      </w:r>
      <w:r w:rsidR="00E2055A" w:rsidRPr="00A32AF4">
        <w:rPr>
          <w:rFonts w:cs="Arial"/>
        </w:rPr>
        <w:t>’</w:t>
      </w:r>
      <w:r w:rsidRPr="00A32AF4">
        <w:rPr>
          <w:rFonts w:cs="Arial"/>
        </w:rPr>
        <w:t>Équipe de haute direction et des mécanismes de rapport de gestion.</w:t>
      </w:r>
      <w:r w:rsidRPr="00A32AF4">
        <w:t xml:space="preserve">  </w:t>
      </w:r>
      <w:r w:rsidRPr="00A32AF4">
        <w:rPr>
          <w:rFonts w:cs="Arial"/>
        </w:rPr>
        <w:t>La mise en place de mécanismes de coordination bien définis garantira l</w:t>
      </w:r>
      <w:r w:rsidR="00E2055A" w:rsidRPr="00A32AF4">
        <w:rPr>
          <w:rFonts w:cs="Arial"/>
        </w:rPr>
        <w:t>’</w:t>
      </w:r>
      <w:r w:rsidRPr="00A32AF4">
        <w:rPr>
          <w:rFonts w:cs="Arial"/>
        </w:rPr>
        <w:t>intégration des bureaux extérieurs dans les processus de gestion et améliorera leur fonctionnement.</w:t>
      </w:r>
    </w:p>
    <w:p w:rsidR="00F93B76" w:rsidRPr="00A32AF4" w:rsidRDefault="00F93B76" w:rsidP="00DC0553">
      <w:pPr>
        <w:tabs>
          <w:tab w:val="num" w:pos="360"/>
          <w:tab w:val="left" w:pos="1134"/>
        </w:tabs>
        <w:ind w:left="567"/>
        <w:jc w:val="both"/>
        <w:rPr>
          <w:rFonts w:cs="Arial"/>
        </w:rPr>
      </w:pPr>
    </w:p>
    <w:p w:rsidR="00F93B76" w:rsidRPr="00A32AF4" w:rsidRDefault="0053085A" w:rsidP="00DC0553">
      <w:pPr>
        <w:numPr>
          <w:ilvl w:val="1"/>
          <w:numId w:val="31"/>
        </w:numPr>
        <w:tabs>
          <w:tab w:val="clear" w:pos="1250"/>
          <w:tab w:val="num" w:pos="360"/>
          <w:tab w:val="left" w:pos="1134"/>
        </w:tabs>
        <w:ind w:left="567"/>
        <w:jc w:val="both"/>
        <w:rPr>
          <w:rFonts w:cs="Arial"/>
        </w:rPr>
      </w:pPr>
      <w:r w:rsidRPr="00A32AF4">
        <w:rPr>
          <w:rFonts w:cs="Arial"/>
          <w:i/>
          <w:iCs/>
        </w:rPr>
        <w:t>Fournir des avis et des services juridiques rapides </w:t>
      </w:r>
      <w:r w:rsidRPr="00A32AF4">
        <w:rPr>
          <w:i/>
        </w:rPr>
        <w:t>:</w:t>
      </w:r>
      <w:r w:rsidRPr="00A32AF4">
        <w:rPr>
          <w:rFonts w:cs="Arial"/>
          <w:iCs/>
        </w:rPr>
        <w:t xml:space="preserve"> fournir des avis et des services juridiques rapides en harmonie avec les obligations </w:t>
      </w:r>
      <w:r w:rsidRPr="00A32AF4">
        <w:rPr>
          <w:rFonts w:cs="Arial"/>
          <w:i/>
          <w:iCs/>
        </w:rPr>
        <w:t>réglementaires</w:t>
      </w:r>
      <w:r w:rsidRPr="00A32AF4">
        <w:rPr>
          <w:rFonts w:cs="Arial"/>
          <w:iCs/>
        </w:rPr>
        <w:t xml:space="preserve"> et le droit applicable permettra de faciliter la bonne conduite des affaires par le Secrétariat et les organes statutaires de l</w:t>
      </w:r>
      <w:r w:rsidR="00E2055A" w:rsidRPr="00A32AF4">
        <w:rPr>
          <w:rFonts w:cs="Arial"/>
          <w:iCs/>
        </w:rPr>
        <w:t>’</w:t>
      </w:r>
      <w:r w:rsidRPr="00A32AF4">
        <w:rPr>
          <w:rFonts w:cs="Arial"/>
          <w:iCs/>
        </w:rPr>
        <w:t>Organisation.</w:t>
      </w:r>
      <w:r w:rsidRPr="00A32AF4">
        <w:t xml:space="preserve">  </w:t>
      </w:r>
      <w:r w:rsidRPr="00A32AF4">
        <w:rPr>
          <w:rFonts w:cs="Arial"/>
        </w:rPr>
        <w:t>La poursuite de l</w:t>
      </w:r>
      <w:r w:rsidR="00E2055A" w:rsidRPr="00A32AF4">
        <w:rPr>
          <w:rFonts w:cs="Arial"/>
        </w:rPr>
        <w:t>’</w:t>
      </w:r>
      <w:r w:rsidRPr="00A32AF4">
        <w:rPr>
          <w:rFonts w:cs="Arial"/>
        </w:rPr>
        <w:t>élaboration et de la maintenance de la base de données WIPO Lex permettra d</w:t>
      </w:r>
      <w:r w:rsidR="00E2055A" w:rsidRPr="00A32AF4">
        <w:rPr>
          <w:rFonts w:cs="Arial"/>
        </w:rPr>
        <w:t>’</w:t>
      </w:r>
      <w:r w:rsidRPr="00A32AF4">
        <w:rPr>
          <w:rFonts w:cs="Arial"/>
        </w:rPr>
        <w:t>assurer que celle</w:t>
      </w:r>
      <w:r w:rsidR="00EB7F54" w:rsidRPr="00A32AF4">
        <w:rPr>
          <w:rFonts w:cs="Arial"/>
        </w:rPr>
        <w:noBreakHyphen/>
      </w:r>
      <w:r w:rsidRPr="00A32AF4">
        <w:rPr>
          <w:rFonts w:cs="Arial"/>
        </w:rPr>
        <w:t>ci continue de servir de ressource universelle pour ce qui est des lois et des traités en matière de propriété intellectuelle, conformément à l</w:t>
      </w:r>
      <w:r w:rsidR="00E2055A" w:rsidRPr="00A32AF4">
        <w:rPr>
          <w:rFonts w:cs="Arial"/>
        </w:rPr>
        <w:t>’</w:t>
      </w:r>
      <w:r w:rsidRPr="00A32AF4">
        <w:rPr>
          <w:rFonts w:cs="Arial"/>
        </w:rPr>
        <w:t>innovation technologique actuelle.</w:t>
      </w:r>
    </w:p>
    <w:p w:rsidR="00F93B76" w:rsidRPr="00A32AF4" w:rsidRDefault="00F93B76" w:rsidP="00DC0553">
      <w:pPr>
        <w:tabs>
          <w:tab w:val="num" w:pos="360"/>
          <w:tab w:val="left" w:pos="1134"/>
        </w:tabs>
        <w:ind w:left="567"/>
        <w:jc w:val="both"/>
        <w:rPr>
          <w:rFonts w:cs="Arial"/>
        </w:rPr>
      </w:pPr>
    </w:p>
    <w:p w:rsidR="00F93B76" w:rsidRPr="00A32AF4" w:rsidRDefault="0053085A" w:rsidP="00DC0553">
      <w:pPr>
        <w:numPr>
          <w:ilvl w:val="1"/>
          <w:numId w:val="31"/>
        </w:numPr>
        <w:tabs>
          <w:tab w:val="clear" w:pos="1250"/>
          <w:tab w:val="num" w:pos="360"/>
          <w:tab w:val="left" w:pos="1134"/>
        </w:tabs>
        <w:ind w:left="567"/>
        <w:jc w:val="both"/>
        <w:rPr>
          <w:rFonts w:cs="Arial"/>
        </w:rPr>
      </w:pPr>
      <w:r w:rsidRPr="00A32AF4">
        <w:rPr>
          <w:rFonts w:cs="Arial"/>
          <w:i/>
        </w:rPr>
        <w:t>Élaborer un cadre de gestion de la résilience de l</w:t>
      </w:r>
      <w:r w:rsidR="00E2055A" w:rsidRPr="00A32AF4">
        <w:rPr>
          <w:rFonts w:cs="Arial"/>
          <w:i/>
        </w:rPr>
        <w:t>’</w:t>
      </w:r>
      <w:r w:rsidRPr="00A32AF4">
        <w:rPr>
          <w:rFonts w:cs="Arial"/>
          <w:i/>
        </w:rPr>
        <w:t>Organisation </w:t>
      </w:r>
      <w:r w:rsidRPr="00A32AF4">
        <w:rPr>
          <w:i/>
        </w:rPr>
        <w:t>:</w:t>
      </w:r>
      <w:r w:rsidRPr="00A32AF4">
        <w:rPr>
          <w:rFonts w:cs="Arial"/>
        </w:rPr>
        <w:t xml:space="preserve"> l</w:t>
      </w:r>
      <w:r w:rsidR="00E2055A" w:rsidRPr="00A32AF4">
        <w:rPr>
          <w:rFonts w:cs="Arial"/>
        </w:rPr>
        <w:t>’</w:t>
      </w:r>
      <w:r w:rsidRPr="00A32AF4">
        <w:rPr>
          <w:rFonts w:cs="Arial"/>
        </w:rPr>
        <w:t>élaboration d</w:t>
      </w:r>
      <w:r w:rsidR="00E2055A" w:rsidRPr="00A32AF4">
        <w:rPr>
          <w:rFonts w:cs="Arial"/>
        </w:rPr>
        <w:t>’</w:t>
      </w:r>
      <w:r w:rsidRPr="00A32AF4">
        <w:rPr>
          <w:rFonts w:cs="Arial"/>
        </w:rPr>
        <w:t>une politique, d</w:t>
      </w:r>
      <w:r w:rsidR="00E2055A" w:rsidRPr="00A32AF4">
        <w:rPr>
          <w:rFonts w:cs="Arial"/>
        </w:rPr>
        <w:t>’</w:t>
      </w:r>
      <w:r w:rsidRPr="00A32AF4">
        <w:rPr>
          <w:rFonts w:cs="Arial"/>
        </w:rPr>
        <w:t>une stratégie et de plans permettra de renforcer les capacités de planification des mesures d</w:t>
      </w:r>
      <w:r w:rsidR="00E2055A" w:rsidRPr="00A32AF4">
        <w:rPr>
          <w:rFonts w:cs="Arial"/>
        </w:rPr>
        <w:t>’</w:t>
      </w:r>
      <w:r w:rsidRPr="00A32AF4">
        <w:rPr>
          <w:rFonts w:cs="Arial"/>
        </w:rPr>
        <w:t>urgence de l</w:t>
      </w:r>
      <w:r w:rsidR="00E2055A" w:rsidRPr="00A32AF4">
        <w:rPr>
          <w:rFonts w:cs="Arial"/>
        </w:rPr>
        <w:t>’</w:t>
      </w:r>
      <w:r w:rsidRPr="00A32AF4">
        <w:rPr>
          <w:rFonts w:cs="Arial"/>
        </w:rPr>
        <w:t>OMPI, l</w:t>
      </w:r>
      <w:r w:rsidR="00E2055A" w:rsidRPr="00A32AF4">
        <w:rPr>
          <w:rFonts w:cs="Arial"/>
        </w:rPr>
        <w:t>’</w:t>
      </w:r>
      <w:r w:rsidRPr="00A32AF4">
        <w:rPr>
          <w:rFonts w:cs="Arial"/>
        </w:rPr>
        <w:t>objectif étant de limiter ou de réduire au minimum les effets des interruptions sur les opérations essentielles de l</w:t>
      </w:r>
      <w:r w:rsidR="00E2055A" w:rsidRPr="00A32AF4">
        <w:rPr>
          <w:rFonts w:cs="Arial"/>
        </w:rPr>
        <w:t>’</w:t>
      </w:r>
      <w:r w:rsidRPr="00A32AF4">
        <w:rPr>
          <w:rFonts w:cs="Arial"/>
        </w:rPr>
        <w:t>Organisation.</w:t>
      </w:r>
    </w:p>
    <w:p w:rsidR="00F93B76" w:rsidRPr="00A32AF4" w:rsidRDefault="00F93B76" w:rsidP="00DC0553">
      <w:pPr>
        <w:tabs>
          <w:tab w:val="num" w:pos="360"/>
          <w:tab w:val="left" w:pos="1134"/>
        </w:tabs>
        <w:ind w:left="567"/>
        <w:rPr>
          <w:rFonts w:cs="Arial"/>
          <w:szCs w:val="22"/>
        </w:rPr>
      </w:pPr>
    </w:p>
    <w:p w:rsidR="00F93B76" w:rsidRPr="00A32AF4" w:rsidRDefault="0053085A" w:rsidP="00DC0553">
      <w:pPr>
        <w:numPr>
          <w:ilvl w:val="1"/>
          <w:numId w:val="31"/>
        </w:numPr>
        <w:tabs>
          <w:tab w:val="clear" w:pos="1250"/>
          <w:tab w:val="num" w:pos="360"/>
          <w:tab w:val="left" w:pos="1134"/>
        </w:tabs>
        <w:ind w:left="567"/>
        <w:jc w:val="both"/>
        <w:rPr>
          <w:rFonts w:cs="Arial"/>
        </w:rPr>
      </w:pPr>
      <w:r w:rsidRPr="00A32AF4">
        <w:rPr>
          <w:rFonts w:cs="Arial"/>
          <w:i/>
        </w:rPr>
        <w:t>Renforcer la contribution de l</w:t>
      </w:r>
      <w:r w:rsidR="00E2055A" w:rsidRPr="00A32AF4">
        <w:rPr>
          <w:rFonts w:cs="Arial"/>
          <w:i/>
        </w:rPr>
        <w:t>’</w:t>
      </w:r>
      <w:r w:rsidRPr="00A32AF4">
        <w:rPr>
          <w:rFonts w:cs="Arial"/>
          <w:i/>
        </w:rPr>
        <w:t>OMPI au Conseil des chefs de secrétariat (CCS)</w:t>
      </w:r>
      <w:r w:rsidRPr="00A32AF4">
        <w:rPr>
          <w:rFonts w:cs="Arial"/>
        </w:rPr>
        <w:t> : l</w:t>
      </w:r>
      <w:r w:rsidR="00E2055A" w:rsidRPr="00A32AF4">
        <w:rPr>
          <w:rFonts w:cs="Arial"/>
        </w:rPr>
        <w:t>’</w:t>
      </w:r>
      <w:r w:rsidRPr="00A32AF4">
        <w:rPr>
          <w:rFonts w:cs="Arial"/>
        </w:rPr>
        <w:t>OMPI continuera d</w:t>
      </w:r>
      <w:r w:rsidR="00E2055A" w:rsidRPr="00A32AF4">
        <w:rPr>
          <w:rFonts w:cs="Arial"/>
        </w:rPr>
        <w:t>’</w:t>
      </w:r>
      <w:r w:rsidRPr="00A32AF4">
        <w:rPr>
          <w:rFonts w:cs="Arial"/>
        </w:rPr>
        <w:t xml:space="preserve">avoir une participation active au sein du système des </w:t>
      </w:r>
      <w:r w:rsidR="00E2055A" w:rsidRPr="00A32AF4">
        <w:rPr>
          <w:rFonts w:cs="Arial"/>
        </w:rPr>
        <w:t>Nations Unies</w:t>
      </w:r>
      <w:r w:rsidRPr="00A32AF4">
        <w:rPr>
          <w:rFonts w:cs="Arial"/>
        </w:rPr>
        <w:t xml:space="preserve">, </w:t>
      </w:r>
      <w:r w:rsidR="00E2055A" w:rsidRPr="00A32AF4">
        <w:rPr>
          <w:rFonts w:cs="Arial"/>
        </w:rPr>
        <w:t>y compris</w:t>
      </w:r>
      <w:r w:rsidRPr="00A32AF4">
        <w:rPr>
          <w:rFonts w:cs="Arial"/>
        </w:rPr>
        <w:t xml:space="preserve"> au CCS.  Grâce à sa participation active au sein de ces organismes, l</w:t>
      </w:r>
      <w:r w:rsidR="00E2055A" w:rsidRPr="00A32AF4">
        <w:rPr>
          <w:rFonts w:cs="Arial"/>
        </w:rPr>
        <w:t>’</w:t>
      </w:r>
      <w:r w:rsidRPr="00A32AF4">
        <w:rPr>
          <w:rFonts w:cs="Arial"/>
        </w:rPr>
        <w:t xml:space="preserve">OMPI continuera de renforcer les initiatives des </w:t>
      </w:r>
      <w:r w:rsidR="00E2055A" w:rsidRPr="00A32AF4">
        <w:rPr>
          <w:rFonts w:cs="Arial"/>
        </w:rPr>
        <w:t>Nations Unies</w:t>
      </w:r>
      <w:r w:rsidRPr="00A32AF4">
        <w:rPr>
          <w:rFonts w:cs="Arial"/>
        </w:rPr>
        <w:t xml:space="preserve"> visant à promouvoir l</w:t>
      </w:r>
      <w:r w:rsidR="00E2055A" w:rsidRPr="00A32AF4">
        <w:rPr>
          <w:rFonts w:cs="Arial"/>
        </w:rPr>
        <w:t>’</w:t>
      </w:r>
      <w:r w:rsidRPr="00A32AF4">
        <w:rPr>
          <w:rFonts w:cs="Arial"/>
        </w:rPr>
        <w:t>innovation et la créativité et à mettre en évidence ses bonnes pratiques de gestion.</w:t>
      </w:r>
    </w:p>
    <w:p w:rsidR="00F93B76" w:rsidRPr="00A32AF4" w:rsidRDefault="00F93B76" w:rsidP="00DC0553">
      <w:pPr>
        <w:tabs>
          <w:tab w:val="num" w:pos="360"/>
          <w:tab w:val="left" w:pos="1134"/>
        </w:tabs>
        <w:ind w:left="567"/>
        <w:jc w:val="both"/>
        <w:rPr>
          <w:rFonts w:cs="Arial"/>
        </w:rPr>
      </w:pPr>
    </w:p>
    <w:p w:rsidR="00F93B76" w:rsidRPr="00A32AF4" w:rsidRDefault="0053085A" w:rsidP="00DC0553">
      <w:pPr>
        <w:numPr>
          <w:ilvl w:val="1"/>
          <w:numId w:val="31"/>
        </w:numPr>
        <w:tabs>
          <w:tab w:val="clear" w:pos="1250"/>
          <w:tab w:val="num" w:pos="360"/>
          <w:tab w:val="left" w:pos="1134"/>
        </w:tabs>
        <w:ind w:left="567"/>
        <w:jc w:val="both"/>
        <w:rPr>
          <w:rFonts w:cs="Arial"/>
        </w:rPr>
      </w:pPr>
      <w:proofErr w:type="gramStart"/>
      <w:r w:rsidRPr="00A32AF4">
        <w:rPr>
          <w:rFonts w:cs="Arial"/>
          <w:i/>
        </w:rPr>
        <w:t>Renforcer le système complet de déontologie et d</w:t>
      </w:r>
      <w:r w:rsidR="00E2055A" w:rsidRPr="00A32AF4">
        <w:rPr>
          <w:rFonts w:cs="Arial"/>
          <w:i/>
        </w:rPr>
        <w:t>’</w:t>
      </w:r>
      <w:r w:rsidRPr="00A32AF4">
        <w:rPr>
          <w:rFonts w:cs="Arial"/>
          <w:i/>
        </w:rPr>
        <w:t>intégrité de l</w:t>
      </w:r>
      <w:r w:rsidR="00E2055A" w:rsidRPr="00A32AF4">
        <w:rPr>
          <w:rFonts w:cs="Arial"/>
          <w:i/>
        </w:rPr>
        <w:t>’</w:t>
      </w:r>
      <w:r w:rsidRPr="00A32AF4">
        <w:rPr>
          <w:rFonts w:cs="Arial"/>
          <w:i/>
        </w:rPr>
        <w:t>OMPI</w:t>
      </w:r>
      <w:r w:rsidRPr="00A32AF4">
        <w:rPr>
          <w:rFonts w:cs="Arial"/>
        </w:rPr>
        <w:t> : après la mise en place d</w:t>
      </w:r>
      <w:r w:rsidR="00E2055A" w:rsidRPr="00A32AF4">
        <w:rPr>
          <w:rFonts w:cs="Arial"/>
        </w:rPr>
        <w:t>’</w:t>
      </w:r>
      <w:r w:rsidRPr="00A32AF4">
        <w:rPr>
          <w:rFonts w:cs="Arial"/>
        </w:rPr>
        <w:t>un système complet de déontologie et d</w:t>
      </w:r>
      <w:r w:rsidR="00E2055A" w:rsidRPr="00A32AF4">
        <w:rPr>
          <w:rFonts w:cs="Arial"/>
        </w:rPr>
        <w:t>’</w:t>
      </w:r>
      <w:r w:rsidRPr="00A32AF4">
        <w:rPr>
          <w:rFonts w:cs="Arial"/>
        </w:rPr>
        <w:t>intégrité à l</w:t>
      </w:r>
      <w:r w:rsidR="00E2055A" w:rsidRPr="00A32AF4">
        <w:rPr>
          <w:rFonts w:cs="Arial"/>
        </w:rPr>
        <w:t>’</w:t>
      </w:r>
      <w:r w:rsidRPr="00A32AF4">
        <w:rPr>
          <w:rFonts w:cs="Arial"/>
        </w:rPr>
        <w:t>OMPI, le Bureau de la déontologie consolidera les travaux précédents (</w:t>
      </w:r>
      <w:r w:rsidR="00E2055A" w:rsidRPr="00A32AF4">
        <w:rPr>
          <w:rFonts w:cs="Arial"/>
        </w:rPr>
        <w:t>y compris</w:t>
      </w:r>
      <w:r w:rsidRPr="00A32AF4">
        <w:rPr>
          <w:rFonts w:cs="Arial"/>
        </w:rPr>
        <w:t xml:space="preserve"> le code de déontologie, la politique de lutte contre les représailles et la formation du personnel) en continuant d</w:t>
      </w:r>
      <w:r w:rsidR="00E2055A" w:rsidRPr="00A32AF4">
        <w:rPr>
          <w:rFonts w:cs="Arial"/>
        </w:rPr>
        <w:t>’</w:t>
      </w:r>
      <w:r w:rsidRPr="00A32AF4">
        <w:rPr>
          <w:rFonts w:cs="Arial"/>
        </w:rPr>
        <w:t>intégrer le système à l</w:t>
      </w:r>
      <w:r w:rsidR="00E2055A" w:rsidRPr="00A32AF4">
        <w:rPr>
          <w:rFonts w:cs="Arial"/>
        </w:rPr>
        <w:t>’</w:t>
      </w:r>
      <w:r w:rsidRPr="00A32AF4">
        <w:rPr>
          <w:rFonts w:cs="Arial"/>
        </w:rPr>
        <w:t>OMPI grâce à l</w:t>
      </w:r>
      <w:r w:rsidR="00E2055A" w:rsidRPr="00A32AF4">
        <w:rPr>
          <w:rFonts w:cs="Arial"/>
        </w:rPr>
        <w:t>’</w:t>
      </w:r>
      <w:r w:rsidRPr="00A32AF4">
        <w:rPr>
          <w:rFonts w:cs="Arial"/>
        </w:rPr>
        <w:t>établissement de normes, la transmission d</w:t>
      </w:r>
      <w:r w:rsidR="00E2055A" w:rsidRPr="00A32AF4">
        <w:rPr>
          <w:rFonts w:cs="Arial"/>
        </w:rPr>
        <w:t>’</w:t>
      </w:r>
      <w:r w:rsidRPr="00A32AF4">
        <w:rPr>
          <w:rFonts w:cs="Arial"/>
        </w:rPr>
        <w:t>avis clairs et convaincants aux membres de la direction et du personnel de tous niveaux et des actions des sensibilisations et de promotion.</w:t>
      </w:r>
      <w:proofErr w:type="gramEnd"/>
      <w:r w:rsidRPr="00A32AF4">
        <w:t xml:space="preserve">  </w:t>
      </w:r>
      <w:r w:rsidRPr="00A32AF4">
        <w:rPr>
          <w:rFonts w:cs="Arial"/>
        </w:rPr>
        <w:t>À noter que, après la mise en place de la politique de l</w:t>
      </w:r>
      <w:r w:rsidR="00E2055A" w:rsidRPr="00A32AF4">
        <w:rPr>
          <w:rFonts w:cs="Arial"/>
        </w:rPr>
        <w:t>’</w:t>
      </w:r>
      <w:r w:rsidRPr="00A32AF4">
        <w:rPr>
          <w:rFonts w:cs="Arial"/>
        </w:rPr>
        <w:t>OMPI en matière de déclaration d</w:t>
      </w:r>
      <w:r w:rsidR="00E2055A" w:rsidRPr="00A32AF4">
        <w:rPr>
          <w:rFonts w:cs="Arial"/>
        </w:rPr>
        <w:t>’</w:t>
      </w:r>
      <w:r w:rsidRPr="00A32AF4">
        <w:rPr>
          <w:rFonts w:cs="Arial"/>
        </w:rPr>
        <w:t>intérêts, une nouvelle politique en matière de divulgation financière sera élaborée.</w:t>
      </w:r>
    </w:p>
    <w:p w:rsidR="00F93B76" w:rsidRPr="00A32AF4" w:rsidRDefault="00F93B76" w:rsidP="00DC0553">
      <w:pPr>
        <w:tabs>
          <w:tab w:val="num" w:pos="360"/>
          <w:tab w:val="left" w:pos="1134"/>
        </w:tabs>
        <w:ind w:left="567"/>
        <w:rPr>
          <w:rFonts w:cs="Arial"/>
          <w:szCs w:val="22"/>
        </w:rPr>
      </w:pPr>
    </w:p>
    <w:p w:rsidR="00F93B76" w:rsidRPr="00A32AF4" w:rsidRDefault="0053085A" w:rsidP="00DC0553">
      <w:pPr>
        <w:numPr>
          <w:ilvl w:val="1"/>
          <w:numId w:val="31"/>
        </w:numPr>
        <w:tabs>
          <w:tab w:val="clear" w:pos="1250"/>
          <w:tab w:val="num" w:pos="360"/>
          <w:tab w:val="left" w:pos="1134"/>
        </w:tabs>
        <w:ind w:left="567"/>
        <w:jc w:val="both"/>
        <w:rPr>
          <w:rFonts w:cs="Arial"/>
        </w:rPr>
      </w:pPr>
      <w:r w:rsidRPr="00A32AF4">
        <w:rPr>
          <w:rFonts w:cs="Arial"/>
          <w:i/>
        </w:rPr>
        <w:t>Améliorer l</w:t>
      </w:r>
      <w:r w:rsidR="00E2055A" w:rsidRPr="00A32AF4">
        <w:rPr>
          <w:rFonts w:cs="Arial"/>
          <w:i/>
        </w:rPr>
        <w:t>’</w:t>
      </w:r>
      <w:r w:rsidRPr="00A32AF4">
        <w:rPr>
          <w:rFonts w:cs="Arial"/>
          <w:i/>
        </w:rPr>
        <w:t>organisation des assemblées de l</w:t>
      </w:r>
      <w:r w:rsidR="00E2055A" w:rsidRPr="00A32AF4">
        <w:rPr>
          <w:rFonts w:cs="Arial"/>
          <w:i/>
        </w:rPr>
        <w:t>’</w:t>
      </w:r>
      <w:r w:rsidRPr="00A32AF4">
        <w:rPr>
          <w:rFonts w:cs="Arial"/>
          <w:i/>
        </w:rPr>
        <w:t xml:space="preserve">OMPI : </w:t>
      </w:r>
      <w:r w:rsidRPr="00A32AF4">
        <w:rPr>
          <w:rFonts w:cs="Arial"/>
        </w:rPr>
        <w:t>une coordination et une planification internes efficaces contribueront à une préparation poussée des assemblées dans le respect des délais et faciliteront ainsi le travail des États membres au sein des organes directeurs les plus importants de l</w:t>
      </w:r>
      <w:r w:rsidR="00E2055A" w:rsidRPr="00A32AF4">
        <w:rPr>
          <w:rFonts w:cs="Arial"/>
        </w:rPr>
        <w:t>’</w:t>
      </w:r>
      <w:r w:rsidRPr="00A32AF4">
        <w:rPr>
          <w:rFonts w:cs="Arial"/>
        </w:rPr>
        <w:t>OMPI.</w:t>
      </w:r>
    </w:p>
    <w:p w:rsidR="00F93B76" w:rsidRPr="00A32AF4" w:rsidRDefault="00F93B76" w:rsidP="00DC0553">
      <w:pPr>
        <w:tabs>
          <w:tab w:val="num" w:pos="360"/>
          <w:tab w:val="left" w:pos="1134"/>
        </w:tabs>
        <w:ind w:left="567"/>
        <w:jc w:val="both"/>
        <w:rPr>
          <w:rFonts w:cs="Arial"/>
        </w:rPr>
      </w:pPr>
    </w:p>
    <w:p w:rsidR="00F93B76" w:rsidRPr="00A32AF4" w:rsidRDefault="0053085A" w:rsidP="00DC0553">
      <w:pPr>
        <w:numPr>
          <w:ilvl w:val="1"/>
          <w:numId w:val="31"/>
        </w:numPr>
        <w:tabs>
          <w:tab w:val="clear" w:pos="1250"/>
          <w:tab w:val="num" w:pos="360"/>
          <w:tab w:val="left" w:pos="1134"/>
        </w:tabs>
        <w:ind w:left="567"/>
        <w:jc w:val="both"/>
        <w:rPr>
          <w:rFonts w:cs="Arial"/>
        </w:rPr>
      </w:pPr>
      <w:r w:rsidRPr="00A32AF4">
        <w:rPr>
          <w:rFonts w:cs="Arial"/>
          <w:i/>
        </w:rPr>
        <w:t>Renforcer les services en rapport avec des événements proposés aux États membres et autres parties prenantes </w:t>
      </w:r>
      <w:r w:rsidRPr="00A32AF4">
        <w:rPr>
          <w:i/>
        </w:rPr>
        <w:t>:</w:t>
      </w:r>
      <w:r w:rsidRPr="00A32AF4">
        <w:rPr>
          <w:rFonts w:cs="Arial"/>
        </w:rPr>
        <w:t xml:space="preserve"> l</w:t>
      </w:r>
      <w:r w:rsidR="00E2055A" w:rsidRPr="00A32AF4">
        <w:rPr>
          <w:rFonts w:cs="Arial"/>
        </w:rPr>
        <w:t>’</w:t>
      </w:r>
      <w:r w:rsidRPr="00A32AF4">
        <w:rPr>
          <w:rFonts w:cs="Arial"/>
        </w:rPr>
        <w:t>appui systématique et accru fourni aux États membres et aux autres parties prenantes dans le cadre de l</w:t>
      </w:r>
      <w:r w:rsidR="00E2055A" w:rsidRPr="00A32AF4">
        <w:rPr>
          <w:rFonts w:cs="Arial"/>
        </w:rPr>
        <w:t>’</w:t>
      </w:r>
      <w:r w:rsidRPr="00A32AF4">
        <w:rPr>
          <w:rFonts w:cs="Arial"/>
        </w:rPr>
        <w:t>organisation d</w:t>
      </w:r>
      <w:r w:rsidR="00E2055A" w:rsidRPr="00A32AF4">
        <w:rPr>
          <w:rFonts w:cs="Arial"/>
        </w:rPr>
        <w:t>’</w:t>
      </w:r>
      <w:r w:rsidRPr="00A32AF4">
        <w:rPr>
          <w:rFonts w:cs="Arial"/>
        </w:rPr>
        <w:t>événements de haut niveau augmentera la visibilité de l</w:t>
      </w:r>
      <w:r w:rsidR="00E2055A" w:rsidRPr="00A32AF4">
        <w:rPr>
          <w:rFonts w:cs="Arial"/>
        </w:rPr>
        <w:t>’</w:t>
      </w:r>
      <w:r w:rsidRPr="00A32AF4">
        <w:rPr>
          <w:rFonts w:cs="Arial"/>
        </w:rPr>
        <w:t>Organisation et fera mieux connaître le rôle joué par la propriété intellectuelle dans le progrès et le développement économique, social et culturel.</w:t>
      </w:r>
    </w:p>
    <w:p w:rsidR="00F93B76" w:rsidRPr="00A32AF4" w:rsidRDefault="00F93B76" w:rsidP="00DC0553">
      <w:pPr>
        <w:tabs>
          <w:tab w:val="num" w:pos="360"/>
          <w:tab w:val="left" w:pos="1134"/>
        </w:tabs>
        <w:ind w:left="567"/>
        <w:jc w:val="both"/>
        <w:rPr>
          <w:rFonts w:cs="Arial"/>
        </w:rPr>
      </w:pPr>
    </w:p>
    <w:p w:rsidR="00F93B76" w:rsidRPr="00A32AF4" w:rsidRDefault="0053085A" w:rsidP="00DC0553">
      <w:pPr>
        <w:numPr>
          <w:ilvl w:val="1"/>
          <w:numId w:val="31"/>
        </w:numPr>
        <w:tabs>
          <w:tab w:val="clear" w:pos="1250"/>
          <w:tab w:val="num" w:pos="360"/>
          <w:tab w:val="left" w:pos="1134"/>
        </w:tabs>
        <w:ind w:left="567"/>
        <w:jc w:val="both"/>
        <w:rPr>
          <w:rFonts w:cs="Arial"/>
          <w:bCs/>
        </w:rPr>
      </w:pPr>
      <w:r w:rsidRPr="00A32AF4">
        <w:rPr>
          <w:rFonts w:cs="Arial"/>
          <w:i/>
        </w:rPr>
        <w:t>Améliorer le traitement des plaintes et des conflits</w:t>
      </w:r>
      <w:r w:rsidRPr="00A32AF4">
        <w:rPr>
          <w:rFonts w:cs="Arial"/>
        </w:rPr>
        <w:t> : l</w:t>
      </w:r>
      <w:r w:rsidR="00E2055A" w:rsidRPr="00A32AF4">
        <w:rPr>
          <w:rFonts w:cs="Arial"/>
        </w:rPr>
        <w:t>’</w:t>
      </w:r>
      <w:r w:rsidRPr="00A32AF4">
        <w:rPr>
          <w:rFonts w:cs="Arial"/>
        </w:rPr>
        <w:t>Organisation continuera de promouvoir le recours à des mécanismes informels, chaque fois que possible, pour prévenir l</w:t>
      </w:r>
      <w:r w:rsidR="00E2055A" w:rsidRPr="00A32AF4">
        <w:rPr>
          <w:rFonts w:cs="Arial"/>
        </w:rPr>
        <w:t>’</w:t>
      </w:r>
      <w:r w:rsidRPr="00A32AF4">
        <w:rPr>
          <w:rFonts w:cs="Arial"/>
        </w:rPr>
        <w:t>escalade des conflits et pour les résoudre.</w:t>
      </w:r>
      <w:r w:rsidRPr="00A32AF4">
        <w:t xml:space="preserve">  </w:t>
      </w:r>
      <w:r w:rsidRPr="00A32AF4">
        <w:rPr>
          <w:rFonts w:cs="Arial"/>
        </w:rPr>
        <w:t>Pour ce faire, l</w:t>
      </w:r>
      <w:r w:rsidR="00E2055A" w:rsidRPr="00A32AF4">
        <w:rPr>
          <w:rFonts w:cs="Arial"/>
        </w:rPr>
        <w:t>’</w:t>
      </w:r>
      <w:r w:rsidRPr="00A32AF4">
        <w:rPr>
          <w:rFonts w:cs="Arial"/>
        </w:rPr>
        <w:t>Organisation continuera de développer et de renforcer ses politiques, mécanismes et procédures, mettant ainsi à la disposition du personnel une série de points d</w:t>
      </w:r>
      <w:r w:rsidR="00E2055A" w:rsidRPr="00A32AF4">
        <w:rPr>
          <w:rFonts w:cs="Arial"/>
        </w:rPr>
        <w:t>’</w:t>
      </w:r>
      <w:r w:rsidRPr="00A32AF4">
        <w:rPr>
          <w:rFonts w:cs="Arial"/>
        </w:rPr>
        <w:t>accès à la résolution formelle et informelle des conflits en milieu de travail.</w:t>
      </w:r>
    </w:p>
    <w:p w:rsidR="00F93B76" w:rsidRPr="00A32AF4" w:rsidRDefault="00F93B76" w:rsidP="00DC0553"/>
    <w:p w:rsidR="00F93B76" w:rsidRPr="00A32AF4" w:rsidRDefault="00F93B76" w:rsidP="00DC0553"/>
    <w:p w:rsidR="00F93B76" w:rsidRPr="00A32AF4" w:rsidRDefault="0053085A" w:rsidP="00DC0553">
      <w:pPr>
        <w:rPr>
          <w:rFonts w:eastAsia="SimSun"/>
        </w:rPr>
      </w:pPr>
      <w:r w:rsidRPr="00A32AF4">
        <w:rPr>
          <w:rFonts w:eastAsia="SimSun"/>
        </w:rPr>
        <w:t>PRINCIPAUX RISQUES ET STRATÉGIES D</w:t>
      </w:r>
      <w:r w:rsidR="00E2055A" w:rsidRPr="00A32AF4">
        <w:rPr>
          <w:rFonts w:eastAsia="SimSun"/>
        </w:rPr>
        <w:t>’</w:t>
      </w:r>
      <w:r w:rsidRPr="00A32AF4">
        <w:rPr>
          <w:rFonts w:eastAsia="SimSun"/>
        </w:rPr>
        <w:t>ATTÉNUATION</w:t>
      </w:r>
    </w:p>
    <w:p w:rsidR="0053085A" w:rsidRPr="00A32AF4" w:rsidRDefault="0053085A" w:rsidP="00DC0553"/>
    <w:tbl>
      <w:tblPr>
        <w:tblW w:w="9686"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395"/>
        <w:gridCol w:w="5291"/>
      </w:tblGrid>
      <w:tr w:rsidR="0053085A" w:rsidRPr="00A32AF4" w:rsidTr="00451DF0">
        <w:trPr>
          <w:trHeight w:val="577"/>
        </w:trPr>
        <w:tc>
          <w:tcPr>
            <w:tcW w:w="4395" w:type="dxa"/>
            <w:tcBorders>
              <w:top w:val="single" w:sz="4" w:space="0" w:color="auto"/>
              <w:bottom w:val="single" w:sz="4" w:space="0" w:color="auto"/>
            </w:tcBorders>
            <w:shd w:val="clear" w:color="auto" w:fill="C6D9F1" w:themeFill="text2" w:themeFillTint="33"/>
            <w:vAlign w:val="center"/>
          </w:tcPr>
          <w:p w:rsidR="0053085A" w:rsidRPr="00A32AF4" w:rsidRDefault="0053085A" w:rsidP="00DC0553">
            <w:pPr>
              <w:jc w:val="center"/>
              <w:rPr>
                <w:rFonts w:cs="Arial"/>
                <w:b/>
                <w:bCs/>
                <w:sz w:val="18"/>
                <w:szCs w:val="18"/>
              </w:rPr>
            </w:pPr>
            <w:r w:rsidRPr="00A32AF4">
              <w:rPr>
                <w:rFonts w:cs="Arial"/>
                <w:b/>
                <w:bCs/>
                <w:sz w:val="18"/>
                <w:szCs w:val="18"/>
              </w:rPr>
              <w:t>Risque</w:t>
            </w:r>
            <w:r w:rsidR="00783124" w:rsidRPr="00A32AF4">
              <w:rPr>
                <w:rFonts w:cs="Arial"/>
                <w:b/>
                <w:bCs/>
                <w:sz w:val="18"/>
                <w:szCs w:val="18"/>
              </w:rPr>
              <w:t>s</w:t>
            </w:r>
          </w:p>
        </w:tc>
        <w:tc>
          <w:tcPr>
            <w:tcW w:w="5291" w:type="dxa"/>
            <w:tcBorders>
              <w:top w:val="single" w:sz="4" w:space="0" w:color="auto"/>
              <w:bottom w:val="single" w:sz="4" w:space="0" w:color="auto"/>
            </w:tcBorders>
            <w:shd w:val="clear" w:color="auto" w:fill="C6D9F1" w:themeFill="text2" w:themeFillTint="33"/>
            <w:vAlign w:val="center"/>
          </w:tcPr>
          <w:p w:rsidR="0053085A" w:rsidRPr="00A32AF4" w:rsidRDefault="0053085A" w:rsidP="00DC0553">
            <w:pPr>
              <w:jc w:val="center"/>
              <w:rPr>
                <w:rFonts w:cs="Arial"/>
                <w:b/>
                <w:bCs/>
                <w:sz w:val="18"/>
                <w:szCs w:val="18"/>
              </w:rPr>
            </w:pPr>
            <w:r w:rsidRPr="00A32AF4">
              <w:rPr>
                <w:rFonts w:cs="Arial"/>
                <w:b/>
                <w:bCs/>
                <w:sz w:val="18"/>
                <w:szCs w:val="18"/>
              </w:rPr>
              <w:t>Stratégie</w:t>
            </w:r>
            <w:r w:rsidR="00783124" w:rsidRPr="00A32AF4">
              <w:rPr>
                <w:rFonts w:cs="Arial"/>
                <w:b/>
                <w:bCs/>
                <w:sz w:val="18"/>
                <w:szCs w:val="18"/>
              </w:rPr>
              <w:t>s</w:t>
            </w:r>
            <w:r w:rsidRPr="00A32AF4">
              <w:rPr>
                <w:rFonts w:cs="Arial"/>
                <w:b/>
                <w:bCs/>
                <w:sz w:val="18"/>
                <w:szCs w:val="18"/>
              </w:rPr>
              <w:t xml:space="preserve"> d</w:t>
            </w:r>
            <w:r w:rsidR="00E2055A" w:rsidRPr="00A32AF4">
              <w:rPr>
                <w:rFonts w:cs="Arial"/>
                <w:b/>
                <w:bCs/>
                <w:sz w:val="18"/>
                <w:szCs w:val="18"/>
              </w:rPr>
              <w:t>’</w:t>
            </w:r>
            <w:r w:rsidRPr="00A32AF4">
              <w:rPr>
                <w:rFonts w:cs="Arial"/>
                <w:b/>
                <w:bCs/>
                <w:sz w:val="18"/>
                <w:szCs w:val="18"/>
              </w:rPr>
              <w:t>atténuation</w:t>
            </w:r>
          </w:p>
        </w:tc>
      </w:tr>
      <w:tr w:rsidR="0053085A" w:rsidRPr="00A32AF4" w:rsidTr="00451DF0">
        <w:trPr>
          <w:trHeight w:val="224"/>
        </w:trPr>
        <w:tc>
          <w:tcPr>
            <w:tcW w:w="4395" w:type="dxa"/>
            <w:tcBorders>
              <w:top w:val="single" w:sz="4" w:space="0" w:color="auto"/>
              <w:left w:val="single" w:sz="4" w:space="0" w:color="auto"/>
              <w:bottom w:val="single" w:sz="4" w:space="0" w:color="auto"/>
              <w:right w:val="nil"/>
            </w:tcBorders>
            <w:shd w:val="clear" w:color="auto" w:fill="auto"/>
            <w:tcMar>
              <w:top w:w="113" w:type="dxa"/>
              <w:bottom w:w="113" w:type="dxa"/>
            </w:tcMar>
          </w:tcPr>
          <w:p w:rsidR="0053085A" w:rsidRPr="00A32AF4" w:rsidRDefault="0053085A" w:rsidP="00DC0553">
            <w:pPr>
              <w:rPr>
                <w:rFonts w:cs="Arial"/>
                <w:sz w:val="16"/>
                <w:szCs w:val="16"/>
              </w:rPr>
            </w:pPr>
            <w:r w:rsidRPr="00A32AF4">
              <w:rPr>
                <w:rFonts w:cs="Arial"/>
                <w:sz w:val="16"/>
              </w:rPr>
              <w:t>L</w:t>
            </w:r>
            <w:r w:rsidR="00E2055A" w:rsidRPr="00A32AF4">
              <w:rPr>
                <w:rFonts w:cs="Arial"/>
                <w:sz w:val="16"/>
              </w:rPr>
              <w:t>’</w:t>
            </w:r>
            <w:r w:rsidRPr="00A32AF4">
              <w:rPr>
                <w:rFonts w:cs="Arial"/>
                <w:sz w:val="16"/>
              </w:rPr>
              <w:t>engagement effectif de l</w:t>
            </w:r>
            <w:r w:rsidR="00E2055A" w:rsidRPr="00A32AF4">
              <w:rPr>
                <w:rFonts w:cs="Arial"/>
                <w:sz w:val="16"/>
              </w:rPr>
              <w:t>’</w:t>
            </w:r>
            <w:r w:rsidRPr="00A32AF4">
              <w:rPr>
                <w:rFonts w:cs="Arial"/>
                <w:sz w:val="16"/>
              </w:rPr>
              <w:t>OMPI auprès des États membres est capital pour l</w:t>
            </w:r>
            <w:r w:rsidR="00E2055A" w:rsidRPr="00A32AF4">
              <w:rPr>
                <w:rFonts w:cs="Arial"/>
                <w:sz w:val="16"/>
              </w:rPr>
              <w:t>’</w:t>
            </w:r>
            <w:r w:rsidRPr="00A32AF4">
              <w:rPr>
                <w:rFonts w:cs="Arial"/>
                <w:sz w:val="16"/>
              </w:rPr>
              <w:t>obtention de résultats dans les délais impartis.</w:t>
            </w:r>
            <w:r w:rsidRPr="00A32AF4">
              <w:rPr>
                <w:sz w:val="16"/>
              </w:rPr>
              <w:t xml:space="preserve">  </w:t>
            </w:r>
            <w:r w:rsidRPr="00A32AF4">
              <w:rPr>
                <w:rFonts w:cs="Arial"/>
                <w:sz w:val="16"/>
              </w:rPr>
              <w:t>Le ralentissement des processus intergouvernementaux de l</w:t>
            </w:r>
            <w:r w:rsidR="00E2055A" w:rsidRPr="00A32AF4">
              <w:rPr>
                <w:rFonts w:cs="Arial"/>
                <w:sz w:val="16"/>
              </w:rPr>
              <w:t>’</w:t>
            </w:r>
            <w:r w:rsidRPr="00A32AF4">
              <w:rPr>
                <w:rFonts w:cs="Arial"/>
                <w:sz w:val="16"/>
              </w:rPr>
              <w:t xml:space="preserve">OMPI, </w:t>
            </w:r>
            <w:r w:rsidR="00E2055A" w:rsidRPr="00A32AF4">
              <w:rPr>
                <w:rFonts w:cs="Arial"/>
                <w:sz w:val="16"/>
              </w:rPr>
              <w:t>y compris</w:t>
            </w:r>
            <w:r w:rsidRPr="00A32AF4">
              <w:rPr>
                <w:rFonts w:cs="Arial"/>
                <w:sz w:val="16"/>
              </w:rPr>
              <w:t xml:space="preserve"> dans le cadre des discussions normatives, et une augmentation des coûts ou un allongement des calendriers d</w:t>
            </w:r>
            <w:r w:rsidR="00E2055A" w:rsidRPr="00A32AF4">
              <w:rPr>
                <w:rFonts w:cs="Arial"/>
                <w:sz w:val="16"/>
              </w:rPr>
              <w:t>’</w:t>
            </w:r>
            <w:r w:rsidRPr="00A32AF4">
              <w:rPr>
                <w:rFonts w:cs="Arial"/>
                <w:sz w:val="16"/>
              </w:rPr>
              <w:t>exécution des programmes approuvés sont à craindre.</w:t>
            </w:r>
            <w:r w:rsidRPr="00A32AF4">
              <w:rPr>
                <w:sz w:val="16"/>
              </w:rPr>
              <w:t xml:space="preserve">  </w:t>
            </w:r>
            <w:r w:rsidRPr="00A32AF4">
              <w:rPr>
                <w:rFonts w:cs="Arial"/>
                <w:sz w:val="16"/>
              </w:rPr>
              <w:t>Cette situation nuirait à la crédibilité de l</w:t>
            </w:r>
            <w:r w:rsidR="00E2055A" w:rsidRPr="00A32AF4">
              <w:rPr>
                <w:rFonts w:cs="Arial"/>
                <w:sz w:val="16"/>
              </w:rPr>
              <w:t>’</w:t>
            </w:r>
            <w:r w:rsidRPr="00A32AF4">
              <w:rPr>
                <w:rFonts w:cs="Arial"/>
                <w:sz w:val="16"/>
              </w:rPr>
              <w:t>OMPI en tant qu</w:t>
            </w:r>
            <w:r w:rsidR="00E2055A" w:rsidRPr="00A32AF4">
              <w:rPr>
                <w:rFonts w:cs="Arial"/>
                <w:sz w:val="16"/>
              </w:rPr>
              <w:t>’</w:t>
            </w:r>
            <w:r w:rsidRPr="00A32AF4">
              <w:rPr>
                <w:rFonts w:cs="Arial"/>
                <w:sz w:val="16"/>
              </w:rPr>
              <w:t>organe normatif en matière de propriété intellectuelle.</w:t>
            </w:r>
          </w:p>
        </w:tc>
        <w:tc>
          <w:tcPr>
            <w:tcW w:w="5291" w:type="dxa"/>
            <w:tcBorders>
              <w:top w:val="single" w:sz="4" w:space="0" w:color="auto"/>
              <w:left w:val="nil"/>
              <w:bottom w:val="single" w:sz="4" w:space="0" w:color="auto"/>
              <w:right w:val="single" w:sz="4" w:space="0" w:color="auto"/>
            </w:tcBorders>
            <w:shd w:val="clear" w:color="auto" w:fill="auto"/>
            <w:tcMar>
              <w:top w:w="113" w:type="dxa"/>
              <w:bottom w:w="113" w:type="dxa"/>
            </w:tcMar>
          </w:tcPr>
          <w:p w:rsidR="0053085A" w:rsidRPr="00A32AF4" w:rsidRDefault="0053085A" w:rsidP="00DC0553">
            <w:pPr>
              <w:rPr>
                <w:rFonts w:cs="Arial"/>
                <w:sz w:val="16"/>
                <w:szCs w:val="16"/>
              </w:rPr>
            </w:pPr>
            <w:r w:rsidRPr="00A32AF4">
              <w:rPr>
                <w:rFonts w:cs="Arial"/>
                <w:sz w:val="16"/>
                <w:szCs w:val="16"/>
              </w:rPr>
              <w:t>Maintien d</w:t>
            </w:r>
            <w:r w:rsidR="00E2055A" w:rsidRPr="00A32AF4">
              <w:rPr>
                <w:rFonts w:cs="Arial"/>
                <w:sz w:val="16"/>
                <w:szCs w:val="16"/>
              </w:rPr>
              <w:t>’</w:t>
            </w:r>
            <w:r w:rsidRPr="00A32AF4">
              <w:rPr>
                <w:rFonts w:cs="Arial"/>
                <w:sz w:val="16"/>
                <w:szCs w:val="16"/>
              </w:rPr>
              <w:t>une coordination étroite, fiable et transparente entre le Secrétariat et les États membres.</w:t>
            </w:r>
          </w:p>
        </w:tc>
      </w:tr>
    </w:tbl>
    <w:p w:rsidR="00F93B76" w:rsidRPr="00A32AF4" w:rsidRDefault="00F93B76" w:rsidP="00DC0553">
      <w:pPr>
        <w:rPr>
          <w:rFonts w:cs="Arial"/>
        </w:rPr>
      </w:pPr>
    </w:p>
    <w:p w:rsidR="00F93B76" w:rsidRPr="00A32AF4" w:rsidRDefault="00F93B76" w:rsidP="00DC0553">
      <w:pPr>
        <w:rPr>
          <w:rFonts w:cs="Arial"/>
        </w:rPr>
      </w:pPr>
    </w:p>
    <w:p w:rsidR="00F93B76" w:rsidRPr="00A32AF4" w:rsidRDefault="0053085A" w:rsidP="00DC0553">
      <w:pPr>
        <w:keepNext/>
        <w:keepLines/>
        <w:rPr>
          <w:rFonts w:cs="Arial"/>
          <w:szCs w:val="22"/>
        </w:rPr>
      </w:pPr>
      <w:r w:rsidRPr="00A32AF4">
        <w:rPr>
          <w:rFonts w:cs="Arial"/>
          <w:szCs w:val="22"/>
        </w:rPr>
        <w:t>TABLEAU DES RÉSULTATS</w:t>
      </w:r>
    </w:p>
    <w:p w:rsidR="0053085A" w:rsidRPr="00A32AF4" w:rsidRDefault="0053085A" w:rsidP="00DC0553">
      <w:pPr>
        <w:keepNext/>
        <w:keepLines/>
        <w:rPr>
          <w:rFonts w:cs="Arial"/>
          <w:szCs w:val="22"/>
        </w:rPr>
      </w:pPr>
    </w:p>
    <w:tbl>
      <w:tblPr>
        <w:tblW w:w="9513" w:type="dxa"/>
        <w:tblInd w:w="9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60"/>
        <w:gridCol w:w="2560"/>
        <w:gridCol w:w="2080"/>
        <w:gridCol w:w="2313"/>
      </w:tblGrid>
      <w:tr w:rsidR="0053085A" w:rsidRPr="00A32AF4" w:rsidTr="0081561A">
        <w:trPr>
          <w:cantSplit/>
          <w:tblHeader/>
        </w:trPr>
        <w:tc>
          <w:tcPr>
            <w:tcW w:w="2560" w:type="dxa"/>
            <w:tcBorders>
              <w:top w:val="single" w:sz="4" w:space="0" w:color="auto"/>
              <w:bottom w:val="single" w:sz="4" w:space="0" w:color="auto"/>
            </w:tcBorders>
            <w:shd w:val="clear" w:color="auto" w:fill="C6D9F1" w:themeFill="text2" w:themeFillTint="33"/>
            <w:tcMar>
              <w:top w:w="113" w:type="dxa"/>
              <w:bottom w:w="113" w:type="dxa"/>
            </w:tcMar>
            <w:vAlign w:val="center"/>
            <w:hideMark/>
          </w:tcPr>
          <w:p w:rsidR="0053085A" w:rsidRPr="00A32AF4" w:rsidRDefault="0053085A" w:rsidP="00DC0553">
            <w:pPr>
              <w:keepNext/>
              <w:keepLines/>
              <w:jc w:val="center"/>
              <w:rPr>
                <w:rFonts w:cs="Arial"/>
                <w:b/>
                <w:bCs/>
                <w:sz w:val="18"/>
                <w:szCs w:val="18"/>
              </w:rPr>
            </w:pPr>
            <w:r w:rsidRPr="00A32AF4">
              <w:rPr>
                <w:rFonts w:cs="Arial"/>
                <w:b/>
                <w:bCs/>
                <w:sz w:val="18"/>
                <w:szCs w:val="18"/>
              </w:rPr>
              <w:t>Résultats escomptés</w:t>
            </w:r>
          </w:p>
        </w:tc>
        <w:tc>
          <w:tcPr>
            <w:tcW w:w="2560" w:type="dxa"/>
            <w:tcBorders>
              <w:top w:val="single" w:sz="4" w:space="0" w:color="auto"/>
              <w:bottom w:val="single" w:sz="4" w:space="0" w:color="auto"/>
            </w:tcBorders>
            <w:shd w:val="clear" w:color="auto" w:fill="C6D9F1" w:themeFill="text2" w:themeFillTint="33"/>
            <w:tcMar>
              <w:top w:w="113" w:type="dxa"/>
              <w:bottom w:w="113" w:type="dxa"/>
            </w:tcMar>
            <w:vAlign w:val="center"/>
            <w:hideMark/>
          </w:tcPr>
          <w:p w:rsidR="0053085A" w:rsidRPr="00A32AF4" w:rsidRDefault="0053085A" w:rsidP="00DC0553">
            <w:pPr>
              <w:keepNext/>
              <w:keepLines/>
              <w:jc w:val="center"/>
              <w:rPr>
                <w:rFonts w:cs="Arial"/>
                <w:b/>
                <w:bCs/>
                <w:sz w:val="18"/>
                <w:szCs w:val="18"/>
              </w:rPr>
            </w:pPr>
            <w:r w:rsidRPr="00A32AF4">
              <w:rPr>
                <w:rFonts w:cs="Arial"/>
                <w:b/>
                <w:bCs/>
                <w:sz w:val="18"/>
                <w:szCs w:val="18"/>
              </w:rPr>
              <w:t>Indicateurs d</w:t>
            </w:r>
            <w:r w:rsidR="00E2055A" w:rsidRPr="00A32AF4">
              <w:rPr>
                <w:rFonts w:cs="Arial"/>
                <w:b/>
                <w:bCs/>
                <w:sz w:val="18"/>
                <w:szCs w:val="18"/>
              </w:rPr>
              <w:t>’</w:t>
            </w:r>
            <w:r w:rsidRPr="00A32AF4">
              <w:rPr>
                <w:rFonts w:cs="Arial"/>
                <w:b/>
                <w:bCs/>
                <w:sz w:val="18"/>
                <w:szCs w:val="18"/>
              </w:rPr>
              <w:t>exécution</w:t>
            </w:r>
          </w:p>
        </w:tc>
        <w:tc>
          <w:tcPr>
            <w:tcW w:w="2080" w:type="dxa"/>
            <w:tcBorders>
              <w:top w:val="single" w:sz="4" w:space="0" w:color="auto"/>
              <w:bottom w:val="single" w:sz="4" w:space="0" w:color="auto"/>
            </w:tcBorders>
            <w:shd w:val="clear" w:color="auto" w:fill="C6D9F1" w:themeFill="text2" w:themeFillTint="33"/>
            <w:tcMar>
              <w:top w:w="113" w:type="dxa"/>
              <w:bottom w:w="113" w:type="dxa"/>
            </w:tcMar>
            <w:vAlign w:val="center"/>
            <w:hideMark/>
          </w:tcPr>
          <w:p w:rsidR="0053085A" w:rsidRPr="00A32AF4" w:rsidRDefault="0053085A" w:rsidP="00DC0553">
            <w:pPr>
              <w:keepNext/>
              <w:keepLines/>
              <w:jc w:val="center"/>
              <w:rPr>
                <w:rFonts w:cs="Arial"/>
                <w:b/>
                <w:bCs/>
                <w:sz w:val="18"/>
                <w:szCs w:val="18"/>
              </w:rPr>
            </w:pPr>
            <w:r w:rsidRPr="00A32AF4">
              <w:rPr>
                <w:rFonts w:cs="Arial"/>
                <w:b/>
                <w:bCs/>
                <w:sz w:val="18"/>
                <w:szCs w:val="18"/>
              </w:rPr>
              <w:t>Niveau de référence</w:t>
            </w:r>
          </w:p>
        </w:tc>
        <w:tc>
          <w:tcPr>
            <w:tcW w:w="2313" w:type="dxa"/>
            <w:tcBorders>
              <w:top w:val="single" w:sz="4" w:space="0" w:color="auto"/>
              <w:bottom w:val="single" w:sz="4" w:space="0" w:color="auto"/>
            </w:tcBorders>
            <w:shd w:val="clear" w:color="auto" w:fill="C6D9F1" w:themeFill="text2" w:themeFillTint="33"/>
            <w:tcMar>
              <w:top w:w="113" w:type="dxa"/>
              <w:bottom w:w="113" w:type="dxa"/>
            </w:tcMar>
            <w:vAlign w:val="center"/>
            <w:hideMark/>
          </w:tcPr>
          <w:p w:rsidR="0053085A" w:rsidRPr="00A32AF4" w:rsidRDefault="0053085A" w:rsidP="00DC0553">
            <w:pPr>
              <w:keepNext/>
              <w:keepLines/>
              <w:jc w:val="center"/>
              <w:rPr>
                <w:rFonts w:cs="Arial"/>
                <w:b/>
                <w:bCs/>
                <w:sz w:val="18"/>
                <w:szCs w:val="18"/>
              </w:rPr>
            </w:pPr>
            <w:r w:rsidRPr="00A32AF4">
              <w:rPr>
                <w:rFonts w:cs="Arial"/>
                <w:b/>
                <w:bCs/>
                <w:sz w:val="18"/>
                <w:szCs w:val="18"/>
              </w:rPr>
              <w:t>Objectifs visés</w:t>
            </w:r>
          </w:p>
        </w:tc>
      </w:tr>
      <w:tr w:rsidR="0053085A" w:rsidRPr="00A32AF4" w:rsidTr="0081561A">
        <w:trPr>
          <w:cantSplit/>
        </w:trPr>
        <w:tc>
          <w:tcPr>
            <w:tcW w:w="2560" w:type="dxa"/>
            <w:tcBorders>
              <w:top w:val="single" w:sz="4" w:space="0" w:color="auto"/>
            </w:tcBorders>
            <w:shd w:val="clear" w:color="000000" w:fill="FFFFFF"/>
            <w:tcMar>
              <w:top w:w="113" w:type="dxa"/>
              <w:bottom w:w="113" w:type="dxa"/>
            </w:tcMar>
            <w:hideMark/>
          </w:tcPr>
          <w:p w:rsidR="0053085A" w:rsidRPr="00A32AF4" w:rsidRDefault="0053085A" w:rsidP="00DC0553">
            <w:pPr>
              <w:keepNext/>
              <w:keepLines/>
              <w:rPr>
                <w:rFonts w:cs="Arial"/>
                <w:sz w:val="16"/>
                <w:szCs w:val="16"/>
              </w:rPr>
            </w:pPr>
            <w:r w:rsidRPr="00A32AF4">
              <w:rPr>
                <w:rFonts w:cs="Arial"/>
                <w:sz w:val="16"/>
                <w:szCs w:val="16"/>
              </w:rPr>
              <w:t>IV.2 Amélioration de l</w:t>
            </w:r>
            <w:r w:rsidR="00E2055A" w:rsidRPr="00A32AF4">
              <w:rPr>
                <w:rFonts w:cs="Arial"/>
                <w:sz w:val="16"/>
                <w:szCs w:val="16"/>
              </w:rPr>
              <w:t>’</w:t>
            </w:r>
            <w:r w:rsidRPr="00A32AF4">
              <w:rPr>
                <w:rFonts w:cs="Arial"/>
                <w:sz w:val="16"/>
                <w:szCs w:val="16"/>
              </w:rPr>
              <w:t>accessibilité et de l</w:t>
            </w:r>
            <w:r w:rsidR="00E2055A" w:rsidRPr="00A32AF4">
              <w:rPr>
                <w:rFonts w:cs="Arial"/>
                <w:sz w:val="16"/>
                <w:szCs w:val="16"/>
              </w:rPr>
              <w:t>’</w:t>
            </w:r>
            <w:r w:rsidRPr="00A32AF4">
              <w:rPr>
                <w:rFonts w:cs="Arial"/>
                <w:sz w:val="16"/>
                <w:szCs w:val="16"/>
              </w:rPr>
              <w:t>utilisation de l</w:t>
            </w:r>
            <w:r w:rsidR="00E2055A" w:rsidRPr="00A32AF4">
              <w:rPr>
                <w:rFonts w:cs="Arial"/>
                <w:sz w:val="16"/>
                <w:szCs w:val="16"/>
              </w:rPr>
              <w:t>’</w:t>
            </w:r>
            <w:r w:rsidRPr="00A32AF4">
              <w:rPr>
                <w:rFonts w:cs="Arial"/>
                <w:sz w:val="16"/>
                <w:szCs w:val="16"/>
              </w:rPr>
              <w:t>information en matière de propriété intellectuelle par les institutions compétentes et le public afin de promouvoir l</w:t>
            </w:r>
            <w:r w:rsidR="00E2055A" w:rsidRPr="00A32AF4">
              <w:rPr>
                <w:rFonts w:cs="Arial"/>
                <w:sz w:val="16"/>
                <w:szCs w:val="16"/>
              </w:rPr>
              <w:t>’</w:t>
            </w:r>
            <w:r w:rsidRPr="00A32AF4">
              <w:rPr>
                <w:rFonts w:cs="Arial"/>
                <w:sz w:val="16"/>
                <w:szCs w:val="16"/>
              </w:rPr>
              <w:t>innovation et la créativité</w:t>
            </w:r>
          </w:p>
        </w:tc>
        <w:tc>
          <w:tcPr>
            <w:tcW w:w="2560" w:type="dxa"/>
            <w:tcBorders>
              <w:top w:val="single" w:sz="4" w:space="0" w:color="auto"/>
            </w:tcBorders>
            <w:shd w:val="clear" w:color="000000" w:fill="FFFFFF"/>
            <w:tcMar>
              <w:top w:w="113" w:type="dxa"/>
              <w:bottom w:w="113" w:type="dxa"/>
            </w:tcMar>
            <w:hideMark/>
          </w:tcPr>
          <w:p w:rsidR="0053085A" w:rsidRPr="00A32AF4" w:rsidRDefault="0053085A" w:rsidP="00DC0553">
            <w:pPr>
              <w:keepNext/>
              <w:keepLines/>
              <w:rPr>
                <w:rFonts w:cs="Arial"/>
                <w:sz w:val="16"/>
                <w:szCs w:val="16"/>
              </w:rPr>
            </w:pPr>
            <w:r w:rsidRPr="00A32AF4">
              <w:rPr>
                <w:rFonts w:cs="Arial"/>
                <w:sz w:val="16"/>
                <w:szCs w:val="16"/>
              </w:rPr>
              <w:t>Augmentation du nombre d</w:t>
            </w:r>
            <w:r w:rsidR="00E2055A" w:rsidRPr="00A32AF4">
              <w:rPr>
                <w:rFonts w:cs="Arial"/>
                <w:sz w:val="16"/>
                <w:szCs w:val="16"/>
              </w:rPr>
              <w:t>’</w:t>
            </w:r>
            <w:r w:rsidRPr="00A32AF4">
              <w:rPr>
                <w:rFonts w:cs="Arial"/>
                <w:sz w:val="16"/>
                <w:szCs w:val="16"/>
              </w:rPr>
              <w:t>utilisateurs de WIPO Lex</w:t>
            </w:r>
          </w:p>
        </w:tc>
        <w:tc>
          <w:tcPr>
            <w:tcW w:w="2080" w:type="dxa"/>
            <w:tcBorders>
              <w:top w:val="single" w:sz="4" w:space="0" w:color="auto"/>
            </w:tcBorders>
            <w:shd w:val="clear" w:color="000000" w:fill="FFFFFF"/>
            <w:tcMar>
              <w:top w:w="113" w:type="dxa"/>
              <w:bottom w:w="113" w:type="dxa"/>
            </w:tcMar>
            <w:hideMark/>
          </w:tcPr>
          <w:p w:rsidR="00F93B76" w:rsidRPr="00A32AF4" w:rsidRDefault="0053085A" w:rsidP="00DC0553">
            <w:pPr>
              <w:keepNext/>
              <w:keepLines/>
              <w:rPr>
                <w:rFonts w:cs="Arial"/>
                <w:sz w:val="16"/>
                <w:szCs w:val="16"/>
              </w:rPr>
            </w:pPr>
            <w:r w:rsidRPr="00A32AF4">
              <w:rPr>
                <w:rFonts w:cs="Arial"/>
                <w:sz w:val="16"/>
                <w:szCs w:val="16"/>
              </w:rPr>
              <w:t>2 236 486 (2012</w:t>
            </w:r>
            <w:r w:rsidR="00EB7F54" w:rsidRPr="00A32AF4">
              <w:rPr>
                <w:rFonts w:cs="Arial"/>
                <w:sz w:val="16"/>
                <w:szCs w:val="16"/>
              </w:rPr>
              <w:noBreakHyphen/>
            </w:r>
            <w:r w:rsidRPr="00A32AF4">
              <w:rPr>
                <w:rFonts w:cs="Arial"/>
                <w:sz w:val="16"/>
                <w:szCs w:val="16"/>
              </w:rPr>
              <w:t>2013)</w:t>
            </w:r>
          </w:p>
          <w:p w:rsidR="0053085A" w:rsidRPr="00A32AF4" w:rsidRDefault="0053085A" w:rsidP="00DC0553">
            <w:pPr>
              <w:keepNext/>
              <w:keepLines/>
              <w:rPr>
                <w:rFonts w:cs="Arial"/>
                <w:sz w:val="16"/>
                <w:szCs w:val="16"/>
              </w:rPr>
            </w:pPr>
            <w:r w:rsidRPr="00A32AF4">
              <w:rPr>
                <w:rFonts w:cs="Arial"/>
                <w:sz w:val="16"/>
                <w:szCs w:val="16"/>
              </w:rPr>
              <w:t>1 506 508 (2014)</w:t>
            </w:r>
          </w:p>
        </w:tc>
        <w:tc>
          <w:tcPr>
            <w:tcW w:w="2313" w:type="dxa"/>
            <w:tcBorders>
              <w:top w:val="single" w:sz="4" w:space="0" w:color="auto"/>
            </w:tcBorders>
            <w:shd w:val="clear" w:color="000000" w:fill="FFFFFF"/>
            <w:tcMar>
              <w:top w:w="113" w:type="dxa"/>
              <w:bottom w:w="113" w:type="dxa"/>
            </w:tcMar>
            <w:hideMark/>
          </w:tcPr>
          <w:p w:rsidR="0053085A" w:rsidRPr="00A32AF4" w:rsidRDefault="0053085A" w:rsidP="00DC0553">
            <w:pPr>
              <w:keepNext/>
              <w:keepLines/>
              <w:rPr>
                <w:rFonts w:cs="Arial"/>
                <w:sz w:val="16"/>
                <w:szCs w:val="16"/>
              </w:rPr>
            </w:pPr>
            <w:r w:rsidRPr="00A32AF4">
              <w:rPr>
                <w:rFonts w:cs="Arial"/>
                <w:sz w:val="16"/>
                <w:szCs w:val="16"/>
              </w:rPr>
              <w:t>Augmentation de 20%</w:t>
            </w:r>
          </w:p>
        </w:tc>
      </w:tr>
      <w:tr w:rsidR="0053085A" w:rsidRPr="00A32AF4" w:rsidTr="0081561A">
        <w:trPr>
          <w:cantSplit/>
        </w:trPr>
        <w:tc>
          <w:tcPr>
            <w:tcW w:w="2560" w:type="dxa"/>
            <w:vMerge w:val="restart"/>
            <w:shd w:val="clear" w:color="000000" w:fill="FFFFFF"/>
            <w:tcMar>
              <w:top w:w="113" w:type="dxa"/>
              <w:bottom w:w="113" w:type="dxa"/>
            </w:tcMar>
            <w:hideMark/>
          </w:tcPr>
          <w:p w:rsidR="0053085A" w:rsidRPr="00A32AF4" w:rsidRDefault="0053085A" w:rsidP="00DC0553">
            <w:pPr>
              <w:keepNext/>
              <w:keepLines/>
              <w:rPr>
                <w:rFonts w:cs="Arial"/>
                <w:sz w:val="16"/>
                <w:szCs w:val="16"/>
              </w:rPr>
            </w:pPr>
            <w:r w:rsidRPr="00A32AF4">
              <w:rPr>
                <w:rFonts w:cs="Arial"/>
                <w:sz w:val="16"/>
                <w:szCs w:val="16"/>
              </w:rPr>
              <w:t>VIII.3 Engagement réel auprès des États membres</w:t>
            </w:r>
          </w:p>
        </w:tc>
        <w:tc>
          <w:tcPr>
            <w:tcW w:w="2560" w:type="dxa"/>
            <w:shd w:val="clear" w:color="000000" w:fill="FFFFFF"/>
            <w:tcMar>
              <w:top w:w="113" w:type="dxa"/>
              <w:bottom w:w="113" w:type="dxa"/>
            </w:tcMar>
            <w:hideMark/>
          </w:tcPr>
          <w:p w:rsidR="0053085A" w:rsidRPr="00A32AF4" w:rsidRDefault="0053085A" w:rsidP="00DC0553">
            <w:pPr>
              <w:keepNext/>
              <w:keepLines/>
              <w:rPr>
                <w:rFonts w:cs="Arial"/>
                <w:sz w:val="16"/>
                <w:szCs w:val="16"/>
              </w:rPr>
            </w:pPr>
            <w:r w:rsidRPr="00A32AF4">
              <w:rPr>
                <w:rFonts w:cs="Arial"/>
                <w:sz w:val="16"/>
                <w:szCs w:val="16"/>
              </w:rPr>
              <w:t>Pourcentage de réunions de comité pour lesquelles des réunions d</w:t>
            </w:r>
            <w:r w:rsidR="00E2055A" w:rsidRPr="00A32AF4">
              <w:rPr>
                <w:rFonts w:cs="Arial"/>
                <w:sz w:val="16"/>
                <w:szCs w:val="16"/>
              </w:rPr>
              <w:t>’</w:t>
            </w:r>
            <w:r w:rsidRPr="00A32AF4">
              <w:rPr>
                <w:rFonts w:cs="Arial"/>
                <w:sz w:val="16"/>
                <w:szCs w:val="16"/>
              </w:rPr>
              <w:t>information préalables sont tenues pour les États membres</w:t>
            </w:r>
          </w:p>
        </w:tc>
        <w:tc>
          <w:tcPr>
            <w:tcW w:w="2080" w:type="dxa"/>
            <w:shd w:val="clear" w:color="000000" w:fill="FFFFFF"/>
            <w:tcMar>
              <w:top w:w="113" w:type="dxa"/>
              <w:bottom w:w="113" w:type="dxa"/>
            </w:tcMar>
            <w:hideMark/>
          </w:tcPr>
          <w:p w:rsidR="0053085A" w:rsidRPr="00A32AF4" w:rsidRDefault="0053085A" w:rsidP="00DC0553">
            <w:pPr>
              <w:keepNext/>
              <w:keepLines/>
              <w:rPr>
                <w:rFonts w:cs="Arial"/>
                <w:sz w:val="16"/>
                <w:szCs w:val="16"/>
              </w:rPr>
            </w:pPr>
            <w:r w:rsidRPr="00A32AF4">
              <w:rPr>
                <w:rFonts w:cs="Arial"/>
                <w:sz w:val="16"/>
                <w:szCs w:val="16"/>
              </w:rPr>
              <w:t>93% (fin 2014)</w:t>
            </w:r>
          </w:p>
        </w:tc>
        <w:tc>
          <w:tcPr>
            <w:tcW w:w="2313" w:type="dxa"/>
            <w:shd w:val="clear" w:color="000000" w:fill="FFFFFF"/>
            <w:tcMar>
              <w:top w:w="113" w:type="dxa"/>
              <w:bottom w:w="113" w:type="dxa"/>
            </w:tcMar>
            <w:hideMark/>
          </w:tcPr>
          <w:p w:rsidR="0053085A" w:rsidRPr="00A32AF4" w:rsidRDefault="0053085A" w:rsidP="00DC0553">
            <w:pPr>
              <w:keepNext/>
              <w:keepLines/>
              <w:rPr>
                <w:rFonts w:cs="Arial"/>
                <w:sz w:val="16"/>
                <w:szCs w:val="16"/>
              </w:rPr>
            </w:pPr>
            <w:r w:rsidRPr="00A32AF4">
              <w:rPr>
                <w:rFonts w:cs="Arial"/>
                <w:sz w:val="16"/>
                <w:szCs w:val="16"/>
              </w:rPr>
              <w:t>90%</w:t>
            </w:r>
          </w:p>
        </w:tc>
      </w:tr>
      <w:tr w:rsidR="0053085A" w:rsidRPr="00A32AF4" w:rsidTr="0081561A">
        <w:trPr>
          <w:cantSplit/>
        </w:trPr>
        <w:tc>
          <w:tcPr>
            <w:tcW w:w="2560" w:type="dxa"/>
            <w:vMerge/>
            <w:tcMar>
              <w:top w:w="113" w:type="dxa"/>
              <w:bottom w:w="113" w:type="dxa"/>
            </w:tcMar>
            <w:vAlign w:val="center"/>
            <w:hideMark/>
          </w:tcPr>
          <w:p w:rsidR="0053085A" w:rsidRPr="00A32AF4" w:rsidRDefault="0053085A" w:rsidP="00DC0553">
            <w:pPr>
              <w:rPr>
                <w:rFonts w:cs="Arial"/>
                <w:sz w:val="16"/>
                <w:szCs w:val="16"/>
              </w:rPr>
            </w:pPr>
          </w:p>
        </w:tc>
        <w:tc>
          <w:tcPr>
            <w:tcW w:w="2560" w:type="dxa"/>
            <w:shd w:val="clear" w:color="000000" w:fill="FFFFFF"/>
            <w:tcMar>
              <w:top w:w="113" w:type="dxa"/>
              <w:bottom w:w="113" w:type="dxa"/>
            </w:tcMar>
            <w:hideMark/>
          </w:tcPr>
          <w:p w:rsidR="0053085A" w:rsidRPr="00A32AF4" w:rsidRDefault="0053085A" w:rsidP="00DC0553">
            <w:pPr>
              <w:rPr>
                <w:rFonts w:cs="Arial"/>
                <w:sz w:val="16"/>
                <w:szCs w:val="16"/>
              </w:rPr>
            </w:pPr>
            <w:r w:rsidRPr="00A32AF4">
              <w:rPr>
                <w:rFonts w:cs="Arial"/>
                <w:sz w:val="16"/>
                <w:szCs w:val="16"/>
              </w:rPr>
              <w:t>Pourcentage d</w:t>
            </w:r>
            <w:r w:rsidR="00E2055A" w:rsidRPr="00A32AF4">
              <w:rPr>
                <w:rFonts w:cs="Arial"/>
                <w:sz w:val="16"/>
                <w:szCs w:val="16"/>
              </w:rPr>
              <w:t>’</w:t>
            </w:r>
            <w:r w:rsidRPr="00A32AF4">
              <w:rPr>
                <w:rFonts w:cs="Arial"/>
                <w:sz w:val="16"/>
                <w:szCs w:val="16"/>
              </w:rPr>
              <w:t>actes d</w:t>
            </w:r>
            <w:r w:rsidR="00E2055A" w:rsidRPr="00A32AF4">
              <w:rPr>
                <w:rFonts w:cs="Arial"/>
                <w:sz w:val="16"/>
                <w:szCs w:val="16"/>
              </w:rPr>
              <w:t>’</w:t>
            </w:r>
            <w:r w:rsidRPr="00A32AF4">
              <w:rPr>
                <w:rFonts w:cs="Arial"/>
                <w:sz w:val="16"/>
                <w:szCs w:val="16"/>
              </w:rPr>
              <w:t xml:space="preserve">adhésion et autres actes accomplis </w:t>
            </w:r>
            <w:r w:rsidR="00E2055A" w:rsidRPr="00A32AF4">
              <w:rPr>
                <w:rFonts w:cs="Arial"/>
                <w:sz w:val="16"/>
                <w:szCs w:val="16"/>
              </w:rPr>
              <w:t>à l’égard</w:t>
            </w:r>
            <w:r w:rsidRPr="00A32AF4">
              <w:rPr>
                <w:rFonts w:cs="Arial"/>
                <w:sz w:val="16"/>
                <w:szCs w:val="16"/>
              </w:rPr>
              <w:t xml:space="preserve"> de traités faisant l</w:t>
            </w:r>
            <w:r w:rsidR="00E2055A" w:rsidRPr="00A32AF4">
              <w:rPr>
                <w:rFonts w:cs="Arial"/>
                <w:sz w:val="16"/>
                <w:szCs w:val="16"/>
              </w:rPr>
              <w:t>’</w:t>
            </w:r>
            <w:r w:rsidRPr="00A32AF4">
              <w:rPr>
                <w:rFonts w:cs="Arial"/>
                <w:sz w:val="16"/>
                <w:szCs w:val="16"/>
              </w:rPr>
              <w:t>objet d</w:t>
            </w:r>
            <w:r w:rsidR="00E2055A" w:rsidRPr="00A32AF4">
              <w:rPr>
                <w:rFonts w:cs="Arial"/>
                <w:sz w:val="16"/>
                <w:szCs w:val="16"/>
              </w:rPr>
              <w:t>’</w:t>
            </w:r>
            <w:r w:rsidRPr="00A32AF4">
              <w:rPr>
                <w:rFonts w:cs="Arial"/>
                <w:sz w:val="16"/>
                <w:szCs w:val="16"/>
              </w:rPr>
              <w:t>un traitement dans les délais requis</w:t>
            </w:r>
          </w:p>
        </w:tc>
        <w:tc>
          <w:tcPr>
            <w:tcW w:w="2080" w:type="dxa"/>
            <w:shd w:val="clear" w:color="000000" w:fill="FFFFFF"/>
            <w:tcMar>
              <w:top w:w="113" w:type="dxa"/>
              <w:bottom w:w="113" w:type="dxa"/>
            </w:tcMar>
            <w:hideMark/>
          </w:tcPr>
          <w:p w:rsidR="0053085A" w:rsidRPr="00A32AF4" w:rsidRDefault="0053085A" w:rsidP="00DC0553">
            <w:pPr>
              <w:rPr>
                <w:rFonts w:cs="Arial"/>
                <w:sz w:val="16"/>
                <w:szCs w:val="16"/>
              </w:rPr>
            </w:pPr>
            <w:r w:rsidRPr="00A32AF4">
              <w:rPr>
                <w:rFonts w:cs="Arial"/>
                <w:sz w:val="16"/>
                <w:szCs w:val="16"/>
              </w:rPr>
              <w:t>95% traitées dans les trois jours (fin 2014)</w:t>
            </w:r>
          </w:p>
        </w:tc>
        <w:tc>
          <w:tcPr>
            <w:tcW w:w="2313" w:type="dxa"/>
            <w:shd w:val="clear" w:color="000000" w:fill="FFFFFF"/>
            <w:tcMar>
              <w:top w:w="113" w:type="dxa"/>
              <w:bottom w:w="113" w:type="dxa"/>
            </w:tcMar>
            <w:hideMark/>
          </w:tcPr>
          <w:p w:rsidR="0053085A" w:rsidRPr="00A32AF4" w:rsidRDefault="0053085A" w:rsidP="00DC0553">
            <w:pPr>
              <w:rPr>
                <w:rFonts w:cs="Arial"/>
                <w:sz w:val="16"/>
                <w:szCs w:val="16"/>
              </w:rPr>
            </w:pPr>
            <w:r w:rsidRPr="00A32AF4">
              <w:rPr>
                <w:rFonts w:cs="Arial"/>
                <w:sz w:val="16"/>
                <w:szCs w:val="16"/>
              </w:rPr>
              <w:t>95% traitées dans les trois jours</w:t>
            </w:r>
          </w:p>
        </w:tc>
      </w:tr>
      <w:tr w:rsidR="0053085A" w:rsidRPr="00A32AF4" w:rsidTr="0081561A">
        <w:trPr>
          <w:cantSplit/>
        </w:trPr>
        <w:tc>
          <w:tcPr>
            <w:tcW w:w="2560" w:type="dxa"/>
            <w:vMerge/>
            <w:tcMar>
              <w:top w:w="113" w:type="dxa"/>
              <w:bottom w:w="113" w:type="dxa"/>
            </w:tcMar>
            <w:vAlign w:val="center"/>
            <w:hideMark/>
          </w:tcPr>
          <w:p w:rsidR="0053085A" w:rsidRPr="00A32AF4" w:rsidRDefault="0053085A" w:rsidP="00DC0553">
            <w:pPr>
              <w:rPr>
                <w:rFonts w:cs="Arial"/>
                <w:sz w:val="16"/>
                <w:szCs w:val="16"/>
              </w:rPr>
            </w:pPr>
          </w:p>
        </w:tc>
        <w:tc>
          <w:tcPr>
            <w:tcW w:w="2560" w:type="dxa"/>
            <w:shd w:val="clear" w:color="000000" w:fill="FFFFFF"/>
            <w:tcMar>
              <w:top w:w="113" w:type="dxa"/>
              <w:bottom w:w="113" w:type="dxa"/>
            </w:tcMar>
            <w:hideMark/>
          </w:tcPr>
          <w:p w:rsidR="0053085A" w:rsidRPr="00A32AF4" w:rsidRDefault="0053085A" w:rsidP="00DC0553">
            <w:pPr>
              <w:rPr>
                <w:rFonts w:cs="Arial"/>
                <w:sz w:val="16"/>
                <w:szCs w:val="16"/>
              </w:rPr>
            </w:pPr>
            <w:r w:rsidRPr="00A32AF4">
              <w:rPr>
                <w:rFonts w:cs="Arial"/>
                <w:sz w:val="16"/>
                <w:szCs w:val="16"/>
              </w:rPr>
              <w:t>Délais de publication des documents des assemblées</w:t>
            </w:r>
          </w:p>
        </w:tc>
        <w:tc>
          <w:tcPr>
            <w:tcW w:w="2080" w:type="dxa"/>
            <w:shd w:val="clear" w:color="000000" w:fill="FFFFFF"/>
            <w:tcMar>
              <w:top w:w="113" w:type="dxa"/>
              <w:bottom w:w="113" w:type="dxa"/>
            </w:tcMar>
            <w:hideMark/>
          </w:tcPr>
          <w:p w:rsidR="0053085A" w:rsidRPr="00A32AF4" w:rsidRDefault="0053085A" w:rsidP="00DC0553">
            <w:pPr>
              <w:rPr>
                <w:rFonts w:cs="Arial"/>
                <w:sz w:val="16"/>
                <w:szCs w:val="16"/>
              </w:rPr>
            </w:pPr>
            <w:r w:rsidRPr="00A32AF4">
              <w:rPr>
                <w:rFonts w:cs="Arial"/>
                <w:sz w:val="16"/>
                <w:szCs w:val="16"/>
              </w:rPr>
              <w:t>96% des documents publiés deux mois avant les assemblées de 2014</w:t>
            </w:r>
          </w:p>
        </w:tc>
        <w:tc>
          <w:tcPr>
            <w:tcW w:w="2313" w:type="dxa"/>
            <w:shd w:val="clear" w:color="000000" w:fill="FFFFFF"/>
            <w:tcMar>
              <w:top w:w="113" w:type="dxa"/>
              <w:bottom w:w="113" w:type="dxa"/>
            </w:tcMar>
            <w:hideMark/>
          </w:tcPr>
          <w:p w:rsidR="0053085A" w:rsidRPr="00A32AF4" w:rsidRDefault="0053085A" w:rsidP="00DC0553">
            <w:pPr>
              <w:rPr>
                <w:rFonts w:cs="Arial"/>
                <w:sz w:val="16"/>
                <w:szCs w:val="16"/>
              </w:rPr>
            </w:pPr>
            <w:r w:rsidRPr="00A32AF4">
              <w:rPr>
                <w:rFonts w:cs="Arial"/>
                <w:sz w:val="16"/>
                <w:szCs w:val="16"/>
              </w:rPr>
              <w:t>95% des documents publiés deux mois avant les assemblées</w:t>
            </w:r>
          </w:p>
        </w:tc>
      </w:tr>
      <w:tr w:rsidR="0053085A" w:rsidRPr="00A32AF4" w:rsidTr="0081561A">
        <w:trPr>
          <w:cantSplit/>
        </w:trPr>
        <w:tc>
          <w:tcPr>
            <w:tcW w:w="2560" w:type="dxa"/>
            <w:vMerge/>
            <w:tcMar>
              <w:top w:w="113" w:type="dxa"/>
              <w:bottom w:w="113" w:type="dxa"/>
            </w:tcMar>
            <w:vAlign w:val="center"/>
            <w:hideMark/>
          </w:tcPr>
          <w:p w:rsidR="0053085A" w:rsidRPr="00A32AF4" w:rsidRDefault="0053085A" w:rsidP="00DC0553">
            <w:pPr>
              <w:rPr>
                <w:rFonts w:cs="Arial"/>
                <w:sz w:val="16"/>
                <w:szCs w:val="16"/>
              </w:rPr>
            </w:pPr>
          </w:p>
        </w:tc>
        <w:tc>
          <w:tcPr>
            <w:tcW w:w="2560" w:type="dxa"/>
            <w:shd w:val="clear" w:color="000000" w:fill="FFFFFF"/>
            <w:tcMar>
              <w:top w:w="113" w:type="dxa"/>
              <w:bottom w:w="113" w:type="dxa"/>
            </w:tcMar>
            <w:hideMark/>
          </w:tcPr>
          <w:p w:rsidR="0053085A" w:rsidRPr="00A32AF4" w:rsidRDefault="0053085A" w:rsidP="00DC0553">
            <w:pPr>
              <w:rPr>
                <w:rFonts w:cs="Arial"/>
                <w:sz w:val="16"/>
                <w:szCs w:val="16"/>
              </w:rPr>
            </w:pPr>
            <w:r w:rsidRPr="00A32AF4">
              <w:rPr>
                <w:rFonts w:cs="Arial"/>
                <w:sz w:val="16"/>
                <w:szCs w:val="16"/>
              </w:rPr>
              <w:t>Taux de satisfaction des États membres et des parties prenantes en ce concerne l</w:t>
            </w:r>
            <w:r w:rsidR="00E2055A" w:rsidRPr="00A32AF4">
              <w:rPr>
                <w:rFonts w:cs="Arial"/>
                <w:sz w:val="16"/>
                <w:szCs w:val="16"/>
              </w:rPr>
              <w:t>’</w:t>
            </w:r>
            <w:r w:rsidRPr="00A32AF4">
              <w:rPr>
                <w:rFonts w:cs="Arial"/>
                <w:sz w:val="16"/>
                <w:szCs w:val="16"/>
              </w:rPr>
              <w:t>organisation des événements</w:t>
            </w:r>
          </w:p>
        </w:tc>
        <w:tc>
          <w:tcPr>
            <w:tcW w:w="2080" w:type="dxa"/>
            <w:shd w:val="clear" w:color="000000" w:fill="FFFFFF"/>
            <w:tcMar>
              <w:top w:w="113" w:type="dxa"/>
              <w:bottom w:w="113" w:type="dxa"/>
            </w:tcMar>
            <w:hideMark/>
          </w:tcPr>
          <w:p w:rsidR="0053085A" w:rsidRPr="00A32AF4" w:rsidRDefault="0053085A" w:rsidP="00DC0553">
            <w:pPr>
              <w:rPr>
                <w:rFonts w:cs="Arial"/>
                <w:sz w:val="16"/>
                <w:szCs w:val="16"/>
              </w:rPr>
            </w:pPr>
            <w:r w:rsidRPr="00A32AF4">
              <w:rPr>
                <w:rFonts w:cs="Arial"/>
                <w:sz w:val="16"/>
                <w:szCs w:val="16"/>
              </w:rPr>
              <w:t>Résultats de l</w:t>
            </w:r>
            <w:r w:rsidR="00E2055A" w:rsidRPr="00A32AF4">
              <w:rPr>
                <w:rFonts w:cs="Arial"/>
                <w:sz w:val="16"/>
                <w:szCs w:val="16"/>
              </w:rPr>
              <w:t>’</w:t>
            </w:r>
            <w:r w:rsidRPr="00A32AF4">
              <w:rPr>
                <w:rFonts w:cs="Arial"/>
                <w:sz w:val="16"/>
                <w:szCs w:val="16"/>
              </w:rPr>
              <w:t>enquête de 2014 : 82%</w:t>
            </w:r>
          </w:p>
        </w:tc>
        <w:tc>
          <w:tcPr>
            <w:tcW w:w="2313" w:type="dxa"/>
            <w:shd w:val="clear" w:color="000000" w:fill="FFFFFF"/>
            <w:tcMar>
              <w:top w:w="113" w:type="dxa"/>
              <w:bottom w:w="113" w:type="dxa"/>
            </w:tcMar>
            <w:hideMark/>
          </w:tcPr>
          <w:p w:rsidR="0053085A" w:rsidRPr="00A32AF4" w:rsidRDefault="0053085A" w:rsidP="00DC0553">
            <w:pPr>
              <w:rPr>
                <w:rFonts w:cs="Arial"/>
                <w:sz w:val="16"/>
                <w:szCs w:val="16"/>
              </w:rPr>
            </w:pPr>
            <w:r w:rsidRPr="00A32AF4">
              <w:rPr>
                <w:rFonts w:cs="Arial"/>
                <w:sz w:val="16"/>
                <w:szCs w:val="16"/>
              </w:rPr>
              <w:t>85%</w:t>
            </w:r>
          </w:p>
        </w:tc>
      </w:tr>
      <w:tr w:rsidR="0053085A" w:rsidRPr="00A32AF4" w:rsidTr="0081561A">
        <w:trPr>
          <w:cantSplit/>
        </w:trPr>
        <w:tc>
          <w:tcPr>
            <w:tcW w:w="2560" w:type="dxa"/>
            <w:vMerge/>
            <w:tcMar>
              <w:top w:w="113" w:type="dxa"/>
              <w:bottom w:w="113" w:type="dxa"/>
            </w:tcMar>
            <w:vAlign w:val="center"/>
            <w:hideMark/>
          </w:tcPr>
          <w:p w:rsidR="0053085A" w:rsidRPr="00A32AF4" w:rsidRDefault="0053085A" w:rsidP="00DC0553">
            <w:pPr>
              <w:rPr>
                <w:rFonts w:cs="Arial"/>
                <w:sz w:val="16"/>
                <w:szCs w:val="16"/>
              </w:rPr>
            </w:pPr>
          </w:p>
        </w:tc>
        <w:tc>
          <w:tcPr>
            <w:tcW w:w="2560" w:type="dxa"/>
            <w:shd w:val="clear" w:color="000000" w:fill="FFFFFF"/>
            <w:tcMar>
              <w:top w:w="113" w:type="dxa"/>
              <w:bottom w:w="113" w:type="dxa"/>
            </w:tcMar>
            <w:hideMark/>
          </w:tcPr>
          <w:p w:rsidR="0053085A" w:rsidRPr="00A32AF4" w:rsidRDefault="0053085A" w:rsidP="00DC0553">
            <w:pPr>
              <w:rPr>
                <w:rFonts w:cs="Arial"/>
                <w:sz w:val="16"/>
                <w:szCs w:val="16"/>
              </w:rPr>
            </w:pPr>
            <w:r w:rsidRPr="00A32AF4">
              <w:rPr>
                <w:rFonts w:cs="Arial"/>
                <w:sz w:val="16"/>
                <w:szCs w:val="16"/>
              </w:rPr>
              <w:t>Taux de satisfaction des délégués en ce qui concerne l</w:t>
            </w:r>
            <w:r w:rsidR="00E2055A" w:rsidRPr="00A32AF4">
              <w:rPr>
                <w:rFonts w:cs="Arial"/>
                <w:sz w:val="16"/>
                <w:szCs w:val="16"/>
              </w:rPr>
              <w:t>’</w:t>
            </w:r>
            <w:r w:rsidRPr="00A32AF4">
              <w:rPr>
                <w:rFonts w:cs="Arial"/>
                <w:sz w:val="16"/>
                <w:szCs w:val="16"/>
              </w:rPr>
              <w:t>organisation des assemblées</w:t>
            </w:r>
          </w:p>
        </w:tc>
        <w:tc>
          <w:tcPr>
            <w:tcW w:w="2080" w:type="dxa"/>
            <w:shd w:val="clear" w:color="000000" w:fill="FFFFFF"/>
            <w:tcMar>
              <w:top w:w="113" w:type="dxa"/>
              <w:bottom w:w="113" w:type="dxa"/>
            </w:tcMar>
            <w:hideMark/>
          </w:tcPr>
          <w:p w:rsidR="0053085A" w:rsidRPr="00A32AF4" w:rsidRDefault="0053085A" w:rsidP="00DC0553">
            <w:pPr>
              <w:rPr>
                <w:rFonts w:cs="Arial"/>
                <w:sz w:val="16"/>
                <w:szCs w:val="16"/>
              </w:rPr>
            </w:pPr>
            <w:r w:rsidRPr="00A32AF4">
              <w:rPr>
                <w:rFonts w:cs="Arial"/>
                <w:sz w:val="16"/>
                <w:szCs w:val="16"/>
              </w:rPr>
              <w:t>87% satisfaits des dispositions prises (enquête menée aux assemblées 2014 de l</w:t>
            </w:r>
            <w:r w:rsidR="00E2055A" w:rsidRPr="00A32AF4">
              <w:rPr>
                <w:rFonts w:cs="Arial"/>
                <w:sz w:val="16"/>
                <w:szCs w:val="16"/>
              </w:rPr>
              <w:t>’</w:t>
            </w:r>
            <w:r w:rsidRPr="00A32AF4">
              <w:rPr>
                <w:rFonts w:cs="Arial"/>
                <w:sz w:val="16"/>
                <w:szCs w:val="16"/>
              </w:rPr>
              <w:t>OMPI)</w:t>
            </w:r>
          </w:p>
        </w:tc>
        <w:tc>
          <w:tcPr>
            <w:tcW w:w="2313" w:type="dxa"/>
            <w:shd w:val="clear" w:color="000000" w:fill="FFFFFF"/>
            <w:tcMar>
              <w:top w:w="113" w:type="dxa"/>
              <w:bottom w:w="113" w:type="dxa"/>
            </w:tcMar>
            <w:hideMark/>
          </w:tcPr>
          <w:p w:rsidR="0053085A" w:rsidRPr="00A32AF4" w:rsidRDefault="0053085A" w:rsidP="00DC0553">
            <w:pPr>
              <w:rPr>
                <w:rFonts w:cs="Arial"/>
                <w:sz w:val="16"/>
                <w:szCs w:val="16"/>
              </w:rPr>
            </w:pPr>
            <w:r w:rsidRPr="00A32AF4">
              <w:rPr>
                <w:rFonts w:cs="Arial"/>
                <w:sz w:val="16"/>
                <w:szCs w:val="16"/>
              </w:rPr>
              <w:t>80% satisfaits des dispositions prises</w:t>
            </w:r>
          </w:p>
        </w:tc>
      </w:tr>
      <w:tr w:rsidR="0053085A" w:rsidRPr="00A32AF4" w:rsidTr="0081561A">
        <w:trPr>
          <w:cantSplit/>
        </w:trPr>
        <w:tc>
          <w:tcPr>
            <w:tcW w:w="2560" w:type="dxa"/>
            <w:shd w:val="clear" w:color="000000" w:fill="FFFFFF"/>
            <w:tcMar>
              <w:top w:w="113" w:type="dxa"/>
              <w:bottom w:w="113" w:type="dxa"/>
            </w:tcMar>
          </w:tcPr>
          <w:p w:rsidR="0053085A" w:rsidRPr="00A32AF4" w:rsidRDefault="0053085A" w:rsidP="00DC0553">
            <w:pPr>
              <w:rPr>
                <w:rFonts w:cs="Arial"/>
                <w:color w:val="000000"/>
                <w:sz w:val="16"/>
                <w:szCs w:val="16"/>
              </w:rPr>
            </w:pPr>
            <w:r w:rsidRPr="00A32AF4">
              <w:rPr>
                <w:rFonts w:cs="Arial"/>
                <w:color w:val="000000"/>
                <w:sz w:val="16"/>
                <w:szCs w:val="16"/>
              </w:rPr>
              <w:t xml:space="preserve">VIII.4 </w:t>
            </w:r>
            <w:r w:rsidR="004331C7" w:rsidRPr="00A32AF4">
              <w:rPr>
                <w:rFonts w:cs="Arial"/>
                <w:color w:val="000000"/>
                <w:sz w:val="16"/>
                <w:szCs w:val="16"/>
              </w:rPr>
              <w:t>Échanges ouverts, transparents et dynamiques avec les parties prenantes non gouvernementales</w:t>
            </w:r>
          </w:p>
        </w:tc>
        <w:tc>
          <w:tcPr>
            <w:tcW w:w="2560" w:type="dxa"/>
            <w:shd w:val="clear" w:color="000000" w:fill="FFFFFF"/>
            <w:tcMar>
              <w:top w:w="113" w:type="dxa"/>
              <w:bottom w:w="113" w:type="dxa"/>
            </w:tcMar>
          </w:tcPr>
          <w:p w:rsidR="0053085A" w:rsidRPr="00A32AF4" w:rsidRDefault="0053085A" w:rsidP="00DC0553">
            <w:pPr>
              <w:jc w:val="both"/>
              <w:rPr>
                <w:rFonts w:cs="Arial"/>
                <w:color w:val="000000"/>
                <w:sz w:val="16"/>
                <w:szCs w:val="16"/>
              </w:rPr>
            </w:pPr>
            <w:r w:rsidRPr="00A32AF4">
              <w:rPr>
                <w:rFonts w:cs="Arial"/>
                <w:color w:val="000000"/>
                <w:sz w:val="16"/>
                <w:szCs w:val="16"/>
              </w:rPr>
              <w:t>No</w:t>
            </w:r>
            <w:r w:rsidR="00F40289" w:rsidRPr="00A32AF4">
              <w:rPr>
                <w:rFonts w:cs="Arial"/>
                <w:color w:val="000000"/>
                <w:sz w:val="16"/>
                <w:szCs w:val="16"/>
              </w:rPr>
              <w:t>mbre d</w:t>
            </w:r>
            <w:r w:rsidR="00E2055A" w:rsidRPr="00A32AF4">
              <w:rPr>
                <w:rFonts w:cs="Arial"/>
                <w:color w:val="000000"/>
                <w:sz w:val="16"/>
                <w:szCs w:val="16"/>
              </w:rPr>
              <w:t>’</w:t>
            </w:r>
            <w:r w:rsidR="00F40289" w:rsidRPr="00A32AF4">
              <w:rPr>
                <w:rFonts w:cs="Arial"/>
                <w:color w:val="000000"/>
                <w:sz w:val="16"/>
                <w:szCs w:val="16"/>
              </w:rPr>
              <w:t>ONG ayant le statut d</w:t>
            </w:r>
            <w:r w:rsidR="00E2055A" w:rsidRPr="00A32AF4">
              <w:rPr>
                <w:rFonts w:cs="Arial"/>
                <w:color w:val="000000"/>
                <w:sz w:val="16"/>
                <w:szCs w:val="16"/>
              </w:rPr>
              <w:t>’</w:t>
            </w:r>
            <w:r w:rsidR="00F40289" w:rsidRPr="00A32AF4">
              <w:rPr>
                <w:rFonts w:cs="Arial"/>
                <w:color w:val="000000"/>
                <w:sz w:val="16"/>
                <w:szCs w:val="16"/>
              </w:rPr>
              <w:t>observateur</w:t>
            </w:r>
            <w:r w:rsidRPr="00A32AF4">
              <w:rPr>
                <w:rFonts w:cs="Arial"/>
                <w:color w:val="000000"/>
                <w:sz w:val="16"/>
                <w:szCs w:val="16"/>
              </w:rPr>
              <w:t xml:space="preserve"> permanent </w:t>
            </w:r>
            <w:r w:rsidR="00F40289" w:rsidRPr="00A32AF4">
              <w:rPr>
                <w:rFonts w:cs="Arial"/>
                <w:color w:val="000000"/>
                <w:sz w:val="16"/>
                <w:szCs w:val="16"/>
              </w:rPr>
              <w:t>qui participent aux travaux de l</w:t>
            </w:r>
            <w:r w:rsidR="00E2055A" w:rsidRPr="00A32AF4">
              <w:rPr>
                <w:rFonts w:cs="Arial"/>
                <w:color w:val="000000"/>
                <w:sz w:val="16"/>
                <w:szCs w:val="16"/>
              </w:rPr>
              <w:t>’</w:t>
            </w:r>
            <w:r w:rsidR="00F40289" w:rsidRPr="00A32AF4">
              <w:rPr>
                <w:rFonts w:cs="Arial"/>
                <w:color w:val="000000"/>
                <w:sz w:val="16"/>
                <w:szCs w:val="16"/>
              </w:rPr>
              <w:t xml:space="preserve">OMPI </w:t>
            </w:r>
            <w:r w:rsidR="00D20772" w:rsidRPr="00A32AF4">
              <w:rPr>
                <w:rFonts w:cs="Arial"/>
                <w:color w:val="000000"/>
                <w:sz w:val="16"/>
                <w:szCs w:val="16"/>
              </w:rPr>
              <w:t xml:space="preserve">et </w:t>
            </w:r>
            <w:r w:rsidR="00F40289" w:rsidRPr="00A32AF4">
              <w:rPr>
                <w:rFonts w:cs="Arial"/>
                <w:color w:val="000000"/>
                <w:sz w:val="16"/>
                <w:szCs w:val="16"/>
              </w:rPr>
              <w:t>inversement</w:t>
            </w:r>
          </w:p>
        </w:tc>
        <w:tc>
          <w:tcPr>
            <w:tcW w:w="2080" w:type="dxa"/>
            <w:shd w:val="clear" w:color="000000" w:fill="FFFFFF"/>
            <w:tcMar>
              <w:top w:w="113" w:type="dxa"/>
              <w:bottom w:w="113" w:type="dxa"/>
            </w:tcMar>
          </w:tcPr>
          <w:p w:rsidR="0053085A" w:rsidRPr="00A32AF4" w:rsidRDefault="00702CE5" w:rsidP="00702CE5">
            <w:pPr>
              <w:rPr>
                <w:rFonts w:cs="Arial"/>
                <w:color w:val="000000"/>
                <w:sz w:val="16"/>
                <w:szCs w:val="16"/>
              </w:rPr>
            </w:pPr>
            <w:r w:rsidRPr="00A32AF4">
              <w:rPr>
                <w:rFonts w:cs="Arial"/>
                <w:color w:val="000000"/>
                <w:sz w:val="16"/>
                <w:szCs w:val="16"/>
              </w:rPr>
              <w:t>À</w:t>
            </w:r>
            <w:r w:rsidR="004331C7" w:rsidRPr="00A32AF4">
              <w:rPr>
                <w:rFonts w:cs="Arial"/>
                <w:color w:val="000000"/>
                <w:sz w:val="16"/>
                <w:szCs w:val="16"/>
              </w:rPr>
              <w:t xml:space="preserve"> déterminer</w:t>
            </w:r>
          </w:p>
        </w:tc>
        <w:tc>
          <w:tcPr>
            <w:tcW w:w="2313" w:type="dxa"/>
            <w:shd w:val="clear" w:color="000000" w:fill="FFFFFF"/>
            <w:tcMar>
              <w:top w:w="113" w:type="dxa"/>
              <w:bottom w:w="113" w:type="dxa"/>
            </w:tcMar>
          </w:tcPr>
          <w:p w:rsidR="0053085A" w:rsidRPr="00A32AF4" w:rsidRDefault="00F40289">
            <w:pPr>
              <w:rPr>
                <w:rFonts w:cs="Arial"/>
                <w:color w:val="000000"/>
                <w:sz w:val="16"/>
                <w:szCs w:val="16"/>
              </w:rPr>
            </w:pPr>
            <w:r w:rsidRPr="00A32AF4">
              <w:rPr>
                <w:rFonts w:cs="Arial"/>
                <w:sz w:val="16"/>
                <w:szCs w:val="16"/>
              </w:rPr>
              <w:t xml:space="preserve">Maintenir ou </w:t>
            </w:r>
            <w:r w:rsidR="009615B0" w:rsidRPr="00A32AF4">
              <w:rPr>
                <w:rFonts w:cs="Arial"/>
                <w:sz w:val="16"/>
                <w:szCs w:val="16"/>
              </w:rPr>
              <w:t xml:space="preserve">accroître </w:t>
            </w:r>
            <w:r w:rsidRPr="00A32AF4">
              <w:rPr>
                <w:rFonts w:cs="Arial"/>
                <w:sz w:val="16"/>
                <w:szCs w:val="16"/>
              </w:rPr>
              <w:t>la participation</w:t>
            </w:r>
          </w:p>
        </w:tc>
      </w:tr>
      <w:tr w:rsidR="0053085A" w:rsidRPr="00A32AF4" w:rsidTr="0081561A">
        <w:trPr>
          <w:cantSplit/>
        </w:trPr>
        <w:tc>
          <w:tcPr>
            <w:tcW w:w="2560" w:type="dxa"/>
            <w:shd w:val="clear" w:color="000000" w:fill="FFFFFF"/>
            <w:tcMar>
              <w:top w:w="113" w:type="dxa"/>
              <w:bottom w:w="113" w:type="dxa"/>
            </w:tcMar>
            <w:hideMark/>
          </w:tcPr>
          <w:p w:rsidR="0053085A" w:rsidRPr="00A32AF4" w:rsidRDefault="0053085A" w:rsidP="00DC0553">
            <w:pPr>
              <w:rPr>
                <w:rFonts w:cs="Arial"/>
                <w:sz w:val="16"/>
                <w:szCs w:val="16"/>
              </w:rPr>
            </w:pPr>
            <w:r w:rsidRPr="00A32AF4">
              <w:rPr>
                <w:rFonts w:cs="Arial"/>
                <w:sz w:val="16"/>
                <w:szCs w:val="16"/>
              </w:rPr>
              <w:t>VIII.5 L</w:t>
            </w:r>
            <w:r w:rsidR="00E2055A" w:rsidRPr="00A32AF4">
              <w:rPr>
                <w:rFonts w:cs="Arial"/>
                <w:sz w:val="16"/>
                <w:szCs w:val="16"/>
              </w:rPr>
              <w:t>’</w:t>
            </w:r>
            <w:r w:rsidRPr="00A32AF4">
              <w:rPr>
                <w:rFonts w:cs="Arial"/>
                <w:sz w:val="16"/>
                <w:szCs w:val="16"/>
              </w:rPr>
              <w:t>OMPI collabore efficacement avec d</w:t>
            </w:r>
            <w:r w:rsidR="00E2055A" w:rsidRPr="00A32AF4">
              <w:rPr>
                <w:rFonts w:cs="Arial"/>
                <w:sz w:val="16"/>
                <w:szCs w:val="16"/>
              </w:rPr>
              <w:t>’</w:t>
            </w:r>
            <w:r w:rsidRPr="00A32AF4">
              <w:rPr>
                <w:rFonts w:cs="Arial"/>
                <w:sz w:val="16"/>
                <w:szCs w:val="16"/>
              </w:rPr>
              <w:t>autres processus et instances de négociation de l</w:t>
            </w:r>
            <w:r w:rsidR="00E2055A" w:rsidRPr="00A32AF4">
              <w:rPr>
                <w:rFonts w:cs="Arial"/>
                <w:sz w:val="16"/>
                <w:szCs w:val="16"/>
              </w:rPr>
              <w:t>’</w:t>
            </w:r>
            <w:r w:rsidRPr="00A32AF4">
              <w:rPr>
                <w:rFonts w:cs="Arial"/>
                <w:sz w:val="16"/>
                <w:szCs w:val="16"/>
              </w:rPr>
              <w:t>ONU et d</w:t>
            </w:r>
            <w:r w:rsidR="00E2055A" w:rsidRPr="00A32AF4">
              <w:rPr>
                <w:rFonts w:cs="Arial"/>
                <w:sz w:val="16"/>
                <w:szCs w:val="16"/>
              </w:rPr>
              <w:t>’</w:t>
            </w:r>
            <w:r w:rsidRPr="00A32AF4">
              <w:rPr>
                <w:rFonts w:cs="Arial"/>
                <w:sz w:val="16"/>
                <w:szCs w:val="16"/>
              </w:rPr>
              <w:t>autres organisations intergouvernementales</w:t>
            </w:r>
          </w:p>
        </w:tc>
        <w:tc>
          <w:tcPr>
            <w:tcW w:w="2560" w:type="dxa"/>
            <w:shd w:val="clear" w:color="000000" w:fill="FFFFFF"/>
            <w:tcMar>
              <w:top w:w="113" w:type="dxa"/>
              <w:bottom w:w="113" w:type="dxa"/>
            </w:tcMar>
            <w:hideMark/>
          </w:tcPr>
          <w:p w:rsidR="0053085A" w:rsidRPr="00A32AF4" w:rsidRDefault="0053085A" w:rsidP="00DC0553">
            <w:pPr>
              <w:rPr>
                <w:rFonts w:cs="Arial"/>
                <w:sz w:val="16"/>
                <w:szCs w:val="16"/>
              </w:rPr>
            </w:pPr>
            <w:r w:rsidRPr="00A32AF4">
              <w:rPr>
                <w:rFonts w:cs="Arial"/>
                <w:sz w:val="16"/>
                <w:szCs w:val="16"/>
              </w:rPr>
              <w:t>Nouvelles initiatives communes avec d</w:t>
            </w:r>
            <w:r w:rsidR="00E2055A" w:rsidRPr="00A32AF4">
              <w:rPr>
                <w:rFonts w:cs="Arial"/>
                <w:sz w:val="16"/>
                <w:szCs w:val="16"/>
              </w:rPr>
              <w:t>’</w:t>
            </w:r>
            <w:r w:rsidRPr="00A32AF4">
              <w:rPr>
                <w:rFonts w:cs="Arial"/>
                <w:sz w:val="16"/>
                <w:szCs w:val="16"/>
              </w:rPr>
              <w:t xml:space="preserve">autres organismes des </w:t>
            </w:r>
            <w:r w:rsidR="00E2055A" w:rsidRPr="00A32AF4">
              <w:rPr>
                <w:rFonts w:cs="Arial"/>
                <w:sz w:val="16"/>
                <w:szCs w:val="16"/>
              </w:rPr>
              <w:t>Nations Unies</w:t>
            </w:r>
            <w:r w:rsidRPr="00A32AF4">
              <w:rPr>
                <w:rFonts w:cs="Arial"/>
                <w:sz w:val="16"/>
                <w:szCs w:val="16"/>
              </w:rPr>
              <w:t xml:space="preserve"> ou organisations intergouvernementales</w:t>
            </w:r>
          </w:p>
        </w:tc>
        <w:tc>
          <w:tcPr>
            <w:tcW w:w="2080" w:type="dxa"/>
            <w:shd w:val="clear" w:color="000000" w:fill="FFFFFF"/>
            <w:tcMar>
              <w:top w:w="113" w:type="dxa"/>
              <w:bottom w:w="113" w:type="dxa"/>
            </w:tcMar>
            <w:hideMark/>
          </w:tcPr>
          <w:p w:rsidR="0053085A" w:rsidRPr="00A32AF4" w:rsidRDefault="0053085A" w:rsidP="00DC0553">
            <w:pPr>
              <w:rPr>
                <w:rFonts w:cs="Arial"/>
                <w:sz w:val="16"/>
                <w:szCs w:val="16"/>
              </w:rPr>
            </w:pPr>
            <w:r w:rsidRPr="00A32AF4">
              <w:rPr>
                <w:rFonts w:cs="Arial"/>
                <w:sz w:val="16"/>
                <w:szCs w:val="16"/>
              </w:rPr>
              <w:t>1 (2014)</w:t>
            </w:r>
          </w:p>
        </w:tc>
        <w:tc>
          <w:tcPr>
            <w:tcW w:w="2313" w:type="dxa"/>
            <w:shd w:val="clear" w:color="000000" w:fill="FFFFFF"/>
            <w:tcMar>
              <w:top w:w="113" w:type="dxa"/>
              <w:bottom w:w="113" w:type="dxa"/>
            </w:tcMar>
            <w:hideMark/>
          </w:tcPr>
          <w:p w:rsidR="0053085A" w:rsidRPr="00A32AF4" w:rsidRDefault="0053085A" w:rsidP="00DC0553">
            <w:pPr>
              <w:rPr>
                <w:rFonts w:cs="Arial"/>
                <w:sz w:val="16"/>
                <w:szCs w:val="16"/>
              </w:rPr>
            </w:pPr>
            <w:r w:rsidRPr="00A32AF4">
              <w:rPr>
                <w:rFonts w:cs="Arial"/>
                <w:sz w:val="16"/>
                <w:szCs w:val="16"/>
              </w:rPr>
              <w:t>2</w:t>
            </w:r>
          </w:p>
        </w:tc>
      </w:tr>
      <w:tr w:rsidR="0053085A" w:rsidRPr="00A32AF4" w:rsidTr="0081561A">
        <w:trPr>
          <w:cantSplit/>
        </w:trPr>
        <w:tc>
          <w:tcPr>
            <w:tcW w:w="2560" w:type="dxa"/>
            <w:shd w:val="clear" w:color="000000" w:fill="FFFFFF"/>
            <w:tcMar>
              <w:top w:w="113" w:type="dxa"/>
              <w:bottom w:w="113" w:type="dxa"/>
            </w:tcMar>
            <w:hideMark/>
          </w:tcPr>
          <w:p w:rsidR="0053085A" w:rsidRPr="00A32AF4" w:rsidRDefault="0053085A" w:rsidP="00DC0553">
            <w:pPr>
              <w:rPr>
                <w:rFonts w:cs="Arial"/>
                <w:sz w:val="16"/>
                <w:szCs w:val="16"/>
              </w:rPr>
            </w:pPr>
            <w:r w:rsidRPr="00A32AF4">
              <w:rPr>
                <w:rFonts w:cs="Arial"/>
                <w:sz w:val="16"/>
                <w:szCs w:val="16"/>
              </w:rPr>
              <w:t>IX.1 Services d</w:t>
            </w:r>
            <w:r w:rsidR="00E2055A" w:rsidRPr="00A32AF4">
              <w:rPr>
                <w:rFonts w:cs="Arial"/>
                <w:sz w:val="16"/>
                <w:szCs w:val="16"/>
              </w:rPr>
              <w:t>’</w:t>
            </w:r>
            <w:r w:rsidRPr="00A32AF4">
              <w:rPr>
                <w:rFonts w:cs="Arial"/>
                <w:sz w:val="16"/>
                <w:szCs w:val="16"/>
              </w:rPr>
              <w:t>appui efficaces, efficients, de qualité et tournés vers la clientèle, à l</w:t>
            </w:r>
            <w:r w:rsidR="00E2055A" w:rsidRPr="00A32AF4">
              <w:rPr>
                <w:rFonts w:cs="Arial"/>
                <w:sz w:val="16"/>
                <w:szCs w:val="16"/>
              </w:rPr>
              <w:t>’</w:t>
            </w:r>
            <w:r w:rsidRPr="00A32AF4">
              <w:rPr>
                <w:rFonts w:cs="Arial"/>
                <w:sz w:val="16"/>
                <w:szCs w:val="16"/>
              </w:rPr>
              <w:t>intention à la fois des clients internes et des parties prenantes externes</w:t>
            </w:r>
          </w:p>
        </w:tc>
        <w:tc>
          <w:tcPr>
            <w:tcW w:w="2560" w:type="dxa"/>
            <w:shd w:val="clear" w:color="000000" w:fill="FFFFFF"/>
            <w:tcMar>
              <w:top w:w="113" w:type="dxa"/>
              <w:bottom w:w="113" w:type="dxa"/>
            </w:tcMar>
            <w:hideMark/>
          </w:tcPr>
          <w:p w:rsidR="0053085A" w:rsidRPr="00A32AF4" w:rsidRDefault="0053085A" w:rsidP="00DC0553">
            <w:pPr>
              <w:rPr>
                <w:rFonts w:cs="Arial"/>
                <w:sz w:val="16"/>
                <w:szCs w:val="16"/>
              </w:rPr>
            </w:pPr>
            <w:r w:rsidRPr="00A32AF4">
              <w:rPr>
                <w:rFonts w:cs="Arial"/>
                <w:sz w:val="16"/>
                <w:szCs w:val="16"/>
              </w:rPr>
              <w:t>Pourcentage de demandes d</w:t>
            </w:r>
            <w:r w:rsidR="00E2055A" w:rsidRPr="00A32AF4">
              <w:rPr>
                <w:rFonts w:cs="Arial"/>
                <w:sz w:val="16"/>
                <w:szCs w:val="16"/>
              </w:rPr>
              <w:t>’</w:t>
            </w:r>
            <w:r w:rsidRPr="00A32AF4">
              <w:rPr>
                <w:rFonts w:cs="Arial"/>
                <w:sz w:val="16"/>
                <w:szCs w:val="16"/>
              </w:rPr>
              <w:t>avis juridique qui reçoivent des réponses rapides du Bureau du conseiller juridique</w:t>
            </w:r>
          </w:p>
        </w:tc>
        <w:tc>
          <w:tcPr>
            <w:tcW w:w="2080" w:type="dxa"/>
            <w:shd w:val="clear" w:color="000000" w:fill="FFFFFF"/>
            <w:tcMar>
              <w:top w:w="113" w:type="dxa"/>
              <w:bottom w:w="113" w:type="dxa"/>
            </w:tcMar>
            <w:hideMark/>
          </w:tcPr>
          <w:p w:rsidR="0053085A" w:rsidRPr="00A32AF4" w:rsidRDefault="0053085A" w:rsidP="00DC0553">
            <w:pPr>
              <w:rPr>
                <w:rFonts w:cs="Arial"/>
                <w:sz w:val="16"/>
                <w:szCs w:val="16"/>
              </w:rPr>
            </w:pPr>
            <w:r w:rsidRPr="00A32AF4">
              <w:rPr>
                <w:rFonts w:cs="Arial"/>
                <w:sz w:val="16"/>
                <w:szCs w:val="16"/>
              </w:rPr>
              <w:t>95%</w:t>
            </w:r>
          </w:p>
        </w:tc>
        <w:tc>
          <w:tcPr>
            <w:tcW w:w="2313" w:type="dxa"/>
            <w:shd w:val="clear" w:color="000000" w:fill="FFFFFF"/>
            <w:tcMar>
              <w:top w:w="113" w:type="dxa"/>
              <w:bottom w:w="113" w:type="dxa"/>
            </w:tcMar>
            <w:hideMark/>
          </w:tcPr>
          <w:p w:rsidR="0053085A" w:rsidRPr="00A32AF4" w:rsidRDefault="0053085A" w:rsidP="00DC0553">
            <w:pPr>
              <w:rPr>
                <w:rFonts w:cs="Arial"/>
                <w:sz w:val="16"/>
                <w:szCs w:val="16"/>
              </w:rPr>
            </w:pPr>
            <w:r w:rsidRPr="00A32AF4">
              <w:rPr>
                <w:rFonts w:cs="Arial"/>
                <w:sz w:val="16"/>
                <w:szCs w:val="16"/>
              </w:rPr>
              <w:t>95%</w:t>
            </w:r>
          </w:p>
        </w:tc>
      </w:tr>
      <w:tr w:rsidR="0053085A" w:rsidRPr="00A32AF4" w:rsidTr="0081561A">
        <w:trPr>
          <w:cantSplit/>
        </w:trPr>
        <w:tc>
          <w:tcPr>
            <w:tcW w:w="2560" w:type="dxa"/>
            <w:shd w:val="clear" w:color="000000" w:fill="FFFFFF"/>
            <w:tcMar>
              <w:top w:w="113" w:type="dxa"/>
              <w:bottom w:w="113" w:type="dxa"/>
            </w:tcMar>
            <w:hideMark/>
          </w:tcPr>
          <w:p w:rsidR="0053085A" w:rsidRPr="00A32AF4" w:rsidRDefault="0053085A" w:rsidP="00DC0553">
            <w:pPr>
              <w:rPr>
                <w:rFonts w:cs="Arial"/>
                <w:sz w:val="16"/>
                <w:szCs w:val="16"/>
              </w:rPr>
            </w:pPr>
            <w:r w:rsidRPr="00A32AF4">
              <w:rPr>
                <w:rFonts w:cs="Arial"/>
                <w:sz w:val="16"/>
                <w:szCs w:val="16"/>
              </w:rPr>
              <w:t>IX.2 Un Secrétariat réactif, fonctionnant harmonieusement et doté de ressources humaines bien gérées et compétentes, à même d</w:t>
            </w:r>
            <w:r w:rsidR="00E2055A" w:rsidRPr="00A32AF4">
              <w:rPr>
                <w:rFonts w:cs="Arial"/>
                <w:sz w:val="16"/>
                <w:szCs w:val="16"/>
              </w:rPr>
              <w:t>’</w:t>
            </w:r>
            <w:r w:rsidRPr="00A32AF4">
              <w:rPr>
                <w:rFonts w:cs="Arial"/>
                <w:sz w:val="16"/>
                <w:szCs w:val="16"/>
              </w:rPr>
              <w:t>obtenir des résultats concrets</w:t>
            </w:r>
          </w:p>
        </w:tc>
        <w:tc>
          <w:tcPr>
            <w:tcW w:w="2560" w:type="dxa"/>
            <w:shd w:val="clear" w:color="000000" w:fill="FFFFFF"/>
            <w:tcMar>
              <w:top w:w="113" w:type="dxa"/>
              <w:bottom w:w="113" w:type="dxa"/>
            </w:tcMar>
            <w:hideMark/>
          </w:tcPr>
          <w:p w:rsidR="0053085A" w:rsidRPr="00A32AF4" w:rsidRDefault="0053085A" w:rsidP="00DC0553">
            <w:pPr>
              <w:rPr>
                <w:rFonts w:cs="Arial"/>
                <w:sz w:val="16"/>
                <w:szCs w:val="16"/>
              </w:rPr>
            </w:pPr>
            <w:r w:rsidRPr="00A32AF4">
              <w:rPr>
                <w:rFonts w:cs="Arial"/>
                <w:sz w:val="16"/>
                <w:szCs w:val="16"/>
              </w:rPr>
              <w:t>Création d</w:t>
            </w:r>
            <w:r w:rsidR="00E2055A" w:rsidRPr="00A32AF4">
              <w:rPr>
                <w:rFonts w:cs="Arial"/>
                <w:sz w:val="16"/>
                <w:szCs w:val="16"/>
              </w:rPr>
              <w:t>’</w:t>
            </w:r>
            <w:r w:rsidRPr="00A32AF4">
              <w:rPr>
                <w:rFonts w:cs="Arial"/>
                <w:sz w:val="16"/>
                <w:szCs w:val="16"/>
              </w:rPr>
              <w:t>un nouveau cadre relatif à la résilience et à la continuité des opérations de l</w:t>
            </w:r>
            <w:r w:rsidR="00E2055A" w:rsidRPr="00A32AF4">
              <w:rPr>
                <w:rFonts w:cs="Arial"/>
                <w:sz w:val="16"/>
                <w:szCs w:val="16"/>
              </w:rPr>
              <w:t>’</w:t>
            </w:r>
            <w:r w:rsidRPr="00A32AF4">
              <w:rPr>
                <w:rFonts w:cs="Arial"/>
                <w:sz w:val="16"/>
                <w:szCs w:val="16"/>
              </w:rPr>
              <w:t>Organisation et de la documentation connexe</w:t>
            </w:r>
          </w:p>
        </w:tc>
        <w:tc>
          <w:tcPr>
            <w:tcW w:w="2080" w:type="dxa"/>
            <w:shd w:val="clear" w:color="000000" w:fill="FFFFFF"/>
            <w:tcMar>
              <w:top w:w="113" w:type="dxa"/>
              <w:bottom w:w="113" w:type="dxa"/>
            </w:tcMar>
            <w:hideMark/>
          </w:tcPr>
          <w:p w:rsidR="0053085A" w:rsidRPr="00A32AF4" w:rsidRDefault="0053085A" w:rsidP="00DC0553">
            <w:pPr>
              <w:rPr>
                <w:rFonts w:cs="Arial"/>
                <w:sz w:val="16"/>
                <w:szCs w:val="16"/>
              </w:rPr>
            </w:pPr>
            <w:r w:rsidRPr="00A32AF4">
              <w:rPr>
                <w:rFonts w:cs="Arial"/>
                <w:sz w:val="16"/>
                <w:szCs w:val="16"/>
              </w:rPr>
              <w:t>Le cadre actuel est incomplet et doit être remplacé</w:t>
            </w:r>
          </w:p>
        </w:tc>
        <w:tc>
          <w:tcPr>
            <w:tcW w:w="2313" w:type="dxa"/>
            <w:shd w:val="clear" w:color="000000" w:fill="FFFFFF"/>
            <w:tcMar>
              <w:top w:w="113" w:type="dxa"/>
              <w:bottom w:w="113" w:type="dxa"/>
            </w:tcMar>
            <w:hideMark/>
          </w:tcPr>
          <w:p w:rsidR="0053085A" w:rsidRPr="00A32AF4" w:rsidRDefault="0053085A" w:rsidP="00DC0553">
            <w:pPr>
              <w:rPr>
                <w:rFonts w:cs="Arial"/>
                <w:sz w:val="16"/>
                <w:szCs w:val="16"/>
              </w:rPr>
            </w:pPr>
            <w:r w:rsidRPr="00A32AF4">
              <w:rPr>
                <w:rFonts w:cs="Arial"/>
                <w:sz w:val="16"/>
                <w:szCs w:val="16"/>
              </w:rPr>
              <w:t>Nouveaux plans et nouvelles stratégies relatifs à la résilience et à la continuité des opérations de l</w:t>
            </w:r>
            <w:r w:rsidR="00E2055A" w:rsidRPr="00A32AF4">
              <w:rPr>
                <w:rFonts w:cs="Arial"/>
                <w:sz w:val="16"/>
                <w:szCs w:val="16"/>
              </w:rPr>
              <w:t>’</w:t>
            </w:r>
            <w:r w:rsidRPr="00A32AF4">
              <w:rPr>
                <w:rFonts w:cs="Arial"/>
                <w:sz w:val="16"/>
                <w:szCs w:val="16"/>
              </w:rPr>
              <w:t>Organisation élaborés pour les principaux domaines de l</w:t>
            </w:r>
            <w:r w:rsidR="00E2055A" w:rsidRPr="00A32AF4">
              <w:rPr>
                <w:rFonts w:cs="Arial"/>
                <w:sz w:val="16"/>
                <w:szCs w:val="16"/>
              </w:rPr>
              <w:t>’</w:t>
            </w:r>
            <w:r w:rsidRPr="00A32AF4">
              <w:rPr>
                <w:rFonts w:cs="Arial"/>
                <w:sz w:val="16"/>
                <w:szCs w:val="16"/>
              </w:rPr>
              <w:t>Organisation</w:t>
            </w:r>
          </w:p>
        </w:tc>
      </w:tr>
      <w:tr w:rsidR="0053085A" w:rsidRPr="00A32AF4" w:rsidTr="0081561A">
        <w:trPr>
          <w:cantSplit/>
        </w:trPr>
        <w:tc>
          <w:tcPr>
            <w:tcW w:w="2560" w:type="dxa"/>
            <w:vMerge w:val="restart"/>
            <w:shd w:val="clear" w:color="000000" w:fill="FFFFFF"/>
            <w:tcMar>
              <w:top w:w="113" w:type="dxa"/>
              <w:bottom w:w="113" w:type="dxa"/>
            </w:tcMar>
            <w:hideMark/>
          </w:tcPr>
          <w:p w:rsidR="0053085A" w:rsidRPr="00A32AF4" w:rsidRDefault="0053085A" w:rsidP="00DC0553">
            <w:pPr>
              <w:rPr>
                <w:rFonts w:cs="Arial"/>
                <w:sz w:val="16"/>
                <w:szCs w:val="16"/>
              </w:rPr>
            </w:pPr>
            <w:r w:rsidRPr="00A32AF4">
              <w:rPr>
                <w:rFonts w:cs="Arial"/>
                <w:sz w:val="16"/>
                <w:szCs w:val="16"/>
              </w:rPr>
              <w:t>IX.3 Un environnement de travail stimulant étayé par un cadre réglementaire efficace et des voies appropriées pour répondre aux préoccupations du personnel</w:t>
            </w:r>
          </w:p>
        </w:tc>
        <w:tc>
          <w:tcPr>
            <w:tcW w:w="2560" w:type="dxa"/>
            <w:shd w:val="clear" w:color="000000" w:fill="FFFFFF"/>
            <w:tcMar>
              <w:top w:w="113" w:type="dxa"/>
              <w:bottom w:w="113" w:type="dxa"/>
            </w:tcMar>
            <w:hideMark/>
          </w:tcPr>
          <w:p w:rsidR="0053085A" w:rsidRPr="00A32AF4" w:rsidRDefault="0053085A" w:rsidP="00DC0553">
            <w:pPr>
              <w:rPr>
                <w:rFonts w:cs="Arial"/>
                <w:sz w:val="16"/>
                <w:szCs w:val="16"/>
              </w:rPr>
            </w:pPr>
            <w:r w:rsidRPr="00A32AF4">
              <w:rPr>
                <w:rFonts w:cs="Arial"/>
                <w:sz w:val="16"/>
                <w:szCs w:val="16"/>
              </w:rPr>
              <w:t>Pourcentage du personnel de l</w:t>
            </w:r>
            <w:r w:rsidR="00E2055A" w:rsidRPr="00A32AF4">
              <w:rPr>
                <w:rFonts w:cs="Arial"/>
                <w:sz w:val="16"/>
                <w:szCs w:val="16"/>
              </w:rPr>
              <w:t>’</w:t>
            </w:r>
            <w:r w:rsidRPr="00A32AF4">
              <w:rPr>
                <w:rFonts w:cs="Arial"/>
                <w:sz w:val="16"/>
                <w:szCs w:val="16"/>
              </w:rPr>
              <w:t>OMPI ayant connaissance des services qu</w:t>
            </w:r>
            <w:r w:rsidR="00E2055A" w:rsidRPr="00A32AF4">
              <w:rPr>
                <w:rFonts w:cs="Arial"/>
                <w:sz w:val="16"/>
                <w:szCs w:val="16"/>
              </w:rPr>
              <w:t>’</w:t>
            </w:r>
            <w:r w:rsidRPr="00A32AF4">
              <w:rPr>
                <w:rFonts w:cs="Arial"/>
                <w:sz w:val="16"/>
                <w:szCs w:val="16"/>
              </w:rPr>
              <w:t>ils peuvent obtenir du Bureau du médiateur et de l</w:t>
            </w:r>
            <w:r w:rsidR="00E2055A" w:rsidRPr="00A32AF4">
              <w:rPr>
                <w:rFonts w:cs="Arial"/>
                <w:sz w:val="16"/>
                <w:szCs w:val="16"/>
              </w:rPr>
              <w:t>’</w:t>
            </w:r>
            <w:r w:rsidRPr="00A32AF4">
              <w:rPr>
                <w:rFonts w:cs="Arial"/>
                <w:sz w:val="16"/>
                <w:szCs w:val="16"/>
              </w:rPr>
              <w:t>existence d</w:t>
            </w:r>
            <w:r w:rsidR="00E2055A" w:rsidRPr="00A32AF4">
              <w:rPr>
                <w:rFonts w:cs="Arial"/>
                <w:sz w:val="16"/>
                <w:szCs w:val="16"/>
              </w:rPr>
              <w:t>’</w:t>
            </w:r>
            <w:r w:rsidRPr="00A32AF4">
              <w:rPr>
                <w:rFonts w:cs="Arial"/>
                <w:sz w:val="16"/>
                <w:szCs w:val="16"/>
              </w:rPr>
              <w:t>un mécanisme informel de résolution des conflits</w:t>
            </w:r>
          </w:p>
        </w:tc>
        <w:tc>
          <w:tcPr>
            <w:tcW w:w="2080" w:type="dxa"/>
            <w:shd w:val="clear" w:color="000000" w:fill="FFFFFF"/>
            <w:tcMar>
              <w:top w:w="113" w:type="dxa"/>
              <w:bottom w:w="113" w:type="dxa"/>
            </w:tcMar>
            <w:hideMark/>
          </w:tcPr>
          <w:p w:rsidR="0053085A" w:rsidRPr="00A32AF4" w:rsidRDefault="0053085A" w:rsidP="00DC0553">
            <w:pPr>
              <w:rPr>
                <w:rFonts w:cs="Arial"/>
                <w:sz w:val="16"/>
                <w:szCs w:val="16"/>
              </w:rPr>
            </w:pPr>
            <w:r w:rsidRPr="00A32AF4">
              <w:rPr>
                <w:rFonts w:cs="Arial"/>
                <w:sz w:val="16"/>
                <w:szCs w:val="16"/>
              </w:rPr>
              <w:t>Enquête menée en 2013 : 63%.  Une autre enquête est prévue en 2015.</w:t>
            </w:r>
          </w:p>
        </w:tc>
        <w:tc>
          <w:tcPr>
            <w:tcW w:w="2313" w:type="dxa"/>
            <w:shd w:val="clear" w:color="000000" w:fill="FFFFFF"/>
            <w:tcMar>
              <w:top w:w="113" w:type="dxa"/>
              <w:bottom w:w="113" w:type="dxa"/>
            </w:tcMar>
            <w:hideMark/>
          </w:tcPr>
          <w:p w:rsidR="0053085A" w:rsidRPr="00A32AF4" w:rsidRDefault="0053085A" w:rsidP="00DC0553">
            <w:pPr>
              <w:rPr>
                <w:rFonts w:cs="Arial"/>
                <w:sz w:val="16"/>
                <w:szCs w:val="16"/>
              </w:rPr>
            </w:pPr>
            <w:r w:rsidRPr="00A32AF4">
              <w:rPr>
                <w:rFonts w:cs="Arial"/>
                <w:sz w:val="16"/>
                <w:szCs w:val="16"/>
              </w:rPr>
              <w:t>70%</w:t>
            </w:r>
          </w:p>
        </w:tc>
      </w:tr>
      <w:tr w:rsidR="0053085A" w:rsidRPr="00A32AF4" w:rsidTr="0081561A">
        <w:trPr>
          <w:cantSplit/>
        </w:trPr>
        <w:tc>
          <w:tcPr>
            <w:tcW w:w="2560" w:type="dxa"/>
            <w:vMerge/>
            <w:tcMar>
              <w:top w:w="113" w:type="dxa"/>
              <w:bottom w:w="113" w:type="dxa"/>
            </w:tcMar>
            <w:vAlign w:val="center"/>
            <w:hideMark/>
          </w:tcPr>
          <w:p w:rsidR="0053085A" w:rsidRPr="00A32AF4" w:rsidRDefault="0053085A" w:rsidP="00DC0553">
            <w:pPr>
              <w:rPr>
                <w:rFonts w:cs="Arial"/>
                <w:sz w:val="16"/>
                <w:szCs w:val="16"/>
              </w:rPr>
            </w:pPr>
          </w:p>
        </w:tc>
        <w:tc>
          <w:tcPr>
            <w:tcW w:w="2560" w:type="dxa"/>
            <w:shd w:val="clear" w:color="000000" w:fill="FFFFFF"/>
            <w:tcMar>
              <w:top w:w="113" w:type="dxa"/>
              <w:bottom w:w="113" w:type="dxa"/>
            </w:tcMar>
            <w:hideMark/>
          </w:tcPr>
          <w:p w:rsidR="0053085A" w:rsidRPr="00A32AF4" w:rsidRDefault="0053085A" w:rsidP="00DC0553">
            <w:pPr>
              <w:rPr>
                <w:rFonts w:cs="Arial"/>
                <w:sz w:val="16"/>
                <w:szCs w:val="16"/>
              </w:rPr>
            </w:pPr>
            <w:r w:rsidRPr="00A32AF4">
              <w:rPr>
                <w:rFonts w:cs="Arial"/>
                <w:sz w:val="16"/>
                <w:szCs w:val="16"/>
              </w:rPr>
              <w:t>Pourcentage de fonctionnaires ayant connaissance des principes et des politiques de l</w:t>
            </w:r>
            <w:r w:rsidR="00E2055A" w:rsidRPr="00A32AF4">
              <w:rPr>
                <w:rFonts w:cs="Arial"/>
                <w:sz w:val="16"/>
                <w:szCs w:val="16"/>
              </w:rPr>
              <w:t>’</w:t>
            </w:r>
            <w:r w:rsidRPr="00A32AF4">
              <w:rPr>
                <w:rFonts w:cs="Arial"/>
                <w:sz w:val="16"/>
                <w:szCs w:val="16"/>
              </w:rPr>
              <w:t>OMPI dans le domaine éthique</w:t>
            </w:r>
          </w:p>
        </w:tc>
        <w:tc>
          <w:tcPr>
            <w:tcW w:w="2080" w:type="dxa"/>
            <w:shd w:val="clear" w:color="000000" w:fill="FFFFFF"/>
            <w:tcMar>
              <w:top w:w="113" w:type="dxa"/>
              <w:bottom w:w="113" w:type="dxa"/>
            </w:tcMar>
            <w:hideMark/>
          </w:tcPr>
          <w:p w:rsidR="0053085A" w:rsidRPr="00A32AF4" w:rsidRDefault="0053085A" w:rsidP="00DC0553">
            <w:pPr>
              <w:rPr>
                <w:rFonts w:cs="Arial"/>
                <w:sz w:val="16"/>
                <w:szCs w:val="16"/>
              </w:rPr>
            </w:pPr>
            <w:r w:rsidRPr="00A32AF4">
              <w:rPr>
                <w:rFonts w:cs="Arial"/>
                <w:sz w:val="16"/>
                <w:szCs w:val="16"/>
              </w:rPr>
              <w:t>98% selon l</w:t>
            </w:r>
            <w:r w:rsidR="00E2055A" w:rsidRPr="00A32AF4">
              <w:rPr>
                <w:rFonts w:cs="Arial"/>
                <w:sz w:val="16"/>
                <w:szCs w:val="16"/>
              </w:rPr>
              <w:t>’</w:t>
            </w:r>
            <w:r w:rsidRPr="00A32AF4">
              <w:rPr>
                <w:rFonts w:cs="Arial"/>
                <w:sz w:val="16"/>
                <w:szCs w:val="16"/>
              </w:rPr>
              <w:t>enquête sur les valeurs essentielles du PRS (menée en 2013).  Une autre enquête est prévue en 2015.</w:t>
            </w:r>
          </w:p>
        </w:tc>
        <w:tc>
          <w:tcPr>
            <w:tcW w:w="2313" w:type="dxa"/>
            <w:shd w:val="clear" w:color="000000" w:fill="FFFFFF"/>
            <w:tcMar>
              <w:top w:w="113" w:type="dxa"/>
              <w:bottom w:w="113" w:type="dxa"/>
            </w:tcMar>
            <w:hideMark/>
          </w:tcPr>
          <w:p w:rsidR="0053085A" w:rsidRPr="00A32AF4" w:rsidRDefault="0053085A" w:rsidP="00DC0553">
            <w:pPr>
              <w:rPr>
                <w:rFonts w:cs="Arial"/>
                <w:sz w:val="16"/>
                <w:szCs w:val="16"/>
              </w:rPr>
            </w:pPr>
            <w:r w:rsidRPr="00A32AF4">
              <w:rPr>
                <w:rFonts w:cs="Arial"/>
                <w:sz w:val="16"/>
                <w:szCs w:val="16"/>
              </w:rPr>
              <w:t>95%</w:t>
            </w:r>
          </w:p>
        </w:tc>
      </w:tr>
    </w:tbl>
    <w:p w:rsidR="00F93B76" w:rsidRPr="00A32AF4" w:rsidRDefault="00F93B76" w:rsidP="00DC0553">
      <w:pPr>
        <w:rPr>
          <w:rFonts w:cs="Arial"/>
        </w:rPr>
      </w:pPr>
    </w:p>
    <w:p w:rsidR="00F93B76" w:rsidRPr="00A32AF4" w:rsidRDefault="00F93B76" w:rsidP="00DC0553">
      <w:pPr>
        <w:rPr>
          <w:rFonts w:cs="Arial"/>
        </w:rPr>
      </w:pPr>
    </w:p>
    <w:p w:rsidR="00F93B76" w:rsidRPr="00A32AF4" w:rsidRDefault="00DC2AF7" w:rsidP="00DC0553">
      <w:pPr>
        <w:jc w:val="both"/>
        <w:rPr>
          <w:lang w:eastAsia="da-DK"/>
        </w:rPr>
      </w:pPr>
      <w:r w:rsidRPr="00A32AF4">
        <w:rPr>
          <w:lang w:eastAsia="da-DK"/>
        </w:rPr>
        <w:t>RESSOURCES ALLOUÉES AU PROGRAMME</w:t>
      </w:r>
      <w:r w:rsidR="0081561A" w:rsidRPr="00A32AF4">
        <w:rPr>
          <w:lang w:eastAsia="da-DK"/>
        </w:rPr>
        <w:t xml:space="preserve"> 21</w:t>
      </w:r>
    </w:p>
    <w:p w:rsidR="00F93B76" w:rsidRPr="00A32AF4" w:rsidRDefault="00F93B76" w:rsidP="00DC0553">
      <w:pPr>
        <w:jc w:val="both"/>
        <w:rPr>
          <w:lang w:eastAsia="da-DK"/>
        </w:rPr>
      </w:pPr>
    </w:p>
    <w:p w:rsidR="00E2055A" w:rsidRPr="00A32AF4" w:rsidRDefault="00F40289" w:rsidP="00DC0553">
      <w:pPr>
        <w:numPr>
          <w:ilvl w:val="0"/>
          <w:numId w:val="31"/>
        </w:numPr>
        <w:jc w:val="both"/>
        <w:rPr>
          <w:rFonts w:cs="Arial"/>
        </w:rPr>
      </w:pPr>
      <w:r w:rsidRPr="00A32AF4">
        <w:rPr>
          <w:rFonts w:cs="Arial"/>
        </w:rPr>
        <w:t>Une légère augmentation peut être observée dans les ressources globales allouées au programme en</w:t>
      </w:r>
      <w:r w:rsidR="00FD43E3" w:rsidRPr="00A32AF4">
        <w:rPr>
          <w:rFonts w:cs="Arial"/>
        </w:rPr>
        <w:t> </w:t>
      </w:r>
      <w:r w:rsidR="0081561A" w:rsidRPr="00A32AF4">
        <w:rPr>
          <w:rFonts w:cs="Arial"/>
        </w:rPr>
        <w:t>2016</w:t>
      </w:r>
      <w:r w:rsidR="00EB7F54" w:rsidRPr="00A32AF4">
        <w:rPr>
          <w:rFonts w:cs="Arial"/>
        </w:rPr>
        <w:noBreakHyphen/>
      </w:r>
      <w:r w:rsidRPr="00A32AF4">
        <w:rPr>
          <w:rFonts w:cs="Arial"/>
        </w:rPr>
        <w:t>20</w:t>
      </w:r>
      <w:r w:rsidR="0081561A" w:rsidRPr="00A32AF4">
        <w:rPr>
          <w:rFonts w:cs="Arial"/>
        </w:rPr>
        <w:t xml:space="preserve">17 </w:t>
      </w:r>
      <w:r w:rsidRPr="00A32AF4">
        <w:rPr>
          <w:rFonts w:cs="Arial"/>
        </w:rPr>
        <w:t>par rapport au budget </w:t>
      </w:r>
      <w:r w:rsidR="0081561A" w:rsidRPr="00A32AF4">
        <w:rPr>
          <w:rFonts w:cs="Arial"/>
        </w:rPr>
        <w:t>2014</w:t>
      </w:r>
      <w:r w:rsidR="00EB7F54" w:rsidRPr="00A32AF4">
        <w:rPr>
          <w:rFonts w:cs="Arial"/>
        </w:rPr>
        <w:noBreakHyphen/>
      </w:r>
      <w:r w:rsidRPr="00A32AF4">
        <w:rPr>
          <w:rFonts w:cs="Arial"/>
        </w:rPr>
        <w:t>20</w:t>
      </w:r>
      <w:r w:rsidR="0081561A" w:rsidRPr="00A32AF4">
        <w:rPr>
          <w:rFonts w:cs="Arial"/>
        </w:rPr>
        <w:t xml:space="preserve">15 </w:t>
      </w:r>
      <w:r w:rsidRPr="00A32AF4">
        <w:rPr>
          <w:rFonts w:cs="Arial"/>
        </w:rPr>
        <w:t>après virements</w:t>
      </w:r>
      <w:r w:rsidR="0081561A" w:rsidRPr="00A32AF4">
        <w:rPr>
          <w:rFonts w:cs="Arial"/>
        </w:rPr>
        <w:t xml:space="preserve">. </w:t>
      </w:r>
      <w:r w:rsidRPr="00A32AF4">
        <w:rPr>
          <w:rFonts w:cs="Arial"/>
        </w:rPr>
        <w:t xml:space="preserve"> Cette augmentation est due à une provision légèrement supérieure pour l</w:t>
      </w:r>
      <w:r w:rsidR="00E2055A" w:rsidRPr="00A32AF4">
        <w:rPr>
          <w:rFonts w:cs="Arial"/>
        </w:rPr>
        <w:t>’</w:t>
      </w:r>
      <w:r w:rsidRPr="00A32AF4">
        <w:rPr>
          <w:rFonts w:cs="Arial"/>
        </w:rPr>
        <w:t>organisation des assemblées de l</w:t>
      </w:r>
      <w:r w:rsidR="00E2055A" w:rsidRPr="00A32AF4">
        <w:rPr>
          <w:rFonts w:cs="Arial"/>
        </w:rPr>
        <w:t>’</w:t>
      </w:r>
      <w:r w:rsidRPr="00A32AF4">
        <w:rPr>
          <w:rFonts w:cs="Arial"/>
        </w:rPr>
        <w:t>OMPI compte tenu des tendances en matière de dépenses en</w:t>
      </w:r>
      <w:r w:rsidR="00FD43E3" w:rsidRPr="00A32AF4">
        <w:rPr>
          <w:rFonts w:cs="Arial"/>
        </w:rPr>
        <w:t> </w:t>
      </w:r>
      <w:r w:rsidRPr="00A32AF4">
        <w:rPr>
          <w:rFonts w:cs="Arial"/>
        </w:rPr>
        <w:t>2</w:t>
      </w:r>
      <w:r w:rsidR="0081561A" w:rsidRPr="00A32AF4">
        <w:rPr>
          <w:rFonts w:cs="Arial"/>
        </w:rPr>
        <w:t>014</w:t>
      </w:r>
      <w:r w:rsidR="00EB7F54" w:rsidRPr="00A32AF4">
        <w:rPr>
          <w:rFonts w:cs="Arial"/>
        </w:rPr>
        <w:noBreakHyphen/>
      </w:r>
      <w:r w:rsidRPr="00A32AF4">
        <w:rPr>
          <w:rFonts w:cs="Arial"/>
        </w:rPr>
        <w:t>20</w:t>
      </w:r>
      <w:r w:rsidR="0081561A" w:rsidRPr="00A32AF4">
        <w:rPr>
          <w:rFonts w:cs="Arial"/>
        </w:rPr>
        <w:t xml:space="preserve">15, </w:t>
      </w:r>
      <w:r w:rsidRPr="00A32AF4">
        <w:rPr>
          <w:rFonts w:cs="Arial"/>
        </w:rPr>
        <w:t xml:space="preserve">à la poursuite du développement de la base de données </w:t>
      </w:r>
      <w:r w:rsidR="0081561A" w:rsidRPr="00A32AF4">
        <w:rPr>
          <w:rFonts w:cs="Arial"/>
        </w:rPr>
        <w:t xml:space="preserve">WIPO Lex </w:t>
      </w:r>
      <w:r w:rsidRPr="00A32AF4">
        <w:rPr>
          <w:rFonts w:cs="Arial"/>
        </w:rPr>
        <w:t>et aux activités de coordination des bureaux extérieurs</w:t>
      </w:r>
      <w:r w:rsidR="0081561A" w:rsidRPr="00A32AF4">
        <w:rPr>
          <w:rFonts w:cs="Arial"/>
        </w:rPr>
        <w:t>.</w:t>
      </w:r>
    </w:p>
    <w:p w:rsidR="00F93B76" w:rsidRPr="00A32AF4" w:rsidRDefault="00F93B76" w:rsidP="00DC0553">
      <w:pPr>
        <w:jc w:val="both"/>
        <w:rPr>
          <w:rFonts w:cs="Arial"/>
        </w:rPr>
      </w:pPr>
    </w:p>
    <w:p w:rsidR="00E2055A" w:rsidRPr="00A32AF4" w:rsidRDefault="00F40289" w:rsidP="00DC0553">
      <w:pPr>
        <w:numPr>
          <w:ilvl w:val="0"/>
          <w:numId w:val="31"/>
        </w:numPr>
        <w:jc w:val="both"/>
        <w:rPr>
          <w:rFonts w:cs="Arial"/>
        </w:rPr>
      </w:pPr>
      <w:r w:rsidRPr="00A32AF4">
        <w:rPr>
          <w:rFonts w:cs="Arial"/>
        </w:rPr>
        <w:t>En ce qui concerne la variation des ressources selon les résultats escomptés</w:t>
      </w:r>
      <w:r w:rsidR="0081561A" w:rsidRPr="00A32AF4">
        <w:rPr>
          <w:rFonts w:cs="Arial"/>
        </w:rPr>
        <w:t xml:space="preserve">, </w:t>
      </w:r>
      <w:r w:rsidR="00D74B6E" w:rsidRPr="00A32AF4">
        <w:rPr>
          <w:rFonts w:cs="Arial"/>
        </w:rPr>
        <w:t>il est jugé plus judicieux de lier les ressources relatives aux services juridiques et aux activités consultatives au résultat escompté </w:t>
      </w:r>
      <w:r w:rsidR="0081561A" w:rsidRPr="00A32AF4">
        <w:rPr>
          <w:rFonts w:cs="Arial"/>
        </w:rPr>
        <w:t xml:space="preserve">IX.1 </w:t>
      </w:r>
      <w:r w:rsidR="00D74B6E" w:rsidRPr="00A32AF4">
        <w:rPr>
          <w:rFonts w:cs="Arial"/>
        </w:rPr>
        <w:t>plutôt qu</w:t>
      </w:r>
      <w:r w:rsidR="00E2055A" w:rsidRPr="00A32AF4">
        <w:rPr>
          <w:rFonts w:cs="Arial"/>
        </w:rPr>
        <w:t>’</w:t>
      </w:r>
      <w:r w:rsidR="00D74B6E" w:rsidRPr="00A32AF4">
        <w:rPr>
          <w:rFonts w:cs="Arial"/>
        </w:rPr>
        <w:t>au résultat escompté </w:t>
      </w:r>
      <w:r w:rsidR="0081561A" w:rsidRPr="00A32AF4">
        <w:rPr>
          <w:rFonts w:cs="Arial"/>
        </w:rPr>
        <w:t xml:space="preserve">IX.2 </w:t>
      </w:r>
      <w:r w:rsidR="00D74B6E" w:rsidRPr="00A32AF4">
        <w:rPr>
          <w:rFonts w:cs="Arial"/>
        </w:rPr>
        <w:t>comme c</w:t>
      </w:r>
      <w:r w:rsidR="00E2055A" w:rsidRPr="00A32AF4">
        <w:rPr>
          <w:rFonts w:cs="Arial"/>
        </w:rPr>
        <w:t>’</w:t>
      </w:r>
      <w:r w:rsidR="00D74B6E" w:rsidRPr="00A32AF4">
        <w:rPr>
          <w:rFonts w:cs="Arial"/>
        </w:rPr>
        <w:t>était le cas en</w:t>
      </w:r>
      <w:r w:rsidR="00FD43E3" w:rsidRPr="00A32AF4">
        <w:rPr>
          <w:rFonts w:cs="Arial"/>
        </w:rPr>
        <w:t> </w:t>
      </w:r>
      <w:r w:rsidR="0081561A" w:rsidRPr="00A32AF4">
        <w:rPr>
          <w:rFonts w:cs="Arial"/>
        </w:rPr>
        <w:t>2014</w:t>
      </w:r>
      <w:r w:rsidR="00EB7F54" w:rsidRPr="00A32AF4">
        <w:rPr>
          <w:rFonts w:cs="Arial"/>
        </w:rPr>
        <w:noBreakHyphen/>
      </w:r>
      <w:r w:rsidR="00D74B6E" w:rsidRPr="00A32AF4">
        <w:rPr>
          <w:rFonts w:cs="Arial"/>
        </w:rPr>
        <w:t>20</w:t>
      </w:r>
      <w:r w:rsidR="0081561A" w:rsidRPr="00A32AF4">
        <w:rPr>
          <w:rFonts w:cs="Arial"/>
        </w:rPr>
        <w:t>15.</w:t>
      </w:r>
    </w:p>
    <w:p w:rsidR="00F93B76" w:rsidRPr="00A32AF4" w:rsidRDefault="00F93B76" w:rsidP="00DC0553">
      <w:pPr>
        <w:pStyle w:val="Footer"/>
        <w:rPr>
          <w:rFonts w:cs="Arial"/>
        </w:rPr>
      </w:pPr>
    </w:p>
    <w:p w:rsidR="00E2055A" w:rsidRPr="00A32AF4" w:rsidRDefault="00D74B6E" w:rsidP="00DC0553">
      <w:pPr>
        <w:jc w:val="both"/>
        <w:rPr>
          <w:rFonts w:cs="Arial"/>
          <w:szCs w:val="22"/>
        </w:rPr>
      </w:pPr>
      <w:r w:rsidRPr="00A32AF4">
        <w:rPr>
          <w:rFonts w:cs="Arial"/>
        </w:rPr>
        <w:t>21.8</w:t>
      </w:r>
      <w:r w:rsidRPr="00A32AF4">
        <w:rPr>
          <w:rFonts w:cs="Arial"/>
        </w:rPr>
        <w:tab/>
        <w:t>Les ressources inscrites sous le résultat escompté </w:t>
      </w:r>
      <w:r w:rsidR="0081561A" w:rsidRPr="00A32AF4">
        <w:rPr>
          <w:rFonts w:cs="Arial"/>
        </w:rPr>
        <w:t xml:space="preserve">VIII.4 </w:t>
      </w:r>
      <w:r w:rsidRPr="00A32AF4">
        <w:rPr>
          <w:rFonts w:cs="Arial"/>
        </w:rPr>
        <w:t>en</w:t>
      </w:r>
      <w:r w:rsidR="00FD43E3" w:rsidRPr="00A32AF4">
        <w:rPr>
          <w:rFonts w:cs="Arial"/>
        </w:rPr>
        <w:t> </w:t>
      </w:r>
      <w:r w:rsidR="0081561A" w:rsidRPr="00A32AF4">
        <w:rPr>
          <w:rFonts w:cs="Arial"/>
        </w:rPr>
        <w:t>2016</w:t>
      </w:r>
      <w:r w:rsidR="00EB7F54" w:rsidRPr="00A32AF4">
        <w:rPr>
          <w:rFonts w:cs="Arial"/>
        </w:rPr>
        <w:noBreakHyphen/>
      </w:r>
      <w:r w:rsidRPr="00A32AF4">
        <w:rPr>
          <w:rFonts w:cs="Arial"/>
        </w:rPr>
        <w:t>20</w:t>
      </w:r>
      <w:r w:rsidR="0081561A" w:rsidRPr="00A32AF4">
        <w:rPr>
          <w:rFonts w:cs="Arial"/>
        </w:rPr>
        <w:t xml:space="preserve">17 </w:t>
      </w:r>
      <w:r w:rsidRPr="00A32AF4">
        <w:rPr>
          <w:rFonts w:cs="Arial"/>
        </w:rPr>
        <w:t>se rapportent aux activités relatives à l</w:t>
      </w:r>
      <w:r w:rsidR="00E2055A" w:rsidRPr="00A32AF4">
        <w:rPr>
          <w:rFonts w:cs="Arial"/>
        </w:rPr>
        <w:t>’</w:t>
      </w:r>
      <w:r w:rsidRPr="00A32AF4">
        <w:rPr>
          <w:rFonts w:cs="Arial"/>
        </w:rPr>
        <w:t>octroi du statut d</w:t>
      </w:r>
      <w:r w:rsidR="00E2055A" w:rsidRPr="00A32AF4">
        <w:rPr>
          <w:rFonts w:cs="Arial"/>
        </w:rPr>
        <w:t>’</w:t>
      </w:r>
      <w:r w:rsidRPr="00A32AF4">
        <w:rPr>
          <w:rFonts w:cs="Arial"/>
        </w:rPr>
        <w:t xml:space="preserve">observateur </w:t>
      </w:r>
      <w:r w:rsidR="0081561A" w:rsidRPr="00A32AF4">
        <w:rPr>
          <w:rFonts w:cs="Arial"/>
          <w:szCs w:val="22"/>
        </w:rPr>
        <w:t>permanent</w:t>
      </w:r>
      <w:r w:rsidR="00E2055A" w:rsidRPr="00A32AF4">
        <w:rPr>
          <w:rFonts w:cs="Arial"/>
          <w:szCs w:val="22"/>
        </w:rPr>
        <w:t xml:space="preserve"> aux ONG</w:t>
      </w:r>
      <w:r w:rsidR="0081561A" w:rsidRPr="00A32AF4">
        <w:rPr>
          <w:rFonts w:cs="Arial"/>
          <w:szCs w:val="22"/>
        </w:rPr>
        <w:t>.</w:t>
      </w:r>
    </w:p>
    <w:p w:rsidR="00F93B76" w:rsidRPr="00A32AF4" w:rsidRDefault="00F93B76" w:rsidP="00DC0553">
      <w:pPr>
        <w:jc w:val="both"/>
        <w:rPr>
          <w:lang w:eastAsia="da-DK"/>
        </w:rPr>
      </w:pPr>
    </w:p>
    <w:p w:rsidR="00F93B76" w:rsidRPr="00A32AF4" w:rsidRDefault="00F93B76" w:rsidP="00DC0553">
      <w:pPr>
        <w:jc w:val="both"/>
        <w:rPr>
          <w:lang w:eastAsia="da-DK"/>
        </w:rPr>
      </w:pPr>
    </w:p>
    <w:p w:rsidR="00F93B76" w:rsidRPr="00A32AF4" w:rsidRDefault="0081561A" w:rsidP="00DC0553">
      <w:pPr>
        <w:keepNext/>
        <w:keepLines/>
        <w:autoSpaceDE w:val="0"/>
        <w:autoSpaceDN w:val="0"/>
        <w:jc w:val="center"/>
        <w:rPr>
          <w:rFonts w:cs="Arial"/>
          <w:b/>
        </w:rPr>
      </w:pPr>
      <w:r w:rsidRPr="00A32AF4">
        <w:rPr>
          <w:rFonts w:cs="Arial"/>
          <w:b/>
        </w:rPr>
        <w:t>Programme 21 : ressources par résultat</w:t>
      </w:r>
    </w:p>
    <w:p w:rsidR="00F93B76" w:rsidRPr="00A32AF4" w:rsidRDefault="0081561A" w:rsidP="00DC0553">
      <w:pPr>
        <w:keepNext/>
        <w:keepLines/>
        <w:autoSpaceDE w:val="0"/>
        <w:autoSpaceDN w:val="0"/>
        <w:jc w:val="center"/>
        <w:rPr>
          <w:rFonts w:cs="Arial"/>
          <w:i/>
        </w:rPr>
      </w:pPr>
      <w:r w:rsidRPr="00A32AF4">
        <w:rPr>
          <w:rFonts w:cs="Arial"/>
          <w:i/>
        </w:rPr>
        <w:t>(</w:t>
      </w:r>
      <w:proofErr w:type="gramStart"/>
      <w:r w:rsidRPr="00A32AF4">
        <w:rPr>
          <w:rFonts w:cs="Arial"/>
          <w:i/>
        </w:rPr>
        <w:t>en</w:t>
      </w:r>
      <w:proofErr w:type="gramEnd"/>
      <w:r w:rsidRPr="00A32AF4">
        <w:rPr>
          <w:rFonts w:cs="Arial"/>
          <w:i/>
        </w:rPr>
        <w:t xml:space="preserve"> milliers de francs suisses)</w:t>
      </w:r>
    </w:p>
    <w:p w:rsidR="0081561A" w:rsidRPr="00A32AF4" w:rsidRDefault="0081561A" w:rsidP="00DC0553">
      <w:pPr>
        <w:keepNext/>
      </w:pPr>
    </w:p>
    <w:tbl>
      <w:tblPr>
        <w:tblW w:w="8980" w:type="dxa"/>
        <w:tblInd w:w="55" w:type="dxa"/>
        <w:tblCellMar>
          <w:left w:w="70" w:type="dxa"/>
          <w:right w:w="70" w:type="dxa"/>
        </w:tblCellMar>
        <w:tblLook w:val="04A0" w:firstRow="1" w:lastRow="0" w:firstColumn="1" w:lastColumn="0" w:noHBand="0" w:noVBand="1"/>
      </w:tblPr>
      <w:tblGrid>
        <w:gridCol w:w="592"/>
        <w:gridCol w:w="4428"/>
        <w:gridCol w:w="1260"/>
        <w:gridCol w:w="1440"/>
        <w:gridCol w:w="1260"/>
      </w:tblGrid>
      <w:tr w:rsidR="0081561A" w:rsidRPr="00A32AF4" w:rsidTr="0081561A">
        <w:tc>
          <w:tcPr>
            <w:tcW w:w="5020" w:type="dxa"/>
            <w:gridSpan w:val="2"/>
            <w:tcBorders>
              <w:top w:val="single" w:sz="4" w:space="0" w:color="auto"/>
              <w:left w:val="single" w:sz="4" w:space="0" w:color="auto"/>
              <w:bottom w:val="single" w:sz="4" w:space="0" w:color="auto"/>
              <w:right w:val="single" w:sz="4" w:space="0" w:color="000000"/>
            </w:tcBorders>
            <w:shd w:val="clear" w:color="000000" w:fill="C5D9F1"/>
            <w:noWrap/>
            <w:tcMar>
              <w:top w:w="113" w:type="dxa"/>
              <w:bottom w:w="113" w:type="dxa"/>
            </w:tcMar>
            <w:vAlign w:val="center"/>
            <w:hideMark/>
          </w:tcPr>
          <w:p w:rsidR="0081561A" w:rsidRPr="00A32AF4" w:rsidRDefault="0081561A" w:rsidP="00DC0553">
            <w:pPr>
              <w:jc w:val="center"/>
              <w:rPr>
                <w:rFonts w:cs="Arial"/>
                <w:i/>
                <w:iCs/>
                <w:sz w:val="16"/>
                <w:szCs w:val="16"/>
                <w:lang w:eastAsia="fr-FR"/>
              </w:rPr>
            </w:pPr>
            <w:r w:rsidRPr="00A32AF4">
              <w:rPr>
                <w:rFonts w:cs="Arial"/>
                <w:i/>
                <w:iCs/>
                <w:sz w:val="16"/>
                <w:szCs w:val="16"/>
                <w:lang w:eastAsia="fr-FR"/>
              </w:rPr>
              <w:t xml:space="preserve">Numéro et description du résultat escompté </w:t>
            </w:r>
          </w:p>
        </w:tc>
        <w:tc>
          <w:tcPr>
            <w:tcW w:w="126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81561A" w:rsidRPr="00A32AF4" w:rsidRDefault="0081561A" w:rsidP="00DC0553">
            <w:pPr>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2014</w:t>
            </w:r>
            <w:r w:rsidR="00EB7F54" w:rsidRPr="00A32AF4">
              <w:rPr>
                <w:rFonts w:cs="Arial"/>
                <w:i/>
                <w:iCs/>
                <w:sz w:val="16"/>
                <w:szCs w:val="16"/>
                <w:lang w:eastAsia="fr-FR"/>
              </w:rPr>
              <w:noBreakHyphen/>
            </w:r>
            <w:r w:rsidRPr="00A32AF4">
              <w:rPr>
                <w:rFonts w:cs="Arial"/>
                <w:i/>
                <w:iCs/>
                <w:sz w:val="16"/>
                <w:szCs w:val="16"/>
                <w:lang w:eastAsia="fr-FR"/>
              </w:rPr>
              <w:t>2015 approuvé</w:t>
            </w:r>
          </w:p>
        </w:tc>
        <w:tc>
          <w:tcPr>
            <w:tcW w:w="144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81561A" w:rsidRPr="00A32AF4" w:rsidRDefault="0081561A" w:rsidP="00DC0553">
            <w:pPr>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2014</w:t>
            </w:r>
            <w:r w:rsidR="00EB7F54" w:rsidRPr="00A32AF4">
              <w:rPr>
                <w:rFonts w:cs="Arial"/>
                <w:i/>
                <w:iCs/>
                <w:sz w:val="16"/>
                <w:szCs w:val="16"/>
                <w:lang w:eastAsia="fr-FR"/>
              </w:rPr>
              <w:noBreakHyphen/>
            </w:r>
            <w:r w:rsidRPr="00A32AF4">
              <w:rPr>
                <w:rFonts w:cs="Arial"/>
                <w:i/>
                <w:iCs/>
                <w:sz w:val="16"/>
                <w:szCs w:val="16"/>
                <w:lang w:eastAsia="fr-FR"/>
              </w:rPr>
              <w:t>2015 après virements</w:t>
            </w:r>
          </w:p>
        </w:tc>
        <w:tc>
          <w:tcPr>
            <w:tcW w:w="126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81561A" w:rsidRPr="00A32AF4" w:rsidRDefault="0081561A" w:rsidP="00DC0553">
            <w:pPr>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2016</w:t>
            </w:r>
            <w:r w:rsidR="00EB7F54" w:rsidRPr="00A32AF4">
              <w:rPr>
                <w:rFonts w:cs="Arial"/>
                <w:i/>
                <w:iCs/>
                <w:sz w:val="16"/>
                <w:szCs w:val="16"/>
                <w:lang w:eastAsia="fr-FR"/>
              </w:rPr>
              <w:noBreakHyphen/>
            </w:r>
            <w:r w:rsidRPr="00A32AF4">
              <w:rPr>
                <w:rFonts w:cs="Arial"/>
                <w:i/>
                <w:iCs/>
                <w:sz w:val="16"/>
                <w:szCs w:val="16"/>
                <w:lang w:eastAsia="fr-FR"/>
              </w:rPr>
              <w:t>2017 proposé</w:t>
            </w:r>
          </w:p>
        </w:tc>
      </w:tr>
      <w:tr w:rsidR="0081561A" w:rsidRPr="00A32AF4" w:rsidTr="0081561A">
        <w:tc>
          <w:tcPr>
            <w:tcW w:w="592" w:type="dxa"/>
            <w:tcBorders>
              <w:top w:val="nil"/>
              <w:left w:val="single" w:sz="4" w:space="0" w:color="auto"/>
              <w:bottom w:val="nil"/>
              <w:right w:val="nil"/>
            </w:tcBorders>
            <w:shd w:val="clear" w:color="auto" w:fill="auto"/>
            <w:noWrap/>
            <w:tcMar>
              <w:top w:w="113" w:type="dxa"/>
              <w:bottom w:w="113" w:type="dxa"/>
            </w:tcMar>
            <w:vAlign w:val="center"/>
            <w:hideMark/>
          </w:tcPr>
          <w:p w:rsidR="0081561A" w:rsidRPr="00A32AF4" w:rsidRDefault="0081561A" w:rsidP="00DC0553">
            <w:pPr>
              <w:rPr>
                <w:rFonts w:cs="Arial"/>
                <w:sz w:val="16"/>
                <w:szCs w:val="16"/>
                <w:lang w:eastAsia="fr-FR"/>
              </w:rPr>
            </w:pPr>
            <w:r w:rsidRPr="00A32AF4">
              <w:rPr>
                <w:rFonts w:cs="Arial"/>
                <w:sz w:val="16"/>
                <w:szCs w:val="16"/>
                <w:lang w:eastAsia="fr-FR"/>
              </w:rPr>
              <w:t>IV.2</w:t>
            </w:r>
          </w:p>
        </w:tc>
        <w:tc>
          <w:tcPr>
            <w:tcW w:w="4428" w:type="dxa"/>
            <w:tcBorders>
              <w:top w:val="nil"/>
              <w:left w:val="nil"/>
              <w:bottom w:val="nil"/>
              <w:right w:val="nil"/>
            </w:tcBorders>
            <w:shd w:val="clear" w:color="auto" w:fill="auto"/>
            <w:tcMar>
              <w:top w:w="113" w:type="dxa"/>
              <w:bottom w:w="113" w:type="dxa"/>
            </w:tcMar>
            <w:vAlign w:val="center"/>
            <w:hideMark/>
          </w:tcPr>
          <w:p w:rsidR="0081561A" w:rsidRPr="00A32AF4" w:rsidRDefault="0081561A" w:rsidP="00DC0553">
            <w:pPr>
              <w:rPr>
                <w:rFonts w:cs="Arial"/>
                <w:sz w:val="16"/>
                <w:szCs w:val="16"/>
                <w:lang w:eastAsia="fr-FR"/>
              </w:rPr>
            </w:pPr>
            <w:r w:rsidRPr="00A32AF4">
              <w:rPr>
                <w:rFonts w:cs="Arial"/>
                <w:sz w:val="16"/>
                <w:szCs w:val="16"/>
                <w:lang w:eastAsia="fr-FR"/>
              </w:rPr>
              <w:t>Amélioration de l</w:t>
            </w:r>
            <w:r w:rsidR="00E2055A" w:rsidRPr="00A32AF4">
              <w:rPr>
                <w:rFonts w:cs="Arial"/>
                <w:sz w:val="16"/>
                <w:szCs w:val="16"/>
                <w:lang w:eastAsia="fr-FR"/>
              </w:rPr>
              <w:t>’</w:t>
            </w:r>
            <w:r w:rsidRPr="00A32AF4">
              <w:rPr>
                <w:rFonts w:cs="Arial"/>
                <w:sz w:val="16"/>
                <w:szCs w:val="16"/>
                <w:lang w:eastAsia="fr-FR"/>
              </w:rPr>
              <w:t>accessibilité et de l</w:t>
            </w:r>
            <w:r w:rsidR="00E2055A" w:rsidRPr="00A32AF4">
              <w:rPr>
                <w:rFonts w:cs="Arial"/>
                <w:sz w:val="16"/>
                <w:szCs w:val="16"/>
                <w:lang w:eastAsia="fr-FR"/>
              </w:rPr>
              <w:t>’</w:t>
            </w:r>
            <w:r w:rsidRPr="00A32AF4">
              <w:rPr>
                <w:rFonts w:cs="Arial"/>
                <w:sz w:val="16"/>
                <w:szCs w:val="16"/>
                <w:lang w:eastAsia="fr-FR"/>
              </w:rPr>
              <w:t>utilisation de l</w:t>
            </w:r>
            <w:r w:rsidR="00E2055A" w:rsidRPr="00A32AF4">
              <w:rPr>
                <w:rFonts w:cs="Arial"/>
                <w:sz w:val="16"/>
                <w:szCs w:val="16"/>
                <w:lang w:eastAsia="fr-FR"/>
              </w:rPr>
              <w:t>’</w:t>
            </w:r>
            <w:r w:rsidRPr="00A32AF4">
              <w:rPr>
                <w:rFonts w:cs="Arial"/>
                <w:sz w:val="16"/>
                <w:szCs w:val="16"/>
                <w:lang w:eastAsia="fr-FR"/>
              </w:rPr>
              <w:t>information en matière de propriété intellectuelle par les institutions compétentes et le public afin de promouvoir l</w:t>
            </w:r>
            <w:r w:rsidR="00E2055A" w:rsidRPr="00A32AF4">
              <w:rPr>
                <w:rFonts w:cs="Arial"/>
                <w:sz w:val="16"/>
                <w:szCs w:val="16"/>
                <w:lang w:eastAsia="fr-FR"/>
              </w:rPr>
              <w:t>’</w:t>
            </w:r>
            <w:r w:rsidRPr="00A32AF4">
              <w:rPr>
                <w:rFonts w:cs="Arial"/>
                <w:sz w:val="16"/>
                <w:szCs w:val="16"/>
                <w:lang w:eastAsia="fr-FR"/>
              </w:rPr>
              <w:t>innovation et la créativité</w:t>
            </w:r>
          </w:p>
        </w:tc>
        <w:tc>
          <w:tcPr>
            <w:tcW w:w="1260" w:type="dxa"/>
            <w:tcBorders>
              <w:top w:val="nil"/>
              <w:left w:val="nil"/>
              <w:bottom w:val="nil"/>
              <w:right w:val="nil"/>
            </w:tcBorders>
            <w:shd w:val="clear" w:color="auto" w:fill="auto"/>
            <w:tcMar>
              <w:top w:w="113" w:type="dxa"/>
              <w:bottom w:w="113" w:type="dxa"/>
            </w:tcMar>
            <w:vAlign w:val="center"/>
            <w:hideMark/>
          </w:tcPr>
          <w:p w:rsidR="0081561A" w:rsidRPr="00A32AF4" w:rsidRDefault="0081561A" w:rsidP="00DC0553">
            <w:pPr>
              <w:jc w:val="right"/>
              <w:rPr>
                <w:rFonts w:cs="Arial"/>
                <w:sz w:val="16"/>
                <w:szCs w:val="16"/>
                <w:lang w:eastAsia="fr-FR"/>
              </w:rPr>
            </w:pPr>
            <w:r w:rsidRPr="00A32AF4">
              <w:rPr>
                <w:rFonts w:cs="Arial"/>
                <w:sz w:val="16"/>
                <w:szCs w:val="16"/>
                <w:lang w:eastAsia="fr-FR"/>
              </w:rPr>
              <w:t xml:space="preserve">1 939 </w:t>
            </w:r>
          </w:p>
        </w:tc>
        <w:tc>
          <w:tcPr>
            <w:tcW w:w="1440" w:type="dxa"/>
            <w:tcBorders>
              <w:top w:val="nil"/>
              <w:left w:val="nil"/>
              <w:bottom w:val="nil"/>
              <w:right w:val="nil"/>
            </w:tcBorders>
            <w:shd w:val="clear" w:color="auto" w:fill="auto"/>
            <w:tcMar>
              <w:top w:w="113" w:type="dxa"/>
              <w:bottom w:w="113" w:type="dxa"/>
            </w:tcMar>
            <w:vAlign w:val="center"/>
            <w:hideMark/>
          </w:tcPr>
          <w:p w:rsidR="0081561A" w:rsidRPr="00A32AF4" w:rsidRDefault="0081561A" w:rsidP="00DC0553">
            <w:pPr>
              <w:jc w:val="right"/>
              <w:rPr>
                <w:rFonts w:cs="Arial"/>
                <w:sz w:val="16"/>
                <w:szCs w:val="16"/>
                <w:lang w:eastAsia="fr-FR"/>
              </w:rPr>
            </w:pPr>
            <w:r w:rsidRPr="00A32AF4">
              <w:rPr>
                <w:rFonts w:cs="Arial"/>
                <w:sz w:val="16"/>
                <w:szCs w:val="16"/>
                <w:lang w:eastAsia="fr-FR"/>
              </w:rPr>
              <w:t xml:space="preserve">2 283 </w:t>
            </w:r>
          </w:p>
        </w:tc>
        <w:tc>
          <w:tcPr>
            <w:tcW w:w="1260" w:type="dxa"/>
            <w:tcBorders>
              <w:top w:val="nil"/>
              <w:left w:val="nil"/>
              <w:bottom w:val="nil"/>
              <w:right w:val="single" w:sz="4" w:space="0" w:color="auto"/>
            </w:tcBorders>
            <w:shd w:val="clear" w:color="auto" w:fill="auto"/>
            <w:noWrap/>
            <w:tcMar>
              <w:top w:w="113" w:type="dxa"/>
              <w:bottom w:w="113" w:type="dxa"/>
            </w:tcMar>
            <w:vAlign w:val="center"/>
            <w:hideMark/>
          </w:tcPr>
          <w:p w:rsidR="0081561A" w:rsidRPr="00A32AF4" w:rsidRDefault="0081561A" w:rsidP="00DC0553">
            <w:pPr>
              <w:jc w:val="right"/>
              <w:rPr>
                <w:rFonts w:cs="Arial"/>
                <w:color w:val="000000"/>
                <w:sz w:val="16"/>
                <w:szCs w:val="16"/>
                <w:lang w:eastAsia="fr-FR"/>
              </w:rPr>
            </w:pPr>
            <w:r w:rsidRPr="00A32AF4">
              <w:rPr>
                <w:rFonts w:cs="Arial"/>
                <w:color w:val="000000"/>
                <w:sz w:val="16"/>
                <w:szCs w:val="16"/>
                <w:lang w:eastAsia="fr-FR"/>
              </w:rPr>
              <w:t xml:space="preserve">2 357 </w:t>
            </w:r>
          </w:p>
        </w:tc>
      </w:tr>
      <w:tr w:rsidR="0081561A" w:rsidRPr="00A32AF4" w:rsidTr="0081561A">
        <w:tc>
          <w:tcPr>
            <w:tcW w:w="592" w:type="dxa"/>
            <w:tcBorders>
              <w:top w:val="nil"/>
              <w:left w:val="single" w:sz="4" w:space="0" w:color="auto"/>
              <w:bottom w:val="nil"/>
              <w:right w:val="nil"/>
            </w:tcBorders>
            <w:shd w:val="clear" w:color="auto" w:fill="auto"/>
            <w:noWrap/>
            <w:tcMar>
              <w:top w:w="113" w:type="dxa"/>
              <w:bottom w:w="113" w:type="dxa"/>
            </w:tcMar>
            <w:vAlign w:val="center"/>
            <w:hideMark/>
          </w:tcPr>
          <w:p w:rsidR="0081561A" w:rsidRPr="00A32AF4" w:rsidRDefault="0081561A" w:rsidP="00DC0553">
            <w:pPr>
              <w:rPr>
                <w:rFonts w:cs="Arial"/>
                <w:sz w:val="16"/>
                <w:szCs w:val="16"/>
                <w:lang w:eastAsia="fr-FR"/>
              </w:rPr>
            </w:pPr>
            <w:r w:rsidRPr="00A32AF4">
              <w:rPr>
                <w:rFonts w:cs="Arial"/>
                <w:sz w:val="16"/>
                <w:szCs w:val="16"/>
                <w:lang w:eastAsia="fr-FR"/>
              </w:rPr>
              <w:t>VIII.3</w:t>
            </w:r>
          </w:p>
        </w:tc>
        <w:tc>
          <w:tcPr>
            <w:tcW w:w="4428" w:type="dxa"/>
            <w:tcBorders>
              <w:top w:val="nil"/>
              <w:left w:val="nil"/>
              <w:bottom w:val="nil"/>
              <w:right w:val="nil"/>
            </w:tcBorders>
            <w:shd w:val="clear" w:color="auto" w:fill="auto"/>
            <w:tcMar>
              <w:top w:w="113" w:type="dxa"/>
              <w:bottom w:w="113" w:type="dxa"/>
            </w:tcMar>
            <w:vAlign w:val="center"/>
            <w:hideMark/>
          </w:tcPr>
          <w:p w:rsidR="0081561A" w:rsidRPr="00A32AF4" w:rsidRDefault="0081561A" w:rsidP="00DC0553">
            <w:pPr>
              <w:rPr>
                <w:rFonts w:cs="Arial"/>
                <w:sz w:val="16"/>
                <w:szCs w:val="16"/>
                <w:lang w:eastAsia="fr-FR"/>
              </w:rPr>
            </w:pPr>
            <w:r w:rsidRPr="00A32AF4">
              <w:rPr>
                <w:rFonts w:cs="Arial"/>
                <w:sz w:val="16"/>
                <w:szCs w:val="16"/>
                <w:lang w:eastAsia="fr-FR"/>
              </w:rPr>
              <w:t>Engagement réel auprès des États membres</w:t>
            </w:r>
          </w:p>
        </w:tc>
        <w:tc>
          <w:tcPr>
            <w:tcW w:w="1260" w:type="dxa"/>
            <w:tcBorders>
              <w:top w:val="nil"/>
              <w:left w:val="nil"/>
              <w:bottom w:val="nil"/>
              <w:right w:val="nil"/>
            </w:tcBorders>
            <w:shd w:val="clear" w:color="auto" w:fill="auto"/>
            <w:tcMar>
              <w:top w:w="113" w:type="dxa"/>
              <w:bottom w:w="113" w:type="dxa"/>
            </w:tcMar>
            <w:vAlign w:val="center"/>
            <w:hideMark/>
          </w:tcPr>
          <w:p w:rsidR="0081561A" w:rsidRPr="00A32AF4" w:rsidRDefault="0081561A" w:rsidP="00DC0553">
            <w:pPr>
              <w:jc w:val="right"/>
              <w:rPr>
                <w:rFonts w:cs="Arial"/>
                <w:sz w:val="16"/>
                <w:szCs w:val="16"/>
                <w:lang w:eastAsia="fr-FR"/>
              </w:rPr>
            </w:pPr>
            <w:r w:rsidRPr="00A32AF4">
              <w:rPr>
                <w:rFonts w:cs="Arial"/>
                <w:sz w:val="16"/>
                <w:szCs w:val="16"/>
                <w:lang w:eastAsia="fr-FR"/>
              </w:rPr>
              <w:t xml:space="preserve">6 747 </w:t>
            </w:r>
          </w:p>
        </w:tc>
        <w:tc>
          <w:tcPr>
            <w:tcW w:w="1440" w:type="dxa"/>
            <w:tcBorders>
              <w:top w:val="nil"/>
              <w:left w:val="nil"/>
              <w:bottom w:val="nil"/>
              <w:right w:val="nil"/>
            </w:tcBorders>
            <w:shd w:val="clear" w:color="auto" w:fill="auto"/>
            <w:tcMar>
              <w:top w:w="113" w:type="dxa"/>
              <w:bottom w:w="113" w:type="dxa"/>
            </w:tcMar>
            <w:vAlign w:val="center"/>
            <w:hideMark/>
          </w:tcPr>
          <w:p w:rsidR="0081561A" w:rsidRPr="00A32AF4" w:rsidRDefault="0081561A" w:rsidP="00DC0553">
            <w:pPr>
              <w:jc w:val="right"/>
              <w:rPr>
                <w:rFonts w:cs="Arial"/>
                <w:sz w:val="16"/>
                <w:szCs w:val="16"/>
                <w:lang w:eastAsia="fr-FR"/>
              </w:rPr>
            </w:pPr>
            <w:r w:rsidRPr="00A32AF4">
              <w:rPr>
                <w:rFonts w:cs="Arial"/>
                <w:sz w:val="16"/>
                <w:szCs w:val="16"/>
                <w:lang w:eastAsia="fr-FR"/>
              </w:rPr>
              <w:t xml:space="preserve">8 207 </w:t>
            </w:r>
          </w:p>
        </w:tc>
        <w:tc>
          <w:tcPr>
            <w:tcW w:w="1260" w:type="dxa"/>
            <w:tcBorders>
              <w:top w:val="nil"/>
              <w:left w:val="nil"/>
              <w:bottom w:val="nil"/>
              <w:right w:val="single" w:sz="4" w:space="0" w:color="auto"/>
            </w:tcBorders>
            <w:shd w:val="clear" w:color="auto" w:fill="auto"/>
            <w:noWrap/>
            <w:tcMar>
              <w:top w:w="113" w:type="dxa"/>
              <w:bottom w:w="113" w:type="dxa"/>
            </w:tcMar>
            <w:vAlign w:val="center"/>
            <w:hideMark/>
          </w:tcPr>
          <w:p w:rsidR="0081561A" w:rsidRPr="00A32AF4" w:rsidRDefault="0081561A" w:rsidP="00DC0553">
            <w:pPr>
              <w:jc w:val="right"/>
              <w:rPr>
                <w:rFonts w:cs="Arial"/>
                <w:color w:val="000000"/>
                <w:sz w:val="16"/>
                <w:szCs w:val="16"/>
                <w:lang w:eastAsia="fr-FR"/>
              </w:rPr>
            </w:pPr>
            <w:r w:rsidRPr="00A32AF4">
              <w:rPr>
                <w:rFonts w:cs="Arial"/>
                <w:color w:val="000000"/>
                <w:sz w:val="16"/>
                <w:szCs w:val="16"/>
                <w:lang w:eastAsia="fr-FR"/>
              </w:rPr>
              <w:t xml:space="preserve">7 099 </w:t>
            </w:r>
          </w:p>
        </w:tc>
      </w:tr>
      <w:tr w:rsidR="0081561A" w:rsidRPr="00A32AF4" w:rsidTr="0081561A">
        <w:tc>
          <w:tcPr>
            <w:tcW w:w="592" w:type="dxa"/>
            <w:tcBorders>
              <w:top w:val="nil"/>
              <w:left w:val="single" w:sz="4" w:space="0" w:color="auto"/>
              <w:bottom w:val="nil"/>
              <w:right w:val="nil"/>
            </w:tcBorders>
            <w:shd w:val="clear" w:color="auto" w:fill="auto"/>
            <w:noWrap/>
            <w:tcMar>
              <w:top w:w="113" w:type="dxa"/>
              <w:bottom w:w="113" w:type="dxa"/>
            </w:tcMar>
            <w:vAlign w:val="center"/>
            <w:hideMark/>
          </w:tcPr>
          <w:p w:rsidR="0081561A" w:rsidRPr="00A32AF4" w:rsidRDefault="0081561A" w:rsidP="00DC0553">
            <w:pPr>
              <w:rPr>
                <w:rFonts w:cs="Arial"/>
                <w:sz w:val="16"/>
                <w:szCs w:val="16"/>
                <w:lang w:eastAsia="fr-FR"/>
              </w:rPr>
            </w:pPr>
            <w:r w:rsidRPr="00A32AF4">
              <w:rPr>
                <w:rFonts w:cs="Arial"/>
                <w:sz w:val="16"/>
                <w:szCs w:val="16"/>
                <w:lang w:eastAsia="fr-FR"/>
              </w:rPr>
              <w:t>VIII.4</w:t>
            </w:r>
          </w:p>
        </w:tc>
        <w:tc>
          <w:tcPr>
            <w:tcW w:w="4428" w:type="dxa"/>
            <w:tcBorders>
              <w:top w:val="nil"/>
              <w:left w:val="nil"/>
              <w:bottom w:val="nil"/>
              <w:right w:val="nil"/>
            </w:tcBorders>
            <w:shd w:val="clear" w:color="auto" w:fill="auto"/>
            <w:tcMar>
              <w:top w:w="113" w:type="dxa"/>
              <w:bottom w:w="113" w:type="dxa"/>
            </w:tcMar>
            <w:vAlign w:val="center"/>
            <w:hideMark/>
          </w:tcPr>
          <w:p w:rsidR="0081561A" w:rsidRPr="00A32AF4" w:rsidRDefault="0081561A" w:rsidP="00DC0553">
            <w:pPr>
              <w:rPr>
                <w:rFonts w:cs="Arial"/>
                <w:sz w:val="16"/>
                <w:szCs w:val="16"/>
                <w:lang w:eastAsia="fr-FR"/>
              </w:rPr>
            </w:pPr>
            <w:r w:rsidRPr="00A32AF4">
              <w:rPr>
                <w:rFonts w:cs="Arial"/>
                <w:sz w:val="16"/>
                <w:szCs w:val="16"/>
                <w:lang w:eastAsia="fr-FR"/>
              </w:rPr>
              <w:t>Échanges ouverts, transparents et dynamiques avec les parties prenantes non gouvernementales</w:t>
            </w:r>
          </w:p>
        </w:tc>
        <w:tc>
          <w:tcPr>
            <w:tcW w:w="1260" w:type="dxa"/>
            <w:tcBorders>
              <w:top w:val="nil"/>
              <w:left w:val="nil"/>
              <w:bottom w:val="nil"/>
              <w:right w:val="nil"/>
            </w:tcBorders>
            <w:shd w:val="clear" w:color="auto" w:fill="auto"/>
            <w:tcMar>
              <w:top w:w="113" w:type="dxa"/>
              <w:bottom w:w="113" w:type="dxa"/>
            </w:tcMar>
            <w:vAlign w:val="center"/>
            <w:hideMark/>
          </w:tcPr>
          <w:p w:rsidR="0081561A" w:rsidRPr="00A32AF4" w:rsidRDefault="0081561A" w:rsidP="00DC0553">
            <w:pPr>
              <w:jc w:val="right"/>
              <w:rPr>
                <w:rFonts w:cs="Arial"/>
                <w:sz w:val="16"/>
                <w:szCs w:val="16"/>
                <w:lang w:eastAsia="fr-FR"/>
              </w:rPr>
            </w:pPr>
            <w:r w:rsidRPr="00A32AF4">
              <w:rPr>
                <w:rFonts w:cs="Arial"/>
                <w:sz w:val="16"/>
                <w:szCs w:val="16"/>
                <w:lang w:eastAsia="fr-FR"/>
              </w:rPr>
              <w:t>–</w:t>
            </w:r>
          </w:p>
        </w:tc>
        <w:tc>
          <w:tcPr>
            <w:tcW w:w="1440" w:type="dxa"/>
            <w:tcBorders>
              <w:top w:val="nil"/>
              <w:left w:val="nil"/>
              <w:bottom w:val="nil"/>
              <w:right w:val="nil"/>
            </w:tcBorders>
            <w:shd w:val="clear" w:color="auto" w:fill="auto"/>
            <w:tcMar>
              <w:top w:w="113" w:type="dxa"/>
              <w:bottom w:w="113" w:type="dxa"/>
            </w:tcMar>
            <w:vAlign w:val="center"/>
            <w:hideMark/>
          </w:tcPr>
          <w:p w:rsidR="0081561A" w:rsidRPr="00A32AF4" w:rsidRDefault="0081561A" w:rsidP="00DC0553">
            <w:pPr>
              <w:jc w:val="right"/>
              <w:rPr>
                <w:rFonts w:cs="Arial"/>
                <w:sz w:val="16"/>
                <w:szCs w:val="16"/>
                <w:lang w:eastAsia="fr-FR"/>
              </w:rPr>
            </w:pPr>
            <w:r w:rsidRPr="00A32AF4">
              <w:rPr>
                <w:rFonts w:cs="Arial"/>
                <w:sz w:val="16"/>
                <w:szCs w:val="16"/>
                <w:lang w:eastAsia="fr-FR"/>
              </w:rPr>
              <w:t>–</w:t>
            </w:r>
          </w:p>
        </w:tc>
        <w:tc>
          <w:tcPr>
            <w:tcW w:w="1260" w:type="dxa"/>
            <w:tcBorders>
              <w:top w:val="nil"/>
              <w:left w:val="nil"/>
              <w:bottom w:val="nil"/>
              <w:right w:val="single" w:sz="4" w:space="0" w:color="auto"/>
            </w:tcBorders>
            <w:shd w:val="clear" w:color="auto" w:fill="auto"/>
            <w:noWrap/>
            <w:tcMar>
              <w:top w:w="113" w:type="dxa"/>
              <w:bottom w:w="113" w:type="dxa"/>
            </w:tcMar>
            <w:vAlign w:val="center"/>
            <w:hideMark/>
          </w:tcPr>
          <w:p w:rsidR="0081561A" w:rsidRPr="00A32AF4" w:rsidRDefault="0081561A" w:rsidP="00DC0553">
            <w:pPr>
              <w:jc w:val="right"/>
              <w:rPr>
                <w:rFonts w:cs="Arial"/>
                <w:color w:val="000000"/>
                <w:sz w:val="16"/>
                <w:szCs w:val="16"/>
                <w:lang w:eastAsia="fr-FR"/>
              </w:rPr>
            </w:pPr>
            <w:r w:rsidRPr="00A32AF4">
              <w:rPr>
                <w:rFonts w:cs="Arial"/>
                <w:color w:val="000000"/>
                <w:sz w:val="16"/>
                <w:szCs w:val="16"/>
                <w:lang w:eastAsia="fr-FR"/>
              </w:rPr>
              <w:t xml:space="preserve">462 </w:t>
            </w:r>
          </w:p>
        </w:tc>
      </w:tr>
      <w:tr w:rsidR="0081561A" w:rsidRPr="00A32AF4" w:rsidTr="0081561A">
        <w:tc>
          <w:tcPr>
            <w:tcW w:w="592" w:type="dxa"/>
            <w:tcBorders>
              <w:top w:val="nil"/>
              <w:left w:val="single" w:sz="4" w:space="0" w:color="auto"/>
              <w:bottom w:val="nil"/>
              <w:right w:val="nil"/>
            </w:tcBorders>
            <w:shd w:val="clear" w:color="auto" w:fill="auto"/>
            <w:noWrap/>
            <w:tcMar>
              <w:top w:w="113" w:type="dxa"/>
              <w:bottom w:w="113" w:type="dxa"/>
            </w:tcMar>
            <w:vAlign w:val="center"/>
            <w:hideMark/>
          </w:tcPr>
          <w:p w:rsidR="0081561A" w:rsidRPr="00A32AF4" w:rsidRDefault="0081561A" w:rsidP="00DC0553">
            <w:pPr>
              <w:rPr>
                <w:rFonts w:cs="Arial"/>
                <w:sz w:val="16"/>
                <w:szCs w:val="16"/>
                <w:lang w:eastAsia="fr-FR"/>
              </w:rPr>
            </w:pPr>
            <w:r w:rsidRPr="00A32AF4">
              <w:rPr>
                <w:rFonts w:cs="Arial"/>
                <w:sz w:val="16"/>
                <w:szCs w:val="16"/>
                <w:lang w:eastAsia="fr-FR"/>
              </w:rPr>
              <w:t>VIII.5</w:t>
            </w:r>
          </w:p>
        </w:tc>
        <w:tc>
          <w:tcPr>
            <w:tcW w:w="4428" w:type="dxa"/>
            <w:tcBorders>
              <w:top w:val="nil"/>
              <w:left w:val="nil"/>
              <w:bottom w:val="nil"/>
              <w:right w:val="nil"/>
            </w:tcBorders>
            <w:shd w:val="clear" w:color="auto" w:fill="auto"/>
            <w:tcMar>
              <w:top w:w="113" w:type="dxa"/>
              <w:bottom w:w="113" w:type="dxa"/>
            </w:tcMar>
            <w:vAlign w:val="center"/>
            <w:hideMark/>
          </w:tcPr>
          <w:p w:rsidR="0081561A" w:rsidRPr="00A32AF4" w:rsidRDefault="0081561A" w:rsidP="00DC0553">
            <w:pPr>
              <w:rPr>
                <w:rFonts w:cs="Arial"/>
                <w:sz w:val="16"/>
                <w:szCs w:val="16"/>
                <w:lang w:eastAsia="fr-FR"/>
              </w:rPr>
            </w:pPr>
            <w:r w:rsidRPr="00A32AF4">
              <w:rPr>
                <w:rFonts w:cs="Arial"/>
                <w:sz w:val="16"/>
                <w:szCs w:val="16"/>
                <w:lang w:eastAsia="fr-FR"/>
              </w:rPr>
              <w:t>L</w:t>
            </w:r>
            <w:r w:rsidR="00E2055A" w:rsidRPr="00A32AF4">
              <w:rPr>
                <w:rFonts w:cs="Arial"/>
                <w:sz w:val="16"/>
                <w:szCs w:val="16"/>
                <w:lang w:eastAsia="fr-FR"/>
              </w:rPr>
              <w:t>’</w:t>
            </w:r>
            <w:r w:rsidRPr="00A32AF4">
              <w:rPr>
                <w:rFonts w:cs="Arial"/>
                <w:sz w:val="16"/>
                <w:szCs w:val="16"/>
                <w:lang w:eastAsia="fr-FR"/>
              </w:rPr>
              <w:t>OMPI collabore efficacement avec d</w:t>
            </w:r>
            <w:r w:rsidR="00E2055A" w:rsidRPr="00A32AF4">
              <w:rPr>
                <w:rFonts w:cs="Arial"/>
                <w:sz w:val="16"/>
                <w:szCs w:val="16"/>
                <w:lang w:eastAsia="fr-FR"/>
              </w:rPr>
              <w:t>’</w:t>
            </w:r>
            <w:r w:rsidRPr="00A32AF4">
              <w:rPr>
                <w:rFonts w:cs="Arial"/>
                <w:sz w:val="16"/>
                <w:szCs w:val="16"/>
                <w:lang w:eastAsia="fr-FR"/>
              </w:rPr>
              <w:t>autres processus et instances de négociation de l</w:t>
            </w:r>
            <w:r w:rsidR="00E2055A" w:rsidRPr="00A32AF4">
              <w:rPr>
                <w:rFonts w:cs="Arial"/>
                <w:sz w:val="16"/>
                <w:szCs w:val="16"/>
                <w:lang w:eastAsia="fr-FR"/>
              </w:rPr>
              <w:t>’</w:t>
            </w:r>
            <w:r w:rsidRPr="00A32AF4">
              <w:rPr>
                <w:rFonts w:cs="Arial"/>
                <w:sz w:val="16"/>
                <w:szCs w:val="16"/>
                <w:lang w:eastAsia="fr-FR"/>
              </w:rPr>
              <w:t>ONU et d</w:t>
            </w:r>
            <w:r w:rsidR="00E2055A" w:rsidRPr="00A32AF4">
              <w:rPr>
                <w:rFonts w:cs="Arial"/>
                <w:sz w:val="16"/>
                <w:szCs w:val="16"/>
                <w:lang w:eastAsia="fr-FR"/>
              </w:rPr>
              <w:t>’</w:t>
            </w:r>
            <w:r w:rsidRPr="00A32AF4">
              <w:rPr>
                <w:rFonts w:cs="Arial"/>
                <w:sz w:val="16"/>
                <w:szCs w:val="16"/>
                <w:lang w:eastAsia="fr-FR"/>
              </w:rPr>
              <w:t>autres organisations intergouvernementales</w:t>
            </w:r>
          </w:p>
        </w:tc>
        <w:tc>
          <w:tcPr>
            <w:tcW w:w="1260" w:type="dxa"/>
            <w:tcBorders>
              <w:top w:val="nil"/>
              <w:left w:val="nil"/>
              <w:bottom w:val="nil"/>
              <w:right w:val="nil"/>
            </w:tcBorders>
            <w:shd w:val="clear" w:color="auto" w:fill="auto"/>
            <w:tcMar>
              <w:top w:w="113" w:type="dxa"/>
              <w:bottom w:w="113" w:type="dxa"/>
            </w:tcMar>
            <w:vAlign w:val="center"/>
            <w:hideMark/>
          </w:tcPr>
          <w:p w:rsidR="0081561A" w:rsidRPr="00A32AF4" w:rsidRDefault="0081561A" w:rsidP="00DC0553">
            <w:pPr>
              <w:jc w:val="right"/>
              <w:rPr>
                <w:rFonts w:cs="Arial"/>
                <w:sz w:val="16"/>
                <w:szCs w:val="16"/>
                <w:lang w:eastAsia="fr-FR"/>
              </w:rPr>
            </w:pPr>
            <w:r w:rsidRPr="00A32AF4">
              <w:rPr>
                <w:rFonts w:cs="Arial"/>
                <w:sz w:val="16"/>
                <w:szCs w:val="16"/>
                <w:lang w:eastAsia="fr-FR"/>
              </w:rPr>
              <w:t xml:space="preserve">266 </w:t>
            </w:r>
          </w:p>
        </w:tc>
        <w:tc>
          <w:tcPr>
            <w:tcW w:w="1440" w:type="dxa"/>
            <w:tcBorders>
              <w:top w:val="nil"/>
              <w:left w:val="nil"/>
              <w:bottom w:val="nil"/>
              <w:right w:val="nil"/>
            </w:tcBorders>
            <w:shd w:val="clear" w:color="auto" w:fill="auto"/>
            <w:tcMar>
              <w:top w:w="113" w:type="dxa"/>
              <w:bottom w:w="113" w:type="dxa"/>
            </w:tcMar>
            <w:vAlign w:val="center"/>
            <w:hideMark/>
          </w:tcPr>
          <w:p w:rsidR="0081561A" w:rsidRPr="00A32AF4" w:rsidRDefault="0081561A" w:rsidP="00DC0553">
            <w:pPr>
              <w:jc w:val="right"/>
              <w:rPr>
                <w:rFonts w:cs="Arial"/>
                <w:sz w:val="16"/>
                <w:szCs w:val="16"/>
                <w:lang w:eastAsia="fr-FR"/>
              </w:rPr>
            </w:pPr>
            <w:r w:rsidRPr="00A32AF4">
              <w:rPr>
                <w:rFonts w:cs="Arial"/>
                <w:sz w:val="16"/>
                <w:szCs w:val="16"/>
                <w:lang w:eastAsia="fr-FR"/>
              </w:rPr>
              <w:t xml:space="preserve">817 </w:t>
            </w:r>
          </w:p>
        </w:tc>
        <w:tc>
          <w:tcPr>
            <w:tcW w:w="1260" w:type="dxa"/>
            <w:tcBorders>
              <w:top w:val="nil"/>
              <w:left w:val="nil"/>
              <w:bottom w:val="nil"/>
              <w:right w:val="single" w:sz="4" w:space="0" w:color="auto"/>
            </w:tcBorders>
            <w:shd w:val="clear" w:color="auto" w:fill="auto"/>
            <w:noWrap/>
            <w:tcMar>
              <w:top w:w="113" w:type="dxa"/>
              <w:bottom w:w="113" w:type="dxa"/>
            </w:tcMar>
            <w:vAlign w:val="center"/>
            <w:hideMark/>
          </w:tcPr>
          <w:p w:rsidR="0081561A" w:rsidRPr="00A32AF4" w:rsidRDefault="0081561A" w:rsidP="00DC0553">
            <w:pPr>
              <w:jc w:val="right"/>
              <w:rPr>
                <w:rFonts w:cs="Arial"/>
                <w:color w:val="000000"/>
                <w:sz w:val="16"/>
                <w:szCs w:val="16"/>
                <w:lang w:eastAsia="fr-FR"/>
              </w:rPr>
            </w:pPr>
            <w:r w:rsidRPr="00A32AF4">
              <w:rPr>
                <w:rFonts w:cs="Arial"/>
                <w:color w:val="000000"/>
                <w:sz w:val="16"/>
                <w:szCs w:val="16"/>
                <w:lang w:eastAsia="fr-FR"/>
              </w:rPr>
              <w:t xml:space="preserve">157 </w:t>
            </w:r>
          </w:p>
        </w:tc>
      </w:tr>
      <w:tr w:rsidR="0081561A" w:rsidRPr="00A32AF4" w:rsidTr="0081561A">
        <w:tc>
          <w:tcPr>
            <w:tcW w:w="592" w:type="dxa"/>
            <w:tcBorders>
              <w:top w:val="nil"/>
              <w:left w:val="single" w:sz="4" w:space="0" w:color="auto"/>
              <w:bottom w:val="nil"/>
              <w:right w:val="nil"/>
            </w:tcBorders>
            <w:shd w:val="clear" w:color="auto" w:fill="auto"/>
            <w:noWrap/>
            <w:tcMar>
              <w:top w:w="113" w:type="dxa"/>
              <w:bottom w:w="113" w:type="dxa"/>
            </w:tcMar>
            <w:vAlign w:val="center"/>
            <w:hideMark/>
          </w:tcPr>
          <w:p w:rsidR="0081561A" w:rsidRPr="00A32AF4" w:rsidRDefault="0081561A" w:rsidP="00DC0553">
            <w:pPr>
              <w:rPr>
                <w:rFonts w:cs="Arial"/>
                <w:sz w:val="16"/>
                <w:szCs w:val="16"/>
                <w:lang w:eastAsia="fr-FR"/>
              </w:rPr>
            </w:pPr>
            <w:r w:rsidRPr="00A32AF4">
              <w:rPr>
                <w:rFonts w:cs="Arial"/>
                <w:sz w:val="16"/>
                <w:szCs w:val="16"/>
                <w:lang w:eastAsia="fr-FR"/>
              </w:rPr>
              <w:t>IX.1</w:t>
            </w:r>
          </w:p>
        </w:tc>
        <w:tc>
          <w:tcPr>
            <w:tcW w:w="4428" w:type="dxa"/>
            <w:tcBorders>
              <w:top w:val="nil"/>
              <w:left w:val="nil"/>
              <w:bottom w:val="nil"/>
              <w:right w:val="nil"/>
            </w:tcBorders>
            <w:shd w:val="clear" w:color="auto" w:fill="auto"/>
            <w:tcMar>
              <w:top w:w="113" w:type="dxa"/>
              <w:bottom w:w="113" w:type="dxa"/>
            </w:tcMar>
            <w:vAlign w:val="center"/>
            <w:hideMark/>
          </w:tcPr>
          <w:p w:rsidR="0081561A" w:rsidRPr="00A32AF4" w:rsidRDefault="0081561A" w:rsidP="00DC0553">
            <w:pPr>
              <w:rPr>
                <w:rFonts w:cs="Arial"/>
                <w:sz w:val="16"/>
                <w:szCs w:val="16"/>
                <w:lang w:eastAsia="fr-FR"/>
              </w:rPr>
            </w:pPr>
            <w:r w:rsidRPr="00A32AF4">
              <w:rPr>
                <w:rFonts w:cs="Arial"/>
                <w:sz w:val="16"/>
                <w:szCs w:val="16"/>
                <w:lang w:eastAsia="fr-FR"/>
              </w:rPr>
              <w:t>Services d</w:t>
            </w:r>
            <w:r w:rsidR="00E2055A" w:rsidRPr="00A32AF4">
              <w:rPr>
                <w:rFonts w:cs="Arial"/>
                <w:sz w:val="16"/>
                <w:szCs w:val="16"/>
                <w:lang w:eastAsia="fr-FR"/>
              </w:rPr>
              <w:t>’</w:t>
            </w:r>
            <w:r w:rsidRPr="00A32AF4">
              <w:rPr>
                <w:rFonts w:cs="Arial"/>
                <w:sz w:val="16"/>
                <w:szCs w:val="16"/>
                <w:lang w:eastAsia="fr-FR"/>
              </w:rPr>
              <w:t>appui efficaces, efficients, de qualité et tournés vers la clientèle, à l</w:t>
            </w:r>
            <w:r w:rsidR="00E2055A" w:rsidRPr="00A32AF4">
              <w:rPr>
                <w:rFonts w:cs="Arial"/>
                <w:sz w:val="16"/>
                <w:szCs w:val="16"/>
                <w:lang w:eastAsia="fr-FR"/>
              </w:rPr>
              <w:t>’</w:t>
            </w:r>
            <w:r w:rsidRPr="00A32AF4">
              <w:rPr>
                <w:rFonts w:cs="Arial"/>
                <w:sz w:val="16"/>
                <w:szCs w:val="16"/>
                <w:lang w:eastAsia="fr-FR"/>
              </w:rPr>
              <w:t>intention à la fois des clients internes et des parties prenantes externes</w:t>
            </w:r>
          </w:p>
        </w:tc>
        <w:tc>
          <w:tcPr>
            <w:tcW w:w="1260" w:type="dxa"/>
            <w:tcBorders>
              <w:top w:val="nil"/>
              <w:left w:val="nil"/>
              <w:bottom w:val="nil"/>
              <w:right w:val="nil"/>
            </w:tcBorders>
            <w:shd w:val="clear" w:color="auto" w:fill="auto"/>
            <w:tcMar>
              <w:top w:w="113" w:type="dxa"/>
              <w:bottom w:w="113" w:type="dxa"/>
            </w:tcMar>
            <w:vAlign w:val="center"/>
            <w:hideMark/>
          </w:tcPr>
          <w:p w:rsidR="0081561A" w:rsidRPr="00A32AF4" w:rsidRDefault="0081561A" w:rsidP="00DC0553">
            <w:pPr>
              <w:jc w:val="right"/>
              <w:rPr>
                <w:rFonts w:cs="Arial"/>
                <w:sz w:val="16"/>
                <w:szCs w:val="16"/>
                <w:lang w:eastAsia="fr-FR"/>
              </w:rPr>
            </w:pPr>
            <w:r w:rsidRPr="00A32AF4">
              <w:rPr>
                <w:rFonts w:cs="Arial"/>
                <w:sz w:val="16"/>
                <w:szCs w:val="16"/>
                <w:lang w:eastAsia="fr-FR"/>
              </w:rPr>
              <w:t>–</w:t>
            </w:r>
          </w:p>
        </w:tc>
        <w:tc>
          <w:tcPr>
            <w:tcW w:w="1440" w:type="dxa"/>
            <w:tcBorders>
              <w:top w:val="nil"/>
              <w:left w:val="nil"/>
              <w:bottom w:val="nil"/>
              <w:right w:val="nil"/>
            </w:tcBorders>
            <w:shd w:val="clear" w:color="auto" w:fill="auto"/>
            <w:tcMar>
              <w:top w:w="113" w:type="dxa"/>
              <w:bottom w:w="113" w:type="dxa"/>
            </w:tcMar>
            <w:vAlign w:val="center"/>
            <w:hideMark/>
          </w:tcPr>
          <w:p w:rsidR="0081561A" w:rsidRPr="00A32AF4" w:rsidRDefault="0081561A" w:rsidP="00DC0553">
            <w:pPr>
              <w:jc w:val="right"/>
              <w:rPr>
                <w:rFonts w:cs="Arial"/>
                <w:sz w:val="16"/>
                <w:szCs w:val="16"/>
                <w:lang w:eastAsia="fr-FR"/>
              </w:rPr>
            </w:pPr>
            <w:r w:rsidRPr="00A32AF4">
              <w:rPr>
                <w:rFonts w:cs="Arial"/>
                <w:sz w:val="16"/>
                <w:szCs w:val="16"/>
                <w:lang w:eastAsia="fr-FR"/>
              </w:rPr>
              <w:t>–</w:t>
            </w:r>
          </w:p>
        </w:tc>
        <w:tc>
          <w:tcPr>
            <w:tcW w:w="1260" w:type="dxa"/>
            <w:tcBorders>
              <w:top w:val="nil"/>
              <w:left w:val="nil"/>
              <w:bottom w:val="nil"/>
              <w:right w:val="single" w:sz="4" w:space="0" w:color="auto"/>
            </w:tcBorders>
            <w:shd w:val="clear" w:color="auto" w:fill="auto"/>
            <w:noWrap/>
            <w:tcMar>
              <w:top w:w="113" w:type="dxa"/>
              <w:bottom w:w="113" w:type="dxa"/>
            </w:tcMar>
            <w:vAlign w:val="center"/>
            <w:hideMark/>
          </w:tcPr>
          <w:p w:rsidR="0081561A" w:rsidRPr="00A32AF4" w:rsidRDefault="0081561A" w:rsidP="00DC0553">
            <w:pPr>
              <w:jc w:val="right"/>
              <w:rPr>
                <w:rFonts w:cs="Arial"/>
                <w:color w:val="000000"/>
                <w:sz w:val="16"/>
                <w:szCs w:val="16"/>
                <w:lang w:eastAsia="fr-FR"/>
              </w:rPr>
            </w:pPr>
            <w:r w:rsidRPr="00A32AF4">
              <w:rPr>
                <w:rFonts w:cs="Arial"/>
                <w:color w:val="000000"/>
                <w:sz w:val="16"/>
                <w:szCs w:val="16"/>
                <w:lang w:eastAsia="fr-FR"/>
              </w:rPr>
              <w:t xml:space="preserve">3 694 </w:t>
            </w:r>
          </w:p>
        </w:tc>
      </w:tr>
      <w:tr w:rsidR="0081561A" w:rsidRPr="00A32AF4" w:rsidTr="0081561A">
        <w:tc>
          <w:tcPr>
            <w:tcW w:w="592" w:type="dxa"/>
            <w:tcBorders>
              <w:top w:val="nil"/>
              <w:left w:val="single" w:sz="4" w:space="0" w:color="auto"/>
              <w:bottom w:val="nil"/>
              <w:right w:val="nil"/>
            </w:tcBorders>
            <w:shd w:val="clear" w:color="auto" w:fill="auto"/>
            <w:noWrap/>
            <w:tcMar>
              <w:top w:w="113" w:type="dxa"/>
              <w:bottom w:w="113" w:type="dxa"/>
            </w:tcMar>
            <w:vAlign w:val="center"/>
            <w:hideMark/>
          </w:tcPr>
          <w:p w:rsidR="0081561A" w:rsidRPr="00A32AF4" w:rsidRDefault="0081561A" w:rsidP="00DC0553">
            <w:pPr>
              <w:rPr>
                <w:rFonts w:cs="Arial"/>
                <w:sz w:val="16"/>
                <w:szCs w:val="16"/>
                <w:lang w:eastAsia="fr-FR"/>
              </w:rPr>
            </w:pPr>
            <w:r w:rsidRPr="00A32AF4">
              <w:rPr>
                <w:rFonts w:cs="Arial"/>
                <w:sz w:val="16"/>
                <w:szCs w:val="16"/>
                <w:lang w:eastAsia="fr-FR"/>
              </w:rPr>
              <w:t>IX.2</w:t>
            </w:r>
          </w:p>
        </w:tc>
        <w:tc>
          <w:tcPr>
            <w:tcW w:w="4428" w:type="dxa"/>
            <w:tcBorders>
              <w:top w:val="nil"/>
              <w:left w:val="nil"/>
              <w:bottom w:val="nil"/>
              <w:right w:val="nil"/>
            </w:tcBorders>
            <w:shd w:val="clear" w:color="auto" w:fill="auto"/>
            <w:tcMar>
              <w:top w:w="113" w:type="dxa"/>
              <w:bottom w:w="113" w:type="dxa"/>
            </w:tcMar>
            <w:vAlign w:val="center"/>
            <w:hideMark/>
          </w:tcPr>
          <w:p w:rsidR="0081561A" w:rsidRPr="00A32AF4" w:rsidRDefault="0081561A" w:rsidP="00DC0553">
            <w:pPr>
              <w:rPr>
                <w:rFonts w:cs="Arial"/>
                <w:sz w:val="16"/>
                <w:szCs w:val="16"/>
                <w:lang w:eastAsia="fr-FR"/>
              </w:rPr>
            </w:pPr>
            <w:r w:rsidRPr="00A32AF4">
              <w:rPr>
                <w:rFonts w:cs="Arial"/>
                <w:sz w:val="16"/>
                <w:szCs w:val="16"/>
                <w:lang w:eastAsia="fr-FR"/>
              </w:rPr>
              <w:t>Un Secrétariat réactif, fonctionnant harmonieusement et doté de ressources humaines bien gérées et compétentes, à même d</w:t>
            </w:r>
            <w:r w:rsidR="00E2055A" w:rsidRPr="00A32AF4">
              <w:rPr>
                <w:rFonts w:cs="Arial"/>
                <w:sz w:val="16"/>
                <w:szCs w:val="16"/>
                <w:lang w:eastAsia="fr-FR"/>
              </w:rPr>
              <w:t>’</w:t>
            </w:r>
            <w:r w:rsidRPr="00A32AF4">
              <w:rPr>
                <w:rFonts w:cs="Arial"/>
                <w:sz w:val="16"/>
                <w:szCs w:val="16"/>
                <w:lang w:eastAsia="fr-FR"/>
              </w:rPr>
              <w:t>obtenir des résultats concrets</w:t>
            </w:r>
          </w:p>
        </w:tc>
        <w:tc>
          <w:tcPr>
            <w:tcW w:w="1260" w:type="dxa"/>
            <w:tcBorders>
              <w:top w:val="nil"/>
              <w:left w:val="nil"/>
              <w:bottom w:val="nil"/>
              <w:right w:val="nil"/>
            </w:tcBorders>
            <w:shd w:val="clear" w:color="auto" w:fill="auto"/>
            <w:tcMar>
              <w:top w:w="113" w:type="dxa"/>
              <w:bottom w:w="113" w:type="dxa"/>
            </w:tcMar>
            <w:vAlign w:val="center"/>
            <w:hideMark/>
          </w:tcPr>
          <w:p w:rsidR="0081561A" w:rsidRPr="00A32AF4" w:rsidRDefault="0081561A" w:rsidP="00DC0553">
            <w:pPr>
              <w:jc w:val="right"/>
              <w:rPr>
                <w:rFonts w:cs="Arial"/>
                <w:sz w:val="16"/>
                <w:szCs w:val="16"/>
                <w:lang w:eastAsia="fr-FR"/>
              </w:rPr>
            </w:pPr>
            <w:r w:rsidRPr="00A32AF4">
              <w:rPr>
                <w:rFonts w:cs="Arial"/>
                <w:sz w:val="16"/>
                <w:szCs w:val="16"/>
                <w:lang w:eastAsia="fr-FR"/>
              </w:rPr>
              <w:t xml:space="preserve">8 946 </w:t>
            </w:r>
          </w:p>
        </w:tc>
        <w:tc>
          <w:tcPr>
            <w:tcW w:w="1440" w:type="dxa"/>
            <w:tcBorders>
              <w:top w:val="nil"/>
              <w:left w:val="nil"/>
              <w:bottom w:val="nil"/>
              <w:right w:val="nil"/>
            </w:tcBorders>
            <w:shd w:val="clear" w:color="auto" w:fill="auto"/>
            <w:tcMar>
              <w:top w:w="113" w:type="dxa"/>
              <w:bottom w:w="113" w:type="dxa"/>
            </w:tcMar>
            <w:vAlign w:val="center"/>
            <w:hideMark/>
          </w:tcPr>
          <w:p w:rsidR="0081561A" w:rsidRPr="00A32AF4" w:rsidRDefault="0081561A" w:rsidP="00DC0553">
            <w:pPr>
              <w:jc w:val="right"/>
              <w:rPr>
                <w:rFonts w:cs="Arial"/>
                <w:sz w:val="16"/>
                <w:szCs w:val="16"/>
                <w:lang w:eastAsia="fr-FR"/>
              </w:rPr>
            </w:pPr>
            <w:r w:rsidRPr="00A32AF4">
              <w:rPr>
                <w:rFonts w:cs="Arial"/>
                <w:sz w:val="16"/>
                <w:szCs w:val="16"/>
                <w:lang w:eastAsia="fr-FR"/>
              </w:rPr>
              <w:t xml:space="preserve">7 969 </w:t>
            </w:r>
          </w:p>
        </w:tc>
        <w:tc>
          <w:tcPr>
            <w:tcW w:w="1260" w:type="dxa"/>
            <w:tcBorders>
              <w:top w:val="nil"/>
              <w:left w:val="nil"/>
              <w:bottom w:val="nil"/>
              <w:right w:val="single" w:sz="4" w:space="0" w:color="auto"/>
            </w:tcBorders>
            <w:shd w:val="clear" w:color="auto" w:fill="auto"/>
            <w:noWrap/>
            <w:tcMar>
              <w:top w:w="113" w:type="dxa"/>
              <w:bottom w:w="113" w:type="dxa"/>
            </w:tcMar>
            <w:vAlign w:val="center"/>
            <w:hideMark/>
          </w:tcPr>
          <w:p w:rsidR="0081561A" w:rsidRPr="00A32AF4" w:rsidRDefault="0081561A" w:rsidP="00DC0553">
            <w:pPr>
              <w:jc w:val="right"/>
              <w:rPr>
                <w:rFonts w:cs="Arial"/>
                <w:color w:val="000000"/>
                <w:sz w:val="16"/>
                <w:szCs w:val="16"/>
                <w:lang w:eastAsia="fr-FR"/>
              </w:rPr>
            </w:pPr>
            <w:r w:rsidRPr="00A32AF4">
              <w:rPr>
                <w:rFonts w:cs="Arial"/>
                <w:color w:val="000000"/>
                <w:sz w:val="16"/>
                <w:szCs w:val="16"/>
                <w:lang w:eastAsia="fr-FR"/>
              </w:rPr>
              <w:t xml:space="preserve">5 992 </w:t>
            </w:r>
          </w:p>
        </w:tc>
      </w:tr>
      <w:tr w:rsidR="0081561A" w:rsidRPr="00A32AF4" w:rsidTr="0081561A">
        <w:tc>
          <w:tcPr>
            <w:tcW w:w="592" w:type="dxa"/>
            <w:tcBorders>
              <w:top w:val="nil"/>
              <w:left w:val="single" w:sz="4" w:space="0" w:color="auto"/>
              <w:bottom w:val="nil"/>
              <w:right w:val="nil"/>
            </w:tcBorders>
            <w:shd w:val="clear" w:color="auto" w:fill="auto"/>
            <w:noWrap/>
            <w:tcMar>
              <w:top w:w="113" w:type="dxa"/>
              <w:bottom w:w="113" w:type="dxa"/>
            </w:tcMar>
            <w:vAlign w:val="center"/>
            <w:hideMark/>
          </w:tcPr>
          <w:p w:rsidR="0081561A" w:rsidRPr="00A32AF4" w:rsidRDefault="0081561A" w:rsidP="00DC0553">
            <w:pPr>
              <w:rPr>
                <w:rFonts w:cs="Arial"/>
                <w:sz w:val="16"/>
                <w:szCs w:val="16"/>
                <w:lang w:eastAsia="fr-FR"/>
              </w:rPr>
            </w:pPr>
            <w:r w:rsidRPr="00A32AF4">
              <w:rPr>
                <w:rFonts w:cs="Arial"/>
                <w:sz w:val="16"/>
                <w:szCs w:val="16"/>
                <w:lang w:eastAsia="fr-FR"/>
              </w:rPr>
              <w:t>IX.3</w:t>
            </w:r>
          </w:p>
        </w:tc>
        <w:tc>
          <w:tcPr>
            <w:tcW w:w="4428" w:type="dxa"/>
            <w:tcBorders>
              <w:top w:val="nil"/>
              <w:left w:val="nil"/>
              <w:bottom w:val="nil"/>
              <w:right w:val="nil"/>
            </w:tcBorders>
            <w:shd w:val="clear" w:color="auto" w:fill="auto"/>
            <w:tcMar>
              <w:top w:w="113" w:type="dxa"/>
              <w:bottom w:w="113" w:type="dxa"/>
            </w:tcMar>
            <w:vAlign w:val="center"/>
            <w:hideMark/>
          </w:tcPr>
          <w:p w:rsidR="0081561A" w:rsidRPr="00A32AF4" w:rsidRDefault="0081561A" w:rsidP="00DC0553">
            <w:pPr>
              <w:rPr>
                <w:rFonts w:cs="Arial"/>
                <w:sz w:val="16"/>
                <w:szCs w:val="16"/>
                <w:lang w:eastAsia="fr-FR"/>
              </w:rPr>
            </w:pPr>
            <w:r w:rsidRPr="00A32AF4">
              <w:rPr>
                <w:rFonts w:cs="Arial"/>
                <w:sz w:val="16"/>
                <w:szCs w:val="16"/>
                <w:lang w:eastAsia="fr-FR"/>
              </w:rPr>
              <w:t>Un environnement de travail stimulant étayé par un cadre réglementaire efficace et des voies appropriées pour répondre aux préoccupations du personnel</w:t>
            </w:r>
          </w:p>
        </w:tc>
        <w:tc>
          <w:tcPr>
            <w:tcW w:w="1260" w:type="dxa"/>
            <w:tcBorders>
              <w:top w:val="nil"/>
              <w:left w:val="nil"/>
              <w:bottom w:val="nil"/>
              <w:right w:val="nil"/>
            </w:tcBorders>
            <w:shd w:val="clear" w:color="auto" w:fill="auto"/>
            <w:tcMar>
              <w:top w:w="113" w:type="dxa"/>
              <w:bottom w:w="113" w:type="dxa"/>
            </w:tcMar>
            <w:vAlign w:val="center"/>
            <w:hideMark/>
          </w:tcPr>
          <w:p w:rsidR="0081561A" w:rsidRPr="00A32AF4" w:rsidRDefault="0081561A" w:rsidP="00DC0553">
            <w:pPr>
              <w:jc w:val="right"/>
              <w:rPr>
                <w:rFonts w:cs="Arial"/>
                <w:sz w:val="16"/>
                <w:szCs w:val="16"/>
                <w:lang w:eastAsia="fr-FR"/>
              </w:rPr>
            </w:pPr>
            <w:r w:rsidRPr="00A32AF4">
              <w:rPr>
                <w:rFonts w:cs="Arial"/>
                <w:sz w:val="16"/>
                <w:szCs w:val="16"/>
                <w:lang w:eastAsia="fr-FR"/>
              </w:rPr>
              <w:t xml:space="preserve">1 048 </w:t>
            </w:r>
          </w:p>
        </w:tc>
        <w:tc>
          <w:tcPr>
            <w:tcW w:w="1440" w:type="dxa"/>
            <w:tcBorders>
              <w:top w:val="nil"/>
              <w:left w:val="nil"/>
              <w:bottom w:val="nil"/>
              <w:right w:val="nil"/>
            </w:tcBorders>
            <w:shd w:val="clear" w:color="auto" w:fill="auto"/>
            <w:tcMar>
              <w:top w:w="113" w:type="dxa"/>
              <w:bottom w:w="113" w:type="dxa"/>
            </w:tcMar>
            <w:vAlign w:val="center"/>
            <w:hideMark/>
          </w:tcPr>
          <w:p w:rsidR="0081561A" w:rsidRPr="00A32AF4" w:rsidRDefault="0081561A" w:rsidP="00DC0553">
            <w:pPr>
              <w:jc w:val="right"/>
              <w:rPr>
                <w:rFonts w:cs="Arial"/>
                <w:sz w:val="16"/>
                <w:szCs w:val="16"/>
                <w:lang w:eastAsia="fr-FR"/>
              </w:rPr>
            </w:pPr>
            <w:r w:rsidRPr="00A32AF4">
              <w:rPr>
                <w:rFonts w:cs="Arial"/>
                <w:sz w:val="16"/>
                <w:szCs w:val="16"/>
                <w:lang w:eastAsia="fr-FR"/>
              </w:rPr>
              <w:t xml:space="preserve">1 031 </w:t>
            </w:r>
          </w:p>
        </w:tc>
        <w:tc>
          <w:tcPr>
            <w:tcW w:w="1260" w:type="dxa"/>
            <w:tcBorders>
              <w:top w:val="nil"/>
              <w:left w:val="nil"/>
              <w:bottom w:val="single" w:sz="4" w:space="0" w:color="auto"/>
              <w:right w:val="single" w:sz="4" w:space="0" w:color="auto"/>
            </w:tcBorders>
            <w:shd w:val="clear" w:color="auto" w:fill="auto"/>
            <w:noWrap/>
            <w:tcMar>
              <w:top w:w="113" w:type="dxa"/>
              <w:bottom w:w="113" w:type="dxa"/>
            </w:tcMar>
            <w:vAlign w:val="center"/>
            <w:hideMark/>
          </w:tcPr>
          <w:p w:rsidR="0081561A" w:rsidRPr="00A32AF4" w:rsidRDefault="0081561A" w:rsidP="00DC0553">
            <w:pPr>
              <w:jc w:val="right"/>
              <w:rPr>
                <w:rFonts w:cs="Arial"/>
                <w:color w:val="000000"/>
                <w:sz w:val="16"/>
                <w:szCs w:val="16"/>
                <w:lang w:eastAsia="fr-FR"/>
              </w:rPr>
            </w:pPr>
            <w:r w:rsidRPr="00A32AF4">
              <w:rPr>
                <w:rFonts w:cs="Arial"/>
                <w:color w:val="000000"/>
                <w:sz w:val="16"/>
                <w:szCs w:val="16"/>
                <w:lang w:eastAsia="fr-FR"/>
              </w:rPr>
              <w:t xml:space="preserve">914 </w:t>
            </w:r>
          </w:p>
        </w:tc>
      </w:tr>
      <w:tr w:rsidR="0081561A" w:rsidRPr="00A32AF4" w:rsidTr="0081561A">
        <w:tc>
          <w:tcPr>
            <w:tcW w:w="592" w:type="dxa"/>
            <w:tcBorders>
              <w:top w:val="single" w:sz="4" w:space="0" w:color="auto"/>
              <w:left w:val="single" w:sz="4" w:space="0" w:color="auto"/>
              <w:bottom w:val="single" w:sz="4" w:space="0" w:color="auto"/>
              <w:right w:val="nil"/>
            </w:tcBorders>
            <w:shd w:val="clear" w:color="000000" w:fill="C5D9F1"/>
            <w:noWrap/>
            <w:tcMar>
              <w:top w:w="113" w:type="dxa"/>
              <w:bottom w:w="113" w:type="dxa"/>
            </w:tcMar>
            <w:vAlign w:val="bottom"/>
            <w:hideMark/>
          </w:tcPr>
          <w:p w:rsidR="0081561A" w:rsidRPr="00A32AF4" w:rsidRDefault="0081561A" w:rsidP="00DC0553">
            <w:pPr>
              <w:rPr>
                <w:rFonts w:cs="Arial"/>
                <w:sz w:val="16"/>
                <w:szCs w:val="16"/>
                <w:lang w:eastAsia="fr-FR"/>
              </w:rPr>
            </w:pPr>
            <w:r w:rsidRPr="00A32AF4">
              <w:rPr>
                <w:rFonts w:cs="Arial"/>
                <w:sz w:val="16"/>
                <w:szCs w:val="16"/>
                <w:lang w:eastAsia="fr-FR"/>
              </w:rPr>
              <w:t> </w:t>
            </w:r>
          </w:p>
        </w:tc>
        <w:tc>
          <w:tcPr>
            <w:tcW w:w="4428"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81561A" w:rsidRPr="00A32AF4" w:rsidRDefault="0081561A" w:rsidP="00DC0553">
            <w:pPr>
              <w:rPr>
                <w:rFonts w:cs="Arial"/>
                <w:b/>
                <w:bCs/>
                <w:sz w:val="16"/>
                <w:szCs w:val="16"/>
                <w:lang w:eastAsia="fr-FR"/>
              </w:rPr>
            </w:pPr>
            <w:r w:rsidRPr="00A32AF4">
              <w:rPr>
                <w:rFonts w:cs="Arial"/>
                <w:b/>
                <w:bCs/>
                <w:sz w:val="16"/>
                <w:szCs w:val="16"/>
                <w:lang w:eastAsia="fr-FR"/>
              </w:rPr>
              <w:t>Total</w:t>
            </w:r>
          </w:p>
        </w:tc>
        <w:tc>
          <w:tcPr>
            <w:tcW w:w="1260"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81561A" w:rsidRPr="00A32AF4" w:rsidRDefault="0081561A" w:rsidP="00DC0553">
            <w:pPr>
              <w:jc w:val="right"/>
              <w:rPr>
                <w:rFonts w:cs="Arial"/>
                <w:b/>
                <w:bCs/>
                <w:sz w:val="16"/>
                <w:szCs w:val="16"/>
                <w:lang w:eastAsia="fr-FR"/>
              </w:rPr>
            </w:pPr>
            <w:r w:rsidRPr="00A32AF4">
              <w:rPr>
                <w:rFonts w:cs="Arial"/>
                <w:b/>
                <w:bCs/>
                <w:sz w:val="16"/>
                <w:szCs w:val="16"/>
                <w:lang w:eastAsia="fr-FR"/>
              </w:rPr>
              <w:t xml:space="preserve">18 945 </w:t>
            </w:r>
          </w:p>
        </w:tc>
        <w:tc>
          <w:tcPr>
            <w:tcW w:w="1440"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81561A" w:rsidRPr="00A32AF4" w:rsidRDefault="0081561A" w:rsidP="00DC0553">
            <w:pPr>
              <w:jc w:val="right"/>
              <w:rPr>
                <w:rFonts w:cs="Arial"/>
                <w:b/>
                <w:bCs/>
                <w:sz w:val="16"/>
                <w:szCs w:val="16"/>
                <w:lang w:eastAsia="fr-FR"/>
              </w:rPr>
            </w:pPr>
            <w:r w:rsidRPr="00A32AF4">
              <w:rPr>
                <w:rFonts w:cs="Arial"/>
                <w:b/>
                <w:bCs/>
                <w:sz w:val="16"/>
                <w:szCs w:val="16"/>
                <w:lang w:eastAsia="fr-FR"/>
              </w:rPr>
              <w:t xml:space="preserve">20 306 </w:t>
            </w:r>
          </w:p>
        </w:tc>
        <w:tc>
          <w:tcPr>
            <w:tcW w:w="1260" w:type="dxa"/>
            <w:tcBorders>
              <w:top w:val="nil"/>
              <w:left w:val="nil"/>
              <w:bottom w:val="single" w:sz="4" w:space="0" w:color="auto"/>
              <w:right w:val="single" w:sz="4" w:space="0" w:color="auto"/>
            </w:tcBorders>
            <w:shd w:val="clear" w:color="000000" w:fill="C5D9F1"/>
            <w:noWrap/>
            <w:tcMar>
              <w:top w:w="113" w:type="dxa"/>
              <w:bottom w:w="113" w:type="dxa"/>
            </w:tcMar>
            <w:vAlign w:val="bottom"/>
            <w:hideMark/>
          </w:tcPr>
          <w:p w:rsidR="0081561A" w:rsidRPr="00A32AF4" w:rsidRDefault="0081561A" w:rsidP="00DC0553">
            <w:pPr>
              <w:jc w:val="right"/>
              <w:rPr>
                <w:rFonts w:cs="Arial"/>
                <w:b/>
                <w:bCs/>
                <w:sz w:val="16"/>
                <w:szCs w:val="16"/>
                <w:lang w:eastAsia="fr-FR"/>
              </w:rPr>
            </w:pPr>
            <w:r w:rsidRPr="00A32AF4">
              <w:rPr>
                <w:rFonts w:cs="Arial"/>
                <w:b/>
                <w:bCs/>
                <w:sz w:val="16"/>
                <w:szCs w:val="16"/>
                <w:lang w:eastAsia="fr-FR"/>
              </w:rPr>
              <w:t xml:space="preserve">20 675 </w:t>
            </w:r>
          </w:p>
        </w:tc>
      </w:tr>
    </w:tbl>
    <w:p w:rsidR="00F93B76" w:rsidRPr="00A32AF4" w:rsidRDefault="00F93B76" w:rsidP="00DC0553"/>
    <w:p w:rsidR="00F93B76" w:rsidRPr="00A32AF4" w:rsidRDefault="00F93B76" w:rsidP="00DC0553">
      <w:pPr>
        <w:jc w:val="both"/>
        <w:rPr>
          <w:lang w:eastAsia="da-DK"/>
        </w:rPr>
      </w:pPr>
    </w:p>
    <w:p w:rsidR="00F93B76" w:rsidRPr="00A32AF4" w:rsidRDefault="0081561A" w:rsidP="00DC0553">
      <w:pPr>
        <w:keepNext/>
        <w:keepLines/>
        <w:autoSpaceDE w:val="0"/>
        <w:autoSpaceDN w:val="0"/>
        <w:jc w:val="center"/>
        <w:rPr>
          <w:rFonts w:cs="Arial"/>
          <w:b/>
        </w:rPr>
      </w:pPr>
      <w:r w:rsidRPr="00A32AF4">
        <w:rPr>
          <w:rFonts w:cs="Arial"/>
          <w:b/>
        </w:rPr>
        <w:t>Programme 21 : ressources par objet de dépense</w:t>
      </w:r>
    </w:p>
    <w:p w:rsidR="00F93B76" w:rsidRPr="00A32AF4" w:rsidRDefault="0081561A" w:rsidP="00DC0553">
      <w:pPr>
        <w:keepNext/>
        <w:keepLines/>
        <w:autoSpaceDE w:val="0"/>
        <w:autoSpaceDN w:val="0"/>
        <w:jc w:val="center"/>
        <w:rPr>
          <w:rFonts w:cs="Arial"/>
          <w:i/>
        </w:rPr>
      </w:pPr>
      <w:r w:rsidRPr="00A32AF4">
        <w:rPr>
          <w:rFonts w:cs="Arial"/>
          <w:i/>
        </w:rPr>
        <w:t>(</w:t>
      </w:r>
      <w:proofErr w:type="gramStart"/>
      <w:r w:rsidRPr="00A32AF4">
        <w:rPr>
          <w:rFonts w:cs="Arial"/>
          <w:i/>
        </w:rPr>
        <w:t>en</w:t>
      </w:r>
      <w:proofErr w:type="gramEnd"/>
      <w:r w:rsidRPr="00A32AF4">
        <w:rPr>
          <w:rFonts w:cs="Arial"/>
          <w:i/>
        </w:rPr>
        <w:t xml:space="preserve"> milliers de francs suisses)</w:t>
      </w:r>
    </w:p>
    <w:p w:rsidR="00F93B76" w:rsidRPr="00A32AF4" w:rsidRDefault="00F93B76" w:rsidP="00DC0553">
      <w:pPr>
        <w:keepNext/>
        <w:rPr>
          <w:rFonts w:eastAsia="SimSun"/>
        </w:rPr>
      </w:pPr>
    </w:p>
    <w:p w:rsidR="00F93B76" w:rsidRPr="00A32AF4" w:rsidRDefault="005240BB" w:rsidP="00DC0553">
      <w:pPr>
        <w:rPr>
          <w:rFonts w:eastAsia="SimSun"/>
        </w:rPr>
      </w:pPr>
      <w:r w:rsidRPr="00A32AF4">
        <w:rPr>
          <w:rFonts w:eastAsia="SimSun"/>
          <w:noProof/>
          <w:lang w:eastAsia="fr-FR"/>
        </w:rPr>
        <w:drawing>
          <wp:inline distT="0" distB="0" distL="0" distR="0" wp14:anchorId="755E3BCE" wp14:editId="3B293ED4">
            <wp:extent cx="5512435" cy="6555105"/>
            <wp:effectExtent l="0" t="0" r="0" b="0"/>
            <wp:docPr id="1055" name="Pictur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5512435" cy="6555105"/>
                    </a:xfrm>
                    <a:prstGeom prst="rect">
                      <a:avLst/>
                    </a:prstGeom>
                    <a:noFill/>
                    <a:ln>
                      <a:noFill/>
                    </a:ln>
                  </pic:spPr>
                </pic:pic>
              </a:graphicData>
            </a:graphic>
          </wp:inline>
        </w:drawing>
      </w:r>
    </w:p>
    <w:p w:rsidR="00F93B76" w:rsidRPr="00A32AF4" w:rsidRDefault="00F93B76" w:rsidP="00DC0553">
      <w:pPr>
        <w:jc w:val="both"/>
        <w:rPr>
          <w:lang w:eastAsia="da-DK"/>
        </w:rPr>
      </w:pPr>
    </w:p>
    <w:p w:rsidR="00F93B76" w:rsidRPr="00A32AF4" w:rsidRDefault="00F93B76" w:rsidP="00DC0553">
      <w:pPr>
        <w:jc w:val="both"/>
        <w:rPr>
          <w:lang w:eastAsia="da-DK"/>
        </w:rPr>
      </w:pPr>
    </w:p>
    <w:p w:rsidR="00F93B76" w:rsidRPr="00A32AF4" w:rsidRDefault="0081561A" w:rsidP="00DC0553">
      <w:pPr>
        <w:keepNext/>
        <w:jc w:val="center"/>
        <w:rPr>
          <w:b/>
        </w:rPr>
      </w:pPr>
      <w:r w:rsidRPr="00A32AF4">
        <w:rPr>
          <w:b/>
        </w:rPr>
        <w:t>Ressources au titre des fonds fiduciaires potentiellement disponibles pour les activités de programme en</w:t>
      </w:r>
      <w:r w:rsidR="00FD43E3" w:rsidRPr="00A32AF4">
        <w:rPr>
          <w:b/>
        </w:rPr>
        <w:t> </w:t>
      </w:r>
      <w:r w:rsidRPr="00A32AF4">
        <w:rPr>
          <w:b/>
        </w:rPr>
        <w:t>2016</w:t>
      </w:r>
      <w:r w:rsidR="00EB7F54" w:rsidRPr="00A32AF4">
        <w:rPr>
          <w:b/>
        </w:rPr>
        <w:noBreakHyphen/>
      </w:r>
      <w:r w:rsidRPr="00A32AF4">
        <w:rPr>
          <w:b/>
        </w:rPr>
        <w:t>2017 (PAR PROGRAMME</w:t>
      </w:r>
      <w:proofErr w:type="gramStart"/>
      <w:r w:rsidRPr="00A32AF4">
        <w:rPr>
          <w:b/>
        </w:rPr>
        <w:t>)</w:t>
      </w:r>
      <w:r w:rsidRPr="00A32AF4">
        <w:rPr>
          <w:vertAlign w:val="superscript"/>
        </w:rPr>
        <w:t>1</w:t>
      </w:r>
      <w:proofErr w:type="gramEnd"/>
    </w:p>
    <w:p w:rsidR="00F93B76" w:rsidRPr="00A32AF4" w:rsidRDefault="0081561A" w:rsidP="00DC0553">
      <w:pPr>
        <w:keepNext/>
        <w:jc w:val="center"/>
        <w:rPr>
          <w:i/>
        </w:rPr>
      </w:pPr>
      <w:r w:rsidRPr="00A32AF4">
        <w:rPr>
          <w:i/>
        </w:rPr>
        <w:t>(</w:t>
      </w:r>
      <w:proofErr w:type="gramStart"/>
      <w:r w:rsidRPr="00A32AF4">
        <w:rPr>
          <w:i/>
        </w:rPr>
        <w:t>en</w:t>
      </w:r>
      <w:proofErr w:type="gramEnd"/>
      <w:r w:rsidRPr="00A32AF4">
        <w:rPr>
          <w:i/>
        </w:rPr>
        <w:t xml:space="preserve"> milliers de francs suisses)</w:t>
      </w:r>
    </w:p>
    <w:p w:rsidR="00F93B76" w:rsidRPr="00A32AF4" w:rsidRDefault="00F93B76" w:rsidP="00DC0553">
      <w:pPr>
        <w:keepNext/>
        <w:jc w:val="center"/>
        <w:rPr>
          <w:rStyle w:val="StyleStyleHeading3ComplexItalicLatin12ptChar"/>
          <w:b w:val="0"/>
          <w:i/>
          <w:lang w:val="fr-FR"/>
        </w:rPr>
      </w:pPr>
    </w:p>
    <w:p w:rsidR="00F93B76" w:rsidRPr="00A32AF4" w:rsidRDefault="0081561A" w:rsidP="00DC0553">
      <w:pPr>
        <w:keepNext/>
        <w:rPr>
          <w:rStyle w:val="StyleStyleHeading3ComplexItalicLatin12ptChar"/>
          <w:b w:val="0"/>
          <w:i/>
          <w:lang w:val="fr-FR"/>
        </w:rPr>
      </w:pPr>
      <w:r w:rsidRPr="00A32AF4">
        <w:rPr>
          <w:noProof/>
          <w:lang w:eastAsia="fr-FR"/>
        </w:rPr>
        <w:drawing>
          <wp:inline distT="0" distB="0" distL="0" distR="0" wp14:anchorId="385C218F" wp14:editId="41803CEC">
            <wp:extent cx="5760085" cy="874570"/>
            <wp:effectExtent l="0" t="0" r="0" b="1905"/>
            <wp:docPr id="989" name="Picture 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5760085" cy="874570"/>
                    </a:xfrm>
                    <a:prstGeom prst="rect">
                      <a:avLst/>
                    </a:prstGeom>
                    <a:noFill/>
                    <a:ln>
                      <a:noFill/>
                    </a:ln>
                  </pic:spPr>
                </pic:pic>
              </a:graphicData>
            </a:graphic>
          </wp:inline>
        </w:drawing>
      </w:r>
    </w:p>
    <w:p w:rsidR="00F93B76" w:rsidRPr="00A32AF4" w:rsidRDefault="0081561A" w:rsidP="00DC0553">
      <w:pPr>
        <w:keepNext/>
        <w:rPr>
          <w:i/>
          <w:sz w:val="16"/>
        </w:rPr>
      </w:pPr>
      <w:r w:rsidRPr="00A32AF4">
        <w:rPr>
          <w:i/>
          <w:sz w:val="16"/>
          <w:vertAlign w:val="superscript"/>
        </w:rPr>
        <w:t>1</w:t>
      </w:r>
      <w:r w:rsidRPr="00A32AF4">
        <w:rPr>
          <w:i/>
          <w:sz w:val="16"/>
        </w:rPr>
        <w:t xml:space="preserve"> Les chiffres ne comprennent pas les ajustements pour intérêts et taux de change.  Il est à noter également que ces fonds financent en général des activités qui portent sur une période excédant un exercice biennal ou qui sont à cheval sur deux</w:t>
      </w:r>
      <w:r w:rsidR="00FD43E3" w:rsidRPr="00A32AF4">
        <w:rPr>
          <w:i/>
          <w:sz w:val="16"/>
        </w:rPr>
        <w:t> </w:t>
      </w:r>
      <w:r w:rsidRPr="00A32AF4">
        <w:rPr>
          <w:i/>
          <w:sz w:val="16"/>
        </w:rPr>
        <w:t>exercices, à mesure que les recettes sont perçues et les dépenses encourues.</w:t>
      </w:r>
    </w:p>
    <w:p w:rsidR="00F93B76" w:rsidRPr="00A32AF4" w:rsidRDefault="0081561A" w:rsidP="00DC0553">
      <w:pPr>
        <w:rPr>
          <w:i/>
          <w:sz w:val="16"/>
        </w:rPr>
      </w:pPr>
      <w:r w:rsidRPr="00A32AF4">
        <w:rPr>
          <w:i/>
          <w:sz w:val="16"/>
          <w:vertAlign w:val="superscript"/>
        </w:rPr>
        <w:t>2</w:t>
      </w:r>
      <w:r w:rsidRPr="00A32AF4">
        <w:rPr>
          <w:i/>
          <w:sz w:val="16"/>
        </w:rPr>
        <w:t xml:space="preserve"> Ces chiffres purement indicatifs découlent des modes de financement précédents.  Ils ne représentent pas des engagements de la part des États membres, sauf dans les cas où l</w:t>
      </w:r>
      <w:r w:rsidR="00E2055A" w:rsidRPr="00A32AF4">
        <w:rPr>
          <w:i/>
          <w:sz w:val="16"/>
        </w:rPr>
        <w:t>’</w:t>
      </w:r>
      <w:r w:rsidRPr="00A32AF4">
        <w:rPr>
          <w:i/>
          <w:sz w:val="16"/>
        </w:rPr>
        <w:t>accord de fonds fiduciaire comprend un tel engagement.</w:t>
      </w:r>
    </w:p>
    <w:p w:rsidR="00F93B76" w:rsidRPr="00A32AF4" w:rsidRDefault="00F93B76" w:rsidP="00DC0553">
      <w:pPr>
        <w:jc w:val="both"/>
        <w:rPr>
          <w:lang w:eastAsia="da-DK"/>
        </w:rPr>
      </w:pPr>
    </w:p>
    <w:p w:rsidR="00F93B76" w:rsidRPr="00A32AF4" w:rsidRDefault="005C184E" w:rsidP="00DC0553">
      <w:pPr>
        <w:rPr>
          <w:lang w:eastAsia="da-DK"/>
        </w:rPr>
      </w:pPr>
      <w:r w:rsidRPr="00A32AF4">
        <w:rPr>
          <w:lang w:eastAsia="da-DK"/>
        </w:rPr>
        <w:br w:type="page"/>
      </w:r>
    </w:p>
    <w:p w:rsidR="00F93B76" w:rsidRPr="00A32AF4" w:rsidRDefault="00D21583" w:rsidP="00FB1F61">
      <w:pPr>
        <w:pStyle w:val="Heading3"/>
        <w:rPr>
          <w:rFonts w:eastAsia="SimSun" w:hint="eastAsia"/>
        </w:rPr>
      </w:pPr>
      <w:bookmarkStart w:id="62" w:name="_Toc431555467"/>
      <w:r w:rsidRPr="00A32AF4">
        <w:rPr>
          <w:rFonts w:eastAsia="SimSun"/>
        </w:rPr>
        <w:t>PROGRAMME </w:t>
      </w:r>
      <w:r w:rsidR="009F0179" w:rsidRPr="00A32AF4">
        <w:rPr>
          <w:rFonts w:eastAsia="SimSun"/>
        </w:rPr>
        <w:t>22</w:t>
      </w:r>
      <w:r w:rsidR="009F0179" w:rsidRPr="00A32AF4">
        <w:rPr>
          <w:rFonts w:eastAsia="SimSun"/>
        </w:rPr>
        <w:tab/>
        <w:t>‎GESTION DU PROGRAMME ET DES RESSOURCES</w:t>
      </w:r>
      <w:bookmarkEnd w:id="62"/>
    </w:p>
    <w:p w:rsidR="00F93B76" w:rsidRPr="00A32AF4" w:rsidRDefault="00F93B76" w:rsidP="00E325C7"/>
    <w:p w:rsidR="00F93B76" w:rsidRPr="00A32AF4" w:rsidRDefault="00F93B76" w:rsidP="00E325C7"/>
    <w:p w:rsidR="00F93B76" w:rsidRPr="00A32AF4" w:rsidRDefault="008375EE" w:rsidP="00DC0553">
      <w:r w:rsidRPr="00A32AF4">
        <w:t>CONTEXTE DE PLANIFICATION</w:t>
      </w:r>
    </w:p>
    <w:p w:rsidR="00F93B76" w:rsidRPr="00A32AF4" w:rsidRDefault="00F93B76" w:rsidP="00DC0553">
      <w:pPr>
        <w:ind w:left="6"/>
        <w:jc w:val="both"/>
        <w:rPr>
          <w:rFonts w:cs="Arial"/>
        </w:rPr>
      </w:pPr>
    </w:p>
    <w:p w:rsidR="00F93B76" w:rsidRPr="00A32AF4" w:rsidRDefault="009F0179" w:rsidP="00DC0553">
      <w:pPr>
        <w:numPr>
          <w:ilvl w:val="0"/>
          <w:numId w:val="49"/>
        </w:numPr>
        <w:jc w:val="both"/>
        <w:rPr>
          <w:rFonts w:cs="Arial"/>
        </w:rPr>
      </w:pPr>
      <w:r w:rsidRPr="00A32AF4">
        <w:rPr>
          <w:rFonts w:cs="Arial"/>
        </w:rPr>
        <w:t>L</w:t>
      </w:r>
      <w:r w:rsidR="00E2055A" w:rsidRPr="00A32AF4">
        <w:rPr>
          <w:rFonts w:cs="Arial"/>
        </w:rPr>
        <w:t>’</w:t>
      </w:r>
      <w:r w:rsidRPr="00A32AF4">
        <w:rPr>
          <w:rFonts w:cs="Arial"/>
        </w:rPr>
        <w:t>incertitude qui entoure l</w:t>
      </w:r>
      <w:r w:rsidR="00E2055A" w:rsidRPr="00A32AF4">
        <w:rPr>
          <w:rFonts w:cs="Arial"/>
        </w:rPr>
        <w:t>’</w:t>
      </w:r>
      <w:r w:rsidRPr="00A32AF4">
        <w:rPr>
          <w:rFonts w:cs="Arial"/>
        </w:rPr>
        <w:t>économie mondiale, la volatilité des marchés des devises, l</w:t>
      </w:r>
      <w:r w:rsidR="00E2055A" w:rsidRPr="00A32AF4">
        <w:rPr>
          <w:rFonts w:cs="Arial"/>
        </w:rPr>
        <w:t>’</w:t>
      </w:r>
      <w:r w:rsidRPr="00A32AF4">
        <w:rPr>
          <w:rFonts w:cs="Arial"/>
        </w:rPr>
        <w:t>évolution du système bancaire, la hausse timide de la croissance des recettes, l</w:t>
      </w:r>
      <w:r w:rsidR="00E2055A" w:rsidRPr="00A32AF4">
        <w:rPr>
          <w:rFonts w:cs="Arial"/>
        </w:rPr>
        <w:t>’</w:t>
      </w:r>
      <w:r w:rsidRPr="00A32AF4">
        <w:rPr>
          <w:rFonts w:cs="Arial"/>
        </w:rPr>
        <w:t>augmentation des frais de personnel et de la demande globale concernant les services de l</w:t>
      </w:r>
      <w:r w:rsidR="00E2055A" w:rsidRPr="00A32AF4">
        <w:rPr>
          <w:rFonts w:cs="Arial"/>
        </w:rPr>
        <w:t>’</w:t>
      </w:r>
      <w:r w:rsidRPr="00A32AF4">
        <w:rPr>
          <w:rFonts w:cs="Arial"/>
        </w:rPr>
        <w:t>OMPI définissent encore un contexte difficile pour l</w:t>
      </w:r>
      <w:r w:rsidR="00E2055A" w:rsidRPr="00A32AF4">
        <w:rPr>
          <w:rFonts w:cs="Arial"/>
        </w:rPr>
        <w:t>’</w:t>
      </w:r>
      <w:r w:rsidRPr="00A32AF4">
        <w:rPr>
          <w:rFonts w:cs="Arial"/>
        </w:rPr>
        <w:t>exécution de ce programme durant l</w:t>
      </w:r>
      <w:r w:rsidR="00E2055A" w:rsidRPr="00A32AF4">
        <w:rPr>
          <w:rFonts w:cs="Arial"/>
        </w:rPr>
        <w:t>’</w:t>
      </w:r>
      <w:r w:rsidRPr="00A32AF4">
        <w:rPr>
          <w:rFonts w:cs="Arial"/>
        </w:rPr>
        <w:t>exercice biennal 2016</w:t>
      </w:r>
      <w:r w:rsidR="00EB7F54" w:rsidRPr="00A32AF4">
        <w:rPr>
          <w:rFonts w:cs="Arial"/>
        </w:rPr>
        <w:noBreakHyphen/>
      </w:r>
      <w:r w:rsidRPr="00A32AF4">
        <w:rPr>
          <w:rFonts w:cs="Arial"/>
        </w:rPr>
        <w:t>2017.</w:t>
      </w:r>
      <w:r w:rsidRPr="00A32AF4">
        <w:t xml:space="preserve">  </w:t>
      </w:r>
      <w:r w:rsidRPr="00A32AF4">
        <w:rPr>
          <w:rFonts w:cs="Arial"/>
        </w:rPr>
        <w:t>L</w:t>
      </w:r>
      <w:r w:rsidR="00E2055A" w:rsidRPr="00A32AF4">
        <w:rPr>
          <w:rFonts w:cs="Arial"/>
        </w:rPr>
        <w:t>’</w:t>
      </w:r>
      <w:r w:rsidRPr="00A32AF4">
        <w:rPr>
          <w:rFonts w:cs="Arial"/>
        </w:rPr>
        <w:t>exercice en cours a permis de constater l</w:t>
      </w:r>
      <w:r w:rsidR="00E2055A" w:rsidRPr="00A32AF4">
        <w:rPr>
          <w:rFonts w:cs="Arial"/>
        </w:rPr>
        <w:t>’</w:t>
      </w:r>
      <w:r w:rsidRPr="00A32AF4">
        <w:rPr>
          <w:rFonts w:cs="Arial"/>
        </w:rPr>
        <w:t>impact positif d</w:t>
      </w:r>
      <w:r w:rsidR="00E2055A" w:rsidRPr="00A32AF4">
        <w:rPr>
          <w:rFonts w:cs="Arial"/>
        </w:rPr>
        <w:t>’</w:t>
      </w:r>
      <w:r w:rsidRPr="00A32AF4">
        <w:rPr>
          <w:rFonts w:cs="Arial"/>
        </w:rPr>
        <w:t>une gestion fondée sur les résultats pleinement intégrée, d</w:t>
      </w:r>
      <w:r w:rsidR="00E2055A" w:rsidRPr="00A32AF4">
        <w:rPr>
          <w:rFonts w:cs="Arial"/>
        </w:rPr>
        <w:t>’</w:t>
      </w:r>
      <w:r w:rsidRPr="00A32AF4">
        <w:rPr>
          <w:rFonts w:cs="Arial"/>
        </w:rPr>
        <w:t>une procédure de gestion des risques plus élaborée et d</w:t>
      </w:r>
      <w:r w:rsidR="00E2055A" w:rsidRPr="00A32AF4">
        <w:rPr>
          <w:rFonts w:cs="Arial"/>
        </w:rPr>
        <w:t>’</w:t>
      </w:r>
      <w:r w:rsidRPr="00A32AF4">
        <w:rPr>
          <w:rFonts w:cs="Arial"/>
        </w:rPr>
        <w:t>une importance plus grande accordée au renforcement des contrôles internes et de la gestion financière.</w:t>
      </w:r>
      <w:r w:rsidRPr="00A32AF4">
        <w:t xml:space="preserve">  </w:t>
      </w:r>
      <w:r w:rsidRPr="00A32AF4">
        <w:rPr>
          <w:rFonts w:cs="Arial"/>
        </w:rPr>
        <w:t>Grâce à une meilleure intégration des procédures et des systèmes d</w:t>
      </w:r>
      <w:r w:rsidR="00E2055A" w:rsidRPr="00A32AF4">
        <w:rPr>
          <w:rFonts w:cs="Arial"/>
        </w:rPr>
        <w:t>’</w:t>
      </w:r>
      <w:r w:rsidRPr="00A32AF4">
        <w:rPr>
          <w:rFonts w:cs="Arial"/>
        </w:rPr>
        <w:t>exécution des programmes, de gestion budgétaire et financière et de gestion des risques, les responsables de ce programme sont désormais bien armés pour adopter une approche plus globale de la gestion des performances de l</w:t>
      </w:r>
      <w:r w:rsidR="00E2055A" w:rsidRPr="00A32AF4">
        <w:rPr>
          <w:rFonts w:cs="Arial"/>
        </w:rPr>
        <w:t>’</w:t>
      </w:r>
      <w:r w:rsidRPr="00A32AF4">
        <w:rPr>
          <w:rFonts w:cs="Arial"/>
        </w:rPr>
        <w:t>Organisation intégrant les principes de gestion opérationnelle, financière et commerciale.</w:t>
      </w:r>
    </w:p>
    <w:p w:rsidR="00F93B76" w:rsidRPr="00A32AF4" w:rsidRDefault="00F93B76" w:rsidP="00DC0553"/>
    <w:p w:rsidR="00F93B76" w:rsidRPr="00A32AF4" w:rsidRDefault="00F93B76" w:rsidP="00DC0553"/>
    <w:p w:rsidR="00F93B76" w:rsidRPr="00A32AF4" w:rsidRDefault="009F0179" w:rsidP="00DC0553">
      <w:pPr>
        <w:tabs>
          <w:tab w:val="left" w:pos="567"/>
          <w:tab w:val="left" w:pos="1985"/>
        </w:tabs>
        <w:jc w:val="both"/>
        <w:rPr>
          <w:rFonts w:cs="Arial"/>
          <w:bCs/>
        </w:rPr>
      </w:pPr>
      <w:r w:rsidRPr="00A32AF4">
        <w:rPr>
          <w:rFonts w:cs="Arial"/>
          <w:bCs/>
        </w:rPr>
        <w:t>STRATÉGIES DE MISE EN ŒUVRE</w:t>
      </w:r>
    </w:p>
    <w:p w:rsidR="00F93B76" w:rsidRPr="00A32AF4" w:rsidRDefault="00F93B76" w:rsidP="00DC0553">
      <w:pPr>
        <w:tabs>
          <w:tab w:val="left" w:pos="567"/>
          <w:tab w:val="left" w:pos="1985"/>
        </w:tabs>
        <w:jc w:val="both"/>
        <w:rPr>
          <w:rFonts w:cs="Arial"/>
          <w:bCs/>
        </w:rPr>
      </w:pPr>
    </w:p>
    <w:p w:rsidR="00F93B76" w:rsidRPr="00A32AF4" w:rsidRDefault="009F0179" w:rsidP="00DC0553">
      <w:pPr>
        <w:numPr>
          <w:ilvl w:val="0"/>
          <w:numId w:val="49"/>
        </w:numPr>
        <w:jc w:val="both"/>
        <w:rPr>
          <w:rFonts w:cs="Arial"/>
        </w:rPr>
      </w:pPr>
      <w:r w:rsidRPr="00A32AF4">
        <w:rPr>
          <w:rFonts w:cs="Arial"/>
        </w:rPr>
        <w:t>L</w:t>
      </w:r>
      <w:r w:rsidR="00E2055A" w:rsidRPr="00A32AF4">
        <w:rPr>
          <w:rFonts w:cs="Arial"/>
        </w:rPr>
        <w:t>’</w:t>
      </w:r>
      <w:r w:rsidRPr="00A32AF4">
        <w:rPr>
          <w:rFonts w:cs="Arial"/>
        </w:rPr>
        <w:t>exercice biennal 2016</w:t>
      </w:r>
      <w:r w:rsidR="00EB7F54" w:rsidRPr="00A32AF4">
        <w:rPr>
          <w:rFonts w:cs="Arial"/>
        </w:rPr>
        <w:noBreakHyphen/>
      </w:r>
      <w:r w:rsidRPr="00A32AF4">
        <w:rPr>
          <w:rFonts w:cs="Arial"/>
        </w:rPr>
        <w:t>2017 sera notamment axé sur les moyens de s</w:t>
      </w:r>
      <w:r w:rsidR="00E2055A" w:rsidRPr="00A32AF4">
        <w:rPr>
          <w:rFonts w:cs="Arial"/>
        </w:rPr>
        <w:t>’</w:t>
      </w:r>
      <w:r w:rsidRPr="00A32AF4">
        <w:rPr>
          <w:rFonts w:cs="Arial"/>
        </w:rPr>
        <w:t>assurer que l</w:t>
      </w:r>
      <w:r w:rsidR="00E2055A" w:rsidRPr="00A32AF4">
        <w:rPr>
          <w:rFonts w:cs="Arial"/>
        </w:rPr>
        <w:t>’</w:t>
      </w:r>
      <w:r w:rsidRPr="00A32AF4">
        <w:rPr>
          <w:rFonts w:cs="Arial"/>
        </w:rPr>
        <w:t>ensemble des procédures allant de la planification au suivi, en passant par l</w:t>
      </w:r>
      <w:r w:rsidR="00E2055A" w:rsidRPr="00A32AF4">
        <w:rPr>
          <w:rFonts w:cs="Arial"/>
        </w:rPr>
        <w:t>’</w:t>
      </w:r>
      <w:r w:rsidRPr="00A32AF4">
        <w:rPr>
          <w:rFonts w:cs="Arial"/>
        </w:rPr>
        <w:t>évaluation et l</w:t>
      </w:r>
      <w:r w:rsidR="00E2055A" w:rsidRPr="00A32AF4">
        <w:rPr>
          <w:rFonts w:cs="Arial"/>
        </w:rPr>
        <w:t>’</w:t>
      </w:r>
      <w:r w:rsidRPr="00A32AF4">
        <w:rPr>
          <w:rFonts w:cs="Arial"/>
        </w:rPr>
        <w:t>établissement de rapports, présentent une qualité uniforme dans toute l</w:t>
      </w:r>
      <w:r w:rsidR="00E2055A" w:rsidRPr="00A32AF4">
        <w:rPr>
          <w:rFonts w:cs="Arial"/>
        </w:rPr>
        <w:t>’</w:t>
      </w:r>
      <w:r w:rsidRPr="00A32AF4">
        <w:rPr>
          <w:rFonts w:cs="Arial"/>
        </w:rPr>
        <w:t>Organisation, permettant ainsi aux personnes chargées de la mise en œuvre de ce programme d</w:t>
      </w:r>
      <w:r w:rsidR="00E2055A" w:rsidRPr="00A32AF4">
        <w:rPr>
          <w:rFonts w:cs="Arial"/>
        </w:rPr>
        <w:t>’</w:t>
      </w:r>
      <w:r w:rsidRPr="00A32AF4">
        <w:rPr>
          <w:rFonts w:cs="Arial"/>
        </w:rPr>
        <w:t>apporter un meilleur appui au Directeur général et de nouer le dialogue avec les chefs de programme pour améliorer encore l</w:t>
      </w:r>
      <w:r w:rsidR="00E2055A" w:rsidRPr="00A32AF4">
        <w:rPr>
          <w:rFonts w:cs="Arial"/>
        </w:rPr>
        <w:t>’</w:t>
      </w:r>
      <w:r w:rsidRPr="00A32AF4">
        <w:rPr>
          <w:rFonts w:cs="Arial"/>
        </w:rPr>
        <w:t>exécution des programmes.</w:t>
      </w:r>
      <w:r w:rsidRPr="00A32AF4">
        <w:t xml:space="preserve">  </w:t>
      </w:r>
      <w:r w:rsidRPr="00A32AF4">
        <w:rPr>
          <w:rFonts w:cs="Arial"/>
        </w:rPr>
        <w:t>L</w:t>
      </w:r>
      <w:r w:rsidR="00E2055A" w:rsidRPr="00A32AF4">
        <w:rPr>
          <w:rFonts w:cs="Arial"/>
        </w:rPr>
        <w:t>’</w:t>
      </w:r>
      <w:r w:rsidRPr="00A32AF4">
        <w:rPr>
          <w:rFonts w:cs="Arial"/>
        </w:rPr>
        <w:t>exécution des programmes sera encore facilitée grâce à de nouvelles capacités de veille stratégique reposant sur des données intégrées provenant de nos systèmes ERP qui incluent désormais des données relatives aux finances, aux achats, à l</w:t>
      </w:r>
      <w:r w:rsidR="00E2055A" w:rsidRPr="00A32AF4">
        <w:rPr>
          <w:rFonts w:cs="Arial"/>
        </w:rPr>
        <w:t>’</w:t>
      </w:r>
      <w:r w:rsidRPr="00A32AF4">
        <w:rPr>
          <w:rFonts w:cs="Arial"/>
        </w:rPr>
        <w:t>exécution des programmes, au budget, aux ressources humaines et au risque.</w:t>
      </w:r>
      <w:r w:rsidRPr="00A32AF4">
        <w:t xml:space="preserve">  </w:t>
      </w:r>
      <w:r w:rsidRPr="00A32AF4">
        <w:rPr>
          <w:rFonts w:cs="Arial"/>
        </w:rPr>
        <w:t>Au cours du prochain exercice biennal, le programme permettra de continuer d</w:t>
      </w:r>
      <w:r w:rsidR="00E2055A" w:rsidRPr="00A32AF4">
        <w:rPr>
          <w:rFonts w:cs="Arial"/>
        </w:rPr>
        <w:t>’</w:t>
      </w:r>
      <w:r w:rsidRPr="00A32AF4">
        <w:rPr>
          <w:rFonts w:cs="Arial"/>
        </w:rPr>
        <w:t>aider activement les chefs de programme à analyser leurs activités et leurs modèles d</w:t>
      </w:r>
      <w:r w:rsidR="00E2055A" w:rsidRPr="00A32AF4">
        <w:rPr>
          <w:rFonts w:cs="Arial"/>
        </w:rPr>
        <w:t>’</w:t>
      </w:r>
      <w:r w:rsidRPr="00A32AF4">
        <w:rPr>
          <w:rFonts w:cs="Arial"/>
        </w:rPr>
        <w:t>exécution et à cerner les perspectives d</w:t>
      </w:r>
      <w:r w:rsidR="00E2055A" w:rsidRPr="00A32AF4">
        <w:rPr>
          <w:rFonts w:cs="Arial"/>
        </w:rPr>
        <w:t>’</w:t>
      </w:r>
      <w:r w:rsidRPr="00A32AF4">
        <w:rPr>
          <w:rFonts w:cs="Arial"/>
        </w:rPr>
        <w:t>amélioration continue des performances et de la rentabilité.</w:t>
      </w:r>
      <w:r w:rsidRPr="00A32AF4">
        <w:t xml:space="preserve">  </w:t>
      </w:r>
      <w:r w:rsidRPr="00A32AF4">
        <w:rPr>
          <w:rFonts w:cs="Arial"/>
        </w:rPr>
        <w:t>Cela supposera une gestion financière renforcée des projets.</w:t>
      </w:r>
      <w:r w:rsidRPr="00A32AF4">
        <w:t xml:space="preserve"> </w:t>
      </w:r>
      <w:r w:rsidRPr="00A32AF4">
        <w:rPr>
          <w:rFonts w:cs="Arial"/>
        </w:rPr>
        <w:t xml:space="preserve"> Ces initiatives déboucheront sur une nouvelle étape dans le renforcement de la gestion axée sur les résultats de l</w:t>
      </w:r>
      <w:r w:rsidR="00E2055A" w:rsidRPr="00A32AF4">
        <w:rPr>
          <w:rFonts w:cs="Arial"/>
        </w:rPr>
        <w:t>’</w:t>
      </w:r>
      <w:r w:rsidRPr="00A32AF4">
        <w:rPr>
          <w:rFonts w:cs="Arial"/>
        </w:rPr>
        <w:t>Organisation.</w:t>
      </w:r>
    </w:p>
    <w:p w:rsidR="00F93B76" w:rsidRPr="00A32AF4" w:rsidRDefault="00F93B76" w:rsidP="00DC0553">
      <w:pPr>
        <w:ind w:left="6"/>
        <w:jc w:val="both"/>
        <w:rPr>
          <w:rFonts w:cs="Arial"/>
        </w:rPr>
      </w:pPr>
    </w:p>
    <w:p w:rsidR="00F93B76" w:rsidRPr="00A32AF4" w:rsidRDefault="009F0179" w:rsidP="00DC0553">
      <w:pPr>
        <w:numPr>
          <w:ilvl w:val="0"/>
          <w:numId w:val="49"/>
        </w:numPr>
        <w:jc w:val="both"/>
        <w:rPr>
          <w:rFonts w:cs="Arial"/>
        </w:rPr>
      </w:pPr>
      <w:r w:rsidRPr="00A32AF4">
        <w:rPr>
          <w:rFonts w:cs="Arial"/>
        </w:rPr>
        <w:t>Parmi les priorités du programme figurera l</w:t>
      </w:r>
      <w:r w:rsidR="00E2055A" w:rsidRPr="00A32AF4">
        <w:rPr>
          <w:rFonts w:cs="Arial"/>
        </w:rPr>
        <w:t>’</w:t>
      </w:r>
      <w:r w:rsidRPr="00A32AF4">
        <w:rPr>
          <w:rFonts w:cs="Arial"/>
        </w:rPr>
        <w:t>amélioration des mécanismes de prévision et de gestion des recettes de l</w:t>
      </w:r>
      <w:r w:rsidR="00E2055A" w:rsidRPr="00A32AF4">
        <w:rPr>
          <w:rFonts w:cs="Arial"/>
        </w:rPr>
        <w:t>’</w:t>
      </w:r>
      <w:r w:rsidRPr="00A32AF4">
        <w:rPr>
          <w:rFonts w:cs="Arial"/>
        </w:rPr>
        <w:t>OMPI et des dispositifs de suivi des dépenses.</w:t>
      </w:r>
      <w:r w:rsidRPr="00A32AF4">
        <w:t xml:space="preserve">  </w:t>
      </w:r>
      <w:r w:rsidRPr="00A32AF4">
        <w:rPr>
          <w:rFonts w:cs="Arial"/>
        </w:rPr>
        <w:t>Cela supposera une coopération renforcée avec les programmes générateurs de recettes pour mieux connaître les mécanismes de paiement des taxes dues en vertu du PCT qui sont perçues par les offices récepteurs, et améliorer les procédures et relever les niveaux de service à la clientèle pour les taxes relatives au système de Madrid.</w:t>
      </w:r>
      <w:r w:rsidRPr="00A32AF4">
        <w:t xml:space="preserve">  </w:t>
      </w:r>
      <w:r w:rsidRPr="00A32AF4">
        <w:rPr>
          <w:rFonts w:cs="Arial"/>
        </w:rPr>
        <w:t>Le programme permettra également, en coopération avec le programme 5, d</w:t>
      </w:r>
      <w:r w:rsidR="00E2055A" w:rsidRPr="00A32AF4">
        <w:rPr>
          <w:rFonts w:cs="Arial"/>
        </w:rPr>
        <w:t>’</w:t>
      </w:r>
      <w:r w:rsidRPr="00A32AF4">
        <w:rPr>
          <w:rFonts w:cs="Arial"/>
        </w:rPr>
        <w:t xml:space="preserve">assurer le suivi des décisions prises par les États membres au sujet de la protection contre les pertes liées aux fluctuations des taux de change pour les taxes dues en vertu du PCT. </w:t>
      </w:r>
      <w:r w:rsidRPr="00A32AF4">
        <w:t xml:space="preserve"> </w:t>
      </w:r>
      <w:r w:rsidRPr="00A32AF4">
        <w:rPr>
          <w:rFonts w:cs="Arial"/>
        </w:rPr>
        <w:t>Ces initiatives devraient renforcer la gestion des risques financiers.</w:t>
      </w:r>
      <w:r w:rsidRPr="00A32AF4">
        <w:t xml:space="preserve">  </w:t>
      </w:r>
      <w:r w:rsidRPr="00A32AF4">
        <w:rPr>
          <w:rFonts w:cs="Arial"/>
        </w:rPr>
        <w:t>Le prochain exercice biennal sera marqué par plusieurs changements dans le domaine de la banque et des investissements, compte tenu de l</w:t>
      </w:r>
      <w:r w:rsidR="00E2055A" w:rsidRPr="00A32AF4">
        <w:rPr>
          <w:rFonts w:cs="Arial"/>
        </w:rPr>
        <w:t>’</w:t>
      </w:r>
      <w:r w:rsidRPr="00A32AF4">
        <w:rPr>
          <w:rFonts w:cs="Arial"/>
        </w:rPr>
        <w:t>expiration en décembre 2015 des conditions bancaires avantageuses actuellement accordées à l</w:t>
      </w:r>
      <w:r w:rsidR="00E2055A" w:rsidRPr="00A32AF4">
        <w:rPr>
          <w:rFonts w:cs="Arial"/>
        </w:rPr>
        <w:t>’</w:t>
      </w:r>
      <w:r w:rsidRPr="00A32AF4">
        <w:rPr>
          <w:rFonts w:cs="Arial"/>
        </w:rPr>
        <w:t>OMPI par le Département fédéral des finances de la Suisse et de l</w:t>
      </w:r>
      <w:r w:rsidR="00E2055A" w:rsidRPr="00A32AF4">
        <w:rPr>
          <w:rFonts w:cs="Arial"/>
        </w:rPr>
        <w:t>’</w:t>
      </w:r>
      <w:r w:rsidRPr="00A32AF4">
        <w:rPr>
          <w:rFonts w:cs="Arial"/>
        </w:rPr>
        <w:t>introduction de taux d</w:t>
      </w:r>
      <w:r w:rsidR="00E2055A" w:rsidRPr="00A32AF4">
        <w:rPr>
          <w:rFonts w:cs="Arial"/>
        </w:rPr>
        <w:t>’</w:t>
      </w:r>
      <w:r w:rsidR="00C20880" w:rsidRPr="00A32AF4">
        <w:rPr>
          <w:rFonts w:cs="Arial"/>
        </w:rPr>
        <w:t>intérêt</w:t>
      </w:r>
      <w:r w:rsidRPr="00A32AF4">
        <w:rPr>
          <w:rFonts w:cs="Arial"/>
        </w:rPr>
        <w:t xml:space="preserve"> négatifs pour les dépôts en francs suisses.</w:t>
      </w:r>
      <w:r w:rsidRPr="00A32AF4">
        <w:t xml:space="preserve">  </w:t>
      </w:r>
      <w:r w:rsidRPr="00A32AF4">
        <w:rPr>
          <w:rFonts w:cs="Arial"/>
        </w:rPr>
        <w:t>Ce programme devra donc permettre l</w:t>
      </w:r>
      <w:r w:rsidR="00E2055A" w:rsidRPr="00A32AF4">
        <w:rPr>
          <w:rFonts w:cs="Arial"/>
        </w:rPr>
        <w:t>’</w:t>
      </w:r>
      <w:r w:rsidRPr="00A32AF4">
        <w:rPr>
          <w:rFonts w:cs="Arial"/>
        </w:rPr>
        <w:t>adoption d</w:t>
      </w:r>
      <w:r w:rsidR="00E2055A" w:rsidRPr="00A32AF4">
        <w:rPr>
          <w:rFonts w:cs="Arial"/>
        </w:rPr>
        <w:t>’</w:t>
      </w:r>
      <w:r w:rsidRPr="00A32AF4">
        <w:rPr>
          <w:rFonts w:cs="Arial"/>
        </w:rPr>
        <w:t>une stratégie de planification et de gestion des investissements plus active mais prudente, fondée sur une politique d</w:t>
      </w:r>
      <w:r w:rsidR="00E2055A" w:rsidRPr="00A32AF4">
        <w:rPr>
          <w:rFonts w:cs="Arial"/>
        </w:rPr>
        <w:t>’</w:t>
      </w:r>
      <w:r w:rsidRPr="00A32AF4">
        <w:rPr>
          <w:rFonts w:cs="Arial"/>
        </w:rPr>
        <w:t>investissement révisée et approuvée par les États membres.</w:t>
      </w:r>
      <w:r w:rsidRPr="00A32AF4">
        <w:t xml:space="preserve">  </w:t>
      </w:r>
      <w:r w:rsidRPr="00A32AF4">
        <w:rPr>
          <w:rFonts w:cs="Arial"/>
        </w:rPr>
        <w:t>Il permettra également de réaliser, en coopération a</w:t>
      </w:r>
      <w:r w:rsidR="009A747C" w:rsidRPr="00A32AF4">
        <w:rPr>
          <w:rFonts w:cs="Arial"/>
        </w:rPr>
        <w:t>vec le programme 23 (G</w:t>
      </w:r>
      <w:r w:rsidRPr="00A32AF4">
        <w:rPr>
          <w:rFonts w:cs="Arial"/>
        </w:rPr>
        <w:t>estion et mise en valeur des ressources humaines), un suivi très rigoureux des frais de personnel en veillant à ce qu</w:t>
      </w:r>
      <w:r w:rsidR="00E2055A" w:rsidRPr="00A32AF4">
        <w:rPr>
          <w:rFonts w:cs="Arial"/>
        </w:rPr>
        <w:t>’</w:t>
      </w:r>
      <w:r w:rsidRPr="00A32AF4">
        <w:rPr>
          <w:rFonts w:cs="Arial"/>
        </w:rPr>
        <w:t>ils soient conformes aux prévisions.</w:t>
      </w:r>
    </w:p>
    <w:p w:rsidR="00F93B76" w:rsidRPr="00A32AF4" w:rsidRDefault="00F93B76" w:rsidP="00DC0553">
      <w:pPr>
        <w:tabs>
          <w:tab w:val="left" w:pos="567"/>
          <w:tab w:val="left" w:pos="1985"/>
        </w:tabs>
        <w:jc w:val="both"/>
        <w:rPr>
          <w:rFonts w:cs="Arial"/>
          <w:bCs/>
        </w:rPr>
      </w:pPr>
    </w:p>
    <w:p w:rsidR="00F93B76" w:rsidRPr="00A32AF4" w:rsidRDefault="009F0179" w:rsidP="00DC0553">
      <w:pPr>
        <w:numPr>
          <w:ilvl w:val="0"/>
          <w:numId w:val="49"/>
        </w:numPr>
        <w:ind w:left="0"/>
        <w:jc w:val="both"/>
        <w:rPr>
          <w:rFonts w:cs="Arial"/>
        </w:rPr>
      </w:pPr>
      <w:r w:rsidRPr="00A32AF4">
        <w:rPr>
          <w:rFonts w:cs="Arial"/>
        </w:rPr>
        <w:t>Le programme continuera d</w:t>
      </w:r>
      <w:r w:rsidR="00E2055A" w:rsidRPr="00A32AF4">
        <w:rPr>
          <w:rFonts w:cs="Arial"/>
        </w:rPr>
        <w:t>’</w:t>
      </w:r>
      <w:r w:rsidRPr="00A32AF4">
        <w:rPr>
          <w:rFonts w:cs="Arial"/>
        </w:rPr>
        <w:t>intégrer dans les opérations la mise en place de nouveaux modules et de nouvelles fonctions du système ERP entraînant la nécessité de favoriser et d</w:t>
      </w:r>
      <w:r w:rsidR="00E2055A" w:rsidRPr="00A32AF4">
        <w:rPr>
          <w:rFonts w:cs="Arial"/>
        </w:rPr>
        <w:t>’</w:t>
      </w:r>
      <w:r w:rsidRPr="00A32AF4">
        <w:rPr>
          <w:rFonts w:cs="Arial"/>
        </w:rPr>
        <w:t>appuyer un système ERP complexe et pleinement intégré, d</w:t>
      </w:r>
      <w:r w:rsidR="00E2055A" w:rsidRPr="00A32AF4">
        <w:rPr>
          <w:rFonts w:cs="Arial"/>
        </w:rPr>
        <w:t>’</w:t>
      </w:r>
      <w:r w:rsidRPr="00A32AF4">
        <w:rPr>
          <w:rFonts w:cs="Arial"/>
        </w:rPr>
        <w:t>une manière rentable et axée sur les services.</w:t>
      </w:r>
      <w:r w:rsidRPr="00A32AF4">
        <w:t xml:space="preserve">  </w:t>
      </w:r>
      <w:r w:rsidRPr="00A32AF4">
        <w:rPr>
          <w:rFonts w:cs="Arial"/>
        </w:rPr>
        <w:t>L</w:t>
      </w:r>
      <w:r w:rsidR="00E2055A" w:rsidRPr="00A32AF4">
        <w:rPr>
          <w:rFonts w:cs="Arial"/>
        </w:rPr>
        <w:t>’</w:t>
      </w:r>
      <w:r w:rsidRPr="00A32AF4">
        <w:rPr>
          <w:rFonts w:cs="Arial"/>
        </w:rPr>
        <w:t>externalisation des activités d</w:t>
      </w:r>
      <w:r w:rsidR="00E2055A" w:rsidRPr="00A32AF4">
        <w:rPr>
          <w:rFonts w:cs="Arial"/>
        </w:rPr>
        <w:t>’</w:t>
      </w:r>
      <w:r w:rsidRPr="00A32AF4">
        <w:rPr>
          <w:rFonts w:cs="Arial"/>
        </w:rPr>
        <w:t>assistance, de maintenance et de développement technique dans un cadre solide de gestion et d</w:t>
      </w:r>
      <w:r w:rsidR="00E2055A" w:rsidRPr="00A32AF4">
        <w:rPr>
          <w:rFonts w:cs="Arial"/>
        </w:rPr>
        <w:t>’</w:t>
      </w:r>
      <w:r w:rsidRPr="00A32AF4">
        <w:rPr>
          <w:rFonts w:cs="Arial"/>
        </w:rPr>
        <w:t>assurance</w:t>
      </w:r>
      <w:r w:rsidR="00EB7F54" w:rsidRPr="00A32AF4">
        <w:rPr>
          <w:rFonts w:cs="Arial"/>
        </w:rPr>
        <w:noBreakHyphen/>
      </w:r>
      <w:r w:rsidRPr="00A32AF4">
        <w:rPr>
          <w:rFonts w:cs="Arial"/>
        </w:rPr>
        <w:t>qualité demeurera une stratégie essentielle.</w:t>
      </w:r>
      <w:r w:rsidRPr="00A32AF4">
        <w:t xml:space="preserve">  </w:t>
      </w:r>
      <w:r w:rsidRPr="00A32AF4">
        <w:rPr>
          <w:rFonts w:cs="Arial"/>
        </w:rPr>
        <w:t>La mise en œuvre du système ERP et de meilleures capacités d</w:t>
      </w:r>
      <w:r w:rsidR="00E2055A" w:rsidRPr="00A32AF4">
        <w:rPr>
          <w:rFonts w:cs="Arial"/>
        </w:rPr>
        <w:t>’</w:t>
      </w:r>
      <w:r w:rsidRPr="00A32AF4">
        <w:rPr>
          <w:rFonts w:cs="Arial"/>
        </w:rPr>
        <w:t>établissement de rapports représente une grande opportunité de recourir de manière systématique à l</w:t>
      </w:r>
      <w:r w:rsidR="00E2055A" w:rsidRPr="00A32AF4">
        <w:rPr>
          <w:rFonts w:cs="Arial"/>
        </w:rPr>
        <w:t>’</w:t>
      </w:r>
      <w:r w:rsidRPr="00A32AF4">
        <w:rPr>
          <w:rFonts w:cs="Arial"/>
        </w:rPr>
        <w:t>analyse et à la veille économique pour faciliter la prise de décisions concernant la gestion du programme et des ressources.</w:t>
      </w:r>
      <w:r w:rsidRPr="00A32AF4">
        <w:t xml:space="preserve">  </w:t>
      </w:r>
      <w:r w:rsidRPr="00A32AF4">
        <w:rPr>
          <w:rFonts w:cs="Arial"/>
        </w:rPr>
        <w:t>L</w:t>
      </w:r>
      <w:r w:rsidR="00E2055A" w:rsidRPr="00A32AF4">
        <w:rPr>
          <w:rFonts w:cs="Arial"/>
        </w:rPr>
        <w:t>’</w:t>
      </w:r>
      <w:r w:rsidRPr="00A32AF4">
        <w:rPr>
          <w:rFonts w:cs="Arial"/>
        </w:rPr>
        <w:t>amélioration des capacités d</w:t>
      </w:r>
      <w:r w:rsidR="00E2055A" w:rsidRPr="00A32AF4">
        <w:rPr>
          <w:rFonts w:cs="Arial"/>
        </w:rPr>
        <w:t>’</w:t>
      </w:r>
      <w:r w:rsidRPr="00A32AF4">
        <w:rPr>
          <w:rFonts w:cs="Arial"/>
        </w:rPr>
        <w:t>établissement de rapports permettra également d</w:t>
      </w:r>
      <w:r w:rsidR="00E2055A" w:rsidRPr="00A32AF4">
        <w:rPr>
          <w:rFonts w:cs="Arial"/>
        </w:rPr>
        <w:t>’</w:t>
      </w:r>
      <w:r w:rsidRPr="00A32AF4">
        <w:rPr>
          <w:rFonts w:cs="Arial"/>
        </w:rPr>
        <w:t>évaluer et de renforcer les contrôles, si nécessaire.</w:t>
      </w:r>
      <w:r w:rsidRPr="00A32AF4">
        <w:t xml:space="preserve">  </w:t>
      </w:r>
      <w:r w:rsidRPr="00A32AF4">
        <w:rPr>
          <w:rFonts w:cs="Arial"/>
        </w:rPr>
        <w:t>L</w:t>
      </w:r>
      <w:r w:rsidR="00E2055A" w:rsidRPr="00A32AF4">
        <w:rPr>
          <w:rFonts w:cs="Arial"/>
        </w:rPr>
        <w:t>’</w:t>
      </w:r>
      <w:r w:rsidRPr="00A32AF4">
        <w:rPr>
          <w:rFonts w:cs="Arial"/>
        </w:rPr>
        <w:t>achèvement efficace du portefeuille ERP de projets, le passage au stade opérationnel des systèmes mis en place et l</w:t>
      </w:r>
      <w:r w:rsidR="00E2055A" w:rsidRPr="00A32AF4">
        <w:rPr>
          <w:rFonts w:cs="Arial"/>
        </w:rPr>
        <w:t>’</w:t>
      </w:r>
      <w:r w:rsidRPr="00A32AF4">
        <w:rPr>
          <w:rFonts w:cs="Arial"/>
        </w:rPr>
        <w:t>importance accrue accordée au suivi et à l</w:t>
      </w:r>
      <w:r w:rsidR="00E2055A" w:rsidRPr="00A32AF4">
        <w:rPr>
          <w:rFonts w:cs="Arial"/>
        </w:rPr>
        <w:t>’</w:t>
      </w:r>
      <w:r w:rsidRPr="00A32AF4">
        <w:rPr>
          <w:rFonts w:cs="Arial"/>
        </w:rPr>
        <w:t>évaluation des avantages obtenus permettront d</w:t>
      </w:r>
      <w:r w:rsidR="00E2055A" w:rsidRPr="00A32AF4">
        <w:rPr>
          <w:rFonts w:cs="Arial"/>
        </w:rPr>
        <w:t>’</w:t>
      </w:r>
      <w:r w:rsidRPr="00A32AF4">
        <w:rPr>
          <w:rFonts w:cs="Arial"/>
        </w:rPr>
        <w:t>assurer le caractère durable de la valeur ajoutée par le portefeuille de projets.</w:t>
      </w:r>
    </w:p>
    <w:p w:rsidR="00F93B76" w:rsidRPr="00A32AF4" w:rsidRDefault="00F93B76" w:rsidP="00DC0553">
      <w:pPr>
        <w:pStyle w:val="ListParagraph"/>
        <w:spacing w:after="0" w:line="240" w:lineRule="auto"/>
        <w:ind w:left="0"/>
        <w:rPr>
          <w:rFonts w:ascii="Arial" w:hAnsi="Arial" w:cs="Arial"/>
        </w:rPr>
      </w:pPr>
    </w:p>
    <w:p w:rsidR="00F93B76" w:rsidRPr="00A32AF4" w:rsidRDefault="009F0179" w:rsidP="00DC0553">
      <w:pPr>
        <w:numPr>
          <w:ilvl w:val="0"/>
          <w:numId w:val="49"/>
        </w:numPr>
        <w:ind w:left="0"/>
        <w:jc w:val="both"/>
        <w:rPr>
          <w:rFonts w:cs="Arial"/>
        </w:rPr>
      </w:pPr>
      <w:r w:rsidRPr="00A32AF4">
        <w:rPr>
          <w:rFonts w:cs="Arial"/>
        </w:rPr>
        <w:t>Le présent exercice biennal est marqué par une amélioration considérable de notre culture et de notre procédure de gestion des risques.</w:t>
      </w:r>
      <w:r w:rsidRPr="00A32AF4">
        <w:t xml:space="preserve">  </w:t>
      </w:r>
      <w:r w:rsidRPr="00A32AF4">
        <w:rPr>
          <w:rFonts w:cs="Arial"/>
        </w:rPr>
        <w:t>Tirant parti de cette évolution, les responsables du programme continueront de faciliter le travail du Groupe de gestion des risques grâce à l</w:t>
      </w:r>
      <w:r w:rsidR="00E2055A" w:rsidRPr="00A32AF4">
        <w:rPr>
          <w:rFonts w:cs="Arial"/>
        </w:rPr>
        <w:t>’</w:t>
      </w:r>
      <w:r w:rsidRPr="00A32AF4">
        <w:rPr>
          <w:rFonts w:cs="Arial"/>
        </w:rPr>
        <w:t>analyse et au suivi des risques critiques et institutionnels, à l</w:t>
      </w:r>
      <w:r w:rsidR="00E2055A" w:rsidRPr="00A32AF4">
        <w:rPr>
          <w:rFonts w:cs="Arial"/>
        </w:rPr>
        <w:t>’</w:t>
      </w:r>
      <w:r w:rsidRPr="00A32AF4">
        <w:rPr>
          <w:rFonts w:cs="Arial"/>
        </w:rPr>
        <w:t>établissement de rapports systématiques sur les risques et à l</w:t>
      </w:r>
      <w:r w:rsidR="00E2055A" w:rsidRPr="00A32AF4">
        <w:rPr>
          <w:rFonts w:cs="Arial"/>
        </w:rPr>
        <w:t>’</w:t>
      </w:r>
      <w:r w:rsidRPr="00A32AF4">
        <w:rPr>
          <w:rFonts w:cs="Arial"/>
        </w:rPr>
        <w:t>appui fourni aux fins de la procédure de gestion des risques à l</w:t>
      </w:r>
      <w:r w:rsidR="00E2055A" w:rsidRPr="00A32AF4">
        <w:rPr>
          <w:rFonts w:cs="Arial"/>
        </w:rPr>
        <w:t>’</w:t>
      </w:r>
      <w:r w:rsidRPr="00A32AF4">
        <w:rPr>
          <w:rFonts w:cs="Arial"/>
        </w:rPr>
        <w:t>échelle de l</w:t>
      </w:r>
      <w:r w:rsidR="00E2055A" w:rsidRPr="00A32AF4">
        <w:rPr>
          <w:rFonts w:cs="Arial"/>
        </w:rPr>
        <w:t>’</w:t>
      </w:r>
      <w:r w:rsidRPr="00A32AF4">
        <w:rPr>
          <w:rFonts w:cs="Arial"/>
        </w:rPr>
        <w:t>Organisation.</w:t>
      </w:r>
      <w:r w:rsidRPr="00A32AF4">
        <w:t xml:space="preserve">  </w:t>
      </w:r>
      <w:r w:rsidRPr="00A32AF4">
        <w:rPr>
          <w:rFonts w:cs="Arial"/>
        </w:rPr>
        <w:t>Une grande attention sera accordée au renforcement visible du système de contrôle interne de l</w:t>
      </w:r>
      <w:r w:rsidR="00E2055A" w:rsidRPr="00A32AF4">
        <w:rPr>
          <w:rFonts w:cs="Arial"/>
        </w:rPr>
        <w:t>’</w:t>
      </w:r>
      <w:r w:rsidRPr="00A32AF4">
        <w:rPr>
          <w:rFonts w:cs="Arial"/>
        </w:rPr>
        <w:t>Organisation.</w:t>
      </w:r>
      <w:r w:rsidRPr="00A32AF4">
        <w:t xml:space="preserve">  </w:t>
      </w:r>
      <w:r w:rsidRPr="00A32AF4">
        <w:rPr>
          <w:rFonts w:cs="Arial"/>
        </w:rPr>
        <w:t>Dans ce contexte, les efforts se poursuivront pour consigner les contrôles des procédures essentielles, assurer une sensibilisation plus approfondie et plus large au cadre de contrôle et aux contrôles essentiels, faciliter le système de contrôle au moyen d</w:t>
      </w:r>
      <w:r w:rsidR="00E2055A" w:rsidRPr="00A32AF4">
        <w:rPr>
          <w:rFonts w:cs="Arial"/>
        </w:rPr>
        <w:t>’</w:t>
      </w:r>
      <w:r w:rsidRPr="00A32AF4">
        <w:rPr>
          <w:rFonts w:cs="Arial"/>
        </w:rPr>
        <w:t>informations et d</w:t>
      </w:r>
      <w:r w:rsidR="00E2055A" w:rsidRPr="00A32AF4">
        <w:rPr>
          <w:rFonts w:cs="Arial"/>
        </w:rPr>
        <w:t>’</w:t>
      </w:r>
      <w:r w:rsidRPr="00A32AF4">
        <w:rPr>
          <w:rFonts w:cs="Arial"/>
        </w:rPr>
        <w:t>analyses des systèmes ERP, puis évaluer de façon continue l</w:t>
      </w:r>
      <w:r w:rsidR="00E2055A" w:rsidRPr="00A32AF4">
        <w:rPr>
          <w:rFonts w:cs="Arial"/>
        </w:rPr>
        <w:t>’</w:t>
      </w:r>
      <w:r w:rsidRPr="00A32AF4">
        <w:rPr>
          <w:rFonts w:cs="Arial"/>
        </w:rPr>
        <w:t>efficacité des contrôles essentiels.</w:t>
      </w:r>
      <w:r w:rsidRPr="00A32AF4">
        <w:t xml:space="preserve">  </w:t>
      </w:r>
      <w:r w:rsidRPr="00A32AF4">
        <w:rPr>
          <w:rFonts w:cs="Arial"/>
        </w:rPr>
        <w:t>Une priorité élevée sera accordée au dialogue continu établi avec les organes d</w:t>
      </w:r>
      <w:r w:rsidR="00E2055A" w:rsidRPr="00A32AF4">
        <w:rPr>
          <w:rFonts w:cs="Arial"/>
        </w:rPr>
        <w:t>’</w:t>
      </w:r>
      <w:r w:rsidRPr="00A32AF4">
        <w:rPr>
          <w:rFonts w:cs="Arial"/>
        </w:rPr>
        <w:t>audit et de supervision et au suivi systématique des recommandations en suspens.</w:t>
      </w:r>
    </w:p>
    <w:p w:rsidR="00F93B76" w:rsidRPr="00A32AF4" w:rsidRDefault="00F93B76" w:rsidP="00DC0553">
      <w:pPr>
        <w:ind w:left="6"/>
        <w:jc w:val="both"/>
        <w:rPr>
          <w:rFonts w:cs="Arial"/>
        </w:rPr>
      </w:pPr>
    </w:p>
    <w:p w:rsidR="00F93B76" w:rsidRPr="00A32AF4" w:rsidRDefault="00F93B76" w:rsidP="00DC0553">
      <w:pPr>
        <w:ind w:left="6"/>
        <w:jc w:val="both"/>
        <w:rPr>
          <w:rFonts w:cs="Arial"/>
        </w:rPr>
      </w:pPr>
    </w:p>
    <w:p w:rsidR="00F93B76" w:rsidRPr="00A32AF4" w:rsidRDefault="009F0179" w:rsidP="00DC0553">
      <w:pPr>
        <w:jc w:val="both"/>
        <w:rPr>
          <w:rFonts w:cs="Arial"/>
        </w:rPr>
      </w:pPr>
      <w:r w:rsidRPr="00A32AF4">
        <w:rPr>
          <w:rFonts w:cs="Arial"/>
        </w:rPr>
        <w:t>PRINCIPAUX RISQUES ET STRATÉGIES D</w:t>
      </w:r>
      <w:r w:rsidR="00E2055A" w:rsidRPr="00A32AF4">
        <w:rPr>
          <w:rFonts w:cs="Arial"/>
        </w:rPr>
        <w:t>’</w:t>
      </w:r>
      <w:r w:rsidRPr="00A32AF4">
        <w:rPr>
          <w:rFonts w:cs="Arial"/>
        </w:rPr>
        <w:t>ATTÉNUATION</w:t>
      </w:r>
    </w:p>
    <w:p w:rsidR="009F0179" w:rsidRPr="00A32AF4" w:rsidRDefault="009F0179" w:rsidP="00DC0553">
      <w:pPr>
        <w:rPr>
          <w:rFonts w:cs="Arial"/>
        </w:rPr>
      </w:pPr>
    </w:p>
    <w:tbl>
      <w:tblPr>
        <w:tblW w:w="9214"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11"/>
        <w:gridCol w:w="5103"/>
      </w:tblGrid>
      <w:tr w:rsidR="009F0179" w:rsidRPr="00A32AF4" w:rsidTr="0091192D">
        <w:trPr>
          <w:trHeight w:val="493"/>
        </w:trPr>
        <w:tc>
          <w:tcPr>
            <w:tcW w:w="4111" w:type="dxa"/>
            <w:tcBorders>
              <w:top w:val="single" w:sz="4" w:space="0" w:color="auto"/>
              <w:bottom w:val="single" w:sz="4" w:space="0" w:color="auto"/>
            </w:tcBorders>
            <w:shd w:val="clear" w:color="auto" w:fill="C6D9F1" w:themeFill="text2" w:themeFillTint="33"/>
            <w:vAlign w:val="center"/>
          </w:tcPr>
          <w:p w:rsidR="009F0179" w:rsidRPr="00A32AF4" w:rsidRDefault="009F0179" w:rsidP="00DC0553">
            <w:pPr>
              <w:jc w:val="center"/>
              <w:rPr>
                <w:rFonts w:cs="Arial"/>
                <w:b/>
                <w:bCs/>
                <w:sz w:val="18"/>
                <w:szCs w:val="18"/>
              </w:rPr>
            </w:pPr>
            <w:r w:rsidRPr="00A32AF4">
              <w:rPr>
                <w:rFonts w:cs="Arial"/>
                <w:b/>
                <w:bCs/>
                <w:sz w:val="18"/>
                <w:szCs w:val="18"/>
              </w:rPr>
              <w:t>Risque</w:t>
            </w:r>
            <w:r w:rsidR="00783124" w:rsidRPr="00A32AF4">
              <w:rPr>
                <w:rFonts w:cs="Arial"/>
                <w:b/>
                <w:bCs/>
                <w:sz w:val="18"/>
                <w:szCs w:val="18"/>
              </w:rPr>
              <w:t>s</w:t>
            </w:r>
          </w:p>
        </w:tc>
        <w:tc>
          <w:tcPr>
            <w:tcW w:w="5103" w:type="dxa"/>
            <w:tcBorders>
              <w:top w:val="single" w:sz="4" w:space="0" w:color="auto"/>
              <w:bottom w:val="single" w:sz="4" w:space="0" w:color="auto"/>
            </w:tcBorders>
            <w:shd w:val="clear" w:color="auto" w:fill="C6D9F1" w:themeFill="text2" w:themeFillTint="33"/>
            <w:vAlign w:val="center"/>
          </w:tcPr>
          <w:p w:rsidR="009F0179" w:rsidRPr="00A32AF4" w:rsidRDefault="0004221C" w:rsidP="00DC0553">
            <w:pPr>
              <w:jc w:val="center"/>
              <w:rPr>
                <w:rFonts w:cs="Arial"/>
                <w:b/>
                <w:bCs/>
                <w:sz w:val="18"/>
                <w:szCs w:val="18"/>
              </w:rPr>
            </w:pPr>
            <w:r w:rsidRPr="00A32AF4">
              <w:rPr>
                <w:rFonts w:cs="Arial"/>
                <w:b/>
                <w:bCs/>
                <w:sz w:val="18"/>
                <w:szCs w:val="18"/>
              </w:rPr>
              <w:t>Stratégie</w:t>
            </w:r>
            <w:r w:rsidR="00783124" w:rsidRPr="00A32AF4">
              <w:rPr>
                <w:rFonts w:cs="Arial"/>
                <w:b/>
                <w:bCs/>
                <w:sz w:val="18"/>
                <w:szCs w:val="18"/>
              </w:rPr>
              <w:t>s</w:t>
            </w:r>
            <w:r w:rsidRPr="00A32AF4">
              <w:rPr>
                <w:rFonts w:cs="Arial"/>
                <w:b/>
                <w:bCs/>
                <w:sz w:val="18"/>
                <w:szCs w:val="18"/>
              </w:rPr>
              <w:t xml:space="preserve"> d</w:t>
            </w:r>
            <w:r w:rsidR="00E2055A" w:rsidRPr="00A32AF4">
              <w:rPr>
                <w:rFonts w:cs="Arial"/>
                <w:b/>
                <w:bCs/>
                <w:sz w:val="18"/>
                <w:szCs w:val="18"/>
              </w:rPr>
              <w:t>’</w:t>
            </w:r>
            <w:r w:rsidRPr="00A32AF4">
              <w:rPr>
                <w:rFonts w:cs="Arial"/>
                <w:b/>
                <w:bCs/>
                <w:sz w:val="18"/>
                <w:szCs w:val="18"/>
              </w:rPr>
              <w:t>a</w:t>
            </w:r>
            <w:r w:rsidR="009F0179" w:rsidRPr="00A32AF4">
              <w:rPr>
                <w:rFonts w:cs="Arial"/>
                <w:b/>
                <w:bCs/>
                <w:sz w:val="18"/>
                <w:szCs w:val="18"/>
              </w:rPr>
              <w:t>tténuation</w:t>
            </w:r>
          </w:p>
        </w:tc>
      </w:tr>
      <w:tr w:rsidR="009F0179" w:rsidRPr="00A32AF4" w:rsidTr="0091192D">
        <w:trPr>
          <w:trHeight w:val="1101"/>
        </w:trPr>
        <w:tc>
          <w:tcPr>
            <w:tcW w:w="4111" w:type="dxa"/>
            <w:tcBorders>
              <w:top w:val="single" w:sz="4" w:space="0" w:color="auto"/>
            </w:tcBorders>
            <w:shd w:val="clear" w:color="auto" w:fill="auto"/>
            <w:tcMar>
              <w:top w:w="113" w:type="dxa"/>
              <w:bottom w:w="113" w:type="dxa"/>
            </w:tcMar>
          </w:tcPr>
          <w:p w:rsidR="009F0179" w:rsidRPr="00A32AF4" w:rsidRDefault="009F0179" w:rsidP="00DC0553">
            <w:pPr>
              <w:rPr>
                <w:sz w:val="16"/>
                <w:szCs w:val="16"/>
              </w:rPr>
            </w:pPr>
            <w:r w:rsidRPr="00A32AF4">
              <w:rPr>
                <w:rFonts w:cs="Arial"/>
                <w:sz w:val="16"/>
                <w:szCs w:val="16"/>
              </w:rPr>
              <w:t>Baisse des niveaux de recettes bien plus importante que prévu.  Une incapacité concomitante à faire preuve de réactivité pour ramener les dépenses à un niveau approprié pourrait engendrer un déficit et avoir un impact négatif sur l</w:t>
            </w:r>
            <w:r w:rsidR="00E2055A" w:rsidRPr="00A32AF4">
              <w:rPr>
                <w:rFonts w:cs="Arial"/>
                <w:sz w:val="16"/>
                <w:szCs w:val="16"/>
              </w:rPr>
              <w:t>’</w:t>
            </w:r>
            <w:r w:rsidRPr="00A32AF4">
              <w:rPr>
                <w:rFonts w:cs="Arial"/>
                <w:sz w:val="16"/>
                <w:szCs w:val="16"/>
              </w:rPr>
              <w:t>exécution du programme.</w:t>
            </w:r>
          </w:p>
        </w:tc>
        <w:tc>
          <w:tcPr>
            <w:tcW w:w="5103" w:type="dxa"/>
            <w:tcBorders>
              <w:top w:val="single" w:sz="4" w:space="0" w:color="auto"/>
            </w:tcBorders>
            <w:shd w:val="clear" w:color="auto" w:fill="auto"/>
            <w:tcMar>
              <w:top w:w="113" w:type="dxa"/>
              <w:bottom w:w="113" w:type="dxa"/>
            </w:tcMar>
          </w:tcPr>
          <w:p w:rsidR="00F93B76" w:rsidRPr="00A32AF4" w:rsidRDefault="009F0179" w:rsidP="00DC0553">
            <w:pPr>
              <w:rPr>
                <w:rFonts w:cs="Arial"/>
                <w:sz w:val="16"/>
                <w:szCs w:val="16"/>
              </w:rPr>
            </w:pPr>
            <w:r w:rsidRPr="00A32AF4">
              <w:rPr>
                <w:rFonts w:cs="Arial"/>
                <w:sz w:val="16"/>
                <w:szCs w:val="16"/>
              </w:rPr>
              <w:t>L</w:t>
            </w:r>
            <w:r w:rsidR="00E2055A" w:rsidRPr="00A32AF4">
              <w:rPr>
                <w:rFonts w:cs="Arial"/>
                <w:sz w:val="16"/>
                <w:szCs w:val="16"/>
              </w:rPr>
              <w:t>’</w:t>
            </w:r>
            <w:r w:rsidRPr="00A32AF4">
              <w:rPr>
                <w:rFonts w:cs="Arial"/>
                <w:sz w:val="16"/>
                <w:szCs w:val="16"/>
              </w:rPr>
              <w:t>Organisation maintient actuellement le montant des réserves au niveau approprié (18% environ du budget biennal) pour être en mesure de pallier une éventuelle diminution des recettes.</w:t>
            </w:r>
            <w:r w:rsidRPr="00A32AF4">
              <w:rPr>
                <w:sz w:val="16"/>
              </w:rPr>
              <w:t xml:space="preserve"> </w:t>
            </w:r>
            <w:r w:rsidRPr="00A32AF4">
              <w:rPr>
                <w:rFonts w:cs="Arial"/>
                <w:sz w:val="16"/>
                <w:szCs w:val="16"/>
              </w:rPr>
              <w:t xml:space="preserve"> Le relèvement du montant des réserves recommandées permettrait d</w:t>
            </w:r>
            <w:r w:rsidR="00E2055A" w:rsidRPr="00A32AF4">
              <w:rPr>
                <w:rFonts w:cs="Arial"/>
                <w:sz w:val="16"/>
                <w:szCs w:val="16"/>
              </w:rPr>
              <w:t>’</w:t>
            </w:r>
            <w:r w:rsidRPr="00A32AF4">
              <w:rPr>
                <w:rFonts w:cs="Arial"/>
                <w:sz w:val="16"/>
                <w:szCs w:val="16"/>
              </w:rPr>
              <w:t>atténuer davantage ce risque.</w:t>
            </w:r>
          </w:p>
          <w:p w:rsidR="00F93B76" w:rsidRPr="00A32AF4" w:rsidRDefault="00F93B76" w:rsidP="00DC0553">
            <w:pPr>
              <w:rPr>
                <w:rFonts w:cs="Arial"/>
                <w:sz w:val="16"/>
                <w:szCs w:val="16"/>
              </w:rPr>
            </w:pPr>
          </w:p>
          <w:p w:rsidR="009F0179" w:rsidRPr="00A32AF4" w:rsidRDefault="009F0179" w:rsidP="00DC0553">
            <w:pPr>
              <w:rPr>
                <w:rFonts w:cs="Arial"/>
                <w:sz w:val="16"/>
                <w:szCs w:val="16"/>
              </w:rPr>
            </w:pPr>
            <w:r w:rsidRPr="00A32AF4">
              <w:rPr>
                <w:rFonts w:cs="Arial"/>
                <w:sz w:val="16"/>
                <w:szCs w:val="16"/>
              </w:rPr>
              <w:t>Le Secrétariat actualise les prévisions de recettes tous les trimestres et suit de près l</w:t>
            </w:r>
            <w:r w:rsidR="00E2055A" w:rsidRPr="00A32AF4">
              <w:rPr>
                <w:rFonts w:cs="Arial"/>
                <w:sz w:val="16"/>
                <w:szCs w:val="16"/>
              </w:rPr>
              <w:t>’</w:t>
            </w:r>
            <w:r w:rsidRPr="00A32AF4">
              <w:rPr>
                <w:rFonts w:cs="Arial"/>
                <w:sz w:val="16"/>
                <w:szCs w:val="16"/>
              </w:rPr>
              <w:t>évolution des recettes et des dépenses.</w:t>
            </w:r>
          </w:p>
        </w:tc>
      </w:tr>
      <w:tr w:rsidR="009F0179" w:rsidRPr="00A32AF4" w:rsidTr="0091192D">
        <w:trPr>
          <w:trHeight w:val="1188"/>
        </w:trPr>
        <w:tc>
          <w:tcPr>
            <w:tcW w:w="4111" w:type="dxa"/>
            <w:shd w:val="clear" w:color="auto" w:fill="auto"/>
            <w:tcMar>
              <w:top w:w="113" w:type="dxa"/>
              <w:bottom w:w="113" w:type="dxa"/>
            </w:tcMar>
          </w:tcPr>
          <w:p w:rsidR="009F0179" w:rsidRPr="00A32AF4" w:rsidRDefault="009F0179" w:rsidP="00DC0553">
            <w:pPr>
              <w:rPr>
                <w:rFonts w:cs="Arial"/>
                <w:sz w:val="16"/>
                <w:szCs w:val="16"/>
              </w:rPr>
            </w:pPr>
            <w:r w:rsidRPr="00A32AF4">
              <w:rPr>
                <w:rFonts w:cs="Arial"/>
                <w:sz w:val="16"/>
                <w:szCs w:val="16"/>
              </w:rPr>
              <w:t>Avec l</w:t>
            </w:r>
            <w:r w:rsidR="00E2055A" w:rsidRPr="00A32AF4">
              <w:rPr>
                <w:rFonts w:cs="Arial"/>
                <w:sz w:val="16"/>
                <w:szCs w:val="16"/>
              </w:rPr>
              <w:t>’</w:t>
            </w:r>
            <w:r w:rsidRPr="00A32AF4">
              <w:rPr>
                <w:rFonts w:cs="Arial"/>
                <w:sz w:val="16"/>
                <w:szCs w:val="16"/>
              </w:rPr>
              <w:t>exposition de l</w:t>
            </w:r>
            <w:r w:rsidR="00E2055A" w:rsidRPr="00A32AF4">
              <w:rPr>
                <w:rFonts w:cs="Arial"/>
                <w:sz w:val="16"/>
                <w:szCs w:val="16"/>
              </w:rPr>
              <w:t>’</w:t>
            </w:r>
            <w:r w:rsidRPr="00A32AF4">
              <w:rPr>
                <w:rFonts w:cs="Arial"/>
                <w:sz w:val="16"/>
                <w:szCs w:val="16"/>
              </w:rPr>
              <w:t>Organisation aux risques et le changement de la politique de la Banque nationale suisse concernant la gestion des comptes des organisations internationales, le risque d</w:t>
            </w:r>
            <w:r w:rsidR="00E2055A" w:rsidRPr="00A32AF4">
              <w:rPr>
                <w:rFonts w:cs="Arial"/>
                <w:sz w:val="16"/>
                <w:szCs w:val="16"/>
              </w:rPr>
              <w:t>’</w:t>
            </w:r>
            <w:r w:rsidRPr="00A32AF4">
              <w:rPr>
                <w:rFonts w:cs="Arial"/>
                <w:sz w:val="16"/>
                <w:szCs w:val="16"/>
              </w:rPr>
              <w:t>augmentation des dépenses et de réduction de l</w:t>
            </w:r>
            <w:r w:rsidR="00E2055A" w:rsidRPr="00A32AF4">
              <w:rPr>
                <w:rFonts w:cs="Arial"/>
                <w:sz w:val="16"/>
                <w:szCs w:val="16"/>
              </w:rPr>
              <w:t>’</w:t>
            </w:r>
            <w:r w:rsidRPr="00A32AF4">
              <w:rPr>
                <w:rFonts w:cs="Arial"/>
                <w:sz w:val="16"/>
                <w:szCs w:val="16"/>
              </w:rPr>
              <w:t>actif net (réserves) peut se concrétiser, en raison : i) des taux d</w:t>
            </w:r>
            <w:r w:rsidR="00E2055A" w:rsidRPr="00A32AF4">
              <w:rPr>
                <w:rFonts w:cs="Arial"/>
                <w:sz w:val="16"/>
                <w:szCs w:val="16"/>
              </w:rPr>
              <w:t>’</w:t>
            </w:r>
            <w:r w:rsidRPr="00A32AF4">
              <w:rPr>
                <w:rFonts w:cs="Arial"/>
                <w:sz w:val="16"/>
                <w:szCs w:val="16"/>
              </w:rPr>
              <w:t>intérêt négatifs, ii) des frais additionnels pour placements multiples, et iii) de l</w:t>
            </w:r>
            <w:r w:rsidR="00E2055A" w:rsidRPr="00A32AF4">
              <w:rPr>
                <w:rFonts w:cs="Arial"/>
                <w:sz w:val="16"/>
                <w:szCs w:val="16"/>
              </w:rPr>
              <w:t>’</w:t>
            </w:r>
            <w:r w:rsidRPr="00A32AF4">
              <w:rPr>
                <w:rFonts w:cs="Arial"/>
                <w:sz w:val="16"/>
                <w:szCs w:val="16"/>
              </w:rPr>
              <w:t>absence de garantie totale du capital pour couvrir les liquidités qui devront être placées auprès de plusieurs banques commerciales moins cotées.</w:t>
            </w:r>
          </w:p>
        </w:tc>
        <w:tc>
          <w:tcPr>
            <w:tcW w:w="5103" w:type="dxa"/>
            <w:shd w:val="clear" w:color="auto" w:fill="auto"/>
            <w:tcMar>
              <w:top w:w="113" w:type="dxa"/>
              <w:bottom w:w="113" w:type="dxa"/>
            </w:tcMar>
          </w:tcPr>
          <w:p w:rsidR="009F0179" w:rsidRPr="00A32AF4" w:rsidRDefault="009F0179" w:rsidP="00DC0553">
            <w:pPr>
              <w:rPr>
                <w:rFonts w:cs="Arial"/>
                <w:sz w:val="16"/>
                <w:szCs w:val="16"/>
              </w:rPr>
            </w:pPr>
            <w:r w:rsidRPr="00A32AF4">
              <w:rPr>
                <w:rFonts w:cs="Arial"/>
                <w:sz w:val="16"/>
                <w:szCs w:val="16"/>
              </w:rPr>
              <w:t>L</w:t>
            </w:r>
            <w:r w:rsidR="00E2055A" w:rsidRPr="00A32AF4">
              <w:rPr>
                <w:rFonts w:cs="Arial"/>
                <w:sz w:val="16"/>
                <w:szCs w:val="16"/>
              </w:rPr>
              <w:t>’</w:t>
            </w:r>
            <w:r w:rsidRPr="00A32AF4">
              <w:rPr>
                <w:rFonts w:cs="Arial"/>
                <w:sz w:val="16"/>
                <w:szCs w:val="16"/>
              </w:rPr>
              <w:t>approbation par les États membres de la nouvelle politique en matière d</w:t>
            </w:r>
            <w:r w:rsidR="00E2055A" w:rsidRPr="00A32AF4">
              <w:rPr>
                <w:rFonts w:cs="Arial"/>
                <w:sz w:val="16"/>
                <w:szCs w:val="16"/>
              </w:rPr>
              <w:t>’</w:t>
            </w:r>
            <w:r w:rsidRPr="00A32AF4">
              <w:rPr>
                <w:rFonts w:cs="Arial"/>
                <w:sz w:val="16"/>
                <w:szCs w:val="16"/>
              </w:rPr>
              <w:t>investissement permettrait à l</w:t>
            </w:r>
            <w:r w:rsidR="00E2055A" w:rsidRPr="00A32AF4">
              <w:rPr>
                <w:rFonts w:cs="Arial"/>
                <w:sz w:val="16"/>
                <w:szCs w:val="16"/>
              </w:rPr>
              <w:t>’</w:t>
            </w:r>
            <w:r w:rsidRPr="00A32AF4">
              <w:rPr>
                <w:rFonts w:cs="Arial"/>
                <w:sz w:val="16"/>
                <w:szCs w:val="16"/>
              </w:rPr>
              <w:t>Organisation i) de placer ses liquidités auprès d</w:t>
            </w:r>
            <w:r w:rsidR="00E2055A" w:rsidRPr="00A32AF4">
              <w:rPr>
                <w:rFonts w:cs="Arial"/>
                <w:sz w:val="16"/>
                <w:szCs w:val="16"/>
              </w:rPr>
              <w:t>’</w:t>
            </w:r>
            <w:r w:rsidRPr="00A32AF4">
              <w:rPr>
                <w:rFonts w:cs="Arial"/>
                <w:sz w:val="16"/>
                <w:szCs w:val="16"/>
              </w:rPr>
              <w:t>institutions financières moins cotées que la Banque nationale suisse, ii) d</w:t>
            </w:r>
            <w:r w:rsidR="00E2055A" w:rsidRPr="00A32AF4">
              <w:rPr>
                <w:rFonts w:cs="Arial"/>
                <w:sz w:val="16"/>
                <w:szCs w:val="16"/>
              </w:rPr>
              <w:t>’</w:t>
            </w:r>
            <w:r w:rsidRPr="00A32AF4">
              <w:rPr>
                <w:rFonts w:cs="Arial"/>
                <w:sz w:val="16"/>
                <w:szCs w:val="16"/>
              </w:rPr>
              <w:t>investir ses liquidités avec un certain rendement si le risque de pertes limitées est accepté et iii) d</w:t>
            </w:r>
            <w:r w:rsidR="00E2055A" w:rsidRPr="00A32AF4">
              <w:rPr>
                <w:rFonts w:cs="Arial"/>
                <w:sz w:val="16"/>
                <w:szCs w:val="16"/>
              </w:rPr>
              <w:t>’</w:t>
            </w:r>
            <w:r w:rsidRPr="00A32AF4">
              <w:rPr>
                <w:rFonts w:cs="Arial"/>
                <w:sz w:val="16"/>
                <w:szCs w:val="16"/>
              </w:rPr>
              <w:t>investir les fonds de l</w:t>
            </w:r>
            <w:r w:rsidR="00E2055A" w:rsidRPr="00A32AF4">
              <w:rPr>
                <w:rFonts w:cs="Arial"/>
                <w:sz w:val="16"/>
                <w:szCs w:val="16"/>
              </w:rPr>
              <w:t>’</w:t>
            </w:r>
            <w:r w:rsidRPr="00A32AF4">
              <w:rPr>
                <w:rFonts w:cs="Arial"/>
                <w:sz w:val="16"/>
                <w:szCs w:val="16"/>
              </w:rPr>
              <w:t>assurance maladie après la cessation de service (AMCS) de manière à obtenir un taux de rendement positif à long terme.</w:t>
            </w:r>
          </w:p>
        </w:tc>
      </w:tr>
    </w:tbl>
    <w:p w:rsidR="00F93B76" w:rsidRPr="00A32AF4" w:rsidRDefault="00F93B76" w:rsidP="00DC0553">
      <w:pPr>
        <w:tabs>
          <w:tab w:val="left" w:pos="567"/>
          <w:tab w:val="left" w:pos="1985"/>
        </w:tabs>
        <w:jc w:val="both"/>
        <w:rPr>
          <w:rFonts w:cs="Arial"/>
          <w:bCs/>
        </w:rPr>
      </w:pPr>
    </w:p>
    <w:p w:rsidR="00F93B76" w:rsidRPr="00A32AF4" w:rsidRDefault="00F93B76" w:rsidP="00DC0553">
      <w:pPr>
        <w:tabs>
          <w:tab w:val="left" w:pos="567"/>
          <w:tab w:val="left" w:pos="1985"/>
        </w:tabs>
        <w:jc w:val="both"/>
        <w:rPr>
          <w:rFonts w:cs="Arial"/>
          <w:bCs/>
        </w:rPr>
      </w:pPr>
    </w:p>
    <w:p w:rsidR="00F93B76" w:rsidRPr="00A32AF4" w:rsidRDefault="009F0179" w:rsidP="00DC0553">
      <w:pPr>
        <w:tabs>
          <w:tab w:val="left" w:pos="567"/>
          <w:tab w:val="left" w:pos="1985"/>
        </w:tabs>
        <w:jc w:val="both"/>
        <w:rPr>
          <w:rFonts w:cs="Arial"/>
          <w:bCs/>
        </w:rPr>
      </w:pPr>
      <w:r w:rsidRPr="00A32AF4">
        <w:rPr>
          <w:rFonts w:cs="Arial"/>
          <w:bCs/>
        </w:rPr>
        <w:t>TABLEAU DES RÉSULTATS</w:t>
      </w:r>
    </w:p>
    <w:p w:rsidR="009F0179" w:rsidRPr="00A32AF4" w:rsidRDefault="009F0179" w:rsidP="00DC0553">
      <w:pPr>
        <w:tabs>
          <w:tab w:val="left" w:pos="567"/>
          <w:tab w:val="left" w:pos="1985"/>
        </w:tabs>
        <w:jc w:val="both"/>
        <w:rPr>
          <w:rFonts w:cs="Arial"/>
          <w:bCs/>
        </w:rPr>
      </w:pPr>
    </w:p>
    <w:tbl>
      <w:tblPr>
        <w:tblW w:w="9229" w:type="dxa"/>
        <w:tblInd w:w="9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142"/>
        <w:gridCol w:w="2498"/>
        <w:gridCol w:w="2420"/>
        <w:gridCol w:w="2169"/>
      </w:tblGrid>
      <w:tr w:rsidR="009F0179" w:rsidRPr="00A32AF4" w:rsidTr="0004221C">
        <w:trPr>
          <w:cantSplit/>
          <w:tblHeader/>
        </w:trPr>
        <w:tc>
          <w:tcPr>
            <w:tcW w:w="2142" w:type="dxa"/>
            <w:tcBorders>
              <w:top w:val="single" w:sz="4" w:space="0" w:color="auto"/>
              <w:bottom w:val="single" w:sz="4" w:space="0" w:color="auto"/>
            </w:tcBorders>
            <w:shd w:val="clear" w:color="auto" w:fill="C6D9F1" w:themeFill="text2" w:themeFillTint="33"/>
            <w:tcMar>
              <w:top w:w="113" w:type="dxa"/>
              <w:bottom w:w="113" w:type="dxa"/>
            </w:tcMar>
            <w:vAlign w:val="center"/>
            <w:hideMark/>
          </w:tcPr>
          <w:p w:rsidR="009F0179" w:rsidRPr="00A32AF4" w:rsidRDefault="009F0179" w:rsidP="00DC0553">
            <w:pPr>
              <w:jc w:val="center"/>
              <w:rPr>
                <w:rFonts w:cs="Arial"/>
                <w:b/>
                <w:bCs/>
                <w:sz w:val="18"/>
                <w:szCs w:val="18"/>
              </w:rPr>
            </w:pPr>
            <w:r w:rsidRPr="00A32AF4">
              <w:rPr>
                <w:rFonts w:cs="Arial"/>
                <w:b/>
                <w:bCs/>
                <w:sz w:val="18"/>
                <w:szCs w:val="18"/>
              </w:rPr>
              <w:t>Résultats escomptés</w:t>
            </w:r>
          </w:p>
        </w:tc>
        <w:tc>
          <w:tcPr>
            <w:tcW w:w="2498" w:type="dxa"/>
            <w:tcBorders>
              <w:top w:val="single" w:sz="4" w:space="0" w:color="auto"/>
              <w:bottom w:val="single" w:sz="4" w:space="0" w:color="auto"/>
            </w:tcBorders>
            <w:shd w:val="clear" w:color="auto" w:fill="C6D9F1" w:themeFill="text2" w:themeFillTint="33"/>
            <w:tcMar>
              <w:top w:w="113" w:type="dxa"/>
              <w:bottom w:w="113" w:type="dxa"/>
            </w:tcMar>
            <w:vAlign w:val="center"/>
            <w:hideMark/>
          </w:tcPr>
          <w:p w:rsidR="009F0179" w:rsidRPr="00A32AF4" w:rsidRDefault="009F0179" w:rsidP="00DC0553">
            <w:pPr>
              <w:jc w:val="center"/>
              <w:rPr>
                <w:rFonts w:cs="Arial"/>
                <w:b/>
                <w:bCs/>
                <w:sz w:val="18"/>
                <w:szCs w:val="18"/>
              </w:rPr>
            </w:pPr>
            <w:r w:rsidRPr="00A32AF4">
              <w:rPr>
                <w:rFonts w:cs="Arial"/>
                <w:b/>
                <w:bCs/>
                <w:sz w:val="18"/>
                <w:szCs w:val="18"/>
              </w:rPr>
              <w:t>Indicateurs d</w:t>
            </w:r>
            <w:r w:rsidR="00E2055A" w:rsidRPr="00A32AF4">
              <w:rPr>
                <w:rFonts w:cs="Arial"/>
                <w:b/>
                <w:bCs/>
                <w:sz w:val="18"/>
                <w:szCs w:val="18"/>
              </w:rPr>
              <w:t>’</w:t>
            </w:r>
            <w:r w:rsidRPr="00A32AF4">
              <w:rPr>
                <w:rFonts w:cs="Arial"/>
                <w:b/>
                <w:bCs/>
                <w:sz w:val="18"/>
                <w:szCs w:val="18"/>
              </w:rPr>
              <w:t>exécution</w:t>
            </w:r>
          </w:p>
        </w:tc>
        <w:tc>
          <w:tcPr>
            <w:tcW w:w="2420" w:type="dxa"/>
            <w:tcBorders>
              <w:top w:val="single" w:sz="4" w:space="0" w:color="auto"/>
              <w:bottom w:val="single" w:sz="4" w:space="0" w:color="auto"/>
            </w:tcBorders>
            <w:shd w:val="clear" w:color="auto" w:fill="C6D9F1" w:themeFill="text2" w:themeFillTint="33"/>
            <w:tcMar>
              <w:top w:w="113" w:type="dxa"/>
              <w:bottom w:w="113" w:type="dxa"/>
            </w:tcMar>
            <w:vAlign w:val="center"/>
            <w:hideMark/>
          </w:tcPr>
          <w:p w:rsidR="009F0179" w:rsidRPr="00A32AF4" w:rsidRDefault="009F0179" w:rsidP="00DC0553">
            <w:pPr>
              <w:jc w:val="center"/>
              <w:rPr>
                <w:rFonts w:cs="Arial"/>
                <w:b/>
                <w:bCs/>
                <w:sz w:val="18"/>
                <w:szCs w:val="18"/>
              </w:rPr>
            </w:pPr>
            <w:r w:rsidRPr="00A32AF4">
              <w:rPr>
                <w:rFonts w:cs="Arial"/>
                <w:b/>
                <w:bCs/>
                <w:sz w:val="18"/>
                <w:szCs w:val="18"/>
              </w:rPr>
              <w:t>Niveaux de référence</w:t>
            </w:r>
          </w:p>
        </w:tc>
        <w:tc>
          <w:tcPr>
            <w:tcW w:w="2169" w:type="dxa"/>
            <w:tcBorders>
              <w:top w:val="single" w:sz="4" w:space="0" w:color="auto"/>
              <w:bottom w:val="single" w:sz="4" w:space="0" w:color="auto"/>
            </w:tcBorders>
            <w:shd w:val="clear" w:color="auto" w:fill="C6D9F1" w:themeFill="text2" w:themeFillTint="33"/>
            <w:tcMar>
              <w:top w:w="113" w:type="dxa"/>
              <w:bottom w:w="113" w:type="dxa"/>
            </w:tcMar>
            <w:vAlign w:val="center"/>
            <w:hideMark/>
          </w:tcPr>
          <w:p w:rsidR="009F0179" w:rsidRPr="00A32AF4" w:rsidRDefault="009F0179" w:rsidP="00DC0553">
            <w:pPr>
              <w:jc w:val="center"/>
              <w:rPr>
                <w:rFonts w:cs="Arial"/>
                <w:b/>
                <w:bCs/>
                <w:sz w:val="18"/>
                <w:szCs w:val="18"/>
              </w:rPr>
            </w:pPr>
            <w:r w:rsidRPr="00A32AF4">
              <w:rPr>
                <w:rFonts w:cs="Arial"/>
                <w:b/>
                <w:bCs/>
                <w:sz w:val="18"/>
                <w:szCs w:val="18"/>
              </w:rPr>
              <w:t>Objectifs visés</w:t>
            </w:r>
          </w:p>
        </w:tc>
      </w:tr>
      <w:tr w:rsidR="009F0179" w:rsidRPr="00A32AF4" w:rsidTr="0004221C">
        <w:trPr>
          <w:cantSplit/>
        </w:trPr>
        <w:tc>
          <w:tcPr>
            <w:tcW w:w="2142" w:type="dxa"/>
            <w:tcBorders>
              <w:top w:val="single" w:sz="4" w:space="0" w:color="auto"/>
            </w:tcBorders>
            <w:shd w:val="clear" w:color="000000" w:fill="FFFFFF"/>
            <w:tcMar>
              <w:top w:w="113" w:type="dxa"/>
              <w:bottom w:w="113" w:type="dxa"/>
            </w:tcMar>
            <w:hideMark/>
          </w:tcPr>
          <w:p w:rsidR="009F0179" w:rsidRPr="00A32AF4" w:rsidRDefault="009F0179" w:rsidP="00DC0553">
            <w:pPr>
              <w:rPr>
                <w:rFonts w:cs="Arial"/>
                <w:sz w:val="16"/>
                <w:szCs w:val="16"/>
              </w:rPr>
            </w:pPr>
            <w:r w:rsidRPr="00A32AF4">
              <w:rPr>
                <w:rFonts w:cs="Arial"/>
                <w:sz w:val="16"/>
                <w:szCs w:val="16"/>
              </w:rPr>
              <w:t>IX.1 Services d</w:t>
            </w:r>
            <w:r w:rsidR="00E2055A" w:rsidRPr="00A32AF4">
              <w:rPr>
                <w:rFonts w:cs="Arial"/>
                <w:sz w:val="16"/>
                <w:szCs w:val="16"/>
              </w:rPr>
              <w:t>’</w:t>
            </w:r>
            <w:r w:rsidRPr="00A32AF4">
              <w:rPr>
                <w:rFonts w:cs="Arial"/>
                <w:sz w:val="16"/>
                <w:szCs w:val="16"/>
              </w:rPr>
              <w:t>appui efficaces, efficients, de qualité et tournés vers la clientèle, à l</w:t>
            </w:r>
            <w:r w:rsidR="00E2055A" w:rsidRPr="00A32AF4">
              <w:rPr>
                <w:rFonts w:cs="Arial"/>
                <w:sz w:val="16"/>
                <w:szCs w:val="16"/>
              </w:rPr>
              <w:t>’</w:t>
            </w:r>
            <w:r w:rsidRPr="00A32AF4">
              <w:rPr>
                <w:rFonts w:cs="Arial"/>
                <w:sz w:val="16"/>
                <w:szCs w:val="16"/>
              </w:rPr>
              <w:t>intention à la fois des clients internes et des parties prenantes externes</w:t>
            </w:r>
          </w:p>
        </w:tc>
        <w:tc>
          <w:tcPr>
            <w:tcW w:w="2498" w:type="dxa"/>
            <w:tcBorders>
              <w:top w:val="single" w:sz="4" w:space="0" w:color="auto"/>
            </w:tcBorders>
            <w:shd w:val="clear" w:color="000000" w:fill="FFFFFF"/>
            <w:tcMar>
              <w:top w:w="113" w:type="dxa"/>
              <w:bottom w:w="113" w:type="dxa"/>
            </w:tcMar>
            <w:hideMark/>
          </w:tcPr>
          <w:p w:rsidR="009F0179" w:rsidRPr="00A32AF4" w:rsidRDefault="009F0179" w:rsidP="00DC0553">
            <w:pPr>
              <w:rPr>
                <w:rFonts w:cs="Arial"/>
                <w:sz w:val="16"/>
                <w:szCs w:val="16"/>
              </w:rPr>
            </w:pPr>
            <w:r w:rsidRPr="00A32AF4">
              <w:rPr>
                <w:rFonts w:cs="Arial"/>
                <w:sz w:val="16"/>
                <w:szCs w:val="16"/>
              </w:rPr>
              <w:t>Mise à disposition des rapports et analyses de nature financière et de gestion demandés par la haute direction, les chefs de programmes et les États membres conformément aux échéances convenues</w:t>
            </w:r>
          </w:p>
        </w:tc>
        <w:tc>
          <w:tcPr>
            <w:tcW w:w="2420" w:type="dxa"/>
            <w:tcBorders>
              <w:top w:val="single" w:sz="4" w:space="0" w:color="auto"/>
            </w:tcBorders>
            <w:shd w:val="clear" w:color="000000" w:fill="FFFFFF"/>
            <w:tcMar>
              <w:top w:w="113" w:type="dxa"/>
              <w:bottom w:w="113" w:type="dxa"/>
            </w:tcMar>
            <w:hideMark/>
          </w:tcPr>
          <w:p w:rsidR="009F0179" w:rsidRPr="00A32AF4" w:rsidRDefault="009F0179" w:rsidP="00DC0553">
            <w:pPr>
              <w:rPr>
                <w:rFonts w:cs="Arial"/>
                <w:sz w:val="16"/>
                <w:szCs w:val="16"/>
              </w:rPr>
            </w:pPr>
            <w:r w:rsidRPr="00A32AF4">
              <w:rPr>
                <w:rFonts w:cs="Arial"/>
                <w:sz w:val="16"/>
                <w:szCs w:val="16"/>
              </w:rPr>
              <w:t>Clôture mensuelle à effectuer dans les 10 jours ouvrables à compter de la fin du mois (hormis le mois de janvier, où la clôture mensuelle est déterminée en fonction de la progression de la clôture annuelle)</w:t>
            </w:r>
          </w:p>
        </w:tc>
        <w:tc>
          <w:tcPr>
            <w:tcW w:w="2169" w:type="dxa"/>
            <w:tcBorders>
              <w:top w:val="single" w:sz="4" w:space="0" w:color="auto"/>
            </w:tcBorders>
            <w:shd w:val="clear" w:color="000000" w:fill="FFFFFF"/>
            <w:tcMar>
              <w:top w:w="113" w:type="dxa"/>
              <w:bottom w:w="113" w:type="dxa"/>
            </w:tcMar>
            <w:hideMark/>
          </w:tcPr>
          <w:p w:rsidR="009F0179" w:rsidRPr="00A32AF4" w:rsidRDefault="009F0179" w:rsidP="00DC0553">
            <w:pPr>
              <w:tabs>
                <w:tab w:val="left" w:pos="218"/>
              </w:tabs>
              <w:rPr>
                <w:rFonts w:cs="Arial"/>
                <w:sz w:val="16"/>
                <w:szCs w:val="16"/>
              </w:rPr>
            </w:pPr>
            <w:r w:rsidRPr="00A32AF4">
              <w:rPr>
                <w:rFonts w:cs="Arial"/>
                <w:sz w:val="16"/>
                <w:szCs w:val="16"/>
              </w:rPr>
              <w:t>Identiques aux niveaux de référence</w:t>
            </w:r>
          </w:p>
        </w:tc>
      </w:tr>
      <w:tr w:rsidR="009F0179" w:rsidRPr="00A32AF4" w:rsidTr="0004221C">
        <w:trPr>
          <w:cantSplit/>
        </w:trPr>
        <w:tc>
          <w:tcPr>
            <w:tcW w:w="2142" w:type="dxa"/>
            <w:shd w:val="clear" w:color="000000" w:fill="FFFFFF"/>
            <w:tcMar>
              <w:top w:w="113" w:type="dxa"/>
              <w:bottom w:w="113" w:type="dxa"/>
            </w:tcMar>
            <w:hideMark/>
          </w:tcPr>
          <w:p w:rsidR="009F0179" w:rsidRPr="00A32AF4" w:rsidRDefault="009F0179" w:rsidP="00DC0553">
            <w:pPr>
              <w:rPr>
                <w:rFonts w:cs="Arial"/>
                <w:sz w:val="16"/>
                <w:szCs w:val="16"/>
              </w:rPr>
            </w:pPr>
          </w:p>
        </w:tc>
        <w:tc>
          <w:tcPr>
            <w:tcW w:w="2498" w:type="dxa"/>
            <w:shd w:val="clear" w:color="000000" w:fill="FFFFFF"/>
            <w:tcMar>
              <w:top w:w="113" w:type="dxa"/>
              <w:bottom w:w="113" w:type="dxa"/>
            </w:tcMar>
            <w:hideMark/>
          </w:tcPr>
          <w:p w:rsidR="009F0179" w:rsidRPr="00A32AF4" w:rsidRDefault="009F0179" w:rsidP="00DC0553">
            <w:pPr>
              <w:rPr>
                <w:rFonts w:cs="Arial"/>
                <w:sz w:val="16"/>
                <w:szCs w:val="16"/>
              </w:rPr>
            </w:pPr>
            <w:r w:rsidRPr="00A32AF4">
              <w:rPr>
                <w:rFonts w:cs="Arial"/>
                <w:sz w:val="16"/>
                <w:szCs w:val="16"/>
              </w:rPr>
              <w:t>Quantité de documents du PBC soumis à temps aux États membres</w:t>
            </w:r>
          </w:p>
        </w:tc>
        <w:tc>
          <w:tcPr>
            <w:tcW w:w="2420" w:type="dxa"/>
            <w:shd w:val="clear" w:color="000000" w:fill="FFFFFF"/>
            <w:tcMar>
              <w:top w:w="113" w:type="dxa"/>
              <w:bottom w:w="113" w:type="dxa"/>
            </w:tcMar>
            <w:hideMark/>
          </w:tcPr>
          <w:p w:rsidR="009F0179" w:rsidRPr="00A32AF4" w:rsidRDefault="009F0179" w:rsidP="00DC0553">
            <w:pPr>
              <w:rPr>
                <w:rFonts w:cs="Arial"/>
                <w:sz w:val="16"/>
                <w:szCs w:val="16"/>
              </w:rPr>
            </w:pPr>
            <w:r w:rsidRPr="00A32AF4">
              <w:rPr>
                <w:rFonts w:cs="Arial"/>
                <w:sz w:val="16"/>
                <w:szCs w:val="16"/>
              </w:rPr>
              <w:t>12% (2014 sur la base d</w:t>
            </w:r>
            <w:r w:rsidR="00E2055A" w:rsidRPr="00A32AF4">
              <w:rPr>
                <w:rFonts w:cs="Arial"/>
                <w:sz w:val="16"/>
                <w:szCs w:val="16"/>
              </w:rPr>
              <w:t>’</w:t>
            </w:r>
            <w:r w:rsidRPr="00A32AF4">
              <w:rPr>
                <w:rFonts w:cs="Arial"/>
                <w:sz w:val="16"/>
                <w:szCs w:val="16"/>
              </w:rPr>
              <w:t>un délai de huit semaines)</w:t>
            </w:r>
          </w:p>
        </w:tc>
        <w:tc>
          <w:tcPr>
            <w:tcW w:w="2169" w:type="dxa"/>
            <w:shd w:val="clear" w:color="000000" w:fill="FFFFFF"/>
            <w:tcMar>
              <w:top w:w="113" w:type="dxa"/>
              <w:bottom w:w="113" w:type="dxa"/>
            </w:tcMar>
            <w:hideMark/>
          </w:tcPr>
          <w:p w:rsidR="009F0179" w:rsidRPr="00A32AF4" w:rsidRDefault="009F0179" w:rsidP="00DC0553">
            <w:pPr>
              <w:rPr>
                <w:rFonts w:cs="Arial"/>
                <w:sz w:val="16"/>
                <w:szCs w:val="16"/>
              </w:rPr>
            </w:pPr>
            <w:r w:rsidRPr="00A32AF4">
              <w:rPr>
                <w:rFonts w:cs="Arial"/>
                <w:sz w:val="16"/>
                <w:szCs w:val="16"/>
              </w:rPr>
              <w:t>15% (sur la base d</w:t>
            </w:r>
            <w:r w:rsidR="00E2055A" w:rsidRPr="00A32AF4">
              <w:rPr>
                <w:rFonts w:cs="Arial"/>
                <w:sz w:val="16"/>
                <w:szCs w:val="16"/>
              </w:rPr>
              <w:t>’</w:t>
            </w:r>
            <w:r w:rsidRPr="00A32AF4">
              <w:rPr>
                <w:rFonts w:cs="Arial"/>
                <w:sz w:val="16"/>
                <w:szCs w:val="16"/>
              </w:rPr>
              <w:t>un délai de huit semaines)</w:t>
            </w:r>
          </w:p>
        </w:tc>
      </w:tr>
      <w:tr w:rsidR="009F0179" w:rsidRPr="00A32AF4" w:rsidTr="0004221C">
        <w:trPr>
          <w:cantSplit/>
        </w:trPr>
        <w:tc>
          <w:tcPr>
            <w:tcW w:w="2142" w:type="dxa"/>
            <w:shd w:val="clear" w:color="000000" w:fill="FFFFFF"/>
            <w:tcMar>
              <w:top w:w="113" w:type="dxa"/>
              <w:bottom w:w="113" w:type="dxa"/>
            </w:tcMar>
            <w:hideMark/>
          </w:tcPr>
          <w:p w:rsidR="009F0179" w:rsidRPr="00A32AF4" w:rsidRDefault="009F0179" w:rsidP="00DC0553">
            <w:pPr>
              <w:keepNext/>
              <w:keepLines/>
              <w:rPr>
                <w:rFonts w:cs="Arial"/>
                <w:sz w:val="16"/>
                <w:szCs w:val="16"/>
              </w:rPr>
            </w:pPr>
          </w:p>
        </w:tc>
        <w:tc>
          <w:tcPr>
            <w:tcW w:w="2498" w:type="dxa"/>
            <w:shd w:val="clear" w:color="000000" w:fill="FFFFFF"/>
            <w:tcMar>
              <w:top w:w="113" w:type="dxa"/>
              <w:bottom w:w="113" w:type="dxa"/>
            </w:tcMar>
            <w:hideMark/>
          </w:tcPr>
          <w:p w:rsidR="009F0179" w:rsidRPr="00A32AF4" w:rsidRDefault="009F0179" w:rsidP="00DC0553">
            <w:pPr>
              <w:keepNext/>
              <w:keepLines/>
              <w:rPr>
                <w:rFonts w:cs="Arial"/>
                <w:sz w:val="16"/>
                <w:szCs w:val="16"/>
              </w:rPr>
            </w:pPr>
            <w:r w:rsidRPr="00A32AF4">
              <w:rPr>
                <w:rFonts w:cs="Arial"/>
                <w:sz w:val="16"/>
                <w:szCs w:val="16"/>
              </w:rPr>
              <w:t>Le système ERP de l</w:t>
            </w:r>
            <w:r w:rsidR="00E2055A" w:rsidRPr="00A32AF4">
              <w:rPr>
                <w:rFonts w:cs="Arial"/>
                <w:sz w:val="16"/>
                <w:szCs w:val="16"/>
              </w:rPr>
              <w:t>’</w:t>
            </w:r>
            <w:r w:rsidRPr="00A32AF4">
              <w:rPr>
                <w:rFonts w:cs="Arial"/>
                <w:sz w:val="16"/>
                <w:szCs w:val="16"/>
              </w:rPr>
              <w:t>Organisation (AIMS) fonctionne de manière efficiente, compte tenu des besoins opérationnels et conformément aux pratiques recommandées</w:t>
            </w:r>
          </w:p>
        </w:tc>
        <w:tc>
          <w:tcPr>
            <w:tcW w:w="2420" w:type="dxa"/>
            <w:shd w:val="clear" w:color="000000" w:fill="FFFFFF"/>
            <w:tcMar>
              <w:top w:w="113" w:type="dxa"/>
              <w:bottom w:w="113" w:type="dxa"/>
            </w:tcMar>
            <w:hideMark/>
          </w:tcPr>
          <w:p w:rsidR="009F0179" w:rsidRPr="00A32AF4" w:rsidRDefault="009F0179" w:rsidP="00DC0553">
            <w:pPr>
              <w:keepNext/>
              <w:keepLines/>
              <w:rPr>
                <w:rFonts w:cs="Arial"/>
                <w:sz w:val="16"/>
                <w:szCs w:val="16"/>
              </w:rPr>
            </w:pPr>
            <w:r w:rsidRPr="00A32AF4">
              <w:rPr>
                <w:rFonts w:cs="Arial"/>
                <w:sz w:val="16"/>
                <w:szCs w:val="16"/>
              </w:rPr>
              <w:t>En 2014, AIMS fonctionnait bien à 99,80%.  Vingt</w:t>
            </w:r>
            <w:r w:rsidR="00EB7F54" w:rsidRPr="00A32AF4">
              <w:rPr>
                <w:rFonts w:cs="Arial"/>
                <w:sz w:val="16"/>
              </w:rPr>
              <w:noBreakHyphen/>
            </w:r>
            <w:r w:rsidRPr="00A32AF4">
              <w:rPr>
                <w:rFonts w:cs="Arial"/>
                <w:sz w:val="16"/>
              </w:rPr>
              <w:t>cinq</w:t>
            </w:r>
            <w:r w:rsidRPr="00A32AF4">
              <w:rPr>
                <w:rFonts w:cs="Arial"/>
                <w:sz w:val="16"/>
                <w:szCs w:val="16"/>
              </w:rPr>
              <w:t xml:space="preserve"> incidents de priorité élevée </w:t>
            </w:r>
            <w:r w:rsidRPr="00A32AF4">
              <w:rPr>
                <w:rFonts w:cs="Arial"/>
                <w:sz w:val="16"/>
              </w:rPr>
              <w:t>a</w:t>
            </w:r>
            <w:r w:rsidRPr="00A32AF4">
              <w:rPr>
                <w:rFonts w:cs="Arial"/>
                <w:sz w:val="16"/>
                <w:szCs w:val="16"/>
              </w:rPr>
              <w:t xml:space="preserve">u maximum ont été ouverts en même temps </w:t>
            </w:r>
          </w:p>
        </w:tc>
        <w:tc>
          <w:tcPr>
            <w:tcW w:w="2169" w:type="dxa"/>
            <w:shd w:val="clear" w:color="000000" w:fill="FFFFFF"/>
            <w:tcMar>
              <w:top w:w="113" w:type="dxa"/>
              <w:bottom w:w="113" w:type="dxa"/>
            </w:tcMar>
            <w:hideMark/>
          </w:tcPr>
          <w:p w:rsidR="009F0179" w:rsidRPr="00A32AF4" w:rsidRDefault="009F0179" w:rsidP="00DC0553">
            <w:pPr>
              <w:keepNext/>
              <w:keepLines/>
              <w:rPr>
                <w:rFonts w:cs="Arial"/>
                <w:sz w:val="16"/>
                <w:szCs w:val="16"/>
              </w:rPr>
            </w:pPr>
            <w:r w:rsidRPr="00A32AF4">
              <w:rPr>
                <w:rFonts w:cs="Arial"/>
                <w:sz w:val="16"/>
                <w:szCs w:val="16"/>
              </w:rPr>
              <w:t>AIMS a bien fonctionné à plus de 99,90%.  Pas plus de 20 incidents de priorité élevée n</w:t>
            </w:r>
            <w:r w:rsidR="00E2055A" w:rsidRPr="00A32AF4">
              <w:rPr>
                <w:rFonts w:cs="Arial"/>
                <w:sz w:val="16"/>
                <w:szCs w:val="16"/>
              </w:rPr>
              <w:t>’</w:t>
            </w:r>
            <w:r w:rsidRPr="00A32AF4">
              <w:rPr>
                <w:rFonts w:cs="Arial"/>
                <w:sz w:val="16"/>
                <w:szCs w:val="16"/>
              </w:rPr>
              <w:t>ont été ouverts en même temps.  Les incidents de priorité élevée ne restent pas ouverts plus de huit jours</w:t>
            </w:r>
          </w:p>
        </w:tc>
      </w:tr>
      <w:tr w:rsidR="009F0179" w:rsidRPr="00A32AF4" w:rsidTr="0004221C">
        <w:trPr>
          <w:cantSplit/>
        </w:trPr>
        <w:tc>
          <w:tcPr>
            <w:tcW w:w="2142" w:type="dxa"/>
            <w:shd w:val="clear" w:color="000000" w:fill="FFFFFF"/>
            <w:tcMar>
              <w:top w:w="113" w:type="dxa"/>
              <w:bottom w:w="113" w:type="dxa"/>
            </w:tcMar>
            <w:hideMark/>
          </w:tcPr>
          <w:p w:rsidR="009F0179" w:rsidRPr="00A32AF4" w:rsidRDefault="009F0179" w:rsidP="00DC0553">
            <w:pPr>
              <w:keepNext/>
              <w:keepLines/>
              <w:rPr>
                <w:rFonts w:cs="Arial"/>
                <w:sz w:val="16"/>
                <w:szCs w:val="16"/>
              </w:rPr>
            </w:pPr>
          </w:p>
        </w:tc>
        <w:tc>
          <w:tcPr>
            <w:tcW w:w="2498" w:type="dxa"/>
            <w:shd w:val="clear" w:color="000000" w:fill="FFFFFF"/>
            <w:tcMar>
              <w:top w:w="113" w:type="dxa"/>
              <w:bottom w:w="113" w:type="dxa"/>
            </w:tcMar>
            <w:hideMark/>
          </w:tcPr>
          <w:p w:rsidR="009F0179" w:rsidRPr="00A32AF4" w:rsidRDefault="009F0179" w:rsidP="00DC0553">
            <w:pPr>
              <w:keepNext/>
              <w:keepLines/>
              <w:rPr>
                <w:rFonts w:cs="Arial"/>
                <w:sz w:val="16"/>
                <w:szCs w:val="16"/>
              </w:rPr>
            </w:pPr>
            <w:r w:rsidRPr="00A32AF4">
              <w:rPr>
                <w:rFonts w:cs="Arial"/>
                <w:sz w:val="16"/>
                <w:szCs w:val="16"/>
              </w:rPr>
              <w:t>Les projets ERP sont mis en œuvre conformément au plan et dans les limites du budget du portefeuille</w:t>
            </w:r>
          </w:p>
        </w:tc>
        <w:tc>
          <w:tcPr>
            <w:tcW w:w="2420" w:type="dxa"/>
            <w:shd w:val="clear" w:color="000000" w:fill="FFFFFF"/>
            <w:tcMar>
              <w:top w:w="113" w:type="dxa"/>
              <w:bottom w:w="113" w:type="dxa"/>
            </w:tcMar>
            <w:hideMark/>
          </w:tcPr>
          <w:p w:rsidR="009F0179" w:rsidRPr="00A32AF4" w:rsidRDefault="009F0179" w:rsidP="00DC0553">
            <w:pPr>
              <w:keepNext/>
              <w:keepLines/>
              <w:rPr>
                <w:rFonts w:cs="Arial"/>
                <w:sz w:val="16"/>
                <w:szCs w:val="16"/>
              </w:rPr>
            </w:pPr>
            <w:r w:rsidRPr="00A32AF4">
              <w:rPr>
                <w:rFonts w:cs="Arial"/>
                <w:sz w:val="16"/>
                <w:szCs w:val="16"/>
              </w:rPr>
              <w:t>Plan actualisé communiqué aux États membres en 2015.  Budget approuvé par les États membres en 2010</w:t>
            </w:r>
          </w:p>
        </w:tc>
        <w:tc>
          <w:tcPr>
            <w:tcW w:w="2169" w:type="dxa"/>
            <w:shd w:val="clear" w:color="000000" w:fill="FFFFFF"/>
            <w:tcMar>
              <w:top w:w="113" w:type="dxa"/>
              <w:bottom w:w="113" w:type="dxa"/>
            </w:tcMar>
            <w:hideMark/>
          </w:tcPr>
          <w:p w:rsidR="009F0179" w:rsidRPr="00A32AF4" w:rsidRDefault="009F0179" w:rsidP="00DC0553">
            <w:pPr>
              <w:keepNext/>
              <w:keepLines/>
              <w:tabs>
                <w:tab w:val="left" w:pos="218"/>
              </w:tabs>
              <w:rPr>
                <w:rFonts w:cs="Arial"/>
                <w:sz w:val="16"/>
                <w:szCs w:val="16"/>
              </w:rPr>
            </w:pPr>
            <w:r w:rsidRPr="00A32AF4">
              <w:rPr>
                <w:rFonts w:cs="Arial"/>
                <w:sz w:val="16"/>
                <w:szCs w:val="16"/>
              </w:rPr>
              <w:t>Conformément au plan</w:t>
            </w:r>
          </w:p>
        </w:tc>
      </w:tr>
      <w:tr w:rsidR="009F0179" w:rsidRPr="00A32AF4" w:rsidTr="0004221C">
        <w:trPr>
          <w:cantSplit/>
        </w:trPr>
        <w:tc>
          <w:tcPr>
            <w:tcW w:w="2142" w:type="dxa"/>
            <w:shd w:val="clear" w:color="000000" w:fill="FFFFFF"/>
            <w:tcMar>
              <w:top w:w="113" w:type="dxa"/>
              <w:bottom w:w="113" w:type="dxa"/>
            </w:tcMar>
            <w:hideMark/>
          </w:tcPr>
          <w:p w:rsidR="009F0179" w:rsidRPr="00A32AF4" w:rsidRDefault="009F0179" w:rsidP="00DC0553">
            <w:pPr>
              <w:rPr>
                <w:rFonts w:cs="Arial"/>
                <w:sz w:val="16"/>
                <w:szCs w:val="16"/>
              </w:rPr>
            </w:pPr>
            <w:r w:rsidRPr="00A32AF4">
              <w:rPr>
                <w:rFonts w:cs="Arial"/>
                <w:sz w:val="16"/>
                <w:szCs w:val="16"/>
              </w:rPr>
              <w:t>IX.2 Un Secrétariat réactif, fonctionnant harmonieusement et doté de ressources humaines bien gérées et compétentes, à même d</w:t>
            </w:r>
            <w:r w:rsidR="00E2055A" w:rsidRPr="00A32AF4">
              <w:rPr>
                <w:rFonts w:cs="Arial"/>
                <w:sz w:val="16"/>
                <w:szCs w:val="16"/>
              </w:rPr>
              <w:t>’</w:t>
            </w:r>
            <w:r w:rsidRPr="00A32AF4">
              <w:rPr>
                <w:rFonts w:cs="Arial"/>
                <w:sz w:val="16"/>
                <w:szCs w:val="16"/>
              </w:rPr>
              <w:t>obtenir des résultats concrets</w:t>
            </w:r>
          </w:p>
        </w:tc>
        <w:tc>
          <w:tcPr>
            <w:tcW w:w="2498" w:type="dxa"/>
            <w:shd w:val="clear" w:color="000000" w:fill="FFFFFF"/>
            <w:tcMar>
              <w:top w:w="113" w:type="dxa"/>
              <w:bottom w:w="113" w:type="dxa"/>
            </w:tcMar>
            <w:hideMark/>
          </w:tcPr>
          <w:p w:rsidR="009F0179" w:rsidRPr="00A32AF4" w:rsidRDefault="009F0179" w:rsidP="00DC0553">
            <w:pPr>
              <w:rPr>
                <w:rFonts w:cs="Arial"/>
                <w:sz w:val="16"/>
                <w:szCs w:val="16"/>
              </w:rPr>
            </w:pPr>
            <w:r w:rsidRPr="00A32AF4">
              <w:rPr>
                <w:rFonts w:cs="Arial"/>
                <w:sz w:val="16"/>
                <w:szCs w:val="16"/>
              </w:rPr>
              <w:t>Les vérificateurs externes des comptes ont produit un rapport financier satisfaisant, qui confirme que les opérations financières sont conformes aux dispositions des conventions et des traités de l</w:t>
            </w:r>
            <w:r w:rsidR="00E2055A" w:rsidRPr="00A32AF4">
              <w:rPr>
                <w:rFonts w:cs="Arial"/>
                <w:sz w:val="16"/>
                <w:szCs w:val="16"/>
              </w:rPr>
              <w:t>’</w:t>
            </w:r>
            <w:r w:rsidRPr="00A32AF4">
              <w:rPr>
                <w:rFonts w:cs="Arial"/>
                <w:sz w:val="16"/>
                <w:szCs w:val="16"/>
              </w:rPr>
              <w:t>OMPI applicables, au Règlement financier de l</w:t>
            </w:r>
            <w:r w:rsidR="00E2055A" w:rsidRPr="00A32AF4">
              <w:rPr>
                <w:rFonts w:cs="Arial"/>
                <w:sz w:val="16"/>
                <w:szCs w:val="16"/>
              </w:rPr>
              <w:t>’</w:t>
            </w:r>
            <w:r w:rsidRPr="00A32AF4">
              <w:rPr>
                <w:rFonts w:cs="Arial"/>
                <w:sz w:val="16"/>
                <w:szCs w:val="16"/>
              </w:rPr>
              <w:t>OMPI et aux Normes comptables internationales pour le secteur public (IPSAS).</w:t>
            </w:r>
          </w:p>
        </w:tc>
        <w:tc>
          <w:tcPr>
            <w:tcW w:w="2420" w:type="dxa"/>
            <w:shd w:val="clear" w:color="000000" w:fill="FFFFFF"/>
            <w:tcMar>
              <w:top w:w="113" w:type="dxa"/>
              <w:bottom w:w="113" w:type="dxa"/>
            </w:tcMar>
            <w:hideMark/>
          </w:tcPr>
          <w:p w:rsidR="009F0179" w:rsidRPr="00A32AF4" w:rsidRDefault="009F0179" w:rsidP="00DC0553">
            <w:pPr>
              <w:rPr>
                <w:rFonts w:cs="Arial"/>
                <w:sz w:val="16"/>
                <w:szCs w:val="16"/>
              </w:rPr>
            </w:pPr>
            <w:r w:rsidRPr="00A32AF4">
              <w:rPr>
                <w:rFonts w:cs="Arial"/>
                <w:sz w:val="16"/>
                <w:szCs w:val="16"/>
              </w:rPr>
              <w:t>Réception d</w:t>
            </w:r>
            <w:r w:rsidR="00E2055A" w:rsidRPr="00A32AF4">
              <w:rPr>
                <w:rFonts w:cs="Arial"/>
                <w:sz w:val="16"/>
                <w:szCs w:val="16"/>
              </w:rPr>
              <w:t>’</w:t>
            </w:r>
            <w:r w:rsidRPr="00A32AF4">
              <w:rPr>
                <w:rFonts w:cs="Arial"/>
                <w:sz w:val="16"/>
                <w:szCs w:val="16"/>
              </w:rPr>
              <w:t>un rapport d</w:t>
            </w:r>
            <w:r w:rsidR="00E2055A" w:rsidRPr="00A32AF4">
              <w:rPr>
                <w:rFonts w:cs="Arial"/>
                <w:sz w:val="16"/>
                <w:szCs w:val="16"/>
              </w:rPr>
              <w:t>’</w:t>
            </w:r>
            <w:r w:rsidRPr="00A32AF4">
              <w:rPr>
                <w:rFonts w:cs="Arial"/>
                <w:sz w:val="16"/>
                <w:szCs w:val="16"/>
              </w:rPr>
              <w:t>audit favorable pour 2014</w:t>
            </w:r>
            <w:r w:rsidR="00EB7F54" w:rsidRPr="00A32AF4">
              <w:rPr>
                <w:rFonts w:cs="Arial"/>
                <w:sz w:val="16"/>
                <w:szCs w:val="16"/>
              </w:rPr>
              <w:noBreakHyphen/>
            </w:r>
            <w:r w:rsidRPr="00A32AF4">
              <w:rPr>
                <w:rFonts w:cs="Arial"/>
                <w:sz w:val="16"/>
                <w:szCs w:val="16"/>
              </w:rPr>
              <w:t>2015 et réponses apportées à toutes les recommandations de l</w:t>
            </w:r>
            <w:r w:rsidR="00E2055A" w:rsidRPr="00A32AF4">
              <w:rPr>
                <w:rFonts w:cs="Arial"/>
                <w:sz w:val="16"/>
                <w:szCs w:val="16"/>
              </w:rPr>
              <w:t>’</w:t>
            </w:r>
            <w:r w:rsidRPr="00A32AF4">
              <w:rPr>
                <w:rFonts w:cs="Arial"/>
                <w:sz w:val="16"/>
                <w:szCs w:val="16"/>
              </w:rPr>
              <w:t>audit</w:t>
            </w:r>
          </w:p>
        </w:tc>
        <w:tc>
          <w:tcPr>
            <w:tcW w:w="2169" w:type="dxa"/>
            <w:shd w:val="clear" w:color="000000" w:fill="FFFFFF"/>
            <w:tcMar>
              <w:top w:w="113" w:type="dxa"/>
              <w:bottom w:w="113" w:type="dxa"/>
            </w:tcMar>
            <w:hideMark/>
          </w:tcPr>
          <w:p w:rsidR="009F0179" w:rsidRPr="00A32AF4" w:rsidRDefault="009F0179" w:rsidP="00DC0553">
            <w:pPr>
              <w:rPr>
                <w:rFonts w:cs="Arial"/>
                <w:sz w:val="16"/>
                <w:szCs w:val="16"/>
              </w:rPr>
            </w:pPr>
            <w:r w:rsidRPr="00A32AF4">
              <w:rPr>
                <w:rFonts w:cs="Arial"/>
                <w:sz w:val="16"/>
                <w:szCs w:val="16"/>
              </w:rPr>
              <w:t>Rapport d</w:t>
            </w:r>
            <w:r w:rsidR="00E2055A" w:rsidRPr="00A32AF4">
              <w:rPr>
                <w:rFonts w:cs="Arial"/>
                <w:sz w:val="16"/>
                <w:szCs w:val="16"/>
              </w:rPr>
              <w:t>’</w:t>
            </w:r>
            <w:r w:rsidRPr="00A32AF4">
              <w:rPr>
                <w:rFonts w:cs="Arial"/>
                <w:sz w:val="16"/>
                <w:szCs w:val="16"/>
              </w:rPr>
              <w:t>audit favorable pour les deux années de l</w:t>
            </w:r>
            <w:r w:rsidR="00E2055A" w:rsidRPr="00A32AF4">
              <w:rPr>
                <w:rFonts w:cs="Arial"/>
                <w:sz w:val="16"/>
                <w:szCs w:val="16"/>
              </w:rPr>
              <w:t>’</w:t>
            </w:r>
            <w:r w:rsidRPr="00A32AF4">
              <w:rPr>
                <w:rFonts w:cs="Arial"/>
                <w:sz w:val="16"/>
                <w:szCs w:val="16"/>
              </w:rPr>
              <w:t>exercice</w:t>
            </w:r>
          </w:p>
        </w:tc>
      </w:tr>
      <w:tr w:rsidR="009F0179" w:rsidRPr="00A32AF4" w:rsidTr="0004221C">
        <w:trPr>
          <w:cantSplit/>
        </w:trPr>
        <w:tc>
          <w:tcPr>
            <w:tcW w:w="2142" w:type="dxa"/>
            <w:shd w:val="clear" w:color="000000" w:fill="FFFFFF"/>
            <w:tcMar>
              <w:top w:w="113" w:type="dxa"/>
              <w:bottom w:w="113" w:type="dxa"/>
            </w:tcMar>
            <w:hideMark/>
          </w:tcPr>
          <w:p w:rsidR="009F0179" w:rsidRPr="00A32AF4" w:rsidRDefault="009F0179" w:rsidP="00DC0553">
            <w:pPr>
              <w:rPr>
                <w:rFonts w:cs="Arial"/>
                <w:sz w:val="16"/>
                <w:szCs w:val="16"/>
              </w:rPr>
            </w:pPr>
            <w:r w:rsidRPr="00A32AF4">
              <w:rPr>
                <w:rFonts w:cs="Arial"/>
                <w:sz w:val="16"/>
                <w:szCs w:val="16"/>
              </w:rPr>
              <w:t> </w:t>
            </w:r>
          </w:p>
        </w:tc>
        <w:tc>
          <w:tcPr>
            <w:tcW w:w="2498" w:type="dxa"/>
            <w:shd w:val="clear" w:color="000000" w:fill="FFFFFF"/>
            <w:tcMar>
              <w:top w:w="113" w:type="dxa"/>
              <w:bottom w:w="113" w:type="dxa"/>
            </w:tcMar>
            <w:hideMark/>
          </w:tcPr>
          <w:p w:rsidR="009F0179" w:rsidRPr="00A32AF4" w:rsidRDefault="009F0179" w:rsidP="00DC0553">
            <w:pPr>
              <w:rPr>
                <w:rFonts w:cs="Arial"/>
                <w:sz w:val="16"/>
                <w:szCs w:val="16"/>
              </w:rPr>
            </w:pPr>
            <w:r w:rsidRPr="00A32AF4">
              <w:rPr>
                <w:rFonts w:cs="Arial"/>
                <w:sz w:val="16"/>
                <w:szCs w:val="16"/>
              </w:rPr>
              <w:t>Développement accru de la gestion axée sur les résultats</w:t>
            </w:r>
          </w:p>
        </w:tc>
        <w:tc>
          <w:tcPr>
            <w:tcW w:w="2420" w:type="dxa"/>
            <w:shd w:val="clear" w:color="000000" w:fill="FFFFFF"/>
            <w:tcMar>
              <w:top w:w="113" w:type="dxa"/>
              <w:bottom w:w="113" w:type="dxa"/>
            </w:tcMar>
            <w:hideMark/>
          </w:tcPr>
          <w:p w:rsidR="009F0179" w:rsidRPr="00A32AF4" w:rsidRDefault="009F0179" w:rsidP="00DC0553">
            <w:pPr>
              <w:rPr>
                <w:rFonts w:cs="Arial"/>
                <w:sz w:val="16"/>
                <w:szCs w:val="16"/>
              </w:rPr>
            </w:pPr>
            <w:r w:rsidRPr="00A32AF4">
              <w:rPr>
                <w:rFonts w:cs="Arial"/>
                <w:sz w:val="16"/>
                <w:szCs w:val="16"/>
              </w:rPr>
              <w:t>Développement niveau 2</w:t>
            </w:r>
          </w:p>
        </w:tc>
        <w:tc>
          <w:tcPr>
            <w:tcW w:w="2169" w:type="dxa"/>
            <w:shd w:val="clear" w:color="000000" w:fill="FFFFFF"/>
            <w:tcMar>
              <w:top w:w="113" w:type="dxa"/>
              <w:bottom w:w="113" w:type="dxa"/>
            </w:tcMar>
            <w:hideMark/>
          </w:tcPr>
          <w:p w:rsidR="009F0179" w:rsidRPr="00A32AF4" w:rsidRDefault="009F0179" w:rsidP="00DC0553">
            <w:pPr>
              <w:tabs>
                <w:tab w:val="left" w:pos="218"/>
              </w:tabs>
              <w:rPr>
                <w:rFonts w:cs="Arial"/>
                <w:sz w:val="16"/>
                <w:szCs w:val="16"/>
              </w:rPr>
            </w:pPr>
            <w:r w:rsidRPr="00A32AF4">
              <w:rPr>
                <w:rFonts w:cs="Arial"/>
                <w:sz w:val="16"/>
                <w:szCs w:val="16"/>
              </w:rPr>
              <w:t>Développement niveau 3</w:t>
            </w:r>
          </w:p>
        </w:tc>
      </w:tr>
      <w:tr w:rsidR="009F0179" w:rsidRPr="00A32AF4" w:rsidTr="0004221C">
        <w:trPr>
          <w:cantSplit/>
        </w:trPr>
        <w:tc>
          <w:tcPr>
            <w:tcW w:w="2142" w:type="dxa"/>
            <w:shd w:val="clear" w:color="000000" w:fill="FFFFFF"/>
            <w:tcMar>
              <w:top w:w="113" w:type="dxa"/>
              <w:bottom w:w="113" w:type="dxa"/>
            </w:tcMar>
            <w:hideMark/>
          </w:tcPr>
          <w:p w:rsidR="009F0179" w:rsidRPr="00A32AF4" w:rsidRDefault="009F0179" w:rsidP="00DC0553">
            <w:pPr>
              <w:rPr>
                <w:rFonts w:cs="Arial"/>
                <w:sz w:val="16"/>
                <w:szCs w:val="16"/>
              </w:rPr>
            </w:pPr>
            <w:r w:rsidRPr="00A32AF4">
              <w:rPr>
                <w:rFonts w:cs="Arial"/>
                <w:sz w:val="16"/>
                <w:szCs w:val="16"/>
              </w:rPr>
              <w:t> </w:t>
            </w:r>
          </w:p>
        </w:tc>
        <w:tc>
          <w:tcPr>
            <w:tcW w:w="2498" w:type="dxa"/>
            <w:shd w:val="clear" w:color="000000" w:fill="FFFFFF"/>
            <w:tcMar>
              <w:top w:w="113" w:type="dxa"/>
              <w:bottom w:w="113" w:type="dxa"/>
            </w:tcMar>
            <w:hideMark/>
          </w:tcPr>
          <w:p w:rsidR="009F0179" w:rsidRPr="00A32AF4" w:rsidRDefault="009F0179" w:rsidP="00DC0553">
            <w:pPr>
              <w:rPr>
                <w:rFonts w:cs="Arial"/>
                <w:sz w:val="16"/>
                <w:szCs w:val="16"/>
              </w:rPr>
            </w:pPr>
            <w:r w:rsidRPr="00A32AF4">
              <w:rPr>
                <w:rFonts w:cs="Arial"/>
                <w:sz w:val="16"/>
                <w:szCs w:val="16"/>
              </w:rPr>
              <w:t>Retour sur investissements conforme aux critères établis par le Comité consultatif pour l</w:t>
            </w:r>
            <w:r w:rsidR="00E2055A" w:rsidRPr="00A32AF4">
              <w:rPr>
                <w:rFonts w:cs="Arial"/>
                <w:sz w:val="16"/>
                <w:szCs w:val="16"/>
              </w:rPr>
              <w:t>’</w:t>
            </w:r>
            <w:r w:rsidRPr="00A32AF4">
              <w:rPr>
                <w:rFonts w:cs="Arial"/>
                <w:sz w:val="16"/>
                <w:szCs w:val="16"/>
              </w:rPr>
              <w:t>investissement (CCI)</w:t>
            </w:r>
          </w:p>
        </w:tc>
        <w:tc>
          <w:tcPr>
            <w:tcW w:w="2420" w:type="dxa"/>
            <w:shd w:val="clear" w:color="000000" w:fill="FFFFFF"/>
            <w:tcMar>
              <w:top w:w="113" w:type="dxa"/>
              <w:bottom w:w="113" w:type="dxa"/>
            </w:tcMar>
            <w:hideMark/>
          </w:tcPr>
          <w:p w:rsidR="009F0179" w:rsidRPr="00A32AF4" w:rsidRDefault="009F0179" w:rsidP="00DC0553">
            <w:pPr>
              <w:rPr>
                <w:rFonts w:cs="Arial"/>
                <w:sz w:val="16"/>
                <w:szCs w:val="16"/>
              </w:rPr>
            </w:pPr>
            <w:r w:rsidRPr="00A32AF4">
              <w:rPr>
                <w:rFonts w:cs="Arial"/>
                <w:sz w:val="16"/>
                <w:szCs w:val="16"/>
              </w:rPr>
              <w:t>Poursuite des investissements auprès des autorités suisses, conformément aux critères établis par le CCI pour 2014</w:t>
            </w:r>
            <w:r w:rsidR="00EB7F54" w:rsidRPr="00A32AF4">
              <w:rPr>
                <w:rFonts w:cs="Arial"/>
                <w:sz w:val="16"/>
                <w:szCs w:val="16"/>
              </w:rPr>
              <w:noBreakHyphen/>
            </w:r>
            <w:r w:rsidRPr="00A32AF4">
              <w:rPr>
                <w:rFonts w:cs="Arial"/>
                <w:sz w:val="16"/>
                <w:szCs w:val="16"/>
              </w:rPr>
              <w:t>2015</w:t>
            </w:r>
          </w:p>
        </w:tc>
        <w:tc>
          <w:tcPr>
            <w:tcW w:w="2169" w:type="dxa"/>
            <w:shd w:val="clear" w:color="000000" w:fill="FFFFFF"/>
            <w:tcMar>
              <w:top w:w="113" w:type="dxa"/>
              <w:bottom w:w="113" w:type="dxa"/>
            </w:tcMar>
            <w:hideMark/>
          </w:tcPr>
          <w:p w:rsidR="009F0179" w:rsidRPr="00A32AF4" w:rsidRDefault="009F0179" w:rsidP="00DC0553">
            <w:pPr>
              <w:rPr>
                <w:rFonts w:cs="Arial"/>
                <w:sz w:val="16"/>
                <w:szCs w:val="16"/>
              </w:rPr>
            </w:pPr>
            <w:r w:rsidRPr="00A32AF4">
              <w:rPr>
                <w:rFonts w:cs="Arial"/>
                <w:sz w:val="16"/>
                <w:szCs w:val="16"/>
              </w:rPr>
              <w:t>Retour sur investissements conforme aux critères établis par le CCI pour 2016</w:t>
            </w:r>
            <w:r w:rsidR="00EB7F54" w:rsidRPr="00A32AF4">
              <w:rPr>
                <w:rFonts w:cs="Arial"/>
                <w:sz w:val="16"/>
                <w:szCs w:val="16"/>
              </w:rPr>
              <w:noBreakHyphen/>
            </w:r>
            <w:r w:rsidRPr="00A32AF4">
              <w:rPr>
                <w:rFonts w:cs="Arial"/>
                <w:sz w:val="16"/>
                <w:szCs w:val="16"/>
              </w:rPr>
              <w:t>2017</w:t>
            </w:r>
          </w:p>
        </w:tc>
      </w:tr>
      <w:tr w:rsidR="009F0179" w:rsidRPr="00A32AF4" w:rsidTr="0004221C">
        <w:trPr>
          <w:cantSplit/>
        </w:trPr>
        <w:tc>
          <w:tcPr>
            <w:tcW w:w="2142" w:type="dxa"/>
            <w:shd w:val="clear" w:color="000000" w:fill="FFFFFF"/>
            <w:tcMar>
              <w:top w:w="113" w:type="dxa"/>
              <w:bottom w:w="113" w:type="dxa"/>
            </w:tcMar>
            <w:hideMark/>
          </w:tcPr>
          <w:p w:rsidR="009F0179" w:rsidRPr="00A32AF4" w:rsidRDefault="009F0179" w:rsidP="00DC0553">
            <w:pPr>
              <w:rPr>
                <w:rFonts w:cs="Arial"/>
                <w:sz w:val="16"/>
                <w:szCs w:val="16"/>
              </w:rPr>
            </w:pPr>
            <w:r w:rsidRPr="00A32AF4">
              <w:rPr>
                <w:rFonts w:cs="Arial"/>
                <w:sz w:val="16"/>
                <w:szCs w:val="16"/>
              </w:rPr>
              <w:t> </w:t>
            </w:r>
          </w:p>
        </w:tc>
        <w:tc>
          <w:tcPr>
            <w:tcW w:w="2498" w:type="dxa"/>
            <w:shd w:val="clear" w:color="000000" w:fill="FFFFFF"/>
            <w:tcMar>
              <w:top w:w="113" w:type="dxa"/>
              <w:bottom w:w="113" w:type="dxa"/>
            </w:tcMar>
            <w:hideMark/>
          </w:tcPr>
          <w:p w:rsidR="009F0179" w:rsidRPr="00A32AF4" w:rsidRDefault="009F0179" w:rsidP="00DC0553">
            <w:pPr>
              <w:rPr>
                <w:rFonts w:cs="Arial"/>
                <w:sz w:val="16"/>
                <w:szCs w:val="16"/>
              </w:rPr>
            </w:pPr>
            <w:r w:rsidRPr="00A32AF4">
              <w:rPr>
                <w:rFonts w:cs="Arial"/>
                <w:sz w:val="16"/>
                <w:szCs w:val="16"/>
              </w:rPr>
              <w:t>Gestion efficace des dépenses et des réserves</w:t>
            </w:r>
          </w:p>
        </w:tc>
        <w:tc>
          <w:tcPr>
            <w:tcW w:w="2420" w:type="dxa"/>
            <w:shd w:val="clear" w:color="000000" w:fill="FFFFFF"/>
            <w:tcMar>
              <w:top w:w="113" w:type="dxa"/>
              <w:bottom w:w="113" w:type="dxa"/>
            </w:tcMar>
            <w:hideMark/>
          </w:tcPr>
          <w:p w:rsidR="009F0179" w:rsidRPr="00A32AF4" w:rsidRDefault="009F0179" w:rsidP="00DC0553">
            <w:pPr>
              <w:rPr>
                <w:rFonts w:cs="Arial"/>
                <w:sz w:val="16"/>
                <w:szCs w:val="16"/>
              </w:rPr>
            </w:pPr>
            <w:r w:rsidRPr="00A32AF4">
              <w:rPr>
                <w:rFonts w:cs="Arial"/>
                <w:sz w:val="16"/>
                <w:szCs w:val="16"/>
              </w:rPr>
              <w:t>Aperçu des dépenses pour 2014</w:t>
            </w:r>
            <w:r w:rsidR="00EB7F54" w:rsidRPr="00A32AF4">
              <w:rPr>
                <w:rFonts w:cs="Arial"/>
                <w:sz w:val="16"/>
                <w:szCs w:val="16"/>
              </w:rPr>
              <w:noBreakHyphen/>
            </w:r>
            <w:r w:rsidRPr="00A32AF4">
              <w:rPr>
                <w:rFonts w:cs="Arial"/>
                <w:sz w:val="16"/>
                <w:szCs w:val="16"/>
              </w:rPr>
              <w:t>2015 (dépenses budgétaires avant les ajustements relatifs à l</w:t>
            </w:r>
            <w:r w:rsidR="00E2055A" w:rsidRPr="00A32AF4">
              <w:rPr>
                <w:rFonts w:cs="Arial"/>
                <w:sz w:val="16"/>
                <w:szCs w:val="16"/>
              </w:rPr>
              <w:t>’</w:t>
            </w:r>
            <w:r w:rsidRPr="00A32AF4">
              <w:rPr>
                <w:rFonts w:cs="Arial"/>
                <w:sz w:val="16"/>
                <w:szCs w:val="16"/>
              </w:rPr>
              <w:t>application des normes IPSAS) : 659,9 millions de francs suisses (en avril 2015)</w:t>
            </w:r>
          </w:p>
        </w:tc>
        <w:tc>
          <w:tcPr>
            <w:tcW w:w="2169" w:type="dxa"/>
            <w:shd w:val="clear" w:color="000000" w:fill="FFFFFF"/>
            <w:tcMar>
              <w:top w:w="113" w:type="dxa"/>
              <w:bottom w:w="113" w:type="dxa"/>
            </w:tcMar>
            <w:hideMark/>
          </w:tcPr>
          <w:p w:rsidR="009F0179" w:rsidRPr="00A32AF4" w:rsidRDefault="009F0179" w:rsidP="00DC0553">
            <w:pPr>
              <w:rPr>
                <w:rFonts w:cs="Arial"/>
                <w:sz w:val="16"/>
                <w:szCs w:val="16"/>
              </w:rPr>
            </w:pPr>
            <w:r w:rsidRPr="00A32AF4">
              <w:rPr>
                <w:rFonts w:cs="Arial"/>
                <w:sz w:val="16"/>
                <w:szCs w:val="16"/>
              </w:rPr>
              <w:t>Dépenses gérées dans le cadre de l</w:t>
            </w:r>
            <w:r w:rsidR="00E2055A" w:rsidRPr="00A32AF4">
              <w:rPr>
                <w:rFonts w:cs="Arial"/>
                <w:sz w:val="16"/>
                <w:szCs w:val="16"/>
              </w:rPr>
              <w:t>’</w:t>
            </w:r>
            <w:r w:rsidRPr="00A32AF4">
              <w:rPr>
                <w:rFonts w:cs="Arial"/>
                <w:sz w:val="16"/>
                <w:szCs w:val="16"/>
              </w:rPr>
              <w:t>enveloppe budgétaire globale mais ne devant pas excéder le montant des recettes (dans le cas où les prévisions indiqueraient exceptionnellement une chute des recettes en dessous des niveaux de dépenses prévus)</w:t>
            </w:r>
          </w:p>
        </w:tc>
      </w:tr>
      <w:tr w:rsidR="009F0179" w:rsidRPr="00A32AF4" w:rsidTr="0004221C">
        <w:trPr>
          <w:cantSplit/>
        </w:trPr>
        <w:tc>
          <w:tcPr>
            <w:tcW w:w="2142" w:type="dxa"/>
            <w:shd w:val="clear" w:color="000000" w:fill="FFFFFF"/>
            <w:tcMar>
              <w:top w:w="113" w:type="dxa"/>
              <w:bottom w:w="113" w:type="dxa"/>
            </w:tcMar>
            <w:hideMark/>
          </w:tcPr>
          <w:p w:rsidR="009F0179" w:rsidRPr="00A32AF4" w:rsidRDefault="009F0179" w:rsidP="00DC0553">
            <w:pPr>
              <w:rPr>
                <w:rFonts w:cs="Arial"/>
                <w:sz w:val="16"/>
                <w:szCs w:val="16"/>
              </w:rPr>
            </w:pPr>
            <w:r w:rsidRPr="00A32AF4">
              <w:rPr>
                <w:rFonts w:cs="Arial"/>
                <w:sz w:val="16"/>
                <w:szCs w:val="16"/>
              </w:rPr>
              <w:t> </w:t>
            </w:r>
          </w:p>
        </w:tc>
        <w:tc>
          <w:tcPr>
            <w:tcW w:w="2498" w:type="dxa"/>
            <w:shd w:val="clear" w:color="000000" w:fill="FFFFFF"/>
            <w:tcMar>
              <w:top w:w="113" w:type="dxa"/>
              <w:bottom w:w="113" w:type="dxa"/>
            </w:tcMar>
            <w:hideMark/>
          </w:tcPr>
          <w:p w:rsidR="009F0179" w:rsidRPr="00A32AF4" w:rsidRDefault="009F0179" w:rsidP="00DC0553">
            <w:pPr>
              <w:rPr>
                <w:rFonts w:cs="Arial"/>
                <w:sz w:val="16"/>
                <w:szCs w:val="16"/>
              </w:rPr>
            </w:pPr>
            <w:r w:rsidRPr="00A32AF4">
              <w:rPr>
                <w:rFonts w:cs="Arial"/>
                <w:sz w:val="16"/>
                <w:szCs w:val="16"/>
              </w:rPr>
              <w:t>Paiements (</w:t>
            </w:r>
            <w:r w:rsidR="00E2055A" w:rsidRPr="00A32AF4">
              <w:rPr>
                <w:rFonts w:cs="Arial"/>
                <w:sz w:val="16"/>
                <w:szCs w:val="16"/>
              </w:rPr>
              <w:t>y compris</w:t>
            </w:r>
            <w:r w:rsidRPr="00A32AF4">
              <w:rPr>
                <w:rFonts w:cs="Arial"/>
                <w:sz w:val="16"/>
                <w:szCs w:val="16"/>
              </w:rPr>
              <w:t xml:space="preserve"> taxes perçues au titre des services fournis dans le cadre des systèmes de Madrid et de </w:t>
            </w:r>
            <w:r w:rsidR="00E2055A" w:rsidRPr="00A32AF4">
              <w:rPr>
                <w:rFonts w:cs="Arial"/>
                <w:sz w:val="16"/>
                <w:szCs w:val="16"/>
              </w:rPr>
              <w:t>La Haye</w:t>
            </w:r>
            <w:r w:rsidRPr="00A32AF4">
              <w:rPr>
                <w:rFonts w:cs="Arial"/>
                <w:sz w:val="16"/>
                <w:szCs w:val="16"/>
              </w:rPr>
              <w:t>) effectués à temps</w:t>
            </w:r>
          </w:p>
        </w:tc>
        <w:tc>
          <w:tcPr>
            <w:tcW w:w="2420" w:type="dxa"/>
            <w:shd w:val="clear" w:color="000000" w:fill="FFFFFF"/>
            <w:tcMar>
              <w:top w:w="113" w:type="dxa"/>
              <w:bottom w:w="113" w:type="dxa"/>
            </w:tcMar>
            <w:hideMark/>
          </w:tcPr>
          <w:p w:rsidR="009F0179" w:rsidRPr="00A32AF4" w:rsidRDefault="009F0179" w:rsidP="00DC0553">
            <w:pPr>
              <w:rPr>
                <w:rFonts w:cs="Arial"/>
                <w:sz w:val="16"/>
                <w:szCs w:val="16"/>
              </w:rPr>
            </w:pPr>
            <w:r w:rsidRPr="00A32AF4">
              <w:rPr>
                <w:rFonts w:cs="Arial"/>
                <w:sz w:val="16"/>
                <w:szCs w:val="16"/>
              </w:rPr>
              <w:t>90% des paiements effectués avant l</w:t>
            </w:r>
            <w:r w:rsidR="00E2055A" w:rsidRPr="00A32AF4">
              <w:rPr>
                <w:rFonts w:cs="Arial"/>
                <w:sz w:val="16"/>
                <w:szCs w:val="16"/>
              </w:rPr>
              <w:t>’</w:t>
            </w:r>
            <w:r w:rsidRPr="00A32AF4">
              <w:rPr>
                <w:rFonts w:cs="Arial"/>
                <w:sz w:val="16"/>
                <w:szCs w:val="16"/>
              </w:rPr>
              <w:t>expiration du délai de sept jours ou à la date de réception de la facture (en cas de réception tardive) en cas d</w:t>
            </w:r>
            <w:r w:rsidR="00E2055A" w:rsidRPr="00A32AF4">
              <w:rPr>
                <w:rFonts w:cs="Arial"/>
                <w:sz w:val="16"/>
                <w:szCs w:val="16"/>
              </w:rPr>
              <w:t>’</w:t>
            </w:r>
            <w:r w:rsidRPr="00A32AF4">
              <w:rPr>
                <w:rFonts w:cs="Arial"/>
                <w:sz w:val="16"/>
                <w:szCs w:val="16"/>
              </w:rPr>
              <w:t>absence d</w:t>
            </w:r>
            <w:r w:rsidR="00E2055A" w:rsidRPr="00A32AF4">
              <w:rPr>
                <w:rFonts w:cs="Arial"/>
                <w:sz w:val="16"/>
                <w:szCs w:val="16"/>
              </w:rPr>
              <w:t>’</w:t>
            </w:r>
            <w:r w:rsidRPr="00A32AF4">
              <w:rPr>
                <w:rFonts w:cs="Arial"/>
                <w:sz w:val="16"/>
                <w:szCs w:val="16"/>
              </w:rPr>
              <w:t>autres problèmes de flux de travail (non</w:t>
            </w:r>
            <w:r w:rsidR="00EB7F54" w:rsidRPr="00A32AF4">
              <w:rPr>
                <w:rFonts w:cs="Arial"/>
                <w:sz w:val="16"/>
                <w:szCs w:val="16"/>
              </w:rPr>
              <w:noBreakHyphen/>
            </w:r>
            <w:r w:rsidRPr="00A32AF4">
              <w:rPr>
                <w:rFonts w:cs="Arial"/>
                <w:sz w:val="16"/>
                <w:szCs w:val="16"/>
              </w:rPr>
              <w:t>expédition du bon de commande, etc.)</w:t>
            </w:r>
          </w:p>
        </w:tc>
        <w:tc>
          <w:tcPr>
            <w:tcW w:w="2169" w:type="dxa"/>
            <w:shd w:val="clear" w:color="000000" w:fill="FFFFFF"/>
            <w:tcMar>
              <w:top w:w="113" w:type="dxa"/>
              <w:bottom w:w="113" w:type="dxa"/>
            </w:tcMar>
            <w:hideMark/>
          </w:tcPr>
          <w:p w:rsidR="009F0179" w:rsidRPr="00A32AF4" w:rsidRDefault="009F0179" w:rsidP="00DC0553">
            <w:pPr>
              <w:rPr>
                <w:rFonts w:cs="Arial"/>
                <w:sz w:val="16"/>
                <w:szCs w:val="16"/>
              </w:rPr>
            </w:pPr>
            <w:r w:rsidRPr="00A32AF4">
              <w:rPr>
                <w:rFonts w:cs="Arial"/>
                <w:sz w:val="16"/>
                <w:szCs w:val="16"/>
              </w:rPr>
              <w:t>90% des paiements à effectuer dans les deux</w:t>
            </w:r>
            <w:r w:rsidR="00EB7F54" w:rsidRPr="00A32AF4">
              <w:rPr>
                <w:rFonts w:cs="Arial"/>
                <w:sz w:val="16"/>
                <w:szCs w:val="16"/>
              </w:rPr>
              <w:noBreakHyphen/>
            </w:r>
            <w:r w:rsidRPr="00A32AF4">
              <w:rPr>
                <w:rFonts w:cs="Arial"/>
                <w:sz w:val="16"/>
                <w:szCs w:val="16"/>
              </w:rPr>
              <w:t>trois jours à compter de la date de réception de la facture</w:t>
            </w:r>
          </w:p>
        </w:tc>
      </w:tr>
      <w:tr w:rsidR="009F0179" w:rsidRPr="00A32AF4" w:rsidTr="0004221C">
        <w:trPr>
          <w:cantSplit/>
        </w:trPr>
        <w:tc>
          <w:tcPr>
            <w:tcW w:w="2142" w:type="dxa"/>
            <w:shd w:val="clear" w:color="000000" w:fill="FFFFFF"/>
            <w:tcMar>
              <w:top w:w="113" w:type="dxa"/>
              <w:bottom w:w="113" w:type="dxa"/>
            </w:tcMar>
            <w:hideMark/>
          </w:tcPr>
          <w:p w:rsidR="009F0179" w:rsidRPr="00A32AF4" w:rsidRDefault="009F0179" w:rsidP="00DC0553">
            <w:pPr>
              <w:rPr>
                <w:rFonts w:cs="Arial"/>
                <w:sz w:val="16"/>
                <w:szCs w:val="16"/>
              </w:rPr>
            </w:pPr>
            <w:r w:rsidRPr="00A32AF4">
              <w:rPr>
                <w:rFonts w:cs="Arial"/>
                <w:sz w:val="16"/>
                <w:szCs w:val="16"/>
              </w:rPr>
              <w:t>IX.3 Un environnement de travail stimulant étayé par un cadre réglementaire efficace et des voies appropriées pour répondre aux préoccupations du personnel</w:t>
            </w:r>
          </w:p>
        </w:tc>
        <w:tc>
          <w:tcPr>
            <w:tcW w:w="2498" w:type="dxa"/>
            <w:shd w:val="clear" w:color="000000" w:fill="FFFFFF"/>
            <w:tcMar>
              <w:top w:w="113" w:type="dxa"/>
              <w:bottom w:w="113" w:type="dxa"/>
            </w:tcMar>
            <w:hideMark/>
          </w:tcPr>
          <w:p w:rsidR="009F0179" w:rsidRPr="00A32AF4" w:rsidRDefault="009F0179" w:rsidP="00DC0553">
            <w:pPr>
              <w:rPr>
                <w:rFonts w:cs="Arial"/>
                <w:sz w:val="16"/>
                <w:szCs w:val="16"/>
              </w:rPr>
            </w:pPr>
            <w:r w:rsidRPr="00A32AF4">
              <w:rPr>
                <w:rFonts w:cs="Arial"/>
                <w:sz w:val="16"/>
                <w:szCs w:val="16"/>
              </w:rPr>
              <w:t>Règlement financier et ses règlements d</w:t>
            </w:r>
            <w:r w:rsidR="00E2055A" w:rsidRPr="00A32AF4">
              <w:rPr>
                <w:rFonts w:cs="Arial"/>
                <w:sz w:val="16"/>
                <w:szCs w:val="16"/>
              </w:rPr>
              <w:t>’</w:t>
            </w:r>
            <w:r w:rsidRPr="00A32AF4">
              <w:rPr>
                <w:rFonts w:cs="Arial"/>
                <w:sz w:val="16"/>
                <w:szCs w:val="16"/>
              </w:rPr>
              <w:t>exécution et ordres de service correspondants à jour</w:t>
            </w:r>
          </w:p>
        </w:tc>
        <w:tc>
          <w:tcPr>
            <w:tcW w:w="2420" w:type="dxa"/>
            <w:shd w:val="clear" w:color="000000" w:fill="FFFFFF"/>
            <w:tcMar>
              <w:top w:w="113" w:type="dxa"/>
              <w:bottom w:w="113" w:type="dxa"/>
            </w:tcMar>
            <w:hideMark/>
          </w:tcPr>
          <w:p w:rsidR="009F0179" w:rsidRPr="00A32AF4" w:rsidRDefault="009F0179" w:rsidP="00DC0553">
            <w:pPr>
              <w:rPr>
                <w:rFonts w:cs="Arial"/>
                <w:sz w:val="16"/>
                <w:szCs w:val="16"/>
              </w:rPr>
            </w:pPr>
            <w:r w:rsidRPr="00A32AF4">
              <w:rPr>
                <w:rFonts w:cs="Arial"/>
                <w:sz w:val="16"/>
                <w:szCs w:val="16"/>
              </w:rPr>
              <w:t xml:space="preserve">Ordres de service émis en 2014 et 2015. </w:t>
            </w:r>
            <w:r w:rsidRPr="00A32AF4">
              <w:rPr>
                <w:sz w:val="16"/>
              </w:rPr>
              <w:t xml:space="preserve"> </w:t>
            </w:r>
            <w:r w:rsidRPr="00A32AF4">
              <w:rPr>
                <w:rFonts w:cs="Arial"/>
                <w:sz w:val="16"/>
                <w:szCs w:val="16"/>
              </w:rPr>
              <w:t>Règlement financier et ses règlements d</w:t>
            </w:r>
            <w:r w:rsidR="00E2055A" w:rsidRPr="00A32AF4">
              <w:rPr>
                <w:rFonts w:cs="Arial"/>
                <w:sz w:val="16"/>
                <w:szCs w:val="16"/>
              </w:rPr>
              <w:t>’</w:t>
            </w:r>
            <w:r w:rsidRPr="00A32AF4">
              <w:rPr>
                <w:rFonts w:cs="Arial"/>
                <w:sz w:val="16"/>
                <w:szCs w:val="16"/>
              </w:rPr>
              <w:t xml:space="preserve">exécution modifiés en 2014 si nécessaire </w:t>
            </w:r>
          </w:p>
        </w:tc>
        <w:tc>
          <w:tcPr>
            <w:tcW w:w="2169" w:type="dxa"/>
            <w:shd w:val="clear" w:color="000000" w:fill="FFFFFF"/>
            <w:tcMar>
              <w:top w:w="113" w:type="dxa"/>
              <w:bottom w:w="113" w:type="dxa"/>
            </w:tcMar>
            <w:hideMark/>
          </w:tcPr>
          <w:p w:rsidR="009F0179" w:rsidRPr="00A32AF4" w:rsidRDefault="009F0179" w:rsidP="00DC0553">
            <w:pPr>
              <w:rPr>
                <w:rFonts w:cs="Arial"/>
                <w:sz w:val="16"/>
                <w:szCs w:val="16"/>
              </w:rPr>
            </w:pPr>
            <w:r w:rsidRPr="00A32AF4">
              <w:rPr>
                <w:rFonts w:cs="Arial"/>
                <w:sz w:val="16"/>
                <w:szCs w:val="16"/>
              </w:rPr>
              <w:t>Examen et révision du cadre réglementaire le cas échéant</w:t>
            </w:r>
          </w:p>
        </w:tc>
      </w:tr>
      <w:tr w:rsidR="009F0179" w:rsidRPr="00A32AF4" w:rsidTr="0004221C">
        <w:trPr>
          <w:cantSplit/>
        </w:trPr>
        <w:tc>
          <w:tcPr>
            <w:tcW w:w="2142" w:type="dxa"/>
            <w:shd w:val="clear" w:color="000000" w:fill="FFFFFF"/>
            <w:tcMar>
              <w:top w:w="113" w:type="dxa"/>
              <w:bottom w:w="113" w:type="dxa"/>
            </w:tcMar>
            <w:hideMark/>
          </w:tcPr>
          <w:p w:rsidR="009F0179" w:rsidRPr="00A32AF4" w:rsidRDefault="009F0179" w:rsidP="00DC0553">
            <w:pPr>
              <w:rPr>
                <w:rFonts w:cs="Arial"/>
                <w:color w:val="000000"/>
                <w:sz w:val="16"/>
                <w:szCs w:val="16"/>
              </w:rPr>
            </w:pPr>
            <w:r w:rsidRPr="00A32AF4">
              <w:rPr>
                <w:rFonts w:cs="Arial"/>
                <w:color w:val="000000"/>
                <w:sz w:val="16"/>
                <w:szCs w:val="16"/>
              </w:rPr>
              <w:t> </w:t>
            </w:r>
          </w:p>
        </w:tc>
        <w:tc>
          <w:tcPr>
            <w:tcW w:w="2498" w:type="dxa"/>
            <w:shd w:val="clear" w:color="000000" w:fill="FFFFFF"/>
            <w:tcMar>
              <w:top w:w="113" w:type="dxa"/>
              <w:bottom w:w="113" w:type="dxa"/>
            </w:tcMar>
            <w:hideMark/>
          </w:tcPr>
          <w:p w:rsidR="009F0179" w:rsidRPr="00A32AF4" w:rsidRDefault="009F0179" w:rsidP="00DC0553">
            <w:pPr>
              <w:rPr>
                <w:rFonts w:cs="Arial"/>
                <w:color w:val="000000"/>
                <w:sz w:val="16"/>
                <w:szCs w:val="16"/>
              </w:rPr>
            </w:pPr>
            <w:r w:rsidRPr="00A32AF4">
              <w:rPr>
                <w:rFonts w:cs="Arial"/>
                <w:color w:val="000000"/>
                <w:sz w:val="16"/>
                <w:szCs w:val="16"/>
              </w:rPr>
              <w:t>Gestion des risques et contrôles internes plus élaborés, conformément à la feuille de route</w:t>
            </w:r>
          </w:p>
        </w:tc>
        <w:tc>
          <w:tcPr>
            <w:tcW w:w="2420" w:type="dxa"/>
            <w:shd w:val="clear" w:color="000000" w:fill="FFFFFF"/>
            <w:tcMar>
              <w:top w:w="113" w:type="dxa"/>
              <w:bottom w:w="113" w:type="dxa"/>
            </w:tcMar>
            <w:hideMark/>
          </w:tcPr>
          <w:p w:rsidR="009F0179" w:rsidRPr="00A32AF4" w:rsidRDefault="009F0179" w:rsidP="00DC0553">
            <w:pPr>
              <w:rPr>
                <w:rFonts w:cs="Arial"/>
                <w:color w:val="000000"/>
                <w:sz w:val="16"/>
                <w:szCs w:val="16"/>
              </w:rPr>
            </w:pPr>
            <w:r w:rsidRPr="00A32AF4">
              <w:rPr>
                <w:rFonts w:cs="Arial"/>
                <w:color w:val="000000"/>
                <w:sz w:val="16"/>
                <w:szCs w:val="16"/>
              </w:rPr>
              <w:t xml:space="preserve">Progression de 75% par rapport à la feuille de route sur la gestion des </w:t>
            </w:r>
            <w:proofErr w:type="gramStart"/>
            <w:r w:rsidRPr="00A32AF4">
              <w:rPr>
                <w:rFonts w:cs="Arial"/>
                <w:color w:val="000000"/>
                <w:sz w:val="16"/>
                <w:szCs w:val="16"/>
              </w:rPr>
              <w:t>risques;</w:t>
            </w:r>
            <w:proofErr w:type="gramEnd"/>
            <w:r w:rsidRPr="00A32AF4">
              <w:rPr>
                <w:rFonts w:cs="Arial"/>
                <w:color w:val="000000"/>
                <w:sz w:val="16"/>
                <w:szCs w:val="16"/>
              </w:rPr>
              <w:t xml:space="preserve">  progression de 25% par rapport à la feuille de route sur les contrôles internes</w:t>
            </w:r>
          </w:p>
        </w:tc>
        <w:tc>
          <w:tcPr>
            <w:tcW w:w="2169" w:type="dxa"/>
            <w:shd w:val="clear" w:color="000000" w:fill="FFFFFF"/>
            <w:tcMar>
              <w:top w:w="113" w:type="dxa"/>
              <w:bottom w:w="113" w:type="dxa"/>
            </w:tcMar>
            <w:hideMark/>
          </w:tcPr>
          <w:p w:rsidR="009F0179" w:rsidRPr="00A32AF4" w:rsidRDefault="009F0179" w:rsidP="00DC0553">
            <w:pPr>
              <w:rPr>
                <w:rFonts w:cs="Arial"/>
                <w:color w:val="000000"/>
                <w:sz w:val="16"/>
                <w:szCs w:val="16"/>
              </w:rPr>
            </w:pPr>
            <w:r w:rsidRPr="00A32AF4">
              <w:rPr>
                <w:rFonts w:cs="Arial"/>
                <w:sz w:val="16"/>
                <w:szCs w:val="16"/>
              </w:rPr>
              <w:t xml:space="preserve">Progression de 100% par rapport à la feuille de route sur la gestion des </w:t>
            </w:r>
            <w:proofErr w:type="gramStart"/>
            <w:r w:rsidRPr="00A32AF4">
              <w:rPr>
                <w:rFonts w:cs="Arial"/>
                <w:sz w:val="16"/>
                <w:szCs w:val="16"/>
              </w:rPr>
              <w:t>risques;</w:t>
            </w:r>
            <w:proofErr w:type="gramEnd"/>
            <w:r w:rsidRPr="00A32AF4">
              <w:rPr>
                <w:rFonts w:cs="Arial"/>
                <w:sz w:val="16"/>
                <w:szCs w:val="16"/>
              </w:rPr>
              <w:t xml:space="preserve">  progression de 80% par rapport à la feuille de route sur les contrôles internes</w:t>
            </w:r>
          </w:p>
        </w:tc>
      </w:tr>
      <w:tr w:rsidR="0004221C" w:rsidRPr="00A32AF4" w:rsidTr="0004221C">
        <w:trPr>
          <w:cantSplit/>
        </w:trPr>
        <w:tc>
          <w:tcPr>
            <w:tcW w:w="2142" w:type="dxa"/>
            <w:shd w:val="clear" w:color="000000" w:fill="FFFFFF"/>
            <w:tcMar>
              <w:top w:w="113" w:type="dxa"/>
              <w:bottom w:w="113" w:type="dxa"/>
            </w:tcMar>
            <w:hideMark/>
          </w:tcPr>
          <w:p w:rsidR="009F0179" w:rsidRPr="00A32AF4" w:rsidRDefault="009F0179" w:rsidP="00DC0553">
            <w:pPr>
              <w:rPr>
                <w:rFonts w:cs="Arial"/>
                <w:sz w:val="16"/>
                <w:szCs w:val="16"/>
              </w:rPr>
            </w:pPr>
            <w:r w:rsidRPr="00A32AF4">
              <w:rPr>
                <w:rFonts w:cs="Arial"/>
                <w:sz w:val="16"/>
                <w:szCs w:val="16"/>
              </w:rPr>
              <w:t> </w:t>
            </w:r>
          </w:p>
        </w:tc>
        <w:tc>
          <w:tcPr>
            <w:tcW w:w="2498" w:type="dxa"/>
            <w:shd w:val="clear" w:color="000000" w:fill="FFFFFF"/>
            <w:tcMar>
              <w:top w:w="113" w:type="dxa"/>
              <w:bottom w:w="113" w:type="dxa"/>
            </w:tcMar>
            <w:hideMark/>
          </w:tcPr>
          <w:p w:rsidR="009F0179" w:rsidRPr="00A32AF4" w:rsidRDefault="009F0179" w:rsidP="00DC0553">
            <w:pPr>
              <w:rPr>
                <w:rFonts w:cs="Arial"/>
                <w:sz w:val="16"/>
                <w:szCs w:val="16"/>
              </w:rPr>
            </w:pPr>
            <w:r w:rsidRPr="00A32AF4">
              <w:rPr>
                <w:rFonts w:cs="Arial"/>
                <w:sz w:val="16"/>
                <w:szCs w:val="16"/>
              </w:rPr>
              <w:t xml:space="preserve">Suivi efficace des recommandations de supervision </w:t>
            </w:r>
          </w:p>
        </w:tc>
        <w:tc>
          <w:tcPr>
            <w:tcW w:w="2420" w:type="dxa"/>
            <w:shd w:val="clear" w:color="000000" w:fill="FFFFFF"/>
            <w:tcMar>
              <w:top w:w="113" w:type="dxa"/>
              <w:bottom w:w="113" w:type="dxa"/>
            </w:tcMar>
            <w:hideMark/>
          </w:tcPr>
          <w:p w:rsidR="009F0179" w:rsidRPr="00A32AF4" w:rsidRDefault="009F0179" w:rsidP="00DC0553">
            <w:pPr>
              <w:rPr>
                <w:rFonts w:cs="Arial"/>
                <w:sz w:val="16"/>
                <w:szCs w:val="16"/>
              </w:rPr>
            </w:pPr>
            <w:r w:rsidRPr="00A32AF4">
              <w:rPr>
                <w:rFonts w:cs="Arial"/>
                <w:sz w:val="16"/>
                <w:szCs w:val="16"/>
              </w:rPr>
              <w:t>Vérificateur externe des comptes : 47% des recommandations en suspens fin 2013 ont été classées en 2014 (toute l</w:t>
            </w:r>
            <w:r w:rsidR="00E2055A" w:rsidRPr="00A32AF4">
              <w:rPr>
                <w:rFonts w:cs="Arial"/>
                <w:sz w:val="16"/>
                <w:szCs w:val="16"/>
              </w:rPr>
              <w:t>’</w:t>
            </w:r>
            <w:r w:rsidRPr="00A32AF4">
              <w:rPr>
                <w:rFonts w:cs="Arial"/>
                <w:sz w:val="16"/>
                <w:szCs w:val="16"/>
              </w:rPr>
              <w:t xml:space="preserve">Organisation) </w:t>
            </w:r>
            <w:r w:rsidRPr="00A32AF4">
              <w:rPr>
                <w:rFonts w:cs="Arial"/>
                <w:sz w:val="16"/>
                <w:szCs w:val="16"/>
              </w:rPr>
              <w:br/>
              <w:t>Division de la supervision interne IOD = 64% des recommandations en suspens fin 2013 ont été classées en 2014 (programme 22</w:t>
            </w:r>
            <w:proofErr w:type="gramStart"/>
            <w:r w:rsidRPr="00A32AF4">
              <w:rPr>
                <w:rFonts w:cs="Arial"/>
                <w:sz w:val="16"/>
                <w:szCs w:val="16"/>
              </w:rPr>
              <w:t>)</w:t>
            </w:r>
            <w:proofErr w:type="gramEnd"/>
            <w:r w:rsidRPr="00A32AF4">
              <w:rPr>
                <w:rFonts w:cs="Arial"/>
                <w:sz w:val="16"/>
                <w:szCs w:val="16"/>
              </w:rPr>
              <w:br/>
              <w:t>CCI = 61% des recommandations en suspens fin 2013 (début en 2010) ont été classées en 2014</w:t>
            </w:r>
          </w:p>
        </w:tc>
        <w:tc>
          <w:tcPr>
            <w:tcW w:w="2169" w:type="dxa"/>
            <w:shd w:val="clear" w:color="000000" w:fill="FFFFFF"/>
            <w:tcMar>
              <w:top w:w="113" w:type="dxa"/>
              <w:bottom w:w="113" w:type="dxa"/>
            </w:tcMar>
            <w:hideMark/>
          </w:tcPr>
          <w:p w:rsidR="009F0179" w:rsidRPr="00A32AF4" w:rsidRDefault="009F0179" w:rsidP="00DC0553">
            <w:pPr>
              <w:rPr>
                <w:rFonts w:cs="Arial"/>
                <w:sz w:val="16"/>
                <w:szCs w:val="16"/>
              </w:rPr>
            </w:pPr>
            <w:r w:rsidRPr="00A32AF4">
              <w:rPr>
                <w:rFonts w:cs="Arial"/>
                <w:sz w:val="16"/>
                <w:szCs w:val="16"/>
              </w:rPr>
              <w:t>Vérificateur externe des comptes = 55% des recommandations en suspens fin 2015 classées en 2016</w:t>
            </w:r>
            <w:r w:rsidR="00EB7F54" w:rsidRPr="00A32AF4">
              <w:rPr>
                <w:rFonts w:cs="Arial"/>
                <w:sz w:val="16"/>
                <w:szCs w:val="16"/>
              </w:rPr>
              <w:noBreakHyphen/>
            </w:r>
            <w:r w:rsidRPr="00A32AF4">
              <w:rPr>
                <w:rFonts w:cs="Arial"/>
                <w:sz w:val="16"/>
                <w:szCs w:val="16"/>
              </w:rPr>
              <w:t>2017</w:t>
            </w:r>
            <w:r w:rsidRPr="00A32AF4">
              <w:rPr>
                <w:rFonts w:cs="Arial"/>
                <w:sz w:val="16"/>
                <w:szCs w:val="16"/>
              </w:rPr>
              <w:br/>
              <w:t>Division de la supervision interne = 70% des recommandations en suspens fin 2015 classées en 2016</w:t>
            </w:r>
            <w:r w:rsidR="00EB7F54" w:rsidRPr="00A32AF4">
              <w:rPr>
                <w:rFonts w:cs="Arial"/>
                <w:sz w:val="16"/>
                <w:szCs w:val="16"/>
              </w:rPr>
              <w:noBreakHyphen/>
            </w:r>
            <w:r w:rsidRPr="00A32AF4">
              <w:rPr>
                <w:rFonts w:cs="Arial"/>
                <w:sz w:val="16"/>
                <w:szCs w:val="16"/>
              </w:rPr>
              <w:t>2017</w:t>
            </w:r>
            <w:r w:rsidRPr="00A32AF4">
              <w:rPr>
                <w:rFonts w:cs="Arial"/>
                <w:sz w:val="16"/>
                <w:szCs w:val="16"/>
              </w:rPr>
              <w:br/>
              <w:t>CCI = 70% des recommandations en suspens fin 2015 (début en 2010) classées en 2016</w:t>
            </w:r>
            <w:r w:rsidR="00EB7F54" w:rsidRPr="00A32AF4">
              <w:rPr>
                <w:rFonts w:cs="Arial"/>
                <w:sz w:val="16"/>
                <w:szCs w:val="16"/>
              </w:rPr>
              <w:noBreakHyphen/>
            </w:r>
            <w:r w:rsidRPr="00A32AF4">
              <w:rPr>
                <w:rFonts w:cs="Arial"/>
                <w:sz w:val="16"/>
                <w:szCs w:val="16"/>
              </w:rPr>
              <w:t>2017</w:t>
            </w:r>
          </w:p>
        </w:tc>
      </w:tr>
    </w:tbl>
    <w:p w:rsidR="00F93B76" w:rsidRPr="00A32AF4" w:rsidRDefault="00F93B76" w:rsidP="00DC0553">
      <w:pPr>
        <w:rPr>
          <w:rFonts w:cs="Arial"/>
        </w:rPr>
      </w:pPr>
    </w:p>
    <w:p w:rsidR="00F93B76" w:rsidRPr="00A32AF4" w:rsidRDefault="00F93B76" w:rsidP="00DC0553">
      <w:pPr>
        <w:rPr>
          <w:rFonts w:cs="Arial"/>
        </w:rPr>
      </w:pPr>
    </w:p>
    <w:p w:rsidR="00F93B76" w:rsidRPr="00A32AF4" w:rsidRDefault="009F0179" w:rsidP="00DC0553">
      <w:pPr>
        <w:rPr>
          <w:rFonts w:cs="Arial"/>
        </w:rPr>
      </w:pPr>
      <w:r w:rsidRPr="00A32AF4">
        <w:rPr>
          <w:rFonts w:cs="Arial"/>
        </w:rPr>
        <w:t>RESSOURCES ALLOUÉES AU PROGRAMME 22</w:t>
      </w:r>
    </w:p>
    <w:p w:rsidR="00F93B76" w:rsidRPr="00A32AF4" w:rsidRDefault="00F93B76" w:rsidP="00DC0553">
      <w:pPr>
        <w:rPr>
          <w:rFonts w:cs="Arial"/>
        </w:rPr>
      </w:pPr>
    </w:p>
    <w:p w:rsidR="00F93B76" w:rsidRPr="00A32AF4" w:rsidRDefault="009F0179" w:rsidP="00DC0553">
      <w:pPr>
        <w:numPr>
          <w:ilvl w:val="0"/>
          <w:numId w:val="49"/>
        </w:numPr>
        <w:jc w:val="both"/>
        <w:rPr>
          <w:rFonts w:cs="Arial"/>
          <w:spacing w:val="-2"/>
        </w:rPr>
      </w:pPr>
      <w:r w:rsidRPr="00A32AF4">
        <w:rPr>
          <w:rFonts w:cs="Arial"/>
          <w:spacing w:val="-2"/>
        </w:rPr>
        <w:t>Augmentation globale de 5 millions de francs suisses en 2016</w:t>
      </w:r>
      <w:r w:rsidR="00EB7F54" w:rsidRPr="00A32AF4">
        <w:rPr>
          <w:rFonts w:cs="Arial"/>
          <w:spacing w:val="-2"/>
        </w:rPr>
        <w:noBreakHyphen/>
      </w:r>
      <w:r w:rsidRPr="00A32AF4">
        <w:rPr>
          <w:rFonts w:cs="Arial"/>
          <w:spacing w:val="-2"/>
        </w:rPr>
        <w:t>2017 par rapport au budget après transferts pour 2014</w:t>
      </w:r>
      <w:r w:rsidR="00EB7F54" w:rsidRPr="00A32AF4">
        <w:rPr>
          <w:rFonts w:cs="Arial"/>
          <w:spacing w:val="-2"/>
        </w:rPr>
        <w:noBreakHyphen/>
      </w:r>
      <w:r w:rsidRPr="00A32AF4">
        <w:rPr>
          <w:rFonts w:cs="Arial"/>
          <w:spacing w:val="-2"/>
        </w:rPr>
        <w:t xml:space="preserve">2015. </w:t>
      </w:r>
      <w:r w:rsidRPr="00A32AF4">
        <w:rPr>
          <w:spacing w:val="-2"/>
        </w:rPr>
        <w:t xml:space="preserve"> </w:t>
      </w:r>
      <w:proofErr w:type="gramStart"/>
      <w:r w:rsidRPr="00A32AF4">
        <w:rPr>
          <w:rFonts w:cs="Arial"/>
          <w:spacing w:val="-2"/>
        </w:rPr>
        <w:t>L</w:t>
      </w:r>
      <w:r w:rsidR="00E2055A" w:rsidRPr="00A32AF4">
        <w:rPr>
          <w:rFonts w:cs="Arial"/>
          <w:spacing w:val="-2"/>
        </w:rPr>
        <w:t>’</w:t>
      </w:r>
      <w:r w:rsidRPr="00A32AF4">
        <w:rPr>
          <w:rFonts w:cs="Arial"/>
          <w:spacing w:val="-2"/>
        </w:rPr>
        <w:t>augmentation nette des ressources allouées au titre du résultat escompté IX.1 est principalement due aux ressources supplémentaires autres que les ressources en personnel de 1,6 million de francs suisses prévues pour l</w:t>
      </w:r>
      <w:r w:rsidR="00E2055A" w:rsidRPr="00A32AF4">
        <w:rPr>
          <w:rFonts w:cs="Arial"/>
          <w:spacing w:val="-2"/>
        </w:rPr>
        <w:t>’</w:t>
      </w:r>
      <w:r w:rsidRPr="00A32AF4">
        <w:rPr>
          <w:rFonts w:cs="Arial"/>
          <w:spacing w:val="-2"/>
        </w:rPr>
        <w:t>intégration des nouveaux modules et fonctions du système ERP dans les opérations, ainsi qu</w:t>
      </w:r>
      <w:r w:rsidR="00E2055A" w:rsidRPr="00A32AF4">
        <w:rPr>
          <w:rFonts w:cs="Arial"/>
          <w:spacing w:val="-2"/>
        </w:rPr>
        <w:t>’</w:t>
      </w:r>
      <w:r w:rsidRPr="00A32AF4">
        <w:rPr>
          <w:rFonts w:cs="Arial"/>
          <w:spacing w:val="-2"/>
        </w:rPr>
        <w:t>aux ressources supplémentaires de 4,3 millions allouées au titre du résultat escompté IX.2, liées à la provision effectuée en vue des taux d</w:t>
      </w:r>
      <w:r w:rsidR="00E2055A" w:rsidRPr="00A32AF4">
        <w:rPr>
          <w:rFonts w:cs="Arial"/>
          <w:spacing w:val="-2"/>
        </w:rPr>
        <w:t>’</w:t>
      </w:r>
      <w:r w:rsidRPr="00A32AF4">
        <w:rPr>
          <w:rFonts w:cs="Arial"/>
          <w:spacing w:val="-2"/>
        </w:rPr>
        <w:t>intérêt négatifs appliqués aux dépôts en francs suisses (2,4 millions de francs suisses) et aux augmentations statutaires des dépenses de personnel.</w:t>
      </w:r>
      <w:proofErr w:type="gramEnd"/>
      <w:r w:rsidRPr="00A32AF4">
        <w:rPr>
          <w:rFonts w:cs="Arial"/>
          <w:spacing w:val="-2"/>
        </w:rPr>
        <w:t xml:space="preserve"> </w:t>
      </w:r>
      <w:r w:rsidRPr="00A32AF4">
        <w:rPr>
          <w:spacing w:val="-2"/>
        </w:rPr>
        <w:t xml:space="preserve"> </w:t>
      </w:r>
      <w:r w:rsidRPr="00A32AF4">
        <w:rPr>
          <w:rFonts w:cs="Arial"/>
          <w:spacing w:val="-2"/>
        </w:rPr>
        <w:t>L</w:t>
      </w:r>
      <w:r w:rsidR="00E2055A" w:rsidRPr="00A32AF4">
        <w:rPr>
          <w:rFonts w:cs="Arial"/>
          <w:spacing w:val="-2"/>
        </w:rPr>
        <w:t>’</w:t>
      </w:r>
      <w:r w:rsidRPr="00A32AF4">
        <w:rPr>
          <w:rFonts w:cs="Arial"/>
          <w:spacing w:val="-2"/>
        </w:rPr>
        <w:t>augmentation marginale des ressources allouées au titre du résultat escompté IX.3 tient compte des ressources prévues pour la gestion globale des risques, le renforcement des contrôles internes et le transfert des responsabilités liées à la coordination du CCI et des frais annexes du programme 24 (</w:t>
      </w:r>
      <w:r w:rsidR="009A747C" w:rsidRPr="00A32AF4">
        <w:rPr>
          <w:rFonts w:cs="Arial"/>
          <w:spacing w:val="-2"/>
        </w:rPr>
        <w:t>S</w:t>
      </w:r>
      <w:r w:rsidRPr="00A32AF4">
        <w:rPr>
          <w:rFonts w:cs="Arial"/>
          <w:spacing w:val="-2"/>
        </w:rPr>
        <w:t>ervices d</w:t>
      </w:r>
      <w:r w:rsidR="00E2055A" w:rsidRPr="00A32AF4">
        <w:rPr>
          <w:rFonts w:cs="Arial"/>
          <w:spacing w:val="-2"/>
        </w:rPr>
        <w:t>’</w:t>
      </w:r>
      <w:r w:rsidRPr="00A32AF4">
        <w:rPr>
          <w:rFonts w:cs="Arial"/>
          <w:spacing w:val="-2"/>
        </w:rPr>
        <w:t>appui généraux) au programme.</w:t>
      </w:r>
    </w:p>
    <w:p w:rsidR="00F93B76" w:rsidRPr="00A32AF4" w:rsidRDefault="00F93B76" w:rsidP="00DC0553">
      <w:pPr>
        <w:ind w:left="6"/>
        <w:jc w:val="both"/>
        <w:rPr>
          <w:rFonts w:cs="Arial"/>
        </w:rPr>
      </w:pPr>
    </w:p>
    <w:p w:rsidR="00E2055A" w:rsidRPr="00A32AF4" w:rsidRDefault="009F0179" w:rsidP="00DC0553">
      <w:pPr>
        <w:numPr>
          <w:ilvl w:val="0"/>
          <w:numId w:val="49"/>
        </w:numPr>
        <w:jc w:val="both"/>
        <w:rPr>
          <w:rFonts w:cs="Arial"/>
        </w:rPr>
      </w:pPr>
      <w:r w:rsidRPr="00A32AF4">
        <w:rPr>
          <w:rFonts w:cs="Arial"/>
        </w:rPr>
        <w:t>Les ressources relatives au résultat escompté IX.8 tiennent compte de la provision budgétaire pour les audits externes</w:t>
      </w:r>
      <w:r w:rsidR="00204F66" w:rsidRPr="00A32AF4">
        <w:rPr>
          <w:rFonts w:cs="Arial"/>
        </w:rPr>
        <w:t xml:space="preserve"> et l</w:t>
      </w:r>
      <w:r w:rsidR="00E2055A" w:rsidRPr="00A32AF4">
        <w:rPr>
          <w:rFonts w:cs="Arial"/>
        </w:rPr>
        <w:t>’</w:t>
      </w:r>
      <w:r w:rsidR="00204F66" w:rsidRPr="00A32AF4">
        <w:rPr>
          <w:rFonts w:cs="Arial"/>
        </w:rPr>
        <w:t>Organe consultatif indépendant de surveillance (OCIS)</w:t>
      </w:r>
      <w:r w:rsidRPr="00A32AF4">
        <w:rPr>
          <w:rFonts w:cs="Arial"/>
        </w:rPr>
        <w:t>.</w:t>
      </w:r>
      <w:r w:rsidR="00AF5157" w:rsidRPr="00A32AF4">
        <w:rPr>
          <w:rFonts w:cs="Arial"/>
        </w:rPr>
        <w:t xml:space="preserve">  Les ressources autres que les ressources en personnel prévues pour l</w:t>
      </w:r>
      <w:r w:rsidR="00E2055A" w:rsidRPr="00A32AF4">
        <w:rPr>
          <w:rFonts w:cs="Arial"/>
        </w:rPr>
        <w:t>’</w:t>
      </w:r>
      <w:r w:rsidR="00AF5157" w:rsidRPr="00A32AF4">
        <w:rPr>
          <w:rFonts w:cs="Arial"/>
        </w:rPr>
        <w:t>OCIS s</w:t>
      </w:r>
      <w:r w:rsidR="00E2055A" w:rsidRPr="00A32AF4">
        <w:rPr>
          <w:rFonts w:cs="Arial"/>
        </w:rPr>
        <w:t>’</w:t>
      </w:r>
      <w:r w:rsidR="00AF5157" w:rsidRPr="00A32AF4">
        <w:rPr>
          <w:rFonts w:cs="Arial"/>
        </w:rPr>
        <w:t>élèvent à 446 600 francs suisses, soit une augmentation de 14% par rapport au budget approuvé pour l</w:t>
      </w:r>
      <w:r w:rsidR="00E2055A" w:rsidRPr="00A32AF4">
        <w:rPr>
          <w:rFonts w:cs="Arial"/>
        </w:rPr>
        <w:t>’</w:t>
      </w:r>
      <w:r w:rsidR="00AF5157" w:rsidRPr="00A32AF4">
        <w:rPr>
          <w:rFonts w:cs="Arial"/>
        </w:rPr>
        <w:t>exercice biennal</w:t>
      </w:r>
      <w:r w:rsidR="00FD43E3" w:rsidRPr="00A32AF4">
        <w:rPr>
          <w:rFonts w:cs="Arial"/>
        </w:rPr>
        <w:t> </w:t>
      </w:r>
      <w:r w:rsidR="00AF5157" w:rsidRPr="00A32AF4">
        <w:rPr>
          <w:rFonts w:cs="Arial"/>
        </w:rPr>
        <w:t>2014</w:t>
      </w:r>
      <w:r w:rsidR="00EB7F54" w:rsidRPr="00A32AF4">
        <w:rPr>
          <w:rFonts w:cs="Arial"/>
        </w:rPr>
        <w:noBreakHyphen/>
      </w:r>
      <w:r w:rsidR="00AF5157" w:rsidRPr="00A32AF4">
        <w:rPr>
          <w:rFonts w:cs="Arial"/>
        </w:rPr>
        <w:t>2015.</w:t>
      </w:r>
    </w:p>
    <w:p w:rsidR="00F93B76" w:rsidRPr="00A32AF4" w:rsidRDefault="00F93B76" w:rsidP="00DC0553">
      <w:pPr>
        <w:jc w:val="both"/>
        <w:rPr>
          <w:lang w:eastAsia="da-DK"/>
        </w:rPr>
      </w:pPr>
    </w:p>
    <w:p w:rsidR="00F93B76" w:rsidRPr="00A32AF4" w:rsidRDefault="00F93B76" w:rsidP="00DC0553">
      <w:pPr>
        <w:jc w:val="both"/>
        <w:rPr>
          <w:lang w:eastAsia="da-DK"/>
        </w:rPr>
      </w:pPr>
    </w:p>
    <w:p w:rsidR="00F93B76" w:rsidRPr="00A32AF4" w:rsidRDefault="00451DF0" w:rsidP="00DC0553">
      <w:pPr>
        <w:keepNext/>
        <w:keepLines/>
        <w:autoSpaceDE w:val="0"/>
        <w:autoSpaceDN w:val="0"/>
        <w:jc w:val="center"/>
        <w:rPr>
          <w:rFonts w:cs="Arial"/>
          <w:b/>
        </w:rPr>
      </w:pPr>
      <w:r w:rsidRPr="00A32AF4">
        <w:rPr>
          <w:rFonts w:cs="Arial"/>
          <w:b/>
        </w:rPr>
        <w:t>Programme 22 : ressources par résultat</w:t>
      </w:r>
    </w:p>
    <w:p w:rsidR="00F93B76" w:rsidRPr="00A32AF4" w:rsidRDefault="00451DF0" w:rsidP="00DC0553">
      <w:pPr>
        <w:keepNext/>
        <w:keepLines/>
        <w:autoSpaceDE w:val="0"/>
        <w:autoSpaceDN w:val="0"/>
        <w:jc w:val="center"/>
        <w:rPr>
          <w:rFonts w:cs="Arial"/>
          <w:i/>
        </w:rPr>
      </w:pPr>
      <w:r w:rsidRPr="00A32AF4">
        <w:rPr>
          <w:rFonts w:cs="Arial"/>
          <w:i/>
        </w:rPr>
        <w:t>(</w:t>
      </w:r>
      <w:proofErr w:type="gramStart"/>
      <w:r w:rsidRPr="00A32AF4">
        <w:rPr>
          <w:rFonts w:cs="Arial"/>
          <w:i/>
        </w:rPr>
        <w:t>en</w:t>
      </w:r>
      <w:proofErr w:type="gramEnd"/>
      <w:r w:rsidRPr="00A32AF4">
        <w:rPr>
          <w:rFonts w:cs="Arial"/>
          <w:i/>
        </w:rPr>
        <w:t xml:space="preserve"> milliers de francs suisses)</w:t>
      </w:r>
    </w:p>
    <w:p w:rsidR="00451DF0" w:rsidRPr="00A32AF4" w:rsidRDefault="00451DF0" w:rsidP="00DC0553">
      <w:pPr>
        <w:keepNext/>
      </w:pPr>
    </w:p>
    <w:tbl>
      <w:tblPr>
        <w:tblW w:w="8980" w:type="dxa"/>
        <w:tblInd w:w="55"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500"/>
        <w:gridCol w:w="4520"/>
        <w:gridCol w:w="1260"/>
        <w:gridCol w:w="1440"/>
        <w:gridCol w:w="1260"/>
      </w:tblGrid>
      <w:tr w:rsidR="00451DF0" w:rsidRPr="00A32AF4" w:rsidTr="0004221C">
        <w:trPr>
          <w:cantSplit/>
          <w:tblHeader/>
        </w:trPr>
        <w:tc>
          <w:tcPr>
            <w:tcW w:w="5020" w:type="dxa"/>
            <w:gridSpan w:val="2"/>
            <w:tcBorders>
              <w:top w:val="single" w:sz="4" w:space="0" w:color="auto"/>
              <w:bottom w:val="single" w:sz="4" w:space="0" w:color="auto"/>
            </w:tcBorders>
            <w:shd w:val="clear" w:color="000000" w:fill="C5D9F1"/>
            <w:noWrap/>
            <w:tcMar>
              <w:top w:w="113" w:type="dxa"/>
              <w:bottom w:w="113" w:type="dxa"/>
            </w:tcMar>
            <w:vAlign w:val="center"/>
            <w:hideMark/>
          </w:tcPr>
          <w:p w:rsidR="00451DF0" w:rsidRPr="00A32AF4" w:rsidRDefault="00451DF0" w:rsidP="00DC0553">
            <w:pPr>
              <w:keepNext/>
              <w:jc w:val="center"/>
              <w:rPr>
                <w:rFonts w:cs="Arial"/>
                <w:i/>
                <w:iCs/>
                <w:sz w:val="16"/>
                <w:szCs w:val="16"/>
                <w:lang w:eastAsia="fr-FR"/>
              </w:rPr>
            </w:pPr>
            <w:r w:rsidRPr="00A32AF4">
              <w:rPr>
                <w:rFonts w:cs="Arial"/>
                <w:i/>
                <w:iCs/>
                <w:sz w:val="16"/>
                <w:szCs w:val="16"/>
                <w:lang w:eastAsia="fr-FR"/>
              </w:rPr>
              <w:t xml:space="preserve">Numéro et description du résultat escompté </w:t>
            </w:r>
          </w:p>
        </w:tc>
        <w:tc>
          <w:tcPr>
            <w:tcW w:w="1260" w:type="dxa"/>
            <w:tcBorders>
              <w:top w:val="single" w:sz="4" w:space="0" w:color="auto"/>
              <w:bottom w:val="single" w:sz="4" w:space="0" w:color="auto"/>
            </w:tcBorders>
            <w:shd w:val="clear" w:color="000000" w:fill="C5D9F1"/>
            <w:tcMar>
              <w:top w:w="113" w:type="dxa"/>
              <w:bottom w:w="113" w:type="dxa"/>
            </w:tcMar>
            <w:vAlign w:val="center"/>
            <w:hideMark/>
          </w:tcPr>
          <w:p w:rsidR="00451DF0" w:rsidRPr="00A32AF4" w:rsidRDefault="00451DF0" w:rsidP="00DC0553">
            <w:pPr>
              <w:keepNext/>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2014</w:t>
            </w:r>
            <w:r w:rsidR="00EB7F54" w:rsidRPr="00A32AF4">
              <w:rPr>
                <w:rFonts w:cs="Arial"/>
                <w:i/>
                <w:iCs/>
                <w:sz w:val="16"/>
                <w:szCs w:val="16"/>
                <w:lang w:eastAsia="fr-FR"/>
              </w:rPr>
              <w:noBreakHyphen/>
            </w:r>
            <w:r w:rsidRPr="00A32AF4">
              <w:rPr>
                <w:rFonts w:cs="Arial"/>
                <w:i/>
                <w:iCs/>
                <w:sz w:val="16"/>
                <w:szCs w:val="16"/>
                <w:lang w:eastAsia="fr-FR"/>
              </w:rPr>
              <w:t>2015 approuvé</w:t>
            </w:r>
          </w:p>
        </w:tc>
        <w:tc>
          <w:tcPr>
            <w:tcW w:w="1440" w:type="dxa"/>
            <w:tcBorders>
              <w:top w:val="single" w:sz="4" w:space="0" w:color="auto"/>
              <w:bottom w:val="single" w:sz="4" w:space="0" w:color="auto"/>
            </w:tcBorders>
            <w:shd w:val="clear" w:color="000000" w:fill="C5D9F1"/>
            <w:tcMar>
              <w:top w:w="113" w:type="dxa"/>
              <w:bottom w:w="113" w:type="dxa"/>
            </w:tcMar>
            <w:vAlign w:val="center"/>
            <w:hideMark/>
          </w:tcPr>
          <w:p w:rsidR="00451DF0" w:rsidRPr="00A32AF4" w:rsidRDefault="00451DF0" w:rsidP="00DC0553">
            <w:pPr>
              <w:keepNext/>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2014</w:t>
            </w:r>
            <w:r w:rsidR="00EB7F54" w:rsidRPr="00A32AF4">
              <w:rPr>
                <w:rFonts w:cs="Arial"/>
                <w:i/>
                <w:iCs/>
                <w:sz w:val="16"/>
                <w:szCs w:val="16"/>
                <w:lang w:eastAsia="fr-FR"/>
              </w:rPr>
              <w:noBreakHyphen/>
            </w:r>
            <w:r w:rsidRPr="00A32AF4">
              <w:rPr>
                <w:rFonts w:cs="Arial"/>
                <w:i/>
                <w:iCs/>
                <w:sz w:val="16"/>
                <w:szCs w:val="16"/>
                <w:lang w:eastAsia="fr-FR"/>
              </w:rPr>
              <w:t>2015 après virements</w:t>
            </w:r>
          </w:p>
        </w:tc>
        <w:tc>
          <w:tcPr>
            <w:tcW w:w="1260" w:type="dxa"/>
            <w:tcBorders>
              <w:top w:val="single" w:sz="4" w:space="0" w:color="auto"/>
              <w:bottom w:val="single" w:sz="4" w:space="0" w:color="auto"/>
            </w:tcBorders>
            <w:shd w:val="clear" w:color="000000" w:fill="C5D9F1"/>
            <w:tcMar>
              <w:top w:w="113" w:type="dxa"/>
              <w:bottom w:w="113" w:type="dxa"/>
            </w:tcMar>
            <w:vAlign w:val="center"/>
            <w:hideMark/>
          </w:tcPr>
          <w:p w:rsidR="00451DF0" w:rsidRPr="00A32AF4" w:rsidRDefault="00451DF0" w:rsidP="00DC0553">
            <w:pPr>
              <w:keepNext/>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2016</w:t>
            </w:r>
            <w:r w:rsidR="00EB7F54" w:rsidRPr="00A32AF4">
              <w:rPr>
                <w:rFonts w:cs="Arial"/>
                <w:i/>
                <w:iCs/>
                <w:sz w:val="16"/>
                <w:szCs w:val="16"/>
                <w:lang w:eastAsia="fr-FR"/>
              </w:rPr>
              <w:noBreakHyphen/>
            </w:r>
            <w:r w:rsidRPr="00A32AF4">
              <w:rPr>
                <w:rFonts w:cs="Arial"/>
                <w:i/>
                <w:iCs/>
                <w:sz w:val="16"/>
                <w:szCs w:val="16"/>
                <w:lang w:eastAsia="fr-FR"/>
              </w:rPr>
              <w:t>2017 proposé</w:t>
            </w:r>
          </w:p>
        </w:tc>
      </w:tr>
      <w:tr w:rsidR="00451DF0" w:rsidRPr="00A32AF4" w:rsidTr="0004221C">
        <w:trPr>
          <w:cantSplit/>
        </w:trPr>
        <w:tc>
          <w:tcPr>
            <w:tcW w:w="500" w:type="dxa"/>
            <w:tcBorders>
              <w:top w:val="single" w:sz="4" w:space="0" w:color="auto"/>
            </w:tcBorders>
            <w:shd w:val="clear" w:color="auto" w:fill="auto"/>
            <w:noWrap/>
            <w:tcMar>
              <w:top w:w="113" w:type="dxa"/>
              <w:bottom w:w="113" w:type="dxa"/>
            </w:tcMar>
            <w:vAlign w:val="center"/>
            <w:hideMark/>
          </w:tcPr>
          <w:p w:rsidR="00451DF0" w:rsidRPr="00A32AF4" w:rsidRDefault="00451DF0" w:rsidP="00DC0553">
            <w:pPr>
              <w:keepNext/>
              <w:rPr>
                <w:rFonts w:cs="Arial"/>
                <w:sz w:val="16"/>
                <w:szCs w:val="16"/>
                <w:lang w:eastAsia="fr-FR"/>
              </w:rPr>
            </w:pPr>
            <w:r w:rsidRPr="00A32AF4">
              <w:rPr>
                <w:rFonts w:cs="Arial"/>
                <w:sz w:val="16"/>
                <w:szCs w:val="16"/>
                <w:lang w:eastAsia="fr-FR"/>
              </w:rPr>
              <w:t>IX.1</w:t>
            </w:r>
          </w:p>
        </w:tc>
        <w:tc>
          <w:tcPr>
            <w:tcW w:w="4520" w:type="dxa"/>
            <w:tcBorders>
              <w:top w:val="single" w:sz="4" w:space="0" w:color="auto"/>
            </w:tcBorders>
            <w:shd w:val="clear" w:color="auto" w:fill="auto"/>
            <w:tcMar>
              <w:top w:w="113" w:type="dxa"/>
              <w:bottom w:w="113" w:type="dxa"/>
            </w:tcMar>
            <w:vAlign w:val="center"/>
            <w:hideMark/>
          </w:tcPr>
          <w:p w:rsidR="00451DF0" w:rsidRPr="00A32AF4" w:rsidRDefault="00451DF0" w:rsidP="00DC0553">
            <w:pPr>
              <w:keepNext/>
              <w:rPr>
                <w:rFonts w:cs="Arial"/>
                <w:sz w:val="16"/>
                <w:szCs w:val="16"/>
                <w:lang w:eastAsia="fr-FR"/>
              </w:rPr>
            </w:pPr>
            <w:r w:rsidRPr="00A32AF4">
              <w:rPr>
                <w:rFonts w:cs="Arial"/>
                <w:sz w:val="16"/>
                <w:szCs w:val="16"/>
                <w:lang w:eastAsia="fr-FR"/>
              </w:rPr>
              <w:t>Services d</w:t>
            </w:r>
            <w:r w:rsidR="00E2055A" w:rsidRPr="00A32AF4">
              <w:rPr>
                <w:rFonts w:cs="Arial"/>
                <w:sz w:val="16"/>
                <w:szCs w:val="16"/>
                <w:lang w:eastAsia="fr-FR"/>
              </w:rPr>
              <w:t>’</w:t>
            </w:r>
            <w:r w:rsidRPr="00A32AF4">
              <w:rPr>
                <w:rFonts w:cs="Arial"/>
                <w:sz w:val="16"/>
                <w:szCs w:val="16"/>
                <w:lang w:eastAsia="fr-FR"/>
              </w:rPr>
              <w:t>appui efficaces, efficients, de qualité et tournés vers la clientèle, à l</w:t>
            </w:r>
            <w:r w:rsidR="00E2055A" w:rsidRPr="00A32AF4">
              <w:rPr>
                <w:rFonts w:cs="Arial"/>
                <w:sz w:val="16"/>
                <w:szCs w:val="16"/>
                <w:lang w:eastAsia="fr-FR"/>
              </w:rPr>
              <w:t>’</w:t>
            </w:r>
            <w:r w:rsidRPr="00A32AF4">
              <w:rPr>
                <w:rFonts w:cs="Arial"/>
                <w:sz w:val="16"/>
                <w:szCs w:val="16"/>
                <w:lang w:eastAsia="fr-FR"/>
              </w:rPr>
              <w:t>intention à la fois des clients internes et des parties prenantes externes</w:t>
            </w:r>
          </w:p>
        </w:tc>
        <w:tc>
          <w:tcPr>
            <w:tcW w:w="1260" w:type="dxa"/>
            <w:tcBorders>
              <w:top w:val="single" w:sz="4" w:space="0" w:color="auto"/>
            </w:tcBorders>
            <w:shd w:val="clear" w:color="auto" w:fill="auto"/>
            <w:tcMar>
              <w:top w:w="113" w:type="dxa"/>
              <w:bottom w:w="113" w:type="dxa"/>
            </w:tcMar>
            <w:vAlign w:val="center"/>
            <w:hideMark/>
          </w:tcPr>
          <w:p w:rsidR="00451DF0" w:rsidRPr="00A32AF4" w:rsidRDefault="00451DF0" w:rsidP="00DC0553">
            <w:pPr>
              <w:keepNext/>
              <w:jc w:val="right"/>
              <w:rPr>
                <w:rFonts w:cs="Arial"/>
                <w:sz w:val="16"/>
                <w:szCs w:val="16"/>
                <w:lang w:eastAsia="fr-FR"/>
              </w:rPr>
            </w:pPr>
            <w:r w:rsidRPr="00A32AF4">
              <w:rPr>
                <w:rFonts w:cs="Arial"/>
                <w:sz w:val="16"/>
                <w:szCs w:val="16"/>
                <w:lang w:eastAsia="fr-FR"/>
              </w:rPr>
              <w:t xml:space="preserve">8 212 </w:t>
            </w:r>
          </w:p>
        </w:tc>
        <w:tc>
          <w:tcPr>
            <w:tcW w:w="1440" w:type="dxa"/>
            <w:tcBorders>
              <w:top w:val="single" w:sz="4" w:space="0" w:color="auto"/>
            </w:tcBorders>
            <w:shd w:val="clear" w:color="auto" w:fill="auto"/>
            <w:noWrap/>
            <w:tcMar>
              <w:top w:w="113" w:type="dxa"/>
              <w:bottom w:w="113" w:type="dxa"/>
            </w:tcMar>
            <w:vAlign w:val="center"/>
            <w:hideMark/>
          </w:tcPr>
          <w:p w:rsidR="00451DF0" w:rsidRPr="00A32AF4" w:rsidRDefault="00451DF0" w:rsidP="00DC0553">
            <w:pPr>
              <w:keepNext/>
              <w:jc w:val="right"/>
              <w:rPr>
                <w:rFonts w:cs="Arial"/>
                <w:sz w:val="16"/>
                <w:szCs w:val="16"/>
                <w:lang w:eastAsia="fr-FR"/>
              </w:rPr>
            </w:pPr>
            <w:r w:rsidRPr="00A32AF4">
              <w:rPr>
                <w:rFonts w:cs="Arial"/>
                <w:sz w:val="16"/>
                <w:szCs w:val="16"/>
                <w:lang w:eastAsia="fr-FR"/>
              </w:rPr>
              <w:t>11</w:t>
            </w:r>
            <w:r w:rsidR="00FD43E3" w:rsidRPr="00A32AF4">
              <w:rPr>
                <w:rFonts w:cs="Arial"/>
                <w:sz w:val="16"/>
                <w:szCs w:val="16"/>
                <w:lang w:eastAsia="fr-FR"/>
              </w:rPr>
              <w:t> </w:t>
            </w:r>
            <w:r w:rsidRPr="00A32AF4">
              <w:rPr>
                <w:rFonts w:cs="Arial"/>
                <w:sz w:val="16"/>
                <w:szCs w:val="16"/>
                <w:lang w:eastAsia="fr-FR"/>
              </w:rPr>
              <w:t xml:space="preserve">908 </w:t>
            </w:r>
          </w:p>
        </w:tc>
        <w:tc>
          <w:tcPr>
            <w:tcW w:w="1260" w:type="dxa"/>
            <w:tcBorders>
              <w:top w:val="single" w:sz="4" w:space="0" w:color="auto"/>
            </w:tcBorders>
            <w:shd w:val="clear" w:color="auto" w:fill="auto"/>
            <w:noWrap/>
            <w:tcMar>
              <w:top w:w="113" w:type="dxa"/>
              <w:bottom w:w="113" w:type="dxa"/>
            </w:tcMar>
            <w:vAlign w:val="center"/>
            <w:hideMark/>
          </w:tcPr>
          <w:p w:rsidR="00451DF0" w:rsidRPr="00A32AF4" w:rsidRDefault="00451DF0" w:rsidP="00DC0553">
            <w:pPr>
              <w:keepNext/>
              <w:jc w:val="right"/>
              <w:rPr>
                <w:rFonts w:cs="Arial"/>
                <w:color w:val="000000"/>
                <w:sz w:val="16"/>
                <w:szCs w:val="16"/>
                <w:lang w:eastAsia="fr-FR"/>
              </w:rPr>
            </w:pPr>
            <w:r w:rsidRPr="00A32AF4">
              <w:rPr>
                <w:rFonts w:cs="Arial"/>
                <w:color w:val="000000"/>
                <w:sz w:val="16"/>
                <w:szCs w:val="16"/>
                <w:lang w:eastAsia="fr-FR"/>
              </w:rPr>
              <w:t>13</w:t>
            </w:r>
            <w:r w:rsidR="00FD43E3" w:rsidRPr="00A32AF4">
              <w:rPr>
                <w:rFonts w:cs="Arial"/>
                <w:color w:val="000000"/>
                <w:sz w:val="16"/>
                <w:szCs w:val="16"/>
                <w:lang w:eastAsia="fr-FR"/>
              </w:rPr>
              <w:t> </w:t>
            </w:r>
            <w:r w:rsidRPr="00A32AF4">
              <w:rPr>
                <w:rFonts w:cs="Arial"/>
                <w:color w:val="000000"/>
                <w:sz w:val="16"/>
                <w:szCs w:val="16"/>
                <w:lang w:eastAsia="fr-FR"/>
              </w:rPr>
              <w:t xml:space="preserve">229 </w:t>
            </w:r>
          </w:p>
        </w:tc>
      </w:tr>
      <w:tr w:rsidR="00451DF0" w:rsidRPr="00A32AF4" w:rsidTr="0004221C">
        <w:trPr>
          <w:cantSplit/>
        </w:trPr>
        <w:tc>
          <w:tcPr>
            <w:tcW w:w="500" w:type="dxa"/>
            <w:shd w:val="clear" w:color="auto" w:fill="auto"/>
            <w:noWrap/>
            <w:tcMar>
              <w:top w:w="113" w:type="dxa"/>
              <w:bottom w:w="113" w:type="dxa"/>
            </w:tcMar>
            <w:vAlign w:val="center"/>
            <w:hideMark/>
          </w:tcPr>
          <w:p w:rsidR="00451DF0" w:rsidRPr="00A32AF4" w:rsidRDefault="00451DF0" w:rsidP="00DC0553">
            <w:pPr>
              <w:rPr>
                <w:rFonts w:cs="Arial"/>
                <w:sz w:val="16"/>
                <w:szCs w:val="16"/>
                <w:lang w:eastAsia="fr-FR"/>
              </w:rPr>
            </w:pPr>
            <w:r w:rsidRPr="00A32AF4">
              <w:rPr>
                <w:rFonts w:cs="Arial"/>
                <w:sz w:val="16"/>
                <w:szCs w:val="16"/>
                <w:lang w:eastAsia="fr-FR"/>
              </w:rPr>
              <w:t>IX.2</w:t>
            </w:r>
          </w:p>
        </w:tc>
        <w:tc>
          <w:tcPr>
            <w:tcW w:w="4520" w:type="dxa"/>
            <w:shd w:val="clear" w:color="auto" w:fill="auto"/>
            <w:tcMar>
              <w:top w:w="113" w:type="dxa"/>
              <w:bottom w:w="113" w:type="dxa"/>
            </w:tcMar>
            <w:vAlign w:val="center"/>
            <w:hideMark/>
          </w:tcPr>
          <w:p w:rsidR="00451DF0" w:rsidRPr="00A32AF4" w:rsidRDefault="00451DF0" w:rsidP="00DC0553">
            <w:pPr>
              <w:rPr>
                <w:rFonts w:cs="Arial"/>
                <w:sz w:val="16"/>
                <w:szCs w:val="16"/>
                <w:lang w:eastAsia="fr-FR"/>
              </w:rPr>
            </w:pPr>
            <w:r w:rsidRPr="00A32AF4">
              <w:rPr>
                <w:rFonts w:cs="Arial"/>
                <w:sz w:val="16"/>
                <w:szCs w:val="16"/>
                <w:lang w:eastAsia="fr-FR"/>
              </w:rPr>
              <w:t>Un Secrétariat réactif, fonctionnant harmonieusement et doté de ressources humaines bien gérées et compétentes, à même d</w:t>
            </w:r>
            <w:r w:rsidR="00E2055A" w:rsidRPr="00A32AF4">
              <w:rPr>
                <w:rFonts w:cs="Arial"/>
                <w:sz w:val="16"/>
                <w:szCs w:val="16"/>
                <w:lang w:eastAsia="fr-FR"/>
              </w:rPr>
              <w:t>’</w:t>
            </w:r>
            <w:r w:rsidRPr="00A32AF4">
              <w:rPr>
                <w:rFonts w:cs="Arial"/>
                <w:sz w:val="16"/>
                <w:szCs w:val="16"/>
                <w:lang w:eastAsia="fr-FR"/>
              </w:rPr>
              <w:t>obtenir des résultats concrets</w:t>
            </w:r>
          </w:p>
        </w:tc>
        <w:tc>
          <w:tcPr>
            <w:tcW w:w="1260" w:type="dxa"/>
            <w:shd w:val="clear" w:color="auto" w:fill="auto"/>
            <w:tcMar>
              <w:top w:w="113" w:type="dxa"/>
              <w:bottom w:w="113" w:type="dxa"/>
            </w:tcMar>
            <w:vAlign w:val="center"/>
            <w:hideMark/>
          </w:tcPr>
          <w:p w:rsidR="00451DF0" w:rsidRPr="00A32AF4" w:rsidRDefault="00451DF0" w:rsidP="00DC0553">
            <w:pPr>
              <w:jc w:val="right"/>
              <w:rPr>
                <w:rFonts w:cs="Arial"/>
                <w:sz w:val="16"/>
                <w:szCs w:val="16"/>
                <w:lang w:eastAsia="fr-FR"/>
              </w:rPr>
            </w:pPr>
            <w:r w:rsidRPr="00A32AF4">
              <w:rPr>
                <w:rFonts w:cs="Arial"/>
                <w:sz w:val="16"/>
                <w:szCs w:val="16"/>
                <w:lang w:eastAsia="fr-FR"/>
              </w:rPr>
              <w:t>16</w:t>
            </w:r>
            <w:r w:rsidR="00FD43E3" w:rsidRPr="00A32AF4">
              <w:rPr>
                <w:rFonts w:cs="Arial"/>
                <w:sz w:val="16"/>
                <w:szCs w:val="16"/>
                <w:lang w:eastAsia="fr-FR"/>
              </w:rPr>
              <w:t> </w:t>
            </w:r>
            <w:r w:rsidRPr="00A32AF4">
              <w:rPr>
                <w:rFonts w:cs="Arial"/>
                <w:sz w:val="16"/>
                <w:szCs w:val="16"/>
                <w:lang w:eastAsia="fr-FR"/>
              </w:rPr>
              <w:t xml:space="preserve">372 </w:t>
            </w:r>
          </w:p>
        </w:tc>
        <w:tc>
          <w:tcPr>
            <w:tcW w:w="1440" w:type="dxa"/>
            <w:shd w:val="clear" w:color="auto" w:fill="auto"/>
            <w:noWrap/>
            <w:tcMar>
              <w:top w:w="113" w:type="dxa"/>
              <w:bottom w:w="113" w:type="dxa"/>
            </w:tcMar>
            <w:vAlign w:val="center"/>
            <w:hideMark/>
          </w:tcPr>
          <w:p w:rsidR="00451DF0" w:rsidRPr="00A32AF4" w:rsidRDefault="00451DF0" w:rsidP="00DC0553">
            <w:pPr>
              <w:jc w:val="right"/>
              <w:rPr>
                <w:rFonts w:cs="Arial"/>
                <w:sz w:val="16"/>
                <w:szCs w:val="16"/>
                <w:lang w:eastAsia="fr-FR"/>
              </w:rPr>
            </w:pPr>
            <w:r w:rsidRPr="00A32AF4">
              <w:rPr>
                <w:rFonts w:cs="Arial"/>
                <w:sz w:val="16"/>
                <w:szCs w:val="16"/>
                <w:lang w:eastAsia="fr-FR"/>
              </w:rPr>
              <w:t>12</w:t>
            </w:r>
            <w:r w:rsidR="00FD43E3" w:rsidRPr="00A32AF4">
              <w:rPr>
                <w:rFonts w:cs="Arial"/>
                <w:sz w:val="16"/>
                <w:szCs w:val="16"/>
                <w:lang w:eastAsia="fr-FR"/>
              </w:rPr>
              <w:t> </w:t>
            </w:r>
            <w:r w:rsidRPr="00A32AF4">
              <w:rPr>
                <w:rFonts w:cs="Arial"/>
                <w:sz w:val="16"/>
                <w:szCs w:val="16"/>
                <w:lang w:eastAsia="fr-FR"/>
              </w:rPr>
              <w:t xml:space="preserve">430 </w:t>
            </w:r>
          </w:p>
        </w:tc>
        <w:tc>
          <w:tcPr>
            <w:tcW w:w="1260" w:type="dxa"/>
            <w:shd w:val="clear" w:color="auto" w:fill="auto"/>
            <w:noWrap/>
            <w:tcMar>
              <w:top w:w="113" w:type="dxa"/>
              <w:bottom w:w="113" w:type="dxa"/>
            </w:tcMar>
            <w:vAlign w:val="center"/>
            <w:hideMark/>
          </w:tcPr>
          <w:p w:rsidR="00451DF0" w:rsidRPr="00A32AF4" w:rsidRDefault="00451DF0" w:rsidP="00DC0553">
            <w:pPr>
              <w:jc w:val="right"/>
              <w:rPr>
                <w:rFonts w:cs="Arial"/>
                <w:color w:val="000000"/>
                <w:sz w:val="16"/>
                <w:szCs w:val="16"/>
                <w:lang w:eastAsia="fr-FR"/>
              </w:rPr>
            </w:pPr>
            <w:r w:rsidRPr="00A32AF4">
              <w:rPr>
                <w:rFonts w:cs="Arial"/>
                <w:color w:val="000000"/>
                <w:sz w:val="16"/>
                <w:szCs w:val="16"/>
                <w:lang w:eastAsia="fr-FR"/>
              </w:rPr>
              <w:t>16</w:t>
            </w:r>
            <w:r w:rsidR="00FD43E3" w:rsidRPr="00A32AF4">
              <w:rPr>
                <w:rFonts w:cs="Arial"/>
                <w:color w:val="000000"/>
                <w:sz w:val="16"/>
                <w:szCs w:val="16"/>
                <w:lang w:eastAsia="fr-FR"/>
              </w:rPr>
              <w:t> </w:t>
            </w:r>
            <w:r w:rsidRPr="00A32AF4">
              <w:rPr>
                <w:rFonts w:cs="Arial"/>
                <w:color w:val="000000"/>
                <w:sz w:val="16"/>
                <w:szCs w:val="16"/>
                <w:lang w:eastAsia="fr-FR"/>
              </w:rPr>
              <w:t xml:space="preserve">744 </w:t>
            </w:r>
          </w:p>
        </w:tc>
      </w:tr>
      <w:tr w:rsidR="00451DF0" w:rsidRPr="00A32AF4" w:rsidTr="0004221C">
        <w:trPr>
          <w:cantSplit/>
        </w:trPr>
        <w:tc>
          <w:tcPr>
            <w:tcW w:w="500" w:type="dxa"/>
            <w:shd w:val="clear" w:color="auto" w:fill="auto"/>
            <w:noWrap/>
            <w:tcMar>
              <w:top w:w="113" w:type="dxa"/>
              <w:bottom w:w="113" w:type="dxa"/>
            </w:tcMar>
            <w:vAlign w:val="center"/>
            <w:hideMark/>
          </w:tcPr>
          <w:p w:rsidR="00451DF0" w:rsidRPr="00A32AF4" w:rsidRDefault="00451DF0" w:rsidP="00DC0553">
            <w:pPr>
              <w:rPr>
                <w:rFonts w:cs="Arial"/>
                <w:sz w:val="16"/>
                <w:szCs w:val="16"/>
                <w:lang w:eastAsia="fr-FR"/>
              </w:rPr>
            </w:pPr>
            <w:r w:rsidRPr="00A32AF4">
              <w:rPr>
                <w:rFonts w:cs="Arial"/>
                <w:sz w:val="16"/>
                <w:szCs w:val="16"/>
                <w:lang w:eastAsia="fr-FR"/>
              </w:rPr>
              <w:t>IX.3</w:t>
            </w:r>
          </w:p>
        </w:tc>
        <w:tc>
          <w:tcPr>
            <w:tcW w:w="4520" w:type="dxa"/>
            <w:shd w:val="clear" w:color="auto" w:fill="auto"/>
            <w:tcMar>
              <w:top w:w="113" w:type="dxa"/>
              <w:bottom w:w="113" w:type="dxa"/>
            </w:tcMar>
            <w:vAlign w:val="center"/>
            <w:hideMark/>
          </w:tcPr>
          <w:p w:rsidR="00451DF0" w:rsidRPr="00A32AF4" w:rsidRDefault="00451DF0" w:rsidP="00DC0553">
            <w:pPr>
              <w:rPr>
                <w:rFonts w:cs="Arial"/>
                <w:sz w:val="16"/>
                <w:szCs w:val="16"/>
                <w:lang w:eastAsia="fr-FR"/>
              </w:rPr>
            </w:pPr>
            <w:r w:rsidRPr="00A32AF4">
              <w:rPr>
                <w:rFonts w:cs="Arial"/>
                <w:sz w:val="16"/>
                <w:szCs w:val="16"/>
                <w:lang w:eastAsia="fr-FR"/>
              </w:rPr>
              <w:t>Un environnement de travail stimulant étayé par un cadre réglementaire efficace et des voies appropriées pour répondre aux préoccupations du personnel</w:t>
            </w:r>
          </w:p>
        </w:tc>
        <w:tc>
          <w:tcPr>
            <w:tcW w:w="1260" w:type="dxa"/>
            <w:shd w:val="clear" w:color="auto" w:fill="auto"/>
            <w:tcMar>
              <w:top w:w="113" w:type="dxa"/>
              <w:bottom w:w="113" w:type="dxa"/>
            </w:tcMar>
            <w:vAlign w:val="center"/>
            <w:hideMark/>
          </w:tcPr>
          <w:p w:rsidR="00451DF0" w:rsidRPr="00A32AF4" w:rsidRDefault="00451DF0" w:rsidP="00DC0553">
            <w:pPr>
              <w:jc w:val="right"/>
              <w:rPr>
                <w:rFonts w:cs="Arial"/>
                <w:sz w:val="16"/>
                <w:szCs w:val="16"/>
                <w:lang w:eastAsia="fr-FR"/>
              </w:rPr>
            </w:pPr>
            <w:r w:rsidRPr="00A32AF4">
              <w:rPr>
                <w:rFonts w:cs="Arial"/>
                <w:sz w:val="16"/>
                <w:szCs w:val="16"/>
                <w:lang w:eastAsia="fr-FR"/>
              </w:rPr>
              <w:t xml:space="preserve">1 923 </w:t>
            </w:r>
          </w:p>
        </w:tc>
        <w:tc>
          <w:tcPr>
            <w:tcW w:w="1440" w:type="dxa"/>
            <w:shd w:val="clear" w:color="auto" w:fill="auto"/>
            <w:noWrap/>
            <w:tcMar>
              <w:top w:w="113" w:type="dxa"/>
              <w:bottom w:w="113" w:type="dxa"/>
            </w:tcMar>
            <w:vAlign w:val="center"/>
            <w:hideMark/>
          </w:tcPr>
          <w:p w:rsidR="00451DF0" w:rsidRPr="00A32AF4" w:rsidRDefault="00451DF0" w:rsidP="00DC0553">
            <w:pPr>
              <w:jc w:val="right"/>
              <w:rPr>
                <w:rFonts w:cs="Arial"/>
                <w:sz w:val="16"/>
                <w:szCs w:val="16"/>
                <w:lang w:eastAsia="fr-FR"/>
              </w:rPr>
            </w:pPr>
            <w:r w:rsidRPr="00A32AF4">
              <w:rPr>
                <w:rFonts w:cs="Arial"/>
                <w:sz w:val="16"/>
                <w:szCs w:val="16"/>
                <w:lang w:eastAsia="fr-FR"/>
              </w:rPr>
              <w:t xml:space="preserve">1 229 </w:t>
            </w:r>
          </w:p>
        </w:tc>
        <w:tc>
          <w:tcPr>
            <w:tcW w:w="1260" w:type="dxa"/>
            <w:shd w:val="clear" w:color="auto" w:fill="auto"/>
            <w:noWrap/>
            <w:tcMar>
              <w:top w:w="113" w:type="dxa"/>
              <w:bottom w:w="113" w:type="dxa"/>
            </w:tcMar>
            <w:vAlign w:val="center"/>
            <w:hideMark/>
          </w:tcPr>
          <w:p w:rsidR="00451DF0" w:rsidRPr="00A32AF4" w:rsidRDefault="00451DF0" w:rsidP="00DC0553">
            <w:pPr>
              <w:jc w:val="right"/>
              <w:rPr>
                <w:rFonts w:cs="Arial"/>
                <w:color w:val="000000"/>
                <w:sz w:val="16"/>
                <w:szCs w:val="16"/>
                <w:lang w:eastAsia="fr-FR"/>
              </w:rPr>
            </w:pPr>
            <w:r w:rsidRPr="00A32AF4">
              <w:rPr>
                <w:rFonts w:cs="Arial"/>
                <w:color w:val="000000"/>
                <w:sz w:val="16"/>
                <w:szCs w:val="16"/>
                <w:lang w:eastAsia="fr-FR"/>
              </w:rPr>
              <w:t xml:space="preserve">1 626 </w:t>
            </w:r>
          </w:p>
        </w:tc>
      </w:tr>
      <w:tr w:rsidR="00451DF0" w:rsidRPr="00A32AF4" w:rsidTr="0004221C">
        <w:trPr>
          <w:cantSplit/>
        </w:trPr>
        <w:tc>
          <w:tcPr>
            <w:tcW w:w="500" w:type="dxa"/>
            <w:tcBorders>
              <w:bottom w:val="single" w:sz="4" w:space="0" w:color="auto"/>
            </w:tcBorders>
            <w:shd w:val="clear" w:color="auto" w:fill="auto"/>
            <w:noWrap/>
            <w:tcMar>
              <w:top w:w="113" w:type="dxa"/>
              <w:bottom w:w="113" w:type="dxa"/>
            </w:tcMar>
            <w:vAlign w:val="center"/>
            <w:hideMark/>
          </w:tcPr>
          <w:p w:rsidR="00451DF0" w:rsidRPr="00A32AF4" w:rsidRDefault="00451DF0" w:rsidP="00DC0553">
            <w:pPr>
              <w:rPr>
                <w:rFonts w:cs="Arial"/>
                <w:sz w:val="16"/>
                <w:szCs w:val="16"/>
                <w:lang w:eastAsia="fr-FR"/>
              </w:rPr>
            </w:pPr>
            <w:r w:rsidRPr="00A32AF4">
              <w:rPr>
                <w:rFonts w:cs="Arial"/>
                <w:sz w:val="16"/>
                <w:szCs w:val="16"/>
                <w:lang w:eastAsia="fr-FR"/>
              </w:rPr>
              <w:t>IX.8</w:t>
            </w:r>
          </w:p>
        </w:tc>
        <w:tc>
          <w:tcPr>
            <w:tcW w:w="4520" w:type="dxa"/>
            <w:tcBorders>
              <w:bottom w:val="single" w:sz="4" w:space="0" w:color="auto"/>
            </w:tcBorders>
            <w:shd w:val="clear" w:color="auto" w:fill="auto"/>
            <w:tcMar>
              <w:top w:w="113" w:type="dxa"/>
              <w:bottom w:w="113" w:type="dxa"/>
            </w:tcMar>
            <w:vAlign w:val="center"/>
            <w:hideMark/>
          </w:tcPr>
          <w:p w:rsidR="00451DF0" w:rsidRPr="00A32AF4" w:rsidRDefault="00451DF0" w:rsidP="00DC0553">
            <w:pPr>
              <w:rPr>
                <w:rFonts w:cs="Arial"/>
                <w:sz w:val="16"/>
                <w:szCs w:val="16"/>
                <w:lang w:eastAsia="fr-FR"/>
              </w:rPr>
            </w:pPr>
            <w:r w:rsidRPr="00A32AF4">
              <w:rPr>
                <w:rFonts w:cs="Arial"/>
                <w:sz w:val="16"/>
                <w:szCs w:val="16"/>
                <w:lang w:eastAsia="fr-FR"/>
              </w:rPr>
              <w:t>Renforcement de l</w:t>
            </w:r>
            <w:r w:rsidR="00E2055A" w:rsidRPr="00A32AF4">
              <w:rPr>
                <w:rFonts w:cs="Arial"/>
                <w:sz w:val="16"/>
                <w:szCs w:val="16"/>
                <w:lang w:eastAsia="fr-FR"/>
              </w:rPr>
              <w:t>’</w:t>
            </w:r>
            <w:r w:rsidRPr="00A32AF4">
              <w:rPr>
                <w:rFonts w:cs="Arial"/>
                <w:sz w:val="16"/>
                <w:szCs w:val="16"/>
                <w:lang w:eastAsia="fr-FR"/>
              </w:rPr>
              <w:t>obligation redditionnelle, de l</w:t>
            </w:r>
            <w:r w:rsidR="00E2055A" w:rsidRPr="00A32AF4">
              <w:rPr>
                <w:rFonts w:cs="Arial"/>
                <w:sz w:val="16"/>
                <w:szCs w:val="16"/>
                <w:lang w:eastAsia="fr-FR"/>
              </w:rPr>
              <w:t>’</w:t>
            </w:r>
            <w:r w:rsidRPr="00A32AF4">
              <w:rPr>
                <w:rFonts w:cs="Arial"/>
                <w:sz w:val="16"/>
                <w:szCs w:val="16"/>
                <w:lang w:eastAsia="fr-FR"/>
              </w:rPr>
              <w:t>apprentissage institutionnel, de l</w:t>
            </w:r>
            <w:r w:rsidR="00E2055A" w:rsidRPr="00A32AF4">
              <w:rPr>
                <w:rFonts w:cs="Arial"/>
                <w:sz w:val="16"/>
                <w:szCs w:val="16"/>
                <w:lang w:eastAsia="fr-FR"/>
              </w:rPr>
              <w:t>’</w:t>
            </w:r>
            <w:r w:rsidRPr="00A32AF4">
              <w:rPr>
                <w:rFonts w:cs="Arial"/>
                <w:sz w:val="16"/>
                <w:szCs w:val="16"/>
                <w:lang w:eastAsia="fr-FR"/>
              </w:rPr>
              <w:t>optimisation des ressources financières, de l</w:t>
            </w:r>
            <w:r w:rsidR="00E2055A" w:rsidRPr="00A32AF4">
              <w:rPr>
                <w:rFonts w:cs="Arial"/>
                <w:sz w:val="16"/>
                <w:szCs w:val="16"/>
                <w:lang w:eastAsia="fr-FR"/>
              </w:rPr>
              <w:t>’</w:t>
            </w:r>
            <w:r w:rsidRPr="00A32AF4">
              <w:rPr>
                <w:rFonts w:cs="Arial"/>
                <w:sz w:val="16"/>
                <w:szCs w:val="16"/>
                <w:lang w:eastAsia="fr-FR"/>
              </w:rPr>
              <w:t>administration, du contrôle interne et de la gestion institutionnelle avec le concours d</w:t>
            </w:r>
            <w:r w:rsidR="00E2055A" w:rsidRPr="00A32AF4">
              <w:rPr>
                <w:rFonts w:cs="Arial"/>
                <w:sz w:val="16"/>
                <w:szCs w:val="16"/>
                <w:lang w:eastAsia="fr-FR"/>
              </w:rPr>
              <w:t>’</w:t>
            </w:r>
            <w:r w:rsidRPr="00A32AF4">
              <w:rPr>
                <w:rFonts w:cs="Arial"/>
                <w:sz w:val="16"/>
                <w:szCs w:val="16"/>
                <w:lang w:eastAsia="fr-FR"/>
              </w:rPr>
              <w:t>une supervision indépendante efficace</w:t>
            </w:r>
          </w:p>
        </w:tc>
        <w:tc>
          <w:tcPr>
            <w:tcW w:w="1260" w:type="dxa"/>
            <w:tcBorders>
              <w:bottom w:val="single" w:sz="4" w:space="0" w:color="auto"/>
            </w:tcBorders>
            <w:shd w:val="clear" w:color="auto" w:fill="auto"/>
            <w:tcMar>
              <w:top w:w="113" w:type="dxa"/>
              <w:bottom w:w="113" w:type="dxa"/>
            </w:tcMar>
            <w:vAlign w:val="center"/>
            <w:hideMark/>
          </w:tcPr>
          <w:p w:rsidR="00451DF0" w:rsidRPr="00A32AF4" w:rsidRDefault="00451DF0" w:rsidP="00DC0553">
            <w:pPr>
              <w:jc w:val="right"/>
              <w:rPr>
                <w:rFonts w:cs="Arial"/>
                <w:sz w:val="16"/>
                <w:szCs w:val="16"/>
                <w:lang w:eastAsia="fr-FR"/>
              </w:rPr>
            </w:pPr>
            <w:r w:rsidRPr="00A32AF4">
              <w:rPr>
                <w:rFonts w:cs="Arial"/>
                <w:sz w:val="16"/>
                <w:szCs w:val="16"/>
                <w:lang w:eastAsia="fr-FR"/>
              </w:rPr>
              <w:t xml:space="preserve">1 524 </w:t>
            </w:r>
          </w:p>
        </w:tc>
        <w:tc>
          <w:tcPr>
            <w:tcW w:w="1440" w:type="dxa"/>
            <w:tcBorders>
              <w:bottom w:val="single" w:sz="4" w:space="0" w:color="auto"/>
            </w:tcBorders>
            <w:shd w:val="clear" w:color="auto" w:fill="auto"/>
            <w:noWrap/>
            <w:tcMar>
              <w:top w:w="113" w:type="dxa"/>
              <w:bottom w:w="113" w:type="dxa"/>
            </w:tcMar>
            <w:vAlign w:val="center"/>
            <w:hideMark/>
          </w:tcPr>
          <w:p w:rsidR="00451DF0" w:rsidRPr="00A32AF4" w:rsidRDefault="00451DF0" w:rsidP="00DC0553">
            <w:pPr>
              <w:jc w:val="right"/>
              <w:rPr>
                <w:rFonts w:cs="Arial"/>
                <w:sz w:val="16"/>
                <w:szCs w:val="16"/>
                <w:lang w:eastAsia="fr-FR"/>
              </w:rPr>
            </w:pPr>
            <w:r w:rsidRPr="00A32AF4">
              <w:rPr>
                <w:rFonts w:cs="Arial"/>
                <w:sz w:val="16"/>
                <w:szCs w:val="16"/>
                <w:lang w:eastAsia="fr-FR"/>
              </w:rPr>
              <w:t xml:space="preserve">2 614 </w:t>
            </w:r>
          </w:p>
        </w:tc>
        <w:tc>
          <w:tcPr>
            <w:tcW w:w="1260" w:type="dxa"/>
            <w:tcBorders>
              <w:bottom w:val="single" w:sz="4" w:space="0" w:color="auto"/>
            </w:tcBorders>
            <w:shd w:val="clear" w:color="auto" w:fill="auto"/>
            <w:noWrap/>
            <w:tcMar>
              <w:top w:w="113" w:type="dxa"/>
              <w:bottom w:w="113" w:type="dxa"/>
            </w:tcMar>
            <w:vAlign w:val="center"/>
            <w:hideMark/>
          </w:tcPr>
          <w:p w:rsidR="00451DF0" w:rsidRPr="00A32AF4" w:rsidRDefault="00451DF0" w:rsidP="00DC0553">
            <w:pPr>
              <w:jc w:val="right"/>
              <w:rPr>
                <w:rFonts w:cs="Arial"/>
                <w:color w:val="000000"/>
                <w:sz w:val="16"/>
                <w:szCs w:val="16"/>
                <w:lang w:eastAsia="fr-FR"/>
              </w:rPr>
            </w:pPr>
            <w:r w:rsidRPr="00A32AF4">
              <w:rPr>
                <w:rFonts w:cs="Arial"/>
                <w:color w:val="000000"/>
                <w:sz w:val="16"/>
                <w:szCs w:val="16"/>
                <w:lang w:eastAsia="fr-FR"/>
              </w:rPr>
              <w:t xml:space="preserve">1 677 </w:t>
            </w:r>
          </w:p>
        </w:tc>
      </w:tr>
      <w:tr w:rsidR="00451DF0" w:rsidRPr="00A32AF4" w:rsidTr="0004221C">
        <w:trPr>
          <w:cantSplit/>
        </w:trPr>
        <w:tc>
          <w:tcPr>
            <w:tcW w:w="500" w:type="dxa"/>
            <w:tcBorders>
              <w:top w:val="single" w:sz="4" w:space="0" w:color="auto"/>
              <w:bottom w:val="single" w:sz="4" w:space="0" w:color="auto"/>
            </w:tcBorders>
            <w:shd w:val="clear" w:color="000000" w:fill="C5D9F1"/>
            <w:noWrap/>
            <w:tcMar>
              <w:top w:w="113" w:type="dxa"/>
              <w:bottom w:w="113" w:type="dxa"/>
            </w:tcMar>
            <w:vAlign w:val="bottom"/>
            <w:hideMark/>
          </w:tcPr>
          <w:p w:rsidR="00451DF0" w:rsidRPr="00A32AF4" w:rsidRDefault="00451DF0" w:rsidP="00DC0553">
            <w:pPr>
              <w:rPr>
                <w:rFonts w:cs="Arial"/>
                <w:sz w:val="16"/>
                <w:szCs w:val="16"/>
                <w:lang w:eastAsia="fr-FR"/>
              </w:rPr>
            </w:pPr>
            <w:r w:rsidRPr="00A32AF4">
              <w:rPr>
                <w:rFonts w:cs="Arial"/>
                <w:sz w:val="16"/>
                <w:szCs w:val="16"/>
                <w:lang w:eastAsia="fr-FR"/>
              </w:rPr>
              <w:t> </w:t>
            </w:r>
          </w:p>
        </w:tc>
        <w:tc>
          <w:tcPr>
            <w:tcW w:w="4520" w:type="dxa"/>
            <w:tcBorders>
              <w:top w:val="single" w:sz="4" w:space="0" w:color="auto"/>
              <w:bottom w:val="single" w:sz="4" w:space="0" w:color="auto"/>
            </w:tcBorders>
            <w:shd w:val="clear" w:color="000000" w:fill="C5D9F1"/>
            <w:noWrap/>
            <w:tcMar>
              <w:top w:w="113" w:type="dxa"/>
              <w:bottom w:w="113" w:type="dxa"/>
            </w:tcMar>
            <w:vAlign w:val="bottom"/>
            <w:hideMark/>
          </w:tcPr>
          <w:p w:rsidR="00451DF0" w:rsidRPr="00A32AF4" w:rsidRDefault="00451DF0" w:rsidP="00DC0553">
            <w:pPr>
              <w:rPr>
                <w:rFonts w:cs="Arial"/>
                <w:b/>
                <w:bCs/>
                <w:sz w:val="16"/>
                <w:szCs w:val="16"/>
                <w:lang w:eastAsia="fr-FR"/>
              </w:rPr>
            </w:pPr>
            <w:r w:rsidRPr="00A32AF4">
              <w:rPr>
                <w:rFonts w:cs="Arial"/>
                <w:b/>
                <w:bCs/>
                <w:sz w:val="16"/>
                <w:szCs w:val="16"/>
                <w:lang w:eastAsia="fr-FR"/>
              </w:rPr>
              <w:t>Total</w:t>
            </w:r>
          </w:p>
        </w:tc>
        <w:tc>
          <w:tcPr>
            <w:tcW w:w="1260" w:type="dxa"/>
            <w:tcBorders>
              <w:top w:val="single" w:sz="4" w:space="0" w:color="auto"/>
              <w:bottom w:val="single" w:sz="4" w:space="0" w:color="auto"/>
            </w:tcBorders>
            <w:shd w:val="clear" w:color="000000" w:fill="C5D9F1"/>
            <w:noWrap/>
            <w:tcMar>
              <w:top w:w="113" w:type="dxa"/>
              <w:bottom w:w="113" w:type="dxa"/>
            </w:tcMar>
            <w:vAlign w:val="bottom"/>
            <w:hideMark/>
          </w:tcPr>
          <w:p w:rsidR="00451DF0" w:rsidRPr="00A32AF4" w:rsidRDefault="00451DF0" w:rsidP="00DC0553">
            <w:pPr>
              <w:jc w:val="right"/>
              <w:rPr>
                <w:rFonts w:cs="Arial"/>
                <w:b/>
                <w:bCs/>
                <w:sz w:val="16"/>
                <w:szCs w:val="16"/>
                <w:lang w:eastAsia="fr-FR"/>
              </w:rPr>
            </w:pPr>
            <w:r w:rsidRPr="00A32AF4">
              <w:rPr>
                <w:rFonts w:cs="Arial"/>
                <w:b/>
                <w:bCs/>
                <w:sz w:val="16"/>
                <w:szCs w:val="16"/>
                <w:lang w:eastAsia="fr-FR"/>
              </w:rPr>
              <w:t>28</w:t>
            </w:r>
            <w:r w:rsidR="00FD43E3" w:rsidRPr="00A32AF4">
              <w:rPr>
                <w:rFonts w:cs="Arial"/>
                <w:b/>
                <w:bCs/>
                <w:sz w:val="16"/>
                <w:szCs w:val="16"/>
                <w:lang w:eastAsia="fr-FR"/>
              </w:rPr>
              <w:t> </w:t>
            </w:r>
            <w:r w:rsidRPr="00A32AF4">
              <w:rPr>
                <w:rFonts w:cs="Arial"/>
                <w:b/>
                <w:bCs/>
                <w:sz w:val="16"/>
                <w:szCs w:val="16"/>
                <w:lang w:eastAsia="fr-FR"/>
              </w:rPr>
              <w:t xml:space="preserve">032 </w:t>
            </w:r>
          </w:p>
        </w:tc>
        <w:tc>
          <w:tcPr>
            <w:tcW w:w="1440" w:type="dxa"/>
            <w:tcBorders>
              <w:top w:val="single" w:sz="4" w:space="0" w:color="auto"/>
              <w:bottom w:val="single" w:sz="4" w:space="0" w:color="auto"/>
            </w:tcBorders>
            <w:shd w:val="clear" w:color="000000" w:fill="C5D9F1"/>
            <w:noWrap/>
            <w:tcMar>
              <w:top w:w="113" w:type="dxa"/>
              <w:bottom w:w="113" w:type="dxa"/>
            </w:tcMar>
            <w:vAlign w:val="bottom"/>
            <w:hideMark/>
          </w:tcPr>
          <w:p w:rsidR="00451DF0" w:rsidRPr="00A32AF4" w:rsidRDefault="00451DF0" w:rsidP="00DC0553">
            <w:pPr>
              <w:jc w:val="right"/>
              <w:rPr>
                <w:rFonts w:cs="Arial"/>
                <w:b/>
                <w:bCs/>
                <w:sz w:val="16"/>
                <w:szCs w:val="16"/>
                <w:lang w:eastAsia="fr-FR"/>
              </w:rPr>
            </w:pPr>
            <w:r w:rsidRPr="00A32AF4">
              <w:rPr>
                <w:rFonts w:cs="Arial"/>
                <w:b/>
                <w:bCs/>
                <w:sz w:val="16"/>
                <w:szCs w:val="16"/>
                <w:lang w:eastAsia="fr-FR"/>
              </w:rPr>
              <w:t>28</w:t>
            </w:r>
            <w:r w:rsidR="00FD43E3" w:rsidRPr="00A32AF4">
              <w:rPr>
                <w:rFonts w:cs="Arial"/>
                <w:b/>
                <w:bCs/>
                <w:sz w:val="16"/>
                <w:szCs w:val="16"/>
                <w:lang w:eastAsia="fr-FR"/>
              </w:rPr>
              <w:t> </w:t>
            </w:r>
            <w:r w:rsidRPr="00A32AF4">
              <w:rPr>
                <w:rFonts w:cs="Arial"/>
                <w:b/>
                <w:bCs/>
                <w:sz w:val="16"/>
                <w:szCs w:val="16"/>
                <w:lang w:eastAsia="fr-FR"/>
              </w:rPr>
              <w:t xml:space="preserve">181 </w:t>
            </w:r>
          </w:p>
        </w:tc>
        <w:tc>
          <w:tcPr>
            <w:tcW w:w="1260" w:type="dxa"/>
            <w:tcBorders>
              <w:top w:val="single" w:sz="4" w:space="0" w:color="auto"/>
              <w:bottom w:val="single" w:sz="4" w:space="0" w:color="auto"/>
            </w:tcBorders>
            <w:shd w:val="clear" w:color="000000" w:fill="C5D9F1"/>
            <w:noWrap/>
            <w:tcMar>
              <w:top w:w="113" w:type="dxa"/>
              <w:bottom w:w="113" w:type="dxa"/>
            </w:tcMar>
            <w:vAlign w:val="bottom"/>
            <w:hideMark/>
          </w:tcPr>
          <w:p w:rsidR="00451DF0" w:rsidRPr="00A32AF4" w:rsidRDefault="00451DF0" w:rsidP="00DC0553">
            <w:pPr>
              <w:jc w:val="right"/>
              <w:rPr>
                <w:rFonts w:cs="Arial"/>
                <w:b/>
                <w:bCs/>
                <w:sz w:val="16"/>
                <w:szCs w:val="16"/>
                <w:lang w:eastAsia="fr-FR"/>
              </w:rPr>
            </w:pPr>
            <w:r w:rsidRPr="00A32AF4">
              <w:rPr>
                <w:rFonts w:cs="Arial"/>
                <w:b/>
                <w:bCs/>
                <w:sz w:val="16"/>
                <w:szCs w:val="16"/>
                <w:lang w:eastAsia="fr-FR"/>
              </w:rPr>
              <w:t>33</w:t>
            </w:r>
            <w:r w:rsidR="00FD43E3" w:rsidRPr="00A32AF4">
              <w:rPr>
                <w:rFonts w:cs="Arial"/>
                <w:b/>
                <w:bCs/>
                <w:sz w:val="16"/>
                <w:szCs w:val="16"/>
                <w:lang w:eastAsia="fr-FR"/>
              </w:rPr>
              <w:t> </w:t>
            </w:r>
            <w:r w:rsidRPr="00A32AF4">
              <w:rPr>
                <w:rFonts w:cs="Arial"/>
                <w:b/>
                <w:bCs/>
                <w:sz w:val="16"/>
                <w:szCs w:val="16"/>
                <w:lang w:eastAsia="fr-FR"/>
              </w:rPr>
              <w:t xml:space="preserve">276 </w:t>
            </w:r>
          </w:p>
        </w:tc>
      </w:tr>
    </w:tbl>
    <w:p w:rsidR="005240BB" w:rsidRPr="00A32AF4" w:rsidRDefault="005240BB">
      <w:pPr>
        <w:rPr>
          <w:rFonts w:cs="Arial"/>
          <w:b/>
        </w:rPr>
      </w:pPr>
      <w:r w:rsidRPr="00A32AF4">
        <w:rPr>
          <w:rFonts w:cs="Arial"/>
          <w:b/>
        </w:rPr>
        <w:br w:type="page"/>
      </w:r>
    </w:p>
    <w:p w:rsidR="00F93B76" w:rsidRPr="00A32AF4" w:rsidRDefault="00451DF0" w:rsidP="00DC0553">
      <w:pPr>
        <w:keepNext/>
        <w:keepLines/>
        <w:autoSpaceDE w:val="0"/>
        <w:autoSpaceDN w:val="0"/>
        <w:jc w:val="center"/>
        <w:rPr>
          <w:rFonts w:cs="Arial"/>
          <w:b/>
        </w:rPr>
      </w:pPr>
      <w:r w:rsidRPr="00A32AF4">
        <w:rPr>
          <w:rFonts w:cs="Arial"/>
          <w:b/>
        </w:rPr>
        <w:t>Programme 22 : ressources par objet de dépense</w:t>
      </w:r>
    </w:p>
    <w:p w:rsidR="00F93B76" w:rsidRPr="00A32AF4" w:rsidRDefault="00451DF0" w:rsidP="00DC0553">
      <w:pPr>
        <w:keepNext/>
        <w:keepLines/>
        <w:autoSpaceDE w:val="0"/>
        <w:autoSpaceDN w:val="0"/>
        <w:jc w:val="center"/>
        <w:rPr>
          <w:rFonts w:cs="Arial"/>
          <w:i/>
        </w:rPr>
      </w:pPr>
      <w:r w:rsidRPr="00A32AF4">
        <w:rPr>
          <w:rFonts w:cs="Arial"/>
          <w:i/>
        </w:rPr>
        <w:t>(</w:t>
      </w:r>
      <w:proofErr w:type="gramStart"/>
      <w:r w:rsidRPr="00A32AF4">
        <w:rPr>
          <w:rFonts w:cs="Arial"/>
          <w:i/>
        </w:rPr>
        <w:t>en</w:t>
      </w:r>
      <w:proofErr w:type="gramEnd"/>
      <w:r w:rsidRPr="00A32AF4">
        <w:rPr>
          <w:rFonts w:cs="Arial"/>
          <w:i/>
        </w:rPr>
        <w:t xml:space="preserve"> milliers de francs suisses)</w:t>
      </w:r>
    </w:p>
    <w:p w:rsidR="00F93B76" w:rsidRPr="00A32AF4" w:rsidRDefault="00F93B76" w:rsidP="00DC0553">
      <w:pPr>
        <w:keepNext/>
        <w:rPr>
          <w:rFonts w:eastAsia="SimSun"/>
        </w:rPr>
      </w:pPr>
    </w:p>
    <w:p w:rsidR="00F93B76" w:rsidRPr="00A32AF4" w:rsidRDefault="005240BB" w:rsidP="00DC0553">
      <w:pPr>
        <w:rPr>
          <w:rFonts w:eastAsia="SimSun"/>
        </w:rPr>
      </w:pPr>
      <w:r w:rsidRPr="00A32AF4">
        <w:rPr>
          <w:rFonts w:eastAsia="SimSun"/>
          <w:noProof/>
          <w:lang w:eastAsia="fr-FR"/>
        </w:rPr>
        <w:drawing>
          <wp:inline distT="0" distB="0" distL="0" distR="0" wp14:anchorId="6FADF8A2" wp14:editId="002842F6">
            <wp:extent cx="5512435" cy="6555105"/>
            <wp:effectExtent l="0" t="0" r="0" b="0"/>
            <wp:docPr id="1056" name="Picture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5512435" cy="6555105"/>
                    </a:xfrm>
                    <a:prstGeom prst="rect">
                      <a:avLst/>
                    </a:prstGeom>
                    <a:noFill/>
                    <a:ln>
                      <a:noFill/>
                    </a:ln>
                  </pic:spPr>
                </pic:pic>
              </a:graphicData>
            </a:graphic>
          </wp:inline>
        </w:drawing>
      </w:r>
    </w:p>
    <w:p w:rsidR="00F93B76" w:rsidRPr="00A32AF4" w:rsidRDefault="00451DF0" w:rsidP="00DC0553">
      <w:pPr>
        <w:rPr>
          <w:rFonts w:ascii="Arial Bold" w:hAnsi="Arial Bold" w:cs="Arial"/>
          <w:b/>
          <w:caps/>
          <w:szCs w:val="22"/>
          <w:lang w:eastAsia="da-DK"/>
        </w:rPr>
      </w:pPr>
      <w:r w:rsidRPr="00A32AF4">
        <w:rPr>
          <w:lang w:eastAsia="da-DK"/>
        </w:rPr>
        <w:br w:type="page"/>
      </w:r>
    </w:p>
    <w:p w:rsidR="008375EE" w:rsidRPr="00A32AF4" w:rsidRDefault="00D21583" w:rsidP="00FB1F61">
      <w:pPr>
        <w:pStyle w:val="Heading3"/>
      </w:pPr>
      <w:bookmarkStart w:id="63" w:name="_Toc431555468"/>
      <w:r w:rsidRPr="00A32AF4">
        <w:t>Programme </w:t>
      </w:r>
      <w:r w:rsidR="008375EE" w:rsidRPr="00A32AF4">
        <w:t xml:space="preserve">23 </w:t>
      </w:r>
      <w:r w:rsidR="008375EE" w:rsidRPr="00A32AF4">
        <w:tab/>
        <w:t>Gestion et mise en valeur des ressources humaines</w:t>
      </w:r>
      <w:bookmarkEnd w:id="63"/>
    </w:p>
    <w:p w:rsidR="008375EE" w:rsidRPr="00A32AF4" w:rsidRDefault="008375EE" w:rsidP="00DC0553">
      <w:pPr>
        <w:rPr>
          <w:rFonts w:cs="Arial"/>
        </w:rPr>
      </w:pPr>
    </w:p>
    <w:p w:rsidR="008375EE" w:rsidRPr="00A32AF4" w:rsidRDefault="008375EE" w:rsidP="00DC0553">
      <w:pPr>
        <w:rPr>
          <w:rFonts w:cs="Arial"/>
        </w:rPr>
      </w:pPr>
    </w:p>
    <w:p w:rsidR="008375EE" w:rsidRPr="00A32AF4" w:rsidRDefault="008375EE" w:rsidP="00DC0553">
      <w:r w:rsidRPr="00A32AF4">
        <w:t>CONTEXTE DE PLANIFICATION</w:t>
      </w:r>
    </w:p>
    <w:p w:rsidR="008375EE" w:rsidRPr="00A32AF4" w:rsidRDefault="008375EE" w:rsidP="00DC0553">
      <w:pPr>
        <w:rPr>
          <w:rFonts w:cs="Arial"/>
        </w:rPr>
      </w:pPr>
    </w:p>
    <w:p w:rsidR="008375EE" w:rsidRPr="00A32AF4" w:rsidRDefault="008375EE" w:rsidP="00DC0553">
      <w:pPr>
        <w:pStyle w:val="ListParagraph"/>
        <w:numPr>
          <w:ilvl w:val="0"/>
          <w:numId w:val="63"/>
        </w:numPr>
        <w:tabs>
          <w:tab w:val="left" w:pos="709"/>
        </w:tabs>
        <w:spacing w:after="0" w:line="240" w:lineRule="auto"/>
        <w:ind w:left="0" w:firstLine="0"/>
        <w:jc w:val="both"/>
        <w:rPr>
          <w:rFonts w:ascii="Arial" w:hAnsi="Arial" w:cs="Arial"/>
        </w:rPr>
      </w:pPr>
      <w:r w:rsidRPr="00A32AF4">
        <w:rPr>
          <w:rFonts w:ascii="Arial" w:hAnsi="Arial" w:cs="Arial"/>
        </w:rPr>
        <w:t>Afin d</w:t>
      </w:r>
      <w:r w:rsidR="00E2055A" w:rsidRPr="00A32AF4">
        <w:rPr>
          <w:rFonts w:ascii="Arial" w:hAnsi="Arial" w:cs="Arial"/>
        </w:rPr>
        <w:t>’</w:t>
      </w:r>
      <w:r w:rsidRPr="00A32AF4">
        <w:rPr>
          <w:rFonts w:ascii="Arial" w:hAnsi="Arial" w:cs="Arial"/>
        </w:rPr>
        <w:t>atteindre ses objectifs fondamentaux, l</w:t>
      </w:r>
      <w:r w:rsidR="00E2055A" w:rsidRPr="00A32AF4">
        <w:rPr>
          <w:rFonts w:ascii="Arial" w:hAnsi="Arial" w:cs="Arial"/>
        </w:rPr>
        <w:t>’</w:t>
      </w:r>
      <w:r w:rsidRPr="00A32AF4">
        <w:rPr>
          <w:rFonts w:ascii="Arial" w:hAnsi="Arial" w:cs="Arial"/>
        </w:rPr>
        <w:t>OMPI doit disposer d</w:t>
      </w:r>
      <w:r w:rsidR="00E2055A" w:rsidRPr="00A32AF4">
        <w:rPr>
          <w:rFonts w:ascii="Arial" w:hAnsi="Arial" w:cs="Arial"/>
        </w:rPr>
        <w:t>’</w:t>
      </w:r>
      <w:r w:rsidRPr="00A32AF4">
        <w:rPr>
          <w:rFonts w:ascii="Arial" w:hAnsi="Arial" w:cs="Arial"/>
        </w:rPr>
        <w:t>un Secrétariat efficace, avec un personnel bien géré et convenablement formé, ainsi que des politiques claires, des procédures efficaces et des systèmes modernes.  Ainsi, de nombreux défis auxquels était confrontée l</w:t>
      </w:r>
      <w:r w:rsidR="00E2055A" w:rsidRPr="00A32AF4">
        <w:rPr>
          <w:rFonts w:ascii="Arial" w:hAnsi="Arial" w:cs="Arial"/>
        </w:rPr>
        <w:t>’</w:t>
      </w:r>
      <w:r w:rsidRPr="00A32AF4">
        <w:rPr>
          <w:rFonts w:ascii="Arial" w:hAnsi="Arial" w:cs="Arial"/>
        </w:rPr>
        <w:t xml:space="preserve">Organisation ont été abordés dans le cadre de la mise en œuvre de la stratégie en matière de ressources humaines.  Toutefois, certains défis restent </w:t>
      </w:r>
      <w:proofErr w:type="gramStart"/>
      <w:r w:rsidRPr="00A32AF4">
        <w:rPr>
          <w:rFonts w:ascii="Arial" w:hAnsi="Arial" w:cs="Arial"/>
        </w:rPr>
        <w:t>d</w:t>
      </w:r>
      <w:r w:rsidR="00E2055A" w:rsidRPr="00A32AF4">
        <w:rPr>
          <w:rFonts w:ascii="Arial" w:hAnsi="Arial" w:cs="Arial"/>
        </w:rPr>
        <w:t>’</w:t>
      </w:r>
      <w:r w:rsidRPr="00A32AF4">
        <w:rPr>
          <w:rFonts w:ascii="Arial" w:hAnsi="Arial" w:cs="Arial"/>
        </w:rPr>
        <w:t>actualité;</w:t>
      </w:r>
      <w:proofErr w:type="gramEnd"/>
      <w:r w:rsidRPr="00A32AF4">
        <w:rPr>
          <w:rFonts w:ascii="Arial" w:hAnsi="Arial" w:cs="Arial"/>
        </w:rPr>
        <w:t xml:space="preserve">  il est notamment nécessaire de faire en sorte que les compétences du personnel restent adéquates face aux besoins changeants de l</w:t>
      </w:r>
      <w:r w:rsidR="00E2055A" w:rsidRPr="00A32AF4">
        <w:rPr>
          <w:rFonts w:ascii="Arial" w:hAnsi="Arial" w:cs="Arial"/>
        </w:rPr>
        <w:t>’</w:t>
      </w:r>
      <w:r w:rsidRPr="00A32AF4">
        <w:rPr>
          <w:rFonts w:ascii="Arial" w:hAnsi="Arial" w:cs="Arial"/>
        </w:rPr>
        <w:t>Organisation et de favoriser la parité et la diversité géographique.</w:t>
      </w:r>
    </w:p>
    <w:p w:rsidR="008375EE" w:rsidRPr="00A32AF4" w:rsidRDefault="008375EE" w:rsidP="00DC0553">
      <w:pPr>
        <w:pStyle w:val="ListParagraph"/>
        <w:ind w:left="0"/>
        <w:jc w:val="both"/>
        <w:rPr>
          <w:rFonts w:ascii="Arial" w:hAnsi="Arial" w:cs="Arial"/>
        </w:rPr>
      </w:pPr>
    </w:p>
    <w:p w:rsidR="008375EE" w:rsidRPr="00A32AF4" w:rsidRDefault="008375EE" w:rsidP="00DC0553">
      <w:pPr>
        <w:pStyle w:val="ListParagraph"/>
        <w:numPr>
          <w:ilvl w:val="0"/>
          <w:numId w:val="63"/>
        </w:numPr>
        <w:spacing w:after="0" w:line="240" w:lineRule="auto"/>
        <w:ind w:left="0" w:firstLine="0"/>
        <w:jc w:val="both"/>
        <w:rPr>
          <w:rFonts w:ascii="Arial" w:hAnsi="Arial" w:cs="Arial"/>
        </w:rPr>
      </w:pPr>
      <w:r w:rsidRPr="00A32AF4">
        <w:rPr>
          <w:rFonts w:ascii="Arial" w:hAnsi="Arial" w:cs="Arial"/>
        </w:rPr>
        <w:t>La phase finale de la mise en œuvre de l</w:t>
      </w:r>
      <w:r w:rsidR="00E2055A" w:rsidRPr="00A32AF4">
        <w:rPr>
          <w:rFonts w:ascii="Arial" w:hAnsi="Arial" w:cs="Arial"/>
        </w:rPr>
        <w:t>’</w:t>
      </w:r>
      <w:r w:rsidRPr="00A32AF4">
        <w:rPr>
          <w:rFonts w:ascii="Arial" w:hAnsi="Arial" w:cs="Arial"/>
        </w:rPr>
        <w:t>ERP permettra d</w:t>
      </w:r>
      <w:r w:rsidR="00E2055A" w:rsidRPr="00A32AF4">
        <w:rPr>
          <w:rFonts w:ascii="Arial" w:hAnsi="Arial" w:cs="Arial"/>
        </w:rPr>
        <w:t>’</w:t>
      </w:r>
      <w:r w:rsidRPr="00A32AF4">
        <w:rPr>
          <w:rFonts w:ascii="Arial" w:hAnsi="Arial" w:cs="Arial"/>
        </w:rPr>
        <w:t>intégrer davantage les mécanismes et les systèmes de gestion des ressources humaines au sein du DGRH ainsi que de toute l</w:t>
      </w:r>
      <w:r w:rsidR="00E2055A" w:rsidRPr="00A32AF4">
        <w:rPr>
          <w:rFonts w:ascii="Arial" w:hAnsi="Arial" w:cs="Arial"/>
        </w:rPr>
        <w:t>’</w:t>
      </w:r>
      <w:r w:rsidRPr="00A32AF4">
        <w:rPr>
          <w:rFonts w:ascii="Arial" w:hAnsi="Arial" w:cs="Arial"/>
        </w:rPr>
        <w:t>Organisation.</w:t>
      </w:r>
    </w:p>
    <w:p w:rsidR="008375EE" w:rsidRPr="00A32AF4" w:rsidRDefault="008375EE" w:rsidP="00DC0553">
      <w:pPr>
        <w:rPr>
          <w:rFonts w:cs="Arial"/>
        </w:rPr>
      </w:pPr>
    </w:p>
    <w:p w:rsidR="008375EE" w:rsidRPr="00A32AF4" w:rsidRDefault="008375EE" w:rsidP="00DC0553">
      <w:pPr>
        <w:rPr>
          <w:rFonts w:cs="Arial"/>
        </w:rPr>
      </w:pPr>
    </w:p>
    <w:p w:rsidR="008375EE" w:rsidRPr="00A32AF4" w:rsidRDefault="008375EE" w:rsidP="00DC0553">
      <w:r w:rsidRPr="00A32AF4">
        <w:t>STRATÉGIES DE MISE EN ŒUVRE</w:t>
      </w:r>
    </w:p>
    <w:p w:rsidR="008375EE" w:rsidRPr="00A32AF4" w:rsidRDefault="008375EE" w:rsidP="00DC0553">
      <w:pPr>
        <w:rPr>
          <w:rFonts w:cs="Arial"/>
        </w:rPr>
      </w:pPr>
    </w:p>
    <w:p w:rsidR="008375EE" w:rsidRPr="00A32AF4" w:rsidRDefault="008375EE" w:rsidP="00DC0553">
      <w:pPr>
        <w:pStyle w:val="ListParagraph"/>
        <w:numPr>
          <w:ilvl w:val="0"/>
          <w:numId w:val="63"/>
        </w:numPr>
        <w:spacing w:after="0" w:line="240" w:lineRule="auto"/>
        <w:ind w:left="0" w:firstLine="0"/>
        <w:jc w:val="both"/>
        <w:rPr>
          <w:rFonts w:ascii="Arial" w:hAnsi="Arial" w:cs="Arial"/>
        </w:rPr>
      </w:pPr>
      <w:r w:rsidRPr="00A32AF4">
        <w:rPr>
          <w:rFonts w:ascii="Arial" w:hAnsi="Arial" w:cs="Arial"/>
        </w:rPr>
        <w:t>La parité et la diversité géographique retiendront particulièrement l</w:t>
      </w:r>
      <w:r w:rsidR="00E2055A" w:rsidRPr="00A32AF4">
        <w:rPr>
          <w:rFonts w:ascii="Arial" w:hAnsi="Arial" w:cs="Arial"/>
        </w:rPr>
        <w:t>’</w:t>
      </w:r>
      <w:r w:rsidRPr="00A32AF4">
        <w:rPr>
          <w:rFonts w:ascii="Arial" w:hAnsi="Arial" w:cs="Arial"/>
        </w:rPr>
        <w:t>attention durant cet exercice biennal.  Tout en recherchant de nouvelles candidates potentielles, davantage d</w:t>
      </w:r>
      <w:r w:rsidR="00E2055A" w:rsidRPr="00A32AF4">
        <w:rPr>
          <w:rFonts w:ascii="Arial" w:hAnsi="Arial" w:cs="Arial"/>
        </w:rPr>
        <w:t>’</w:t>
      </w:r>
      <w:r w:rsidRPr="00A32AF4">
        <w:rPr>
          <w:rFonts w:ascii="Arial" w:hAnsi="Arial" w:cs="Arial"/>
        </w:rPr>
        <w:t>efforts seront déployés pour renforcer les compétences des femmes en matière de gestion et de capacité de direction au sein de l</w:t>
      </w:r>
      <w:r w:rsidR="00E2055A" w:rsidRPr="00A32AF4">
        <w:rPr>
          <w:rFonts w:ascii="Arial" w:hAnsi="Arial" w:cs="Arial"/>
        </w:rPr>
        <w:t>’</w:t>
      </w:r>
      <w:r w:rsidRPr="00A32AF4">
        <w:rPr>
          <w:rFonts w:ascii="Arial" w:hAnsi="Arial" w:cs="Arial"/>
        </w:rPr>
        <w:t>Organisation afin qu</w:t>
      </w:r>
      <w:r w:rsidR="00E2055A" w:rsidRPr="00A32AF4">
        <w:rPr>
          <w:rFonts w:ascii="Arial" w:hAnsi="Arial" w:cs="Arial"/>
        </w:rPr>
        <w:t>’</w:t>
      </w:r>
      <w:r w:rsidRPr="00A32AF4">
        <w:rPr>
          <w:rFonts w:ascii="Arial" w:hAnsi="Arial" w:cs="Arial"/>
        </w:rPr>
        <w:t>elles puissent se hisser à des postes plus importants.  Conformément à la politique en matière d</w:t>
      </w:r>
      <w:r w:rsidR="00E2055A" w:rsidRPr="00A32AF4">
        <w:rPr>
          <w:rFonts w:ascii="Arial" w:hAnsi="Arial" w:cs="Arial"/>
        </w:rPr>
        <w:t>’</w:t>
      </w:r>
      <w:r w:rsidRPr="00A32AF4">
        <w:rPr>
          <w:rFonts w:ascii="Arial" w:hAnsi="Arial" w:cs="Arial"/>
        </w:rPr>
        <w:t>égalité des sexes, l</w:t>
      </w:r>
      <w:r w:rsidR="00E2055A" w:rsidRPr="00A32AF4">
        <w:rPr>
          <w:rFonts w:ascii="Arial" w:hAnsi="Arial" w:cs="Arial"/>
        </w:rPr>
        <w:t>’</w:t>
      </w:r>
      <w:r w:rsidRPr="00A32AF4">
        <w:rPr>
          <w:rFonts w:ascii="Arial" w:hAnsi="Arial" w:cs="Arial"/>
        </w:rPr>
        <w:t>OMPI renforcera les compétences du personnel, notamment celles des coordonnateurs pour les questions relatives à l</w:t>
      </w:r>
      <w:r w:rsidR="00E2055A" w:rsidRPr="00A32AF4">
        <w:rPr>
          <w:rFonts w:ascii="Arial" w:hAnsi="Arial" w:cs="Arial"/>
        </w:rPr>
        <w:t>’</w:t>
      </w:r>
      <w:r w:rsidRPr="00A32AF4">
        <w:rPr>
          <w:rFonts w:ascii="Arial" w:hAnsi="Arial" w:cs="Arial"/>
        </w:rPr>
        <w:t>égalité des sexes et du personnel d</w:t>
      </w:r>
      <w:r w:rsidR="00E2055A" w:rsidRPr="00A32AF4">
        <w:rPr>
          <w:rFonts w:ascii="Arial" w:hAnsi="Arial" w:cs="Arial"/>
        </w:rPr>
        <w:t>’</w:t>
      </w:r>
      <w:r w:rsidRPr="00A32AF4">
        <w:rPr>
          <w:rFonts w:ascii="Arial" w:hAnsi="Arial" w:cs="Arial"/>
        </w:rPr>
        <w:t>encadrement, et collaborera avec les États membres en vue d</w:t>
      </w:r>
      <w:r w:rsidR="00E2055A" w:rsidRPr="00A32AF4">
        <w:rPr>
          <w:rFonts w:ascii="Arial" w:hAnsi="Arial" w:cs="Arial"/>
        </w:rPr>
        <w:t>’</w:t>
      </w:r>
      <w:r w:rsidRPr="00A32AF4">
        <w:rPr>
          <w:rFonts w:ascii="Arial" w:hAnsi="Arial" w:cs="Arial"/>
        </w:rPr>
        <w:t>intégrer les questions relatives à la parité dans les programmes de l</w:t>
      </w:r>
      <w:r w:rsidR="00E2055A" w:rsidRPr="00A32AF4">
        <w:rPr>
          <w:rFonts w:ascii="Arial" w:hAnsi="Arial" w:cs="Arial"/>
        </w:rPr>
        <w:t>’</w:t>
      </w:r>
      <w:r w:rsidRPr="00A32AF4">
        <w:rPr>
          <w:rFonts w:ascii="Arial" w:hAnsi="Arial" w:cs="Arial"/>
        </w:rPr>
        <w:t>Organisation.</w:t>
      </w:r>
    </w:p>
    <w:p w:rsidR="008375EE" w:rsidRPr="00A32AF4" w:rsidRDefault="008375EE" w:rsidP="00DC0553">
      <w:pPr>
        <w:pStyle w:val="ListParagraph"/>
        <w:ind w:left="0"/>
        <w:jc w:val="both"/>
        <w:rPr>
          <w:rFonts w:ascii="Arial" w:hAnsi="Arial" w:cs="Arial"/>
        </w:rPr>
      </w:pPr>
    </w:p>
    <w:p w:rsidR="008375EE" w:rsidRPr="00A32AF4" w:rsidRDefault="008375EE" w:rsidP="00DC0553">
      <w:pPr>
        <w:pStyle w:val="ListParagraph"/>
        <w:numPr>
          <w:ilvl w:val="0"/>
          <w:numId w:val="63"/>
        </w:numPr>
        <w:spacing w:after="0" w:line="240" w:lineRule="auto"/>
        <w:ind w:left="0" w:firstLine="0"/>
        <w:jc w:val="both"/>
        <w:rPr>
          <w:rFonts w:ascii="Arial" w:hAnsi="Arial" w:cs="Arial"/>
        </w:rPr>
      </w:pPr>
      <w:r w:rsidRPr="00A32AF4">
        <w:rPr>
          <w:rFonts w:ascii="Arial" w:hAnsi="Arial" w:cs="Arial"/>
        </w:rPr>
        <w:t>En ce qui concerne la diversité géographique, des dispositions dynamiques seront prises, avec l</w:t>
      </w:r>
      <w:r w:rsidR="00E2055A" w:rsidRPr="00A32AF4">
        <w:rPr>
          <w:rFonts w:ascii="Arial" w:hAnsi="Arial" w:cs="Arial"/>
        </w:rPr>
        <w:t>’</w:t>
      </w:r>
      <w:r w:rsidRPr="00A32AF4">
        <w:rPr>
          <w:rFonts w:ascii="Arial" w:hAnsi="Arial" w:cs="Arial"/>
        </w:rPr>
        <w:t>appui des États membres, afin d</w:t>
      </w:r>
      <w:r w:rsidR="00E2055A" w:rsidRPr="00A32AF4">
        <w:rPr>
          <w:rFonts w:ascii="Arial" w:hAnsi="Arial" w:cs="Arial"/>
        </w:rPr>
        <w:t>’</w:t>
      </w:r>
      <w:r w:rsidRPr="00A32AF4">
        <w:rPr>
          <w:rFonts w:ascii="Arial" w:hAnsi="Arial" w:cs="Arial"/>
        </w:rPr>
        <w:t>entrer en contact avec des candidats potentiels originaires de pays qui sont peu représentés parmi les administrateurs et les fonctionnaires de rang supérieur.  Ces dispositions seront fondées sur les enseignements tirés des initiatives de sensibilisation mises en place à titre expérimental avec certains États membres en 2015.  De nouvelles fonctions offertes par l</w:t>
      </w:r>
      <w:r w:rsidR="00E2055A" w:rsidRPr="00A32AF4">
        <w:rPr>
          <w:rFonts w:ascii="Arial" w:hAnsi="Arial" w:cs="Arial"/>
        </w:rPr>
        <w:t>’</w:t>
      </w:r>
      <w:r w:rsidRPr="00A32AF4">
        <w:rPr>
          <w:rFonts w:ascii="Arial" w:hAnsi="Arial" w:cs="Arial"/>
        </w:rPr>
        <w:t>outil de recrutement TALEO seront également utilisées pour que l</w:t>
      </w:r>
      <w:r w:rsidR="00E2055A" w:rsidRPr="00A32AF4">
        <w:rPr>
          <w:rFonts w:ascii="Arial" w:hAnsi="Arial" w:cs="Arial"/>
        </w:rPr>
        <w:t>’</w:t>
      </w:r>
      <w:r w:rsidRPr="00A32AF4">
        <w:rPr>
          <w:rFonts w:ascii="Arial" w:hAnsi="Arial" w:cs="Arial"/>
        </w:rPr>
        <w:t xml:space="preserve">OMPI puisse procéder à un recrutement ciblé, </w:t>
      </w:r>
      <w:r w:rsidR="00E2055A" w:rsidRPr="00A32AF4">
        <w:rPr>
          <w:rFonts w:ascii="Arial" w:hAnsi="Arial" w:cs="Arial"/>
        </w:rPr>
        <w:t>y compris</w:t>
      </w:r>
      <w:r w:rsidRPr="00A32AF4">
        <w:rPr>
          <w:rFonts w:ascii="Arial" w:hAnsi="Arial" w:cs="Arial"/>
        </w:rPr>
        <w:t xml:space="preserve"> grâce à des campagnes d</w:t>
      </w:r>
      <w:r w:rsidR="00E2055A" w:rsidRPr="00A32AF4">
        <w:rPr>
          <w:rFonts w:ascii="Arial" w:hAnsi="Arial" w:cs="Arial"/>
        </w:rPr>
        <w:t>’</w:t>
      </w:r>
      <w:r w:rsidRPr="00A32AF4">
        <w:rPr>
          <w:rFonts w:ascii="Arial" w:hAnsi="Arial" w:cs="Arial"/>
        </w:rPr>
        <w:t>information dynamiques et au recrutement direct via des coordonnateurs au niveau national.</w:t>
      </w:r>
    </w:p>
    <w:p w:rsidR="008375EE" w:rsidRPr="00A32AF4" w:rsidRDefault="008375EE" w:rsidP="00DC0553">
      <w:pPr>
        <w:pStyle w:val="ListParagraph"/>
        <w:ind w:left="0"/>
        <w:jc w:val="both"/>
        <w:rPr>
          <w:rFonts w:ascii="Arial" w:hAnsi="Arial" w:cs="Arial"/>
        </w:rPr>
      </w:pPr>
    </w:p>
    <w:p w:rsidR="008375EE" w:rsidRPr="00A32AF4" w:rsidRDefault="008375EE" w:rsidP="00DC0553">
      <w:pPr>
        <w:pStyle w:val="ListParagraph"/>
        <w:numPr>
          <w:ilvl w:val="0"/>
          <w:numId w:val="63"/>
        </w:numPr>
        <w:spacing w:after="0" w:line="240" w:lineRule="auto"/>
        <w:ind w:left="0" w:firstLine="0"/>
        <w:jc w:val="both"/>
        <w:rPr>
          <w:rFonts w:ascii="Arial" w:hAnsi="Arial" w:cs="Arial"/>
        </w:rPr>
      </w:pPr>
      <w:r w:rsidRPr="00A32AF4">
        <w:rPr>
          <w:rFonts w:ascii="Arial" w:hAnsi="Arial" w:cs="Arial"/>
        </w:rPr>
        <w:t>L</w:t>
      </w:r>
      <w:r w:rsidR="00E2055A" w:rsidRPr="00A32AF4">
        <w:rPr>
          <w:rFonts w:ascii="Arial" w:hAnsi="Arial" w:cs="Arial"/>
        </w:rPr>
        <w:t>’</w:t>
      </w:r>
      <w:r w:rsidRPr="00A32AF4">
        <w:rPr>
          <w:rFonts w:ascii="Arial" w:hAnsi="Arial" w:cs="Arial"/>
        </w:rPr>
        <w:t>intégration de la planification des effectifs, parfaitement prise en compte dans les cycles de planification annuels et biennaux des travaux, permettra à l</w:t>
      </w:r>
      <w:r w:rsidR="00E2055A" w:rsidRPr="00A32AF4">
        <w:rPr>
          <w:rFonts w:ascii="Arial" w:hAnsi="Arial" w:cs="Arial"/>
        </w:rPr>
        <w:t>’</w:t>
      </w:r>
      <w:r w:rsidRPr="00A32AF4">
        <w:rPr>
          <w:rFonts w:ascii="Arial" w:hAnsi="Arial" w:cs="Arial"/>
        </w:rPr>
        <w:t>Organisation de réduire progressivement le décalage entre les besoins en personnel présents et futurs en examinant systématiquement les questions en la matière et en favorisant la prise de décision à moyen et long termes.  Cela se traduira notamment par une intégration plus poussée des concepts de planification des effectifs et des meilleures pratiques grâce aux améliorations apportées au système.  En outre, le personnel d</w:t>
      </w:r>
      <w:r w:rsidR="00E2055A" w:rsidRPr="00A32AF4">
        <w:rPr>
          <w:rFonts w:ascii="Arial" w:hAnsi="Arial" w:cs="Arial"/>
        </w:rPr>
        <w:t>’</w:t>
      </w:r>
      <w:r w:rsidRPr="00A32AF4">
        <w:rPr>
          <w:rFonts w:ascii="Arial" w:hAnsi="Arial" w:cs="Arial"/>
        </w:rPr>
        <w:t>encadrement de l</w:t>
      </w:r>
      <w:r w:rsidR="00E2055A" w:rsidRPr="00A32AF4">
        <w:rPr>
          <w:rFonts w:ascii="Arial" w:hAnsi="Arial" w:cs="Arial"/>
        </w:rPr>
        <w:t>’</w:t>
      </w:r>
      <w:r w:rsidRPr="00A32AF4">
        <w:rPr>
          <w:rFonts w:ascii="Arial" w:hAnsi="Arial" w:cs="Arial"/>
        </w:rPr>
        <w:t>OMPI sera plus à même de prévoir les besoins en personnel et de gérer les effectifs grâce à l</w:t>
      </w:r>
      <w:r w:rsidR="00E2055A" w:rsidRPr="00A32AF4">
        <w:rPr>
          <w:rFonts w:ascii="Arial" w:hAnsi="Arial" w:cs="Arial"/>
        </w:rPr>
        <w:t>’</w:t>
      </w:r>
      <w:r w:rsidRPr="00A32AF4">
        <w:rPr>
          <w:rFonts w:ascii="Arial" w:hAnsi="Arial" w:cs="Arial"/>
        </w:rPr>
        <w:t>amélioration des outils d</w:t>
      </w:r>
      <w:r w:rsidR="00E2055A" w:rsidRPr="00A32AF4">
        <w:rPr>
          <w:rFonts w:ascii="Arial" w:hAnsi="Arial" w:cs="Arial"/>
        </w:rPr>
        <w:t>’</w:t>
      </w:r>
      <w:r w:rsidRPr="00A32AF4">
        <w:rPr>
          <w:rFonts w:ascii="Arial" w:hAnsi="Arial" w:cs="Arial"/>
        </w:rPr>
        <w:t>établissement des rapports à l</w:t>
      </w:r>
      <w:r w:rsidR="00E2055A" w:rsidRPr="00A32AF4">
        <w:rPr>
          <w:rFonts w:ascii="Arial" w:hAnsi="Arial" w:cs="Arial"/>
        </w:rPr>
        <w:t>’</w:t>
      </w:r>
      <w:r w:rsidRPr="00A32AF4">
        <w:rPr>
          <w:rFonts w:ascii="Arial" w:hAnsi="Arial" w:cs="Arial"/>
        </w:rPr>
        <w:t>intention de la direction (veille stratégique).</w:t>
      </w:r>
    </w:p>
    <w:p w:rsidR="008375EE" w:rsidRPr="00A32AF4" w:rsidRDefault="008375EE" w:rsidP="00DC0553">
      <w:pPr>
        <w:rPr>
          <w:rFonts w:cs="Arial"/>
        </w:rPr>
      </w:pPr>
    </w:p>
    <w:p w:rsidR="008375EE" w:rsidRPr="00A32AF4" w:rsidRDefault="008375EE" w:rsidP="00DC0553">
      <w:pPr>
        <w:pStyle w:val="ListParagraph"/>
        <w:numPr>
          <w:ilvl w:val="0"/>
          <w:numId w:val="63"/>
        </w:numPr>
        <w:spacing w:after="0" w:line="240" w:lineRule="auto"/>
        <w:ind w:left="0" w:firstLine="0"/>
        <w:jc w:val="both"/>
        <w:rPr>
          <w:rFonts w:ascii="Arial" w:hAnsi="Arial" w:cs="Arial"/>
          <w:color w:val="000000"/>
        </w:rPr>
      </w:pPr>
      <w:proofErr w:type="gramStart"/>
      <w:r w:rsidRPr="00A32AF4">
        <w:rPr>
          <w:rFonts w:ascii="Arial" w:hAnsi="Arial" w:cs="Arial"/>
          <w:color w:val="000000"/>
        </w:rPr>
        <w:t>Après la mise en œuvre du Statut et Règlement du personnel révisé, approuvée par le Comité de coordination en 2012 et 2013, qui a notamment renforcé le système de justice interne, de nouveaux ajustements et améliorations seront apportés au Statut et Règlement du personnel ainsi qu</w:t>
      </w:r>
      <w:r w:rsidR="00E2055A" w:rsidRPr="00A32AF4">
        <w:rPr>
          <w:rFonts w:ascii="Arial" w:hAnsi="Arial" w:cs="Arial"/>
          <w:color w:val="000000"/>
        </w:rPr>
        <w:t>’</w:t>
      </w:r>
      <w:r w:rsidRPr="00A32AF4">
        <w:rPr>
          <w:rFonts w:ascii="Arial" w:hAnsi="Arial" w:cs="Arial"/>
          <w:color w:val="000000"/>
        </w:rPr>
        <w:t>aux politiques connexes en matière de ressources humaines au cours du prochain exercice biennal afin de garantir un règlement du personnel clair, moderne et actualisé qui répondrait aux besoins changeants de l</w:t>
      </w:r>
      <w:r w:rsidR="00E2055A" w:rsidRPr="00A32AF4">
        <w:rPr>
          <w:rFonts w:ascii="Arial" w:hAnsi="Arial" w:cs="Arial"/>
          <w:color w:val="000000"/>
        </w:rPr>
        <w:t>’</w:t>
      </w:r>
      <w:r w:rsidRPr="00A32AF4">
        <w:rPr>
          <w:rFonts w:ascii="Arial" w:hAnsi="Arial" w:cs="Arial"/>
          <w:color w:val="000000"/>
        </w:rPr>
        <w:t xml:space="preserve">Organisation et qui serait aligné sur les meilleures pratiques du système des </w:t>
      </w:r>
      <w:r w:rsidR="00E2055A" w:rsidRPr="00A32AF4">
        <w:rPr>
          <w:rFonts w:ascii="Arial" w:hAnsi="Arial" w:cs="Arial"/>
          <w:color w:val="000000"/>
        </w:rPr>
        <w:t>Nations Unies</w:t>
      </w:r>
      <w:r w:rsidRPr="00A32AF4">
        <w:rPr>
          <w:rFonts w:ascii="Arial" w:hAnsi="Arial" w:cs="Arial"/>
          <w:color w:val="000000"/>
        </w:rPr>
        <w:t>.</w:t>
      </w:r>
      <w:proofErr w:type="gramEnd"/>
      <w:r w:rsidRPr="00A32AF4">
        <w:rPr>
          <w:rFonts w:ascii="Arial" w:hAnsi="Arial" w:cs="Arial"/>
          <w:color w:val="000000"/>
        </w:rPr>
        <w:t xml:space="preserve">  Un domaine d</w:t>
      </w:r>
      <w:r w:rsidR="00E2055A" w:rsidRPr="00A32AF4">
        <w:rPr>
          <w:rFonts w:ascii="Arial" w:hAnsi="Arial" w:cs="Arial"/>
          <w:color w:val="000000"/>
        </w:rPr>
        <w:t>’</w:t>
      </w:r>
      <w:r w:rsidRPr="00A32AF4">
        <w:rPr>
          <w:rFonts w:ascii="Arial" w:hAnsi="Arial" w:cs="Arial"/>
          <w:color w:val="000000"/>
        </w:rPr>
        <w:t>intervention important sera la prévention et l</w:t>
      </w:r>
      <w:r w:rsidR="00E2055A" w:rsidRPr="00A32AF4">
        <w:rPr>
          <w:rFonts w:ascii="Arial" w:hAnsi="Arial" w:cs="Arial"/>
          <w:color w:val="000000"/>
        </w:rPr>
        <w:t>’</w:t>
      </w:r>
      <w:r w:rsidRPr="00A32AF4">
        <w:rPr>
          <w:rFonts w:ascii="Arial" w:hAnsi="Arial" w:cs="Arial"/>
          <w:color w:val="000000"/>
        </w:rPr>
        <w:t>atténuation des conflits, et la gestion efficace des affaires grâce au système de justice interne.  L</w:t>
      </w:r>
      <w:r w:rsidR="00E2055A" w:rsidRPr="00A32AF4">
        <w:rPr>
          <w:rFonts w:ascii="Arial" w:hAnsi="Arial" w:cs="Arial"/>
          <w:color w:val="000000"/>
        </w:rPr>
        <w:t>’</w:t>
      </w:r>
      <w:r w:rsidRPr="00A32AF4">
        <w:rPr>
          <w:rFonts w:ascii="Arial" w:hAnsi="Arial" w:cs="Arial"/>
          <w:color w:val="000000"/>
        </w:rPr>
        <w:t>Organisation poursuivra également sa collaboration avec la Commission de la fonction publique internationale (CFPI) et d</w:t>
      </w:r>
      <w:r w:rsidR="00E2055A" w:rsidRPr="00A32AF4">
        <w:rPr>
          <w:rFonts w:ascii="Arial" w:hAnsi="Arial" w:cs="Arial"/>
          <w:color w:val="000000"/>
        </w:rPr>
        <w:t>’</w:t>
      </w:r>
      <w:r w:rsidRPr="00A32AF4">
        <w:rPr>
          <w:rFonts w:ascii="Arial" w:hAnsi="Arial" w:cs="Arial"/>
          <w:color w:val="000000"/>
        </w:rPr>
        <w:t xml:space="preserve">autres organismes des </w:t>
      </w:r>
      <w:r w:rsidR="00E2055A" w:rsidRPr="00A32AF4">
        <w:rPr>
          <w:rFonts w:ascii="Arial" w:hAnsi="Arial" w:cs="Arial"/>
          <w:color w:val="000000"/>
        </w:rPr>
        <w:t>Nations Unies</w:t>
      </w:r>
      <w:r w:rsidRPr="00A32AF4">
        <w:rPr>
          <w:rFonts w:ascii="Arial" w:hAnsi="Arial" w:cs="Arial"/>
          <w:color w:val="000000"/>
        </w:rPr>
        <w:t xml:space="preserve"> dans le cadre de l</w:t>
      </w:r>
      <w:r w:rsidR="00E2055A" w:rsidRPr="00A32AF4">
        <w:rPr>
          <w:rFonts w:ascii="Arial" w:hAnsi="Arial" w:cs="Arial"/>
          <w:color w:val="000000"/>
        </w:rPr>
        <w:t>’</w:t>
      </w:r>
      <w:r w:rsidRPr="00A32AF4">
        <w:rPr>
          <w:rFonts w:ascii="Arial" w:hAnsi="Arial" w:cs="Arial"/>
          <w:color w:val="000000"/>
        </w:rPr>
        <w:t>examen de l</w:t>
      </w:r>
      <w:r w:rsidR="00E2055A" w:rsidRPr="00A32AF4">
        <w:rPr>
          <w:rFonts w:ascii="Arial" w:hAnsi="Arial" w:cs="Arial"/>
          <w:color w:val="000000"/>
        </w:rPr>
        <w:t>’</w:t>
      </w:r>
      <w:r w:rsidRPr="00A32AF4">
        <w:rPr>
          <w:rFonts w:ascii="Arial" w:hAnsi="Arial" w:cs="Arial"/>
          <w:color w:val="000000"/>
        </w:rPr>
        <w:t xml:space="preserve">ensemble des prestations offertes par les organisations appliquant le régime commun des </w:t>
      </w:r>
      <w:r w:rsidR="00E2055A" w:rsidRPr="00A32AF4">
        <w:rPr>
          <w:rFonts w:ascii="Arial" w:hAnsi="Arial" w:cs="Arial"/>
          <w:color w:val="000000"/>
        </w:rPr>
        <w:t>Nations Unies</w:t>
      </w:r>
      <w:r w:rsidRPr="00A32AF4">
        <w:rPr>
          <w:rFonts w:ascii="Arial" w:hAnsi="Arial" w:cs="Arial"/>
          <w:color w:val="000000"/>
        </w:rPr>
        <w:t>.</w:t>
      </w:r>
    </w:p>
    <w:p w:rsidR="008375EE" w:rsidRPr="00A32AF4" w:rsidRDefault="008375EE" w:rsidP="00DC0553">
      <w:pPr>
        <w:pStyle w:val="ListParagraph"/>
        <w:ind w:left="0"/>
        <w:jc w:val="both"/>
        <w:rPr>
          <w:rFonts w:ascii="Arial" w:hAnsi="Arial" w:cs="Arial"/>
          <w:color w:val="000000"/>
        </w:rPr>
      </w:pPr>
    </w:p>
    <w:p w:rsidR="008375EE" w:rsidRPr="00A32AF4" w:rsidRDefault="008375EE" w:rsidP="00DC0553">
      <w:pPr>
        <w:pStyle w:val="ListParagraph"/>
        <w:numPr>
          <w:ilvl w:val="0"/>
          <w:numId w:val="63"/>
        </w:numPr>
        <w:spacing w:after="0" w:line="240" w:lineRule="auto"/>
        <w:ind w:left="0" w:firstLine="0"/>
        <w:jc w:val="both"/>
        <w:rPr>
          <w:rFonts w:ascii="Arial" w:hAnsi="Arial" w:cs="Arial"/>
        </w:rPr>
      </w:pPr>
      <w:r w:rsidRPr="00A32AF4">
        <w:rPr>
          <w:rFonts w:ascii="Arial" w:hAnsi="Arial" w:cs="Arial"/>
        </w:rPr>
        <w:t>L</w:t>
      </w:r>
      <w:r w:rsidR="00E2055A" w:rsidRPr="00A32AF4">
        <w:rPr>
          <w:rFonts w:ascii="Arial" w:hAnsi="Arial" w:cs="Arial"/>
        </w:rPr>
        <w:t>’</w:t>
      </w:r>
      <w:r w:rsidRPr="00A32AF4">
        <w:rPr>
          <w:rFonts w:ascii="Arial" w:hAnsi="Arial" w:cs="Arial"/>
        </w:rPr>
        <w:t>intégration du Système électronique de gestion des performances et de perfectionnement du personnel (PMSDS) et de la base de données de formation sera complétée par les nouvelles fonctions de planification des ressources de l</w:t>
      </w:r>
      <w:r w:rsidR="00E2055A" w:rsidRPr="00A32AF4">
        <w:rPr>
          <w:rFonts w:ascii="Arial" w:hAnsi="Arial" w:cs="Arial"/>
        </w:rPr>
        <w:t>’</w:t>
      </w:r>
      <w:r w:rsidRPr="00A32AF4">
        <w:rPr>
          <w:rFonts w:ascii="Arial" w:hAnsi="Arial" w:cs="Arial"/>
        </w:rPr>
        <w:t>Organisation (ERP), telles que l</w:t>
      </w:r>
      <w:r w:rsidR="00E2055A" w:rsidRPr="00A32AF4">
        <w:rPr>
          <w:rFonts w:ascii="Arial" w:hAnsi="Arial" w:cs="Arial"/>
        </w:rPr>
        <w:t>’</w:t>
      </w:r>
      <w:r w:rsidRPr="00A32AF4">
        <w:rPr>
          <w:rFonts w:ascii="Arial" w:hAnsi="Arial" w:cs="Arial"/>
        </w:rPr>
        <w:t>inventaire des compétences et le suivi amélioré des données relatives à la formation, afin de renforcer la convivialité du système et de faciliter l</w:t>
      </w:r>
      <w:r w:rsidR="00E2055A" w:rsidRPr="00A32AF4">
        <w:rPr>
          <w:rFonts w:ascii="Arial" w:hAnsi="Arial" w:cs="Arial"/>
        </w:rPr>
        <w:t>’</w:t>
      </w:r>
      <w:r w:rsidRPr="00A32AF4">
        <w:rPr>
          <w:rFonts w:ascii="Arial" w:hAnsi="Arial" w:cs="Arial"/>
        </w:rPr>
        <w:t>accès et l</w:t>
      </w:r>
      <w:r w:rsidR="00E2055A" w:rsidRPr="00A32AF4">
        <w:rPr>
          <w:rFonts w:ascii="Arial" w:hAnsi="Arial" w:cs="Arial"/>
        </w:rPr>
        <w:t>’</w:t>
      </w:r>
      <w:r w:rsidRPr="00A32AF4">
        <w:rPr>
          <w:rFonts w:ascii="Arial" w:hAnsi="Arial" w:cs="Arial"/>
        </w:rPr>
        <w:t>échange de données entre différents secteurs de l</w:t>
      </w:r>
      <w:r w:rsidR="00E2055A" w:rsidRPr="00A32AF4">
        <w:rPr>
          <w:rFonts w:ascii="Arial" w:hAnsi="Arial" w:cs="Arial"/>
        </w:rPr>
        <w:t>’</w:t>
      </w:r>
      <w:r w:rsidRPr="00A32AF4">
        <w:rPr>
          <w:rFonts w:ascii="Arial" w:hAnsi="Arial" w:cs="Arial"/>
        </w:rPr>
        <w:t>Organisation.</w:t>
      </w:r>
    </w:p>
    <w:p w:rsidR="008375EE" w:rsidRPr="00A32AF4" w:rsidRDefault="008375EE" w:rsidP="00DC0553">
      <w:pPr>
        <w:pStyle w:val="ListParagraph"/>
        <w:ind w:left="0"/>
        <w:jc w:val="both"/>
        <w:rPr>
          <w:rFonts w:ascii="Arial" w:hAnsi="Arial" w:cs="Arial"/>
        </w:rPr>
      </w:pPr>
    </w:p>
    <w:p w:rsidR="008375EE" w:rsidRPr="00A32AF4" w:rsidRDefault="008375EE" w:rsidP="00DC0553">
      <w:pPr>
        <w:pStyle w:val="ListParagraph"/>
        <w:keepNext/>
        <w:keepLines/>
        <w:numPr>
          <w:ilvl w:val="0"/>
          <w:numId w:val="63"/>
        </w:numPr>
        <w:spacing w:after="0" w:line="240" w:lineRule="auto"/>
        <w:ind w:left="0" w:firstLine="0"/>
        <w:jc w:val="both"/>
        <w:rPr>
          <w:rFonts w:ascii="Arial" w:hAnsi="Arial" w:cs="Arial"/>
        </w:rPr>
      </w:pPr>
      <w:r w:rsidRPr="00A32AF4">
        <w:rPr>
          <w:rFonts w:ascii="Arial" w:hAnsi="Arial" w:cs="Arial"/>
        </w:rPr>
        <w:t>Afin de renforcer les capacités d</w:t>
      </w:r>
      <w:r w:rsidR="00E2055A" w:rsidRPr="00A32AF4">
        <w:rPr>
          <w:rFonts w:ascii="Arial" w:hAnsi="Arial" w:cs="Arial"/>
        </w:rPr>
        <w:t>’</w:t>
      </w:r>
      <w:r w:rsidRPr="00A32AF4">
        <w:rPr>
          <w:rFonts w:ascii="Arial" w:hAnsi="Arial" w:cs="Arial"/>
        </w:rPr>
        <w:t>encadrement au sein de l</w:t>
      </w:r>
      <w:r w:rsidR="00E2055A" w:rsidRPr="00A32AF4">
        <w:rPr>
          <w:rFonts w:ascii="Arial" w:hAnsi="Arial" w:cs="Arial"/>
        </w:rPr>
        <w:t>’</w:t>
      </w:r>
      <w:r w:rsidRPr="00A32AF4">
        <w:rPr>
          <w:rFonts w:ascii="Arial" w:hAnsi="Arial" w:cs="Arial"/>
        </w:rPr>
        <w:t>Organisation, le personnel d</w:t>
      </w:r>
      <w:r w:rsidR="00E2055A" w:rsidRPr="00A32AF4">
        <w:rPr>
          <w:rFonts w:ascii="Arial" w:hAnsi="Arial" w:cs="Arial"/>
        </w:rPr>
        <w:t>’</w:t>
      </w:r>
      <w:r w:rsidRPr="00A32AF4">
        <w:rPr>
          <w:rFonts w:ascii="Arial" w:hAnsi="Arial" w:cs="Arial"/>
        </w:rPr>
        <w:t>encadrement suivra une formation obligatoire (portant notamment sur la gestion de programmes, du personnel et du temps).</w:t>
      </w:r>
    </w:p>
    <w:p w:rsidR="008375EE" w:rsidRPr="00A32AF4" w:rsidRDefault="008375EE" w:rsidP="00DC0553">
      <w:pPr>
        <w:pStyle w:val="ListParagraph"/>
        <w:ind w:left="0"/>
        <w:jc w:val="both"/>
        <w:rPr>
          <w:rFonts w:ascii="Arial" w:hAnsi="Arial" w:cs="Arial"/>
        </w:rPr>
      </w:pPr>
    </w:p>
    <w:p w:rsidR="008375EE" w:rsidRPr="00A32AF4" w:rsidRDefault="008375EE" w:rsidP="00DC0553">
      <w:pPr>
        <w:pStyle w:val="ListParagraph"/>
        <w:numPr>
          <w:ilvl w:val="0"/>
          <w:numId w:val="63"/>
        </w:numPr>
        <w:spacing w:after="0" w:line="240" w:lineRule="auto"/>
        <w:ind w:left="0" w:firstLine="0"/>
        <w:jc w:val="both"/>
        <w:rPr>
          <w:rFonts w:ascii="Arial" w:hAnsi="Arial" w:cs="Arial"/>
        </w:rPr>
      </w:pPr>
      <w:r w:rsidRPr="00A32AF4">
        <w:rPr>
          <w:rFonts w:ascii="Arial" w:hAnsi="Arial" w:cs="Arial"/>
        </w:rPr>
        <w:t>Les méthodes de travail et les pratiques liées au traitement des prestations et droits seront examinées et actualisées et, lorsque cela sera possible, automatisées.  En outre, les systèmes et les procédures liés à la gestion du temps seront ajustés conformément aux recommandations du groupe de travail de la gestion du temps.  Au cours de la deuxième phase de l</w:t>
      </w:r>
      <w:r w:rsidR="00E2055A" w:rsidRPr="00A32AF4">
        <w:rPr>
          <w:rFonts w:ascii="Arial" w:hAnsi="Arial" w:cs="Arial"/>
        </w:rPr>
        <w:t>’</w:t>
      </w:r>
      <w:r w:rsidRPr="00A32AF4">
        <w:rPr>
          <w:rFonts w:ascii="Arial" w:hAnsi="Arial" w:cs="Arial"/>
        </w:rPr>
        <w:t>ERP, des outils Intranet en libre</w:t>
      </w:r>
      <w:r w:rsidR="00EB7F54" w:rsidRPr="00A32AF4">
        <w:rPr>
          <w:rFonts w:ascii="Arial" w:hAnsi="Arial" w:cs="Arial"/>
        </w:rPr>
        <w:noBreakHyphen/>
      </w:r>
      <w:r w:rsidRPr="00A32AF4">
        <w:rPr>
          <w:rFonts w:ascii="Arial" w:hAnsi="Arial" w:cs="Arial"/>
        </w:rPr>
        <w:t>service pour les ressources humaines seront mis à disposition de l</w:t>
      </w:r>
      <w:r w:rsidR="00E2055A" w:rsidRPr="00A32AF4">
        <w:rPr>
          <w:rFonts w:ascii="Arial" w:hAnsi="Arial" w:cs="Arial"/>
        </w:rPr>
        <w:t>’</w:t>
      </w:r>
      <w:r w:rsidRPr="00A32AF4">
        <w:rPr>
          <w:rFonts w:ascii="Arial" w:hAnsi="Arial" w:cs="Arial"/>
        </w:rPr>
        <w:t xml:space="preserve">ensemble du personnel afin que les demandes ordinaires soient traitées de manière </w:t>
      </w:r>
      <w:proofErr w:type="gramStart"/>
      <w:r w:rsidRPr="00A32AF4">
        <w:rPr>
          <w:rFonts w:ascii="Arial" w:hAnsi="Arial" w:cs="Arial"/>
        </w:rPr>
        <w:t>automatique;</w:t>
      </w:r>
      <w:proofErr w:type="gramEnd"/>
      <w:r w:rsidRPr="00A32AF4">
        <w:rPr>
          <w:rFonts w:ascii="Arial" w:hAnsi="Arial" w:cs="Arial"/>
        </w:rPr>
        <w:t xml:space="preserve">  cela permettra au Département des ressources humaines de concentrer ses efforts sur des demandes plus complexes et offrir ainsi un large éventail de services tournés vers la clientèle.  Des activités connexes sont également prévues pour actualiser les services et les informations qui sont à disposition du personnel sur l</w:t>
      </w:r>
      <w:r w:rsidR="00E2055A" w:rsidRPr="00A32AF4">
        <w:rPr>
          <w:rFonts w:ascii="Arial" w:hAnsi="Arial" w:cs="Arial"/>
        </w:rPr>
        <w:t>’</w:t>
      </w:r>
      <w:r w:rsidRPr="00A32AF4">
        <w:rPr>
          <w:rFonts w:ascii="Arial" w:hAnsi="Arial" w:cs="Arial"/>
        </w:rPr>
        <w:t>Intranet.</w:t>
      </w:r>
    </w:p>
    <w:p w:rsidR="008375EE" w:rsidRPr="00A32AF4" w:rsidRDefault="008375EE" w:rsidP="00DC0553">
      <w:pPr>
        <w:rPr>
          <w:rFonts w:cs="Arial"/>
        </w:rPr>
      </w:pPr>
    </w:p>
    <w:p w:rsidR="008375EE" w:rsidRPr="00A32AF4" w:rsidRDefault="008375EE" w:rsidP="00DC0553">
      <w:pPr>
        <w:pStyle w:val="ListParagraph"/>
        <w:numPr>
          <w:ilvl w:val="0"/>
          <w:numId w:val="63"/>
        </w:numPr>
        <w:spacing w:after="0" w:line="240" w:lineRule="auto"/>
        <w:ind w:left="0" w:firstLine="0"/>
        <w:jc w:val="both"/>
        <w:rPr>
          <w:rFonts w:ascii="Arial" w:hAnsi="Arial" w:cs="Arial"/>
        </w:rPr>
      </w:pPr>
      <w:r w:rsidRPr="00A32AF4">
        <w:rPr>
          <w:rFonts w:ascii="Arial" w:hAnsi="Arial" w:cs="Arial"/>
        </w:rPr>
        <w:t>L</w:t>
      </w:r>
      <w:r w:rsidR="00E2055A" w:rsidRPr="00A32AF4">
        <w:rPr>
          <w:rFonts w:ascii="Arial" w:hAnsi="Arial" w:cs="Arial"/>
        </w:rPr>
        <w:t>’</w:t>
      </w:r>
      <w:r w:rsidRPr="00A32AF4">
        <w:rPr>
          <w:rFonts w:ascii="Arial" w:hAnsi="Arial" w:cs="Arial"/>
        </w:rPr>
        <w:t>amélioration des services médicaux de l</w:t>
      </w:r>
      <w:r w:rsidR="00E2055A" w:rsidRPr="00A32AF4">
        <w:rPr>
          <w:rFonts w:ascii="Arial" w:hAnsi="Arial" w:cs="Arial"/>
        </w:rPr>
        <w:t>’</w:t>
      </w:r>
      <w:r w:rsidRPr="00A32AF4">
        <w:rPr>
          <w:rFonts w:ascii="Arial" w:hAnsi="Arial" w:cs="Arial"/>
        </w:rPr>
        <w:t>OMPI se poursuivra en mettant l</w:t>
      </w:r>
      <w:r w:rsidR="00E2055A" w:rsidRPr="00A32AF4">
        <w:rPr>
          <w:rFonts w:ascii="Arial" w:hAnsi="Arial" w:cs="Arial"/>
        </w:rPr>
        <w:t>’</w:t>
      </w:r>
      <w:r w:rsidRPr="00A32AF4">
        <w:rPr>
          <w:rFonts w:ascii="Arial" w:hAnsi="Arial" w:cs="Arial"/>
        </w:rPr>
        <w:t>accent sur la santé au travail et le suivi plus étroit des absences de longue durée.</w:t>
      </w:r>
    </w:p>
    <w:p w:rsidR="008375EE" w:rsidRPr="00A32AF4" w:rsidRDefault="008375EE" w:rsidP="00DC0553"/>
    <w:p w:rsidR="008375EE" w:rsidRPr="00A32AF4" w:rsidRDefault="008375EE" w:rsidP="00DC0553"/>
    <w:p w:rsidR="008375EE" w:rsidRPr="00A32AF4" w:rsidRDefault="008375EE" w:rsidP="00DC0553">
      <w:r w:rsidRPr="00A32AF4">
        <w:t>PRINCIPAUX RISQUES ET STRATÉGIES D</w:t>
      </w:r>
      <w:r w:rsidR="00E2055A" w:rsidRPr="00A32AF4">
        <w:t>’</w:t>
      </w:r>
      <w:r w:rsidRPr="00A32AF4">
        <w:t>ATTÉNUATION</w:t>
      </w:r>
    </w:p>
    <w:p w:rsidR="008375EE" w:rsidRPr="00A32AF4" w:rsidRDefault="008375EE" w:rsidP="00DC0553">
      <w:pPr>
        <w:rPr>
          <w:rFonts w:cs="Arial"/>
        </w:rPr>
      </w:pPr>
    </w:p>
    <w:tbl>
      <w:tblPr>
        <w:tblW w:w="9450"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253"/>
        <w:gridCol w:w="5197"/>
      </w:tblGrid>
      <w:tr w:rsidR="008375EE" w:rsidRPr="00A32AF4" w:rsidTr="00D27E4C">
        <w:trPr>
          <w:cantSplit/>
        </w:trPr>
        <w:tc>
          <w:tcPr>
            <w:tcW w:w="4253" w:type="dxa"/>
            <w:tcBorders>
              <w:top w:val="single" w:sz="4" w:space="0" w:color="auto"/>
              <w:bottom w:val="single" w:sz="4" w:space="0" w:color="auto"/>
            </w:tcBorders>
            <w:shd w:val="clear" w:color="auto" w:fill="C6D9F1" w:themeFill="text2" w:themeFillTint="33"/>
            <w:tcMar>
              <w:top w:w="113" w:type="dxa"/>
              <w:bottom w:w="113" w:type="dxa"/>
            </w:tcMar>
            <w:vAlign w:val="center"/>
          </w:tcPr>
          <w:p w:rsidR="008375EE" w:rsidRPr="00A32AF4" w:rsidRDefault="008375EE" w:rsidP="00DC0553">
            <w:pPr>
              <w:jc w:val="center"/>
              <w:rPr>
                <w:rFonts w:cs="Arial"/>
                <w:b/>
                <w:bCs/>
                <w:sz w:val="18"/>
              </w:rPr>
            </w:pPr>
            <w:r w:rsidRPr="00A32AF4">
              <w:rPr>
                <w:rFonts w:cs="Arial"/>
                <w:b/>
                <w:bCs/>
                <w:sz w:val="18"/>
                <w:szCs w:val="18"/>
              </w:rPr>
              <w:t>Risque</w:t>
            </w:r>
            <w:r w:rsidR="00783124" w:rsidRPr="00A32AF4">
              <w:rPr>
                <w:rFonts w:cs="Arial"/>
                <w:b/>
                <w:bCs/>
                <w:sz w:val="18"/>
                <w:szCs w:val="18"/>
              </w:rPr>
              <w:t>s</w:t>
            </w:r>
          </w:p>
        </w:tc>
        <w:tc>
          <w:tcPr>
            <w:tcW w:w="5197" w:type="dxa"/>
            <w:tcBorders>
              <w:top w:val="single" w:sz="4" w:space="0" w:color="auto"/>
              <w:bottom w:val="single" w:sz="4" w:space="0" w:color="auto"/>
            </w:tcBorders>
            <w:shd w:val="clear" w:color="auto" w:fill="C6D9F1" w:themeFill="text2" w:themeFillTint="33"/>
            <w:tcMar>
              <w:top w:w="113" w:type="dxa"/>
              <w:bottom w:w="113" w:type="dxa"/>
            </w:tcMar>
            <w:vAlign w:val="center"/>
          </w:tcPr>
          <w:p w:rsidR="008375EE" w:rsidRPr="00A32AF4" w:rsidRDefault="008375EE" w:rsidP="00DC0553">
            <w:pPr>
              <w:jc w:val="center"/>
              <w:rPr>
                <w:rFonts w:cs="Arial"/>
                <w:b/>
                <w:bCs/>
                <w:sz w:val="18"/>
              </w:rPr>
            </w:pPr>
            <w:r w:rsidRPr="00A32AF4">
              <w:rPr>
                <w:rFonts w:cs="Arial"/>
                <w:b/>
                <w:bCs/>
                <w:sz w:val="18"/>
                <w:szCs w:val="18"/>
              </w:rPr>
              <w:t>Stratégie</w:t>
            </w:r>
            <w:r w:rsidR="00783124" w:rsidRPr="00A32AF4">
              <w:rPr>
                <w:rFonts w:cs="Arial"/>
                <w:b/>
                <w:bCs/>
                <w:sz w:val="18"/>
                <w:szCs w:val="18"/>
              </w:rPr>
              <w:t>s</w:t>
            </w:r>
            <w:r w:rsidRPr="00A32AF4">
              <w:rPr>
                <w:rFonts w:cs="Arial"/>
                <w:b/>
                <w:bCs/>
                <w:sz w:val="18"/>
                <w:szCs w:val="18"/>
              </w:rPr>
              <w:t xml:space="preserve"> d</w:t>
            </w:r>
            <w:r w:rsidR="00E2055A" w:rsidRPr="00A32AF4">
              <w:rPr>
                <w:rFonts w:cs="Arial"/>
                <w:b/>
                <w:bCs/>
                <w:sz w:val="18"/>
                <w:szCs w:val="18"/>
              </w:rPr>
              <w:t>’</w:t>
            </w:r>
            <w:r w:rsidRPr="00A32AF4">
              <w:rPr>
                <w:rFonts w:cs="Arial"/>
                <w:b/>
                <w:bCs/>
                <w:sz w:val="18"/>
                <w:szCs w:val="18"/>
              </w:rPr>
              <w:t>atténuation</w:t>
            </w:r>
          </w:p>
        </w:tc>
      </w:tr>
      <w:tr w:rsidR="008375EE" w:rsidRPr="00A32AF4" w:rsidTr="00D27E4C">
        <w:trPr>
          <w:cantSplit/>
        </w:trPr>
        <w:tc>
          <w:tcPr>
            <w:tcW w:w="4253" w:type="dxa"/>
            <w:tcBorders>
              <w:top w:val="single" w:sz="4" w:space="0" w:color="auto"/>
              <w:left w:val="single" w:sz="4" w:space="0" w:color="auto"/>
              <w:bottom w:val="single" w:sz="4" w:space="0" w:color="auto"/>
              <w:right w:val="nil"/>
            </w:tcBorders>
            <w:shd w:val="clear" w:color="auto" w:fill="auto"/>
            <w:tcMar>
              <w:top w:w="113" w:type="dxa"/>
              <w:bottom w:w="113" w:type="dxa"/>
            </w:tcMar>
          </w:tcPr>
          <w:p w:rsidR="008375EE" w:rsidRPr="00A32AF4" w:rsidRDefault="008375EE" w:rsidP="00DC0553">
            <w:pPr>
              <w:rPr>
                <w:rFonts w:cs="Arial"/>
                <w:sz w:val="16"/>
              </w:rPr>
            </w:pPr>
            <w:r w:rsidRPr="00A32AF4">
              <w:rPr>
                <w:rFonts w:cs="Arial"/>
                <w:sz w:val="16"/>
              </w:rPr>
              <w:t>L</w:t>
            </w:r>
            <w:r w:rsidR="00E2055A" w:rsidRPr="00A32AF4">
              <w:rPr>
                <w:rFonts w:cs="Arial"/>
                <w:sz w:val="16"/>
              </w:rPr>
              <w:t>’</w:t>
            </w:r>
            <w:r w:rsidRPr="00A32AF4">
              <w:rPr>
                <w:rFonts w:cs="Arial"/>
                <w:sz w:val="16"/>
              </w:rPr>
              <w:t>évolution rapide des activités extérieures nécessitant de nouveaux processus, de nouvelles compétences et de nouvelles solutions informatiques peut entraîner une inadéquation de la main</w:t>
            </w:r>
            <w:r w:rsidR="00EB7F54" w:rsidRPr="00A32AF4">
              <w:rPr>
                <w:rFonts w:cs="Arial"/>
                <w:sz w:val="16"/>
              </w:rPr>
              <w:noBreakHyphen/>
            </w:r>
            <w:r w:rsidRPr="00A32AF4">
              <w:rPr>
                <w:rFonts w:cs="Arial"/>
                <w:sz w:val="16"/>
              </w:rPr>
              <w:t>d</w:t>
            </w:r>
            <w:r w:rsidR="00E2055A" w:rsidRPr="00A32AF4">
              <w:rPr>
                <w:rFonts w:cs="Arial"/>
                <w:sz w:val="16"/>
              </w:rPr>
              <w:t>’</w:t>
            </w:r>
            <w:r w:rsidRPr="00A32AF4">
              <w:rPr>
                <w:rFonts w:cs="Arial"/>
                <w:sz w:val="16"/>
              </w:rPr>
              <w:t>œuvre dans les secteurs clés de l</w:t>
            </w:r>
            <w:r w:rsidR="00E2055A" w:rsidRPr="00A32AF4">
              <w:rPr>
                <w:rFonts w:cs="Arial"/>
                <w:sz w:val="16"/>
              </w:rPr>
              <w:t>’</w:t>
            </w:r>
            <w:r w:rsidRPr="00A32AF4">
              <w:rPr>
                <w:rFonts w:cs="Arial"/>
                <w:sz w:val="16"/>
              </w:rPr>
              <w:t>OMPI.  Cette situation pourrait engendrer des coûts élevés liés au recrutement à court terme de personnel supplémentaire, des processus inefficaces, des retards dans les secteurs vitaux et nuire à la réputation de l</w:t>
            </w:r>
            <w:r w:rsidR="00E2055A" w:rsidRPr="00A32AF4">
              <w:rPr>
                <w:rFonts w:cs="Arial"/>
                <w:sz w:val="16"/>
              </w:rPr>
              <w:t>’</w:t>
            </w:r>
            <w:r w:rsidRPr="00A32AF4">
              <w:rPr>
                <w:rFonts w:cs="Arial"/>
                <w:sz w:val="16"/>
              </w:rPr>
              <w:t>OMPI.</w:t>
            </w:r>
          </w:p>
        </w:tc>
        <w:tc>
          <w:tcPr>
            <w:tcW w:w="5197" w:type="dxa"/>
            <w:tcBorders>
              <w:top w:val="single" w:sz="4" w:space="0" w:color="auto"/>
              <w:left w:val="nil"/>
              <w:bottom w:val="single" w:sz="4" w:space="0" w:color="auto"/>
              <w:right w:val="single" w:sz="4" w:space="0" w:color="auto"/>
            </w:tcBorders>
            <w:shd w:val="clear" w:color="auto" w:fill="auto"/>
            <w:tcMar>
              <w:top w:w="113" w:type="dxa"/>
              <w:bottom w:w="113" w:type="dxa"/>
            </w:tcMar>
          </w:tcPr>
          <w:p w:rsidR="008375EE" w:rsidRPr="00A32AF4" w:rsidRDefault="008375EE" w:rsidP="00DC0553">
            <w:pPr>
              <w:rPr>
                <w:rFonts w:cs="Arial"/>
                <w:color w:val="000000"/>
                <w:sz w:val="16"/>
              </w:rPr>
            </w:pPr>
            <w:r w:rsidRPr="00A32AF4">
              <w:rPr>
                <w:rFonts w:cs="Arial"/>
                <w:color w:val="000000"/>
                <w:sz w:val="16"/>
              </w:rPr>
              <w:t>Développement progressif d</w:t>
            </w:r>
            <w:r w:rsidR="00E2055A" w:rsidRPr="00A32AF4">
              <w:rPr>
                <w:rFonts w:cs="Arial"/>
                <w:color w:val="000000"/>
                <w:sz w:val="16"/>
              </w:rPr>
              <w:t>’</w:t>
            </w:r>
            <w:r w:rsidRPr="00A32AF4">
              <w:rPr>
                <w:rFonts w:cs="Arial"/>
                <w:color w:val="000000"/>
                <w:sz w:val="16"/>
              </w:rPr>
              <w:t>une main</w:t>
            </w:r>
            <w:r w:rsidR="00EB7F54" w:rsidRPr="00A32AF4">
              <w:rPr>
                <w:rFonts w:cs="Arial"/>
                <w:color w:val="000000"/>
                <w:sz w:val="16"/>
              </w:rPr>
              <w:noBreakHyphen/>
            </w:r>
            <w:r w:rsidRPr="00A32AF4">
              <w:rPr>
                <w:rFonts w:cs="Arial"/>
                <w:color w:val="000000"/>
                <w:sz w:val="16"/>
              </w:rPr>
              <w:t>d</w:t>
            </w:r>
            <w:r w:rsidR="00E2055A" w:rsidRPr="00A32AF4">
              <w:rPr>
                <w:rFonts w:cs="Arial"/>
                <w:color w:val="000000"/>
                <w:sz w:val="16"/>
              </w:rPr>
              <w:t>’</w:t>
            </w:r>
            <w:r w:rsidRPr="00A32AF4">
              <w:rPr>
                <w:rFonts w:cs="Arial"/>
                <w:color w:val="000000"/>
                <w:sz w:val="16"/>
              </w:rPr>
              <w:t>œuvre plus réactive et plus adaptable, avec une structure qui soit à même de réagir en fonction des fluctuations de la demande et des objectifs pragmatiques;  analyse détaillée et évaluation des besoins de compétences et d</w:t>
            </w:r>
            <w:r w:rsidR="00E2055A" w:rsidRPr="00A32AF4">
              <w:rPr>
                <w:rFonts w:cs="Arial"/>
                <w:color w:val="000000"/>
                <w:sz w:val="16"/>
              </w:rPr>
              <w:t>’</w:t>
            </w:r>
            <w:r w:rsidRPr="00A32AF4">
              <w:rPr>
                <w:rFonts w:cs="Arial"/>
                <w:color w:val="000000"/>
                <w:sz w:val="16"/>
              </w:rPr>
              <w:t>effectifs, suivies par des plans d</w:t>
            </w:r>
            <w:r w:rsidR="00E2055A" w:rsidRPr="00A32AF4">
              <w:rPr>
                <w:rFonts w:cs="Arial"/>
                <w:color w:val="000000"/>
                <w:sz w:val="16"/>
              </w:rPr>
              <w:t>’</w:t>
            </w:r>
            <w:r w:rsidRPr="00A32AF4">
              <w:rPr>
                <w:rFonts w:cs="Arial"/>
                <w:color w:val="000000"/>
                <w:sz w:val="16"/>
              </w:rPr>
              <w:t>exécution prévoyant la réaffectation de membres du personnel, la formation adéquate du personnel, le recrutement des compétences essentielles, l</w:t>
            </w:r>
            <w:r w:rsidR="00E2055A" w:rsidRPr="00A32AF4">
              <w:rPr>
                <w:rFonts w:cs="Arial"/>
                <w:color w:val="000000"/>
                <w:sz w:val="16"/>
              </w:rPr>
              <w:t>’</w:t>
            </w:r>
            <w:r w:rsidRPr="00A32AF4">
              <w:rPr>
                <w:rFonts w:cs="Arial"/>
                <w:color w:val="000000"/>
                <w:sz w:val="16"/>
              </w:rPr>
              <w:t>externalisation et l</w:t>
            </w:r>
            <w:r w:rsidR="00E2055A" w:rsidRPr="00A32AF4">
              <w:rPr>
                <w:rFonts w:cs="Arial"/>
                <w:color w:val="000000"/>
                <w:sz w:val="16"/>
              </w:rPr>
              <w:t>’</w:t>
            </w:r>
            <w:r w:rsidRPr="00A32AF4">
              <w:rPr>
                <w:rFonts w:cs="Arial"/>
                <w:color w:val="000000"/>
                <w:sz w:val="16"/>
              </w:rPr>
              <w:t xml:space="preserve">utilisation de mécanismes contractuels plus variés aux fins de recrutement.  </w:t>
            </w:r>
          </w:p>
        </w:tc>
      </w:tr>
    </w:tbl>
    <w:p w:rsidR="008375EE" w:rsidRPr="00A32AF4" w:rsidRDefault="008375EE" w:rsidP="00DC0553">
      <w:pPr>
        <w:rPr>
          <w:rFonts w:cs="Arial"/>
        </w:rPr>
      </w:pPr>
    </w:p>
    <w:p w:rsidR="008375EE" w:rsidRPr="00A32AF4" w:rsidRDefault="008375EE" w:rsidP="00DC0553">
      <w:pPr>
        <w:rPr>
          <w:rFonts w:cs="Arial"/>
        </w:rPr>
      </w:pPr>
    </w:p>
    <w:p w:rsidR="008375EE" w:rsidRPr="00A32AF4" w:rsidRDefault="008375EE" w:rsidP="00DC0553">
      <w:r w:rsidRPr="00A32AF4">
        <w:t>TABLEAU DES RÉSULTATS</w:t>
      </w:r>
    </w:p>
    <w:p w:rsidR="008375EE" w:rsidRPr="00A32AF4" w:rsidRDefault="008375EE" w:rsidP="00DC0553">
      <w:pPr>
        <w:rPr>
          <w:rFonts w:cs="Arial"/>
        </w:rPr>
      </w:pPr>
    </w:p>
    <w:tbl>
      <w:tblPr>
        <w:tblW w:w="9465" w:type="dxa"/>
        <w:tblInd w:w="9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440"/>
        <w:gridCol w:w="2440"/>
        <w:gridCol w:w="2440"/>
        <w:gridCol w:w="2145"/>
      </w:tblGrid>
      <w:tr w:rsidR="008375EE" w:rsidRPr="00A32AF4" w:rsidTr="00D27E4C">
        <w:trPr>
          <w:cantSplit/>
          <w:tblHeader/>
        </w:trPr>
        <w:tc>
          <w:tcPr>
            <w:tcW w:w="2440" w:type="dxa"/>
            <w:tcBorders>
              <w:top w:val="single" w:sz="4" w:space="0" w:color="auto"/>
              <w:bottom w:val="single" w:sz="4" w:space="0" w:color="auto"/>
            </w:tcBorders>
            <w:shd w:val="clear" w:color="auto" w:fill="C6D9F1" w:themeFill="text2" w:themeFillTint="33"/>
            <w:tcMar>
              <w:top w:w="113" w:type="dxa"/>
              <w:bottom w:w="113" w:type="dxa"/>
            </w:tcMar>
            <w:vAlign w:val="center"/>
            <w:hideMark/>
          </w:tcPr>
          <w:p w:rsidR="008375EE" w:rsidRPr="00A32AF4" w:rsidRDefault="008375EE" w:rsidP="00DC0553">
            <w:pPr>
              <w:jc w:val="center"/>
              <w:rPr>
                <w:rFonts w:cs="Arial"/>
                <w:b/>
                <w:bCs/>
                <w:color w:val="000000"/>
                <w:sz w:val="18"/>
                <w:szCs w:val="16"/>
              </w:rPr>
            </w:pPr>
            <w:r w:rsidRPr="00A32AF4">
              <w:rPr>
                <w:rFonts w:eastAsia="SimSun" w:cs="Arial"/>
                <w:b/>
                <w:bCs/>
                <w:color w:val="000000"/>
                <w:sz w:val="18"/>
              </w:rPr>
              <w:t>Résultats escomptés</w:t>
            </w:r>
            <w:r w:rsidRPr="00A32AF4">
              <w:rPr>
                <w:rFonts w:cs="Arial"/>
                <w:b/>
                <w:bCs/>
                <w:color w:val="000000"/>
                <w:sz w:val="18"/>
                <w:szCs w:val="16"/>
              </w:rPr>
              <w:t xml:space="preserve"> </w:t>
            </w:r>
          </w:p>
        </w:tc>
        <w:tc>
          <w:tcPr>
            <w:tcW w:w="2440" w:type="dxa"/>
            <w:tcBorders>
              <w:top w:val="single" w:sz="4" w:space="0" w:color="auto"/>
              <w:bottom w:val="single" w:sz="4" w:space="0" w:color="auto"/>
            </w:tcBorders>
            <w:shd w:val="clear" w:color="auto" w:fill="C6D9F1" w:themeFill="text2" w:themeFillTint="33"/>
            <w:tcMar>
              <w:top w:w="113" w:type="dxa"/>
              <w:bottom w:w="113" w:type="dxa"/>
            </w:tcMar>
            <w:vAlign w:val="center"/>
            <w:hideMark/>
          </w:tcPr>
          <w:p w:rsidR="008375EE" w:rsidRPr="00A32AF4" w:rsidRDefault="008375EE" w:rsidP="00DC0553">
            <w:pPr>
              <w:jc w:val="center"/>
              <w:rPr>
                <w:rFonts w:cs="Arial"/>
                <w:b/>
                <w:bCs/>
                <w:color w:val="000000"/>
                <w:sz w:val="18"/>
                <w:szCs w:val="16"/>
              </w:rPr>
            </w:pPr>
            <w:r w:rsidRPr="00A32AF4">
              <w:rPr>
                <w:rFonts w:eastAsia="SimSun" w:cs="Arial"/>
                <w:b/>
                <w:bCs/>
                <w:color w:val="000000"/>
                <w:sz w:val="18"/>
              </w:rPr>
              <w:t>Indicateurs d</w:t>
            </w:r>
            <w:r w:rsidR="00E2055A" w:rsidRPr="00A32AF4">
              <w:rPr>
                <w:rFonts w:eastAsia="SimSun" w:cs="Arial"/>
                <w:b/>
                <w:bCs/>
                <w:color w:val="000000"/>
                <w:sz w:val="18"/>
              </w:rPr>
              <w:t>’</w:t>
            </w:r>
            <w:r w:rsidRPr="00A32AF4">
              <w:rPr>
                <w:rFonts w:eastAsia="SimSun" w:cs="Arial"/>
                <w:b/>
                <w:bCs/>
                <w:color w:val="000000"/>
                <w:sz w:val="18"/>
              </w:rPr>
              <w:t>exécution</w:t>
            </w:r>
          </w:p>
        </w:tc>
        <w:tc>
          <w:tcPr>
            <w:tcW w:w="2440" w:type="dxa"/>
            <w:tcBorders>
              <w:top w:val="single" w:sz="4" w:space="0" w:color="auto"/>
              <w:bottom w:val="single" w:sz="4" w:space="0" w:color="auto"/>
            </w:tcBorders>
            <w:shd w:val="clear" w:color="auto" w:fill="C6D9F1" w:themeFill="text2" w:themeFillTint="33"/>
            <w:tcMar>
              <w:top w:w="113" w:type="dxa"/>
              <w:bottom w:w="113" w:type="dxa"/>
            </w:tcMar>
            <w:vAlign w:val="center"/>
            <w:hideMark/>
          </w:tcPr>
          <w:p w:rsidR="008375EE" w:rsidRPr="00A32AF4" w:rsidRDefault="008375EE" w:rsidP="00DC0553">
            <w:pPr>
              <w:jc w:val="center"/>
              <w:rPr>
                <w:rFonts w:cs="Arial"/>
                <w:b/>
                <w:bCs/>
                <w:color w:val="000000"/>
                <w:sz w:val="18"/>
                <w:szCs w:val="16"/>
              </w:rPr>
            </w:pPr>
            <w:r w:rsidRPr="00A32AF4">
              <w:rPr>
                <w:rFonts w:eastAsia="SimSun" w:cs="Arial"/>
                <w:b/>
                <w:bCs/>
                <w:color w:val="000000"/>
                <w:sz w:val="18"/>
              </w:rPr>
              <w:t>Niveaux de référence</w:t>
            </w:r>
          </w:p>
        </w:tc>
        <w:tc>
          <w:tcPr>
            <w:tcW w:w="2145" w:type="dxa"/>
            <w:tcBorders>
              <w:top w:val="single" w:sz="4" w:space="0" w:color="auto"/>
              <w:bottom w:val="single" w:sz="4" w:space="0" w:color="auto"/>
            </w:tcBorders>
            <w:shd w:val="clear" w:color="auto" w:fill="C6D9F1" w:themeFill="text2" w:themeFillTint="33"/>
            <w:tcMar>
              <w:top w:w="113" w:type="dxa"/>
              <w:bottom w:w="113" w:type="dxa"/>
            </w:tcMar>
            <w:vAlign w:val="center"/>
            <w:hideMark/>
          </w:tcPr>
          <w:p w:rsidR="008375EE" w:rsidRPr="00A32AF4" w:rsidRDefault="008375EE" w:rsidP="00DC0553">
            <w:pPr>
              <w:jc w:val="center"/>
              <w:rPr>
                <w:rFonts w:cs="Arial"/>
                <w:b/>
                <w:bCs/>
                <w:color w:val="000000"/>
                <w:sz w:val="18"/>
                <w:szCs w:val="16"/>
              </w:rPr>
            </w:pPr>
            <w:r w:rsidRPr="00A32AF4">
              <w:rPr>
                <w:rFonts w:eastAsia="SimSun" w:cs="Arial"/>
                <w:b/>
                <w:bCs/>
                <w:color w:val="000000"/>
                <w:sz w:val="18"/>
              </w:rPr>
              <w:t>Objectifs visés</w:t>
            </w:r>
          </w:p>
        </w:tc>
      </w:tr>
      <w:tr w:rsidR="008375EE" w:rsidRPr="00A32AF4" w:rsidTr="00D27E4C">
        <w:trPr>
          <w:cantSplit/>
        </w:trPr>
        <w:tc>
          <w:tcPr>
            <w:tcW w:w="2440" w:type="dxa"/>
            <w:tcBorders>
              <w:top w:val="single" w:sz="4" w:space="0" w:color="auto"/>
            </w:tcBorders>
            <w:shd w:val="clear" w:color="000000" w:fill="FFFFFF"/>
            <w:tcMar>
              <w:top w:w="113" w:type="dxa"/>
              <w:bottom w:w="113" w:type="dxa"/>
            </w:tcMar>
            <w:hideMark/>
          </w:tcPr>
          <w:p w:rsidR="008375EE" w:rsidRPr="00A32AF4" w:rsidRDefault="008375EE" w:rsidP="00DC0553">
            <w:pPr>
              <w:rPr>
                <w:rFonts w:cs="Arial"/>
                <w:color w:val="000000"/>
                <w:sz w:val="16"/>
                <w:szCs w:val="16"/>
              </w:rPr>
            </w:pPr>
            <w:r w:rsidRPr="00A32AF4">
              <w:rPr>
                <w:rFonts w:cs="Arial"/>
                <w:color w:val="000000"/>
                <w:sz w:val="16"/>
                <w:szCs w:val="16"/>
              </w:rPr>
              <w:t>IX.1 Services d</w:t>
            </w:r>
            <w:r w:rsidR="00E2055A" w:rsidRPr="00A32AF4">
              <w:rPr>
                <w:rFonts w:cs="Arial"/>
                <w:color w:val="000000"/>
                <w:sz w:val="16"/>
                <w:szCs w:val="16"/>
              </w:rPr>
              <w:t>’</w:t>
            </w:r>
            <w:r w:rsidRPr="00A32AF4">
              <w:rPr>
                <w:rFonts w:cs="Arial"/>
                <w:color w:val="000000"/>
                <w:sz w:val="16"/>
                <w:szCs w:val="16"/>
              </w:rPr>
              <w:t>appui efficaces, efficients, de qualité et tournés vers la clientèle, à l</w:t>
            </w:r>
            <w:r w:rsidR="00E2055A" w:rsidRPr="00A32AF4">
              <w:rPr>
                <w:rFonts w:cs="Arial"/>
                <w:color w:val="000000"/>
                <w:sz w:val="16"/>
                <w:szCs w:val="16"/>
              </w:rPr>
              <w:t>’</w:t>
            </w:r>
            <w:r w:rsidRPr="00A32AF4">
              <w:rPr>
                <w:rFonts w:cs="Arial"/>
                <w:color w:val="000000"/>
                <w:sz w:val="16"/>
                <w:szCs w:val="16"/>
              </w:rPr>
              <w:t>intention à la fois des clients internes et des parties prenantes externes</w:t>
            </w:r>
          </w:p>
        </w:tc>
        <w:tc>
          <w:tcPr>
            <w:tcW w:w="2440" w:type="dxa"/>
            <w:tcBorders>
              <w:top w:val="single" w:sz="4" w:space="0" w:color="auto"/>
            </w:tcBorders>
            <w:shd w:val="clear" w:color="000000" w:fill="FFFFFF"/>
            <w:tcMar>
              <w:top w:w="113" w:type="dxa"/>
              <w:bottom w:w="113" w:type="dxa"/>
            </w:tcMar>
            <w:hideMark/>
          </w:tcPr>
          <w:p w:rsidR="008375EE" w:rsidRPr="00A32AF4" w:rsidRDefault="008375EE" w:rsidP="00DC0553">
            <w:pPr>
              <w:rPr>
                <w:rFonts w:cs="Arial"/>
                <w:color w:val="000000"/>
                <w:sz w:val="16"/>
                <w:szCs w:val="16"/>
              </w:rPr>
            </w:pPr>
            <w:r w:rsidRPr="00A32AF4">
              <w:rPr>
                <w:rFonts w:cs="Arial"/>
                <w:color w:val="000000"/>
                <w:sz w:val="16"/>
                <w:szCs w:val="16"/>
              </w:rPr>
              <w:t>Pourcentage du personnel satisfait des services des ressources humaines</w:t>
            </w:r>
          </w:p>
        </w:tc>
        <w:tc>
          <w:tcPr>
            <w:tcW w:w="2440" w:type="dxa"/>
            <w:tcBorders>
              <w:top w:val="single" w:sz="4" w:space="0" w:color="auto"/>
            </w:tcBorders>
            <w:shd w:val="clear" w:color="000000" w:fill="FFFFFF"/>
            <w:tcMar>
              <w:top w:w="113" w:type="dxa"/>
              <w:bottom w:w="113" w:type="dxa"/>
            </w:tcMar>
            <w:hideMark/>
          </w:tcPr>
          <w:p w:rsidR="008375EE" w:rsidRPr="00A32AF4" w:rsidRDefault="008375EE" w:rsidP="00DC0553">
            <w:pPr>
              <w:rPr>
                <w:rFonts w:cs="Arial"/>
                <w:color w:val="000000"/>
                <w:sz w:val="16"/>
                <w:szCs w:val="16"/>
              </w:rPr>
            </w:pPr>
            <w:r w:rsidRPr="00A32AF4">
              <w:rPr>
                <w:rFonts w:cs="Arial"/>
                <w:color w:val="000000"/>
                <w:sz w:val="16"/>
                <w:szCs w:val="16"/>
              </w:rPr>
              <w:t>Très satisfaits : 30,8%</w:t>
            </w:r>
            <w:r w:rsidRPr="00A32AF4">
              <w:rPr>
                <w:rFonts w:cs="Arial"/>
                <w:color w:val="000000"/>
                <w:sz w:val="16"/>
                <w:szCs w:val="16"/>
              </w:rPr>
              <w:br/>
              <w:t>Satisfaits : 49,1%</w:t>
            </w:r>
            <w:r w:rsidRPr="00A32AF4">
              <w:rPr>
                <w:rFonts w:cs="Arial"/>
                <w:color w:val="000000"/>
                <w:sz w:val="16"/>
                <w:szCs w:val="16"/>
              </w:rPr>
              <w:br/>
              <w:t>Mécontents : 17,6%</w:t>
            </w:r>
            <w:r w:rsidRPr="00A32AF4">
              <w:rPr>
                <w:rFonts w:cs="Arial"/>
                <w:color w:val="000000"/>
                <w:sz w:val="16"/>
                <w:szCs w:val="16"/>
              </w:rPr>
              <w:br/>
              <w:t>Très mécontents : 2,5%</w:t>
            </w:r>
          </w:p>
        </w:tc>
        <w:tc>
          <w:tcPr>
            <w:tcW w:w="2145" w:type="dxa"/>
            <w:tcBorders>
              <w:top w:val="single" w:sz="4" w:space="0" w:color="auto"/>
            </w:tcBorders>
            <w:shd w:val="clear" w:color="000000" w:fill="FFFFFF"/>
            <w:tcMar>
              <w:top w:w="113" w:type="dxa"/>
              <w:bottom w:w="113" w:type="dxa"/>
            </w:tcMar>
            <w:hideMark/>
          </w:tcPr>
          <w:p w:rsidR="008375EE" w:rsidRPr="00A32AF4" w:rsidRDefault="008375EE" w:rsidP="00DC0553">
            <w:pPr>
              <w:rPr>
                <w:rFonts w:cs="Arial"/>
                <w:color w:val="000000"/>
                <w:sz w:val="16"/>
                <w:szCs w:val="16"/>
              </w:rPr>
            </w:pPr>
            <w:r w:rsidRPr="00A32AF4">
              <w:rPr>
                <w:rFonts w:cs="Arial"/>
                <w:color w:val="000000"/>
                <w:sz w:val="16"/>
                <w:szCs w:val="16"/>
              </w:rPr>
              <w:t>85% très satisfaits ou satisfaits</w:t>
            </w:r>
          </w:p>
        </w:tc>
      </w:tr>
      <w:tr w:rsidR="008375EE" w:rsidRPr="00A32AF4" w:rsidTr="00D27E4C">
        <w:trPr>
          <w:cantSplit/>
        </w:trPr>
        <w:tc>
          <w:tcPr>
            <w:tcW w:w="2440" w:type="dxa"/>
            <w:shd w:val="clear" w:color="000000" w:fill="FFFFFF"/>
            <w:tcMar>
              <w:top w:w="113" w:type="dxa"/>
              <w:bottom w:w="113" w:type="dxa"/>
            </w:tcMar>
            <w:hideMark/>
          </w:tcPr>
          <w:p w:rsidR="008375EE" w:rsidRPr="00A32AF4" w:rsidRDefault="008375EE" w:rsidP="00DC0553">
            <w:pPr>
              <w:rPr>
                <w:rFonts w:cs="Arial"/>
                <w:color w:val="000000"/>
                <w:sz w:val="16"/>
                <w:szCs w:val="16"/>
              </w:rPr>
            </w:pPr>
          </w:p>
        </w:tc>
        <w:tc>
          <w:tcPr>
            <w:tcW w:w="2440" w:type="dxa"/>
            <w:shd w:val="clear" w:color="000000" w:fill="FFFFFF"/>
            <w:tcMar>
              <w:top w:w="113" w:type="dxa"/>
              <w:bottom w:w="113" w:type="dxa"/>
            </w:tcMar>
            <w:hideMark/>
          </w:tcPr>
          <w:p w:rsidR="008375EE" w:rsidRPr="00A32AF4" w:rsidRDefault="008375EE" w:rsidP="00DC0553">
            <w:pPr>
              <w:rPr>
                <w:rFonts w:cs="Arial"/>
                <w:color w:val="000000"/>
                <w:sz w:val="16"/>
                <w:szCs w:val="16"/>
              </w:rPr>
            </w:pPr>
            <w:r w:rsidRPr="00A32AF4">
              <w:rPr>
                <w:rFonts w:cs="Arial"/>
                <w:color w:val="000000"/>
                <w:sz w:val="16"/>
                <w:szCs w:val="16"/>
              </w:rPr>
              <w:t>Augmentation d</w:t>
            </w:r>
            <w:r w:rsidR="00E2055A" w:rsidRPr="00A32AF4">
              <w:rPr>
                <w:rFonts w:cs="Arial"/>
                <w:color w:val="000000"/>
                <w:sz w:val="16"/>
                <w:szCs w:val="16"/>
              </w:rPr>
              <w:t>’</w:t>
            </w:r>
            <w:r w:rsidRPr="00A32AF4">
              <w:rPr>
                <w:rFonts w:cs="Arial"/>
                <w:color w:val="000000"/>
                <w:sz w:val="16"/>
                <w:szCs w:val="16"/>
              </w:rPr>
              <w:t xml:space="preserve">activités gérées automatiquement par rapport aux actions gérées manuellement </w:t>
            </w:r>
          </w:p>
        </w:tc>
        <w:tc>
          <w:tcPr>
            <w:tcW w:w="2440" w:type="dxa"/>
            <w:shd w:val="clear" w:color="000000" w:fill="FFFFFF"/>
            <w:tcMar>
              <w:top w:w="113" w:type="dxa"/>
              <w:bottom w:w="113" w:type="dxa"/>
            </w:tcMar>
            <w:hideMark/>
          </w:tcPr>
          <w:p w:rsidR="008375EE" w:rsidRPr="00A32AF4" w:rsidRDefault="008375EE" w:rsidP="00DC0553">
            <w:pPr>
              <w:rPr>
                <w:rFonts w:cs="Arial"/>
                <w:color w:val="000000"/>
                <w:sz w:val="16"/>
                <w:szCs w:val="16"/>
              </w:rPr>
            </w:pPr>
            <w:r w:rsidRPr="00A32AF4">
              <w:rPr>
                <w:rFonts w:cs="Arial"/>
                <w:color w:val="000000"/>
                <w:sz w:val="16"/>
                <w:szCs w:val="16"/>
              </w:rPr>
              <w:t>0%</w:t>
            </w:r>
          </w:p>
        </w:tc>
        <w:tc>
          <w:tcPr>
            <w:tcW w:w="2145" w:type="dxa"/>
            <w:shd w:val="clear" w:color="000000" w:fill="FFFFFF"/>
            <w:tcMar>
              <w:top w:w="113" w:type="dxa"/>
              <w:bottom w:w="113" w:type="dxa"/>
            </w:tcMar>
            <w:hideMark/>
          </w:tcPr>
          <w:p w:rsidR="008375EE" w:rsidRPr="00A32AF4" w:rsidRDefault="008375EE" w:rsidP="00DC0553">
            <w:pPr>
              <w:rPr>
                <w:rFonts w:cs="Arial"/>
                <w:color w:val="000000"/>
                <w:sz w:val="16"/>
                <w:szCs w:val="16"/>
              </w:rPr>
            </w:pPr>
            <w:r w:rsidRPr="00A32AF4">
              <w:rPr>
                <w:rFonts w:cs="Arial"/>
                <w:color w:val="000000"/>
                <w:sz w:val="16"/>
                <w:szCs w:val="16"/>
              </w:rPr>
              <w:t>67%</w:t>
            </w:r>
          </w:p>
        </w:tc>
      </w:tr>
      <w:tr w:rsidR="008375EE" w:rsidRPr="00A32AF4" w:rsidTr="00D27E4C">
        <w:trPr>
          <w:cantSplit/>
        </w:trPr>
        <w:tc>
          <w:tcPr>
            <w:tcW w:w="2440" w:type="dxa"/>
            <w:shd w:val="clear" w:color="000000" w:fill="FFFFFF"/>
            <w:tcMar>
              <w:top w:w="113" w:type="dxa"/>
              <w:bottom w:w="113" w:type="dxa"/>
            </w:tcMar>
            <w:hideMark/>
          </w:tcPr>
          <w:p w:rsidR="008375EE" w:rsidRPr="00A32AF4" w:rsidRDefault="008375EE" w:rsidP="00DC0553">
            <w:pPr>
              <w:rPr>
                <w:rFonts w:cs="Arial"/>
                <w:color w:val="000000"/>
                <w:sz w:val="16"/>
                <w:szCs w:val="16"/>
              </w:rPr>
            </w:pPr>
          </w:p>
        </w:tc>
        <w:tc>
          <w:tcPr>
            <w:tcW w:w="2440" w:type="dxa"/>
            <w:shd w:val="clear" w:color="000000" w:fill="FFFFFF"/>
            <w:tcMar>
              <w:top w:w="113" w:type="dxa"/>
              <w:bottom w:w="113" w:type="dxa"/>
            </w:tcMar>
            <w:hideMark/>
          </w:tcPr>
          <w:p w:rsidR="008375EE" w:rsidRPr="00A32AF4" w:rsidRDefault="008375EE" w:rsidP="00DC0553">
            <w:pPr>
              <w:rPr>
                <w:rFonts w:cs="Arial"/>
                <w:color w:val="000000"/>
                <w:sz w:val="16"/>
                <w:szCs w:val="16"/>
              </w:rPr>
            </w:pPr>
            <w:r w:rsidRPr="00A32AF4">
              <w:rPr>
                <w:rFonts w:cs="Arial"/>
                <w:color w:val="000000"/>
                <w:sz w:val="16"/>
                <w:szCs w:val="16"/>
              </w:rPr>
              <w:t xml:space="preserve">Pourcentage des requêtes traitées en moins de cinq jours ouvrables </w:t>
            </w:r>
          </w:p>
        </w:tc>
        <w:tc>
          <w:tcPr>
            <w:tcW w:w="2440" w:type="dxa"/>
            <w:shd w:val="clear" w:color="000000" w:fill="FFFFFF"/>
            <w:tcMar>
              <w:top w:w="113" w:type="dxa"/>
              <w:bottom w:w="113" w:type="dxa"/>
            </w:tcMar>
            <w:hideMark/>
          </w:tcPr>
          <w:p w:rsidR="008375EE" w:rsidRPr="00A32AF4" w:rsidRDefault="008375EE" w:rsidP="00DC0553">
            <w:pPr>
              <w:rPr>
                <w:rFonts w:cs="Arial"/>
                <w:color w:val="000000"/>
                <w:sz w:val="16"/>
                <w:szCs w:val="16"/>
              </w:rPr>
            </w:pPr>
            <w:r w:rsidRPr="00A32AF4">
              <w:rPr>
                <w:rFonts w:cs="Arial"/>
                <w:color w:val="000000"/>
                <w:sz w:val="16"/>
                <w:szCs w:val="16"/>
              </w:rPr>
              <w:t>À déterminer fin 2015</w:t>
            </w:r>
          </w:p>
        </w:tc>
        <w:tc>
          <w:tcPr>
            <w:tcW w:w="2145" w:type="dxa"/>
            <w:shd w:val="clear" w:color="000000" w:fill="FFFFFF"/>
            <w:tcMar>
              <w:top w:w="113" w:type="dxa"/>
              <w:bottom w:w="113" w:type="dxa"/>
            </w:tcMar>
            <w:hideMark/>
          </w:tcPr>
          <w:p w:rsidR="008375EE" w:rsidRPr="00A32AF4" w:rsidRDefault="008375EE" w:rsidP="00DC0553">
            <w:pPr>
              <w:rPr>
                <w:rFonts w:cs="Arial"/>
                <w:color w:val="000000"/>
                <w:sz w:val="16"/>
                <w:szCs w:val="16"/>
              </w:rPr>
            </w:pPr>
            <w:r w:rsidRPr="00A32AF4">
              <w:rPr>
                <w:rFonts w:cs="Arial"/>
                <w:color w:val="000000"/>
                <w:sz w:val="16"/>
                <w:szCs w:val="16"/>
              </w:rPr>
              <w:t>90%</w:t>
            </w:r>
          </w:p>
        </w:tc>
      </w:tr>
      <w:tr w:rsidR="008375EE" w:rsidRPr="00A32AF4" w:rsidTr="00D27E4C">
        <w:trPr>
          <w:cantSplit/>
        </w:trPr>
        <w:tc>
          <w:tcPr>
            <w:tcW w:w="2440" w:type="dxa"/>
            <w:shd w:val="clear" w:color="000000" w:fill="FFFFFF"/>
            <w:tcMar>
              <w:top w:w="113" w:type="dxa"/>
              <w:bottom w:w="113" w:type="dxa"/>
            </w:tcMar>
            <w:hideMark/>
          </w:tcPr>
          <w:p w:rsidR="008375EE" w:rsidRPr="00A32AF4" w:rsidRDefault="008375EE" w:rsidP="00DC0553">
            <w:pPr>
              <w:rPr>
                <w:rFonts w:cs="Arial"/>
                <w:color w:val="000000"/>
                <w:sz w:val="16"/>
                <w:szCs w:val="16"/>
              </w:rPr>
            </w:pPr>
          </w:p>
        </w:tc>
        <w:tc>
          <w:tcPr>
            <w:tcW w:w="2440" w:type="dxa"/>
            <w:shd w:val="clear" w:color="000000" w:fill="FFFFFF"/>
            <w:tcMar>
              <w:top w:w="113" w:type="dxa"/>
              <w:bottom w:w="113" w:type="dxa"/>
            </w:tcMar>
            <w:hideMark/>
          </w:tcPr>
          <w:p w:rsidR="008375EE" w:rsidRPr="00A32AF4" w:rsidRDefault="008375EE" w:rsidP="00DC0553">
            <w:pPr>
              <w:rPr>
                <w:rFonts w:cs="Arial"/>
                <w:color w:val="000000"/>
                <w:sz w:val="16"/>
                <w:szCs w:val="16"/>
              </w:rPr>
            </w:pPr>
            <w:r w:rsidRPr="00A32AF4">
              <w:rPr>
                <w:rFonts w:cs="Arial"/>
                <w:color w:val="000000"/>
                <w:sz w:val="16"/>
                <w:szCs w:val="16"/>
              </w:rPr>
              <w:t>Couverture d</w:t>
            </w:r>
            <w:r w:rsidR="00E2055A" w:rsidRPr="00A32AF4">
              <w:rPr>
                <w:rFonts w:cs="Arial"/>
                <w:color w:val="000000"/>
                <w:sz w:val="16"/>
                <w:szCs w:val="16"/>
              </w:rPr>
              <w:t>’</w:t>
            </w:r>
            <w:r w:rsidRPr="00A32AF4">
              <w:rPr>
                <w:rFonts w:cs="Arial"/>
                <w:color w:val="000000"/>
                <w:sz w:val="16"/>
                <w:szCs w:val="16"/>
              </w:rPr>
              <w:t xml:space="preserve">assurance optimisée </w:t>
            </w:r>
          </w:p>
        </w:tc>
        <w:tc>
          <w:tcPr>
            <w:tcW w:w="2440" w:type="dxa"/>
            <w:shd w:val="clear" w:color="000000" w:fill="FFFFFF"/>
            <w:tcMar>
              <w:top w:w="113" w:type="dxa"/>
              <w:bottom w:w="113" w:type="dxa"/>
            </w:tcMar>
            <w:hideMark/>
          </w:tcPr>
          <w:p w:rsidR="008375EE" w:rsidRPr="00A32AF4" w:rsidRDefault="008375EE" w:rsidP="00DC0553">
            <w:pPr>
              <w:rPr>
                <w:rFonts w:cs="Arial"/>
                <w:color w:val="000000"/>
                <w:sz w:val="16"/>
                <w:szCs w:val="16"/>
              </w:rPr>
            </w:pPr>
            <w:r w:rsidRPr="00A32AF4">
              <w:rPr>
                <w:rFonts w:cs="Arial"/>
                <w:color w:val="000000"/>
                <w:sz w:val="16"/>
                <w:szCs w:val="16"/>
              </w:rPr>
              <w:t>À déterminer fin 2015</w:t>
            </w:r>
          </w:p>
        </w:tc>
        <w:tc>
          <w:tcPr>
            <w:tcW w:w="2145" w:type="dxa"/>
            <w:shd w:val="clear" w:color="000000" w:fill="FFFFFF"/>
            <w:tcMar>
              <w:top w:w="113" w:type="dxa"/>
              <w:bottom w:w="113" w:type="dxa"/>
            </w:tcMar>
            <w:hideMark/>
          </w:tcPr>
          <w:p w:rsidR="008375EE" w:rsidRPr="00A32AF4" w:rsidRDefault="008375EE" w:rsidP="00DC0553">
            <w:pPr>
              <w:rPr>
                <w:rFonts w:cs="Arial"/>
                <w:color w:val="000000"/>
                <w:sz w:val="16"/>
                <w:szCs w:val="16"/>
              </w:rPr>
            </w:pPr>
            <w:r w:rsidRPr="00A32AF4">
              <w:rPr>
                <w:rFonts w:cs="Arial"/>
                <w:color w:val="000000"/>
                <w:sz w:val="16"/>
                <w:szCs w:val="16"/>
              </w:rPr>
              <w:t>À déterminer fin 2015</w:t>
            </w:r>
          </w:p>
        </w:tc>
      </w:tr>
      <w:tr w:rsidR="008375EE" w:rsidRPr="00A32AF4" w:rsidTr="00D27E4C">
        <w:trPr>
          <w:cantSplit/>
        </w:trPr>
        <w:tc>
          <w:tcPr>
            <w:tcW w:w="2440" w:type="dxa"/>
            <w:shd w:val="clear" w:color="000000" w:fill="FFFFFF"/>
            <w:tcMar>
              <w:top w:w="113" w:type="dxa"/>
              <w:bottom w:w="113" w:type="dxa"/>
            </w:tcMar>
            <w:hideMark/>
          </w:tcPr>
          <w:p w:rsidR="008375EE" w:rsidRPr="00A32AF4" w:rsidRDefault="008375EE" w:rsidP="00DC0553">
            <w:pPr>
              <w:rPr>
                <w:rFonts w:cs="Arial"/>
                <w:color w:val="000000"/>
                <w:sz w:val="16"/>
                <w:szCs w:val="16"/>
              </w:rPr>
            </w:pPr>
            <w:r w:rsidRPr="00A32AF4">
              <w:rPr>
                <w:rFonts w:cs="Arial"/>
                <w:color w:val="000000"/>
                <w:sz w:val="16"/>
                <w:szCs w:val="16"/>
              </w:rPr>
              <w:t>IX.2 Un Secrétariat réactif, fonctionnant harmonieusement et doté de ressources humaines bien gérées et compétentes, à même d</w:t>
            </w:r>
            <w:r w:rsidR="00E2055A" w:rsidRPr="00A32AF4">
              <w:rPr>
                <w:rFonts w:cs="Arial"/>
                <w:color w:val="000000"/>
                <w:sz w:val="16"/>
                <w:szCs w:val="16"/>
              </w:rPr>
              <w:t>’</w:t>
            </w:r>
            <w:r w:rsidRPr="00A32AF4">
              <w:rPr>
                <w:rFonts w:cs="Arial"/>
                <w:color w:val="000000"/>
                <w:sz w:val="16"/>
                <w:szCs w:val="16"/>
              </w:rPr>
              <w:t>obtenir des résultats concrets</w:t>
            </w:r>
          </w:p>
        </w:tc>
        <w:tc>
          <w:tcPr>
            <w:tcW w:w="2440" w:type="dxa"/>
            <w:shd w:val="clear" w:color="000000" w:fill="FFFFFF"/>
            <w:tcMar>
              <w:top w:w="113" w:type="dxa"/>
              <w:bottom w:w="113" w:type="dxa"/>
            </w:tcMar>
            <w:hideMark/>
          </w:tcPr>
          <w:p w:rsidR="008375EE" w:rsidRPr="00A32AF4" w:rsidRDefault="008375EE" w:rsidP="00DC0553">
            <w:pPr>
              <w:rPr>
                <w:rFonts w:cs="Arial"/>
                <w:color w:val="000000"/>
                <w:sz w:val="16"/>
                <w:szCs w:val="16"/>
              </w:rPr>
            </w:pPr>
            <w:r w:rsidRPr="00A32AF4">
              <w:rPr>
                <w:rFonts w:cs="Arial"/>
                <w:color w:val="000000"/>
                <w:sz w:val="16"/>
                <w:szCs w:val="16"/>
              </w:rPr>
              <w:t>Pourcentage de femmes à des postes d</w:t>
            </w:r>
            <w:r w:rsidR="00E2055A" w:rsidRPr="00A32AF4">
              <w:rPr>
                <w:rFonts w:cs="Arial"/>
                <w:color w:val="000000"/>
                <w:sz w:val="16"/>
                <w:szCs w:val="16"/>
              </w:rPr>
              <w:t>’</w:t>
            </w:r>
            <w:r w:rsidRPr="00A32AF4">
              <w:rPr>
                <w:rFonts w:cs="Arial"/>
                <w:color w:val="000000"/>
                <w:sz w:val="16"/>
                <w:szCs w:val="16"/>
              </w:rPr>
              <w:t>administrateur et dans les catégories supérieures</w:t>
            </w:r>
          </w:p>
          <w:p w:rsidR="008375EE" w:rsidRPr="00A32AF4" w:rsidRDefault="008375EE" w:rsidP="00DC0553">
            <w:pPr>
              <w:rPr>
                <w:rFonts w:cs="Arial"/>
                <w:color w:val="000000"/>
                <w:sz w:val="16"/>
                <w:szCs w:val="16"/>
              </w:rPr>
            </w:pPr>
          </w:p>
          <w:p w:rsidR="008375EE" w:rsidRPr="00A32AF4" w:rsidRDefault="008375EE" w:rsidP="00DC0553">
            <w:pPr>
              <w:rPr>
                <w:rFonts w:cs="Arial"/>
                <w:color w:val="000000"/>
                <w:sz w:val="16"/>
                <w:szCs w:val="16"/>
              </w:rPr>
            </w:pPr>
            <w:r w:rsidRPr="00A32AF4">
              <w:rPr>
                <w:rFonts w:cs="Arial"/>
                <w:color w:val="000000"/>
                <w:sz w:val="16"/>
                <w:szCs w:val="16"/>
              </w:rPr>
              <w:t>Délais de recrutement</w:t>
            </w:r>
          </w:p>
        </w:tc>
        <w:tc>
          <w:tcPr>
            <w:tcW w:w="2440" w:type="dxa"/>
            <w:shd w:val="clear" w:color="000000" w:fill="FFFFFF"/>
            <w:tcMar>
              <w:top w:w="113" w:type="dxa"/>
              <w:bottom w:w="113" w:type="dxa"/>
            </w:tcMar>
            <w:hideMark/>
          </w:tcPr>
          <w:p w:rsidR="008375EE" w:rsidRPr="00A32AF4" w:rsidRDefault="008375EE" w:rsidP="00DC0553">
            <w:pPr>
              <w:rPr>
                <w:rFonts w:cs="Arial"/>
                <w:color w:val="000000"/>
                <w:sz w:val="16"/>
                <w:szCs w:val="16"/>
              </w:rPr>
            </w:pPr>
            <w:r w:rsidRPr="00A32AF4">
              <w:rPr>
                <w:rFonts w:cs="Arial"/>
                <w:color w:val="000000"/>
                <w:sz w:val="16"/>
                <w:szCs w:val="16"/>
              </w:rPr>
              <w:t>P</w:t>
            </w:r>
            <w:r w:rsidR="00EB7F54" w:rsidRPr="00A32AF4">
              <w:rPr>
                <w:rFonts w:cs="Arial"/>
                <w:color w:val="000000"/>
                <w:sz w:val="16"/>
                <w:szCs w:val="16"/>
              </w:rPr>
              <w:noBreakHyphen/>
            </w:r>
            <w:r w:rsidRPr="00A32AF4">
              <w:rPr>
                <w:rFonts w:cs="Arial"/>
                <w:color w:val="000000"/>
                <w:sz w:val="16"/>
                <w:szCs w:val="16"/>
              </w:rPr>
              <w:t>4 – 44,4%</w:t>
            </w:r>
            <w:proofErr w:type="gramStart"/>
            <w:r w:rsidRPr="00A32AF4">
              <w:rPr>
                <w:rFonts w:cs="Arial"/>
                <w:color w:val="000000"/>
                <w:sz w:val="16"/>
                <w:szCs w:val="16"/>
              </w:rPr>
              <w:t>;</w:t>
            </w:r>
            <w:r w:rsidR="00FD43E3" w:rsidRPr="00A32AF4">
              <w:rPr>
                <w:rFonts w:cs="Arial"/>
                <w:color w:val="000000"/>
                <w:sz w:val="16"/>
                <w:szCs w:val="16"/>
              </w:rPr>
              <w:t xml:space="preserve"> </w:t>
            </w:r>
            <w:r w:rsidRPr="00A32AF4">
              <w:rPr>
                <w:rFonts w:cs="Arial"/>
                <w:color w:val="000000"/>
                <w:sz w:val="16"/>
                <w:szCs w:val="16"/>
              </w:rPr>
              <w:t xml:space="preserve"> P</w:t>
            </w:r>
            <w:proofErr w:type="gramEnd"/>
            <w:r w:rsidR="00EB7F54" w:rsidRPr="00A32AF4">
              <w:rPr>
                <w:rFonts w:cs="Arial"/>
                <w:color w:val="000000"/>
                <w:sz w:val="16"/>
                <w:szCs w:val="16"/>
              </w:rPr>
              <w:noBreakHyphen/>
            </w:r>
            <w:r w:rsidRPr="00A32AF4">
              <w:rPr>
                <w:rFonts w:cs="Arial"/>
                <w:color w:val="000000"/>
                <w:sz w:val="16"/>
                <w:szCs w:val="16"/>
              </w:rPr>
              <w:t xml:space="preserve">5 – 34,4%;  </w:t>
            </w:r>
            <w:r w:rsidRPr="00A32AF4">
              <w:rPr>
                <w:rFonts w:cs="Arial"/>
                <w:color w:val="000000"/>
                <w:sz w:val="16"/>
                <w:szCs w:val="16"/>
              </w:rPr>
              <w:br/>
              <w:t>D</w:t>
            </w:r>
            <w:r w:rsidR="00EB7F54" w:rsidRPr="00A32AF4">
              <w:rPr>
                <w:rFonts w:cs="Arial"/>
                <w:color w:val="000000"/>
                <w:sz w:val="16"/>
                <w:szCs w:val="16"/>
              </w:rPr>
              <w:noBreakHyphen/>
            </w:r>
            <w:r w:rsidRPr="00A32AF4">
              <w:rPr>
                <w:rFonts w:cs="Arial"/>
                <w:color w:val="000000"/>
                <w:sz w:val="16"/>
                <w:szCs w:val="16"/>
              </w:rPr>
              <w:t>1 – 26,7%;  D</w:t>
            </w:r>
            <w:r w:rsidR="00EB7F54" w:rsidRPr="00A32AF4">
              <w:rPr>
                <w:rFonts w:cs="Arial"/>
                <w:color w:val="000000"/>
                <w:sz w:val="16"/>
                <w:szCs w:val="16"/>
              </w:rPr>
              <w:noBreakHyphen/>
            </w:r>
            <w:r w:rsidRPr="00A32AF4">
              <w:rPr>
                <w:rFonts w:cs="Arial"/>
                <w:color w:val="000000"/>
                <w:sz w:val="16"/>
                <w:szCs w:val="16"/>
              </w:rPr>
              <w:t>2 – 22,2% (décembre 2014)</w:t>
            </w:r>
          </w:p>
          <w:p w:rsidR="008375EE" w:rsidRPr="00A32AF4" w:rsidRDefault="008375EE" w:rsidP="00DC0553">
            <w:pPr>
              <w:rPr>
                <w:rFonts w:cs="Arial"/>
                <w:color w:val="000000"/>
                <w:sz w:val="16"/>
                <w:szCs w:val="16"/>
              </w:rPr>
            </w:pPr>
          </w:p>
          <w:p w:rsidR="008375EE" w:rsidRPr="00A32AF4" w:rsidRDefault="008375EE" w:rsidP="00DC0553">
            <w:pPr>
              <w:rPr>
                <w:rFonts w:cs="Arial"/>
                <w:color w:val="000000"/>
                <w:sz w:val="16"/>
                <w:szCs w:val="16"/>
              </w:rPr>
            </w:pPr>
            <w:r w:rsidRPr="00A32AF4">
              <w:rPr>
                <w:rFonts w:cs="Arial"/>
                <w:color w:val="000000"/>
                <w:sz w:val="16"/>
                <w:szCs w:val="16"/>
              </w:rPr>
              <w:t>14,7 semaines (</w:t>
            </w:r>
            <w:r w:rsidR="00E2055A" w:rsidRPr="00A32AF4">
              <w:rPr>
                <w:rFonts w:cs="Arial"/>
                <w:color w:val="000000"/>
                <w:sz w:val="16"/>
                <w:szCs w:val="16"/>
              </w:rPr>
              <w:t>y compris</w:t>
            </w:r>
            <w:r w:rsidRPr="00A32AF4">
              <w:rPr>
                <w:rFonts w:cs="Arial"/>
                <w:color w:val="000000"/>
                <w:sz w:val="16"/>
                <w:szCs w:val="16"/>
              </w:rPr>
              <w:t xml:space="preserve"> les agents temporaires de longue durée</w:t>
            </w:r>
            <w:proofErr w:type="gramStart"/>
            <w:r w:rsidRPr="00A32AF4">
              <w:rPr>
                <w:rFonts w:cs="Arial"/>
                <w:color w:val="000000"/>
                <w:sz w:val="16"/>
                <w:szCs w:val="16"/>
              </w:rPr>
              <w:t>)</w:t>
            </w:r>
            <w:proofErr w:type="gramEnd"/>
            <w:r w:rsidRPr="00A32AF4">
              <w:rPr>
                <w:rFonts w:cs="Arial"/>
                <w:color w:val="000000"/>
                <w:sz w:val="16"/>
                <w:szCs w:val="16"/>
              </w:rPr>
              <w:br/>
              <w:t>19,07 semaines (sans compter les agents temporaires de longue durée)</w:t>
            </w:r>
          </w:p>
        </w:tc>
        <w:tc>
          <w:tcPr>
            <w:tcW w:w="2145" w:type="dxa"/>
            <w:shd w:val="clear" w:color="000000" w:fill="FFFFFF"/>
            <w:tcMar>
              <w:top w:w="113" w:type="dxa"/>
              <w:bottom w:w="113" w:type="dxa"/>
            </w:tcMar>
            <w:hideMark/>
          </w:tcPr>
          <w:p w:rsidR="008375EE" w:rsidRPr="00A32AF4" w:rsidRDefault="008375EE" w:rsidP="00DC0553">
            <w:pPr>
              <w:rPr>
                <w:rFonts w:cs="Arial"/>
                <w:color w:val="000000"/>
                <w:sz w:val="16"/>
                <w:szCs w:val="16"/>
              </w:rPr>
            </w:pPr>
            <w:r w:rsidRPr="00A32AF4">
              <w:rPr>
                <w:rFonts w:cs="Arial"/>
                <w:color w:val="000000"/>
                <w:sz w:val="16"/>
                <w:szCs w:val="16"/>
              </w:rPr>
              <w:t>P</w:t>
            </w:r>
            <w:r w:rsidR="00EB7F54" w:rsidRPr="00A32AF4">
              <w:rPr>
                <w:rFonts w:cs="Arial"/>
                <w:color w:val="000000"/>
                <w:sz w:val="16"/>
                <w:szCs w:val="16"/>
              </w:rPr>
              <w:noBreakHyphen/>
            </w:r>
            <w:r w:rsidRPr="00A32AF4">
              <w:rPr>
                <w:rFonts w:cs="Arial"/>
                <w:color w:val="000000"/>
                <w:sz w:val="16"/>
                <w:szCs w:val="16"/>
              </w:rPr>
              <w:t>4 – 46%</w:t>
            </w:r>
            <w:proofErr w:type="gramStart"/>
            <w:r w:rsidRPr="00A32AF4">
              <w:rPr>
                <w:rFonts w:cs="Arial"/>
                <w:color w:val="000000"/>
                <w:sz w:val="16"/>
                <w:szCs w:val="16"/>
              </w:rPr>
              <w:t>;  P</w:t>
            </w:r>
            <w:proofErr w:type="gramEnd"/>
            <w:r w:rsidR="00EB7F54" w:rsidRPr="00A32AF4">
              <w:rPr>
                <w:rFonts w:cs="Arial"/>
                <w:color w:val="000000"/>
                <w:sz w:val="16"/>
                <w:szCs w:val="16"/>
              </w:rPr>
              <w:noBreakHyphen/>
            </w:r>
            <w:r w:rsidRPr="00A32AF4">
              <w:rPr>
                <w:rFonts w:cs="Arial"/>
                <w:color w:val="000000"/>
                <w:sz w:val="16"/>
                <w:szCs w:val="16"/>
              </w:rPr>
              <w:t>5 – 35%;  D</w:t>
            </w:r>
            <w:r w:rsidR="00EB7F54" w:rsidRPr="00A32AF4">
              <w:rPr>
                <w:rFonts w:cs="Arial"/>
                <w:color w:val="000000"/>
                <w:sz w:val="16"/>
                <w:szCs w:val="16"/>
              </w:rPr>
              <w:noBreakHyphen/>
            </w:r>
            <w:r w:rsidRPr="00A32AF4">
              <w:rPr>
                <w:rFonts w:cs="Arial"/>
                <w:color w:val="000000"/>
                <w:sz w:val="16"/>
                <w:szCs w:val="16"/>
              </w:rPr>
              <w:t>1 – 30%;  D</w:t>
            </w:r>
            <w:r w:rsidR="00EB7F54" w:rsidRPr="00A32AF4">
              <w:rPr>
                <w:rFonts w:cs="Arial"/>
                <w:color w:val="000000"/>
                <w:sz w:val="16"/>
                <w:szCs w:val="16"/>
              </w:rPr>
              <w:noBreakHyphen/>
            </w:r>
            <w:r w:rsidRPr="00A32AF4">
              <w:rPr>
                <w:rFonts w:cs="Arial"/>
                <w:color w:val="000000"/>
                <w:sz w:val="16"/>
                <w:szCs w:val="16"/>
              </w:rPr>
              <w:t>2 – 30%</w:t>
            </w:r>
          </w:p>
          <w:p w:rsidR="008375EE" w:rsidRPr="00A32AF4" w:rsidRDefault="008375EE" w:rsidP="00DC0553">
            <w:pPr>
              <w:rPr>
                <w:rFonts w:cs="Arial"/>
                <w:color w:val="000000"/>
                <w:sz w:val="16"/>
                <w:szCs w:val="16"/>
              </w:rPr>
            </w:pPr>
          </w:p>
          <w:p w:rsidR="008375EE" w:rsidRPr="00A32AF4" w:rsidRDefault="008375EE" w:rsidP="00DC0553">
            <w:pPr>
              <w:rPr>
                <w:rFonts w:cs="Arial"/>
                <w:color w:val="000000"/>
                <w:sz w:val="16"/>
                <w:szCs w:val="16"/>
              </w:rPr>
            </w:pPr>
          </w:p>
          <w:p w:rsidR="008375EE" w:rsidRPr="00A32AF4" w:rsidRDefault="008375EE" w:rsidP="00DC0553">
            <w:pPr>
              <w:rPr>
                <w:rFonts w:cs="Arial"/>
                <w:color w:val="000000"/>
                <w:sz w:val="16"/>
                <w:szCs w:val="16"/>
              </w:rPr>
            </w:pPr>
            <w:r w:rsidRPr="00A32AF4">
              <w:rPr>
                <w:rFonts w:cs="Arial"/>
                <w:color w:val="000000"/>
                <w:sz w:val="16"/>
                <w:szCs w:val="16"/>
              </w:rPr>
              <w:t>19 semaines</w:t>
            </w:r>
          </w:p>
        </w:tc>
      </w:tr>
      <w:tr w:rsidR="008375EE" w:rsidRPr="00A32AF4" w:rsidTr="00D27E4C">
        <w:trPr>
          <w:cantSplit/>
        </w:trPr>
        <w:tc>
          <w:tcPr>
            <w:tcW w:w="2440" w:type="dxa"/>
            <w:shd w:val="clear" w:color="000000" w:fill="FFFFFF"/>
            <w:tcMar>
              <w:top w:w="113" w:type="dxa"/>
              <w:bottom w:w="113" w:type="dxa"/>
            </w:tcMar>
            <w:hideMark/>
          </w:tcPr>
          <w:p w:rsidR="008375EE" w:rsidRPr="00A32AF4" w:rsidRDefault="008375EE" w:rsidP="00DC0553">
            <w:pPr>
              <w:rPr>
                <w:rFonts w:cs="Arial"/>
                <w:color w:val="000000"/>
                <w:sz w:val="16"/>
                <w:szCs w:val="16"/>
              </w:rPr>
            </w:pPr>
          </w:p>
        </w:tc>
        <w:tc>
          <w:tcPr>
            <w:tcW w:w="2440" w:type="dxa"/>
            <w:shd w:val="clear" w:color="000000" w:fill="FFFFFF"/>
            <w:tcMar>
              <w:top w:w="113" w:type="dxa"/>
              <w:bottom w:w="113" w:type="dxa"/>
            </w:tcMar>
            <w:hideMark/>
          </w:tcPr>
          <w:p w:rsidR="008375EE" w:rsidRPr="00A32AF4" w:rsidRDefault="008375EE" w:rsidP="00DC0553">
            <w:pPr>
              <w:rPr>
                <w:rFonts w:cs="Arial"/>
                <w:color w:val="000000"/>
                <w:sz w:val="16"/>
                <w:szCs w:val="16"/>
              </w:rPr>
            </w:pPr>
            <w:r w:rsidRPr="00A32AF4">
              <w:rPr>
                <w:rFonts w:cs="Arial"/>
                <w:color w:val="000000"/>
                <w:sz w:val="16"/>
                <w:szCs w:val="16"/>
              </w:rPr>
              <w:t>Pourcentage du personnel dont le travail est évalué en fonction de leurs objectifs et de leurs compétences individuels</w:t>
            </w:r>
          </w:p>
        </w:tc>
        <w:tc>
          <w:tcPr>
            <w:tcW w:w="2440" w:type="dxa"/>
            <w:shd w:val="clear" w:color="000000" w:fill="FFFFFF"/>
            <w:tcMar>
              <w:top w:w="113" w:type="dxa"/>
              <w:bottom w:w="113" w:type="dxa"/>
            </w:tcMar>
            <w:hideMark/>
          </w:tcPr>
          <w:p w:rsidR="008375EE" w:rsidRPr="00A32AF4" w:rsidRDefault="008375EE" w:rsidP="00DC0553">
            <w:pPr>
              <w:rPr>
                <w:rFonts w:cs="Arial"/>
                <w:color w:val="000000"/>
                <w:sz w:val="16"/>
                <w:szCs w:val="16"/>
              </w:rPr>
            </w:pPr>
            <w:r w:rsidRPr="00A32AF4">
              <w:rPr>
                <w:rFonts w:cs="Arial"/>
                <w:color w:val="000000"/>
                <w:sz w:val="16"/>
                <w:szCs w:val="16"/>
              </w:rPr>
              <w:t>82,9% (2014)</w:t>
            </w:r>
          </w:p>
        </w:tc>
        <w:tc>
          <w:tcPr>
            <w:tcW w:w="2145" w:type="dxa"/>
            <w:shd w:val="clear" w:color="000000" w:fill="FFFFFF"/>
            <w:tcMar>
              <w:top w:w="113" w:type="dxa"/>
              <w:bottom w:w="113" w:type="dxa"/>
            </w:tcMar>
            <w:hideMark/>
          </w:tcPr>
          <w:p w:rsidR="008375EE" w:rsidRPr="00A32AF4" w:rsidRDefault="008375EE" w:rsidP="00DC0553">
            <w:pPr>
              <w:rPr>
                <w:rFonts w:cs="Arial"/>
                <w:color w:val="000000"/>
                <w:sz w:val="16"/>
                <w:szCs w:val="16"/>
              </w:rPr>
            </w:pPr>
            <w:r w:rsidRPr="00A32AF4">
              <w:rPr>
                <w:rFonts w:cs="Arial"/>
                <w:color w:val="000000"/>
                <w:sz w:val="16"/>
                <w:szCs w:val="16"/>
              </w:rPr>
              <w:t>90%</w:t>
            </w:r>
          </w:p>
        </w:tc>
      </w:tr>
      <w:tr w:rsidR="008375EE" w:rsidRPr="00A32AF4" w:rsidTr="00D27E4C">
        <w:trPr>
          <w:cantSplit/>
        </w:trPr>
        <w:tc>
          <w:tcPr>
            <w:tcW w:w="2440" w:type="dxa"/>
            <w:shd w:val="clear" w:color="000000" w:fill="FFFFFF"/>
            <w:tcMar>
              <w:top w:w="113" w:type="dxa"/>
              <w:bottom w:w="113" w:type="dxa"/>
            </w:tcMar>
            <w:hideMark/>
          </w:tcPr>
          <w:p w:rsidR="008375EE" w:rsidRPr="00A32AF4" w:rsidRDefault="008375EE" w:rsidP="00DC0553">
            <w:pPr>
              <w:rPr>
                <w:rFonts w:cs="Arial"/>
                <w:color w:val="000000"/>
                <w:sz w:val="16"/>
                <w:szCs w:val="16"/>
              </w:rPr>
            </w:pPr>
          </w:p>
        </w:tc>
        <w:tc>
          <w:tcPr>
            <w:tcW w:w="2440" w:type="dxa"/>
            <w:shd w:val="clear" w:color="000000" w:fill="FFFFFF"/>
            <w:tcMar>
              <w:top w:w="113" w:type="dxa"/>
              <w:bottom w:w="113" w:type="dxa"/>
            </w:tcMar>
            <w:hideMark/>
          </w:tcPr>
          <w:p w:rsidR="008375EE" w:rsidRPr="00A32AF4" w:rsidRDefault="008375EE" w:rsidP="00DC0553">
            <w:pPr>
              <w:rPr>
                <w:rFonts w:cs="Arial"/>
                <w:color w:val="000000"/>
                <w:sz w:val="16"/>
                <w:szCs w:val="16"/>
              </w:rPr>
            </w:pPr>
            <w:r w:rsidRPr="00A32AF4">
              <w:rPr>
                <w:rFonts w:cs="Arial"/>
                <w:color w:val="000000"/>
                <w:sz w:val="16"/>
                <w:szCs w:val="16"/>
              </w:rPr>
              <w:t>Nombre de jours nécessaires pour : i) notifier au personnel les décisions concernant les requêtes en réexamen et les plaintes, ii) notifier au personnel les décisions concernant les objections/affaires disciplinaires et iii) répondre aux demandes de conseil</w:t>
            </w:r>
          </w:p>
        </w:tc>
        <w:tc>
          <w:tcPr>
            <w:tcW w:w="2440" w:type="dxa"/>
            <w:shd w:val="clear" w:color="000000" w:fill="FFFFFF"/>
            <w:tcMar>
              <w:top w:w="113" w:type="dxa"/>
              <w:bottom w:w="113" w:type="dxa"/>
            </w:tcMar>
            <w:hideMark/>
          </w:tcPr>
          <w:p w:rsidR="008375EE" w:rsidRPr="00A32AF4" w:rsidRDefault="008375EE" w:rsidP="00DC0553">
            <w:pPr>
              <w:rPr>
                <w:rFonts w:cs="Arial"/>
                <w:color w:val="000000"/>
                <w:sz w:val="16"/>
                <w:szCs w:val="16"/>
              </w:rPr>
            </w:pPr>
            <w:r w:rsidRPr="00A32AF4">
              <w:rPr>
                <w:rFonts w:cs="Arial"/>
                <w:color w:val="000000"/>
                <w:sz w:val="16"/>
                <w:szCs w:val="16"/>
              </w:rPr>
              <w:t>s.o.</w:t>
            </w:r>
          </w:p>
        </w:tc>
        <w:tc>
          <w:tcPr>
            <w:tcW w:w="2145" w:type="dxa"/>
            <w:shd w:val="clear" w:color="000000" w:fill="FFFFFF"/>
            <w:tcMar>
              <w:top w:w="113" w:type="dxa"/>
              <w:bottom w:w="113" w:type="dxa"/>
            </w:tcMar>
            <w:hideMark/>
          </w:tcPr>
          <w:p w:rsidR="008375EE" w:rsidRPr="00A32AF4" w:rsidRDefault="008375EE" w:rsidP="00DC0553">
            <w:pPr>
              <w:rPr>
                <w:rFonts w:cs="Arial"/>
                <w:color w:val="000000"/>
                <w:sz w:val="16"/>
                <w:szCs w:val="16"/>
              </w:rPr>
            </w:pPr>
            <w:r w:rsidRPr="00A32AF4">
              <w:rPr>
                <w:rFonts w:cs="Arial"/>
                <w:color w:val="000000"/>
                <w:sz w:val="16"/>
                <w:szCs w:val="16"/>
              </w:rPr>
              <w:t>i) 60 jours suivant la réception des requêtes en réexamen et des réponses aux plaintes</w:t>
            </w:r>
            <w:r w:rsidRPr="00A32AF4">
              <w:rPr>
                <w:rFonts w:cs="Arial"/>
                <w:color w:val="000000"/>
                <w:sz w:val="16"/>
                <w:szCs w:val="16"/>
              </w:rPr>
              <w:br/>
              <w:t>ii) 30 jours suivant la réception des objections/réponses aux lettres d</w:t>
            </w:r>
            <w:r w:rsidR="00E2055A" w:rsidRPr="00A32AF4">
              <w:rPr>
                <w:rFonts w:cs="Arial"/>
                <w:color w:val="000000"/>
                <w:sz w:val="16"/>
                <w:szCs w:val="16"/>
              </w:rPr>
              <w:t>’</w:t>
            </w:r>
            <w:r w:rsidRPr="00A32AF4">
              <w:rPr>
                <w:rFonts w:cs="Arial"/>
                <w:color w:val="000000"/>
                <w:sz w:val="16"/>
                <w:szCs w:val="16"/>
              </w:rPr>
              <w:t>accusation et iii) 10 jours ouvrables à compter de la réception des demandes</w:t>
            </w:r>
          </w:p>
        </w:tc>
      </w:tr>
      <w:tr w:rsidR="008375EE" w:rsidRPr="00A32AF4" w:rsidTr="00D27E4C">
        <w:trPr>
          <w:cantSplit/>
        </w:trPr>
        <w:tc>
          <w:tcPr>
            <w:tcW w:w="2440" w:type="dxa"/>
            <w:shd w:val="clear" w:color="000000" w:fill="FFFFFF"/>
            <w:tcMar>
              <w:top w:w="113" w:type="dxa"/>
              <w:bottom w:w="113" w:type="dxa"/>
            </w:tcMar>
            <w:hideMark/>
          </w:tcPr>
          <w:p w:rsidR="008375EE" w:rsidRPr="00A32AF4" w:rsidRDefault="008375EE" w:rsidP="00DC0553">
            <w:pPr>
              <w:rPr>
                <w:rFonts w:cs="Arial"/>
                <w:color w:val="000000"/>
                <w:sz w:val="16"/>
                <w:szCs w:val="16"/>
              </w:rPr>
            </w:pPr>
          </w:p>
        </w:tc>
        <w:tc>
          <w:tcPr>
            <w:tcW w:w="2440" w:type="dxa"/>
            <w:shd w:val="clear" w:color="000000" w:fill="FFFFFF"/>
            <w:tcMar>
              <w:top w:w="113" w:type="dxa"/>
              <w:bottom w:w="113" w:type="dxa"/>
            </w:tcMar>
            <w:hideMark/>
          </w:tcPr>
          <w:p w:rsidR="008375EE" w:rsidRPr="00A32AF4" w:rsidRDefault="008375EE" w:rsidP="00DC0553">
            <w:pPr>
              <w:rPr>
                <w:rFonts w:cs="Arial"/>
                <w:color w:val="000000"/>
                <w:sz w:val="16"/>
                <w:szCs w:val="16"/>
              </w:rPr>
            </w:pPr>
            <w:r w:rsidRPr="00A32AF4">
              <w:rPr>
                <w:rFonts w:cs="Arial"/>
                <w:color w:val="000000"/>
                <w:sz w:val="16"/>
                <w:szCs w:val="16"/>
              </w:rPr>
              <w:t>Diversité géographique </w:t>
            </w:r>
            <w:proofErr w:type="gramStart"/>
            <w:r w:rsidRPr="00A32AF4">
              <w:rPr>
                <w:rFonts w:cs="Arial"/>
                <w:color w:val="000000"/>
                <w:sz w:val="16"/>
                <w:szCs w:val="16"/>
              </w:rPr>
              <w:t>:</w:t>
            </w:r>
            <w:proofErr w:type="gramEnd"/>
            <w:r w:rsidRPr="00A32AF4">
              <w:rPr>
                <w:rFonts w:cs="Arial"/>
                <w:color w:val="000000"/>
                <w:sz w:val="16"/>
                <w:szCs w:val="16"/>
              </w:rPr>
              <w:br/>
              <w:t xml:space="preserve">pourcentage du personnel par région </w:t>
            </w:r>
          </w:p>
        </w:tc>
        <w:tc>
          <w:tcPr>
            <w:tcW w:w="2440" w:type="dxa"/>
            <w:shd w:val="clear" w:color="000000" w:fill="FFFFFF"/>
            <w:tcMar>
              <w:top w:w="113" w:type="dxa"/>
              <w:bottom w:w="113" w:type="dxa"/>
            </w:tcMar>
            <w:hideMark/>
          </w:tcPr>
          <w:p w:rsidR="008375EE" w:rsidRPr="00A32AF4" w:rsidRDefault="008375EE" w:rsidP="00DC0553">
            <w:pPr>
              <w:rPr>
                <w:rFonts w:cs="Arial"/>
                <w:color w:val="000000"/>
                <w:sz w:val="16"/>
                <w:szCs w:val="16"/>
              </w:rPr>
            </w:pPr>
            <w:r w:rsidRPr="00A32AF4">
              <w:rPr>
                <w:rFonts w:cs="Arial"/>
                <w:color w:val="000000"/>
                <w:sz w:val="16"/>
                <w:szCs w:val="16"/>
              </w:rPr>
              <w:t>Afrique – 10,8%</w:t>
            </w:r>
            <w:r w:rsidRPr="00A32AF4">
              <w:rPr>
                <w:rFonts w:cs="Arial"/>
                <w:color w:val="000000"/>
                <w:sz w:val="16"/>
                <w:szCs w:val="16"/>
              </w:rPr>
              <w:br/>
              <w:t>Asie et pacifique – 13,5%</w:t>
            </w:r>
            <w:r w:rsidRPr="00A32AF4">
              <w:rPr>
                <w:rFonts w:cs="Arial"/>
                <w:color w:val="000000"/>
                <w:sz w:val="16"/>
                <w:szCs w:val="16"/>
              </w:rPr>
              <w:br/>
              <w:t>Europe de l</w:t>
            </w:r>
            <w:r w:rsidR="00E2055A" w:rsidRPr="00A32AF4">
              <w:rPr>
                <w:rFonts w:cs="Arial"/>
                <w:color w:val="000000"/>
                <w:sz w:val="16"/>
                <w:szCs w:val="16"/>
              </w:rPr>
              <w:t>’</w:t>
            </w:r>
            <w:r w:rsidRPr="00A32AF4">
              <w:rPr>
                <w:rFonts w:cs="Arial"/>
                <w:color w:val="000000"/>
                <w:sz w:val="16"/>
                <w:szCs w:val="16"/>
              </w:rPr>
              <w:t>Est, Europe centrale et Asie centrale – 6,7%</w:t>
            </w:r>
            <w:r w:rsidRPr="00A32AF4">
              <w:rPr>
                <w:rFonts w:cs="Arial"/>
                <w:color w:val="000000"/>
                <w:sz w:val="16"/>
                <w:szCs w:val="16"/>
              </w:rPr>
              <w:br/>
              <w:t>Amérique latine et Caraïbes – 8,2%</w:t>
            </w:r>
            <w:r w:rsidRPr="00A32AF4">
              <w:rPr>
                <w:rFonts w:cs="Arial"/>
                <w:color w:val="000000"/>
                <w:sz w:val="16"/>
                <w:szCs w:val="16"/>
              </w:rPr>
              <w:br/>
              <w:t>Moyen</w:t>
            </w:r>
            <w:r w:rsidR="00EB7F54" w:rsidRPr="00A32AF4">
              <w:rPr>
                <w:rFonts w:cs="Arial"/>
                <w:color w:val="000000"/>
                <w:sz w:val="16"/>
                <w:szCs w:val="16"/>
              </w:rPr>
              <w:noBreakHyphen/>
            </w:r>
            <w:r w:rsidRPr="00A32AF4">
              <w:rPr>
                <w:rFonts w:cs="Arial"/>
                <w:color w:val="000000"/>
                <w:sz w:val="16"/>
                <w:szCs w:val="16"/>
              </w:rPr>
              <w:t>Orient – 1,2%</w:t>
            </w:r>
            <w:r w:rsidRPr="00A32AF4">
              <w:rPr>
                <w:rFonts w:cs="Arial"/>
                <w:color w:val="000000"/>
                <w:sz w:val="16"/>
                <w:szCs w:val="16"/>
              </w:rPr>
              <w:br/>
              <w:t>Amérique du Nord – 8,4%</w:t>
            </w:r>
            <w:r w:rsidRPr="00A32AF4">
              <w:rPr>
                <w:rFonts w:cs="Arial"/>
                <w:color w:val="000000"/>
                <w:sz w:val="16"/>
                <w:szCs w:val="16"/>
              </w:rPr>
              <w:br/>
              <w:t>Europe de l</w:t>
            </w:r>
            <w:r w:rsidR="00E2055A" w:rsidRPr="00A32AF4">
              <w:rPr>
                <w:rFonts w:cs="Arial"/>
                <w:color w:val="000000"/>
                <w:sz w:val="16"/>
                <w:szCs w:val="16"/>
              </w:rPr>
              <w:t>’</w:t>
            </w:r>
            <w:r w:rsidRPr="00A32AF4">
              <w:rPr>
                <w:rFonts w:cs="Arial"/>
                <w:color w:val="000000"/>
                <w:sz w:val="16"/>
                <w:szCs w:val="16"/>
              </w:rPr>
              <w:t>Ouest – 51,2%</w:t>
            </w:r>
            <w:r w:rsidRPr="00A32AF4">
              <w:rPr>
                <w:rFonts w:cs="Arial"/>
                <w:color w:val="000000"/>
                <w:sz w:val="16"/>
                <w:szCs w:val="16"/>
              </w:rPr>
              <w:br/>
              <w:t>(décembre 2014)</w:t>
            </w:r>
          </w:p>
        </w:tc>
        <w:tc>
          <w:tcPr>
            <w:tcW w:w="2145" w:type="dxa"/>
            <w:shd w:val="clear" w:color="000000" w:fill="FFFFFF"/>
            <w:tcMar>
              <w:top w:w="113" w:type="dxa"/>
              <w:bottom w:w="113" w:type="dxa"/>
            </w:tcMar>
            <w:hideMark/>
          </w:tcPr>
          <w:p w:rsidR="008375EE" w:rsidRPr="00A32AF4" w:rsidRDefault="008375EE" w:rsidP="00DC0553">
            <w:pPr>
              <w:rPr>
                <w:rFonts w:cs="Arial"/>
                <w:color w:val="000000"/>
                <w:sz w:val="16"/>
                <w:szCs w:val="16"/>
              </w:rPr>
            </w:pPr>
            <w:r w:rsidRPr="00A32AF4">
              <w:rPr>
                <w:rFonts w:cs="Arial"/>
                <w:color w:val="000000"/>
                <w:sz w:val="16"/>
                <w:szCs w:val="16"/>
              </w:rPr>
              <w:t>La politique de l</w:t>
            </w:r>
            <w:r w:rsidR="00E2055A" w:rsidRPr="00A32AF4">
              <w:rPr>
                <w:rFonts w:cs="Arial"/>
                <w:color w:val="000000"/>
                <w:sz w:val="16"/>
                <w:szCs w:val="16"/>
              </w:rPr>
              <w:t>’</w:t>
            </w:r>
            <w:r w:rsidRPr="00A32AF4">
              <w:rPr>
                <w:rFonts w:cs="Arial"/>
                <w:color w:val="000000"/>
                <w:sz w:val="16"/>
                <w:szCs w:val="16"/>
              </w:rPr>
              <w:t xml:space="preserve">OMPI sur la répartition géographique doit être examinée par les États membres </w:t>
            </w:r>
          </w:p>
        </w:tc>
      </w:tr>
      <w:tr w:rsidR="008375EE" w:rsidRPr="00A32AF4" w:rsidTr="00D27E4C">
        <w:trPr>
          <w:cantSplit/>
        </w:trPr>
        <w:tc>
          <w:tcPr>
            <w:tcW w:w="2440" w:type="dxa"/>
            <w:shd w:val="clear" w:color="000000" w:fill="FFFFFF"/>
            <w:tcMar>
              <w:top w:w="113" w:type="dxa"/>
              <w:bottom w:w="113" w:type="dxa"/>
            </w:tcMar>
          </w:tcPr>
          <w:p w:rsidR="008375EE" w:rsidRPr="00A32AF4" w:rsidRDefault="008375EE" w:rsidP="00DC0553">
            <w:pPr>
              <w:rPr>
                <w:rFonts w:cs="Arial"/>
                <w:color w:val="000000"/>
                <w:sz w:val="16"/>
                <w:szCs w:val="16"/>
              </w:rPr>
            </w:pPr>
          </w:p>
        </w:tc>
        <w:tc>
          <w:tcPr>
            <w:tcW w:w="2440" w:type="dxa"/>
            <w:shd w:val="clear" w:color="000000" w:fill="FFFFFF"/>
            <w:tcMar>
              <w:top w:w="113" w:type="dxa"/>
              <w:bottom w:w="113" w:type="dxa"/>
            </w:tcMar>
          </w:tcPr>
          <w:p w:rsidR="008375EE" w:rsidRPr="00A32AF4" w:rsidRDefault="008375EE" w:rsidP="00DC0553">
            <w:pPr>
              <w:rPr>
                <w:rFonts w:cs="Arial"/>
                <w:color w:val="000000"/>
                <w:sz w:val="16"/>
                <w:szCs w:val="16"/>
              </w:rPr>
            </w:pPr>
            <w:r w:rsidRPr="00A32AF4">
              <w:rPr>
                <w:rFonts w:cs="Arial"/>
                <w:color w:val="000000"/>
                <w:sz w:val="16"/>
                <w:szCs w:val="16"/>
              </w:rPr>
              <w:t xml:space="preserve">Nombre de candidatures reçues depuis les États membres non représentés en pourcentage du total </w:t>
            </w:r>
          </w:p>
        </w:tc>
        <w:tc>
          <w:tcPr>
            <w:tcW w:w="2440" w:type="dxa"/>
            <w:shd w:val="clear" w:color="000000" w:fill="FFFFFF"/>
            <w:tcMar>
              <w:top w:w="113" w:type="dxa"/>
              <w:bottom w:w="113" w:type="dxa"/>
            </w:tcMar>
          </w:tcPr>
          <w:p w:rsidR="008375EE" w:rsidRPr="00A32AF4" w:rsidRDefault="008375EE" w:rsidP="00DC0553">
            <w:pPr>
              <w:rPr>
                <w:rFonts w:cs="Arial"/>
                <w:color w:val="000000"/>
                <w:sz w:val="16"/>
                <w:szCs w:val="16"/>
              </w:rPr>
            </w:pPr>
            <w:r w:rsidRPr="00A32AF4">
              <w:rPr>
                <w:rFonts w:cs="Arial"/>
                <w:color w:val="000000"/>
                <w:sz w:val="16"/>
                <w:szCs w:val="16"/>
              </w:rPr>
              <w:t>À déterminer fin 2015</w:t>
            </w:r>
          </w:p>
        </w:tc>
        <w:tc>
          <w:tcPr>
            <w:tcW w:w="2145" w:type="dxa"/>
            <w:shd w:val="clear" w:color="000000" w:fill="FFFFFF"/>
            <w:tcMar>
              <w:top w:w="113" w:type="dxa"/>
              <w:bottom w:w="113" w:type="dxa"/>
            </w:tcMar>
          </w:tcPr>
          <w:p w:rsidR="008375EE" w:rsidRPr="00A32AF4" w:rsidRDefault="008375EE" w:rsidP="00DC0553">
            <w:pPr>
              <w:rPr>
                <w:rFonts w:cs="Arial"/>
                <w:color w:val="000000"/>
                <w:sz w:val="16"/>
                <w:szCs w:val="16"/>
              </w:rPr>
            </w:pPr>
            <w:r w:rsidRPr="00A32AF4">
              <w:rPr>
                <w:rFonts w:cs="Arial"/>
                <w:color w:val="000000"/>
                <w:sz w:val="16"/>
                <w:szCs w:val="16"/>
              </w:rPr>
              <w:t>À déterminer fin 2015 (en se basant sur le pourcentage d</w:t>
            </w:r>
            <w:r w:rsidR="00E2055A" w:rsidRPr="00A32AF4">
              <w:rPr>
                <w:rFonts w:cs="Arial"/>
                <w:color w:val="000000"/>
                <w:sz w:val="16"/>
                <w:szCs w:val="16"/>
              </w:rPr>
              <w:t>’</w:t>
            </w:r>
            <w:r w:rsidRPr="00A32AF4">
              <w:rPr>
                <w:rFonts w:cs="Arial"/>
                <w:color w:val="000000"/>
                <w:sz w:val="16"/>
                <w:szCs w:val="16"/>
              </w:rPr>
              <w:t xml:space="preserve">augmentation entre 2014 et 2015) </w:t>
            </w:r>
          </w:p>
        </w:tc>
      </w:tr>
      <w:tr w:rsidR="008375EE" w:rsidRPr="00A32AF4" w:rsidTr="00D27E4C">
        <w:trPr>
          <w:cantSplit/>
        </w:trPr>
        <w:tc>
          <w:tcPr>
            <w:tcW w:w="2440" w:type="dxa"/>
            <w:shd w:val="clear" w:color="000000" w:fill="FFFFFF"/>
            <w:tcMar>
              <w:top w:w="113" w:type="dxa"/>
              <w:bottom w:w="113" w:type="dxa"/>
            </w:tcMar>
            <w:hideMark/>
          </w:tcPr>
          <w:p w:rsidR="008375EE" w:rsidRPr="00A32AF4" w:rsidRDefault="008375EE" w:rsidP="00DC0553">
            <w:pPr>
              <w:rPr>
                <w:rFonts w:cs="Arial"/>
                <w:color w:val="000000"/>
                <w:sz w:val="16"/>
                <w:szCs w:val="16"/>
              </w:rPr>
            </w:pPr>
            <w:r w:rsidRPr="00A32AF4">
              <w:rPr>
                <w:rFonts w:cs="Arial"/>
                <w:color w:val="000000"/>
                <w:sz w:val="16"/>
                <w:szCs w:val="16"/>
              </w:rPr>
              <w:t> </w:t>
            </w:r>
          </w:p>
        </w:tc>
        <w:tc>
          <w:tcPr>
            <w:tcW w:w="2440" w:type="dxa"/>
            <w:shd w:val="clear" w:color="000000" w:fill="FFFFFF"/>
            <w:tcMar>
              <w:top w:w="113" w:type="dxa"/>
              <w:bottom w:w="113" w:type="dxa"/>
            </w:tcMar>
            <w:hideMark/>
          </w:tcPr>
          <w:p w:rsidR="008375EE" w:rsidRPr="00A32AF4" w:rsidRDefault="008375EE" w:rsidP="00DC0553">
            <w:pPr>
              <w:rPr>
                <w:rFonts w:cs="Arial"/>
                <w:color w:val="000000"/>
                <w:sz w:val="16"/>
                <w:szCs w:val="16"/>
              </w:rPr>
            </w:pPr>
            <w:r w:rsidRPr="00A32AF4">
              <w:rPr>
                <w:rFonts w:cs="Arial"/>
                <w:color w:val="000000"/>
                <w:sz w:val="16"/>
                <w:szCs w:val="16"/>
              </w:rPr>
              <w:t>Perfectionnement de la planification des ressources humaines</w:t>
            </w:r>
          </w:p>
        </w:tc>
        <w:tc>
          <w:tcPr>
            <w:tcW w:w="2440" w:type="dxa"/>
            <w:shd w:val="clear" w:color="000000" w:fill="FFFFFF"/>
            <w:tcMar>
              <w:top w:w="113" w:type="dxa"/>
              <w:bottom w:w="113" w:type="dxa"/>
            </w:tcMar>
            <w:hideMark/>
          </w:tcPr>
          <w:p w:rsidR="008375EE" w:rsidRPr="00A32AF4" w:rsidRDefault="008375EE" w:rsidP="00DC0553">
            <w:pPr>
              <w:rPr>
                <w:rFonts w:cs="Arial"/>
                <w:color w:val="000000"/>
                <w:sz w:val="16"/>
                <w:szCs w:val="16"/>
              </w:rPr>
            </w:pPr>
            <w:r w:rsidRPr="00A32AF4">
              <w:rPr>
                <w:rFonts w:cs="Arial"/>
                <w:color w:val="000000"/>
                <w:sz w:val="16"/>
                <w:szCs w:val="16"/>
              </w:rPr>
              <w:t>À déterminer</w:t>
            </w:r>
          </w:p>
        </w:tc>
        <w:tc>
          <w:tcPr>
            <w:tcW w:w="2145" w:type="dxa"/>
            <w:shd w:val="clear" w:color="000000" w:fill="FFFFFF"/>
            <w:tcMar>
              <w:top w:w="113" w:type="dxa"/>
              <w:bottom w:w="113" w:type="dxa"/>
            </w:tcMar>
            <w:hideMark/>
          </w:tcPr>
          <w:p w:rsidR="008375EE" w:rsidRPr="00A32AF4" w:rsidRDefault="008375EE" w:rsidP="00DC0553">
            <w:pPr>
              <w:rPr>
                <w:rFonts w:cs="Arial"/>
                <w:color w:val="000000"/>
                <w:sz w:val="16"/>
                <w:szCs w:val="16"/>
              </w:rPr>
            </w:pPr>
            <w:r w:rsidRPr="00A32AF4">
              <w:rPr>
                <w:rFonts w:cs="Arial"/>
                <w:color w:val="000000"/>
                <w:sz w:val="16"/>
                <w:szCs w:val="16"/>
              </w:rPr>
              <w:t>À déterminer</w:t>
            </w:r>
          </w:p>
        </w:tc>
      </w:tr>
      <w:tr w:rsidR="008375EE" w:rsidRPr="00A32AF4" w:rsidTr="00D27E4C">
        <w:trPr>
          <w:cantSplit/>
        </w:trPr>
        <w:tc>
          <w:tcPr>
            <w:tcW w:w="2440" w:type="dxa"/>
            <w:shd w:val="clear" w:color="000000" w:fill="FFFFFF"/>
            <w:tcMar>
              <w:top w:w="113" w:type="dxa"/>
              <w:bottom w:w="113" w:type="dxa"/>
            </w:tcMar>
            <w:hideMark/>
          </w:tcPr>
          <w:p w:rsidR="008375EE" w:rsidRPr="00A32AF4" w:rsidRDefault="008375EE" w:rsidP="00DC0553">
            <w:pPr>
              <w:rPr>
                <w:rFonts w:cs="Arial"/>
                <w:color w:val="000000"/>
                <w:sz w:val="16"/>
                <w:szCs w:val="16"/>
              </w:rPr>
            </w:pPr>
            <w:r w:rsidRPr="00A32AF4">
              <w:rPr>
                <w:rFonts w:cs="Arial"/>
                <w:color w:val="000000"/>
                <w:sz w:val="16"/>
                <w:szCs w:val="16"/>
              </w:rPr>
              <w:t> </w:t>
            </w:r>
          </w:p>
        </w:tc>
        <w:tc>
          <w:tcPr>
            <w:tcW w:w="2440" w:type="dxa"/>
            <w:shd w:val="clear" w:color="000000" w:fill="FFFFFF"/>
            <w:tcMar>
              <w:top w:w="113" w:type="dxa"/>
              <w:bottom w:w="113" w:type="dxa"/>
            </w:tcMar>
            <w:hideMark/>
          </w:tcPr>
          <w:p w:rsidR="008375EE" w:rsidRPr="00A32AF4" w:rsidRDefault="008375EE" w:rsidP="00DC0553">
            <w:pPr>
              <w:rPr>
                <w:rFonts w:cs="Arial"/>
                <w:color w:val="000000"/>
                <w:sz w:val="16"/>
                <w:szCs w:val="16"/>
              </w:rPr>
            </w:pPr>
            <w:r w:rsidRPr="00A32AF4">
              <w:rPr>
                <w:rFonts w:cs="Arial"/>
                <w:color w:val="000000"/>
                <w:sz w:val="16"/>
                <w:szCs w:val="16"/>
              </w:rPr>
              <w:t>Pourcentage des besoins en formation satisfaits dont : i) besoins critiques en formation collective et ii) besoins en formation individuels</w:t>
            </w:r>
          </w:p>
        </w:tc>
        <w:tc>
          <w:tcPr>
            <w:tcW w:w="2440" w:type="dxa"/>
            <w:shd w:val="clear" w:color="000000" w:fill="FFFFFF"/>
            <w:tcMar>
              <w:top w:w="113" w:type="dxa"/>
              <w:bottom w:w="113" w:type="dxa"/>
            </w:tcMar>
            <w:hideMark/>
          </w:tcPr>
          <w:p w:rsidR="008375EE" w:rsidRPr="00A32AF4" w:rsidRDefault="008375EE" w:rsidP="00DC0553">
            <w:pPr>
              <w:rPr>
                <w:rFonts w:cs="Arial"/>
                <w:color w:val="000000"/>
                <w:sz w:val="16"/>
                <w:szCs w:val="16"/>
              </w:rPr>
            </w:pPr>
            <w:r w:rsidRPr="00A32AF4">
              <w:rPr>
                <w:rFonts w:cs="Arial"/>
                <w:color w:val="000000"/>
                <w:sz w:val="16"/>
                <w:szCs w:val="16"/>
              </w:rPr>
              <w:t>À déterminer fin 2015</w:t>
            </w:r>
          </w:p>
        </w:tc>
        <w:tc>
          <w:tcPr>
            <w:tcW w:w="2145" w:type="dxa"/>
            <w:shd w:val="clear" w:color="000000" w:fill="FFFFFF"/>
            <w:tcMar>
              <w:top w:w="113" w:type="dxa"/>
              <w:bottom w:w="113" w:type="dxa"/>
            </w:tcMar>
            <w:hideMark/>
          </w:tcPr>
          <w:p w:rsidR="008375EE" w:rsidRPr="00A32AF4" w:rsidRDefault="008375EE" w:rsidP="00DC0553">
            <w:pPr>
              <w:rPr>
                <w:rFonts w:cs="Arial"/>
                <w:color w:val="000000"/>
                <w:sz w:val="16"/>
                <w:szCs w:val="16"/>
              </w:rPr>
            </w:pPr>
            <w:r w:rsidRPr="00A32AF4">
              <w:rPr>
                <w:rFonts w:cs="Arial"/>
                <w:color w:val="000000"/>
                <w:sz w:val="16"/>
                <w:szCs w:val="16"/>
              </w:rPr>
              <w:t xml:space="preserve">i) 60% des besoins de formation sont satisfaits grâce à un programme de formation </w:t>
            </w:r>
            <w:r w:rsidRPr="00A32AF4">
              <w:rPr>
                <w:rFonts w:cs="Arial"/>
                <w:color w:val="000000"/>
                <w:sz w:val="16"/>
                <w:szCs w:val="16"/>
              </w:rPr>
              <w:br/>
              <w:t>ii) 55% des besoins en formation individuels sont satisfaits</w:t>
            </w:r>
          </w:p>
        </w:tc>
      </w:tr>
    </w:tbl>
    <w:p w:rsidR="008375EE" w:rsidRPr="00A32AF4" w:rsidRDefault="008375EE" w:rsidP="00DC0553">
      <w:pPr>
        <w:rPr>
          <w:rFonts w:cs="Arial"/>
        </w:rPr>
      </w:pPr>
    </w:p>
    <w:p w:rsidR="008375EE" w:rsidRPr="00A32AF4" w:rsidRDefault="008375EE" w:rsidP="00DC0553">
      <w:pPr>
        <w:rPr>
          <w:rFonts w:cs="Arial"/>
        </w:rPr>
      </w:pPr>
    </w:p>
    <w:p w:rsidR="008375EE" w:rsidRPr="00A32AF4" w:rsidRDefault="008375EE" w:rsidP="00DC0553">
      <w:r w:rsidRPr="00A32AF4">
        <w:t>RESSOURCES ALLOUÉES AU PROGRAMME 23</w:t>
      </w:r>
    </w:p>
    <w:p w:rsidR="008375EE" w:rsidRPr="00A32AF4" w:rsidRDefault="008375EE" w:rsidP="00DC0553">
      <w:pPr>
        <w:rPr>
          <w:rFonts w:cs="Arial"/>
        </w:rPr>
      </w:pPr>
    </w:p>
    <w:p w:rsidR="008375EE" w:rsidRPr="00A32AF4" w:rsidRDefault="008375EE" w:rsidP="00E325C7">
      <w:pPr>
        <w:pStyle w:val="ListParagraph"/>
        <w:numPr>
          <w:ilvl w:val="0"/>
          <w:numId w:val="63"/>
        </w:numPr>
        <w:tabs>
          <w:tab w:val="left" w:pos="709"/>
        </w:tabs>
        <w:spacing w:after="0" w:line="240" w:lineRule="auto"/>
        <w:ind w:left="0" w:firstLine="0"/>
        <w:jc w:val="both"/>
        <w:rPr>
          <w:rFonts w:ascii="Arial" w:hAnsi="Arial" w:cs="Arial"/>
        </w:rPr>
      </w:pPr>
      <w:r w:rsidRPr="00A32AF4">
        <w:rPr>
          <w:rFonts w:ascii="Arial" w:hAnsi="Arial" w:cs="Arial"/>
        </w:rPr>
        <w:t>Le montant total des ressources allouées au programme pour 2016</w:t>
      </w:r>
      <w:r w:rsidR="00EB7F54" w:rsidRPr="00A32AF4">
        <w:rPr>
          <w:rFonts w:ascii="Arial" w:hAnsi="Arial" w:cs="Arial"/>
        </w:rPr>
        <w:noBreakHyphen/>
      </w:r>
      <w:r w:rsidRPr="00A32AF4">
        <w:rPr>
          <w:rFonts w:ascii="Arial" w:hAnsi="Arial" w:cs="Arial"/>
        </w:rPr>
        <w:t>2017 restera stable par rapport au budget 2014</w:t>
      </w:r>
      <w:r w:rsidR="00EB7F54" w:rsidRPr="00A32AF4">
        <w:rPr>
          <w:rFonts w:ascii="Arial" w:hAnsi="Arial" w:cs="Arial"/>
        </w:rPr>
        <w:noBreakHyphen/>
      </w:r>
      <w:r w:rsidRPr="00A32AF4">
        <w:rPr>
          <w:rFonts w:ascii="Arial" w:hAnsi="Arial" w:cs="Arial"/>
        </w:rPr>
        <w:t xml:space="preserve">2015 après transferts.  La diminution du nombre de stages, qui sont dorénavant budgétisés directement au niveau des programmes, est compensée par des ressources supplémentaires prévues pour a) les activités liées à la diversité géographique et à la parité, b) le </w:t>
      </w:r>
      <w:r w:rsidR="000274B9" w:rsidRPr="00A32AF4">
        <w:rPr>
          <w:rFonts w:ascii="Arial" w:hAnsi="Arial" w:cs="Arial"/>
        </w:rPr>
        <w:t>p</w:t>
      </w:r>
      <w:r w:rsidRPr="00A32AF4">
        <w:rPr>
          <w:rFonts w:ascii="Arial" w:hAnsi="Arial" w:cs="Arial"/>
        </w:rPr>
        <w:t>rogramme de reconnaissance et de récompenses de l</w:t>
      </w:r>
      <w:r w:rsidR="00E2055A" w:rsidRPr="00A32AF4">
        <w:rPr>
          <w:rFonts w:ascii="Arial" w:hAnsi="Arial" w:cs="Arial"/>
        </w:rPr>
        <w:t>’</w:t>
      </w:r>
      <w:r w:rsidRPr="00A32AF4">
        <w:rPr>
          <w:rFonts w:ascii="Arial" w:hAnsi="Arial" w:cs="Arial"/>
        </w:rPr>
        <w:t>OMPI et c) les contributions aux charges communes à l</w:t>
      </w:r>
      <w:r w:rsidR="00E2055A" w:rsidRPr="00A32AF4">
        <w:rPr>
          <w:rFonts w:ascii="Arial" w:hAnsi="Arial" w:cs="Arial"/>
        </w:rPr>
        <w:t>’</w:t>
      </w:r>
      <w:r w:rsidRPr="00A32AF4">
        <w:rPr>
          <w:rFonts w:ascii="Arial" w:hAnsi="Arial" w:cs="Arial"/>
        </w:rPr>
        <w:t xml:space="preserve">échelle du système des </w:t>
      </w:r>
      <w:r w:rsidR="00E2055A" w:rsidRPr="00A32AF4">
        <w:rPr>
          <w:rFonts w:ascii="Arial" w:hAnsi="Arial" w:cs="Arial"/>
        </w:rPr>
        <w:t>Nations Unies</w:t>
      </w:r>
      <w:r w:rsidRPr="00A32AF4">
        <w:rPr>
          <w:rFonts w:ascii="Arial" w:hAnsi="Arial" w:cs="Arial"/>
        </w:rPr>
        <w:t>.</w:t>
      </w:r>
    </w:p>
    <w:p w:rsidR="008375EE" w:rsidRPr="00A32AF4" w:rsidRDefault="008375EE" w:rsidP="00DC0553">
      <w:pPr>
        <w:pStyle w:val="ListParagraph"/>
        <w:ind w:left="0"/>
        <w:jc w:val="both"/>
        <w:rPr>
          <w:rFonts w:ascii="Arial" w:hAnsi="Arial" w:cs="Arial"/>
        </w:rPr>
      </w:pPr>
    </w:p>
    <w:p w:rsidR="008375EE" w:rsidRPr="00A32AF4" w:rsidRDefault="008375EE" w:rsidP="00E325C7">
      <w:pPr>
        <w:pStyle w:val="ListParagraph"/>
        <w:numPr>
          <w:ilvl w:val="0"/>
          <w:numId w:val="63"/>
        </w:numPr>
        <w:tabs>
          <w:tab w:val="left" w:pos="709"/>
        </w:tabs>
        <w:spacing w:after="0" w:line="240" w:lineRule="auto"/>
        <w:ind w:left="0" w:firstLine="0"/>
        <w:jc w:val="both"/>
        <w:rPr>
          <w:rFonts w:ascii="Arial" w:hAnsi="Arial" w:cs="Arial"/>
        </w:rPr>
      </w:pPr>
      <w:r w:rsidRPr="00A32AF4">
        <w:rPr>
          <w:rFonts w:ascii="Arial" w:hAnsi="Arial" w:cs="Arial"/>
        </w:rPr>
        <w:t>L</w:t>
      </w:r>
      <w:r w:rsidR="00E2055A" w:rsidRPr="00A32AF4">
        <w:rPr>
          <w:rFonts w:ascii="Arial" w:hAnsi="Arial" w:cs="Arial"/>
        </w:rPr>
        <w:t>’</w:t>
      </w:r>
      <w:r w:rsidRPr="00A32AF4">
        <w:rPr>
          <w:rFonts w:ascii="Arial" w:hAnsi="Arial" w:cs="Arial"/>
        </w:rPr>
        <w:t>augmentation du nombre de postes observée entre le budget proposé pour 2016</w:t>
      </w:r>
      <w:r w:rsidR="00EB7F54" w:rsidRPr="00A32AF4">
        <w:rPr>
          <w:rFonts w:ascii="Arial" w:hAnsi="Arial" w:cs="Arial"/>
        </w:rPr>
        <w:noBreakHyphen/>
      </w:r>
      <w:r w:rsidRPr="00A32AF4">
        <w:rPr>
          <w:rFonts w:ascii="Arial" w:hAnsi="Arial" w:cs="Arial"/>
        </w:rPr>
        <w:t>2017 et le budget approuvé pour 2014</w:t>
      </w:r>
      <w:r w:rsidR="00EB7F54" w:rsidRPr="00A32AF4">
        <w:rPr>
          <w:rFonts w:ascii="Arial" w:hAnsi="Arial" w:cs="Arial"/>
        </w:rPr>
        <w:noBreakHyphen/>
      </w:r>
      <w:r w:rsidRPr="00A32AF4">
        <w:rPr>
          <w:rFonts w:ascii="Arial" w:hAnsi="Arial" w:cs="Arial"/>
        </w:rPr>
        <w:t>2015 reflète la régularisation de postes temporaires au cours de l</w:t>
      </w:r>
      <w:r w:rsidR="00E2055A" w:rsidRPr="00A32AF4">
        <w:rPr>
          <w:rFonts w:ascii="Arial" w:hAnsi="Arial" w:cs="Arial"/>
        </w:rPr>
        <w:t>’</w:t>
      </w:r>
      <w:r w:rsidRPr="00A32AF4">
        <w:rPr>
          <w:rFonts w:ascii="Arial" w:hAnsi="Arial" w:cs="Arial"/>
        </w:rPr>
        <w:t>exercice biennal.</w:t>
      </w:r>
    </w:p>
    <w:p w:rsidR="008375EE" w:rsidRPr="00A32AF4" w:rsidRDefault="008375EE" w:rsidP="00DC0553"/>
    <w:p w:rsidR="00F93B76" w:rsidRPr="00A32AF4" w:rsidRDefault="00F93B76" w:rsidP="00DC0553">
      <w:pPr>
        <w:jc w:val="both"/>
        <w:rPr>
          <w:lang w:eastAsia="da-DK"/>
        </w:rPr>
      </w:pPr>
    </w:p>
    <w:p w:rsidR="00F93B76" w:rsidRPr="00A32AF4" w:rsidRDefault="00451DF0" w:rsidP="00DC0553">
      <w:pPr>
        <w:keepNext/>
        <w:keepLines/>
        <w:autoSpaceDE w:val="0"/>
        <w:autoSpaceDN w:val="0"/>
        <w:jc w:val="center"/>
        <w:rPr>
          <w:rFonts w:cs="Arial"/>
          <w:b/>
        </w:rPr>
      </w:pPr>
      <w:r w:rsidRPr="00A32AF4">
        <w:rPr>
          <w:rFonts w:cs="Arial"/>
          <w:b/>
        </w:rPr>
        <w:t>Programme 23 : ressources par résultat</w:t>
      </w:r>
    </w:p>
    <w:p w:rsidR="00F93B76" w:rsidRPr="00A32AF4" w:rsidRDefault="00451DF0" w:rsidP="00DC0553">
      <w:pPr>
        <w:keepNext/>
        <w:keepLines/>
        <w:autoSpaceDE w:val="0"/>
        <w:autoSpaceDN w:val="0"/>
        <w:jc w:val="center"/>
        <w:rPr>
          <w:rFonts w:cs="Arial"/>
          <w:i/>
        </w:rPr>
      </w:pPr>
      <w:r w:rsidRPr="00A32AF4">
        <w:rPr>
          <w:rFonts w:cs="Arial"/>
          <w:i/>
        </w:rPr>
        <w:t>(</w:t>
      </w:r>
      <w:proofErr w:type="gramStart"/>
      <w:r w:rsidRPr="00A32AF4">
        <w:rPr>
          <w:rFonts w:cs="Arial"/>
          <w:i/>
        </w:rPr>
        <w:t>en</w:t>
      </w:r>
      <w:proofErr w:type="gramEnd"/>
      <w:r w:rsidRPr="00A32AF4">
        <w:rPr>
          <w:rFonts w:cs="Arial"/>
          <w:i/>
        </w:rPr>
        <w:t xml:space="preserve"> milliers de francs suisses)</w:t>
      </w:r>
    </w:p>
    <w:p w:rsidR="00451DF0" w:rsidRPr="00A32AF4" w:rsidRDefault="00451DF0" w:rsidP="00DC0553">
      <w:pPr>
        <w:keepNext/>
      </w:pPr>
    </w:p>
    <w:tbl>
      <w:tblPr>
        <w:tblW w:w="8980" w:type="dxa"/>
        <w:tblInd w:w="55" w:type="dxa"/>
        <w:tblCellMar>
          <w:left w:w="70" w:type="dxa"/>
          <w:right w:w="70" w:type="dxa"/>
        </w:tblCellMar>
        <w:tblLook w:val="04A0" w:firstRow="1" w:lastRow="0" w:firstColumn="1" w:lastColumn="0" w:noHBand="0" w:noVBand="1"/>
      </w:tblPr>
      <w:tblGrid>
        <w:gridCol w:w="500"/>
        <w:gridCol w:w="4520"/>
        <w:gridCol w:w="1260"/>
        <w:gridCol w:w="1440"/>
        <w:gridCol w:w="1260"/>
      </w:tblGrid>
      <w:tr w:rsidR="00451DF0" w:rsidRPr="00A32AF4" w:rsidTr="00DC2AF7">
        <w:tc>
          <w:tcPr>
            <w:tcW w:w="5020" w:type="dxa"/>
            <w:gridSpan w:val="2"/>
            <w:tcBorders>
              <w:top w:val="single" w:sz="4" w:space="0" w:color="auto"/>
              <w:left w:val="single" w:sz="4" w:space="0" w:color="auto"/>
              <w:bottom w:val="single" w:sz="4" w:space="0" w:color="auto"/>
              <w:right w:val="single" w:sz="4" w:space="0" w:color="000000"/>
            </w:tcBorders>
            <w:shd w:val="clear" w:color="000000" w:fill="C5D9F1"/>
            <w:noWrap/>
            <w:tcMar>
              <w:top w:w="113" w:type="dxa"/>
              <w:bottom w:w="113" w:type="dxa"/>
            </w:tcMar>
            <w:vAlign w:val="center"/>
            <w:hideMark/>
          </w:tcPr>
          <w:p w:rsidR="00451DF0" w:rsidRPr="00A32AF4" w:rsidRDefault="00451DF0" w:rsidP="00DC0553">
            <w:pPr>
              <w:jc w:val="center"/>
              <w:rPr>
                <w:rFonts w:cs="Arial"/>
                <w:i/>
                <w:iCs/>
                <w:sz w:val="16"/>
                <w:szCs w:val="16"/>
                <w:lang w:eastAsia="fr-FR"/>
              </w:rPr>
            </w:pPr>
            <w:r w:rsidRPr="00A32AF4">
              <w:rPr>
                <w:rFonts w:cs="Arial"/>
                <w:i/>
                <w:iCs/>
                <w:sz w:val="16"/>
                <w:szCs w:val="16"/>
                <w:lang w:eastAsia="fr-FR"/>
              </w:rPr>
              <w:t xml:space="preserve">Numéro et description du résultat escompté </w:t>
            </w:r>
          </w:p>
        </w:tc>
        <w:tc>
          <w:tcPr>
            <w:tcW w:w="126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451DF0" w:rsidRPr="00A32AF4" w:rsidRDefault="00451DF0" w:rsidP="00DC0553">
            <w:pPr>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2014</w:t>
            </w:r>
            <w:r w:rsidR="00EB7F54" w:rsidRPr="00A32AF4">
              <w:rPr>
                <w:rFonts w:cs="Arial"/>
                <w:i/>
                <w:iCs/>
                <w:sz w:val="16"/>
                <w:szCs w:val="16"/>
                <w:lang w:eastAsia="fr-FR"/>
              </w:rPr>
              <w:noBreakHyphen/>
            </w:r>
            <w:r w:rsidRPr="00A32AF4">
              <w:rPr>
                <w:rFonts w:cs="Arial"/>
                <w:i/>
                <w:iCs/>
                <w:sz w:val="16"/>
                <w:szCs w:val="16"/>
                <w:lang w:eastAsia="fr-FR"/>
              </w:rPr>
              <w:t>2015 approuvé</w:t>
            </w:r>
          </w:p>
        </w:tc>
        <w:tc>
          <w:tcPr>
            <w:tcW w:w="144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451DF0" w:rsidRPr="00A32AF4" w:rsidRDefault="00451DF0" w:rsidP="00DC0553">
            <w:pPr>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2014</w:t>
            </w:r>
            <w:r w:rsidR="00EB7F54" w:rsidRPr="00A32AF4">
              <w:rPr>
                <w:rFonts w:cs="Arial"/>
                <w:i/>
                <w:iCs/>
                <w:sz w:val="16"/>
                <w:szCs w:val="16"/>
                <w:lang w:eastAsia="fr-FR"/>
              </w:rPr>
              <w:noBreakHyphen/>
            </w:r>
            <w:r w:rsidRPr="00A32AF4">
              <w:rPr>
                <w:rFonts w:cs="Arial"/>
                <w:i/>
                <w:iCs/>
                <w:sz w:val="16"/>
                <w:szCs w:val="16"/>
                <w:lang w:eastAsia="fr-FR"/>
              </w:rPr>
              <w:t>2015 après virements</w:t>
            </w:r>
          </w:p>
        </w:tc>
        <w:tc>
          <w:tcPr>
            <w:tcW w:w="126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451DF0" w:rsidRPr="00A32AF4" w:rsidRDefault="00451DF0" w:rsidP="00DC0553">
            <w:pPr>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2016</w:t>
            </w:r>
            <w:r w:rsidR="00EB7F54" w:rsidRPr="00A32AF4">
              <w:rPr>
                <w:rFonts w:cs="Arial"/>
                <w:i/>
                <w:iCs/>
                <w:sz w:val="16"/>
                <w:szCs w:val="16"/>
                <w:lang w:eastAsia="fr-FR"/>
              </w:rPr>
              <w:noBreakHyphen/>
            </w:r>
            <w:r w:rsidRPr="00A32AF4">
              <w:rPr>
                <w:rFonts w:cs="Arial"/>
                <w:i/>
                <w:iCs/>
                <w:sz w:val="16"/>
                <w:szCs w:val="16"/>
                <w:lang w:eastAsia="fr-FR"/>
              </w:rPr>
              <w:t>2017 proposé</w:t>
            </w:r>
          </w:p>
        </w:tc>
      </w:tr>
      <w:tr w:rsidR="00451DF0" w:rsidRPr="00A32AF4" w:rsidTr="00DC2AF7">
        <w:tc>
          <w:tcPr>
            <w:tcW w:w="500" w:type="dxa"/>
            <w:tcBorders>
              <w:top w:val="nil"/>
              <w:left w:val="single" w:sz="4" w:space="0" w:color="auto"/>
              <w:bottom w:val="nil"/>
              <w:right w:val="nil"/>
            </w:tcBorders>
            <w:shd w:val="clear" w:color="auto" w:fill="auto"/>
            <w:noWrap/>
            <w:tcMar>
              <w:top w:w="113" w:type="dxa"/>
              <w:bottom w:w="113" w:type="dxa"/>
            </w:tcMar>
            <w:vAlign w:val="center"/>
            <w:hideMark/>
          </w:tcPr>
          <w:p w:rsidR="00451DF0" w:rsidRPr="00A32AF4" w:rsidRDefault="00451DF0" w:rsidP="00DC0553">
            <w:pPr>
              <w:rPr>
                <w:rFonts w:cs="Arial"/>
                <w:sz w:val="16"/>
                <w:szCs w:val="16"/>
                <w:lang w:eastAsia="fr-FR"/>
              </w:rPr>
            </w:pPr>
            <w:r w:rsidRPr="00A32AF4">
              <w:rPr>
                <w:rFonts w:cs="Arial"/>
                <w:sz w:val="16"/>
                <w:szCs w:val="16"/>
                <w:lang w:eastAsia="fr-FR"/>
              </w:rPr>
              <w:t>IX.1</w:t>
            </w:r>
          </w:p>
        </w:tc>
        <w:tc>
          <w:tcPr>
            <w:tcW w:w="4520" w:type="dxa"/>
            <w:tcBorders>
              <w:top w:val="nil"/>
              <w:left w:val="nil"/>
              <w:bottom w:val="nil"/>
              <w:right w:val="nil"/>
            </w:tcBorders>
            <w:shd w:val="clear" w:color="auto" w:fill="auto"/>
            <w:tcMar>
              <w:top w:w="113" w:type="dxa"/>
              <w:bottom w:w="113" w:type="dxa"/>
            </w:tcMar>
            <w:vAlign w:val="center"/>
            <w:hideMark/>
          </w:tcPr>
          <w:p w:rsidR="00451DF0" w:rsidRPr="00A32AF4" w:rsidRDefault="00451DF0" w:rsidP="00DC0553">
            <w:pPr>
              <w:rPr>
                <w:rFonts w:cs="Arial"/>
                <w:sz w:val="16"/>
                <w:szCs w:val="16"/>
                <w:lang w:eastAsia="fr-FR"/>
              </w:rPr>
            </w:pPr>
            <w:r w:rsidRPr="00A32AF4">
              <w:rPr>
                <w:rFonts w:cs="Arial"/>
                <w:sz w:val="16"/>
                <w:szCs w:val="16"/>
                <w:lang w:eastAsia="fr-FR"/>
              </w:rPr>
              <w:t>Services d</w:t>
            </w:r>
            <w:r w:rsidR="00E2055A" w:rsidRPr="00A32AF4">
              <w:rPr>
                <w:rFonts w:cs="Arial"/>
                <w:sz w:val="16"/>
                <w:szCs w:val="16"/>
                <w:lang w:eastAsia="fr-FR"/>
              </w:rPr>
              <w:t>’</w:t>
            </w:r>
            <w:r w:rsidRPr="00A32AF4">
              <w:rPr>
                <w:rFonts w:cs="Arial"/>
                <w:sz w:val="16"/>
                <w:szCs w:val="16"/>
                <w:lang w:eastAsia="fr-FR"/>
              </w:rPr>
              <w:t>appui efficaces, efficients, de qualité et tournés vers la clientèle, à l</w:t>
            </w:r>
            <w:r w:rsidR="00E2055A" w:rsidRPr="00A32AF4">
              <w:rPr>
                <w:rFonts w:cs="Arial"/>
                <w:sz w:val="16"/>
                <w:szCs w:val="16"/>
                <w:lang w:eastAsia="fr-FR"/>
              </w:rPr>
              <w:t>’</w:t>
            </w:r>
            <w:r w:rsidRPr="00A32AF4">
              <w:rPr>
                <w:rFonts w:cs="Arial"/>
                <w:sz w:val="16"/>
                <w:szCs w:val="16"/>
                <w:lang w:eastAsia="fr-FR"/>
              </w:rPr>
              <w:t>intention à la fois des clients internes et des parties prenantes externes</w:t>
            </w:r>
          </w:p>
        </w:tc>
        <w:tc>
          <w:tcPr>
            <w:tcW w:w="1260" w:type="dxa"/>
            <w:tcBorders>
              <w:top w:val="nil"/>
              <w:left w:val="nil"/>
              <w:bottom w:val="nil"/>
              <w:right w:val="nil"/>
            </w:tcBorders>
            <w:shd w:val="clear" w:color="auto" w:fill="auto"/>
            <w:tcMar>
              <w:top w:w="113" w:type="dxa"/>
              <w:bottom w:w="113" w:type="dxa"/>
            </w:tcMar>
            <w:vAlign w:val="center"/>
            <w:hideMark/>
          </w:tcPr>
          <w:p w:rsidR="00451DF0" w:rsidRPr="00A32AF4" w:rsidRDefault="00451DF0" w:rsidP="00DC0553">
            <w:pPr>
              <w:jc w:val="right"/>
              <w:rPr>
                <w:rFonts w:cs="Arial"/>
                <w:sz w:val="16"/>
                <w:szCs w:val="16"/>
                <w:lang w:eastAsia="fr-FR"/>
              </w:rPr>
            </w:pPr>
            <w:r w:rsidRPr="00A32AF4">
              <w:rPr>
                <w:rFonts w:cs="Arial"/>
                <w:sz w:val="16"/>
                <w:szCs w:val="16"/>
                <w:lang w:eastAsia="fr-FR"/>
              </w:rPr>
              <w:t>12</w:t>
            </w:r>
            <w:r w:rsidR="00FD43E3" w:rsidRPr="00A32AF4">
              <w:rPr>
                <w:rFonts w:cs="Arial"/>
                <w:sz w:val="16"/>
                <w:szCs w:val="16"/>
                <w:lang w:eastAsia="fr-FR"/>
              </w:rPr>
              <w:t> </w:t>
            </w:r>
            <w:r w:rsidRPr="00A32AF4">
              <w:rPr>
                <w:rFonts w:cs="Arial"/>
                <w:sz w:val="16"/>
                <w:szCs w:val="16"/>
                <w:lang w:eastAsia="fr-FR"/>
              </w:rPr>
              <w:t xml:space="preserve">276 </w:t>
            </w:r>
          </w:p>
        </w:tc>
        <w:tc>
          <w:tcPr>
            <w:tcW w:w="1440" w:type="dxa"/>
            <w:tcBorders>
              <w:top w:val="nil"/>
              <w:left w:val="nil"/>
              <w:bottom w:val="nil"/>
              <w:right w:val="nil"/>
            </w:tcBorders>
            <w:shd w:val="clear" w:color="auto" w:fill="auto"/>
            <w:tcMar>
              <w:top w:w="113" w:type="dxa"/>
              <w:bottom w:w="113" w:type="dxa"/>
            </w:tcMar>
            <w:vAlign w:val="center"/>
            <w:hideMark/>
          </w:tcPr>
          <w:p w:rsidR="00451DF0" w:rsidRPr="00A32AF4" w:rsidRDefault="00451DF0" w:rsidP="00DC0553">
            <w:pPr>
              <w:jc w:val="right"/>
              <w:rPr>
                <w:rFonts w:cs="Arial"/>
                <w:sz w:val="16"/>
                <w:szCs w:val="16"/>
                <w:lang w:eastAsia="fr-FR"/>
              </w:rPr>
            </w:pPr>
            <w:r w:rsidRPr="00A32AF4">
              <w:rPr>
                <w:rFonts w:cs="Arial"/>
                <w:sz w:val="16"/>
                <w:szCs w:val="16"/>
                <w:lang w:eastAsia="fr-FR"/>
              </w:rPr>
              <w:t>12</w:t>
            </w:r>
            <w:r w:rsidR="00FD43E3" w:rsidRPr="00A32AF4">
              <w:rPr>
                <w:rFonts w:cs="Arial"/>
                <w:sz w:val="16"/>
                <w:szCs w:val="16"/>
                <w:lang w:eastAsia="fr-FR"/>
              </w:rPr>
              <w:t> </w:t>
            </w:r>
            <w:r w:rsidRPr="00A32AF4">
              <w:rPr>
                <w:rFonts w:cs="Arial"/>
                <w:sz w:val="16"/>
                <w:szCs w:val="16"/>
                <w:lang w:eastAsia="fr-FR"/>
              </w:rPr>
              <w:t xml:space="preserve">276 </w:t>
            </w:r>
          </w:p>
        </w:tc>
        <w:tc>
          <w:tcPr>
            <w:tcW w:w="1260" w:type="dxa"/>
            <w:tcBorders>
              <w:top w:val="nil"/>
              <w:left w:val="nil"/>
              <w:bottom w:val="nil"/>
              <w:right w:val="single" w:sz="4" w:space="0" w:color="auto"/>
            </w:tcBorders>
            <w:shd w:val="clear" w:color="auto" w:fill="auto"/>
            <w:noWrap/>
            <w:tcMar>
              <w:top w:w="113" w:type="dxa"/>
              <w:bottom w:w="113" w:type="dxa"/>
            </w:tcMar>
            <w:vAlign w:val="center"/>
            <w:hideMark/>
          </w:tcPr>
          <w:p w:rsidR="00451DF0" w:rsidRPr="00A32AF4" w:rsidRDefault="00451DF0" w:rsidP="00DC0553">
            <w:pPr>
              <w:jc w:val="right"/>
              <w:rPr>
                <w:rFonts w:cs="Arial"/>
                <w:color w:val="000000"/>
                <w:sz w:val="16"/>
                <w:szCs w:val="16"/>
                <w:lang w:eastAsia="fr-FR"/>
              </w:rPr>
            </w:pPr>
            <w:r w:rsidRPr="00A32AF4">
              <w:rPr>
                <w:rFonts w:cs="Arial"/>
                <w:color w:val="000000"/>
                <w:sz w:val="16"/>
                <w:szCs w:val="16"/>
                <w:lang w:eastAsia="fr-FR"/>
              </w:rPr>
              <w:t>12</w:t>
            </w:r>
            <w:r w:rsidR="00FD43E3" w:rsidRPr="00A32AF4">
              <w:rPr>
                <w:rFonts w:cs="Arial"/>
                <w:color w:val="000000"/>
                <w:sz w:val="16"/>
                <w:szCs w:val="16"/>
                <w:lang w:eastAsia="fr-FR"/>
              </w:rPr>
              <w:t> </w:t>
            </w:r>
            <w:r w:rsidRPr="00A32AF4">
              <w:rPr>
                <w:rFonts w:cs="Arial"/>
                <w:color w:val="000000"/>
                <w:sz w:val="16"/>
                <w:szCs w:val="16"/>
                <w:lang w:eastAsia="fr-FR"/>
              </w:rPr>
              <w:t xml:space="preserve">096 </w:t>
            </w:r>
          </w:p>
        </w:tc>
      </w:tr>
      <w:tr w:rsidR="00451DF0" w:rsidRPr="00A32AF4" w:rsidTr="00DC2AF7">
        <w:tc>
          <w:tcPr>
            <w:tcW w:w="500" w:type="dxa"/>
            <w:tcBorders>
              <w:top w:val="nil"/>
              <w:left w:val="single" w:sz="4" w:space="0" w:color="auto"/>
              <w:bottom w:val="nil"/>
              <w:right w:val="nil"/>
            </w:tcBorders>
            <w:shd w:val="clear" w:color="auto" w:fill="auto"/>
            <w:noWrap/>
            <w:tcMar>
              <w:top w:w="113" w:type="dxa"/>
              <w:bottom w:w="113" w:type="dxa"/>
            </w:tcMar>
            <w:vAlign w:val="center"/>
            <w:hideMark/>
          </w:tcPr>
          <w:p w:rsidR="00451DF0" w:rsidRPr="00A32AF4" w:rsidRDefault="00451DF0" w:rsidP="00DC0553">
            <w:pPr>
              <w:rPr>
                <w:rFonts w:cs="Arial"/>
                <w:sz w:val="16"/>
                <w:szCs w:val="16"/>
                <w:lang w:eastAsia="fr-FR"/>
              </w:rPr>
            </w:pPr>
            <w:r w:rsidRPr="00A32AF4">
              <w:rPr>
                <w:rFonts w:cs="Arial"/>
                <w:sz w:val="16"/>
                <w:szCs w:val="16"/>
                <w:lang w:eastAsia="fr-FR"/>
              </w:rPr>
              <w:t>IX.2</w:t>
            </w:r>
          </w:p>
        </w:tc>
        <w:tc>
          <w:tcPr>
            <w:tcW w:w="4520" w:type="dxa"/>
            <w:tcBorders>
              <w:top w:val="nil"/>
              <w:left w:val="nil"/>
              <w:bottom w:val="nil"/>
              <w:right w:val="nil"/>
            </w:tcBorders>
            <w:shd w:val="clear" w:color="auto" w:fill="auto"/>
            <w:tcMar>
              <w:top w:w="113" w:type="dxa"/>
              <w:bottom w:w="113" w:type="dxa"/>
            </w:tcMar>
            <w:vAlign w:val="center"/>
            <w:hideMark/>
          </w:tcPr>
          <w:p w:rsidR="00451DF0" w:rsidRPr="00A32AF4" w:rsidRDefault="00451DF0" w:rsidP="00DC0553">
            <w:pPr>
              <w:rPr>
                <w:rFonts w:cs="Arial"/>
                <w:sz w:val="16"/>
                <w:szCs w:val="16"/>
                <w:lang w:eastAsia="fr-FR"/>
              </w:rPr>
            </w:pPr>
            <w:r w:rsidRPr="00A32AF4">
              <w:rPr>
                <w:rFonts w:cs="Arial"/>
                <w:sz w:val="16"/>
                <w:szCs w:val="16"/>
                <w:lang w:eastAsia="fr-FR"/>
              </w:rPr>
              <w:t>Un Secrétariat réactif, fonctionnant harmonieusement et doté de ressources humaines bien gérées et compétentes, à même d</w:t>
            </w:r>
            <w:r w:rsidR="00E2055A" w:rsidRPr="00A32AF4">
              <w:rPr>
                <w:rFonts w:cs="Arial"/>
                <w:sz w:val="16"/>
                <w:szCs w:val="16"/>
                <w:lang w:eastAsia="fr-FR"/>
              </w:rPr>
              <w:t>’</w:t>
            </w:r>
            <w:r w:rsidRPr="00A32AF4">
              <w:rPr>
                <w:rFonts w:cs="Arial"/>
                <w:sz w:val="16"/>
                <w:szCs w:val="16"/>
                <w:lang w:eastAsia="fr-FR"/>
              </w:rPr>
              <w:t>obtenir des résultats concrets</w:t>
            </w:r>
          </w:p>
        </w:tc>
        <w:tc>
          <w:tcPr>
            <w:tcW w:w="1260" w:type="dxa"/>
            <w:tcBorders>
              <w:top w:val="nil"/>
              <w:left w:val="nil"/>
              <w:bottom w:val="nil"/>
              <w:right w:val="nil"/>
            </w:tcBorders>
            <w:shd w:val="clear" w:color="auto" w:fill="auto"/>
            <w:tcMar>
              <w:top w:w="113" w:type="dxa"/>
              <w:bottom w:w="113" w:type="dxa"/>
            </w:tcMar>
            <w:vAlign w:val="center"/>
            <w:hideMark/>
          </w:tcPr>
          <w:p w:rsidR="00451DF0" w:rsidRPr="00A32AF4" w:rsidRDefault="00451DF0" w:rsidP="00DC0553">
            <w:pPr>
              <w:jc w:val="right"/>
              <w:rPr>
                <w:rFonts w:cs="Arial"/>
                <w:sz w:val="16"/>
                <w:szCs w:val="16"/>
                <w:lang w:eastAsia="fr-FR"/>
              </w:rPr>
            </w:pPr>
            <w:r w:rsidRPr="00A32AF4">
              <w:rPr>
                <w:rFonts w:cs="Arial"/>
                <w:sz w:val="16"/>
                <w:szCs w:val="16"/>
                <w:lang w:eastAsia="fr-FR"/>
              </w:rPr>
              <w:t>11</w:t>
            </w:r>
            <w:r w:rsidR="00FD43E3" w:rsidRPr="00A32AF4">
              <w:rPr>
                <w:rFonts w:cs="Arial"/>
                <w:sz w:val="16"/>
                <w:szCs w:val="16"/>
                <w:lang w:eastAsia="fr-FR"/>
              </w:rPr>
              <w:t> </w:t>
            </w:r>
            <w:r w:rsidRPr="00A32AF4">
              <w:rPr>
                <w:rFonts w:cs="Arial"/>
                <w:sz w:val="16"/>
                <w:szCs w:val="16"/>
                <w:lang w:eastAsia="fr-FR"/>
              </w:rPr>
              <w:t xml:space="preserve">285 </w:t>
            </w:r>
          </w:p>
        </w:tc>
        <w:tc>
          <w:tcPr>
            <w:tcW w:w="1440" w:type="dxa"/>
            <w:tcBorders>
              <w:top w:val="nil"/>
              <w:left w:val="nil"/>
              <w:bottom w:val="nil"/>
              <w:right w:val="nil"/>
            </w:tcBorders>
            <w:shd w:val="clear" w:color="auto" w:fill="auto"/>
            <w:tcMar>
              <w:top w:w="113" w:type="dxa"/>
              <w:bottom w:w="113" w:type="dxa"/>
            </w:tcMar>
            <w:vAlign w:val="center"/>
            <w:hideMark/>
          </w:tcPr>
          <w:p w:rsidR="00451DF0" w:rsidRPr="00A32AF4" w:rsidRDefault="00451DF0" w:rsidP="00DC0553">
            <w:pPr>
              <w:jc w:val="right"/>
              <w:rPr>
                <w:rFonts w:cs="Arial"/>
                <w:sz w:val="16"/>
                <w:szCs w:val="16"/>
                <w:lang w:eastAsia="fr-FR"/>
              </w:rPr>
            </w:pPr>
            <w:r w:rsidRPr="00A32AF4">
              <w:rPr>
                <w:rFonts w:cs="Arial"/>
                <w:sz w:val="16"/>
                <w:szCs w:val="16"/>
                <w:lang w:eastAsia="fr-FR"/>
              </w:rPr>
              <w:t>12</w:t>
            </w:r>
            <w:r w:rsidR="00FD43E3" w:rsidRPr="00A32AF4">
              <w:rPr>
                <w:rFonts w:cs="Arial"/>
                <w:sz w:val="16"/>
                <w:szCs w:val="16"/>
                <w:lang w:eastAsia="fr-FR"/>
              </w:rPr>
              <w:t> </w:t>
            </w:r>
            <w:r w:rsidRPr="00A32AF4">
              <w:rPr>
                <w:rFonts w:cs="Arial"/>
                <w:sz w:val="16"/>
                <w:szCs w:val="16"/>
                <w:lang w:eastAsia="fr-FR"/>
              </w:rPr>
              <w:t xml:space="preserve">357 </w:t>
            </w:r>
          </w:p>
        </w:tc>
        <w:tc>
          <w:tcPr>
            <w:tcW w:w="1260" w:type="dxa"/>
            <w:tcBorders>
              <w:top w:val="nil"/>
              <w:left w:val="nil"/>
              <w:bottom w:val="single" w:sz="4" w:space="0" w:color="auto"/>
              <w:right w:val="single" w:sz="4" w:space="0" w:color="auto"/>
            </w:tcBorders>
            <w:shd w:val="clear" w:color="auto" w:fill="auto"/>
            <w:noWrap/>
            <w:tcMar>
              <w:top w:w="113" w:type="dxa"/>
              <w:bottom w:w="113" w:type="dxa"/>
            </w:tcMar>
            <w:vAlign w:val="center"/>
            <w:hideMark/>
          </w:tcPr>
          <w:p w:rsidR="00451DF0" w:rsidRPr="00A32AF4" w:rsidRDefault="00451DF0" w:rsidP="00DC0553">
            <w:pPr>
              <w:jc w:val="right"/>
              <w:rPr>
                <w:rFonts w:cs="Arial"/>
                <w:color w:val="000000"/>
                <w:sz w:val="16"/>
                <w:szCs w:val="16"/>
                <w:lang w:eastAsia="fr-FR"/>
              </w:rPr>
            </w:pPr>
            <w:r w:rsidRPr="00A32AF4">
              <w:rPr>
                <w:rFonts w:cs="Arial"/>
                <w:color w:val="000000"/>
                <w:sz w:val="16"/>
                <w:szCs w:val="16"/>
                <w:lang w:eastAsia="fr-FR"/>
              </w:rPr>
              <w:t>12</w:t>
            </w:r>
            <w:r w:rsidR="00FD43E3" w:rsidRPr="00A32AF4">
              <w:rPr>
                <w:rFonts w:cs="Arial"/>
                <w:color w:val="000000"/>
                <w:sz w:val="16"/>
                <w:szCs w:val="16"/>
                <w:lang w:eastAsia="fr-FR"/>
              </w:rPr>
              <w:t> </w:t>
            </w:r>
            <w:r w:rsidRPr="00A32AF4">
              <w:rPr>
                <w:rFonts w:cs="Arial"/>
                <w:color w:val="000000"/>
                <w:sz w:val="16"/>
                <w:szCs w:val="16"/>
                <w:lang w:eastAsia="fr-FR"/>
              </w:rPr>
              <w:t xml:space="preserve">521 </w:t>
            </w:r>
          </w:p>
        </w:tc>
      </w:tr>
      <w:tr w:rsidR="00451DF0" w:rsidRPr="00A32AF4" w:rsidTr="00DC2AF7">
        <w:tc>
          <w:tcPr>
            <w:tcW w:w="500" w:type="dxa"/>
            <w:tcBorders>
              <w:top w:val="single" w:sz="4" w:space="0" w:color="auto"/>
              <w:left w:val="single" w:sz="4" w:space="0" w:color="auto"/>
              <w:bottom w:val="single" w:sz="4" w:space="0" w:color="auto"/>
              <w:right w:val="nil"/>
            </w:tcBorders>
            <w:shd w:val="clear" w:color="000000" w:fill="C5D9F1"/>
            <w:noWrap/>
            <w:tcMar>
              <w:top w:w="113" w:type="dxa"/>
              <w:bottom w:w="113" w:type="dxa"/>
            </w:tcMar>
            <w:vAlign w:val="bottom"/>
            <w:hideMark/>
          </w:tcPr>
          <w:p w:rsidR="00451DF0" w:rsidRPr="00A32AF4" w:rsidRDefault="00451DF0" w:rsidP="00DC0553">
            <w:pPr>
              <w:rPr>
                <w:rFonts w:cs="Arial"/>
                <w:sz w:val="16"/>
                <w:szCs w:val="16"/>
                <w:lang w:eastAsia="fr-FR"/>
              </w:rPr>
            </w:pPr>
            <w:r w:rsidRPr="00A32AF4">
              <w:rPr>
                <w:rFonts w:cs="Arial"/>
                <w:sz w:val="16"/>
                <w:szCs w:val="16"/>
                <w:lang w:eastAsia="fr-FR"/>
              </w:rPr>
              <w:t> </w:t>
            </w:r>
          </w:p>
        </w:tc>
        <w:tc>
          <w:tcPr>
            <w:tcW w:w="4520"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451DF0" w:rsidRPr="00A32AF4" w:rsidRDefault="00451DF0" w:rsidP="00DC0553">
            <w:pPr>
              <w:rPr>
                <w:rFonts w:cs="Arial"/>
                <w:b/>
                <w:bCs/>
                <w:sz w:val="16"/>
                <w:szCs w:val="16"/>
                <w:lang w:eastAsia="fr-FR"/>
              </w:rPr>
            </w:pPr>
            <w:r w:rsidRPr="00A32AF4">
              <w:rPr>
                <w:rFonts w:cs="Arial"/>
                <w:b/>
                <w:bCs/>
                <w:sz w:val="16"/>
                <w:szCs w:val="16"/>
                <w:lang w:eastAsia="fr-FR"/>
              </w:rPr>
              <w:t>Total</w:t>
            </w:r>
          </w:p>
        </w:tc>
        <w:tc>
          <w:tcPr>
            <w:tcW w:w="1260"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451DF0" w:rsidRPr="00A32AF4" w:rsidRDefault="00451DF0" w:rsidP="00DC0553">
            <w:pPr>
              <w:jc w:val="right"/>
              <w:rPr>
                <w:rFonts w:cs="Arial"/>
                <w:b/>
                <w:bCs/>
                <w:sz w:val="16"/>
                <w:szCs w:val="16"/>
                <w:lang w:eastAsia="fr-FR"/>
              </w:rPr>
            </w:pPr>
            <w:r w:rsidRPr="00A32AF4">
              <w:rPr>
                <w:rFonts w:cs="Arial"/>
                <w:b/>
                <w:bCs/>
                <w:sz w:val="16"/>
                <w:szCs w:val="16"/>
                <w:lang w:eastAsia="fr-FR"/>
              </w:rPr>
              <w:t>23</w:t>
            </w:r>
            <w:r w:rsidR="00FD43E3" w:rsidRPr="00A32AF4">
              <w:rPr>
                <w:rFonts w:cs="Arial"/>
                <w:b/>
                <w:bCs/>
                <w:sz w:val="16"/>
                <w:szCs w:val="16"/>
                <w:lang w:eastAsia="fr-FR"/>
              </w:rPr>
              <w:t> </w:t>
            </w:r>
            <w:r w:rsidRPr="00A32AF4">
              <w:rPr>
                <w:rFonts w:cs="Arial"/>
                <w:b/>
                <w:bCs/>
                <w:sz w:val="16"/>
                <w:szCs w:val="16"/>
                <w:lang w:eastAsia="fr-FR"/>
              </w:rPr>
              <w:t xml:space="preserve">561 </w:t>
            </w:r>
          </w:p>
        </w:tc>
        <w:tc>
          <w:tcPr>
            <w:tcW w:w="1440"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451DF0" w:rsidRPr="00A32AF4" w:rsidRDefault="00451DF0" w:rsidP="00DC0553">
            <w:pPr>
              <w:jc w:val="right"/>
              <w:rPr>
                <w:rFonts w:cs="Arial"/>
                <w:b/>
                <w:bCs/>
                <w:sz w:val="16"/>
                <w:szCs w:val="16"/>
                <w:lang w:eastAsia="fr-FR"/>
              </w:rPr>
            </w:pPr>
            <w:r w:rsidRPr="00A32AF4">
              <w:rPr>
                <w:rFonts w:cs="Arial"/>
                <w:b/>
                <w:bCs/>
                <w:sz w:val="16"/>
                <w:szCs w:val="16"/>
                <w:lang w:eastAsia="fr-FR"/>
              </w:rPr>
              <w:t>24</w:t>
            </w:r>
            <w:r w:rsidR="00FD43E3" w:rsidRPr="00A32AF4">
              <w:rPr>
                <w:rFonts w:cs="Arial"/>
                <w:b/>
                <w:bCs/>
                <w:sz w:val="16"/>
                <w:szCs w:val="16"/>
                <w:lang w:eastAsia="fr-FR"/>
              </w:rPr>
              <w:t> </w:t>
            </w:r>
            <w:r w:rsidRPr="00A32AF4">
              <w:rPr>
                <w:rFonts w:cs="Arial"/>
                <w:b/>
                <w:bCs/>
                <w:sz w:val="16"/>
                <w:szCs w:val="16"/>
                <w:lang w:eastAsia="fr-FR"/>
              </w:rPr>
              <w:t xml:space="preserve">633 </w:t>
            </w:r>
          </w:p>
        </w:tc>
        <w:tc>
          <w:tcPr>
            <w:tcW w:w="1260" w:type="dxa"/>
            <w:tcBorders>
              <w:top w:val="nil"/>
              <w:left w:val="nil"/>
              <w:bottom w:val="single" w:sz="4" w:space="0" w:color="auto"/>
              <w:right w:val="single" w:sz="4" w:space="0" w:color="auto"/>
            </w:tcBorders>
            <w:shd w:val="clear" w:color="000000" w:fill="C5D9F1"/>
            <w:noWrap/>
            <w:tcMar>
              <w:top w:w="113" w:type="dxa"/>
              <w:bottom w:w="113" w:type="dxa"/>
            </w:tcMar>
            <w:vAlign w:val="bottom"/>
            <w:hideMark/>
          </w:tcPr>
          <w:p w:rsidR="00451DF0" w:rsidRPr="00A32AF4" w:rsidRDefault="00451DF0" w:rsidP="00DC0553">
            <w:pPr>
              <w:jc w:val="right"/>
              <w:rPr>
                <w:rFonts w:cs="Arial"/>
                <w:b/>
                <w:bCs/>
                <w:sz w:val="16"/>
                <w:szCs w:val="16"/>
                <w:lang w:eastAsia="fr-FR"/>
              </w:rPr>
            </w:pPr>
            <w:r w:rsidRPr="00A32AF4">
              <w:rPr>
                <w:rFonts w:cs="Arial"/>
                <w:b/>
                <w:bCs/>
                <w:sz w:val="16"/>
                <w:szCs w:val="16"/>
                <w:lang w:eastAsia="fr-FR"/>
              </w:rPr>
              <w:t>24</w:t>
            </w:r>
            <w:r w:rsidR="00FD43E3" w:rsidRPr="00A32AF4">
              <w:rPr>
                <w:rFonts w:cs="Arial"/>
                <w:b/>
                <w:bCs/>
                <w:sz w:val="16"/>
                <w:szCs w:val="16"/>
                <w:lang w:eastAsia="fr-FR"/>
              </w:rPr>
              <w:t> </w:t>
            </w:r>
            <w:r w:rsidRPr="00A32AF4">
              <w:rPr>
                <w:rFonts w:cs="Arial"/>
                <w:b/>
                <w:bCs/>
                <w:sz w:val="16"/>
                <w:szCs w:val="16"/>
                <w:lang w:eastAsia="fr-FR"/>
              </w:rPr>
              <w:t xml:space="preserve">617 </w:t>
            </w:r>
          </w:p>
        </w:tc>
      </w:tr>
    </w:tbl>
    <w:p w:rsidR="00F93B76" w:rsidRPr="00A32AF4" w:rsidRDefault="00F93B76" w:rsidP="00DC0553"/>
    <w:p w:rsidR="00F93B76" w:rsidRPr="00A32AF4" w:rsidRDefault="00F93B76" w:rsidP="00DC0553">
      <w:pPr>
        <w:jc w:val="both"/>
        <w:rPr>
          <w:lang w:eastAsia="da-DK"/>
        </w:rPr>
      </w:pPr>
    </w:p>
    <w:p w:rsidR="00F93B76" w:rsidRPr="00A32AF4" w:rsidRDefault="00451DF0" w:rsidP="00DC0553">
      <w:pPr>
        <w:keepNext/>
        <w:keepLines/>
        <w:autoSpaceDE w:val="0"/>
        <w:autoSpaceDN w:val="0"/>
        <w:jc w:val="center"/>
        <w:rPr>
          <w:rFonts w:cs="Arial"/>
          <w:b/>
        </w:rPr>
      </w:pPr>
      <w:r w:rsidRPr="00A32AF4">
        <w:rPr>
          <w:rFonts w:cs="Arial"/>
          <w:b/>
        </w:rPr>
        <w:t>Programme 23 : ressources par objet de dépense</w:t>
      </w:r>
    </w:p>
    <w:p w:rsidR="00F93B76" w:rsidRPr="00A32AF4" w:rsidRDefault="00451DF0" w:rsidP="00DC0553">
      <w:pPr>
        <w:keepNext/>
        <w:keepLines/>
        <w:autoSpaceDE w:val="0"/>
        <w:autoSpaceDN w:val="0"/>
        <w:jc w:val="center"/>
        <w:rPr>
          <w:rFonts w:cs="Arial"/>
          <w:i/>
        </w:rPr>
      </w:pPr>
      <w:r w:rsidRPr="00A32AF4">
        <w:rPr>
          <w:rFonts w:cs="Arial"/>
          <w:i/>
        </w:rPr>
        <w:t>(</w:t>
      </w:r>
      <w:proofErr w:type="gramStart"/>
      <w:r w:rsidRPr="00A32AF4">
        <w:rPr>
          <w:rFonts w:cs="Arial"/>
          <w:i/>
        </w:rPr>
        <w:t>en</w:t>
      </w:r>
      <w:proofErr w:type="gramEnd"/>
      <w:r w:rsidRPr="00A32AF4">
        <w:rPr>
          <w:rFonts w:cs="Arial"/>
          <w:i/>
        </w:rPr>
        <w:t xml:space="preserve"> milliers de francs suisses)</w:t>
      </w:r>
    </w:p>
    <w:p w:rsidR="00F93B76" w:rsidRPr="00A32AF4" w:rsidRDefault="00F93B76" w:rsidP="00DC0553">
      <w:pPr>
        <w:keepNext/>
        <w:rPr>
          <w:rFonts w:eastAsia="SimSun"/>
        </w:rPr>
      </w:pPr>
    </w:p>
    <w:p w:rsidR="00F93B76" w:rsidRPr="00A32AF4" w:rsidRDefault="005240BB" w:rsidP="00DC0553">
      <w:pPr>
        <w:rPr>
          <w:rFonts w:eastAsia="SimSun"/>
        </w:rPr>
      </w:pPr>
      <w:r w:rsidRPr="00A32AF4">
        <w:rPr>
          <w:rFonts w:eastAsia="SimSun"/>
          <w:noProof/>
          <w:lang w:eastAsia="fr-FR"/>
        </w:rPr>
        <w:drawing>
          <wp:inline distT="0" distB="0" distL="0" distR="0" wp14:anchorId="239D7E42" wp14:editId="6C0167DE">
            <wp:extent cx="5512435" cy="6555105"/>
            <wp:effectExtent l="0" t="0" r="0" b="0"/>
            <wp:docPr id="1057" name="Picture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512435" cy="6555105"/>
                    </a:xfrm>
                    <a:prstGeom prst="rect">
                      <a:avLst/>
                    </a:prstGeom>
                    <a:noFill/>
                    <a:ln>
                      <a:noFill/>
                    </a:ln>
                  </pic:spPr>
                </pic:pic>
              </a:graphicData>
            </a:graphic>
          </wp:inline>
        </w:drawing>
      </w:r>
    </w:p>
    <w:p w:rsidR="00F93B76" w:rsidRPr="00A32AF4" w:rsidRDefault="00F93B76" w:rsidP="00DC0553">
      <w:pPr>
        <w:jc w:val="both"/>
        <w:rPr>
          <w:lang w:eastAsia="da-DK"/>
        </w:rPr>
      </w:pPr>
    </w:p>
    <w:p w:rsidR="00F93B76" w:rsidRPr="00A32AF4" w:rsidRDefault="00DC2AF7" w:rsidP="00DC0553">
      <w:pPr>
        <w:rPr>
          <w:lang w:eastAsia="da-DK"/>
        </w:rPr>
      </w:pPr>
      <w:r w:rsidRPr="00A32AF4">
        <w:rPr>
          <w:lang w:eastAsia="da-DK"/>
        </w:rPr>
        <w:br w:type="page"/>
      </w:r>
    </w:p>
    <w:p w:rsidR="00F93B76" w:rsidRPr="00A32AF4" w:rsidRDefault="00DC2AF7" w:rsidP="00FB1F61">
      <w:pPr>
        <w:pStyle w:val="Heading3"/>
      </w:pPr>
      <w:bookmarkStart w:id="64" w:name="_Toc431555469"/>
      <w:r w:rsidRPr="00A32AF4">
        <w:t>Programme 24</w:t>
      </w:r>
      <w:r w:rsidRPr="00A32AF4">
        <w:tab/>
        <w:t>Services d</w:t>
      </w:r>
      <w:r w:rsidR="00E2055A" w:rsidRPr="00A32AF4">
        <w:t>’</w:t>
      </w:r>
      <w:r w:rsidRPr="00A32AF4">
        <w:t>appui généraux</w:t>
      </w:r>
      <w:bookmarkEnd w:id="64"/>
    </w:p>
    <w:p w:rsidR="00F93B76" w:rsidRPr="00A32AF4" w:rsidRDefault="00F93B76" w:rsidP="00DC0553"/>
    <w:p w:rsidR="00F93B76" w:rsidRPr="00A32AF4" w:rsidRDefault="00F93B76" w:rsidP="00DC0553"/>
    <w:p w:rsidR="00F93B76" w:rsidRPr="00A32AF4" w:rsidRDefault="00DC2AF7" w:rsidP="00DC0553">
      <w:r w:rsidRPr="00A32AF4">
        <w:t>CONTEXTE DE PLANIFICATION</w:t>
      </w:r>
    </w:p>
    <w:p w:rsidR="00F93B76" w:rsidRPr="00A32AF4" w:rsidRDefault="00F93B76" w:rsidP="00DC0553"/>
    <w:p w:rsidR="00F93B76" w:rsidRPr="00A32AF4" w:rsidRDefault="00DC2AF7" w:rsidP="00DC0553">
      <w:pPr>
        <w:pStyle w:val="ListParagraph"/>
        <w:numPr>
          <w:ilvl w:val="0"/>
          <w:numId w:val="32"/>
        </w:numPr>
        <w:tabs>
          <w:tab w:val="left" w:pos="709"/>
        </w:tabs>
        <w:spacing w:after="0" w:line="240" w:lineRule="auto"/>
        <w:ind w:left="0" w:firstLine="0"/>
        <w:contextualSpacing w:val="0"/>
        <w:jc w:val="both"/>
        <w:rPr>
          <w:rFonts w:ascii="Arial" w:hAnsi="Arial" w:cs="Arial"/>
        </w:rPr>
      </w:pPr>
      <w:r w:rsidRPr="00A32AF4">
        <w:rPr>
          <w:rFonts w:ascii="Arial" w:hAnsi="Arial" w:cs="Arial"/>
        </w:rPr>
        <w:t>Les biens et services achetés ainsi que les voyages constituent l</w:t>
      </w:r>
      <w:r w:rsidR="00E2055A" w:rsidRPr="00A32AF4">
        <w:rPr>
          <w:rFonts w:ascii="Arial" w:hAnsi="Arial" w:cs="Arial"/>
        </w:rPr>
        <w:t>’</w:t>
      </w:r>
      <w:r w:rsidRPr="00A32AF4">
        <w:rPr>
          <w:rFonts w:ascii="Arial" w:hAnsi="Arial" w:cs="Arial"/>
        </w:rPr>
        <w:t>un des coûts, autres que ceux relatifs au personnel, les plus importants et représentent donc un domaine où des gains potentiels importants peuvent être réalisés en matière de rentabilité des coûts pour l</w:t>
      </w:r>
      <w:r w:rsidR="00E2055A" w:rsidRPr="00A32AF4">
        <w:rPr>
          <w:rFonts w:ascii="Arial" w:hAnsi="Arial" w:cs="Arial"/>
        </w:rPr>
        <w:t>’</w:t>
      </w:r>
      <w:r w:rsidRPr="00A32AF4">
        <w:rPr>
          <w:rFonts w:ascii="Arial" w:hAnsi="Arial" w:cs="Arial"/>
        </w:rPr>
        <w:t>Organisation.  De nombreuses mesures ont été mises en place durant l</w:t>
      </w:r>
      <w:r w:rsidR="00E2055A" w:rsidRPr="00A32AF4">
        <w:rPr>
          <w:rFonts w:ascii="Arial" w:hAnsi="Arial" w:cs="Arial"/>
        </w:rPr>
        <w:t>’</w:t>
      </w:r>
      <w:r w:rsidRPr="00A32AF4">
        <w:rPr>
          <w:rFonts w:ascii="Arial" w:hAnsi="Arial" w:cs="Arial"/>
        </w:rPr>
        <w:t>exercice biennal en cours ainsi que les précédents, afin d</w:t>
      </w:r>
      <w:r w:rsidR="00E2055A" w:rsidRPr="00A32AF4">
        <w:rPr>
          <w:rFonts w:ascii="Arial" w:hAnsi="Arial" w:cs="Arial"/>
        </w:rPr>
        <w:t>’</w:t>
      </w:r>
      <w:r w:rsidRPr="00A32AF4">
        <w:rPr>
          <w:rFonts w:ascii="Arial" w:hAnsi="Arial" w:cs="Arial"/>
        </w:rPr>
        <w:t>optimiser les procédures d</w:t>
      </w:r>
      <w:r w:rsidR="00E2055A" w:rsidRPr="00A32AF4">
        <w:rPr>
          <w:rFonts w:ascii="Arial" w:hAnsi="Arial" w:cs="Arial"/>
        </w:rPr>
        <w:t>’</w:t>
      </w:r>
      <w:r w:rsidRPr="00A32AF4">
        <w:rPr>
          <w:rFonts w:ascii="Arial" w:hAnsi="Arial" w:cs="Arial"/>
        </w:rPr>
        <w:t xml:space="preserve">achat et les frais de voyage, grâce à la mise en œuvre de nouveaux outils, </w:t>
      </w:r>
      <w:r w:rsidR="00C116C4" w:rsidRPr="00A32AF4">
        <w:rPr>
          <w:rFonts w:ascii="Arial" w:hAnsi="Arial" w:cs="Arial"/>
        </w:rPr>
        <w:t xml:space="preserve">à la révision des règles et procédures, </w:t>
      </w:r>
      <w:r w:rsidRPr="00A32AF4">
        <w:rPr>
          <w:rFonts w:ascii="Arial" w:hAnsi="Arial" w:cs="Arial"/>
        </w:rPr>
        <w:t>à la négociation des contrats et des tarifs de billet d</w:t>
      </w:r>
      <w:r w:rsidR="00E2055A" w:rsidRPr="00A32AF4">
        <w:rPr>
          <w:rFonts w:ascii="Arial" w:hAnsi="Arial" w:cs="Arial"/>
        </w:rPr>
        <w:t>’</w:t>
      </w:r>
      <w:r w:rsidRPr="00A32AF4">
        <w:rPr>
          <w:rFonts w:ascii="Arial" w:hAnsi="Arial" w:cs="Arial"/>
        </w:rPr>
        <w:t>avion et à une efficacité accrue des procédures, tout en apportant de manière continue aux utilisateurs de toute l</w:t>
      </w:r>
      <w:r w:rsidR="00E2055A" w:rsidRPr="00A32AF4">
        <w:rPr>
          <w:rFonts w:ascii="Arial" w:hAnsi="Arial" w:cs="Arial"/>
        </w:rPr>
        <w:t>’</w:t>
      </w:r>
      <w:r w:rsidRPr="00A32AF4">
        <w:rPr>
          <w:rFonts w:ascii="Arial" w:hAnsi="Arial" w:cs="Arial"/>
        </w:rPr>
        <w:t>Organisation un appui de haute qualité orienté vers les clients.  Au cours de l</w:t>
      </w:r>
      <w:r w:rsidR="00E2055A" w:rsidRPr="00A32AF4">
        <w:rPr>
          <w:rFonts w:ascii="Arial" w:hAnsi="Arial" w:cs="Arial"/>
        </w:rPr>
        <w:t>’</w:t>
      </w:r>
      <w:r w:rsidR="00702CE5" w:rsidRPr="00A32AF4">
        <w:rPr>
          <w:rFonts w:ascii="Arial" w:hAnsi="Arial" w:cs="Arial"/>
        </w:rPr>
        <w:t>exercice biennal 2014</w:t>
      </w:r>
      <w:r w:rsidR="00EB7F54" w:rsidRPr="00A32AF4">
        <w:rPr>
          <w:rFonts w:ascii="Arial" w:hAnsi="Arial" w:cs="Arial"/>
        </w:rPr>
        <w:noBreakHyphen/>
      </w:r>
      <w:r w:rsidR="00702CE5" w:rsidRPr="00A32AF4">
        <w:rPr>
          <w:rFonts w:ascii="Arial" w:hAnsi="Arial" w:cs="Arial"/>
        </w:rPr>
        <w:t>20</w:t>
      </w:r>
      <w:r w:rsidRPr="00A32AF4">
        <w:rPr>
          <w:rFonts w:ascii="Arial" w:hAnsi="Arial" w:cs="Arial"/>
        </w:rPr>
        <w:t>15, les responsabilités qui relèvent du programme ont été élargies afin d</w:t>
      </w:r>
      <w:r w:rsidR="00E2055A" w:rsidRPr="00A32AF4">
        <w:rPr>
          <w:rFonts w:ascii="Arial" w:hAnsi="Arial" w:cs="Arial"/>
        </w:rPr>
        <w:t>’</w:t>
      </w:r>
      <w:r w:rsidRPr="00A32AF4">
        <w:rPr>
          <w:rFonts w:ascii="Arial" w:hAnsi="Arial" w:cs="Arial"/>
        </w:rPr>
        <w:t>inclure également la gestion des services contractuels de personnes en plus de celle des fournisseurs de services commerciaux.</w:t>
      </w:r>
    </w:p>
    <w:p w:rsidR="00F93B76" w:rsidRPr="00A32AF4" w:rsidRDefault="00F93B76" w:rsidP="00DC0553">
      <w:pPr>
        <w:ind w:left="6"/>
        <w:jc w:val="both"/>
        <w:rPr>
          <w:rFonts w:cs="Arial"/>
        </w:rPr>
      </w:pPr>
    </w:p>
    <w:p w:rsidR="00F93B76" w:rsidRPr="00A32AF4" w:rsidRDefault="00DC2AF7" w:rsidP="00DC0553">
      <w:pPr>
        <w:pStyle w:val="ListParagraph"/>
        <w:numPr>
          <w:ilvl w:val="0"/>
          <w:numId w:val="32"/>
        </w:numPr>
        <w:tabs>
          <w:tab w:val="left" w:pos="709"/>
        </w:tabs>
        <w:spacing w:after="0" w:line="240" w:lineRule="auto"/>
        <w:ind w:left="0" w:firstLine="0"/>
        <w:contextualSpacing w:val="0"/>
        <w:jc w:val="both"/>
        <w:rPr>
          <w:rFonts w:ascii="Arial" w:hAnsi="Arial" w:cs="Arial"/>
        </w:rPr>
      </w:pPr>
      <w:r w:rsidRPr="00A32AF4">
        <w:rPr>
          <w:rFonts w:ascii="Arial" w:hAnsi="Arial" w:cs="Arial"/>
        </w:rPr>
        <w:t>À la suite de l</w:t>
      </w:r>
      <w:r w:rsidR="00E2055A" w:rsidRPr="00A32AF4">
        <w:rPr>
          <w:rFonts w:ascii="Arial" w:hAnsi="Arial" w:cs="Arial"/>
        </w:rPr>
        <w:t>’</w:t>
      </w:r>
      <w:r w:rsidRPr="00A32AF4">
        <w:rPr>
          <w:rFonts w:ascii="Arial" w:hAnsi="Arial" w:cs="Arial"/>
        </w:rPr>
        <w:t>achèvement des travaux sur le campus de l</w:t>
      </w:r>
      <w:r w:rsidR="00E2055A" w:rsidRPr="00A32AF4">
        <w:rPr>
          <w:rFonts w:ascii="Arial" w:hAnsi="Arial" w:cs="Arial"/>
        </w:rPr>
        <w:t>’</w:t>
      </w:r>
      <w:r w:rsidRPr="00A32AF4">
        <w:rPr>
          <w:rFonts w:ascii="Arial" w:hAnsi="Arial" w:cs="Arial"/>
        </w:rPr>
        <w:t>OMPI, marqué par l</w:t>
      </w:r>
      <w:r w:rsidR="00E2055A" w:rsidRPr="00A32AF4">
        <w:rPr>
          <w:rFonts w:ascii="Arial" w:hAnsi="Arial" w:cs="Arial"/>
        </w:rPr>
        <w:t>’</w:t>
      </w:r>
      <w:r w:rsidRPr="00A32AF4">
        <w:rPr>
          <w:rFonts w:ascii="Arial" w:hAnsi="Arial" w:cs="Arial"/>
        </w:rPr>
        <w:t>ajout de la nouvelle salle de conférence et la rénovation des installations annexes du bâtiment AB, l</w:t>
      </w:r>
      <w:r w:rsidR="00E2055A" w:rsidRPr="00A32AF4">
        <w:rPr>
          <w:rFonts w:ascii="Arial" w:hAnsi="Arial" w:cs="Arial"/>
        </w:rPr>
        <w:t>’</w:t>
      </w:r>
      <w:r w:rsidRPr="00A32AF4">
        <w:rPr>
          <w:rFonts w:ascii="Arial" w:hAnsi="Arial" w:cs="Arial"/>
        </w:rPr>
        <w:t>objectif principal au cours de l</w:t>
      </w:r>
      <w:r w:rsidR="00E2055A" w:rsidRPr="00A32AF4">
        <w:rPr>
          <w:rFonts w:ascii="Arial" w:hAnsi="Arial" w:cs="Arial"/>
        </w:rPr>
        <w:t>’</w:t>
      </w:r>
      <w:r w:rsidRPr="00A32AF4">
        <w:rPr>
          <w:rFonts w:ascii="Arial" w:hAnsi="Arial" w:cs="Arial"/>
        </w:rPr>
        <w:t>exercice bie</w:t>
      </w:r>
      <w:r w:rsidR="00702CE5" w:rsidRPr="00A32AF4">
        <w:rPr>
          <w:rFonts w:ascii="Arial" w:hAnsi="Arial" w:cs="Arial"/>
        </w:rPr>
        <w:t>nnal 2016</w:t>
      </w:r>
      <w:r w:rsidR="00EB7F54" w:rsidRPr="00A32AF4">
        <w:rPr>
          <w:rFonts w:ascii="Arial" w:hAnsi="Arial" w:cs="Arial"/>
        </w:rPr>
        <w:noBreakHyphen/>
      </w:r>
      <w:r w:rsidR="00702CE5" w:rsidRPr="00A32AF4">
        <w:rPr>
          <w:rFonts w:ascii="Arial" w:hAnsi="Arial" w:cs="Arial"/>
        </w:rPr>
        <w:t>20</w:t>
      </w:r>
      <w:r w:rsidRPr="00A32AF4">
        <w:rPr>
          <w:rFonts w:ascii="Arial" w:hAnsi="Arial" w:cs="Arial"/>
        </w:rPr>
        <w:t>17 sera de veiller à ce que toutes les installations techniques soient conformes aux normes en vigueur, et qu</w:t>
      </w:r>
      <w:r w:rsidR="00E2055A" w:rsidRPr="00A32AF4">
        <w:rPr>
          <w:rFonts w:ascii="Arial" w:hAnsi="Arial" w:cs="Arial"/>
        </w:rPr>
        <w:t>’</w:t>
      </w:r>
      <w:r w:rsidRPr="00A32AF4">
        <w:rPr>
          <w:rFonts w:ascii="Arial" w:hAnsi="Arial" w:cs="Arial"/>
        </w:rPr>
        <w:t>elles fonctionnent de façon optimale afin de faciliter l</w:t>
      </w:r>
      <w:r w:rsidR="00E2055A" w:rsidRPr="00A32AF4">
        <w:rPr>
          <w:rFonts w:ascii="Arial" w:hAnsi="Arial" w:cs="Arial"/>
        </w:rPr>
        <w:t>’</w:t>
      </w:r>
      <w:r w:rsidRPr="00A32AF4">
        <w:rPr>
          <w:rFonts w:ascii="Arial" w:hAnsi="Arial" w:cs="Arial"/>
        </w:rPr>
        <w:t>exécution du programme pour l</w:t>
      </w:r>
      <w:r w:rsidR="00E2055A" w:rsidRPr="00A32AF4">
        <w:rPr>
          <w:rFonts w:ascii="Arial" w:hAnsi="Arial" w:cs="Arial"/>
        </w:rPr>
        <w:t>’</w:t>
      </w:r>
      <w:r w:rsidRPr="00A32AF4">
        <w:rPr>
          <w:rFonts w:ascii="Arial" w:hAnsi="Arial" w:cs="Arial"/>
        </w:rPr>
        <w:t>ensemble de l</w:t>
      </w:r>
      <w:r w:rsidR="00E2055A" w:rsidRPr="00A32AF4">
        <w:rPr>
          <w:rFonts w:ascii="Arial" w:hAnsi="Arial" w:cs="Arial"/>
        </w:rPr>
        <w:t>’</w:t>
      </w:r>
      <w:r w:rsidRPr="00A32AF4">
        <w:rPr>
          <w:rFonts w:ascii="Arial" w:hAnsi="Arial" w:cs="Arial"/>
        </w:rPr>
        <w:t>Organisation.  Plusieurs bâtiments de l</w:t>
      </w:r>
      <w:r w:rsidR="00E2055A" w:rsidRPr="00A32AF4">
        <w:rPr>
          <w:rFonts w:ascii="Arial" w:hAnsi="Arial" w:cs="Arial"/>
        </w:rPr>
        <w:t>’</w:t>
      </w:r>
      <w:r w:rsidRPr="00A32AF4">
        <w:rPr>
          <w:rFonts w:ascii="Arial" w:hAnsi="Arial" w:cs="Arial"/>
        </w:rPr>
        <w:t>OMPI doivent être rénovés, transformés ou modernisés en profondeur.  Les travaux à entreprendre sont de taille, et les plus importants permettront également une réduction de la consommation énergétique, tandis que d</w:t>
      </w:r>
      <w:r w:rsidR="00E2055A" w:rsidRPr="00A32AF4">
        <w:rPr>
          <w:rFonts w:ascii="Arial" w:hAnsi="Arial" w:cs="Arial"/>
        </w:rPr>
        <w:t>’</w:t>
      </w:r>
      <w:r w:rsidRPr="00A32AF4">
        <w:rPr>
          <w:rFonts w:ascii="Arial" w:hAnsi="Arial" w:cs="Arial"/>
        </w:rPr>
        <w:t>autres auront l</w:t>
      </w:r>
      <w:r w:rsidR="00E2055A" w:rsidRPr="00A32AF4">
        <w:rPr>
          <w:rFonts w:ascii="Arial" w:hAnsi="Arial" w:cs="Arial"/>
        </w:rPr>
        <w:t>’</w:t>
      </w:r>
      <w:r w:rsidRPr="00A32AF4">
        <w:rPr>
          <w:rFonts w:ascii="Arial" w:hAnsi="Arial" w:cs="Arial"/>
        </w:rPr>
        <w:t>avantage supplémentaire d</w:t>
      </w:r>
      <w:r w:rsidR="00E2055A" w:rsidRPr="00A32AF4">
        <w:rPr>
          <w:rFonts w:ascii="Arial" w:hAnsi="Arial" w:cs="Arial"/>
        </w:rPr>
        <w:t>’</w:t>
      </w:r>
      <w:r w:rsidRPr="00A32AF4">
        <w:rPr>
          <w:rFonts w:ascii="Arial" w:hAnsi="Arial" w:cs="Arial"/>
        </w:rPr>
        <w:t>améliorer l</w:t>
      </w:r>
      <w:r w:rsidR="00E2055A" w:rsidRPr="00A32AF4">
        <w:rPr>
          <w:rFonts w:ascii="Arial" w:hAnsi="Arial" w:cs="Arial"/>
        </w:rPr>
        <w:t>’</w:t>
      </w:r>
      <w:r w:rsidRPr="00A32AF4">
        <w:rPr>
          <w:rFonts w:ascii="Arial" w:hAnsi="Arial" w:cs="Arial"/>
        </w:rPr>
        <w:t>accessibilité physique des locaux (un élément de la responsabilité sociale).</w:t>
      </w:r>
    </w:p>
    <w:p w:rsidR="00F93B76" w:rsidRPr="00A32AF4" w:rsidRDefault="00F93B76" w:rsidP="00DC0553">
      <w:pPr>
        <w:pStyle w:val="ListParagraph"/>
        <w:ind w:left="0"/>
        <w:rPr>
          <w:rFonts w:ascii="Arial" w:eastAsiaTheme="minorHAnsi" w:hAnsi="Arial" w:cs="Arial"/>
        </w:rPr>
      </w:pPr>
    </w:p>
    <w:p w:rsidR="00F93B76" w:rsidRPr="00A32AF4" w:rsidRDefault="00DC2AF7" w:rsidP="00DC0553">
      <w:pPr>
        <w:pStyle w:val="ListParagraph"/>
        <w:numPr>
          <w:ilvl w:val="0"/>
          <w:numId w:val="32"/>
        </w:numPr>
        <w:tabs>
          <w:tab w:val="left" w:pos="709"/>
        </w:tabs>
        <w:spacing w:after="0" w:line="240" w:lineRule="auto"/>
        <w:ind w:left="0" w:firstLine="0"/>
        <w:contextualSpacing w:val="0"/>
        <w:jc w:val="both"/>
        <w:rPr>
          <w:rFonts w:ascii="Arial" w:hAnsi="Arial" w:cs="Arial"/>
        </w:rPr>
      </w:pPr>
      <w:r w:rsidRPr="00A32AF4">
        <w:rPr>
          <w:rFonts w:ascii="Arial" w:hAnsi="Arial" w:cs="Arial"/>
        </w:rPr>
        <w:t>La responsabilité environnementale continuera de figurer parmi les valeurs fondamentales de l</w:t>
      </w:r>
      <w:r w:rsidR="00E2055A" w:rsidRPr="00A32AF4">
        <w:rPr>
          <w:rFonts w:ascii="Arial" w:hAnsi="Arial" w:cs="Arial"/>
        </w:rPr>
        <w:t>’</w:t>
      </w:r>
      <w:r w:rsidRPr="00A32AF4">
        <w:rPr>
          <w:rFonts w:ascii="Arial" w:hAnsi="Arial" w:cs="Arial"/>
        </w:rPr>
        <w:t>OMPI à intégrer dans l</w:t>
      </w:r>
      <w:r w:rsidR="00E2055A" w:rsidRPr="00A32AF4">
        <w:rPr>
          <w:rFonts w:ascii="Arial" w:hAnsi="Arial" w:cs="Arial"/>
        </w:rPr>
        <w:t>’</w:t>
      </w:r>
      <w:r w:rsidRPr="00A32AF4">
        <w:rPr>
          <w:rFonts w:ascii="Arial" w:hAnsi="Arial" w:cs="Arial"/>
        </w:rPr>
        <w:t>exécution du programme, en particulier pour ce qui est de la gestion des locaux conformément à l</w:t>
      </w:r>
      <w:r w:rsidR="00E2055A" w:rsidRPr="00A32AF4">
        <w:rPr>
          <w:rFonts w:ascii="Arial" w:hAnsi="Arial" w:cs="Arial"/>
        </w:rPr>
        <w:t>’</w:t>
      </w:r>
      <w:r w:rsidRPr="00A32AF4">
        <w:rPr>
          <w:rFonts w:ascii="Arial" w:hAnsi="Arial" w:cs="Arial"/>
        </w:rPr>
        <w:t>objectif général à l</w:t>
      </w:r>
      <w:r w:rsidR="00E2055A" w:rsidRPr="00A32AF4">
        <w:rPr>
          <w:rFonts w:ascii="Arial" w:hAnsi="Arial" w:cs="Arial"/>
        </w:rPr>
        <w:t>’</w:t>
      </w:r>
      <w:r w:rsidRPr="00A32AF4">
        <w:rPr>
          <w:rFonts w:ascii="Arial" w:hAnsi="Arial" w:cs="Arial"/>
        </w:rPr>
        <w:t xml:space="preserve">échelle du système des </w:t>
      </w:r>
      <w:r w:rsidR="00E2055A" w:rsidRPr="00A32AF4">
        <w:rPr>
          <w:rFonts w:ascii="Arial" w:hAnsi="Arial" w:cs="Arial"/>
        </w:rPr>
        <w:t>Nations Unies</w:t>
      </w:r>
      <w:r w:rsidRPr="00A32AF4">
        <w:rPr>
          <w:rFonts w:ascii="Arial" w:hAnsi="Arial" w:cs="Arial"/>
        </w:rPr>
        <w:t xml:space="preserve"> qui consiste à parvenir à la neutralité climatique d</w:t>
      </w:r>
      <w:r w:rsidR="00E2055A" w:rsidRPr="00A32AF4">
        <w:rPr>
          <w:rFonts w:ascii="Arial" w:hAnsi="Arial" w:cs="Arial"/>
        </w:rPr>
        <w:t>’</w:t>
      </w:r>
      <w:r w:rsidRPr="00A32AF4">
        <w:rPr>
          <w:rFonts w:ascii="Arial" w:hAnsi="Arial" w:cs="Arial"/>
        </w:rPr>
        <w:t>ici 2020.</w:t>
      </w:r>
    </w:p>
    <w:p w:rsidR="00F93B76" w:rsidRPr="00A32AF4" w:rsidRDefault="00F93B76" w:rsidP="00DC0553">
      <w:pPr>
        <w:jc w:val="both"/>
        <w:rPr>
          <w:rFonts w:cs="Arial"/>
        </w:rPr>
      </w:pPr>
    </w:p>
    <w:p w:rsidR="00F93B76" w:rsidRPr="00A32AF4" w:rsidRDefault="00F93B76" w:rsidP="00DC0553">
      <w:pPr>
        <w:jc w:val="both"/>
        <w:rPr>
          <w:rFonts w:cs="Arial"/>
        </w:rPr>
      </w:pPr>
    </w:p>
    <w:p w:rsidR="00F93B76" w:rsidRPr="00A32AF4" w:rsidRDefault="00DC2AF7" w:rsidP="00DC0553">
      <w:pPr>
        <w:jc w:val="both"/>
        <w:rPr>
          <w:rFonts w:cs="Arial"/>
        </w:rPr>
      </w:pPr>
      <w:r w:rsidRPr="00A32AF4">
        <w:rPr>
          <w:rFonts w:cs="Arial"/>
        </w:rPr>
        <w:t>STRATÉGIES DE MISE EN ŒUVRE</w:t>
      </w:r>
    </w:p>
    <w:p w:rsidR="00F93B76" w:rsidRPr="00A32AF4" w:rsidRDefault="00F93B76" w:rsidP="00DC0553">
      <w:pPr>
        <w:jc w:val="both"/>
        <w:rPr>
          <w:rFonts w:cs="Arial"/>
        </w:rPr>
      </w:pPr>
    </w:p>
    <w:p w:rsidR="00F93B76" w:rsidRPr="00A32AF4" w:rsidRDefault="00DC2AF7" w:rsidP="00DC0553">
      <w:pPr>
        <w:pStyle w:val="ListParagraph"/>
        <w:numPr>
          <w:ilvl w:val="0"/>
          <w:numId w:val="32"/>
        </w:numPr>
        <w:tabs>
          <w:tab w:val="left" w:pos="709"/>
        </w:tabs>
        <w:spacing w:after="0" w:line="240" w:lineRule="auto"/>
        <w:ind w:left="0" w:firstLine="0"/>
        <w:contextualSpacing w:val="0"/>
        <w:jc w:val="both"/>
        <w:rPr>
          <w:rFonts w:ascii="Arial" w:hAnsi="Arial" w:cs="Arial"/>
        </w:rPr>
      </w:pPr>
      <w:r w:rsidRPr="00A32AF4">
        <w:rPr>
          <w:rFonts w:ascii="Arial" w:hAnsi="Arial" w:cs="Arial"/>
        </w:rPr>
        <w:t>S</w:t>
      </w:r>
      <w:r w:rsidR="00E2055A" w:rsidRPr="00A32AF4">
        <w:rPr>
          <w:rFonts w:ascii="Arial" w:hAnsi="Arial" w:cs="Arial"/>
        </w:rPr>
        <w:t>’</w:t>
      </w:r>
      <w:r w:rsidRPr="00A32AF4">
        <w:rPr>
          <w:rFonts w:ascii="Arial" w:hAnsi="Arial" w:cs="Arial"/>
        </w:rPr>
        <w:t>appuyant sur les travaux commencés au cours de l</w:t>
      </w:r>
      <w:r w:rsidR="00E2055A" w:rsidRPr="00A32AF4">
        <w:rPr>
          <w:rFonts w:ascii="Arial" w:hAnsi="Arial" w:cs="Arial"/>
        </w:rPr>
        <w:t>’</w:t>
      </w:r>
      <w:r w:rsidR="00702CE5" w:rsidRPr="00A32AF4">
        <w:rPr>
          <w:rFonts w:ascii="Arial" w:hAnsi="Arial" w:cs="Arial"/>
        </w:rPr>
        <w:t>exercice biennal 2014</w:t>
      </w:r>
      <w:r w:rsidR="00EB7F54" w:rsidRPr="00A32AF4">
        <w:rPr>
          <w:rFonts w:ascii="Arial" w:hAnsi="Arial" w:cs="Arial"/>
        </w:rPr>
        <w:noBreakHyphen/>
      </w:r>
      <w:r w:rsidR="00702CE5" w:rsidRPr="00A32AF4">
        <w:rPr>
          <w:rFonts w:ascii="Arial" w:hAnsi="Arial" w:cs="Arial"/>
        </w:rPr>
        <w:t>20</w:t>
      </w:r>
      <w:r w:rsidRPr="00A32AF4">
        <w:rPr>
          <w:rFonts w:ascii="Arial" w:hAnsi="Arial" w:cs="Arial"/>
        </w:rPr>
        <w:t>15, notamment la mise en œuvre de l</w:t>
      </w:r>
      <w:r w:rsidR="00E2055A" w:rsidRPr="00A32AF4">
        <w:rPr>
          <w:rFonts w:ascii="Arial" w:hAnsi="Arial" w:cs="Arial"/>
        </w:rPr>
        <w:t>’</w:t>
      </w:r>
      <w:r w:rsidRPr="00A32AF4">
        <w:rPr>
          <w:rFonts w:ascii="Arial" w:hAnsi="Arial" w:cs="Arial"/>
        </w:rPr>
        <w:t>outil de réservation en ligne et celle d</w:t>
      </w:r>
      <w:r w:rsidR="00E2055A" w:rsidRPr="00A32AF4">
        <w:rPr>
          <w:rFonts w:ascii="Arial" w:hAnsi="Arial" w:cs="Arial"/>
        </w:rPr>
        <w:t>’</w:t>
      </w:r>
      <w:r w:rsidRPr="00A32AF4">
        <w:rPr>
          <w:rFonts w:ascii="Arial" w:hAnsi="Arial" w:cs="Arial"/>
        </w:rPr>
        <w:t>un nouvel outil pour la gestion des demandes de voyage, les efforts se poursuivront afin de trouver de nouvelles possibilités d</w:t>
      </w:r>
      <w:r w:rsidR="00E2055A" w:rsidRPr="00A32AF4">
        <w:rPr>
          <w:rFonts w:ascii="Arial" w:hAnsi="Arial" w:cs="Arial"/>
        </w:rPr>
        <w:t>’</w:t>
      </w:r>
      <w:r w:rsidRPr="00A32AF4">
        <w:rPr>
          <w:rFonts w:ascii="Arial" w:hAnsi="Arial" w:cs="Arial"/>
        </w:rPr>
        <w:t>économies en ce qui concerne les billets d</w:t>
      </w:r>
      <w:r w:rsidR="00E2055A" w:rsidRPr="00A32AF4">
        <w:rPr>
          <w:rFonts w:ascii="Arial" w:hAnsi="Arial" w:cs="Arial"/>
        </w:rPr>
        <w:t>’</w:t>
      </w:r>
      <w:r w:rsidRPr="00A32AF4">
        <w:rPr>
          <w:rFonts w:ascii="Arial" w:hAnsi="Arial" w:cs="Arial"/>
        </w:rPr>
        <w:t>avion et les frais de service.  L</w:t>
      </w:r>
      <w:r w:rsidR="00E2055A" w:rsidRPr="00A32AF4">
        <w:rPr>
          <w:rFonts w:ascii="Arial" w:hAnsi="Arial" w:cs="Arial"/>
        </w:rPr>
        <w:t>’</w:t>
      </w:r>
      <w:r w:rsidRPr="00A32AF4">
        <w:rPr>
          <w:rFonts w:ascii="Arial" w:hAnsi="Arial" w:cs="Arial"/>
        </w:rPr>
        <w:t xml:space="preserve">efficacité administrative sera également améliorée grâce </w:t>
      </w:r>
      <w:r w:rsidR="00C116C4" w:rsidRPr="00A32AF4">
        <w:rPr>
          <w:rFonts w:ascii="Arial" w:hAnsi="Arial" w:cs="Arial"/>
        </w:rPr>
        <w:t xml:space="preserve">à la révision du cadre réglementaire, </w:t>
      </w:r>
      <w:r w:rsidRPr="00A32AF4">
        <w:rPr>
          <w:rFonts w:ascii="Arial" w:hAnsi="Arial" w:cs="Arial"/>
        </w:rPr>
        <w:t>à la simplification des procédures au moyen de nouveaux outils informatiques pour la gestion des demandes liées à des voyages et à des manifestations, ainsi qu</w:t>
      </w:r>
      <w:r w:rsidR="00E2055A" w:rsidRPr="00A32AF4">
        <w:rPr>
          <w:rFonts w:ascii="Arial" w:hAnsi="Arial" w:cs="Arial"/>
        </w:rPr>
        <w:t>’</w:t>
      </w:r>
      <w:r w:rsidRPr="00A32AF4">
        <w:rPr>
          <w:rFonts w:ascii="Arial" w:hAnsi="Arial" w:cs="Arial"/>
        </w:rPr>
        <w:t xml:space="preserve">au module </w:t>
      </w:r>
      <w:r w:rsidR="00B63C9F" w:rsidRPr="00A32AF4">
        <w:rPr>
          <w:rFonts w:ascii="Arial" w:hAnsi="Arial" w:cs="Arial"/>
        </w:rPr>
        <w:t>“</w:t>
      </w:r>
      <w:r w:rsidRPr="00A32AF4">
        <w:rPr>
          <w:rFonts w:ascii="Arial" w:hAnsi="Arial" w:cs="Arial"/>
        </w:rPr>
        <w:t>Achats au règlement</w:t>
      </w:r>
      <w:r w:rsidR="00B63C9F" w:rsidRPr="00A32AF4">
        <w:rPr>
          <w:rFonts w:ascii="Arial" w:hAnsi="Arial" w:cs="Arial"/>
        </w:rPr>
        <w:t>”</w:t>
      </w:r>
      <w:r w:rsidRPr="00A32AF4">
        <w:rPr>
          <w:rFonts w:ascii="Arial" w:hAnsi="Arial" w:cs="Arial"/>
        </w:rPr>
        <w:t xml:space="preserve"> du système de planification des ressources d</w:t>
      </w:r>
      <w:r w:rsidR="00E2055A" w:rsidRPr="00A32AF4">
        <w:rPr>
          <w:rFonts w:ascii="Arial" w:hAnsi="Arial" w:cs="Arial"/>
        </w:rPr>
        <w:t>’</w:t>
      </w:r>
      <w:r w:rsidRPr="00A32AF4">
        <w:rPr>
          <w:rFonts w:ascii="Arial" w:hAnsi="Arial" w:cs="Arial"/>
        </w:rPr>
        <w:t>entreprise (ERP).  Afin de poursuivre l</w:t>
      </w:r>
      <w:r w:rsidR="00E2055A" w:rsidRPr="00A32AF4">
        <w:rPr>
          <w:rFonts w:ascii="Arial" w:hAnsi="Arial" w:cs="Arial"/>
        </w:rPr>
        <w:t>’</w:t>
      </w:r>
      <w:r w:rsidRPr="00A32AF4">
        <w:rPr>
          <w:rFonts w:ascii="Arial" w:hAnsi="Arial" w:cs="Arial"/>
        </w:rPr>
        <w:t>optimisation du coût des biens et services, l</w:t>
      </w:r>
      <w:r w:rsidR="00E2055A" w:rsidRPr="00A32AF4">
        <w:rPr>
          <w:rFonts w:ascii="Arial" w:hAnsi="Arial" w:cs="Arial"/>
        </w:rPr>
        <w:t>’</w:t>
      </w:r>
      <w:r w:rsidRPr="00A32AF4">
        <w:rPr>
          <w:rFonts w:ascii="Arial" w:hAnsi="Arial" w:cs="Arial"/>
        </w:rPr>
        <w:t>exercice biennal sera consacré à l</w:t>
      </w:r>
      <w:r w:rsidR="00E2055A" w:rsidRPr="00A32AF4">
        <w:rPr>
          <w:rFonts w:ascii="Arial" w:hAnsi="Arial" w:cs="Arial"/>
        </w:rPr>
        <w:t>’</w:t>
      </w:r>
      <w:r w:rsidRPr="00A32AF4">
        <w:rPr>
          <w:rFonts w:ascii="Arial" w:hAnsi="Arial" w:cs="Arial"/>
        </w:rPr>
        <w:t>amélioration de la procédure d</w:t>
      </w:r>
      <w:r w:rsidR="00E2055A" w:rsidRPr="00A32AF4">
        <w:rPr>
          <w:rFonts w:ascii="Arial" w:hAnsi="Arial" w:cs="Arial"/>
        </w:rPr>
        <w:t>’</w:t>
      </w:r>
      <w:r w:rsidRPr="00A32AF4">
        <w:rPr>
          <w:rFonts w:ascii="Arial" w:hAnsi="Arial" w:cs="Arial"/>
        </w:rPr>
        <w:t>offre pour les services contractuels de personnes grâce à un outil informatique dédié.  Parallèlement, en vue d</w:t>
      </w:r>
      <w:r w:rsidR="00E2055A" w:rsidRPr="00A32AF4">
        <w:rPr>
          <w:rFonts w:ascii="Arial" w:hAnsi="Arial" w:cs="Arial"/>
        </w:rPr>
        <w:t>’</w:t>
      </w:r>
      <w:r w:rsidRPr="00A32AF4">
        <w:rPr>
          <w:rFonts w:ascii="Arial" w:hAnsi="Arial" w:cs="Arial"/>
        </w:rPr>
        <w:t>améliorer l</w:t>
      </w:r>
      <w:r w:rsidR="00E2055A" w:rsidRPr="00A32AF4">
        <w:rPr>
          <w:rFonts w:ascii="Arial" w:hAnsi="Arial" w:cs="Arial"/>
        </w:rPr>
        <w:t>’</w:t>
      </w:r>
      <w:r w:rsidRPr="00A32AF4">
        <w:rPr>
          <w:rFonts w:ascii="Arial" w:hAnsi="Arial" w:cs="Arial"/>
        </w:rPr>
        <w:t>optimisation des ressources financières, la gestion des performances des fournisseurs sera renforcée en s</w:t>
      </w:r>
      <w:r w:rsidR="00E2055A" w:rsidRPr="00A32AF4">
        <w:rPr>
          <w:rFonts w:ascii="Arial" w:hAnsi="Arial" w:cs="Arial"/>
        </w:rPr>
        <w:t>’</w:t>
      </w:r>
      <w:r w:rsidRPr="00A32AF4">
        <w:rPr>
          <w:rFonts w:ascii="Arial" w:hAnsi="Arial" w:cs="Arial"/>
        </w:rPr>
        <w:t>appuyant sur des outils mis au point à cet effet au cours de l</w:t>
      </w:r>
      <w:r w:rsidR="00E2055A" w:rsidRPr="00A32AF4">
        <w:rPr>
          <w:rFonts w:ascii="Arial" w:hAnsi="Arial" w:cs="Arial"/>
        </w:rPr>
        <w:t>’</w:t>
      </w:r>
      <w:r w:rsidR="003F1C4F" w:rsidRPr="00A32AF4">
        <w:rPr>
          <w:rFonts w:ascii="Arial" w:hAnsi="Arial" w:cs="Arial"/>
        </w:rPr>
        <w:t>exercice 2014</w:t>
      </w:r>
      <w:r w:rsidR="00EB7F54" w:rsidRPr="00A32AF4">
        <w:rPr>
          <w:rFonts w:ascii="Arial" w:hAnsi="Arial" w:cs="Arial"/>
        </w:rPr>
        <w:noBreakHyphen/>
      </w:r>
      <w:r w:rsidR="003F1C4F" w:rsidRPr="00A32AF4">
        <w:rPr>
          <w:rFonts w:ascii="Arial" w:hAnsi="Arial" w:cs="Arial"/>
        </w:rPr>
        <w:t>20</w:t>
      </w:r>
      <w:r w:rsidRPr="00A32AF4">
        <w:rPr>
          <w:rFonts w:ascii="Arial" w:hAnsi="Arial" w:cs="Arial"/>
        </w:rPr>
        <w:t>15.  En outre, les efforts visant à accroître les possibilités offertes par l</w:t>
      </w:r>
      <w:r w:rsidR="00E2055A" w:rsidRPr="00A32AF4">
        <w:rPr>
          <w:rFonts w:ascii="Arial" w:hAnsi="Arial" w:cs="Arial"/>
        </w:rPr>
        <w:t>’</w:t>
      </w:r>
      <w:r w:rsidRPr="00A32AF4">
        <w:rPr>
          <w:rFonts w:ascii="Arial" w:hAnsi="Arial" w:cs="Arial"/>
        </w:rPr>
        <w:t>effet de levier d</w:t>
      </w:r>
      <w:r w:rsidR="00E2055A" w:rsidRPr="00A32AF4">
        <w:rPr>
          <w:rFonts w:ascii="Arial" w:hAnsi="Arial" w:cs="Arial"/>
        </w:rPr>
        <w:t>’</w:t>
      </w:r>
      <w:r w:rsidRPr="00A32AF4">
        <w:rPr>
          <w:rFonts w:ascii="Arial" w:hAnsi="Arial" w:cs="Arial"/>
        </w:rPr>
        <w:t>autres organisations internationales seront activement poursuivis.</w:t>
      </w:r>
    </w:p>
    <w:p w:rsidR="00F93B76" w:rsidRPr="00A32AF4" w:rsidRDefault="00F93B76" w:rsidP="00DC0553">
      <w:pPr>
        <w:tabs>
          <w:tab w:val="left" w:pos="6740"/>
        </w:tabs>
        <w:ind w:left="6"/>
        <w:jc w:val="both"/>
        <w:rPr>
          <w:rFonts w:cs="Arial"/>
        </w:rPr>
      </w:pPr>
    </w:p>
    <w:p w:rsidR="00F93B76" w:rsidRPr="00A32AF4" w:rsidRDefault="00DC2AF7" w:rsidP="00DC0553">
      <w:pPr>
        <w:pStyle w:val="ListParagraph"/>
        <w:numPr>
          <w:ilvl w:val="0"/>
          <w:numId w:val="32"/>
        </w:numPr>
        <w:tabs>
          <w:tab w:val="left" w:pos="709"/>
        </w:tabs>
        <w:spacing w:after="0" w:line="240" w:lineRule="auto"/>
        <w:ind w:left="0" w:firstLine="0"/>
        <w:contextualSpacing w:val="0"/>
        <w:jc w:val="both"/>
        <w:rPr>
          <w:rFonts w:ascii="Arial" w:hAnsi="Arial" w:cs="Arial"/>
        </w:rPr>
      </w:pPr>
      <w:r w:rsidRPr="00A32AF4">
        <w:rPr>
          <w:rFonts w:ascii="Arial" w:hAnsi="Arial" w:cs="Arial"/>
        </w:rPr>
        <w:t>Afin de veiller à l</w:t>
      </w:r>
      <w:r w:rsidR="00E2055A" w:rsidRPr="00A32AF4">
        <w:rPr>
          <w:rFonts w:ascii="Arial" w:hAnsi="Arial" w:cs="Arial"/>
        </w:rPr>
        <w:t>’</w:t>
      </w:r>
      <w:r w:rsidRPr="00A32AF4">
        <w:rPr>
          <w:rFonts w:ascii="Arial" w:hAnsi="Arial" w:cs="Arial"/>
        </w:rPr>
        <w:t>amélioration constante et uniforme des installations techniques situées dans les locaux de l</w:t>
      </w:r>
      <w:r w:rsidR="00E2055A" w:rsidRPr="00A32AF4">
        <w:rPr>
          <w:rFonts w:ascii="Arial" w:hAnsi="Arial" w:cs="Arial"/>
        </w:rPr>
        <w:t>’</w:t>
      </w:r>
      <w:r w:rsidRPr="00A32AF4">
        <w:rPr>
          <w:rFonts w:ascii="Arial" w:hAnsi="Arial" w:cs="Arial"/>
        </w:rPr>
        <w:t>OMPI, la mise en œuvre du plan général de rénovation et d</w:t>
      </w:r>
      <w:r w:rsidR="00E2055A" w:rsidRPr="00A32AF4">
        <w:rPr>
          <w:rFonts w:ascii="Arial" w:hAnsi="Arial" w:cs="Arial"/>
        </w:rPr>
        <w:t>’</w:t>
      </w:r>
      <w:r w:rsidRPr="00A32AF4">
        <w:rPr>
          <w:rFonts w:ascii="Arial" w:hAnsi="Arial" w:cs="Arial"/>
        </w:rPr>
        <w:t>amélioration des installations techniques sur l</w:t>
      </w:r>
      <w:r w:rsidR="00E2055A" w:rsidRPr="00A32AF4">
        <w:rPr>
          <w:rFonts w:ascii="Arial" w:hAnsi="Arial" w:cs="Arial"/>
        </w:rPr>
        <w:t>’</w:t>
      </w:r>
      <w:r w:rsidRPr="00A32AF4">
        <w:rPr>
          <w:rFonts w:ascii="Arial" w:hAnsi="Arial" w:cs="Arial"/>
        </w:rPr>
        <w:t>ensemble du campus de l</w:t>
      </w:r>
      <w:r w:rsidR="00E2055A" w:rsidRPr="00A32AF4">
        <w:rPr>
          <w:rFonts w:ascii="Arial" w:hAnsi="Arial" w:cs="Arial"/>
        </w:rPr>
        <w:t>’</w:t>
      </w:r>
      <w:r w:rsidRPr="00A32AF4">
        <w:rPr>
          <w:rFonts w:ascii="Arial" w:hAnsi="Arial" w:cs="Arial"/>
        </w:rPr>
        <w:t>OMPI, lancé au cours de l</w:t>
      </w:r>
      <w:r w:rsidR="00E2055A" w:rsidRPr="00A32AF4">
        <w:rPr>
          <w:rFonts w:ascii="Arial" w:hAnsi="Arial" w:cs="Arial"/>
        </w:rPr>
        <w:t>’</w:t>
      </w:r>
      <w:r w:rsidRPr="00A32AF4">
        <w:rPr>
          <w:rFonts w:ascii="Arial" w:hAnsi="Arial" w:cs="Arial"/>
        </w:rPr>
        <w:t>exercice biennal précédent, va se poursuivre.  Ce processus traitera en priorité les installations essentielles.  Certaines parmi les options de rénovation ou d</w:t>
      </w:r>
      <w:r w:rsidR="00E2055A" w:rsidRPr="00A32AF4">
        <w:rPr>
          <w:rFonts w:ascii="Arial" w:hAnsi="Arial" w:cs="Arial"/>
        </w:rPr>
        <w:t>’</w:t>
      </w:r>
      <w:r w:rsidRPr="00A32AF4">
        <w:rPr>
          <w:rFonts w:ascii="Arial" w:hAnsi="Arial" w:cs="Arial"/>
        </w:rPr>
        <w:t>amélioration des installations techniques seront choisies notamment en fonction de leur capacité à réduire l</w:t>
      </w:r>
      <w:r w:rsidR="00E2055A" w:rsidRPr="00A32AF4">
        <w:rPr>
          <w:rFonts w:ascii="Arial" w:hAnsi="Arial" w:cs="Arial"/>
        </w:rPr>
        <w:t>’</w:t>
      </w:r>
      <w:r w:rsidRPr="00A32AF4">
        <w:rPr>
          <w:rFonts w:ascii="Arial" w:hAnsi="Arial" w:cs="Arial"/>
        </w:rPr>
        <w:t>impact environnemental et à améliorer l</w:t>
      </w:r>
      <w:r w:rsidR="00E2055A" w:rsidRPr="00A32AF4">
        <w:rPr>
          <w:rFonts w:ascii="Arial" w:hAnsi="Arial" w:cs="Arial"/>
        </w:rPr>
        <w:t>’</w:t>
      </w:r>
      <w:r w:rsidRPr="00A32AF4">
        <w:rPr>
          <w:rFonts w:ascii="Arial" w:hAnsi="Arial" w:cs="Arial"/>
        </w:rPr>
        <w:t>accessibilité physique des locaux par les personnes handicapées.  D</w:t>
      </w:r>
      <w:r w:rsidR="00E2055A" w:rsidRPr="00A32AF4">
        <w:rPr>
          <w:rFonts w:ascii="Arial" w:hAnsi="Arial" w:cs="Arial"/>
        </w:rPr>
        <w:t>’</w:t>
      </w:r>
      <w:r w:rsidRPr="00A32AF4">
        <w:rPr>
          <w:rFonts w:ascii="Arial" w:hAnsi="Arial" w:cs="Arial"/>
        </w:rPr>
        <w:t>importants travaux de rénovation, de transformation ou de modernisation des locaux seront menés et gérés conformément aux priorités figurant à la fois dans le plan</w:t>
      </w:r>
      <w:r w:rsidR="00EB7F54" w:rsidRPr="00A32AF4">
        <w:rPr>
          <w:rFonts w:ascii="Arial" w:hAnsi="Arial" w:cs="Arial"/>
        </w:rPr>
        <w:noBreakHyphen/>
      </w:r>
      <w:r w:rsidRPr="00A32AF4">
        <w:rPr>
          <w:rFonts w:ascii="Arial" w:hAnsi="Arial" w:cs="Arial"/>
        </w:rPr>
        <w:t>cadre d</w:t>
      </w:r>
      <w:r w:rsidR="00E2055A" w:rsidRPr="00A32AF4">
        <w:rPr>
          <w:rFonts w:ascii="Arial" w:hAnsi="Arial" w:cs="Arial"/>
        </w:rPr>
        <w:t>’</w:t>
      </w:r>
      <w:r w:rsidRPr="00A32AF4">
        <w:rPr>
          <w:rFonts w:ascii="Arial" w:hAnsi="Arial" w:cs="Arial"/>
        </w:rPr>
        <w:t>équipement et dans le cadre de diverses opérations d</w:t>
      </w:r>
      <w:r w:rsidR="00E2055A" w:rsidRPr="00A32AF4">
        <w:rPr>
          <w:rFonts w:ascii="Arial" w:hAnsi="Arial" w:cs="Arial"/>
        </w:rPr>
        <w:t>’</w:t>
      </w:r>
      <w:r w:rsidRPr="00A32AF4">
        <w:rPr>
          <w:rFonts w:ascii="Arial" w:hAnsi="Arial" w:cs="Arial"/>
        </w:rPr>
        <w:t>entretien préventif de moindre envergure.  S</w:t>
      </w:r>
      <w:r w:rsidR="00E2055A" w:rsidRPr="00A32AF4">
        <w:rPr>
          <w:rFonts w:ascii="Arial" w:hAnsi="Arial" w:cs="Arial"/>
        </w:rPr>
        <w:t>’</w:t>
      </w:r>
      <w:r w:rsidRPr="00A32AF4">
        <w:rPr>
          <w:rFonts w:ascii="Arial" w:hAnsi="Arial" w:cs="Arial"/>
        </w:rPr>
        <w:t>agissant de la gestion des locaux, la répartition optimale des espaces de travail en vue d</w:t>
      </w:r>
      <w:r w:rsidR="00E2055A" w:rsidRPr="00A32AF4">
        <w:rPr>
          <w:rFonts w:ascii="Arial" w:hAnsi="Arial" w:cs="Arial"/>
        </w:rPr>
        <w:t>’</w:t>
      </w:r>
      <w:r w:rsidRPr="00A32AF4">
        <w:rPr>
          <w:rFonts w:ascii="Arial" w:hAnsi="Arial" w:cs="Arial"/>
        </w:rPr>
        <w:t>accueillir tout le personnel de l</w:t>
      </w:r>
      <w:r w:rsidR="00E2055A" w:rsidRPr="00A32AF4">
        <w:rPr>
          <w:rFonts w:ascii="Arial" w:hAnsi="Arial" w:cs="Arial"/>
        </w:rPr>
        <w:t>’</w:t>
      </w:r>
      <w:r w:rsidRPr="00A32AF4">
        <w:rPr>
          <w:rFonts w:ascii="Arial" w:hAnsi="Arial" w:cs="Arial"/>
        </w:rPr>
        <w:t>OMPI et l</w:t>
      </w:r>
      <w:r w:rsidR="00E2055A" w:rsidRPr="00A32AF4">
        <w:rPr>
          <w:rFonts w:ascii="Arial" w:hAnsi="Arial" w:cs="Arial"/>
        </w:rPr>
        <w:t>’</w:t>
      </w:r>
      <w:r w:rsidRPr="00A32AF4">
        <w:rPr>
          <w:rFonts w:ascii="Arial" w:hAnsi="Arial" w:cs="Arial"/>
        </w:rPr>
        <w:t>examen de l</w:t>
      </w:r>
      <w:r w:rsidR="00E2055A" w:rsidRPr="00A32AF4">
        <w:rPr>
          <w:rFonts w:ascii="Arial" w:hAnsi="Arial" w:cs="Arial"/>
        </w:rPr>
        <w:t>’</w:t>
      </w:r>
      <w:r w:rsidRPr="00A32AF4">
        <w:rPr>
          <w:rFonts w:ascii="Arial" w:hAnsi="Arial" w:cs="Arial"/>
        </w:rPr>
        <w:t>utilisation optimale, de la conversion ou de la mise à niveau de certains espaces autres que les espaces de travail seront améliorés en s</w:t>
      </w:r>
      <w:r w:rsidR="00E2055A" w:rsidRPr="00A32AF4">
        <w:rPr>
          <w:rFonts w:ascii="Arial" w:hAnsi="Arial" w:cs="Arial"/>
        </w:rPr>
        <w:t>’</w:t>
      </w:r>
      <w:r w:rsidRPr="00A32AF4">
        <w:rPr>
          <w:rFonts w:ascii="Arial" w:hAnsi="Arial" w:cs="Arial"/>
        </w:rPr>
        <w:t xml:space="preserve">appuyant sur </w:t>
      </w:r>
      <w:r w:rsidR="00C116C4" w:rsidRPr="00A32AF4">
        <w:rPr>
          <w:rFonts w:ascii="Arial" w:hAnsi="Arial" w:cs="Arial"/>
        </w:rPr>
        <w:t>la politique officielle</w:t>
      </w:r>
      <w:r w:rsidRPr="00A32AF4">
        <w:rPr>
          <w:rFonts w:ascii="Arial" w:hAnsi="Arial" w:cs="Arial"/>
        </w:rPr>
        <w:t xml:space="preserve"> </w:t>
      </w:r>
      <w:r w:rsidR="008676F8" w:rsidRPr="00A32AF4">
        <w:rPr>
          <w:rFonts w:ascii="Arial" w:hAnsi="Arial" w:cs="Arial"/>
        </w:rPr>
        <w:t>de gestion de l</w:t>
      </w:r>
      <w:r w:rsidR="00E2055A" w:rsidRPr="00A32AF4">
        <w:rPr>
          <w:rFonts w:ascii="Arial" w:hAnsi="Arial" w:cs="Arial"/>
        </w:rPr>
        <w:t>’</w:t>
      </w:r>
      <w:r w:rsidR="008676F8" w:rsidRPr="00A32AF4">
        <w:rPr>
          <w:rFonts w:ascii="Arial" w:hAnsi="Arial" w:cs="Arial"/>
        </w:rPr>
        <w:t>espace</w:t>
      </w:r>
      <w:r w:rsidRPr="00A32AF4">
        <w:rPr>
          <w:rFonts w:ascii="Arial" w:hAnsi="Arial" w:cs="Arial"/>
        </w:rPr>
        <w:t xml:space="preserve"> élaboré</w:t>
      </w:r>
      <w:r w:rsidR="008676F8" w:rsidRPr="00A32AF4">
        <w:rPr>
          <w:rFonts w:ascii="Arial" w:hAnsi="Arial" w:cs="Arial"/>
        </w:rPr>
        <w:t>e</w:t>
      </w:r>
      <w:r w:rsidRPr="00A32AF4">
        <w:rPr>
          <w:rFonts w:ascii="Arial" w:hAnsi="Arial" w:cs="Arial"/>
        </w:rPr>
        <w:t xml:space="preserve"> lors de l</w:t>
      </w:r>
      <w:r w:rsidR="00E2055A" w:rsidRPr="00A32AF4">
        <w:rPr>
          <w:rFonts w:ascii="Arial" w:hAnsi="Arial" w:cs="Arial"/>
        </w:rPr>
        <w:t>’</w:t>
      </w:r>
      <w:r w:rsidRPr="00A32AF4">
        <w:rPr>
          <w:rFonts w:ascii="Arial" w:hAnsi="Arial" w:cs="Arial"/>
        </w:rPr>
        <w:t>exercice biennal précédent.</w:t>
      </w:r>
    </w:p>
    <w:p w:rsidR="00F93B76" w:rsidRPr="00A32AF4" w:rsidRDefault="00F93B76" w:rsidP="00DC0553">
      <w:pPr>
        <w:jc w:val="both"/>
        <w:rPr>
          <w:rFonts w:cs="Arial"/>
        </w:rPr>
      </w:pPr>
    </w:p>
    <w:p w:rsidR="00F93B76" w:rsidRPr="00A32AF4" w:rsidRDefault="00DC2AF7" w:rsidP="00DC0553">
      <w:pPr>
        <w:pStyle w:val="ListParagraph"/>
        <w:numPr>
          <w:ilvl w:val="0"/>
          <w:numId w:val="32"/>
        </w:numPr>
        <w:tabs>
          <w:tab w:val="left" w:pos="709"/>
        </w:tabs>
        <w:spacing w:after="0" w:line="240" w:lineRule="auto"/>
        <w:ind w:left="0" w:firstLine="0"/>
        <w:contextualSpacing w:val="0"/>
        <w:jc w:val="both"/>
        <w:rPr>
          <w:rFonts w:ascii="Arial" w:hAnsi="Arial" w:cs="Arial"/>
        </w:rPr>
      </w:pPr>
      <w:r w:rsidRPr="00A32AF4">
        <w:rPr>
          <w:rFonts w:ascii="Arial" w:hAnsi="Arial" w:cs="Arial"/>
        </w:rPr>
        <w:t>Pour garantir la conformité avec l</w:t>
      </w:r>
      <w:r w:rsidR="00E2055A" w:rsidRPr="00A32AF4">
        <w:rPr>
          <w:rFonts w:ascii="Arial" w:hAnsi="Arial" w:cs="Arial"/>
        </w:rPr>
        <w:t>’</w:t>
      </w:r>
      <w:r w:rsidRPr="00A32AF4">
        <w:rPr>
          <w:rFonts w:ascii="Arial" w:hAnsi="Arial" w:cs="Arial"/>
        </w:rPr>
        <w:t>objectif général à l</w:t>
      </w:r>
      <w:r w:rsidR="00E2055A" w:rsidRPr="00A32AF4">
        <w:rPr>
          <w:rFonts w:ascii="Arial" w:hAnsi="Arial" w:cs="Arial"/>
        </w:rPr>
        <w:t>’</w:t>
      </w:r>
      <w:r w:rsidRPr="00A32AF4">
        <w:rPr>
          <w:rFonts w:ascii="Arial" w:hAnsi="Arial" w:cs="Arial"/>
        </w:rPr>
        <w:t xml:space="preserve">échelle du système des </w:t>
      </w:r>
      <w:r w:rsidR="00E2055A" w:rsidRPr="00A32AF4">
        <w:rPr>
          <w:rFonts w:ascii="Arial" w:hAnsi="Arial" w:cs="Arial"/>
        </w:rPr>
        <w:t>Nations Unies</w:t>
      </w:r>
      <w:r w:rsidRPr="00A32AF4">
        <w:rPr>
          <w:rFonts w:ascii="Arial" w:hAnsi="Arial" w:cs="Arial"/>
        </w:rPr>
        <w:t xml:space="preserve"> qui consiste à parvenir à la neutralité climatique d</w:t>
      </w:r>
      <w:r w:rsidR="00E2055A" w:rsidRPr="00A32AF4">
        <w:rPr>
          <w:rFonts w:ascii="Arial" w:hAnsi="Arial" w:cs="Arial"/>
        </w:rPr>
        <w:t>’</w:t>
      </w:r>
      <w:r w:rsidRPr="00A32AF4">
        <w:rPr>
          <w:rFonts w:ascii="Arial" w:hAnsi="Arial" w:cs="Arial"/>
        </w:rPr>
        <w:t>ici 2020, les efforts se poursuivront afin de mettre en œuvre certaines mesures</w:t>
      </w:r>
      <w:r w:rsidR="008676F8" w:rsidRPr="00A32AF4">
        <w:rPr>
          <w:rFonts w:ascii="Arial" w:hAnsi="Arial" w:cs="Arial"/>
        </w:rPr>
        <w:t>, ne se limitant pas aux locaux</w:t>
      </w:r>
      <w:r w:rsidRPr="00A32AF4">
        <w:rPr>
          <w:rFonts w:ascii="Arial" w:hAnsi="Arial" w:cs="Arial"/>
        </w:rPr>
        <w:t>, notamment un programme de compensation des émissions de carbone et d</w:t>
      </w:r>
      <w:r w:rsidR="00E2055A" w:rsidRPr="00A32AF4">
        <w:rPr>
          <w:rFonts w:ascii="Arial" w:hAnsi="Arial" w:cs="Arial"/>
        </w:rPr>
        <w:t>’</w:t>
      </w:r>
      <w:r w:rsidRPr="00A32AF4">
        <w:rPr>
          <w:rFonts w:ascii="Arial" w:hAnsi="Arial" w:cs="Arial"/>
        </w:rPr>
        <w:t>autres émissions dues aux activités de l</w:t>
      </w:r>
      <w:r w:rsidR="00E2055A" w:rsidRPr="00A32AF4">
        <w:rPr>
          <w:rFonts w:ascii="Arial" w:hAnsi="Arial" w:cs="Arial"/>
        </w:rPr>
        <w:t>’</w:t>
      </w:r>
      <w:r w:rsidRPr="00A32AF4">
        <w:rPr>
          <w:rFonts w:ascii="Arial" w:hAnsi="Arial" w:cs="Arial"/>
        </w:rPr>
        <w:t>OMPI en général.</w:t>
      </w:r>
    </w:p>
    <w:p w:rsidR="00F93B76" w:rsidRPr="00A32AF4" w:rsidRDefault="00F93B76" w:rsidP="00DC0553"/>
    <w:p w:rsidR="00F93B76" w:rsidRPr="00A32AF4" w:rsidRDefault="00F93B76" w:rsidP="00DC0553"/>
    <w:p w:rsidR="00F93B76" w:rsidRPr="00A32AF4" w:rsidRDefault="00DC2AF7" w:rsidP="00DC0553">
      <w:pPr>
        <w:rPr>
          <w:rFonts w:eastAsia="SimSun"/>
          <w:bCs/>
          <w:iCs/>
          <w:caps/>
          <w:szCs w:val="28"/>
        </w:rPr>
      </w:pPr>
      <w:r w:rsidRPr="00A32AF4">
        <w:rPr>
          <w:rFonts w:eastAsia="SimSun"/>
          <w:bCs/>
          <w:iCs/>
          <w:caps/>
          <w:szCs w:val="28"/>
        </w:rPr>
        <w:t>principaux risques et stratégies d</w:t>
      </w:r>
      <w:r w:rsidR="00E2055A" w:rsidRPr="00A32AF4">
        <w:rPr>
          <w:rFonts w:eastAsia="SimSun"/>
          <w:bCs/>
          <w:iCs/>
          <w:caps/>
          <w:szCs w:val="28"/>
        </w:rPr>
        <w:t>’</w:t>
      </w:r>
      <w:r w:rsidRPr="00A32AF4">
        <w:rPr>
          <w:rFonts w:eastAsia="SimSun"/>
          <w:bCs/>
          <w:iCs/>
          <w:caps/>
          <w:szCs w:val="28"/>
        </w:rPr>
        <w:t>atténuation</w:t>
      </w:r>
    </w:p>
    <w:p w:rsidR="00DC2AF7" w:rsidRPr="00A32AF4" w:rsidRDefault="00DC2AF7" w:rsidP="00DC0553"/>
    <w:tbl>
      <w:tblPr>
        <w:tblW w:w="9214"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11"/>
        <w:gridCol w:w="5103"/>
      </w:tblGrid>
      <w:tr w:rsidR="00DC2AF7" w:rsidRPr="00A32AF4" w:rsidTr="00C47729">
        <w:trPr>
          <w:trHeight w:val="577"/>
        </w:trPr>
        <w:tc>
          <w:tcPr>
            <w:tcW w:w="4111" w:type="dxa"/>
            <w:tcBorders>
              <w:top w:val="single" w:sz="4" w:space="0" w:color="auto"/>
              <w:bottom w:val="single" w:sz="4" w:space="0" w:color="auto"/>
            </w:tcBorders>
            <w:shd w:val="clear" w:color="auto" w:fill="C6D9F1" w:themeFill="text2" w:themeFillTint="33"/>
            <w:vAlign w:val="center"/>
          </w:tcPr>
          <w:p w:rsidR="00DC2AF7" w:rsidRPr="00A32AF4" w:rsidRDefault="00DC2AF7" w:rsidP="00DC0553">
            <w:pPr>
              <w:jc w:val="center"/>
              <w:rPr>
                <w:rFonts w:cs="Arial"/>
                <w:b/>
                <w:bCs/>
                <w:sz w:val="18"/>
                <w:szCs w:val="18"/>
              </w:rPr>
            </w:pPr>
            <w:r w:rsidRPr="00A32AF4">
              <w:rPr>
                <w:rFonts w:cs="Arial"/>
                <w:b/>
                <w:bCs/>
                <w:sz w:val="18"/>
                <w:szCs w:val="18"/>
              </w:rPr>
              <w:t>Risques</w:t>
            </w:r>
          </w:p>
        </w:tc>
        <w:tc>
          <w:tcPr>
            <w:tcW w:w="5103" w:type="dxa"/>
            <w:tcBorders>
              <w:top w:val="single" w:sz="4" w:space="0" w:color="auto"/>
              <w:bottom w:val="single" w:sz="4" w:space="0" w:color="auto"/>
            </w:tcBorders>
            <w:shd w:val="clear" w:color="auto" w:fill="C6D9F1" w:themeFill="text2" w:themeFillTint="33"/>
            <w:vAlign w:val="center"/>
          </w:tcPr>
          <w:p w:rsidR="00DC2AF7" w:rsidRPr="00A32AF4" w:rsidRDefault="00DC2AF7" w:rsidP="00DC0553">
            <w:pPr>
              <w:jc w:val="center"/>
              <w:rPr>
                <w:rFonts w:cs="Arial"/>
                <w:b/>
                <w:bCs/>
                <w:sz w:val="18"/>
                <w:szCs w:val="18"/>
              </w:rPr>
            </w:pPr>
            <w:r w:rsidRPr="00A32AF4">
              <w:rPr>
                <w:rFonts w:cs="Arial"/>
                <w:b/>
                <w:bCs/>
                <w:sz w:val="18"/>
                <w:szCs w:val="18"/>
              </w:rPr>
              <w:t>Stratégies d</w:t>
            </w:r>
            <w:r w:rsidR="00E2055A" w:rsidRPr="00A32AF4">
              <w:rPr>
                <w:rFonts w:cs="Arial"/>
                <w:b/>
                <w:bCs/>
                <w:sz w:val="18"/>
                <w:szCs w:val="18"/>
              </w:rPr>
              <w:t>’</w:t>
            </w:r>
            <w:r w:rsidRPr="00A32AF4">
              <w:rPr>
                <w:rFonts w:cs="Arial"/>
                <w:b/>
                <w:bCs/>
                <w:sz w:val="18"/>
                <w:szCs w:val="18"/>
              </w:rPr>
              <w:t>atténuation</w:t>
            </w:r>
          </w:p>
        </w:tc>
      </w:tr>
      <w:tr w:rsidR="00DC2AF7" w:rsidRPr="00A32AF4" w:rsidTr="00C47729">
        <w:trPr>
          <w:trHeight w:val="498"/>
        </w:trPr>
        <w:tc>
          <w:tcPr>
            <w:tcW w:w="4111" w:type="dxa"/>
            <w:tcBorders>
              <w:top w:val="single" w:sz="4" w:space="0" w:color="auto"/>
            </w:tcBorders>
            <w:shd w:val="clear" w:color="auto" w:fill="auto"/>
            <w:tcMar>
              <w:top w:w="113" w:type="dxa"/>
              <w:bottom w:w="113" w:type="dxa"/>
            </w:tcMar>
          </w:tcPr>
          <w:p w:rsidR="00DC2AF7" w:rsidRPr="00A32AF4" w:rsidRDefault="00DC2AF7" w:rsidP="00DC0553">
            <w:pPr>
              <w:rPr>
                <w:rFonts w:cs="Arial"/>
                <w:sz w:val="16"/>
                <w:szCs w:val="16"/>
              </w:rPr>
            </w:pPr>
            <w:r w:rsidRPr="00A32AF4">
              <w:rPr>
                <w:rFonts w:cs="Arial"/>
                <w:sz w:val="16"/>
                <w:szCs w:val="16"/>
              </w:rPr>
              <w:t>La défaillance de certains fournisseurs essentiels perturbe la prestation de services en direction de nos clients externes.</w:t>
            </w:r>
          </w:p>
        </w:tc>
        <w:tc>
          <w:tcPr>
            <w:tcW w:w="5103" w:type="dxa"/>
            <w:tcBorders>
              <w:top w:val="single" w:sz="4" w:space="0" w:color="auto"/>
            </w:tcBorders>
            <w:shd w:val="clear" w:color="auto" w:fill="auto"/>
            <w:tcMar>
              <w:top w:w="113" w:type="dxa"/>
              <w:bottom w:w="113" w:type="dxa"/>
            </w:tcMar>
          </w:tcPr>
          <w:p w:rsidR="00DC2AF7" w:rsidRPr="00A32AF4" w:rsidRDefault="00DC2AF7" w:rsidP="00DC0553">
            <w:pPr>
              <w:rPr>
                <w:rFonts w:cs="Arial"/>
                <w:sz w:val="16"/>
                <w:szCs w:val="16"/>
              </w:rPr>
            </w:pPr>
            <w:r w:rsidRPr="00A32AF4">
              <w:rPr>
                <w:rFonts w:cs="Arial"/>
                <w:sz w:val="16"/>
                <w:szCs w:val="16"/>
              </w:rPr>
              <w:t>Concevoir un plan d</w:t>
            </w:r>
            <w:r w:rsidR="00E2055A" w:rsidRPr="00A32AF4">
              <w:rPr>
                <w:rFonts w:cs="Arial"/>
                <w:sz w:val="16"/>
                <w:szCs w:val="16"/>
              </w:rPr>
              <w:t>’</w:t>
            </w:r>
            <w:r w:rsidRPr="00A32AF4">
              <w:rPr>
                <w:rFonts w:cs="Arial"/>
                <w:sz w:val="16"/>
                <w:szCs w:val="16"/>
              </w:rPr>
              <w:t>urgence garantissant un fonctionnement continu pour les contrats considérés comme à haut risque et vitaux.</w:t>
            </w:r>
          </w:p>
        </w:tc>
      </w:tr>
      <w:tr w:rsidR="00DC2AF7" w:rsidRPr="00A32AF4" w:rsidTr="00C47729">
        <w:trPr>
          <w:trHeight w:val="706"/>
        </w:trPr>
        <w:tc>
          <w:tcPr>
            <w:tcW w:w="4111" w:type="dxa"/>
            <w:shd w:val="clear" w:color="auto" w:fill="auto"/>
            <w:tcMar>
              <w:top w:w="113" w:type="dxa"/>
              <w:bottom w:w="113" w:type="dxa"/>
            </w:tcMar>
          </w:tcPr>
          <w:p w:rsidR="00DC2AF7" w:rsidRPr="00A32AF4" w:rsidRDefault="00DC2AF7" w:rsidP="00DC0553">
            <w:pPr>
              <w:rPr>
                <w:rFonts w:cs="Arial"/>
                <w:sz w:val="16"/>
                <w:szCs w:val="16"/>
              </w:rPr>
            </w:pPr>
            <w:r w:rsidRPr="00A32AF4">
              <w:rPr>
                <w:rFonts w:cs="Arial"/>
                <w:sz w:val="16"/>
                <w:szCs w:val="16"/>
              </w:rPr>
              <w:t>La perte d</w:t>
            </w:r>
            <w:r w:rsidR="00E2055A" w:rsidRPr="00A32AF4">
              <w:rPr>
                <w:rFonts w:cs="Arial"/>
                <w:sz w:val="16"/>
                <w:szCs w:val="16"/>
              </w:rPr>
              <w:t>’</w:t>
            </w:r>
            <w:r w:rsidRPr="00A32AF4">
              <w:rPr>
                <w:rFonts w:cs="Arial"/>
                <w:sz w:val="16"/>
                <w:szCs w:val="16"/>
              </w:rPr>
              <w:t>un accès sécurisé, ou l</w:t>
            </w:r>
            <w:r w:rsidR="00E2055A" w:rsidRPr="00A32AF4">
              <w:rPr>
                <w:rFonts w:cs="Arial"/>
                <w:sz w:val="16"/>
                <w:szCs w:val="16"/>
              </w:rPr>
              <w:t>’</w:t>
            </w:r>
            <w:r w:rsidRPr="00A32AF4">
              <w:rPr>
                <w:rFonts w:cs="Arial"/>
                <w:sz w:val="16"/>
                <w:szCs w:val="16"/>
              </w:rPr>
              <w:t>impossibilité d</w:t>
            </w:r>
            <w:r w:rsidR="00E2055A" w:rsidRPr="00A32AF4">
              <w:rPr>
                <w:rFonts w:cs="Arial"/>
                <w:sz w:val="16"/>
                <w:szCs w:val="16"/>
              </w:rPr>
              <w:t>’</w:t>
            </w:r>
            <w:r w:rsidRPr="00A32AF4">
              <w:rPr>
                <w:rFonts w:cs="Arial"/>
                <w:sz w:val="16"/>
                <w:szCs w:val="16"/>
              </w:rPr>
              <w:t>occuper un ou plusieurs bâtiments pendant une période donnée.</w:t>
            </w:r>
          </w:p>
        </w:tc>
        <w:tc>
          <w:tcPr>
            <w:tcW w:w="5103" w:type="dxa"/>
            <w:shd w:val="clear" w:color="auto" w:fill="auto"/>
            <w:tcMar>
              <w:top w:w="113" w:type="dxa"/>
              <w:bottom w:w="113" w:type="dxa"/>
            </w:tcMar>
          </w:tcPr>
          <w:p w:rsidR="00DC2AF7" w:rsidRPr="00A32AF4" w:rsidRDefault="00DC2AF7" w:rsidP="00DC0553">
            <w:pPr>
              <w:rPr>
                <w:rFonts w:cs="Arial"/>
                <w:sz w:val="16"/>
                <w:szCs w:val="16"/>
              </w:rPr>
            </w:pPr>
            <w:r w:rsidRPr="00A32AF4">
              <w:rPr>
                <w:rFonts w:cs="Arial"/>
                <w:sz w:val="16"/>
                <w:szCs w:val="16"/>
              </w:rPr>
              <w:t>Poursuivre les travaux de rénovation et d</w:t>
            </w:r>
            <w:r w:rsidR="00E2055A" w:rsidRPr="00A32AF4">
              <w:rPr>
                <w:rFonts w:cs="Arial"/>
                <w:sz w:val="16"/>
                <w:szCs w:val="16"/>
              </w:rPr>
              <w:t>’</w:t>
            </w:r>
            <w:r w:rsidRPr="00A32AF4">
              <w:rPr>
                <w:rFonts w:cs="Arial"/>
                <w:sz w:val="16"/>
                <w:szCs w:val="16"/>
              </w:rPr>
              <w:t>entretien préventif majeur de toutes les installations techniques et locaux essentiels.  Examiner régulièrement les programmes de résilience institutionnelle et les mettre en œuvre s</w:t>
            </w:r>
            <w:r w:rsidR="00E2055A" w:rsidRPr="00A32AF4">
              <w:rPr>
                <w:rFonts w:cs="Arial"/>
                <w:sz w:val="16"/>
                <w:szCs w:val="16"/>
              </w:rPr>
              <w:t>’</w:t>
            </w:r>
            <w:r w:rsidRPr="00A32AF4">
              <w:rPr>
                <w:rFonts w:cs="Arial"/>
                <w:sz w:val="16"/>
                <w:szCs w:val="16"/>
              </w:rPr>
              <w:t>il y a lieu.</w:t>
            </w:r>
          </w:p>
        </w:tc>
      </w:tr>
      <w:tr w:rsidR="00DC2AF7" w:rsidRPr="00A32AF4" w:rsidTr="00C47729">
        <w:trPr>
          <w:trHeight w:val="564"/>
        </w:trPr>
        <w:tc>
          <w:tcPr>
            <w:tcW w:w="4111" w:type="dxa"/>
            <w:shd w:val="clear" w:color="auto" w:fill="auto"/>
            <w:tcMar>
              <w:top w:w="113" w:type="dxa"/>
              <w:bottom w:w="113" w:type="dxa"/>
            </w:tcMar>
          </w:tcPr>
          <w:p w:rsidR="00DC2AF7" w:rsidRPr="00A32AF4" w:rsidRDefault="00DC2AF7" w:rsidP="00DC0553">
            <w:pPr>
              <w:rPr>
                <w:rFonts w:cs="Arial"/>
                <w:sz w:val="16"/>
                <w:szCs w:val="16"/>
              </w:rPr>
            </w:pPr>
            <w:r w:rsidRPr="00A32AF4">
              <w:rPr>
                <w:rFonts w:cs="Arial"/>
                <w:sz w:val="16"/>
                <w:szCs w:val="16"/>
              </w:rPr>
              <w:t>L</w:t>
            </w:r>
            <w:r w:rsidR="00E2055A" w:rsidRPr="00A32AF4">
              <w:rPr>
                <w:rFonts w:cs="Arial"/>
                <w:sz w:val="16"/>
                <w:szCs w:val="16"/>
              </w:rPr>
              <w:t>’</w:t>
            </w:r>
            <w:r w:rsidRPr="00A32AF4">
              <w:rPr>
                <w:rFonts w:cs="Arial"/>
                <w:sz w:val="16"/>
                <w:szCs w:val="16"/>
              </w:rPr>
              <w:t>incapacité pour l</w:t>
            </w:r>
            <w:r w:rsidR="00E2055A" w:rsidRPr="00A32AF4">
              <w:rPr>
                <w:rFonts w:cs="Arial"/>
                <w:sz w:val="16"/>
                <w:szCs w:val="16"/>
              </w:rPr>
              <w:t>’</w:t>
            </w:r>
            <w:r w:rsidRPr="00A32AF4">
              <w:rPr>
                <w:rFonts w:cs="Arial"/>
                <w:sz w:val="16"/>
                <w:szCs w:val="16"/>
              </w:rPr>
              <w:t>OMPI, en sa qualité d</w:t>
            </w:r>
            <w:r w:rsidR="00E2055A" w:rsidRPr="00A32AF4">
              <w:rPr>
                <w:rFonts w:cs="Arial"/>
                <w:sz w:val="16"/>
                <w:szCs w:val="16"/>
              </w:rPr>
              <w:t>’</w:t>
            </w:r>
            <w:r w:rsidRPr="00A32AF4">
              <w:rPr>
                <w:rFonts w:cs="Arial"/>
                <w:sz w:val="16"/>
                <w:szCs w:val="16"/>
              </w:rPr>
              <w:t xml:space="preserve">institution du système des </w:t>
            </w:r>
            <w:r w:rsidR="00E2055A" w:rsidRPr="00A32AF4">
              <w:rPr>
                <w:rFonts w:cs="Arial"/>
                <w:sz w:val="16"/>
                <w:szCs w:val="16"/>
              </w:rPr>
              <w:t>Nations Unies</w:t>
            </w:r>
            <w:r w:rsidRPr="00A32AF4">
              <w:rPr>
                <w:rFonts w:cs="Arial"/>
                <w:sz w:val="16"/>
                <w:szCs w:val="16"/>
              </w:rPr>
              <w:t>, de parvenir efficacement à la neutralité climatique d</w:t>
            </w:r>
            <w:r w:rsidR="00E2055A" w:rsidRPr="00A32AF4">
              <w:rPr>
                <w:rFonts w:cs="Arial"/>
                <w:sz w:val="16"/>
                <w:szCs w:val="16"/>
              </w:rPr>
              <w:t>’</w:t>
            </w:r>
            <w:r w:rsidRPr="00A32AF4">
              <w:rPr>
                <w:rFonts w:cs="Arial"/>
                <w:sz w:val="16"/>
                <w:szCs w:val="16"/>
              </w:rPr>
              <w:t>ici 2020, conformément à l</w:t>
            </w:r>
            <w:r w:rsidR="00E2055A" w:rsidRPr="00A32AF4">
              <w:rPr>
                <w:rFonts w:cs="Arial"/>
                <w:sz w:val="16"/>
                <w:szCs w:val="16"/>
              </w:rPr>
              <w:t>’</w:t>
            </w:r>
            <w:r w:rsidRPr="00A32AF4">
              <w:rPr>
                <w:rFonts w:cs="Arial"/>
                <w:sz w:val="16"/>
                <w:szCs w:val="16"/>
              </w:rPr>
              <w:t xml:space="preserve">engagement pris auprès du Secrétariat général des </w:t>
            </w:r>
            <w:r w:rsidR="00E2055A" w:rsidRPr="00A32AF4">
              <w:rPr>
                <w:rFonts w:cs="Arial"/>
                <w:sz w:val="16"/>
                <w:szCs w:val="16"/>
              </w:rPr>
              <w:t>Nations Unies</w:t>
            </w:r>
            <w:r w:rsidRPr="00A32AF4">
              <w:rPr>
                <w:rFonts w:cs="Arial"/>
                <w:sz w:val="16"/>
                <w:szCs w:val="16"/>
              </w:rPr>
              <w:t>.</w:t>
            </w:r>
          </w:p>
        </w:tc>
        <w:tc>
          <w:tcPr>
            <w:tcW w:w="5103" w:type="dxa"/>
            <w:shd w:val="clear" w:color="auto" w:fill="auto"/>
            <w:tcMar>
              <w:top w:w="113" w:type="dxa"/>
              <w:bottom w:w="113" w:type="dxa"/>
            </w:tcMar>
          </w:tcPr>
          <w:p w:rsidR="00DC2AF7" w:rsidRPr="00A32AF4" w:rsidRDefault="00DC2AF7" w:rsidP="00DC0553">
            <w:pPr>
              <w:rPr>
                <w:rFonts w:cs="Arial"/>
                <w:sz w:val="16"/>
                <w:szCs w:val="16"/>
              </w:rPr>
            </w:pPr>
            <w:r w:rsidRPr="00A32AF4">
              <w:rPr>
                <w:rFonts w:cs="Arial"/>
                <w:sz w:val="16"/>
                <w:szCs w:val="16"/>
              </w:rPr>
              <w:t>Effectuer un suivi constant des données environnementales de l</w:t>
            </w:r>
            <w:r w:rsidR="00E2055A" w:rsidRPr="00A32AF4">
              <w:rPr>
                <w:rFonts w:cs="Arial"/>
                <w:sz w:val="16"/>
                <w:szCs w:val="16"/>
              </w:rPr>
              <w:t>’</w:t>
            </w:r>
            <w:r w:rsidRPr="00A32AF4">
              <w:rPr>
                <w:rFonts w:cs="Arial"/>
                <w:sz w:val="16"/>
                <w:szCs w:val="16"/>
              </w:rPr>
              <w:t>Organisation en vue de propositions afin de réduire ou de compenser les émissions de carbone et autres.</w:t>
            </w:r>
          </w:p>
        </w:tc>
      </w:tr>
    </w:tbl>
    <w:p w:rsidR="00F93B76" w:rsidRPr="00A32AF4" w:rsidRDefault="00F93B76" w:rsidP="00DC0553">
      <w:pPr>
        <w:rPr>
          <w:rFonts w:cs="Arial"/>
        </w:rPr>
      </w:pPr>
    </w:p>
    <w:p w:rsidR="00F93B76" w:rsidRPr="00A32AF4" w:rsidRDefault="00F93B76" w:rsidP="00DC0553">
      <w:pPr>
        <w:jc w:val="both"/>
        <w:rPr>
          <w:rFonts w:cs="Arial"/>
        </w:rPr>
      </w:pPr>
    </w:p>
    <w:p w:rsidR="00F93B76" w:rsidRPr="00A32AF4" w:rsidRDefault="008A20BF" w:rsidP="00DC0553">
      <w:pPr>
        <w:jc w:val="both"/>
        <w:rPr>
          <w:rFonts w:cs="Arial"/>
        </w:rPr>
      </w:pPr>
      <w:r w:rsidRPr="00A32AF4">
        <w:rPr>
          <w:rFonts w:cs="Arial"/>
        </w:rPr>
        <w:t>TABLEAU DES RÉSULTATS</w:t>
      </w:r>
    </w:p>
    <w:p w:rsidR="00DC2AF7" w:rsidRPr="00A32AF4" w:rsidRDefault="00DC2AF7" w:rsidP="00DC0553">
      <w:pPr>
        <w:jc w:val="both"/>
        <w:rPr>
          <w:rFonts w:cs="Arial"/>
        </w:rPr>
      </w:pPr>
    </w:p>
    <w:tbl>
      <w:tblPr>
        <w:tblW w:w="9229" w:type="dxa"/>
        <w:tblInd w:w="9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320"/>
        <w:gridCol w:w="2320"/>
        <w:gridCol w:w="2440"/>
        <w:gridCol w:w="2149"/>
      </w:tblGrid>
      <w:tr w:rsidR="00DC2AF7" w:rsidRPr="00A32AF4" w:rsidTr="008A20BF">
        <w:trPr>
          <w:cantSplit/>
          <w:tblHeader/>
        </w:trPr>
        <w:tc>
          <w:tcPr>
            <w:tcW w:w="2320" w:type="dxa"/>
            <w:tcBorders>
              <w:top w:val="single" w:sz="4" w:space="0" w:color="auto"/>
              <w:bottom w:val="single" w:sz="4" w:space="0" w:color="auto"/>
            </w:tcBorders>
            <w:shd w:val="clear" w:color="auto" w:fill="C6D9F1" w:themeFill="text2" w:themeFillTint="33"/>
            <w:tcMar>
              <w:top w:w="113" w:type="dxa"/>
              <w:bottom w:w="113" w:type="dxa"/>
            </w:tcMar>
            <w:vAlign w:val="center"/>
            <w:hideMark/>
          </w:tcPr>
          <w:p w:rsidR="00DC2AF7" w:rsidRPr="00A32AF4" w:rsidRDefault="00E325C7" w:rsidP="00DC0553">
            <w:pPr>
              <w:contextualSpacing/>
              <w:jc w:val="center"/>
              <w:rPr>
                <w:rFonts w:cs="Arial"/>
                <w:b/>
                <w:bCs/>
                <w:sz w:val="18"/>
                <w:szCs w:val="18"/>
              </w:rPr>
            </w:pPr>
            <w:r w:rsidRPr="00A32AF4">
              <w:rPr>
                <w:rFonts w:cs="Arial"/>
                <w:b/>
                <w:bCs/>
                <w:sz w:val="18"/>
                <w:szCs w:val="18"/>
              </w:rPr>
              <w:t>Résultats escomptés</w:t>
            </w:r>
          </w:p>
        </w:tc>
        <w:tc>
          <w:tcPr>
            <w:tcW w:w="2320" w:type="dxa"/>
            <w:tcBorders>
              <w:top w:val="single" w:sz="4" w:space="0" w:color="auto"/>
              <w:bottom w:val="single" w:sz="4" w:space="0" w:color="auto"/>
            </w:tcBorders>
            <w:shd w:val="clear" w:color="auto" w:fill="C6D9F1" w:themeFill="text2" w:themeFillTint="33"/>
            <w:tcMar>
              <w:top w:w="113" w:type="dxa"/>
              <w:bottom w:w="113" w:type="dxa"/>
            </w:tcMar>
            <w:vAlign w:val="center"/>
            <w:hideMark/>
          </w:tcPr>
          <w:p w:rsidR="00DC2AF7" w:rsidRPr="00A32AF4" w:rsidRDefault="00DC2AF7" w:rsidP="00DC0553">
            <w:pPr>
              <w:contextualSpacing/>
              <w:jc w:val="center"/>
              <w:rPr>
                <w:rFonts w:cs="Arial"/>
                <w:b/>
                <w:bCs/>
                <w:sz w:val="18"/>
                <w:szCs w:val="18"/>
              </w:rPr>
            </w:pPr>
            <w:r w:rsidRPr="00A32AF4">
              <w:rPr>
                <w:rFonts w:cs="Arial"/>
                <w:b/>
                <w:bCs/>
                <w:sz w:val="18"/>
                <w:szCs w:val="18"/>
              </w:rPr>
              <w:t>Indicateurs d</w:t>
            </w:r>
            <w:r w:rsidR="00E2055A" w:rsidRPr="00A32AF4">
              <w:rPr>
                <w:rFonts w:cs="Arial"/>
                <w:b/>
                <w:bCs/>
                <w:sz w:val="18"/>
                <w:szCs w:val="18"/>
              </w:rPr>
              <w:t>’</w:t>
            </w:r>
            <w:r w:rsidRPr="00A32AF4">
              <w:rPr>
                <w:rFonts w:cs="Arial"/>
                <w:b/>
                <w:bCs/>
                <w:sz w:val="18"/>
                <w:szCs w:val="18"/>
              </w:rPr>
              <w:t>exécution</w:t>
            </w:r>
          </w:p>
        </w:tc>
        <w:tc>
          <w:tcPr>
            <w:tcW w:w="2440" w:type="dxa"/>
            <w:tcBorders>
              <w:top w:val="single" w:sz="4" w:space="0" w:color="auto"/>
              <w:bottom w:val="single" w:sz="4" w:space="0" w:color="auto"/>
            </w:tcBorders>
            <w:shd w:val="clear" w:color="auto" w:fill="C6D9F1" w:themeFill="text2" w:themeFillTint="33"/>
            <w:tcMar>
              <w:top w:w="113" w:type="dxa"/>
              <w:bottom w:w="113" w:type="dxa"/>
            </w:tcMar>
            <w:vAlign w:val="center"/>
            <w:hideMark/>
          </w:tcPr>
          <w:p w:rsidR="00DC2AF7" w:rsidRPr="00A32AF4" w:rsidRDefault="00DC2AF7" w:rsidP="00DC0553">
            <w:pPr>
              <w:contextualSpacing/>
              <w:jc w:val="center"/>
              <w:rPr>
                <w:rFonts w:cs="Arial"/>
                <w:b/>
                <w:bCs/>
                <w:sz w:val="18"/>
                <w:szCs w:val="18"/>
              </w:rPr>
            </w:pPr>
            <w:r w:rsidRPr="00A32AF4">
              <w:rPr>
                <w:rFonts w:cs="Arial"/>
                <w:b/>
                <w:bCs/>
                <w:sz w:val="18"/>
                <w:szCs w:val="18"/>
              </w:rPr>
              <w:t>Niveaux de référence</w:t>
            </w:r>
          </w:p>
        </w:tc>
        <w:tc>
          <w:tcPr>
            <w:tcW w:w="2149" w:type="dxa"/>
            <w:tcBorders>
              <w:top w:val="single" w:sz="4" w:space="0" w:color="auto"/>
              <w:bottom w:val="single" w:sz="4" w:space="0" w:color="auto"/>
            </w:tcBorders>
            <w:shd w:val="clear" w:color="auto" w:fill="C6D9F1" w:themeFill="text2" w:themeFillTint="33"/>
            <w:tcMar>
              <w:top w:w="113" w:type="dxa"/>
              <w:bottom w:w="113" w:type="dxa"/>
            </w:tcMar>
            <w:vAlign w:val="center"/>
            <w:hideMark/>
          </w:tcPr>
          <w:p w:rsidR="00DC2AF7" w:rsidRPr="00A32AF4" w:rsidRDefault="00DC2AF7" w:rsidP="00DC0553">
            <w:pPr>
              <w:contextualSpacing/>
              <w:jc w:val="center"/>
              <w:rPr>
                <w:rFonts w:cs="Arial"/>
                <w:b/>
                <w:bCs/>
                <w:sz w:val="18"/>
                <w:szCs w:val="18"/>
              </w:rPr>
            </w:pPr>
            <w:r w:rsidRPr="00A32AF4">
              <w:rPr>
                <w:rFonts w:cs="Arial"/>
                <w:b/>
                <w:bCs/>
                <w:sz w:val="18"/>
                <w:szCs w:val="18"/>
              </w:rPr>
              <w:t>Objectifs visés</w:t>
            </w:r>
          </w:p>
        </w:tc>
      </w:tr>
      <w:tr w:rsidR="00DC2AF7" w:rsidRPr="00A32AF4" w:rsidTr="008A20BF">
        <w:trPr>
          <w:cantSplit/>
        </w:trPr>
        <w:tc>
          <w:tcPr>
            <w:tcW w:w="2320" w:type="dxa"/>
            <w:tcBorders>
              <w:top w:val="single" w:sz="4" w:space="0" w:color="auto"/>
            </w:tcBorders>
            <w:shd w:val="clear" w:color="000000" w:fill="FFFFFF"/>
            <w:tcMar>
              <w:top w:w="113" w:type="dxa"/>
              <w:bottom w:w="113" w:type="dxa"/>
            </w:tcMar>
            <w:hideMark/>
          </w:tcPr>
          <w:p w:rsidR="00DC2AF7" w:rsidRPr="00A32AF4" w:rsidRDefault="00DC2AF7" w:rsidP="00DC0553">
            <w:pPr>
              <w:contextualSpacing/>
              <w:rPr>
                <w:rFonts w:cs="Arial"/>
                <w:sz w:val="16"/>
                <w:szCs w:val="16"/>
              </w:rPr>
            </w:pPr>
            <w:r w:rsidRPr="00A32AF4">
              <w:rPr>
                <w:rFonts w:cs="Arial"/>
                <w:sz w:val="16"/>
                <w:szCs w:val="16"/>
              </w:rPr>
              <w:t>VIII.5 L</w:t>
            </w:r>
            <w:r w:rsidR="00E2055A" w:rsidRPr="00A32AF4">
              <w:rPr>
                <w:rFonts w:cs="Arial"/>
                <w:sz w:val="16"/>
                <w:szCs w:val="16"/>
              </w:rPr>
              <w:t>’</w:t>
            </w:r>
            <w:r w:rsidRPr="00A32AF4">
              <w:rPr>
                <w:rFonts w:cs="Arial"/>
                <w:sz w:val="16"/>
                <w:szCs w:val="16"/>
              </w:rPr>
              <w:t>OMPI collabore efficacement avec d</w:t>
            </w:r>
            <w:r w:rsidR="00E2055A" w:rsidRPr="00A32AF4">
              <w:rPr>
                <w:rFonts w:cs="Arial"/>
                <w:sz w:val="16"/>
                <w:szCs w:val="16"/>
              </w:rPr>
              <w:t>’</w:t>
            </w:r>
            <w:r w:rsidRPr="00A32AF4">
              <w:rPr>
                <w:rFonts w:cs="Arial"/>
                <w:sz w:val="16"/>
                <w:szCs w:val="16"/>
              </w:rPr>
              <w:t>autres processus et instances de négociation de l</w:t>
            </w:r>
            <w:r w:rsidR="00E2055A" w:rsidRPr="00A32AF4">
              <w:rPr>
                <w:rFonts w:cs="Arial"/>
                <w:sz w:val="16"/>
                <w:szCs w:val="16"/>
              </w:rPr>
              <w:t>’</w:t>
            </w:r>
            <w:r w:rsidRPr="00A32AF4">
              <w:rPr>
                <w:rFonts w:cs="Arial"/>
                <w:sz w:val="16"/>
                <w:szCs w:val="16"/>
              </w:rPr>
              <w:t>ONU et d</w:t>
            </w:r>
            <w:r w:rsidR="00E2055A" w:rsidRPr="00A32AF4">
              <w:rPr>
                <w:rFonts w:cs="Arial"/>
                <w:sz w:val="16"/>
                <w:szCs w:val="16"/>
              </w:rPr>
              <w:t>’</w:t>
            </w:r>
            <w:r w:rsidRPr="00A32AF4">
              <w:rPr>
                <w:rFonts w:cs="Arial"/>
                <w:sz w:val="16"/>
                <w:szCs w:val="16"/>
              </w:rPr>
              <w:t>autres organisations intergouvernementales</w:t>
            </w:r>
          </w:p>
        </w:tc>
        <w:tc>
          <w:tcPr>
            <w:tcW w:w="2320" w:type="dxa"/>
            <w:tcBorders>
              <w:top w:val="single" w:sz="4" w:space="0" w:color="auto"/>
            </w:tcBorders>
            <w:shd w:val="clear" w:color="000000" w:fill="FFFFFF"/>
            <w:tcMar>
              <w:top w:w="113" w:type="dxa"/>
              <w:bottom w:w="113" w:type="dxa"/>
            </w:tcMar>
            <w:hideMark/>
          </w:tcPr>
          <w:p w:rsidR="00DC2AF7" w:rsidRPr="00A32AF4" w:rsidRDefault="00DC2AF7" w:rsidP="00DC0553">
            <w:pPr>
              <w:contextualSpacing/>
              <w:rPr>
                <w:rFonts w:cs="Arial"/>
                <w:sz w:val="16"/>
                <w:szCs w:val="16"/>
              </w:rPr>
            </w:pPr>
            <w:r w:rsidRPr="00A32AF4">
              <w:rPr>
                <w:rFonts w:cs="Arial"/>
                <w:sz w:val="16"/>
                <w:szCs w:val="16"/>
              </w:rPr>
              <w:t>Pourcentage des biens et services d</w:t>
            </w:r>
            <w:r w:rsidR="00E2055A" w:rsidRPr="00A32AF4">
              <w:rPr>
                <w:rFonts w:cs="Arial"/>
                <w:sz w:val="16"/>
                <w:szCs w:val="16"/>
              </w:rPr>
              <w:t>’</w:t>
            </w:r>
            <w:r w:rsidRPr="00A32AF4">
              <w:rPr>
                <w:rFonts w:cs="Arial"/>
                <w:sz w:val="16"/>
                <w:szCs w:val="16"/>
              </w:rPr>
              <w:t>origine locale par rapport au total des biens et services acquis pour les activités de développement</w:t>
            </w:r>
          </w:p>
        </w:tc>
        <w:tc>
          <w:tcPr>
            <w:tcW w:w="2440" w:type="dxa"/>
            <w:tcBorders>
              <w:top w:val="single" w:sz="4" w:space="0" w:color="auto"/>
            </w:tcBorders>
            <w:shd w:val="clear" w:color="000000" w:fill="FFFFFF"/>
            <w:tcMar>
              <w:top w:w="113" w:type="dxa"/>
              <w:bottom w:w="113" w:type="dxa"/>
            </w:tcMar>
            <w:hideMark/>
          </w:tcPr>
          <w:p w:rsidR="00DC2AF7" w:rsidRPr="00A32AF4" w:rsidRDefault="00DC2AF7" w:rsidP="00DC0553">
            <w:pPr>
              <w:contextualSpacing/>
              <w:rPr>
                <w:rFonts w:cs="Arial"/>
                <w:sz w:val="16"/>
                <w:szCs w:val="16"/>
              </w:rPr>
            </w:pPr>
            <w:r w:rsidRPr="00A32AF4">
              <w:rPr>
                <w:rFonts w:cs="Arial"/>
                <w:sz w:val="16"/>
                <w:szCs w:val="16"/>
              </w:rPr>
              <w:t>45% (fin 2014)</w:t>
            </w:r>
          </w:p>
        </w:tc>
        <w:tc>
          <w:tcPr>
            <w:tcW w:w="2149" w:type="dxa"/>
            <w:tcBorders>
              <w:top w:val="single" w:sz="4" w:space="0" w:color="auto"/>
            </w:tcBorders>
            <w:shd w:val="clear" w:color="000000" w:fill="FFFFFF"/>
            <w:tcMar>
              <w:top w:w="113" w:type="dxa"/>
              <w:bottom w:w="113" w:type="dxa"/>
            </w:tcMar>
            <w:hideMark/>
          </w:tcPr>
          <w:p w:rsidR="00DC2AF7" w:rsidRPr="00A32AF4" w:rsidRDefault="00DC2AF7" w:rsidP="00DC0553">
            <w:pPr>
              <w:contextualSpacing/>
              <w:rPr>
                <w:rFonts w:cs="Arial"/>
                <w:sz w:val="16"/>
                <w:szCs w:val="16"/>
              </w:rPr>
            </w:pPr>
            <w:r w:rsidRPr="00A32AF4">
              <w:rPr>
                <w:rFonts w:cs="Arial"/>
                <w:sz w:val="16"/>
                <w:szCs w:val="16"/>
              </w:rPr>
              <w:t>Égaler ou surpasser les résultats de 2014</w:t>
            </w:r>
          </w:p>
        </w:tc>
      </w:tr>
      <w:tr w:rsidR="00DC2AF7" w:rsidRPr="00A32AF4" w:rsidTr="008A20BF">
        <w:trPr>
          <w:cantSplit/>
        </w:trPr>
        <w:tc>
          <w:tcPr>
            <w:tcW w:w="2320" w:type="dxa"/>
            <w:shd w:val="clear" w:color="000000" w:fill="FFFFFF"/>
            <w:tcMar>
              <w:top w:w="113" w:type="dxa"/>
              <w:bottom w:w="113" w:type="dxa"/>
            </w:tcMar>
            <w:hideMark/>
          </w:tcPr>
          <w:p w:rsidR="00DC2AF7" w:rsidRPr="00A32AF4" w:rsidRDefault="00DC2AF7" w:rsidP="00DC0553">
            <w:pPr>
              <w:contextualSpacing/>
              <w:rPr>
                <w:rFonts w:cs="Arial"/>
                <w:sz w:val="16"/>
                <w:szCs w:val="16"/>
              </w:rPr>
            </w:pPr>
          </w:p>
        </w:tc>
        <w:tc>
          <w:tcPr>
            <w:tcW w:w="2320" w:type="dxa"/>
            <w:shd w:val="clear" w:color="000000" w:fill="FFFFFF"/>
            <w:tcMar>
              <w:top w:w="113" w:type="dxa"/>
              <w:bottom w:w="113" w:type="dxa"/>
            </w:tcMar>
            <w:hideMark/>
          </w:tcPr>
          <w:p w:rsidR="00DC2AF7" w:rsidRPr="00A32AF4" w:rsidRDefault="00DC2AF7" w:rsidP="00DC0553">
            <w:pPr>
              <w:contextualSpacing/>
              <w:rPr>
                <w:rFonts w:cs="Arial"/>
                <w:sz w:val="16"/>
                <w:szCs w:val="16"/>
              </w:rPr>
            </w:pPr>
            <w:r w:rsidRPr="00A32AF4">
              <w:rPr>
                <w:rFonts w:cs="Arial"/>
                <w:sz w:val="16"/>
                <w:szCs w:val="16"/>
              </w:rPr>
              <w:t>Pourcentage de dépenses soumises à effet de levier de l</w:t>
            </w:r>
            <w:r w:rsidR="00E2055A" w:rsidRPr="00A32AF4">
              <w:rPr>
                <w:rFonts w:cs="Arial"/>
                <w:sz w:val="16"/>
                <w:szCs w:val="16"/>
              </w:rPr>
              <w:t>’</w:t>
            </w:r>
            <w:r w:rsidRPr="00A32AF4">
              <w:rPr>
                <w:rFonts w:cs="Arial"/>
                <w:sz w:val="16"/>
                <w:szCs w:val="16"/>
              </w:rPr>
              <w:t>ONU (appels d</w:t>
            </w:r>
            <w:r w:rsidR="00E2055A" w:rsidRPr="00A32AF4">
              <w:rPr>
                <w:rFonts w:cs="Arial"/>
                <w:sz w:val="16"/>
                <w:szCs w:val="16"/>
              </w:rPr>
              <w:t>’</w:t>
            </w:r>
            <w:r w:rsidRPr="00A32AF4">
              <w:rPr>
                <w:rFonts w:cs="Arial"/>
                <w:sz w:val="16"/>
                <w:szCs w:val="16"/>
              </w:rPr>
              <w:t>offres communs ou portage)</w:t>
            </w:r>
          </w:p>
        </w:tc>
        <w:tc>
          <w:tcPr>
            <w:tcW w:w="2440" w:type="dxa"/>
            <w:shd w:val="clear" w:color="000000" w:fill="FFFFFF"/>
            <w:tcMar>
              <w:top w:w="113" w:type="dxa"/>
              <w:bottom w:w="113" w:type="dxa"/>
            </w:tcMar>
            <w:hideMark/>
          </w:tcPr>
          <w:p w:rsidR="00DC2AF7" w:rsidRPr="00A32AF4" w:rsidRDefault="00DC2AF7" w:rsidP="00DC0553">
            <w:pPr>
              <w:contextualSpacing/>
              <w:rPr>
                <w:rFonts w:cs="Arial"/>
                <w:sz w:val="16"/>
                <w:szCs w:val="16"/>
              </w:rPr>
            </w:pPr>
            <w:r w:rsidRPr="00A32AF4">
              <w:rPr>
                <w:rFonts w:cs="Arial"/>
                <w:sz w:val="16"/>
                <w:szCs w:val="16"/>
              </w:rPr>
              <w:t>4,15% (fin 2014)</w:t>
            </w:r>
          </w:p>
        </w:tc>
        <w:tc>
          <w:tcPr>
            <w:tcW w:w="2149" w:type="dxa"/>
            <w:shd w:val="clear" w:color="000000" w:fill="FFFFFF"/>
            <w:tcMar>
              <w:top w:w="113" w:type="dxa"/>
              <w:bottom w:w="113" w:type="dxa"/>
            </w:tcMar>
            <w:hideMark/>
          </w:tcPr>
          <w:p w:rsidR="00DC2AF7" w:rsidRPr="00A32AF4" w:rsidRDefault="00DC2AF7" w:rsidP="00DC0553">
            <w:pPr>
              <w:contextualSpacing/>
              <w:rPr>
                <w:rFonts w:cs="Arial"/>
                <w:sz w:val="16"/>
                <w:szCs w:val="16"/>
              </w:rPr>
            </w:pPr>
            <w:r w:rsidRPr="00A32AF4">
              <w:rPr>
                <w:rFonts w:cs="Arial"/>
                <w:sz w:val="16"/>
                <w:szCs w:val="16"/>
              </w:rPr>
              <w:t>Égaler ou surpasser les résultats de 2014</w:t>
            </w:r>
          </w:p>
        </w:tc>
      </w:tr>
      <w:tr w:rsidR="00DC2AF7" w:rsidRPr="00A32AF4" w:rsidTr="008A20BF">
        <w:trPr>
          <w:cantSplit/>
        </w:trPr>
        <w:tc>
          <w:tcPr>
            <w:tcW w:w="2320" w:type="dxa"/>
            <w:shd w:val="clear" w:color="000000" w:fill="FFFFFF"/>
            <w:tcMar>
              <w:top w:w="113" w:type="dxa"/>
              <w:bottom w:w="113" w:type="dxa"/>
            </w:tcMar>
            <w:hideMark/>
          </w:tcPr>
          <w:p w:rsidR="00DC2AF7" w:rsidRPr="00A32AF4" w:rsidRDefault="00DC2AF7" w:rsidP="00DC0553">
            <w:pPr>
              <w:contextualSpacing/>
              <w:rPr>
                <w:rFonts w:cs="Arial"/>
                <w:sz w:val="16"/>
                <w:szCs w:val="16"/>
              </w:rPr>
            </w:pPr>
            <w:r w:rsidRPr="00A32AF4">
              <w:rPr>
                <w:rFonts w:cs="Arial"/>
                <w:sz w:val="16"/>
                <w:szCs w:val="16"/>
              </w:rPr>
              <w:t>IX.1 Services d</w:t>
            </w:r>
            <w:r w:rsidR="00E2055A" w:rsidRPr="00A32AF4">
              <w:rPr>
                <w:rFonts w:cs="Arial"/>
                <w:sz w:val="16"/>
                <w:szCs w:val="16"/>
              </w:rPr>
              <w:t>’</w:t>
            </w:r>
            <w:r w:rsidRPr="00A32AF4">
              <w:rPr>
                <w:rFonts w:cs="Arial"/>
                <w:sz w:val="16"/>
                <w:szCs w:val="16"/>
              </w:rPr>
              <w:t>appui efficaces, efficients, de qualité et tournés vers la clientèle, à l</w:t>
            </w:r>
            <w:r w:rsidR="00E2055A" w:rsidRPr="00A32AF4">
              <w:rPr>
                <w:rFonts w:cs="Arial"/>
                <w:sz w:val="16"/>
                <w:szCs w:val="16"/>
              </w:rPr>
              <w:t>’</w:t>
            </w:r>
            <w:r w:rsidRPr="00A32AF4">
              <w:rPr>
                <w:rFonts w:cs="Arial"/>
                <w:sz w:val="16"/>
                <w:szCs w:val="16"/>
              </w:rPr>
              <w:t>intention à la fois des clients internes et des parties prenantes externes</w:t>
            </w:r>
          </w:p>
        </w:tc>
        <w:tc>
          <w:tcPr>
            <w:tcW w:w="2320" w:type="dxa"/>
            <w:shd w:val="clear" w:color="000000" w:fill="FFFFFF"/>
            <w:tcMar>
              <w:top w:w="113" w:type="dxa"/>
              <w:bottom w:w="113" w:type="dxa"/>
            </w:tcMar>
            <w:hideMark/>
          </w:tcPr>
          <w:p w:rsidR="00DC2AF7" w:rsidRPr="00A32AF4" w:rsidRDefault="00DC2AF7" w:rsidP="00DC0553">
            <w:pPr>
              <w:contextualSpacing/>
              <w:rPr>
                <w:rFonts w:cs="Arial"/>
                <w:sz w:val="16"/>
                <w:szCs w:val="16"/>
              </w:rPr>
            </w:pPr>
            <w:r w:rsidRPr="00A32AF4">
              <w:rPr>
                <w:rFonts w:cs="Arial"/>
                <w:sz w:val="16"/>
                <w:szCs w:val="16"/>
              </w:rPr>
              <w:t>Économies sur les achats de biens et de services effectués par l</w:t>
            </w:r>
            <w:r w:rsidR="00E2055A" w:rsidRPr="00A32AF4">
              <w:rPr>
                <w:rFonts w:cs="Arial"/>
                <w:sz w:val="16"/>
                <w:szCs w:val="16"/>
              </w:rPr>
              <w:t>’</w:t>
            </w:r>
            <w:r w:rsidRPr="00A32AF4">
              <w:rPr>
                <w:rFonts w:cs="Arial"/>
                <w:sz w:val="16"/>
                <w:szCs w:val="16"/>
              </w:rPr>
              <w:t>OMPI (par suite d</w:t>
            </w:r>
            <w:r w:rsidR="00E2055A" w:rsidRPr="00A32AF4">
              <w:rPr>
                <w:rFonts w:cs="Arial"/>
                <w:sz w:val="16"/>
                <w:szCs w:val="16"/>
              </w:rPr>
              <w:t>’</w:t>
            </w:r>
            <w:r w:rsidRPr="00A32AF4">
              <w:rPr>
                <w:rFonts w:cs="Arial"/>
                <w:sz w:val="16"/>
                <w:szCs w:val="16"/>
              </w:rPr>
              <w:t>invitations à soumissionner ou de négociations directes)</w:t>
            </w:r>
          </w:p>
        </w:tc>
        <w:tc>
          <w:tcPr>
            <w:tcW w:w="2440" w:type="dxa"/>
            <w:shd w:val="clear" w:color="000000" w:fill="FFFFFF"/>
            <w:tcMar>
              <w:top w:w="113" w:type="dxa"/>
              <w:bottom w:w="113" w:type="dxa"/>
            </w:tcMar>
            <w:hideMark/>
          </w:tcPr>
          <w:p w:rsidR="00DC2AF7" w:rsidRPr="00A32AF4" w:rsidRDefault="00DC2AF7" w:rsidP="00DC0553">
            <w:pPr>
              <w:contextualSpacing/>
              <w:rPr>
                <w:rFonts w:cs="Arial"/>
                <w:sz w:val="16"/>
                <w:szCs w:val="16"/>
              </w:rPr>
            </w:pPr>
            <w:r w:rsidRPr="00A32AF4">
              <w:rPr>
                <w:rFonts w:cs="Arial"/>
                <w:sz w:val="16"/>
                <w:szCs w:val="16"/>
              </w:rPr>
              <w:t>2,6 millions de francs suisses (fin 2014)</w:t>
            </w:r>
          </w:p>
        </w:tc>
        <w:tc>
          <w:tcPr>
            <w:tcW w:w="2149" w:type="dxa"/>
            <w:shd w:val="clear" w:color="000000" w:fill="FFFFFF"/>
            <w:tcMar>
              <w:top w:w="113" w:type="dxa"/>
              <w:bottom w:w="113" w:type="dxa"/>
            </w:tcMar>
            <w:hideMark/>
          </w:tcPr>
          <w:p w:rsidR="00DC2AF7" w:rsidRPr="00A32AF4" w:rsidRDefault="00DC2AF7" w:rsidP="00DC0553">
            <w:pPr>
              <w:contextualSpacing/>
              <w:rPr>
                <w:rFonts w:cs="Arial"/>
                <w:sz w:val="16"/>
                <w:szCs w:val="16"/>
              </w:rPr>
            </w:pPr>
            <w:r w:rsidRPr="00A32AF4">
              <w:rPr>
                <w:rFonts w:cs="Arial"/>
                <w:sz w:val="16"/>
                <w:szCs w:val="16"/>
              </w:rPr>
              <w:t>Égaler ou surpasser les résultats de 2014</w:t>
            </w:r>
          </w:p>
        </w:tc>
      </w:tr>
      <w:tr w:rsidR="00DC2AF7" w:rsidRPr="00A32AF4" w:rsidTr="008A20BF">
        <w:trPr>
          <w:cantSplit/>
        </w:trPr>
        <w:tc>
          <w:tcPr>
            <w:tcW w:w="2320" w:type="dxa"/>
            <w:shd w:val="clear" w:color="000000" w:fill="FFFFFF"/>
            <w:tcMar>
              <w:top w:w="113" w:type="dxa"/>
              <w:bottom w:w="113" w:type="dxa"/>
            </w:tcMar>
            <w:hideMark/>
          </w:tcPr>
          <w:p w:rsidR="00DC2AF7" w:rsidRPr="00A32AF4" w:rsidRDefault="00DC2AF7" w:rsidP="00DC0553">
            <w:pPr>
              <w:contextualSpacing/>
              <w:rPr>
                <w:rFonts w:cs="Arial"/>
                <w:sz w:val="16"/>
                <w:szCs w:val="16"/>
              </w:rPr>
            </w:pPr>
          </w:p>
        </w:tc>
        <w:tc>
          <w:tcPr>
            <w:tcW w:w="2320" w:type="dxa"/>
            <w:shd w:val="clear" w:color="000000" w:fill="FFFFFF"/>
            <w:tcMar>
              <w:top w:w="113" w:type="dxa"/>
              <w:bottom w:w="113" w:type="dxa"/>
            </w:tcMar>
            <w:hideMark/>
          </w:tcPr>
          <w:p w:rsidR="00DC2AF7" w:rsidRPr="00A32AF4" w:rsidRDefault="00DC2AF7" w:rsidP="00DC0553">
            <w:pPr>
              <w:contextualSpacing/>
              <w:rPr>
                <w:rFonts w:cs="Arial"/>
                <w:sz w:val="16"/>
                <w:szCs w:val="16"/>
              </w:rPr>
            </w:pPr>
            <w:r w:rsidRPr="00A32AF4">
              <w:rPr>
                <w:rFonts w:cs="Arial"/>
                <w:sz w:val="16"/>
                <w:szCs w:val="16"/>
              </w:rPr>
              <w:t>Temps de traitement des demandes électroniques</w:t>
            </w:r>
            <w:r w:rsidRPr="00A32AF4">
              <w:rPr>
                <w:rFonts w:cs="Arial"/>
                <w:sz w:val="16"/>
                <w:szCs w:val="16"/>
              </w:rPr>
              <w:br/>
            </w:r>
            <w:r w:rsidRPr="00A32AF4">
              <w:rPr>
                <w:rFonts w:cs="Arial"/>
                <w:sz w:val="16"/>
                <w:szCs w:val="16"/>
              </w:rPr>
              <w:br/>
              <w:t>Temps de traitement des autorisations de voyage électroniques</w:t>
            </w:r>
            <w:r w:rsidRPr="00A32AF4">
              <w:rPr>
                <w:rFonts w:cs="Arial"/>
                <w:sz w:val="16"/>
                <w:szCs w:val="16"/>
              </w:rPr>
              <w:br/>
            </w:r>
            <w:r w:rsidRPr="00A32AF4">
              <w:rPr>
                <w:rFonts w:cs="Arial"/>
                <w:sz w:val="16"/>
                <w:szCs w:val="16"/>
              </w:rPr>
              <w:br/>
              <w:t>Temps de traitement des visas</w:t>
            </w:r>
          </w:p>
        </w:tc>
        <w:tc>
          <w:tcPr>
            <w:tcW w:w="2440" w:type="dxa"/>
            <w:shd w:val="clear" w:color="000000" w:fill="FFFFFF"/>
            <w:tcMar>
              <w:top w:w="113" w:type="dxa"/>
              <w:bottom w:w="113" w:type="dxa"/>
            </w:tcMar>
            <w:hideMark/>
          </w:tcPr>
          <w:p w:rsidR="00DC2AF7" w:rsidRPr="00A32AF4" w:rsidRDefault="00DC2AF7" w:rsidP="00DC0553">
            <w:pPr>
              <w:contextualSpacing/>
              <w:rPr>
                <w:rFonts w:cs="Arial"/>
                <w:sz w:val="16"/>
                <w:szCs w:val="16"/>
              </w:rPr>
            </w:pPr>
            <w:r w:rsidRPr="00A32AF4">
              <w:rPr>
                <w:rFonts w:cs="Arial"/>
                <w:sz w:val="16"/>
                <w:szCs w:val="16"/>
              </w:rPr>
              <w:t>Une demi</w:t>
            </w:r>
            <w:r w:rsidR="00EB7F54" w:rsidRPr="00A32AF4">
              <w:rPr>
                <w:rFonts w:cs="Arial"/>
                <w:sz w:val="16"/>
                <w:szCs w:val="16"/>
              </w:rPr>
              <w:noBreakHyphen/>
            </w:r>
            <w:r w:rsidRPr="00A32AF4">
              <w:rPr>
                <w:rFonts w:cs="Arial"/>
                <w:sz w:val="16"/>
                <w:szCs w:val="16"/>
              </w:rPr>
              <w:t>journée (2014</w:t>
            </w:r>
            <w:proofErr w:type="gramStart"/>
            <w:r w:rsidRPr="00A32AF4">
              <w:rPr>
                <w:rFonts w:cs="Arial"/>
                <w:sz w:val="16"/>
                <w:szCs w:val="16"/>
              </w:rPr>
              <w:t>)</w:t>
            </w:r>
            <w:proofErr w:type="gramEnd"/>
            <w:r w:rsidRPr="00A32AF4">
              <w:rPr>
                <w:rFonts w:cs="Arial"/>
                <w:sz w:val="16"/>
                <w:szCs w:val="16"/>
              </w:rPr>
              <w:br/>
            </w:r>
            <w:r w:rsidRPr="00A32AF4">
              <w:rPr>
                <w:rFonts w:cs="Arial"/>
                <w:sz w:val="16"/>
                <w:szCs w:val="16"/>
              </w:rPr>
              <w:br/>
            </w:r>
            <w:r w:rsidRPr="00A32AF4">
              <w:rPr>
                <w:rFonts w:cs="Arial"/>
                <w:sz w:val="16"/>
                <w:szCs w:val="16"/>
              </w:rPr>
              <w:br/>
              <w:t>Une demi</w:t>
            </w:r>
            <w:r w:rsidR="00EB7F54" w:rsidRPr="00A32AF4">
              <w:rPr>
                <w:rFonts w:cs="Arial"/>
                <w:sz w:val="16"/>
                <w:szCs w:val="16"/>
              </w:rPr>
              <w:noBreakHyphen/>
            </w:r>
            <w:r w:rsidRPr="00A32AF4">
              <w:rPr>
                <w:rFonts w:cs="Arial"/>
                <w:sz w:val="16"/>
                <w:szCs w:val="16"/>
              </w:rPr>
              <w:t>journée (2014)</w:t>
            </w:r>
            <w:r w:rsidRPr="00A32AF4">
              <w:rPr>
                <w:rFonts w:cs="Arial"/>
                <w:sz w:val="16"/>
                <w:szCs w:val="16"/>
              </w:rPr>
              <w:br/>
            </w:r>
            <w:r w:rsidRPr="00A32AF4">
              <w:rPr>
                <w:rFonts w:cs="Arial"/>
                <w:sz w:val="16"/>
                <w:szCs w:val="16"/>
              </w:rPr>
              <w:br/>
            </w:r>
            <w:r w:rsidRPr="00A32AF4">
              <w:rPr>
                <w:rFonts w:cs="Arial"/>
                <w:sz w:val="16"/>
                <w:szCs w:val="16"/>
              </w:rPr>
              <w:br/>
            </w:r>
            <w:r w:rsidRPr="00A32AF4">
              <w:rPr>
                <w:rFonts w:cs="Arial"/>
                <w:sz w:val="16"/>
                <w:szCs w:val="16"/>
              </w:rPr>
              <w:br/>
              <w:t>Moins d</w:t>
            </w:r>
            <w:r w:rsidR="00E2055A" w:rsidRPr="00A32AF4">
              <w:rPr>
                <w:rFonts w:cs="Arial"/>
                <w:sz w:val="16"/>
                <w:szCs w:val="16"/>
              </w:rPr>
              <w:t>’</w:t>
            </w:r>
            <w:r w:rsidRPr="00A32AF4">
              <w:rPr>
                <w:rFonts w:cs="Arial"/>
                <w:sz w:val="16"/>
                <w:szCs w:val="16"/>
              </w:rPr>
              <w:t>une journée (2014)</w:t>
            </w:r>
          </w:p>
        </w:tc>
        <w:tc>
          <w:tcPr>
            <w:tcW w:w="2149" w:type="dxa"/>
            <w:shd w:val="clear" w:color="000000" w:fill="FFFFFF"/>
            <w:tcMar>
              <w:top w:w="113" w:type="dxa"/>
              <w:bottom w:w="113" w:type="dxa"/>
            </w:tcMar>
            <w:hideMark/>
          </w:tcPr>
          <w:p w:rsidR="00DC2AF7" w:rsidRPr="00A32AF4" w:rsidRDefault="00DC2AF7" w:rsidP="00DC0553">
            <w:pPr>
              <w:contextualSpacing/>
              <w:rPr>
                <w:rFonts w:cs="Arial"/>
                <w:sz w:val="16"/>
                <w:szCs w:val="16"/>
              </w:rPr>
            </w:pPr>
            <w:r w:rsidRPr="00A32AF4">
              <w:rPr>
                <w:rFonts w:cs="Arial"/>
                <w:sz w:val="16"/>
                <w:szCs w:val="16"/>
              </w:rPr>
              <w:t>Moins d</w:t>
            </w:r>
            <w:r w:rsidR="00E2055A" w:rsidRPr="00A32AF4">
              <w:rPr>
                <w:rFonts w:cs="Arial"/>
                <w:sz w:val="16"/>
                <w:szCs w:val="16"/>
              </w:rPr>
              <w:t>’</w:t>
            </w:r>
            <w:r w:rsidRPr="00A32AF4">
              <w:rPr>
                <w:rFonts w:cs="Arial"/>
                <w:sz w:val="16"/>
                <w:szCs w:val="16"/>
              </w:rPr>
              <w:t>une demi</w:t>
            </w:r>
            <w:r w:rsidR="00EB7F54" w:rsidRPr="00A32AF4">
              <w:rPr>
                <w:rFonts w:cs="Arial"/>
                <w:sz w:val="16"/>
                <w:szCs w:val="16"/>
              </w:rPr>
              <w:noBreakHyphen/>
            </w:r>
            <w:r w:rsidRPr="00A32AF4">
              <w:rPr>
                <w:rFonts w:cs="Arial"/>
                <w:sz w:val="16"/>
                <w:szCs w:val="16"/>
              </w:rPr>
              <w:t xml:space="preserve">journée </w:t>
            </w:r>
            <w:r w:rsidRPr="00A32AF4">
              <w:rPr>
                <w:rFonts w:cs="Arial"/>
                <w:sz w:val="16"/>
                <w:szCs w:val="16"/>
              </w:rPr>
              <w:br/>
            </w:r>
            <w:r w:rsidRPr="00A32AF4">
              <w:rPr>
                <w:rFonts w:cs="Arial"/>
                <w:sz w:val="16"/>
                <w:szCs w:val="16"/>
              </w:rPr>
              <w:br/>
            </w:r>
            <w:r w:rsidRPr="00A32AF4">
              <w:rPr>
                <w:rFonts w:cs="Arial"/>
                <w:sz w:val="16"/>
                <w:szCs w:val="16"/>
              </w:rPr>
              <w:br/>
              <w:t>Moins d</w:t>
            </w:r>
            <w:r w:rsidR="00E2055A" w:rsidRPr="00A32AF4">
              <w:rPr>
                <w:rFonts w:cs="Arial"/>
                <w:sz w:val="16"/>
                <w:szCs w:val="16"/>
              </w:rPr>
              <w:t>’</w:t>
            </w:r>
            <w:r w:rsidRPr="00A32AF4">
              <w:rPr>
                <w:rFonts w:cs="Arial"/>
                <w:sz w:val="16"/>
                <w:szCs w:val="16"/>
              </w:rPr>
              <w:t>une demi</w:t>
            </w:r>
            <w:r w:rsidR="00EB7F54" w:rsidRPr="00A32AF4">
              <w:rPr>
                <w:rFonts w:cs="Arial"/>
                <w:sz w:val="16"/>
                <w:szCs w:val="16"/>
              </w:rPr>
              <w:noBreakHyphen/>
            </w:r>
            <w:r w:rsidRPr="00A32AF4">
              <w:rPr>
                <w:rFonts w:cs="Arial"/>
                <w:sz w:val="16"/>
                <w:szCs w:val="16"/>
              </w:rPr>
              <w:t>journée</w:t>
            </w:r>
            <w:r w:rsidRPr="00A32AF4">
              <w:rPr>
                <w:rFonts w:cs="Arial"/>
                <w:sz w:val="16"/>
                <w:szCs w:val="16"/>
              </w:rPr>
              <w:br/>
            </w:r>
            <w:r w:rsidRPr="00A32AF4">
              <w:rPr>
                <w:rFonts w:cs="Arial"/>
                <w:sz w:val="16"/>
                <w:szCs w:val="16"/>
              </w:rPr>
              <w:br/>
            </w:r>
            <w:r w:rsidRPr="00A32AF4">
              <w:rPr>
                <w:rFonts w:cs="Arial"/>
                <w:sz w:val="16"/>
                <w:szCs w:val="16"/>
              </w:rPr>
              <w:br/>
            </w:r>
            <w:r w:rsidRPr="00A32AF4">
              <w:rPr>
                <w:rFonts w:cs="Arial"/>
                <w:sz w:val="16"/>
                <w:szCs w:val="16"/>
              </w:rPr>
              <w:br/>
              <w:t>Moins d</w:t>
            </w:r>
            <w:r w:rsidR="00E2055A" w:rsidRPr="00A32AF4">
              <w:rPr>
                <w:rFonts w:cs="Arial"/>
                <w:sz w:val="16"/>
                <w:szCs w:val="16"/>
              </w:rPr>
              <w:t>’</w:t>
            </w:r>
            <w:r w:rsidRPr="00A32AF4">
              <w:rPr>
                <w:rFonts w:cs="Arial"/>
                <w:sz w:val="16"/>
                <w:szCs w:val="16"/>
              </w:rPr>
              <w:t>une journée</w:t>
            </w:r>
          </w:p>
        </w:tc>
      </w:tr>
      <w:tr w:rsidR="00DC2AF7" w:rsidRPr="00A32AF4" w:rsidTr="008A20BF">
        <w:trPr>
          <w:cantSplit/>
        </w:trPr>
        <w:tc>
          <w:tcPr>
            <w:tcW w:w="2320" w:type="dxa"/>
            <w:shd w:val="clear" w:color="000000" w:fill="FFFFFF"/>
            <w:tcMar>
              <w:top w:w="113" w:type="dxa"/>
              <w:bottom w:w="113" w:type="dxa"/>
            </w:tcMar>
            <w:hideMark/>
          </w:tcPr>
          <w:p w:rsidR="00DC2AF7" w:rsidRPr="00A32AF4" w:rsidRDefault="00DC2AF7" w:rsidP="00DC0553">
            <w:pPr>
              <w:contextualSpacing/>
              <w:rPr>
                <w:rFonts w:cs="Arial"/>
                <w:sz w:val="16"/>
                <w:szCs w:val="16"/>
              </w:rPr>
            </w:pPr>
          </w:p>
        </w:tc>
        <w:tc>
          <w:tcPr>
            <w:tcW w:w="2320" w:type="dxa"/>
            <w:shd w:val="clear" w:color="000000" w:fill="FFFFFF"/>
            <w:tcMar>
              <w:top w:w="113" w:type="dxa"/>
              <w:bottom w:w="113" w:type="dxa"/>
            </w:tcMar>
            <w:hideMark/>
          </w:tcPr>
          <w:p w:rsidR="00DC2AF7" w:rsidRPr="00A32AF4" w:rsidRDefault="00DC2AF7" w:rsidP="00DC0553">
            <w:pPr>
              <w:contextualSpacing/>
              <w:rPr>
                <w:rFonts w:cs="Arial"/>
                <w:sz w:val="16"/>
                <w:szCs w:val="16"/>
              </w:rPr>
            </w:pPr>
            <w:r w:rsidRPr="00A32AF4">
              <w:rPr>
                <w:rFonts w:cs="Arial"/>
                <w:sz w:val="16"/>
                <w:szCs w:val="16"/>
              </w:rPr>
              <w:t>Moyenne TMC du prix d</w:t>
            </w:r>
            <w:r w:rsidR="00E2055A" w:rsidRPr="00A32AF4">
              <w:rPr>
                <w:rFonts w:cs="Arial"/>
                <w:sz w:val="16"/>
                <w:szCs w:val="16"/>
              </w:rPr>
              <w:t>’</w:t>
            </w:r>
            <w:r w:rsidRPr="00A32AF4">
              <w:rPr>
                <w:rFonts w:cs="Arial"/>
                <w:sz w:val="16"/>
                <w:szCs w:val="16"/>
              </w:rPr>
              <w:t>un billet</w:t>
            </w:r>
            <w:r w:rsidRPr="00A32AF4">
              <w:rPr>
                <w:rFonts w:cs="Arial"/>
                <w:sz w:val="16"/>
                <w:szCs w:val="16"/>
              </w:rPr>
              <w:br/>
            </w:r>
            <w:r w:rsidRPr="00A32AF4">
              <w:rPr>
                <w:rFonts w:cs="Arial"/>
                <w:sz w:val="16"/>
                <w:szCs w:val="16"/>
              </w:rPr>
              <w:br/>
              <w:t>Moyenne globale du prix d</w:t>
            </w:r>
            <w:r w:rsidR="00E2055A" w:rsidRPr="00A32AF4">
              <w:rPr>
                <w:rFonts w:cs="Arial"/>
                <w:sz w:val="16"/>
                <w:szCs w:val="16"/>
              </w:rPr>
              <w:t>’</w:t>
            </w:r>
            <w:r w:rsidRPr="00A32AF4">
              <w:rPr>
                <w:rFonts w:cs="Arial"/>
                <w:sz w:val="16"/>
                <w:szCs w:val="16"/>
              </w:rPr>
              <w:t>un billet</w:t>
            </w:r>
            <w:r w:rsidRPr="00A32AF4">
              <w:rPr>
                <w:rFonts w:cs="Arial"/>
                <w:sz w:val="16"/>
                <w:szCs w:val="16"/>
              </w:rPr>
              <w:br/>
            </w:r>
            <w:r w:rsidRPr="00A32AF4">
              <w:rPr>
                <w:rFonts w:cs="Arial"/>
                <w:sz w:val="16"/>
                <w:szCs w:val="16"/>
              </w:rPr>
              <w:br/>
              <w:t>Coût moyen des frais de service</w:t>
            </w:r>
          </w:p>
        </w:tc>
        <w:tc>
          <w:tcPr>
            <w:tcW w:w="2440" w:type="dxa"/>
            <w:shd w:val="clear" w:color="000000" w:fill="FFFFFF"/>
            <w:tcMar>
              <w:top w:w="113" w:type="dxa"/>
              <w:bottom w:w="113" w:type="dxa"/>
            </w:tcMar>
            <w:hideMark/>
          </w:tcPr>
          <w:p w:rsidR="00DC2AF7" w:rsidRPr="00A32AF4" w:rsidRDefault="00702CE5" w:rsidP="00DC0553">
            <w:pPr>
              <w:contextualSpacing/>
              <w:rPr>
                <w:rFonts w:cs="Arial"/>
                <w:sz w:val="16"/>
                <w:szCs w:val="16"/>
              </w:rPr>
            </w:pPr>
            <w:r w:rsidRPr="00A32AF4">
              <w:rPr>
                <w:rFonts w:cs="Arial"/>
                <w:sz w:val="16"/>
                <w:szCs w:val="16"/>
              </w:rPr>
              <w:t>1</w:t>
            </w:r>
            <w:r w:rsidR="00DC2AF7" w:rsidRPr="00A32AF4">
              <w:rPr>
                <w:rFonts w:cs="Arial"/>
                <w:sz w:val="16"/>
                <w:szCs w:val="16"/>
              </w:rPr>
              <w:t>850 fr</w:t>
            </w:r>
            <w:r w:rsidRPr="00A32AF4">
              <w:rPr>
                <w:rFonts w:cs="Arial"/>
                <w:sz w:val="16"/>
                <w:szCs w:val="16"/>
              </w:rPr>
              <w:t>ancs suisses (</w:t>
            </w:r>
            <w:r w:rsidR="00E2055A" w:rsidRPr="00A32AF4">
              <w:rPr>
                <w:rFonts w:cs="Arial"/>
                <w:sz w:val="16"/>
                <w:szCs w:val="16"/>
              </w:rPr>
              <w:t>décembre 20</w:t>
            </w:r>
            <w:r w:rsidRPr="00A32AF4">
              <w:rPr>
                <w:rFonts w:cs="Arial"/>
                <w:sz w:val="16"/>
                <w:szCs w:val="16"/>
              </w:rPr>
              <w:t>14)</w:t>
            </w:r>
            <w:r w:rsidRPr="00A32AF4">
              <w:rPr>
                <w:rFonts w:cs="Arial"/>
                <w:sz w:val="16"/>
                <w:szCs w:val="16"/>
              </w:rPr>
              <w:br/>
            </w:r>
            <w:r w:rsidRPr="00A32AF4">
              <w:rPr>
                <w:rFonts w:cs="Arial"/>
                <w:sz w:val="16"/>
                <w:szCs w:val="16"/>
              </w:rPr>
              <w:br/>
              <w:t>1</w:t>
            </w:r>
            <w:r w:rsidR="00DC2AF7" w:rsidRPr="00A32AF4">
              <w:rPr>
                <w:rFonts w:cs="Arial"/>
                <w:sz w:val="16"/>
                <w:szCs w:val="16"/>
              </w:rPr>
              <w:t>600 francs suisses (</w:t>
            </w:r>
            <w:r w:rsidR="00E2055A" w:rsidRPr="00A32AF4">
              <w:rPr>
                <w:rFonts w:cs="Arial"/>
                <w:sz w:val="16"/>
                <w:szCs w:val="16"/>
              </w:rPr>
              <w:t>décembre 20</w:t>
            </w:r>
            <w:r w:rsidR="00DC2AF7" w:rsidRPr="00A32AF4">
              <w:rPr>
                <w:rFonts w:cs="Arial"/>
                <w:sz w:val="16"/>
                <w:szCs w:val="16"/>
              </w:rPr>
              <w:t>14)</w:t>
            </w:r>
            <w:r w:rsidR="00DC2AF7" w:rsidRPr="00A32AF4">
              <w:rPr>
                <w:rFonts w:cs="Arial"/>
                <w:sz w:val="16"/>
                <w:szCs w:val="16"/>
              </w:rPr>
              <w:br/>
            </w:r>
            <w:r w:rsidR="00DC2AF7" w:rsidRPr="00A32AF4">
              <w:rPr>
                <w:rFonts w:cs="Arial"/>
                <w:sz w:val="16"/>
                <w:szCs w:val="16"/>
              </w:rPr>
              <w:br/>
              <w:t>118 francs suisses (fin 2014)</w:t>
            </w:r>
          </w:p>
        </w:tc>
        <w:tc>
          <w:tcPr>
            <w:tcW w:w="2149" w:type="dxa"/>
            <w:shd w:val="clear" w:color="000000" w:fill="FFFFFF"/>
            <w:tcMar>
              <w:top w:w="113" w:type="dxa"/>
              <w:bottom w:w="113" w:type="dxa"/>
            </w:tcMar>
            <w:hideMark/>
          </w:tcPr>
          <w:p w:rsidR="00DC2AF7" w:rsidRPr="00A32AF4" w:rsidRDefault="00DC2AF7" w:rsidP="00DC0553">
            <w:pPr>
              <w:contextualSpacing/>
              <w:rPr>
                <w:rFonts w:cs="Arial"/>
                <w:sz w:val="16"/>
                <w:szCs w:val="16"/>
              </w:rPr>
            </w:pPr>
            <w:r w:rsidRPr="00A32AF4">
              <w:rPr>
                <w:rFonts w:cs="Arial"/>
                <w:sz w:val="16"/>
                <w:szCs w:val="16"/>
              </w:rPr>
              <w:t xml:space="preserve">≤ </w:t>
            </w:r>
            <w:r w:rsidR="00FD43E3" w:rsidRPr="00A32AF4">
              <w:rPr>
                <w:rFonts w:cs="Arial"/>
                <w:sz w:val="16"/>
                <w:szCs w:val="16"/>
              </w:rPr>
              <w:t>1850 </w:t>
            </w:r>
            <w:r w:rsidRPr="00A32AF4">
              <w:rPr>
                <w:rFonts w:cs="Arial"/>
                <w:sz w:val="16"/>
                <w:szCs w:val="16"/>
              </w:rPr>
              <w:t>francs suisses</w:t>
            </w:r>
            <w:r w:rsidRPr="00A32AF4">
              <w:rPr>
                <w:rFonts w:cs="Arial"/>
                <w:sz w:val="16"/>
                <w:szCs w:val="16"/>
              </w:rPr>
              <w:br/>
            </w:r>
            <w:r w:rsidRPr="00A32AF4">
              <w:rPr>
                <w:rFonts w:cs="Arial"/>
                <w:sz w:val="16"/>
                <w:szCs w:val="16"/>
              </w:rPr>
              <w:br/>
            </w:r>
            <w:r w:rsidRPr="00A32AF4">
              <w:rPr>
                <w:rFonts w:cs="Arial"/>
                <w:sz w:val="16"/>
                <w:szCs w:val="16"/>
              </w:rPr>
              <w:br/>
              <w:t xml:space="preserve">≤ </w:t>
            </w:r>
            <w:r w:rsidR="00FD43E3" w:rsidRPr="00A32AF4">
              <w:rPr>
                <w:rFonts w:cs="Arial"/>
                <w:sz w:val="16"/>
                <w:szCs w:val="16"/>
              </w:rPr>
              <w:t>1600 </w:t>
            </w:r>
            <w:r w:rsidRPr="00A32AF4">
              <w:rPr>
                <w:rFonts w:cs="Arial"/>
                <w:sz w:val="16"/>
                <w:szCs w:val="16"/>
              </w:rPr>
              <w:t xml:space="preserve">francs suisses </w:t>
            </w:r>
            <w:r w:rsidRPr="00A32AF4">
              <w:rPr>
                <w:rFonts w:cs="Arial"/>
                <w:sz w:val="16"/>
                <w:szCs w:val="16"/>
              </w:rPr>
              <w:br/>
            </w:r>
            <w:r w:rsidRPr="00A32AF4">
              <w:rPr>
                <w:rFonts w:cs="Arial"/>
                <w:sz w:val="16"/>
                <w:szCs w:val="16"/>
              </w:rPr>
              <w:br/>
            </w:r>
            <w:r w:rsidRPr="00A32AF4">
              <w:rPr>
                <w:rFonts w:cs="Arial"/>
                <w:sz w:val="16"/>
                <w:szCs w:val="16"/>
              </w:rPr>
              <w:br/>
              <w:t>&lt; 100 francs suisses</w:t>
            </w:r>
          </w:p>
        </w:tc>
      </w:tr>
      <w:tr w:rsidR="00DC2AF7" w:rsidRPr="00A32AF4" w:rsidTr="008A20BF">
        <w:trPr>
          <w:cantSplit/>
        </w:trPr>
        <w:tc>
          <w:tcPr>
            <w:tcW w:w="2320" w:type="dxa"/>
            <w:shd w:val="clear" w:color="000000" w:fill="FFFFFF"/>
            <w:tcMar>
              <w:top w:w="113" w:type="dxa"/>
              <w:bottom w:w="113" w:type="dxa"/>
            </w:tcMar>
            <w:hideMark/>
          </w:tcPr>
          <w:p w:rsidR="00DC2AF7" w:rsidRPr="00A32AF4" w:rsidRDefault="00DC2AF7" w:rsidP="00DC0553">
            <w:pPr>
              <w:contextualSpacing/>
              <w:rPr>
                <w:rFonts w:cs="Arial"/>
                <w:sz w:val="16"/>
                <w:szCs w:val="16"/>
              </w:rPr>
            </w:pPr>
          </w:p>
        </w:tc>
        <w:tc>
          <w:tcPr>
            <w:tcW w:w="2320" w:type="dxa"/>
            <w:shd w:val="clear" w:color="000000" w:fill="FFFFFF"/>
            <w:tcMar>
              <w:top w:w="113" w:type="dxa"/>
              <w:bottom w:w="113" w:type="dxa"/>
            </w:tcMar>
            <w:hideMark/>
          </w:tcPr>
          <w:p w:rsidR="00DC2AF7" w:rsidRPr="00A32AF4" w:rsidRDefault="00DC2AF7" w:rsidP="00DC0553">
            <w:pPr>
              <w:contextualSpacing/>
              <w:rPr>
                <w:rFonts w:cs="Arial"/>
                <w:sz w:val="16"/>
                <w:szCs w:val="16"/>
              </w:rPr>
            </w:pPr>
            <w:r w:rsidRPr="00A32AF4">
              <w:rPr>
                <w:rFonts w:cs="Arial"/>
                <w:sz w:val="16"/>
                <w:szCs w:val="16"/>
              </w:rPr>
              <w:t>Locaux et installations de l</w:t>
            </w:r>
            <w:r w:rsidR="00E2055A" w:rsidRPr="00A32AF4">
              <w:rPr>
                <w:rFonts w:cs="Arial"/>
                <w:sz w:val="16"/>
                <w:szCs w:val="16"/>
              </w:rPr>
              <w:t>’</w:t>
            </w:r>
            <w:r w:rsidRPr="00A32AF4">
              <w:rPr>
                <w:rFonts w:cs="Arial"/>
                <w:sz w:val="16"/>
                <w:szCs w:val="16"/>
              </w:rPr>
              <w:t>OMPI restant adaptés à l</w:t>
            </w:r>
            <w:r w:rsidR="00E2055A" w:rsidRPr="00A32AF4">
              <w:rPr>
                <w:rFonts w:cs="Arial"/>
                <w:sz w:val="16"/>
                <w:szCs w:val="16"/>
              </w:rPr>
              <w:t>’</w:t>
            </w:r>
            <w:r w:rsidRPr="00A32AF4">
              <w:rPr>
                <w:rFonts w:cs="Arial"/>
                <w:sz w:val="16"/>
                <w:szCs w:val="16"/>
              </w:rPr>
              <w:t xml:space="preserve">usage prévu </w:t>
            </w:r>
          </w:p>
        </w:tc>
        <w:tc>
          <w:tcPr>
            <w:tcW w:w="2440" w:type="dxa"/>
            <w:shd w:val="clear" w:color="000000" w:fill="FFFFFF"/>
            <w:tcMar>
              <w:top w:w="113" w:type="dxa"/>
              <w:bottom w:w="113" w:type="dxa"/>
            </w:tcMar>
            <w:hideMark/>
          </w:tcPr>
          <w:p w:rsidR="00DC2AF7" w:rsidRPr="00A32AF4" w:rsidRDefault="00DC2AF7" w:rsidP="00DC0553">
            <w:pPr>
              <w:contextualSpacing/>
              <w:rPr>
                <w:rFonts w:cs="Arial"/>
                <w:sz w:val="16"/>
                <w:szCs w:val="16"/>
              </w:rPr>
            </w:pPr>
            <w:r w:rsidRPr="00A32AF4">
              <w:rPr>
                <w:rFonts w:cs="Arial"/>
                <w:sz w:val="16"/>
                <w:szCs w:val="16"/>
              </w:rPr>
              <w:t>Un jour ouvrable par an au maximum de panne d</w:t>
            </w:r>
            <w:r w:rsidR="00E2055A" w:rsidRPr="00A32AF4">
              <w:rPr>
                <w:rFonts w:cs="Arial"/>
                <w:sz w:val="16"/>
                <w:szCs w:val="16"/>
              </w:rPr>
              <w:t>’</w:t>
            </w:r>
            <w:r w:rsidRPr="00A32AF4">
              <w:rPr>
                <w:rFonts w:cs="Arial"/>
                <w:sz w:val="16"/>
                <w:szCs w:val="16"/>
              </w:rPr>
              <w:t>installations techniques (électricité, eau, chauffage, refroidissement, ventilation) ayant une incidence sur les activités principales de l</w:t>
            </w:r>
            <w:r w:rsidR="00E2055A" w:rsidRPr="00A32AF4">
              <w:rPr>
                <w:rFonts w:cs="Arial"/>
                <w:sz w:val="16"/>
                <w:szCs w:val="16"/>
              </w:rPr>
              <w:t>’</w:t>
            </w:r>
            <w:r w:rsidRPr="00A32AF4">
              <w:rPr>
                <w:rFonts w:cs="Arial"/>
                <w:sz w:val="16"/>
                <w:szCs w:val="16"/>
              </w:rPr>
              <w:t xml:space="preserve">OMPI.  </w:t>
            </w:r>
          </w:p>
        </w:tc>
        <w:tc>
          <w:tcPr>
            <w:tcW w:w="2149" w:type="dxa"/>
            <w:shd w:val="clear" w:color="000000" w:fill="FFFFFF"/>
            <w:tcMar>
              <w:top w:w="113" w:type="dxa"/>
              <w:bottom w:w="113" w:type="dxa"/>
            </w:tcMar>
            <w:hideMark/>
          </w:tcPr>
          <w:p w:rsidR="00DC2AF7" w:rsidRPr="00A32AF4" w:rsidRDefault="00DC2AF7" w:rsidP="00DC0553">
            <w:pPr>
              <w:contextualSpacing/>
              <w:rPr>
                <w:rFonts w:cs="Arial"/>
                <w:sz w:val="16"/>
                <w:szCs w:val="16"/>
              </w:rPr>
            </w:pPr>
            <w:r w:rsidRPr="00A32AF4">
              <w:rPr>
                <w:rFonts w:cs="Arial"/>
                <w:sz w:val="16"/>
                <w:szCs w:val="16"/>
              </w:rPr>
              <w:t>Conserver la période d</w:t>
            </w:r>
            <w:r w:rsidR="00E2055A" w:rsidRPr="00A32AF4">
              <w:rPr>
                <w:rFonts w:cs="Arial"/>
                <w:sz w:val="16"/>
                <w:szCs w:val="16"/>
              </w:rPr>
              <w:t>’</w:t>
            </w:r>
            <w:r w:rsidRPr="00A32AF4">
              <w:rPr>
                <w:rFonts w:cs="Arial"/>
                <w:sz w:val="16"/>
                <w:szCs w:val="16"/>
              </w:rPr>
              <w:t>un jour ouvrable par an au maximum de panne d</w:t>
            </w:r>
            <w:r w:rsidR="00E2055A" w:rsidRPr="00A32AF4">
              <w:rPr>
                <w:rFonts w:cs="Arial"/>
                <w:sz w:val="16"/>
                <w:szCs w:val="16"/>
              </w:rPr>
              <w:t>’</w:t>
            </w:r>
            <w:r w:rsidRPr="00A32AF4">
              <w:rPr>
                <w:rFonts w:cs="Arial"/>
                <w:sz w:val="16"/>
                <w:szCs w:val="16"/>
              </w:rPr>
              <w:t>installations techniques (électricité, eau, chauffage, refroidissement, ventilation) ayant une incidence sur les activités principales de l</w:t>
            </w:r>
            <w:r w:rsidR="00E2055A" w:rsidRPr="00A32AF4">
              <w:rPr>
                <w:rFonts w:cs="Arial"/>
                <w:sz w:val="16"/>
                <w:szCs w:val="16"/>
              </w:rPr>
              <w:t>’</w:t>
            </w:r>
            <w:r w:rsidRPr="00A32AF4">
              <w:rPr>
                <w:rFonts w:cs="Arial"/>
                <w:sz w:val="16"/>
                <w:szCs w:val="16"/>
              </w:rPr>
              <w:t>OMPI.</w:t>
            </w:r>
          </w:p>
        </w:tc>
      </w:tr>
      <w:tr w:rsidR="00DC2AF7" w:rsidRPr="00A32AF4" w:rsidTr="008A20BF">
        <w:trPr>
          <w:cantSplit/>
        </w:trPr>
        <w:tc>
          <w:tcPr>
            <w:tcW w:w="2320" w:type="dxa"/>
            <w:shd w:val="clear" w:color="000000" w:fill="FFFFFF"/>
            <w:tcMar>
              <w:top w:w="113" w:type="dxa"/>
              <w:bottom w:w="113" w:type="dxa"/>
            </w:tcMar>
            <w:hideMark/>
          </w:tcPr>
          <w:p w:rsidR="00DC2AF7" w:rsidRPr="00A32AF4" w:rsidRDefault="00DC2AF7" w:rsidP="00DC0553">
            <w:pPr>
              <w:contextualSpacing/>
              <w:rPr>
                <w:rFonts w:cs="Arial"/>
                <w:sz w:val="16"/>
                <w:szCs w:val="16"/>
              </w:rPr>
            </w:pPr>
          </w:p>
        </w:tc>
        <w:tc>
          <w:tcPr>
            <w:tcW w:w="2320" w:type="dxa"/>
            <w:shd w:val="clear" w:color="000000" w:fill="FFFFFF"/>
            <w:tcMar>
              <w:top w:w="113" w:type="dxa"/>
              <w:bottom w:w="113" w:type="dxa"/>
            </w:tcMar>
            <w:hideMark/>
          </w:tcPr>
          <w:p w:rsidR="00F93B76" w:rsidRPr="00A32AF4" w:rsidRDefault="00DC2AF7" w:rsidP="00DC0553">
            <w:pPr>
              <w:contextualSpacing/>
              <w:rPr>
                <w:rFonts w:cs="Arial"/>
                <w:sz w:val="16"/>
                <w:szCs w:val="16"/>
              </w:rPr>
            </w:pPr>
            <w:r w:rsidRPr="00A32AF4">
              <w:rPr>
                <w:rFonts w:cs="Arial"/>
                <w:sz w:val="16"/>
                <w:szCs w:val="16"/>
              </w:rPr>
              <w:t>Utiliser de manière optimale les locaux de l</w:t>
            </w:r>
            <w:r w:rsidR="00E2055A" w:rsidRPr="00A32AF4">
              <w:rPr>
                <w:rFonts w:cs="Arial"/>
                <w:sz w:val="16"/>
                <w:szCs w:val="16"/>
              </w:rPr>
              <w:t>’</w:t>
            </w:r>
            <w:r w:rsidR="0072123A" w:rsidRPr="00A32AF4">
              <w:rPr>
                <w:rFonts w:cs="Arial"/>
                <w:sz w:val="16"/>
                <w:szCs w:val="16"/>
              </w:rPr>
              <w:t>OMPI et tous les types d</w:t>
            </w:r>
            <w:r w:rsidR="00E2055A" w:rsidRPr="00A32AF4">
              <w:rPr>
                <w:rFonts w:cs="Arial"/>
                <w:sz w:val="16"/>
                <w:szCs w:val="16"/>
              </w:rPr>
              <w:t>’</w:t>
            </w:r>
            <w:r w:rsidR="0072123A" w:rsidRPr="00A32AF4">
              <w:rPr>
                <w:rFonts w:cs="Arial"/>
                <w:sz w:val="16"/>
                <w:szCs w:val="16"/>
              </w:rPr>
              <w:t>espace</w:t>
            </w:r>
          </w:p>
          <w:p w:rsidR="00F93B76" w:rsidRPr="00A32AF4" w:rsidRDefault="00F93B76" w:rsidP="00DC0553">
            <w:pPr>
              <w:contextualSpacing/>
              <w:rPr>
                <w:rFonts w:cs="Arial"/>
                <w:sz w:val="16"/>
                <w:szCs w:val="16"/>
              </w:rPr>
            </w:pPr>
          </w:p>
          <w:p w:rsidR="00F93B76" w:rsidRPr="00A32AF4" w:rsidRDefault="00F93B76" w:rsidP="00DC0553">
            <w:pPr>
              <w:contextualSpacing/>
              <w:rPr>
                <w:rFonts w:cs="Arial"/>
                <w:sz w:val="16"/>
                <w:szCs w:val="16"/>
              </w:rPr>
            </w:pPr>
          </w:p>
          <w:p w:rsidR="00F93B76" w:rsidRPr="00A32AF4" w:rsidRDefault="00F93B76" w:rsidP="00DC0553">
            <w:pPr>
              <w:contextualSpacing/>
              <w:rPr>
                <w:rFonts w:cs="Arial"/>
                <w:sz w:val="16"/>
                <w:szCs w:val="16"/>
              </w:rPr>
            </w:pPr>
          </w:p>
          <w:p w:rsidR="0072123A" w:rsidRPr="00A32AF4" w:rsidRDefault="00C464B2" w:rsidP="00DC0553">
            <w:pPr>
              <w:contextualSpacing/>
              <w:rPr>
                <w:rFonts w:cs="Arial"/>
                <w:sz w:val="16"/>
                <w:szCs w:val="16"/>
              </w:rPr>
            </w:pPr>
            <w:r w:rsidRPr="00A32AF4">
              <w:rPr>
                <w:rFonts w:cs="Arial"/>
                <w:color w:val="000000"/>
                <w:sz w:val="16"/>
                <w:szCs w:val="16"/>
              </w:rPr>
              <w:t xml:space="preserve">Pourcentage </w:t>
            </w:r>
            <w:r w:rsidR="002367B1" w:rsidRPr="00A32AF4">
              <w:rPr>
                <w:rFonts w:cs="Arial"/>
                <w:color w:val="000000"/>
                <w:sz w:val="16"/>
                <w:szCs w:val="16"/>
              </w:rPr>
              <w:t>d</w:t>
            </w:r>
            <w:r w:rsidR="00E2055A" w:rsidRPr="00A32AF4">
              <w:rPr>
                <w:rFonts w:cs="Arial"/>
                <w:color w:val="000000"/>
                <w:sz w:val="16"/>
                <w:szCs w:val="16"/>
              </w:rPr>
              <w:t>’</w:t>
            </w:r>
            <w:r w:rsidR="002367B1" w:rsidRPr="00A32AF4">
              <w:rPr>
                <w:rFonts w:cs="Arial"/>
                <w:color w:val="000000"/>
                <w:sz w:val="16"/>
                <w:szCs w:val="16"/>
              </w:rPr>
              <w:t>articles de haute valeur</w:t>
            </w:r>
            <w:r w:rsidR="0072123A" w:rsidRPr="00A32AF4">
              <w:rPr>
                <w:rFonts w:cs="Arial"/>
                <w:color w:val="000000"/>
                <w:sz w:val="16"/>
                <w:szCs w:val="16"/>
              </w:rPr>
              <w:t xml:space="preserve"> (</w:t>
            </w:r>
            <w:r w:rsidR="00087DDF" w:rsidRPr="00A32AF4">
              <w:rPr>
                <w:rFonts w:cs="Arial"/>
                <w:color w:val="000000"/>
                <w:sz w:val="16"/>
                <w:szCs w:val="16"/>
              </w:rPr>
              <w:t>c.-à-d.</w:t>
            </w:r>
            <w:r w:rsidR="002367B1" w:rsidRPr="00A32AF4">
              <w:rPr>
                <w:rFonts w:cs="Arial"/>
                <w:color w:val="000000"/>
                <w:sz w:val="16"/>
                <w:szCs w:val="16"/>
              </w:rPr>
              <w:t xml:space="preserve"> &gt;5</w:t>
            </w:r>
            <w:r w:rsidR="0072123A" w:rsidRPr="00A32AF4">
              <w:rPr>
                <w:rFonts w:cs="Arial"/>
                <w:color w:val="000000"/>
                <w:sz w:val="16"/>
                <w:szCs w:val="16"/>
              </w:rPr>
              <w:t>000</w:t>
            </w:r>
            <w:r w:rsidRPr="00A32AF4">
              <w:rPr>
                <w:rFonts w:cs="Arial"/>
                <w:color w:val="000000"/>
                <w:sz w:val="16"/>
                <w:szCs w:val="16"/>
              </w:rPr>
              <w:t> francs suisses</w:t>
            </w:r>
            <w:r w:rsidR="0072123A" w:rsidRPr="00A32AF4">
              <w:rPr>
                <w:rFonts w:cs="Arial"/>
                <w:color w:val="000000"/>
                <w:sz w:val="16"/>
                <w:szCs w:val="16"/>
              </w:rPr>
              <w:t>) inventori</w:t>
            </w:r>
            <w:r w:rsidR="002367B1" w:rsidRPr="00A32AF4">
              <w:rPr>
                <w:rFonts w:cs="Arial"/>
                <w:color w:val="000000"/>
                <w:sz w:val="16"/>
                <w:szCs w:val="16"/>
              </w:rPr>
              <w:t>és</w:t>
            </w:r>
          </w:p>
        </w:tc>
        <w:tc>
          <w:tcPr>
            <w:tcW w:w="2440" w:type="dxa"/>
            <w:shd w:val="clear" w:color="000000" w:fill="FFFFFF"/>
            <w:tcMar>
              <w:top w:w="113" w:type="dxa"/>
              <w:bottom w:w="113" w:type="dxa"/>
            </w:tcMar>
            <w:hideMark/>
          </w:tcPr>
          <w:p w:rsidR="00F93B76" w:rsidRPr="00A32AF4" w:rsidRDefault="00DC2AF7" w:rsidP="00DC0553">
            <w:pPr>
              <w:contextualSpacing/>
              <w:rPr>
                <w:rFonts w:cs="Arial"/>
                <w:sz w:val="16"/>
                <w:szCs w:val="16"/>
              </w:rPr>
            </w:pPr>
            <w:r w:rsidRPr="00A32AF4">
              <w:rPr>
                <w:rFonts w:cs="Arial"/>
                <w:sz w:val="16"/>
                <w:szCs w:val="16"/>
              </w:rPr>
              <w:t>80 espaces de travail loués, 5 zones de stockage ou d</w:t>
            </w:r>
            <w:r w:rsidR="00E2055A" w:rsidRPr="00A32AF4">
              <w:rPr>
                <w:rFonts w:cs="Arial"/>
                <w:sz w:val="16"/>
                <w:szCs w:val="16"/>
              </w:rPr>
              <w:t>’</w:t>
            </w:r>
            <w:r w:rsidRPr="00A32AF4">
              <w:rPr>
                <w:rFonts w:cs="Arial"/>
                <w:sz w:val="16"/>
                <w:szCs w:val="16"/>
              </w:rPr>
              <w:t>archivage hors site</w:t>
            </w:r>
          </w:p>
          <w:p w:rsidR="00F93B76" w:rsidRPr="00A32AF4" w:rsidRDefault="00F93B76" w:rsidP="00DC0553">
            <w:pPr>
              <w:contextualSpacing/>
              <w:rPr>
                <w:rFonts w:cs="Arial"/>
                <w:sz w:val="16"/>
                <w:szCs w:val="16"/>
              </w:rPr>
            </w:pPr>
          </w:p>
          <w:p w:rsidR="00F93B76" w:rsidRPr="00A32AF4" w:rsidRDefault="00F93B76" w:rsidP="00DC0553">
            <w:pPr>
              <w:contextualSpacing/>
              <w:rPr>
                <w:rFonts w:cs="Arial"/>
                <w:sz w:val="16"/>
                <w:szCs w:val="16"/>
              </w:rPr>
            </w:pPr>
          </w:p>
          <w:p w:rsidR="00F93B76" w:rsidRPr="00A32AF4" w:rsidRDefault="00F93B76" w:rsidP="00DC0553">
            <w:pPr>
              <w:contextualSpacing/>
              <w:rPr>
                <w:rFonts w:cs="Arial"/>
                <w:sz w:val="16"/>
                <w:szCs w:val="16"/>
              </w:rPr>
            </w:pPr>
          </w:p>
          <w:p w:rsidR="0072123A" w:rsidRPr="00A32AF4" w:rsidRDefault="0072123A" w:rsidP="00DC0553">
            <w:pPr>
              <w:contextualSpacing/>
              <w:rPr>
                <w:rFonts w:cs="Arial"/>
                <w:sz w:val="16"/>
                <w:szCs w:val="16"/>
              </w:rPr>
            </w:pPr>
            <w:r w:rsidRPr="00A32AF4">
              <w:rPr>
                <w:rFonts w:cs="Arial"/>
                <w:sz w:val="16"/>
                <w:szCs w:val="16"/>
              </w:rPr>
              <w:t>95%</w:t>
            </w:r>
          </w:p>
        </w:tc>
        <w:tc>
          <w:tcPr>
            <w:tcW w:w="2149" w:type="dxa"/>
            <w:shd w:val="clear" w:color="000000" w:fill="FFFFFF"/>
            <w:tcMar>
              <w:top w:w="113" w:type="dxa"/>
              <w:bottom w:w="113" w:type="dxa"/>
            </w:tcMar>
            <w:hideMark/>
          </w:tcPr>
          <w:p w:rsidR="00F93B76" w:rsidRPr="00A32AF4" w:rsidRDefault="00DC2AF7" w:rsidP="00DC0553">
            <w:pPr>
              <w:contextualSpacing/>
              <w:rPr>
                <w:rFonts w:cs="Arial"/>
                <w:sz w:val="16"/>
                <w:szCs w:val="16"/>
              </w:rPr>
            </w:pPr>
            <w:r w:rsidRPr="00A32AF4">
              <w:rPr>
                <w:rFonts w:cs="Arial"/>
                <w:sz w:val="16"/>
                <w:szCs w:val="16"/>
              </w:rPr>
              <w:t>Conserver les nombres de 80 espaces de travail loués, et de 5 zones de st</w:t>
            </w:r>
            <w:r w:rsidR="0072123A" w:rsidRPr="00A32AF4">
              <w:rPr>
                <w:rFonts w:cs="Arial"/>
                <w:sz w:val="16"/>
                <w:szCs w:val="16"/>
              </w:rPr>
              <w:t>ockage ou d</w:t>
            </w:r>
            <w:r w:rsidR="00E2055A" w:rsidRPr="00A32AF4">
              <w:rPr>
                <w:rFonts w:cs="Arial"/>
                <w:sz w:val="16"/>
                <w:szCs w:val="16"/>
              </w:rPr>
              <w:t>’</w:t>
            </w:r>
            <w:r w:rsidR="0072123A" w:rsidRPr="00A32AF4">
              <w:rPr>
                <w:rFonts w:cs="Arial"/>
                <w:sz w:val="16"/>
                <w:szCs w:val="16"/>
              </w:rPr>
              <w:t>archivage hors site</w:t>
            </w:r>
          </w:p>
          <w:p w:rsidR="00F93B76" w:rsidRPr="00A32AF4" w:rsidRDefault="00F93B76" w:rsidP="00DC0553">
            <w:pPr>
              <w:contextualSpacing/>
              <w:rPr>
                <w:rFonts w:cs="Arial"/>
                <w:sz w:val="16"/>
                <w:szCs w:val="16"/>
              </w:rPr>
            </w:pPr>
          </w:p>
          <w:p w:rsidR="0072123A" w:rsidRPr="00A32AF4" w:rsidRDefault="0072123A" w:rsidP="00DC0553">
            <w:pPr>
              <w:contextualSpacing/>
              <w:rPr>
                <w:rFonts w:cs="Arial"/>
                <w:sz w:val="16"/>
                <w:szCs w:val="16"/>
              </w:rPr>
            </w:pPr>
            <w:r w:rsidRPr="00A32AF4">
              <w:rPr>
                <w:rFonts w:cs="Arial"/>
                <w:color w:val="000000"/>
                <w:sz w:val="16"/>
                <w:szCs w:val="16"/>
              </w:rPr>
              <w:t>Maint</w:t>
            </w:r>
            <w:r w:rsidR="002367B1" w:rsidRPr="00A32AF4">
              <w:rPr>
                <w:rFonts w:cs="Arial"/>
                <w:color w:val="000000"/>
                <w:sz w:val="16"/>
                <w:szCs w:val="16"/>
              </w:rPr>
              <w:t>enir</w:t>
            </w:r>
            <w:r w:rsidRPr="00A32AF4">
              <w:rPr>
                <w:rFonts w:cs="Arial"/>
                <w:color w:val="000000"/>
                <w:sz w:val="16"/>
                <w:szCs w:val="16"/>
              </w:rPr>
              <w:t xml:space="preserve"> </w:t>
            </w:r>
            <w:r w:rsidR="00D20772" w:rsidRPr="00A32AF4">
              <w:rPr>
                <w:rFonts w:cs="Arial"/>
                <w:color w:val="000000"/>
                <w:sz w:val="16"/>
                <w:szCs w:val="16"/>
              </w:rPr>
              <w:t xml:space="preserve">à </w:t>
            </w:r>
            <w:r w:rsidRPr="00A32AF4">
              <w:rPr>
                <w:rFonts w:cs="Arial"/>
                <w:color w:val="000000"/>
                <w:sz w:val="16"/>
                <w:szCs w:val="16"/>
              </w:rPr>
              <w:t>95%</w:t>
            </w:r>
          </w:p>
        </w:tc>
      </w:tr>
      <w:tr w:rsidR="0072123A" w:rsidRPr="00A32AF4" w:rsidTr="008A20BF">
        <w:trPr>
          <w:cantSplit/>
        </w:trPr>
        <w:tc>
          <w:tcPr>
            <w:tcW w:w="2320" w:type="dxa"/>
            <w:shd w:val="clear" w:color="000000" w:fill="FFFFFF"/>
            <w:tcMar>
              <w:top w:w="113" w:type="dxa"/>
              <w:bottom w:w="113" w:type="dxa"/>
            </w:tcMar>
          </w:tcPr>
          <w:p w:rsidR="0072123A" w:rsidRPr="00A32AF4" w:rsidRDefault="0072123A" w:rsidP="00DC0553">
            <w:pPr>
              <w:contextualSpacing/>
              <w:rPr>
                <w:rFonts w:cs="Arial"/>
                <w:sz w:val="16"/>
                <w:szCs w:val="16"/>
              </w:rPr>
            </w:pPr>
          </w:p>
        </w:tc>
        <w:tc>
          <w:tcPr>
            <w:tcW w:w="2320" w:type="dxa"/>
            <w:shd w:val="clear" w:color="000000" w:fill="FFFFFF"/>
            <w:tcMar>
              <w:top w:w="113" w:type="dxa"/>
              <w:bottom w:w="113" w:type="dxa"/>
            </w:tcMar>
          </w:tcPr>
          <w:p w:rsidR="0072123A" w:rsidRPr="00A32AF4" w:rsidRDefault="00C464B2" w:rsidP="00DC0553">
            <w:pPr>
              <w:contextualSpacing/>
              <w:rPr>
                <w:rFonts w:cs="Arial"/>
                <w:sz w:val="16"/>
                <w:szCs w:val="16"/>
              </w:rPr>
            </w:pPr>
            <w:r w:rsidRPr="00A32AF4">
              <w:rPr>
                <w:rFonts w:cs="Arial"/>
                <w:color w:val="000000"/>
                <w:sz w:val="16"/>
                <w:szCs w:val="16"/>
              </w:rPr>
              <w:t xml:space="preserve">Pourcentage </w:t>
            </w:r>
            <w:r w:rsidR="002367B1" w:rsidRPr="00A32AF4">
              <w:rPr>
                <w:rFonts w:cs="Arial"/>
                <w:color w:val="000000"/>
                <w:sz w:val="16"/>
                <w:szCs w:val="16"/>
              </w:rPr>
              <w:t>d</w:t>
            </w:r>
            <w:r w:rsidR="00E2055A" w:rsidRPr="00A32AF4">
              <w:rPr>
                <w:rFonts w:cs="Arial"/>
                <w:color w:val="000000"/>
                <w:sz w:val="16"/>
                <w:szCs w:val="16"/>
              </w:rPr>
              <w:t>’</w:t>
            </w:r>
            <w:r w:rsidR="002367B1" w:rsidRPr="00A32AF4">
              <w:rPr>
                <w:rFonts w:cs="Arial"/>
                <w:color w:val="000000"/>
                <w:sz w:val="16"/>
                <w:szCs w:val="16"/>
              </w:rPr>
              <w:t>articles compris entre 1</w:t>
            </w:r>
            <w:r w:rsidR="0072123A" w:rsidRPr="00A32AF4">
              <w:rPr>
                <w:rFonts w:cs="Arial"/>
                <w:color w:val="000000"/>
                <w:sz w:val="16"/>
                <w:szCs w:val="16"/>
              </w:rPr>
              <w:t>000</w:t>
            </w:r>
            <w:r w:rsidR="002367B1" w:rsidRPr="00A32AF4">
              <w:rPr>
                <w:rFonts w:cs="Arial"/>
                <w:color w:val="000000"/>
                <w:sz w:val="16"/>
                <w:szCs w:val="16"/>
              </w:rPr>
              <w:t xml:space="preserve"> et </w:t>
            </w:r>
            <w:r w:rsidR="0072123A" w:rsidRPr="00A32AF4">
              <w:rPr>
                <w:rFonts w:cs="Arial"/>
                <w:color w:val="000000"/>
                <w:sz w:val="16"/>
                <w:szCs w:val="16"/>
              </w:rPr>
              <w:t>5000</w:t>
            </w:r>
            <w:r w:rsidRPr="00A32AF4">
              <w:rPr>
                <w:rFonts w:cs="Arial"/>
                <w:color w:val="000000"/>
                <w:sz w:val="16"/>
                <w:szCs w:val="16"/>
              </w:rPr>
              <w:t> francs suisses</w:t>
            </w:r>
            <w:r w:rsidR="0072123A" w:rsidRPr="00A32AF4">
              <w:rPr>
                <w:rFonts w:cs="Arial"/>
                <w:color w:val="000000"/>
                <w:sz w:val="16"/>
                <w:szCs w:val="16"/>
              </w:rPr>
              <w:t xml:space="preserve">, </w:t>
            </w:r>
            <w:r w:rsidR="002367B1" w:rsidRPr="00A32AF4">
              <w:rPr>
                <w:rFonts w:cs="Arial"/>
                <w:color w:val="000000"/>
                <w:sz w:val="16"/>
                <w:szCs w:val="16"/>
              </w:rPr>
              <w:t>œuvres d</w:t>
            </w:r>
            <w:r w:rsidR="00E2055A" w:rsidRPr="00A32AF4">
              <w:rPr>
                <w:rFonts w:cs="Arial"/>
                <w:color w:val="000000"/>
                <w:sz w:val="16"/>
                <w:szCs w:val="16"/>
              </w:rPr>
              <w:t>’</w:t>
            </w:r>
            <w:r w:rsidR="002367B1" w:rsidRPr="00A32AF4">
              <w:rPr>
                <w:rFonts w:cs="Arial"/>
                <w:color w:val="000000"/>
                <w:sz w:val="16"/>
                <w:szCs w:val="16"/>
              </w:rPr>
              <w:t>art</w:t>
            </w:r>
            <w:r w:rsidR="0072123A" w:rsidRPr="00A32AF4">
              <w:rPr>
                <w:rFonts w:cs="Arial"/>
                <w:color w:val="000000"/>
                <w:sz w:val="16"/>
                <w:szCs w:val="16"/>
              </w:rPr>
              <w:t xml:space="preserve"> </w:t>
            </w:r>
            <w:r w:rsidR="002367B1" w:rsidRPr="00A32AF4">
              <w:rPr>
                <w:rFonts w:cs="Arial"/>
                <w:color w:val="000000"/>
                <w:sz w:val="16"/>
                <w:szCs w:val="16"/>
              </w:rPr>
              <w:t>et articles d</w:t>
            </w:r>
            <w:r w:rsidR="00E2055A" w:rsidRPr="00A32AF4">
              <w:rPr>
                <w:rFonts w:cs="Arial"/>
                <w:color w:val="000000"/>
                <w:sz w:val="16"/>
                <w:szCs w:val="16"/>
              </w:rPr>
              <w:t>’</w:t>
            </w:r>
            <w:r w:rsidR="002367B1" w:rsidRPr="00A32AF4">
              <w:rPr>
                <w:rFonts w:cs="Arial"/>
                <w:color w:val="000000"/>
                <w:sz w:val="16"/>
                <w:szCs w:val="16"/>
              </w:rPr>
              <w:t>une certaine valeur</w:t>
            </w:r>
          </w:p>
        </w:tc>
        <w:tc>
          <w:tcPr>
            <w:tcW w:w="2440" w:type="dxa"/>
            <w:shd w:val="clear" w:color="000000" w:fill="FFFFFF"/>
            <w:tcMar>
              <w:top w:w="113" w:type="dxa"/>
              <w:bottom w:w="113" w:type="dxa"/>
            </w:tcMar>
          </w:tcPr>
          <w:p w:rsidR="0072123A" w:rsidRPr="00A32AF4" w:rsidRDefault="0072123A" w:rsidP="00DC0553">
            <w:pPr>
              <w:contextualSpacing/>
              <w:rPr>
                <w:rFonts w:cs="Arial"/>
                <w:sz w:val="16"/>
                <w:szCs w:val="16"/>
              </w:rPr>
            </w:pPr>
            <w:r w:rsidRPr="00A32AF4">
              <w:rPr>
                <w:rFonts w:cs="Arial"/>
                <w:sz w:val="16"/>
                <w:szCs w:val="16"/>
              </w:rPr>
              <w:t>s.o.</w:t>
            </w:r>
          </w:p>
        </w:tc>
        <w:tc>
          <w:tcPr>
            <w:tcW w:w="2149" w:type="dxa"/>
            <w:shd w:val="clear" w:color="000000" w:fill="FFFFFF"/>
            <w:tcMar>
              <w:top w:w="113" w:type="dxa"/>
              <w:bottom w:w="113" w:type="dxa"/>
            </w:tcMar>
          </w:tcPr>
          <w:p w:rsidR="0072123A" w:rsidRPr="00A32AF4" w:rsidRDefault="0072123A" w:rsidP="00DC0553">
            <w:pPr>
              <w:contextualSpacing/>
              <w:rPr>
                <w:rFonts w:cs="Arial"/>
                <w:sz w:val="16"/>
                <w:szCs w:val="16"/>
              </w:rPr>
            </w:pPr>
            <w:r w:rsidRPr="00A32AF4">
              <w:rPr>
                <w:rFonts w:cs="Arial"/>
                <w:sz w:val="16"/>
                <w:szCs w:val="16"/>
              </w:rPr>
              <w:t>90%</w:t>
            </w:r>
          </w:p>
        </w:tc>
      </w:tr>
      <w:tr w:rsidR="00DC2AF7" w:rsidRPr="00A32AF4" w:rsidTr="008A20BF">
        <w:trPr>
          <w:cantSplit/>
        </w:trPr>
        <w:tc>
          <w:tcPr>
            <w:tcW w:w="2320" w:type="dxa"/>
            <w:shd w:val="clear" w:color="000000" w:fill="FFFFFF"/>
            <w:tcMar>
              <w:top w:w="113" w:type="dxa"/>
              <w:bottom w:w="113" w:type="dxa"/>
            </w:tcMar>
            <w:hideMark/>
          </w:tcPr>
          <w:p w:rsidR="00DC2AF7" w:rsidRPr="00A32AF4" w:rsidRDefault="00DC2AF7" w:rsidP="00DC0553">
            <w:pPr>
              <w:contextualSpacing/>
              <w:rPr>
                <w:rFonts w:cs="Arial"/>
                <w:sz w:val="16"/>
                <w:szCs w:val="16"/>
              </w:rPr>
            </w:pPr>
            <w:r w:rsidRPr="00A32AF4">
              <w:rPr>
                <w:rFonts w:cs="Arial"/>
                <w:sz w:val="16"/>
                <w:szCs w:val="16"/>
              </w:rPr>
              <w:t>IX.4 Une Organisation écologiquement et socialement responsable assurant la sûreté et la sécurité du personnel, des délégués, des visiteurs, de l</w:t>
            </w:r>
            <w:r w:rsidR="00E2055A" w:rsidRPr="00A32AF4">
              <w:rPr>
                <w:rFonts w:cs="Arial"/>
                <w:sz w:val="16"/>
                <w:szCs w:val="16"/>
              </w:rPr>
              <w:t>’</w:t>
            </w:r>
            <w:r w:rsidRPr="00A32AF4">
              <w:rPr>
                <w:rFonts w:cs="Arial"/>
                <w:sz w:val="16"/>
                <w:szCs w:val="16"/>
              </w:rPr>
              <w:t>information et des biens</w:t>
            </w:r>
          </w:p>
        </w:tc>
        <w:tc>
          <w:tcPr>
            <w:tcW w:w="2320" w:type="dxa"/>
            <w:shd w:val="clear" w:color="000000" w:fill="FFFFFF"/>
            <w:tcMar>
              <w:top w:w="113" w:type="dxa"/>
              <w:bottom w:w="113" w:type="dxa"/>
            </w:tcMar>
            <w:hideMark/>
          </w:tcPr>
          <w:p w:rsidR="00DC2AF7" w:rsidRPr="00A32AF4" w:rsidRDefault="00DC2AF7" w:rsidP="00DC0553">
            <w:pPr>
              <w:contextualSpacing/>
              <w:rPr>
                <w:rFonts w:cs="Arial"/>
                <w:sz w:val="16"/>
                <w:szCs w:val="16"/>
              </w:rPr>
            </w:pPr>
            <w:r w:rsidRPr="00A32AF4">
              <w:rPr>
                <w:rFonts w:cs="Arial"/>
                <w:sz w:val="16"/>
                <w:szCs w:val="16"/>
              </w:rPr>
              <w:t>Réduction de l</w:t>
            </w:r>
            <w:r w:rsidR="00E2055A" w:rsidRPr="00A32AF4">
              <w:rPr>
                <w:rFonts w:cs="Arial"/>
                <w:sz w:val="16"/>
                <w:szCs w:val="16"/>
              </w:rPr>
              <w:t>’</w:t>
            </w:r>
            <w:r w:rsidRPr="00A32AF4">
              <w:rPr>
                <w:rFonts w:cs="Arial"/>
                <w:sz w:val="16"/>
                <w:szCs w:val="16"/>
              </w:rPr>
              <w:t>impact environnemental des activités de l</w:t>
            </w:r>
            <w:r w:rsidR="00E2055A" w:rsidRPr="00A32AF4">
              <w:rPr>
                <w:rFonts w:cs="Arial"/>
                <w:sz w:val="16"/>
                <w:szCs w:val="16"/>
              </w:rPr>
              <w:t>’</w:t>
            </w:r>
            <w:r w:rsidRPr="00A32AF4">
              <w:rPr>
                <w:rFonts w:cs="Arial"/>
                <w:sz w:val="16"/>
                <w:szCs w:val="16"/>
              </w:rPr>
              <w:t>OMPI</w:t>
            </w:r>
          </w:p>
        </w:tc>
        <w:tc>
          <w:tcPr>
            <w:tcW w:w="2440" w:type="dxa"/>
            <w:shd w:val="clear" w:color="000000" w:fill="FFFFFF"/>
            <w:tcMar>
              <w:top w:w="113" w:type="dxa"/>
              <w:bottom w:w="113" w:type="dxa"/>
            </w:tcMar>
            <w:hideMark/>
          </w:tcPr>
          <w:p w:rsidR="00DC2AF7" w:rsidRPr="00A32AF4" w:rsidRDefault="00DC2AF7" w:rsidP="00DC0553">
            <w:pPr>
              <w:contextualSpacing/>
              <w:rPr>
                <w:rFonts w:cs="Arial"/>
                <w:sz w:val="16"/>
                <w:szCs w:val="16"/>
              </w:rPr>
            </w:pPr>
            <w:proofErr w:type="gramStart"/>
            <w:r w:rsidRPr="00A32AF4">
              <w:rPr>
                <w:rFonts w:cs="Arial"/>
                <w:sz w:val="16"/>
                <w:szCs w:val="16"/>
              </w:rPr>
              <w:t>A.  L</w:t>
            </w:r>
            <w:r w:rsidR="00E2055A" w:rsidRPr="00A32AF4">
              <w:rPr>
                <w:rFonts w:cs="Arial"/>
                <w:sz w:val="16"/>
                <w:szCs w:val="16"/>
              </w:rPr>
              <w:t>’</w:t>
            </w:r>
            <w:r w:rsidRPr="00A32AF4">
              <w:rPr>
                <w:rFonts w:cs="Arial"/>
                <w:sz w:val="16"/>
                <w:szCs w:val="16"/>
              </w:rPr>
              <w:t>engagement</w:t>
            </w:r>
            <w:proofErr w:type="gramEnd"/>
            <w:r w:rsidRPr="00A32AF4">
              <w:rPr>
                <w:rFonts w:cs="Arial"/>
                <w:sz w:val="16"/>
                <w:szCs w:val="16"/>
              </w:rPr>
              <w:t xml:space="preserve"> pris dans le cadre de la neutralité climatique de l</w:t>
            </w:r>
            <w:r w:rsidR="00E2055A" w:rsidRPr="00A32AF4">
              <w:rPr>
                <w:rFonts w:cs="Arial"/>
                <w:sz w:val="16"/>
                <w:szCs w:val="16"/>
              </w:rPr>
              <w:t>’</w:t>
            </w:r>
            <w:r w:rsidRPr="00A32AF4">
              <w:rPr>
                <w:rFonts w:cs="Arial"/>
                <w:sz w:val="16"/>
                <w:szCs w:val="16"/>
              </w:rPr>
              <w:t xml:space="preserve">Organisation des </w:t>
            </w:r>
            <w:r w:rsidR="00E2055A" w:rsidRPr="00A32AF4">
              <w:rPr>
                <w:rFonts w:cs="Arial"/>
                <w:sz w:val="16"/>
                <w:szCs w:val="16"/>
              </w:rPr>
              <w:t>Nations Unies</w:t>
            </w:r>
            <w:r w:rsidRPr="00A32AF4">
              <w:rPr>
                <w:rFonts w:cs="Arial"/>
                <w:sz w:val="16"/>
                <w:szCs w:val="16"/>
              </w:rPr>
              <w:t xml:space="preserve"> annoncée par le Secrétaire général de l</w:t>
            </w:r>
            <w:r w:rsidR="00E2055A" w:rsidRPr="00A32AF4">
              <w:rPr>
                <w:rFonts w:cs="Arial"/>
                <w:sz w:val="16"/>
                <w:szCs w:val="16"/>
              </w:rPr>
              <w:t>’</w:t>
            </w:r>
            <w:r w:rsidRPr="00A32AF4">
              <w:rPr>
                <w:rFonts w:cs="Arial"/>
                <w:sz w:val="16"/>
                <w:szCs w:val="16"/>
              </w:rPr>
              <w:t xml:space="preserve">ONU en septembre 2014 </w:t>
            </w:r>
            <w:r w:rsidRPr="00A32AF4">
              <w:rPr>
                <w:rFonts w:cs="Arial"/>
                <w:sz w:val="16"/>
                <w:szCs w:val="16"/>
              </w:rPr>
              <w:br/>
              <w:t>B.  L</w:t>
            </w:r>
            <w:r w:rsidR="00E2055A" w:rsidRPr="00A32AF4">
              <w:rPr>
                <w:rFonts w:cs="Arial"/>
                <w:sz w:val="16"/>
                <w:szCs w:val="16"/>
              </w:rPr>
              <w:t>’</w:t>
            </w:r>
            <w:r w:rsidRPr="00A32AF4">
              <w:rPr>
                <w:rFonts w:cs="Arial"/>
                <w:sz w:val="16"/>
                <w:szCs w:val="16"/>
              </w:rPr>
              <w:t>engagement pris envers le pays hôte et les règles locales en matière de consommation d</w:t>
            </w:r>
            <w:r w:rsidR="00E2055A" w:rsidRPr="00A32AF4">
              <w:rPr>
                <w:rFonts w:cs="Arial"/>
                <w:sz w:val="16"/>
                <w:szCs w:val="16"/>
              </w:rPr>
              <w:t>’</w:t>
            </w:r>
            <w:r w:rsidRPr="00A32AF4">
              <w:rPr>
                <w:rFonts w:cs="Arial"/>
                <w:sz w:val="16"/>
                <w:szCs w:val="16"/>
              </w:rPr>
              <w:t xml:space="preserve">énergie </w:t>
            </w:r>
            <w:r w:rsidRPr="00A32AF4">
              <w:rPr>
                <w:rFonts w:cs="Arial"/>
                <w:sz w:val="16"/>
                <w:szCs w:val="16"/>
              </w:rPr>
              <w:br/>
              <w:t>C.  Le niveau de consommation d</w:t>
            </w:r>
            <w:r w:rsidR="00E2055A" w:rsidRPr="00A32AF4">
              <w:rPr>
                <w:rFonts w:cs="Arial"/>
                <w:sz w:val="16"/>
                <w:szCs w:val="16"/>
              </w:rPr>
              <w:t>’</w:t>
            </w:r>
            <w:r w:rsidRPr="00A32AF4">
              <w:rPr>
                <w:rFonts w:cs="Arial"/>
                <w:sz w:val="16"/>
                <w:szCs w:val="16"/>
              </w:rPr>
              <w:t>énergie à la fin de 2015</w:t>
            </w:r>
          </w:p>
        </w:tc>
        <w:tc>
          <w:tcPr>
            <w:tcW w:w="2149" w:type="dxa"/>
            <w:shd w:val="clear" w:color="000000" w:fill="FFFFFF"/>
            <w:tcMar>
              <w:top w:w="113" w:type="dxa"/>
              <w:bottom w:w="113" w:type="dxa"/>
            </w:tcMar>
            <w:hideMark/>
          </w:tcPr>
          <w:p w:rsidR="00DC2AF7" w:rsidRPr="00A32AF4" w:rsidRDefault="00DC2AF7" w:rsidP="00DC0553">
            <w:pPr>
              <w:contextualSpacing/>
              <w:rPr>
                <w:rFonts w:cs="Arial"/>
                <w:sz w:val="16"/>
                <w:szCs w:val="16"/>
              </w:rPr>
            </w:pPr>
            <w:proofErr w:type="gramStart"/>
            <w:r w:rsidRPr="00A32AF4">
              <w:rPr>
                <w:rFonts w:cs="Arial"/>
                <w:sz w:val="16"/>
                <w:szCs w:val="16"/>
              </w:rPr>
              <w:t>A.  Maintenir</w:t>
            </w:r>
            <w:proofErr w:type="gramEnd"/>
            <w:r w:rsidRPr="00A32AF4">
              <w:rPr>
                <w:rFonts w:cs="Arial"/>
                <w:sz w:val="16"/>
                <w:szCs w:val="16"/>
              </w:rPr>
              <w:t xml:space="preserve"> les émissions de carbone et de gaz à effet de serre au niveau de fin 2015 </w:t>
            </w:r>
            <w:r w:rsidRPr="00A32AF4">
              <w:rPr>
                <w:rFonts w:cs="Arial"/>
                <w:sz w:val="16"/>
                <w:szCs w:val="16"/>
              </w:rPr>
              <w:br/>
              <w:t>B.  Mise en œuvre d</w:t>
            </w:r>
            <w:r w:rsidR="00E2055A" w:rsidRPr="00A32AF4">
              <w:rPr>
                <w:rFonts w:cs="Arial"/>
                <w:sz w:val="16"/>
                <w:szCs w:val="16"/>
              </w:rPr>
              <w:t>’</w:t>
            </w:r>
            <w:r w:rsidRPr="00A32AF4">
              <w:rPr>
                <w:rFonts w:cs="Arial"/>
                <w:sz w:val="16"/>
                <w:szCs w:val="16"/>
              </w:rPr>
              <w:t>ici fin 2017 de mesures visant à maintenir la consommation d</w:t>
            </w:r>
            <w:r w:rsidR="00E2055A" w:rsidRPr="00A32AF4">
              <w:rPr>
                <w:rFonts w:cs="Arial"/>
                <w:sz w:val="16"/>
                <w:szCs w:val="16"/>
              </w:rPr>
              <w:t>’</w:t>
            </w:r>
            <w:r w:rsidRPr="00A32AF4">
              <w:rPr>
                <w:rFonts w:cs="Arial"/>
                <w:sz w:val="16"/>
                <w:szCs w:val="16"/>
              </w:rPr>
              <w:t>énergie au niveau de fin 2015 dans des conditions météorologiques comparables (pour l</w:t>
            </w:r>
            <w:r w:rsidR="00E2055A" w:rsidRPr="00A32AF4">
              <w:rPr>
                <w:rFonts w:cs="Arial"/>
                <w:sz w:val="16"/>
                <w:szCs w:val="16"/>
              </w:rPr>
              <w:t>’</w:t>
            </w:r>
            <w:r w:rsidRPr="00A32AF4">
              <w:rPr>
                <w:rFonts w:cs="Arial"/>
                <w:sz w:val="16"/>
                <w:szCs w:val="16"/>
              </w:rPr>
              <w:t>électricité, l</w:t>
            </w:r>
            <w:r w:rsidR="00E2055A" w:rsidRPr="00A32AF4">
              <w:rPr>
                <w:rFonts w:cs="Arial"/>
                <w:sz w:val="16"/>
                <w:szCs w:val="16"/>
              </w:rPr>
              <w:t>’</w:t>
            </w:r>
            <w:r w:rsidRPr="00A32AF4">
              <w:rPr>
                <w:rFonts w:cs="Arial"/>
                <w:sz w:val="16"/>
                <w:szCs w:val="16"/>
              </w:rPr>
              <w:t xml:space="preserve">eau, le gaz et </w:t>
            </w:r>
            <w:r w:rsidR="00CA272D" w:rsidRPr="00A32AF4">
              <w:rPr>
                <w:rFonts w:cs="Arial"/>
                <w:sz w:val="16"/>
                <w:szCs w:val="16"/>
              </w:rPr>
              <w:t>le fioul domestique</w:t>
            </w:r>
            <w:r w:rsidRPr="00A32AF4">
              <w:rPr>
                <w:rFonts w:cs="Arial"/>
                <w:sz w:val="16"/>
                <w:szCs w:val="16"/>
              </w:rPr>
              <w:t>)</w:t>
            </w:r>
          </w:p>
        </w:tc>
      </w:tr>
      <w:tr w:rsidR="00DC2AF7" w:rsidRPr="00A32AF4" w:rsidTr="008A20BF">
        <w:trPr>
          <w:cantSplit/>
        </w:trPr>
        <w:tc>
          <w:tcPr>
            <w:tcW w:w="2320" w:type="dxa"/>
            <w:shd w:val="clear" w:color="000000" w:fill="FFFFFF"/>
            <w:tcMar>
              <w:top w:w="113" w:type="dxa"/>
              <w:bottom w:w="113" w:type="dxa"/>
            </w:tcMar>
          </w:tcPr>
          <w:p w:rsidR="00DC2AF7" w:rsidRPr="00A32AF4" w:rsidRDefault="00DC2AF7" w:rsidP="00DC0553">
            <w:pPr>
              <w:contextualSpacing/>
              <w:rPr>
                <w:rFonts w:cs="Arial"/>
                <w:sz w:val="16"/>
                <w:szCs w:val="16"/>
              </w:rPr>
            </w:pPr>
          </w:p>
        </w:tc>
        <w:tc>
          <w:tcPr>
            <w:tcW w:w="2320" w:type="dxa"/>
            <w:shd w:val="clear" w:color="000000" w:fill="FFFFFF"/>
            <w:tcMar>
              <w:top w:w="113" w:type="dxa"/>
              <w:bottom w:w="113" w:type="dxa"/>
            </w:tcMar>
          </w:tcPr>
          <w:p w:rsidR="00DC2AF7" w:rsidRPr="00A32AF4" w:rsidRDefault="00DC2AF7" w:rsidP="00DC0553">
            <w:pPr>
              <w:contextualSpacing/>
              <w:rPr>
                <w:rFonts w:cs="Arial"/>
                <w:sz w:val="16"/>
                <w:szCs w:val="16"/>
              </w:rPr>
            </w:pPr>
            <w:r w:rsidRPr="00A32AF4">
              <w:rPr>
                <w:rFonts w:cs="Arial"/>
                <w:sz w:val="16"/>
                <w:szCs w:val="16"/>
              </w:rPr>
              <w:t>Amélioration de l</w:t>
            </w:r>
            <w:r w:rsidR="00E2055A" w:rsidRPr="00A32AF4">
              <w:rPr>
                <w:rFonts w:cs="Arial"/>
                <w:sz w:val="16"/>
                <w:szCs w:val="16"/>
              </w:rPr>
              <w:t>’</w:t>
            </w:r>
            <w:r w:rsidRPr="00A32AF4">
              <w:rPr>
                <w:rFonts w:cs="Arial"/>
                <w:sz w:val="16"/>
                <w:szCs w:val="16"/>
              </w:rPr>
              <w:t>accès physique au campus de l</w:t>
            </w:r>
            <w:r w:rsidR="00E2055A" w:rsidRPr="00A32AF4">
              <w:rPr>
                <w:rFonts w:cs="Arial"/>
                <w:sz w:val="16"/>
                <w:szCs w:val="16"/>
              </w:rPr>
              <w:t>’</w:t>
            </w:r>
            <w:r w:rsidRPr="00A32AF4">
              <w:rPr>
                <w:rFonts w:cs="Arial"/>
                <w:sz w:val="16"/>
                <w:szCs w:val="16"/>
              </w:rPr>
              <w:t xml:space="preserve">OMPI </w:t>
            </w:r>
          </w:p>
        </w:tc>
        <w:tc>
          <w:tcPr>
            <w:tcW w:w="2440" w:type="dxa"/>
            <w:shd w:val="clear" w:color="000000" w:fill="FFFFFF"/>
            <w:tcMar>
              <w:top w:w="113" w:type="dxa"/>
              <w:bottom w:w="113" w:type="dxa"/>
            </w:tcMar>
          </w:tcPr>
          <w:p w:rsidR="00DC2AF7" w:rsidRPr="00A32AF4" w:rsidRDefault="00DC2AF7" w:rsidP="00DC0553">
            <w:pPr>
              <w:contextualSpacing/>
              <w:rPr>
                <w:rFonts w:cs="Arial"/>
                <w:sz w:val="16"/>
                <w:szCs w:val="16"/>
              </w:rPr>
            </w:pPr>
            <w:r w:rsidRPr="00A32AF4">
              <w:rPr>
                <w:rFonts w:cs="Arial"/>
                <w:sz w:val="16"/>
                <w:szCs w:val="16"/>
              </w:rPr>
              <w:t>Les recommandations figurant dans l</w:t>
            </w:r>
            <w:r w:rsidR="00E2055A" w:rsidRPr="00A32AF4">
              <w:rPr>
                <w:rFonts w:cs="Arial"/>
                <w:sz w:val="16"/>
                <w:szCs w:val="16"/>
              </w:rPr>
              <w:t>’</w:t>
            </w:r>
            <w:r w:rsidRPr="00A32AF4">
              <w:rPr>
                <w:rFonts w:cs="Arial"/>
                <w:sz w:val="16"/>
                <w:szCs w:val="16"/>
              </w:rPr>
              <w:t>audit sur l</w:t>
            </w:r>
            <w:r w:rsidR="00E2055A" w:rsidRPr="00A32AF4">
              <w:rPr>
                <w:rFonts w:cs="Arial"/>
                <w:sz w:val="16"/>
                <w:szCs w:val="16"/>
              </w:rPr>
              <w:t>’</w:t>
            </w:r>
            <w:r w:rsidRPr="00A32AF4">
              <w:rPr>
                <w:rFonts w:cs="Arial"/>
                <w:sz w:val="16"/>
                <w:szCs w:val="16"/>
              </w:rPr>
              <w:t>accessibilité physique de 2012</w:t>
            </w:r>
          </w:p>
        </w:tc>
        <w:tc>
          <w:tcPr>
            <w:tcW w:w="2149" w:type="dxa"/>
            <w:shd w:val="clear" w:color="000000" w:fill="FFFFFF"/>
            <w:tcMar>
              <w:top w:w="113" w:type="dxa"/>
              <w:bottom w:w="113" w:type="dxa"/>
            </w:tcMar>
          </w:tcPr>
          <w:p w:rsidR="00DC2AF7" w:rsidRPr="00A32AF4" w:rsidRDefault="00DC2AF7" w:rsidP="00DC0553">
            <w:pPr>
              <w:contextualSpacing/>
              <w:rPr>
                <w:rFonts w:cs="Arial"/>
                <w:sz w:val="16"/>
                <w:szCs w:val="16"/>
              </w:rPr>
            </w:pPr>
            <w:r w:rsidRPr="00A32AF4">
              <w:rPr>
                <w:rFonts w:cs="Arial"/>
                <w:sz w:val="16"/>
                <w:szCs w:val="16"/>
              </w:rPr>
              <w:t>Mise en œuvre des mesures suivantes d</w:t>
            </w:r>
            <w:r w:rsidR="00E2055A" w:rsidRPr="00A32AF4">
              <w:rPr>
                <w:rFonts w:cs="Arial"/>
                <w:sz w:val="16"/>
                <w:szCs w:val="16"/>
              </w:rPr>
              <w:t>’</w:t>
            </w:r>
            <w:r w:rsidRPr="00A32AF4">
              <w:rPr>
                <w:rFonts w:cs="Arial"/>
                <w:sz w:val="16"/>
                <w:szCs w:val="16"/>
              </w:rPr>
              <w:t xml:space="preserve">ici fin 2017 : </w:t>
            </w:r>
            <w:r w:rsidRPr="00A32AF4">
              <w:rPr>
                <w:rFonts w:cs="Arial"/>
                <w:sz w:val="16"/>
                <w:szCs w:val="16"/>
              </w:rPr>
              <w:br/>
              <w:t xml:space="preserve">1.  Installation de lecteurs de badge situés à une hauteur appropriée pour les personnes handicapées </w:t>
            </w:r>
            <w:r w:rsidRPr="00A32AF4">
              <w:rPr>
                <w:rFonts w:cs="Arial"/>
                <w:sz w:val="16"/>
                <w:szCs w:val="16"/>
              </w:rPr>
              <w:br/>
              <w:t>2.  Installation de barrières de sécurité là où elles se révèlent nécessaires</w:t>
            </w:r>
          </w:p>
        </w:tc>
      </w:tr>
    </w:tbl>
    <w:p w:rsidR="00F93B76" w:rsidRPr="00A32AF4" w:rsidRDefault="00F93B76" w:rsidP="00DC0553"/>
    <w:p w:rsidR="00F93B76" w:rsidRPr="00A32AF4" w:rsidRDefault="00F93B76" w:rsidP="00DC0553"/>
    <w:p w:rsidR="00E325C7" w:rsidRPr="00A32AF4" w:rsidRDefault="00E325C7">
      <w:r w:rsidRPr="00A32AF4">
        <w:br w:type="page"/>
      </w:r>
    </w:p>
    <w:p w:rsidR="00F93B76" w:rsidRPr="00A32AF4" w:rsidRDefault="00DC2AF7" w:rsidP="00DC0553">
      <w:r w:rsidRPr="00A32AF4">
        <w:t>RESSOURCES ALLOUÉES AU PROGRAMME 24</w:t>
      </w:r>
    </w:p>
    <w:p w:rsidR="00F93B76" w:rsidRPr="00A32AF4" w:rsidRDefault="00F93B76" w:rsidP="00DC0553">
      <w:pPr>
        <w:jc w:val="both"/>
        <w:rPr>
          <w:rFonts w:cs="Arial"/>
        </w:rPr>
      </w:pPr>
    </w:p>
    <w:p w:rsidR="00F93B76" w:rsidRPr="00A32AF4" w:rsidRDefault="009461CF" w:rsidP="00DC0553">
      <w:pPr>
        <w:pStyle w:val="ListParagraph"/>
        <w:numPr>
          <w:ilvl w:val="0"/>
          <w:numId w:val="32"/>
        </w:numPr>
        <w:tabs>
          <w:tab w:val="left" w:pos="709"/>
        </w:tabs>
        <w:spacing w:after="0" w:line="240" w:lineRule="auto"/>
        <w:ind w:left="0" w:firstLine="0"/>
        <w:contextualSpacing w:val="0"/>
        <w:jc w:val="both"/>
        <w:rPr>
          <w:rFonts w:ascii="Arial" w:hAnsi="Arial" w:cs="Arial"/>
          <w:color w:val="000000"/>
          <w:szCs w:val="20"/>
        </w:rPr>
      </w:pPr>
      <w:r w:rsidRPr="00A32AF4">
        <w:rPr>
          <w:rFonts w:ascii="Arial" w:hAnsi="Arial" w:cs="Arial"/>
          <w:color w:val="000000"/>
          <w:szCs w:val="20"/>
        </w:rPr>
        <w:t xml:space="preserve">Une légère diminution peut être observée dans les </w:t>
      </w:r>
      <w:r w:rsidR="00CA272D" w:rsidRPr="00A32AF4">
        <w:rPr>
          <w:rFonts w:ascii="Arial" w:hAnsi="Arial" w:cs="Arial"/>
          <w:color w:val="000000"/>
          <w:szCs w:val="20"/>
        </w:rPr>
        <w:t>ressources totales pour</w:t>
      </w:r>
      <w:r w:rsidR="00FD43E3" w:rsidRPr="00A32AF4">
        <w:rPr>
          <w:rFonts w:ascii="Arial" w:hAnsi="Arial" w:cs="Arial"/>
          <w:color w:val="000000"/>
          <w:szCs w:val="20"/>
        </w:rPr>
        <w:t> </w:t>
      </w:r>
      <w:r w:rsidR="008A20BF" w:rsidRPr="00A32AF4">
        <w:rPr>
          <w:rFonts w:ascii="Arial" w:hAnsi="Arial" w:cs="Arial"/>
          <w:color w:val="000000"/>
          <w:szCs w:val="20"/>
        </w:rPr>
        <w:t>2016</w:t>
      </w:r>
      <w:r w:rsidR="00EB7F54" w:rsidRPr="00A32AF4">
        <w:rPr>
          <w:rFonts w:ascii="Arial" w:hAnsi="Arial" w:cs="Arial"/>
          <w:color w:val="000000"/>
          <w:szCs w:val="20"/>
        </w:rPr>
        <w:noBreakHyphen/>
      </w:r>
      <w:r w:rsidR="00CA272D" w:rsidRPr="00A32AF4">
        <w:rPr>
          <w:rFonts w:ascii="Arial" w:hAnsi="Arial" w:cs="Arial"/>
          <w:color w:val="000000"/>
          <w:szCs w:val="20"/>
        </w:rPr>
        <w:t>20</w:t>
      </w:r>
      <w:r w:rsidR="008A20BF" w:rsidRPr="00A32AF4">
        <w:rPr>
          <w:rFonts w:ascii="Arial" w:hAnsi="Arial" w:cs="Arial"/>
          <w:color w:val="000000"/>
          <w:szCs w:val="20"/>
        </w:rPr>
        <w:t xml:space="preserve">17 </w:t>
      </w:r>
      <w:r w:rsidR="00CA272D" w:rsidRPr="00A32AF4">
        <w:rPr>
          <w:rFonts w:ascii="Arial" w:hAnsi="Arial" w:cs="Arial"/>
          <w:color w:val="000000"/>
          <w:szCs w:val="20"/>
        </w:rPr>
        <w:t>par rapport au budget 2014</w:t>
      </w:r>
      <w:r w:rsidR="00EB7F54" w:rsidRPr="00A32AF4">
        <w:rPr>
          <w:rFonts w:ascii="Arial" w:hAnsi="Arial" w:cs="Arial"/>
          <w:color w:val="000000"/>
          <w:szCs w:val="20"/>
        </w:rPr>
        <w:noBreakHyphen/>
      </w:r>
      <w:r w:rsidR="00CA272D" w:rsidRPr="00A32AF4">
        <w:rPr>
          <w:rFonts w:ascii="Arial" w:hAnsi="Arial" w:cs="Arial"/>
          <w:color w:val="000000"/>
          <w:szCs w:val="20"/>
        </w:rPr>
        <w:t>20</w:t>
      </w:r>
      <w:r w:rsidR="008A20BF" w:rsidRPr="00A32AF4">
        <w:rPr>
          <w:rFonts w:ascii="Arial" w:hAnsi="Arial" w:cs="Arial"/>
          <w:color w:val="000000"/>
          <w:szCs w:val="20"/>
        </w:rPr>
        <w:t xml:space="preserve">15 </w:t>
      </w:r>
      <w:r w:rsidR="00CA272D" w:rsidRPr="00A32AF4">
        <w:rPr>
          <w:rFonts w:ascii="Arial" w:hAnsi="Arial" w:cs="Arial"/>
          <w:color w:val="000000"/>
          <w:szCs w:val="20"/>
        </w:rPr>
        <w:t>après virements</w:t>
      </w:r>
      <w:r w:rsidR="008A20BF" w:rsidRPr="00A32AF4">
        <w:rPr>
          <w:rFonts w:ascii="Arial" w:hAnsi="Arial" w:cs="Arial"/>
          <w:color w:val="000000"/>
          <w:szCs w:val="20"/>
        </w:rPr>
        <w:t xml:space="preserve">.  </w:t>
      </w:r>
      <w:r w:rsidR="00CA272D" w:rsidRPr="00A32AF4">
        <w:rPr>
          <w:rFonts w:ascii="Arial" w:hAnsi="Arial" w:cs="Arial"/>
          <w:color w:val="000000"/>
          <w:szCs w:val="20"/>
        </w:rPr>
        <w:t>La diminution nette des dépenses de personnel découle d</w:t>
      </w:r>
      <w:r w:rsidR="00E2055A" w:rsidRPr="00A32AF4">
        <w:rPr>
          <w:rFonts w:ascii="Arial" w:hAnsi="Arial" w:cs="Arial"/>
          <w:color w:val="000000"/>
          <w:szCs w:val="20"/>
        </w:rPr>
        <w:t>’</w:t>
      </w:r>
      <w:r w:rsidR="00CA272D" w:rsidRPr="00A32AF4">
        <w:rPr>
          <w:rFonts w:ascii="Arial" w:hAnsi="Arial" w:cs="Arial"/>
          <w:color w:val="000000"/>
          <w:szCs w:val="20"/>
        </w:rPr>
        <w:t>une combinaison d</w:t>
      </w:r>
      <w:r w:rsidR="00E2055A" w:rsidRPr="00A32AF4">
        <w:rPr>
          <w:rFonts w:ascii="Arial" w:hAnsi="Arial" w:cs="Arial"/>
          <w:color w:val="000000"/>
          <w:szCs w:val="20"/>
        </w:rPr>
        <w:t>’</w:t>
      </w:r>
      <w:r w:rsidR="00CA272D" w:rsidRPr="00A32AF4">
        <w:rPr>
          <w:rFonts w:ascii="Arial" w:hAnsi="Arial" w:cs="Arial"/>
          <w:color w:val="000000"/>
          <w:szCs w:val="20"/>
        </w:rPr>
        <w:t>augmentations statutaires et de la réaffectation de trois</w:t>
      </w:r>
      <w:r w:rsidR="00FD43E3" w:rsidRPr="00A32AF4">
        <w:rPr>
          <w:rFonts w:ascii="Arial" w:hAnsi="Arial" w:cs="Arial"/>
          <w:color w:val="000000"/>
          <w:szCs w:val="20"/>
        </w:rPr>
        <w:t> </w:t>
      </w:r>
      <w:r w:rsidR="00CA272D" w:rsidRPr="00A32AF4">
        <w:rPr>
          <w:rFonts w:ascii="Arial" w:hAnsi="Arial" w:cs="Arial"/>
          <w:color w:val="000000"/>
          <w:szCs w:val="20"/>
        </w:rPr>
        <w:t>postes à d</w:t>
      </w:r>
      <w:r w:rsidR="00E2055A" w:rsidRPr="00A32AF4">
        <w:rPr>
          <w:rFonts w:ascii="Arial" w:hAnsi="Arial" w:cs="Arial"/>
          <w:color w:val="000000"/>
          <w:szCs w:val="20"/>
        </w:rPr>
        <w:t>’</w:t>
      </w:r>
      <w:r w:rsidR="00CA272D" w:rsidRPr="00A32AF4">
        <w:rPr>
          <w:rFonts w:ascii="Arial" w:hAnsi="Arial" w:cs="Arial"/>
          <w:color w:val="000000"/>
          <w:szCs w:val="20"/>
        </w:rPr>
        <w:t>autres programmes</w:t>
      </w:r>
      <w:r w:rsidR="008A20BF" w:rsidRPr="00A32AF4">
        <w:rPr>
          <w:rFonts w:ascii="Arial" w:hAnsi="Arial" w:cs="Arial"/>
          <w:color w:val="000000"/>
          <w:szCs w:val="20"/>
        </w:rPr>
        <w:t xml:space="preserve">.  </w:t>
      </w:r>
      <w:r w:rsidR="00CA272D" w:rsidRPr="00A32AF4">
        <w:rPr>
          <w:rFonts w:ascii="Arial" w:hAnsi="Arial" w:cs="Arial"/>
          <w:color w:val="000000"/>
          <w:szCs w:val="20"/>
        </w:rPr>
        <w:t>La légère augmentation des autres dépenses est le résultat net, d</w:t>
      </w:r>
      <w:r w:rsidR="00E2055A" w:rsidRPr="00A32AF4">
        <w:rPr>
          <w:rFonts w:ascii="Arial" w:hAnsi="Arial" w:cs="Arial"/>
          <w:color w:val="000000"/>
          <w:szCs w:val="20"/>
        </w:rPr>
        <w:t>’</w:t>
      </w:r>
      <w:r w:rsidR="00CA272D" w:rsidRPr="00A32AF4">
        <w:rPr>
          <w:rFonts w:ascii="Arial" w:hAnsi="Arial" w:cs="Arial"/>
          <w:color w:val="000000"/>
          <w:szCs w:val="20"/>
        </w:rPr>
        <w:t>une part, des ressources supplémentaires prévues pour les améliorations à apporter aux bâtiments de l</w:t>
      </w:r>
      <w:r w:rsidR="00E2055A" w:rsidRPr="00A32AF4">
        <w:rPr>
          <w:rFonts w:ascii="Arial" w:hAnsi="Arial" w:cs="Arial"/>
          <w:color w:val="000000"/>
          <w:szCs w:val="20"/>
        </w:rPr>
        <w:t>’</w:t>
      </w:r>
      <w:r w:rsidR="00CA272D" w:rsidRPr="00A32AF4">
        <w:rPr>
          <w:rFonts w:ascii="Arial" w:hAnsi="Arial" w:cs="Arial"/>
          <w:color w:val="000000"/>
          <w:szCs w:val="20"/>
        </w:rPr>
        <w:t>OMPI et les travaux connexes au service médical et, d</w:t>
      </w:r>
      <w:r w:rsidR="00E2055A" w:rsidRPr="00A32AF4">
        <w:rPr>
          <w:rFonts w:ascii="Arial" w:hAnsi="Arial" w:cs="Arial"/>
          <w:color w:val="000000"/>
          <w:szCs w:val="20"/>
        </w:rPr>
        <w:t>’</w:t>
      </w:r>
      <w:r w:rsidR="00CA272D" w:rsidRPr="00A32AF4">
        <w:rPr>
          <w:rFonts w:ascii="Arial" w:hAnsi="Arial" w:cs="Arial"/>
          <w:color w:val="000000"/>
          <w:szCs w:val="20"/>
        </w:rPr>
        <w:t>autre part, d</w:t>
      </w:r>
      <w:r w:rsidR="00E2055A" w:rsidRPr="00A32AF4">
        <w:rPr>
          <w:rFonts w:ascii="Arial" w:hAnsi="Arial" w:cs="Arial"/>
          <w:color w:val="000000"/>
          <w:szCs w:val="20"/>
        </w:rPr>
        <w:t>’</w:t>
      </w:r>
      <w:r w:rsidR="00CA272D" w:rsidRPr="00A32AF4">
        <w:rPr>
          <w:rFonts w:ascii="Arial" w:hAnsi="Arial" w:cs="Arial"/>
          <w:color w:val="000000"/>
          <w:szCs w:val="20"/>
        </w:rPr>
        <w:t xml:space="preserve">économies prévues concernant le </w:t>
      </w:r>
      <w:r w:rsidR="008A20BF" w:rsidRPr="00A32AF4">
        <w:rPr>
          <w:rFonts w:ascii="Arial" w:hAnsi="Arial" w:cs="Arial"/>
          <w:color w:val="000000"/>
          <w:szCs w:val="20"/>
        </w:rPr>
        <w:t xml:space="preserve">parking </w:t>
      </w:r>
      <w:r w:rsidR="00CA272D" w:rsidRPr="00A32AF4">
        <w:rPr>
          <w:rFonts w:ascii="Arial" w:hAnsi="Arial" w:cs="Arial"/>
          <w:color w:val="000000"/>
          <w:szCs w:val="20"/>
        </w:rPr>
        <w:t>pour le personnel de l</w:t>
      </w:r>
      <w:r w:rsidR="00E2055A" w:rsidRPr="00A32AF4">
        <w:rPr>
          <w:rFonts w:ascii="Arial" w:hAnsi="Arial" w:cs="Arial"/>
          <w:color w:val="000000"/>
          <w:szCs w:val="20"/>
        </w:rPr>
        <w:t>’</w:t>
      </w:r>
      <w:r w:rsidR="00CA272D" w:rsidRPr="00A32AF4">
        <w:rPr>
          <w:rFonts w:ascii="Arial" w:hAnsi="Arial" w:cs="Arial"/>
          <w:color w:val="000000"/>
          <w:szCs w:val="20"/>
        </w:rPr>
        <w:t>OMPI et d</w:t>
      </w:r>
      <w:r w:rsidR="00E2055A" w:rsidRPr="00A32AF4">
        <w:rPr>
          <w:rFonts w:ascii="Arial" w:hAnsi="Arial" w:cs="Arial"/>
          <w:color w:val="000000"/>
          <w:szCs w:val="20"/>
        </w:rPr>
        <w:t>’</w:t>
      </w:r>
      <w:r w:rsidR="00CA272D" w:rsidRPr="00A32AF4">
        <w:rPr>
          <w:rFonts w:ascii="Arial" w:hAnsi="Arial" w:cs="Arial"/>
          <w:color w:val="000000"/>
          <w:szCs w:val="20"/>
        </w:rPr>
        <w:t>une ré</w:t>
      </w:r>
      <w:r w:rsidR="008A20BF" w:rsidRPr="00A32AF4">
        <w:rPr>
          <w:rFonts w:ascii="Arial" w:hAnsi="Arial" w:cs="Arial"/>
          <w:color w:val="000000"/>
          <w:szCs w:val="20"/>
        </w:rPr>
        <w:t xml:space="preserve">duction </w:t>
      </w:r>
      <w:r w:rsidR="00CA272D" w:rsidRPr="00A32AF4">
        <w:rPr>
          <w:rFonts w:ascii="Arial" w:hAnsi="Arial" w:cs="Arial"/>
          <w:color w:val="000000"/>
          <w:szCs w:val="20"/>
        </w:rPr>
        <w:t xml:space="preserve">de </w:t>
      </w:r>
      <w:r w:rsidR="008A20BF" w:rsidRPr="00A32AF4">
        <w:rPr>
          <w:rFonts w:ascii="Arial" w:hAnsi="Arial" w:cs="Arial"/>
          <w:color w:val="000000"/>
          <w:szCs w:val="20"/>
        </w:rPr>
        <w:t>2</w:t>
      </w:r>
      <w:r w:rsidR="00CA272D" w:rsidRPr="00A32AF4">
        <w:rPr>
          <w:rFonts w:ascii="Arial" w:hAnsi="Arial" w:cs="Arial"/>
          <w:color w:val="000000"/>
          <w:szCs w:val="20"/>
        </w:rPr>
        <w:t> </w:t>
      </w:r>
      <w:r w:rsidR="008A20BF" w:rsidRPr="00A32AF4">
        <w:rPr>
          <w:rFonts w:ascii="Arial" w:hAnsi="Arial" w:cs="Arial"/>
          <w:color w:val="000000"/>
          <w:szCs w:val="20"/>
        </w:rPr>
        <w:t>million</w:t>
      </w:r>
      <w:r w:rsidR="00CA272D" w:rsidRPr="00A32AF4">
        <w:rPr>
          <w:rFonts w:ascii="Arial" w:hAnsi="Arial" w:cs="Arial"/>
          <w:color w:val="000000"/>
          <w:szCs w:val="20"/>
        </w:rPr>
        <w:t>s</w:t>
      </w:r>
      <w:r w:rsidR="008A20BF" w:rsidRPr="00A32AF4">
        <w:rPr>
          <w:rFonts w:ascii="Arial" w:hAnsi="Arial" w:cs="Arial"/>
          <w:color w:val="000000"/>
          <w:szCs w:val="20"/>
        </w:rPr>
        <w:t xml:space="preserve"> </w:t>
      </w:r>
      <w:r w:rsidR="00CA272D" w:rsidRPr="00A32AF4">
        <w:rPr>
          <w:rFonts w:ascii="Arial" w:hAnsi="Arial" w:cs="Arial"/>
          <w:color w:val="000000"/>
          <w:szCs w:val="20"/>
        </w:rPr>
        <w:t xml:space="preserve">de </w:t>
      </w:r>
      <w:r w:rsidR="008A20BF" w:rsidRPr="00A32AF4">
        <w:rPr>
          <w:rFonts w:ascii="Arial" w:hAnsi="Arial" w:cs="Arial"/>
          <w:color w:val="000000"/>
          <w:szCs w:val="20"/>
        </w:rPr>
        <w:t xml:space="preserve">francs </w:t>
      </w:r>
      <w:r w:rsidR="00CA272D" w:rsidRPr="00A32AF4">
        <w:rPr>
          <w:rFonts w:ascii="Arial" w:hAnsi="Arial" w:cs="Arial"/>
          <w:color w:val="000000"/>
          <w:szCs w:val="20"/>
        </w:rPr>
        <w:t xml:space="preserve">suisses au titre de la </w:t>
      </w:r>
      <w:r w:rsidR="008A20BF" w:rsidRPr="00A32AF4">
        <w:rPr>
          <w:rFonts w:ascii="Arial" w:hAnsi="Arial" w:cs="Arial"/>
          <w:color w:val="000000"/>
          <w:szCs w:val="20"/>
        </w:rPr>
        <w:t xml:space="preserve">provision </w:t>
      </w:r>
      <w:r w:rsidR="00CA272D" w:rsidRPr="00A32AF4">
        <w:rPr>
          <w:rFonts w:ascii="Arial" w:hAnsi="Arial" w:cs="Arial"/>
          <w:color w:val="000000"/>
          <w:szCs w:val="20"/>
        </w:rPr>
        <w:t>pour le paiement des intérêts sur l</w:t>
      </w:r>
      <w:r w:rsidR="00E2055A" w:rsidRPr="00A32AF4">
        <w:rPr>
          <w:rFonts w:ascii="Arial" w:hAnsi="Arial" w:cs="Arial"/>
          <w:color w:val="000000"/>
          <w:szCs w:val="20"/>
        </w:rPr>
        <w:t>’</w:t>
      </w:r>
      <w:r w:rsidR="00CA272D" w:rsidRPr="00A32AF4">
        <w:rPr>
          <w:rFonts w:ascii="Arial" w:hAnsi="Arial" w:cs="Arial"/>
          <w:color w:val="000000"/>
          <w:szCs w:val="20"/>
        </w:rPr>
        <w:t>emprunt pour le nouveau bâtiment par rapport au montant figurant au budget </w:t>
      </w:r>
      <w:r w:rsidR="008A20BF" w:rsidRPr="00A32AF4">
        <w:rPr>
          <w:rFonts w:ascii="Arial" w:hAnsi="Arial" w:cs="Arial"/>
          <w:color w:val="000000"/>
          <w:szCs w:val="20"/>
        </w:rPr>
        <w:t>2014</w:t>
      </w:r>
      <w:r w:rsidR="00EB7F54" w:rsidRPr="00A32AF4">
        <w:rPr>
          <w:rFonts w:ascii="Arial" w:hAnsi="Arial" w:cs="Arial"/>
          <w:color w:val="000000"/>
          <w:szCs w:val="20"/>
        </w:rPr>
        <w:noBreakHyphen/>
      </w:r>
      <w:r w:rsidR="00CA272D" w:rsidRPr="00A32AF4">
        <w:rPr>
          <w:rFonts w:ascii="Arial" w:hAnsi="Arial" w:cs="Arial"/>
          <w:color w:val="000000"/>
          <w:szCs w:val="20"/>
        </w:rPr>
        <w:t>20</w:t>
      </w:r>
      <w:r w:rsidR="008A20BF" w:rsidRPr="00A32AF4">
        <w:rPr>
          <w:rFonts w:ascii="Arial" w:hAnsi="Arial" w:cs="Arial"/>
          <w:color w:val="000000"/>
          <w:szCs w:val="20"/>
        </w:rPr>
        <w:t xml:space="preserve">15 </w:t>
      </w:r>
      <w:r w:rsidR="00CA272D" w:rsidRPr="00A32AF4">
        <w:rPr>
          <w:rFonts w:ascii="Arial" w:hAnsi="Arial" w:cs="Arial"/>
          <w:color w:val="000000"/>
          <w:szCs w:val="20"/>
        </w:rPr>
        <w:t>approuvé</w:t>
      </w:r>
      <w:r w:rsidR="0072123A" w:rsidRPr="00A32AF4">
        <w:rPr>
          <w:rFonts w:ascii="Arial" w:hAnsi="Arial" w:cs="Arial"/>
          <w:color w:val="000000"/>
          <w:szCs w:val="20"/>
        </w:rPr>
        <w:t>.</w:t>
      </w:r>
    </w:p>
    <w:p w:rsidR="00F93B76" w:rsidRPr="00A32AF4" w:rsidRDefault="00F93B76" w:rsidP="00DC0553">
      <w:pPr>
        <w:pStyle w:val="NormalWeb"/>
        <w:shd w:val="clear" w:color="auto" w:fill="FFFFFF"/>
        <w:spacing w:before="0" w:beforeAutospacing="0" w:after="0" w:afterAutospacing="0"/>
        <w:jc w:val="both"/>
        <w:rPr>
          <w:color w:val="000000"/>
          <w:sz w:val="20"/>
          <w:szCs w:val="20"/>
        </w:rPr>
      </w:pPr>
    </w:p>
    <w:p w:rsidR="00E2055A" w:rsidRPr="00A32AF4" w:rsidRDefault="00F93B76" w:rsidP="00DC0553">
      <w:pPr>
        <w:pStyle w:val="ListParagraph"/>
        <w:numPr>
          <w:ilvl w:val="0"/>
          <w:numId w:val="32"/>
        </w:numPr>
        <w:tabs>
          <w:tab w:val="left" w:pos="709"/>
        </w:tabs>
        <w:spacing w:after="0" w:line="240" w:lineRule="auto"/>
        <w:ind w:left="0" w:firstLine="0"/>
        <w:contextualSpacing w:val="0"/>
        <w:jc w:val="both"/>
        <w:rPr>
          <w:rFonts w:ascii="Arial" w:hAnsi="Arial" w:cs="Arial"/>
          <w:color w:val="000000"/>
          <w:szCs w:val="20"/>
        </w:rPr>
      </w:pPr>
      <w:r w:rsidRPr="00A32AF4">
        <w:rPr>
          <w:rFonts w:ascii="Arial" w:hAnsi="Arial" w:cs="Arial"/>
          <w:color w:val="000000"/>
          <w:szCs w:val="20"/>
        </w:rPr>
        <w:t>La</w:t>
      </w:r>
      <w:r w:rsidR="008A20BF" w:rsidRPr="00A32AF4">
        <w:rPr>
          <w:rFonts w:ascii="Arial" w:hAnsi="Arial" w:cs="Arial"/>
          <w:color w:val="000000"/>
          <w:szCs w:val="20"/>
        </w:rPr>
        <w:t> r</w:t>
      </w:r>
      <w:r w:rsidRPr="00A32AF4">
        <w:rPr>
          <w:rFonts w:ascii="Arial" w:hAnsi="Arial" w:cs="Arial"/>
          <w:color w:val="000000"/>
          <w:szCs w:val="20"/>
        </w:rPr>
        <w:t>é</w:t>
      </w:r>
      <w:r w:rsidR="008A20BF" w:rsidRPr="00A32AF4">
        <w:rPr>
          <w:rFonts w:ascii="Arial" w:hAnsi="Arial" w:cs="Arial"/>
          <w:color w:val="000000"/>
          <w:szCs w:val="20"/>
        </w:rPr>
        <w:t xml:space="preserve">duction </w:t>
      </w:r>
      <w:r w:rsidRPr="00A32AF4">
        <w:rPr>
          <w:rFonts w:ascii="Arial" w:hAnsi="Arial" w:cs="Arial"/>
          <w:color w:val="000000"/>
          <w:szCs w:val="20"/>
        </w:rPr>
        <w:t>au titre du résultat escompté </w:t>
      </w:r>
      <w:r w:rsidR="008A20BF" w:rsidRPr="00A32AF4">
        <w:rPr>
          <w:rFonts w:ascii="Arial" w:hAnsi="Arial" w:cs="Arial"/>
          <w:color w:val="000000"/>
          <w:szCs w:val="20"/>
        </w:rPr>
        <w:t xml:space="preserve">VIII.5 </w:t>
      </w:r>
      <w:r w:rsidRPr="00A32AF4">
        <w:rPr>
          <w:rFonts w:ascii="Arial" w:hAnsi="Arial" w:cs="Arial"/>
          <w:color w:val="000000"/>
          <w:szCs w:val="20"/>
        </w:rPr>
        <w:t xml:space="preserve">est due à une diminution globale des ressources en personnel allouées à ce résultat compte tenu du transfert des responsabilités relatives aux </w:t>
      </w:r>
      <w:r w:rsidR="008A20BF" w:rsidRPr="00A32AF4">
        <w:rPr>
          <w:rFonts w:ascii="Arial" w:hAnsi="Arial" w:cs="Arial"/>
          <w:color w:val="000000"/>
          <w:szCs w:val="20"/>
        </w:rPr>
        <w:t xml:space="preserve">Services </w:t>
      </w:r>
      <w:r w:rsidRPr="00A32AF4">
        <w:rPr>
          <w:rFonts w:ascii="Arial" w:hAnsi="Arial" w:cs="Arial"/>
          <w:color w:val="000000"/>
          <w:szCs w:val="20"/>
        </w:rPr>
        <w:t>commun avec l</w:t>
      </w:r>
      <w:r w:rsidR="00E2055A" w:rsidRPr="00A32AF4">
        <w:rPr>
          <w:rFonts w:ascii="Arial" w:hAnsi="Arial" w:cs="Arial"/>
          <w:color w:val="000000"/>
          <w:szCs w:val="20"/>
        </w:rPr>
        <w:t>’</w:t>
      </w:r>
      <w:r w:rsidRPr="00A32AF4">
        <w:rPr>
          <w:rFonts w:ascii="Arial" w:hAnsi="Arial" w:cs="Arial"/>
          <w:color w:val="000000"/>
          <w:szCs w:val="20"/>
        </w:rPr>
        <w:t>ONU au programme </w:t>
      </w:r>
      <w:r w:rsidR="008A20BF" w:rsidRPr="00A32AF4">
        <w:rPr>
          <w:rFonts w:ascii="Arial" w:hAnsi="Arial" w:cs="Arial"/>
          <w:color w:val="000000"/>
          <w:szCs w:val="20"/>
        </w:rPr>
        <w:t>22.</w:t>
      </w:r>
      <w:r w:rsidR="00FD43E3" w:rsidRPr="00A32AF4">
        <w:rPr>
          <w:rFonts w:ascii="Arial" w:hAnsi="Arial" w:cs="Arial"/>
          <w:color w:val="000000"/>
          <w:szCs w:val="20"/>
        </w:rPr>
        <w:t xml:space="preserve"> </w:t>
      </w:r>
      <w:r w:rsidR="008A20BF" w:rsidRPr="00A32AF4">
        <w:rPr>
          <w:rFonts w:ascii="Arial" w:hAnsi="Arial" w:cs="Arial"/>
          <w:color w:val="000000"/>
          <w:szCs w:val="20"/>
        </w:rPr>
        <w:t xml:space="preserve"> </w:t>
      </w:r>
      <w:r w:rsidRPr="00A32AF4">
        <w:rPr>
          <w:rFonts w:ascii="Arial" w:hAnsi="Arial" w:cs="Arial"/>
          <w:color w:val="000000"/>
          <w:szCs w:val="20"/>
        </w:rPr>
        <w:t>L</w:t>
      </w:r>
      <w:r w:rsidR="00E2055A" w:rsidRPr="00A32AF4">
        <w:rPr>
          <w:rFonts w:ascii="Arial" w:hAnsi="Arial" w:cs="Arial"/>
          <w:color w:val="000000"/>
          <w:szCs w:val="20"/>
        </w:rPr>
        <w:t>’</w:t>
      </w:r>
      <w:r w:rsidRPr="00A32AF4">
        <w:rPr>
          <w:rFonts w:ascii="Arial" w:hAnsi="Arial" w:cs="Arial"/>
          <w:color w:val="000000"/>
          <w:szCs w:val="20"/>
        </w:rPr>
        <w:t>augmentation nette au titre du résultat escompté </w:t>
      </w:r>
      <w:r w:rsidR="008A20BF" w:rsidRPr="00A32AF4">
        <w:rPr>
          <w:rFonts w:ascii="Arial" w:hAnsi="Arial" w:cs="Arial"/>
          <w:color w:val="000000"/>
          <w:szCs w:val="20"/>
        </w:rPr>
        <w:t xml:space="preserve">IX.1 </w:t>
      </w:r>
      <w:r w:rsidRPr="00A32AF4">
        <w:rPr>
          <w:rFonts w:ascii="Arial" w:hAnsi="Arial" w:cs="Arial"/>
          <w:color w:val="000000"/>
          <w:szCs w:val="20"/>
        </w:rPr>
        <w:t>tient principalement à un accroissement des dépenses de personnel à l</w:t>
      </w:r>
      <w:r w:rsidR="00E2055A" w:rsidRPr="00A32AF4">
        <w:rPr>
          <w:rFonts w:ascii="Arial" w:hAnsi="Arial" w:cs="Arial"/>
          <w:color w:val="000000"/>
          <w:szCs w:val="20"/>
        </w:rPr>
        <w:t>’</w:t>
      </w:r>
      <w:r w:rsidRPr="00A32AF4">
        <w:rPr>
          <w:rFonts w:ascii="Arial" w:hAnsi="Arial" w:cs="Arial"/>
          <w:color w:val="000000"/>
          <w:szCs w:val="20"/>
        </w:rPr>
        <w:t>appui du Comité d</w:t>
      </w:r>
      <w:r w:rsidR="00E2055A" w:rsidRPr="00A32AF4">
        <w:rPr>
          <w:rFonts w:ascii="Arial" w:hAnsi="Arial" w:cs="Arial"/>
          <w:color w:val="000000"/>
          <w:szCs w:val="20"/>
        </w:rPr>
        <w:t>’</w:t>
      </w:r>
      <w:r w:rsidRPr="00A32AF4">
        <w:rPr>
          <w:rFonts w:ascii="Arial" w:hAnsi="Arial" w:cs="Arial"/>
          <w:color w:val="000000"/>
          <w:szCs w:val="20"/>
        </w:rPr>
        <w:t>appel de l</w:t>
      </w:r>
      <w:r w:rsidR="00E2055A" w:rsidRPr="00A32AF4">
        <w:rPr>
          <w:rFonts w:ascii="Arial" w:hAnsi="Arial" w:cs="Arial"/>
          <w:color w:val="000000"/>
          <w:szCs w:val="20"/>
        </w:rPr>
        <w:t>’</w:t>
      </w:r>
      <w:r w:rsidRPr="00A32AF4">
        <w:rPr>
          <w:rFonts w:ascii="Arial" w:hAnsi="Arial" w:cs="Arial"/>
          <w:color w:val="000000"/>
          <w:szCs w:val="20"/>
        </w:rPr>
        <w:t>OMPI</w:t>
      </w:r>
      <w:r w:rsidR="008A20BF" w:rsidRPr="00A32AF4">
        <w:rPr>
          <w:rFonts w:ascii="Arial" w:hAnsi="Arial" w:cs="Arial"/>
          <w:color w:val="000000"/>
          <w:szCs w:val="20"/>
        </w:rPr>
        <w:t xml:space="preserve">, </w:t>
      </w:r>
      <w:r w:rsidRPr="00A32AF4">
        <w:rPr>
          <w:rFonts w:ascii="Arial" w:hAnsi="Arial" w:cs="Arial"/>
          <w:color w:val="000000"/>
          <w:szCs w:val="20"/>
        </w:rPr>
        <w:t>dont le programme assume désormais la responsabilité</w:t>
      </w:r>
      <w:r w:rsidR="008A20BF" w:rsidRPr="00A32AF4">
        <w:rPr>
          <w:rFonts w:ascii="Arial" w:hAnsi="Arial" w:cs="Arial"/>
          <w:color w:val="000000"/>
          <w:szCs w:val="20"/>
        </w:rPr>
        <w:t xml:space="preserve">.  </w:t>
      </w:r>
      <w:r w:rsidRPr="00A32AF4">
        <w:rPr>
          <w:rFonts w:ascii="Arial" w:hAnsi="Arial" w:cs="Arial"/>
          <w:color w:val="000000"/>
          <w:szCs w:val="20"/>
        </w:rPr>
        <w:t xml:space="preserve">La </w:t>
      </w:r>
      <w:r w:rsidR="008A20BF" w:rsidRPr="00A32AF4">
        <w:rPr>
          <w:rFonts w:ascii="Arial" w:hAnsi="Arial" w:cs="Arial"/>
          <w:color w:val="000000"/>
          <w:szCs w:val="20"/>
        </w:rPr>
        <w:t>r</w:t>
      </w:r>
      <w:r w:rsidRPr="00A32AF4">
        <w:rPr>
          <w:rFonts w:ascii="Arial" w:hAnsi="Arial" w:cs="Arial"/>
          <w:color w:val="000000"/>
          <w:szCs w:val="20"/>
        </w:rPr>
        <w:t>éduction au titre du résultat escompté </w:t>
      </w:r>
      <w:r w:rsidR="008A20BF" w:rsidRPr="00A32AF4">
        <w:rPr>
          <w:rFonts w:ascii="Arial" w:hAnsi="Arial" w:cs="Arial"/>
          <w:color w:val="000000"/>
          <w:szCs w:val="20"/>
        </w:rPr>
        <w:t xml:space="preserve">IX.4 </w:t>
      </w:r>
      <w:r w:rsidRPr="00A32AF4">
        <w:rPr>
          <w:rFonts w:ascii="Arial" w:hAnsi="Arial" w:cs="Arial"/>
          <w:color w:val="000000"/>
          <w:szCs w:val="20"/>
        </w:rPr>
        <w:t>résulte de l</w:t>
      </w:r>
      <w:r w:rsidR="00E2055A" w:rsidRPr="00A32AF4">
        <w:rPr>
          <w:rFonts w:ascii="Arial" w:hAnsi="Arial" w:cs="Arial"/>
          <w:color w:val="000000"/>
          <w:szCs w:val="20"/>
        </w:rPr>
        <w:t>’</w:t>
      </w:r>
      <w:r w:rsidRPr="00A32AF4">
        <w:rPr>
          <w:rFonts w:ascii="Arial" w:hAnsi="Arial" w:cs="Arial"/>
          <w:color w:val="000000"/>
          <w:szCs w:val="20"/>
        </w:rPr>
        <w:t xml:space="preserve">achèvement du projet relatif aux mesures de sécurité </w:t>
      </w:r>
      <w:r w:rsidR="008A20BF" w:rsidRPr="00A32AF4">
        <w:rPr>
          <w:rFonts w:ascii="Arial" w:hAnsi="Arial" w:cs="Arial"/>
          <w:color w:val="000000"/>
          <w:szCs w:val="20"/>
        </w:rPr>
        <w:t>UN</w:t>
      </w:r>
      <w:r w:rsidR="00AA54FF" w:rsidRPr="00A32AF4">
        <w:rPr>
          <w:rFonts w:ascii="Arial" w:hAnsi="Arial" w:cs="Arial"/>
          <w:color w:val="000000"/>
          <w:szCs w:val="20"/>
        </w:rPr>
        <w:t> </w:t>
      </w:r>
      <w:r w:rsidR="008A20BF" w:rsidRPr="00A32AF4">
        <w:rPr>
          <w:rFonts w:ascii="Arial" w:hAnsi="Arial" w:cs="Arial"/>
          <w:color w:val="000000"/>
          <w:szCs w:val="20"/>
        </w:rPr>
        <w:t>H</w:t>
      </w:r>
      <w:r w:rsidR="00EB7F54" w:rsidRPr="00A32AF4">
        <w:rPr>
          <w:rFonts w:ascii="Arial" w:hAnsi="Arial" w:cs="Arial"/>
          <w:color w:val="000000"/>
          <w:szCs w:val="20"/>
        </w:rPr>
        <w:noBreakHyphen/>
      </w:r>
      <w:r w:rsidR="008A20BF" w:rsidRPr="00A32AF4">
        <w:rPr>
          <w:rFonts w:ascii="Arial" w:hAnsi="Arial" w:cs="Arial"/>
          <w:color w:val="000000"/>
          <w:szCs w:val="20"/>
        </w:rPr>
        <w:t xml:space="preserve">MOSS </w:t>
      </w:r>
      <w:r w:rsidRPr="00A32AF4">
        <w:rPr>
          <w:rFonts w:ascii="Arial" w:hAnsi="Arial" w:cs="Arial"/>
          <w:color w:val="000000"/>
          <w:szCs w:val="20"/>
        </w:rPr>
        <w:t>au cours de l</w:t>
      </w:r>
      <w:r w:rsidR="00E2055A" w:rsidRPr="00A32AF4">
        <w:rPr>
          <w:rFonts w:ascii="Arial" w:hAnsi="Arial" w:cs="Arial"/>
          <w:color w:val="000000"/>
          <w:szCs w:val="20"/>
        </w:rPr>
        <w:t>’</w:t>
      </w:r>
      <w:r w:rsidRPr="00A32AF4">
        <w:rPr>
          <w:rFonts w:ascii="Arial" w:hAnsi="Arial" w:cs="Arial"/>
          <w:color w:val="000000"/>
          <w:szCs w:val="20"/>
        </w:rPr>
        <w:t>exercice biennal 2014</w:t>
      </w:r>
      <w:r w:rsidR="00EB7F54" w:rsidRPr="00A32AF4">
        <w:rPr>
          <w:rFonts w:ascii="Arial" w:hAnsi="Arial" w:cs="Arial"/>
          <w:color w:val="000000"/>
          <w:szCs w:val="20"/>
        </w:rPr>
        <w:noBreakHyphen/>
      </w:r>
      <w:r w:rsidRPr="00A32AF4">
        <w:rPr>
          <w:rFonts w:ascii="Arial" w:hAnsi="Arial" w:cs="Arial"/>
          <w:color w:val="000000"/>
          <w:szCs w:val="20"/>
        </w:rPr>
        <w:t>20</w:t>
      </w:r>
      <w:r w:rsidR="008A20BF" w:rsidRPr="00A32AF4">
        <w:rPr>
          <w:rFonts w:ascii="Arial" w:hAnsi="Arial" w:cs="Arial"/>
          <w:color w:val="000000"/>
          <w:szCs w:val="20"/>
        </w:rPr>
        <w:t xml:space="preserve">15 </w:t>
      </w:r>
      <w:r w:rsidRPr="00A32AF4">
        <w:rPr>
          <w:rFonts w:ascii="Arial" w:hAnsi="Arial" w:cs="Arial"/>
          <w:color w:val="000000"/>
          <w:szCs w:val="20"/>
        </w:rPr>
        <w:t>et de la diminution des dépenses de</w:t>
      </w:r>
      <w:r w:rsidR="008A20BF" w:rsidRPr="00A32AF4">
        <w:rPr>
          <w:rFonts w:ascii="Arial" w:hAnsi="Arial" w:cs="Arial"/>
          <w:color w:val="000000"/>
          <w:szCs w:val="20"/>
        </w:rPr>
        <w:t xml:space="preserve"> personnel </w:t>
      </w:r>
      <w:r w:rsidR="00B63C9F" w:rsidRPr="00A32AF4">
        <w:rPr>
          <w:rFonts w:ascii="Arial" w:hAnsi="Arial" w:cs="Arial"/>
          <w:color w:val="000000"/>
          <w:szCs w:val="20"/>
        </w:rPr>
        <w:t>qui</w:t>
      </w:r>
      <w:r w:rsidRPr="00A32AF4">
        <w:rPr>
          <w:rFonts w:ascii="Arial" w:hAnsi="Arial" w:cs="Arial"/>
          <w:color w:val="000000"/>
          <w:szCs w:val="20"/>
        </w:rPr>
        <w:t xml:space="preserve"> en découle</w:t>
      </w:r>
      <w:r w:rsidR="008A20BF" w:rsidRPr="00A32AF4">
        <w:rPr>
          <w:rFonts w:ascii="Arial" w:hAnsi="Arial" w:cs="Arial"/>
          <w:color w:val="000000"/>
          <w:szCs w:val="20"/>
        </w:rPr>
        <w:t>.</w:t>
      </w:r>
    </w:p>
    <w:p w:rsidR="00F93B76" w:rsidRPr="00A32AF4" w:rsidRDefault="00F93B76" w:rsidP="00DC0553">
      <w:pPr>
        <w:jc w:val="both"/>
        <w:rPr>
          <w:rFonts w:cs="Arial"/>
          <w:lang w:eastAsia="da-DK"/>
        </w:rPr>
      </w:pPr>
    </w:p>
    <w:p w:rsidR="00F93B76" w:rsidRPr="00A32AF4" w:rsidRDefault="00F93B76" w:rsidP="00DC0553">
      <w:pPr>
        <w:rPr>
          <w:rFonts w:cs="Arial"/>
          <w:lang w:eastAsia="da-DK"/>
        </w:rPr>
      </w:pPr>
    </w:p>
    <w:p w:rsidR="00F93B76" w:rsidRPr="00A32AF4" w:rsidRDefault="008A20BF" w:rsidP="00DC0553">
      <w:pPr>
        <w:keepNext/>
        <w:keepLines/>
        <w:autoSpaceDE w:val="0"/>
        <w:autoSpaceDN w:val="0"/>
        <w:jc w:val="center"/>
        <w:rPr>
          <w:rFonts w:cs="Arial"/>
          <w:b/>
        </w:rPr>
      </w:pPr>
      <w:r w:rsidRPr="00A32AF4">
        <w:rPr>
          <w:rFonts w:cs="Arial"/>
          <w:b/>
        </w:rPr>
        <w:t>Programme 24 : ressources par résultat</w:t>
      </w:r>
    </w:p>
    <w:p w:rsidR="00F93B76" w:rsidRPr="00A32AF4" w:rsidRDefault="008A20BF" w:rsidP="00DC0553">
      <w:pPr>
        <w:keepNext/>
        <w:keepLines/>
        <w:autoSpaceDE w:val="0"/>
        <w:autoSpaceDN w:val="0"/>
        <w:jc w:val="center"/>
        <w:rPr>
          <w:rFonts w:cs="Arial"/>
          <w:i/>
        </w:rPr>
      </w:pPr>
      <w:r w:rsidRPr="00A32AF4">
        <w:rPr>
          <w:rFonts w:cs="Arial"/>
          <w:i/>
        </w:rPr>
        <w:t>(</w:t>
      </w:r>
      <w:proofErr w:type="gramStart"/>
      <w:r w:rsidRPr="00A32AF4">
        <w:rPr>
          <w:rFonts w:cs="Arial"/>
          <w:i/>
        </w:rPr>
        <w:t>en</w:t>
      </w:r>
      <w:proofErr w:type="gramEnd"/>
      <w:r w:rsidRPr="00A32AF4">
        <w:rPr>
          <w:rFonts w:cs="Arial"/>
          <w:i/>
        </w:rPr>
        <w:t xml:space="preserve"> milliers de francs suisses)</w:t>
      </w:r>
    </w:p>
    <w:p w:rsidR="008A20BF" w:rsidRPr="00A32AF4" w:rsidRDefault="008A20BF" w:rsidP="00DC0553">
      <w:pPr>
        <w:keepNext/>
      </w:pPr>
    </w:p>
    <w:tbl>
      <w:tblPr>
        <w:tblW w:w="8980" w:type="dxa"/>
        <w:tblInd w:w="55" w:type="dxa"/>
        <w:tblCellMar>
          <w:left w:w="70" w:type="dxa"/>
          <w:right w:w="70" w:type="dxa"/>
        </w:tblCellMar>
        <w:tblLook w:val="04A0" w:firstRow="1" w:lastRow="0" w:firstColumn="1" w:lastColumn="0" w:noHBand="0" w:noVBand="1"/>
      </w:tblPr>
      <w:tblGrid>
        <w:gridCol w:w="592"/>
        <w:gridCol w:w="4428"/>
        <w:gridCol w:w="1260"/>
        <w:gridCol w:w="1440"/>
        <w:gridCol w:w="1260"/>
      </w:tblGrid>
      <w:tr w:rsidR="008A20BF" w:rsidRPr="00A32AF4" w:rsidTr="008A20BF">
        <w:tc>
          <w:tcPr>
            <w:tcW w:w="5020" w:type="dxa"/>
            <w:gridSpan w:val="2"/>
            <w:tcBorders>
              <w:top w:val="single" w:sz="4" w:space="0" w:color="auto"/>
              <w:left w:val="single" w:sz="4" w:space="0" w:color="auto"/>
              <w:bottom w:val="single" w:sz="4" w:space="0" w:color="auto"/>
              <w:right w:val="single" w:sz="4" w:space="0" w:color="000000"/>
            </w:tcBorders>
            <w:shd w:val="clear" w:color="000000" w:fill="C5D9F1"/>
            <w:noWrap/>
            <w:tcMar>
              <w:top w:w="113" w:type="dxa"/>
              <w:bottom w:w="113" w:type="dxa"/>
            </w:tcMar>
            <w:vAlign w:val="center"/>
            <w:hideMark/>
          </w:tcPr>
          <w:p w:rsidR="008A20BF" w:rsidRPr="00A32AF4" w:rsidRDefault="008A20BF" w:rsidP="00DC0553">
            <w:pPr>
              <w:jc w:val="center"/>
              <w:rPr>
                <w:rFonts w:cs="Arial"/>
                <w:i/>
                <w:iCs/>
                <w:sz w:val="16"/>
                <w:szCs w:val="16"/>
                <w:lang w:eastAsia="fr-FR"/>
              </w:rPr>
            </w:pPr>
            <w:r w:rsidRPr="00A32AF4">
              <w:rPr>
                <w:rFonts w:cs="Arial"/>
                <w:i/>
                <w:iCs/>
                <w:sz w:val="16"/>
                <w:szCs w:val="16"/>
                <w:lang w:eastAsia="fr-FR"/>
              </w:rPr>
              <w:t xml:space="preserve">Numéro et description du résultat escompté </w:t>
            </w:r>
          </w:p>
        </w:tc>
        <w:tc>
          <w:tcPr>
            <w:tcW w:w="126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8A20BF" w:rsidRPr="00A32AF4" w:rsidRDefault="008A20BF" w:rsidP="00DC0553">
            <w:pPr>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2014</w:t>
            </w:r>
            <w:r w:rsidR="00EB7F54" w:rsidRPr="00A32AF4">
              <w:rPr>
                <w:rFonts w:cs="Arial"/>
                <w:i/>
                <w:iCs/>
                <w:sz w:val="16"/>
                <w:szCs w:val="16"/>
                <w:lang w:eastAsia="fr-FR"/>
              </w:rPr>
              <w:noBreakHyphen/>
            </w:r>
            <w:r w:rsidRPr="00A32AF4">
              <w:rPr>
                <w:rFonts w:cs="Arial"/>
                <w:i/>
                <w:iCs/>
                <w:sz w:val="16"/>
                <w:szCs w:val="16"/>
                <w:lang w:eastAsia="fr-FR"/>
              </w:rPr>
              <w:t>2015 approuvé</w:t>
            </w:r>
          </w:p>
        </w:tc>
        <w:tc>
          <w:tcPr>
            <w:tcW w:w="144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8A20BF" w:rsidRPr="00A32AF4" w:rsidRDefault="008A20BF" w:rsidP="00DC0553">
            <w:pPr>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2014</w:t>
            </w:r>
            <w:r w:rsidR="00EB7F54" w:rsidRPr="00A32AF4">
              <w:rPr>
                <w:rFonts w:cs="Arial"/>
                <w:i/>
                <w:iCs/>
                <w:sz w:val="16"/>
                <w:szCs w:val="16"/>
                <w:lang w:eastAsia="fr-FR"/>
              </w:rPr>
              <w:noBreakHyphen/>
            </w:r>
            <w:r w:rsidRPr="00A32AF4">
              <w:rPr>
                <w:rFonts w:cs="Arial"/>
                <w:i/>
                <w:iCs/>
                <w:sz w:val="16"/>
                <w:szCs w:val="16"/>
                <w:lang w:eastAsia="fr-FR"/>
              </w:rPr>
              <w:t>2015 après virements</w:t>
            </w:r>
          </w:p>
        </w:tc>
        <w:tc>
          <w:tcPr>
            <w:tcW w:w="126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8A20BF" w:rsidRPr="00A32AF4" w:rsidRDefault="008A20BF" w:rsidP="00DC0553">
            <w:pPr>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2016</w:t>
            </w:r>
            <w:r w:rsidR="00EB7F54" w:rsidRPr="00A32AF4">
              <w:rPr>
                <w:rFonts w:cs="Arial"/>
                <w:i/>
                <w:iCs/>
                <w:sz w:val="16"/>
                <w:szCs w:val="16"/>
                <w:lang w:eastAsia="fr-FR"/>
              </w:rPr>
              <w:noBreakHyphen/>
            </w:r>
            <w:r w:rsidRPr="00A32AF4">
              <w:rPr>
                <w:rFonts w:cs="Arial"/>
                <w:i/>
                <w:iCs/>
                <w:sz w:val="16"/>
                <w:szCs w:val="16"/>
                <w:lang w:eastAsia="fr-FR"/>
              </w:rPr>
              <w:t>2017 proposé</w:t>
            </w:r>
          </w:p>
        </w:tc>
      </w:tr>
      <w:tr w:rsidR="008A20BF" w:rsidRPr="00A32AF4" w:rsidTr="008A20BF">
        <w:tc>
          <w:tcPr>
            <w:tcW w:w="592" w:type="dxa"/>
            <w:tcBorders>
              <w:top w:val="nil"/>
              <w:left w:val="single" w:sz="4" w:space="0" w:color="auto"/>
              <w:bottom w:val="nil"/>
              <w:right w:val="nil"/>
            </w:tcBorders>
            <w:shd w:val="clear" w:color="auto" w:fill="auto"/>
            <w:noWrap/>
            <w:tcMar>
              <w:top w:w="113" w:type="dxa"/>
              <w:bottom w:w="113" w:type="dxa"/>
            </w:tcMar>
            <w:vAlign w:val="center"/>
            <w:hideMark/>
          </w:tcPr>
          <w:p w:rsidR="008A20BF" w:rsidRPr="00A32AF4" w:rsidRDefault="008A20BF" w:rsidP="00DC0553">
            <w:pPr>
              <w:rPr>
                <w:rFonts w:cs="Arial"/>
                <w:sz w:val="16"/>
                <w:szCs w:val="16"/>
                <w:lang w:eastAsia="fr-FR"/>
              </w:rPr>
            </w:pPr>
            <w:r w:rsidRPr="00A32AF4">
              <w:rPr>
                <w:rFonts w:cs="Arial"/>
                <w:sz w:val="16"/>
                <w:szCs w:val="16"/>
                <w:lang w:eastAsia="fr-FR"/>
              </w:rPr>
              <w:t>VIII.5</w:t>
            </w:r>
          </w:p>
        </w:tc>
        <w:tc>
          <w:tcPr>
            <w:tcW w:w="4428" w:type="dxa"/>
            <w:tcBorders>
              <w:top w:val="nil"/>
              <w:left w:val="nil"/>
              <w:bottom w:val="nil"/>
              <w:right w:val="nil"/>
            </w:tcBorders>
            <w:shd w:val="clear" w:color="auto" w:fill="auto"/>
            <w:tcMar>
              <w:top w:w="113" w:type="dxa"/>
              <w:bottom w:w="113" w:type="dxa"/>
            </w:tcMar>
            <w:vAlign w:val="center"/>
            <w:hideMark/>
          </w:tcPr>
          <w:p w:rsidR="008A20BF" w:rsidRPr="00A32AF4" w:rsidRDefault="008A20BF" w:rsidP="00DC0553">
            <w:pPr>
              <w:rPr>
                <w:rFonts w:cs="Arial"/>
                <w:sz w:val="16"/>
                <w:szCs w:val="16"/>
                <w:lang w:eastAsia="fr-FR"/>
              </w:rPr>
            </w:pPr>
            <w:r w:rsidRPr="00A32AF4">
              <w:rPr>
                <w:rFonts w:cs="Arial"/>
                <w:sz w:val="16"/>
                <w:szCs w:val="16"/>
                <w:lang w:eastAsia="fr-FR"/>
              </w:rPr>
              <w:t>L</w:t>
            </w:r>
            <w:r w:rsidR="00E2055A" w:rsidRPr="00A32AF4">
              <w:rPr>
                <w:rFonts w:cs="Arial"/>
                <w:sz w:val="16"/>
                <w:szCs w:val="16"/>
                <w:lang w:eastAsia="fr-FR"/>
              </w:rPr>
              <w:t>’</w:t>
            </w:r>
            <w:r w:rsidRPr="00A32AF4">
              <w:rPr>
                <w:rFonts w:cs="Arial"/>
                <w:sz w:val="16"/>
                <w:szCs w:val="16"/>
                <w:lang w:eastAsia="fr-FR"/>
              </w:rPr>
              <w:t>OMPI collabore efficacement avec d</w:t>
            </w:r>
            <w:r w:rsidR="00E2055A" w:rsidRPr="00A32AF4">
              <w:rPr>
                <w:rFonts w:cs="Arial"/>
                <w:sz w:val="16"/>
                <w:szCs w:val="16"/>
                <w:lang w:eastAsia="fr-FR"/>
              </w:rPr>
              <w:t>’</w:t>
            </w:r>
            <w:r w:rsidRPr="00A32AF4">
              <w:rPr>
                <w:rFonts w:cs="Arial"/>
                <w:sz w:val="16"/>
                <w:szCs w:val="16"/>
                <w:lang w:eastAsia="fr-FR"/>
              </w:rPr>
              <w:t>autres processus et instances de négociation de l</w:t>
            </w:r>
            <w:r w:rsidR="00E2055A" w:rsidRPr="00A32AF4">
              <w:rPr>
                <w:rFonts w:cs="Arial"/>
                <w:sz w:val="16"/>
                <w:szCs w:val="16"/>
                <w:lang w:eastAsia="fr-FR"/>
              </w:rPr>
              <w:t>’</w:t>
            </w:r>
            <w:r w:rsidRPr="00A32AF4">
              <w:rPr>
                <w:rFonts w:cs="Arial"/>
                <w:sz w:val="16"/>
                <w:szCs w:val="16"/>
                <w:lang w:eastAsia="fr-FR"/>
              </w:rPr>
              <w:t>ONU et d</w:t>
            </w:r>
            <w:r w:rsidR="00E2055A" w:rsidRPr="00A32AF4">
              <w:rPr>
                <w:rFonts w:cs="Arial"/>
                <w:sz w:val="16"/>
                <w:szCs w:val="16"/>
                <w:lang w:eastAsia="fr-FR"/>
              </w:rPr>
              <w:t>’</w:t>
            </w:r>
            <w:r w:rsidRPr="00A32AF4">
              <w:rPr>
                <w:rFonts w:cs="Arial"/>
                <w:sz w:val="16"/>
                <w:szCs w:val="16"/>
                <w:lang w:eastAsia="fr-FR"/>
              </w:rPr>
              <w:t>autres organisations intergouvernementales</w:t>
            </w:r>
          </w:p>
        </w:tc>
        <w:tc>
          <w:tcPr>
            <w:tcW w:w="1260" w:type="dxa"/>
            <w:tcBorders>
              <w:top w:val="nil"/>
              <w:left w:val="nil"/>
              <w:bottom w:val="nil"/>
              <w:right w:val="nil"/>
            </w:tcBorders>
            <w:shd w:val="clear" w:color="auto" w:fill="auto"/>
            <w:tcMar>
              <w:top w:w="113" w:type="dxa"/>
              <w:bottom w:w="113" w:type="dxa"/>
            </w:tcMar>
            <w:vAlign w:val="center"/>
            <w:hideMark/>
          </w:tcPr>
          <w:p w:rsidR="008A20BF" w:rsidRPr="00A32AF4" w:rsidRDefault="008A20BF" w:rsidP="00DC0553">
            <w:pPr>
              <w:jc w:val="right"/>
              <w:rPr>
                <w:rFonts w:cs="Arial"/>
                <w:sz w:val="16"/>
                <w:szCs w:val="16"/>
                <w:lang w:eastAsia="fr-FR"/>
              </w:rPr>
            </w:pPr>
            <w:r w:rsidRPr="00A32AF4">
              <w:rPr>
                <w:rFonts w:cs="Arial"/>
                <w:sz w:val="16"/>
                <w:szCs w:val="16"/>
                <w:lang w:eastAsia="fr-FR"/>
              </w:rPr>
              <w:t xml:space="preserve">1 105 </w:t>
            </w:r>
          </w:p>
        </w:tc>
        <w:tc>
          <w:tcPr>
            <w:tcW w:w="1440" w:type="dxa"/>
            <w:tcBorders>
              <w:top w:val="nil"/>
              <w:left w:val="nil"/>
              <w:bottom w:val="nil"/>
              <w:right w:val="nil"/>
            </w:tcBorders>
            <w:shd w:val="clear" w:color="auto" w:fill="auto"/>
            <w:tcMar>
              <w:top w:w="113" w:type="dxa"/>
              <w:bottom w:w="113" w:type="dxa"/>
            </w:tcMar>
            <w:vAlign w:val="center"/>
            <w:hideMark/>
          </w:tcPr>
          <w:p w:rsidR="008A20BF" w:rsidRPr="00A32AF4" w:rsidRDefault="008A20BF" w:rsidP="00DC0553">
            <w:pPr>
              <w:jc w:val="right"/>
              <w:rPr>
                <w:rFonts w:cs="Arial"/>
                <w:sz w:val="16"/>
                <w:szCs w:val="16"/>
                <w:lang w:eastAsia="fr-FR"/>
              </w:rPr>
            </w:pPr>
            <w:r w:rsidRPr="00A32AF4">
              <w:rPr>
                <w:rFonts w:cs="Arial"/>
                <w:sz w:val="16"/>
                <w:szCs w:val="16"/>
                <w:lang w:eastAsia="fr-FR"/>
              </w:rPr>
              <w:t xml:space="preserve">2 777 </w:t>
            </w:r>
          </w:p>
        </w:tc>
        <w:tc>
          <w:tcPr>
            <w:tcW w:w="1260" w:type="dxa"/>
            <w:tcBorders>
              <w:top w:val="nil"/>
              <w:left w:val="nil"/>
              <w:bottom w:val="nil"/>
              <w:right w:val="single" w:sz="4" w:space="0" w:color="auto"/>
            </w:tcBorders>
            <w:shd w:val="clear" w:color="auto" w:fill="auto"/>
            <w:noWrap/>
            <w:tcMar>
              <w:top w:w="113" w:type="dxa"/>
              <w:bottom w:w="113" w:type="dxa"/>
            </w:tcMar>
            <w:vAlign w:val="center"/>
            <w:hideMark/>
          </w:tcPr>
          <w:p w:rsidR="008A20BF" w:rsidRPr="00A32AF4" w:rsidRDefault="008A20BF" w:rsidP="00DC0553">
            <w:pPr>
              <w:jc w:val="right"/>
              <w:rPr>
                <w:rFonts w:cs="Arial"/>
                <w:color w:val="000000"/>
                <w:sz w:val="16"/>
                <w:szCs w:val="16"/>
                <w:lang w:eastAsia="fr-FR"/>
              </w:rPr>
            </w:pPr>
            <w:r w:rsidRPr="00A32AF4">
              <w:rPr>
                <w:rFonts w:cs="Arial"/>
                <w:color w:val="000000"/>
                <w:sz w:val="16"/>
                <w:szCs w:val="16"/>
                <w:lang w:eastAsia="fr-FR"/>
              </w:rPr>
              <w:t xml:space="preserve">1 476 </w:t>
            </w:r>
          </w:p>
        </w:tc>
      </w:tr>
      <w:tr w:rsidR="008A20BF" w:rsidRPr="00A32AF4" w:rsidTr="008A20BF">
        <w:tc>
          <w:tcPr>
            <w:tcW w:w="592" w:type="dxa"/>
            <w:tcBorders>
              <w:top w:val="nil"/>
              <w:left w:val="single" w:sz="4" w:space="0" w:color="auto"/>
              <w:bottom w:val="nil"/>
              <w:right w:val="nil"/>
            </w:tcBorders>
            <w:shd w:val="clear" w:color="auto" w:fill="auto"/>
            <w:noWrap/>
            <w:tcMar>
              <w:top w:w="113" w:type="dxa"/>
              <w:bottom w:w="113" w:type="dxa"/>
            </w:tcMar>
            <w:vAlign w:val="center"/>
            <w:hideMark/>
          </w:tcPr>
          <w:p w:rsidR="008A20BF" w:rsidRPr="00A32AF4" w:rsidRDefault="008A20BF" w:rsidP="00DC0553">
            <w:pPr>
              <w:rPr>
                <w:rFonts w:cs="Arial"/>
                <w:sz w:val="16"/>
                <w:szCs w:val="16"/>
                <w:lang w:eastAsia="fr-FR"/>
              </w:rPr>
            </w:pPr>
            <w:r w:rsidRPr="00A32AF4">
              <w:rPr>
                <w:rFonts w:cs="Arial"/>
                <w:sz w:val="16"/>
                <w:szCs w:val="16"/>
                <w:lang w:eastAsia="fr-FR"/>
              </w:rPr>
              <w:t>IX.1</w:t>
            </w:r>
          </w:p>
        </w:tc>
        <w:tc>
          <w:tcPr>
            <w:tcW w:w="4428" w:type="dxa"/>
            <w:tcBorders>
              <w:top w:val="nil"/>
              <w:left w:val="nil"/>
              <w:bottom w:val="nil"/>
              <w:right w:val="nil"/>
            </w:tcBorders>
            <w:shd w:val="clear" w:color="auto" w:fill="auto"/>
            <w:tcMar>
              <w:top w:w="113" w:type="dxa"/>
              <w:bottom w:w="113" w:type="dxa"/>
            </w:tcMar>
            <w:vAlign w:val="center"/>
            <w:hideMark/>
          </w:tcPr>
          <w:p w:rsidR="008A20BF" w:rsidRPr="00A32AF4" w:rsidRDefault="008A20BF" w:rsidP="00DC0553">
            <w:pPr>
              <w:rPr>
                <w:rFonts w:cs="Arial"/>
                <w:sz w:val="16"/>
                <w:szCs w:val="16"/>
                <w:lang w:eastAsia="fr-FR"/>
              </w:rPr>
            </w:pPr>
            <w:r w:rsidRPr="00A32AF4">
              <w:rPr>
                <w:rFonts w:cs="Arial"/>
                <w:sz w:val="16"/>
                <w:szCs w:val="16"/>
                <w:lang w:eastAsia="fr-FR"/>
              </w:rPr>
              <w:t>Services d</w:t>
            </w:r>
            <w:r w:rsidR="00E2055A" w:rsidRPr="00A32AF4">
              <w:rPr>
                <w:rFonts w:cs="Arial"/>
                <w:sz w:val="16"/>
                <w:szCs w:val="16"/>
                <w:lang w:eastAsia="fr-FR"/>
              </w:rPr>
              <w:t>’</w:t>
            </w:r>
            <w:r w:rsidRPr="00A32AF4">
              <w:rPr>
                <w:rFonts w:cs="Arial"/>
                <w:sz w:val="16"/>
                <w:szCs w:val="16"/>
                <w:lang w:eastAsia="fr-FR"/>
              </w:rPr>
              <w:t>appui efficaces, efficients, de qualité et tournés vers la clientèle, à l</w:t>
            </w:r>
            <w:r w:rsidR="00E2055A" w:rsidRPr="00A32AF4">
              <w:rPr>
                <w:rFonts w:cs="Arial"/>
                <w:sz w:val="16"/>
                <w:szCs w:val="16"/>
                <w:lang w:eastAsia="fr-FR"/>
              </w:rPr>
              <w:t>’</w:t>
            </w:r>
            <w:r w:rsidRPr="00A32AF4">
              <w:rPr>
                <w:rFonts w:cs="Arial"/>
                <w:sz w:val="16"/>
                <w:szCs w:val="16"/>
                <w:lang w:eastAsia="fr-FR"/>
              </w:rPr>
              <w:t>intention à la fois des clients internes et des parties prenantes externes</w:t>
            </w:r>
          </w:p>
        </w:tc>
        <w:tc>
          <w:tcPr>
            <w:tcW w:w="1260" w:type="dxa"/>
            <w:tcBorders>
              <w:top w:val="nil"/>
              <w:left w:val="nil"/>
              <w:bottom w:val="nil"/>
              <w:right w:val="nil"/>
            </w:tcBorders>
            <w:shd w:val="clear" w:color="auto" w:fill="auto"/>
            <w:tcMar>
              <w:top w:w="113" w:type="dxa"/>
              <w:bottom w:w="113" w:type="dxa"/>
            </w:tcMar>
            <w:vAlign w:val="center"/>
            <w:hideMark/>
          </w:tcPr>
          <w:p w:rsidR="008A20BF" w:rsidRPr="00A32AF4" w:rsidRDefault="008A20BF" w:rsidP="00DC0553">
            <w:pPr>
              <w:jc w:val="right"/>
              <w:rPr>
                <w:rFonts w:cs="Arial"/>
                <w:sz w:val="16"/>
                <w:szCs w:val="16"/>
                <w:lang w:eastAsia="fr-FR"/>
              </w:rPr>
            </w:pPr>
            <w:r w:rsidRPr="00A32AF4">
              <w:rPr>
                <w:rFonts w:cs="Arial"/>
                <w:sz w:val="16"/>
                <w:szCs w:val="16"/>
                <w:lang w:eastAsia="fr-FR"/>
              </w:rPr>
              <w:t>44</w:t>
            </w:r>
            <w:r w:rsidR="00FD43E3" w:rsidRPr="00A32AF4">
              <w:rPr>
                <w:rFonts w:cs="Arial"/>
                <w:sz w:val="16"/>
                <w:szCs w:val="16"/>
                <w:lang w:eastAsia="fr-FR"/>
              </w:rPr>
              <w:t> </w:t>
            </w:r>
            <w:r w:rsidRPr="00A32AF4">
              <w:rPr>
                <w:rFonts w:cs="Arial"/>
                <w:sz w:val="16"/>
                <w:szCs w:val="16"/>
                <w:lang w:eastAsia="fr-FR"/>
              </w:rPr>
              <w:t xml:space="preserve">878 </w:t>
            </w:r>
          </w:p>
        </w:tc>
        <w:tc>
          <w:tcPr>
            <w:tcW w:w="1440" w:type="dxa"/>
            <w:tcBorders>
              <w:top w:val="nil"/>
              <w:left w:val="nil"/>
              <w:bottom w:val="nil"/>
              <w:right w:val="nil"/>
            </w:tcBorders>
            <w:shd w:val="clear" w:color="auto" w:fill="auto"/>
            <w:tcMar>
              <w:top w:w="113" w:type="dxa"/>
              <w:bottom w:w="113" w:type="dxa"/>
            </w:tcMar>
            <w:vAlign w:val="center"/>
            <w:hideMark/>
          </w:tcPr>
          <w:p w:rsidR="008A20BF" w:rsidRPr="00A32AF4" w:rsidRDefault="008A20BF" w:rsidP="00DC0553">
            <w:pPr>
              <w:jc w:val="right"/>
              <w:rPr>
                <w:rFonts w:cs="Arial"/>
                <w:sz w:val="16"/>
                <w:szCs w:val="16"/>
                <w:lang w:eastAsia="fr-FR"/>
              </w:rPr>
            </w:pPr>
            <w:r w:rsidRPr="00A32AF4">
              <w:rPr>
                <w:rFonts w:cs="Arial"/>
                <w:sz w:val="16"/>
                <w:szCs w:val="16"/>
                <w:lang w:eastAsia="fr-FR"/>
              </w:rPr>
              <w:t>41</w:t>
            </w:r>
            <w:r w:rsidR="00FD43E3" w:rsidRPr="00A32AF4">
              <w:rPr>
                <w:rFonts w:cs="Arial"/>
                <w:sz w:val="16"/>
                <w:szCs w:val="16"/>
                <w:lang w:eastAsia="fr-FR"/>
              </w:rPr>
              <w:t> </w:t>
            </w:r>
            <w:r w:rsidRPr="00A32AF4">
              <w:rPr>
                <w:rFonts w:cs="Arial"/>
                <w:sz w:val="16"/>
                <w:szCs w:val="16"/>
                <w:lang w:eastAsia="fr-FR"/>
              </w:rPr>
              <w:t xml:space="preserve">728 </w:t>
            </w:r>
          </w:p>
        </w:tc>
        <w:tc>
          <w:tcPr>
            <w:tcW w:w="1260" w:type="dxa"/>
            <w:tcBorders>
              <w:top w:val="nil"/>
              <w:left w:val="nil"/>
              <w:bottom w:val="nil"/>
              <w:right w:val="single" w:sz="4" w:space="0" w:color="auto"/>
            </w:tcBorders>
            <w:shd w:val="clear" w:color="auto" w:fill="auto"/>
            <w:noWrap/>
            <w:tcMar>
              <w:top w:w="113" w:type="dxa"/>
              <w:bottom w:w="113" w:type="dxa"/>
            </w:tcMar>
            <w:vAlign w:val="center"/>
            <w:hideMark/>
          </w:tcPr>
          <w:p w:rsidR="008A20BF" w:rsidRPr="00A32AF4" w:rsidRDefault="008A20BF" w:rsidP="00DC0553">
            <w:pPr>
              <w:jc w:val="right"/>
              <w:rPr>
                <w:rFonts w:cs="Arial"/>
                <w:color w:val="000000"/>
                <w:sz w:val="16"/>
                <w:szCs w:val="16"/>
                <w:lang w:eastAsia="fr-FR"/>
              </w:rPr>
            </w:pPr>
            <w:r w:rsidRPr="00A32AF4">
              <w:rPr>
                <w:rFonts w:cs="Arial"/>
                <w:color w:val="000000"/>
                <w:sz w:val="16"/>
                <w:szCs w:val="16"/>
                <w:lang w:eastAsia="fr-FR"/>
              </w:rPr>
              <w:t>44</w:t>
            </w:r>
            <w:r w:rsidR="00FD43E3" w:rsidRPr="00A32AF4">
              <w:rPr>
                <w:rFonts w:cs="Arial"/>
                <w:color w:val="000000"/>
                <w:sz w:val="16"/>
                <w:szCs w:val="16"/>
                <w:lang w:eastAsia="fr-FR"/>
              </w:rPr>
              <w:t> </w:t>
            </w:r>
            <w:r w:rsidRPr="00A32AF4">
              <w:rPr>
                <w:rFonts w:cs="Arial"/>
                <w:color w:val="000000"/>
                <w:sz w:val="16"/>
                <w:szCs w:val="16"/>
                <w:lang w:eastAsia="fr-FR"/>
              </w:rPr>
              <w:t xml:space="preserve">433 </w:t>
            </w:r>
          </w:p>
        </w:tc>
      </w:tr>
      <w:tr w:rsidR="008A20BF" w:rsidRPr="00A32AF4" w:rsidTr="008A20BF">
        <w:tc>
          <w:tcPr>
            <w:tcW w:w="592" w:type="dxa"/>
            <w:tcBorders>
              <w:top w:val="nil"/>
              <w:left w:val="single" w:sz="4" w:space="0" w:color="auto"/>
              <w:bottom w:val="nil"/>
              <w:right w:val="nil"/>
            </w:tcBorders>
            <w:shd w:val="clear" w:color="auto" w:fill="auto"/>
            <w:noWrap/>
            <w:tcMar>
              <w:top w:w="113" w:type="dxa"/>
              <w:bottom w:w="113" w:type="dxa"/>
            </w:tcMar>
            <w:vAlign w:val="center"/>
            <w:hideMark/>
          </w:tcPr>
          <w:p w:rsidR="008A20BF" w:rsidRPr="00A32AF4" w:rsidRDefault="008A20BF" w:rsidP="00DC0553">
            <w:pPr>
              <w:rPr>
                <w:rFonts w:cs="Arial"/>
                <w:sz w:val="16"/>
                <w:szCs w:val="16"/>
                <w:lang w:eastAsia="fr-FR"/>
              </w:rPr>
            </w:pPr>
            <w:r w:rsidRPr="00A32AF4">
              <w:rPr>
                <w:rFonts w:cs="Arial"/>
                <w:sz w:val="16"/>
                <w:szCs w:val="16"/>
                <w:lang w:eastAsia="fr-FR"/>
              </w:rPr>
              <w:t>IX.4</w:t>
            </w:r>
          </w:p>
        </w:tc>
        <w:tc>
          <w:tcPr>
            <w:tcW w:w="4428" w:type="dxa"/>
            <w:tcBorders>
              <w:top w:val="nil"/>
              <w:left w:val="nil"/>
              <w:bottom w:val="nil"/>
              <w:right w:val="nil"/>
            </w:tcBorders>
            <w:shd w:val="clear" w:color="auto" w:fill="auto"/>
            <w:tcMar>
              <w:top w:w="113" w:type="dxa"/>
              <w:bottom w:w="113" w:type="dxa"/>
            </w:tcMar>
            <w:vAlign w:val="center"/>
            <w:hideMark/>
          </w:tcPr>
          <w:p w:rsidR="008A20BF" w:rsidRPr="00A32AF4" w:rsidRDefault="008A20BF" w:rsidP="00DC0553">
            <w:pPr>
              <w:rPr>
                <w:rFonts w:cs="Arial"/>
                <w:sz w:val="16"/>
                <w:szCs w:val="16"/>
                <w:lang w:eastAsia="fr-FR"/>
              </w:rPr>
            </w:pPr>
            <w:r w:rsidRPr="00A32AF4">
              <w:rPr>
                <w:rFonts w:cs="Arial"/>
                <w:sz w:val="16"/>
                <w:szCs w:val="16"/>
                <w:lang w:eastAsia="fr-FR"/>
              </w:rPr>
              <w:t>Une Organisation écologiquement et socialement responsable assurant la sûreté et la sécurité du personnel, des délégués, des visiteurs, de l</w:t>
            </w:r>
            <w:r w:rsidR="00E2055A" w:rsidRPr="00A32AF4">
              <w:rPr>
                <w:rFonts w:cs="Arial"/>
                <w:sz w:val="16"/>
                <w:szCs w:val="16"/>
                <w:lang w:eastAsia="fr-FR"/>
              </w:rPr>
              <w:t>’</w:t>
            </w:r>
            <w:r w:rsidRPr="00A32AF4">
              <w:rPr>
                <w:rFonts w:cs="Arial"/>
                <w:sz w:val="16"/>
                <w:szCs w:val="16"/>
                <w:lang w:eastAsia="fr-FR"/>
              </w:rPr>
              <w:t>information et des biens</w:t>
            </w:r>
          </w:p>
        </w:tc>
        <w:tc>
          <w:tcPr>
            <w:tcW w:w="1260" w:type="dxa"/>
            <w:tcBorders>
              <w:top w:val="nil"/>
              <w:left w:val="nil"/>
              <w:bottom w:val="nil"/>
              <w:right w:val="nil"/>
            </w:tcBorders>
            <w:shd w:val="clear" w:color="auto" w:fill="auto"/>
            <w:tcMar>
              <w:top w:w="113" w:type="dxa"/>
              <w:bottom w:w="113" w:type="dxa"/>
            </w:tcMar>
            <w:vAlign w:val="center"/>
            <w:hideMark/>
          </w:tcPr>
          <w:p w:rsidR="008A20BF" w:rsidRPr="00A32AF4" w:rsidRDefault="008A20BF" w:rsidP="00DC0553">
            <w:pPr>
              <w:jc w:val="right"/>
              <w:rPr>
                <w:rFonts w:cs="Arial"/>
                <w:sz w:val="16"/>
                <w:szCs w:val="16"/>
                <w:lang w:eastAsia="fr-FR"/>
              </w:rPr>
            </w:pPr>
            <w:r w:rsidRPr="00A32AF4">
              <w:rPr>
                <w:rFonts w:cs="Arial"/>
                <w:sz w:val="16"/>
                <w:szCs w:val="16"/>
                <w:lang w:eastAsia="fr-FR"/>
              </w:rPr>
              <w:t xml:space="preserve">1 417 </w:t>
            </w:r>
          </w:p>
        </w:tc>
        <w:tc>
          <w:tcPr>
            <w:tcW w:w="1440" w:type="dxa"/>
            <w:tcBorders>
              <w:top w:val="nil"/>
              <w:left w:val="nil"/>
              <w:bottom w:val="nil"/>
              <w:right w:val="nil"/>
            </w:tcBorders>
            <w:shd w:val="clear" w:color="auto" w:fill="auto"/>
            <w:tcMar>
              <w:top w:w="113" w:type="dxa"/>
              <w:bottom w:w="113" w:type="dxa"/>
            </w:tcMar>
            <w:vAlign w:val="center"/>
            <w:hideMark/>
          </w:tcPr>
          <w:p w:rsidR="008A20BF" w:rsidRPr="00A32AF4" w:rsidRDefault="008A20BF" w:rsidP="00DC0553">
            <w:pPr>
              <w:jc w:val="right"/>
              <w:rPr>
                <w:rFonts w:cs="Arial"/>
                <w:sz w:val="16"/>
                <w:szCs w:val="16"/>
                <w:lang w:eastAsia="fr-FR"/>
              </w:rPr>
            </w:pPr>
            <w:r w:rsidRPr="00A32AF4">
              <w:rPr>
                <w:rFonts w:cs="Arial"/>
                <w:sz w:val="16"/>
                <w:szCs w:val="16"/>
                <w:lang w:eastAsia="fr-FR"/>
              </w:rPr>
              <w:t xml:space="preserve">2 931 </w:t>
            </w:r>
          </w:p>
        </w:tc>
        <w:tc>
          <w:tcPr>
            <w:tcW w:w="1260" w:type="dxa"/>
            <w:tcBorders>
              <w:top w:val="nil"/>
              <w:left w:val="nil"/>
              <w:bottom w:val="single" w:sz="4" w:space="0" w:color="auto"/>
              <w:right w:val="single" w:sz="4" w:space="0" w:color="auto"/>
            </w:tcBorders>
            <w:shd w:val="clear" w:color="auto" w:fill="auto"/>
            <w:noWrap/>
            <w:tcMar>
              <w:top w:w="113" w:type="dxa"/>
              <w:bottom w:w="113" w:type="dxa"/>
            </w:tcMar>
            <w:vAlign w:val="center"/>
            <w:hideMark/>
          </w:tcPr>
          <w:p w:rsidR="008A20BF" w:rsidRPr="00A32AF4" w:rsidRDefault="008A20BF" w:rsidP="00DC0553">
            <w:pPr>
              <w:jc w:val="right"/>
              <w:rPr>
                <w:rFonts w:cs="Arial"/>
                <w:color w:val="000000"/>
                <w:sz w:val="16"/>
                <w:szCs w:val="16"/>
                <w:lang w:eastAsia="fr-FR"/>
              </w:rPr>
            </w:pPr>
            <w:r w:rsidRPr="00A32AF4">
              <w:rPr>
                <w:rFonts w:cs="Arial"/>
                <w:color w:val="000000"/>
                <w:sz w:val="16"/>
                <w:szCs w:val="16"/>
                <w:lang w:eastAsia="fr-FR"/>
              </w:rPr>
              <w:t xml:space="preserve">1 308 </w:t>
            </w:r>
          </w:p>
        </w:tc>
      </w:tr>
      <w:tr w:rsidR="008A20BF" w:rsidRPr="00A32AF4" w:rsidTr="008A20BF">
        <w:tc>
          <w:tcPr>
            <w:tcW w:w="592" w:type="dxa"/>
            <w:tcBorders>
              <w:top w:val="single" w:sz="4" w:space="0" w:color="auto"/>
              <w:left w:val="single" w:sz="4" w:space="0" w:color="auto"/>
              <w:bottom w:val="single" w:sz="4" w:space="0" w:color="auto"/>
              <w:right w:val="nil"/>
            </w:tcBorders>
            <w:shd w:val="clear" w:color="000000" w:fill="C5D9F1"/>
            <w:noWrap/>
            <w:tcMar>
              <w:top w:w="113" w:type="dxa"/>
              <w:bottom w:w="113" w:type="dxa"/>
            </w:tcMar>
            <w:vAlign w:val="bottom"/>
            <w:hideMark/>
          </w:tcPr>
          <w:p w:rsidR="008A20BF" w:rsidRPr="00A32AF4" w:rsidRDefault="008A20BF" w:rsidP="00DC0553">
            <w:pPr>
              <w:rPr>
                <w:rFonts w:cs="Arial"/>
                <w:sz w:val="16"/>
                <w:szCs w:val="16"/>
                <w:lang w:eastAsia="fr-FR"/>
              </w:rPr>
            </w:pPr>
            <w:r w:rsidRPr="00A32AF4">
              <w:rPr>
                <w:rFonts w:cs="Arial"/>
                <w:sz w:val="16"/>
                <w:szCs w:val="16"/>
                <w:lang w:eastAsia="fr-FR"/>
              </w:rPr>
              <w:t> </w:t>
            </w:r>
          </w:p>
        </w:tc>
        <w:tc>
          <w:tcPr>
            <w:tcW w:w="4428"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8A20BF" w:rsidRPr="00A32AF4" w:rsidRDefault="008A20BF" w:rsidP="00DC0553">
            <w:pPr>
              <w:rPr>
                <w:rFonts w:cs="Arial"/>
                <w:b/>
                <w:bCs/>
                <w:sz w:val="16"/>
                <w:szCs w:val="16"/>
                <w:lang w:eastAsia="fr-FR"/>
              </w:rPr>
            </w:pPr>
            <w:r w:rsidRPr="00A32AF4">
              <w:rPr>
                <w:rFonts w:cs="Arial"/>
                <w:b/>
                <w:bCs/>
                <w:sz w:val="16"/>
                <w:szCs w:val="16"/>
                <w:lang w:eastAsia="fr-FR"/>
              </w:rPr>
              <w:t>Total</w:t>
            </w:r>
          </w:p>
        </w:tc>
        <w:tc>
          <w:tcPr>
            <w:tcW w:w="1260"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8A20BF" w:rsidRPr="00A32AF4" w:rsidRDefault="008A20BF" w:rsidP="00DC0553">
            <w:pPr>
              <w:jc w:val="right"/>
              <w:rPr>
                <w:rFonts w:cs="Arial"/>
                <w:b/>
                <w:bCs/>
                <w:sz w:val="16"/>
                <w:szCs w:val="16"/>
                <w:lang w:eastAsia="fr-FR"/>
              </w:rPr>
            </w:pPr>
            <w:r w:rsidRPr="00A32AF4">
              <w:rPr>
                <w:rFonts w:cs="Arial"/>
                <w:b/>
                <w:bCs/>
                <w:sz w:val="16"/>
                <w:szCs w:val="16"/>
                <w:lang w:eastAsia="fr-FR"/>
              </w:rPr>
              <w:t>47</w:t>
            </w:r>
            <w:r w:rsidR="00FD43E3" w:rsidRPr="00A32AF4">
              <w:rPr>
                <w:rFonts w:cs="Arial"/>
                <w:b/>
                <w:bCs/>
                <w:sz w:val="16"/>
                <w:szCs w:val="16"/>
                <w:lang w:eastAsia="fr-FR"/>
              </w:rPr>
              <w:t> </w:t>
            </w:r>
            <w:r w:rsidRPr="00A32AF4">
              <w:rPr>
                <w:rFonts w:cs="Arial"/>
                <w:b/>
                <w:bCs/>
                <w:sz w:val="16"/>
                <w:szCs w:val="16"/>
                <w:lang w:eastAsia="fr-FR"/>
              </w:rPr>
              <w:t xml:space="preserve">400 </w:t>
            </w:r>
          </w:p>
        </w:tc>
        <w:tc>
          <w:tcPr>
            <w:tcW w:w="1440"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8A20BF" w:rsidRPr="00A32AF4" w:rsidRDefault="008A20BF" w:rsidP="00DC0553">
            <w:pPr>
              <w:jc w:val="right"/>
              <w:rPr>
                <w:rFonts w:cs="Arial"/>
                <w:b/>
                <w:bCs/>
                <w:sz w:val="16"/>
                <w:szCs w:val="16"/>
                <w:lang w:eastAsia="fr-FR"/>
              </w:rPr>
            </w:pPr>
            <w:r w:rsidRPr="00A32AF4">
              <w:rPr>
                <w:rFonts w:cs="Arial"/>
                <w:b/>
                <w:bCs/>
                <w:sz w:val="16"/>
                <w:szCs w:val="16"/>
                <w:lang w:eastAsia="fr-FR"/>
              </w:rPr>
              <w:t>47</w:t>
            </w:r>
            <w:r w:rsidR="00FD43E3" w:rsidRPr="00A32AF4">
              <w:rPr>
                <w:rFonts w:cs="Arial"/>
                <w:b/>
                <w:bCs/>
                <w:sz w:val="16"/>
                <w:szCs w:val="16"/>
                <w:lang w:eastAsia="fr-FR"/>
              </w:rPr>
              <w:t> </w:t>
            </w:r>
            <w:r w:rsidRPr="00A32AF4">
              <w:rPr>
                <w:rFonts w:cs="Arial"/>
                <w:b/>
                <w:bCs/>
                <w:sz w:val="16"/>
                <w:szCs w:val="16"/>
                <w:lang w:eastAsia="fr-FR"/>
              </w:rPr>
              <w:t xml:space="preserve">436 </w:t>
            </w:r>
          </w:p>
        </w:tc>
        <w:tc>
          <w:tcPr>
            <w:tcW w:w="1260" w:type="dxa"/>
            <w:tcBorders>
              <w:top w:val="nil"/>
              <w:left w:val="nil"/>
              <w:bottom w:val="single" w:sz="4" w:space="0" w:color="auto"/>
              <w:right w:val="single" w:sz="4" w:space="0" w:color="auto"/>
            </w:tcBorders>
            <w:shd w:val="clear" w:color="000000" w:fill="C5D9F1"/>
            <w:noWrap/>
            <w:tcMar>
              <w:top w:w="113" w:type="dxa"/>
              <w:bottom w:w="113" w:type="dxa"/>
            </w:tcMar>
            <w:vAlign w:val="bottom"/>
            <w:hideMark/>
          </w:tcPr>
          <w:p w:rsidR="008A20BF" w:rsidRPr="00A32AF4" w:rsidRDefault="008A20BF" w:rsidP="00DC0553">
            <w:pPr>
              <w:jc w:val="right"/>
              <w:rPr>
                <w:rFonts w:cs="Arial"/>
                <w:b/>
                <w:bCs/>
                <w:sz w:val="16"/>
                <w:szCs w:val="16"/>
                <w:lang w:eastAsia="fr-FR"/>
              </w:rPr>
            </w:pPr>
            <w:r w:rsidRPr="00A32AF4">
              <w:rPr>
                <w:rFonts w:cs="Arial"/>
                <w:b/>
                <w:bCs/>
                <w:sz w:val="16"/>
                <w:szCs w:val="16"/>
                <w:lang w:eastAsia="fr-FR"/>
              </w:rPr>
              <w:t>47</w:t>
            </w:r>
            <w:r w:rsidR="00FD43E3" w:rsidRPr="00A32AF4">
              <w:rPr>
                <w:rFonts w:cs="Arial"/>
                <w:b/>
                <w:bCs/>
                <w:sz w:val="16"/>
                <w:szCs w:val="16"/>
                <w:lang w:eastAsia="fr-FR"/>
              </w:rPr>
              <w:t> </w:t>
            </w:r>
            <w:r w:rsidRPr="00A32AF4">
              <w:rPr>
                <w:rFonts w:cs="Arial"/>
                <w:b/>
                <w:bCs/>
                <w:sz w:val="16"/>
                <w:szCs w:val="16"/>
                <w:lang w:eastAsia="fr-FR"/>
              </w:rPr>
              <w:t xml:space="preserve">216 </w:t>
            </w:r>
          </w:p>
        </w:tc>
      </w:tr>
    </w:tbl>
    <w:p w:rsidR="00F93B76" w:rsidRPr="00A32AF4" w:rsidRDefault="00F93B76" w:rsidP="00DC0553"/>
    <w:p w:rsidR="00F93B76" w:rsidRPr="00A32AF4" w:rsidRDefault="00F93B76" w:rsidP="00DC0553"/>
    <w:p w:rsidR="00F93B76" w:rsidRPr="00A32AF4" w:rsidRDefault="008A20BF" w:rsidP="00DC0553">
      <w:pPr>
        <w:keepNext/>
        <w:keepLines/>
        <w:autoSpaceDE w:val="0"/>
        <w:autoSpaceDN w:val="0"/>
        <w:jc w:val="center"/>
        <w:rPr>
          <w:rFonts w:cs="Arial"/>
          <w:b/>
        </w:rPr>
      </w:pPr>
      <w:r w:rsidRPr="00A32AF4">
        <w:rPr>
          <w:rFonts w:cs="Arial"/>
          <w:b/>
        </w:rPr>
        <w:t>Programme 24 : ressources par objet de dépense</w:t>
      </w:r>
    </w:p>
    <w:p w:rsidR="00F93B76" w:rsidRPr="00A32AF4" w:rsidRDefault="008A20BF" w:rsidP="00DC0553">
      <w:pPr>
        <w:keepNext/>
        <w:keepLines/>
        <w:autoSpaceDE w:val="0"/>
        <w:autoSpaceDN w:val="0"/>
        <w:jc w:val="center"/>
        <w:rPr>
          <w:rFonts w:cs="Arial"/>
          <w:i/>
        </w:rPr>
      </w:pPr>
      <w:r w:rsidRPr="00A32AF4">
        <w:rPr>
          <w:rFonts w:cs="Arial"/>
          <w:i/>
        </w:rPr>
        <w:t>(</w:t>
      </w:r>
      <w:proofErr w:type="gramStart"/>
      <w:r w:rsidRPr="00A32AF4">
        <w:rPr>
          <w:rFonts w:cs="Arial"/>
          <w:i/>
        </w:rPr>
        <w:t>en</w:t>
      </w:r>
      <w:proofErr w:type="gramEnd"/>
      <w:r w:rsidRPr="00A32AF4">
        <w:rPr>
          <w:rFonts w:cs="Arial"/>
          <w:i/>
        </w:rPr>
        <w:t xml:space="preserve"> milliers de francs suisses)</w:t>
      </w:r>
    </w:p>
    <w:p w:rsidR="00F93B76" w:rsidRPr="00A32AF4" w:rsidRDefault="00F93B76" w:rsidP="00DC0553">
      <w:pPr>
        <w:keepNext/>
        <w:rPr>
          <w:rFonts w:eastAsia="SimSun"/>
        </w:rPr>
      </w:pPr>
    </w:p>
    <w:p w:rsidR="00F93B76" w:rsidRPr="00A32AF4" w:rsidRDefault="005240BB" w:rsidP="00DC0553">
      <w:pPr>
        <w:rPr>
          <w:rFonts w:eastAsia="SimSun"/>
        </w:rPr>
      </w:pPr>
      <w:r w:rsidRPr="00A32AF4">
        <w:rPr>
          <w:rFonts w:eastAsia="SimSun"/>
          <w:noProof/>
          <w:lang w:eastAsia="fr-FR"/>
        </w:rPr>
        <w:drawing>
          <wp:inline distT="0" distB="0" distL="0" distR="0" wp14:anchorId="0CFA993A" wp14:editId="04D4F701">
            <wp:extent cx="5512435" cy="6555105"/>
            <wp:effectExtent l="0" t="0" r="0" b="0"/>
            <wp:docPr id="1058" name="Picture 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5512435" cy="6555105"/>
                    </a:xfrm>
                    <a:prstGeom prst="rect">
                      <a:avLst/>
                    </a:prstGeom>
                    <a:noFill/>
                    <a:ln>
                      <a:noFill/>
                    </a:ln>
                  </pic:spPr>
                </pic:pic>
              </a:graphicData>
            </a:graphic>
          </wp:inline>
        </w:drawing>
      </w:r>
    </w:p>
    <w:p w:rsidR="00F93B76" w:rsidRPr="00A32AF4" w:rsidRDefault="00F93B76" w:rsidP="00DC0553">
      <w:pPr>
        <w:rPr>
          <w:lang w:eastAsia="da-DK"/>
        </w:rPr>
      </w:pPr>
    </w:p>
    <w:p w:rsidR="00F93B76" w:rsidRPr="00A32AF4" w:rsidRDefault="008A20BF" w:rsidP="00DC0553">
      <w:pPr>
        <w:rPr>
          <w:lang w:eastAsia="da-DK"/>
        </w:rPr>
      </w:pPr>
      <w:r w:rsidRPr="00A32AF4">
        <w:rPr>
          <w:lang w:eastAsia="da-DK"/>
        </w:rPr>
        <w:br w:type="page"/>
      </w:r>
    </w:p>
    <w:p w:rsidR="00E708B2" w:rsidRPr="00A32AF4" w:rsidRDefault="00E708B2" w:rsidP="00FB1F61">
      <w:pPr>
        <w:pStyle w:val="StyleStyleHeading3ComplexItalicLatin12pt"/>
        <w:rPr>
          <w:b/>
        </w:rPr>
      </w:pPr>
      <w:bookmarkStart w:id="65" w:name="_Toc419283275"/>
      <w:bookmarkStart w:id="66" w:name="_Toc431555470"/>
      <w:r w:rsidRPr="00A32AF4">
        <w:t>PROGRAMME 25</w:t>
      </w:r>
      <w:r w:rsidRPr="00A32AF4">
        <w:tab/>
        <w:t>technologies de l</w:t>
      </w:r>
      <w:r w:rsidR="00E2055A" w:rsidRPr="00A32AF4">
        <w:t>’</w:t>
      </w:r>
      <w:r w:rsidRPr="00A32AF4">
        <w:t>information et de la communication</w:t>
      </w:r>
      <w:bookmarkEnd w:id="65"/>
      <w:bookmarkEnd w:id="66"/>
    </w:p>
    <w:p w:rsidR="00E708B2" w:rsidRPr="00A32AF4" w:rsidRDefault="00E708B2" w:rsidP="00DC0553"/>
    <w:p w:rsidR="00E708B2" w:rsidRPr="00A32AF4" w:rsidRDefault="00E708B2" w:rsidP="00DC0553"/>
    <w:p w:rsidR="00E708B2" w:rsidRPr="00A32AF4" w:rsidRDefault="00E708B2" w:rsidP="00DC0553">
      <w:pPr>
        <w:autoSpaceDE w:val="0"/>
        <w:autoSpaceDN w:val="0"/>
        <w:adjustRightInd w:val="0"/>
        <w:rPr>
          <w:rFonts w:cs="Arial"/>
        </w:rPr>
      </w:pPr>
      <w:r w:rsidRPr="00A32AF4">
        <w:rPr>
          <w:rFonts w:cs="Arial"/>
        </w:rPr>
        <w:t>CONTEXTE DE PLANIFICATION</w:t>
      </w:r>
    </w:p>
    <w:p w:rsidR="00E708B2" w:rsidRPr="00A32AF4" w:rsidRDefault="00E708B2" w:rsidP="00DC0553">
      <w:pPr>
        <w:autoSpaceDE w:val="0"/>
        <w:autoSpaceDN w:val="0"/>
        <w:adjustRightInd w:val="0"/>
        <w:rPr>
          <w:rFonts w:cs="Arial"/>
        </w:rPr>
      </w:pPr>
    </w:p>
    <w:p w:rsidR="00E708B2" w:rsidRPr="00A32AF4" w:rsidRDefault="00E708B2" w:rsidP="00DC0553">
      <w:pPr>
        <w:pStyle w:val="ListParagraph"/>
        <w:numPr>
          <w:ilvl w:val="0"/>
          <w:numId w:val="69"/>
        </w:numPr>
        <w:tabs>
          <w:tab w:val="left" w:pos="709"/>
        </w:tabs>
        <w:autoSpaceDE w:val="0"/>
        <w:autoSpaceDN w:val="0"/>
        <w:adjustRightInd w:val="0"/>
        <w:spacing w:after="0" w:line="240" w:lineRule="auto"/>
        <w:ind w:left="0" w:firstLine="0"/>
        <w:jc w:val="both"/>
        <w:rPr>
          <w:rFonts w:ascii="Arial" w:hAnsi="Arial" w:cs="Arial"/>
          <w:szCs w:val="20"/>
        </w:rPr>
      </w:pPr>
      <w:r w:rsidRPr="00A32AF4">
        <w:rPr>
          <w:rFonts w:ascii="Arial" w:hAnsi="Arial" w:cs="Arial"/>
          <w:szCs w:val="20"/>
        </w:rPr>
        <w:t>Les technologies de l</w:t>
      </w:r>
      <w:r w:rsidR="00E2055A" w:rsidRPr="00A32AF4">
        <w:rPr>
          <w:rFonts w:ascii="Arial" w:hAnsi="Arial" w:cs="Arial"/>
          <w:szCs w:val="20"/>
        </w:rPr>
        <w:t>’</w:t>
      </w:r>
      <w:r w:rsidRPr="00A32AF4">
        <w:rPr>
          <w:rFonts w:ascii="Arial" w:hAnsi="Arial" w:cs="Arial"/>
          <w:szCs w:val="20"/>
        </w:rPr>
        <w:t>information et de la communication (TIC) continuent de jouer deux rôles essentiels à l</w:t>
      </w:r>
      <w:r w:rsidR="00E2055A" w:rsidRPr="00A32AF4">
        <w:rPr>
          <w:rFonts w:ascii="Arial" w:hAnsi="Arial" w:cs="Arial"/>
          <w:szCs w:val="20"/>
        </w:rPr>
        <w:t>’</w:t>
      </w:r>
      <w:r w:rsidRPr="00A32AF4">
        <w:rPr>
          <w:rFonts w:ascii="Arial" w:hAnsi="Arial" w:cs="Arial"/>
          <w:szCs w:val="20"/>
        </w:rPr>
        <w:t>OMPI.  À l</w:t>
      </w:r>
      <w:r w:rsidR="00E2055A" w:rsidRPr="00A32AF4">
        <w:rPr>
          <w:rFonts w:ascii="Arial" w:hAnsi="Arial" w:cs="Arial"/>
          <w:szCs w:val="20"/>
        </w:rPr>
        <w:t>’</w:t>
      </w:r>
      <w:r w:rsidRPr="00A32AF4">
        <w:rPr>
          <w:rFonts w:ascii="Arial" w:hAnsi="Arial" w:cs="Arial"/>
          <w:szCs w:val="20"/>
        </w:rPr>
        <w:t>extérieur, elles sont devenues le principal canal pour la fourniture des services de l</w:t>
      </w:r>
      <w:r w:rsidR="00E2055A" w:rsidRPr="00A32AF4">
        <w:rPr>
          <w:rFonts w:ascii="Arial" w:hAnsi="Arial" w:cs="Arial"/>
          <w:szCs w:val="20"/>
        </w:rPr>
        <w:t>’</w:t>
      </w:r>
      <w:r w:rsidRPr="00A32AF4">
        <w:rPr>
          <w:rFonts w:ascii="Arial" w:hAnsi="Arial" w:cs="Arial"/>
          <w:szCs w:val="20"/>
        </w:rPr>
        <w:t>OMPI à ses clients partout dans le monde.  Il s</w:t>
      </w:r>
      <w:r w:rsidR="00E2055A" w:rsidRPr="00A32AF4">
        <w:rPr>
          <w:rFonts w:ascii="Arial" w:hAnsi="Arial" w:cs="Arial"/>
          <w:szCs w:val="20"/>
        </w:rPr>
        <w:t>’</w:t>
      </w:r>
      <w:r w:rsidRPr="00A32AF4">
        <w:rPr>
          <w:rFonts w:ascii="Arial" w:hAnsi="Arial" w:cs="Arial"/>
          <w:szCs w:val="20"/>
        </w:rPr>
        <w:t>agit notamment des services d</w:t>
      </w:r>
      <w:r w:rsidR="00E2055A" w:rsidRPr="00A32AF4">
        <w:rPr>
          <w:rFonts w:ascii="Arial" w:hAnsi="Arial" w:cs="Arial"/>
          <w:szCs w:val="20"/>
        </w:rPr>
        <w:t>’</w:t>
      </w:r>
      <w:r w:rsidRPr="00A32AF4">
        <w:rPr>
          <w:rFonts w:ascii="Arial" w:hAnsi="Arial" w:cs="Arial"/>
          <w:szCs w:val="20"/>
        </w:rPr>
        <w:t>enregistrement, des services d</w:t>
      </w:r>
      <w:r w:rsidR="00E2055A" w:rsidRPr="00A32AF4">
        <w:rPr>
          <w:rFonts w:ascii="Arial" w:hAnsi="Arial" w:cs="Arial"/>
          <w:szCs w:val="20"/>
        </w:rPr>
        <w:t>’</w:t>
      </w:r>
      <w:r w:rsidRPr="00A32AF4">
        <w:rPr>
          <w:rFonts w:ascii="Arial" w:hAnsi="Arial" w:cs="Arial"/>
          <w:szCs w:val="20"/>
        </w:rPr>
        <w:t>infrastructures mondiales en matière de propriété intellectuelle, de l</w:t>
      </w:r>
      <w:r w:rsidR="00E2055A" w:rsidRPr="00A32AF4">
        <w:rPr>
          <w:rFonts w:ascii="Arial" w:hAnsi="Arial" w:cs="Arial"/>
          <w:szCs w:val="20"/>
        </w:rPr>
        <w:t>’</w:t>
      </w:r>
      <w:r w:rsidRPr="00A32AF4">
        <w:rPr>
          <w:rFonts w:ascii="Arial" w:hAnsi="Arial" w:cs="Arial"/>
          <w:szCs w:val="20"/>
        </w:rPr>
        <w:t>accès à l</w:t>
      </w:r>
      <w:r w:rsidR="00E2055A" w:rsidRPr="00A32AF4">
        <w:rPr>
          <w:rFonts w:ascii="Arial" w:hAnsi="Arial" w:cs="Arial"/>
          <w:szCs w:val="20"/>
        </w:rPr>
        <w:t>’</w:t>
      </w:r>
      <w:r w:rsidRPr="00A32AF4">
        <w:rPr>
          <w:rFonts w:ascii="Arial" w:hAnsi="Arial" w:cs="Arial"/>
          <w:szCs w:val="20"/>
        </w:rPr>
        <w:t>information et à l</w:t>
      </w:r>
      <w:r w:rsidR="00E2055A" w:rsidRPr="00A32AF4">
        <w:rPr>
          <w:rFonts w:ascii="Arial" w:hAnsi="Arial" w:cs="Arial"/>
          <w:szCs w:val="20"/>
        </w:rPr>
        <w:t>’</w:t>
      </w:r>
      <w:r w:rsidRPr="00A32AF4">
        <w:rPr>
          <w:rFonts w:ascii="Arial" w:hAnsi="Arial" w:cs="Arial"/>
          <w:szCs w:val="20"/>
        </w:rPr>
        <w:t>analyse en matière de propriété intellectuelle, de l</w:t>
      </w:r>
      <w:r w:rsidR="00E2055A" w:rsidRPr="00A32AF4">
        <w:rPr>
          <w:rFonts w:ascii="Arial" w:hAnsi="Arial" w:cs="Arial"/>
          <w:szCs w:val="20"/>
        </w:rPr>
        <w:t>’</w:t>
      </w:r>
      <w:r w:rsidRPr="00A32AF4">
        <w:rPr>
          <w:rFonts w:ascii="Arial" w:hAnsi="Arial" w:cs="Arial"/>
          <w:szCs w:val="20"/>
        </w:rPr>
        <w:t>accès aux plates</w:t>
      </w:r>
      <w:r w:rsidR="00EB7F54" w:rsidRPr="00A32AF4">
        <w:rPr>
          <w:rFonts w:ascii="Arial" w:hAnsi="Arial" w:cs="Arial"/>
          <w:szCs w:val="20"/>
        </w:rPr>
        <w:noBreakHyphen/>
      </w:r>
      <w:r w:rsidRPr="00A32AF4">
        <w:rPr>
          <w:rFonts w:ascii="Arial" w:hAnsi="Arial" w:cs="Arial"/>
          <w:szCs w:val="20"/>
        </w:rPr>
        <w:t>formes consacrées à la propriété intellectuelle face aux enjeux mondiaux, de la communication en direction des États membres et des parties prenantes grâce à la diffusion sur le Web des réunions de l</w:t>
      </w:r>
      <w:r w:rsidR="00E2055A" w:rsidRPr="00A32AF4">
        <w:rPr>
          <w:rFonts w:ascii="Arial" w:hAnsi="Arial" w:cs="Arial"/>
          <w:szCs w:val="20"/>
        </w:rPr>
        <w:t>’</w:t>
      </w:r>
      <w:r w:rsidRPr="00A32AF4">
        <w:rPr>
          <w:rFonts w:ascii="Arial" w:hAnsi="Arial" w:cs="Arial"/>
          <w:szCs w:val="20"/>
        </w:rPr>
        <w:t>OMPI, etc.  En interne, les TIC permettent à l</w:t>
      </w:r>
      <w:r w:rsidR="00E2055A" w:rsidRPr="00A32AF4">
        <w:rPr>
          <w:rFonts w:ascii="Arial" w:hAnsi="Arial" w:cs="Arial"/>
          <w:szCs w:val="20"/>
        </w:rPr>
        <w:t>’</w:t>
      </w:r>
      <w:r w:rsidRPr="00A32AF4">
        <w:rPr>
          <w:rFonts w:ascii="Arial" w:hAnsi="Arial" w:cs="Arial"/>
          <w:szCs w:val="20"/>
        </w:rPr>
        <w:t>OMPI de mener ses tâches quotidiennes grâce à la fourniture de services tels que les télécommunications, le courrier électronique et le traitement d</w:t>
      </w:r>
      <w:r w:rsidR="00E2055A" w:rsidRPr="00A32AF4">
        <w:rPr>
          <w:rFonts w:ascii="Arial" w:hAnsi="Arial" w:cs="Arial"/>
          <w:szCs w:val="20"/>
        </w:rPr>
        <w:t>’</w:t>
      </w:r>
      <w:r w:rsidRPr="00A32AF4">
        <w:rPr>
          <w:rFonts w:ascii="Arial" w:hAnsi="Arial" w:cs="Arial"/>
          <w:szCs w:val="20"/>
        </w:rPr>
        <w:t>un large éventail de tâches administratives.  Ainsi, les neuf objectifs stratégiques de l</w:t>
      </w:r>
      <w:r w:rsidR="00E2055A" w:rsidRPr="00A32AF4">
        <w:rPr>
          <w:rFonts w:ascii="Arial" w:hAnsi="Arial" w:cs="Arial"/>
          <w:szCs w:val="20"/>
        </w:rPr>
        <w:t>’</w:t>
      </w:r>
      <w:r w:rsidRPr="00A32AF4">
        <w:rPr>
          <w:rFonts w:ascii="Arial" w:hAnsi="Arial" w:cs="Arial"/>
          <w:szCs w:val="20"/>
        </w:rPr>
        <w:t>OMPI sont fortement tributaires de la fiabilité et de l</w:t>
      </w:r>
      <w:r w:rsidR="00E2055A" w:rsidRPr="00A32AF4">
        <w:rPr>
          <w:rFonts w:ascii="Arial" w:hAnsi="Arial" w:cs="Arial"/>
          <w:szCs w:val="20"/>
        </w:rPr>
        <w:t>’</w:t>
      </w:r>
      <w:r w:rsidRPr="00A32AF4">
        <w:rPr>
          <w:rFonts w:ascii="Arial" w:hAnsi="Arial" w:cs="Arial"/>
          <w:szCs w:val="20"/>
        </w:rPr>
        <w:t>efficacité des infrastructures et des services dans le domaine des TIC pour l</w:t>
      </w:r>
      <w:r w:rsidR="00E2055A" w:rsidRPr="00A32AF4">
        <w:rPr>
          <w:rFonts w:ascii="Arial" w:hAnsi="Arial" w:cs="Arial"/>
          <w:szCs w:val="20"/>
        </w:rPr>
        <w:t>’</w:t>
      </w:r>
      <w:r w:rsidRPr="00A32AF4">
        <w:rPr>
          <w:rFonts w:ascii="Arial" w:hAnsi="Arial" w:cs="Arial"/>
          <w:szCs w:val="20"/>
        </w:rPr>
        <w:t>atteinte des résultats du programme.</w:t>
      </w:r>
    </w:p>
    <w:p w:rsidR="00E708B2" w:rsidRPr="00A32AF4" w:rsidRDefault="00E708B2" w:rsidP="00DC0553">
      <w:pPr>
        <w:autoSpaceDE w:val="0"/>
        <w:autoSpaceDN w:val="0"/>
        <w:adjustRightInd w:val="0"/>
        <w:rPr>
          <w:rFonts w:cs="Arial"/>
        </w:rPr>
      </w:pPr>
    </w:p>
    <w:p w:rsidR="00E708B2" w:rsidRPr="00A32AF4" w:rsidRDefault="00E708B2" w:rsidP="00DC0553">
      <w:pPr>
        <w:pStyle w:val="ListParagraph"/>
        <w:numPr>
          <w:ilvl w:val="0"/>
          <w:numId w:val="69"/>
        </w:numPr>
        <w:tabs>
          <w:tab w:val="left" w:pos="709"/>
        </w:tabs>
        <w:autoSpaceDE w:val="0"/>
        <w:autoSpaceDN w:val="0"/>
        <w:adjustRightInd w:val="0"/>
        <w:spacing w:after="0" w:line="240" w:lineRule="auto"/>
        <w:ind w:left="0" w:firstLine="0"/>
        <w:jc w:val="both"/>
        <w:rPr>
          <w:rFonts w:ascii="Arial" w:hAnsi="Arial" w:cs="Arial"/>
          <w:szCs w:val="20"/>
        </w:rPr>
      </w:pPr>
      <w:r w:rsidRPr="00A32AF4">
        <w:rPr>
          <w:rFonts w:ascii="Arial" w:hAnsi="Arial" w:cs="Arial"/>
          <w:szCs w:val="20"/>
        </w:rPr>
        <w:t>La capacité de l</w:t>
      </w:r>
      <w:r w:rsidR="00E2055A" w:rsidRPr="00A32AF4">
        <w:rPr>
          <w:rFonts w:ascii="Arial" w:hAnsi="Arial" w:cs="Arial"/>
          <w:szCs w:val="20"/>
        </w:rPr>
        <w:t>’</w:t>
      </w:r>
      <w:r w:rsidRPr="00A32AF4">
        <w:rPr>
          <w:rFonts w:ascii="Arial" w:hAnsi="Arial" w:cs="Arial"/>
          <w:szCs w:val="20"/>
        </w:rPr>
        <w:t>OMPI à rester réactive face aux besoins stratégiques et opérationnels des TIC dépendra de sa capacité à améliorer constamment les résultats, la portée et la souplesse de ses systèmes informatiques.  Cela demandera des investissements considérables, une recherche stratégique de fournisseurs et des partenariats, et un équilibre entre l</w:t>
      </w:r>
      <w:r w:rsidR="00E2055A" w:rsidRPr="00A32AF4">
        <w:rPr>
          <w:rFonts w:ascii="Arial" w:hAnsi="Arial" w:cs="Arial"/>
          <w:szCs w:val="20"/>
        </w:rPr>
        <w:t>’</w:t>
      </w:r>
      <w:r w:rsidRPr="00A32AF4">
        <w:rPr>
          <w:rFonts w:ascii="Arial" w:hAnsi="Arial" w:cs="Arial"/>
          <w:szCs w:val="20"/>
        </w:rPr>
        <w:t>innovation et le maintien de la stabilité.  Le programme est confronté à une difficulté majeure, qui consiste à conjuguer maîtrise des coûts et réactivité face à des demandes en augmentation rapide, ainsi qu</w:t>
      </w:r>
      <w:r w:rsidR="00E2055A" w:rsidRPr="00A32AF4">
        <w:rPr>
          <w:rFonts w:ascii="Arial" w:hAnsi="Arial" w:cs="Arial"/>
          <w:szCs w:val="20"/>
        </w:rPr>
        <w:t>’</w:t>
      </w:r>
      <w:r w:rsidRPr="00A32AF4">
        <w:rPr>
          <w:rFonts w:ascii="Arial" w:hAnsi="Arial" w:cs="Arial"/>
          <w:szCs w:val="20"/>
        </w:rPr>
        <w:t>à gérer les risques qui sont inévitables lorsqu</w:t>
      </w:r>
      <w:r w:rsidR="00E2055A" w:rsidRPr="00A32AF4">
        <w:rPr>
          <w:rFonts w:ascii="Arial" w:hAnsi="Arial" w:cs="Arial"/>
          <w:szCs w:val="20"/>
        </w:rPr>
        <w:t>’</w:t>
      </w:r>
      <w:r w:rsidRPr="00A32AF4">
        <w:rPr>
          <w:rFonts w:ascii="Arial" w:hAnsi="Arial" w:cs="Arial"/>
          <w:szCs w:val="20"/>
        </w:rPr>
        <w:t>il s</w:t>
      </w:r>
      <w:r w:rsidR="00E2055A" w:rsidRPr="00A32AF4">
        <w:rPr>
          <w:rFonts w:ascii="Arial" w:hAnsi="Arial" w:cs="Arial"/>
          <w:szCs w:val="20"/>
        </w:rPr>
        <w:t>’</w:t>
      </w:r>
      <w:r w:rsidRPr="00A32AF4">
        <w:rPr>
          <w:rFonts w:ascii="Arial" w:hAnsi="Arial" w:cs="Arial"/>
          <w:szCs w:val="20"/>
        </w:rPr>
        <w:t>agit d</w:t>
      </w:r>
      <w:r w:rsidR="00E2055A" w:rsidRPr="00A32AF4">
        <w:rPr>
          <w:rFonts w:ascii="Arial" w:hAnsi="Arial" w:cs="Arial"/>
          <w:szCs w:val="20"/>
        </w:rPr>
        <w:t>’</w:t>
      </w:r>
      <w:r w:rsidRPr="00A32AF4">
        <w:rPr>
          <w:rFonts w:ascii="Arial" w:hAnsi="Arial" w:cs="Arial"/>
          <w:szCs w:val="20"/>
        </w:rPr>
        <w:t>apporter des améliorations importantes à l</w:t>
      </w:r>
      <w:r w:rsidR="00E2055A" w:rsidRPr="00A32AF4">
        <w:rPr>
          <w:rFonts w:ascii="Arial" w:hAnsi="Arial" w:cs="Arial"/>
          <w:szCs w:val="20"/>
        </w:rPr>
        <w:t>’</w:t>
      </w:r>
      <w:r w:rsidRPr="00A32AF4">
        <w:rPr>
          <w:rFonts w:ascii="Arial" w:hAnsi="Arial" w:cs="Arial"/>
          <w:szCs w:val="20"/>
        </w:rPr>
        <w:t>infrastructure des TIC.</w:t>
      </w:r>
    </w:p>
    <w:p w:rsidR="00E708B2" w:rsidRPr="00A32AF4" w:rsidRDefault="00E708B2" w:rsidP="00DC0553">
      <w:pPr>
        <w:autoSpaceDE w:val="0"/>
        <w:autoSpaceDN w:val="0"/>
        <w:adjustRightInd w:val="0"/>
        <w:rPr>
          <w:rFonts w:cs="Arial"/>
        </w:rPr>
      </w:pPr>
    </w:p>
    <w:p w:rsidR="00E708B2" w:rsidRPr="00A32AF4" w:rsidRDefault="00E708B2" w:rsidP="00DC0553">
      <w:pPr>
        <w:autoSpaceDE w:val="0"/>
        <w:autoSpaceDN w:val="0"/>
        <w:adjustRightInd w:val="0"/>
        <w:rPr>
          <w:rFonts w:cs="Arial"/>
        </w:rPr>
      </w:pPr>
    </w:p>
    <w:p w:rsidR="00E708B2" w:rsidRPr="00A32AF4" w:rsidRDefault="00E708B2" w:rsidP="00DC0553">
      <w:pPr>
        <w:autoSpaceDE w:val="0"/>
        <w:autoSpaceDN w:val="0"/>
        <w:adjustRightInd w:val="0"/>
        <w:rPr>
          <w:rFonts w:cs="Arial"/>
        </w:rPr>
      </w:pPr>
      <w:r w:rsidRPr="00A32AF4">
        <w:rPr>
          <w:rFonts w:cs="Arial"/>
          <w:bCs/>
        </w:rPr>
        <w:t>STRATÉGIES DE MISE EN ŒUVRE</w:t>
      </w:r>
    </w:p>
    <w:p w:rsidR="00E708B2" w:rsidRPr="00A32AF4" w:rsidRDefault="00E708B2" w:rsidP="00DC0553">
      <w:pPr>
        <w:autoSpaceDE w:val="0"/>
        <w:autoSpaceDN w:val="0"/>
        <w:adjustRightInd w:val="0"/>
        <w:rPr>
          <w:rFonts w:cs="Arial"/>
        </w:rPr>
      </w:pPr>
    </w:p>
    <w:p w:rsidR="00E708B2" w:rsidRPr="00A32AF4" w:rsidRDefault="00E708B2" w:rsidP="00DC0553">
      <w:pPr>
        <w:pStyle w:val="ListParagraph"/>
        <w:numPr>
          <w:ilvl w:val="0"/>
          <w:numId w:val="69"/>
        </w:numPr>
        <w:tabs>
          <w:tab w:val="left" w:pos="709"/>
        </w:tabs>
        <w:autoSpaceDE w:val="0"/>
        <w:autoSpaceDN w:val="0"/>
        <w:adjustRightInd w:val="0"/>
        <w:spacing w:after="0" w:line="240" w:lineRule="auto"/>
        <w:ind w:left="0" w:firstLine="0"/>
        <w:jc w:val="both"/>
        <w:rPr>
          <w:rFonts w:ascii="Arial" w:hAnsi="Arial" w:cs="Arial"/>
          <w:szCs w:val="20"/>
        </w:rPr>
      </w:pPr>
      <w:proofErr w:type="gramStart"/>
      <w:r w:rsidRPr="00A32AF4">
        <w:rPr>
          <w:rFonts w:ascii="Arial" w:hAnsi="Arial" w:cs="Arial"/>
          <w:szCs w:val="20"/>
        </w:rPr>
        <w:t>La politique d</w:t>
      </w:r>
      <w:r w:rsidR="00E2055A" w:rsidRPr="00A32AF4">
        <w:rPr>
          <w:rFonts w:ascii="Arial" w:hAnsi="Arial" w:cs="Arial"/>
          <w:szCs w:val="20"/>
        </w:rPr>
        <w:t>’</w:t>
      </w:r>
      <w:r w:rsidRPr="00A32AF4">
        <w:rPr>
          <w:rFonts w:ascii="Arial" w:hAnsi="Arial" w:cs="Arial"/>
          <w:szCs w:val="20"/>
        </w:rPr>
        <w:t>architecture systèmes pour l</w:t>
      </w:r>
      <w:r w:rsidR="00E2055A" w:rsidRPr="00A32AF4">
        <w:rPr>
          <w:rFonts w:ascii="Arial" w:hAnsi="Arial" w:cs="Arial"/>
          <w:szCs w:val="20"/>
        </w:rPr>
        <w:t>’</w:t>
      </w:r>
      <w:r w:rsidRPr="00A32AF4">
        <w:rPr>
          <w:rFonts w:ascii="Arial" w:hAnsi="Arial" w:cs="Arial"/>
          <w:szCs w:val="20"/>
        </w:rPr>
        <w:t>Organisation qui a été mise en place sera plus largement intégrée afin que les systèmes et le paysage des TIC de l</w:t>
      </w:r>
      <w:r w:rsidR="00E2055A" w:rsidRPr="00A32AF4">
        <w:rPr>
          <w:rFonts w:ascii="Arial" w:hAnsi="Arial" w:cs="Arial"/>
          <w:szCs w:val="20"/>
        </w:rPr>
        <w:t>’</w:t>
      </w:r>
      <w:r w:rsidRPr="00A32AF4">
        <w:rPr>
          <w:rFonts w:ascii="Arial" w:hAnsi="Arial" w:cs="Arial"/>
          <w:szCs w:val="20"/>
        </w:rPr>
        <w:t>OMPI soient davantage alignés sur les besoins opérationnels de l</w:t>
      </w:r>
      <w:r w:rsidR="00E2055A" w:rsidRPr="00A32AF4">
        <w:rPr>
          <w:rFonts w:ascii="Arial" w:hAnsi="Arial" w:cs="Arial"/>
          <w:szCs w:val="20"/>
        </w:rPr>
        <w:t>’</w:t>
      </w:r>
      <w:r w:rsidRPr="00A32AF4">
        <w:rPr>
          <w:rFonts w:ascii="Arial" w:hAnsi="Arial" w:cs="Arial"/>
          <w:szCs w:val="20"/>
        </w:rPr>
        <w:t>Organisation, que la normalisation et la cohérence de l</w:t>
      </w:r>
      <w:r w:rsidR="00E2055A" w:rsidRPr="00A32AF4">
        <w:rPr>
          <w:rFonts w:ascii="Arial" w:hAnsi="Arial" w:cs="Arial"/>
          <w:szCs w:val="20"/>
        </w:rPr>
        <w:t>’</w:t>
      </w:r>
      <w:r w:rsidRPr="00A32AF4">
        <w:rPr>
          <w:rFonts w:ascii="Arial" w:hAnsi="Arial" w:cs="Arial"/>
          <w:szCs w:val="20"/>
        </w:rPr>
        <w:t>architecture des TIC soient amenées à un stade plus avancé, que les efforts de redéfinition de l</w:t>
      </w:r>
      <w:r w:rsidR="00E2055A" w:rsidRPr="00A32AF4">
        <w:rPr>
          <w:rFonts w:ascii="Arial" w:hAnsi="Arial" w:cs="Arial"/>
          <w:szCs w:val="20"/>
        </w:rPr>
        <w:t>’</w:t>
      </w:r>
      <w:r w:rsidRPr="00A32AF4">
        <w:rPr>
          <w:rFonts w:ascii="Arial" w:hAnsi="Arial" w:cs="Arial"/>
          <w:szCs w:val="20"/>
        </w:rPr>
        <w:t>architecture soient bien coordonnés, que les décisions afférentes à la solution, à la technologie et au produit soient prises en conformité avec l</w:t>
      </w:r>
      <w:r w:rsidR="00E2055A" w:rsidRPr="00A32AF4">
        <w:rPr>
          <w:rFonts w:ascii="Arial" w:hAnsi="Arial" w:cs="Arial"/>
          <w:szCs w:val="20"/>
        </w:rPr>
        <w:t>’</w:t>
      </w:r>
      <w:r w:rsidRPr="00A32AF4">
        <w:rPr>
          <w:rFonts w:ascii="Arial" w:hAnsi="Arial" w:cs="Arial"/>
          <w:szCs w:val="20"/>
        </w:rPr>
        <w:t>architecture cible et que les données, les accès utilisateurs et les informations soient gérés de manière intégrale et cohérente.</w:t>
      </w:r>
      <w:proofErr w:type="gramEnd"/>
    </w:p>
    <w:p w:rsidR="00E708B2" w:rsidRPr="00A32AF4" w:rsidRDefault="00E708B2" w:rsidP="00DC0553">
      <w:pPr>
        <w:tabs>
          <w:tab w:val="left" w:pos="709"/>
        </w:tabs>
        <w:autoSpaceDE w:val="0"/>
        <w:autoSpaceDN w:val="0"/>
        <w:adjustRightInd w:val="0"/>
        <w:rPr>
          <w:rFonts w:cs="Arial"/>
          <w:strike/>
        </w:rPr>
      </w:pPr>
    </w:p>
    <w:p w:rsidR="00E708B2" w:rsidRPr="00A32AF4" w:rsidRDefault="00E708B2" w:rsidP="00DC0553">
      <w:pPr>
        <w:pStyle w:val="ListParagraph"/>
        <w:numPr>
          <w:ilvl w:val="0"/>
          <w:numId w:val="69"/>
        </w:numPr>
        <w:tabs>
          <w:tab w:val="left" w:pos="709"/>
        </w:tabs>
        <w:autoSpaceDE w:val="0"/>
        <w:autoSpaceDN w:val="0"/>
        <w:adjustRightInd w:val="0"/>
        <w:spacing w:after="0" w:line="240" w:lineRule="auto"/>
        <w:ind w:left="0" w:firstLine="0"/>
        <w:jc w:val="both"/>
        <w:rPr>
          <w:rFonts w:ascii="Arial" w:hAnsi="Arial" w:cs="Arial"/>
          <w:strike/>
          <w:szCs w:val="20"/>
        </w:rPr>
      </w:pPr>
      <w:r w:rsidRPr="00A32AF4">
        <w:rPr>
          <w:rFonts w:ascii="Arial" w:hAnsi="Arial" w:cs="Arial"/>
          <w:szCs w:val="20"/>
        </w:rPr>
        <w:t>La mise en œuvre qui se déroulera durant le nouvel exercice biennal s</w:t>
      </w:r>
      <w:r w:rsidR="00E2055A" w:rsidRPr="00A32AF4">
        <w:rPr>
          <w:rFonts w:ascii="Arial" w:hAnsi="Arial" w:cs="Arial"/>
          <w:szCs w:val="20"/>
        </w:rPr>
        <w:t>’</w:t>
      </w:r>
      <w:r w:rsidRPr="00A32AF4">
        <w:rPr>
          <w:rFonts w:ascii="Arial" w:hAnsi="Arial" w:cs="Arial"/>
          <w:szCs w:val="20"/>
        </w:rPr>
        <w:t>appuiera fortement sur les investissements précédents et les avancées déjà réalisées dans le domaine informatique, qui ont notamment consisté à étendre la résilience des TIC aux cybermenaces et aux incidents à grande échelle ainsi qu</w:t>
      </w:r>
      <w:r w:rsidR="00E2055A" w:rsidRPr="00A32AF4">
        <w:rPr>
          <w:rFonts w:ascii="Arial" w:hAnsi="Arial" w:cs="Arial"/>
          <w:szCs w:val="20"/>
        </w:rPr>
        <w:t>’</w:t>
      </w:r>
      <w:r w:rsidRPr="00A32AF4">
        <w:rPr>
          <w:rFonts w:ascii="Arial" w:hAnsi="Arial" w:cs="Arial"/>
          <w:szCs w:val="20"/>
        </w:rPr>
        <w:t>à intégrer en continu les bureaux extérieurs grâce à l</w:t>
      </w:r>
      <w:r w:rsidR="00E2055A" w:rsidRPr="00A32AF4">
        <w:rPr>
          <w:rFonts w:ascii="Arial" w:hAnsi="Arial" w:cs="Arial"/>
          <w:szCs w:val="20"/>
        </w:rPr>
        <w:t>’</w:t>
      </w:r>
      <w:r w:rsidRPr="00A32AF4">
        <w:rPr>
          <w:rFonts w:ascii="Arial" w:hAnsi="Arial" w:cs="Arial"/>
          <w:szCs w:val="20"/>
        </w:rPr>
        <w:t>introduction d</w:t>
      </w:r>
      <w:r w:rsidR="00E2055A" w:rsidRPr="00A32AF4">
        <w:rPr>
          <w:rFonts w:ascii="Arial" w:hAnsi="Arial" w:cs="Arial"/>
          <w:szCs w:val="20"/>
        </w:rPr>
        <w:t>’</w:t>
      </w:r>
      <w:r w:rsidRPr="00A32AF4">
        <w:rPr>
          <w:rFonts w:ascii="Arial" w:hAnsi="Arial" w:cs="Arial"/>
          <w:szCs w:val="20"/>
        </w:rPr>
        <w:t>un système et d</w:t>
      </w:r>
      <w:r w:rsidR="00E2055A" w:rsidRPr="00A32AF4">
        <w:rPr>
          <w:rFonts w:ascii="Arial" w:hAnsi="Arial" w:cs="Arial"/>
          <w:szCs w:val="20"/>
        </w:rPr>
        <w:t>’</w:t>
      </w:r>
      <w:r w:rsidRPr="00A32AF4">
        <w:rPr>
          <w:rFonts w:ascii="Arial" w:hAnsi="Arial" w:cs="Arial"/>
          <w:szCs w:val="20"/>
        </w:rPr>
        <w:t>une architecture standard pour le Bureau mondial.  Les améliorations technologiques qui ont été réalisées dans le cadre de projets seront opérationnelles.  La recherche stratégique de fournisseurs et le développement de partenariats devraient accroître la rentabilité et la réactivité géographique.</w:t>
      </w:r>
    </w:p>
    <w:p w:rsidR="00E708B2" w:rsidRPr="00A32AF4" w:rsidRDefault="00E708B2" w:rsidP="00DC0553">
      <w:pPr>
        <w:tabs>
          <w:tab w:val="left" w:pos="709"/>
        </w:tabs>
        <w:autoSpaceDE w:val="0"/>
        <w:autoSpaceDN w:val="0"/>
        <w:adjustRightInd w:val="0"/>
        <w:rPr>
          <w:rFonts w:cs="Arial"/>
          <w:strike/>
        </w:rPr>
      </w:pPr>
    </w:p>
    <w:p w:rsidR="00E708B2" w:rsidRPr="00A32AF4" w:rsidRDefault="00E708B2" w:rsidP="00DC0553">
      <w:pPr>
        <w:pStyle w:val="ListParagraph"/>
        <w:numPr>
          <w:ilvl w:val="0"/>
          <w:numId w:val="69"/>
        </w:numPr>
        <w:tabs>
          <w:tab w:val="left" w:pos="709"/>
        </w:tabs>
        <w:autoSpaceDE w:val="0"/>
        <w:autoSpaceDN w:val="0"/>
        <w:adjustRightInd w:val="0"/>
        <w:spacing w:after="0" w:line="240" w:lineRule="auto"/>
        <w:ind w:left="0" w:firstLine="0"/>
        <w:jc w:val="both"/>
        <w:rPr>
          <w:rFonts w:ascii="Arial" w:hAnsi="Arial" w:cs="Arial"/>
          <w:szCs w:val="20"/>
        </w:rPr>
      </w:pPr>
      <w:r w:rsidRPr="00A32AF4">
        <w:rPr>
          <w:rFonts w:ascii="Arial" w:hAnsi="Arial" w:cs="Arial"/>
          <w:szCs w:val="20"/>
        </w:rPr>
        <w:t>En collaboration avec les programmes spécialisés pertinents et le programme relatif à la sécurité de l</w:t>
      </w:r>
      <w:r w:rsidR="00E2055A" w:rsidRPr="00A32AF4">
        <w:rPr>
          <w:rFonts w:ascii="Arial" w:hAnsi="Arial" w:cs="Arial"/>
          <w:szCs w:val="20"/>
        </w:rPr>
        <w:t>’</w:t>
      </w:r>
      <w:r w:rsidRPr="00A32AF4">
        <w:rPr>
          <w:rFonts w:ascii="Arial" w:hAnsi="Arial" w:cs="Arial"/>
          <w:szCs w:val="20"/>
        </w:rPr>
        <w:t>information, ce programme permettra de faire en sorte que les systèmes informatiques contenant des informations hautement sensibles soient moins vulnérables aux menaces extérieures.  Le programme permettra également à l</w:t>
      </w:r>
      <w:r w:rsidR="00E2055A" w:rsidRPr="00A32AF4">
        <w:rPr>
          <w:rFonts w:ascii="Arial" w:hAnsi="Arial" w:cs="Arial"/>
          <w:szCs w:val="20"/>
        </w:rPr>
        <w:t>’</w:t>
      </w:r>
      <w:r w:rsidRPr="00A32AF4">
        <w:rPr>
          <w:rFonts w:ascii="Arial" w:hAnsi="Arial" w:cs="Arial"/>
          <w:szCs w:val="20"/>
        </w:rPr>
        <w:t>OMPI de rechercher des solutions plus rentables et plus résistantes pour les systèmes informatiques sans engendrer de problèmes de confidentialité.</w:t>
      </w:r>
    </w:p>
    <w:p w:rsidR="00E708B2" w:rsidRPr="00A32AF4" w:rsidRDefault="00E708B2" w:rsidP="00DC0553">
      <w:pPr>
        <w:autoSpaceDE w:val="0"/>
        <w:autoSpaceDN w:val="0"/>
        <w:adjustRightInd w:val="0"/>
        <w:rPr>
          <w:rFonts w:cs="Arial"/>
        </w:rPr>
      </w:pPr>
    </w:p>
    <w:p w:rsidR="00E708B2" w:rsidRPr="00A32AF4" w:rsidRDefault="00E708B2" w:rsidP="00DC0553">
      <w:pPr>
        <w:pStyle w:val="ListParagraph"/>
        <w:numPr>
          <w:ilvl w:val="0"/>
          <w:numId w:val="69"/>
        </w:numPr>
        <w:tabs>
          <w:tab w:val="left" w:pos="709"/>
        </w:tabs>
        <w:autoSpaceDE w:val="0"/>
        <w:autoSpaceDN w:val="0"/>
        <w:adjustRightInd w:val="0"/>
        <w:spacing w:after="0" w:line="240" w:lineRule="auto"/>
        <w:ind w:left="0" w:firstLine="0"/>
        <w:jc w:val="both"/>
        <w:rPr>
          <w:rFonts w:ascii="Arial" w:hAnsi="Arial" w:cs="Arial"/>
          <w:szCs w:val="20"/>
        </w:rPr>
      </w:pPr>
      <w:r w:rsidRPr="00A32AF4">
        <w:rPr>
          <w:rFonts w:ascii="Arial" w:hAnsi="Arial" w:cs="Arial"/>
          <w:szCs w:val="20"/>
        </w:rPr>
        <w:t>La mise en œuvre de la technologie de gestion des contenus de l</w:t>
      </w:r>
      <w:r w:rsidR="00E2055A" w:rsidRPr="00A32AF4">
        <w:rPr>
          <w:rFonts w:ascii="Arial" w:hAnsi="Arial" w:cs="Arial"/>
          <w:szCs w:val="20"/>
        </w:rPr>
        <w:t>’</w:t>
      </w:r>
      <w:r w:rsidRPr="00A32AF4">
        <w:rPr>
          <w:rFonts w:ascii="Arial" w:hAnsi="Arial" w:cs="Arial"/>
          <w:szCs w:val="20"/>
        </w:rPr>
        <w:t>Organisation visant à améliorer la gestion des documents, la collaboration, le partage et la recherche d</w:t>
      </w:r>
      <w:r w:rsidR="00E2055A" w:rsidRPr="00A32AF4">
        <w:rPr>
          <w:rFonts w:ascii="Arial" w:hAnsi="Arial" w:cs="Arial"/>
          <w:szCs w:val="20"/>
        </w:rPr>
        <w:t>’</w:t>
      </w:r>
      <w:r w:rsidRPr="00A32AF4">
        <w:rPr>
          <w:rFonts w:ascii="Arial" w:hAnsi="Arial" w:cs="Arial"/>
          <w:szCs w:val="20"/>
        </w:rPr>
        <w:t>informations se poursuivra au cours du prochain exercice biennal.  Cela devrait améliorer le partage de connaissances et la gestion des informations à l</w:t>
      </w:r>
      <w:r w:rsidR="00E2055A" w:rsidRPr="00A32AF4">
        <w:rPr>
          <w:rFonts w:ascii="Arial" w:hAnsi="Arial" w:cs="Arial"/>
          <w:szCs w:val="20"/>
        </w:rPr>
        <w:t>’</w:t>
      </w:r>
      <w:r w:rsidRPr="00A32AF4">
        <w:rPr>
          <w:rFonts w:ascii="Arial" w:hAnsi="Arial" w:cs="Arial"/>
          <w:szCs w:val="20"/>
        </w:rPr>
        <w:t>échelle de l</w:t>
      </w:r>
      <w:r w:rsidR="00E2055A" w:rsidRPr="00A32AF4">
        <w:rPr>
          <w:rFonts w:ascii="Arial" w:hAnsi="Arial" w:cs="Arial"/>
          <w:szCs w:val="20"/>
        </w:rPr>
        <w:t>’</w:t>
      </w:r>
      <w:r w:rsidRPr="00A32AF4">
        <w:rPr>
          <w:rFonts w:ascii="Arial" w:hAnsi="Arial" w:cs="Arial"/>
          <w:szCs w:val="20"/>
        </w:rPr>
        <w:t>Organisation.</w:t>
      </w:r>
    </w:p>
    <w:p w:rsidR="00E708B2" w:rsidRPr="00A32AF4" w:rsidRDefault="00E708B2" w:rsidP="00DC0553">
      <w:pPr>
        <w:autoSpaceDE w:val="0"/>
        <w:autoSpaceDN w:val="0"/>
        <w:adjustRightInd w:val="0"/>
        <w:rPr>
          <w:rFonts w:cs="Arial"/>
        </w:rPr>
      </w:pPr>
    </w:p>
    <w:p w:rsidR="00E708B2" w:rsidRPr="00A32AF4" w:rsidRDefault="00E708B2" w:rsidP="00DC0553">
      <w:pPr>
        <w:autoSpaceDE w:val="0"/>
        <w:autoSpaceDN w:val="0"/>
        <w:adjustRightInd w:val="0"/>
        <w:rPr>
          <w:rFonts w:cs="Arial"/>
        </w:rPr>
      </w:pPr>
    </w:p>
    <w:p w:rsidR="00E708B2" w:rsidRPr="00A32AF4" w:rsidRDefault="00E708B2" w:rsidP="00DC0553">
      <w:pPr>
        <w:keepNext/>
        <w:autoSpaceDE w:val="0"/>
        <w:autoSpaceDN w:val="0"/>
        <w:adjustRightInd w:val="0"/>
        <w:rPr>
          <w:rFonts w:cs="Arial"/>
        </w:rPr>
      </w:pPr>
      <w:r w:rsidRPr="00A32AF4">
        <w:rPr>
          <w:rFonts w:cs="Arial"/>
          <w:bCs/>
        </w:rPr>
        <w:t>PRINCIPAUX RISQUES ET STRATÉGIES D</w:t>
      </w:r>
      <w:r w:rsidR="00E2055A" w:rsidRPr="00A32AF4">
        <w:rPr>
          <w:rFonts w:cs="Arial"/>
          <w:bCs/>
        </w:rPr>
        <w:t>’</w:t>
      </w:r>
      <w:r w:rsidRPr="00A32AF4">
        <w:rPr>
          <w:rFonts w:cs="Arial"/>
          <w:bCs/>
        </w:rPr>
        <w:t>ATTÉNUATION</w:t>
      </w:r>
    </w:p>
    <w:p w:rsidR="00E708B2" w:rsidRPr="00A32AF4" w:rsidRDefault="00E708B2" w:rsidP="00DC0553">
      <w:pPr>
        <w:keepNext/>
        <w:rPr>
          <w:rFonts w:cs="Arial"/>
        </w:rPr>
      </w:pPr>
    </w:p>
    <w:tbl>
      <w:tblPr>
        <w:tblW w:w="9214"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11"/>
        <w:gridCol w:w="5103"/>
      </w:tblGrid>
      <w:tr w:rsidR="00E708B2" w:rsidRPr="00A32AF4" w:rsidTr="00CF1CDA">
        <w:trPr>
          <w:trHeight w:val="577"/>
        </w:trPr>
        <w:tc>
          <w:tcPr>
            <w:tcW w:w="4111" w:type="dxa"/>
            <w:tcBorders>
              <w:top w:val="single" w:sz="4" w:space="0" w:color="auto"/>
              <w:bottom w:val="single" w:sz="4" w:space="0" w:color="auto"/>
            </w:tcBorders>
            <w:shd w:val="clear" w:color="auto" w:fill="C6D9F1" w:themeFill="text2" w:themeFillTint="33"/>
            <w:vAlign w:val="center"/>
          </w:tcPr>
          <w:p w:rsidR="00E708B2" w:rsidRPr="00A32AF4" w:rsidRDefault="00E708B2" w:rsidP="00DC0553">
            <w:pPr>
              <w:keepNext/>
              <w:keepLines/>
              <w:jc w:val="center"/>
              <w:rPr>
                <w:rFonts w:cs="Arial"/>
                <w:b/>
                <w:bCs/>
                <w:sz w:val="18"/>
                <w:szCs w:val="18"/>
              </w:rPr>
            </w:pPr>
            <w:r w:rsidRPr="00A32AF4">
              <w:rPr>
                <w:rFonts w:cs="Arial"/>
                <w:b/>
                <w:bCs/>
                <w:sz w:val="18"/>
                <w:szCs w:val="18"/>
              </w:rPr>
              <w:t>Risques</w:t>
            </w:r>
          </w:p>
        </w:tc>
        <w:tc>
          <w:tcPr>
            <w:tcW w:w="5103" w:type="dxa"/>
            <w:tcBorders>
              <w:top w:val="single" w:sz="4" w:space="0" w:color="auto"/>
              <w:bottom w:val="single" w:sz="4" w:space="0" w:color="auto"/>
            </w:tcBorders>
            <w:shd w:val="clear" w:color="auto" w:fill="C6D9F1" w:themeFill="text2" w:themeFillTint="33"/>
            <w:vAlign w:val="center"/>
          </w:tcPr>
          <w:p w:rsidR="00E708B2" w:rsidRPr="00A32AF4" w:rsidRDefault="00E708B2" w:rsidP="00DC0553">
            <w:pPr>
              <w:keepNext/>
              <w:keepLines/>
              <w:jc w:val="center"/>
              <w:rPr>
                <w:rFonts w:cs="Arial"/>
                <w:b/>
                <w:bCs/>
                <w:sz w:val="18"/>
                <w:szCs w:val="18"/>
              </w:rPr>
            </w:pPr>
            <w:r w:rsidRPr="00A32AF4">
              <w:rPr>
                <w:rFonts w:cs="Arial"/>
                <w:b/>
                <w:bCs/>
                <w:sz w:val="18"/>
                <w:szCs w:val="18"/>
              </w:rPr>
              <w:t>Stratégies d</w:t>
            </w:r>
            <w:r w:rsidR="00E2055A" w:rsidRPr="00A32AF4">
              <w:rPr>
                <w:rFonts w:cs="Arial"/>
                <w:b/>
                <w:bCs/>
                <w:sz w:val="18"/>
                <w:szCs w:val="18"/>
              </w:rPr>
              <w:t>’</w:t>
            </w:r>
            <w:r w:rsidRPr="00A32AF4">
              <w:rPr>
                <w:rFonts w:cs="Arial"/>
                <w:b/>
                <w:bCs/>
                <w:sz w:val="18"/>
                <w:szCs w:val="18"/>
              </w:rPr>
              <w:t>atténuation</w:t>
            </w:r>
          </w:p>
        </w:tc>
      </w:tr>
      <w:tr w:rsidR="00E708B2" w:rsidRPr="00A32AF4" w:rsidTr="00CF1CDA">
        <w:trPr>
          <w:trHeight w:val="1142"/>
        </w:trPr>
        <w:tc>
          <w:tcPr>
            <w:tcW w:w="4111" w:type="dxa"/>
            <w:shd w:val="clear" w:color="auto" w:fill="auto"/>
            <w:tcMar>
              <w:top w:w="113" w:type="dxa"/>
              <w:bottom w:w="113" w:type="dxa"/>
            </w:tcMar>
          </w:tcPr>
          <w:p w:rsidR="00E708B2" w:rsidRPr="00A32AF4" w:rsidRDefault="00E708B2" w:rsidP="00DC0553">
            <w:pPr>
              <w:keepNext/>
              <w:keepLines/>
              <w:rPr>
                <w:rFonts w:cs="Arial"/>
                <w:sz w:val="16"/>
                <w:szCs w:val="16"/>
              </w:rPr>
            </w:pPr>
            <w:r w:rsidRPr="00A32AF4">
              <w:rPr>
                <w:rFonts w:cs="Arial"/>
                <w:sz w:val="16"/>
                <w:szCs w:val="16"/>
              </w:rPr>
              <w:t>Le PCT et les systèmes d</w:t>
            </w:r>
            <w:r w:rsidR="00E2055A" w:rsidRPr="00A32AF4">
              <w:rPr>
                <w:rFonts w:cs="Arial"/>
                <w:sz w:val="16"/>
                <w:szCs w:val="16"/>
              </w:rPr>
              <w:t>’</w:t>
            </w:r>
            <w:r w:rsidRPr="00A32AF4">
              <w:rPr>
                <w:rFonts w:cs="Arial"/>
                <w:sz w:val="16"/>
                <w:szCs w:val="16"/>
              </w:rPr>
              <w:t>information s</w:t>
            </w:r>
            <w:r w:rsidR="00E2055A" w:rsidRPr="00A32AF4">
              <w:rPr>
                <w:rFonts w:cs="Arial"/>
                <w:sz w:val="16"/>
                <w:szCs w:val="16"/>
              </w:rPr>
              <w:t>’</w:t>
            </w:r>
            <w:r w:rsidRPr="00A32AF4">
              <w:rPr>
                <w:rFonts w:cs="Arial"/>
                <w:sz w:val="16"/>
                <w:szCs w:val="16"/>
              </w:rPr>
              <w:t>y rapportant atteignent un niveau inacceptable d</w:t>
            </w:r>
            <w:r w:rsidR="00E2055A" w:rsidRPr="00A32AF4">
              <w:rPr>
                <w:rFonts w:cs="Arial"/>
                <w:sz w:val="16"/>
                <w:szCs w:val="16"/>
              </w:rPr>
              <w:t>’</w:t>
            </w:r>
            <w:r w:rsidRPr="00A32AF4">
              <w:rPr>
                <w:rFonts w:cs="Arial"/>
                <w:sz w:val="16"/>
                <w:szCs w:val="16"/>
              </w:rPr>
              <w:t>interruptions, ce qui rend impossible l</w:t>
            </w:r>
            <w:r w:rsidR="00E2055A" w:rsidRPr="00A32AF4">
              <w:rPr>
                <w:rFonts w:cs="Arial"/>
                <w:sz w:val="16"/>
                <w:szCs w:val="16"/>
              </w:rPr>
              <w:t>’</w:t>
            </w:r>
            <w:r w:rsidRPr="00A32AF4">
              <w:rPr>
                <w:rFonts w:cs="Arial"/>
                <w:sz w:val="16"/>
                <w:szCs w:val="16"/>
              </w:rPr>
              <w:t>acceptation des demandes PCT et a des répercussions sur le traitement et la publication de ces demandes.  Cela pourrait nuire à la réputation de l</w:t>
            </w:r>
            <w:r w:rsidR="00E2055A" w:rsidRPr="00A32AF4">
              <w:rPr>
                <w:rFonts w:cs="Arial"/>
                <w:sz w:val="16"/>
                <w:szCs w:val="16"/>
              </w:rPr>
              <w:t>’</w:t>
            </w:r>
            <w:r w:rsidRPr="00A32AF4">
              <w:rPr>
                <w:rFonts w:cs="Arial"/>
                <w:sz w:val="16"/>
                <w:szCs w:val="16"/>
              </w:rPr>
              <w:t>OMPI.</w:t>
            </w:r>
          </w:p>
        </w:tc>
        <w:tc>
          <w:tcPr>
            <w:tcW w:w="5103" w:type="dxa"/>
            <w:shd w:val="clear" w:color="auto" w:fill="auto"/>
            <w:tcMar>
              <w:top w:w="113" w:type="dxa"/>
              <w:bottom w:w="113" w:type="dxa"/>
            </w:tcMar>
          </w:tcPr>
          <w:p w:rsidR="00E708B2" w:rsidRPr="00A32AF4" w:rsidRDefault="00E708B2" w:rsidP="00DC0553">
            <w:pPr>
              <w:keepNext/>
              <w:keepLines/>
              <w:rPr>
                <w:rFonts w:cs="Arial"/>
                <w:sz w:val="16"/>
                <w:szCs w:val="16"/>
              </w:rPr>
            </w:pPr>
            <w:r w:rsidRPr="00A32AF4">
              <w:rPr>
                <w:rFonts w:cs="Arial"/>
                <w:sz w:val="16"/>
                <w:szCs w:val="16"/>
              </w:rPr>
              <w:t>Utiliser les infrastructures redondantes mises en place au cours de l</w:t>
            </w:r>
            <w:r w:rsidR="00E2055A" w:rsidRPr="00A32AF4">
              <w:rPr>
                <w:rFonts w:cs="Arial"/>
                <w:sz w:val="16"/>
                <w:szCs w:val="16"/>
              </w:rPr>
              <w:t>’</w:t>
            </w:r>
            <w:r w:rsidRPr="00A32AF4">
              <w:rPr>
                <w:rFonts w:cs="Arial"/>
                <w:sz w:val="16"/>
                <w:szCs w:val="16"/>
              </w:rPr>
              <w:t>exercice biennal 2014</w:t>
            </w:r>
            <w:r w:rsidR="00EB7F54" w:rsidRPr="00A32AF4">
              <w:rPr>
                <w:rFonts w:cs="Arial"/>
                <w:sz w:val="16"/>
                <w:szCs w:val="16"/>
              </w:rPr>
              <w:noBreakHyphen/>
            </w:r>
            <w:r w:rsidRPr="00A32AF4">
              <w:rPr>
                <w:rFonts w:cs="Arial"/>
                <w:sz w:val="16"/>
                <w:szCs w:val="16"/>
              </w:rPr>
              <w:t>2015 tout en introduisant des compétences et capacités redondantes supplémentaires pour poursuivre le développement et le perfectionnement du plan de continuité des opérations.</w:t>
            </w:r>
          </w:p>
        </w:tc>
      </w:tr>
    </w:tbl>
    <w:p w:rsidR="00E708B2" w:rsidRPr="00A32AF4" w:rsidRDefault="00E708B2" w:rsidP="00DC0553">
      <w:pPr>
        <w:rPr>
          <w:rFonts w:cs="Arial"/>
        </w:rPr>
      </w:pPr>
    </w:p>
    <w:p w:rsidR="00E708B2" w:rsidRPr="00A32AF4" w:rsidRDefault="00E708B2" w:rsidP="00DC0553">
      <w:pPr>
        <w:rPr>
          <w:rFonts w:cs="Arial"/>
        </w:rPr>
      </w:pPr>
    </w:p>
    <w:p w:rsidR="00E708B2" w:rsidRPr="00A32AF4" w:rsidRDefault="00E708B2" w:rsidP="00DC0553">
      <w:pPr>
        <w:rPr>
          <w:rFonts w:cs="Arial"/>
        </w:rPr>
      </w:pPr>
      <w:r w:rsidRPr="00A32AF4">
        <w:rPr>
          <w:rFonts w:cs="Arial"/>
          <w:bCs/>
        </w:rPr>
        <w:t>TABLEAU DES RÉSULTATS</w:t>
      </w:r>
    </w:p>
    <w:p w:rsidR="00E708B2" w:rsidRPr="00A32AF4" w:rsidRDefault="00E708B2" w:rsidP="00DC0553">
      <w:pPr>
        <w:autoSpaceDE w:val="0"/>
        <w:autoSpaceDN w:val="0"/>
        <w:adjustRightInd w:val="0"/>
        <w:rPr>
          <w:rFonts w:cs="Arial"/>
        </w:rPr>
      </w:pPr>
    </w:p>
    <w:tbl>
      <w:tblPr>
        <w:tblW w:w="9411" w:type="dxa"/>
        <w:tblInd w:w="9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142"/>
        <w:gridCol w:w="2460"/>
        <w:gridCol w:w="2220"/>
        <w:gridCol w:w="2589"/>
      </w:tblGrid>
      <w:tr w:rsidR="00E708B2" w:rsidRPr="00A32AF4" w:rsidTr="00E325C7">
        <w:trPr>
          <w:cantSplit/>
          <w:tblHeader/>
        </w:trPr>
        <w:tc>
          <w:tcPr>
            <w:tcW w:w="2142" w:type="dxa"/>
            <w:tcBorders>
              <w:top w:val="single" w:sz="4" w:space="0" w:color="auto"/>
              <w:bottom w:val="single" w:sz="4" w:space="0" w:color="auto"/>
            </w:tcBorders>
            <w:shd w:val="clear" w:color="auto" w:fill="C6D9F1" w:themeFill="text2" w:themeFillTint="33"/>
            <w:tcMar>
              <w:top w:w="113" w:type="dxa"/>
              <w:bottom w:w="113" w:type="dxa"/>
            </w:tcMar>
            <w:vAlign w:val="center"/>
            <w:hideMark/>
          </w:tcPr>
          <w:p w:rsidR="00E708B2" w:rsidRPr="00A32AF4" w:rsidRDefault="00E708B2" w:rsidP="00DC0553">
            <w:pPr>
              <w:jc w:val="center"/>
              <w:rPr>
                <w:rFonts w:cs="Arial"/>
                <w:b/>
                <w:bCs/>
                <w:sz w:val="18"/>
                <w:szCs w:val="18"/>
              </w:rPr>
            </w:pPr>
            <w:r w:rsidRPr="00A32AF4">
              <w:rPr>
                <w:rFonts w:eastAsia="SimSun" w:cs="Arial"/>
                <w:b/>
                <w:bCs/>
                <w:sz w:val="18"/>
              </w:rPr>
              <w:t>Résultats escomptés</w:t>
            </w:r>
          </w:p>
        </w:tc>
        <w:tc>
          <w:tcPr>
            <w:tcW w:w="2460" w:type="dxa"/>
            <w:tcBorders>
              <w:top w:val="single" w:sz="4" w:space="0" w:color="auto"/>
              <w:bottom w:val="single" w:sz="4" w:space="0" w:color="auto"/>
            </w:tcBorders>
            <w:shd w:val="clear" w:color="auto" w:fill="C6D9F1" w:themeFill="text2" w:themeFillTint="33"/>
            <w:tcMar>
              <w:top w:w="113" w:type="dxa"/>
              <w:bottom w:w="113" w:type="dxa"/>
            </w:tcMar>
            <w:vAlign w:val="center"/>
            <w:hideMark/>
          </w:tcPr>
          <w:p w:rsidR="00E708B2" w:rsidRPr="00A32AF4" w:rsidRDefault="00E708B2" w:rsidP="00DC0553">
            <w:pPr>
              <w:jc w:val="center"/>
              <w:rPr>
                <w:rFonts w:cs="Arial"/>
                <w:b/>
                <w:bCs/>
                <w:sz w:val="18"/>
                <w:szCs w:val="18"/>
              </w:rPr>
            </w:pPr>
            <w:r w:rsidRPr="00A32AF4">
              <w:rPr>
                <w:rFonts w:eastAsia="SimSun" w:cs="Arial"/>
                <w:b/>
                <w:bCs/>
                <w:sz w:val="18"/>
              </w:rPr>
              <w:t>Indicateurs d</w:t>
            </w:r>
            <w:r w:rsidR="00E2055A" w:rsidRPr="00A32AF4">
              <w:rPr>
                <w:rFonts w:eastAsia="SimSun" w:cs="Arial"/>
                <w:b/>
                <w:bCs/>
                <w:sz w:val="18"/>
              </w:rPr>
              <w:t>’</w:t>
            </w:r>
            <w:r w:rsidRPr="00A32AF4">
              <w:rPr>
                <w:rFonts w:eastAsia="SimSun" w:cs="Arial"/>
                <w:b/>
                <w:bCs/>
                <w:sz w:val="18"/>
              </w:rPr>
              <w:t>exécution</w:t>
            </w:r>
          </w:p>
        </w:tc>
        <w:tc>
          <w:tcPr>
            <w:tcW w:w="2220" w:type="dxa"/>
            <w:tcBorders>
              <w:top w:val="single" w:sz="4" w:space="0" w:color="auto"/>
              <w:bottom w:val="single" w:sz="4" w:space="0" w:color="auto"/>
            </w:tcBorders>
            <w:shd w:val="clear" w:color="auto" w:fill="C6D9F1" w:themeFill="text2" w:themeFillTint="33"/>
            <w:tcMar>
              <w:top w:w="113" w:type="dxa"/>
              <w:bottom w:w="113" w:type="dxa"/>
            </w:tcMar>
            <w:vAlign w:val="center"/>
            <w:hideMark/>
          </w:tcPr>
          <w:p w:rsidR="00E708B2" w:rsidRPr="00A32AF4" w:rsidRDefault="00E708B2" w:rsidP="00DC0553">
            <w:pPr>
              <w:jc w:val="center"/>
              <w:rPr>
                <w:rFonts w:cs="Arial"/>
                <w:b/>
                <w:bCs/>
                <w:sz w:val="18"/>
                <w:szCs w:val="18"/>
              </w:rPr>
            </w:pPr>
            <w:r w:rsidRPr="00A32AF4">
              <w:rPr>
                <w:rFonts w:eastAsia="SimSun" w:cs="Arial"/>
                <w:b/>
                <w:bCs/>
                <w:sz w:val="18"/>
              </w:rPr>
              <w:t>Niveaux de référence</w:t>
            </w:r>
          </w:p>
        </w:tc>
        <w:tc>
          <w:tcPr>
            <w:tcW w:w="2589" w:type="dxa"/>
            <w:tcBorders>
              <w:top w:val="single" w:sz="4" w:space="0" w:color="auto"/>
              <w:bottom w:val="single" w:sz="4" w:space="0" w:color="auto"/>
            </w:tcBorders>
            <w:shd w:val="clear" w:color="auto" w:fill="C6D9F1" w:themeFill="text2" w:themeFillTint="33"/>
            <w:tcMar>
              <w:top w:w="113" w:type="dxa"/>
              <w:bottom w:w="113" w:type="dxa"/>
            </w:tcMar>
            <w:vAlign w:val="center"/>
            <w:hideMark/>
          </w:tcPr>
          <w:p w:rsidR="00E708B2" w:rsidRPr="00A32AF4" w:rsidRDefault="00E708B2" w:rsidP="00DC0553">
            <w:pPr>
              <w:jc w:val="center"/>
              <w:rPr>
                <w:rFonts w:cs="Arial"/>
                <w:b/>
                <w:bCs/>
                <w:sz w:val="18"/>
                <w:szCs w:val="18"/>
              </w:rPr>
            </w:pPr>
            <w:r w:rsidRPr="00A32AF4">
              <w:rPr>
                <w:rFonts w:eastAsia="SimSun" w:cs="Arial"/>
                <w:b/>
                <w:bCs/>
                <w:sz w:val="18"/>
              </w:rPr>
              <w:t>Objectifs visés</w:t>
            </w:r>
          </w:p>
        </w:tc>
      </w:tr>
      <w:tr w:rsidR="00E708B2" w:rsidRPr="00A32AF4" w:rsidTr="00E325C7">
        <w:trPr>
          <w:cantSplit/>
        </w:trPr>
        <w:tc>
          <w:tcPr>
            <w:tcW w:w="2142" w:type="dxa"/>
            <w:vMerge w:val="restart"/>
            <w:tcBorders>
              <w:top w:val="single" w:sz="4" w:space="0" w:color="auto"/>
            </w:tcBorders>
            <w:shd w:val="clear" w:color="000000" w:fill="FFFFFF"/>
            <w:tcMar>
              <w:top w:w="113" w:type="dxa"/>
              <w:bottom w:w="113" w:type="dxa"/>
            </w:tcMar>
            <w:hideMark/>
          </w:tcPr>
          <w:p w:rsidR="00E708B2" w:rsidRPr="00A32AF4" w:rsidRDefault="00E708B2" w:rsidP="00DC0553">
            <w:pPr>
              <w:rPr>
                <w:rFonts w:cs="Arial"/>
                <w:sz w:val="16"/>
                <w:szCs w:val="16"/>
              </w:rPr>
            </w:pPr>
            <w:r w:rsidRPr="00A32AF4">
              <w:rPr>
                <w:rFonts w:cs="Arial"/>
                <w:sz w:val="16"/>
                <w:szCs w:val="16"/>
              </w:rPr>
              <w:t>IX.1 Services d</w:t>
            </w:r>
            <w:r w:rsidR="00E2055A" w:rsidRPr="00A32AF4">
              <w:rPr>
                <w:rFonts w:cs="Arial"/>
                <w:sz w:val="16"/>
                <w:szCs w:val="16"/>
              </w:rPr>
              <w:t>’</w:t>
            </w:r>
            <w:r w:rsidRPr="00A32AF4">
              <w:rPr>
                <w:rFonts w:cs="Arial"/>
                <w:sz w:val="16"/>
                <w:szCs w:val="16"/>
              </w:rPr>
              <w:t>appui efficaces, efficients, de qualité et tournés vers la clientèle, à l</w:t>
            </w:r>
            <w:r w:rsidR="00E2055A" w:rsidRPr="00A32AF4">
              <w:rPr>
                <w:rFonts w:cs="Arial"/>
                <w:sz w:val="16"/>
                <w:szCs w:val="16"/>
              </w:rPr>
              <w:t>’</w:t>
            </w:r>
            <w:r w:rsidRPr="00A32AF4">
              <w:rPr>
                <w:rFonts w:cs="Arial"/>
                <w:sz w:val="16"/>
                <w:szCs w:val="16"/>
              </w:rPr>
              <w:t>intention à la fois des clients internes et des parties prenantes externes</w:t>
            </w:r>
          </w:p>
        </w:tc>
        <w:tc>
          <w:tcPr>
            <w:tcW w:w="2460" w:type="dxa"/>
            <w:tcBorders>
              <w:top w:val="single" w:sz="4" w:space="0" w:color="auto"/>
            </w:tcBorders>
            <w:shd w:val="clear" w:color="000000" w:fill="FFFFFF"/>
            <w:tcMar>
              <w:top w:w="113" w:type="dxa"/>
              <w:bottom w:w="113" w:type="dxa"/>
            </w:tcMar>
            <w:hideMark/>
          </w:tcPr>
          <w:p w:rsidR="00E708B2" w:rsidRPr="00A32AF4" w:rsidRDefault="00E708B2" w:rsidP="00DC0553">
            <w:pPr>
              <w:rPr>
                <w:rFonts w:cs="Arial"/>
                <w:sz w:val="16"/>
                <w:szCs w:val="16"/>
              </w:rPr>
            </w:pPr>
            <w:r w:rsidRPr="00A32AF4">
              <w:rPr>
                <w:rFonts w:cs="Arial"/>
                <w:sz w:val="16"/>
                <w:szCs w:val="16"/>
              </w:rPr>
              <w:t>Les plates</w:t>
            </w:r>
            <w:r w:rsidR="00EB7F54" w:rsidRPr="00A32AF4">
              <w:rPr>
                <w:rFonts w:cs="Arial"/>
                <w:sz w:val="16"/>
                <w:szCs w:val="16"/>
              </w:rPr>
              <w:noBreakHyphen/>
            </w:r>
            <w:r w:rsidRPr="00A32AF4">
              <w:rPr>
                <w:rFonts w:cs="Arial"/>
                <w:sz w:val="16"/>
                <w:szCs w:val="16"/>
              </w:rPr>
              <w:t>formes TIC sont hébergées et gérées de manière rentable, conformément aux demandes liées à l</w:t>
            </w:r>
            <w:r w:rsidR="00E2055A" w:rsidRPr="00A32AF4">
              <w:rPr>
                <w:rFonts w:cs="Arial"/>
                <w:sz w:val="16"/>
                <w:szCs w:val="16"/>
              </w:rPr>
              <w:t>’</w:t>
            </w:r>
            <w:r w:rsidRPr="00A32AF4">
              <w:rPr>
                <w:rFonts w:cs="Arial"/>
                <w:sz w:val="16"/>
                <w:szCs w:val="16"/>
              </w:rPr>
              <w:t>activité.</w:t>
            </w:r>
          </w:p>
        </w:tc>
        <w:tc>
          <w:tcPr>
            <w:tcW w:w="2220" w:type="dxa"/>
            <w:tcBorders>
              <w:top w:val="single" w:sz="4" w:space="0" w:color="auto"/>
            </w:tcBorders>
            <w:shd w:val="clear" w:color="000000" w:fill="FFFFFF"/>
            <w:tcMar>
              <w:top w:w="113" w:type="dxa"/>
              <w:bottom w:w="113" w:type="dxa"/>
            </w:tcMar>
            <w:hideMark/>
          </w:tcPr>
          <w:p w:rsidR="00E708B2" w:rsidRPr="00A32AF4" w:rsidRDefault="003507F6" w:rsidP="00DC0553">
            <w:pPr>
              <w:rPr>
                <w:rFonts w:cs="Arial"/>
                <w:sz w:val="16"/>
                <w:szCs w:val="16"/>
              </w:rPr>
            </w:pPr>
            <w:r w:rsidRPr="00A32AF4">
              <w:rPr>
                <w:rFonts w:cs="Arial"/>
                <w:sz w:val="16"/>
                <w:szCs w:val="16"/>
              </w:rPr>
              <w:t>s.o.</w:t>
            </w:r>
          </w:p>
        </w:tc>
        <w:tc>
          <w:tcPr>
            <w:tcW w:w="2589" w:type="dxa"/>
            <w:tcBorders>
              <w:top w:val="single" w:sz="4" w:space="0" w:color="auto"/>
            </w:tcBorders>
            <w:shd w:val="clear" w:color="000000" w:fill="FFFFFF"/>
            <w:tcMar>
              <w:top w:w="113" w:type="dxa"/>
              <w:bottom w:w="113" w:type="dxa"/>
            </w:tcMar>
            <w:hideMark/>
          </w:tcPr>
          <w:p w:rsidR="00E708B2" w:rsidRPr="00A32AF4" w:rsidRDefault="00E708B2" w:rsidP="00DC0553">
            <w:pPr>
              <w:rPr>
                <w:rFonts w:cs="Arial"/>
                <w:sz w:val="16"/>
                <w:szCs w:val="16"/>
              </w:rPr>
            </w:pPr>
            <w:r w:rsidRPr="00A32AF4">
              <w:rPr>
                <w:rFonts w:cs="Arial"/>
                <w:sz w:val="16"/>
                <w:szCs w:val="16"/>
              </w:rPr>
              <w:t>De nouveaux accords de prestation de services sont créés et acceptés par les plus grands consommateurs de services des plates</w:t>
            </w:r>
            <w:r w:rsidR="00EB7F54" w:rsidRPr="00A32AF4">
              <w:rPr>
                <w:rFonts w:cs="Arial"/>
                <w:sz w:val="16"/>
                <w:szCs w:val="16"/>
              </w:rPr>
              <w:noBreakHyphen/>
            </w:r>
            <w:r w:rsidRPr="00A32AF4">
              <w:rPr>
                <w:rFonts w:cs="Arial"/>
                <w:sz w:val="16"/>
                <w:szCs w:val="16"/>
              </w:rPr>
              <w:t>formes TIC.</w:t>
            </w:r>
          </w:p>
        </w:tc>
      </w:tr>
      <w:tr w:rsidR="00E708B2" w:rsidRPr="00A32AF4" w:rsidTr="00E325C7">
        <w:trPr>
          <w:cantSplit/>
        </w:trPr>
        <w:tc>
          <w:tcPr>
            <w:tcW w:w="2142" w:type="dxa"/>
            <w:vMerge/>
            <w:tcMar>
              <w:top w:w="113" w:type="dxa"/>
              <w:bottom w:w="113" w:type="dxa"/>
            </w:tcMar>
            <w:vAlign w:val="center"/>
            <w:hideMark/>
          </w:tcPr>
          <w:p w:rsidR="00E708B2" w:rsidRPr="00A32AF4" w:rsidRDefault="00E708B2" w:rsidP="00DC0553">
            <w:pPr>
              <w:rPr>
                <w:rFonts w:cs="Arial"/>
                <w:sz w:val="16"/>
                <w:szCs w:val="16"/>
              </w:rPr>
            </w:pPr>
          </w:p>
        </w:tc>
        <w:tc>
          <w:tcPr>
            <w:tcW w:w="2460" w:type="dxa"/>
            <w:shd w:val="clear" w:color="000000" w:fill="FFFFFF"/>
            <w:tcMar>
              <w:top w:w="113" w:type="dxa"/>
              <w:bottom w:w="113" w:type="dxa"/>
            </w:tcMar>
            <w:hideMark/>
          </w:tcPr>
          <w:p w:rsidR="00E708B2" w:rsidRPr="00A32AF4" w:rsidRDefault="00E708B2" w:rsidP="00DC0553">
            <w:pPr>
              <w:rPr>
                <w:rFonts w:cs="Arial"/>
                <w:sz w:val="16"/>
                <w:szCs w:val="16"/>
              </w:rPr>
            </w:pPr>
          </w:p>
        </w:tc>
        <w:tc>
          <w:tcPr>
            <w:tcW w:w="2220" w:type="dxa"/>
            <w:shd w:val="clear" w:color="000000" w:fill="FFFFFF"/>
            <w:tcMar>
              <w:top w:w="113" w:type="dxa"/>
              <w:bottom w:w="113" w:type="dxa"/>
            </w:tcMar>
            <w:hideMark/>
          </w:tcPr>
          <w:p w:rsidR="00E708B2" w:rsidRPr="00A32AF4" w:rsidRDefault="00E708B2" w:rsidP="00DC0553">
            <w:pPr>
              <w:rPr>
                <w:rFonts w:cs="Arial"/>
                <w:sz w:val="16"/>
                <w:szCs w:val="16"/>
              </w:rPr>
            </w:pPr>
            <w:r w:rsidRPr="00A32AF4">
              <w:rPr>
                <w:rFonts w:cs="Arial"/>
                <w:sz w:val="16"/>
                <w:szCs w:val="16"/>
              </w:rPr>
              <w:t>Coût unitaire des serveurs : 448 francs suisses/</w:t>
            </w:r>
            <w:proofErr w:type="gramStart"/>
            <w:r w:rsidRPr="00A32AF4">
              <w:rPr>
                <w:rFonts w:cs="Arial"/>
                <w:sz w:val="16"/>
                <w:szCs w:val="16"/>
              </w:rPr>
              <w:t>mois;</w:t>
            </w:r>
            <w:proofErr w:type="gramEnd"/>
            <w:r w:rsidRPr="00A32AF4">
              <w:rPr>
                <w:rFonts w:cs="Arial"/>
                <w:sz w:val="16"/>
                <w:szCs w:val="16"/>
              </w:rPr>
              <w:t xml:space="preserve">  prix unitaire par To d</w:t>
            </w:r>
            <w:r w:rsidR="00E2055A" w:rsidRPr="00A32AF4">
              <w:rPr>
                <w:rFonts w:cs="Arial"/>
                <w:sz w:val="16"/>
                <w:szCs w:val="16"/>
              </w:rPr>
              <w:t>’</w:t>
            </w:r>
            <w:r w:rsidRPr="00A32AF4">
              <w:rPr>
                <w:rFonts w:cs="Arial"/>
                <w:sz w:val="16"/>
                <w:szCs w:val="16"/>
              </w:rPr>
              <w:t>espace de stockage : 299 francs suisses/mois;  coût unitaire de la sauvegarde par To d</w:t>
            </w:r>
            <w:r w:rsidR="00E2055A" w:rsidRPr="00A32AF4">
              <w:rPr>
                <w:rFonts w:cs="Arial"/>
                <w:sz w:val="16"/>
                <w:szCs w:val="16"/>
              </w:rPr>
              <w:t>’</w:t>
            </w:r>
            <w:r w:rsidRPr="00A32AF4">
              <w:rPr>
                <w:rFonts w:cs="Arial"/>
                <w:sz w:val="16"/>
                <w:szCs w:val="16"/>
              </w:rPr>
              <w:t>espace de stockage : 370 francs suisses/mois (fin 2014);  nombre d</w:t>
            </w:r>
            <w:r w:rsidR="00E2055A" w:rsidRPr="00A32AF4">
              <w:rPr>
                <w:rFonts w:cs="Arial"/>
                <w:sz w:val="16"/>
                <w:szCs w:val="16"/>
              </w:rPr>
              <w:t>’</w:t>
            </w:r>
            <w:r w:rsidRPr="00A32AF4">
              <w:rPr>
                <w:rFonts w:cs="Arial"/>
                <w:sz w:val="16"/>
                <w:szCs w:val="16"/>
              </w:rPr>
              <w:t>interruptions de service avec des conséquences moyennes ou graves : 1,75 par mois.</w:t>
            </w:r>
          </w:p>
        </w:tc>
        <w:tc>
          <w:tcPr>
            <w:tcW w:w="2589" w:type="dxa"/>
            <w:shd w:val="clear" w:color="000000" w:fill="FFFFFF"/>
            <w:tcMar>
              <w:top w:w="113" w:type="dxa"/>
              <w:bottom w:w="113" w:type="dxa"/>
            </w:tcMar>
            <w:hideMark/>
          </w:tcPr>
          <w:p w:rsidR="00E708B2" w:rsidRPr="00A32AF4" w:rsidRDefault="00E708B2" w:rsidP="00DC0553">
            <w:pPr>
              <w:rPr>
                <w:rFonts w:cs="Arial"/>
                <w:sz w:val="16"/>
                <w:szCs w:val="16"/>
              </w:rPr>
            </w:pPr>
            <w:r w:rsidRPr="00A32AF4">
              <w:rPr>
                <w:rFonts w:cs="Arial"/>
                <w:sz w:val="16"/>
                <w:szCs w:val="16"/>
              </w:rPr>
              <w:t>Coûts unitaires réduits d</w:t>
            </w:r>
            <w:r w:rsidR="00E2055A" w:rsidRPr="00A32AF4">
              <w:rPr>
                <w:rFonts w:cs="Arial"/>
                <w:sz w:val="16"/>
                <w:szCs w:val="16"/>
              </w:rPr>
              <w:t>’</w:t>
            </w:r>
            <w:r w:rsidRPr="00A32AF4">
              <w:rPr>
                <w:rFonts w:cs="Arial"/>
                <w:sz w:val="16"/>
                <w:szCs w:val="16"/>
              </w:rPr>
              <w:t xml:space="preserve">au moins 5% chaque </w:t>
            </w:r>
            <w:proofErr w:type="gramStart"/>
            <w:r w:rsidRPr="00A32AF4">
              <w:rPr>
                <w:rFonts w:cs="Arial"/>
                <w:sz w:val="16"/>
                <w:szCs w:val="16"/>
              </w:rPr>
              <w:t>année;</w:t>
            </w:r>
            <w:proofErr w:type="gramEnd"/>
            <w:r w:rsidRPr="00A32AF4">
              <w:rPr>
                <w:rFonts w:cs="Arial"/>
                <w:sz w:val="16"/>
                <w:szCs w:val="16"/>
              </w:rPr>
              <w:t xml:space="preserve">  pas d</w:t>
            </w:r>
            <w:r w:rsidR="00E2055A" w:rsidRPr="00A32AF4">
              <w:rPr>
                <w:rFonts w:cs="Arial"/>
                <w:sz w:val="16"/>
                <w:szCs w:val="16"/>
              </w:rPr>
              <w:t>’</w:t>
            </w:r>
            <w:r w:rsidRPr="00A32AF4">
              <w:rPr>
                <w:rFonts w:cs="Arial"/>
                <w:sz w:val="16"/>
                <w:szCs w:val="16"/>
              </w:rPr>
              <w:t>augmentation du nombre d</w:t>
            </w:r>
            <w:r w:rsidR="00E2055A" w:rsidRPr="00A32AF4">
              <w:rPr>
                <w:rFonts w:cs="Arial"/>
                <w:sz w:val="16"/>
                <w:szCs w:val="16"/>
              </w:rPr>
              <w:t>’</w:t>
            </w:r>
            <w:r w:rsidRPr="00A32AF4">
              <w:rPr>
                <w:rFonts w:cs="Arial"/>
                <w:sz w:val="16"/>
                <w:szCs w:val="16"/>
              </w:rPr>
              <w:t>interruptions de service avec des conséquences moyennes ou graves.</w:t>
            </w:r>
          </w:p>
        </w:tc>
      </w:tr>
      <w:tr w:rsidR="00E708B2" w:rsidRPr="00A32AF4" w:rsidTr="00E325C7">
        <w:trPr>
          <w:cantSplit/>
        </w:trPr>
        <w:tc>
          <w:tcPr>
            <w:tcW w:w="2142" w:type="dxa"/>
            <w:vMerge/>
            <w:tcMar>
              <w:top w:w="113" w:type="dxa"/>
              <w:bottom w:w="113" w:type="dxa"/>
            </w:tcMar>
            <w:vAlign w:val="center"/>
            <w:hideMark/>
          </w:tcPr>
          <w:p w:rsidR="00E708B2" w:rsidRPr="00A32AF4" w:rsidRDefault="00E708B2" w:rsidP="00DC0553">
            <w:pPr>
              <w:rPr>
                <w:rFonts w:cs="Arial"/>
                <w:sz w:val="16"/>
                <w:szCs w:val="16"/>
              </w:rPr>
            </w:pPr>
          </w:p>
        </w:tc>
        <w:tc>
          <w:tcPr>
            <w:tcW w:w="2460" w:type="dxa"/>
            <w:shd w:val="clear" w:color="000000" w:fill="FFFFFF"/>
            <w:tcMar>
              <w:top w:w="113" w:type="dxa"/>
              <w:bottom w:w="113" w:type="dxa"/>
            </w:tcMar>
            <w:hideMark/>
          </w:tcPr>
          <w:p w:rsidR="00E708B2" w:rsidRPr="00A32AF4" w:rsidRDefault="00E708B2" w:rsidP="00DC0553">
            <w:pPr>
              <w:rPr>
                <w:rFonts w:cs="Arial"/>
                <w:sz w:val="16"/>
                <w:szCs w:val="16"/>
              </w:rPr>
            </w:pPr>
            <w:r w:rsidRPr="00A32AF4">
              <w:rPr>
                <w:rFonts w:cs="Arial"/>
                <w:sz w:val="16"/>
                <w:szCs w:val="16"/>
              </w:rPr>
              <w:t>Les activités de développement des applications sont conformes aux normes de l</w:t>
            </w:r>
            <w:r w:rsidR="00E2055A" w:rsidRPr="00A32AF4">
              <w:rPr>
                <w:rFonts w:cs="Arial"/>
                <w:sz w:val="16"/>
                <w:szCs w:val="16"/>
              </w:rPr>
              <w:t>’</w:t>
            </w:r>
            <w:r w:rsidRPr="00A32AF4">
              <w:rPr>
                <w:rFonts w:cs="Arial"/>
                <w:sz w:val="16"/>
                <w:szCs w:val="16"/>
              </w:rPr>
              <w:t>OMPI en matière de références et de données de base.</w:t>
            </w:r>
          </w:p>
        </w:tc>
        <w:tc>
          <w:tcPr>
            <w:tcW w:w="2220" w:type="dxa"/>
            <w:shd w:val="clear" w:color="000000" w:fill="FFFFFF"/>
            <w:tcMar>
              <w:top w:w="113" w:type="dxa"/>
              <w:bottom w:w="113" w:type="dxa"/>
            </w:tcMar>
            <w:hideMark/>
          </w:tcPr>
          <w:p w:rsidR="00E708B2" w:rsidRPr="00A32AF4" w:rsidRDefault="003507F6" w:rsidP="00DC0553">
            <w:pPr>
              <w:rPr>
                <w:rFonts w:cs="Arial"/>
                <w:sz w:val="16"/>
                <w:szCs w:val="16"/>
              </w:rPr>
            </w:pPr>
            <w:r w:rsidRPr="00A32AF4">
              <w:rPr>
                <w:rFonts w:cs="Arial"/>
                <w:sz w:val="16"/>
                <w:szCs w:val="16"/>
              </w:rPr>
              <w:t>s.o.</w:t>
            </w:r>
          </w:p>
        </w:tc>
        <w:tc>
          <w:tcPr>
            <w:tcW w:w="2589" w:type="dxa"/>
            <w:shd w:val="clear" w:color="000000" w:fill="FFFFFF"/>
            <w:tcMar>
              <w:top w:w="113" w:type="dxa"/>
              <w:bottom w:w="113" w:type="dxa"/>
            </w:tcMar>
            <w:hideMark/>
          </w:tcPr>
          <w:p w:rsidR="00E708B2" w:rsidRPr="00A32AF4" w:rsidRDefault="00E708B2" w:rsidP="00DC0553">
            <w:pPr>
              <w:rPr>
                <w:rFonts w:cs="Arial"/>
                <w:sz w:val="16"/>
                <w:szCs w:val="16"/>
              </w:rPr>
            </w:pPr>
            <w:r w:rsidRPr="00A32AF4">
              <w:rPr>
                <w:rFonts w:cs="Arial"/>
                <w:sz w:val="16"/>
                <w:szCs w:val="16"/>
              </w:rPr>
              <w:t>La stratégie et le référentiel de l</w:t>
            </w:r>
            <w:r w:rsidR="00E2055A" w:rsidRPr="00A32AF4">
              <w:rPr>
                <w:rFonts w:cs="Arial"/>
                <w:sz w:val="16"/>
                <w:szCs w:val="16"/>
              </w:rPr>
              <w:t>’</w:t>
            </w:r>
            <w:r w:rsidRPr="00A32AF4">
              <w:rPr>
                <w:rFonts w:cs="Arial"/>
                <w:sz w:val="16"/>
                <w:szCs w:val="16"/>
              </w:rPr>
              <w:t>OMPI pour les références et les données de base sont utilisés par au moins une équipe de développement des applications.</w:t>
            </w:r>
          </w:p>
        </w:tc>
      </w:tr>
      <w:tr w:rsidR="007F6CD1" w:rsidRPr="00A32AF4" w:rsidTr="007F6CD1">
        <w:trPr>
          <w:cantSplit/>
        </w:trPr>
        <w:tc>
          <w:tcPr>
            <w:tcW w:w="2142" w:type="dxa"/>
            <w:vMerge/>
            <w:tcMar>
              <w:top w:w="113" w:type="dxa"/>
              <w:bottom w:w="113" w:type="dxa"/>
            </w:tcMar>
            <w:vAlign w:val="center"/>
            <w:hideMark/>
          </w:tcPr>
          <w:p w:rsidR="007F6CD1" w:rsidRPr="00A32AF4" w:rsidRDefault="007F6CD1" w:rsidP="00DC0553">
            <w:pPr>
              <w:rPr>
                <w:rFonts w:cs="Arial"/>
                <w:sz w:val="16"/>
                <w:szCs w:val="16"/>
              </w:rPr>
            </w:pPr>
          </w:p>
        </w:tc>
        <w:tc>
          <w:tcPr>
            <w:tcW w:w="2460" w:type="dxa"/>
            <w:shd w:val="clear" w:color="000000" w:fill="FFFFFF"/>
            <w:tcMar>
              <w:top w:w="113" w:type="dxa"/>
              <w:bottom w:w="113" w:type="dxa"/>
            </w:tcMar>
          </w:tcPr>
          <w:p w:rsidR="007F6CD1" w:rsidRPr="00A32AF4" w:rsidRDefault="007F6CD1" w:rsidP="00DC0553">
            <w:pPr>
              <w:rPr>
                <w:rFonts w:cs="Arial"/>
                <w:sz w:val="16"/>
                <w:szCs w:val="16"/>
              </w:rPr>
            </w:pPr>
            <w:r w:rsidRPr="00A32AF4">
              <w:rPr>
                <w:rFonts w:cs="Arial"/>
                <w:sz w:val="16"/>
                <w:szCs w:val="16"/>
              </w:rPr>
              <w:t>Pourcentage de clients satisfaits des prestations du service d</w:t>
            </w:r>
            <w:r w:rsidR="00E2055A" w:rsidRPr="00A32AF4">
              <w:rPr>
                <w:rFonts w:cs="Arial"/>
                <w:sz w:val="16"/>
                <w:szCs w:val="16"/>
              </w:rPr>
              <w:t>’</w:t>
            </w:r>
            <w:r w:rsidRPr="00A32AF4">
              <w:rPr>
                <w:rFonts w:cs="Arial"/>
                <w:sz w:val="16"/>
                <w:szCs w:val="16"/>
              </w:rPr>
              <w:t>assistance.</w:t>
            </w:r>
          </w:p>
        </w:tc>
        <w:tc>
          <w:tcPr>
            <w:tcW w:w="2220" w:type="dxa"/>
            <w:shd w:val="clear" w:color="000000" w:fill="FFFFFF"/>
            <w:tcMar>
              <w:top w:w="113" w:type="dxa"/>
              <w:bottom w:w="113" w:type="dxa"/>
            </w:tcMar>
            <w:hideMark/>
          </w:tcPr>
          <w:p w:rsidR="007F6CD1" w:rsidRPr="00A32AF4" w:rsidRDefault="007F6CD1" w:rsidP="00801C81">
            <w:pPr>
              <w:rPr>
                <w:rFonts w:cs="Arial"/>
                <w:sz w:val="16"/>
                <w:szCs w:val="16"/>
              </w:rPr>
            </w:pPr>
            <w:r w:rsidRPr="00A32AF4">
              <w:rPr>
                <w:rFonts w:cs="Arial"/>
                <w:sz w:val="16"/>
                <w:szCs w:val="16"/>
              </w:rPr>
              <w:t>97% de satisfaits ou très satisfaits du service d</w:t>
            </w:r>
            <w:r w:rsidR="00E2055A" w:rsidRPr="00A32AF4">
              <w:rPr>
                <w:rFonts w:cs="Arial"/>
                <w:sz w:val="16"/>
                <w:szCs w:val="16"/>
              </w:rPr>
              <w:t>’</w:t>
            </w:r>
            <w:r w:rsidRPr="00A32AF4">
              <w:rPr>
                <w:rFonts w:cs="Arial"/>
                <w:sz w:val="16"/>
                <w:szCs w:val="16"/>
              </w:rPr>
              <w:t>assistance.</w:t>
            </w:r>
          </w:p>
        </w:tc>
        <w:tc>
          <w:tcPr>
            <w:tcW w:w="2589" w:type="dxa"/>
            <w:shd w:val="clear" w:color="000000" w:fill="FFFFFF"/>
            <w:tcMar>
              <w:top w:w="113" w:type="dxa"/>
              <w:bottom w:w="113" w:type="dxa"/>
            </w:tcMar>
            <w:hideMark/>
          </w:tcPr>
          <w:p w:rsidR="007F6CD1" w:rsidRPr="00A32AF4" w:rsidRDefault="007F6CD1" w:rsidP="00DC0553">
            <w:pPr>
              <w:rPr>
                <w:rFonts w:cs="Arial"/>
                <w:sz w:val="16"/>
                <w:szCs w:val="16"/>
              </w:rPr>
            </w:pPr>
            <w:r w:rsidRPr="00A32AF4">
              <w:rPr>
                <w:rFonts w:cs="Arial"/>
                <w:sz w:val="16"/>
                <w:szCs w:val="16"/>
              </w:rPr>
              <w:t>Maintenir le même niveau de satisfaction auprès des utilisateurs.</w:t>
            </w:r>
          </w:p>
        </w:tc>
      </w:tr>
      <w:tr w:rsidR="007F6CD1" w:rsidRPr="00A32AF4" w:rsidTr="00E325C7">
        <w:trPr>
          <w:cantSplit/>
        </w:trPr>
        <w:tc>
          <w:tcPr>
            <w:tcW w:w="2142" w:type="dxa"/>
            <w:vMerge/>
            <w:tcMar>
              <w:top w:w="113" w:type="dxa"/>
              <w:bottom w:w="113" w:type="dxa"/>
            </w:tcMar>
            <w:vAlign w:val="center"/>
            <w:hideMark/>
          </w:tcPr>
          <w:p w:rsidR="007F6CD1" w:rsidRPr="00A32AF4" w:rsidRDefault="007F6CD1" w:rsidP="00DC0553">
            <w:pPr>
              <w:rPr>
                <w:rFonts w:cs="Arial"/>
                <w:sz w:val="16"/>
                <w:szCs w:val="16"/>
              </w:rPr>
            </w:pPr>
          </w:p>
        </w:tc>
        <w:tc>
          <w:tcPr>
            <w:tcW w:w="2460" w:type="dxa"/>
            <w:shd w:val="clear" w:color="000000" w:fill="FFFFFF"/>
            <w:tcMar>
              <w:top w:w="113" w:type="dxa"/>
              <w:bottom w:w="113" w:type="dxa"/>
            </w:tcMar>
            <w:hideMark/>
          </w:tcPr>
          <w:p w:rsidR="007F6CD1" w:rsidRPr="00A32AF4" w:rsidRDefault="007F6CD1" w:rsidP="00DC0553">
            <w:pPr>
              <w:rPr>
                <w:rFonts w:cs="Arial"/>
                <w:sz w:val="16"/>
                <w:szCs w:val="16"/>
              </w:rPr>
            </w:pPr>
            <w:r w:rsidRPr="00A32AF4">
              <w:rPr>
                <w:rFonts w:cs="Arial"/>
                <w:sz w:val="16"/>
                <w:szCs w:val="16"/>
              </w:rPr>
              <w:t>Les projets de l</w:t>
            </w:r>
            <w:r w:rsidR="00E2055A" w:rsidRPr="00A32AF4">
              <w:rPr>
                <w:rFonts w:cs="Arial"/>
                <w:sz w:val="16"/>
                <w:szCs w:val="16"/>
              </w:rPr>
              <w:t>’</w:t>
            </w:r>
            <w:r w:rsidRPr="00A32AF4">
              <w:rPr>
                <w:rFonts w:cs="Arial"/>
                <w:sz w:val="16"/>
                <w:szCs w:val="16"/>
              </w:rPr>
              <w:t>OMPI relatifs aux TIC sont gérés conformément aux principes directeurs de l</w:t>
            </w:r>
            <w:r w:rsidR="00E2055A" w:rsidRPr="00A32AF4">
              <w:rPr>
                <w:rFonts w:cs="Arial"/>
                <w:sz w:val="16"/>
                <w:szCs w:val="16"/>
              </w:rPr>
              <w:t>’</w:t>
            </w:r>
            <w:r w:rsidRPr="00A32AF4">
              <w:rPr>
                <w:rFonts w:cs="Arial"/>
                <w:sz w:val="16"/>
                <w:szCs w:val="16"/>
              </w:rPr>
              <w:t>OMPI en matière de gestion de projets et aux principes directeurs de l</w:t>
            </w:r>
            <w:r w:rsidR="00E2055A" w:rsidRPr="00A32AF4">
              <w:rPr>
                <w:rFonts w:cs="Arial"/>
                <w:sz w:val="16"/>
                <w:szCs w:val="16"/>
              </w:rPr>
              <w:t>’</w:t>
            </w:r>
            <w:r w:rsidRPr="00A32AF4">
              <w:rPr>
                <w:rFonts w:cs="Arial"/>
                <w:sz w:val="16"/>
                <w:szCs w:val="16"/>
              </w:rPr>
              <w:t>OMPI en matière de transition de services.</w:t>
            </w:r>
          </w:p>
        </w:tc>
        <w:tc>
          <w:tcPr>
            <w:tcW w:w="2220" w:type="dxa"/>
            <w:shd w:val="clear" w:color="000000" w:fill="FFFFFF"/>
            <w:tcMar>
              <w:top w:w="113" w:type="dxa"/>
              <w:bottom w:w="113" w:type="dxa"/>
            </w:tcMar>
            <w:hideMark/>
          </w:tcPr>
          <w:p w:rsidR="007F6CD1" w:rsidRPr="00A32AF4" w:rsidRDefault="007F6CD1" w:rsidP="00DC0553">
            <w:pPr>
              <w:rPr>
                <w:rFonts w:cs="Arial"/>
                <w:sz w:val="16"/>
                <w:szCs w:val="16"/>
              </w:rPr>
            </w:pPr>
            <w:r w:rsidRPr="00A32AF4">
              <w:rPr>
                <w:rFonts w:cs="Arial"/>
                <w:sz w:val="16"/>
                <w:szCs w:val="16"/>
              </w:rPr>
              <w:t>s.o. (nouveau)</w:t>
            </w:r>
          </w:p>
          <w:p w:rsidR="007F6CD1" w:rsidRPr="00A32AF4" w:rsidRDefault="007F6CD1" w:rsidP="00DC0553">
            <w:pPr>
              <w:rPr>
                <w:rFonts w:cs="Arial"/>
                <w:sz w:val="16"/>
                <w:szCs w:val="16"/>
              </w:rPr>
            </w:pPr>
          </w:p>
          <w:p w:rsidR="007F6CD1" w:rsidRPr="00A32AF4" w:rsidRDefault="007F6CD1" w:rsidP="00DC0553">
            <w:pPr>
              <w:rPr>
                <w:rFonts w:cs="Arial"/>
                <w:sz w:val="16"/>
                <w:szCs w:val="16"/>
              </w:rPr>
            </w:pPr>
          </w:p>
          <w:p w:rsidR="007F6CD1" w:rsidRPr="00A32AF4" w:rsidRDefault="007F6CD1" w:rsidP="00DC0553">
            <w:pPr>
              <w:rPr>
                <w:rFonts w:cs="Arial"/>
                <w:sz w:val="16"/>
                <w:szCs w:val="16"/>
              </w:rPr>
            </w:pPr>
          </w:p>
          <w:p w:rsidR="007F6CD1" w:rsidRPr="00A32AF4" w:rsidRDefault="007F6CD1" w:rsidP="00DC0553">
            <w:pPr>
              <w:rPr>
                <w:rFonts w:cs="Arial"/>
                <w:sz w:val="16"/>
                <w:szCs w:val="16"/>
              </w:rPr>
            </w:pPr>
          </w:p>
          <w:p w:rsidR="007F6CD1" w:rsidRPr="00A32AF4" w:rsidRDefault="007F6CD1" w:rsidP="00DC0553">
            <w:pPr>
              <w:rPr>
                <w:rFonts w:cs="Arial"/>
                <w:sz w:val="16"/>
                <w:szCs w:val="16"/>
              </w:rPr>
            </w:pPr>
            <w:r w:rsidRPr="00A32AF4">
              <w:rPr>
                <w:rFonts w:cs="Arial"/>
                <w:sz w:val="16"/>
                <w:szCs w:val="16"/>
              </w:rPr>
              <w:t>Les principes directeurs en matière de transition de services ne sont pas établis.</w:t>
            </w:r>
          </w:p>
        </w:tc>
        <w:tc>
          <w:tcPr>
            <w:tcW w:w="2589" w:type="dxa"/>
            <w:shd w:val="clear" w:color="000000" w:fill="FFFFFF"/>
            <w:tcMar>
              <w:top w:w="113" w:type="dxa"/>
              <w:bottom w:w="113" w:type="dxa"/>
            </w:tcMar>
            <w:hideMark/>
          </w:tcPr>
          <w:p w:rsidR="007F6CD1" w:rsidRPr="00A32AF4" w:rsidRDefault="007F6CD1" w:rsidP="00DC0553">
            <w:pPr>
              <w:rPr>
                <w:rFonts w:cs="Arial"/>
                <w:sz w:val="16"/>
                <w:szCs w:val="16"/>
              </w:rPr>
            </w:pPr>
            <w:r w:rsidRPr="00A32AF4">
              <w:rPr>
                <w:rFonts w:cs="Arial"/>
                <w:sz w:val="16"/>
                <w:szCs w:val="16"/>
              </w:rPr>
              <w:t>Plus de 70% des projets sont gérés conformément aux principes directeurs de l</w:t>
            </w:r>
            <w:r w:rsidR="00E2055A" w:rsidRPr="00A32AF4">
              <w:rPr>
                <w:rFonts w:cs="Arial"/>
                <w:sz w:val="16"/>
                <w:szCs w:val="16"/>
              </w:rPr>
              <w:t>’</w:t>
            </w:r>
            <w:r w:rsidRPr="00A32AF4">
              <w:rPr>
                <w:rFonts w:cs="Arial"/>
                <w:sz w:val="16"/>
                <w:szCs w:val="16"/>
              </w:rPr>
              <w:t>OMPI en matière de gestion de projets.</w:t>
            </w:r>
          </w:p>
          <w:p w:rsidR="007F6CD1" w:rsidRPr="00A32AF4" w:rsidRDefault="007F6CD1" w:rsidP="00DC0553">
            <w:pPr>
              <w:rPr>
                <w:rFonts w:cs="Arial"/>
                <w:sz w:val="16"/>
                <w:szCs w:val="16"/>
              </w:rPr>
            </w:pPr>
          </w:p>
          <w:p w:rsidR="007F6CD1" w:rsidRPr="00A32AF4" w:rsidRDefault="007F6CD1" w:rsidP="00DC0553">
            <w:pPr>
              <w:rPr>
                <w:rFonts w:cs="Arial"/>
                <w:sz w:val="16"/>
                <w:szCs w:val="16"/>
              </w:rPr>
            </w:pPr>
            <w:r w:rsidRPr="00A32AF4">
              <w:rPr>
                <w:rFonts w:cs="Arial"/>
                <w:sz w:val="16"/>
                <w:szCs w:val="16"/>
              </w:rPr>
              <w:t>70% des nouveaux projets réalisés sont conformes aux principes directeurs de l</w:t>
            </w:r>
            <w:r w:rsidR="00E2055A" w:rsidRPr="00A32AF4">
              <w:rPr>
                <w:rFonts w:cs="Arial"/>
                <w:sz w:val="16"/>
                <w:szCs w:val="16"/>
              </w:rPr>
              <w:t>’</w:t>
            </w:r>
            <w:r w:rsidRPr="00A32AF4">
              <w:rPr>
                <w:rFonts w:cs="Arial"/>
                <w:sz w:val="16"/>
                <w:szCs w:val="16"/>
              </w:rPr>
              <w:t>OMPI en matière de transition de services.</w:t>
            </w:r>
          </w:p>
        </w:tc>
      </w:tr>
      <w:tr w:rsidR="007F6CD1" w:rsidRPr="00A32AF4" w:rsidTr="00E325C7">
        <w:trPr>
          <w:cantSplit/>
        </w:trPr>
        <w:tc>
          <w:tcPr>
            <w:tcW w:w="2142" w:type="dxa"/>
            <w:vMerge/>
            <w:tcMar>
              <w:top w:w="113" w:type="dxa"/>
              <w:bottom w:w="113" w:type="dxa"/>
            </w:tcMar>
            <w:vAlign w:val="center"/>
            <w:hideMark/>
          </w:tcPr>
          <w:p w:rsidR="007F6CD1" w:rsidRPr="00A32AF4" w:rsidRDefault="007F6CD1" w:rsidP="00DC0553">
            <w:pPr>
              <w:rPr>
                <w:rFonts w:cs="Arial"/>
                <w:sz w:val="16"/>
                <w:szCs w:val="16"/>
              </w:rPr>
            </w:pPr>
          </w:p>
        </w:tc>
        <w:tc>
          <w:tcPr>
            <w:tcW w:w="2460" w:type="dxa"/>
            <w:shd w:val="clear" w:color="000000" w:fill="FFFFFF"/>
            <w:tcMar>
              <w:top w:w="113" w:type="dxa"/>
              <w:bottom w:w="113" w:type="dxa"/>
            </w:tcMar>
            <w:hideMark/>
          </w:tcPr>
          <w:p w:rsidR="007F6CD1" w:rsidRPr="00A32AF4" w:rsidRDefault="007F6CD1" w:rsidP="00DC0553">
            <w:pPr>
              <w:rPr>
                <w:rFonts w:cs="Arial"/>
                <w:sz w:val="16"/>
                <w:szCs w:val="16"/>
              </w:rPr>
            </w:pPr>
            <w:r w:rsidRPr="00A32AF4">
              <w:rPr>
                <w:rFonts w:cs="Arial"/>
                <w:sz w:val="16"/>
                <w:szCs w:val="16"/>
              </w:rPr>
              <w:t>Continuité de service des TIC pour les systèmes essentiels.</w:t>
            </w:r>
          </w:p>
        </w:tc>
        <w:tc>
          <w:tcPr>
            <w:tcW w:w="2220" w:type="dxa"/>
            <w:shd w:val="clear" w:color="000000" w:fill="FFFFFF"/>
            <w:tcMar>
              <w:top w:w="113" w:type="dxa"/>
              <w:bottom w:w="113" w:type="dxa"/>
            </w:tcMar>
            <w:hideMark/>
          </w:tcPr>
          <w:p w:rsidR="007F6CD1" w:rsidRPr="00A32AF4" w:rsidRDefault="007F6CD1" w:rsidP="00DC0553">
            <w:pPr>
              <w:rPr>
                <w:rFonts w:cs="Arial"/>
                <w:sz w:val="16"/>
                <w:szCs w:val="16"/>
              </w:rPr>
            </w:pPr>
            <w:r w:rsidRPr="00A32AF4">
              <w:rPr>
                <w:rFonts w:cs="Arial"/>
                <w:sz w:val="16"/>
                <w:szCs w:val="16"/>
              </w:rPr>
              <w:t>Les systèmes essentiels peuvent être restaurés rapidement et sans perte de données en cas de graves perturbations localisées.</w:t>
            </w:r>
          </w:p>
        </w:tc>
        <w:tc>
          <w:tcPr>
            <w:tcW w:w="2589" w:type="dxa"/>
            <w:shd w:val="clear" w:color="000000" w:fill="FFFFFF"/>
            <w:tcMar>
              <w:top w:w="113" w:type="dxa"/>
              <w:bottom w:w="113" w:type="dxa"/>
            </w:tcMar>
            <w:hideMark/>
          </w:tcPr>
          <w:p w:rsidR="007F6CD1" w:rsidRPr="00A32AF4" w:rsidRDefault="007F6CD1">
            <w:pPr>
              <w:rPr>
                <w:rFonts w:cs="Arial"/>
                <w:sz w:val="16"/>
                <w:szCs w:val="16"/>
              </w:rPr>
            </w:pPr>
            <w:r w:rsidRPr="00A32AF4">
              <w:rPr>
                <w:rFonts w:cs="Arial"/>
                <w:sz w:val="16"/>
                <w:szCs w:val="16"/>
              </w:rPr>
              <w:t>Des améliorations sont apportées à une plate</w:t>
            </w:r>
            <w:r w:rsidR="00EB7F54" w:rsidRPr="00A32AF4">
              <w:rPr>
                <w:rFonts w:cs="Arial"/>
                <w:sz w:val="16"/>
                <w:szCs w:val="16"/>
              </w:rPr>
              <w:noBreakHyphen/>
            </w:r>
            <w:r w:rsidRPr="00A32AF4">
              <w:rPr>
                <w:rFonts w:cs="Arial"/>
                <w:sz w:val="16"/>
                <w:szCs w:val="16"/>
              </w:rPr>
              <w:t>forme TIC pour permettre aux systèmes essentiels de continuer à fonctionner en cas d</w:t>
            </w:r>
            <w:r w:rsidR="00E2055A" w:rsidRPr="00A32AF4">
              <w:rPr>
                <w:rFonts w:cs="Arial"/>
                <w:sz w:val="16"/>
                <w:szCs w:val="16"/>
              </w:rPr>
              <w:t>’</w:t>
            </w:r>
            <w:r w:rsidRPr="00A32AF4">
              <w:rPr>
                <w:rFonts w:cs="Arial"/>
                <w:sz w:val="16"/>
                <w:szCs w:val="16"/>
              </w:rPr>
              <w:t>une perturbation majeure à l</w:t>
            </w:r>
            <w:r w:rsidR="00E2055A" w:rsidRPr="00A32AF4">
              <w:rPr>
                <w:rFonts w:cs="Arial"/>
                <w:sz w:val="16"/>
                <w:szCs w:val="16"/>
              </w:rPr>
              <w:t>’</w:t>
            </w:r>
            <w:r w:rsidRPr="00A32AF4">
              <w:rPr>
                <w:rFonts w:cs="Arial"/>
                <w:sz w:val="16"/>
                <w:szCs w:val="16"/>
              </w:rPr>
              <w:t>échelle régionale.</w:t>
            </w:r>
          </w:p>
        </w:tc>
      </w:tr>
      <w:tr w:rsidR="007F6CD1" w:rsidRPr="00A32AF4" w:rsidTr="00E325C7">
        <w:trPr>
          <w:cantSplit/>
        </w:trPr>
        <w:tc>
          <w:tcPr>
            <w:tcW w:w="2142" w:type="dxa"/>
            <w:tcMar>
              <w:top w:w="113" w:type="dxa"/>
              <w:bottom w:w="113" w:type="dxa"/>
            </w:tcMar>
            <w:vAlign w:val="center"/>
          </w:tcPr>
          <w:p w:rsidR="007F6CD1" w:rsidRPr="00A32AF4" w:rsidRDefault="007F6CD1" w:rsidP="00DC0553">
            <w:pPr>
              <w:rPr>
                <w:rFonts w:cs="Arial"/>
                <w:sz w:val="16"/>
                <w:szCs w:val="16"/>
              </w:rPr>
            </w:pPr>
            <w:r w:rsidRPr="00A32AF4">
              <w:rPr>
                <w:rFonts w:cs="Arial"/>
                <w:sz w:val="16"/>
                <w:szCs w:val="16"/>
              </w:rPr>
              <w:t>IX.4 Une Organisation écologiquement et socialement responsable assurant la sûreté et la sécurité du personnel, des délégués, des visiteurs et des biens</w:t>
            </w:r>
          </w:p>
        </w:tc>
        <w:tc>
          <w:tcPr>
            <w:tcW w:w="2460" w:type="dxa"/>
            <w:shd w:val="clear" w:color="000000" w:fill="FFFFFF"/>
            <w:tcMar>
              <w:top w:w="113" w:type="dxa"/>
              <w:bottom w:w="113" w:type="dxa"/>
            </w:tcMar>
          </w:tcPr>
          <w:p w:rsidR="007F6CD1" w:rsidRPr="00A32AF4" w:rsidRDefault="007F6CD1" w:rsidP="00DC0553">
            <w:pPr>
              <w:rPr>
                <w:rFonts w:cs="Arial"/>
                <w:sz w:val="16"/>
                <w:szCs w:val="16"/>
              </w:rPr>
            </w:pPr>
          </w:p>
        </w:tc>
        <w:tc>
          <w:tcPr>
            <w:tcW w:w="2220" w:type="dxa"/>
            <w:shd w:val="clear" w:color="000000" w:fill="FFFFFF"/>
            <w:tcMar>
              <w:top w:w="113" w:type="dxa"/>
              <w:bottom w:w="113" w:type="dxa"/>
            </w:tcMar>
          </w:tcPr>
          <w:p w:rsidR="007F6CD1" w:rsidRPr="00A32AF4" w:rsidRDefault="007F6CD1" w:rsidP="00DC0553">
            <w:pPr>
              <w:rPr>
                <w:rFonts w:cs="Arial"/>
                <w:sz w:val="16"/>
                <w:szCs w:val="16"/>
              </w:rPr>
            </w:pPr>
          </w:p>
        </w:tc>
        <w:tc>
          <w:tcPr>
            <w:tcW w:w="2589" w:type="dxa"/>
            <w:shd w:val="clear" w:color="000000" w:fill="FFFFFF"/>
            <w:tcMar>
              <w:top w:w="113" w:type="dxa"/>
              <w:bottom w:w="113" w:type="dxa"/>
            </w:tcMar>
          </w:tcPr>
          <w:p w:rsidR="007F6CD1" w:rsidRPr="00A32AF4" w:rsidRDefault="007F6CD1" w:rsidP="00DC0553">
            <w:pPr>
              <w:rPr>
                <w:rFonts w:cs="Arial"/>
                <w:sz w:val="16"/>
                <w:szCs w:val="16"/>
              </w:rPr>
            </w:pPr>
          </w:p>
        </w:tc>
      </w:tr>
    </w:tbl>
    <w:p w:rsidR="00E708B2" w:rsidRPr="00A32AF4" w:rsidRDefault="00E708B2" w:rsidP="00DC0553">
      <w:pPr>
        <w:autoSpaceDE w:val="0"/>
        <w:autoSpaceDN w:val="0"/>
        <w:adjustRightInd w:val="0"/>
        <w:rPr>
          <w:rFonts w:cs="Arial"/>
        </w:rPr>
      </w:pPr>
    </w:p>
    <w:p w:rsidR="00E708B2" w:rsidRPr="00A32AF4" w:rsidRDefault="00E708B2" w:rsidP="00DC0553">
      <w:pPr>
        <w:rPr>
          <w:rFonts w:cs="Arial"/>
        </w:rPr>
      </w:pPr>
    </w:p>
    <w:p w:rsidR="00E708B2" w:rsidRPr="00A32AF4" w:rsidRDefault="00E708B2" w:rsidP="00DC0553">
      <w:pPr>
        <w:keepNext/>
        <w:keepLines/>
        <w:autoSpaceDE w:val="0"/>
        <w:autoSpaceDN w:val="0"/>
        <w:adjustRightInd w:val="0"/>
        <w:rPr>
          <w:rFonts w:cs="Arial"/>
        </w:rPr>
      </w:pPr>
      <w:r w:rsidRPr="00A32AF4">
        <w:rPr>
          <w:rFonts w:cs="Arial"/>
        </w:rPr>
        <w:t>RESSOURCES ALLOUÉES AU PROGRAMME 25</w:t>
      </w:r>
    </w:p>
    <w:p w:rsidR="00E708B2" w:rsidRPr="00A32AF4" w:rsidRDefault="00E708B2" w:rsidP="00DC0553">
      <w:pPr>
        <w:keepNext/>
        <w:keepLines/>
        <w:autoSpaceDE w:val="0"/>
        <w:autoSpaceDN w:val="0"/>
        <w:adjustRightInd w:val="0"/>
        <w:rPr>
          <w:rFonts w:cs="Arial"/>
        </w:rPr>
      </w:pPr>
    </w:p>
    <w:p w:rsidR="00E708B2" w:rsidRPr="00A32AF4" w:rsidRDefault="00E708B2" w:rsidP="00DC0553">
      <w:pPr>
        <w:pStyle w:val="ListParagraph"/>
        <w:keepNext/>
        <w:keepLines/>
        <w:numPr>
          <w:ilvl w:val="0"/>
          <w:numId w:val="69"/>
        </w:numPr>
        <w:tabs>
          <w:tab w:val="left" w:pos="709"/>
        </w:tabs>
        <w:autoSpaceDE w:val="0"/>
        <w:autoSpaceDN w:val="0"/>
        <w:adjustRightInd w:val="0"/>
        <w:spacing w:after="0" w:line="240" w:lineRule="auto"/>
        <w:ind w:left="0" w:firstLine="0"/>
        <w:jc w:val="both"/>
        <w:rPr>
          <w:rFonts w:ascii="Arial" w:hAnsi="Arial" w:cs="Arial"/>
          <w:szCs w:val="20"/>
        </w:rPr>
      </w:pPr>
      <w:r w:rsidRPr="00A32AF4">
        <w:rPr>
          <w:rFonts w:ascii="Arial" w:hAnsi="Arial" w:cs="Arial"/>
          <w:szCs w:val="20"/>
        </w:rPr>
        <w:t>Le montant total des ressources affectées au programme pour 2016</w:t>
      </w:r>
      <w:r w:rsidR="00EB7F54" w:rsidRPr="00A32AF4">
        <w:rPr>
          <w:rFonts w:ascii="Arial" w:hAnsi="Arial" w:cs="Arial"/>
          <w:szCs w:val="20"/>
        </w:rPr>
        <w:noBreakHyphen/>
      </w:r>
      <w:r w:rsidRPr="00A32AF4">
        <w:rPr>
          <w:rFonts w:ascii="Arial" w:hAnsi="Arial" w:cs="Arial"/>
          <w:szCs w:val="20"/>
        </w:rPr>
        <w:t>2017 présente une augmentation nette d</w:t>
      </w:r>
      <w:r w:rsidR="00E2055A" w:rsidRPr="00A32AF4">
        <w:rPr>
          <w:rFonts w:ascii="Arial" w:hAnsi="Arial" w:cs="Arial"/>
          <w:szCs w:val="20"/>
        </w:rPr>
        <w:t>’</w:t>
      </w:r>
      <w:r w:rsidRPr="00A32AF4">
        <w:rPr>
          <w:rFonts w:ascii="Arial" w:hAnsi="Arial" w:cs="Arial"/>
          <w:szCs w:val="20"/>
        </w:rPr>
        <w:t>environ 5,7 millions de francs suisses par rapport au budget 2014</w:t>
      </w:r>
      <w:r w:rsidR="00EB7F54" w:rsidRPr="00A32AF4">
        <w:rPr>
          <w:rFonts w:ascii="Arial" w:hAnsi="Arial" w:cs="Arial"/>
          <w:szCs w:val="20"/>
        </w:rPr>
        <w:noBreakHyphen/>
      </w:r>
      <w:r w:rsidRPr="00A32AF4">
        <w:rPr>
          <w:rFonts w:ascii="Arial" w:hAnsi="Arial" w:cs="Arial"/>
          <w:szCs w:val="20"/>
        </w:rPr>
        <w:t>2015 après virements.  Cela est dû d</w:t>
      </w:r>
      <w:r w:rsidR="00E2055A" w:rsidRPr="00A32AF4">
        <w:rPr>
          <w:rFonts w:ascii="Arial" w:hAnsi="Arial" w:cs="Arial"/>
          <w:szCs w:val="20"/>
        </w:rPr>
        <w:t>’</w:t>
      </w:r>
      <w:r w:rsidRPr="00A32AF4">
        <w:rPr>
          <w:rFonts w:ascii="Arial" w:hAnsi="Arial" w:cs="Arial"/>
          <w:szCs w:val="20"/>
        </w:rPr>
        <w:t>une part à une diminution des ressources en personnel résultant d</w:t>
      </w:r>
      <w:r w:rsidR="00E2055A" w:rsidRPr="00A32AF4">
        <w:rPr>
          <w:rFonts w:ascii="Arial" w:hAnsi="Arial" w:cs="Arial"/>
          <w:szCs w:val="20"/>
        </w:rPr>
        <w:t>’</w:t>
      </w:r>
      <w:r w:rsidRPr="00A32AF4">
        <w:rPr>
          <w:rFonts w:ascii="Arial" w:hAnsi="Arial" w:cs="Arial"/>
          <w:szCs w:val="20"/>
        </w:rPr>
        <w:t>un transfert des activités relatives à la sécurité de l</w:t>
      </w:r>
      <w:r w:rsidR="00E2055A" w:rsidRPr="00A32AF4">
        <w:rPr>
          <w:rFonts w:ascii="Arial" w:hAnsi="Arial" w:cs="Arial"/>
          <w:szCs w:val="20"/>
        </w:rPr>
        <w:t>’</w:t>
      </w:r>
      <w:r w:rsidRPr="00A32AF4">
        <w:rPr>
          <w:rFonts w:ascii="Arial" w:hAnsi="Arial" w:cs="Arial"/>
          <w:szCs w:val="20"/>
        </w:rPr>
        <w:t>information au programme 28 (Sécurité de l</w:t>
      </w:r>
      <w:r w:rsidR="00E2055A" w:rsidRPr="00A32AF4">
        <w:rPr>
          <w:rFonts w:ascii="Arial" w:hAnsi="Arial" w:cs="Arial"/>
          <w:szCs w:val="20"/>
        </w:rPr>
        <w:t>’</w:t>
      </w:r>
      <w:r w:rsidRPr="00A32AF4">
        <w:rPr>
          <w:rFonts w:ascii="Arial" w:hAnsi="Arial" w:cs="Arial"/>
          <w:szCs w:val="20"/>
        </w:rPr>
        <w:t>information, des biens et des personnes), qui figure sous le résultat escompté IX.4 et, d</w:t>
      </w:r>
      <w:r w:rsidR="00E2055A" w:rsidRPr="00A32AF4">
        <w:rPr>
          <w:rFonts w:ascii="Arial" w:hAnsi="Arial" w:cs="Arial"/>
          <w:szCs w:val="20"/>
        </w:rPr>
        <w:t>’</w:t>
      </w:r>
      <w:r w:rsidRPr="00A32AF4">
        <w:rPr>
          <w:rFonts w:ascii="Arial" w:hAnsi="Arial" w:cs="Arial"/>
          <w:szCs w:val="20"/>
        </w:rPr>
        <w:t>autre part, à une augmentation considérable des dépenses autres que celles de personnel résultant du fait que l</w:t>
      </w:r>
      <w:r w:rsidR="00E2055A" w:rsidRPr="00A32AF4">
        <w:rPr>
          <w:rFonts w:ascii="Arial" w:hAnsi="Arial" w:cs="Arial"/>
          <w:szCs w:val="20"/>
        </w:rPr>
        <w:t>’</w:t>
      </w:r>
      <w:r w:rsidRPr="00A32AF4">
        <w:rPr>
          <w:rFonts w:ascii="Arial" w:hAnsi="Arial" w:cs="Arial"/>
          <w:szCs w:val="20"/>
        </w:rPr>
        <w:t>Organisation est hautement tributaire d</w:t>
      </w:r>
      <w:r w:rsidR="00E2055A" w:rsidRPr="00A32AF4">
        <w:rPr>
          <w:rFonts w:ascii="Arial" w:hAnsi="Arial" w:cs="Arial"/>
          <w:szCs w:val="20"/>
        </w:rPr>
        <w:t>’</w:t>
      </w:r>
      <w:r w:rsidRPr="00A32AF4">
        <w:rPr>
          <w:rFonts w:ascii="Arial" w:hAnsi="Arial" w:cs="Arial"/>
          <w:szCs w:val="20"/>
        </w:rPr>
        <w:t>une infrastructure et de services informatiques fiables et efficaces, ce qui transparaît sous le résultat escompté IX.1.  Les ressources figurant sous le résultat escompté IX.4 reflètent la collaboration du programme avec le programme 5 (Système du PCT) visant à renforcer la résilience du PCT et les niveaux de sécurité.</w:t>
      </w:r>
    </w:p>
    <w:p w:rsidR="00E708B2" w:rsidRPr="00A32AF4" w:rsidRDefault="00E708B2" w:rsidP="00DC0553"/>
    <w:p w:rsidR="00F93B76" w:rsidRPr="00A32AF4" w:rsidRDefault="00F93B76" w:rsidP="00DC0553">
      <w:pPr>
        <w:rPr>
          <w:lang w:eastAsia="da-DK"/>
        </w:rPr>
      </w:pPr>
    </w:p>
    <w:p w:rsidR="00F93B76" w:rsidRPr="00A32AF4" w:rsidRDefault="008A20BF" w:rsidP="00DC0553">
      <w:pPr>
        <w:keepNext/>
        <w:keepLines/>
        <w:autoSpaceDE w:val="0"/>
        <w:autoSpaceDN w:val="0"/>
        <w:jc w:val="center"/>
        <w:rPr>
          <w:rFonts w:cs="Arial"/>
          <w:b/>
        </w:rPr>
      </w:pPr>
      <w:r w:rsidRPr="00A32AF4">
        <w:rPr>
          <w:rFonts w:cs="Arial"/>
          <w:b/>
        </w:rPr>
        <w:t>Programme 25 : ressources par résultat</w:t>
      </w:r>
    </w:p>
    <w:p w:rsidR="00F93B76" w:rsidRPr="00A32AF4" w:rsidRDefault="008A20BF" w:rsidP="00DC0553">
      <w:pPr>
        <w:keepNext/>
        <w:keepLines/>
        <w:autoSpaceDE w:val="0"/>
        <w:autoSpaceDN w:val="0"/>
        <w:jc w:val="center"/>
        <w:rPr>
          <w:rFonts w:cs="Arial"/>
          <w:i/>
        </w:rPr>
      </w:pPr>
      <w:r w:rsidRPr="00A32AF4">
        <w:rPr>
          <w:rFonts w:cs="Arial"/>
          <w:i/>
        </w:rPr>
        <w:t>(</w:t>
      </w:r>
      <w:proofErr w:type="gramStart"/>
      <w:r w:rsidRPr="00A32AF4">
        <w:rPr>
          <w:rFonts w:cs="Arial"/>
          <w:i/>
        </w:rPr>
        <w:t>en</w:t>
      </w:r>
      <w:proofErr w:type="gramEnd"/>
      <w:r w:rsidRPr="00A32AF4">
        <w:rPr>
          <w:rFonts w:cs="Arial"/>
          <w:i/>
        </w:rPr>
        <w:t xml:space="preserve"> milliers de francs suisses)</w:t>
      </w:r>
    </w:p>
    <w:p w:rsidR="008A20BF" w:rsidRPr="00A32AF4" w:rsidRDefault="008A20BF" w:rsidP="00DC0553">
      <w:pPr>
        <w:keepNext/>
      </w:pPr>
    </w:p>
    <w:tbl>
      <w:tblPr>
        <w:tblW w:w="8980" w:type="dxa"/>
        <w:tblInd w:w="55" w:type="dxa"/>
        <w:tblCellMar>
          <w:left w:w="70" w:type="dxa"/>
          <w:right w:w="70" w:type="dxa"/>
        </w:tblCellMar>
        <w:tblLook w:val="04A0" w:firstRow="1" w:lastRow="0" w:firstColumn="1" w:lastColumn="0" w:noHBand="0" w:noVBand="1"/>
      </w:tblPr>
      <w:tblGrid>
        <w:gridCol w:w="513"/>
        <w:gridCol w:w="4507"/>
        <w:gridCol w:w="1260"/>
        <w:gridCol w:w="1440"/>
        <w:gridCol w:w="1260"/>
      </w:tblGrid>
      <w:tr w:rsidR="008A20BF" w:rsidRPr="00A32AF4" w:rsidTr="008A20BF">
        <w:tc>
          <w:tcPr>
            <w:tcW w:w="5020" w:type="dxa"/>
            <w:gridSpan w:val="2"/>
            <w:tcBorders>
              <w:top w:val="single" w:sz="4" w:space="0" w:color="auto"/>
              <w:left w:val="single" w:sz="4" w:space="0" w:color="auto"/>
              <w:bottom w:val="single" w:sz="4" w:space="0" w:color="auto"/>
              <w:right w:val="single" w:sz="4" w:space="0" w:color="000000"/>
            </w:tcBorders>
            <w:shd w:val="clear" w:color="000000" w:fill="C5D9F1"/>
            <w:noWrap/>
            <w:tcMar>
              <w:top w:w="113" w:type="dxa"/>
              <w:bottom w:w="113" w:type="dxa"/>
            </w:tcMar>
            <w:vAlign w:val="center"/>
            <w:hideMark/>
          </w:tcPr>
          <w:p w:rsidR="008A20BF" w:rsidRPr="00A32AF4" w:rsidRDefault="008A20BF" w:rsidP="00DC0553">
            <w:pPr>
              <w:jc w:val="center"/>
              <w:rPr>
                <w:rFonts w:cs="Arial"/>
                <w:i/>
                <w:iCs/>
                <w:sz w:val="16"/>
                <w:szCs w:val="16"/>
                <w:lang w:eastAsia="fr-FR"/>
              </w:rPr>
            </w:pPr>
            <w:r w:rsidRPr="00A32AF4">
              <w:rPr>
                <w:rFonts w:cs="Arial"/>
                <w:i/>
                <w:iCs/>
                <w:sz w:val="16"/>
                <w:szCs w:val="16"/>
                <w:lang w:eastAsia="fr-FR"/>
              </w:rPr>
              <w:t xml:space="preserve">Numéro et description du résultat escompté </w:t>
            </w:r>
          </w:p>
        </w:tc>
        <w:tc>
          <w:tcPr>
            <w:tcW w:w="126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8A20BF" w:rsidRPr="00A32AF4" w:rsidRDefault="008A20BF" w:rsidP="00DC0553">
            <w:pPr>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2014</w:t>
            </w:r>
            <w:r w:rsidR="00EB7F54" w:rsidRPr="00A32AF4">
              <w:rPr>
                <w:rFonts w:cs="Arial"/>
                <w:i/>
                <w:iCs/>
                <w:sz w:val="16"/>
                <w:szCs w:val="16"/>
                <w:lang w:eastAsia="fr-FR"/>
              </w:rPr>
              <w:noBreakHyphen/>
            </w:r>
            <w:r w:rsidRPr="00A32AF4">
              <w:rPr>
                <w:rFonts w:cs="Arial"/>
                <w:i/>
                <w:iCs/>
                <w:sz w:val="16"/>
                <w:szCs w:val="16"/>
                <w:lang w:eastAsia="fr-FR"/>
              </w:rPr>
              <w:t>2015 approuvé</w:t>
            </w:r>
          </w:p>
        </w:tc>
        <w:tc>
          <w:tcPr>
            <w:tcW w:w="144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8A20BF" w:rsidRPr="00A32AF4" w:rsidRDefault="008A20BF" w:rsidP="00DC0553">
            <w:pPr>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2014</w:t>
            </w:r>
            <w:r w:rsidR="00EB7F54" w:rsidRPr="00A32AF4">
              <w:rPr>
                <w:rFonts w:cs="Arial"/>
                <w:i/>
                <w:iCs/>
                <w:sz w:val="16"/>
                <w:szCs w:val="16"/>
                <w:lang w:eastAsia="fr-FR"/>
              </w:rPr>
              <w:noBreakHyphen/>
            </w:r>
            <w:r w:rsidRPr="00A32AF4">
              <w:rPr>
                <w:rFonts w:cs="Arial"/>
                <w:i/>
                <w:iCs/>
                <w:sz w:val="16"/>
                <w:szCs w:val="16"/>
                <w:lang w:eastAsia="fr-FR"/>
              </w:rPr>
              <w:t>2015 après virements</w:t>
            </w:r>
          </w:p>
        </w:tc>
        <w:tc>
          <w:tcPr>
            <w:tcW w:w="126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8A20BF" w:rsidRPr="00A32AF4" w:rsidRDefault="008A20BF" w:rsidP="00DC0553">
            <w:pPr>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2016</w:t>
            </w:r>
            <w:r w:rsidR="00EB7F54" w:rsidRPr="00A32AF4">
              <w:rPr>
                <w:rFonts w:cs="Arial"/>
                <w:i/>
                <w:iCs/>
                <w:sz w:val="16"/>
                <w:szCs w:val="16"/>
                <w:lang w:eastAsia="fr-FR"/>
              </w:rPr>
              <w:noBreakHyphen/>
            </w:r>
            <w:r w:rsidRPr="00A32AF4">
              <w:rPr>
                <w:rFonts w:cs="Arial"/>
                <w:i/>
                <w:iCs/>
                <w:sz w:val="16"/>
                <w:szCs w:val="16"/>
                <w:lang w:eastAsia="fr-FR"/>
              </w:rPr>
              <w:t>2017 proposé</w:t>
            </w:r>
          </w:p>
        </w:tc>
      </w:tr>
      <w:tr w:rsidR="008A20BF" w:rsidRPr="00A32AF4" w:rsidTr="008A20BF">
        <w:tc>
          <w:tcPr>
            <w:tcW w:w="513" w:type="dxa"/>
            <w:tcBorders>
              <w:top w:val="nil"/>
              <w:left w:val="single" w:sz="4" w:space="0" w:color="auto"/>
              <w:bottom w:val="nil"/>
              <w:right w:val="nil"/>
            </w:tcBorders>
            <w:shd w:val="clear" w:color="auto" w:fill="auto"/>
            <w:noWrap/>
            <w:tcMar>
              <w:top w:w="113" w:type="dxa"/>
              <w:bottom w:w="113" w:type="dxa"/>
            </w:tcMar>
            <w:vAlign w:val="center"/>
            <w:hideMark/>
          </w:tcPr>
          <w:p w:rsidR="008A20BF" w:rsidRPr="00A32AF4" w:rsidRDefault="008A20BF" w:rsidP="00DC0553">
            <w:pPr>
              <w:rPr>
                <w:rFonts w:cs="Arial"/>
                <w:sz w:val="16"/>
                <w:szCs w:val="16"/>
                <w:lang w:eastAsia="fr-FR"/>
              </w:rPr>
            </w:pPr>
            <w:r w:rsidRPr="00A32AF4">
              <w:rPr>
                <w:rFonts w:cs="Arial"/>
                <w:sz w:val="16"/>
                <w:szCs w:val="16"/>
                <w:lang w:eastAsia="fr-FR"/>
              </w:rPr>
              <w:t>IX.1</w:t>
            </w:r>
          </w:p>
        </w:tc>
        <w:tc>
          <w:tcPr>
            <w:tcW w:w="4507" w:type="dxa"/>
            <w:tcBorders>
              <w:top w:val="nil"/>
              <w:left w:val="nil"/>
              <w:bottom w:val="nil"/>
              <w:right w:val="nil"/>
            </w:tcBorders>
            <w:shd w:val="clear" w:color="auto" w:fill="auto"/>
            <w:tcMar>
              <w:top w:w="113" w:type="dxa"/>
              <w:bottom w:w="113" w:type="dxa"/>
            </w:tcMar>
            <w:vAlign w:val="center"/>
            <w:hideMark/>
          </w:tcPr>
          <w:p w:rsidR="008A20BF" w:rsidRPr="00A32AF4" w:rsidRDefault="008A20BF" w:rsidP="00DC0553">
            <w:pPr>
              <w:rPr>
                <w:rFonts w:cs="Arial"/>
                <w:sz w:val="16"/>
                <w:szCs w:val="16"/>
                <w:lang w:eastAsia="fr-FR"/>
              </w:rPr>
            </w:pPr>
            <w:r w:rsidRPr="00A32AF4">
              <w:rPr>
                <w:rFonts w:cs="Arial"/>
                <w:sz w:val="16"/>
                <w:szCs w:val="16"/>
                <w:lang w:eastAsia="fr-FR"/>
              </w:rPr>
              <w:t>Services d</w:t>
            </w:r>
            <w:r w:rsidR="00E2055A" w:rsidRPr="00A32AF4">
              <w:rPr>
                <w:rFonts w:cs="Arial"/>
                <w:sz w:val="16"/>
                <w:szCs w:val="16"/>
                <w:lang w:eastAsia="fr-FR"/>
              </w:rPr>
              <w:t>’</w:t>
            </w:r>
            <w:r w:rsidRPr="00A32AF4">
              <w:rPr>
                <w:rFonts w:cs="Arial"/>
                <w:sz w:val="16"/>
                <w:szCs w:val="16"/>
                <w:lang w:eastAsia="fr-FR"/>
              </w:rPr>
              <w:t>appui efficaces, efficients, de qualité et tournés vers la clientèle, à l</w:t>
            </w:r>
            <w:r w:rsidR="00E2055A" w:rsidRPr="00A32AF4">
              <w:rPr>
                <w:rFonts w:cs="Arial"/>
                <w:sz w:val="16"/>
                <w:szCs w:val="16"/>
                <w:lang w:eastAsia="fr-FR"/>
              </w:rPr>
              <w:t>’</w:t>
            </w:r>
            <w:r w:rsidRPr="00A32AF4">
              <w:rPr>
                <w:rFonts w:cs="Arial"/>
                <w:sz w:val="16"/>
                <w:szCs w:val="16"/>
                <w:lang w:eastAsia="fr-FR"/>
              </w:rPr>
              <w:t>intention à la fois des clients internes et des parties prenantes externes</w:t>
            </w:r>
          </w:p>
        </w:tc>
        <w:tc>
          <w:tcPr>
            <w:tcW w:w="1260" w:type="dxa"/>
            <w:tcBorders>
              <w:top w:val="nil"/>
              <w:left w:val="nil"/>
              <w:bottom w:val="nil"/>
              <w:right w:val="nil"/>
            </w:tcBorders>
            <w:shd w:val="clear" w:color="auto" w:fill="auto"/>
            <w:tcMar>
              <w:top w:w="113" w:type="dxa"/>
              <w:bottom w:w="113" w:type="dxa"/>
            </w:tcMar>
            <w:vAlign w:val="center"/>
            <w:hideMark/>
          </w:tcPr>
          <w:p w:rsidR="008A20BF" w:rsidRPr="00A32AF4" w:rsidRDefault="008A20BF" w:rsidP="00DC0553">
            <w:pPr>
              <w:jc w:val="right"/>
              <w:rPr>
                <w:rFonts w:cs="Arial"/>
                <w:sz w:val="16"/>
                <w:szCs w:val="16"/>
                <w:lang w:eastAsia="fr-FR"/>
              </w:rPr>
            </w:pPr>
            <w:r w:rsidRPr="00A32AF4">
              <w:rPr>
                <w:rFonts w:cs="Arial"/>
                <w:sz w:val="16"/>
                <w:szCs w:val="16"/>
                <w:lang w:eastAsia="fr-FR"/>
              </w:rPr>
              <w:t>43</w:t>
            </w:r>
            <w:r w:rsidR="00FD43E3" w:rsidRPr="00A32AF4">
              <w:rPr>
                <w:rFonts w:cs="Arial"/>
                <w:sz w:val="16"/>
                <w:szCs w:val="16"/>
                <w:lang w:eastAsia="fr-FR"/>
              </w:rPr>
              <w:t> </w:t>
            </w:r>
            <w:r w:rsidRPr="00A32AF4">
              <w:rPr>
                <w:rFonts w:cs="Arial"/>
                <w:sz w:val="16"/>
                <w:szCs w:val="16"/>
                <w:lang w:eastAsia="fr-FR"/>
              </w:rPr>
              <w:t xml:space="preserve">549 </w:t>
            </w:r>
          </w:p>
        </w:tc>
        <w:tc>
          <w:tcPr>
            <w:tcW w:w="1440" w:type="dxa"/>
            <w:tcBorders>
              <w:top w:val="nil"/>
              <w:left w:val="nil"/>
              <w:bottom w:val="nil"/>
              <w:right w:val="nil"/>
            </w:tcBorders>
            <w:shd w:val="clear" w:color="auto" w:fill="auto"/>
            <w:tcMar>
              <w:top w:w="113" w:type="dxa"/>
              <w:bottom w:w="113" w:type="dxa"/>
            </w:tcMar>
            <w:vAlign w:val="center"/>
            <w:hideMark/>
          </w:tcPr>
          <w:p w:rsidR="008A20BF" w:rsidRPr="00A32AF4" w:rsidRDefault="008A20BF" w:rsidP="00DC0553">
            <w:pPr>
              <w:jc w:val="right"/>
              <w:rPr>
                <w:rFonts w:cs="Arial"/>
                <w:sz w:val="16"/>
                <w:szCs w:val="16"/>
                <w:lang w:eastAsia="fr-FR"/>
              </w:rPr>
            </w:pPr>
            <w:r w:rsidRPr="00A32AF4">
              <w:rPr>
                <w:rFonts w:cs="Arial"/>
                <w:sz w:val="16"/>
                <w:szCs w:val="16"/>
                <w:lang w:eastAsia="fr-FR"/>
              </w:rPr>
              <w:t>44</w:t>
            </w:r>
            <w:r w:rsidR="00FD43E3" w:rsidRPr="00A32AF4">
              <w:rPr>
                <w:rFonts w:cs="Arial"/>
                <w:sz w:val="16"/>
                <w:szCs w:val="16"/>
                <w:lang w:eastAsia="fr-FR"/>
              </w:rPr>
              <w:t> </w:t>
            </w:r>
            <w:r w:rsidRPr="00A32AF4">
              <w:rPr>
                <w:rFonts w:cs="Arial"/>
                <w:sz w:val="16"/>
                <w:szCs w:val="16"/>
                <w:lang w:eastAsia="fr-FR"/>
              </w:rPr>
              <w:t xml:space="preserve">448 </w:t>
            </w:r>
          </w:p>
        </w:tc>
        <w:tc>
          <w:tcPr>
            <w:tcW w:w="1260" w:type="dxa"/>
            <w:tcBorders>
              <w:top w:val="nil"/>
              <w:left w:val="nil"/>
              <w:bottom w:val="nil"/>
              <w:right w:val="single" w:sz="4" w:space="0" w:color="auto"/>
            </w:tcBorders>
            <w:shd w:val="clear" w:color="auto" w:fill="auto"/>
            <w:noWrap/>
            <w:tcMar>
              <w:top w:w="113" w:type="dxa"/>
              <w:bottom w:w="113" w:type="dxa"/>
            </w:tcMar>
            <w:vAlign w:val="center"/>
            <w:hideMark/>
          </w:tcPr>
          <w:p w:rsidR="008A20BF" w:rsidRPr="00A32AF4" w:rsidRDefault="008A20BF" w:rsidP="00DC0553">
            <w:pPr>
              <w:jc w:val="right"/>
              <w:rPr>
                <w:rFonts w:cs="Arial"/>
                <w:color w:val="000000"/>
                <w:sz w:val="16"/>
                <w:szCs w:val="16"/>
                <w:lang w:eastAsia="fr-FR"/>
              </w:rPr>
            </w:pPr>
            <w:r w:rsidRPr="00A32AF4">
              <w:rPr>
                <w:rFonts w:cs="Arial"/>
                <w:color w:val="000000"/>
                <w:sz w:val="16"/>
                <w:szCs w:val="16"/>
                <w:lang w:eastAsia="fr-FR"/>
              </w:rPr>
              <w:t>51</w:t>
            </w:r>
            <w:r w:rsidR="00FD43E3" w:rsidRPr="00A32AF4">
              <w:rPr>
                <w:rFonts w:cs="Arial"/>
                <w:color w:val="000000"/>
                <w:sz w:val="16"/>
                <w:szCs w:val="16"/>
                <w:lang w:eastAsia="fr-FR"/>
              </w:rPr>
              <w:t> </w:t>
            </w:r>
            <w:r w:rsidRPr="00A32AF4">
              <w:rPr>
                <w:rFonts w:cs="Arial"/>
                <w:color w:val="000000"/>
                <w:sz w:val="16"/>
                <w:szCs w:val="16"/>
                <w:lang w:eastAsia="fr-FR"/>
              </w:rPr>
              <w:t xml:space="preserve">480 </w:t>
            </w:r>
          </w:p>
        </w:tc>
      </w:tr>
      <w:tr w:rsidR="008A20BF" w:rsidRPr="00A32AF4" w:rsidTr="008A20BF">
        <w:tc>
          <w:tcPr>
            <w:tcW w:w="513" w:type="dxa"/>
            <w:tcBorders>
              <w:top w:val="nil"/>
              <w:left w:val="single" w:sz="4" w:space="0" w:color="auto"/>
              <w:bottom w:val="nil"/>
              <w:right w:val="nil"/>
            </w:tcBorders>
            <w:shd w:val="clear" w:color="auto" w:fill="auto"/>
            <w:noWrap/>
            <w:tcMar>
              <w:top w:w="113" w:type="dxa"/>
              <w:bottom w:w="113" w:type="dxa"/>
            </w:tcMar>
            <w:vAlign w:val="center"/>
            <w:hideMark/>
          </w:tcPr>
          <w:p w:rsidR="008A20BF" w:rsidRPr="00A32AF4" w:rsidRDefault="008A20BF" w:rsidP="00DC0553">
            <w:pPr>
              <w:rPr>
                <w:rFonts w:cs="Arial"/>
                <w:sz w:val="16"/>
                <w:szCs w:val="16"/>
                <w:lang w:eastAsia="fr-FR"/>
              </w:rPr>
            </w:pPr>
            <w:r w:rsidRPr="00A32AF4">
              <w:rPr>
                <w:rFonts w:cs="Arial"/>
                <w:sz w:val="16"/>
                <w:szCs w:val="16"/>
                <w:lang w:eastAsia="fr-FR"/>
              </w:rPr>
              <w:t>IX.4</w:t>
            </w:r>
          </w:p>
        </w:tc>
        <w:tc>
          <w:tcPr>
            <w:tcW w:w="4507" w:type="dxa"/>
            <w:tcBorders>
              <w:top w:val="nil"/>
              <w:left w:val="nil"/>
              <w:bottom w:val="nil"/>
              <w:right w:val="nil"/>
            </w:tcBorders>
            <w:shd w:val="clear" w:color="auto" w:fill="auto"/>
            <w:tcMar>
              <w:top w:w="113" w:type="dxa"/>
              <w:bottom w:w="113" w:type="dxa"/>
            </w:tcMar>
            <w:vAlign w:val="center"/>
            <w:hideMark/>
          </w:tcPr>
          <w:p w:rsidR="008A20BF" w:rsidRPr="00A32AF4" w:rsidRDefault="008A20BF" w:rsidP="00DC0553">
            <w:pPr>
              <w:rPr>
                <w:rFonts w:cs="Arial"/>
                <w:sz w:val="16"/>
                <w:szCs w:val="16"/>
                <w:lang w:eastAsia="fr-FR"/>
              </w:rPr>
            </w:pPr>
            <w:r w:rsidRPr="00A32AF4">
              <w:rPr>
                <w:rFonts w:cs="Arial"/>
                <w:sz w:val="16"/>
                <w:szCs w:val="16"/>
                <w:lang w:eastAsia="fr-FR"/>
              </w:rPr>
              <w:t>Une Organisation écologiquement et socialement responsable assurant la sûreté et la sécurité du personnel, des délégués, des visiteurs, de l</w:t>
            </w:r>
            <w:r w:rsidR="00E2055A" w:rsidRPr="00A32AF4">
              <w:rPr>
                <w:rFonts w:cs="Arial"/>
                <w:sz w:val="16"/>
                <w:szCs w:val="16"/>
                <w:lang w:eastAsia="fr-FR"/>
              </w:rPr>
              <w:t>’</w:t>
            </w:r>
            <w:r w:rsidRPr="00A32AF4">
              <w:rPr>
                <w:rFonts w:cs="Arial"/>
                <w:sz w:val="16"/>
                <w:szCs w:val="16"/>
                <w:lang w:eastAsia="fr-FR"/>
              </w:rPr>
              <w:t>information et des biens</w:t>
            </w:r>
          </w:p>
        </w:tc>
        <w:tc>
          <w:tcPr>
            <w:tcW w:w="1260" w:type="dxa"/>
            <w:tcBorders>
              <w:top w:val="nil"/>
              <w:left w:val="nil"/>
              <w:bottom w:val="nil"/>
              <w:right w:val="nil"/>
            </w:tcBorders>
            <w:shd w:val="clear" w:color="auto" w:fill="auto"/>
            <w:tcMar>
              <w:top w:w="113" w:type="dxa"/>
              <w:bottom w:w="113" w:type="dxa"/>
            </w:tcMar>
            <w:vAlign w:val="center"/>
            <w:hideMark/>
          </w:tcPr>
          <w:p w:rsidR="008A20BF" w:rsidRPr="00A32AF4" w:rsidRDefault="008A20BF" w:rsidP="00DC0553">
            <w:pPr>
              <w:jc w:val="right"/>
              <w:rPr>
                <w:rFonts w:cs="Arial"/>
                <w:sz w:val="16"/>
                <w:szCs w:val="16"/>
                <w:lang w:eastAsia="fr-FR"/>
              </w:rPr>
            </w:pPr>
            <w:r w:rsidRPr="00A32AF4">
              <w:rPr>
                <w:rFonts w:cs="Arial"/>
                <w:sz w:val="16"/>
                <w:szCs w:val="16"/>
                <w:lang w:eastAsia="fr-FR"/>
              </w:rPr>
              <w:t xml:space="preserve">1 720 </w:t>
            </w:r>
          </w:p>
        </w:tc>
        <w:tc>
          <w:tcPr>
            <w:tcW w:w="1440" w:type="dxa"/>
            <w:tcBorders>
              <w:top w:val="nil"/>
              <w:left w:val="nil"/>
              <w:bottom w:val="nil"/>
              <w:right w:val="nil"/>
            </w:tcBorders>
            <w:shd w:val="clear" w:color="auto" w:fill="auto"/>
            <w:tcMar>
              <w:top w:w="113" w:type="dxa"/>
              <w:bottom w:w="113" w:type="dxa"/>
            </w:tcMar>
            <w:vAlign w:val="center"/>
            <w:hideMark/>
          </w:tcPr>
          <w:p w:rsidR="008A20BF" w:rsidRPr="00A32AF4" w:rsidRDefault="008A20BF" w:rsidP="00DC0553">
            <w:pPr>
              <w:jc w:val="right"/>
              <w:rPr>
                <w:rFonts w:cs="Arial"/>
                <w:sz w:val="16"/>
                <w:szCs w:val="16"/>
                <w:lang w:eastAsia="fr-FR"/>
              </w:rPr>
            </w:pPr>
            <w:r w:rsidRPr="00A32AF4">
              <w:rPr>
                <w:rFonts w:cs="Arial"/>
                <w:sz w:val="16"/>
                <w:szCs w:val="16"/>
                <w:lang w:eastAsia="fr-FR"/>
              </w:rPr>
              <w:t xml:space="preserve">1 897 </w:t>
            </w:r>
          </w:p>
        </w:tc>
        <w:tc>
          <w:tcPr>
            <w:tcW w:w="1260" w:type="dxa"/>
            <w:tcBorders>
              <w:top w:val="nil"/>
              <w:left w:val="nil"/>
              <w:bottom w:val="single" w:sz="4" w:space="0" w:color="auto"/>
              <w:right w:val="single" w:sz="4" w:space="0" w:color="auto"/>
            </w:tcBorders>
            <w:shd w:val="clear" w:color="auto" w:fill="auto"/>
            <w:tcMar>
              <w:top w:w="113" w:type="dxa"/>
              <w:bottom w:w="113" w:type="dxa"/>
            </w:tcMar>
            <w:vAlign w:val="center"/>
            <w:hideMark/>
          </w:tcPr>
          <w:p w:rsidR="008A20BF" w:rsidRPr="00A32AF4" w:rsidRDefault="008A20BF" w:rsidP="00DC0553">
            <w:pPr>
              <w:jc w:val="right"/>
              <w:rPr>
                <w:rFonts w:cs="Arial"/>
                <w:sz w:val="16"/>
                <w:szCs w:val="16"/>
                <w:lang w:eastAsia="fr-FR"/>
              </w:rPr>
            </w:pPr>
            <w:r w:rsidRPr="00A32AF4">
              <w:rPr>
                <w:rFonts w:cs="Arial"/>
                <w:sz w:val="16"/>
                <w:szCs w:val="16"/>
                <w:lang w:eastAsia="fr-FR"/>
              </w:rPr>
              <w:t xml:space="preserve">552 </w:t>
            </w:r>
          </w:p>
        </w:tc>
      </w:tr>
      <w:tr w:rsidR="008A20BF" w:rsidRPr="00A32AF4" w:rsidTr="008A20BF">
        <w:tc>
          <w:tcPr>
            <w:tcW w:w="513" w:type="dxa"/>
            <w:tcBorders>
              <w:top w:val="single" w:sz="4" w:space="0" w:color="auto"/>
              <w:left w:val="single" w:sz="4" w:space="0" w:color="auto"/>
              <w:bottom w:val="single" w:sz="4" w:space="0" w:color="auto"/>
              <w:right w:val="nil"/>
            </w:tcBorders>
            <w:shd w:val="clear" w:color="000000" w:fill="C5D9F1"/>
            <w:noWrap/>
            <w:tcMar>
              <w:top w:w="113" w:type="dxa"/>
              <w:bottom w:w="113" w:type="dxa"/>
            </w:tcMar>
            <w:vAlign w:val="bottom"/>
            <w:hideMark/>
          </w:tcPr>
          <w:p w:rsidR="008A20BF" w:rsidRPr="00A32AF4" w:rsidRDefault="008A20BF" w:rsidP="00DC0553">
            <w:pPr>
              <w:rPr>
                <w:rFonts w:cs="Arial"/>
                <w:sz w:val="16"/>
                <w:szCs w:val="16"/>
                <w:lang w:eastAsia="fr-FR"/>
              </w:rPr>
            </w:pPr>
            <w:r w:rsidRPr="00A32AF4">
              <w:rPr>
                <w:rFonts w:cs="Arial"/>
                <w:sz w:val="16"/>
                <w:szCs w:val="16"/>
                <w:lang w:eastAsia="fr-FR"/>
              </w:rPr>
              <w:t> </w:t>
            </w:r>
          </w:p>
        </w:tc>
        <w:tc>
          <w:tcPr>
            <w:tcW w:w="4507"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8A20BF" w:rsidRPr="00A32AF4" w:rsidRDefault="008A20BF" w:rsidP="00DC0553">
            <w:pPr>
              <w:rPr>
                <w:rFonts w:cs="Arial"/>
                <w:b/>
                <w:bCs/>
                <w:sz w:val="16"/>
                <w:szCs w:val="16"/>
                <w:lang w:eastAsia="fr-FR"/>
              </w:rPr>
            </w:pPr>
            <w:r w:rsidRPr="00A32AF4">
              <w:rPr>
                <w:rFonts w:cs="Arial"/>
                <w:b/>
                <w:bCs/>
                <w:sz w:val="16"/>
                <w:szCs w:val="16"/>
                <w:lang w:eastAsia="fr-FR"/>
              </w:rPr>
              <w:t>Total</w:t>
            </w:r>
          </w:p>
        </w:tc>
        <w:tc>
          <w:tcPr>
            <w:tcW w:w="1260"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8A20BF" w:rsidRPr="00A32AF4" w:rsidRDefault="008A20BF" w:rsidP="00DC0553">
            <w:pPr>
              <w:jc w:val="right"/>
              <w:rPr>
                <w:rFonts w:cs="Arial"/>
                <w:b/>
                <w:bCs/>
                <w:sz w:val="16"/>
                <w:szCs w:val="16"/>
                <w:lang w:eastAsia="fr-FR"/>
              </w:rPr>
            </w:pPr>
            <w:r w:rsidRPr="00A32AF4">
              <w:rPr>
                <w:rFonts w:cs="Arial"/>
                <w:b/>
                <w:bCs/>
                <w:sz w:val="16"/>
                <w:szCs w:val="16"/>
                <w:lang w:eastAsia="fr-FR"/>
              </w:rPr>
              <w:t>45</w:t>
            </w:r>
            <w:r w:rsidR="00FD43E3" w:rsidRPr="00A32AF4">
              <w:rPr>
                <w:rFonts w:cs="Arial"/>
                <w:b/>
                <w:bCs/>
                <w:sz w:val="16"/>
                <w:szCs w:val="16"/>
                <w:lang w:eastAsia="fr-FR"/>
              </w:rPr>
              <w:t> </w:t>
            </w:r>
            <w:r w:rsidRPr="00A32AF4">
              <w:rPr>
                <w:rFonts w:cs="Arial"/>
                <w:b/>
                <w:bCs/>
                <w:sz w:val="16"/>
                <w:szCs w:val="16"/>
                <w:lang w:eastAsia="fr-FR"/>
              </w:rPr>
              <w:t xml:space="preserve">269 </w:t>
            </w:r>
          </w:p>
        </w:tc>
        <w:tc>
          <w:tcPr>
            <w:tcW w:w="1440"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8A20BF" w:rsidRPr="00A32AF4" w:rsidRDefault="008A20BF" w:rsidP="00DC0553">
            <w:pPr>
              <w:jc w:val="right"/>
              <w:rPr>
                <w:rFonts w:cs="Arial"/>
                <w:b/>
                <w:bCs/>
                <w:sz w:val="16"/>
                <w:szCs w:val="16"/>
                <w:lang w:eastAsia="fr-FR"/>
              </w:rPr>
            </w:pPr>
            <w:r w:rsidRPr="00A32AF4">
              <w:rPr>
                <w:rFonts w:cs="Arial"/>
                <w:b/>
                <w:bCs/>
                <w:sz w:val="16"/>
                <w:szCs w:val="16"/>
                <w:lang w:eastAsia="fr-FR"/>
              </w:rPr>
              <w:t>46</w:t>
            </w:r>
            <w:r w:rsidR="00FD43E3" w:rsidRPr="00A32AF4">
              <w:rPr>
                <w:rFonts w:cs="Arial"/>
                <w:b/>
                <w:bCs/>
                <w:sz w:val="16"/>
                <w:szCs w:val="16"/>
                <w:lang w:eastAsia="fr-FR"/>
              </w:rPr>
              <w:t> </w:t>
            </w:r>
            <w:r w:rsidRPr="00A32AF4">
              <w:rPr>
                <w:rFonts w:cs="Arial"/>
                <w:b/>
                <w:bCs/>
                <w:sz w:val="16"/>
                <w:szCs w:val="16"/>
                <w:lang w:eastAsia="fr-FR"/>
              </w:rPr>
              <w:t xml:space="preserve">345 </w:t>
            </w:r>
          </w:p>
        </w:tc>
        <w:tc>
          <w:tcPr>
            <w:tcW w:w="1260" w:type="dxa"/>
            <w:tcBorders>
              <w:top w:val="nil"/>
              <w:left w:val="nil"/>
              <w:bottom w:val="single" w:sz="4" w:space="0" w:color="auto"/>
              <w:right w:val="single" w:sz="4" w:space="0" w:color="auto"/>
            </w:tcBorders>
            <w:shd w:val="clear" w:color="000000" w:fill="C5D9F1"/>
            <w:noWrap/>
            <w:tcMar>
              <w:top w:w="113" w:type="dxa"/>
              <w:bottom w:w="113" w:type="dxa"/>
            </w:tcMar>
            <w:vAlign w:val="bottom"/>
            <w:hideMark/>
          </w:tcPr>
          <w:p w:rsidR="008A20BF" w:rsidRPr="00A32AF4" w:rsidRDefault="008A20BF" w:rsidP="00DC0553">
            <w:pPr>
              <w:jc w:val="right"/>
              <w:rPr>
                <w:rFonts w:cs="Arial"/>
                <w:b/>
                <w:bCs/>
                <w:sz w:val="16"/>
                <w:szCs w:val="16"/>
                <w:lang w:eastAsia="fr-FR"/>
              </w:rPr>
            </w:pPr>
            <w:r w:rsidRPr="00A32AF4">
              <w:rPr>
                <w:rFonts w:cs="Arial"/>
                <w:b/>
                <w:bCs/>
                <w:sz w:val="16"/>
                <w:szCs w:val="16"/>
                <w:lang w:eastAsia="fr-FR"/>
              </w:rPr>
              <w:t>52</w:t>
            </w:r>
            <w:r w:rsidR="00FD43E3" w:rsidRPr="00A32AF4">
              <w:rPr>
                <w:rFonts w:cs="Arial"/>
                <w:b/>
                <w:bCs/>
                <w:sz w:val="16"/>
                <w:szCs w:val="16"/>
                <w:lang w:eastAsia="fr-FR"/>
              </w:rPr>
              <w:t> </w:t>
            </w:r>
            <w:r w:rsidRPr="00A32AF4">
              <w:rPr>
                <w:rFonts w:cs="Arial"/>
                <w:b/>
                <w:bCs/>
                <w:sz w:val="16"/>
                <w:szCs w:val="16"/>
                <w:lang w:eastAsia="fr-FR"/>
              </w:rPr>
              <w:t xml:space="preserve">032 </w:t>
            </w:r>
          </w:p>
        </w:tc>
      </w:tr>
    </w:tbl>
    <w:p w:rsidR="00F93B76" w:rsidRPr="00A32AF4" w:rsidRDefault="00F93B76" w:rsidP="00DC0553"/>
    <w:p w:rsidR="00F93B76" w:rsidRPr="00A32AF4" w:rsidRDefault="00F93B76" w:rsidP="00DC0553"/>
    <w:p w:rsidR="00F93B76" w:rsidRPr="00A32AF4" w:rsidRDefault="00F93B76" w:rsidP="00DC0553"/>
    <w:p w:rsidR="00F93B76" w:rsidRPr="00A32AF4" w:rsidRDefault="008A20BF" w:rsidP="00DC0553">
      <w:pPr>
        <w:keepNext/>
        <w:keepLines/>
        <w:autoSpaceDE w:val="0"/>
        <w:autoSpaceDN w:val="0"/>
        <w:jc w:val="center"/>
        <w:rPr>
          <w:rFonts w:cs="Arial"/>
          <w:b/>
        </w:rPr>
      </w:pPr>
      <w:r w:rsidRPr="00A32AF4">
        <w:rPr>
          <w:rFonts w:cs="Arial"/>
          <w:b/>
        </w:rPr>
        <w:t>Programme 25 : ressources par objet de dépense</w:t>
      </w:r>
    </w:p>
    <w:p w:rsidR="00F93B76" w:rsidRPr="00A32AF4" w:rsidRDefault="008A20BF" w:rsidP="00DC0553">
      <w:pPr>
        <w:keepNext/>
        <w:keepLines/>
        <w:autoSpaceDE w:val="0"/>
        <w:autoSpaceDN w:val="0"/>
        <w:jc w:val="center"/>
        <w:rPr>
          <w:rFonts w:cs="Arial"/>
          <w:i/>
        </w:rPr>
      </w:pPr>
      <w:r w:rsidRPr="00A32AF4">
        <w:rPr>
          <w:rFonts w:cs="Arial"/>
          <w:i/>
        </w:rPr>
        <w:t>(</w:t>
      </w:r>
      <w:proofErr w:type="gramStart"/>
      <w:r w:rsidRPr="00A32AF4">
        <w:rPr>
          <w:rFonts w:cs="Arial"/>
          <w:i/>
        </w:rPr>
        <w:t>en</w:t>
      </w:r>
      <w:proofErr w:type="gramEnd"/>
      <w:r w:rsidRPr="00A32AF4">
        <w:rPr>
          <w:rFonts w:cs="Arial"/>
          <w:i/>
        </w:rPr>
        <w:t xml:space="preserve"> milliers de francs suisses)</w:t>
      </w:r>
    </w:p>
    <w:p w:rsidR="00F93B76" w:rsidRPr="00A32AF4" w:rsidRDefault="00F93B76" w:rsidP="00DC0553">
      <w:pPr>
        <w:keepNext/>
        <w:rPr>
          <w:rFonts w:eastAsia="SimSun"/>
        </w:rPr>
      </w:pPr>
    </w:p>
    <w:p w:rsidR="00F93B76" w:rsidRPr="00A32AF4" w:rsidRDefault="005240BB" w:rsidP="00DC0553">
      <w:pPr>
        <w:rPr>
          <w:rFonts w:eastAsia="SimSun"/>
        </w:rPr>
      </w:pPr>
      <w:r w:rsidRPr="00A32AF4">
        <w:rPr>
          <w:rFonts w:eastAsia="SimSun"/>
          <w:noProof/>
          <w:lang w:eastAsia="fr-FR"/>
        </w:rPr>
        <w:drawing>
          <wp:inline distT="0" distB="0" distL="0" distR="0" wp14:anchorId="791485ED" wp14:editId="2362C784">
            <wp:extent cx="5514340" cy="6553200"/>
            <wp:effectExtent l="0" t="0" r="0" b="0"/>
            <wp:docPr id="1059" name="Picture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5514340" cy="6553200"/>
                    </a:xfrm>
                    <a:prstGeom prst="rect">
                      <a:avLst/>
                    </a:prstGeom>
                    <a:noFill/>
                    <a:ln>
                      <a:noFill/>
                    </a:ln>
                  </pic:spPr>
                </pic:pic>
              </a:graphicData>
            </a:graphic>
          </wp:inline>
        </w:drawing>
      </w:r>
    </w:p>
    <w:p w:rsidR="00F93B76" w:rsidRPr="00A32AF4" w:rsidRDefault="00F93B76" w:rsidP="00DC0553">
      <w:pPr>
        <w:rPr>
          <w:lang w:eastAsia="da-DK"/>
        </w:rPr>
      </w:pPr>
    </w:p>
    <w:p w:rsidR="00F93B76" w:rsidRPr="00A32AF4" w:rsidRDefault="00D5544C" w:rsidP="00DC0553">
      <w:pPr>
        <w:rPr>
          <w:lang w:eastAsia="da-DK"/>
        </w:rPr>
      </w:pPr>
      <w:r w:rsidRPr="00A32AF4">
        <w:rPr>
          <w:lang w:eastAsia="da-DK"/>
        </w:rPr>
        <w:br w:type="page"/>
      </w:r>
    </w:p>
    <w:p w:rsidR="00E349CF" w:rsidRPr="00A32AF4" w:rsidRDefault="00E349CF" w:rsidP="00FB1F61">
      <w:pPr>
        <w:pStyle w:val="Heading3"/>
      </w:pPr>
      <w:bookmarkStart w:id="67" w:name="_Toc419283276"/>
      <w:bookmarkStart w:id="68" w:name="_Toc431555471"/>
      <w:r w:rsidRPr="00A32AF4">
        <w:t>Programme 26</w:t>
      </w:r>
      <w:r w:rsidRPr="00A32AF4">
        <w:tab/>
        <w:t>Supervision interne</w:t>
      </w:r>
      <w:bookmarkEnd w:id="67"/>
      <w:bookmarkEnd w:id="68"/>
    </w:p>
    <w:p w:rsidR="00E349CF" w:rsidRPr="00A32AF4" w:rsidRDefault="00E349CF" w:rsidP="00DC0553"/>
    <w:p w:rsidR="00E349CF" w:rsidRPr="00A32AF4" w:rsidRDefault="00E349CF" w:rsidP="00DC0553"/>
    <w:p w:rsidR="00E349CF" w:rsidRPr="00A32AF4" w:rsidRDefault="00E349CF" w:rsidP="00DC0553">
      <w:r w:rsidRPr="00A32AF4">
        <w:t>CONTEXTE DE PLANIFICATION</w:t>
      </w:r>
    </w:p>
    <w:p w:rsidR="00E349CF" w:rsidRPr="00A32AF4" w:rsidRDefault="00E349CF" w:rsidP="00DC0553"/>
    <w:p w:rsidR="00E349CF" w:rsidRPr="00A32AF4" w:rsidRDefault="00E349CF" w:rsidP="00DC0553">
      <w:pPr>
        <w:pStyle w:val="ListParagraph"/>
        <w:numPr>
          <w:ilvl w:val="0"/>
          <w:numId w:val="59"/>
        </w:numPr>
        <w:tabs>
          <w:tab w:val="left" w:pos="0"/>
        </w:tabs>
        <w:autoSpaceDE w:val="0"/>
        <w:autoSpaceDN w:val="0"/>
        <w:adjustRightInd w:val="0"/>
        <w:spacing w:after="0" w:line="240" w:lineRule="auto"/>
        <w:ind w:left="0" w:firstLine="0"/>
        <w:jc w:val="both"/>
        <w:rPr>
          <w:rFonts w:ascii="Arial" w:hAnsi="Arial" w:cs="Arial"/>
          <w:szCs w:val="20"/>
        </w:rPr>
      </w:pPr>
      <w:r w:rsidRPr="00A32AF4">
        <w:rPr>
          <w:rFonts w:ascii="Arial" w:hAnsi="Arial" w:cs="Arial"/>
          <w:szCs w:val="20"/>
        </w:rPr>
        <w:t>La Division de la supervision interne (DSI) joue le rôle d</w:t>
      </w:r>
      <w:r w:rsidR="00E2055A" w:rsidRPr="00A32AF4">
        <w:rPr>
          <w:rFonts w:ascii="Arial" w:hAnsi="Arial" w:cs="Arial"/>
          <w:szCs w:val="20"/>
        </w:rPr>
        <w:t>’</w:t>
      </w:r>
      <w:r w:rsidRPr="00A32AF4">
        <w:rPr>
          <w:rFonts w:ascii="Arial" w:hAnsi="Arial" w:cs="Arial"/>
          <w:szCs w:val="20"/>
        </w:rPr>
        <w:t>examinateur indépendant et objectif des activités, de la mise en œuvre des programmes et des systèmes opérationnels de l</w:t>
      </w:r>
      <w:r w:rsidR="00E2055A" w:rsidRPr="00A32AF4">
        <w:rPr>
          <w:rFonts w:ascii="Arial" w:hAnsi="Arial" w:cs="Arial"/>
          <w:szCs w:val="20"/>
        </w:rPr>
        <w:t>’</w:t>
      </w:r>
      <w:r w:rsidRPr="00A32AF4">
        <w:rPr>
          <w:rFonts w:ascii="Arial" w:hAnsi="Arial" w:cs="Arial"/>
          <w:szCs w:val="20"/>
        </w:rPr>
        <w:t>OMPI.  À cette fin, elle s</w:t>
      </w:r>
      <w:r w:rsidR="00E2055A" w:rsidRPr="00A32AF4">
        <w:rPr>
          <w:rFonts w:ascii="Arial" w:hAnsi="Arial" w:cs="Arial"/>
          <w:szCs w:val="20"/>
        </w:rPr>
        <w:t>’</w:t>
      </w:r>
      <w:r w:rsidRPr="00A32AF4">
        <w:rPr>
          <w:rFonts w:ascii="Arial" w:hAnsi="Arial" w:cs="Arial"/>
          <w:szCs w:val="20"/>
        </w:rPr>
        <w:t>appuie sur une évaluation du risque qu</w:t>
      </w:r>
      <w:r w:rsidR="00E2055A" w:rsidRPr="00A32AF4">
        <w:rPr>
          <w:rFonts w:ascii="Arial" w:hAnsi="Arial" w:cs="Arial"/>
          <w:szCs w:val="20"/>
        </w:rPr>
        <w:t>’</w:t>
      </w:r>
      <w:r w:rsidRPr="00A32AF4">
        <w:rPr>
          <w:rFonts w:ascii="Arial" w:hAnsi="Arial" w:cs="Arial"/>
          <w:szCs w:val="20"/>
        </w:rPr>
        <w:t>ils présentent et de leur pertinence aux yeux de l</w:t>
      </w:r>
      <w:r w:rsidR="00E2055A" w:rsidRPr="00A32AF4">
        <w:rPr>
          <w:rFonts w:ascii="Arial" w:hAnsi="Arial" w:cs="Arial"/>
          <w:szCs w:val="20"/>
        </w:rPr>
        <w:t>’</w:t>
      </w:r>
      <w:r w:rsidRPr="00A32AF4">
        <w:rPr>
          <w:rFonts w:ascii="Arial" w:hAnsi="Arial" w:cs="Arial"/>
          <w:szCs w:val="20"/>
        </w:rPr>
        <w:t>encadrement et des partenaires de l</w:t>
      </w:r>
      <w:r w:rsidR="00E2055A" w:rsidRPr="00A32AF4">
        <w:rPr>
          <w:rFonts w:ascii="Arial" w:hAnsi="Arial" w:cs="Arial"/>
          <w:szCs w:val="20"/>
        </w:rPr>
        <w:t>’</w:t>
      </w:r>
      <w:r w:rsidRPr="00A32AF4">
        <w:rPr>
          <w:rFonts w:ascii="Arial" w:hAnsi="Arial" w:cs="Arial"/>
          <w:szCs w:val="20"/>
        </w:rPr>
        <w:t>OMPI en vue de promouvoir l</w:t>
      </w:r>
      <w:r w:rsidR="00E2055A" w:rsidRPr="00A32AF4">
        <w:rPr>
          <w:rFonts w:ascii="Arial" w:hAnsi="Arial" w:cs="Arial"/>
          <w:szCs w:val="20"/>
        </w:rPr>
        <w:t>’</w:t>
      </w:r>
      <w:r w:rsidRPr="00A32AF4">
        <w:rPr>
          <w:rFonts w:ascii="Arial" w:hAnsi="Arial" w:cs="Arial"/>
          <w:szCs w:val="20"/>
        </w:rPr>
        <w:t>économie, l</w:t>
      </w:r>
      <w:r w:rsidR="00E2055A" w:rsidRPr="00A32AF4">
        <w:rPr>
          <w:rFonts w:ascii="Arial" w:hAnsi="Arial" w:cs="Arial"/>
          <w:szCs w:val="20"/>
        </w:rPr>
        <w:t>’</w:t>
      </w:r>
      <w:r w:rsidRPr="00A32AF4">
        <w:rPr>
          <w:rFonts w:ascii="Arial" w:hAnsi="Arial" w:cs="Arial"/>
          <w:szCs w:val="20"/>
        </w:rPr>
        <w:t>efficience, l</w:t>
      </w:r>
      <w:r w:rsidR="00E2055A" w:rsidRPr="00A32AF4">
        <w:rPr>
          <w:rFonts w:ascii="Arial" w:hAnsi="Arial" w:cs="Arial"/>
          <w:szCs w:val="20"/>
        </w:rPr>
        <w:t>’</w:t>
      </w:r>
      <w:r w:rsidRPr="00A32AF4">
        <w:rPr>
          <w:rFonts w:ascii="Arial" w:hAnsi="Arial" w:cs="Arial"/>
          <w:szCs w:val="20"/>
        </w:rPr>
        <w:t>efficacité et l</w:t>
      </w:r>
      <w:r w:rsidR="00E2055A" w:rsidRPr="00A32AF4">
        <w:rPr>
          <w:rFonts w:ascii="Arial" w:hAnsi="Arial" w:cs="Arial"/>
          <w:szCs w:val="20"/>
        </w:rPr>
        <w:t>’</w:t>
      </w:r>
      <w:r w:rsidRPr="00A32AF4">
        <w:rPr>
          <w:rFonts w:ascii="Arial" w:hAnsi="Arial" w:cs="Arial"/>
          <w:szCs w:val="20"/>
        </w:rPr>
        <w:t>impact des travaux du Secrétariat.  La DSI évalue, de manière indépendante, les processus et systèmes opérationnels et de contrôle de l</w:t>
      </w:r>
      <w:r w:rsidR="00E2055A" w:rsidRPr="00A32AF4">
        <w:rPr>
          <w:rFonts w:ascii="Arial" w:hAnsi="Arial" w:cs="Arial"/>
          <w:szCs w:val="20"/>
        </w:rPr>
        <w:t>’</w:t>
      </w:r>
      <w:r w:rsidRPr="00A32AF4">
        <w:rPr>
          <w:rFonts w:ascii="Arial" w:hAnsi="Arial" w:cs="Arial"/>
          <w:szCs w:val="20"/>
        </w:rPr>
        <w:t>OMPI en vue de recenser les bonnes pratiques et les insuffisances et de présenter des recommandations concernant les améliorations à apporter.  Elle vérifie également les allégations de fraude, d</w:t>
      </w:r>
      <w:r w:rsidR="00E2055A" w:rsidRPr="00A32AF4">
        <w:rPr>
          <w:rFonts w:ascii="Arial" w:hAnsi="Arial" w:cs="Arial"/>
          <w:szCs w:val="20"/>
        </w:rPr>
        <w:t>’</w:t>
      </w:r>
      <w:r w:rsidRPr="00A32AF4">
        <w:rPr>
          <w:rFonts w:ascii="Arial" w:hAnsi="Arial" w:cs="Arial"/>
          <w:szCs w:val="20"/>
        </w:rPr>
        <w:t>abus et autres fautes et formule des recommandations aux fins de prévenir de telles pratiques.  La DSI relève administrativement du Directeur général et garantit de manière objective et raisonnable aux États membres l</w:t>
      </w:r>
      <w:r w:rsidR="00E2055A" w:rsidRPr="00A32AF4">
        <w:rPr>
          <w:rFonts w:ascii="Arial" w:hAnsi="Arial" w:cs="Arial"/>
          <w:szCs w:val="20"/>
        </w:rPr>
        <w:t>’</w:t>
      </w:r>
      <w:r w:rsidRPr="00A32AF4">
        <w:rPr>
          <w:rFonts w:ascii="Arial" w:hAnsi="Arial" w:cs="Arial"/>
          <w:szCs w:val="20"/>
        </w:rPr>
        <w:t>efficacité, l</w:t>
      </w:r>
      <w:r w:rsidR="00E2055A" w:rsidRPr="00A32AF4">
        <w:rPr>
          <w:rFonts w:ascii="Arial" w:hAnsi="Arial" w:cs="Arial"/>
          <w:szCs w:val="20"/>
        </w:rPr>
        <w:t>’</w:t>
      </w:r>
      <w:r w:rsidRPr="00A32AF4">
        <w:rPr>
          <w:rFonts w:ascii="Arial" w:hAnsi="Arial" w:cs="Arial"/>
          <w:szCs w:val="20"/>
        </w:rPr>
        <w:t>efficience, l</w:t>
      </w:r>
      <w:r w:rsidR="00E2055A" w:rsidRPr="00A32AF4">
        <w:rPr>
          <w:rFonts w:ascii="Arial" w:hAnsi="Arial" w:cs="Arial"/>
          <w:szCs w:val="20"/>
        </w:rPr>
        <w:t>’</w:t>
      </w:r>
      <w:r w:rsidRPr="00A32AF4">
        <w:rPr>
          <w:rFonts w:ascii="Arial" w:hAnsi="Arial" w:cs="Arial"/>
          <w:szCs w:val="20"/>
        </w:rPr>
        <w:t>économie et la pertinence des activités, de la mise en œuvre des programmes et des systèmes opérationnels de l</w:t>
      </w:r>
      <w:r w:rsidR="00E2055A" w:rsidRPr="00A32AF4">
        <w:rPr>
          <w:rFonts w:ascii="Arial" w:hAnsi="Arial" w:cs="Arial"/>
          <w:szCs w:val="20"/>
        </w:rPr>
        <w:t>’</w:t>
      </w:r>
      <w:r w:rsidRPr="00A32AF4">
        <w:rPr>
          <w:rFonts w:ascii="Arial" w:hAnsi="Arial" w:cs="Arial"/>
          <w:szCs w:val="20"/>
        </w:rPr>
        <w:t>OMPI.  Elle évalue également la préservation des actifs, détermine si les fonds confiés à l</w:t>
      </w:r>
      <w:r w:rsidR="00E2055A" w:rsidRPr="00A32AF4">
        <w:rPr>
          <w:rFonts w:ascii="Arial" w:hAnsi="Arial" w:cs="Arial"/>
          <w:szCs w:val="20"/>
        </w:rPr>
        <w:t>’</w:t>
      </w:r>
      <w:r w:rsidRPr="00A32AF4">
        <w:rPr>
          <w:rFonts w:ascii="Arial" w:hAnsi="Arial" w:cs="Arial"/>
          <w:szCs w:val="20"/>
        </w:rPr>
        <w:t>Organisation sont pleinement pris en compte, et s</w:t>
      </w:r>
      <w:r w:rsidR="00E2055A" w:rsidRPr="00A32AF4">
        <w:rPr>
          <w:rFonts w:ascii="Arial" w:hAnsi="Arial" w:cs="Arial"/>
          <w:szCs w:val="20"/>
        </w:rPr>
        <w:t>’</w:t>
      </w:r>
      <w:r w:rsidRPr="00A32AF4">
        <w:rPr>
          <w:rFonts w:ascii="Arial" w:hAnsi="Arial" w:cs="Arial"/>
          <w:szCs w:val="20"/>
        </w:rPr>
        <w:t>assure que les pratiques de gestion et les contrôles internes sont adéquats et fonctionnent bien.  Les activités de la Division de la supervision interne ont été conçues pour ajouter de la valeur à l</w:t>
      </w:r>
      <w:r w:rsidR="00E2055A" w:rsidRPr="00A32AF4">
        <w:rPr>
          <w:rFonts w:ascii="Arial" w:hAnsi="Arial" w:cs="Arial"/>
          <w:szCs w:val="20"/>
        </w:rPr>
        <w:t>’</w:t>
      </w:r>
      <w:r w:rsidRPr="00A32AF4">
        <w:rPr>
          <w:rFonts w:ascii="Arial" w:hAnsi="Arial" w:cs="Arial"/>
          <w:szCs w:val="20"/>
        </w:rPr>
        <w:t>Organisation conformément à la Charte de la supervision interne de l</w:t>
      </w:r>
      <w:r w:rsidR="00E2055A" w:rsidRPr="00A32AF4">
        <w:rPr>
          <w:rFonts w:ascii="Arial" w:hAnsi="Arial" w:cs="Arial"/>
          <w:szCs w:val="20"/>
        </w:rPr>
        <w:t>’</w:t>
      </w:r>
      <w:r w:rsidRPr="00A32AF4">
        <w:rPr>
          <w:rFonts w:ascii="Arial" w:hAnsi="Arial" w:cs="Arial"/>
          <w:szCs w:val="20"/>
        </w:rPr>
        <w:t>OMPI.</w:t>
      </w:r>
    </w:p>
    <w:p w:rsidR="00E349CF" w:rsidRPr="00A32AF4" w:rsidRDefault="00E349CF" w:rsidP="00DC0553"/>
    <w:p w:rsidR="00E349CF" w:rsidRPr="00A32AF4" w:rsidRDefault="00E349CF" w:rsidP="00DC0553"/>
    <w:p w:rsidR="00E349CF" w:rsidRPr="00A32AF4" w:rsidRDefault="003251C6" w:rsidP="00DC0553">
      <w:r w:rsidRPr="00A32AF4">
        <w:t>STRATÉGIES DE MISE EN ŒUVRE</w:t>
      </w:r>
    </w:p>
    <w:p w:rsidR="00E349CF" w:rsidRPr="00A32AF4" w:rsidRDefault="00E349CF" w:rsidP="00DC0553"/>
    <w:p w:rsidR="00E349CF" w:rsidRPr="00A32AF4" w:rsidRDefault="00E349CF" w:rsidP="00DC0553">
      <w:pPr>
        <w:pStyle w:val="ListParagraph"/>
        <w:numPr>
          <w:ilvl w:val="0"/>
          <w:numId w:val="59"/>
        </w:numPr>
        <w:tabs>
          <w:tab w:val="left" w:pos="567"/>
        </w:tabs>
        <w:autoSpaceDE w:val="0"/>
        <w:autoSpaceDN w:val="0"/>
        <w:adjustRightInd w:val="0"/>
        <w:spacing w:after="0" w:line="240" w:lineRule="auto"/>
        <w:ind w:left="0" w:firstLine="0"/>
        <w:jc w:val="both"/>
        <w:rPr>
          <w:rFonts w:ascii="Arial" w:hAnsi="Arial" w:cs="Arial"/>
          <w:szCs w:val="20"/>
        </w:rPr>
      </w:pPr>
      <w:r w:rsidRPr="00A32AF4">
        <w:rPr>
          <w:rFonts w:ascii="Arial" w:hAnsi="Arial" w:cs="Arial"/>
          <w:szCs w:val="20"/>
        </w:rPr>
        <w:t>La DSI procédera à une évaluation objective des processus et systèmes de gestion afin d</w:t>
      </w:r>
      <w:r w:rsidR="00E2055A" w:rsidRPr="00A32AF4">
        <w:rPr>
          <w:rFonts w:ascii="Arial" w:hAnsi="Arial" w:cs="Arial"/>
          <w:szCs w:val="20"/>
        </w:rPr>
        <w:t>’</w:t>
      </w:r>
      <w:r w:rsidRPr="00A32AF4">
        <w:rPr>
          <w:rFonts w:ascii="Arial" w:hAnsi="Arial" w:cs="Arial"/>
          <w:szCs w:val="20"/>
        </w:rPr>
        <w:t>évaluer l</w:t>
      </w:r>
      <w:r w:rsidR="00E2055A" w:rsidRPr="00A32AF4">
        <w:rPr>
          <w:rFonts w:ascii="Arial" w:hAnsi="Arial" w:cs="Arial"/>
          <w:szCs w:val="20"/>
        </w:rPr>
        <w:t>’</w:t>
      </w:r>
      <w:r w:rsidRPr="00A32AF4">
        <w:rPr>
          <w:rFonts w:ascii="Arial" w:hAnsi="Arial" w:cs="Arial"/>
          <w:szCs w:val="20"/>
        </w:rPr>
        <w:t>adéquation d</w:t>
      </w:r>
      <w:r w:rsidR="00E2055A" w:rsidRPr="00A32AF4">
        <w:rPr>
          <w:rFonts w:ascii="Arial" w:hAnsi="Arial" w:cs="Arial"/>
          <w:szCs w:val="20"/>
        </w:rPr>
        <w:t>’</w:t>
      </w:r>
      <w:r w:rsidRPr="00A32AF4">
        <w:rPr>
          <w:rFonts w:ascii="Arial" w:hAnsi="Arial" w:cs="Arial"/>
          <w:szCs w:val="20"/>
        </w:rPr>
        <w:t>une bonne administration des ressources tant financières que matérielles de l</w:t>
      </w:r>
      <w:r w:rsidR="00E2055A" w:rsidRPr="00A32AF4">
        <w:rPr>
          <w:rFonts w:ascii="Arial" w:hAnsi="Arial" w:cs="Arial"/>
          <w:szCs w:val="20"/>
        </w:rPr>
        <w:t>’</w:t>
      </w:r>
      <w:r w:rsidRPr="00A32AF4">
        <w:rPr>
          <w:rFonts w:ascii="Arial" w:hAnsi="Arial" w:cs="Arial"/>
          <w:szCs w:val="20"/>
        </w:rPr>
        <w:t>Organisation.  Elle évaluera également la pertinence et l</w:t>
      </w:r>
      <w:r w:rsidR="00E2055A" w:rsidRPr="00A32AF4">
        <w:rPr>
          <w:rFonts w:ascii="Arial" w:hAnsi="Arial" w:cs="Arial"/>
          <w:szCs w:val="20"/>
        </w:rPr>
        <w:t>’</w:t>
      </w:r>
      <w:r w:rsidRPr="00A32AF4">
        <w:rPr>
          <w:rFonts w:ascii="Arial" w:hAnsi="Arial" w:cs="Arial"/>
          <w:szCs w:val="20"/>
        </w:rPr>
        <w:t>efficacité des contrôles internes, de la gestion des risques et des processus de gouvernance et fournira une assurance raisonnable quant à la question de savoir si les activités de l</w:t>
      </w:r>
      <w:r w:rsidR="00E2055A" w:rsidRPr="00A32AF4">
        <w:rPr>
          <w:rFonts w:ascii="Arial" w:hAnsi="Arial" w:cs="Arial"/>
          <w:szCs w:val="20"/>
        </w:rPr>
        <w:t>’</w:t>
      </w:r>
      <w:r w:rsidRPr="00A32AF4">
        <w:rPr>
          <w:rFonts w:ascii="Arial" w:hAnsi="Arial" w:cs="Arial"/>
          <w:szCs w:val="20"/>
        </w:rPr>
        <w:t>OMPI sont conformes à ses règlements en vigueur.  L</w:t>
      </w:r>
      <w:r w:rsidR="00E2055A" w:rsidRPr="00A32AF4">
        <w:rPr>
          <w:rFonts w:ascii="Arial" w:hAnsi="Arial" w:cs="Arial"/>
          <w:szCs w:val="20"/>
        </w:rPr>
        <w:t>’</w:t>
      </w:r>
      <w:r w:rsidRPr="00A32AF4">
        <w:rPr>
          <w:rFonts w:ascii="Arial" w:hAnsi="Arial" w:cs="Arial"/>
          <w:szCs w:val="20"/>
        </w:rPr>
        <w:t>apprentissage institutionnel et la responsabilisation par le biais de processus de supervision transparents et participatifs seront encouragés.</w:t>
      </w:r>
    </w:p>
    <w:p w:rsidR="00E349CF" w:rsidRPr="00A32AF4" w:rsidRDefault="00E349CF" w:rsidP="00DC0553">
      <w:pPr>
        <w:pStyle w:val="ListParagraph"/>
        <w:tabs>
          <w:tab w:val="left" w:pos="709"/>
        </w:tabs>
        <w:autoSpaceDE w:val="0"/>
        <w:autoSpaceDN w:val="0"/>
        <w:adjustRightInd w:val="0"/>
        <w:spacing w:after="0" w:line="240" w:lineRule="auto"/>
        <w:ind w:left="0"/>
        <w:jc w:val="both"/>
        <w:rPr>
          <w:rFonts w:ascii="Arial" w:hAnsi="Arial" w:cs="Arial"/>
          <w:szCs w:val="20"/>
        </w:rPr>
      </w:pPr>
    </w:p>
    <w:p w:rsidR="00E349CF" w:rsidRPr="00A32AF4" w:rsidRDefault="00E349CF" w:rsidP="00DC0553">
      <w:pPr>
        <w:pStyle w:val="ListParagraph"/>
        <w:numPr>
          <w:ilvl w:val="0"/>
          <w:numId w:val="59"/>
        </w:numPr>
        <w:tabs>
          <w:tab w:val="left" w:pos="0"/>
        </w:tabs>
        <w:autoSpaceDE w:val="0"/>
        <w:autoSpaceDN w:val="0"/>
        <w:adjustRightInd w:val="0"/>
        <w:spacing w:after="0" w:line="240" w:lineRule="auto"/>
        <w:ind w:left="0" w:firstLine="0"/>
        <w:jc w:val="both"/>
        <w:rPr>
          <w:rFonts w:ascii="Arial" w:hAnsi="Arial" w:cs="Arial"/>
          <w:szCs w:val="20"/>
        </w:rPr>
      </w:pPr>
      <w:r w:rsidRPr="00A32AF4">
        <w:rPr>
          <w:rFonts w:ascii="Arial" w:hAnsi="Arial" w:cs="Arial"/>
          <w:szCs w:val="20"/>
        </w:rPr>
        <w:t>La Division de la supervision interne continuera d</w:t>
      </w:r>
      <w:r w:rsidR="00E2055A" w:rsidRPr="00A32AF4">
        <w:rPr>
          <w:rFonts w:ascii="Arial" w:hAnsi="Arial" w:cs="Arial"/>
          <w:szCs w:val="20"/>
        </w:rPr>
        <w:t>’</w:t>
      </w:r>
      <w:r w:rsidRPr="00A32AF4">
        <w:rPr>
          <w:rFonts w:ascii="Arial" w:hAnsi="Arial" w:cs="Arial"/>
          <w:szCs w:val="20"/>
        </w:rPr>
        <w:t>appuyer la direction dans l</w:t>
      </w:r>
      <w:r w:rsidR="00E2055A" w:rsidRPr="00A32AF4">
        <w:rPr>
          <w:rFonts w:ascii="Arial" w:hAnsi="Arial" w:cs="Arial"/>
          <w:szCs w:val="20"/>
        </w:rPr>
        <w:t>’</w:t>
      </w:r>
      <w:r w:rsidRPr="00A32AF4">
        <w:rPr>
          <w:rFonts w:ascii="Arial" w:hAnsi="Arial" w:cs="Arial"/>
          <w:szCs w:val="20"/>
        </w:rPr>
        <w:t>élaboration et la mise en place d</w:t>
      </w:r>
      <w:r w:rsidR="00E2055A" w:rsidRPr="00A32AF4">
        <w:rPr>
          <w:rFonts w:ascii="Arial" w:hAnsi="Arial" w:cs="Arial"/>
          <w:szCs w:val="20"/>
        </w:rPr>
        <w:t>’</w:t>
      </w:r>
      <w:r w:rsidRPr="00A32AF4">
        <w:rPr>
          <w:rFonts w:ascii="Arial" w:hAnsi="Arial" w:cs="Arial"/>
          <w:szCs w:val="20"/>
        </w:rPr>
        <w:t>un cadre efficace et efficient pour l</w:t>
      </w:r>
      <w:r w:rsidR="00E2055A" w:rsidRPr="00A32AF4">
        <w:rPr>
          <w:rFonts w:ascii="Arial" w:hAnsi="Arial" w:cs="Arial"/>
          <w:szCs w:val="20"/>
        </w:rPr>
        <w:t>’</w:t>
      </w:r>
      <w:r w:rsidRPr="00A32AF4">
        <w:rPr>
          <w:rFonts w:ascii="Arial" w:hAnsi="Arial" w:cs="Arial"/>
          <w:szCs w:val="20"/>
        </w:rPr>
        <w:t>intégrité et l</w:t>
      </w:r>
      <w:r w:rsidR="00E2055A" w:rsidRPr="00A32AF4">
        <w:rPr>
          <w:rFonts w:ascii="Arial" w:hAnsi="Arial" w:cs="Arial"/>
          <w:szCs w:val="20"/>
        </w:rPr>
        <w:t>’</w:t>
      </w:r>
      <w:r w:rsidRPr="00A32AF4">
        <w:rPr>
          <w:rFonts w:ascii="Arial" w:hAnsi="Arial" w:cs="Arial"/>
          <w:szCs w:val="20"/>
        </w:rPr>
        <w:t>éthique dans lequel les droits, les devoirs, les responsabilités et les rôles de l</w:t>
      </w:r>
      <w:r w:rsidR="00E2055A" w:rsidRPr="00A32AF4">
        <w:rPr>
          <w:rFonts w:ascii="Arial" w:hAnsi="Arial" w:cs="Arial"/>
          <w:szCs w:val="20"/>
        </w:rPr>
        <w:t>’</w:t>
      </w:r>
      <w:r w:rsidRPr="00A32AF4">
        <w:rPr>
          <w:rFonts w:ascii="Arial" w:hAnsi="Arial" w:cs="Arial"/>
          <w:szCs w:val="20"/>
        </w:rPr>
        <w:t>ensemble des fonctionnaires de l</w:t>
      </w:r>
      <w:r w:rsidR="00E2055A" w:rsidRPr="00A32AF4">
        <w:rPr>
          <w:rFonts w:ascii="Arial" w:hAnsi="Arial" w:cs="Arial"/>
          <w:szCs w:val="20"/>
        </w:rPr>
        <w:t>’</w:t>
      </w:r>
      <w:r w:rsidRPr="00A32AF4">
        <w:rPr>
          <w:rFonts w:ascii="Arial" w:hAnsi="Arial" w:cs="Arial"/>
          <w:szCs w:val="20"/>
        </w:rPr>
        <w:t>OMPI ont été clairement définis.  Pour ce faire, elle fournira en temps voulu et de manière professionnelle des rapports d</w:t>
      </w:r>
      <w:r w:rsidR="00E2055A" w:rsidRPr="00A32AF4">
        <w:rPr>
          <w:rFonts w:ascii="Arial" w:hAnsi="Arial" w:cs="Arial"/>
          <w:szCs w:val="20"/>
        </w:rPr>
        <w:t>’</w:t>
      </w:r>
      <w:r w:rsidRPr="00A32AF4">
        <w:rPr>
          <w:rFonts w:ascii="Arial" w:hAnsi="Arial" w:cs="Arial"/>
          <w:szCs w:val="20"/>
        </w:rPr>
        <w:t>enquête établis conformément aux normes et aux bonnes pratiques généralement admises en matière d</w:t>
      </w:r>
      <w:r w:rsidR="00E2055A" w:rsidRPr="00A32AF4">
        <w:rPr>
          <w:rFonts w:ascii="Arial" w:hAnsi="Arial" w:cs="Arial"/>
          <w:szCs w:val="20"/>
        </w:rPr>
        <w:t>’</w:t>
      </w:r>
      <w:r w:rsidRPr="00A32AF4">
        <w:rPr>
          <w:rFonts w:ascii="Arial" w:hAnsi="Arial" w:cs="Arial"/>
          <w:szCs w:val="20"/>
        </w:rPr>
        <w:t xml:space="preserve">enquête dans les organisations du système des </w:t>
      </w:r>
      <w:r w:rsidR="00E2055A" w:rsidRPr="00A32AF4">
        <w:rPr>
          <w:rFonts w:ascii="Arial" w:hAnsi="Arial" w:cs="Arial"/>
          <w:szCs w:val="20"/>
        </w:rPr>
        <w:t>Nations Unies</w:t>
      </w:r>
      <w:r w:rsidRPr="00A32AF4">
        <w:rPr>
          <w:rFonts w:ascii="Arial" w:hAnsi="Arial" w:cs="Arial"/>
          <w:szCs w:val="20"/>
        </w:rPr>
        <w:t>.</w:t>
      </w:r>
    </w:p>
    <w:p w:rsidR="00E349CF" w:rsidRPr="00A32AF4" w:rsidRDefault="00E349CF" w:rsidP="00DC0553">
      <w:pPr>
        <w:pStyle w:val="ListParagraph"/>
        <w:tabs>
          <w:tab w:val="left" w:pos="709"/>
        </w:tabs>
        <w:autoSpaceDE w:val="0"/>
        <w:autoSpaceDN w:val="0"/>
        <w:adjustRightInd w:val="0"/>
        <w:spacing w:after="0" w:line="240" w:lineRule="auto"/>
        <w:ind w:left="0"/>
        <w:jc w:val="both"/>
        <w:rPr>
          <w:rFonts w:ascii="Arial" w:hAnsi="Arial" w:cs="Arial"/>
          <w:szCs w:val="20"/>
        </w:rPr>
      </w:pPr>
    </w:p>
    <w:p w:rsidR="00E349CF" w:rsidRPr="00A32AF4" w:rsidRDefault="00E349CF" w:rsidP="00DC0553">
      <w:pPr>
        <w:pStyle w:val="ListParagraph"/>
        <w:numPr>
          <w:ilvl w:val="0"/>
          <w:numId w:val="59"/>
        </w:numPr>
        <w:tabs>
          <w:tab w:val="left" w:pos="567"/>
        </w:tabs>
        <w:autoSpaceDE w:val="0"/>
        <w:autoSpaceDN w:val="0"/>
        <w:adjustRightInd w:val="0"/>
        <w:spacing w:after="0" w:line="240" w:lineRule="auto"/>
        <w:ind w:left="0" w:firstLine="0"/>
        <w:jc w:val="both"/>
        <w:rPr>
          <w:rFonts w:ascii="Arial" w:hAnsi="Arial" w:cs="Arial"/>
          <w:szCs w:val="20"/>
        </w:rPr>
      </w:pPr>
      <w:r w:rsidRPr="00A32AF4">
        <w:rPr>
          <w:rFonts w:ascii="Arial" w:hAnsi="Arial" w:cs="Arial"/>
          <w:szCs w:val="20"/>
        </w:rPr>
        <w:t xml:space="preserve">La DSI mettra à profit les résultats des évaluations externes de la qualité de ses trois fonctions, </w:t>
      </w:r>
      <w:r w:rsidR="00E2055A" w:rsidRPr="00A32AF4">
        <w:rPr>
          <w:rFonts w:ascii="Arial" w:hAnsi="Arial" w:cs="Arial"/>
          <w:szCs w:val="20"/>
        </w:rPr>
        <w:t>à savoir</w:t>
      </w:r>
      <w:r w:rsidRPr="00A32AF4">
        <w:rPr>
          <w:rFonts w:ascii="Arial" w:hAnsi="Arial" w:cs="Arial"/>
          <w:szCs w:val="20"/>
        </w:rPr>
        <w:t xml:space="preserve"> l</w:t>
      </w:r>
      <w:r w:rsidR="00E2055A" w:rsidRPr="00A32AF4">
        <w:rPr>
          <w:rFonts w:ascii="Arial" w:hAnsi="Arial" w:cs="Arial"/>
          <w:szCs w:val="20"/>
        </w:rPr>
        <w:t>’</w:t>
      </w:r>
      <w:r w:rsidRPr="00A32AF4">
        <w:rPr>
          <w:rFonts w:ascii="Arial" w:hAnsi="Arial" w:cs="Arial"/>
          <w:szCs w:val="20"/>
        </w:rPr>
        <w:t>audit, l</w:t>
      </w:r>
      <w:r w:rsidR="00E2055A" w:rsidRPr="00A32AF4">
        <w:rPr>
          <w:rFonts w:ascii="Arial" w:hAnsi="Arial" w:cs="Arial"/>
          <w:szCs w:val="20"/>
        </w:rPr>
        <w:t>’</w:t>
      </w:r>
      <w:r w:rsidRPr="00A32AF4">
        <w:rPr>
          <w:rFonts w:ascii="Arial" w:hAnsi="Arial" w:cs="Arial"/>
          <w:szCs w:val="20"/>
        </w:rPr>
        <w:t>évaluation et l</w:t>
      </w:r>
      <w:r w:rsidR="00E2055A" w:rsidRPr="00A32AF4">
        <w:rPr>
          <w:rFonts w:ascii="Arial" w:hAnsi="Arial" w:cs="Arial"/>
          <w:szCs w:val="20"/>
        </w:rPr>
        <w:t>’</w:t>
      </w:r>
      <w:r w:rsidRPr="00A32AF4">
        <w:rPr>
          <w:rFonts w:ascii="Arial" w:hAnsi="Arial" w:cs="Arial"/>
          <w:szCs w:val="20"/>
        </w:rPr>
        <w:t>enquête réalisées pendant l</w:t>
      </w:r>
      <w:r w:rsidR="00E2055A" w:rsidRPr="00A32AF4">
        <w:rPr>
          <w:rFonts w:ascii="Arial" w:hAnsi="Arial" w:cs="Arial"/>
          <w:szCs w:val="20"/>
        </w:rPr>
        <w:t>’</w:t>
      </w:r>
      <w:r w:rsidRPr="00A32AF4">
        <w:rPr>
          <w:rFonts w:ascii="Arial" w:hAnsi="Arial" w:cs="Arial"/>
          <w:szCs w:val="20"/>
        </w:rPr>
        <w:t>exercice 2014</w:t>
      </w:r>
      <w:r w:rsidR="00EB7F54" w:rsidRPr="00A32AF4">
        <w:rPr>
          <w:rFonts w:ascii="Arial" w:hAnsi="Arial" w:cs="Arial"/>
          <w:szCs w:val="20"/>
        </w:rPr>
        <w:noBreakHyphen/>
      </w:r>
      <w:r w:rsidRPr="00A32AF4">
        <w:rPr>
          <w:rFonts w:ascii="Arial" w:hAnsi="Arial" w:cs="Arial"/>
          <w:szCs w:val="20"/>
        </w:rPr>
        <w:t>2015, ainsi que les recommandations en découlant, afin d</w:t>
      </w:r>
      <w:r w:rsidR="00E2055A" w:rsidRPr="00A32AF4">
        <w:rPr>
          <w:rFonts w:ascii="Arial" w:hAnsi="Arial" w:cs="Arial"/>
          <w:szCs w:val="20"/>
        </w:rPr>
        <w:t>’</w:t>
      </w:r>
      <w:r w:rsidRPr="00A32AF4">
        <w:rPr>
          <w:rFonts w:ascii="Arial" w:hAnsi="Arial" w:cs="Arial"/>
          <w:szCs w:val="20"/>
        </w:rPr>
        <w:t>améliorer les services fournis à l</w:t>
      </w:r>
      <w:r w:rsidR="00E2055A" w:rsidRPr="00A32AF4">
        <w:rPr>
          <w:rFonts w:ascii="Arial" w:hAnsi="Arial" w:cs="Arial"/>
          <w:szCs w:val="20"/>
        </w:rPr>
        <w:t>’</w:t>
      </w:r>
      <w:r w:rsidRPr="00A32AF4">
        <w:rPr>
          <w:rFonts w:ascii="Arial" w:hAnsi="Arial" w:cs="Arial"/>
          <w:szCs w:val="20"/>
        </w:rPr>
        <w:t>Organisation.  Elle s</w:t>
      </w:r>
      <w:r w:rsidR="00E2055A" w:rsidRPr="00A32AF4">
        <w:rPr>
          <w:rFonts w:ascii="Arial" w:hAnsi="Arial" w:cs="Arial"/>
          <w:szCs w:val="20"/>
        </w:rPr>
        <w:t>’</w:t>
      </w:r>
      <w:r w:rsidRPr="00A32AF4">
        <w:rPr>
          <w:rFonts w:ascii="Arial" w:hAnsi="Arial" w:cs="Arial"/>
          <w:szCs w:val="20"/>
        </w:rPr>
        <w:t>appuiera sur ses trois fonctions pour fournir des services de qualité à l</w:t>
      </w:r>
      <w:r w:rsidR="00E2055A" w:rsidRPr="00A32AF4">
        <w:rPr>
          <w:rFonts w:ascii="Arial" w:hAnsi="Arial" w:cs="Arial"/>
          <w:szCs w:val="20"/>
        </w:rPr>
        <w:t>’</w:t>
      </w:r>
      <w:r w:rsidRPr="00A32AF4">
        <w:rPr>
          <w:rFonts w:ascii="Arial" w:hAnsi="Arial" w:cs="Arial"/>
          <w:szCs w:val="20"/>
        </w:rPr>
        <w:t>Organisation et renforcer les synergies entre elles grâce à une planification commune et à des activités de formation et de suivi, entre autres outils.  Par ailleurs, des instruments de supervision appropriés, tels que des manuels, des politiques et des principes directeurs, continueront d</w:t>
      </w:r>
      <w:r w:rsidR="00E2055A" w:rsidRPr="00A32AF4">
        <w:rPr>
          <w:rFonts w:ascii="Arial" w:hAnsi="Arial" w:cs="Arial"/>
          <w:szCs w:val="20"/>
        </w:rPr>
        <w:t>’</w:t>
      </w:r>
      <w:r w:rsidRPr="00A32AF4">
        <w:rPr>
          <w:rFonts w:ascii="Arial" w:hAnsi="Arial" w:cs="Arial"/>
          <w:szCs w:val="20"/>
        </w:rPr>
        <w:t>être élaborés et actualisés conformément aux normes professionnelles et aux bonnes pratiques mondialement reconnues appliquées par l</w:t>
      </w:r>
      <w:r w:rsidR="00E2055A" w:rsidRPr="00A32AF4">
        <w:rPr>
          <w:rFonts w:ascii="Arial" w:hAnsi="Arial" w:cs="Arial"/>
          <w:szCs w:val="20"/>
        </w:rPr>
        <w:t>’</w:t>
      </w:r>
      <w:r w:rsidRPr="00A32AF4">
        <w:rPr>
          <w:rFonts w:ascii="Arial" w:hAnsi="Arial" w:cs="Arial"/>
          <w:szCs w:val="20"/>
        </w:rPr>
        <w:t>ONU et d</w:t>
      </w:r>
      <w:r w:rsidR="00E2055A" w:rsidRPr="00A32AF4">
        <w:rPr>
          <w:rFonts w:ascii="Arial" w:hAnsi="Arial" w:cs="Arial"/>
          <w:szCs w:val="20"/>
        </w:rPr>
        <w:t>’</w:t>
      </w:r>
      <w:r w:rsidRPr="00A32AF4">
        <w:rPr>
          <w:rFonts w:ascii="Arial" w:hAnsi="Arial" w:cs="Arial"/>
          <w:szCs w:val="20"/>
        </w:rPr>
        <w:t>autres organisations internationales.</w:t>
      </w:r>
    </w:p>
    <w:p w:rsidR="00E349CF" w:rsidRPr="00A32AF4" w:rsidRDefault="00E349CF" w:rsidP="00DC0553">
      <w:pPr>
        <w:pStyle w:val="ListParagraph"/>
        <w:tabs>
          <w:tab w:val="left" w:pos="709"/>
        </w:tabs>
        <w:autoSpaceDE w:val="0"/>
        <w:autoSpaceDN w:val="0"/>
        <w:adjustRightInd w:val="0"/>
        <w:spacing w:after="0" w:line="240" w:lineRule="auto"/>
        <w:ind w:left="0"/>
        <w:jc w:val="both"/>
        <w:rPr>
          <w:rFonts w:ascii="Arial" w:hAnsi="Arial" w:cs="Arial"/>
          <w:szCs w:val="20"/>
        </w:rPr>
      </w:pPr>
    </w:p>
    <w:p w:rsidR="00E349CF" w:rsidRPr="00A32AF4" w:rsidRDefault="00E349CF" w:rsidP="00DC0553">
      <w:pPr>
        <w:pStyle w:val="ListParagraph"/>
        <w:numPr>
          <w:ilvl w:val="0"/>
          <w:numId w:val="59"/>
        </w:numPr>
        <w:tabs>
          <w:tab w:val="left" w:pos="567"/>
        </w:tabs>
        <w:autoSpaceDE w:val="0"/>
        <w:autoSpaceDN w:val="0"/>
        <w:adjustRightInd w:val="0"/>
        <w:spacing w:after="0" w:line="240" w:lineRule="auto"/>
        <w:ind w:left="0" w:firstLine="0"/>
        <w:jc w:val="both"/>
        <w:rPr>
          <w:rFonts w:ascii="Arial" w:hAnsi="Arial" w:cs="Arial"/>
          <w:szCs w:val="20"/>
        </w:rPr>
      </w:pPr>
      <w:r w:rsidRPr="00A32AF4">
        <w:rPr>
          <w:rFonts w:ascii="Arial" w:hAnsi="Arial" w:cs="Arial"/>
          <w:szCs w:val="20"/>
        </w:rPr>
        <w:t>Un soutien et des conseils spécialisés continueront d</w:t>
      </w:r>
      <w:r w:rsidR="00E2055A" w:rsidRPr="00A32AF4">
        <w:rPr>
          <w:rFonts w:ascii="Arial" w:hAnsi="Arial" w:cs="Arial"/>
          <w:szCs w:val="20"/>
        </w:rPr>
        <w:t>’</w:t>
      </w:r>
      <w:r w:rsidRPr="00A32AF4">
        <w:rPr>
          <w:rFonts w:ascii="Arial" w:hAnsi="Arial" w:cs="Arial"/>
          <w:szCs w:val="20"/>
        </w:rPr>
        <w:t xml:space="preserve">être fournis, si nécessaire, à tous les chefs de programme, </w:t>
      </w:r>
      <w:r w:rsidR="00E2055A" w:rsidRPr="00A32AF4">
        <w:rPr>
          <w:rFonts w:ascii="Arial" w:hAnsi="Arial" w:cs="Arial"/>
          <w:szCs w:val="20"/>
        </w:rPr>
        <w:t>y compris</w:t>
      </w:r>
      <w:r w:rsidRPr="00A32AF4">
        <w:rPr>
          <w:rFonts w:ascii="Arial" w:hAnsi="Arial" w:cs="Arial"/>
          <w:szCs w:val="20"/>
        </w:rPr>
        <w:t xml:space="preserve"> des conseils en temps réel à travers des activités d</w:t>
      </w:r>
      <w:r w:rsidR="00E2055A" w:rsidRPr="00A32AF4">
        <w:rPr>
          <w:rFonts w:ascii="Arial" w:hAnsi="Arial" w:cs="Arial"/>
          <w:szCs w:val="20"/>
        </w:rPr>
        <w:t>’</w:t>
      </w:r>
      <w:r w:rsidRPr="00A32AF4">
        <w:rPr>
          <w:rFonts w:ascii="Arial" w:hAnsi="Arial" w:cs="Arial"/>
          <w:szCs w:val="20"/>
        </w:rPr>
        <w:t>audit permanentes et des cycles courts d</w:t>
      </w:r>
      <w:r w:rsidR="00E2055A" w:rsidRPr="00A32AF4">
        <w:rPr>
          <w:rFonts w:ascii="Arial" w:hAnsi="Arial" w:cs="Arial"/>
          <w:szCs w:val="20"/>
        </w:rPr>
        <w:t>’</w:t>
      </w:r>
      <w:r w:rsidRPr="00A32AF4">
        <w:rPr>
          <w:rFonts w:ascii="Arial" w:hAnsi="Arial" w:cs="Arial"/>
          <w:szCs w:val="20"/>
        </w:rPr>
        <w:t>évaluation et d</w:t>
      </w:r>
      <w:r w:rsidR="00E2055A" w:rsidRPr="00A32AF4">
        <w:rPr>
          <w:rFonts w:ascii="Arial" w:hAnsi="Arial" w:cs="Arial"/>
          <w:szCs w:val="20"/>
        </w:rPr>
        <w:t>’</w:t>
      </w:r>
      <w:r w:rsidRPr="00A32AF4">
        <w:rPr>
          <w:rFonts w:ascii="Arial" w:hAnsi="Arial" w:cs="Arial"/>
          <w:szCs w:val="20"/>
        </w:rPr>
        <w:t>examen.  La DSI continuera de tenir à disposition une ligne téléphonique spéciale permettant de signaler les actes répréhensibles et les éventuelles fautes commises au sein de l</w:t>
      </w:r>
      <w:r w:rsidR="00E2055A" w:rsidRPr="00A32AF4">
        <w:rPr>
          <w:rFonts w:ascii="Arial" w:hAnsi="Arial" w:cs="Arial"/>
          <w:szCs w:val="20"/>
        </w:rPr>
        <w:t>’</w:t>
      </w:r>
      <w:r w:rsidRPr="00A32AF4">
        <w:rPr>
          <w:rFonts w:ascii="Arial" w:hAnsi="Arial" w:cs="Arial"/>
          <w:szCs w:val="20"/>
        </w:rPr>
        <w:t>OMPI, parallèlement à des enquêtes axées sur une démarche préventive, menées en vue de recenser les cas non signalés de fraude ou d</w:t>
      </w:r>
      <w:r w:rsidR="00E2055A" w:rsidRPr="00A32AF4">
        <w:rPr>
          <w:rFonts w:ascii="Arial" w:hAnsi="Arial" w:cs="Arial"/>
          <w:szCs w:val="20"/>
        </w:rPr>
        <w:t>’</w:t>
      </w:r>
      <w:r w:rsidRPr="00A32AF4">
        <w:rPr>
          <w:rFonts w:ascii="Arial" w:hAnsi="Arial" w:cs="Arial"/>
          <w:szCs w:val="20"/>
        </w:rPr>
        <w:t>abus et de proposer des mesures visant à atténuer les conséquences de tels actes.</w:t>
      </w:r>
    </w:p>
    <w:p w:rsidR="00E349CF" w:rsidRPr="00A32AF4" w:rsidRDefault="00E349CF" w:rsidP="00DC0553">
      <w:pPr>
        <w:pStyle w:val="ListParagraph"/>
        <w:tabs>
          <w:tab w:val="left" w:pos="709"/>
        </w:tabs>
        <w:autoSpaceDE w:val="0"/>
        <w:autoSpaceDN w:val="0"/>
        <w:adjustRightInd w:val="0"/>
        <w:spacing w:after="0" w:line="240" w:lineRule="auto"/>
        <w:ind w:left="0"/>
        <w:jc w:val="both"/>
        <w:rPr>
          <w:rFonts w:ascii="Arial" w:hAnsi="Arial" w:cs="Arial"/>
          <w:szCs w:val="20"/>
        </w:rPr>
      </w:pPr>
    </w:p>
    <w:p w:rsidR="00E349CF" w:rsidRPr="00A32AF4" w:rsidRDefault="00E349CF" w:rsidP="00DC0553">
      <w:pPr>
        <w:pStyle w:val="ListParagraph"/>
        <w:numPr>
          <w:ilvl w:val="0"/>
          <w:numId w:val="59"/>
        </w:numPr>
        <w:tabs>
          <w:tab w:val="left" w:pos="567"/>
        </w:tabs>
        <w:autoSpaceDE w:val="0"/>
        <w:autoSpaceDN w:val="0"/>
        <w:adjustRightInd w:val="0"/>
        <w:spacing w:after="0" w:line="240" w:lineRule="auto"/>
        <w:ind w:left="0" w:firstLine="0"/>
        <w:jc w:val="both"/>
        <w:rPr>
          <w:rFonts w:ascii="Arial" w:hAnsi="Arial" w:cs="Arial"/>
          <w:szCs w:val="20"/>
        </w:rPr>
      </w:pPr>
      <w:r w:rsidRPr="00A32AF4">
        <w:rPr>
          <w:rFonts w:ascii="Arial" w:hAnsi="Arial" w:cs="Arial"/>
          <w:szCs w:val="20"/>
        </w:rPr>
        <w:t>Un ordre de priorité élevé continuera d</w:t>
      </w:r>
      <w:r w:rsidR="00E2055A" w:rsidRPr="00A32AF4">
        <w:rPr>
          <w:rFonts w:ascii="Arial" w:hAnsi="Arial" w:cs="Arial"/>
          <w:szCs w:val="20"/>
        </w:rPr>
        <w:t>’</w:t>
      </w:r>
      <w:r w:rsidRPr="00A32AF4">
        <w:rPr>
          <w:rFonts w:ascii="Arial" w:hAnsi="Arial" w:cs="Arial"/>
          <w:szCs w:val="20"/>
        </w:rPr>
        <w:t>être accordé à la coopération et la coordination avec le vérificateur externe des comptes et d</w:t>
      </w:r>
      <w:r w:rsidR="00E2055A" w:rsidRPr="00A32AF4">
        <w:rPr>
          <w:rFonts w:ascii="Arial" w:hAnsi="Arial" w:cs="Arial"/>
          <w:szCs w:val="20"/>
        </w:rPr>
        <w:t>’</w:t>
      </w:r>
      <w:r w:rsidRPr="00A32AF4">
        <w:rPr>
          <w:rFonts w:ascii="Arial" w:hAnsi="Arial" w:cs="Arial"/>
          <w:szCs w:val="20"/>
        </w:rPr>
        <w:t>autres prestataires de services d</w:t>
      </w:r>
      <w:r w:rsidR="00E2055A" w:rsidRPr="00A32AF4">
        <w:rPr>
          <w:rFonts w:ascii="Arial" w:hAnsi="Arial" w:cs="Arial"/>
          <w:szCs w:val="20"/>
        </w:rPr>
        <w:t>’</w:t>
      </w:r>
      <w:r w:rsidRPr="00A32AF4">
        <w:rPr>
          <w:rFonts w:ascii="Arial" w:hAnsi="Arial" w:cs="Arial"/>
          <w:szCs w:val="20"/>
        </w:rPr>
        <w:t xml:space="preserve">assurance en matière de supervision.  La collaboration avec les milieux de la supervision interne des </w:t>
      </w:r>
      <w:r w:rsidR="00E2055A" w:rsidRPr="00A32AF4">
        <w:rPr>
          <w:rFonts w:ascii="Arial" w:hAnsi="Arial" w:cs="Arial"/>
          <w:szCs w:val="20"/>
        </w:rPr>
        <w:t>Nations Unies</w:t>
      </w:r>
      <w:r w:rsidRPr="00A32AF4">
        <w:rPr>
          <w:rFonts w:ascii="Arial" w:hAnsi="Arial" w:cs="Arial"/>
          <w:szCs w:val="20"/>
        </w:rPr>
        <w:t xml:space="preserve"> et les associations internationales et professionnelles se poursuivra au cours de l</w:t>
      </w:r>
      <w:r w:rsidR="00E2055A" w:rsidRPr="00A32AF4">
        <w:rPr>
          <w:rFonts w:ascii="Arial" w:hAnsi="Arial" w:cs="Arial"/>
          <w:szCs w:val="20"/>
        </w:rPr>
        <w:t>’</w:t>
      </w:r>
      <w:r w:rsidRPr="00A32AF4">
        <w:rPr>
          <w:rFonts w:ascii="Arial" w:hAnsi="Arial" w:cs="Arial"/>
          <w:szCs w:val="20"/>
        </w:rPr>
        <w:t>exercice biennal, l</w:t>
      </w:r>
      <w:r w:rsidR="00E2055A" w:rsidRPr="00A32AF4">
        <w:rPr>
          <w:rFonts w:ascii="Arial" w:hAnsi="Arial" w:cs="Arial"/>
          <w:szCs w:val="20"/>
        </w:rPr>
        <w:t>’</w:t>
      </w:r>
      <w:r w:rsidRPr="00A32AF4">
        <w:rPr>
          <w:rFonts w:ascii="Arial" w:hAnsi="Arial" w:cs="Arial"/>
          <w:szCs w:val="20"/>
        </w:rPr>
        <w:t>objectif étant de veiller à ce que la supervision interne à l</w:t>
      </w:r>
      <w:r w:rsidR="00E2055A" w:rsidRPr="00A32AF4">
        <w:rPr>
          <w:rFonts w:ascii="Arial" w:hAnsi="Arial" w:cs="Arial"/>
          <w:szCs w:val="20"/>
        </w:rPr>
        <w:t>’</w:t>
      </w:r>
      <w:r w:rsidRPr="00A32AF4">
        <w:rPr>
          <w:rFonts w:ascii="Arial" w:hAnsi="Arial" w:cs="Arial"/>
          <w:szCs w:val="20"/>
        </w:rPr>
        <w:t>OMPI contribue à faire évoluer les tendances et en tire avantage.</w:t>
      </w:r>
    </w:p>
    <w:p w:rsidR="00E349CF" w:rsidRPr="00A32AF4" w:rsidRDefault="00E349CF" w:rsidP="00DC0553">
      <w:pPr>
        <w:pStyle w:val="ListParagraph"/>
        <w:tabs>
          <w:tab w:val="left" w:pos="709"/>
        </w:tabs>
        <w:autoSpaceDE w:val="0"/>
        <w:autoSpaceDN w:val="0"/>
        <w:adjustRightInd w:val="0"/>
        <w:spacing w:after="0" w:line="240" w:lineRule="auto"/>
        <w:ind w:left="0"/>
        <w:jc w:val="both"/>
        <w:rPr>
          <w:rFonts w:ascii="Arial" w:hAnsi="Arial" w:cs="Arial"/>
          <w:szCs w:val="20"/>
        </w:rPr>
      </w:pPr>
    </w:p>
    <w:p w:rsidR="00E349CF" w:rsidRPr="00A32AF4" w:rsidRDefault="00E349CF" w:rsidP="00DC0553">
      <w:pPr>
        <w:pStyle w:val="ListParagraph"/>
        <w:numPr>
          <w:ilvl w:val="0"/>
          <w:numId w:val="59"/>
        </w:numPr>
        <w:tabs>
          <w:tab w:val="left" w:pos="0"/>
        </w:tabs>
        <w:autoSpaceDE w:val="0"/>
        <w:autoSpaceDN w:val="0"/>
        <w:adjustRightInd w:val="0"/>
        <w:spacing w:after="0" w:line="240" w:lineRule="auto"/>
        <w:ind w:left="0" w:firstLine="0"/>
        <w:jc w:val="both"/>
        <w:rPr>
          <w:rFonts w:ascii="Arial" w:hAnsi="Arial" w:cs="Arial"/>
          <w:szCs w:val="20"/>
        </w:rPr>
      </w:pPr>
      <w:r w:rsidRPr="00A32AF4">
        <w:rPr>
          <w:rFonts w:ascii="Arial" w:hAnsi="Arial" w:cs="Arial"/>
          <w:szCs w:val="20"/>
        </w:rPr>
        <w:t>Les progrès accomplis dans la mise en œuvre des recommandations relatives à la supervision feront l</w:t>
      </w:r>
      <w:r w:rsidR="00E2055A" w:rsidRPr="00A32AF4">
        <w:rPr>
          <w:rFonts w:ascii="Arial" w:hAnsi="Arial" w:cs="Arial"/>
          <w:szCs w:val="20"/>
        </w:rPr>
        <w:t>’</w:t>
      </w:r>
      <w:r w:rsidRPr="00A32AF4">
        <w:rPr>
          <w:rFonts w:ascii="Arial" w:hAnsi="Arial" w:cs="Arial"/>
          <w:szCs w:val="20"/>
        </w:rPr>
        <w:t>objet d</w:t>
      </w:r>
      <w:r w:rsidR="00E2055A" w:rsidRPr="00A32AF4">
        <w:rPr>
          <w:rFonts w:ascii="Arial" w:hAnsi="Arial" w:cs="Arial"/>
          <w:szCs w:val="20"/>
        </w:rPr>
        <w:t>’</w:t>
      </w:r>
      <w:r w:rsidRPr="00A32AF4">
        <w:rPr>
          <w:rFonts w:ascii="Arial" w:hAnsi="Arial" w:cs="Arial"/>
          <w:szCs w:val="20"/>
        </w:rPr>
        <w:t>un suivi régulier et seront présentés au Directeur général, à l</w:t>
      </w:r>
      <w:r w:rsidR="00E2055A" w:rsidRPr="00A32AF4">
        <w:rPr>
          <w:rFonts w:ascii="Arial" w:hAnsi="Arial" w:cs="Arial"/>
          <w:szCs w:val="20"/>
        </w:rPr>
        <w:t>’</w:t>
      </w:r>
      <w:r w:rsidRPr="00A32AF4">
        <w:rPr>
          <w:rFonts w:ascii="Arial" w:hAnsi="Arial" w:cs="Arial"/>
          <w:szCs w:val="20"/>
        </w:rPr>
        <w:t>Organe consultatif indépendant de surveillance de l</w:t>
      </w:r>
      <w:r w:rsidR="00E2055A" w:rsidRPr="00A32AF4">
        <w:rPr>
          <w:rFonts w:ascii="Arial" w:hAnsi="Arial" w:cs="Arial"/>
          <w:szCs w:val="20"/>
        </w:rPr>
        <w:t>’</w:t>
      </w:r>
      <w:r w:rsidRPr="00A32AF4">
        <w:rPr>
          <w:rFonts w:ascii="Arial" w:hAnsi="Arial" w:cs="Arial"/>
          <w:szCs w:val="20"/>
        </w:rPr>
        <w:t>OMPI (OCIS) et aux assemblées de l</w:t>
      </w:r>
      <w:r w:rsidR="00E2055A" w:rsidRPr="00A32AF4">
        <w:rPr>
          <w:rFonts w:ascii="Arial" w:hAnsi="Arial" w:cs="Arial"/>
          <w:szCs w:val="20"/>
        </w:rPr>
        <w:t>’</w:t>
      </w:r>
      <w:r w:rsidRPr="00A32AF4">
        <w:rPr>
          <w:rFonts w:ascii="Arial" w:hAnsi="Arial" w:cs="Arial"/>
          <w:szCs w:val="20"/>
        </w:rPr>
        <w:t>OMPI.</w:t>
      </w:r>
    </w:p>
    <w:p w:rsidR="00E349CF" w:rsidRPr="00A32AF4" w:rsidRDefault="00E349CF" w:rsidP="00DC0553">
      <w:pPr>
        <w:pStyle w:val="ListParagraph"/>
        <w:tabs>
          <w:tab w:val="left" w:pos="709"/>
        </w:tabs>
        <w:autoSpaceDE w:val="0"/>
        <w:autoSpaceDN w:val="0"/>
        <w:adjustRightInd w:val="0"/>
        <w:spacing w:after="0" w:line="240" w:lineRule="auto"/>
        <w:ind w:left="0"/>
        <w:jc w:val="both"/>
        <w:rPr>
          <w:rFonts w:ascii="Arial" w:hAnsi="Arial" w:cs="Arial"/>
          <w:szCs w:val="20"/>
        </w:rPr>
      </w:pPr>
    </w:p>
    <w:p w:rsidR="00E349CF" w:rsidRPr="00A32AF4" w:rsidRDefault="00E349CF" w:rsidP="00DC0553">
      <w:pPr>
        <w:pStyle w:val="ListParagraph"/>
        <w:numPr>
          <w:ilvl w:val="0"/>
          <w:numId w:val="59"/>
        </w:numPr>
        <w:tabs>
          <w:tab w:val="left" w:pos="0"/>
        </w:tabs>
        <w:autoSpaceDE w:val="0"/>
        <w:autoSpaceDN w:val="0"/>
        <w:adjustRightInd w:val="0"/>
        <w:spacing w:after="0" w:line="240" w:lineRule="auto"/>
        <w:ind w:left="0" w:firstLine="0"/>
        <w:jc w:val="both"/>
        <w:rPr>
          <w:rFonts w:ascii="Arial" w:hAnsi="Arial" w:cs="Arial"/>
          <w:szCs w:val="20"/>
        </w:rPr>
      </w:pPr>
      <w:r w:rsidRPr="00A32AF4">
        <w:rPr>
          <w:rFonts w:ascii="Arial" w:hAnsi="Arial" w:cs="Arial"/>
          <w:szCs w:val="20"/>
        </w:rPr>
        <w:t>Pour partager les enseignements et analyses tirés des activités de supervision avec les principales parties prenantes au sein et en dehors de l</w:t>
      </w:r>
      <w:r w:rsidR="00E2055A" w:rsidRPr="00A32AF4">
        <w:rPr>
          <w:rFonts w:ascii="Arial" w:hAnsi="Arial" w:cs="Arial"/>
          <w:szCs w:val="20"/>
        </w:rPr>
        <w:t>’</w:t>
      </w:r>
      <w:r w:rsidRPr="00A32AF4">
        <w:rPr>
          <w:rFonts w:ascii="Arial" w:hAnsi="Arial" w:cs="Arial"/>
          <w:szCs w:val="20"/>
        </w:rPr>
        <w:t>OMPI, les principaux résultats des travaux de supervision seront publiés et communiqués régulièrement par le biais de présentations lors de sessions d</w:t>
      </w:r>
      <w:r w:rsidR="00E2055A" w:rsidRPr="00A32AF4">
        <w:rPr>
          <w:rFonts w:ascii="Arial" w:hAnsi="Arial" w:cs="Arial"/>
          <w:szCs w:val="20"/>
        </w:rPr>
        <w:t>’</w:t>
      </w:r>
      <w:r w:rsidRPr="00A32AF4">
        <w:rPr>
          <w:rFonts w:ascii="Arial" w:hAnsi="Arial" w:cs="Arial"/>
          <w:szCs w:val="20"/>
        </w:rPr>
        <w:t>information et de formation.</w:t>
      </w:r>
    </w:p>
    <w:p w:rsidR="00E349CF" w:rsidRPr="00A32AF4" w:rsidRDefault="00E349CF" w:rsidP="00DC0553">
      <w:pPr>
        <w:jc w:val="both"/>
        <w:rPr>
          <w:rFonts w:cs="Arial"/>
        </w:rPr>
      </w:pPr>
    </w:p>
    <w:p w:rsidR="00E349CF" w:rsidRPr="00A32AF4" w:rsidRDefault="00E349CF" w:rsidP="00DC0553">
      <w:pPr>
        <w:jc w:val="both"/>
        <w:rPr>
          <w:rFonts w:cs="Arial"/>
        </w:rPr>
      </w:pPr>
    </w:p>
    <w:p w:rsidR="00E349CF" w:rsidRPr="00A32AF4" w:rsidRDefault="003251C6" w:rsidP="00DC0553">
      <w:r w:rsidRPr="00A32AF4">
        <w:t>PRINCIPAUX RISQUES ET STRATÉGIES D</w:t>
      </w:r>
      <w:r w:rsidR="00E2055A" w:rsidRPr="00A32AF4">
        <w:t>’</w:t>
      </w:r>
      <w:r w:rsidRPr="00A32AF4">
        <w:t>ATTÉNUATION</w:t>
      </w:r>
    </w:p>
    <w:p w:rsidR="00E349CF" w:rsidRPr="00A32AF4" w:rsidRDefault="00E349CF" w:rsidP="00DC0553">
      <w:pPr>
        <w:rPr>
          <w:rFonts w:cs="Arial"/>
        </w:rPr>
      </w:pPr>
    </w:p>
    <w:tbl>
      <w:tblPr>
        <w:tblW w:w="9214" w:type="dxa"/>
        <w:tblInd w:w="108" w:type="dxa"/>
        <w:tblCellMar>
          <w:left w:w="0" w:type="dxa"/>
          <w:right w:w="0" w:type="dxa"/>
        </w:tblCellMar>
        <w:tblLook w:val="04A0" w:firstRow="1" w:lastRow="0" w:firstColumn="1" w:lastColumn="0" w:noHBand="0" w:noVBand="1"/>
      </w:tblPr>
      <w:tblGrid>
        <w:gridCol w:w="4111"/>
        <w:gridCol w:w="5103"/>
      </w:tblGrid>
      <w:tr w:rsidR="00E349CF" w:rsidRPr="00A32AF4" w:rsidTr="0060509A">
        <w:trPr>
          <w:cantSplit/>
        </w:trPr>
        <w:tc>
          <w:tcPr>
            <w:tcW w:w="4111" w:type="dxa"/>
            <w:tcBorders>
              <w:top w:val="single" w:sz="8" w:space="0" w:color="auto"/>
              <w:left w:val="single" w:sz="8" w:space="0" w:color="auto"/>
              <w:bottom w:val="single" w:sz="8" w:space="0" w:color="auto"/>
              <w:right w:val="nil"/>
            </w:tcBorders>
            <w:shd w:val="clear" w:color="auto" w:fill="C6D9F1" w:themeFill="text2" w:themeFillTint="33"/>
            <w:tcMar>
              <w:top w:w="113" w:type="dxa"/>
              <w:left w:w="108" w:type="dxa"/>
              <w:bottom w:w="113" w:type="dxa"/>
              <w:right w:w="108" w:type="dxa"/>
            </w:tcMar>
            <w:vAlign w:val="center"/>
            <w:hideMark/>
          </w:tcPr>
          <w:p w:rsidR="00E349CF" w:rsidRPr="00A32AF4" w:rsidRDefault="00E349CF" w:rsidP="00DC0553">
            <w:pPr>
              <w:jc w:val="center"/>
              <w:rPr>
                <w:rFonts w:eastAsia="Calibri"/>
                <w:b/>
                <w:bCs/>
                <w:sz w:val="18"/>
                <w:szCs w:val="18"/>
              </w:rPr>
            </w:pPr>
            <w:r w:rsidRPr="00A32AF4">
              <w:rPr>
                <w:b/>
                <w:bCs/>
                <w:sz w:val="18"/>
                <w:szCs w:val="18"/>
              </w:rPr>
              <w:t>Risque</w:t>
            </w:r>
            <w:r w:rsidR="00783124" w:rsidRPr="00A32AF4">
              <w:rPr>
                <w:b/>
                <w:bCs/>
                <w:sz w:val="18"/>
                <w:szCs w:val="18"/>
              </w:rPr>
              <w:t>s</w:t>
            </w:r>
          </w:p>
        </w:tc>
        <w:tc>
          <w:tcPr>
            <w:tcW w:w="5103" w:type="dxa"/>
            <w:tcBorders>
              <w:top w:val="single" w:sz="8" w:space="0" w:color="auto"/>
              <w:left w:val="nil"/>
              <w:bottom w:val="single" w:sz="8" w:space="0" w:color="auto"/>
              <w:right w:val="single" w:sz="8" w:space="0" w:color="auto"/>
            </w:tcBorders>
            <w:shd w:val="clear" w:color="auto" w:fill="C6D9F1" w:themeFill="text2" w:themeFillTint="33"/>
            <w:tcMar>
              <w:top w:w="113" w:type="dxa"/>
              <w:left w:w="108" w:type="dxa"/>
              <w:bottom w:w="113" w:type="dxa"/>
              <w:right w:w="108" w:type="dxa"/>
            </w:tcMar>
            <w:vAlign w:val="center"/>
            <w:hideMark/>
          </w:tcPr>
          <w:p w:rsidR="00E349CF" w:rsidRPr="00A32AF4" w:rsidRDefault="00E349CF" w:rsidP="00DC0553">
            <w:pPr>
              <w:jc w:val="center"/>
              <w:rPr>
                <w:rFonts w:eastAsia="Calibri"/>
                <w:b/>
                <w:bCs/>
                <w:sz w:val="18"/>
                <w:szCs w:val="18"/>
              </w:rPr>
            </w:pPr>
            <w:r w:rsidRPr="00A32AF4">
              <w:rPr>
                <w:b/>
                <w:bCs/>
                <w:sz w:val="18"/>
                <w:szCs w:val="18"/>
              </w:rPr>
              <w:t>Stratégie</w:t>
            </w:r>
            <w:r w:rsidR="00783124" w:rsidRPr="00A32AF4">
              <w:rPr>
                <w:b/>
                <w:bCs/>
                <w:sz w:val="18"/>
                <w:szCs w:val="18"/>
              </w:rPr>
              <w:t>s</w:t>
            </w:r>
            <w:r w:rsidRPr="00A32AF4">
              <w:rPr>
                <w:b/>
                <w:bCs/>
                <w:sz w:val="18"/>
                <w:szCs w:val="18"/>
              </w:rPr>
              <w:t xml:space="preserve"> d</w:t>
            </w:r>
            <w:r w:rsidR="00E2055A" w:rsidRPr="00A32AF4">
              <w:rPr>
                <w:b/>
                <w:bCs/>
                <w:sz w:val="18"/>
                <w:szCs w:val="18"/>
              </w:rPr>
              <w:t>’</w:t>
            </w:r>
            <w:r w:rsidRPr="00A32AF4">
              <w:rPr>
                <w:b/>
                <w:bCs/>
                <w:sz w:val="18"/>
                <w:szCs w:val="18"/>
              </w:rPr>
              <w:t>atténuation</w:t>
            </w:r>
          </w:p>
        </w:tc>
      </w:tr>
      <w:tr w:rsidR="00E349CF" w:rsidRPr="00A32AF4" w:rsidTr="0060509A">
        <w:trPr>
          <w:cantSplit/>
        </w:trPr>
        <w:tc>
          <w:tcPr>
            <w:tcW w:w="4111" w:type="dxa"/>
            <w:tcBorders>
              <w:top w:val="nil"/>
              <w:left w:val="single" w:sz="8" w:space="0" w:color="auto"/>
              <w:bottom w:val="single" w:sz="8" w:space="0" w:color="auto"/>
              <w:right w:val="nil"/>
            </w:tcBorders>
            <w:tcMar>
              <w:top w:w="113" w:type="dxa"/>
              <w:left w:w="108" w:type="dxa"/>
              <w:bottom w:w="113" w:type="dxa"/>
              <w:right w:w="108" w:type="dxa"/>
            </w:tcMar>
            <w:hideMark/>
          </w:tcPr>
          <w:p w:rsidR="00E349CF" w:rsidRPr="00A32AF4" w:rsidRDefault="00E349CF" w:rsidP="00DC0553">
            <w:pPr>
              <w:rPr>
                <w:rFonts w:eastAsia="Calibri"/>
                <w:sz w:val="16"/>
                <w:szCs w:val="16"/>
              </w:rPr>
            </w:pPr>
            <w:r w:rsidRPr="00A32AF4">
              <w:rPr>
                <w:rFonts w:eastAsia="Calibri"/>
                <w:sz w:val="16"/>
                <w:szCs w:val="16"/>
              </w:rPr>
              <w:t>L</w:t>
            </w:r>
            <w:r w:rsidR="00E2055A" w:rsidRPr="00A32AF4">
              <w:rPr>
                <w:rFonts w:eastAsia="Calibri"/>
                <w:sz w:val="16"/>
                <w:szCs w:val="16"/>
              </w:rPr>
              <w:t>’</w:t>
            </w:r>
            <w:r w:rsidRPr="00A32AF4">
              <w:rPr>
                <w:rFonts w:eastAsia="Calibri"/>
                <w:sz w:val="16"/>
                <w:szCs w:val="16"/>
              </w:rPr>
              <w:t>activité de supervision interne n</w:t>
            </w:r>
            <w:r w:rsidR="00E2055A" w:rsidRPr="00A32AF4">
              <w:rPr>
                <w:rFonts w:eastAsia="Calibri"/>
                <w:sz w:val="16"/>
                <w:szCs w:val="16"/>
              </w:rPr>
              <w:t>’</w:t>
            </w:r>
            <w:r w:rsidRPr="00A32AF4">
              <w:rPr>
                <w:rFonts w:eastAsia="Calibri"/>
                <w:sz w:val="16"/>
                <w:szCs w:val="16"/>
              </w:rPr>
              <w:t>est pas indépendante, et les membres de la DSI n</w:t>
            </w:r>
            <w:r w:rsidR="00E2055A" w:rsidRPr="00A32AF4">
              <w:rPr>
                <w:rFonts w:eastAsia="Calibri"/>
                <w:sz w:val="16"/>
                <w:szCs w:val="16"/>
              </w:rPr>
              <w:t>’</w:t>
            </w:r>
            <w:r w:rsidRPr="00A32AF4">
              <w:rPr>
                <w:rFonts w:eastAsia="Calibri"/>
                <w:sz w:val="16"/>
                <w:szCs w:val="16"/>
              </w:rPr>
              <w:t>effectuent pas les tâches qui leur incombent en toute objectivité.  L</w:t>
            </w:r>
            <w:r w:rsidR="00E2055A" w:rsidRPr="00A32AF4">
              <w:rPr>
                <w:rFonts w:eastAsia="Calibri"/>
                <w:sz w:val="16"/>
                <w:szCs w:val="16"/>
              </w:rPr>
              <w:t>’</w:t>
            </w:r>
            <w:r w:rsidRPr="00A32AF4">
              <w:rPr>
                <w:rFonts w:eastAsia="Calibri"/>
                <w:sz w:val="16"/>
                <w:szCs w:val="16"/>
              </w:rPr>
              <w:t>impartialité et la crédibilité des travaux entrepris seraient en cause.  La confiance dans la fonction de supervision diminuerait.</w:t>
            </w:r>
          </w:p>
        </w:tc>
        <w:tc>
          <w:tcPr>
            <w:tcW w:w="5103" w:type="dxa"/>
            <w:tcBorders>
              <w:top w:val="nil"/>
              <w:left w:val="nil"/>
              <w:bottom w:val="single" w:sz="8" w:space="0" w:color="auto"/>
              <w:right w:val="single" w:sz="8" w:space="0" w:color="auto"/>
            </w:tcBorders>
            <w:tcMar>
              <w:top w:w="113" w:type="dxa"/>
              <w:left w:w="108" w:type="dxa"/>
              <w:bottom w:w="113" w:type="dxa"/>
              <w:right w:w="108" w:type="dxa"/>
            </w:tcMar>
          </w:tcPr>
          <w:p w:rsidR="00E349CF" w:rsidRPr="00A32AF4" w:rsidRDefault="00E349CF" w:rsidP="00DC0553">
            <w:pPr>
              <w:rPr>
                <w:color w:val="000000"/>
                <w:sz w:val="16"/>
                <w:szCs w:val="16"/>
              </w:rPr>
            </w:pPr>
            <w:r w:rsidRPr="00A32AF4">
              <w:rPr>
                <w:color w:val="000000"/>
                <w:sz w:val="16"/>
                <w:szCs w:val="16"/>
              </w:rPr>
              <w:t>S</w:t>
            </w:r>
            <w:r w:rsidR="00E2055A" w:rsidRPr="00A32AF4">
              <w:rPr>
                <w:color w:val="000000"/>
                <w:sz w:val="16"/>
                <w:szCs w:val="16"/>
              </w:rPr>
              <w:t>’</w:t>
            </w:r>
            <w:r w:rsidRPr="00A32AF4">
              <w:rPr>
                <w:color w:val="000000"/>
                <w:sz w:val="16"/>
                <w:szCs w:val="16"/>
              </w:rPr>
              <w:t xml:space="preserve">engager à respecter la Charte de la supervision </w:t>
            </w:r>
            <w:proofErr w:type="gramStart"/>
            <w:r w:rsidRPr="00A32AF4">
              <w:rPr>
                <w:color w:val="000000"/>
                <w:sz w:val="16"/>
                <w:szCs w:val="16"/>
              </w:rPr>
              <w:t>interne;</w:t>
            </w:r>
            <w:proofErr w:type="gramEnd"/>
            <w:r w:rsidRPr="00A32AF4">
              <w:rPr>
                <w:color w:val="000000"/>
                <w:sz w:val="16"/>
                <w:szCs w:val="16"/>
              </w:rPr>
              <w:t xml:space="preserve">  faire rapport régulièrement à l</w:t>
            </w:r>
            <w:r w:rsidR="00E2055A" w:rsidRPr="00A32AF4">
              <w:rPr>
                <w:color w:val="000000"/>
                <w:sz w:val="16"/>
                <w:szCs w:val="16"/>
              </w:rPr>
              <w:t>’</w:t>
            </w:r>
            <w:r w:rsidRPr="00A32AF4">
              <w:rPr>
                <w:color w:val="000000"/>
                <w:sz w:val="16"/>
                <w:szCs w:val="16"/>
              </w:rPr>
              <w:t>OCIS;  et présenter des rapports annuels à l</w:t>
            </w:r>
            <w:r w:rsidR="00E2055A" w:rsidRPr="00A32AF4">
              <w:rPr>
                <w:color w:val="000000"/>
                <w:sz w:val="16"/>
                <w:szCs w:val="16"/>
              </w:rPr>
              <w:t>’</w:t>
            </w:r>
            <w:r w:rsidRPr="00A32AF4">
              <w:rPr>
                <w:color w:val="000000"/>
                <w:sz w:val="16"/>
                <w:szCs w:val="16"/>
              </w:rPr>
              <w:t>Assemblée générale de l</w:t>
            </w:r>
            <w:r w:rsidR="00E2055A" w:rsidRPr="00A32AF4">
              <w:rPr>
                <w:color w:val="000000"/>
                <w:sz w:val="16"/>
                <w:szCs w:val="16"/>
              </w:rPr>
              <w:t>’</w:t>
            </w:r>
            <w:r w:rsidRPr="00A32AF4">
              <w:rPr>
                <w:color w:val="000000"/>
                <w:sz w:val="16"/>
                <w:szCs w:val="16"/>
              </w:rPr>
              <w:t>OMPI sur son indépendance.</w:t>
            </w:r>
          </w:p>
          <w:p w:rsidR="00E349CF" w:rsidRPr="00A32AF4" w:rsidRDefault="00E349CF" w:rsidP="00DC0553">
            <w:pPr>
              <w:rPr>
                <w:color w:val="000000"/>
                <w:sz w:val="16"/>
                <w:szCs w:val="16"/>
              </w:rPr>
            </w:pPr>
          </w:p>
          <w:p w:rsidR="00E349CF" w:rsidRPr="00A32AF4" w:rsidRDefault="00E349CF" w:rsidP="00DC0553">
            <w:pPr>
              <w:rPr>
                <w:rFonts w:eastAsia="Calibri"/>
                <w:sz w:val="16"/>
                <w:szCs w:val="16"/>
              </w:rPr>
            </w:pPr>
            <w:r w:rsidRPr="00A32AF4">
              <w:rPr>
                <w:color w:val="000000"/>
                <w:sz w:val="16"/>
                <w:szCs w:val="16"/>
              </w:rPr>
              <w:t>Évaluations externes de l</w:t>
            </w:r>
            <w:r w:rsidR="00E2055A" w:rsidRPr="00A32AF4">
              <w:rPr>
                <w:color w:val="000000"/>
                <w:sz w:val="16"/>
                <w:szCs w:val="16"/>
              </w:rPr>
              <w:t>’</w:t>
            </w:r>
            <w:r w:rsidRPr="00A32AF4">
              <w:rPr>
                <w:color w:val="000000"/>
                <w:sz w:val="16"/>
                <w:szCs w:val="16"/>
              </w:rPr>
              <w:t>indépendance des fonctions de supervision.</w:t>
            </w:r>
          </w:p>
        </w:tc>
      </w:tr>
    </w:tbl>
    <w:p w:rsidR="00E349CF" w:rsidRPr="00A32AF4" w:rsidRDefault="00E349CF" w:rsidP="00DC0553">
      <w:pPr>
        <w:rPr>
          <w:rFonts w:eastAsia="Calibri"/>
        </w:rPr>
      </w:pPr>
    </w:p>
    <w:p w:rsidR="00E349CF" w:rsidRPr="00A32AF4" w:rsidRDefault="00E349CF" w:rsidP="00DC0553">
      <w:pPr>
        <w:rPr>
          <w:rFonts w:eastAsia="SimSun"/>
        </w:rPr>
      </w:pPr>
    </w:p>
    <w:p w:rsidR="00E349CF" w:rsidRPr="00A32AF4" w:rsidRDefault="003251C6" w:rsidP="00DC0553">
      <w:r w:rsidRPr="00A32AF4">
        <w:t>TABLEAU DES RÉSULTATS</w:t>
      </w:r>
    </w:p>
    <w:p w:rsidR="00E349CF" w:rsidRPr="00A32AF4" w:rsidRDefault="00E349CF" w:rsidP="00DC0553"/>
    <w:tbl>
      <w:tblPr>
        <w:tblW w:w="9229" w:type="dxa"/>
        <w:tblInd w:w="9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160"/>
        <w:gridCol w:w="2620"/>
        <w:gridCol w:w="2340"/>
        <w:gridCol w:w="2109"/>
      </w:tblGrid>
      <w:tr w:rsidR="00E349CF" w:rsidRPr="00A32AF4" w:rsidTr="00E349CF">
        <w:trPr>
          <w:cantSplit/>
          <w:tblHeader/>
        </w:trPr>
        <w:tc>
          <w:tcPr>
            <w:tcW w:w="2160" w:type="dxa"/>
            <w:tcBorders>
              <w:top w:val="single" w:sz="4" w:space="0" w:color="auto"/>
              <w:bottom w:val="single" w:sz="4" w:space="0" w:color="auto"/>
            </w:tcBorders>
            <w:shd w:val="clear" w:color="auto" w:fill="C6D9F1" w:themeFill="text2" w:themeFillTint="33"/>
            <w:tcMar>
              <w:top w:w="113" w:type="dxa"/>
              <w:bottom w:w="113" w:type="dxa"/>
            </w:tcMar>
            <w:vAlign w:val="center"/>
            <w:hideMark/>
          </w:tcPr>
          <w:p w:rsidR="00E349CF" w:rsidRPr="00A32AF4" w:rsidRDefault="00E349CF" w:rsidP="00DC0553">
            <w:pPr>
              <w:jc w:val="center"/>
              <w:rPr>
                <w:b/>
                <w:bCs/>
                <w:color w:val="000000"/>
                <w:sz w:val="18"/>
                <w:szCs w:val="18"/>
              </w:rPr>
            </w:pPr>
            <w:r w:rsidRPr="00A32AF4">
              <w:rPr>
                <w:b/>
                <w:bCs/>
                <w:color w:val="000000"/>
                <w:sz w:val="18"/>
                <w:szCs w:val="18"/>
              </w:rPr>
              <w:t>Résultats escomptés</w:t>
            </w:r>
          </w:p>
        </w:tc>
        <w:tc>
          <w:tcPr>
            <w:tcW w:w="2620" w:type="dxa"/>
            <w:tcBorders>
              <w:top w:val="single" w:sz="4" w:space="0" w:color="auto"/>
              <w:bottom w:val="single" w:sz="4" w:space="0" w:color="auto"/>
            </w:tcBorders>
            <w:shd w:val="clear" w:color="auto" w:fill="C6D9F1" w:themeFill="text2" w:themeFillTint="33"/>
            <w:tcMar>
              <w:top w:w="113" w:type="dxa"/>
              <w:bottom w:w="113" w:type="dxa"/>
            </w:tcMar>
            <w:vAlign w:val="center"/>
            <w:hideMark/>
          </w:tcPr>
          <w:p w:rsidR="00E349CF" w:rsidRPr="00A32AF4" w:rsidRDefault="00E349CF" w:rsidP="00DC0553">
            <w:pPr>
              <w:jc w:val="center"/>
              <w:rPr>
                <w:b/>
                <w:bCs/>
                <w:color w:val="000000"/>
                <w:sz w:val="18"/>
                <w:szCs w:val="18"/>
              </w:rPr>
            </w:pPr>
            <w:r w:rsidRPr="00A32AF4">
              <w:rPr>
                <w:b/>
                <w:bCs/>
                <w:color w:val="000000"/>
                <w:sz w:val="18"/>
                <w:szCs w:val="18"/>
              </w:rPr>
              <w:t>Indicateurs d</w:t>
            </w:r>
            <w:r w:rsidR="00E2055A" w:rsidRPr="00A32AF4">
              <w:rPr>
                <w:b/>
                <w:bCs/>
                <w:color w:val="000000"/>
                <w:sz w:val="18"/>
                <w:szCs w:val="18"/>
              </w:rPr>
              <w:t>’</w:t>
            </w:r>
            <w:r w:rsidRPr="00A32AF4">
              <w:rPr>
                <w:b/>
                <w:bCs/>
                <w:color w:val="000000"/>
                <w:sz w:val="18"/>
                <w:szCs w:val="18"/>
              </w:rPr>
              <w:t>exécution</w:t>
            </w:r>
          </w:p>
        </w:tc>
        <w:tc>
          <w:tcPr>
            <w:tcW w:w="2340" w:type="dxa"/>
            <w:tcBorders>
              <w:top w:val="single" w:sz="4" w:space="0" w:color="auto"/>
              <w:bottom w:val="single" w:sz="4" w:space="0" w:color="auto"/>
            </w:tcBorders>
            <w:shd w:val="clear" w:color="auto" w:fill="C6D9F1" w:themeFill="text2" w:themeFillTint="33"/>
            <w:tcMar>
              <w:top w:w="113" w:type="dxa"/>
              <w:bottom w:w="113" w:type="dxa"/>
            </w:tcMar>
            <w:vAlign w:val="center"/>
            <w:hideMark/>
          </w:tcPr>
          <w:p w:rsidR="00E349CF" w:rsidRPr="00A32AF4" w:rsidRDefault="00E349CF" w:rsidP="00DC0553">
            <w:pPr>
              <w:jc w:val="center"/>
              <w:rPr>
                <w:b/>
                <w:bCs/>
                <w:color w:val="000000"/>
                <w:sz w:val="18"/>
                <w:szCs w:val="18"/>
              </w:rPr>
            </w:pPr>
            <w:r w:rsidRPr="00A32AF4">
              <w:rPr>
                <w:b/>
                <w:bCs/>
                <w:color w:val="000000"/>
                <w:sz w:val="18"/>
                <w:szCs w:val="18"/>
              </w:rPr>
              <w:t>Niveaux de référence</w:t>
            </w:r>
          </w:p>
        </w:tc>
        <w:tc>
          <w:tcPr>
            <w:tcW w:w="2109" w:type="dxa"/>
            <w:tcBorders>
              <w:top w:val="single" w:sz="4" w:space="0" w:color="auto"/>
              <w:bottom w:val="single" w:sz="4" w:space="0" w:color="auto"/>
            </w:tcBorders>
            <w:shd w:val="clear" w:color="auto" w:fill="C6D9F1" w:themeFill="text2" w:themeFillTint="33"/>
            <w:tcMar>
              <w:top w:w="113" w:type="dxa"/>
              <w:bottom w:w="113" w:type="dxa"/>
            </w:tcMar>
            <w:vAlign w:val="center"/>
            <w:hideMark/>
          </w:tcPr>
          <w:p w:rsidR="00E349CF" w:rsidRPr="00A32AF4" w:rsidRDefault="00E349CF" w:rsidP="00DC0553">
            <w:pPr>
              <w:jc w:val="center"/>
              <w:rPr>
                <w:b/>
                <w:bCs/>
                <w:color w:val="000000"/>
                <w:sz w:val="18"/>
                <w:szCs w:val="18"/>
              </w:rPr>
            </w:pPr>
            <w:r w:rsidRPr="00A32AF4">
              <w:rPr>
                <w:b/>
                <w:bCs/>
                <w:color w:val="000000"/>
                <w:sz w:val="18"/>
                <w:szCs w:val="18"/>
              </w:rPr>
              <w:t>Objectifs visés</w:t>
            </w:r>
          </w:p>
        </w:tc>
      </w:tr>
      <w:tr w:rsidR="00E349CF" w:rsidRPr="00A32AF4" w:rsidTr="00E349CF">
        <w:trPr>
          <w:cantSplit/>
        </w:trPr>
        <w:tc>
          <w:tcPr>
            <w:tcW w:w="2160" w:type="dxa"/>
            <w:vMerge w:val="restart"/>
            <w:tcBorders>
              <w:top w:val="single" w:sz="4" w:space="0" w:color="auto"/>
              <w:bottom w:val="nil"/>
            </w:tcBorders>
            <w:shd w:val="clear" w:color="000000" w:fill="FFFFFF"/>
            <w:tcMar>
              <w:top w:w="113" w:type="dxa"/>
              <w:bottom w:w="113" w:type="dxa"/>
            </w:tcMar>
            <w:hideMark/>
          </w:tcPr>
          <w:p w:rsidR="00E349CF" w:rsidRPr="00A32AF4" w:rsidRDefault="00E349CF" w:rsidP="00DC0553">
            <w:pPr>
              <w:rPr>
                <w:color w:val="000000"/>
                <w:sz w:val="16"/>
                <w:szCs w:val="16"/>
              </w:rPr>
            </w:pPr>
            <w:r w:rsidRPr="00A32AF4">
              <w:rPr>
                <w:color w:val="000000"/>
                <w:sz w:val="16"/>
                <w:szCs w:val="16"/>
              </w:rPr>
              <w:t>IX.8 Renforcement de l</w:t>
            </w:r>
            <w:r w:rsidR="00E2055A" w:rsidRPr="00A32AF4">
              <w:rPr>
                <w:color w:val="000000"/>
                <w:sz w:val="16"/>
                <w:szCs w:val="16"/>
              </w:rPr>
              <w:t>’</w:t>
            </w:r>
            <w:r w:rsidRPr="00A32AF4">
              <w:rPr>
                <w:color w:val="000000"/>
                <w:sz w:val="16"/>
                <w:szCs w:val="16"/>
              </w:rPr>
              <w:t>obligation redditionnelle, de l</w:t>
            </w:r>
            <w:r w:rsidR="00E2055A" w:rsidRPr="00A32AF4">
              <w:rPr>
                <w:color w:val="000000"/>
                <w:sz w:val="16"/>
                <w:szCs w:val="16"/>
              </w:rPr>
              <w:t>’</w:t>
            </w:r>
            <w:r w:rsidRPr="00A32AF4">
              <w:rPr>
                <w:color w:val="000000"/>
                <w:sz w:val="16"/>
                <w:szCs w:val="16"/>
              </w:rPr>
              <w:t>apprentissage institutionnel, de l</w:t>
            </w:r>
            <w:r w:rsidR="00E2055A" w:rsidRPr="00A32AF4">
              <w:rPr>
                <w:color w:val="000000"/>
                <w:sz w:val="16"/>
                <w:szCs w:val="16"/>
              </w:rPr>
              <w:t>’</w:t>
            </w:r>
            <w:r w:rsidRPr="00A32AF4">
              <w:rPr>
                <w:color w:val="000000"/>
                <w:sz w:val="16"/>
                <w:szCs w:val="16"/>
              </w:rPr>
              <w:t>optimisation des ressources financières, de l</w:t>
            </w:r>
            <w:r w:rsidR="00E2055A" w:rsidRPr="00A32AF4">
              <w:rPr>
                <w:color w:val="000000"/>
                <w:sz w:val="16"/>
                <w:szCs w:val="16"/>
              </w:rPr>
              <w:t>’</w:t>
            </w:r>
            <w:r w:rsidRPr="00A32AF4">
              <w:rPr>
                <w:color w:val="000000"/>
                <w:sz w:val="16"/>
                <w:szCs w:val="16"/>
              </w:rPr>
              <w:t>administration, du contrôle interne et de la gestion institutionnelle avec le concours d</w:t>
            </w:r>
            <w:r w:rsidR="00E2055A" w:rsidRPr="00A32AF4">
              <w:rPr>
                <w:color w:val="000000"/>
                <w:sz w:val="16"/>
                <w:szCs w:val="16"/>
              </w:rPr>
              <w:t>’</w:t>
            </w:r>
            <w:r w:rsidRPr="00A32AF4">
              <w:rPr>
                <w:color w:val="000000"/>
                <w:sz w:val="16"/>
                <w:szCs w:val="16"/>
              </w:rPr>
              <w:t xml:space="preserve">une supervision indépendante efficace.  </w:t>
            </w:r>
          </w:p>
        </w:tc>
        <w:tc>
          <w:tcPr>
            <w:tcW w:w="2620" w:type="dxa"/>
            <w:tcBorders>
              <w:top w:val="single" w:sz="4" w:space="0" w:color="auto"/>
              <w:bottom w:val="nil"/>
            </w:tcBorders>
            <w:shd w:val="clear" w:color="000000" w:fill="FFFFFF"/>
            <w:tcMar>
              <w:top w:w="113" w:type="dxa"/>
              <w:bottom w:w="113" w:type="dxa"/>
            </w:tcMar>
            <w:hideMark/>
          </w:tcPr>
          <w:p w:rsidR="00E349CF" w:rsidRPr="00A32AF4" w:rsidRDefault="00E349CF" w:rsidP="00DC0553">
            <w:pPr>
              <w:ind w:firstLineChars="13" w:firstLine="21"/>
              <w:rPr>
                <w:color w:val="000000"/>
                <w:sz w:val="16"/>
                <w:szCs w:val="16"/>
              </w:rPr>
            </w:pPr>
            <w:r w:rsidRPr="00A32AF4">
              <w:rPr>
                <w:caps/>
                <w:color w:val="000000"/>
                <w:sz w:val="16"/>
                <w:szCs w:val="16"/>
              </w:rPr>
              <w:t>INDÉPENDaNCE</w:t>
            </w:r>
            <w:r w:rsidRPr="00A32AF4">
              <w:rPr>
                <w:color w:val="000000"/>
                <w:sz w:val="16"/>
                <w:szCs w:val="16"/>
              </w:rPr>
              <w:t xml:space="preserve"> – Aucune interférence et indépendance perçue par les principales parties prenantes</w:t>
            </w:r>
          </w:p>
        </w:tc>
        <w:tc>
          <w:tcPr>
            <w:tcW w:w="2340" w:type="dxa"/>
            <w:tcBorders>
              <w:top w:val="single" w:sz="4" w:space="0" w:color="auto"/>
              <w:bottom w:val="nil"/>
            </w:tcBorders>
            <w:shd w:val="clear" w:color="000000" w:fill="FFFFFF"/>
            <w:tcMar>
              <w:top w:w="113" w:type="dxa"/>
              <w:bottom w:w="113" w:type="dxa"/>
            </w:tcMar>
            <w:hideMark/>
          </w:tcPr>
          <w:p w:rsidR="00E349CF" w:rsidRPr="00A32AF4" w:rsidRDefault="00E349CF" w:rsidP="00DC0553">
            <w:pPr>
              <w:ind w:firstLineChars="56" w:firstLine="90"/>
              <w:rPr>
                <w:color w:val="000000"/>
                <w:sz w:val="16"/>
                <w:szCs w:val="16"/>
              </w:rPr>
            </w:pPr>
            <w:r w:rsidRPr="00A32AF4">
              <w:rPr>
                <w:color w:val="000000"/>
                <w:sz w:val="16"/>
                <w:szCs w:val="16"/>
              </w:rPr>
              <w:t>Aucune interférence dans les travaux de la DSI</w:t>
            </w:r>
          </w:p>
        </w:tc>
        <w:tc>
          <w:tcPr>
            <w:tcW w:w="2109" w:type="dxa"/>
            <w:tcBorders>
              <w:top w:val="single" w:sz="4" w:space="0" w:color="auto"/>
              <w:bottom w:val="nil"/>
            </w:tcBorders>
            <w:shd w:val="clear" w:color="000000" w:fill="FFFFFF"/>
            <w:tcMar>
              <w:top w:w="113" w:type="dxa"/>
              <w:bottom w:w="113" w:type="dxa"/>
            </w:tcMar>
            <w:hideMark/>
          </w:tcPr>
          <w:p w:rsidR="00E349CF" w:rsidRPr="00A32AF4" w:rsidRDefault="00E349CF" w:rsidP="00DC0553">
            <w:pPr>
              <w:ind w:firstLineChars="12" w:firstLine="19"/>
              <w:rPr>
                <w:color w:val="000000"/>
                <w:sz w:val="16"/>
                <w:szCs w:val="16"/>
              </w:rPr>
            </w:pPr>
            <w:r w:rsidRPr="00A32AF4">
              <w:rPr>
                <w:color w:val="000000"/>
                <w:sz w:val="16"/>
                <w:szCs w:val="16"/>
              </w:rPr>
              <w:t>Aucune interférence dans les travaux de la DSI</w:t>
            </w:r>
          </w:p>
        </w:tc>
      </w:tr>
      <w:tr w:rsidR="00E349CF" w:rsidRPr="00A32AF4" w:rsidTr="00E349CF">
        <w:trPr>
          <w:cantSplit/>
        </w:trPr>
        <w:tc>
          <w:tcPr>
            <w:tcW w:w="2160" w:type="dxa"/>
            <w:vMerge/>
            <w:tcBorders>
              <w:top w:val="nil"/>
            </w:tcBorders>
            <w:tcMar>
              <w:top w:w="113" w:type="dxa"/>
              <w:bottom w:w="113" w:type="dxa"/>
            </w:tcMar>
            <w:vAlign w:val="center"/>
            <w:hideMark/>
          </w:tcPr>
          <w:p w:rsidR="00E349CF" w:rsidRPr="00A32AF4" w:rsidRDefault="00E349CF" w:rsidP="00DC0553">
            <w:pPr>
              <w:rPr>
                <w:color w:val="000000"/>
                <w:sz w:val="16"/>
                <w:szCs w:val="16"/>
              </w:rPr>
            </w:pPr>
          </w:p>
        </w:tc>
        <w:tc>
          <w:tcPr>
            <w:tcW w:w="2620" w:type="dxa"/>
            <w:tcBorders>
              <w:top w:val="nil"/>
            </w:tcBorders>
            <w:shd w:val="clear" w:color="000000" w:fill="FFFFFF"/>
            <w:tcMar>
              <w:top w:w="113" w:type="dxa"/>
              <w:bottom w:w="113" w:type="dxa"/>
            </w:tcMar>
            <w:hideMark/>
          </w:tcPr>
          <w:p w:rsidR="00E349CF" w:rsidRPr="00A32AF4" w:rsidRDefault="00E349CF" w:rsidP="00DC0553">
            <w:pPr>
              <w:rPr>
                <w:color w:val="000000"/>
                <w:sz w:val="16"/>
                <w:szCs w:val="16"/>
              </w:rPr>
            </w:pPr>
            <w:r w:rsidRPr="00A32AF4">
              <w:rPr>
                <w:caps/>
                <w:color w:val="000000"/>
                <w:sz w:val="16"/>
                <w:szCs w:val="16"/>
              </w:rPr>
              <w:t>EFFicacitÉ</w:t>
            </w:r>
            <w:r w:rsidRPr="00A32AF4">
              <w:rPr>
                <w:color w:val="000000"/>
                <w:sz w:val="16"/>
                <w:szCs w:val="16"/>
              </w:rPr>
              <w:t xml:space="preserve"> – </w:t>
            </w:r>
            <w:r w:rsidR="001C7D5C" w:rsidRPr="00A32AF4">
              <w:rPr>
                <w:color w:val="000000"/>
                <w:sz w:val="16"/>
                <w:szCs w:val="16"/>
              </w:rPr>
              <w:t>Pourcentage</w:t>
            </w:r>
            <w:r w:rsidRPr="00A32AF4">
              <w:rPr>
                <w:color w:val="000000"/>
                <w:sz w:val="16"/>
                <w:szCs w:val="16"/>
              </w:rPr>
              <w:t xml:space="preserve"> des travaux qui couvrent des domaines à haut risque, de la plus haute importance, en conformité avec la stratégie de l</w:t>
            </w:r>
            <w:r w:rsidR="00E2055A" w:rsidRPr="00A32AF4">
              <w:rPr>
                <w:color w:val="000000"/>
                <w:sz w:val="16"/>
                <w:szCs w:val="16"/>
              </w:rPr>
              <w:t>’</w:t>
            </w:r>
            <w:r w:rsidRPr="00A32AF4">
              <w:rPr>
                <w:color w:val="000000"/>
                <w:sz w:val="16"/>
                <w:szCs w:val="16"/>
              </w:rPr>
              <w:t>Organisation</w:t>
            </w:r>
          </w:p>
          <w:p w:rsidR="00E349CF" w:rsidRPr="00A32AF4" w:rsidRDefault="00E349CF" w:rsidP="00DC0553">
            <w:pPr>
              <w:rPr>
                <w:color w:val="000000"/>
                <w:sz w:val="16"/>
                <w:szCs w:val="16"/>
              </w:rPr>
            </w:pPr>
            <w:r w:rsidRPr="00A32AF4">
              <w:rPr>
                <w:color w:val="000000"/>
                <w:sz w:val="16"/>
                <w:szCs w:val="16"/>
              </w:rPr>
              <w:br/>
            </w:r>
          </w:p>
          <w:p w:rsidR="00E349CF" w:rsidRPr="00A32AF4" w:rsidRDefault="00E349CF" w:rsidP="00DC0553">
            <w:pPr>
              <w:rPr>
                <w:color w:val="000000"/>
                <w:sz w:val="16"/>
                <w:szCs w:val="16"/>
              </w:rPr>
            </w:pPr>
            <w:r w:rsidRPr="00A32AF4">
              <w:rPr>
                <w:color w:val="000000"/>
                <w:sz w:val="16"/>
                <w:szCs w:val="16"/>
              </w:rPr>
              <w:t>EFFICIENCE – les rapports de la DSI sont établis dans les délais et contiennent des recommandations précises, mesurables, réalistes, pertinentes et assorties de délais</w:t>
            </w:r>
          </w:p>
        </w:tc>
        <w:tc>
          <w:tcPr>
            <w:tcW w:w="2340" w:type="dxa"/>
            <w:tcBorders>
              <w:top w:val="nil"/>
            </w:tcBorders>
            <w:shd w:val="clear" w:color="000000" w:fill="FFFFFF"/>
            <w:tcMar>
              <w:top w:w="113" w:type="dxa"/>
              <w:bottom w:w="113" w:type="dxa"/>
            </w:tcMar>
            <w:hideMark/>
          </w:tcPr>
          <w:p w:rsidR="00E349CF" w:rsidRPr="00A32AF4" w:rsidRDefault="00E349CF" w:rsidP="00DC0553">
            <w:pPr>
              <w:rPr>
                <w:color w:val="000000"/>
                <w:sz w:val="16"/>
                <w:szCs w:val="16"/>
              </w:rPr>
            </w:pPr>
            <w:r w:rsidRPr="00A32AF4">
              <w:rPr>
                <w:color w:val="000000"/>
                <w:sz w:val="16"/>
                <w:szCs w:val="16"/>
              </w:rPr>
              <w:t>Tous les travaux (100%) couvrent des secteurs à haut risque de la plus haute importance</w:t>
            </w:r>
          </w:p>
          <w:p w:rsidR="00E349CF" w:rsidRPr="00A32AF4" w:rsidRDefault="00E349CF" w:rsidP="00DC0553">
            <w:pPr>
              <w:rPr>
                <w:color w:val="000000"/>
                <w:sz w:val="16"/>
                <w:szCs w:val="16"/>
              </w:rPr>
            </w:pPr>
          </w:p>
          <w:p w:rsidR="00E349CF" w:rsidRPr="00A32AF4" w:rsidRDefault="00E349CF" w:rsidP="00DC0553">
            <w:pPr>
              <w:rPr>
                <w:color w:val="000000"/>
                <w:sz w:val="16"/>
                <w:szCs w:val="16"/>
              </w:rPr>
            </w:pPr>
          </w:p>
          <w:p w:rsidR="00E349CF" w:rsidRPr="00A32AF4" w:rsidRDefault="00E349CF" w:rsidP="00DC0553">
            <w:pPr>
              <w:rPr>
                <w:color w:val="000000"/>
                <w:sz w:val="16"/>
                <w:szCs w:val="16"/>
              </w:rPr>
            </w:pPr>
          </w:p>
          <w:p w:rsidR="00E349CF" w:rsidRPr="00A32AF4" w:rsidRDefault="00E349CF" w:rsidP="00DC0553">
            <w:pPr>
              <w:rPr>
                <w:color w:val="000000"/>
                <w:sz w:val="16"/>
                <w:szCs w:val="16"/>
              </w:rPr>
            </w:pPr>
          </w:p>
          <w:p w:rsidR="00E349CF" w:rsidRPr="00A32AF4" w:rsidRDefault="00E349CF" w:rsidP="00DC0553">
            <w:pPr>
              <w:rPr>
                <w:color w:val="000000"/>
                <w:sz w:val="16"/>
                <w:szCs w:val="16"/>
              </w:rPr>
            </w:pPr>
            <w:r w:rsidRPr="00A32AF4">
              <w:rPr>
                <w:color w:val="000000"/>
                <w:sz w:val="16"/>
                <w:szCs w:val="16"/>
              </w:rPr>
              <w:t>75% des rapports d</w:t>
            </w:r>
            <w:r w:rsidR="00E2055A" w:rsidRPr="00A32AF4">
              <w:rPr>
                <w:color w:val="000000"/>
                <w:sz w:val="16"/>
                <w:szCs w:val="16"/>
              </w:rPr>
              <w:t>’</w:t>
            </w:r>
            <w:r w:rsidRPr="00A32AF4">
              <w:rPr>
                <w:color w:val="000000"/>
                <w:sz w:val="16"/>
                <w:szCs w:val="16"/>
              </w:rPr>
              <w:t>audit et d</w:t>
            </w:r>
            <w:r w:rsidR="00E2055A" w:rsidRPr="00A32AF4">
              <w:rPr>
                <w:color w:val="000000"/>
                <w:sz w:val="16"/>
                <w:szCs w:val="16"/>
              </w:rPr>
              <w:t>’</w:t>
            </w:r>
            <w:r w:rsidRPr="00A32AF4">
              <w:rPr>
                <w:color w:val="000000"/>
                <w:sz w:val="16"/>
                <w:szCs w:val="16"/>
              </w:rPr>
              <w:t>évaluation établis en moins de 4 </w:t>
            </w:r>
            <w:proofErr w:type="gramStart"/>
            <w:r w:rsidRPr="00A32AF4">
              <w:rPr>
                <w:color w:val="000000"/>
                <w:sz w:val="16"/>
                <w:szCs w:val="16"/>
              </w:rPr>
              <w:t>mois;</w:t>
            </w:r>
            <w:proofErr w:type="gramEnd"/>
            <w:r w:rsidRPr="00A32AF4">
              <w:rPr>
                <w:color w:val="000000"/>
                <w:sz w:val="16"/>
                <w:szCs w:val="16"/>
              </w:rPr>
              <w:t xml:space="preserve">  </w:t>
            </w:r>
            <w:r w:rsidRPr="00A32AF4">
              <w:rPr>
                <w:color w:val="000000"/>
                <w:sz w:val="16"/>
                <w:szCs w:val="16"/>
              </w:rPr>
              <w:br/>
              <w:t>tous les rapports sur les activités d</w:t>
            </w:r>
            <w:r w:rsidR="00E2055A" w:rsidRPr="00A32AF4">
              <w:rPr>
                <w:color w:val="000000"/>
                <w:sz w:val="16"/>
                <w:szCs w:val="16"/>
              </w:rPr>
              <w:t>’</w:t>
            </w:r>
            <w:r w:rsidRPr="00A32AF4">
              <w:rPr>
                <w:color w:val="000000"/>
                <w:sz w:val="16"/>
                <w:szCs w:val="16"/>
              </w:rPr>
              <w:t>enquête établis conformément à la politique en matière d</w:t>
            </w:r>
            <w:r w:rsidR="00E2055A" w:rsidRPr="00A32AF4">
              <w:rPr>
                <w:color w:val="000000"/>
                <w:sz w:val="16"/>
                <w:szCs w:val="16"/>
              </w:rPr>
              <w:t>’</w:t>
            </w:r>
            <w:r w:rsidRPr="00A32AF4">
              <w:rPr>
                <w:color w:val="000000"/>
                <w:sz w:val="16"/>
                <w:szCs w:val="16"/>
              </w:rPr>
              <w:t>enquêtes;</w:t>
            </w:r>
            <w:r w:rsidRPr="00A32AF4">
              <w:rPr>
                <w:color w:val="000000"/>
                <w:sz w:val="16"/>
                <w:szCs w:val="16"/>
              </w:rPr>
              <w:br/>
              <w:t>75% des recommandations sont précises, mesurables, réalistes, pertinentes et assorties de délais</w:t>
            </w:r>
          </w:p>
        </w:tc>
        <w:tc>
          <w:tcPr>
            <w:tcW w:w="2109" w:type="dxa"/>
            <w:tcBorders>
              <w:top w:val="nil"/>
            </w:tcBorders>
            <w:shd w:val="clear" w:color="000000" w:fill="FFFFFF"/>
            <w:tcMar>
              <w:top w:w="113" w:type="dxa"/>
              <w:bottom w:w="113" w:type="dxa"/>
            </w:tcMar>
            <w:hideMark/>
          </w:tcPr>
          <w:p w:rsidR="00E349CF" w:rsidRPr="00A32AF4" w:rsidRDefault="00E349CF" w:rsidP="00DC0553">
            <w:pPr>
              <w:rPr>
                <w:color w:val="000000"/>
                <w:sz w:val="16"/>
                <w:szCs w:val="16"/>
              </w:rPr>
            </w:pPr>
            <w:r w:rsidRPr="00A32AF4">
              <w:rPr>
                <w:color w:val="000000"/>
                <w:sz w:val="16"/>
                <w:szCs w:val="16"/>
              </w:rPr>
              <w:t>Tous les travaux (100%) couvrent des secteurs à haut risque de la plus haute importance, en conformité avec les objectifs stratégiques de l</w:t>
            </w:r>
            <w:r w:rsidR="00E2055A" w:rsidRPr="00A32AF4">
              <w:rPr>
                <w:color w:val="000000"/>
                <w:sz w:val="16"/>
                <w:szCs w:val="16"/>
              </w:rPr>
              <w:t>’</w:t>
            </w:r>
            <w:r w:rsidRPr="00A32AF4">
              <w:rPr>
                <w:color w:val="000000"/>
                <w:sz w:val="16"/>
                <w:szCs w:val="16"/>
              </w:rPr>
              <w:t>OMPI</w:t>
            </w:r>
            <w:r w:rsidRPr="00A32AF4">
              <w:rPr>
                <w:color w:val="000000"/>
                <w:sz w:val="16"/>
                <w:szCs w:val="16"/>
              </w:rPr>
              <w:br/>
            </w:r>
          </w:p>
          <w:p w:rsidR="00E349CF" w:rsidRPr="00A32AF4" w:rsidRDefault="00E349CF" w:rsidP="00DC0553">
            <w:pPr>
              <w:rPr>
                <w:color w:val="000000"/>
                <w:sz w:val="16"/>
                <w:szCs w:val="16"/>
              </w:rPr>
            </w:pPr>
            <w:r w:rsidRPr="00A32AF4">
              <w:rPr>
                <w:color w:val="000000"/>
                <w:sz w:val="16"/>
                <w:szCs w:val="16"/>
              </w:rPr>
              <w:t>85% des rapports d</w:t>
            </w:r>
            <w:r w:rsidR="00E2055A" w:rsidRPr="00A32AF4">
              <w:rPr>
                <w:color w:val="000000"/>
                <w:sz w:val="16"/>
                <w:szCs w:val="16"/>
              </w:rPr>
              <w:t>’</w:t>
            </w:r>
            <w:r w:rsidRPr="00A32AF4">
              <w:rPr>
                <w:color w:val="000000"/>
                <w:sz w:val="16"/>
                <w:szCs w:val="16"/>
              </w:rPr>
              <w:t>audit et d</w:t>
            </w:r>
            <w:r w:rsidR="00E2055A" w:rsidRPr="00A32AF4">
              <w:rPr>
                <w:color w:val="000000"/>
                <w:sz w:val="16"/>
                <w:szCs w:val="16"/>
              </w:rPr>
              <w:t>’</w:t>
            </w:r>
            <w:r w:rsidRPr="00A32AF4">
              <w:rPr>
                <w:color w:val="000000"/>
                <w:sz w:val="16"/>
                <w:szCs w:val="16"/>
              </w:rPr>
              <w:t xml:space="preserve">évaluation établis en moins de 4 mois;  </w:t>
            </w:r>
            <w:r w:rsidRPr="00A32AF4">
              <w:rPr>
                <w:color w:val="000000"/>
                <w:sz w:val="16"/>
                <w:szCs w:val="16"/>
              </w:rPr>
              <w:br/>
              <w:t>tous les rapports sur les activités d</w:t>
            </w:r>
            <w:r w:rsidR="00E2055A" w:rsidRPr="00A32AF4">
              <w:rPr>
                <w:color w:val="000000"/>
                <w:sz w:val="16"/>
                <w:szCs w:val="16"/>
              </w:rPr>
              <w:t>’</w:t>
            </w:r>
            <w:r w:rsidRPr="00A32AF4">
              <w:rPr>
                <w:color w:val="000000"/>
                <w:sz w:val="16"/>
                <w:szCs w:val="16"/>
              </w:rPr>
              <w:t>enquête établis dans le délai prévu par la politique en matière d</w:t>
            </w:r>
            <w:r w:rsidR="00E2055A" w:rsidRPr="00A32AF4">
              <w:rPr>
                <w:color w:val="000000"/>
                <w:sz w:val="16"/>
                <w:szCs w:val="16"/>
              </w:rPr>
              <w:t>’</w:t>
            </w:r>
            <w:r w:rsidRPr="00A32AF4">
              <w:rPr>
                <w:color w:val="000000"/>
                <w:sz w:val="16"/>
                <w:szCs w:val="16"/>
              </w:rPr>
              <w:t>enquêtes;  100% des recommandations sont précises, mesurables, réalistes, pertinentes et assorties de délais</w:t>
            </w:r>
          </w:p>
        </w:tc>
      </w:tr>
      <w:tr w:rsidR="00E349CF" w:rsidRPr="00A32AF4" w:rsidTr="00E349CF">
        <w:trPr>
          <w:cantSplit/>
        </w:trPr>
        <w:tc>
          <w:tcPr>
            <w:tcW w:w="2160" w:type="dxa"/>
            <w:vMerge/>
            <w:tcMar>
              <w:top w:w="113" w:type="dxa"/>
              <w:bottom w:w="113" w:type="dxa"/>
            </w:tcMar>
            <w:vAlign w:val="center"/>
            <w:hideMark/>
          </w:tcPr>
          <w:p w:rsidR="00E349CF" w:rsidRPr="00A32AF4" w:rsidRDefault="00E349CF" w:rsidP="00DC0553">
            <w:pPr>
              <w:rPr>
                <w:color w:val="000000"/>
                <w:sz w:val="16"/>
                <w:szCs w:val="16"/>
              </w:rPr>
            </w:pPr>
          </w:p>
        </w:tc>
        <w:tc>
          <w:tcPr>
            <w:tcW w:w="2620" w:type="dxa"/>
            <w:shd w:val="clear" w:color="000000" w:fill="FFFFFF"/>
            <w:tcMar>
              <w:top w:w="113" w:type="dxa"/>
              <w:bottom w:w="113" w:type="dxa"/>
            </w:tcMar>
            <w:hideMark/>
          </w:tcPr>
          <w:p w:rsidR="00E349CF" w:rsidRPr="00A32AF4" w:rsidRDefault="00E349CF" w:rsidP="00DC0553">
            <w:pPr>
              <w:rPr>
                <w:color w:val="000000"/>
                <w:sz w:val="16"/>
                <w:szCs w:val="16"/>
              </w:rPr>
            </w:pPr>
            <w:r w:rsidRPr="00A32AF4">
              <w:rPr>
                <w:color w:val="000000"/>
                <w:sz w:val="16"/>
                <w:szCs w:val="16"/>
              </w:rPr>
              <w:t>PERTINENCE, VALEUR AJOUTÉE &amp; ADMINISTRATION – Économies tangibles ou améliorations concrètes apportées aux processus et systèmes opérationnels</w:t>
            </w:r>
          </w:p>
        </w:tc>
        <w:tc>
          <w:tcPr>
            <w:tcW w:w="2340" w:type="dxa"/>
            <w:shd w:val="clear" w:color="000000" w:fill="FFFFFF"/>
            <w:tcMar>
              <w:top w:w="113" w:type="dxa"/>
              <w:bottom w:w="113" w:type="dxa"/>
            </w:tcMar>
            <w:hideMark/>
          </w:tcPr>
          <w:p w:rsidR="00E349CF" w:rsidRPr="00A32AF4" w:rsidRDefault="00E349CF" w:rsidP="00DC0553">
            <w:pPr>
              <w:rPr>
                <w:color w:val="000000"/>
                <w:sz w:val="16"/>
                <w:szCs w:val="16"/>
              </w:rPr>
            </w:pPr>
            <w:r w:rsidRPr="00A32AF4">
              <w:rPr>
                <w:color w:val="000000"/>
                <w:sz w:val="16"/>
                <w:szCs w:val="16"/>
              </w:rPr>
              <w:t>n.d. (à disposition fin 2015)</w:t>
            </w:r>
          </w:p>
        </w:tc>
        <w:tc>
          <w:tcPr>
            <w:tcW w:w="2109" w:type="dxa"/>
            <w:shd w:val="clear" w:color="000000" w:fill="FFFFFF"/>
            <w:tcMar>
              <w:top w:w="113" w:type="dxa"/>
              <w:bottom w:w="113" w:type="dxa"/>
            </w:tcMar>
            <w:hideMark/>
          </w:tcPr>
          <w:p w:rsidR="00E349CF" w:rsidRPr="00A32AF4" w:rsidRDefault="00E349CF" w:rsidP="00DC0553">
            <w:pPr>
              <w:rPr>
                <w:color w:val="000000"/>
                <w:sz w:val="16"/>
                <w:szCs w:val="16"/>
              </w:rPr>
            </w:pPr>
            <w:r w:rsidRPr="00A32AF4">
              <w:rPr>
                <w:color w:val="000000"/>
                <w:sz w:val="16"/>
                <w:szCs w:val="16"/>
              </w:rPr>
              <w:t>50% des recommandations se traduisent par des gains d</w:t>
            </w:r>
            <w:r w:rsidR="00E2055A" w:rsidRPr="00A32AF4">
              <w:rPr>
                <w:color w:val="000000"/>
                <w:sz w:val="16"/>
                <w:szCs w:val="16"/>
              </w:rPr>
              <w:t>’</w:t>
            </w:r>
            <w:r w:rsidRPr="00A32AF4">
              <w:rPr>
                <w:color w:val="000000"/>
                <w:sz w:val="16"/>
                <w:szCs w:val="16"/>
              </w:rPr>
              <w:t>efficacité</w:t>
            </w:r>
          </w:p>
        </w:tc>
      </w:tr>
      <w:tr w:rsidR="00E349CF" w:rsidRPr="00A32AF4" w:rsidTr="00E349CF">
        <w:trPr>
          <w:cantSplit/>
        </w:trPr>
        <w:tc>
          <w:tcPr>
            <w:tcW w:w="2160" w:type="dxa"/>
            <w:vMerge/>
            <w:tcMar>
              <w:top w:w="113" w:type="dxa"/>
              <w:bottom w:w="113" w:type="dxa"/>
            </w:tcMar>
            <w:vAlign w:val="center"/>
            <w:hideMark/>
          </w:tcPr>
          <w:p w:rsidR="00E349CF" w:rsidRPr="00A32AF4" w:rsidRDefault="00E349CF" w:rsidP="00DC0553">
            <w:pPr>
              <w:rPr>
                <w:color w:val="000000"/>
                <w:sz w:val="16"/>
                <w:szCs w:val="16"/>
              </w:rPr>
            </w:pPr>
          </w:p>
        </w:tc>
        <w:tc>
          <w:tcPr>
            <w:tcW w:w="2620" w:type="dxa"/>
            <w:shd w:val="clear" w:color="000000" w:fill="FFFFFF"/>
            <w:tcMar>
              <w:top w:w="113" w:type="dxa"/>
              <w:bottom w:w="113" w:type="dxa"/>
            </w:tcMar>
            <w:hideMark/>
          </w:tcPr>
          <w:p w:rsidR="00E349CF" w:rsidRPr="00A32AF4" w:rsidRDefault="00E349CF" w:rsidP="00DC0553">
            <w:pPr>
              <w:rPr>
                <w:color w:val="000000"/>
                <w:sz w:val="16"/>
                <w:szCs w:val="16"/>
              </w:rPr>
            </w:pPr>
            <w:r w:rsidRPr="00A32AF4">
              <w:rPr>
                <w:color w:val="000000"/>
                <w:sz w:val="16"/>
                <w:szCs w:val="16"/>
              </w:rPr>
              <w:t>APPRENTISSAGE INSTITUTIONNEL – Assimilation des enseignements et recommandations des processus de supervision</w:t>
            </w:r>
          </w:p>
        </w:tc>
        <w:tc>
          <w:tcPr>
            <w:tcW w:w="2340" w:type="dxa"/>
            <w:shd w:val="clear" w:color="000000" w:fill="FFFFFF"/>
            <w:tcMar>
              <w:top w:w="113" w:type="dxa"/>
              <w:bottom w:w="113" w:type="dxa"/>
            </w:tcMar>
            <w:hideMark/>
          </w:tcPr>
          <w:p w:rsidR="00E349CF" w:rsidRPr="00A32AF4" w:rsidRDefault="00E349CF" w:rsidP="00DC0553">
            <w:pPr>
              <w:rPr>
                <w:color w:val="000000"/>
                <w:sz w:val="16"/>
                <w:szCs w:val="16"/>
              </w:rPr>
            </w:pPr>
            <w:r w:rsidRPr="00A32AF4">
              <w:rPr>
                <w:color w:val="000000"/>
                <w:sz w:val="16"/>
                <w:szCs w:val="16"/>
              </w:rPr>
              <w:t xml:space="preserve">90% des recommandations </w:t>
            </w:r>
            <w:proofErr w:type="gramStart"/>
            <w:r w:rsidRPr="00A32AF4">
              <w:rPr>
                <w:color w:val="000000"/>
                <w:sz w:val="16"/>
                <w:szCs w:val="16"/>
              </w:rPr>
              <w:t>acceptées;</w:t>
            </w:r>
            <w:proofErr w:type="gramEnd"/>
            <w:r w:rsidRPr="00A32AF4">
              <w:rPr>
                <w:color w:val="000000"/>
                <w:sz w:val="16"/>
                <w:szCs w:val="16"/>
              </w:rPr>
              <w:t xml:space="preserve">  90% des recommandations mises en œuvre dans un délai de deux ans</w:t>
            </w:r>
          </w:p>
        </w:tc>
        <w:tc>
          <w:tcPr>
            <w:tcW w:w="2109" w:type="dxa"/>
            <w:shd w:val="clear" w:color="000000" w:fill="FFFFFF"/>
            <w:tcMar>
              <w:top w:w="113" w:type="dxa"/>
              <w:bottom w:w="113" w:type="dxa"/>
            </w:tcMar>
            <w:hideMark/>
          </w:tcPr>
          <w:p w:rsidR="00E349CF" w:rsidRPr="00A32AF4" w:rsidRDefault="00E349CF" w:rsidP="00DC0553">
            <w:pPr>
              <w:rPr>
                <w:color w:val="000000"/>
                <w:sz w:val="16"/>
                <w:szCs w:val="16"/>
              </w:rPr>
            </w:pPr>
            <w:r w:rsidRPr="00A32AF4">
              <w:rPr>
                <w:color w:val="000000"/>
                <w:sz w:val="16"/>
                <w:szCs w:val="16"/>
              </w:rPr>
              <w:t xml:space="preserve">90% des recommandations </w:t>
            </w:r>
            <w:proofErr w:type="gramStart"/>
            <w:r w:rsidRPr="00A32AF4">
              <w:rPr>
                <w:color w:val="000000"/>
                <w:sz w:val="16"/>
                <w:szCs w:val="16"/>
              </w:rPr>
              <w:t>acceptées;</w:t>
            </w:r>
            <w:proofErr w:type="gramEnd"/>
            <w:r w:rsidRPr="00A32AF4">
              <w:rPr>
                <w:color w:val="000000"/>
                <w:sz w:val="16"/>
                <w:szCs w:val="16"/>
              </w:rPr>
              <w:t xml:space="preserve">  90% des recommandations mises en œuvre dans un délai de deux ans</w:t>
            </w:r>
          </w:p>
        </w:tc>
      </w:tr>
    </w:tbl>
    <w:p w:rsidR="00E349CF" w:rsidRPr="00A32AF4" w:rsidRDefault="003251C6" w:rsidP="00DC0553">
      <w:r w:rsidRPr="00A32AF4">
        <w:t>RESSOURCES ALLOUÉES AU PROGRAMME 26</w:t>
      </w:r>
    </w:p>
    <w:p w:rsidR="00E349CF" w:rsidRPr="00A32AF4" w:rsidRDefault="00E349CF" w:rsidP="00DC0553"/>
    <w:p w:rsidR="00E349CF" w:rsidRPr="00A32AF4" w:rsidRDefault="00E349CF" w:rsidP="00DC0553">
      <w:pPr>
        <w:pStyle w:val="ListParagraph"/>
        <w:numPr>
          <w:ilvl w:val="0"/>
          <w:numId w:val="59"/>
        </w:numPr>
        <w:tabs>
          <w:tab w:val="left" w:pos="709"/>
        </w:tabs>
        <w:autoSpaceDE w:val="0"/>
        <w:autoSpaceDN w:val="0"/>
        <w:adjustRightInd w:val="0"/>
        <w:spacing w:after="0" w:line="240" w:lineRule="auto"/>
        <w:ind w:left="0" w:firstLine="0"/>
        <w:jc w:val="both"/>
        <w:rPr>
          <w:rFonts w:ascii="Arial" w:hAnsi="Arial" w:cs="Arial"/>
          <w:szCs w:val="20"/>
        </w:rPr>
      </w:pPr>
      <w:r w:rsidRPr="00A32AF4">
        <w:rPr>
          <w:rFonts w:ascii="Arial" w:hAnsi="Arial" w:cs="Arial"/>
          <w:szCs w:val="20"/>
        </w:rPr>
        <w:t>Les ressources globales allouées au programme 26 pour l</w:t>
      </w:r>
      <w:r w:rsidR="00E2055A" w:rsidRPr="00A32AF4">
        <w:rPr>
          <w:rFonts w:ascii="Arial" w:hAnsi="Arial" w:cs="Arial"/>
          <w:szCs w:val="20"/>
        </w:rPr>
        <w:t>’</w:t>
      </w:r>
      <w:r w:rsidRPr="00A32AF4">
        <w:rPr>
          <w:rFonts w:ascii="Arial" w:hAnsi="Arial" w:cs="Arial"/>
          <w:szCs w:val="20"/>
        </w:rPr>
        <w:t>exercice biennal 2016</w:t>
      </w:r>
      <w:r w:rsidR="00EB7F54" w:rsidRPr="00A32AF4">
        <w:rPr>
          <w:rFonts w:ascii="Arial" w:hAnsi="Arial" w:cs="Arial"/>
          <w:szCs w:val="20"/>
        </w:rPr>
        <w:noBreakHyphen/>
      </w:r>
      <w:r w:rsidRPr="00A32AF4">
        <w:rPr>
          <w:rFonts w:ascii="Arial" w:hAnsi="Arial" w:cs="Arial"/>
          <w:szCs w:val="20"/>
        </w:rPr>
        <w:t>2017 ont légèrement augmenté par rapport au budget 2014</w:t>
      </w:r>
      <w:r w:rsidR="00EB7F54" w:rsidRPr="00A32AF4">
        <w:rPr>
          <w:rFonts w:ascii="Arial" w:hAnsi="Arial" w:cs="Arial"/>
          <w:szCs w:val="20"/>
        </w:rPr>
        <w:noBreakHyphen/>
      </w:r>
      <w:r w:rsidRPr="00A32AF4">
        <w:rPr>
          <w:rFonts w:ascii="Arial" w:hAnsi="Arial" w:cs="Arial"/>
          <w:szCs w:val="20"/>
        </w:rPr>
        <w:t>2015 après virements.  Cela découle du changement de la méthode de calcul des coûts relatifs aux ressources en personnel pour l</w:t>
      </w:r>
      <w:r w:rsidR="00E2055A" w:rsidRPr="00A32AF4">
        <w:rPr>
          <w:rFonts w:ascii="Arial" w:hAnsi="Arial" w:cs="Arial"/>
          <w:szCs w:val="20"/>
        </w:rPr>
        <w:t>’</w:t>
      </w:r>
      <w:r w:rsidRPr="00A32AF4">
        <w:rPr>
          <w:rFonts w:ascii="Arial" w:hAnsi="Arial" w:cs="Arial"/>
          <w:szCs w:val="20"/>
        </w:rPr>
        <w:t>exercice 2016</w:t>
      </w:r>
      <w:r w:rsidR="00EB7F54" w:rsidRPr="00A32AF4">
        <w:rPr>
          <w:rFonts w:ascii="Arial" w:hAnsi="Arial" w:cs="Arial"/>
          <w:szCs w:val="20"/>
        </w:rPr>
        <w:noBreakHyphen/>
      </w:r>
      <w:r w:rsidRPr="00A32AF4">
        <w:rPr>
          <w:rFonts w:ascii="Arial" w:hAnsi="Arial" w:cs="Arial"/>
          <w:szCs w:val="20"/>
        </w:rPr>
        <w:t>2017, sur la base des coûts réels.</w:t>
      </w:r>
    </w:p>
    <w:p w:rsidR="00E349CF" w:rsidRPr="00A32AF4" w:rsidRDefault="00E349CF" w:rsidP="00DC0553">
      <w:pPr>
        <w:rPr>
          <w:rFonts w:cs="Arial"/>
        </w:rPr>
      </w:pPr>
    </w:p>
    <w:p w:rsidR="00F93B76" w:rsidRPr="00A32AF4" w:rsidRDefault="00F93B76" w:rsidP="00DC0553">
      <w:pPr>
        <w:rPr>
          <w:rFonts w:cs="Arial"/>
          <w:lang w:eastAsia="da-DK"/>
        </w:rPr>
      </w:pPr>
    </w:p>
    <w:p w:rsidR="00F93B76" w:rsidRPr="00A32AF4" w:rsidRDefault="00D5544C" w:rsidP="00DC0553">
      <w:pPr>
        <w:keepNext/>
        <w:keepLines/>
        <w:autoSpaceDE w:val="0"/>
        <w:autoSpaceDN w:val="0"/>
        <w:jc w:val="center"/>
        <w:rPr>
          <w:rFonts w:cs="Arial"/>
          <w:b/>
        </w:rPr>
      </w:pPr>
      <w:r w:rsidRPr="00A32AF4">
        <w:rPr>
          <w:rFonts w:cs="Arial"/>
          <w:b/>
        </w:rPr>
        <w:t>Programme 26 : ressources par résultat</w:t>
      </w:r>
    </w:p>
    <w:p w:rsidR="00F93B76" w:rsidRPr="00A32AF4" w:rsidRDefault="00D5544C" w:rsidP="00DC0553">
      <w:pPr>
        <w:keepNext/>
        <w:keepLines/>
        <w:autoSpaceDE w:val="0"/>
        <w:autoSpaceDN w:val="0"/>
        <w:jc w:val="center"/>
        <w:rPr>
          <w:rFonts w:cs="Arial"/>
          <w:i/>
        </w:rPr>
      </w:pPr>
      <w:r w:rsidRPr="00A32AF4">
        <w:rPr>
          <w:rFonts w:cs="Arial"/>
          <w:i/>
        </w:rPr>
        <w:t>(</w:t>
      </w:r>
      <w:proofErr w:type="gramStart"/>
      <w:r w:rsidRPr="00A32AF4">
        <w:rPr>
          <w:rFonts w:cs="Arial"/>
          <w:i/>
        </w:rPr>
        <w:t>en</w:t>
      </w:r>
      <w:proofErr w:type="gramEnd"/>
      <w:r w:rsidRPr="00A32AF4">
        <w:rPr>
          <w:rFonts w:cs="Arial"/>
          <w:i/>
        </w:rPr>
        <w:t xml:space="preserve"> milliers de francs suisses)</w:t>
      </w:r>
    </w:p>
    <w:p w:rsidR="00D5544C" w:rsidRPr="00A32AF4" w:rsidRDefault="00D5544C" w:rsidP="00DC0553">
      <w:pPr>
        <w:keepNext/>
      </w:pPr>
    </w:p>
    <w:tbl>
      <w:tblPr>
        <w:tblW w:w="8980" w:type="dxa"/>
        <w:tblInd w:w="55" w:type="dxa"/>
        <w:tblCellMar>
          <w:left w:w="70" w:type="dxa"/>
          <w:right w:w="70" w:type="dxa"/>
        </w:tblCellMar>
        <w:tblLook w:val="04A0" w:firstRow="1" w:lastRow="0" w:firstColumn="1" w:lastColumn="0" w:noHBand="0" w:noVBand="1"/>
      </w:tblPr>
      <w:tblGrid>
        <w:gridCol w:w="514"/>
        <w:gridCol w:w="4506"/>
        <w:gridCol w:w="1260"/>
        <w:gridCol w:w="1440"/>
        <w:gridCol w:w="1260"/>
      </w:tblGrid>
      <w:tr w:rsidR="00D5544C" w:rsidRPr="00A32AF4" w:rsidTr="00D5544C">
        <w:tc>
          <w:tcPr>
            <w:tcW w:w="5020" w:type="dxa"/>
            <w:gridSpan w:val="2"/>
            <w:tcBorders>
              <w:top w:val="single" w:sz="4" w:space="0" w:color="auto"/>
              <w:left w:val="single" w:sz="4" w:space="0" w:color="auto"/>
              <w:bottom w:val="single" w:sz="4" w:space="0" w:color="auto"/>
              <w:right w:val="single" w:sz="4" w:space="0" w:color="000000"/>
            </w:tcBorders>
            <w:shd w:val="clear" w:color="000000" w:fill="C5D9F1"/>
            <w:noWrap/>
            <w:tcMar>
              <w:top w:w="113" w:type="dxa"/>
              <w:bottom w:w="113" w:type="dxa"/>
            </w:tcMar>
            <w:vAlign w:val="center"/>
            <w:hideMark/>
          </w:tcPr>
          <w:p w:rsidR="00D5544C" w:rsidRPr="00A32AF4" w:rsidRDefault="00D5544C" w:rsidP="00DC0553">
            <w:pPr>
              <w:jc w:val="center"/>
              <w:rPr>
                <w:rFonts w:cs="Arial"/>
                <w:i/>
                <w:iCs/>
                <w:sz w:val="16"/>
                <w:szCs w:val="16"/>
                <w:lang w:eastAsia="fr-FR"/>
              </w:rPr>
            </w:pPr>
            <w:r w:rsidRPr="00A32AF4">
              <w:rPr>
                <w:rFonts w:cs="Arial"/>
                <w:i/>
                <w:iCs/>
                <w:sz w:val="16"/>
                <w:szCs w:val="16"/>
                <w:lang w:eastAsia="fr-FR"/>
              </w:rPr>
              <w:t xml:space="preserve">Numéro et description du résultat escompté </w:t>
            </w:r>
          </w:p>
        </w:tc>
        <w:tc>
          <w:tcPr>
            <w:tcW w:w="126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D5544C" w:rsidRPr="00A32AF4" w:rsidRDefault="00D5544C" w:rsidP="00DC0553">
            <w:pPr>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2014</w:t>
            </w:r>
            <w:r w:rsidR="00EB7F54" w:rsidRPr="00A32AF4">
              <w:rPr>
                <w:rFonts w:cs="Arial"/>
                <w:i/>
                <w:iCs/>
                <w:sz w:val="16"/>
                <w:szCs w:val="16"/>
                <w:lang w:eastAsia="fr-FR"/>
              </w:rPr>
              <w:noBreakHyphen/>
            </w:r>
            <w:r w:rsidRPr="00A32AF4">
              <w:rPr>
                <w:rFonts w:cs="Arial"/>
                <w:i/>
                <w:iCs/>
                <w:sz w:val="16"/>
                <w:szCs w:val="16"/>
                <w:lang w:eastAsia="fr-FR"/>
              </w:rPr>
              <w:t>2015 approuvé</w:t>
            </w:r>
          </w:p>
        </w:tc>
        <w:tc>
          <w:tcPr>
            <w:tcW w:w="144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D5544C" w:rsidRPr="00A32AF4" w:rsidRDefault="00D5544C" w:rsidP="00DC0553">
            <w:pPr>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2014</w:t>
            </w:r>
            <w:r w:rsidR="00EB7F54" w:rsidRPr="00A32AF4">
              <w:rPr>
                <w:rFonts w:cs="Arial"/>
                <w:i/>
                <w:iCs/>
                <w:sz w:val="16"/>
                <w:szCs w:val="16"/>
                <w:lang w:eastAsia="fr-FR"/>
              </w:rPr>
              <w:noBreakHyphen/>
            </w:r>
            <w:r w:rsidRPr="00A32AF4">
              <w:rPr>
                <w:rFonts w:cs="Arial"/>
                <w:i/>
                <w:iCs/>
                <w:sz w:val="16"/>
                <w:szCs w:val="16"/>
                <w:lang w:eastAsia="fr-FR"/>
              </w:rPr>
              <w:t>2015 après virements</w:t>
            </w:r>
          </w:p>
        </w:tc>
        <w:tc>
          <w:tcPr>
            <w:tcW w:w="126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D5544C" w:rsidRPr="00A32AF4" w:rsidRDefault="00D5544C" w:rsidP="00DC0553">
            <w:pPr>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2016</w:t>
            </w:r>
            <w:r w:rsidR="00EB7F54" w:rsidRPr="00A32AF4">
              <w:rPr>
                <w:rFonts w:cs="Arial"/>
                <w:i/>
                <w:iCs/>
                <w:sz w:val="16"/>
                <w:szCs w:val="16"/>
                <w:lang w:eastAsia="fr-FR"/>
              </w:rPr>
              <w:noBreakHyphen/>
            </w:r>
            <w:r w:rsidRPr="00A32AF4">
              <w:rPr>
                <w:rFonts w:cs="Arial"/>
                <w:i/>
                <w:iCs/>
                <w:sz w:val="16"/>
                <w:szCs w:val="16"/>
                <w:lang w:eastAsia="fr-FR"/>
              </w:rPr>
              <w:t>2017 proposé</w:t>
            </w:r>
          </w:p>
        </w:tc>
      </w:tr>
      <w:tr w:rsidR="00D5544C" w:rsidRPr="00A32AF4" w:rsidTr="00D5544C">
        <w:tc>
          <w:tcPr>
            <w:tcW w:w="514" w:type="dxa"/>
            <w:tcBorders>
              <w:top w:val="nil"/>
              <w:left w:val="single" w:sz="4" w:space="0" w:color="auto"/>
              <w:bottom w:val="nil"/>
              <w:right w:val="nil"/>
            </w:tcBorders>
            <w:shd w:val="clear" w:color="auto" w:fill="auto"/>
            <w:noWrap/>
            <w:tcMar>
              <w:top w:w="113" w:type="dxa"/>
              <w:bottom w:w="113" w:type="dxa"/>
            </w:tcMar>
            <w:vAlign w:val="center"/>
            <w:hideMark/>
          </w:tcPr>
          <w:p w:rsidR="00D5544C" w:rsidRPr="00A32AF4" w:rsidRDefault="00D5544C" w:rsidP="00DC0553">
            <w:pPr>
              <w:rPr>
                <w:rFonts w:cs="Arial"/>
                <w:sz w:val="16"/>
                <w:szCs w:val="16"/>
                <w:lang w:eastAsia="fr-FR"/>
              </w:rPr>
            </w:pPr>
            <w:r w:rsidRPr="00A32AF4">
              <w:rPr>
                <w:rFonts w:cs="Arial"/>
                <w:sz w:val="16"/>
                <w:szCs w:val="16"/>
                <w:lang w:eastAsia="fr-FR"/>
              </w:rPr>
              <w:t>IX.8</w:t>
            </w:r>
          </w:p>
        </w:tc>
        <w:tc>
          <w:tcPr>
            <w:tcW w:w="4506" w:type="dxa"/>
            <w:tcBorders>
              <w:top w:val="nil"/>
              <w:left w:val="nil"/>
              <w:bottom w:val="nil"/>
              <w:right w:val="nil"/>
            </w:tcBorders>
            <w:shd w:val="clear" w:color="auto" w:fill="auto"/>
            <w:tcMar>
              <w:top w:w="113" w:type="dxa"/>
              <w:bottom w:w="113" w:type="dxa"/>
            </w:tcMar>
            <w:vAlign w:val="center"/>
            <w:hideMark/>
          </w:tcPr>
          <w:p w:rsidR="00D5544C" w:rsidRPr="00A32AF4" w:rsidRDefault="00D5544C" w:rsidP="00DC0553">
            <w:pPr>
              <w:rPr>
                <w:rFonts w:cs="Arial"/>
                <w:sz w:val="16"/>
                <w:szCs w:val="16"/>
                <w:lang w:eastAsia="fr-FR"/>
              </w:rPr>
            </w:pPr>
            <w:r w:rsidRPr="00A32AF4">
              <w:rPr>
                <w:rFonts w:cs="Arial"/>
                <w:sz w:val="16"/>
                <w:szCs w:val="16"/>
                <w:lang w:eastAsia="fr-FR"/>
              </w:rPr>
              <w:t>Renforcement de l</w:t>
            </w:r>
            <w:r w:rsidR="00E2055A" w:rsidRPr="00A32AF4">
              <w:rPr>
                <w:rFonts w:cs="Arial"/>
                <w:sz w:val="16"/>
                <w:szCs w:val="16"/>
                <w:lang w:eastAsia="fr-FR"/>
              </w:rPr>
              <w:t>’</w:t>
            </w:r>
            <w:r w:rsidRPr="00A32AF4">
              <w:rPr>
                <w:rFonts w:cs="Arial"/>
                <w:sz w:val="16"/>
                <w:szCs w:val="16"/>
                <w:lang w:eastAsia="fr-FR"/>
              </w:rPr>
              <w:t>obligation redditionnelle, de l</w:t>
            </w:r>
            <w:r w:rsidR="00E2055A" w:rsidRPr="00A32AF4">
              <w:rPr>
                <w:rFonts w:cs="Arial"/>
                <w:sz w:val="16"/>
                <w:szCs w:val="16"/>
                <w:lang w:eastAsia="fr-FR"/>
              </w:rPr>
              <w:t>’</w:t>
            </w:r>
            <w:r w:rsidRPr="00A32AF4">
              <w:rPr>
                <w:rFonts w:cs="Arial"/>
                <w:sz w:val="16"/>
                <w:szCs w:val="16"/>
                <w:lang w:eastAsia="fr-FR"/>
              </w:rPr>
              <w:t>apprentissage institutionnel, de l</w:t>
            </w:r>
            <w:r w:rsidR="00E2055A" w:rsidRPr="00A32AF4">
              <w:rPr>
                <w:rFonts w:cs="Arial"/>
                <w:sz w:val="16"/>
                <w:szCs w:val="16"/>
                <w:lang w:eastAsia="fr-FR"/>
              </w:rPr>
              <w:t>’</w:t>
            </w:r>
            <w:r w:rsidRPr="00A32AF4">
              <w:rPr>
                <w:rFonts w:cs="Arial"/>
                <w:sz w:val="16"/>
                <w:szCs w:val="16"/>
                <w:lang w:eastAsia="fr-FR"/>
              </w:rPr>
              <w:t>optimisation des ressources financières, de l</w:t>
            </w:r>
            <w:r w:rsidR="00E2055A" w:rsidRPr="00A32AF4">
              <w:rPr>
                <w:rFonts w:cs="Arial"/>
                <w:sz w:val="16"/>
                <w:szCs w:val="16"/>
                <w:lang w:eastAsia="fr-FR"/>
              </w:rPr>
              <w:t>’</w:t>
            </w:r>
            <w:r w:rsidRPr="00A32AF4">
              <w:rPr>
                <w:rFonts w:cs="Arial"/>
                <w:sz w:val="16"/>
                <w:szCs w:val="16"/>
                <w:lang w:eastAsia="fr-FR"/>
              </w:rPr>
              <w:t>administration, du contrôle interne et de la gestion institutionnelle avec le concours d</w:t>
            </w:r>
            <w:r w:rsidR="00E2055A" w:rsidRPr="00A32AF4">
              <w:rPr>
                <w:rFonts w:cs="Arial"/>
                <w:sz w:val="16"/>
                <w:szCs w:val="16"/>
                <w:lang w:eastAsia="fr-FR"/>
              </w:rPr>
              <w:t>’</w:t>
            </w:r>
            <w:r w:rsidRPr="00A32AF4">
              <w:rPr>
                <w:rFonts w:cs="Arial"/>
                <w:sz w:val="16"/>
                <w:szCs w:val="16"/>
                <w:lang w:eastAsia="fr-FR"/>
              </w:rPr>
              <w:t>une supervision indépendante efficace</w:t>
            </w:r>
          </w:p>
        </w:tc>
        <w:tc>
          <w:tcPr>
            <w:tcW w:w="1260" w:type="dxa"/>
            <w:tcBorders>
              <w:top w:val="nil"/>
              <w:left w:val="nil"/>
              <w:bottom w:val="nil"/>
              <w:right w:val="nil"/>
            </w:tcBorders>
            <w:shd w:val="clear" w:color="auto" w:fill="auto"/>
            <w:tcMar>
              <w:top w:w="113" w:type="dxa"/>
              <w:bottom w:w="113" w:type="dxa"/>
            </w:tcMar>
            <w:vAlign w:val="center"/>
            <w:hideMark/>
          </w:tcPr>
          <w:p w:rsidR="00D5544C" w:rsidRPr="00A32AF4" w:rsidRDefault="00D5544C" w:rsidP="00DC0553">
            <w:pPr>
              <w:jc w:val="right"/>
              <w:rPr>
                <w:rFonts w:cs="Arial"/>
                <w:sz w:val="16"/>
                <w:szCs w:val="16"/>
                <w:lang w:eastAsia="fr-FR"/>
              </w:rPr>
            </w:pPr>
            <w:r w:rsidRPr="00A32AF4">
              <w:rPr>
                <w:rFonts w:cs="Arial"/>
                <w:sz w:val="16"/>
                <w:szCs w:val="16"/>
                <w:lang w:eastAsia="fr-FR"/>
              </w:rPr>
              <w:t xml:space="preserve">5 116 </w:t>
            </w:r>
          </w:p>
        </w:tc>
        <w:tc>
          <w:tcPr>
            <w:tcW w:w="1440" w:type="dxa"/>
            <w:tcBorders>
              <w:top w:val="nil"/>
              <w:left w:val="nil"/>
              <w:bottom w:val="nil"/>
              <w:right w:val="nil"/>
            </w:tcBorders>
            <w:shd w:val="clear" w:color="auto" w:fill="auto"/>
            <w:tcMar>
              <w:top w:w="113" w:type="dxa"/>
              <w:bottom w:w="113" w:type="dxa"/>
            </w:tcMar>
            <w:vAlign w:val="center"/>
            <w:hideMark/>
          </w:tcPr>
          <w:p w:rsidR="00D5544C" w:rsidRPr="00A32AF4" w:rsidRDefault="00D5544C" w:rsidP="00DC0553">
            <w:pPr>
              <w:jc w:val="right"/>
              <w:rPr>
                <w:rFonts w:cs="Arial"/>
                <w:sz w:val="16"/>
                <w:szCs w:val="16"/>
                <w:lang w:eastAsia="fr-FR"/>
              </w:rPr>
            </w:pPr>
            <w:r w:rsidRPr="00A32AF4">
              <w:rPr>
                <w:rFonts w:cs="Arial"/>
                <w:sz w:val="16"/>
                <w:szCs w:val="16"/>
                <w:lang w:eastAsia="fr-FR"/>
              </w:rPr>
              <w:t xml:space="preserve">5 062 </w:t>
            </w:r>
          </w:p>
        </w:tc>
        <w:tc>
          <w:tcPr>
            <w:tcW w:w="1260" w:type="dxa"/>
            <w:tcBorders>
              <w:top w:val="nil"/>
              <w:left w:val="nil"/>
              <w:bottom w:val="single" w:sz="4" w:space="0" w:color="auto"/>
              <w:right w:val="single" w:sz="4" w:space="0" w:color="auto"/>
            </w:tcBorders>
            <w:shd w:val="clear" w:color="auto" w:fill="auto"/>
            <w:noWrap/>
            <w:tcMar>
              <w:top w:w="113" w:type="dxa"/>
              <w:bottom w:w="113" w:type="dxa"/>
            </w:tcMar>
            <w:vAlign w:val="center"/>
            <w:hideMark/>
          </w:tcPr>
          <w:p w:rsidR="00D5544C" w:rsidRPr="00A32AF4" w:rsidRDefault="00D5544C" w:rsidP="00DC0553">
            <w:pPr>
              <w:jc w:val="right"/>
              <w:rPr>
                <w:rFonts w:cs="Arial"/>
                <w:color w:val="000000"/>
                <w:sz w:val="16"/>
                <w:szCs w:val="16"/>
                <w:lang w:eastAsia="fr-FR"/>
              </w:rPr>
            </w:pPr>
            <w:r w:rsidRPr="00A32AF4">
              <w:rPr>
                <w:rFonts w:cs="Arial"/>
                <w:color w:val="000000"/>
                <w:sz w:val="16"/>
                <w:szCs w:val="16"/>
                <w:lang w:eastAsia="fr-FR"/>
              </w:rPr>
              <w:t xml:space="preserve">5 358 </w:t>
            </w:r>
          </w:p>
        </w:tc>
      </w:tr>
      <w:tr w:rsidR="00D5544C" w:rsidRPr="00A32AF4" w:rsidTr="00D5544C">
        <w:tc>
          <w:tcPr>
            <w:tcW w:w="514" w:type="dxa"/>
            <w:tcBorders>
              <w:top w:val="single" w:sz="4" w:space="0" w:color="auto"/>
              <w:left w:val="single" w:sz="4" w:space="0" w:color="auto"/>
              <w:bottom w:val="single" w:sz="4" w:space="0" w:color="auto"/>
              <w:right w:val="nil"/>
            </w:tcBorders>
            <w:shd w:val="clear" w:color="000000" w:fill="C5D9F1"/>
            <w:noWrap/>
            <w:tcMar>
              <w:top w:w="113" w:type="dxa"/>
              <w:bottom w:w="113" w:type="dxa"/>
            </w:tcMar>
            <w:vAlign w:val="bottom"/>
            <w:hideMark/>
          </w:tcPr>
          <w:p w:rsidR="00D5544C" w:rsidRPr="00A32AF4" w:rsidRDefault="00D5544C" w:rsidP="00DC0553">
            <w:pPr>
              <w:rPr>
                <w:rFonts w:cs="Arial"/>
                <w:sz w:val="16"/>
                <w:szCs w:val="16"/>
                <w:lang w:eastAsia="fr-FR"/>
              </w:rPr>
            </w:pPr>
            <w:r w:rsidRPr="00A32AF4">
              <w:rPr>
                <w:rFonts w:cs="Arial"/>
                <w:sz w:val="16"/>
                <w:szCs w:val="16"/>
                <w:lang w:eastAsia="fr-FR"/>
              </w:rPr>
              <w:t> </w:t>
            </w:r>
          </w:p>
        </w:tc>
        <w:tc>
          <w:tcPr>
            <w:tcW w:w="4506"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D5544C" w:rsidRPr="00A32AF4" w:rsidRDefault="00D5544C" w:rsidP="00DC0553">
            <w:pPr>
              <w:rPr>
                <w:rFonts w:cs="Arial"/>
                <w:b/>
                <w:bCs/>
                <w:sz w:val="16"/>
                <w:szCs w:val="16"/>
                <w:lang w:eastAsia="fr-FR"/>
              </w:rPr>
            </w:pPr>
            <w:r w:rsidRPr="00A32AF4">
              <w:rPr>
                <w:rFonts w:cs="Arial"/>
                <w:b/>
                <w:bCs/>
                <w:sz w:val="16"/>
                <w:szCs w:val="16"/>
                <w:lang w:eastAsia="fr-FR"/>
              </w:rPr>
              <w:t>Total</w:t>
            </w:r>
          </w:p>
        </w:tc>
        <w:tc>
          <w:tcPr>
            <w:tcW w:w="1260"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D5544C" w:rsidRPr="00A32AF4" w:rsidRDefault="00D5544C" w:rsidP="00DC0553">
            <w:pPr>
              <w:jc w:val="right"/>
              <w:rPr>
                <w:rFonts w:cs="Arial"/>
                <w:b/>
                <w:bCs/>
                <w:sz w:val="16"/>
                <w:szCs w:val="16"/>
                <w:lang w:eastAsia="fr-FR"/>
              </w:rPr>
            </w:pPr>
            <w:r w:rsidRPr="00A32AF4">
              <w:rPr>
                <w:rFonts w:cs="Arial"/>
                <w:b/>
                <w:bCs/>
                <w:sz w:val="16"/>
                <w:szCs w:val="16"/>
                <w:lang w:eastAsia="fr-FR"/>
              </w:rPr>
              <w:t xml:space="preserve">5 116 </w:t>
            </w:r>
          </w:p>
        </w:tc>
        <w:tc>
          <w:tcPr>
            <w:tcW w:w="1440"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D5544C" w:rsidRPr="00A32AF4" w:rsidRDefault="00D5544C" w:rsidP="00DC0553">
            <w:pPr>
              <w:jc w:val="right"/>
              <w:rPr>
                <w:rFonts w:cs="Arial"/>
                <w:b/>
                <w:bCs/>
                <w:sz w:val="16"/>
                <w:szCs w:val="16"/>
                <w:lang w:eastAsia="fr-FR"/>
              </w:rPr>
            </w:pPr>
            <w:r w:rsidRPr="00A32AF4">
              <w:rPr>
                <w:rFonts w:cs="Arial"/>
                <w:b/>
                <w:bCs/>
                <w:sz w:val="16"/>
                <w:szCs w:val="16"/>
                <w:lang w:eastAsia="fr-FR"/>
              </w:rPr>
              <w:t xml:space="preserve">5 062 </w:t>
            </w:r>
          </w:p>
        </w:tc>
        <w:tc>
          <w:tcPr>
            <w:tcW w:w="1260" w:type="dxa"/>
            <w:tcBorders>
              <w:top w:val="nil"/>
              <w:left w:val="nil"/>
              <w:bottom w:val="single" w:sz="4" w:space="0" w:color="auto"/>
              <w:right w:val="single" w:sz="4" w:space="0" w:color="auto"/>
            </w:tcBorders>
            <w:shd w:val="clear" w:color="000000" w:fill="C5D9F1"/>
            <w:noWrap/>
            <w:tcMar>
              <w:top w:w="113" w:type="dxa"/>
              <w:bottom w:w="113" w:type="dxa"/>
            </w:tcMar>
            <w:vAlign w:val="bottom"/>
            <w:hideMark/>
          </w:tcPr>
          <w:p w:rsidR="00D5544C" w:rsidRPr="00A32AF4" w:rsidRDefault="00D5544C" w:rsidP="00DC0553">
            <w:pPr>
              <w:jc w:val="right"/>
              <w:rPr>
                <w:rFonts w:cs="Arial"/>
                <w:b/>
                <w:bCs/>
                <w:sz w:val="16"/>
                <w:szCs w:val="16"/>
                <w:lang w:eastAsia="fr-FR"/>
              </w:rPr>
            </w:pPr>
            <w:r w:rsidRPr="00A32AF4">
              <w:rPr>
                <w:rFonts w:cs="Arial"/>
                <w:b/>
                <w:bCs/>
                <w:sz w:val="16"/>
                <w:szCs w:val="16"/>
                <w:lang w:eastAsia="fr-FR"/>
              </w:rPr>
              <w:t xml:space="preserve">5 358 </w:t>
            </w:r>
          </w:p>
        </w:tc>
      </w:tr>
    </w:tbl>
    <w:p w:rsidR="00F93B76" w:rsidRPr="00A32AF4" w:rsidRDefault="00F93B76" w:rsidP="00DC0553"/>
    <w:p w:rsidR="00F93B76" w:rsidRPr="00A32AF4" w:rsidRDefault="00F93B76" w:rsidP="00DC0553">
      <w:pPr>
        <w:rPr>
          <w:lang w:eastAsia="da-DK"/>
        </w:rPr>
      </w:pPr>
    </w:p>
    <w:p w:rsidR="00F93B76" w:rsidRPr="00A32AF4" w:rsidRDefault="00D5544C" w:rsidP="00DC0553">
      <w:pPr>
        <w:keepNext/>
        <w:keepLines/>
        <w:autoSpaceDE w:val="0"/>
        <w:autoSpaceDN w:val="0"/>
        <w:jc w:val="center"/>
        <w:rPr>
          <w:rFonts w:cs="Arial"/>
          <w:b/>
        </w:rPr>
      </w:pPr>
      <w:r w:rsidRPr="00A32AF4">
        <w:rPr>
          <w:rFonts w:cs="Arial"/>
          <w:b/>
        </w:rPr>
        <w:t>Programme 26 : ressources par objet de dépense</w:t>
      </w:r>
    </w:p>
    <w:p w:rsidR="00F93B76" w:rsidRPr="00A32AF4" w:rsidRDefault="00D5544C" w:rsidP="00DC0553">
      <w:pPr>
        <w:keepNext/>
        <w:keepLines/>
        <w:autoSpaceDE w:val="0"/>
        <w:autoSpaceDN w:val="0"/>
        <w:jc w:val="center"/>
        <w:rPr>
          <w:rFonts w:cs="Arial"/>
          <w:i/>
        </w:rPr>
      </w:pPr>
      <w:r w:rsidRPr="00A32AF4">
        <w:rPr>
          <w:rFonts w:cs="Arial"/>
          <w:i/>
        </w:rPr>
        <w:t>(</w:t>
      </w:r>
      <w:proofErr w:type="gramStart"/>
      <w:r w:rsidRPr="00A32AF4">
        <w:rPr>
          <w:rFonts w:cs="Arial"/>
          <w:i/>
        </w:rPr>
        <w:t>en</w:t>
      </w:r>
      <w:proofErr w:type="gramEnd"/>
      <w:r w:rsidRPr="00A32AF4">
        <w:rPr>
          <w:rFonts w:cs="Arial"/>
          <w:i/>
        </w:rPr>
        <w:t xml:space="preserve"> milliers de francs suisses)</w:t>
      </w:r>
    </w:p>
    <w:p w:rsidR="00F93B76" w:rsidRPr="00A32AF4" w:rsidRDefault="00F93B76" w:rsidP="00DC0553">
      <w:pPr>
        <w:keepNext/>
        <w:rPr>
          <w:rFonts w:eastAsia="SimSun"/>
        </w:rPr>
      </w:pPr>
    </w:p>
    <w:p w:rsidR="00F93B76" w:rsidRPr="00A32AF4" w:rsidRDefault="005240BB" w:rsidP="00DC0553">
      <w:pPr>
        <w:rPr>
          <w:rFonts w:eastAsia="SimSun"/>
        </w:rPr>
      </w:pPr>
      <w:r w:rsidRPr="00A32AF4">
        <w:rPr>
          <w:rFonts w:eastAsia="SimSun"/>
          <w:noProof/>
          <w:lang w:eastAsia="fr-FR"/>
        </w:rPr>
        <w:drawing>
          <wp:inline distT="0" distB="0" distL="0" distR="0" wp14:anchorId="1F8CD485" wp14:editId="78C1A351">
            <wp:extent cx="5514340" cy="6553200"/>
            <wp:effectExtent l="0" t="0" r="0" b="0"/>
            <wp:docPr id="1060" name="Picture 1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5514340" cy="6553200"/>
                    </a:xfrm>
                    <a:prstGeom prst="rect">
                      <a:avLst/>
                    </a:prstGeom>
                    <a:noFill/>
                    <a:ln>
                      <a:noFill/>
                    </a:ln>
                  </pic:spPr>
                </pic:pic>
              </a:graphicData>
            </a:graphic>
          </wp:inline>
        </w:drawing>
      </w:r>
    </w:p>
    <w:p w:rsidR="00F93B76" w:rsidRPr="00A32AF4" w:rsidRDefault="00F93B76" w:rsidP="00DC0553">
      <w:pPr>
        <w:rPr>
          <w:lang w:eastAsia="da-DK"/>
        </w:rPr>
      </w:pPr>
    </w:p>
    <w:p w:rsidR="00F93B76" w:rsidRPr="00A32AF4" w:rsidRDefault="00D5544C" w:rsidP="00DC0553">
      <w:pPr>
        <w:rPr>
          <w:lang w:eastAsia="da-DK"/>
        </w:rPr>
      </w:pPr>
      <w:r w:rsidRPr="00A32AF4">
        <w:rPr>
          <w:lang w:eastAsia="da-DK"/>
        </w:rPr>
        <w:br w:type="page"/>
      </w:r>
    </w:p>
    <w:p w:rsidR="006665FE" w:rsidRPr="00A32AF4" w:rsidRDefault="006665FE" w:rsidP="00FB1F61">
      <w:pPr>
        <w:pStyle w:val="Heading3"/>
      </w:pPr>
      <w:bookmarkStart w:id="69" w:name="_Toc431555472"/>
      <w:r w:rsidRPr="00A32AF4">
        <w:t>PROGRAMME 27</w:t>
      </w:r>
      <w:r w:rsidRPr="00A32AF4">
        <w:tab/>
        <w:t>Services de conférences et services linguistiques</w:t>
      </w:r>
      <w:bookmarkEnd w:id="69"/>
    </w:p>
    <w:p w:rsidR="006665FE" w:rsidRPr="00A32AF4" w:rsidRDefault="006665FE" w:rsidP="00DC0553">
      <w:pPr>
        <w:rPr>
          <w:rFonts w:cs="Arial"/>
          <w:szCs w:val="24"/>
        </w:rPr>
      </w:pPr>
    </w:p>
    <w:p w:rsidR="006665FE" w:rsidRPr="00A32AF4" w:rsidRDefault="006665FE" w:rsidP="00DC0553">
      <w:pPr>
        <w:rPr>
          <w:rFonts w:cs="Arial"/>
          <w:szCs w:val="24"/>
        </w:rPr>
      </w:pPr>
    </w:p>
    <w:p w:rsidR="006665FE" w:rsidRPr="00A32AF4" w:rsidRDefault="006665FE" w:rsidP="00DC0553">
      <w:pPr>
        <w:rPr>
          <w:rFonts w:cs="Arial"/>
          <w:bCs/>
        </w:rPr>
      </w:pPr>
      <w:r w:rsidRPr="00A32AF4">
        <w:rPr>
          <w:rFonts w:cs="Arial"/>
          <w:bCs/>
        </w:rPr>
        <w:t>CONTEXTE DE PLANIFICATION</w:t>
      </w:r>
    </w:p>
    <w:p w:rsidR="006665FE" w:rsidRPr="00A32AF4" w:rsidRDefault="006665FE" w:rsidP="00DC0553">
      <w:pPr>
        <w:jc w:val="both"/>
        <w:rPr>
          <w:rFonts w:cs="Arial"/>
        </w:rPr>
      </w:pPr>
    </w:p>
    <w:p w:rsidR="006665FE" w:rsidRPr="00A32AF4" w:rsidRDefault="006665FE" w:rsidP="00DC0553">
      <w:pPr>
        <w:pStyle w:val="ListParagraph"/>
        <w:numPr>
          <w:ilvl w:val="0"/>
          <w:numId w:val="66"/>
        </w:numPr>
        <w:tabs>
          <w:tab w:val="left" w:pos="709"/>
        </w:tabs>
        <w:autoSpaceDE w:val="0"/>
        <w:autoSpaceDN w:val="0"/>
        <w:adjustRightInd w:val="0"/>
        <w:spacing w:after="0" w:line="240" w:lineRule="auto"/>
        <w:ind w:left="0" w:firstLine="0"/>
        <w:jc w:val="both"/>
        <w:rPr>
          <w:rFonts w:ascii="Arial" w:hAnsi="Arial" w:cs="Arial"/>
          <w:lang w:bidi="he-IL"/>
        </w:rPr>
      </w:pPr>
      <w:r w:rsidRPr="00A32AF4">
        <w:rPr>
          <w:rFonts w:ascii="Arial" w:hAnsi="Arial" w:cs="Arial"/>
          <w:lang w:bidi="he-IL"/>
        </w:rPr>
        <w:t>Le programme 27 facilite les activités de l</w:t>
      </w:r>
      <w:r w:rsidR="00E2055A" w:rsidRPr="00A32AF4">
        <w:rPr>
          <w:rFonts w:ascii="Arial" w:hAnsi="Arial" w:cs="Arial"/>
          <w:lang w:bidi="he-IL"/>
        </w:rPr>
        <w:t>’</w:t>
      </w:r>
      <w:r w:rsidRPr="00A32AF4">
        <w:rPr>
          <w:rFonts w:ascii="Arial" w:hAnsi="Arial" w:cs="Arial"/>
          <w:lang w:bidi="he-IL"/>
        </w:rPr>
        <w:t>Organisation en fournissant des services efficaces et efficients de conférence, de traduction, d</w:t>
      </w:r>
      <w:r w:rsidR="00E2055A" w:rsidRPr="00A32AF4">
        <w:rPr>
          <w:rFonts w:ascii="Arial" w:hAnsi="Arial" w:cs="Arial"/>
          <w:lang w:bidi="he-IL"/>
        </w:rPr>
        <w:t>’</w:t>
      </w:r>
      <w:r w:rsidRPr="00A32AF4">
        <w:rPr>
          <w:rFonts w:ascii="Arial" w:hAnsi="Arial" w:cs="Arial"/>
          <w:lang w:bidi="he-IL"/>
        </w:rPr>
        <w:t>interprétation, de gestion informatisée du courrier et d</w:t>
      </w:r>
      <w:r w:rsidR="00E2055A" w:rsidRPr="00A32AF4">
        <w:rPr>
          <w:rFonts w:ascii="Arial" w:hAnsi="Arial" w:cs="Arial"/>
          <w:lang w:bidi="he-IL"/>
        </w:rPr>
        <w:t>’</w:t>
      </w:r>
      <w:r w:rsidRPr="00A32AF4">
        <w:rPr>
          <w:rFonts w:ascii="Arial" w:hAnsi="Arial" w:cs="Arial"/>
          <w:lang w:bidi="he-IL"/>
        </w:rPr>
        <w:t>archivage, d</w:t>
      </w:r>
      <w:r w:rsidR="00E2055A" w:rsidRPr="00A32AF4">
        <w:rPr>
          <w:rFonts w:ascii="Arial" w:hAnsi="Arial" w:cs="Arial"/>
          <w:lang w:bidi="he-IL"/>
        </w:rPr>
        <w:t>’</w:t>
      </w:r>
      <w:r w:rsidRPr="00A32AF4">
        <w:rPr>
          <w:rFonts w:ascii="Arial" w:hAnsi="Arial" w:cs="Arial"/>
          <w:lang w:bidi="he-IL"/>
        </w:rPr>
        <w:t>impression et d</w:t>
      </w:r>
      <w:r w:rsidR="00E2055A" w:rsidRPr="00A32AF4">
        <w:rPr>
          <w:rFonts w:ascii="Arial" w:hAnsi="Arial" w:cs="Arial"/>
          <w:lang w:bidi="he-IL"/>
        </w:rPr>
        <w:t>’</w:t>
      </w:r>
      <w:r w:rsidRPr="00A32AF4">
        <w:rPr>
          <w:rFonts w:ascii="Arial" w:hAnsi="Arial" w:cs="Arial"/>
          <w:lang w:bidi="he-IL"/>
        </w:rPr>
        <w:t>expédition du courrier.</w:t>
      </w:r>
      <w:r w:rsidRPr="00A32AF4">
        <w:rPr>
          <w:rFonts w:ascii="Arial" w:hAnsi="Arial" w:cs="Arial"/>
        </w:rPr>
        <w:t xml:space="preserve">  </w:t>
      </w:r>
      <w:r w:rsidRPr="00A32AF4">
        <w:rPr>
          <w:rFonts w:ascii="Arial" w:hAnsi="Arial" w:cs="Arial"/>
          <w:lang w:bidi="he-IL"/>
        </w:rPr>
        <w:t>Il traite également de la formulation, de la présentation, de l</w:t>
      </w:r>
      <w:r w:rsidR="00E2055A" w:rsidRPr="00A32AF4">
        <w:rPr>
          <w:rFonts w:ascii="Arial" w:hAnsi="Arial" w:cs="Arial"/>
          <w:lang w:bidi="he-IL"/>
        </w:rPr>
        <w:t>’</w:t>
      </w:r>
      <w:r w:rsidRPr="00A32AF4">
        <w:rPr>
          <w:rFonts w:ascii="Arial" w:hAnsi="Arial" w:cs="Arial"/>
          <w:lang w:bidi="he-IL"/>
        </w:rPr>
        <w:t>adoption et de la mise en œuvre des questions qui concernent ces services et gère les projets dans le domaine des technologies de l</w:t>
      </w:r>
      <w:r w:rsidR="00E2055A" w:rsidRPr="00A32AF4">
        <w:rPr>
          <w:rFonts w:ascii="Arial" w:hAnsi="Arial" w:cs="Arial"/>
          <w:lang w:bidi="he-IL"/>
        </w:rPr>
        <w:t>’</w:t>
      </w:r>
      <w:r w:rsidRPr="00A32AF4">
        <w:rPr>
          <w:rFonts w:ascii="Arial" w:hAnsi="Arial" w:cs="Arial"/>
          <w:lang w:bidi="he-IL"/>
        </w:rPr>
        <w:t>information pour rationaliser et améliorer leur fonctionnement.</w:t>
      </w:r>
    </w:p>
    <w:p w:rsidR="006665FE" w:rsidRPr="00A32AF4" w:rsidRDefault="006665FE" w:rsidP="00DC0553">
      <w:pPr>
        <w:autoSpaceDE w:val="0"/>
        <w:autoSpaceDN w:val="0"/>
        <w:adjustRightInd w:val="0"/>
        <w:jc w:val="both"/>
        <w:rPr>
          <w:rFonts w:cs="Arial"/>
          <w:lang w:bidi="he-IL"/>
        </w:rPr>
      </w:pPr>
    </w:p>
    <w:p w:rsidR="006665FE" w:rsidRPr="00A32AF4" w:rsidRDefault="006665FE" w:rsidP="00DC0553">
      <w:pPr>
        <w:pStyle w:val="ListParagraph"/>
        <w:numPr>
          <w:ilvl w:val="0"/>
          <w:numId w:val="66"/>
        </w:numPr>
        <w:tabs>
          <w:tab w:val="left" w:pos="709"/>
        </w:tabs>
        <w:autoSpaceDE w:val="0"/>
        <w:autoSpaceDN w:val="0"/>
        <w:adjustRightInd w:val="0"/>
        <w:spacing w:after="0" w:line="240" w:lineRule="auto"/>
        <w:ind w:left="0" w:firstLine="0"/>
        <w:jc w:val="both"/>
        <w:rPr>
          <w:rFonts w:ascii="Arial" w:hAnsi="Arial" w:cs="Arial"/>
        </w:rPr>
      </w:pPr>
      <w:r w:rsidRPr="00A32AF4">
        <w:rPr>
          <w:rFonts w:ascii="Arial" w:hAnsi="Arial" w:cs="Arial"/>
        </w:rPr>
        <w:t>Après l</w:t>
      </w:r>
      <w:r w:rsidR="00E2055A" w:rsidRPr="00A32AF4">
        <w:rPr>
          <w:rFonts w:ascii="Arial" w:hAnsi="Arial" w:cs="Arial"/>
        </w:rPr>
        <w:t>’</w:t>
      </w:r>
      <w:r w:rsidRPr="00A32AF4">
        <w:rPr>
          <w:rFonts w:ascii="Arial" w:hAnsi="Arial" w:cs="Arial"/>
        </w:rPr>
        <w:t>adoption de la politique linguistique par les États membres en 2011 et l</w:t>
      </w:r>
      <w:r w:rsidR="00E2055A" w:rsidRPr="00A32AF4">
        <w:rPr>
          <w:rFonts w:ascii="Arial" w:hAnsi="Arial" w:cs="Arial"/>
        </w:rPr>
        <w:t>’</w:t>
      </w:r>
      <w:r w:rsidRPr="00A32AF4">
        <w:rPr>
          <w:rFonts w:ascii="Arial" w:hAnsi="Arial" w:cs="Arial"/>
        </w:rPr>
        <w:t>extension de la communication dans les six langues officielles à toute la documentation destinée aux comités et aux principaux organes de l</w:t>
      </w:r>
      <w:r w:rsidR="00E2055A" w:rsidRPr="00A32AF4">
        <w:rPr>
          <w:rFonts w:ascii="Arial" w:hAnsi="Arial" w:cs="Arial"/>
        </w:rPr>
        <w:t>’</w:t>
      </w:r>
      <w:r w:rsidRPr="00A32AF4">
        <w:rPr>
          <w:rFonts w:ascii="Arial" w:hAnsi="Arial" w:cs="Arial"/>
        </w:rPr>
        <w:t>OMPI durant l</w:t>
      </w:r>
      <w:r w:rsidR="00E2055A" w:rsidRPr="00A32AF4">
        <w:rPr>
          <w:rFonts w:ascii="Arial" w:hAnsi="Arial" w:cs="Arial"/>
        </w:rPr>
        <w:t>’</w:t>
      </w:r>
      <w:r w:rsidRPr="00A32AF4">
        <w:rPr>
          <w:rFonts w:ascii="Arial" w:hAnsi="Arial" w:cs="Arial"/>
        </w:rPr>
        <w:t>exercice biennal 2012</w:t>
      </w:r>
      <w:r w:rsidR="00EB7F54" w:rsidRPr="00A32AF4">
        <w:rPr>
          <w:rFonts w:ascii="Arial" w:hAnsi="Arial" w:cs="Arial"/>
        </w:rPr>
        <w:noBreakHyphen/>
      </w:r>
      <w:r w:rsidRPr="00A32AF4">
        <w:rPr>
          <w:rFonts w:ascii="Arial" w:hAnsi="Arial" w:cs="Arial"/>
        </w:rPr>
        <w:t>2013, il a été décidé d</w:t>
      </w:r>
      <w:r w:rsidR="00E2055A" w:rsidRPr="00A32AF4">
        <w:rPr>
          <w:rFonts w:ascii="Arial" w:hAnsi="Arial" w:cs="Arial"/>
        </w:rPr>
        <w:t>’</w:t>
      </w:r>
      <w:r w:rsidRPr="00A32AF4">
        <w:rPr>
          <w:rFonts w:ascii="Arial" w:hAnsi="Arial" w:cs="Arial"/>
        </w:rPr>
        <w:t>étendre cette couverture à quelques groupes de travail durant l</w:t>
      </w:r>
      <w:r w:rsidR="00E2055A" w:rsidRPr="00A32AF4">
        <w:rPr>
          <w:rFonts w:ascii="Arial" w:hAnsi="Arial" w:cs="Arial"/>
        </w:rPr>
        <w:t>’</w:t>
      </w:r>
      <w:r w:rsidRPr="00A32AF4">
        <w:rPr>
          <w:rFonts w:ascii="Arial" w:hAnsi="Arial" w:cs="Arial"/>
        </w:rPr>
        <w:t>exercice biennal 2014</w:t>
      </w:r>
      <w:r w:rsidR="00EB7F54" w:rsidRPr="00A32AF4">
        <w:rPr>
          <w:rFonts w:ascii="Arial" w:hAnsi="Arial" w:cs="Arial"/>
        </w:rPr>
        <w:noBreakHyphen/>
      </w:r>
      <w:r w:rsidRPr="00A32AF4">
        <w:rPr>
          <w:rFonts w:ascii="Arial" w:hAnsi="Arial" w:cs="Arial"/>
        </w:rPr>
        <w:t>2015.  Les groupes de travail restants devraient être couverts durant l</w:t>
      </w:r>
      <w:r w:rsidR="00E2055A" w:rsidRPr="00A32AF4">
        <w:rPr>
          <w:rFonts w:ascii="Arial" w:hAnsi="Arial" w:cs="Arial"/>
        </w:rPr>
        <w:t>’</w:t>
      </w:r>
      <w:r w:rsidRPr="00A32AF4">
        <w:rPr>
          <w:rFonts w:ascii="Arial" w:hAnsi="Arial" w:cs="Arial"/>
        </w:rPr>
        <w:t>exercice biennal 2016</w:t>
      </w:r>
      <w:r w:rsidR="00EB7F54" w:rsidRPr="00A32AF4">
        <w:rPr>
          <w:rFonts w:ascii="Arial" w:hAnsi="Arial" w:cs="Arial"/>
        </w:rPr>
        <w:noBreakHyphen/>
      </w:r>
      <w:r w:rsidRPr="00A32AF4">
        <w:rPr>
          <w:rFonts w:ascii="Arial" w:hAnsi="Arial" w:cs="Arial"/>
        </w:rPr>
        <w:t>2017.  À cet égard, le Secrétariat continue d</w:t>
      </w:r>
      <w:r w:rsidR="00E2055A" w:rsidRPr="00A32AF4">
        <w:rPr>
          <w:rFonts w:ascii="Arial" w:hAnsi="Arial" w:cs="Arial"/>
        </w:rPr>
        <w:t>’</w:t>
      </w:r>
      <w:r w:rsidRPr="00A32AF4">
        <w:rPr>
          <w:rFonts w:ascii="Arial" w:hAnsi="Arial" w:cs="Arial"/>
        </w:rPr>
        <w:t>être confronté au double défi qui consiste à gérer la charge de travail de traduction tout en maintenant la qualité, avec les ressources disponibles.  Pour relever ces défis, le réseau de traducteurs indépendants et d</w:t>
      </w:r>
      <w:r w:rsidR="00E2055A" w:rsidRPr="00A32AF4">
        <w:rPr>
          <w:rFonts w:ascii="Arial" w:hAnsi="Arial" w:cs="Arial"/>
        </w:rPr>
        <w:t>’</w:t>
      </w:r>
      <w:r w:rsidRPr="00A32AF4">
        <w:rPr>
          <w:rFonts w:ascii="Arial" w:hAnsi="Arial" w:cs="Arial"/>
        </w:rPr>
        <w:t>agences de traduction externes a été renforcé afin d</w:t>
      </w:r>
      <w:r w:rsidR="00E2055A" w:rsidRPr="00A32AF4">
        <w:rPr>
          <w:rFonts w:ascii="Arial" w:hAnsi="Arial" w:cs="Arial"/>
        </w:rPr>
        <w:t>’</w:t>
      </w:r>
      <w:r w:rsidRPr="00A32AF4">
        <w:rPr>
          <w:rFonts w:ascii="Arial" w:hAnsi="Arial" w:cs="Arial"/>
        </w:rPr>
        <w:t>assurer une bonne gestion de la charge de travail et un maintien de la qualité à la source.  De nouveaux moyens technologiques et outils de gestion ont également été mis en place pour améliorer l</w:t>
      </w:r>
      <w:r w:rsidR="00E2055A" w:rsidRPr="00A32AF4">
        <w:rPr>
          <w:rFonts w:ascii="Arial" w:hAnsi="Arial" w:cs="Arial"/>
        </w:rPr>
        <w:t>’</w:t>
      </w:r>
      <w:r w:rsidRPr="00A32AF4">
        <w:rPr>
          <w:rFonts w:ascii="Arial" w:hAnsi="Arial" w:cs="Arial"/>
        </w:rPr>
        <w:t>environnement de traduction, créer des bases de données terminologiques et assurer le contrôle de qualité.</w:t>
      </w:r>
    </w:p>
    <w:p w:rsidR="006665FE" w:rsidRPr="00A32AF4" w:rsidRDefault="006665FE" w:rsidP="00DC0553">
      <w:pPr>
        <w:jc w:val="both"/>
        <w:rPr>
          <w:rFonts w:cs="Arial"/>
        </w:rPr>
      </w:pPr>
    </w:p>
    <w:p w:rsidR="006665FE" w:rsidRPr="00A32AF4" w:rsidRDefault="006665FE" w:rsidP="00DC0553">
      <w:pPr>
        <w:pStyle w:val="ListParagraph"/>
        <w:numPr>
          <w:ilvl w:val="0"/>
          <w:numId w:val="66"/>
        </w:numPr>
        <w:tabs>
          <w:tab w:val="left" w:pos="709"/>
        </w:tabs>
        <w:autoSpaceDE w:val="0"/>
        <w:autoSpaceDN w:val="0"/>
        <w:adjustRightInd w:val="0"/>
        <w:spacing w:after="0" w:line="240" w:lineRule="auto"/>
        <w:ind w:left="0" w:firstLine="0"/>
        <w:jc w:val="both"/>
        <w:rPr>
          <w:rFonts w:ascii="Arial" w:hAnsi="Arial" w:cs="Arial"/>
        </w:rPr>
      </w:pPr>
      <w:r w:rsidRPr="00A32AF4">
        <w:rPr>
          <w:rFonts w:ascii="Arial" w:hAnsi="Arial" w:cs="Arial"/>
        </w:rPr>
        <w:t>La mise en place de nouvelles technologies pour les services de conférence et d</w:t>
      </w:r>
      <w:r w:rsidR="00E2055A" w:rsidRPr="00A32AF4">
        <w:rPr>
          <w:rFonts w:ascii="Arial" w:hAnsi="Arial" w:cs="Arial"/>
        </w:rPr>
        <w:t>’</w:t>
      </w:r>
      <w:r w:rsidRPr="00A32AF4">
        <w:rPr>
          <w:rFonts w:ascii="Arial" w:hAnsi="Arial" w:cs="Arial"/>
        </w:rPr>
        <w:t>interprétation a aidé à moderniser les opérations et ainsi à faciliter davantage la participation des délégations des États membres aux réunions.  Ces services continuent d</w:t>
      </w:r>
      <w:r w:rsidR="00E2055A" w:rsidRPr="00A32AF4">
        <w:rPr>
          <w:rFonts w:ascii="Arial" w:hAnsi="Arial" w:cs="Arial"/>
        </w:rPr>
        <w:t>’</w:t>
      </w:r>
      <w:r w:rsidRPr="00A32AF4">
        <w:rPr>
          <w:rFonts w:ascii="Arial" w:hAnsi="Arial" w:cs="Arial"/>
        </w:rPr>
        <w:t>être confrontés aux défis que représentent le nombre toujours croissant de réunions organisées à l</w:t>
      </w:r>
      <w:r w:rsidR="00E2055A" w:rsidRPr="00A32AF4">
        <w:rPr>
          <w:rFonts w:ascii="Arial" w:hAnsi="Arial" w:cs="Arial"/>
        </w:rPr>
        <w:t>’</w:t>
      </w:r>
      <w:r w:rsidRPr="00A32AF4">
        <w:rPr>
          <w:rFonts w:ascii="Arial" w:hAnsi="Arial" w:cs="Arial"/>
        </w:rPr>
        <w:t>OMPI et l</w:t>
      </w:r>
      <w:r w:rsidR="00E2055A" w:rsidRPr="00A32AF4">
        <w:rPr>
          <w:rFonts w:ascii="Arial" w:hAnsi="Arial" w:cs="Arial"/>
        </w:rPr>
        <w:t>’</w:t>
      </w:r>
      <w:r w:rsidRPr="00A32AF4">
        <w:rPr>
          <w:rFonts w:ascii="Arial" w:hAnsi="Arial" w:cs="Arial"/>
        </w:rPr>
        <w:t xml:space="preserve">allongement de la durée de ces réunions, </w:t>
      </w:r>
      <w:r w:rsidR="00E2055A" w:rsidRPr="00A32AF4">
        <w:rPr>
          <w:rFonts w:ascii="Arial" w:hAnsi="Arial" w:cs="Arial"/>
        </w:rPr>
        <w:t>y compris</w:t>
      </w:r>
      <w:r w:rsidRPr="00A32AF4">
        <w:rPr>
          <w:rFonts w:ascii="Arial" w:hAnsi="Arial" w:cs="Arial"/>
        </w:rPr>
        <w:t xml:space="preserve"> pour des utilisateurs extérieurs de la nouvelle salle de conférence.</w:t>
      </w:r>
    </w:p>
    <w:p w:rsidR="006665FE" w:rsidRPr="00A32AF4" w:rsidRDefault="006665FE" w:rsidP="00DC0553">
      <w:pPr>
        <w:jc w:val="both"/>
        <w:rPr>
          <w:rFonts w:cs="Arial"/>
        </w:rPr>
      </w:pPr>
    </w:p>
    <w:p w:rsidR="006665FE" w:rsidRPr="00A32AF4" w:rsidRDefault="006665FE" w:rsidP="00DC0553">
      <w:pPr>
        <w:pStyle w:val="ListParagraph"/>
        <w:numPr>
          <w:ilvl w:val="0"/>
          <w:numId w:val="66"/>
        </w:numPr>
        <w:tabs>
          <w:tab w:val="left" w:pos="709"/>
        </w:tabs>
        <w:autoSpaceDE w:val="0"/>
        <w:autoSpaceDN w:val="0"/>
        <w:adjustRightInd w:val="0"/>
        <w:spacing w:after="0" w:line="240" w:lineRule="auto"/>
        <w:ind w:left="0" w:firstLine="0"/>
        <w:jc w:val="both"/>
        <w:rPr>
          <w:rFonts w:ascii="Arial" w:hAnsi="Arial" w:cs="Arial"/>
        </w:rPr>
      </w:pPr>
      <w:r w:rsidRPr="00A32AF4">
        <w:rPr>
          <w:rFonts w:ascii="Arial" w:hAnsi="Arial" w:cs="Arial"/>
        </w:rPr>
        <w:t>Le programme gère les opérations d</w:t>
      </w:r>
      <w:r w:rsidR="00E2055A" w:rsidRPr="00A32AF4">
        <w:rPr>
          <w:rFonts w:ascii="Arial" w:hAnsi="Arial" w:cs="Arial"/>
        </w:rPr>
        <w:t>’</w:t>
      </w:r>
      <w:r w:rsidRPr="00A32AF4">
        <w:rPr>
          <w:rFonts w:ascii="Arial" w:hAnsi="Arial" w:cs="Arial"/>
        </w:rPr>
        <w:t>impression avec efficacité afin que les États membres et les autres parties prenantes puissent disposer à temps des documents et publications nécessaires pour faciliter le travail des comités et autres organes, et afin de diffuser les informations sur la propriété intellectuelle.  Les services de gestion des dossiers et d</w:t>
      </w:r>
      <w:r w:rsidR="00E2055A" w:rsidRPr="00A32AF4">
        <w:rPr>
          <w:rFonts w:ascii="Arial" w:hAnsi="Arial" w:cs="Arial"/>
        </w:rPr>
        <w:t>’</w:t>
      </w:r>
      <w:r w:rsidRPr="00A32AF4">
        <w:rPr>
          <w:rFonts w:ascii="Arial" w:hAnsi="Arial" w:cs="Arial"/>
        </w:rPr>
        <w:t>expédition du courrier fournissent des services rentables à tous les pôles de l</w:t>
      </w:r>
      <w:r w:rsidR="00E2055A" w:rsidRPr="00A32AF4">
        <w:rPr>
          <w:rFonts w:ascii="Arial" w:hAnsi="Arial" w:cs="Arial"/>
        </w:rPr>
        <w:t>’</w:t>
      </w:r>
      <w:r w:rsidRPr="00A32AF4">
        <w:rPr>
          <w:rFonts w:ascii="Arial" w:hAnsi="Arial" w:cs="Arial"/>
        </w:rPr>
        <w:t>Organisation.</w:t>
      </w:r>
    </w:p>
    <w:p w:rsidR="006665FE" w:rsidRPr="00A32AF4" w:rsidRDefault="006665FE" w:rsidP="00DC0553">
      <w:pPr>
        <w:jc w:val="both"/>
        <w:rPr>
          <w:rFonts w:cs="Arial"/>
        </w:rPr>
      </w:pPr>
    </w:p>
    <w:p w:rsidR="006665FE" w:rsidRPr="00A32AF4" w:rsidRDefault="006665FE" w:rsidP="00DC0553">
      <w:pPr>
        <w:jc w:val="both"/>
        <w:rPr>
          <w:rFonts w:cs="Arial"/>
        </w:rPr>
      </w:pPr>
    </w:p>
    <w:p w:rsidR="006665FE" w:rsidRPr="00A32AF4" w:rsidRDefault="006665FE" w:rsidP="00DC0553">
      <w:pPr>
        <w:jc w:val="both"/>
        <w:rPr>
          <w:rFonts w:cs="Arial"/>
          <w:bCs/>
        </w:rPr>
      </w:pPr>
      <w:r w:rsidRPr="00A32AF4">
        <w:rPr>
          <w:rFonts w:cs="Arial"/>
          <w:bCs/>
        </w:rPr>
        <w:t>STRATÉGIES DE MISE EN ŒUVRE</w:t>
      </w:r>
    </w:p>
    <w:p w:rsidR="006665FE" w:rsidRPr="00A32AF4" w:rsidRDefault="006665FE" w:rsidP="00DC0553">
      <w:pPr>
        <w:jc w:val="both"/>
        <w:rPr>
          <w:rFonts w:cs="Arial"/>
        </w:rPr>
      </w:pPr>
    </w:p>
    <w:p w:rsidR="006665FE" w:rsidRPr="00A32AF4" w:rsidRDefault="006665FE" w:rsidP="00DC0553">
      <w:pPr>
        <w:pStyle w:val="ListParagraph"/>
        <w:numPr>
          <w:ilvl w:val="0"/>
          <w:numId w:val="66"/>
        </w:numPr>
        <w:tabs>
          <w:tab w:val="left" w:pos="709"/>
        </w:tabs>
        <w:autoSpaceDE w:val="0"/>
        <w:autoSpaceDN w:val="0"/>
        <w:adjustRightInd w:val="0"/>
        <w:spacing w:after="0" w:line="240" w:lineRule="auto"/>
        <w:ind w:left="0" w:firstLine="0"/>
        <w:jc w:val="both"/>
        <w:rPr>
          <w:rFonts w:ascii="Arial" w:hAnsi="Arial" w:cs="Arial"/>
        </w:rPr>
      </w:pPr>
      <w:r w:rsidRPr="00A32AF4">
        <w:rPr>
          <w:rFonts w:ascii="Arial" w:hAnsi="Arial" w:cs="Arial"/>
        </w:rPr>
        <w:t>Pour pallier la surcharge de travail, le service linguistique maintiendra le niveau actuel de la sous</w:t>
      </w:r>
      <w:r w:rsidR="00EB7F54" w:rsidRPr="00A32AF4">
        <w:rPr>
          <w:rFonts w:ascii="Arial" w:hAnsi="Arial" w:cs="Arial"/>
        </w:rPr>
        <w:noBreakHyphen/>
      </w:r>
      <w:r w:rsidRPr="00A32AF4">
        <w:rPr>
          <w:rFonts w:ascii="Arial" w:hAnsi="Arial" w:cs="Arial"/>
        </w:rPr>
        <w:t>traitance et des mesures seront prises simultanément pour maîtriser le volume de travail.  Il s</w:t>
      </w:r>
      <w:r w:rsidR="00E2055A" w:rsidRPr="00A32AF4">
        <w:rPr>
          <w:rFonts w:ascii="Arial" w:hAnsi="Arial" w:cs="Arial"/>
        </w:rPr>
        <w:t>’</w:t>
      </w:r>
      <w:r w:rsidRPr="00A32AF4">
        <w:rPr>
          <w:rFonts w:ascii="Arial" w:hAnsi="Arial" w:cs="Arial"/>
        </w:rPr>
        <w:t>agira de conjuguer la nécessité de répondre aux besoins escomptés des États membres et celle d</w:t>
      </w:r>
      <w:r w:rsidR="00E2055A" w:rsidRPr="00A32AF4">
        <w:rPr>
          <w:rFonts w:ascii="Arial" w:hAnsi="Arial" w:cs="Arial"/>
        </w:rPr>
        <w:t>’</w:t>
      </w:r>
      <w:r w:rsidRPr="00A32AF4">
        <w:rPr>
          <w:rFonts w:ascii="Arial" w:hAnsi="Arial" w:cs="Arial"/>
        </w:rPr>
        <w:t>optimiser l</w:t>
      </w:r>
      <w:r w:rsidR="00E2055A" w:rsidRPr="00A32AF4">
        <w:rPr>
          <w:rFonts w:ascii="Arial" w:hAnsi="Arial" w:cs="Arial"/>
        </w:rPr>
        <w:t>’</w:t>
      </w:r>
      <w:r w:rsidRPr="00A32AF4">
        <w:rPr>
          <w:rFonts w:ascii="Arial" w:hAnsi="Arial" w:cs="Arial"/>
        </w:rPr>
        <w:t>utilisation des ressources disponibles.  Le Secrétariat s</w:t>
      </w:r>
      <w:r w:rsidR="00E2055A" w:rsidRPr="00A32AF4">
        <w:rPr>
          <w:rFonts w:ascii="Arial" w:hAnsi="Arial" w:cs="Arial"/>
        </w:rPr>
        <w:t>’</w:t>
      </w:r>
      <w:r w:rsidRPr="00A32AF4">
        <w:rPr>
          <w:rFonts w:ascii="Arial" w:hAnsi="Arial" w:cs="Arial"/>
        </w:rPr>
        <w:t>emploiera à faire appliquer rigoureusement les mesures de rationalisation et de contrôle pour réduire le nombre de pages par document ainsi que le volume global des documents.  Bien qu</w:t>
      </w:r>
      <w:r w:rsidR="00E2055A" w:rsidRPr="00A32AF4">
        <w:rPr>
          <w:rFonts w:ascii="Arial" w:hAnsi="Arial" w:cs="Arial"/>
        </w:rPr>
        <w:t>’</w:t>
      </w:r>
      <w:r w:rsidRPr="00A32AF4">
        <w:rPr>
          <w:rFonts w:ascii="Arial" w:hAnsi="Arial" w:cs="Arial"/>
        </w:rPr>
        <w:t>une équipe d</w:t>
      </w:r>
      <w:r w:rsidR="00E2055A" w:rsidRPr="00A32AF4">
        <w:rPr>
          <w:rFonts w:ascii="Arial" w:hAnsi="Arial" w:cs="Arial"/>
        </w:rPr>
        <w:t>’</w:t>
      </w:r>
      <w:r w:rsidRPr="00A32AF4">
        <w:rPr>
          <w:rFonts w:ascii="Arial" w:hAnsi="Arial" w:cs="Arial"/>
        </w:rPr>
        <w:t>experts traducteurs et réviseurs soit maintenue en interne, le surcroît de charge de travail sera sous</w:t>
      </w:r>
      <w:r w:rsidR="00EB7F54" w:rsidRPr="00A32AF4">
        <w:rPr>
          <w:rFonts w:ascii="Arial" w:hAnsi="Arial" w:cs="Arial"/>
        </w:rPr>
        <w:noBreakHyphen/>
      </w:r>
      <w:r w:rsidRPr="00A32AF4">
        <w:rPr>
          <w:rFonts w:ascii="Arial" w:hAnsi="Arial" w:cs="Arial"/>
        </w:rPr>
        <w:t>traité à des traducteurs indépendants et à des agences de traduction.  Les pratiques en matière de gestion de la qualité seront renforcées et la notion de “qualité à la source” retenue pour engager des traducteurs compétents.</w:t>
      </w:r>
    </w:p>
    <w:p w:rsidR="006665FE" w:rsidRPr="00A32AF4" w:rsidRDefault="006665FE" w:rsidP="00DC0553">
      <w:pPr>
        <w:jc w:val="both"/>
        <w:rPr>
          <w:rFonts w:cs="Arial"/>
        </w:rPr>
      </w:pPr>
    </w:p>
    <w:p w:rsidR="006665FE" w:rsidRPr="00A32AF4" w:rsidRDefault="006665FE" w:rsidP="00DC0553">
      <w:pPr>
        <w:pStyle w:val="ListParagraph"/>
        <w:numPr>
          <w:ilvl w:val="0"/>
          <w:numId w:val="66"/>
        </w:numPr>
        <w:tabs>
          <w:tab w:val="left" w:pos="709"/>
        </w:tabs>
        <w:autoSpaceDE w:val="0"/>
        <w:autoSpaceDN w:val="0"/>
        <w:adjustRightInd w:val="0"/>
        <w:spacing w:after="0" w:line="240" w:lineRule="auto"/>
        <w:ind w:left="0" w:firstLine="0"/>
        <w:jc w:val="both"/>
        <w:rPr>
          <w:rFonts w:ascii="Arial" w:hAnsi="Arial" w:cs="Arial"/>
        </w:rPr>
      </w:pPr>
      <w:r w:rsidRPr="00A32AF4">
        <w:rPr>
          <w:rFonts w:ascii="Arial" w:hAnsi="Arial" w:cs="Arial"/>
        </w:rPr>
        <w:t>Avec la mise en place de nouveaux moyens technologiques et outils de gestion, la base de données terminologique sur la propriété intellectuelle dans les six langues de l</w:t>
      </w:r>
      <w:r w:rsidR="00E2055A" w:rsidRPr="00A32AF4">
        <w:rPr>
          <w:rFonts w:ascii="Arial" w:hAnsi="Arial" w:cs="Arial"/>
        </w:rPr>
        <w:t>’</w:t>
      </w:r>
      <w:r w:rsidRPr="00A32AF4">
        <w:rPr>
          <w:rFonts w:ascii="Arial" w:hAnsi="Arial" w:cs="Arial"/>
        </w:rPr>
        <w:t>ONU pourra être utilisée depuis l</w:t>
      </w:r>
      <w:r w:rsidR="00E2055A" w:rsidRPr="00A32AF4">
        <w:rPr>
          <w:rFonts w:ascii="Arial" w:hAnsi="Arial" w:cs="Arial"/>
        </w:rPr>
        <w:t>’</w:t>
      </w:r>
      <w:r w:rsidRPr="00A32AF4">
        <w:rPr>
          <w:rFonts w:ascii="Arial" w:hAnsi="Arial" w:cs="Arial"/>
        </w:rPr>
        <w:t>extérieur.  Cette base de données, qui sera utilisée pour assurer la cohérence et la qualité des traductions, est un atout pour l</w:t>
      </w:r>
      <w:r w:rsidR="00E2055A" w:rsidRPr="00A32AF4">
        <w:rPr>
          <w:rFonts w:ascii="Arial" w:hAnsi="Arial" w:cs="Arial"/>
        </w:rPr>
        <w:t>’</w:t>
      </w:r>
      <w:r w:rsidRPr="00A32AF4">
        <w:rPr>
          <w:rFonts w:ascii="Arial" w:hAnsi="Arial" w:cs="Arial"/>
        </w:rPr>
        <w:t>Organisation dans ses efforts pour devenir une source de références mondiale pour l</w:t>
      </w:r>
      <w:r w:rsidR="00E2055A" w:rsidRPr="00A32AF4">
        <w:rPr>
          <w:rFonts w:ascii="Arial" w:hAnsi="Arial" w:cs="Arial"/>
        </w:rPr>
        <w:t>’</w:t>
      </w:r>
      <w:r w:rsidRPr="00A32AF4">
        <w:rPr>
          <w:rFonts w:ascii="Arial" w:hAnsi="Arial" w:cs="Arial"/>
        </w:rPr>
        <w:t>information et l</w:t>
      </w:r>
      <w:r w:rsidR="00E2055A" w:rsidRPr="00A32AF4">
        <w:rPr>
          <w:rFonts w:ascii="Arial" w:hAnsi="Arial" w:cs="Arial"/>
        </w:rPr>
        <w:t>’</w:t>
      </w:r>
      <w:r w:rsidRPr="00A32AF4">
        <w:rPr>
          <w:rFonts w:ascii="Arial" w:hAnsi="Arial" w:cs="Arial"/>
        </w:rPr>
        <w:t>analyse en matière de propriété intellectuelle.</w:t>
      </w:r>
    </w:p>
    <w:p w:rsidR="006665FE" w:rsidRPr="00A32AF4" w:rsidRDefault="006665FE" w:rsidP="00DC0553">
      <w:pPr>
        <w:jc w:val="both"/>
        <w:rPr>
          <w:rFonts w:cs="Arial"/>
        </w:rPr>
      </w:pPr>
    </w:p>
    <w:p w:rsidR="006665FE" w:rsidRPr="00A32AF4" w:rsidRDefault="006665FE" w:rsidP="00DC0553">
      <w:pPr>
        <w:pStyle w:val="ListParagraph"/>
        <w:numPr>
          <w:ilvl w:val="0"/>
          <w:numId w:val="66"/>
        </w:numPr>
        <w:tabs>
          <w:tab w:val="left" w:pos="709"/>
        </w:tabs>
        <w:autoSpaceDE w:val="0"/>
        <w:autoSpaceDN w:val="0"/>
        <w:adjustRightInd w:val="0"/>
        <w:spacing w:after="0" w:line="240" w:lineRule="auto"/>
        <w:ind w:left="0" w:firstLine="0"/>
        <w:jc w:val="both"/>
        <w:rPr>
          <w:rFonts w:ascii="Arial" w:hAnsi="Arial" w:cs="Arial"/>
        </w:rPr>
      </w:pPr>
      <w:r w:rsidRPr="00A32AF4">
        <w:rPr>
          <w:rFonts w:ascii="Arial" w:hAnsi="Arial" w:cs="Arial"/>
        </w:rPr>
        <w:t>La politique de gestion des documents et d</w:t>
      </w:r>
      <w:r w:rsidR="00E2055A" w:rsidRPr="00A32AF4">
        <w:rPr>
          <w:rFonts w:ascii="Arial" w:hAnsi="Arial" w:cs="Arial"/>
        </w:rPr>
        <w:t>’</w:t>
      </w:r>
      <w:r w:rsidRPr="00A32AF4">
        <w:rPr>
          <w:rFonts w:ascii="Arial" w:hAnsi="Arial" w:cs="Arial"/>
        </w:rPr>
        <w:t>archivage des dossiers sera mise en œuvre grâce au développement de procédures rationalisées pour tous les secteurs de l</w:t>
      </w:r>
      <w:r w:rsidR="00E2055A" w:rsidRPr="00A32AF4">
        <w:rPr>
          <w:rFonts w:ascii="Arial" w:hAnsi="Arial" w:cs="Arial"/>
        </w:rPr>
        <w:t>’</w:t>
      </w:r>
      <w:r w:rsidRPr="00A32AF4">
        <w:rPr>
          <w:rFonts w:ascii="Arial" w:hAnsi="Arial" w:cs="Arial"/>
        </w:rPr>
        <w:t>OMPI.  Les services de conférences s</w:t>
      </w:r>
      <w:r w:rsidR="00E2055A" w:rsidRPr="00A32AF4">
        <w:rPr>
          <w:rFonts w:ascii="Arial" w:hAnsi="Arial" w:cs="Arial"/>
        </w:rPr>
        <w:t>’</w:t>
      </w:r>
      <w:r w:rsidRPr="00A32AF4">
        <w:rPr>
          <w:rFonts w:ascii="Arial" w:hAnsi="Arial" w:cs="Arial"/>
        </w:rPr>
        <w:t>efforceront d</w:t>
      </w:r>
      <w:r w:rsidR="00E2055A" w:rsidRPr="00A32AF4">
        <w:rPr>
          <w:rFonts w:ascii="Arial" w:hAnsi="Arial" w:cs="Arial"/>
        </w:rPr>
        <w:t>’</w:t>
      </w:r>
      <w:r w:rsidRPr="00A32AF4">
        <w:rPr>
          <w:rFonts w:ascii="Arial" w:hAnsi="Arial" w:cs="Arial"/>
        </w:rPr>
        <w:t>optimiser l</w:t>
      </w:r>
      <w:r w:rsidR="00E2055A" w:rsidRPr="00A32AF4">
        <w:rPr>
          <w:rFonts w:ascii="Arial" w:hAnsi="Arial" w:cs="Arial"/>
        </w:rPr>
        <w:t>’</w:t>
      </w:r>
      <w:r w:rsidRPr="00A32AF4">
        <w:rPr>
          <w:rFonts w:ascii="Arial" w:hAnsi="Arial" w:cs="Arial"/>
        </w:rPr>
        <w:t>utilisation des ressources disponibles, de recruter des agents temporaires auprès d</w:t>
      </w:r>
      <w:r w:rsidR="00E2055A" w:rsidRPr="00A32AF4">
        <w:rPr>
          <w:rFonts w:ascii="Arial" w:hAnsi="Arial" w:cs="Arial"/>
        </w:rPr>
        <w:t>’</w:t>
      </w:r>
      <w:r w:rsidRPr="00A32AF4">
        <w:rPr>
          <w:rFonts w:ascii="Arial" w:hAnsi="Arial" w:cs="Arial"/>
        </w:rPr>
        <w:t>agences, selon que de besoin, et d</w:t>
      </w:r>
      <w:r w:rsidR="00E2055A" w:rsidRPr="00A32AF4">
        <w:rPr>
          <w:rFonts w:ascii="Arial" w:hAnsi="Arial" w:cs="Arial"/>
        </w:rPr>
        <w:t>’</w:t>
      </w:r>
      <w:r w:rsidRPr="00A32AF4">
        <w:rPr>
          <w:rFonts w:ascii="Arial" w:hAnsi="Arial" w:cs="Arial"/>
        </w:rPr>
        <w:t>améliorer l</w:t>
      </w:r>
      <w:r w:rsidR="00E2055A" w:rsidRPr="00A32AF4">
        <w:rPr>
          <w:rFonts w:ascii="Arial" w:hAnsi="Arial" w:cs="Arial"/>
        </w:rPr>
        <w:t>’</w:t>
      </w:r>
      <w:r w:rsidRPr="00A32AF4">
        <w:rPr>
          <w:rFonts w:ascii="Arial" w:hAnsi="Arial" w:cs="Arial"/>
        </w:rPr>
        <w:t>application des outils et des systèmes informatiques.  Cela aidera également à gérer la demande plus forte que prévue liée à l</w:t>
      </w:r>
      <w:r w:rsidR="00E2055A" w:rsidRPr="00A32AF4">
        <w:rPr>
          <w:rFonts w:ascii="Arial" w:hAnsi="Arial" w:cs="Arial"/>
        </w:rPr>
        <w:t>’</w:t>
      </w:r>
      <w:r w:rsidRPr="00A32AF4">
        <w:rPr>
          <w:rFonts w:ascii="Arial" w:hAnsi="Arial" w:cs="Arial"/>
        </w:rPr>
        <w:t>utilisation prolongée de la nouvelle salle de conférence.  Le système d</w:t>
      </w:r>
      <w:r w:rsidR="00E2055A" w:rsidRPr="00A32AF4">
        <w:rPr>
          <w:rFonts w:ascii="Arial" w:hAnsi="Arial" w:cs="Arial"/>
        </w:rPr>
        <w:t>’</w:t>
      </w:r>
      <w:r w:rsidRPr="00A32AF4">
        <w:rPr>
          <w:rFonts w:ascii="Arial" w:hAnsi="Arial" w:cs="Arial"/>
        </w:rPr>
        <w:t>enregistrement en ligne sera renforcé et des efforts seront déployés pour rationaliser la diffusion électronique des documents.  Le service, qui continuera d</w:t>
      </w:r>
      <w:r w:rsidR="00E2055A" w:rsidRPr="00A32AF4">
        <w:rPr>
          <w:rFonts w:ascii="Arial" w:hAnsi="Arial" w:cs="Arial"/>
        </w:rPr>
        <w:t>’</w:t>
      </w:r>
      <w:r w:rsidRPr="00A32AF4">
        <w:rPr>
          <w:rFonts w:ascii="Arial" w:hAnsi="Arial" w:cs="Arial"/>
        </w:rPr>
        <w:t>assurer efficacement les opérations d</w:t>
      </w:r>
      <w:r w:rsidR="00E2055A" w:rsidRPr="00A32AF4">
        <w:rPr>
          <w:rFonts w:ascii="Arial" w:hAnsi="Arial" w:cs="Arial"/>
        </w:rPr>
        <w:t>’</w:t>
      </w:r>
      <w:r w:rsidRPr="00A32AF4">
        <w:rPr>
          <w:rFonts w:ascii="Arial" w:hAnsi="Arial" w:cs="Arial"/>
        </w:rPr>
        <w:t>impression, s</w:t>
      </w:r>
      <w:r w:rsidR="00E2055A" w:rsidRPr="00A32AF4">
        <w:rPr>
          <w:rFonts w:ascii="Arial" w:hAnsi="Arial" w:cs="Arial"/>
        </w:rPr>
        <w:t>’</w:t>
      </w:r>
      <w:r w:rsidRPr="00A32AF4">
        <w:rPr>
          <w:rFonts w:ascii="Arial" w:hAnsi="Arial" w:cs="Arial"/>
        </w:rPr>
        <w:t>efforcera par ailleurs de réduire la consommation de papier notamment au moyen de systèmes d</w:t>
      </w:r>
      <w:r w:rsidR="00E2055A" w:rsidRPr="00A32AF4">
        <w:rPr>
          <w:rFonts w:ascii="Arial" w:hAnsi="Arial" w:cs="Arial"/>
        </w:rPr>
        <w:t>’</w:t>
      </w:r>
      <w:r w:rsidRPr="00A32AF4">
        <w:rPr>
          <w:rFonts w:ascii="Arial" w:hAnsi="Arial" w:cs="Arial"/>
        </w:rPr>
        <w:t>“impression sur demande”.  D</w:t>
      </w:r>
      <w:r w:rsidR="00E2055A" w:rsidRPr="00A32AF4">
        <w:rPr>
          <w:rFonts w:ascii="Arial" w:hAnsi="Arial" w:cs="Arial"/>
        </w:rPr>
        <w:t>’</w:t>
      </w:r>
      <w:r w:rsidRPr="00A32AF4">
        <w:rPr>
          <w:rFonts w:ascii="Arial" w:hAnsi="Arial" w:cs="Arial"/>
        </w:rPr>
        <w:t>autres solutions de réduction des coûts seront examinées avec le concours du Groupe de collaboration internationale à Genève.  Les services d</w:t>
      </w:r>
      <w:r w:rsidR="00E2055A" w:rsidRPr="00A32AF4">
        <w:rPr>
          <w:rFonts w:ascii="Arial" w:hAnsi="Arial" w:cs="Arial"/>
        </w:rPr>
        <w:t>’</w:t>
      </w:r>
      <w:r w:rsidRPr="00A32AF4">
        <w:rPr>
          <w:rFonts w:ascii="Arial" w:hAnsi="Arial" w:cs="Arial"/>
        </w:rPr>
        <w:t>expédition du courrier continueront de fournir des services efficaces et rentables et chercheront en permanence à obtenir des tarifs compétitifs auprès des principaux transporteurs.</w:t>
      </w:r>
    </w:p>
    <w:p w:rsidR="006665FE" w:rsidRPr="00A32AF4" w:rsidRDefault="006665FE" w:rsidP="00DC0553">
      <w:pPr>
        <w:rPr>
          <w:rFonts w:cs="Arial"/>
        </w:rPr>
      </w:pPr>
    </w:p>
    <w:p w:rsidR="006665FE" w:rsidRPr="00A32AF4" w:rsidRDefault="006665FE" w:rsidP="00DC0553">
      <w:pPr>
        <w:rPr>
          <w:rFonts w:cs="Arial"/>
        </w:rPr>
      </w:pPr>
    </w:p>
    <w:p w:rsidR="006665FE" w:rsidRPr="00A32AF4" w:rsidRDefault="006665FE" w:rsidP="00DC0553">
      <w:pPr>
        <w:rPr>
          <w:rFonts w:cs="Arial"/>
        </w:rPr>
      </w:pPr>
      <w:r w:rsidRPr="00A32AF4">
        <w:rPr>
          <w:rFonts w:cs="Arial"/>
        </w:rPr>
        <w:t>PRINCIPAUX RISQUES ET STRATÉGIES D</w:t>
      </w:r>
      <w:r w:rsidR="00E2055A" w:rsidRPr="00A32AF4">
        <w:rPr>
          <w:rFonts w:cs="Arial"/>
        </w:rPr>
        <w:t>’</w:t>
      </w:r>
      <w:r w:rsidRPr="00A32AF4">
        <w:rPr>
          <w:rFonts w:cs="Arial"/>
        </w:rPr>
        <w:t>ATTÉNUATION</w:t>
      </w:r>
    </w:p>
    <w:p w:rsidR="006665FE" w:rsidRPr="00A32AF4" w:rsidRDefault="006665FE" w:rsidP="00DC0553">
      <w:pPr>
        <w:rPr>
          <w:rFonts w:cs="Arial"/>
        </w:rPr>
      </w:pPr>
    </w:p>
    <w:tbl>
      <w:tblPr>
        <w:tblW w:w="9214"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111"/>
        <w:gridCol w:w="5103"/>
      </w:tblGrid>
      <w:tr w:rsidR="006665FE" w:rsidRPr="00A32AF4" w:rsidTr="000B5CFC">
        <w:trPr>
          <w:trHeight w:val="577"/>
        </w:trPr>
        <w:tc>
          <w:tcPr>
            <w:tcW w:w="4111" w:type="dxa"/>
            <w:tcBorders>
              <w:top w:val="single" w:sz="4" w:space="0" w:color="auto"/>
              <w:bottom w:val="single" w:sz="4" w:space="0" w:color="auto"/>
            </w:tcBorders>
            <w:shd w:val="clear" w:color="auto" w:fill="C6D9F1" w:themeFill="text2" w:themeFillTint="33"/>
            <w:vAlign w:val="center"/>
          </w:tcPr>
          <w:p w:rsidR="006665FE" w:rsidRPr="00A32AF4" w:rsidRDefault="006665FE" w:rsidP="00DC0553">
            <w:pPr>
              <w:jc w:val="center"/>
              <w:rPr>
                <w:rFonts w:cs="Arial"/>
                <w:b/>
                <w:bCs/>
                <w:sz w:val="18"/>
                <w:szCs w:val="18"/>
              </w:rPr>
            </w:pPr>
            <w:r w:rsidRPr="00A32AF4">
              <w:rPr>
                <w:rFonts w:cs="Arial"/>
                <w:b/>
                <w:bCs/>
                <w:sz w:val="18"/>
                <w:szCs w:val="18"/>
              </w:rPr>
              <w:t>Risques</w:t>
            </w:r>
          </w:p>
        </w:tc>
        <w:tc>
          <w:tcPr>
            <w:tcW w:w="5103" w:type="dxa"/>
            <w:tcBorders>
              <w:top w:val="single" w:sz="4" w:space="0" w:color="auto"/>
              <w:bottom w:val="single" w:sz="4" w:space="0" w:color="auto"/>
            </w:tcBorders>
            <w:shd w:val="clear" w:color="auto" w:fill="C6D9F1" w:themeFill="text2" w:themeFillTint="33"/>
            <w:vAlign w:val="center"/>
          </w:tcPr>
          <w:p w:rsidR="006665FE" w:rsidRPr="00A32AF4" w:rsidRDefault="006665FE" w:rsidP="00DC0553">
            <w:pPr>
              <w:jc w:val="center"/>
              <w:rPr>
                <w:rFonts w:cs="Arial"/>
                <w:b/>
                <w:bCs/>
                <w:sz w:val="18"/>
                <w:szCs w:val="18"/>
              </w:rPr>
            </w:pPr>
            <w:r w:rsidRPr="00A32AF4">
              <w:rPr>
                <w:rFonts w:cs="Arial"/>
                <w:b/>
                <w:bCs/>
                <w:sz w:val="18"/>
                <w:szCs w:val="18"/>
              </w:rPr>
              <w:t>Stratégies d</w:t>
            </w:r>
            <w:r w:rsidR="00E2055A" w:rsidRPr="00A32AF4">
              <w:rPr>
                <w:rFonts w:cs="Arial"/>
                <w:b/>
                <w:bCs/>
                <w:sz w:val="18"/>
                <w:szCs w:val="18"/>
              </w:rPr>
              <w:t>’</w:t>
            </w:r>
            <w:r w:rsidRPr="00A32AF4">
              <w:rPr>
                <w:rFonts w:cs="Arial"/>
                <w:b/>
                <w:bCs/>
                <w:sz w:val="18"/>
                <w:szCs w:val="18"/>
              </w:rPr>
              <w:t>atténuation</w:t>
            </w:r>
          </w:p>
        </w:tc>
      </w:tr>
      <w:tr w:rsidR="006665FE" w:rsidRPr="00A32AF4" w:rsidTr="000B5CFC">
        <w:trPr>
          <w:trHeight w:val="928"/>
        </w:trPr>
        <w:tc>
          <w:tcPr>
            <w:tcW w:w="4111" w:type="dxa"/>
            <w:tcBorders>
              <w:top w:val="single" w:sz="4" w:space="0" w:color="auto"/>
            </w:tcBorders>
            <w:shd w:val="clear" w:color="auto" w:fill="auto"/>
            <w:tcMar>
              <w:top w:w="113" w:type="dxa"/>
              <w:bottom w:w="113" w:type="dxa"/>
            </w:tcMar>
          </w:tcPr>
          <w:p w:rsidR="006665FE" w:rsidRPr="00A32AF4" w:rsidRDefault="006665FE" w:rsidP="00DC0553">
            <w:pPr>
              <w:rPr>
                <w:rFonts w:cs="Arial"/>
                <w:sz w:val="16"/>
                <w:szCs w:val="16"/>
              </w:rPr>
            </w:pPr>
            <w:r w:rsidRPr="00A32AF4">
              <w:rPr>
                <w:rFonts w:cs="Arial"/>
                <w:sz w:val="16"/>
                <w:szCs w:val="16"/>
              </w:rPr>
              <w:t>Mise en œuvre insuffisante de la politique linguistique en raison de l</w:t>
            </w:r>
            <w:r w:rsidR="00E2055A" w:rsidRPr="00A32AF4">
              <w:rPr>
                <w:rFonts w:cs="Arial"/>
                <w:sz w:val="16"/>
                <w:szCs w:val="16"/>
              </w:rPr>
              <w:t>’</w:t>
            </w:r>
            <w:r w:rsidRPr="00A32AF4">
              <w:rPr>
                <w:rFonts w:cs="Arial"/>
                <w:sz w:val="16"/>
                <w:szCs w:val="16"/>
              </w:rPr>
              <w:t>augmentation des demandes de traduction et du non</w:t>
            </w:r>
            <w:r w:rsidR="00EB7F54" w:rsidRPr="00A32AF4">
              <w:rPr>
                <w:rFonts w:cs="Arial"/>
                <w:sz w:val="16"/>
                <w:szCs w:val="16"/>
              </w:rPr>
              <w:noBreakHyphen/>
            </w:r>
            <w:r w:rsidRPr="00A32AF4">
              <w:rPr>
                <w:rFonts w:cs="Arial"/>
                <w:sz w:val="16"/>
                <w:szCs w:val="16"/>
              </w:rPr>
              <w:t>respect des limites prescrites, la charge de travail de traduction augmente considérablement, ce qui engendre des déséquilibres budgétaires.</w:t>
            </w:r>
          </w:p>
        </w:tc>
        <w:tc>
          <w:tcPr>
            <w:tcW w:w="5103" w:type="dxa"/>
            <w:tcBorders>
              <w:top w:val="single" w:sz="4" w:space="0" w:color="auto"/>
            </w:tcBorders>
            <w:shd w:val="clear" w:color="auto" w:fill="auto"/>
            <w:tcMar>
              <w:top w:w="113" w:type="dxa"/>
              <w:bottom w:w="113" w:type="dxa"/>
            </w:tcMar>
          </w:tcPr>
          <w:p w:rsidR="006665FE" w:rsidRPr="00A32AF4" w:rsidRDefault="006665FE" w:rsidP="00DC0553">
            <w:pPr>
              <w:rPr>
                <w:rFonts w:cs="Arial"/>
                <w:sz w:val="16"/>
                <w:szCs w:val="16"/>
              </w:rPr>
            </w:pPr>
            <w:r w:rsidRPr="00A32AF4">
              <w:rPr>
                <w:rFonts w:cs="Arial"/>
                <w:sz w:val="16"/>
                <w:szCs w:val="16"/>
              </w:rPr>
              <w:t xml:space="preserve">Contrôler le nombre et le volume des documents.  Appliquer de manière stricte des mesures de rationalisation et de </w:t>
            </w:r>
            <w:proofErr w:type="gramStart"/>
            <w:r w:rsidRPr="00A32AF4">
              <w:rPr>
                <w:rFonts w:cs="Arial"/>
                <w:sz w:val="16"/>
                <w:szCs w:val="16"/>
              </w:rPr>
              <w:t>contrôle;</w:t>
            </w:r>
            <w:proofErr w:type="gramEnd"/>
            <w:r w:rsidRPr="00A32AF4">
              <w:rPr>
                <w:rFonts w:cs="Arial"/>
                <w:sz w:val="16"/>
                <w:szCs w:val="16"/>
              </w:rPr>
              <w:t xml:space="preserve">  encourager les secteurs concernés à éviter les répétitions dans les documents.  Continuer d</w:t>
            </w:r>
            <w:r w:rsidR="00E2055A" w:rsidRPr="00A32AF4">
              <w:rPr>
                <w:rFonts w:cs="Arial"/>
                <w:sz w:val="16"/>
                <w:szCs w:val="16"/>
              </w:rPr>
              <w:t>’</w:t>
            </w:r>
            <w:r w:rsidRPr="00A32AF4">
              <w:rPr>
                <w:rFonts w:cs="Arial"/>
                <w:sz w:val="16"/>
                <w:szCs w:val="16"/>
              </w:rPr>
              <w:t>appliquer des solutions rentables de dotation en ressources.</w:t>
            </w:r>
          </w:p>
        </w:tc>
      </w:tr>
    </w:tbl>
    <w:p w:rsidR="006665FE" w:rsidRPr="00A32AF4" w:rsidRDefault="006665FE" w:rsidP="00DC0553">
      <w:pPr>
        <w:rPr>
          <w:rFonts w:cs="Arial"/>
        </w:rPr>
      </w:pPr>
    </w:p>
    <w:p w:rsidR="006665FE" w:rsidRPr="00A32AF4" w:rsidRDefault="006665FE" w:rsidP="00DC0553">
      <w:pPr>
        <w:rPr>
          <w:rFonts w:cs="Arial"/>
          <w:i/>
          <w:iCs/>
        </w:rPr>
      </w:pPr>
    </w:p>
    <w:p w:rsidR="006665FE" w:rsidRPr="00A32AF4" w:rsidRDefault="006665FE" w:rsidP="00DC0553">
      <w:pPr>
        <w:rPr>
          <w:rFonts w:cs="Arial"/>
        </w:rPr>
      </w:pPr>
      <w:r w:rsidRPr="00A32AF4">
        <w:rPr>
          <w:rFonts w:cs="Arial"/>
        </w:rPr>
        <w:t>TABLEAU DES RÉSULTATS</w:t>
      </w:r>
    </w:p>
    <w:p w:rsidR="006665FE" w:rsidRPr="00A32AF4" w:rsidRDefault="006665FE" w:rsidP="00DC0553">
      <w:pPr>
        <w:rPr>
          <w:rFonts w:cs="Arial"/>
        </w:rPr>
      </w:pPr>
    </w:p>
    <w:tbl>
      <w:tblPr>
        <w:tblW w:w="9251" w:type="dxa"/>
        <w:tblInd w:w="9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140"/>
        <w:gridCol w:w="2560"/>
        <w:gridCol w:w="2120"/>
        <w:gridCol w:w="2431"/>
      </w:tblGrid>
      <w:tr w:rsidR="006665FE" w:rsidRPr="00A32AF4" w:rsidTr="000B5CFC">
        <w:trPr>
          <w:cantSplit/>
        </w:trPr>
        <w:tc>
          <w:tcPr>
            <w:tcW w:w="2140" w:type="dxa"/>
            <w:tcBorders>
              <w:top w:val="single" w:sz="4" w:space="0" w:color="auto"/>
              <w:bottom w:val="single" w:sz="4" w:space="0" w:color="auto"/>
            </w:tcBorders>
            <w:shd w:val="clear" w:color="auto" w:fill="C6D9F1" w:themeFill="text2" w:themeFillTint="33"/>
            <w:tcMar>
              <w:top w:w="113" w:type="dxa"/>
              <w:bottom w:w="113" w:type="dxa"/>
            </w:tcMar>
            <w:vAlign w:val="center"/>
            <w:hideMark/>
          </w:tcPr>
          <w:p w:rsidR="006665FE" w:rsidRPr="00A32AF4" w:rsidRDefault="006665FE" w:rsidP="00DC0553">
            <w:pPr>
              <w:jc w:val="center"/>
              <w:rPr>
                <w:rFonts w:cs="Arial"/>
                <w:b/>
                <w:bCs/>
                <w:sz w:val="18"/>
                <w:szCs w:val="18"/>
              </w:rPr>
            </w:pPr>
            <w:r w:rsidRPr="00A32AF4">
              <w:rPr>
                <w:rFonts w:cs="Arial"/>
                <w:b/>
                <w:bCs/>
                <w:sz w:val="18"/>
                <w:szCs w:val="18"/>
              </w:rPr>
              <w:t xml:space="preserve">Résultats escomptés </w:t>
            </w:r>
          </w:p>
        </w:tc>
        <w:tc>
          <w:tcPr>
            <w:tcW w:w="2560" w:type="dxa"/>
            <w:tcBorders>
              <w:top w:val="single" w:sz="4" w:space="0" w:color="auto"/>
              <w:bottom w:val="single" w:sz="4" w:space="0" w:color="auto"/>
            </w:tcBorders>
            <w:shd w:val="clear" w:color="auto" w:fill="C6D9F1" w:themeFill="text2" w:themeFillTint="33"/>
            <w:tcMar>
              <w:top w:w="113" w:type="dxa"/>
              <w:bottom w:w="113" w:type="dxa"/>
            </w:tcMar>
            <w:vAlign w:val="center"/>
            <w:hideMark/>
          </w:tcPr>
          <w:p w:rsidR="006665FE" w:rsidRPr="00A32AF4" w:rsidRDefault="006665FE" w:rsidP="00DC0553">
            <w:pPr>
              <w:jc w:val="center"/>
              <w:rPr>
                <w:rFonts w:cs="Arial"/>
                <w:b/>
                <w:bCs/>
                <w:sz w:val="18"/>
                <w:szCs w:val="18"/>
              </w:rPr>
            </w:pPr>
            <w:r w:rsidRPr="00A32AF4">
              <w:rPr>
                <w:rFonts w:cs="Arial"/>
                <w:b/>
                <w:bCs/>
                <w:sz w:val="18"/>
                <w:szCs w:val="18"/>
              </w:rPr>
              <w:t>Indicateurs d</w:t>
            </w:r>
            <w:r w:rsidR="00E2055A" w:rsidRPr="00A32AF4">
              <w:rPr>
                <w:rFonts w:cs="Arial"/>
                <w:b/>
                <w:bCs/>
                <w:sz w:val="18"/>
                <w:szCs w:val="18"/>
              </w:rPr>
              <w:t>’</w:t>
            </w:r>
            <w:r w:rsidRPr="00A32AF4">
              <w:rPr>
                <w:rFonts w:cs="Arial"/>
                <w:b/>
                <w:bCs/>
                <w:sz w:val="18"/>
                <w:szCs w:val="18"/>
              </w:rPr>
              <w:t>exécution</w:t>
            </w:r>
          </w:p>
        </w:tc>
        <w:tc>
          <w:tcPr>
            <w:tcW w:w="2120" w:type="dxa"/>
            <w:tcBorders>
              <w:top w:val="single" w:sz="4" w:space="0" w:color="auto"/>
              <w:bottom w:val="single" w:sz="4" w:space="0" w:color="auto"/>
            </w:tcBorders>
            <w:shd w:val="clear" w:color="auto" w:fill="C6D9F1" w:themeFill="text2" w:themeFillTint="33"/>
            <w:tcMar>
              <w:top w:w="113" w:type="dxa"/>
              <w:bottom w:w="113" w:type="dxa"/>
            </w:tcMar>
            <w:vAlign w:val="center"/>
            <w:hideMark/>
          </w:tcPr>
          <w:p w:rsidR="006665FE" w:rsidRPr="00A32AF4" w:rsidRDefault="006665FE" w:rsidP="00DC0553">
            <w:pPr>
              <w:jc w:val="center"/>
              <w:rPr>
                <w:rFonts w:cs="Arial"/>
                <w:b/>
                <w:bCs/>
                <w:sz w:val="18"/>
                <w:szCs w:val="18"/>
              </w:rPr>
            </w:pPr>
            <w:r w:rsidRPr="00A32AF4">
              <w:rPr>
                <w:rFonts w:cs="Arial"/>
                <w:b/>
                <w:bCs/>
                <w:sz w:val="18"/>
                <w:szCs w:val="18"/>
              </w:rPr>
              <w:t>Niveaux de référence</w:t>
            </w:r>
          </w:p>
        </w:tc>
        <w:tc>
          <w:tcPr>
            <w:tcW w:w="2431" w:type="dxa"/>
            <w:tcBorders>
              <w:top w:val="single" w:sz="4" w:space="0" w:color="auto"/>
              <w:bottom w:val="single" w:sz="4" w:space="0" w:color="auto"/>
            </w:tcBorders>
            <w:shd w:val="clear" w:color="auto" w:fill="C6D9F1" w:themeFill="text2" w:themeFillTint="33"/>
            <w:tcMar>
              <w:top w:w="113" w:type="dxa"/>
              <w:bottom w:w="113" w:type="dxa"/>
            </w:tcMar>
            <w:vAlign w:val="center"/>
            <w:hideMark/>
          </w:tcPr>
          <w:p w:rsidR="006665FE" w:rsidRPr="00A32AF4" w:rsidRDefault="006665FE" w:rsidP="00DC0553">
            <w:pPr>
              <w:jc w:val="center"/>
              <w:rPr>
                <w:rFonts w:cs="Arial"/>
                <w:b/>
                <w:bCs/>
                <w:sz w:val="18"/>
                <w:szCs w:val="18"/>
              </w:rPr>
            </w:pPr>
            <w:r w:rsidRPr="00A32AF4">
              <w:rPr>
                <w:rFonts w:cs="Arial"/>
                <w:b/>
                <w:bCs/>
                <w:sz w:val="18"/>
                <w:szCs w:val="18"/>
              </w:rPr>
              <w:t>Objectifs visés</w:t>
            </w:r>
          </w:p>
        </w:tc>
      </w:tr>
      <w:tr w:rsidR="006665FE" w:rsidRPr="00A32AF4" w:rsidTr="000B5CFC">
        <w:trPr>
          <w:cantSplit/>
        </w:trPr>
        <w:tc>
          <w:tcPr>
            <w:tcW w:w="2140" w:type="dxa"/>
            <w:vMerge w:val="restart"/>
            <w:tcBorders>
              <w:top w:val="single" w:sz="4" w:space="0" w:color="auto"/>
            </w:tcBorders>
            <w:shd w:val="clear" w:color="000000" w:fill="FFFFFF"/>
            <w:tcMar>
              <w:top w:w="113" w:type="dxa"/>
              <w:bottom w:w="113" w:type="dxa"/>
            </w:tcMar>
            <w:hideMark/>
          </w:tcPr>
          <w:p w:rsidR="006665FE" w:rsidRPr="00A32AF4" w:rsidRDefault="006665FE" w:rsidP="00DC0553">
            <w:pPr>
              <w:rPr>
                <w:rFonts w:cs="Arial"/>
                <w:sz w:val="16"/>
                <w:szCs w:val="16"/>
              </w:rPr>
            </w:pPr>
            <w:r w:rsidRPr="00A32AF4">
              <w:rPr>
                <w:rFonts w:cs="Arial"/>
                <w:sz w:val="16"/>
                <w:szCs w:val="16"/>
              </w:rPr>
              <w:t>IX.1 Services d</w:t>
            </w:r>
            <w:r w:rsidR="00E2055A" w:rsidRPr="00A32AF4">
              <w:rPr>
                <w:rFonts w:cs="Arial"/>
                <w:sz w:val="16"/>
                <w:szCs w:val="16"/>
              </w:rPr>
              <w:t>’</w:t>
            </w:r>
            <w:r w:rsidRPr="00A32AF4">
              <w:rPr>
                <w:rFonts w:cs="Arial"/>
                <w:sz w:val="16"/>
                <w:szCs w:val="16"/>
              </w:rPr>
              <w:t>appui efficaces, efficients, de qualité et tournés vers la clientèle, à l</w:t>
            </w:r>
            <w:r w:rsidR="00E2055A" w:rsidRPr="00A32AF4">
              <w:rPr>
                <w:rFonts w:cs="Arial"/>
                <w:sz w:val="16"/>
                <w:szCs w:val="16"/>
              </w:rPr>
              <w:t>’</w:t>
            </w:r>
            <w:r w:rsidRPr="00A32AF4">
              <w:rPr>
                <w:rFonts w:cs="Arial"/>
                <w:sz w:val="16"/>
                <w:szCs w:val="16"/>
              </w:rPr>
              <w:t>intention à la fois des clients internes et des parties prenantes externes</w:t>
            </w:r>
          </w:p>
        </w:tc>
        <w:tc>
          <w:tcPr>
            <w:tcW w:w="2560" w:type="dxa"/>
            <w:tcBorders>
              <w:top w:val="single" w:sz="4" w:space="0" w:color="auto"/>
            </w:tcBorders>
            <w:shd w:val="clear" w:color="000000" w:fill="FFFFFF"/>
            <w:tcMar>
              <w:top w:w="113" w:type="dxa"/>
              <w:bottom w:w="113" w:type="dxa"/>
            </w:tcMar>
            <w:hideMark/>
          </w:tcPr>
          <w:p w:rsidR="006665FE" w:rsidRPr="00A32AF4" w:rsidRDefault="006665FE" w:rsidP="00DC0553">
            <w:pPr>
              <w:rPr>
                <w:rFonts w:cs="Arial"/>
                <w:sz w:val="16"/>
                <w:szCs w:val="16"/>
              </w:rPr>
            </w:pPr>
            <w:r w:rsidRPr="00A32AF4">
              <w:rPr>
                <w:rFonts w:cs="Arial"/>
                <w:sz w:val="16"/>
                <w:szCs w:val="16"/>
              </w:rPr>
              <w:t>Pourcentage de participants internes et externes satisfaits des services de conférence de l</w:t>
            </w:r>
            <w:r w:rsidR="00E2055A" w:rsidRPr="00A32AF4">
              <w:rPr>
                <w:rFonts w:cs="Arial"/>
                <w:sz w:val="16"/>
                <w:szCs w:val="16"/>
              </w:rPr>
              <w:t>’</w:t>
            </w:r>
            <w:r w:rsidRPr="00A32AF4">
              <w:rPr>
                <w:rFonts w:cs="Arial"/>
                <w:sz w:val="16"/>
                <w:szCs w:val="16"/>
              </w:rPr>
              <w:t>OMPI.</w:t>
            </w:r>
          </w:p>
        </w:tc>
        <w:tc>
          <w:tcPr>
            <w:tcW w:w="2120" w:type="dxa"/>
            <w:tcBorders>
              <w:top w:val="single" w:sz="4" w:space="0" w:color="auto"/>
            </w:tcBorders>
            <w:shd w:val="clear" w:color="000000" w:fill="FFFFFF"/>
            <w:tcMar>
              <w:top w:w="113" w:type="dxa"/>
              <w:bottom w:w="113" w:type="dxa"/>
            </w:tcMar>
            <w:hideMark/>
          </w:tcPr>
          <w:p w:rsidR="006665FE" w:rsidRPr="00A32AF4" w:rsidRDefault="006665FE" w:rsidP="00DC0553">
            <w:pPr>
              <w:ind w:firstLineChars="6" w:firstLine="10"/>
              <w:rPr>
                <w:rFonts w:cs="Arial"/>
                <w:sz w:val="16"/>
                <w:szCs w:val="16"/>
              </w:rPr>
            </w:pPr>
            <w:r w:rsidRPr="00A32AF4">
              <w:rPr>
                <w:rFonts w:cs="Arial"/>
                <w:sz w:val="16"/>
                <w:szCs w:val="16"/>
              </w:rPr>
              <w:t>97% des participants satisfaits des services (fin 2014)</w:t>
            </w:r>
          </w:p>
        </w:tc>
        <w:tc>
          <w:tcPr>
            <w:tcW w:w="2431" w:type="dxa"/>
            <w:tcBorders>
              <w:top w:val="single" w:sz="4" w:space="0" w:color="auto"/>
            </w:tcBorders>
            <w:shd w:val="clear" w:color="000000" w:fill="FFFFFF"/>
            <w:tcMar>
              <w:top w:w="113" w:type="dxa"/>
              <w:bottom w:w="113" w:type="dxa"/>
            </w:tcMar>
            <w:hideMark/>
          </w:tcPr>
          <w:p w:rsidR="006665FE" w:rsidRPr="00A32AF4" w:rsidRDefault="006665FE" w:rsidP="00DC0553">
            <w:pPr>
              <w:ind w:firstLineChars="1" w:firstLine="2"/>
              <w:rPr>
                <w:rFonts w:cs="Arial"/>
                <w:sz w:val="16"/>
                <w:szCs w:val="16"/>
              </w:rPr>
            </w:pPr>
            <w:r w:rsidRPr="00A32AF4">
              <w:rPr>
                <w:rFonts w:cs="Arial"/>
                <w:sz w:val="16"/>
                <w:szCs w:val="16"/>
              </w:rPr>
              <w:t>Maintenir le taux de la fin 2014</w:t>
            </w:r>
          </w:p>
        </w:tc>
      </w:tr>
      <w:tr w:rsidR="006665FE" w:rsidRPr="00A32AF4" w:rsidTr="000B5CFC">
        <w:trPr>
          <w:cantSplit/>
        </w:trPr>
        <w:tc>
          <w:tcPr>
            <w:tcW w:w="2140" w:type="dxa"/>
            <w:vMerge/>
            <w:tcMar>
              <w:top w:w="113" w:type="dxa"/>
              <w:bottom w:w="113" w:type="dxa"/>
            </w:tcMar>
            <w:vAlign w:val="center"/>
            <w:hideMark/>
          </w:tcPr>
          <w:p w:rsidR="006665FE" w:rsidRPr="00A32AF4" w:rsidRDefault="006665FE" w:rsidP="00DC0553">
            <w:pPr>
              <w:rPr>
                <w:rFonts w:cs="Arial"/>
                <w:sz w:val="16"/>
                <w:szCs w:val="16"/>
              </w:rPr>
            </w:pPr>
          </w:p>
        </w:tc>
        <w:tc>
          <w:tcPr>
            <w:tcW w:w="2560" w:type="dxa"/>
            <w:shd w:val="clear" w:color="000000" w:fill="FFFFFF"/>
            <w:tcMar>
              <w:top w:w="113" w:type="dxa"/>
              <w:bottom w:w="113" w:type="dxa"/>
            </w:tcMar>
            <w:hideMark/>
          </w:tcPr>
          <w:p w:rsidR="006665FE" w:rsidRPr="00A32AF4" w:rsidRDefault="006665FE" w:rsidP="00DC0553">
            <w:pPr>
              <w:rPr>
                <w:rFonts w:cs="Arial"/>
                <w:sz w:val="16"/>
                <w:szCs w:val="16"/>
              </w:rPr>
            </w:pPr>
            <w:r w:rsidRPr="00A32AF4">
              <w:rPr>
                <w:rFonts w:cs="Arial"/>
                <w:sz w:val="16"/>
                <w:szCs w:val="16"/>
              </w:rPr>
              <w:t>Mise en œuvre efficace de la politique linguistique de l</w:t>
            </w:r>
            <w:r w:rsidR="00E2055A" w:rsidRPr="00A32AF4">
              <w:rPr>
                <w:rFonts w:cs="Arial"/>
                <w:sz w:val="16"/>
                <w:szCs w:val="16"/>
              </w:rPr>
              <w:t>’</w:t>
            </w:r>
            <w:r w:rsidRPr="00A32AF4">
              <w:rPr>
                <w:rFonts w:cs="Arial"/>
                <w:sz w:val="16"/>
                <w:szCs w:val="16"/>
              </w:rPr>
              <w:t>OMPI</w:t>
            </w:r>
          </w:p>
        </w:tc>
        <w:tc>
          <w:tcPr>
            <w:tcW w:w="2120" w:type="dxa"/>
            <w:shd w:val="clear" w:color="000000" w:fill="FFFFFF"/>
            <w:tcMar>
              <w:top w:w="113" w:type="dxa"/>
              <w:bottom w:w="113" w:type="dxa"/>
            </w:tcMar>
            <w:hideMark/>
          </w:tcPr>
          <w:p w:rsidR="006665FE" w:rsidRPr="00A32AF4" w:rsidRDefault="006665FE" w:rsidP="00DC0553">
            <w:pPr>
              <w:ind w:firstLineChars="6" w:firstLine="10"/>
              <w:rPr>
                <w:rFonts w:cs="Arial"/>
                <w:sz w:val="16"/>
                <w:szCs w:val="16"/>
              </w:rPr>
            </w:pPr>
            <w:r w:rsidRPr="00A32AF4">
              <w:rPr>
                <w:rFonts w:cs="Arial"/>
                <w:sz w:val="16"/>
                <w:szCs w:val="16"/>
              </w:rPr>
              <w:t>Extension de la couverture linguistique aux documents de tous les comités et organes principaux et de certains groupes de travail</w:t>
            </w:r>
          </w:p>
        </w:tc>
        <w:tc>
          <w:tcPr>
            <w:tcW w:w="2431" w:type="dxa"/>
            <w:shd w:val="clear" w:color="000000" w:fill="FFFFFF"/>
            <w:tcMar>
              <w:top w:w="113" w:type="dxa"/>
              <w:bottom w:w="113" w:type="dxa"/>
            </w:tcMar>
            <w:hideMark/>
          </w:tcPr>
          <w:p w:rsidR="006665FE" w:rsidRPr="00A32AF4" w:rsidRDefault="006665FE" w:rsidP="00DC0553">
            <w:pPr>
              <w:ind w:firstLineChars="1" w:firstLine="2"/>
              <w:rPr>
                <w:rFonts w:cs="Arial"/>
                <w:sz w:val="16"/>
                <w:szCs w:val="16"/>
              </w:rPr>
            </w:pPr>
            <w:r w:rsidRPr="00A32AF4">
              <w:rPr>
                <w:rFonts w:cs="Arial"/>
                <w:sz w:val="16"/>
                <w:szCs w:val="16"/>
              </w:rPr>
              <w:t>Extension de la couverture linguistique aux documents de tous les comités, organes principaux et groupes de travail, dont la longueur respecte les dispositions de la politique linguistique.</w:t>
            </w:r>
          </w:p>
        </w:tc>
      </w:tr>
      <w:tr w:rsidR="006665FE" w:rsidRPr="00A32AF4" w:rsidTr="000B5CFC">
        <w:trPr>
          <w:cantSplit/>
        </w:trPr>
        <w:tc>
          <w:tcPr>
            <w:tcW w:w="2140" w:type="dxa"/>
            <w:vMerge/>
            <w:tcMar>
              <w:top w:w="113" w:type="dxa"/>
              <w:bottom w:w="113" w:type="dxa"/>
            </w:tcMar>
            <w:vAlign w:val="center"/>
            <w:hideMark/>
          </w:tcPr>
          <w:p w:rsidR="006665FE" w:rsidRPr="00A32AF4" w:rsidRDefault="006665FE" w:rsidP="00DC0553">
            <w:pPr>
              <w:rPr>
                <w:rFonts w:cs="Arial"/>
                <w:sz w:val="16"/>
                <w:szCs w:val="16"/>
              </w:rPr>
            </w:pPr>
          </w:p>
        </w:tc>
        <w:tc>
          <w:tcPr>
            <w:tcW w:w="2560" w:type="dxa"/>
            <w:shd w:val="clear" w:color="000000" w:fill="FFFFFF"/>
            <w:tcMar>
              <w:top w:w="113" w:type="dxa"/>
              <w:bottom w:w="113" w:type="dxa"/>
            </w:tcMar>
            <w:hideMark/>
          </w:tcPr>
          <w:p w:rsidR="006665FE" w:rsidRPr="00A32AF4" w:rsidRDefault="006665FE" w:rsidP="00DC0553">
            <w:pPr>
              <w:rPr>
                <w:rFonts w:cs="Arial"/>
                <w:sz w:val="16"/>
                <w:szCs w:val="16"/>
              </w:rPr>
            </w:pPr>
            <w:r w:rsidRPr="00A32AF4">
              <w:rPr>
                <w:rFonts w:cs="Arial"/>
                <w:sz w:val="16"/>
                <w:szCs w:val="16"/>
              </w:rPr>
              <w:t>Réduction des coûts d</w:t>
            </w:r>
            <w:r w:rsidR="00E2055A" w:rsidRPr="00A32AF4">
              <w:rPr>
                <w:rFonts w:cs="Arial"/>
                <w:sz w:val="16"/>
                <w:szCs w:val="16"/>
              </w:rPr>
              <w:t>’</w:t>
            </w:r>
            <w:r w:rsidRPr="00A32AF4">
              <w:rPr>
                <w:rFonts w:cs="Arial"/>
                <w:sz w:val="16"/>
                <w:szCs w:val="16"/>
              </w:rPr>
              <w:t>impression (par page)</w:t>
            </w:r>
          </w:p>
        </w:tc>
        <w:tc>
          <w:tcPr>
            <w:tcW w:w="2120" w:type="dxa"/>
            <w:shd w:val="clear" w:color="000000" w:fill="FFFFFF"/>
            <w:tcMar>
              <w:top w:w="113" w:type="dxa"/>
              <w:bottom w:w="113" w:type="dxa"/>
            </w:tcMar>
            <w:hideMark/>
          </w:tcPr>
          <w:p w:rsidR="006665FE" w:rsidRPr="00A32AF4" w:rsidRDefault="006665FE" w:rsidP="00DC0553">
            <w:pPr>
              <w:rPr>
                <w:rFonts w:cs="Arial"/>
                <w:sz w:val="16"/>
                <w:szCs w:val="16"/>
              </w:rPr>
            </w:pPr>
            <w:r w:rsidRPr="00A32AF4">
              <w:rPr>
                <w:rFonts w:cs="Arial"/>
                <w:sz w:val="16"/>
                <w:szCs w:val="16"/>
              </w:rPr>
              <w:t>0,14 franc suisse par page</w:t>
            </w:r>
          </w:p>
        </w:tc>
        <w:tc>
          <w:tcPr>
            <w:tcW w:w="2431" w:type="dxa"/>
            <w:shd w:val="clear" w:color="000000" w:fill="FFFFFF"/>
            <w:tcMar>
              <w:top w:w="113" w:type="dxa"/>
              <w:bottom w:w="113" w:type="dxa"/>
            </w:tcMar>
            <w:hideMark/>
          </w:tcPr>
          <w:p w:rsidR="006665FE" w:rsidRPr="00A32AF4" w:rsidRDefault="006665FE" w:rsidP="00DC0553">
            <w:pPr>
              <w:rPr>
                <w:rFonts w:cs="Arial"/>
                <w:sz w:val="16"/>
                <w:szCs w:val="16"/>
              </w:rPr>
            </w:pPr>
            <w:r w:rsidRPr="00A32AF4">
              <w:rPr>
                <w:rFonts w:cs="Arial"/>
                <w:sz w:val="16"/>
                <w:szCs w:val="16"/>
              </w:rPr>
              <w:t>Maintien de ce coût</w:t>
            </w:r>
          </w:p>
        </w:tc>
      </w:tr>
      <w:tr w:rsidR="006665FE" w:rsidRPr="00A32AF4" w:rsidTr="000B5CFC">
        <w:trPr>
          <w:cantSplit/>
        </w:trPr>
        <w:tc>
          <w:tcPr>
            <w:tcW w:w="2140" w:type="dxa"/>
            <w:vMerge/>
            <w:tcMar>
              <w:top w:w="113" w:type="dxa"/>
              <w:bottom w:w="113" w:type="dxa"/>
            </w:tcMar>
            <w:vAlign w:val="center"/>
            <w:hideMark/>
          </w:tcPr>
          <w:p w:rsidR="006665FE" w:rsidRPr="00A32AF4" w:rsidRDefault="006665FE" w:rsidP="00DC0553">
            <w:pPr>
              <w:rPr>
                <w:rFonts w:cs="Arial"/>
                <w:sz w:val="16"/>
                <w:szCs w:val="16"/>
              </w:rPr>
            </w:pPr>
          </w:p>
        </w:tc>
        <w:tc>
          <w:tcPr>
            <w:tcW w:w="2560" w:type="dxa"/>
            <w:shd w:val="clear" w:color="000000" w:fill="FFFFFF"/>
            <w:tcMar>
              <w:top w:w="113" w:type="dxa"/>
              <w:bottom w:w="113" w:type="dxa"/>
            </w:tcMar>
            <w:hideMark/>
          </w:tcPr>
          <w:p w:rsidR="006665FE" w:rsidRPr="00A32AF4" w:rsidRDefault="006665FE" w:rsidP="00DC0553">
            <w:pPr>
              <w:rPr>
                <w:rFonts w:cs="Arial"/>
                <w:sz w:val="16"/>
                <w:szCs w:val="16"/>
              </w:rPr>
            </w:pPr>
            <w:r w:rsidRPr="00A32AF4">
              <w:rPr>
                <w:rFonts w:cs="Arial"/>
                <w:sz w:val="16"/>
                <w:szCs w:val="16"/>
              </w:rPr>
              <w:t>Publication en temps voulu des documents pour les comités et groupes de travail</w:t>
            </w:r>
          </w:p>
        </w:tc>
        <w:tc>
          <w:tcPr>
            <w:tcW w:w="2120" w:type="dxa"/>
            <w:shd w:val="clear" w:color="000000" w:fill="FFFFFF"/>
            <w:tcMar>
              <w:top w:w="113" w:type="dxa"/>
              <w:bottom w:w="113" w:type="dxa"/>
            </w:tcMar>
            <w:hideMark/>
          </w:tcPr>
          <w:p w:rsidR="006665FE" w:rsidRPr="00A32AF4" w:rsidRDefault="006665FE" w:rsidP="00DC0553">
            <w:pPr>
              <w:ind w:firstLineChars="6" w:firstLine="10"/>
              <w:rPr>
                <w:rFonts w:cs="Arial"/>
                <w:sz w:val="16"/>
                <w:szCs w:val="16"/>
              </w:rPr>
            </w:pPr>
            <w:r w:rsidRPr="00A32AF4">
              <w:rPr>
                <w:rFonts w:cs="Arial"/>
                <w:sz w:val="16"/>
                <w:szCs w:val="16"/>
              </w:rPr>
              <w:t>21% des documents publiés dans toutes les langues deux mois avant les réunions concernées</w:t>
            </w:r>
          </w:p>
        </w:tc>
        <w:tc>
          <w:tcPr>
            <w:tcW w:w="2431" w:type="dxa"/>
            <w:shd w:val="clear" w:color="000000" w:fill="FFFFFF"/>
            <w:tcMar>
              <w:top w:w="113" w:type="dxa"/>
              <w:bottom w:w="113" w:type="dxa"/>
            </w:tcMar>
            <w:hideMark/>
          </w:tcPr>
          <w:p w:rsidR="006665FE" w:rsidRPr="00A32AF4" w:rsidRDefault="006665FE" w:rsidP="00DC0553">
            <w:pPr>
              <w:ind w:firstLineChars="1" w:firstLine="2"/>
              <w:rPr>
                <w:rFonts w:cs="Arial"/>
                <w:sz w:val="16"/>
                <w:szCs w:val="16"/>
              </w:rPr>
            </w:pPr>
            <w:r w:rsidRPr="00A32AF4">
              <w:rPr>
                <w:rFonts w:cs="Arial"/>
                <w:sz w:val="16"/>
                <w:szCs w:val="16"/>
              </w:rPr>
              <w:t>65% des documents publiés dans toutes les langues deux mois avant les réunions concernées</w:t>
            </w:r>
          </w:p>
        </w:tc>
      </w:tr>
      <w:tr w:rsidR="006665FE" w:rsidRPr="00A32AF4" w:rsidTr="000B5CFC">
        <w:trPr>
          <w:cantSplit/>
        </w:trPr>
        <w:tc>
          <w:tcPr>
            <w:tcW w:w="2140" w:type="dxa"/>
            <w:vMerge/>
            <w:tcMar>
              <w:top w:w="113" w:type="dxa"/>
              <w:bottom w:w="113" w:type="dxa"/>
            </w:tcMar>
            <w:vAlign w:val="center"/>
            <w:hideMark/>
          </w:tcPr>
          <w:p w:rsidR="006665FE" w:rsidRPr="00A32AF4" w:rsidRDefault="006665FE" w:rsidP="00DC0553">
            <w:pPr>
              <w:rPr>
                <w:rFonts w:cs="Arial"/>
                <w:sz w:val="16"/>
                <w:szCs w:val="16"/>
              </w:rPr>
            </w:pPr>
          </w:p>
        </w:tc>
        <w:tc>
          <w:tcPr>
            <w:tcW w:w="2560" w:type="dxa"/>
            <w:shd w:val="clear" w:color="000000" w:fill="FFFFFF"/>
            <w:tcMar>
              <w:top w:w="113" w:type="dxa"/>
              <w:bottom w:w="113" w:type="dxa"/>
            </w:tcMar>
            <w:hideMark/>
          </w:tcPr>
          <w:p w:rsidR="006665FE" w:rsidRPr="00A32AF4" w:rsidRDefault="006665FE" w:rsidP="00DC0553">
            <w:pPr>
              <w:rPr>
                <w:rFonts w:cs="Arial"/>
                <w:sz w:val="16"/>
                <w:szCs w:val="16"/>
              </w:rPr>
            </w:pPr>
            <w:r w:rsidRPr="00A32AF4">
              <w:rPr>
                <w:rFonts w:cs="Arial"/>
                <w:sz w:val="16"/>
                <w:szCs w:val="16"/>
              </w:rPr>
              <w:t>Coût par mot traduit</w:t>
            </w:r>
          </w:p>
        </w:tc>
        <w:tc>
          <w:tcPr>
            <w:tcW w:w="2120" w:type="dxa"/>
            <w:shd w:val="clear" w:color="000000" w:fill="FFFFFF"/>
            <w:tcMar>
              <w:top w:w="113" w:type="dxa"/>
              <w:bottom w:w="113" w:type="dxa"/>
            </w:tcMar>
            <w:hideMark/>
          </w:tcPr>
          <w:p w:rsidR="006665FE" w:rsidRPr="00A32AF4" w:rsidRDefault="006665FE" w:rsidP="00DC0553">
            <w:pPr>
              <w:ind w:firstLineChars="6" w:firstLine="10"/>
              <w:rPr>
                <w:rFonts w:cs="Arial"/>
                <w:sz w:val="16"/>
                <w:szCs w:val="16"/>
              </w:rPr>
            </w:pPr>
            <w:r w:rsidRPr="00A32AF4">
              <w:rPr>
                <w:rFonts w:cs="Arial"/>
                <w:sz w:val="16"/>
                <w:szCs w:val="16"/>
              </w:rPr>
              <w:t>0,59 franc suisse par mot</w:t>
            </w:r>
          </w:p>
        </w:tc>
        <w:tc>
          <w:tcPr>
            <w:tcW w:w="2431" w:type="dxa"/>
            <w:shd w:val="clear" w:color="000000" w:fill="FFFFFF"/>
            <w:tcMar>
              <w:top w:w="113" w:type="dxa"/>
              <w:bottom w:w="113" w:type="dxa"/>
            </w:tcMar>
            <w:hideMark/>
          </w:tcPr>
          <w:p w:rsidR="006665FE" w:rsidRPr="00A32AF4" w:rsidRDefault="006665FE" w:rsidP="00DC0553">
            <w:pPr>
              <w:rPr>
                <w:rFonts w:cs="Arial"/>
                <w:sz w:val="16"/>
                <w:szCs w:val="16"/>
              </w:rPr>
            </w:pPr>
            <w:r w:rsidRPr="00A32AF4">
              <w:rPr>
                <w:rFonts w:cs="Arial"/>
                <w:sz w:val="16"/>
                <w:szCs w:val="16"/>
              </w:rPr>
              <w:t>Maintien de ce coût</w:t>
            </w:r>
          </w:p>
        </w:tc>
      </w:tr>
    </w:tbl>
    <w:p w:rsidR="006665FE" w:rsidRPr="00A32AF4" w:rsidRDefault="006665FE" w:rsidP="00DC0553">
      <w:pPr>
        <w:rPr>
          <w:rFonts w:cs="Arial"/>
        </w:rPr>
      </w:pPr>
    </w:p>
    <w:p w:rsidR="006665FE" w:rsidRPr="00A32AF4" w:rsidRDefault="006665FE" w:rsidP="00DC0553">
      <w:pPr>
        <w:rPr>
          <w:rFonts w:cs="Arial"/>
        </w:rPr>
      </w:pPr>
    </w:p>
    <w:p w:rsidR="006665FE" w:rsidRPr="00A32AF4" w:rsidRDefault="006665FE" w:rsidP="00DC0553">
      <w:pPr>
        <w:rPr>
          <w:rFonts w:cs="Arial"/>
        </w:rPr>
      </w:pPr>
      <w:r w:rsidRPr="00A32AF4">
        <w:rPr>
          <w:rFonts w:cs="Arial"/>
        </w:rPr>
        <w:t>RESSOURCES ALLOUÉES AU PROGRAMME 27</w:t>
      </w:r>
    </w:p>
    <w:p w:rsidR="006665FE" w:rsidRPr="00A32AF4" w:rsidRDefault="006665FE" w:rsidP="00DC0553">
      <w:pPr>
        <w:pStyle w:val="ListParagraph"/>
        <w:tabs>
          <w:tab w:val="left" w:pos="709"/>
        </w:tabs>
        <w:autoSpaceDE w:val="0"/>
        <w:autoSpaceDN w:val="0"/>
        <w:adjustRightInd w:val="0"/>
        <w:ind w:left="0"/>
        <w:jc w:val="both"/>
        <w:rPr>
          <w:rFonts w:ascii="Arial" w:hAnsi="Arial" w:cs="Arial"/>
        </w:rPr>
      </w:pPr>
    </w:p>
    <w:p w:rsidR="006665FE" w:rsidRPr="00A32AF4" w:rsidRDefault="006665FE" w:rsidP="00DC0553">
      <w:pPr>
        <w:pStyle w:val="ListParagraph"/>
        <w:numPr>
          <w:ilvl w:val="0"/>
          <w:numId w:val="66"/>
        </w:numPr>
        <w:tabs>
          <w:tab w:val="left" w:pos="709"/>
        </w:tabs>
        <w:autoSpaceDE w:val="0"/>
        <w:autoSpaceDN w:val="0"/>
        <w:adjustRightInd w:val="0"/>
        <w:spacing w:after="0" w:line="240" w:lineRule="auto"/>
        <w:ind w:left="0" w:firstLine="0"/>
        <w:jc w:val="both"/>
        <w:rPr>
          <w:rFonts w:ascii="Arial" w:hAnsi="Arial" w:cs="Arial"/>
        </w:rPr>
      </w:pPr>
      <w:r w:rsidRPr="00A32AF4">
        <w:rPr>
          <w:rFonts w:ascii="Arial" w:hAnsi="Arial" w:cs="Arial"/>
        </w:rPr>
        <w:t>La réduction indiquée pour le résultat escompté IX.1 vient principalement de la diminution de 0,5 million de francs suisses des ressources pour la traduction, qui résulte de la compression des coûts de traduction conformément à la répartition des dépenses en 2014</w:t>
      </w:r>
      <w:r w:rsidR="00EB7F54" w:rsidRPr="00A32AF4">
        <w:rPr>
          <w:rFonts w:ascii="Arial" w:hAnsi="Arial" w:cs="Arial"/>
        </w:rPr>
        <w:noBreakHyphen/>
      </w:r>
      <w:r w:rsidRPr="00A32AF4">
        <w:rPr>
          <w:rFonts w:ascii="Arial" w:hAnsi="Arial" w:cs="Arial"/>
        </w:rPr>
        <w:t>2015.  Des économies supplémentaires de 0,55 million de francs suisses pour les services d</w:t>
      </w:r>
      <w:r w:rsidR="00E2055A" w:rsidRPr="00A32AF4">
        <w:rPr>
          <w:rFonts w:ascii="Arial" w:hAnsi="Arial" w:cs="Arial"/>
        </w:rPr>
        <w:t>’</w:t>
      </w:r>
      <w:r w:rsidRPr="00A32AF4">
        <w:rPr>
          <w:rFonts w:ascii="Arial" w:hAnsi="Arial" w:cs="Arial"/>
        </w:rPr>
        <w:t>impression ont été prévues dans le budget 2016</w:t>
      </w:r>
      <w:r w:rsidR="00EB7F54" w:rsidRPr="00A32AF4">
        <w:rPr>
          <w:rFonts w:ascii="Arial" w:hAnsi="Arial" w:cs="Arial"/>
        </w:rPr>
        <w:noBreakHyphen/>
      </w:r>
      <w:r w:rsidRPr="00A32AF4">
        <w:rPr>
          <w:rFonts w:ascii="Arial" w:hAnsi="Arial" w:cs="Arial"/>
        </w:rPr>
        <w:t>2017.</w:t>
      </w:r>
    </w:p>
    <w:p w:rsidR="006665FE" w:rsidRPr="00A32AF4" w:rsidRDefault="006665FE" w:rsidP="00DC0553">
      <w:pPr>
        <w:rPr>
          <w:rFonts w:cs="Arial"/>
        </w:rPr>
      </w:pPr>
    </w:p>
    <w:p w:rsidR="006665FE" w:rsidRPr="00A32AF4" w:rsidRDefault="006665FE" w:rsidP="00DC0553">
      <w:pPr>
        <w:rPr>
          <w:lang w:eastAsia="da-DK"/>
        </w:rPr>
      </w:pPr>
    </w:p>
    <w:p w:rsidR="00F93B76" w:rsidRPr="00A32AF4" w:rsidRDefault="00D5544C" w:rsidP="005240BB">
      <w:pPr>
        <w:keepNext/>
        <w:keepLines/>
        <w:autoSpaceDE w:val="0"/>
        <w:autoSpaceDN w:val="0"/>
        <w:jc w:val="center"/>
        <w:rPr>
          <w:rFonts w:cs="Arial"/>
          <w:b/>
        </w:rPr>
      </w:pPr>
      <w:r w:rsidRPr="00A32AF4">
        <w:rPr>
          <w:rFonts w:cs="Arial"/>
          <w:b/>
        </w:rPr>
        <w:t>Programme 27 : ressources par résultat</w:t>
      </w:r>
    </w:p>
    <w:p w:rsidR="00F93B76" w:rsidRPr="00A32AF4" w:rsidRDefault="00D5544C" w:rsidP="005240BB">
      <w:pPr>
        <w:keepNext/>
        <w:keepLines/>
        <w:autoSpaceDE w:val="0"/>
        <w:autoSpaceDN w:val="0"/>
        <w:spacing w:after="120"/>
        <w:jc w:val="center"/>
        <w:rPr>
          <w:rFonts w:cs="Arial"/>
          <w:i/>
        </w:rPr>
      </w:pPr>
      <w:r w:rsidRPr="00A32AF4">
        <w:rPr>
          <w:rFonts w:cs="Arial"/>
          <w:i/>
        </w:rPr>
        <w:t>(</w:t>
      </w:r>
      <w:proofErr w:type="gramStart"/>
      <w:r w:rsidRPr="00A32AF4">
        <w:rPr>
          <w:rFonts w:cs="Arial"/>
          <w:i/>
        </w:rPr>
        <w:t>en</w:t>
      </w:r>
      <w:proofErr w:type="gramEnd"/>
      <w:r w:rsidRPr="00A32AF4">
        <w:rPr>
          <w:rFonts w:cs="Arial"/>
          <w:i/>
        </w:rPr>
        <w:t xml:space="preserve"> milliers de francs suisses)</w:t>
      </w:r>
    </w:p>
    <w:p w:rsidR="005240BB" w:rsidRPr="00A32AF4" w:rsidRDefault="005240BB" w:rsidP="005240BB">
      <w:pPr>
        <w:keepNext/>
        <w:rPr>
          <w:sz w:val="18"/>
        </w:rPr>
      </w:pPr>
    </w:p>
    <w:tbl>
      <w:tblPr>
        <w:tblW w:w="8980" w:type="dxa"/>
        <w:tblInd w:w="55" w:type="dxa"/>
        <w:tblCellMar>
          <w:left w:w="70" w:type="dxa"/>
          <w:right w:w="70" w:type="dxa"/>
        </w:tblCellMar>
        <w:tblLook w:val="04A0" w:firstRow="1" w:lastRow="0" w:firstColumn="1" w:lastColumn="0" w:noHBand="0" w:noVBand="1"/>
      </w:tblPr>
      <w:tblGrid>
        <w:gridCol w:w="550"/>
        <w:gridCol w:w="4470"/>
        <w:gridCol w:w="1260"/>
        <w:gridCol w:w="1440"/>
        <w:gridCol w:w="1260"/>
      </w:tblGrid>
      <w:tr w:rsidR="00D5544C" w:rsidRPr="00A32AF4" w:rsidTr="00D5544C">
        <w:trPr>
          <w:cantSplit/>
        </w:trPr>
        <w:tc>
          <w:tcPr>
            <w:tcW w:w="5020" w:type="dxa"/>
            <w:gridSpan w:val="2"/>
            <w:tcBorders>
              <w:top w:val="single" w:sz="4" w:space="0" w:color="auto"/>
              <w:left w:val="single" w:sz="4" w:space="0" w:color="auto"/>
              <w:bottom w:val="single" w:sz="4" w:space="0" w:color="auto"/>
              <w:right w:val="single" w:sz="4" w:space="0" w:color="000000"/>
            </w:tcBorders>
            <w:shd w:val="clear" w:color="000000" w:fill="C5D9F1"/>
            <w:noWrap/>
            <w:tcMar>
              <w:top w:w="113" w:type="dxa"/>
              <w:bottom w:w="113" w:type="dxa"/>
            </w:tcMar>
            <w:vAlign w:val="center"/>
            <w:hideMark/>
          </w:tcPr>
          <w:p w:rsidR="00D5544C" w:rsidRPr="00A32AF4" w:rsidRDefault="00D5544C" w:rsidP="00DC0553">
            <w:pPr>
              <w:keepNext/>
              <w:keepLines/>
              <w:jc w:val="center"/>
              <w:rPr>
                <w:rFonts w:cs="Arial"/>
                <w:i/>
                <w:iCs/>
                <w:sz w:val="16"/>
                <w:szCs w:val="16"/>
                <w:lang w:eastAsia="fr-FR"/>
              </w:rPr>
            </w:pPr>
            <w:r w:rsidRPr="00A32AF4">
              <w:rPr>
                <w:rFonts w:cs="Arial"/>
                <w:i/>
                <w:iCs/>
                <w:sz w:val="16"/>
                <w:szCs w:val="16"/>
                <w:lang w:eastAsia="fr-FR"/>
              </w:rPr>
              <w:t xml:space="preserve">Numéro et description du résultat escompté </w:t>
            </w:r>
          </w:p>
        </w:tc>
        <w:tc>
          <w:tcPr>
            <w:tcW w:w="126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D5544C" w:rsidRPr="00A32AF4" w:rsidRDefault="00D5544C" w:rsidP="00DC0553">
            <w:pPr>
              <w:keepNext/>
              <w:keepLines/>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2014</w:t>
            </w:r>
            <w:r w:rsidR="00EB7F54" w:rsidRPr="00A32AF4">
              <w:rPr>
                <w:rFonts w:cs="Arial"/>
                <w:i/>
                <w:iCs/>
                <w:sz w:val="16"/>
                <w:szCs w:val="16"/>
                <w:lang w:eastAsia="fr-FR"/>
              </w:rPr>
              <w:noBreakHyphen/>
            </w:r>
            <w:r w:rsidRPr="00A32AF4">
              <w:rPr>
                <w:rFonts w:cs="Arial"/>
                <w:i/>
                <w:iCs/>
                <w:sz w:val="16"/>
                <w:szCs w:val="16"/>
                <w:lang w:eastAsia="fr-FR"/>
              </w:rPr>
              <w:t>2015 approuvé</w:t>
            </w:r>
          </w:p>
        </w:tc>
        <w:tc>
          <w:tcPr>
            <w:tcW w:w="144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D5544C" w:rsidRPr="00A32AF4" w:rsidRDefault="00D5544C" w:rsidP="00DC0553">
            <w:pPr>
              <w:keepNext/>
              <w:keepLines/>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2014</w:t>
            </w:r>
            <w:r w:rsidR="00EB7F54" w:rsidRPr="00A32AF4">
              <w:rPr>
                <w:rFonts w:cs="Arial"/>
                <w:i/>
                <w:iCs/>
                <w:sz w:val="16"/>
                <w:szCs w:val="16"/>
                <w:lang w:eastAsia="fr-FR"/>
              </w:rPr>
              <w:noBreakHyphen/>
            </w:r>
            <w:r w:rsidRPr="00A32AF4">
              <w:rPr>
                <w:rFonts w:cs="Arial"/>
                <w:i/>
                <w:iCs/>
                <w:sz w:val="16"/>
                <w:szCs w:val="16"/>
                <w:lang w:eastAsia="fr-FR"/>
              </w:rPr>
              <w:t>2015 après virements</w:t>
            </w:r>
          </w:p>
        </w:tc>
        <w:tc>
          <w:tcPr>
            <w:tcW w:w="126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D5544C" w:rsidRPr="00A32AF4" w:rsidRDefault="00D5544C" w:rsidP="00DC0553">
            <w:pPr>
              <w:keepNext/>
              <w:keepLines/>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2016</w:t>
            </w:r>
            <w:r w:rsidR="00EB7F54" w:rsidRPr="00A32AF4">
              <w:rPr>
                <w:rFonts w:cs="Arial"/>
                <w:i/>
                <w:iCs/>
                <w:sz w:val="16"/>
                <w:szCs w:val="16"/>
                <w:lang w:eastAsia="fr-FR"/>
              </w:rPr>
              <w:noBreakHyphen/>
            </w:r>
            <w:r w:rsidRPr="00A32AF4">
              <w:rPr>
                <w:rFonts w:cs="Arial"/>
                <w:i/>
                <w:iCs/>
                <w:sz w:val="16"/>
                <w:szCs w:val="16"/>
                <w:lang w:eastAsia="fr-FR"/>
              </w:rPr>
              <w:t>2017 proposé</w:t>
            </w:r>
          </w:p>
        </w:tc>
      </w:tr>
      <w:tr w:rsidR="00D5544C" w:rsidRPr="00A32AF4" w:rsidTr="00D5544C">
        <w:trPr>
          <w:cantSplit/>
        </w:trPr>
        <w:tc>
          <w:tcPr>
            <w:tcW w:w="550" w:type="dxa"/>
            <w:tcBorders>
              <w:top w:val="nil"/>
              <w:left w:val="single" w:sz="4" w:space="0" w:color="auto"/>
              <w:bottom w:val="nil"/>
              <w:right w:val="nil"/>
            </w:tcBorders>
            <w:shd w:val="clear" w:color="auto" w:fill="auto"/>
            <w:noWrap/>
            <w:tcMar>
              <w:top w:w="113" w:type="dxa"/>
              <w:bottom w:w="113" w:type="dxa"/>
            </w:tcMar>
            <w:vAlign w:val="center"/>
            <w:hideMark/>
          </w:tcPr>
          <w:p w:rsidR="00D5544C" w:rsidRPr="00A32AF4" w:rsidRDefault="00D5544C" w:rsidP="00DC0553">
            <w:pPr>
              <w:keepNext/>
              <w:keepLines/>
              <w:rPr>
                <w:rFonts w:cs="Arial"/>
                <w:sz w:val="16"/>
                <w:szCs w:val="16"/>
                <w:lang w:eastAsia="fr-FR"/>
              </w:rPr>
            </w:pPr>
            <w:r w:rsidRPr="00A32AF4">
              <w:rPr>
                <w:rFonts w:cs="Arial"/>
                <w:sz w:val="16"/>
                <w:szCs w:val="16"/>
                <w:lang w:eastAsia="fr-FR"/>
              </w:rPr>
              <w:t>IX.1</w:t>
            </w:r>
          </w:p>
        </w:tc>
        <w:tc>
          <w:tcPr>
            <w:tcW w:w="4470" w:type="dxa"/>
            <w:tcBorders>
              <w:top w:val="nil"/>
              <w:left w:val="nil"/>
              <w:bottom w:val="nil"/>
              <w:right w:val="nil"/>
            </w:tcBorders>
            <w:shd w:val="clear" w:color="auto" w:fill="auto"/>
            <w:tcMar>
              <w:top w:w="113" w:type="dxa"/>
              <w:bottom w:w="113" w:type="dxa"/>
            </w:tcMar>
            <w:vAlign w:val="center"/>
            <w:hideMark/>
          </w:tcPr>
          <w:p w:rsidR="00D5544C" w:rsidRPr="00A32AF4" w:rsidRDefault="00D5544C" w:rsidP="00DC0553">
            <w:pPr>
              <w:keepNext/>
              <w:keepLines/>
              <w:rPr>
                <w:rFonts w:cs="Arial"/>
                <w:sz w:val="16"/>
                <w:szCs w:val="16"/>
                <w:lang w:eastAsia="fr-FR"/>
              </w:rPr>
            </w:pPr>
            <w:r w:rsidRPr="00A32AF4">
              <w:rPr>
                <w:rFonts w:cs="Arial"/>
                <w:sz w:val="16"/>
                <w:szCs w:val="16"/>
                <w:lang w:eastAsia="fr-FR"/>
              </w:rPr>
              <w:t>Services d</w:t>
            </w:r>
            <w:r w:rsidR="00E2055A" w:rsidRPr="00A32AF4">
              <w:rPr>
                <w:rFonts w:cs="Arial"/>
                <w:sz w:val="16"/>
                <w:szCs w:val="16"/>
                <w:lang w:eastAsia="fr-FR"/>
              </w:rPr>
              <w:t>’</w:t>
            </w:r>
            <w:r w:rsidRPr="00A32AF4">
              <w:rPr>
                <w:rFonts w:cs="Arial"/>
                <w:sz w:val="16"/>
                <w:szCs w:val="16"/>
                <w:lang w:eastAsia="fr-FR"/>
              </w:rPr>
              <w:t>appui efficaces, efficients, de qualité et tournés vers la clientèle, à l</w:t>
            </w:r>
            <w:r w:rsidR="00E2055A" w:rsidRPr="00A32AF4">
              <w:rPr>
                <w:rFonts w:cs="Arial"/>
                <w:sz w:val="16"/>
                <w:szCs w:val="16"/>
                <w:lang w:eastAsia="fr-FR"/>
              </w:rPr>
              <w:t>’</w:t>
            </w:r>
            <w:r w:rsidRPr="00A32AF4">
              <w:rPr>
                <w:rFonts w:cs="Arial"/>
                <w:sz w:val="16"/>
                <w:szCs w:val="16"/>
                <w:lang w:eastAsia="fr-FR"/>
              </w:rPr>
              <w:t>intention à la fois des clients internes et des parties prenantes externes</w:t>
            </w:r>
          </w:p>
        </w:tc>
        <w:tc>
          <w:tcPr>
            <w:tcW w:w="1260" w:type="dxa"/>
            <w:tcBorders>
              <w:top w:val="nil"/>
              <w:left w:val="nil"/>
              <w:bottom w:val="nil"/>
              <w:right w:val="nil"/>
            </w:tcBorders>
            <w:shd w:val="clear" w:color="auto" w:fill="auto"/>
            <w:tcMar>
              <w:top w:w="113" w:type="dxa"/>
              <w:bottom w:w="113" w:type="dxa"/>
            </w:tcMar>
            <w:vAlign w:val="center"/>
            <w:hideMark/>
          </w:tcPr>
          <w:p w:rsidR="00D5544C" w:rsidRPr="00A32AF4" w:rsidRDefault="00D5544C" w:rsidP="00DC0553">
            <w:pPr>
              <w:keepNext/>
              <w:keepLines/>
              <w:jc w:val="right"/>
              <w:rPr>
                <w:rFonts w:cs="Arial"/>
                <w:sz w:val="16"/>
                <w:szCs w:val="16"/>
                <w:lang w:eastAsia="fr-FR"/>
              </w:rPr>
            </w:pPr>
            <w:r w:rsidRPr="00A32AF4">
              <w:rPr>
                <w:rFonts w:cs="Arial"/>
                <w:sz w:val="16"/>
                <w:szCs w:val="16"/>
                <w:lang w:eastAsia="fr-FR"/>
              </w:rPr>
              <w:t>41</w:t>
            </w:r>
            <w:r w:rsidR="00FD43E3" w:rsidRPr="00A32AF4">
              <w:rPr>
                <w:rFonts w:cs="Arial"/>
                <w:sz w:val="16"/>
                <w:szCs w:val="16"/>
                <w:lang w:eastAsia="fr-FR"/>
              </w:rPr>
              <w:t> </w:t>
            </w:r>
            <w:r w:rsidRPr="00A32AF4">
              <w:rPr>
                <w:rFonts w:cs="Arial"/>
                <w:sz w:val="16"/>
                <w:szCs w:val="16"/>
                <w:lang w:eastAsia="fr-FR"/>
              </w:rPr>
              <w:t xml:space="preserve">117 </w:t>
            </w:r>
          </w:p>
        </w:tc>
        <w:tc>
          <w:tcPr>
            <w:tcW w:w="1440" w:type="dxa"/>
            <w:tcBorders>
              <w:top w:val="nil"/>
              <w:left w:val="nil"/>
              <w:bottom w:val="nil"/>
              <w:right w:val="nil"/>
            </w:tcBorders>
            <w:shd w:val="clear" w:color="auto" w:fill="auto"/>
            <w:tcMar>
              <w:top w:w="113" w:type="dxa"/>
              <w:bottom w:w="113" w:type="dxa"/>
            </w:tcMar>
            <w:vAlign w:val="center"/>
            <w:hideMark/>
          </w:tcPr>
          <w:p w:rsidR="00D5544C" w:rsidRPr="00A32AF4" w:rsidRDefault="00D5544C" w:rsidP="00DC0553">
            <w:pPr>
              <w:keepNext/>
              <w:keepLines/>
              <w:jc w:val="right"/>
              <w:rPr>
                <w:rFonts w:cs="Arial"/>
                <w:sz w:val="16"/>
                <w:szCs w:val="16"/>
                <w:lang w:eastAsia="fr-FR"/>
              </w:rPr>
            </w:pPr>
            <w:r w:rsidRPr="00A32AF4">
              <w:rPr>
                <w:rFonts w:cs="Arial"/>
                <w:sz w:val="16"/>
                <w:szCs w:val="16"/>
                <w:lang w:eastAsia="fr-FR"/>
              </w:rPr>
              <w:t>40</w:t>
            </w:r>
            <w:r w:rsidR="00FD43E3" w:rsidRPr="00A32AF4">
              <w:rPr>
                <w:rFonts w:cs="Arial"/>
                <w:sz w:val="16"/>
                <w:szCs w:val="16"/>
                <w:lang w:eastAsia="fr-FR"/>
              </w:rPr>
              <w:t> </w:t>
            </w:r>
            <w:r w:rsidRPr="00A32AF4">
              <w:rPr>
                <w:rFonts w:cs="Arial"/>
                <w:sz w:val="16"/>
                <w:szCs w:val="16"/>
                <w:lang w:eastAsia="fr-FR"/>
              </w:rPr>
              <w:t>151</w:t>
            </w:r>
          </w:p>
        </w:tc>
        <w:tc>
          <w:tcPr>
            <w:tcW w:w="1260" w:type="dxa"/>
            <w:tcBorders>
              <w:top w:val="nil"/>
              <w:left w:val="nil"/>
              <w:bottom w:val="single" w:sz="4" w:space="0" w:color="auto"/>
              <w:right w:val="single" w:sz="4" w:space="0" w:color="auto"/>
            </w:tcBorders>
            <w:shd w:val="clear" w:color="auto" w:fill="auto"/>
            <w:noWrap/>
            <w:tcMar>
              <w:top w:w="113" w:type="dxa"/>
              <w:bottom w:w="113" w:type="dxa"/>
            </w:tcMar>
            <w:vAlign w:val="center"/>
            <w:hideMark/>
          </w:tcPr>
          <w:p w:rsidR="00D5544C" w:rsidRPr="00A32AF4" w:rsidRDefault="00D5544C" w:rsidP="00DC0553">
            <w:pPr>
              <w:keepNext/>
              <w:keepLines/>
              <w:jc w:val="right"/>
              <w:rPr>
                <w:rFonts w:cs="Arial"/>
                <w:color w:val="000000"/>
                <w:sz w:val="16"/>
                <w:szCs w:val="16"/>
                <w:lang w:eastAsia="fr-FR"/>
              </w:rPr>
            </w:pPr>
            <w:r w:rsidRPr="00A32AF4">
              <w:rPr>
                <w:rFonts w:cs="Arial"/>
                <w:color w:val="000000"/>
                <w:sz w:val="16"/>
                <w:szCs w:val="16"/>
                <w:lang w:eastAsia="fr-FR"/>
              </w:rPr>
              <w:t>38</w:t>
            </w:r>
            <w:r w:rsidR="00FD43E3" w:rsidRPr="00A32AF4">
              <w:rPr>
                <w:rFonts w:cs="Arial"/>
                <w:color w:val="000000"/>
                <w:sz w:val="16"/>
                <w:szCs w:val="16"/>
                <w:lang w:eastAsia="fr-FR"/>
              </w:rPr>
              <w:t> </w:t>
            </w:r>
            <w:r w:rsidRPr="00A32AF4">
              <w:rPr>
                <w:rFonts w:cs="Arial"/>
                <w:color w:val="000000"/>
                <w:sz w:val="16"/>
                <w:szCs w:val="16"/>
                <w:lang w:eastAsia="fr-FR"/>
              </w:rPr>
              <w:t xml:space="preserve">925 </w:t>
            </w:r>
          </w:p>
        </w:tc>
      </w:tr>
      <w:tr w:rsidR="00D5544C" w:rsidRPr="00A32AF4" w:rsidTr="00D5544C">
        <w:trPr>
          <w:cantSplit/>
        </w:trPr>
        <w:tc>
          <w:tcPr>
            <w:tcW w:w="550" w:type="dxa"/>
            <w:tcBorders>
              <w:top w:val="single" w:sz="4" w:space="0" w:color="auto"/>
              <w:left w:val="single" w:sz="4" w:space="0" w:color="auto"/>
              <w:bottom w:val="single" w:sz="4" w:space="0" w:color="auto"/>
              <w:right w:val="nil"/>
            </w:tcBorders>
            <w:shd w:val="clear" w:color="000000" w:fill="C5D9F1"/>
            <w:noWrap/>
            <w:tcMar>
              <w:top w:w="113" w:type="dxa"/>
              <w:bottom w:w="113" w:type="dxa"/>
            </w:tcMar>
            <w:vAlign w:val="bottom"/>
            <w:hideMark/>
          </w:tcPr>
          <w:p w:rsidR="00D5544C" w:rsidRPr="00A32AF4" w:rsidRDefault="00D5544C" w:rsidP="00DC0553">
            <w:pPr>
              <w:rPr>
                <w:rFonts w:cs="Arial"/>
                <w:sz w:val="16"/>
                <w:szCs w:val="16"/>
                <w:lang w:eastAsia="fr-FR"/>
              </w:rPr>
            </w:pPr>
            <w:r w:rsidRPr="00A32AF4">
              <w:rPr>
                <w:rFonts w:cs="Arial"/>
                <w:sz w:val="16"/>
                <w:szCs w:val="16"/>
                <w:lang w:eastAsia="fr-FR"/>
              </w:rPr>
              <w:t> </w:t>
            </w:r>
          </w:p>
        </w:tc>
        <w:tc>
          <w:tcPr>
            <w:tcW w:w="4470"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D5544C" w:rsidRPr="00A32AF4" w:rsidRDefault="00D5544C" w:rsidP="00DC0553">
            <w:pPr>
              <w:rPr>
                <w:rFonts w:cs="Arial"/>
                <w:b/>
                <w:bCs/>
                <w:sz w:val="16"/>
                <w:szCs w:val="16"/>
                <w:lang w:eastAsia="fr-FR"/>
              </w:rPr>
            </w:pPr>
            <w:r w:rsidRPr="00A32AF4">
              <w:rPr>
                <w:rFonts w:cs="Arial"/>
                <w:b/>
                <w:bCs/>
                <w:sz w:val="16"/>
                <w:szCs w:val="16"/>
                <w:lang w:eastAsia="fr-FR"/>
              </w:rPr>
              <w:t>Total</w:t>
            </w:r>
          </w:p>
        </w:tc>
        <w:tc>
          <w:tcPr>
            <w:tcW w:w="1260"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D5544C" w:rsidRPr="00A32AF4" w:rsidRDefault="00D5544C" w:rsidP="00DC0553">
            <w:pPr>
              <w:jc w:val="right"/>
              <w:rPr>
                <w:rFonts w:cs="Arial"/>
                <w:b/>
                <w:bCs/>
                <w:sz w:val="16"/>
                <w:szCs w:val="16"/>
                <w:lang w:eastAsia="fr-FR"/>
              </w:rPr>
            </w:pPr>
            <w:r w:rsidRPr="00A32AF4">
              <w:rPr>
                <w:rFonts w:cs="Arial"/>
                <w:b/>
                <w:bCs/>
                <w:sz w:val="16"/>
                <w:szCs w:val="16"/>
                <w:lang w:eastAsia="fr-FR"/>
              </w:rPr>
              <w:t>41</w:t>
            </w:r>
            <w:r w:rsidR="00FD43E3" w:rsidRPr="00A32AF4">
              <w:rPr>
                <w:rFonts w:cs="Arial"/>
                <w:b/>
                <w:bCs/>
                <w:sz w:val="16"/>
                <w:szCs w:val="16"/>
                <w:lang w:eastAsia="fr-FR"/>
              </w:rPr>
              <w:t> </w:t>
            </w:r>
            <w:r w:rsidRPr="00A32AF4">
              <w:rPr>
                <w:rFonts w:cs="Arial"/>
                <w:b/>
                <w:bCs/>
                <w:sz w:val="16"/>
                <w:szCs w:val="16"/>
                <w:lang w:eastAsia="fr-FR"/>
              </w:rPr>
              <w:t xml:space="preserve">117 </w:t>
            </w:r>
          </w:p>
        </w:tc>
        <w:tc>
          <w:tcPr>
            <w:tcW w:w="1440"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D5544C" w:rsidRPr="00A32AF4" w:rsidRDefault="00D5544C" w:rsidP="00DC0553">
            <w:pPr>
              <w:jc w:val="right"/>
              <w:rPr>
                <w:rFonts w:cs="Arial"/>
                <w:b/>
                <w:bCs/>
                <w:sz w:val="16"/>
                <w:szCs w:val="16"/>
                <w:lang w:eastAsia="fr-FR"/>
              </w:rPr>
            </w:pPr>
            <w:r w:rsidRPr="00A32AF4">
              <w:rPr>
                <w:rFonts w:cs="Arial"/>
                <w:b/>
                <w:bCs/>
                <w:sz w:val="16"/>
                <w:szCs w:val="16"/>
                <w:lang w:eastAsia="fr-FR"/>
              </w:rPr>
              <w:t>40</w:t>
            </w:r>
            <w:r w:rsidR="00FD43E3" w:rsidRPr="00A32AF4">
              <w:rPr>
                <w:rFonts w:cs="Arial"/>
                <w:b/>
                <w:bCs/>
                <w:sz w:val="16"/>
                <w:szCs w:val="16"/>
                <w:lang w:eastAsia="fr-FR"/>
              </w:rPr>
              <w:t> </w:t>
            </w:r>
            <w:r w:rsidRPr="00A32AF4">
              <w:rPr>
                <w:rFonts w:cs="Arial"/>
                <w:b/>
                <w:bCs/>
                <w:sz w:val="16"/>
                <w:szCs w:val="16"/>
                <w:lang w:eastAsia="fr-FR"/>
              </w:rPr>
              <w:t xml:space="preserve">151 </w:t>
            </w:r>
          </w:p>
        </w:tc>
        <w:tc>
          <w:tcPr>
            <w:tcW w:w="1260" w:type="dxa"/>
            <w:tcBorders>
              <w:top w:val="nil"/>
              <w:left w:val="nil"/>
              <w:bottom w:val="single" w:sz="4" w:space="0" w:color="auto"/>
              <w:right w:val="single" w:sz="4" w:space="0" w:color="auto"/>
            </w:tcBorders>
            <w:shd w:val="clear" w:color="000000" w:fill="C5D9F1"/>
            <w:noWrap/>
            <w:tcMar>
              <w:top w:w="113" w:type="dxa"/>
              <w:bottom w:w="113" w:type="dxa"/>
            </w:tcMar>
            <w:vAlign w:val="bottom"/>
            <w:hideMark/>
          </w:tcPr>
          <w:p w:rsidR="00D5544C" w:rsidRPr="00A32AF4" w:rsidRDefault="00D5544C" w:rsidP="00DC0553">
            <w:pPr>
              <w:jc w:val="right"/>
              <w:rPr>
                <w:rFonts w:cs="Arial"/>
                <w:b/>
                <w:bCs/>
                <w:sz w:val="16"/>
                <w:szCs w:val="16"/>
                <w:lang w:eastAsia="fr-FR"/>
              </w:rPr>
            </w:pPr>
            <w:r w:rsidRPr="00A32AF4">
              <w:rPr>
                <w:rFonts w:cs="Arial"/>
                <w:b/>
                <w:bCs/>
                <w:sz w:val="16"/>
                <w:szCs w:val="16"/>
                <w:lang w:eastAsia="fr-FR"/>
              </w:rPr>
              <w:t>38</w:t>
            </w:r>
            <w:r w:rsidR="00FD43E3" w:rsidRPr="00A32AF4">
              <w:rPr>
                <w:rFonts w:cs="Arial"/>
                <w:b/>
                <w:bCs/>
                <w:sz w:val="16"/>
                <w:szCs w:val="16"/>
                <w:lang w:eastAsia="fr-FR"/>
              </w:rPr>
              <w:t> </w:t>
            </w:r>
            <w:r w:rsidRPr="00A32AF4">
              <w:rPr>
                <w:rFonts w:cs="Arial"/>
                <w:b/>
                <w:bCs/>
                <w:sz w:val="16"/>
                <w:szCs w:val="16"/>
                <w:lang w:eastAsia="fr-FR"/>
              </w:rPr>
              <w:t xml:space="preserve">925 </w:t>
            </w:r>
          </w:p>
        </w:tc>
      </w:tr>
    </w:tbl>
    <w:p w:rsidR="00F93B76" w:rsidRPr="00A32AF4" w:rsidRDefault="00F93B76" w:rsidP="00DC0553">
      <w:pPr>
        <w:rPr>
          <w:sz w:val="16"/>
        </w:rPr>
      </w:pPr>
    </w:p>
    <w:p w:rsidR="00F93B76" w:rsidRPr="00A32AF4" w:rsidRDefault="00F93B76" w:rsidP="00DC0553">
      <w:pPr>
        <w:rPr>
          <w:sz w:val="16"/>
          <w:lang w:eastAsia="da-DK"/>
        </w:rPr>
      </w:pPr>
    </w:p>
    <w:p w:rsidR="00F93B76" w:rsidRPr="00A32AF4" w:rsidRDefault="00D5544C" w:rsidP="005240BB">
      <w:pPr>
        <w:keepNext/>
        <w:keepLines/>
        <w:autoSpaceDE w:val="0"/>
        <w:autoSpaceDN w:val="0"/>
        <w:jc w:val="center"/>
        <w:rPr>
          <w:rFonts w:cs="Arial"/>
          <w:b/>
        </w:rPr>
      </w:pPr>
      <w:r w:rsidRPr="00A32AF4">
        <w:rPr>
          <w:rFonts w:cs="Arial"/>
          <w:b/>
        </w:rPr>
        <w:t>Programme 27 : ressources par objet de dépense</w:t>
      </w:r>
    </w:p>
    <w:p w:rsidR="00F93B76" w:rsidRPr="00A32AF4" w:rsidRDefault="00D5544C" w:rsidP="005240BB">
      <w:pPr>
        <w:keepNext/>
        <w:keepLines/>
        <w:autoSpaceDE w:val="0"/>
        <w:autoSpaceDN w:val="0"/>
        <w:spacing w:after="120"/>
        <w:jc w:val="center"/>
        <w:rPr>
          <w:rFonts w:cs="Arial"/>
          <w:i/>
        </w:rPr>
      </w:pPr>
      <w:r w:rsidRPr="00A32AF4">
        <w:rPr>
          <w:rFonts w:cs="Arial"/>
          <w:i/>
        </w:rPr>
        <w:t>(</w:t>
      </w:r>
      <w:proofErr w:type="gramStart"/>
      <w:r w:rsidRPr="00A32AF4">
        <w:rPr>
          <w:rFonts w:cs="Arial"/>
          <w:i/>
        </w:rPr>
        <w:t>en</w:t>
      </w:r>
      <w:proofErr w:type="gramEnd"/>
      <w:r w:rsidRPr="00A32AF4">
        <w:rPr>
          <w:rFonts w:cs="Arial"/>
          <w:i/>
        </w:rPr>
        <w:t xml:space="preserve"> milliers de francs suisses)</w:t>
      </w:r>
    </w:p>
    <w:p w:rsidR="005240BB" w:rsidRPr="00A32AF4" w:rsidRDefault="005240BB" w:rsidP="005240BB">
      <w:pPr>
        <w:keepNext/>
        <w:rPr>
          <w:sz w:val="18"/>
        </w:rPr>
      </w:pPr>
    </w:p>
    <w:p w:rsidR="00F93B76" w:rsidRPr="00A32AF4" w:rsidRDefault="005240BB" w:rsidP="00DC0553">
      <w:pPr>
        <w:rPr>
          <w:lang w:eastAsia="da-DK"/>
        </w:rPr>
      </w:pPr>
      <w:r w:rsidRPr="00A32AF4">
        <w:rPr>
          <w:rFonts w:eastAsia="SimSun"/>
          <w:noProof/>
          <w:lang w:eastAsia="fr-FR"/>
        </w:rPr>
        <w:drawing>
          <wp:inline distT="0" distB="0" distL="0" distR="0" wp14:anchorId="37A352B0" wp14:editId="0FA7F1F2">
            <wp:extent cx="5514340" cy="6553200"/>
            <wp:effectExtent l="0" t="0" r="0" b="0"/>
            <wp:docPr id="1061" name="Picture 1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5514340" cy="6553200"/>
                    </a:xfrm>
                    <a:prstGeom prst="rect">
                      <a:avLst/>
                    </a:prstGeom>
                    <a:noFill/>
                    <a:ln>
                      <a:noFill/>
                    </a:ln>
                  </pic:spPr>
                </pic:pic>
              </a:graphicData>
            </a:graphic>
          </wp:inline>
        </w:drawing>
      </w:r>
      <w:r w:rsidR="00C47729" w:rsidRPr="00A32AF4">
        <w:rPr>
          <w:lang w:eastAsia="da-DK"/>
        </w:rPr>
        <w:br w:type="page"/>
      </w:r>
    </w:p>
    <w:p w:rsidR="00A46C92" w:rsidRPr="00A32AF4" w:rsidRDefault="00A46C92" w:rsidP="00FB1F61">
      <w:pPr>
        <w:pStyle w:val="Heading3"/>
      </w:pPr>
      <w:bookmarkStart w:id="70" w:name="_Toc431555473"/>
      <w:r w:rsidRPr="00A32AF4">
        <w:t>PROGRAMMe</w:t>
      </w:r>
      <w:r w:rsidR="00E325C7" w:rsidRPr="00A32AF4">
        <w:t> </w:t>
      </w:r>
      <w:r w:rsidRPr="00A32AF4">
        <w:t>28</w:t>
      </w:r>
      <w:r w:rsidRPr="00A32AF4">
        <w:tab/>
        <w:t>SÉCURITÉ de l</w:t>
      </w:r>
      <w:r w:rsidR="00E2055A" w:rsidRPr="00A32AF4">
        <w:t>’</w:t>
      </w:r>
      <w:r w:rsidRPr="00A32AF4">
        <w:t>information, des biens et des personnes</w:t>
      </w:r>
      <w:bookmarkEnd w:id="70"/>
    </w:p>
    <w:p w:rsidR="00A46C92" w:rsidRPr="00A32AF4" w:rsidRDefault="00A46C92" w:rsidP="00DC0553">
      <w:pPr>
        <w:jc w:val="both"/>
        <w:rPr>
          <w:rFonts w:cs="Arial"/>
          <w:bCs/>
        </w:rPr>
      </w:pPr>
    </w:p>
    <w:p w:rsidR="00A46C92" w:rsidRPr="00A32AF4" w:rsidRDefault="00A46C92" w:rsidP="00DC0553">
      <w:pPr>
        <w:jc w:val="both"/>
        <w:rPr>
          <w:rFonts w:cs="Arial"/>
          <w:bCs/>
        </w:rPr>
      </w:pPr>
    </w:p>
    <w:p w:rsidR="00A46C92" w:rsidRPr="00A32AF4" w:rsidRDefault="00A46C92" w:rsidP="00DC0553">
      <w:pPr>
        <w:rPr>
          <w:rFonts w:cs="Arial"/>
        </w:rPr>
      </w:pPr>
      <w:r w:rsidRPr="00A32AF4">
        <w:rPr>
          <w:rFonts w:cs="Arial"/>
        </w:rPr>
        <w:t>CONTEXTE DE PLANIFICATION</w:t>
      </w:r>
    </w:p>
    <w:p w:rsidR="00A46C92" w:rsidRPr="00A32AF4" w:rsidRDefault="00A46C92" w:rsidP="00DC0553">
      <w:pPr>
        <w:jc w:val="both"/>
        <w:rPr>
          <w:rFonts w:cs="Arial"/>
        </w:rPr>
      </w:pPr>
    </w:p>
    <w:p w:rsidR="00A46C92" w:rsidRPr="00A32AF4" w:rsidRDefault="00A46C92" w:rsidP="00DC0553">
      <w:pPr>
        <w:pStyle w:val="ListParagraph"/>
        <w:numPr>
          <w:ilvl w:val="0"/>
          <w:numId w:val="67"/>
        </w:numPr>
        <w:tabs>
          <w:tab w:val="left" w:pos="709"/>
        </w:tabs>
        <w:spacing w:after="0" w:line="240" w:lineRule="auto"/>
        <w:ind w:left="0" w:firstLine="0"/>
        <w:jc w:val="both"/>
        <w:rPr>
          <w:rFonts w:ascii="Arial" w:hAnsi="Arial" w:cs="Arial"/>
          <w:szCs w:val="20"/>
        </w:rPr>
      </w:pPr>
      <w:r w:rsidRPr="00A32AF4">
        <w:rPr>
          <w:rFonts w:ascii="Arial" w:hAnsi="Arial" w:cs="Arial"/>
          <w:szCs w:val="20"/>
        </w:rPr>
        <w:t>L</w:t>
      </w:r>
      <w:r w:rsidR="00E2055A" w:rsidRPr="00A32AF4">
        <w:rPr>
          <w:rFonts w:ascii="Arial" w:hAnsi="Arial" w:cs="Arial"/>
          <w:szCs w:val="20"/>
        </w:rPr>
        <w:t>’</w:t>
      </w:r>
      <w:r w:rsidRPr="00A32AF4">
        <w:rPr>
          <w:rFonts w:ascii="Arial" w:hAnsi="Arial" w:cs="Arial"/>
          <w:szCs w:val="20"/>
        </w:rPr>
        <w:t>OMPI est confrontée à une menace croissante de la part de personnes qui, obéissant à des motivations diverses, souhaitent s</w:t>
      </w:r>
      <w:r w:rsidR="00E2055A" w:rsidRPr="00A32AF4">
        <w:rPr>
          <w:rFonts w:ascii="Arial" w:hAnsi="Arial" w:cs="Arial"/>
          <w:szCs w:val="20"/>
        </w:rPr>
        <w:t>’</w:t>
      </w:r>
      <w:r w:rsidRPr="00A32AF4">
        <w:rPr>
          <w:rFonts w:ascii="Arial" w:hAnsi="Arial" w:cs="Arial"/>
          <w:szCs w:val="20"/>
        </w:rPr>
        <w:t>emparer de données de propriété intellectuelle sensibles et d</w:t>
      </w:r>
      <w:r w:rsidR="00E2055A" w:rsidRPr="00A32AF4">
        <w:rPr>
          <w:rFonts w:ascii="Arial" w:hAnsi="Arial" w:cs="Arial"/>
          <w:szCs w:val="20"/>
        </w:rPr>
        <w:t>’</w:t>
      </w:r>
      <w:r w:rsidRPr="00A32AF4">
        <w:rPr>
          <w:rFonts w:ascii="Arial" w:hAnsi="Arial" w:cs="Arial"/>
          <w:szCs w:val="20"/>
        </w:rPr>
        <w:t>identités personnelles, perturber les opérations de l</w:t>
      </w:r>
      <w:r w:rsidR="00E2055A" w:rsidRPr="00A32AF4">
        <w:rPr>
          <w:rFonts w:ascii="Arial" w:hAnsi="Arial" w:cs="Arial"/>
          <w:szCs w:val="20"/>
        </w:rPr>
        <w:t>’</w:t>
      </w:r>
      <w:r w:rsidRPr="00A32AF4">
        <w:rPr>
          <w:rFonts w:ascii="Arial" w:hAnsi="Arial" w:cs="Arial"/>
          <w:szCs w:val="20"/>
        </w:rPr>
        <w:t>OMPI et obtenir ainsi des renseignements commerciaux, politiques et concurrentiels.  Cette situation représente un risque pour la réputation et la pertinence de l</w:t>
      </w:r>
      <w:r w:rsidR="00E2055A" w:rsidRPr="00A32AF4">
        <w:rPr>
          <w:rFonts w:ascii="Arial" w:hAnsi="Arial" w:cs="Arial"/>
          <w:szCs w:val="20"/>
        </w:rPr>
        <w:t>’</w:t>
      </w:r>
      <w:r w:rsidRPr="00A32AF4">
        <w:rPr>
          <w:rFonts w:ascii="Arial" w:hAnsi="Arial" w:cs="Arial"/>
          <w:szCs w:val="20"/>
        </w:rPr>
        <w:t>OMPI en tant que prestataire fiable de services à l</w:t>
      </w:r>
      <w:r w:rsidR="00E2055A" w:rsidRPr="00A32AF4">
        <w:rPr>
          <w:rFonts w:ascii="Arial" w:hAnsi="Arial" w:cs="Arial"/>
          <w:szCs w:val="20"/>
        </w:rPr>
        <w:t>’</w:t>
      </w:r>
      <w:r w:rsidRPr="00A32AF4">
        <w:rPr>
          <w:rFonts w:ascii="Arial" w:hAnsi="Arial" w:cs="Arial"/>
          <w:szCs w:val="20"/>
        </w:rPr>
        <w:t>intention de ses États membres et de ses clients.</w:t>
      </w:r>
    </w:p>
    <w:p w:rsidR="00A46C92" w:rsidRPr="00A32AF4" w:rsidRDefault="00A46C92" w:rsidP="00DC0553">
      <w:pPr>
        <w:pStyle w:val="ListParagraph"/>
        <w:spacing w:after="0" w:line="240" w:lineRule="auto"/>
        <w:ind w:left="0"/>
        <w:jc w:val="both"/>
        <w:rPr>
          <w:rFonts w:ascii="Arial" w:hAnsi="Arial" w:cs="Arial"/>
          <w:szCs w:val="20"/>
        </w:rPr>
      </w:pPr>
    </w:p>
    <w:p w:rsidR="00A46C92" w:rsidRPr="00A32AF4" w:rsidRDefault="00A46C92" w:rsidP="00DC0553">
      <w:pPr>
        <w:pStyle w:val="ListParagraph"/>
        <w:numPr>
          <w:ilvl w:val="0"/>
          <w:numId w:val="67"/>
        </w:numPr>
        <w:tabs>
          <w:tab w:val="left" w:pos="709"/>
        </w:tabs>
        <w:spacing w:after="0" w:line="240" w:lineRule="auto"/>
        <w:ind w:left="0" w:firstLine="0"/>
        <w:jc w:val="both"/>
        <w:rPr>
          <w:rFonts w:ascii="Arial" w:hAnsi="Arial" w:cs="Arial"/>
          <w:szCs w:val="20"/>
        </w:rPr>
      </w:pPr>
      <w:r w:rsidRPr="00A32AF4">
        <w:rPr>
          <w:rFonts w:ascii="Arial" w:hAnsi="Arial" w:cs="Arial"/>
          <w:szCs w:val="20"/>
        </w:rPr>
        <w:t>La capacité de l</w:t>
      </w:r>
      <w:r w:rsidR="00E2055A" w:rsidRPr="00A32AF4">
        <w:rPr>
          <w:rFonts w:ascii="Arial" w:hAnsi="Arial" w:cs="Arial"/>
          <w:szCs w:val="20"/>
        </w:rPr>
        <w:t>’</w:t>
      </w:r>
      <w:r w:rsidRPr="00A32AF4">
        <w:rPr>
          <w:rFonts w:ascii="Arial" w:hAnsi="Arial" w:cs="Arial"/>
          <w:szCs w:val="20"/>
        </w:rPr>
        <w:t>OMPI de faire face à ces menaces en constante évolution, de protéger sa propre propriété intellectuelle et celle de ses clients et de gérer sans faille les risques dans les limites du risque acceptable dépend en grande partie de son aptitude à mettre en œuvre une stratégie renforcée de gestion de la sécurité des données, de gestion des risques et de respect des politiques.</w:t>
      </w:r>
    </w:p>
    <w:p w:rsidR="00A46C92" w:rsidRPr="00A32AF4" w:rsidRDefault="00A46C92" w:rsidP="00DC0553">
      <w:pPr>
        <w:pStyle w:val="ListParagraph"/>
        <w:spacing w:after="0" w:line="240" w:lineRule="auto"/>
        <w:ind w:left="0"/>
        <w:jc w:val="both"/>
        <w:rPr>
          <w:rFonts w:ascii="Arial" w:hAnsi="Arial" w:cs="Arial"/>
          <w:szCs w:val="20"/>
        </w:rPr>
      </w:pPr>
    </w:p>
    <w:p w:rsidR="00A46C92" w:rsidRPr="00A32AF4" w:rsidRDefault="00A46C92" w:rsidP="00DC0553">
      <w:pPr>
        <w:pStyle w:val="ListParagraph"/>
        <w:numPr>
          <w:ilvl w:val="0"/>
          <w:numId w:val="67"/>
        </w:numPr>
        <w:tabs>
          <w:tab w:val="left" w:pos="709"/>
        </w:tabs>
        <w:spacing w:after="0" w:line="240" w:lineRule="auto"/>
        <w:ind w:left="0" w:firstLine="0"/>
        <w:jc w:val="both"/>
        <w:rPr>
          <w:rFonts w:ascii="Arial" w:hAnsi="Arial" w:cs="Arial"/>
          <w:szCs w:val="20"/>
        </w:rPr>
      </w:pPr>
      <w:r w:rsidRPr="00A32AF4">
        <w:rPr>
          <w:rFonts w:ascii="Arial" w:hAnsi="Arial" w:cs="Arial"/>
          <w:szCs w:val="20"/>
        </w:rPr>
        <w:t>En ce qui concerne la sécurité des personnes et des biens, l</w:t>
      </w:r>
      <w:r w:rsidR="00E2055A" w:rsidRPr="00A32AF4">
        <w:rPr>
          <w:rFonts w:ascii="Arial" w:hAnsi="Arial" w:cs="Arial"/>
          <w:szCs w:val="20"/>
        </w:rPr>
        <w:t>’</w:t>
      </w:r>
      <w:r w:rsidRPr="00A32AF4">
        <w:rPr>
          <w:rFonts w:ascii="Arial" w:hAnsi="Arial" w:cs="Arial"/>
          <w:szCs w:val="20"/>
        </w:rPr>
        <w:t>OMPI continue d</w:t>
      </w:r>
      <w:r w:rsidR="00E2055A" w:rsidRPr="00A32AF4">
        <w:rPr>
          <w:rFonts w:ascii="Arial" w:hAnsi="Arial" w:cs="Arial"/>
          <w:szCs w:val="20"/>
        </w:rPr>
        <w:t>’</w:t>
      </w:r>
      <w:r w:rsidRPr="00A32AF4">
        <w:rPr>
          <w:rFonts w:ascii="Arial" w:hAnsi="Arial" w:cs="Arial"/>
          <w:szCs w:val="20"/>
        </w:rPr>
        <w:t xml:space="preserve">être exposée aux menaces réelles ou perçues pesant sur le système des </w:t>
      </w:r>
      <w:r w:rsidR="00E2055A" w:rsidRPr="00A32AF4">
        <w:rPr>
          <w:rFonts w:ascii="Arial" w:hAnsi="Arial" w:cs="Arial"/>
          <w:szCs w:val="20"/>
        </w:rPr>
        <w:t>Nations Unies</w:t>
      </w:r>
      <w:r w:rsidRPr="00A32AF4">
        <w:rPr>
          <w:rFonts w:ascii="Arial" w:hAnsi="Arial" w:cs="Arial"/>
          <w:szCs w:val="20"/>
        </w:rPr>
        <w:t>.  En conséquence, ce programme continuera d</w:t>
      </w:r>
      <w:r w:rsidR="00E2055A" w:rsidRPr="00A32AF4">
        <w:rPr>
          <w:rFonts w:ascii="Arial" w:hAnsi="Arial" w:cs="Arial"/>
          <w:szCs w:val="20"/>
        </w:rPr>
        <w:t>’</w:t>
      </w:r>
      <w:r w:rsidRPr="00A32AF4">
        <w:rPr>
          <w:rFonts w:ascii="Arial" w:hAnsi="Arial" w:cs="Arial"/>
          <w:szCs w:val="20"/>
        </w:rPr>
        <w:t>assurer la sécurité des biens et du personnel, des délégués et des visiteurs de l</w:t>
      </w:r>
      <w:r w:rsidR="00E2055A" w:rsidRPr="00A32AF4">
        <w:rPr>
          <w:rFonts w:ascii="Arial" w:hAnsi="Arial" w:cs="Arial"/>
          <w:szCs w:val="20"/>
        </w:rPr>
        <w:t>’</w:t>
      </w:r>
      <w:r w:rsidRPr="00A32AF4">
        <w:rPr>
          <w:rFonts w:ascii="Arial" w:hAnsi="Arial" w:cs="Arial"/>
          <w:szCs w:val="20"/>
        </w:rPr>
        <w:t>OMPI tant au siège que dans les bureaux extérieurs.  Avec l</w:t>
      </w:r>
      <w:r w:rsidR="00E2055A" w:rsidRPr="00A32AF4">
        <w:rPr>
          <w:rFonts w:ascii="Arial" w:hAnsi="Arial" w:cs="Arial"/>
          <w:szCs w:val="20"/>
        </w:rPr>
        <w:t>’</w:t>
      </w:r>
      <w:r w:rsidRPr="00A32AF4">
        <w:rPr>
          <w:rFonts w:ascii="Arial" w:hAnsi="Arial" w:cs="Arial"/>
          <w:szCs w:val="20"/>
        </w:rPr>
        <w:t>achèvement en 2015 du projet majeur relatif aux normes </w:t>
      </w:r>
      <w:r w:rsidR="006D5B84" w:rsidRPr="00A32AF4">
        <w:rPr>
          <w:rFonts w:ascii="Arial" w:hAnsi="Arial" w:cs="Arial"/>
          <w:color w:val="000000"/>
          <w:szCs w:val="20"/>
        </w:rPr>
        <w:t>UN H</w:t>
      </w:r>
      <w:r w:rsidR="006D5B84" w:rsidRPr="00A32AF4">
        <w:rPr>
          <w:rFonts w:ascii="Arial" w:hAnsi="Arial" w:cs="Arial"/>
          <w:color w:val="000000"/>
          <w:szCs w:val="20"/>
        </w:rPr>
        <w:noBreakHyphen/>
        <w:t>MOSS</w:t>
      </w:r>
      <w:r w:rsidRPr="00A32AF4">
        <w:rPr>
          <w:rFonts w:ascii="Arial" w:hAnsi="Arial" w:cs="Arial"/>
          <w:szCs w:val="20"/>
        </w:rPr>
        <w:t xml:space="preserve"> visant à mettre le périmètre de sécurité en conformité avec les normes minimales édictées par le Département de la sûreté et de la sécurité (DSS) de l</w:t>
      </w:r>
      <w:r w:rsidR="00E2055A" w:rsidRPr="00A32AF4">
        <w:rPr>
          <w:rFonts w:ascii="Arial" w:hAnsi="Arial" w:cs="Arial"/>
          <w:szCs w:val="20"/>
        </w:rPr>
        <w:t>’</w:t>
      </w:r>
      <w:r w:rsidRPr="00A32AF4">
        <w:rPr>
          <w:rFonts w:ascii="Arial" w:hAnsi="Arial" w:cs="Arial"/>
          <w:szCs w:val="20"/>
        </w:rPr>
        <w:t>ONU, l</w:t>
      </w:r>
      <w:r w:rsidR="00E2055A" w:rsidRPr="00A32AF4">
        <w:rPr>
          <w:rFonts w:ascii="Arial" w:hAnsi="Arial" w:cs="Arial"/>
          <w:szCs w:val="20"/>
        </w:rPr>
        <w:t>’</w:t>
      </w:r>
      <w:r w:rsidRPr="00A32AF4">
        <w:rPr>
          <w:rFonts w:ascii="Arial" w:hAnsi="Arial" w:cs="Arial"/>
          <w:szCs w:val="20"/>
        </w:rPr>
        <w:t>OMPI devra continuer d</w:t>
      </w:r>
      <w:r w:rsidR="00E2055A" w:rsidRPr="00A32AF4">
        <w:rPr>
          <w:rFonts w:ascii="Arial" w:hAnsi="Arial" w:cs="Arial"/>
          <w:szCs w:val="20"/>
        </w:rPr>
        <w:t>’</w:t>
      </w:r>
      <w:r w:rsidRPr="00A32AF4">
        <w:rPr>
          <w:rFonts w:ascii="Arial" w:hAnsi="Arial" w:cs="Arial"/>
          <w:szCs w:val="20"/>
        </w:rPr>
        <w:t>appliquer et d</w:t>
      </w:r>
      <w:r w:rsidR="00E2055A" w:rsidRPr="00A32AF4">
        <w:rPr>
          <w:rFonts w:ascii="Arial" w:hAnsi="Arial" w:cs="Arial"/>
          <w:szCs w:val="20"/>
        </w:rPr>
        <w:t>’</w:t>
      </w:r>
      <w:r w:rsidRPr="00A32AF4">
        <w:rPr>
          <w:rFonts w:ascii="Arial" w:hAnsi="Arial" w:cs="Arial"/>
          <w:szCs w:val="20"/>
        </w:rPr>
        <w:t>améliorer les nouvelles mesures de sécurité.  Les services de l</w:t>
      </w:r>
      <w:r w:rsidR="00E2055A" w:rsidRPr="00A32AF4">
        <w:rPr>
          <w:rFonts w:ascii="Arial" w:hAnsi="Arial" w:cs="Arial"/>
          <w:szCs w:val="20"/>
        </w:rPr>
        <w:t>’</w:t>
      </w:r>
      <w:r w:rsidRPr="00A32AF4">
        <w:rPr>
          <w:rFonts w:ascii="Arial" w:hAnsi="Arial" w:cs="Arial"/>
          <w:szCs w:val="20"/>
        </w:rPr>
        <w:t xml:space="preserve">OMPI chargés de la sécurité continueront de se conformer aux normes et principes directeurs du Système de gestion de la sécurité des organismes des </w:t>
      </w:r>
      <w:r w:rsidR="00E2055A" w:rsidRPr="00A32AF4">
        <w:rPr>
          <w:rFonts w:ascii="Arial" w:hAnsi="Arial" w:cs="Arial"/>
          <w:szCs w:val="20"/>
        </w:rPr>
        <w:t>Nations Unies</w:t>
      </w:r>
      <w:r w:rsidRPr="00A32AF4">
        <w:rPr>
          <w:rFonts w:ascii="Arial" w:hAnsi="Arial" w:cs="Arial"/>
          <w:szCs w:val="20"/>
        </w:rPr>
        <w:t>.</w:t>
      </w:r>
    </w:p>
    <w:p w:rsidR="00A46C92" w:rsidRPr="00A32AF4" w:rsidRDefault="00A46C92" w:rsidP="00DC0553">
      <w:pPr>
        <w:pStyle w:val="ListParagraph"/>
        <w:spacing w:after="0" w:line="240" w:lineRule="auto"/>
        <w:ind w:left="0"/>
        <w:jc w:val="both"/>
        <w:rPr>
          <w:rFonts w:ascii="Arial" w:hAnsi="Arial" w:cs="Arial"/>
          <w:szCs w:val="20"/>
        </w:rPr>
      </w:pPr>
    </w:p>
    <w:p w:rsidR="00A46C92" w:rsidRPr="00A32AF4" w:rsidRDefault="00A46C92" w:rsidP="00DC0553"/>
    <w:p w:rsidR="00A46C92" w:rsidRPr="00A32AF4" w:rsidRDefault="00A46C92" w:rsidP="00DC0553">
      <w:pPr>
        <w:rPr>
          <w:rFonts w:cs="Arial"/>
        </w:rPr>
      </w:pPr>
      <w:r w:rsidRPr="00A32AF4">
        <w:rPr>
          <w:rFonts w:cs="Arial"/>
        </w:rPr>
        <w:t>STRATÉGIES DE MISE EN ŒUVRE</w:t>
      </w:r>
    </w:p>
    <w:p w:rsidR="00A46C92" w:rsidRPr="00A32AF4" w:rsidRDefault="00A46C92" w:rsidP="00DC0553">
      <w:pPr>
        <w:jc w:val="both"/>
        <w:rPr>
          <w:rFonts w:cs="Arial"/>
        </w:rPr>
      </w:pPr>
    </w:p>
    <w:p w:rsidR="00A46C92" w:rsidRPr="00A32AF4" w:rsidRDefault="00A46C92" w:rsidP="00DC0553">
      <w:pPr>
        <w:pStyle w:val="ListParagraph"/>
        <w:numPr>
          <w:ilvl w:val="0"/>
          <w:numId w:val="67"/>
        </w:numPr>
        <w:tabs>
          <w:tab w:val="left" w:pos="709"/>
        </w:tabs>
        <w:spacing w:after="0" w:line="240" w:lineRule="auto"/>
        <w:ind w:left="0" w:firstLine="0"/>
        <w:jc w:val="both"/>
        <w:rPr>
          <w:rFonts w:ascii="Arial" w:hAnsi="Arial" w:cs="Arial"/>
          <w:szCs w:val="20"/>
        </w:rPr>
      </w:pPr>
      <w:r w:rsidRPr="00A32AF4">
        <w:rPr>
          <w:rFonts w:ascii="Arial" w:hAnsi="Arial" w:cs="Arial"/>
          <w:szCs w:val="20"/>
        </w:rPr>
        <w:t>Ce programme combine désormais sécurité de l</w:t>
      </w:r>
      <w:r w:rsidR="00E2055A" w:rsidRPr="00A32AF4">
        <w:rPr>
          <w:rFonts w:ascii="Arial" w:hAnsi="Arial" w:cs="Arial"/>
          <w:szCs w:val="20"/>
        </w:rPr>
        <w:t>’</w:t>
      </w:r>
      <w:r w:rsidRPr="00A32AF4">
        <w:rPr>
          <w:rFonts w:ascii="Arial" w:hAnsi="Arial" w:cs="Arial"/>
          <w:szCs w:val="20"/>
        </w:rPr>
        <w:t>information, des biens et des personnes, permettant à l</w:t>
      </w:r>
      <w:r w:rsidR="00E2055A" w:rsidRPr="00A32AF4">
        <w:rPr>
          <w:rFonts w:ascii="Arial" w:hAnsi="Arial" w:cs="Arial"/>
          <w:szCs w:val="20"/>
        </w:rPr>
        <w:t>’</w:t>
      </w:r>
      <w:r w:rsidRPr="00A32AF4">
        <w:rPr>
          <w:rFonts w:ascii="Arial" w:hAnsi="Arial" w:cs="Arial"/>
          <w:szCs w:val="20"/>
        </w:rPr>
        <w:t>OMPI d</w:t>
      </w:r>
      <w:r w:rsidR="00E2055A" w:rsidRPr="00A32AF4">
        <w:rPr>
          <w:rFonts w:ascii="Arial" w:hAnsi="Arial" w:cs="Arial"/>
          <w:szCs w:val="20"/>
        </w:rPr>
        <w:t>’</w:t>
      </w:r>
      <w:r w:rsidRPr="00A32AF4">
        <w:rPr>
          <w:rFonts w:ascii="Arial" w:hAnsi="Arial" w:cs="Arial"/>
          <w:szCs w:val="20"/>
        </w:rPr>
        <w:t>avoir une vue exhaustive de la situation et de gérer les risques opérationnels de manière globale.  Il favorise la convergence dans plusieurs domaines, notamment le partage de renseignements stratégiques sur les menaces physiques et virtuelles, une réaction coordonnée en cas d</w:t>
      </w:r>
      <w:r w:rsidR="00E2055A" w:rsidRPr="00A32AF4">
        <w:rPr>
          <w:rFonts w:ascii="Arial" w:hAnsi="Arial" w:cs="Arial"/>
          <w:szCs w:val="20"/>
        </w:rPr>
        <w:t>’</w:t>
      </w:r>
      <w:r w:rsidRPr="00A32AF4">
        <w:rPr>
          <w:rFonts w:ascii="Arial" w:hAnsi="Arial" w:cs="Arial"/>
          <w:szCs w:val="20"/>
        </w:rPr>
        <w:t>incident et la résilience des systèmes de sécurité.</w:t>
      </w:r>
    </w:p>
    <w:p w:rsidR="00A46C92" w:rsidRPr="00A32AF4" w:rsidRDefault="00A46C92" w:rsidP="00DC0553">
      <w:pPr>
        <w:jc w:val="both"/>
        <w:rPr>
          <w:rFonts w:cs="Arial"/>
        </w:rPr>
      </w:pPr>
    </w:p>
    <w:p w:rsidR="00A46C92" w:rsidRPr="00A32AF4" w:rsidRDefault="00A46C92" w:rsidP="00DC0553">
      <w:pPr>
        <w:pStyle w:val="ListParagraph"/>
        <w:numPr>
          <w:ilvl w:val="0"/>
          <w:numId w:val="67"/>
        </w:numPr>
        <w:tabs>
          <w:tab w:val="left" w:pos="709"/>
        </w:tabs>
        <w:spacing w:after="0" w:line="240" w:lineRule="auto"/>
        <w:ind w:left="0" w:firstLine="0"/>
        <w:jc w:val="both"/>
        <w:rPr>
          <w:rFonts w:ascii="Arial" w:hAnsi="Arial" w:cs="Arial"/>
          <w:szCs w:val="20"/>
        </w:rPr>
      </w:pPr>
      <w:r w:rsidRPr="00A32AF4">
        <w:rPr>
          <w:rFonts w:ascii="Arial" w:hAnsi="Arial" w:cs="Arial"/>
          <w:szCs w:val="20"/>
        </w:rPr>
        <w:t>Il est impératif que l</w:t>
      </w:r>
      <w:r w:rsidR="00E2055A" w:rsidRPr="00A32AF4">
        <w:rPr>
          <w:rFonts w:ascii="Arial" w:hAnsi="Arial" w:cs="Arial"/>
          <w:szCs w:val="20"/>
        </w:rPr>
        <w:t>’</w:t>
      </w:r>
      <w:r w:rsidRPr="00A32AF4">
        <w:rPr>
          <w:rFonts w:ascii="Arial" w:hAnsi="Arial" w:cs="Arial"/>
          <w:szCs w:val="20"/>
        </w:rPr>
        <w:t>OMPI non seulement renforce ses capacités actuelles en matière de sécurité de l</w:t>
      </w:r>
      <w:r w:rsidR="00E2055A" w:rsidRPr="00A32AF4">
        <w:rPr>
          <w:rFonts w:ascii="Arial" w:hAnsi="Arial" w:cs="Arial"/>
          <w:szCs w:val="20"/>
        </w:rPr>
        <w:t>’</w:t>
      </w:r>
      <w:r w:rsidRPr="00A32AF4">
        <w:rPr>
          <w:rFonts w:ascii="Arial" w:hAnsi="Arial" w:cs="Arial"/>
          <w:szCs w:val="20"/>
        </w:rPr>
        <w:t>information mais également s</w:t>
      </w:r>
      <w:r w:rsidR="00E2055A" w:rsidRPr="00A32AF4">
        <w:rPr>
          <w:rFonts w:ascii="Arial" w:hAnsi="Arial" w:cs="Arial"/>
          <w:szCs w:val="20"/>
        </w:rPr>
        <w:t>’</w:t>
      </w:r>
      <w:r w:rsidRPr="00A32AF4">
        <w:rPr>
          <w:rFonts w:ascii="Arial" w:hAnsi="Arial" w:cs="Arial"/>
          <w:szCs w:val="20"/>
        </w:rPr>
        <w:t>attache à mettre en œuvre dans ce domaine une stratégie efficace, fiable et durable qui lui permette de conserver la première place dans la fourniture à ses États membres et clients de solutions de propriété intellectuelle de qualité, fiables et sécurisées.</w:t>
      </w:r>
    </w:p>
    <w:p w:rsidR="00A46C92" w:rsidRPr="00A32AF4" w:rsidRDefault="00A46C92" w:rsidP="00DC0553">
      <w:pPr>
        <w:pStyle w:val="ListParagraph"/>
        <w:spacing w:after="0" w:line="240" w:lineRule="auto"/>
        <w:ind w:left="0"/>
        <w:jc w:val="both"/>
        <w:rPr>
          <w:rFonts w:ascii="Arial" w:hAnsi="Arial" w:cs="Arial"/>
          <w:szCs w:val="20"/>
        </w:rPr>
      </w:pPr>
    </w:p>
    <w:p w:rsidR="00A46C92" w:rsidRPr="00A32AF4" w:rsidRDefault="00A46C92" w:rsidP="00DC0553">
      <w:pPr>
        <w:pStyle w:val="ListParagraph"/>
        <w:numPr>
          <w:ilvl w:val="0"/>
          <w:numId w:val="67"/>
        </w:numPr>
        <w:tabs>
          <w:tab w:val="left" w:pos="709"/>
        </w:tabs>
        <w:spacing w:after="0" w:line="240" w:lineRule="auto"/>
        <w:ind w:left="0" w:firstLine="0"/>
        <w:jc w:val="both"/>
        <w:rPr>
          <w:rFonts w:ascii="Arial" w:hAnsi="Arial" w:cs="Arial"/>
          <w:szCs w:val="20"/>
        </w:rPr>
      </w:pPr>
      <w:r w:rsidRPr="00A32AF4">
        <w:rPr>
          <w:rFonts w:ascii="Arial" w:hAnsi="Arial" w:cs="Arial"/>
          <w:szCs w:val="20"/>
        </w:rPr>
        <w:t>À cet effet, les stratégies suivantes en matière de sécurité de l</w:t>
      </w:r>
      <w:r w:rsidR="00E2055A" w:rsidRPr="00A32AF4">
        <w:rPr>
          <w:rFonts w:ascii="Arial" w:hAnsi="Arial" w:cs="Arial"/>
          <w:szCs w:val="20"/>
        </w:rPr>
        <w:t>’</w:t>
      </w:r>
      <w:r w:rsidRPr="00A32AF4">
        <w:rPr>
          <w:rFonts w:ascii="Arial" w:hAnsi="Arial" w:cs="Arial"/>
          <w:szCs w:val="20"/>
        </w:rPr>
        <w:t>information seront mises en œuvre en 2016</w:t>
      </w:r>
      <w:r w:rsidR="00EB7F54" w:rsidRPr="00A32AF4">
        <w:rPr>
          <w:rFonts w:ascii="Arial" w:hAnsi="Arial" w:cs="Arial"/>
          <w:szCs w:val="20"/>
        </w:rPr>
        <w:noBreakHyphen/>
      </w:r>
      <w:r w:rsidRPr="00A32AF4">
        <w:rPr>
          <w:rFonts w:ascii="Arial" w:hAnsi="Arial" w:cs="Arial"/>
          <w:szCs w:val="20"/>
        </w:rPr>
        <w:t>2017 :</w:t>
      </w:r>
    </w:p>
    <w:p w:rsidR="00A46C92" w:rsidRPr="00A32AF4" w:rsidRDefault="00A46C92" w:rsidP="00DC0553">
      <w:pPr>
        <w:tabs>
          <w:tab w:val="left" w:pos="1134"/>
        </w:tabs>
        <w:jc w:val="both"/>
        <w:rPr>
          <w:rFonts w:cs="Arial"/>
        </w:rPr>
      </w:pPr>
    </w:p>
    <w:p w:rsidR="00A46C92" w:rsidRPr="00A32AF4" w:rsidRDefault="00A46C92" w:rsidP="00DC0553">
      <w:pPr>
        <w:numPr>
          <w:ilvl w:val="1"/>
          <w:numId w:val="31"/>
        </w:numPr>
        <w:tabs>
          <w:tab w:val="clear" w:pos="1250"/>
          <w:tab w:val="num" w:pos="1134"/>
        </w:tabs>
        <w:ind w:left="567"/>
        <w:jc w:val="both"/>
        <w:rPr>
          <w:rFonts w:cs="Arial"/>
        </w:rPr>
      </w:pPr>
      <w:r w:rsidRPr="00A32AF4">
        <w:rPr>
          <w:rFonts w:cs="Arial"/>
          <w:i/>
        </w:rPr>
        <w:t>Création d</w:t>
      </w:r>
      <w:r w:rsidR="00E2055A" w:rsidRPr="00A32AF4">
        <w:rPr>
          <w:rFonts w:cs="Arial"/>
          <w:i/>
        </w:rPr>
        <w:t>’</w:t>
      </w:r>
      <w:r w:rsidRPr="00A32AF4">
        <w:rPr>
          <w:rFonts w:cs="Arial"/>
          <w:i/>
        </w:rPr>
        <w:t>une culture de la sécurité</w:t>
      </w:r>
      <w:r w:rsidRPr="00A32AF4">
        <w:rPr>
          <w:rFonts w:cs="Arial"/>
        </w:rPr>
        <w:t> : la gouvernance actuelle de la sécurité de l</w:t>
      </w:r>
      <w:r w:rsidR="00E2055A" w:rsidRPr="00A32AF4">
        <w:rPr>
          <w:rFonts w:cs="Arial"/>
        </w:rPr>
        <w:t>’</w:t>
      </w:r>
      <w:r w:rsidRPr="00A32AF4">
        <w:rPr>
          <w:rFonts w:cs="Arial"/>
        </w:rPr>
        <w:t>information sera renforcée de manière à assurer une meilleure reddition de comptes.  La sensibilisation et la formation du personnel à la sécurité seront améliorées, et des critères mesurables seront analysés et utilisés pour informer les décisions sur la gestion des risques et mettre en évidence le retour sur l</w:t>
      </w:r>
      <w:r w:rsidR="00E2055A" w:rsidRPr="00A32AF4">
        <w:rPr>
          <w:rFonts w:cs="Arial"/>
        </w:rPr>
        <w:t>’</w:t>
      </w:r>
      <w:r w:rsidRPr="00A32AF4">
        <w:rPr>
          <w:rFonts w:cs="Arial"/>
        </w:rPr>
        <w:t>investissement dans la sécurité de l</w:t>
      </w:r>
      <w:r w:rsidR="00E2055A" w:rsidRPr="00A32AF4">
        <w:rPr>
          <w:rFonts w:cs="Arial"/>
        </w:rPr>
        <w:t>’</w:t>
      </w:r>
      <w:r w:rsidRPr="00A32AF4">
        <w:rPr>
          <w:rFonts w:cs="Arial"/>
        </w:rPr>
        <w:t>information.</w:t>
      </w:r>
    </w:p>
    <w:p w:rsidR="00A46C92" w:rsidRPr="00A32AF4" w:rsidRDefault="00A46C92" w:rsidP="00DC0553">
      <w:pPr>
        <w:tabs>
          <w:tab w:val="num" w:pos="360"/>
          <w:tab w:val="num" w:pos="1134"/>
        </w:tabs>
        <w:ind w:left="567"/>
        <w:jc w:val="both"/>
        <w:rPr>
          <w:rFonts w:cs="Arial"/>
        </w:rPr>
      </w:pPr>
    </w:p>
    <w:p w:rsidR="00A46C92" w:rsidRPr="00A32AF4" w:rsidRDefault="00A46C92" w:rsidP="00DC0553">
      <w:pPr>
        <w:numPr>
          <w:ilvl w:val="1"/>
          <w:numId w:val="31"/>
        </w:numPr>
        <w:tabs>
          <w:tab w:val="clear" w:pos="1250"/>
          <w:tab w:val="num" w:pos="1134"/>
        </w:tabs>
        <w:ind w:left="567"/>
        <w:jc w:val="both"/>
        <w:rPr>
          <w:rFonts w:cs="Arial"/>
        </w:rPr>
      </w:pPr>
      <w:r w:rsidRPr="00A32AF4">
        <w:rPr>
          <w:rFonts w:cs="Arial"/>
          <w:i/>
        </w:rPr>
        <w:t>Adoption d</w:t>
      </w:r>
      <w:r w:rsidR="00E2055A" w:rsidRPr="00A32AF4">
        <w:rPr>
          <w:rFonts w:cs="Arial"/>
          <w:i/>
        </w:rPr>
        <w:t>’</w:t>
      </w:r>
      <w:r w:rsidRPr="00A32AF4">
        <w:rPr>
          <w:rFonts w:cs="Arial"/>
          <w:i/>
        </w:rPr>
        <w:t>une approche intersectorielle de la gestion des risques</w:t>
      </w:r>
      <w:r w:rsidRPr="00A32AF4">
        <w:rPr>
          <w:rFonts w:cs="Arial"/>
        </w:rPr>
        <w:t> : l</w:t>
      </w:r>
      <w:r w:rsidR="00E2055A" w:rsidRPr="00A32AF4">
        <w:rPr>
          <w:rFonts w:cs="Arial"/>
        </w:rPr>
        <w:t>’</w:t>
      </w:r>
      <w:r w:rsidRPr="00A32AF4">
        <w:rPr>
          <w:rFonts w:cs="Arial"/>
        </w:rPr>
        <w:t>accent sera mis sur la production d</w:t>
      </w:r>
      <w:r w:rsidR="00E2055A" w:rsidRPr="00A32AF4">
        <w:rPr>
          <w:rFonts w:cs="Arial"/>
        </w:rPr>
        <w:t>’</w:t>
      </w:r>
      <w:r w:rsidRPr="00A32AF4">
        <w:rPr>
          <w:rFonts w:cs="Arial"/>
        </w:rPr>
        <w:t>une vue des risques à l</w:t>
      </w:r>
      <w:r w:rsidR="00E2055A" w:rsidRPr="00A32AF4">
        <w:rPr>
          <w:rFonts w:cs="Arial"/>
        </w:rPr>
        <w:t>’</w:t>
      </w:r>
      <w:r w:rsidRPr="00A32AF4">
        <w:rPr>
          <w:rFonts w:cs="Arial"/>
        </w:rPr>
        <w:t>échelle de l</w:t>
      </w:r>
      <w:r w:rsidR="00E2055A" w:rsidRPr="00A32AF4">
        <w:rPr>
          <w:rFonts w:cs="Arial"/>
        </w:rPr>
        <w:t>’</w:t>
      </w:r>
      <w:r w:rsidRPr="00A32AF4">
        <w:rPr>
          <w:rFonts w:cs="Arial"/>
        </w:rPr>
        <w:t>Organisation moyennant l</w:t>
      </w:r>
      <w:r w:rsidR="00E2055A" w:rsidRPr="00A32AF4">
        <w:rPr>
          <w:rFonts w:cs="Arial"/>
        </w:rPr>
        <w:t>’</w:t>
      </w:r>
      <w:r w:rsidRPr="00A32AF4">
        <w:rPr>
          <w:rFonts w:cs="Arial"/>
        </w:rPr>
        <w:t>intégration et la convergence des processus de gestion des risques, et les éléments relatifs à la sécurité de l</w:t>
      </w:r>
      <w:r w:rsidR="00E2055A" w:rsidRPr="00A32AF4">
        <w:rPr>
          <w:rFonts w:cs="Arial"/>
        </w:rPr>
        <w:t>’</w:t>
      </w:r>
      <w:r w:rsidRPr="00A32AF4">
        <w:rPr>
          <w:rFonts w:cs="Arial"/>
        </w:rPr>
        <w:t>information seront incorporés au système de gestion des risques de l</w:t>
      </w:r>
      <w:r w:rsidR="00E2055A" w:rsidRPr="00A32AF4">
        <w:rPr>
          <w:rFonts w:cs="Arial"/>
        </w:rPr>
        <w:t>’</w:t>
      </w:r>
      <w:r w:rsidRPr="00A32AF4">
        <w:rPr>
          <w:rFonts w:cs="Arial"/>
        </w:rPr>
        <w:t>Organisation.</w:t>
      </w:r>
    </w:p>
    <w:p w:rsidR="00A46C92" w:rsidRPr="00A32AF4" w:rsidRDefault="00A46C92" w:rsidP="00DC0553">
      <w:pPr>
        <w:tabs>
          <w:tab w:val="num" w:pos="738"/>
          <w:tab w:val="num" w:pos="1134"/>
        </w:tabs>
        <w:ind w:left="567"/>
        <w:jc w:val="both"/>
        <w:rPr>
          <w:rFonts w:cs="Arial"/>
        </w:rPr>
      </w:pPr>
    </w:p>
    <w:p w:rsidR="00A46C92" w:rsidRPr="00A32AF4" w:rsidRDefault="00A46C92" w:rsidP="00DC0553">
      <w:pPr>
        <w:numPr>
          <w:ilvl w:val="1"/>
          <w:numId w:val="31"/>
        </w:numPr>
        <w:tabs>
          <w:tab w:val="clear" w:pos="1250"/>
          <w:tab w:val="num" w:pos="360"/>
          <w:tab w:val="num" w:pos="738"/>
          <w:tab w:val="num" w:pos="1134"/>
        </w:tabs>
        <w:ind w:left="567"/>
        <w:jc w:val="both"/>
        <w:rPr>
          <w:rFonts w:cs="Arial"/>
          <w:iCs/>
        </w:rPr>
      </w:pPr>
      <w:r w:rsidRPr="00A32AF4">
        <w:rPr>
          <w:rFonts w:cs="Arial"/>
          <w:i/>
        </w:rPr>
        <w:t>Limitation de l</w:t>
      </w:r>
      <w:r w:rsidR="00E2055A" w:rsidRPr="00A32AF4">
        <w:rPr>
          <w:rFonts w:cs="Arial"/>
          <w:i/>
        </w:rPr>
        <w:t>’</w:t>
      </w:r>
      <w:r w:rsidRPr="00A32AF4">
        <w:rPr>
          <w:rFonts w:cs="Arial"/>
          <w:i/>
        </w:rPr>
        <w:t>exposition et vérification de la conformité</w:t>
      </w:r>
      <w:r w:rsidRPr="00A32AF4">
        <w:rPr>
          <w:rFonts w:cs="Arial"/>
        </w:rPr>
        <w:t> : l</w:t>
      </w:r>
      <w:r w:rsidR="00E2055A" w:rsidRPr="00A32AF4">
        <w:rPr>
          <w:rFonts w:cs="Arial"/>
        </w:rPr>
        <w:t>’</w:t>
      </w:r>
      <w:r w:rsidRPr="00A32AF4">
        <w:rPr>
          <w:rFonts w:cs="Arial"/>
        </w:rPr>
        <w:t xml:space="preserve">amélioration continue de la capacité de détecter de manière </w:t>
      </w:r>
      <w:r w:rsidR="00087DDF" w:rsidRPr="00A32AF4">
        <w:rPr>
          <w:rFonts w:cs="Arial"/>
        </w:rPr>
        <w:t>anticipée</w:t>
      </w:r>
      <w:r w:rsidRPr="00A32AF4">
        <w:rPr>
          <w:rFonts w:cs="Arial"/>
        </w:rPr>
        <w:t xml:space="preserve"> les menaces et vulnérabilités touchant les données de l</w:t>
      </w:r>
      <w:r w:rsidR="00E2055A" w:rsidRPr="00A32AF4">
        <w:rPr>
          <w:rFonts w:cs="Arial"/>
        </w:rPr>
        <w:t>’</w:t>
      </w:r>
      <w:r w:rsidRPr="00A32AF4">
        <w:rPr>
          <w:rFonts w:cs="Arial"/>
        </w:rPr>
        <w:t>OMPI permettra de hiérarchiser les mesures correctives afin de protéger les secteurs présentant le risque le plus élevé pour le déroulement des opérations.  Un programme de vérification continue de la conformité sera mis en œuvre pour assurer l</w:t>
      </w:r>
      <w:r w:rsidR="00E2055A" w:rsidRPr="00A32AF4">
        <w:rPr>
          <w:rFonts w:cs="Arial"/>
        </w:rPr>
        <w:t>’</w:t>
      </w:r>
      <w:r w:rsidRPr="00A32AF4">
        <w:rPr>
          <w:rFonts w:cs="Arial"/>
        </w:rPr>
        <w:t>observation des politiques et mandats en matière de sécurité de l</w:t>
      </w:r>
      <w:r w:rsidR="00E2055A" w:rsidRPr="00A32AF4">
        <w:rPr>
          <w:rFonts w:cs="Arial"/>
        </w:rPr>
        <w:t>’</w:t>
      </w:r>
      <w:r w:rsidRPr="00A32AF4">
        <w:rPr>
          <w:rFonts w:cs="Arial"/>
        </w:rPr>
        <w:t>information et des normes dans ce domaine (p. ex. la norme ISO 27001), ce qui garantira l</w:t>
      </w:r>
      <w:r w:rsidR="00E2055A" w:rsidRPr="00A32AF4">
        <w:rPr>
          <w:rFonts w:cs="Arial"/>
        </w:rPr>
        <w:t>’</w:t>
      </w:r>
      <w:r w:rsidRPr="00A32AF4">
        <w:rPr>
          <w:rFonts w:cs="Arial"/>
        </w:rPr>
        <w:t>efficacité du contrôle interne pour protéger l</w:t>
      </w:r>
      <w:r w:rsidR="00E2055A" w:rsidRPr="00A32AF4">
        <w:rPr>
          <w:rFonts w:cs="Arial"/>
        </w:rPr>
        <w:t>’</w:t>
      </w:r>
      <w:r w:rsidRPr="00A32AF4">
        <w:rPr>
          <w:rFonts w:cs="Arial"/>
        </w:rPr>
        <w:t>information de l</w:t>
      </w:r>
      <w:r w:rsidR="00E2055A" w:rsidRPr="00A32AF4">
        <w:rPr>
          <w:rFonts w:cs="Arial"/>
        </w:rPr>
        <w:t>’</w:t>
      </w:r>
      <w:r w:rsidRPr="00A32AF4">
        <w:rPr>
          <w:rFonts w:cs="Arial"/>
        </w:rPr>
        <w:t>OMPI.</w:t>
      </w:r>
    </w:p>
    <w:p w:rsidR="00A46C92" w:rsidRPr="00A32AF4" w:rsidRDefault="00A46C92" w:rsidP="00DC0553">
      <w:pPr>
        <w:tabs>
          <w:tab w:val="num" w:pos="738"/>
          <w:tab w:val="num" w:pos="1134"/>
        </w:tabs>
        <w:ind w:left="567"/>
        <w:jc w:val="both"/>
        <w:rPr>
          <w:rFonts w:cs="Arial"/>
        </w:rPr>
      </w:pPr>
    </w:p>
    <w:p w:rsidR="00A46C92" w:rsidRPr="00A32AF4" w:rsidRDefault="00A46C92" w:rsidP="00DC0553">
      <w:pPr>
        <w:numPr>
          <w:ilvl w:val="1"/>
          <w:numId w:val="31"/>
        </w:numPr>
        <w:tabs>
          <w:tab w:val="clear" w:pos="1250"/>
          <w:tab w:val="num" w:pos="360"/>
          <w:tab w:val="num" w:pos="738"/>
          <w:tab w:val="num" w:pos="1134"/>
        </w:tabs>
        <w:ind w:left="567"/>
        <w:jc w:val="both"/>
        <w:rPr>
          <w:rFonts w:cs="Arial"/>
          <w:i/>
          <w:iCs/>
        </w:rPr>
      </w:pPr>
      <w:r w:rsidRPr="00A32AF4">
        <w:rPr>
          <w:rFonts w:cs="Arial"/>
          <w:i/>
        </w:rPr>
        <w:t>Protection des informations sensibles de l</w:t>
      </w:r>
      <w:r w:rsidR="00E2055A" w:rsidRPr="00A32AF4">
        <w:rPr>
          <w:rFonts w:cs="Arial"/>
          <w:i/>
        </w:rPr>
        <w:t>’</w:t>
      </w:r>
      <w:r w:rsidRPr="00A32AF4">
        <w:rPr>
          <w:rFonts w:cs="Arial"/>
          <w:i/>
        </w:rPr>
        <w:t>OMPI</w:t>
      </w:r>
      <w:r w:rsidRPr="00A32AF4">
        <w:rPr>
          <w:rFonts w:cs="Arial"/>
        </w:rPr>
        <w:t> : une politique de classification et d</w:t>
      </w:r>
      <w:r w:rsidR="00E2055A" w:rsidRPr="00A32AF4">
        <w:rPr>
          <w:rFonts w:cs="Arial"/>
        </w:rPr>
        <w:t>’</w:t>
      </w:r>
      <w:r w:rsidRPr="00A32AF4">
        <w:rPr>
          <w:rFonts w:cs="Arial"/>
        </w:rPr>
        <w:t>utilisation de l</w:t>
      </w:r>
      <w:r w:rsidR="00E2055A" w:rsidRPr="00A32AF4">
        <w:rPr>
          <w:rFonts w:cs="Arial"/>
        </w:rPr>
        <w:t>’</w:t>
      </w:r>
      <w:r w:rsidRPr="00A32AF4">
        <w:rPr>
          <w:rFonts w:cs="Arial"/>
        </w:rPr>
        <w:t>information sera appliquée de manière à assurer une protection des informations sensibles de l</w:t>
      </w:r>
      <w:r w:rsidR="00E2055A" w:rsidRPr="00A32AF4">
        <w:rPr>
          <w:rFonts w:cs="Arial"/>
        </w:rPr>
        <w:t>’</w:t>
      </w:r>
      <w:r w:rsidRPr="00A32AF4">
        <w:rPr>
          <w:rFonts w:cs="Arial"/>
        </w:rPr>
        <w:t>OMPI à la fois économique et axée sur les risques.  En application de cette politique, des mécanismes (processus et contrôles techniques) seront mis en œuvre pour renforcer la résilience du PCT et des autres systèmes opérationnels sensibles de l</w:t>
      </w:r>
      <w:r w:rsidR="00E2055A" w:rsidRPr="00A32AF4">
        <w:rPr>
          <w:rFonts w:cs="Arial"/>
        </w:rPr>
        <w:t>’</w:t>
      </w:r>
      <w:r w:rsidRPr="00A32AF4">
        <w:rPr>
          <w:rFonts w:cs="Arial"/>
        </w:rPr>
        <w:t>OMPI.</w:t>
      </w:r>
    </w:p>
    <w:p w:rsidR="00A46C92" w:rsidRPr="00A32AF4" w:rsidRDefault="00A46C92" w:rsidP="00DC0553">
      <w:pPr>
        <w:tabs>
          <w:tab w:val="num" w:pos="738"/>
          <w:tab w:val="num" w:pos="1134"/>
        </w:tabs>
        <w:ind w:left="567"/>
        <w:jc w:val="both"/>
        <w:rPr>
          <w:rFonts w:cs="Arial"/>
          <w:iCs/>
        </w:rPr>
      </w:pPr>
    </w:p>
    <w:p w:rsidR="00A46C92" w:rsidRPr="00A32AF4" w:rsidRDefault="00A46C92" w:rsidP="00DC0553">
      <w:pPr>
        <w:numPr>
          <w:ilvl w:val="1"/>
          <w:numId w:val="31"/>
        </w:numPr>
        <w:tabs>
          <w:tab w:val="clear" w:pos="1250"/>
          <w:tab w:val="num" w:pos="1134"/>
        </w:tabs>
        <w:ind w:left="567"/>
        <w:jc w:val="both"/>
        <w:rPr>
          <w:rFonts w:cs="Arial"/>
          <w:i/>
          <w:iCs/>
        </w:rPr>
      </w:pPr>
      <w:r w:rsidRPr="00A32AF4">
        <w:rPr>
          <w:rFonts w:cs="Arial"/>
          <w:i/>
        </w:rPr>
        <w:t>Renforcement de la perception de la situation et des capacités de réaction</w:t>
      </w:r>
      <w:r w:rsidRPr="00A32AF4">
        <w:rPr>
          <w:rFonts w:cs="Arial"/>
        </w:rPr>
        <w:t> : les opérations existantes de l</w:t>
      </w:r>
      <w:r w:rsidR="00E2055A" w:rsidRPr="00A32AF4">
        <w:rPr>
          <w:rFonts w:cs="Arial"/>
        </w:rPr>
        <w:t>’</w:t>
      </w:r>
      <w:r w:rsidRPr="00A32AF4">
        <w:rPr>
          <w:rFonts w:cs="Arial"/>
        </w:rPr>
        <w:t xml:space="preserve">OMPI en matière de </w:t>
      </w:r>
      <w:r w:rsidR="006D5B84" w:rsidRPr="00A32AF4">
        <w:rPr>
          <w:rFonts w:cs="Arial"/>
        </w:rPr>
        <w:t>cybersécurité</w:t>
      </w:r>
      <w:r w:rsidRPr="00A32AF4">
        <w:rPr>
          <w:rFonts w:cs="Arial"/>
        </w:rPr>
        <w:t xml:space="preserve"> seront perfectionnées, de même que la veille sur les menaces virtuelles et physiques internes et externes, afin de mettre au point rapidement des indicateurs de compromission.  Les capacités de réaction de l</w:t>
      </w:r>
      <w:r w:rsidR="00E2055A" w:rsidRPr="00A32AF4">
        <w:rPr>
          <w:rFonts w:cs="Arial"/>
        </w:rPr>
        <w:t>’</w:t>
      </w:r>
      <w:r w:rsidRPr="00A32AF4">
        <w:rPr>
          <w:rFonts w:cs="Arial"/>
        </w:rPr>
        <w:t>OMPI aux atteintes à la sécurité informatique seront également modernisées afin d</w:t>
      </w:r>
      <w:r w:rsidR="00E2055A" w:rsidRPr="00A32AF4">
        <w:rPr>
          <w:rFonts w:cs="Arial"/>
        </w:rPr>
        <w:t>’</w:t>
      </w:r>
      <w:r w:rsidRPr="00A32AF4">
        <w:rPr>
          <w:rFonts w:cs="Arial"/>
        </w:rPr>
        <w:t>assurer un confinement rapide et une interruption minimale des opérations.</w:t>
      </w:r>
    </w:p>
    <w:p w:rsidR="00A46C92" w:rsidRPr="00A32AF4" w:rsidRDefault="00A46C92" w:rsidP="00DC0553">
      <w:pPr>
        <w:tabs>
          <w:tab w:val="left" w:pos="1134"/>
        </w:tabs>
        <w:jc w:val="both"/>
        <w:rPr>
          <w:rFonts w:cs="Arial"/>
          <w:iCs/>
        </w:rPr>
      </w:pPr>
    </w:p>
    <w:p w:rsidR="00A46C92" w:rsidRPr="00A32AF4" w:rsidRDefault="00A46C92" w:rsidP="00DC0553">
      <w:pPr>
        <w:pStyle w:val="ListParagraph"/>
        <w:numPr>
          <w:ilvl w:val="0"/>
          <w:numId w:val="67"/>
        </w:numPr>
        <w:tabs>
          <w:tab w:val="left" w:pos="709"/>
        </w:tabs>
        <w:spacing w:after="0" w:line="240" w:lineRule="auto"/>
        <w:ind w:left="0" w:firstLine="0"/>
        <w:jc w:val="both"/>
        <w:rPr>
          <w:rFonts w:ascii="Arial" w:hAnsi="Arial" w:cs="Arial"/>
          <w:szCs w:val="20"/>
        </w:rPr>
      </w:pPr>
      <w:r w:rsidRPr="00A32AF4">
        <w:rPr>
          <w:rFonts w:ascii="Arial" w:hAnsi="Arial" w:cs="Arial"/>
          <w:szCs w:val="20"/>
        </w:rPr>
        <w:t>Des améliorations continueront d</w:t>
      </w:r>
      <w:r w:rsidR="00E2055A" w:rsidRPr="00A32AF4">
        <w:rPr>
          <w:rFonts w:ascii="Arial" w:hAnsi="Arial" w:cs="Arial"/>
          <w:szCs w:val="20"/>
        </w:rPr>
        <w:t>’</w:t>
      </w:r>
      <w:r w:rsidRPr="00A32AF4">
        <w:rPr>
          <w:rFonts w:ascii="Arial" w:hAnsi="Arial" w:cs="Arial"/>
          <w:szCs w:val="20"/>
        </w:rPr>
        <w:t>être mises en œuvre dans le domaine de la sécurité des biens et des personnes moyennant une gestion anticipée des risques et une surveillance constante des menaces.  L</w:t>
      </w:r>
      <w:r w:rsidR="00E2055A" w:rsidRPr="00A32AF4">
        <w:rPr>
          <w:rFonts w:ascii="Arial" w:hAnsi="Arial" w:cs="Arial"/>
          <w:szCs w:val="20"/>
        </w:rPr>
        <w:t>’</w:t>
      </w:r>
      <w:r w:rsidRPr="00A32AF4">
        <w:rPr>
          <w:rFonts w:ascii="Arial" w:hAnsi="Arial" w:cs="Arial"/>
          <w:szCs w:val="20"/>
        </w:rPr>
        <w:t>accent sera également mis sur les politiques et procédures en la matière, la sensibilisation et la formation des gardes et le renforcement du contrôle des services fournis par les prestataires.  En outre, la sécurité des biens et des personnes sera pleinement intégrée aux processus de gestion de crise et à la gestion de la continuité des opérations.</w:t>
      </w:r>
    </w:p>
    <w:p w:rsidR="00A46C92" w:rsidRPr="00A32AF4" w:rsidRDefault="00A46C92" w:rsidP="00DC0553">
      <w:pPr>
        <w:pStyle w:val="ListParagraph"/>
        <w:spacing w:after="0" w:line="240" w:lineRule="auto"/>
        <w:ind w:left="0"/>
        <w:jc w:val="both"/>
        <w:rPr>
          <w:rFonts w:ascii="Arial" w:hAnsi="Arial" w:cs="Arial"/>
          <w:szCs w:val="20"/>
        </w:rPr>
      </w:pPr>
    </w:p>
    <w:p w:rsidR="00A46C92" w:rsidRPr="00A32AF4" w:rsidRDefault="00A46C92" w:rsidP="00DC0553">
      <w:pPr>
        <w:pStyle w:val="ListParagraph"/>
        <w:numPr>
          <w:ilvl w:val="0"/>
          <w:numId w:val="67"/>
        </w:numPr>
        <w:tabs>
          <w:tab w:val="left" w:pos="709"/>
        </w:tabs>
        <w:spacing w:after="0" w:line="240" w:lineRule="auto"/>
        <w:ind w:left="0" w:firstLine="0"/>
        <w:jc w:val="both"/>
        <w:rPr>
          <w:rFonts w:ascii="Arial" w:hAnsi="Arial" w:cs="Arial"/>
          <w:szCs w:val="20"/>
        </w:rPr>
      </w:pPr>
      <w:r w:rsidRPr="00A32AF4">
        <w:rPr>
          <w:rFonts w:ascii="Arial" w:hAnsi="Arial" w:cs="Arial"/>
          <w:szCs w:val="20"/>
        </w:rPr>
        <w:t>La connaissance des mesures de sécurité au sein du personnel de l</w:t>
      </w:r>
      <w:r w:rsidR="00E2055A" w:rsidRPr="00A32AF4">
        <w:rPr>
          <w:rFonts w:ascii="Arial" w:hAnsi="Arial" w:cs="Arial"/>
          <w:szCs w:val="20"/>
        </w:rPr>
        <w:t>’</w:t>
      </w:r>
      <w:r w:rsidRPr="00A32AF4">
        <w:rPr>
          <w:rFonts w:ascii="Arial" w:hAnsi="Arial" w:cs="Arial"/>
          <w:szCs w:val="20"/>
        </w:rPr>
        <w:t>OMPI restera une priorité.  L</w:t>
      </w:r>
      <w:r w:rsidR="00E2055A" w:rsidRPr="00A32AF4">
        <w:rPr>
          <w:rFonts w:ascii="Arial" w:hAnsi="Arial" w:cs="Arial"/>
          <w:szCs w:val="20"/>
        </w:rPr>
        <w:t>’</w:t>
      </w:r>
      <w:r w:rsidRPr="00A32AF4">
        <w:rPr>
          <w:rFonts w:ascii="Arial" w:hAnsi="Arial" w:cs="Arial"/>
          <w:szCs w:val="20"/>
        </w:rPr>
        <w:t>introduction des nouveaux systèmes de sécurité pour les biens et les personnes permettra d</w:t>
      </w:r>
      <w:r w:rsidR="00E2055A" w:rsidRPr="00A32AF4">
        <w:rPr>
          <w:rFonts w:ascii="Arial" w:hAnsi="Arial" w:cs="Arial"/>
          <w:szCs w:val="20"/>
        </w:rPr>
        <w:t>’</w:t>
      </w:r>
      <w:r w:rsidRPr="00A32AF4">
        <w:rPr>
          <w:rFonts w:ascii="Arial" w:hAnsi="Arial" w:cs="Arial"/>
          <w:szCs w:val="20"/>
        </w:rPr>
        <w:t>assurer un</w:t>
      </w:r>
      <w:r w:rsidR="002842C3" w:rsidRPr="00A32AF4">
        <w:rPr>
          <w:rFonts w:ascii="Arial" w:hAnsi="Arial" w:cs="Arial"/>
          <w:szCs w:val="20"/>
        </w:rPr>
        <w:t>e</w:t>
      </w:r>
      <w:r w:rsidRPr="00A32AF4">
        <w:rPr>
          <w:rFonts w:ascii="Arial" w:hAnsi="Arial" w:cs="Arial"/>
          <w:szCs w:val="20"/>
        </w:rPr>
        <w:t xml:space="preserve"> meilleure intégration de ces systèmes et d</w:t>
      </w:r>
      <w:r w:rsidR="00E2055A" w:rsidRPr="00A32AF4">
        <w:rPr>
          <w:rFonts w:ascii="Arial" w:hAnsi="Arial" w:cs="Arial"/>
          <w:szCs w:val="20"/>
        </w:rPr>
        <w:t>’</w:t>
      </w:r>
      <w:r w:rsidRPr="00A32AF4">
        <w:rPr>
          <w:rFonts w:ascii="Arial" w:hAnsi="Arial" w:cs="Arial"/>
          <w:szCs w:val="20"/>
        </w:rPr>
        <w:t>éliminer progressivement les systèmes obsolescents.</w:t>
      </w:r>
    </w:p>
    <w:p w:rsidR="00A46C92" w:rsidRPr="00A32AF4" w:rsidRDefault="00A46C92" w:rsidP="00DC0553">
      <w:pPr>
        <w:pStyle w:val="ListParagraph"/>
        <w:autoSpaceDE w:val="0"/>
        <w:autoSpaceDN w:val="0"/>
        <w:adjustRightInd w:val="0"/>
        <w:spacing w:after="0" w:line="240" w:lineRule="auto"/>
        <w:ind w:left="0"/>
        <w:jc w:val="both"/>
        <w:rPr>
          <w:rFonts w:ascii="Arial" w:hAnsi="Arial" w:cs="Arial"/>
          <w:szCs w:val="20"/>
        </w:rPr>
      </w:pPr>
    </w:p>
    <w:p w:rsidR="00A46C92" w:rsidRPr="00A32AF4" w:rsidRDefault="00A46C92" w:rsidP="00DC0553">
      <w:pPr>
        <w:pStyle w:val="ListParagraph"/>
        <w:autoSpaceDE w:val="0"/>
        <w:autoSpaceDN w:val="0"/>
        <w:adjustRightInd w:val="0"/>
        <w:spacing w:after="0" w:line="240" w:lineRule="auto"/>
        <w:ind w:left="0"/>
        <w:jc w:val="both"/>
        <w:rPr>
          <w:rFonts w:ascii="Arial" w:hAnsi="Arial" w:cs="Arial"/>
          <w:szCs w:val="20"/>
        </w:rPr>
      </w:pPr>
    </w:p>
    <w:p w:rsidR="00A46C92" w:rsidRPr="00A32AF4" w:rsidRDefault="00A46C92" w:rsidP="00DC0553">
      <w:pPr>
        <w:rPr>
          <w:rFonts w:cs="Arial"/>
        </w:rPr>
      </w:pPr>
      <w:r w:rsidRPr="00A32AF4">
        <w:rPr>
          <w:rFonts w:cs="Arial"/>
        </w:rPr>
        <w:t>PRINCIPAUX RISQUES ET STRATÉGIES D</w:t>
      </w:r>
      <w:r w:rsidR="00E2055A" w:rsidRPr="00A32AF4">
        <w:rPr>
          <w:rFonts w:cs="Arial"/>
        </w:rPr>
        <w:t>’</w:t>
      </w:r>
      <w:r w:rsidRPr="00A32AF4">
        <w:rPr>
          <w:rFonts w:cs="Arial"/>
        </w:rPr>
        <w:t>ATTÉNUATION</w:t>
      </w:r>
    </w:p>
    <w:p w:rsidR="00A46C92" w:rsidRPr="00A32AF4" w:rsidRDefault="00A46C92" w:rsidP="00DC0553">
      <w:pPr>
        <w:rPr>
          <w:rFonts w:cs="Arial"/>
        </w:rPr>
      </w:pPr>
    </w:p>
    <w:tbl>
      <w:tblPr>
        <w:tblW w:w="9356" w:type="dxa"/>
        <w:tblInd w:w="108" w:type="dxa"/>
        <w:tblCellMar>
          <w:left w:w="0" w:type="dxa"/>
          <w:right w:w="0" w:type="dxa"/>
        </w:tblCellMar>
        <w:tblLook w:val="04A0" w:firstRow="1" w:lastRow="0" w:firstColumn="1" w:lastColumn="0" w:noHBand="0" w:noVBand="1"/>
      </w:tblPr>
      <w:tblGrid>
        <w:gridCol w:w="4253"/>
        <w:gridCol w:w="5103"/>
      </w:tblGrid>
      <w:tr w:rsidR="00A46C92" w:rsidRPr="00A32AF4" w:rsidTr="000B5CFC">
        <w:trPr>
          <w:trHeight w:val="577"/>
        </w:trPr>
        <w:tc>
          <w:tcPr>
            <w:tcW w:w="4253" w:type="dxa"/>
            <w:tcBorders>
              <w:top w:val="single" w:sz="8" w:space="0" w:color="auto"/>
              <w:left w:val="single" w:sz="8" w:space="0" w:color="auto"/>
              <w:bottom w:val="single" w:sz="8" w:space="0" w:color="auto"/>
              <w:right w:val="nil"/>
            </w:tcBorders>
            <w:shd w:val="clear" w:color="auto" w:fill="C6D9F1" w:themeFill="text2" w:themeFillTint="33"/>
            <w:tcMar>
              <w:top w:w="0" w:type="dxa"/>
              <w:left w:w="108" w:type="dxa"/>
              <w:bottom w:w="0" w:type="dxa"/>
              <w:right w:w="108" w:type="dxa"/>
            </w:tcMar>
            <w:vAlign w:val="center"/>
            <w:hideMark/>
          </w:tcPr>
          <w:p w:rsidR="00A46C92" w:rsidRPr="00A32AF4" w:rsidRDefault="00A46C92" w:rsidP="00DC0553">
            <w:pPr>
              <w:jc w:val="center"/>
              <w:rPr>
                <w:rFonts w:eastAsiaTheme="minorHAnsi" w:cs="Arial"/>
                <w:b/>
                <w:bCs/>
                <w:sz w:val="18"/>
                <w:szCs w:val="18"/>
              </w:rPr>
            </w:pPr>
            <w:r w:rsidRPr="00A32AF4">
              <w:rPr>
                <w:rFonts w:eastAsiaTheme="minorHAnsi" w:cs="Arial"/>
                <w:b/>
                <w:bCs/>
                <w:sz w:val="18"/>
                <w:szCs w:val="18"/>
              </w:rPr>
              <w:t>Risques</w:t>
            </w:r>
          </w:p>
        </w:tc>
        <w:tc>
          <w:tcPr>
            <w:tcW w:w="5103" w:type="dxa"/>
            <w:tcBorders>
              <w:top w:val="single" w:sz="8" w:space="0" w:color="auto"/>
              <w:left w:val="nil"/>
              <w:bottom w:val="single" w:sz="8" w:space="0" w:color="auto"/>
              <w:right w:val="single" w:sz="8" w:space="0" w:color="auto"/>
            </w:tcBorders>
            <w:shd w:val="clear" w:color="auto" w:fill="C6D9F1" w:themeFill="text2" w:themeFillTint="33"/>
            <w:tcMar>
              <w:top w:w="0" w:type="dxa"/>
              <w:left w:w="108" w:type="dxa"/>
              <w:bottom w:w="0" w:type="dxa"/>
              <w:right w:w="108" w:type="dxa"/>
            </w:tcMar>
            <w:vAlign w:val="center"/>
            <w:hideMark/>
          </w:tcPr>
          <w:p w:rsidR="00A46C92" w:rsidRPr="00A32AF4" w:rsidRDefault="00A46C92" w:rsidP="00DC0553">
            <w:pPr>
              <w:jc w:val="center"/>
              <w:rPr>
                <w:rFonts w:eastAsiaTheme="minorHAnsi" w:cs="Arial"/>
                <w:b/>
                <w:bCs/>
                <w:sz w:val="18"/>
                <w:szCs w:val="18"/>
              </w:rPr>
            </w:pPr>
            <w:r w:rsidRPr="00A32AF4">
              <w:rPr>
                <w:rFonts w:eastAsiaTheme="minorHAnsi" w:cs="Arial"/>
                <w:b/>
                <w:bCs/>
                <w:sz w:val="18"/>
                <w:szCs w:val="18"/>
              </w:rPr>
              <w:t>Stratégies d</w:t>
            </w:r>
            <w:r w:rsidR="00E2055A" w:rsidRPr="00A32AF4">
              <w:rPr>
                <w:rFonts w:eastAsiaTheme="minorHAnsi" w:cs="Arial"/>
                <w:b/>
                <w:bCs/>
                <w:sz w:val="18"/>
                <w:szCs w:val="18"/>
              </w:rPr>
              <w:t>’</w:t>
            </w:r>
            <w:r w:rsidRPr="00A32AF4">
              <w:rPr>
                <w:rFonts w:eastAsiaTheme="minorHAnsi" w:cs="Arial"/>
                <w:b/>
                <w:bCs/>
                <w:sz w:val="18"/>
                <w:szCs w:val="18"/>
              </w:rPr>
              <w:t>atténuation</w:t>
            </w:r>
          </w:p>
        </w:tc>
      </w:tr>
      <w:tr w:rsidR="00A46C92" w:rsidRPr="00A32AF4" w:rsidTr="000B5CFC">
        <w:trPr>
          <w:trHeight w:val="925"/>
        </w:trPr>
        <w:tc>
          <w:tcPr>
            <w:tcW w:w="4253" w:type="dxa"/>
            <w:tcBorders>
              <w:top w:val="nil"/>
              <w:left w:val="single" w:sz="8" w:space="0" w:color="auto"/>
              <w:bottom w:val="nil"/>
              <w:right w:val="nil"/>
            </w:tcBorders>
            <w:tcMar>
              <w:top w:w="113" w:type="dxa"/>
              <w:left w:w="108" w:type="dxa"/>
              <w:bottom w:w="113" w:type="dxa"/>
              <w:right w:w="108" w:type="dxa"/>
            </w:tcMar>
            <w:hideMark/>
          </w:tcPr>
          <w:p w:rsidR="00A46C92" w:rsidRPr="00A32AF4" w:rsidRDefault="00A46C92" w:rsidP="00DC0553">
            <w:pPr>
              <w:rPr>
                <w:rFonts w:eastAsiaTheme="minorHAnsi" w:cs="Arial"/>
                <w:sz w:val="16"/>
                <w:szCs w:val="16"/>
              </w:rPr>
            </w:pPr>
            <w:r w:rsidRPr="00A32AF4">
              <w:rPr>
                <w:rFonts w:cs="Arial"/>
                <w:sz w:val="16"/>
                <w:szCs w:val="16"/>
              </w:rPr>
              <w:t>À l</w:t>
            </w:r>
            <w:r w:rsidR="00E2055A" w:rsidRPr="00A32AF4">
              <w:rPr>
                <w:rFonts w:cs="Arial"/>
                <w:sz w:val="16"/>
                <w:szCs w:val="16"/>
              </w:rPr>
              <w:t>’</w:t>
            </w:r>
            <w:r w:rsidRPr="00A32AF4">
              <w:rPr>
                <w:rFonts w:cs="Arial"/>
                <w:sz w:val="16"/>
                <w:szCs w:val="16"/>
              </w:rPr>
              <w:t>instar d</w:t>
            </w:r>
            <w:r w:rsidR="00E2055A" w:rsidRPr="00A32AF4">
              <w:rPr>
                <w:rFonts w:cs="Arial"/>
                <w:sz w:val="16"/>
                <w:szCs w:val="16"/>
              </w:rPr>
              <w:t>’</w:t>
            </w:r>
            <w:r w:rsidRPr="00A32AF4">
              <w:rPr>
                <w:rFonts w:cs="Arial"/>
                <w:sz w:val="16"/>
                <w:szCs w:val="16"/>
              </w:rPr>
              <w:t>autres organisations, l</w:t>
            </w:r>
            <w:r w:rsidR="00E2055A" w:rsidRPr="00A32AF4">
              <w:rPr>
                <w:rFonts w:cs="Arial"/>
                <w:sz w:val="16"/>
                <w:szCs w:val="16"/>
              </w:rPr>
              <w:t>’</w:t>
            </w:r>
            <w:r w:rsidRPr="00A32AF4">
              <w:rPr>
                <w:rFonts w:cs="Arial"/>
                <w:sz w:val="16"/>
                <w:szCs w:val="16"/>
              </w:rPr>
              <w:t xml:space="preserve">OMPI est exposée à des risques de </w:t>
            </w:r>
            <w:r w:rsidR="006D5B84" w:rsidRPr="00A32AF4">
              <w:rPr>
                <w:rFonts w:cs="Arial"/>
                <w:sz w:val="16"/>
                <w:szCs w:val="16"/>
              </w:rPr>
              <w:t>cyberattaque</w:t>
            </w:r>
            <w:r w:rsidRPr="00A32AF4">
              <w:rPr>
                <w:rFonts w:cs="Arial"/>
                <w:sz w:val="16"/>
                <w:szCs w:val="16"/>
              </w:rPr>
              <w:t xml:space="preserve"> et d</w:t>
            </w:r>
            <w:r w:rsidR="00E2055A" w:rsidRPr="00A32AF4">
              <w:rPr>
                <w:rFonts w:cs="Arial"/>
                <w:sz w:val="16"/>
                <w:szCs w:val="16"/>
              </w:rPr>
              <w:t>’</w:t>
            </w:r>
            <w:r w:rsidRPr="00A32AF4">
              <w:rPr>
                <w:rFonts w:cs="Arial"/>
                <w:sz w:val="16"/>
                <w:szCs w:val="16"/>
              </w:rPr>
              <w:t>intrusion informatique intentionnelle ou accidentelle pouvant donner lieu à la divulgation non autorisée ou à l</w:t>
            </w:r>
            <w:r w:rsidR="00E2055A" w:rsidRPr="00A32AF4">
              <w:rPr>
                <w:rFonts w:cs="Arial"/>
                <w:sz w:val="16"/>
                <w:szCs w:val="16"/>
              </w:rPr>
              <w:t>’</w:t>
            </w:r>
            <w:r w:rsidRPr="00A32AF4">
              <w:rPr>
                <w:rFonts w:cs="Arial"/>
                <w:sz w:val="16"/>
                <w:szCs w:val="16"/>
              </w:rPr>
              <w:t>utilisation illicite d</w:t>
            </w:r>
            <w:r w:rsidR="00E2055A" w:rsidRPr="00A32AF4">
              <w:rPr>
                <w:rFonts w:cs="Arial"/>
                <w:sz w:val="16"/>
                <w:szCs w:val="16"/>
              </w:rPr>
              <w:t>’</w:t>
            </w:r>
            <w:r w:rsidRPr="00A32AF4">
              <w:rPr>
                <w:rFonts w:cs="Arial"/>
                <w:sz w:val="16"/>
                <w:szCs w:val="16"/>
              </w:rPr>
              <w:t>informations confidentielles ou à une interruption des opérations de l</w:t>
            </w:r>
            <w:r w:rsidR="00E2055A" w:rsidRPr="00A32AF4">
              <w:rPr>
                <w:rFonts w:cs="Arial"/>
                <w:sz w:val="16"/>
                <w:szCs w:val="16"/>
              </w:rPr>
              <w:t>’</w:t>
            </w:r>
            <w:r w:rsidRPr="00A32AF4">
              <w:rPr>
                <w:rFonts w:cs="Arial"/>
                <w:sz w:val="16"/>
                <w:szCs w:val="16"/>
              </w:rPr>
              <w:t>OMPI.  Cette situation peut potentiellement porter atteinte à la réputation de l</w:t>
            </w:r>
            <w:r w:rsidR="00E2055A" w:rsidRPr="00A32AF4">
              <w:rPr>
                <w:rFonts w:cs="Arial"/>
                <w:sz w:val="16"/>
                <w:szCs w:val="16"/>
              </w:rPr>
              <w:t>’</w:t>
            </w:r>
            <w:r w:rsidRPr="00A32AF4">
              <w:rPr>
                <w:rFonts w:cs="Arial"/>
                <w:sz w:val="16"/>
                <w:szCs w:val="16"/>
              </w:rPr>
              <w:t xml:space="preserve">OMPI en tant que prestataire fiable de conseils et de services à ses membres et clients.  </w:t>
            </w:r>
          </w:p>
        </w:tc>
        <w:tc>
          <w:tcPr>
            <w:tcW w:w="5103" w:type="dxa"/>
            <w:tcBorders>
              <w:top w:val="nil"/>
              <w:left w:val="nil"/>
              <w:bottom w:val="nil"/>
              <w:right w:val="single" w:sz="8" w:space="0" w:color="auto"/>
            </w:tcBorders>
            <w:tcMar>
              <w:top w:w="113" w:type="dxa"/>
              <w:left w:w="108" w:type="dxa"/>
              <w:bottom w:w="113" w:type="dxa"/>
              <w:right w:w="108" w:type="dxa"/>
            </w:tcMar>
            <w:hideMark/>
          </w:tcPr>
          <w:p w:rsidR="00A46C92" w:rsidRPr="00A32AF4" w:rsidRDefault="00A46C92" w:rsidP="00DC0553">
            <w:pPr>
              <w:rPr>
                <w:rFonts w:eastAsiaTheme="minorHAnsi" w:cs="Arial"/>
                <w:sz w:val="16"/>
                <w:szCs w:val="16"/>
              </w:rPr>
            </w:pPr>
            <w:r w:rsidRPr="00A32AF4">
              <w:rPr>
                <w:rFonts w:eastAsiaTheme="minorHAnsi" w:cs="Arial"/>
                <w:sz w:val="16"/>
                <w:szCs w:val="16"/>
              </w:rPr>
              <w:t>La mise en œuvre progressive d</w:t>
            </w:r>
            <w:r w:rsidR="00E2055A" w:rsidRPr="00A32AF4">
              <w:rPr>
                <w:rFonts w:eastAsiaTheme="minorHAnsi" w:cs="Arial"/>
                <w:sz w:val="16"/>
                <w:szCs w:val="16"/>
              </w:rPr>
              <w:t>’</w:t>
            </w:r>
            <w:r w:rsidRPr="00A32AF4">
              <w:rPr>
                <w:rFonts w:eastAsiaTheme="minorHAnsi" w:cs="Arial"/>
                <w:sz w:val="16"/>
                <w:szCs w:val="16"/>
              </w:rPr>
              <w:t>une stratégie adaptée en matière de sécurité de l</w:t>
            </w:r>
            <w:r w:rsidR="00E2055A" w:rsidRPr="00A32AF4">
              <w:rPr>
                <w:rFonts w:eastAsiaTheme="minorHAnsi" w:cs="Arial"/>
                <w:sz w:val="16"/>
                <w:szCs w:val="16"/>
              </w:rPr>
              <w:t>’</w:t>
            </w:r>
            <w:r w:rsidRPr="00A32AF4">
              <w:rPr>
                <w:rFonts w:eastAsiaTheme="minorHAnsi" w:cs="Arial"/>
                <w:sz w:val="16"/>
                <w:szCs w:val="16"/>
              </w:rPr>
              <w:t>information permettra à l</w:t>
            </w:r>
            <w:r w:rsidR="00E2055A" w:rsidRPr="00A32AF4">
              <w:rPr>
                <w:rFonts w:eastAsiaTheme="minorHAnsi" w:cs="Arial"/>
                <w:sz w:val="16"/>
                <w:szCs w:val="16"/>
              </w:rPr>
              <w:t>’</w:t>
            </w:r>
            <w:r w:rsidRPr="00A32AF4">
              <w:rPr>
                <w:rFonts w:eastAsiaTheme="minorHAnsi" w:cs="Arial"/>
                <w:sz w:val="16"/>
                <w:szCs w:val="16"/>
              </w:rPr>
              <w:t>OMPI de continuer de renforcer sa position et sa résilience dans les domaines de la gouvernance, des ressources humaines, des processus et des technologies pour la sécurité de l</w:t>
            </w:r>
            <w:r w:rsidR="00E2055A" w:rsidRPr="00A32AF4">
              <w:rPr>
                <w:rFonts w:eastAsiaTheme="minorHAnsi" w:cs="Arial"/>
                <w:sz w:val="16"/>
                <w:szCs w:val="16"/>
              </w:rPr>
              <w:t>’</w:t>
            </w:r>
            <w:r w:rsidRPr="00A32AF4">
              <w:rPr>
                <w:rFonts w:eastAsiaTheme="minorHAnsi" w:cs="Arial"/>
                <w:sz w:val="16"/>
                <w:szCs w:val="16"/>
              </w:rPr>
              <w:t>information.</w:t>
            </w:r>
          </w:p>
        </w:tc>
      </w:tr>
      <w:tr w:rsidR="00A46C92" w:rsidRPr="00A32AF4" w:rsidTr="000B5CFC">
        <w:trPr>
          <w:trHeight w:val="925"/>
        </w:trPr>
        <w:tc>
          <w:tcPr>
            <w:tcW w:w="4253" w:type="dxa"/>
            <w:tcBorders>
              <w:top w:val="nil"/>
              <w:left w:val="single" w:sz="8" w:space="0" w:color="auto"/>
              <w:bottom w:val="nil"/>
              <w:right w:val="nil"/>
            </w:tcBorders>
            <w:tcMar>
              <w:top w:w="113" w:type="dxa"/>
              <w:left w:w="108" w:type="dxa"/>
              <w:bottom w:w="113" w:type="dxa"/>
              <w:right w:w="108" w:type="dxa"/>
            </w:tcMar>
            <w:hideMark/>
          </w:tcPr>
          <w:p w:rsidR="00A46C92" w:rsidRPr="00A32AF4" w:rsidRDefault="00A46C92" w:rsidP="00DC0553">
            <w:pPr>
              <w:rPr>
                <w:rFonts w:eastAsiaTheme="minorHAnsi" w:cs="Arial"/>
                <w:bCs/>
                <w:sz w:val="16"/>
                <w:szCs w:val="16"/>
              </w:rPr>
            </w:pPr>
            <w:r w:rsidRPr="00A32AF4">
              <w:rPr>
                <w:rFonts w:cs="Arial"/>
                <w:bCs/>
                <w:sz w:val="16"/>
                <w:szCs w:val="16"/>
              </w:rPr>
              <w:t>Risque liés aux catastrophes naturelles ou humaines pesant sur le personnel, les visiteurs ou l</w:t>
            </w:r>
            <w:r w:rsidR="00E2055A" w:rsidRPr="00A32AF4">
              <w:rPr>
                <w:rFonts w:cs="Arial"/>
                <w:bCs/>
                <w:sz w:val="16"/>
                <w:szCs w:val="16"/>
              </w:rPr>
              <w:t>’</w:t>
            </w:r>
            <w:r w:rsidRPr="00A32AF4">
              <w:rPr>
                <w:rFonts w:cs="Arial"/>
                <w:bCs/>
                <w:sz w:val="16"/>
                <w:szCs w:val="16"/>
              </w:rPr>
              <w:t>infrastructure de l</w:t>
            </w:r>
            <w:r w:rsidR="00E2055A" w:rsidRPr="00A32AF4">
              <w:rPr>
                <w:rFonts w:cs="Arial"/>
                <w:bCs/>
                <w:sz w:val="16"/>
                <w:szCs w:val="16"/>
              </w:rPr>
              <w:t>’</w:t>
            </w:r>
            <w:r w:rsidRPr="00A32AF4">
              <w:rPr>
                <w:rFonts w:cs="Arial"/>
                <w:bCs/>
                <w:sz w:val="16"/>
                <w:szCs w:val="16"/>
              </w:rPr>
              <w:t>OMPI (incendie, explosion, inondation, affaissement de terrain ou pannes techniques).  Faute d</w:t>
            </w:r>
            <w:r w:rsidR="00E2055A" w:rsidRPr="00A32AF4">
              <w:rPr>
                <w:rFonts w:cs="Arial"/>
                <w:bCs/>
                <w:sz w:val="16"/>
                <w:szCs w:val="16"/>
              </w:rPr>
              <w:t>’</w:t>
            </w:r>
            <w:r w:rsidRPr="00A32AF4">
              <w:rPr>
                <w:rFonts w:cs="Arial"/>
                <w:bCs/>
                <w:sz w:val="16"/>
                <w:szCs w:val="16"/>
              </w:rPr>
              <w:t>une préparation, d</w:t>
            </w:r>
            <w:r w:rsidR="00E2055A" w:rsidRPr="00A32AF4">
              <w:rPr>
                <w:rFonts w:cs="Arial"/>
                <w:bCs/>
                <w:sz w:val="16"/>
                <w:szCs w:val="16"/>
              </w:rPr>
              <w:t>’</w:t>
            </w:r>
            <w:r w:rsidRPr="00A32AF4">
              <w:rPr>
                <w:rFonts w:cs="Arial"/>
                <w:bCs/>
                <w:sz w:val="16"/>
                <w:szCs w:val="16"/>
              </w:rPr>
              <w:t>une surveillance et d</w:t>
            </w:r>
            <w:r w:rsidR="00E2055A" w:rsidRPr="00A32AF4">
              <w:rPr>
                <w:rFonts w:cs="Arial"/>
                <w:bCs/>
                <w:sz w:val="16"/>
                <w:szCs w:val="16"/>
              </w:rPr>
              <w:t>’</w:t>
            </w:r>
            <w:r w:rsidRPr="00A32AF4">
              <w:rPr>
                <w:rFonts w:cs="Arial"/>
                <w:bCs/>
                <w:sz w:val="16"/>
                <w:szCs w:val="16"/>
              </w:rPr>
              <w:t>une capacité de réaction suffisantes, ces événements peuvent entraîner des pertes humaines ou des lésions corporelles et perturber gravement les opérations de l</w:t>
            </w:r>
            <w:r w:rsidR="00E2055A" w:rsidRPr="00A32AF4">
              <w:rPr>
                <w:rFonts w:cs="Arial"/>
                <w:bCs/>
                <w:sz w:val="16"/>
                <w:szCs w:val="16"/>
              </w:rPr>
              <w:t>’</w:t>
            </w:r>
            <w:r w:rsidRPr="00A32AF4">
              <w:rPr>
                <w:rFonts w:cs="Arial"/>
                <w:bCs/>
                <w:sz w:val="16"/>
                <w:szCs w:val="16"/>
              </w:rPr>
              <w:t xml:space="preserve">OMPI.  </w:t>
            </w:r>
          </w:p>
        </w:tc>
        <w:tc>
          <w:tcPr>
            <w:tcW w:w="5103" w:type="dxa"/>
            <w:tcBorders>
              <w:top w:val="nil"/>
              <w:left w:val="nil"/>
              <w:bottom w:val="nil"/>
              <w:right w:val="single" w:sz="8" w:space="0" w:color="auto"/>
            </w:tcBorders>
            <w:tcMar>
              <w:top w:w="113" w:type="dxa"/>
              <w:left w:w="108" w:type="dxa"/>
              <w:bottom w:w="113" w:type="dxa"/>
              <w:right w:w="108" w:type="dxa"/>
            </w:tcMar>
            <w:hideMark/>
          </w:tcPr>
          <w:p w:rsidR="00A46C92" w:rsidRPr="00A32AF4" w:rsidRDefault="00A46C92" w:rsidP="00DC0553">
            <w:pPr>
              <w:rPr>
                <w:rFonts w:eastAsiaTheme="minorHAnsi" w:cs="Arial"/>
                <w:sz w:val="16"/>
                <w:szCs w:val="16"/>
              </w:rPr>
            </w:pPr>
            <w:r w:rsidRPr="00A32AF4">
              <w:rPr>
                <w:rFonts w:cs="Arial"/>
                <w:sz w:val="16"/>
                <w:szCs w:val="16"/>
              </w:rPr>
              <w:t>Mise en œuvre de plans et de mesures d</w:t>
            </w:r>
            <w:r w:rsidR="00E2055A" w:rsidRPr="00A32AF4">
              <w:rPr>
                <w:rFonts w:cs="Arial"/>
                <w:sz w:val="16"/>
                <w:szCs w:val="16"/>
              </w:rPr>
              <w:t>’</w:t>
            </w:r>
            <w:r w:rsidRPr="00A32AF4">
              <w:rPr>
                <w:rFonts w:cs="Arial"/>
                <w:sz w:val="16"/>
                <w:szCs w:val="16"/>
              </w:rPr>
              <w:t>urgence et d</w:t>
            </w:r>
            <w:r w:rsidR="00E2055A" w:rsidRPr="00A32AF4">
              <w:rPr>
                <w:rFonts w:cs="Arial"/>
                <w:sz w:val="16"/>
                <w:szCs w:val="16"/>
              </w:rPr>
              <w:t>’</w:t>
            </w:r>
            <w:r w:rsidRPr="00A32AF4">
              <w:rPr>
                <w:rFonts w:cs="Arial"/>
                <w:sz w:val="16"/>
                <w:szCs w:val="16"/>
              </w:rPr>
              <w:t>évacuation ainsi que des mécanismes de coordination nécessaires dans l</w:t>
            </w:r>
            <w:r w:rsidR="00E2055A" w:rsidRPr="00A32AF4">
              <w:rPr>
                <w:rFonts w:cs="Arial"/>
                <w:sz w:val="16"/>
                <w:szCs w:val="16"/>
              </w:rPr>
              <w:t>’</w:t>
            </w:r>
            <w:r w:rsidRPr="00A32AF4">
              <w:rPr>
                <w:rFonts w:cs="Arial"/>
                <w:sz w:val="16"/>
                <w:szCs w:val="16"/>
              </w:rPr>
              <w:t>ensemble des locaux du siège de l</w:t>
            </w:r>
            <w:r w:rsidR="00E2055A" w:rsidRPr="00A32AF4">
              <w:rPr>
                <w:rFonts w:cs="Arial"/>
                <w:sz w:val="16"/>
                <w:szCs w:val="16"/>
              </w:rPr>
              <w:t>’</w:t>
            </w:r>
            <w:r w:rsidRPr="00A32AF4">
              <w:rPr>
                <w:rFonts w:cs="Arial"/>
                <w:sz w:val="16"/>
                <w:szCs w:val="16"/>
              </w:rPr>
              <w:t>Organisation.  Programme d</w:t>
            </w:r>
            <w:r w:rsidR="00E2055A" w:rsidRPr="00A32AF4">
              <w:rPr>
                <w:rFonts w:cs="Arial"/>
                <w:sz w:val="16"/>
                <w:szCs w:val="16"/>
              </w:rPr>
              <w:t>’</w:t>
            </w:r>
            <w:r w:rsidRPr="00A32AF4">
              <w:rPr>
                <w:rFonts w:cs="Arial"/>
                <w:sz w:val="16"/>
                <w:szCs w:val="16"/>
              </w:rPr>
              <w:t>inspection des installations établi en 2013 afin de détecter toute faille de sécurité et d</w:t>
            </w:r>
            <w:r w:rsidR="00E2055A" w:rsidRPr="00A32AF4">
              <w:rPr>
                <w:rFonts w:cs="Arial"/>
                <w:sz w:val="16"/>
                <w:szCs w:val="16"/>
              </w:rPr>
              <w:t>’</w:t>
            </w:r>
            <w:r w:rsidRPr="00A32AF4">
              <w:rPr>
                <w:rFonts w:cs="Arial"/>
                <w:sz w:val="16"/>
                <w:szCs w:val="16"/>
              </w:rPr>
              <w:t xml:space="preserve">y remédier.  </w:t>
            </w:r>
          </w:p>
        </w:tc>
      </w:tr>
      <w:tr w:rsidR="00A46C92" w:rsidRPr="00A32AF4" w:rsidTr="000B5CFC">
        <w:trPr>
          <w:trHeight w:val="1027"/>
        </w:trPr>
        <w:tc>
          <w:tcPr>
            <w:tcW w:w="4253" w:type="dxa"/>
            <w:tcBorders>
              <w:top w:val="nil"/>
              <w:left w:val="single" w:sz="8" w:space="0" w:color="auto"/>
              <w:bottom w:val="single" w:sz="8" w:space="0" w:color="auto"/>
              <w:right w:val="nil"/>
            </w:tcBorders>
            <w:tcMar>
              <w:top w:w="113" w:type="dxa"/>
              <w:left w:w="108" w:type="dxa"/>
              <w:bottom w:w="113" w:type="dxa"/>
              <w:right w:w="108" w:type="dxa"/>
            </w:tcMar>
            <w:hideMark/>
          </w:tcPr>
          <w:p w:rsidR="00A46C92" w:rsidRPr="00A32AF4" w:rsidRDefault="00A46C92" w:rsidP="00DC0553">
            <w:pPr>
              <w:rPr>
                <w:rFonts w:eastAsiaTheme="minorHAnsi" w:cs="Arial"/>
                <w:bCs/>
                <w:sz w:val="16"/>
                <w:szCs w:val="16"/>
              </w:rPr>
            </w:pPr>
            <w:r w:rsidRPr="00A32AF4">
              <w:rPr>
                <w:rFonts w:eastAsiaTheme="minorHAnsi" w:cs="Arial"/>
                <w:bCs/>
                <w:sz w:val="16"/>
                <w:szCs w:val="16"/>
              </w:rPr>
              <w:t>Activités criminelles internes et externes dirigées contre l</w:t>
            </w:r>
            <w:r w:rsidR="00E2055A" w:rsidRPr="00A32AF4">
              <w:rPr>
                <w:rFonts w:eastAsiaTheme="minorHAnsi" w:cs="Arial"/>
                <w:bCs/>
                <w:sz w:val="16"/>
                <w:szCs w:val="16"/>
              </w:rPr>
              <w:t>’</w:t>
            </w:r>
            <w:r w:rsidRPr="00A32AF4">
              <w:rPr>
                <w:rFonts w:eastAsiaTheme="minorHAnsi" w:cs="Arial"/>
                <w:bCs/>
                <w:sz w:val="16"/>
                <w:szCs w:val="16"/>
              </w:rPr>
              <w:t>Organisation (vol, sabotage, acte de terrorisme</w:t>
            </w:r>
            <w:proofErr w:type="gramStart"/>
            <w:r w:rsidRPr="00A32AF4">
              <w:rPr>
                <w:rFonts w:eastAsiaTheme="minorHAnsi" w:cs="Arial"/>
                <w:bCs/>
                <w:sz w:val="16"/>
                <w:szCs w:val="16"/>
              </w:rPr>
              <w:t>);</w:t>
            </w:r>
            <w:proofErr w:type="gramEnd"/>
            <w:r w:rsidRPr="00A32AF4">
              <w:rPr>
                <w:rFonts w:eastAsiaTheme="minorHAnsi" w:cs="Arial"/>
                <w:bCs/>
                <w:sz w:val="16"/>
                <w:szCs w:val="16"/>
              </w:rPr>
              <w:t xml:space="preserve">  actes de malveillance interrompant les opérations ou autres événements susceptibles de perturber les activités de l</w:t>
            </w:r>
            <w:r w:rsidR="00E2055A" w:rsidRPr="00A32AF4">
              <w:rPr>
                <w:rFonts w:eastAsiaTheme="minorHAnsi" w:cs="Arial"/>
                <w:bCs/>
                <w:sz w:val="16"/>
                <w:szCs w:val="16"/>
              </w:rPr>
              <w:t>’</w:t>
            </w:r>
            <w:r w:rsidRPr="00A32AF4">
              <w:rPr>
                <w:rFonts w:eastAsiaTheme="minorHAnsi" w:cs="Arial"/>
                <w:bCs/>
                <w:sz w:val="16"/>
                <w:szCs w:val="16"/>
              </w:rPr>
              <w:t>Organisation (manifestations/troubles civils/groupes antimondialisation ou anarchistes).</w:t>
            </w:r>
          </w:p>
        </w:tc>
        <w:tc>
          <w:tcPr>
            <w:tcW w:w="5103" w:type="dxa"/>
            <w:tcBorders>
              <w:top w:val="nil"/>
              <w:left w:val="nil"/>
              <w:bottom w:val="single" w:sz="8" w:space="0" w:color="auto"/>
              <w:right w:val="single" w:sz="8" w:space="0" w:color="auto"/>
            </w:tcBorders>
            <w:tcMar>
              <w:top w:w="113" w:type="dxa"/>
              <w:left w:w="108" w:type="dxa"/>
              <w:bottom w:w="113" w:type="dxa"/>
              <w:right w:w="108" w:type="dxa"/>
            </w:tcMar>
            <w:hideMark/>
          </w:tcPr>
          <w:p w:rsidR="00A46C92" w:rsidRPr="00A32AF4" w:rsidRDefault="00A46C92" w:rsidP="00DC0553">
            <w:pPr>
              <w:rPr>
                <w:rFonts w:eastAsiaTheme="minorHAnsi" w:cs="Arial"/>
                <w:bCs/>
                <w:sz w:val="16"/>
                <w:szCs w:val="16"/>
              </w:rPr>
            </w:pPr>
            <w:r w:rsidRPr="00A32AF4">
              <w:rPr>
                <w:rFonts w:cs="Arial"/>
                <w:bCs/>
                <w:sz w:val="16"/>
                <w:szCs w:val="16"/>
              </w:rPr>
              <w:t>Mise en place d</w:t>
            </w:r>
            <w:r w:rsidR="00E2055A" w:rsidRPr="00A32AF4">
              <w:rPr>
                <w:rFonts w:cs="Arial"/>
                <w:bCs/>
                <w:sz w:val="16"/>
                <w:szCs w:val="16"/>
              </w:rPr>
              <w:t>’</w:t>
            </w:r>
            <w:r w:rsidRPr="00A32AF4">
              <w:rPr>
                <w:rFonts w:cs="Arial"/>
                <w:bCs/>
                <w:sz w:val="16"/>
                <w:szCs w:val="16"/>
              </w:rPr>
              <w:t xml:space="preserve">un dispositif de sécurité intégré, de protocoles de gestion des risques et de couches concentriques de mécanismes de contrôle comprenant </w:t>
            </w:r>
            <w:proofErr w:type="gramStart"/>
            <w:r w:rsidRPr="00A32AF4">
              <w:rPr>
                <w:rFonts w:cs="Arial"/>
                <w:bCs/>
                <w:sz w:val="16"/>
                <w:szCs w:val="16"/>
              </w:rPr>
              <w:t>mesures</w:t>
            </w:r>
            <w:proofErr w:type="gramEnd"/>
            <w:r w:rsidRPr="00A32AF4">
              <w:rPr>
                <w:rFonts w:cs="Arial"/>
                <w:bCs/>
                <w:sz w:val="16"/>
                <w:szCs w:val="16"/>
              </w:rPr>
              <w:t xml:space="preserve"> anti</w:t>
            </w:r>
            <w:r w:rsidR="00EB7F54" w:rsidRPr="00A32AF4">
              <w:rPr>
                <w:rFonts w:cs="Arial"/>
                <w:bCs/>
                <w:sz w:val="16"/>
                <w:szCs w:val="16"/>
              </w:rPr>
              <w:noBreakHyphen/>
            </w:r>
            <w:r w:rsidRPr="00A32AF4">
              <w:rPr>
                <w:rFonts w:cs="Arial"/>
                <w:bCs/>
                <w:sz w:val="16"/>
                <w:szCs w:val="16"/>
              </w:rPr>
              <w:t xml:space="preserve">intrusion, caméras en circuit fermé et système moderne de contrôle des accès.  </w:t>
            </w:r>
          </w:p>
        </w:tc>
      </w:tr>
    </w:tbl>
    <w:p w:rsidR="00A46C92" w:rsidRPr="00A32AF4" w:rsidRDefault="00A46C92" w:rsidP="00DC0553">
      <w:pPr>
        <w:autoSpaceDE w:val="0"/>
        <w:autoSpaceDN w:val="0"/>
        <w:adjustRightInd w:val="0"/>
        <w:jc w:val="both"/>
        <w:rPr>
          <w:rFonts w:cs="Arial"/>
        </w:rPr>
      </w:pPr>
    </w:p>
    <w:p w:rsidR="00A46C92" w:rsidRPr="00A32AF4" w:rsidRDefault="00A46C92" w:rsidP="00DC0553">
      <w:pPr>
        <w:autoSpaceDE w:val="0"/>
        <w:autoSpaceDN w:val="0"/>
        <w:adjustRightInd w:val="0"/>
        <w:jc w:val="both"/>
        <w:rPr>
          <w:rFonts w:cs="Arial"/>
        </w:rPr>
      </w:pPr>
    </w:p>
    <w:p w:rsidR="00A46C92" w:rsidRPr="00A32AF4" w:rsidRDefault="00A46C92" w:rsidP="00DC0553">
      <w:pPr>
        <w:rPr>
          <w:rFonts w:cs="Arial"/>
        </w:rPr>
      </w:pPr>
      <w:r w:rsidRPr="00A32AF4">
        <w:rPr>
          <w:rFonts w:cs="Arial"/>
        </w:rPr>
        <w:br w:type="page"/>
      </w:r>
    </w:p>
    <w:p w:rsidR="00A46C92" w:rsidRPr="00A32AF4" w:rsidRDefault="00A46C92" w:rsidP="00DC0553">
      <w:pPr>
        <w:rPr>
          <w:rFonts w:cs="Arial"/>
        </w:rPr>
      </w:pPr>
      <w:r w:rsidRPr="00A32AF4">
        <w:rPr>
          <w:rFonts w:cs="Arial"/>
        </w:rPr>
        <w:t>TABLEAU DES RÉSULTATS</w:t>
      </w:r>
    </w:p>
    <w:p w:rsidR="00A46C92" w:rsidRPr="00A32AF4" w:rsidRDefault="00A46C92" w:rsidP="00DC0553">
      <w:pPr>
        <w:rPr>
          <w:rFonts w:cs="Arial"/>
        </w:rPr>
      </w:pPr>
    </w:p>
    <w:tbl>
      <w:tblPr>
        <w:tblW w:w="9120" w:type="dxa"/>
        <w:tblInd w:w="93"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60"/>
        <w:gridCol w:w="2520"/>
        <w:gridCol w:w="2280"/>
        <w:gridCol w:w="2260"/>
      </w:tblGrid>
      <w:tr w:rsidR="00A46C92" w:rsidRPr="00A32AF4" w:rsidTr="000B5CFC">
        <w:trPr>
          <w:cantSplit/>
          <w:tblHeader/>
        </w:trPr>
        <w:tc>
          <w:tcPr>
            <w:tcW w:w="2060" w:type="dxa"/>
            <w:tcBorders>
              <w:top w:val="single" w:sz="4" w:space="0" w:color="auto"/>
              <w:bottom w:val="single" w:sz="4" w:space="0" w:color="auto"/>
            </w:tcBorders>
            <w:shd w:val="clear" w:color="000000" w:fill="C6D9F1" w:themeFill="text2" w:themeFillTint="33"/>
            <w:tcMar>
              <w:top w:w="113" w:type="dxa"/>
              <w:bottom w:w="113" w:type="dxa"/>
            </w:tcMar>
            <w:vAlign w:val="center"/>
            <w:hideMark/>
          </w:tcPr>
          <w:p w:rsidR="00A46C92" w:rsidRPr="00A32AF4" w:rsidRDefault="00A46C92" w:rsidP="00DC0553">
            <w:pPr>
              <w:jc w:val="center"/>
              <w:rPr>
                <w:rFonts w:cs="Arial"/>
                <w:b/>
                <w:bCs/>
                <w:sz w:val="18"/>
                <w:szCs w:val="18"/>
              </w:rPr>
            </w:pPr>
            <w:r w:rsidRPr="00A32AF4">
              <w:rPr>
                <w:rFonts w:cs="Arial"/>
                <w:b/>
                <w:bCs/>
                <w:sz w:val="18"/>
                <w:szCs w:val="18"/>
              </w:rPr>
              <w:t>Résultats escomptés</w:t>
            </w:r>
          </w:p>
        </w:tc>
        <w:tc>
          <w:tcPr>
            <w:tcW w:w="2520" w:type="dxa"/>
            <w:tcBorders>
              <w:top w:val="single" w:sz="4" w:space="0" w:color="auto"/>
              <w:bottom w:val="single" w:sz="4" w:space="0" w:color="auto"/>
            </w:tcBorders>
            <w:shd w:val="clear" w:color="000000" w:fill="C6D9F1" w:themeFill="text2" w:themeFillTint="33"/>
            <w:tcMar>
              <w:top w:w="113" w:type="dxa"/>
              <w:bottom w:w="113" w:type="dxa"/>
            </w:tcMar>
            <w:vAlign w:val="center"/>
            <w:hideMark/>
          </w:tcPr>
          <w:p w:rsidR="00A46C92" w:rsidRPr="00A32AF4" w:rsidRDefault="00A46C92" w:rsidP="00DC0553">
            <w:pPr>
              <w:jc w:val="center"/>
              <w:rPr>
                <w:rFonts w:cs="Arial"/>
                <w:b/>
                <w:bCs/>
                <w:sz w:val="18"/>
                <w:szCs w:val="18"/>
              </w:rPr>
            </w:pPr>
            <w:r w:rsidRPr="00A32AF4">
              <w:rPr>
                <w:rFonts w:cs="Arial"/>
                <w:b/>
                <w:bCs/>
                <w:sz w:val="18"/>
                <w:szCs w:val="18"/>
              </w:rPr>
              <w:t>Indicateurs d</w:t>
            </w:r>
            <w:r w:rsidR="00E2055A" w:rsidRPr="00A32AF4">
              <w:rPr>
                <w:rFonts w:cs="Arial"/>
                <w:b/>
                <w:bCs/>
                <w:sz w:val="18"/>
                <w:szCs w:val="18"/>
              </w:rPr>
              <w:t>’</w:t>
            </w:r>
            <w:r w:rsidRPr="00A32AF4">
              <w:rPr>
                <w:rFonts w:cs="Arial"/>
                <w:b/>
                <w:bCs/>
                <w:sz w:val="18"/>
                <w:szCs w:val="18"/>
              </w:rPr>
              <w:t>exécution</w:t>
            </w:r>
          </w:p>
        </w:tc>
        <w:tc>
          <w:tcPr>
            <w:tcW w:w="2280" w:type="dxa"/>
            <w:tcBorders>
              <w:top w:val="single" w:sz="4" w:space="0" w:color="auto"/>
              <w:bottom w:val="single" w:sz="4" w:space="0" w:color="auto"/>
            </w:tcBorders>
            <w:shd w:val="clear" w:color="000000" w:fill="C6D9F1" w:themeFill="text2" w:themeFillTint="33"/>
            <w:tcMar>
              <w:top w:w="113" w:type="dxa"/>
              <w:bottom w:w="113" w:type="dxa"/>
            </w:tcMar>
            <w:vAlign w:val="center"/>
            <w:hideMark/>
          </w:tcPr>
          <w:p w:rsidR="00A46C92" w:rsidRPr="00A32AF4" w:rsidRDefault="00A46C92" w:rsidP="00DC0553">
            <w:pPr>
              <w:jc w:val="center"/>
              <w:rPr>
                <w:rFonts w:cs="Arial"/>
                <w:b/>
                <w:bCs/>
                <w:sz w:val="18"/>
                <w:szCs w:val="18"/>
              </w:rPr>
            </w:pPr>
            <w:r w:rsidRPr="00A32AF4">
              <w:rPr>
                <w:rFonts w:cs="Arial"/>
                <w:b/>
                <w:bCs/>
                <w:sz w:val="18"/>
                <w:szCs w:val="18"/>
              </w:rPr>
              <w:t>Niveaux de référence</w:t>
            </w:r>
          </w:p>
        </w:tc>
        <w:tc>
          <w:tcPr>
            <w:tcW w:w="2260" w:type="dxa"/>
            <w:tcBorders>
              <w:top w:val="single" w:sz="4" w:space="0" w:color="auto"/>
              <w:bottom w:val="single" w:sz="4" w:space="0" w:color="auto"/>
            </w:tcBorders>
            <w:shd w:val="clear" w:color="000000" w:fill="C6D9F1" w:themeFill="text2" w:themeFillTint="33"/>
            <w:tcMar>
              <w:top w:w="113" w:type="dxa"/>
              <w:bottom w:w="113" w:type="dxa"/>
            </w:tcMar>
            <w:vAlign w:val="center"/>
            <w:hideMark/>
          </w:tcPr>
          <w:p w:rsidR="00A46C92" w:rsidRPr="00A32AF4" w:rsidRDefault="00A46C92" w:rsidP="00DC0553">
            <w:pPr>
              <w:jc w:val="center"/>
              <w:rPr>
                <w:rFonts w:cs="Arial"/>
                <w:b/>
                <w:bCs/>
                <w:sz w:val="18"/>
                <w:szCs w:val="18"/>
              </w:rPr>
            </w:pPr>
            <w:r w:rsidRPr="00A32AF4">
              <w:rPr>
                <w:rFonts w:cs="Arial"/>
                <w:b/>
                <w:bCs/>
                <w:sz w:val="18"/>
                <w:szCs w:val="18"/>
              </w:rPr>
              <w:t>Objectifs visés</w:t>
            </w:r>
          </w:p>
        </w:tc>
      </w:tr>
      <w:tr w:rsidR="00A46C92" w:rsidRPr="00A32AF4" w:rsidTr="000B5CFC">
        <w:trPr>
          <w:cantSplit/>
        </w:trPr>
        <w:tc>
          <w:tcPr>
            <w:tcW w:w="2060" w:type="dxa"/>
            <w:tcBorders>
              <w:top w:val="single" w:sz="4" w:space="0" w:color="auto"/>
            </w:tcBorders>
            <w:shd w:val="clear" w:color="000000" w:fill="FFFFFF"/>
            <w:tcMar>
              <w:top w:w="113" w:type="dxa"/>
              <w:bottom w:w="113" w:type="dxa"/>
            </w:tcMar>
            <w:hideMark/>
          </w:tcPr>
          <w:p w:rsidR="00A46C92" w:rsidRPr="00A32AF4" w:rsidRDefault="00A46C92" w:rsidP="00DC0553">
            <w:pPr>
              <w:rPr>
                <w:rFonts w:cs="Arial"/>
                <w:sz w:val="16"/>
                <w:szCs w:val="16"/>
              </w:rPr>
            </w:pPr>
            <w:r w:rsidRPr="00A32AF4">
              <w:rPr>
                <w:rFonts w:cs="Arial"/>
                <w:sz w:val="16"/>
                <w:szCs w:val="16"/>
              </w:rPr>
              <w:t>IX.1 Services d</w:t>
            </w:r>
            <w:r w:rsidR="00E2055A" w:rsidRPr="00A32AF4">
              <w:rPr>
                <w:rFonts w:cs="Arial"/>
                <w:sz w:val="16"/>
                <w:szCs w:val="16"/>
              </w:rPr>
              <w:t>’</w:t>
            </w:r>
            <w:r w:rsidRPr="00A32AF4">
              <w:rPr>
                <w:rFonts w:cs="Arial"/>
                <w:sz w:val="16"/>
                <w:szCs w:val="16"/>
              </w:rPr>
              <w:t>appui efficaces, efficients, de qualité et tournés vers la clientèle, à l</w:t>
            </w:r>
            <w:r w:rsidR="00E2055A" w:rsidRPr="00A32AF4">
              <w:rPr>
                <w:rFonts w:cs="Arial"/>
                <w:sz w:val="16"/>
                <w:szCs w:val="16"/>
              </w:rPr>
              <w:t>’</w:t>
            </w:r>
            <w:r w:rsidRPr="00A32AF4">
              <w:rPr>
                <w:rFonts w:cs="Arial"/>
                <w:sz w:val="16"/>
                <w:szCs w:val="16"/>
              </w:rPr>
              <w:t>intention à la fois des clients internes et des parties prenantes externes</w:t>
            </w:r>
          </w:p>
        </w:tc>
        <w:tc>
          <w:tcPr>
            <w:tcW w:w="2520" w:type="dxa"/>
            <w:tcBorders>
              <w:top w:val="single" w:sz="4" w:space="0" w:color="auto"/>
            </w:tcBorders>
            <w:shd w:val="clear" w:color="000000" w:fill="FFFFFF"/>
            <w:tcMar>
              <w:top w:w="113" w:type="dxa"/>
              <w:bottom w:w="113" w:type="dxa"/>
            </w:tcMar>
            <w:hideMark/>
          </w:tcPr>
          <w:p w:rsidR="00A46C92" w:rsidRPr="00A32AF4" w:rsidRDefault="00A46C92" w:rsidP="00DC0553">
            <w:pPr>
              <w:rPr>
                <w:rFonts w:cs="Arial"/>
                <w:sz w:val="16"/>
                <w:szCs w:val="16"/>
              </w:rPr>
            </w:pPr>
            <w:r w:rsidRPr="00A32AF4">
              <w:rPr>
                <w:rFonts w:cs="Arial"/>
                <w:sz w:val="16"/>
                <w:szCs w:val="16"/>
              </w:rPr>
              <w:t>Gouvernance en matière de sécurité de l</w:t>
            </w:r>
            <w:r w:rsidR="00E2055A" w:rsidRPr="00A32AF4">
              <w:rPr>
                <w:rFonts w:cs="Arial"/>
                <w:sz w:val="16"/>
                <w:szCs w:val="16"/>
              </w:rPr>
              <w:t>’</w:t>
            </w:r>
            <w:r w:rsidRPr="00A32AF4">
              <w:rPr>
                <w:rFonts w:cs="Arial"/>
                <w:sz w:val="16"/>
                <w:szCs w:val="16"/>
              </w:rPr>
              <w:t xml:space="preserve">information définie et appliquée.  </w:t>
            </w:r>
            <w:r w:rsidRPr="00A32AF4">
              <w:rPr>
                <w:rFonts w:cs="Arial"/>
                <w:sz w:val="16"/>
                <w:szCs w:val="16"/>
              </w:rPr>
              <w:br/>
            </w:r>
            <w:r w:rsidRPr="00A32AF4">
              <w:rPr>
                <w:rFonts w:cs="Arial"/>
                <w:sz w:val="16"/>
                <w:szCs w:val="16"/>
              </w:rPr>
              <w:br/>
            </w:r>
            <w:r w:rsidRPr="00A32AF4">
              <w:rPr>
                <w:rFonts w:cs="Arial"/>
                <w:sz w:val="16"/>
                <w:szCs w:val="16"/>
              </w:rPr>
              <w:br/>
            </w:r>
            <w:r w:rsidRPr="00A32AF4">
              <w:rPr>
                <w:rFonts w:cs="Arial"/>
                <w:sz w:val="16"/>
                <w:szCs w:val="16"/>
              </w:rPr>
              <w:br/>
            </w:r>
            <w:r w:rsidRPr="00A32AF4">
              <w:rPr>
                <w:rFonts w:cs="Arial"/>
                <w:sz w:val="16"/>
                <w:szCs w:val="16"/>
              </w:rPr>
              <w:br/>
            </w:r>
            <w:r w:rsidRPr="00A32AF4">
              <w:rPr>
                <w:rFonts w:cs="Arial"/>
                <w:sz w:val="16"/>
                <w:szCs w:val="16"/>
              </w:rPr>
              <w:br/>
              <w:t>Nombre de membres du personnel au courant de leurs responsabilités, des politiques et des pratiques recommandées en matière de sécurité de l</w:t>
            </w:r>
            <w:r w:rsidR="00E2055A" w:rsidRPr="00A32AF4">
              <w:rPr>
                <w:rFonts w:cs="Arial"/>
                <w:sz w:val="16"/>
                <w:szCs w:val="16"/>
              </w:rPr>
              <w:t>’</w:t>
            </w:r>
            <w:r w:rsidRPr="00A32AF4">
              <w:rPr>
                <w:rFonts w:cs="Arial"/>
                <w:sz w:val="16"/>
                <w:szCs w:val="16"/>
              </w:rPr>
              <w:t>information.</w:t>
            </w:r>
          </w:p>
        </w:tc>
        <w:tc>
          <w:tcPr>
            <w:tcW w:w="2280" w:type="dxa"/>
            <w:tcBorders>
              <w:top w:val="single" w:sz="4" w:space="0" w:color="auto"/>
            </w:tcBorders>
            <w:shd w:val="clear" w:color="000000" w:fill="FFFFFF"/>
            <w:tcMar>
              <w:top w:w="113" w:type="dxa"/>
              <w:bottom w:w="113" w:type="dxa"/>
            </w:tcMar>
            <w:hideMark/>
          </w:tcPr>
          <w:p w:rsidR="00A46C92" w:rsidRPr="00A32AF4" w:rsidRDefault="00A46C92">
            <w:pPr>
              <w:rPr>
                <w:rFonts w:cs="Arial"/>
                <w:sz w:val="16"/>
                <w:szCs w:val="16"/>
              </w:rPr>
            </w:pPr>
            <w:r w:rsidRPr="00A32AF4">
              <w:rPr>
                <w:rFonts w:cs="Arial"/>
                <w:sz w:val="16"/>
                <w:szCs w:val="16"/>
              </w:rPr>
              <w:t>Gouvernance limitée en matière de sécurité de l</w:t>
            </w:r>
            <w:r w:rsidR="00E2055A" w:rsidRPr="00A32AF4">
              <w:rPr>
                <w:rFonts w:cs="Arial"/>
                <w:sz w:val="16"/>
                <w:szCs w:val="16"/>
              </w:rPr>
              <w:t>’</w:t>
            </w:r>
            <w:r w:rsidRPr="00A32AF4">
              <w:rPr>
                <w:rFonts w:cs="Arial"/>
                <w:sz w:val="16"/>
                <w:szCs w:val="16"/>
              </w:rPr>
              <w:t>information</w:t>
            </w:r>
            <w:r w:rsidRPr="00A32AF4">
              <w:rPr>
                <w:rFonts w:cs="Arial"/>
                <w:sz w:val="16"/>
                <w:szCs w:val="16"/>
              </w:rPr>
              <w:br/>
              <w:t>Capacités limitées de mise en œuvre de la stratégie en matière de sécurité de l</w:t>
            </w:r>
            <w:r w:rsidR="00E2055A" w:rsidRPr="00A32AF4">
              <w:rPr>
                <w:rFonts w:cs="Arial"/>
                <w:sz w:val="16"/>
                <w:szCs w:val="16"/>
              </w:rPr>
              <w:t>’</w:t>
            </w:r>
            <w:r w:rsidRPr="00A32AF4">
              <w:rPr>
                <w:rFonts w:cs="Arial"/>
                <w:sz w:val="16"/>
                <w:szCs w:val="16"/>
              </w:rPr>
              <w:t>information.</w:t>
            </w:r>
            <w:r w:rsidRPr="00A32AF4">
              <w:rPr>
                <w:rFonts w:cs="Arial"/>
                <w:sz w:val="16"/>
                <w:szCs w:val="16"/>
              </w:rPr>
              <w:br/>
            </w:r>
            <w:r w:rsidRPr="00A32AF4">
              <w:rPr>
                <w:rFonts w:cs="Arial"/>
                <w:sz w:val="16"/>
                <w:szCs w:val="16"/>
              </w:rPr>
              <w:br/>
            </w:r>
            <w:r w:rsidR="00C95E3C" w:rsidRPr="00A32AF4">
              <w:rPr>
                <w:rFonts w:cs="Arial"/>
                <w:sz w:val="16"/>
                <w:szCs w:val="16"/>
              </w:rPr>
              <w:t>12</w:t>
            </w:r>
            <w:r w:rsidRPr="00A32AF4">
              <w:rPr>
                <w:rFonts w:cs="Arial"/>
                <w:sz w:val="16"/>
                <w:szCs w:val="16"/>
              </w:rPr>
              <w:t xml:space="preserve">% des membres du personnel ont été victimes de campagnes </w:t>
            </w:r>
            <w:r w:rsidR="006D5B84" w:rsidRPr="00A32AF4">
              <w:rPr>
                <w:rFonts w:cs="Arial"/>
                <w:sz w:val="16"/>
                <w:szCs w:val="16"/>
              </w:rPr>
              <w:t>d’</w:t>
            </w:r>
            <w:r w:rsidRPr="00A32AF4">
              <w:rPr>
                <w:rFonts w:cs="Arial"/>
                <w:sz w:val="16"/>
                <w:szCs w:val="16"/>
              </w:rPr>
              <w:t>hameçonnage</w:t>
            </w:r>
            <w:r w:rsidR="00C95E3C" w:rsidRPr="00A32AF4">
              <w:rPr>
                <w:rFonts w:cs="Arial"/>
                <w:sz w:val="16"/>
                <w:szCs w:val="16"/>
              </w:rPr>
              <w:t xml:space="preserve"> (moyenne basée sur deux</w:t>
            </w:r>
            <w:r w:rsidR="00FD43E3" w:rsidRPr="00A32AF4">
              <w:rPr>
                <w:rFonts w:cs="Arial"/>
                <w:sz w:val="16"/>
                <w:szCs w:val="16"/>
              </w:rPr>
              <w:t> </w:t>
            </w:r>
            <w:r w:rsidR="00227FDA" w:rsidRPr="00A32AF4">
              <w:rPr>
                <w:rFonts w:cs="Arial"/>
                <w:sz w:val="16"/>
                <w:szCs w:val="16"/>
              </w:rPr>
              <w:t>campagnes</w:t>
            </w:r>
            <w:r w:rsidR="00C95E3C" w:rsidRPr="00A32AF4">
              <w:rPr>
                <w:rFonts w:cs="Arial"/>
                <w:sz w:val="16"/>
                <w:szCs w:val="16"/>
              </w:rPr>
              <w:t xml:space="preserve"> de simulation mené</w:t>
            </w:r>
            <w:r w:rsidR="00227FDA" w:rsidRPr="00A32AF4">
              <w:rPr>
                <w:rFonts w:cs="Arial"/>
                <w:sz w:val="16"/>
                <w:szCs w:val="16"/>
              </w:rPr>
              <w:t>e</w:t>
            </w:r>
            <w:r w:rsidR="00C95E3C" w:rsidRPr="00A32AF4">
              <w:rPr>
                <w:rFonts w:cs="Arial"/>
                <w:sz w:val="16"/>
                <w:szCs w:val="16"/>
              </w:rPr>
              <w:t>s en</w:t>
            </w:r>
            <w:r w:rsidR="00FD43E3" w:rsidRPr="00A32AF4">
              <w:rPr>
                <w:rFonts w:cs="Arial"/>
                <w:sz w:val="16"/>
                <w:szCs w:val="16"/>
              </w:rPr>
              <w:t> </w:t>
            </w:r>
            <w:r w:rsidR="00C95E3C" w:rsidRPr="00A32AF4">
              <w:rPr>
                <w:rFonts w:cs="Arial"/>
                <w:sz w:val="16"/>
                <w:szCs w:val="16"/>
              </w:rPr>
              <w:t>2014 et au cours du premier semestre de</w:t>
            </w:r>
            <w:r w:rsidR="00FD43E3" w:rsidRPr="00A32AF4">
              <w:rPr>
                <w:rFonts w:cs="Arial"/>
                <w:sz w:val="16"/>
                <w:szCs w:val="16"/>
              </w:rPr>
              <w:t> </w:t>
            </w:r>
            <w:r w:rsidR="00C95E3C" w:rsidRPr="00A32AF4">
              <w:rPr>
                <w:rFonts w:cs="Arial"/>
                <w:sz w:val="16"/>
                <w:szCs w:val="16"/>
              </w:rPr>
              <w:t>2015)</w:t>
            </w:r>
            <w:r w:rsidRPr="00A32AF4">
              <w:rPr>
                <w:rFonts w:cs="Arial"/>
                <w:sz w:val="16"/>
                <w:szCs w:val="16"/>
              </w:rPr>
              <w:t>.</w:t>
            </w:r>
          </w:p>
        </w:tc>
        <w:tc>
          <w:tcPr>
            <w:tcW w:w="2260" w:type="dxa"/>
            <w:tcBorders>
              <w:top w:val="single" w:sz="4" w:space="0" w:color="auto"/>
            </w:tcBorders>
            <w:shd w:val="clear" w:color="000000" w:fill="FFFFFF"/>
            <w:tcMar>
              <w:top w:w="113" w:type="dxa"/>
              <w:bottom w:w="113" w:type="dxa"/>
            </w:tcMar>
            <w:hideMark/>
          </w:tcPr>
          <w:p w:rsidR="00A46C92" w:rsidRPr="00A32AF4" w:rsidRDefault="00A46C92" w:rsidP="00DC0553">
            <w:pPr>
              <w:rPr>
                <w:rFonts w:cs="Arial"/>
                <w:sz w:val="16"/>
                <w:szCs w:val="16"/>
              </w:rPr>
            </w:pPr>
            <w:r w:rsidRPr="00A32AF4">
              <w:rPr>
                <w:rFonts w:cs="Arial"/>
                <w:sz w:val="16"/>
                <w:szCs w:val="16"/>
              </w:rPr>
              <w:t>Adoption du cadre de gouvernance en matière de sécurité de l</w:t>
            </w:r>
            <w:r w:rsidR="00E2055A" w:rsidRPr="00A32AF4">
              <w:rPr>
                <w:rFonts w:cs="Arial"/>
                <w:sz w:val="16"/>
                <w:szCs w:val="16"/>
              </w:rPr>
              <w:t>’</w:t>
            </w:r>
            <w:r w:rsidRPr="00A32AF4">
              <w:rPr>
                <w:rFonts w:cs="Arial"/>
                <w:sz w:val="16"/>
                <w:szCs w:val="16"/>
              </w:rPr>
              <w:t xml:space="preserve">information.  </w:t>
            </w:r>
            <w:r w:rsidRPr="00A32AF4">
              <w:rPr>
                <w:rFonts w:cs="Arial"/>
                <w:sz w:val="16"/>
                <w:szCs w:val="16"/>
              </w:rPr>
              <w:br/>
            </w:r>
            <w:r w:rsidRPr="00A32AF4">
              <w:rPr>
                <w:rFonts w:cs="Arial"/>
                <w:sz w:val="16"/>
                <w:szCs w:val="16"/>
              </w:rPr>
              <w:br/>
            </w:r>
            <w:r w:rsidRPr="00A32AF4">
              <w:rPr>
                <w:rFonts w:cs="Arial"/>
                <w:sz w:val="16"/>
                <w:szCs w:val="16"/>
              </w:rPr>
              <w:br/>
            </w:r>
            <w:r w:rsidRPr="00A32AF4">
              <w:rPr>
                <w:rFonts w:cs="Arial"/>
                <w:sz w:val="16"/>
                <w:szCs w:val="16"/>
              </w:rPr>
              <w:br/>
            </w:r>
            <w:r w:rsidR="002842C3" w:rsidRPr="00A32AF4">
              <w:rPr>
                <w:rFonts w:cs="Arial"/>
                <w:sz w:val="16"/>
                <w:szCs w:val="16"/>
              </w:rPr>
              <w:br/>
            </w:r>
            <w:r w:rsidRPr="00A32AF4">
              <w:rPr>
                <w:rFonts w:cs="Arial"/>
                <w:sz w:val="16"/>
                <w:szCs w:val="16"/>
              </w:rPr>
              <w:br/>
              <w:t xml:space="preserve">Moins de 5% de membres </w:t>
            </w:r>
            <w:proofErr w:type="gramStart"/>
            <w:r w:rsidRPr="00A32AF4">
              <w:rPr>
                <w:rFonts w:cs="Arial"/>
                <w:sz w:val="16"/>
                <w:szCs w:val="16"/>
              </w:rPr>
              <w:t>du personnel victimes</w:t>
            </w:r>
            <w:proofErr w:type="gramEnd"/>
            <w:r w:rsidRPr="00A32AF4">
              <w:rPr>
                <w:rFonts w:cs="Arial"/>
                <w:sz w:val="16"/>
                <w:szCs w:val="16"/>
              </w:rPr>
              <w:t xml:space="preserve"> de campagnes </w:t>
            </w:r>
            <w:r w:rsidR="006D5B84" w:rsidRPr="00A32AF4">
              <w:rPr>
                <w:rFonts w:cs="Arial"/>
                <w:sz w:val="16"/>
                <w:szCs w:val="16"/>
              </w:rPr>
              <w:t>d’</w:t>
            </w:r>
            <w:r w:rsidRPr="00A32AF4">
              <w:rPr>
                <w:rFonts w:cs="Arial"/>
                <w:sz w:val="16"/>
                <w:szCs w:val="16"/>
              </w:rPr>
              <w:t>hameçonnage.</w:t>
            </w:r>
          </w:p>
        </w:tc>
      </w:tr>
      <w:tr w:rsidR="00A46C92" w:rsidRPr="00A32AF4" w:rsidTr="000B5CFC">
        <w:trPr>
          <w:cantSplit/>
        </w:trPr>
        <w:tc>
          <w:tcPr>
            <w:tcW w:w="2060" w:type="dxa"/>
            <w:vMerge w:val="restart"/>
            <w:shd w:val="clear" w:color="000000" w:fill="FFFFFF"/>
            <w:tcMar>
              <w:top w:w="113" w:type="dxa"/>
              <w:bottom w:w="113" w:type="dxa"/>
            </w:tcMar>
            <w:hideMark/>
          </w:tcPr>
          <w:p w:rsidR="00A46C92" w:rsidRPr="00A32AF4" w:rsidRDefault="00A46C92" w:rsidP="00DC0553">
            <w:pPr>
              <w:rPr>
                <w:rFonts w:cs="Arial"/>
                <w:sz w:val="16"/>
                <w:szCs w:val="16"/>
              </w:rPr>
            </w:pPr>
            <w:r w:rsidRPr="00A32AF4">
              <w:rPr>
                <w:rFonts w:cs="Arial"/>
                <w:sz w:val="16"/>
                <w:szCs w:val="16"/>
              </w:rPr>
              <w:t>IX.4 Une Organisation écologiquement et socialement responsable assurant la sûreté et la sécurité du personnel, des délégués, des visiteurs, de l</w:t>
            </w:r>
            <w:r w:rsidR="00E2055A" w:rsidRPr="00A32AF4">
              <w:rPr>
                <w:rFonts w:cs="Arial"/>
                <w:sz w:val="16"/>
                <w:szCs w:val="16"/>
              </w:rPr>
              <w:t>’</w:t>
            </w:r>
            <w:r w:rsidRPr="00A32AF4">
              <w:rPr>
                <w:rFonts w:cs="Arial"/>
                <w:sz w:val="16"/>
                <w:szCs w:val="16"/>
              </w:rPr>
              <w:t>information et des biens</w:t>
            </w:r>
          </w:p>
        </w:tc>
        <w:tc>
          <w:tcPr>
            <w:tcW w:w="2520" w:type="dxa"/>
            <w:shd w:val="clear" w:color="000000" w:fill="FFFFFF"/>
            <w:tcMar>
              <w:top w:w="113" w:type="dxa"/>
              <w:bottom w:w="113" w:type="dxa"/>
            </w:tcMar>
            <w:hideMark/>
          </w:tcPr>
          <w:p w:rsidR="00A46C92" w:rsidRPr="00A32AF4" w:rsidRDefault="00A46C92" w:rsidP="00DC0553">
            <w:pPr>
              <w:rPr>
                <w:rFonts w:cs="Arial"/>
                <w:sz w:val="16"/>
                <w:szCs w:val="16"/>
              </w:rPr>
            </w:pPr>
            <w:r w:rsidRPr="00A32AF4">
              <w:rPr>
                <w:rFonts w:cs="Arial"/>
                <w:sz w:val="16"/>
                <w:szCs w:val="16"/>
              </w:rPr>
              <w:t>Pourcentage de risques pour l</w:t>
            </w:r>
            <w:r w:rsidR="00E2055A" w:rsidRPr="00A32AF4">
              <w:rPr>
                <w:rFonts w:cs="Arial"/>
                <w:sz w:val="16"/>
                <w:szCs w:val="16"/>
              </w:rPr>
              <w:t>’</w:t>
            </w:r>
            <w:r w:rsidRPr="00A32AF4">
              <w:rPr>
                <w:rFonts w:cs="Arial"/>
                <w:sz w:val="16"/>
                <w:szCs w:val="16"/>
              </w:rPr>
              <w:t xml:space="preserve">information, </w:t>
            </w:r>
            <w:r w:rsidR="00E2055A" w:rsidRPr="00A32AF4">
              <w:rPr>
                <w:rFonts w:cs="Arial"/>
                <w:sz w:val="16"/>
                <w:szCs w:val="16"/>
              </w:rPr>
              <w:t>y compris</w:t>
            </w:r>
            <w:r w:rsidRPr="00A32AF4">
              <w:rPr>
                <w:rFonts w:cs="Arial"/>
                <w:sz w:val="16"/>
                <w:szCs w:val="16"/>
              </w:rPr>
              <w:t xml:space="preserve"> les risques tiers, détectés et gérés conformément aux seuils de tolérance définis par l</w:t>
            </w:r>
            <w:r w:rsidR="00E2055A" w:rsidRPr="00A32AF4">
              <w:rPr>
                <w:rFonts w:cs="Arial"/>
                <w:sz w:val="16"/>
                <w:szCs w:val="16"/>
              </w:rPr>
              <w:t>’</w:t>
            </w:r>
            <w:r w:rsidRPr="00A32AF4">
              <w:rPr>
                <w:rFonts w:cs="Arial"/>
                <w:sz w:val="16"/>
                <w:szCs w:val="16"/>
              </w:rPr>
              <w:t xml:space="preserve">OMPI.  </w:t>
            </w:r>
          </w:p>
        </w:tc>
        <w:tc>
          <w:tcPr>
            <w:tcW w:w="2280" w:type="dxa"/>
            <w:shd w:val="clear" w:color="000000" w:fill="FFFFFF"/>
            <w:tcMar>
              <w:top w:w="113" w:type="dxa"/>
              <w:bottom w:w="113" w:type="dxa"/>
            </w:tcMar>
            <w:hideMark/>
          </w:tcPr>
          <w:p w:rsidR="00A46C92" w:rsidRPr="00A32AF4" w:rsidRDefault="00A46C92" w:rsidP="00DC0553">
            <w:pPr>
              <w:rPr>
                <w:rFonts w:cs="Arial"/>
                <w:sz w:val="16"/>
                <w:szCs w:val="16"/>
              </w:rPr>
            </w:pPr>
            <w:r w:rsidRPr="00A32AF4">
              <w:rPr>
                <w:rFonts w:cs="Arial"/>
                <w:sz w:val="16"/>
                <w:szCs w:val="16"/>
              </w:rPr>
              <w:t xml:space="preserve">Information sur les risques communiquée au cas par cas.  </w:t>
            </w:r>
            <w:r w:rsidRPr="00A32AF4">
              <w:rPr>
                <w:rFonts w:cs="Arial"/>
                <w:sz w:val="16"/>
                <w:szCs w:val="16"/>
              </w:rPr>
              <w:br/>
              <w:t>Risques tiers recensés et traités de manière non systématique.</w:t>
            </w:r>
          </w:p>
        </w:tc>
        <w:tc>
          <w:tcPr>
            <w:tcW w:w="2260" w:type="dxa"/>
            <w:shd w:val="clear" w:color="000000" w:fill="FFFFFF"/>
            <w:tcMar>
              <w:top w:w="113" w:type="dxa"/>
              <w:bottom w:w="113" w:type="dxa"/>
            </w:tcMar>
            <w:hideMark/>
          </w:tcPr>
          <w:p w:rsidR="00A46C92" w:rsidRPr="00A32AF4" w:rsidRDefault="00A46C92" w:rsidP="00DC0553">
            <w:pPr>
              <w:rPr>
                <w:rFonts w:cs="Arial"/>
                <w:sz w:val="16"/>
                <w:szCs w:val="16"/>
              </w:rPr>
            </w:pPr>
            <w:r w:rsidRPr="00A32AF4">
              <w:rPr>
                <w:rFonts w:cs="Arial"/>
                <w:sz w:val="16"/>
                <w:szCs w:val="16"/>
              </w:rPr>
              <w:t>Rapports trimestriels sur les risques informatiques communiqués aux organes internes de gouvernance de la sécurité de l</w:t>
            </w:r>
            <w:r w:rsidR="00E2055A" w:rsidRPr="00A32AF4">
              <w:rPr>
                <w:rFonts w:cs="Arial"/>
                <w:sz w:val="16"/>
                <w:szCs w:val="16"/>
              </w:rPr>
              <w:t>’</w:t>
            </w:r>
            <w:r w:rsidRPr="00A32AF4">
              <w:rPr>
                <w:rFonts w:cs="Arial"/>
                <w:sz w:val="16"/>
                <w:szCs w:val="16"/>
              </w:rPr>
              <w:t>information</w:t>
            </w:r>
            <w:r w:rsidRPr="00A32AF4">
              <w:rPr>
                <w:rFonts w:cs="Arial"/>
                <w:sz w:val="16"/>
                <w:szCs w:val="16"/>
              </w:rPr>
              <w:br/>
              <w:t>Gestion active des risques tiers (&lt;10%).</w:t>
            </w:r>
          </w:p>
        </w:tc>
      </w:tr>
      <w:tr w:rsidR="00A46C92" w:rsidRPr="00A32AF4" w:rsidTr="000B5CFC">
        <w:trPr>
          <w:cantSplit/>
        </w:trPr>
        <w:tc>
          <w:tcPr>
            <w:tcW w:w="2060" w:type="dxa"/>
            <w:vMerge/>
            <w:tcMar>
              <w:top w:w="113" w:type="dxa"/>
              <w:bottom w:w="113" w:type="dxa"/>
            </w:tcMar>
            <w:vAlign w:val="center"/>
            <w:hideMark/>
          </w:tcPr>
          <w:p w:rsidR="00A46C92" w:rsidRPr="00A32AF4" w:rsidRDefault="00A46C92" w:rsidP="00DC0553">
            <w:pPr>
              <w:rPr>
                <w:rFonts w:cs="Arial"/>
                <w:sz w:val="16"/>
                <w:szCs w:val="16"/>
              </w:rPr>
            </w:pPr>
          </w:p>
        </w:tc>
        <w:tc>
          <w:tcPr>
            <w:tcW w:w="2520" w:type="dxa"/>
            <w:shd w:val="clear" w:color="000000" w:fill="FFFFFF"/>
            <w:tcMar>
              <w:top w:w="113" w:type="dxa"/>
              <w:bottom w:w="113" w:type="dxa"/>
            </w:tcMar>
            <w:hideMark/>
          </w:tcPr>
          <w:p w:rsidR="00A46C92" w:rsidRPr="00A32AF4" w:rsidRDefault="00A46C92" w:rsidP="00DC0553">
            <w:pPr>
              <w:rPr>
                <w:rFonts w:cs="Arial"/>
                <w:sz w:val="16"/>
                <w:szCs w:val="16"/>
              </w:rPr>
            </w:pPr>
            <w:r w:rsidRPr="00A32AF4">
              <w:rPr>
                <w:rFonts w:cs="Arial"/>
                <w:sz w:val="16"/>
                <w:szCs w:val="16"/>
              </w:rPr>
              <w:t xml:space="preserve">Détection anticipée et résolution rapide des failles de sécurité conformément au niveau de service défini.  </w:t>
            </w:r>
            <w:r w:rsidRPr="00A32AF4">
              <w:rPr>
                <w:rFonts w:cs="Arial"/>
                <w:sz w:val="16"/>
                <w:szCs w:val="16"/>
              </w:rPr>
              <w:br/>
            </w:r>
            <w:r w:rsidRPr="00A32AF4">
              <w:rPr>
                <w:rFonts w:cs="Arial"/>
                <w:sz w:val="16"/>
                <w:szCs w:val="16"/>
              </w:rPr>
              <w:br/>
              <w:t>Respect accru des politiques et normes en matière de sécurité de l</w:t>
            </w:r>
            <w:r w:rsidR="00E2055A" w:rsidRPr="00A32AF4">
              <w:rPr>
                <w:rFonts w:cs="Arial"/>
                <w:sz w:val="16"/>
                <w:szCs w:val="16"/>
              </w:rPr>
              <w:t>’</w:t>
            </w:r>
            <w:r w:rsidRPr="00A32AF4">
              <w:rPr>
                <w:rFonts w:cs="Arial"/>
                <w:sz w:val="16"/>
                <w:szCs w:val="16"/>
              </w:rPr>
              <w:t xml:space="preserve">information.  </w:t>
            </w:r>
          </w:p>
        </w:tc>
        <w:tc>
          <w:tcPr>
            <w:tcW w:w="2280" w:type="dxa"/>
            <w:shd w:val="clear" w:color="000000" w:fill="FFFFFF"/>
            <w:tcMar>
              <w:top w:w="113" w:type="dxa"/>
              <w:bottom w:w="113" w:type="dxa"/>
            </w:tcMar>
            <w:hideMark/>
          </w:tcPr>
          <w:p w:rsidR="00A46C92" w:rsidRPr="00A32AF4" w:rsidRDefault="00A46C92" w:rsidP="00DC0553">
            <w:pPr>
              <w:rPr>
                <w:rFonts w:cs="Arial"/>
                <w:sz w:val="16"/>
                <w:szCs w:val="16"/>
              </w:rPr>
            </w:pPr>
            <w:r w:rsidRPr="00A32AF4">
              <w:rPr>
                <w:rFonts w:cs="Arial"/>
                <w:sz w:val="16"/>
                <w:szCs w:val="16"/>
              </w:rPr>
              <w:t>Détection et solution limitées des failles en matière de sécurité de l</w:t>
            </w:r>
            <w:r w:rsidR="00E2055A" w:rsidRPr="00A32AF4">
              <w:rPr>
                <w:rFonts w:cs="Arial"/>
                <w:sz w:val="16"/>
                <w:szCs w:val="16"/>
              </w:rPr>
              <w:t>’</w:t>
            </w:r>
            <w:r w:rsidRPr="00A32AF4">
              <w:rPr>
                <w:rFonts w:cs="Arial"/>
                <w:sz w:val="16"/>
                <w:szCs w:val="16"/>
              </w:rPr>
              <w:t>information.</w:t>
            </w:r>
            <w:r w:rsidRPr="00A32AF4">
              <w:rPr>
                <w:rFonts w:cs="Arial"/>
                <w:sz w:val="16"/>
                <w:szCs w:val="16"/>
              </w:rPr>
              <w:br/>
            </w:r>
            <w:r w:rsidRPr="00A32AF4">
              <w:rPr>
                <w:rFonts w:cs="Arial"/>
                <w:sz w:val="16"/>
                <w:szCs w:val="16"/>
              </w:rPr>
              <w:br/>
            </w:r>
            <w:r w:rsidRPr="00A32AF4">
              <w:rPr>
                <w:rFonts w:cs="Arial"/>
                <w:sz w:val="16"/>
                <w:szCs w:val="16"/>
              </w:rPr>
              <w:br/>
              <w:t>Conformité et certification à la norme</w:t>
            </w:r>
            <w:r w:rsidR="00FD43E3" w:rsidRPr="00A32AF4">
              <w:rPr>
                <w:rFonts w:cs="Arial"/>
                <w:sz w:val="16"/>
                <w:szCs w:val="16"/>
              </w:rPr>
              <w:t> </w:t>
            </w:r>
            <w:r w:rsidRPr="00A32AF4">
              <w:rPr>
                <w:rFonts w:cs="Arial"/>
                <w:sz w:val="16"/>
                <w:szCs w:val="16"/>
              </w:rPr>
              <w:t xml:space="preserve">ISO 27001 limitées aux demandes PCT.  </w:t>
            </w:r>
          </w:p>
        </w:tc>
        <w:tc>
          <w:tcPr>
            <w:tcW w:w="2260" w:type="dxa"/>
            <w:shd w:val="clear" w:color="000000" w:fill="FFFFFF"/>
            <w:tcMar>
              <w:top w:w="113" w:type="dxa"/>
              <w:bottom w:w="113" w:type="dxa"/>
            </w:tcMar>
            <w:hideMark/>
          </w:tcPr>
          <w:p w:rsidR="00A46C92" w:rsidRPr="00A32AF4" w:rsidRDefault="00A46C92" w:rsidP="00DC0553">
            <w:pPr>
              <w:rPr>
                <w:rFonts w:cs="Arial"/>
                <w:sz w:val="16"/>
                <w:szCs w:val="16"/>
              </w:rPr>
            </w:pPr>
            <w:r w:rsidRPr="00A32AF4">
              <w:rPr>
                <w:rFonts w:cs="Arial"/>
                <w:sz w:val="16"/>
                <w:szCs w:val="16"/>
              </w:rPr>
              <w:t>Failles en matière de sécurité de l</w:t>
            </w:r>
            <w:r w:rsidR="00E2055A" w:rsidRPr="00A32AF4">
              <w:rPr>
                <w:rFonts w:cs="Arial"/>
                <w:sz w:val="16"/>
                <w:szCs w:val="16"/>
              </w:rPr>
              <w:t>’</w:t>
            </w:r>
            <w:r w:rsidRPr="00A32AF4">
              <w:rPr>
                <w:rFonts w:cs="Arial"/>
                <w:sz w:val="16"/>
                <w:szCs w:val="16"/>
              </w:rPr>
              <w:t>information détectées et comblées pour 90% des données sensibles.</w:t>
            </w:r>
            <w:r w:rsidRPr="00A32AF4">
              <w:rPr>
                <w:rFonts w:cs="Arial"/>
                <w:sz w:val="16"/>
                <w:szCs w:val="16"/>
              </w:rPr>
              <w:br/>
            </w:r>
            <w:r w:rsidRPr="00A32AF4">
              <w:rPr>
                <w:rFonts w:cs="Arial"/>
                <w:sz w:val="16"/>
                <w:szCs w:val="16"/>
              </w:rPr>
              <w:br/>
              <w:t xml:space="preserve">Conformité et certification à la norme ISO 27001 étendues aux demandes pour </w:t>
            </w:r>
            <w:r w:rsidR="00E2055A" w:rsidRPr="00A32AF4">
              <w:rPr>
                <w:rFonts w:cs="Arial"/>
                <w:sz w:val="16"/>
                <w:szCs w:val="16"/>
              </w:rPr>
              <w:t>La Haye</w:t>
            </w:r>
            <w:r w:rsidRPr="00A32AF4">
              <w:rPr>
                <w:rFonts w:cs="Arial"/>
                <w:sz w:val="16"/>
                <w:szCs w:val="16"/>
              </w:rPr>
              <w:t>, Madrid et les ressources humaines.</w:t>
            </w:r>
          </w:p>
        </w:tc>
      </w:tr>
      <w:tr w:rsidR="00A46C92" w:rsidRPr="00A32AF4" w:rsidTr="000B5CFC">
        <w:trPr>
          <w:cantSplit/>
        </w:trPr>
        <w:tc>
          <w:tcPr>
            <w:tcW w:w="2060" w:type="dxa"/>
            <w:vMerge/>
            <w:tcMar>
              <w:top w:w="113" w:type="dxa"/>
              <w:bottom w:w="113" w:type="dxa"/>
            </w:tcMar>
            <w:vAlign w:val="center"/>
            <w:hideMark/>
          </w:tcPr>
          <w:p w:rsidR="00A46C92" w:rsidRPr="00A32AF4" w:rsidRDefault="00A46C92" w:rsidP="00DC0553">
            <w:pPr>
              <w:rPr>
                <w:rFonts w:cs="Arial"/>
                <w:sz w:val="16"/>
                <w:szCs w:val="16"/>
              </w:rPr>
            </w:pPr>
          </w:p>
        </w:tc>
        <w:tc>
          <w:tcPr>
            <w:tcW w:w="2520" w:type="dxa"/>
            <w:shd w:val="clear" w:color="000000" w:fill="FFFFFF"/>
            <w:tcMar>
              <w:top w:w="113" w:type="dxa"/>
              <w:bottom w:w="113" w:type="dxa"/>
            </w:tcMar>
            <w:hideMark/>
          </w:tcPr>
          <w:p w:rsidR="00A46C92" w:rsidRPr="00A32AF4" w:rsidRDefault="00A46C92" w:rsidP="00DC0553">
            <w:pPr>
              <w:rPr>
                <w:rFonts w:cs="Arial"/>
                <w:sz w:val="16"/>
                <w:szCs w:val="16"/>
              </w:rPr>
            </w:pPr>
            <w:r w:rsidRPr="00A32AF4">
              <w:rPr>
                <w:rFonts w:cs="Arial"/>
                <w:sz w:val="16"/>
                <w:szCs w:val="16"/>
              </w:rPr>
              <w:t>Politique de classification et de diffusion de l</w:t>
            </w:r>
            <w:r w:rsidR="00E2055A" w:rsidRPr="00A32AF4">
              <w:rPr>
                <w:rFonts w:cs="Arial"/>
                <w:sz w:val="16"/>
                <w:szCs w:val="16"/>
              </w:rPr>
              <w:t>’</w:t>
            </w:r>
            <w:r w:rsidRPr="00A32AF4">
              <w:rPr>
                <w:rFonts w:cs="Arial"/>
                <w:sz w:val="16"/>
                <w:szCs w:val="16"/>
              </w:rPr>
              <w:t>information largement adoptée afin d</w:t>
            </w:r>
            <w:r w:rsidR="00E2055A" w:rsidRPr="00A32AF4">
              <w:rPr>
                <w:rFonts w:cs="Arial"/>
                <w:sz w:val="16"/>
                <w:szCs w:val="16"/>
              </w:rPr>
              <w:t>’</w:t>
            </w:r>
            <w:r w:rsidRPr="00A32AF4">
              <w:rPr>
                <w:rFonts w:cs="Arial"/>
                <w:sz w:val="16"/>
                <w:szCs w:val="16"/>
              </w:rPr>
              <w:t>assurer la confidentialité de l</w:t>
            </w:r>
            <w:r w:rsidR="00E2055A" w:rsidRPr="00A32AF4">
              <w:rPr>
                <w:rFonts w:cs="Arial"/>
                <w:sz w:val="16"/>
                <w:szCs w:val="16"/>
              </w:rPr>
              <w:t>’</w:t>
            </w:r>
            <w:r w:rsidRPr="00A32AF4">
              <w:rPr>
                <w:rFonts w:cs="Arial"/>
                <w:sz w:val="16"/>
                <w:szCs w:val="16"/>
              </w:rPr>
              <w:t>information.</w:t>
            </w:r>
            <w:r w:rsidRPr="00A32AF4">
              <w:rPr>
                <w:rFonts w:cs="Arial"/>
                <w:sz w:val="16"/>
                <w:szCs w:val="16"/>
              </w:rPr>
              <w:br/>
            </w:r>
            <w:r w:rsidRPr="00A32AF4">
              <w:rPr>
                <w:rFonts w:cs="Arial"/>
                <w:sz w:val="16"/>
                <w:szCs w:val="16"/>
              </w:rPr>
              <w:br/>
              <w:t>Rédu</w:t>
            </w:r>
            <w:r w:rsidR="003E7546" w:rsidRPr="00A32AF4">
              <w:rPr>
                <w:rFonts w:cs="Arial"/>
                <w:sz w:val="16"/>
                <w:szCs w:val="16"/>
              </w:rPr>
              <w:t>ction des chevauchements dans les</w:t>
            </w:r>
            <w:r w:rsidRPr="00A32AF4">
              <w:rPr>
                <w:rFonts w:cs="Arial"/>
                <w:sz w:val="16"/>
                <w:szCs w:val="16"/>
              </w:rPr>
              <w:t xml:space="preserve"> capacités techniques en matière de sécurité de l</w:t>
            </w:r>
            <w:r w:rsidR="00E2055A" w:rsidRPr="00A32AF4">
              <w:rPr>
                <w:rFonts w:cs="Arial"/>
                <w:sz w:val="16"/>
                <w:szCs w:val="16"/>
              </w:rPr>
              <w:t>’</w:t>
            </w:r>
            <w:r w:rsidRPr="00A32AF4">
              <w:rPr>
                <w:rFonts w:cs="Arial"/>
                <w:sz w:val="16"/>
                <w:szCs w:val="16"/>
              </w:rPr>
              <w:t>information grâce à des structures d</w:t>
            </w:r>
            <w:r w:rsidR="00E2055A" w:rsidRPr="00A32AF4">
              <w:rPr>
                <w:rFonts w:cs="Arial"/>
                <w:sz w:val="16"/>
                <w:szCs w:val="16"/>
              </w:rPr>
              <w:t>’</w:t>
            </w:r>
            <w:r w:rsidRPr="00A32AF4">
              <w:rPr>
                <w:rFonts w:cs="Arial"/>
                <w:sz w:val="16"/>
                <w:szCs w:val="16"/>
              </w:rPr>
              <w:t xml:space="preserve">architecture réutilisables.  </w:t>
            </w:r>
          </w:p>
        </w:tc>
        <w:tc>
          <w:tcPr>
            <w:tcW w:w="2280" w:type="dxa"/>
            <w:shd w:val="clear" w:color="000000" w:fill="FFFFFF"/>
            <w:tcMar>
              <w:top w:w="113" w:type="dxa"/>
              <w:bottom w:w="113" w:type="dxa"/>
            </w:tcMar>
            <w:hideMark/>
          </w:tcPr>
          <w:p w:rsidR="00A46C92" w:rsidRPr="00A32AF4" w:rsidRDefault="00A46C92" w:rsidP="00DC0553">
            <w:pPr>
              <w:rPr>
                <w:rFonts w:cs="Arial"/>
                <w:sz w:val="16"/>
                <w:szCs w:val="16"/>
              </w:rPr>
            </w:pPr>
            <w:r w:rsidRPr="00A32AF4">
              <w:rPr>
                <w:rFonts w:cs="Arial"/>
                <w:sz w:val="16"/>
                <w:szCs w:val="16"/>
              </w:rPr>
              <w:t>Adoption limitée de la politique de classification et de diffusion de l</w:t>
            </w:r>
            <w:r w:rsidR="00E2055A" w:rsidRPr="00A32AF4">
              <w:rPr>
                <w:rFonts w:cs="Arial"/>
                <w:sz w:val="16"/>
                <w:szCs w:val="16"/>
              </w:rPr>
              <w:t>’</w:t>
            </w:r>
            <w:r w:rsidRPr="00A32AF4">
              <w:rPr>
                <w:rFonts w:cs="Arial"/>
                <w:sz w:val="16"/>
                <w:szCs w:val="16"/>
              </w:rPr>
              <w:t xml:space="preserve">information.  </w:t>
            </w:r>
            <w:r w:rsidRPr="00A32AF4">
              <w:rPr>
                <w:rFonts w:cs="Arial"/>
                <w:sz w:val="16"/>
                <w:szCs w:val="16"/>
              </w:rPr>
              <w:br/>
            </w:r>
            <w:r w:rsidRPr="00A32AF4">
              <w:rPr>
                <w:rFonts w:cs="Arial"/>
                <w:sz w:val="16"/>
                <w:szCs w:val="16"/>
              </w:rPr>
              <w:br/>
            </w:r>
            <w:r w:rsidRPr="00A32AF4">
              <w:rPr>
                <w:rFonts w:cs="Arial"/>
                <w:sz w:val="16"/>
                <w:szCs w:val="16"/>
              </w:rPr>
              <w:br/>
            </w:r>
            <w:r w:rsidRPr="00A32AF4">
              <w:rPr>
                <w:rFonts w:cs="Arial"/>
                <w:sz w:val="16"/>
                <w:szCs w:val="16"/>
              </w:rPr>
              <w:br/>
              <w:t>Déploiement disparate des capacités réduisant les possibilités de réutilisation et la souplesse d</w:t>
            </w:r>
            <w:r w:rsidR="00E2055A" w:rsidRPr="00A32AF4">
              <w:rPr>
                <w:rFonts w:cs="Arial"/>
                <w:sz w:val="16"/>
                <w:szCs w:val="16"/>
              </w:rPr>
              <w:t>’</w:t>
            </w:r>
            <w:r w:rsidRPr="00A32AF4">
              <w:rPr>
                <w:rFonts w:cs="Arial"/>
                <w:sz w:val="16"/>
                <w:szCs w:val="16"/>
              </w:rPr>
              <w:t xml:space="preserve">utilisation.  </w:t>
            </w:r>
          </w:p>
        </w:tc>
        <w:tc>
          <w:tcPr>
            <w:tcW w:w="2260" w:type="dxa"/>
            <w:shd w:val="clear" w:color="000000" w:fill="FFFFFF"/>
            <w:tcMar>
              <w:top w:w="113" w:type="dxa"/>
              <w:bottom w:w="113" w:type="dxa"/>
            </w:tcMar>
            <w:hideMark/>
          </w:tcPr>
          <w:p w:rsidR="00A46C92" w:rsidRPr="00A32AF4" w:rsidRDefault="00A46C92" w:rsidP="00DC0553">
            <w:pPr>
              <w:rPr>
                <w:rFonts w:cs="Arial"/>
                <w:sz w:val="16"/>
                <w:szCs w:val="16"/>
              </w:rPr>
            </w:pPr>
            <w:r w:rsidRPr="00A32AF4">
              <w:rPr>
                <w:rFonts w:cs="Arial"/>
                <w:sz w:val="16"/>
                <w:szCs w:val="16"/>
              </w:rPr>
              <w:t>Augmentation de 40% de l</w:t>
            </w:r>
            <w:r w:rsidR="00E2055A" w:rsidRPr="00A32AF4">
              <w:rPr>
                <w:rFonts w:cs="Arial"/>
                <w:sz w:val="16"/>
                <w:szCs w:val="16"/>
              </w:rPr>
              <w:t>’</w:t>
            </w:r>
            <w:r w:rsidRPr="00A32AF4">
              <w:rPr>
                <w:rFonts w:cs="Arial"/>
                <w:sz w:val="16"/>
                <w:szCs w:val="16"/>
              </w:rPr>
              <w:t>adoption de la politique de classification et d</w:t>
            </w:r>
            <w:r w:rsidR="00E2055A" w:rsidRPr="00A32AF4">
              <w:rPr>
                <w:rFonts w:cs="Arial"/>
                <w:sz w:val="16"/>
                <w:szCs w:val="16"/>
              </w:rPr>
              <w:t>’</w:t>
            </w:r>
            <w:r w:rsidRPr="00A32AF4">
              <w:rPr>
                <w:rFonts w:cs="Arial"/>
                <w:sz w:val="16"/>
                <w:szCs w:val="16"/>
              </w:rPr>
              <w:t>utilisation de l</w:t>
            </w:r>
            <w:r w:rsidR="00E2055A" w:rsidRPr="00A32AF4">
              <w:rPr>
                <w:rFonts w:cs="Arial"/>
                <w:sz w:val="16"/>
                <w:szCs w:val="16"/>
              </w:rPr>
              <w:t>’</w:t>
            </w:r>
            <w:r w:rsidRPr="00A32AF4">
              <w:rPr>
                <w:rFonts w:cs="Arial"/>
                <w:sz w:val="16"/>
                <w:szCs w:val="16"/>
              </w:rPr>
              <w:t xml:space="preserve">information.  </w:t>
            </w:r>
            <w:r w:rsidRPr="00A32AF4">
              <w:rPr>
                <w:rFonts w:cs="Arial"/>
                <w:sz w:val="16"/>
                <w:szCs w:val="16"/>
              </w:rPr>
              <w:br/>
            </w:r>
            <w:r w:rsidRPr="00A32AF4">
              <w:rPr>
                <w:rFonts w:cs="Arial"/>
                <w:sz w:val="16"/>
                <w:szCs w:val="16"/>
              </w:rPr>
              <w:br/>
            </w:r>
            <w:r w:rsidRPr="00A32AF4">
              <w:rPr>
                <w:rFonts w:cs="Arial"/>
                <w:sz w:val="16"/>
                <w:szCs w:val="16"/>
              </w:rPr>
              <w:br/>
              <w:t>Adoption d</w:t>
            </w:r>
            <w:r w:rsidR="00E2055A" w:rsidRPr="00A32AF4">
              <w:rPr>
                <w:rFonts w:cs="Arial"/>
                <w:sz w:val="16"/>
                <w:szCs w:val="16"/>
              </w:rPr>
              <w:t>’</w:t>
            </w:r>
            <w:r w:rsidRPr="00A32AF4">
              <w:rPr>
                <w:rFonts w:cs="Arial"/>
                <w:sz w:val="16"/>
                <w:szCs w:val="16"/>
              </w:rPr>
              <w:t>une architecture permettant d</w:t>
            </w:r>
            <w:r w:rsidR="00E2055A" w:rsidRPr="00A32AF4">
              <w:rPr>
                <w:rFonts w:cs="Arial"/>
                <w:sz w:val="16"/>
                <w:szCs w:val="16"/>
              </w:rPr>
              <w:t>’</w:t>
            </w:r>
            <w:r w:rsidRPr="00A32AF4">
              <w:rPr>
                <w:rFonts w:cs="Arial"/>
                <w:sz w:val="16"/>
                <w:szCs w:val="16"/>
              </w:rPr>
              <w:t>accroître le taux de réutilisation et d</w:t>
            </w:r>
            <w:r w:rsidR="00E2055A" w:rsidRPr="00A32AF4">
              <w:rPr>
                <w:rFonts w:cs="Arial"/>
                <w:sz w:val="16"/>
                <w:szCs w:val="16"/>
              </w:rPr>
              <w:t>’</w:t>
            </w:r>
            <w:r w:rsidRPr="00A32AF4">
              <w:rPr>
                <w:rFonts w:cs="Arial"/>
                <w:sz w:val="16"/>
                <w:szCs w:val="16"/>
              </w:rPr>
              <w:t xml:space="preserve">adaptation des capacités en matière de sécurité de 30%.  </w:t>
            </w:r>
          </w:p>
        </w:tc>
      </w:tr>
      <w:tr w:rsidR="00A46C92" w:rsidRPr="00A32AF4" w:rsidTr="000B5CFC">
        <w:trPr>
          <w:cantSplit/>
        </w:trPr>
        <w:tc>
          <w:tcPr>
            <w:tcW w:w="2060" w:type="dxa"/>
            <w:vMerge/>
            <w:tcMar>
              <w:top w:w="113" w:type="dxa"/>
              <w:bottom w:w="113" w:type="dxa"/>
            </w:tcMar>
            <w:vAlign w:val="center"/>
            <w:hideMark/>
          </w:tcPr>
          <w:p w:rsidR="00A46C92" w:rsidRPr="00A32AF4" w:rsidRDefault="00A46C92" w:rsidP="00DC0553">
            <w:pPr>
              <w:rPr>
                <w:rFonts w:cs="Arial"/>
                <w:sz w:val="16"/>
                <w:szCs w:val="16"/>
              </w:rPr>
            </w:pPr>
          </w:p>
        </w:tc>
        <w:tc>
          <w:tcPr>
            <w:tcW w:w="2520" w:type="dxa"/>
            <w:shd w:val="clear" w:color="000000" w:fill="FFFFFF"/>
            <w:tcMar>
              <w:top w:w="113" w:type="dxa"/>
              <w:bottom w:w="113" w:type="dxa"/>
            </w:tcMar>
            <w:hideMark/>
          </w:tcPr>
          <w:p w:rsidR="00A46C92" w:rsidRPr="00A32AF4" w:rsidRDefault="00A46C92" w:rsidP="00DC0553">
            <w:pPr>
              <w:rPr>
                <w:rFonts w:cs="Arial"/>
                <w:sz w:val="16"/>
                <w:szCs w:val="16"/>
              </w:rPr>
            </w:pPr>
            <w:r w:rsidRPr="00A32AF4">
              <w:rPr>
                <w:rFonts w:cs="Arial"/>
                <w:sz w:val="16"/>
                <w:szCs w:val="16"/>
              </w:rPr>
              <w:t>Capacité accrue de détection des menaces informatiques et de réaction rapide à ces menaces, garantissant une interruption minimale des opérations.</w:t>
            </w:r>
          </w:p>
        </w:tc>
        <w:tc>
          <w:tcPr>
            <w:tcW w:w="2280" w:type="dxa"/>
            <w:shd w:val="clear" w:color="000000" w:fill="FFFFFF"/>
            <w:tcMar>
              <w:top w:w="113" w:type="dxa"/>
              <w:bottom w:w="113" w:type="dxa"/>
            </w:tcMar>
            <w:hideMark/>
          </w:tcPr>
          <w:p w:rsidR="00A46C92" w:rsidRPr="00A32AF4" w:rsidRDefault="00A46C92" w:rsidP="00DC0553">
            <w:pPr>
              <w:rPr>
                <w:rFonts w:cs="Arial"/>
                <w:sz w:val="16"/>
                <w:szCs w:val="16"/>
              </w:rPr>
            </w:pPr>
            <w:r w:rsidRPr="00A32AF4">
              <w:rPr>
                <w:rFonts w:cs="Arial"/>
                <w:sz w:val="16"/>
                <w:szCs w:val="16"/>
              </w:rPr>
              <w:t xml:space="preserve">Existence de capacités basiques en matière de sécurité, de veille contre la </w:t>
            </w:r>
            <w:r w:rsidR="00087DDF" w:rsidRPr="00A32AF4">
              <w:rPr>
                <w:rFonts w:cs="Arial"/>
                <w:sz w:val="16"/>
                <w:szCs w:val="16"/>
              </w:rPr>
              <w:t>cybercriminalité</w:t>
            </w:r>
            <w:r w:rsidRPr="00A32AF4">
              <w:rPr>
                <w:rFonts w:cs="Arial"/>
                <w:sz w:val="16"/>
                <w:szCs w:val="16"/>
              </w:rPr>
              <w:t xml:space="preserve"> et de réaction aux incidents.</w:t>
            </w:r>
          </w:p>
        </w:tc>
        <w:tc>
          <w:tcPr>
            <w:tcW w:w="2260" w:type="dxa"/>
            <w:shd w:val="clear" w:color="000000" w:fill="FFFFFF"/>
            <w:tcMar>
              <w:top w:w="113" w:type="dxa"/>
              <w:bottom w:w="113" w:type="dxa"/>
            </w:tcMar>
            <w:hideMark/>
          </w:tcPr>
          <w:p w:rsidR="00A46C92" w:rsidRPr="00A32AF4" w:rsidRDefault="00A46C92" w:rsidP="00DC0553">
            <w:pPr>
              <w:rPr>
                <w:rFonts w:cs="Arial"/>
                <w:sz w:val="16"/>
                <w:szCs w:val="16"/>
              </w:rPr>
            </w:pPr>
            <w:r w:rsidRPr="00A32AF4">
              <w:rPr>
                <w:rFonts w:cs="Arial"/>
                <w:sz w:val="16"/>
                <w:szCs w:val="16"/>
              </w:rPr>
              <w:t>Création d</w:t>
            </w:r>
            <w:r w:rsidR="00E2055A" w:rsidRPr="00A32AF4">
              <w:rPr>
                <w:rFonts w:cs="Arial"/>
                <w:sz w:val="16"/>
                <w:szCs w:val="16"/>
              </w:rPr>
              <w:t>’</w:t>
            </w:r>
            <w:r w:rsidRPr="00A32AF4">
              <w:rPr>
                <w:rFonts w:cs="Arial"/>
                <w:sz w:val="16"/>
                <w:szCs w:val="16"/>
              </w:rPr>
              <w:t xml:space="preserve">un Centre opérationnel de </w:t>
            </w:r>
            <w:r w:rsidR="006D5B84" w:rsidRPr="00A32AF4">
              <w:rPr>
                <w:rFonts w:cs="Arial"/>
                <w:sz w:val="16"/>
                <w:szCs w:val="16"/>
              </w:rPr>
              <w:t>cybersécurité</w:t>
            </w:r>
            <w:r w:rsidRPr="00A32AF4">
              <w:rPr>
                <w:rFonts w:cs="Arial"/>
                <w:sz w:val="16"/>
                <w:szCs w:val="16"/>
              </w:rPr>
              <w:t xml:space="preserve"> améliorant de 30% les capacités de surveillance, de détection et de réaction en matière de sécurité informatique.</w:t>
            </w:r>
          </w:p>
        </w:tc>
      </w:tr>
      <w:tr w:rsidR="00A46C92" w:rsidRPr="00A32AF4" w:rsidTr="000B5CFC">
        <w:trPr>
          <w:cantSplit/>
        </w:trPr>
        <w:tc>
          <w:tcPr>
            <w:tcW w:w="2060" w:type="dxa"/>
            <w:vMerge/>
            <w:tcMar>
              <w:top w:w="113" w:type="dxa"/>
              <w:bottom w:w="113" w:type="dxa"/>
            </w:tcMar>
            <w:vAlign w:val="center"/>
            <w:hideMark/>
          </w:tcPr>
          <w:p w:rsidR="00A46C92" w:rsidRPr="00A32AF4" w:rsidRDefault="00A46C92" w:rsidP="00DC0553">
            <w:pPr>
              <w:rPr>
                <w:rFonts w:cs="Arial"/>
                <w:sz w:val="16"/>
                <w:szCs w:val="16"/>
              </w:rPr>
            </w:pPr>
          </w:p>
        </w:tc>
        <w:tc>
          <w:tcPr>
            <w:tcW w:w="2520" w:type="dxa"/>
            <w:shd w:val="clear" w:color="000000" w:fill="FFFFFF"/>
            <w:tcMar>
              <w:top w:w="113" w:type="dxa"/>
              <w:bottom w:w="113" w:type="dxa"/>
            </w:tcMar>
            <w:hideMark/>
          </w:tcPr>
          <w:p w:rsidR="00A46C92" w:rsidRPr="00A32AF4" w:rsidRDefault="00A46C92" w:rsidP="00DC0553">
            <w:pPr>
              <w:rPr>
                <w:rFonts w:cs="Arial"/>
                <w:sz w:val="16"/>
                <w:szCs w:val="16"/>
              </w:rPr>
            </w:pPr>
            <w:r w:rsidRPr="00A32AF4">
              <w:rPr>
                <w:rFonts w:cs="Arial"/>
                <w:sz w:val="16"/>
                <w:szCs w:val="16"/>
              </w:rPr>
              <w:t>Pourcentage de membres du personnel, de délégués et de visiteurs de l</w:t>
            </w:r>
            <w:r w:rsidR="00E2055A" w:rsidRPr="00A32AF4">
              <w:rPr>
                <w:rFonts w:cs="Arial"/>
                <w:sz w:val="16"/>
                <w:szCs w:val="16"/>
              </w:rPr>
              <w:t>’</w:t>
            </w:r>
            <w:r w:rsidRPr="00A32AF4">
              <w:rPr>
                <w:rFonts w:cs="Arial"/>
                <w:sz w:val="16"/>
                <w:szCs w:val="16"/>
              </w:rPr>
              <w:t>OMPI qui signalent une blessure ou un incident du travail.</w:t>
            </w:r>
          </w:p>
        </w:tc>
        <w:tc>
          <w:tcPr>
            <w:tcW w:w="2280" w:type="dxa"/>
            <w:shd w:val="clear" w:color="000000" w:fill="FFFFFF"/>
            <w:tcMar>
              <w:top w:w="113" w:type="dxa"/>
              <w:bottom w:w="113" w:type="dxa"/>
            </w:tcMar>
            <w:hideMark/>
          </w:tcPr>
          <w:p w:rsidR="00A46C92" w:rsidRPr="00A32AF4" w:rsidRDefault="00A46C92" w:rsidP="00DC0553">
            <w:pPr>
              <w:rPr>
                <w:rFonts w:cs="Arial"/>
                <w:sz w:val="16"/>
                <w:szCs w:val="16"/>
              </w:rPr>
            </w:pPr>
            <w:r w:rsidRPr="00A32AF4">
              <w:rPr>
                <w:rFonts w:cs="Arial"/>
                <w:sz w:val="16"/>
                <w:szCs w:val="16"/>
              </w:rPr>
              <w:t>2% ou moins du nombre total de parties prenantes/clients signalant une blessure ou un incident lié au travail.</w:t>
            </w:r>
          </w:p>
        </w:tc>
        <w:tc>
          <w:tcPr>
            <w:tcW w:w="2260" w:type="dxa"/>
            <w:shd w:val="clear" w:color="000000" w:fill="FFFFFF"/>
            <w:tcMar>
              <w:top w:w="113" w:type="dxa"/>
              <w:bottom w:w="113" w:type="dxa"/>
            </w:tcMar>
            <w:hideMark/>
          </w:tcPr>
          <w:p w:rsidR="00A46C92" w:rsidRPr="00A32AF4" w:rsidRDefault="00A46C92" w:rsidP="00DC0553">
            <w:pPr>
              <w:rPr>
                <w:rFonts w:cs="Arial"/>
                <w:sz w:val="16"/>
                <w:szCs w:val="16"/>
              </w:rPr>
            </w:pPr>
            <w:r w:rsidRPr="00A32AF4">
              <w:rPr>
                <w:rFonts w:cs="Arial"/>
                <w:sz w:val="16"/>
                <w:szCs w:val="16"/>
              </w:rPr>
              <w:t>2% ou moins</w:t>
            </w:r>
          </w:p>
        </w:tc>
      </w:tr>
      <w:tr w:rsidR="00A46C92" w:rsidRPr="00A32AF4" w:rsidTr="000B5CFC">
        <w:trPr>
          <w:cantSplit/>
        </w:trPr>
        <w:tc>
          <w:tcPr>
            <w:tcW w:w="2060" w:type="dxa"/>
            <w:vMerge/>
            <w:tcMar>
              <w:top w:w="113" w:type="dxa"/>
              <w:bottom w:w="113" w:type="dxa"/>
            </w:tcMar>
            <w:vAlign w:val="center"/>
            <w:hideMark/>
          </w:tcPr>
          <w:p w:rsidR="00A46C92" w:rsidRPr="00A32AF4" w:rsidRDefault="00A46C92" w:rsidP="00DC0553">
            <w:pPr>
              <w:rPr>
                <w:rFonts w:cs="Arial"/>
                <w:sz w:val="16"/>
                <w:szCs w:val="16"/>
              </w:rPr>
            </w:pPr>
          </w:p>
        </w:tc>
        <w:tc>
          <w:tcPr>
            <w:tcW w:w="2520" w:type="dxa"/>
            <w:shd w:val="clear" w:color="000000" w:fill="FFFFFF"/>
            <w:tcMar>
              <w:top w:w="113" w:type="dxa"/>
              <w:bottom w:w="113" w:type="dxa"/>
            </w:tcMar>
            <w:hideMark/>
          </w:tcPr>
          <w:p w:rsidR="00A46C92" w:rsidRPr="00A32AF4" w:rsidRDefault="00A46C92" w:rsidP="00DC0553">
            <w:pPr>
              <w:rPr>
                <w:rFonts w:cs="Arial"/>
                <w:sz w:val="16"/>
                <w:szCs w:val="16"/>
              </w:rPr>
            </w:pPr>
            <w:r w:rsidRPr="00A32AF4">
              <w:rPr>
                <w:rFonts w:cs="Arial"/>
                <w:sz w:val="16"/>
                <w:szCs w:val="16"/>
              </w:rPr>
              <w:t>Pourcentage de demandes d</w:t>
            </w:r>
            <w:r w:rsidR="00E2055A" w:rsidRPr="00A32AF4">
              <w:rPr>
                <w:rFonts w:cs="Arial"/>
                <w:sz w:val="16"/>
                <w:szCs w:val="16"/>
              </w:rPr>
              <w:t>’</w:t>
            </w:r>
            <w:r w:rsidRPr="00A32AF4">
              <w:rPr>
                <w:rFonts w:cs="Arial"/>
                <w:sz w:val="16"/>
                <w:szCs w:val="16"/>
              </w:rPr>
              <w:t>assistance en matière de sécurité reçues dans les délais pour des conférences ou des manifestations organisées à Genève ou à l</w:t>
            </w:r>
            <w:r w:rsidR="00E2055A" w:rsidRPr="00A32AF4">
              <w:rPr>
                <w:rFonts w:cs="Arial"/>
                <w:sz w:val="16"/>
                <w:szCs w:val="16"/>
              </w:rPr>
              <w:t>’</w:t>
            </w:r>
            <w:r w:rsidRPr="00A32AF4">
              <w:rPr>
                <w:rFonts w:cs="Arial"/>
                <w:sz w:val="16"/>
                <w:szCs w:val="16"/>
              </w:rPr>
              <w:t>extérieur.</w:t>
            </w:r>
          </w:p>
        </w:tc>
        <w:tc>
          <w:tcPr>
            <w:tcW w:w="2280" w:type="dxa"/>
            <w:shd w:val="clear" w:color="000000" w:fill="FFFFFF"/>
            <w:tcMar>
              <w:top w:w="113" w:type="dxa"/>
              <w:bottom w:w="113" w:type="dxa"/>
            </w:tcMar>
            <w:hideMark/>
          </w:tcPr>
          <w:p w:rsidR="00A46C92" w:rsidRPr="00A32AF4" w:rsidRDefault="00A46C92" w:rsidP="00DC0553">
            <w:pPr>
              <w:rPr>
                <w:rFonts w:cs="Arial"/>
                <w:sz w:val="16"/>
                <w:szCs w:val="16"/>
              </w:rPr>
            </w:pPr>
            <w:r w:rsidRPr="00A32AF4">
              <w:rPr>
                <w:rFonts w:cs="Arial"/>
                <w:sz w:val="16"/>
                <w:szCs w:val="16"/>
              </w:rPr>
              <w:t>90% ou plus de demandes d</w:t>
            </w:r>
            <w:r w:rsidR="00E2055A" w:rsidRPr="00A32AF4">
              <w:rPr>
                <w:rFonts w:cs="Arial"/>
                <w:sz w:val="16"/>
                <w:szCs w:val="16"/>
              </w:rPr>
              <w:t>’</w:t>
            </w:r>
            <w:r w:rsidRPr="00A32AF4">
              <w:rPr>
                <w:rFonts w:cs="Arial"/>
                <w:sz w:val="16"/>
                <w:szCs w:val="16"/>
              </w:rPr>
              <w:t>assistance en matière de sécurité émanant de parties prenantes/clients reçues dans les délais pour des conférences ou des manifestations organisées à Genève ou à l</w:t>
            </w:r>
            <w:r w:rsidR="00E2055A" w:rsidRPr="00A32AF4">
              <w:rPr>
                <w:rFonts w:cs="Arial"/>
                <w:sz w:val="16"/>
                <w:szCs w:val="16"/>
              </w:rPr>
              <w:t>’</w:t>
            </w:r>
            <w:r w:rsidRPr="00A32AF4">
              <w:rPr>
                <w:rFonts w:cs="Arial"/>
                <w:sz w:val="16"/>
                <w:szCs w:val="16"/>
              </w:rPr>
              <w:t>extérieur.</w:t>
            </w:r>
          </w:p>
        </w:tc>
        <w:tc>
          <w:tcPr>
            <w:tcW w:w="2260" w:type="dxa"/>
            <w:shd w:val="clear" w:color="000000" w:fill="FFFFFF"/>
            <w:tcMar>
              <w:top w:w="113" w:type="dxa"/>
              <w:bottom w:w="113" w:type="dxa"/>
            </w:tcMar>
            <w:hideMark/>
          </w:tcPr>
          <w:p w:rsidR="00A46C92" w:rsidRPr="00A32AF4" w:rsidRDefault="00A46C92" w:rsidP="00DC0553">
            <w:pPr>
              <w:rPr>
                <w:rFonts w:cs="Arial"/>
                <w:sz w:val="16"/>
                <w:szCs w:val="16"/>
              </w:rPr>
            </w:pPr>
            <w:r w:rsidRPr="00A32AF4">
              <w:rPr>
                <w:rFonts w:cs="Arial"/>
                <w:sz w:val="16"/>
                <w:szCs w:val="16"/>
              </w:rPr>
              <w:t>90% ou plus</w:t>
            </w:r>
          </w:p>
        </w:tc>
      </w:tr>
    </w:tbl>
    <w:p w:rsidR="00702CE5" w:rsidRPr="00A32AF4" w:rsidRDefault="00702CE5" w:rsidP="00DC0553">
      <w:pPr>
        <w:rPr>
          <w:rFonts w:cs="Arial"/>
        </w:rPr>
      </w:pPr>
    </w:p>
    <w:p w:rsidR="00702CE5" w:rsidRPr="00A32AF4" w:rsidRDefault="00702CE5" w:rsidP="00DC0553">
      <w:pPr>
        <w:rPr>
          <w:rFonts w:cs="Arial"/>
        </w:rPr>
      </w:pPr>
    </w:p>
    <w:p w:rsidR="00A46C92" w:rsidRPr="00A32AF4" w:rsidRDefault="00A46C92" w:rsidP="00DC0553">
      <w:pPr>
        <w:rPr>
          <w:rFonts w:cs="Arial"/>
        </w:rPr>
      </w:pPr>
      <w:r w:rsidRPr="00A32AF4">
        <w:rPr>
          <w:rFonts w:cs="Arial"/>
        </w:rPr>
        <w:t>RESSOURCES ALLOUÉES AU PROGRAMME 28</w:t>
      </w:r>
    </w:p>
    <w:p w:rsidR="00A46C92" w:rsidRPr="00A32AF4" w:rsidRDefault="00A46C92" w:rsidP="00DC0553">
      <w:pPr>
        <w:pStyle w:val="Default"/>
        <w:rPr>
          <w:color w:val="auto"/>
          <w:sz w:val="20"/>
          <w:szCs w:val="20"/>
          <w:lang w:val="fr-FR"/>
        </w:rPr>
      </w:pPr>
    </w:p>
    <w:p w:rsidR="00A46C92" w:rsidRPr="00A32AF4" w:rsidRDefault="00A46C92" w:rsidP="00DC0553">
      <w:pPr>
        <w:pStyle w:val="ListParagraph"/>
        <w:numPr>
          <w:ilvl w:val="0"/>
          <w:numId w:val="67"/>
        </w:numPr>
        <w:tabs>
          <w:tab w:val="left" w:pos="709"/>
        </w:tabs>
        <w:spacing w:after="0" w:line="240" w:lineRule="auto"/>
        <w:ind w:left="0" w:firstLine="0"/>
        <w:jc w:val="both"/>
        <w:rPr>
          <w:rFonts w:ascii="Arial" w:hAnsi="Arial" w:cs="Arial"/>
          <w:szCs w:val="20"/>
        </w:rPr>
      </w:pPr>
      <w:r w:rsidRPr="00A32AF4">
        <w:rPr>
          <w:rFonts w:ascii="Arial" w:hAnsi="Arial" w:cs="Arial"/>
          <w:szCs w:val="20"/>
        </w:rPr>
        <w:t>Une augmentation globale de 6,9 millions de francs suisses peut être observée au titre de ce programme par rapport au budget 2014</w:t>
      </w:r>
      <w:r w:rsidR="00EB7F54" w:rsidRPr="00A32AF4">
        <w:rPr>
          <w:rFonts w:ascii="Arial" w:hAnsi="Arial" w:cs="Arial"/>
          <w:szCs w:val="20"/>
        </w:rPr>
        <w:noBreakHyphen/>
      </w:r>
      <w:r w:rsidRPr="00A32AF4">
        <w:rPr>
          <w:rFonts w:ascii="Arial" w:hAnsi="Arial" w:cs="Arial"/>
          <w:szCs w:val="20"/>
        </w:rPr>
        <w:t>2015 après virements.  Cette augmentation tient principalement au transfert de la sécurité de l</w:t>
      </w:r>
      <w:r w:rsidR="00E2055A" w:rsidRPr="00A32AF4">
        <w:rPr>
          <w:rFonts w:ascii="Arial" w:hAnsi="Arial" w:cs="Arial"/>
          <w:szCs w:val="20"/>
        </w:rPr>
        <w:t>’</w:t>
      </w:r>
      <w:r w:rsidRPr="00A32AF4">
        <w:rPr>
          <w:rFonts w:ascii="Arial" w:hAnsi="Arial" w:cs="Arial"/>
          <w:szCs w:val="20"/>
        </w:rPr>
        <w:t>information depuis le programme 25 (Technologies de l</w:t>
      </w:r>
      <w:r w:rsidR="00E2055A" w:rsidRPr="00A32AF4">
        <w:rPr>
          <w:rFonts w:ascii="Arial" w:hAnsi="Arial" w:cs="Arial"/>
          <w:szCs w:val="20"/>
        </w:rPr>
        <w:t>’</w:t>
      </w:r>
      <w:r w:rsidRPr="00A32AF4">
        <w:rPr>
          <w:rFonts w:ascii="Arial" w:hAnsi="Arial" w:cs="Arial"/>
          <w:szCs w:val="20"/>
        </w:rPr>
        <w:t>information et de la communication).  Elle se traduit principalement sous les dépenses de personnel et le résultat escompté IX.4.</w:t>
      </w:r>
    </w:p>
    <w:p w:rsidR="00A46C92" w:rsidRPr="00A32AF4" w:rsidRDefault="00A46C92" w:rsidP="00DC0553">
      <w:pPr>
        <w:pStyle w:val="ListParagraph"/>
        <w:tabs>
          <w:tab w:val="left" w:pos="709"/>
        </w:tabs>
        <w:ind w:left="0"/>
        <w:jc w:val="both"/>
        <w:rPr>
          <w:rFonts w:ascii="Arial" w:hAnsi="Arial" w:cs="Arial"/>
          <w:szCs w:val="20"/>
        </w:rPr>
      </w:pPr>
    </w:p>
    <w:p w:rsidR="00A46C92" w:rsidRPr="00A32AF4" w:rsidRDefault="00A46C92" w:rsidP="00DC0553">
      <w:pPr>
        <w:pStyle w:val="ListParagraph"/>
        <w:numPr>
          <w:ilvl w:val="0"/>
          <w:numId w:val="67"/>
        </w:numPr>
        <w:tabs>
          <w:tab w:val="left" w:pos="709"/>
        </w:tabs>
        <w:spacing w:after="0" w:line="240" w:lineRule="auto"/>
        <w:ind w:left="0" w:firstLine="0"/>
        <w:jc w:val="both"/>
        <w:rPr>
          <w:rFonts w:ascii="Arial" w:hAnsi="Arial" w:cs="Arial"/>
          <w:szCs w:val="20"/>
        </w:rPr>
      </w:pPr>
      <w:r w:rsidRPr="00A32AF4">
        <w:rPr>
          <w:rFonts w:ascii="Arial" w:hAnsi="Arial" w:cs="Arial"/>
          <w:szCs w:val="20"/>
        </w:rPr>
        <w:t>L</w:t>
      </w:r>
      <w:r w:rsidR="00E2055A" w:rsidRPr="00A32AF4">
        <w:rPr>
          <w:rFonts w:ascii="Arial" w:hAnsi="Arial" w:cs="Arial"/>
          <w:szCs w:val="20"/>
        </w:rPr>
        <w:t>’</w:t>
      </w:r>
      <w:r w:rsidRPr="00A32AF4">
        <w:rPr>
          <w:rFonts w:ascii="Arial" w:hAnsi="Arial" w:cs="Arial"/>
          <w:szCs w:val="20"/>
        </w:rPr>
        <w:t>accroissement des autres dépenses découle d</w:t>
      </w:r>
      <w:r w:rsidR="00E2055A" w:rsidRPr="00A32AF4">
        <w:rPr>
          <w:rFonts w:ascii="Arial" w:hAnsi="Arial" w:cs="Arial"/>
          <w:szCs w:val="20"/>
        </w:rPr>
        <w:t>’</w:t>
      </w:r>
      <w:r w:rsidRPr="00A32AF4">
        <w:rPr>
          <w:rFonts w:ascii="Arial" w:hAnsi="Arial" w:cs="Arial"/>
          <w:szCs w:val="20"/>
        </w:rPr>
        <w:t>une provision supplémentaire d</w:t>
      </w:r>
      <w:r w:rsidR="00E2055A" w:rsidRPr="00A32AF4">
        <w:rPr>
          <w:rFonts w:ascii="Arial" w:hAnsi="Arial" w:cs="Arial"/>
          <w:szCs w:val="20"/>
        </w:rPr>
        <w:t>’</w:t>
      </w:r>
      <w:r w:rsidRPr="00A32AF4">
        <w:rPr>
          <w:rFonts w:ascii="Arial" w:hAnsi="Arial" w:cs="Arial"/>
          <w:szCs w:val="20"/>
        </w:rPr>
        <w:t>environ 4 millions de francs suisses pour la mise en œuvre des stratégies en matière de sécurité de l</w:t>
      </w:r>
      <w:r w:rsidR="00E2055A" w:rsidRPr="00A32AF4">
        <w:rPr>
          <w:rFonts w:ascii="Arial" w:hAnsi="Arial" w:cs="Arial"/>
          <w:szCs w:val="20"/>
        </w:rPr>
        <w:t>’</w:t>
      </w:r>
      <w:r w:rsidRPr="00A32AF4">
        <w:rPr>
          <w:rFonts w:ascii="Arial" w:hAnsi="Arial" w:cs="Arial"/>
          <w:szCs w:val="20"/>
        </w:rPr>
        <w:t>information en 2016</w:t>
      </w:r>
      <w:r w:rsidR="00EB7F54" w:rsidRPr="00A32AF4">
        <w:rPr>
          <w:rFonts w:ascii="Arial" w:hAnsi="Arial" w:cs="Arial"/>
          <w:szCs w:val="20"/>
        </w:rPr>
        <w:noBreakHyphen/>
      </w:r>
      <w:r w:rsidRPr="00A32AF4">
        <w:rPr>
          <w:rFonts w:ascii="Arial" w:hAnsi="Arial" w:cs="Arial"/>
          <w:szCs w:val="20"/>
        </w:rPr>
        <w:t>2017.  L</w:t>
      </w:r>
      <w:r w:rsidR="00E2055A" w:rsidRPr="00A32AF4">
        <w:rPr>
          <w:rFonts w:ascii="Arial" w:hAnsi="Arial" w:cs="Arial"/>
          <w:szCs w:val="20"/>
        </w:rPr>
        <w:t>’</w:t>
      </w:r>
      <w:r w:rsidRPr="00A32AF4">
        <w:rPr>
          <w:rFonts w:ascii="Arial" w:hAnsi="Arial" w:cs="Arial"/>
          <w:szCs w:val="20"/>
        </w:rPr>
        <w:t>accent mis sur le renforcement des responsabilités en matière de sécurité de l</w:t>
      </w:r>
      <w:r w:rsidR="00E2055A" w:rsidRPr="00A32AF4">
        <w:rPr>
          <w:rFonts w:ascii="Arial" w:hAnsi="Arial" w:cs="Arial"/>
          <w:szCs w:val="20"/>
        </w:rPr>
        <w:t>’</w:t>
      </w:r>
      <w:r w:rsidRPr="00A32AF4">
        <w:rPr>
          <w:rFonts w:ascii="Arial" w:hAnsi="Arial" w:cs="Arial"/>
          <w:szCs w:val="20"/>
        </w:rPr>
        <w:t>information se répercute sur la contribution du programme au résultat escompté IX.1.</w:t>
      </w:r>
    </w:p>
    <w:p w:rsidR="00A46C92" w:rsidRPr="00A32AF4" w:rsidRDefault="00A46C92" w:rsidP="00DC0553">
      <w:pPr>
        <w:rPr>
          <w:rFonts w:cs="Arial"/>
        </w:rPr>
      </w:pPr>
    </w:p>
    <w:p w:rsidR="00F93B76" w:rsidRPr="00A32AF4" w:rsidRDefault="00F93B76" w:rsidP="00DC0553">
      <w:pPr>
        <w:rPr>
          <w:rFonts w:cs="Arial"/>
          <w:lang w:eastAsia="da-DK"/>
        </w:rPr>
      </w:pPr>
    </w:p>
    <w:p w:rsidR="00F93B76" w:rsidRPr="00A32AF4" w:rsidRDefault="00C47729" w:rsidP="00DC0553">
      <w:pPr>
        <w:keepNext/>
        <w:keepLines/>
        <w:autoSpaceDE w:val="0"/>
        <w:autoSpaceDN w:val="0"/>
        <w:jc w:val="center"/>
        <w:rPr>
          <w:rFonts w:cs="Arial"/>
          <w:b/>
        </w:rPr>
      </w:pPr>
      <w:r w:rsidRPr="00A32AF4">
        <w:rPr>
          <w:rFonts w:cs="Arial"/>
          <w:b/>
        </w:rPr>
        <w:t>Programme 28 : ressources par résultat</w:t>
      </w:r>
    </w:p>
    <w:p w:rsidR="00F93B76" w:rsidRPr="00A32AF4" w:rsidRDefault="00C47729" w:rsidP="00DC0553">
      <w:pPr>
        <w:keepNext/>
        <w:keepLines/>
        <w:autoSpaceDE w:val="0"/>
        <w:autoSpaceDN w:val="0"/>
        <w:jc w:val="center"/>
        <w:rPr>
          <w:rFonts w:cs="Arial"/>
          <w:i/>
        </w:rPr>
      </w:pPr>
      <w:r w:rsidRPr="00A32AF4">
        <w:rPr>
          <w:rFonts w:cs="Arial"/>
          <w:i/>
        </w:rPr>
        <w:t>(</w:t>
      </w:r>
      <w:proofErr w:type="gramStart"/>
      <w:r w:rsidRPr="00A32AF4">
        <w:rPr>
          <w:rFonts w:cs="Arial"/>
          <w:i/>
        </w:rPr>
        <w:t>en</w:t>
      </w:r>
      <w:proofErr w:type="gramEnd"/>
      <w:r w:rsidRPr="00A32AF4">
        <w:rPr>
          <w:rFonts w:cs="Arial"/>
          <w:i/>
        </w:rPr>
        <w:t xml:space="preserve"> milliers de francs suisses)</w:t>
      </w:r>
    </w:p>
    <w:p w:rsidR="00C47729" w:rsidRPr="00A32AF4" w:rsidRDefault="00C47729" w:rsidP="00DC0553">
      <w:pPr>
        <w:keepNext/>
      </w:pPr>
    </w:p>
    <w:tbl>
      <w:tblPr>
        <w:tblW w:w="8980" w:type="dxa"/>
        <w:tblInd w:w="55" w:type="dxa"/>
        <w:tblCellMar>
          <w:left w:w="70" w:type="dxa"/>
          <w:right w:w="70" w:type="dxa"/>
        </w:tblCellMar>
        <w:tblLook w:val="04A0" w:firstRow="1" w:lastRow="0" w:firstColumn="1" w:lastColumn="0" w:noHBand="0" w:noVBand="1"/>
      </w:tblPr>
      <w:tblGrid>
        <w:gridCol w:w="513"/>
        <w:gridCol w:w="4507"/>
        <w:gridCol w:w="1260"/>
        <w:gridCol w:w="1440"/>
        <w:gridCol w:w="1260"/>
      </w:tblGrid>
      <w:tr w:rsidR="00C47729" w:rsidRPr="00A32AF4" w:rsidTr="00C47729">
        <w:tc>
          <w:tcPr>
            <w:tcW w:w="5020" w:type="dxa"/>
            <w:gridSpan w:val="2"/>
            <w:tcBorders>
              <w:top w:val="single" w:sz="4" w:space="0" w:color="auto"/>
              <w:left w:val="single" w:sz="4" w:space="0" w:color="auto"/>
              <w:bottom w:val="single" w:sz="4" w:space="0" w:color="auto"/>
              <w:right w:val="single" w:sz="4" w:space="0" w:color="000000"/>
            </w:tcBorders>
            <w:shd w:val="clear" w:color="000000" w:fill="C5D9F1"/>
            <w:noWrap/>
            <w:tcMar>
              <w:top w:w="113" w:type="dxa"/>
              <w:bottom w:w="113" w:type="dxa"/>
            </w:tcMar>
            <w:vAlign w:val="center"/>
            <w:hideMark/>
          </w:tcPr>
          <w:p w:rsidR="00C47729" w:rsidRPr="00A32AF4" w:rsidRDefault="00C47729" w:rsidP="00DC0553">
            <w:pPr>
              <w:jc w:val="center"/>
              <w:rPr>
                <w:rFonts w:cs="Arial"/>
                <w:i/>
                <w:iCs/>
                <w:sz w:val="16"/>
                <w:szCs w:val="16"/>
                <w:lang w:eastAsia="fr-FR"/>
              </w:rPr>
            </w:pPr>
            <w:r w:rsidRPr="00A32AF4">
              <w:rPr>
                <w:rFonts w:cs="Arial"/>
                <w:i/>
                <w:iCs/>
                <w:sz w:val="16"/>
                <w:szCs w:val="16"/>
                <w:lang w:eastAsia="fr-FR"/>
              </w:rPr>
              <w:t xml:space="preserve">Numéro et description du résultat escompté </w:t>
            </w:r>
          </w:p>
        </w:tc>
        <w:tc>
          <w:tcPr>
            <w:tcW w:w="126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C47729" w:rsidRPr="00A32AF4" w:rsidRDefault="00C47729" w:rsidP="00DC0553">
            <w:pPr>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2014</w:t>
            </w:r>
            <w:r w:rsidR="00EB7F54" w:rsidRPr="00A32AF4">
              <w:rPr>
                <w:rFonts w:cs="Arial"/>
                <w:i/>
                <w:iCs/>
                <w:sz w:val="16"/>
                <w:szCs w:val="16"/>
                <w:lang w:eastAsia="fr-FR"/>
              </w:rPr>
              <w:noBreakHyphen/>
            </w:r>
            <w:r w:rsidRPr="00A32AF4">
              <w:rPr>
                <w:rFonts w:cs="Arial"/>
                <w:i/>
                <w:iCs/>
                <w:sz w:val="16"/>
                <w:szCs w:val="16"/>
                <w:lang w:eastAsia="fr-FR"/>
              </w:rPr>
              <w:t>2015 approuvé</w:t>
            </w:r>
          </w:p>
        </w:tc>
        <w:tc>
          <w:tcPr>
            <w:tcW w:w="144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C47729" w:rsidRPr="00A32AF4" w:rsidRDefault="00C47729" w:rsidP="00DC0553">
            <w:pPr>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2014</w:t>
            </w:r>
            <w:r w:rsidR="00EB7F54" w:rsidRPr="00A32AF4">
              <w:rPr>
                <w:rFonts w:cs="Arial"/>
                <w:i/>
                <w:iCs/>
                <w:sz w:val="16"/>
                <w:szCs w:val="16"/>
                <w:lang w:eastAsia="fr-FR"/>
              </w:rPr>
              <w:noBreakHyphen/>
            </w:r>
            <w:r w:rsidRPr="00A32AF4">
              <w:rPr>
                <w:rFonts w:cs="Arial"/>
                <w:i/>
                <w:iCs/>
                <w:sz w:val="16"/>
                <w:szCs w:val="16"/>
                <w:lang w:eastAsia="fr-FR"/>
              </w:rPr>
              <w:t>2015 après virements</w:t>
            </w:r>
          </w:p>
        </w:tc>
        <w:tc>
          <w:tcPr>
            <w:tcW w:w="1260" w:type="dxa"/>
            <w:tcBorders>
              <w:top w:val="single" w:sz="4" w:space="0" w:color="auto"/>
              <w:left w:val="nil"/>
              <w:bottom w:val="single" w:sz="4" w:space="0" w:color="auto"/>
              <w:right w:val="single" w:sz="4" w:space="0" w:color="auto"/>
            </w:tcBorders>
            <w:shd w:val="clear" w:color="000000" w:fill="C5D9F1"/>
            <w:tcMar>
              <w:top w:w="113" w:type="dxa"/>
              <w:bottom w:w="113" w:type="dxa"/>
            </w:tcMar>
            <w:vAlign w:val="center"/>
            <w:hideMark/>
          </w:tcPr>
          <w:p w:rsidR="00C47729" w:rsidRPr="00A32AF4" w:rsidRDefault="00C47729" w:rsidP="00DC0553">
            <w:pPr>
              <w:jc w:val="center"/>
              <w:rPr>
                <w:rFonts w:cs="Arial"/>
                <w:i/>
                <w:iCs/>
                <w:sz w:val="16"/>
                <w:szCs w:val="16"/>
                <w:lang w:eastAsia="fr-FR"/>
              </w:rPr>
            </w:pPr>
            <w:r w:rsidRPr="00A32AF4">
              <w:rPr>
                <w:rFonts w:cs="Arial"/>
                <w:i/>
                <w:iCs/>
                <w:sz w:val="16"/>
                <w:szCs w:val="16"/>
                <w:lang w:eastAsia="fr-FR"/>
              </w:rPr>
              <w:t>Budget</w:t>
            </w:r>
            <w:r w:rsidRPr="00A32AF4">
              <w:rPr>
                <w:rFonts w:cs="Arial"/>
                <w:i/>
                <w:iCs/>
                <w:sz w:val="16"/>
                <w:szCs w:val="16"/>
                <w:lang w:eastAsia="fr-FR"/>
              </w:rPr>
              <w:br/>
              <w:t>2016</w:t>
            </w:r>
            <w:r w:rsidR="00EB7F54" w:rsidRPr="00A32AF4">
              <w:rPr>
                <w:rFonts w:cs="Arial"/>
                <w:i/>
                <w:iCs/>
                <w:sz w:val="16"/>
                <w:szCs w:val="16"/>
                <w:lang w:eastAsia="fr-FR"/>
              </w:rPr>
              <w:noBreakHyphen/>
            </w:r>
            <w:r w:rsidRPr="00A32AF4">
              <w:rPr>
                <w:rFonts w:cs="Arial"/>
                <w:i/>
                <w:iCs/>
                <w:sz w:val="16"/>
                <w:szCs w:val="16"/>
                <w:lang w:eastAsia="fr-FR"/>
              </w:rPr>
              <w:t>2017 proposé</w:t>
            </w:r>
          </w:p>
        </w:tc>
      </w:tr>
      <w:tr w:rsidR="00C47729" w:rsidRPr="00A32AF4" w:rsidTr="00C47729">
        <w:tc>
          <w:tcPr>
            <w:tcW w:w="513" w:type="dxa"/>
            <w:tcBorders>
              <w:top w:val="nil"/>
              <w:left w:val="single" w:sz="4" w:space="0" w:color="auto"/>
              <w:bottom w:val="nil"/>
              <w:right w:val="nil"/>
            </w:tcBorders>
            <w:shd w:val="clear" w:color="000000" w:fill="FFFFFF"/>
            <w:noWrap/>
            <w:tcMar>
              <w:top w:w="113" w:type="dxa"/>
              <w:bottom w:w="113" w:type="dxa"/>
            </w:tcMar>
            <w:vAlign w:val="center"/>
            <w:hideMark/>
          </w:tcPr>
          <w:p w:rsidR="00C47729" w:rsidRPr="00A32AF4" w:rsidRDefault="00C47729" w:rsidP="00DC0553">
            <w:pPr>
              <w:rPr>
                <w:rFonts w:cs="Arial"/>
                <w:sz w:val="16"/>
                <w:szCs w:val="16"/>
                <w:lang w:eastAsia="fr-FR"/>
              </w:rPr>
            </w:pPr>
            <w:r w:rsidRPr="00A32AF4">
              <w:rPr>
                <w:rFonts w:cs="Arial"/>
                <w:sz w:val="16"/>
                <w:szCs w:val="16"/>
                <w:lang w:eastAsia="fr-FR"/>
              </w:rPr>
              <w:t>IX.1</w:t>
            </w:r>
          </w:p>
        </w:tc>
        <w:tc>
          <w:tcPr>
            <w:tcW w:w="4507" w:type="dxa"/>
            <w:tcBorders>
              <w:top w:val="nil"/>
              <w:left w:val="nil"/>
              <w:bottom w:val="nil"/>
              <w:right w:val="nil"/>
            </w:tcBorders>
            <w:shd w:val="clear" w:color="auto" w:fill="auto"/>
            <w:tcMar>
              <w:top w:w="113" w:type="dxa"/>
              <w:bottom w:w="113" w:type="dxa"/>
            </w:tcMar>
            <w:vAlign w:val="center"/>
            <w:hideMark/>
          </w:tcPr>
          <w:p w:rsidR="00C47729" w:rsidRPr="00A32AF4" w:rsidRDefault="00C47729" w:rsidP="00DC0553">
            <w:pPr>
              <w:rPr>
                <w:rFonts w:cs="Arial"/>
                <w:sz w:val="16"/>
                <w:szCs w:val="16"/>
                <w:lang w:eastAsia="fr-FR"/>
              </w:rPr>
            </w:pPr>
            <w:r w:rsidRPr="00A32AF4">
              <w:rPr>
                <w:rFonts w:cs="Arial"/>
                <w:sz w:val="16"/>
                <w:szCs w:val="16"/>
                <w:lang w:eastAsia="fr-FR"/>
              </w:rPr>
              <w:t>Services d</w:t>
            </w:r>
            <w:r w:rsidR="00E2055A" w:rsidRPr="00A32AF4">
              <w:rPr>
                <w:rFonts w:cs="Arial"/>
                <w:sz w:val="16"/>
                <w:szCs w:val="16"/>
                <w:lang w:eastAsia="fr-FR"/>
              </w:rPr>
              <w:t>’</w:t>
            </w:r>
            <w:r w:rsidRPr="00A32AF4">
              <w:rPr>
                <w:rFonts w:cs="Arial"/>
                <w:sz w:val="16"/>
                <w:szCs w:val="16"/>
                <w:lang w:eastAsia="fr-FR"/>
              </w:rPr>
              <w:t>appui efficaces, efficients, de qualité et tournés vers la clientèle, à l</w:t>
            </w:r>
            <w:r w:rsidR="00E2055A" w:rsidRPr="00A32AF4">
              <w:rPr>
                <w:rFonts w:cs="Arial"/>
                <w:sz w:val="16"/>
                <w:szCs w:val="16"/>
                <w:lang w:eastAsia="fr-FR"/>
              </w:rPr>
              <w:t>’</w:t>
            </w:r>
            <w:r w:rsidRPr="00A32AF4">
              <w:rPr>
                <w:rFonts w:cs="Arial"/>
                <w:sz w:val="16"/>
                <w:szCs w:val="16"/>
                <w:lang w:eastAsia="fr-FR"/>
              </w:rPr>
              <w:t>intention à la fois des clients internes et des parties prenantes externes</w:t>
            </w:r>
          </w:p>
        </w:tc>
        <w:tc>
          <w:tcPr>
            <w:tcW w:w="1260" w:type="dxa"/>
            <w:tcBorders>
              <w:top w:val="nil"/>
              <w:left w:val="nil"/>
              <w:bottom w:val="nil"/>
              <w:right w:val="nil"/>
            </w:tcBorders>
            <w:shd w:val="clear" w:color="auto" w:fill="auto"/>
            <w:tcMar>
              <w:top w:w="113" w:type="dxa"/>
              <w:bottom w:w="113" w:type="dxa"/>
            </w:tcMar>
            <w:vAlign w:val="center"/>
            <w:hideMark/>
          </w:tcPr>
          <w:p w:rsidR="00C47729" w:rsidRPr="00A32AF4" w:rsidRDefault="00C47729" w:rsidP="00DC0553">
            <w:pPr>
              <w:rPr>
                <w:rFonts w:cs="Arial"/>
                <w:sz w:val="16"/>
                <w:szCs w:val="16"/>
                <w:lang w:eastAsia="fr-FR"/>
              </w:rPr>
            </w:pPr>
            <w:r w:rsidRPr="00A32AF4">
              <w:rPr>
                <w:rFonts w:cs="Arial"/>
                <w:sz w:val="16"/>
                <w:szCs w:val="16"/>
                <w:lang w:eastAsia="fr-FR"/>
              </w:rPr>
              <w:t>–</w:t>
            </w:r>
          </w:p>
        </w:tc>
        <w:tc>
          <w:tcPr>
            <w:tcW w:w="1440" w:type="dxa"/>
            <w:tcBorders>
              <w:top w:val="nil"/>
              <w:left w:val="nil"/>
              <w:bottom w:val="nil"/>
              <w:right w:val="nil"/>
            </w:tcBorders>
            <w:shd w:val="clear" w:color="auto" w:fill="auto"/>
            <w:tcMar>
              <w:top w:w="113" w:type="dxa"/>
              <w:bottom w:w="113" w:type="dxa"/>
            </w:tcMar>
            <w:vAlign w:val="center"/>
            <w:hideMark/>
          </w:tcPr>
          <w:p w:rsidR="00C47729" w:rsidRPr="00A32AF4" w:rsidRDefault="00C47729" w:rsidP="00DC0553">
            <w:pPr>
              <w:rPr>
                <w:rFonts w:cs="Arial"/>
                <w:sz w:val="16"/>
                <w:szCs w:val="16"/>
                <w:lang w:eastAsia="fr-FR"/>
              </w:rPr>
            </w:pPr>
            <w:r w:rsidRPr="00A32AF4">
              <w:rPr>
                <w:rFonts w:cs="Arial"/>
                <w:sz w:val="16"/>
                <w:szCs w:val="16"/>
                <w:lang w:eastAsia="fr-FR"/>
              </w:rPr>
              <w:t>–</w:t>
            </w:r>
          </w:p>
        </w:tc>
        <w:tc>
          <w:tcPr>
            <w:tcW w:w="1260" w:type="dxa"/>
            <w:tcBorders>
              <w:top w:val="nil"/>
              <w:left w:val="nil"/>
              <w:bottom w:val="nil"/>
              <w:right w:val="single" w:sz="4" w:space="0" w:color="auto"/>
            </w:tcBorders>
            <w:shd w:val="clear" w:color="auto" w:fill="auto"/>
            <w:noWrap/>
            <w:tcMar>
              <w:top w:w="113" w:type="dxa"/>
              <w:bottom w:w="113" w:type="dxa"/>
            </w:tcMar>
            <w:vAlign w:val="center"/>
            <w:hideMark/>
          </w:tcPr>
          <w:p w:rsidR="00C47729" w:rsidRPr="00A32AF4" w:rsidRDefault="00C47729" w:rsidP="00DC0553">
            <w:pPr>
              <w:rPr>
                <w:rFonts w:cs="Arial"/>
                <w:color w:val="000000"/>
                <w:sz w:val="16"/>
                <w:szCs w:val="16"/>
                <w:lang w:eastAsia="fr-FR"/>
              </w:rPr>
            </w:pPr>
            <w:r w:rsidRPr="00A32AF4">
              <w:rPr>
                <w:rFonts w:cs="Arial"/>
                <w:color w:val="000000"/>
                <w:sz w:val="16"/>
                <w:szCs w:val="16"/>
                <w:lang w:eastAsia="fr-FR"/>
              </w:rPr>
              <w:t xml:space="preserve">1 189 </w:t>
            </w:r>
          </w:p>
        </w:tc>
      </w:tr>
      <w:tr w:rsidR="00C47729" w:rsidRPr="00A32AF4" w:rsidTr="00C47729">
        <w:tc>
          <w:tcPr>
            <w:tcW w:w="513" w:type="dxa"/>
            <w:tcBorders>
              <w:top w:val="nil"/>
              <w:left w:val="single" w:sz="4" w:space="0" w:color="auto"/>
              <w:bottom w:val="nil"/>
              <w:right w:val="nil"/>
            </w:tcBorders>
            <w:shd w:val="clear" w:color="auto" w:fill="auto"/>
            <w:noWrap/>
            <w:tcMar>
              <w:top w:w="113" w:type="dxa"/>
              <w:bottom w:w="113" w:type="dxa"/>
            </w:tcMar>
            <w:vAlign w:val="center"/>
            <w:hideMark/>
          </w:tcPr>
          <w:p w:rsidR="00C47729" w:rsidRPr="00A32AF4" w:rsidRDefault="00C47729" w:rsidP="00DC0553">
            <w:pPr>
              <w:rPr>
                <w:rFonts w:cs="Arial"/>
                <w:sz w:val="16"/>
                <w:szCs w:val="16"/>
                <w:lang w:eastAsia="fr-FR"/>
              </w:rPr>
            </w:pPr>
            <w:r w:rsidRPr="00A32AF4">
              <w:rPr>
                <w:rFonts w:cs="Arial"/>
                <w:sz w:val="16"/>
                <w:szCs w:val="16"/>
                <w:lang w:eastAsia="fr-FR"/>
              </w:rPr>
              <w:t>IX.4</w:t>
            </w:r>
          </w:p>
        </w:tc>
        <w:tc>
          <w:tcPr>
            <w:tcW w:w="4507" w:type="dxa"/>
            <w:tcBorders>
              <w:top w:val="nil"/>
              <w:left w:val="nil"/>
              <w:bottom w:val="nil"/>
              <w:right w:val="nil"/>
            </w:tcBorders>
            <w:shd w:val="clear" w:color="auto" w:fill="auto"/>
            <w:tcMar>
              <w:top w:w="113" w:type="dxa"/>
              <w:bottom w:w="113" w:type="dxa"/>
            </w:tcMar>
            <w:vAlign w:val="center"/>
            <w:hideMark/>
          </w:tcPr>
          <w:p w:rsidR="00C47729" w:rsidRPr="00A32AF4" w:rsidRDefault="00C47729" w:rsidP="00DC0553">
            <w:pPr>
              <w:rPr>
                <w:rFonts w:cs="Arial"/>
                <w:sz w:val="16"/>
                <w:szCs w:val="16"/>
                <w:lang w:eastAsia="fr-FR"/>
              </w:rPr>
            </w:pPr>
            <w:r w:rsidRPr="00A32AF4">
              <w:rPr>
                <w:rFonts w:cs="Arial"/>
                <w:sz w:val="16"/>
                <w:szCs w:val="16"/>
                <w:lang w:eastAsia="fr-FR"/>
              </w:rPr>
              <w:t>Une Organisation écologiquement et socialement responsable assurant la sûreté et la sécurité du personnel, des délégués, des visiteurs, de l</w:t>
            </w:r>
            <w:r w:rsidR="00E2055A" w:rsidRPr="00A32AF4">
              <w:rPr>
                <w:rFonts w:cs="Arial"/>
                <w:sz w:val="16"/>
                <w:szCs w:val="16"/>
                <w:lang w:eastAsia="fr-FR"/>
              </w:rPr>
              <w:t>’</w:t>
            </w:r>
            <w:r w:rsidRPr="00A32AF4">
              <w:rPr>
                <w:rFonts w:cs="Arial"/>
                <w:sz w:val="16"/>
                <w:szCs w:val="16"/>
                <w:lang w:eastAsia="fr-FR"/>
              </w:rPr>
              <w:t>information et des biens</w:t>
            </w:r>
          </w:p>
        </w:tc>
        <w:tc>
          <w:tcPr>
            <w:tcW w:w="1260" w:type="dxa"/>
            <w:tcBorders>
              <w:top w:val="nil"/>
              <w:left w:val="nil"/>
              <w:bottom w:val="nil"/>
              <w:right w:val="nil"/>
            </w:tcBorders>
            <w:shd w:val="clear" w:color="auto" w:fill="auto"/>
            <w:tcMar>
              <w:top w:w="113" w:type="dxa"/>
              <w:bottom w:w="113" w:type="dxa"/>
            </w:tcMar>
            <w:vAlign w:val="center"/>
            <w:hideMark/>
          </w:tcPr>
          <w:p w:rsidR="00C47729" w:rsidRPr="00A32AF4" w:rsidRDefault="00C47729" w:rsidP="00DC0553">
            <w:pPr>
              <w:rPr>
                <w:rFonts w:cs="Arial"/>
                <w:sz w:val="16"/>
                <w:szCs w:val="16"/>
                <w:lang w:eastAsia="fr-FR"/>
              </w:rPr>
            </w:pPr>
            <w:r w:rsidRPr="00A32AF4">
              <w:rPr>
                <w:rFonts w:cs="Arial"/>
                <w:sz w:val="16"/>
                <w:szCs w:val="16"/>
                <w:lang w:eastAsia="fr-FR"/>
              </w:rPr>
              <w:t>10</w:t>
            </w:r>
            <w:r w:rsidR="00FD43E3" w:rsidRPr="00A32AF4">
              <w:rPr>
                <w:rFonts w:cs="Arial"/>
                <w:sz w:val="16"/>
                <w:szCs w:val="16"/>
                <w:lang w:eastAsia="fr-FR"/>
              </w:rPr>
              <w:t> </w:t>
            </w:r>
            <w:r w:rsidRPr="00A32AF4">
              <w:rPr>
                <w:rFonts w:cs="Arial"/>
                <w:sz w:val="16"/>
                <w:szCs w:val="16"/>
                <w:lang w:eastAsia="fr-FR"/>
              </w:rPr>
              <w:t xml:space="preserve">786 </w:t>
            </w:r>
          </w:p>
        </w:tc>
        <w:tc>
          <w:tcPr>
            <w:tcW w:w="1440" w:type="dxa"/>
            <w:tcBorders>
              <w:top w:val="nil"/>
              <w:left w:val="nil"/>
              <w:bottom w:val="nil"/>
              <w:right w:val="nil"/>
            </w:tcBorders>
            <w:shd w:val="clear" w:color="auto" w:fill="auto"/>
            <w:tcMar>
              <w:top w:w="113" w:type="dxa"/>
              <w:bottom w:w="113" w:type="dxa"/>
            </w:tcMar>
            <w:vAlign w:val="center"/>
            <w:hideMark/>
          </w:tcPr>
          <w:p w:rsidR="00C47729" w:rsidRPr="00A32AF4" w:rsidRDefault="00C47729" w:rsidP="00DC0553">
            <w:pPr>
              <w:rPr>
                <w:rFonts w:cs="Arial"/>
                <w:sz w:val="16"/>
                <w:szCs w:val="16"/>
                <w:lang w:eastAsia="fr-FR"/>
              </w:rPr>
            </w:pPr>
            <w:r w:rsidRPr="00A32AF4">
              <w:rPr>
                <w:rFonts w:cs="Arial"/>
                <w:sz w:val="16"/>
                <w:szCs w:val="16"/>
                <w:lang w:eastAsia="fr-FR"/>
              </w:rPr>
              <w:t>10</w:t>
            </w:r>
            <w:r w:rsidR="00FD43E3" w:rsidRPr="00A32AF4">
              <w:rPr>
                <w:rFonts w:cs="Arial"/>
                <w:sz w:val="16"/>
                <w:szCs w:val="16"/>
                <w:lang w:eastAsia="fr-FR"/>
              </w:rPr>
              <w:t> </w:t>
            </w:r>
            <w:r w:rsidRPr="00A32AF4">
              <w:rPr>
                <w:rFonts w:cs="Arial"/>
                <w:sz w:val="16"/>
                <w:szCs w:val="16"/>
                <w:lang w:eastAsia="fr-FR"/>
              </w:rPr>
              <w:t xml:space="preserve">792 </w:t>
            </w:r>
          </w:p>
        </w:tc>
        <w:tc>
          <w:tcPr>
            <w:tcW w:w="1260" w:type="dxa"/>
            <w:tcBorders>
              <w:top w:val="nil"/>
              <w:left w:val="nil"/>
              <w:bottom w:val="single" w:sz="4" w:space="0" w:color="auto"/>
              <w:right w:val="single" w:sz="4" w:space="0" w:color="auto"/>
            </w:tcBorders>
            <w:shd w:val="clear" w:color="auto" w:fill="auto"/>
            <w:noWrap/>
            <w:tcMar>
              <w:top w:w="113" w:type="dxa"/>
              <w:bottom w:w="113" w:type="dxa"/>
            </w:tcMar>
            <w:vAlign w:val="center"/>
            <w:hideMark/>
          </w:tcPr>
          <w:p w:rsidR="00C47729" w:rsidRPr="00A32AF4" w:rsidRDefault="00C47729" w:rsidP="00DC0553">
            <w:pPr>
              <w:rPr>
                <w:rFonts w:cs="Arial"/>
                <w:color w:val="000000"/>
                <w:sz w:val="16"/>
                <w:szCs w:val="16"/>
                <w:lang w:eastAsia="fr-FR"/>
              </w:rPr>
            </w:pPr>
            <w:r w:rsidRPr="00A32AF4">
              <w:rPr>
                <w:rFonts w:cs="Arial"/>
                <w:color w:val="000000"/>
                <w:sz w:val="16"/>
                <w:szCs w:val="16"/>
                <w:lang w:eastAsia="fr-FR"/>
              </w:rPr>
              <w:t>16</w:t>
            </w:r>
            <w:r w:rsidR="00FD43E3" w:rsidRPr="00A32AF4">
              <w:rPr>
                <w:rFonts w:cs="Arial"/>
                <w:color w:val="000000"/>
                <w:sz w:val="16"/>
                <w:szCs w:val="16"/>
                <w:lang w:eastAsia="fr-FR"/>
              </w:rPr>
              <w:t> </w:t>
            </w:r>
            <w:r w:rsidRPr="00A32AF4">
              <w:rPr>
                <w:rFonts w:cs="Arial"/>
                <w:color w:val="000000"/>
                <w:sz w:val="16"/>
                <w:szCs w:val="16"/>
                <w:lang w:eastAsia="fr-FR"/>
              </w:rPr>
              <w:t xml:space="preserve">544 </w:t>
            </w:r>
          </w:p>
        </w:tc>
      </w:tr>
      <w:tr w:rsidR="00C47729" w:rsidRPr="00A32AF4" w:rsidTr="00C47729">
        <w:tc>
          <w:tcPr>
            <w:tcW w:w="513" w:type="dxa"/>
            <w:tcBorders>
              <w:top w:val="single" w:sz="4" w:space="0" w:color="auto"/>
              <w:left w:val="single" w:sz="4" w:space="0" w:color="auto"/>
              <w:bottom w:val="single" w:sz="4" w:space="0" w:color="auto"/>
              <w:right w:val="nil"/>
            </w:tcBorders>
            <w:shd w:val="clear" w:color="000000" w:fill="C5D9F1"/>
            <w:noWrap/>
            <w:tcMar>
              <w:top w:w="113" w:type="dxa"/>
              <w:bottom w:w="113" w:type="dxa"/>
            </w:tcMar>
            <w:vAlign w:val="bottom"/>
            <w:hideMark/>
          </w:tcPr>
          <w:p w:rsidR="00C47729" w:rsidRPr="00A32AF4" w:rsidRDefault="00C47729" w:rsidP="00DC0553">
            <w:pPr>
              <w:rPr>
                <w:rFonts w:cs="Arial"/>
                <w:sz w:val="16"/>
                <w:szCs w:val="16"/>
                <w:lang w:eastAsia="fr-FR"/>
              </w:rPr>
            </w:pPr>
            <w:r w:rsidRPr="00A32AF4">
              <w:rPr>
                <w:rFonts w:cs="Arial"/>
                <w:sz w:val="16"/>
                <w:szCs w:val="16"/>
                <w:lang w:eastAsia="fr-FR"/>
              </w:rPr>
              <w:t> </w:t>
            </w:r>
          </w:p>
        </w:tc>
        <w:tc>
          <w:tcPr>
            <w:tcW w:w="4507"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C47729" w:rsidRPr="00A32AF4" w:rsidRDefault="00C47729" w:rsidP="00DC0553">
            <w:pPr>
              <w:rPr>
                <w:rFonts w:cs="Arial"/>
                <w:b/>
                <w:bCs/>
                <w:sz w:val="16"/>
                <w:szCs w:val="16"/>
                <w:lang w:eastAsia="fr-FR"/>
              </w:rPr>
            </w:pPr>
            <w:r w:rsidRPr="00A32AF4">
              <w:rPr>
                <w:rFonts w:cs="Arial"/>
                <w:b/>
                <w:bCs/>
                <w:sz w:val="16"/>
                <w:szCs w:val="16"/>
                <w:lang w:eastAsia="fr-FR"/>
              </w:rPr>
              <w:t>Total</w:t>
            </w:r>
          </w:p>
        </w:tc>
        <w:tc>
          <w:tcPr>
            <w:tcW w:w="1260"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C47729" w:rsidRPr="00A32AF4" w:rsidRDefault="00C47729" w:rsidP="00DC0553">
            <w:pPr>
              <w:rPr>
                <w:rFonts w:cs="Arial"/>
                <w:b/>
                <w:bCs/>
                <w:sz w:val="16"/>
                <w:szCs w:val="16"/>
                <w:lang w:eastAsia="fr-FR"/>
              </w:rPr>
            </w:pPr>
            <w:r w:rsidRPr="00A32AF4">
              <w:rPr>
                <w:rFonts w:cs="Arial"/>
                <w:b/>
                <w:bCs/>
                <w:sz w:val="16"/>
                <w:szCs w:val="16"/>
                <w:lang w:eastAsia="fr-FR"/>
              </w:rPr>
              <w:t>10</w:t>
            </w:r>
            <w:r w:rsidR="00FD43E3" w:rsidRPr="00A32AF4">
              <w:rPr>
                <w:rFonts w:cs="Arial"/>
                <w:b/>
                <w:bCs/>
                <w:sz w:val="16"/>
                <w:szCs w:val="16"/>
                <w:lang w:eastAsia="fr-FR"/>
              </w:rPr>
              <w:t> </w:t>
            </w:r>
            <w:r w:rsidRPr="00A32AF4">
              <w:rPr>
                <w:rFonts w:cs="Arial"/>
                <w:b/>
                <w:bCs/>
                <w:sz w:val="16"/>
                <w:szCs w:val="16"/>
                <w:lang w:eastAsia="fr-FR"/>
              </w:rPr>
              <w:t xml:space="preserve">786 </w:t>
            </w:r>
          </w:p>
        </w:tc>
        <w:tc>
          <w:tcPr>
            <w:tcW w:w="1440" w:type="dxa"/>
            <w:tcBorders>
              <w:top w:val="single" w:sz="4" w:space="0" w:color="auto"/>
              <w:left w:val="nil"/>
              <w:bottom w:val="single" w:sz="4" w:space="0" w:color="auto"/>
              <w:right w:val="single" w:sz="4" w:space="0" w:color="auto"/>
            </w:tcBorders>
            <w:shd w:val="clear" w:color="000000" w:fill="C5D9F1"/>
            <w:noWrap/>
            <w:tcMar>
              <w:top w:w="113" w:type="dxa"/>
              <w:bottom w:w="113" w:type="dxa"/>
            </w:tcMar>
            <w:vAlign w:val="bottom"/>
            <w:hideMark/>
          </w:tcPr>
          <w:p w:rsidR="00C47729" w:rsidRPr="00A32AF4" w:rsidRDefault="00C47729" w:rsidP="00DC0553">
            <w:pPr>
              <w:rPr>
                <w:rFonts w:cs="Arial"/>
                <w:b/>
                <w:bCs/>
                <w:sz w:val="16"/>
                <w:szCs w:val="16"/>
                <w:lang w:eastAsia="fr-FR"/>
              </w:rPr>
            </w:pPr>
            <w:r w:rsidRPr="00A32AF4">
              <w:rPr>
                <w:rFonts w:cs="Arial"/>
                <w:b/>
                <w:bCs/>
                <w:sz w:val="16"/>
                <w:szCs w:val="16"/>
                <w:lang w:eastAsia="fr-FR"/>
              </w:rPr>
              <w:t>10</w:t>
            </w:r>
            <w:r w:rsidR="00FD43E3" w:rsidRPr="00A32AF4">
              <w:rPr>
                <w:rFonts w:cs="Arial"/>
                <w:b/>
                <w:bCs/>
                <w:sz w:val="16"/>
                <w:szCs w:val="16"/>
                <w:lang w:eastAsia="fr-FR"/>
              </w:rPr>
              <w:t> </w:t>
            </w:r>
            <w:r w:rsidRPr="00A32AF4">
              <w:rPr>
                <w:rFonts w:cs="Arial"/>
                <w:b/>
                <w:bCs/>
                <w:sz w:val="16"/>
                <w:szCs w:val="16"/>
                <w:lang w:eastAsia="fr-FR"/>
              </w:rPr>
              <w:t xml:space="preserve">792 </w:t>
            </w:r>
          </w:p>
        </w:tc>
        <w:tc>
          <w:tcPr>
            <w:tcW w:w="1260" w:type="dxa"/>
            <w:tcBorders>
              <w:top w:val="nil"/>
              <w:left w:val="nil"/>
              <w:bottom w:val="single" w:sz="4" w:space="0" w:color="auto"/>
              <w:right w:val="single" w:sz="4" w:space="0" w:color="auto"/>
            </w:tcBorders>
            <w:shd w:val="clear" w:color="000000" w:fill="C5D9F1"/>
            <w:noWrap/>
            <w:tcMar>
              <w:top w:w="113" w:type="dxa"/>
              <w:bottom w:w="113" w:type="dxa"/>
            </w:tcMar>
            <w:vAlign w:val="bottom"/>
            <w:hideMark/>
          </w:tcPr>
          <w:p w:rsidR="00C47729" w:rsidRPr="00A32AF4" w:rsidRDefault="00C47729" w:rsidP="00DC0553">
            <w:pPr>
              <w:rPr>
                <w:rFonts w:cs="Arial"/>
                <w:b/>
                <w:bCs/>
                <w:sz w:val="16"/>
                <w:szCs w:val="16"/>
                <w:lang w:eastAsia="fr-FR"/>
              </w:rPr>
            </w:pPr>
            <w:r w:rsidRPr="00A32AF4">
              <w:rPr>
                <w:rFonts w:cs="Arial"/>
                <w:b/>
                <w:bCs/>
                <w:sz w:val="16"/>
                <w:szCs w:val="16"/>
                <w:lang w:eastAsia="fr-FR"/>
              </w:rPr>
              <w:t>17</w:t>
            </w:r>
            <w:r w:rsidR="00FD43E3" w:rsidRPr="00A32AF4">
              <w:rPr>
                <w:rFonts w:cs="Arial"/>
                <w:b/>
                <w:bCs/>
                <w:sz w:val="16"/>
                <w:szCs w:val="16"/>
                <w:lang w:eastAsia="fr-FR"/>
              </w:rPr>
              <w:t> </w:t>
            </w:r>
            <w:r w:rsidRPr="00A32AF4">
              <w:rPr>
                <w:rFonts w:cs="Arial"/>
                <w:b/>
                <w:bCs/>
                <w:sz w:val="16"/>
                <w:szCs w:val="16"/>
                <w:lang w:eastAsia="fr-FR"/>
              </w:rPr>
              <w:t xml:space="preserve">733 </w:t>
            </w:r>
          </w:p>
        </w:tc>
      </w:tr>
    </w:tbl>
    <w:p w:rsidR="00F93B76" w:rsidRPr="00A32AF4" w:rsidRDefault="00F93B76" w:rsidP="00DC0553"/>
    <w:p w:rsidR="00F93B76" w:rsidRPr="00A32AF4" w:rsidRDefault="00F93B76" w:rsidP="00DC0553">
      <w:pPr>
        <w:rPr>
          <w:lang w:eastAsia="da-DK"/>
        </w:rPr>
      </w:pPr>
    </w:p>
    <w:p w:rsidR="00F93B76" w:rsidRPr="00A32AF4" w:rsidRDefault="00C47729" w:rsidP="00DC0553">
      <w:pPr>
        <w:keepNext/>
        <w:keepLines/>
        <w:autoSpaceDE w:val="0"/>
        <w:autoSpaceDN w:val="0"/>
        <w:jc w:val="center"/>
        <w:rPr>
          <w:rFonts w:cs="Arial"/>
          <w:b/>
        </w:rPr>
      </w:pPr>
      <w:r w:rsidRPr="00A32AF4">
        <w:rPr>
          <w:rFonts w:cs="Arial"/>
          <w:b/>
        </w:rPr>
        <w:t>Programme 28 : ressources par objet de dépense</w:t>
      </w:r>
    </w:p>
    <w:p w:rsidR="00F93B76" w:rsidRPr="00A32AF4" w:rsidRDefault="00C47729" w:rsidP="00DC0553">
      <w:pPr>
        <w:keepNext/>
        <w:keepLines/>
        <w:autoSpaceDE w:val="0"/>
        <w:autoSpaceDN w:val="0"/>
        <w:jc w:val="center"/>
        <w:rPr>
          <w:rFonts w:cs="Arial"/>
          <w:i/>
        </w:rPr>
      </w:pPr>
      <w:r w:rsidRPr="00A32AF4">
        <w:rPr>
          <w:rFonts w:cs="Arial"/>
          <w:i/>
        </w:rPr>
        <w:t>(</w:t>
      </w:r>
      <w:proofErr w:type="gramStart"/>
      <w:r w:rsidRPr="00A32AF4">
        <w:rPr>
          <w:rFonts w:cs="Arial"/>
          <w:i/>
        </w:rPr>
        <w:t>en</w:t>
      </w:r>
      <w:proofErr w:type="gramEnd"/>
      <w:r w:rsidRPr="00A32AF4">
        <w:rPr>
          <w:rFonts w:cs="Arial"/>
          <w:i/>
        </w:rPr>
        <w:t xml:space="preserve"> milliers de francs suisses)</w:t>
      </w:r>
    </w:p>
    <w:p w:rsidR="00F93B76" w:rsidRPr="00A32AF4" w:rsidRDefault="00F93B76" w:rsidP="00DC0553">
      <w:pPr>
        <w:keepNext/>
        <w:rPr>
          <w:rFonts w:eastAsia="SimSun"/>
        </w:rPr>
      </w:pPr>
    </w:p>
    <w:p w:rsidR="00F93B76" w:rsidRPr="00A32AF4" w:rsidRDefault="005240BB" w:rsidP="00DC0553">
      <w:pPr>
        <w:rPr>
          <w:rFonts w:eastAsia="SimSun"/>
        </w:rPr>
      </w:pPr>
      <w:r w:rsidRPr="00A32AF4">
        <w:rPr>
          <w:rFonts w:eastAsia="SimSun"/>
          <w:noProof/>
          <w:lang w:eastAsia="fr-FR"/>
        </w:rPr>
        <w:drawing>
          <wp:inline distT="0" distB="0" distL="0" distR="0" wp14:anchorId="38F999BF" wp14:editId="5A8BFD24">
            <wp:extent cx="5514340" cy="6553200"/>
            <wp:effectExtent l="0" t="0" r="0" b="0"/>
            <wp:docPr id="1062" name="Picture 1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5514340" cy="6553200"/>
                    </a:xfrm>
                    <a:prstGeom prst="rect">
                      <a:avLst/>
                    </a:prstGeom>
                    <a:noFill/>
                    <a:ln>
                      <a:noFill/>
                    </a:ln>
                  </pic:spPr>
                </pic:pic>
              </a:graphicData>
            </a:graphic>
          </wp:inline>
        </w:drawing>
      </w:r>
    </w:p>
    <w:p w:rsidR="00F93B76" w:rsidRPr="00A32AF4" w:rsidRDefault="00F93B76" w:rsidP="00DC0553">
      <w:pPr>
        <w:rPr>
          <w:lang w:eastAsia="da-DK"/>
        </w:rPr>
      </w:pPr>
    </w:p>
    <w:p w:rsidR="00F93B76" w:rsidRPr="00A32AF4" w:rsidRDefault="00C47729" w:rsidP="00DC0553">
      <w:pPr>
        <w:rPr>
          <w:lang w:eastAsia="da-DK"/>
        </w:rPr>
      </w:pPr>
      <w:r w:rsidRPr="00A32AF4">
        <w:rPr>
          <w:lang w:eastAsia="da-DK"/>
        </w:rPr>
        <w:br w:type="page"/>
      </w:r>
    </w:p>
    <w:p w:rsidR="00F93B76" w:rsidRPr="00A32AF4" w:rsidRDefault="00C47729" w:rsidP="00DC0553">
      <w:pPr>
        <w:pStyle w:val="Heading1"/>
      </w:pPr>
      <w:bookmarkStart w:id="71" w:name="_Toc431555474"/>
      <w:r w:rsidRPr="00A32AF4">
        <w:t>III.</w:t>
      </w:r>
      <w:r w:rsidRPr="00A32AF4">
        <w:tab/>
        <w:t>Annexes</w:t>
      </w:r>
      <w:bookmarkEnd w:id="71"/>
    </w:p>
    <w:p w:rsidR="00F93B76" w:rsidRPr="00A32AF4" w:rsidRDefault="00F93B76" w:rsidP="00DC0553">
      <w:pPr>
        <w:rPr>
          <w:lang w:eastAsia="da-DK"/>
        </w:rPr>
      </w:pPr>
    </w:p>
    <w:p w:rsidR="00F52E38" w:rsidRPr="00A32AF4" w:rsidRDefault="00F52E38" w:rsidP="00DC0553">
      <w:pPr>
        <w:rPr>
          <w:lang w:eastAsia="da-DK"/>
        </w:rPr>
      </w:pPr>
    </w:p>
    <w:p w:rsidR="00F93B76" w:rsidRPr="00A32AF4" w:rsidRDefault="00D21583" w:rsidP="00FB1F61">
      <w:pPr>
        <w:pStyle w:val="Heading3"/>
        <w:rPr>
          <w:lang w:eastAsia="da-DK"/>
        </w:rPr>
      </w:pPr>
      <w:bookmarkStart w:id="72" w:name="_Toc431555475"/>
      <w:r w:rsidRPr="00A32AF4">
        <w:rPr>
          <w:lang w:eastAsia="da-DK"/>
        </w:rPr>
        <w:t>Annexe </w:t>
      </w:r>
      <w:r w:rsidR="00C47729" w:rsidRPr="00A32AF4">
        <w:rPr>
          <w:lang w:eastAsia="da-DK"/>
        </w:rPr>
        <w:t>I</w:t>
      </w:r>
      <w:r w:rsidR="00C47729" w:rsidRPr="00A32AF4">
        <w:rPr>
          <w:lang w:eastAsia="da-DK"/>
        </w:rPr>
        <w:tab/>
      </w:r>
      <w:r w:rsidR="001559D6" w:rsidRPr="00A32AF4">
        <w:rPr>
          <w:lang w:eastAsia="da-DK"/>
        </w:rPr>
        <w:t>BUDGET 2014</w:t>
      </w:r>
      <w:r w:rsidR="00EB7F54" w:rsidRPr="00A32AF4">
        <w:rPr>
          <w:lang w:eastAsia="da-DK"/>
        </w:rPr>
        <w:noBreakHyphen/>
      </w:r>
      <w:r w:rsidR="001559D6" w:rsidRPr="00A32AF4">
        <w:rPr>
          <w:lang w:eastAsia="da-DK"/>
        </w:rPr>
        <w:t>2015 APRÈS VIREMENTS PAR PROGRAMME</w:t>
      </w:r>
      <w:bookmarkEnd w:id="72"/>
    </w:p>
    <w:p w:rsidR="00F93B76" w:rsidRPr="00A32AF4" w:rsidRDefault="00F93B76" w:rsidP="00DC0553">
      <w:pPr>
        <w:rPr>
          <w:lang w:eastAsia="da-DK"/>
        </w:rPr>
      </w:pPr>
    </w:p>
    <w:p w:rsidR="00F93B76" w:rsidRPr="00A32AF4" w:rsidRDefault="00F93B76" w:rsidP="00DC0553">
      <w:pPr>
        <w:rPr>
          <w:lang w:eastAsia="da-DK"/>
        </w:rPr>
      </w:pPr>
    </w:p>
    <w:p w:rsidR="00F93B76" w:rsidRPr="00A32AF4" w:rsidRDefault="001559D6" w:rsidP="00DC0553">
      <w:pPr>
        <w:pStyle w:val="Heading6"/>
        <w:rPr>
          <w:i/>
          <w:iCs/>
          <w:sz w:val="22"/>
        </w:rPr>
      </w:pPr>
      <w:r w:rsidRPr="00A32AF4">
        <w:rPr>
          <w:b/>
          <w:sz w:val="20"/>
        </w:rPr>
        <w:t>Tableau 8.  Budget 2014</w:t>
      </w:r>
      <w:r w:rsidR="00EB7F54" w:rsidRPr="00A32AF4">
        <w:rPr>
          <w:b/>
          <w:sz w:val="20"/>
        </w:rPr>
        <w:noBreakHyphen/>
      </w:r>
      <w:r w:rsidRPr="00A32AF4">
        <w:rPr>
          <w:b/>
          <w:sz w:val="20"/>
        </w:rPr>
        <w:t>2015 après virements par programme</w:t>
      </w:r>
      <w:r w:rsidRPr="00A32AF4">
        <w:rPr>
          <w:b/>
          <w:sz w:val="20"/>
        </w:rPr>
        <w:br/>
      </w:r>
      <w:r w:rsidRPr="00A32AF4">
        <w:rPr>
          <w:i/>
          <w:iCs/>
          <w:sz w:val="20"/>
          <w:szCs w:val="18"/>
        </w:rPr>
        <w:t>(en milliers de francs suisses)</w:t>
      </w:r>
    </w:p>
    <w:p w:rsidR="00F93B76" w:rsidRPr="00A32AF4" w:rsidRDefault="00F93B76" w:rsidP="00DC0553">
      <w:pPr>
        <w:rPr>
          <w:lang w:eastAsia="da-DK"/>
        </w:rPr>
      </w:pPr>
    </w:p>
    <w:p w:rsidR="00F93B76" w:rsidRPr="00A32AF4" w:rsidRDefault="007806A5" w:rsidP="00DC0553">
      <w:pPr>
        <w:rPr>
          <w:lang w:eastAsia="da-DK"/>
        </w:rPr>
      </w:pPr>
      <w:r w:rsidRPr="00A32AF4">
        <w:rPr>
          <w:noProof/>
          <w:lang w:eastAsia="fr-FR"/>
        </w:rPr>
        <w:drawing>
          <wp:inline distT="0" distB="0" distL="0" distR="0" wp14:anchorId="477B363A" wp14:editId="5CDC3B57">
            <wp:extent cx="5760085" cy="613638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5760085" cy="6136384"/>
                    </a:xfrm>
                    <a:prstGeom prst="rect">
                      <a:avLst/>
                    </a:prstGeom>
                    <a:noFill/>
                    <a:ln>
                      <a:noFill/>
                    </a:ln>
                  </pic:spPr>
                </pic:pic>
              </a:graphicData>
            </a:graphic>
          </wp:inline>
        </w:drawing>
      </w:r>
    </w:p>
    <w:p w:rsidR="001559D6" w:rsidRPr="00A32AF4" w:rsidRDefault="001559D6" w:rsidP="00DC0553">
      <w:pPr>
        <w:rPr>
          <w:lang w:eastAsia="da-DK"/>
        </w:rPr>
        <w:sectPr w:rsidR="001559D6" w:rsidRPr="00A32AF4" w:rsidSect="00925DC3">
          <w:pgSz w:w="11907" w:h="16840" w:code="9"/>
          <w:pgMar w:top="624" w:right="1418" w:bottom="1361" w:left="1418" w:header="567" w:footer="851" w:gutter="0"/>
          <w:cols w:space="720"/>
          <w:docGrid w:linePitch="272"/>
        </w:sectPr>
      </w:pPr>
    </w:p>
    <w:p w:rsidR="00F93B76" w:rsidRPr="00A32AF4" w:rsidRDefault="00D21583" w:rsidP="00FB1F61">
      <w:pPr>
        <w:pStyle w:val="Heading3"/>
      </w:pPr>
      <w:bookmarkStart w:id="73" w:name="_Toc431555476"/>
      <w:r w:rsidRPr="00A32AF4">
        <w:rPr>
          <w:lang w:eastAsia="da-DK"/>
        </w:rPr>
        <w:t>Annexe </w:t>
      </w:r>
      <w:r w:rsidR="001559D6" w:rsidRPr="00A32AF4">
        <w:rPr>
          <w:lang w:eastAsia="da-DK"/>
        </w:rPr>
        <w:t>II</w:t>
      </w:r>
      <w:r w:rsidR="001559D6" w:rsidRPr="00A32AF4">
        <w:rPr>
          <w:lang w:eastAsia="da-DK"/>
        </w:rPr>
        <w:tab/>
      </w:r>
      <w:r w:rsidR="001559D6" w:rsidRPr="00A32AF4">
        <w:t>Ressources proposées pour</w:t>
      </w:r>
      <w:r w:rsidR="00FD43E3" w:rsidRPr="00A32AF4">
        <w:t> </w:t>
      </w:r>
      <w:r w:rsidR="001559D6" w:rsidRPr="00A32AF4">
        <w:t>2014</w:t>
      </w:r>
      <w:r w:rsidR="00EB7F54" w:rsidRPr="00A32AF4">
        <w:noBreakHyphen/>
      </w:r>
      <w:r w:rsidR="001559D6" w:rsidRPr="00A32AF4">
        <w:t>2015 par programme</w:t>
      </w:r>
      <w:bookmarkEnd w:id="73"/>
    </w:p>
    <w:p w:rsidR="00F93B76" w:rsidRPr="00A32AF4" w:rsidRDefault="00F93B76" w:rsidP="00DC0553"/>
    <w:p w:rsidR="00F93B76" w:rsidRPr="00A32AF4" w:rsidRDefault="001559D6" w:rsidP="00DC0553">
      <w:pPr>
        <w:pStyle w:val="Heading6"/>
        <w:rPr>
          <w:i/>
          <w:iCs/>
          <w:sz w:val="20"/>
        </w:rPr>
      </w:pPr>
      <w:r w:rsidRPr="00A32AF4">
        <w:rPr>
          <w:b/>
          <w:sz w:val="20"/>
        </w:rPr>
        <w:t>Tableau 9.  Budget 2016</w:t>
      </w:r>
      <w:r w:rsidR="00EB7F54" w:rsidRPr="00A32AF4">
        <w:rPr>
          <w:b/>
          <w:sz w:val="20"/>
        </w:rPr>
        <w:noBreakHyphen/>
      </w:r>
      <w:r w:rsidRPr="00A32AF4">
        <w:rPr>
          <w:b/>
          <w:sz w:val="20"/>
        </w:rPr>
        <w:t>2017 par programme</w:t>
      </w:r>
      <w:r w:rsidRPr="00A32AF4">
        <w:rPr>
          <w:b/>
          <w:sz w:val="20"/>
        </w:rPr>
        <w:br/>
      </w:r>
      <w:r w:rsidRPr="00A32AF4">
        <w:rPr>
          <w:i/>
          <w:iCs/>
          <w:sz w:val="20"/>
        </w:rPr>
        <w:t>(en milliers de francs suisses)</w:t>
      </w:r>
    </w:p>
    <w:p w:rsidR="00F93B76" w:rsidRPr="00A32AF4" w:rsidRDefault="00F93B76" w:rsidP="00DC0553"/>
    <w:p w:rsidR="00F93B76" w:rsidRPr="00A32AF4" w:rsidRDefault="005101CC" w:rsidP="00DC0553">
      <w:r w:rsidRPr="00A32AF4">
        <w:rPr>
          <w:noProof/>
          <w:lang w:eastAsia="fr-FR"/>
        </w:rPr>
        <w:drawing>
          <wp:inline distT="0" distB="0" distL="0" distR="0" wp14:anchorId="07DD6482" wp14:editId="536571EB">
            <wp:extent cx="8161337" cy="4957200"/>
            <wp:effectExtent l="0" t="0" r="0" b="0"/>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8161337" cy="4957200"/>
                    </a:xfrm>
                    <a:prstGeom prst="rect">
                      <a:avLst/>
                    </a:prstGeom>
                    <a:noFill/>
                    <a:ln>
                      <a:noFill/>
                    </a:ln>
                  </pic:spPr>
                </pic:pic>
              </a:graphicData>
            </a:graphic>
          </wp:inline>
        </w:drawing>
      </w:r>
    </w:p>
    <w:p w:rsidR="00F93B76" w:rsidRPr="00A32AF4" w:rsidRDefault="00F93B76" w:rsidP="00DC0553"/>
    <w:p w:rsidR="004115D5" w:rsidRPr="00A32AF4" w:rsidRDefault="004115D5" w:rsidP="00DC0553">
      <w:pPr>
        <w:jc w:val="center"/>
        <w:rPr>
          <w:szCs w:val="18"/>
        </w:rPr>
      </w:pPr>
      <w:r w:rsidRPr="00A32AF4">
        <w:rPr>
          <w:b/>
          <w:szCs w:val="18"/>
        </w:rPr>
        <w:t xml:space="preserve">Tableau 10.  </w:t>
      </w:r>
      <w:r w:rsidR="007A1906" w:rsidRPr="00A32AF4">
        <w:rPr>
          <w:b/>
          <w:szCs w:val="18"/>
        </w:rPr>
        <w:t>Nombre de p</w:t>
      </w:r>
      <w:r w:rsidRPr="00A32AF4">
        <w:rPr>
          <w:b/>
          <w:szCs w:val="18"/>
        </w:rPr>
        <w:t>ostes par programme</w:t>
      </w:r>
      <w:r w:rsidR="007A1906" w:rsidRPr="00A32AF4">
        <w:rPr>
          <w:b/>
          <w:szCs w:val="18"/>
        </w:rPr>
        <w:t xml:space="preserve"> pour</w:t>
      </w:r>
      <w:r w:rsidR="00FD43E3" w:rsidRPr="00A32AF4">
        <w:rPr>
          <w:b/>
          <w:szCs w:val="18"/>
        </w:rPr>
        <w:t> </w:t>
      </w:r>
      <w:r w:rsidR="007A1906" w:rsidRPr="00A32AF4">
        <w:rPr>
          <w:b/>
          <w:szCs w:val="18"/>
        </w:rPr>
        <w:t>2016</w:t>
      </w:r>
      <w:r w:rsidR="00EB7F54" w:rsidRPr="00A32AF4">
        <w:rPr>
          <w:b/>
          <w:szCs w:val="18"/>
        </w:rPr>
        <w:noBreakHyphen/>
      </w:r>
      <w:r w:rsidR="007A1906" w:rsidRPr="00A32AF4">
        <w:rPr>
          <w:b/>
          <w:szCs w:val="18"/>
        </w:rPr>
        <w:t>2017</w:t>
      </w:r>
    </w:p>
    <w:p w:rsidR="004115D5" w:rsidRPr="00A32AF4" w:rsidRDefault="004115D5" w:rsidP="00DC0553">
      <w:pPr>
        <w:rPr>
          <w:sz w:val="18"/>
          <w:szCs w:val="18"/>
        </w:rPr>
      </w:pPr>
    </w:p>
    <w:p w:rsidR="004115D5" w:rsidRPr="00A32AF4" w:rsidRDefault="00E978A6" w:rsidP="00DC0553">
      <w:r w:rsidRPr="00A32AF4">
        <w:rPr>
          <w:noProof/>
          <w:lang w:eastAsia="fr-FR"/>
        </w:rPr>
        <w:drawing>
          <wp:inline distT="0" distB="0" distL="0" distR="0" wp14:anchorId="75D02207" wp14:editId="4CB668B1">
            <wp:extent cx="9269572" cy="5436000"/>
            <wp:effectExtent l="0" t="0" r="8255" b="0"/>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9269572" cy="5436000"/>
                    </a:xfrm>
                    <a:prstGeom prst="rect">
                      <a:avLst/>
                    </a:prstGeom>
                    <a:noFill/>
                    <a:ln>
                      <a:noFill/>
                    </a:ln>
                  </pic:spPr>
                </pic:pic>
              </a:graphicData>
            </a:graphic>
          </wp:inline>
        </w:drawing>
      </w:r>
    </w:p>
    <w:p w:rsidR="004115D5" w:rsidRPr="00A32AF4" w:rsidRDefault="004115D5" w:rsidP="00DC0553"/>
    <w:p w:rsidR="001559D6" w:rsidRPr="00A32AF4" w:rsidRDefault="001559D6" w:rsidP="00DC0553">
      <w:pPr>
        <w:rPr>
          <w:lang w:eastAsia="da-DK"/>
        </w:rPr>
        <w:sectPr w:rsidR="001559D6" w:rsidRPr="00A32AF4" w:rsidSect="001559D6">
          <w:pgSz w:w="16840" w:h="11907" w:orient="landscape" w:code="9"/>
          <w:pgMar w:top="1304" w:right="567" w:bottom="1247" w:left="567" w:header="567" w:footer="851" w:gutter="0"/>
          <w:cols w:space="720"/>
          <w:docGrid w:linePitch="272"/>
        </w:sectPr>
      </w:pPr>
    </w:p>
    <w:p w:rsidR="00F93B76" w:rsidRPr="00A32AF4" w:rsidRDefault="00D21583" w:rsidP="00FB1F61">
      <w:pPr>
        <w:pStyle w:val="Heading3"/>
      </w:pPr>
      <w:bookmarkStart w:id="74" w:name="_Toc293334842"/>
      <w:bookmarkStart w:id="75" w:name="_Toc298920424"/>
      <w:bookmarkStart w:id="76" w:name="_Toc356567788"/>
      <w:bookmarkStart w:id="77" w:name="_Toc363200940"/>
      <w:bookmarkStart w:id="78" w:name="_Toc431555477"/>
      <w:r w:rsidRPr="00A32AF4">
        <w:t>ANNEXE </w:t>
      </w:r>
      <w:r w:rsidR="001559D6" w:rsidRPr="00A32AF4">
        <w:t>III</w:t>
      </w:r>
      <w:r w:rsidR="001559D6" w:rsidRPr="00A32AF4">
        <w:tab/>
      </w:r>
      <w:bookmarkEnd w:id="74"/>
      <w:bookmarkEnd w:id="75"/>
      <w:bookmarkEnd w:id="76"/>
      <w:bookmarkEnd w:id="77"/>
      <w:r w:rsidR="001559D6" w:rsidRPr="00A32AF4">
        <w:t>RÉPARTITION DES RECETTES ET DES DÉPENSES BUDGÉTAIRES PRÉVUES PAR UNION</w:t>
      </w:r>
      <w:bookmarkEnd w:id="78"/>
    </w:p>
    <w:p w:rsidR="00F93B76" w:rsidRPr="00A32AF4" w:rsidRDefault="00F93B76" w:rsidP="00DC0553">
      <w:pPr>
        <w:rPr>
          <w:rFonts w:cs="Arial"/>
        </w:rPr>
      </w:pPr>
    </w:p>
    <w:p w:rsidR="00F93B76" w:rsidRPr="00A32AF4" w:rsidRDefault="00F93B76" w:rsidP="00DC0553">
      <w:pPr>
        <w:rPr>
          <w:rFonts w:cs="Arial"/>
          <w:bCs/>
        </w:rPr>
      </w:pPr>
    </w:p>
    <w:p w:rsidR="00F93B76" w:rsidRPr="00A32AF4" w:rsidRDefault="001559D6" w:rsidP="00DC0553">
      <w:pPr>
        <w:rPr>
          <w:rFonts w:cs="Arial"/>
          <w:bCs/>
        </w:rPr>
      </w:pPr>
      <w:r w:rsidRPr="00A32AF4">
        <w:rPr>
          <w:rFonts w:cs="Arial"/>
          <w:bCs/>
        </w:rPr>
        <w:t>INTRODUCTION</w:t>
      </w:r>
    </w:p>
    <w:p w:rsidR="00F93B76" w:rsidRPr="00A32AF4" w:rsidRDefault="00F93B76" w:rsidP="00DC0553">
      <w:pPr>
        <w:jc w:val="both"/>
        <w:rPr>
          <w:rFonts w:cs="Arial"/>
        </w:rPr>
      </w:pPr>
    </w:p>
    <w:p w:rsidR="00F93B76" w:rsidRPr="00A32AF4" w:rsidRDefault="001559D6" w:rsidP="00DC0553">
      <w:pPr>
        <w:numPr>
          <w:ilvl w:val="0"/>
          <w:numId w:val="33"/>
        </w:numPr>
        <w:jc w:val="both"/>
        <w:rPr>
          <w:rFonts w:cs="Arial"/>
        </w:rPr>
      </w:pPr>
      <w:r w:rsidRPr="00A32AF4">
        <w:rPr>
          <w:rFonts w:cs="Arial"/>
        </w:rPr>
        <w:t>Conformément au règlement financier de l</w:t>
      </w:r>
      <w:r w:rsidR="00E2055A" w:rsidRPr="00A32AF4">
        <w:rPr>
          <w:rFonts w:cs="Arial"/>
        </w:rPr>
        <w:t>’</w:t>
      </w:r>
      <w:r w:rsidRPr="00A32AF4">
        <w:rPr>
          <w:rFonts w:cs="Arial"/>
        </w:rPr>
        <w:t>OMPI et à son règlement d</w:t>
      </w:r>
      <w:r w:rsidR="00E2055A" w:rsidRPr="00A32AF4">
        <w:rPr>
          <w:rFonts w:cs="Arial"/>
        </w:rPr>
        <w:t>’</w:t>
      </w:r>
      <w:r w:rsidRPr="00A32AF4">
        <w:rPr>
          <w:rFonts w:cs="Arial"/>
        </w:rPr>
        <w:t>exécution (règle 102.2), le budget pour l</w:t>
      </w:r>
      <w:r w:rsidR="00E2055A" w:rsidRPr="00A32AF4">
        <w:rPr>
          <w:rFonts w:cs="Arial"/>
        </w:rPr>
        <w:t>’</w:t>
      </w:r>
      <w:r w:rsidRPr="00A32AF4">
        <w:rPr>
          <w:rFonts w:cs="Arial"/>
        </w:rPr>
        <w:t>exercice biennal pour l</w:t>
      </w:r>
      <w:r w:rsidR="00E2055A" w:rsidRPr="00A32AF4">
        <w:rPr>
          <w:rFonts w:cs="Arial"/>
        </w:rPr>
        <w:t>’</w:t>
      </w:r>
      <w:r w:rsidRPr="00A32AF4">
        <w:rPr>
          <w:rFonts w:cs="Arial"/>
        </w:rPr>
        <w:t>Organisation doit être présenté séparément pour chaque Union.</w:t>
      </w:r>
    </w:p>
    <w:p w:rsidR="00F93B76" w:rsidRPr="00A32AF4" w:rsidRDefault="00F93B76" w:rsidP="00DC0553">
      <w:pPr>
        <w:rPr>
          <w:rFonts w:cs="Arial"/>
        </w:rPr>
      </w:pPr>
    </w:p>
    <w:p w:rsidR="00F93B76" w:rsidRPr="00A32AF4" w:rsidRDefault="001559D6" w:rsidP="00DC0553">
      <w:pPr>
        <w:rPr>
          <w:rFonts w:cs="Arial"/>
          <w:bCs/>
        </w:rPr>
      </w:pPr>
      <w:r w:rsidRPr="00A32AF4">
        <w:rPr>
          <w:rFonts w:cs="Arial"/>
          <w:bCs/>
        </w:rPr>
        <w:t>RÉPARTITION DES DÉPENSES BUDGÉTAIRES PAR UNION</w:t>
      </w:r>
    </w:p>
    <w:p w:rsidR="00F93B76" w:rsidRPr="00A32AF4" w:rsidRDefault="00F93B76" w:rsidP="00DC0553">
      <w:pPr>
        <w:jc w:val="both"/>
        <w:rPr>
          <w:rFonts w:cs="Arial"/>
          <w:b/>
          <w:i/>
        </w:rPr>
      </w:pPr>
    </w:p>
    <w:p w:rsidR="00F93B76" w:rsidRPr="00A32AF4" w:rsidRDefault="001559D6" w:rsidP="00DC0553">
      <w:pPr>
        <w:numPr>
          <w:ilvl w:val="0"/>
          <w:numId w:val="33"/>
        </w:numPr>
        <w:jc w:val="both"/>
        <w:rPr>
          <w:rFonts w:cs="Arial"/>
          <w:b/>
          <w:i/>
        </w:rPr>
      </w:pPr>
      <w:r w:rsidRPr="00A32AF4">
        <w:rPr>
          <w:rFonts w:cs="Arial"/>
        </w:rPr>
        <w:t>La méthodologie en ce qui concerne la répartition des dépenses par Union repose sur l</w:t>
      </w:r>
      <w:r w:rsidR="00E2055A" w:rsidRPr="00A32AF4">
        <w:rPr>
          <w:rFonts w:cs="Arial"/>
        </w:rPr>
        <w:t>’</w:t>
      </w:r>
      <w:r w:rsidRPr="00A32AF4">
        <w:rPr>
          <w:rFonts w:cs="Arial"/>
        </w:rPr>
        <w:t>identification des dépenses directes et des dépenses indirectes des Unions.  Les programmes sont classés en fonction des activités directes et des activités indirectes de chaque Union, comme indiqué ci</w:t>
      </w:r>
      <w:r w:rsidR="00EB7F54" w:rsidRPr="00A32AF4">
        <w:rPr>
          <w:rFonts w:cs="Arial"/>
        </w:rPr>
        <w:noBreakHyphen/>
      </w:r>
      <w:r w:rsidRPr="00A32AF4">
        <w:rPr>
          <w:rFonts w:cs="Arial"/>
        </w:rPr>
        <w:t>après.  La méthodologie utilisée pour le programme et budget pour l</w:t>
      </w:r>
      <w:r w:rsidR="00E2055A" w:rsidRPr="00A32AF4">
        <w:rPr>
          <w:rFonts w:cs="Arial"/>
        </w:rPr>
        <w:t>’</w:t>
      </w:r>
      <w:r w:rsidRPr="00A32AF4">
        <w:rPr>
          <w:rFonts w:cs="Arial"/>
        </w:rPr>
        <w:t>exercice 2016</w:t>
      </w:r>
      <w:r w:rsidR="00EB7F54" w:rsidRPr="00A32AF4">
        <w:rPr>
          <w:rFonts w:cs="Arial"/>
        </w:rPr>
        <w:noBreakHyphen/>
      </w:r>
      <w:r w:rsidRPr="00A32AF4">
        <w:rPr>
          <w:rFonts w:cs="Arial"/>
        </w:rPr>
        <w:t>2017 est identique à celle utilisée pour le programme et budget pour l</w:t>
      </w:r>
      <w:r w:rsidR="00E2055A" w:rsidRPr="00A32AF4">
        <w:rPr>
          <w:rFonts w:cs="Arial"/>
        </w:rPr>
        <w:t>’</w:t>
      </w:r>
      <w:r w:rsidRPr="00A32AF4">
        <w:rPr>
          <w:rFonts w:cs="Arial"/>
        </w:rPr>
        <w:t>exercice 2014</w:t>
      </w:r>
      <w:r w:rsidR="00EB7F54" w:rsidRPr="00A32AF4">
        <w:rPr>
          <w:rFonts w:cs="Arial"/>
        </w:rPr>
        <w:noBreakHyphen/>
      </w:r>
      <w:r w:rsidRPr="00A32AF4">
        <w:rPr>
          <w:rFonts w:cs="Arial"/>
        </w:rPr>
        <w:t>2015.</w:t>
      </w:r>
    </w:p>
    <w:p w:rsidR="00F93B76" w:rsidRPr="00A32AF4" w:rsidRDefault="00F93B76" w:rsidP="00DC0553">
      <w:pPr>
        <w:ind w:left="1"/>
        <w:jc w:val="both"/>
        <w:rPr>
          <w:rFonts w:cs="Arial"/>
          <w:b/>
          <w:i/>
        </w:rPr>
      </w:pPr>
    </w:p>
    <w:p w:rsidR="00F93B76" w:rsidRPr="00A32AF4" w:rsidRDefault="001559D6" w:rsidP="00DC0553">
      <w:pPr>
        <w:numPr>
          <w:ilvl w:val="0"/>
          <w:numId w:val="33"/>
        </w:numPr>
        <w:jc w:val="both"/>
        <w:rPr>
          <w:rFonts w:cs="Arial"/>
        </w:rPr>
      </w:pPr>
      <w:r w:rsidRPr="00A32AF4">
        <w:rPr>
          <w:rFonts w:cs="Arial"/>
          <w:i/>
        </w:rPr>
        <w:t>DÉPENSES DIRECTES DE L</w:t>
      </w:r>
      <w:r w:rsidR="00E2055A" w:rsidRPr="00A32AF4">
        <w:rPr>
          <w:rFonts w:cs="Arial"/>
          <w:i/>
        </w:rPr>
        <w:t>’</w:t>
      </w:r>
      <w:r w:rsidRPr="00A32AF4">
        <w:rPr>
          <w:rFonts w:cs="Arial"/>
          <w:i/>
        </w:rPr>
        <w:t xml:space="preserve">UNION : </w:t>
      </w:r>
      <w:r w:rsidRPr="00A32AF4">
        <w:rPr>
          <w:rFonts w:cs="Arial"/>
        </w:rPr>
        <w:t>il s</w:t>
      </w:r>
      <w:r w:rsidR="00E2055A" w:rsidRPr="00A32AF4">
        <w:rPr>
          <w:rFonts w:cs="Arial"/>
        </w:rPr>
        <w:t>’</w:t>
      </w:r>
      <w:r w:rsidRPr="00A32AF4">
        <w:rPr>
          <w:rFonts w:cs="Arial"/>
        </w:rPr>
        <w:t>agit des dépenses supportées au titre des activités propres à chaque Union et de la part imputable des dépenses administratives et autres dépenses budgétaires connexes.</w:t>
      </w:r>
    </w:p>
    <w:p w:rsidR="00F93B76" w:rsidRPr="00A32AF4" w:rsidRDefault="00F93B76" w:rsidP="00DC0553">
      <w:pPr>
        <w:jc w:val="both"/>
        <w:rPr>
          <w:rFonts w:cs="Arial"/>
        </w:rPr>
      </w:pPr>
    </w:p>
    <w:p w:rsidR="00F93B76" w:rsidRPr="00A32AF4" w:rsidRDefault="001559D6" w:rsidP="00DC0553">
      <w:pPr>
        <w:ind w:left="1080" w:hanging="540"/>
        <w:jc w:val="both"/>
        <w:rPr>
          <w:rFonts w:cs="Arial"/>
          <w:i/>
        </w:rPr>
      </w:pPr>
      <w:r w:rsidRPr="00A32AF4">
        <w:rPr>
          <w:rFonts w:cs="Arial"/>
          <w:i/>
        </w:rPr>
        <w:t>3.1</w:t>
      </w:r>
      <w:r w:rsidRPr="00A32AF4">
        <w:rPr>
          <w:rFonts w:cs="Arial"/>
          <w:i/>
        </w:rPr>
        <w:tab/>
        <w:t xml:space="preserve">Activités propres à chaque Union : </w:t>
      </w:r>
      <w:r w:rsidRPr="00A32AF4">
        <w:rPr>
          <w:rFonts w:cs="Arial"/>
        </w:rPr>
        <w:t>les activités de programme et dépenses budgétaires ci</w:t>
      </w:r>
      <w:r w:rsidR="00EB7F54" w:rsidRPr="00A32AF4">
        <w:rPr>
          <w:rFonts w:cs="Arial"/>
        </w:rPr>
        <w:noBreakHyphen/>
      </w:r>
      <w:r w:rsidRPr="00A32AF4">
        <w:rPr>
          <w:rFonts w:cs="Arial"/>
        </w:rPr>
        <w:t>après sont prises en considération sous cette rubrique.  Lorsque les dépenses au titre d</w:t>
      </w:r>
      <w:r w:rsidR="00E2055A" w:rsidRPr="00A32AF4">
        <w:rPr>
          <w:rFonts w:cs="Arial"/>
        </w:rPr>
        <w:t>’</w:t>
      </w:r>
      <w:r w:rsidRPr="00A32AF4">
        <w:rPr>
          <w:rFonts w:cs="Arial"/>
        </w:rPr>
        <w:t>un programme sont attribuées uniquement en partie à une Union, la base de l</w:t>
      </w:r>
      <w:r w:rsidR="00E2055A" w:rsidRPr="00A32AF4">
        <w:rPr>
          <w:rFonts w:cs="Arial"/>
        </w:rPr>
        <w:t>’</w:t>
      </w:r>
      <w:r w:rsidRPr="00A32AF4">
        <w:rPr>
          <w:rFonts w:cs="Arial"/>
        </w:rPr>
        <w:t>attribution est la part respective de l</w:t>
      </w:r>
      <w:r w:rsidR="00E2055A" w:rsidRPr="00A32AF4">
        <w:rPr>
          <w:rFonts w:cs="Arial"/>
        </w:rPr>
        <w:t>’</w:t>
      </w:r>
      <w:r w:rsidRPr="00A32AF4">
        <w:rPr>
          <w:rFonts w:cs="Arial"/>
        </w:rPr>
        <w:t>Union dans ces dépenses selon l</w:t>
      </w:r>
      <w:r w:rsidR="00E2055A" w:rsidRPr="00A32AF4">
        <w:rPr>
          <w:rFonts w:cs="Arial"/>
        </w:rPr>
        <w:t>’</w:t>
      </w:r>
      <w:r w:rsidRPr="00A32AF4">
        <w:rPr>
          <w:rFonts w:cs="Arial"/>
        </w:rPr>
        <w:t>évaluation faite par le chef de programme.  Lorsqu</w:t>
      </w:r>
      <w:r w:rsidR="00E2055A" w:rsidRPr="00A32AF4">
        <w:rPr>
          <w:rFonts w:cs="Arial"/>
        </w:rPr>
        <w:t>’</w:t>
      </w:r>
      <w:r w:rsidRPr="00A32AF4">
        <w:rPr>
          <w:rFonts w:cs="Arial"/>
        </w:rPr>
        <w:t>un programme est attribué à une seule Union, le coût total de ce programme est attribué à l</w:t>
      </w:r>
      <w:r w:rsidR="00E2055A" w:rsidRPr="00A32AF4">
        <w:rPr>
          <w:rFonts w:cs="Arial"/>
        </w:rPr>
        <w:t>’</w:t>
      </w:r>
      <w:r w:rsidRPr="00A32AF4">
        <w:rPr>
          <w:rFonts w:cs="Arial"/>
        </w:rPr>
        <w:t>Union en question.</w:t>
      </w:r>
    </w:p>
    <w:p w:rsidR="00F93B76" w:rsidRPr="00A32AF4" w:rsidRDefault="00F93B76" w:rsidP="00DC0553">
      <w:pPr>
        <w:jc w:val="both"/>
        <w:rPr>
          <w:rFonts w:cs="Arial"/>
        </w:rPr>
      </w:pPr>
    </w:p>
    <w:p w:rsidR="00F93B76" w:rsidRPr="00A32AF4" w:rsidRDefault="001559D6" w:rsidP="00DC0553">
      <w:pPr>
        <w:spacing w:after="60"/>
        <w:ind w:left="1843" w:hanging="766"/>
        <w:jc w:val="both"/>
        <w:rPr>
          <w:rFonts w:cs="Arial"/>
        </w:rPr>
      </w:pPr>
      <w:r w:rsidRPr="00A32AF4">
        <w:rPr>
          <w:rFonts w:cs="Arial"/>
          <w:i/>
        </w:rPr>
        <w:t>3.1.1</w:t>
      </w:r>
      <w:r w:rsidRPr="00A32AF4">
        <w:rPr>
          <w:rFonts w:cs="Arial"/>
          <w:i/>
        </w:rPr>
        <w:tab/>
        <w:t xml:space="preserve">Unions financées par des contributions : </w:t>
      </w:r>
      <w:r w:rsidRPr="00A32AF4">
        <w:rPr>
          <w:rFonts w:cs="Arial"/>
        </w:rPr>
        <w:t>programmes 1 (droit des brevets) (en partie), 2 (marques, dessins et modèles industriels et indications géographiques) (en partie), 3 (droit d</w:t>
      </w:r>
      <w:r w:rsidR="00E2055A" w:rsidRPr="00A32AF4">
        <w:rPr>
          <w:rFonts w:cs="Arial"/>
        </w:rPr>
        <w:t>’</w:t>
      </w:r>
      <w:r w:rsidRPr="00A32AF4">
        <w:rPr>
          <w:rFonts w:cs="Arial"/>
        </w:rPr>
        <w:t>auteur et droits connexes) (en partie), 4 (savoirs traditionnels, expressions culturelles traditionnelles et ressources génétiques), 7 (centre d</w:t>
      </w:r>
      <w:r w:rsidR="00E2055A" w:rsidRPr="00A32AF4">
        <w:rPr>
          <w:rFonts w:cs="Arial"/>
        </w:rPr>
        <w:t>’</w:t>
      </w:r>
      <w:r w:rsidRPr="00A32AF4">
        <w:rPr>
          <w:rFonts w:cs="Arial"/>
        </w:rPr>
        <w:t>arbitrage et de médiation de l</w:t>
      </w:r>
      <w:r w:rsidR="00E2055A" w:rsidRPr="00A32AF4">
        <w:rPr>
          <w:rFonts w:cs="Arial"/>
        </w:rPr>
        <w:t>’</w:t>
      </w:r>
      <w:r w:rsidRPr="00A32AF4">
        <w:rPr>
          <w:rFonts w:cs="Arial"/>
        </w:rPr>
        <w:t>OMPI) (en partie), 12 (classifications internationales et normes) (en partie) et 14 (services d</w:t>
      </w:r>
      <w:r w:rsidR="00E2055A" w:rsidRPr="00A32AF4">
        <w:rPr>
          <w:rFonts w:cs="Arial"/>
        </w:rPr>
        <w:t>’</w:t>
      </w:r>
      <w:r w:rsidRPr="00A32AF4">
        <w:rPr>
          <w:rFonts w:cs="Arial"/>
        </w:rPr>
        <w:t>accès à l</w:t>
      </w:r>
      <w:r w:rsidR="00E2055A" w:rsidRPr="00A32AF4">
        <w:rPr>
          <w:rFonts w:cs="Arial"/>
        </w:rPr>
        <w:t>’</w:t>
      </w:r>
      <w:r w:rsidRPr="00A32AF4">
        <w:rPr>
          <w:rFonts w:cs="Arial"/>
        </w:rPr>
        <w:t>information et aux savoirs) (en partie).</w:t>
      </w:r>
    </w:p>
    <w:p w:rsidR="00F93B76" w:rsidRPr="00A32AF4" w:rsidRDefault="001559D6" w:rsidP="00DC0553">
      <w:pPr>
        <w:spacing w:after="60"/>
        <w:ind w:left="1843" w:hanging="766"/>
        <w:jc w:val="both"/>
        <w:rPr>
          <w:rFonts w:cs="Arial"/>
        </w:rPr>
      </w:pPr>
      <w:r w:rsidRPr="00A32AF4">
        <w:rPr>
          <w:rFonts w:cs="Arial"/>
          <w:i/>
        </w:rPr>
        <w:t>3.1.2</w:t>
      </w:r>
      <w:r w:rsidRPr="00A32AF4">
        <w:rPr>
          <w:rFonts w:cs="Arial"/>
          <w:i/>
        </w:rPr>
        <w:tab/>
        <w:t xml:space="preserve">Union du PCT : </w:t>
      </w:r>
      <w:r w:rsidRPr="00A32AF4">
        <w:rPr>
          <w:rFonts w:cs="Arial"/>
        </w:rPr>
        <w:t>programmes 1 (droit des brevets) (en partie), 5 (système du PCT), 7 (centre d</w:t>
      </w:r>
      <w:r w:rsidR="00E2055A" w:rsidRPr="00A32AF4">
        <w:rPr>
          <w:rFonts w:cs="Arial"/>
        </w:rPr>
        <w:t>’</w:t>
      </w:r>
      <w:r w:rsidRPr="00A32AF4">
        <w:rPr>
          <w:rFonts w:cs="Arial"/>
        </w:rPr>
        <w:t>arbitrage et de médiation de l</w:t>
      </w:r>
      <w:r w:rsidR="00E2055A" w:rsidRPr="00A32AF4">
        <w:rPr>
          <w:rFonts w:cs="Arial"/>
        </w:rPr>
        <w:t>’</w:t>
      </w:r>
      <w:r w:rsidRPr="00A32AF4">
        <w:rPr>
          <w:rFonts w:cs="Arial"/>
        </w:rPr>
        <w:t>OMPI) (en partie), 12 (classifications internationales et normes) (en partie), 13 (bases de données mondiales) (en partie) et 14 (services d</w:t>
      </w:r>
      <w:r w:rsidR="00E2055A" w:rsidRPr="00A32AF4">
        <w:rPr>
          <w:rFonts w:cs="Arial"/>
        </w:rPr>
        <w:t>’</w:t>
      </w:r>
      <w:r w:rsidRPr="00A32AF4">
        <w:rPr>
          <w:rFonts w:cs="Arial"/>
        </w:rPr>
        <w:t>accès à l</w:t>
      </w:r>
      <w:r w:rsidR="00E2055A" w:rsidRPr="00A32AF4">
        <w:rPr>
          <w:rFonts w:cs="Arial"/>
        </w:rPr>
        <w:t>’</w:t>
      </w:r>
      <w:r w:rsidRPr="00A32AF4">
        <w:rPr>
          <w:rFonts w:cs="Arial"/>
        </w:rPr>
        <w:t>information et aux savoirs) (en partie).</w:t>
      </w:r>
    </w:p>
    <w:p w:rsidR="00F93B76" w:rsidRPr="00A32AF4" w:rsidRDefault="001559D6" w:rsidP="00DC0553">
      <w:pPr>
        <w:spacing w:after="60"/>
        <w:ind w:left="1843" w:hanging="766"/>
        <w:jc w:val="both"/>
        <w:rPr>
          <w:rFonts w:cs="Arial"/>
        </w:rPr>
      </w:pPr>
      <w:r w:rsidRPr="00A32AF4">
        <w:rPr>
          <w:rFonts w:cs="Arial"/>
          <w:i/>
        </w:rPr>
        <w:t>3.1.3</w:t>
      </w:r>
      <w:r w:rsidRPr="00A32AF4">
        <w:rPr>
          <w:rFonts w:cs="Arial"/>
          <w:i/>
        </w:rPr>
        <w:tab/>
        <w:t xml:space="preserve">Union de Madrid : </w:t>
      </w:r>
      <w:r w:rsidRPr="00A32AF4">
        <w:rPr>
          <w:rFonts w:cs="Arial"/>
        </w:rPr>
        <w:t>programmes 2 (marques, dessins et modèles industriels et indications géograp</w:t>
      </w:r>
      <w:r w:rsidR="00E978A6" w:rsidRPr="00A32AF4">
        <w:rPr>
          <w:rFonts w:cs="Arial"/>
        </w:rPr>
        <w:t>hiques) (en partie), 6 (système</w:t>
      </w:r>
      <w:r w:rsidRPr="00A32AF4">
        <w:rPr>
          <w:rFonts w:cs="Arial"/>
        </w:rPr>
        <w:t xml:space="preserve"> de Madrid) (en partie), 7 (centre d</w:t>
      </w:r>
      <w:r w:rsidR="00E2055A" w:rsidRPr="00A32AF4">
        <w:rPr>
          <w:rFonts w:cs="Arial"/>
        </w:rPr>
        <w:t>’</w:t>
      </w:r>
      <w:r w:rsidRPr="00A32AF4">
        <w:rPr>
          <w:rFonts w:cs="Arial"/>
        </w:rPr>
        <w:t>arbitrage et de médiation de l</w:t>
      </w:r>
      <w:r w:rsidR="00E2055A" w:rsidRPr="00A32AF4">
        <w:rPr>
          <w:rFonts w:cs="Arial"/>
        </w:rPr>
        <w:t>’</w:t>
      </w:r>
      <w:r w:rsidRPr="00A32AF4">
        <w:rPr>
          <w:rFonts w:cs="Arial"/>
        </w:rPr>
        <w:t>OMPI) (en partie), 12 (classifications internationales et normes) (en partie), 13 (bases de données mondiales) (en partie</w:t>
      </w:r>
      <w:r w:rsidR="00223A71" w:rsidRPr="00A32AF4">
        <w:rPr>
          <w:rFonts w:cs="Arial"/>
        </w:rPr>
        <w:t xml:space="preserve">) et </w:t>
      </w:r>
      <w:r w:rsidRPr="00A32AF4">
        <w:rPr>
          <w:rFonts w:cs="Arial"/>
        </w:rPr>
        <w:t>14 (services d</w:t>
      </w:r>
      <w:r w:rsidR="00E2055A" w:rsidRPr="00A32AF4">
        <w:rPr>
          <w:rFonts w:cs="Arial"/>
        </w:rPr>
        <w:t>’</w:t>
      </w:r>
      <w:r w:rsidRPr="00A32AF4">
        <w:rPr>
          <w:rFonts w:cs="Arial"/>
        </w:rPr>
        <w:t>accès à l</w:t>
      </w:r>
      <w:r w:rsidR="00E2055A" w:rsidRPr="00A32AF4">
        <w:rPr>
          <w:rFonts w:cs="Arial"/>
        </w:rPr>
        <w:t>’</w:t>
      </w:r>
      <w:r w:rsidRPr="00A32AF4">
        <w:rPr>
          <w:rFonts w:cs="Arial"/>
        </w:rPr>
        <w:t>information et aux savoirs) (en partie).</w:t>
      </w:r>
    </w:p>
    <w:p w:rsidR="00F93B76" w:rsidRPr="00A32AF4" w:rsidRDefault="001559D6" w:rsidP="00DC0553">
      <w:pPr>
        <w:spacing w:after="60"/>
        <w:ind w:left="1843" w:hanging="766"/>
        <w:jc w:val="both"/>
        <w:rPr>
          <w:rFonts w:cs="Arial"/>
        </w:rPr>
      </w:pPr>
      <w:r w:rsidRPr="00A32AF4">
        <w:rPr>
          <w:rFonts w:cs="Arial"/>
          <w:i/>
        </w:rPr>
        <w:t>3.1.4</w:t>
      </w:r>
      <w:r w:rsidRPr="00A32AF4">
        <w:rPr>
          <w:rFonts w:cs="Arial"/>
          <w:i/>
        </w:rPr>
        <w:tab/>
        <w:t xml:space="preserve">Union de </w:t>
      </w:r>
      <w:r w:rsidR="00E2055A" w:rsidRPr="00A32AF4">
        <w:rPr>
          <w:rFonts w:cs="Arial"/>
          <w:i/>
        </w:rPr>
        <w:t>La Haye</w:t>
      </w:r>
      <w:r w:rsidRPr="00A32AF4">
        <w:rPr>
          <w:rFonts w:cs="Arial"/>
          <w:i/>
        </w:rPr>
        <w:t xml:space="preserve"> : </w:t>
      </w:r>
      <w:r w:rsidRPr="00A32AF4">
        <w:rPr>
          <w:rFonts w:cs="Arial"/>
        </w:rPr>
        <w:t>programmes 2 (marques, dessins et modèles industriels et indications géographiques) (en partie), 6 (système de Madrid), 7 (centre d</w:t>
      </w:r>
      <w:r w:rsidR="00E2055A" w:rsidRPr="00A32AF4">
        <w:rPr>
          <w:rFonts w:cs="Arial"/>
        </w:rPr>
        <w:t>’</w:t>
      </w:r>
      <w:r w:rsidRPr="00A32AF4">
        <w:rPr>
          <w:rFonts w:cs="Arial"/>
        </w:rPr>
        <w:t>arbitrage et de médiation de l</w:t>
      </w:r>
      <w:r w:rsidR="00E2055A" w:rsidRPr="00A32AF4">
        <w:rPr>
          <w:rFonts w:cs="Arial"/>
        </w:rPr>
        <w:t>’</w:t>
      </w:r>
      <w:r w:rsidRPr="00A32AF4">
        <w:rPr>
          <w:rFonts w:cs="Arial"/>
        </w:rPr>
        <w:t>OMPI) (en partie), 12 (classifications internationales et normes) (en partie), et 14 (services d</w:t>
      </w:r>
      <w:r w:rsidR="00E2055A" w:rsidRPr="00A32AF4">
        <w:rPr>
          <w:rFonts w:cs="Arial"/>
        </w:rPr>
        <w:t>’</w:t>
      </w:r>
      <w:r w:rsidRPr="00A32AF4">
        <w:rPr>
          <w:rFonts w:cs="Arial"/>
        </w:rPr>
        <w:t>accès à l</w:t>
      </w:r>
      <w:r w:rsidR="00E2055A" w:rsidRPr="00A32AF4">
        <w:rPr>
          <w:rFonts w:cs="Arial"/>
        </w:rPr>
        <w:t>’</w:t>
      </w:r>
      <w:r w:rsidRPr="00A32AF4">
        <w:rPr>
          <w:rFonts w:cs="Arial"/>
        </w:rPr>
        <w:t xml:space="preserve">information et aux savoirs) (en partie) et 31 (système de </w:t>
      </w:r>
      <w:r w:rsidR="00E2055A" w:rsidRPr="00A32AF4">
        <w:rPr>
          <w:rFonts w:cs="Arial"/>
        </w:rPr>
        <w:t>La Haye</w:t>
      </w:r>
      <w:r w:rsidRPr="00A32AF4">
        <w:rPr>
          <w:rFonts w:cs="Arial"/>
        </w:rPr>
        <w:t>).</w:t>
      </w:r>
    </w:p>
    <w:p w:rsidR="00F93B76" w:rsidRPr="00A32AF4" w:rsidRDefault="001559D6" w:rsidP="00DC0553">
      <w:pPr>
        <w:spacing w:after="60"/>
        <w:ind w:left="1843" w:hanging="766"/>
        <w:jc w:val="both"/>
        <w:rPr>
          <w:rFonts w:cs="Arial"/>
        </w:rPr>
      </w:pPr>
      <w:r w:rsidRPr="00A32AF4">
        <w:rPr>
          <w:rFonts w:cs="Arial"/>
          <w:i/>
        </w:rPr>
        <w:t>3.1.5</w:t>
      </w:r>
      <w:r w:rsidRPr="00A32AF4">
        <w:rPr>
          <w:rFonts w:cs="Arial"/>
          <w:i/>
        </w:rPr>
        <w:tab/>
        <w:t xml:space="preserve">Union de Lisbonne : </w:t>
      </w:r>
      <w:r w:rsidRPr="00A32AF4">
        <w:rPr>
          <w:rFonts w:cs="Arial"/>
        </w:rPr>
        <w:t>programmes 6 (système de Madrid) (en partie), 7 (centre d</w:t>
      </w:r>
      <w:r w:rsidR="00E2055A" w:rsidRPr="00A32AF4">
        <w:rPr>
          <w:rFonts w:cs="Arial"/>
        </w:rPr>
        <w:t>’</w:t>
      </w:r>
      <w:r w:rsidRPr="00A32AF4">
        <w:rPr>
          <w:rFonts w:cs="Arial"/>
        </w:rPr>
        <w:t>arbitrage et de médiation de l</w:t>
      </w:r>
      <w:r w:rsidR="00E2055A" w:rsidRPr="00A32AF4">
        <w:rPr>
          <w:rFonts w:cs="Arial"/>
        </w:rPr>
        <w:t>’</w:t>
      </w:r>
      <w:r w:rsidR="00E978A6" w:rsidRPr="00A32AF4">
        <w:rPr>
          <w:rFonts w:cs="Arial"/>
        </w:rPr>
        <w:t>OMPI) (en partie),</w:t>
      </w:r>
      <w:r w:rsidRPr="00A32AF4">
        <w:rPr>
          <w:rFonts w:cs="Arial"/>
        </w:rPr>
        <w:t xml:space="preserve"> 14 (services d</w:t>
      </w:r>
      <w:r w:rsidR="00E2055A" w:rsidRPr="00A32AF4">
        <w:rPr>
          <w:rFonts w:cs="Arial"/>
        </w:rPr>
        <w:t>’</w:t>
      </w:r>
      <w:r w:rsidRPr="00A32AF4">
        <w:rPr>
          <w:rFonts w:cs="Arial"/>
        </w:rPr>
        <w:t>accès à l</w:t>
      </w:r>
      <w:r w:rsidR="00E2055A" w:rsidRPr="00A32AF4">
        <w:rPr>
          <w:rFonts w:cs="Arial"/>
        </w:rPr>
        <w:t>’</w:t>
      </w:r>
      <w:r w:rsidRPr="00A32AF4">
        <w:rPr>
          <w:rFonts w:cs="Arial"/>
        </w:rPr>
        <w:t>information et aux savoirs) (en partie)</w:t>
      </w:r>
      <w:r w:rsidR="00E978A6" w:rsidRPr="00A32AF4">
        <w:rPr>
          <w:rFonts w:cs="Arial"/>
        </w:rPr>
        <w:t xml:space="preserve"> et 32 (système de Lisbonne)</w:t>
      </w:r>
      <w:r w:rsidRPr="00A32AF4">
        <w:rPr>
          <w:rFonts w:cs="Arial"/>
        </w:rPr>
        <w:t>.</w:t>
      </w:r>
    </w:p>
    <w:p w:rsidR="00F93B76" w:rsidRPr="00A32AF4" w:rsidRDefault="00F93B76" w:rsidP="00DC0553">
      <w:pPr>
        <w:jc w:val="both"/>
        <w:rPr>
          <w:rFonts w:cs="Arial"/>
        </w:rPr>
      </w:pPr>
    </w:p>
    <w:p w:rsidR="00F93B76" w:rsidRPr="00A32AF4" w:rsidRDefault="001559D6" w:rsidP="00DC0553">
      <w:pPr>
        <w:ind w:left="1080" w:hanging="513"/>
        <w:jc w:val="both"/>
        <w:rPr>
          <w:rFonts w:cs="Arial"/>
        </w:rPr>
      </w:pPr>
      <w:r w:rsidRPr="00A32AF4">
        <w:rPr>
          <w:rFonts w:cs="Arial"/>
          <w:i/>
        </w:rPr>
        <w:t>3.2</w:t>
      </w:r>
      <w:r w:rsidRPr="00A32AF4">
        <w:rPr>
          <w:rFonts w:cs="Arial"/>
          <w:i/>
        </w:rPr>
        <w:tab/>
        <w:t>Dépenses administratives directes de l</w:t>
      </w:r>
      <w:r w:rsidR="00E2055A" w:rsidRPr="00A32AF4">
        <w:rPr>
          <w:rFonts w:cs="Arial"/>
          <w:i/>
        </w:rPr>
        <w:t>’</w:t>
      </w:r>
      <w:r w:rsidRPr="00A32AF4">
        <w:rPr>
          <w:rFonts w:cs="Arial"/>
          <w:i/>
        </w:rPr>
        <w:t xml:space="preserve">Union : </w:t>
      </w:r>
      <w:r w:rsidRPr="00A32AF4">
        <w:rPr>
          <w:rFonts w:cs="Arial"/>
        </w:rPr>
        <w:t>une partie de tous les programmes relevant de l</w:t>
      </w:r>
      <w:r w:rsidR="00E2055A" w:rsidRPr="00A32AF4">
        <w:rPr>
          <w:rFonts w:cs="Arial"/>
        </w:rPr>
        <w:t>’</w:t>
      </w:r>
      <w:r w:rsidRPr="00A32AF4">
        <w:rPr>
          <w:rFonts w:cs="Arial"/>
        </w:rPr>
        <w:t xml:space="preserve">objectif stratégique IX (programmes 21 à 28) et </w:t>
      </w:r>
      <w:r w:rsidR="00B63C9F" w:rsidRPr="00A32AF4">
        <w:rPr>
          <w:rFonts w:cs="Arial"/>
        </w:rPr>
        <w:t>“</w:t>
      </w:r>
      <w:r w:rsidRPr="00A32AF4">
        <w:rPr>
          <w:rFonts w:cs="Arial"/>
        </w:rPr>
        <w:t>non affecté</w:t>
      </w:r>
      <w:r w:rsidR="00B63C9F" w:rsidRPr="00A32AF4">
        <w:rPr>
          <w:rFonts w:cs="Arial"/>
        </w:rPr>
        <w:t>”</w:t>
      </w:r>
      <w:r w:rsidRPr="00A32AF4">
        <w:rPr>
          <w:rFonts w:cs="Arial"/>
        </w:rPr>
        <w:t xml:space="preserve"> est considérée comme appartenant à cette rubrique.  La répartition des dépenses budgétaires se fait en deux étapes.  Lors de la première étape, la totalité de la part des coûts administratifs directs de toutes les Unions est déterminée sur la base de la totalité des effectifs des programmes en rapport direct avec l</w:t>
      </w:r>
      <w:r w:rsidR="00E2055A" w:rsidRPr="00A32AF4">
        <w:rPr>
          <w:rFonts w:cs="Arial"/>
        </w:rPr>
        <w:t>’</w:t>
      </w:r>
      <w:r w:rsidRPr="00A32AF4">
        <w:rPr>
          <w:rFonts w:cs="Arial"/>
        </w:rPr>
        <w:t>Union par rapport à la totalité des effectifs des programmes autres que ceux relevant de l</w:t>
      </w:r>
      <w:r w:rsidR="00E2055A" w:rsidRPr="00A32AF4">
        <w:rPr>
          <w:rFonts w:cs="Arial"/>
        </w:rPr>
        <w:t>’</w:t>
      </w:r>
      <w:r w:rsidRPr="00A32AF4">
        <w:rPr>
          <w:rFonts w:cs="Arial"/>
        </w:rPr>
        <w:t>objectif stratégique IX.  Au cours de la seconde étape, les dépenses administratives directes des Unions sont réparties entre les différentes Unions sur la base de la part relative des effectifs de chaque Union par rapport à la totalité des effectifs des programmes en rapport direct avec l</w:t>
      </w:r>
      <w:r w:rsidR="00E2055A" w:rsidRPr="00A32AF4">
        <w:rPr>
          <w:rFonts w:cs="Arial"/>
        </w:rPr>
        <w:t>’</w:t>
      </w:r>
      <w:r w:rsidRPr="00A32AF4">
        <w:rPr>
          <w:rFonts w:cs="Arial"/>
        </w:rPr>
        <w:t>Union.  La procédure en deux étapes s</w:t>
      </w:r>
      <w:r w:rsidR="00E2055A" w:rsidRPr="00A32AF4">
        <w:rPr>
          <w:rFonts w:cs="Arial"/>
        </w:rPr>
        <w:t>’</w:t>
      </w:r>
      <w:r w:rsidRPr="00A32AF4">
        <w:rPr>
          <w:rFonts w:cs="Arial"/>
        </w:rPr>
        <w:t>applique à la partie des dépenses administratives qu</w:t>
      </w:r>
      <w:r w:rsidR="00E2055A" w:rsidRPr="00A32AF4">
        <w:rPr>
          <w:rFonts w:cs="Arial"/>
        </w:rPr>
        <w:t>’</w:t>
      </w:r>
      <w:r w:rsidRPr="00A32AF4">
        <w:rPr>
          <w:rFonts w:cs="Arial"/>
        </w:rPr>
        <w:t>il n</w:t>
      </w:r>
      <w:r w:rsidR="00E2055A" w:rsidRPr="00A32AF4">
        <w:rPr>
          <w:rFonts w:cs="Arial"/>
        </w:rPr>
        <w:t>’</w:t>
      </w:r>
      <w:r w:rsidRPr="00A32AF4">
        <w:rPr>
          <w:rFonts w:cs="Arial"/>
        </w:rPr>
        <w:t>est pas facile d</w:t>
      </w:r>
      <w:r w:rsidR="00E2055A" w:rsidRPr="00A32AF4">
        <w:rPr>
          <w:rFonts w:cs="Arial"/>
        </w:rPr>
        <w:t>’</w:t>
      </w:r>
      <w:r w:rsidRPr="00A32AF4">
        <w:rPr>
          <w:rFonts w:cs="Arial"/>
        </w:rPr>
        <w:t>identifier comme étant liée à une Union spécifique.</w:t>
      </w:r>
    </w:p>
    <w:p w:rsidR="00F93B76" w:rsidRPr="00A32AF4" w:rsidRDefault="00F93B76" w:rsidP="00DC0553">
      <w:pPr>
        <w:jc w:val="both"/>
        <w:rPr>
          <w:rFonts w:cs="Arial"/>
          <w:b/>
          <w:i/>
        </w:rPr>
      </w:pPr>
    </w:p>
    <w:p w:rsidR="00F93B76" w:rsidRPr="00A32AF4" w:rsidRDefault="001559D6" w:rsidP="00DC0553">
      <w:pPr>
        <w:numPr>
          <w:ilvl w:val="0"/>
          <w:numId w:val="33"/>
        </w:numPr>
        <w:jc w:val="both"/>
        <w:rPr>
          <w:rFonts w:cs="Arial"/>
          <w:b/>
        </w:rPr>
      </w:pPr>
      <w:r w:rsidRPr="00A32AF4">
        <w:rPr>
          <w:rFonts w:cs="Arial"/>
          <w:i/>
        </w:rPr>
        <w:t>DÉPENSES INDIRECTES DE L</w:t>
      </w:r>
      <w:r w:rsidR="00E2055A" w:rsidRPr="00A32AF4">
        <w:rPr>
          <w:rFonts w:cs="Arial"/>
          <w:i/>
        </w:rPr>
        <w:t>’</w:t>
      </w:r>
      <w:r w:rsidRPr="00A32AF4">
        <w:rPr>
          <w:rFonts w:cs="Arial"/>
          <w:i/>
        </w:rPr>
        <w:t xml:space="preserve">UNION : </w:t>
      </w:r>
      <w:r w:rsidRPr="00A32AF4">
        <w:rPr>
          <w:rFonts w:cs="Arial"/>
        </w:rPr>
        <w:t>il s</w:t>
      </w:r>
      <w:r w:rsidR="00E2055A" w:rsidRPr="00A32AF4">
        <w:rPr>
          <w:rFonts w:cs="Arial"/>
        </w:rPr>
        <w:t>’</w:t>
      </w:r>
      <w:r w:rsidRPr="00A32AF4">
        <w:rPr>
          <w:rFonts w:cs="Arial"/>
        </w:rPr>
        <w:t>agit de la part des dépenses budgétaires attribuées à chaque Union pour les programmes n</w:t>
      </w:r>
      <w:r w:rsidR="00E2055A" w:rsidRPr="00A32AF4">
        <w:rPr>
          <w:rFonts w:cs="Arial"/>
        </w:rPr>
        <w:t>’</w:t>
      </w:r>
      <w:r w:rsidRPr="00A32AF4">
        <w:rPr>
          <w:rFonts w:cs="Arial"/>
        </w:rPr>
        <w:t>ayant pas de lien direct avec les activités de l</w:t>
      </w:r>
      <w:r w:rsidR="00E2055A" w:rsidRPr="00A32AF4">
        <w:rPr>
          <w:rFonts w:cs="Arial"/>
        </w:rPr>
        <w:t>’</w:t>
      </w:r>
      <w:r w:rsidRPr="00A32AF4">
        <w:rPr>
          <w:rFonts w:cs="Arial"/>
        </w:rPr>
        <w:t>Union en question, à laquelle s</w:t>
      </w:r>
      <w:r w:rsidR="00E2055A" w:rsidRPr="00A32AF4">
        <w:rPr>
          <w:rFonts w:cs="Arial"/>
        </w:rPr>
        <w:t>’</w:t>
      </w:r>
      <w:r w:rsidRPr="00A32AF4">
        <w:rPr>
          <w:rFonts w:cs="Arial"/>
        </w:rPr>
        <w:t>ajoute la part des dépenses administratives et autres dépenses budgétaires connexes.</w:t>
      </w:r>
    </w:p>
    <w:p w:rsidR="00F93B76" w:rsidRPr="00A32AF4" w:rsidRDefault="00F93B76" w:rsidP="00DC0553">
      <w:pPr>
        <w:jc w:val="both"/>
        <w:rPr>
          <w:rFonts w:cs="Arial"/>
        </w:rPr>
      </w:pPr>
    </w:p>
    <w:p w:rsidR="00F93B76" w:rsidRPr="00A32AF4" w:rsidRDefault="001559D6" w:rsidP="00DC0553">
      <w:pPr>
        <w:ind w:left="1080" w:hanging="513"/>
        <w:jc w:val="both"/>
        <w:rPr>
          <w:rFonts w:cs="Arial"/>
        </w:rPr>
      </w:pPr>
      <w:proofErr w:type="gramStart"/>
      <w:r w:rsidRPr="00A32AF4">
        <w:rPr>
          <w:rFonts w:cs="Arial"/>
          <w:i/>
        </w:rPr>
        <w:t>4.1</w:t>
      </w:r>
      <w:r w:rsidRPr="00A32AF4">
        <w:rPr>
          <w:rFonts w:cs="Arial"/>
          <w:i/>
        </w:rPr>
        <w:tab/>
        <w:t>Dépenses indirectes de l</w:t>
      </w:r>
      <w:r w:rsidR="00E2055A" w:rsidRPr="00A32AF4">
        <w:rPr>
          <w:rFonts w:cs="Arial"/>
          <w:i/>
        </w:rPr>
        <w:t>’</w:t>
      </w:r>
      <w:r w:rsidRPr="00A32AF4">
        <w:rPr>
          <w:rFonts w:cs="Arial"/>
          <w:i/>
        </w:rPr>
        <w:t xml:space="preserve">Union : </w:t>
      </w:r>
      <w:r w:rsidRPr="00A32AF4">
        <w:rPr>
          <w:rFonts w:cs="Arial"/>
        </w:rPr>
        <w:t>les activités de programme et dépenses budgétaires ci</w:t>
      </w:r>
      <w:r w:rsidR="00EB7F54" w:rsidRPr="00A32AF4">
        <w:rPr>
          <w:rFonts w:cs="Arial"/>
        </w:rPr>
        <w:noBreakHyphen/>
      </w:r>
      <w:r w:rsidRPr="00A32AF4">
        <w:rPr>
          <w:rFonts w:cs="Arial"/>
        </w:rPr>
        <w:t>après sont prises en considération sous cette rubrique : programmes 1 (droit des brevets) (en partie), 3 (droit d</w:t>
      </w:r>
      <w:r w:rsidR="00E2055A" w:rsidRPr="00A32AF4">
        <w:rPr>
          <w:rFonts w:cs="Arial"/>
        </w:rPr>
        <w:t>’</w:t>
      </w:r>
      <w:r w:rsidRPr="00A32AF4">
        <w:rPr>
          <w:rFonts w:cs="Arial"/>
        </w:rPr>
        <w:t>auteur et droits connexes) (en partie), 8 (coordination du Plan d</w:t>
      </w:r>
      <w:r w:rsidR="00E2055A" w:rsidRPr="00A32AF4">
        <w:rPr>
          <w:rFonts w:cs="Arial"/>
        </w:rPr>
        <w:t>’</w:t>
      </w:r>
      <w:r w:rsidRPr="00A32AF4">
        <w:rPr>
          <w:rFonts w:cs="Arial"/>
        </w:rPr>
        <w:t>action pour le développement), 9 (Afrique, pays arabes, Asie et Pacifique, pays d</w:t>
      </w:r>
      <w:r w:rsidR="00E2055A" w:rsidRPr="00A32AF4">
        <w:rPr>
          <w:rFonts w:cs="Arial"/>
        </w:rPr>
        <w:t>’</w:t>
      </w:r>
      <w:r w:rsidRPr="00A32AF4">
        <w:rPr>
          <w:rFonts w:cs="Arial"/>
        </w:rPr>
        <w:t>Amérique latine et des Caraïbes, pays les moins avancés), 10 (pays en transition et pays développés), 11 (Académie de l</w:t>
      </w:r>
      <w:r w:rsidR="00E2055A" w:rsidRPr="00A32AF4">
        <w:rPr>
          <w:rFonts w:cs="Arial"/>
        </w:rPr>
        <w:t>’</w:t>
      </w:r>
      <w:r w:rsidRPr="00A32AF4">
        <w:rPr>
          <w:rFonts w:cs="Arial"/>
        </w:rPr>
        <w:t>OMPI), 15 (solutions opérationnelles pour les offices de propriété intellectuelle), 16 (Économie et statistiques), 17 (promouvoir le respect de la propriété intellectuelle), 18 (propriété intellectuelle et défis mondiaux), 19 (communications), 20 (relations extérieures, partenariats et bureaux extérieurs) et 30 (appui aux PME et à la création d</w:t>
      </w:r>
      <w:r w:rsidR="00E2055A" w:rsidRPr="00A32AF4">
        <w:rPr>
          <w:rFonts w:cs="Arial"/>
        </w:rPr>
        <w:t>’</w:t>
      </w:r>
      <w:r w:rsidRPr="00A32AF4">
        <w:rPr>
          <w:rFonts w:cs="Arial"/>
        </w:rPr>
        <w:t>entreprises).</w:t>
      </w:r>
      <w:proofErr w:type="gramEnd"/>
      <w:r w:rsidRPr="00A32AF4">
        <w:rPr>
          <w:rFonts w:cs="Arial"/>
        </w:rPr>
        <w:t xml:space="preserve">  La part des dépenses budgétaires pour chacun de ces programmes est attribuée aux Unions sur la base de la </w:t>
      </w:r>
      <w:r w:rsidRPr="00A32AF4">
        <w:rPr>
          <w:rFonts w:cs="Arial"/>
          <w:i/>
        </w:rPr>
        <w:t>capacité de paiement biennale</w:t>
      </w:r>
      <w:r w:rsidRPr="00A32AF4">
        <w:rPr>
          <w:rFonts w:cs="Arial"/>
        </w:rPr>
        <w:t xml:space="preserve"> respective.  Il s</w:t>
      </w:r>
      <w:r w:rsidR="00E2055A" w:rsidRPr="00A32AF4">
        <w:rPr>
          <w:rFonts w:cs="Arial"/>
        </w:rPr>
        <w:t>’</w:t>
      </w:r>
      <w:r w:rsidRPr="00A32AF4">
        <w:rPr>
          <w:rFonts w:cs="Arial"/>
        </w:rPr>
        <w:t>agit de la différence entre le montant projeté des ressources de l</w:t>
      </w:r>
      <w:r w:rsidR="00E2055A" w:rsidRPr="00A32AF4">
        <w:rPr>
          <w:rFonts w:cs="Arial"/>
        </w:rPr>
        <w:t>’</w:t>
      </w:r>
      <w:r w:rsidRPr="00A32AF4">
        <w:rPr>
          <w:rFonts w:cs="Arial"/>
        </w:rPr>
        <w:t>Union pour l</w:t>
      </w:r>
      <w:r w:rsidR="00E2055A" w:rsidRPr="00A32AF4">
        <w:rPr>
          <w:rFonts w:cs="Arial"/>
        </w:rPr>
        <w:t>’</w:t>
      </w:r>
      <w:r w:rsidRPr="00A32AF4">
        <w:rPr>
          <w:rFonts w:cs="Arial"/>
        </w:rPr>
        <w:t>exercice biennal et les autres dépenses imputées à l</w:t>
      </w:r>
      <w:r w:rsidR="00E2055A" w:rsidRPr="00A32AF4">
        <w:rPr>
          <w:rFonts w:cs="Arial"/>
        </w:rPr>
        <w:t>’</w:t>
      </w:r>
      <w:r w:rsidRPr="00A32AF4">
        <w:rPr>
          <w:rFonts w:cs="Arial"/>
        </w:rPr>
        <w:t>Union et les réserves minimales recommandées (</w:t>
      </w:r>
      <w:r w:rsidR="00B63C9F" w:rsidRPr="00A32AF4">
        <w:rPr>
          <w:rFonts w:cs="Arial"/>
        </w:rPr>
        <w:t>“</w:t>
      </w:r>
      <w:r w:rsidRPr="00A32AF4">
        <w:rPr>
          <w:rFonts w:cs="Arial"/>
        </w:rPr>
        <w:t>seuil recommandé pour les réserves</w:t>
      </w:r>
      <w:r w:rsidR="00B63C9F" w:rsidRPr="00A32AF4">
        <w:rPr>
          <w:rFonts w:cs="Arial"/>
        </w:rPr>
        <w:t>”</w:t>
      </w:r>
      <w:r w:rsidRPr="00A32AF4">
        <w:rPr>
          <w:rFonts w:cs="Arial"/>
        </w:rPr>
        <w:t>).  Le seuil recommandé pour les réserves est calculé sur la base des réserves recommandées correspondant aux dépenses de l</w:t>
      </w:r>
      <w:r w:rsidR="00E2055A" w:rsidRPr="00A32AF4">
        <w:rPr>
          <w:rFonts w:cs="Arial"/>
        </w:rPr>
        <w:t>’</w:t>
      </w:r>
      <w:r w:rsidRPr="00A32AF4">
        <w:rPr>
          <w:rFonts w:cs="Arial"/>
        </w:rPr>
        <w:t>exercice biennal précédent.  La méthodologie utilisée permet une répartition proportionnelle des dépenses indirectes entre les Unions sur la base des ressources (excédent) obtenues durant l</w:t>
      </w:r>
      <w:r w:rsidR="00E2055A" w:rsidRPr="00A32AF4">
        <w:rPr>
          <w:rFonts w:cs="Arial"/>
        </w:rPr>
        <w:t>’</w:t>
      </w:r>
      <w:r w:rsidRPr="00A32AF4">
        <w:rPr>
          <w:rFonts w:cs="Arial"/>
        </w:rPr>
        <w:t>exercice en cours, et ce n</w:t>
      </w:r>
      <w:r w:rsidR="00E2055A" w:rsidRPr="00A32AF4">
        <w:rPr>
          <w:rFonts w:cs="Arial"/>
        </w:rPr>
        <w:t>’</w:t>
      </w:r>
      <w:r w:rsidRPr="00A32AF4">
        <w:rPr>
          <w:rFonts w:cs="Arial"/>
        </w:rPr>
        <w:t>est que lorsque l</w:t>
      </w:r>
      <w:r w:rsidR="00E2055A" w:rsidRPr="00A32AF4">
        <w:rPr>
          <w:rFonts w:cs="Arial"/>
        </w:rPr>
        <w:t>’</w:t>
      </w:r>
      <w:r w:rsidRPr="00A32AF4">
        <w:rPr>
          <w:rFonts w:cs="Arial"/>
        </w:rPr>
        <w:t>excédent de recettes biennales n</w:t>
      </w:r>
      <w:r w:rsidR="00E2055A" w:rsidRPr="00A32AF4">
        <w:rPr>
          <w:rFonts w:cs="Arial"/>
        </w:rPr>
        <w:t>’</w:t>
      </w:r>
      <w:r w:rsidRPr="00A32AF4">
        <w:rPr>
          <w:rFonts w:cs="Arial"/>
        </w:rPr>
        <w:t>est pas suffisant que les réserves excédentaires sont utilisées pour couvrir la part restante des dépenses indirectes, sur la base de la part relative par Union.</w:t>
      </w:r>
    </w:p>
    <w:p w:rsidR="00F93B76" w:rsidRPr="00A32AF4" w:rsidRDefault="00F93B76" w:rsidP="00DC0553">
      <w:pPr>
        <w:tabs>
          <w:tab w:val="num" w:pos="1134"/>
        </w:tabs>
        <w:ind w:left="1134" w:hanging="567"/>
        <w:jc w:val="both"/>
        <w:rPr>
          <w:rFonts w:cs="Arial"/>
        </w:rPr>
      </w:pPr>
    </w:p>
    <w:p w:rsidR="00F93B76" w:rsidRPr="00A32AF4" w:rsidRDefault="001559D6" w:rsidP="00DC0553">
      <w:pPr>
        <w:ind w:left="1134" w:hanging="567"/>
        <w:jc w:val="both"/>
        <w:rPr>
          <w:rFonts w:cs="Arial"/>
          <w:i/>
        </w:rPr>
      </w:pPr>
      <w:r w:rsidRPr="00A32AF4">
        <w:rPr>
          <w:rFonts w:cs="Arial"/>
          <w:i/>
        </w:rPr>
        <w:t>4.2</w:t>
      </w:r>
      <w:r w:rsidRPr="00A32AF4">
        <w:rPr>
          <w:rFonts w:cs="Arial"/>
          <w:i/>
        </w:rPr>
        <w:tab/>
        <w:t xml:space="preserve">Dépenses administratives indirectes : </w:t>
      </w:r>
      <w:r w:rsidRPr="00A32AF4">
        <w:rPr>
          <w:rFonts w:cs="Arial"/>
        </w:rPr>
        <w:t>il s</w:t>
      </w:r>
      <w:r w:rsidR="00E2055A" w:rsidRPr="00A32AF4">
        <w:rPr>
          <w:rFonts w:cs="Arial"/>
        </w:rPr>
        <w:t>’</w:t>
      </w:r>
      <w:r w:rsidRPr="00A32AF4">
        <w:rPr>
          <w:rFonts w:cs="Arial"/>
        </w:rPr>
        <w:t>agit des dépenses budgétaires des programmes 21 à 29 qui n</w:t>
      </w:r>
      <w:r w:rsidR="00E2055A" w:rsidRPr="00A32AF4">
        <w:rPr>
          <w:rFonts w:cs="Arial"/>
        </w:rPr>
        <w:t>’</w:t>
      </w:r>
      <w:r w:rsidRPr="00A32AF4">
        <w:rPr>
          <w:rFonts w:cs="Arial"/>
        </w:rPr>
        <w:t>ont pas été réparties en tant que dépenses directes de l</w:t>
      </w:r>
      <w:r w:rsidR="00E2055A" w:rsidRPr="00A32AF4">
        <w:rPr>
          <w:rFonts w:cs="Arial"/>
        </w:rPr>
        <w:t>’</w:t>
      </w:r>
      <w:r w:rsidRPr="00A32AF4">
        <w:rPr>
          <w:rFonts w:cs="Arial"/>
        </w:rPr>
        <w:t xml:space="preserve">Union ainsi que du montant inscrit au budget proposé sous </w:t>
      </w:r>
      <w:r w:rsidR="00B63C9F" w:rsidRPr="00A32AF4">
        <w:rPr>
          <w:rFonts w:cs="Arial"/>
        </w:rPr>
        <w:t>“</w:t>
      </w:r>
      <w:r w:rsidRPr="00A32AF4">
        <w:rPr>
          <w:rFonts w:cs="Arial"/>
        </w:rPr>
        <w:t>non affecté</w:t>
      </w:r>
      <w:r w:rsidR="00B63C9F" w:rsidRPr="00A32AF4">
        <w:rPr>
          <w:rFonts w:cs="Arial"/>
        </w:rPr>
        <w:t>”</w:t>
      </w:r>
      <w:r w:rsidRPr="00A32AF4">
        <w:rPr>
          <w:rFonts w:cs="Arial"/>
        </w:rPr>
        <w:t>.  Cette répartition des dépenses budgétaires est effectuée sur la base de la</w:t>
      </w:r>
      <w:r w:rsidRPr="00A32AF4">
        <w:rPr>
          <w:rFonts w:cs="Arial"/>
          <w:i/>
        </w:rPr>
        <w:t xml:space="preserve"> capacité de paiement </w:t>
      </w:r>
      <w:r w:rsidRPr="00A32AF4">
        <w:rPr>
          <w:rFonts w:cs="Arial"/>
        </w:rPr>
        <w:t>respective</w:t>
      </w:r>
      <w:r w:rsidRPr="00A32AF4">
        <w:rPr>
          <w:rFonts w:cs="Arial"/>
          <w:i/>
        </w:rPr>
        <w:t xml:space="preserve"> (c</w:t>
      </w:r>
      <w:r w:rsidR="00E2055A" w:rsidRPr="00A32AF4">
        <w:rPr>
          <w:rFonts w:cs="Arial"/>
          <w:i/>
        </w:rPr>
        <w:t>’</w:t>
      </w:r>
      <w:r w:rsidRPr="00A32AF4">
        <w:rPr>
          <w:rFonts w:cs="Arial"/>
          <w:i/>
        </w:rPr>
        <w:t>est</w:t>
      </w:r>
      <w:r w:rsidR="00EB7F54" w:rsidRPr="00A32AF4">
        <w:rPr>
          <w:rFonts w:cs="Arial"/>
          <w:i/>
        </w:rPr>
        <w:noBreakHyphen/>
      </w:r>
      <w:r w:rsidRPr="00A32AF4">
        <w:rPr>
          <w:rFonts w:cs="Arial"/>
          <w:i/>
        </w:rPr>
        <w:t>à</w:t>
      </w:r>
      <w:r w:rsidR="00EB7F54" w:rsidRPr="00A32AF4">
        <w:rPr>
          <w:rFonts w:cs="Arial"/>
          <w:i/>
        </w:rPr>
        <w:noBreakHyphen/>
      </w:r>
      <w:r w:rsidRPr="00A32AF4">
        <w:rPr>
          <w:rFonts w:cs="Arial"/>
          <w:i/>
        </w:rPr>
        <w:t>dire selon les mêmes principes que pour les dépenses indirectes de l</w:t>
      </w:r>
      <w:r w:rsidR="00E2055A" w:rsidRPr="00A32AF4">
        <w:rPr>
          <w:rFonts w:cs="Arial"/>
          <w:i/>
        </w:rPr>
        <w:t>’</w:t>
      </w:r>
      <w:r w:rsidRPr="00A32AF4">
        <w:rPr>
          <w:rFonts w:cs="Arial"/>
          <w:i/>
        </w:rPr>
        <w:t>Union).</w:t>
      </w:r>
    </w:p>
    <w:p w:rsidR="00F93B76" w:rsidRPr="00A32AF4" w:rsidRDefault="00F93B76" w:rsidP="00DC0553">
      <w:pPr>
        <w:rPr>
          <w:rFonts w:eastAsia="SimSun" w:cs="Arial"/>
          <w:lang w:eastAsia="zh-CN"/>
        </w:rPr>
      </w:pPr>
    </w:p>
    <w:p w:rsidR="00F93B76" w:rsidRPr="00A32AF4" w:rsidRDefault="00F93B76" w:rsidP="00DC0553">
      <w:pPr>
        <w:rPr>
          <w:rFonts w:eastAsia="SimSun" w:cs="Arial"/>
          <w:lang w:eastAsia="zh-CN"/>
        </w:rPr>
      </w:pPr>
    </w:p>
    <w:p w:rsidR="00F93B76" w:rsidRPr="00A32AF4" w:rsidRDefault="00F93B76" w:rsidP="00DC0553">
      <w:pPr>
        <w:rPr>
          <w:rFonts w:cs="Arial"/>
          <w:bCs/>
        </w:rPr>
      </w:pPr>
      <w:r w:rsidRPr="00A32AF4">
        <w:rPr>
          <w:rFonts w:cs="Arial"/>
          <w:bCs/>
        </w:rPr>
        <w:t xml:space="preserve">RÉPARTITION DES RECETTES PAR </w:t>
      </w:r>
      <w:r w:rsidR="001559D6" w:rsidRPr="00A32AF4">
        <w:rPr>
          <w:rFonts w:cs="Arial"/>
          <w:bCs/>
        </w:rPr>
        <w:t>UNION</w:t>
      </w:r>
    </w:p>
    <w:p w:rsidR="00F93B76" w:rsidRPr="00A32AF4" w:rsidRDefault="00F93B76" w:rsidP="00DC0553">
      <w:pPr>
        <w:rPr>
          <w:rFonts w:eastAsia="SimSun" w:cs="Arial"/>
          <w:lang w:eastAsia="zh-CN"/>
        </w:rPr>
      </w:pPr>
    </w:p>
    <w:p w:rsidR="00E2055A" w:rsidRPr="00A32AF4" w:rsidRDefault="00F93B76" w:rsidP="00DC0553">
      <w:pPr>
        <w:numPr>
          <w:ilvl w:val="0"/>
          <w:numId w:val="33"/>
        </w:numPr>
        <w:jc w:val="both"/>
        <w:rPr>
          <w:rFonts w:cs="Arial"/>
        </w:rPr>
      </w:pPr>
      <w:r w:rsidRPr="00A32AF4">
        <w:rPr>
          <w:rFonts w:cs="Arial"/>
        </w:rPr>
        <w:t>Les recette</w:t>
      </w:r>
      <w:r w:rsidR="005E7C9D" w:rsidRPr="00A32AF4">
        <w:rPr>
          <w:rFonts w:cs="Arial"/>
        </w:rPr>
        <w:t>s</w:t>
      </w:r>
      <w:r w:rsidRPr="00A32AF4">
        <w:rPr>
          <w:rFonts w:cs="Arial"/>
        </w:rPr>
        <w:t xml:space="preserve"> provenant des contributions sont intégralement réparties entre les unions financées par des contributions.</w:t>
      </w:r>
      <w:r w:rsidR="00FD43E3" w:rsidRPr="00A32AF4">
        <w:rPr>
          <w:rFonts w:cs="Arial"/>
        </w:rPr>
        <w:t xml:space="preserve"> </w:t>
      </w:r>
      <w:r w:rsidR="001559D6" w:rsidRPr="00A32AF4">
        <w:rPr>
          <w:rFonts w:cs="Arial"/>
        </w:rPr>
        <w:t xml:space="preserve"> </w:t>
      </w:r>
      <w:r w:rsidRPr="00A32AF4">
        <w:rPr>
          <w:rFonts w:cs="Arial"/>
        </w:rPr>
        <w:t>Les taxes provenant</w:t>
      </w:r>
      <w:r w:rsidR="00E2055A" w:rsidRPr="00A32AF4">
        <w:rPr>
          <w:rFonts w:cs="Arial"/>
        </w:rPr>
        <w:t xml:space="preserve"> du PCT</w:t>
      </w:r>
      <w:r w:rsidRPr="00A32AF4">
        <w:rPr>
          <w:rFonts w:cs="Arial"/>
        </w:rPr>
        <w:t xml:space="preserve"> et des systèmes d</w:t>
      </w:r>
      <w:r w:rsidR="00E2055A" w:rsidRPr="00A32AF4">
        <w:rPr>
          <w:rFonts w:cs="Arial"/>
        </w:rPr>
        <w:t>’</w:t>
      </w:r>
      <w:r w:rsidRPr="00A32AF4">
        <w:rPr>
          <w:rFonts w:cs="Arial"/>
        </w:rPr>
        <w:t xml:space="preserve">enregistrement de Madrid, de </w:t>
      </w:r>
      <w:r w:rsidR="00E2055A" w:rsidRPr="00A32AF4">
        <w:rPr>
          <w:rFonts w:cs="Arial"/>
        </w:rPr>
        <w:t>La Haye</w:t>
      </w:r>
      <w:r w:rsidRPr="00A32AF4">
        <w:rPr>
          <w:rFonts w:cs="Arial"/>
        </w:rPr>
        <w:t xml:space="preserve"> et de Lisbonne sont intégralement réparties entre les unions correspondantes.</w:t>
      </w:r>
      <w:r w:rsidR="00FD43E3" w:rsidRPr="00A32AF4">
        <w:rPr>
          <w:rFonts w:cs="Arial"/>
        </w:rPr>
        <w:t xml:space="preserve"> </w:t>
      </w:r>
      <w:r w:rsidR="001559D6" w:rsidRPr="00A32AF4">
        <w:rPr>
          <w:rFonts w:cs="Arial"/>
        </w:rPr>
        <w:t xml:space="preserve"> </w:t>
      </w:r>
      <w:r w:rsidRPr="00A32AF4">
        <w:rPr>
          <w:rFonts w:cs="Arial"/>
        </w:rPr>
        <w:t>Les recettes provenant des publications sont réparties entre les unions financées par des contributions, l</w:t>
      </w:r>
      <w:r w:rsidR="00E2055A" w:rsidRPr="00A32AF4">
        <w:rPr>
          <w:rFonts w:cs="Arial"/>
        </w:rPr>
        <w:t>’</w:t>
      </w:r>
      <w:r w:rsidRPr="00A32AF4">
        <w:rPr>
          <w:rFonts w:cs="Arial"/>
        </w:rPr>
        <w:t>Union</w:t>
      </w:r>
      <w:r w:rsidR="00E2055A" w:rsidRPr="00A32AF4">
        <w:rPr>
          <w:rFonts w:cs="Arial"/>
        </w:rPr>
        <w:t xml:space="preserve"> du PCT</w:t>
      </w:r>
      <w:r w:rsidRPr="00A32AF4">
        <w:rPr>
          <w:rFonts w:cs="Arial"/>
        </w:rPr>
        <w:t>, l</w:t>
      </w:r>
      <w:r w:rsidR="00E2055A" w:rsidRPr="00A32AF4">
        <w:rPr>
          <w:rFonts w:cs="Arial"/>
        </w:rPr>
        <w:t>’</w:t>
      </w:r>
      <w:r w:rsidRPr="00A32AF4">
        <w:rPr>
          <w:rFonts w:cs="Arial"/>
        </w:rPr>
        <w:t>Union de Madrid et l</w:t>
      </w:r>
      <w:r w:rsidR="00E2055A" w:rsidRPr="00A32AF4">
        <w:rPr>
          <w:rFonts w:cs="Arial"/>
        </w:rPr>
        <w:t>’</w:t>
      </w:r>
      <w:r w:rsidRPr="00A32AF4">
        <w:rPr>
          <w:rFonts w:cs="Arial"/>
        </w:rPr>
        <w:t xml:space="preserve">Union de </w:t>
      </w:r>
      <w:r w:rsidR="00E2055A" w:rsidRPr="00A32AF4">
        <w:rPr>
          <w:rFonts w:cs="Arial"/>
        </w:rPr>
        <w:t>La Haye</w:t>
      </w:r>
      <w:r w:rsidRPr="00A32AF4">
        <w:rPr>
          <w:rFonts w:cs="Arial"/>
        </w:rPr>
        <w:t xml:space="preserve"> en fonction de leur part estimative.</w:t>
      </w:r>
      <w:r w:rsidR="001559D6" w:rsidRPr="00A32AF4">
        <w:rPr>
          <w:rFonts w:cs="Arial"/>
        </w:rPr>
        <w:t xml:space="preserve"> </w:t>
      </w:r>
      <w:r w:rsidR="00B63C9F" w:rsidRPr="00A32AF4">
        <w:rPr>
          <w:rFonts w:cs="Arial"/>
        </w:rPr>
        <w:t xml:space="preserve"> </w:t>
      </w:r>
      <w:r w:rsidR="005E7C9D" w:rsidRPr="00A32AF4">
        <w:rPr>
          <w:rFonts w:cs="Arial"/>
        </w:rPr>
        <w:t>Les recettes provenant du Centre d</w:t>
      </w:r>
      <w:r w:rsidR="00E2055A" w:rsidRPr="00A32AF4">
        <w:rPr>
          <w:rFonts w:cs="Arial"/>
        </w:rPr>
        <w:t>’</w:t>
      </w:r>
      <w:r w:rsidR="005E7C9D" w:rsidRPr="00A32AF4">
        <w:rPr>
          <w:rFonts w:cs="Arial"/>
        </w:rPr>
        <w:t>arbitrage et de médiation sont réparties entre toutes les unions en fonction de leur part respective.</w:t>
      </w:r>
      <w:r w:rsidR="00FD43E3" w:rsidRPr="00A32AF4">
        <w:rPr>
          <w:rFonts w:cs="Arial"/>
        </w:rPr>
        <w:t xml:space="preserve"> </w:t>
      </w:r>
      <w:r w:rsidR="001559D6" w:rsidRPr="00A32AF4">
        <w:rPr>
          <w:rFonts w:cs="Arial"/>
        </w:rPr>
        <w:t xml:space="preserve"> </w:t>
      </w:r>
      <w:r w:rsidR="005E7C9D" w:rsidRPr="00A32AF4">
        <w:rPr>
          <w:rFonts w:cs="Arial"/>
        </w:rPr>
        <w:t>Les autres recettes sont réparties entre toutes les unions comme suit : i)</w:t>
      </w:r>
      <w:r w:rsidR="00FD43E3" w:rsidRPr="00A32AF4">
        <w:rPr>
          <w:rFonts w:cs="Arial"/>
        </w:rPr>
        <w:t> </w:t>
      </w:r>
      <w:r w:rsidR="005E7C9D" w:rsidRPr="00A32AF4">
        <w:rPr>
          <w:rFonts w:cs="Arial"/>
        </w:rPr>
        <w:t>une partie directement imputable à l</w:t>
      </w:r>
      <w:r w:rsidR="00E2055A" w:rsidRPr="00A32AF4">
        <w:rPr>
          <w:rFonts w:cs="Arial"/>
        </w:rPr>
        <w:t>’</w:t>
      </w:r>
      <w:r w:rsidR="005E7C9D" w:rsidRPr="00A32AF4">
        <w:rPr>
          <w:rFonts w:cs="Arial"/>
        </w:rPr>
        <w:t>Union de Madrid au titre des loyers perçus pour la location de l</w:t>
      </w:r>
      <w:r w:rsidR="00E2055A" w:rsidRPr="00A32AF4">
        <w:rPr>
          <w:rFonts w:cs="Arial"/>
        </w:rPr>
        <w:t>’</w:t>
      </w:r>
      <w:r w:rsidR="005E7C9D" w:rsidRPr="00A32AF4">
        <w:rPr>
          <w:rFonts w:cs="Arial"/>
        </w:rPr>
        <w:t>immeuble lui appartenant et ii)</w:t>
      </w:r>
      <w:r w:rsidR="00FD43E3" w:rsidRPr="00A32AF4">
        <w:rPr>
          <w:rFonts w:cs="Arial"/>
        </w:rPr>
        <w:t> </w:t>
      </w:r>
      <w:r w:rsidR="005E7C9D" w:rsidRPr="00A32AF4">
        <w:rPr>
          <w:rFonts w:cs="Arial"/>
        </w:rPr>
        <w:t>le solde divisé en parts égales entre toutes les unions.</w:t>
      </w:r>
    </w:p>
    <w:p w:rsidR="00F93B76" w:rsidRPr="00A32AF4" w:rsidRDefault="00F93B76" w:rsidP="00DC0553">
      <w:pPr>
        <w:rPr>
          <w:rFonts w:eastAsia="SimSun" w:cs="Arial"/>
          <w:lang w:eastAsia="zh-CN"/>
        </w:rPr>
      </w:pPr>
    </w:p>
    <w:p w:rsidR="00F93B76" w:rsidRPr="00A32AF4" w:rsidRDefault="00F93B76" w:rsidP="00DC0553">
      <w:pPr>
        <w:rPr>
          <w:rFonts w:eastAsia="SimSun" w:cs="Arial"/>
          <w:lang w:eastAsia="zh-CN"/>
        </w:rPr>
      </w:pPr>
    </w:p>
    <w:p w:rsidR="00F93B76" w:rsidRPr="00A32AF4" w:rsidRDefault="001559D6" w:rsidP="00DC0553">
      <w:pPr>
        <w:rPr>
          <w:rFonts w:cs="Arial"/>
          <w:bCs/>
        </w:rPr>
      </w:pPr>
      <w:r w:rsidRPr="00A32AF4">
        <w:rPr>
          <w:rFonts w:cs="Arial"/>
          <w:bCs/>
        </w:rPr>
        <w:t>RÉPARTITION DES AJUSTEMENTS IPSAS PAR UNION</w:t>
      </w:r>
    </w:p>
    <w:p w:rsidR="00F93B76" w:rsidRPr="00A32AF4" w:rsidRDefault="00F93B76" w:rsidP="00DC0553">
      <w:pPr>
        <w:rPr>
          <w:rFonts w:eastAsia="SimSun" w:cs="Arial"/>
          <w:lang w:eastAsia="zh-CN"/>
        </w:rPr>
      </w:pPr>
    </w:p>
    <w:p w:rsidR="00F93B76" w:rsidRPr="00A32AF4" w:rsidRDefault="001559D6" w:rsidP="00DC0553">
      <w:pPr>
        <w:numPr>
          <w:ilvl w:val="0"/>
          <w:numId w:val="33"/>
        </w:numPr>
        <w:jc w:val="both"/>
        <w:rPr>
          <w:rFonts w:cs="Arial"/>
          <w:b/>
          <w:i/>
        </w:rPr>
      </w:pPr>
      <w:r w:rsidRPr="00A32AF4">
        <w:rPr>
          <w:rFonts w:eastAsia="SimSun" w:cs="Arial"/>
          <w:lang w:eastAsia="zh-CN"/>
        </w:rPr>
        <w:t xml:space="preserve">Les ajustements IPSAS aux recettes sont attribuables à des Unions spécifiques car ils sont directement liés aux taxes en provenance des systèmes du PCT, de Madrid et de </w:t>
      </w:r>
      <w:r w:rsidR="00E2055A" w:rsidRPr="00A32AF4">
        <w:rPr>
          <w:rFonts w:eastAsia="SimSun" w:cs="Arial"/>
          <w:lang w:eastAsia="zh-CN"/>
        </w:rPr>
        <w:t>La Haye</w:t>
      </w:r>
      <w:r w:rsidRPr="00A32AF4">
        <w:rPr>
          <w:rFonts w:eastAsia="SimSun" w:cs="Arial"/>
          <w:lang w:eastAsia="zh-CN"/>
        </w:rPr>
        <w:t>.  Les ajustements IPSAS aux dépenses budgétaires sont attribués au prorata entre les Unions sur la base de la répartition des dépenses budgétaires.</w:t>
      </w:r>
    </w:p>
    <w:p w:rsidR="00F93B76" w:rsidRPr="00A32AF4" w:rsidRDefault="00F93B76" w:rsidP="00DC0553">
      <w:pPr>
        <w:jc w:val="both"/>
        <w:rPr>
          <w:rFonts w:cs="Arial"/>
        </w:rPr>
      </w:pPr>
    </w:p>
    <w:p w:rsidR="00F93B76" w:rsidRPr="00A32AF4" w:rsidRDefault="001559D6" w:rsidP="00DC0553">
      <w:pPr>
        <w:jc w:val="both"/>
        <w:rPr>
          <w:rFonts w:cs="Arial"/>
        </w:rPr>
      </w:pPr>
      <w:r w:rsidRPr="00A32AF4">
        <w:rPr>
          <w:rFonts w:cs="Arial"/>
        </w:rPr>
        <w:t>Conformément à la méthodologie qui vient d</w:t>
      </w:r>
      <w:r w:rsidR="00E2055A" w:rsidRPr="00A32AF4">
        <w:rPr>
          <w:rFonts w:cs="Arial"/>
        </w:rPr>
        <w:t>’</w:t>
      </w:r>
      <w:r w:rsidRPr="00A32AF4">
        <w:rPr>
          <w:rFonts w:cs="Arial"/>
        </w:rPr>
        <w:t>être décrite, les tableaux 11, 12 et 13 ci</w:t>
      </w:r>
      <w:r w:rsidR="00EB7F54" w:rsidRPr="00A32AF4">
        <w:rPr>
          <w:rFonts w:cs="Arial"/>
        </w:rPr>
        <w:noBreakHyphen/>
      </w:r>
      <w:r w:rsidRPr="00A32AF4">
        <w:rPr>
          <w:rFonts w:cs="Arial"/>
        </w:rPr>
        <w:t xml:space="preserve">dessous donnent un aperçu du </w:t>
      </w:r>
      <w:r w:rsidR="006D5B84" w:rsidRPr="00A32AF4">
        <w:rPr>
          <w:rFonts w:cs="Arial"/>
        </w:rPr>
        <w:t>scénario</w:t>
      </w:r>
      <w:r w:rsidRPr="00A32AF4">
        <w:rPr>
          <w:rFonts w:cs="Arial"/>
        </w:rPr>
        <w:t xml:space="preserve"> global par union, des recettes estimatives par union et du budget par programme et par union pour 2016</w:t>
      </w:r>
      <w:r w:rsidR="00EB7F54" w:rsidRPr="00A32AF4">
        <w:rPr>
          <w:rFonts w:cs="Arial"/>
        </w:rPr>
        <w:noBreakHyphen/>
      </w:r>
      <w:r w:rsidRPr="00A32AF4">
        <w:rPr>
          <w:rFonts w:cs="Arial"/>
        </w:rPr>
        <w:t>2017.</w:t>
      </w:r>
    </w:p>
    <w:p w:rsidR="00F93B76" w:rsidRPr="00A32AF4" w:rsidRDefault="00F93B76" w:rsidP="00DC0553">
      <w:pPr>
        <w:jc w:val="both"/>
        <w:rPr>
          <w:rFonts w:cs="Arial"/>
        </w:rPr>
      </w:pPr>
    </w:p>
    <w:p w:rsidR="00F93B76" w:rsidRPr="00A32AF4" w:rsidRDefault="00F93B76" w:rsidP="00DC0553">
      <w:pPr>
        <w:jc w:val="both"/>
        <w:rPr>
          <w:rFonts w:cs="Arial"/>
        </w:rPr>
      </w:pPr>
    </w:p>
    <w:p w:rsidR="004115D5" w:rsidRPr="00A32AF4" w:rsidRDefault="004115D5" w:rsidP="00DC0553">
      <w:pPr>
        <w:pStyle w:val="Heading6"/>
        <w:rPr>
          <w:i/>
          <w:iCs/>
          <w:sz w:val="20"/>
        </w:rPr>
      </w:pPr>
      <w:r w:rsidRPr="00A32AF4">
        <w:rPr>
          <w:b/>
          <w:sz w:val="20"/>
        </w:rPr>
        <w:t>Tableau 11.  Scénario global pour</w:t>
      </w:r>
      <w:r w:rsidR="00FD43E3" w:rsidRPr="00A32AF4">
        <w:rPr>
          <w:b/>
          <w:sz w:val="20"/>
        </w:rPr>
        <w:t> </w:t>
      </w:r>
      <w:r w:rsidRPr="00A32AF4">
        <w:rPr>
          <w:b/>
          <w:sz w:val="20"/>
        </w:rPr>
        <w:t>2016</w:t>
      </w:r>
      <w:r w:rsidR="00EB7F54" w:rsidRPr="00A32AF4">
        <w:rPr>
          <w:b/>
          <w:sz w:val="20"/>
        </w:rPr>
        <w:noBreakHyphen/>
      </w:r>
      <w:r w:rsidRPr="00A32AF4">
        <w:rPr>
          <w:b/>
          <w:sz w:val="20"/>
        </w:rPr>
        <w:t>2017 par union</w:t>
      </w:r>
      <w:r w:rsidRPr="00A32AF4">
        <w:rPr>
          <w:b/>
          <w:sz w:val="20"/>
        </w:rPr>
        <w:br/>
      </w:r>
      <w:r w:rsidRPr="00A32AF4">
        <w:rPr>
          <w:i/>
          <w:iCs/>
          <w:sz w:val="20"/>
        </w:rPr>
        <w:t>(en milliers de francs suisses)</w:t>
      </w:r>
    </w:p>
    <w:p w:rsidR="00F93B76" w:rsidRPr="00A32AF4" w:rsidRDefault="00F93B76" w:rsidP="00DC0553">
      <w:pPr>
        <w:rPr>
          <w:rFonts w:cs="Arial"/>
        </w:rPr>
      </w:pPr>
    </w:p>
    <w:p w:rsidR="004115D5" w:rsidRPr="00A32AF4" w:rsidRDefault="00FD0CF7" w:rsidP="00DC0553">
      <w:pPr>
        <w:rPr>
          <w:rFonts w:cs="Arial"/>
        </w:rPr>
      </w:pPr>
      <w:r w:rsidRPr="00A32AF4">
        <w:rPr>
          <w:noProof/>
          <w:lang w:eastAsia="fr-FR"/>
        </w:rPr>
        <w:drawing>
          <wp:inline distT="0" distB="0" distL="0" distR="0" wp14:anchorId="0CDB3BC6" wp14:editId="5190DCDE">
            <wp:extent cx="5760085" cy="2380098"/>
            <wp:effectExtent l="0" t="0" r="0" b="1270"/>
            <wp:docPr id="1035" name="Pictur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5760085" cy="2380098"/>
                    </a:xfrm>
                    <a:prstGeom prst="rect">
                      <a:avLst/>
                    </a:prstGeom>
                    <a:noFill/>
                    <a:ln>
                      <a:noFill/>
                    </a:ln>
                  </pic:spPr>
                </pic:pic>
              </a:graphicData>
            </a:graphic>
          </wp:inline>
        </w:drawing>
      </w:r>
    </w:p>
    <w:p w:rsidR="00FD0CF7" w:rsidRPr="00A32AF4" w:rsidRDefault="00FD0CF7" w:rsidP="00DC0553">
      <w:pPr>
        <w:rPr>
          <w:rFonts w:cs="Arial"/>
        </w:rPr>
      </w:pPr>
    </w:p>
    <w:p w:rsidR="00FD0CF7" w:rsidRPr="00A32AF4" w:rsidRDefault="00FD0CF7" w:rsidP="00DC0553">
      <w:pPr>
        <w:rPr>
          <w:rFonts w:cs="Arial"/>
        </w:rPr>
      </w:pPr>
    </w:p>
    <w:p w:rsidR="004115D5" w:rsidRPr="00A32AF4" w:rsidRDefault="004115D5" w:rsidP="00DC0553">
      <w:pPr>
        <w:pStyle w:val="Heading6"/>
        <w:rPr>
          <w:i/>
          <w:iCs/>
          <w:sz w:val="20"/>
        </w:rPr>
      </w:pPr>
      <w:r w:rsidRPr="00A32AF4">
        <w:rPr>
          <w:b/>
          <w:sz w:val="20"/>
        </w:rPr>
        <w:t xml:space="preserve">Tableau 12.  </w:t>
      </w:r>
      <w:r w:rsidR="00FD0CF7" w:rsidRPr="00A32AF4">
        <w:rPr>
          <w:b/>
          <w:sz w:val="20"/>
        </w:rPr>
        <w:t>Recettes estimatives pour</w:t>
      </w:r>
      <w:r w:rsidR="00FD43E3" w:rsidRPr="00A32AF4">
        <w:rPr>
          <w:b/>
          <w:sz w:val="20"/>
        </w:rPr>
        <w:t> </w:t>
      </w:r>
      <w:r w:rsidR="00FD0CF7" w:rsidRPr="00A32AF4">
        <w:rPr>
          <w:b/>
          <w:sz w:val="20"/>
        </w:rPr>
        <w:t>2016</w:t>
      </w:r>
      <w:r w:rsidR="00EB7F54" w:rsidRPr="00A32AF4">
        <w:rPr>
          <w:b/>
          <w:sz w:val="20"/>
        </w:rPr>
        <w:noBreakHyphen/>
      </w:r>
      <w:r w:rsidR="00FD0CF7" w:rsidRPr="00A32AF4">
        <w:rPr>
          <w:b/>
          <w:sz w:val="20"/>
        </w:rPr>
        <w:t>2017 par union</w:t>
      </w:r>
      <w:r w:rsidRPr="00A32AF4">
        <w:rPr>
          <w:b/>
          <w:sz w:val="20"/>
        </w:rPr>
        <w:br/>
      </w:r>
      <w:r w:rsidRPr="00A32AF4">
        <w:rPr>
          <w:i/>
          <w:iCs/>
          <w:sz w:val="20"/>
        </w:rPr>
        <w:t>(en milliers de francs suisses)</w:t>
      </w:r>
    </w:p>
    <w:p w:rsidR="00FD0CF7" w:rsidRPr="00A32AF4" w:rsidRDefault="00FD0CF7" w:rsidP="00DC0553"/>
    <w:p w:rsidR="004115D5" w:rsidRPr="00A32AF4" w:rsidRDefault="00FD0CF7" w:rsidP="00DC0553">
      <w:pPr>
        <w:rPr>
          <w:rFonts w:cs="Arial"/>
        </w:rPr>
      </w:pPr>
      <w:r w:rsidRPr="00A32AF4">
        <w:rPr>
          <w:noProof/>
          <w:lang w:eastAsia="fr-FR"/>
        </w:rPr>
        <w:drawing>
          <wp:inline distT="0" distB="0" distL="0" distR="0" wp14:anchorId="3D76047E" wp14:editId="7397396D">
            <wp:extent cx="5760085" cy="1312553"/>
            <wp:effectExtent l="0" t="0" r="0" b="1905"/>
            <wp:docPr id="1036" name="Pictur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5760085" cy="1312553"/>
                    </a:xfrm>
                    <a:prstGeom prst="rect">
                      <a:avLst/>
                    </a:prstGeom>
                    <a:noFill/>
                    <a:ln>
                      <a:noFill/>
                    </a:ln>
                  </pic:spPr>
                </pic:pic>
              </a:graphicData>
            </a:graphic>
          </wp:inline>
        </w:drawing>
      </w:r>
    </w:p>
    <w:p w:rsidR="004115D5" w:rsidRPr="00A32AF4" w:rsidRDefault="004115D5" w:rsidP="00DC0553">
      <w:pPr>
        <w:rPr>
          <w:rFonts w:cs="Arial"/>
        </w:rPr>
      </w:pPr>
    </w:p>
    <w:p w:rsidR="001559D6" w:rsidRPr="00A32AF4" w:rsidRDefault="001559D6" w:rsidP="00DC0553">
      <w:pPr>
        <w:rPr>
          <w:rFonts w:ascii="Arial Bold" w:hAnsi="Arial Bold" w:cs="Arial"/>
          <w:iCs/>
          <w:szCs w:val="22"/>
        </w:rPr>
        <w:sectPr w:rsidR="001559D6" w:rsidRPr="00A32AF4" w:rsidSect="00C63736">
          <w:footerReference w:type="default" r:id="rId178"/>
          <w:headerReference w:type="first" r:id="rId179"/>
          <w:footerReference w:type="first" r:id="rId180"/>
          <w:pgSz w:w="11907" w:h="16840" w:code="9"/>
          <w:pgMar w:top="624" w:right="1418" w:bottom="1361" w:left="1418" w:header="567" w:footer="851" w:gutter="0"/>
          <w:cols w:space="720"/>
          <w:docGrid w:linePitch="272"/>
        </w:sectPr>
      </w:pPr>
      <w:bookmarkStart w:id="79" w:name="_Toc293334843"/>
      <w:bookmarkStart w:id="80" w:name="_Toc298920425"/>
      <w:bookmarkStart w:id="81" w:name="_Toc356567789"/>
      <w:bookmarkStart w:id="82" w:name="_Toc367350615"/>
    </w:p>
    <w:p w:rsidR="00FD0CF7" w:rsidRPr="00A32AF4" w:rsidRDefault="00FD0CF7" w:rsidP="00DC0553">
      <w:pPr>
        <w:pStyle w:val="Heading6"/>
        <w:rPr>
          <w:i/>
          <w:iCs/>
          <w:sz w:val="20"/>
        </w:rPr>
      </w:pPr>
      <w:r w:rsidRPr="00A32AF4">
        <w:rPr>
          <w:b/>
          <w:sz w:val="20"/>
        </w:rPr>
        <w:t>Tableau 13.  Budget 2016</w:t>
      </w:r>
      <w:r w:rsidR="00EB7F54" w:rsidRPr="00A32AF4">
        <w:rPr>
          <w:b/>
          <w:sz w:val="20"/>
        </w:rPr>
        <w:noBreakHyphen/>
      </w:r>
      <w:r w:rsidRPr="00A32AF4">
        <w:rPr>
          <w:b/>
          <w:sz w:val="20"/>
        </w:rPr>
        <w:t>2017 par programme et par union</w:t>
      </w:r>
      <w:r w:rsidRPr="00A32AF4">
        <w:rPr>
          <w:b/>
          <w:sz w:val="20"/>
        </w:rPr>
        <w:br/>
      </w:r>
      <w:r w:rsidRPr="00A32AF4">
        <w:rPr>
          <w:i/>
          <w:iCs/>
          <w:sz w:val="20"/>
        </w:rPr>
        <w:t>(en milliers de francs suisses)</w:t>
      </w:r>
    </w:p>
    <w:p w:rsidR="00F93B76" w:rsidRPr="00A32AF4" w:rsidRDefault="00F93B76" w:rsidP="00DC0553">
      <w:pPr>
        <w:rPr>
          <w:rFonts w:ascii="Arial Bold" w:hAnsi="Arial Bold" w:cs="Arial"/>
          <w:iCs/>
          <w:szCs w:val="22"/>
        </w:rPr>
      </w:pPr>
    </w:p>
    <w:p w:rsidR="00FD0CF7" w:rsidRPr="00A32AF4" w:rsidRDefault="00E978A6" w:rsidP="00DC0553">
      <w:pPr>
        <w:rPr>
          <w:rFonts w:ascii="Arial Bold" w:hAnsi="Arial Bold" w:cs="Arial"/>
          <w:iCs/>
          <w:szCs w:val="22"/>
        </w:rPr>
      </w:pPr>
      <w:r w:rsidRPr="00A32AF4">
        <w:rPr>
          <w:noProof/>
          <w:lang w:eastAsia="fr-FR"/>
        </w:rPr>
        <w:drawing>
          <wp:inline distT="0" distB="0" distL="0" distR="0" wp14:anchorId="0B82FAC5" wp14:editId="3ADB07E5">
            <wp:extent cx="9973310" cy="5221453"/>
            <wp:effectExtent l="0" t="0" r="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9973310" cy="5221453"/>
                    </a:xfrm>
                    <a:prstGeom prst="rect">
                      <a:avLst/>
                    </a:prstGeom>
                    <a:noFill/>
                    <a:ln>
                      <a:noFill/>
                    </a:ln>
                  </pic:spPr>
                </pic:pic>
              </a:graphicData>
            </a:graphic>
          </wp:inline>
        </w:drawing>
      </w:r>
    </w:p>
    <w:p w:rsidR="00FD0CF7" w:rsidRPr="00A32AF4" w:rsidRDefault="00FD0CF7" w:rsidP="00DC0553">
      <w:pPr>
        <w:rPr>
          <w:rFonts w:ascii="Arial Bold" w:hAnsi="Arial Bold" w:cs="Arial"/>
          <w:iCs/>
          <w:szCs w:val="22"/>
        </w:rPr>
      </w:pPr>
    </w:p>
    <w:p w:rsidR="001559D6" w:rsidRPr="00A32AF4" w:rsidRDefault="001559D6" w:rsidP="00FB1F61">
      <w:pPr>
        <w:pStyle w:val="Heading3"/>
        <w:sectPr w:rsidR="001559D6" w:rsidRPr="00A32AF4" w:rsidSect="0007789B">
          <w:pgSz w:w="16840" w:h="11907" w:orient="landscape" w:code="9"/>
          <w:pgMar w:top="1304" w:right="567" w:bottom="1247" w:left="567" w:header="567" w:footer="851" w:gutter="0"/>
          <w:cols w:space="720"/>
          <w:docGrid w:linePitch="272"/>
        </w:sectPr>
      </w:pPr>
    </w:p>
    <w:p w:rsidR="00F93B76" w:rsidRPr="00A32AF4" w:rsidRDefault="001559D6" w:rsidP="00FB1F61">
      <w:pPr>
        <w:pStyle w:val="Heading3"/>
      </w:pPr>
      <w:bookmarkStart w:id="83" w:name="_Toc431555478"/>
      <w:r w:rsidRPr="00A32AF4">
        <w:t>ANNEXE</w:t>
      </w:r>
      <w:r w:rsidR="00D21583" w:rsidRPr="00A32AF4">
        <w:t> </w:t>
      </w:r>
      <w:r w:rsidRPr="00A32AF4">
        <w:t>IV</w:t>
      </w:r>
      <w:r w:rsidRPr="00A32AF4">
        <w:tab/>
        <w:t xml:space="preserve">ÉVOLUTION À MOYEN TERME DE LA DEMANDE DE SERVICES AU TITRE DES SYSTÈMES DU PCT, DE MADRID ET DE </w:t>
      </w:r>
      <w:r w:rsidR="00E2055A" w:rsidRPr="00A32AF4">
        <w:t>LA HAYE</w:t>
      </w:r>
      <w:bookmarkEnd w:id="79"/>
      <w:bookmarkEnd w:id="80"/>
      <w:bookmarkEnd w:id="81"/>
      <w:bookmarkEnd w:id="82"/>
      <w:bookmarkEnd w:id="83"/>
    </w:p>
    <w:p w:rsidR="00F93B76" w:rsidRPr="00A32AF4" w:rsidRDefault="00F93B76" w:rsidP="00DC0553">
      <w:pPr>
        <w:rPr>
          <w:rFonts w:cs="Arial"/>
        </w:rPr>
      </w:pPr>
    </w:p>
    <w:p w:rsidR="00F93B76" w:rsidRPr="00A32AF4" w:rsidRDefault="00F93B76" w:rsidP="00DC0553">
      <w:pPr>
        <w:rPr>
          <w:rFonts w:cs="Arial"/>
        </w:rPr>
      </w:pPr>
    </w:p>
    <w:p w:rsidR="00F93B76" w:rsidRPr="00A32AF4" w:rsidRDefault="001559D6" w:rsidP="00DC0553">
      <w:pPr>
        <w:jc w:val="both"/>
        <w:rPr>
          <w:rFonts w:cs="Arial"/>
          <w:b/>
        </w:rPr>
      </w:pPr>
      <w:r w:rsidRPr="00A32AF4">
        <w:rPr>
          <w:rFonts w:cs="Arial"/>
          <w:b/>
        </w:rPr>
        <w:t>PCT</w:t>
      </w:r>
    </w:p>
    <w:p w:rsidR="00F93B76" w:rsidRPr="00A32AF4" w:rsidRDefault="00F93B76" w:rsidP="00DC0553">
      <w:pPr>
        <w:jc w:val="both"/>
        <w:rPr>
          <w:rFonts w:cs="Arial"/>
          <w:b/>
        </w:rPr>
      </w:pPr>
    </w:p>
    <w:p w:rsidR="00F93B76" w:rsidRPr="00A32AF4" w:rsidRDefault="001559D6" w:rsidP="00DC0553">
      <w:pPr>
        <w:numPr>
          <w:ilvl w:val="0"/>
          <w:numId w:val="34"/>
        </w:numPr>
        <w:jc w:val="both"/>
        <w:rPr>
          <w:rFonts w:cs="Arial"/>
        </w:rPr>
      </w:pPr>
      <w:r w:rsidRPr="00A32AF4">
        <w:rPr>
          <w:rFonts w:cs="Arial"/>
        </w:rPr>
        <w:t>Le montant des recettes au titre du PCT est influencé par différents facteurs, dont la demande en faveur des services du PCT et la stratégie des déposants.  La demande en faveur des services du PCT est quant à elle influencée par un certain nombre de facteurs internes ou externes au système des brevets.  Les facteurs externes comprennent la situation de l</w:t>
      </w:r>
      <w:r w:rsidR="00E2055A" w:rsidRPr="00A32AF4">
        <w:rPr>
          <w:rFonts w:cs="Arial"/>
        </w:rPr>
        <w:t>’</w:t>
      </w:r>
      <w:r w:rsidRPr="00A32AF4">
        <w:rPr>
          <w:rFonts w:cs="Arial"/>
        </w:rPr>
        <w:t>économie au niveau mondial et dans les pays où la demande est la plus forte et s</w:t>
      </w:r>
      <w:r w:rsidR="00E2055A" w:rsidRPr="00A32AF4">
        <w:rPr>
          <w:rFonts w:cs="Arial"/>
        </w:rPr>
        <w:t>’</w:t>
      </w:r>
      <w:r w:rsidRPr="00A32AF4">
        <w:rPr>
          <w:rFonts w:cs="Arial"/>
        </w:rPr>
        <w:t>accroît le plus rapidement, le montant des investissements dans la recherche</w:t>
      </w:r>
      <w:r w:rsidR="00EB7F54" w:rsidRPr="00A32AF4">
        <w:rPr>
          <w:rFonts w:cs="Arial"/>
        </w:rPr>
        <w:noBreakHyphen/>
      </w:r>
      <w:r w:rsidRPr="00A32AF4">
        <w:rPr>
          <w:rFonts w:cs="Arial"/>
        </w:rPr>
        <w:t>développement, la confiance dans la technologie et les fluctuations des taux de change.  Les facteurs internes comprennent le montant des taxes du PCT par rapport aux autres systèmes de dépôt, l</w:t>
      </w:r>
      <w:r w:rsidR="00E2055A" w:rsidRPr="00A32AF4">
        <w:rPr>
          <w:rFonts w:cs="Arial"/>
        </w:rPr>
        <w:t>’</w:t>
      </w:r>
      <w:r w:rsidRPr="00A32AF4">
        <w:rPr>
          <w:rFonts w:cs="Arial"/>
        </w:rPr>
        <w:t>attractivité et la valeur des services du PCT par rapport aux autres systèmes de dépôt, la confiance globale dans l</w:t>
      </w:r>
      <w:r w:rsidR="00E2055A" w:rsidRPr="00A32AF4">
        <w:rPr>
          <w:rFonts w:cs="Arial"/>
        </w:rPr>
        <w:t>’</w:t>
      </w:r>
      <w:r w:rsidRPr="00A32AF4">
        <w:rPr>
          <w:rFonts w:cs="Arial"/>
        </w:rPr>
        <w:t>efficacité du système des brevets et les stratégies en matière de brevets appliquées par les entreprises.</w:t>
      </w:r>
    </w:p>
    <w:p w:rsidR="00F93B76" w:rsidRPr="00A32AF4" w:rsidRDefault="00F93B76" w:rsidP="00DC0553">
      <w:pPr>
        <w:tabs>
          <w:tab w:val="num" w:pos="0"/>
        </w:tabs>
        <w:jc w:val="both"/>
        <w:rPr>
          <w:rFonts w:cs="Arial"/>
        </w:rPr>
      </w:pPr>
    </w:p>
    <w:p w:rsidR="00F93B76" w:rsidRPr="00A32AF4" w:rsidRDefault="001559D6" w:rsidP="00DC0553">
      <w:pPr>
        <w:numPr>
          <w:ilvl w:val="0"/>
          <w:numId w:val="34"/>
        </w:numPr>
        <w:jc w:val="both"/>
        <w:rPr>
          <w:rFonts w:cs="Arial"/>
        </w:rPr>
      </w:pPr>
      <w:r w:rsidRPr="00A32AF4">
        <w:rPr>
          <w:rFonts w:cs="Arial"/>
        </w:rPr>
        <w:t>Comment la stratégie des déposants influe sur les recettes au titre du PCT :</w:t>
      </w:r>
    </w:p>
    <w:p w:rsidR="00F93B76" w:rsidRPr="00A32AF4" w:rsidRDefault="00F93B76" w:rsidP="00DC0553">
      <w:pPr>
        <w:pStyle w:val="BodyText"/>
        <w:tabs>
          <w:tab w:val="num" w:pos="567"/>
          <w:tab w:val="left" w:pos="1134"/>
        </w:tabs>
        <w:spacing w:after="0"/>
        <w:ind w:left="567"/>
        <w:jc w:val="both"/>
        <w:rPr>
          <w:rFonts w:cs="Arial"/>
        </w:rPr>
      </w:pPr>
    </w:p>
    <w:p w:rsidR="00F93B76" w:rsidRPr="00A32AF4" w:rsidRDefault="001559D6" w:rsidP="00DC0553">
      <w:pPr>
        <w:pStyle w:val="BodyText"/>
        <w:tabs>
          <w:tab w:val="left" w:pos="567"/>
          <w:tab w:val="left" w:pos="1134"/>
        </w:tabs>
        <w:spacing w:after="0"/>
        <w:ind w:left="567"/>
        <w:jc w:val="both"/>
        <w:rPr>
          <w:rFonts w:cs="Arial"/>
        </w:rPr>
      </w:pPr>
      <w:r w:rsidRPr="00A32AF4">
        <w:rPr>
          <w:rFonts w:cs="Arial"/>
        </w:rPr>
        <w:t>i)</w:t>
      </w:r>
      <w:r w:rsidRPr="00A32AF4">
        <w:rPr>
          <w:rFonts w:cs="Arial"/>
        </w:rPr>
        <w:tab/>
      </w:r>
      <w:r w:rsidRPr="00A32AF4">
        <w:rPr>
          <w:rFonts w:cs="Arial"/>
          <w:u w:val="single"/>
        </w:rPr>
        <w:t>Taxe par feuille :</w:t>
      </w:r>
      <w:r w:rsidRPr="00A32AF4">
        <w:rPr>
          <w:rFonts w:cs="Arial"/>
        </w:rPr>
        <w:t xml:space="preserve"> Le Bureau international reçoit 15 francs suisses par feuille à compter de la trente et unième figurant dans la </w:t>
      </w:r>
      <w:proofErr w:type="gramStart"/>
      <w:r w:rsidRPr="00A32AF4">
        <w:rPr>
          <w:rFonts w:cs="Arial"/>
        </w:rPr>
        <w:t>demande;</w:t>
      </w:r>
      <w:proofErr w:type="gramEnd"/>
    </w:p>
    <w:p w:rsidR="00F93B76" w:rsidRPr="00A32AF4" w:rsidRDefault="00F93B76" w:rsidP="00DC0553">
      <w:pPr>
        <w:pStyle w:val="BodyText"/>
        <w:tabs>
          <w:tab w:val="left" w:pos="1134"/>
        </w:tabs>
        <w:spacing w:after="0"/>
        <w:ind w:left="567"/>
        <w:jc w:val="both"/>
        <w:rPr>
          <w:rFonts w:cs="Arial"/>
        </w:rPr>
      </w:pPr>
    </w:p>
    <w:p w:rsidR="00F93B76" w:rsidRPr="00A32AF4" w:rsidRDefault="001559D6" w:rsidP="00DC0553">
      <w:pPr>
        <w:pStyle w:val="BodyText"/>
        <w:tabs>
          <w:tab w:val="left" w:pos="567"/>
          <w:tab w:val="left" w:pos="1134"/>
        </w:tabs>
        <w:spacing w:after="0"/>
        <w:ind w:left="567"/>
        <w:jc w:val="both"/>
        <w:rPr>
          <w:rFonts w:cs="Arial"/>
        </w:rPr>
      </w:pPr>
      <w:r w:rsidRPr="00A32AF4">
        <w:rPr>
          <w:rFonts w:cs="Arial"/>
        </w:rPr>
        <w:t>ii)</w:t>
      </w:r>
      <w:r w:rsidRPr="00A32AF4">
        <w:rPr>
          <w:rFonts w:cs="Arial"/>
        </w:rPr>
        <w:tab/>
      </w:r>
      <w:r w:rsidRPr="00A32AF4">
        <w:rPr>
          <w:rFonts w:cs="Arial"/>
          <w:u w:val="single"/>
        </w:rPr>
        <w:t>Examen préliminaire</w:t>
      </w:r>
      <w:r w:rsidRPr="00A32AF4">
        <w:rPr>
          <w:rFonts w:cs="Arial"/>
        </w:rPr>
        <w:t xml:space="preserve"> international : Les déposants qui demandent l</w:t>
      </w:r>
      <w:r w:rsidR="00E2055A" w:rsidRPr="00A32AF4">
        <w:rPr>
          <w:rFonts w:cs="Arial"/>
        </w:rPr>
        <w:t>’</w:t>
      </w:r>
      <w:r w:rsidRPr="00A32AF4">
        <w:rPr>
          <w:rFonts w:cs="Arial"/>
        </w:rPr>
        <w:t xml:space="preserve">examen préliminaire international prévu au chapitre II du PCT doivent payer une taxe additionnelle (dénommée </w:t>
      </w:r>
      <w:r w:rsidR="00B63C9F" w:rsidRPr="00A32AF4">
        <w:rPr>
          <w:rFonts w:cs="Arial"/>
        </w:rPr>
        <w:t>“</w:t>
      </w:r>
      <w:r w:rsidRPr="00A32AF4">
        <w:rPr>
          <w:rFonts w:cs="Arial"/>
        </w:rPr>
        <w:t>taxe de traitement</w:t>
      </w:r>
      <w:r w:rsidR="00B63C9F" w:rsidRPr="00A32AF4">
        <w:rPr>
          <w:rFonts w:cs="Arial"/>
        </w:rPr>
        <w:t>”</w:t>
      </w:r>
      <w:proofErr w:type="gramStart"/>
      <w:r w:rsidRPr="00A32AF4">
        <w:rPr>
          <w:rFonts w:cs="Arial"/>
        </w:rPr>
        <w:t>);</w:t>
      </w:r>
      <w:proofErr w:type="gramEnd"/>
    </w:p>
    <w:p w:rsidR="00F93B76" w:rsidRPr="00A32AF4" w:rsidRDefault="00F93B76" w:rsidP="00DC0553">
      <w:pPr>
        <w:pStyle w:val="BodyText"/>
        <w:tabs>
          <w:tab w:val="left" w:pos="1134"/>
        </w:tabs>
        <w:spacing w:after="0"/>
        <w:ind w:left="567"/>
        <w:jc w:val="both"/>
        <w:rPr>
          <w:rFonts w:cs="Arial"/>
        </w:rPr>
      </w:pPr>
    </w:p>
    <w:p w:rsidR="00F93B76" w:rsidRPr="00A32AF4" w:rsidRDefault="001559D6" w:rsidP="00DC0553">
      <w:pPr>
        <w:pStyle w:val="BodyText"/>
        <w:tabs>
          <w:tab w:val="left" w:pos="567"/>
          <w:tab w:val="left" w:pos="1134"/>
        </w:tabs>
        <w:spacing w:after="0"/>
        <w:ind w:left="567"/>
        <w:jc w:val="both"/>
        <w:rPr>
          <w:rFonts w:cs="Arial"/>
        </w:rPr>
      </w:pPr>
      <w:r w:rsidRPr="00A32AF4">
        <w:rPr>
          <w:rFonts w:cs="Arial"/>
        </w:rPr>
        <w:t>iii)</w:t>
      </w:r>
      <w:r w:rsidRPr="00A32AF4">
        <w:rPr>
          <w:rFonts w:cs="Arial"/>
        </w:rPr>
        <w:tab/>
      </w:r>
      <w:r w:rsidRPr="00A32AF4">
        <w:rPr>
          <w:rFonts w:cs="Arial"/>
          <w:u w:val="single"/>
        </w:rPr>
        <w:t>Dépôt électronique</w:t>
      </w:r>
      <w:r w:rsidRPr="00A32AF4">
        <w:rPr>
          <w:rFonts w:cs="Arial"/>
        </w:rPr>
        <w:t xml:space="preserve"> : Les déposants qui ont recours au dépôt électronique (en lieu et place du dépôt sur papier) bénéficient de </w:t>
      </w:r>
      <w:proofErr w:type="gramStart"/>
      <w:r w:rsidRPr="00A32AF4">
        <w:rPr>
          <w:rFonts w:cs="Arial"/>
        </w:rPr>
        <w:t>réductions;</w:t>
      </w:r>
      <w:proofErr w:type="gramEnd"/>
    </w:p>
    <w:p w:rsidR="00F93B76" w:rsidRPr="00A32AF4" w:rsidRDefault="00F93B76" w:rsidP="00DC0553">
      <w:pPr>
        <w:pStyle w:val="BodyText"/>
        <w:tabs>
          <w:tab w:val="left" w:pos="1134"/>
        </w:tabs>
        <w:spacing w:after="0"/>
        <w:ind w:left="567"/>
        <w:jc w:val="both"/>
        <w:rPr>
          <w:rFonts w:cs="Arial"/>
        </w:rPr>
      </w:pPr>
    </w:p>
    <w:p w:rsidR="00F93B76" w:rsidRPr="00A32AF4" w:rsidRDefault="001559D6" w:rsidP="00DC0553">
      <w:pPr>
        <w:pStyle w:val="BodyText"/>
        <w:tabs>
          <w:tab w:val="left" w:pos="1134"/>
        </w:tabs>
        <w:spacing w:after="0"/>
        <w:ind w:left="567"/>
        <w:jc w:val="both"/>
        <w:rPr>
          <w:rFonts w:cs="Arial"/>
        </w:rPr>
      </w:pPr>
      <w:proofErr w:type="gramStart"/>
      <w:r w:rsidRPr="00A32AF4">
        <w:rPr>
          <w:rFonts w:cs="Arial"/>
        </w:rPr>
        <w:t>iv )</w:t>
      </w:r>
      <w:proofErr w:type="gramEnd"/>
      <w:r w:rsidRPr="00A32AF4">
        <w:rPr>
          <w:rFonts w:cs="Arial"/>
        </w:rPr>
        <w:tab/>
      </w:r>
      <w:r w:rsidRPr="00A32AF4">
        <w:rPr>
          <w:rFonts w:cs="Arial"/>
          <w:u w:val="single"/>
        </w:rPr>
        <w:t>Bureau international agissant en tant qu</w:t>
      </w:r>
      <w:r w:rsidR="00E2055A" w:rsidRPr="00A32AF4">
        <w:rPr>
          <w:rFonts w:cs="Arial"/>
          <w:u w:val="single"/>
        </w:rPr>
        <w:t>’</w:t>
      </w:r>
      <w:r w:rsidRPr="00A32AF4">
        <w:rPr>
          <w:rFonts w:cs="Arial"/>
          <w:u w:val="single"/>
        </w:rPr>
        <w:t>office récepteur :</w:t>
      </w:r>
      <w:r w:rsidRPr="00A32AF4">
        <w:rPr>
          <w:rFonts w:cs="Arial"/>
        </w:rPr>
        <w:t xml:space="preserve"> Les déposants qui choisissent de déposer leur demande auprès du Bureau international agissant en tant qu</w:t>
      </w:r>
      <w:r w:rsidR="00E2055A" w:rsidRPr="00A32AF4">
        <w:rPr>
          <w:rFonts w:cs="Arial"/>
        </w:rPr>
        <w:t>’</w:t>
      </w:r>
      <w:r w:rsidRPr="00A32AF4">
        <w:rPr>
          <w:rFonts w:cs="Arial"/>
        </w:rPr>
        <w:t xml:space="preserve">office récepteur doivent payer une taxe spéciale (dénommée </w:t>
      </w:r>
      <w:r w:rsidR="00B63C9F" w:rsidRPr="00A32AF4">
        <w:rPr>
          <w:rFonts w:cs="Arial"/>
        </w:rPr>
        <w:t>“</w:t>
      </w:r>
      <w:r w:rsidRPr="00A32AF4">
        <w:rPr>
          <w:rFonts w:cs="Arial"/>
        </w:rPr>
        <w:t>taxe de transmission</w:t>
      </w:r>
      <w:r w:rsidR="00B63C9F" w:rsidRPr="00A32AF4">
        <w:rPr>
          <w:rFonts w:cs="Arial"/>
        </w:rPr>
        <w:t>”</w:t>
      </w:r>
      <w:r w:rsidRPr="00A32AF4">
        <w:rPr>
          <w:rFonts w:cs="Arial"/>
        </w:rPr>
        <w:t>).</w:t>
      </w:r>
    </w:p>
    <w:p w:rsidR="00F93B76" w:rsidRPr="00A32AF4" w:rsidRDefault="00F93B76" w:rsidP="00DC0553">
      <w:pPr>
        <w:pStyle w:val="BodyText"/>
        <w:tabs>
          <w:tab w:val="left" w:pos="1134"/>
        </w:tabs>
        <w:spacing w:after="0"/>
        <w:ind w:left="567"/>
        <w:jc w:val="both"/>
        <w:rPr>
          <w:rFonts w:cs="Arial"/>
        </w:rPr>
      </w:pPr>
    </w:p>
    <w:p w:rsidR="00F93B76" w:rsidRPr="00A32AF4" w:rsidRDefault="001559D6" w:rsidP="00DC0553">
      <w:pPr>
        <w:numPr>
          <w:ilvl w:val="0"/>
          <w:numId w:val="34"/>
        </w:numPr>
        <w:jc w:val="both"/>
        <w:rPr>
          <w:rFonts w:cs="Arial"/>
        </w:rPr>
      </w:pPr>
      <w:r w:rsidRPr="00A32AF4">
        <w:rPr>
          <w:rFonts w:cs="Arial"/>
        </w:rPr>
        <w:t>Les paragraphes ci</w:t>
      </w:r>
      <w:r w:rsidR="00EB7F54" w:rsidRPr="00A32AF4">
        <w:rPr>
          <w:rFonts w:cs="Arial"/>
        </w:rPr>
        <w:noBreakHyphen/>
      </w:r>
      <w:r w:rsidRPr="00A32AF4">
        <w:rPr>
          <w:rFonts w:cs="Arial"/>
        </w:rPr>
        <w:t>après détaillent les prévisions actuelles concernant le niveau de la demande, le nombre de demandes d</w:t>
      </w:r>
      <w:r w:rsidR="00E2055A" w:rsidRPr="00A32AF4">
        <w:rPr>
          <w:rFonts w:cs="Arial"/>
        </w:rPr>
        <w:t>’</w:t>
      </w:r>
      <w:r w:rsidRPr="00A32AF4">
        <w:rPr>
          <w:rFonts w:cs="Arial"/>
        </w:rPr>
        <w:t>examen préliminaire international selon le chapitre II, la proportion des dépôts électroniques et l</w:t>
      </w:r>
      <w:r w:rsidR="00E2055A" w:rsidRPr="00A32AF4">
        <w:rPr>
          <w:rFonts w:cs="Arial"/>
        </w:rPr>
        <w:t>’</w:t>
      </w:r>
      <w:r w:rsidRPr="00A32AF4">
        <w:rPr>
          <w:rFonts w:cs="Arial"/>
        </w:rPr>
        <w:t>activité du Bureau international agissant en tant qu</w:t>
      </w:r>
      <w:r w:rsidR="00E2055A" w:rsidRPr="00A32AF4">
        <w:rPr>
          <w:rFonts w:cs="Arial"/>
        </w:rPr>
        <w:t>’</w:t>
      </w:r>
      <w:r w:rsidRPr="00A32AF4">
        <w:rPr>
          <w:rFonts w:cs="Arial"/>
        </w:rPr>
        <w:t>office récepteur</w:t>
      </w:r>
      <w:r w:rsidRPr="00A32AF4">
        <w:rPr>
          <w:rStyle w:val="FootnoteReference"/>
          <w:rFonts w:eastAsiaTheme="majorEastAsia" w:cs="Arial"/>
        </w:rPr>
        <w:footnoteReference w:id="25"/>
      </w:r>
      <w:r w:rsidRPr="00A32AF4">
        <w:rPr>
          <w:rFonts w:cs="Arial"/>
        </w:rPr>
        <w:t>.</w:t>
      </w:r>
    </w:p>
    <w:p w:rsidR="00F93B76" w:rsidRPr="00A32AF4" w:rsidRDefault="00F93B76" w:rsidP="00DC0553">
      <w:pPr>
        <w:jc w:val="both"/>
        <w:rPr>
          <w:rFonts w:cs="Arial"/>
        </w:rPr>
      </w:pPr>
    </w:p>
    <w:p w:rsidR="00F93B76" w:rsidRPr="00A32AF4" w:rsidRDefault="00F93B76" w:rsidP="00DC0553">
      <w:pPr>
        <w:rPr>
          <w:rFonts w:cs="Arial"/>
        </w:rPr>
      </w:pPr>
    </w:p>
    <w:p w:rsidR="00F93B76" w:rsidRPr="00A32AF4" w:rsidRDefault="001559D6" w:rsidP="00DC0553">
      <w:pPr>
        <w:rPr>
          <w:rFonts w:cs="Arial"/>
          <w:i/>
        </w:rPr>
      </w:pPr>
      <w:r w:rsidRPr="00A32AF4">
        <w:rPr>
          <w:rFonts w:cs="Arial"/>
          <w:i/>
        </w:rPr>
        <w:t>Prévisions relatives aux dépôts selon le PCT (demande)</w:t>
      </w:r>
    </w:p>
    <w:p w:rsidR="00F93B76" w:rsidRPr="00A32AF4" w:rsidRDefault="00F93B76" w:rsidP="00DC0553">
      <w:pPr>
        <w:rPr>
          <w:rFonts w:cs="Arial"/>
        </w:rPr>
      </w:pPr>
    </w:p>
    <w:p w:rsidR="00F93B76" w:rsidRPr="00A32AF4" w:rsidRDefault="001559D6" w:rsidP="00DC0553">
      <w:pPr>
        <w:numPr>
          <w:ilvl w:val="0"/>
          <w:numId w:val="34"/>
        </w:numPr>
        <w:jc w:val="both"/>
        <w:rPr>
          <w:rFonts w:cs="Arial"/>
        </w:rPr>
      </w:pPr>
      <w:r w:rsidRPr="00A32AF4">
        <w:rPr>
          <w:rFonts w:cs="Arial"/>
        </w:rPr>
        <w:t>Après être tombé en 2009 à près de 5% d</w:t>
      </w:r>
      <w:r w:rsidR="00E2055A" w:rsidRPr="00A32AF4">
        <w:rPr>
          <w:rFonts w:cs="Arial"/>
        </w:rPr>
        <w:t>’</w:t>
      </w:r>
      <w:r w:rsidRPr="00A32AF4">
        <w:rPr>
          <w:rFonts w:cs="Arial"/>
        </w:rPr>
        <w:t>une année sur l</w:t>
      </w:r>
      <w:r w:rsidR="00E2055A" w:rsidRPr="00A32AF4">
        <w:rPr>
          <w:rFonts w:cs="Arial"/>
        </w:rPr>
        <w:t>’</w:t>
      </w:r>
      <w:r w:rsidRPr="00A32AF4">
        <w:rPr>
          <w:rFonts w:cs="Arial"/>
        </w:rPr>
        <w:t>autre, le nombre des dépôts selon le PCT a fortement augmenté ces dernières années.  Le diagramme 1 montre le nombre prévu des demandes selon le PCT pour les années 2014 à 2017 (sur la base des données disponibles à la fin de janvier 2015).</w:t>
      </w:r>
    </w:p>
    <w:p w:rsidR="00F93B76" w:rsidRPr="00A32AF4" w:rsidRDefault="00F93B76" w:rsidP="00DC0553">
      <w:pPr>
        <w:rPr>
          <w:rFonts w:cs="Arial"/>
        </w:rPr>
      </w:pPr>
    </w:p>
    <w:p w:rsidR="00F93B76" w:rsidRPr="00A32AF4" w:rsidRDefault="001559D6" w:rsidP="00DC0553">
      <w:pPr>
        <w:keepNext/>
        <w:keepLines/>
        <w:jc w:val="center"/>
        <w:rPr>
          <w:rFonts w:cs="Arial"/>
          <w:sz w:val="18"/>
          <w:szCs w:val="18"/>
        </w:rPr>
      </w:pPr>
      <w:r w:rsidRPr="00A32AF4">
        <w:rPr>
          <w:rFonts w:cs="Arial"/>
          <w:sz w:val="18"/>
          <w:szCs w:val="18"/>
        </w:rPr>
        <w:t>Diagramme 1.  Demandes selon le PCT de 201</w:t>
      </w:r>
      <w:r w:rsidR="0007789B" w:rsidRPr="00A32AF4">
        <w:rPr>
          <w:rFonts w:cs="Arial"/>
          <w:sz w:val="18"/>
          <w:szCs w:val="18"/>
        </w:rPr>
        <w:t>2</w:t>
      </w:r>
      <w:r w:rsidRPr="00A32AF4">
        <w:rPr>
          <w:rFonts w:cs="Arial"/>
          <w:sz w:val="18"/>
          <w:szCs w:val="18"/>
        </w:rPr>
        <w:t xml:space="preserve"> à 201</w:t>
      </w:r>
      <w:r w:rsidR="0007789B" w:rsidRPr="00A32AF4">
        <w:rPr>
          <w:rFonts w:cs="Arial"/>
          <w:sz w:val="18"/>
          <w:szCs w:val="18"/>
        </w:rPr>
        <w:t>7</w:t>
      </w:r>
    </w:p>
    <w:p w:rsidR="00F93B76" w:rsidRPr="00A32AF4" w:rsidRDefault="00F93B76" w:rsidP="00DC0553">
      <w:pPr>
        <w:keepNext/>
        <w:keepLines/>
        <w:jc w:val="center"/>
        <w:rPr>
          <w:rFonts w:cs="Arial"/>
          <w:sz w:val="18"/>
          <w:szCs w:val="18"/>
        </w:rPr>
      </w:pPr>
    </w:p>
    <w:p w:rsidR="00F93B76" w:rsidRPr="00A32AF4" w:rsidRDefault="001559D6" w:rsidP="00DC0553">
      <w:pPr>
        <w:keepNext/>
        <w:keepLines/>
        <w:jc w:val="center"/>
        <w:rPr>
          <w:rFonts w:cs="Arial"/>
        </w:rPr>
      </w:pPr>
      <w:r w:rsidRPr="00A32AF4">
        <w:rPr>
          <w:rFonts w:cs="Arial"/>
          <w:noProof/>
          <w:lang w:eastAsia="fr-FR"/>
        </w:rPr>
        <w:drawing>
          <wp:inline distT="0" distB="0" distL="0" distR="0" wp14:anchorId="7FCABC19" wp14:editId="1F9EF81B">
            <wp:extent cx="5486400" cy="3105150"/>
            <wp:effectExtent l="0" t="0" r="0" b="0"/>
            <wp:docPr id="999" name="Chart 99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2"/>
              </a:graphicData>
            </a:graphic>
          </wp:inline>
        </w:drawing>
      </w:r>
    </w:p>
    <w:p w:rsidR="00F93B76" w:rsidRPr="00A32AF4" w:rsidRDefault="001559D6" w:rsidP="00DC0553">
      <w:pPr>
        <w:jc w:val="center"/>
        <w:rPr>
          <w:rFonts w:cs="Arial"/>
        </w:rPr>
      </w:pPr>
      <w:r w:rsidRPr="00A32AF4">
        <w:rPr>
          <w:rFonts w:cs="Arial"/>
          <w:noProof/>
          <w:lang w:eastAsia="fr-FR"/>
        </w:rPr>
        <w:drawing>
          <wp:inline distT="0" distB="0" distL="0" distR="0" wp14:anchorId="30A0E260" wp14:editId="27194A0E">
            <wp:extent cx="4856480" cy="724535"/>
            <wp:effectExtent l="0" t="0" r="127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4856480" cy="724535"/>
                    </a:xfrm>
                    <a:prstGeom prst="rect">
                      <a:avLst/>
                    </a:prstGeom>
                    <a:noFill/>
                    <a:ln>
                      <a:noFill/>
                    </a:ln>
                  </pic:spPr>
                </pic:pic>
              </a:graphicData>
            </a:graphic>
          </wp:inline>
        </w:drawing>
      </w:r>
    </w:p>
    <w:p w:rsidR="00F93B76" w:rsidRPr="00A32AF4" w:rsidRDefault="00F93B76" w:rsidP="00DC0553">
      <w:pPr>
        <w:keepNext/>
        <w:keepLines/>
        <w:jc w:val="center"/>
        <w:rPr>
          <w:rFonts w:cs="Arial"/>
        </w:rPr>
      </w:pPr>
    </w:p>
    <w:p w:rsidR="00F93B76" w:rsidRPr="00A32AF4" w:rsidRDefault="00F93B76" w:rsidP="00DC0553">
      <w:pPr>
        <w:keepNext/>
        <w:keepLines/>
        <w:jc w:val="center"/>
        <w:rPr>
          <w:rFonts w:cs="Arial"/>
        </w:rPr>
      </w:pPr>
    </w:p>
    <w:p w:rsidR="00F93B76" w:rsidRPr="00A32AF4" w:rsidRDefault="001559D6" w:rsidP="00DC0553">
      <w:pPr>
        <w:numPr>
          <w:ilvl w:val="0"/>
          <w:numId w:val="34"/>
        </w:numPr>
        <w:tabs>
          <w:tab w:val="left" w:pos="540"/>
        </w:tabs>
        <w:jc w:val="both"/>
        <w:rPr>
          <w:rFonts w:cs="Arial"/>
        </w:rPr>
      </w:pPr>
      <w:r w:rsidRPr="00A32AF4">
        <w:rPr>
          <w:rFonts w:cs="Arial"/>
        </w:rPr>
        <w:t>Le diagramme 2 ci</w:t>
      </w:r>
      <w:r w:rsidR="00EB7F54" w:rsidRPr="00A32AF4">
        <w:rPr>
          <w:rFonts w:cs="Arial"/>
        </w:rPr>
        <w:noBreakHyphen/>
      </w:r>
      <w:r w:rsidRPr="00A32AF4">
        <w:rPr>
          <w:rFonts w:cs="Arial"/>
        </w:rPr>
        <w:t>dessous montre les prévisions relatives aux dépôts par pays d</w:t>
      </w:r>
      <w:r w:rsidR="00E2055A" w:rsidRPr="00A32AF4">
        <w:rPr>
          <w:rFonts w:cs="Arial"/>
        </w:rPr>
        <w:t>’</w:t>
      </w:r>
      <w:r w:rsidRPr="00A32AF4">
        <w:rPr>
          <w:rFonts w:cs="Arial"/>
        </w:rPr>
        <w:t>origine.</w:t>
      </w:r>
    </w:p>
    <w:p w:rsidR="00F93B76" w:rsidRPr="00A32AF4" w:rsidRDefault="00F93B76" w:rsidP="00DC0553">
      <w:pPr>
        <w:keepLines/>
        <w:rPr>
          <w:rFonts w:cs="Arial"/>
        </w:rPr>
      </w:pPr>
    </w:p>
    <w:p w:rsidR="00F93B76" w:rsidRPr="00A32AF4" w:rsidRDefault="001559D6" w:rsidP="00DC0553">
      <w:pPr>
        <w:keepLines/>
        <w:jc w:val="center"/>
        <w:rPr>
          <w:rFonts w:cs="Arial"/>
        </w:rPr>
      </w:pPr>
      <w:r w:rsidRPr="00A32AF4">
        <w:rPr>
          <w:rFonts w:cs="Arial"/>
          <w:sz w:val="18"/>
          <w:szCs w:val="18"/>
        </w:rPr>
        <w:t>Diagramme 2.  Dépôts selon le PCT pour quelques pays de 2014 à 2017</w:t>
      </w:r>
    </w:p>
    <w:p w:rsidR="00F93B76" w:rsidRPr="00A32AF4" w:rsidRDefault="00F93B76" w:rsidP="00DC0553">
      <w:pPr>
        <w:keepLines/>
        <w:rPr>
          <w:rFonts w:cs="Arial"/>
        </w:rPr>
      </w:pPr>
    </w:p>
    <w:p w:rsidR="00F93B76" w:rsidRPr="00A32AF4" w:rsidRDefault="001559D6" w:rsidP="00DC0553">
      <w:pPr>
        <w:keepLines/>
        <w:jc w:val="center"/>
        <w:rPr>
          <w:rFonts w:cs="Arial"/>
        </w:rPr>
      </w:pPr>
      <w:r w:rsidRPr="00A32AF4">
        <w:rPr>
          <w:rFonts w:cs="Arial"/>
          <w:noProof/>
          <w:lang w:eastAsia="fr-FR"/>
        </w:rPr>
        <w:drawing>
          <wp:inline distT="0" distB="0" distL="0" distR="0" wp14:anchorId="103AB203" wp14:editId="36CBD609">
            <wp:extent cx="2984500" cy="3581400"/>
            <wp:effectExtent l="0" t="0" r="635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2984500" cy="3581400"/>
                    </a:xfrm>
                    <a:prstGeom prst="rect">
                      <a:avLst/>
                    </a:prstGeom>
                    <a:noFill/>
                    <a:ln>
                      <a:noFill/>
                    </a:ln>
                  </pic:spPr>
                </pic:pic>
              </a:graphicData>
            </a:graphic>
          </wp:inline>
        </w:drawing>
      </w:r>
    </w:p>
    <w:p w:rsidR="00F93B76" w:rsidRPr="00A32AF4" w:rsidRDefault="00F93B76" w:rsidP="00DC0553">
      <w:pPr>
        <w:keepLines/>
        <w:jc w:val="center"/>
        <w:rPr>
          <w:rFonts w:cs="Arial"/>
        </w:rPr>
      </w:pPr>
    </w:p>
    <w:p w:rsidR="00F93B76" w:rsidRPr="00A32AF4" w:rsidRDefault="001559D6" w:rsidP="00DC0553">
      <w:pPr>
        <w:numPr>
          <w:ilvl w:val="0"/>
          <w:numId w:val="34"/>
        </w:numPr>
        <w:tabs>
          <w:tab w:val="left" w:pos="540"/>
        </w:tabs>
        <w:jc w:val="both"/>
        <w:rPr>
          <w:rFonts w:cs="Arial"/>
        </w:rPr>
      </w:pPr>
      <w:r w:rsidRPr="00A32AF4">
        <w:rPr>
          <w:rFonts w:cs="Arial"/>
        </w:rPr>
        <w:t>Le nombre de demandes internationales s</w:t>
      </w:r>
      <w:r w:rsidR="00E2055A" w:rsidRPr="00A32AF4">
        <w:rPr>
          <w:rFonts w:cs="Arial"/>
        </w:rPr>
        <w:t>’</w:t>
      </w:r>
      <w:r w:rsidRPr="00A32AF4">
        <w:rPr>
          <w:rFonts w:cs="Arial"/>
        </w:rPr>
        <w:t>inscrira vraisemblablement dans une fourchette avec certaines probabilités.  Le diagramme et le tableau ci</w:t>
      </w:r>
      <w:r w:rsidR="00EB7F54" w:rsidRPr="00A32AF4">
        <w:rPr>
          <w:rFonts w:cs="Arial"/>
        </w:rPr>
        <w:noBreakHyphen/>
      </w:r>
      <w:r w:rsidRPr="00A32AF4">
        <w:rPr>
          <w:rFonts w:cs="Arial"/>
        </w:rPr>
        <w:t>après indiquent la répartition probabiliste du nombre de dépôts.</w:t>
      </w:r>
    </w:p>
    <w:p w:rsidR="00F93B76" w:rsidRPr="00A32AF4" w:rsidRDefault="00F93B76" w:rsidP="00DC0553">
      <w:pPr>
        <w:keepNext/>
        <w:keepLines/>
        <w:rPr>
          <w:rFonts w:cs="Arial"/>
        </w:rPr>
      </w:pPr>
    </w:p>
    <w:p w:rsidR="00F93B76" w:rsidRPr="00A32AF4" w:rsidRDefault="001559D6" w:rsidP="00DC0553">
      <w:pPr>
        <w:keepNext/>
        <w:keepLines/>
        <w:rPr>
          <w:rFonts w:cs="Arial"/>
          <w:sz w:val="18"/>
        </w:rPr>
      </w:pPr>
      <w:r w:rsidRPr="00A32AF4">
        <w:rPr>
          <w:rFonts w:cs="Arial"/>
          <w:noProof/>
          <w:lang w:eastAsia="fr-FR"/>
        </w:rPr>
        <w:drawing>
          <wp:inline distT="0" distB="0" distL="0" distR="0" wp14:anchorId="44DEF2E8" wp14:editId="38198DBE">
            <wp:extent cx="5495925" cy="3095625"/>
            <wp:effectExtent l="0" t="0" r="0" b="0"/>
            <wp:docPr id="1000" name="Chart 100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5"/>
              </a:graphicData>
            </a:graphic>
          </wp:inline>
        </w:drawing>
      </w:r>
    </w:p>
    <w:p w:rsidR="00F93B76" w:rsidRPr="00A32AF4" w:rsidRDefault="00F93B76" w:rsidP="00DC0553">
      <w:pPr>
        <w:keepNext/>
        <w:keepLines/>
        <w:rPr>
          <w:rFonts w:cs="Arial"/>
          <w:sz w:val="18"/>
        </w:rPr>
      </w:pPr>
    </w:p>
    <w:p w:rsidR="00F93B76" w:rsidRPr="00A32AF4" w:rsidRDefault="001559D6" w:rsidP="00DC0553">
      <w:pPr>
        <w:jc w:val="center"/>
        <w:rPr>
          <w:rFonts w:cs="Arial"/>
          <w:sz w:val="18"/>
          <w:szCs w:val="18"/>
        </w:rPr>
      </w:pPr>
      <w:r w:rsidRPr="00A32AF4">
        <w:rPr>
          <w:rFonts w:cs="Arial"/>
          <w:sz w:val="18"/>
          <w:szCs w:val="18"/>
        </w:rPr>
        <w:t>Scénarios de demandes selon le PCT</w:t>
      </w:r>
    </w:p>
    <w:p w:rsidR="00F93B76" w:rsidRPr="00A32AF4" w:rsidRDefault="00F93B76" w:rsidP="00DC0553">
      <w:pPr>
        <w:jc w:val="center"/>
        <w:rPr>
          <w:rFonts w:cs="Arial"/>
          <w:sz w:val="18"/>
          <w:szCs w:val="18"/>
        </w:rPr>
      </w:pPr>
    </w:p>
    <w:p w:rsidR="00F93B76" w:rsidRPr="00A32AF4" w:rsidRDefault="001559D6" w:rsidP="00DC0553">
      <w:pPr>
        <w:keepNext/>
        <w:keepLines/>
        <w:jc w:val="center"/>
        <w:rPr>
          <w:rFonts w:cs="Arial"/>
        </w:rPr>
      </w:pPr>
      <w:r w:rsidRPr="00A32AF4">
        <w:rPr>
          <w:rFonts w:cs="Arial"/>
          <w:noProof/>
          <w:lang w:eastAsia="fr-FR"/>
        </w:rPr>
        <w:drawing>
          <wp:inline distT="0" distB="0" distL="0" distR="0" wp14:anchorId="475F753C" wp14:editId="34215604">
            <wp:extent cx="3162300" cy="3098800"/>
            <wp:effectExtent l="0" t="0" r="0" b="6350"/>
            <wp:docPr id="1001" name="Picture 1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3162300" cy="3098800"/>
                    </a:xfrm>
                    <a:prstGeom prst="rect">
                      <a:avLst/>
                    </a:prstGeom>
                    <a:noFill/>
                    <a:ln>
                      <a:noFill/>
                    </a:ln>
                  </pic:spPr>
                </pic:pic>
              </a:graphicData>
            </a:graphic>
          </wp:inline>
        </w:drawing>
      </w:r>
    </w:p>
    <w:p w:rsidR="00F93B76" w:rsidRPr="00A32AF4" w:rsidRDefault="00F93B76" w:rsidP="00DC0553">
      <w:pPr>
        <w:keepNext/>
        <w:keepLines/>
        <w:rPr>
          <w:rFonts w:cs="Arial"/>
        </w:rPr>
      </w:pPr>
    </w:p>
    <w:p w:rsidR="00F93B76" w:rsidRPr="00A32AF4" w:rsidRDefault="001559D6" w:rsidP="00DC0553">
      <w:pPr>
        <w:rPr>
          <w:rFonts w:cs="Arial"/>
          <w:i/>
        </w:rPr>
      </w:pPr>
      <w:r w:rsidRPr="00A32AF4">
        <w:rPr>
          <w:rFonts w:cs="Arial"/>
          <w:i/>
        </w:rPr>
        <w:t>Utilisation des moyens de dépôt électronique</w:t>
      </w:r>
    </w:p>
    <w:p w:rsidR="00F93B76" w:rsidRPr="00A32AF4" w:rsidRDefault="00F93B76" w:rsidP="00DC0553">
      <w:pPr>
        <w:rPr>
          <w:rFonts w:cs="Arial"/>
        </w:rPr>
      </w:pPr>
    </w:p>
    <w:p w:rsidR="00F93B76" w:rsidRPr="00A32AF4" w:rsidRDefault="001559D6" w:rsidP="00DC0553">
      <w:pPr>
        <w:numPr>
          <w:ilvl w:val="0"/>
          <w:numId w:val="34"/>
        </w:numPr>
        <w:tabs>
          <w:tab w:val="left" w:pos="540"/>
        </w:tabs>
        <w:jc w:val="both"/>
        <w:rPr>
          <w:rFonts w:cs="Arial"/>
        </w:rPr>
      </w:pPr>
      <w:r w:rsidRPr="00A32AF4">
        <w:rPr>
          <w:rFonts w:cs="Arial"/>
        </w:rPr>
        <w:t>Les estimations relatives à l</w:t>
      </w:r>
      <w:r w:rsidR="00E2055A" w:rsidRPr="00A32AF4">
        <w:rPr>
          <w:rFonts w:cs="Arial"/>
        </w:rPr>
        <w:t>’</w:t>
      </w:r>
      <w:r w:rsidRPr="00A32AF4">
        <w:rPr>
          <w:rFonts w:cs="Arial"/>
        </w:rPr>
        <w:t>utilisation des moyens de dépôt électronique (EASY, PDF ou XML), exprimées en pourcentage du nombre total de dépôts, sont illustrées dans le diagramme 3 ci</w:t>
      </w:r>
      <w:r w:rsidR="00EB7F54" w:rsidRPr="00A32AF4">
        <w:rPr>
          <w:rFonts w:cs="Arial"/>
        </w:rPr>
        <w:noBreakHyphen/>
      </w:r>
      <w:r w:rsidRPr="00A32AF4">
        <w:rPr>
          <w:rFonts w:cs="Arial"/>
        </w:rPr>
        <w:t>dessous.  Comme le montre ce diagramme, l</w:t>
      </w:r>
      <w:r w:rsidR="00E2055A" w:rsidRPr="00A32AF4">
        <w:rPr>
          <w:rFonts w:cs="Arial"/>
        </w:rPr>
        <w:t>’</w:t>
      </w:r>
      <w:r w:rsidRPr="00A32AF4">
        <w:rPr>
          <w:rFonts w:cs="Arial"/>
        </w:rPr>
        <w:t>utilisation des moyens de dépôt électronique ne cesse d</w:t>
      </w:r>
      <w:r w:rsidR="00E2055A" w:rsidRPr="00A32AF4">
        <w:rPr>
          <w:rFonts w:cs="Arial"/>
        </w:rPr>
        <w:t>’</w:t>
      </w:r>
      <w:r w:rsidRPr="00A32AF4">
        <w:rPr>
          <w:rFonts w:cs="Arial"/>
        </w:rPr>
        <w:t>augmenter régulièrement.  En 2012, la proportion de dépôts électroniques avoisinait les 90% du total des dépôts.</w:t>
      </w:r>
    </w:p>
    <w:p w:rsidR="00F93B76" w:rsidRPr="00A32AF4" w:rsidRDefault="00F93B76" w:rsidP="00DC0553">
      <w:pPr>
        <w:tabs>
          <w:tab w:val="left" w:pos="540"/>
        </w:tabs>
        <w:jc w:val="both"/>
        <w:rPr>
          <w:rFonts w:cs="Arial"/>
        </w:rPr>
      </w:pPr>
    </w:p>
    <w:p w:rsidR="00F93B76" w:rsidRPr="00A32AF4" w:rsidRDefault="00F93B76" w:rsidP="00DC0553">
      <w:pPr>
        <w:jc w:val="both"/>
        <w:rPr>
          <w:rFonts w:cs="Arial"/>
        </w:rPr>
      </w:pPr>
    </w:p>
    <w:p w:rsidR="00F93B76" w:rsidRPr="00A32AF4" w:rsidRDefault="001559D6" w:rsidP="00DC0553">
      <w:pPr>
        <w:keepNext/>
        <w:keepLines/>
        <w:jc w:val="center"/>
        <w:rPr>
          <w:rFonts w:cs="Arial"/>
          <w:sz w:val="18"/>
          <w:szCs w:val="18"/>
        </w:rPr>
      </w:pPr>
      <w:r w:rsidRPr="00A32AF4">
        <w:rPr>
          <w:rFonts w:cs="Arial"/>
          <w:sz w:val="18"/>
          <w:szCs w:val="18"/>
        </w:rPr>
        <w:t>Diagramme 3.  Utilisation des moyens de dépôt électronique (EASY, PDF ou XML) en pourcentage</w:t>
      </w:r>
      <w:r w:rsidRPr="00A32AF4">
        <w:rPr>
          <w:rFonts w:cs="Arial"/>
          <w:sz w:val="18"/>
          <w:szCs w:val="18"/>
        </w:rPr>
        <w:br/>
        <w:t>du nombre total de dépôts, 2014–2017</w:t>
      </w:r>
    </w:p>
    <w:p w:rsidR="00F93B76" w:rsidRPr="00A32AF4" w:rsidRDefault="00F93B76" w:rsidP="00DC0553">
      <w:pPr>
        <w:keepNext/>
        <w:keepLines/>
        <w:rPr>
          <w:rFonts w:cs="Arial"/>
        </w:rPr>
      </w:pPr>
    </w:p>
    <w:p w:rsidR="00F93B76" w:rsidRPr="00A32AF4" w:rsidRDefault="001559D6" w:rsidP="00DC0553">
      <w:pPr>
        <w:keepNext/>
        <w:keepLines/>
        <w:jc w:val="center"/>
        <w:rPr>
          <w:rFonts w:cs="Arial"/>
        </w:rPr>
      </w:pPr>
      <w:r w:rsidRPr="00A32AF4">
        <w:rPr>
          <w:rFonts w:cs="Arial"/>
          <w:noProof/>
          <w:lang w:eastAsia="fr-FR"/>
        </w:rPr>
        <w:drawing>
          <wp:inline distT="0" distB="0" distL="0" distR="0" wp14:anchorId="7DED9B69" wp14:editId="1F7001AF">
            <wp:extent cx="4960189" cy="2208362"/>
            <wp:effectExtent l="0" t="0" r="0" b="1905"/>
            <wp:docPr id="1002" name="Chart 100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7"/>
              </a:graphicData>
            </a:graphic>
          </wp:inline>
        </w:drawing>
      </w:r>
    </w:p>
    <w:p w:rsidR="00F93B76" w:rsidRPr="00A32AF4" w:rsidRDefault="00F93B76" w:rsidP="00DC0553">
      <w:pPr>
        <w:keepNext/>
        <w:keepLines/>
        <w:rPr>
          <w:rFonts w:cs="Arial"/>
        </w:rPr>
      </w:pPr>
    </w:p>
    <w:p w:rsidR="00F93B76" w:rsidRPr="00A32AF4" w:rsidRDefault="001559D6" w:rsidP="00DC0553">
      <w:pPr>
        <w:keepNext/>
        <w:keepLines/>
        <w:jc w:val="center"/>
        <w:rPr>
          <w:rFonts w:cs="Arial"/>
        </w:rPr>
      </w:pPr>
      <w:r w:rsidRPr="00A32AF4">
        <w:rPr>
          <w:rFonts w:cs="Arial"/>
          <w:noProof/>
          <w:lang w:eastAsia="fr-FR"/>
        </w:rPr>
        <w:drawing>
          <wp:inline distT="0" distB="0" distL="0" distR="0" wp14:anchorId="26FD57B0" wp14:editId="6019CEDB">
            <wp:extent cx="4882515" cy="72453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4882515" cy="724535"/>
                    </a:xfrm>
                    <a:prstGeom prst="rect">
                      <a:avLst/>
                    </a:prstGeom>
                    <a:noFill/>
                    <a:ln>
                      <a:noFill/>
                    </a:ln>
                  </pic:spPr>
                </pic:pic>
              </a:graphicData>
            </a:graphic>
          </wp:inline>
        </w:drawing>
      </w:r>
    </w:p>
    <w:p w:rsidR="00F93B76" w:rsidRPr="00A32AF4" w:rsidRDefault="00F93B76" w:rsidP="00DC0553">
      <w:pPr>
        <w:keepNext/>
        <w:keepLines/>
        <w:rPr>
          <w:rFonts w:cs="Arial"/>
        </w:rPr>
      </w:pPr>
    </w:p>
    <w:p w:rsidR="00F93B76" w:rsidRPr="00A32AF4" w:rsidRDefault="00F93B76" w:rsidP="00DC0553">
      <w:pPr>
        <w:rPr>
          <w:rFonts w:cs="Arial"/>
        </w:rPr>
      </w:pPr>
    </w:p>
    <w:p w:rsidR="00F93B76" w:rsidRPr="00A32AF4" w:rsidRDefault="001559D6" w:rsidP="00DC0553">
      <w:pPr>
        <w:rPr>
          <w:rFonts w:cs="Arial"/>
          <w:i/>
        </w:rPr>
      </w:pPr>
      <w:r w:rsidRPr="00A32AF4">
        <w:rPr>
          <w:rFonts w:cs="Arial"/>
          <w:i/>
        </w:rPr>
        <w:t>Estimations relatives aux recettes du PCT</w:t>
      </w:r>
    </w:p>
    <w:p w:rsidR="00F93B76" w:rsidRPr="00A32AF4" w:rsidRDefault="00F93B76" w:rsidP="00DC0553">
      <w:pPr>
        <w:jc w:val="both"/>
        <w:rPr>
          <w:rFonts w:cs="Arial"/>
        </w:rPr>
      </w:pPr>
    </w:p>
    <w:p w:rsidR="00F93B76" w:rsidRPr="00A32AF4" w:rsidRDefault="001559D6" w:rsidP="00DC0553">
      <w:pPr>
        <w:numPr>
          <w:ilvl w:val="0"/>
          <w:numId w:val="34"/>
        </w:numPr>
        <w:tabs>
          <w:tab w:val="left" w:pos="540"/>
        </w:tabs>
        <w:jc w:val="both"/>
        <w:rPr>
          <w:rFonts w:cs="Arial"/>
        </w:rPr>
      </w:pPr>
      <w:r w:rsidRPr="00A32AF4">
        <w:rPr>
          <w:rFonts w:cs="Arial"/>
        </w:rPr>
        <w:t>Les diagrammes 4 et 5 indiquent un montant des recettes estimatif pour la période 2014</w:t>
      </w:r>
      <w:r w:rsidR="00EB7F54" w:rsidRPr="00A32AF4">
        <w:rPr>
          <w:rFonts w:cs="Arial"/>
        </w:rPr>
        <w:noBreakHyphen/>
      </w:r>
      <w:r w:rsidRPr="00A32AF4">
        <w:rPr>
          <w:rFonts w:cs="Arial"/>
        </w:rPr>
        <w:t>2017, par type de recette.  Ces diagrammes sont fondés sur les prévisions relatives au nombre de dépôts (diagramme 1), sur les estimations relatives au montant des taxes par feuille, au nombre de demandes d</w:t>
      </w:r>
      <w:r w:rsidR="00E2055A" w:rsidRPr="00A32AF4">
        <w:rPr>
          <w:rFonts w:cs="Arial"/>
        </w:rPr>
        <w:t>’</w:t>
      </w:r>
      <w:r w:rsidRPr="00A32AF4">
        <w:rPr>
          <w:rFonts w:cs="Arial"/>
        </w:rPr>
        <w:t>examen préliminaire international selon le chapitre II, à la proportion des dépôts électroniques (diagramme 3) et au volume projeté des dépôts effectués auprès du Bureau international agissant en tant qu</w:t>
      </w:r>
      <w:r w:rsidR="00E2055A" w:rsidRPr="00A32AF4">
        <w:rPr>
          <w:rFonts w:cs="Arial"/>
        </w:rPr>
        <w:t>’</w:t>
      </w:r>
      <w:r w:rsidRPr="00A32AF4">
        <w:rPr>
          <w:rFonts w:cs="Arial"/>
        </w:rPr>
        <w:t>office récepteur.</w:t>
      </w:r>
    </w:p>
    <w:p w:rsidR="00F93B76" w:rsidRPr="00A32AF4" w:rsidRDefault="00F93B76" w:rsidP="00DC0553">
      <w:pPr>
        <w:jc w:val="both"/>
        <w:rPr>
          <w:rFonts w:cs="Arial"/>
        </w:rPr>
      </w:pPr>
    </w:p>
    <w:p w:rsidR="00F93B76" w:rsidRPr="00A32AF4" w:rsidRDefault="001559D6" w:rsidP="00DC0553">
      <w:pPr>
        <w:numPr>
          <w:ilvl w:val="0"/>
          <w:numId w:val="34"/>
        </w:numPr>
        <w:tabs>
          <w:tab w:val="left" w:pos="540"/>
        </w:tabs>
        <w:jc w:val="both"/>
        <w:rPr>
          <w:rFonts w:cs="Arial"/>
        </w:rPr>
      </w:pPr>
      <w:r w:rsidRPr="00A32AF4">
        <w:rPr>
          <w:rFonts w:cs="Arial"/>
        </w:rPr>
        <w:t>Le diagramme 4 indique un montant des recettes estimatif fondé sur les hypothèses suivantes : 1) toutes les taxes sont payées au cours de l</w:t>
      </w:r>
      <w:r w:rsidR="00E2055A" w:rsidRPr="00A32AF4">
        <w:rPr>
          <w:rFonts w:cs="Arial"/>
        </w:rPr>
        <w:t>’</w:t>
      </w:r>
      <w:r w:rsidRPr="00A32AF4">
        <w:rPr>
          <w:rFonts w:cs="Arial"/>
        </w:rPr>
        <w:t>année de dépôt et 2) toutes les taxes sont converties en francs suisses au taux de change officiel de l</w:t>
      </w:r>
      <w:r w:rsidR="00E2055A" w:rsidRPr="00A32AF4">
        <w:rPr>
          <w:rFonts w:cs="Arial"/>
        </w:rPr>
        <w:t>’</w:t>
      </w:r>
      <w:r w:rsidRPr="00A32AF4">
        <w:rPr>
          <w:rFonts w:cs="Arial"/>
        </w:rPr>
        <w:t>OMPI.  Ces chiffres indiquent les recettes pouvant être générées par les dépôts, sans tenir compte du moment où les taxes sont payées ni des variations de taux de change.  Étant donné que, dans l</w:t>
      </w:r>
      <w:r w:rsidR="00E2055A" w:rsidRPr="00A32AF4">
        <w:rPr>
          <w:rFonts w:cs="Arial"/>
        </w:rPr>
        <w:t>’</w:t>
      </w:r>
      <w:r w:rsidRPr="00A32AF4">
        <w:rPr>
          <w:rFonts w:cs="Arial"/>
        </w:rPr>
        <w:t>ensemble, les déposants s</w:t>
      </w:r>
      <w:r w:rsidR="00E2055A" w:rsidRPr="00A32AF4">
        <w:rPr>
          <w:rFonts w:cs="Arial"/>
        </w:rPr>
        <w:t>’</w:t>
      </w:r>
      <w:r w:rsidRPr="00A32AF4">
        <w:rPr>
          <w:rFonts w:cs="Arial"/>
        </w:rPr>
        <w:t>acquittent du paiement des taxes à terme, ces chiffres indiquent les prévisions à long terme.  Le calcul tient compte des principaux éléments de la structure des taxes du PCT : retraits, réductions au titre du dépôt électronique et réduction de taxes pour les pays à faible revenu.</w:t>
      </w:r>
    </w:p>
    <w:p w:rsidR="00F93B76" w:rsidRPr="00A32AF4" w:rsidRDefault="00F93B76" w:rsidP="00DC0553">
      <w:pPr>
        <w:tabs>
          <w:tab w:val="left" w:pos="540"/>
        </w:tabs>
        <w:jc w:val="both"/>
        <w:rPr>
          <w:rFonts w:cs="Arial"/>
        </w:rPr>
      </w:pPr>
    </w:p>
    <w:p w:rsidR="00F93B76" w:rsidRPr="00A32AF4" w:rsidRDefault="00F93B76" w:rsidP="00DC0553">
      <w:pPr>
        <w:rPr>
          <w:rFonts w:cs="Arial"/>
        </w:rPr>
      </w:pPr>
    </w:p>
    <w:p w:rsidR="00F93B76" w:rsidRPr="00A32AF4" w:rsidRDefault="00F93B76" w:rsidP="00DC0553">
      <w:pPr>
        <w:spacing w:after="200" w:line="276" w:lineRule="auto"/>
        <w:rPr>
          <w:rFonts w:cs="Arial"/>
          <w:sz w:val="18"/>
          <w:szCs w:val="18"/>
        </w:rPr>
      </w:pPr>
    </w:p>
    <w:p w:rsidR="00F93B76" w:rsidRPr="00A32AF4" w:rsidRDefault="001559D6" w:rsidP="00DC0553">
      <w:pPr>
        <w:keepNext/>
        <w:keepLines/>
        <w:jc w:val="center"/>
        <w:rPr>
          <w:rFonts w:cs="Arial"/>
        </w:rPr>
      </w:pPr>
      <w:r w:rsidRPr="00A32AF4">
        <w:rPr>
          <w:rFonts w:cs="Arial"/>
          <w:sz w:val="18"/>
          <w:szCs w:val="18"/>
        </w:rPr>
        <w:t>Diagramme 4.  Estimations relatives aux recettes hypothétiques du PCT jusqu</w:t>
      </w:r>
      <w:r w:rsidR="00E2055A" w:rsidRPr="00A32AF4">
        <w:rPr>
          <w:rFonts w:cs="Arial"/>
          <w:sz w:val="18"/>
          <w:szCs w:val="18"/>
        </w:rPr>
        <w:t>’</w:t>
      </w:r>
      <w:r w:rsidRPr="00A32AF4">
        <w:rPr>
          <w:rFonts w:cs="Arial"/>
          <w:sz w:val="18"/>
          <w:szCs w:val="18"/>
        </w:rPr>
        <w:t>en </w:t>
      </w:r>
      <w:r w:rsidR="0007789B" w:rsidRPr="00A32AF4">
        <w:rPr>
          <w:rFonts w:cs="Arial"/>
          <w:sz w:val="18"/>
          <w:szCs w:val="18"/>
        </w:rPr>
        <w:t>2017</w:t>
      </w:r>
    </w:p>
    <w:p w:rsidR="00F93B76" w:rsidRPr="00A32AF4" w:rsidRDefault="001559D6" w:rsidP="00DC0553">
      <w:pPr>
        <w:jc w:val="center"/>
        <w:rPr>
          <w:rFonts w:cs="Arial"/>
        </w:rPr>
      </w:pPr>
      <w:r w:rsidRPr="00A32AF4">
        <w:rPr>
          <w:rFonts w:cs="Arial"/>
          <w:noProof/>
          <w:lang w:eastAsia="fr-FR"/>
        </w:rPr>
        <w:drawing>
          <wp:inline distT="0" distB="0" distL="0" distR="0" wp14:anchorId="5921922E" wp14:editId="77F1DAC1">
            <wp:extent cx="5486400" cy="3105150"/>
            <wp:effectExtent l="0" t="0" r="0" b="0"/>
            <wp:docPr id="1003" name="Chart 100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9"/>
              </a:graphicData>
            </a:graphic>
          </wp:inline>
        </w:drawing>
      </w:r>
    </w:p>
    <w:p w:rsidR="00F93B76" w:rsidRPr="00A32AF4" w:rsidRDefault="001559D6" w:rsidP="00DC0553">
      <w:pPr>
        <w:jc w:val="center"/>
        <w:rPr>
          <w:rFonts w:cs="Arial"/>
        </w:rPr>
      </w:pPr>
      <w:r w:rsidRPr="00A32AF4">
        <w:rPr>
          <w:rFonts w:cs="Arial"/>
          <w:noProof/>
          <w:lang w:eastAsia="fr-FR"/>
        </w:rPr>
        <w:drawing>
          <wp:inline distT="0" distB="0" distL="0" distR="0" wp14:anchorId="14621B79" wp14:editId="12C4A017">
            <wp:extent cx="5760085" cy="1422568"/>
            <wp:effectExtent l="0" t="0" r="0" b="635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5760085" cy="1422568"/>
                    </a:xfrm>
                    <a:prstGeom prst="rect">
                      <a:avLst/>
                    </a:prstGeom>
                    <a:noFill/>
                    <a:ln>
                      <a:noFill/>
                    </a:ln>
                  </pic:spPr>
                </pic:pic>
              </a:graphicData>
            </a:graphic>
          </wp:inline>
        </w:drawing>
      </w:r>
    </w:p>
    <w:p w:rsidR="00F93B76" w:rsidRPr="00A32AF4" w:rsidRDefault="00F93B76" w:rsidP="00DC0553">
      <w:pPr>
        <w:rPr>
          <w:rFonts w:cs="Arial"/>
        </w:rPr>
      </w:pPr>
    </w:p>
    <w:p w:rsidR="00F93B76" w:rsidRPr="00A32AF4" w:rsidRDefault="001559D6" w:rsidP="00DC0553">
      <w:pPr>
        <w:keepNext/>
        <w:keepLines/>
        <w:rPr>
          <w:rFonts w:cs="Arial"/>
          <w:i/>
        </w:rPr>
      </w:pPr>
      <w:r w:rsidRPr="00A32AF4">
        <w:rPr>
          <w:rFonts w:cs="Arial"/>
          <w:i/>
        </w:rPr>
        <w:t>Incidence des retards de paiement sur les recettes du PCT</w:t>
      </w:r>
    </w:p>
    <w:p w:rsidR="00F93B76" w:rsidRPr="00A32AF4" w:rsidRDefault="00F93B76" w:rsidP="00DC0553">
      <w:pPr>
        <w:keepNext/>
        <w:keepLines/>
        <w:jc w:val="both"/>
        <w:rPr>
          <w:rFonts w:cs="Arial"/>
        </w:rPr>
      </w:pPr>
    </w:p>
    <w:p w:rsidR="00F93B76" w:rsidRPr="00A32AF4" w:rsidRDefault="001559D6" w:rsidP="00DC0553">
      <w:pPr>
        <w:keepNext/>
        <w:keepLines/>
        <w:numPr>
          <w:ilvl w:val="0"/>
          <w:numId w:val="34"/>
        </w:numPr>
        <w:tabs>
          <w:tab w:val="left" w:pos="540"/>
        </w:tabs>
        <w:jc w:val="both"/>
        <w:rPr>
          <w:rFonts w:cs="Arial"/>
        </w:rPr>
      </w:pPr>
      <w:r w:rsidRPr="00A32AF4">
        <w:rPr>
          <w:rFonts w:cs="Arial"/>
        </w:rPr>
        <w:t>Les estimations relatives aux recettes du PCT sont calculées sur la base du principe que les taxes sont payées au cours de l</w:t>
      </w:r>
      <w:r w:rsidR="00E2055A" w:rsidRPr="00A32AF4">
        <w:rPr>
          <w:rFonts w:cs="Arial"/>
        </w:rPr>
        <w:t>’</w:t>
      </w:r>
      <w:r w:rsidRPr="00A32AF4">
        <w:rPr>
          <w:rFonts w:cs="Arial"/>
        </w:rPr>
        <w:t>année de dépôt.  Cependant, l</w:t>
      </w:r>
      <w:r w:rsidR="00E2055A" w:rsidRPr="00A32AF4">
        <w:rPr>
          <w:rFonts w:cs="Arial"/>
        </w:rPr>
        <w:t>’</w:t>
      </w:r>
      <w:r w:rsidRPr="00A32AF4">
        <w:rPr>
          <w:rFonts w:cs="Arial"/>
        </w:rPr>
        <w:t>OMPI reçoit les paiements dans un délai de un à six mois.  Certains déposants, notamment ceux qui déposent leurs demandes au début de l</w:t>
      </w:r>
      <w:r w:rsidR="00E2055A" w:rsidRPr="00A32AF4">
        <w:rPr>
          <w:rFonts w:cs="Arial"/>
        </w:rPr>
        <w:t>’</w:t>
      </w:r>
      <w:r w:rsidRPr="00A32AF4">
        <w:rPr>
          <w:rFonts w:cs="Arial"/>
        </w:rPr>
        <w:t>année, s</w:t>
      </w:r>
      <w:r w:rsidR="00E2055A" w:rsidRPr="00A32AF4">
        <w:rPr>
          <w:rFonts w:cs="Arial"/>
        </w:rPr>
        <w:t>’</w:t>
      </w:r>
      <w:r w:rsidRPr="00A32AF4">
        <w:rPr>
          <w:rFonts w:cs="Arial"/>
        </w:rPr>
        <w:t>acquittent du paiement des taxes durant l</w:t>
      </w:r>
      <w:r w:rsidR="00E2055A" w:rsidRPr="00A32AF4">
        <w:rPr>
          <w:rFonts w:cs="Arial"/>
        </w:rPr>
        <w:t>’</w:t>
      </w:r>
      <w:r w:rsidRPr="00A32AF4">
        <w:rPr>
          <w:rFonts w:cs="Arial"/>
        </w:rPr>
        <w:t>année (environ 85% en général), alors que d</w:t>
      </w:r>
      <w:r w:rsidR="00E2055A" w:rsidRPr="00A32AF4">
        <w:rPr>
          <w:rFonts w:cs="Arial"/>
        </w:rPr>
        <w:t>’</w:t>
      </w:r>
      <w:r w:rsidRPr="00A32AF4">
        <w:rPr>
          <w:rFonts w:cs="Arial"/>
        </w:rPr>
        <w:t>autres paient ces taxes l</w:t>
      </w:r>
      <w:r w:rsidR="00E2055A" w:rsidRPr="00A32AF4">
        <w:rPr>
          <w:rFonts w:cs="Arial"/>
        </w:rPr>
        <w:t>’</w:t>
      </w:r>
      <w:r w:rsidRPr="00A32AF4">
        <w:rPr>
          <w:rFonts w:cs="Arial"/>
        </w:rPr>
        <w:t>année suivante (environ 15% en général).  C</w:t>
      </w:r>
      <w:r w:rsidR="00E2055A" w:rsidRPr="00A32AF4">
        <w:rPr>
          <w:rFonts w:cs="Arial"/>
        </w:rPr>
        <w:t>’</w:t>
      </w:r>
      <w:r w:rsidRPr="00A32AF4">
        <w:rPr>
          <w:rFonts w:cs="Arial"/>
        </w:rPr>
        <w:t>est pourquoi, quelle que soit l</w:t>
      </w:r>
      <w:r w:rsidR="00E2055A" w:rsidRPr="00A32AF4">
        <w:rPr>
          <w:rFonts w:cs="Arial"/>
        </w:rPr>
        <w:t>’</w:t>
      </w:r>
      <w:r w:rsidRPr="00A32AF4">
        <w:rPr>
          <w:rFonts w:cs="Arial"/>
        </w:rPr>
        <w:t>année, les recettes effectives du PCT se composent d</w:t>
      </w:r>
      <w:r w:rsidR="00E2055A" w:rsidRPr="00A32AF4">
        <w:rPr>
          <w:rFonts w:cs="Arial"/>
        </w:rPr>
        <w:t>’</w:t>
      </w:r>
      <w:r w:rsidRPr="00A32AF4">
        <w:rPr>
          <w:rFonts w:cs="Arial"/>
        </w:rPr>
        <w:t>une partie des paiements relatifs aux demandes déposées l</w:t>
      </w:r>
      <w:r w:rsidR="00E2055A" w:rsidRPr="00A32AF4">
        <w:rPr>
          <w:rFonts w:cs="Arial"/>
        </w:rPr>
        <w:t>’</w:t>
      </w:r>
      <w:r w:rsidRPr="00A32AF4">
        <w:rPr>
          <w:rFonts w:cs="Arial"/>
        </w:rPr>
        <w:t>année précédente, à laquelle s</w:t>
      </w:r>
      <w:r w:rsidR="00E2055A" w:rsidRPr="00A32AF4">
        <w:rPr>
          <w:rFonts w:cs="Arial"/>
        </w:rPr>
        <w:t>’</w:t>
      </w:r>
      <w:r w:rsidRPr="00A32AF4">
        <w:rPr>
          <w:rFonts w:cs="Arial"/>
        </w:rPr>
        <w:t>ajoute une partie des paiements relatifs aux demandes déposées durant l</w:t>
      </w:r>
      <w:r w:rsidR="00E2055A" w:rsidRPr="00A32AF4">
        <w:rPr>
          <w:rFonts w:cs="Arial"/>
        </w:rPr>
        <w:t>’</w:t>
      </w:r>
      <w:r w:rsidRPr="00A32AF4">
        <w:rPr>
          <w:rFonts w:cs="Arial"/>
        </w:rPr>
        <w:t>année.  Il en résulte que le montant perçu sur une année n</w:t>
      </w:r>
      <w:r w:rsidR="00E2055A" w:rsidRPr="00A32AF4">
        <w:rPr>
          <w:rFonts w:cs="Arial"/>
        </w:rPr>
        <w:t>’</w:t>
      </w:r>
      <w:r w:rsidRPr="00A32AF4">
        <w:rPr>
          <w:rFonts w:cs="Arial"/>
        </w:rPr>
        <w:t>équivaut pas au montant généré par les dépôts durant la même année.  Les écarts annuels entre les recettes estimées et les recettes effectives n</w:t>
      </w:r>
      <w:r w:rsidR="00E2055A" w:rsidRPr="00A32AF4">
        <w:rPr>
          <w:rFonts w:cs="Arial"/>
        </w:rPr>
        <w:t>’</w:t>
      </w:r>
      <w:r w:rsidRPr="00A32AF4">
        <w:rPr>
          <w:rFonts w:cs="Arial"/>
        </w:rPr>
        <w:t>ont pas d</w:t>
      </w:r>
      <w:r w:rsidR="00E2055A" w:rsidRPr="00A32AF4">
        <w:rPr>
          <w:rFonts w:cs="Arial"/>
        </w:rPr>
        <w:t>’</w:t>
      </w:r>
      <w:r w:rsidRPr="00A32AF4">
        <w:rPr>
          <w:rFonts w:cs="Arial"/>
        </w:rPr>
        <w:t>incidence sur les recettes globales à long terme.  Tout déficit de recettes en raison de retards de paiement sera vraisemblablement compensé l</w:t>
      </w:r>
      <w:r w:rsidR="00E2055A" w:rsidRPr="00A32AF4">
        <w:rPr>
          <w:rFonts w:cs="Arial"/>
        </w:rPr>
        <w:t>’</w:t>
      </w:r>
      <w:r w:rsidRPr="00A32AF4">
        <w:rPr>
          <w:rFonts w:cs="Arial"/>
        </w:rPr>
        <w:t>année suivante.  Si une grande partie des paiements est renvoyée à l</w:t>
      </w:r>
      <w:r w:rsidR="00E2055A" w:rsidRPr="00A32AF4">
        <w:rPr>
          <w:rFonts w:cs="Arial"/>
        </w:rPr>
        <w:t>’</w:t>
      </w:r>
      <w:r w:rsidRPr="00A32AF4">
        <w:rPr>
          <w:rFonts w:cs="Arial"/>
        </w:rPr>
        <w:t>année suivante, les recettes effectives de l</w:t>
      </w:r>
      <w:r w:rsidR="00E2055A" w:rsidRPr="00A32AF4">
        <w:rPr>
          <w:rFonts w:cs="Arial"/>
        </w:rPr>
        <w:t>’</w:t>
      </w:r>
      <w:r w:rsidRPr="00A32AF4">
        <w:rPr>
          <w:rFonts w:cs="Arial"/>
        </w:rPr>
        <w:t>année en cours diminueront mais elles seront plus élevées l</w:t>
      </w:r>
      <w:r w:rsidR="00E2055A" w:rsidRPr="00A32AF4">
        <w:rPr>
          <w:rFonts w:cs="Arial"/>
        </w:rPr>
        <w:t>’</w:t>
      </w:r>
      <w:r w:rsidRPr="00A32AF4">
        <w:rPr>
          <w:rFonts w:cs="Arial"/>
        </w:rPr>
        <w:t>année suivante.  Par ailleurs, si une plus petite partie des paiements est reportée à l</w:t>
      </w:r>
      <w:r w:rsidR="00E2055A" w:rsidRPr="00A32AF4">
        <w:rPr>
          <w:rFonts w:cs="Arial"/>
        </w:rPr>
        <w:t>’</w:t>
      </w:r>
      <w:r w:rsidRPr="00A32AF4">
        <w:rPr>
          <w:rFonts w:cs="Arial"/>
        </w:rPr>
        <w:t>année suivante, les recettes effectives de l</w:t>
      </w:r>
      <w:r w:rsidR="00E2055A" w:rsidRPr="00A32AF4">
        <w:rPr>
          <w:rFonts w:cs="Arial"/>
        </w:rPr>
        <w:t>’</w:t>
      </w:r>
      <w:r w:rsidRPr="00A32AF4">
        <w:rPr>
          <w:rFonts w:cs="Arial"/>
        </w:rPr>
        <w:t>année en cours vont augmenter alors qu</w:t>
      </w:r>
      <w:r w:rsidR="00E2055A" w:rsidRPr="00A32AF4">
        <w:rPr>
          <w:rFonts w:cs="Arial"/>
        </w:rPr>
        <w:t>’</w:t>
      </w:r>
      <w:r w:rsidRPr="00A32AF4">
        <w:rPr>
          <w:rFonts w:cs="Arial"/>
        </w:rPr>
        <w:t>elles vont diminuer l</w:t>
      </w:r>
      <w:r w:rsidR="00E2055A" w:rsidRPr="00A32AF4">
        <w:rPr>
          <w:rFonts w:cs="Arial"/>
        </w:rPr>
        <w:t>’</w:t>
      </w:r>
      <w:r w:rsidRPr="00A32AF4">
        <w:rPr>
          <w:rFonts w:cs="Arial"/>
        </w:rPr>
        <w:t>année suivante.  Les prévisions corrigées relatives aux recettes du PCT jusqu</w:t>
      </w:r>
      <w:r w:rsidR="00E2055A" w:rsidRPr="00A32AF4">
        <w:rPr>
          <w:rFonts w:cs="Arial"/>
        </w:rPr>
        <w:t>’</w:t>
      </w:r>
      <w:r w:rsidRPr="00A32AF4">
        <w:rPr>
          <w:rFonts w:cs="Arial"/>
        </w:rPr>
        <w:t>en 201</w:t>
      </w:r>
      <w:r w:rsidR="0007789B" w:rsidRPr="00A32AF4">
        <w:rPr>
          <w:rFonts w:cs="Arial"/>
        </w:rPr>
        <w:t>7</w:t>
      </w:r>
      <w:r w:rsidRPr="00A32AF4">
        <w:rPr>
          <w:rFonts w:cs="Arial"/>
        </w:rPr>
        <w:t>, compte tenu de l</w:t>
      </w:r>
      <w:r w:rsidR="00E2055A" w:rsidRPr="00A32AF4">
        <w:rPr>
          <w:rFonts w:cs="Arial"/>
        </w:rPr>
        <w:t>’</w:t>
      </w:r>
      <w:r w:rsidRPr="00A32AF4">
        <w:rPr>
          <w:rFonts w:cs="Arial"/>
        </w:rPr>
        <w:t>incidence des retards de paiement, sont indiquées ci</w:t>
      </w:r>
      <w:r w:rsidR="00EB7F54" w:rsidRPr="00A32AF4">
        <w:rPr>
          <w:rFonts w:cs="Arial"/>
        </w:rPr>
        <w:noBreakHyphen/>
      </w:r>
      <w:r w:rsidRPr="00A32AF4">
        <w:rPr>
          <w:rFonts w:cs="Arial"/>
        </w:rPr>
        <w:t>dessous dans le diagramme 5.</w:t>
      </w:r>
    </w:p>
    <w:p w:rsidR="00F93B76" w:rsidRPr="00A32AF4" w:rsidRDefault="00F93B76" w:rsidP="00DC0553">
      <w:pPr>
        <w:jc w:val="both"/>
        <w:rPr>
          <w:rFonts w:cs="Arial"/>
        </w:rPr>
      </w:pPr>
    </w:p>
    <w:p w:rsidR="00F93B76" w:rsidRPr="00A32AF4" w:rsidRDefault="001559D6" w:rsidP="00DC0553">
      <w:pPr>
        <w:keepNext/>
        <w:keepLines/>
        <w:jc w:val="center"/>
        <w:rPr>
          <w:rFonts w:cs="Arial"/>
          <w:sz w:val="18"/>
          <w:szCs w:val="18"/>
        </w:rPr>
      </w:pPr>
      <w:r w:rsidRPr="00A32AF4">
        <w:rPr>
          <w:rFonts w:cs="Arial"/>
          <w:sz w:val="18"/>
          <w:szCs w:val="18"/>
        </w:rPr>
        <w:t>Diagramme 5.  Prévisions corrigées relatives aux recettes du PCT jusqu</w:t>
      </w:r>
      <w:r w:rsidR="00E2055A" w:rsidRPr="00A32AF4">
        <w:rPr>
          <w:rFonts w:cs="Arial"/>
          <w:sz w:val="18"/>
          <w:szCs w:val="18"/>
        </w:rPr>
        <w:t>’</w:t>
      </w:r>
      <w:r w:rsidRPr="00A32AF4">
        <w:rPr>
          <w:rFonts w:cs="Arial"/>
          <w:sz w:val="18"/>
          <w:szCs w:val="18"/>
        </w:rPr>
        <w:t>en 2017</w:t>
      </w:r>
    </w:p>
    <w:p w:rsidR="00F93B76" w:rsidRPr="00A32AF4" w:rsidRDefault="00F93B76" w:rsidP="00DC0553">
      <w:pPr>
        <w:keepNext/>
        <w:keepLines/>
        <w:jc w:val="center"/>
        <w:rPr>
          <w:rFonts w:cs="Arial"/>
        </w:rPr>
      </w:pPr>
    </w:p>
    <w:p w:rsidR="00F93B76" w:rsidRPr="00A32AF4" w:rsidRDefault="001559D6" w:rsidP="00DC0553">
      <w:pPr>
        <w:keepNext/>
        <w:keepLines/>
        <w:jc w:val="center"/>
        <w:rPr>
          <w:rFonts w:cs="Arial"/>
        </w:rPr>
      </w:pPr>
      <w:r w:rsidRPr="00A32AF4">
        <w:rPr>
          <w:rFonts w:cs="Arial"/>
          <w:noProof/>
          <w:lang w:eastAsia="fr-FR"/>
        </w:rPr>
        <w:drawing>
          <wp:inline distT="0" distB="0" distL="0" distR="0" wp14:anchorId="1C3E4F80" wp14:editId="1D7C9D5F">
            <wp:extent cx="4374445" cy="2470245"/>
            <wp:effectExtent l="0" t="0" r="7620" b="6350"/>
            <wp:docPr id="1004" name="Picture 1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4374411" cy="2470226"/>
                    </a:xfrm>
                    <a:prstGeom prst="rect">
                      <a:avLst/>
                    </a:prstGeom>
                    <a:noFill/>
                    <a:ln>
                      <a:noFill/>
                    </a:ln>
                  </pic:spPr>
                </pic:pic>
              </a:graphicData>
            </a:graphic>
          </wp:inline>
        </w:drawing>
      </w:r>
    </w:p>
    <w:p w:rsidR="00F93B76" w:rsidRPr="00A32AF4" w:rsidRDefault="001559D6" w:rsidP="00DC0553">
      <w:pPr>
        <w:jc w:val="center"/>
        <w:rPr>
          <w:rFonts w:cs="Arial"/>
        </w:rPr>
      </w:pPr>
      <w:r w:rsidRPr="00A32AF4">
        <w:rPr>
          <w:rFonts w:cs="Arial"/>
          <w:noProof/>
          <w:lang w:eastAsia="fr-FR"/>
        </w:rPr>
        <w:drawing>
          <wp:inline distT="0" distB="0" distL="0" distR="0" wp14:anchorId="50ADFE02" wp14:editId="3DF66AEB">
            <wp:extent cx="5486400" cy="1294130"/>
            <wp:effectExtent l="0" t="0" r="0" b="1270"/>
            <wp:docPr id="1005" name="Picture 1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5486400" cy="1294130"/>
                    </a:xfrm>
                    <a:prstGeom prst="rect">
                      <a:avLst/>
                    </a:prstGeom>
                    <a:noFill/>
                    <a:ln>
                      <a:noFill/>
                    </a:ln>
                  </pic:spPr>
                </pic:pic>
              </a:graphicData>
            </a:graphic>
          </wp:inline>
        </w:drawing>
      </w:r>
    </w:p>
    <w:p w:rsidR="00F93B76" w:rsidRPr="00A32AF4" w:rsidRDefault="00F93B76" w:rsidP="00DC0553">
      <w:pPr>
        <w:jc w:val="center"/>
        <w:rPr>
          <w:rFonts w:cs="Arial"/>
        </w:rPr>
      </w:pPr>
    </w:p>
    <w:p w:rsidR="00F93B76" w:rsidRPr="00A32AF4" w:rsidRDefault="00F93B76" w:rsidP="00DC0553">
      <w:pPr>
        <w:jc w:val="center"/>
        <w:rPr>
          <w:rFonts w:cs="Arial"/>
        </w:rPr>
      </w:pPr>
    </w:p>
    <w:p w:rsidR="00F93B76" w:rsidRPr="00A32AF4" w:rsidRDefault="001559D6" w:rsidP="00DC0553">
      <w:pPr>
        <w:keepNext/>
        <w:keepLines/>
        <w:rPr>
          <w:rFonts w:cs="Arial"/>
          <w:i/>
        </w:rPr>
      </w:pPr>
      <w:r w:rsidRPr="00A32AF4">
        <w:rPr>
          <w:rFonts w:cs="Arial"/>
          <w:i/>
        </w:rPr>
        <w:t>Ajustement en fonction des taux de change</w:t>
      </w:r>
    </w:p>
    <w:p w:rsidR="00F93B76" w:rsidRPr="00A32AF4" w:rsidRDefault="00F93B76" w:rsidP="00DC0553">
      <w:pPr>
        <w:keepNext/>
        <w:keepLines/>
        <w:rPr>
          <w:rFonts w:cs="Arial"/>
        </w:rPr>
      </w:pPr>
    </w:p>
    <w:p w:rsidR="00F93B76" w:rsidRPr="00A32AF4" w:rsidRDefault="001559D6" w:rsidP="00DC0553">
      <w:pPr>
        <w:keepNext/>
        <w:keepLines/>
        <w:numPr>
          <w:ilvl w:val="0"/>
          <w:numId w:val="34"/>
        </w:numPr>
        <w:tabs>
          <w:tab w:val="left" w:pos="540"/>
        </w:tabs>
        <w:jc w:val="both"/>
        <w:rPr>
          <w:rFonts w:cs="Arial"/>
        </w:rPr>
      </w:pPr>
      <w:r w:rsidRPr="00A32AF4">
        <w:rPr>
          <w:rFonts w:cs="Arial"/>
        </w:rPr>
        <w:t xml:space="preserve">Les taxes du PCT sont payées en différentes monnaies.  Dans le cas de celles qui sont payées en monnaies </w:t>
      </w:r>
      <w:r w:rsidR="00B63C9F" w:rsidRPr="00A32AF4">
        <w:rPr>
          <w:rFonts w:cs="Arial"/>
        </w:rPr>
        <w:t>“</w:t>
      </w:r>
      <w:r w:rsidRPr="00A32AF4">
        <w:rPr>
          <w:rFonts w:cs="Arial"/>
        </w:rPr>
        <w:t>librement convertibles</w:t>
      </w:r>
      <w:r w:rsidR="00B63C9F" w:rsidRPr="00A32AF4">
        <w:rPr>
          <w:rFonts w:cs="Arial"/>
        </w:rPr>
        <w:t>”</w:t>
      </w:r>
      <w:r w:rsidRPr="00A32AF4">
        <w:rPr>
          <w:rFonts w:cs="Arial"/>
        </w:rPr>
        <w:t xml:space="preserve">, le montant est égal au </w:t>
      </w:r>
      <w:r w:rsidR="00B63C9F" w:rsidRPr="00A32AF4">
        <w:rPr>
          <w:rFonts w:cs="Arial"/>
        </w:rPr>
        <w:t>“</w:t>
      </w:r>
      <w:r w:rsidRPr="00A32AF4">
        <w:rPr>
          <w:rFonts w:cs="Arial"/>
        </w:rPr>
        <w:t>montant équivalent</w:t>
      </w:r>
      <w:r w:rsidR="00B63C9F" w:rsidRPr="00A32AF4">
        <w:rPr>
          <w:rFonts w:cs="Arial"/>
        </w:rPr>
        <w:t>”</w:t>
      </w:r>
      <w:r w:rsidRPr="00A32AF4">
        <w:rPr>
          <w:rFonts w:cs="Arial"/>
        </w:rPr>
        <w:t xml:space="preserve"> fixé par le Bureau international alors que, dans le cas de celles payées en monnaies qui </w:t>
      </w:r>
      <w:r w:rsidR="00B63C9F" w:rsidRPr="00A32AF4">
        <w:rPr>
          <w:rFonts w:cs="Arial"/>
        </w:rPr>
        <w:t>“</w:t>
      </w:r>
      <w:r w:rsidRPr="00A32AF4">
        <w:rPr>
          <w:rFonts w:cs="Arial"/>
        </w:rPr>
        <w:t>ne sont pas librement convertibles</w:t>
      </w:r>
      <w:r w:rsidR="00B63C9F" w:rsidRPr="00A32AF4">
        <w:rPr>
          <w:rFonts w:cs="Arial"/>
        </w:rPr>
        <w:t>”</w:t>
      </w:r>
      <w:r w:rsidRPr="00A32AF4">
        <w:rPr>
          <w:rFonts w:cs="Arial"/>
        </w:rPr>
        <w:t>, les offices récepteurs les convertissent en un montant équivalent en francs suisses, en euros ou en dollars des États</w:t>
      </w:r>
      <w:r w:rsidR="00EB7F54" w:rsidRPr="00A32AF4">
        <w:rPr>
          <w:rFonts w:cs="Arial"/>
        </w:rPr>
        <w:noBreakHyphen/>
      </w:r>
      <w:r w:rsidRPr="00A32AF4">
        <w:rPr>
          <w:rFonts w:cs="Arial"/>
        </w:rPr>
        <w:t>Unis d</w:t>
      </w:r>
      <w:r w:rsidR="00E2055A" w:rsidRPr="00A32AF4">
        <w:rPr>
          <w:rFonts w:cs="Arial"/>
        </w:rPr>
        <w:t>’</w:t>
      </w:r>
      <w:r w:rsidRPr="00A32AF4">
        <w:rPr>
          <w:rFonts w:cs="Arial"/>
        </w:rPr>
        <w:t>Amérique (règle 15 du règlement d</w:t>
      </w:r>
      <w:r w:rsidR="00E2055A" w:rsidRPr="00A32AF4">
        <w:rPr>
          <w:rFonts w:cs="Arial"/>
        </w:rPr>
        <w:t>’</w:t>
      </w:r>
      <w:r w:rsidRPr="00A32AF4">
        <w:rPr>
          <w:rFonts w:cs="Arial"/>
        </w:rPr>
        <w:t xml:space="preserve">exécution du PCT).  </w:t>
      </w:r>
      <w:proofErr w:type="gramStart"/>
      <w:r w:rsidRPr="00A32AF4">
        <w:rPr>
          <w:rFonts w:cs="Arial"/>
        </w:rPr>
        <w:t>L</w:t>
      </w:r>
      <w:r w:rsidR="00E2055A" w:rsidRPr="00A32AF4">
        <w:rPr>
          <w:rFonts w:cs="Arial"/>
        </w:rPr>
        <w:t>’</w:t>
      </w:r>
      <w:r w:rsidRPr="00A32AF4">
        <w:rPr>
          <w:rFonts w:cs="Arial"/>
        </w:rPr>
        <w:t>OMPI fixe les montants équivalents selon les règles prescrites dans les directives de l</w:t>
      </w:r>
      <w:r w:rsidR="00E2055A" w:rsidRPr="00A32AF4">
        <w:rPr>
          <w:rFonts w:cs="Arial"/>
        </w:rPr>
        <w:t>’</w:t>
      </w:r>
      <w:r w:rsidRPr="00A32AF4">
        <w:rPr>
          <w:rFonts w:cs="Arial"/>
        </w:rPr>
        <w:t>Assemblée du PCT : 1) les taux de change le premier lundi d</w:t>
      </w:r>
      <w:r w:rsidR="00E2055A" w:rsidRPr="00A32AF4">
        <w:rPr>
          <w:rFonts w:cs="Arial"/>
        </w:rPr>
        <w:t>’</w:t>
      </w:r>
      <w:r w:rsidRPr="00A32AF4">
        <w:rPr>
          <w:rFonts w:cs="Arial"/>
        </w:rPr>
        <w:t>octobre sont considérés comme les nouveaux taux de change de l</w:t>
      </w:r>
      <w:r w:rsidR="00E2055A" w:rsidRPr="00A32AF4">
        <w:rPr>
          <w:rFonts w:cs="Arial"/>
        </w:rPr>
        <w:t>’</w:t>
      </w:r>
      <w:r w:rsidRPr="00A32AF4">
        <w:rPr>
          <w:rFonts w:cs="Arial"/>
        </w:rPr>
        <w:t>OMPI pour fixer les montants équivalents pour l</w:t>
      </w:r>
      <w:r w:rsidR="00E2055A" w:rsidRPr="00A32AF4">
        <w:rPr>
          <w:rFonts w:cs="Arial"/>
        </w:rPr>
        <w:t>’</w:t>
      </w:r>
      <w:r w:rsidRPr="00A32AF4">
        <w:rPr>
          <w:rFonts w:cs="Arial"/>
        </w:rPr>
        <w:t>année suivante;  et 2) si, pendant plus de quatre vendredis consécutifs, les taux de change varient de 5%, le Directeur général de l</w:t>
      </w:r>
      <w:r w:rsidR="00E2055A" w:rsidRPr="00A32AF4">
        <w:rPr>
          <w:rFonts w:cs="Arial"/>
        </w:rPr>
        <w:t>’</w:t>
      </w:r>
      <w:r w:rsidRPr="00A32AF4">
        <w:rPr>
          <w:rFonts w:cs="Arial"/>
        </w:rPr>
        <w:t>OMPI doit se livrer à des consultations avec les offices afin de fixer de nouveaux montants équivalents qui entreront en vigueur deux mois après leur publication.</w:t>
      </w:r>
      <w:proofErr w:type="gramEnd"/>
    </w:p>
    <w:p w:rsidR="00F93B76" w:rsidRPr="00A32AF4" w:rsidRDefault="00F93B76" w:rsidP="00DC0553">
      <w:pPr>
        <w:rPr>
          <w:rFonts w:cs="Arial"/>
        </w:rPr>
      </w:pPr>
    </w:p>
    <w:p w:rsidR="00F93B76" w:rsidRPr="00A32AF4" w:rsidRDefault="001559D6" w:rsidP="00DC0553">
      <w:pPr>
        <w:numPr>
          <w:ilvl w:val="0"/>
          <w:numId w:val="34"/>
        </w:numPr>
        <w:tabs>
          <w:tab w:val="left" w:pos="540"/>
        </w:tabs>
        <w:jc w:val="both"/>
        <w:rPr>
          <w:rFonts w:cs="Arial"/>
        </w:rPr>
      </w:pPr>
      <w:r w:rsidRPr="00A32AF4">
        <w:rPr>
          <w:rFonts w:cs="Arial"/>
        </w:rPr>
        <w:t>Les déposants paient la taxe de dépôt international selon le montant équivalent en vigueur à la date de dépôt.  Toutefois, en raison de l</w:t>
      </w:r>
      <w:r w:rsidR="00E2055A" w:rsidRPr="00A32AF4">
        <w:rPr>
          <w:rFonts w:cs="Arial"/>
        </w:rPr>
        <w:t>’</w:t>
      </w:r>
      <w:r w:rsidRPr="00A32AF4">
        <w:rPr>
          <w:rFonts w:cs="Arial"/>
        </w:rPr>
        <w:t>application tardive de ce montant, il est probable que les taux de change du marché seront différents des taux de l</w:t>
      </w:r>
      <w:r w:rsidR="00E2055A" w:rsidRPr="00A32AF4">
        <w:rPr>
          <w:rFonts w:cs="Arial"/>
        </w:rPr>
        <w:t>’</w:t>
      </w:r>
      <w:r w:rsidRPr="00A32AF4">
        <w:rPr>
          <w:rFonts w:cs="Arial"/>
        </w:rPr>
        <w:t>OMPI au moment du paiement, ce qui aura pour résultat un gain ou une perte de recettes du PCT.  Le diagramme ci</w:t>
      </w:r>
      <w:r w:rsidR="00EB7F54" w:rsidRPr="00A32AF4">
        <w:rPr>
          <w:rFonts w:cs="Arial"/>
        </w:rPr>
        <w:noBreakHyphen/>
      </w:r>
      <w:r w:rsidRPr="00A32AF4">
        <w:rPr>
          <w:rFonts w:cs="Arial"/>
        </w:rPr>
        <w:t>après montre la différence entre les taux de change qu</w:t>
      </w:r>
      <w:r w:rsidR="00E2055A" w:rsidRPr="00A32AF4">
        <w:rPr>
          <w:rFonts w:cs="Arial"/>
        </w:rPr>
        <w:t>’</w:t>
      </w:r>
      <w:r w:rsidRPr="00A32AF4">
        <w:rPr>
          <w:rFonts w:cs="Arial"/>
        </w:rPr>
        <w:t>utilise l</w:t>
      </w:r>
      <w:r w:rsidR="00E2055A" w:rsidRPr="00A32AF4">
        <w:rPr>
          <w:rFonts w:cs="Arial"/>
        </w:rPr>
        <w:t>’</w:t>
      </w:r>
      <w:r w:rsidRPr="00A32AF4">
        <w:rPr>
          <w:rFonts w:cs="Arial"/>
        </w:rPr>
        <w:t xml:space="preserve">OMPI pour fixer le </w:t>
      </w:r>
      <w:r w:rsidR="00B63C9F" w:rsidRPr="00A32AF4">
        <w:rPr>
          <w:rFonts w:cs="Arial"/>
        </w:rPr>
        <w:t>“</w:t>
      </w:r>
      <w:r w:rsidRPr="00A32AF4">
        <w:rPr>
          <w:rFonts w:cs="Arial"/>
        </w:rPr>
        <w:t>montant équivalent</w:t>
      </w:r>
      <w:r w:rsidR="00B63C9F" w:rsidRPr="00A32AF4">
        <w:rPr>
          <w:rFonts w:cs="Arial"/>
        </w:rPr>
        <w:t>”</w:t>
      </w:r>
      <w:r w:rsidRPr="00A32AF4">
        <w:rPr>
          <w:rFonts w:cs="Arial"/>
        </w:rPr>
        <w:t xml:space="preserve"> et les taux de change opérationnels qu</w:t>
      </w:r>
      <w:r w:rsidR="00E2055A" w:rsidRPr="00A32AF4">
        <w:rPr>
          <w:rFonts w:cs="Arial"/>
        </w:rPr>
        <w:t>’</w:t>
      </w:r>
      <w:r w:rsidRPr="00A32AF4">
        <w:rPr>
          <w:rFonts w:cs="Arial"/>
        </w:rPr>
        <w:t>utilise l</w:t>
      </w:r>
      <w:r w:rsidR="00E2055A" w:rsidRPr="00A32AF4">
        <w:rPr>
          <w:rFonts w:cs="Arial"/>
        </w:rPr>
        <w:t>’</w:t>
      </w:r>
      <w:r w:rsidRPr="00A32AF4">
        <w:rPr>
          <w:rFonts w:cs="Arial"/>
        </w:rPr>
        <w:t xml:space="preserve">ONU pour les trois monnaies, </w:t>
      </w:r>
      <w:r w:rsidR="00E2055A" w:rsidRPr="00A32AF4">
        <w:rPr>
          <w:rFonts w:cs="Arial"/>
        </w:rPr>
        <w:t>à savoir</w:t>
      </w:r>
      <w:r w:rsidRPr="00A32AF4">
        <w:rPr>
          <w:rFonts w:cs="Arial"/>
        </w:rPr>
        <w:t xml:space="preserve"> le dollar des États</w:t>
      </w:r>
      <w:r w:rsidR="00EB7F54" w:rsidRPr="00A32AF4">
        <w:rPr>
          <w:rFonts w:cs="Arial"/>
        </w:rPr>
        <w:noBreakHyphen/>
      </w:r>
      <w:r w:rsidRPr="00A32AF4">
        <w:rPr>
          <w:rFonts w:cs="Arial"/>
        </w:rPr>
        <w:t>Unis d</w:t>
      </w:r>
      <w:r w:rsidR="00E2055A" w:rsidRPr="00A32AF4">
        <w:rPr>
          <w:rFonts w:cs="Arial"/>
        </w:rPr>
        <w:t>’</w:t>
      </w:r>
      <w:r w:rsidRPr="00A32AF4">
        <w:rPr>
          <w:rFonts w:cs="Arial"/>
        </w:rPr>
        <w:t>Amérique, l</w:t>
      </w:r>
      <w:r w:rsidR="00E2055A" w:rsidRPr="00A32AF4">
        <w:rPr>
          <w:rFonts w:cs="Arial"/>
        </w:rPr>
        <w:t>’</w:t>
      </w:r>
      <w:r w:rsidRPr="00A32AF4">
        <w:rPr>
          <w:rFonts w:cs="Arial"/>
        </w:rPr>
        <w:t>euro et le yen japonais.</w:t>
      </w:r>
    </w:p>
    <w:p w:rsidR="00F93B76" w:rsidRPr="00A32AF4" w:rsidRDefault="00F93B76" w:rsidP="00DC0553"/>
    <w:p w:rsidR="00F93B76" w:rsidRPr="00A32AF4" w:rsidRDefault="001559D6" w:rsidP="00DC0553">
      <w:pPr>
        <w:rPr>
          <w:rFonts w:cs="Arial"/>
        </w:rPr>
      </w:pPr>
      <w:r w:rsidRPr="00A32AF4">
        <w:rPr>
          <w:rFonts w:cs="Arial"/>
          <w:noProof/>
          <w:lang w:eastAsia="fr-FR"/>
        </w:rPr>
        <w:drawing>
          <wp:inline distT="0" distB="0" distL="0" distR="0" wp14:anchorId="31708B32" wp14:editId="4598BE20">
            <wp:extent cx="5760085" cy="1614939"/>
            <wp:effectExtent l="0" t="0" r="0" b="4445"/>
            <wp:docPr id="1006" name="Picture 1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5760085" cy="1614939"/>
                    </a:xfrm>
                    <a:prstGeom prst="rect">
                      <a:avLst/>
                    </a:prstGeom>
                    <a:noFill/>
                    <a:ln>
                      <a:noFill/>
                    </a:ln>
                  </pic:spPr>
                </pic:pic>
              </a:graphicData>
            </a:graphic>
          </wp:inline>
        </w:drawing>
      </w:r>
    </w:p>
    <w:p w:rsidR="00F93B76" w:rsidRPr="00A32AF4" w:rsidRDefault="00F93B76" w:rsidP="00DC0553">
      <w:pPr>
        <w:rPr>
          <w:rFonts w:cs="Arial"/>
        </w:rPr>
      </w:pPr>
    </w:p>
    <w:p w:rsidR="00F93B76" w:rsidRPr="00A32AF4" w:rsidRDefault="00F93B76" w:rsidP="00DC0553">
      <w:pPr>
        <w:rPr>
          <w:rFonts w:cs="Arial"/>
        </w:rPr>
      </w:pPr>
    </w:p>
    <w:p w:rsidR="00F93B76" w:rsidRPr="00A32AF4" w:rsidRDefault="001559D6" w:rsidP="00DC0553">
      <w:pPr>
        <w:keepNext/>
        <w:keepLines/>
        <w:numPr>
          <w:ilvl w:val="0"/>
          <w:numId w:val="34"/>
        </w:numPr>
        <w:tabs>
          <w:tab w:val="left" w:pos="540"/>
        </w:tabs>
        <w:jc w:val="both"/>
        <w:rPr>
          <w:rFonts w:cs="Arial"/>
        </w:rPr>
      </w:pPr>
      <w:r w:rsidRPr="00A32AF4">
        <w:rPr>
          <w:rFonts w:cs="Arial"/>
        </w:rPr>
        <w:t>La différence entre le montant équivalent à la date de dépôt et le montant converti en francs suisses à la date de paiement en vertu des taux de change de l</w:t>
      </w:r>
      <w:r w:rsidR="00E2055A" w:rsidRPr="00A32AF4">
        <w:rPr>
          <w:rFonts w:cs="Arial"/>
        </w:rPr>
        <w:t>’</w:t>
      </w:r>
      <w:r w:rsidRPr="00A32AF4">
        <w:rPr>
          <w:rFonts w:cs="Arial"/>
        </w:rPr>
        <w:t>ONU constitue un gain ou une perte de recettes du PCT.  Le diagramme ci</w:t>
      </w:r>
      <w:r w:rsidR="00EB7F54" w:rsidRPr="00A32AF4">
        <w:rPr>
          <w:rFonts w:cs="Arial"/>
        </w:rPr>
        <w:noBreakHyphen/>
      </w:r>
      <w:r w:rsidRPr="00A32AF4">
        <w:rPr>
          <w:rFonts w:cs="Arial"/>
        </w:rPr>
        <w:t>après montre le gain ou la perte tous les mois de ces recettes.</w:t>
      </w:r>
    </w:p>
    <w:p w:rsidR="00F93B76" w:rsidRPr="00A32AF4" w:rsidRDefault="00F93B76" w:rsidP="00DC0553">
      <w:pPr>
        <w:rPr>
          <w:rFonts w:cs="Arial"/>
        </w:rPr>
      </w:pPr>
    </w:p>
    <w:p w:rsidR="00F93B76" w:rsidRPr="00A32AF4" w:rsidRDefault="001559D6" w:rsidP="00DC0553">
      <w:pPr>
        <w:rPr>
          <w:rFonts w:cs="Arial"/>
        </w:rPr>
      </w:pPr>
      <w:r w:rsidRPr="00A32AF4">
        <w:rPr>
          <w:rFonts w:cs="Arial"/>
          <w:noProof/>
          <w:lang w:eastAsia="fr-FR"/>
        </w:rPr>
        <w:drawing>
          <wp:inline distT="0" distB="0" distL="0" distR="0" wp14:anchorId="0FC2BDF9" wp14:editId="3CFEC5F6">
            <wp:extent cx="5760085" cy="1960294"/>
            <wp:effectExtent l="0" t="0" r="0" b="190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5760085" cy="1960294"/>
                    </a:xfrm>
                    <a:prstGeom prst="rect">
                      <a:avLst/>
                    </a:prstGeom>
                    <a:noFill/>
                    <a:ln>
                      <a:noFill/>
                    </a:ln>
                  </pic:spPr>
                </pic:pic>
              </a:graphicData>
            </a:graphic>
          </wp:inline>
        </w:drawing>
      </w:r>
    </w:p>
    <w:p w:rsidR="00F93B76" w:rsidRPr="00A32AF4" w:rsidRDefault="00F93B76" w:rsidP="00DC0553">
      <w:pPr>
        <w:rPr>
          <w:rFonts w:cs="Arial"/>
        </w:rPr>
      </w:pPr>
    </w:p>
    <w:p w:rsidR="00F93B76" w:rsidRPr="00A32AF4" w:rsidRDefault="00F93B76" w:rsidP="00DC0553">
      <w:pPr>
        <w:rPr>
          <w:rFonts w:cs="Arial"/>
        </w:rPr>
      </w:pPr>
    </w:p>
    <w:p w:rsidR="00F93B76" w:rsidRPr="00A32AF4" w:rsidRDefault="001559D6" w:rsidP="00DC0553">
      <w:pPr>
        <w:numPr>
          <w:ilvl w:val="0"/>
          <w:numId w:val="34"/>
        </w:numPr>
        <w:tabs>
          <w:tab w:val="left" w:pos="540"/>
        </w:tabs>
        <w:jc w:val="both"/>
        <w:rPr>
          <w:rFonts w:cs="Arial"/>
        </w:rPr>
      </w:pPr>
      <w:r w:rsidRPr="00A32AF4">
        <w:rPr>
          <w:rFonts w:cs="Arial"/>
        </w:rPr>
        <w:t>À la grande surprise des acteurs du marché, la Banque nationale Suisse (BNS) a annoncé le 15 janvier 2015 qu</w:t>
      </w:r>
      <w:r w:rsidR="00E2055A" w:rsidRPr="00A32AF4">
        <w:rPr>
          <w:rFonts w:cs="Arial"/>
        </w:rPr>
        <w:t>’</w:t>
      </w:r>
      <w:r w:rsidRPr="00A32AF4">
        <w:rPr>
          <w:rFonts w:cs="Arial"/>
        </w:rPr>
        <w:t>elle abolissait son cours plancher pour l</w:t>
      </w:r>
      <w:r w:rsidR="00E2055A" w:rsidRPr="00A32AF4">
        <w:rPr>
          <w:rFonts w:cs="Arial"/>
        </w:rPr>
        <w:t>’</w:t>
      </w:r>
      <w:r w:rsidRPr="00A32AF4">
        <w:rPr>
          <w:rFonts w:cs="Arial"/>
        </w:rPr>
        <w:t>euro, ce qui a entraîné une hausse marquée du franc suisse.  En conséquence, le PCT devrait perdre 3,1 millions de francs suisses de recettes.</w:t>
      </w:r>
    </w:p>
    <w:p w:rsidR="00F93B76" w:rsidRPr="00A32AF4" w:rsidRDefault="00F93B76" w:rsidP="00DC0553">
      <w:pPr>
        <w:rPr>
          <w:rFonts w:cs="Arial"/>
        </w:rPr>
      </w:pPr>
    </w:p>
    <w:p w:rsidR="00F93B76" w:rsidRPr="00A32AF4" w:rsidRDefault="001559D6" w:rsidP="00DC0553">
      <w:pPr>
        <w:keepNext/>
        <w:keepLines/>
        <w:numPr>
          <w:ilvl w:val="0"/>
          <w:numId w:val="34"/>
        </w:numPr>
        <w:tabs>
          <w:tab w:val="left" w:pos="540"/>
        </w:tabs>
        <w:jc w:val="both"/>
        <w:rPr>
          <w:rFonts w:cs="Arial"/>
        </w:rPr>
      </w:pPr>
      <w:r w:rsidRPr="00A32AF4">
        <w:rPr>
          <w:rFonts w:cs="Arial"/>
        </w:rPr>
        <w:t xml:space="preserve">Le barème actuel des taxes du PCT est reproduit </w:t>
      </w:r>
      <w:r w:rsidR="0007789B" w:rsidRPr="00A32AF4">
        <w:rPr>
          <w:rFonts w:cs="Arial"/>
        </w:rPr>
        <w:t>dans les tableaux</w:t>
      </w:r>
      <w:r w:rsidRPr="00A32AF4">
        <w:rPr>
          <w:rFonts w:cs="Arial"/>
        </w:rPr>
        <w:t xml:space="preserve"> ci</w:t>
      </w:r>
      <w:r w:rsidR="00EB7F54" w:rsidRPr="00A32AF4">
        <w:rPr>
          <w:rFonts w:cs="Arial"/>
        </w:rPr>
        <w:noBreakHyphen/>
      </w:r>
      <w:r w:rsidRPr="00A32AF4">
        <w:rPr>
          <w:rFonts w:cs="Arial"/>
        </w:rPr>
        <w:t>dessous.</w:t>
      </w:r>
    </w:p>
    <w:p w:rsidR="001559D6" w:rsidRPr="00A32AF4" w:rsidRDefault="001559D6" w:rsidP="00DC0553">
      <w:pPr>
        <w:keepNext/>
        <w:keepLines/>
        <w:rPr>
          <w:rFonts w:cs="Arial"/>
        </w:rPr>
      </w:pPr>
    </w:p>
    <w:tbl>
      <w:tblPr>
        <w:tblW w:w="0" w:type="auto"/>
        <w:tblLook w:val="01E0" w:firstRow="1" w:lastRow="1" w:firstColumn="1" w:lastColumn="1" w:noHBand="0" w:noVBand="0"/>
      </w:tblPr>
      <w:tblGrid>
        <w:gridCol w:w="4643"/>
        <w:gridCol w:w="4644"/>
      </w:tblGrid>
      <w:tr w:rsidR="001559D6" w:rsidRPr="00A32AF4" w:rsidTr="00C63736">
        <w:tc>
          <w:tcPr>
            <w:tcW w:w="4643" w:type="dxa"/>
            <w:shd w:val="clear" w:color="auto" w:fill="auto"/>
          </w:tcPr>
          <w:p w:rsidR="00F93B76" w:rsidRPr="00A32AF4" w:rsidRDefault="001559D6" w:rsidP="00DC0553">
            <w:pPr>
              <w:keepNext/>
              <w:keepLines/>
              <w:jc w:val="center"/>
              <w:rPr>
                <w:rFonts w:cs="Arial"/>
                <w:sz w:val="18"/>
                <w:szCs w:val="18"/>
              </w:rPr>
            </w:pPr>
            <w:r w:rsidRPr="00A32AF4">
              <w:rPr>
                <w:rFonts w:cs="Arial"/>
                <w:sz w:val="18"/>
                <w:szCs w:val="18"/>
              </w:rPr>
              <w:t>Barème des taxes du PCT</w:t>
            </w:r>
          </w:p>
          <w:p w:rsidR="00F93B76" w:rsidRPr="00A32AF4" w:rsidRDefault="001559D6" w:rsidP="00DC0553">
            <w:pPr>
              <w:keepNext/>
              <w:keepLines/>
              <w:jc w:val="center"/>
              <w:rPr>
                <w:rFonts w:cs="Arial"/>
                <w:sz w:val="18"/>
                <w:szCs w:val="18"/>
              </w:rPr>
            </w:pPr>
            <w:r w:rsidRPr="00A32AF4">
              <w:rPr>
                <w:rFonts w:cs="Arial"/>
                <w:sz w:val="18"/>
                <w:szCs w:val="18"/>
              </w:rPr>
              <w:t>(à compter du 1</w:t>
            </w:r>
            <w:r w:rsidRPr="00A32AF4">
              <w:rPr>
                <w:rFonts w:cs="Arial"/>
                <w:sz w:val="18"/>
                <w:szCs w:val="18"/>
                <w:vertAlign w:val="superscript"/>
              </w:rPr>
              <w:t>er</w:t>
            </w:r>
            <w:r w:rsidRPr="00A32AF4">
              <w:rPr>
                <w:rFonts w:cs="Arial"/>
                <w:sz w:val="18"/>
                <w:szCs w:val="18"/>
              </w:rPr>
              <w:t> janvier 2004)</w:t>
            </w:r>
          </w:p>
          <w:p w:rsidR="00F93B76" w:rsidRPr="00A32AF4" w:rsidRDefault="001559D6" w:rsidP="00DC0553">
            <w:pPr>
              <w:keepNext/>
              <w:keepLines/>
              <w:jc w:val="center"/>
              <w:rPr>
                <w:rFonts w:cs="Arial"/>
                <w:i/>
                <w:iCs/>
                <w:sz w:val="18"/>
                <w:szCs w:val="18"/>
              </w:rPr>
            </w:pPr>
            <w:r w:rsidRPr="00A32AF4">
              <w:rPr>
                <w:rFonts w:cs="Arial"/>
                <w:i/>
                <w:iCs/>
                <w:sz w:val="18"/>
                <w:szCs w:val="18"/>
              </w:rPr>
              <w:t>(en francs suisses)</w:t>
            </w:r>
          </w:p>
          <w:p w:rsidR="001559D6" w:rsidRPr="00A32AF4" w:rsidRDefault="001559D6" w:rsidP="00DC0553">
            <w:pPr>
              <w:keepNext/>
              <w:keepLines/>
              <w:jc w:val="center"/>
              <w:rPr>
                <w:rFonts w:cs="Arial"/>
              </w:rPr>
            </w:pPr>
          </w:p>
        </w:tc>
        <w:tc>
          <w:tcPr>
            <w:tcW w:w="4644" w:type="dxa"/>
            <w:shd w:val="clear" w:color="auto" w:fill="auto"/>
          </w:tcPr>
          <w:p w:rsidR="00F93B76" w:rsidRPr="00A32AF4" w:rsidRDefault="001559D6" w:rsidP="00DC0553">
            <w:pPr>
              <w:keepNext/>
              <w:keepLines/>
              <w:jc w:val="center"/>
              <w:rPr>
                <w:rFonts w:cs="Arial"/>
                <w:sz w:val="18"/>
                <w:szCs w:val="18"/>
              </w:rPr>
            </w:pPr>
            <w:r w:rsidRPr="00A32AF4">
              <w:rPr>
                <w:rFonts w:cs="Arial"/>
                <w:sz w:val="18"/>
                <w:szCs w:val="18"/>
              </w:rPr>
              <w:t>Barème révisé des taxes du PCT</w:t>
            </w:r>
          </w:p>
          <w:p w:rsidR="00F93B76" w:rsidRPr="00A32AF4" w:rsidRDefault="001559D6" w:rsidP="00DC0553">
            <w:pPr>
              <w:keepNext/>
              <w:keepLines/>
              <w:jc w:val="center"/>
              <w:rPr>
                <w:rFonts w:cs="Arial"/>
                <w:sz w:val="18"/>
                <w:szCs w:val="18"/>
              </w:rPr>
            </w:pPr>
            <w:r w:rsidRPr="00A32AF4">
              <w:rPr>
                <w:rFonts w:cs="Arial"/>
                <w:sz w:val="18"/>
                <w:szCs w:val="18"/>
              </w:rPr>
              <w:t>(à compter du 1</w:t>
            </w:r>
            <w:r w:rsidRPr="00A32AF4">
              <w:rPr>
                <w:rFonts w:cs="Arial"/>
                <w:sz w:val="18"/>
                <w:szCs w:val="18"/>
                <w:vertAlign w:val="superscript"/>
              </w:rPr>
              <w:t>er</w:t>
            </w:r>
            <w:r w:rsidRPr="00A32AF4">
              <w:rPr>
                <w:rFonts w:cs="Arial"/>
                <w:sz w:val="18"/>
                <w:szCs w:val="18"/>
              </w:rPr>
              <w:t> juillet 2008)</w:t>
            </w:r>
          </w:p>
          <w:p w:rsidR="001559D6" w:rsidRPr="00A32AF4" w:rsidRDefault="001559D6" w:rsidP="00DC0553">
            <w:pPr>
              <w:keepNext/>
              <w:keepLines/>
              <w:jc w:val="center"/>
              <w:rPr>
                <w:rFonts w:cs="Arial"/>
              </w:rPr>
            </w:pPr>
            <w:r w:rsidRPr="00A32AF4">
              <w:rPr>
                <w:rFonts w:cs="Arial"/>
                <w:i/>
                <w:iCs/>
                <w:sz w:val="18"/>
                <w:szCs w:val="18"/>
              </w:rPr>
              <w:t>(en francs suisses)</w:t>
            </w:r>
          </w:p>
        </w:tc>
      </w:tr>
      <w:tr w:rsidR="001559D6" w:rsidRPr="00A32AF4" w:rsidTr="00C63736">
        <w:tc>
          <w:tcPr>
            <w:tcW w:w="4643" w:type="dxa"/>
            <w:shd w:val="clear" w:color="auto" w:fill="auto"/>
          </w:tcPr>
          <w:p w:rsidR="001559D6" w:rsidRPr="00A32AF4" w:rsidRDefault="001559D6" w:rsidP="00DC0553">
            <w:pPr>
              <w:keepNext/>
              <w:keepLines/>
              <w:jc w:val="center"/>
              <w:rPr>
                <w:rFonts w:cs="Arial"/>
              </w:rPr>
            </w:pPr>
            <w:r w:rsidRPr="00A32AF4">
              <w:rPr>
                <w:rFonts w:cs="Arial"/>
                <w:noProof/>
                <w:lang w:eastAsia="fr-FR"/>
              </w:rPr>
              <w:drawing>
                <wp:inline distT="0" distB="0" distL="0" distR="0" wp14:anchorId="14FD334E" wp14:editId="50A5EF02">
                  <wp:extent cx="2628000" cy="1010065"/>
                  <wp:effectExtent l="0" t="0" r="127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2628000" cy="1010065"/>
                          </a:xfrm>
                          <a:prstGeom prst="rect">
                            <a:avLst/>
                          </a:prstGeom>
                          <a:noFill/>
                          <a:ln>
                            <a:noFill/>
                          </a:ln>
                        </pic:spPr>
                      </pic:pic>
                    </a:graphicData>
                  </a:graphic>
                </wp:inline>
              </w:drawing>
            </w:r>
          </w:p>
        </w:tc>
        <w:tc>
          <w:tcPr>
            <w:tcW w:w="4644" w:type="dxa"/>
            <w:shd w:val="clear" w:color="auto" w:fill="auto"/>
          </w:tcPr>
          <w:p w:rsidR="001559D6" w:rsidRPr="00A32AF4" w:rsidRDefault="001559D6" w:rsidP="00DC0553">
            <w:pPr>
              <w:keepNext/>
              <w:keepLines/>
              <w:jc w:val="center"/>
              <w:rPr>
                <w:rFonts w:cs="Arial"/>
              </w:rPr>
            </w:pPr>
            <w:r w:rsidRPr="00A32AF4">
              <w:rPr>
                <w:rFonts w:cs="Arial"/>
                <w:noProof/>
                <w:lang w:eastAsia="fr-FR"/>
              </w:rPr>
              <w:drawing>
                <wp:inline distT="0" distB="0" distL="0" distR="0" wp14:anchorId="08CEF7FF" wp14:editId="070CA411">
                  <wp:extent cx="2628000" cy="1010065"/>
                  <wp:effectExtent l="0" t="0" r="127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2628000" cy="1010065"/>
                          </a:xfrm>
                          <a:prstGeom prst="rect">
                            <a:avLst/>
                          </a:prstGeom>
                          <a:noFill/>
                          <a:ln>
                            <a:noFill/>
                          </a:ln>
                        </pic:spPr>
                      </pic:pic>
                    </a:graphicData>
                  </a:graphic>
                </wp:inline>
              </w:drawing>
            </w:r>
          </w:p>
        </w:tc>
      </w:tr>
    </w:tbl>
    <w:p w:rsidR="00F93B76" w:rsidRPr="00A32AF4" w:rsidRDefault="00F93B76" w:rsidP="00DC0553">
      <w:pPr>
        <w:keepNext/>
        <w:keepLines/>
        <w:rPr>
          <w:rFonts w:cs="Arial"/>
        </w:rPr>
      </w:pPr>
    </w:p>
    <w:p w:rsidR="00F93B76" w:rsidRPr="00A32AF4" w:rsidRDefault="00F93B76" w:rsidP="00DC0553">
      <w:pPr>
        <w:rPr>
          <w:rFonts w:cs="Arial"/>
        </w:rPr>
      </w:pPr>
    </w:p>
    <w:p w:rsidR="00F93B76" w:rsidRPr="00A32AF4" w:rsidRDefault="001559D6" w:rsidP="00DC0553">
      <w:pPr>
        <w:keepNext/>
        <w:jc w:val="both"/>
        <w:rPr>
          <w:rFonts w:cs="Arial"/>
          <w:b/>
        </w:rPr>
      </w:pPr>
      <w:r w:rsidRPr="00A32AF4">
        <w:rPr>
          <w:rFonts w:cs="Arial"/>
          <w:b/>
        </w:rPr>
        <w:t>Madrid</w:t>
      </w:r>
    </w:p>
    <w:p w:rsidR="00F93B76" w:rsidRPr="00A32AF4" w:rsidRDefault="00F93B76" w:rsidP="00DC0553">
      <w:pPr>
        <w:keepNext/>
        <w:rPr>
          <w:rFonts w:cs="Arial"/>
          <w:b/>
        </w:rPr>
      </w:pPr>
    </w:p>
    <w:p w:rsidR="00F93B76" w:rsidRPr="00A32AF4" w:rsidRDefault="001559D6" w:rsidP="00DC0553">
      <w:pPr>
        <w:keepNext/>
        <w:rPr>
          <w:rFonts w:cs="Arial"/>
        </w:rPr>
      </w:pPr>
      <w:r w:rsidRPr="00A32AF4">
        <w:rPr>
          <w:rFonts w:cs="Arial"/>
          <w:i/>
        </w:rPr>
        <w:t>Madrid – Prévisions relatives à la demande d</w:t>
      </w:r>
      <w:r w:rsidR="00E2055A" w:rsidRPr="00A32AF4">
        <w:rPr>
          <w:rFonts w:cs="Arial"/>
          <w:i/>
        </w:rPr>
        <w:t>’</w:t>
      </w:r>
      <w:r w:rsidRPr="00A32AF4">
        <w:rPr>
          <w:rFonts w:cs="Arial"/>
          <w:i/>
        </w:rPr>
        <w:t>enregistrements internationaux</w:t>
      </w:r>
      <w:r w:rsidRPr="00A32AF4">
        <w:rPr>
          <w:rFonts w:cs="Arial"/>
          <w:i/>
        </w:rPr>
        <w:br/>
      </w:r>
    </w:p>
    <w:p w:rsidR="00F93B76" w:rsidRPr="00A32AF4" w:rsidRDefault="001559D6" w:rsidP="00DC0553">
      <w:pPr>
        <w:numPr>
          <w:ilvl w:val="0"/>
          <w:numId w:val="34"/>
        </w:numPr>
        <w:tabs>
          <w:tab w:val="left" w:pos="540"/>
        </w:tabs>
        <w:jc w:val="both"/>
        <w:rPr>
          <w:rFonts w:cs="Arial"/>
        </w:rPr>
      </w:pPr>
      <w:r w:rsidRPr="00A32AF4">
        <w:rPr>
          <w:rFonts w:cs="Arial"/>
        </w:rPr>
        <w:t>Le diagramme 8 montre les prévisions annuelles pour la période 2015</w:t>
      </w:r>
      <w:r w:rsidR="00EB7F54" w:rsidRPr="00A32AF4">
        <w:rPr>
          <w:rFonts w:cs="Arial"/>
        </w:rPr>
        <w:noBreakHyphen/>
      </w:r>
      <w:r w:rsidRPr="00A32AF4">
        <w:rPr>
          <w:rFonts w:cs="Arial"/>
        </w:rPr>
        <w:t xml:space="preserve">2017.  Les prévisions des enregistrements de Madrid reposent sur de multiples modèles, </w:t>
      </w:r>
      <w:r w:rsidR="00E2055A" w:rsidRPr="00A32AF4">
        <w:rPr>
          <w:rFonts w:cs="Arial"/>
        </w:rPr>
        <w:t>y compris</w:t>
      </w:r>
      <w:r w:rsidRPr="00A32AF4">
        <w:rPr>
          <w:rFonts w:cs="Arial"/>
        </w:rPr>
        <w:t xml:space="preserve"> des modèles autorégressifs, des modèles économétriques et des modèles de transfert.  Les modèles autorégressifs sont appliqués aux enregistrements comme aux demandes.  Les résultats des demandes sont ensuite transformés en prévisions relatives à la demande d</w:t>
      </w:r>
      <w:r w:rsidR="00E2055A" w:rsidRPr="00A32AF4">
        <w:rPr>
          <w:rFonts w:cs="Arial"/>
        </w:rPr>
        <w:t>’</w:t>
      </w:r>
      <w:r w:rsidRPr="00A32AF4">
        <w:rPr>
          <w:rFonts w:cs="Arial"/>
        </w:rPr>
        <w:t>enregistrements internationaux, utilisant pour ce faire le délai de traitement moyen.  Les modèles économétriques sont fondés sur les données réelles et les prévisions du PIB publiées par le Fonds monétaire international (FMI).  Les résultats de différents modèles sont ensuite combinés pour pallier les incertitudes découlant de la spécification correcte des modèles.</w:t>
      </w:r>
    </w:p>
    <w:p w:rsidR="00F93B76" w:rsidRPr="00A32AF4" w:rsidRDefault="00F93B76" w:rsidP="00DC0553">
      <w:pPr>
        <w:rPr>
          <w:rFonts w:cs="Arial"/>
        </w:rPr>
      </w:pPr>
    </w:p>
    <w:p w:rsidR="00F93B76" w:rsidRPr="00A32AF4" w:rsidRDefault="001559D6" w:rsidP="00DC0553">
      <w:pPr>
        <w:keepNext/>
        <w:keepLines/>
        <w:jc w:val="center"/>
        <w:rPr>
          <w:rFonts w:cs="Arial"/>
          <w:sz w:val="18"/>
          <w:szCs w:val="18"/>
        </w:rPr>
      </w:pPr>
      <w:r w:rsidRPr="00A32AF4">
        <w:rPr>
          <w:rFonts w:cs="Arial"/>
          <w:sz w:val="18"/>
          <w:szCs w:val="18"/>
        </w:rPr>
        <w:t>Diagramme 6.  Demandes d</w:t>
      </w:r>
      <w:r w:rsidR="00E2055A" w:rsidRPr="00A32AF4">
        <w:rPr>
          <w:rFonts w:cs="Arial"/>
          <w:sz w:val="18"/>
          <w:szCs w:val="18"/>
        </w:rPr>
        <w:t>’</w:t>
      </w:r>
      <w:r w:rsidRPr="00A32AF4">
        <w:rPr>
          <w:rFonts w:cs="Arial"/>
          <w:sz w:val="18"/>
          <w:szCs w:val="18"/>
        </w:rPr>
        <w:t>enregistrement international au titre du système de Madrid</w:t>
      </w:r>
    </w:p>
    <w:p w:rsidR="00F93B76" w:rsidRPr="00A32AF4" w:rsidRDefault="00F93B76" w:rsidP="00DC0553">
      <w:pPr>
        <w:keepNext/>
        <w:keepLines/>
        <w:jc w:val="center"/>
        <w:rPr>
          <w:rFonts w:cs="Arial"/>
          <w:sz w:val="18"/>
          <w:szCs w:val="18"/>
        </w:rPr>
      </w:pPr>
    </w:p>
    <w:p w:rsidR="00F93B76" w:rsidRPr="00A32AF4" w:rsidRDefault="001559D6" w:rsidP="00DC0553">
      <w:pPr>
        <w:keepNext/>
        <w:keepLines/>
        <w:jc w:val="center"/>
        <w:rPr>
          <w:rFonts w:cs="Arial"/>
          <w:sz w:val="18"/>
          <w:szCs w:val="18"/>
        </w:rPr>
      </w:pPr>
      <w:r w:rsidRPr="00A32AF4">
        <w:rPr>
          <w:rFonts w:cs="Arial"/>
          <w:noProof/>
          <w:lang w:eastAsia="fr-FR"/>
        </w:rPr>
        <w:drawing>
          <wp:inline distT="0" distB="0" distL="0" distR="0" wp14:anchorId="0AFEDD05" wp14:editId="6E71CF2C">
            <wp:extent cx="4493766" cy="2545307"/>
            <wp:effectExtent l="0" t="0" r="2540" b="7620"/>
            <wp:docPr id="1007" name="Picture 1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4498900" cy="2548215"/>
                    </a:xfrm>
                    <a:prstGeom prst="rect">
                      <a:avLst/>
                    </a:prstGeom>
                    <a:noFill/>
                    <a:ln>
                      <a:noFill/>
                    </a:ln>
                  </pic:spPr>
                </pic:pic>
              </a:graphicData>
            </a:graphic>
          </wp:inline>
        </w:drawing>
      </w:r>
    </w:p>
    <w:p w:rsidR="00F93B76" w:rsidRPr="00A32AF4" w:rsidRDefault="001559D6" w:rsidP="00DC0553">
      <w:pPr>
        <w:jc w:val="center"/>
        <w:rPr>
          <w:rFonts w:cs="Arial"/>
        </w:rPr>
      </w:pPr>
      <w:r w:rsidRPr="00A32AF4">
        <w:rPr>
          <w:rFonts w:cs="Arial"/>
          <w:noProof/>
          <w:lang w:eastAsia="fr-FR"/>
        </w:rPr>
        <w:drawing>
          <wp:inline distT="0" distB="0" distL="0" distR="0" wp14:anchorId="1F25BA55" wp14:editId="0569FF36">
            <wp:extent cx="5493385" cy="723265"/>
            <wp:effectExtent l="0" t="0" r="0" b="635"/>
            <wp:docPr id="1008" name="Picture 1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5493385" cy="723265"/>
                    </a:xfrm>
                    <a:prstGeom prst="rect">
                      <a:avLst/>
                    </a:prstGeom>
                    <a:noFill/>
                    <a:ln>
                      <a:noFill/>
                    </a:ln>
                  </pic:spPr>
                </pic:pic>
              </a:graphicData>
            </a:graphic>
          </wp:inline>
        </w:drawing>
      </w:r>
    </w:p>
    <w:p w:rsidR="00F93B76" w:rsidRPr="00A32AF4" w:rsidRDefault="00F93B76" w:rsidP="00DC0553">
      <w:pPr>
        <w:jc w:val="center"/>
        <w:rPr>
          <w:rFonts w:cs="Arial"/>
        </w:rPr>
      </w:pPr>
    </w:p>
    <w:p w:rsidR="00F93B76" w:rsidRPr="00A32AF4" w:rsidRDefault="00F93B76" w:rsidP="00DC0553">
      <w:pPr>
        <w:jc w:val="center"/>
        <w:rPr>
          <w:rFonts w:cs="Arial"/>
        </w:rPr>
      </w:pPr>
    </w:p>
    <w:p w:rsidR="00F93B76" w:rsidRPr="00A32AF4" w:rsidRDefault="00F93B76" w:rsidP="00DC0553">
      <w:pPr>
        <w:rPr>
          <w:rFonts w:cs="Arial"/>
        </w:rPr>
      </w:pPr>
    </w:p>
    <w:p w:rsidR="00F93B76" w:rsidRPr="00A32AF4" w:rsidRDefault="001559D6" w:rsidP="00DC0553">
      <w:pPr>
        <w:numPr>
          <w:ilvl w:val="0"/>
          <w:numId w:val="34"/>
        </w:numPr>
        <w:tabs>
          <w:tab w:val="left" w:pos="540"/>
        </w:tabs>
        <w:jc w:val="both"/>
        <w:rPr>
          <w:rFonts w:cs="Arial"/>
        </w:rPr>
      </w:pPr>
      <w:r w:rsidRPr="00A32AF4">
        <w:rPr>
          <w:rFonts w:cs="Arial"/>
        </w:rPr>
        <w:t>Les chiffres ci</w:t>
      </w:r>
      <w:r w:rsidR="00EB7F54" w:rsidRPr="00A32AF4">
        <w:rPr>
          <w:rFonts w:cs="Arial"/>
        </w:rPr>
        <w:noBreakHyphen/>
      </w:r>
      <w:r w:rsidRPr="00A32AF4">
        <w:rPr>
          <w:rFonts w:cs="Arial"/>
        </w:rPr>
        <w:t>dessus ont été ajoutés aux résultats des modèles d</w:t>
      </w:r>
      <w:r w:rsidR="00E2055A" w:rsidRPr="00A32AF4">
        <w:rPr>
          <w:rFonts w:cs="Arial"/>
        </w:rPr>
        <w:t>’</w:t>
      </w:r>
      <w:r w:rsidRPr="00A32AF4">
        <w:rPr>
          <w:rFonts w:cs="Arial"/>
        </w:rPr>
        <w:t>autorégression.  Les enregistrements s</w:t>
      </w:r>
      <w:r w:rsidR="00E2055A" w:rsidRPr="00A32AF4">
        <w:rPr>
          <w:rFonts w:cs="Arial"/>
        </w:rPr>
        <w:t>’</w:t>
      </w:r>
      <w:r w:rsidRPr="00A32AF4">
        <w:rPr>
          <w:rFonts w:cs="Arial"/>
        </w:rPr>
        <w:t>inscriront vraisemblablement dans une fourchette avec certaines probabilités.  Le diagramme et le tableau ci</w:t>
      </w:r>
      <w:r w:rsidR="00EB7F54" w:rsidRPr="00A32AF4">
        <w:rPr>
          <w:rFonts w:cs="Arial"/>
        </w:rPr>
        <w:noBreakHyphen/>
      </w:r>
      <w:r w:rsidRPr="00A32AF4">
        <w:rPr>
          <w:rFonts w:cs="Arial"/>
        </w:rPr>
        <w:t>après indiquent la répartition probabiliste des demandes.</w:t>
      </w:r>
    </w:p>
    <w:p w:rsidR="00F93B76" w:rsidRPr="00A32AF4" w:rsidRDefault="00F93B76" w:rsidP="00DC0553">
      <w:pPr>
        <w:rPr>
          <w:rFonts w:cs="Arial"/>
        </w:rPr>
      </w:pPr>
    </w:p>
    <w:p w:rsidR="00F93B76" w:rsidRPr="00A32AF4" w:rsidRDefault="00F93B76" w:rsidP="00DC0553">
      <w:pPr>
        <w:rPr>
          <w:rFonts w:cs="Arial"/>
        </w:rPr>
      </w:pPr>
    </w:p>
    <w:p w:rsidR="00F93B76" w:rsidRPr="00A32AF4" w:rsidRDefault="001559D6" w:rsidP="00DC0553">
      <w:pPr>
        <w:keepLines/>
        <w:jc w:val="center"/>
        <w:rPr>
          <w:rFonts w:cs="Arial"/>
          <w:sz w:val="18"/>
          <w:szCs w:val="18"/>
        </w:rPr>
      </w:pPr>
      <w:r w:rsidRPr="00A32AF4">
        <w:rPr>
          <w:rFonts w:cs="Arial"/>
          <w:sz w:val="18"/>
          <w:szCs w:val="18"/>
        </w:rPr>
        <w:t>Répartition probabiliste des dépôts</w:t>
      </w:r>
    </w:p>
    <w:p w:rsidR="00F93B76" w:rsidRPr="00A32AF4" w:rsidRDefault="001559D6" w:rsidP="00DC0553">
      <w:pPr>
        <w:keepLines/>
        <w:jc w:val="center"/>
        <w:rPr>
          <w:rFonts w:cs="Arial"/>
          <w:sz w:val="18"/>
        </w:rPr>
      </w:pPr>
      <w:r w:rsidRPr="00A32AF4">
        <w:rPr>
          <w:rFonts w:cs="Arial"/>
          <w:noProof/>
          <w:lang w:eastAsia="fr-FR"/>
        </w:rPr>
        <w:drawing>
          <wp:inline distT="0" distB="0" distL="0" distR="0" wp14:anchorId="4E707429" wp14:editId="4B2535EA">
            <wp:extent cx="4174317" cy="2355850"/>
            <wp:effectExtent l="0" t="0" r="0" b="6350"/>
            <wp:docPr id="1009" name="Picture 1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4177081" cy="2357410"/>
                    </a:xfrm>
                    <a:prstGeom prst="rect">
                      <a:avLst/>
                    </a:prstGeom>
                    <a:noFill/>
                    <a:ln>
                      <a:noFill/>
                    </a:ln>
                  </pic:spPr>
                </pic:pic>
              </a:graphicData>
            </a:graphic>
          </wp:inline>
        </w:drawing>
      </w:r>
    </w:p>
    <w:p w:rsidR="00F93B76" w:rsidRPr="00A32AF4" w:rsidRDefault="00F93B76" w:rsidP="00DC0553">
      <w:pPr>
        <w:keepNext/>
        <w:keepLines/>
        <w:jc w:val="center"/>
        <w:rPr>
          <w:rFonts w:cs="Arial"/>
          <w:sz w:val="18"/>
          <w:szCs w:val="18"/>
        </w:rPr>
      </w:pPr>
    </w:p>
    <w:p w:rsidR="00F93B76" w:rsidRPr="00A32AF4" w:rsidRDefault="00F93B76" w:rsidP="00DC0553"/>
    <w:p w:rsidR="00F93B76" w:rsidRPr="00A32AF4" w:rsidRDefault="001559D6" w:rsidP="00DC0553">
      <w:pPr>
        <w:keepNext/>
        <w:keepLines/>
        <w:jc w:val="center"/>
        <w:rPr>
          <w:rFonts w:cs="Arial"/>
          <w:sz w:val="18"/>
          <w:szCs w:val="18"/>
        </w:rPr>
      </w:pPr>
      <w:r w:rsidRPr="00A32AF4">
        <w:rPr>
          <w:rFonts w:cs="Arial"/>
          <w:sz w:val="18"/>
          <w:szCs w:val="18"/>
        </w:rPr>
        <w:t>Scénarios des demandes au titre du système de Madrid</w:t>
      </w:r>
    </w:p>
    <w:p w:rsidR="00F93B76" w:rsidRPr="00A32AF4" w:rsidRDefault="00F93B76" w:rsidP="00DC0553">
      <w:pPr>
        <w:keepNext/>
        <w:keepLines/>
        <w:rPr>
          <w:rFonts w:cs="Arial"/>
        </w:rPr>
      </w:pPr>
    </w:p>
    <w:p w:rsidR="00F93B76" w:rsidRPr="00A32AF4" w:rsidRDefault="001559D6" w:rsidP="00DC0553">
      <w:pPr>
        <w:jc w:val="center"/>
        <w:rPr>
          <w:rFonts w:cs="Arial"/>
        </w:rPr>
      </w:pPr>
      <w:r w:rsidRPr="00A32AF4">
        <w:rPr>
          <w:rFonts w:cs="Arial"/>
          <w:noProof/>
          <w:lang w:eastAsia="fr-FR"/>
        </w:rPr>
        <w:drawing>
          <wp:inline distT="0" distB="0" distL="0" distR="0" wp14:anchorId="6D9236DC" wp14:editId="1D4F827F">
            <wp:extent cx="3117850" cy="3117850"/>
            <wp:effectExtent l="0" t="0" r="6350" b="6350"/>
            <wp:docPr id="1010" name="Picture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3117850" cy="3117850"/>
                    </a:xfrm>
                    <a:prstGeom prst="rect">
                      <a:avLst/>
                    </a:prstGeom>
                    <a:noFill/>
                    <a:ln>
                      <a:noFill/>
                    </a:ln>
                  </pic:spPr>
                </pic:pic>
              </a:graphicData>
            </a:graphic>
          </wp:inline>
        </w:drawing>
      </w:r>
    </w:p>
    <w:p w:rsidR="00F93B76" w:rsidRPr="00A32AF4" w:rsidRDefault="00F93B76" w:rsidP="00DC0553">
      <w:pPr>
        <w:rPr>
          <w:rFonts w:cs="Arial"/>
        </w:rPr>
      </w:pPr>
    </w:p>
    <w:p w:rsidR="00F93B76" w:rsidRPr="00A32AF4" w:rsidRDefault="001559D6" w:rsidP="00DC0553">
      <w:pPr>
        <w:rPr>
          <w:rFonts w:cs="Arial"/>
          <w:i/>
        </w:rPr>
      </w:pPr>
      <w:r w:rsidRPr="00A32AF4">
        <w:rPr>
          <w:rFonts w:cs="Arial"/>
          <w:i/>
        </w:rPr>
        <w:t>Madrid – Prévisions relatives à la demande de renouvellements</w:t>
      </w:r>
    </w:p>
    <w:p w:rsidR="00F93B76" w:rsidRPr="00A32AF4" w:rsidRDefault="00F93B76" w:rsidP="00DC0553">
      <w:pPr>
        <w:rPr>
          <w:rFonts w:cs="Arial"/>
        </w:rPr>
      </w:pPr>
    </w:p>
    <w:p w:rsidR="00F93B76" w:rsidRPr="00A32AF4" w:rsidRDefault="001559D6" w:rsidP="00DC0553">
      <w:pPr>
        <w:numPr>
          <w:ilvl w:val="0"/>
          <w:numId w:val="34"/>
        </w:numPr>
        <w:tabs>
          <w:tab w:val="left" w:pos="540"/>
        </w:tabs>
        <w:jc w:val="both"/>
        <w:rPr>
          <w:rFonts w:cs="Arial"/>
        </w:rPr>
      </w:pPr>
      <w:r w:rsidRPr="00A32AF4">
        <w:rPr>
          <w:rFonts w:cs="Arial"/>
        </w:rPr>
        <w:t>Le diagramme 7 montre les prévisions annuelles pour la période 2015</w:t>
      </w:r>
      <w:r w:rsidR="00EB7F54" w:rsidRPr="00A32AF4">
        <w:rPr>
          <w:rFonts w:cs="Arial"/>
        </w:rPr>
        <w:noBreakHyphen/>
      </w:r>
      <w:r w:rsidRPr="00A32AF4">
        <w:rPr>
          <w:rFonts w:cs="Arial"/>
        </w:rPr>
        <w:t>2017.  Les renouvellements sont eux aussi fondés sur des modèles de régression et le modèle de transfert.  Outre les modèles d</w:t>
      </w:r>
      <w:r w:rsidR="00E2055A" w:rsidRPr="00A32AF4">
        <w:rPr>
          <w:rFonts w:cs="Arial"/>
        </w:rPr>
        <w:t>’</w:t>
      </w:r>
      <w:r w:rsidRPr="00A32AF4">
        <w:rPr>
          <w:rFonts w:cs="Arial"/>
        </w:rPr>
        <w:t>autorégression pour les séries chronologiques des renouvellements, nous utilisons également un modèle de régression pour les renouvellements comme pour les enregistrements.  Ce modèle de régression suppose que les premiers renouvellements dépendent des enregistrements avec un décalage de 10 ans alors que les renouvellements ultérieurs dépendent des renouvellements antérieurs avec un décalage de 10 ans.  Le modèle de transfert tient compte du nombre potentiel des enregistrements à renouveler et applique un pourcentage qui est calculé à partir d</w:t>
      </w:r>
      <w:r w:rsidR="00E2055A" w:rsidRPr="00A32AF4">
        <w:rPr>
          <w:rFonts w:cs="Arial"/>
        </w:rPr>
        <w:t>’</w:t>
      </w:r>
      <w:r w:rsidRPr="00A32AF4">
        <w:rPr>
          <w:rFonts w:cs="Arial"/>
        </w:rPr>
        <w:t>années antérieures.  Les résultats de différents modèles sont ensuite combinés.</w:t>
      </w:r>
    </w:p>
    <w:p w:rsidR="00F93B76" w:rsidRPr="00A32AF4" w:rsidRDefault="00F93B76" w:rsidP="00DC0553">
      <w:pPr>
        <w:rPr>
          <w:rFonts w:cs="Arial"/>
        </w:rPr>
      </w:pPr>
    </w:p>
    <w:p w:rsidR="00F93B76" w:rsidRPr="00A32AF4" w:rsidRDefault="001559D6" w:rsidP="00DC0553">
      <w:pPr>
        <w:keepNext/>
        <w:keepLines/>
        <w:jc w:val="center"/>
        <w:rPr>
          <w:rFonts w:cs="Arial"/>
          <w:sz w:val="18"/>
          <w:szCs w:val="18"/>
        </w:rPr>
      </w:pPr>
      <w:r w:rsidRPr="00A32AF4">
        <w:rPr>
          <w:rFonts w:cs="Arial"/>
          <w:sz w:val="18"/>
          <w:szCs w:val="18"/>
        </w:rPr>
        <w:t>Diagramme 7.  Prévisions relatives à la demande de renouvellements au titre du système de Madrid</w:t>
      </w:r>
    </w:p>
    <w:p w:rsidR="00F93B76" w:rsidRPr="00A32AF4" w:rsidRDefault="00F93B76" w:rsidP="00DC0553">
      <w:pPr>
        <w:keepNext/>
        <w:keepLines/>
        <w:jc w:val="center"/>
        <w:rPr>
          <w:rFonts w:cs="Arial"/>
          <w:sz w:val="18"/>
          <w:szCs w:val="18"/>
        </w:rPr>
      </w:pPr>
    </w:p>
    <w:p w:rsidR="00F93B76" w:rsidRPr="00A32AF4" w:rsidRDefault="001559D6" w:rsidP="00DC0553">
      <w:pPr>
        <w:keepLines/>
        <w:jc w:val="center"/>
        <w:rPr>
          <w:rFonts w:cs="Arial"/>
        </w:rPr>
      </w:pPr>
      <w:r w:rsidRPr="00A32AF4">
        <w:rPr>
          <w:rFonts w:cs="Arial"/>
          <w:noProof/>
          <w:lang w:eastAsia="fr-FR"/>
        </w:rPr>
        <w:drawing>
          <wp:inline distT="0" distB="0" distL="0" distR="0" wp14:anchorId="0E4DFD42" wp14:editId="60F98C84">
            <wp:extent cx="4064000" cy="2299493"/>
            <wp:effectExtent l="0" t="0" r="0" b="5715"/>
            <wp:docPr id="1011" name="Picture 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4072880" cy="2304518"/>
                    </a:xfrm>
                    <a:prstGeom prst="rect">
                      <a:avLst/>
                    </a:prstGeom>
                    <a:noFill/>
                    <a:ln>
                      <a:noFill/>
                    </a:ln>
                  </pic:spPr>
                </pic:pic>
              </a:graphicData>
            </a:graphic>
          </wp:inline>
        </w:drawing>
      </w:r>
    </w:p>
    <w:p w:rsidR="00F93B76" w:rsidRPr="00A32AF4" w:rsidRDefault="00F93B76" w:rsidP="00DC0553">
      <w:pPr>
        <w:keepNext/>
        <w:keepLines/>
        <w:jc w:val="center"/>
        <w:rPr>
          <w:rFonts w:cs="Arial"/>
        </w:rPr>
      </w:pPr>
    </w:p>
    <w:p w:rsidR="00F93B76" w:rsidRPr="00A32AF4" w:rsidRDefault="001559D6" w:rsidP="00DC0553">
      <w:pPr>
        <w:keepLines/>
        <w:jc w:val="center"/>
        <w:rPr>
          <w:rFonts w:cs="Arial"/>
        </w:rPr>
      </w:pPr>
      <w:r w:rsidRPr="00A32AF4">
        <w:rPr>
          <w:rFonts w:cs="Arial"/>
          <w:noProof/>
          <w:lang w:eastAsia="fr-FR"/>
        </w:rPr>
        <w:drawing>
          <wp:inline distT="0" distB="0" distL="0" distR="0" wp14:anchorId="60907EFD" wp14:editId="2264A45A">
            <wp:extent cx="5433812" cy="660400"/>
            <wp:effectExtent l="0" t="0" r="0" b="6350"/>
            <wp:docPr id="1012" name="Picture 1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5473142" cy="665180"/>
                    </a:xfrm>
                    <a:prstGeom prst="rect">
                      <a:avLst/>
                    </a:prstGeom>
                    <a:noFill/>
                    <a:ln>
                      <a:noFill/>
                    </a:ln>
                  </pic:spPr>
                </pic:pic>
              </a:graphicData>
            </a:graphic>
          </wp:inline>
        </w:drawing>
      </w:r>
    </w:p>
    <w:p w:rsidR="00F93B76" w:rsidRPr="00A32AF4" w:rsidRDefault="00F93B76" w:rsidP="00DC0553">
      <w:pPr>
        <w:keepNext/>
        <w:keepLines/>
        <w:jc w:val="center"/>
        <w:rPr>
          <w:rFonts w:cs="Arial"/>
        </w:rPr>
      </w:pPr>
    </w:p>
    <w:p w:rsidR="00F93B76" w:rsidRPr="00A32AF4" w:rsidRDefault="00F93B76" w:rsidP="00DC0553">
      <w:pPr>
        <w:rPr>
          <w:rFonts w:cs="Arial"/>
        </w:rPr>
      </w:pPr>
    </w:p>
    <w:p w:rsidR="00F93B76" w:rsidRPr="00A32AF4" w:rsidRDefault="001559D6" w:rsidP="00DC0553">
      <w:pPr>
        <w:spacing w:after="60"/>
        <w:jc w:val="center"/>
        <w:rPr>
          <w:rFonts w:cs="Arial"/>
          <w:sz w:val="18"/>
          <w:szCs w:val="18"/>
        </w:rPr>
      </w:pPr>
      <w:r w:rsidRPr="00A32AF4">
        <w:rPr>
          <w:rFonts w:cs="Arial"/>
          <w:sz w:val="18"/>
          <w:szCs w:val="18"/>
        </w:rPr>
        <w:t>Répartition probabiliste de la demande de renouvellements</w:t>
      </w:r>
    </w:p>
    <w:p w:rsidR="00F93B76" w:rsidRPr="00A32AF4" w:rsidRDefault="001559D6" w:rsidP="00DC0553">
      <w:pPr>
        <w:spacing w:after="60"/>
        <w:jc w:val="center"/>
        <w:rPr>
          <w:rFonts w:cs="Arial"/>
          <w:sz w:val="18"/>
          <w:szCs w:val="18"/>
        </w:rPr>
      </w:pPr>
      <w:r w:rsidRPr="00A32AF4">
        <w:rPr>
          <w:rFonts w:cs="Arial"/>
          <w:noProof/>
          <w:lang w:eastAsia="fr-FR"/>
        </w:rPr>
        <w:drawing>
          <wp:inline distT="0" distB="0" distL="0" distR="0" wp14:anchorId="0A01CE84" wp14:editId="025C4BD0">
            <wp:extent cx="4643376" cy="2622430"/>
            <wp:effectExtent l="0" t="0" r="5080" b="698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4644909" cy="2623296"/>
                    </a:xfrm>
                    <a:prstGeom prst="rect">
                      <a:avLst/>
                    </a:prstGeom>
                    <a:noFill/>
                    <a:ln>
                      <a:noFill/>
                    </a:ln>
                  </pic:spPr>
                </pic:pic>
              </a:graphicData>
            </a:graphic>
          </wp:inline>
        </w:drawing>
      </w:r>
    </w:p>
    <w:p w:rsidR="00F93B76" w:rsidRPr="00A32AF4" w:rsidRDefault="00F93B76" w:rsidP="00DC0553">
      <w:pPr>
        <w:spacing w:after="60"/>
        <w:jc w:val="center"/>
        <w:rPr>
          <w:rFonts w:cs="Arial"/>
          <w:sz w:val="18"/>
          <w:szCs w:val="18"/>
        </w:rPr>
      </w:pPr>
    </w:p>
    <w:p w:rsidR="00F93B76" w:rsidRPr="00A32AF4" w:rsidRDefault="00F93B76" w:rsidP="00DC0553">
      <w:pPr>
        <w:keepNext/>
        <w:keepLines/>
        <w:jc w:val="center"/>
        <w:rPr>
          <w:rFonts w:cs="Arial"/>
        </w:rPr>
      </w:pPr>
    </w:p>
    <w:p w:rsidR="00F93B76" w:rsidRPr="00A32AF4" w:rsidRDefault="001559D6" w:rsidP="00DC0553">
      <w:pPr>
        <w:keepNext/>
        <w:spacing w:after="60"/>
        <w:jc w:val="center"/>
        <w:rPr>
          <w:rFonts w:cs="Arial"/>
          <w:sz w:val="18"/>
          <w:szCs w:val="18"/>
        </w:rPr>
      </w:pPr>
      <w:r w:rsidRPr="00A32AF4">
        <w:rPr>
          <w:rFonts w:cs="Arial"/>
          <w:sz w:val="18"/>
          <w:szCs w:val="18"/>
        </w:rPr>
        <w:t>Scénarios de la demande de renouvellements</w:t>
      </w:r>
    </w:p>
    <w:p w:rsidR="00F93B76" w:rsidRPr="00A32AF4" w:rsidRDefault="00F93B76" w:rsidP="00DC0553">
      <w:pPr>
        <w:keepNext/>
        <w:spacing w:after="60"/>
        <w:jc w:val="center"/>
        <w:rPr>
          <w:rFonts w:cs="Arial"/>
          <w:sz w:val="18"/>
          <w:szCs w:val="18"/>
        </w:rPr>
      </w:pPr>
    </w:p>
    <w:p w:rsidR="00F93B76" w:rsidRPr="00A32AF4" w:rsidRDefault="001559D6" w:rsidP="00DC0553">
      <w:pPr>
        <w:jc w:val="center"/>
        <w:rPr>
          <w:rFonts w:cs="Arial"/>
        </w:rPr>
      </w:pPr>
      <w:r w:rsidRPr="00A32AF4">
        <w:rPr>
          <w:rFonts w:cs="Arial"/>
          <w:noProof/>
          <w:lang w:eastAsia="fr-FR"/>
        </w:rPr>
        <w:drawing>
          <wp:inline distT="0" distB="0" distL="0" distR="0" wp14:anchorId="29D52455" wp14:editId="70DFAC71">
            <wp:extent cx="3098800" cy="3117850"/>
            <wp:effectExtent l="0" t="0" r="6350" b="6350"/>
            <wp:docPr id="1013" name="Picture 1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3098800" cy="3117850"/>
                    </a:xfrm>
                    <a:prstGeom prst="rect">
                      <a:avLst/>
                    </a:prstGeom>
                    <a:noFill/>
                    <a:ln>
                      <a:noFill/>
                    </a:ln>
                  </pic:spPr>
                </pic:pic>
              </a:graphicData>
            </a:graphic>
          </wp:inline>
        </w:drawing>
      </w:r>
    </w:p>
    <w:p w:rsidR="00F93B76" w:rsidRPr="00A32AF4" w:rsidRDefault="00F93B76" w:rsidP="00DC0553">
      <w:pPr>
        <w:jc w:val="center"/>
        <w:rPr>
          <w:rFonts w:cs="Arial"/>
        </w:rPr>
      </w:pPr>
    </w:p>
    <w:p w:rsidR="00F93B76" w:rsidRPr="00A32AF4" w:rsidRDefault="00F93B76" w:rsidP="00DC0553">
      <w:pPr>
        <w:jc w:val="center"/>
        <w:rPr>
          <w:rFonts w:cs="Arial"/>
        </w:rPr>
      </w:pPr>
    </w:p>
    <w:p w:rsidR="00F93B76" w:rsidRPr="00A32AF4" w:rsidRDefault="001559D6" w:rsidP="00DC0553">
      <w:pPr>
        <w:rPr>
          <w:rFonts w:cs="Arial"/>
        </w:rPr>
      </w:pPr>
      <w:r w:rsidRPr="00A32AF4">
        <w:rPr>
          <w:rFonts w:cs="Arial"/>
          <w:i/>
        </w:rPr>
        <w:t>Estimations relatives aux recettes provenant des taxes au titre du système de Madrid</w:t>
      </w:r>
      <w:r w:rsidRPr="00A32AF4">
        <w:rPr>
          <w:rFonts w:cs="Arial"/>
          <w:i/>
        </w:rPr>
        <w:br/>
      </w:r>
    </w:p>
    <w:p w:rsidR="00F93B76" w:rsidRPr="00A32AF4" w:rsidRDefault="001559D6" w:rsidP="00DC0553">
      <w:pPr>
        <w:numPr>
          <w:ilvl w:val="0"/>
          <w:numId w:val="34"/>
        </w:numPr>
        <w:tabs>
          <w:tab w:val="left" w:pos="540"/>
        </w:tabs>
        <w:jc w:val="both"/>
        <w:rPr>
          <w:rFonts w:cs="Arial"/>
        </w:rPr>
      </w:pPr>
      <w:r w:rsidRPr="00A32AF4">
        <w:rPr>
          <w:rFonts w:cs="Arial"/>
        </w:rPr>
        <w:t>Les recettes provenant des taxes au titre du système de Madrid sont générées par les trois catégories de services offerts par l</w:t>
      </w:r>
      <w:r w:rsidR="00E2055A" w:rsidRPr="00A32AF4">
        <w:rPr>
          <w:rFonts w:cs="Arial"/>
        </w:rPr>
        <w:t>’</w:t>
      </w:r>
      <w:r w:rsidRPr="00A32AF4">
        <w:rPr>
          <w:rFonts w:cs="Arial"/>
        </w:rPr>
        <w:t xml:space="preserve">OMPI dans le cadre du système de Madrid, </w:t>
      </w:r>
      <w:r w:rsidR="00E2055A" w:rsidRPr="00A32AF4">
        <w:rPr>
          <w:rFonts w:cs="Arial"/>
        </w:rPr>
        <w:t>à savoir</w:t>
      </w:r>
      <w:r w:rsidRPr="00A32AF4">
        <w:rPr>
          <w:rFonts w:cs="Arial"/>
        </w:rPr>
        <w:t> : a) l</w:t>
      </w:r>
      <w:r w:rsidR="00E2055A" w:rsidRPr="00A32AF4">
        <w:rPr>
          <w:rFonts w:cs="Arial"/>
        </w:rPr>
        <w:t>’</w:t>
      </w:r>
      <w:r w:rsidRPr="00A32AF4">
        <w:rPr>
          <w:rFonts w:cs="Arial"/>
        </w:rPr>
        <w:t xml:space="preserve">inscription des enregistrements </w:t>
      </w:r>
      <w:proofErr w:type="gramStart"/>
      <w:r w:rsidRPr="00A32AF4">
        <w:rPr>
          <w:rFonts w:cs="Arial"/>
        </w:rPr>
        <w:t>internationaux;</w:t>
      </w:r>
      <w:proofErr w:type="gramEnd"/>
      <w:r w:rsidRPr="00A32AF4">
        <w:rPr>
          <w:rFonts w:cs="Arial"/>
        </w:rPr>
        <w:t xml:space="preserve">  b) l</w:t>
      </w:r>
      <w:r w:rsidR="00E2055A" w:rsidRPr="00A32AF4">
        <w:rPr>
          <w:rFonts w:cs="Arial"/>
        </w:rPr>
        <w:t>’</w:t>
      </w:r>
      <w:r w:rsidRPr="00A32AF4">
        <w:rPr>
          <w:rFonts w:cs="Arial"/>
        </w:rPr>
        <w:t>inscription des renouvellements;  c) l</w:t>
      </w:r>
      <w:r w:rsidR="00E2055A" w:rsidRPr="00A32AF4">
        <w:rPr>
          <w:rFonts w:cs="Arial"/>
        </w:rPr>
        <w:t>’</w:t>
      </w:r>
      <w:r w:rsidRPr="00A32AF4">
        <w:rPr>
          <w:rFonts w:cs="Arial"/>
        </w:rPr>
        <w:t>inscription des désignations postérieures;  et d) d</w:t>
      </w:r>
      <w:r w:rsidR="00E2055A" w:rsidRPr="00A32AF4">
        <w:rPr>
          <w:rFonts w:cs="Arial"/>
        </w:rPr>
        <w:t>’</w:t>
      </w:r>
      <w:r w:rsidRPr="00A32AF4">
        <w:rPr>
          <w:rFonts w:cs="Arial"/>
        </w:rPr>
        <w:t xml:space="preserve">autres services, </w:t>
      </w:r>
      <w:r w:rsidR="00E2055A" w:rsidRPr="00A32AF4">
        <w:rPr>
          <w:rFonts w:cs="Arial"/>
        </w:rPr>
        <w:t>y compris</w:t>
      </w:r>
      <w:r w:rsidRPr="00A32AF4">
        <w:rPr>
          <w:rFonts w:cs="Arial"/>
        </w:rPr>
        <w:t xml:space="preserve"> différentes modifications et la délivrance d</w:t>
      </w:r>
      <w:r w:rsidR="00E2055A" w:rsidRPr="00A32AF4">
        <w:rPr>
          <w:rFonts w:cs="Arial"/>
        </w:rPr>
        <w:t>’</w:t>
      </w:r>
      <w:r w:rsidRPr="00A32AF4">
        <w:rPr>
          <w:rFonts w:cs="Arial"/>
        </w:rPr>
        <w:t>extraits.</w:t>
      </w:r>
    </w:p>
    <w:p w:rsidR="00F93B76" w:rsidRPr="00A32AF4" w:rsidRDefault="00F93B76" w:rsidP="00DC0553">
      <w:pPr>
        <w:tabs>
          <w:tab w:val="left" w:pos="540"/>
        </w:tabs>
        <w:jc w:val="both"/>
        <w:rPr>
          <w:rFonts w:cs="Arial"/>
        </w:rPr>
      </w:pPr>
    </w:p>
    <w:p w:rsidR="00F93B76" w:rsidRPr="00A32AF4" w:rsidRDefault="001559D6" w:rsidP="00DC0553">
      <w:pPr>
        <w:numPr>
          <w:ilvl w:val="0"/>
          <w:numId w:val="34"/>
        </w:numPr>
        <w:tabs>
          <w:tab w:val="left" w:pos="540"/>
        </w:tabs>
        <w:jc w:val="both"/>
        <w:rPr>
          <w:rFonts w:cs="Arial"/>
          <w:sz w:val="18"/>
          <w:szCs w:val="18"/>
        </w:rPr>
      </w:pPr>
      <w:r w:rsidRPr="00A32AF4">
        <w:rPr>
          <w:rFonts w:cs="Arial"/>
        </w:rPr>
        <w:t>Le diagramme 8 ci</w:t>
      </w:r>
      <w:r w:rsidR="00EB7F54" w:rsidRPr="00A32AF4">
        <w:rPr>
          <w:rFonts w:cs="Arial"/>
        </w:rPr>
        <w:noBreakHyphen/>
      </w:r>
      <w:r w:rsidRPr="00A32AF4">
        <w:rPr>
          <w:rFonts w:cs="Arial"/>
        </w:rPr>
        <w:t>dessous montre les recettes estimatives provenant des taxes au titre du système de Madrid pour la période 2015</w:t>
      </w:r>
      <w:r w:rsidR="00EB7F54" w:rsidRPr="00A32AF4">
        <w:rPr>
          <w:rFonts w:cs="Arial"/>
        </w:rPr>
        <w:noBreakHyphen/>
      </w:r>
      <w:r w:rsidRPr="00A32AF4">
        <w:rPr>
          <w:rFonts w:cs="Arial"/>
        </w:rPr>
        <w:t>2017 pour chacune des catégories de services précitées.  Les recettes estimatives sont fondées sur le nombre des enregistrements internationaux et des renouvellements qui devraient être inscrits de 2015 à 2017.</w:t>
      </w:r>
    </w:p>
    <w:p w:rsidR="00F93B76" w:rsidRPr="00A32AF4" w:rsidRDefault="00F93B76" w:rsidP="00DC0553">
      <w:pPr>
        <w:pStyle w:val="ListParagraph"/>
        <w:rPr>
          <w:rFonts w:ascii="Arial" w:hAnsi="Arial" w:cs="Arial"/>
        </w:rPr>
      </w:pPr>
    </w:p>
    <w:p w:rsidR="00F93B76" w:rsidRPr="00A32AF4" w:rsidRDefault="001559D6" w:rsidP="00DC0553">
      <w:pPr>
        <w:keepNext/>
        <w:keepLines/>
        <w:tabs>
          <w:tab w:val="left" w:pos="540"/>
        </w:tabs>
        <w:jc w:val="center"/>
        <w:rPr>
          <w:rFonts w:cs="Arial"/>
          <w:sz w:val="18"/>
          <w:szCs w:val="18"/>
        </w:rPr>
      </w:pPr>
      <w:r w:rsidRPr="00A32AF4">
        <w:rPr>
          <w:rFonts w:cs="Arial"/>
          <w:sz w:val="18"/>
          <w:szCs w:val="18"/>
        </w:rPr>
        <w:t>Diagramme 8.  Estimations relatives aux recettes provenant des taxes au titre du système de Madrid, par provenance</w:t>
      </w:r>
    </w:p>
    <w:p w:rsidR="00F93B76" w:rsidRPr="00A32AF4" w:rsidRDefault="00F93B76" w:rsidP="00DC0553">
      <w:pPr>
        <w:keepNext/>
        <w:tabs>
          <w:tab w:val="left" w:pos="540"/>
        </w:tabs>
        <w:jc w:val="center"/>
        <w:rPr>
          <w:rFonts w:cs="Arial"/>
          <w:sz w:val="18"/>
          <w:szCs w:val="18"/>
        </w:rPr>
      </w:pPr>
    </w:p>
    <w:p w:rsidR="00F93B76" w:rsidRPr="00A32AF4" w:rsidRDefault="001559D6" w:rsidP="00DC0553">
      <w:pPr>
        <w:jc w:val="center"/>
        <w:rPr>
          <w:rFonts w:cs="Arial"/>
        </w:rPr>
      </w:pPr>
      <w:r w:rsidRPr="00A32AF4">
        <w:rPr>
          <w:rFonts w:cs="Arial"/>
          <w:noProof/>
          <w:lang w:eastAsia="fr-FR"/>
        </w:rPr>
        <w:drawing>
          <wp:inline distT="0" distB="0" distL="0" distR="0" wp14:anchorId="4FE75A8B" wp14:editId="79896B1F">
            <wp:extent cx="4679846" cy="2647950"/>
            <wp:effectExtent l="0" t="0" r="6985" b="0"/>
            <wp:docPr id="1014" name="Picture 1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4682212" cy="2649289"/>
                    </a:xfrm>
                    <a:prstGeom prst="rect">
                      <a:avLst/>
                    </a:prstGeom>
                    <a:noFill/>
                    <a:ln>
                      <a:noFill/>
                    </a:ln>
                  </pic:spPr>
                </pic:pic>
              </a:graphicData>
            </a:graphic>
          </wp:inline>
        </w:drawing>
      </w:r>
    </w:p>
    <w:p w:rsidR="00F93B76" w:rsidRPr="00A32AF4" w:rsidRDefault="00F93B76" w:rsidP="00DC0553">
      <w:pPr>
        <w:jc w:val="center"/>
        <w:rPr>
          <w:rFonts w:cs="Arial"/>
        </w:rPr>
      </w:pPr>
    </w:p>
    <w:p w:rsidR="00F93B76" w:rsidRPr="00A32AF4" w:rsidRDefault="001559D6" w:rsidP="00DC0553">
      <w:pPr>
        <w:jc w:val="center"/>
        <w:rPr>
          <w:rFonts w:cs="Arial"/>
        </w:rPr>
      </w:pPr>
      <w:r w:rsidRPr="00A32AF4">
        <w:rPr>
          <w:rFonts w:cs="Arial"/>
          <w:noProof/>
          <w:lang w:eastAsia="fr-FR"/>
        </w:rPr>
        <w:drawing>
          <wp:inline distT="0" distB="0" distL="0" distR="0" wp14:anchorId="27DF824B" wp14:editId="44963EA7">
            <wp:extent cx="4635500" cy="1193992"/>
            <wp:effectExtent l="0" t="0" r="0" b="6350"/>
            <wp:docPr id="1015" name="Picture 1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4637338" cy="1194466"/>
                    </a:xfrm>
                    <a:prstGeom prst="rect">
                      <a:avLst/>
                    </a:prstGeom>
                    <a:noFill/>
                    <a:ln>
                      <a:noFill/>
                    </a:ln>
                  </pic:spPr>
                </pic:pic>
              </a:graphicData>
            </a:graphic>
          </wp:inline>
        </w:drawing>
      </w:r>
    </w:p>
    <w:p w:rsidR="00F93B76" w:rsidRPr="00A32AF4" w:rsidRDefault="00550BF0" w:rsidP="00DC0553">
      <w:pPr>
        <w:spacing w:after="60"/>
        <w:ind w:left="851"/>
        <w:rPr>
          <w:rFonts w:cs="Arial"/>
          <w:sz w:val="18"/>
          <w:szCs w:val="18"/>
        </w:rPr>
      </w:pPr>
      <w:proofErr w:type="gramStart"/>
      <w:r w:rsidRPr="00A32AF4">
        <w:rPr>
          <w:rFonts w:cs="Arial"/>
          <w:sz w:val="18"/>
          <w:szCs w:val="18"/>
        </w:rPr>
        <w:t xml:space="preserve">*  </w:t>
      </w:r>
      <w:r w:rsidR="005E7C9D" w:rsidRPr="00A32AF4">
        <w:rPr>
          <w:rFonts w:cs="Arial"/>
          <w:sz w:val="16"/>
          <w:szCs w:val="18"/>
        </w:rPr>
        <w:t>Prévisions</w:t>
      </w:r>
      <w:proofErr w:type="gramEnd"/>
      <w:r w:rsidRPr="00A32AF4">
        <w:rPr>
          <w:rFonts w:cs="Arial"/>
          <w:sz w:val="16"/>
          <w:szCs w:val="18"/>
        </w:rPr>
        <w:t>.</w:t>
      </w:r>
    </w:p>
    <w:p w:rsidR="00F93B76" w:rsidRPr="00A32AF4" w:rsidRDefault="00F93B76" w:rsidP="00DC0553">
      <w:pPr>
        <w:rPr>
          <w:rFonts w:cs="Arial"/>
        </w:rPr>
      </w:pPr>
    </w:p>
    <w:p w:rsidR="00F93B76" w:rsidRPr="00A32AF4" w:rsidRDefault="00F93B76" w:rsidP="00DC0553">
      <w:pPr>
        <w:jc w:val="center"/>
        <w:rPr>
          <w:rFonts w:cs="Arial"/>
        </w:rPr>
      </w:pPr>
    </w:p>
    <w:p w:rsidR="00F93B76" w:rsidRPr="00A32AF4" w:rsidRDefault="001559D6" w:rsidP="00DC0553">
      <w:pPr>
        <w:jc w:val="center"/>
        <w:rPr>
          <w:rFonts w:cs="Arial"/>
          <w:sz w:val="18"/>
        </w:rPr>
      </w:pPr>
      <w:r w:rsidRPr="00A32AF4">
        <w:rPr>
          <w:rFonts w:cs="Arial"/>
          <w:noProof/>
          <w:lang w:eastAsia="fr-FR"/>
        </w:rPr>
        <w:drawing>
          <wp:inline distT="0" distB="0" distL="0" distR="0" wp14:anchorId="52EE6A7A" wp14:editId="1F77B40C">
            <wp:extent cx="4648200" cy="2607266"/>
            <wp:effectExtent l="0" t="0" r="0" b="3175"/>
            <wp:docPr id="1016" name="Picture 1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4648200" cy="2607266"/>
                    </a:xfrm>
                    <a:prstGeom prst="rect">
                      <a:avLst/>
                    </a:prstGeom>
                    <a:noFill/>
                    <a:ln>
                      <a:noFill/>
                    </a:ln>
                  </pic:spPr>
                </pic:pic>
              </a:graphicData>
            </a:graphic>
          </wp:inline>
        </w:drawing>
      </w:r>
    </w:p>
    <w:p w:rsidR="00F93B76" w:rsidRPr="00A32AF4" w:rsidRDefault="00F93B76" w:rsidP="00DC0553">
      <w:pPr>
        <w:jc w:val="center"/>
        <w:rPr>
          <w:rFonts w:cs="Arial"/>
        </w:rPr>
      </w:pPr>
    </w:p>
    <w:p w:rsidR="00F93B76" w:rsidRPr="00A32AF4" w:rsidRDefault="001559D6" w:rsidP="00DC0553">
      <w:pPr>
        <w:keepNext/>
        <w:keepLines/>
        <w:tabs>
          <w:tab w:val="center" w:pos="4535"/>
          <w:tab w:val="left" w:pos="7130"/>
        </w:tabs>
        <w:spacing w:after="60"/>
        <w:rPr>
          <w:rFonts w:cs="Arial"/>
          <w:sz w:val="18"/>
          <w:szCs w:val="18"/>
        </w:rPr>
      </w:pPr>
      <w:r w:rsidRPr="00A32AF4">
        <w:rPr>
          <w:rFonts w:cs="Arial"/>
          <w:sz w:val="18"/>
          <w:szCs w:val="18"/>
        </w:rPr>
        <w:tab/>
        <w:t>Scénarios des recettes au titre du système de Madrid</w:t>
      </w:r>
      <w:r w:rsidRPr="00A32AF4">
        <w:rPr>
          <w:rFonts w:cs="Arial"/>
          <w:sz w:val="18"/>
          <w:szCs w:val="18"/>
        </w:rPr>
        <w:tab/>
      </w:r>
    </w:p>
    <w:p w:rsidR="00F93B76" w:rsidRPr="00A32AF4" w:rsidRDefault="001559D6" w:rsidP="00DC0553">
      <w:pPr>
        <w:keepNext/>
        <w:keepLines/>
        <w:jc w:val="center"/>
        <w:rPr>
          <w:rFonts w:cs="Arial"/>
        </w:rPr>
      </w:pPr>
      <w:r w:rsidRPr="00A32AF4">
        <w:rPr>
          <w:rFonts w:cs="Arial"/>
          <w:noProof/>
          <w:lang w:eastAsia="fr-FR"/>
        </w:rPr>
        <w:drawing>
          <wp:inline distT="0" distB="0" distL="0" distR="0" wp14:anchorId="4E42EF26" wp14:editId="78DD66E2">
            <wp:extent cx="3219450" cy="3117850"/>
            <wp:effectExtent l="0" t="0" r="0" b="6350"/>
            <wp:docPr id="1017" name="Picture 1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3219450" cy="3117850"/>
                    </a:xfrm>
                    <a:prstGeom prst="rect">
                      <a:avLst/>
                    </a:prstGeom>
                    <a:noFill/>
                    <a:ln>
                      <a:noFill/>
                    </a:ln>
                  </pic:spPr>
                </pic:pic>
              </a:graphicData>
            </a:graphic>
          </wp:inline>
        </w:drawing>
      </w:r>
    </w:p>
    <w:p w:rsidR="00F93B76" w:rsidRPr="00A32AF4" w:rsidRDefault="00F93B76" w:rsidP="00DC0553">
      <w:pPr>
        <w:keepNext/>
        <w:keepLines/>
        <w:jc w:val="center"/>
        <w:rPr>
          <w:rFonts w:cs="Arial"/>
        </w:rPr>
      </w:pPr>
    </w:p>
    <w:p w:rsidR="00F93B76" w:rsidRPr="00A32AF4" w:rsidRDefault="001559D6" w:rsidP="00DC0553">
      <w:pPr>
        <w:numPr>
          <w:ilvl w:val="0"/>
          <w:numId w:val="34"/>
        </w:numPr>
        <w:tabs>
          <w:tab w:val="left" w:pos="540"/>
        </w:tabs>
        <w:jc w:val="both"/>
        <w:rPr>
          <w:rFonts w:cs="Arial"/>
        </w:rPr>
      </w:pPr>
      <w:r w:rsidRPr="00A32AF4">
        <w:rPr>
          <w:rFonts w:cs="Arial"/>
        </w:rPr>
        <w:t>Le tableau ci</w:t>
      </w:r>
      <w:r w:rsidR="00EB7F54" w:rsidRPr="00A32AF4">
        <w:rPr>
          <w:rFonts w:cs="Arial"/>
        </w:rPr>
        <w:noBreakHyphen/>
      </w:r>
      <w:r w:rsidRPr="00A32AF4">
        <w:rPr>
          <w:rFonts w:cs="Arial"/>
        </w:rPr>
        <w:t>dessous donne des informations sur les nombres effectifs et attendus des enregistrements et des renouvellements pour la période 2012</w:t>
      </w:r>
      <w:r w:rsidR="00EB7F54" w:rsidRPr="00A32AF4">
        <w:rPr>
          <w:rFonts w:cs="Arial"/>
        </w:rPr>
        <w:noBreakHyphen/>
      </w:r>
      <w:r w:rsidRPr="00A32AF4">
        <w:rPr>
          <w:rFonts w:cs="Arial"/>
        </w:rPr>
        <w:t>2017 et sur l</w:t>
      </w:r>
      <w:r w:rsidR="00E2055A" w:rsidRPr="00A32AF4">
        <w:rPr>
          <w:rFonts w:cs="Arial"/>
        </w:rPr>
        <w:t>’</w:t>
      </w:r>
      <w:r w:rsidRPr="00A32AF4">
        <w:rPr>
          <w:rFonts w:cs="Arial"/>
        </w:rPr>
        <w:t>évolution effective et attendue de la taxe moyenne pendant cette période.  La taxe moyenne correspond aux recettes totales provenant des taxes au titre du système de Madrid divisées par le nombre total d</w:t>
      </w:r>
      <w:r w:rsidR="00E2055A" w:rsidRPr="00A32AF4">
        <w:rPr>
          <w:rFonts w:cs="Arial"/>
        </w:rPr>
        <w:t>’</w:t>
      </w:r>
      <w:r w:rsidRPr="00A32AF4">
        <w:rPr>
          <w:rFonts w:cs="Arial"/>
        </w:rPr>
        <w:t>enregistrements et de renouvellements par année.</w:t>
      </w:r>
    </w:p>
    <w:p w:rsidR="00F93B76" w:rsidRPr="00A32AF4" w:rsidRDefault="00F93B76" w:rsidP="00DC0553">
      <w:pPr>
        <w:jc w:val="both"/>
        <w:rPr>
          <w:rFonts w:cs="Arial"/>
        </w:rPr>
      </w:pPr>
    </w:p>
    <w:p w:rsidR="00F93B76" w:rsidRPr="00A32AF4" w:rsidRDefault="001559D6" w:rsidP="00DC0553">
      <w:pPr>
        <w:keepNext/>
        <w:keepLines/>
        <w:jc w:val="center"/>
        <w:rPr>
          <w:rFonts w:cs="Arial"/>
          <w:sz w:val="18"/>
          <w:szCs w:val="18"/>
        </w:rPr>
      </w:pPr>
      <w:r w:rsidRPr="00A32AF4">
        <w:rPr>
          <w:rFonts w:cs="Arial"/>
          <w:sz w:val="18"/>
          <w:szCs w:val="18"/>
        </w:rPr>
        <w:t>Tableau </w:t>
      </w:r>
      <w:r w:rsidR="00C82260" w:rsidRPr="00A32AF4">
        <w:rPr>
          <w:rFonts w:cs="Arial"/>
          <w:sz w:val="18"/>
          <w:szCs w:val="18"/>
        </w:rPr>
        <w:t>16</w:t>
      </w:r>
      <w:r w:rsidRPr="00A32AF4">
        <w:rPr>
          <w:rFonts w:cs="Arial"/>
          <w:sz w:val="18"/>
          <w:szCs w:val="18"/>
        </w:rPr>
        <w:t>.  Recettes totales et taxe moyenne au titre du système de Madrid</w:t>
      </w:r>
    </w:p>
    <w:p w:rsidR="00F93B76" w:rsidRPr="00A32AF4" w:rsidRDefault="00F93B76" w:rsidP="00DC0553">
      <w:pPr>
        <w:keepNext/>
        <w:keepLines/>
        <w:jc w:val="center"/>
        <w:rPr>
          <w:rFonts w:cs="Arial"/>
        </w:rPr>
      </w:pPr>
    </w:p>
    <w:p w:rsidR="00F93B76" w:rsidRPr="00A32AF4" w:rsidRDefault="00C82260" w:rsidP="00DC0553">
      <w:r w:rsidRPr="00A32AF4">
        <w:rPr>
          <w:noProof/>
          <w:lang w:eastAsia="fr-FR"/>
        </w:rPr>
        <w:drawing>
          <wp:inline distT="0" distB="0" distL="0" distR="0" wp14:anchorId="60C0E363" wp14:editId="62E02D65">
            <wp:extent cx="5760085" cy="888313"/>
            <wp:effectExtent l="0" t="0" r="0" b="762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5760085" cy="888313"/>
                    </a:xfrm>
                    <a:prstGeom prst="rect">
                      <a:avLst/>
                    </a:prstGeom>
                    <a:noFill/>
                    <a:ln>
                      <a:noFill/>
                    </a:ln>
                  </pic:spPr>
                </pic:pic>
              </a:graphicData>
            </a:graphic>
          </wp:inline>
        </w:drawing>
      </w:r>
    </w:p>
    <w:p w:rsidR="00F93B76" w:rsidRPr="00A32AF4" w:rsidRDefault="00F93B76" w:rsidP="00DC0553">
      <w:pPr>
        <w:rPr>
          <w:rFonts w:cs="Arial"/>
        </w:rPr>
      </w:pPr>
    </w:p>
    <w:p w:rsidR="00F93B76" w:rsidRPr="00A32AF4" w:rsidRDefault="00F93B76" w:rsidP="00DC0553">
      <w:pPr>
        <w:rPr>
          <w:rFonts w:cs="Arial"/>
        </w:rPr>
      </w:pPr>
    </w:p>
    <w:p w:rsidR="00F93B76" w:rsidRPr="00A32AF4" w:rsidRDefault="001559D6" w:rsidP="00DC0553">
      <w:pPr>
        <w:pStyle w:val="ListParagraph"/>
        <w:numPr>
          <w:ilvl w:val="0"/>
          <w:numId w:val="34"/>
        </w:numPr>
        <w:spacing w:after="0" w:line="240" w:lineRule="auto"/>
        <w:jc w:val="both"/>
        <w:rPr>
          <w:rFonts w:ascii="Arial" w:hAnsi="Arial" w:cs="Arial"/>
        </w:rPr>
      </w:pPr>
      <w:r w:rsidRPr="00A32AF4">
        <w:rPr>
          <w:rFonts w:ascii="Arial" w:hAnsi="Arial" w:cs="Arial"/>
        </w:rPr>
        <w:t>Pour la première fois, un nouveau modèle de prévisions, similaire à celui utilisé pour prédire les activités du PCT, a été adopté pour prévoir les demandes d</w:t>
      </w:r>
      <w:r w:rsidR="00E2055A" w:rsidRPr="00A32AF4">
        <w:rPr>
          <w:rFonts w:ascii="Arial" w:hAnsi="Arial" w:cs="Arial"/>
        </w:rPr>
        <w:t>’</w:t>
      </w:r>
      <w:r w:rsidRPr="00A32AF4">
        <w:rPr>
          <w:rFonts w:ascii="Arial" w:hAnsi="Arial" w:cs="Arial"/>
        </w:rPr>
        <w:t xml:space="preserve">enregistrement au titre des systèmes de Madrid et de </w:t>
      </w:r>
      <w:r w:rsidR="00E2055A" w:rsidRPr="00A32AF4">
        <w:rPr>
          <w:rFonts w:ascii="Arial" w:hAnsi="Arial" w:cs="Arial"/>
        </w:rPr>
        <w:t>La Haye</w:t>
      </w:r>
      <w:r w:rsidRPr="00A32AF4">
        <w:rPr>
          <w:rFonts w:ascii="Arial" w:hAnsi="Arial" w:cs="Arial"/>
        </w:rPr>
        <w:t xml:space="preserve"> au cours de l</w:t>
      </w:r>
      <w:r w:rsidR="00E2055A" w:rsidRPr="00A32AF4">
        <w:rPr>
          <w:rFonts w:ascii="Arial" w:hAnsi="Arial" w:cs="Arial"/>
        </w:rPr>
        <w:t>’</w:t>
      </w:r>
      <w:r w:rsidRPr="00A32AF4">
        <w:rPr>
          <w:rFonts w:ascii="Arial" w:hAnsi="Arial" w:cs="Arial"/>
        </w:rPr>
        <w:t>exercice biennal 2014</w:t>
      </w:r>
      <w:r w:rsidR="00EB7F54" w:rsidRPr="00A32AF4">
        <w:rPr>
          <w:rFonts w:ascii="Arial" w:hAnsi="Arial" w:cs="Arial"/>
        </w:rPr>
        <w:noBreakHyphen/>
      </w:r>
      <w:r w:rsidRPr="00A32AF4">
        <w:rPr>
          <w:rFonts w:ascii="Arial" w:hAnsi="Arial" w:cs="Arial"/>
        </w:rPr>
        <w:t>2015.  Le modèle plus sophistiqué tient compte non seulement d</w:t>
      </w:r>
      <w:r w:rsidR="00E2055A" w:rsidRPr="00A32AF4">
        <w:rPr>
          <w:rFonts w:ascii="Arial" w:hAnsi="Arial" w:cs="Arial"/>
        </w:rPr>
        <w:t>’</w:t>
      </w:r>
      <w:r w:rsidRPr="00A32AF4">
        <w:rPr>
          <w:rFonts w:ascii="Arial" w:hAnsi="Arial" w:cs="Arial"/>
        </w:rPr>
        <w:t>activités antérieures du système du PCT mais aussi des activités liées à la demande et à l</w:t>
      </w:r>
      <w:r w:rsidR="00E2055A" w:rsidRPr="00A32AF4">
        <w:rPr>
          <w:rFonts w:ascii="Arial" w:hAnsi="Arial" w:cs="Arial"/>
        </w:rPr>
        <w:t>’</w:t>
      </w:r>
      <w:r w:rsidRPr="00A32AF4">
        <w:rPr>
          <w:rFonts w:ascii="Arial" w:hAnsi="Arial" w:cs="Arial"/>
        </w:rPr>
        <w:t>enregistrement de marques auprès d</w:t>
      </w:r>
      <w:r w:rsidR="00E2055A" w:rsidRPr="00A32AF4">
        <w:rPr>
          <w:rFonts w:ascii="Arial" w:hAnsi="Arial" w:cs="Arial"/>
        </w:rPr>
        <w:t>’</w:t>
      </w:r>
      <w:r w:rsidRPr="00A32AF4">
        <w:rPr>
          <w:rFonts w:ascii="Arial" w:hAnsi="Arial" w:cs="Arial"/>
        </w:rPr>
        <w:t>autres offices ainsi que des données de prévisions économiques du FMI.  Compte tenu des incertitudes qui planent toujours sur l</w:t>
      </w:r>
      <w:r w:rsidR="00E2055A" w:rsidRPr="00A32AF4">
        <w:rPr>
          <w:rFonts w:ascii="Arial" w:hAnsi="Arial" w:cs="Arial"/>
        </w:rPr>
        <w:t>’</w:t>
      </w:r>
      <w:r w:rsidRPr="00A32AF4">
        <w:rPr>
          <w:rFonts w:ascii="Arial" w:hAnsi="Arial" w:cs="Arial"/>
        </w:rPr>
        <w:t>économie mondiale et en attendant que le nouveau modèle des prévisions gagne en expérience, les acteurs concernés ont jugé plus prudent de retenir des prévisions légèrement inférieures pour le système de Madrid.  Ces prévisions figurent dans le tableau ci</w:t>
      </w:r>
      <w:r w:rsidR="00EB7F54" w:rsidRPr="00A32AF4">
        <w:rPr>
          <w:rFonts w:ascii="Arial" w:hAnsi="Arial" w:cs="Arial"/>
        </w:rPr>
        <w:noBreakHyphen/>
      </w:r>
      <w:r w:rsidRPr="00A32AF4">
        <w:rPr>
          <w:rFonts w:ascii="Arial" w:hAnsi="Arial" w:cs="Arial"/>
        </w:rPr>
        <w:t>dessous et servent de base pour le programme et budget pour l</w:t>
      </w:r>
      <w:r w:rsidR="00E2055A" w:rsidRPr="00A32AF4">
        <w:rPr>
          <w:rFonts w:ascii="Arial" w:hAnsi="Arial" w:cs="Arial"/>
        </w:rPr>
        <w:t>’</w:t>
      </w:r>
      <w:r w:rsidRPr="00A32AF4">
        <w:rPr>
          <w:rFonts w:ascii="Arial" w:hAnsi="Arial" w:cs="Arial"/>
        </w:rPr>
        <w:t>exercice 2016</w:t>
      </w:r>
      <w:r w:rsidR="00EB7F54" w:rsidRPr="00A32AF4">
        <w:rPr>
          <w:rFonts w:ascii="Arial" w:hAnsi="Arial" w:cs="Arial"/>
        </w:rPr>
        <w:noBreakHyphen/>
      </w:r>
      <w:r w:rsidRPr="00A32AF4">
        <w:rPr>
          <w:rFonts w:ascii="Arial" w:hAnsi="Arial" w:cs="Arial"/>
        </w:rPr>
        <w:t>2017</w:t>
      </w:r>
    </w:p>
    <w:p w:rsidR="00F93B76" w:rsidRPr="00A32AF4" w:rsidRDefault="00F93B76" w:rsidP="00DC0553"/>
    <w:p w:rsidR="00F93B76" w:rsidRPr="00A32AF4" w:rsidRDefault="00F93B76" w:rsidP="00DC0553"/>
    <w:p w:rsidR="00F93B76" w:rsidRPr="00A32AF4" w:rsidRDefault="001559D6" w:rsidP="00DC0553">
      <w:pPr>
        <w:keepNext/>
        <w:keepLines/>
        <w:jc w:val="center"/>
        <w:rPr>
          <w:rFonts w:cs="Arial"/>
          <w:sz w:val="18"/>
          <w:szCs w:val="18"/>
        </w:rPr>
      </w:pPr>
      <w:r w:rsidRPr="00A32AF4">
        <w:rPr>
          <w:rFonts w:cs="Arial"/>
          <w:sz w:val="18"/>
          <w:szCs w:val="18"/>
        </w:rPr>
        <w:t>Tableau </w:t>
      </w:r>
      <w:r w:rsidR="00C82260" w:rsidRPr="00A32AF4">
        <w:rPr>
          <w:rFonts w:cs="Arial"/>
          <w:sz w:val="18"/>
          <w:szCs w:val="18"/>
        </w:rPr>
        <w:t>17</w:t>
      </w:r>
      <w:r w:rsidRPr="00A32AF4">
        <w:rPr>
          <w:rFonts w:cs="Arial"/>
          <w:sz w:val="18"/>
          <w:szCs w:val="18"/>
        </w:rPr>
        <w:t xml:space="preserve">.  Recettes totales et taxe moyenne au titre du système de </w:t>
      </w:r>
      <w:proofErr w:type="gramStart"/>
      <w:r w:rsidRPr="00A32AF4">
        <w:rPr>
          <w:rFonts w:cs="Arial"/>
          <w:sz w:val="18"/>
          <w:szCs w:val="18"/>
        </w:rPr>
        <w:t>Madrid</w:t>
      </w:r>
      <w:proofErr w:type="gramEnd"/>
      <w:r w:rsidR="00C82260" w:rsidRPr="00A32AF4">
        <w:rPr>
          <w:rFonts w:cs="Arial"/>
          <w:sz w:val="18"/>
          <w:szCs w:val="18"/>
        </w:rPr>
        <w:br/>
      </w:r>
      <w:r w:rsidRPr="00A32AF4">
        <w:rPr>
          <w:rFonts w:cs="Arial"/>
          <w:sz w:val="18"/>
          <w:szCs w:val="18"/>
        </w:rPr>
        <w:t>(base pour le programme et budget pour 2016</w:t>
      </w:r>
      <w:r w:rsidR="00EB7F54" w:rsidRPr="00A32AF4">
        <w:rPr>
          <w:rFonts w:cs="Arial"/>
          <w:sz w:val="18"/>
          <w:szCs w:val="18"/>
        </w:rPr>
        <w:noBreakHyphen/>
      </w:r>
      <w:r w:rsidRPr="00A32AF4">
        <w:rPr>
          <w:rFonts w:cs="Arial"/>
          <w:sz w:val="18"/>
          <w:szCs w:val="18"/>
        </w:rPr>
        <w:t>2017)</w:t>
      </w:r>
    </w:p>
    <w:p w:rsidR="00F93B76" w:rsidRPr="00A32AF4" w:rsidRDefault="00F93B76" w:rsidP="00DC0553"/>
    <w:p w:rsidR="00F93B76" w:rsidRPr="00A32AF4" w:rsidRDefault="00C82260" w:rsidP="00DC0553">
      <w:r w:rsidRPr="00A32AF4">
        <w:rPr>
          <w:noProof/>
          <w:lang w:eastAsia="fr-FR"/>
        </w:rPr>
        <w:drawing>
          <wp:inline distT="0" distB="0" distL="0" distR="0" wp14:anchorId="4D3A7320" wp14:editId="565F80FE">
            <wp:extent cx="5760085" cy="888313"/>
            <wp:effectExtent l="0" t="0" r="0" b="762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5760085" cy="888313"/>
                    </a:xfrm>
                    <a:prstGeom prst="rect">
                      <a:avLst/>
                    </a:prstGeom>
                    <a:noFill/>
                    <a:ln>
                      <a:noFill/>
                    </a:ln>
                  </pic:spPr>
                </pic:pic>
              </a:graphicData>
            </a:graphic>
          </wp:inline>
        </w:drawing>
      </w:r>
    </w:p>
    <w:p w:rsidR="00F93B76" w:rsidRPr="00A32AF4" w:rsidRDefault="00550BF0" w:rsidP="00DC0553">
      <w:pPr>
        <w:rPr>
          <w:rFonts w:cs="Arial"/>
          <w:b/>
        </w:rPr>
      </w:pPr>
      <w:r w:rsidRPr="00A32AF4">
        <w:rPr>
          <w:rFonts w:cs="Arial"/>
          <w:b/>
        </w:rPr>
        <w:br w:type="page"/>
      </w:r>
    </w:p>
    <w:p w:rsidR="00F93B76" w:rsidRPr="00A32AF4" w:rsidRDefault="00E2055A" w:rsidP="00DC0553">
      <w:pPr>
        <w:rPr>
          <w:rFonts w:cs="Arial"/>
          <w:b/>
        </w:rPr>
      </w:pPr>
      <w:r w:rsidRPr="00A32AF4">
        <w:rPr>
          <w:rFonts w:cs="Arial"/>
          <w:b/>
        </w:rPr>
        <w:t>La Haye</w:t>
      </w:r>
    </w:p>
    <w:p w:rsidR="00F93B76" w:rsidRPr="00A32AF4" w:rsidRDefault="00F93B76" w:rsidP="00DC0553">
      <w:pPr>
        <w:rPr>
          <w:rFonts w:cs="Arial"/>
        </w:rPr>
      </w:pPr>
    </w:p>
    <w:p w:rsidR="00F93B76" w:rsidRPr="00A32AF4" w:rsidRDefault="00E2055A" w:rsidP="00DC0553">
      <w:pPr>
        <w:rPr>
          <w:rFonts w:cs="Arial"/>
        </w:rPr>
      </w:pPr>
      <w:r w:rsidRPr="00A32AF4">
        <w:rPr>
          <w:rFonts w:cs="Arial"/>
          <w:i/>
        </w:rPr>
        <w:t>La Haye</w:t>
      </w:r>
      <w:r w:rsidR="001559D6" w:rsidRPr="00A32AF4">
        <w:rPr>
          <w:rFonts w:cs="Arial"/>
          <w:i/>
        </w:rPr>
        <w:t xml:space="preserve"> – Prévisions relatives à la demande d</w:t>
      </w:r>
      <w:r w:rsidRPr="00A32AF4">
        <w:rPr>
          <w:rFonts w:cs="Arial"/>
          <w:i/>
        </w:rPr>
        <w:t>’</w:t>
      </w:r>
      <w:r w:rsidR="001559D6" w:rsidRPr="00A32AF4">
        <w:rPr>
          <w:rFonts w:cs="Arial"/>
          <w:i/>
        </w:rPr>
        <w:t>enregistrements internationaux</w:t>
      </w:r>
      <w:r w:rsidR="001559D6" w:rsidRPr="00A32AF4">
        <w:rPr>
          <w:rFonts w:cs="Arial"/>
          <w:i/>
        </w:rPr>
        <w:br/>
      </w:r>
    </w:p>
    <w:p w:rsidR="00F93B76" w:rsidRPr="00A32AF4" w:rsidRDefault="001559D6" w:rsidP="00DC0553">
      <w:pPr>
        <w:numPr>
          <w:ilvl w:val="0"/>
          <w:numId w:val="34"/>
        </w:numPr>
        <w:tabs>
          <w:tab w:val="left" w:pos="540"/>
        </w:tabs>
        <w:jc w:val="both"/>
        <w:rPr>
          <w:rFonts w:cs="Arial"/>
        </w:rPr>
      </w:pPr>
      <w:r w:rsidRPr="00A32AF4">
        <w:rPr>
          <w:rFonts w:cs="Arial"/>
        </w:rPr>
        <w:t>Le diagramme 9 montre les prévisions pour la période 2015</w:t>
      </w:r>
      <w:r w:rsidR="00EB7F54" w:rsidRPr="00A32AF4">
        <w:rPr>
          <w:rFonts w:cs="Arial"/>
        </w:rPr>
        <w:noBreakHyphen/>
      </w:r>
      <w:r w:rsidRPr="00A32AF4">
        <w:rPr>
          <w:rFonts w:cs="Arial"/>
        </w:rPr>
        <w:t>2017.  L</w:t>
      </w:r>
      <w:r w:rsidR="00E2055A" w:rsidRPr="00A32AF4">
        <w:rPr>
          <w:rFonts w:cs="Arial"/>
        </w:rPr>
        <w:t>’</w:t>
      </w:r>
      <w:r w:rsidRPr="00A32AF4">
        <w:rPr>
          <w:rFonts w:cs="Arial"/>
        </w:rPr>
        <w:t>adhésion attendue de la Chine, des États</w:t>
      </w:r>
      <w:r w:rsidR="00EB7F54" w:rsidRPr="00A32AF4">
        <w:rPr>
          <w:rFonts w:cs="Arial"/>
        </w:rPr>
        <w:noBreakHyphen/>
      </w:r>
      <w:r w:rsidRPr="00A32AF4">
        <w:rPr>
          <w:rFonts w:cs="Arial"/>
        </w:rPr>
        <w:t>Unis d</w:t>
      </w:r>
      <w:r w:rsidR="00E2055A" w:rsidRPr="00A32AF4">
        <w:rPr>
          <w:rFonts w:cs="Arial"/>
        </w:rPr>
        <w:t>’</w:t>
      </w:r>
      <w:r w:rsidRPr="00A32AF4">
        <w:rPr>
          <w:rFonts w:cs="Arial"/>
        </w:rPr>
        <w:t xml:space="preserve">Amérique, de la Fédération de Russie, du Japon et de la République de Corée au système de </w:t>
      </w:r>
      <w:r w:rsidR="00E2055A" w:rsidRPr="00A32AF4">
        <w:rPr>
          <w:rFonts w:cs="Arial"/>
        </w:rPr>
        <w:t>La Haye</w:t>
      </w:r>
      <w:r w:rsidRPr="00A32AF4">
        <w:rPr>
          <w:rFonts w:cs="Arial"/>
        </w:rPr>
        <w:t xml:space="preserve"> aura un impact considérable à partir de 2015, ce qui aura pour résultat un bond possible des dépôts et des recettes.  Les prévisions relatives à la demande d</w:t>
      </w:r>
      <w:r w:rsidR="00E2055A" w:rsidRPr="00A32AF4">
        <w:rPr>
          <w:rFonts w:cs="Arial"/>
        </w:rPr>
        <w:t>’</w:t>
      </w:r>
      <w:r w:rsidRPr="00A32AF4">
        <w:rPr>
          <w:rFonts w:cs="Arial"/>
        </w:rPr>
        <w:t xml:space="preserve">enregistrements au titre du système de </w:t>
      </w:r>
      <w:r w:rsidR="00E2055A" w:rsidRPr="00A32AF4">
        <w:rPr>
          <w:rFonts w:cs="Arial"/>
        </w:rPr>
        <w:t>La Haye</w:t>
      </w:r>
      <w:r w:rsidRPr="00A32AF4">
        <w:rPr>
          <w:rFonts w:cs="Arial"/>
        </w:rPr>
        <w:t xml:space="preserve"> reposent sur de multiples modèles, </w:t>
      </w:r>
      <w:r w:rsidR="00E2055A" w:rsidRPr="00A32AF4">
        <w:rPr>
          <w:rFonts w:cs="Arial"/>
        </w:rPr>
        <w:t>y compris</w:t>
      </w:r>
      <w:r w:rsidRPr="00A32AF4">
        <w:rPr>
          <w:rFonts w:cs="Arial"/>
        </w:rPr>
        <w:t xml:space="preserve"> des modèles d</w:t>
      </w:r>
      <w:r w:rsidR="00E2055A" w:rsidRPr="00A32AF4">
        <w:rPr>
          <w:rFonts w:cs="Arial"/>
        </w:rPr>
        <w:t>’</w:t>
      </w:r>
      <w:r w:rsidRPr="00A32AF4">
        <w:rPr>
          <w:rFonts w:cs="Arial"/>
        </w:rPr>
        <w:t>autorégression, des modèles économétriques et des modèles de transfert.  Les modèles d</w:t>
      </w:r>
      <w:r w:rsidR="00E2055A" w:rsidRPr="00A32AF4">
        <w:rPr>
          <w:rFonts w:cs="Arial"/>
        </w:rPr>
        <w:t>’</w:t>
      </w:r>
      <w:r w:rsidRPr="00A32AF4">
        <w:rPr>
          <w:rFonts w:cs="Arial"/>
        </w:rPr>
        <w:t>autorégression sont appliqués aux enregistrements.  Les modèles économétriques sont fondés sur les données réelles et les prévisions du PIB publiées par le Fonds monétaire international (FMI).  Les résultats de différents modèles sont ensuite combinés pour pallier les incertitudes découlant de la spécification correcte des modèles.</w:t>
      </w:r>
    </w:p>
    <w:p w:rsidR="00F93B76" w:rsidRPr="00A32AF4" w:rsidRDefault="00F93B76" w:rsidP="00DC0553">
      <w:pPr>
        <w:tabs>
          <w:tab w:val="left" w:pos="540"/>
        </w:tabs>
        <w:jc w:val="both"/>
        <w:rPr>
          <w:rFonts w:cs="Arial"/>
        </w:rPr>
      </w:pPr>
    </w:p>
    <w:p w:rsidR="00F93B76" w:rsidRPr="00A32AF4" w:rsidRDefault="00F93B76" w:rsidP="00DC0553">
      <w:pPr>
        <w:tabs>
          <w:tab w:val="left" w:pos="540"/>
        </w:tabs>
        <w:jc w:val="both"/>
        <w:rPr>
          <w:rFonts w:cs="Arial"/>
        </w:rPr>
      </w:pPr>
    </w:p>
    <w:p w:rsidR="00F93B76" w:rsidRPr="00A32AF4" w:rsidRDefault="00F93B76" w:rsidP="00DC0553">
      <w:pPr>
        <w:tabs>
          <w:tab w:val="left" w:pos="540"/>
        </w:tabs>
        <w:jc w:val="both"/>
        <w:rPr>
          <w:rFonts w:cs="Arial"/>
        </w:rPr>
      </w:pPr>
    </w:p>
    <w:p w:rsidR="00F93B76" w:rsidRPr="00A32AF4" w:rsidRDefault="001559D6" w:rsidP="00DC0553">
      <w:pPr>
        <w:keepNext/>
        <w:keepLines/>
        <w:jc w:val="center"/>
        <w:rPr>
          <w:rFonts w:cs="Arial"/>
          <w:sz w:val="18"/>
          <w:szCs w:val="18"/>
        </w:rPr>
      </w:pPr>
      <w:r w:rsidRPr="00A32AF4">
        <w:rPr>
          <w:rFonts w:cs="Arial"/>
          <w:sz w:val="18"/>
          <w:szCs w:val="18"/>
        </w:rPr>
        <w:t xml:space="preserve">Diagramme 9.  Dépôts et renouvellements au titre du système de </w:t>
      </w:r>
      <w:r w:rsidR="00E2055A" w:rsidRPr="00A32AF4">
        <w:rPr>
          <w:rFonts w:cs="Arial"/>
          <w:sz w:val="18"/>
          <w:szCs w:val="18"/>
        </w:rPr>
        <w:t>La Haye</w:t>
      </w:r>
    </w:p>
    <w:p w:rsidR="00F93B76" w:rsidRPr="00A32AF4" w:rsidRDefault="00F93B76" w:rsidP="00DC0553">
      <w:pPr>
        <w:keepNext/>
        <w:keepLines/>
        <w:jc w:val="center"/>
        <w:rPr>
          <w:rFonts w:cs="Arial"/>
          <w:sz w:val="18"/>
          <w:szCs w:val="18"/>
        </w:rPr>
      </w:pPr>
    </w:p>
    <w:p w:rsidR="00F93B76" w:rsidRPr="00A32AF4" w:rsidRDefault="001559D6" w:rsidP="00DC0553">
      <w:pPr>
        <w:keepNext/>
        <w:keepLines/>
        <w:jc w:val="center"/>
        <w:rPr>
          <w:rFonts w:cs="Arial"/>
          <w:sz w:val="18"/>
          <w:szCs w:val="18"/>
        </w:rPr>
      </w:pPr>
      <w:r w:rsidRPr="00A32AF4">
        <w:rPr>
          <w:rFonts w:cs="Arial"/>
          <w:noProof/>
          <w:lang w:eastAsia="fr-FR"/>
        </w:rPr>
        <w:drawing>
          <wp:inline distT="0" distB="0" distL="0" distR="0" wp14:anchorId="28E47F78" wp14:editId="60FAE759">
            <wp:extent cx="4671283" cy="2645853"/>
            <wp:effectExtent l="0" t="0" r="0" b="2540"/>
            <wp:docPr id="1018" name="Picture 1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4674478" cy="2647662"/>
                    </a:xfrm>
                    <a:prstGeom prst="rect">
                      <a:avLst/>
                    </a:prstGeom>
                    <a:noFill/>
                    <a:ln>
                      <a:noFill/>
                    </a:ln>
                  </pic:spPr>
                </pic:pic>
              </a:graphicData>
            </a:graphic>
          </wp:inline>
        </w:drawing>
      </w:r>
    </w:p>
    <w:p w:rsidR="00F93B76" w:rsidRPr="00A32AF4" w:rsidRDefault="00F93B76" w:rsidP="00DC0553">
      <w:pPr>
        <w:keepNext/>
        <w:keepLines/>
        <w:jc w:val="center"/>
        <w:rPr>
          <w:rFonts w:cs="Arial"/>
          <w:sz w:val="18"/>
          <w:szCs w:val="18"/>
        </w:rPr>
      </w:pPr>
    </w:p>
    <w:p w:rsidR="00F93B76" w:rsidRPr="00A32AF4" w:rsidRDefault="00C82260" w:rsidP="00DC0553">
      <w:pPr>
        <w:keepNext/>
        <w:keepLines/>
        <w:jc w:val="center"/>
        <w:rPr>
          <w:rFonts w:cs="Arial"/>
          <w:sz w:val="18"/>
          <w:szCs w:val="18"/>
        </w:rPr>
      </w:pPr>
      <w:r w:rsidRPr="00A32AF4">
        <w:rPr>
          <w:noProof/>
          <w:lang w:eastAsia="fr-FR"/>
        </w:rPr>
        <w:drawing>
          <wp:inline distT="0" distB="0" distL="0" distR="0" wp14:anchorId="148A297C" wp14:editId="13663FF5">
            <wp:extent cx="5760085" cy="710627"/>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5760085" cy="710627"/>
                    </a:xfrm>
                    <a:prstGeom prst="rect">
                      <a:avLst/>
                    </a:prstGeom>
                    <a:noFill/>
                    <a:ln>
                      <a:noFill/>
                    </a:ln>
                  </pic:spPr>
                </pic:pic>
              </a:graphicData>
            </a:graphic>
          </wp:inline>
        </w:drawing>
      </w:r>
    </w:p>
    <w:p w:rsidR="00F93B76" w:rsidRPr="00A32AF4" w:rsidRDefault="00F93B76" w:rsidP="00DC0553">
      <w:pPr>
        <w:keepNext/>
        <w:keepLines/>
        <w:jc w:val="center"/>
        <w:rPr>
          <w:rFonts w:cs="Arial"/>
          <w:sz w:val="18"/>
          <w:szCs w:val="18"/>
        </w:rPr>
      </w:pPr>
    </w:p>
    <w:p w:rsidR="00F93B76" w:rsidRPr="00A32AF4" w:rsidRDefault="00F93B76" w:rsidP="00DC0553">
      <w:pPr>
        <w:jc w:val="center"/>
        <w:rPr>
          <w:rFonts w:cs="Arial"/>
        </w:rPr>
      </w:pPr>
    </w:p>
    <w:p w:rsidR="00F93B76" w:rsidRPr="00A32AF4" w:rsidRDefault="001559D6" w:rsidP="00DC0553">
      <w:pPr>
        <w:numPr>
          <w:ilvl w:val="0"/>
          <w:numId w:val="34"/>
        </w:numPr>
        <w:tabs>
          <w:tab w:val="left" w:pos="540"/>
        </w:tabs>
        <w:jc w:val="both"/>
        <w:rPr>
          <w:rFonts w:cs="Arial"/>
        </w:rPr>
      </w:pPr>
      <w:r w:rsidRPr="00A32AF4">
        <w:rPr>
          <w:rFonts w:cs="Arial"/>
        </w:rPr>
        <w:t>Compte tenu de l</w:t>
      </w:r>
      <w:r w:rsidR="00E2055A" w:rsidRPr="00A32AF4">
        <w:rPr>
          <w:rFonts w:cs="Arial"/>
        </w:rPr>
        <w:t>’</w:t>
      </w:r>
      <w:r w:rsidRPr="00A32AF4">
        <w:rPr>
          <w:rFonts w:cs="Arial"/>
        </w:rPr>
        <w:t>adhésion attendue de plusieurs nouveaux États membres à compter de 2014, nous avons utilisé un modèle de transfert pour en évaluer l</w:t>
      </w:r>
      <w:r w:rsidR="00E2055A" w:rsidRPr="00A32AF4">
        <w:rPr>
          <w:rFonts w:cs="Arial"/>
        </w:rPr>
        <w:t>’</w:t>
      </w:r>
      <w:r w:rsidRPr="00A32AF4">
        <w:rPr>
          <w:rFonts w:cs="Arial"/>
        </w:rPr>
        <w:t xml:space="preserve">impact sur les enregistrements.  Ce modèle utilise des données sur les </w:t>
      </w:r>
      <w:r w:rsidR="00B63C9F" w:rsidRPr="00A32AF4">
        <w:rPr>
          <w:rFonts w:cs="Arial"/>
        </w:rPr>
        <w:t>“</w:t>
      </w:r>
      <w:r w:rsidRPr="00A32AF4">
        <w:rPr>
          <w:rFonts w:cs="Arial"/>
        </w:rPr>
        <w:t>dépôts croisés</w:t>
      </w:r>
      <w:r w:rsidR="00B63C9F" w:rsidRPr="00A32AF4">
        <w:rPr>
          <w:rFonts w:cs="Arial"/>
        </w:rPr>
        <w:t>”</w:t>
      </w:r>
      <w:r w:rsidRPr="00A32AF4">
        <w:rPr>
          <w:rFonts w:cs="Arial"/>
        </w:rPr>
        <w:t xml:space="preserve"> de la voie de Paris entre les membres existants du système de </w:t>
      </w:r>
      <w:r w:rsidR="00E2055A" w:rsidRPr="00A32AF4">
        <w:rPr>
          <w:rFonts w:cs="Arial"/>
        </w:rPr>
        <w:t>La Haye</w:t>
      </w:r>
      <w:r w:rsidRPr="00A32AF4">
        <w:rPr>
          <w:rFonts w:cs="Arial"/>
        </w:rPr>
        <w:t xml:space="preserve"> et les nouveaux États membres.  À cet égard, les taux de transfert sont estimés pour calculer les dépôts additionnels des membres existants attribuables à l</w:t>
      </w:r>
      <w:r w:rsidR="00E2055A" w:rsidRPr="00A32AF4">
        <w:rPr>
          <w:rFonts w:cs="Arial"/>
        </w:rPr>
        <w:t>’</w:t>
      </w:r>
      <w:r w:rsidRPr="00A32AF4">
        <w:rPr>
          <w:rFonts w:cs="Arial"/>
        </w:rPr>
        <w:t xml:space="preserve">adhésion.  De plus, les </w:t>
      </w:r>
      <w:r w:rsidR="00B63C9F" w:rsidRPr="00A32AF4">
        <w:rPr>
          <w:rFonts w:cs="Arial"/>
        </w:rPr>
        <w:t>“</w:t>
      </w:r>
      <w:r w:rsidRPr="00A32AF4">
        <w:rPr>
          <w:rFonts w:cs="Arial"/>
        </w:rPr>
        <w:t>taux de transfert</w:t>
      </w:r>
      <w:r w:rsidR="00B63C9F" w:rsidRPr="00A32AF4">
        <w:rPr>
          <w:rFonts w:cs="Arial"/>
        </w:rPr>
        <w:t>”</w:t>
      </w:r>
      <w:r w:rsidRPr="00A32AF4">
        <w:rPr>
          <w:rFonts w:cs="Arial"/>
        </w:rPr>
        <w:t xml:space="preserve"> moyens des membres existants du système de </w:t>
      </w:r>
      <w:r w:rsidR="00E2055A" w:rsidRPr="00A32AF4">
        <w:rPr>
          <w:rFonts w:cs="Arial"/>
        </w:rPr>
        <w:t>La Haye</w:t>
      </w:r>
      <w:r w:rsidRPr="00A32AF4">
        <w:rPr>
          <w:rFonts w:cs="Arial"/>
        </w:rPr>
        <w:t xml:space="preserve"> sont utilisés pour prédire le nombre possible de dépôts des nouveaux membres.  Il convient de noter que les véritables </w:t>
      </w:r>
      <w:r w:rsidR="00B63C9F" w:rsidRPr="00A32AF4">
        <w:rPr>
          <w:rFonts w:cs="Arial"/>
        </w:rPr>
        <w:t>“</w:t>
      </w:r>
      <w:r w:rsidRPr="00A32AF4">
        <w:rPr>
          <w:rFonts w:cs="Arial"/>
        </w:rPr>
        <w:t>taux de transfert</w:t>
      </w:r>
      <w:r w:rsidR="00B63C9F" w:rsidRPr="00A32AF4">
        <w:rPr>
          <w:rFonts w:cs="Arial"/>
        </w:rPr>
        <w:t>”</w:t>
      </w:r>
      <w:r w:rsidRPr="00A32AF4">
        <w:rPr>
          <w:rFonts w:cs="Arial"/>
        </w:rPr>
        <w:t xml:space="preserve"> sont propres à chaque pays.  L</w:t>
      </w:r>
      <w:r w:rsidR="00E2055A" w:rsidRPr="00A32AF4">
        <w:rPr>
          <w:rFonts w:cs="Arial"/>
        </w:rPr>
        <w:t>’</w:t>
      </w:r>
      <w:r w:rsidRPr="00A32AF4">
        <w:rPr>
          <w:rFonts w:cs="Arial"/>
        </w:rPr>
        <w:t>utilisation des taux de transfert moyens pour les nouveaux membres est sans aucun doute la meilleure approximation possible mais elle fait planer des incertitudes additionnelles sur les valeurs projetées.  L</w:t>
      </w:r>
      <w:r w:rsidR="00E2055A" w:rsidRPr="00A32AF4">
        <w:rPr>
          <w:rFonts w:cs="Arial"/>
        </w:rPr>
        <w:t>’</w:t>
      </w:r>
      <w:r w:rsidRPr="00A32AF4">
        <w:rPr>
          <w:rFonts w:cs="Arial"/>
        </w:rPr>
        <w:t>estimation actuelle est fondée sur les hypothèses suivantes de la date d</w:t>
      </w:r>
      <w:r w:rsidR="00E2055A" w:rsidRPr="00A32AF4">
        <w:rPr>
          <w:rFonts w:cs="Arial"/>
        </w:rPr>
        <w:t>’</w:t>
      </w:r>
      <w:r w:rsidRPr="00A32AF4">
        <w:rPr>
          <w:rFonts w:cs="Arial"/>
        </w:rPr>
        <w:t>adhésion.</w:t>
      </w:r>
    </w:p>
    <w:p w:rsidR="001559D6" w:rsidRPr="00A32AF4" w:rsidRDefault="001559D6" w:rsidP="00DC0553">
      <w:pPr>
        <w:jc w:val="center"/>
        <w:rPr>
          <w:rFonts w:cs="Arial"/>
        </w:rPr>
      </w:pPr>
    </w:p>
    <w:tbl>
      <w:tblPr>
        <w:tblStyle w:val="TableGrid"/>
        <w:tblW w:w="0" w:type="auto"/>
        <w:tblInd w:w="2802" w:type="dxa"/>
        <w:tblCellMar>
          <w:top w:w="28" w:type="dxa"/>
          <w:bottom w:w="28" w:type="dxa"/>
        </w:tblCellMar>
        <w:tblLook w:val="04A0" w:firstRow="1" w:lastRow="0" w:firstColumn="1" w:lastColumn="0" w:noHBand="0" w:noVBand="1"/>
      </w:tblPr>
      <w:tblGrid>
        <w:gridCol w:w="2126"/>
        <w:gridCol w:w="1559"/>
      </w:tblGrid>
      <w:tr w:rsidR="001559D6" w:rsidRPr="00A32AF4" w:rsidTr="00C63736">
        <w:tc>
          <w:tcPr>
            <w:tcW w:w="2126" w:type="dxa"/>
          </w:tcPr>
          <w:p w:rsidR="001559D6" w:rsidRPr="00A32AF4" w:rsidRDefault="001559D6" w:rsidP="00DC0553">
            <w:pPr>
              <w:keepNext/>
              <w:rPr>
                <w:rFonts w:cs="Arial"/>
                <w:sz w:val="14"/>
              </w:rPr>
            </w:pPr>
            <w:r w:rsidRPr="00A32AF4">
              <w:rPr>
                <w:rFonts w:cs="Arial"/>
                <w:sz w:val="14"/>
              </w:rPr>
              <w:t>Nouveaux États membres</w:t>
            </w:r>
          </w:p>
        </w:tc>
        <w:tc>
          <w:tcPr>
            <w:tcW w:w="1559" w:type="dxa"/>
          </w:tcPr>
          <w:p w:rsidR="001559D6" w:rsidRPr="00A32AF4" w:rsidRDefault="001559D6" w:rsidP="00DC0553">
            <w:pPr>
              <w:keepNext/>
              <w:jc w:val="right"/>
              <w:rPr>
                <w:rFonts w:cs="Arial"/>
                <w:sz w:val="14"/>
              </w:rPr>
            </w:pPr>
          </w:p>
        </w:tc>
      </w:tr>
      <w:tr w:rsidR="001559D6" w:rsidRPr="00A32AF4" w:rsidTr="00C63736">
        <w:tc>
          <w:tcPr>
            <w:tcW w:w="2126" w:type="dxa"/>
          </w:tcPr>
          <w:p w:rsidR="001559D6" w:rsidRPr="00A32AF4" w:rsidRDefault="001559D6" w:rsidP="00DC0553">
            <w:pPr>
              <w:keepNext/>
              <w:rPr>
                <w:rFonts w:cs="Arial"/>
                <w:sz w:val="14"/>
              </w:rPr>
            </w:pPr>
            <w:r w:rsidRPr="00A32AF4">
              <w:rPr>
                <w:rFonts w:cs="Arial"/>
                <w:sz w:val="14"/>
              </w:rPr>
              <w:t>Chine</w:t>
            </w:r>
          </w:p>
        </w:tc>
        <w:tc>
          <w:tcPr>
            <w:tcW w:w="1559" w:type="dxa"/>
          </w:tcPr>
          <w:p w:rsidR="001559D6" w:rsidRPr="00A32AF4" w:rsidRDefault="001559D6" w:rsidP="00DC0553">
            <w:pPr>
              <w:keepNext/>
              <w:jc w:val="right"/>
              <w:rPr>
                <w:rFonts w:cs="Arial"/>
                <w:sz w:val="14"/>
              </w:rPr>
            </w:pPr>
            <w:r w:rsidRPr="00A32AF4">
              <w:rPr>
                <w:rFonts w:cs="Arial"/>
                <w:sz w:val="14"/>
              </w:rPr>
              <w:t>2018</w:t>
            </w:r>
          </w:p>
        </w:tc>
      </w:tr>
      <w:tr w:rsidR="001559D6" w:rsidRPr="00A32AF4" w:rsidTr="00C63736">
        <w:tc>
          <w:tcPr>
            <w:tcW w:w="2126" w:type="dxa"/>
          </w:tcPr>
          <w:p w:rsidR="001559D6" w:rsidRPr="00A32AF4" w:rsidRDefault="001559D6" w:rsidP="00DC0553">
            <w:pPr>
              <w:keepNext/>
              <w:rPr>
                <w:rFonts w:cs="Arial"/>
                <w:sz w:val="14"/>
              </w:rPr>
            </w:pPr>
            <w:r w:rsidRPr="00A32AF4">
              <w:rPr>
                <w:rFonts w:cs="Arial"/>
                <w:sz w:val="14"/>
              </w:rPr>
              <w:t>États</w:t>
            </w:r>
            <w:r w:rsidR="00EB7F54" w:rsidRPr="00A32AF4">
              <w:rPr>
                <w:rFonts w:cs="Arial"/>
                <w:sz w:val="14"/>
              </w:rPr>
              <w:noBreakHyphen/>
            </w:r>
            <w:r w:rsidRPr="00A32AF4">
              <w:rPr>
                <w:rFonts w:cs="Arial"/>
                <w:sz w:val="14"/>
              </w:rPr>
              <w:t>Unis d</w:t>
            </w:r>
            <w:r w:rsidR="00E2055A" w:rsidRPr="00A32AF4">
              <w:rPr>
                <w:rFonts w:cs="Arial"/>
                <w:sz w:val="14"/>
              </w:rPr>
              <w:t>’</w:t>
            </w:r>
            <w:r w:rsidRPr="00A32AF4">
              <w:rPr>
                <w:rFonts w:cs="Arial"/>
                <w:sz w:val="14"/>
              </w:rPr>
              <w:t>Amérique</w:t>
            </w:r>
          </w:p>
        </w:tc>
        <w:tc>
          <w:tcPr>
            <w:tcW w:w="1559" w:type="dxa"/>
          </w:tcPr>
          <w:p w:rsidR="001559D6" w:rsidRPr="00A32AF4" w:rsidRDefault="006D5B84" w:rsidP="00DC0553">
            <w:pPr>
              <w:keepNext/>
              <w:jc w:val="right"/>
              <w:rPr>
                <w:rFonts w:cs="Arial"/>
                <w:sz w:val="14"/>
              </w:rPr>
            </w:pPr>
            <w:r w:rsidRPr="00A32AF4">
              <w:rPr>
                <w:rFonts w:cs="Arial"/>
                <w:sz w:val="14"/>
              </w:rPr>
              <w:t>mai </w:t>
            </w:r>
            <w:r w:rsidR="001559D6" w:rsidRPr="00A32AF4">
              <w:rPr>
                <w:rFonts w:cs="Arial"/>
                <w:sz w:val="14"/>
              </w:rPr>
              <w:t>2015</w:t>
            </w:r>
          </w:p>
        </w:tc>
      </w:tr>
      <w:tr w:rsidR="001559D6" w:rsidRPr="00A32AF4" w:rsidTr="00C63736">
        <w:tc>
          <w:tcPr>
            <w:tcW w:w="2126" w:type="dxa"/>
          </w:tcPr>
          <w:p w:rsidR="001559D6" w:rsidRPr="00A32AF4" w:rsidRDefault="001559D6" w:rsidP="00DC0553">
            <w:pPr>
              <w:keepNext/>
              <w:rPr>
                <w:rFonts w:cs="Arial"/>
                <w:sz w:val="14"/>
              </w:rPr>
            </w:pPr>
            <w:r w:rsidRPr="00A32AF4">
              <w:rPr>
                <w:rFonts w:cs="Arial"/>
                <w:sz w:val="14"/>
              </w:rPr>
              <w:t>Japon</w:t>
            </w:r>
          </w:p>
        </w:tc>
        <w:tc>
          <w:tcPr>
            <w:tcW w:w="1559" w:type="dxa"/>
          </w:tcPr>
          <w:p w:rsidR="001559D6" w:rsidRPr="00A32AF4" w:rsidRDefault="006D5B84" w:rsidP="00DC0553">
            <w:pPr>
              <w:keepNext/>
              <w:jc w:val="right"/>
              <w:rPr>
                <w:rFonts w:cs="Arial"/>
                <w:sz w:val="14"/>
              </w:rPr>
            </w:pPr>
            <w:r w:rsidRPr="00A32AF4">
              <w:rPr>
                <w:rFonts w:cs="Arial"/>
                <w:sz w:val="14"/>
              </w:rPr>
              <w:t>mai </w:t>
            </w:r>
            <w:r w:rsidR="001559D6" w:rsidRPr="00A32AF4">
              <w:rPr>
                <w:rFonts w:cs="Arial"/>
                <w:sz w:val="14"/>
              </w:rPr>
              <w:t>2015</w:t>
            </w:r>
          </w:p>
        </w:tc>
      </w:tr>
      <w:tr w:rsidR="001559D6" w:rsidRPr="00A32AF4" w:rsidTr="00C63736">
        <w:tc>
          <w:tcPr>
            <w:tcW w:w="2126" w:type="dxa"/>
          </w:tcPr>
          <w:p w:rsidR="001559D6" w:rsidRPr="00A32AF4" w:rsidRDefault="001559D6" w:rsidP="00DC0553">
            <w:pPr>
              <w:keepNext/>
              <w:rPr>
                <w:rFonts w:cs="Arial"/>
                <w:sz w:val="14"/>
              </w:rPr>
            </w:pPr>
            <w:r w:rsidRPr="00A32AF4">
              <w:rPr>
                <w:rFonts w:cs="Arial"/>
                <w:sz w:val="14"/>
              </w:rPr>
              <w:t>République de Corée</w:t>
            </w:r>
          </w:p>
        </w:tc>
        <w:tc>
          <w:tcPr>
            <w:tcW w:w="1559" w:type="dxa"/>
          </w:tcPr>
          <w:p w:rsidR="001559D6" w:rsidRPr="00A32AF4" w:rsidRDefault="006D5B84" w:rsidP="00DC0553">
            <w:pPr>
              <w:keepNext/>
              <w:jc w:val="right"/>
              <w:rPr>
                <w:rFonts w:cs="Arial"/>
                <w:sz w:val="14"/>
              </w:rPr>
            </w:pPr>
            <w:r w:rsidRPr="00A32AF4">
              <w:rPr>
                <w:rFonts w:cs="Arial"/>
                <w:sz w:val="14"/>
              </w:rPr>
              <w:t>juillet </w:t>
            </w:r>
            <w:r w:rsidR="001559D6" w:rsidRPr="00A32AF4">
              <w:rPr>
                <w:rFonts w:cs="Arial"/>
                <w:sz w:val="14"/>
              </w:rPr>
              <w:t>2014</w:t>
            </w:r>
          </w:p>
        </w:tc>
      </w:tr>
    </w:tbl>
    <w:p w:rsidR="00F93B76" w:rsidRPr="00A32AF4" w:rsidRDefault="00F93B76" w:rsidP="00DC0553">
      <w:pPr>
        <w:keepNext/>
        <w:keepLines/>
        <w:jc w:val="center"/>
        <w:rPr>
          <w:rFonts w:cs="Arial"/>
        </w:rPr>
      </w:pPr>
    </w:p>
    <w:p w:rsidR="00F93B76" w:rsidRPr="00A32AF4" w:rsidRDefault="00F93B76" w:rsidP="00DC0553">
      <w:pPr>
        <w:keepNext/>
        <w:keepLines/>
        <w:jc w:val="center"/>
        <w:rPr>
          <w:rFonts w:cs="Arial"/>
        </w:rPr>
      </w:pPr>
    </w:p>
    <w:p w:rsidR="00F93B76" w:rsidRPr="00A32AF4" w:rsidRDefault="001559D6" w:rsidP="00DC0553">
      <w:pPr>
        <w:keepNext/>
        <w:keepLines/>
        <w:jc w:val="center"/>
        <w:rPr>
          <w:rFonts w:cs="Arial"/>
        </w:rPr>
      </w:pPr>
      <w:r w:rsidRPr="00A32AF4">
        <w:rPr>
          <w:rFonts w:cs="Arial"/>
          <w:noProof/>
          <w:lang w:eastAsia="fr-FR"/>
        </w:rPr>
        <w:drawing>
          <wp:inline distT="0" distB="0" distL="0" distR="0" wp14:anchorId="54B05F89" wp14:editId="0D4DFA31">
            <wp:extent cx="5760085" cy="613156"/>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5760085" cy="613156"/>
                    </a:xfrm>
                    <a:prstGeom prst="rect">
                      <a:avLst/>
                    </a:prstGeom>
                    <a:noFill/>
                    <a:ln>
                      <a:noFill/>
                    </a:ln>
                  </pic:spPr>
                </pic:pic>
              </a:graphicData>
            </a:graphic>
          </wp:inline>
        </w:drawing>
      </w:r>
    </w:p>
    <w:p w:rsidR="00F93B76" w:rsidRPr="00A32AF4" w:rsidRDefault="00F93B76" w:rsidP="00DC0553">
      <w:pPr>
        <w:keepNext/>
        <w:keepLines/>
        <w:jc w:val="center"/>
        <w:rPr>
          <w:rFonts w:cs="Arial"/>
        </w:rPr>
      </w:pPr>
    </w:p>
    <w:p w:rsidR="00F93B76" w:rsidRPr="00A32AF4" w:rsidRDefault="00F93B76" w:rsidP="00DC0553">
      <w:pPr>
        <w:keepNext/>
        <w:keepLines/>
        <w:rPr>
          <w:rFonts w:cs="Arial"/>
        </w:rPr>
      </w:pPr>
    </w:p>
    <w:p w:rsidR="00F93B76" w:rsidRPr="00A32AF4" w:rsidRDefault="001559D6" w:rsidP="00DC0553">
      <w:pPr>
        <w:numPr>
          <w:ilvl w:val="0"/>
          <w:numId w:val="34"/>
        </w:numPr>
        <w:tabs>
          <w:tab w:val="left" w:pos="540"/>
        </w:tabs>
        <w:jc w:val="both"/>
        <w:rPr>
          <w:rFonts w:cs="Arial"/>
        </w:rPr>
      </w:pPr>
      <w:r w:rsidRPr="00A32AF4">
        <w:rPr>
          <w:rFonts w:cs="Arial"/>
        </w:rPr>
        <w:t>Les chiffres ci</w:t>
      </w:r>
      <w:r w:rsidR="00EB7F54" w:rsidRPr="00A32AF4">
        <w:rPr>
          <w:rFonts w:cs="Arial"/>
        </w:rPr>
        <w:noBreakHyphen/>
      </w:r>
      <w:r w:rsidRPr="00A32AF4">
        <w:rPr>
          <w:rFonts w:cs="Arial"/>
        </w:rPr>
        <w:t>dessus ont été ajoutés aux résultats des modèles d</w:t>
      </w:r>
      <w:r w:rsidR="00E2055A" w:rsidRPr="00A32AF4">
        <w:rPr>
          <w:rFonts w:cs="Arial"/>
        </w:rPr>
        <w:t>’</w:t>
      </w:r>
      <w:r w:rsidRPr="00A32AF4">
        <w:rPr>
          <w:rFonts w:cs="Arial"/>
        </w:rPr>
        <w:t>autorégression.  Les demandes d</w:t>
      </w:r>
      <w:r w:rsidR="00E2055A" w:rsidRPr="00A32AF4">
        <w:rPr>
          <w:rFonts w:cs="Arial"/>
        </w:rPr>
        <w:t>’</w:t>
      </w:r>
      <w:r w:rsidRPr="00A32AF4">
        <w:rPr>
          <w:rFonts w:cs="Arial"/>
        </w:rPr>
        <w:t>enregistrement s</w:t>
      </w:r>
      <w:r w:rsidR="00E2055A" w:rsidRPr="00A32AF4">
        <w:rPr>
          <w:rFonts w:cs="Arial"/>
        </w:rPr>
        <w:t>’</w:t>
      </w:r>
      <w:r w:rsidRPr="00A32AF4">
        <w:rPr>
          <w:rFonts w:cs="Arial"/>
        </w:rPr>
        <w:t>inscriront vraisemblablement dans une fourchette avec certaines probabilités.  Le diagramme et le tableau ci</w:t>
      </w:r>
      <w:r w:rsidR="00EB7F54" w:rsidRPr="00A32AF4">
        <w:rPr>
          <w:rFonts w:cs="Arial"/>
        </w:rPr>
        <w:noBreakHyphen/>
      </w:r>
      <w:r w:rsidRPr="00A32AF4">
        <w:rPr>
          <w:rFonts w:cs="Arial"/>
        </w:rPr>
        <w:t>après indiquent la répartition probabiliste des scénarios.</w:t>
      </w:r>
    </w:p>
    <w:p w:rsidR="00F93B76" w:rsidRPr="00A32AF4" w:rsidRDefault="00F93B76" w:rsidP="00DC0553">
      <w:pPr>
        <w:keepNext/>
        <w:keepLines/>
        <w:jc w:val="center"/>
        <w:rPr>
          <w:rFonts w:cs="Arial"/>
        </w:rPr>
      </w:pPr>
    </w:p>
    <w:p w:rsidR="00F93B76" w:rsidRPr="00A32AF4" w:rsidRDefault="001559D6" w:rsidP="00DC0553">
      <w:pPr>
        <w:keepNext/>
        <w:keepLines/>
        <w:jc w:val="center"/>
        <w:rPr>
          <w:rFonts w:cs="Arial"/>
        </w:rPr>
      </w:pPr>
      <w:r w:rsidRPr="00A32AF4">
        <w:rPr>
          <w:rFonts w:cs="Arial"/>
          <w:noProof/>
          <w:lang w:eastAsia="fr-FR"/>
        </w:rPr>
        <w:drawing>
          <wp:inline distT="0" distB="0" distL="0" distR="0" wp14:anchorId="0383E11A" wp14:editId="755F57DE">
            <wp:extent cx="4496305" cy="2546350"/>
            <wp:effectExtent l="0" t="0" r="0" b="63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4497587" cy="2547076"/>
                    </a:xfrm>
                    <a:prstGeom prst="rect">
                      <a:avLst/>
                    </a:prstGeom>
                    <a:noFill/>
                    <a:ln>
                      <a:noFill/>
                    </a:ln>
                  </pic:spPr>
                </pic:pic>
              </a:graphicData>
            </a:graphic>
          </wp:inline>
        </w:drawing>
      </w:r>
    </w:p>
    <w:p w:rsidR="00F93B76" w:rsidRPr="00A32AF4" w:rsidRDefault="00F93B76" w:rsidP="00DC0553">
      <w:pPr>
        <w:keepNext/>
        <w:keepLines/>
        <w:jc w:val="center"/>
        <w:rPr>
          <w:rFonts w:cs="Arial"/>
        </w:rPr>
      </w:pPr>
    </w:p>
    <w:p w:rsidR="00F93B76" w:rsidRPr="00A32AF4" w:rsidRDefault="001559D6" w:rsidP="00DC0553">
      <w:pPr>
        <w:keepNext/>
        <w:keepLines/>
        <w:spacing w:after="120"/>
        <w:jc w:val="center"/>
        <w:rPr>
          <w:rFonts w:cs="Arial"/>
          <w:sz w:val="18"/>
          <w:szCs w:val="18"/>
        </w:rPr>
      </w:pPr>
      <w:r w:rsidRPr="00A32AF4">
        <w:rPr>
          <w:rFonts w:cs="Arial"/>
          <w:sz w:val="18"/>
          <w:szCs w:val="18"/>
        </w:rPr>
        <w:t xml:space="preserve">Scénarios des enregistrements au titre du système de </w:t>
      </w:r>
      <w:r w:rsidR="00E2055A" w:rsidRPr="00A32AF4">
        <w:rPr>
          <w:rFonts w:cs="Arial"/>
          <w:sz w:val="18"/>
          <w:szCs w:val="18"/>
        </w:rPr>
        <w:t>La Haye</w:t>
      </w:r>
    </w:p>
    <w:p w:rsidR="00F93B76" w:rsidRPr="00A32AF4" w:rsidRDefault="001559D6" w:rsidP="00DC0553">
      <w:pPr>
        <w:keepNext/>
        <w:keepLines/>
        <w:spacing w:after="120"/>
        <w:jc w:val="center"/>
        <w:rPr>
          <w:rFonts w:cs="Arial"/>
          <w:sz w:val="18"/>
          <w:szCs w:val="18"/>
        </w:rPr>
      </w:pPr>
      <w:r w:rsidRPr="00A32AF4">
        <w:rPr>
          <w:rFonts w:cs="Arial"/>
          <w:noProof/>
          <w:lang w:eastAsia="fr-FR"/>
        </w:rPr>
        <w:drawing>
          <wp:inline distT="0" distB="0" distL="0" distR="0" wp14:anchorId="65BACD0B" wp14:editId="4A590054">
            <wp:extent cx="3289300" cy="2698750"/>
            <wp:effectExtent l="0" t="0" r="6350" b="635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3289300" cy="2698750"/>
                    </a:xfrm>
                    <a:prstGeom prst="rect">
                      <a:avLst/>
                    </a:prstGeom>
                    <a:noFill/>
                    <a:ln>
                      <a:noFill/>
                    </a:ln>
                  </pic:spPr>
                </pic:pic>
              </a:graphicData>
            </a:graphic>
          </wp:inline>
        </w:drawing>
      </w:r>
    </w:p>
    <w:p w:rsidR="00F93B76" w:rsidRPr="00A32AF4" w:rsidRDefault="00F93B76" w:rsidP="00DC0553">
      <w:pPr>
        <w:keepNext/>
        <w:keepLines/>
        <w:jc w:val="center"/>
        <w:rPr>
          <w:rFonts w:cs="Arial"/>
        </w:rPr>
      </w:pPr>
    </w:p>
    <w:p w:rsidR="00F93B76" w:rsidRPr="00A32AF4" w:rsidRDefault="00E2055A" w:rsidP="00DC0553">
      <w:pPr>
        <w:rPr>
          <w:rFonts w:cs="Arial"/>
        </w:rPr>
      </w:pPr>
      <w:r w:rsidRPr="00A32AF4">
        <w:rPr>
          <w:rFonts w:cs="Arial"/>
          <w:i/>
        </w:rPr>
        <w:t>La Haye</w:t>
      </w:r>
      <w:r w:rsidR="001559D6" w:rsidRPr="00A32AF4">
        <w:rPr>
          <w:rFonts w:cs="Arial"/>
          <w:i/>
        </w:rPr>
        <w:t xml:space="preserve"> – Prévisions relatives à la demande de renouvellements</w:t>
      </w:r>
      <w:r w:rsidR="001559D6" w:rsidRPr="00A32AF4">
        <w:rPr>
          <w:rFonts w:cs="Arial"/>
          <w:i/>
        </w:rPr>
        <w:br/>
      </w:r>
    </w:p>
    <w:p w:rsidR="00F93B76" w:rsidRPr="00A32AF4" w:rsidRDefault="001559D6" w:rsidP="00DC0553">
      <w:pPr>
        <w:numPr>
          <w:ilvl w:val="0"/>
          <w:numId w:val="34"/>
        </w:numPr>
        <w:tabs>
          <w:tab w:val="left" w:pos="540"/>
        </w:tabs>
        <w:jc w:val="both"/>
        <w:rPr>
          <w:rFonts w:cs="Arial"/>
        </w:rPr>
      </w:pPr>
      <w:r w:rsidRPr="00A32AF4">
        <w:rPr>
          <w:rFonts w:cs="Arial"/>
        </w:rPr>
        <w:t>Différents modèles de régression sont utilisés pour prévoir les renouvellements des enregistrements.  Outre les modèles d</w:t>
      </w:r>
      <w:r w:rsidR="00E2055A" w:rsidRPr="00A32AF4">
        <w:rPr>
          <w:rFonts w:cs="Arial"/>
        </w:rPr>
        <w:t>’</w:t>
      </w:r>
      <w:r w:rsidRPr="00A32AF4">
        <w:rPr>
          <w:rFonts w:cs="Arial"/>
        </w:rPr>
        <w:t>autorégression, on utilise le lien entre les renouvellements et les enregistrements avec des décalages de cinq ans ainsi que les renouvellements antérieurs avec des décalages de cinq ans puisque les enregistrements et les renouvellements il y a cinq ans devraient contribuer au total des renouvellements durant l</w:t>
      </w:r>
      <w:r w:rsidR="00E2055A" w:rsidRPr="00A32AF4">
        <w:rPr>
          <w:rFonts w:cs="Arial"/>
        </w:rPr>
        <w:t>’</w:t>
      </w:r>
      <w:r w:rsidRPr="00A32AF4">
        <w:rPr>
          <w:rFonts w:cs="Arial"/>
        </w:rPr>
        <w:t>année en cours.</w:t>
      </w:r>
    </w:p>
    <w:p w:rsidR="00F93B76" w:rsidRPr="00A32AF4" w:rsidRDefault="00F93B76" w:rsidP="00DC0553">
      <w:pPr>
        <w:tabs>
          <w:tab w:val="left" w:pos="540"/>
        </w:tabs>
        <w:jc w:val="both"/>
        <w:rPr>
          <w:rFonts w:cs="Arial"/>
        </w:rPr>
      </w:pPr>
    </w:p>
    <w:p w:rsidR="00F93B76" w:rsidRPr="00A32AF4" w:rsidRDefault="001559D6" w:rsidP="00DC0553">
      <w:pPr>
        <w:keepNext/>
        <w:keepLines/>
        <w:tabs>
          <w:tab w:val="left" w:pos="540"/>
        </w:tabs>
        <w:spacing w:after="60"/>
        <w:jc w:val="center"/>
        <w:rPr>
          <w:rFonts w:cs="Arial"/>
        </w:rPr>
      </w:pPr>
      <w:r w:rsidRPr="00A32AF4">
        <w:rPr>
          <w:rFonts w:cs="Arial"/>
          <w:sz w:val="18"/>
          <w:szCs w:val="18"/>
        </w:rPr>
        <w:t xml:space="preserve">Diagramme 10.  Prévisions relatives à la demande de renouvellements au titre du système de </w:t>
      </w:r>
      <w:r w:rsidR="00E2055A" w:rsidRPr="00A32AF4">
        <w:rPr>
          <w:rFonts w:cs="Arial"/>
          <w:sz w:val="18"/>
          <w:szCs w:val="18"/>
        </w:rPr>
        <w:t>La Haye</w:t>
      </w:r>
    </w:p>
    <w:p w:rsidR="00F93B76" w:rsidRPr="00A32AF4" w:rsidRDefault="00F93B76" w:rsidP="00DC0553">
      <w:pPr>
        <w:keepNext/>
        <w:keepLines/>
        <w:jc w:val="center"/>
        <w:rPr>
          <w:rFonts w:cs="Arial"/>
        </w:rPr>
      </w:pPr>
    </w:p>
    <w:p w:rsidR="00F93B76" w:rsidRPr="00A32AF4" w:rsidRDefault="001559D6" w:rsidP="00DC0553">
      <w:pPr>
        <w:keepNext/>
        <w:keepLines/>
        <w:jc w:val="center"/>
        <w:rPr>
          <w:rFonts w:cs="Arial"/>
        </w:rPr>
      </w:pPr>
      <w:r w:rsidRPr="00A32AF4">
        <w:rPr>
          <w:rFonts w:cs="Arial"/>
          <w:noProof/>
          <w:lang w:eastAsia="fr-FR"/>
        </w:rPr>
        <w:drawing>
          <wp:inline distT="0" distB="0" distL="0" distR="0" wp14:anchorId="536E6E7B" wp14:editId="4E9147F7">
            <wp:extent cx="4405760" cy="2492866"/>
            <wp:effectExtent l="0" t="0" r="0" b="317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4406820" cy="2493466"/>
                    </a:xfrm>
                    <a:prstGeom prst="rect">
                      <a:avLst/>
                    </a:prstGeom>
                    <a:noFill/>
                    <a:ln>
                      <a:noFill/>
                    </a:ln>
                  </pic:spPr>
                </pic:pic>
              </a:graphicData>
            </a:graphic>
          </wp:inline>
        </w:drawing>
      </w:r>
    </w:p>
    <w:p w:rsidR="00F93B76" w:rsidRPr="00A32AF4" w:rsidRDefault="00F93B76" w:rsidP="00DC0553">
      <w:pPr>
        <w:keepNext/>
        <w:keepLines/>
        <w:jc w:val="center"/>
        <w:rPr>
          <w:rFonts w:cs="Arial"/>
        </w:rPr>
      </w:pPr>
    </w:p>
    <w:p w:rsidR="00F93B76" w:rsidRPr="00A32AF4" w:rsidRDefault="001559D6" w:rsidP="00DC0553">
      <w:pPr>
        <w:keepNext/>
        <w:keepLines/>
        <w:jc w:val="center"/>
        <w:rPr>
          <w:rFonts w:cs="Arial"/>
        </w:rPr>
      </w:pPr>
      <w:r w:rsidRPr="00A32AF4">
        <w:rPr>
          <w:rFonts w:cs="Arial"/>
          <w:noProof/>
          <w:lang w:eastAsia="fr-FR"/>
        </w:rPr>
        <w:drawing>
          <wp:inline distT="0" distB="0" distL="0" distR="0" wp14:anchorId="36829C0F" wp14:editId="4BA9B04F">
            <wp:extent cx="5760085" cy="700145"/>
            <wp:effectExtent l="0" t="0" r="0" b="508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5760085" cy="700145"/>
                    </a:xfrm>
                    <a:prstGeom prst="rect">
                      <a:avLst/>
                    </a:prstGeom>
                    <a:noFill/>
                    <a:ln>
                      <a:noFill/>
                    </a:ln>
                  </pic:spPr>
                </pic:pic>
              </a:graphicData>
            </a:graphic>
          </wp:inline>
        </w:drawing>
      </w:r>
    </w:p>
    <w:p w:rsidR="00F93B76" w:rsidRPr="00A32AF4" w:rsidRDefault="00F93B76" w:rsidP="00DC0553">
      <w:pPr>
        <w:keepNext/>
        <w:keepLines/>
        <w:jc w:val="center"/>
        <w:rPr>
          <w:rFonts w:cs="Arial"/>
        </w:rPr>
      </w:pPr>
    </w:p>
    <w:p w:rsidR="00F93B76" w:rsidRPr="00A32AF4" w:rsidRDefault="00F93B76" w:rsidP="00DC0553">
      <w:pPr>
        <w:keepNext/>
        <w:keepLines/>
        <w:jc w:val="center"/>
        <w:rPr>
          <w:rFonts w:cs="Arial"/>
        </w:rPr>
      </w:pPr>
    </w:p>
    <w:p w:rsidR="00F93B76" w:rsidRPr="00A32AF4" w:rsidRDefault="001559D6" w:rsidP="00DC0553">
      <w:pPr>
        <w:keepNext/>
        <w:keepLines/>
        <w:spacing w:after="120"/>
        <w:jc w:val="center"/>
        <w:rPr>
          <w:rFonts w:cs="Arial"/>
          <w:sz w:val="18"/>
          <w:szCs w:val="18"/>
        </w:rPr>
      </w:pPr>
      <w:r w:rsidRPr="00A32AF4">
        <w:rPr>
          <w:rFonts w:cs="Arial"/>
          <w:noProof/>
          <w:lang w:eastAsia="fr-FR"/>
        </w:rPr>
        <w:drawing>
          <wp:inline distT="0" distB="0" distL="0" distR="0" wp14:anchorId="47DD9DC4" wp14:editId="1BFA4498">
            <wp:extent cx="4934310" cy="2794403"/>
            <wp:effectExtent l="0" t="0" r="0" b="635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4942368" cy="2798966"/>
                    </a:xfrm>
                    <a:prstGeom prst="rect">
                      <a:avLst/>
                    </a:prstGeom>
                    <a:noFill/>
                    <a:ln>
                      <a:noFill/>
                    </a:ln>
                  </pic:spPr>
                </pic:pic>
              </a:graphicData>
            </a:graphic>
          </wp:inline>
        </w:drawing>
      </w:r>
    </w:p>
    <w:p w:rsidR="00F93B76" w:rsidRPr="00A32AF4" w:rsidRDefault="00F93B76" w:rsidP="00DC0553">
      <w:pPr>
        <w:jc w:val="center"/>
        <w:rPr>
          <w:rFonts w:cs="Arial"/>
        </w:rPr>
      </w:pPr>
    </w:p>
    <w:p w:rsidR="00F93B76" w:rsidRPr="00A32AF4" w:rsidRDefault="001559D6" w:rsidP="00DC0553">
      <w:pPr>
        <w:keepNext/>
        <w:keepLines/>
        <w:spacing w:after="120"/>
        <w:jc w:val="center"/>
        <w:rPr>
          <w:rFonts w:cs="Arial"/>
          <w:sz w:val="18"/>
          <w:szCs w:val="18"/>
        </w:rPr>
      </w:pPr>
      <w:r w:rsidRPr="00A32AF4">
        <w:rPr>
          <w:rFonts w:cs="Arial"/>
          <w:sz w:val="18"/>
          <w:szCs w:val="18"/>
        </w:rPr>
        <w:t xml:space="preserve">Scénarios des renouvellements au titre du système de </w:t>
      </w:r>
      <w:r w:rsidR="00E2055A" w:rsidRPr="00A32AF4">
        <w:rPr>
          <w:rFonts w:cs="Arial"/>
          <w:sz w:val="18"/>
          <w:szCs w:val="18"/>
        </w:rPr>
        <w:t>La Haye</w:t>
      </w:r>
    </w:p>
    <w:p w:rsidR="00F93B76" w:rsidRPr="00A32AF4" w:rsidRDefault="001559D6" w:rsidP="00DC0553">
      <w:pPr>
        <w:keepNext/>
        <w:keepLines/>
        <w:spacing w:after="120"/>
        <w:jc w:val="center"/>
        <w:rPr>
          <w:rFonts w:cs="Arial"/>
          <w:sz w:val="18"/>
          <w:szCs w:val="18"/>
        </w:rPr>
      </w:pPr>
      <w:r w:rsidRPr="00A32AF4">
        <w:rPr>
          <w:rFonts w:cs="Arial"/>
          <w:noProof/>
          <w:lang w:eastAsia="fr-FR"/>
        </w:rPr>
        <w:drawing>
          <wp:inline distT="0" distB="0" distL="0" distR="0" wp14:anchorId="6B262D45" wp14:editId="32A396CB">
            <wp:extent cx="3124200" cy="2698750"/>
            <wp:effectExtent l="0" t="0" r="0" b="635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3124200" cy="2698750"/>
                    </a:xfrm>
                    <a:prstGeom prst="rect">
                      <a:avLst/>
                    </a:prstGeom>
                    <a:noFill/>
                    <a:ln>
                      <a:noFill/>
                    </a:ln>
                  </pic:spPr>
                </pic:pic>
              </a:graphicData>
            </a:graphic>
          </wp:inline>
        </w:drawing>
      </w:r>
    </w:p>
    <w:p w:rsidR="00F93B76" w:rsidRPr="00A32AF4" w:rsidRDefault="00F93B76" w:rsidP="00DC0553">
      <w:pPr>
        <w:keepNext/>
        <w:keepLines/>
        <w:spacing w:after="120"/>
        <w:jc w:val="center"/>
        <w:rPr>
          <w:rFonts w:cs="Arial"/>
          <w:sz w:val="18"/>
          <w:szCs w:val="18"/>
        </w:rPr>
      </w:pPr>
    </w:p>
    <w:p w:rsidR="00F93B76" w:rsidRPr="00A32AF4" w:rsidRDefault="00F93B76" w:rsidP="00DC0553">
      <w:pPr>
        <w:jc w:val="center"/>
        <w:rPr>
          <w:rFonts w:cs="Arial"/>
        </w:rPr>
      </w:pPr>
    </w:p>
    <w:p w:rsidR="00F93B76" w:rsidRPr="00A32AF4" w:rsidRDefault="001559D6" w:rsidP="00DC0553">
      <w:pPr>
        <w:rPr>
          <w:rFonts w:cs="Arial"/>
        </w:rPr>
      </w:pPr>
      <w:r w:rsidRPr="00A32AF4">
        <w:rPr>
          <w:rFonts w:cs="Arial"/>
          <w:i/>
        </w:rPr>
        <w:t xml:space="preserve">Estimations relatives aux recettes au titre du système de </w:t>
      </w:r>
      <w:r w:rsidR="00E2055A" w:rsidRPr="00A32AF4">
        <w:rPr>
          <w:rFonts w:cs="Arial"/>
          <w:i/>
        </w:rPr>
        <w:t>La Haye</w:t>
      </w:r>
      <w:r w:rsidRPr="00A32AF4">
        <w:rPr>
          <w:rFonts w:cs="Arial"/>
          <w:i/>
        </w:rPr>
        <w:br/>
      </w:r>
    </w:p>
    <w:p w:rsidR="00F93B76" w:rsidRPr="00A32AF4" w:rsidRDefault="001559D6" w:rsidP="00DC0553">
      <w:pPr>
        <w:keepNext/>
        <w:keepLines/>
        <w:numPr>
          <w:ilvl w:val="0"/>
          <w:numId w:val="34"/>
        </w:numPr>
        <w:tabs>
          <w:tab w:val="left" w:pos="540"/>
        </w:tabs>
        <w:jc w:val="both"/>
        <w:rPr>
          <w:rFonts w:cs="Arial"/>
        </w:rPr>
      </w:pPr>
      <w:r w:rsidRPr="00A32AF4">
        <w:rPr>
          <w:rFonts w:cs="Arial"/>
        </w:rPr>
        <w:t xml:space="preserve">Les recettes générées par le système de </w:t>
      </w:r>
      <w:r w:rsidR="00E2055A" w:rsidRPr="00A32AF4">
        <w:rPr>
          <w:rFonts w:cs="Arial"/>
        </w:rPr>
        <w:t>La Haye</w:t>
      </w:r>
      <w:r w:rsidRPr="00A32AF4">
        <w:rPr>
          <w:rFonts w:cs="Arial"/>
        </w:rPr>
        <w:t xml:space="preserve"> </w:t>
      </w:r>
      <w:bookmarkStart w:id="84" w:name="_GoBack"/>
      <w:bookmarkEnd w:id="84"/>
      <w:r w:rsidRPr="00A32AF4">
        <w:rPr>
          <w:rFonts w:cs="Arial"/>
        </w:rPr>
        <w:t xml:space="preserve">sont calculées sur la base du barème des taxes en vigueur dont les principaux éléments sont la taxe de base et les taxes de renouvellement.  Ces deux éléments couvrent 90% environ des recettes.  Les autres taxes sont regroupées et appelées </w:t>
      </w:r>
      <w:r w:rsidR="00B63C9F" w:rsidRPr="00A32AF4">
        <w:rPr>
          <w:rFonts w:cs="Arial"/>
        </w:rPr>
        <w:t>“</w:t>
      </w:r>
      <w:r w:rsidRPr="00A32AF4">
        <w:rPr>
          <w:rFonts w:cs="Arial"/>
        </w:rPr>
        <w:t>Autres</w:t>
      </w:r>
      <w:r w:rsidR="00B63C9F" w:rsidRPr="00A32AF4">
        <w:rPr>
          <w:rFonts w:cs="Arial"/>
        </w:rPr>
        <w:t>”</w:t>
      </w:r>
      <w:r w:rsidRPr="00A32AF4">
        <w:rPr>
          <w:rFonts w:cs="Arial"/>
        </w:rPr>
        <w:t>.</w:t>
      </w:r>
    </w:p>
    <w:p w:rsidR="00F93B76" w:rsidRPr="00A32AF4" w:rsidRDefault="00F93B76" w:rsidP="00DC0553">
      <w:pPr>
        <w:rPr>
          <w:rFonts w:cs="Arial"/>
        </w:rPr>
      </w:pPr>
    </w:p>
    <w:p w:rsidR="00F93B76" w:rsidRPr="00A32AF4" w:rsidRDefault="001559D6" w:rsidP="00DC0553">
      <w:pPr>
        <w:jc w:val="center"/>
        <w:rPr>
          <w:rFonts w:cs="Arial"/>
          <w:sz w:val="18"/>
          <w:szCs w:val="18"/>
        </w:rPr>
      </w:pPr>
      <w:r w:rsidRPr="00A32AF4">
        <w:rPr>
          <w:rFonts w:cs="Arial"/>
          <w:sz w:val="18"/>
          <w:szCs w:val="18"/>
        </w:rPr>
        <w:t xml:space="preserve">Diagramme 11.  Estimations relatives aux recettes provenant des taxes au titre du système de </w:t>
      </w:r>
      <w:r w:rsidR="00130644">
        <w:rPr>
          <w:rFonts w:cs="Arial"/>
          <w:sz w:val="18"/>
          <w:szCs w:val="18"/>
        </w:rPr>
        <w:t>La Haye</w:t>
      </w:r>
      <w:r w:rsidRPr="00A32AF4">
        <w:rPr>
          <w:rFonts w:cs="Arial"/>
          <w:sz w:val="18"/>
          <w:szCs w:val="18"/>
        </w:rPr>
        <w:t>, par provenance</w:t>
      </w:r>
    </w:p>
    <w:p w:rsidR="00F93B76" w:rsidRPr="00A32AF4" w:rsidRDefault="00F93B76" w:rsidP="00DC0553">
      <w:pPr>
        <w:jc w:val="center"/>
        <w:rPr>
          <w:rFonts w:cs="Arial"/>
          <w:sz w:val="18"/>
          <w:szCs w:val="18"/>
        </w:rPr>
      </w:pPr>
    </w:p>
    <w:p w:rsidR="00F93B76" w:rsidRPr="00A32AF4" w:rsidRDefault="001559D6" w:rsidP="00DC0553">
      <w:pPr>
        <w:jc w:val="center"/>
        <w:rPr>
          <w:rFonts w:cs="Arial"/>
          <w:sz w:val="18"/>
          <w:szCs w:val="18"/>
        </w:rPr>
      </w:pPr>
      <w:r w:rsidRPr="00A32AF4">
        <w:rPr>
          <w:rFonts w:cs="Arial"/>
          <w:noProof/>
          <w:lang w:eastAsia="fr-FR"/>
        </w:rPr>
        <w:drawing>
          <wp:inline distT="0" distB="0" distL="0" distR="0" wp14:anchorId="48DCC4C9" wp14:editId="58762118">
            <wp:extent cx="4209946" cy="2382071"/>
            <wp:effectExtent l="0" t="0" r="63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4210040" cy="2382124"/>
                    </a:xfrm>
                    <a:prstGeom prst="rect">
                      <a:avLst/>
                    </a:prstGeom>
                    <a:noFill/>
                    <a:ln>
                      <a:noFill/>
                    </a:ln>
                  </pic:spPr>
                </pic:pic>
              </a:graphicData>
            </a:graphic>
          </wp:inline>
        </w:drawing>
      </w:r>
    </w:p>
    <w:p w:rsidR="00F93B76" w:rsidRPr="00A32AF4" w:rsidRDefault="001559D6" w:rsidP="00DC0553">
      <w:pPr>
        <w:jc w:val="center"/>
        <w:rPr>
          <w:rFonts w:cs="Arial"/>
          <w:sz w:val="18"/>
          <w:szCs w:val="18"/>
        </w:rPr>
      </w:pPr>
      <w:r w:rsidRPr="00A32AF4">
        <w:rPr>
          <w:rFonts w:cs="Arial"/>
          <w:noProof/>
          <w:lang w:eastAsia="fr-FR"/>
        </w:rPr>
        <w:drawing>
          <wp:inline distT="0" distB="0" distL="0" distR="0" wp14:anchorId="46E079E6" wp14:editId="2CB140C7">
            <wp:extent cx="4724400" cy="1155700"/>
            <wp:effectExtent l="0" t="0" r="0" b="635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4724400" cy="1155700"/>
                    </a:xfrm>
                    <a:prstGeom prst="rect">
                      <a:avLst/>
                    </a:prstGeom>
                    <a:noFill/>
                    <a:ln>
                      <a:noFill/>
                    </a:ln>
                  </pic:spPr>
                </pic:pic>
              </a:graphicData>
            </a:graphic>
          </wp:inline>
        </w:drawing>
      </w:r>
    </w:p>
    <w:p w:rsidR="00F93B76" w:rsidRPr="00A32AF4" w:rsidRDefault="00550BF0" w:rsidP="00DC0553">
      <w:pPr>
        <w:spacing w:after="60"/>
        <w:ind w:left="851"/>
        <w:rPr>
          <w:rFonts w:cs="Arial"/>
          <w:sz w:val="18"/>
          <w:szCs w:val="18"/>
        </w:rPr>
      </w:pPr>
      <w:proofErr w:type="gramStart"/>
      <w:r w:rsidRPr="00A32AF4">
        <w:rPr>
          <w:rFonts w:cs="Arial"/>
          <w:sz w:val="18"/>
          <w:szCs w:val="18"/>
        </w:rPr>
        <w:t xml:space="preserve">*  </w:t>
      </w:r>
      <w:r w:rsidR="005E7C9D" w:rsidRPr="00A32AF4">
        <w:rPr>
          <w:rFonts w:cs="Arial"/>
          <w:sz w:val="16"/>
          <w:szCs w:val="18"/>
        </w:rPr>
        <w:t>Prévisions</w:t>
      </w:r>
      <w:proofErr w:type="gramEnd"/>
      <w:r w:rsidRPr="00A32AF4">
        <w:rPr>
          <w:rFonts w:cs="Arial"/>
          <w:sz w:val="16"/>
          <w:szCs w:val="18"/>
        </w:rPr>
        <w:t>.</w:t>
      </w:r>
    </w:p>
    <w:p w:rsidR="00F93B76" w:rsidRPr="00A32AF4" w:rsidRDefault="00F93B76" w:rsidP="00DC0553">
      <w:pPr>
        <w:jc w:val="center"/>
        <w:rPr>
          <w:rFonts w:cs="Arial"/>
          <w:sz w:val="18"/>
          <w:szCs w:val="18"/>
        </w:rPr>
      </w:pPr>
    </w:p>
    <w:p w:rsidR="00F93B76" w:rsidRPr="00A32AF4" w:rsidRDefault="00F93B76" w:rsidP="00DC0553">
      <w:pPr>
        <w:jc w:val="center"/>
        <w:rPr>
          <w:rFonts w:cs="Arial"/>
        </w:rPr>
      </w:pPr>
    </w:p>
    <w:p w:rsidR="00F93B76" w:rsidRPr="00A32AF4" w:rsidRDefault="001559D6" w:rsidP="00DC0553">
      <w:pPr>
        <w:keepNext/>
        <w:keepLines/>
        <w:spacing w:after="120"/>
        <w:jc w:val="center"/>
        <w:rPr>
          <w:rFonts w:cs="Arial"/>
        </w:rPr>
      </w:pPr>
      <w:r w:rsidRPr="00A32AF4">
        <w:rPr>
          <w:rFonts w:cs="Arial"/>
          <w:noProof/>
          <w:lang w:eastAsia="fr-FR"/>
        </w:rPr>
        <w:drawing>
          <wp:inline distT="0" distB="0" distL="0" distR="0" wp14:anchorId="270ECC11" wp14:editId="7DB75D5F">
            <wp:extent cx="4444354" cy="2508250"/>
            <wp:effectExtent l="0" t="0" r="0"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4445372" cy="2508825"/>
                    </a:xfrm>
                    <a:prstGeom prst="rect">
                      <a:avLst/>
                    </a:prstGeom>
                    <a:noFill/>
                    <a:ln>
                      <a:noFill/>
                    </a:ln>
                  </pic:spPr>
                </pic:pic>
              </a:graphicData>
            </a:graphic>
          </wp:inline>
        </w:drawing>
      </w:r>
    </w:p>
    <w:p w:rsidR="00F93B76" w:rsidRPr="00A32AF4" w:rsidRDefault="00F93B76" w:rsidP="00DC0553">
      <w:pPr>
        <w:keepNext/>
        <w:keepLines/>
        <w:jc w:val="center"/>
        <w:rPr>
          <w:rFonts w:cs="Arial"/>
        </w:rPr>
      </w:pPr>
    </w:p>
    <w:p w:rsidR="00F93B76" w:rsidRPr="00A32AF4" w:rsidRDefault="001559D6" w:rsidP="00DC0553">
      <w:pPr>
        <w:keepNext/>
        <w:keepLines/>
        <w:spacing w:after="120"/>
        <w:jc w:val="center"/>
        <w:rPr>
          <w:rFonts w:cs="Arial"/>
          <w:sz w:val="18"/>
          <w:szCs w:val="18"/>
        </w:rPr>
      </w:pPr>
      <w:r w:rsidRPr="00A32AF4">
        <w:rPr>
          <w:rFonts w:cs="Arial"/>
          <w:sz w:val="18"/>
          <w:szCs w:val="18"/>
        </w:rPr>
        <w:t xml:space="preserve">Scénarios des recettes au titre du système de </w:t>
      </w:r>
      <w:r w:rsidR="00E2055A" w:rsidRPr="00A32AF4">
        <w:rPr>
          <w:rFonts w:cs="Arial"/>
          <w:sz w:val="18"/>
          <w:szCs w:val="18"/>
        </w:rPr>
        <w:t>La Haye</w:t>
      </w:r>
    </w:p>
    <w:p w:rsidR="00F93B76" w:rsidRPr="00A32AF4" w:rsidRDefault="001559D6" w:rsidP="00DC0553">
      <w:pPr>
        <w:keepNext/>
        <w:keepLines/>
        <w:spacing w:after="120"/>
        <w:jc w:val="center"/>
        <w:rPr>
          <w:rFonts w:cs="Arial"/>
          <w:sz w:val="18"/>
          <w:szCs w:val="18"/>
        </w:rPr>
      </w:pPr>
      <w:r w:rsidRPr="00A32AF4">
        <w:rPr>
          <w:rFonts w:cs="Arial"/>
          <w:noProof/>
          <w:lang w:eastAsia="fr-FR"/>
        </w:rPr>
        <w:drawing>
          <wp:inline distT="0" distB="0" distL="0" distR="0" wp14:anchorId="7E86045D" wp14:editId="7662518D">
            <wp:extent cx="3098800" cy="2698750"/>
            <wp:effectExtent l="0" t="0" r="6350" b="635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3098800" cy="2698750"/>
                    </a:xfrm>
                    <a:prstGeom prst="rect">
                      <a:avLst/>
                    </a:prstGeom>
                    <a:noFill/>
                    <a:ln>
                      <a:noFill/>
                    </a:ln>
                  </pic:spPr>
                </pic:pic>
              </a:graphicData>
            </a:graphic>
          </wp:inline>
        </w:drawing>
      </w:r>
    </w:p>
    <w:p w:rsidR="00F93B76" w:rsidRPr="00A32AF4" w:rsidRDefault="00F93B76" w:rsidP="00DC0553">
      <w:pPr>
        <w:jc w:val="center"/>
        <w:rPr>
          <w:rFonts w:cs="Arial"/>
        </w:rPr>
      </w:pPr>
    </w:p>
    <w:p w:rsidR="00F93B76" w:rsidRPr="00A32AF4" w:rsidRDefault="001559D6" w:rsidP="00DC0553">
      <w:pPr>
        <w:numPr>
          <w:ilvl w:val="0"/>
          <w:numId w:val="34"/>
        </w:numPr>
        <w:tabs>
          <w:tab w:val="left" w:pos="540"/>
        </w:tabs>
        <w:jc w:val="both"/>
        <w:rPr>
          <w:rFonts w:cs="Arial"/>
        </w:rPr>
      </w:pPr>
      <w:r w:rsidRPr="00A32AF4">
        <w:rPr>
          <w:rFonts w:cs="Arial"/>
        </w:rPr>
        <w:t>Les recettes estimatives pour la période 2015</w:t>
      </w:r>
      <w:r w:rsidR="00EB7F54" w:rsidRPr="00A32AF4">
        <w:rPr>
          <w:rFonts w:cs="Arial"/>
        </w:rPr>
        <w:noBreakHyphen/>
      </w:r>
      <w:r w:rsidRPr="00A32AF4">
        <w:rPr>
          <w:rFonts w:cs="Arial"/>
        </w:rPr>
        <w:t>2017 (voir le tableau ci</w:t>
      </w:r>
      <w:r w:rsidR="00EB7F54" w:rsidRPr="00A32AF4">
        <w:rPr>
          <w:rFonts w:cs="Arial"/>
        </w:rPr>
        <w:noBreakHyphen/>
      </w:r>
      <w:r w:rsidRPr="00A32AF4">
        <w:rPr>
          <w:rFonts w:cs="Arial"/>
        </w:rPr>
        <w:t>dessous) sont fondées sur le nombre des enregistrements internationaux et des renouvellements qui devraient être inscrits.  Il convient de noter que les recettes estimatives données ci</w:t>
      </w:r>
      <w:r w:rsidR="00EB7F54" w:rsidRPr="00A32AF4">
        <w:rPr>
          <w:rFonts w:cs="Arial"/>
        </w:rPr>
        <w:noBreakHyphen/>
      </w:r>
      <w:r w:rsidRPr="00A32AF4">
        <w:rPr>
          <w:rFonts w:cs="Arial"/>
        </w:rPr>
        <w:t>dessous reposent sur l</w:t>
      </w:r>
      <w:r w:rsidR="00E2055A" w:rsidRPr="00A32AF4">
        <w:rPr>
          <w:rFonts w:cs="Arial"/>
        </w:rPr>
        <w:t>’</w:t>
      </w:r>
      <w:r w:rsidRPr="00A32AF4">
        <w:rPr>
          <w:rFonts w:cs="Arial"/>
        </w:rPr>
        <w:t xml:space="preserve">hypothèse que ne sera apporté dans les années à venir aucun changement au barème des taxes à payer au Bureau international en vertu du système de </w:t>
      </w:r>
      <w:r w:rsidR="00E2055A" w:rsidRPr="00A32AF4">
        <w:rPr>
          <w:rFonts w:cs="Arial"/>
        </w:rPr>
        <w:t>La Haye</w:t>
      </w:r>
      <w:r w:rsidRPr="00A32AF4">
        <w:rPr>
          <w:rFonts w:cs="Arial"/>
        </w:rPr>
        <w:t>.</w:t>
      </w:r>
    </w:p>
    <w:p w:rsidR="00F93B76" w:rsidRPr="00A32AF4" w:rsidRDefault="00F93B76" w:rsidP="00DC0553">
      <w:pPr>
        <w:tabs>
          <w:tab w:val="left" w:pos="540"/>
        </w:tabs>
        <w:jc w:val="both"/>
        <w:rPr>
          <w:rFonts w:cs="Arial"/>
        </w:rPr>
      </w:pPr>
    </w:p>
    <w:p w:rsidR="00F93B76" w:rsidRPr="00A32AF4" w:rsidRDefault="001559D6" w:rsidP="00DC0553">
      <w:pPr>
        <w:keepNext/>
        <w:keepLines/>
        <w:jc w:val="center"/>
        <w:rPr>
          <w:rFonts w:cs="Arial"/>
        </w:rPr>
      </w:pPr>
      <w:r w:rsidRPr="00A32AF4">
        <w:rPr>
          <w:rFonts w:cs="Arial"/>
        </w:rPr>
        <w:t>Tableau </w:t>
      </w:r>
      <w:r w:rsidR="00C82260" w:rsidRPr="00A32AF4">
        <w:rPr>
          <w:rFonts w:cs="Arial"/>
        </w:rPr>
        <w:t>18</w:t>
      </w:r>
      <w:r w:rsidRPr="00A32AF4">
        <w:rPr>
          <w:rFonts w:cs="Arial"/>
        </w:rPr>
        <w:t xml:space="preserve">.  Recettes totales provenant des taxes et taxe moyenne au titre du système de </w:t>
      </w:r>
      <w:r w:rsidR="00E2055A" w:rsidRPr="00A32AF4">
        <w:rPr>
          <w:rFonts w:cs="Arial"/>
        </w:rPr>
        <w:t>La Haye</w:t>
      </w:r>
    </w:p>
    <w:p w:rsidR="00F93B76" w:rsidRPr="00A32AF4" w:rsidRDefault="00F93B76" w:rsidP="00DC0553"/>
    <w:p w:rsidR="00F93B76" w:rsidRPr="00A32AF4" w:rsidRDefault="00C82260" w:rsidP="00DC0553">
      <w:r w:rsidRPr="00A32AF4">
        <w:rPr>
          <w:noProof/>
          <w:lang w:eastAsia="fr-FR"/>
        </w:rPr>
        <w:drawing>
          <wp:inline distT="0" distB="0" distL="0" distR="0" wp14:anchorId="34DF9279" wp14:editId="0002F65D">
            <wp:extent cx="5760085" cy="872010"/>
            <wp:effectExtent l="0" t="0" r="0" b="444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5760085" cy="872010"/>
                    </a:xfrm>
                    <a:prstGeom prst="rect">
                      <a:avLst/>
                    </a:prstGeom>
                    <a:noFill/>
                    <a:ln>
                      <a:noFill/>
                    </a:ln>
                  </pic:spPr>
                </pic:pic>
              </a:graphicData>
            </a:graphic>
          </wp:inline>
        </w:drawing>
      </w:r>
    </w:p>
    <w:p w:rsidR="00F93B76" w:rsidRPr="00A32AF4" w:rsidRDefault="00F93B76" w:rsidP="00DC0553">
      <w:pPr>
        <w:rPr>
          <w:rFonts w:cs="Arial"/>
        </w:rPr>
      </w:pPr>
    </w:p>
    <w:p w:rsidR="00F93B76" w:rsidRPr="00A32AF4" w:rsidRDefault="00550BF0" w:rsidP="00DC0553">
      <w:pPr>
        <w:rPr>
          <w:rFonts w:cs="Arial"/>
        </w:rPr>
      </w:pPr>
      <w:r w:rsidRPr="00A32AF4">
        <w:rPr>
          <w:rFonts w:cs="Arial"/>
        </w:rPr>
        <w:br w:type="page"/>
      </w:r>
    </w:p>
    <w:p w:rsidR="00F93B76" w:rsidRPr="00A32AF4" w:rsidRDefault="00206B97" w:rsidP="00FB1F61">
      <w:pPr>
        <w:pStyle w:val="Heading3"/>
      </w:pPr>
      <w:bookmarkStart w:id="85" w:name="_Toc431555479"/>
      <w:r w:rsidRPr="00A32AF4">
        <w:t>ANNEXE V</w:t>
      </w:r>
      <w:r w:rsidR="00D659C6" w:rsidRPr="00A32AF4">
        <w:tab/>
        <w:t>INDICATEURS RELATIFS AUX OPÉRATIONS DU PCT</w:t>
      </w:r>
      <w:bookmarkEnd w:id="85"/>
    </w:p>
    <w:p w:rsidR="00F93B76" w:rsidRPr="00A32AF4" w:rsidRDefault="00F93B76" w:rsidP="00DC0553">
      <w:pPr>
        <w:rPr>
          <w:rFonts w:cs="Arial"/>
        </w:rPr>
      </w:pPr>
    </w:p>
    <w:p w:rsidR="00F93B76" w:rsidRPr="00A32AF4" w:rsidRDefault="00F93B76" w:rsidP="00DC0553">
      <w:pPr>
        <w:rPr>
          <w:rFonts w:cs="Arial"/>
        </w:rPr>
      </w:pPr>
    </w:p>
    <w:p w:rsidR="00F93B76" w:rsidRPr="00A32AF4" w:rsidRDefault="00D659C6" w:rsidP="00DC0553">
      <w:pPr>
        <w:rPr>
          <w:rFonts w:cs="Arial"/>
        </w:rPr>
      </w:pPr>
      <w:r w:rsidRPr="00A32AF4">
        <w:rPr>
          <w:rFonts w:cs="Arial"/>
        </w:rPr>
        <w:t>INDICATEURS D</w:t>
      </w:r>
      <w:r w:rsidR="00E2055A" w:rsidRPr="00A32AF4">
        <w:rPr>
          <w:rFonts w:cs="Arial"/>
        </w:rPr>
        <w:t>’</w:t>
      </w:r>
      <w:r w:rsidRPr="00A32AF4">
        <w:rPr>
          <w:rFonts w:cs="Arial"/>
        </w:rPr>
        <w:t>EXÉCUTION POUR LE RÉSULTAT ESCOMPTÉ</w:t>
      </w:r>
    </w:p>
    <w:p w:rsidR="00F93B76" w:rsidRPr="00A32AF4" w:rsidRDefault="00B63C9F" w:rsidP="00DC0553">
      <w:pPr>
        <w:rPr>
          <w:rFonts w:cs="Arial"/>
        </w:rPr>
      </w:pPr>
      <w:r w:rsidRPr="00A32AF4">
        <w:rPr>
          <w:rFonts w:cs="Arial"/>
        </w:rPr>
        <w:t>“</w:t>
      </w:r>
      <w:r w:rsidR="00D659C6" w:rsidRPr="00A32AF4">
        <w:rPr>
          <w:rFonts w:cs="Arial"/>
        </w:rPr>
        <w:t>AMÉLIORATION DE LA PRODUCTIVITÉ ET DE LA QUALITÉ DE SERVICE DES OPÉRATIONS DU PCT</w:t>
      </w:r>
      <w:r w:rsidRPr="00A32AF4">
        <w:rPr>
          <w:rFonts w:cs="Arial"/>
        </w:rPr>
        <w:t>”</w:t>
      </w:r>
    </w:p>
    <w:p w:rsidR="00F93B76" w:rsidRPr="00A32AF4" w:rsidRDefault="00F93B76" w:rsidP="00DC0553"/>
    <w:p w:rsidR="00F93B76" w:rsidRPr="00A32AF4" w:rsidRDefault="00F93B76" w:rsidP="00DC0553"/>
    <w:p w:rsidR="00F93B76" w:rsidRPr="00A32AF4" w:rsidRDefault="00D659C6" w:rsidP="00DC0553">
      <w:pPr>
        <w:rPr>
          <w:rFonts w:cs="Arial"/>
          <w:b/>
        </w:rPr>
      </w:pPr>
      <w:r w:rsidRPr="00A32AF4">
        <w:rPr>
          <w:rFonts w:cs="Arial"/>
          <w:b/>
        </w:rPr>
        <w:t>Généralités</w:t>
      </w:r>
    </w:p>
    <w:p w:rsidR="00F93B76" w:rsidRPr="00A32AF4" w:rsidRDefault="00F93B76" w:rsidP="00DC0553"/>
    <w:p w:rsidR="00F93B76" w:rsidRPr="00A32AF4" w:rsidRDefault="00D659C6" w:rsidP="00DC0553">
      <w:pPr>
        <w:numPr>
          <w:ilvl w:val="0"/>
          <w:numId w:val="37"/>
        </w:numPr>
        <w:rPr>
          <w:rFonts w:cs="Arial"/>
        </w:rPr>
      </w:pPr>
      <w:r w:rsidRPr="00A32AF4">
        <w:rPr>
          <w:rFonts w:cs="Arial"/>
        </w:rPr>
        <w:t>À titre d</w:t>
      </w:r>
      <w:r w:rsidR="00E2055A" w:rsidRPr="00A32AF4">
        <w:rPr>
          <w:rFonts w:cs="Arial"/>
        </w:rPr>
        <w:t>’</w:t>
      </w:r>
      <w:r w:rsidRPr="00A32AF4">
        <w:rPr>
          <w:rFonts w:cs="Arial"/>
        </w:rPr>
        <w:t>introduction en ce qui concerne les indicateurs d</w:t>
      </w:r>
      <w:r w:rsidR="00E2055A" w:rsidRPr="00A32AF4">
        <w:rPr>
          <w:rFonts w:cs="Arial"/>
        </w:rPr>
        <w:t>’</w:t>
      </w:r>
      <w:r w:rsidRPr="00A32AF4">
        <w:rPr>
          <w:rFonts w:cs="Arial"/>
        </w:rPr>
        <w:t xml:space="preserve">exécution pour le résultat escompté </w:t>
      </w:r>
      <w:r w:rsidR="00B63C9F" w:rsidRPr="00A32AF4">
        <w:rPr>
          <w:rFonts w:cs="Arial"/>
        </w:rPr>
        <w:t>“</w:t>
      </w:r>
      <w:r w:rsidRPr="00A32AF4">
        <w:rPr>
          <w:rFonts w:cs="Arial"/>
        </w:rPr>
        <w:t>Amélioration de la productivité et de la qualité de service des opérations du PCT</w:t>
      </w:r>
      <w:r w:rsidR="00B63C9F" w:rsidRPr="00A32AF4">
        <w:rPr>
          <w:rFonts w:cs="Arial"/>
        </w:rPr>
        <w:t>”</w:t>
      </w:r>
      <w:r w:rsidRPr="00A32AF4">
        <w:rPr>
          <w:rFonts w:cs="Arial"/>
        </w:rPr>
        <w:t>, il y a lieu d</w:t>
      </w:r>
      <w:r w:rsidR="00E2055A" w:rsidRPr="00A32AF4">
        <w:rPr>
          <w:rFonts w:cs="Arial"/>
        </w:rPr>
        <w:t>’</w:t>
      </w:r>
      <w:r w:rsidRPr="00A32AF4">
        <w:rPr>
          <w:rFonts w:cs="Arial"/>
        </w:rPr>
        <w:t>examiner l</w:t>
      </w:r>
      <w:r w:rsidR="00E2055A" w:rsidRPr="00A32AF4">
        <w:rPr>
          <w:rFonts w:cs="Arial"/>
        </w:rPr>
        <w:t>’</w:t>
      </w:r>
      <w:r w:rsidRPr="00A32AF4">
        <w:rPr>
          <w:rFonts w:cs="Arial"/>
        </w:rPr>
        <w:t>évolution des facteurs suivants :</w:t>
      </w:r>
    </w:p>
    <w:p w:rsidR="00F93B76" w:rsidRPr="00A32AF4" w:rsidRDefault="00F93B76" w:rsidP="00DC0553">
      <w:pPr>
        <w:rPr>
          <w:rFonts w:cs="Arial"/>
        </w:rPr>
      </w:pPr>
    </w:p>
    <w:p w:rsidR="00F93B76" w:rsidRPr="00A32AF4" w:rsidRDefault="00D659C6" w:rsidP="00DC0553">
      <w:pPr>
        <w:numPr>
          <w:ilvl w:val="0"/>
          <w:numId w:val="36"/>
        </w:numPr>
        <w:tabs>
          <w:tab w:val="clear" w:pos="720"/>
        </w:tabs>
        <w:spacing w:after="60"/>
        <w:ind w:left="1134" w:hanging="567"/>
        <w:rPr>
          <w:rFonts w:cs="Arial"/>
        </w:rPr>
      </w:pPr>
      <w:r w:rsidRPr="00A32AF4">
        <w:rPr>
          <w:rFonts w:cs="Arial"/>
        </w:rPr>
        <w:t>la charge de travail du </w:t>
      </w:r>
      <w:proofErr w:type="gramStart"/>
      <w:r w:rsidRPr="00A32AF4">
        <w:rPr>
          <w:rFonts w:cs="Arial"/>
        </w:rPr>
        <w:t>PCT;</w:t>
      </w:r>
      <w:proofErr w:type="gramEnd"/>
    </w:p>
    <w:p w:rsidR="00F93B76" w:rsidRPr="00A32AF4" w:rsidRDefault="00D659C6" w:rsidP="00DC0553">
      <w:pPr>
        <w:numPr>
          <w:ilvl w:val="0"/>
          <w:numId w:val="36"/>
        </w:numPr>
        <w:tabs>
          <w:tab w:val="clear" w:pos="720"/>
        </w:tabs>
        <w:spacing w:after="60"/>
        <w:ind w:left="1134" w:hanging="567"/>
        <w:rPr>
          <w:rFonts w:cs="Arial"/>
        </w:rPr>
      </w:pPr>
      <w:r w:rsidRPr="00A32AF4">
        <w:rPr>
          <w:rFonts w:cs="Arial"/>
        </w:rPr>
        <w:t xml:space="preserve">la répartition linguistique de cette charge de </w:t>
      </w:r>
      <w:proofErr w:type="gramStart"/>
      <w:r w:rsidRPr="00A32AF4">
        <w:rPr>
          <w:rFonts w:cs="Arial"/>
        </w:rPr>
        <w:t>travail;</w:t>
      </w:r>
      <w:proofErr w:type="gramEnd"/>
    </w:p>
    <w:p w:rsidR="00F93B76" w:rsidRPr="00A32AF4" w:rsidRDefault="00D659C6" w:rsidP="00DC0553">
      <w:pPr>
        <w:numPr>
          <w:ilvl w:val="0"/>
          <w:numId w:val="36"/>
        </w:numPr>
        <w:tabs>
          <w:tab w:val="clear" w:pos="720"/>
        </w:tabs>
        <w:spacing w:after="60"/>
        <w:ind w:left="1134" w:hanging="567"/>
        <w:rPr>
          <w:rFonts w:cs="Arial"/>
        </w:rPr>
      </w:pPr>
      <w:r w:rsidRPr="00A32AF4">
        <w:rPr>
          <w:rFonts w:cs="Arial"/>
        </w:rPr>
        <w:t xml:space="preserve">les effectifs affectés au traitement de cette charge de </w:t>
      </w:r>
      <w:proofErr w:type="gramStart"/>
      <w:r w:rsidRPr="00A32AF4">
        <w:rPr>
          <w:rFonts w:cs="Arial"/>
        </w:rPr>
        <w:t>travail;</w:t>
      </w:r>
      <w:proofErr w:type="gramEnd"/>
      <w:r w:rsidRPr="00A32AF4">
        <w:rPr>
          <w:rFonts w:cs="Arial"/>
        </w:rPr>
        <w:t xml:space="preserve">  et</w:t>
      </w:r>
    </w:p>
    <w:p w:rsidR="00F93B76" w:rsidRPr="00A32AF4" w:rsidRDefault="00D659C6" w:rsidP="00DC0553">
      <w:pPr>
        <w:numPr>
          <w:ilvl w:val="0"/>
          <w:numId w:val="36"/>
        </w:numPr>
        <w:tabs>
          <w:tab w:val="clear" w:pos="720"/>
        </w:tabs>
        <w:ind w:left="1134" w:hanging="567"/>
        <w:rPr>
          <w:rFonts w:cs="Arial"/>
        </w:rPr>
      </w:pPr>
      <w:r w:rsidRPr="00A32AF4">
        <w:rPr>
          <w:rFonts w:cs="Arial"/>
        </w:rPr>
        <w:t>le niveau d</w:t>
      </w:r>
      <w:r w:rsidR="00E2055A" w:rsidRPr="00A32AF4">
        <w:rPr>
          <w:rFonts w:cs="Arial"/>
        </w:rPr>
        <w:t>’</w:t>
      </w:r>
      <w:r w:rsidRPr="00A32AF4">
        <w:rPr>
          <w:rFonts w:cs="Arial"/>
        </w:rPr>
        <w:t>automatisation.</w:t>
      </w:r>
    </w:p>
    <w:p w:rsidR="00F93B76" w:rsidRPr="00A32AF4" w:rsidRDefault="00F93B76" w:rsidP="00DC0553">
      <w:pPr>
        <w:tabs>
          <w:tab w:val="num" w:pos="1100"/>
        </w:tabs>
        <w:rPr>
          <w:rFonts w:cs="Arial"/>
        </w:rPr>
      </w:pPr>
    </w:p>
    <w:p w:rsidR="00F93B76" w:rsidRPr="00A32AF4" w:rsidRDefault="00F93B76" w:rsidP="00DC0553">
      <w:pPr>
        <w:tabs>
          <w:tab w:val="num" w:pos="1100"/>
        </w:tabs>
        <w:rPr>
          <w:rFonts w:cs="Arial"/>
        </w:rPr>
      </w:pPr>
    </w:p>
    <w:p w:rsidR="00F93B76" w:rsidRPr="00A32AF4" w:rsidRDefault="00D659C6" w:rsidP="00DC0553">
      <w:pPr>
        <w:rPr>
          <w:rFonts w:cs="Arial"/>
          <w:i/>
        </w:rPr>
      </w:pPr>
      <w:r w:rsidRPr="00A32AF4">
        <w:rPr>
          <w:rFonts w:cs="Arial"/>
          <w:i/>
        </w:rPr>
        <w:t>Charge de travail</w:t>
      </w:r>
    </w:p>
    <w:p w:rsidR="00F93B76" w:rsidRPr="00A32AF4" w:rsidRDefault="00F93B76" w:rsidP="00DC0553">
      <w:pPr>
        <w:rPr>
          <w:rFonts w:cs="Arial"/>
        </w:rPr>
      </w:pPr>
    </w:p>
    <w:p w:rsidR="00F93B76" w:rsidRPr="00A32AF4" w:rsidRDefault="00D659C6" w:rsidP="00DC0553">
      <w:pPr>
        <w:numPr>
          <w:ilvl w:val="0"/>
          <w:numId w:val="37"/>
        </w:numPr>
        <w:rPr>
          <w:rFonts w:cs="Arial"/>
        </w:rPr>
      </w:pPr>
      <w:r w:rsidRPr="00A32AF4">
        <w:rPr>
          <w:rFonts w:cs="Arial"/>
        </w:rPr>
        <w:t>La charge de travail est mesurée sur la base du nombre d</w:t>
      </w:r>
      <w:r w:rsidR="00E2055A" w:rsidRPr="00A32AF4">
        <w:rPr>
          <w:rFonts w:cs="Arial"/>
        </w:rPr>
        <w:t>’</w:t>
      </w:r>
      <w:r w:rsidRPr="00A32AF4">
        <w:rPr>
          <w:rFonts w:cs="Arial"/>
        </w:rPr>
        <w:t>exemplaires originaux reçus chaque année par le Bureau international</w:t>
      </w:r>
      <w:r w:rsidRPr="00A32AF4">
        <w:rPr>
          <w:rStyle w:val="FootnoteReference"/>
          <w:rFonts w:cs="Arial"/>
        </w:rPr>
        <w:footnoteReference w:id="26"/>
      </w:r>
      <w:r w:rsidRPr="00A32AF4">
        <w:rPr>
          <w:rFonts w:cs="Arial"/>
        </w:rPr>
        <w:t>.</w:t>
      </w:r>
    </w:p>
    <w:p w:rsidR="00F93B76" w:rsidRPr="00A32AF4" w:rsidRDefault="00F93B76" w:rsidP="00DC0553">
      <w:pPr>
        <w:jc w:val="center"/>
        <w:rPr>
          <w:rFonts w:cs="Arial"/>
          <w:b/>
          <w:bCs/>
          <w:sz w:val="18"/>
          <w:szCs w:val="18"/>
        </w:rPr>
      </w:pPr>
    </w:p>
    <w:p w:rsidR="00F93B76" w:rsidRPr="00A32AF4" w:rsidRDefault="00D659C6" w:rsidP="00DC0553">
      <w:pPr>
        <w:jc w:val="center"/>
        <w:rPr>
          <w:rFonts w:cs="Arial"/>
          <w:b/>
          <w:bCs/>
          <w:sz w:val="18"/>
          <w:szCs w:val="18"/>
        </w:rPr>
      </w:pPr>
      <w:r w:rsidRPr="00A32AF4">
        <w:rPr>
          <w:rFonts w:cs="Arial"/>
          <w:b/>
          <w:bCs/>
          <w:sz w:val="18"/>
          <w:szCs w:val="18"/>
        </w:rPr>
        <w:t>Évolution du nombre d</w:t>
      </w:r>
      <w:r w:rsidR="00E2055A" w:rsidRPr="00A32AF4">
        <w:rPr>
          <w:rFonts w:cs="Arial"/>
          <w:b/>
          <w:bCs/>
          <w:sz w:val="18"/>
          <w:szCs w:val="18"/>
        </w:rPr>
        <w:t>’</w:t>
      </w:r>
      <w:r w:rsidRPr="00A32AF4">
        <w:rPr>
          <w:rFonts w:cs="Arial"/>
          <w:b/>
          <w:bCs/>
          <w:sz w:val="18"/>
          <w:szCs w:val="18"/>
        </w:rPr>
        <w:t>exemplaires originaux par moyen de dépôt</w:t>
      </w:r>
    </w:p>
    <w:p w:rsidR="00F93B76" w:rsidRPr="00A32AF4" w:rsidRDefault="00130644" w:rsidP="00DC0553">
      <w:pPr>
        <w:jc w:val="center"/>
        <w:rPr>
          <w:rFonts w:cs="Arial"/>
          <w:b/>
          <w:bCs/>
          <w:sz w:val="18"/>
          <w:szCs w:val="18"/>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4pt;height:194.05pt">
            <v:imagedata r:id="rId225" o:title=""/>
          </v:shape>
        </w:pict>
      </w:r>
    </w:p>
    <w:p w:rsidR="00F93B76" w:rsidRPr="00A32AF4" w:rsidRDefault="00F93B76" w:rsidP="00DC0553">
      <w:pPr>
        <w:rPr>
          <w:rFonts w:cs="Arial"/>
          <w:bCs/>
          <w:sz w:val="18"/>
          <w:szCs w:val="18"/>
        </w:rPr>
      </w:pPr>
    </w:p>
    <w:p w:rsidR="00F93B76" w:rsidRPr="00A32AF4" w:rsidRDefault="00D659C6" w:rsidP="00DC0553">
      <w:pPr>
        <w:pStyle w:val="BodyText2"/>
        <w:keepNext w:val="0"/>
        <w:numPr>
          <w:ilvl w:val="0"/>
          <w:numId w:val="38"/>
        </w:numPr>
        <w:tabs>
          <w:tab w:val="clear" w:pos="720"/>
          <w:tab w:val="num" w:pos="1134"/>
        </w:tabs>
        <w:spacing w:after="60"/>
        <w:ind w:left="1134" w:hanging="567"/>
        <w:rPr>
          <w:rFonts w:cs="Arial"/>
        </w:rPr>
      </w:pPr>
      <w:r w:rsidRPr="00A32AF4">
        <w:rPr>
          <w:rFonts w:cs="Arial"/>
        </w:rPr>
        <w:t>En 2014, le Bureau international a reçu environ 217 700 exemplaires originaux, soit une augmentation de 7% par rapport à 2013.</w:t>
      </w:r>
    </w:p>
    <w:p w:rsidR="00F93B76" w:rsidRPr="00A32AF4" w:rsidRDefault="00D659C6" w:rsidP="00DC0553">
      <w:pPr>
        <w:pStyle w:val="BodyText2"/>
        <w:keepNext w:val="0"/>
        <w:numPr>
          <w:ilvl w:val="0"/>
          <w:numId w:val="38"/>
        </w:numPr>
        <w:tabs>
          <w:tab w:val="clear" w:pos="720"/>
          <w:tab w:val="num" w:pos="1134"/>
        </w:tabs>
        <w:ind w:left="1134" w:hanging="567"/>
        <w:rPr>
          <w:rFonts w:cs="Arial"/>
        </w:rPr>
      </w:pPr>
      <w:r w:rsidRPr="00A32AF4">
        <w:rPr>
          <w:rFonts w:cs="Arial"/>
        </w:rPr>
        <w:t>La part de dépôts entièrement électroniques a continué d</w:t>
      </w:r>
      <w:r w:rsidR="00E2055A" w:rsidRPr="00A32AF4">
        <w:rPr>
          <w:rFonts w:cs="Arial"/>
        </w:rPr>
        <w:t>’</w:t>
      </w:r>
      <w:r w:rsidRPr="00A32AF4">
        <w:rPr>
          <w:rFonts w:cs="Arial"/>
        </w:rPr>
        <w:t>augmenter en 2014 et représente actuellement 91% de l</w:t>
      </w:r>
      <w:r w:rsidR="00E2055A" w:rsidRPr="00A32AF4">
        <w:rPr>
          <w:rFonts w:cs="Arial"/>
        </w:rPr>
        <w:t>’</w:t>
      </w:r>
      <w:r w:rsidRPr="00A32AF4">
        <w:rPr>
          <w:rFonts w:cs="Arial"/>
        </w:rPr>
        <w:t>ensemble des dépôts.</w:t>
      </w:r>
    </w:p>
    <w:p w:rsidR="00F93B76" w:rsidRPr="00A32AF4" w:rsidRDefault="00F93B76" w:rsidP="00DC0553"/>
    <w:p w:rsidR="00F93B76" w:rsidRPr="00A32AF4" w:rsidRDefault="00F93B76" w:rsidP="00DC0553"/>
    <w:p w:rsidR="00F93B76" w:rsidRPr="00A32AF4" w:rsidRDefault="00D659C6" w:rsidP="00DC0553">
      <w:pPr>
        <w:pStyle w:val="BodyText2"/>
        <w:keepLines/>
        <w:rPr>
          <w:rFonts w:cs="Arial"/>
          <w:i/>
        </w:rPr>
      </w:pPr>
      <w:r w:rsidRPr="00A32AF4">
        <w:rPr>
          <w:rFonts w:cs="Arial"/>
          <w:i/>
        </w:rPr>
        <w:t>Répartition linguistique</w:t>
      </w:r>
    </w:p>
    <w:p w:rsidR="00F93B76" w:rsidRPr="00A32AF4" w:rsidRDefault="00F93B76" w:rsidP="00DC0553">
      <w:pPr>
        <w:pStyle w:val="BodyText2"/>
        <w:keepLines/>
        <w:rPr>
          <w:rFonts w:cs="Arial"/>
        </w:rPr>
      </w:pPr>
    </w:p>
    <w:p w:rsidR="00F93B76" w:rsidRPr="00A32AF4" w:rsidRDefault="00D659C6" w:rsidP="00DC0553">
      <w:pPr>
        <w:keepNext/>
        <w:keepLines/>
        <w:numPr>
          <w:ilvl w:val="0"/>
          <w:numId w:val="37"/>
        </w:numPr>
        <w:rPr>
          <w:rFonts w:cs="Arial"/>
        </w:rPr>
      </w:pPr>
      <w:r w:rsidRPr="00A32AF4">
        <w:rPr>
          <w:rFonts w:cs="Arial"/>
        </w:rPr>
        <w:t>L</w:t>
      </w:r>
      <w:r w:rsidR="00E2055A" w:rsidRPr="00A32AF4">
        <w:rPr>
          <w:rFonts w:cs="Arial"/>
        </w:rPr>
        <w:t>’</w:t>
      </w:r>
      <w:r w:rsidRPr="00A32AF4">
        <w:rPr>
          <w:rFonts w:cs="Arial"/>
        </w:rPr>
        <w:t>une des tendances fondamentales au sein du Bureau international est l</w:t>
      </w:r>
      <w:r w:rsidR="00E2055A" w:rsidRPr="00A32AF4">
        <w:rPr>
          <w:rFonts w:cs="Arial"/>
        </w:rPr>
        <w:t>’</w:t>
      </w:r>
      <w:r w:rsidRPr="00A32AF4">
        <w:rPr>
          <w:rFonts w:cs="Arial"/>
        </w:rPr>
        <w:t>augmentation de la diversité linguistique des dépôts, sous l</w:t>
      </w:r>
      <w:r w:rsidR="00E2055A" w:rsidRPr="00A32AF4">
        <w:rPr>
          <w:rFonts w:cs="Arial"/>
        </w:rPr>
        <w:t>’</w:t>
      </w:r>
      <w:r w:rsidRPr="00A32AF4">
        <w:rPr>
          <w:rFonts w:cs="Arial"/>
        </w:rPr>
        <w:t>effet notamment d</w:t>
      </w:r>
      <w:r w:rsidR="00E2055A" w:rsidRPr="00A32AF4">
        <w:rPr>
          <w:rFonts w:cs="Arial"/>
        </w:rPr>
        <w:t>’</w:t>
      </w:r>
      <w:r w:rsidRPr="00A32AF4">
        <w:rPr>
          <w:rFonts w:cs="Arial"/>
        </w:rPr>
        <w:t>une augmentation continue de l</w:t>
      </w:r>
      <w:r w:rsidR="00E2055A" w:rsidRPr="00A32AF4">
        <w:rPr>
          <w:rFonts w:cs="Arial"/>
        </w:rPr>
        <w:t>’</w:t>
      </w:r>
      <w:r w:rsidRPr="00A32AF4">
        <w:rPr>
          <w:rFonts w:cs="Arial"/>
        </w:rPr>
        <w:t>utilisation du système du PCT dans les pays d</w:t>
      </w:r>
      <w:r w:rsidR="00E2055A" w:rsidRPr="00A32AF4">
        <w:rPr>
          <w:rFonts w:cs="Arial"/>
        </w:rPr>
        <w:t>’</w:t>
      </w:r>
      <w:r w:rsidRPr="00A32AF4">
        <w:rPr>
          <w:rFonts w:cs="Arial"/>
        </w:rPr>
        <w:t>Asie orientale.</w:t>
      </w:r>
    </w:p>
    <w:p w:rsidR="00F93B76" w:rsidRPr="00A32AF4" w:rsidRDefault="00F93B76" w:rsidP="00DC0553">
      <w:pPr>
        <w:keepNext/>
        <w:keepLines/>
        <w:jc w:val="both"/>
        <w:rPr>
          <w:rFonts w:cs="Arial"/>
        </w:rPr>
      </w:pPr>
    </w:p>
    <w:p w:rsidR="00F93B76" w:rsidRPr="00A32AF4" w:rsidRDefault="00D659C6" w:rsidP="00DC0553">
      <w:pPr>
        <w:keepNext/>
        <w:keepLines/>
        <w:spacing w:after="120"/>
        <w:jc w:val="center"/>
        <w:rPr>
          <w:rFonts w:cs="Arial"/>
          <w:i/>
        </w:rPr>
      </w:pPr>
      <w:r w:rsidRPr="00A32AF4">
        <w:rPr>
          <w:rFonts w:cs="Arial"/>
          <w:b/>
        </w:rPr>
        <w:t>Langues de dépôt</w:t>
      </w:r>
      <w:r w:rsidRPr="00A32AF4">
        <w:rPr>
          <w:rFonts w:cs="Arial"/>
        </w:rPr>
        <w:t xml:space="preserve"> </w:t>
      </w:r>
      <w:r w:rsidRPr="00A32AF4">
        <w:rPr>
          <w:rFonts w:cs="Arial"/>
          <w:i/>
        </w:rPr>
        <w:t>(toutes les langues)</w:t>
      </w:r>
    </w:p>
    <w:p w:rsidR="00F93B76" w:rsidRPr="00A32AF4" w:rsidRDefault="00130644" w:rsidP="00DC0553">
      <w:pPr>
        <w:keepNext/>
        <w:keepLines/>
        <w:spacing w:after="120"/>
        <w:rPr>
          <w:rFonts w:cs="Arial"/>
        </w:rPr>
      </w:pPr>
      <w:r>
        <w:pict>
          <v:shape id="_x0000_i1026" type="#_x0000_t75" style="width:455.1pt;height:234.35pt">
            <v:imagedata r:id="rId226" o:title=""/>
          </v:shape>
        </w:pict>
      </w:r>
    </w:p>
    <w:p w:rsidR="00F93B76" w:rsidRPr="00A32AF4" w:rsidRDefault="00F93B76" w:rsidP="00DC0553"/>
    <w:p w:rsidR="00F93B76" w:rsidRPr="00A32AF4" w:rsidRDefault="00F93B76" w:rsidP="00DC0553"/>
    <w:p w:rsidR="00F93B76" w:rsidRPr="00A32AF4" w:rsidRDefault="00D659C6" w:rsidP="00DC0553">
      <w:pPr>
        <w:numPr>
          <w:ilvl w:val="0"/>
          <w:numId w:val="37"/>
        </w:numPr>
        <w:rPr>
          <w:rFonts w:cs="Arial"/>
        </w:rPr>
      </w:pPr>
      <w:r w:rsidRPr="00A32AF4">
        <w:rPr>
          <w:rFonts w:cs="Arial"/>
        </w:rPr>
        <w:t>Ainsi qu</w:t>
      </w:r>
      <w:r w:rsidR="00E2055A" w:rsidRPr="00A32AF4">
        <w:rPr>
          <w:rFonts w:cs="Arial"/>
        </w:rPr>
        <w:t>’</w:t>
      </w:r>
      <w:r w:rsidRPr="00A32AF4">
        <w:rPr>
          <w:rFonts w:cs="Arial"/>
        </w:rPr>
        <w:t>il ressort de ce graphique, alors que la majorité des demandes sont déposées en anglais (51,6% des dépôts en 2014)</w:t>
      </w:r>
      <w:r w:rsidRPr="00A32AF4">
        <w:rPr>
          <w:rFonts w:cs="Arial"/>
          <w:szCs w:val="22"/>
        </w:rPr>
        <w:t xml:space="preserve">, </w:t>
      </w:r>
      <w:r w:rsidRPr="00A32AF4">
        <w:rPr>
          <w:rFonts w:cs="Arial"/>
        </w:rPr>
        <w:t>les parts des langues asiatiques ont augmenté au cours de la dernière décennie.</w:t>
      </w:r>
      <w:r w:rsidRPr="00A32AF4">
        <w:t xml:space="preserve">  </w:t>
      </w:r>
      <w:r w:rsidRPr="00A32AF4">
        <w:rPr>
          <w:rFonts w:cs="Arial"/>
        </w:rPr>
        <w:t>La part combinée des demandes selon le PCT déposées en japonais, chinois et coréen est passée de 29,5% en 2009 à 34,5% en 2012.</w:t>
      </w:r>
      <w:r w:rsidRPr="00A32AF4">
        <w:t xml:space="preserve"> </w:t>
      </w:r>
      <w:r w:rsidRPr="00A32AF4">
        <w:rPr>
          <w:rFonts w:cs="Arial"/>
        </w:rPr>
        <w:t xml:space="preserve"> Cette part est restée stable de 2012 à 2014.</w:t>
      </w:r>
      <w:r w:rsidRPr="00A32AF4">
        <w:t xml:space="preserve">  </w:t>
      </w:r>
      <w:r w:rsidRPr="00A32AF4">
        <w:rPr>
          <w:rFonts w:cs="Arial"/>
        </w:rPr>
        <w:t>Le graphique ci</w:t>
      </w:r>
      <w:r w:rsidR="00EB7F54" w:rsidRPr="00A32AF4">
        <w:rPr>
          <w:rFonts w:cs="Arial"/>
        </w:rPr>
        <w:noBreakHyphen/>
      </w:r>
      <w:r w:rsidRPr="00A32AF4">
        <w:rPr>
          <w:rFonts w:cs="Arial"/>
        </w:rPr>
        <w:t>après présente en détail l</w:t>
      </w:r>
      <w:r w:rsidR="00E2055A" w:rsidRPr="00A32AF4">
        <w:rPr>
          <w:rFonts w:cs="Arial"/>
        </w:rPr>
        <w:t>’</w:t>
      </w:r>
      <w:r w:rsidRPr="00A32AF4">
        <w:rPr>
          <w:rFonts w:cs="Arial"/>
        </w:rPr>
        <w:t>évolution des langues de dépôt autres que l</w:t>
      </w:r>
      <w:r w:rsidR="00E2055A" w:rsidRPr="00A32AF4">
        <w:rPr>
          <w:rFonts w:cs="Arial"/>
        </w:rPr>
        <w:t>’</w:t>
      </w:r>
      <w:r w:rsidRPr="00A32AF4">
        <w:rPr>
          <w:rFonts w:cs="Arial"/>
        </w:rPr>
        <w:t>anglais :</w:t>
      </w:r>
    </w:p>
    <w:p w:rsidR="00F93B76" w:rsidRPr="00A32AF4" w:rsidRDefault="00F93B76" w:rsidP="00DC0553"/>
    <w:p w:rsidR="00F93B76" w:rsidRPr="00A32AF4" w:rsidRDefault="00F93B76" w:rsidP="00DC0553"/>
    <w:p w:rsidR="00F93B76" w:rsidRPr="00A32AF4" w:rsidRDefault="00D659C6" w:rsidP="00DC0553">
      <w:pPr>
        <w:spacing w:after="120"/>
        <w:jc w:val="center"/>
        <w:rPr>
          <w:rFonts w:cs="Arial"/>
        </w:rPr>
      </w:pPr>
      <w:r w:rsidRPr="00A32AF4">
        <w:rPr>
          <w:rFonts w:cs="Arial"/>
          <w:b/>
        </w:rPr>
        <w:t>Langues de dépôt</w:t>
      </w:r>
      <w:r w:rsidRPr="00A32AF4">
        <w:rPr>
          <w:rFonts w:cs="Arial"/>
        </w:rPr>
        <w:t xml:space="preserve"> (toutes les langues sauf l</w:t>
      </w:r>
      <w:r w:rsidR="00E2055A" w:rsidRPr="00A32AF4">
        <w:rPr>
          <w:rFonts w:cs="Arial"/>
        </w:rPr>
        <w:t>’</w:t>
      </w:r>
      <w:r w:rsidRPr="00A32AF4">
        <w:rPr>
          <w:rFonts w:cs="Arial"/>
        </w:rPr>
        <w:t>anglais)</w:t>
      </w:r>
    </w:p>
    <w:p w:rsidR="00F93B76" w:rsidRPr="00A32AF4" w:rsidRDefault="00130644" w:rsidP="00DC0553">
      <w:pPr>
        <w:spacing w:after="120"/>
        <w:rPr>
          <w:rFonts w:cs="Arial"/>
        </w:rPr>
      </w:pPr>
      <w:r>
        <w:pict>
          <v:shape id="_x0000_i1027" type="#_x0000_t75" style="width:454.05pt;height:264.65pt">
            <v:imagedata r:id="rId227" o:title=""/>
          </v:shape>
        </w:pict>
      </w:r>
    </w:p>
    <w:p w:rsidR="00F93B76" w:rsidRPr="00A32AF4" w:rsidRDefault="00D659C6" w:rsidP="00DC0553">
      <w:pPr>
        <w:numPr>
          <w:ilvl w:val="0"/>
          <w:numId w:val="37"/>
        </w:numPr>
        <w:rPr>
          <w:rFonts w:cs="Arial"/>
        </w:rPr>
      </w:pPr>
      <w:r w:rsidRPr="00A32AF4">
        <w:rPr>
          <w:rFonts w:cs="Arial"/>
        </w:rPr>
        <w:t>La forte augmentation du nombre de demandes déposées dans des langues asiatiques au cours des cinq dernières années pèse lourdement sur le Bureau international en raison du nombre limité de membres du personnel pouvant travailler dans ces langues.</w:t>
      </w:r>
      <w:r w:rsidRPr="00A32AF4">
        <w:t xml:space="preserve"> </w:t>
      </w:r>
      <w:r w:rsidRPr="00A32AF4">
        <w:rPr>
          <w:rFonts w:cs="Arial"/>
        </w:rPr>
        <w:t xml:space="preserve"> L</w:t>
      </w:r>
      <w:r w:rsidR="00E2055A" w:rsidRPr="00A32AF4">
        <w:rPr>
          <w:rFonts w:cs="Arial"/>
        </w:rPr>
        <w:t>’</w:t>
      </w:r>
      <w:r w:rsidRPr="00A32AF4">
        <w:rPr>
          <w:rFonts w:cs="Arial"/>
        </w:rPr>
        <w:t>atténuation de cet effet passe par l</w:t>
      </w:r>
      <w:r w:rsidR="00E2055A" w:rsidRPr="00A32AF4">
        <w:rPr>
          <w:rFonts w:cs="Arial"/>
        </w:rPr>
        <w:t>’</w:t>
      </w:r>
      <w:r w:rsidRPr="00A32AF4">
        <w:rPr>
          <w:rFonts w:cs="Arial"/>
        </w:rPr>
        <w:t>automatisation de certaines tâches et le recrutement de fonctionnaires capables de travailler dans ces langues.</w:t>
      </w:r>
    </w:p>
    <w:p w:rsidR="00F93B76" w:rsidRPr="00A32AF4" w:rsidRDefault="00F93B76" w:rsidP="00DC0553"/>
    <w:p w:rsidR="00F93B76" w:rsidRPr="00A32AF4" w:rsidRDefault="00F93B76" w:rsidP="00DC0553"/>
    <w:p w:rsidR="00F93B76" w:rsidRPr="00A32AF4" w:rsidRDefault="00D659C6" w:rsidP="00DC0553">
      <w:pPr>
        <w:keepNext/>
        <w:keepLines/>
        <w:spacing w:after="120"/>
        <w:rPr>
          <w:rFonts w:cs="Arial"/>
          <w:i/>
        </w:rPr>
      </w:pPr>
      <w:r w:rsidRPr="00A32AF4">
        <w:rPr>
          <w:rFonts w:cs="Arial"/>
          <w:i/>
        </w:rPr>
        <w:t>Effectifs</w:t>
      </w:r>
    </w:p>
    <w:p w:rsidR="00F93B76" w:rsidRPr="00A32AF4" w:rsidRDefault="00D659C6" w:rsidP="00DC0553">
      <w:pPr>
        <w:keepNext/>
        <w:keepLines/>
        <w:numPr>
          <w:ilvl w:val="0"/>
          <w:numId w:val="37"/>
        </w:numPr>
        <w:rPr>
          <w:rFonts w:cs="Arial"/>
        </w:rPr>
      </w:pPr>
      <w:r w:rsidRPr="00A32AF4">
        <w:rPr>
          <w:rFonts w:cs="Arial"/>
        </w:rPr>
        <w:t>Le diagramme ci</w:t>
      </w:r>
      <w:r w:rsidR="00EB7F54" w:rsidRPr="00A32AF4">
        <w:rPr>
          <w:rFonts w:cs="Arial"/>
        </w:rPr>
        <w:noBreakHyphen/>
      </w:r>
      <w:r w:rsidRPr="00A32AF4">
        <w:rPr>
          <w:rFonts w:cs="Arial"/>
        </w:rPr>
        <w:t>après indique les effectifs de la Division des opérations du PCT depuis 2001, en équivalent personnel à plein temps (EPPT – effectif total à plein temps plus équivalent à plein temps du personnel à temps partiel).</w:t>
      </w:r>
    </w:p>
    <w:p w:rsidR="00F93B76" w:rsidRPr="00A32AF4" w:rsidRDefault="00F93B76" w:rsidP="00DC0553">
      <w:pPr>
        <w:rPr>
          <w:rFonts w:cs="Arial"/>
        </w:rPr>
      </w:pPr>
    </w:p>
    <w:p w:rsidR="00F93B76" w:rsidRPr="00A32AF4" w:rsidRDefault="00130644" w:rsidP="00DC0553">
      <w:pPr>
        <w:rPr>
          <w:rFonts w:cs="Arial"/>
        </w:rPr>
      </w:pPr>
      <w:r>
        <w:pict>
          <v:shape id="_x0000_i1028" type="#_x0000_t75" style="width:451.45pt;height:246.65pt">
            <v:imagedata r:id="rId228" o:title=""/>
          </v:shape>
        </w:pict>
      </w:r>
    </w:p>
    <w:p w:rsidR="00F93B76" w:rsidRPr="00A32AF4" w:rsidRDefault="00F93B76" w:rsidP="00DC0553"/>
    <w:p w:rsidR="00F93B76" w:rsidRPr="00A32AF4" w:rsidRDefault="00D659C6" w:rsidP="00DC0553">
      <w:pPr>
        <w:numPr>
          <w:ilvl w:val="0"/>
          <w:numId w:val="35"/>
        </w:numPr>
        <w:tabs>
          <w:tab w:val="clear" w:pos="720"/>
        </w:tabs>
        <w:ind w:left="1134" w:hanging="567"/>
        <w:rPr>
          <w:rFonts w:cs="Arial"/>
        </w:rPr>
      </w:pPr>
      <w:r w:rsidRPr="00A32AF4">
        <w:rPr>
          <w:rFonts w:cs="Arial"/>
        </w:rPr>
        <w:t>Les effectifs de la Division des opérations du PCT ont diminué en 2014.</w:t>
      </w:r>
    </w:p>
    <w:p w:rsidR="00F93B76" w:rsidRPr="00A32AF4" w:rsidRDefault="00F93B76" w:rsidP="00DC0553"/>
    <w:p w:rsidR="00F93B76" w:rsidRPr="00A32AF4" w:rsidRDefault="00F93B76" w:rsidP="00DC0553"/>
    <w:p w:rsidR="00F93B76" w:rsidRPr="00A32AF4" w:rsidRDefault="00D659C6" w:rsidP="00DC0553">
      <w:pPr>
        <w:rPr>
          <w:rFonts w:cs="Arial"/>
          <w:i/>
        </w:rPr>
      </w:pPr>
      <w:r w:rsidRPr="00A32AF4">
        <w:rPr>
          <w:rFonts w:cs="Arial"/>
          <w:i/>
        </w:rPr>
        <w:t>Coût unitaire du traitement d</w:t>
      </w:r>
      <w:r w:rsidR="00E2055A" w:rsidRPr="00A32AF4">
        <w:rPr>
          <w:rFonts w:cs="Arial"/>
          <w:i/>
        </w:rPr>
        <w:t>’</w:t>
      </w:r>
      <w:r w:rsidRPr="00A32AF4">
        <w:rPr>
          <w:rFonts w:cs="Arial"/>
          <w:i/>
        </w:rPr>
        <w:t>une demande</w:t>
      </w:r>
    </w:p>
    <w:p w:rsidR="00F93B76" w:rsidRPr="00A32AF4" w:rsidRDefault="00F93B76" w:rsidP="00DC0553">
      <w:pPr>
        <w:rPr>
          <w:rFonts w:cs="Arial"/>
        </w:rPr>
      </w:pPr>
    </w:p>
    <w:p w:rsidR="00F93B76" w:rsidRPr="00A32AF4" w:rsidRDefault="00D659C6" w:rsidP="00DC0553">
      <w:pPr>
        <w:numPr>
          <w:ilvl w:val="0"/>
          <w:numId w:val="37"/>
        </w:numPr>
        <w:rPr>
          <w:rFonts w:cs="Arial"/>
        </w:rPr>
      </w:pPr>
      <w:r w:rsidRPr="00A32AF4">
        <w:rPr>
          <w:rFonts w:cs="Arial"/>
        </w:rPr>
        <w:t>La productivité du Bureau international dans le traitement des demandes selon le PCT peut être mesurée à l</w:t>
      </w:r>
      <w:r w:rsidR="00E2055A" w:rsidRPr="00A32AF4">
        <w:rPr>
          <w:rFonts w:cs="Arial"/>
        </w:rPr>
        <w:t>’</w:t>
      </w:r>
      <w:r w:rsidRPr="00A32AF4">
        <w:rPr>
          <w:rFonts w:cs="Arial"/>
        </w:rPr>
        <w:t>aide du coût unitaire de traitement, défini comme le coût total moyen de la publication d</w:t>
      </w:r>
      <w:r w:rsidR="00E2055A" w:rsidRPr="00A32AF4">
        <w:rPr>
          <w:rFonts w:cs="Arial"/>
        </w:rPr>
        <w:t>’</w:t>
      </w:r>
      <w:r w:rsidRPr="00A32AF4">
        <w:rPr>
          <w:rFonts w:cs="Arial"/>
        </w:rPr>
        <w:t>une demande selon le PCT.</w:t>
      </w:r>
      <w:r w:rsidRPr="00A32AF4">
        <w:t xml:space="preserve">  </w:t>
      </w:r>
      <w:r w:rsidRPr="00A32AF4">
        <w:rPr>
          <w:rFonts w:cs="Arial"/>
        </w:rPr>
        <w:t>Le coût total moyen est déterminé par les dépenses directes totales du PCT (dépenses engagées par le Bureau international dans l</w:t>
      </w:r>
      <w:r w:rsidR="00E2055A" w:rsidRPr="00A32AF4">
        <w:rPr>
          <w:rFonts w:cs="Arial"/>
        </w:rPr>
        <w:t>’</w:t>
      </w:r>
      <w:r w:rsidRPr="00A32AF4">
        <w:rPr>
          <w:rFonts w:cs="Arial"/>
        </w:rPr>
        <w:t>administration du système du PCT et les programmes associés), plus une part des dépenses indirectes liées aux activités de gestion et d</w:t>
      </w:r>
      <w:r w:rsidR="00E2055A" w:rsidRPr="00A32AF4">
        <w:rPr>
          <w:rFonts w:cs="Arial"/>
        </w:rPr>
        <w:t>’</w:t>
      </w:r>
      <w:r w:rsidRPr="00A32AF4">
        <w:rPr>
          <w:rFonts w:cs="Arial"/>
        </w:rPr>
        <w:t>assistance (bâtiments, informatique et autres).</w:t>
      </w:r>
      <w:r w:rsidRPr="00A32AF4">
        <w:t xml:space="preserve">  </w:t>
      </w:r>
      <w:r w:rsidRPr="00A32AF4">
        <w:rPr>
          <w:rFonts w:cs="Arial"/>
        </w:rPr>
        <w:t>Ces dernières sont pondérées pour ne tenir compte que de la part imputable au système du PCT.</w:t>
      </w:r>
      <w:r w:rsidRPr="00A32AF4">
        <w:t xml:space="preserve">  </w:t>
      </w:r>
      <w:r w:rsidRPr="00A32AF4">
        <w:rPr>
          <w:rFonts w:cs="Arial"/>
        </w:rPr>
        <w:t xml:space="preserve">Le coût unitaire englobe donc le coût de toutes les activités du PCT, </w:t>
      </w:r>
      <w:r w:rsidR="00E2055A" w:rsidRPr="00A32AF4">
        <w:rPr>
          <w:rFonts w:cs="Arial"/>
        </w:rPr>
        <w:t>y compris</w:t>
      </w:r>
      <w:r w:rsidRPr="00A32AF4">
        <w:rPr>
          <w:rFonts w:cs="Arial"/>
        </w:rPr>
        <w:t xml:space="preserve"> la traduction, la communication, la gestion, etc.</w:t>
      </w:r>
    </w:p>
    <w:p w:rsidR="00F93B76" w:rsidRPr="00A32AF4" w:rsidRDefault="00F93B76" w:rsidP="00DC0553">
      <w:pPr>
        <w:jc w:val="both"/>
        <w:rPr>
          <w:rFonts w:cs="Arial"/>
        </w:rPr>
      </w:pPr>
    </w:p>
    <w:p w:rsidR="00F93B76" w:rsidRPr="00A32AF4" w:rsidRDefault="00D659C6" w:rsidP="00DC0553">
      <w:pPr>
        <w:numPr>
          <w:ilvl w:val="0"/>
          <w:numId w:val="37"/>
        </w:numPr>
        <w:rPr>
          <w:rFonts w:cs="Arial"/>
        </w:rPr>
      </w:pPr>
      <w:r w:rsidRPr="00A32AF4">
        <w:rPr>
          <w:rFonts w:cs="Arial"/>
        </w:rPr>
        <w:t>La méthodologie employée pour imputer les coûts unitaires a été révisée en 2013, afin de l</w:t>
      </w:r>
      <w:r w:rsidR="00E2055A" w:rsidRPr="00A32AF4">
        <w:rPr>
          <w:rFonts w:cs="Arial"/>
        </w:rPr>
        <w:t>’</w:t>
      </w:r>
      <w:r w:rsidRPr="00A32AF4">
        <w:rPr>
          <w:rFonts w:cs="Arial"/>
        </w:rPr>
        <w:t>aligner sur les autres calculs de coûts unitaires/de l</w:t>
      </w:r>
      <w:r w:rsidR="00E2055A" w:rsidRPr="00A32AF4">
        <w:rPr>
          <w:rFonts w:cs="Arial"/>
        </w:rPr>
        <w:t>’</w:t>
      </w:r>
      <w:r w:rsidRPr="00A32AF4">
        <w:rPr>
          <w:rFonts w:cs="Arial"/>
        </w:rPr>
        <w:t>Union et de mieux rendre compte de l</w:t>
      </w:r>
      <w:r w:rsidR="00E2055A" w:rsidRPr="00A32AF4">
        <w:rPr>
          <w:rFonts w:cs="Arial"/>
        </w:rPr>
        <w:t>’</w:t>
      </w:r>
      <w:r w:rsidRPr="00A32AF4">
        <w:rPr>
          <w:rFonts w:cs="Arial"/>
        </w:rPr>
        <w:t>environnement en rapide évolution.</w:t>
      </w:r>
      <w:r w:rsidRPr="00A32AF4">
        <w:t xml:space="preserve">  </w:t>
      </w:r>
      <w:r w:rsidRPr="00A32AF4">
        <w:rPr>
          <w:rFonts w:cs="Arial"/>
        </w:rPr>
        <w:t>À titre d</w:t>
      </w:r>
      <w:r w:rsidR="00E2055A" w:rsidRPr="00A32AF4">
        <w:rPr>
          <w:rFonts w:cs="Arial"/>
        </w:rPr>
        <w:t>’</w:t>
      </w:r>
      <w:r w:rsidRPr="00A32AF4">
        <w:rPr>
          <w:rFonts w:cs="Arial"/>
        </w:rPr>
        <w:t>exemple, l</w:t>
      </w:r>
      <w:r w:rsidR="00E2055A" w:rsidRPr="00A32AF4">
        <w:rPr>
          <w:rFonts w:cs="Arial"/>
        </w:rPr>
        <w:t>’</w:t>
      </w:r>
      <w:r w:rsidRPr="00A32AF4">
        <w:rPr>
          <w:rFonts w:cs="Arial"/>
        </w:rPr>
        <w:t>ancienne méthode, qui avait été conçue en 2007, comprenait un coût de stockage (sur 30 ans) en entrepôts, alors que les dépôts au format papier (</w:t>
      </w:r>
      <w:r w:rsidR="00E2055A" w:rsidRPr="00A32AF4">
        <w:rPr>
          <w:rFonts w:cs="Arial"/>
        </w:rPr>
        <w:t>y compris</w:t>
      </w:r>
      <w:r w:rsidRPr="00A32AF4">
        <w:rPr>
          <w:rFonts w:cs="Arial"/>
        </w:rPr>
        <w:t xml:space="preserve"> les dépôts du système PCT EASY) représentaient moins de 10% des dépôts en 2013.</w:t>
      </w:r>
      <w:r w:rsidRPr="00A32AF4">
        <w:t xml:space="preserve">  </w:t>
      </w:r>
      <w:r w:rsidRPr="00A32AF4">
        <w:rPr>
          <w:rFonts w:cs="Arial"/>
        </w:rPr>
        <w:t>Le coût unitaire du PCT en 2012 a été calculé au moyen de deux méthodes.  Il s</w:t>
      </w:r>
      <w:r w:rsidR="00E2055A" w:rsidRPr="00A32AF4">
        <w:rPr>
          <w:rFonts w:cs="Arial"/>
        </w:rPr>
        <w:t>’</w:t>
      </w:r>
      <w:r w:rsidRPr="00A32AF4">
        <w:rPr>
          <w:rFonts w:cs="Arial"/>
        </w:rPr>
        <w:t>élevait à 680 francs suisses avec l</w:t>
      </w:r>
      <w:r w:rsidR="00E2055A" w:rsidRPr="00A32AF4">
        <w:rPr>
          <w:rFonts w:cs="Arial"/>
        </w:rPr>
        <w:t>’</w:t>
      </w:r>
      <w:r w:rsidRPr="00A32AF4">
        <w:rPr>
          <w:rFonts w:cs="Arial"/>
        </w:rPr>
        <w:t>ancienne méthode et à 712 francs suisses avec la nouvelle.  La différence de 32 francs suisses tient à la nouvelle méthode d</w:t>
      </w:r>
      <w:r w:rsidR="00E2055A" w:rsidRPr="00A32AF4">
        <w:rPr>
          <w:rFonts w:cs="Arial"/>
        </w:rPr>
        <w:t>’</w:t>
      </w:r>
      <w:r w:rsidRPr="00A32AF4">
        <w:rPr>
          <w:rFonts w:cs="Arial"/>
        </w:rPr>
        <w:t>affectation des coûts indirects.</w:t>
      </w:r>
    </w:p>
    <w:p w:rsidR="00F93B76" w:rsidRPr="00A32AF4" w:rsidRDefault="00F93B76" w:rsidP="00DC0553">
      <w:pPr>
        <w:jc w:val="both"/>
        <w:rPr>
          <w:rFonts w:cs="Arial"/>
        </w:rPr>
      </w:pPr>
    </w:p>
    <w:p w:rsidR="00F93B76" w:rsidRPr="00A32AF4" w:rsidRDefault="00D659C6" w:rsidP="00DC0553">
      <w:pPr>
        <w:keepNext/>
        <w:keepLines/>
        <w:numPr>
          <w:ilvl w:val="0"/>
          <w:numId w:val="37"/>
        </w:numPr>
        <w:rPr>
          <w:rFonts w:cs="Arial"/>
        </w:rPr>
      </w:pPr>
      <w:r w:rsidRPr="00A32AF4">
        <w:rPr>
          <w:rFonts w:cs="Arial"/>
        </w:rPr>
        <w:t xml:space="preserve">De manière formelle, le coût unitaire est </w:t>
      </w:r>
      <w:r w:rsidR="006D5B84" w:rsidRPr="00A32AF4">
        <w:rPr>
          <w:rFonts w:cs="Arial"/>
        </w:rPr>
        <w:t>défini</w:t>
      </w:r>
      <w:r w:rsidRPr="00A32AF4">
        <w:rPr>
          <w:rFonts w:cs="Arial"/>
        </w:rPr>
        <w:t xml:space="preserve"> comme suit :</w:t>
      </w:r>
    </w:p>
    <w:p w:rsidR="00F93B76" w:rsidRPr="00A32AF4" w:rsidRDefault="00F93B76" w:rsidP="00DC0553">
      <w:pPr>
        <w:keepNext/>
        <w:keepLines/>
        <w:rPr>
          <w:rFonts w:cs="Arial"/>
        </w:rPr>
      </w:pPr>
    </w:p>
    <w:p w:rsidR="00F93B76" w:rsidRPr="00A32AF4" w:rsidRDefault="00130644" w:rsidP="00DC0553">
      <w:pPr>
        <w:keepNext/>
        <w:keepLines/>
        <w:jc w:val="center"/>
        <w:rPr>
          <w:rFonts w:cs="Arial"/>
        </w:rPr>
      </w:pPr>
      <w:r>
        <w:pict>
          <v:shape id="_x0000_i1029" type="#_x0000_t75" style="width:178.05pt;height:27pt">
            <v:imagedata r:id="rId229" o:title=""/>
          </v:shape>
        </w:pict>
      </w:r>
    </w:p>
    <w:p w:rsidR="00F93B76" w:rsidRPr="00A32AF4" w:rsidRDefault="00F93B76" w:rsidP="00DC0553">
      <w:pPr>
        <w:rPr>
          <w:rFonts w:cs="Arial"/>
        </w:rPr>
      </w:pPr>
    </w:p>
    <w:p w:rsidR="00F93B76" w:rsidRPr="00A32AF4" w:rsidRDefault="00D659C6" w:rsidP="00DC0553">
      <w:pPr>
        <w:numPr>
          <w:ilvl w:val="0"/>
          <w:numId w:val="37"/>
        </w:numPr>
        <w:rPr>
          <w:rFonts w:cs="Arial"/>
        </w:rPr>
      </w:pPr>
      <w:r w:rsidRPr="00A32AF4">
        <w:rPr>
          <w:rFonts w:cs="Arial"/>
        </w:rPr>
        <w:t>Les diagrammes ci</w:t>
      </w:r>
      <w:r w:rsidR="00EB7F54" w:rsidRPr="00A32AF4">
        <w:rPr>
          <w:rFonts w:cs="Arial"/>
        </w:rPr>
        <w:noBreakHyphen/>
      </w:r>
      <w:r w:rsidRPr="00A32AF4">
        <w:rPr>
          <w:rFonts w:cs="Arial"/>
        </w:rPr>
        <w:t>dessous illustrent l</w:t>
      </w:r>
      <w:r w:rsidR="00E2055A" w:rsidRPr="00A32AF4">
        <w:rPr>
          <w:rFonts w:cs="Arial"/>
        </w:rPr>
        <w:t>’</w:t>
      </w:r>
      <w:r w:rsidRPr="00A32AF4">
        <w:rPr>
          <w:rFonts w:cs="Arial"/>
        </w:rPr>
        <w:t>évolution du coût unitaire du traitement entre 2004 et 2012, calculé avec l</w:t>
      </w:r>
      <w:r w:rsidR="00E2055A" w:rsidRPr="00A32AF4">
        <w:rPr>
          <w:rFonts w:cs="Arial"/>
        </w:rPr>
        <w:t>’</w:t>
      </w:r>
      <w:r w:rsidRPr="00A32AF4">
        <w:rPr>
          <w:rFonts w:cs="Arial"/>
        </w:rPr>
        <w:t xml:space="preserve">ancienne méthode, et entre 2012 et 2014, avec la nouvelle méthode, </w:t>
      </w:r>
      <w:r w:rsidR="00E2055A" w:rsidRPr="00A32AF4">
        <w:rPr>
          <w:rFonts w:cs="Arial"/>
        </w:rPr>
        <w:t>y compris</w:t>
      </w:r>
      <w:r w:rsidRPr="00A32AF4">
        <w:rPr>
          <w:rFonts w:cs="Arial"/>
        </w:rPr>
        <w:t xml:space="preserve"> la répartition de la contribution des coûts directs et indirects.</w:t>
      </w:r>
    </w:p>
    <w:p w:rsidR="00F93B76" w:rsidRPr="00A32AF4" w:rsidRDefault="00F93B76" w:rsidP="00DC0553">
      <w:pPr>
        <w:rPr>
          <w:rFonts w:cs="Arial"/>
        </w:rPr>
      </w:pPr>
    </w:p>
    <w:p w:rsidR="00F93B76" w:rsidRPr="00A32AF4" w:rsidRDefault="00D659C6" w:rsidP="00DC0553">
      <w:pPr>
        <w:keepNext/>
        <w:keepLines/>
        <w:jc w:val="center"/>
        <w:rPr>
          <w:rFonts w:cs="Arial"/>
          <w:b/>
        </w:rPr>
      </w:pPr>
      <w:r w:rsidRPr="00A32AF4">
        <w:rPr>
          <w:rFonts w:cs="Arial"/>
          <w:b/>
        </w:rPr>
        <w:t>Coût unitaire du traitement d</w:t>
      </w:r>
      <w:r w:rsidR="00E2055A" w:rsidRPr="00A32AF4">
        <w:rPr>
          <w:rFonts w:cs="Arial"/>
          <w:b/>
        </w:rPr>
        <w:t>’</w:t>
      </w:r>
      <w:r w:rsidRPr="00A32AF4">
        <w:rPr>
          <w:rFonts w:cs="Arial"/>
          <w:b/>
        </w:rPr>
        <w:t>une demande selon le PCT publiée</w:t>
      </w:r>
    </w:p>
    <w:p w:rsidR="00D659C6" w:rsidRPr="00A32AF4" w:rsidRDefault="00D659C6" w:rsidP="00DC0553">
      <w:pPr>
        <w:keepNext/>
        <w:keepLines/>
        <w:ind w:left="720"/>
        <w:rPr>
          <w:rFonts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0"/>
        <w:gridCol w:w="4627"/>
      </w:tblGrid>
      <w:tr w:rsidR="00D659C6" w:rsidRPr="00A32AF4" w:rsidTr="00115F7D">
        <w:tc>
          <w:tcPr>
            <w:tcW w:w="4644" w:type="dxa"/>
            <w:shd w:val="clear" w:color="auto" w:fill="auto"/>
          </w:tcPr>
          <w:p w:rsidR="00D659C6" w:rsidRPr="00A32AF4" w:rsidRDefault="00D659C6" w:rsidP="00DC0553">
            <w:pPr>
              <w:keepNext/>
              <w:keepLines/>
              <w:jc w:val="center"/>
              <w:rPr>
                <w:rFonts w:cs="Arial"/>
              </w:rPr>
            </w:pPr>
            <w:r w:rsidRPr="00A32AF4">
              <w:rPr>
                <w:rFonts w:cs="Arial"/>
              </w:rPr>
              <w:t>Ancienne méthode</w:t>
            </w:r>
          </w:p>
        </w:tc>
        <w:tc>
          <w:tcPr>
            <w:tcW w:w="4645" w:type="dxa"/>
            <w:shd w:val="clear" w:color="auto" w:fill="auto"/>
          </w:tcPr>
          <w:p w:rsidR="00D659C6" w:rsidRPr="00A32AF4" w:rsidRDefault="00D659C6" w:rsidP="00DC0553">
            <w:pPr>
              <w:keepNext/>
              <w:keepLines/>
              <w:jc w:val="center"/>
              <w:rPr>
                <w:rFonts w:cs="Arial"/>
              </w:rPr>
            </w:pPr>
            <w:r w:rsidRPr="00A32AF4">
              <w:rPr>
                <w:rFonts w:cs="Arial"/>
              </w:rPr>
              <w:t>Nouvelle méthode</w:t>
            </w:r>
          </w:p>
        </w:tc>
      </w:tr>
      <w:tr w:rsidR="00D659C6" w:rsidRPr="00A32AF4" w:rsidTr="00115F7D">
        <w:tc>
          <w:tcPr>
            <w:tcW w:w="4644" w:type="dxa"/>
            <w:shd w:val="clear" w:color="auto" w:fill="auto"/>
          </w:tcPr>
          <w:p w:rsidR="00D659C6" w:rsidRPr="00A32AF4" w:rsidRDefault="00130644" w:rsidP="00DC0553">
            <w:pPr>
              <w:keepNext/>
              <w:keepLines/>
              <w:rPr>
                <w:rFonts w:cs="Arial"/>
              </w:rPr>
            </w:pPr>
            <w:r>
              <w:rPr>
                <w:rFonts w:cs="Arial"/>
              </w:rPr>
              <w:pict>
                <v:shape id="_x0000_i1030" type="#_x0000_t75" style="width:242.3pt;height:161.45pt">
                  <v:imagedata r:id="rId230" o:title=""/>
                </v:shape>
              </w:pict>
            </w:r>
          </w:p>
        </w:tc>
        <w:tc>
          <w:tcPr>
            <w:tcW w:w="4645" w:type="dxa"/>
            <w:shd w:val="clear" w:color="auto" w:fill="auto"/>
          </w:tcPr>
          <w:p w:rsidR="00D659C6" w:rsidRPr="00A32AF4" w:rsidRDefault="00130644" w:rsidP="00DC0553">
            <w:pPr>
              <w:keepNext/>
              <w:keepLines/>
              <w:rPr>
                <w:rFonts w:cs="Arial"/>
              </w:rPr>
            </w:pPr>
            <w:r>
              <w:rPr>
                <w:rFonts w:cs="Arial"/>
              </w:rPr>
              <w:pict>
                <v:shape id="_x0000_i1031" type="#_x0000_t75" style="width:240.45pt;height:155.05pt">
                  <v:imagedata r:id="rId231" o:title=""/>
                </v:shape>
              </w:pict>
            </w:r>
          </w:p>
        </w:tc>
      </w:tr>
    </w:tbl>
    <w:p w:rsidR="00F93B76" w:rsidRPr="00A32AF4" w:rsidRDefault="00F93B76" w:rsidP="00DC0553">
      <w:pPr>
        <w:rPr>
          <w:rFonts w:cs="Arial"/>
        </w:rPr>
      </w:pPr>
    </w:p>
    <w:p w:rsidR="00F93B76" w:rsidRPr="00A32AF4" w:rsidRDefault="00D659C6" w:rsidP="00DC0553">
      <w:pPr>
        <w:numPr>
          <w:ilvl w:val="0"/>
          <w:numId w:val="35"/>
        </w:numPr>
        <w:tabs>
          <w:tab w:val="clear" w:pos="720"/>
          <w:tab w:val="num" w:pos="1134"/>
        </w:tabs>
        <w:ind w:left="1134" w:hanging="567"/>
        <w:jc w:val="both"/>
        <w:rPr>
          <w:rFonts w:cs="Arial"/>
        </w:rPr>
      </w:pPr>
      <w:r w:rsidRPr="00A32AF4">
        <w:rPr>
          <w:rFonts w:cs="Arial"/>
        </w:rPr>
        <w:t>Le coût moyen du traitement d</w:t>
      </w:r>
      <w:r w:rsidR="00E2055A" w:rsidRPr="00A32AF4">
        <w:rPr>
          <w:rFonts w:cs="Arial"/>
        </w:rPr>
        <w:t>’</w:t>
      </w:r>
      <w:r w:rsidRPr="00A32AF4">
        <w:rPr>
          <w:rFonts w:cs="Arial"/>
        </w:rPr>
        <w:t>une demande selon le PCT publiée était de 662 francs suisses en 2014, soit une diminution de 8,3% par rapport à 2013.</w:t>
      </w:r>
      <w:r w:rsidRPr="00A32AF4">
        <w:t xml:space="preserve">  </w:t>
      </w:r>
      <w:r w:rsidRPr="00A32AF4">
        <w:rPr>
          <w:rFonts w:cs="Arial"/>
        </w:rPr>
        <w:t>Cette baisse est le résultat de diverses mesures de maîtrise des coûts, notamment l</w:t>
      </w:r>
      <w:r w:rsidR="00E2055A" w:rsidRPr="00A32AF4">
        <w:rPr>
          <w:rFonts w:cs="Arial"/>
        </w:rPr>
        <w:t>’</w:t>
      </w:r>
      <w:r w:rsidRPr="00A32AF4">
        <w:rPr>
          <w:rFonts w:cs="Arial"/>
        </w:rPr>
        <w:t>automatisation.</w:t>
      </w:r>
    </w:p>
    <w:p w:rsidR="00F93B76" w:rsidRPr="00A32AF4" w:rsidRDefault="00F93B76" w:rsidP="00DC0553">
      <w:pPr>
        <w:pStyle w:val="ListParagraph"/>
        <w:tabs>
          <w:tab w:val="num" w:pos="1134"/>
        </w:tabs>
        <w:ind w:left="0"/>
        <w:rPr>
          <w:rFonts w:cs="Arial"/>
          <w:szCs w:val="20"/>
        </w:rPr>
      </w:pPr>
    </w:p>
    <w:p w:rsidR="00F93B76" w:rsidRPr="00A32AF4" w:rsidRDefault="00D659C6" w:rsidP="00DC0553">
      <w:pPr>
        <w:pStyle w:val="ListParagraph"/>
        <w:numPr>
          <w:ilvl w:val="0"/>
          <w:numId w:val="35"/>
        </w:numPr>
        <w:tabs>
          <w:tab w:val="clear" w:pos="720"/>
          <w:tab w:val="num" w:pos="1134"/>
        </w:tabs>
        <w:spacing w:line="240" w:lineRule="auto"/>
        <w:ind w:left="1134" w:hanging="567"/>
        <w:jc w:val="both"/>
        <w:rPr>
          <w:rFonts w:ascii="Arial" w:hAnsi="Arial" w:cs="Arial"/>
          <w:szCs w:val="20"/>
        </w:rPr>
      </w:pPr>
      <w:r w:rsidRPr="00A32AF4">
        <w:rPr>
          <w:rFonts w:ascii="Arial" w:hAnsi="Arial" w:cs="Arial"/>
          <w:szCs w:val="20"/>
        </w:rPr>
        <w:t>Le coût moyen de traitement d</w:t>
      </w:r>
      <w:r w:rsidR="00E2055A" w:rsidRPr="00A32AF4">
        <w:rPr>
          <w:rFonts w:ascii="Arial" w:hAnsi="Arial" w:cs="Arial"/>
          <w:szCs w:val="20"/>
        </w:rPr>
        <w:t>’</w:t>
      </w:r>
      <w:r w:rsidRPr="00A32AF4">
        <w:rPr>
          <w:rFonts w:ascii="Arial" w:hAnsi="Arial" w:cs="Arial"/>
          <w:szCs w:val="20"/>
        </w:rPr>
        <w:t>une demande selon le PCT publiée, calculé au moyen de l</w:t>
      </w:r>
      <w:r w:rsidR="00E2055A" w:rsidRPr="00A32AF4">
        <w:rPr>
          <w:rFonts w:ascii="Arial" w:hAnsi="Arial" w:cs="Arial"/>
          <w:szCs w:val="20"/>
        </w:rPr>
        <w:t>’</w:t>
      </w:r>
      <w:r w:rsidRPr="00A32AF4">
        <w:rPr>
          <w:rFonts w:ascii="Arial" w:hAnsi="Arial" w:cs="Arial"/>
          <w:szCs w:val="20"/>
        </w:rPr>
        <w:t>ancienne méthode, a baissé en moyenne de 5% par an, passant de 1042 francs suisses en 2004 à 680 francs suisses en 2012.</w:t>
      </w:r>
    </w:p>
    <w:p w:rsidR="00F93B76" w:rsidRPr="00A32AF4" w:rsidRDefault="00F93B76" w:rsidP="00DC0553"/>
    <w:p w:rsidR="00F93B76" w:rsidRPr="00A32AF4" w:rsidRDefault="00D659C6" w:rsidP="00DC0553">
      <w:pPr>
        <w:rPr>
          <w:rFonts w:cs="Arial"/>
          <w:i/>
        </w:rPr>
      </w:pPr>
      <w:r w:rsidRPr="00A32AF4">
        <w:rPr>
          <w:rFonts w:cs="Arial"/>
          <w:i/>
        </w:rPr>
        <w:t>Productivité en matière d</w:t>
      </w:r>
      <w:r w:rsidR="00E2055A" w:rsidRPr="00A32AF4">
        <w:rPr>
          <w:rFonts w:cs="Arial"/>
          <w:i/>
        </w:rPr>
        <w:t>’</w:t>
      </w:r>
      <w:r w:rsidRPr="00A32AF4">
        <w:rPr>
          <w:rFonts w:cs="Arial"/>
          <w:i/>
        </w:rPr>
        <w:t>examen de forme</w:t>
      </w:r>
    </w:p>
    <w:p w:rsidR="00F93B76" w:rsidRPr="00A32AF4" w:rsidRDefault="00F93B76" w:rsidP="00DC0553">
      <w:pPr>
        <w:rPr>
          <w:rFonts w:cs="Arial"/>
        </w:rPr>
      </w:pPr>
    </w:p>
    <w:p w:rsidR="00F93B76" w:rsidRPr="00A32AF4" w:rsidRDefault="00D659C6" w:rsidP="00DC0553">
      <w:pPr>
        <w:numPr>
          <w:ilvl w:val="0"/>
          <w:numId w:val="37"/>
        </w:numPr>
        <w:rPr>
          <w:rFonts w:cs="Arial"/>
        </w:rPr>
      </w:pPr>
      <w:r w:rsidRPr="00A32AF4">
        <w:rPr>
          <w:rFonts w:cs="Arial"/>
        </w:rPr>
        <w:t>La productivité du personnel est calculée en divisant la production (c</w:t>
      </w:r>
      <w:r w:rsidR="00E2055A" w:rsidRPr="00A32AF4">
        <w:rPr>
          <w:rFonts w:cs="Arial"/>
        </w:rPr>
        <w:t>’</w:t>
      </w:r>
      <w:r w:rsidRPr="00A32AF4">
        <w:rPr>
          <w:rFonts w:cs="Arial"/>
        </w:rPr>
        <w:t>est</w:t>
      </w:r>
      <w:r w:rsidR="00EB7F54" w:rsidRPr="00A32AF4">
        <w:rPr>
          <w:rFonts w:cs="Arial"/>
        </w:rPr>
        <w:noBreakHyphen/>
      </w:r>
      <w:r w:rsidRPr="00A32AF4">
        <w:rPr>
          <w:rFonts w:cs="Arial"/>
        </w:rPr>
        <w:t>à</w:t>
      </w:r>
      <w:r w:rsidR="00EB7F54" w:rsidRPr="00A32AF4">
        <w:rPr>
          <w:rFonts w:cs="Arial"/>
        </w:rPr>
        <w:noBreakHyphen/>
      </w:r>
      <w:r w:rsidRPr="00A32AF4">
        <w:rPr>
          <w:rFonts w:cs="Arial"/>
        </w:rPr>
        <w:t>dire le nombre de publications du PCT) par les effectifs aux fins de l</w:t>
      </w:r>
      <w:r w:rsidR="00E2055A" w:rsidRPr="00A32AF4">
        <w:rPr>
          <w:rFonts w:cs="Arial"/>
        </w:rPr>
        <w:t>’</w:t>
      </w:r>
      <w:r w:rsidRPr="00A32AF4">
        <w:rPr>
          <w:rFonts w:cs="Arial"/>
        </w:rPr>
        <w:t>examen de forme.</w:t>
      </w:r>
    </w:p>
    <w:p w:rsidR="00F93B76" w:rsidRPr="00A32AF4" w:rsidRDefault="00F93B76" w:rsidP="00DC0553">
      <w:pPr>
        <w:rPr>
          <w:rFonts w:cs="Arial"/>
        </w:rPr>
      </w:pPr>
    </w:p>
    <w:p w:rsidR="00F93B76" w:rsidRPr="00A32AF4" w:rsidRDefault="00D659C6" w:rsidP="00DC0553">
      <w:pPr>
        <w:jc w:val="center"/>
        <w:rPr>
          <w:rFonts w:cs="Arial"/>
          <w:b/>
        </w:rPr>
      </w:pPr>
      <w:r w:rsidRPr="00A32AF4">
        <w:rPr>
          <w:rFonts w:cs="Arial"/>
          <w:b/>
        </w:rPr>
        <w:t>Productivité en matière d</w:t>
      </w:r>
      <w:r w:rsidR="00E2055A" w:rsidRPr="00A32AF4">
        <w:rPr>
          <w:rFonts w:cs="Arial"/>
          <w:b/>
        </w:rPr>
        <w:t>’</w:t>
      </w:r>
      <w:r w:rsidRPr="00A32AF4">
        <w:rPr>
          <w:rFonts w:cs="Arial"/>
          <w:b/>
        </w:rPr>
        <w:t>examen de forme</w:t>
      </w:r>
    </w:p>
    <w:p w:rsidR="00F93B76" w:rsidRPr="00A32AF4" w:rsidRDefault="00130644" w:rsidP="00DC0553">
      <w:pPr>
        <w:rPr>
          <w:rFonts w:cs="Arial"/>
          <w:b/>
          <w:bCs/>
          <w:sz w:val="18"/>
          <w:szCs w:val="18"/>
        </w:rPr>
      </w:pPr>
      <w:r>
        <w:pict>
          <v:shape id="_x0000_i1032" type="#_x0000_t75" style="width:431.45pt;height:211.45pt">
            <v:imagedata r:id="rId232" o:title=""/>
          </v:shape>
        </w:pict>
      </w:r>
    </w:p>
    <w:p w:rsidR="00F93B76" w:rsidRPr="00A32AF4" w:rsidRDefault="00F93B76" w:rsidP="00DC0553"/>
    <w:p w:rsidR="00F93B76" w:rsidRPr="00A32AF4" w:rsidRDefault="00D659C6" w:rsidP="00DC0553">
      <w:pPr>
        <w:pStyle w:val="ListParagraph"/>
        <w:numPr>
          <w:ilvl w:val="0"/>
          <w:numId w:val="35"/>
        </w:numPr>
        <w:tabs>
          <w:tab w:val="clear" w:pos="720"/>
          <w:tab w:val="num" w:pos="1134"/>
        </w:tabs>
        <w:spacing w:line="240" w:lineRule="auto"/>
        <w:ind w:left="1134" w:hanging="567"/>
        <w:jc w:val="both"/>
        <w:rPr>
          <w:rFonts w:ascii="Arial" w:hAnsi="Arial" w:cs="Arial"/>
          <w:szCs w:val="20"/>
        </w:rPr>
      </w:pPr>
      <w:r w:rsidRPr="00A32AF4">
        <w:rPr>
          <w:rFonts w:ascii="Arial" w:hAnsi="Arial" w:cs="Arial"/>
          <w:szCs w:val="20"/>
        </w:rPr>
        <w:t>Fait marquant, la productivité de l</w:t>
      </w:r>
      <w:r w:rsidR="00E2055A" w:rsidRPr="00A32AF4">
        <w:rPr>
          <w:rFonts w:ascii="Arial" w:hAnsi="Arial" w:cs="Arial"/>
          <w:szCs w:val="20"/>
        </w:rPr>
        <w:t>’</w:t>
      </w:r>
      <w:r w:rsidRPr="00A32AF4">
        <w:rPr>
          <w:rFonts w:ascii="Arial" w:hAnsi="Arial" w:cs="Arial"/>
          <w:szCs w:val="20"/>
        </w:rPr>
        <w:t>examen de forme a augmenté, en raison essentiellement de l</w:t>
      </w:r>
      <w:r w:rsidR="00E2055A" w:rsidRPr="00A32AF4">
        <w:rPr>
          <w:rFonts w:ascii="Arial" w:hAnsi="Arial" w:cs="Arial"/>
          <w:szCs w:val="20"/>
        </w:rPr>
        <w:t>’</w:t>
      </w:r>
      <w:r w:rsidRPr="00A32AF4">
        <w:rPr>
          <w:rFonts w:ascii="Arial" w:hAnsi="Arial" w:cs="Arial"/>
          <w:szCs w:val="20"/>
        </w:rPr>
        <w:t>automatisation qui a permis le traitement d</w:t>
      </w:r>
      <w:r w:rsidR="00E2055A" w:rsidRPr="00A32AF4">
        <w:rPr>
          <w:rFonts w:ascii="Arial" w:hAnsi="Arial" w:cs="Arial"/>
          <w:szCs w:val="20"/>
        </w:rPr>
        <w:t>’</w:t>
      </w:r>
      <w:r w:rsidRPr="00A32AF4">
        <w:rPr>
          <w:rFonts w:ascii="Arial" w:hAnsi="Arial" w:cs="Arial"/>
          <w:szCs w:val="20"/>
        </w:rPr>
        <w:t>une charge de travail beaucoup plus importante avec moins ou autant de personnel.</w:t>
      </w:r>
    </w:p>
    <w:p w:rsidR="00F93B76" w:rsidRPr="00A32AF4" w:rsidRDefault="00F93B76" w:rsidP="00DC0553"/>
    <w:p w:rsidR="00F93B76" w:rsidRPr="00A32AF4" w:rsidRDefault="00F93B76" w:rsidP="00DC0553"/>
    <w:p w:rsidR="00F93B76" w:rsidRPr="00A32AF4" w:rsidRDefault="00D659C6" w:rsidP="00DC0553">
      <w:pPr>
        <w:keepNext/>
        <w:keepLines/>
        <w:rPr>
          <w:rFonts w:cs="Arial"/>
          <w:i/>
        </w:rPr>
      </w:pPr>
      <w:r w:rsidRPr="00A32AF4">
        <w:rPr>
          <w:rFonts w:cs="Arial"/>
          <w:i/>
        </w:rPr>
        <w:t>Indicateur de qualité agrégé en matière d</w:t>
      </w:r>
      <w:r w:rsidR="00E2055A" w:rsidRPr="00A32AF4">
        <w:rPr>
          <w:rFonts w:cs="Arial"/>
          <w:i/>
        </w:rPr>
        <w:t>’</w:t>
      </w:r>
      <w:r w:rsidRPr="00A32AF4">
        <w:rPr>
          <w:rFonts w:cs="Arial"/>
          <w:i/>
        </w:rPr>
        <w:t>examen de forme</w:t>
      </w:r>
    </w:p>
    <w:p w:rsidR="00F93B76" w:rsidRPr="00A32AF4" w:rsidRDefault="00F93B76" w:rsidP="00DC0553">
      <w:pPr>
        <w:keepNext/>
        <w:keepLines/>
        <w:rPr>
          <w:rFonts w:cs="Arial"/>
        </w:rPr>
      </w:pPr>
    </w:p>
    <w:p w:rsidR="00F93B76" w:rsidRPr="00A32AF4" w:rsidRDefault="00D659C6" w:rsidP="00DC0553">
      <w:pPr>
        <w:numPr>
          <w:ilvl w:val="0"/>
          <w:numId w:val="37"/>
        </w:numPr>
        <w:rPr>
          <w:rFonts w:cs="Arial"/>
        </w:rPr>
      </w:pPr>
      <w:r w:rsidRPr="00A32AF4">
        <w:rPr>
          <w:rFonts w:cs="Arial"/>
        </w:rPr>
        <w:t>Pour mesurer d</w:t>
      </w:r>
      <w:r w:rsidR="00E2055A" w:rsidRPr="00A32AF4">
        <w:rPr>
          <w:rFonts w:cs="Arial"/>
        </w:rPr>
        <w:t>’</w:t>
      </w:r>
      <w:r w:rsidRPr="00A32AF4">
        <w:rPr>
          <w:rFonts w:cs="Arial"/>
        </w:rPr>
        <w:t>une manière simple et globale la qualité du travail qu</w:t>
      </w:r>
      <w:r w:rsidR="00E2055A" w:rsidRPr="00A32AF4">
        <w:rPr>
          <w:rFonts w:cs="Arial"/>
        </w:rPr>
        <w:t>’</w:t>
      </w:r>
      <w:r w:rsidRPr="00A32AF4">
        <w:rPr>
          <w:rFonts w:cs="Arial"/>
        </w:rPr>
        <w:t>il exécute, le Bureau international a mis au point un indicateur de qualité agrégé qui est la moyenne de quatre indicateurs de qualité principaux.  Trois sont fondés sur les délais pour les principales transactions entrant dans le cadre du système du PCT : accusé de réception de la demande selon le PCT, publication et nouvelle publication.  Le quatrième indicateur concerne les erreurs commises pendant le traitement des demandes selon le PCT.</w:t>
      </w:r>
    </w:p>
    <w:p w:rsidR="00F93B76" w:rsidRPr="00A32AF4" w:rsidRDefault="00F93B76" w:rsidP="00DC0553">
      <w:pPr>
        <w:rPr>
          <w:rFonts w:cs="Arial"/>
        </w:rPr>
      </w:pPr>
    </w:p>
    <w:p w:rsidR="00F93B76" w:rsidRPr="00A32AF4" w:rsidRDefault="00D659C6" w:rsidP="00DC0553">
      <w:pPr>
        <w:pStyle w:val="BodyText2"/>
        <w:jc w:val="center"/>
        <w:rPr>
          <w:rFonts w:cs="Arial"/>
          <w:b/>
          <w:bCs/>
        </w:rPr>
      </w:pPr>
      <w:r w:rsidRPr="00A32AF4">
        <w:rPr>
          <w:rFonts w:cs="Arial"/>
          <w:b/>
          <w:bCs/>
        </w:rPr>
        <w:t>Indicateur de qualité en matière d</w:t>
      </w:r>
      <w:r w:rsidR="00E2055A" w:rsidRPr="00A32AF4">
        <w:rPr>
          <w:rFonts w:cs="Arial"/>
          <w:b/>
          <w:bCs/>
        </w:rPr>
        <w:t>’</w:t>
      </w:r>
      <w:r w:rsidRPr="00A32AF4">
        <w:rPr>
          <w:rFonts w:cs="Arial"/>
          <w:b/>
          <w:bCs/>
        </w:rPr>
        <w:t>examen de forme</w:t>
      </w:r>
    </w:p>
    <w:p w:rsidR="00F93B76" w:rsidRPr="00A32AF4" w:rsidRDefault="00130644" w:rsidP="00DC0553">
      <w:pPr>
        <w:pStyle w:val="BodyText2"/>
        <w:rPr>
          <w:rFonts w:cs="Arial"/>
          <w:b/>
          <w:bCs/>
          <w:sz w:val="18"/>
          <w:szCs w:val="18"/>
        </w:rPr>
      </w:pPr>
      <w:r>
        <w:pict>
          <v:shape id="_x0000_i1033" type="#_x0000_t75" style="width:453.45pt;height:204.95pt">
            <v:imagedata r:id="rId233" o:title=""/>
          </v:shape>
        </w:pict>
      </w:r>
    </w:p>
    <w:p w:rsidR="00F93B76" w:rsidRPr="00A32AF4" w:rsidRDefault="00F93B76" w:rsidP="00DC0553"/>
    <w:p w:rsidR="00F93B76" w:rsidRPr="00A32AF4" w:rsidRDefault="00D659C6" w:rsidP="00DC0553">
      <w:pPr>
        <w:numPr>
          <w:ilvl w:val="0"/>
          <w:numId w:val="39"/>
        </w:numPr>
        <w:ind w:left="1134" w:hanging="567"/>
        <w:jc w:val="both"/>
        <w:rPr>
          <w:rFonts w:cs="Arial"/>
        </w:rPr>
      </w:pPr>
      <w:r w:rsidRPr="00A32AF4">
        <w:rPr>
          <w:rFonts w:cs="Arial"/>
        </w:rPr>
        <w:t>La qualité globale telle que mesurée par l</w:t>
      </w:r>
      <w:r w:rsidR="00E2055A" w:rsidRPr="00A32AF4">
        <w:rPr>
          <w:rFonts w:cs="Arial"/>
        </w:rPr>
        <w:t>’</w:t>
      </w:r>
      <w:r w:rsidRPr="00A32AF4">
        <w:rPr>
          <w:rFonts w:cs="Arial"/>
        </w:rPr>
        <w:t>indice agrégé s</w:t>
      </w:r>
      <w:r w:rsidR="00E2055A" w:rsidRPr="00A32AF4">
        <w:rPr>
          <w:rFonts w:cs="Arial"/>
        </w:rPr>
        <w:t>’</w:t>
      </w:r>
      <w:r w:rsidRPr="00A32AF4">
        <w:rPr>
          <w:rFonts w:cs="Arial"/>
        </w:rPr>
        <w:t>est notablement améliorée, passant d</w:t>
      </w:r>
      <w:r w:rsidR="00E2055A" w:rsidRPr="00A32AF4">
        <w:rPr>
          <w:rFonts w:cs="Arial"/>
        </w:rPr>
        <w:t>’</w:t>
      </w:r>
      <w:r w:rsidRPr="00A32AF4">
        <w:rPr>
          <w:rFonts w:cs="Arial"/>
        </w:rPr>
        <w:t>une moyenne de 81% en 2007 à 93,1% en 2014.</w:t>
      </w:r>
    </w:p>
    <w:p w:rsidR="00F93B76" w:rsidRPr="00A32AF4" w:rsidRDefault="00F93B76" w:rsidP="00DC0553">
      <w:pPr>
        <w:jc w:val="both"/>
        <w:rPr>
          <w:rFonts w:cs="Arial"/>
        </w:rPr>
      </w:pPr>
    </w:p>
    <w:p w:rsidR="00F93B76" w:rsidRPr="00A32AF4" w:rsidRDefault="00D659C6" w:rsidP="00DC0553">
      <w:pPr>
        <w:numPr>
          <w:ilvl w:val="0"/>
          <w:numId w:val="39"/>
        </w:numPr>
        <w:ind w:left="1134" w:hanging="567"/>
        <w:jc w:val="both"/>
        <w:rPr>
          <w:rFonts w:cs="Arial"/>
        </w:rPr>
      </w:pPr>
      <w:r w:rsidRPr="00A32AF4">
        <w:rPr>
          <w:rFonts w:cs="Arial"/>
        </w:rPr>
        <w:t>L</w:t>
      </w:r>
      <w:r w:rsidR="00E2055A" w:rsidRPr="00A32AF4">
        <w:rPr>
          <w:rFonts w:cs="Arial"/>
        </w:rPr>
        <w:t>’</w:t>
      </w:r>
      <w:r w:rsidRPr="00A32AF4">
        <w:rPr>
          <w:rFonts w:cs="Arial"/>
        </w:rPr>
        <w:t>augmentation considérable de l</w:t>
      </w:r>
      <w:r w:rsidR="00E2055A" w:rsidRPr="00A32AF4">
        <w:rPr>
          <w:rFonts w:cs="Arial"/>
        </w:rPr>
        <w:t>’</w:t>
      </w:r>
      <w:r w:rsidRPr="00A32AF4">
        <w:rPr>
          <w:rFonts w:cs="Arial"/>
        </w:rPr>
        <w:t>indicateur de qualité en 2014 est essentiellement due à une grande rapidité de réalisation de l</w:t>
      </w:r>
      <w:r w:rsidR="00E2055A" w:rsidRPr="00A32AF4">
        <w:rPr>
          <w:rFonts w:cs="Arial"/>
        </w:rPr>
        <w:t>’</w:t>
      </w:r>
      <w:r w:rsidRPr="00A32AF4">
        <w:rPr>
          <w:rFonts w:cs="Arial"/>
        </w:rPr>
        <w:t>examen de forme ainsi qu</w:t>
      </w:r>
      <w:r w:rsidR="00E2055A" w:rsidRPr="00A32AF4">
        <w:rPr>
          <w:rFonts w:cs="Arial"/>
        </w:rPr>
        <w:t>’</w:t>
      </w:r>
      <w:r w:rsidRPr="00A32AF4">
        <w:rPr>
          <w:rFonts w:cs="Arial"/>
        </w:rPr>
        <w:t>à une réduction des délais en cas de nouvelle publication de la demande avec le rapport de recherche internationale.  Les délais relatifs à l</w:t>
      </w:r>
      <w:r w:rsidR="00E2055A" w:rsidRPr="00A32AF4">
        <w:rPr>
          <w:rFonts w:cs="Arial"/>
        </w:rPr>
        <w:t>’</w:t>
      </w:r>
      <w:r w:rsidRPr="00A32AF4">
        <w:rPr>
          <w:rFonts w:cs="Arial"/>
        </w:rPr>
        <w:t>examen de forme et à la nouvelle publication constituent le principal facteur de la baisse de l</w:t>
      </w:r>
      <w:r w:rsidR="00E2055A" w:rsidRPr="00A32AF4">
        <w:rPr>
          <w:rFonts w:cs="Arial"/>
        </w:rPr>
        <w:t>’</w:t>
      </w:r>
      <w:r w:rsidRPr="00A32AF4">
        <w:rPr>
          <w:rFonts w:cs="Arial"/>
        </w:rPr>
        <w:t>indicateur de qualité observée entre 2010 et 2013.</w:t>
      </w:r>
    </w:p>
    <w:p w:rsidR="00F93B76" w:rsidRPr="00A32AF4" w:rsidRDefault="00F93B76" w:rsidP="00DC0553">
      <w:pPr>
        <w:jc w:val="both"/>
        <w:rPr>
          <w:rFonts w:cs="Arial"/>
        </w:rPr>
      </w:pPr>
    </w:p>
    <w:p w:rsidR="00F93B76" w:rsidRPr="00A32AF4" w:rsidRDefault="00F93B76" w:rsidP="00DC0553">
      <w:pPr>
        <w:pStyle w:val="ListParagraph"/>
        <w:ind w:left="0"/>
        <w:rPr>
          <w:rFonts w:cs="Arial"/>
        </w:rPr>
      </w:pPr>
    </w:p>
    <w:p w:rsidR="00F93B76" w:rsidRPr="00A32AF4" w:rsidRDefault="00D659C6" w:rsidP="00DC0553">
      <w:pPr>
        <w:rPr>
          <w:rFonts w:cs="Arial"/>
          <w:i/>
        </w:rPr>
      </w:pPr>
      <w:r w:rsidRPr="00A32AF4">
        <w:rPr>
          <w:rFonts w:cs="Arial"/>
          <w:i/>
        </w:rPr>
        <w:t>Délai de l</w:t>
      </w:r>
      <w:r w:rsidR="00E2055A" w:rsidRPr="00A32AF4">
        <w:rPr>
          <w:rFonts w:cs="Arial"/>
          <w:i/>
        </w:rPr>
        <w:t>’</w:t>
      </w:r>
      <w:r w:rsidRPr="00A32AF4">
        <w:rPr>
          <w:rFonts w:cs="Arial"/>
          <w:i/>
        </w:rPr>
        <w:t>examen de forme</w:t>
      </w:r>
    </w:p>
    <w:p w:rsidR="00F93B76" w:rsidRPr="00A32AF4" w:rsidRDefault="00F93B76" w:rsidP="00DC0553">
      <w:pPr>
        <w:rPr>
          <w:rFonts w:cs="Arial"/>
          <w:b/>
        </w:rPr>
      </w:pPr>
    </w:p>
    <w:p w:rsidR="00F93B76" w:rsidRPr="00A32AF4" w:rsidRDefault="00D659C6" w:rsidP="00DC0553">
      <w:pPr>
        <w:numPr>
          <w:ilvl w:val="0"/>
          <w:numId w:val="37"/>
        </w:numPr>
        <w:rPr>
          <w:rFonts w:cs="Arial"/>
          <w:b/>
        </w:rPr>
      </w:pPr>
      <w:r w:rsidRPr="00A32AF4">
        <w:rPr>
          <w:rFonts w:cs="Arial"/>
        </w:rPr>
        <w:t>Cet indicateur présente de manière plus détaillée l</w:t>
      </w:r>
      <w:r w:rsidR="00E2055A" w:rsidRPr="00A32AF4">
        <w:rPr>
          <w:rFonts w:cs="Arial"/>
        </w:rPr>
        <w:t>’</w:t>
      </w:r>
      <w:r w:rsidRPr="00A32AF4">
        <w:rPr>
          <w:rFonts w:cs="Arial"/>
        </w:rPr>
        <w:t>une des composantes de l</w:t>
      </w:r>
      <w:r w:rsidR="00E2055A" w:rsidRPr="00A32AF4">
        <w:rPr>
          <w:rFonts w:cs="Arial"/>
        </w:rPr>
        <w:t>’</w:t>
      </w:r>
      <w:r w:rsidRPr="00A32AF4">
        <w:rPr>
          <w:rFonts w:cs="Arial"/>
        </w:rPr>
        <w:t xml:space="preserve">indicateur de qualité agrégé, </w:t>
      </w:r>
      <w:r w:rsidR="00E2055A" w:rsidRPr="00A32AF4">
        <w:rPr>
          <w:rFonts w:cs="Arial"/>
        </w:rPr>
        <w:t>à savoir</w:t>
      </w:r>
      <w:r w:rsidRPr="00A32AF4">
        <w:rPr>
          <w:rFonts w:cs="Arial"/>
        </w:rPr>
        <w:t xml:space="preserve"> le temps qu</w:t>
      </w:r>
      <w:r w:rsidR="00E2055A" w:rsidRPr="00A32AF4">
        <w:rPr>
          <w:rFonts w:cs="Arial"/>
        </w:rPr>
        <w:t>’</w:t>
      </w:r>
      <w:r w:rsidRPr="00A32AF4">
        <w:rPr>
          <w:rFonts w:cs="Arial"/>
        </w:rPr>
        <w:t>il faut au Bureau international pour émettre le formulaire 301.  Ce formulaire est émis une fois l</w:t>
      </w:r>
      <w:r w:rsidR="00E2055A" w:rsidRPr="00A32AF4">
        <w:rPr>
          <w:rFonts w:cs="Arial"/>
        </w:rPr>
        <w:t>’</w:t>
      </w:r>
      <w:r w:rsidRPr="00A32AF4">
        <w:rPr>
          <w:rFonts w:cs="Arial"/>
        </w:rPr>
        <w:t>examen de forme de la demande terminé.</w:t>
      </w:r>
      <w:r w:rsidRPr="00A32AF4">
        <w:t xml:space="preserve"> </w:t>
      </w:r>
      <w:r w:rsidRPr="00A32AF4">
        <w:rPr>
          <w:rFonts w:cs="Arial"/>
        </w:rPr>
        <w:t xml:space="preserve"> Les déposants apprécient de recevoir ce formulaire le plus rapidement possible car il fait office d</w:t>
      </w:r>
      <w:r w:rsidR="00E2055A" w:rsidRPr="00A32AF4">
        <w:rPr>
          <w:rFonts w:cs="Arial"/>
        </w:rPr>
        <w:t>’</w:t>
      </w:r>
      <w:r w:rsidRPr="00A32AF4">
        <w:rPr>
          <w:rFonts w:cs="Arial"/>
        </w:rPr>
        <w:t>accusé de réception de la demande par le Bureau international et leur permet de savoir si leur demande contient des vices de forme.</w:t>
      </w:r>
    </w:p>
    <w:p w:rsidR="00F93B76" w:rsidRPr="00A32AF4" w:rsidRDefault="00F93B76" w:rsidP="00DC0553">
      <w:pPr>
        <w:rPr>
          <w:rFonts w:cs="Arial"/>
          <w:b/>
        </w:rPr>
      </w:pPr>
    </w:p>
    <w:p w:rsidR="00F93B76" w:rsidRPr="00A32AF4" w:rsidRDefault="00130644" w:rsidP="00DC0553">
      <w:pPr>
        <w:rPr>
          <w:rFonts w:cs="Arial"/>
        </w:rPr>
      </w:pPr>
      <w:r>
        <w:pict>
          <v:shape id="_x0000_i1034" type="#_x0000_t75" style="width:455.05pt;height:196.55pt">
            <v:imagedata r:id="rId234" o:title=""/>
          </v:shape>
        </w:pict>
      </w:r>
    </w:p>
    <w:p w:rsidR="00F93B76" w:rsidRPr="00A32AF4" w:rsidRDefault="00F93B76" w:rsidP="00DC0553"/>
    <w:p w:rsidR="00F93B76" w:rsidRPr="00A32AF4" w:rsidRDefault="00F93B76" w:rsidP="00DC0553"/>
    <w:p w:rsidR="00F93B76" w:rsidRPr="00A32AF4" w:rsidRDefault="00D659C6" w:rsidP="00DC0553">
      <w:pPr>
        <w:rPr>
          <w:rFonts w:cs="Arial"/>
          <w:i/>
        </w:rPr>
      </w:pPr>
      <w:r w:rsidRPr="00A32AF4">
        <w:rPr>
          <w:rFonts w:cs="Arial"/>
          <w:i/>
        </w:rPr>
        <w:t>Délai de publication</w:t>
      </w:r>
    </w:p>
    <w:p w:rsidR="00F93B76" w:rsidRPr="00A32AF4" w:rsidRDefault="00F93B76" w:rsidP="00DC0553">
      <w:pPr>
        <w:rPr>
          <w:rFonts w:cs="Arial"/>
          <w:sz w:val="18"/>
          <w:szCs w:val="18"/>
        </w:rPr>
      </w:pPr>
    </w:p>
    <w:p w:rsidR="00F93B76" w:rsidRPr="00A32AF4" w:rsidRDefault="00D659C6" w:rsidP="00DC0553">
      <w:pPr>
        <w:numPr>
          <w:ilvl w:val="0"/>
          <w:numId w:val="37"/>
        </w:numPr>
        <w:rPr>
          <w:rFonts w:cs="Arial"/>
        </w:rPr>
      </w:pPr>
      <w:r w:rsidRPr="00A32AF4">
        <w:rPr>
          <w:rFonts w:cs="Arial"/>
        </w:rPr>
        <w:t>Cet indicateur présente de manière plus détaillée l</w:t>
      </w:r>
      <w:r w:rsidR="00E2055A" w:rsidRPr="00A32AF4">
        <w:rPr>
          <w:rFonts w:cs="Arial"/>
        </w:rPr>
        <w:t>’</w:t>
      </w:r>
      <w:r w:rsidRPr="00A32AF4">
        <w:rPr>
          <w:rFonts w:cs="Arial"/>
        </w:rPr>
        <w:t>une des composantes de l</w:t>
      </w:r>
      <w:r w:rsidR="00E2055A" w:rsidRPr="00A32AF4">
        <w:rPr>
          <w:rFonts w:cs="Arial"/>
        </w:rPr>
        <w:t>’</w:t>
      </w:r>
      <w:r w:rsidRPr="00A32AF4">
        <w:rPr>
          <w:rFonts w:cs="Arial"/>
        </w:rPr>
        <w:t xml:space="preserve">indicateur de qualité agrégé, </w:t>
      </w:r>
      <w:r w:rsidR="00E2055A" w:rsidRPr="00A32AF4">
        <w:rPr>
          <w:rFonts w:cs="Arial"/>
        </w:rPr>
        <w:t>à savoir</w:t>
      </w:r>
      <w:r w:rsidRPr="00A32AF4">
        <w:rPr>
          <w:rFonts w:cs="Arial"/>
        </w:rPr>
        <w:t xml:space="preserve"> le temps qu</w:t>
      </w:r>
      <w:r w:rsidR="00E2055A" w:rsidRPr="00A32AF4">
        <w:rPr>
          <w:rFonts w:cs="Arial"/>
        </w:rPr>
        <w:t>’</w:t>
      </w:r>
      <w:r w:rsidRPr="00A32AF4">
        <w:rPr>
          <w:rFonts w:cs="Arial"/>
        </w:rPr>
        <w:t>il faut au Bureau international pour publier la demande.  L</w:t>
      </w:r>
      <w:r w:rsidR="00E2055A" w:rsidRPr="00A32AF4">
        <w:rPr>
          <w:rFonts w:cs="Arial"/>
        </w:rPr>
        <w:t>’</w:t>
      </w:r>
      <w:r w:rsidRPr="00A32AF4">
        <w:rPr>
          <w:rFonts w:cs="Arial"/>
        </w:rPr>
        <w:t xml:space="preserve">article 21.2)a) du PCT prévoit que </w:t>
      </w:r>
      <w:r w:rsidR="00B63C9F" w:rsidRPr="00A32AF4">
        <w:rPr>
          <w:rFonts w:cs="Arial"/>
        </w:rPr>
        <w:t>“</w:t>
      </w:r>
      <w:r w:rsidRPr="00A32AF4">
        <w:rPr>
          <w:rFonts w:cs="Arial"/>
        </w:rPr>
        <w:t>… la publication internationale de la demande internationale a lieu à bref délai après l</w:t>
      </w:r>
      <w:r w:rsidR="00E2055A" w:rsidRPr="00A32AF4">
        <w:rPr>
          <w:rFonts w:cs="Arial"/>
        </w:rPr>
        <w:t>’</w:t>
      </w:r>
      <w:r w:rsidRPr="00A32AF4">
        <w:rPr>
          <w:rFonts w:cs="Arial"/>
        </w:rPr>
        <w:t>expiration d</w:t>
      </w:r>
      <w:r w:rsidR="00E2055A" w:rsidRPr="00A32AF4">
        <w:rPr>
          <w:rFonts w:cs="Arial"/>
        </w:rPr>
        <w:t>’</w:t>
      </w:r>
      <w:r w:rsidRPr="00A32AF4">
        <w:rPr>
          <w:rFonts w:cs="Arial"/>
        </w:rPr>
        <w:t>un délai de 18 mois à compter de la date de priorité de cette demande</w:t>
      </w:r>
      <w:r w:rsidR="00B63C9F" w:rsidRPr="00A32AF4">
        <w:rPr>
          <w:rFonts w:cs="Arial"/>
        </w:rPr>
        <w:t>”</w:t>
      </w:r>
      <w:r w:rsidRPr="00A32AF4">
        <w:rPr>
          <w:rFonts w:cs="Arial"/>
        </w:rPr>
        <w:t>.</w:t>
      </w:r>
    </w:p>
    <w:p w:rsidR="00F93B76" w:rsidRPr="00A32AF4" w:rsidRDefault="00F93B76" w:rsidP="00DC0553">
      <w:pPr>
        <w:pStyle w:val="BodyText2"/>
        <w:rPr>
          <w:rFonts w:cs="Arial"/>
        </w:rPr>
      </w:pPr>
    </w:p>
    <w:p w:rsidR="00F93B76" w:rsidRPr="00A32AF4" w:rsidRDefault="00130644" w:rsidP="00DC0553">
      <w:r>
        <w:pict>
          <v:shape id="_x0000_i1035" type="#_x0000_t75" style="width:454.05pt;height:208.45pt">
            <v:imagedata r:id="rId235" o:title=""/>
          </v:shape>
        </w:pict>
      </w:r>
    </w:p>
    <w:p w:rsidR="00F93B76" w:rsidRPr="00A32AF4" w:rsidRDefault="00F93B76" w:rsidP="00DC0553"/>
    <w:p w:rsidR="00F93B76" w:rsidRPr="00A32AF4" w:rsidRDefault="00F93B76" w:rsidP="00DC0553"/>
    <w:p w:rsidR="00F93B76" w:rsidRPr="00A32AF4" w:rsidRDefault="00D659C6" w:rsidP="00DC0553">
      <w:pPr>
        <w:rPr>
          <w:rFonts w:cs="Arial"/>
          <w:i/>
        </w:rPr>
      </w:pPr>
      <w:r w:rsidRPr="00A32AF4">
        <w:rPr>
          <w:rFonts w:cs="Arial"/>
          <w:i/>
        </w:rPr>
        <w:t>Délai de republication</w:t>
      </w:r>
    </w:p>
    <w:p w:rsidR="00F93B76" w:rsidRPr="00A32AF4" w:rsidRDefault="00F93B76" w:rsidP="00DC0553"/>
    <w:p w:rsidR="00F93B76" w:rsidRPr="00A32AF4" w:rsidRDefault="00D659C6" w:rsidP="00DC0553">
      <w:pPr>
        <w:numPr>
          <w:ilvl w:val="0"/>
          <w:numId w:val="37"/>
        </w:numPr>
        <w:rPr>
          <w:rFonts w:cs="Arial"/>
        </w:rPr>
      </w:pPr>
      <w:r w:rsidRPr="00A32AF4">
        <w:rPr>
          <w:rFonts w:cs="Arial"/>
        </w:rPr>
        <w:t>Cet indicateur présente de manière plus détaillée l</w:t>
      </w:r>
      <w:r w:rsidR="00E2055A" w:rsidRPr="00A32AF4">
        <w:rPr>
          <w:rFonts w:cs="Arial"/>
        </w:rPr>
        <w:t>’</w:t>
      </w:r>
      <w:r w:rsidRPr="00A32AF4">
        <w:rPr>
          <w:rFonts w:cs="Arial"/>
        </w:rPr>
        <w:t>une des composantes de l</w:t>
      </w:r>
      <w:r w:rsidR="00E2055A" w:rsidRPr="00A32AF4">
        <w:rPr>
          <w:rFonts w:cs="Arial"/>
        </w:rPr>
        <w:t>’</w:t>
      </w:r>
      <w:r w:rsidRPr="00A32AF4">
        <w:rPr>
          <w:rFonts w:cs="Arial"/>
        </w:rPr>
        <w:t xml:space="preserve">indicateur de qualité agrégé, </w:t>
      </w:r>
      <w:r w:rsidR="00E2055A" w:rsidRPr="00A32AF4">
        <w:rPr>
          <w:rFonts w:cs="Arial"/>
        </w:rPr>
        <w:t>à savoir</w:t>
      </w:r>
      <w:r w:rsidRPr="00A32AF4">
        <w:rPr>
          <w:rFonts w:cs="Arial"/>
        </w:rPr>
        <w:t xml:space="preserve"> le temps qu</w:t>
      </w:r>
      <w:r w:rsidR="00E2055A" w:rsidRPr="00A32AF4">
        <w:rPr>
          <w:rFonts w:cs="Arial"/>
        </w:rPr>
        <w:t>’</w:t>
      </w:r>
      <w:r w:rsidRPr="00A32AF4">
        <w:rPr>
          <w:rFonts w:cs="Arial"/>
        </w:rPr>
        <w:t>il faut au Bureau international pour republier la demande avec le rapport de recherche internationale.  En raison des retards de communication de ces rapports par les administrations chargées de la recherche internationale, un certain nombre de demandes internationales sont publiées sans le rapport.  Lorsque ce rapport est disponible, la demande internationale doit être republiée le plus vite possible avec le rapport afin de compléter la publication internationale.</w:t>
      </w:r>
    </w:p>
    <w:p w:rsidR="00F93B76" w:rsidRPr="00A32AF4" w:rsidRDefault="00F93B76" w:rsidP="00DC0553">
      <w:pPr>
        <w:rPr>
          <w:rFonts w:cs="Arial"/>
        </w:rPr>
      </w:pPr>
    </w:p>
    <w:p w:rsidR="00F93B76" w:rsidRPr="00A32AF4" w:rsidRDefault="00130644" w:rsidP="00DC0553">
      <w:pPr>
        <w:rPr>
          <w:rFonts w:eastAsia="SimSun" w:cs="Arial"/>
          <w:szCs w:val="18"/>
          <w:lang w:eastAsia="zh-CN"/>
        </w:rPr>
      </w:pPr>
      <w:r>
        <w:pict>
          <v:shape id="_x0000_i1036" type="#_x0000_t75" style="width:454.05pt;height:208.45pt">
            <v:imagedata r:id="rId236" o:title=""/>
          </v:shape>
        </w:pict>
      </w:r>
    </w:p>
    <w:p w:rsidR="00F93B76" w:rsidRPr="00A32AF4" w:rsidRDefault="00F93B76" w:rsidP="00DC0553"/>
    <w:p w:rsidR="00F93B76" w:rsidRPr="00A32AF4" w:rsidRDefault="00F93B76" w:rsidP="00DC0553"/>
    <w:p w:rsidR="00F93B76" w:rsidRPr="00A32AF4" w:rsidRDefault="00D659C6" w:rsidP="00DC0553">
      <w:pPr>
        <w:rPr>
          <w:rFonts w:cs="Arial"/>
          <w:i/>
        </w:rPr>
      </w:pPr>
      <w:r w:rsidRPr="00A32AF4">
        <w:rPr>
          <w:rFonts w:cs="Arial"/>
          <w:i/>
        </w:rPr>
        <w:t>Qualité de la traduction</w:t>
      </w:r>
    </w:p>
    <w:p w:rsidR="00F93B76" w:rsidRPr="00A32AF4" w:rsidRDefault="00F93B76" w:rsidP="00DC0553">
      <w:pPr>
        <w:rPr>
          <w:rFonts w:cs="Arial"/>
          <w:szCs w:val="18"/>
        </w:rPr>
      </w:pPr>
    </w:p>
    <w:p w:rsidR="00F93B76" w:rsidRPr="00A32AF4" w:rsidRDefault="00D659C6" w:rsidP="00DC0553">
      <w:pPr>
        <w:numPr>
          <w:ilvl w:val="0"/>
          <w:numId w:val="37"/>
        </w:numPr>
        <w:rPr>
          <w:rFonts w:cs="Arial"/>
        </w:rPr>
      </w:pPr>
      <w:r w:rsidRPr="00A32AF4">
        <w:rPr>
          <w:rFonts w:cs="Arial"/>
        </w:rPr>
        <w:t>Des documents dont le nombre est calculé de manière statistique sont choisis au hasard à des fins de contrôle de la qualité parmi les traductions d</w:t>
      </w:r>
      <w:r w:rsidR="00E2055A" w:rsidRPr="00A32AF4">
        <w:rPr>
          <w:rFonts w:cs="Arial"/>
        </w:rPr>
        <w:t>’</w:t>
      </w:r>
      <w:r w:rsidRPr="00A32AF4">
        <w:rPr>
          <w:rFonts w:cs="Arial"/>
        </w:rPr>
        <w:t>abrégés et de rapports sur la brevetabilité établis sous la responsabilité du Bureau international.</w:t>
      </w:r>
      <w:r w:rsidRPr="00A32AF4">
        <w:t xml:space="preserve">  </w:t>
      </w:r>
      <w:r w:rsidRPr="00A32AF4">
        <w:rPr>
          <w:rFonts w:cs="Arial"/>
        </w:rPr>
        <w:t>L</w:t>
      </w:r>
      <w:r w:rsidR="00E2055A" w:rsidRPr="00A32AF4">
        <w:rPr>
          <w:rFonts w:cs="Arial"/>
        </w:rPr>
        <w:t>’</w:t>
      </w:r>
      <w:r w:rsidRPr="00A32AF4">
        <w:rPr>
          <w:rFonts w:cs="Arial"/>
        </w:rPr>
        <w:t xml:space="preserve">évaluation détermine si une traduction est </w:t>
      </w:r>
      <w:r w:rsidR="00B63C9F" w:rsidRPr="00A32AF4">
        <w:rPr>
          <w:rFonts w:cs="Arial"/>
        </w:rPr>
        <w:t>“</w:t>
      </w:r>
      <w:r w:rsidRPr="00A32AF4">
        <w:rPr>
          <w:rFonts w:cs="Arial"/>
        </w:rPr>
        <w:t>acceptable</w:t>
      </w:r>
      <w:r w:rsidR="00B63C9F" w:rsidRPr="00A32AF4">
        <w:rPr>
          <w:rFonts w:cs="Arial"/>
        </w:rPr>
        <w:t>”</w:t>
      </w:r>
      <w:r w:rsidRPr="00A32AF4">
        <w:rPr>
          <w:rFonts w:cs="Arial"/>
        </w:rPr>
        <w:t xml:space="preserve"> ou </w:t>
      </w:r>
      <w:r w:rsidR="00B63C9F" w:rsidRPr="00A32AF4">
        <w:rPr>
          <w:rFonts w:cs="Arial"/>
        </w:rPr>
        <w:t>“</w:t>
      </w:r>
      <w:r w:rsidRPr="00A32AF4">
        <w:rPr>
          <w:rFonts w:cs="Arial"/>
        </w:rPr>
        <w:t>non acceptable</w:t>
      </w:r>
      <w:r w:rsidR="00B63C9F" w:rsidRPr="00A32AF4">
        <w:rPr>
          <w:rFonts w:cs="Arial"/>
        </w:rPr>
        <w:t>”</w:t>
      </w:r>
      <w:r w:rsidRPr="00A32AF4">
        <w:rPr>
          <w:rFonts w:cs="Arial"/>
        </w:rPr>
        <w:t xml:space="preserve">.  Cet indicateur rassemble les résultats de ce contrôle de la qualité exécuté par le Bureau international pour toutes les combinaisons linguistiques et tous les types de document.  Il est mis un terme aux relations avec les agences qui ont systématiquement moins de 80% de traductions jugées </w:t>
      </w:r>
      <w:r w:rsidR="00B63C9F" w:rsidRPr="00A32AF4">
        <w:rPr>
          <w:rFonts w:cs="Arial"/>
        </w:rPr>
        <w:t>“</w:t>
      </w:r>
      <w:r w:rsidRPr="00A32AF4">
        <w:rPr>
          <w:rFonts w:cs="Arial"/>
        </w:rPr>
        <w:t>acceptables</w:t>
      </w:r>
      <w:r w:rsidR="00B63C9F" w:rsidRPr="00A32AF4">
        <w:rPr>
          <w:rFonts w:cs="Arial"/>
        </w:rPr>
        <w:t>”</w:t>
      </w:r>
      <w:r w:rsidRPr="00A32AF4">
        <w:rPr>
          <w:rFonts w:cs="Arial"/>
        </w:rPr>
        <w:t>.</w:t>
      </w:r>
    </w:p>
    <w:p w:rsidR="00F93B76" w:rsidRPr="00A32AF4" w:rsidRDefault="00F93B76" w:rsidP="00DC0553">
      <w:pPr>
        <w:jc w:val="center"/>
        <w:rPr>
          <w:rFonts w:cs="Arial"/>
          <w:szCs w:val="22"/>
        </w:rPr>
      </w:pPr>
    </w:p>
    <w:p w:rsidR="00F93B76" w:rsidRPr="00A32AF4" w:rsidRDefault="00D659C6" w:rsidP="00DC0553">
      <w:pPr>
        <w:keepNext/>
        <w:keepLines/>
        <w:jc w:val="center"/>
        <w:rPr>
          <w:rFonts w:cs="Arial"/>
          <w:b/>
        </w:rPr>
      </w:pPr>
      <w:r w:rsidRPr="00A32AF4">
        <w:rPr>
          <w:rFonts w:cs="Arial"/>
          <w:b/>
        </w:rPr>
        <w:t>Qualité de la traduction au PCT</w:t>
      </w:r>
    </w:p>
    <w:p w:rsidR="00F93B76" w:rsidRPr="00A32AF4" w:rsidRDefault="00F93B76" w:rsidP="00DC0553">
      <w:pPr>
        <w:keepNext/>
        <w:keepLines/>
        <w:jc w:val="center"/>
        <w:rPr>
          <w:rFonts w:cs="Arial"/>
          <w:b/>
        </w:rPr>
      </w:pPr>
    </w:p>
    <w:p w:rsidR="00F93B76" w:rsidRPr="00A32AF4" w:rsidRDefault="00130644" w:rsidP="00DC0553">
      <w:pPr>
        <w:keepNext/>
        <w:keepLines/>
        <w:jc w:val="center"/>
        <w:rPr>
          <w:rFonts w:cs="Arial"/>
          <w:szCs w:val="22"/>
        </w:rPr>
      </w:pPr>
      <w:r>
        <w:pict>
          <v:shape id="_x0000_i1037" type="#_x0000_t75" style="width:453.95pt;height:257.4pt">
            <v:imagedata r:id="rId237" o:title=""/>
          </v:shape>
        </w:pict>
      </w:r>
    </w:p>
    <w:p w:rsidR="00F93B76" w:rsidRPr="00A32AF4" w:rsidRDefault="00F93B76" w:rsidP="00DC0553">
      <w:pPr>
        <w:keepNext/>
        <w:keepLines/>
        <w:rPr>
          <w:rFonts w:cs="Arial"/>
          <w:szCs w:val="22"/>
        </w:rPr>
      </w:pPr>
    </w:p>
    <w:p w:rsidR="00F93B76" w:rsidRPr="00A32AF4" w:rsidRDefault="00F93B76" w:rsidP="00DC0553"/>
    <w:p w:rsidR="00F93B76" w:rsidRPr="00A32AF4" w:rsidRDefault="00D659C6" w:rsidP="00DC0553">
      <w:pPr>
        <w:keepNext/>
        <w:keepLines/>
        <w:rPr>
          <w:rFonts w:cs="Arial"/>
          <w:i/>
        </w:rPr>
      </w:pPr>
      <w:r w:rsidRPr="00A32AF4">
        <w:rPr>
          <w:rFonts w:cs="Arial"/>
          <w:i/>
        </w:rPr>
        <w:t>Délais de traduction des rapports</w:t>
      </w:r>
    </w:p>
    <w:p w:rsidR="00F93B76" w:rsidRPr="00A32AF4" w:rsidRDefault="00F93B76" w:rsidP="00DC0553">
      <w:pPr>
        <w:rPr>
          <w:rFonts w:cs="Arial"/>
        </w:rPr>
      </w:pPr>
    </w:p>
    <w:p w:rsidR="00F93B76" w:rsidRPr="00A32AF4" w:rsidRDefault="00D659C6" w:rsidP="00DC0553">
      <w:pPr>
        <w:numPr>
          <w:ilvl w:val="0"/>
          <w:numId w:val="37"/>
        </w:numPr>
        <w:rPr>
          <w:rFonts w:cs="Arial"/>
        </w:rPr>
      </w:pPr>
      <w:r w:rsidRPr="00A32AF4">
        <w:rPr>
          <w:rFonts w:cs="Arial"/>
        </w:rPr>
        <w:t>Cet indicateur fournit des informations sur les délais dans lesquels le Bureau international met la traduction des rapports sur la brevetabilité à la disposition des déposants et des offices.</w:t>
      </w:r>
      <w:r w:rsidRPr="00A32AF4">
        <w:t xml:space="preserve">  </w:t>
      </w:r>
      <w:r w:rsidRPr="00A32AF4">
        <w:rPr>
          <w:rFonts w:cs="Arial"/>
        </w:rPr>
        <w:t>La part des traductions de rapports sur la brevetabilité livrées dans les 30 mois suivant la date de priorité de la demande internationale ne cesse d</w:t>
      </w:r>
      <w:r w:rsidR="00E2055A" w:rsidRPr="00A32AF4">
        <w:rPr>
          <w:rFonts w:cs="Arial"/>
        </w:rPr>
        <w:t>’</w:t>
      </w:r>
      <w:r w:rsidRPr="00A32AF4">
        <w:rPr>
          <w:rFonts w:cs="Arial"/>
        </w:rPr>
        <w:t>augmenter depuis 2010.</w:t>
      </w:r>
      <w:r w:rsidRPr="00A32AF4">
        <w:t xml:space="preserve">  </w:t>
      </w:r>
      <w:r w:rsidRPr="00A32AF4">
        <w:rPr>
          <w:rFonts w:cs="Arial"/>
        </w:rPr>
        <w:t>En 2014, 82,5% des traductions de rapports sur la brevetabilité étaient livrées dans les 30 mois suivant la date de priorité.</w:t>
      </w:r>
    </w:p>
    <w:p w:rsidR="00F93B76" w:rsidRPr="00A32AF4" w:rsidRDefault="00F93B76" w:rsidP="00DC0553">
      <w:pPr>
        <w:ind w:left="142"/>
        <w:jc w:val="both"/>
        <w:rPr>
          <w:rFonts w:cs="Arial"/>
        </w:rPr>
      </w:pPr>
    </w:p>
    <w:p w:rsidR="00F93B76" w:rsidRPr="00A32AF4" w:rsidRDefault="00D659C6" w:rsidP="00DC0553">
      <w:pPr>
        <w:ind w:left="142"/>
        <w:jc w:val="center"/>
        <w:rPr>
          <w:rFonts w:cs="Arial"/>
          <w:b/>
        </w:rPr>
      </w:pPr>
      <w:r w:rsidRPr="00A32AF4">
        <w:rPr>
          <w:rFonts w:cs="Arial"/>
          <w:b/>
        </w:rPr>
        <w:t>Délais de traduction des rapports</w:t>
      </w:r>
    </w:p>
    <w:p w:rsidR="00F93B76" w:rsidRPr="00A32AF4" w:rsidRDefault="00130644" w:rsidP="00DC0553">
      <w:pPr>
        <w:pStyle w:val="BodyText2"/>
        <w:keepLines/>
        <w:ind w:left="142"/>
        <w:rPr>
          <w:rFonts w:cs="Arial"/>
        </w:rPr>
      </w:pPr>
      <w:r>
        <w:pict>
          <v:shape id="_x0000_i1038" type="#_x0000_t75" style="width:452.1pt;height:203.4pt">
            <v:imagedata r:id="rId238" o:title=""/>
          </v:shape>
        </w:pict>
      </w:r>
    </w:p>
    <w:p w:rsidR="00F93B76" w:rsidRPr="00A32AF4" w:rsidRDefault="00F93B76" w:rsidP="00DC0553"/>
    <w:p w:rsidR="00F93B76" w:rsidRPr="00A32AF4" w:rsidRDefault="00F93B76" w:rsidP="00DC0553"/>
    <w:p w:rsidR="00F93B76" w:rsidRPr="00A32AF4" w:rsidRDefault="00D659C6" w:rsidP="00DC0553">
      <w:pPr>
        <w:rPr>
          <w:rFonts w:cs="Arial"/>
          <w:i/>
        </w:rPr>
      </w:pPr>
      <w:r w:rsidRPr="00A32AF4">
        <w:rPr>
          <w:rFonts w:cs="Arial"/>
          <w:i/>
        </w:rPr>
        <w:t>Qualité de la conception des logiciels</w:t>
      </w:r>
    </w:p>
    <w:p w:rsidR="00F93B76" w:rsidRPr="00A32AF4" w:rsidRDefault="00F93B76" w:rsidP="00DC0553">
      <w:pPr>
        <w:jc w:val="both"/>
        <w:rPr>
          <w:rFonts w:cs="Arial"/>
        </w:rPr>
      </w:pPr>
    </w:p>
    <w:p w:rsidR="00F93B76" w:rsidRPr="00A32AF4" w:rsidRDefault="00D659C6" w:rsidP="00DC0553">
      <w:pPr>
        <w:numPr>
          <w:ilvl w:val="0"/>
          <w:numId w:val="37"/>
        </w:numPr>
        <w:rPr>
          <w:rFonts w:cs="Arial"/>
        </w:rPr>
      </w:pPr>
      <w:r w:rsidRPr="00A32AF4">
        <w:rPr>
          <w:rFonts w:cs="Arial"/>
        </w:rPr>
        <w:t xml:space="preserve">Cet indicateur donne une idée de la qualité des versions des principaux logiciels utilisés pour les projets eDossier et ePCT. </w:t>
      </w:r>
      <w:r w:rsidRPr="00A32AF4">
        <w:t xml:space="preserve"> </w:t>
      </w:r>
      <w:r w:rsidRPr="00A32AF4">
        <w:rPr>
          <w:rFonts w:cs="Arial"/>
        </w:rPr>
        <w:t>Il indique la part de temps consacré à la mise en place de la nouvelle fonction dans le produit (c</w:t>
      </w:r>
      <w:r w:rsidR="00E2055A" w:rsidRPr="00A32AF4">
        <w:rPr>
          <w:rFonts w:cs="Arial"/>
        </w:rPr>
        <w:t>’</w:t>
      </w:r>
      <w:r w:rsidRPr="00A32AF4">
        <w:rPr>
          <w:rFonts w:cs="Arial"/>
        </w:rPr>
        <w:t>est</w:t>
      </w:r>
      <w:r w:rsidR="00EB7F54" w:rsidRPr="00A32AF4">
        <w:rPr>
          <w:rFonts w:cs="Arial"/>
        </w:rPr>
        <w:noBreakHyphen/>
      </w:r>
      <w:r w:rsidRPr="00A32AF4">
        <w:rPr>
          <w:rFonts w:cs="Arial"/>
        </w:rPr>
        <w:t>à</w:t>
      </w:r>
      <w:r w:rsidR="00EB7F54" w:rsidRPr="00A32AF4">
        <w:rPr>
          <w:rFonts w:cs="Arial"/>
        </w:rPr>
        <w:noBreakHyphen/>
      </w:r>
      <w:r w:rsidRPr="00A32AF4">
        <w:rPr>
          <w:rFonts w:cs="Arial"/>
        </w:rPr>
        <w:t>dire le travail initial) par rapport au temps total (travail initial + remaniement).</w:t>
      </w:r>
      <w:r w:rsidRPr="00A32AF4">
        <w:t xml:space="preserve">  </w:t>
      </w:r>
      <w:r w:rsidRPr="00A32AF4">
        <w:rPr>
          <w:rFonts w:cs="Arial"/>
        </w:rPr>
        <w:t>Le remaniement correspond au temps passé à corriger des défauts détectés dans l</w:t>
      </w:r>
      <w:r w:rsidR="00E2055A" w:rsidRPr="00A32AF4">
        <w:rPr>
          <w:rFonts w:cs="Arial"/>
        </w:rPr>
        <w:t>’</w:t>
      </w:r>
      <w:r w:rsidRPr="00A32AF4">
        <w:rPr>
          <w:rFonts w:cs="Arial"/>
        </w:rPr>
        <w:t>environnement de production.</w:t>
      </w:r>
    </w:p>
    <w:p w:rsidR="00F93B76" w:rsidRPr="00A32AF4" w:rsidRDefault="00F93B76" w:rsidP="00DC0553">
      <w:pPr>
        <w:jc w:val="both"/>
        <w:rPr>
          <w:rFonts w:cs="Arial"/>
        </w:rPr>
      </w:pPr>
    </w:p>
    <w:p w:rsidR="00F93B76" w:rsidRPr="00A32AF4" w:rsidRDefault="00D659C6" w:rsidP="00DC0553">
      <w:pPr>
        <w:numPr>
          <w:ilvl w:val="0"/>
          <w:numId w:val="37"/>
        </w:numPr>
        <w:rPr>
          <w:rFonts w:cs="Arial"/>
        </w:rPr>
      </w:pPr>
      <w:r w:rsidRPr="00A32AF4">
        <w:rPr>
          <w:rFonts w:cs="Arial"/>
        </w:rPr>
        <w:t>Selon cette approche, les produits présentant un faible niveau de remaniement sont considérés comme étant de grande qualité car ils témoignent de l</w:t>
      </w:r>
      <w:r w:rsidR="00E2055A" w:rsidRPr="00A32AF4">
        <w:rPr>
          <w:rFonts w:cs="Arial"/>
        </w:rPr>
        <w:t>’</w:t>
      </w:r>
      <w:r w:rsidRPr="00A32AF4">
        <w:rPr>
          <w:rFonts w:cs="Arial"/>
        </w:rPr>
        <w:t>importance de la valeur ajoutée au produit par la mise en place des nouvelles caractéristiques.</w:t>
      </w:r>
    </w:p>
    <w:p w:rsidR="00F93B76" w:rsidRPr="00A32AF4" w:rsidRDefault="00F93B76" w:rsidP="00DC0553">
      <w:pPr>
        <w:jc w:val="both"/>
        <w:rPr>
          <w:rFonts w:cs="Arial"/>
        </w:rPr>
      </w:pPr>
    </w:p>
    <w:p w:rsidR="00F93B76" w:rsidRPr="00A32AF4" w:rsidRDefault="00D659C6" w:rsidP="00DC0553">
      <w:pPr>
        <w:numPr>
          <w:ilvl w:val="0"/>
          <w:numId w:val="37"/>
        </w:numPr>
        <w:rPr>
          <w:rFonts w:cs="Arial"/>
        </w:rPr>
      </w:pPr>
      <w:r w:rsidRPr="00A32AF4">
        <w:rPr>
          <w:rFonts w:cs="Arial"/>
        </w:rPr>
        <w:t>L</w:t>
      </w:r>
      <w:r w:rsidR="00E2055A" w:rsidRPr="00A32AF4">
        <w:rPr>
          <w:rFonts w:cs="Arial"/>
        </w:rPr>
        <w:t>’</w:t>
      </w:r>
      <w:r w:rsidRPr="00A32AF4">
        <w:rPr>
          <w:rFonts w:cs="Arial"/>
        </w:rPr>
        <w:t>indicateur de la qualité de la conception des logiciels est défini de la manière suivante :</w:t>
      </w:r>
    </w:p>
    <w:p w:rsidR="00F93B76" w:rsidRPr="00A32AF4" w:rsidRDefault="00F93B76" w:rsidP="00DC0553">
      <w:pPr>
        <w:pStyle w:val="BodyText2"/>
        <w:rPr>
          <w:rFonts w:cs="Arial"/>
        </w:rPr>
      </w:pPr>
    </w:p>
    <w:p w:rsidR="00F93B76" w:rsidRPr="00A32AF4" w:rsidRDefault="00130644" w:rsidP="00DC0553">
      <w:pPr>
        <w:pStyle w:val="BodyText2"/>
        <w:jc w:val="center"/>
        <w:rPr>
          <w:rFonts w:cs="Arial"/>
        </w:rPr>
      </w:pPr>
      <w:r>
        <w:pict>
          <v:shape id="_x0000_i1039" type="#_x0000_t75" style="width:353.6pt;height:27pt">
            <v:imagedata r:id="rId239" o:title=""/>
          </v:shape>
        </w:pict>
      </w:r>
    </w:p>
    <w:p w:rsidR="00F93B76" w:rsidRPr="00A32AF4" w:rsidRDefault="00F93B76" w:rsidP="00DC0553">
      <w:pPr>
        <w:pStyle w:val="BodyText2"/>
        <w:rPr>
          <w:rFonts w:cs="Arial"/>
        </w:rPr>
      </w:pPr>
    </w:p>
    <w:p w:rsidR="00F93B76" w:rsidRPr="00A32AF4" w:rsidRDefault="00D659C6" w:rsidP="00DC0553">
      <w:pPr>
        <w:numPr>
          <w:ilvl w:val="0"/>
          <w:numId w:val="37"/>
        </w:numPr>
        <w:rPr>
          <w:rFonts w:cs="Arial"/>
        </w:rPr>
      </w:pPr>
      <w:r w:rsidRPr="00A32AF4">
        <w:rPr>
          <w:rFonts w:cs="Arial"/>
        </w:rPr>
        <w:t>En 2014, la qualité des principales versions, déterminée par l</w:t>
      </w:r>
      <w:r w:rsidR="00E2055A" w:rsidRPr="00A32AF4">
        <w:rPr>
          <w:rFonts w:cs="Arial"/>
        </w:rPr>
        <w:t>’</w:t>
      </w:r>
      <w:r w:rsidRPr="00A32AF4">
        <w:rPr>
          <w:rFonts w:cs="Arial"/>
        </w:rPr>
        <w:t>indicateur, était de 94,3%.</w:t>
      </w:r>
      <w:r w:rsidRPr="00A32AF4">
        <w:t xml:space="preserve"> </w:t>
      </w:r>
      <w:r w:rsidRPr="00A32AF4">
        <w:rPr>
          <w:rFonts w:cs="Arial"/>
        </w:rPr>
        <w:t xml:space="preserve"> Cela représente presque cinq points de pourcentage de plus qu</w:t>
      </w:r>
      <w:r w:rsidR="00E2055A" w:rsidRPr="00A32AF4">
        <w:rPr>
          <w:rFonts w:cs="Arial"/>
        </w:rPr>
        <w:t>’</w:t>
      </w:r>
      <w:r w:rsidRPr="00A32AF4">
        <w:rPr>
          <w:rFonts w:cs="Arial"/>
        </w:rPr>
        <w:t>en 2013.</w:t>
      </w:r>
    </w:p>
    <w:p w:rsidR="00F93B76" w:rsidRPr="00A32AF4" w:rsidRDefault="00F93B76" w:rsidP="00DC0553">
      <w:pPr>
        <w:rPr>
          <w:rFonts w:cs="Arial"/>
        </w:rPr>
      </w:pPr>
    </w:p>
    <w:p w:rsidR="00F93B76" w:rsidRPr="00A32AF4" w:rsidRDefault="00D659C6" w:rsidP="00DC0553">
      <w:pPr>
        <w:keepNext/>
        <w:jc w:val="center"/>
        <w:rPr>
          <w:rFonts w:cs="Arial"/>
          <w:b/>
        </w:rPr>
      </w:pPr>
      <w:r w:rsidRPr="00A32AF4">
        <w:rPr>
          <w:rFonts w:cs="Arial"/>
          <w:b/>
        </w:rPr>
        <w:t>Qualité de la conception des logiciels</w:t>
      </w:r>
    </w:p>
    <w:p w:rsidR="00F93B76" w:rsidRPr="00A32AF4" w:rsidRDefault="00130644" w:rsidP="00DC0553">
      <w:pPr>
        <w:keepNext/>
        <w:jc w:val="center"/>
        <w:rPr>
          <w:rFonts w:cs="Arial"/>
        </w:rPr>
      </w:pPr>
      <w:r>
        <w:pict>
          <v:shape id="_x0000_i1040" type="#_x0000_t75" style="width:453.95pt;height:266.05pt">
            <v:imagedata r:id="rId240" o:title=""/>
          </v:shape>
        </w:pict>
      </w:r>
    </w:p>
    <w:p w:rsidR="00F93B76" w:rsidRPr="00A32AF4" w:rsidRDefault="00F93B76" w:rsidP="00DC0553"/>
    <w:p w:rsidR="00F93B76" w:rsidRPr="00A32AF4" w:rsidRDefault="00F93B76" w:rsidP="00DC0553"/>
    <w:p w:rsidR="00F93B76" w:rsidRPr="00A32AF4" w:rsidRDefault="00D659C6" w:rsidP="00DC0553">
      <w:pPr>
        <w:keepNext/>
        <w:keepLines/>
        <w:rPr>
          <w:rFonts w:cs="Arial"/>
          <w:i/>
        </w:rPr>
      </w:pPr>
      <w:r w:rsidRPr="00A32AF4">
        <w:rPr>
          <w:rFonts w:cs="Arial"/>
          <w:i/>
        </w:rPr>
        <w:t>Niveaux de service des systèmes d</w:t>
      </w:r>
      <w:r w:rsidR="00E2055A" w:rsidRPr="00A32AF4">
        <w:rPr>
          <w:rFonts w:cs="Arial"/>
          <w:i/>
        </w:rPr>
        <w:t>’</w:t>
      </w:r>
      <w:r w:rsidRPr="00A32AF4">
        <w:rPr>
          <w:rFonts w:cs="Arial"/>
          <w:i/>
        </w:rPr>
        <w:t>information</w:t>
      </w:r>
    </w:p>
    <w:p w:rsidR="00F93B76" w:rsidRPr="00A32AF4" w:rsidRDefault="00F93B76" w:rsidP="00DC0553">
      <w:pPr>
        <w:pStyle w:val="BodyText2"/>
        <w:keepLines/>
        <w:rPr>
          <w:rFonts w:cs="Arial"/>
        </w:rPr>
      </w:pPr>
    </w:p>
    <w:p w:rsidR="00F93B76" w:rsidRPr="00A32AF4" w:rsidRDefault="00D659C6" w:rsidP="00DC0553">
      <w:pPr>
        <w:keepNext/>
        <w:keepLines/>
        <w:numPr>
          <w:ilvl w:val="0"/>
          <w:numId w:val="37"/>
        </w:numPr>
        <w:rPr>
          <w:rFonts w:cs="Arial"/>
          <w:lang w:eastAsia="en-GB"/>
        </w:rPr>
      </w:pPr>
      <w:r w:rsidRPr="00A32AF4">
        <w:rPr>
          <w:rFonts w:cs="Arial"/>
          <w:lang w:eastAsia="en-GB"/>
        </w:rPr>
        <w:t>L</w:t>
      </w:r>
      <w:r w:rsidR="00E2055A" w:rsidRPr="00A32AF4">
        <w:rPr>
          <w:rFonts w:cs="Arial"/>
          <w:lang w:eastAsia="en-GB"/>
        </w:rPr>
        <w:t>’</w:t>
      </w:r>
      <w:r w:rsidRPr="00A32AF4">
        <w:rPr>
          <w:rFonts w:cs="Arial"/>
          <w:lang w:eastAsia="en-GB"/>
        </w:rPr>
        <w:t>indicateur d</w:t>
      </w:r>
      <w:r w:rsidR="00E2055A" w:rsidRPr="00A32AF4">
        <w:rPr>
          <w:rFonts w:cs="Arial"/>
          <w:lang w:eastAsia="en-GB"/>
        </w:rPr>
        <w:t>’</w:t>
      </w:r>
      <w:r w:rsidRPr="00A32AF4">
        <w:rPr>
          <w:rFonts w:cs="Arial"/>
          <w:lang w:eastAsia="en-GB"/>
        </w:rPr>
        <w:t xml:space="preserve">exécution intitulé </w:t>
      </w:r>
      <w:r w:rsidR="00B63C9F" w:rsidRPr="00A32AF4">
        <w:rPr>
          <w:rFonts w:cs="Arial"/>
          <w:lang w:eastAsia="en-GB"/>
        </w:rPr>
        <w:t>“</w:t>
      </w:r>
      <w:r w:rsidRPr="00A32AF4">
        <w:rPr>
          <w:rFonts w:cs="Arial"/>
          <w:lang w:eastAsia="en-GB"/>
        </w:rPr>
        <w:t>niveaux de service des systèmes d</w:t>
      </w:r>
      <w:r w:rsidR="00E2055A" w:rsidRPr="00A32AF4">
        <w:rPr>
          <w:rFonts w:cs="Arial"/>
          <w:lang w:eastAsia="en-GB"/>
        </w:rPr>
        <w:t>’</w:t>
      </w:r>
      <w:r w:rsidRPr="00A32AF4">
        <w:rPr>
          <w:rFonts w:cs="Arial"/>
          <w:lang w:eastAsia="en-GB"/>
        </w:rPr>
        <w:t>information</w:t>
      </w:r>
      <w:r w:rsidR="00B63C9F" w:rsidRPr="00A32AF4">
        <w:rPr>
          <w:rFonts w:cs="Arial"/>
          <w:lang w:eastAsia="en-GB"/>
        </w:rPr>
        <w:t>”</w:t>
      </w:r>
      <w:r w:rsidRPr="00A32AF4">
        <w:rPr>
          <w:rFonts w:cs="Arial"/>
          <w:lang w:eastAsia="en-GB"/>
        </w:rPr>
        <w:t xml:space="preserve"> mesure l</w:t>
      </w:r>
      <w:r w:rsidR="00E2055A" w:rsidRPr="00A32AF4">
        <w:rPr>
          <w:rFonts w:cs="Arial"/>
          <w:lang w:eastAsia="en-GB"/>
        </w:rPr>
        <w:t>’</w:t>
      </w:r>
      <w:r w:rsidRPr="00A32AF4">
        <w:rPr>
          <w:rFonts w:cs="Arial"/>
          <w:lang w:eastAsia="en-GB"/>
        </w:rPr>
        <w:t>exécution du service fourni par le Service des systèmes informatiques du PCT aux utilisateurs, sur la base de sa capacité à atteindre les objectifs convenus.</w:t>
      </w:r>
    </w:p>
    <w:p w:rsidR="00F93B76" w:rsidRPr="00A32AF4" w:rsidRDefault="00F93B76" w:rsidP="00DC0553">
      <w:pPr>
        <w:pStyle w:val="BodyText2"/>
        <w:rPr>
          <w:rFonts w:cs="Arial"/>
        </w:rPr>
      </w:pPr>
    </w:p>
    <w:p w:rsidR="00F93B76" w:rsidRPr="00A32AF4" w:rsidRDefault="00D659C6" w:rsidP="00DC0553">
      <w:pPr>
        <w:numPr>
          <w:ilvl w:val="0"/>
          <w:numId w:val="37"/>
        </w:numPr>
        <w:rPr>
          <w:rFonts w:cs="Arial"/>
          <w:lang w:eastAsia="en-GB"/>
        </w:rPr>
      </w:pPr>
      <w:r w:rsidRPr="00A32AF4">
        <w:rPr>
          <w:rFonts w:cs="Arial"/>
          <w:lang w:eastAsia="en-GB"/>
        </w:rPr>
        <w:t>Cet indicateur composite est calculé au moyen de la moyenne pondérée de cinq indicateurs d</w:t>
      </w:r>
      <w:r w:rsidR="00E2055A" w:rsidRPr="00A32AF4">
        <w:rPr>
          <w:rFonts w:cs="Arial"/>
          <w:lang w:eastAsia="en-GB"/>
        </w:rPr>
        <w:t>’</w:t>
      </w:r>
      <w:r w:rsidRPr="00A32AF4">
        <w:rPr>
          <w:rFonts w:cs="Arial"/>
          <w:lang w:eastAsia="en-GB"/>
        </w:rPr>
        <w:t>exécution axés sur les objectifs</w:t>
      </w:r>
      <w:r w:rsidRPr="00A32AF4">
        <w:rPr>
          <w:rStyle w:val="FootnoteReference"/>
          <w:rFonts w:cs="Arial"/>
          <w:lang w:eastAsia="en-GB"/>
        </w:rPr>
        <w:footnoteReference w:id="27"/>
      </w:r>
      <w:r w:rsidRPr="00A32AF4">
        <w:rPr>
          <w:rFonts w:cs="Arial"/>
          <w:lang w:eastAsia="en-GB"/>
        </w:rPr>
        <w:t>.  Chaque indicateur est exprimé en pourcentage de l</w:t>
      </w:r>
      <w:r w:rsidR="00E2055A" w:rsidRPr="00A32AF4">
        <w:rPr>
          <w:rFonts w:cs="Arial"/>
          <w:lang w:eastAsia="en-GB"/>
        </w:rPr>
        <w:t>’</w:t>
      </w:r>
      <w:r w:rsidRPr="00A32AF4">
        <w:rPr>
          <w:rFonts w:cs="Arial"/>
          <w:lang w:eastAsia="en-GB"/>
        </w:rPr>
        <w:t>objectif effectivement atteint.</w:t>
      </w:r>
    </w:p>
    <w:p w:rsidR="00F93B76" w:rsidRPr="00A32AF4" w:rsidRDefault="00F93B76" w:rsidP="00DC0553">
      <w:pPr>
        <w:autoSpaceDE w:val="0"/>
        <w:autoSpaceDN w:val="0"/>
        <w:adjustRightInd w:val="0"/>
        <w:jc w:val="both"/>
        <w:rPr>
          <w:rFonts w:cs="Arial"/>
          <w:lang w:eastAsia="en-GB"/>
        </w:rPr>
      </w:pPr>
    </w:p>
    <w:p w:rsidR="00F93B76" w:rsidRPr="00A32AF4" w:rsidRDefault="00D659C6" w:rsidP="00DC0553">
      <w:pPr>
        <w:numPr>
          <w:ilvl w:val="0"/>
          <w:numId w:val="37"/>
        </w:numPr>
        <w:rPr>
          <w:rFonts w:cs="Arial"/>
        </w:rPr>
      </w:pPr>
      <w:r w:rsidRPr="00A32AF4">
        <w:rPr>
          <w:rFonts w:cs="Arial"/>
        </w:rPr>
        <w:t>En 2014, le niveau de service général était de 95,3% par rapport à la pleine réalisation des objectifs d</w:t>
      </w:r>
      <w:r w:rsidR="00E2055A" w:rsidRPr="00A32AF4">
        <w:rPr>
          <w:rFonts w:cs="Arial"/>
        </w:rPr>
        <w:t>’</w:t>
      </w:r>
      <w:r w:rsidRPr="00A32AF4">
        <w:rPr>
          <w:rFonts w:cs="Arial"/>
        </w:rPr>
        <w:t>exécution.</w:t>
      </w:r>
    </w:p>
    <w:p w:rsidR="00F93B76" w:rsidRPr="00A32AF4" w:rsidRDefault="00F93B76" w:rsidP="00DC0553">
      <w:pPr>
        <w:autoSpaceDE w:val="0"/>
        <w:autoSpaceDN w:val="0"/>
        <w:adjustRightInd w:val="0"/>
        <w:jc w:val="both"/>
        <w:rPr>
          <w:rFonts w:cs="Arial"/>
        </w:rPr>
      </w:pPr>
    </w:p>
    <w:p w:rsidR="00F93B76" w:rsidRPr="00A32AF4" w:rsidRDefault="00F93B76" w:rsidP="00DC0553">
      <w:pPr>
        <w:rPr>
          <w:rFonts w:cs="Arial"/>
        </w:rPr>
      </w:pPr>
    </w:p>
    <w:p w:rsidR="00F93B76" w:rsidRPr="00A32AF4" w:rsidRDefault="00D659C6" w:rsidP="00DC0553">
      <w:pPr>
        <w:jc w:val="center"/>
        <w:rPr>
          <w:rFonts w:cs="Arial"/>
          <w:b/>
        </w:rPr>
      </w:pPr>
      <w:r w:rsidRPr="00A32AF4">
        <w:rPr>
          <w:rFonts w:cs="Arial"/>
          <w:b/>
        </w:rPr>
        <w:br w:type="page"/>
        <w:t>Niveaux de service des systèmes d</w:t>
      </w:r>
      <w:r w:rsidR="00E2055A" w:rsidRPr="00A32AF4">
        <w:rPr>
          <w:rFonts w:cs="Arial"/>
          <w:b/>
        </w:rPr>
        <w:t>’</w:t>
      </w:r>
      <w:r w:rsidRPr="00A32AF4">
        <w:rPr>
          <w:rFonts w:cs="Arial"/>
          <w:b/>
        </w:rPr>
        <w:t>information</w:t>
      </w:r>
    </w:p>
    <w:p w:rsidR="00D659C6" w:rsidRPr="00A32AF4" w:rsidRDefault="00D659C6" w:rsidP="00DC0553">
      <w:pPr>
        <w:autoSpaceDE w:val="0"/>
        <w:autoSpaceDN w:val="0"/>
        <w:adjustRightInd w:val="0"/>
        <w:rPr>
          <w:rFonts w:cs="Arial"/>
          <w:lang w:eastAsia="en-GB"/>
        </w:rPr>
      </w:pPr>
    </w:p>
    <w:tbl>
      <w:tblPr>
        <w:tblW w:w="92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534"/>
        <w:gridCol w:w="2002"/>
        <w:gridCol w:w="1984"/>
        <w:gridCol w:w="1134"/>
        <w:gridCol w:w="1101"/>
      </w:tblGrid>
      <w:tr w:rsidR="00D659C6" w:rsidRPr="00A32AF4" w:rsidTr="00115F7D">
        <w:trPr>
          <w:jc w:val="center"/>
        </w:trPr>
        <w:tc>
          <w:tcPr>
            <w:tcW w:w="534" w:type="dxa"/>
            <w:shd w:val="clear" w:color="auto" w:fill="auto"/>
            <w:tcMar>
              <w:top w:w="85" w:type="dxa"/>
              <w:bottom w:w="85" w:type="dxa"/>
            </w:tcMar>
          </w:tcPr>
          <w:p w:rsidR="00D659C6" w:rsidRPr="00A32AF4" w:rsidRDefault="00D659C6" w:rsidP="00DC0553">
            <w:pPr>
              <w:autoSpaceDE w:val="0"/>
              <w:autoSpaceDN w:val="0"/>
              <w:adjustRightInd w:val="0"/>
              <w:jc w:val="center"/>
              <w:rPr>
                <w:rFonts w:cs="Arial"/>
                <w:b/>
                <w:sz w:val="18"/>
                <w:szCs w:val="18"/>
                <w:lang w:eastAsia="en-GB"/>
              </w:rPr>
            </w:pPr>
            <w:r w:rsidRPr="00A32AF4">
              <w:rPr>
                <w:rFonts w:cs="Arial"/>
                <w:b/>
                <w:sz w:val="18"/>
                <w:szCs w:val="18"/>
                <w:lang w:eastAsia="en-GB"/>
              </w:rPr>
              <w:t>Id</w:t>
            </w:r>
          </w:p>
        </w:tc>
        <w:tc>
          <w:tcPr>
            <w:tcW w:w="2534" w:type="dxa"/>
            <w:shd w:val="clear" w:color="auto" w:fill="auto"/>
            <w:tcMar>
              <w:top w:w="85" w:type="dxa"/>
              <w:bottom w:w="85" w:type="dxa"/>
            </w:tcMar>
          </w:tcPr>
          <w:p w:rsidR="00F93B76" w:rsidRPr="00A32AF4" w:rsidRDefault="00D659C6" w:rsidP="00DC0553">
            <w:pPr>
              <w:autoSpaceDE w:val="0"/>
              <w:autoSpaceDN w:val="0"/>
              <w:adjustRightInd w:val="0"/>
              <w:jc w:val="center"/>
              <w:rPr>
                <w:rFonts w:cs="Arial"/>
                <w:b/>
                <w:sz w:val="18"/>
                <w:szCs w:val="18"/>
                <w:lang w:eastAsia="en-GB"/>
              </w:rPr>
            </w:pPr>
            <w:r w:rsidRPr="00A32AF4">
              <w:rPr>
                <w:rFonts w:cs="Arial"/>
                <w:b/>
                <w:sz w:val="18"/>
                <w:szCs w:val="18"/>
                <w:lang w:eastAsia="en-GB"/>
              </w:rPr>
              <w:t>Indicateurs d</w:t>
            </w:r>
            <w:r w:rsidR="00E2055A" w:rsidRPr="00A32AF4">
              <w:rPr>
                <w:rFonts w:cs="Arial"/>
                <w:b/>
                <w:sz w:val="18"/>
                <w:szCs w:val="18"/>
                <w:lang w:eastAsia="en-GB"/>
              </w:rPr>
              <w:t>’</w:t>
            </w:r>
            <w:r w:rsidRPr="00A32AF4">
              <w:rPr>
                <w:rFonts w:cs="Arial"/>
                <w:b/>
                <w:sz w:val="18"/>
                <w:szCs w:val="18"/>
                <w:lang w:eastAsia="en-GB"/>
              </w:rPr>
              <w:t>exécution</w:t>
            </w:r>
          </w:p>
          <w:p w:rsidR="00D659C6" w:rsidRPr="00A32AF4" w:rsidRDefault="00D659C6" w:rsidP="00DC0553">
            <w:pPr>
              <w:autoSpaceDE w:val="0"/>
              <w:autoSpaceDN w:val="0"/>
              <w:adjustRightInd w:val="0"/>
              <w:jc w:val="center"/>
              <w:rPr>
                <w:rFonts w:cs="Arial"/>
                <w:b/>
                <w:i/>
                <w:sz w:val="18"/>
                <w:szCs w:val="18"/>
                <w:lang w:eastAsia="en-GB"/>
              </w:rPr>
            </w:pPr>
            <w:r w:rsidRPr="00A32AF4">
              <w:rPr>
                <w:rFonts w:cs="Arial"/>
                <w:b/>
                <w:i/>
                <w:sz w:val="18"/>
                <w:szCs w:val="18"/>
                <w:lang w:eastAsia="en-GB"/>
              </w:rPr>
              <w:t>Description succincte</w:t>
            </w:r>
          </w:p>
        </w:tc>
        <w:tc>
          <w:tcPr>
            <w:tcW w:w="2002" w:type="dxa"/>
            <w:shd w:val="clear" w:color="auto" w:fill="auto"/>
            <w:tcMar>
              <w:top w:w="85" w:type="dxa"/>
              <w:bottom w:w="85" w:type="dxa"/>
            </w:tcMar>
          </w:tcPr>
          <w:p w:rsidR="00D659C6" w:rsidRPr="00A32AF4" w:rsidRDefault="00D659C6" w:rsidP="00DC0553">
            <w:pPr>
              <w:autoSpaceDE w:val="0"/>
              <w:autoSpaceDN w:val="0"/>
              <w:adjustRightInd w:val="0"/>
              <w:jc w:val="center"/>
              <w:rPr>
                <w:rFonts w:cs="Arial"/>
                <w:b/>
                <w:sz w:val="18"/>
                <w:szCs w:val="18"/>
                <w:lang w:eastAsia="en-GB"/>
              </w:rPr>
            </w:pPr>
            <w:r w:rsidRPr="00A32AF4">
              <w:rPr>
                <w:rFonts w:cs="Arial"/>
                <w:b/>
                <w:sz w:val="18"/>
                <w:szCs w:val="18"/>
                <w:lang w:eastAsia="en-GB"/>
              </w:rPr>
              <w:t>Objectifs visés</w:t>
            </w:r>
          </w:p>
        </w:tc>
        <w:tc>
          <w:tcPr>
            <w:tcW w:w="1984" w:type="dxa"/>
            <w:shd w:val="clear" w:color="auto" w:fill="auto"/>
            <w:tcMar>
              <w:top w:w="85" w:type="dxa"/>
              <w:bottom w:w="85" w:type="dxa"/>
            </w:tcMar>
          </w:tcPr>
          <w:p w:rsidR="00D659C6" w:rsidRPr="00A32AF4" w:rsidRDefault="00D659C6" w:rsidP="00DC0553">
            <w:pPr>
              <w:autoSpaceDE w:val="0"/>
              <w:autoSpaceDN w:val="0"/>
              <w:adjustRightInd w:val="0"/>
              <w:jc w:val="center"/>
              <w:rPr>
                <w:rFonts w:cs="Arial"/>
                <w:b/>
                <w:sz w:val="18"/>
                <w:szCs w:val="18"/>
                <w:lang w:eastAsia="en-GB"/>
              </w:rPr>
            </w:pPr>
            <w:r w:rsidRPr="00A32AF4">
              <w:rPr>
                <w:rFonts w:cs="Arial"/>
                <w:b/>
                <w:sz w:val="18"/>
                <w:szCs w:val="18"/>
                <w:lang w:eastAsia="en-GB"/>
              </w:rPr>
              <w:t>Conditions</w:t>
            </w:r>
          </w:p>
        </w:tc>
        <w:tc>
          <w:tcPr>
            <w:tcW w:w="1134" w:type="dxa"/>
            <w:tcMar>
              <w:top w:w="85" w:type="dxa"/>
              <w:bottom w:w="85" w:type="dxa"/>
            </w:tcMar>
          </w:tcPr>
          <w:p w:rsidR="00D659C6" w:rsidRPr="00A32AF4" w:rsidRDefault="00D659C6" w:rsidP="00DC0553">
            <w:pPr>
              <w:autoSpaceDE w:val="0"/>
              <w:autoSpaceDN w:val="0"/>
              <w:adjustRightInd w:val="0"/>
              <w:jc w:val="center"/>
              <w:rPr>
                <w:rFonts w:cs="Arial"/>
                <w:b/>
                <w:sz w:val="18"/>
                <w:szCs w:val="18"/>
                <w:lang w:eastAsia="en-GB"/>
              </w:rPr>
            </w:pPr>
            <w:r w:rsidRPr="00A32AF4">
              <w:rPr>
                <w:rFonts w:cs="Arial"/>
                <w:b/>
                <w:sz w:val="18"/>
                <w:szCs w:val="18"/>
                <w:lang w:eastAsia="en-GB"/>
              </w:rPr>
              <w:t>Résultats 2013</w:t>
            </w:r>
          </w:p>
        </w:tc>
        <w:tc>
          <w:tcPr>
            <w:tcW w:w="1101" w:type="dxa"/>
            <w:tcMar>
              <w:top w:w="85" w:type="dxa"/>
              <w:bottom w:w="85" w:type="dxa"/>
            </w:tcMar>
          </w:tcPr>
          <w:p w:rsidR="00D659C6" w:rsidRPr="00A32AF4" w:rsidRDefault="00D659C6" w:rsidP="00DC0553">
            <w:pPr>
              <w:autoSpaceDE w:val="0"/>
              <w:autoSpaceDN w:val="0"/>
              <w:adjustRightInd w:val="0"/>
              <w:jc w:val="center"/>
              <w:rPr>
                <w:rFonts w:cs="Arial"/>
                <w:b/>
                <w:sz w:val="18"/>
                <w:szCs w:val="18"/>
                <w:lang w:eastAsia="en-GB"/>
              </w:rPr>
            </w:pPr>
            <w:r w:rsidRPr="00A32AF4">
              <w:rPr>
                <w:rFonts w:cs="Arial"/>
                <w:b/>
                <w:sz w:val="18"/>
                <w:szCs w:val="18"/>
                <w:lang w:eastAsia="en-GB"/>
              </w:rPr>
              <w:t>Résultats 2014</w:t>
            </w:r>
          </w:p>
        </w:tc>
      </w:tr>
      <w:tr w:rsidR="00D659C6" w:rsidRPr="00A32AF4" w:rsidTr="00115F7D">
        <w:trPr>
          <w:jc w:val="center"/>
        </w:trPr>
        <w:tc>
          <w:tcPr>
            <w:tcW w:w="534" w:type="dxa"/>
            <w:shd w:val="clear" w:color="auto" w:fill="auto"/>
            <w:tcMar>
              <w:top w:w="85" w:type="dxa"/>
              <w:bottom w:w="85" w:type="dxa"/>
            </w:tcMar>
          </w:tcPr>
          <w:p w:rsidR="00D659C6" w:rsidRPr="00A32AF4" w:rsidRDefault="00D659C6" w:rsidP="00DC0553">
            <w:pPr>
              <w:rPr>
                <w:rFonts w:cs="Arial"/>
                <w:sz w:val="16"/>
                <w:szCs w:val="16"/>
                <w:lang w:eastAsia="en-GB"/>
              </w:rPr>
            </w:pPr>
            <w:r w:rsidRPr="00A32AF4">
              <w:rPr>
                <w:rFonts w:cs="Arial"/>
                <w:sz w:val="16"/>
                <w:szCs w:val="16"/>
                <w:lang w:eastAsia="en-GB"/>
              </w:rPr>
              <w:t xml:space="preserve">1) </w:t>
            </w:r>
          </w:p>
        </w:tc>
        <w:tc>
          <w:tcPr>
            <w:tcW w:w="2534" w:type="dxa"/>
            <w:shd w:val="clear" w:color="auto" w:fill="auto"/>
            <w:tcMar>
              <w:top w:w="85" w:type="dxa"/>
              <w:bottom w:w="85" w:type="dxa"/>
            </w:tcMar>
          </w:tcPr>
          <w:p w:rsidR="00F93B76" w:rsidRPr="00A32AF4" w:rsidRDefault="00D659C6" w:rsidP="00DC0553">
            <w:pPr>
              <w:rPr>
                <w:rFonts w:cs="Arial"/>
                <w:sz w:val="16"/>
                <w:szCs w:val="16"/>
                <w:lang w:eastAsia="en-GB"/>
              </w:rPr>
            </w:pPr>
            <w:r w:rsidRPr="00A32AF4">
              <w:rPr>
                <w:rFonts w:cs="Arial"/>
                <w:sz w:val="16"/>
                <w:szCs w:val="16"/>
                <w:lang w:eastAsia="en-GB"/>
              </w:rPr>
              <w:t>Durée des interventions visant à régler un problème</w:t>
            </w:r>
          </w:p>
          <w:p w:rsidR="00D659C6" w:rsidRPr="00A32AF4" w:rsidRDefault="00D659C6" w:rsidP="00DC0553">
            <w:pPr>
              <w:rPr>
                <w:rFonts w:cs="Arial"/>
                <w:i/>
                <w:sz w:val="16"/>
                <w:szCs w:val="16"/>
                <w:lang w:eastAsia="en-GB"/>
              </w:rPr>
            </w:pPr>
            <w:r w:rsidRPr="00A32AF4">
              <w:rPr>
                <w:rFonts w:cs="Arial"/>
                <w:i/>
                <w:sz w:val="16"/>
                <w:szCs w:val="16"/>
                <w:lang w:eastAsia="en-GB"/>
              </w:rPr>
              <w:t xml:space="preserve">Temps de travail </w:t>
            </w:r>
            <w:r w:rsidRPr="00A32AF4">
              <w:rPr>
                <w:rFonts w:cs="Arial"/>
                <w:i/>
                <w:sz w:val="16"/>
                <w:szCs w:val="16"/>
                <w:lang w:eastAsia="en-GB"/>
              </w:rPr>
              <w:br/>
              <w:t>(7 heures – 19 heures les jours ouvrables à l</w:t>
            </w:r>
            <w:r w:rsidR="00E2055A" w:rsidRPr="00A32AF4">
              <w:rPr>
                <w:rFonts w:cs="Arial"/>
                <w:i/>
                <w:sz w:val="16"/>
                <w:szCs w:val="16"/>
                <w:lang w:eastAsia="en-GB"/>
              </w:rPr>
              <w:t>’</w:t>
            </w:r>
            <w:r w:rsidRPr="00A32AF4">
              <w:rPr>
                <w:rFonts w:cs="Arial"/>
                <w:i/>
                <w:sz w:val="16"/>
                <w:szCs w:val="16"/>
                <w:lang w:eastAsia="en-GB"/>
              </w:rPr>
              <w:t>OMPI) entre la création d</w:t>
            </w:r>
            <w:r w:rsidR="00E2055A" w:rsidRPr="00A32AF4">
              <w:rPr>
                <w:rFonts w:cs="Arial"/>
                <w:i/>
                <w:sz w:val="16"/>
                <w:szCs w:val="16"/>
                <w:lang w:eastAsia="en-GB"/>
              </w:rPr>
              <w:t>’</w:t>
            </w:r>
            <w:r w:rsidRPr="00A32AF4">
              <w:rPr>
                <w:rFonts w:cs="Arial"/>
                <w:i/>
                <w:sz w:val="16"/>
                <w:szCs w:val="16"/>
                <w:lang w:eastAsia="en-GB"/>
              </w:rPr>
              <w:t>un ticket et la résolution du problème.</w:t>
            </w:r>
            <w:r w:rsidRPr="00A32AF4">
              <w:rPr>
                <w:i/>
                <w:sz w:val="16"/>
              </w:rPr>
              <w:t xml:space="preserve"> </w:t>
            </w:r>
            <w:r w:rsidRPr="00A32AF4">
              <w:rPr>
                <w:rFonts w:cs="Arial"/>
                <w:i/>
                <w:sz w:val="16"/>
                <w:szCs w:val="16"/>
                <w:lang w:eastAsia="en-GB"/>
              </w:rPr>
              <w:t xml:space="preserve"> </w:t>
            </w:r>
          </w:p>
        </w:tc>
        <w:tc>
          <w:tcPr>
            <w:tcW w:w="2002" w:type="dxa"/>
            <w:shd w:val="clear" w:color="auto" w:fill="auto"/>
            <w:tcMar>
              <w:top w:w="85" w:type="dxa"/>
              <w:bottom w:w="85" w:type="dxa"/>
            </w:tcMar>
          </w:tcPr>
          <w:p w:rsidR="00F93B76" w:rsidRPr="00A32AF4" w:rsidRDefault="00D659C6" w:rsidP="00DC0553">
            <w:pPr>
              <w:autoSpaceDE w:val="0"/>
              <w:autoSpaceDN w:val="0"/>
              <w:adjustRightInd w:val="0"/>
              <w:rPr>
                <w:rFonts w:cs="Arial"/>
                <w:sz w:val="16"/>
                <w:szCs w:val="16"/>
                <w:lang w:eastAsia="en-GB"/>
              </w:rPr>
            </w:pPr>
            <w:r w:rsidRPr="00A32AF4">
              <w:rPr>
                <w:rFonts w:cs="Arial"/>
                <w:sz w:val="16"/>
                <w:szCs w:val="16"/>
                <w:lang w:eastAsia="en-GB"/>
              </w:rPr>
              <w:t>Gravité 1 : quatre heures</w:t>
            </w:r>
          </w:p>
          <w:p w:rsidR="00F93B76" w:rsidRPr="00A32AF4" w:rsidRDefault="00D659C6" w:rsidP="00DC0553">
            <w:pPr>
              <w:autoSpaceDE w:val="0"/>
              <w:autoSpaceDN w:val="0"/>
              <w:adjustRightInd w:val="0"/>
              <w:rPr>
                <w:rFonts w:cs="Arial"/>
                <w:sz w:val="16"/>
                <w:szCs w:val="16"/>
                <w:lang w:eastAsia="en-GB"/>
              </w:rPr>
            </w:pPr>
            <w:r w:rsidRPr="00A32AF4">
              <w:rPr>
                <w:rFonts w:cs="Arial"/>
                <w:sz w:val="16"/>
                <w:szCs w:val="16"/>
                <w:lang w:eastAsia="en-GB"/>
              </w:rPr>
              <w:t>Gravité 2 : deux jours</w:t>
            </w:r>
          </w:p>
          <w:p w:rsidR="00F93B76" w:rsidRPr="00A32AF4" w:rsidRDefault="00D659C6" w:rsidP="00DC0553">
            <w:pPr>
              <w:autoSpaceDE w:val="0"/>
              <w:autoSpaceDN w:val="0"/>
              <w:adjustRightInd w:val="0"/>
              <w:rPr>
                <w:rFonts w:cs="Arial"/>
                <w:sz w:val="16"/>
                <w:szCs w:val="16"/>
                <w:lang w:eastAsia="en-GB"/>
              </w:rPr>
            </w:pPr>
            <w:r w:rsidRPr="00A32AF4">
              <w:rPr>
                <w:rFonts w:cs="Arial"/>
                <w:sz w:val="16"/>
                <w:szCs w:val="16"/>
                <w:lang w:eastAsia="en-GB"/>
              </w:rPr>
              <w:t>Gravité 3 : cinq jours</w:t>
            </w:r>
          </w:p>
          <w:p w:rsidR="00D659C6" w:rsidRPr="00A32AF4" w:rsidRDefault="00D659C6" w:rsidP="00DC0553">
            <w:pPr>
              <w:autoSpaceDE w:val="0"/>
              <w:autoSpaceDN w:val="0"/>
              <w:adjustRightInd w:val="0"/>
              <w:rPr>
                <w:rFonts w:cs="Arial"/>
                <w:sz w:val="16"/>
                <w:szCs w:val="16"/>
                <w:lang w:eastAsia="en-GB"/>
              </w:rPr>
            </w:pPr>
            <w:r w:rsidRPr="00A32AF4">
              <w:rPr>
                <w:rFonts w:cs="Arial"/>
                <w:sz w:val="16"/>
                <w:szCs w:val="16"/>
                <w:lang w:eastAsia="en-GB"/>
              </w:rPr>
              <w:t>Gravité 4 : 10 jours</w:t>
            </w:r>
          </w:p>
        </w:tc>
        <w:tc>
          <w:tcPr>
            <w:tcW w:w="1984" w:type="dxa"/>
            <w:shd w:val="clear" w:color="auto" w:fill="auto"/>
            <w:tcMar>
              <w:top w:w="85" w:type="dxa"/>
              <w:bottom w:w="85" w:type="dxa"/>
            </w:tcMar>
          </w:tcPr>
          <w:p w:rsidR="00D659C6" w:rsidRPr="00A32AF4" w:rsidRDefault="00D659C6" w:rsidP="00DC0553">
            <w:pPr>
              <w:autoSpaceDE w:val="0"/>
              <w:autoSpaceDN w:val="0"/>
              <w:adjustRightInd w:val="0"/>
              <w:rPr>
                <w:rFonts w:cs="Arial"/>
                <w:sz w:val="16"/>
                <w:szCs w:val="16"/>
                <w:lang w:eastAsia="en-GB"/>
              </w:rPr>
            </w:pPr>
            <w:r w:rsidRPr="00A32AF4">
              <w:rPr>
                <w:rFonts w:cs="Arial"/>
                <w:sz w:val="16"/>
                <w:szCs w:val="16"/>
                <w:lang w:eastAsia="en-GB"/>
              </w:rPr>
              <w:t>Tickets Production et Appui traités par l</w:t>
            </w:r>
            <w:r w:rsidR="00E2055A" w:rsidRPr="00A32AF4">
              <w:rPr>
                <w:rFonts w:cs="Arial"/>
                <w:sz w:val="16"/>
                <w:szCs w:val="16"/>
                <w:lang w:eastAsia="en-GB"/>
              </w:rPr>
              <w:t>’</w:t>
            </w:r>
            <w:r w:rsidRPr="00A32AF4">
              <w:rPr>
                <w:rFonts w:cs="Arial"/>
                <w:sz w:val="16"/>
                <w:szCs w:val="16"/>
                <w:lang w:eastAsia="en-GB"/>
              </w:rPr>
              <w:t>équipe d</w:t>
            </w:r>
            <w:r w:rsidR="00E2055A" w:rsidRPr="00A32AF4">
              <w:rPr>
                <w:rFonts w:cs="Arial"/>
                <w:sz w:val="16"/>
                <w:szCs w:val="16"/>
                <w:lang w:eastAsia="en-GB"/>
              </w:rPr>
              <w:t>’</w:t>
            </w:r>
            <w:r w:rsidRPr="00A32AF4">
              <w:rPr>
                <w:rFonts w:cs="Arial"/>
                <w:sz w:val="16"/>
                <w:szCs w:val="16"/>
                <w:lang w:eastAsia="en-GB"/>
              </w:rPr>
              <w:t>appui</w:t>
            </w:r>
          </w:p>
        </w:tc>
        <w:tc>
          <w:tcPr>
            <w:tcW w:w="1134" w:type="dxa"/>
            <w:tcMar>
              <w:top w:w="85" w:type="dxa"/>
              <w:bottom w:w="85" w:type="dxa"/>
            </w:tcMar>
          </w:tcPr>
          <w:p w:rsidR="00D659C6" w:rsidRPr="00A32AF4" w:rsidRDefault="00D659C6" w:rsidP="00DC0553">
            <w:pPr>
              <w:autoSpaceDE w:val="0"/>
              <w:autoSpaceDN w:val="0"/>
              <w:adjustRightInd w:val="0"/>
              <w:jc w:val="right"/>
              <w:rPr>
                <w:rFonts w:cs="Arial"/>
                <w:sz w:val="16"/>
                <w:szCs w:val="16"/>
                <w:lang w:eastAsia="en-GB"/>
              </w:rPr>
            </w:pPr>
            <w:r w:rsidRPr="00A32AF4">
              <w:rPr>
                <w:rFonts w:cs="Arial"/>
                <w:sz w:val="16"/>
                <w:szCs w:val="16"/>
                <w:lang w:eastAsia="en-GB"/>
              </w:rPr>
              <w:t>85,5%</w:t>
            </w:r>
          </w:p>
        </w:tc>
        <w:tc>
          <w:tcPr>
            <w:tcW w:w="1101" w:type="dxa"/>
            <w:tcMar>
              <w:top w:w="85" w:type="dxa"/>
              <w:bottom w:w="85" w:type="dxa"/>
            </w:tcMar>
          </w:tcPr>
          <w:p w:rsidR="00D659C6" w:rsidRPr="00A32AF4" w:rsidRDefault="00D659C6" w:rsidP="00DC0553">
            <w:pPr>
              <w:autoSpaceDE w:val="0"/>
              <w:autoSpaceDN w:val="0"/>
              <w:adjustRightInd w:val="0"/>
              <w:jc w:val="right"/>
              <w:rPr>
                <w:rFonts w:cs="Arial"/>
                <w:sz w:val="16"/>
                <w:szCs w:val="16"/>
                <w:lang w:eastAsia="en-GB"/>
              </w:rPr>
            </w:pPr>
            <w:r w:rsidRPr="00A32AF4">
              <w:rPr>
                <w:rFonts w:cs="Arial"/>
                <w:sz w:val="16"/>
                <w:szCs w:val="16"/>
                <w:lang w:eastAsia="en-GB"/>
              </w:rPr>
              <w:t>88,8%</w:t>
            </w:r>
          </w:p>
        </w:tc>
      </w:tr>
      <w:tr w:rsidR="00D659C6" w:rsidRPr="00A32AF4" w:rsidTr="00115F7D">
        <w:trPr>
          <w:jc w:val="center"/>
        </w:trPr>
        <w:tc>
          <w:tcPr>
            <w:tcW w:w="534" w:type="dxa"/>
            <w:shd w:val="clear" w:color="auto" w:fill="auto"/>
            <w:tcMar>
              <w:top w:w="85" w:type="dxa"/>
              <w:bottom w:w="85" w:type="dxa"/>
            </w:tcMar>
          </w:tcPr>
          <w:p w:rsidR="00D659C6" w:rsidRPr="00A32AF4" w:rsidRDefault="00D659C6" w:rsidP="00DC0553">
            <w:pPr>
              <w:rPr>
                <w:rFonts w:cs="Arial"/>
                <w:sz w:val="16"/>
                <w:szCs w:val="16"/>
                <w:lang w:eastAsia="en-GB"/>
              </w:rPr>
            </w:pPr>
            <w:r w:rsidRPr="00A32AF4">
              <w:rPr>
                <w:rFonts w:cs="Arial"/>
                <w:sz w:val="16"/>
                <w:szCs w:val="16"/>
                <w:lang w:eastAsia="en-GB"/>
              </w:rPr>
              <w:t xml:space="preserve">2) </w:t>
            </w:r>
          </w:p>
        </w:tc>
        <w:tc>
          <w:tcPr>
            <w:tcW w:w="2534" w:type="dxa"/>
            <w:shd w:val="clear" w:color="auto" w:fill="auto"/>
            <w:tcMar>
              <w:top w:w="85" w:type="dxa"/>
              <w:bottom w:w="85" w:type="dxa"/>
            </w:tcMar>
          </w:tcPr>
          <w:p w:rsidR="00F93B76" w:rsidRPr="00A32AF4" w:rsidRDefault="00D659C6" w:rsidP="00DC0553">
            <w:pPr>
              <w:rPr>
                <w:rFonts w:cs="Arial"/>
                <w:sz w:val="16"/>
                <w:szCs w:val="16"/>
                <w:lang w:eastAsia="en-GB"/>
              </w:rPr>
            </w:pPr>
            <w:r w:rsidRPr="00A32AF4">
              <w:rPr>
                <w:rFonts w:cs="Arial"/>
                <w:sz w:val="16"/>
                <w:szCs w:val="16"/>
                <w:lang w:eastAsia="en-GB"/>
              </w:rPr>
              <w:t>Temps de transmission du document</w:t>
            </w:r>
          </w:p>
          <w:p w:rsidR="00D659C6" w:rsidRPr="00A32AF4" w:rsidRDefault="00D659C6" w:rsidP="00DC0553">
            <w:pPr>
              <w:rPr>
                <w:rFonts w:cs="Arial"/>
                <w:sz w:val="16"/>
                <w:szCs w:val="16"/>
                <w:lang w:eastAsia="en-GB"/>
              </w:rPr>
            </w:pPr>
            <w:r w:rsidRPr="00A32AF4">
              <w:rPr>
                <w:rFonts w:cs="Arial"/>
                <w:sz w:val="16"/>
                <w:szCs w:val="16"/>
                <w:lang w:eastAsia="en-GB"/>
              </w:rPr>
              <w:t>Temps écoulé entre la réception du document par le Bureau international et sa mise à disposition dans le système eDossier</w:t>
            </w:r>
          </w:p>
        </w:tc>
        <w:tc>
          <w:tcPr>
            <w:tcW w:w="2002" w:type="dxa"/>
            <w:shd w:val="clear" w:color="auto" w:fill="auto"/>
            <w:tcMar>
              <w:top w:w="85" w:type="dxa"/>
              <w:bottom w:w="85" w:type="dxa"/>
            </w:tcMar>
          </w:tcPr>
          <w:p w:rsidR="00D659C6" w:rsidRPr="00A32AF4" w:rsidRDefault="00D659C6" w:rsidP="00DC0553">
            <w:pPr>
              <w:autoSpaceDE w:val="0"/>
              <w:autoSpaceDN w:val="0"/>
              <w:adjustRightInd w:val="0"/>
              <w:rPr>
                <w:rFonts w:cs="Arial"/>
                <w:sz w:val="16"/>
                <w:szCs w:val="16"/>
                <w:lang w:eastAsia="en-GB"/>
              </w:rPr>
            </w:pPr>
            <w:r w:rsidRPr="00A32AF4">
              <w:rPr>
                <w:rFonts w:cs="Arial"/>
                <w:sz w:val="16"/>
                <w:szCs w:val="16"/>
                <w:lang w:eastAsia="en-GB"/>
              </w:rPr>
              <w:t>huit heures</w:t>
            </w:r>
          </w:p>
        </w:tc>
        <w:tc>
          <w:tcPr>
            <w:tcW w:w="1984" w:type="dxa"/>
            <w:shd w:val="clear" w:color="auto" w:fill="auto"/>
            <w:tcMar>
              <w:top w:w="85" w:type="dxa"/>
              <w:bottom w:w="85" w:type="dxa"/>
            </w:tcMar>
          </w:tcPr>
          <w:p w:rsidR="00D659C6" w:rsidRPr="00A32AF4" w:rsidRDefault="00D659C6" w:rsidP="00DC0553">
            <w:pPr>
              <w:autoSpaceDE w:val="0"/>
              <w:autoSpaceDN w:val="0"/>
              <w:adjustRightInd w:val="0"/>
              <w:rPr>
                <w:rFonts w:cs="Arial"/>
                <w:sz w:val="16"/>
                <w:szCs w:val="16"/>
                <w:lang w:eastAsia="en-GB"/>
              </w:rPr>
            </w:pPr>
            <w:r w:rsidRPr="00A32AF4">
              <w:rPr>
                <w:rFonts w:cs="Arial"/>
                <w:sz w:val="16"/>
                <w:szCs w:val="16"/>
                <w:lang w:eastAsia="en-GB"/>
              </w:rPr>
              <w:t>Documents transmis au moyen d</w:t>
            </w:r>
            <w:r w:rsidR="00E2055A" w:rsidRPr="00A32AF4">
              <w:rPr>
                <w:rFonts w:cs="Arial"/>
                <w:sz w:val="16"/>
                <w:szCs w:val="16"/>
                <w:lang w:eastAsia="en-GB"/>
              </w:rPr>
              <w:t>’</w:t>
            </w:r>
            <w:r w:rsidRPr="00A32AF4">
              <w:rPr>
                <w:rFonts w:cs="Arial"/>
                <w:sz w:val="16"/>
                <w:szCs w:val="16"/>
                <w:lang w:eastAsia="en-GB"/>
              </w:rPr>
              <w:t>un processus partiellement ou entièrement automatisé</w:t>
            </w:r>
          </w:p>
        </w:tc>
        <w:tc>
          <w:tcPr>
            <w:tcW w:w="1134" w:type="dxa"/>
            <w:tcMar>
              <w:top w:w="85" w:type="dxa"/>
              <w:bottom w:w="85" w:type="dxa"/>
            </w:tcMar>
          </w:tcPr>
          <w:p w:rsidR="00D659C6" w:rsidRPr="00A32AF4" w:rsidRDefault="00D659C6" w:rsidP="00DC0553">
            <w:pPr>
              <w:autoSpaceDE w:val="0"/>
              <w:autoSpaceDN w:val="0"/>
              <w:adjustRightInd w:val="0"/>
              <w:jc w:val="right"/>
              <w:rPr>
                <w:rFonts w:cs="Arial"/>
                <w:sz w:val="16"/>
                <w:szCs w:val="16"/>
                <w:lang w:eastAsia="en-GB"/>
              </w:rPr>
            </w:pPr>
            <w:r w:rsidRPr="00A32AF4">
              <w:rPr>
                <w:rFonts w:cs="Arial"/>
                <w:sz w:val="16"/>
                <w:szCs w:val="16"/>
                <w:lang w:eastAsia="en-GB"/>
              </w:rPr>
              <w:t>80,0%</w:t>
            </w:r>
          </w:p>
        </w:tc>
        <w:tc>
          <w:tcPr>
            <w:tcW w:w="1101" w:type="dxa"/>
            <w:tcMar>
              <w:top w:w="85" w:type="dxa"/>
              <w:bottom w:w="85" w:type="dxa"/>
            </w:tcMar>
          </w:tcPr>
          <w:p w:rsidR="00D659C6" w:rsidRPr="00A32AF4" w:rsidRDefault="00D659C6" w:rsidP="00DC0553">
            <w:pPr>
              <w:autoSpaceDE w:val="0"/>
              <w:autoSpaceDN w:val="0"/>
              <w:adjustRightInd w:val="0"/>
              <w:jc w:val="right"/>
              <w:rPr>
                <w:rFonts w:cs="Arial"/>
                <w:sz w:val="16"/>
                <w:szCs w:val="16"/>
                <w:lang w:eastAsia="en-GB"/>
              </w:rPr>
            </w:pPr>
            <w:r w:rsidRPr="00A32AF4">
              <w:rPr>
                <w:rFonts w:cs="Arial"/>
                <w:sz w:val="16"/>
                <w:szCs w:val="16"/>
                <w:lang w:eastAsia="en-GB"/>
              </w:rPr>
              <w:t>88,2%</w:t>
            </w:r>
          </w:p>
        </w:tc>
      </w:tr>
      <w:tr w:rsidR="00D659C6" w:rsidRPr="00A32AF4" w:rsidTr="00115F7D">
        <w:trPr>
          <w:jc w:val="center"/>
        </w:trPr>
        <w:tc>
          <w:tcPr>
            <w:tcW w:w="534" w:type="dxa"/>
            <w:shd w:val="clear" w:color="auto" w:fill="auto"/>
            <w:tcMar>
              <w:top w:w="85" w:type="dxa"/>
              <w:bottom w:w="85" w:type="dxa"/>
            </w:tcMar>
          </w:tcPr>
          <w:p w:rsidR="00D659C6" w:rsidRPr="00A32AF4" w:rsidRDefault="00D659C6" w:rsidP="00DC0553">
            <w:pPr>
              <w:autoSpaceDE w:val="0"/>
              <w:autoSpaceDN w:val="0"/>
              <w:adjustRightInd w:val="0"/>
              <w:rPr>
                <w:rFonts w:cs="Arial"/>
                <w:sz w:val="16"/>
                <w:szCs w:val="16"/>
                <w:lang w:eastAsia="en-GB"/>
              </w:rPr>
            </w:pPr>
            <w:r w:rsidRPr="00A32AF4">
              <w:rPr>
                <w:rFonts w:cs="Arial"/>
                <w:sz w:val="16"/>
                <w:szCs w:val="16"/>
                <w:lang w:eastAsia="en-GB"/>
              </w:rPr>
              <w:t xml:space="preserve">3) </w:t>
            </w:r>
          </w:p>
        </w:tc>
        <w:tc>
          <w:tcPr>
            <w:tcW w:w="2534" w:type="dxa"/>
            <w:shd w:val="clear" w:color="auto" w:fill="auto"/>
            <w:tcMar>
              <w:top w:w="85" w:type="dxa"/>
              <w:bottom w:w="85" w:type="dxa"/>
            </w:tcMar>
          </w:tcPr>
          <w:p w:rsidR="00D659C6" w:rsidRPr="00A32AF4" w:rsidRDefault="00D659C6" w:rsidP="00DC0553">
            <w:pPr>
              <w:autoSpaceDE w:val="0"/>
              <w:autoSpaceDN w:val="0"/>
              <w:adjustRightInd w:val="0"/>
              <w:rPr>
                <w:rFonts w:cs="Arial"/>
                <w:sz w:val="16"/>
                <w:szCs w:val="16"/>
                <w:lang w:eastAsia="en-GB"/>
              </w:rPr>
            </w:pPr>
            <w:r w:rsidRPr="00A32AF4">
              <w:rPr>
                <w:rFonts w:cs="Arial"/>
                <w:sz w:val="16"/>
                <w:szCs w:val="16"/>
                <w:lang w:eastAsia="en-GB"/>
              </w:rPr>
              <w:t>Taux de réussite des travaux de traitement par lots</w:t>
            </w:r>
          </w:p>
        </w:tc>
        <w:tc>
          <w:tcPr>
            <w:tcW w:w="2002" w:type="dxa"/>
            <w:shd w:val="clear" w:color="auto" w:fill="auto"/>
            <w:tcMar>
              <w:top w:w="85" w:type="dxa"/>
              <w:bottom w:w="85" w:type="dxa"/>
            </w:tcMar>
          </w:tcPr>
          <w:p w:rsidR="00D659C6" w:rsidRPr="00A32AF4" w:rsidRDefault="00D659C6" w:rsidP="00DC0553">
            <w:pPr>
              <w:autoSpaceDE w:val="0"/>
              <w:autoSpaceDN w:val="0"/>
              <w:adjustRightInd w:val="0"/>
              <w:rPr>
                <w:rFonts w:cs="Arial"/>
                <w:sz w:val="16"/>
                <w:szCs w:val="16"/>
                <w:lang w:eastAsia="en-GB"/>
              </w:rPr>
            </w:pPr>
            <w:r w:rsidRPr="00A32AF4">
              <w:rPr>
                <w:rFonts w:cs="Arial"/>
                <w:sz w:val="16"/>
                <w:szCs w:val="16"/>
                <w:lang w:eastAsia="en-GB"/>
              </w:rPr>
              <w:t>100%</w:t>
            </w:r>
          </w:p>
        </w:tc>
        <w:tc>
          <w:tcPr>
            <w:tcW w:w="1984" w:type="dxa"/>
            <w:shd w:val="clear" w:color="auto" w:fill="auto"/>
            <w:tcMar>
              <w:top w:w="85" w:type="dxa"/>
              <w:bottom w:w="85" w:type="dxa"/>
            </w:tcMar>
          </w:tcPr>
          <w:p w:rsidR="00D659C6" w:rsidRPr="00A32AF4" w:rsidRDefault="00D659C6" w:rsidP="00DC0553">
            <w:pPr>
              <w:autoSpaceDE w:val="0"/>
              <w:autoSpaceDN w:val="0"/>
              <w:adjustRightInd w:val="0"/>
              <w:rPr>
                <w:rFonts w:cs="Arial"/>
                <w:sz w:val="16"/>
                <w:szCs w:val="16"/>
                <w:lang w:eastAsia="en-GB"/>
              </w:rPr>
            </w:pPr>
            <w:r w:rsidRPr="00A32AF4">
              <w:rPr>
                <w:rFonts w:cs="Arial"/>
                <w:sz w:val="16"/>
                <w:szCs w:val="16"/>
                <w:lang w:eastAsia="en-GB"/>
              </w:rPr>
              <w:t>Lots à traiter avec succès avant la fermeture des bureaux à la date prévue</w:t>
            </w:r>
          </w:p>
        </w:tc>
        <w:tc>
          <w:tcPr>
            <w:tcW w:w="1134" w:type="dxa"/>
            <w:tcMar>
              <w:top w:w="85" w:type="dxa"/>
              <w:bottom w:w="85" w:type="dxa"/>
            </w:tcMar>
          </w:tcPr>
          <w:p w:rsidR="00D659C6" w:rsidRPr="00A32AF4" w:rsidRDefault="00D659C6" w:rsidP="00DC0553">
            <w:pPr>
              <w:autoSpaceDE w:val="0"/>
              <w:autoSpaceDN w:val="0"/>
              <w:adjustRightInd w:val="0"/>
              <w:jc w:val="right"/>
              <w:rPr>
                <w:rFonts w:cs="Arial"/>
                <w:sz w:val="16"/>
                <w:szCs w:val="16"/>
                <w:lang w:eastAsia="en-GB"/>
              </w:rPr>
            </w:pPr>
            <w:r w:rsidRPr="00A32AF4">
              <w:rPr>
                <w:rFonts w:cs="Arial"/>
                <w:sz w:val="16"/>
                <w:szCs w:val="16"/>
                <w:lang w:eastAsia="en-GB"/>
              </w:rPr>
              <w:t>99,6%</w:t>
            </w:r>
          </w:p>
        </w:tc>
        <w:tc>
          <w:tcPr>
            <w:tcW w:w="1101" w:type="dxa"/>
            <w:tcMar>
              <w:top w:w="85" w:type="dxa"/>
              <w:bottom w:w="85" w:type="dxa"/>
            </w:tcMar>
          </w:tcPr>
          <w:p w:rsidR="00D659C6" w:rsidRPr="00A32AF4" w:rsidRDefault="00D659C6" w:rsidP="00DC0553">
            <w:pPr>
              <w:autoSpaceDE w:val="0"/>
              <w:autoSpaceDN w:val="0"/>
              <w:adjustRightInd w:val="0"/>
              <w:jc w:val="right"/>
              <w:rPr>
                <w:rFonts w:cs="Arial"/>
                <w:sz w:val="16"/>
                <w:szCs w:val="16"/>
                <w:lang w:eastAsia="en-GB"/>
              </w:rPr>
            </w:pPr>
            <w:r w:rsidRPr="00A32AF4">
              <w:rPr>
                <w:rFonts w:cs="Arial"/>
                <w:sz w:val="16"/>
                <w:szCs w:val="16"/>
                <w:lang w:eastAsia="en-GB"/>
              </w:rPr>
              <w:t>99,5%</w:t>
            </w:r>
          </w:p>
        </w:tc>
      </w:tr>
      <w:tr w:rsidR="00D659C6" w:rsidRPr="00A32AF4" w:rsidTr="00115F7D">
        <w:trPr>
          <w:jc w:val="center"/>
        </w:trPr>
        <w:tc>
          <w:tcPr>
            <w:tcW w:w="534" w:type="dxa"/>
            <w:shd w:val="clear" w:color="auto" w:fill="auto"/>
            <w:tcMar>
              <w:top w:w="85" w:type="dxa"/>
              <w:bottom w:w="85" w:type="dxa"/>
            </w:tcMar>
          </w:tcPr>
          <w:p w:rsidR="00D659C6" w:rsidRPr="00A32AF4" w:rsidRDefault="00D659C6" w:rsidP="00DC0553">
            <w:pPr>
              <w:autoSpaceDE w:val="0"/>
              <w:autoSpaceDN w:val="0"/>
              <w:adjustRightInd w:val="0"/>
              <w:rPr>
                <w:rFonts w:cs="Arial"/>
                <w:sz w:val="16"/>
                <w:szCs w:val="16"/>
                <w:lang w:eastAsia="en-GB"/>
              </w:rPr>
            </w:pPr>
            <w:r w:rsidRPr="00A32AF4">
              <w:rPr>
                <w:rFonts w:cs="Arial"/>
                <w:sz w:val="16"/>
                <w:szCs w:val="16"/>
                <w:lang w:eastAsia="en-GB"/>
              </w:rPr>
              <w:t>4)</w:t>
            </w:r>
          </w:p>
        </w:tc>
        <w:tc>
          <w:tcPr>
            <w:tcW w:w="2534" w:type="dxa"/>
            <w:shd w:val="clear" w:color="auto" w:fill="auto"/>
            <w:tcMar>
              <w:top w:w="85" w:type="dxa"/>
              <w:bottom w:w="85" w:type="dxa"/>
            </w:tcMar>
          </w:tcPr>
          <w:p w:rsidR="00D659C6" w:rsidRPr="00A32AF4" w:rsidRDefault="00D659C6" w:rsidP="00DC0553">
            <w:pPr>
              <w:autoSpaceDE w:val="0"/>
              <w:autoSpaceDN w:val="0"/>
              <w:adjustRightInd w:val="0"/>
              <w:rPr>
                <w:rFonts w:cs="Arial"/>
                <w:sz w:val="16"/>
                <w:szCs w:val="16"/>
                <w:lang w:eastAsia="en-GB"/>
              </w:rPr>
            </w:pPr>
            <w:r w:rsidRPr="00A32AF4">
              <w:rPr>
                <w:rFonts w:cs="Arial"/>
                <w:sz w:val="16"/>
                <w:szCs w:val="16"/>
                <w:lang w:eastAsia="en-GB"/>
              </w:rPr>
              <w:t>Accessibilité du système eDossier</w:t>
            </w:r>
          </w:p>
        </w:tc>
        <w:tc>
          <w:tcPr>
            <w:tcW w:w="2002" w:type="dxa"/>
            <w:shd w:val="clear" w:color="auto" w:fill="auto"/>
            <w:tcMar>
              <w:top w:w="85" w:type="dxa"/>
              <w:bottom w:w="85" w:type="dxa"/>
            </w:tcMar>
          </w:tcPr>
          <w:p w:rsidR="00D659C6" w:rsidRPr="00A32AF4" w:rsidRDefault="00D659C6" w:rsidP="00DC0553">
            <w:pPr>
              <w:autoSpaceDE w:val="0"/>
              <w:autoSpaceDN w:val="0"/>
              <w:adjustRightInd w:val="0"/>
              <w:rPr>
                <w:rFonts w:cs="Arial"/>
                <w:sz w:val="16"/>
                <w:szCs w:val="16"/>
                <w:lang w:eastAsia="en-GB"/>
              </w:rPr>
            </w:pPr>
            <w:r w:rsidRPr="00A32AF4">
              <w:rPr>
                <w:rFonts w:cs="Arial"/>
                <w:sz w:val="16"/>
                <w:szCs w:val="16"/>
                <w:lang w:eastAsia="en-GB"/>
              </w:rPr>
              <w:t>99%</w:t>
            </w:r>
          </w:p>
        </w:tc>
        <w:tc>
          <w:tcPr>
            <w:tcW w:w="1984" w:type="dxa"/>
            <w:shd w:val="clear" w:color="auto" w:fill="auto"/>
            <w:tcMar>
              <w:top w:w="85" w:type="dxa"/>
              <w:bottom w:w="85" w:type="dxa"/>
            </w:tcMar>
          </w:tcPr>
          <w:p w:rsidR="00D659C6" w:rsidRPr="00A32AF4" w:rsidRDefault="00D659C6" w:rsidP="00DC0553">
            <w:pPr>
              <w:autoSpaceDE w:val="0"/>
              <w:autoSpaceDN w:val="0"/>
              <w:adjustRightInd w:val="0"/>
              <w:rPr>
                <w:rFonts w:cs="Arial"/>
                <w:sz w:val="16"/>
                <w:szCs w:val="16"/>
                <w:lang w:eastAsia="en-GB"/>
              </w:rPr>
            </w:pPr>
            <w:r w:rsidRPr="00A32AF4">
              <w:rPr>
                <w:rFonts w:cs="Arial"/>
                <w:sz w:val="16"/>
                <w:szCs w:val="16"/>
                <w:lang w:eastAsia="en-GB"/>
              </w:rPr>
              <w:t>7 heures – 19 heures les jours ouvrables</w:t>
            </w:r>
          </w:p>
        </w:tc>
        <w:tc>
          <w:tcPr>
            <w:tcW w:w="1134" w:type="dxa"/>
            <w:tcMar>
              <w:top w:w="85" w:type="dxa"/>
              <w:bottom w:w="85" w:type="dxa"/>
            </w:tcMar>
          </w:tcPr>
          <w:p w:rsidR="00D659C6" w:rsidRPr="00A32AF4" w:rsidRDefault="00D659C6" w:rsidP="00DC0553">
            <w:pPr>
              <w:autoSpaceDE w:val="0"/>
              <w:autoSpaceDN w:val="0"/>
              <w:adjustRightInd w:val="0"/>
              <w:jc w:val="right"/>
              <w:rPr>
                <w:rFonts w:cs="Arial"/>
                <w:sz w:val="16"/>
                <w:szCs w:val="16"/>
                <w:lang w:eastAsia="en-GB"/>
              </w:rPr>
            </w:pPr>
            <w:r w:rsidRPr="00A32AF4">
              <w:rPr>
                <w:rFonts w:cs="Arial"/>
                <w:sz w:val="16"/>
                <w:szCs w:val="16"/>
                <w:lang w:eastAsia="en-GB"/>
              </w:rPr>
              <w:t>100,0%</w:t>
            </w:r>
          </w:p>
        </w:tc>
        <w:tc>
          <w:tcPr>
            <w:tcW w:w="1101" w:type="dxa"/>
            <w:tcMar>
              <w:top w:w="85" w:type="dxa"/>
              <w:bottom w:w="85" w:type="dxa"/>
            </w:tcMar>
          </w:tcPr>
          <w:p w:rsidR="00D659C6" w:rsidRPr="00A32AF4" w:rsidRDefault="00D659C6" w:rsidP="00DC0553">
            <w:pPr>
              <w:autoSpaceDE w:val="0"/>
              <w:autoSpaceDN w:val="0"/>
              <w:adjustRightInd w:val="0"/>
              <w:jc w:val="right"/>
              <w:rPr>
                <w:rFonts w:cs="Arial"/>
                <w:sz w:val="16"/>
                <w:szCs w:val="16"/>
                <w:lang w:eastAsia="en-GB"/>
              </w:rPr>
            </w:pPr>
            <w:r w:rsidRPr="00A32AF4">
              <w:rPr>
                <w:rFonts w:cs="Arial"/>
                <w:sz w:val="16"/>
                <w:szCs w:val="16"/>
                <w:lang w:eastAsia="en-GB"/>
              </w:rPr>
              <w:t>100,0%</w:t>
            </w:r>
          </w:p>
        </w:tc>
      </w:tr>
      <w:tr w:rsidR="00D659C6" w:rsidRPr="00A32AF4" w:rsidTr="00115F7D">
        <w:trPr>
          <w:jc w:val="center"/>
        </w:trPr>
        <w:tc>
          <w:tcPr>
            <w:tcW w:w="534" w:type="dxa"/>
            <w:shd w:val="clear" w:color="auto" w:fill="auto"/>
            <w:tcMar>
              <w:top w:w="85" w:type="dxa"/>
              <w:bottom w:w="85" w:type="dxa"/>
            </w:tcMar>
          </w:tcPr>
          <w:p w:rsidR="00D659C6" w:rsidRPr="00A32AF4" w:rsidRDefault="00D659C6" w:rsidP="00DC0553">
            <w:pPr>
              <w:autoSpaceDE w:val="0"/>
              <w:autoSpaceDN w:val="0"/>
              <w:adjustRightInd w:val="0"/>
              <w:rPr>
                <w:rFonts w:cs="Arial"/>
                <w:sz w:val="16"/>
                <w:szCs w:val="16"/>
                <w:lang w:eastAsia="en-GB"/>
              </w:rPr>
            </w:pPr>
            <w:r w:rsidRPr="00A32AF4">
              <w:rPr>
                <w:rFonts w:cs="Arial"/>
                <w:sz w:val="16"/>
                <w:szCs w:val="16"/>
                <w:lang w:eastAsia="en-GB"/>
              </w:rPr>
              <w:t xml:space="preserve">5) </w:t>
            </w:r>
          </w:p>
        </w:tc>
        <w:tc>
          <w:tcPr>
            <w:tcW w:w="2534" w:type="dxa"/>
            <w:shd w:val="clear" w:color="auto" w:fill="auto"/>
            <w:tcMar>
              <w:top w:w="85" w:type="dxa"/>
              <w:bottom w:w="85" w:type="dxa"/>
            </w:tcMar>
          </w:tcPr>
          <w:p w:rsidR="00D659C6" w:rsidRPr="00A32AF4" w:rsidRDefault="00D659C6" w:rsidP="00DC0553">
            <w:pPr>
              <w:autoSpaceDE w:val="0"/>
              <w:autoSpaceDN w:val="0"/>
              <w:adjustRightInd w:val="0"/>
              <w:rPr>
                <w:rFonts w:cs="Arial"/>
                <w:sz w:val="16"/>
                <w:szCs w:val="16"/>
                <w:lang w:eastAsia="en-GB"/>
              </w:rPr>
            </w:pPr>
            <w:r w:rsidRPr="00A32AF4">
              <w:rPr>
                <w:rFonts w:cs="Arial"/>
                <w:sz w:val="16"/>
                <w:szCs w:val="16"/>
                <w:lang w:eastAsia="en-GB"/>
              </w:rPr>
              <w:t>Accessibilité du système ePCT</w:t>
            </w:r>
          </w:p>
        </w:tc>
        <w:tc>
          <w:tcPr>
            <w:tcW w:w="2002" w:type="dxa"/>
            <w:shd w:val="clear" w:color="auto" w:fill="auto"/>
            <w:tcMar>
              <w:top w:w="85" w:type="dxa"/>
              <w:bottom w:w="85" w:type="dxa"/>
            </w:tcMar>
          </w:tcPr>
          <w:p w:rsidR="00D659C6" w:rsidRPr="00A32AF4" w:rsidRDefault="00D659C6" w:rsidP="00DC0553">
            <w:pPr>
              <w:autoSpaceDE w:val="0"/>
              <w:autoSpaceDN w:val="0"/>
              <w:adjustRightInd w:val="0"/>
              <w:rPr>
                <w:rFonts w:cs="Arial"/>
                <w:sz w:val="16"/>
                <w:szCs w:val="16"/>
                <w:lang w:eastAsia="en-GB"/>
              </w:rPr>
            </w:pPr>
            <w:r w:rsidRPr="00A32AF4">
              <w:rPr>
                <w:rFonts w:cs="Arial"/>
                <w:sz w:val="16"/>
                <w:szCs w:val="16"/>
                <w:lang w:eastAsia="en-GB"/>
              </w:rPr>
              <w:t>99%</w:t>
            </w:r>
          </w:p>
        </w:tc>
        <w:tc>
          <w:tcPr>
            <w:tcW w:w="1984" w:type="dxa"/>
            <w:shd w:val="clear" w:color="auto" w:fill="auto"/>
            <w:tcMar>
              <w:top w:w="85" w:type="dxa"/>
              <w:bottom w:w="85" w:type="dxa"/>
            </w:tcMar>
          </w:tcPr>
          <w:p w:rsidR="00D659C6" w:rsidRPr="00A32AF4" w:rsidRDefault="00D659C6" w:rsidP="00DC0553">
            <w:pPr>
              <w:autoSpaceDE w:val="0"/>
              <w:autoSpaceDN w:val="0"/>
              <w:adjustRightInd w:val="0"/>
              <w:rPr>
                <w:rFonts w:cs="Arial"/>
                <w:sz w:val="16"/>
                <w:szCs w:val="16"/>
                <w:lang w:eastAsia="en-GB"/>
              </w:rPr>
            </w:pPr>
            <w:r w:rsidRPr="00A32AF4">
              <w:rPr>
                <w:rFonts w:cs="Arial"/>
                <w:sz w:val="16"/>
                <w:szCs w:val="16"/>
                <w:lang w:eastAsia="en-GB"/>
              </w:rPr>
              <w:t>24 heures sur 24</w:t>
            </w:r>
          </w:p>
        </w:tc>
        <w:tc>
          <w:tcPr>
            <w:tcW w:w="1134" w:type="dxa"/>
            <w:tcMar>
              <w:top w:w="85" w:type="dxa"/>
              <w:bottom w:w="85" w:type="dxa"/>
            </w:tcMar>
          </w:tcPr>
          <w:p w:rsidR="00D659C6" w:rsidRPr="00A32AF4" w:rsidRDefault="00D659C6" w:rsidP="00DC0553">
            <w:pPr>
              <w:autoSpaceDE w:val="0"/>
              <w:autoSpaceDN w:val="0"/>
              <w:adjustRightInd w:val="0"/>
              <w:jc w:val="right"/>
              <w:rPr>
                <w:rFonts w:cs="Arial"/>
                <w:sz w:val="16"/>
                <w:szCs w:val="16"/>
                <w:lang w:eastAsia="en-GB"/>
              </w:rPr>
            </w:pPr>
            <w:r w:rsidRPr="00A32AF4">
              <w:rPr>
                <w:rFonts w:cs="Arial"/>
                <w:sz w:val="16"/>
                <w:szCs w:val="16"/>
                <w:lang w:eastAsia="en-GB"/>
              </w:rPr>
              <w:t>100,0%</w:t>
            </w:r>
          </w:p>
        </w:tc>
        <w:tc>
          <w:tcPr>
            <w:tcW w:w="1101" w:type="dxa"/>
            <w:tcMar>
              <w:top w:w="85" w:type="dxa"/>
              <w:bottom w:w="85" w:type="dxa"/>
            </w:tcMar>
          </w:tcPr>
          <w:p w:rsidR="00D659C6" w:rsidRPr="00A32AF4" w:rsidRDefault="00D659C6" w:rsidP="00DC0553">
            <w:pPr>
              <w:autoSpaceDE w:val="0"/>
              <w:autoSpaceDN w:val="0"/>
              <w:adjustRightInd w:val="0"/>
              <w:jc w:val="right"/>
              <w:rPr>
                <w:rFonts w:cs="Arial"/>
                <w:sz w:val="16"/>
                <w:szCs w:val="16"/>
                <w:lang w:eastAsia="en-GB"/>
              </w:rPr>
            </w:pPr>
            <w:r w:rsidRPr="00A32AF4">
              <w:rPr>
                <w:rFonts w:cs="Arial"/>
                <w:sz w:val="16"/>
                <w:szCs w:val="16"/>
                <w:lang w:eastAsia="en-GB"/>
              </w:rPr>
              <w:t>100,0%</w:t>
            </w:r>
          </w:p>
        </w:tc>
      </w:tr>
      <w:tr w:rsidR="00D659C6" w:rsidRPr="00A32AF4" w:rsidTr="00115F7D">
        <w:trPr>
          <w:jc w:val="center"/>
        </w:trPr>
        <w:tc>
          <w:tcPr>
            <w:tcW w:w="534" w:type="dxa"/>
            <w:shd w:val="clear" w:color="auto" w:fill="auto"/>
            <w:tcMar>
              <w:top w:w="85" w:type="dxa"/>
              <w:bottom w:w="85" w:type="dxa"/>
            </w:tcMar>
          </w:tcPr>
          <w:p w:rsidR="00D659C6" w:rsidRPr="00A32AF4" w:rsidRDefault="00D659C6" w:rsidP="00DC0553">
            <w:pPr>
              <w:autoSpaceDE w:val="0"/>
              <w:autoSpaceDN w:val="0"/>
              <w:adjustRightInd w:val="0"/>
              <w:rPr>
                <w:rFonts w:cs="Arial"/>
                <w:b/>
                <w:sz w:val="16"/>
                <w:szCs w:val="16"/>
                <w:lang w:eastAsia="en-GB"/>
              </w:rPr>
            </w:pPr>
          </w:p>
        </w:tc>
        <w:tc>
          <w:tcPr>
            <w:tcW w:w="2534" w:type="dxa"/>
            <w:shd w:val="clear" w:color="auto" w:fill="auto"/>
            <w:tcMar>
              <w:top w:w="85" w:type="dxa"/>
              <w:bottom w:w="85" w:type="dxa"/>
            </w:tcMar>
          </w:tcPr>
          <w:p w:rsidR="00F93B76" w:rsidRPr="00A32AF4" w:rsidRDefault="00D659C6" w:rsidP="00DC0553">
            <w:pPr>
              <w:autoSpaceDE w:val="0"/>
              <w:autoSpaceDN w:val="0"/>
              <w:adjustRightInd w:val="0"/>
              <w:rPr>
                <w:rFonts w:cs="Arial"/>
                <w:b/>
                <w:sz w:val="16"/>
                <w:szCs w:val="16"/>
                <w:lang w:eastAsia="en-GB"/>
              </w:rPr>
            </w:pPr>
            <w:r w:rsidRPr="00A32AF4">
              <w:rPr>
                <w:rFonts w:cs="Arial"/>
                <w:b/>
                <w:sz w:val="16"/>
                <w:szCs w:val="16"/>
                <w:lang w:eastAsia="en-GB"/>
              </w:rPr>
              <w:t>Niveaux de service des systèmes informatiques</w:t>
            </w:r>
          </w:p>
          <w:p w:rsidR="00D659C6" w:rsidRPr="00A32AF4" w:rsidRDefault="00D659C6" w:rsidP="00DC0553">
            <w:pPr>
              <w:autoSpaceDE w:val="0"/>
              <w:autoSpaceDN w:val="0"/>
              <w:adjustRightInd w:val="0"/>
              <w:rPr>
                <w:rFonts w:cs="Arial"/>
                <w:b/>
                <w:i/>
                <w:sz w:val="16"/>
                <w:szCs w:val="16"/>
                <w:lang w:eastAsia="en-GB"/>
              </w:rPr>
            </w:pPr>
            <w:r w:rsidRPr="00A32AF4">
              <w:rPr>
                <w:rFonts w:cs="Arial"/>
                <w:b/>
                <w:i/>
                <w:sz w:val="16"/>
                <w:szCs w:val="16"/>
                <w:lang w:eastAsia="en-GB"/>
              </w:rPr>
              <w:t>Moyenne pondérée des indicateurs précités : 1) : 20% 2) : 20% 3) : 20% 4) : 20% 5) : 20%.</w:t>
            </w:r>
          </w:p>
        </w:tc>
        <w:tc>
          <w:tcPr>
            <w:tcW w:w="2002" w:type="dxa"/>
            <w:shd w:val="clear" w:color="auto" w:fill="auto"/>
            <w:tcMar>
              <w:top w:w="85" w:type="dxa"/>
              <w:bottom w:w="85" w:type="dxa"/>
            </w:tcMar>
          </w:tcPr>
          <w:p w:rsidR="00D659C6" w:rsidRPr="00A32AF4" w:rsidRDefault="00D659C6" w:rsidP="00DC0553">
            <w:pPr>
              <w:autoSpaceDE w:val="0"/>
              <w:autoSpaceDN w:val="0"/>
              <w:adjustRightInd w:val="0"/>
              <w:rPr>
                <w:rFonts w:cs="Arial"/>
                <w:b/>
                <w:sz w:val="16"/>
                <w:szCs w:val="16"/>
                <w:lang w:eastAsia="en-GB"/>
              </w:rPr>
            </w:pPr>
          </w:p>
        </w:tc>
        <w:tc>
          <w:tcPr>
            <w:tcW w:w="1984" w:type="dxa"/>
            <w:shd w:val="clear" w:color="auto" w:fill="auto"/>
            <w:tcMar>
              <w:top w:w="85" w:type="dxa"/>
              <w:bottom w:w="85" w:type="dxa"/>
            </w:tcMar>
          </w:tcPr>
          <w:p w:rsidR="00D659C6" w:rsidRPr="00A32AF4" w:rsidRDefault="00D659C6" w:rsidP="00DC0553">
            <w:pPr>
              <w:autoSpaceDE w:val="0"/>
              <w:autoSpaceDN w:val="0"/>
              <w:adjustRightInd w:val="0"/>
              <w:rPr>
                <w:rFonts w:cs="Arial"/>
                <w:b/>
                <w:sz w:val="16"/>
                <w:szCs w:val="16"/>
                <w:lang w:eastAsia="en-GB"/>
              </w:rPr>
            </w:pPr>
          </w:p>
        </w:tc>
        <w:tc>
          <w:tcPr>
            <w:tcW w:w="1134" w:type="dxa"/>
            <w:tcMar>
              <w:top w:w="85" w:type="dxa"/>
              <w:bottom w:w="85" w:type="dxa"/>
            </w:tcMar>
          </w:tcPr>
          <w:p w:rsidR="00D659C6" w:rsidRPr="00A32AF4" w:rsidRDefault="00D659C6" w:rsidP="00DC0553">
            <w:pPr>
              <w:autoSpaceDE w:val="0"/>
              <w:autoSpaceDN w:val="0"/>
              <w:adjustRightInd w:val="0"/>
              <w:jc w:val="right"/>
              <w:rPr>
                <w:rFonts w:cs="Arial"/>
                <w:b/>
                <w:sz w:val="16"/>
                <w:szCs w:val="16"/>
              </w:rPr>
            </w:pPr>
            <w:r w:rsidRPr="00A32AF4">
              <w:rPr>
                <w:rFonts w:cs="Arial"/>
                <w:b/>
                <w:sz w:val="16"/>
                <w:szCs w:val="16"/>
              </w:rPr>
              <w:t>93,0%</w:t>
            </w:r>
          </w:p>
        </w:tc>
        <w:tc>
          <w:tcPr>
            <w:tcW w:w="1101" w:type="dxa"/>
            <w:tcMar>
              <w:top w:w="85" w:type="dxa"/>
              <w:bottom w:w="85" w:type="dxa"/>
            </w:tcMar>
          </w:tcPr>
          <w:p w:rsidR="00D659C6" w:rsidRPr="00A32AF4" w:rsidRDefault="00D659C6" w:rsidP="00DC0553">
            <w:pPr>
              <w:autoSpaceDE w:val="0"/>
              <w:autoSpaceDN w:val="0"/>
              <w:adjustRightInd w:val="0"/>
              <w:jc w:val="right"/>
              <w:rPr>
                <w:rFonts w:cs="Arial"/>
                <w:b/>
                <w:sz w:val="16"/>
                <w:szCs w:val="16"/>
              </w:rPr>
            </w:pPr>
            <w:r w:rsidRPr="00A32AF4">
              <w:rPr>
                <w:rFonts w:cs="Arial"/>
                <w:b/>
                <w:sz w:val="16"/>
                <w:szCs w:val="16"/>
              </w:rPr>
              <w:t>95,3%</w:t>
            </w:r>
          </w:p>
        </w:tc>
      </w:tr>
    </w:tbl>
    <w:p w:rsidR="00F93B76" w:rsidRPr="00A32AF4" w:rsidRDefault="00F93B76" w:rsidP="00DC0553"/>
    <w:p w:rsidR="00F93B76" w:rsidRPr="00A32AF4" w:rsidRDefault="00F93B76" w:rsidP="00DC0553"/>
    <w:p w:rsidR="00F93B76" w:rsidRPr="00A32AF4" w:rsidRDefault="00D659C6" w:rsidP="00DC0553">
      <w:pPr>
        <w:rPr>
          <w:rFonts w:cs="Arial"/>
          <w:b/>
          <w:szCs w:val="16"/>
        </w:rPr>
      </w:pPr>
      <w:r w:rsidRPr="00A32AF4">
        <w:rPr>
          <w:rFonts w:cs="Arial"/>
          <w:b/>
          <w:szCs w:val="16"/>
        </w:rPr>
        <w:t>Bureau international agissant en tant qu</w:t>
      </w:r>
      <w:r w:rsidR="00E2055A" w:rsidRPr="00A32AF4">
        <w:rPr>
          <w:rFonts w:cs="Arial"/>
          <w:b/>
          <w:szCs w:val="16"/>
        </w:rPr>
        <w:t>’</w:t>
      </w:r>
      <w:r w:rsidRPr="00A32AF4">
        <w:rPr>
          <w:rFonts w:cs="Arial"/>
          <w:b/>
          <w:szCs w:val="16"/>
        </w:rPr>
        <w:t>office récepteur (RO/IB)</w:t>
      </w:r>
    </w:p>
    <w:p w:rsidR="00F93B76" w:rsidRPr="00A32AF4" w:rsidRDefault="00F93B76" w:rsidP="00DC0553"/>
    <w:p w:rsidR="00F93B76" w:rsidRPr="00A32AF4" w:rsidRDefault="00D659C6" w:rsidP="00DC0553">
      <w:pPr>
        <w:rPr>
          <w:rFonts w:cs="Arial"/>
          <w:i/>
        </w:rPr>
      </w:pPr>
      <w:r w:rsidRPr="00A32AF4">
        <w:rPr>
          <w:rFonts w:cs="Arial"/>
          <w:i/>
        </w:rPr>
        <w:t>Dépôts</w:t>
      </w:r>
    </w:p>
    <w:p w:rsidR="00F93B76" w:rsidRPr="00A32AF4" w:rsidRDefault="00F93B76" w:rsidP="00DC0553"/>
    <w:p w:rsidR="00F93B76" w:rsidRPr="00A32AF4" w:rsidRDefault="00D659C6" w:rsidP="00DC0553">
      <w:pPr>
        <w:numPr>
          <w:ilvl w:val="0"/>
          <w:numId w:val="37"/>
        </w:numPr>
        <w:rPr>
          <w:rFonts w:cs="Arial"/>
        </w:rPr>
      </w:pPr>
      <w:r w:rsidRPr="00A32AF4">
        <w:rPr>
          <w:rFonts w:cs="Arial"/>
        </w:rPr>
        <w:t>Ce tableau indique les 10 principaux offices récepteurs classés en fonction du nombre de demandes déposées selon le PCT au cours des cinq dernières années, jusqu</w:t>
      </w:r>
      <w:r w:rsidR="00E2055A" w:rsidRPr="00A32AF4">
        <w:rPr>
          <w:rFonts w:cs="Arial"/>
        </w:rPr>
        <w:t>’</w:t>
      </w:r>
      <w:r w:rsidRPr="00A32AF4">
        <w:rPr>
          <w:rFonts w:cs="Arial"/>
        </w:rPr>
        <w:t>en 2014.</w:t>
      </w:r>
      <w:r w:rsidRPr="00A32AF4">
        <w:t xml:space="preserve">  </w:t>
      </w:r>
      <w:r w:rsidRPr="00A32AF4">
        <w:rPr>
          <w:rFonts w:cs="Arial"/>
        </w:rPr>
        <w:t>En principe, une demande selon le PCT est déposée auprès de l</w:t>
      </w:r>
      <w:r w:rsidR="00E2055A" w:rsidRPr="00A32AF4">
        <w:rPr>
          <w:rFonts w:cs="Arial"/>
        </w:rPr>
        <w:t>’</w:t>
      </w:r>
      <w:r w:rsidRPr="00A32AF4">
        <w:rPr>
          <w:rFonts w:cs="Arial"/>
        </w:rPr>
        <w:t>office des brevets national du pays d</w:t>
      </w:r>
      <w:r w:rsidR="00E2055A" w:rsidRPr="00A32AF4">
        <w:rPr>
          <w:rFonts w:cs="Arial"/>
        </w:rPr>
        <w:t>’</w:t>
      </w:r>
      <w:r w:rsidRPr="00A32AF4">
        <w:rPr>
          <w:rFonts w:cs="Arial"/>
        </w:rPr>
        <w:t>origine du déposant ou d</w:t>
      </w:r>
      <w:r w:rsidR="00E2055A" w:rsidRPr="00A32AF4">
        <w:rPr>
          <w:rFonts w:cs="Arial"/>
        </w:rPr>
        <w:t>’</w:t>
      </w:r>
      <w:r w:rsidRPr="00A32AF4">
        <w:rPr>
          <w:rFonts w:cs="Arial"/>
        </w:rPr>
        <w:t>un office de brevets régional agissant au nom de la juridiction dont relève le déposant.</w:t>
      </w:r>
      <w:r w:rsidRPr="00A32AF4">
        <w:t xml:space="preserve">  </w:t>
      </w:r>
      <w:r w:rsidRPr="00A32AF4">
        <w:rPr>
          <w:rFonts w:cs="Arial"/>
        </w:rPr>
        <w:t>Le Bureau international est compétent pour agir en qualité d</w:t>
      </w:r>
      <w:r w:rsidR="00E2055A" w:rsidRPr="00A32AF4">
        <w:rPr>
          <w:rFonts w:cs="Arial"/>
        </w:rPr>
        <w:t>’</w:t>
      </w:r>
      <w:r w:rsidRPr="00A32AF4">
        <w:rPr>
          <w:rFonts w:cs="Arial"/>
        </w:rPr>
        <w:t>office récepteur pour les déposants de tous les États contractants du PCT.</w:t>
      </w:r>
      <w:r w:rsidRPr="00A32AF4">
        <w:t xml:space="preserve">  </w:t>
      </w:r>
      <w:r w:rsidRPr="00A32AF4">
        <w:rPr>
          <w:rFonts w:cs="Arial"/>
        </w:rPr>
        <w:t>L</w:t>
      </w:r>
      <w:r w:rsidR="00E2055A" w:rsidRPr="00A32AF4">
        <w:rPr>
          <w:rFonts w:cs="Arial"/>
        </w:rPr>
        <w:t>’</w:t>
      </w:r>
      <w:r w:rsidRPr="00A32AF4">
        <w:rPr>
          <w:rFonts w:cs="Arial"/>
        </w:rPr>
        <w:t>évolution des dépôts auprès du Bureau international, le classement de celui</w:t>
      </w:r>
      <w:r w:rsidR="00EB7F54" w:rsidRPr="00A32AF4">
        <w:rPr>
          <w:rFonts w:cs="Arial"/>
          <w:szCs w:val="22"/>
        </w:rPr>
        <w:noBreakHyphen/>
      </w:r>
      <w:r w:rsidRPr="00A32AF4">
        <w:rPr>
          <w:rFonts w:cs="Arial"/>
          <w:szCs w:val="22"/>
        </w:rPr>
        <w:t xml:space="preserve">ci </w:t>
      </w:r>
      <w:r w:rsidRPr="00A32AF4">
        <w:rPr>
          <w:rFonts w:cs="Arial"/>
        </w:rPr>
        <w:t>par rapport à d</w:t>
      </w:r>
      <w:r w:rsidR="00E2055A" w:rsidRPr="00A32AF4">
        <w:rPr>
          <w:rFonts w:cs="Arial"/>
        </w:rPr>
        <w:t>’</w:t>
      </w:r>
      <w:r w:rsidRPr="00A32AF4">
        <w:rPr>
          <w:rFonts w:cs="Arial"/>
        </w:rPr>
        <w:t>autres offices récepteurs et sa part de marché sont indiqués dans ce tableau.</w:t>
      </w:r>
    </w:p>
    <w:p w:rsidR="00F93B76" w:rsidRPr="00A32AF4" w:rsidRDefault="00F93B76" w:rsidP="00DC0553"/>
    <w:p w:rsidR="00F93B76" w:rsidRPr="00A32AF4" w:rsidRDefault="00130644" w:rsidP="00DC0553">
      <w:pPr>
        <w:jc w:val="center"/>
        <w:rPr>
          <w:rFonts w:cs="Arial"/>
          <w:sz w:val="18"/>
          <w:szCs w:val="22"/>
        </w:rPr>
      </w:pPr>
      <w:r>
        <w:pict>
          <v:shape id="_x0000_i1041" type="#_x0000_t75" style="width:455.05pt;height:219.45pt">
            <v:imagedata r:id="rId241" o:title=""/>
          </v:shape>
        </w:pict>
      </w:r>
    </w:p>
    <w:p w:rsidR="00F93B76" w:rsidRPr="00A32AF4" w:rsidRDefault="00F93B76" w:rsidP="00DC0553"/>
    <w:p w:rsidR="00F93B76" w:rsidRPr="00A32AF4" w:rsidRDefault="00D659C6" w:rsidP="00DC0553">
      <w:pPr>
        <w:numPr>
          <w:ilvl w:val="0"/>
          <w:numId w:val="37"/>
        </w:numPr>
        <w:rPr>
          <w:rFonts w:cs="Arial"/>
        </w:rPr>
      </w:pPr>
      <w:r w:rsidRPr="00A32AF4">
        <w:rPr>
          <w:rFonts w:cs="Arial"/>
        </w:rPr>
        <w:t>Dans le programme et budget pour l</w:t>
      </w:r>
      <w:r w:rsidR="00E2055A" w:rsidRPr="00A32AF4">
        <w:rPr>
          <w:rFonts w:cs="Arial"/>
        </w:rPr>
        <w:t>’</w:t>
      </w:r>
      <w:r w:rsidRPr="00A32AF4">
        <w:rPr>
          <w:rFonts w:cs="Arial"/>
        </w:rPr>
        <w:t>exercice biennal 2014</w:t>
      </w:r>
      <w:r w:rsidR="00EB7F54" w:rsidRPr="00A32AF4">
        <w:rPr>
          <w:rFonts w:cs="Arial"/>
        </w:rPr>
        <w:noBreakHyphen/>
      </w:r>
      <w:r w:rsidRPr="00A32AF4">
        <w:rPr>
          <w:rFonts w:cs="Arial"/>
        </w:rPr>
        <w:t>2015, les deux indicateurs d</w:t>
      </w:r>
      <w:r w:rsidR="00E2055A" w:rsidRPr="00A32AF4">
        <w:rPr>
          <w:rFonts w:cs="Arial"/>
        </w:rPr>
        <w:t>’</w:t>
      </w:r>
      <w:r w:rsidRPr="00A32AF4">
        <w:rPr>
          <w:rFonts w:cs="Arial"/>
        </w:rPr>
        <w:t>exécution ci</w:t>
      </w:r>
      <w:r w:rsidR="00EB7F54" w:rsidRPr="00A32AF4">
        <w:rPr>
          <w:rFonts w:cs="Arial"/>
        </w:rPr>
        <w:noBreakHyphen/>
      </w:r>
      <w:r w:rsidRPr="00A32AF4">
        <w:rPr>
          <w:rFonts w:cs="Arial"/>
        </w:rPr>
        <w:t>après ont été ajoutés pour le Bureau international agissant en tant qu</w:t>
      </w:r>
      <w:r w:rsidR="00E2055A" w:rsidRPr="00A32AF4">
        <w:rPr>
          <w:rFonts w:cs="Arial"/>
        </w:rPr>
        <w:t>’</w:t>
      </w:r>
      <w:r w:rsidRPr="00A32AF4">
        <w:rPr>
          <w:rFonts w:cs="Arial"/>
        </w:rPr>
        <w:t>office récepteur :</w:t>
      </w:r>
    </w:p>
    <w:p w:rsidR="00F93B76" w:rsidRPr="00A32AF4" w:rsidRDefault="00F93B76" w:rsidP="00DC0553">
      <w:pPr>
        <w:pStyle w:val="PlainText"/>
        <w:rPr>
          <w:rFonts w:ascii="Arial" w:hAnsi="Arial" w:cs="Arial"/>
        </w:rPr>
      </w:pPr>
    </w:p>
    <w:p w:rsidR="00F93B76" w:rsidRPr="00A32AF4" w:rsidRDefault="00F93B76" w:rsidP="00DC0553">
      <w:pPr>
        <w:pStyle w:val="PlainText"/>
        <w:rPr>
          <w:rFonts w:ascii="Arial" w:hAnsi="Arial" w:cs="Arial"/>
        </w:rPr>
      </w:pPr>
    </w:p>
    <w:p w:rsidR="00F93B76" w:rsidRPr="00A32AF4" w:rsidRDefault="00D659C6" w:rsidP="00DC0553">
      <w:pPr>
        <w:pStyle w:val="PlainText"/>
        <w:rPr>
          <w:rFonts w:ascii="Arial" w:hAnsi="Arial" w:cs="Arial"/>
        </w:rPr>
      </w:pPr>
      <w:r w:rsidRPr="00A32AF4">
        <w:rPr>
          <w:rFonts w:ascii="Arial" w:hAnsi="Arial" w:cs="Arial"/>
          <w:i/>
        </w:rPr>
        <w:t>Délai de notification de la date de dépôt international</w:t>
      </w:r>
    </w:p>
    <w:p w:rsidR="00F93B76" w:rsidRPr="00A32AF4" w:rsidRDefault="00F93B76" w:rsidP="00DC0553">
      <w:pPr>
        <w:pStyle w:val="PlainText"/>
        <w:rPr>
          <w:rFonts w:ascii="Arial" w:hAnsi="Arial" w:cs="Arial"/>
        </w:rPr>
      </w:pPr>
    </w:p>
    <w:p w:rsidR="00F93B76" w:rsidRPr="00A32AF4" w:rsidRDefault="00D659C6" w:rsidP="00DC0553">
      <w:pPr>
        <w:numPr>
          <w:ilvl w:val="0"/>
          <w:numId w:val="37"/>
        </w:numPr>
        <w:rPr>
          <w:rFonts w:cs="Arial"/>
        </w:rPr>
      </w:pPr>
      <w:r w:rsidRPr="00A32AF4">
        <w:rPr>
          <w:rFonts w:cs="Arial"/>
        </w:rPr>
        <w:t>Cet indicateur rend compte du temps qu</w:t>
      </w:r>
      <w:r w:rsidR="00E2055A" w:rsidRPr="00A32AF4">
        <w:rPr>
          <w:rFonts w:cs="Arial"/>
        </w:rPr>
        <w:t>’</w:t>
      </w:r>
      <w:r w:rsidRPr="00A32AF4">
        <w:rPr>
          <w:rFonts w:cs="Arial"/>
        </w:rPr>
        <w:t>il faut au Bureau international agissant en tant qu</w:t>
      </w:r>
      <w:r w:rsidR="00E2055A" w:rsidRPr="00A32AF4">
        <w:rPr>
          <w:rFonts w:cs="Arial"/>
        </w:rPr>
        <w:t>’</w:t>
      </w:r>
      <w:r w:rsidRPr="00A32AF4">
        <w:rPr>
          <w:rFonts w:cs="Arial"/>
        </w:rPr>
        <w:t>office récepteur pour émettre le formulaire 105.  Ce formulaire est émis après l</w:t>
      </w:r>
      <w:r w:rsidR="00E2055A" w:rsidRPr="00A32AF4">
        <w:rPr>
          <w:rFonts w:cs="Arial"/>
        </w:rPr>
        <w:t>’</w:t>
      </w:r>
      <w:r w:rsidRPr="00A32AF4">
        <w:rPr>
          <w:rFonts w:cs="Arial"/>
        </w:rPr>
        <w:t xml:space="preserve">attribution de la date de dépôt international.  Les déposants apprécient de recevoir ce formulaire le plus tôt possible car une demande internationale </w:t>
      </w:r>
      <w:proofErr w:type="gramStart"/>
      <w:r w:rsidRPr="00A32AF4">
        <w:rPr>
          <w:rFonts w:cs="Arial"/>
        </w:rPr>
        <w:t>a</w:t>
      </w:r>
      <w:proofErr w:type="gramEnd"/>
      <w:r w:rsidRPr="00A32AF4">
        <w:rPr>
          <w:rFonts w:cs="Arial"/>
        </w:rPr>
        <w:t xml:space="preserve"> l</w:t>
      </w:r>
      <w:r w:rsidR="00E2055A" w:rsidRPr="00A32AF4">
        <w:rPr>
          <w:rFonts w:cs="Arial"/>
        </w:rPr>
        <w:t>’</w:t>
      </w:r>
      <w:r w:rsidRPr="00A32AF4">
        <w:rPr>
          <w:rFonts w:cs="Arial"/>
        </w:rPr>
        <w:t>effet d</w:t>
      </w:r>
      <w:r w:rsidR="00E2055A" w:rsidRPr="00A32AF4">
        <w:rPr>
          <w:rFonts w:cs="Arial"/>
        </w:rPr>
        <w:t>’</w:t>
      </w:r>
      <w:r w:rsidRPr="00A32AF4">
        <w:rPr>
          <w:rFonts w:cs="Arial"/>
        </w:rPr>
        <w:t>une demande nationale ordinaire dans chaque État désigné à compter de la date de dépôt international, qui sera considérée comme la date de dépôt effective dans chaque État désigné.</w:t>
      </w:r>
    </w:p>
    <w:p w:rsidR="00F93B76" w:rsidRPr="00A32AF4" w:rsidRDefault="00F93B76" w:rsidP="00DC0553">
      <w:pPr>
        <w:pStyle w:val="BodyText2"/>
        <w:rPr>
          <w:rFonts w:cs="Arial"/>
        </w:rPr>
      </w:pPr>
    </w:p>
    <w:p w:rsidR="00F93B76" w:rsidRPr="00A32AF4" w:rsidRDefault="00D659C6" w:rsidP="00DC0553">
      <w:pPr>
        <w:pStyle w:val="PlainText"/>
        <w:keepNext/>
        <w:keepLines/>
        <w:jc w:val="center"/>
        <w:rPr>
          <w:rFonts w:ascii="Arial" w:hAnsi="Arial" w:cs="Arial"/>
          <w:b/>
        </w:rPr>
      </w:pPr>
      <w:r w:rsidRPr="00A32AF4">
        <w:rPr>
          <w:rFonts w:ascii="Arial" w:hAnsi="Arial" w:cs="Arial"/>
          <w:b/>
        </w:rPr>
        <w:t>Délai de notification de la date de dépôt international</w:t>
      </w:r>
    </w:p>
    <w:p w:rsidR="00F93B76" w:rsidRPr="00A32AF4" w:rsidRDefault="00130644" w:rsidP="00DC0553">
      <w:pPr>
        <w:pStyle w:val="PlainText"/>
        <w:keepNext/>
        <w:keepLines/>
        <w:jc w:val="center"/>
        <w:rPr>
          <w:rFonts w:ascii="Arial" w:hAnsi="Arial" w:cs="Arial"/>
        </w:rPr>
      </w:pPr>
      <w:r>
        <w:pict>
          <v:shape id="_x0000_i1042" type="#_x0000_t75" style="width:453.7pt;height:197.65pt">
            <v:imagedata r:id="rId242" o:title=""/>
          </v:shape>
        </w:pict>
      </w:r>
    </w:p>
    <w:p w:rsidR="00F93B76" w:rsidRPr="00A32AF4" w:rsidRDefault="00F93B76" w:rsidP="00DC0553"/>
    <w:p w:rsidR="00F93B76" w:rsidRPr="00A32AF4" w:rsidRDefault="00F93B76" w:rsidP="00DC0553">
      <w:pPr>
        <w:pStyle w:val="PlainText"/>
        <w:rPr>
          <w:rFonts w:ascii="Arial" w:hAnsi="Arial" w:cs="Arial"/>
        </w:rPr>
      </w:pPr>
    </w:p>
    <w:p w:rsidR="00F93B76" w:rsidRPr="00A32AF4" w:rsidRDefault="00D659C6" w:rsidP="00DC0553">
      <w:pPr>
        <w:pStyle w:val="PlainText"/>
        <w:rPr>
          <w:rFonts w:ascii="Arial" w:hAnsi="Arial" w:cs="Arial"/>
          <w:i/>
        </w:rPr>
      </w:pPr>
      <w:r w:rsidRPr="00A32AF4">
        <w:rPr>
          <w:rFonts w:ascii="Arial" w:hAnsi="Arial" w:cs="Arial"/>
          <w:i/>
        </w:rPr>
        <w:t>Délai de transmission de la copie de recherche</w:t>
      </w:r>
    </w:p>
    <w:p w:rsidR="00F93B76" w:rsidRPr="00A32AF4" w:rsidRDefault="00F93B76" w:rsidP="00DC0553">
      <w:pPr>
        <w:pStyle w:val="PlainText"/>
        <w:rPr>
          <w:rFonts w:ascii="Arial" w:hAnsi="Arial" w:cs="Arial"/>
        </w:rPr>
      </w:pPr>
    </w:p>
    <w:p w:rsidR="00F93B76" w:rsidRPr="00A32AF4" w:rsidRDefault="00D659C6" w:rsidP="00DC0553">
      <w:pPr>
        <w:numPr>
          <w:ilvl w:val="0"/>
          <w:numId w:val="37"/>
        </w:numPr>
        <w:rPr>
          <w:rFonts w:cs="Arial"/>
        </w:rPr>
      </w:pPr>
      <w:r w:rsidRPr="00A32AF4">
        <w:rPr>
          <w:rFonts w:cs="Arial"/>
        </w:rPr>
        <w:t>Cet indicateur rend compte du temps qu</w:t>
      </w:r>
      <w:r w:rsidR="00E2055A" w:rsidRPr="00A32AF4">
        <w:rPr>
          <w:rFonts w:cs="Arial"/>
        </w:rPr>
        <w:t>’</w:t>
      </w:r>
      <w:r w:rsidRPr="00A32AF4">
        <w:rPr>
          <w:rFonts w:cs="Arial"/>
        </w:rPr>
        <w:t>il faut au Bureau international agissant en tant qu</w:t>
      </w:r>
      <w:r w:rsidR="00E2055A" w:rsidRPr="00A32AF4">
        <w:rPr>
          <w:rFonts w:cs="Arial"/>
        </w:rPr>
        <w:t>’</w:t>
      </w:r>
      <w:r w:rsidRPr="00A32AF4">
        <w:rPr>
          <w:rFonts w:cs="Arial"/>
        </w:rPr>
        <w:t>office récepteur pour transmettre les copies de recherche aux administrations chargées de la recherche internationale.  La copie de recherche doit être transmise rapidement après paiement de la taxe de recherche afin que l</w:t>
      </w:r>
      <w:r w:rsidR="00E2055A" w:rsidRPr="00A32AF4">
        <w:rPr>
          <w:rFonts w:cs="Arial"/>
        </w:rPr>
        <w:t>’</w:t>
      </w:r>
      <w:r w:rsidRPr="00A32AF4">
        <w:rPr>
          <w:rFonts w:cs="Arial"/>
        </w:rPr>
        <w:t>administration chargée de la recherche internationale puisse établir le rapport de recherche internationale dans les délais fixés par le cadre réglementaire du PCT.</w:t>
      </w:r>
      <w:r w:rsidRPr="00A32AF4">
        <w:t xml:space="preserve">  </w:t>
      </w:r>
      <w:r w:rsidRPr="00A32AF4">
        <w:rPr>
          <w:rFonts w:cs="Arial"/>
        </w:rPr>
        <w:t>Les retards de paiement de la taxe retardent la transmission des copies de recherche aux administrations chargées de la recherche internationale et ont donc un impact négatif sur la capacité de ces administrations de respecter ces délais.</w:t>
      </w:r>
    </w:p>
    <w:p w:rsidR="00F93B76" w:rsidRPr="00A32AF4" w:rsidRDefault="00F93B76" w:rsidP="00DC0553">
      <w:pPr>
        <w:rPr>
          <w:rFonts w:cs="Arial"/>
        </w:rPr>
      </w:pPr>
    </w:p>
    <w:p w:rsidR="00F93B76" w:rsidRPr="00A32AF4" w:rsidRDefault="00D659C6" w:rsidP="00DC0553">
      <w:pPr>
        <w:pStyle w:val="PlainText"/>
        <w:jc w:val="center"/>
        <w:rPr>
          <w:rFonts w:ascii="Arial" w:hAnsi="Arial" w:cs="Arial"/>
          <w:b/>
        </w:rPr>
      </w:pPr>
      <w:r w:rsidRPr="00A32AF4">
        <w:rPr>
          <w:rFonts w:ascii="Arial" w:hAnsi="Arial" w:cs="Arial"/>
          <w:b/>
        </w:rPr>
        <w:t>Délai de transmission de la copie de recherche</w:t>
      </w:r>
    </w:p>
    <w:p w:rsidR="00F93B76" w:rsidRPr="00A32AF4" w:rsidRDefault="00130644" w:rsidP="00DC0553">
      <w:pPr>
        <w:jc w:val="center"/>
        <w:rPr>
          <w:rFonts w:cs="Arial"/>
          <w:b/>
        </w:rPr>
      </w:pPr>
      <w:r>
        <w:pict>
          <v:shape id="_x0000_i1043" type="#_x0000_t75" style="width:454.05pt;height:208.45pt">
            <v:imagedata r:id="rId243" o:title=""/>
          </v:shape>
        </w:pict>
      </w:r>
    </w:p>
    <w:p w:rsidR="00F93B76" w:rsidRPr="00A32AF4" w:rsidRDefault="00F93B76" w:rsidP="00DC0553"/>
    <w:p w:rsidR="00F93B76" w:rsidRPr="00A32AF4" w:rsidRDefault="00F93B76" w:rsidP="00DC0553"/>
    <w:p w:rsidR="00F93B76" w:rsidRPr="00A32AF4" w:rsidRDefault="00550BF0" w:rsidP="00DC0553">
      <w:r w:rsidRPr="00A32AF4">
        <w:br w:type="page"/>
      </w:r>
    </w:p>
    <w:p w:rsidR="00F93B76" w:rsidRPr="00A32AF4" w:rsidRDefault="00206B97" w:rsidP="00FB1F61">
      <w:pPr>
        <w:pStyle w:val="Heading3"/>
      </w:pPr>
      <w:bookmarkStart w:id="86" w:name="_Toc431555480"/>
      <w:r w:rsidRPr="00A32AF4">
        <w:t>ANNEXE </w:t>
      </w:r>
      <w:r w:rsidR="009600B2" w:rsidRPr="00A32AF4">
        <w:t>VI</w:t>
      </w:r>
      <w:r w:rsidR="009600B2" w:rsidRPr="00A32AF4">
        <w:tab/>
        <w:t>INDICATeurs relatifs aux opérations du système de Madrid</w:t>
      </w:r>
      <w:bookmarkEnd w:id="86"/>
    </w:p>
    <w:p w:rsidR="00F93B76" w:rsidRPr="00A32AF4" w:rsidRDefault="00F93B76" w:rsidP="00DC0553">
      <w:pPr>
        <w:rPr>
          <w:rFonts w:cs="Arial"/>
          <w:b/>
        </w:rPr>
      </w:pPr>
    </w:p>
    <w:p w:rsidR="00F93B76" w:rsidRPr="00A32AF4" w:rsidRDefault="00F93B76" w:rsidP="00DC0553">
      <w:pPr>
        <w:rPr>
          <w:rFonts w:cs="Arial"/>
          <w:b/>
        </w:rPr>
      </w:pPr>
    </w:p>
    <w:p w:rsidR="00F93B76" w:rsidRPr="00A32AF4" w:rsidRDefault="009600B2" w:rsidP="00DC0553">
      <w:pPr>
        <w:rPr>
          <w:rFonts w:cs="Arial"/>
          <w:lang w:eastAsia="zh-CN" w:bidi="th-TH"/>
        </w:rPr>
      </w:pPr>
      <w:r w:rsidRPr="00A32AF4">
        <w:rPr>
          <w:rFonts w:cs="Arial"/>
          <w:lang w:eastAsia="zh-CN" w:bidi="th-TH"/>
        </w:rPr>
        <w:t>INDICATEURS D</w:t>
      </w:r>
      <w:r w:rsidR="00E2055A" w:rsidRPr="00A32AF4">
        <w:rPr>
          <w:rFonts w:cs="Arial"/>
          <w:lang w:eastAsia="zh-CN" w:bidi="th-TH"/>
        </w:rPr>
        <w:t>’</w:t>
      </w:r>
      <w:r w:rsidRPr="00A32AF4">
        <w:rPr>
          <w:rFonts w:cs="Arial"/>
          <w:lang w:eastAsia="zh-CN" w:bidi="th-TH"/>
        </w:rPr>
        <w:t>EXÉCUTION POUR LE RÉSULTAT ESCOMPTÉ</w:t>
      </w:r>
    </w:p>
    <w:p w:rsidR="00F93B76" w:rsidRPr="00A32AF4" w:rsidRDefault="00B63C9F" w:rsidP="00DC0553">
      <w:pPr>
        <w:tabs>
          <w:tab w:val="left" w:pos="1525"/>
          <w:tab w:val="right" w:pos="2835"/>
        </w:tabs>
        <w:spacing w:after="60"/>
        <w:rPr>
          <w:rFonts w:cs="Arial"/>
        </w:rPr>
      </w:pPr>
      <w:r w:rsidRPr="00A32AF4">
        <w:rPr>
          <w:rFonts w:cs="Arial"/>
        </w:rPr>
        <w:t>“</w:t>
      </w:r>
      <w:r w:rsidR="009600B2" w:rsidRPr="00A32AF4">
        <w:rPr>
          <w:rFonts w:cs="Arial"/>
          <w:caps/>
          <w:lang w:eastAsia="zh-CN" w:bidi="th-TH"/>
        </w:rPr>
        <w:t>Amélioration de la productivité et de la qualité de service des opérations du système de Madrid</w:t>
      </w:r>
      <w:r w:rsidRPr="00A32AF4">
        <w:rPr>
          <w:rFonts w:cs="Arial"/>
        </w:rPr>
        <w:t>”</w:t>
      </w:r>
    </w:p>
    <w:p w:rsidR="00F93B76" w:rsidRPr="00A32AF4" w:rsidRDefault="00F93B76" w:rsidP="00DC0553">
      <w:pPr>
        <w:rPr>
          <w:rFonts w:cs="Arial"/>
          <w:b/>
        </w:rPr>
      </w:pPr>
    </w:p>
    <w:p w:rsidR="00F93B76" w:rsidRPr="00A32AF4" w:rsidRDefault="009600B2" w:rsidP="00DC0553">
      <w:pPr>
        <w:pStyle w:val="ListParagraph"/>
        <w:numPr>
          <w:ilvl w:val="0"/>
          <w:numId w:val="47"/>
        </w:numPr>
        <w:tabs>
          <w:tab w:val="left" w:pos="567"/>
        </w:tabs>
        <w:spacing w:after="0" w:line="240" w:lineRule="auto"/>
        <w:ind w:left="0" w:firstLine="0"/>
        <w:jc w:val="both"/>
        <w:rPr>
          <w:rFonts w:ascii="Arial" w:hAnsi="Arial" w:cs="Arial"/>
          <w:szCs w:val="20"/>
        </w:rPr>
      </w:pPr>
      <w:r w:rsidRPr="00A32AF4">
        <w:rPr>
          <w:rFonts w:ascii="Arial" w:hAnsi="Arial" w:cs="Arial"/>
          <w:szCs w:val="20"/>
        </w:rPr>
        <w:t>À titre d</w:t>
      </w:r>
      <w:r w:rsidR="00E2055A" w:rsidRPr="00A32AF4">
        <w:rPr>
          <w:rFonts w:ascii="Arial" w:hAnsi="Arial" w:cs="Arial"/>
          <w:szCs w:val="20"/>
        </w:rPr>
        <w:t>’</w:t>
      </w:r>
      <w:r w:rsidRPr="00A32AF4">
        <w:rPr>
          <w:rFonts w:ascii="Arial" w:hAnsi="Arial" w:cs="Arial"/>
          <w:szCs w:val="20"/>
        </w:rPr>
        <w:t>introduction des indicateurs d</w:t>
      </w:r>
      <w:r w:rsidR="00E2055A" w:rsidRPr="00A32AF4">
        <w:rPr>
          <w:rFonts w:ascii="Arial" w:hAnsi="Arial" w:cs="Arial"/>
          <w:szCs w:val="20"/>
        </w:rPr>
        <w:t>’</w:t>
      </w:r>
      <w:r w:rsidRPr="00A32AF4">
        <w:rPr>
          <w:rFonts w:ascii="Arial" w:hAnsi="Arial" w:cs="Arial"/>
          <w:szCs w:val="20"/>
        </w:rPr>
        <w:t xml:space="preserve">exécution pour le résultat escompté </w:t>
      </w:r>
      <w:r w:rsidR="00B63C9F" w:rsidRPr="00A32AF4">
        <w:rPr>
          <w:rFonts w:ascii="Arial" w:hAnsi="Arial" w:cs="Arial"/>
          <w:szCs w:val="20"/>
        </w:rPr>
        <w:t>“</w:t>
      </w:r>
      <w:r w:rsidRPr="00A32AF4">
        <w:rPr>
          <w:rFonts w:ascii="Arial" w:hAnsi="Arial" w:cs="Arial"/>
          <w:szCs w:val="20"/>
        </w:rPr>
        <w:t>Amélioration de la productivité et de la qualité de service des opérations du système de Madrid</w:t>
      </w:r>
      <w:r w:rsidR="00B63C9F" w:rsidRPr="00A32AF4">
        <w:rPr>
          <w:rFonts w:ascii="Arial" w:hAnsi="Arial" w:cs="Arial"/>
          <w:szCs w:val="20"/>
        </w:rPr>
        <w:t>”</w:t>
      </w:r>
      <w:r w:rsidRPr="00A32AF4">
        <w:rPr>
          <w:rFonts w:ascii="Arial" w:hAnsi="Arial" w:cs="Arial"/>
          <w:szCs w:val="20"/>
        </w:rPr>
        <w:t>, il est utile d</w:t>
      </w:r>
      <w:r w:rsidR="00E2055A" w:rsidRPr="00A32AF4">
        <w:rPr>
          <w:rFonts w:ascii="Arial" w:hAnsi="Arial" w:cs="Arial"/>
          <w:szCs w:val="20"/>
        </w:rPr>
        <w:t>’</w:t>
      </w:r>
      <w:r w:rsidRPr="00A32AF4">
        <w:rPr>
          <w:rFonts w:ascii="Arial" w:hAnsi="Arial" w:cs="Arial"/>
          <w:szCs w:val="20"/>
        </w:rPr>
        <w:t>examiner l</w:t>
      </w:r>
      <w:r w:rsidR="00E2055A" w:rsidRPr="00A32AF4">
        <w:rPr>
          <w:rFonts w:ascii="Arial" w:hAnsi="Arial" w:cs="Arial"/>
          <w:szCs w:val="20"/>
        </w:rPr>
        <w:t>’</w:t>
      </w:r>
      <w:r w:rsidRPr="00A32AF4">
        <w:rPr>
          <w:rFonts w:ascii="Arial" w:hAnsi="Arial" w:cs="Arial"/>
          <w:szCs w:val="20"/>
        </w:rPr>
        <w:t>évolution des facteurs suivants :</w:t>
      </w:r>
    </w:p>
    <w:p w:rsidR="00F93B76" w:rsidRPr="00A32AF4" w:rsidRDefault="00F93B76" w:rsidP="00DC0553">
      <w:pPr>
        <w:jc w:val="both"/>
        <w:rPr>
          <w:rFonts w:cs="Arial"/>
        </w:rPr>
      </w:pPr>
    </w:p>
    <w:p w:rsidR="00F93B76" w:rsidRPr="00A32AF4" w:rsidRDefault="009600B2" w:rsidP="00DC0553">
      <w:pPr>
        <w:numPr>
          <w:ilvl w:val="0"/>
          <w:numId w:val="41"/>
        </w:numPr>
        <w:tabs>
          <w:tab w:val="clear" w:pos="720"/>
          <w:tab w:val="num" w:pos="1701"/>
        </w:tabs>
        <w:spacing w:after="120"/>
        <w:ind w:left="1701" w:hanging="567"/>
        <w:jc w:val="both"/>
        <w:rPr>
          <w:rFonts w:cs="Arial"/>
        </w:rPr>
      </w:pPr>
      <w:r w:rsidRPr="00A32AF4">
        <w:rPr>
          <w:rFonts w:cs="Arial"/>
        </w:rPr>
        <w:t xml:space="preserve">la charge de travail du système de </w:t>
      </w:r>
      <w:proofErr w:type="gramStart"/>
      <w:r w:rsidRPr="00A32AF4">
        <w:rPr>
          <w:rFonts w:cs="Arial"/>
        </w:rPr>
        <w:t>Madrid;</w:t>
      </w:r>
      <w:proofErr w:type="gramEnd"/>
    </w:p>
    <w:p w:rsidR="00F93B76" w:rsidRPr="00A32AF4" w:rsidRDefault="009600B2" w:rsidP="00DC0553">
      <w:pPr>
        <w:numPr>
          <w:ilvl w:val="0"/>
          <w:numId w:val="41"/>
        </w:numPr>
        <w:tabs>
          <w:tab w:val="clear" w:pos="720"/>
          <w:tab w:val="num" w:pos="1701"/>
        </w:tabs>
        <w:spacing w:after="120"/>
        <w:ind w:left="1701" w:hanging="567"/>
        <w:jc w:val="both"/>
        <w:rPr>
          <w:rFonts w:cs="Arial"/>
        </w:rPr>
      </w:pPr>
      <w:r w:rsidRPr="00A32AF4">
        <w:rPr>
          <w:rFonts w:cs="Arial"/>
        </w:rPr>
        <w:t xml:space="preserve">la composition de cette charge de </w:t>
      </w:r>
      <w:proofErr w:type="gramStart"/>
      <w:r w:rsidRPr="00A32AF4">
        <w:rPr>
          <w:rFonts w:cs="Arial"/>
        </w:rPr>
        <w:t>travail;</w:t>
      </w:r>
      <w:proofErr w:type="gramEnd"/>
    </w:p>
    <w:p w:rsidR="00F93B76" w:rsidRPr="00A32AF4" w:rsidRDefault="009600B2" w:rsidP="00DC0553">
      <w:pPr>
        <w:numPr>
          <w:ilvl w:val="0"/>
          <w:numId w:val="41"/>
        </w:numPr>
        <w:tabs>
          <w:tab w:val="clear" w:pos="720"/>
          <w:tab w:val="num" w:pos="1701"/>
        </w:tabs>
        <w:spacing w:after="120"/>
        <w:ind w:left="1701" w:hanging="567"/>
        <w:jc w:val="both"/>
        <w:rPr>
          <w:rFonts w:cs="Arial"/>
        </w:rPr>
      </w:pPr>
      <w:r w:rsidRPr="00A32AF4">
        <w:rPr>
          <w:rFonts w:cs="Arial"/>
        </w:rPr>
        <w:t xml:space="preserve">les effectifs affectés au traitement de cette charge de </w:t>
      </w:r>
      <w:proofErr w:type="gramStart"/>
      <w:r w:rsidRPr="00A32AF4">
        <w:rPr>
          <w:rFonts w:cs="Arial"/>
        </w:rPr>
        <w:t>travail;</w:t>
      </w:r>
      <w:proofErr w:type="gramEnd"/>
    </w:p>
    <w:p w:rsidR="00F93B76" w:rsidRPr="00A32AF4" w:rsidRDefault="009600B2" w:rsidP="00DC0553">
      <w:pPr>
        <w:numPr>
          <w:ilvl w:val="0"/>
          <w:numId w:val="41"/>
        </w:numPr>
        <w:tabs>
          <w:tab w:val="clear" w:pos="720"/>
          <w:tab w:val="num" w:pos="1701"/>
        </w:tabs>
        <w:spacing w:after="120"/>
        <w:ind w:left="1701" w:hanging="567"/>
        <w:jc w:val="both"/>
        <w:rPr>
          <w:rFonts w:cs="Arial"/>
        </w:rPr>
      </w:pPr>
      <w:r w:rsidRPr="00A32AF4">
        <w:rPr>
          <w:rFonts w:cs="Arial"/>
        </w:rPr>
        <w:t xml:space="preserve">le degré </w:t>
      </w:r>
      <w:proofErr w:type="gramStart"/>
      <w:r w:rsidRPr="00A32AF4">
        <w:rPr>
          <w:rFonts w:cs="Arial"/>
        </w:rPr>
        <w:t>d</w:t>
      </w:r>
      <w:r w:rsidR="00E2055A" w:rsidRPr="00A32AF4">
        <w:rPr>
          <w:rFonts w:cs="Arial"/>
        </w:rPr>
        <w:t>’</w:t>
      </w:r>
      <w:r w:rsidRPr="00A32AF4">
        <w:rPr>
          <w:rFonts w:cs="Arial"/>
        </w:rPr>
        <w:t>automatisation;</w:t>
      </w:r>
      <w:proofErr w:type="gramEnd"/>
      <w:r w:rsidRPr="00A32AF4">
        <w:rPr>
          <w:rFonts w:cs="Arial"/>
        </w:rPr>
        <w:t xml:space="preserve">  et</w:t>
      </w:r>
    </w:p>
    <w:p w:rsidR="00F93B76" w:rsidRPr="00A32AF4" w:rsidRDefault="009600B2" w:rsidP="00DC0553">
      <w:pPr>
        <w:numPr>
          <w:ilvl w:val="0"/>
          <w:numId w:val="41"/>
        </w:numPr>
        <w:tabs>
          <w:tab w:val="clear" w:pos="720"/>
          <w:tab w:val="num" w:pos="1701"/>
        </w:tabs>
        <w:spacing w:after="120"/>
        <w:ind w:left="1701" w:hanging="567"/>
        <w:jc w:val="both"/>
        <w:rPr>
          <w:rFonts w:cs="Arial"/>
        </w:rPr>
      </w:pPr>
      <w:r w:rsidRPr="00A32AF4">
        <w:rPr>
          <w:rFonts w:cs="Arial"/>
        </w:rPr>
        <w:t>le coût total de production.</w:t>
      </w:r>
    </w:p>
    <w:p w:rsidR="00F93B76" w:rsidRPr="00A32AF4" w:rsidRDefault="00F93B76" w:rsidP="00DC0553">
      <w:pPr>
        <w:jc w:val="both"/>
        <w:rPr>
          <w:rFonts w:cs="Arial"/>
        </w:rPr>
      </w:pPr>
    </w:p>
    <w:p w:rsidR="00F93B76" w:rsidRPr="00A32AF4" w:rsidRDefault="009600B2" w:rsidP="00DC0553">
      <w:pPr>
        <w:pStyle w:val="ListParagraph"/>
        <w:numPr>
          <w:ilvl w:val="0"/>
          <w:numId w:val="40"/>
        </w:numPr>
        <w:spacing w:after="0" w:line="240" w:lineRule="auto"/>
        <w:ind w:left="360" w:hanging="360"/>
        <w:jc w:val="both"/>
        <w:rPr>
          <w:rFonts w:ascii="Arial" w:hAnsi="Arial" w:cs="Arial"/>
          <w:b/>
          <w:szCs w:val="20"/>
        </w:rPr>
      </w:pPr>
      <w:r w:rsidRPr="00A32AF4">
        <w:rPr>
          <w:rFonts w:ascii="Arial" w:hAnsi="Arial" w:cs="Arial"/>
          <w:b/>
          <w:szCs w:val="20"/>
        </w:rPr>
        <w:t>Documents reçus</w:t>
      </w:r>
    </w:p>
    <w:p w:rsidR="00F93B76" w:rsidRPr="00A32AF4" w:rsidRDefault="00F93B76" w:rsidP="00DC0553">
      <w:pPr>
        <w:jc w:val="both"/>
        <w:rPr>
          <w:rFonts w:cs="Arial"/>
        </w:rPr>
      </w:pPr>
    </w:p>
    <w:p w:rsidR="00F93B76" w:rsidRPr="00A32AF4" w:rsidRDefault="009600B2" w:rsidP="00DC0553">
      <w:pPr>
        <w:pStyle w:val="ListParagraph"/>
        <w:numPr>
          <w:ilvl w:val="0"/>
          <w:numId w:val="47"/>
        </w:numPr>
        <w:tabs>
          <w:tab w:val="left" w:pos="567"/>
        </w:tabs>
        <w:spacing w:after="0" w:line="240" w:lineRule="auto"/>
        <w:ind w:left="0" w:firstLine="0"/>
        <w:jc w:val="both"/>
        <w:rPr>
          <w:rFonts w:ascii="Arial" w:hAnsi="Arial" w:cs="Arial"/>
          <w:szCs w:val="20"/>
        </w:rPr>
      </w:pPr>
      <w:r w:rsidRPr="00A32AF4">
        <w:rPr>
          <w:rFonts w:ascii="Arial" w:hAnsi="Arial" w:cs="Arial"/>
          <w:szCs w:val="20"/>
        </w:rPr>
        <w:t xml:space="preserve">Le Bureau international reçoit six catégories différentes de documents, </w:t>
      </w:r>
      <w:r w:rsidR="00E2055A" w:rsidRPr="00A32AF4">
        <w:rPr>
          <w:rFonts w:ascii="Arial" w:hAnsi="Arial" w:cs="Arial"/>
          <w:szCs w:val="20"/>
        </w:rPr>
        <w:t>à savoir</w:t>
      </w:r>
      <w:r w:rsidRPr="00A32AF4">
        <w:rPr>
          <w:rFonts w:ascii="Arial" w:hAnsi="Arial" w:cs="Arial"/>
          <w:szCs w:val="20"/>
        </w:rPr>
        <w:t xml:space="preserve"> les demandes internationales, les renouvellements, les désignations postérieures, les modifications, les décisions et les corrections.  La tendance la plus récente pour chaque catégorie de documents est indiquée ci</w:t>
      </w:r>
      <w:r w:rsidR="00EB7F54" w:rsidRPr="00A32AF4">
        <w:rPr>
          <w:rFonts w:ascii="Arial" w:hAnsi="Arial" w:cs="Arial"/>
          <w:szCs w:val="20"/>
        </w:rPr>
        <w:noBreakHyphen/>
      </w:r>
      <w:r w:rsidRPr="00A32AF4">
        <w:rPr>
          <w:rFonts w:ascii="Arial" w:hAnsi="Arial" w:cs="Arial"/>
          <w:szCs w:val="20"/>
        </w:rPr>
        <w:t>dessous.  Des renseignements supplémentaires concernant les demandes, tels que le nombre moyen de classes et le nombre moyen de mots sont également fournis.  Pour des raisons techniques, certains indicateurs montrent des données fondées sur des documents traités plutôt que sur des documents reçus.  Des retards dans le traitement peuvent ainsi avoir une incidence sur certains indicateurs.</w:t>
      </w:r>
    </w:p>
    <w:p w:rsidR="00F93B76" w:rsidRPr="00A32AF4" w:rsidRDefault="00F93B76" w:rsidP="00DC0553">
      <w:pPr>
        <w:pStyle w:val="ListParagraph"/>
        <w:ind w:left="0"/>
        <w:jc w:val="both"/>
        <w:rPr>
          <w:rFonts w:ascii="Arial" w:hAnsi="Arial" w:cs="Arial"/>
        </w:rPr>
      </w:pPr>
    </w:p>
    <w:p w:rsidR="00F93B76" w:rsidRPr="00A32AF4" w:rsidRDefault="009600B2" w:rsidP="00DC0553">
      <w:pPr>
        <w:pStyle w:val="ListParagraph"/>
        <w:ind w:left="0"/>
        <w:jc w:val="both"/>
        <w:rPr>
          <w:rFonts w:ascii="Arial" w:hAnsi="Arial" w:cs="Arial"/>
          <w:u w:val="single"/>
        </w:rPr>
      </w:pPr>
      <w:r w:rsidRPr="00A32AF4">
        <w:rPr>
          <w:rFonts w:ascii="Arial" w:hAnsi="Arial" w:cs="Arial"/>
          <w:u w:val="single"/>
        </w:rPr>
        <w:t>Demandes internationales</w:t>
      </w:r>
    </w:p>
    <w:p w:rsidR="00F93B76" w:rsidRPr="00A32AF4" w:rsidRDefault="009600B2" w:rsidP="00DC0553">
      <w:pPr>
        <w:jc w:val="center"/>
        <w:rPr>
          <w:rFonts w:cs="Arial"/>
        </w:rPr>
      </w:pPr>
      <w:r w:rsidRPr="00A32AF4">
        <w:rPr>
          <w:rFonts w:cs="Arial"/>
          <w:noProof/>
          <w:lang w:eastAsia="fr-FR"/>
        </w:rPr>
        <w:drawing>
          <wp:inline distT="0" distB="0" distL="0" distR="0" wp14:anchorId="601E2304" wp14:editId="7F324ACF">
            <wp:extent cx="5760085" cy="2682435"/>
            <wp:effectExtent l="0" t="0" r="0" b="381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4" cstate="print">
                      <a:extLst>
                        <a:ext uri="{28A0092B-C50C-407E-A947-70E740481C1C}">
                          <a14:useLocalDpi xmlns:a14="http://schemas.microsoft.com/office/drawing/2010/main" val="0"/>
                        </a:ext>
                      </a:extLst>
                    </a:blip>
                    <a:srcRect/>
                    <a:stretch>
                      <a:fillRect/>
                    </a:stretch>
                  </pic:blipFill>
                  <pic:spPr bwMode="auto">
                    <a:xfrm>
                      <a:off x="0" y="0"/>
                      <a:ext cx="5760085" cy="2682435"/>
                    </a:xfrm>
                    <a:prstGeom prst="rect">
                      <a:avLst/>
                    </a:prstGeom>
                    <a:noFill/>
                    <a:ln>
                      <a:noFill/>
                    </a:ln>
                  </pic:spPr>
                </pic:pic>
              </a:graphicData>
            </a:graphic>
          </wp:inline>
        </w:drawing>
      </w:r>
    </w:p>
    <w:p w:rsidR="00F93B76" w:rsidRPr="00A32AF4" w:rsidRDefault="00F93B76" w:rsidP="00DC0553">
      <w:pPr>
        <w:rPr>
          <w:rFonts w:cs="Arial"/>
        </w:rPr>
      </w:pPr>
    </w:p>
    <w:p w:rsidR="00F93B76" w:rsidRPr="00A32AF4" w:rsidRDefault="009600B2" w:rsidP="00DC0553">
      <w:pPr>
        <w:numPr>
          <w:ilvl w:val="0"/>
          <w:numId w:val="41"/>
        </w:numPr>
        <w:tabs>
          <w:tab w:val="clear" w:pos="720"/>
        </w:tabs>
        <w:spacing w:after="120"/>
        <w:ind w:left="1134" w:hanging="567"/>
        <w:jc w:val="both"/>
        <w:rPr>
          <w:rFonts w:cs="Arial"/>
        </w:rPr>
      </w:pPr>
      <w:r w:rsidRPr="00A32AF4">
        <w:rPr>
          <w:rFonts w:cs="Arial"/>
        </w:rPr>
        <w:t>Le Bureau international a reçu 47 885 demandes en 2014, soit une augmentation de 2,3% par rapport à 2013.</w:t>
      </w:r>
    </w:p>
    <w:p w:rsidR="00F93B76" w:rsidRPr="00A32AF4" w:rsidRDefault="009600B2" w:rsidP="00DC0553">
      <w:pPr>
        <w:numPr>
          <w:ilvl w:val="0"/>
          <w:numId w:val="41"/>
        </w:numPr>
        <w:tabs>
          <w:tab w:val="clear" w:pos="720"/>
        </w:tabs>
        <w:spacing w:after="120"/>
        <w:ind w:left="1134" w:hanging="567"/>
        <w:jc w:val="both"/>
        <w:rPr>
          <w:rFonts w:cs="Arial"/>
        </w:rPr>
      </w:pPr>
      <w:r w:rsidRPr="00A32AF4">
        <w:rPr>
          <w:rFonts w:cs="Arial"/>
        </w:rPr>
        <w:t>Le nombre des demandes reçues a augmenté de façon constante depuis 2010.</w:t>
      </w:r>
    </w:p>
    <w:p w:rsidR="00F93B76" w:rsidRPr="00A32AF4" w:rsidRDefault="00F93B76" w:rsidP="00DC0553">
      <w:pPr>
        <w:jc w:val="both"/>
        <w:rPr>
          <w:rFonts w:cs="Arial"/>
        </w:rPr>
      </w:pPr>
    </w:p>
    <w:p w:rsidR="00F93B76" w:rsidRPr="00A32AF4" w:rsidRDefault="009600B2" w:rsidP="00DC0553">
      <w:pPr>
        <w:pStyle w:val="ListParagraph"/>
        <w:keepNext/>
        <w:keepLines/>
        <w:tabs>
          <w:tab w:val="left" w:pos="1701"/>
        </w:tabs>
        <w:ind w:left="567"/>
        <w:jc w:val="both"/>
        <w:rPr>
          <w:rFonts w:ascii="Arial" w:hAnsi="Arial" w:cs="Arial"/>
          <w:i/>
          <w:szCs w:val="20"/>
        </w:rPr>
      </w:pPr>
      <w:r w:rsidRPr="00A32AF4">
        <w:rPr>
          <w:rFonts w:ascii="Arial" w:hAnsi="Arial" w:cs="Arial"/>
          <w:i/>
          <w:szCs w:val="20"/>
        </w:rPr>
        <w:t>Répartition des demandes par langue de dépôt</w:t>
      </w:r>
    </w:p>
    <w:p w:rsidR="00F93B76" w:rsidRPr="00A32AF4" w:rsidRDefault="00F93B76" w:rsidP="00DC0553">
      <w:pPr>
        <w:keepNext/>
        <w:keepLines/>
        <w:tabs>
          <w:tab w:val="left" w:pos="1701"/>
        </w:tabs>
        <w:jc w:val="both"/>
        <w:rPr>
          <w:rFonts w:cs="Arial"/>
        </w:rPr>
      </w:pPr>
    </w:p>
    <w:p w:rsidR="00F93B76" w:rsidRPr="00A32AF4" w:rsidRDefault="009600B2" w:rsidP="00DC0553">
      <w:pPr>
        <w:keepNext/>
        <w:keepLines/>
        <w:jc w:val="center"/>
        <w:rPr>
          <w:rFonts w:cs="Arial"/>
        </w:rPr>
      </w:pPr>
      <w:r w:rsidRPr="00A32AF4">
        <w:rPr>
          <w:rFonts w:cs="Arial"/>
          <w:noProof/>
          <w:lang w:eastAsia="fr-FR"/>
        </w:rPr>
        <w:drawing>
          <wp:inline distT="0" distB="0" distL="0" distR="0" wp14:anchorId="476CEFCB" wp14:editId="39381DAE">
            <wp:extent cx="5760000" cy="2842952"/>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5" cstate="print">
                      <a:extLst>
                        <a:ext uri="{28A0092B-C50C-407E-A947-70E740481C1C}">
                          <a14:useLocalDpi xmlns:a14="http://schemas.microsoft.com/office/drawing/2010/main" val="0"/>
                        </a:ext>
                      </a:extLst>
                    </a:blip>
                    <a:srcRect/>
                    <a:stretch>
                      <a:fillRect/>
                    </a:stretch>
                  </pic:blipFill>
                  <pic:spPr bwMode="auto">
                    <a:xfrm>
                      <a:off x="0" y="0"/>
                      <a:ext cx="5760000" cy="2842952"/>
                    </a:xfrm>
                    <a:prstGeom prst="rect">
                      <a:avLst/>
                    </a:prstGeom>
                    <a:noFill/>
                    <a:ln>
                      <a:noFill/>
                    </a:ln>
                  </pic:spPr>
                </pic:pic>
              </a:graphicData>
            </a:graphic>
          </wp:inline>
        </w:drawing>
      </w:r>
    </w:p>
    <w:p w:rsidR="00F93B76" w:rsidRPr="00A32AF4" w:rsidRDefault="00F93B76" w:rsidP="00DC0553">
      <w:pPr>
        <w:rPr>
          <w:rFonts w:cs="Arial"/>
        </w:rPr>
      </w:pPr>
    </w:p>
    <w:p w:rsidR="00F93B76" w:rsidRPr="00A32AF4" w:rsidRDefault="009600B2" w:rsidP="00DC0553">
      <w:pPr>
        <w:keepNext/>
        <w:keepLines/>
        <w:numPr>
          <w:ilvl w:val="0"/>
          <w:numId w:val="41"/>
        </w:numPr>
        <w:tabs>
          <w:tab w:val="clear" w:pos="720"/>
        </w:tabs>
        <w:spacing w:after="120"/>
        <w:ind w:left="1134" w:hanging="567"/>
        <w:jc w:val="both"/>
        <w:rPr>
          <w:rFonts w:cs="Arial"/>
        </w:rPr>
      </w:pPr>
      <w:r w:rsidRPr="00A32AF4">
        <w:rPr>
          <w:rFonts w:cs="Arial"/>
        </w:rPr>
        <w:t>En 2014, 80% des demandes internationales ont été déposées en anglais.  Cette proportion a augmenté de 15 points de pourcentage, allant de 65% en 2008 pour atteindre 80% en 2014.</w:t>
      </w:r>
    </w:p>
    <w:p w:rsidR="00F93B76" w:rsidRPr="00A32AF4" w:rsidRDefault="00F93B76" w:rsidP="00DC0553">
      <w:pPr>
        <w:jc w:val="both"/>
        <w:rPr>
          <w:rFonts w:cs="Arial"/>
        </w:rPr>
      </w:pPr>
    </w:p>
    <w:p w:rsidR="00F93B76" w:rsidRPr="00A32AF4" w:rsidRDefault="00F93B76" w:rsidP="00DC0553">
      <w:pPr>
        <w:jc w:val="both"/>
        <w:rPr>
          <w:rFonts w:cs="Arial"/>
        </w:rPr>
      </w:pPr>
    </w:p>
    <w:p w:rsidR="00F93B76" w:rsidRPr="00A32AF4" w:rsidRDefault="009600B2" w:rsidP="00DC0553">
      <w:pPr>
        <w:pStyle w:val="ListParagraph"/>
        <w:keepNext/>
        <w:keepLines/>
        <w:tabs>
          <w:tab w:val="left" w:pos="1701"/>
        </w:tabs>
        <w:ind w:left="567"/>
        <w:jc w:val="both"/>
        <w:rPr>
          <w:rFonts w:ascii="Arial" w:hAnsi="Arial" w:cs="Arial"/>
          <w:i/>
          <w:szCs w:val="20"/>
        </w:rPr>
      </w:pPr>
      <w:r w:rsidRPr="00A32AF4">
        <w:rPr>
          <w:rFonts w:ascii="Arial" w:hAnsi="Arial" w:cs="Arial"/>
          <w:i/>
          <w:szCs w:val="20"/>
        </w:rPr>
        <w:t>Nombre moyen de désignations par enregistrement</w:t>
      </w:r>
    </w:p>
    <w:p w:rsidR="00F93B76" w:rsidRPr="00A32AF4" w:rsidRDefault="009600B2" w:rsidP="00DC0553">
      <w:pPr>
        <w:jc w:val="center"/>
        <w:rPr>
          <w:rFonts w:cs="Arial"/>
        </w:rPr>
      </w:pPr>
      <w:r w:rsidRPr="00A32AF4">
        <w:rPr>
          <w:rFonts w:cs="Arial"/>
          <w:noProof/>
          <w:lang w:eastAsia="fr-FR"/>
        </w:rPr>
        <w:drawing>
          <wp:inline distT="0" distB="0" distL="0" distR="0" wp14:anchorId="38D77B5F" wp14:editId="3DA4B936">
            <wp:extent cx="5760000" cy="2755000"/>
            <wp:effectExtent l="0" t="0" r="0" b="762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6" cstate="print">
                      <a:extLst>
                        <a:ext uri="{28A0092B-C50C-407E-A947-70E740481C1C}">
                          <a14:useLocalDpi xmlns:a14="http://schemas.microsoft.com/office/drawing/2010/main" val="0"/>
                        </a:ext>
                      </a:extLst>
                    </a:blip>
                    <a:srcRect/>
                    <a:stretch>
                      <a:fillRect/>
                    </a:stretch>
                  </pic:blipFill>
                  <pic:spPr bwMode="auto">
                    <a:xfrm>
                      <a:off x="0" y="0"/>
                      <a:ext cx="5760000" cy="2755000"/>
                    </a:xfrm>
                    <a:prstGeom prst="rect">
                      <a:avLst/>
                    </a:prstGeom>
                    <a:noFill/>
                    <a:ln>
                      <a:noFill/>
                    </a:ln>
                  </pic:spPr>
                </pic:pic>
              </a:graphicData>
            </a:graphic>
          </wp:inline>
        </w:drawing>
      </w:r>
    </w:p>
    <w:p w:rsidR="00F93B76" w:rsidRPr="00A32AF4" w:rsidRDefault="00F93B76" w:rsidP="00DC0553">
      <w:pPr>
        <w:spacing w:after="120"/>
        <w:jc w:val="both"/>
        <w:rPr>
          <w:rFonts w:cs="Arial"/>
        </w:rPr>
      </w:pPr>
    </w:p>
    <w:p w:rsidR="00F93B76" w:rsidRPr="00A32AF4" w:rsidRDefault="009600B2" w:rsidP="00DC0553">
      <w:pPr>
        <w:numPr>
          <w:ilvl w:val="0"/>
          <w:numId w:val="41"/>
        </w:numPr>
        <w:tabs>
          <w:tab w:val="clear" w:pos="720"/>
        </w:tabs>
        <w:spacing w:after="120"/>
        <w:ind w:left="1134" w:hanging="567"/>
        <w:jc w:val="both"/>
        <w:rPr>
          <w:rFonts w:cs="Arial"/>
        </w:rPr>
      </w:pPr>
      <w:r w:rsidRPr="00A32AF4">
        <w:rPr>
          <w:rFonts w:cs="Arial"/>
        </w:rPr>
        <w:t>En moyenne, 6,9 désignations ont été faites pour les demandes enregistrées en 2014.</w:t>
      </w:r>
    </w:p>
    <w:p w:rsidR="00F93B76" w:rsidRPr="00A32AF4" w:rsidRDefault="009600B2" w:rsidP="00DC0553">
      <w:pPr>
        <w:numPr>
          <w:ilvl w:val="0"/>
          <w:numId w:val="41"/>
        </w:numPr>
        <w:tabs>
          <w:tab w:val="clear" w:pos="720"/>
        </w:tabs>
        <w:spacing w:after="120"/>
        <w:ind w:left="1134" w:hanging="567"/>
        <w:jc w:val="both"/>
        <w:rPr>
          <w:rFonts w:cs="Arial"/>
        </w:rPr>
      </w:pPr>
      <w:r w:rsidRPr="00A32AF4">
        <w:rPr>
          <w:rFonts w:cs="Arial"/>
        </w:rPr>
        <w:t>Le nombre moyen de désignations par enregistrement est resté pratiquement constant depuis 2010.</w:t>
      </w:r>
    </w:p>
    <w:p w:rsidR="00F93B76" w:rsidRPr="00A32AF4" w:rsidRDefault="00F93B76" w:rsidP="00DC0553">
      <w:pPr>
        <w:tabs>
          <w:tab w:val="num" w:pos="1134"/>
        </w:tabs>
        <w:spacing w:after="120"/>
        <w:ind w:left="993" w:hanging="426"/>
        <w:jc w:val="both"/>
        <w:rPr>
          <w:rFonts w:cs="Arial"/>
        </w:rPr>
      </w:pPr>
    </w:p>
    <w:p w:rsidR="00F93B76" w:rsidRPr="00A32AF4" w:rsidRDefault="009600B2" w:rsidP="00DC0553">
      <w:pPr>
        <w:pStyle w:val="ListParagraph"/>
        <w:keepNext/>
        <w:keepLines/>
        <w:tabs>
          <w:tab w:val="left" w:pos="1701"/>
        </w:tabs>
        <w:ind w:left="567"/>
        <w:jc w:val="both"/>
        <w:rPr>
          <w:rFonts w:ascii="Arial" w:hAnsi="Arial" w:cs="Arial"/>
          <w:i/>
          <w:szCs w:val="20"/>
        </w:rPr>
      </w:pPr>
      <w:r w:rsidRPr="00A32AF4">
        <w:rPr>
          <w:rFonts w:ascii="Arial" w:hAnsi="Arial" w:cs="Arial"/>
          <w:i/>
          <w:szCs w:val="20"/>
        </w:rPr>
        <w:t>Nombre moyen de classes par enregistrement</w:t>
      </w:r>
    </w:p>
    <w:p w:rsidR="00F93B76" w:rsidRPr="00A32AF4" w:rsidRDefault="009600B2" w:rsidP="00DC0553">
      <w:pPr>
        <w:keepNext/>
        <w:keepLines/>
        <w:jc w:val="center"/>
        <w:rPr>
          <w:rFonts w:cs="Arial"/>
        </w:rPr>
      </w:pPr>
      <w:r w:rsidRPr="00A32AF4">
        <w:rPr>
          <w:rFonts w:cs="Arial"/>
          <w:noProof/>
          <w:lang w:eastAsia="fr-FR"/>
        </w:rPr>
        <w:drawing>
          <wp:inline distT="0" distB="0" distL="0" distR="0" wp14:anchorId="73623451" wp14:editId="197DF041">
            <wp:extent cx="5760000" cy="263460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7" cstate="print">
                      <a:extLst>
                        <a:ext uri="{28A0092B-C50C-407E-A947-70E740481C1C}">
                          <a14:useLocalDpi xmlns:a14="http://schemas.microsoft.com/office/drawing/2010/main" val="0"/>
                        </a:ext>
                      </a:extLst>
                    </a:blip>
                    <a:srcRect/>
                    <a:stretch>
                      <a:fillRect/>
                    </a:stretch>
                  </pic:blipFill>
                  <pic:spPr bwMode="auto">
                    <a:xfrm>
                      <a:off x="0" y="0"/>
                      <a:ext cx="5760000" cy="2634605"/>
                    </a:xfrm>
                    <a:prstGeom prst="rect">
                      <a:avLst/>
                    </a:prstGeom>
                    <a:noFill/>
                    <a:ln>
                      <a:noFill/>
                    </a:ln>
                  </pic:spPr>
                </pic:pic>
              </a:graphicData>
            </a:graphic>
          </wp:inline>
        </w:drawing>
      </w:r>
    </w:p>
    <w:p w:rsidR="00F93B76" w:rsidRPr="00A32AF4" w:rsidRDefault="00F93B76" w:rsidP="00DC0553">
      <w:pPr>
        <w:rPr>
          <w:rFonts w:cs="Arial"/>
        </w:rPr>
      </w:pPr>
    </w:p>
    <w:p w:rsidR="00F93B76" w:rsidRPr="00A32AF4" w:rsidRDefault="009600B2" w:rsidP="00DC0553">
      <w:pPr>
        <w:keepNext/>
        <w:keepLines/>
        <w:numPr>
          <w:ilvl w:val="0"/>
          <w:numId w:val="41"/>
        </w:numPr>
        <w:tabs>
          <w:tab w:val="clear" w:pos="720"/>
        </w:tabs>
        <w:spacing w:after="120"/>
        <w:ind w:left="1134" w:hanging="567"/>
        <w:jc w:val="both"/>
        <w:rPr>
          <w:rFonts w:cs="Arial"/>
        </w:rPr>
      </w:pPr>
      <w:r w:rsidRPr="00A32AF4">
        <w:rPr>
          <w:rFonts w:cs="Arial"/>
        </w:rPr>
        <w:t>En moyenne, 2,5 classes ont été indiquées pour les demandes enregistrées en 2014.</w:t>
      </w:r>
    </w:p>
    <w:p w:rsidR="00F93B76" w:rsidRPr="00A32AF4" w:rsidRDefault="00F93B76" w:rsidP="00DC0553">
      <w:pPr>
        <w:jc w:val="both"/>
        <w:rPr>
          <w:rFonts w:cs="Arial"/>
        </w:rPr>
      </w:pPr>
    </w:p>
    <w:p w:rsidR="00F93B76" w:rsidRPr="00A32AF4" w:rsidRDefault="009600B2" w:rsidP="00DC0553">
      <w:pPr>
        <w:pStyle w:val="ListParagraph"/>
        <w:tabs>
          <w:tab w:val="left" w:pos="1701"/>
        </w:tabs>
        <w:ind w:left="567"/>
        <w:jc w:val="both"/>
        <w:rPr>
          <w:rFonts w:ascii="Arial" w:hAnsi="Arial" w:cs="Arial"/>
          <w:i/>
          <w:szCs w:val="20"/>
        </w:rPr>
      </w:pPr>
      <w:r w:rsidRPr="00A32AF4">
        <w:rPr>
          <w:rFonts w:ascii="Arial" w:hAnsi="Arial" w:cs="Arial"/>
          <w:i/>
          <w:szCs w:val="20"/>
        </w:rPr>
        <w:t>Longueur moyenne des demandes</w:t>
      </w:r>
    </w:p>
    <w:p w:rsidR="00F93B76" w:rsidRPr="00A32AF4" w:rsidRDefault="00F93B76" w:rsidP="00DC0553">
      <w:pPr>
        <w:jc w:val="both"/>
        <w:rPr>
          <w:rFonts w:cs="Arial"/>
        </w:rPr>
      </w:pPr>
    </w:p>
    <w:p w:rsidR="00F93B76" w:rsidRPr="00A32AF4" w:rsidRDefault="009600B2" w:rsidP="00DC0553">
      <w:pPr>
        <w:pStyle w:val="ListParagraph"/>
        <w:numPr>
          <w:ilvl w:val="0"/>
          <w:numId w:val="47"/>
        </w:numPr>
        <w:tabs>
          <w:tab w:val="left" w:pos="567"/>
        </w:tabs>
        <w:spacing w:after="0" w:line="240" w:lineRule="auto"/>
        <w:ind w:left="0" w:firstLine="0"/>
        <w:jc w:val="both"/>
        <w:rPr>
          <w:rFonts w:ascii="Arial" w:hAnsi="Arial" w:cs="Arial"/>
          <w:szCs w:val="20"/>
        </w:rPr>
      </w:pPr>
      <w:r w:rsidRPr="00A32AF4">
        <w:rPr>
          <w:rFonts w:ascii="Arial" w:hAnsi="Arial" w:cs="Arial"/>
          <w:szCs w:val="20"/>
        </w:rPr>
        <w:t>La longueur des demandes est déterminée par le nombre global de mots utilisés par le déposant dans la description de sa marque, dans la liste de base des produits et services et dans toutes les mentions de limitations s</w:t>
      </w:r>
      <w:r w:rsidR="00E2055A" w:rsidRPr="00A32AF4">
        <w:rPr>
          <w:rFonts w:ascii="Arial" w:hAnsi="Arial" w:cs="Arial"/>
          <w:szCs w:val="20"/>
        </w:rPr>
        <w:t>’</w:t>
      </w:r>
      <w:r w:rsidRPr="00A32AF4">
        <w:rPr>
          <w:rFonts w:ascii="Arial" w:hAnsi="Arial" w:cs="Arial"/>
          <w:szCs w:val="20"/>
        </w:rPr>
        <w:t>y rapportant.  Ces trois éléments sont traduits par le Bureau international dans deux langues (le français, l</w:t>
      </w:r>
      <w:r w:rsidR="00E2055A" w:rsidRPr="00A32AF4">
        <w:rPr>
          <w:rFonts w:ascii="Arial" w:hAnsi="Arial" w:cs="Arial"/>
          <w:szCs w:val="20"/>
        </w:rPr>
        <w:t>’</w:t>
      </w:r>
      <w:r w:rsidRPr="00A32AF4">
        <w:rPr>
          <w:rFonts w:ascii="Arial" w:hAnsi="Arial" w:cs="Arial"/>
          <w:szCs w:val="20"/>
        </w:rPr>
        <w:t>anglais ou l</w:t>
      </w:r>
      <w:r w:rsidR="00E2055A" w:rsidRPr="00A32AF4">
        <w:rPr>
          <w:rFonts w:ascii="Arial" w:hAnsi="Arial" w:cs="Arial"/>
          <w:szCs w:val="20"/>
        </w:rPr>
        <w:t>’</w:t>
      </w:r>
      <w:r w:rsidRPr="00A32AF4">
        <w:rPr>
          <w:rFonts w:ascii="Arial" w:hAnsi="Arial" w:cs="Arial"/>
          <w:szCs w:val="20"/>
        </w:rPr>
        <w:t>espagnol).</w:t>
      </w:r>
    </w:p>
    <w:p w:rsidR="00F93B76" w:rsidRPr="00A32AF4" w:rsidRDefault="00F93B76" w:rsidP="00DC0553">
      <w:pPr>
        <w:jc w:val="both"/>
        <w:rPr>
          <w:rFonts w:cs="Arial"/>
        </w:rPr>
      </w:pPr>
    </w:p>
    <w:p w:rsidR="00F93B76" w:rsidRPr="00A32AF4" w:rsidRDefault="009600B2" w:rsidP="00DC0553">
      <w:pPr>
        <w:pStyle w:val="ListParagraph"/>
        <w:numPr>
          <w:ilvl w:val="0"/>
          <w:numId w:val="47"/>
        </w:numPr>
        <w:tabs>
          <w:tab w:val="left" w:pos="567"/>
        </w:tabs>
        <w:spacing w:after="0" w:line="240" w:lineRule="auto"/>
        <w:ind w:left="0" w:firstLine="0"/>
        <w:jc w:val="both"/>
        <w:rPr>
          <w:rFonts w:ascii="Arial" w:hAnsi="Arial" w:cs="Arial"/>
          <w:szCs w:val="20"/>
        </w:rPr>
      </w:pPr>
      <w:r w:rsidRPr="00A32AF4">
        <w:rPr>
          <w:rFonts w:ascii="Arial" w:hAnsi="Arial" w:cs="Arial"/>
          <w:szCs w:val="20"/>
        </w:rPr>
        <w:t>La longueur des demandes a une incidence sur la charge de travail des examinateurs, laquelle comprend la classification des produits et services figurant dans la demande conformément à la classification de Nice.</w:t>
      </w:r>
    </w:p>
    <w:p w:rsidR="00F93B76" w:rsidRPr="00A32AF4" w:rsidRDefault="00F93B76" w:rsidP="00DC0553">
      <w:pPr>
        <w:jc w:val="both"/>
        <w:rPr>
          <w:rFonts w:cs="Arial"/>
        </w:rPr>
      </w:pPr>
    </w:p>
    <w:p w:rsidR="00F93B76" w:rsidRPr="00A32AF4" w:rsidRDefault="009600B2" w:rsidP="00DC0553">
      <w:pPr>
        <w:pStyle w:val="ListParagraph"/>
        <w:numPr>
          <w:ilvl w:val="0"/>
          <w:numId w:val="47"/>
        </w:numPr>
        <w:tabs>
          <w:tab w:val="left" w:pos="567"/>
        </w:tabs>
        <w:spacing w:after="0" w:line="240" w:lineRule="auto"/>
        <w:ind w:left="0" w:firstLine="0"/>
        <w:jc w:val="both"/>
        <w:rPr>
          <w:rFonts w:ascii="Arial" w:hAnsi="Arial" w:cs="Arial"/>
          <w:szCs w:val="20"/>
        </w:rPr>
      </w:pPr>
      <w:r w:rsidRPr="00A32AF4">
        <w:rPr>
          <w:rFonts w:ascii="Arial" w:hAnsi="Arial" w:cs="Arial"/>
          <w:szCs w:val="20"/>
        </w:rPr>
        <w:t>La longueur moyenne des demandes est calculée en divisant le total du nombre de mots utilisés dans la liste de base des produits et services, les limitations et la description, par le nombre de demandes enregistrées.</w:t>
      </w:r>
    </w:p>
    <w:p w:rsidR="00F93B76" w:rsidRPr="00A32AF4" w:rsidRDefault="009600B2" w:rsidP="00DC0553">
      <w:pPr>
        <w:jc w:val="center"/>
        <w:rPr>
          <w:rFonts w:cs="Arial"/>
        </w:rPr>
      </w:pPr>
      <w:r w:rsidRPr="00A32AF4">
        <w:rPr>
          <w:rFonts w:cs="Arial"/>
          <w:noProof/>
          <w:lang w:eastAsia="fr-FR"/>
        </w:rPr>
        <w:drawing>
          <wp:inline distT="0" distB="0" distL="0" distR="0" wp14:anchorId="0F76A597" wp14:editId="55BB3944">
            <wp:extent cx="5760000" cy="2841897"/>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5760000" cy="2841897"/>
                    </a:xfrm>
                    <a:prstGeom prst="rect">
                      <a:avLst/>
                    </a:prstGeom>
                    <a:noFill/>
                    <a:ln>
                      <a:noFill/>
                    </a:ln>
                  </pic:spPr>
                </pic:pic>
              </a:graphicData>
            </a:graphic>
          </wp:inline>
        </w:drawing>
      </w:r>
    </w:p>
    <w:p w:rsidR="00F93B76" w:rsidRPr="00A32AF4" w:rsidRDefault="00F93B76" w:rsidP="00DC0553">
      <w:pPr>
        <w:rPr>
          <w:rFonts w:cs="Arial"/>
        </w:rPr>
      </w:pPr>
    </w:p>
    <w:p w:rsidR="00F93B76" w:rsidRPr="00A32AF4" w:rsidRDefault="009600B2" w:rsidP="00DC0553">
      <w:pPr>
        <w:numPr>
          <w:ilvl w:val="0"/>
          <w:numId w:val="41"/>
        </w:numPr>
        <w:tabs>
          <w:tab w:val="clear" w:pos="720"/>
        </w:tabs>
        <w:spacing w:after="120"/>
        <w:ind w:left="1134" w:hanging="567"/>
        <w:jc w:val="both"/>
        <w:rPr>
          <w:rFonts w:cs="Arial"/>
        </w:rPr>
      </w:pPr>
      <w:r w:rsidRPr="00A32AF4">
        <w:rPr>
          <w:rFonts w:cs="Arial"/>
        </w:rPr>
        <w:t>En 2014, la longueur moyenne d</w:t>
      </w:r>
      <w:r w:rsidR="00E2055A" w:rsidRPr="00A32AF4">
        <w:rPr>
          <w:rFonts w:cs="Arial"/>
        </w:rPr>
        <w:t>’</w:t>
      </w:r>
      <w:r w:rsidRPr="00A32AF4">
        <w:rPr>
          <w:rFonts w:cs="Arial"/>
        </w:rPr>
        <w:t>une demande était de 239 mots.  Cela représente une augmentation de 12% par rapport à 2013.</w:t>
      </w:r>
    </w:p>
    <w:p w:rsidR="00F93B76" w:rsidRPr="00A32AF4" w:rsidRDefault="009600B2" w:rsidP="00DC0553">
      <w:pPr>
        <w:numPr>
          <w:ilvl w:val="0"/>
          <w:numId w:val="41"/>
        </w:numPr>
        <w:tabs>
          <w:tab w:val="clear" w:pos="720"/>
        </w:tabs>
        <w:spacing w:after="120"/>
        <w:ind w:left="1134" w:hanging="567"/>
        <w:jc w:val="both"/>
        <w:rPr>
          <w:rFonts w:cs="Arial"/>
        </w:rPr>
      </w:pPr>
      <w:r w:rsidRPr="00A32AF4">
        <w:rPr>
          <w:rFonts w:cs="Arial"/>
        </w:rPr>
        <w:t>Bien que certaines parties des travaux de traduction et de classification soient automatisées, une augmentation importante de la longueur des demandes a un effet considérable sur la charge de travail du Bureau international.</w:t>
      </w:r>
    </w:p>
    <w:p w:rsidR="00F93B76" w:rsidRPr="00A32AF4" w:rsidRDefault="00F93B76" w:rsidP="00DC0553">
      <w:pPr>
        <w:rPr>
          <w:rFonts w:cs="Arial"/>
        </w:rPr>
      </w:pPr>
    </w:p>
    <w:p w:rsidR="00F93B76" w:rsidRPr="00A32AF4" w:rsidRDefault="009600B2" w:rsidP="00DC0553">
      <w:pPr>
        <w:pStyle w:val="ListParagraph"/>
        <w:keepNext/>
        <w:keepLines/>
        <w:tabs>
          <w:tab w:val="left" w:pos="1701"/>
        </w:tabs>
        <w:ind w:left="567"/>
        <w:jc w:val="both"/>
        <w:rPr>
          <w:rFonts w:ascii="Arial" w:hAnsi="Arial" w:cs="Arial"/>
          <w:i/>
          <w:szCs w:val="20"/>
        </w:rPr>
      </w:pPr>
      <w:r w:rsidRPr="00A32AF4">
        <w:rPr>
          <w:rFonts w:ascii="Arial" w:hAnsi="Arial" w:cs="Arial"/>
          <w:i/>
          <w:szCs w:val="20"/>
        </w:rPr>
        <w:t>Répartition des demandes régulières et irrégulières</w:t>
      </w:r>
    </w:p>
    <w:p w:rsidR="00F93B76" w:rsidRPr="00A32AF4" w:rsidRDefault="009600B2" w:rsidP="00DC0553">
      <w:pPr>
        <w:jc w:val="center"/>
        <w:rPr>
          <w:rFonts w:cs="Arial"/>
        </w:rPr>
      </w:pPr>
      <w:r w:rsidRPr="00A32AF4">
        <w:rPr>
          <w:rFonts w:cs="Arial"/>
          <w:noProof/>
          <w:lang w:eastAsia="fr-FR"/>
        </w:rPr>
        <w:drawing>
          <wp:inline distT="0" distB="0" distL="0" distR="0" wp14:anchorId="0A90D460" wp14:editId="71302536">
            <wp:extent cx="5760000" cy="2972158"/>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5760000" cy="2972158"/>
                    </a:xfrm>
                    <a:prstGeom prst="rect">
                      <a:avLst/>
                    </a:prstGeom>
                    <a:noFill/>
                    <a:ln>
                      <a:noFill/>
                    </a:ln>
                  </pic:spPr>
                </pic:pic>
              </a:graphicData>
            </a:graphic>
          </wp:inline>
        </w:drawing>
      </w:r>
    </w:p>
    <w:p w:rsidR="00F93B76" w:rsidRPr="00A32AF4" w:rsidRDefault="00F93B76" w:rsidP="00DC0553">
      <w:pPr>
        <w:spacing w:after="120"/>
        <w:jc w:val="both"/>
        <w:rPr>
          <w:rFonts w:cs="Arial"/>
        </w:rPr>
      </w:pPr>
    </w:p>
    <w:p w:rsidR="00F93B76" w:rsidRPr="00A32AF4" w:rsidRDefault="009600B2" w:rsidP="00DC0553">
      <w:pPr>
        <w:numPr>
          <w:ilvl w:val="0"/>
          <w:numId w:val="41"/>
        </w:numPr>
        <w:tabs>
          <w:tab w:val="clear" w:pos="720"/>
        </w:tabs>
        <w:spacing w:after="120"/>
        <w:ind w:left="1134" w:hanging="567"/>
        <w:jc w:val="both"/>
        <w:rPr>
          <w:rFonts w:cs="Arial"/>
        </w:rPr>
      </w:pPr>
      <w:r w:rsidRPr="00A32AF4">
        <w:rPr>
          <w:rFonts w:cs="Arial"/>
        </w:rPr>
        <w:t>La proportion des demandes régulières est restée plus ou moins inchangée depuis 2011.</w:t>
      </w:r>
    </w:p>
    <w:p w:rsidR="00F93B76" w:rsidRPr="00A32AF4" w:rsidRDefault="00F93B76" w:rsidP="00DC0553">
      <w:pPr>
        <w:jc w:val="both"/>
        <w:rPr>
          <w:rFonts w:cs="Arial"/>
        </w:rPr>
      </w:pPr>
    </w:p>
    <w:p w:rsidR="00F93B76" w:rsidRPr="00A32AF4" w:rsidRDefault="009600B2" w:rsidP="00DC0553">
      <w:pPr>
        <w:pStyle w:val="ListParagraph"/>
        <w:ind w:left="0"/>
        <w:jc w:val="both"/>
        <w:rPr>
          <w:rFonts w:ascii="Arial" w:hAnsi="Arial" w:cs="Arial"/>
          <w:u w:val="single"/>
        </w:rPr>
      </w:pPr>
      <w:r w:rsidRPr="00A32AF4">
        <w:rPr>
          <w:rFonts w:ascii="Arial" w:hAnsi="Arial" w:cs="Arial"/>
          <w:u w:val="single"/>
        </w:rPr>
        <w:t>Renouvellements</w:t>
      </w:r>
    </w:p>
    <w:p w:rsidR="00F93B76" w:rsidRPr="00A32AF4" w:rsidRDefault="009600B2" w:rsidP="00DC0553">
      <w:pPr>
        <w:jc w:val="center"/>
        <w:rPr>
          <w:rFonts w:cs="Arial"/>
        </w:rPr>
      </w:pPr>
      <w:r w:rsidRPr="00A32AF4">
        <w:rPr>
          <w:rFonts w:cs="Arial"/>
          <w:noProof/>
          <w:lang w:eastAsia="fr-FR"/>
        </w:rPr>
        <w:drawing>
          <wp:inline distT="0" distB="0" distL="0" distR="0" wp14:anchorId="5F108D9D" wp14:editId="1915A9C3">
            <wp:extent cx="5760000" cy="2814987"/>
            <wp:effectExtent l="0" t="0" r="0" b="444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5760000" cy="2814987"/>
                    </a:xfrm>
                    <a:prstGeom prst="rect">
                      <a:avLst/>
                    </a:prstGeom>
                    <a:noFill/>
                    <a:ln>
                      <a:noFill/>
                    </a:ln>
                  </pic:spPr>
                </pic:pic>
              </a:graphicData>
            </a:graphic>
          </wp:inline>
        </w:drawing>
      </w:r>
    </w:p>
    <w:p w:rsidR="00F93B76" w:rsidRPr="00A32AF4" w:rsidRDefault="00F93B76" w:rsidP="00DC0553">
      <w:pPr>
        <w:spacing w:after="120"/>
        <w:jc w:val="both"/>
        <w:rPr>
          <w:rFonts w:cs="Arial"/>
        </w:rPr>
      </w:pPr>
    </w:p>
    <w:p w:rsidR="00F93B76" w:rsidRPr="00A32AF4" w:rsidRDefault="009600B2" w:rsidP="00DC0553">
      <w:pPr>
        <w:numPr>
          <w:ilvl w:val="0"/>
          <w:numId w:val="41"/>
        </w:numPr>
        <w:tabs>
          <w:tab w:val="clear" w:pos="720"/>
          <w:tab w:val="num" w:pos="1560"/>
        </w:tabs>
        <w:spacing w:after="120"/>
        <w:ind w:left="1134" w:hanging="567"/>
        <w:jc w:val="both"/>
        <w:rPr>
          <w:rFonts w:cs="Arial"/>
        </w:rPr>
      </w:pPr>
      <w:r w:rsidRPr="00A32AF4">
        <w:rPr>
          <w:rFonts w:cs="Arial"/>
        </w:rPr>
        <w:t>En 2014, le Bureau international a enregistré 25 729 renouvellements, ce qui représente une hausse de 12% par rapport à 2013.</w:t>
      </w:r>
    </w:p>
    <w:p w:rsidR="00F93B76" w:rsidRPr="00A32AF4" w:rsidRDefault="009600B2" w:rsidP="00DC0553">
      <w:pPr>
        <w:numPr>
          <w:ilvl w:val="0"/>
          <w:numId w:val="41"/>
        </w:numPr>
        <w:tabs>
          <w:tab w:val="clear" w:pos="720"/>
          <w:tab w:val="num" w:pos="1560"/>
        </w:tabs>
        <w:spacing w:after="120"/>
        <w:ind w:left="1134" w:hanging="567"/>
        <w:jc w:val="both"/>
        <w:rPr>
          <w:rFonts w:cs="Arial"/>
        </w:rPr>
      </w:pPr>
      <w:r w:rsidRPr="00A32AF4">
        <w:rPr>
          <w:rFonts w:cs="Arial"/>
        </w:rPr>
        <w:t>Malgré l</w:t>
      </w:r>
      <w:r w:rsidR="00E2055A" w:rsidRPr="00A32AF4">
        <w:rPr>
          <w:rFonts w:cs="Arial"/>
        </w:rPr>
        <w:t>’</w:t>
      </w:r>
      <w:r w:rsidRPr="00A32AF4">
        <w:rPr>
          <w:rFonts w:cs="Arial"/>
        </w:rPr>
        <w:t>augmentation des renouvellements entre 2009 et 2014, le nombre de renouvellements traités manuellement est resté relativement stable.  En 2014, 59% des renouvellements ont été traités automatiquement.</w:t>
      </w:r>
    </w:p>
    <w:p w:rsidR="00F93B76" w:rsidRPr="00A32AF4" w:rsidRDefault="00F93B76" w:rsidP="00DC0553">
      <w:pPr>
        <w:spacing w:after="120"/>
        <w:ind w:left="993" w:hanging="426"/>
        <w:jc w:val="both"/>
        <w:rPr>
          <w:rFonts w:cs="Arial"/>
        </w:rPr>
      </w:pPr>
    </w:p>
    <w:p w:rsidR="00F93B76" w:rsidRPr="00A32AF4" w:rsidRDefault="009600B2" w:rsidP="00DC0553">
      <w:pPr>
        <w:pStyle w:val="ListParagraph"/>
        <w:keepNext/>
        <w:keepLines/>
        <w:ind w:left="0"/>
        <w:jc w:val="both"/>
        <w:rPr>
          <w:rFonts w:ascii="Arial" w:hAnsi="Arial" w:cs="Arial"/>
          <w:u w:val="single"/>
        </w:rPr>
      </w:pPr>
      <w:r w:rsidRPr="00A32AF4">
        <w:rPr>
          <w:rFonts w:ascii="Arial" w:hAnsi="Arial" w:cs="Arial"/>
          <w:u w:val="single"/>
        </w:rPr>
        <w:t>Désignations postérieures</w:t>
      </w:r>
    </w:p>
    <w:p w:rsidR="00F93B76" w:rsidRPr="00A32AF4" w:rsidRDefault="009600B2" w:rsidP="00DC0553">
      <w:pPr>
        <w:keepNext/>
        <w:keepLines/>
        <w:jc w:val="center"/>
        <w:rPr>
          <w:rFonts w:cs="Arial"/>
        </w:rPr>
      </w:pPr>
      <w:r w:rsidRPr="00A32AF4">
        <w:rPr>
          <w:rFonts w:cs="Arial"/>
          <w:noProof/>
          <w:lang w:eastAsia="fr-FR"/>
        </w:rPr>
        <w:drawing>
          <wp:inline distT="0" distB="0" distL="0" distR="0" wp14:anchorId="6F1E5CA1" wp14:editId="7AD46E91">
            <wp:extent cx="5760085" cy="3125008"/>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1" cstate="print">
                      <a:extLst>
                        <a:ext uri="{28A0092B-C50C-407E-A947-70E740481C1C}">
                          <a14:useLocalDpi xmlns:a14="http://schemas.microsoft.com/office/drawing/2010/main" val="0"/>
                        </a:ext>
                      </a:extLst>
                    </a:blip>
                    <a:srcRect/>
                    <a:stretch>
                      <a:fillRect/>
                    </a:stretch>
                  </pic:blipFill>
                  <pic:spPr bwMode="auto">
                    <a:xfrm>
                      <a:off x="0" y="0"/>
                      <a:ext cx="5760085" cy="3125008"/>
                    </a:xfrm>
                    <a:prstGeom prst="rect">
                      <a:avLst/>
                    </a:prstGeom>
                    <a:noFill/>
                    <a:ln>
                      <a:noFill/>
                    </a:ln>
                  </pic:spPr>
                </pic:pic>
              </a:graphicData>
            </a:graphic>
          </wp:inline>
        </w:drawing>
      </w:r>
    </w:p>
    <w:p w:rsidR="00F93B76" w:rsidRPr="00A32AF4" w:rsidRDefault="00F93B76" w:rsidP="00DC0553">
      <w:pPr>
        <w:rPr>
          <w:rFonts w:cs="Arial"/>
        </w:rPr>
      </w:pPr>
    </w:p>
    <w:p w:rsidR="00F93B76" w:rsidRPr="00A32AF4" w:rsidRDefault="009600B2" w:rsidP="00DC0553">
      <w:pPr>
        <w:keepNext/>
        <w:keepLines/>
        <w:numPr>
          <w:ilvl w:val="0"/>
          <w:numId w:val="41"/>
        </w:numPr>
        <w:tabs>
          <w:tab w:val="clear" w:pos="720"/>
        </w:tabs>
        <w:spacing w:after="120"/>
        <w:ind w:left="1134" w:hanging="567"/>
        <w:jc w:val="both"/>
        <w:rPr>
          <w:rFonts w:cs="Arial"/>
        </w:rPr>
      </w:pPr>
      <w:r w:rsidRPr="00A32AF4">
        <w:rPr>
          <w:rFonts w:cs="Arial"/>
        </w:rPr>
        <w:t>En 2014, le Bureau international a enregistré 17 316 désignations postérieures, soit une baisse de 2,5% par rapport à 2013.</w:t>
      </w:r>
    </w:p>
    <w:p w:rsidR="00F93B76" w:rsidRPr="00A32AF4" w:rsidRDefault="009600B2" w:rsidP="00DC0553">
      <w:pPr>
        <w:keepNext/>
        <w:keepLines/>
        <w:numPr>
          <w:ilvl w:val="0"/>
          <w:numId w:val="41"/>
        </w:numPr>
        <w:tabs>
          <w:tab w:val="clear" w:pos="720"/>
        </w:tabs>
        <w:ind w:left="1134" w:hanging="567"/>
        <w:jc w:val="both"/>
        <w:rPr>
          <w:rFonts w:cs="Arial"/>
        </w:rPr>
      </w:pPr>
      <w:r w:rsidRPr="00A32AF4">
        <w:rPr>
          <w:rFonts w:cs="Arial"/>
        </w:rPr>
        <w:t>En 2014, un nouveau formulaire en ligne de désignation postérieure électronique a été mis à la disposition des déposants.  Ce formulaire électronique a permis au Bureau international de traiter 14% des désignations postérieures automatiquement.</w:t>
      </w:r>
    </w:p>
    <w:p w:rsidR="00F93B76" w:rsidRPr="00A32AF4" w:rsidRDefault="00F93B76" w:rsidP="00DC0553">
      <w:pPr>
        <w:rPr>
          <w:rFonts w:cs="Arial"/>
        </w:rPr>
      </w:pPr>
    </w:p>
    <w:p w:rsidR="00F93B76" w:rsidRPr="00A32AF4" w:rsidRDefault="00F93B76" w:rsidP="00DC0553">
      <w:pPr>
        <w:rPr>
          <w:rFonts w:cs="Arial"/>
        </w:rPr>
      </w:pPr>
    </w:p>
    <w:p w:rsidR="00F93B76" w:rsidRPr="00A32AF4" w:rsidRDefault="009600B2" w:rsidP="00DC0553">
      <w:pPr>
        <w:pStyle w:val="ListParagraph"/>
        <w:ind w:left="0"/>
        <w:jc w:val="both"/>
        <w:rPr>
          <w:rFonts w:ascii="Arial" w:hAnsi="Arial" w:cs="Arial"/>
          <w:u w:val="single"/>
        </w:rPr>
      </w:pPr>
      <w:r w:rsidRPr="00A32AF4">
        <w:rPr>
          <w:rFonts w:ascii="Arial" w:hAnsi="Arial" w:cs="Arial"/>
          <w:u w:val="single"/>
        </w:rPr>
        <w:t>Modifications</w:t>
      </w:r>
    </w:p>
    <w:p w:rsidR="00F93B76" w:rsidRPr="00A32AF4" w:rsidRDefault="009600B2" w:rsidP="00DC0553">
      <w:pPr>
        <w:ind w:left="360"/>
        <w:jc w:val="center"/>
        <w:rPr>
          <w:rFonts w:cs="Arial"/>
        </w:rPr>
      </w:pPr>
      <w:r w:rsidRPr="00A32AF4">
        <w:rPr>
          <w:rFonts w:cs="Arial"/>
          <w:noProof/>
          <w:lang w:eastAsia="fr-FR"/>
        </w:rPr>
        <w:drawing>
          <wp:inline distT="0" distB="0" distL="0" distR="0" wp14:anchorId="42A2A809" wp14:editId="751548BE">
            <wp:extent cx="5760000" cy="2984444"/>
            <wp:effectExtent l="0" t="0" r="0" b="698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2" cstate="print">
                      <a:extLst>
                        <a:ext uri="{28A0092B-C50C-407E-A947-70E740481C1C}">
                          <a14:useLocalDpi xmlns:a14="http://schemas.microsoft.com/office/drawing/2010/main" val="0"/>
                        </a:ext>
                      </a:extLst>
                    </a:blip>
                    <a:srcRect/>
                    <a:stretch>
                      <a:fillRect/>
                    </a:stretch>
                  </pic:blipFill>
                  <pic:spPr bwMode="auto">
                    <a:xfrm>
                      <a:off x="0" y="0"/>
                      <a:ext cx="5760000" cy="2984444"/>
                    </a:xfrm>
                    <a:prstGeom prst="rect">
                      <a:avLst/>
                    </a:prstGeom>
                    <a:noFill/>
                    <a:ln>
                      <a:noFill/>
                    </a:ln>
                  </pic:spPr>
                </pic:pic>
              </a:graphicData>
            </a:graphic>
          </wp:inline>
        </w:drawing>
      </w:r>
    </w:p>
    <w:p w:rsidR="00F93B76" w:rsidRPr="00A32AF4" w:rsidRDefault="009600B2" w:rsidP="00DC0553">
      <w:pPr>
        <w:numPr>
          <w:ilvl w:val="0"/>
          <w:numId w:val="41"/>
        </w:numPr>
        <w:tabs>
          <w:tab w:val="clear" w:pos="720"/>
        </w:tabs>
        <w:spacing w:after="120"/>
        <w:ind w:left="1134" w:hanging="567"/>
        <w:jc w:val="both"/>
        <w:rPr>
          <w:rFonts w:cs="Arial"/>
        </w:rPr>
      </w:pPr>
      <w:r w:rsidRPr="00A32AF4">
        <w:rPr>
          <w:rFonts w:cs="Arial"/>
        </w:rPr>
        <w:t>En 2014, le Bureau international a reçu 38 817 demandes de modifications, ce qui représente une augmentation de 5,5% par rapport à 2013.</w:t>
      </w:r>
    </w:p>
    <w:p w:rsidR="00F93B76" w:rsidRPr="00A32AF4" w:rsidRDefault="00F93B76" w:rsidP="00DC0553">
      <w:pPr>
        <w:spacing w:after="120"/>
        <w:jc w:val="both"/>
        <w:rPr>
          <w:rFonts w:cs="Arial"/>
        </w:rPr>
      </w:pPr>
    </w:p>
    <w:p w:rsidR="00F93B76" w:rsidRPr="00A32AF4" w:rsidRDefault="009600B2" w:rsidP="00DC0553">
      <w:pPr>
        <w:pStyle w:val="ListParagraph"/>
        <w:keepNext/>
        <w:keepLines/>
        <w:ind w:left="0"/>
        <w:jc w:val="both"/>
        <w:rPr>
          <w:rFonts w:ascii="Arial" w:hAnsi="Arial" w:cs="Arial"/>
          <w:u w:val="single"/>
        </w:rPr>
      </w:pPr>
      <w:r w:rsidRPr="00A32AF4">
        <w:rPr>
          <w:rFonts w:ascii="Arial" w:hAnsi="Arial" w:cs="Arial"/>
          <w:u w:val="single"/>
        </w:rPr>
        <w:t>Décisions</w:t>
      </w:r>
    </w:p>
    <w:p w:rsidR="00F93B76" w:rsidRPr="00A32AF4" w:rsidRDefault="009600B2" w:rsidP="00DC0553">
      <w:pPr>
        <w:keepNext/>
        <w:keepLines/>
        <w:jc w:val="center"/>
        <w:rPr>
          <w:rFonts w:cs="Arial"/>
        </w:rPr>
      </w:pPr>
      <w:r w:rsidRPr="00A32AF4">
        <w:rPr>
          <w:rFonts w:cs="Arial"/>
          <w:noProof/>
          <w:lang w:eastAsia="fr-FR"/>
        </w:rPr>
        <w:drawing>
          <wp:inline distT="0" distB="0" distL="0" distR="0" wp14:anchorId="4C949B4E" wp14:editId="7C16E9F5">
            <wp:extent cx="5760000" cy="2937703"/>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3" cstate="print">
                      <a:extLst>
                        <a:ext uri="{28A0092B-C50C-407E-A947-70E740481C1C}">
                          <a14:useLocalDpi xmlns:a14="http://schemas.microsoft.com/office/drawing/2010/main" val="0"/>
                        </a:ext>
                      </a:extLst>
                    </a:blip>
                    <a:srcRect/>
                    <a:stretch>
                      <a:fillRect/>
                    </a:stretch>
                  </pic:blipFill>
                  <pic:spPr bwMode="auto">
                    <a:xfrm>
                      <a:off x="0" y="0"/>
                      <a:ext cx="5760000" cy="2937703"/>
                    </a:xfrm>
                    <a:prstGeom prst="rect">
                      <a:avLst/>
                    </a:prstGeom>
                    <a:noFill/>
                    <a:ln>
                      <a:noFill/>
                    </a:ln>
                  </pic:spPr>
                </pic:pic>
              </a:graphicData>
            </a:graphic>
          </wp:inline>
        </w:drawing>
      </w:r>
    </w:p>
    <w:p w:rsidR="00F93B76" w:rsidRPr="00A32AF4" w:rsidRDefault="00F93B76" w:rsidP="00DC0553">
      <w:pPr>
        <w:keepNext/>
        <w:keepLines/>
        <w:spacing w:after="120"/>
        <w:jc w:val="both"/>
        <w:rPr>
          <w:rFonts w:cs="Arial"/>
        </w:rPr>
      </w:pPr>
    </w:p>
    <w:p w:rsidR="00F93B76" w:rsidRPr="00A32AF4" w:rsidRDefault="009600B2" w:rsidP="00DC0553">
      <w:pPr>
        <w:keepNext/>
        <w:keepLines/>
        <w:numPr>
          <w:ilvl w:val="0"/>
          <w:numId w:val="41"/>
        </w:numPr>
        <w:tabs>
          <w:tab w:val="clear" w:pos="720"/>
        </w:tabs>
        <w:spacing w:after="120"/>
        <w:ind w:left="1134" w:hanging="567"/>
        <w:jc w:val="both"/>
        <w:rPr>
          <w:rFonts w:cs="Arial"/>
        </w:rPr>
      </w:pPr>
      <w:r w:rsidRPr="00A32AF4">
        <w:rPr>
          <w:rFonts w:cs="Arial"/>
        </w:rPr>
        <w:t>En 2014, le nombre de décisions enregistrées a baissé de 0,3% par rapport à 2013, pour totaliser 521 208.  Le nombre de décisions traitées a rapidement augmenté depuis 2010.</w:t>
      </w:r>
    </w:p>
    <w:p w:rsidR="00F93B76" w:rsidRPr="00A32AF4" w:rsidRDefault="009600B2" w:rsidP="00DC0553">
      <w:pPr>
        <w:numPr>
          <w:ilvl w:val="0"/>
          <w:numId w:val="41"/>
        </w:numPr>
        <w:tabs>
          <w:tab w:val="clear" w:pos="720"/>
        </w:tabs>
        <w:spacing w:after="120"/>
        <w:ind w:left="1134" w:hanging="567"/>
        <w:jc w:val="both"/>
        <w:rPr>
          <w:rFonts w:cs="Arial"/>
        </w:rPr>
      </w:pPr>
      <w:r w:rsidRPr="00A32AF4">
        <w:rPr>
          <w:rFonts w:cs="Arial"/>
        </w:rPr>
        <w:t>En 2014, 62% des décisions ont été traitées automatiquement.  Depuis 2011, la plus grande partie des décisions a été traitée automatiquement.</w:t>
      </w:r>
    </w:p>
    <w:p w:rsidR="00F93B76" w:rsidRPr="00A32AF4" w:rsidRDefault="00F93B76" w:rsidP="00DC0553">
      <w:pPr>
        <w:jc w:val="both"/>
        <w:rPr>
          <w:rFonts w:cs="Arial"/>
        </w:rPr>
      </w:pPr>
    </w:p>
    <w:p w:rsidR="00F93B76" w:rsidRPr="00A32AF4" w:rsidRDefault="00F93B76" w:rsidP="00DC0553">
      <w:pPr>
        <w:jc w:val="both"/>
        <w:rPr>
          <w:rFonts w:cs="Arial"/>
        </w:rPr>
      </w:pPr>
    </w:p>
    <w:p w:rsidR="00F93B76" w:rsidRPr="00A32AF4" w:rsidRDefault="009600B2" w:rsidP="00DC0553">
      <w:pPr>
        <w:pStyle w:val="ListParagraph"/>
        <w:ind w:left="0"/>
        <w:jc w:val="both"/>
        <w:rPr>
          <w:rFonts w:ascii="Arial" w:hAnsi="Arial" w:cs="Arial"/>
          <w:u w:val="single"/>
        </w:rPr>
      </w:pPr>
      <w:r w:rsidRPr="00A32AF4">
        <w:rPr>
          <w:rFonts w:ascii="Arial" w:hAnsi="Arial" w:cs="Arial"/>
          <w:u w:val="single"/>
        </w:rPr>
        <w:t>Corrections</w:t>
      </w:r>
    </w:p>
    <w:p w:rsidR="00F93B76" w:rsidRPr="00A32AF4" w:rsidRDefault="009600B2" w:rsidP="00DC0553">
      <w:pPr>
        <w:jc w:val="center"/>
        <w:rPr>
          <w:rFonts w:cs="Arial"/>
        </w:rPr>
      </w:pPr>
      <w:r w:rsidRPr="00A32AF4">
        <w:rPr>
          <w:rFonts w:cs="Arial"/>
          <w:noProof/>
          <w:lang w:eastAsia="fr-FR"/>
        </w:rPr>
        <w:drawing>
          <wp:inline distT="0" distB="0" distL="0" distR="0" wp14:anchorId="161A480E" wp14:editId="094AF1B8">
            <wp:extent cx="5760000" cy="278179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4" cstate="print">
                      <a:extLst>
                        <a:ext uri="{28A0092B-C50C-407E-A947-70E740481C1C}">
                          <a14:useLocalDpi xmlns:a14="http://schemas.microsoft.com/office/drawing/2010/main" val="0"/>
                        </a:ext>
                      </a:extLst>
                    </a:blip>
                    <a:srcRect/>
                    <a:stretch>
                      <a:fillRect/>
                    </a:stretch>
                  </pic:blipFill>
                  <pic:spPr bwMode="auto">
                    <a:xfrm>
                      <a:off x="0" y="0"/>
                      <a:ext cx="5760000" cy="2781790"/>
                    </a:xfrm>
                    <a:prstGeom prst="rect">
                      <a:avLst/>
                    </a:prstGeom>
                    <a:noFill/>
                    <a:ln>
                      <a:noFill/>
                    </a:ln>
                  </pic:spPr>
                </pic:pic>
              </a:graphicData>
            </a:graphic>
          </wp:inline>
        </w:drawing>
      </w:r>
    </w:p>
    <w:p w:rsidR="00F93B76" w:rsidRPr="00A32AF4" w:rsidRDefault="009600B2" w:rsidP="00DC0553">
      <w:pPr>
        <w:numPr>
          <w:ilvl w:val="0"/>
          <w:numId w:val="41"/>
        </w:numPr>
        <w:tabs>
          <w:tab w:val="clear" w:pos="720"/>
        </w:tabs>
        <w:spacing w:after="120"/>
        <w:ind w:left="1134" w:hanging="567"/>
        <w:jc w:val="both"/>
        <w:rPr>
          <w:rFonts w:cs="Arial"/>
        </w:rPr>
      </w:pPr>
      <w:r w:rsidRPr="00A32AF4">
        <w:rPr>
          <w:rFonts w:cs="Arial"/>
        </w:rPr>
        <w:t>En 2014, le Bureau international a enregistré approximativement 6000 corrections.  Cela représente une hausse de 17% par rapport à 2013.</w:t>
      </w:r>
    </w:p>
    <w:p w:rsidR="00F93B76" w:rsidRPr="00A32AF4" w:rsidRDefault="009600B2" w:rsidP="00DC0553">
      <w:pPr>
        <w:pStyle w:val="ListParagraph"/>
        <w:keepNext/>
        <w:keepLines/>
        <w:numPr>
          <w:ilvl w:val="0"/>
          <w:numId w:val="40"/>
        </w:numPr>
        <w:spacing w:after="0" w:line="240" w:lineRule="auto"/>
        <w:ind w:left="567" w:hanging="567"/>
        <w:jc w:val="both"/>
        <w:rPr>
          <w:rFonts w:ascii="Arial" w:hAnsi="Arial" w:cs="Arial"/>
          <w:b/>
          <w:szCs w:val="20"/>
        </w:rPr>
      </w:pPr>
      <w:r w:rsidRPr="00A32AF4">
        <w:rPr>
          <w:rFonts w:ascii="Arial" w:hAnsi="Arial" w:cs="Arial"/>
          <w:b/>
          <w:szCs w:val="20"/>
        </w:rPr>
        <w:t>Charge de travail globale</w:t>
      </w:r>
    </w:p>
    <w:p w:rsidR="00F93B76" w:rsidRPr="00A32AF4" w:rsidRDefault="00F93B76" w:rsidP="00DC0553">
      <w:pPr>
        <w:keepNext/>
        <w:keepLines/>
        <w:jc w:val="both"/>
        <w:rPr>
          <w:rFonts w:cs="Arial"/>
        </w:rPr>
      </w:pPr>
    </w:p>
    <w:p w:rsidR="00F93B76" w:rsidRPr="00A32AF4" w:rsidRDefault="009600B2" w:rsidP="00DC0553">
      <w:pPr>
        <w:pStyle w:val="ListParagraph"/>
        <w:keepNext/>
        <w:keepLines/>
        <w:numPr>
          <w:ilvl w:val="0"/>
          <w:numId w:val="47"/>
        </w:numPr>
        <w:tabs>
          <w:tab w:val="left" w:pos="567"/>
        </w:tabs>
        <w:spacing w:after="0" w:line="240" w:lineRule="auto"/>
        <w:ind w:left="0" w:firstLine="0"/>
        <w:jc w:val="both"/>
        <w:rPr>
          <w:rFonts w:ascii="Arial" w:hAnsi="Arial" w:cs="Arial"/>
          <w:szCs w:val="20"/>
        </w:rPr>
      </w:pPr>
      <w:r w:rsidRPr="00A32AF4">
        <w:rPr>
          <w:rFonts w:ascii="Arial" w:hAnsi="Arial" w:cs="Arial"/>
          <w:szCs w:val="20"/>
        </w:rPr>
        <w:t>La charge de travail globale représente le nombre total pondéré de documents traités par le Bureau international.  Les six catégories de documents sont incluses (les demandes, les renouvellements, les désignations postérieures, les modifications, les décisions et les corrections).</w:t>
      </w:r>
    </w:p>
    <w:p w:rsidR="00F93B76" w:rsidRPr="00A32AF4" w:rsidRDefault="00F93B76" w:rsidP="00DC0553">
      <w:pPr>
        <w:keepNext/>
        <w:keepLines/>
        <w:jc w:val="both"/>
        <w:rPr>
          <w:rFonts w:cs="Arial"/>
        </w:rPr>
      </w:pPr>
    </w:p>
    <w:p w:rsidR="00F93B76" w:rsidRPr="00A32AF4" w:rsidRDefault="009600B2" w:rsidP="00DC0553">
      <w:pPr>
        <w:pStyle w:val="ListParagraph"/>
        <w:keepNext/>
        <w:keepLines/>
        <w:numPr>
          <w:ilvl w:val="0"/>
          <w:numId w:val="47"/>
        </w:numPr>
        <w:tabs>
          <w:tab w:val="left" w:pos="567"/>
        </w:tabs>
        <w:spacing w:after="0" w:line="240" w:lineRule="auto"/>
        <w:ind w:left="0" w:firstLine="0"/>
        <w:jc w:val="both"/>
        <w:rPr>
          <w:rFonts w:ascii="Arial" w:hAnsi="Arial" w:cs="Arial"/>
          <w:szCs w:val="20"/>
        </w:rPr>
      </w:pPr>
      <w:r w:rsidRPr="00A32AF4">
        <w:rPr>
          <w:rFonts w:ascii="Arial" w:hAnsi="Arial" w:cs="Arial"/>
          <w:szCs w:val="20"/>
        </w:rPr>
        <w:t>Étant donné que le traitement des différentes catégories de documents ne requiert pas des ressources équivalentes, chacune est pondérée différemment.  Selon le système de pondération appliqué, durant le laps de temps nécessaire à traiter une demande internationale, un examinateur peut traiter 1,6 renouvellement, 1,8 désignation postérieure, 1,8 modification ou 10 décisions.  De même, durant le laps de temps nécessaire à traiter une demande internationale, un employé chargé du traitement automatique est considéré pouvoir traiter 17 documents.</w:t>
      </w:r>
    </w:p>
    <w:p w:rsidR="00F93B76" w:rsidRPr="00A32AF4" w:rsidRDefault="00F93B76" w:rsidP="00DC0553">
      <w:pPr>
        <w:rPr>
          <w:rFonts w:cs="Arial"/>
        </w:rPr>
      </w:pPr>
    </w:p>
    <w:p w:rsidR="00F93B76" w:rsidRPr="00A32AF4" w:rsidRDefault="009600B2" w:rsidP="00DC0553">
      <w:pPr>
        <w:jc w:val="center"/>
        <w:rPr>
          <w:rFonts w:cs="Arial"/>
        </w:rPr>
      </w:pPr>
      <w:r w:rsidRPr="00A32AF4">
        <w:rPr>
          <w:rFonts w:cs="Arial"/>
          <w:noProof/>
          <w:lang w:eastAsia="fr-FR"/>
        </w:rPr>
        <w:drawing>
          <wp:inline distT="0" distB="0" distL="0" distR="0" wp14:anchorId="1B27CEE7" wp14:editId="61392A17">
            <wp:extent cx="5760000" cy="2488519"/>
            <wp:effectExtent l="0" t="0" r="0" b="762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5" cstate="print">
                      <a:extLst>
                        <a:ext uri="{28A0092B-C50C-407E-A947-70E740481C1C}">
                          <a14:useLocalDpi xmlns:a14="http://schemas.microsoft.com/office/drawing/2010/main" val="0"/>
                        </a:ext>
                      </a:extLst>
                    </a:blip>
                    <a:srcRect/>
                    <a:stretch>
                      <a:fillRect/>
                    </a:stretch>
                  </pic:blipFill>
                  <pic:spPr bwMode="auto">
                    <a:xfrm>
                      <a:off x="0" y="0"/>
                      <a:ext cx="5760000" cy="2488519"/>
                    </a:xfrm>
                    <a:prstGeom prst="rect">
                      <a:avLst/>
                    </a:prstGeom>
                    <a:noFill/>
                    <a:ln>
                      <a:noFill/>
                    </a:ln>
                  </pic:spPr>
                </pic:pic>
              </a:graphicData>
            </a:graphic>
          </wp:inline>
        </w:drawing>
      </w:r>
    </w:p>
    <w:p w:rsidR="00F93B76" w:rsidRPr="00A32AF4" w:rsidRDefault="00F93B76" w:rsidP="00DC0553">
      <w:pPr>
        <w:rPr>
          <w:rFonts w:cs="Arial"/>
        </w:rPr>
      </w:pPr>
    </w:p>
    <w:p w:rsidR="00F93B76" w:rsidRPr="00A32AF4" w:rsidRDefault="009600B2" w:rsidP="00DC0553">
      <w:pPr>
        <w:numPr>
          <w:ilvl w:val="0"/>
          <w:numId w:val="41"/>
        </w:numPr>
        <w:tabs>
          <w:tab w:val="clear" w:pos="720"/>
        </w:tabs>
        <w:spacing w:after="120"/>
        <w:ind w:left="1134" w:hanging="567"/>
        <w:jc w:val="both"/>
        <w:rPr>
          <w:rFonts w:cs="Arial"/>
        </w:rPr>
      </w:pPr>
      <w:r w:rsidRPr="00A32AF4">
        <w:rPr>
          <w:rFonts w:cs="Arial"/>
        </w:rPr>
        <w:t>En 2014, la charge de travail globale est restée stable par rapport à 2013.  Les demandes, les décisions et les modifications ont représenté près de 80% de la charge de travail globale.</w:t>
      </w:r>
    </w:p>
    <w:p w:rsidR="00F93B76" w:rsidRPr="00A32AF4" w:rsidRDefault="009600B2" w:rsidP="00DC0553">
      <w:pPr>
        <w:numPr>
          <w:ilvl w:val="0"/>
          <w:numId w:val="41"/>
        </w:numPr>
        <w:tabs>
          <w:tab w:val="clear" w:pos="720"/>
        </w:tabs>
        <w:spacing w:after="120"/>
        <w:ind w:left="1134" w:hanging="567"/>
        <w:jc w:val="both"/>
        <w:rPr>
          <w:rFonts w:cs="Arial"/>
        </w:rPr>
      </w:pPr>
      <w:r w:rsidRPr="00A32AF4">
        <w:rPr>
          <w:rFonts w:cs="Arial"/>
        </w:rPr>
        <w:t>De 2011 à 2013, la charge de travail globale a fortement augmenté, principalement en raison de la hausse du nombre de décisions.</w:t>
      </w:r>
    </w:p>
    <w:p w:rsidR="00F93B76" w:rsidRPr="00A32AF4" w:rsidRDefault="00F93B76" w:rsidP="00DC0553">
      <w:pPr>
        <w:rPr>
          <w:rFonts w:cs="Arial"/>
        </w:rPr>
      </w:pPr>
    </w:p>
    <w:p w:rsidR="00F93B76" w:rsidRPr="00A32AF4" w:rsidRDefault="00F93B76" w:rsidP="00DC0553">
      <w:pPr>
        <w:rPr>
          <w:rFonts w:cs="Arial"/>
        </w:rPr>
      </w:pPr>
    </w:p>
    <w:p w:rsidR="00F93B76" w:rsidRPr="00A32AF4" w:rsidRDefault="009600B2" w:rsidP="00DC0553">
      <w:pPr>
        <w:pStyle w:val="ListParagraph"/>
        <w:keepNext/>
        <w:keepLines/>
        <w:numPr>
          <w:ilvl w:val="0"/>
          <w:numId w:val="40"/>
        </w:numPr>
        <w:spacing w:after="0" w:line="240" w:lineRule="auto"/>
        <w:ind w:left="567" w:hanging="567"/>
        <w:jc w:val="both"/>
        <w:rPr>
          <w:rFonts w:ascii="Arial" w:hAnsi="Arial" w:cs="Arial"/>
          <w:b/>
          <w:szCs w:val="20"/>
        </w:rPr>
      </w:pPr>
      <w:r w:rsidRPr="00A32AF4">
        <w:rPr>
          <w:rFonts w:ascii="Arial" w:hAnsi="Arial" w:cs="Arial"/>
          <w:b/>
          <w:szCs w:val="20"/>
        </w:rPr>
        <w:t>Mode de transmission des documents reçus</w:t>
      </w:r>
    </w:p>
    <w:p w:rsidR="00F93B76" w:rsidRPr="00A32AF4" w:rsidRDefault="00F93B76" w:rsidP="00DC0553">
      <w:pPr>
        <w:keepNext/>
        <w:keepLines/>
        <w:jc w:val="both"/>
        <w:rPr>
          <w:rFonts w:cs="Arial"/>
          <w:b/>
        </w:rPr>
      </w:pPr>
    </w:p>
    <w:p w:rsidR="00F93B76" w:rsidRPr="00A32AF4" w:rsidRDefault="009600B2" w:rsidP="00DC0553">
      <w:pPr>
        <w:keepNext/>
        <w:keepLines/>
        <w:jc w:val="center"/>
        <w:rPr>
          <w:rFonts w:cs="Arial"/>
        </w:rPr>
      </w:pPr>
      <w:r w:rsidRPr="00A32AF4">
        <w:rPr>
          <w:rFonts w:cs="Arial"/>
          <w:noProof/>
          <w:lang w:eastAsia="fr-FR"/>
        </w:rPr>
        <w:drawing>
          <wp:inline distT="0" distB="0" distL="0" distR="0" wp14:anchorId="69109AB5" wp14:editId="3D0BF03D">
            <wp:extent cx="5760000" cy="2723287"/>
            <wp:effectExtent l="0" t="0" r="0" b="127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6" cstate="print">
                      <a:extLst>
                        <a:ext uri="{28A0092B-C50C-407E-A947-70E740481C1C}">
                          <a14:useLocalDpi xmlns:a14="http://schemas.microsoft.com/office/drawing/2010/main" val="0"/>
                        </a:ext>
                      </a:extLst>
                    </a:blip>
                    <a:srcRect/>
                    <a:stretch>
                      <a:fillRect/>
                    </a:stretch>
                  </pic:blipFill>
                  <pic:spPr bwMode="auto">
                    <a:xfrm>
                      <a:off x="0" y="0"/>
                      <a:ext cx="5760000" cy="2723287"/>
                    </a:xfrm>
                    <a:prstGeom prst="rect">
                      <a:avLst/>
                    </a:prstGeom>
                    <a:noFill/>
                    <a:ln>
                      <a:noFill/>
                    </a:ln>
                  </pic:spPr>
                </pic:pic>
              </a:graphicData>
            </a:graphic>
          </wp:inline>
        </w:drawing>
      </w:r>
    </w:p>
    <w:p w:rsidR="00F93B76" w:rsidRPr="00A32AF4" w:rsidRDefault="00F93B76" w:rsidP="00DC0553">
      <w:pPr>
        <w:rPr>
          <w:rFonts w:cs="Arial"/>
        </w:rPr>
      </w:pPr>
    </w:p>
    <w:p w:rsidR="00F93B76" w:rsidRPr="00A32AF4" w:rsidRDefault="009600B2" w:rsidP="00DC0553">
      <w:pPr>
        <w:numPr>
          <w:ilvl w:val="0"/>
          <w:numId w:val="41"/>
        </w:numPr>
        <w:tabs>
          <w:tab w:val="clear" w:pos="720"/>
        </w:tabs>
        <w:spacing w:after="120"/>
        <w:ind w:left="1134" w:hanging="567"/>
        <w:jc w:val="both"/>
        <w:rPr>
          <w:rFonts w:cs="Arial"/>
        </w:rPr>
      </w:pPr>
      <w:r w:rsidRPr="00A32AF4">
        <w:rPr>
          <w:rFonts w:cs="Arial"/>
        </w:rPr>
        <w:t>En 2014, 66% des documents reçus ont été transmis au Bureau international par voie électronique.</w:t>
      </w:r>
    </w:p>
    <w:p w:rsidR="00F93B76" w:rsidRPr="00A32AF4" w:rsidRDefault="009600B2" w:rsidP="00DC0553">
      <w:pPr>
        <w:pStyle w:val="ListParagraph"/>
        <w:numPr>
          <w:ilvl w:val="0"/>
          <w:numId w:val="43"/>
        </w:numPr>
        <w:spacing w:after="0" w:line="240" w:lineRule="auto"/>
        <w:ind w:left="1134" w:hanging="567"/>
        <w:jc w:val="both"/>
        <w:rPr>
          <w:rFonts w:ascii="Arial" w:hAnsi="Arial" w:cs="Arial"/>
          <w:szCs w:val="20"/>
        </w:rPr>
      </w:pPr>
      <w:r w:rsidRPr="00A32AF4">
        <w:rPr>
          <w:rFonts w:ascii="Arial" w:hAnsi="Arial" w:cs="Arial"/>
          <w:szCs w:val="20"/>
        </w:rPr>
        <w:t>La proportion des documents transmis par voie électronique est restée stable depuis 2012.</w:t>
      </w:r>
    </w:p>
    <w:p w:rsidR="00F93B76" w:rsidRPr="00A32AF4" w:rsidRDefault="00F93B76" w:rsidP="00DC0553">
      <w:pPr>
        <w:tabs>
          <w:tab w:val="num" w:pos="993"/>
        </w:tabs>
        <w:jc w:val="both"/>
        <w:rPr>
          <w:rFonts w:cs="Arial"/>
        </w:rPr>
      </w:pPr>
    </w:p>
    <w:p w:rsidR="00F93B76" w:rsidRPr="00A32AF4" w:rsidRDefault="00F93B76" w:rsidP="00DC0553">
      <w:pPr>
        <w:tabs>
          <w:tab w:val="num" w:pos="993"/>
        </w:tabs>
        <w:jc w:val="both"/>
        <w:rPr>
          <w:rFonts w:cs="Arial"/>
        </w:rPr>
      </w:pPr>
    </w:p>
    <w:p w:rsidR="00F93B76" w:rsidRPr="00A32AF4" w:rsidRDefault="009600B2" w:rsidP="00DC0553">
      <w:pPr>
        <w:pStyle w:val="ListParagraph"/>
        <w:keepNext/>
        <w:keepLines/>
        <w:numPr>
          <w:ilvl w:val="0"/>
          <w:numId w:val="40"/>
        </w:numPr>
        <w:spacing w:after="0" w:line="240" w:lineRule="auto"/>
        <w:ind w:left="567" w:hanging="567"/>
        <w:jc w:val="both"/>
        <w:rPr>
          <w:rFonts w:ascii="Arial" w:hAnsi="Arial" w:cs="Arial"/>
          <w:b/>
          <w:szCs w:val="20"/>
        </w:rPr>
      </w:pPr>
      <w:r w:rsidRPr="00A32AF4">
        <w:rPr>
          <w:rFonts w:ascii="Arial" w:hAnsi="Arial" w:cs="Arial"/>
          <w:b/>
          <w:szCs w:val="20"/>
        </w:rPr>
        <w:t>Traitement</w:t>
      </w:r>
    </w:p>
    <w:p w:rsidR="00F93B76" w:rsidRPr="00A32AF4" w:rsidRDefault="00F93B76" w:rsidP="00DC0553">
      <w:pPr>
        <w:keepNext/>
        <w:keepLines/>
        <w:jc w:val="both"/>
        <w:rPr>
          <w:rFonts w:cs="Arial"/>
        </w:rPr>
      </w:pPr>
    </w:p>
    <w:p w:rsidR="00F93B76" w:rsidRPr="00A32AF4" w:rsidRDefault="009600B2" w:rsidP="00DC0553">
      <w:pPr>
        <w:pStyle w:val="ListParagraph"/>
        <w:ind w:left="0"/>
        <w:jc w:val="both"/>
        <w:rPr>
          <w:rFonts w:ascii="Arial" w:hAnsi="Arial" w:cs="Arial"/>
          <w:u w:val="single"/>
        </w:rPr>
      </w:pPr>
      <w:r w:rsidRPr="00A32AF4">
        <w:rPr>
          <w:rFonts w:ascii="Arial" w:hAnsi="Arial" w:cs="Arial"/>
          <w:u w:val="single"/>
        </w:rPr>
        <w:t>Coût de production total</w:t>
      </w:r>
    </w:p>
    <w:p w:rsidR="00F93B76" w:rsidRPr="00A32AF4" w:rsidRDefault="00F93B76" w:rsidP="00DC0553">
      <w:pPr>
        <w:pStyle w:val="ListParagraph"/>
        <w:ind w:left="0"/>
        <w:jc w:val="both"/>
        <w:rPr>
          <w:rFonts w:ascii="Arial" w:hAnsi="Arial" w:cs="Arial"/>
        </w:rPr>
      </w:pPr>
    </w:p>
    <w:p w:rsidR="00F93B76" w:rsidRPr="00A32AF4" w:rsidRDefault="009600B2" w:rsidP="00DC0553">
      <w:pPr>
        <w:pStyle w:val="ListParagraph"/>
        <w:numPr>
          <w:ilvl w:val="0"/>
          <w:numId w:val="47"/>
        </w:numPr>
        <w:tabs>
          <w:tab w:val="left" w:pos="567"/>
        </w:tabs>
        <w:spacing w:after="0" w:line="240" w:lineRule="auto"/>
        <w:ind w:left="0" w:firstLine="0"/>
        <w:jc w:val="both"/>
        <w:rPr>
          <w:rFonts w:ascii="Arial" w:hAnsi="Arial" w:cs="Arial"/>
          <w:szCs w:val="20"/>
        </w:rPr>
      </w:pPr>
      <w:r w:rsidRPr="00A32AF4">
        <w:rPr>
          <w:rFonts w:ascii="Arial" w:hAnsi="Arial" w:cs="Arial"/>
          <w:szCs w:val="20"/>
        </w:rPr>
        <w:t>Les coûts constituant le coût de production total peuvent être directs ou indirects.  Les coûts directs tiennent compte des dépenses supportées par le Bureau international dans le cadre de l</w:t>
      </w:r>
      <w:r w:rsidR="00E2055A" w:rsidRPr="00A32AF4">
        <w:rPr>
          <w:rFonts w:ascii="Arial" w:hAnsi="Arial" w:cs="Arial"/>
          <w:szCs w:val="20"/>
        </w:rPr>
        <w:t>’</w:t>
      </w:r>
      <w:r w:rsidRPr="00A32AF4">
        <w:rPr>
          <w:rFonts w:ascii="Arial" w:hAnsi="Arial" w:cs="Arial"/>
          <w:szCs w:val="20"/>
        </w:rPr>
        <w:t>administration du système de Madrid (tels que la gestion, la traduction et l</w:t>
      </w:r>
      <w:r w:rsidR="00E2055A" w:rsidRPr="00A32AF4">
        <w:rPr>
          <w:rFonts w:ascii="Arial" w:hAnsi="Arial" w:cs="Arial"/>
          <w:szCs w:val="20"/>
        </w:rPr>
        <w:t>’</w:t>
      </w:r>
      <w:r w:rsidRPr="00A32AF4">
        <w:rPr>
          <w:rFonts w:ascii="Arial" w:hAnsi="Arial" w:cs="Arial"/>
          <w:szCs w:val="20"/>
        </w:rPr>
        <w:t>enregistrement).  Les coûts indirects tiennent compte des dépenses relatives aux activités d</w:t>
      </w:r>
      <w:r w:rsidR="00E2055A" w:rsidRPr="00A32AF4">
        <w:rPr>
          <w:rFonts w:ascii="Arial" w:hAnsi="Arial" w:cs="Arial"/>
          <w:szCs w:val="20"/>
        </w:rPr>
        <w:t>’</w:t>
      </w:r>
      <w:r w:rsidRPr="00A32AF4">
        <w:rPr>
          <w:rFonts w:ascii="Arial" w:hAnsi="Arial" w:cs="Arial"/>
          <w:szCs w:val="20"/>
        </w:rPr>
        <w:t>appui (telles que la gestion des bâtiments et les technologies de l</w:t>
      </w:r>
      <w:r w:rsidR="00E2055A" w:rsidRPr="00A32AF4">
        <w:rPr>
          <w:rFonts w:ascii="Arial" w:hAnsi="Arial" w:cs="Arial"/>
          <w:szCs w:val="20"/>
        </w:rPr>
        <w:t>’</w:t>
      </w:r>
      <w:r w:rsidRPr="00A32AF4">
        <w:rPr>
          <w:rFonts w:ascii="Arial" w:hAnsi="Arial" w:cs="Arial"/>
          <w:szCs w:val="20"/>
        </w:rPr>
        <w:t>information).  Les coûts indirects sont pondérés pour ne prendre en compte que la part imputable au système de Madrid.</w:t>
      </w:r>
    </w:p>
    <w:p w:rsidR="00F93B76" w:rsidRPr="00A32AF4" w:rsidRDefault="00F93B76" w:rsidP="00DC0553">
      <w:pPr>
        <w:pStyle w:val="ListParagraph"/>
        <w:tabs>
          <w:tab w:val="left" w:pos="567"/>
        </w:tabs>
        <w:ind w:left="0"/>
        <w:jc w:val="both"/>
        <w:rPr>
          <w:rFonts w:ascii="Arial" w:hAnsi="Arial" w:cs="Arial"/>
          <w:szCs w:val="20"/>
        </w:rPr>
      </w:pPr>
    </w:p>
    <w:p w:rsidR="00F93B76" w:rsidRPr="00A32AF4" w:rsidRDefault="009600B2" w:rsidP="00DC0553">
      <w:pPr>
        <w:jc w:val="center"/>
        <w:rPr>
          <w:rFonts w:cs="Arial"/>
        </w:rPr>
      </w:pPr>
      <w:r w:rsidRPr="00A32AF4">
        <w:rPr>
          <w:rFonts w:cs="Arial"/>
          <w:noProof/>
          <w:lang w:eastAsia="fr-FR"/>
        </w:rPr>
        <w:drawing>
          <wp:inline distT="0" distB="0" distL="0" distR="0" wp14:anchorId="0E0C2FE0" wp14:editId="04956471">
            <wp:extent cx="5760000" cy="3246713"/>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7" cstate="print">
                      <a:extLst>
                        <a:ext uri="{28A0092B-C50C-407E-A947-70E740481C1C}">
                          <a14:useLocalDpi xmlns:a14="http://schemas.microsoft.com/office/drawing/2010/main" val="0"/>
                        </a:ext>
                      </a:extLst>
                    </a:blip>
                    <a:srcRect/>
                    <a:stretch>
                      <a:fillRect/>
                    </a:stretch>
                  </pic:blipFill>
                  <pic:spPr bwMode="auto">
                    <a:xfrm>
                      <a:off x="0" y="0"/>
                      <a:ext cx="5760000" cy="3246713"/>
                    </a:xfrm>
                    <a:prstGeom prst="rect">
                      <a:avLst/>
                    </a:prstGeom>
                    <a:noFill/>
                    <a:ln>
                      <a:noFill/>
                    </a:ln>
                  </pic:spPr>
                </pic:pic>
              </a:graphicData>
            </a:graphic>
          </wp:inline>
        </w:drawing>
      </w:r>
    </w:p>
    <w:p w:rsidR="00F93B76" w:rsidRPr="00A32AF4" w:rsidRDefault="00F93B76" w:rsidP="00DC0553">
      <w:pPr>
        <w:jc w:val="both"/>
        <w:rPr>
          <w:rFonts w:cs="Arial"/>
        </w:rPr>
      </w:pPr>
    </w:p>
    <w:p w:rsidR="00F93B76" w:rsidRPr="00A32AF4" w:rsidRDefault="009600B2" w:rsidP="00DC0553">
      <w:pPr>
        <w:pStyle w:val="ListParagraph"/>
        <w:numPr>
          <w:ilvl w:val="0"/>
          <w:numId w:val="44"/>
        </w:numPr>
        <w:spacing w:after="0" w:line="240" w:lineRule="auto"/>
        <w:ind w:left="1134" w:hanging="567"/>
        <w:jc w:val="both"/>
        <w:rPr>
          <w:rFonts w:ascii="Arial" w:hAnsi="Arial" w:cs="Arial"/>
          <w:szCs w:val="20"/>
        </w:rPr>
      </w:pPr>
      <w:r w:rsidRPr="00A32AF4">
        <w:rPr>
          <w:rFonts w:ascii="Arial" w:hAnsi="Arial" w:cs="Arial"/>
          <w:szCs w:val="20"/>
        </w:rPr>
        <w:t>Le coût de production total est estimé à 41,8 millions de francs suisses pour 2014.  Cela représente une légère hausse de 0,1% par rapport à 2013.</w:t>
      </w:r>
    </w:p>
    <w:p w:rsidR="00F93B76" w:rsidRPr="00A32AF4" w:rsidRDefault="00F93B76" w:rsidP="00DC0553">
      <w:pPr>
        <w:jc w:val="both"/>
        <w:rPr>
          <w:rFonts w:cs="Arial"/>
        </w:rPr>
      </w:pPr>
    </w:p>
    <w:p w:rsidR="00F93B76" w:rsidRPr="00A32AF4" w:rsidRDefault="009600B2" w:rsidP="00DC0553">
      <w:pPr>
        <w:pStyle w:val="ListParagraph"/>
        <w:numPr>
          <w:ilvl w:val="0"/>
          <w:numId w:val="44"/>
        </w:numPr>
        <w:spacing w:after="0" w:line="240" w:lineRule="auto"/>
        <w:ind w:left="1134" w:hanging="567"/>
        <w:jc w:val="both"/>
        <w:rPr>
          <w:rFonts w:ascii="Arial" w:hAnsi="Arial" w:cs="Arial"/>
          <w:szCs w:val="20"/>
        </w:rPr>
      </w:pPr>
      <w:r w:rsidRPr="00A32AF4">
        <w:rPr>
          <w:rFonts w:ascii="Arial" w:hAnsi="Arial" w:cs="Arial"/>
          <w:szCs w:val="20"/>
        </w:rPr>
        <w:t>En 2014, les coûts directs ont représenté 61% du total des coûts.</w:t>
      </w:r>
    </w:p>
    <w:p w:rsidR="00F93B76" w:rsidRPr="00A32AF4" w:rsidRDefault="00F93B76" w:rsidP="00DC0553">
      <w:pPr>
        <w:jc w:val="both"/>
        <w:rPr>
          <w:rFonts w:cs="Arial"/>
        </w:rPr>
      </w:pPr>
    </w:p>
    <w:p w:rsidR="00F93B76" w:rsidRPr="00A32AF4" w:rsidRDefault="00F93B76" w:rsidP="00DC0553">
      <w:pPr>
        <w:jc w:val="both"/>
        <w:rPr>
          <w:rFonts w:cs="Arial"/>
        </w:rPr>
      </w:pPr>
    </w:p>
    <w:p w:rsidR="00F93B76" w:rsidRPr="00A32AF4" w:rsidRDefault="009600B2" w:rsidP="00DC0553">
      <w:pPr>
        <w:pStyle w:val="ListParagraph"/>
        <w:ind w:left="0"/>
        <w:jc w:val="both"/>
        <w:rPr>
          <w:rFonts w:ascii="Arial" w:hAnsi="Arial" w:cs="Arial"/>
          <w:u w:val="single"/>
        </w:rPr>
      </w:pPr>
      <w:r w:rsidRPr="00A32AF4">
        <w:rPr>
          <w:rFonts w:ascii="Arial" w:hAnsi="Arial" w:cs="Arial"/>
          <w:u w:val="single"/>
        </w:rPr>
        <w:t>Coût unitaire</w:t>
      </w:r>
    </w:p>
    <w:p w:rsidR="00F93B76" w:rsidRPr="00A32AF4" w:rsidRDefault="00F93B76" w:rsidP="00DC0553">
      <w:pPr>
        <w:jc w:val="both"/>
        <w:rPr>
          <w:rFonts w:cs="Arial"/>
        </w:rPr>
      </w:pPr>
    </w:p>
    <w:p w:rsidR="00F93B76" w:rsidRPr="00A32AF4" w:rsidRDefault="009600B2" w:rsidP="00DC0553">
      <w:pPr>
        <w:pStyle w:val="ListParagraph"/>
        <w:numPr>
          <w:ilvl w:val="0"/>
          <w:numId w:val="47"/>
        </w:numPr>
        <w:tabs>
          <w:tab w:val="left" w:pos="567"/>
        </w:tabs>
        <w:spacing w:after="0" w:line="240" w:lineRule="auto"/>
        <w:ind w:left="0" w:firstLine="0"/>
        <w:jc w:val="both"/>
        <w:rPr>
          <w:rFonts w:ascii="Arial" w:hAnsi="Arial" w:cs="Arial"/>
          <w:szCs w:val="20"/>
        </w:rPr>
      </w:pPr>
      <w:r w:rsidRPr="00A32AF4">
        <w:rPr>
          <w:rFonts w:ascii="Arial" w:hAnsi="Arial" w:cs="Arial"/>
          <w:szCs w:val="20"/>
        </w:rPr>
        <w:t>L</w:t>
      </w:r>
      <w:r w:rsidR="00E2055A" w:rsidRPr="00A32AF4">
        <w:rPr>
          <w:rFonts w:ascii="Arial" w:hAnsi="Arial" w:cs="Arial"/>
          <w:szCs w:val="20"/>
        </w:rPr>
        <w:t>’</w:t>
      </w:r>
      <w:r w:rsidRPr="00A32AF4">
        <w:rPr>
          <w:rFonts w:ascii="Arial" w:hAnsi="Arial" w:cs="Arial"/>
          <w:szCs w:val="20"/>
        </w:rPr>
        <w:t>efficacité du Bureau international dans le traitement des opérations peut être mesurée à l</w:t>
      </w:r>
      <w:r w:rsidR="00E2055A" w:rsidRPr="00A32AF4">
        <w:rPr>
          <w:rFonts w:ascii="Arial" w:hAnsi="Arial" w:cs="Arial"/>
          <w:szCs w:val="20"/>
        </w:rPr>
        <w:t>’</w:t>
      </w:r>
      <w:r w:rsidRPr="00A32AF4">
        <w:rPr>
          <w:rFonts w:ascii="Arial" w:hAnsi="Arial" w:cs="Arial"/>
          <w:szCs w:val="20"/>
        </w:rPr>
        <w:t>aide du coût unitaire, défini comme le coût moyen d</w:t>
      </w:r>
      <w:r w:rsidR="00E2055A" w:rsidRPr="00A32AF4">
        <w:rPr>
          <w:rFonts w:ascii="Arial" w:hAnsi="Arial" w:cs="Arial"/>
          <w:szCs w:val="20"/>
        </w:rPr>
        <w:t>’</w:t>
      </w:r>
      <w:r w:rsidRPr="00A32AF4">
        <w:rPr>
          <w:rFonts w:ascii="Arial" w:hAnsi="Arial" w:cs="Arial"/>
          <w:szCs w:val="20"/>
        </w:rPr>
        <w:t>une unité produite.</w:t>
      </w:r>
    </w:p>
    <w:p w:rsidR="00F93B76" w:rsidRPr="00A32AF4" w:rsidRDefault="00F93B76" w:rsidP="00DC0553">
      <w:pPr>
        <w:pStyle w:val="ListParagraph"/>
        <w:tabs>
          <w:tab w:val="left" w:pos="567"/>
        </w:tabs>
        <w:ind w:left="0"/>
        <w:jc w:val="both"/>
        <w:rPr>
          <w:rFonts w:ascii="Arial" w:hAnsi="Arial" w:cs="Arial"/>
          <w:szCs w:val="20"/>
        </w:rPr>
      </w:pPr>
    </w:p>
    <w:p w:rsidR="00F93B76" w:rsidRPr="00A32AF4" w:rsidRDefault="009600B2" w:rsidP="00DC0553">
      <w:pPr>
        <w:pStyle w:val="ListParagraph"/>
        <w:numPr>
          <w:ilvl w:val="0"/>
          <w:numId w:val="47"/>
        </w:numPr>
        <w:tabs>
          <w:tab w:val="left" w:pos="567"/>
        </w:tabs>
        <w:spacing w:after="0" w:line="240" w:lineRule="auto"/>
        <w:ind w:left="0" w:firstLine="0"/>
        <w:jc w:val="both"/>
        <w:rPr>
          <w:rFonts w:ascii="Arial" w:hAnsi="Arial" w:cs="Arial"/>
          <w:szCs w:val="20"/>
        </w:rPr>
      </w:pPr>
      <w:r w:rsidRPr="00A32AF4">
        <w:rPr>
          <w:rFonts w:ascii="Arial" w:hAnsi="Arial" w:cs="Arial"/>
          <w:szCs w:val="20"/>
        </w:rPr>
        <w:t>Étant donné que le Bureau international est chargé d</w:t>
      </w:r>
      <w:r w:rsidR="00E2055A" w:rsidRPr="00A32AF4">
        <w:rPr>
          <w:rFonts w:ascii="Arial" w:hAnsi="Arial" w:cs="Arial"/>
          <w:szCs w:val="20"/>
        </w:rPr>
        <w:t>’</w:t>
      </w:r>
      <w:r w:rsidRPr="00A32AF4">
        <w:rPr>
          <w:rFonts w:ascii="Arial" w:hAnsi="Arial" w:cs="Arial"/>
          <w:szCs w:val="20"/>
        </w:rPr>
        <w:t>enregistrer de nouvelles demandes et de maintenir les enregistrements existants, il convient d</w:t>
      </w:r>
      <w:r w:rsidR="00E2055A" w:rsidRPr="00A32AF4">
        <w:rPr>
          <w:rFonts w:ascii="Arial" w:hAnsi="Arial" w:cs="Arial"/>
          <w:szCs w:val="20"/>
        </w:rPr>
        <w:t>’</w:t>
      </w:r>
      <w:r w:rsidRPr="00A32AF4">
        <w:rPr>
          <w:rFonts w:ascii="Arial" w:hAnsi="Arial" w:cs="Arial"/>
          <w:szCs w:val="20"/>
        </w:rPr>
        <w:t>utiliser une unité de production qui comprend un ensemble d</w:t>
      </w:r>
      <w:r w:rsidR="00E2055A" w:rsidRPr="00A32AF4">
        <w:rPr>
          <w:rFonts w:ascii="Arial" w:hAnsi="Arial" w:cs="Arial"/>
          <w:szCs w:val="20"/>
        </w:rPr>
        <w:t>’</w:t>
      </w:r>
      <w:r w:rsidRPr="00A32AF4">
        <w:rPr>
          <w:rFonts w:ascii="Arial" w:hAnsi="Arial" w:cs="Arial"/>
          <w:szCs w:val="20"/>
        </w:rPr>
        <w:t>opérations.  Deux indicateurs de coût unitaire sont présentés ci</w:t>
      </w:r>
      <w:r w:rsidR="00EB7F54" w:rsidRPr="00A32AF4">
        <w:rPr>
          <w:rFonts w:ascii="Arial" w:hAnsi="Arial" w:cs="Arial"/>
          <w:szCs w:val="20"/>
        </w:rPr>
        <w:noBreakHyphen/>
      </w:r>
      <w:r w:rsidRPr="00A32AF4">
        <w:rPr>
          <w:rFonts w:ascii="Arial" w:hAnsi="Arial" w:cs="Arial"/>
          <w:szCs w:val="20"/>
        </w:rPr>
        <w:t>dessous, déterminés en fonction de deux unités de production différentes.</w:t>
      </w:r>
    </w:p>
    <w:p w:rsidR="00F93B76" w:rsidRPr="00A32AF4" w:rsidRDefault="00F93B76" w:rsidP="00DC0553">
      <w:pPr>
        <w:pStyle w:val="ListParagraph"/>
        <w:tabs>
          <w:tab w:val="left" w:pos="567"/>
        </w:tabs>
        <w:ind w:left="0"/>
        <w:jc w:val="both"/>
        <w:rPr>
          <w:rFonts w:ascii="Arial" w:hAnsi="Arial" w:cs="Arial"/>
          <w:szCs w:val="20"/>
        </w:rPr>
      </w:pPr>
    </w:p>
    <w:p w:rsidR="00F93B76" w:rsidRPr="00A32AF4" w:rsidRDefault="009600B2" w:rsidP="00DC0553">
      <w:pPr>
        <w:pStyle w:val="ListParagraph"/>
        <w:numPr>
          <w:ilvl w:val="0"/>
          <w:numId w:val="47"/>
        </w:numPr>
        <w:tabs>
          <w:tab w:val="left" w:pos="567"/>
        </w:tabs>
        <w:spacing w:after="0" w:line="240" w:lineRule="auto"/>
        <w:ind w:left="0" w:firstLine="0"/>
        <w:jc w:val="both"/>
        <w:rPr>
          <w:rFonts w:ascii="Arial" w:hAnsi="Arial" w:cs="Arial"/>
          <w:szCs w:val="20"/>
        </w:rPr>
      </w:pPr>
      <w:r w:rsidRPr="00A32AF4">
        <w:rPr>
          <w:rFonts w:ascii="Arial" w:hAnsi="Arial" w:cs="Arial"/>
          <w:szCs w:val="20"/>
        </w:rPr>
        <w:t>Dans le cadre des efforts déployés par le Bureau international afin de constamment perfectionner la méthode de calcul des coûts unitaires, celle</w:t>
      </w:r>
      <w:r w:rsidR="00EB7F54" w:rsidRPr="00A32AF4">
        <w:rPr>
          <w:rFonts w:ascii="Arial" w:hAnsi="Arial" w:cs="Arial"/>
          <w:szCs w:val="20"/>
        </w:rPr>
        <w:noBreakHyphen/>
      </w:r>
      <w:r w:rsidRPr="00A32AF4">
        <w:rPr>
          <w:rFonts w:ascii="Arial" w:hAnsi="Arial" w:cs="Arial"/>
          <w:szCs w:val="20"/>
        </w:rPr>
        <w:t>ci a été révisée dans le programme et budget pour 2016</w:t>
      </w:r>
      <w:r w:rsidR="00EB7F54" w:rsidRPr="00A32AF4">
        <w:rPr>
          <w:rFonts w:ascii="Arial" w:hAnsi="Arial" w:cs="Arial"/>
          <w:szCs w:val="20"/>
        </w:rPr>
        <w:noBreakHyphen/>
      </w:r>
      <w:r w:rsidRPr="00A32AF4">
        <w:rPr>
          <w:rFonts w:ascii="Arial" w:hAnsi="Arial" w:cs="Arial"/>
          <w:szCs w:val="20"/>
        </w:rPr>
        <w:t>2017 afin de mieux prendre en considération le coût du traitement de la charge de travail effectuée dans le cadre du système de Madrid par le Bureau international :</w:t>
      </w:r>
    </w:p>
    <w:p w:rsidR="00F93B76" w:rsidRPr="00A32AF4" w:rsidRDefault="00F93B76" w:rsidP="00DC0553">
      <w:pPr>
        <w:pStyle w:val="ListParagraph"/>
        <w:tabs>
          <w:tab w:val="left" w:pos="567"/>
        </w:tabs>
        <w:ind w:left="0"/>
        <w:jc w:val="both"/>
        <w:rPr>
          <w:rFonts w:ascii="Arial" w:hAnsi="Arial" w:cs="Arial"/>
          <w:szCs w:val="20"/>
        </w:rPr>
      </w:pPr>
    </w:p>
    <w:p w:rsidR="00F93B76" w:rsidRPr="00A32AF4" w:rsidRDefault="009600B2" w:rsidP="00DC0553">
      <w:pPr>
        <w:pStyle w:val="ListParagraph"/>
        <w:numPr>
          <w:ilvl w:val="0"/>
          <w:numId w:val="42"/>
        </w:numPr>
        <w:spacing w:after="0" w:line="240" w:lineRule="auto"/>
        <w:ind w:left="1134" w:hanging="567"/>
        <w:jc w:val="both"/>
        <w:rPr>
          <w:rFonts w:ascii="Arial" w:hAnsi="Arial" w:cs="Arial"/>
          <w:szCs w:val="20"/>
        </w:rPr>
      </w:pPr>
      <w:r w:rsidRPr="00A32AF4">
        <w:rPr>
          <w:rFonts w:ascii="Arial" w:hAnsi="Arial" w:cs="Arial"/>
          <w:szCs w:val="20"/>
        </w:rPr>
        <w:t xml:space="preserve">La méthode de calcul des coûts directs et indirects du système de Madrid a été alignée sur celles utilisées pour calculer les coûts unitaires des systèmes du PCT et de </w:t>
      </w:r>
      <w:r w:rsidR="00E2055A" w:rsidRPr="00A32AF4">
        <w:rPr>
          <w:rFonts w:ascii="Arial" w:hAnsi="Arial" w:cs="Arial"/>
          <w:szCs w:val="20"/>
        </w:rPr>
        <w:t>La Haye</w:t>
      </w:r>
      <w:r w:rsidRPr="00A32AF4">
        <w:rPr>
          <w:rFonts w:ascii="Arial" w:hAnsi="Arial" w:cs="Arial"/>
          <w:szCs w:val="20"/>
        </w:rPr>
        <w:t>.</w:t>
      </w:r>
    </w:p>
    <w:p w:rsidR="00F93B76" w:rsidRPr="00A32AF4" w:rsidRDefault="00F93B76" w:rsidP="00DC0553">
      <w:pPr>
        <w:pStyle w:val="ListParagraph"/>
        <w:ind w:left="1134" w:hanging="567"/>
        <w:jc w:val="both"/>
        <w:rPr>
          <w:rFonts w:ascii="Arial" w:hAnsi="Arial" w:cs="Arial"/>
          <w:szCs w:val="20"/>
        </w:rPr>
      </w:pPr>
    </w:p>
    <w:p w:rsidR="00F93B76" w:rsidRPr="00A32AF4" w:rsidRDefault="009600B2" w:rsidP="00DC0553">
      <w:pPr>
        <w:pStyle w:val="ListParagraph"/>
        <w:numPr>
          <w:ilvl w:val="0"/>
          <w:numId w:val="42"/>
        </w:numPr>
        <w:spacing w:after="0" w:line="240" w:lineRule="auto"/>
        <w:ind w:left="1134" w:hanging="567"/>
        <w:jc w:val="both"/>
        <w:rPr>
          <w:rFonts w:ascii="Arial" w:hAnsi="Arial" w:cs="Arial"/>
          <w:szCs w:val="20"/>
        </w:rPr>
      </w:pPr>
      <w:r w:rsidRPr="00A32AF4">
        <w:rPr>
          <w:rFonts w:ascii="Arial" w:hAnsi="Arial" w:cs="Arial"/>
          <w:szCs w:val="20"/>
        </w:rPr>
        <w:t>Un système de pondération a été mis en place afin d</w:t>
      </w:r>
      <w:r w:rsidR="00E2055A" w:rsidRPr="00A32AF4">
        <w:rPr>
          <w:rFonts w:ascii="Arial" w:hAnsi="Arial" w:cs="Arial"/>
          <w:szCs w:val="20"/>
        </w:rPr>
        <w:t>’</w:t>
      </w:r>
      <w:r w:rsidRPr="00A32AF4">
        <w:rPr>
          <w:rFonts w:ascii="Arial" w:hAnsi="Arial" w:cs="Arial"/>
          <w:szCs w:val="20"/>
        </w:rPr>
        <w:t>obtenir une meilleure approximation du travail réellement nécessaire au traitement des six catégories de documents, compte tenu du fait que certains parmi ces documents exigent plus de travail que d</w:t>
      </w:r>
      <w:r w:rsidR="00E2055A" w:rsidRPr="00A32AF4">
        <w:rPr>
          <w:rFonts w:ascii="Arial" w:hAnsi="Arial" w:cs="Arial"/>
          <w:szCs w:val="20"/>
        </w:rPr>
        <w:t>’</w:t>
      </w:r>
      <w:r w:rsidRPr="00A32AF4">
        <w:rPr>
          <w:rFonts w:ascii="Arial" w:hAnsi="Arial" w:cs="Arial"/>
          <w:szCs w:val="20"/>
        </w:rPr>
        <w:t>autres</w:t>
      </w:r>
      <w:r w:rsidRPr="00A32AF4">
        <w:rPr>
          <w:rStyle w:val="FootnoteReference"/>
          <w:rFonts w:ascii="Arial" w:hAnsi="Arial" w:cs="Arial"/>
          <w:szCs w:val="20"/>
        </w:rPr>
        <w:footnoteReference w:id="28"/>
      </w:r>
      <w:r w:rsidRPr="00A32AF4">
        <w:rPr>
          <w:rFonts w:ascii="Arial" w:hAnsi="Arial" w:cs="Arial"/>
          <w:szCs w:val="20"/>
        </w:rPr>
        <w:t>.</w:t>
      </w:r>
    </w:p>
    <w:p w:rsidR="00F93B76" w:rsidRPr="00A32AF4" w:rsidRDefault="00F93B76" w:rsidP="00DC0553">
      <w:pPr>
        <w:pStyle w:val="ListParagraph"/>
        <w:ind w:left="1134" w:hanging="567"/>
        <w:jc w:val="both"/>
        <w:rPr>
          <w:rFonts w:ascii="Arial" w:hAnsi="Arial" w:cs="Arial"/>
          <w:szCs w:val="20"/>
        </w:rPr>
      </w:pPr>
    </w:p>
    <w:p w:rsidR="00F93B76" w:rsidRPr="00A32AF4" w:rsidRDefault="009600B2" w:rsidP="00DC0553">
      <w:pPr>
        <w:pStyle w:val="ListParagraph"/>
        <w:numPr>
          <w:ilvl w:val="0"/>
          <w:numId w:val="42"/>
        </w:numPr>
        <w:spacing w:after="0" w:line="240" w:lineRule="auto"/>
        <w:ind w:left="1134" w:hanging="567"/>
        <w:jc w:val="both"/>
        <w:rPr>
          <w:rFonts w:ascii="Arial" w:hAnsi="Arial" w:cs="Arial"/>
          <w:szCs w:val="20"/>
        </w:rPr>
      </w:pPr>
      <w:r w:rsidRPr="00A32AF4">
        <w:rPr>
          <w:rFonts w:ascii="Arial" w:hAnsi="Arial" w:cs="Arial"/>
          <w:szCs w:val="20"/>
        </w:rPr>
        <w:t>Le premier coût unitaire a été redéfini pour tenir compte uniquement des nouvelles demandes internationales et renouvellements (le coût unitaire figurant dans le programme et budget pour 2014</w:t>
      </w:r>
      <w:r w:rsidR="00EB7F54" w:rsidRPr="00A32AF4">
        <w:rPr>
          <w:rFonts w:ascii="Arial" w:hAnsi="Arial" w:cs="Arial"/>
          <w:szCs w:val="20"/>
        </w:rPr>
        <w:noBreakHyphen/>
      </w:r>
      <w:r w:rsidR="00276F6E" w:rsidRPr="00A32AF4">
        <w:rPr>
          <w:rFonts w:ascii="Arial" w:hAnsi="Arial" w:cs="Arial"/>
          <w:szCs w:val="20"/>
        </w:rPr>
        <w:t>20</w:t>
      </w:r>
      <w:r w:rsidRPr="00A32AF4">
        <w:rPr>
          <w:rFonts w:ascii="Arial" w:hAnsi="Arial" w:cs="Arial"/>
          <w:szCs w:val="20"/>
        </w:rPr>
        <w:t>15 comprenait également les désignations postérieures).  La raison du retrait des désignations postérieures en tant que composante de ce coût unitaire est la volonté de mettre l</w:t>
      </w:r>
      <w:r w:rsidR="00E2055A" w:rsidRPr="00A32AF4">
        <w:rPr>
          <w:rFonts w:ascii="Arial" w:hAnsi="Arial" w:cs="Arial"/>
          <w:szCs w:val="20"/>
        </w:rPr>
        <w:t>’</w:t>
      </w:r>
      <w:r w:rsidRPr="00A32AF4">
        <w:rPr>
          <w:rFonts w:ascii="Arial" w:hAnsi="Arial" w:cs="Arial"/>
          <w:szCs w:val="20"/>
        </w:rPr>
        <w:t xml:space="preserve">accent sur les opérations essentielles du système de Madrid, </w:t>
      </w:r>
      <w:r w:rsidR="00E2055A" w:rsidRPr="00A32AF4">
        <w:rPr>
          <w:rFonts w:ascii="Arial" w:hAnsi="Arial" w:cs="Arial"/>
          <w:szCs w:val="20"/>
        </w:rPr>
        <w:t>à savoir</w:t>
      </w:r>
      <w:r w:rsidRPr="00A32AF4">
        <w:rPr>
          <w:rFonts w:ascii="Arial" w:hAnsi="Arial" w:cs="Arial"/>
          <w:szCs w:val="20"/>
        </w:rPr>
        <w:t xml:space="preserve"> les enregistrements internationaux et leur renouvellement.  Toutes les autres opérations effectuées dans le cadre du système de Madrid (les désignations postérieures, les modifications, les décisions et les corrections) peuvent être considérées comme étant secondaires à ces deux opérations essentielles.  En outre, il n</w:t>
      </w:r>
      <w:r w:rsidR="00E2055A" w:rsidRPr="00A32AF4">
        <w:rPr>
          <w:rFonts w:ascii="Arial" w:hAnsi="Arial" w:cs="Arial"/>
          <w:szCs w:val="20"/>
        </w:rPr>
        <w:t>’</w:t>
      </w:r>
      <w:r w:rsidRPr="00A32AF4">
        <w:rPr>
          <w:rFonts w:ascii="Arial" w:hAnsi="Arial" w:cs="Arial"/>
          <w:szCs w:val="20"/>
        </w:rPr>
        <w:t>existe pas de véritable justification pour inclure l</w:t>
      </w:r>
      <w:r w:rsidR="00E2055A" w:rsidRPr="00A32AF4">
        <w:rPr>
          <w:rFonts w:ascii="Arial" w:hAnsi="Arial" w:cs="Arial"/>
          <w:szCs w:val="20"/>
        </w:rPr>
        <w:t>’</w:t>
      </w:r>
      <w:r w:rsidRPr="00A32AF4">
        <w:rPr>
          <w:rFonts w:ascii="Arial" w:hAnsi="Arial" w:cs="Arial"/>
          <w:szCs w:val="20"/>
        </w:rPr>
        <w:t>une de ces opérations secondaires en tant qu</w:t>
      </w:r>
      <w:r w:rsidR="00E2055A" w:rsidRPr="00A32AF4">
        <w:rPr>
          <w:rFonts w:ascii="Arial" w:hAnsi="Arial" w:cs="Arial"/>
          <w:szCs w:val="20"/>
        </w:rPr>
        <w:t>’</w:t>
      </w:r>
      <w:r w:rsidRPr="00A32AF4">
        <w:rPr>
          <w:rFonts w:ascii="Arial" w:hAnsi="Arial" w:cs="Arial"/>
          <w:szCs w:val="20"/>
        </w:rPr>
        <w:t>élément du coût unitaire et non les autres.</w:t>
      </w:r>
    </w:p>
    <w:p w:rsidR="00F93B76" w:rsidRPr="00A32AF4" w:rsidRDefault="00F93B76" w:rsidP="00DC0553">
      <w:pPr>
        <w:pStyle w:val="ListParagraph"/>
        <w:ind w:left="1134" w:hanging="567"/>
        <w:rPr>
          <w:rFonts w:ascii="Arial" w:hAnsi="Arial" w:cs="Arial"/>
          <w:szCs w:val="20"/>
        </w:rPr>
      </w:pPr>
    </w:p>
    <w:p w:rsidR="00F93B76" w:rsidRPr="00A32AF4" w:rsidRDefault="009600B2" w:rsidP="00DC0553">
      <w:pPr>
        <w:pStyle w:val="ListParagraph"/>
        <w:numPr>
          <w:ilvl w:val="0"/>
          <w:numId w:val="42"/>
        </w:numPr>
        <w:spacing w:after="0" w:line="240" w:lineRule="auto"/>
        <w:ind w:left="1134" w:hanging="567"/>
        <w:jc w:val="both"/>
        <w:rPr>
          <w:rFonts w:ascii="Arial" w:hAnsi="Arial" w:cs="Arial"/>
          <w:szCs w:val="20"/>
        </w:rPr>
      </w:pPr>
      <w:r w:rsidRPr="00A32AF4">
        <w:rPr>
          <w:rFonts w:ascii="Arial" w:hAnsi="Arial" w:cs="Arial"/>
          <w:szCs w:val="20"/>
        </w:rPr>
        <w:t>Le second coût unitaire est fondé sur le nombre de documents inscrits au registre plutôt que sur le nombre des inscriptions, et ce, en raison des différents degrés d</w:t>
      </w:r>
      <w:r w:rsidR="00E2055A" w:rsidRPr="00A32AF4">
        <w:rPr>
          <w:rFonts w:ascii="Arial" w:hAnsi="Arial" w:cs="Arial"/>
          <w:szCs w:val="20"/>
        </w:rPr>
        <w:t>’</w:t>
      </w:r>
      <w:r w:rsidRPr="00A32AF4">
        <w:rPr>
          <w:rFonts w:ascii="Arial" w:hAnsi="Arial" w:cs="Arial"/>
          <w:szCs w:val="20"/>
        </w:rPr>
        <w:t>effort requis afin de traiter les différents documents.</w:t>
      </w:r>
    </w:p>
    <w:p w:rsidR="00F93B76" w:rsidRPr="00A32AF4" w:rsidRDefault="00F93B76" w:rsidP="00DC0553">
      <w:pPr>
        <w:jc w:val="both"/>
        <w:rPr>
          <w:rFonts w:cs="Arial"/>
        </w:rPr>
      </w:pPr>
    </w:p>
    <w:p w:rsidR="00F93B76" w:rsidRPr="00A32AF4" w:rsidRDefault="009600B2" w:rsidP="00DC0553">
      <w:pPr>
        <w:pStyle w:val="ListParagraph"/>
        <w:numPr>
          <w:ilvl w:val="0"/>
          <w:numId w:val="47"/>
        </w:numPr>
        <w:tabs>
          <w:tab w:val="left" w:pos="567"/>
        </w:tabs>
        <w:spacing w:after="0" w:line="240" w:lineRule="auto"/>
        <w:ind w:left="0" w:firstLine="0"/>
        <w:jc w:val="both"/>
        <w:rPr>
          <w:rFonts w:ascii="Arial" w:hAnsi="Arial" w:cs="Arial"/>
          <w:szCs w:val="20"/>
        </w:rPr>
      </w:pPr>
      <w:r w:rsidRPr="00A32AF4">
        <w:rPr>
          <w:rFonts w:ascii="Arial" w:hAnsi="Arial" w:cs="Arial"/>
          <w:szCs w:val="20"/>
        </w:rPr>
        <w:t>Afin de faciliter la comparaison, les graphiques ci</w:t>
      </w:r>
      <w:r w:rsidR="00EB7F54" w:rsidRPr="00A32AF4">
        <w:rPr>
          <w:rFonts w:ascii="Arial" w:hAnsi="Arial" w:cs="Arial"/>
          <w:szCs w:val="20"/>
        </w:rPr>
        <w:noBreakHyphen/>
      </w:r>
      <w:r w:rsidRPr="00A32AF4">
        <w:rPr>
          <w:rFonts w:ascii="Arial" w:hAnsi="Arial" w:cs="Arial"/>
          <w:szCs w:val="20"/>
        </w:rPr>
        <w:t>après montrent l</w:t>
      </w:r>
      <w:r w:rsidR="00E2055A" w:rsidRPr="00A32AF4">
        <w:rPr>
          <w:rFonts w:ascii="Arial" w:hAnsi="Arial" w:cs="Arial"/>
          <w:szCs w:val="20"/>
        </w:rPr>
        <w:t>’</w:t>
      </w:r>
      <w:r w:rsidRPr="00A32AF4">
        <w:rPr>
          <w:rFonts w:ascii="Arial" w:hAnsi="Arial" w:cs="Arial"/>
          <w:szCs w:val="20"/>
        </w:rPr>
        <w:t>évolution des deux coûts unitaires de 2008 à 2014 en utilisant l</w:t>
      </w:r>
      <w:r w:rsidR="00E2055A" w:rsidRPr="00A32AF4">
        <w:rPr>
          <w:rFonts w:ascii="Arial" w:hAnsi="Arial" w:cs="Arial"/>
          <w:szCs w:val="20"/>
        </w:rPr>
        <w:t>’</w:t>
      </w:r>
      <w:r w:rsidRPr="00A32AF4">
        <w:rPr>
          <w:rFonts w:ascii="Arial" w:hAnsi="Arial" w:cs="Arial"/>
          <w:szCs w:val="20"/>
        </w:rPr>
        <w:t>ancienne méthode, et de 2012 à 2014 en utilisant la nouvelle méthode, ainsi qu</w:t>
      </w:r>
      <w:r w:rsidR="00E2055A" w:rsidRPr="00A32AF4">
        <w:rPr>
          <w:rFonts w:ascii="Arial" w:hAnsi="Arial" w:cs="Arial"/>
          <w:szCs w:val="20"/>
        </w:rPr>
        <w:t>’</w:t>
      </w:r>
      <w:r w:rsidRPr="00A32AF4">
        <w:rPr>
          <w:rFonts w:ascii="Arial" w:hAnsi="Arial" w:cs="Arial"/>
          <w:szCs w:val="20"/>
        </w:rPr>
        <w:t>une ventilation de la contribution des coûts directs et indirects.</w:t>
      </w:r>
    </w:p>
    <w:p w:rsidR="00F93B76" w:rsidRPr="00A32AF4" w:rsidRDefault="00F93B76" w:rsidP="00DC0553">
      <w:pPr>
        <w:jc w:val="both"/>
        <w:rPr>
          <w:rFonts w:cs="Arial"/>
        </w:rPr>
      </w:pPr>
    </w:p>
    <w:p w:rsidR="00F93B76" w:rsidRPr="00A32AF4" w:rsidRDefault="009600B2" w:rsidP="00DC0553">
      <w:pPr>
        <w:pStyle w:val="ListParagraph"/>
        <w:keepNext/>
        <w:keepLines/>
        <w:tabs>
          <w:tab w:val="left" w:pos="1701"/>
        </w:tabs>
        <w:ind w:left="567"/>
        <w:jc w:val="both"/>
        <w:rPr>
          <w:rFonts w:ascii="Arial" w:hAnsi="Arial" w:cs="Arial"/>
          <w:i/>
          <w:szCs w:val="20"/>
        </w:rPr>
      </w:pPr>
      <w:r w:rsidRPr="00A32AF4">
        <w:rPr>
          <w:rFonts w:ascii="Arial" w:hAnsi="Arial" w:cs="Arial"/>
          <w:i/>
          <w:szCs w:val="20"/>
        </w:rPr>
        <w:t>Coût unitaire par nouvel enregistrement ou renouvellement</w:t>
      </w:r>
    </w:p>
    <w:p w:rsidR="00F93B76" w:rsidRPr="00A32AF4" w:rsidRDefault="00F93B76" w:rsidP="00DC0553">
      <w:pPr>
        <w:jc w:val="both"/>
        <w:rPr>
          <w:rFonts w:cs="Arial"/>
        </w:rPr>
      </w:pPr>
    </w:p>
    <w:p w:rsidR="00F93B76" w:rsidRPr="00A32AF4" w:rsidRDefault="009600B2" w:rsidP="00DC0553">
      <w:pPr>
        <w:pStyle w:val="ListParagraph"/>
        <w:numPr>
          <w:ilvl w:val="0"/>
          <w:numId w:val="47"/>
        </w:numPr>
        <w:tabs>
          <w:tab w:val="left" w:pos="567"/>
        </w:tabs>
        <w:spacing w:after="0" w:line="240" w:lineRule="auto"/>
        <w:ind w:left="0" w:firstLine="0"/>
        <w:jc w:val="both"/>
        <w:rPr>
          <w:rFonts w:ascii="Arial" w:hAnsi="Arial" w:cs="Arial"/>
          <w:szCs w:val="20"/>
        </w:rPr>
      </w:pPr>
      <w:r w:rsidRPr="00A32AF4">
        <w:rPr>
          <w:rFonts w:ascii="Arial" w:hAnsi="Arial" w:cs="Arial"/>
          <w:szCs w:val="20"/>
        </w:rPr>
        <w:t>Les nouveaux enregistrements internationaux comprennent les demandes enregistrées au cours d</w:t>
      </w:r>
      <w:r w:rsidR="00E2055A" w:rsidRPr="00A32AF4">
        <w:rPr>
          <w:rFonts w:ascii="Arial" w:hAnsi="Arial" w:cs="Arial"/>
          <w:szCs w:val="20"/>
        </w:rPr>
        <w:t>’</w:t>
      </w:r>
      <w:r w:rsidRPr="00A32AF4">
        <w:rPr>
          <w:rFonts w:ascii="Arial" w:hAnsi="Arial" w:cs="Arial"/>
          <w:szCs w:val="20"/>
        </w:rPr>
        <w:t>une année donnée, et les renouvellements d</w:t>
      </w:r>
      <w:r w:rsidR="00E2055A" w:rsidRPr="00A32AF4">
        <w:rPr>
          <w:rFonts w:ascii="Arial" w:hAnsi="Arial" w:cs="Arial"/>
          <w:szCs w:val="20"/>
        </w:rPr>
        <w:t>’</w:t>
      </w:r>
      <w:r w:rsidRPr="00A32AF4">
        <w:rPr>
          <w:rFonts w:ascii="Arial" w:hAnsi="Arial" w:cs="Arial"/>
          <w:szCs w:val="20"/>
        </w:rPr>
        <w:t>enregistrements internationaux comprennent les enregistrements existants qui sont renouvelés au cours d</w:t>
      </w:r>
      <w:r w:rsidR="00E2055A" w:rsidRPr="00A32AF4">
        <w:rPr>
          <w:rFonts w:ascii="Arial" w:hAnsi="Arial" w:cs="Arial"/>
          <w:szCs w:val="20"/>
        </w:rPr>
        <w:t>’</w:t>
      </w:r>
      <w:r w:rsidRPr="00A32AF4">
        <w:rPr>
          <w:rFonts w:ascii="Arial" w:hAnsi="Arial" w:cs="Arial"/>
          <w:szCs w:val="20"/>
        </w:rPr>
        <w:t>une année donnée.  Ensemble, ces deux types d</w:t>
      </w:r>
      <w:r w:rsidR="00E2055A" w:rsidRPr="00A32AF4">
        <w:rPr>
          <w:rFonts w:ascii="Arial" w:hAnsi="Arial" w:cs="Arial"/>
          <w:szCs w:val="20"/>
        </w:rPr>
        <w:t>’</w:t>
      </w:r>
      <w:r w:rsidRPr="00A32AF4">
        <w:rPr>
          <w:rFonts w:ascii="Arial" w:hAnsi="Arial" w:cs="Arial"/>
          <w:szCs w:val="20"/>
        </w:rPr>
        <w:t>opération constituent le cœur de l</w:t>
      </w:r>
      <w:r w:rsidR="00E2055A" w:rsidRPr="00A32AF4">
        <w:rPr>
          <w:rFonts w:ascii="Arial" w:hAnsi="Arial" w:cs="Arial"/>
          <w:szCs w:val="20"/>
        </w:rPr>
        <w:t>’</w:t>
      </w:r>
      <w:r w:rsidRPr="00A32AF4">
        <w:rPr>
          <w:rFonts w:ascii="Arial" w:hAnsi="Arial" w:cs="Arial"/>
          <w:szCs w:val="20"/>
        </w:rPr>
        <w:t>activité du Bureau international.</w:t>
      </w:r>
    </w:p>
    <w:p w:rsidR="00F93B76" w:rsidRPr="00A32AF4" w:rsidRDefault="00F93B76" w:rsidP="00DC0553">
      <w:pPr>
        <w:jc w:val="both"/>
        <w:rPr>
          <w:rFonts w:cs="Arial"/>
        </w:rPr>
      </w:pPr>
    </w:p>
    <w:p w:rsidR="00F93B76" w:rsidRPr="00A32AF4" w:rsidRDefault="009600B2" w:rsidP="00DC0553">
      <w:pPr>
        <w:pStyle w:val="ListParagraph"/>
        <w:numPr>
          <w:ilvl w:val="0"/>
          <w:numId w:val="47"/>
        </w:numPr>
        <w:tabs>
          <w:tab w:val="left" w:pos="567"/>
        </w:tabs>
        <w:spacing w:after="0" w:line="240" w:lineRule="auto"/>
        <w:ind w:left="0" w:firstLine="0"/>
        <w:jc w:val="both"/>
        <w:rPr>
          <w:rFonts w:ascii="Arial" w:hAnsi="Arial" w:cs="Arial"/>
          <w:szCs w:val="20"/>
        </w:rPr>
      </w:pPr>
      <w:r w:rsidRPr="00A32AF4">
        <w:rPr>
          <w:rFonts w:ascii="Arial" w:hAnsi="Arial" w:cs="Arial"/>
          <w:szCs w:val="20"/>
        </w:rPr>
        <w:t>Étant donné que le traitement de ces deux catégories d</w:t>
      </w:r>
      <w:r w:rsidR="00E2055A" w:rsidRPr="00A32AF4">
        <w:rPr>
          <w:rFonts w:ascii="Arial" w:hAnsi="Arial" w:cs="Arial"/>
          <w:szCs w:val="20"/>
        </w:rPr>
        <w:t>’</w:t>
      </w:r>
      <w:r w:rsidRPr="00A32AF4">
        <w:rPr>
          <w:rFonts w:ascii="Arial" w:hAnsi="Arial" w:cs="Arial"/>
          <w:szCs w:val="20"/>
        </w:rPr>
        <w:t>opérations requiert des ressources différentes, elles sont pondérées différemment</w:t>
      </w:r>
      <w:r w:rsidRPr="00A32AF4">
        <w:rPr>
          <w:rStyle w:val="FootnoteReference"/>
          <w:rFonts w:ascii="Arial" w:hAnsi="Arial" w:cs="Arial"/>
          <w:szCs w:val="20"/>
        </w:rPr>
        <w:footnoteReference w:id="29"/>
      </w:r>
      <w:r w:rsidRPr="00A32AF4">
        <w:rPr>
          <w:rStyle w:val="FootnoteReference"/>
          <w:rFonts w:ascii="Arial" w:hAnsi="Arial" w:cs="Arial"/>
          <w:vertAlign w:val="baseline"/>
        </w:rPr>
        <w:t>.</w:t>
      </w:r>
      <w:r w:rsidRPr="00A32AF4">
        <w:rPr>
          <w:rStyle w:val="FootnoteReference"/>
          <w:rFonts w:ascii="Arial" w:hAnsi="Arial"/>
          <w:vertAlign w:val="baseline"/>
        </w:rPr>
        <w:t xml:space="preserve">  </w:t>
      </w:r>
      <w:r w:rsidRPr="00A32AF4">
        <w:rPr>
          <w:rFonts w:ascii="Arial" w:hAnsi="Arial" w:cs="Arial"/>
          <w:szCs w:val="20"/>
        </w:rPr>
        <w:t>Le coût unitaire est obtenu en divisant le coût total de production par le nombre d</w:t>
      </w:r>
      <w:r w:rsidR="00E2055A" w:rsidRPr="00A32AF4">
        <w:rPr>
          <w:rFonts w:ascii="Arial" w:hAnsi="Arial" w:cs="Arial"/>
          <w:szCs w:val="20"/>
        </w:rPr>
        <w:t>’</w:t>
      </w:r>
      <w:r w:rsidRPr="00A32AF4">
        <w:rPr>
          <w:rFonts w:ascii="Arial" w:hAnsi="Arial" w:cs="Arial"/>
          <w:szCs w:val="20"/>
        </w:rPr>
        <w:t>enregistrements internationaux nouveaux ou renouvelés.</w:t>
      </w:r>
    </w:p>
    <w:p w:rsidR="009600B2" w:rsidRPr="00A32AF4" w:rsidRDefault="009600B2" w:rsidP="00DC0553">
      <w:pPr>
        <w:rPr>
          <w:rFonts w:cs="Arial"/>
        </w:rPr>
      </w:pPr>
    </w:p>
    <w:tbl>
      <w:tblPr>
        <w:tblStyle w:val="TableGrid"/>
        <w:tblW w:w="0" w:type="auto"/>
        <w:tblLook w:val="04A0" w:firstRow="1" w:lastRow="0" w:firstColumn="1" w:lastColumn="0" w:noHBand="0" w:noVBand="1"/>
      </w:tblPr>
      <w:tblGrid>
        <w:gridCol w:w="4789"/>
        <w:gridCol w:w="4498"/>
      </w:tblGrid>
      <w:tr w:rsidR="009600B2" w:rsidRPr="00A32AF4" w:rsidTr="00115F7D">
        <w:trPr>
          <w:cantSplit/>
        </w:trPr>
        <w:tc>
          <w:tcPr>
            <w:tcW w:w="4788" w:type="dxa"/>
          </w:tcPr>
          <w:p w:rsidR="009600B2" w:rsidRPr="00A32AF4" w:rsidRDefault="009600B2" w:rsidP="00DC0553">
            <w:pPr>
              <w:jc w:val="center"/>
              <w:rPr>
                <w:rFonts w:cs="Arial"/>
              </w:rPr>
            </w:pPr>
            <w:r w:rsidRPr="00A32AF4">
              <w:rPr>
                <w:rFonts w:cs="Arial"/>
              </w:rPr>
              <w:t>Ancienne méthode</w:t>
            </w:r>
          </w:p>
        </w:tc>
        <w:tc>
          <w:tcPr>
            <w:tcW w:w="4788" w:type="dxa"/>
          </w:tcPr>
          <w:p w:rsidR="009600B2" w:rsidRPr="00A32AF4" w:rsidRDefault="009600B2" w:rsidP="00DC0553">
            <w:pPr>
              <w:jc w:val="center"/>
              <w:rPr>
                <w:rFonts w:cs="Arial"/>
              </w:rPr>
            </w:pPr>
            <w:r w:rsidRPr="00A32AF4">
              <w:rPr>
                <w:rFonts w:cs="Arial"/>
              </w:rPr>
              <w:t>Nouvelle méthode</w:t>
            </w:r>
          </w:p>
        </w:tc>
      </w:tr>
      <w:tr w:rsidR="009600B2" w:rsidRPr="00A32AF4" w:rsidTr="00115F7D">
        <w:trPr>
          <w:cantSplit/>
        </w:trPr>
        <w:tc>
          <w:tcPr>
            <w:tcW w:w="4788" w:type="dxa"/>
          </w:tcPr>
          <w:p w:rsidR="009600B2" w:rsidRPr="00A32AF4" w:rsidRDefault="009600B2" w:rsidP="00DC0553">
            <w:pPr>
              <w:jc w:val="center"/>
              <w:rPr>
                <w:rFonts w:cs="Arial"/>
              </w:rPr>
            </w:pPr>
            <w:r w:rsidRPr="00A32AF4">
              <w:rPr>
                <w:rFonts w:cs="Arial"/>
                <w:noProof/>
                <w:lang w:eastAsia="fr-FR"/>
              </w:rPr>
              <w:drawing>
                <wp:inline distT="0" distB="0" distL="0" distR="0" wp14:anchorId="723B0223" wp14:editId="5CCDF6AB">
                  <wp:extent cx="2989691" cy="2027583"/>
                  <wp:effectExtent l="0" t="0" r="1270" b="0"/>
                  <wp:docPr id="985" name="Picture 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8" cstate="print">
                            <a:extLst>
                              <a:ext uri="{28A0092B-C50C-407E-A947-70E740481C1C}">
                                <a14:useLocalDpi xmlns:a14="http://schemas.microsoft.com/office/drawing/2010/main" val="0"/>
                              </a:ext>
                            </a:extLst>
                          </a:blip>
                          <a:srcRect/>
                          <a:stretch>
                            <a:fillRect/>
                          </a:stretch>
                        </pic:blipFill>
                        <pic:spPr bwMode="auto">
                          <a:xfrm>
                            <a:off x="0" y="0"/>
                            <a:ext cx="2992553" cy="2029524"/>
                          </a:xfrm>
                          <a:prstGeom prst="rect">
                            <a:avLst/>
                          </a:prstGeom>
                          <a:noFill/>
                          <a:ln>
                            <a:noFill/>
                          </a:ln>
                        </pic:spPr>
                      </pic:pic>
                    </a:graphicData>
                  </a:graphic>
                </wp:inline>
              </w:drawing>
            </w:r>
          </w:p>
        </w:tc>
        <w:tc>
          <w:tcPr>
            <w:tcW w:w="4788" w:type="dxa"/>
          </w:tcPr>
          <w:p w:rsidR="009600B2" w:rsidRPr="00A32AF4" w:rsidRDefault="009600B2" w:rsidP="00DC0553">
            <w:pPr>
              <w:jc w:val="center"/>
              <w:rPr>
                <w:rFonts w:cs="Arial"/>
              </w:rPr>
            </w:pPr>
            <w:r w:rsidRPr="00A32AF4">
              <w:rPr>
                <w:rFonts w:cs="Arial"/>
                <w:noProof/>
                <w:lang w:eastAsia="fr-FR"/>
              </w:rPr>
              <w:drawing>
                <wp:inline distT="0" distB="0" distL="0" distR="0" wp14:anchorId="647CE4FF" wp14:editId="2669F38A">
                  <wp:extent cx="2795844" cy="2073600"/>
                  <wp:effectExtent l="0" t="0" r="5080" b="3175"/>
                  <wp:docPr id="988" name="Picture 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9" cstate="print">
                            <a:extLst>
                              <a:ext uri="{28A0092B-C50C-407E-A947-70E740481C1C}">
                                <a14:useLocalDpi xmlns:a14="http://schemas.microsoft.com/office/drawing/2010/main" val="0"/>
                              </a:ext>
                            </a:extLst>
                          </a:blip>
                          <a:srcRect/>
                          <a:stretch>
                            <a:fillRect/>
                          </a:stretch>
                        </pic:blipFill>
                        <pic:spPr bwMode="auto">
                          <a:xfrm>
                            <a:off x="0" y="0"/>
                            <a:ext cx="2795844" cy="2073600"/>
                          </a:xfrm>
                          <a:prstGeom prst="rect">
                            <a:avLst/>
                          </a:prstGeom>
                          <a:noFill/>
                          <a:ln>
                            <a:noFill/>
                          </a:ln>
                        </pic:spPr>
                      </pic:pic>
                    </a:graphicData>
                  </a:graphic>
                </wp:inline>
              </w:drawing>
            </w:r>
          </w:p>
        </w:tc>
      </w:tr>
    </w:tbl>
    <w:p w:rsidR="00F93B76" w:rsidRPr="00A32AF4" w:rsidRDefault="00F93B76" w:rsidP="00DC0553">
      <w:pPr>
        <w:rPr>
          <w:rFonts w:cs="Arial"/>
        </w:rPr>
      </w:pPr>
    </w:p>
    <w:p w:rsidR="00F93B76" w:rsidRPr="00A32AF4" w:rsidRDefault="009600B2" w:rsidP="00DC0553">
      <w:pPr>
        <w:pStyle w:val="ListParagraph"/>
        <w:numPr>
          <w:ilvl w:val="0"/>
          <w:numId w:val="45"/>
        </w:numPr>
        <w:spacing w:after="0" w:line="240" w:lineRule="auto"/>
        <w:ind w:left="1134" w:hanging="567"/>
        <w:jc w:val="both"/>
        <w:rPr>
          <w:rFonts w:ascii="Arial" w:hAnsi="Arial" w:cs="Arial"/>
          <w:szCs w:val="20"/>
        </w:rPr>
      </w:pPr>
      <w:r w:rsidRPr="00A32AF4">
        <w:rPr>
          <w:rFonts w:ascii="Arial" w:hAnsi="Arial" w:cs="Arial"/>
          <w:szCs w:val="20"/>
        </w:rPr>
        <w:t>Le coût moyen du traitement d</w:t>
      </w:r>
      <w:r w:rsidR="00E2055A" w:rsidRPr="00A32AF4">
        <w:rPr>
          <w:rFonts w:ascii="Arial" w:hAnsi="Arial" w:cs="Arial"/>
          <w:szCs w:val="20"/>
        </w:rPr>
        <w:t>’</w:t>
      </w:r>
      <w:r w:rsidRPr="00A32AF4">
        <w:rPr>
          <w:rFonts w:ascii="Arial" w:hAnsi="Arial" w:cs="Arial"/>
          <w:szCs w:val="20"/>
        </w:rPr>
        <w:t>un enregistrement international ou d</w:t>
      </w:r>
      <w:r w:rsidR="00E2055A" w:rsidRPr="00A32AF4">
        <w:rPr>
          <w:rFonts w:ascii="Arial" w:hAnsi="Arial" w:cs="Arial"/>
          <w:szCs w:val="20"/>
        </w:rPr>
        <w:t>’</w:t>
      </w:r>
      <w:r w:rsidRPr="00A32AF4">
        <w:rPr>
          <w:rFonts w:ascii="Arial" w:hAnsi="Arial" w:cs="Arial"/>
          <w:szCs w:val="20"/>
        </w:rPr>
        <w:t>un renouvellement était de 837 francs suisses en 2014.  Cela représente une hausse de 2,6% par rapport à 2013.  Cette hausse est principalement attribuable à un coût de traitement qui est resté relativement stable, associé à une baisse de 4,5% du nombre de demandes internationales enregistrées.</w:t>
      </w:r>
    </w:p>
    <w:p w:rsidR="00F93B76" w:rsidRPr="00A32AF4" w:rsidRDefault="00F93B76" w:rsidP="00DC0553">
      <w:pPr>
        <w:keepNext/>
        <w:keepLines/>
        <w:rPr>
          <w:rFonts w:cs="Arial"/>
        </w:rPr>
      </w:pPr>
    </w:p>
    <w:p w:rsidR="00F93B76" w:rsidRPr="00A32AF4" w:rsidRDefault="009600B2" w:rsidP="00DC0553">
      <w:pPr>
        <w:pStyle w:val="ListParagraph"/>
        <w:keepNext/>
        <w:keepLines/>
        <w:tabs>
          <w:tab w:val="left" w:pos="1701"/>
        </w:tabs>
        <w:ind w:left="567"/>
        <w:jc w:val="both"/>
        <w:rPr>
          <w:rFonts w:ascii="Arial" w:hAnsi="Arial" w:cs="Arial"/>
          <w:i/>
          <w:szCs w:val="20"/>
        </w:rPr>
      </w:pPr>
      <w:r w:rsidRPr="00A32AF4">
        <w:rPr>
          <w:rFonts w:ascii="Arial" w:hAnsi="Arial" w:cs="Arial"/>
          <w:i/>
          <w:szCs w:val="20"/>
        </w:rPr>
        <w:t>Coût unitaire par document inscrit au registre</w:t>
      </w:r>
    </w:p>
    <w:p w:rsidR="00F93B76" w:rsidRPr="00A32AF4" w:rsidRDefault="00F93B76" w:rsidP="00DC0553">
      <w:pPr>
        <w:keepNext/>
        <w:keepLines/>
        <w:jc w:val="both"/>
        <w:rPr>
          <w:rFonts w:cs="Arial"/>
        </w:rPr>
      </w:pPr>
    </w:p>
    <w:p w:rsidR="00F93B76" w:rsidRPr="00A32AF4" w:rsidRDefault="009600B2" w:rsidP="00DC0553">
      <w:pPr>
        <w:pStyle w:val="ListParagraph"/>
        <w:keepNext/>
        <w:keepLines/>
        <w:numPr>
          <w:ilvl w:val="0"/>
          <w:numId w:val="47"/>
        </w:numPr>
        <w:tabs>
          <w:tab w:val="left" w:pos="567"/>
        </w:tabs>
        <w:spacing w:after="0" w:line="240" w:lineRule="auto"/>
        <w:ind w:left="0" w:firstLine="0"/>
        <w:jc w:val="both"/>
        <w:rPr>
          <w:rFonts w:ascii="Arial" w:hAnsi="Arial" w:cs="Arial"/>
          <w:szCs w:val="20"/>
        </w:rPr>
      </w:pPr>
      <w:r w:rsidRPr="00A32AF4">
        <w:rPr>
          <w:rFonts w:ascii="Arial" w:hAnsi="Arial" w:cs="Arial"/>
          <w:szCs w:val="20"/>
        </w:rPr>
        <w:t xml:space="preserve">Les documents inscrits au registre représentent le volume total de la charge de travail (voir </w:t>
      </w:r>
      <w:r w:rsidR="00B63C9F" w:rsidRPr="00A32AF4">
        <w:rPr>
          <w:rFonts w:ascii="Arial" w:hAnsi="Arial" w:cs="Arial"/>
          <w:szCs w:val="20"/>
        </w:rPr>
        <w:t>“</w:t>
      </w:r>
      <w:r w:rsidRPr="00A32AF4">
        <w:rPr>
          <w:rFonts w:ascii="Arial" w:hAnsi="Arial" w:cs="Arial"/>
          <w:szCs w:val="20"/>
        </w:rPr>
        <w:t>Volume total de la charge de travail</w:t>
      </w:r>
      <w:r w:rsidR="00B63C9F" w:rsidRPr="00A32AF4">
        <w:rPr>
          <w:rFonts w:ascii="Arial" w:hAnsi="Arial" w:cs="Arial"/>
          <w:szCs w:val="20"/>
        </w:rPr>
        <w:t>”</w:t>
      </w:r>
      <w:r w:rsidRPr="00A32AF4">
        <w:rPr>
          <w:rFonts w:ascii="Arial" w:hAnsi="Arial" w:cs="Arial"/>
          <w:szCs w:val="20"/>
        </w:rPr>
        <w:t xml:space="preserve"> ci</w:t>
      </w:r>
      <w:r w:rsidR="00EB7F54" w:rsidRPr="00A32AF4">
        <w:rPr>
          <w:rFonts w:ascii="Arial" w:hAnsi="Arial" w:cs="Arial"/>
          <w:szCs w:val="20"/>
        </w:rPr>
        <w:noBreakHyphen/>
      </w:r>
      <w:r w:rsidRPr="00A32AF4">
        <w:rPr>
          <w:rFonts w:ascii="Arial" w:hAnsi="Arial" w:cs="Arial"/>
          <w:szCs w:val="20"/>
        </w:rPr>
        <w:t>dessus).</w:t>
      </w:r>
    </w:p>
    <w:p w:rsidR="009600B2" w:rsidRPr="00A32AF4" w:rsidRDefault="009600B2" w:rsidP="00DC0553">
      <w:pPr>
        <w:keepNext/>
        <w:keepLines/>
        <w:jc w:val="center"/>
        <w:rPr>
          <w:rFonts w:cs="Arial"/>
        </w:rPr>
      </w:pPr>
    </w:p>
    <w:tbl>
      <w:tblPr>
        <w:tblStyle w:val="TableGrid"/>
        <w:tblW w:w="9606" w:type="dxa"/>
        <w:tblLayout w:type="fixed"/>
        <w:tblLook w:val="04A0" w:firstRow="1" w:lastRow="0" w:firstColumn="1" w:lastColumn="0" w:noHBand="0" w:noVBand="1"/>
      </w:tblPr>
      <w:tblGrid>
        <w:gridCol w:w="5177"/>
        <w:gridCol w:w="4429"/>
      </w:tblGrid>
      <w:tr w:rsidR="009600B2" w:rsidRPr="00A32AF4" w:rsidTr="00115F7D">
        <w:trPr>
          <w:cantSplit/>
          <w:trHeight w:val="273"/>
        </w:trPr>
        <w:tc>
          <w:tcPr>
            <w:tcW w:w="5177" w:type="dxa"/>
          </w:tcPr>
          <w:p w:rsidR="009600B2" w:rsidRPr="00A32AF4" w:rsidRDefault="009600B2" w:rsidP="00DC0553">
            <w:pPr>
              <w:keepNext/>
              <w:keepLines/>
              <w:jc w:val="center"/>
              <w:rPr>
                <w:rFonts w:cs="Arial"/>
              </w:rPr>
            </w:pPr>
            <w:r w:rsidRPr="00A32AF4">
              <w:rPr>
                <w:rFonts w:cs="Arial"/>
              </w:rPr>
              <w:t>Ancienne méthode</w:t>
            </w:r>
          </w:p>
        </w:tc>
        <w:tc>
          <w:tcPr>
            <w:tcW w:w="4429" w:type="dxa"/>
          </w:tcPr>
          <w:p w:rsidR="009600B2" w:rsidRPr="00A32AF4" w:rsidRDefault="009600B2" w:rsidP="00DC0553">
            <w:pPr>
              <w:keepNext/>
              <w:keepLines/>
              <w:jc w:val="center"/>
              <w:rPr>
                <w:rFonts w:cs="Arial"/>
              </w:rPr>
            </w:pPr>
            <w:r w:rsidRPr="00A32AF4">
              <w:rPr>
                <w:rFonts w:cs="Arial"/>
              </w:rPr>
              <w:t>Nouvelle méthode</w:t>
            </w:r>
          </w:p>
        </w:tc>
      </w:tr>
      <w:tr w:rsidR="009600B2" w:rsidRPr="00A32AF4" w:rsidTr="00115F7D">
        <w:trPr>
          <w:cantSplit/>
          <w:trHeight w:val="3013"/>
        </w:trPr>
        <w:tc>
          <w:tcPr>
            <w:tcW w:w="5177" w:type="dxa"/>
          </w:tcPr>
          <w:p w:rsidR="009600B2" w:rsidRPr="00A32AF4" w:rsidRDefault="009600B2" w:rsidP="00DC0553">
            <w:pPr>
              <w:keepNext/>
              <w:keepLines/>
              <w:jc w:val="center"/>
              <w:rPr>
                <w:rFonts w:cs="Arial"/>
              </w:rPr>
            </w:pPr>
            <w:r w:rsidRPr="00A32AF4">
              <w:rPr>
                <w:rFonts w:cs="Arial"/>
                <w:noProof/>
                <w:lang w:eastAsia="fr-FR"/>
              </w:rPr>
              <w:drawing>
                <wp:inline distT="0" distB="0" distL="0" distR="0" wp14:anchorId="49B0B3FF" wp14:editId="1AF626B0">
                  <wp:extent cx="3148965" cy="200342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3148965" cy="2003425"/>
                          </a:xfrm>
                          <a:prstGeom prst="rect">
                            <a:avLst/>
                          </a:prstGeom>
                          <a:noFill/>
                          <a:ln>
                            <a:noFill/>
                          </a:ln>
                        </pic:spPr>
                      </pic:pic>
                    </a:graphicData>
                  </a:graphic>
                </wp:inline>
              </w:drawing>
            </w:r>
          </w:p>
        </w:tc>
        <w:tc>
          <w:tcPr>
            <w:tcW w:w="4429" w:type="dxa"/>
          </w:tcPr>
          <w:p w:rsidR="009600B2" w:rsidRPr="00A32AF4" w:rsidRDefault="009600B2" w:rsidP="00DC0553">
            <w:pPr>
              <w:keepNext/>
              <w:keepLines/>
              <w:jc w:val="center"/>
              <w:rPr>
                <w:rFonts w:cs="Arial"/>
              </w:rPr>
            </w:pPr>
            <w:r w:rsidRPr="00A32AF4">
              <w:rPr>
                <w:rFonts w:cs="Arial"/>
                <w:noProof/>
                <w:lang w:eastAsia="fr-FR"/>
              </w:rPr>
              <w:drawing>
                <wp:inline distT="0" distB="0" distL="0" distR="0" wp14:anchorId="7036FABD" wp14:editId="083E0579">
                  <wp:extent cx="2671445" cy="1995805"/>
                  <wp:effectExtent l="0" t="0" r="0" b="444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1" cstate="print">
                            <a:extLst>
                              <a:ext uri="{28A0092B-C50C-407E-A947-70E740481C1C}">
                                <a14:useLocalDpi xmlns:a14="http://schemas.microsoft.com/office/drawing/2010/main" val="0"/>
                              </a:ext>
                            </a:extLst>
                          </a:blip>
                          <a:srcRect/>
                          <a:stretch>
                            <a:fillRect/>
                          </a:stretch>
                        </pic:blipFill>
                        <pic:spPr bwMode="auto">
                          <a:xfrm>
                            <a:off x="0" y="0"/>
                            <a:ext cx="2671445" cy="1995805"/>
                          </a:xfrm>
                          <a:prstGeom prst="rect">
                            <a:avLst/>
                          </a:prstGeom>
                          <a:noFill/>
                          <a:ln>
                            <a:noFill/>
                          </a:ln>
                        </pic:spPr>
                      </pic:pic>
                    </a:graphicData>
                  </a:graphic>
                </wp:inline>
              </w:drawing>
            </w:r>
          </w:p>
        </w:tc>
      </w:tr>
    </w:tbl>
    <w:p w:rsidR="00F93B76" w:rsidRPr="00A32AF4" w:rsidRDefault="00F93B76" w:rsidP="00DC0553">
      <w:pPr>
        <w:rPr>
          <w:rFonts w:cs="Arial"/>
        </w:rPr>
      </w:pPr>
    </w:p>
    <w:p w:rsidR="00F93B76" w:rsidRPr="00A32AF4" w:rsidRDefault="009600B2" w:rsidP="00DC0553">
      <w:pPr>
        <w:pStyle w:val="ListParagraph"/>
        <w:keepNext/>
        <w:keepLines/>
        <w:numPr>
          <w:ilvl w:val="0"/>
          <w:numId w:val="45"/>
        </w:numPr>
        <w:spacing w:after="0" w:line="240" w:lineRule="auto"/>
        <w:ind w:left="1134" w:hanging="567"/>
        <w:jc w:val="both"/>
        <w:rPr>
          <w:rFonts w:ascii="Arial" w:hAnsi="Arial" w:cs="Arial"/>
          <w:szCs w:val="20"/>
        </w:rPr>
      </w:pPr>
      <w:r w:rsidRPr="00A32AF4">
        <w:rPr>
          <w:rFonts w:ascii="Arial" w:hAnsi="Arial" w:cs="Arial"/>
          <w:szCs w:val="20"/>
        </w:rPr>
        <w:t>Le coût moyen pour l</w:t>
      </w:r>
      <w:r w:rsidR="00E2055A" w:rsidRPr="00A32AF4">
        <w:rPr>
          <w:rFonts w:ascii="Arial" w:hAnsi="Arial" w:cs="Arial"/>
          <w:szCs w:val="20"/>
        </w:rPr>
        <w:t>’</w:t>
      </w:r>
      <w:r w:rsidRPr="00A32AF4">
        <w:rPr>
          <w:rFonts w:ascii="Arial" w:hAnsi="Arial" w:cs="Arial"/>
          <w:szCs w:val="20"/>
        </w:rPr>
        <w:t>inscription d</w:t>
      </w:r>
      <w:r w:rsidR="00E2055A" w:rsidRPr="00A32AF4">
        <w:rPr>
          <w:rFonts w:ascii="Arial" w:hAnsi="Arial" w:cs="Arial"/>
          <w:szCs w:val="20"/>
        </w:rPr>
        <w:t>’</w:t>
      </w:r>
      <w:r w:rsidRPr="00A32AF4">
        <w:rPr>
          <w:rFonts w:ascii="Arial" w:hAnsi="Arial" w:cs="Arial"/>
          <w:szCs w:val="20"/>
        </w:rPr>
        <w:t>un document au registre a connu une légère hausse, allant de 320 francs suisses en 2012 à 322 francs suisses en 2014.</w:t>
      </w:r>
    </w:p>
    <w:p w:rsidR="00F93B76" w:rsidRPr="00A32AF4" w:rsidRDefault="00F93B76" w:rsidP="00DC0553">
      <w:pPr>
        <w:jc w:val="both"/>
        <w:rPr>
          <w:rFonts w:cs="Arial"/>
        </w:rPr>
      </w:pPr>
    </w:p>
    <w:p w:rsidR="00F93B76" w:rsidRPr="00A32AF4" w:rsidRDefault="00F93B76" w:rsidP="00DC0553">
      <w:pPr>
        <w:jc w:val="both"/>
        <w:rPr>
          <w:rFonts w:cs="Arial"/>
        </w:rPr>
      </w:pPr>
    </w:p>
    <w:p w:rsidR="00F93B76" w:rsidRPr="00A32AF4" w:rsidRDefault="009600B2" w:rsidP="00DC0553">
      <w:pPr>
        <w:pStyle w:val="ListParagraph"/>
        <w:numPr>
          <w:ilvl w:val="0"/>
          <w:numId w:val="40"/>
        </w:numPr>
        <w:spacing w:after="0" w:line="240" w:lineRule="auto"/>
        <w:ind w:left="567" w:hanging="567"/>
        <w:jc w:val="both"/>
        <w:rPr>
          <w:rFonts w:ascii="Arial" w:hAnsi="Arial" w:cs="Arial"/>
          <w:b/>
          <w:szCs w:val="20"/>
        </w:rPr>
      </w:pPr>
      <w:r w:rsidRPr="00A32AF4">
        <w:rPr>
          <w:rFonts w:ascii="Arial" w:hAnsi="Arial" w:cs="Arial"/>
          <w:b/>
          <w:szCs w:val="20"/>
        </w:rPr>
        <w:t>Productivité de l</w:t>
      </w:r>
      <w:r w:rsidR="00E2055A" w:rsidRPr="00A32AF4">
        <w:rPr>
          <w:rFonts w:ascii="Arial" w:hAnsi="Arial" w:cs="Arial"/>
          <w:b/>
          <w:szCs w:val="20"/>
        </w:rPr>
        <w:t>’</w:t>
      </w:r>
      <w:r w:rsidRPr="00A32AF4">
        <w:rPr>
          <w:rFonts w:ascii="Arial" w:hAnsi="Arial" w:cs="Arial"/>
          <w:b/>
          <w:szCs w:val="20"/>
        </w:rPr>
        <w:t>examen</w:t>
      </w:r>
    </w:p>
    <w:p w:rsidR="00F93B76" w:rsidRPr="00A32AF4" w:rsidRDefault="00F93B76" w:rsidP="00DC0553">
      <w:pPr>
        <w:jc w:val="both"/>
        <w:rPr>
          <w:rFonts w:cs="Arial"/>
        </w:rPr>
      </w:pPr>
    </w:p>
    <w:p w:rsidR="00F93B76" w:rsidRPr="00A32AF4" w:rsidRDefault="009600B2" w:rsidP="00DC0553">
      <w:pPr>
        <w:pStyle w:val="ListParagraph"/>
        <w:keepNext/>
        <w:keepLines/>
        <w:numPr>
          <w:ilvl w:val="0"/>
          <w:numId w:val="47"/>
        </w:numPr>
        <w:tabs>
          <w:tab w:val="left" w:pos="567"/>
        </w:tabs>
        <w:spacing w:after="0" w:line="240" w:lineRule="auto"/>
        <w:ind w:left="0" w:firstLine="0"/>
        <w:jc w:val="both"/>
        <w:rPr>
          <w:rFonts w:ascii="Arial" w:hAnsi="Arial" w:cs="Arial"/>
          <w:szCs w:val="20"/>
        </w:rPr>
      </w:pPr>
      <w:r w:rsidRPr="00A32AF4">
        <w:rPr>
          <w:rFonts w:ascii="Arial" w:hAnsi="Arial" w:cs="Arial"/>
          <w:szCs w:val="20"/>
        </w:rPr>
        <w:t>La productivité de l</w:t>
      </w:r>
      <w:r w:rsidR="00E2055A" w:rsidRPr="00A32AF4">
        <w:rPr>
          <w:rFonts w:ascii="Arial" w:hAnsi="Arial" w:cs="Arial"/>
          <w:szCs w:val="20"/>
        </w:rPr>
        <w:t>’</w:t>
      </w:r>
      <w:r w:rsidRPr="00A32AF4">
        <w:rPr>
          <w:rFonts w:ascii="Arial" w:hAnsi="Arial" w:cs="Arial"/>
          <w:szCs w:val="20"/>
        </w:rPr>
        <w:t>examen est calculée en divisant le nombre de nouveaux enregistrements internationaux ou renouvellements traités par des examinateurs, par le nombre de membres du personnel ayant participé à l</w:t>
      </w:r>
      <w:r w:rsidR="00E2055A" w:rsidRPr="00A32AF4">
        <w:rPr>
          <w:rFonts w:ascii="Arial" w:hAnsi="Arial" w:cs="Arial"/>
          <w:szCs w:val="20"/>
        </w:rPr>
        <w:t>’</w:t>
      </w:r>
      <w:r w:rsidRPr="00A32AF4">
        <w:rPr>
          <w:rFonts w:ascii="Arial" w:hAnsi="Arial" w:cs="Arial"/>
          <w:szCs w:val="20"/>
        </w:rPr>
        <w:t>examen.  Le nombre de membres du personnel comprend les boursiers et les prestataires de services internes et externes.</w:t>
      </w:r>
    </w:p>
    <w:p w:rsidR="00F93B76" w:rsidRPr="00A32AF4" w:rsidRDefault="00F93B76" w:rsidP="00DC0553">
      <w:pPr>
        <w:jc w:val="both"/>
        <w:rPr>
          <w:rFonts w:cs="Arial"/>
        </w:rPr>
      </w:pPr>
    </w:p>
    <w:p w:rsidR="00F93B76" w:rsidRPr="00A32AF4" w:rsidRDefault="009600B2" w:rsidP="00DC0553">
      <w:pPr>
        <w:jc w:val="center"/>
        <w:rPr>
          <w:rFonts w:cs="Arial"/>
        </w:rPr>
      </w:pPr>
      <w:r w:rsidRPr="00A32AF4">
        <w:rPr>
          <w:rFonts w:cs="Arial"/>
          <w:noProof/>
          <w:lang w:eastAsia="fr-FR"/>
        </w:rPr>
        <w:drawing>
          <wp:inline distT="0" distB="0" distL="0" distR="0" wp14:anchorId="4E649A25" wp14:editId="047A5736">
            <wp:extent cx="5760000" cy="278449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2" cstate="print">
                      <a:extLst>
                        <a:ext uri="{28A0092B-C50C-407E-A947-70E740481C1C}">
                          <a14:useLocalDpi xmlns:a14="http://schemas.microsoft.com/office/drawing/2010/main" val="0"/>
                        </a:ext>
                      </a:extLst>
                    </a:blip>
                    <a:srcRect/>
                    <a:stretch>
                      <a:fillRect/>
                    </a:stretch>
                  </pic:blipFill>
                  <pic:spPr bwMode="auto">
                    <a:xfrm>
                      <a:off x="0" y="0"/>
                      <a:ext cx="5760000" cy="2784490"/>
                    </a:xfrm>
                    <a:prstGeom prst="rect">
                      <a:avLst/>
                    </a:prstGeom>
                    <a:noFill/>
                    <a:ln>
                      <a:noFill/>
                    </a:ln>
                  </pic:spPr>
                </pic:pic>
              </a:graphicData>
            </a:graphic>
          </wp:inline>
        </w:drawing>
      </w:r>
    </w:p>
    <w:p w:rsidR="00F93B76" w:rsidRPr="00A32AF4" w:rsidRDefault="00F93B76" w:rsidP="00DC0553">
      <w:pPr>
        <w:jc w:val="both"/>
        <w:rPr>
          <w:rFonts w:cs="Arial"/>
        </w:rPr>
      </w:pPr>
    </w:p>
    <w:p w:rsidR="00F93B76" w:rsidRPr="00A32AF4" w:rsidRDefault="009600B2" w:rsidP="00DC0553">
      <w:pPr>
        <w:pStyle w:val="ListParagraph"/>
        <w:numPr>
          <w:ilvl w:val="0"/>
          <w:numId w:val="45"/>
        </w:numPr>
        <w:spacing w:after="0" w:line="240" w:lineRule="auto"/>
        <w:ind w:left="1134" w:hanging="567"/>
        <w:jc w:val="both"/>
        <w:rPr>
          <w:rFonts w:ascii="Arial" w:hAnsi="Arial" w:cs="Arial"/>
          <w:szCs w:val="20"/>
        </w:rPr>
      </w:pPr>
      <w:r w:rsidRPr="00A32AF4">
        <w:rPr>
          <w:rFonts w:ascii="Arial" w:hAnsi="Arial" w:cs="Arial"/>
          <w:szCs w:val="20"/>
        </w:rPr>
        <w:t>La productivité de l</w:t>
      </w:r>
      <w:r w:rsidR="00E2055A" w:rsidRPr="00A32AF4">
        <w:rPr>
          <w:rFonts w:ascii="Arial" w:hAnsi="Arial" w:cs="Arial"/>
          <w:szCs w:val="20"/>
        </w:rPr>
        <w:t>’</w:t>
      </w:r>
      <w:r w:rsidRPr="00A32AF4">
        <w:rPr>
          <w:rFonts w:ascii="Arial" w:hAnsi="Arial" w:cs="Arial"/>
          <w:szCs w:val="20"/>
        </w:rPr>
        <w:t>examen est restée relativement stable en 2014 par rapport à 2013.</w:t>
      </w:r>
    </w:p>
    <w:p w:rsidR="00F93B76" w:rsidRPr="00A32AF4" w:rsidRDefault="00F93B76" w:rsidP="00DC0553">
      <w:pPr>
        <w:jc w:val="both"/>
        <w:rPr>
          <w:rFonts w:cs="Arial"/>
        </w:rPr>
      </w:pPr>
    </w:p>
    <w:p w:rsidR="00F93B76" w:rsidRPr="00A32AF4" w:rsidRDefault="00F93B76" w:rsidP="00DC0553">
      <w:pPr>
        <w:jc w:val="both"/>
        <w:rPr>
          <w:rFonts w:cs="Arial"/>
        </w:rPr>
      </w:pPr>
    </w:p>
    <w:p w:rsidR="00F93B76" w:rsidRPr="00A32AF4" w:rsidRDefault="009600B2" w:rsidP="00DC0553">
      <w:pPr>
        <w:pStyle w:val="ListParagraph"/>
        <w:keepNext/>
        <w:keepLines/>
        <w:numPr>
          <w:ilvl w:val="0"/>
          <w:numId w:val="40"/>
        </w:numPr>
        <w:spacing w:after="0" w:line="240" w:lineRule="auto"/>
        <w:ind w:left="567" w:hanging="567"/>
        <w:jc w:val="both"/>
        <w:rPr>
          <w:rFonts w:ascii="Arial" w:hAnsi="Arial" w:cs="Arial"/>
          <w:b/>
          <w:szCs w:val="20"/>
        </w:rPr>
      </w:pPr>
      <w:r w:rsidRPr="00A32AF4">
        <w:rPr>
          <w:rFonts w:ascii="Arial" w:hAnsi="Arial" w:cs="Arial"/>
          <w:b/>
          <w:szCs w:val="20"/>
        </w:rPr>
        <w:t>Personnel</w:t>
      </w:r>
    </w:p>
    <w:p w:rsidR="00F93B76" w:rsidRPr="00A32AF4" w:rsidRDefault="00F93B76" w:rsidP="00DC0553">
      <w:pPr>
        <w:keepNext/>
        <w:keepLines/>
        <w:jc w:val="both"/>
        <w:rPr>
          <w:rFonts w:cs="Arial"/>
        </w:rPr>
      </w:pPr>
    </w:p>
    <w:p w:rsidR="00F93B76" w:rsidRPr="00A32AF4" w:rsidRDefault="009600B2" w:rsidP="00DC0553">
      <w:pPr>
        <w:keepNext/>
        <w:keepLines/>
        <w:jc w:val="center"/>
        <w:rPr>
          <w:rFonts w:cs="Arial"/>
        </w:rPr>
      </w:pPr>
      <w:r w:rsidRPr="00A32AF4">
        <w:rPr>
          <w:rFonts w:cs="Arial"/>
          <w:noProof/>
          <w:lang w:eastAsia="fr-FR"/>
        </w:rPr>
        <w:drawing>
          <wp:inline distT="0" distB="0" distL="0" distR="0" wp14:anchorId="647056F5" wp14:editId="44C4D284">
            <wp:extent cx="5760000" cy="2674326"/>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63" cstate="print">
                      <a:extLst>
                        <a:ext uri="{28A0092B-C50C-407E-A947-70E740481C1C}">
                          <a14:useLocalDpi xmlns:a14="http://schemas.microsoft.com/office/drawing/2010/main" val="0"/>
                        </a:ext>
                      </a:extLst>
                    </a:blip>
                    <a:srcRect/>
                    <a:stretch>
                      <a:fillRect/>
                    </a:stretch>
                  </pic:blipFill>
                  <pic:spPr bwMode="auto">
                    <a:xfrm>
                      <a:off x="0" y="0"/>
                      <a:ext cx="5760000" cy="2674326"/>
                    </a:xfrm>
                    <a:prstGeom prst="rect">
                      <a:avLst/>
                    </a:prstGeom>
                    <a:noFill/>
                    <a:ln>
                      <a:noFill/>
                    </a:ln>
                  </pic:spPr>
                </pic:pic>
              </a:graphicData>
            </a:graphic>
          </wp:inline>
        </w:drawing>
      </w:r>
    </w:p>
    <w:p w:rsidR="00F93B76" w:rsidRPr="00A32AF4" w:rsidRDefault="00F93B76" w:rsidP="00DC0553">
      <w:pPr>
        <w:keepNext/>
        <w:keepLines/>
        <w:rPr>
          <w:rFonts w:cs="Arial"/>
        </w:rPr>
      </w:pPr>
    </w:p>
    <w:p w:rsidR="00F93B76" w:rsidRPr="00A32AF4" w:rsidRDefault="009600B2" w:rsidP="00DC0553">
      <w:pPr>
        <w:pStyle w:val="ListParagraph"/>
        <w:numPr>
          <w:ilvl w:val="0"/>
          <w:numId w:val="45"/>
        </w:numPr>
        <w:spacing w:after="120" w:line="240" w:lineRule="auto"/>
        <w:ind w:left="1134" w:hanging="567"/>
        <w:contextualSpacing w:val="0"/>
        <w:jc w:val="both"/>
        <w:rPr>
          <w:rFonts w:ascii="Arial" w:hAnsi="Arial" w:cs="Arial"/>
          <w:szCs w:val="20"/>
        </w:rPr>
      </w:pPr>
      <w:r w:rsidRPr="00A32AF4">
        <w:rPr>
          <w:rFonts w:ascii="Arial" w:hAnsi="Arial" w:cs="Arial"/>
          <w:szCs w:val="20"/>
        </w:rPr>
        <w:t>Le nombre des fonctionnaires est resté relativement stable depuis 2010, alors que le nombre de ressources adaptables a augmenté de 1 en 2012 à 12 en 2014.</w:t>
      </w:r>
    </w:p>
    <w:p w:rsidR="00F93B76" w:rsidRPr="00A32AF4" w:rsidRDefault="009600B2" w:rsidP="00DC0553">
      <w:pPr>
        <w:pStyle w:val="ListParagraph"/>
        <w:numPr>
          <w:ilvl w:val="0"/>
          <w:numId w:val="45"/>
        </w:numPr>
        <w:spacing w:after="120" w:line="240" w:lineRule="auto"/>
        <w:ind w:left="1134" w:hanging="567"/>
        <w:contextualSpacing w:val="0"/>
        <w:jc w:val="both"/>
        <w:rPr>
          <w:rFonts w:ascii="Arial" w:hAnsi="Arial" w:cs="Arial"/>
          <w:szCs w:val="20"/>
        </w:rPr>
      </w:pPr>
      <w:r w:rsidRPr="00A32AF4">
        <w:rPr>
          <w:rFonts w:ascii="Arial" w:hAnsi="Arial" w:cs="Arial"/>
          <w:szCs w:val="20"/>
        </w:rPr>
        <w:t>Le personnel des entreprises de sous</w:t>
      </w:r>
      <w:r w:rsidR="00EB7F54" w:rsidRPr="00A32AF4">
        <w:rPr>
          <w:rFonts w:ascii="Arial" w:hAnsi="Arial" w:cs="Arial"/>
          <w:szCs w:val="20"/>
        </w:rPr>
        <w:noBreakHyphen/>
      </w:r>
      <w:r w:rsidRPr="00A32AF4">
        <w:rPr>
          <w:rFonts w:ascii="Arial" w:hAnsi="Arial" w:cs="Arial"/>
          <w:szCs w:val="20"/>
        </w:rPr>
        <w:t>traitance ne travaillant pas dans les locaux de l</w:t>
      </w:r>
      <w:r w:rsidR="00E2055A" w:rsidRPr="00A32AF4">
        <w:rPr>
          <w:rFonts w:ascii="Arial" w:hAnsi="Arial" w:cs="Arial"/>
          <w:szCs w:val="20"/>
        </w:rPr>
        <w:t>’</w:t>
      </w:r>
      <w:r w:rsidRPr="00A32AF4">
        <w:rPr>
          <w:rFonts w:ascii="Arial" w:hAnsi="Arial" w:cs="Arial"/>
          <w:szCs w:val="20"/>
        </w:rPr>
        <w:t>OMPI n</w:t>
      </w:r>
      <w:r w:rsidR="00E2055A" w:rsidRPr="00A32AF4">
        <w:rPr>
          <w:rFonts w:ascii="Arial" w:hAnsi="Arial" w:cs="Arial"/>
          <w:szCs w:val="20"/>
        </w:rPr>
        <w:t>’</w:t>
      </w:r>
      <w:r w:rsidRPr="00A32AF4">
        <w:rPr>
          <w:rFonts w:ascii="Arial" w:hAnsi="Arial" w:cs="Arial"/>
          <w:szCs w:val="20"/>
        </w:rPr>
        <w:t>est pas comptabilisé dans cet indicateur.</w:t>
      </w:r>
    </w:p>
    <w:p w:rsidR="00F93B76" w:rsidRPr="00A32AF4" w:rsidRDefault="00F93B76" w:rsidP="00DC0553">
      <w:pPr>
        <w:rPr>
          <w:rFonts w:cs="Arial"/>
        </w:rPr>
      </w:pPr>
    </w:p>
    <w:p w:rsidR="00F93B76" w:rsidRPr="00A32AF4" w:rsidRDefault="00F93B76" w:rsidP="00DC0553">
      <w:pPr>
        <w:rPr>
          <w:rFonts w:cs="Arial"/>
        </w:rPr>
      </w:pPr>
    </w:p>
    <w:p w:rsidR="00F93B76" w:rsidRPr="00A32AF4" w:rsidRDefault="009600B2" w:rsidP="00DC0553">
      <w:pPr>
        <w:pStyle w:val="ListParagraph"/>
        <w:numPr>
          <w:ilvl w:val="0"/>
          <w:numId w:val="40"/>
        </w:numPr>
        <w:spacing w:after="0" w:line="240" w:lineRule="auto"/>
        <w:ind w:left="567" w:hanging="567"/>
        <w:jc w:val="both"/>
        <w:rPr>
          <w:rFonts w:ascii="Arial" w:hAnsi="Arial" w:cs="Arial"/>
          <w:b/>
          <w:szCs w:val="20"/>
        </w:rPr>
      </w:pPr>
      <w:r w:rsidRPr="00A32AF4">
        <w:rPr>
          <w:rFonts w:ascii="Arial" w:hAnsi="Arial" w:cs="Arial"/>
          <w:b/>
          <w:szCs w:val="20"/>
        </w:rPr>
        <w:t>Délai</w:t>
      </w:r>
    </w:p>
    <w:p w:rsidR="00F93B76" w:rsidRPr="00A32AF4" w:rsidRDefault="00F93B76" w:rsidP="00DC0553">
      <w:pPr>
        <w:pStyle w:val="ListParagraph"/>
        <w:ind w:left="567" w:hanging="567"/>
        <w:jc w:val="both"/>
        <w:rPr>
          <w:rFonts w:ascii="Arial" w:hAnsi="Arial" w:cs="Arial"/>
          <w:szCs w:val="20"/>
        </w:rPr>
      </w:pPr>
    </w:p>
    <w:p w:rsidR="00F93B76" w:rsidRPr="00A32AF4" w:rsidRDefault="009600B2" w:rsidP="00DC0553">
      <w:pPr>
        <w:pStyle w:val="ListParagraph"/>
        <w:numPr>
          <w:ilvl w:val="0"/>
          <w:numId w:val="47"/>
        </w:numPr>
        <w:tabs>
          <w:tab w:val="left" w:pos="567"/>
        </w:tabs>
        <w:spacing w:after="0" w:line="240" w:lineRule="auto"/>
        <w:ind w:left="0" w:firstLine="0"/>
        <w:jc w:val="both"/>
        <w:rPr>
          <w:rFonts w:ascii="Arial" w:hAnsi="Arial" w:cs="Arial"/>
          <w:szCs w:val="20"/>
        </w:rPr>
      </w:pPr>
      <w:r w:rsidRPr="00A32AF4">
        <w:rPr>
          <w:rFonts w:ascii="Arial" w:hAnsi="Arial" w:cs="Arial"/>
          <w:szCs w:val="20"/>
        </w:rPr>
        <w:t>Le délai moyen de traitement pour chacune des six catégories d</w:t>
      </w:r>
      <w:r w:rsidR="00E2055A" w:rsidRPr="00A32AF4">
        <w:rPr>
          <w:rFonts w:ascii="Arial" w:hAnsi="Arial" w:cs="Arial"/>
          <w:szCs w:val="20"/>
        </w:rPr>
        <w:t>’</w:t>
      </w:r>
      <w:r w:rsidRPr="00A32AF4">
        <w:rPr>
          <w:rFonts w:ascii="Arial" w:hAnsi="Arial" w:cs="Arial"/>
          <w:szCs w:val="20"/>
        </w:rPr>
        <w:t>opérations effectuées par le Bureau international est indiqué ci</w:t>
      </w:r>
      <w:r w:rsidR="00EB7F54" w:rsidRPr="00A32AF4">
        <w:rPr>
          <w:rFonts w:ascii="Arial" w:hAnsi="Arial" w:cs="Arial"/>
          <w:szCs w:val="20"/>
        </w:rPr>
        <w:noBreakHyphen/>
      </w:r>
      <w:r w:rsidRPr="00A32AF4">
        <w:rPr>
          <w:rFonts w:ascii="Arial" w:hAnsi="Arial" w:cs="Arial"/>
          <w:szCs w:val="20"/>
        </w:rPr>
        <w:t>dessous.  Le délai de traitement correspond à l</w:t>
      </w:r>
      <w:r w:rsidR="00E2055A" w:rsidRPr="00A32AF4">
        <w:rPr>
          <w:rFonts w:ascii="Arial" w:hAnsi="Arial" w:cs="Arial"/>
          <w:szCs w:val="20"/>
        </w:rPr>
        <w:t>’</w:t>
      </w:r>
      <w:r w:rsidRPr="00A32AF4">
        <w:rPr>
          <w:rFonts w:ascii="Arial" w:hAnsi="Arial" w:cs="Arial"/>
          <w:szCs w:val="20"/>
        </w:rPr>
        <w:t>intervalle entre la date de réception des documents et la date d</w:t>
      </w:r>
      <w:r w:rsidR="00E2055A" w:rsidRPr="00A32AF4">
        <w:rPr>
          <w:rFonts w:ascii="Arial" w:hAnsi="Arial" w:cs="Arial"/>
          <w:szCs w:val="20"/>
        </w:rPr>
        <w:t>’</w:t>
      </w:r>
      <w:r w:rsidRPr="00A32AF4">
        <w:rPr>
          <w:rFonts w:ascii="Arial" w:hAnsi="Arial" w:cs="Arial"/>
          <w:szCs w:val="20"/>
        </w:rPr>
        <w:t>inscription.</w:t>
      </w:r>
    </w:p>
    <w:p w:rsidR="009600B2" w:rsidRPr="00A32AF4" w:rsidRDefault="009600B2" w:rsidP="00DC0553">
      <w:pPr>
        <w:pStyle w:val="ListParagraph"/>
        <w:ind w:left="0"/>
        <w:jc w:val="both"/>
        <w:rPr>
          <w:rFonts w:ascii="Arial" w:hAnsi="Arial" w:cs="Arial"/>
        </w:rPr>
      </w:pPr>
    </w:p>
    <w:tbl>
      <w:tblPr>
        <w:tblStyle w:val="TableGrid"/>
        <w:tblW w:w="0" w:type="auto"/>
        <w:jc w:val="center"/>
        <w:tblLook w:val="04A0" w:firstRow="1" w:lastRow="0" w:firstColumn="1" w:lastColumn="0" w:noHBand="0" w:noVBand="1"/>
      </w:tblPr>
      <w:tblGrid>
        <w:gridCol w:w="4641"/>
        <w:gridCol w:w="4646"/>
      </w:tblGrid>
      <w:tr w:rsidR="009600B2" w:rsidRPr="00A32AF4" w:rsidTr="00115F7D">
        <w:trPr>
          <w:trHeight w:val="3298"/>
          <w:jc w:val="center"/>
        </w:trPr>
        <w:tc>
          <w:tcPr>
            <w:tcW w:w="4560" w:type="dxa"/>
          </w:tcPr>
          <w:p w:rsidR="009600B2" w:rsidRPr="00A32AF4" w:rsidRDefault="009600B2" w:rsidP="00DC0553">
            <w:pPr>
              <w:jc w:val="both"/>
              <w:rPr>
                <w:rFonts w:cs="Arial"/>
              </w:rPr>
            </w:pPr>
            <w:r w:rsidRPr="00A32AF4">
              <w:rPr>
                <w:rFonts w:cs="Arial"/>
                <w:noProof/>
                <w:lang w:eastAsia="fr-FR"/>
              </w:rPr>
              <w:drawing>
                <wp:inline distT="0" distB="0" distL="0" distR="0" wp14:anchorId="4DCCDFCE" wp14:editId="47B2B11C">
                  <wp:extent cx="2849817" cy="2163600"/>
                  <wp:effectExtent l="0" t="0" r="8255" b="825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64" cstate="print">
                            <a:extLst>
                              <a:ext uri="{28A0092B-C50C-407E-A947-70E740481C1C}">
                                <a14:useLocalDpi xmlns:a14="http://schemas.microsoft.com/office/drawing/2010/main" val="0"/>
                              </a:ext>
                            </a:extLst>
                          </a:blip>
                          <a:srcRect/>
                          <a:stretch>
                            <a:fillRect/>
                          </a:stretch>
                        </pic:blipFill>
                        <pic:spPr bwMode="auto">
                          <a:xfrm>
                            <a:off x="0" y="0"/>
                            <a:ext cx="2849817" cy="2163600"/>
                          </a:xfrm>
                          <a:prstGeom prst="rect">
                            <a:avLst/>
                          </a:prstGeom>
                          <a:noFill/>
                          <a:ln>
                            <a:noFill/>
                          </a:ln>
                        </pic:spPr>
                      </pic:pic>
                    </a:graphicData>
                  </a:graphic>
                </wp:inline>
              </w:drawing>
            </w:r>
          </w:p>
        </w:tc>
        <w:tc>
          <w:tcPr>
            <w:tcW w:w="4591" w:type="dxa"/>
          </w:tcPr>
          <w:p w:rsidR="009600B2" w:rsidRPr="00A32AF4" w:rsidRDefault="009600B2" w:rsidP="00DC0553">
            <w:pPr>
              <w:jc w:val="both"/>
              <w:rPr>
                <w:rFonts w:cs="Arial"/>
              </w:rPr>
            </w:pPr>
            <w:r w:rsidRPr="00A32AF4">
              <w:rPr>
                <w:rFonts w:cs="Arial"/>
                <w:noProof/>
                <w:lang w:eastAsia="fr-FR"/>
              </w:rPr>
              <w:drawing>
                <wp:inline distT="0" distB="0" distL="0" distR="0" wp14:anchorId="2D415FC2" wp14:editId="40034E1F">
                  <wp:extent cx="2958690" cy="2181600"/>
                  <wp:effectExtent l="0" t="0" r="0" b="952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5" cstate="print">
                            <a:extLst>
                              <a:ext uri="{28A0092B-C50C-407E-A947-70E740481C1C}">
                                <a14:useLocalDpi xmlns:a14="http://schemas.microsoft.com/office/drawing/2010/main" val="0"/>
                              </a:ext>
                            </a:extLst>
                          </a:blip>
                          <a:srcRect/>
                          <a:stretch>
                            <a:fillRect/>
                          </a:stretch>
                        </pic:blipFill>
                        <pic:spPr bwMode="auto">
                          <a:xfrm>
                            <a:off x="0" y="0"/>
                            <a:ext cx="2958690" cy="2181600"/>
                          </a:xfrm>
                          <a:prstGeom prst="rect">
                            <a:avLst/>
                          </a:prstGeom>
                          <a:noFill/>
                          <a:ln>
                            <a:noFill/>
                          </a:ln>
                        </pic:spPr>
                      </pic:pic>
                    </a:graphicData>
                  </a:graphic>
                </wp:inline>
              </w:drawing>
            </w:r>
          </w:p>
        </w:tc>
      </w:tr>
      <w:tr w:rsidR="009600B2" w:rsidRPr="00A32AF4" w:rsidTr="00115F7D">
        <w:trPr>
          <w:trHeight w:val="3418"/>
          <w:jc w:val="center"/>
        </w:trPr>
        <w:tc>
          <w:tcPr>
            <w:tcW w:w="4560" w:type="dxa"/>
          </w:tcPr>
          <w:p w:rsidR="009600B2" w:rsidRPr="00A32AF4" w:rsidRDefault="009600B2" w:rsidP="00DC0553">
            <w:pPr>
              <w:jc w:val="both"/>
              <w:rPr>
                <w:rFonts w:cs="Arial"/>
              </w:rPr>
            </w:pPr>
            <w:r w:rsidRPr="00A32AF4">
              <w:rPr>
                <w:rFonts w:cs="Arial"/>
                <w:noProof/>
                <w:lang w:eastAsia="fr-FR"/>
              </w:rPr>
              <w:drawing>
                <wp:inline distT="0" distB="0" distL="0" distR="0" wp14:anchorId="59D8E163" wp14:editId="704B82E8">
                  <wp:extent cx="2955067" cy="2163651"/>
                  <wp:effectExtent l="0" t="0" r="0" b="825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66" cstate="print">
                            <a:extLst>
                              <a:ext uri="{28A0092B-C50C-407E-A947-70E740481C1C}">
                                <a14:useLocalDpi xmlns:a14="http://schemas.microsoft.com/office/drawing/2010/main" val="0"/>
                              </a:ext>
                            </a:extLst>
                          </a:blip>
                          <a:srcRect/>
                          <a:stretch>
                            <a:fillRect/>
                          </a:stretch>
                        </pic:blipFill>
                        <pic:spPr bwMode="auto">
                          <a:xfrm>
                            <a:off x="0" y="0"/>
                            <a:ext cx="2955027" cy="2163622"/>
                          </a:xfrm>
                          <a:prstGeom prst="rect">
                            <a:avLst/>
                          </a:prstGeom>
                          <a:noFill/>
                          <a:ln>
                            <a:noFill/>
                          </a:ln>
                        </pic:spPr>
                      </pic:pic>
                    </a:graphicData>
                  </a:graphic>
                </wp:inline>
              </w:drawing>
            </w:r>
          </w:p>
        </w:tc>
        <w:tc>
          <w:tcPr>
            <w:tcW w:w="4591" w:type="dxa"/>
          </w:tcPr>
          <w:p w:rsidR="009600B2" w:rsidRPr="00A32AF4" w:rsidRDefault="009600B2" w:rsidP="00DC0553">
            <w:pPr>
              <w:jc w:val="both"/>
              <w:rPr>
                <w:rFonts w:cs="Arial"/>
              </w:rPr>
            </w:pPr>
            <w:r w:rsidRPr="00A32AF4">
              <w:rPr>
                <w:rFonts w:cs="Arial"/>
                <w:noProof/>
                <w:lang w:eastAsia="fr-FR"/>
              </w:rPr>
              <w:drawing>
                <wp:inline distT="0" distB="0" distL="0" distR="0" wp14:anchorId="1BE9E65C" wp14:editId="7737166F">
                  <wp:extent cx="2910625" cy="2237645"/>
                  <wp:effectExtent l="0" t="0" r="4445"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2916864" cy="2242442"/>
                          </a:xfrm>
                          <a:prstGeom prst="rect">
                            <a:avLst/>
                          </a:prstGeom>
                          <a:noFill/>
                          <a:ln>
                            <a:noFill/>
                          </a:ln>
                        </pic:spPr>
                      </pic:pic>
                    </a:graphicData>
                  </a:graphic>
                </wp:inline>
              </w:drawing>
            </w:r>
          </w:p>
        </w:tc>
      </w:tr>
      <w:tr w:rsidR="009600B2" w:rsidRPr="00A32AF4" w:rsidTr="00115F7D">
        <w:trPr>
          <w:trHeight w:val="3194"/>
          <w:jc w:val="center"/>
        </w:trPr>
        <w:tc>
          <w:tcPr>
            <w:tcW w:w="4560" w:type="dxa"/>
          </w:tcPr>
          <w:p w:rsidR="009600B2" w:rsidRPr="00A32AF4" w:rsidRDefault="009600B2" w:rsidP="00DC0553">
            <w:pPr>
              <w:jc w:val="both"/>
              <w:rPr>
                <w:rFonts w:cs="Arial"/>
              </w:rPr>
            </w:pPr>
            <w:r w:rsidRPr="00A32AF4">
              <w:rPr>
                <w:rFonts w:cs="Arial"/>
                <w:noProof/>
                <w:lang w:eastAsia="fr-FR"/>
              </w:rPr>
              <w:drawing>
                <wp:inline distT="0" distB="0" distL="0" distR="0" wp14:anchorId="17649750" wp14:editId="090D9CA0">
                  <wp:extent cx="2918770" cy="2163600"/>
                  <wp:effectExtent l="0" t="0" r="0" b="825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2918770" cy="2163600"/>
                          </a:xfrm>
                          <a:prstGeom prst="rect">
                            <a:avLst/>
                          </a:prstGeom>
                          <a:noFill/>
                          <a:ln>
                            <a:noFill/>
                          </a:ln>
                        </pic:spPr>
                      </pic:pic>
                    </a:graphicData>
                  </a:graphic>
                </wp:inline>
              </w:drawing>
            </w:r>
          </w:p>
        </w:tc>
        <w:tc>
          <w:tcPr>
            <w:tcW w:w="4591" w:type="dxa"/>
          </w:tcPr>
          <w:p w:rsidR="009600B2" w:rsidRPr="00A32AF4" w:rsidRDefault="009600B2" w:rsidP="00DC0553">
            <w:pPr>
              <w:jc w:val="both"/>
              <w:rPr>
                <w:rFonts w:cs="Arial"/>
              </w:rPr>
            </w:pPr>
            <w:r w:rsidRPr="00A32AF4">
              <w:rPr>
                <w:rFonts w:cs="Arial"/>
                <w:noProof/>
                <w:lang w:eastAsia="fr-FR"/>
              </w:rPr>
              <w:drawing>
                <wp:inline distT="0" distB="0" distL="0" distR="0" wp14:anchorId="6A3E6151" wp14:editId="76284D4B">
                  <wp:extent cx="2943124" cy="2163651"/>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69" cstate="print">
                            <a:extLst>
                              <a:ext uri="{28A0092B-C50C-407E-A947-70E740481C1C}">
                                <a14:useLocalDpi xmlns:a14="http://schemas.microsoft.com/office/drawing/2010/main" val="0"/>
                              </a:ext>
                            </a:extLst>
                          </a:blip>
                          <a:srcRect/>
                          <a:stretch>
                            <a:fillRect/>
                          </a:stretch>
                        </pic:blipFill>
                        <pic:spPr bwMode="auto">
                          <a:xfrm>
                            <a:off x="0" y="0"/>
                            <a:ext cx="2950457" cy="2169042"/>
                          </a:xfrm>
                          <a:prstGeom prst="rect">
                            <a:avLst/>
                          </a:prstGeom>
                          <a:noFill/>
                          <a:ln>
                            <a:noFill/>
                          </a:ln>
                        </pic:spPr>
                      </pic:pic>
                    </a:graphicData>
                  </a:graphic>
                </wp:inline>
              </w:drawing>
            </w:r>
          </w:p>
        </w:tc>
      </w:tr>
    </w:tbl>
    <w:p w:rsidR="00F93B76" w:rsidRPr="00A32AF4" w:rsidRDefault="00F93B76" w:rsidP="00DC0553">
      <w:pPr>
        <w:jc w:val="both"/>
        <w:rPr>
          <w:rFonts w:cs="Arial"/>
        </w:rPr>
      </w:pPr>
    </w:p>
    <w:p w:rsidR="00F93B76" w:rsidRPr="00A32AF4" w:rsidRDefault="009600B2" w:rsidP="00DC0553">
      <w:pPr>
        <w:pStyle w:val="ListParagraph"/>
        <w:numPr>
          <w:ilvl w:val="0"/>
          <w:numId w:val="46"/>
        </w:numPr>
        <w:spacing w:after="120" w:line="240" w:lineRule="auto"/>
        <w:ind w:left="1134" w:hanging="567"/>
        <w:contextualSpacing w:val="0"/>
        <w:jc w:val="both"/>
        <w:rPr>
          <w:rFonts w:ascii="Arial" w:hAnsi="Arial" w:cs="Arial"/>
          <w:szCs w:val="20"/>
        </w:rPr>
      </w:pPr>
      <w:r w:rsidRPr="00A32AF4">
        <w:rPr>
          <w:rFonts w:ascii="Arial" w:hAnsi="Arial" w:cs="Arial"/>
          <w:szCs w:val="20"/>
        </w:rPr>
        <w:t>Par rapport à 2013, le délai moyen de traitement en 2014 a augmenté en ce qui concerne les demandes, les corrections, les modifications et les désignations postérieures.  Ce délai est resté stable pour les renouvellements, et il a diminué pour la deuxième année consécutive en ce qui concerne les décisions.</w:t>
      </w:r>
    </w:p>
    <w:p w:rsidR="00F93B76" w:rsidRPr="00A32AF4" w:rsidRDefault="009600B2" w:rsidP="00DC0553">
      <w:pPr>
        <w:pStyle w:val="ListParagraph"/>
        <w:numPr>
          <w:ilvl w:val="0"/>
          <w:numId w:val="46"/>
        </w:numPr>
        <w:spacing w:after="0" w:line="240" w:lineRule="auto"/>
        <w:ind w:left="1134" w:hanging="567"/>
        <w:jc w:val="both"/>
        <w:rPr>
          <w:rFonts w:ascii="Arial" w:hAnsi="Arial" w:cs="Arial"/>
          <w:szCs w:val="20"/>
        </w:rPr>
      </w:pPr>
      <w:r w:rsidRPr="00A32AF4">
        <w:rPr>
          <w:rFonts w:ascii="Arial" w:hAnsi="Arial" w:cs="Arial"/>
          <w:szCs w:val="20"/>
        </w:rPr>
        <w:t>L</w:t>
      </w:r>
      <w:r w:rsidR="00E2055A" w:rsidRPr="00A32AF4">
        <w:rPr>
          <w:rFonts w:ascii="Arial" w:hAnsi="Arial" w:cs="Arial"/>
          <w:szCs w:val="20"/>
        </w:rPr>
        <w:t>’</w:t>
      </w:r>
      <w:r w:rsidRPr="00A32AF4">
        <w:rPr>
          <w:rFonts w:ascii="Arial" w:hAnsi="Arial" w:cs="Arial"/>
          <w:szCs w:val="20"/>
        </w:rPr>
        <w:t>amélioration et la stabilisation des délais de traitement pour l</w:t>
      </w:r>
      <w:r w:rsidR="00E2055A" w:rsidRPr="00A32AF4">
        <w:rPr>
          <w:rFonts w:ascii="Arial" w:hAnsi="Arial" w:cs="Arial"/>
          <w:szCs w:val="20"/>
        </w:rPr>
        <w:t>’</w:t>
      </w:r>
      <w:r w:rsidRPr="00A32AF4">
        <w:rPr>
          <w:rFonts w:ascii="Arial" w:hAnsi="Arial" w:cs="Arial"/>
          <w:szCs w:val="20"/>
        </w:rPr>
        <w:t>ensemble des opérations constituent l</w:t>
      </w:r>
      <w:r w:rsidR="00E2055A" w:rsidRPr="00A32AF4">
        <w:rPr>
          <w:rFonts w:ascii="Arial" w:hAnsi="Arial" w:cs="Arial"/>
          <w:szCs w:val="20"/>
        </w:rPr>
        <w:t>’</w:t>
      </w:r>
      <w:r w:rsidRPr="00A32AF4">
        <w:rPr>
          <w:rFonts w:ascii="Arial" w:hAnsi="Arial" w:cs="Arial"/>
          <w:szCs w:val="20"/>
        </w:rPr>
        <w:t>un des principaux objectifs du Bureau international.</w:t>
      </w:r>
    </w:p>
    <w:p w:rsidR="00F93B76" w:rsidRPr="00A32AF4" w:rsidRDefault="00F93B76" w:rsidP="00DC0553">
      <w:pPr>
        <w:jc w:val="both"/>
        <w:rPr>
          <w:rFonts w:cs="Arial"/>
        </w:rPr>
      </w:pPr>
    </w:p>
    <w:p w:rsidR="00F93B76" w:rsidRPr="00A32AF4" w:rsidRDefault="00F93B76" w:rsidP="00DC0553"/>
    <w:p w:rsidR="00F93B76" w:rsidRPr="00A32AF4" w:rsidRDefault="00550BF0" w:rsidP="00DC0553">
      <w:r w:rsidRPr="00A32AF4">
        <w:br w:type="page"/>
      </w:r>
    </w:p>
    <w:p w:rsidR="00F93B76" w:rsidRPr="00A32AF4" w:rsidRDefault="000E03DF" w:rsidP="00FB1F61">
      <w:pPr>
        <w:pStyle w:val="Heading3"/>
      </w:pPr>
      <w:bookmarkStart w:id="87" w:name="_Toc431555481"/>
      <w:r w:rsidRPr="00A32AF4">
        <w:t>ANNEXE</w:t>
      </w:r>
      <w:r w:rsidR="00206B97" w:rsidRPr="00A32AF4">
        <w:t> </w:t>
      </w:r>
      <w:r w:rsidRPr="00A32AF4">
        <w:t>VII</w:t>
      </w:r>
      <w:r w:rsidRPr="00A32AF4">
        <w:tab/>
        <w:t xml:space="preserve">INDICATEURS relatifs aux opÉrations du systÈme de </w:t>
      </w:r>
      <w:r w:rsidR="00E2055A" w:rsidRPr="00A32AF4">
        <w:t>La Haye</w:t>
      </w:r>
      <w:bookmarkEnd w:id="87"/>
    </w:p>
    <w:p w:rsidR="00F93B76" w:rsidRPr="00A32AF4" w:rsidRDefault="00F93B76" w:rsidP="00DC0553">
      <w:pPr>
        <w:rPr>
          <w:rFonts w:cs="Arial"/>
          <w:b/>
        </w:rPr>
      </w:pPr>
    </w:p>
    <w:p w:rsidR="00F93B76" w:rsidRPr="00A32AF4" w:rsidRDefault="00F93B76" w:rsidP="00DC0553">
      <w:pPr>
        <w:rPr>
          <w:rFonts w:cs="Arial"/>
        </w:rPr>
      </w:pPr>
    </w:p>
    <w:p w:rsidR="00F93B76" w:rsidRPr="00A32AF4" w:rsidRDefault="000E03DF" w:rsidP="00DC0553">
      <w:pPr>
        <w:rPr>
          <w:rFonts w:cs="Arial"/>
          <w:caps/>
        </w:rPr>
      </w:pPr>
      <w:r w:rsidRPr="00A32AF4">
        <w:rPr>
          <w:rFonts w:cs="Arial"/>
          <w:caps/>
        </w:rPr>
        <w:t>INDICATeuRS d</w:t>
      </w:r>
      <w:r w:rsidR="00E2055A" w:rsidRPr="00A32AF4">
        <w:rPr>
          <w:rFonts w:cs="Arial"/>
          <w:caps/>
        </w:rPr>
        <w:t>’</w:t>
      </w:r>
      <w:r w:rsidRPr="00A32AF4">
        <w:rPr>
          <w:rFonts w:cs="Arial"/>
          <w:caps/>
        </w:rPr>
        <w:t>exÉcution pour le rÉsultat escomptÉ</w:t>
      </w:r>
    </w:p>
    <w:p w:rsidR="00F93B76" w:rsidRPr="00A32AF4" w:rsidRDefault="00B63C9F" w:rsidP="00DC0553">
      <w:pPr>
        <w:rPr>
          <w:rFonts w:cs="Arial"/>
        </w:rPr>
      </w:pPr>
      <w:r w:rsidRPr="00A32AF4">
        <w:rPr>
          <w:rFonts w:cs="Arial"/>
        </w:rPr>
        <w:t>“</w:t>
      </w:r>
      <w:r w:rsidR="000E03DF" w:rsidRPr="00A32AF4">
        <w:rPr>
          <w:rFonts w:cs="Arial"/>
        </w:rPr>
        <w:t xml:space="preserve">AMÉLIORATION DE LA PRODUCTIVITÉ ET DE LA QUALITÉ DE SERVICE DES OPÉRATIONS DU SYSTÈME DE </w:t>
      </w:r>
      <w:r w:rsidR="00E2055A" w:rsidRPr="00A32AF4">
        <w:rPr>
          <w:rFonts w:cs="Arial"/>
        </w:rPr>
        <w:t>LA HAYE</w:t>
      </w:r>
      <w:r w:rsidRPr="00A32AF4">
        <w:rPr>
          <w:rFonts w:cs="Arial"/>
        </w:rPr>
        <w:t>”</w:t>
      </w:r>
    </w:p>
    <w:p w:rsidR="00F93B76" w:rsidRPr="00A32AF4" w:rsidRDefault="00F93B76" w:rsidP="00DC0553">
      <w:pPr>
        <w:rPr>
          <w:rFonts w:cs="Arial"/>
          <w:b/>
        </w:rPr>
      </w:pPr>
    </w:p>
    <w:p w:rsidR="00F93B76" w:rsidRPr="00A32AF4" w:rsidRDefault="00F93B76" w:rsidP="00DC0553">
      <w:pPr>
        <w:rPr>
          <w:rFonts w:cs="Arial"/>
        </w:rPr>
      </w:pPr>
    </w:p>
    <w:p w:rsidR="00F93B76" w:rsidRPr="00A32AF4" w:rsidRDefault="000E03DF" w:rsidP="00DC0553">
      <w:pPr>
        <w:pStyle w:val="ListParagraph"/>
        <w:numPr>
          <w:ilvl w:val="0"/>
          <w:numId w:val="58"/>
        </w:numPr>
        <w:tabs>
          <w:tab w:val="left" w:pos="0"/>
          <w:tab w:val="left" w:pos="567"/>
        </w:tabs>
        <w:spacing w:after="0" w:line="240" w:lineRule="auto"/>
        <w:ind w:left="0" w:firstLine="0"/>
        <w:jc w:val="both"/>
        <w:rPr>
          <w:rFonts w:ascii="Arial" w:hAnsi="Arial" w:cs="Arial"/>
          <w:szCs w:val="20"/>
        </w:rPr>
      </w:pPr>
      <w:r w:rsidRPr="00A32AF4">
        <w:rPr>
          <w:rFonts w:ascii="Arial" w:hAnsi="Arial" w:cs="Arial"/>
          <w:szCs w:val="20"/>
        </w:rPr>
        <w:t>En vue d</w:t>
      </w:r>
      <w:r w:rsidR="00E2055A" w:rsidRPr="00A32AF4">
        <w:rPr>
          <w:rFonts w:ascii="Arial" w:hAnsi="Arial" w:cs="Arial"/>
          <w:szCs w:val="20"/>
        </w:rPr>
        <w:t>’</w:t>
      </w:r>
      <w:r w:rsidRPr="00A32AF4">
        <w:rPr>
          <w:rFonts w:ascii="Arial" w:hAnsi="Arial" w:cs="Arial"/>
          <w:szCs w:val="20"/>
        </w:rPr>
        <w:t>établir les indicateurs d</w:t>
      </w:r>
      <w:r w:rsidR="00E2055A" w:rsidRPr="00A32AF4">
        <w:rPr>
          <w:rFonts w:ascii="Arial" w:hAnsi="Arial" w:cs="Arial"/>
          <w:szCs w:val="20"/>
        </w:rPr>
        <w:t>’</w:t>
      </w:r>
      <w:r w:rsidRPr="00A32AF4">
        <w:rPr>
          <w:rFonts w:ascii="Arial" w:hAnsi="Arial" w:cs="Arial"/>
          <w:szCs w:val="20"/>
        </w:rPr>
        <w:t xml:space="preserve">exécution pour le résultat escompté </w:t>
      </w:r>
      <w:r w:rsidR="00B63C9F" w:rsidRPr="00A32AF4">
        <w:rPr>
          <w:rFonts w:ascii="Arial" w:hAnsi="Arial" w:cs="Arial"/>
          <w:szCs w:val="20"/>
        </w:rPr>
        <w:t>“</w:t>
      </w:r>
      <w:r w:rsidRPr="00A32AF4">
        <w:rPr>
          <w:rFonts w:ascii="Arial" w:hAnsi="Arial" w:cs="Arial"/>
          <w:szCs w:val="20"/>
        </w:rPr>
        <w:t xml:space="preserve">Amélioration de la productivité et de la qualité de service des opérations du système de </w:t>
      </w:r>
      <w:r w:rsidR="00E2055A" w:rsidRPr="00A32AF4">
        <w:rPr>
          <w:rFonts w:ascii="Arial" w:hAnsi="Arial" w:cs="Arial"/>
          <w:szCs w:val="20"/>
        </w:rPr>
        <w:t>La Haye</w:t>
      </w:r>
      <w:r w:rsidR="00B63C9F" w:rsidRPr="00A32AF4">
        <w:rPr>
          <w:rFonts w:ascii="Arial" w:hAnsi="Arial" w:cs="Arial"/>
          <w:szCs w:val="20"/>
        </w:rPr>
        <w:t>”</w:t>
      </w:r>
      <w:r w:rsidRPr="00A32AF4">
        <w:rPr>
          <w:rFonts w:ascii="Arial" w:hAnsi="Arial" w:cs="Arial"/>
          <w:szCs w:val="20"/>
        </w:rPr>
        <w:t>, il convient d</w:t>
      </w:r>
      <w:r w:rsidR="00E2055A" w:rsidRPr="00A32AF4">
        <w:rPr>
          <w:rFonts w:ascii="Arial" w:hAnsi="Arial" w:cs="Arial"/>
          <w:szCs w:val="20"/>
        </w:rPr>
        <w:t>’</w:t>
      </w:r>
      <w:r w:rsidRPr="00A32AF4">
        <w:rPr>
          <w:rFonts w:ascii="Arial" w:hAnsi="Arial" w:cs="Arial"/>
          <w:szCs w:val="20"/>
        </w:rPr>
        <w:t>examiner l</w:t>
      </w:r>
      <w:r w:rsidR="00E2055A" w:rsidRPr="00A32AF4">
        <w:rPr>
          <w:rFonts w:ascii="Arial" w:hAnsi="Arial" w:cs="Arial"/>
          <w:szCs w:val="20"/>
        </w:rPr>
        <w:t>’</w:t>
      </w:r>
      <w:r w:rsidRPr="00A32AF4">
        <w:rPr>
          <w:rFonts w:ascii="Arial" w:hAnsi="Arial" w:cs="Arial"/>
          <w:szCs w:val="20"/>
        </w:rPr>
        <w:t>évolution des éléments suivants :</w:t>
      </w:r>
    </w:p>
    <w:p w:rsidR="00F93B76" w:rsidRPr="00A32AF4" w:rsidRDefault="00F93B76" w:rsidP="00DC0553">
      <w:pPr>
        <w:pStyle w:val="ListParagraph"/>
        <w:tabs>
          <w:tab w:val="left" w:pos="0"/>
          <w:tab w:val="left" w:pos="567"/>
        </w:tabs>
        <w:spacing w:after="0" w:line="240" w:lineRule="auto"/>
        <w:ind w:left="0"/>
        <w:jc w:val="both"/>
        <w:rPr>
          <w:rFonts w:ascii="Arial" w:hAnsi="Arial" w:cs="Arial"/>
          <w:szCs w:val="20"/>
        </w:rPr>
      </w:pPr>
    </w:p>
    <w:p w:rsidR="00F93B76" w:rsidRPr="00A32AF4" w:rsidRDefault="000E03DF" w:rsidP="00DC0553">
      <w:pPr>
        <w:numPr>
          <w:ilvl w:val="0"/>
          <w:numId w:val="41"/>
        </w:numPr>
        <w:spacing w:after="120"/>
        <w:ind w:left="1134" w:firstLine="0"/>
        <w:jc w:val="both"/>
        <w:rPr>
          <w:rFonts w:cs="Arial"/>
        </w:rPr>
      </w:pPr>
      <w:r w:rsidRPr="00A32AF4">
        <w:rPr>
          <w:rFonts w:cs="Arial"/>
        </w:rPr>
        <w:t xml:space="preserve">la charge de travail dans le cadre du système de </w:t>
      </w:r>
      <w:r w:rsidR="00E2055A" w:rsidRPr="00A32AF4">
        <w:rPr>
          <w:rFonts w:cs="Arial"/>
        </w:rPr>
        <w:t>La </w:t>
      </w:r>
      <w:proofErr w:type="gramStart"/>
      <w:r w:rsidR="00E2055A" w:rsidRPr="00A32AF4">
        <w:rPr>
          <w:rFonts w:cs="Arial"/>
        </w:rPr>
        <w:t>Haye</w:t>
      </w:r>
      <w:r w:rsidRPr="00A32AF4">
        <w:rPr>
          <w:rFonts w:cs="Arial"/>
        </w:rPr>
        <w:t>;</w:t>
      </w:r>
      <w:proofErr w:type="gramEnd"/>
    </w:p>
    <w:p w:rsidR="00F93B76" w:rsidRPr="00A32AF4" w:rsidRDefault="000E03DF" w:rsidP="00DC0553">
      <w:pPr>
        <w:numPr>
          <w:ilvl w:val="0"/>
          <w:numId w:val="41"/>
        </w:numPr>
        <w:spacing w:after="120"/>
        <w:ind w:left="1134" w:firstLine="0"/>
        <w:jc w:val="both"/>
        <w:rPr>
          <w:rFonts w:cs="Arial"/>
        </w:rPr>
      </w:pPr>
      <w:r w:rsidRPr="00A32AF4">
        <w:rPr>
          <w:rFonts w:cs="Arial"/>
        </w:rPr>
        <w:t xml:space="preserve">les facteurs expliquant cette charge de </w:t>
      </w:r>
      <w:proofErr w:type="gramStart"/>
      <w:r w:rsidRPr="00A32AF4">
        <w:rPr>
          <w:rFonts w:cs="Arial"/>
        </w:rPr>
        <w:t>travail;</w:t>
      </w:r>
      <w:proofErr w:type="gramEnd"/>
    </w:p>
    <w:p w:rsidR="00F93B76" w:rsidRPr="00A32AF4" w:rsidRDefault="000E03DF" w:rsidP="00DC0553">
      <w:pPr>
        <w:numPr>
          <w:ilvl w:val="0"/>
          <w:numId w:val="41"/>
        </w:numPr>
        <w:spacing w:after="120"/>
        <w:ind w:left="1134" w:firstLine="0"/>
        <w:jc w:val="both"/>
        <w:rPr>
          <w:rFonts w:cs="Arial"/>
        </w:rPr>
      </w:pPr>
      <w:r w:rsidRPr="00A32AF4">
        <w:rPr>
          <w:rFonts w:cs="Arial"/>
        </w:rPr>
        <w:t xml:space="preserve">le degré </w:t>
      </w:r>
      <w:proofErr w:type="gramStart"/>
      <w:r w:rsidRPr="00A32AF4">
        <w:rPr>
          <w:rFonts w:cs="Arial"/>
        </w:rPr>
        <w:t>d</w:t>
      </w:r>
      <w:r w:rsidR="00E2055A" w:rsidRPr="00A32AF4">
        <w:rPr>
          <w:rFonts w:cs="Arial"/>
        </w:rPr>
        <w:t>’</w:t>
      </w:r>
      <w:r w:rsidRPr="00A32AF4">
        <w:rPr>
          <w:rFonts w:cs="Arial"/>
        </w:rPr>
        <w:t>automatisation;</w:t>
      </w:r>
      <w:proofErr w:type="gramEnd"/>
      <w:r w:rsidRPr="00A32AF4">
        <w:rPr>
          <w:rFonts w:cs="Arial"/>
        </w:rPr>
        <w:t xml:space="preserve">  et</w:t>
      </w:r>
    </w:p>
    <w:p w:rsidR="00F93B76" w:rsidRPr="00A32AF4" w:rsidRDefault="000E03DF" w:rsidP="00DC0553">
      <w:pPr>
        <w:numPr>
          <w:ilvl w:val="0"/>
          <w:numId w:val="41"/>
        </w:numPr>
        <w:ind w:left="1134" w:firstLine="0"/>
        <w:jc w:val="both"/>
        <w:rPr>
          <w:rFonts w:cs="Arial"/>
        </w:rPr>
      </w:pPr>
      <w:r w:rsidRPr="00A32AF4">
        <w:rPr>
          <w:rFonts w:cs="Arial"/>
        </w:rPr>
        <w:t>les ressources prévues pour absorber la charge de travail.</w:t>
      </w:r>
    </w:p>
    <w:p w:rsidR="00F93B76" w:rsidRPr="00A32AF4" w:rsidRDefault="00F93B76" w:rsidP="00DC0553">
      <w:pPr>
        <w:jc w:val="both"/>
        <w:rPr>
          <w:rFonts w:cs="Arial"/>
        </w:rPr>
      </w:pPr>
    </w:p>
    <w:p w:rsidR="00F93B76" w:rsidRPr="00A32AF4" w:rsidRDefault="000E03DF" w:rsidP="00DC0553">
      <w:pPr>
        <w:pStyle w:val="ListParagraph"/>
        <w:numPr>
          <w:ilvl w:val="0"/>
          <w:numId w:val="58"/>
        </w:numPr>
        <w:tabs>
          <w:tab w:val="left" w:pos="0"/>
          <w:tab w:val="left" w:pos="567"/>
        </w:tabs>
        <w:spacing w:after="0" w:line="240" w:lineRule="auto"/>
        <w:ind w:left="0" w:firstLine="0"/>
        <w:jc w:val="both"/>
        <w:rPr>
          <w:rFonts w:ascii="Arial" w:hAnsi="Arial" w:cs="Arial"/>
          <w:szCs w:val="20"/>
        </w:rPr>
      </w:pPr>
      <w:r w:rsidRPr="00A32AF4">
        <w:rPr>
          <w:rFonts w:ascii="Arial" w:hAnsi="Arial" w:cs="Arial"/>
          <w:szCs w:val="20"/>
        </w:rPr>
        <w:t xml:space="preserve">Le Bureau international reçoit essentiellement quatre types de documents, </w:t>
      </w:r>
      <w:r w:rsidR="00E2055A" w:rsidRPr="00A32AF4">
        <w:rPr>
          <w:rFonts w:ascii="Arial" w:hAnsi="Arial" w:cs="Arial"/>
          <w:szCs w:val="20"/>
        </w:rPr>
        <w:t>à savoir</w:t>
      </w:r>
      <w:r w:rsidRPr="00A32AF4">
        <w:rPr>
          <w:rFonts w:ascii="Arial" w:hAnsi="Arial" w:cs="Arial"/>
          <w:szCs w:val="20"/>
        </w:rPr>
        <w:t xml:space="preserve"> les demandes internationales, les demandes de renouvellement, les requêtes en inscription de changements et les décisions.  Les dernières tendances concernant chacun de ces documents sont indiquées ci</w:t>
      </w:r>
      <w:r w:rsidR="00EB7F54" w:rsidRPr="00A32AF4">
        <w:rPr>
          <w:rFonts w:ascii="Arial" w:hAnsi="Arial" w:cs="Arial"/>
          <w:szCs w:val="20"/>
        </w:rPr>
        <w:noBreakHyphen/>
      </w:r>
      <w:r w:rsidRPr="00A32AF4">
        <w:rPr>
          <w:rFonts w:ascii="Arial" w:hAnsi="Arial" w:cs="Arial"/>
          <w:szCs w:val="20"/>
        </w:rPr>
        <w:t>après.  Des informations supplémentaires sur les demandes reçues, telles que le nombre moyen de dessins ou modèles par demande, sont également fournies.  Pour des raisons techniques, les données fournies dans l</w:t>
      </w:r>
      <w:r w:rsidR="00E2055A" w:rsidRPr="00A32AF4">
        <w:rPr>
          <w:rFonts w:ascii="Arial" w:hAnsi="Arial" w:cs="Arial"/>
          <w:szCs w:val="20"/>
        </w:rPr>
        <w:t>’</w:t>
      </w:r>
      <w:r w:rsidRPr="00A32AF4">
        <w:rPr>
          <w:rFonts w:ascii="Arial" w:hAnsi="Arial" w:cs="Arial"/>
          <w:szCs w:val="20"/>
        </w:rPr>
        <w:t>indicateur relatif aux irrégularités sont fondées sur les documents traités plutôt que sur les documents reçus.</w:t>
      </w:r>
    </w:p>
    <w:p w:rsidR="00F93B76" w:rsidRPr="00A32AF4" w:rsidRDefault="00F93B76" w:rsidP="00DC0553">
      <w:pPr>
        <w:pStyle w:val="ListParagraph"/>
        <w:tabs>
          <w:tab w:val="left" w:pos="0"/>
          <w:tab w:val="left" w:pos="567"/>
        </w:tabs>
        <w:spacing w:after="0" w:line="240" w:lineRule="auto"/>
        <w:ind w:left="0"/>
        <w:jc w:val="both"/>
        <w:rPr>
          <w:rFonts w:ascii="Arial" w:hAnsi="Arial" w:cs="Arial"/>
          <w:szCs w:val="20"/>
        </w:rPr>
      </w:pPr>
    </w:p>
    <w:p w:rsidR="00F93B76" w:rsidRPr="00A32AF4" w:rsidRDefault="000E03DF" w:rsidP="00DC0553">
      <w:pPr>
        <w:tabs>
          <w:tab w:val="left" w:pos="567"/>
        </w:tabs>
        <w:spacing w:before="120" w:after="240"/>
        <w:rPr>
          <w:rFonts w:cs="Arial"/>
          <w:b/>
        </w:rPr>
      </w:pPr>
      <w:r w:rsidRPr="00A32AF4">
        <w:rPr>
          <w:rFonts w:cs="Arial"/>
          <w:b/>
        </w:rPr>
        <w:t>I.</w:t>
      </w:r>
      <w:r w:rsidRPr="00A32AF4">
        <w:rPr>
          <w:rFonts w:cs="Arial"/>
          <w:b/>
        </w:rPr>
        <w:tab/>
        <w:t>Documents reçus</w:t>
      </w:r>
    </w:p>
    <w:p w:rsidR="00F93B76" w:rsidRPr="00A32AF4" w:rsidRDefault="000E03DF" w:rsidP="00DC0553">
      <w:pPr>
        <w:spacing w:before="120" w:after="240"/>
        <w:rPr>
          <w:rFonts w:cs="Arial"/>
          <w:u w:val="single"/>
        </w:rPr>
      </w:pPr>
      <w:r w:rsidRPr="00A32AF4">
        <w:rPr>
          <w:rFonts w:cs="Arial"/>
          <w:u w:val="single"/>
        </w:rPr>
        <w:t>Demandes reçues</w:t>
      </w:r>
    </w:p>
    <w:p w:rsidR="00F93B76" w:rsidRPr="00A32AF4" w:rsidRDefault="000E03DF" w:rsidP="00DC0553">
      <w:pPr>
        <w:spacing w:before="120" w:after="240"/>
        <w:jc w:val="center"/>
        <w:rPr>
          <w:rFonts w:cs="Arial"/>
          <w:u w:val="single"/>
        </w:rPr>
      </w:pPr>
      <w:r w:rsidRPr="00A32AF4">
        <w:rPr>
          <w:noProof/>
          <w:lang w:eastAsia="fr-FR"/>
        </w:rPr>
        <w:drawing>
          <wp:inline distT="0" distB="0" distL="0" distR="0" wp14:anchorId="032A3388" wp14:editId="0507907F">
            <wp:extent cx="4593040" cy="28257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4596717" cy="2828012"/>
                    </a:xfrm>
                    <a:prstGeom prst="rect">
                      <a:avLst/>
                    </a:prstGeom>
                    <a:noFill/>
                    <a:ln>
                      <a:noFill/>
                    </a:ln>
                  </pic:spPr>
                </pic:pic>
              </a:graphicData>
            </a:graphic>
          </wp:inline>
        </w:drawing>
      </w:r>
    </w:p>
    <w:p w:rsidR="00F93B76" w:rsidRPr="00A32AF4" w:rsidRDefault="000E03DF" w:rsidP="00DC0553">
      <w:pPr>
        <w:pStyle w:val="ListParagraph"/>
        <w:numPr>
          <w:ilvl w:val="0"/>
          <w:numId w:val="50"/>
        </w:numPr>
        <w:spacing w:after="120" w:line="240" w:lineRule="auto"/>
        <w:ind w:left="992" w:hanging="425"/>
        <w:contextualSpacing w:val="0"/>
        <w:jc w:val="both"/>
        <w:rPr>
          <w:rFonts w:ascii="Arial" w:hAnsi="Arial" w:cs="Arial"/>
          <w:szCs w:val="20"/>
        </w:rPr>
      </w:pPr>
      <w:r w:rsidRPr="00A32AF4">
        <w:rPr>
          <w:rFonts w:ascii="Arial" w:hAnsi="Arial" w:cs="Arial"/>
          <w:szCs w:val="20"/>
        </w:rPr>
        <w:t>En 2014, le Bureau international a reçu 2924 demandes internationales, soit une baisse de 2,2% par rapport à 2013.  En 2013, le nombre de demandes reçues a enregistré une forte hausse, de l</w:t>
      </w:r>
      <w:r w:rsidR="00E2055A" w:rsidRPr="00A32AF4">
        <w:rPr>
          <w:rFonts w:ascii="Arial" w:hAnsi="Arial" w:cs="Arial"/>
          <w:szCs w:val="20"/>
        </w:rPr>
        <w:t>’</w:t>
      </w:r>
      <w:r w:rsidRPr="00A32AF4">
        <w:rPr>
          <w:rFonts w:ascii="Arial" w:hAnsi="Arial" w:cs="Arial"/>
          <w:szCs w:val="20"/>
        </w:rPr>
        <w:t>ordre de 15%.</w:t>
      </w:r>
    </w:p>
    <w:p w:rsidR="00F93B76" w:rsidRPr="00A32AF4" w:rsidRDefault="000E03DF" w:rsidP="00DC0553">
      <w:pPr>
        <w:pStyle w:val="ListParagraph"/>
        <w:numPr>
          <w:ilvl w:val="0"/>
          <w:numId w:val="50"/>
        </w:numPr>
        <w:spacing w:line="240" w:lineRule="auto"/>
        <w:ind w:left="993" w:hanging="426"/>
        <w:jc w:val="both"/>
        <w:rPr>
          <w:rFonts w:ascii="Arial" w:hAnsi="Arial" w:cs="Arial"/>
          <w:szCs w:val="20"/>
        </w:rPr>
      </w:pPr>
      <w:r w:rsidRPr="00A32AF4">
        <w:rPr>
          <w:rFonts w:ascii="Arial" w:hAnsi="Arial" w:cs="Arial"/>
          <w:szCs w:val="20"/>
        </w:rPr>
        <w:t>En 2014, 89% des demandes ont été déposées par voie électronique.  Le taux de dépôts par voie électronique a augmenté de 10% entre 2011 et 2014, passant de 79% en 2011 à 89% en 2014.</w:t>
      </w:r>
    </w:p>
    <w:p w:rsidR="00F93B76" w:rsidRPr="00A32AF4" w:rsidRDefault="000E03DF" w:rsidP="00DC0553">
      <w:pPr>
        <w:pStyle w:val="ListParagraph"/>
        <w:keepNext/>
        <w:keepLines/>
        <w:spacing w:after="0" w:line="240" w:lineRule="auto"/>
        <w:ind w:left="567"/>
        <w:rPr>
          <w:rFonts w:ascii="Arial" w:hAnsi="Arial" w:cs="Arial"/>
          <w:i/>
          <w:szCs w:val="20"/>
        </w:rPr>
      </w:pPr>
      <w:r w:rsidRPr="00A32AF4">
        <w:rPr>
          <w:rFonts w:ascii="Arial" w:hAnsi="Arial" w:cs="Arial"/>
          <w:i/>
          <w:szCs w:val="20"/>
        </w:rPr>
        <w:t>Nombre moyen de dessins ou modèles par demande</w:t>
      </w:r>
    </w:p>
    <w:p w:rsidR="00F93B76" w:rsidRPr="00A32AF4" w:rsidRDefault="000E03DF" w:rsidP="00DC0553">
      <w:pPr>
        <w:keepNext/>
        <w:keepLines/>
        <w:spacing w:before="120" w:after="240"/>
        <w:jc w:val="center"/>
        <w:rPr>
          <w:rFonts w:cs="Arial"/>
        </w:rPr>
      </w:pPr>
      <w:r w:rsidRPr="00A32AF4">
        <w:rPr>
          <w:noProof/>
          <w:lang w:eastAsia="fr-FR"/>
        </w:rPr>
        <w:drawing>
          <wp:inline distT="0" distB="0" distL="0" distR="0" wp14:anchorId="0E3F1270" wp14:editId="24B302F0">
            <wp:extent cx="4308774" cy="2650863"/>
            <wp:effectExtent l="0" t="0" r="0" b="0"/>
            <wp:docPr id="960" name="Picture 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1" cstate="print">
                      <a:extLst>
                        <a:ext uri="{28A0092B-C50C-407E-A947-70E740481C1C}">
                          <a14:useLocalDpi xmlns:a14="http://schemas.microsoft.com/office/drawing/2010/main" val="0"/>
                        </a:ext>
                      </a:extLst>
                    </a:blip>
                    <a:srcRect/>
                    <a:stretch>
                      <a:fillRect/>
                    </a:stretch>
                  </pic:blipFill>
                  <pic:spPr bwMode="auto">
                    <a:xfrm>
                      <a:off x="0" y="0"/>
                      <a:ext cx="4312263" cy="2653010"/>
                    </a:xfrm>
                    <a:prstGeom prst="rect">
                      <a:avLst/>
                    </a:prstGeom>
                    <a:noFill/>
                    <a:ln>
                      <a:noFill/>
                    </a:ln>
                  </pic:spPr>
                </pic:pic>
              </a:graphicData>
            </a:graphic>
          </wp:inline>
        </w:drawing>
      </w:r>
    </w:p>
    <w:p w:rsidR="00F93B76" w:rsidRPr="00A32AF4" w:rsidRDefault="000E03DF" w:rsidP="00DC0553">
      <w:pPr>
        <w:pStyle w:val="ListParagraph"/>
        <w:numPr>
          <w:ilvl w:val="0"/>
          <w:numId w:val="51"/>
        </w:numPr>
        <w:spacing w:line="240" w:lineRule="auto"/>
        <w:ind w:left="993" w:hanging="426"/>
        <w:jc w:val="both"/>
        <w:rPr>
          <w:rFonts w:ascii="Arial" w:hAnsi="Arial" w:cs="Arial"/>
          <w:szCs w:val="20"/>
        </w:rPr>
      </w:pPr>
      <w:r w:rsidRPr="00A32AF4">
        <w:rPr>
          <w:rFonts w:ascii="Arial" w:hAnsi="Arial" w:cs="Arial"/>
          <w:szCs w:val="20"/>
        </w:rPr>
        <w:t>En 2014, une demande contenait en moyenne à peu près cinq dessins ou modèles.  Entre 2011 et 2014, le nombre moyen de dessins ou modèles par demande a varié entre 4,5 et 5.</w:t>
      </w:r>
    </w:p>
    <w:p w:rsidR="00F93B76" w:rsidRPr="00A32AF4" w:rsidRDefault="00F93B76" w:rsidP="00DC0553">
      <w:pPr>
        <w:pStyle w:val="ListParagraph"/>
        <w:spacing w:line="240" w:lineRule="auto"/>
        <w:ind w:left="1418"/>
        <w:jc w:val="both"/>
        <w:rPr>
          <w:rFonts w:ascii="Arial" w:hAnsi="Arial" w:cs="Arial"/>
          <w:szCs w:val="20"/>
        </w:rPr>
      </w:pPr>
    </w:p>
    <w:p w:rsidR="00F93B76" w:rsidRPr="00A32AF4" w:rsidRDefault="00F93B76" w:rsidP="00DC0553">
      <w:pPr>
        <w:pStyle w:val="ListParagraph"/>
        <w:spacing w:line="240" w:lineRule="auto"/>
        <w:ind w:left="1418"/>
        <w:jc w:val="both"/>
        <w:rPr>
          <w:rFonts w:ascii="Arial" w:hAnsi="Arial" w:cs="Arial"/>
          <w:szCs w:val="20"/>
        </w:rPr>
      </w:pPr>
    </w:p>
    <w:p w:rsidR="00F93B76" w:rsidRPr="00A32AF4" w:rsidRDefault="000E03DF" w:rsidP="00DC0553">
      <w:pPr>
        <w:pStyle w:val="ListParagraph"/>
        <w:keepNext/>
        <w:keepLines/>
        <w:spacing w:after="0" w:line="240" w:lineRule="auto"/>
        <w:ind w:left="567"/>
        <w:rPr>
          <w:rFonts w:ascii="Arial" w:hAnsi="Arial" w:cs="Arial"/>
          <w:i/>
          <w:szCs w:val="20"/>
        </w:rPr>
      </w:pPr>
      <w:r w:rsidRPr="00A32AF4">
        <w:rPr>
          <w:rFonts w:ascii="Arial" w:hAnsi="Arial" w:cs="Arial"/>
          <w:i/>
          <w:szCs w:val="20"/>
        </w:rPr>
        <w:t>Nombre moyen de désignations par demande</w:t>
      </w:r>
    </w:p>
    <w:p w:rsidR="00F93B76" w:rsidRPr="00A32AF4" w:rsidRDefault="00F93B76" w:rsidP="00DC0553">
      <w:pPr>
        <w:pStyle w:val="ListParagraph"/>
        <w:keepNext/>
        <w:keepLines/>
        <w:spacing w:after="0" w:line="240" w:lineRule="auto"/>
        <w:ind w:left="567"/>
        <w:rPr>
          <w:rFonts w:ascii="Arial" w:hAnsi="Arial" w:cs="Arial"/>
          <w:i/>
          <w:szCs w:val="20"/>
        </w:rPr>
      </w:pPr>
    </w:p>
    <w:p w:rsidR="00F93B76" w:rsidRPr="00A32AF4" w:rsidRDefault="000E03DF" w:rsidP="00DC0553">
      <w:pPr>
        <w:pStyle w:val="ListParagraph"/>
        <w:spacing w:line="240" w:lineRule="auto"/>
        <w:ind w:left="993"/>
        <w:rPr>
          <w:rFonts w:ascii="Arial" w:hAnsi="Arial" w:cs="Arial"/>
          <w:szCs w:val="20"/>
        </w:rPr>
      </w:pPr>
      <w:r w:rsidRPr="00A32AF4">
        <w:rPr>
          <w:noProof/>
          <w:lang w:eastAsia="fr-FR"/>
        </w:rPr>
        <w:drawing>
          <wp:inline distT="0" distB="0" distL="0" distR="0" wp14:anchorId="02848282" wp14:editId="308F63F2">
            <wp:extent cx="4613683" cy="2838450"/>
            <wp:effectExtent l="0" t="0" r="0" b="0"/>
            <wp:docPr id="961" name="Picture 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4615159" cy="2839358"/>
                    </a:xfrm>
                    <a:prstGeom prst="rect">
                      <a:avLst/>
                    </a:prstGeom>
                    <a:noFill/>
                    <a:ln>
                      <a:noFill/>
                    </a:ln>
                  </pic:spPr>
                </pic:pic>
              </a:graphicData>
            </a:graphic>
          </wp:inline>
        </w:drawing>
      </w:r>
    </w:p>
    <w:p w:rsidR="00F93B76" w:rsidRPr="00A32AF4" w:rsidRDefault="00F93B76" w:rsidP="00DC0553">
      <w:pPr>
        <w:pStyle w:val="ListParagraph"/>
        <w:spacing w:line="240" w:lineRule="auto"/>
        <w:ind w:left="993"/>
        <w:jc w:val="both"/>
        <w:rPr>
          <w:rFonts w:ascii="Arial" w:hAnsi="Arial" w:cs="Arial"/>
          <w:szCs w:val="20"/>
        </w:rPr>
      </w:pPr>
    </w:p>
    <w:p w:rsidR="00F93B76" w:rsidRPr="00A32AF4" w:rsidRDefault="000E03DF" w:rsidP="00DC0553">
      <w:pPr>
        <w:pStyle w:val="ListParagraph"/>
        <w:numPr>
          <w:ilvl w:val="0"/>
          <w:numId w:val="51"/>
        </w:numPr>
        <w:spacing w:line="240" w:lineRule="auto"/>
        <w:ind w:left="993" w:hanging="426"/>
        <w:jc w:val="both"/>
        <w:rPr>
          <w:rFonts w:ascii="Arial" w:hAnsi="Arial" w:cs="Arial"/>
          <w:szCs w:val="20"/>
        </w:rPr>
      </w:pPr>
      <w:r w:rsidRPr="00A32AF4">
        <w:rPr>
          <w:rFonts w:ascii="Arial" w:hAnsi="Arial" w:cs="Arial"/>
          <w:szCs w:val="20"/>
        </w:rPr>
        <w:t>En 2014, une demande contenait en moyenne à peu près cinq désignations.</w:t>
      </w:r>
    </w:p>
    <w:p w:rsidR="00F93B76" w:rsidRPr="00A32AF4" w:rsidRDefault="00F93B76" w:rsidP="00DC0553">
      <w:pPr>
        <w:jc w:val="both"/>
        <w:rPr>
          <w:rFonts w:cs="Arial"/>
        </w:rPr>
      </w:pPr>
    </w:p>
    <w:p w:rsidR="00F93B76" w:rsidRPr="00A32AF4" w:rsidRDefault="000E03DF" w:rsidP="00DC0553">
      <w:pPr>
        <w:pStyle w:val="ListParagraph"/>
        <w:keepNext/>
        <w:keepLines/>
        <w:spacing w:before="120" w:after="240" w:line="240" w:lineRule="auto"/>
        <w:ind w:left="567"/>
        <w:rPr>
          <w:rFonts w:ascii="Arial" w:hAnsi="Arial" w:cs="Arial"/>
          <w:i/>
          <w:szCs w:val="20"/>
        </w:rPr>
      </w:pPr>
      <w:r w:rsidRPr="00A32AF4">
        <w:rPr>
          <w:rFonts w:ascii="Arial" w:hAnsi="Arial" w:cs="Arial"/>
          <w:i/>
          <w:szCs w:val="20"/>
        </w:rPr>
        <w:t>Tendance en ce qui concerne les irrégularités dans les demandes</w:t>
      </w:r>
    </w:p>
    <w:p w:rsidR="00F93B76" w:rsidRPr="00A32AF4" w:rsidRDefault="00F93B76" w:rsidP="00DC0553">
      <w:pPr>
        <w:pStyle w:val="ListParagraph"/>
        <w:keepNext/>
        <w:keepLines/>
        <w:spacing w:before="120" w:after="240" w:line="240" w:lineRule="auto"/>
        <w:ind w:left="1080"/>
        <w:rPr>
          <w:rFonts w:ascii="Arial" w:hAnsi="Arial" w:cs="Arial"/>
          <w:szCs w:val="20"/>
        </w:rPr>
      </w:pPr>
    </w:p>
    <w:p w:rsidR="00F93B76" w:rsidRPr="00A32AF4" w:rsidRDefault="000E03DF" w:rsidP="00DC0553">
      <w:pPr>
        <w:pStyle w:val="ListParagraph"/>
        <w:keepNext/>
        <w:keepLines/>
        <w:numPr>
          <w:ilvl w:val="0"/>
          <w:numId w:val="58"/>
        </w:numPr>
        <w:tabs>
          <w:tab w:val="left" w:pos="0"/>
          <w:tab w:val="left" w:pos="567"/>
        </w:tabs>
        <w:spacing w:after="0" w:line="240" w:lineRule="auto"/>
        <w:ind w:left="0" w:firstLine="0"/>
        <w:jc w:val="both"/>
        <w:rPr>
          <w:rFonts w:ascii="Arial" w:hAnsi="Arial" w:cs="Arial"/>
          <w:szCs w:val="20"/>
        </w:rPr>
      </w:pPr>
      <w:r w:rsidRPr="00A32AF4">
        <w:rPr>
          <w:rFonts w:ascii="Arial" w:hAnsi="Arial" w:cs="Arial"/>
          <w:szCs w:val="20"/>
        </w:rPr>
        <w:t>Les irrégularités dans les demandes ont été regroupées dans les 10 catégories indiquées ci</w:t>
      </w:r>
      <w:r w:rsidR="00EB7F54" w:rsidRPr="00A32AF4">
        <w:rPr>
          <w:rFonts w:ascii="Arial" w:hAnsi="Arial" w:cs="Arial"/>
          <w:szCs w:val="20"/>
        </w:rPr>
        <w:noBreakHyphen/>
      </w:r>
      <w:r w:rsidRPr="00A32AF4">
        <w:rPr>
          <w:rFonts w:ascii="Arial" w:hAnsi="Arial" w:cs="Arial"/>
          <w:szCs w:val="20"/>
        </w:rPr>
        <w:t>après.</w:t>
      </w:r>
    </w:p>
    <w:p w:rsidR="00F93B76" w:rsidRPr="00A32AF4" w:rsidRDefault="000E03DF" w:rsidP="00DC0553">
      <w:pPr>
        <w:keepNext/>
        <w:keepLines/>
        <w:tabs>
          <w:tab w:val="left" w:pos="0"/>
          <w:tab w:val="left" w:pos="567"/>
        </w:tabs>
        <w:jc w:val="center"/>
        <w:rPr>
          <w:rFonts w:cs="Arial"/>
        </w:rPr>
      </w:pPr>
      <w:r w:rsidRPr="00A32AF4">
        <w:rPr>
          <w:noProof/>
          <w:lang w:eastAsia="fr-FR"/>
        </w:rPr>
        <w:drawing>
          <wp:inline distT="0" distB="0" distL="0" distR="0" wp14:anchorId="07FA0B48" wp14:editId="1E8F7926">
            <wp:extent cx="4887181" cy="2984500"/>
            <wp:effectExtent l="0" t="0" r="8890" b="635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4892601" cy="2987810"/>
                    </a:xfrm>
                    <a:prstGeom prst="rect">
                      <a:avLst/>
                    </a:prstGeom>
                    <a:noFill/>
                    <a:ln>
                      <a:noFill/>
                    </a:ln>
                  </pic:spPr>
                </pic:pic>
              </a:graphicData>
            </a:graphic>
          </wp:inline>
        </w:drawing>
      </w:r>
    </w:p>
    <w:p w:rsidR="00F93B76" w:rsidRPr="00A32AF4" w:rsidRDefault="00F93B76" w:rsidP="00DC0553">
      <w:pPr>
        <w:keepNext/>
        <w:keepLines/>
        <w:spacing w:before="120" w:after="240"/>
        <w:jc w:val="center"/>
        <w:rPr>
          <w:rFonts w:cs="Arial"/>
        </w:rPr>
      </w:pPr>
    </w:p>
    <w:p w:rsidR="00F93B76" w:rsidRPr="00A32AF4" w:rsidRDefault="000E03DF" w:rsidP="00DC0553">
      <w:pPr>
        <w:pStyle w:val="ListParagraph"/>
        <w:numPr>
          <w:ilvl w:val="0"/>
          <w:numId w:val="51"/>
        </w:numPr>
        <w:spacing w:after="120" w:line="240" w:lineRule="auto"/>
        <w:ind w:left="992" w:hanging="425"/>
        <w:contextualSpacing w:val="0"/>
        <w:jc w:val="both"/>
        <w:rPr>
          <w:rFonts w:ascii="Arial" w:hAnsi="Arial" w:cs="Arial"/>
          <w:szCs w:val="20"/>
        </w:rPr>
      </w:pPr>
      <w:r w:rsidRPr="00A32AF4">
        <w:rPr>
          <w:rFonts w:ascii="Arial" w:hAnsi="Arial" w:cs="Arial"/>
          <w:szCs w:val="20"/>
        </w:rPr>
        <w:t>En 2014, le Bureau international a recensé 1557 irrégularités dans des demandes, en baisse de 14% par rapport à 2013.</w:t>
      </w:r>
    </w:p>
    <w:p w:rsidR="00F93B76" w:rsidRPr="00A32AF4" w:rsidRDefault="000E03DF" w:rsidP="00DC0553">
      <w:pPr>
        <w:pStyle w:val="ListParagraph"/>
        <w:numPr>
          <w:ilvl w:val="0"/>
          <w:numId w:val="51"/>
        </w:numPr>
        <w:spacing w:line="240" w:lineRule="auto"/>
        <w:ind w:left="993" w:hanging="426"/>
        <w:jc w:val="both"/>
        <w:rPr>
          <w:rFonts w:ascii="Arial" w:hAnsi="Arial" w:cs="Arial"/>
          <w:szCs w:val="20"/>
        </w:rPr>
      </w:pPr>
      <w:r w:rsidRPr="00A32AF4">
        <w:rPr>
          <w:rFonts w:ascii="Arial" w:hAnsi="Arial" w:cs="Arial"/>
          <w:szCs w:val="20"/>
        </w:rPr>
        <w:t>Malgré cette baisse marquée, les irrégularités ayant trait aux indications de produits ont augmenté pour la troisième année consécutive.  Avec les irrégularités relatives aux paiements, elles représentent presque la moitié du nombre total d</w:t>
      </w:r>
      <w:r w:rsidR="00E2055A" w:rsidRPr="00A32AF4">
        <w:rPr>
          <w:rFonts w:ascii="Arial" w:hAnsi="Arial" w:cs="Arial"/>
          <w:szCs w:val="20"/>
        </w:rPr>
        <w:t>’</w:t>
      </w:r>
      <w:r w:rsidRPr="00A32AF4">
        <w:rPr>
          <w:rFonts w:ascii="Arial" w:hAnsi="Arial" w:cs="Arial"/>
          <w:szCs w:val="20"/>
        </w:rPr>
        <w:t>irrégularités en 2014.</w:t>
      </w:r>
    </w:p>
    <w:p w:rsidR="00F93B76" w:rsidRPr="00A32AF4" w:rsidRDefault="00F93B76" w:rsidP="00DC0553">
      <w:pPr>
        <w:spacing w:before="120"/>
        <w:rPr>
          <w:rFonts w:cs="Arial"/>
        </w:rPr>
      </w:pPr>
    </w:p>
    <w:p w:rsidR="00F93B76" w:rsidRPr="00A32AF4" w:rsidRDefault="000E03DF" w:rsidP="00DC0553">
      <w:pPr>
        <w:spacing w:before="120"/>
        <w:rPr>
          <w:rFonts w:cs="Arial"/>
          <w:u w:val="single"/>
        </w:rPr>
      </w:pPr>
      <w:r w:rsidRPr="00A32AF4">
        <w:rPr>
          <w:rFonts w:cs="Arial"/>
          <w:u w:val="single"/>
        </w:rPr>
        <w:t>Renouvellements</w:t>
      </w:r>
    </w:p>
    <w:p w:rsidR="00F93B76" w:rsidRPr="00A32AF4" w:rsidRDefault="000E03DF" w:rsidP="00DC0553">
      <w:pPr>
        <w:spacing w:before="120"/>
        <w:jc w:val="center"/>
        <w:rPr>
          <w:rFonts w:cs="Arial"/>
          <w:u w:val="single"/>
        </w:rPr>
      </w:pPr>
      <w:r w:rsidRPr="00A32AF4">
        <w:rPr>
          <w:noProof/>
          <w:lang w:eastAsia="fr-FR"/>
        </w:rPr>
        <w:drawing>
          <wp:inline distT="0" distB="0" distL="0" distR="0" wp14:anchorId="01277A8B" wp14:editId="6294C627">
            <wp:extent cx="4075261" cy="2656800"/>
            <wp:effectExtent l="0" t="0" r="1905"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4" cstate="print">
                      <a:extLst>
                        <a:ext uri="{28A0092B-C50C-407E-A947-70E740481C1C}">
                          <a14:useLocalDpi xmlns:a14="http://schemas.microsoft.com/office/drawing/2010/main" val="0"/>
                        </a:ext>
                      </a:extLst>
                    </a:blip>
                    <a:srcRect/>
                    <a:stretch>
                      <a:fillRect/>
                    </a:stretch>
                  </pic:blipFill>
                  <pic:spPr bwMode="auto">
                    <a:xfrm>
                      <a:off x="0" y="0"/>
                      <a:ext cx="4075261" cy="2656800"/>
                    </a:xfrm>
                    <a:prstGeom prst="rect">
                      <a:avLst/>
                    </a:prstGeom>
                    <a:noFill/>
                    <a:ln>
                      <a:noFill/>
                    </a:ln>
                  </pic:spPr>
                </pic:pic>
              </a:graphicData>
            </a:graphic>
          </wp:inline>
        </w:drawing>
      </w:r>
    </w:p>
    <w:p w:rsidR="00F93B76" w:rsidRPr="00A32AF4" w:rsidRDefault="00F93B76" w:rsidP="00DC0553">
      <w:pPr>
        <w:spacing w:before="120"/>
        <w:rPr>
          <w:rFonts w:cs="Arial"/>
          <w:u w:val="single"/>
        </w:rPr>
      </w:pPr>
    </w:p>
    <w:p w:rsidR="00F93B76" w:rsidRPr="00A32AF4" w:rsidRDefault="000E03DF" w:rsidP="00DC0553">
      <w:pPr>
        <w:pStyle w:val="ListParagraph"/>
        <w:numPr>
          <w:ilvl w:val="0"/>
          <w:numId w:val="52"/>
        </w:numPr>
        <w:spacing w:after="120" w:line="240" w:lineRule="auto"/>
        <w:ind w:left="992" w:hanging="425"/>
        <w:contextualSpacing w:val="0"/>
        <w:jc w:val="both"/>
        <w:rPr>
          <w:rFonts w:ascii="Arial" w:hAnsi="Arial" w:cs="Arial"/>
          <w:szCs w:val="20"/>
        </w:rPr>
      </w:pPr>
      <w:r w:rsidRPr="00A32AF4">
        <w:rPr>
          <w:rFonts w:ascii="Arial" w:hAnsi="Arial" w:cs="Arial"/>
          <w:szCs w:val="20"/>
        </w:rPr>
        <w:t>Le nombre de renouvellements a baissé pour la deuxième année consécutive, passant à 2703 renouvellements en 2014, soit une baisse de 5% par rapport à 2013.</w:t>
      </w:r>
    </w:p>
    <w:p w:rsidR="00F93B76" w:rsidRPr="00A32AF4" w:rsidRDefault="000E03DF" w:rsidP="00DC0553">
      <w:pPr>
        <w:pStyle w:val="ListParagraph"/>
        <w:numPr>
          <w:ilvl w:val="0"/>
          <w:numId w:val="52"/>
        </w:numPr>
        <w:spacing w:line="240" w:lineRule="auto"/>
        <w:ind w:left="993" w:hanging="426"/>
        <w:jc w:val="both"/>
        <w:rPr>
          <w:rFonts w:ascii="Arial" w:hAnsi="Arial" w:cs="Arial"/>
          <w:szCs w:val="20"/>
        </w:rPr>
      </w:pPr>
      <w:r w:rsidRPr="00A32AF4">
        <w:rPr>
          <w:rFonts w:ascii="Arial" w:hAnsi="Arial" w:cs="Arial"/>
          <w:szCs w:val="20"/>
        </w:rPr>
        <w:t>Depuis 2013, la majeure partie des renouvellements a fait l</w:t>
      </w:r>
      <w:r w:rsidR="00E2055A" w:rsidRPr="00A32AF4">
        <w:rPr>
          <w:rFonts w:ascii="Arial" w:hAnsi="Arial" w:cs="Arial"/>
          <w:szCs w:val="20"/>
        </w:rPr>
        <w:t>’</w:t>
      </w:r>
      <w:r w:rsidRPr="00A32AF4">
        <w:rPr>
          <w:rFonts w:ascii="Arial" w:hAnsi="Arial" w:cs="Arial"/>
          <w:szCs w:val="20"/>
        </w:rPr>
        <w:t>objet d</w:t>
      </w:r>
      <w:r w:rsidR="00E2055A" w:rsidRPr="00A32AF4">
        <w:rPr>
          <w:rFonts w:ascii="Arial" w:hAnsi="Arial" w:cs="Arial"/>
          <w:szCs w:val="20"/>
        </w:rPr>
        <w:t>’</w:t>
      </w:r>
      <w:r w:rsidRPr="00A32AF4">
        <w:rPr>
          <w:rFonts w:ascii="Arial" w:hAnsi="Arial" w:cs="Arial"/>
          <w:szCs w:val="20"/>
        </w:rPr>
        <w:t>un traitement automatisé.  Ils représentent 60% du nombre total de renouvellements en 2014.</w:t>
      </w:r>
    </w:p>
    <w:p w:rsidR="00F93B76" w:rsidRPr="00A32AF4" w:rsidRDefault="00F93B76" w:rsidP="00DC0553">
      <w:pPr>
        <w:pStyle w:val="ListParagraph"/>
        <w:spacing w:line="240" w:lineRule="auto"/>
        <w:ind w:left="993"/>
        <w:jc w:val="both"/>
        <w:rPr>
          <w:rFonts w:ascii="Arial" w:hAnsi="Arial" w:cs="Arial"/>
          <w:szCs w:val="20"/>
        </w:rPr>
      </w:pPr>
    </w:p>
    <w:p w:rsidR="00F93B76" w:rsidRPr="00A32AF4" w:rsidRDefault="000E03DF" w:rsidP="00DC0553">
      <w:pPr>
        <w:spacing w:before="120"/>
        <w:rPr>
          <w:rFonts w:cs="Arial"/>
          <w:u w:val="single"/>
        </w:rPr>
      </w:pPr>
      <w:r w:rsidRPr="00A32AF4">
        <w:rPr>
          <w:rFonts w:cs="Arial"/>
          <w:u w:val="single"/>
        </w:rPr>
        <w:t>Changements</w:t>
      </w:r>
    </w:p>
    <w:p w:rsidR="00A701FB" w:rsidRPr="00A32AF4" w:rsidRDefault="00A701FB" w:rsidP="00DC0553">
      <w:pPr>
        <w:spacing w:before="120"/>
        <w:jc w:val="center"/>
        <w:rPr>
          <w:rFonts w:cs="Arial"/>
          <w:u w:val="single"/>
        </w:rPr>
      </w:pPr>
      <w:r w:rsidRPr="00A32AF4">
        <w:rPr>
          <w:noProof/>
          <w:lang w:eastAsia="fr-FR"/>
        </w:rPr>
        <w:drawing>
          <wp:inline distT="0" distB="0" distL="0" distR="0" wp14:anchorId="0082A957" wp14:editId="2FA729CD">
            <wp:extent cx="4489200" cy="3026405"/>
            <wp:effectExtent l="0" t="0" r="6985" b="317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75" cstate="print">
                      <a:extLst>
                        <a:ext uri="{28A0092B-C50C-407E-A947-70E740481C1C}">
                          <a14:useLocalDpi xmlns:a14="http://schemas.microsoft.com/office/drawing/2010/main" val="0"/>
                        </a:ext>
                      </a:extLst>
                    </a:blip>
                    <a:srcRect/>
                    <a:stretch>
                      <a:fillRect/>
                    </a:stretch>
                  </pic:blipFill>
                  <pic:spPr bwMode="auto">
                    <a:xfrm>
                      <a:off x="0" y="0"/>
                      <a:ext cx="4489200" cy="3026405"/>
                    </a:xfrm>
                    <a:prstGeom prst="rect">
                      <a:avLst/>
                    </a:prstGeom>
                    <a:noFill/>
                    <a:ln>
                      <a:noFill/>
                    </a:ln>
                  </pic:spPr>
                </pic:pic>
              </a:graphicData>
            </a:graphic>
          </wp:inline>
        </w:drawing>
      </w:r>
    </w:p>
    <w:p w:rsidR="00F93B76" w:rsidRPr="00A32AF4" w:rsidRDefault="00F93B76" w:rsidP="00DC0553">
      <w:pPr>
        <w:spacing w:before="120" w:after="240"/>
        <w:jc w:val="center"/>
        <w:rPr>
          <w:rFonts w:cs="Arial"/>
          <w:sz w:val="18"/>
        </w:rPr>
      </w:pPr>
    </w:p>
    <w:p w:rsidR="00F93B76" w:rsidRPr="00A32AF4" w:rsidRDefault="000E03DF" w:rsidP="00DC0553">
      <w:pPr>
        <w:pStyle w:val="ListParagraph"/>
        <w:numPr>
          <w:ilvl w:val="0"/>
          <w:numId w:val="52"/>
        </w:numPr>
        <w:spacing w:after="0" w:line="240" w:lineRule="auto"/>
        <w:ind w:left="992" w:hanging="425"/>
        <w:contextualSpacing w:val="0"/>
        <w:jc w:val="both"/>
        <w:rPr>
          <w:rFonts w:ascii="Arial" w:hAnsi="Arial" w:cs="Arial"/>
          <w:szCs w:val="20"/>
        </w:rPr>
      </w:pPr>
      <w:r w:rsidRPr="00A32AF4">
        <w:rPr>
          <w:rFonts w:ascii="Arial" w:hAnsi="Arial" w:cs="Arial"/>
          <w:szCs w:val="20"/>
        </w:rPr>
        <w:t>Les déposants ont soumis 1063 requêtes en inscription de changements dans des demandes internationales en 2014, soit 8% de plus par rapport à 2013.</w:t>
      </w:r>
    </w:p>
    <w:p w:rsidR="00F93B76" w:rsidRPr="00A32AF4" w:rsidRDefault="00F93B76" w:rsidP="00DC0553">
      <w:pPr>
        <w:rPr>
          <w:rFonts w:cs="Arial"/>
        </w:rPr>
      </w:pPr>
    </w:p>
    <w:p w:rsidR="00F93B76" w:rsidRPr="00A32AF4" w:rsidRDefault="000E03DF" w:rsidP="00DC0553">
      <w:pPr>
        <w:rPr>
          <w:rFonts w:cs="Arial"/>
          <w:u w:val="single"/>
        </w:rPr>
      </w:pPr>
      <w:r w:rsidRPr="00A32AF4">
        <w:rPr>
          <w:rFonts w:cs="Arial"/>
          <w:u w:val="single"/>
        </w:rPr>
        <w:t>Décisions</w:t>
      </w:r>
    </w:p>
    <w:p w:rsidR="00F93B76" w:rsidRPr="00A32AF4" w:rsidRDefault="00F93B76" w:rsidP="00DC0553">
      <w:pPr>
        <w:rPr>
          <w:rFonts w:cs="Arial"/>
          <w:u w:val="single"/>
        </w:rPr>
      </w:pPr>
    </w:p>
    <w:p w:rsidR="00F93B76" w:rsidRPr="00A32AF4" w:rsidRDefault="00F93B76" w:rsidP="00DC0553">
      <w:pPr>
        <w:rPr>
          <w:rFonts w:cs="Arial"/>
          <w:u w:val="single"/>
        </w:rPr>
      </w:pPr>
    </w:p>
    <w:p w:rsidR="00F93B76" w:rsidRPr="00A32AF4" w:rsidRDefault="000E03DF" w:rsidP="00DC0553">
      <w:pPr>
        <w:jc w:val="center"/>
        <w:rPr>
          <w:rFonts w:cs="Arial"/>
          <w:u w:val="single"/>
        </w:rPr>
      </w:pPr>
      <w:r w:rsidRPr="00A32AF4">
        <w:rPr>
          <w:noProof/>
          <w:lang w:eastAsia="fr-FR"/>
        </w:rPr>
        <w:drawing>
          <wp:inline distT="0" distB="0" distL="0" distR="0" wp14:anchorId="3AFB63FB" wp14:editId="5937769A">
            <wp:extent cx="4180178" cy="272520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6" cstate="print">
                      <a:extLst>
                        <a:ext uri="{28A0092B-C50C-407E-A947-70E740481C1C}">
                          <a14:useLocalDpi xmlns:a14="http://schemas.microsoft.com/office/drawing/2010/main" val="0"/>
                        </a:ext>
                      </a:extLst>
                    </a:blip>
                    <a:srcRect/>
                    <a:stretch>
                      <a:fillRect/>
                    </a:stretch>
                  </pic:blipFill>
                  <pic:spPr bwMode="auto">
                    <a:xfrm>
                      <a:off x="0" y="0"/>
                      <a:ext cx="4180178" cy="2725200"/>
                    </a:xfrm>
                    <a:prstGeom prst="rect">
                      <a:avLst/>
                    </a:prstGeom>
                    <a:noFill/>
                    <a:ln>
                      <a:noFill/>
                    </a:ln>
                  </pic:spPr>
                </pic:pic>
              </a:graphicData>
            </a:graphic>
          </wp:inline>
        </w:drawing>
      </w:r>
    </w:p>
    <w:p w:rsidR="00F93B76" w:rsidRPr="00A32AF4" w:rsidRDefault="00F93B76" w:rsidP="00DC0553">
      <w:pPr>
        <w:spacing w:before="120" w:after="240"/>
        <w:jc w:val="center"/>
        <w:rPr>
          <w:rFonts w:cs="Arial"/>
          <w:sz w:val="18"/>
        </w:rPr>
      </w:pPr>
    </w:p>
    <w:p w:rsidR="00F93B76" w:rsidRPr="00A32AF4" w:rsidRDefault="000E03DF" w:rsidP="00DC0553">
      <w:pPr>
        <w:pStyle w:val="ListParagraph"/>
        <w:numPr>
          <w:ilvl w:val="0"/>
          <w:numId w:val="56"/>
        </w:numPr>
        <w:spacing w:after="120" w:line="240" w:lineRule="auto"/>
        <w:ind w:left="992" w:hanging="425"/>
        <w:contextualSpacing w:val="0"/>
        <w:rPr>
          <w:rFonts w:ascii="Arial" w:hAnsi="Arial" w:cs="Arial"/>
          <w:szCs w:val="20"/>
        </w:rPr>
      </w:pPr>
      <w:r w:rsidRPr="00A32AF4">
        <w:rPr>
          <w:rFonts w:ascii="Arial" w:hAnsi="Arial" w:cs="Arial"/>
          <w:szCs w:val="20"/>
        </w:rPr>
        <w:t>Le nombre de décisions reçues en 2014 a augmenté de 10%, passant à 3169 décisions.</w:t>
      </w:r>
    </w:p>
    <w:p w:rsidR="00F93B76" w:rsidRPr="00A32AF4" w:rsidRDefault="000E03DF" w:rsidP="00DC0553">
      <w:pPr>
        <w:pStyle w:val="ListParagraph"/>
        <w:numPr>
          <w:ilvl w:val="0"/>
          <w:numId w:val="56"/>
        </w:numPr>
        <w:spacing w:line="240" w:lineRule="auto"/>
        <w:ind w:left="993" w:hanging="426"/>
        <w:rPr>
          <w:rFonts w:ascii="Arial" w:hAnsi="Arial" w:cs="Arial"/>
          <w:szCs w:val="20"/>
        </w:rPr>
      </w:pPr>
      <w:r w:rsidRPr="00A32AF4">
        <w:rPr>
          <w:rFonts w:ascii="Arial" w:hAnsi="Arial" w:cs="Arial"/>
          <w:szCs w:val="20"/>
        </w:rPr>
        <w:t>Entre 68 et 72% des décisions ont fait l</w:t>
      </w:r>
      <w:r w:rsidR="00E2055A" w:rsidRPr="00A32AF4">
        <w:rPr>
          <w:rFonts w:ascii="Arial" w:hAnsi="Arial" w:cs="Arial"/>
          <w:szCs w:val="20"/>
        </w:rPr>
        <w:t>’</w:t>
      </w:r>
      <w:r w:rsidRPr="00A32AF4">
        <w:rPr>
          <w:rFonts w:ascii="Arial" w:hAnsi="Arial" w:cs="Arial"/>
          <w:szCs w:val="20"/>
        </w:rPr>
        <w:t>objet d</w:t>
      </w:r>
      <w:r w:rsidR="00E2055A" w:rsidRPr="00A32AF4">
        <w:rPr>
          <w:rFonts w:ascii="Arial" w:hAnsi="Arial" w:cs="Arial"/>
          <w:szCs w:val="20"/>
        </w:rPr>
        <w:t>’</w:t>
      </w:r>
      <w:r w:rsidRPr="00A32AF4">
        <w:rPr>
          <w:rFonts w:ascii="Arial" w:hAnsi="Arial" w:cs="Arial"/>
          <w:szCs w:val="20"/>
        </w:rPr>
        <w:t>un traitement automatisé depuis 2011.</w:t>
      </w:r>
    </w:p>
    <w:p w:rsidR="00F93B76" w:rsidRPr="00A32AF4" w:rsidRDefault="00F93B76" w:rsidP="00DC0553">
      <w:pPr>
        <w:pStyle w:val="ListParagraph"/>
        <w:spacing w:before="120" w:after="240" w:line="240" w:lineRule="auto"/>
        <w:rPr>
          <w:rFonts w:ascii="Arial" w:hAnsi="Arial" w:cs="Arial"/>
          <w:szCs w:val="20"/>
        </w:rPr>
      </w:pPr>
    </w:p>
    <w:p w:rsidR="00F93B76" w:rsidRPr="00A32AF4" w:rsidRDefault="00F93B76" w:rsidP="00DC0553">
      <w:pPr>
        <w:pStyle w:val="ListParagraph"/>
        <w:spacing w:after="0" w:line="240" w:lineRule="auto"/>
        <w:rPr>
          <w:rFonts w:ascii="Arial" w:hAnsi="Arial" w:cs="Arial"/>
          <w:szCs w:val="20"/>
        </w:rPr>
      </w:pPr>
    </w:p>
    <w:p w:rsidR="00F93B76" w:rsidRPr="00A32AF4" w:rsidRDefault="000E03DF" w:rsidP="00DC0553">
      <w:pPr>
        <w:rPr>
          <w:rFonts w:cs="Arial"/>
          <w:b/>
        </w:rPr>
      </w:pPr>
      <w:r w:rsidRPr="00A32AF4">
        <w:rPr>
          <w:rFonts w:cs="Arial"/>
          <w:b/>
        </w:rPr>
        <w:br w:type="page"/>
      </w:r>
    </w:p>
    <w:p w:rsidR="00F93B76" w:rsidRPr="00A32AF4" w:rsidRDefault="000E03DF" w:rsidP="00DC0553">
      <w:pPr>
        <w:tabs>
          <w:tab w:val="left" w:pos="567"/>
        </w:tabs>
        <w:rPr>
          <w:rFonts w:cs="Arial"/>
          <w:b/>
        </w:rPr>
      </w:pPr>
      <w:r w:rsidRPr="00A32AF4">
        <w:rPr>
          <w:rFonts w:cs="Arial"/>
          <w:b/>
        </w:rPr>
        <w:t>II.</w:t>
      </w:r>
      <w:r w:rsidRPr="00A32AF4">
        <w:rPr>
          <w:rFonts w:cs="Arial"/>
          <w:b/>
        </w:rPr>
        <w:tab/>
        <w:t>Charge de travail totale</w:t>
      </w:r>
    </w:p>
    <w:p w:rsidR="00F93B76" w:rsidRPr="00A32AF4" w:rsidRDefault="00F93B76" w:rsidP="00DC0553">
      <w:pPr>
        <w:pStyle w:val="ListParagraph"/>
        <w:spacing w:after="0" w:line="240" w:lineRule="auto"/>
        <w:ind w:left="1080"/>
        <w:jc w:val="both"/>
        <w:rPr>
          <w:rFonts w:ascii="Arial" w:hAnsi="Arial" w:cs="Arial"/>
          <w:szCs w:val="20"/>
        </w:rPr>
      </w:pPr>
    </w:p>
    <w:p w:rsidR="00F93B76" w:rsidRPr="00A32AF4" w:rsidRDefault="000E03DF" w:rsidP="00DC0553">
      <w:pPr>
        <w:pStyle w:val="ListParagraph"/>
        <w:numPr>
          <w:ilvl w:val="0"/>
          <w:numId w:val="58"/>
        </w:numPr>
        <w:tabs>
          <w:tab w:val="left" w:pos="0"/>
          <w:tab w:val="left" w:pos="567"/>
        </w:tabs>
        <w:spacing w:after="0" w:line="240" w:lineRule="auto"/>
        <w:ind w:left="0" w:firstLine="0"/>
        <w:jc w:val="both"/>
        <w:rPr>
          <w:rFonts w:ascii="Arial" w:hAnsi="Arial" w:cs="Arial"/>
          <w:szCs w:val="20"/>
        </w:rPr>
      </w:pPr>
      <w:r w:rsidRPr="00A32AF4">
        <w:rPr>
          <w:rFonts w:ascii="Arial" w:hAnsi="Arial" w:cs="Arial"/>
          <w:szCs w:val="20"/>
        </w:rPr>
        <w:t>La charge de travail totale représente le nombre total pondéré de documents reçus par le Bureau international.  Toutes les quatre catégories de documents sont prises en considération (demandes, renouvellements, changements et décisions).</w:t>
      </w:r>
    </w:p>
    <w:p w:rsidR="00F93B76" w:rsidRPr="00A32AF4" w:rsidRDefault="00F93B76" w:rsidP="00DC0553">
      <w:pPr>
        <w:jc w:val="both"/>
        <w:rPr>
          <w:rFonts w:cs="Arial"/>
        </w:rPr>
      </w:pPr>
    </w:p>
    <w:p w:rsidR="00F93B76" w:rsidRPr="00A32AF4" w:rsidRDefault="000E03DF" w:rsidP="00DC0553">
      <w:pPr>
        <w:pStyle w:val="ListParagraph"/>
        <w:numPr>
          <w:ilvl w:val="0"/>
          <w:numId w:val="58"/>
        </w:numPr>
        <w:tabs>
          <w:tab w:val="left" w:pos="0"/>
          <w:tab w:val="left" w:pos="567"/>
        </w:tabs>
        <w:spacing w:after="0" w:line="240" w:lineRule="auto"/>
        <w:ind w:left="0" w:firstLine="0"/>
        <w:jc w:val="both"/>
        <w:rPr>
          <w:rFonts w:ascii="Arial" w:hAnsi="Arial" w:cs="Arial"/>
          <w:szCs w:val="20"/>
        </w:rPr>
      </w:pPr>
      <w:r w:rsidRPr="00A32AF4">
        <w:rPr>
          <w:rFonts w:ascii="Arial" w:hAnsi="Arial" w:cs="Arial"/>
          <w:szCs w:val="20"/>
        </w:rPr>
        <w:t>Étant donné que pour le traitement de ces différents types de documents il n</w:t>
      </w:r>
      <w:r w:rsidR="00E2055A" w:rsidRPr="00A32AF4">
        <w:rPr>
          <w:rFonts w:ascii="Arial" w:hAnsi="Arial" w:cs="Arial"/>
          <w:szCs w:val="20"/>
        </w:rPr>
        <w:t>’</w:t>
      </w:r>
      <w:r w:rsidRPr="00A32AF4">
        <w:rPr>
          <w:rFonts w:ascii="Arial" w:hAnsi="Arial" w:cs="Arial"/>
          <w:szCs w:val="20"/>
        </w:rPr>
        <w:t>est pas fait appel aux mêmes ressources, ils ont été pondérés différemment.  Selon le facteur de pondération appliqué, pendant le temps requis pour traiter une demande internationale, un examinateur peut traiter huit demandes de renouvellement, quatre requêtes en inscription d</w:t>
      </w:r>
      <w:r w:rsidR="00E2055A" w:rsidRPr="00A32AF4">
        <w:rPr>
          <w:rFonts w:ascii="Arial" w:hAnsi="Arial" w:cs="Arial"/>
          <w:szCs w:val="20"/>
        </w:rPr>
        <w:t>’</w:t>
      </w:r>
      <w:r w:rsidRPr="00A32AF4">
        <w:rPr>
          <w:rFonts w:ascii="Arial" w:hAnsi="Arial" w:cs="Arial"/>
          <w:szCs w:val="20"/>
        </w:rPr>
        <w:t>un changement ou quatre décisions.  De même, pendant le temps requis pour traiter une demande internationale, un employé chargé du traitement automatisé des demandes est censé traiter 13 documents.</w:t>
      </w:r>
    </w:p>
    <w:p w:rsidR="00F93B76" w:rsidRPr="00A32AF4" w:rsidRDefault="00F93B76" w:rsidP="00DC0553">
      <w:pPr>
        <w:tabs>
          <w:tab w:val="left" w:pos="0"/>
          <w:tab w:val="left" w:pos="567"/>
        </w:tabs>
        <w:jc w:val="both"/>
        <w:rPr>
          <w:rFonts w:cs="Arial"/>
        </w:rPr>
      </w:pPr>
    </w:p>
    <w:p w:rsidR="00F93B76" w:rsidRPr="00A32AF4" w:rsidRDefault="000E03DF" w:rsidP="00DC0553">
      <w:pPr>
        <w:tabs>
          <w:tab w:val="left" w:pos="0"/>
          <w:tab w:val="left" w:pos="567"/>
        </w:tabs>
        <w:jc w:val="center"/>
        <w:rPr>
          <w:rFonts w:cs="Arial"/>
        </w:rPr>
      </w:pPr>
      <w:r w:rsidRPr="00A32AF4">
        <w:rPr>
          <w:noProof/>
          <w:lang w:eastAsia="fr-FR"/>
        </w:rPr>
        <w:drawing>
          <wp:inline distT="0" distB="0" distL="0" distR="0" wp14:anchorId="3FCDCF15" wp14:editId="558E2A00">
            <wp:extent cx="5405610" cy="2336800"/>
            <wp:effectExtent l="0" t="0" r="5080" b="635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7" cstate="print">
                      <a:extLst>
                        <a:ext uri="{28A0092B-C50C-407E-A947-70E740481C1C}">
                          <a14:useLocalDpi xmlns:a14="http://schemas.microsoft.com/office/drawing/2010/main" val="0"/>
                        </a:ext>
                      </a:extLst>
                    </a:blip>
                    <a:srcRect/>
                    <a:stretch>
                      <a:fillRect/>
                    </a:stretch>
                  </pic:blipFill>
                  <pic:spPr bwMode="auto">
                    <a:xfrm>
                      <a:off x="0" y="0"/>
                      <a:ext cx="5407428" cy="2337586"/>
                    </a:xfrm>
                    <a:prstGeom prst="rect">
                      <a:avLst/>
                    </a:prstGeom>
                    <a:noFill/>
                    <a:ln>
                      <a:noFill/>
                    </a:ln>
                  </pic:spPr>
                </pic:pic>
              </a:graphicData>
            </a:graphic>
          </wp:inline>
        </w:drawing>
      </w:r>
    </w:p>
    <w:p w:rsidR="00F93B76" w:rsidRPr="00A32AF4" w:rsidRDefault="00F93B76" w:rsidP="00DC0553">
      <w:pPr>
        <w:jc w:val="center"/>
        <w:rPr>
          <w:rFonts w:cs="Arial"/>
        </w:rPr>
      </w:pPr>
    </w:p>
    <w:p w:rsidR="00F93B76" w:rsidRPr="00A32AF4" w:rsidRDefault="000E03DF" w:rsidP="00DC0553">
      <w:pPr>
        <w:pStyle w:val="ListParagraph"/>
        <w:numPr>
          <w:ilvl w:val="0"/>
          <w:numId w:val="53"/>
        </w:numPr>
        <w:spacing w:after="120" w:line="240" w:lineRule="auto"/>
        <w:ind w:left="992" w:hanging="425"/>
        <w:contextualSpacing w:val="0"/>
        <w:jc w:val="both"/>
        <w:rPr>
          <w:rFonts w:ascii="Arial" w:hAnsi="Arial" w:cs="Arial"/>
          <w:szCs w:val="20"/>
        </w:rPr>
      </w:pPr>
      <w:r w:rsidRPr="00A32AF4">
        <w:rPr>
          <w:rFonts w:ascii="Arial" w:hAnsi="Arial" w:cs="Arial"/>
          <w:szCs w:val="20"/>
        </w:rPr>
        <w:t>En 2014, la charge de travail totale est demeurée stable par rapport à 2013.  En 2014, les demandes uniquement ont représenté 76% de la charge de travail totale.</w:t>
      </w:r>
    </w:p>
    <w:p w:rsidR="00F93B76" w:rsidRPr="00A32AF4" w:rsidRDefault="000E03DF" w:rsidP="00DC0553">
      <w:pPr>
        <w:pStyle w:val="ListParagraph"/>
        <w:numPr>
          <w:ilvl w:val="0"/>
          <w:numId w:val="53"/>
        </w:numPr>
        <w:spacing w:line="240" w:lineRule="auto"/>
        <w:ind w:left="993" w:hanging="426"/>
        <w:jc w:val="both"/>
        <w:rPr>
          <w:rFonts w:ascii="Arial" w:hAnsi="Arial" w:cs="Arial"/>
          <w:szCs w:val="20"/>
        </w:rPr>
      </w:pPr>
      <w:r w:rsidRPr="00A32AF4">
        <w:rPr>
          <w:rFonts w:ascii="Arial" w:hAnsi="Arial" w:cs="Arial"/>
          <w:szCs w:val="20"/>
        </w:rPr>
        <w:t>Entre 2011 et 2013, l</w:t>
      </w:r>
      <w:r w:rsidR="00E2055A" w:rsidRPr="00A32AF4">
        <w:rPr>
          <w:rFonts w:ascii="Arial" w:hAnsi="Arial" w:cs="Arial"/>
          <w:szCs w:val="20"/>
        </w:rPr>
        <w:t>’</w:t>
      </w:r>
      <w:r w:rsidRPr="00A32AF4">
        <w:rPr>
          <w:rFonts w:ascii="Arial" w:hAnsi="Arial" w:cs="Arial"/>
          <w:szCs w:val="20"/>
        </w:rPr>
        <w:t>augmentation de la charge de travail a été essentiellement due à la hausse du nombre de demandes reçues.</w:t>
      </w:r>
    </w:p>
    <w:p w:rsidR="00F93B76" w:rsidRPr="00A32AF4" w:rsidRDefault="00F93B76" w:rsidP="00DC0553">
      <w:pPr>
        <w:rPr>
          <w:rFonts w:cs="Arial"/>
        </w:rPr>
      </w:pPr>
    </w:p>
    <w:p w:rsidR="00F93B76" w:rsidRPr="00A32AF4" w:rsidRDefault="00F93B76" w:rsidP="00DC0553">
      <w:pPr>
        <w:rPr>
          <w:rFonts w:cs="Arial"/>
        </w:rPr>
      </w:pPr>
    </w:p>
    <w:p w:rsidR="00F93B76" w:rsidRPr="00A32AF4" w:rsidRDefault="000E03DF" w:rsidP="00DC0553">
      <w:pPr>
        <w:tabs>
          <w:tab w:val="left" w:pos="567"/>
        </w:tabs>
        <w:rPr>
          <w:rFonts w:cs="Arial"/>
          <w:b/>
        </w:rPr>
      </w:pPr>
      <w:r w:rsidRPr="00A32AF4">
        <w:rPr>
          <w:rFonts w:cs="Arial"/>
          <w:b/>
        </w:rPr>
        <w:t>III.</w:t>
      </w:r>
      <w:r w:rsidRPr="00A32AF4">
        <w:rPr>
          <w:rFonts w:cs="Arial"/>
          <w:b/>
        </w:rPr>
        <w:tab/>
        <w:t>Coûts de traitement</w:t>
      </w:r>
    </w:p>
    <w:p w:rsidR="00F93B76" w:rsidRPr="00A32AF4" w:rsidRDefault="00F93B76" w:rsidP="00DC0553">
      <w:pPr>
        <w:pStyle w:val="ListParagraph"/>
        <w:spacing w:after="0" w:line="240" w:lineRule="auto"/>
        <w:ind w:left="1080"/>
        <w:rPr>
          <w:rFonts w:ascii="Arial" w:hAnsi="Arial" w:cs="Arial"/>
          <w:szCs w:val="20"/>
        </w:rPr>
      </w:pPr>
    </w:p>
    <w:p w:rsidR="00F93B76" w:rsidRPr="00A32AF4" w:rsidRDefault="000E03DF" w:rsidP="00DC0553">
      <w:pPr>
        <w:rPr>
          <w:rFonts w:cs="Arial"/>
          <w:u w:val="single"/>
        </w:rPr>
      </w:pPr>
      <w:r w:rsidRPr="00A32AF4">
        <w:rPr>
          <w:rFonts w:cs="Arial"/>
          <w:u w:val="single"/>
        </w:rPr>
        <w:t>Coût total de production</w:t>
      </w:r>
    </w:p>
    <w:p w:rsidR="00F93B76" w:rsidRPr="00A32AF4" w:rsidRDefault="00F93B76" w:rsidP="00DC0553">
      <w:pPr>
        <w:pStyle w:val="ListParagraph"/>
        <w:spacing w:after="0" w:line="240" w:lineRule="auto"/>
        <w:ind w:left="1080"/>
        <w:jc w:val="both"/>
        <w:rPr>
          <w:rFonts w:ascii="Arial" w:hAnsi="Arial" w:cs="Arial"/>
          <w:szCs w:val="20"/>
        </w:rPr>
      </w:pPr>
    </w:p>
    <w:p w:rsidR="00F93B76" w:rsidRPr="00A32AF4" w:rsidRDefault="000E03DF" w:rsidP="00DC0553">
      <w:pPr>
        <w:pStyle w:val="ListParagraph"/>
        <w:numPr>
          <w:ilvl w:val="0"/>
          <w:numId w:val="58"/>
        </w:numPr>
        <w:tabs>
          <w:tab w:val="left" w:pos="0"/>
          <w:tab w:val="left" w:pos="567"/>
        </w:tabs>
        <w:spacing w:after="0" w:line="240" w:lineRule="auto"/>
        <w:ind w:left="0" w:firstLine="0"/>
        <w:jc w:val="both"/>
        <w:rPr>
          <w:rFonts w:ascii="Arial" w:hAnsi="Arial" w:cs="Arial"/>
          <w:szCs w:val="20"/>
        </w:rPr>
      </w:pPr>
      <w:r w:rsidRPr="00A32AF4">
        <w:rPr>
          <w:rFonts w:ascii="Arial" w:hAnsi="Arial" w:cs="Arial"/>
          <w:szCs w:val="20"/>
        </w:rPr>
        <w:t xml:space="preserve">Le coût total de production est calculé sur la base des dépenses totales dans le cadre du système de </w:t>
      </w:r>
      <w:r w:rsidR="00E2055A" w:rsidRPr="00A32AF4">
        <w:rPr>
          <w:rFonts w:ascii="Arial" w:hAnsi="Arial" w:cs="Arial"/>
          <w:szCs w:val="20"/>
        </w:rPr>
        <w:t>La Haye</w:t>
      </w:r>
      <w:r w:rsidRPr="00A32AF4">
        <w:rPr>
          <w:rFonts w:ascii="Arial" w:hAnsi="Arial" w:cs="Arial"/>
          <w:szCs w:val="20"/>
        </w:rPr>
        <w:t xml:space="preserve"> auxquelles s</w:t>
      </w:r>
      <w:r w:rsidR="00E2055A" w:rsidRPr="00A32AF4">
        <w:rPr>
          <w:rFonts w:ascii="Arial" w:hAnsi="Arial" w:cs="Arial"/>
          <w:szCs w:val="20"/>
        </w:rPr>
        <w:t>’</w:t>
      </w:r>
      <w:r w:rsidRPr="00A32AF4">
        <w:rPr>
          <w:rFonts w:ascii="Arial" w:hAnsi="Arial" w:cs="Arial"/>
          <w:szCs w:val="20"/>
        </w:rPr>
        <w:t>ajoute une partie des dépenses liées aux activités d</w:t>
      </w:r>
      <w:r w:rsidR="00E2055A" w:rsidRPr="00A32AF4">
        <w:rPr>
          <w:rFonts w:ascii="Arial" w:hAnsi="Arial" w:cs="Arial"/>
          <w:szCs w:val="20"/>
        </w:rPr>
        <w:t>’</w:t>
      </w:r>
      <w:r w:rsidRPr="00A32AF4">
        <w:rPr>
          <w:rFonts w:ascii="Arial" w:hAnsi="Arial" w:cs="Arial"/>
          <w:szCs w:val="20"/>
        </w:rPr>
        <w:t>appui et de gestion.  Les coûts peuvent être directs ou indirects.  Les coûts directs tiennent compte des dépenses engagées par le Bureau international dans le cadre de l</w:t>
      </w:r>
      <w:r w:rsidR="00E2055A" w:rsidRPr="00A32AF4">
        <w:rPr>
          <w:rFonts w:ascii="Arial" w:hAnsi="Arial" w:cs="Arial"/>
          <w:szCs w:val="20"/>
        </w:rPr>
        <w:t>’</w:t>
      </w:r>
      <w:r w:rsidRPr="00A32AF4">
        <w:rPr>
          <w:rFonts w:ascii="Arial" w:hAnsi="Arial" w:cs="Arial"/>
          <w:szCs w:val="20"/>
        </w:rPr>
        <w:t xml:space="preserve">administration du système de </w:t>
      </w:r>
      <w:r w:rsidR="00E2055A" w:rsidRPr="00A32AF4">
        <w:rPr>
          <w:rFonts w:ascii="Arial" w:hAnsi="Arial" w:cs="Arial"/>
          <w:szCs w:val="20"/>
        </w:rPr>
        <w:t>La Haye</w:t>
      </w:r>
      <w:r w:rsidRPr="00A32AF4">
        <w:rPr>
          <w:rStyle w:val="FootnoteReference"/>
          <w:rFonts w:ascii="Arial" w:hAnsi="Arial" w:cs="Arial"/>
          <w:szCs w:val="20"/>
        </w:rPr>
        <w:footnoteReference w:id="30"/>
      </w:r>
      <w:r w:rsidRPr="00A32AF4">
        <w:rPr>
          <w:rFonts w:ascii="Arial" w:hAnsi="Arial" w:cs="Arial"/>
          <w:szCs w:val="20"/>
        </w:rPr>
        <w:t>.  Les coûts indirects tiennent compte des dépenses relatives aux activités d</w:t>
      </w:r>
      <w:r w:rsidR="00E2055A" w:rsidRPr="00A32AF4">
        <w:rPr>
          <w:rFonts w:ascii="Arial" w:hAnsi="Arial" w:cs="Arial"/>
          <w:szCs w:val="20"/>
        </w:rPr>
        <w:t>’</w:t>
      </w:r>
      <w:r w:rsidRPr="00A32AF4">
        <w:rPr>
          <w:rFonts w:ascii="Arial" w:hAnsi="Arial" w:cs="Arial"/>
          <w:szCs w:val="20"/>
        </w:rPr>
        <w:t>appui (telles que la gestion des bâtiments et les technologies de l</w:t>
      </w:r>
      <w:r w:rsidR="00E2055A" w:rsidRPr="00A32AF4">
        <w:rPr>
          <w:rFonts w:ascii="Arial" w:hAnsi="Arial" w:cs="Arial"/>
          <w:szCs w:val="20"/>
        </w:rPr>
        <w:t>’</w:t>
      </w:r>
      <w:r w:rsidRPr="00A32AF4">
        <w:rPr>
          <w:rFonts w:ascii="Arial" w:hAnsi="Arial" w:cs="Arial"/>
          <w:szCs w:val="20"/>
        </w:rPr>
        <w:t xml:space="preserve">information).  Ils sont pondérés pour ne prendre en considération que la part imputable au système de </w:t>
      </w:r>
      <w:r w:rsidR="00E2055A" w:rsidRPr="00A32AF4">
        <w:rPr>
          <w:rFonts w:ascii="Arial" w:hAnsi="Arial" w:cs="Arial"/>
          <w:szCs w:val="20"/>
        </w:rPr>
        <w:t>La Haye</w:t>
      </w:r>
      <w:r w:rsidRPr="00A32AF4">
        <w:rPr>
          <w:rFonts w:ascii="Arial" w:hAnsi="Arial" w:cs="Arial"/>
          <w:szCs w:val="20"/>
        </w:rPr>
        <w:t>.</w:t>
      </w:r>
    </w:p>
    <w:p w:rsidR="00F93B76" w:rsidRPr="00A32AF4" w:rsidRDefault="00F93B76" w:rsidP="00DC0553">
      <w:pPr>
        <w:pStyle w:val="ListParagraph"/>
        <w:spacing w:after="0" w:line="240" w:lineRule="auto"/>
        <w:ind w:left="1080"/>
        <w:jc w:val="both"/>
        <w:rPr>
          <w:rFonts w:ascii="Arial" w:hAnsi="Arial" w:cs="Arial"/>
          <w:szCs w:val="20"/>
        </w:rPr>
      </w:pPr>
    </w:p>
    <w:p w:rsidR="00F93B76" w:rsidRPr="00A32AF4" w:rsidRDefault="00B97534" w:rsidP="00DC0553">
      <w:pPr>
        <w:pStyle w:val="ListParagraph"/>
        <w:spacing w:after="0" w:line="240" w:lineRule="auto"/>
        <w:ind w:left="1080"/>
        <w:rPr>
          <w:rFonts w:ascii="Arial" w:hAnsi="Arial" w:cs="Arial"/>
          <w:szCs w:val="20"/>
        </w:rPr>
      </w:pPr>
      <w:r w:rsidRPr="00A32AF4">
        <w:rPr>
          <w:noProof/>
          <w:lang w:eastAsia="fr-FR"/>
        </w:rPr>
        <w:drawing>
          <wp:inline distT="0" distB="0" distL="0" distR="0" wp14:anchorId="49EE25E1" wp14:editId="50300772">
            <wp:extent cx="4453200" cy="2662459"/>
            <wp:effectExtent l="0" t="0" r="5080" b="5080"/>
            <wp:docPr id="1027" name="Pictur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78" cstate="print">
                      <a:extLst>
                        <a:ext uri="{28A0092B-C50C-407E-A947-70E740481C1C}">
                          <a14:useLocalDpi xmlns:a14="http://schemas.microsoft.com/office/drawing/2010/main" val="0"/>
                        </a:ext>
                      </a:extLst>
                    </a:blip>
                    <a:srcRect/>
                    <a:stretch>
                      <a:fillRect/>
                    </a:stretch>
                  </pic:blipFill>
                  <pic:spPr bwMode="auto">
                    <a:xfrm>
                      <a:off x="0" y="0"/>
                      <a:ext cx="4453200" cy="2662459"/>
                    </a:xfrm>
                    <a:prstGeom prst="rect">
                      <a:avLst/>
                    </a:prstGeom>
                    <a:noFill/>
                    <a:ln>
                      <a:noFill/>
                    </a:ln>
                  </pic:spPr>
                </pic:pic>
              </a:graphicData>
            </a:graphic>
          </wp:inline>
        </w:drawing>
      </w:r>
    </w:p>
    <w:p w:rsidR="00F93B76" w:rsidRPr="00A32AF4" w:rsidRDefault="00F93B76" w:rsidP="00DC0553">
      <w:pPr>
        <w:pStyle w:val="ListParagraph"/>
        <w:spacing w:after="0" w:line="240" w:lineRule="auto"/>
        <w:ind w:left="1080"/>
        <w:rPr>
          <w:rFonts w:ascii="Arial" w:hAnsi="Arial" w:cs="Arial"/>
          <w:szCs w:val="20"/>
        </w:rPr>
      </w:pPr>
    </w:p>
    <w:p w:rsidR="00F93B76" w:rsidRPr="00A32AF4" w:rsidRDefault="000E03DF" w:rsidP="00DC0553">
      <w:pPr>
        <w:pStyle w:val="ListParagraph"/>
        <w:numPr>
          <w:ilvl w:val="0"/>
          <w:numId w:val="54"/>
        </w:numPr>
        <w:spacing w:after="120" w:line="240" w:lineRule="auto"/>
        <w:ind w:left="992" w:hanging="425"/>
        <w:contextualSpacing w:val="0"/>
        <w:jc w:val="both"/>
        <w:rPr>
          <w:rFonts w:ascii="Arial" w:hAnsi="Arial" w:cs="Arial"/>
          <w:szCs w:val="20"/>
        </w:rPr>
      </w:pPr>
      <w:r w:rsidRPr="00A32AF4">
        <w:rPr>
          <w:rFonts w:ascii="Arial" w:hAnsi="Arial" w:cs="Arial"/>
          <w:szCs w:val="20"/>
        </w:rPr>
        <w:t xml:space="preserve">Les dépenses totales relatives au traitement dans le cadre du système de </w:t>
      </w:r>
      <w:r w:rsidR="00E2055A" w:rsidRPr="00A32AF4">
        <w:rPr>
          <w:rFonts w:ascii="Arial" w:hAnsi="Arial" w:cs="Arial"/>
          <w:szCs w:val="20"/>
        </w:rPr>
        <w:t>La Haye</w:t>
      </w:r>
      <w:r w:rsidRPr="00A32AF4">
        <w:rPr>
          <w:rFonts w:ascii="Arial" w:hAnsi="Arial" w:cs="Arial"/>
          <w:szCs w:val="20"/>
        </w:rPr>
        <w:t xml:space="preserve"> sont estimées à 5,7 millions de francs suisses en 2014.  Cela représente une baisse de 5,7% par rapport à 2013.  Les coûts directs et les coûts indirects ont diminué respectivement de 8,1 et 2%.</w:t>
      </w:r>
    </w:p>
    <w:p w:rsidR="00F93B76" w:rsidRPr="00A32AF4" w:rsidRDefault="000E03DF" w:rsidP="00DC0553">
      <w:pPr>
        <w:pStyle w:val="ListParagraph"/>
        <w:numPr>
          <w:ilvl w:val="0"/>
          <w:numId w:val="54"/>
        </w:numPr>
        <w:spacing w:line="240" w:lineRule="auto"/>
        <w:ind w:left="993" w:hanging="426"/>
        <w:jc w:val="both"/>
        <w:rPr>
          <w:rFonts w:ascii="Arial" w:hAnsi="Arial" w:cs="Arial"/>
          <w:szCs w:val="20"/>
        </w:rPr>
      </w:pPr>
      <w:r w:rsidRPr="00A32AF4">
        <w:rPr>
          <w:rFonts w:ascii="Arial" w:hAnsi="Arial" w:cs="Arial"/>
          <w:szCs w:val="20"/>
        </w:rPr>
        <w:t>En 2014, les coûts directs représentaient 60% des dépenses totales.</w:t>
      </w:r>
    </w:p>
    <w:p w:rsidR="00F93B76" w:rsidRPr="00A32AF4" w:rsidRDefault="00F93B76" w:rsidP="00DC0553">
      <w:pPr>
        <w:pStyle w:val="ListParagraph"/>
        <w:spacing w:after="0" w:line="240" w:lineRule="auto"/>
        <w:ind w:left="993" w:hanging="426"/>
        <w:rPr>
          <w:rFonts w:ascii="Arial" w:hAnsi="Arial" w:cs="Arial"/>
          <w:szCs w:val="20"/>
        </w:rPr>
      </w:pPr>
    </w:p>
    <w:p w:rsidR="00F93B76" w:rsidRPr="00A32AF4" w:rsidRDefault="000E03DF" w:rsidP="00DC0553">
      <w:pPr>
        <w:rPr>
          <w:rFonts w:cs="Arial"/>
          <w:u w:val="single"/>
        </w:rPr>
      </w:pPr>
      <w:r w:rsidRPr="00A32AF4">
        <w:rPr>
          <w:rFonts w:cs="Arial"/>
          <w:u w:val="single"/>
        </w:rPr>
        <w:t>Coût unitaire</w:t>
      </w:r>
    </w:p>
    <w:p w:rsidR="00F93B76" w:rsidRPr="00A32AF4" w:rsidRDefault="00F93B76" w:rsidP="00DC0553">
      <w:pPr>
        <w:rPr>
          <w:rFonts w:cs="Arial"/>
          <w:u w:val="single"/>
        </w:rPr>
      </w:pPr>
    </w:p>
    <w:p w:rsidR="00F93B76" w:rsidRPr="00A32AF4" w:rsidRDefault="000E03DF" w:rsidP="00DC0553">
      <w:pPr>
        <w:pStyle w:val="ListParagraph"/>
        <w:numPr>
          <w:ilvl w:val="0"/>
          <w:numId w:val="58"/>
        </w:numPr>
        <w:tabs>
          <w:tab w:val="left" w:pos="0"/>
          <w:tab w:val="left" w:pos="567"/>
        </w:tabs>
        <w:spacing w:after="0" w:line="240" w:lineRule="auto"/>
        <w:ind w:left="0" w:firstLine="0"/>
        <w:jc w:val="both"/>
        <w:rPr>
          <w:rFonts w:ascii="Arial" w:hAnsi="Arial" w:cs="Arial"/>
          <w:szCs w:val="20"/>
        </w:rPr>
      </w:pPr>
      <w:r w:rsidRPr="00A32AF4">
        <w:rPr>
          <w:rFonts w:ascii="Arial" w:hAnsi="Arial" w:cs="Arial"/>
          <w:szCs w:val="20"/>
        </w:rPr>
        <w:t>L</w:t>
      </w:r>
      <w:r w:rsidR="00E2055A" w:rsidRPr="00A32AF4">
        <w:rPr>
          <w:rFonts w:ascii="Arial" w:hAnsi="Arial" w:cs="Arial"/>
          <w:szCs w:val="20"/>
        </w:rPr>
        <w:t>’</w:t>
      </w:r>
      <w:r w:rsidRPr="00A32AF4">
        <w:rPr>
          <w:rFonts w:ascii="Arial" w:hAnsi="Arial" w:cs="Arial"/>
          <w:szCs w:val="20"/>
        </w:rPr>
        <w:t>efficacité du Bureau international dans la réalisation des transactions peut être mesurée au moyen du coût unitaire, qui est défini comme étant le coût moyen d</w:t>
      </w:r>
      <w:r w:rsidR="00E2055A" w:rsidRPr="00A32AF4">
        <w:rPr>
          <w:rFonts w:ascii="Arial" w:hAnsi="Arial" w:cs="Arial"/>
          <w:szCs w:val="20"/>
        </w:rPr>
        <w:t>’</w:t>
      </w:r>
      <w:r w:rsidRPr="00A32AF4">
        <w:rPr>
          <w:rFonts w:ascii="Arial" w:hAnsi="Arial" w:cs="Arial"/>
          <w:szCs w:val="20"/>
        </w:rPr>
        <w:t>une unité produite.</w:t>
      </w:r>
    </w:p>
    <w:p w:rsidR="00F93B76" w:rsidRPr="00A32AF4" w:rsidRDefault="00F93B76" w:rsidP="00DC0553">
      <w:pPr>
        <w:contextualSpacing/>
        <w:jc w:val="both"/>
        <w:rPr>
          <w:rFonts w:cs="Arial"/>
        </w:rPr>
      </w:pPr>
    </w:p>
    <w:p w:rsidR="00F93B76" w:rsidRPr="00A32AF4" w:rsidRDefault="000E03DF" w:rsidP="00DC0553">
      <w:pPr>
        <w:pStyle w:val="ListParagraph"/>
        <w:numPr>
          <w:ilvl w:val="0"/>
          <w:numId w:val="58"/>
        </w:numPr>
        <w:tabs>
          <w:tab w:val="left" w:pos="0"/>
          <w:tab w:val="left" w:pos="567"/>
        </w:tabs>
        <w:spacing w:after="0" w:line="240" w:lineRule="auto"/>
        <w:ind w:left="0" w:firstLine="0"/>
        <w:jc w:val="both"/>
        <w:rPr>
          <w:rFonts w:ascii="Arial" w:hAnsi="Arial" w:cs="Arial"/>
          <w:szCs w:val="20"/>
        </w:rPr>
      </w:pPr>
      <w:r w:rsidRPr="00A32AF4">
        <w:rPr>
          <w:rFonts w:ascii="Arial" w:hAnsi="Arial" w:cs="Arial"/>
          <w:szCs w:val="20"/>
        </w:rPr>
        <w:t>Étant donné que le Bureau international procède à l</w:t>
      </w:r>
      <w:r w:rsidR="00E2055A" w:rsidRPr="00A32AF4">
        <w:rPr>
          <w:rFonts w:ascii="Arial" w:hAnsi="Arial" w:cs="Arial"/>
          <w:szCs w:val="20"/>
        </w:rPr>
        <w:t>’</w:t>
      </w:r>
      <w:r w:rsidRPr="00A32AF4">
        <w:rPr>
          <w:rFonts w:ascii="Arial" w:hAnsi="Arial" w:cs="Arial"/>
          <w:szCs w:val="20"/>
        </w:rPr>
        <w:t>enregistrement des nouvelles demandes et tient à jour les enregistrements en vigueur, il convient de calculer le coût d</w:t>
      </w:r>
      <w:r w:rsidR="00E2055A" w:rsidRPr="00A32AF4">
        <w:rPr>
          <w:rFonts w:ascii="Arial" w:hAnsi="Arial" w:cs="Arial"/>
          <w:szCs w:val="20"/>
        </w:rPr>
        <w:t>’</w:t>
      </w:r>
      <w:r w:rsidRPr="00A32AF4">
        <w:rPr>
          <w:rFonts w:ascii="Arial" w:hAnsi="Arial" w:cs="Arial"/>
          <w:szCs w:val="20"/>
        </w:rPr>
        <w:t>une unité produite en tenant compte d</w:t>
      </w:r>
      <w:r w:rsidR="00E2055A" w:rsidRPr="00A32AF4">
        <w:rPr>
          <w:rFonts w:ascii="Arial" w:hAnsi="Arial" w:cs="Arial"/>
          <w:szCs w:val="20"/>
        </w:rPr>
        <w:t>’</w:t>
      </w:r>
      <w:r w:rsidRPr="00A32AF4">
        <w:rPr>
          <w:rFonts w:ascii="Arial" w:hAnsi="Arial" w:cs="Arial"/>
          <w:szCs w:val="20"/>
        </w:rPr>
        <w:t>un ensemble de transactions.  Deux indicateurs de coût unitaire sont présentés ci</w:t>
      </w:r>
      <w:r w:rsidR="00EB7F54" w:rsidRPr="00A32AF4">
        <w:rPr>
          <w:rFonts w:ascii="Arial" w:hAnsi="Arial" w:cs="Arial"/>
          <w:szCs w:val="20"/>
        </w:rPr>
        <w:noBreakHyphen/>
      </w:r>
      <w:r w:rsidRPr="00A32AF4">
        <w:rPr>
          <w:rFonts w:ascii="Arial" w:hAnsi="Arial" w:cs="Arial"/>
          <w:szCs w:val="20"/>
        </w:rPr>
        <w:t>après au moyen de deux unités produites différentes.</w:t>
      </w:r>
    </w:p>
    <w:p w:rsidR="00F93B76" w:rsidRPr="00A32AF4" w:rsidRDefault="00F93B76" w:rsidP="00DC0553">
      <w:pPr>
        <w:pStyle w:val="ListParagraph"/>
        <w:tabs>
          <w:tab w:val="left" w:pos="0"/>
          <w:tab w:val="left" w:pos="567"/>
        </w:tabs>
        <w:spacing w:after="0" w:line="240" w:lineRule="auto"/>
        <w:ind w:left="0"/>
        <w:jc w:val="both"/>
        <w:rPr>
          <w:rFonts w:ascii="Arial" w:hAnsi="Arial" w:cs="Arial"/>
          <w:szCs w:val="20"/>
        </w:rPr>
      </w:pPr>
    </w:p>
    <w:p w:rsidR="00F93B76" w:rsidRPr="00A32AF4" w:rsidRDefault="000E03DF" w:rsidP="00DC0553">
      <w:pPr>
        <w:pStyle w:val="ListParagraph"/>
        <w:numPr>
          <w:ilvl w:val="0"/>
          <w:numId w:val="58"/>
        </w:numPr>
        <w:tabs>
          <w:tab w:val="left" w:pos="0"/>
          <w:tab w:val="left" w:pos="567"/>
        </w:tabs>
        <w:spacing w:after="0" w:line="240" w:lineRule="auto"/>
        <w:ind w:left="0" w:firstLine="0"/>
        <w:jc w:val="both"/>
        <w:rPr>
          <w:rFonts w:ascii="Arial" w:hAnsi="Arial" w:cs="Arial"/>
          <w:szCs w:val="20"/>
        </w:rPr>
      </w:pPr>
      <w:r w:rsidRPr="00A32AF4">
        <w:rPr>
          <w:rFonts w:ascii="Arial" w:hAnsi="Arial" w:cs="Arial"/>
          <w:szCs w:val="20"/>
        </w:rPr>
        <w:t>Au regard des efforts déployés par le Bureau international en vue d</w:t>
      </w:r>
      <w:r w:rsidR="00E2055A" w:rsidRPr="00A32AF4">
        <w:rPr>
          <w:rFonts w:ascii="Arial" w:hAnsi="Arial" w:cs="Arial"/>
          <w:szCs w:val="20"/>
        </w:rPr>
        <w:t>’</w:t>
      </w:r>
      <w:r w:rsidRPr="00A32AF4">
        <w:rPr>
          <w:rFonts w:ascii="Arial" w:hAnsi="Arial" w:cs="Arial"/>
          <w:szCs w:val="20"/>
        </w:rPr>
        <w:t xml:space="preserve">affiner en permanence la méthode de calcul des coûts unitaires, cette méthode a été révisée dans le programme et budget de manière à prendre en considération de façon plus précise le coût du traitement au Bureau international des opérations réalisées dans le cadre du système de </w:t>
      </w:r>
      <w:r w:rsidR="00E2055A" w:rsidRPr="00A32AF4">
        <w:rPr>
          <w:rFonts w:ascii="Arial" w:hAnsi="Arial" w:cs="Arial"/>
          <w:szCs w:val="20"/>
        </w:rPr>
        <w:t>La Haye</w:t>
      </w:r>
      <w:r w:rsidRPr="00A32AF4">
        <w:rPr>
          <w:rFonts w:ascii="Arial" w:hAnsi="Arial" w:cs="Arial"/>
          <w:szCs w:val="20"/>
        </w:rPr>
        <w:t>.</w:t>
      </w:r>
    </w:p>
    <w:p w:rsidR="00F93B76" w:rsidRPr="00A32AF4" w:rsidRDefault="00F93B76" w:rsidP="00DC0553">
      <w:pPr>
        <w:pStyle w:val="ListParagraph"/>
        <w:tabs>
          <w:tab w:val="left" w:pos="0"/>
          <w:tab w:val="left" w:pos="567"/>
        </w:tabs>
        <w:spacing w:after="0" w:line="240" w:lineRule="auto"/>
        <w:ind w:left="0"/>
        <w:jc w:val="both"/>
        <w:rPr>
          <w:rFonts w:ascii="Arial" w:hAnsi="Arial" w:cs="Arial"/>
          <w:szCs w:val="20"/>
        </w:rPr>
      </w:pPr>
    </w:p>
    <w:p w:rsidR="00F93B76" w:rsidRPr="00A32AF4" w:rsidRDefault="000E03DF" w:rsidP="00DC0553">
      <w:pPr>
        <w:pStyle w:val="ListParagraph"/>
        <w:numPr>
          <w:ilvl w:val="0"/>
          <w:numId w:val="58"/>
        </w:numPr>
        <w:tabs>
          <w:tab w:val="left" w:pos="0"/>
          <w:tab w:val="left" w:pos="567"/>
        </w:tabs>
        <w:spacing w:after="0" w:line="240" w:lineRule="auto"/>
        <w:ind w:left="0" w:firstLine="0"/>
        <w:jc w:val="both"/>
        <w:rPr>
          <w:rFonts w:ascii="Arial" w:hAnsi="Arial" w:cs="Arial"/>
          <w:szCs w:val="20"/>
        </w:rPr>
      </w:pPr>
      <w:r w:rsidRPr="00A32AF4">
        <w:rPr>
          <w:rFonts w:ascii="Arial" w:hAnsi="Arial" w:cs="Arial"/>
          <w:szCs w:val="20"/>
        </w:rPr>
        <w:t>La révision en question a porté sur les éléments suivants :</w:t>
      </w:r>
    </w:p>
    <w:p w:rsidR="00F93B76" w:rsidRPr="00A32AF4" w:rsidRDefault="00F93B76" w:rsidP="00DC0553">
      <w:pPr>
        <w:pStyle w:val="ListParagraph"/>
        <w:tabs>
          <w:tab w:val="left" w:pos="0"/>
          <w:tab w:val="left" w:pos="567"/>
        </w:tabs>
        <w:spacing w:after="120" w:line="240" w:lineRule="auto"/>
        <w:ind w:left="0"/>
        <w:jc w:val="both"/>
        <w:rPr>
          <w:rFonts w:ascii="Arial" w:hAnsi="Arial" w:cs="Arial"/>
          <w:szCs w:val="20"/>
        </w:rPr>
      </w:pPr>
    </w:p>
    <w:p w:rsidR="00F93B76" w:rsidRPr="00A32AF4" w:rsidRDefault="000E03DF" w:rsidP="00DC0553">
      <w:pPr>
        <w:pStyle w:val="ListParagraph"/>
        <w:numPr>
          <w:ilvl w:val="0"/>
          <w:numId w:val="57"/>
        </w:numPr>
        <w:spacing w:after="120" w:line="240" w:lineRule="auto"/>
        <w:ind w:left="1134" w:hanging="567"/>
        <w:contextualSpacing w:val="0"/>
        <w:jc w:val="both"/>
        <w:rPr>
          <w:rFonts w:ascii="Arial" w:hAnsi="Arial" w:cs="Arial"/>
          <w:szCs w:val="20"/>
        </w:rPr>
      </w:pPr>
      <w:r w:rsidRPr="00A32AF4">
        <w:rPr>
          <w:rFonts w:ascii="Arial" w:hAnsi="Arial" w:cs="Arial"/>
          <w:szCs w:val="20"/>
        </w:rPr>
        <w:t xml:space="preserve">la méthode de calcul des coûts directs et indirects concernant le système de </w:t>
      </w:r>
      <w:r w:rsidR="00E2055A" w:rsidRPr="00A32AF4">
        <w:rPr>
          <w:rFonts w:ascii="Arial" w:hAnsi="Arial" w:cs="Arial"/>
          <w:szCs w:val="20"/>
        </w:rPr>
        <w:t>La Haye</w:t>
      </w:r>
      <w:r w:rsidRPr="00A32AF4">
        <w:rPr>
          <w:rFonts w:ascii="Arial" w:hAnsi="Arial" w:cs="Arial"/>
          <w:szCs w:val="20"/>
        </w:rPr>
        <w:t xml:space="preserve"> a été alignée sur les méthodes de calcul des coûts unitaires dans le cadre des systèmes du PCT et de </w:t>
      </w:r>
      <w:proofErr w:type="gramStart"/>
      <w:r w:rsidRPr="00A32AF4">
        <w:rPr>
          <w:rFonts w:ascii="Arial" w:hAnsi="Arial" w:cs="Arial"/>
          <w:szCs w:val="20"/>
        </w:rPr>
        <w:t>Madrid;</w:t>
      </w:r>
      <w:proofErr w:type="gramEnd"/>
    </w:p>
    <w:p w:rsidR="00F93B76" w:rsidRPr="00A32AF4" w:rsidRDefault="000E03DF" w:rsidP="00DC0553">
      <w:pPr>
        <w:pStyle w:val="ListParagraph"/>
        <w:numPr>
          <w:ilvl w:val="0"/>
          <w:numId w:val="42"/>
        </w:numPr>
        <w:spacing w:after="120" w:line="240" w:lineRule="auto"/>
        <w:ind w:left="1134" w:hanging="567"/>
        <w:contextualSpacing w:val="0"/>
        <w:jc w:val="both"/>
        <w:rPr>
          <w:rFonts w:ascii="Arial" w:hAnsi="Arial" w:cs="Arial"/>
          <w:szCs w:val="20"/>
        </w:rPr>
      </w:pPr>
      <w:r w:rsidRPr="00A32AF4">
        <w:rPr>
          <w:rFonts w:ascii="Arial" w:hAnsi="Arial" w:cs="Arial"/>
          <w:szCs w:val="20"/>
        </w:rPr>
        <w:t xml:space="preserve">un système de pondération a été adopté en vue de mieux estimer le volume de travail effectivement nécessaire pour traiter les quatre catégories de documents, étant entendu que certains de ces documents demandent plus de travail que </w:t>
      </w:r>
      <w:proofErr w:type="gramStart"/>
      <w:r w:rsidRPr="00A32AF4">
        <w:rPr>
          <w:rFonts w:ascii="Arial" w:hAnsi="Arial" w:cs="Arial"/>
          <w:szCs w:val="20"/>
        </w:rPr>
        <w:t>d</w:t>
      </w:r>
      <w:r w:rsidR="00E2055A" w:rsidRPr="00A32AF4">
        <w:rPr>
          <w:rFonts w:ascii="Arial" w:hAnsi="Arial" w:cs="Arial"/>
          <w:szCs w:val="20"/>
        </w:rPr>
        <w:t>’</w:t>
      </w:r>
      <w:r w:rsidRPr="00A32AF4">
        <w:rPr>
          <w:rFonts w:ascii="Arial" w:hAnsi="Arial" w:cs="Arial"/>
          <w:szCs w:val="20"/>
        </w:rPr>
        <w:t>autres</w:t>
      </w:r>
      <w:proofErr w:type="gramEnd"/>
      <w:r w:rsidRPr="00A32AF4">
        <w:rPr>
          <w:rStyle w:val="FootnoteReference"/>
          <w:rFonts w:ascii="Arial" w:hAnsi="Arial" w:cs="Arial"/>
          <w:szCs w:val="20"/>
        </w:rPr>
        <w:footnoteReference w:id="31"/>
      </w:r>
      <w:r w:rsidRPr="00A32AF4">
        <w:rPr>
          <w:rFonts w:ascii="Arial" w:hAnsi="Arial" w:cs="Arial"/>
          <w:szCs w:val="20"/>
        </w:rPr>
        <w:t>;</w:t>
      </w:r>
    </w:p>
    <w:p w:rsidR="00F93B76" w:rsidRPr="00A32AF4" w:rsidRDefault="000E03DF" w:rsidP="00DC0553">
      <w:pPr>
        <w:pStyle w:val="ListParagraph"/>
        <w:numPr>
          <w:ilvl w:val="0"/>
          <w:numId w:val="42"/>
        </w:numPr>
        <w:spacing w:after="120" w:line="240" w:lineRule="auto"/>
        <w:ind w:left="1134" w:hanging="567"/>
        <w:contextualSpacing w:val="0"/>
        <w:jc w:val="both"/>
        <w:rPr>
          <w:rFonts w:ascii="Arial" w:hAnsi="Arial" w:cs="Arial"/>
          <w:szCs w:val="20"/>
        </w:rPr>
      </w:pPr>
      <w:r w:rsidRPr="00A32AF4">
        <w:rPr>
          <w:rFonts w:ascii="Arial" w:hAnsi="Arial" w:cs="Arial"/>
          <w:szCs w:val="20"/>
        </w:rPr>
        <w:t>le premier coût unitaire a été redéfini de manière à inclure les dessins et modèles contenus dans les nouveaux enregistrements internationaux et dans les renouvellem</w:t>
      </w:r>
      <w:r w:rsidR="00563E68" w:rsidRPr="00A32AF4">
        <w:rPr>
          <w:rFonts w:ascii="Arial" w:hAnsi="Arial" w:cs="Arial"/>
          <w:szCs w:val="20"/>
        </w:rPr>
        <w:t>ents (le coût unitaire dans le p</w:t>
      </w:r>
      <w:r w:rsidRPr="00A32AF4">
        <w:rPr>
          <w:rFonts w:ascii="Arial" w:hAnsi="Arial" w:cs="Arial"/>
          <w:szCs w:val="20"/>
        </w:rPr>
        <w:t>rogramme et budget pour l</w:t>
      </w:r>
      <w:r w:rsidR="00E2055A" w:rsidRPr="00A32AF4">
        <w:rPr>
          <w:rFonts w:ascii="Arial" w:hAnsi="Arial" w:cs="Arial"/>
          <w:szCs w:val="20"/>
        </w:rPr>
        <w:t>’</w:t>
      </w:r>
      <w:r w:rsidRPr="00A32AF4">
        <w:rPr>
          <w:rFonts w:ascii="Arial" w:hAnsi="Arial" w:cs="Arial"/>
          <w:szCs w:val="20"/>
        </w:rPr>
        <w:t>exercice 2014</w:t>
      </w:r>
      <w:r w:rsidR="00EB7F54" w:rsidRPr="00A32AF4">
        <w:rPr>
          <w:rFonts w:ascii="Arial" w:hAnsi="Arial" w:cs="Arial"/>
          <w:szCs w:val="20"/>
        </w:rPr>
        <w:noBreakHyphen/>
      </w:r>
      <w:r w:rsidRPr="00A32AF4">
        <w:rPr>
          <w:rFonts w:ascii="Arial" w:hAnsi="Arial" w:cs="Arial"/>
          <w:szCs w:val="20"/>
        </w:rPr>
        <w:t>2015 ne prenait en considération que les dessins et modèles contenus dans les nouveaux enregistrements internationaux).  La prise en considération de dessins et modèles contenus dans les renouvellements comme élément du coût unitaire se justifie par l</w:t>
      </w:r>
      <w:r w:rsidR="00E2055A" w:rsidRPr="00A32AF4">
        <w:rPr>
          <w:rFonts w:ascii="Arial" w:hAnsi="Arial" w:cs="Arial"/>
          <w:szCs w:val="20"/>
        </w:rPr>
        <w:t>’</w:t>
      </w:r>
      <w:r w:rsidRPr="00A32AF4">
        <w:rPr>
          <w:rFonts w:ascii="Arial" w:hAnsi="Arial" w:cs="Arial"/>
          <w:szCs w:val="20"/>
        </w:rPr>
        <w:t xml:space="preserve">accent qui est davantage mis sur les éléments clés du système de </w:t>
      </w:r>
      <w:r w:rsidR="00E2055A" w:rsidRPr="00A32AF4">
        <w:rPr>
          <w:rFonts w:ascii="Arial" w:hAnsi="Arial" w:cs="Arial"/>
          <w:szCs w:val="20"/>
        </w:rPr>
        <w:t>La Haye</w:t>
      </w:r>
      <w:r w:rsidRPr="00A32AF4">
        <w:rPr>
          <w:rFonts w:ascii="Arial" w:hAnsi="Arial" w:cs="Arial"/>
          <w:szCs w:val="20"/>
        </w:rPr>
        <w:t xml:space="preserve">, </w:t>
      </w:r>
      <w:r w:rsidR="00E2055A" w:rsidRPr="00A32AF4">
        <w:rPr>
          <w:rFonts w:ascii="Arial" w:hAnsi="Arial" w:cs="Arial"/>
          <w:szCs w:val="20"/>
        </w:rPr>
        <w:t>à savoir</w:t>
      </w:r>
      <w:r w:rsidRPr="00A32AF4">
        <w:rPr>
          <w:rFonts w:ascii="Arial" w:hAnsi="Arial" w:cs="Arial"/>
          <w:szCs w:val="20"/>
        </w:rPr>
        <w:t xml:space="preserve"> l</w:t>
      </w:r>
      <w:r w:rsidR="00E2055A" w:rsidRPr="00A32AF4">
        <w:rPr>
          <w:rFonts w:ascii="Arial" w:hAnsi="Arial" w:cs="Arial"/>
          <w:szCs w:val="20"/>
        </w:rPr>
        <w:t>’</w:t>
      </w:r>
      <w:r w:rsidRPr="00A32AF4">
        <w:rPr>
          <w:rFonts w:ascii="Arial" w:hAnsi="Arial" w:cs="Arial"/>
          <w:szCs w:val="20"/>
        </w:rPr>
        <w:t xml:space="preserve">enregistrement international et son </w:t>
      </w:r>
      <w:proofErr w:type="gramStart"/>
      <w:r w:rsidRPr="00A32AF4">
        <w:rPr>
          <w:rFonts w:ascii="Arial" w:hAnsi="Arial" w:cs="Arial"/>
          <w:szCs w:val="20"/>
        </w:rPr>
        <w:t>renouvellement;</w:t>
      </w:r>
      <w:proofErr w:type="gramEnd"/>
    </w:p>
    <w:p w:rsidR="00F93B76" w:rsidRPr="00A32AF4" w:rsidRDefault="000E03DF" w:rsidP="00DC0553">
      <w:pPr>
        <w:pStyle w:val="ListParagraph"/>
        <w:numPr>
          <w:ilvl w:val="0"/>
          <w:numId w:val="42"/>
        </w:numPr>
        <w:spacing w:line="240" w:lineRule="auto"/>
        <w:ind w:left="1134" w:hanging="567"/>
        <w:jc w:val="both"/>
        <w:rPr>
          <w:rFonts w:ascii="Arial" w:hAnsi="Arial" w:cs="Arial"/>
          <w:szCs w:val="20"/>
        </w:rPr>
      </w:pPr>
      <w:r w:rsidRPr="00A32AF4">
        <w:rPr>
          <w:rFonts w:ascii="Arial" w:hAnsi="Arial" w:cs="Arial"/>
          <w:szCs w:val="20"/>
        </w:rPr>
        <w:t>le deuxième coût unitaire est basé sur le nombre de documents traités et inscrits au registre plutôt que sur le nombre d</w:t>
      </w:r>
      <w:r w:rsidR="00E2055A" w:rsidRPr="00A32AF4">
        <w:rPr>
          <w:rFonts w:ascii="Arial" w:hAnsi="Arial" w:cs="Arial"/>
          <w:szCs w:val="20"/>
        </w:rPr>
        <w:t>’</w:t>
      </w:r>
      <w:r w:rsidRPr="00A32AF4">
        <w:rPr>
          <w:rFonts w:ascii="Arial" w:hAnsi="Arial" w:cs="Arial"/>
          <w:szCs w:val="20"/>
        </w:rPr>
        <w:t>enregistrements, compte tenu des différents degrés d</w:t>
      </w:r>
      <w:r w:rsidR="00E2055A" w:rsidRPr="00A32AF4">
        <w:rPr>
          <w:rFonts w:ascii="Arial" w:hAnsi="Arial" w:cs="Arial"/>
          <w:szCs w:val="20"/>
        </w:rPr>
        <w:t>’</w:t>
      </w:r>
      <w:r w:rsidRPr="00A32AF4">
        <w:rPr>
          <w:rFonts w:ascii="Arial" w:hAnsi="Arial" w:cs="Arial"/>
          <w:szCs w:val="20"/>
        </w:rPr>
        <w:t>efforts requis pour traiter les divers documents.</w:t>
      </w:r>
    </w:p>
    <w:p w:rsidR="00F93B76" w:rsidRPr="00A32AF4" w:rsidRDefault="00F93B76" w:rsidP="00DC0553">
      <w:pPr>
        <w:pStyle w:val="ListParagraph"/>
        <w:spacing w:line="240" w:lineRule="auto"/>
        <w:jc w:val="both"/>
        <w:rPr>
          <w:rFonts w:ascii="Arial" w:hAnsi="Arial" w:cs="Arial"/>
          <w:szCs w:val="20"/>
        </w:rPr>
      </w:pPr>
    </w:p>
    <w:p w:rsidR="00F93B76" w:rsidRPr="00A32AF4" w:rsidRDefault="000E03DF" w:rsidP="00DC0553">
      <w:pPr>
        <w:pStyle w:val="ListParagraph"/>
        <w:numPr>
          <w:ilvl w:val="0"/>
          <w:numId w:val="58"/>
        </w:numPr>
        <w:tabs>
          <w:tab w:val="left" w:pos="0"/>
          <w:tab w:val="left" w:pos="567"/>
        </w:tabs>
        <w:spacing w:after="0" w:line="240" w:lineRule="auto"/>
        <w:ind w:left="0" w:firstLine="0"/>
        <w:jc w:val="both"/>
        <w:rPr>
          <w:rFonts w:ascii="Arial" w:hAnsi="Arial" w:cs="Arial"/>
          <w:szCs w:val="20"/>
        </w:rPr>
      </w:pPr>
      <w:r w:rsidRPr="00A32AF4">
        <w:rPr>
          <w:rFonts w:ascii="Arial" w:hAnsi="Arial" w:cs="Arial"/>
          <w:szCs w:val="20"/>
        </w:rPr>
        <w:t>Pour faciliter la comparaison, les graphiques ci</w:t>
      </w:r>
      <w:r w:rsidR="00EB7F54" w:rsidRPr="00A32AF4">
        <w:rPr>
          <w:rFonts w:ascii="Arial" w:hAnsi="Arial" w:cs="Arial"/>
          <w:szCs w:val="20"/>
        </w:rPr>
        <w:noBreakHyphen/>
      </w:r>
      <w:r w:rsidRPr="00A32AF4">
        <w:rPr>
          <w:rFonts w:ascii="Arial" w:hAnsi="Arial" w:cs="Arial"/>
          <w:szCs w:val="20"/>
        </w:rPr>
        <w:t>après décrivent l</w:t>
      </w:r>
      <w:r w:rsidR="00E2055A" w:rsidRPr="00A32AF4">
        <w:rPr>
          <w:rFonts w:ascii="Arial" w:hAnsi="Arial" w:cs="Arial"/>
          <w:szCs w:val="20"/>
        </w:rPr>
        <w:t>’</w:t>
      </w:r>
      <w:r w:rsidRPr="00A32AF4">
        <w:rPr>
          <w:rFonts w:ascii="Arial" w:hAnsi="Arial" w:cs="Arial"/>
          <w:szCs w:val="20"/>
        </w:rPr>
        <w:t>évolution des deux coûts unitaires entre 2008 et 2014, établie au moyen de l</w:t>
      </w:r>
      <w:r w:rsidR="00E2055A" w:rsidRPr="00A32AF4">
        <w:rPr>
          <w:rFonts w:ascii="Arial" w:hAnsi="Arial" w:cs="Arial"/>
          <w:szCs w:val="20"/>
        </w:rPr>
        <w:t>’</w:t>
      </w:r>
      <w:r w:rsidRPr="00A32AF4">
        <w:rPr>
          <w:rFonts w:ascii="Arial" w:hAnsi="Arial" w:cs="Arial"/>
          <w:szCs w:val="20"/>
        </w:rPr>
        <w:t xml:space="preserve">ancienne méthode, puis entre 2012 et 2014 avec la nouvelle méthode, </w:t>
      </w:r>
      <w:r w:rsidR="00E2055A" w:rsidRPr="00A32AF4">
        <w:rPr>
          <w:rFonts w:ascii="Arial" w:hAnsi="Arial" w:cs="Arial"/>
          <w:szCs w:val="20"/>
        </w:rPr>
        <w:t>y compris</w:t>
      </w:r>
      <w:r w:rsidRPr="00A32AF4">
        <w:rPr>
          <w:rFonts w:ascii="Arial" w:hAnsi="Arial" w:cs="Arial"/>
          <w:szCs w:val="20"/>
        </w:rPr>
        <w:t xml:space="preserve"> une ventilation de la part des coûts directs et indirects.</w:t>
      </w:r>
    </w:p>
    <w:p w:rsidR="00F93B76" w:rsidRPr="00A32AF4" w:rsidRDefault="00F93B76" w:rsidP="00DC0553">
      <w:pPr>
        <w:pStyle w:val="ListParagraph"/>
        <w:tabs>
          <w:tab w:val="left" w:pos="0"/>
          <w:tab w:val="left" w:pos="567"/>
        </w:tabs>
        <w:spacing w:after="0" w:line="240" w:lineRule="auto"/>
        <w:ind w:left="0"/>
        <w:jc w:val="both"/>
        <w:rPr>
          <w:rFonts w:ascii="Arial" w:hAnsi="Arial" w:cs="Arial"/>
          <w:szCs w:val="20"/>
        </w:rPr>
      </w:pPr>
    </w:p>
    <w:p w:rsidR="00F93B76" w:rsidRPr="00A32AF4" w:rsidRDefault="000E03DF" w:rsidP="00DC0553">
      <w:pPr>
        <w:jc w:val="both"/>
        <w:rPr>
          <w:rFonts w:cs="Arial"/>
          <w:i/>
        </w:rPr>
      </w:pPr>
      <w:r w:rsidRPr="00A32AF4">
        <w:rPr>
          <w:rFonts w:cs="Arial"/>
          <w:i/>
        </w:rPr>
        <w:t>Coût unitaire par dessin ou modèle nouveau ou renouvelé</w:t>
      </w:r>
    </w:p>
    <w:p w:rsidR="00F93B76" w:rsidRPr="00A32AF4" w:rsidRDefault="00F93B76" w:rsidP="00DC0553">
      <w:pPr>
        <w:jc w:val="both"/>
        <w:rPr>
          <w:rFonts w:cs="Arial"/>
        </w:rPr>
      </w:pPr>
    </w:p>
    <w:p w:rsidR="00F93B76" w:rsidRPr="00A32AF4" w:rsidRDefault="000E03DF" w:rsidP="00DC0553">
      <w:pPr>
        <w:pStyle w:val="ListParagraph"/>
        <w:numPr>
          <w:ilvl w:val="0"/>
          <w:numId w:val="58"/>
        </w:numPr>
        <w:tabs>
          <w:tab w:val="left" w:pos="0"/>
          <w:tab w:val="left" w:pos="567"/>
        </w:tabs>
        <w:spacing w:after="0" w:line="240" w:lineRule="auto"/>
        <w:ind w:left="0" w:firstLine="0"/>
        <w:jc w:val="both"/>
        <w:rPr>
          <w:rFonts w:ascii="Arial" w:hAnsi="Arial" w:cs="Arial"/>
          <w:szCs w:val="20"/>
        </w:rPr>
      </w:pPr>
      <w:r w:rsidRPr="00A32AF4">
        <w:rPr>
          <w:rFonts w:ascii="Arial" w:hAnsi="Arial" w:cs="Arial"/>
          <w:szCs w:val="20"/>
        </w:rPr>
        <w:t>Les nouveaux dessins ou modèles consistent en des dessins ou modèles figurant dans les demandes internationales enregistrées pendant une année déterminée et les dessins ou modèles renouvelés consistent en des dessins ou modèles figurant dans les enregistrements internationaux renouvelés pendant une année déterminée.  Les dessins et modèles contenus dans ces deux types de documents illustrent globalement les activités principales du Bureau international.</w:t>
      </w:r>
    </w:p>
    <w:p w:rsidR="00F93B76" w:rsidRPr="00A32AF4" w:rsidRDefault="00F93B76" w:rsidP="00DC0553">
      <w:pPr>
        <w:jc w:val="both"/>
        <w:rPr>
          <w:rFonts w:cs="Arial"/>
        </w:rPr>
      </w:pPr>
    </w:p>
    <w:p w:rsidR="00F93B76" w:rsidRPr="00A32AF4" w:rsidRDefault="000E03DF" w:rsidP="00DC0553">
      <w:pPr>
        <w:pStyle w:val="ListParagraph"/>
        <w:numPr>
          <w:ilvl w:val="0"/>
          <w:numId w:val="58"/>
        </w:numPr>
        <w:tabs>
          <w:tab w:val="left" w:pos="0"/>
          <w:tab w:val="left" w:pos="567"/>
        </w:tabs>
        <w:spacing w:after="0" w:line="240" w:lineRule="auto"/>
        <w:ind w:left="0" w:firstLine="0"/>
        <w:jc w:val="both"/>
        <w:rPr>
          <w:rFonts w:ascii="Arial" w:hAnsi="Arial" w:cs="Arial"/>
          <w:szCs w:val="20"/>
        </w:rPr>
      </w:pPr>
      <w:r w:rsidRPr="00A32AF4">
        <w:rPr>
          <w:rFonts w:ascii="Arial" w:hAnsi="Arial" w:cs="Arial"/>
          <w:szCs w:val="20"/>
        </w:rPr>
        <w:t>Étant donné que le traitement des dessins et modèles contenus dans ces deux types de documents ne nécessite pas de faire appel aux mêmes ressources, des facteurs de pondération différents sont utilisés</w:t>
      </w:r>
      <w:r w:rsidRPr="00A32AF4">
        <w:rPr>
          <w:rStyle w:val="FootnoteReference"/>
          <w:rFonts w:ascii="Arial" w:hAnsi="Arial" w:cs="Arial"/>
          <w:szCs w:val="20"/>
        </w:rPr>
        <w:footnoteReference w:id="32"/>
      </w:r>
      <w:r w:rsidRPr="00A32AF4">
        <w:rPr>
          <w:rFonts w:ascii="Arial" w:hAnsi="Arial" w:cs="Arial"/>
          <w:szCs w:val="20"/>
        </w:rPr>
        <w:t>.  Pour calculer le coût unitaire, le coût total de production est divisé par le nombre de dessins ou modèles nouveaux ou renouvelés.</w:t>
      </w:r>
    </w:p>
    <w:p w:rsidR="00F93B76" w:rsidRPr="00A32AF4" w:rsidRDefault="00F93B76" w:rsidP="00DC0553">
      <w:pPr>
        <w:rPr>
          <w:rFonts w:cs="Arial"/>
        </w:rPr>
      </w:pPr>
    </w:p>
    <w:p w:rsidR="000E03DF" w:rsidRPr="00A32AF4" w:rsidRDefault="000E03DF" w:rsidP="00DC0553">
      <w:pPr>
        <w:spacing w:before="120" w:after="120"/>
        <w:jc w:val="both"/>
        <w:rPr>
          <w:rFonts w:cs="Arial"/>
        </w:rPr>
      </w:pPr>
    </w:p>
    <w:tbl>
      <w:tblPr>
        <w:tblStyle w:val="TableGrid"/>
        <w:tblW w:w="0" w:type="auto"/>
        <w:tblInd w:w="-176" w:type="dxa"/>
        <w:tblLook w:val="04A0" w:firstRow="1" w:lastRow="0" w:firstColumn="1" w:lastColumn="0" w:noHBand="0" w:noVBand="1"/>
      </w:tblPr>
      <w:tblGrid>
        <w:gridCol w:w="4731"/>
        <w:gridCol w:w="4732"/>
      </w:tblGrid>
      <w:tr w:rsidR="000E03DF" w:rsidRPr="00A32AF4" w:rsidTr="0091192D">
        <w:tc>
          <w:tcPr>
            <w:tcW w:w="4508" w:type="dxa"/>
          </w:tcPr>
          <w:p w:rsidR="000E03DF" w:rsidRPr="00A32AF4" w:rsidRDefault="000E03DF" w:rsidP="00DC0553">
            <w:pPr>
              <w:keepNext/>
              <w:keepLines/>
              <w:spacing w:after="200" w:line="276" w:lineRule="auto"/>
              <w:jc w:val="center"/>
              <w:rPr>
                <w:rFonts w:cs="Arial"/>
              </w:rPr>
            </w:pPr>
            <w:r w:rsidRPr="00A32AF4">
              <w:rPr>
                <w:rFonts w:cs="Arial"/>
              </w:rPr>
              <w:t>Ancienne méthode</w:t>
            </w:r>
          </w:p>
        </w:tc>
        <w:tc>
          <w:tcPr>
            <w:tcW w:w="4955" w:type="dxa"/>
          </w:tcPr>
          <w:p w:rsidR="000E03DF" w:rsidRPr="00A32AF4" w:rsidRDefault="000E03DF" w:rsidP="00DC0553">
            <w:pPr>
              <w:keepNext/>
              <w:keepLines/>
              <w:spacing w:after="200" w:line="276" w:lineRule="auto"/>
              <w:jc w:val="center"/>
              <w:rPr>
                <w:rFonts w:cs="Arial"/>
              </w:rPr>
            </w:pPr>
            <w:r w:rsidRPr="00A32AF4">
              <w:rPr>
                <w:rFonts w:cs="Arial"/>
              </w:rPr>
              <w:t>Nouvelle méthode</w:t>
            </w:r>
          </w:p>
        </w:tc>
      </w:tr>
      <w:tr w:rsidR="000E03DF" w:rsidRPr="00A32AF4" w:rsidTr="0091192D">
        <w:tc>
          <w:tcPr>
            <w:tcW w:w="4508" w:type="dxa"/>
          </w:tcPr>
          <w:p w:rsidR="000E03DF" w:rsidRPr="00A32AF4" w:rsidRDefault="00A701FB" w:rsidP="00DC0553">
            <w:pPr>
              <w:keepNext/>
              <w:keepLines/>
              <w:spacing w:after="200" w:line="276" w:lineRule="auto"/>
              <w:jc w:val="center"/>
              <w:rPr>
                <w:rFonts w:cs="Arial"/>
              </w:rPr>
            </w:pPr>
            <w:r w:rsidRPr="00A32AF4">
              <w:rPr>
                <w:rFonts w:cs="Arial"/>
                <w:noProof/>
                <w:lang w:eastAsia="fr-FR"/>
              </w:rPr>
              <w:drawing>
                <wp:inline distT="0" distB="0" distL="0" distR="0" wp14:anchorId="5D9A9108" wp14:editId="0DBAB9F9">
                  <wp:extent cx="2952000" cy="2054192"/>
                  <wp:effectExtent l="0" t="0" r="1270" b="3810"/>
                  <wp:docPr id="993" name="Picture 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79" cstate="print">
                            <a:extLst>
                              <a:ext uri="{28A0092B-C50C-407E-A947-70E740481C1C}">
                                <a14:useLocalDpi xmlns:a14="http://schemas.microsoft.com/office/drawing/2010/main" val="0"/>
                              </a:ext>
                            </a:extLst>
                          </a:blip>
                          <a:srcRect/>
                          <a:stretch>
                            <a:fillRect/>
                          </a:stretch>
                        </pic:blipFill>
                        <pic:spPr bwMode="auto">
                          <a:xfrm>
                            <a:off x="0" y="0"/>
                            <a:ext cx="2952000" cy="2054192"/>
                          </a:xfrm>
                          <a:prstGeom prst="rect">
                            <a:avLst/>
                          </a:prstGeom>
                          <a:noFill/>
                          <a:ln>
                            <a:noFill/>
                          </a:ln>
                        </pic:spPr>
                      </pic:pic>
                    </a:graphicData>
                  </a:graphic>
                </wp:inline>
              </w:drawing>
            </w:r>
          </w:p>
        </w:tc>
        <w:tc>
          <w:tcPr>
            <w:tcW w:w="4955" w:type="dxa"/>
          </w:tcPr>
          <w:p w:rsidR="000E03DF" w:rsidRPr="00A32AF4" w:rsidRDefault="00A701FB" w:rsidP="00DC0553">
            <w:pPr>
              <w:keepNext/>
              <w:keepLines/>
              <w:spacing w:after="200" w:line="276" w:lineRule="auto"/>
              <w:jc w:val="center"/>
              <w:rPr>
                <w:rFonts w:cs="Arial"/>
              </w:rPr>
            </w:pPr>
            <w:r w:rsidRPr="00A32AF4">
              <w:rPr>
                <w:rFonts w:cs="Arial"/>
                <w:noProof/>
                <w:lang w:eastAsia="fr-FR"/>
              </w:rPr>
              <w:drawing>
                <wp:inline distT="0" distB="0" distL="0" distR="0" wp14:anchorId="4F7D45AC" wp14:editId="13E6A484">
                  <wp:extent cx="2952000" cy="1864987"/>
                  <wp:effectExtent l="0" t="0" r="1270" b="2540"/>
                  <wp:docPr id="1020" name="Picture 1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80" cstate="print">
                            <a:extLst>
                              <a:ext uri="{28A0092B-C50C-407E-A947-70E740481C1C}">
                                <a14:useLocalDpi xmlns:a14="http://schemas.microsoft.com/office/drawing/2010/main" val="0"/>
                              </a:ext>
                            </a:extLst>
                          </a:blip>
                          <a:srcRect/>
                          <a:stretch>
                            <a:fillRect/>
                          </a:stretch>
                        </pic:blipFill>
                        <pic:spPr bwMode="auto">
                          <a:xfrm>
                            <a:off x="0" y="0"/>
                            <a:ext cx="2952000" cy="1864987"/>
                          </a:xfrm>
                          <a:prstGeom prst="rect">
                            <a:avLst/>
                          </a:prstGeom>
                          <a:noFill/>
                          <a:ln>
                            <a:noFill/>
                          </a:ln>
                        </pic:spPr>
                      </pic:pic>
                    </a:graphicData>
                  </a:graphic>
                </wp:inline>
              </w:drawing>
            </w:r>
          </w:p>
        </w:tc>
      </w:tr>
    </w:tbl>
    <w:p w:rsidR="00F93B76" w:rsidRPr="00A32AF4" w:rsidRDefault="00F93B76" w:rsidP="00DC0553">
      <w:pPr>
        <w:pStyle w:val="ListParagraph"/>
        <w:spacing w:before="120" w:after="120" w:line="240" w:lineRule="auto"/>
        <w:ind w:left="1080"/>
        <w:jc w:val="center"/>
        <w:rPr>
          <w:rFonts w:ascii="Arial" w:hAnsi="Arial" w:cs="Arial"/>
          <w:szCs w:val="20"/>
        </w:rPr>
      </w:pPr>
    </w:p>
    <w:p w:rsidR="00F93B76" w:rsidRPr="00A32AF4" w:rsidRDefault="000E03DF" w:rsidP="00DC0553">
      <w:pPr>
        <w:pStyle w:val="ListParagraph"/>
        <w:numPr>
          <w:ilvl w:val="0"/>
          <w:numId w:val="55"/>
        </w:numPr>
        <w:spacing w:after="0" w:line="240" w:lineRule="auto"/>
        <w:ind w:left="993" w:hanging="426"/>
        <w:jc w:val="both"/>
        <w:rPr>
          <w:rFonts w:ascii="Arial" w:hAnsi="Arial" w:cs="Arial"/>
          <w:szCs w:val="20"/>
        </w:rPr>
      </w:pPr>
      <w:r w:rsidRPr="00A32AF4">
        <w:rPr>
          <w:rFonts w:ascii="Arial" w:hAnsi="Arial" w:cs="Arial"/>
          <w:szCs w:val="20"/>
        </w:rPr>
        <w:t>Le coût moyen de traitement d</w:t>
      </w:r>
      <w:r w:rsidR="00E2055A" w:rsidRPr="00A32AF4">
        <w:rPr>
          <w:rFonts w:ascii="Arial" w:hAnsi="Arial" w:cs="Arial"/>
          <w:szCs w:val="20"/>
        </w:rPr>
        <w:t>’</w:t>
      </w:r>
      <w:r w:rsidRPr="00A32AF4">
        <w:rPr>
          <w:rFonts w:ascii="Arial" w:hAnsi="Arial" w:cs="Arial"/>
          <w:szCs w:val="20"/>
        </w:rPr>
        <w:t>un dessin ou modèle nouveau ou renouvelé s</w:t>
      </w:r>
      <w:r w:rsidR="00E2055A" w:rsidRPr="00A32AF4">
        <w:rPr>
          <w:rFonts w:ascii="Arial" w:hAnsi="Arial" w:cs="Arial"/>
          <w:szCs w:val="20"/>
        </w:rPr>
        <w:t>’</w:t>
      </w:r>
      <w:r w:rsidRPr="00A32AF4">
        <w:rPr>
          <w:rFonts w:ascii="Arial" w:hAnsi="Arial" w:cs="Arial"/>
          <w:szCs w:val="20"/>
        </w:rPr>
        <w:t>établissait à 366 francs suisses en 2014, soit une baisse de 12,8% par rapport à 2013.  Cette baisse résulte essentiellement d</w:t>
      </w:r>
      <w:r w:rsidR="00E2055A" w:rsidRPr="00A32AF4">
        <w:rPr>
          <w:rFonts w:ascii="Arial" w:hAnsi="Arial" w:cs="Arial"/>
          <w:szCs w:val="20"/>
        </w:rPr>
        <w:t>’</w:t>
      </w:r>
      <w:r w:rsidRPr="00A32AF4">
        <w:rPr>
          <w:rFonts w:ascii="Arial" w:hAnsi="Arial" w:cs="Arial"/>
          <w:szCs w:val="20"/>
        </w:rPr>
        <w:t>une réduction de 5,7% du coût de production combinée à une augmentation de 8,2% du nombre de dessins ou modèles nouveaux ou renouvelés.</w:t>
      </w:r>
    </w:p>
    <w:p w:rsidR="00F93B76" w:rsidRPr="00A32AF4" w:rsidRDefault="00F93B76" w:rsidP="00DC0553">
      <w:pPr>
        <w:jc w:val="center"/>
        <w:rPr>
          <w:rFonts w:cs="Arial"/>
        </w:rPr>
      </w:pPr>
    </w:p>
    <w:p w:rsidR="00F93B76" w:rsidRPr="00A32AF4" w:rsidRDefault="000E03DF" w:rsidP="00DC0553">
      <w:pPr>
        <w:jc w:val="both"/>
        <w:rPr>
          <w:rFonts w:cs="Arial"/>
          <w:i/>
        </w:rPr>
      </w:pPr>
      <w:r w:rsidRPr="00A32AF4">
        <w:rPr>
          <w:rFonts w:cs="Arial"/>
          <w:i/>
        </w:rPr>
        <w:t>Coût unitaire par document inscrit au registre</w:t>
      </w:r>
    </w:p>
    <w:p w:rsidR="00F93B76" w:rsidRPr="00A32AF4" w:rsidRDefault="00F93B76" w:rsidP="00DC0553">
      <w:pPr>
        <w:jc w:val="both"/>
        <w:rPr>
          <w:rFonts w:cs="Arial"/>
        </w:rPr>
      </w:pPr>
    </w:p>
    <w:p w:rsidR="00F93B76" w:rsidRPr="00A32AF4" w:rsidRDefault="000E03DF" w:rsidP="00DC0553">
      <w:pPr>
        <w:pStyle w:val="ListParagraph"/>
        <w:numPr>
          <w:ilvl w:val="0"/>
          <w:numId w:val="58"/>
        </w:numPr>
        <w:tabs>
          <w:tab w:val="left" w:pos="0"/>
          <w:tab w:val="left" w:pos="567"/>
        </w:tabs>
        <w:spacing w:after="0" w:line="240" w:lineRule="auto"/>
        <w:ind w:left="0" w:firstLine="0"/>
        <w:jc w:val="both"/>
        <w:rPr>
          <w:rFonts w:ascii="Arial" w:hAnsi="Arial" w:cs="Arial"/>
          <w:szCs w:val="20"/>
        </w:rPr>
      </w:pPr>
      <w:r w:rsidRPr="00A32AF4">
        <w:rPr>
          <w:rFonts w:ascii="Arial" w:hAnsi="Arial" w:cs="Arial"/>
          <w:szCs w:val="20"/>
        </w:rPr>
        <w:t xml:space="preserve">Le nombre de documents inscrits au registre correspond à la charge de travail totale (voir plus haut la partie intitulée </w:t>
      </w:r>
      <w:r w:rsidR="00B63C9F" w:rsidRPr="00A32AF4">
        <w:rPr>
          <w:rFonts w:ascii="Arial" w:hAnsi="Arial" w:cs="Arial"/>
          <w:szCs w:val="20"/>
        </w:rPr>
        <w:t>“</w:t>
      </w:r>
      <w:r w:rsidRPr="00A32AF4">
        <w:rPr>
          <w:rFonts w:ascii="Arial" w:hAnsi="Arial" w:cs="Arial"/>
          <w:szCs w:val="20"/>
        </w:rPr>
        <w:t>Charge de travail totale</w:t>
      </w:r>
      <w:r w:rsidR="00B63C9F" w:rsidRPr="00A32AF4">
        <w:rPr>
          <w:rFonts w:ascii="Arial" w:hAnsi="Arial" w:cs="Arial"/>
          <w:szCs w:val="20"/>
        </w:rPr>
        <w:t>”</w:t>
      </w:r>
      <w:r w:rsidRPr="00A32AF4">
        <w:rPr>
          <w:rFonts w:ascii="Arial" w:hAnsi="Arial" w:cs="Arial"/>
          <w:szCs w:val="20"/>
        </w:rPr>
        <w:t>).</w:t>
      </w:r>
    </w:p>
    <w:p w:rsidR="00F93B76" w:rsidRPr="00A32AF4" w:rsidRDefault="00F93B76" w:rsidP="00DC0553">
      <w:pPr>
        <w:pStyle w:val="ListParagraph"/>
        <w:tabs>
          <w:tab w:val="left" w:pos="0"/>
          <w:tab w:val="left" w:pos="567"/>
        </w:tabs>
        <w:spacing w:after="0" w:line="240" w:lineRule="auto"/>
        <w:ind w:left="0"/>
        <w:jc w:val="both"/>
        <w:rPr>
          <w:rFonts w:ascii="Arial" w:hAnsi="Arial" w:cs="Arial"/>
          <w:szCs w:val="20"/>
        </w:rPr>
      </w:pPr>
    </w:p>
    <w:p w:rsidR="00F93B76" w:rsidRPr="00A32AF4" w:rsidRDefault="00F93B76" w:rsidP="00DC0553">
      <w:pPr>
        <w:pStyle w:val="ListParagraph"/>
        <w:tabs>
          <w:tab w:val="left" w:pos="0"/>
          <w:tab w:val="left" w:pos="567"/>
        </w:tabs>
        <w:spacing w:after="0" w:line="240" w:lineRule="auto"/>
        <w:ind w:left="0"/>
        <w:jc w:val="both"/>
        <w:rPr>
          <w:rFonts w:ascii="Arial" w:hAnsi="Arial" w:cs="Arial"/>
          <w:szCs w:val="20"/>
        </w:rPr>
      </w:pPr>
    </w:p>
    <w:p w:rsidR="00F93B76" w:rsidRPr="00A32AF4" w:rsidRDefault="000E03DF" w:rsidP="00DC0553">
      <w:pPr>
        <w:rPr>
          <w:rFonts w:cs="Arial"/>
        </w:rPr>
      </w:pPr>
      <w:r w:rsidRPr="00A32AF4">
        <w:rPr>
          <w:rFonts w:cs="Arial"/>
        </w:rPr>
        <w:br w:type="page"/>
      </w:r>
    </w:p>
    <w:p w:rsidR="00F93B76" w:rsidRPr="00A32AF4" w:rsidRDefault="00F93B76" w:rsidP="00DC0553">
      <w:pPr>
        <w:pStyle w:val="ListParagraph"/>
        <w:tabs>
          <w:tab w:val="left" w:pos="0"/>
          <w:tab w:val="left" w:pos="567"/>
        </w:tabs>
        <w:spacing w:after="0" w:line="240" w:lineRule="auto"/>
        <w:ind w:left="0"/>
        <w:jc w:val="both"/>
        <w:rPr>
          <w:rFonts w:ascii="Arial" w:hAnsi="Arial" w:cs="Arial"/>
          <w:szCs w:val="20"/>
        </w:rPr>
      </w:pPr>
    </w:p>
    <w:p w:rsidR="000E03DF" w:rsidRPr="00A32AF4" w:rsidRDefault="000E03DF" w:rsidP="00DC0553">
      <w:pPr>
        <w:jc w:val="both"/>
        <w:rPr>
          <w:rFonts w:cs="Arial"/>
        </w:rPr>
      </w:pPr>
    </w:p>
    <w:tbl>
      <w:tblPr>
        <w:tblStyle w:val="TableGrid"/>
        <w:tblW w:w="9606" w:type="dxa"/>
        <w:tblLook w:val="04A0" w:firstRow="1" w:lastRow="0" w:firstColumn="1" w:lastColumn="0" w:noHBand="0" w:noVBand="1"/>
      </w:tblPr>
      <w:tblGrid>
        <w:gridCol w:w="4866"/>
        <w:gridCol w:w="4866"/>
      </w:tblGrid>
      <w:tr w:rsidR="000E03DF" w:rsidRPr="00A32AF4" w:rsidTr="0091192D">
        <w:tc>
          <w:tcPr>
            <w:tcW w:w="4503" w:type="dxa"/>
          </w:tcPr>
          <w:p w:rsidR="000E03DF" w:rsidRPr="00A32AF4" w:rsidRDefault="000E03DF" w:rsidP="00DC0553">
            <w:pPr>
              <w:spacing w:after="200" w:line="276" w:lineRule="auto"/>
              <w:jc w:val="center"/>
              <w:rPr>
                <w:rFonts w:cs="Arial"/>
              </w:rPr>
            </w:pPr>
            <w:r w:rsidRPr="00A32AF4">
              <w:rPr>
                <w:rFonts w:cs="Arial"/>
              </w:rPr>
              <w:t>Ancienne méthode</w:t>
            </w:r>
          </w:p>
        </w:tc>
        <w:tc>
          <w:tcPr>
            <w:tcW w:w="5103" w:type="dxa"/>
          </w:tcPr>
          <w:p w:rsidR="000E03DF" w:rsidRPr="00A32AF4" w:rsidRDefault="000E03DF" w:rsidP="00DC0553">
            <w:pPr>
              <w:spacing w:after="200" w:line="276" w:lineRule="auto"/>
              <w:jc w:val="center"/>
              <w:rPr>
                <w:rFonts w:cs="Arial"/>
              </w:rPr>
            </w:pPr>
            <w:r w:rsidRPr="00A32AF4">
              <w:rPr>
                <w:rFonts w:cs="Arial"/>
              </w:rPr>
              <w:t>Nouvelle méthode</w:t>
            </w:r>
          </w:p>
        </w:tc>
      </w:tr>
      <w:tr w:rsidR="000E03DF" w:rsidRPr="00A32AF4" w:rsidTr="0091192D">
        <w:tc>
          <w:tcPr>
            <w:tcW w:w="4503" w:type="dxa"/>
          </w:tcPr>
          <w:p w:rsidR="000E03DF" w:rsidRPr="00A32AF4" w:rsidRDefault="00B97534" w:rsidP="00DC0553">
            <w:pPr>
              <w:spacing w:after="200" w:line="276" w:lineRule="auto"/>
              <w:jc w:val="center"/>
              <w:rPr>
                <w:rFonts w:cs="Arial"/>
              </w:rPr>
            </w:pPr>
            <w:r w:rsidRPr="00A32AF4">
              <w:rPr>
                <w:rFonts w:cs="Arial"/>
                <w:noProof/>
                <w:lang w:eastAsia="fr-FR"/>
              </w:rPr>
              <w:drawing>
                <wp:inline distT="0" distB="0" distL="0" distR="0" wp14:anchorId="124204F1" wp14:editId="09C452BE">
                  <wp:extent cx="2952000" cy="2029101"/>
                  <wp:effectExtent l="0" t="0" r="1270" b="0"/>
                  <wp:docPr id="1023" name="Picture 1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81" cstate="print">
                            <a:extLst>
                              <a:ext uri="{28A0092B-C50C-407E-A947-70E740481C1C}">
                                <a14:useLocalDpi xmlns:a14="http://schemas.microsoft.com/office/drawing/2010/main" val="0"/>
                              </a:ext>
                            </a:extLst>
                          </a:blip>
                          <a:srcRect/>
                          <a:stretch>
                            <a:fillRect/>
                          </a:stretch>
                        </pic:blipFill>
                        <pic:spPr bwMode="auto">
                          <a:xfrm>
                            <a:off x="0" y="0"/>
                            <a:ext cx="2952000" cy="2029101"/>
                          </a:xfrm>
                          <a:prstGeom prst="rect">
                            <a:avLst/>
                          </a:prstGeom>
                          <a:noFill/>
                          <a:ln>
                            <a:noFill/>
                          </a:ln>
                        </pic:spPr>
                      </pic:pic>
                    </a:graphicData>
                  </a:graphic>
                </wp:inline>
              </w:drawing>
            </w:r>
          </w:p>
        </w:tc>
        <w:tc>
          <w:tcPr>
            <w:tcW w:w="5103" w:type="dxa"/>
          </w:tcPr>
          <w:p w:rsidR="000E03DF" w:rsidRPr="00A32AF4" w:rsidRDefault="00B97534" w:rsidP="00DC0553">
            <w:pPr>
              <w:spacing w:after="200" w:line="276" w:lineRule="auto"/>
              <w:jc w:val="center"/>
              <w:rPr>
                <w:rFonts w:cs="Arial"/>
              </w:rPr>
            </w:pPr>
            <w:r w:rsidRPr="00A32AF4">
              <w:rPr>
                <w:rFonts w:cs="Arial"/>
                <w:noProof/>
                <w:lang w:eastAsia="fr-FR"/>
              </w:rPr>
              <w:drawing>
                <wp:inline distT="0" distB="0" distL="0" distR="0" wp14:anchorId="4BA6F78C" wp14:editId="5F739C5C">
                  <wp:extent cx="2952000" cy="1932721"/>
                  <wp:effectExtent l="0" t="0" r="1270" b="0"/>
                  <wp:docPr id="1025" name="Pictur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82" cstate="print">
                            <a:extLst>
                              <a:ext uri="{28A0092B-C50C-407E-A947-70E740481C1C}">
                                <a14:useLocalDpi xmlns:a14="http://schemas.microsoft.com/office/drawing/2010/main" val="0"/>
                              </a:ext>
                            </a:extLst>
                          </a:blip>
                          <a:srcRect/>
                          <a:stretch>
                            <a:fillRect/>
                          </a:stretch>
                        </pic:blipFill>
                        <pic:spPr bwMode="auto">
                          <a:xfrm>
                            <a:off x="0" y="0"/>
                            <a:ext cx="2952000" cy="1932721"/>
                          </a:xfrm>
                          <a:prstGeom prst="rect">
                            <a:avLst/>
                          </a:prstGeom>
                          <a:noFill/>
                          <a:ln>
                            <a:noFill/>
                          </a:ln>
                        </pic:spPr>
                      </pic:pic>
                    </a:graphicData>
                  </a:graphic>
                </wp:inline>
              </w:drawing>
            </w:r>
          </w:p>
        </w:tc>
      </w:tr>
    </w:tbl>
    <w:p w:rsidR="00F93B76" w:rsidRPr="00A32AF4" w:rsidRDefault="00F93B76" w:rsidP="00DC0553">
      <w:pPr>
        <w:jc w:val="center"/>
        <w:rPr>
          <w:rFonts w:cs="Arial"/>
        </w:rPr>
      </w:pPr>
    </w:p>
    <w:p w:rsidR="00F93B76" w:rsidRPr="00A32AF4" w:rsidRDefault="000E03DF" w:rsidP="00DC0553">
      <w:pPr>
        <w:pStyle w:val="ListParagraph"/>
        <w:numPr>
          <w:ilvl w:val="0"/>
          <w:numId w:val="55"/>
        </w:numPr>
        <w:spacing w:after="0" w:line="240" w:lineRule="auto"/>
        <w:ind w:left="993" w:hanging="426"/>
        <w:jc w:val="both"/>
        <w:rPr>
          <w:rFonts w:ascii="Arial" w:hAnsi="Arial" w:cs="Arial"/>
          <w:szCs w:val="20"/>
        </w:rPr>
      </w:pPr>
      <w:r w:rsidRPr="00A32AF4">
        <w:rPr>
          <w:rFonts w:ascii="Arial" w:hAnsi="Arial" w:cs="Arial"/>
          <w:szCs w:val="20"/>
        </w:rPr>
        <w:t>Le coût moyen d</w:t>
      </w:r>
      <w:r w:rsidR="00E2055A" w:rsidRPr="00A32AF4">
        <w:rPr>
          <w:rFonts w:ascii="Arial" w:hAnsi="Arial" w:cs="Arial"/>
          <w:szCs w:val="20"/>
        </w:rPr>
        <w:t>’</w:t>
      </w:r>
      <w:r w:rsidRPr="00A32AF4">
        <w:rPr>
          <w:rFonts w:ascii="Arial" w:hAnsi="Arial" w:cs="Arial"/>
          <w:szCs w:val="20"/>
        </w:rPr>
        <w:t>inscription d</w:t>
      </w:r>
      <w:r w:rsidR="00E2055A" w:rsidRPr="00A32AF4">
        <w:rPr>
          <w:rFonts w:ascii="Arial" w:hAnsi="Arial" w:cs="Arial"/>
          <w:szCs w:val="20"/>
        </w:rPr>
        <w:t>’</w:t>
      </w:r>
      <w:r w:rsidRPr="00A32AF4">
        <w:rPr>
          <w:rFonts w:ascii="Arial" w:hAnsi="Arial" w:cs="Arial"/>
          <w:szCs w:val="20"/>
        </w:rPr>
        <w:t>un document au registre a baissé, s</w:t>
      </w:r>
      <w:r w:rsidR="00E2055A" w:rsidRPr="00A32AF4">
        <w:rPr>
          <w:rFonts w:ascii="Arial" w:hAnsi="Arial" w:cs="Arial"/>
          <w:szCs w:val="20"/>
        </w:rPr>
        <w:t>’</w:t>
      </w:r>
      <w:r w:rsidRPr="00A32AF4">
        <w:rPr>
          <w:rFonts w:ascii="Arial" w:hAnsi="Arial" w:cs="Arial"/>
          <w:szCs w:val="20"/>
        </w:rPr>
        <w:t>établissant à 1483 francs suisses en 2014.  Cette baisse résulte de la réduction de 5,7% du coût de production.</w:t>
      </w:r>
    </w:p>
    <w:p w:rsidR="00F93B76" w:rsidRPr="00A32AF4" w:rsidRDefault="00F93B76" w:rsidP="00DC0553">
      <w:pPr>
        <w:pStyle w:val="ListParagraph"/>
        <w:spacing w:after="0" w:line="240" w:lineRule="auto"/>
        <w:ind w:left="0"/>
        <w:jc w:val="both"/>
        <w:rPr>
          <w:rFonts w:ascii="Arial" w:hAnsi="Arial" w:cs="Arial"/>
          <w:szCs w:val="20"/>
        </w:rPr>
      </w:pPr>
    </w:p>
    <w:p w:rsidR="00F93B76" w:rsidRPr="00A32AF4" w:rsidRDefault="00F93B76" w:rsidP="00DC0553">
      <w:pPr>
        <w:pStyle w:val="ListParagraph"/>
        <w:spacing w:after="0" w:line="240" w:lineRule="auto"/>
        <w:ind w:left="0"/>
        <w:rPr>
          <w:rFonts w:ascii="Arial" w:hAnsi="Arial" w:cs="Arial"/>
          <w:szCs w:val="20"/>
        </w:rPr>
      </w:pPr>
    </w:p>
    <w:p w:rsidR="00F93B76" w:rsidRPr="00A32AF4" w:rsidRDefault="000E03DF" w:rsidP="00DC0553">
      <w:pPr>
        <w:tabs>
          <w:tab w:val="left" w:pos="567"/>
        </w:tabs>
        <w:spacing w:before="120" w:after="240"/>
        <w:rPr>
          <w:rFonts w:cs="Arial"/>
          <w:b/>
        </w:rPr>
      </w:pPr>
      <w:r w:rsidRPr="00A32AF4">
        <w:rPr>
          <w:rFonts w:cs="Arial"/>
          <w:b/>
        </w:rPr>
        <w:t>III.</w:t>
      </w:r>
      <w:r w:rsidRPr="00A32AF4">
        <w:rPr>
          <w:rFonts w:cs="Arial"/>
          <w:b/>
        </w:rPr>
        <w:tab/>
        <w:t>Délai de traitement des demandes internationales</w:t>
      </w:r>
    </w:p>
    <w:p w:rsidR="00F93B76" w:rsidRPr="00A32AF4" w:rsidRDefault="000E03DF" w:rsidP="00DC0553">
      <w:pPr>
        <w:pStyle w:val="ListParagraph"/>
        <w:numPr>
          <w:ilvl w:val="0"/>
          <w:numId w:val="58"/>
        </w:numPr>
        <w:tabs>
          <w:tab w:val="left" w:pos="0"/>
          <w:tab w:val="left" w:pos="567"/>
        </w:tabs>
        <w:spacing w:after="0" w:line="240" w:lineRule="auto"/>
        <w:ind w:left="0" w:firstLine="0"/>
        <w:jc w:val="both"/>
        <w:rPr>
          <w:rFonts w:ascii="Arial" w:hAnsi="Arial" w:cs="Arial"/>
          <w:szCs w:val="20"/>
        </w:rPr>
      </w:pPr>
      <w:r w:rsidRPr="00A32AF4">
        <w:rPr>
          <w:rFonts w:ascii="Arial" w:hAnsi="Arial" w:cs="Arial"/>
          <w:szCs w:val="20"/>
        </w:rPr>
        <w:t>Cet indicateur rend compte du temps nécessaire au Bureau international pour traiter les demandes ordinaires.  Le délai de traitement est le temps écoulé entre la date de réception d</w:t>
      </w:r>
      <w:r w:rsidR="00E2055A" w:rsidRPr="00A32AF4">
        <w:rPr>
          <w:rFonts w:ascii="Arial" w:hAnsi="Arial" w:cs="Arial"/>
          <w:szCs w:val="20"/>
        </w:rPr>
        <w:t>’</w:t>
      </w:r>
      <w:r w:rsidRPr="00A32AF4">
        <w:rPr>
          <w:rFonts w:ascii="Arial" w:hAnsi="Arial" w:cs="Arial"/>
          <w:szCs w:val="20"/>
        </w:rPr>
        <w:t>une demande et la date de son inscription au registre.</w:t>
      </w:r>
    </w:p>
    <w:p w:rsidR="00F93B76" w:rsidRPr="00A32AF4" w:rsidRDefault="00F93B76" w:rsidP="00DC0553">
      <w:pPr>
        <w:tabs>
          <w:tab w:val="left" w:pos="0"/>
          <w:tab w:val="left" w:pos="567"/>
        </w:tabs>
        <w:jc w:val="both"/>
        <w:rPr>
          <w:rFonts w:cs="Arial"/>
        </w:rPr>
      </w:pPr>
    </w:p>
    <w:p w:rsidR="00F93B76" w:rsidRPr="00A32AF4" w:rsidRDefault="000E03DF" w:rsidP="00DC0553">
      <w:pPr>
        <w:tabs>
          <w:tab w:val="left" w:pos="0"/>
          <w:tab w:val="left" w:pos="567"/>
        </w:tabs>
        <w:jc w:val="center"/>
        <w:rPr>
          <w:rFonts w:cs="Arial"/>
        </w:rPr>
      </w:pPr>
      <w:r w:rsidRPr="00A32AF4">
        <w:rPr>
          <w:noProof/>
          <w:lang w:eastAsia="fr-FR"/>
        </w:rPr>
        <w:drawing>
          <wp:inline distT="0" distB="0" distL="0" distR="0" wp14:anchorId="714261D7" wp14:editId="1AB06EF1">
            <wp:extent cx="5076000" cy="2934797"/>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3" cstate="print">
                      <a:extLst>
                        <a:ext uri="{28A0092B-C50C-407E-A947-70E740481C1C}">
                          <a14:useLocalDpi xmlns:a14="http://schemas.microsoft.com/office/drawing/2010/main" val="0"/>
                        </a:ext>
                      </a:extLst>
                    </a:blip>
                    <a:srcRect/>
                    <a:stretch>
                      <a:fillRect/>
                    </a:stretch>
                  </pic:blipFill>
                  <pic:spPr bwMode="auto">
                    <a:xfrm>
                      <a:off x="0" y="0"/>
                      <a:ext cx="5076000" cy="2934797"/>
                    </a:xfrm>
                    <a:prstGeom prst="rect">
                      <a:avLst/>
                    </a:prstGeom>
                    <a:noFill/>
                    <a:ln>
                      <a:noFill/>
                    </a:ln>
                  </pic:spPr>
                </pic:pic>
              </a:graphicData>
            </a:graphic>
          </wp:inline>
        </w:drawing>
      </w:r>
    </w:p>
    <w:p w:rsidR="00F93B76" w:rsidRPr="00A32AF4" w:rsidRDefault="000E03DF" w:rsidP="00DC0553">
      <w:pPr>
        <w:pStyle w:val="ListParagraph"/>
        <w:numPr>
          <w:ilvl w:val="0"/>
          <w:numId w:val="55"/>
        </w:numPr>
        <w:spacing w:after="120" w:line="240" w:lineRule="auto"/>
        <w:ind w:left="992" w:hanging="425"/>
        <w:contextualSpacing w:val="0"/>
        <w:jc w:val="both"/>
        <w:rPr>
          <w:rFonts w:ascii="Arial" w:hAnsi="Arial" w:cs="Arial"/>
          <w:szCs w:val="20"/>
        </w:rPr>
      </w:pPr>
      <w:r w:rsidRPr="00A32AF4">
        <w:rPr>
          <w:rFonts w:ascii="Arial" w:hAnsi="Arial" w:cs="Arial"/>
          <w:szCs w:val="20"/>
        </w:rPr>
        <w:t>La part des demandes traitées en moins d</w:t>
      </w:r>
      <w:r w:rsidR="00E2055A" w:rsidRPr="00A32AF4">
        <w:rPr>
          <w:rFonts w:ascii="Arial" w:hAnsi="Arial" w:cs="Arial"/>
          <w:szCs w:val="20"/>
        </w:rPr>
        <w:t>’</w:t>
      </w:r>
      <w:r w:rsidRPr="00A32AF4">
        <w:rPr>
          <w:rFonts w:ascii="Arial" w:hAnsi="Arial" w:cs="Arial"/>
          <w:szCs w:val="20"/>
        </w:rPr>
        <w:t>une semaine n</w:t>
      </w:r>
      <w:r w:rsidR="00E2055A" w:rsidRPr="00A32AF4">
        <w:rPr>
          <w:rFonts w:ascii="Arial" w:hAnsi="Arial" w:cs="Arial"/>
          <w:szCs w:val="20"/>
        </w:rPr>
        <w:t>’</w:t>
      </w:r>
      <w:r w:rsidRPr="00A32AF4">
        <w:rPr>
          <w:rFonts w:ascii="Arial" w:hAnsi="Arial" w:cs="Arial"/>
          <w:szCs w:val="20"/>
        </w:rPr>
        <w:t>a cessé d</w:t>
      </w:r>
      <w:r w:rsidR="00E2055A" w:rsidRPr="00A32AF4">
        <w:rPr>
          <w:rFonts w:ascii="Arial" w:hAnsi="Arial" w:cs="Arial"/>
          <w:szCs w:val="20"/>
        </w:rPr>
        <w:t>’</w:t>
      </w:r>
      <w:r w:rsidRPr="00A32AF4">
        <w:rPr>
          <w:rFonts w:ascii="Arial" w:hAnsi="Arial" w:cs="Arial"/>
          <w:szCs w:val="20"/>
        </w:rPr>
        <w:t>augmenter depuis 2011 et représente 45% des demandes en 2014.</w:t>
      </w:r>
    </w:p>
    <w:p w:rsidR="00F93B76" w:rsidRPr="00A32AF4" w:rsidRDefault="000E03DF" w:rsidP="00DC0553">
      <w:pPr>
        <w:pStyle w:val="ListParagraph"/>
        <w:numPr>
          <w:ilvl w:val="0"/>
          <w:numId w:val="55"/>
        </w:numPr>
        <w:spacing w:after="120" w:line="240" w:lineRule="auto"/>
        <w:ind w:left="993" w:hanging="426"/>
        <w:contextualSpacing w:val="0"/>
        <w:jc w:val="both"/>
        <w:rPr>
          <w:rFonts w:ascii="Arial" w:hAnsi="Arial" w:cs="Arial"/>
          <w:szCs w:val="20"/>
        </w:rPr>
      </w:pPr>
      <w:r w:rsidRPr="00A32AF4">
        <w:rPr>
          <w:rFonts w:ascii="Arial" w:hAnsi="Arial" w:cs="Arial"/>
          <w:szCs w:val="20"/>
        </w:rPr>
        <w:t>En 2014, 85% des demandes ont été traitées dans un délai de deux semaines à compter de leur réception par le Bureau international.</w:t>
      </w:r>
    </w:p>
    <w:p w:rsidR="00F93B76" w:rsidRPr="00A32AF4" w:rsidRDefault="00F93B76" w:rsidP="00DC0553">
      <w:pPr>
        <w:jc w:val="both"/>
        <w:rPr>
          <w:rFonts w:cs="Arial"/>
        </w:rPr>
      </w:pPr>
    </w:p>
    <w:p w:rsidR="00F93B76" w:rsidRPr="00A32AF4" w:rsidRDefault="00EA1B26" w:rsidP="00DC0553">
      <w:r w:rsidRPr="00A32AF4">
        <w:br w:type="page"/>
      </w:r>
    </w:p>
    <w:p w:rsidR="00F93B76" w:rsidRPr="00A32AF4" w:rsidRDefault="00206B97" w:rsidP="00FB1F61">
      <w:pPr>
        <w:pStyle w:val="Heading3"/>
      </w:pPr>
      <w:bookmarkStart w:id="88" w:name="_Toc431555482"/>
      <w:r w:rsidRPr="00A32AF4">
        <w:t>Annexe </w:t>
      </w:r>
      <w:r w:rsidR="00EA1B26" w:rsidRPr="00A32AF4">
        <w:t>VIII</w:t>
      </w:r>
      <w:r w:rsidR="00EA1B26" w:rsidRPr="00A32AF4">
        <w:tab/>
      </w:r>
      <w:r w:rsidR="005F4886" w:rsidRPr="00A32AF4">
        <w:t>Ressources au titre de fonds fiduciaires potentiellement disponibles aux fins d</w:t>
      </w:r>
      <w:r w:rsidR="00E2055A" w:rsidRPr="00A32AF4">
        <w:t>’</w:t>
      </w:r>
      <w:r w:rsidR="00B7064F" w:rsidRPr="00A32AF4">
        <w:t>acti</w:t>
      </w:r>
      <w:r w:rsidRPr="00A32AF4">
        <w:t>vités de </w:t>
      </w:r>
      <w:r w:rsidR="00B7064F" w:rsidRPr="00A32AF4">
        <w:t>programme en</w:t>
      </w:r>
      <w:r w:rsidR="00FD43E3" w:rsidRPr="00A32AF4">
        <w:t> </w:t>
      </w:r>
      <w:r w:rsidR="00B7064F" w:rsidRPr="00A32AF4">
        <w:t>2016</w:t>
      </w:r>
      <w:r w:rsidR="00EB7F54" w:rsidRPr="00A32AF4">
        <w:noBreakHyphen/>
      </w:r>
      <w:r w:rsidR="00B7064F" w:rsidRPr="00A32AF4">
        <w:t>2017</w:t>
      </w:r>
      <w:bookmarkEnd w:id="88"/>
    </w:p>
    <w:p w:rsidR="00F93B76" w:rsidRPr="00A32AF4" w:rsidRDefault="00F93B76" w:rsidP="00DC0553"/>
    <w:p w:rsidR="005F4886" w:rsidRPr="00A32AF4" w:rsidRDefault="005F4886" w:rsidP="00DC0553">
      <w:pPr>
        <w:pStyle w:val="Heading6"/>
        <w:rPr>
          <w:i/>
          <w:iCs/>
          <w:sz w:val="22"/>
        </w:rPr>
      </w:pPr>
      <w:r w:rsidRPr="00A32AF4">
        <w:rPr>
          <w:b/>
          <w:sz w:val="20"/>
          <w:szCs w:val="18"/>
        </w:rPr>
        <w:t xml:space="preserve">Tableau 19.  </w:t>
      </w:r>
      <w:r w:rsidR="00B7064F" w:rsidRPr="00A32AF4">
        <w:rPr>
          <w:b/>
          <w:sz w:val="20"/>
        </w:rPr>
        <w:t>Fonds fiduciaires potentiellement disponibles aux fins d</w:t>
      </w:r>
      <w:r w:rsidR="00E2055A" w:rsidRPr="00A32AF4">
        <w:rPr>
          <w:b/>
          <w:sz w:val="20"/>
        </w:rPr>
        <w:t>’</w:t>
      </w:r>
      <w:r w:rsidR="00B7064F" w:rsidRPr="00A32AF4">
        <w:rPr>
          <w:b/>
          <w:sz w:val="20"/>
        </w:rPr>
        <w:t xml:space="preserve">activités de programme </w:t>
      </w:r>
      <w:r w:rsidR="00B7064F" w:rsidRPr="00A32AF4">
        <w:rPr>
          <w:b/>
          <w:sz w:val="20"/>
        </w:rPr>
        <w:br/>
        <w:t>en</w:t>
      </w:r>
      <w:r w:rsidR="00FD43E3" w:rsidRPr="00A32AF4">
        <w:rPr>
          <w:b/>
          <w:sz w:val="20"/>
        </w:rPr>
        <w:t> </w:t>
      </w:r>
      <w:r w:rsidR="00B7064F" w:rsidRPr="00A32AF4">
        <w:rPr>
          <w:b/>
          <w:sz w:val="20"/>
        </w:rPr>
        <w:t>2016</w:t>
      </w:r>
      <w:r w:rsidR="00EB7F54" w:rsidRPr="00A32AF4">
        <w:rPr>
          <w:b/>
          <w:sz w:val="20"/>
        </w:rPr>
        <w:noBreakHyphen/>
      </w:r>
      <w:r w:rsidR="00B7064F" w:rsidRPr="00A32AF4">
        <w:rPr>
          <w:b/>
          <w:sz w:val="20"/>
        </w:rPr>
        <w:t>2017</w:t>
      </w:r>
      <w:r w:rsidRPr="00A32AF4">
        <w:rPr>
          <w:rFonts w:cs="Arial"/>
          <w:sz w:val="20"/>
          <w:szCs w:val="18"/>
          <w:vertAlign w:val="superscript"/>
        </w:rPr>
        <w:t>1</w:t>
      </w:r>
      <w:r w:rsidRPr="00A32AF4">
        <w:rPr>
          <w:b/>
          <w:sz w:val="20"/>
          <w:szCs w:val="18"/>
        </w:rPr>
        <w:br/>
      </w:r>
      <w:r w:rsidRPr="00A32AF4">
        <w:rPr>
          <w:i/>
          <w:iCs/>
          <w:sz w:val="20"/>
          <w:szCs w:val="18"/>
        </w:rPr>
        <w:t>(en milliers de francs suisses)</w:t>
      </w:r>
    </w:p>
    <w:p w:rsidR="00F93B76" w:rsidRPr="00A32AF4" w:rsidRDefault="00F93B76" w:rsidP="00DC0553"/>
    <w:p w:rsidR="005F4886" w:rsidRPr="00A32AF4" w:rsidRDefault="00206B97" w:rsidP="00DC0553">
      <w:r w:rsidRPr="00A32AF4">
        <w:rPr>
          <w:noProof/>
          <w:lang w:eastAsia="fr-FR"/>
        </w:rPr>
        <w:drawing>
          <wp:inline distT="0" distB="0" distL="0" distR="0" wp14:anchorId="7D9CD45C" wp14:editId="048BD233">
            <wp:extent cx="5760085" cy="3730746"/>
            <wp:effectExtent l="0" t="0" r="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5760085" cy="3730746"/>
                    </a:xfrm>
                    <a:prstGeom prst="rect">
                      <a:avLst/>
                    </a:prstGeom>
                    <a:noFill/>
                    <a:ln>
                      <a:noFill/>
                    </a:ln>
                  </pic:spPr>
                </pic:pic>
              </a:graphicData>
            </a:graphic>
          </wp:inline>
        </w:drawing>
      </w:r>
    </w:p>
    <w:p w:rsidR="00B7064F" w:rsidRPr="00A32AF4" w:rsidRDefault="00B7064F" w:rsidP="00DC0553"/>
    <w:p w:rsidR="00F93B76" w:rsidRPr="00A32AF4" w:rsidRDefault="00EA1B26" w:rsidP="00DC0553">
      <w:r w:rsidRPr="00A32AF4">
        <w:br w:type="page"/>
      </w:r>
    </w:p>
    <w:p w:rsidR="00CA3256" w:rsidRPr="00A32AF4" w:rsidRDefault="00E216DA" w:rsidP="00FB1F61">
      <w:pPr>
        <w:pStyle w:val="Heading3"/>
      </w:pPr>
      <w:bookmarkStart w:id="89" w:name="_Toc431555483"/>
      <w:r w:rsidRPr="00A32AF4">
        <w:t>Annexe IX</w:t>
      </w:r>
      <w:r w:rsidR="00CA3256" w:rsidRPr="00A32AF4">
        <w:tab/>
        <w:t>Incidences de l</w:t>
      </w:r>
      <w:r w:rsidR="00E2055A" w:rsidRPr="00A32AF4">
        <w:t>’</w:t>
      </w:r>
      <w:r w:rsidR="00CA3256" w:rsidRPr="00A32AF4">
        <w:t>adoption des normes IPSAS sur les pratiques budgétaires</w:t>
      </w:r>
      <w:bookmarkEnd w:id="89"/>
    </w:p>
    <w:p w:rsidR="00CA3256" w:rsidRPr="00A32AF4" w:rsidRDefault="00CA3256" w:rsidP="00DC0553">
      <w:pPr>
        <w:rPr>
          <w:rFonts w:cs="Arial"/>
        </w:rPr>
      </w:pPr>
    </w:p>
    <w:p w:rsidR="00CA3256" w:rsidRPr="00A32AF4" w:rsidRDefault="00CA3256" w:rsidP="00DC0553">
      <w:pPr>
        <w:autoSpaceDE w:val="0"/>
        <w:autoSpaceDN w:val="0"/>
        <w:adjustRightInd w:val="0"/>
        <w:rPr>
          <w:rFonts w:cs="Arial"/>
        </w:rPr>
      </w:pPr>
    </w:p>
    <w:p w:rsidR="00CA3256" w:rsidRPr="00A32AF4" w:rsidRDefault="00CA3256" w:rsidP="00DC0553">
      <w:pPr>
        <w:numPr>
          <w:ilvl w:val="0"/>
          <w:numId w:val="70"/>
        </w:numPr>
        <w:jc w:val="both"/>
        <w:rPr>
          <w:rFonts w:cs="Arial"/>
        </w:rPr>
      </w:pPr>
      <w:r w:rsidRPr="00A32AF4">
        <w:rPr>
          <w:rFonts w:cs="Arial"/>
        </w:rPr>
        <w:t>À la quarante</w:t>
      </w:r>
      <w:r w:rsidR="00EB7F54" w:rsidRPr="00A32AF4">
        <w:rPr>
          <w:rFonts w:cs="Arial"/>
        </w:rPr>
        <w:noBreakHyphen/>
      </w:r>
      <w:r w:rsidRPr="00A32AF4">
        <w:rPr>
          <w:rFonts w:cs="Arial"/>
        </w:rPr>
        <w:t>troisième session des assemblées, tenue du 24 septembre au 3 octobre 2007, les États membres ont approuvé le principe de l</w:t>
      </w:r>
      <w:r w:rsidR="00E2055A" w:rsidRPr="00A32AF4">
        <w:rPr>
          <w:rFonts w:cs="Arial"/>
        </w:rPr>
        <w:t>’</w:t>
      </w:r>
      <w:r w:rsidRPr="00A32AF4">
        <w:rPr>
          <w:rFonts w:cs="Arial"/>
        </w:rPr>
        <w:t>adoption par l</w:t>
      </w:r>
      <w:r w:rsidR="00E2055A" w:rsidRPr="00A32AF4">
        <w:rPr>
          <w:rFonts w:cs="Arial"/>
        </w:rPr>
        <w:t>’</w:t>
      </w:r>
      <w:r w:rsidRPr="00A32AF4">
        <w:rPr>
          <w:rFonts w:cs="Arial"/>
        </w:rPr>
        <w:t>OMPI des normes IPSAS en 2010 (voir les documents A/43/5 et A/43/16).</w:t>
      </w:r>
      <w:r w:rsidRPr="00A32AF4">
        <w:t xml:space="preserve">  </w:t>
      </w:r>
      <w:r w:rsidRPr="00A32AF4">
        <w:rPr>
          <w:rFonts w:cs="Arial"/>
        </w:rPr>
        <w:t>Cette décision s</w:t>
      </w:r>
      <w:r w:rsidR="00E2055A" w:rsidRPr="00A32AF4">
        <w:rPr>
          <w:rFonts w:cs="Arial"/>
        </w:rPr>
        <w:t>’</w:t>
      </w:r>
      <w:r w:rsidRPr="00A32AF4">
        <w:rPr>
          <w:rFonts w:cs="Arial"/>
        </w:rPr>
        <w:t>inscrivait dans le cadre d</w:t>
      </w:r>
      <w:r w:rsidR="00E2055A" w:rsidRPr="00A32AF4">
        <w:rPr>
          <w:rFonts w:cs="Arial"/>
        </w:rPr>
        <w:t>’</w:t>
      </w:r>
      <w:r w:rsidRPr="00A32AF4">
        <w:rPr>
          <w:rFonts w:cs="Arial"/>
        </w:rPr>
        <w:t>une initiative prise au niveau du système par l</w:t>
      </w:r>
      <w:r w:rsidR="00E2055A" w:rsidRPr="00A32AF4">
        <w:rPr>
          <w:rFonts w:cs="Arial"/>
        </w:rPr>
        <w:t>’</w:t>
      </w:r>
      <w:r w:rsidRPr="00A32AF4">
        <w:rPr>
          <w:rFonts w:cs="Arial"/>
        </w:rPr>
        <w:t xml:space="preserve">Assemblée générale des </w:t>
      </w:r>
      <w:r w:rsidR="00E2055A" w:rsidRPr="00A32AF4">
        <w:rPr>
          <w:rFonts w:cs="Arial"/>
        </w:rPr>
        <w:t>Nations Unies</w:t>
      </w:r>
      <w:r w:rsidRPr="00A32AF4">
        <w:rPr>
          <w:rFonts w:cs="Arial"/>
        </w:rPr>
        <w:t xml:space="preserve"> (A/RES/60/283(IV</w:t>
      </w:r>
      <w:proofErr w:type="gramStart"/>
      <w:r w:rsidRPr="00A32AF4">
        <w:rPr>
          <w:rFonts w:cs="Arial"/>
        </w:rPr>
        <w:t>)I</w:t>
      </w:r>
      <w:proofErr w:type="gramEnd"/>
      <w:r w:rsidRPr="00A32AF4">
        <w:rPr>
          <w:rFonts w:cs="Arial"/>
        </w:rPr>
        <w:t xml:space="preserve">) en vue de remplacer les normes comptables du système des </w:t>
      </w:r>
      <w:r w:rsidR="00E2055A" w:rsidRPr="00A32AF4">
        <w:rPr>
          <w:rFonts w:cs="Arial"/>
        </w:rPr>
        <w:t>Nations Unies</w:t>
      </w:r>
      <w:r w:rsidRPr="00A32AF4">
        <w:rPr>
          <w:rFonts w:cs="Arial"/>
        </w:rPr>
        <w:t xml:space="preserve"> (normes UNSAS) par les normes IPSAS, qui sont reconnues au niveau international.</w:t>
      </w:r>
      <w:r w:rsidRPr="00A32AF4">
        <w:t xml:space="preserve">  </w:t>
      </w:r>
      <w:r w:rsidRPr="00A32AF4">
        <w:rPr>
          <w:rFonts w:cs="Arial"/>
        </w:rPr>
        <w:t>Par conséquent, depuis 2010, les états financiers de l</w:t>
      </w:r>
      <w:r w:rsidR="00E2055A" w:rsidRPr="00A32AF4">
        <w:rPr>
          <w:rFonts w:cs="Arial"/>
        </w:rPr>
        <w:t>’</w:t>
      </w:r>
      <w:r w:rsidRPr="00A32AF4">
        <w:rPr>
          <w:rFonts w:cs="Arial"/>
        </w:rPr>
        <w:t>OMPI sont établis selon les normes IPSAS.</w:t>
      </w:r>
    </w:p>
    <w:p w:rsidR="00CA3256" w:rsidRPr="00A32AF4" w:rsidRDefault="00CA3256" w:rsidP="00DC0553">
      <w:pPr>
        <w:ind w:left="1"/>
        <w:jc w:val="both"/>
        <w:rPr>
          <w:rFonts w:cs="Arial"/>
        </w:rPr>
      </w:pPr>
    </w:p>
    <w:p w:rsidR="00CA3256" w:rsidRPr="00A32AF4" w:rsidRDefault="00CA3256" w:rsidP="00DC0553">
      <w:pPr>
        <w:numPr>
          <w:ilvl w:val="0"/>
          <w:numId w:val="70"/>
        </w:numPr>
        <w:jc w:val="both"/>
        <w:rPr>
          <w:rFonts w:cs="Arial"/>
        </w:rPr>
      </w:pPr>
      <w:r w:rsidRPr="00A32AF4">
        <w:rPr>
          <w:rFonts w:cs="Arial"/>
        </w:rPr>
        <w:t>Le budget de l</w:t>
      </w:r>
      <w:r w:rsidR="00E2055A" w:rsidRPr="00A32AF4">
        <w:rPr>
          <w:rFonts w:cs="Arial"/>
        </w:rPr>
        <w:t>’</w:t>
      </w:r>
      <w:r w:rsidRPr="00A32AF4">
        <w:rPr>
          <w:rFonts w:cs="Arial"/>
        </w:rPr>
        <w:t>OMPI continue d</w:t>
      </w:r>
      <w:r w:rsidR="00E2055A" w:rsidRPr="00A32AF4">
        <w:rPr>
          <w:rFonts w:cs="Arial"/>
        </w:rPr>
        <w:t>’</w:t>
      </w:r>
      <w:r w:rsidRPr="00A32AF4">
        <w:rPr>
          <w:rFonts w:cs="Arial"/>
        </w:rPr>
        <w:t>être adopté par les assemblées pour une période de deux ans.</w:t>
      </w:r>
      <w:r w:rsidRPr="00A32AF4">
        <w:t xml:space="preserve">  </w:t>
      </w:r>
      <w:r w:rsidRPr="00A32AF4">
        <w:rPr>
          <w:rFonts w:cs="Arial"/>
        </w:rPr>
        <w:t>Selon les normes IPSAS, l</w:t>
      </w:r>
      <w:r w:rsidR="00E2055A" w:rsidRPr="00A32AF4">
        <w:rPr>
          <w:rFonts w:cs="Arial"/>
        </w:rPr>
        <w:t>’</w:t>
      </w:r>
      <w:r w:rsidRPr="00A32AF4">
        <w:rPr>
          <w:rFonts w:cs="Arial"/>
        </w:rPr>
        <w:t>Organisation doit présenter des états financiers chaque année.</w:t>
      </w:r>
      <w:r w:rsidRPr="00A32AF4">
        <w:t xml:space="preserve">  </w:t>
      </w:r>
      <w:r w:rsidRPr="00A32AF4">
        <w:rPr>
          <w:rFonts w:cs="Arial"/>
        </w:rPr>
        <w:t>À cette fin, les chiffres relatifs au budget annuel sont fournis pour les recettes et pour les dépenses.</w:t>
      </w:r>
    </w:p>
    <w:p w:rsidR="00CA3256" w:rsidRPr="00A32AF4" w:rsidRDefault="00CA3256" w:rsidP="00DC0553">
      <w:pPr>
        <w:jc w:val="both"/>
        <w:rPr>
          <w:rFonts w:cs="Arial"/>
        </w:rPr>
      </w:pPr>
    </w:p>
    <w:p w:rsidR="00CA3256" w:rsidRPr="00A32AF4" w:rsidRDefault="00CA3256" w:rsidP="00DC0553">
      <w:pPr>
        <w:numPr>
          <w:ilvl w:val="0"/>
          <w:numId w:val="70"/>
        </w:numPr>
        <w:jc w:val="both"/>
        <w:rPr>
          <w:rFonts w:cs="Arial"/>
        </w:rPr>
      </w:pPr>
      <w:r w:rsidRPr="00A32AF4">
        <w:rPr>
          <w:rFonts w:cs="Arial"/>
        </w:rPr>
        <w:t>Il convient de rappeler que, dans le cadre de l</w:t>
      </w:r>
      <w:r w:rsidR="00E2055A" w:rsidRPr="00A32AF4">
        <w:rPr>
          <w:rFonts w:cs="Arial"/>
        </w:rPr>
        <w:t>’</w:t>
      </w:r>
      <w:r w:rsidRPr="00A32AF4">
        <w:rPr>
          <w:rFonts w:cs="Arial"/>
        </w:rPr>
        <w:t>approbation du programme et budget pour 2010</w:t>
      </w:r>
      <w:r w:rsidR="00EB7F54" w:rsidRPr="00A32AF4">
        <w:rPr>
          <w:rFonts w:cs="Arial"/>
        </w:rPr>
        <w:noBreakHyphen/>
      </w:r>
      <w:r w:rsidRPr="00A32AF4">
        <w:rPr>
          <w:rFonts w:cs="Arial"/>
        </w:rPr>
        <w:t>2011, les États membres ont approuvé la manière de procéder en ce qui concerne la présentation annuelle du budget approuvé pour l</w:t>
      </w:r>
      <w:r w:rsidR="00E2055A" w:rsidRPr="00A32AF4">
        <w:rPr>
          <w:rFonts w:cs="Arial"/>
        </w:rPr>
        <w:t>’</w:t>
      </w:r>
      <w:r w:rsidRPr="00A32AF4">
        <w:rPr>
          <w:rFonts w:cs="Arial"/>
        </w:rPr>
        <w:t>exercice biennal.</w:t>
      </w:r>
      <w:r w:rsidRPr="00A32AF4">
        <w:t xml:space="preserve">  </w:t>
      </w:r>
      <w:r w:rsidRPr="00A32AF4">
        <w:rPr>
          <w:rFonts w:cs="Arial"/>
        </w:rPr>
        <w:t>Le tableau ci</w:t>
      </w:r>
      <w:r w:rsidR="00EB7F54" w:rsidRPr="00A32AF4">
        <w:rPr>
          <w:rFonts w:cs="Arial"/>
        </w:rPr>
        <w:noBreakHyphen/>
      </w:r>
      <w:r w:rsidRPr="00A32AF4">
        <w:rPr>
          <w:rFonts w:cs="Arial"/>
        </w:rPr>
        <w:t>après présente les montants au titre des recettes annuelles conformément à cette manière de procéder pour le programme et budget 2016</w:t>
      </w:r>
      <w:r w:rsidR="00EB7F54" w:rsidRPr="00A32AF4">
        <w:rPr>
          <w:rFonts w:cs="Arial"/>
        </w:rPr>
        <w:noBreakHyphen/>
      </w:r>
      <w:r w:rsidRPr="00A32AF4">
        <w:rPr>
          <w:rFonts w:cs="Arial"/>
        </w:rPr>
        <w:t>2017.</w:t>
      </w:r>
    </w:p>
    <w:p w:rsidR="00CA3256" w:rsidRPr="00A32AF4" w:rsidRDefault="00CA3256" w:rsidP="00DC0553">
      <w:pPr>
        <w:rPr>
          <w:rFonts w:cs="Arial"/>
        </w:rPr>
      </w:pPr>
    </w:p>
    <w:p w:rsidR="00CA3256" w:rsidRPr="00A32AF4" w:rsidRDefault="00CA3256" w:rsidP="00DC0553">
      <w:pPr>
        <w:rPr>
          <w:rFonts w:cs="Arial"/>
        </w:rPr>
      </w:pPr>
    </w:p>
    <w:p w:rsidR="00CA3256" w:rsidRPr="00A32AF4" w:rsidRDefault="00CA3256" w:rsidP="00DC0553">
      <w:pPr>
        <w:jc w:val="center"/>
        <w:rPr>
          <w:rFonts w:cs="Arial"/>
          <w:b/>
          <w:szCs w:val="16"/>
        </w:rPr>
      </w:pPr>
      <w:r w:rsidRPr="00A32AF4">
        <w:rPr>
          <w:rFonts w:cs="Arial"/>
          <w:b/>
          <w:szCs w:val="16"/>
        </w:rPr>
        <w:t>Tableau 20.  Recettes annuelles 2006</w:t>
      </w:r>
      <w:r w:rsidR="00EB7F54" w:rsidRPr="00A32AF4">
        <w:rPr>
          <w:rFonts w:cs="Arial"/>
          <w:b/>
          <w:szCs w:val="16"/>
        </w:rPr>
        <w:noBreakHyphen/>
      </w:r>
      <w:r w:rsidRPr="00A32AF4">
        <w:rPr>
          <w:rFonts w:cs="Arial"/>
          <w:b/>
          <w:szCs w:val="16"/>
        </w:rPr>
        <w:t>2017</w:t>
      </w:r>
    </w:p>
    <w:p w:rsidR="00CA3256" w:rsidRPr="00A32AF4" w:rsidRDefault="00CA3256" w:rsidP="00DC0553">
      <w:pPr>
        <w:jc w:val="center"/>
        <w:rPr>
          <w:rFonts w:cs="Arial"/>
          <w:i/>
          <w:iCs/>
        </w:rPr>
      </w:pPr>
      <w:r w:rsidRPr="00A32AF4">
        <w:rPr>
          <w:rFonts w:cs="Arial"/>
          <w:i/>
          <w:iCs/>
          <w:szCs w:val="16"/>
        </w:rPr>
        <w:t>(</w:t>
      </w:r>
      <w:proofErr w:type="gramStart"/>
      <w:r w:rsidRPr="00A32AF4">
        <w:rPr>
          <w:rFonts w:cs="Arial"/>
          <w:i/>
          <w:iCs/>
          <w:szCs w:val="16"/>
        </w:rPr>
        <w:t>en</w:t>
      </w:r>
      <w:proofErr w:type="gramEnd"/>
      <w:r w:rsidRPr="00A32AF4">
        <w:rPr>
          <w:rFonts w:cs="Arial"/>
          <w:i/>
          <w:iCs/>
          <w:szCs w:val="16"/>
        </w:rPr>
        <w:t xml:space="preserve"> millions de francs suisses)</w:t>
      </w:r>
    </w:p>
    <w:p w:rsidR="00CA3256" w:rsidRPr="00A32AF4" w:rsidRDefault="00CA3256" w:rsidP="00DC0553">
      <w:pPr>
        <w:rPr>
          <w:rFonts w:cs="Arial"/>
        </w:rPr>
      </w:pPr>
    </w:p>
    <w:p w:rsidR="00CA3256" w:rsidRPr="00A32AF4" w:rsidRDefault="00E07AE2" w:rsidP="00DC0553">
      <w:pPr>
        <w:jc w:val="center"/>
        <w:rPr>
          <w:rFonts w:cs="Arial"/>
        </w:rPr>
      </w:pPr>
      <w:r w:rsidRPr="00A32AF4">
        <w:rPr>
          <w:noProof/>
          <w:lang w:eastAsia="fr-FR"/>
        </w:rPr>
        <w:drawing>
          <wp:inline distT="0" distB="0" distL="0" distR="0" wp14:anchorId="030B9CE9" wp14:editId="6F8F5AD4">
            <wp:extent cx="5976050" cy="1783724"/>
            <wp:effectExtent l="0" t="0" r="5715"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5975817" cy="1783654"/>
                    </a:xfrm>
                    <a:prstGeom prst="rect">
                      <a:avLst/>
                    </a:prstGeom>
                    <a:noFill/>
                    <a:ln>
                      <a:noFill/>
                    </a:ln>
                  </pic:spPr>
                </pic:pic>
              </a:graphicData>
            </a:graphic>
          </wp:inline>
        </w:drawing>
      </w:r>
    </w:p>
    <w:p w:rsidR="00CA3256" w:rsidRPr="00A32AF4" w:rsidRDefault="00CA3256" w:rsidP="00DC0553">
      <w:pPr>
        <w:rPr>
          <w:rFonts w:cs="Arial"/>
          <w:i/>
          <w:sz w:val="16"/>
        </w:rPr>
      </w:pPr>
    </w:p>
    <w:p w:rsidR="00CA3256" w:rsidRPr="00A32AF4" w:rsidRDefault="00E07AE2" w:rsidP="00DC0553">
      <w:pPr>
        <w:rPr>
          <w:rFonts w:cs="Arial"/>
          <w:i/>
          <w:sz w:val="16"/>
        </w:rPr>
      </w:pPr>
      <w:r w:rsidRPr="00A32AF4">
        <w:rPr>
          <w:rFonts w:cs="Arial"/>
          <w:i/>
          <w:sz w:val="16"/>
        </w:rPr>
        <w:t>*précédemment, Intérêts financiers (jusqu</w:t>
      </w:r>
      <w:r w:rsidR="00E2055A" w:rsidRPr="00A32AF4">
        <w:rPr>
          <w:rFonts w:cs="Arial"/>
          <w:i/>
          <w:sz w:val="16"/>
        </w:rPr>
        <w:t>’</w:t>
      </w:r>
      <w:r w:rsidRPr="00A32AF4">
        <w:rPr>
          <w:rFonts w:cs="Arial"/>
          <w:i/>
          <w:sz w:val="16"/>
        </w:rPr>
        <w:t>à l</w:t>
      </w:r>
      <w:r w:rsidR="00E2055A" w:rsidRPr="00A32AF4">
        <w:rPr>
          <w:rFonts w:cs="Arial"/>
          <w:i/>
          <w:sz w:val="16"/>
        </w:rPr>
        <w:t>’</w:t>
      </w:r>
      <w:r w:rsidRPr="00A32AF4">
        <w:rPr>
          <w:rFonts w:cs="Arial"/>
          <w:i/>
          <w:sz w:val="16"/>
        </w:rPr>
        <w:t>exercice biennal</w:t>
      </w:r>
      <w:r w:rsidR="00FD43E3" w:rsidRPr="00A32AF4">
        <w:rPr>
          <w:rFonts w:cs="Arial"/>
          <w:i/>
          <w:sz w:val="16"/>
        </w:rPr>
        <w:t> </w:t>
      </w:r>
      <w:r w:rsidRPr="00A32AF4">
        <w:rPr>
          <w:rFonts w:cs="Arial"/>
          <w:i/>
          <w:sz w:val="16"/>
        </w:rPr>
        <w:t>2014</w:t>
      </w:r>
      <w:r w:rsidR="00EB7F54" w:rsidRPr="00A32AF4">
        <w:rPr>
          <w:rFonts w:cs="Arial"/>
          <w:i/>
          <w:sz w:val="16"/>
        </w:rPr>
        <w:noBreakHyphen/>
      </w:r>
      <w:r w:rsidRPr="00A32AF4">
        <w:rPr>
          <w:rFonts w:cs="Arial"/>
          <w:i/>
          <w:sz w:val="16"/>
        </w:rPr>
        <w:t>2015)</w:t>
      </w:r>
    </w:p>
    <w:p w:rsidR="00E2055A" w:rsidRPr="00A32AF4" w:rsidRDefault="00223A71" w:rsidP="00DC0553">
      <w:pPr>
        <w:rPr>
          <w:rFonts w:cs="Arial"/>
          <w:i/>
          <w:sz w:val="16"/>
        </w:rPr>
      </w:pPr>
      <w:r w:rsidRPr="00A32AF4">
        <w:rPr>
          <w:rFonts w:cs="Arial"/>
          <w:i/>
          <w:sz w:val="16"/>
        </w:rPr>
        <w:t xml:space="preserve">Note : </w:t>
      </w:r>
      <w:r w:rsidR="00A06D69" w:rsidRPr="00A32AF4">
        <w:rPr>
          <w:rFonts w:cs="Arial"/>
          <w:i/>
          <w:sz w:val="16"/>
        </w:rPr>
        <w:t>recettes provenant des taxes pour le système de Lisbonne (budget estimé pour</w:t>
      </w:r>
      <w:r w:rsidR="00FD43E3" w:rsidRPr="00A32AF4">
        <w:rPr>
          <w:rFonts w:cs="Arial"/>
          <w:i/>
          <w:sz w:val="16"/>
        </w:rPr>
        <w:t> </w:t>
      </w:r>
      <w:r w:rsidR="00A06D69" w:rsidRPr="00A32AF4">
        <w:rPr>
          <w:rFonts w:cs="Arial"/>
          <w:i/>
          <w:sz w:val="16"/>
        </w:rPr>
        <w:t>2014</w:t>
      </w:r>
      <w:r w:rsidR="00EB7F54" w:rsidRPr="00A32AF4">
        <w:rPr>
          <w:rFonts w:cs="Arial"/>
          <w:i/>
          <w:sz w:val="16"/>
        </w:rPr>
        <w:noBreakHyphen/>
      </w:r>
      <w:r w:rsidR="00A06D69" w:rsidRPr="00A32AF4">
        <w:rPr>
          <w:rFonts w:cs="Arial"/>
          <w:i/>
          <w:sz w:val="16"/>
        </w:rPr>
        <w:t>2015 :8000 francs </w:t>
      </w:r>
      <w:proofErr w:type="gramStart"/>
      <w:r w:rsidR="00A06D69" w:rsidRPr="00A32AF4">
        <w:rPr>
          <w:rFonts w:cs="Arial"/>
          <w:i/>
          <w:sz w:val="16"/>
        </w:rPr>
        <w:t>suisses</w:t>
      </w:r>
      <w:r w:rsidR="00E2055A" w:rsidRPr="00A32AF4">
        <w:rPr>
          <w:rFonts w:cs="Arial"/>
          <w:i/>
          <w:sz w:val="16"/>
        </w:rPr>
        <w:t>;</w:t>
      </w:r>
      <w:proofErr w:type="gramEnd"/>
      <w:r w:rsidR="00A06D69" w:rsidRPr="00A32AF4">
        <w:rPr>
          <w:rFonts w:cs="Arial"/>
          <w:i/>
          <w:sz w:val="16"/>
        </w:rPr>
        <w:t xml:space="preserve">  2016</w:t>
      </w:r>
      <w:r w:rsidR="00EB7F54" w:rsidRPr="00A32AF4">
        <w:rPr>
          <w:rFonts w:cs="Arial"/>
          <w:i/>
          <w:sz w:val="16"/>
        </w:rPr>
        <w:noBreakHyphen/>
      </w:r>
      <w:r w:rsidR="00A06D69" w:rsidRPr="00A32AF4">
        <w:rPr>
          <w:rFonts w:cs="Arial"/>
          <w:i/>
          <w:sz w:val="16"/>
        </w:rPr>
        <w:t>2017 : 30</w:t>
      </w:r>
      <w:r w:rsidR="00FD43E3" w:rsidRPr="00A32AF4">
        <w:rPr>
          <w:rFonts w:cs="Arial"/>
          <w:i/>
          <w:sz w:val="16"/>
        </w:rPr>
        <w:t> </w:t>
      </w:r>
      <w:r w:rsidR="00A06D69" w:rsidRPr="00A32AF4">
        <w:rPr>
          <w:rFonts w:cs="Arial"/>
          <w:i/>
          <w:sz w:val="16"/>
        </w:rPr>
        <w:t>000 francs suisses)</w:t>
      </w:r>
    </w:p>
    <w:p w:rsidR="00CA3256" w:rsidRPr="00A32AF4" w:rsidRDefault="00CA3256" w:rsidP="00DC0553">
      <w:pPr>
        <w:rPr>
          <w:rFonts w:cs="Arial"/>
        </w:rPr>
      </w:pPr>
      <w:r w:rsidRPr="00A32AF4">
        <w:rPr>
          <w:rFonts w:cs="Arial"/>
        </w:rPr>
        <w:br w:type="page"/>
      </w:r>
    </w:p>
    <w:p w:rsidR="00CA3256" w:rsidRPr="00A32AF4" w:rsidRDefault="00CA3256" w:rsidP="00DC0553">
      <w:pPr>
        <w:numPr>
          <w:ilvl w:val="0"/>
          <w:numId w:val="70"/>
        </w:numPr>
        <w:jc w:val="both"/>
        <w:rPr>
          <w:rFonts w:cs="Arial"/>
        </w:rPr>
      </w:pPr>
      <w:r w:rsidRPr="00A32AF4">
        <w:rPr>
          <w:rFonts w:cs="Arial"/>
        </w:rPr>
        <w:t>En ce qui concerne le budget 2016</w:t>
      </w:r>
      <w:r w:rsidR="00EB7F54" w:rsidRPr="00A32AF4">
        <w:rPr>
          <w:rFonts w:cs="Arial"/>
        </w:rPr>
        <w:noBreakHyphen/>
      </w:r>
      <w:r w:rsidRPr="00A32AF4">
        <w:rPr>
          <w:rFonts w:cs="Arial"/>
        </w:rPr>
        <w:t>2017 des dépenses de l</w:t>
      </w:r>
      <w:r w:rsidR="00E2055A" w:rsidRPr="00A32AF4">
        <w:rPr>
          <w:rFonts w:cs="Arial"/>
        </w:rPr>
        <w:t>’</w:t>
      </w:r>
      <w:r w:rsidRPr="00A32AF4">
        <w:rPr>
          <w:rFonts w:cs="Arial"/>
        </w:rPr>
        <w:t>OMPI, les chiffres relatifs aux dépenses autres que les dépenses de personnel pour l</w:t>
      </w:r>
      <w:r w:rsidR="00E2055A" w:rsidRPr="00A32AF4">
        <w:rPr>
          <w:rFonts w:cs="Arial"/>
        </w:rPr>
        <w:t>’</w:t>
      </w:r>
      <w:r w:rsidRPr="00A32AF4">
        <w:rPr>
          <w:rFonts w:cs="Arial"/>
        </w:rPr>
        <w:t>exercice biennal ont été divisés par deux afin d</w:t>
      </w:r>
      <w:r w:rsidR="00E2055A" w:rsidRPr="00A32AF4">
        <w:rPr>
          <w:rFonts w:cs="Arial"/>
        </w:rPr>
        <w:t>’</w:t>
      </w:r>
      <w:r w:rsidRPr="00A32AF4">
        <w:rPr>
          <w:rFonts w:cs="Arial"/>
        </w:rPr>
        <w:t>établir le budget annuel.</w:t>
      </w:r>
      <w:r w:rsidRPr="00A32AF4">
        <w:t xml:space="preserve">  </w:t>
      </w:r>
      <w:r w:rsidRPr="00A32AF4">
        <w:rPr>
          <w:rFonts w:cs="Arial"/>
        </w:rPr>
        <w:t>Le budget pour les dépenses de personnel a été divisé sur une base annuelle compte tenu des coûts calculés pour les deux années respectivement.</w:t>
      </w:r>
      <w:r w:rsidRPr="00A32AF4">
        <w:t xml:space="preserve"> </w:t>
      </w:r>
      <w:r w:rsidRPr="00A32AF4">
        <w:rPr>
          <w:rFonts w:cs="Arial"/>
        </w:rPr>
        <w:t xml:space="preserve"> Le tableau ci</w:t>
      </w:r>
      <w:r w:rsidR="00EB7F54" w:rsidRPr="00A32AF4">
        <w:rPr>
          <w:rFonts w:cs="Arial"/>
        </w:rPr>
        <w:noBreakHyphen/>
      </w:r>
      <w:r w:rsidRPr="00A32AF4">
        <w:rPr>
          <w:rFonts w:cs="Arial"/>
        </w:rPr>
        <w:t>après donne les montants au titre des dépenses annuelles en conséquence.</w:t>
      </w:r>
    </w:p>
    <w:p w:rsidR="00CA3256" w:rsidRPr="00A32AF4" w:rsidRDefault="00CA3256" w:rsidP="00DC0553">
      <w:pPr>
        <w:pStyle w:val="Endofdocument"/>
        <w:ind w:left="0"/>
        <w:jc w:val="left"/>
        <w:rPr>
          <w:rFonts w:cs="Arial"/>
        </w:rPr>
      </w:pPr>
    </w:p>
    <w:p w:rsidR="00CA3256" w:rsidRPr="00A32AF4" w:rsidRDefault="00CA3256" w:rsidP="00DC0553">
      <w:pPr>
        <w:pStyle w:val="Endofdocument"/>
        <w:ind w:left="0"/>
        <w:jc w:val="left"/>
        <w:rPr>
          <w:rFonts w:cs="Arial"/>
        </w:rPr>
      </w:pPr>
    </w:p>
    <w:p w:rsidR="00CA3256" w:rsidRPr="00A32AF4" w:rsidRDefault="00CA3256" w:rsidP="00DC0553">
      <w:pPr>
        <w:jc w:val="center"/>
        <w:rPr>
          <w:rFonts w:cs="Arial"/>
          <w:b/>
          <w:szCs w:val="16"/>
        </w:rPr>
      </w:pPr>
      <w:r w:rsidRPr="00A32AF4">
        <w:rPr>
          <w:rFonts w:cs="Arial"/>
          <w:b/>
          <w:szCs w:val="16"/>
        </w:rPr>
        <w:t>Tableau 21.  Dépenses annuelles 2006</w:t>
      </w:r>
      <w:r w:rsidR="00EB7F54" w:rsidRPr="00A32AF4">
        <w:rPr>
          <w:rFonts w:cs="Arial"/>
          <w:b/>
          <w:szCs w:val="16"/>
        </w:rPr>
        <w:noBreakHyphen/>
      </w:r>
      <w:r w:rsidRPr="00A32AF4">
        <w:rPr>
          <w:rFonts w:cs="Arial"/>
          <w:b/>
          <w:szCs w:val="16"/>
        </w:rPr>
        <w:t>2017</w:t>
      </w:r>
    </w:p>
    <w:p w:rsidR="00CA3256" w:rsidRPr="00A32AF4" w:rsidRDefault="00CA3256" w:rsidP="00DC0553">
      <w:pPr>
        <w:jc w:val="center"/>
        <w:rPr>
          <w:rFonts w:cs="Arial"/>
          <w:szCs w:val="16"/>
        </w:rPr>
      </w:pPr>
      <w:r w:rsidRPr="00A32AF4">
        <w:rPr>
          <w:rFonts w:cs="Arial"/>
          <w:i/>
          <w:iCs/>
          <w:szCs w:val="16"/>
        </w:rPr>
        <w:t>(</w:t>
      </w:r>
      <w:proofErr w:type="gramStart"/>
      <w:r w:rsidRPr="00A32AF4">
        <w:rPr>
          <w:rFonts w:cs="Arial"/>
          <w:i/>
          <w:iCs/>
          <w:szCs w:val="16"/>
        </w:rPr>
        <w:t>en</w:t>
      </w:r>
      <w:proofErr w:type="gramEnd"/>
      <w:r w:rsidRPr="00A32AF4">
        <w:rPr>
          <w:rFonts w:cs="Arial"/>
          <w:i/>
          <w:iCs/>
          <w:szCs w:val="16"/>
        </w:rPr>
        <w:t xml:space="preserve"> millions de francs suisses)</w:t>
      </w:r>
    </w:p>
    <w:p w:rsidR="00CA3256" w:rsidRPr="00A32AF4" w:rsidRDefault="00CA3256" w:rsidP="00DC0553"/>
    <w:p w:rsidR="00CA3256" w:rsidRPr="00A32AF4" w:rsidRDefault="00E07AE2" w:rsidP="00DC0553">
      <w:pPr>
        <w:pStyle w:val="Endofdocument"/>
        <w:ind w:left="0"/>
        <w:rPr>
          <w:rFonts w:cs="Arial"/>
        </w:rPr>
      </w:pPr>
      <w:r w:rsidRPr="00A32AF4">
        <w:rPr>
          <w:noProof/>
          <w:lang w:eastAsia="fr-FR"/>
        </w:rPr>
        <w:drawing>
          <wp:inline distT="0" distB="0" distL="0" distR="0" wp14:anchorId="699C5C18" wp14:editId="2E85F6D6">
            <wp:extent cx="5967500" cy="273032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5971334" cy="2732075"/>
                    </a:xfrm>
                    <a:prstGeom prst="rect">
                      <a:avLst/>
                    </a:prstGeom>
                    <a:noFill/>
                    <a:ln>
                      <a:noFill/>
                    </a:ln>
                  </pic:spPr>
                </pic:pic>
              </a:graphicData>
            </a:graphic>
          </wp:inline>
        </w:drawing>
      </w:r>
    </w:p>
    <w:p w:rsidR="00E07AE2" w:rsidRPr="00A32AF4" w:rsidRDefault="00E07AE2" w:rsidP="00E07AE2">
      <w:pPr>
        <w:rPr>
          <w:i/>
          <w:sz w:val="16"/>
        </w:rPr>
      </w:pPr>
    </w:p>
    <w:p w:rsidR="00E07AE2" w:rsidRPr="00A32AF4" w:rsidRDefault="00E07AE2" w:rsidP="00E07AE2">
      <w:pPr>
        <w:rPr>
          <w:i/>
          <w:sz w:val="16"/>
        </w:rPr>
      </w:pPr>
      <w:r w:rsidRPr="00A32AF4">
        <w:rPr>
          <w:i/>
          <w:sz w:val="16"/>
        </w:rPr>
        <w:t>*précédemment, Voyages et bourses (jusqu</w:t>
      </w:r>
      <w:r w:rsidR="00E2055A" w:rsidRPr="00A32AF4">
        <w:rPr>
          <w:i/>
          <w:sz w:val="16"/>
        </w:rPr>
        <w:t>’</w:t>
      </w:r>
      <w:r w:rsidRPr="00A32AF4">
        <w:rPr>
          <w:i/>
          <w:sz w:val="16"/>
        </w:rPr>
        <w:t>à l</w:t>
      </w:r>
      <w:r w:rsidR="00E2055A" w:rsidRPr="00A32AF4">
        <w:rPr>
          <w:i/>
          <w:sz w:val="16"/>
        </w:rPr>
        <w:t>’</w:t>
      </w:r>
      <w:r w:rsidRPr="00A32AF4">
        <w:rPr>
          <w:i/>
          <w:sz w:val="16"/>
        </w:rPr>
        <w:t>exercice biennal</w:t>
      </w:r>
      <w:r w:rsidR="00FD43E3" w:rsidRPr="00A32AF4">
        <w:rPr>
          <w:i/>
          <w:sz w:val="16"/>
        </w:rPr>
        <w:t> </w:t>
      </w:r>
      <w:r w:rsidRPr="00A32AF4">
        <w:rPr>
          <w:i/>
          <w:sz w:val="16"/>
        </w:rPr>
        <w:t>2014</w:t>
      </w:r>
      <w:r w:rsidR="00EB7F54" w:rsidRPr="00A32AF4">
        <w:rPr>
          <w:i/>
          <w:sz w:val="16"/>
        </w:rPr>
        <w:noBreakHyphen/>
      </w:r>
      <w:r w:rsidRPr="00A32AF4">
        <w:rPr>
          <w:i/>
          <w:sz w:val="16"/>
        </w:rPr>
        <w:t>2015)</w:t>
      </w:r>
    </w:p>
    <w:p w:rsidR="00E07AE2" w:rsidRPr="00A32AF4" w:rsidRDefault="00E07AE2" w:rsidP="00E07AE2">
      <w:pPr>
        <w:rPr>
          <w:i/>
          <w:sz w:val="16"/>
        </w:rPr>
      </w:pPr>
    </w:p>
    <w:p w:rsidR="00E07AE2" w:rsidRPr="00A32AF4" w:rsidRDefault="00E07AE2" w:rsidP="00E07AE2">
      <w:pPr>
        <w:rPr>
          <w:i/>
          <w:sz w:val="16"/>
        </w:rPr>
      </w:pPr>
      <w:r w:rsidRPr="00A32AF4">
        <w:rPr>
          <w:i/>
          <w:sz w:val="16"/>
        </w:rPr>
        <w:t>**Les services contractuels ont été reformulés pour la période</w:t>
      </w:r>
      <w:r w:rsidR="00FD43E3" w:rsidRPr="00A32AF4">
        <w:rPr>
          <w:i/>
          <w:sz w:val="16"/>
        </w:rPr>
        <w:t> </w:t>
      </w:r>
      <w:r w:rsidRPr="00A32AF4">
        <w:rPr>
          <w:i/>
          <w:sz w:val="16"/>
        </w:rPr>
        <w:t>2004</w:t>
      </w:r>
      <w:r w:rsidR="00EB7F54" w:rsidRPr="00A32AF4">
        <w:rPr>
          <w:i/>
          <w:sz w:val="16"/>
        </w:rPr>
        <w:noBreakHyphen/>
      </w:r>
      <w:r w:rsidRPr="00A32AF4">
        <w:rPr>
          <w:i/>
          <w:sz w:val="16"/>
        </w:rPr>
        <w:t>2009 afin d</w:t>
      </w:r>
      <w:r w:rsidR="00E2055A" w:rsidRPr="00A32AF4">
        <w:rPr>
          <w:i/>
          <w:sz w:val="16"/>
        </w:rPr>
        <w:t>’</w:t>
      </w:r>
      <w:r w:rsidRPr="00A32AF4">
        <w:rPr>
          <w:i/>
          <w:sz w:val="16"/>
        </w:rPr>
        <w:t xml:space="preserve">inclure les contrats de louage de services en raison du changement apporté en </w:t>
      </w:r>
      <w:r w:rsidR="00E2055A" w:rsidRPr="00A32AF4">
        <w:rPr>
          <w:i/>
          <w:sz w:val="16"/>
        </w:rPr>
        <w:t>avril 20</w:t>
      </w:r>
      <w:r w:rsidRPr="00A32AF4">
        <w:rPr>
          <w:i/>
          <w:sz w:val="16"/>
        </w:rPr>
        <w:t>10.</w:t>
      </w:r>
    </w:p>
    <w:p w:rsidR="00E07AE2" w:rsidRPr="00A32AF4" w:rsidRDefault="00E07AE2" w:rsidP="00E07AE2">
      <w:pPr>
        <w:rPr>
          <w:i/>
          <w:sz w:val="16"/>
        </w:rPr>
      </w:pPr>
    </w:p>
    <w:p w:rsidR="00CA3256" w:rsidRPr="00A32AF4" w:rsidRDefault="00E07AE2" w:rsidP="00E07AE2">
      <w:pPr>
        <w:rPr>
          <w:i/>
          <w:sz w:val="16"/>
        </w:rPr>
      </w:pPr>
      <w:r w:rsidRPr="00A32AF4">
        <w:rPr>
          <w:i/>
          <w:sz w:val="16"/>
        </w:rPr>
        <w:t>***précédemment compris sous Dépenses de fonctionnement (jusqu</w:t>
      </w:r>
      <w:r w:rsidR="00E2055A" w:rsidRPr="00A32AF4">
        <w:rPr>
          <w:i/>
          <w:sz w:val="16"/>
        </w:rPr>
        <w:t>’</w:t>
      </w:r>
      <w:r w:rsidRPr="00A32AF4">
        <w:rPr>
          <w:i/>
          <w:sz w:val="16"/>
        </w:rPr>
        <w:t>à l</w:t>
      </w:r>
      <w:r w:rsidR="00E2055A" w:rsidRPr="00A32AF4">
        <w:rPr>
          <w:i/>
          <w:sz w:val="16"/>
        </w:rPr>
        <w:t>’</w:t>
      </w:r>
      <w:r w:rsidRPr="00A32AF4">
        <w:rPr>
          <w:i/>
          <w:sz w:val="16"/>
        </w:rPr>
        <w:t>exercice biennal</w:t>
      </w:r>
      <w:r w:rsidR="00FD43E3" w:rsidRPr="00A32AF4">
        <w:rPr>
          <w:i/>
          <w:sz w:val="16"/>
        </w:rPr>
        <w:t> </w:t>
      </w:r>
      <w:r w:rsidRPr="00A32AF4">
        <w:rPr>
          <w:i/>
          <w:sz w:val="16"/>
        </w:rPr>
        <w:t>2014</w:t>
      </w:r>
      <w:r w:rsidR="00EB7F54" w:rsidRPr="00A32AF4">
        <w:rPr>
          <w:i/>
          <w:sz w:val="16"/>
        </w:rPr>
        <w:noBreakHyphen/>
      </w:r>
      <w:r w:rsidRPr="00A32AF4">
        <w:rPr>
          <w:i/>
          <w:sz w:val="16"/>
        </w:rPr>
        <w:t>2015)</w:t>
      </w:r>
    </w:p>
    <w:p w:rsidR="00E07AE2" w:rsidRPr="00A32AF4" w:rsidRDefault="00E07AE2" w:rsidP="00E07AE2">
      <w:pPr>
        <w:rPr>
          <w:i/>
          <w:sz w:val="16"/>
        </w:rPr>
      </w:pPr>
    </w:p>
    <w:p w:rsidR="00F93B76" w:rsidRPr="00A32AF4" w:rsidRDefault="00F93B76" w:rsidP="00DC0553"/>
    <w:p w:rsidR="00EA1B26" w:rsidRPr="00A32AF4" w:rsidRDefault="00EA1B26" w:rsidP="00DC0553">
      <w:pPr>
        <w:sectPr w:rsidR="00EA1B26" w:rsidRPr="00A32AF4" w:rsidSect="00C63736">
          <w:pgSz w:w="11907" w:h="16840" w:code="9"/>
          <w:pgMar w:top="624" w:right="1418" w:bottom="1361" w:left="1418" w:header="567" w:footer="851" w:gutter="0"/>
          <w:cols w:space="720"/>
          <w:docGrid w:linePitch="272"/>
        </w:sectPr>
      </w:pPr>
    </w:p>
    <w:p w:rsidR="00F93B76" w:rsidRPr="00A32AF4" w:rsidRDefault="00206B97" w:rsidP="00FB1F61">
      <w:pPr>
        <w:pStyle w:val="Heading3"/>
      </w:pPr>
      <w:bookmarkStart w:id="90" w:name="_Toc293334848"/>
      <w:bookmarkStart w:id="91" w:name="_Toc298920430"/>
      <w:bookmarkStart w:id="92" w:name="_Toc356567795"/>
      <w:bookmarkStart w:id="93" w:name="_Toc359246234"/>
      <w:bookmarkStart w:id="94" w:name="_Toc431555484"/>
      <w:r w:rsidRPr="00A32AF4">
        <w:t>Annexe </w:t>
      </w:r>
      <w:r w:rsidR="007C1DD9" w:rsidRPr="00A32AF4">
        <w:t>X</w:t>
      </w:r>
      <w:r w:rsidR="007C1DD9" w:rsidRPr="00A32AF4">
        <w:tab/>
        <w:t>Budget 201</w:t>
      </w:r>
      <w:r w:rsidR="00C63736" w:rsidRPr="00A32AF4">
        <w:t>6</w:t>
      </w:r>
      <w:r w:rsidR="00EB7F54" w:rsidRPr="00A32AF4">
        <w:noBreakHyphen/>
      </w:r>
      <w:r w:rsidR="007C1DD9" w:rsidRPr="00A32AF4">
        <w:t>201</w:t>
      </w:r>
      <w:r w:rsidR="00C63736" w:rsidRPr="00A32AF4">
        <w:t>7</w:t>
      </w:r>
      <w:r w:rsidR="007C1DD9" w:rsidRPr="00A32AF4">
        <w:t xml:space="preserve"> par résultat escompté et par program</w:t>
      </w:r>
      <w:bookmarkEnd w:id="90"/>
      <w:bookmarkEnd w:id="91"/>
      <w:bookmarkEnd w:id="92"/>
      <w:r w:rsidR="007C1DD9" w:rsidRPr="00A32AF4">
        <w:t>me</w:t>
      </w:r>
      <w:bookmarkEnd w:id="93"/>
      <w:bookmarkEnd w:id="94"/>
    </w:p>
    <w:p w:rsidR="00F93B76" w:rsidRPr="00A32AF4" w:rsidRDefault="00F93B76" w:rsidP="00DC0553"/>
    <w:p w:rsidR="00F93B76" w:rsidRPr="00A32AF4" w:rsidRDefault="00B86688" w:rsidP="00DC0553">
      <w:r w:rsidRPr="00A32AF4">
        <w:rPr>
          <w:noProof/>
          <w:lang w:eastAsia="fr-FR"/>
        </w:rPr>
        <w:drawing>
          <wp:inline distT="0" distB="0" distL="0" distR="0" wp14:anchorId="645B3BB8" wp14:editId="1B0EE2BB">
            <wp:extent cx="9648825" cy="4568547"/>
            <wp:effectExtent l="0" t="0" r="0" b="381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9648825" cy="4568547"/>
                    </a:xfrm>
                    <a:prstGeom prst="rect">
                      <a:avLst/>
                    </a:prstGeom>
                    <a:noFill/>
                    <a:ln>
                      <a:noFill/>
                    </a:ln>
                  </pic:spPr>
                </pic:pic>
              </a:graphicData>
            </a:graphic>
          </wp:inline>
        </w:drawing>
      </w:r>
    </w:p>
    <w:p w:rsidR="00F93B76" w:rsidRPr="00A32AF4" w:rsidRDefault="00F93B76" w:rsidP="00DC0553"/>
    <w:p w:rsidR="00F93B76" w:rsidRPr="00A32AF4" w:rsidRDefault="00B86688" w:rsidP="00DC0553">
      <w:r w:rsidRPr="00A32AF4">
        <w:rPr>
          <w:noProof/>
          <w:lang w:eastAsia="fr-FR"/>
        </w:rPr>
        <w:drawing>
          <wp:inline distT="0" distB="0" distL="0" distR="0" wp14:anchorId="251CCE17" wp14:editId="5D1B1DFF">
            <wp:extent cx="9648825" cy="5369503"/>
            <wp:effectExtent l="0" t="0" r="0" b="3175"/>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9648825" cy="5369503"/>
                    </a:xfrm>
                    <a:prstGeom prst="rect">
                      <a:avLst/>
                    </a:prstGeom>
                    <a:noFill/>
                    <a:ln>
                      <a:noFill/>
                    </a:ln>
                  </pic:spPr>
                </pic:pic>
              </a:graphicData>
            </a:graphic>
          </wp:inline>
        </w:drawing>
      </w:r>
    </w:p>
    <w:p w:rsidR="00EA1B26" w:rsidRPr="00A32AF4" w:rsidRDefault="00EA1B26" w:rsidP="00DC0553">
      <w:pPr>
        <w:sectPr w:rsidR="00EA1B26" w:rsidRPr="00A32AF4" w:rsidSect="007C1DD9">
          <w:pgSz w:w="16840" w:h="11907" w:orient="landscape" w:code="9"/>
          <w:pgMar w:top="737" w:right="851" w:bottom="907" w:left="794" w:header="567" w:footer="851" w:gutter="0"/>
          <w:cols w:space="720"/>
          <w:docGrid w:linePitch="272"/>
        </w:sectPr>
      </w:pPr>
    </w:p>
    <w:p w:rsidR="00F93B76" w:rsidRPr="00A32AF4" w:rsidRDefault="00206B97" w:rsidP="00FB1F61">
      <w:pPr>
        <w:pStyle w:val="Heading3"/>
      </w:pPr>
      <w:bookmarkStart w:id="95" w:name="_Toc356567796"/>
      <w:bookmarkStart w:id="96" w:name="_Toc359246235"/>
      <w:bookmarkStart w:id="97" w:name="_Toc431555485"/>
      <w:r w:rsidRPr="00A32AF4">
        <w:t>Annexe </w:t>
      </w:r>
      <w:r w:rsidR="00C63736" w:rsidRPr="00A32AF4">
        <w:t>XI</w:t>
      </w:r>
      <w:r w:rsidR="00C63736" w:rsidRPr="00A32AF4">
        <w:tab/>
        <w:t>Budget 2014</w:t>
      </w:r>
      <w:r w:rsidR="00EB7F54" w:rsidRPr="00A32AF4">
        <w:noBreakHyphen/>
      </w:r>
      <w:r w:rsidR="00C63736" w:rsidRPr="00A32AF4">
        <w:t>2015 par résultat escompt</w:t>
      </w:r>
      <w:bookmarkEnd w:id="95"/>
      <w:r w:rsidR="00C63736" w:rsidRPr="00A32AF4">
        <w:t>é</w:t>
      </w:r>
      <w:bookmarkEnd w:id="96"/>
      <w:bookmarkEnd w:id="97"/>
    </w:p>
    <w:p w:rsidR="00F93B76" w:rsidRPr="00A32AF4" w:rsidRDefault="00C63736" w:rsidP="00DC0553">
      <w:pPr>
        <w:ind w:left="1701" w:firstLine="567"/>
        <w:rPr>
          <w:i/>
        </w:rPr>
      </w:pPr>
      <w:r w:rsidRPr="00A32AF4">
        <w:rPr>
          <w:i/>
        </w:rPr>
        <w:t>(</w:t>
      </w:r>
      <w:proofErr w:type="gramStart"/>
      <w:r w:rsidRPr="00A32AF4">
        <w:rPr>
          <w:i/>
        </w:rPr>
        <w:t>en</w:t>
      </w:r>
      <w:proofErr w:type="gramEnd"/>
      <w:r w:rsidRPr="00A32AF4">
        <w:rPr>
          <w:i/>
        </w:rPr>
        <w:t xml:space="preserve"> milliers de francs suisses)</w:t>
      </w:r>
    </w:p>
    <w:p w:rsidR="00C63736" w:rsidRPr="00A32AF4" w:rsidRDefault="00C63736" w:rsidP="00DC0553"/>
    <w:tbl>
      <w:tblPr>
        <w:tblW w:w="9400" w:type="dxa"/>
        <w:tblInd w:w="55"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593"/>
        <w:gridCol w:w="4247"/>
        <w:gridCol w:w="1520"/>
        <w:gridCol w:w="1520"/>
        <w:gridCol w:w="1520"/>
      </w:tblGrid>
      <w:tr w:rsidR="00C63736" w:rsidRPr="00A32AF4" w:rsidTr="00C63736">
        <w:trPr>
          <w:cantSplit/>
          <w:tblHeader/>
        </w:trPr>
        <w:tc>
          <w:tcPr>
            <w:tcW w:w="4840" w:type="dxa"/>
            <w:gridSpan w:val="2"/>
            <w:tcBorders>
              <w:top w:val="single" w:sz="4" w:space="0" w:color="auto"/>
              <w:bottom w:val="single" w:sz="4" w:space="0" w:color="auto"/>
            </w:tcBorders>
            <w:shd w:val="clear" w:color="000000" w:fill="C5D9F1"/>
            <w:noWrap/>
            <w:tcMar>
              <w:top w:w="113" w:type="dxa"/>
              <w:bottom w:w="113" w:type="dxa"/>
            </w:tcMar>
            <w:vAlign w:val="center"/>
            <w:hideMark/>
          </w:tcPr>
          <w:p w:rsidR="00C63736" w:rsidRPr="00A32AF4" w:rsidRDefault="00C63736" w:rsidP="00DC0553">
            <w:pPr>
              <w:jc w:val="center"/>
              <w:rPr>
                <w:rFonts w:cs="Arial"/>
                <w:i/>
                <w:iCs/>
                <w:sz w:val="16"/>
                <w:szCs w:val="16"/>
                <w:lang w:eastAsia="fr-FR"/>
              </w:rPr>
            </w:pPr>
            <w:r w:rsidRPr="00A32AF4">
              <w:rPr>
                <w:rFonts w:cs="Arial"/>
                <w:i/>
                <w:iCs/>
                <w:sz w:val="16"/>
                <w:szCs w:val="16"/>
                <w:lang w:eastAsia="fr-FR"/>
              </w:rPr>
              <w:t xml:space="preserve">Numéro et description du résultat escompté </w:t>
            </w:r>
          </w:p>
        </w:tc>
        <w:tc>
          <w:tcPr>
            <w:tcW w:w="1520" w:type="dxa"/>
            <w:tcBorders>
              <w:top w:val="single" w:sz="4" w:space="0" w:color="auto"/>
              <w:bottom w:val="single" w:sz="4" w:space="0" w:color="auto"/>
            </w:tcBorders>
            <w:shd w:val="clear" w:color="000000" w:fill="C5D9F1"/>
            <w:tcMar>
              <w:top w:w="113" w:type="dxa"/>
              <w:bottom w:w="113" w:type="dxa"/>
            </w:tcMar>
            <w:vAlign w:val="center"/>
            <w:hideMark/>
          </w:tcPr>
          <w:p w:rsidR="00C63736" w:rsidRPr="00A32AF4" w:rsidRDefault="00087DDF" w:rsidP="00DC0553">
            <w:pPr>
              <w:jc w:val="center"/>
              <w:rPr>
                <w:rFonts w:cs="Arial"/>
                <w:i/>
                <w:iCs/>
                <w:sz w:val="16"/>
                <w:szCs w:val="16"/>
                <w:lang w:eastAsia="fr-FR"/>
              </w:rPr>
            </w:pPr>
            <w:r w:rsidRPr="00A32AF4">
              <w:rPr>
                <w:rFonts w:cs="Arial"/>
                <w:i/>
                <w:iCs/>
                <w:sz w:val="16"/>
                <w:szCs w:val="16"/>
                <w:lang w:eastAsia="fr-FR"/>
              </w:rPr>
              <w:t>Budget 2014</w:t>
            </w:r>
            <w:r w:rsidR="00EB7F54" w:rsidRPr="00A32AF4">
              <w:rPr>
                <w:rFonts w:cs="Arial"/>
                <w:i/>
                <w:iCs/>
                <w:sz w:val="16"/>
                <w:szCs w:val="16"/>
                <w:lang w:eastAsia="fr-FR"/>
              </w:rPr>
              <w:noBreakHyphen/>
            </w:r>
            <w:r w:rsidR="00C63736" w:rsidRPr="00A32AF4">
              <w:rPr>
                <w:rFonts w:cs="Arial"/>
                <w:i/>
                <w:iCs/>
                <w:sz w:val="16"/>
                <w:szCs w:val="16"/>
                <w:lang w:eastAsia="fr-FR"/>
              </w:rPr>
              <w:t>2015 approuvé</w:t>
            </w:r>
          </w:p>
        </w:tc>
        <w:tc>
          <w:tcPr>
            <w:tcW w:w="1520" w:type="dxa"/>
            <w:tcBorders>
              <w:top w:val="single" w:sz="4" w:space="0" w:color="auto"/>
              <w:bottom w:val="single" w:sz="4" w:space="0" w:color="auto"/>
            </w:tcBorders>
            <w:shd w:val="clear" w:color="000000" w:fill="C5D9F1"/>
            <w:tcMar>
              <w:top w:w="113" w:type="dxa"/>
              <w:bottom w:w="113" w:type="dxa"/>
            </w:tcMar>
            <w:vAlign w:val="center"/>
            <w:hideMark/>
          </w:tcPr>
          <w:p w:rsidR="00C63736" w:rsidRPr="00A32AF4" w:rsidRDefault="00087DDF" w:rsidP="00DC0553">
            <w:pPr>
              <w:jc w:val="center"/>
              <w:rPr>
                <w:rFonts w:cs="Arial"/>
                <w:i/>
                <w:iCs/>
                <w:sz w:val="16"/>
                <w:szCs w:val="16"/>
                <w:lang w:eastAsia="fr-FR"/>
              </w:rPr>
            </w:pPr>
            <w:r w:rsidRPr="00A32AF4">
              <w:rPr>
                <w:rFonts w:cs="Arial"/>
                <w:i/>
                <w:iCs/>
                <w:sz w:val="16"/>
                <w:szCs w:val="16"/>
                <w:lang w:eastAsia="fr-FR"/>
              </w:rPr>
              <w:t>Budget 2014</w:t>
            </w:r>
            <w:r w:rsidR="00EB7F54" w:rsidRPr="00A32AF4">
              <w:rPr>
                <w:rFonts w:cs="Arial"/>
                <w:i/>
                <w:iCs/>
                <w:sz w:val="16"/>
                <w:szCs w:val="16"/>
                <w:lang w:eastAsia="fr-FR"/>
              </w:rPr>
              <w:noBreakHyphen/>
            </w:r>
            <w:r w:rsidR="00C63736" w:rsidRPr="00A32AF4">
              <w:rPr>
                <w:rFonts w:cs="Arial"/>
                <w:i/>
                <w:iCs/>
                <w:sz w:val="16"/>
                <w:szCs w:val="16"/>
                <w:lang w:eastAsia="fr-FR"/>
              </w:rPr>
              <w:t>2015 après virements</w:t>
            </w:r>
          </w:p>
        </w:tc>
        <w:tc>
          <w:tcPr>
            <w:tcW w:w="1520" w:type="dxa"/>
            <w:tcBorders>
              <w:top w:val="single" w:sz="4" w:space="0" w:color="auto"/>
              <w:bottom w:val="single" w:sz="4" w:space="0" w:color="auto"/>
            </w:tcBorders>
            <w:shd w:val="clear" w:color="000000" w:fill="C5D9F1"/>
            <w:tcMar>
              <w:top w:w="113" w:type="dxa"/>
              <w:bottom w:w="113" w:type="dxa"/>
            </w:tcMar>
            <w:vAlign w:val="center"/>
            <w:hideMark/>
          </w:tcPr>
          <w:p w:rsidR="00C63736" w:rsidRPr="00A32AF4" w:rsidRDefault="00087DDF" w:rsidP="00DC0553">
            <w:pPr>
              <w:jc w:val="center"/>
              <w:rPr>
                <w:rFonts w:cs="Arial"/>
                <w:i/>
                <w:iCs/>
                <w:sz w:val="16"/>
                <w:szCs w:val="16"/>
                <w:lang w:eastAsia="fr-FR"/>
              </w:rPr>
            </w:pPr>
            <w:r w:rsidRPr="00A32AF4">
              <w:rPr>
                <w:rFonts w:cs="Arial"/>
                <w:i/>
                <w:iCs/>
                <w:sz w:val="16"/>
                <w:szCs w:val="16"/>
                <w:lang w:eastAsia="fr-FR"/>
              </w:rPr>
              <w:t>Budget 2016</w:t>
            </w:r>
            <w:r w:rsidR="00EB7F54" w:rsidRPr="00A32AF4">
              <w:rPr>
                <w:rFonts w:cs="Arial"/>
                <w:i/>
                <w:iCs/>
                <w:sz w:val="16"/>
                <w:szCs w:val="16"/>
                <w:lang w:eastAsia="fr-FR"/>
              </w:rPr>
              <w:noBreakHyphen/>
            </w:r>
            <w:r w:rsidR="00C63736" w:rsidRPr="00A32AF4">
              <w:rPr>
                <w:rFonts w:cs="Arial"/>
                <w:i/>
                <w:iCs/>
                <w:sz w:val="16"/>
                <w:szCs w:val="16"/>
                <w:lang w:eastAsia="fr-FR"/>
              </w:rPr>
              <w:t>2017 proposé</w:t>
            </w:r>
          </w:p>
        </w:tc>
      </w:tr>
      <w:tr w:rsidR="00C63736" w:rsidRPr="00A32AF4" w:rsidTr="00C63736">
        <w:trPr>
          <w:cantSplit/>
        </w:trPr>
        <w:tc>
          <w:tcPr>
            <w:tcW w:w="593" w:type="dxa"/>
            <w:tcBorders>
              <w:top w:val="single" w:sz="4" w:space="0" w:color="auto"/>
            </w:tcBorders>
            <w:shd w:val="clear" w:color="auto" w:fill="auto"/>
            <w:noWrap/>
            <w:tcMar>
              <w:top w:w="113" w:type="dxa"/>
              <w:bottom w:w="113" w:type="dxa"/>
            </w:tcMar>
            <w:vAlign w:val="center"/>
            <w:hideMark/>
          </w:tcPr>
          <w:p w:rsidR="00C63736" w:rsidRPr="00A32AF4" w:rsidRDefault="00C63736" w:rsidP="00DC0553">
            <w:pPr>
              <w:rPr>
                <w:rFonts w:cs="Arial"/>
                <w:sz w:val="16"/>
                <w:szCs w:val="16"/>
                <w:lang w:eastAsia="fr-FR"/>
              </w:rPr>
            </w:pPr>
            <w:r w:rsidRPr="00A32AF4">
              <w:rPr>
                <w:rFonts w:cs="Arial"/>
                <w:sz w:val="16"/>
                <w:szCs w:val="16"/>
                <w:lang w:eastAsia="fr-FR"/>
              </w:rPr>
              <w:t>I.1</w:t>
            </w:r>
          </w:p>
        </w:tc>
        <w:tc>
          <w:tcPr>
            <w:tcW w:w="4247" w:type="dxa"/>
            <w:tcBorders>
              <w:top w:val="single" w:sz="4" w:space="0" w:color="auto"/>
            </w:tcBorders>
            <w:shd w:val="clear" w:color="auto" w:fill="auto"/>
            <w:tcMar>
              <w:top w:w="113" w:type="dxa"/>
              <w:bottom w:w="113" w:type="dxa"/>
            </w:tcMar>
            <w:vAlign w:val="center"/>
            <w:hideMark/>
          </w:tcPr>
          <w:p w:rsidR="00C63736" w:rsidRPr="00A32AF4" w:rsidRDefault="00C63736" w:rsidP="00DC0553">
            <w:pPr>
              <w:rPr>
                <w:rFonts w:cs="Arial"/>
                <w:sz w:val="16"/>
                <w:szCs w:val="16"/>
                <w:lang w:eastAsia="fr-FR"/>
              </w:rPr>
            </w:pPr>
            <w:r w:rsidRPr="00A32AF4">
              <w:rPr>
                <w:rFonts w:cs="Arial"/>
                <w:sz w:val="16"/>
                <w:szCs w:val="16"/>
                <w:lang w:eastAsia="fr-FR"/>
              </w:rPr>
              <w:t>Renforcement de la coopération entre les États membres en ce qui concerne l</w:t>
            </w:r>
            <w:r w:rsidR="00E2055A" w:rsidRPr="00A32AF4">
              <w:rPr>
                <w:rFonts w:cs="Arial"/>
                <w:sz w:val="16"/>
                <w:szCs w:val="16"/>
                <w:lang w:eastAsia="fr-FR"/>
              </w:rPr>
              <w:t>’</w:t>
            </w:r>
            <w:r w:rsidRPr="00A32AF4">
              <w:rPr>
                <w:rFonts w:cs="Arial"/>
                <w:sz w:val="16"/>
                <w:szCs w:val="16"/>
                <w:lang w:eastAsia="fr-FR"/>
              </w:rPr>
              <w:t>élaboration de cadres normatifs internationaux équilibrés dans le domaine de la propriété intellectuelle</w:t>
            </w:r>
          </w:p>
        </w:tc>
        <w:tc>
          <w:tcPr>
            <w:tcW w:w="1520" w:type="dxa"/>
            <w:tcBorders>
              <w:top w:val="single" w:sz="4" w:space="0" w:color="auto"/>
            </w:tcBorders>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15 734 </w:t>
            </w:r>
          </w:p>
        </w:tc>
        <w:tc>
          <w:tcPr>
            <w:tcW w:w="1520" w:type="dxa"/>
            <w:tcBorders>
              <w:top w:val="single" w:sz="4" w:space="0" w:color="auto"/>
            </w:tcBorders>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12 350 </w:t>
            </w:r>
          </w:p>
        </w:tc>
        <w:tc>
          <w:tcPr>
            <w:tcW w:w="1520" w:type="dxa"/>
            <w:tcBorders>
              <w:top w:val="single" w:sz="4" w:space="0" w:color="auto"/>
            </w:tcBorders>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13 976 </w:t>
            </w:r>
          </w:p>
        </w:tc>
      </w:tr>
      <w:tr w:rsidR="00C63736" w:rsidRPr="00A32AF4" w:rsidTr="00C63736">
        <w:trPr>
          <w:cantSplit/>
        </w:trPr>
        <w:tc>
          <w:tcPr>
            <w:tcW w:w="593" w:type="dxa"/>
            <w:shd w:val="clear" w:color="auto" w:fill="auto"/>
            <w:noWrap/>
            <w:tcMar>
              <w:top w:w="113" w:type="dxa"/>
              <w:bottom w:w="113" w:type="dxa"/>
            </w:tcMar>
            <w:vAlign w:val="center"/>
            <w:hideMark/>
          </w:tcPr>
          <w:p w:rsidR="00C63736" w:rsidRPr="00A32AF4" w:rsidRDefault="00C63736" w:rsidP="00DC0553">
            <w:pPr>
              <w:rPr>
                <w:rFonts w:cs="Arial"/>
                <w:sz w:val="16"/>
                <w:szCs w:val="16"/>
                <w:lang w:eastAsia="fr-FR"/>
              </w:rPr>
            </w:pPr>
            <w:r w:rsidRPr="00A32AF4">
              <w:rPr>
                <w:rFonts w:cs="Arial"/>
                <w:sz w:val="16"/>
                <w:szCs w:val="16"/>
                <w:lang w:eastAsia="fr-FR"/>
              </w:rPr>
              <w:t>I.2</w:t>
            </w:r>
          </w:p>
        </w:tc>
        <w:tc>
          <w:tcPr>
            <w:tcW w:w="4247" w:type="dxa"/>
            <w:shd w:val="clear" w:color="auto" w:fill="auto"/>
            <w:tcMar>
              <w:top w:w="113" w:type="dxa"/>
              <w:bottom w:w="113" w:type="dxa"/>
            </w:tcMar>
            <w:vAlign w:val="center"/>
            <w:hideMark/>
          </w:tcPr>
          <w:p w:rsidR="00C63736" w:rsidRPr="00A32AF4" w:rsidRDefault="00C63736" w:rsidP="00DC0553">
            <w:pPr>
              <w:rPr>
                <w:rFonts w:cs="Arial"/>
                <w:sz w:val="16"/>
                <w:szCs w:val="16"/>
                <w:lang w:eastAsia="fr-FR"/>
              </w:rPr>
            </w:pPr>
            <w:r w:rsidRPr="00A32AF4">
              <w:rPr>
                <w:rFonts w:cs="Arial"/>
                <w:sz w:val="16"/>
                <w:szCs w:val="16"/>
                <w:lang w:eastAsia="fr-FR"/>
              </w:rPr>
              <w:t>Cadres législatifs, réglementaires et politiques de propriété intellectuelle adaptés et équilibrés</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7 899 </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11 530 </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9 748 </w:t>
            </w:r>
          </w:p>
        </w:tc>
      </w:tr>
      <w:tr w:rsidR="00C63736" w:rsidRPr="00A32AF4" w:rsidTr="00C63736">
        <w:trPr>
          <w:cantSplit/>
        </w:trPr>
        <w:tc>
          <w:tcPr>
            <w:tcW w:w="593" w:type="dxa"/>
            <w:shd w:val="clear" w:color="auto" w:fill="auto"/>
            <w:noWrap/>
            <w:tcMar>
              <w:top w:w="113" w:type="dxa"/>
              <w:bottom w:w="113" w:type="dxa"/>
            </w:tcMar>
            <w:vAlign w:val="center"/>
            <w:hideMark/>
          </w:tcPr>
          <w:p w:rsidR="00C63736" w:rsidRPr="00A32AF4" w:rsidRDefault="00C63736" w:rsidP="00DC0553">
            <w:pPr>
              <w:rPr>
                <w:rFonts w:cs="Arial"/>
                <w:sz w:val="16"/>
                <w:szCs w:val="16"/>
                <w:lang w:eastAsia="fr-FR"/>
              </w:rPr>
            </w:pPr>
            <w:r w:rsidRPr="00A32AF4">
              <w:rPr>
                <w:rFonts w:cs="Arial"/>
                <w:sz w:val="16"/>
                <w:szCs w:val="16"/>
                <w:lang w:eastAsia="fr-FR"/>
              </w:rPr>
              <w:t>I.3</w:t>
            </w:r>
          </w:p>
        </w:tc>
        <w:tc>
          <w:tcPr>
            <w:tcW w:w="4247" w:type="dxa"/>
            <w:shd w:val="clear" w:color="auto" w:fill="auto"/>
            <w:tcMar>
              <w:top w:w="113" w:type="dxa"/>
              <w:bottom w:w="113" w:type="dxa"/>
            </w:tcMar>
            <w:vAlign w:val="center"/>
            <w:hideMark/>
          </w:tcPr>
          <w:p w:rsidR="00C63736" w:rsidRPr="00A32AF4" w:rsidRDefault="00C63736" w:rsidP="00DC0553">
            <w:pPr>
              <w:rPr>
                <w:rFonts w:cs="Arial"/>
                <w:sz w:val="16"/>
                <w:szCs w:val="16"/>
                <w:lang w:eastAsia="fr-FR"/>
              </w:rPr>
            </w:pPr>
            <w:r w:rsidRPr="00A32AF4">
              <w:rPr>
                <w:rFonts w:cs="Arial"/>
                <w:sz w:val="16"/>
                <w:szCs w:val="16"/>
                <w:lang w:eastAsia="fr-FR"/>
              </w:rPr>
              <w:t>Protection renforcée des emblèmes d</w:t>
            </w:r>
            <w:r w:rsidR="00E2055A" w:rsidRPr="00A32AF4">
              <w:rPr>
                <w:rFonts w:cs="Arial"/>
                <w:sz w:val="16"/>
                <w:szCs w:val="16"/>
                <w:lang w:eastAsia="fr-FR"/>
              </w:rPr>
              <w:t>’</w:t>
            </w:r>
            <w:r w:rsidRPr="00A32AF4">
              <w:rPr>
                <w:rFonts w:cs="Arial"/>
                <w:sz w:val="16"/>
                <w:szCs w:val="16"/>
                <w:lang w:eastAsia="fr-FR"/>
              </w:rPr>
              <w:t>États et des noms et emblèmes d</w:t>
            </w:r>
            <w:r w:rsidR="00E2055A" w:rsidRPr="00A32AF4">
              <w:rPr>
                <w:rFonts w:cs="Arial"/>
                <w:sz w:val="16"/>
                <w:szCs w:val="16"/>
                <w:lang w:eastAsia="fr-FR"/>
              </w:rPr>
              <w:t>’</w:t>
            </w:r>
            <w:r w:rsidRPr="00A32AF4">
              <w:rPr>
                <w:rFonts w:cs="Arial"/>
                <w:sz w:val="16"/>
                <w:szCs w:val="16"/>
                <w:lang w:eastAsia="fr-FR"/>
              </w:rPr>
              <w:t>organisations internationales intergouvernementales</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439 </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767 </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544 </w:t>
            </w:r>
          </w:p>
        </w:tc>
      </w:tr>
      <w:tr w:rsidR="00C63736" w:rsidRPr="00A32AF4" w:rsidTr="00C63736">
        <w:trPr>
          <w:cantSplit/>
        </w:trPr>
        <w:tc>
          <w:tcPr>
            <w:tcW w:w="593" w:type="dxa"/>
            <w:shd w:val="clear" w:color="auto" w:fill="auto"/>
            <w:noWrap/>
            <w:tcMar>
              <w:top w:w="113" w:type="dxa"/>
              <w:bottom w:w="113" w:type="dxa"/>
            </w:tcMar>
            <w:vAlign w:val="center"/>
            <w:hideMark/>
          </w:tcPr>
          <w:p w:rsidR="00C63736" w:rsidRPr="00A32AF4" w:rsidRDefault="00C63736" w:rsidP="00DC0553">
            <w:pPr>
              <w:rPr>
                <w:rFonts w:cs="Arial"/>
                <w:sz w:val="16"/>
                <w:szCs w:val="16"/>
                <w:lang w:eastAsia="fr-FR"/>
              </w:rPr>
            </w:pPr>
            <w:r w:rsidRPr="00A32AF4">
              <w:rPr>
                <w:rFonts w:cs="Arial"/>
                <w:sz w:val="16"/>
                <w:szCs w:val="16"/>
                <w:lang w:eastAsia="fr-FR"/>
              </w:rPr>
              <w:t>I.4</w:t>
            </w:r>
          </w:p>
        </w:tc>
        <w:tc>
          <w:tcPr>
            <w:tcW w:w="4247" w:type="dxa"/>
            <w:shd w:val="clear" w:color="auto" w:fill="auto"/>
            <w:tcMar>
              <w:top w:w="113" w:type="dxa"/>
              <w:bottom w:w="113" w:type="dxa"/>
            </w:tcMar>
            <w:vAlign w:val="center"/>
            <w:hideMark/>
          </w:tcPr>
          <w:p w:rsidR="00C63736" w:rsidRPr="00A32AF4" w:rsidRDefault="00C63736">
            <w:pPr>
              <w:rPr>
                <w:rFonts w:cs="Arial"/>
                <w:sz w:val="16"/>
                <w:szCs w:val="16"/>
                <w:lang w:eastAsia="fr-FR"/>
              </w:rPr>
            </w:pPr>
            <w:r w:rsidRPr="00A32AF4">
              <w:rPr>
                <w:rFonts w:cs="Arial"/>
                <w:sz w:val="16"/>
                <w:szCs w:val="16"/>
                <w:lang w:eastAsia="fr-FR"/>
              </w:rPr>
              <w:t>Intérêt croissant pour l</w:t>
            </w:r>
            <w:r w:rsidR="00E2055A" w:rsidRPr="00A32AF4">
              <w:rPr>
                <w:rFonts w:cs="Arial"/>
                <w:sz w:val="16"/>
                <w:szCs w:val="16"/>
                <w:lang w:eastAsia="fr-FR"/>
              </w:rPr>
              <w:t>’</w:t>
            </w:r>
            <w:r w:rsidRPr="00A32AF4">
              <w:rPr>
                <w:rFonts w:cs="Arial"/>
                <w:sz w:val="16"/>
                <w:szCs w:val="16"/>
                <w:lang w:eastAsia="fr-FR"/>
              </w:rPr>
              <w:t>OMPI en tant qu</w:t>
            </w:r>
            <w:r w:rsidR="00E2055A" w:rsidRPr="00A32AF4">
              <w:rPr>
                <w:rFonts w:cs="Arial"/>
                <w:sz w:val="16"/>
                <w:szCs w:val="16"/>
                <w:lang w:eastAsia="fr-FR"/>
              </w:rPr>
              <w:t>’</w:t>
            </w:r>
            <w:r w:rsidRPr="00A32AF4">
              <w:rPr>
                <w:rFonts w:cs="Arial"/>
                <w:sz w:val="16"/>
                <w:szCs w:val="16"/>
                <w:lang w:eastAsia="fr-FR"/>
              </w:rPr>
              <w:t>instance d</w:t>
            </w:r>
            <w:r w:rsidR="00E2055A" w:rsidRPr="00A32AF4">
              <w:rPr>
                <w:rFonts w:cs="Arial"/>
                <w:sz w:val="16"/>
                <w:szCs w:val="16"/>
                <w:lang w:eastAsia="fr-FR"/>
              </w:rPr>
              <w:t>’</w:t>
            </w:r>
            <w:r w:rsidRPr="00A32AF4">
              <w:rPr>
                <w:rFonts w:cs="Arial"/>
                <w:sz w:val="16"/>
                <w:szCs w:val="16"/>
                <w:lang w:eastAsia="fr-FR"/>
              </w:rPr>
              <w:t>analyse des questions relatives à la protection internationale des</w:t>
            </w:r>
            <w:r w:rsidR="0079300D" w:rsidRPr="00A32AF4">
              <w:rPr>
                <w:rFonts w:cs="Arial"/>
                <w:sz w:val="16"/>
                <w:szCs w:val="16"/>
                <w:lang w:eastAsia="fr-FR"/>
              </w:rPr>
              <w:t xml:space="preserve"> brevets, modèles d</w:t>
            </w:r>
            <w:r w:rsidR="00E2055A" w:rsidRPr="00A32AF4">
              <w:rPr>
                <w:rFonts w:cs="Arial"/>
                <w:sz w:val="16"/>
                <w:szCs w:val="16"/>
                <w:lang w:eastAsia="fr-FR"/>
              </w:rPr>
              <w:t>’</w:t>
            </w:r>
            <w:r w:rsidR="0079300D" w:rsidRPr="00A32AF4">
              <w:rPr>
                <w:rFonts w:cs="Arial"/>
                <w:sz w:val="16"/>
                <w:szCs w:val="16"/>
                <w:lang w:eastAsia="fr-FR"/>
              </w:rPr>
              <w:t>utilité, schémas de configuration (topographies) de circuits intégrés et</w:t>
            </w:r>
            <w:r w:rsidRPr="00A32AF4">
              <w:rPr>
                <w:rFonts w:cs="Arial"/>
                <w:sz w:val="16"/>
                <w:szCs w:val="16"/>
                <w:lang w:eastAsia="fr-FR"/>
              </w:rPr>
              <w:t xml:space="preserve"> informations confidentielles</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494 </w:t>
            </w:r>
          </w:p>
        </w:tc>
      </w:tr>
      <w:tr w:rsidR="00C63736" w:rsidRPr="00A32AF4" w:rsidTr="00C63736">
        <w:trPr>
          <w:cantSplit/>
        </w:trPr>
        <w:tc>
          <w:tcPr>
            <w:tcW w:w="593" w:type="dxa"/>
            <w:shd w:val="clear" w:color="auto" w:fill="auto"/>
            <w:noWrap/>
            <w:tcMar>
              <w:top w:w="113" w:type="dxa"/>
              <w:bottom w:w="113" w:type="dxa"/>
            </w:tcMar>
            <w:vAlign w:val="center"/>
            <w:hideMark/>
          </w:tcPr>
          <w:p w:rsidR="00C63736" w:rsidRPr="00A32AF4" w:rsidRDefault="00C63736" w:rsidP="00DC0553">
            <w:pPr>
              <w:rPr>
                <w:rFonts w:cs="Arial"/>
                <w:sz w:val="16"/>
                <w:szCs w:val="16"/>
                <w:lang w:eastAsia="fr-FR"/>
              </w:rPr>
            </w:pPr>
            <w:r w:rsidRPr="00A32AF4">
              <w:rPr>
                <w:rFonts w:cs="Arial"/>
                <w:sz w:val="16"/>
                <w:szCs w:val="16"/>
                <w:lang w:eastAsia="fr-FR"/>
              </w:rPr>
              <w:t>II.1</w:t>
            </w:r>
          </w:p>
        </w:tc>
        <w:tc>
          <w:tcPr>
            <w:tcW w:w="4247" w:type="dxa"/>
            <w:shd w:val="clear" w:color="auto" w:fill="auto"/>
            <w:tcMar>
              <w:top w:w="113" w:type="dxa"/>
              <w:bottom w:w="113" w:type="dxa"/>
            </w:tcMar>
            <w:vAlign w:val="center"/>
            <w:hideMark/>
          </w:tcPr>
          <w:p w:rsidR="00C63736" w:rsidRPr="00A32AF4" w:rsidRDefault="00C63736" w:rsidP="00DC0553">
            <w:pPr>
              <w:rPr>
                <w:rFonts w:cs="Arial"/>
                <w:sz w:val="16"/>
                <w:szCs w:val="16"/>
                <w:lang w:eastAsia="fr-FR"/>
              </w:rPr>
            </w:pPr>
            <w:r w:rsidRPr="00A32AF4">
              <w:rPr>
                <w:rFonts w:cs="Arial"/>
                <w:sz w:val="16"/>
                <w:szCs w:val="16"/>
                <w:lang w:eastAsia="fr-FR"/>
              </w:rPr>
              <w:t>Utilisation élargie et plus efficace du système du PCT pour le dépôt des demandes internationales de brevet</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24 062 </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22 708 </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29 156 </w:t>
            </w:r>
          </w:p>
        </w:tc>
      </w:tr>
      <w:tr w:rsidR="00C63736" w:rsidRPr="00A32AF4" w:rsidTr="00C63736">
        <w:trPr>
          <w:cantSplit/>
        </w:trPr>
        <w:tc>
          <w:tcPr>
            <w:tcW w:w="593" w:type="dxa"/>
            <w:shd w:val="clear" w:color="auto" w:fill="auto"/>
            <w:noWrap/>
            <w:tcMar>
              <w:top w:w="113" w:type="dxa"/>
              <w:bottom w:w="113" w:type="dxa"/>
            </w:tcMar>
            <w:vAlign w:val="center"/>
            <w:hideMark/>
          </w:tcPr>
          <w:p w:rsidR="00C63736" w:rsidRPr="00A32AF4" w:rsidRDefault="00C63736" w:rsidP="00DC0553">
            <w:pPr>
              <w:rPr>
                <w:rFonts w:cs="Arial"/>
                <w:sz w:val="16"/>
                <w:szCs w:val="16"/>
                <w:lang w:eastAsia="fr-FR"/>
              </w:rPr>
            </w:pPr>
            <w:r w:rsidRPr="00A32AF4">
              <w:rPr>
                <w:rFonts w:cs="Arial"/>
                <w:sz w:val="16"/>
                <w:szCs w:val="16"/>
                <w:lang w:eastAsia="fr-FR"/>
              </w:rPr>
              <w:t>II.2</w:t>
            </w:r>
          </w:p>
        </w:tc>
        <w:tc>
          <w:tcPr>
            <w:tcW w:w="4247" w:type="dxa"/>
            <w:shd w:val="clear" w:color="auto" w:fill="auto"/>
            <w:tcMar>
              <w:top w:w="113" w:type="dxa"/>
              <w:bottom w:w="113" w:type="dxa"/>
            </w:tcMar>
            <w:vAlign w:val="center"/>
            <w:hideMark/>
          </w:tcPr>
          <w:p w:rsidR="00C63736" w:rsidRPr="00A32AF4" w:rsidRDefault="00C63736" w:rsidP="00DC0553">
            <w:pPr>
              <w:rPr>
                <w:rFonts w:cs="Arial"/>
                <w:sz w:val="16"/>
                <w:szCs w:val="16"/>
                <w:lang w:eastAsia="fr-FR"/>
              </w:rPr>
            </w:pPr>
            <w:r w:rsidRPr="00A32AF4">
              <w:rPr>
                <w:rFonts w:cs="Arial"/>
                <w:sz w:val="16"/>
                <w:szCs w:val="16"/>
                <w:lang w:eastAsia="fr-FR"/>
              </w:rPr>
              <w:t>Amélioration du système du PCT</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3 106 </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4 197 </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w:t>
            </w:r>
          </w:p>
        </w:tc>
      </w:tr>
      <w:tr w:rsidR="00C63736" w:rsidRPr="00A32AF4" w:rsidTr="00C63736">
        <w:trPr>
          <w:cantSplit/>
        </w:trPr>
        <w:tc>
          <w:tcPr>
            <w:tcW w:w="593" w:type="dxa"/>
            <w:shd w:val="clear" w:color="auto" w:fill="auto"/>
            <w:noWrap/>
            <w:tcMar>
              <w:top w:w="113" w:type="dxa"/>
              <w:bottom w:w="113" w:type="dxa"/>
            </w:tcMar>
            <w:vAlign w:val="center"/>
            <w:hideMark/>
          </w:tcPr>
          <w:p w:rsidR="00C63736" w:rsidRPr="00A32AF4" w:rsidRDefault="00C63736" w:rsidP="00DC0553">
            <w:pPr>
              <w:rPr>
                <w:rFonts w:cs="Arial"/>
                <w:sz w:val="16"/>
                <w:szCs w:val="16"/>
                <w:lang w:eastAsia="fr-FR"/>
              </w:rPr>
            </w:pPr>
            <w:r w:rsidRPr="00A32AF4">
              <w:rPr>
                <w:rFonts w:cs="Arial"/>
                <w:sz w:val="16"/>
                <w:szCs w:val="16"/>
                <w:lang w:eastAsia="fr-FR"/>
              </w:rPr>
              <w:t>II.3</w:t>
            </w:r>
          </w:p>
        </w:tc>
        <w:tc>
          <w:tcPr>
            <w:tcW w:w="4247" w:type="dxa"/>
            <w:shd w:val="clear" w:color="auto" w:fill="auto"/>
            <w:tcMar>
              <w:top w:w="113" w:type="dxa"/>
              <w:bottom w:w="113" w:type="dxa"/>
            </w:tcMar>
            <w:vAlign w:val="center"/>
            <w:hideMark/>
          </w:tcPr>
          <w:p w:rsidR="00C63736" w:rsidRPr="00A32AF4" w:rsidRDefault="00C63736" w:rsidP="00DC0553">
            <w:pPr>
              <w:rPr>
                <w:rFonts w:cs="Arial"/>
                <w:sz w:val="16"/>
                <w:szCs w:val="16"/>
                <w:lang w:eastAsia="fr-FR"/>
              </w:rPr>
            </w:pPr>
            <w:r w:rsidRPr="00A32AF4">
              <w:rPr>
                <w:rFonts w:cs="Arial"/>
                <w:sz w:val="16"/>
                <w:szCs w:val="16"/>
                <w:lang w:eastAsia="fr-FR"/>
              </w:rPr>
              <w:t>Amélioration de la productivité et de la qualité de service des opérations du PCT</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172 856 </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172 080 </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181 080 </w:t>
            </w:r>
          </w:p>
        </w:tc>
      </w:tr>
      <w:tr w:rsidR="00C63736" w:rsidRPr="00A32AF4" w:rsidTr="00C63736">
        <w:trPr>
          <w:cantSplit/>
        </w:trPr>
        <w:tc>
          <w:tcPr>
            <w:tcW w:w="593" w:type="dxa"/>
            <w:shd w:val="clear" w:color="auto" w:fill="auto"/>
            <w:noWrap/>
            <w:tcMar>
              <w:top w:w="113" w:type="dxa"/>
              <w:bottom w:w="113" w:type="dxa"/>
            </w:tcMar>
            <w:vAlign w:val="center"/>
            <w:hideMark/>
          </w:tcPr>
          <w:p w:rsidR="00C63736" w:rsidRPr="00A32AF4" w:rsidRDefault="00C63736" w:rsidP="00DC0553">
            <w:pPr>
              <w:rPr>
                <w:rFonts w:cs="Arial"/>
                <w:sz w:val="16"/>
                <w:szCs w:val="16"/>
                <w:lang w:eastAsia="fr-FR"/>
              </w:rPr>
            </w:pPr>
            <w:r w:rsidRPr="00A32AF4">
              <w:rPr>
                <w:rFonts w:cs="Arial"/>
                <w:sz w:val="16"/>
                <w:szCs w:val="16"/>
                <w:lang w:eastAsia="fr-FR"/>
              </w:rPr>
              <w:t>II.4</w:t>
            </w:r>
          </w:p>
        </w:tc>
        <w:tc>
          <w:tcPr>
            <w:tcW w:w="4247" w:type="dxa"/>
            <w:shd w:val="clear" w:color="auto" w:fill="auto"/>
            <w:tcMar>
              <w:top w:w="113" w:type="dxa"/>
              <w:bottom w:w="113" w:type="dxa"/>
            </w:tcMar>
            <w:vAlign w:val="center"/>
            <w:hideMark/>
          </w:tcPr>
          <w:p w:rsidR="00C63736" w:rsidRPr="00A32AF4" w:rsidRDefault="00C63736" w:rsidP="00DC0553">
            <w:pPr>
              <w:rPr>
                <w:rFonts w:cs="Arial"/>
                <w:sz w:val="16"/>
                <w:szCs w:val="16"/>
                <w:lang w:eastAsia="fr-FR"/>
              </w:rPr>
            </w:pPr>
            <w:r w:rsidRPr="00A32AF4">
              <w:rPr>
                <w:rFonts w:cs="Arial"/>
                <w:sz w:val="16"/>
                <w:szCs w:val="16"/>
                <w:lang w:eastAsia="fr-FR"/>
              </w:rPr>
              <w:t xml:space="preserve">Utilisation élargie et plus efficace du système de </w:t>
            </w:r>
            <w:r w:rsidR="00E2055A" w:rsidRPr="00A32AF4">
              <w:rPr>
                <w:rFonts w:cs="Arial"/>
                <w:sz w:val="16"/>
                <w:szCs w:val="16"/>
                <w:lang w:eastAsia="fr-FR"/>
              </w:rPr>
              <w:t>La Haye</w:t>
            </w:r>
            <w:r w:rsidRPr="00A32AF4">
              <w:rPr>
                <w:rFonts w:cs="Arial"/>
                <w:sz w:val="16"/>
                <w:szCs w:val="16"/>
                <w:lang w:eastAsia="fr-FR"/>
              </w:rPr>
              <w:t>, notamment par les pays en développement et les PMA</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5 953 </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5 980 </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6 617 </w:t>
            </w:r>
          </w:p>
        </w:tc>
      </w:tr>
      <w:tr w:rsidR="00C63736" w:rsidRPr="00A32AF4" w:rsidTr="00C63736">
        <w:trPr>
          <w:cantSplit/>
        </w:trPr>
        <w:tc>
          <w:tcPr>
            <w:tcW w:w="593" w:type="dxa"/>
            <w:shd w:val="clear" w:color="auto" w:fill="auto"/>
            <w:noWrap/>
            <w:tcMar>
              <w:top w:w="113" w:type="dxa"/>
              <w:bottom w:w="113" w:type="dxa"/>
            </w:tcMar>
            <w:vAlign w:val="center"/>
            <w:hideMark/>
          </w:tcPr>
          <w:p w:rsidR="00C63736" w:rsidRPr="00A32AF4" w:rsidRDefault="00C63736" w:rsidP="00DC0553">
            <w:pPr>
              <w:rPr>
                <w:rFonts w:cs="Arial"/>
                <w:sz w:val="16"/>
                <w:szCs w:val="16"/>
                <w:lang w:eastAsia="fr-FR"/>
              </w:rPr>
            </w:pPr>
            <w:r w:rsidRPr="00A32AF4">
              <w:rPr>
                <w:rFonts w:cs="Arial"/>
                <w:sz w:val="16"/>
                <w:szCs w:val="16"/>
                <w:lang w:eastAsia="fr-FR"/>
              </w:rPr>
              <w:t>II.5</w:t>
            </w:r>
          </w:p>
        </w:tc>
        <w:tc>
          <w:tcPr>
            <w:tcW w:w="4247" w:type="dxa"/>
            <w:shd w:val="clear" w:color="auto" w:fill="auto"/>
            <w:tcMar>
              <w:top w:w="113" w:type="dxa"/>
              <w:bottom w:w="113" w:type="dxa"/>
            </w:tcMar>
            <w:vAlign w:val="center"/>
            <w:hideMark/>
          </w:tcPr>
          <w:p w:rsidR="00C63736" w:rsidRPr="00A32AF4" w:rsidRDefault="00C63736" w:rsidP="00DC0553">
            <w:pPr>
              <w:rPr>
                <w:rFonts w:cs="Arial"/>
                <w:sz w:val="16"/>
                <w:szCs w:val="16"/>
                <w:lang w:eastAsia="fr-FR"/>
              </w:rPr>
            </w:pPr>
            <w:r w:rsidRPr="00A32AF4">
              <w:rPr>
                <w:rFonts w:cs="Arial"/>
                <w:sz w:val="16"/>
                <w:szCs w:val="16"/>
                <w:lang w:eastAsia="fr-FR"/>
              </w:rPr>
              <w:t xml:space="preserve">Amélioration de la productivité et de la qualité de service des opérations de </w:t>
            </w:r>
            <w:r w:rsidR="00E2055A" w:rsidRPr="00A32AF4">
              <w:rPr>
                <w:rFonts w:cs="Arial"/>
                <w:sz w:val="16"/>
                <w:szCs w:val="16"/>
                <w:lang w:eastAsia="fr-FR"/>
              </w:rPr>
              <w:t>La Haye</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2 351 </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2 527 </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2 234 </w:t>
            </w:r>
          </w:p>
        </w:tc>
      </w:tr>
      <w:tr w:rsidR="00C63736" w:rsidRPr="00A32AF4" w:rsidTr="00C63736">
        <w:trPr>
          <w:cantSplit/>
        </w:trPr>
        <w:tc>
          <w:tcPr>
            <w:tcW w:w="593" w:type="dxa"/>
            <w:shd w:val="clear" w:color="auto" w:fill="auto"/>
            <w:noWrap/>
            <w:tcMar>
              <w:top w:w="113" w:type="dxa"/>
              <w:bottom w:w="113" w:type="dxa"/>
            </w:tcMar>
            <w:vAlign w:val="center"/>
            <w:hideMark/>
          </w:tcPr>
          <w:p w:rsidR="00C63736" w:rsidRPr="00A32AF4" w:rsidRDefault="00C63736" w:rsidP="00DC0553">
            <w:pPr>
              <w:rPr>
                <w:rFonts w:cs="Arial"/>
                <w:sz w:val="16"/>
                <w:szCs w:val="16"/>
                <w:lang w:eastAsia="fr-FR"/>
              </w:rPr>
            </w:pPr>
            <w:r w:rsidRPr="00A32AF4">
              <w:rPr>
                <w:rFonts w:cs="Arial"/>
                <w:sz w:val="16"/>
                <w:szCs w:val="16"/>
                <w:lang w:eastAsia="fr-FR"/>
              </w:rPr>
              <w:t>II.6</w:t>
            </w:r>
          </w:p>
        </w:tc>
        <w:tc>
          <w:tcPr>
            <w:tcW w:w="4247" w:type="dxa"/>
            <w:shd w:val="clear" w:color="auto" w:fill="auto"/>
            <w:tcMar>
              <w:top w:w="113" w:type="dxa"/>
              <w:bottom w:w="113" w:type="dxa"/>
            </w:tcMar>
            <w:vAlign w:val="center"/>
            <w:hideMark/>
          </w:tcPr>
          <w:p w:rsidR="00C63736" w:rsidRPr="00A32AF4" w:rsidRDefault="00C63736" w:rsidP="00B86688">
            <w:pPr>
              <w:rPr>
                <w:rFonts w:cs="Arial"/>
                <w:sz w:val="16"/>
                <w:szCs w:val="16"/>
                <w:lang w:eastAsia="fr-FR"/>
              </w:rPr>
            </w:pPr>
            <w:r w:rsidRPr="00A32AF4">
              <w:rPr>
                <w:rFonts w:cs="Arial"/>
                <w:sz w:val="16"/>
                <w:szCs w:val="16"/>
                <w:lang w:eastAsia="fr-FR"/>
              </w:rPr>
              <w:t>Utilisation élargie et plus efficace d</w:t>
            </w:r>
            <w:r w:rsidR="00B86688" w:rsidRPr="00A32AF4">
              <w:rPr>
                <w:rFonts w:cs="Arial"/>
                <w:sz w:val="16"/>
                <w:szCs w:val="16"/>
                <w:lang w:eastAsia="fr-FR"/>
              </w:rPr>
              <w:t>u système</w:t>
            </w:r>
            <w:r w:rsidRPr="00A32AF4">
              <w:rPr>
                <w:rFonts w:cs="Arial"/>
                <w:sz w:val="16"/>
                <w:szCs w:val="16"/>
                <w:lang w:eastAsia="fr-FR"/>
              </w:rPr>
              <w:t xml:space="preserve"> de Madrid, notamment par les pays en développement et les PMA</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15 658 </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17 795 </w:t>
            </w:r>
          </w:p>
        </w:tc>
        <w:tc>
          <w:tcPr>
            <w:tcW w:w="1520" w:type="dxa"/>
            <w:shd w:val="clear" w:color="auto" w:fill="auto"/>
            <w:tcMar>
              <w:top w:w="113" w:type="dxa"/>
              <w:bottom w:w="113" w:type="dxa"/>
            </w:tcMar>
            <w:vAlign w:val="center"/>
            <w:hideMark/>
          </w:tcPr>
          <w:p w:rsidR="00C63736" w:rsidRPr="00A32AF4" w:rsidRDefault="00B86688" w:rsidP="00DC0553">
            <w:pPr>
              <w:jc w:val="right"/>
              <w:rPr>
                <w:rFonts w:cs="Arial"/>
                <w:sz w:val="16"/>
                <w:szCs w:val="16"/>
                <w:lang w:eastAsia="fr-FR"/>
              </w:rPr>
            </w:pPr>
            <w:r w:rsidRPr="00A32AF4">
              <w:rPr>
                <w:rFonts w:cs="Arial"/>
                <w:sz w:val="16"/>
                <w:szCs w:val="16"/>
                <w:lang w:eastAsia="fr-FR"/>
              </w:rPr>
              <w:t>17 069</w:t>
            </w:r>
          </w:p>
        </w:tc>
      </w:tr>
      <w:tr w:rsidR="00C63736" w:rsidRPr="00A32AF4" w:rsidTr="00C63736">
        <w:trPr>
          <w:cantSplit/>
        </w:trPr>
        <w:tc>
          <w:tcPr>
            <w:tcW w:w="593" w:type="dxa"/>
            <w:shd w:val="clear" w:color="auto" w:fill="auto"/>
            <w:noWrap/>
            <w:tcMar>
              <w:top w:w="113" w:type="dxa"/>
              <w:bottom w:w="113" w:type="dxa"/>
            </w:tcMar>
            <w:vAlign w:val="center"/>
            <w:hideMark/>
          </w:tcPr>
          <w:p w:rsidR="00C63736" w:rsidRPr="00A32AF4" w:rsidRDefault="00C63736" w:rsidP="00DC0553">
            <w:pPr>
              <w:rPr>
                <w:rFonts w:cs="Arial"/>
                <w:sz w:val="16"/>
                <w:szCs w:val="16"/>
                <w:lang w:eastAsia="fr-FR"/>
              </w:rPr>
            </w:pPr>
            <w:r w:rsidRPr="00A32AF4">
              <w:rPr>
                <w:rFonts w:cs="Arial"/>
                <w:sz w:val="16"/>
                <w:szCs w:val="16"/>
                <w:lang w:eastAsia="fr-FR"/>
              </w:rPr>
              <w:t>II.7</w:t>
            </w:r>
          </w:p>
        </w:tc>
        <w:tc>
          <w:tcPr>
            <w:tcW w:w="4247" w:type="dxa"/>
            <w:shd w:val="clear" w:color="auto" w:fill="auto"/>
            <w:tcMar>
              <w:top w:w="113" w:type="dxa"/>
              <w:bottom w:w="113" w:type="dxa"/>
            </w:tcMar>
            <w:vAlign w:val="center"/>
            <w:hideMark/>
          </w:tcPr>
          <w:p w:rsidR="00C63736" w:rsidRPr="00A32AF4" w:rsidRDefault="00C63736" w:rsidP="00B86688">
            <w:pPr>
              <w:rPr>
                <w:rFonts w:cs="Arial"/>
                <w:sz w:val="16"/>
                <w:szCs w:val="16"/>
                <w:lang w:eastAsia="fr-FR"/>
              </w:rPr>
            </w:pPr>
            <w:r w:rsidRPr="00A32AF4">
              <w:rPr>
                <w:rFonts w:cs="Arial"/>
                <w:sz w:val="16"/>
                <w:szCs w:val="16"/>
                <w:lang w:eastAsia="fr-FR"/>
              </w:rPr>
              <w:t>Amélioration de la productivité et de la qualité de service des opérations d</w:t>
            </w:r>
            <w:r w:rsidR="00B86688" w:rsidRPr="00A32AF4">
              <w:rPr>
                <w:rFonts w:cs="Arial"/>
                <w:sz w:val="16"/>
                <w:szCs w:val="16"/>
                <w:lang w:eastAsia="fr-FR"/>
              </w:rPr>
              <w:t>u système</w:t>
            </w:r>
            <w:r w:rsidRPr="00A32AF4">
              <w:rPr>
                <w:rFonts w:cs="Arial"/>
                <w:sz w:val="16"/>
                <w:szCs w:val="16"/>
                <w:lang w:eastAsia="fr-FR"/>
              </w:rPr>
              <w:t xml:space="preserve"> de Madrid</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40 932 </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39 221 </w:t>
            </w:r>
          </w:p>
        </w:tc>
        <w:tc>
          <w:tcPr>
            <w:tcW w:w="1520" w:type="dxa"/>
            <w:shd w:val="clear" w:color="auto" w:fill="auto"/>
            <w:tcMar>
              <w:top w:w="113" w:type="dxa"/>
              <w:bottom w:w="113" w:type="dxa"/>
            </w:tcMar>
            <w:vAlign w:val="center"/>
            <w:hideMark/>
          </w:tcPr>
          <w:p w:rsidR="00C63736" w:rsidRPr="00A32AF4" w:rsidRDefault="00B86688" w:rsidP="00DC0553">
            <w:pPr>
              <w:jc w:val="right"/>
              <w:rPr>
                <w:rFonts w:cs="Arial"/>
                <w:sz w:val="16"/>
                <w:szCs w:val="16"/>
                <w:lang w:eastAsia="fr-FR"/>
              </w:rPr>
            </w:pPr>
            <w:r w:rsidRPr="00A32AF4">
              <w:rPr>
                <w:rFonts w:cs="Arial"/>
                <w:sz w:val="16"/>
                <w:szCs w:val="16"/>
                <w:lang w:eastAsia="fr-FR"/>
              </w:rPr>
              <w:t>42 253</w:t>
            </w:r>
          </w:p>
        </w:tc>
      </w:tr>
      <w:tr w:rsidR="00C63736" w:rsidRPr="00A32AF4" w:rsidTr="00C63736">
        <w:trPr>
          <w:cantSplit/>
        </w:trPr>
        <w:tc>
          <w:tcPr>
            <w:tcW w:w="593" w:type="dxa"/>
            <w:shd w:val="clear" w:color="auto" w:fill="auto"/>
            <w:noWrap/>
            <w:tcMar>
              <w:top w:w="113" w:type="dxa"/>
              <w:bottom w:w="113" w:type="dxa"/>
            </w:tcMar>
            <w:vAlign w:val="center"/>
            <w:hideMark/>
          </w:tcPr>
          <w:p w:rsidR="00C63736" w:rsidRPr="00A32AF4" w:rsidRDefault="00C63736" w:rsidP="00DC0553">
            <w:pPr>
              <w:rPr>
                <w:rFonts w:cs="Arial"/>
                <w:sz w:val="16"/>
                <w:szCs w:val="16"/>
                <w:lang w:eastAsia="fr-FR"/>
              </w:rPr>
            </w:pPr>
            <w:r w:rsidRPr="00A32AF4">
              <w:rPr>
                <w:rFonts w:cs="Arial"/>
                <w:sz w:val="16"/>
                <w:szCs w:val="16"/>
                <w:lang w:eastAsia="fr-FR"/>
              </w:rPr>
              <w:t>II.8</w:t>
            </w:r>
          </w:p>
        </w:tc>
        <w:tc>
          <w:tcPr>
            <w:tcW w:w="4247" w:type="dxa"/>
            <w:shd w:val="clear" w:color="auto" w:fill="auto"/>
            <w:tcMar>
              <w:top w:w="113" w:type="dxa"/>
              <w:bottom w:w="113" w:type="dxa"/>
            </w:tcMar>
            <w:vAlign w:val="center"/>
            <w:hideMark/>
          </w:tcPr>
          <w:p w:rsidR="00C63736" w:rsidRPr="00A32AF4" w:rsidRDefault="00C63736" w:rsidP="00DC0553">
            <w:pPr>
              <w:rPr>
                <w:rFonts w:cs="Arial"/>
                <w:sz w:val="16"/>
                <w:szCs w:val="16"/>
                <w:lang w:eastAsia="fr-FR"/>
              </w:rPr>
            </w:pPr>
            <w:r w:rsidRPr="00A32AF4">
              <w:rPr>
                <w:rFonts w:cs="Arial"/>
                <w:sz w:val="16"/>
                <w:szCs w:val="16"/>
                <w:lang w:eastAsia="fr-FR"/>
              </w:rPr>
              <w:t>De plus en plus de litiges internationaux ou nationaux de propriété intellectuelle sont évités ou réglés par la médiation, l</w:t>
            </w:r>
            <w:r w:rsidR="00E2055A" w:rsidRPr="00A32AF4">
              <w:rPr>
                <w:rFonts w:cs="Arial"/>
                <w:sz w:val="16"/>
                <w:szCs w:val="16"/>
                <w:lang w:eastAsia="fr-FR"/>
              </w:rPr>
              <w:t>’</w:t>
            </w:r>
            <w:r w:rsidRPr="00A32AF4">
              <w:rPr>
                <w:rFonts w:cs="Arial"/>
                <w:sz w:val="16"/>
                <w:szCs w:val="16"/>
                <w:lang w:eastAsia="fr-FR"/>
              </w:rPr>
              <w:t>arbitrage et les autres modes extrajudiciaires de règlement des litiges de l</w:t>
            </w:r>
            <w:r w:rsidR="00E2055A" w:rsidRPr="00A32AF4">
              <w:rPr>
                <w:rFonts w:cs="Arial"/>
                <w:sz w:val="16"/>
                <w:szCs w:val="16"/>
                <w:lang w:eastAsia="fr-FR"/>
              </w:rPr>
              <w:t>’</w:t>
            </w:r>
            <w:r w:rsidRPr="00A32AF4">
              <w:rPr>
                <w:rFonts w:cs="Arial"/>
                <w:sz w:val="16"/>
                <w:szCs w:val="16"/>
                <w:lang w:eastAsia="fr-FR"/>
              </w:rPr>
              <w:t>OMPI</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3 557 </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4 093 </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4 802 </w:t>
            </w:r>
          </w:p>
        </w:tc>
      </w:tr>
      <w:tr w:rsidR="00C63736" w:rsidRPr="00A32AF4" w:rsidTr="00C63736">
        <w:trPr>
          <w:cantSplit/>
        </w:trPr>
        <w:tc>
          <w:tcPr>
            <w:tcW w:w="593" w:type="dxa"/>
            <w:shd w:val="clear" w:color="auto" w:fill="auto"/>
            <w:noWrap/>
            <w:tcMar>
              <w:top w:w="113" w:type="dxa"/>
              <w:bottom w:w="113" w:type="dxa"/>
            </w:tcMar>
            <w:vAlign w:val="center"/>
            <w:hideMark/>
          </w:tcPr>
          <w:p w:rsidR="00C63736" w:rsidRPr="00A32AF4" w:rsidRDefault="00C63736" w:rsidP="00DC0553">
            <w:pPr>
              <w:rPr>
                <w:rFonts w:cs="Arial"/>
                <w:sz w:val="16"/>
                <w:szCs w:val="16"/>
                <w:lang w:eastAsia="fr-FR"/>
              </w:rPr>
            </w:pPr>
            <w:r w:rsidRPr="00A32AF4">
              <w:rPr>
                <w:rFonts w:cs="Arial"/>
                <w:sz w:val="16"/>
                <w:szCs w:val="16"/>
                <w:lang w:eastAsia="fr-FR"/>
              </w:rPr>
              <w:t>II.9</w:t>
            </w:r>
          </w:p>
        </w:tc>
        <w:tc>
          <w:tcPr>
            <w:tcW w:w="4247" w:type="dxa"/>
            <w:shd w:val="clear" w:color="auto" w:fill="auto"/>
            <w:tcMar>
              <w:top w:w="113" w:type="dxa"/>
              <w:bottom w:w="113" w:type="dxa"/>
            </w:tcMar>
            <w:vAlign w:val="center"/>
            <w:hideMark/>
          </w:tcPr>
          <w:p w:rsidR="00C63736" w:rsidRPr="00A32AF4" w:rsidRDefault="00C63736" w:rsidP="00DC0553">
            <w:pPr>
              <w:rPr>
                <w:rFonts w:cs="Arial"/>
                <w:sz w:val="16"/>
                <w:szCs w:val="16"/>
                <w:lang w:eastAsia="fr-FR"/>
              </w:rPr>
            </w:pPr>
            <w:r w:rsidRPr="00A32AF4">
              <w:rPr>
                <w:rFonts w:cs="Arial"/>
                <w:sz w:val="16"/>
                <w:szCs w:val="16"/>
                <w:lang w:eastAsia="fr-FR"/>
              </w:rPr>
              <w:t>Protection efficace de la propriété intellectuelle dans les gTLD et les ccTLD</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7 889 </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7 701 </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6 899 </w:t>
            </w:r>
          </w:p>
        </w:tc>
      </w:tr>
      <w:tr w:rsidR="00B86688" w:rsidRPr="00A32AF4" w:rsidTr="002C1ED1">
        <w:trPr>
          <w:cantSplit/>
        </w:trPr>
        <w:tc>
          <w:tcPr>
            <w:tcW w:w="593" w:type="dxa"/>
            <w:shd w:val="clear" w:color="auto" w:fill="auto"/>
            <w:noWrap/>
            <w:tcMar>
              <w:top w:w="113" w:type="dxa"/>
              <w:bottom w:w="113" w:type="dxa"/>
            </w:tcMar>
            <w:vAlign w:val="center"/>
            <w:hideMark/>
          </w:tcPr>
          <w:p w:rsidR="00B86688" w:rsidRPr="00A32AF4" w:rsidRDefault="00B86688" w:rsidP="002C1ED1">
            <w:pPr>
              <w:rPr>
                <w:rFonts w:cs="Arial"/>
                <w:sz w:val="16"/>
                <w:szCs w:val="16"/>
                <w:lang w:eastAsia="fr-FR"/>
              </w:rPr>
            </w:pPr>
            <w:r w:rsidRPr="00A32AF4">
              <w:rPr>
                <w:rFonts w:cs="Arial"/>
                <w:sz w:val="16"/>
                <w:szCs w:val="16"/>
                <w:lang w:eastAsia="fr-FR"/>
              </w:rPr>
              <w:t>II.10</w:t>
            </w:r>
          </w:p>
        </w:tc>
        <w:tc>
          <w:tcPr>
            <w:tcW w:w="4247" w:type="dxa"/>
            <w:shd w:val="clear" w:color="auto" w:fill="auto"/>
            <w:tcMar>
              <w:top w:w="113" w:type="dxa"/>
              <w:bottom w:w="113" w:type="dxa"/>
            </w:tcMar>
            <w:vAlign w:val="center"/>
            <w:hideMark/>
          </w:tcPr>
          <w:p w:rsidR="00B86688" w:rsidRPr="00A32AF4" w:rsidRDefault="00B86688" w:rsidP="00B86688">
            <w:pPr>
              <w:rPr>
                <w:rFonts w:cs="Arial"/>
                <w:sz w:val="16"/>
                <w:szCs w:val="16"/>
                <w:lang w:eastAsia="fr-FR"/>
              </w:rPr>
            </w:pPr>
            <w:r w:rsidRPr="00A32AF4">
              <w:rPr>
                <w:rFonts w:cs="Arial"/>
                <w:sz w:val="16"/>
                <w:szCs w:val="16"/>
                <w:lang w:eastAsia="fr-FR"/>
              </w:rPr>
              <w:t>Utilisation élargie et plus efficace du système de Lisbonne, notamment par les pays en développement et les PMA</w:t>
            </w:r>
          </w:p>
        </w:tc>
        <w:tc>
          <w:tcPr>
            <w:tcW w:w="1520" w:type="dxa"/>
            <w:shd w:val="clear" w:color="auto" w:fill="auto"/>
            <w:tcMar>
              <w:top w:w="113" w:type="dxa"/>
              <w:bottom w:w="113" w:type="dxa"/>
            </w:tcMar>
            <w:vAlign w:val="center"/>
            <w:hideMark/>
          </w:tcPr>
          <w:p w:rsidR="00B86688" w:rsidRPr="00A32AF4" w:rsidRDefault="00231697" w:rsidP="002C1ED1">
            <w:pPr>
              <w:jc w:val="right"/>
              <w:rPr>
                <w:rFonts w:cs="Arial"/>
                <w:sz w:val="16"/>
                <w:szCs w:val="16"/>
                <w:lang w:eastAsia="fr-FR"/>
              </w:rPr>
            </w:pPr>
            <w:r w:rsidRPr="00A32AF4">
              <w:rPr>
                <w:rFonts w:cs="Arial"/>
                <w:sz w:val="16"/>
                <w:szCs w:val="16"/>
                <w:lang w:eastAsia="fr-FR"/>
              </w:rPr>
              <w:t>–</w:t>
            </w:r>
          </w:p>
        </w:tc>
        <w:tc>
          <w:tcPr>
            <w:tcW w:w="1520" w:type="dxa"/>
            <w:shd w:val="clear" w:color="auto" w:fill="auto"/>
            <w:tcMar>
              <w:top w:w="113" w:type="dxa"/>
              <w:bottom w:w="113" w:type="dxa"/>
            </w:tcMar>
            <w:vAlign w:val="center"/>
            <w:hideMark/>
          </w:tcPr>
          <w:p w:rsidR="00B86688" w:rsidRPr="00A32AF4" w:rsidRDefault="00231697" w:rsidP="002C1ED1">
            <w:pPr>
              <w:jc w:val="right"/>
              <w:rPr>
                <w:rFonts w:cs="Arial"/>
                <w:sz w:val="16"/>
                <w:szCs w:val="16"/>
                <w:lang w:eastAsia="fr-FR"/>
              </w:rPr>
            </w:pPr>
            <w:r w:rsidRPr="00A32AF4">
              <w:rPr>
                <w:rFonts w:cs="Arial"/>
                <w:sz w:val="16"/>
                <w:szCs w:val="16"/>
                <w:lang w:eastAsia="fr-FR"/>
              </w:rPr>
              <w:t>–</w:t>
            </w:r>
          </w:p>
        </w:tc>
        <w:tc>
          <w:tcPr>
            <w:tcW w:w="1520" w:type="dxa"/>
            <w:shd w:val="clear" w:color="auto" w:fill="auto"/>
            <w:tcMar>
              <w:top w:w="113" w:type="dxa"/>
              <w:bottom w:w="113" w:type="dxa"/>
            </w:tcMar>
            <w:vAlign w:val="center"/>
            <w:hideMark/>
          </w:tcPr>
          <w:p w:rsidR="00B86688" w:rsidRPr="00A32AF4" w:rsidRDefault="00231697" w:rsidP="002C1ED1">
            <w:pPr>
              <w:jc w:val="right"/>
              <w:rPr>
                <w:rFonts w:cs="Arial"/>
                <w:sz w:val="16"/>
                <w:szCs w:val="16"/>
                <w:lang w:eastAsia="fr-FR"/>
              </w:rPr>
            </w:pPr>
            <w:r w:rsidRPr="00A32AF4">
              <w:rPr>
                <w:rFonts w:cs="Arial"/>
                <w:sz w:val="16"/>
                <w:szCs w:val="16"/>
                <w:lang w:eastAsia="fr-FR"/>
              </w:rPr>
              <w:t>896</w:t>
            </w:r>
          </w:p>
        </w:tc>
      </w:tr>
      <w:tr w:rsidR="00B86688" w:rsidRPr="00A32AF4" w:rsidTr="002C1ED1">
        <w:trPr>
          <w:cantSplit/>
        </w:trPr>
        <w:tc>
          <w:tcPr>
            <w:tcW w:w="593" w:type="dxa"/>
            <w:shd w:val="clear" w:color="auto" w:fill="auto"/>
            <w:noWrap/>
            <w:tcMar>
              <w:top w:w="113" w:type="dxa"/>
              <w:bottom w:w="113" w:type="dxa"/>
            </w:tcMar>
            <w:vAlign w:val="center"/>
            <w:hideMark/>
          </w:tcPr>
          <w:p w:rsidR="00B86688" w:rsidRPr="00A32AF4" w:rsidRDefault="00B86688" w:rsidP="002C1ED1">
            <w:pPr>
              <w:rPr>
                <w:rFonts w:cs="Arial"/>
                <w:sz w:val="16"/>
                <w:szCs w:val="16"/>
                <w:lang w:eastAsia="fr-FR"/>
              </w:rPr>
            </w:pPr>
            <w:r w:rsidRPr="00A32AF4">
              <w:rPr>
                <w:rFonts w:cs="Arial"/>
                <w:sz w:val="16"/>
                <w:szCs w:val="16"/>
                <w:lang w:eastAsia="fr-FR"/>
              </w:rPr>
              <w:t>II.11</w:t>
            </w:r>
          </w:p>
        </w:tc>
        <w:tc>
          <w:tcPr>
            <w:tcW w:w="4247" w:type="dxa"/>
            <w:shd w:val="clear" w:color="auto" w:fill="auto"/>
            <w:tcMar>
              <w:top w:w="113" w:type="dxa"/>
              <w:bottom w:w="113" w:type="dxa"/>
            </w:tcMar>
            <w:vAlign w:val="center"/>
            <w:hideMark/>
          </w:tcPr>
          <w:p w:rsidR="00B86688" w:rsidRPr="00A32AF4" w:rsidRDefault="00B86688" w:rsidP="00B86688">
            <w:pPr>
              <w:rPr>
                <w:rFonts w:cs="Arial"/>
                <w:sz w:val="16"/>
                <w:szCs w:val="16"/>
                <w:lang w:eastAsia="fr-FR"/>
              </w:rPr>
            </w:pPr>
            <w:r w:rsidRPr="00A32AF4">
              <w:rPr>
                <w:rFonts w:cs="Arial"/>
                <w:sz w:val="16"/>
                <w:szCs w:val="16"/>
                <w:lang w:eastAsia="fr-FR"/>
              </w:rPr>
              <w:t>Amélioration de la productivité et de la qualité de service des opérations du système de Lisbonne</w:t>
            </w:r>
          </w:p>
        </w:tc>
        <w:tc>
          <w:tcPr>
            <w:tcW w:w="1520" w:type="dxa"/>
            <w:shd w:val="clear" w:color="auto" w:fill="auto"/>
            <w:tcMar>
              <w:top w:w="113" w:type="dxa"/>
              <w:bottom w:w="113" w:type="dxa"/>
            </w:tcMar>
            <w:vAlign w:val="center"/>
            <w:hideMark/>
          </w:tcPr>
          <w:p w:rsidR="00B86688" w:rsidRPr="00A32AF4" w:rsidRDefault="00231697" w:rsidP="002C1ED1">
            <w:pPr>
              <w:jc w:val="right"/>
              <w:rPr>
                <w:rFonts w:cs="Arial"/>
                <w:sz w:val="16"/>
                <w:szCs w:val="16"/>
                <w:lang w:eastAsia="fr-FR"/>
              </w:rPr>
            </w:pPr>
            <w:r w:rsidRPr="00A32AF4">
              <w:rPr>
                <w:rFonts w:cs="Arial"/>
                <w:sz w:val="16"/>
                <w:szCs w:val="16"/>
                <w:lang w:eastAsia="fr-FR"/>
              </w:rPr>
              <w:t>–</w:t>
            </w:r>
          </w:p>
        </w:tc>
        <w:tc>
          <w:tcPr>
            <w:tcW w:w="1520" w:type="dxa"/>
            <w:shd w:val="clear" w:color="auto" w:fill="auto"/>
            <w:tcMar>
              <w:top w:w="113" w:type="dxa"/>
              <w:bottom w:w="113" w:type="dxa"/>
            </w:tcMar>
            <w:vAlign w:val="center"/>
            <w:hideMark/>
          </w:tcPr>
          <w:p w:rsidR="00B86688" w:rsidRPr="00A32AF4" w:rsidRDefault="00231697" w:rsidP="002C1ED1">
            <w:pPr>
              <w:jc w:val="right"/>
              <w:rPr>
                <w:rFonts w:cs="Arial"/>
                <w:sz w:val="16"/>
                <w:szCs w:val="16"/>
                <w:lang w:eastAsia="fr-FR"/>
              </w:rPr>
            </w:pPr>
            <w:r w:rsidRPr="00A32AF4">
              <w:rPr>
                <w:rFonts w:cs="Arial"/>
                <w:sz w:val="16"/>
                <w:szCs w:val="16"/>
                <w:lang w:eastAsia="fr-FR"/>
              </w:rPr>
              <w:t>–</w:t>
            </w:r>
          </w:p>
        </w:tc>
        <w:tc>
          <w:tcPr>
            <w:tcW w:w="1520" w:type="dxa"/>
            <w:shd w:val="clear" w:color="auto" w:fill="auto"/>
            <w:tcMar>
              <w:top w:w="113" w:type="dxa"/>
              <w:bottom w:w="113" w:type="dxa"/>
            </w:tcMar>
            <w:vAlign w:val="center"/>
            <w:hideMark/>
          </w:tcPr>
          <w:p w:rsidR="00B86688" w:rsidRPr="00A32AF4" w:rsidRDefault="00231697" w:rsidP="002C1ED1">
            <w:pPr>
              <w:jc w:val="right"/>
              <w:rPr>
                <w:rFonts w:cs="Arial"/>
                <w:sz w:val="16"/>
                <w:szCs w:val="16"/>
                <w:lang w:eastAsia="fr-FR"/>
              </w:rPr>
            </w:pPr>
            <w:r w:rsidRPr="00A32AF4">
              <w:rPr>
                <w:rFonts w:cs="Arial"/>
                <w:sz w:val="16"/>
                <w:szCs w:val="16"/>
                <w:lang w:eastAsia="fr-FR"/>
              </w:rPr>
              <w:t>648</w:t>
            </w:r>
          </w:p>
        </w:tc>
      </w:tr>
      <w:tr w:rsidR="00C63736" w:rsidRPr="00A32AF4" w:rsidTr="00C63736">
        <w:trPr>
          <w:cantSplit/>
        </w:trPr>
        <w:tc>
          <w:tcPr>
            <w:tcW w:w="593" w:type="dxa"/>
            <w:shd w:val="clear" w:color="auto" w:fill="auto"/>
            <w:noWrap/>
            <w:tcMar>
              <w:top w:w="113" w:type="dxa"/>
              <w:bottom w:w="113" w:type="dxa"/>
            </w:tcMar>
            <w:vAlign w:val="center"/>
            <w:hideMark/>
          </w:tcPr>
          <w:p w:rsidR="00C63736" w:rsidRPr="00A32AF4" w:rsidRDefault="00C63736" w:rsidP="00DC0553">
            <w:pPr>
              <w:rPr>
                <w:rFonts w:cs="Arial"/>
                <w:sz w:val="16"/>
                <w:szCs w:val="16"/>
                <w:lang w:eastAsia="fr-FR"/>
              </w:rPr>
            </w:pPr>
            <w:r w:rsidRPr="00A32AF4">
              <w:rPr>
                <w:rFonts w:cs="Arial"/>
                <w:sz w:val="16"/>
                <w:szCs w:val="16"/>
                <w:lang w:eastAsia="fr-FR"/>
              </w:rPr>
              <w:t>III.1</w:t>
            </w:r>
          </w:p>
        </w:tc>
        <w:tc>
          <w:tcPr>
            <w:tcW w:w="4247" w:type="dxa"/>
            <w:shd w:val="clear" w:color="auto" w:fill="auto"/>
            <w:tcMar>
              <w:top w:w="113" w:type="dxa"/>
              <w:bottom w:w="113" w:type="dxa"/>
            </w:tcMar>
            <w:vAlign w:val="center"/>
            <w:hideMark/>
          </w:tcPr>
          <w:p w:rsidR="00C63736" w:rsidRPr="00A32AF4" w:rsidRDefault="00C63736" w:rsidP="00DC0553">
            <w:pPr>
              <w:rPr>
                <w:rFonts w:cs="Arial"/>
                <w:sz w:val="16"/>
                <w:szCs w:val="16"/>
                <w:lang w:eastAsia="fr-FR"/>
              </w:rPr>
            </w:pPr>
            <w:r w:rsidRPr="00A32AF4">
              <w:rPr>
                <w:rFonts w:cs="Arial"/>
                <w:sz w:val="16"/>
                <w:szCs w:val="16"/>
                <w:lang w:eastAsia="fr-FR"/>
              </w:rPr>
              <w:t>Stratégies et plans nationaux en matière d</w:t>
            </w:r>
            <w:r w:rsidR="00E2055A" w:rsidRPr="00A32AF4">
              <w:rPr>
                <w:rFonts w:cs="Arial"/>
                <w:sz w:val="16"/>
                <w:szCs w:val="16"/>
                <w:lang w:eastAsia="fr-FR"/>
              </w:rPr>
              <w:t>’</w:t>
            </w:r>
            <w:r w:rsidRPr="00A32AF4">
              <w:rPr>
                <w:rFonts w:cs="Arial"/>
                <w:sz w:val="16"/>
                <w:szCs w:val="16"/>
                <w:lang w:eastAsia="fr-FR"/>
              </w:rPr>
              <w:t>innovation et de propriété intellectuelle conformes aux objectifs de développement nationaux</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13 616 </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11 053 </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10 957 </w:t>
            </w:r>
          </w:p>
        </w:tc>
      </w:tr>
      <w:tr w:rsidR="00C63736" w:rsidRPr="00A32AF4" w:rsidTr="00C63736">
        <w:trPr>
          <w:cantSplit/>
        </w:trPr>
        <w:tc>
          <w:tcPr>
            <w:tcW w:w="593" w:type="dxa"/>
            <w:shd w:val="clear" w:color="auto" w:fill="auto"/>
            <w:noWrap/>
            <w:tcMar>
              <w:top w:w="113" w:type="dxa"/>
              <w:bottom w:w="113" w:type="dxa"/>
            </w:tcMar>
            <w:vAlign w:val="center"/>
            <w:hideMark/>
          </w:tcPr>
          <w:p w:rsidR="00C63736" w:rsidRPr="00A32AF4" w:rsidRDefault="00C63736" w:rsidP="00DC0553">
            <w:pPr>
              <w:rPr>
                <w:rFonts w:cs="Arial"/>
                <w:sz w:val="16"/>
                <w:szCs w:val="16"/>
                <w:lang w:eastAsia="fr-FR"/>
              </w:rPr>
            </w:pPr>
            <w:r w:rsidRPr="00A32AF4">
              <w:rPr>
                <w:rFonts w:cs="Arial"/>
                <w:sz w:val="16"/>
                <w:szCs w:val="16"/>
                <w:lang w:eastAsia="fr-FR"/>
              </w:rPr>
              <w:t>III.2</w:t>
            </w:r>
          </w:p>
        </w:tc>
        <w:tc>
          <w:tcPr>
            <w:tcW w:w="4247" w:type="dxa"/>
            <w:shd w:val="clear" w:color="auto" w:fill="auto"/>
            <w:tcMar>
              <w:top w:w="113" w:type="dxa"/>
              <w:bottom w:w="113" w:type="dxa"/>
            </w:tcMar>
            <w:vAlign w:val="center"/>
            <w:hideMark/>
          </w:tcPr>
          <w:p w:rsidR="00C63736" w:rsidRPr="00A32AF4" w:rsidRDefault="00C63736" w:rsidP="00DC0553">
            <w:pPr>
              <w:rPr>
                <w:rFonts w:cs="Arial"/>
                <w:sz w:val="16"/>
                <w:szCs w:val="16"/>
                <w:lang w:eastAsia="fr-FR"/>
              </w:rPr>
            </w:pPr>
            <w:r w:rsidRPr="00A32AF4">
              <w:rPr>
                <w:rFonts w:cs="Arial"/>
                <w:sz w:val="16"/>
                <w:szCs w:val="16"/>
                <w:lang w:eastAsia="fr-FR"/>
              </w:rPr>
              <w:t>Mise en valeur des ressources humaines pour répondre aux diverses exigences en matière d</w:t>
            </w:r>
            <w:r w:rsidR="00E2055A" w:rsidRPr="00A32AF4">
              <w:rPr>
                <w:rFonts w:cs="Arial"/>
                <w:sz w:val="16"/>
                <w:szCs w:val="16"/>
                <w:lang w:eastAsia="fr-FR"/>
              </w:rPr>
              <w:t>’</w:t>
            </w:r>
            <w:r w:rsidRPr="00A32AF4">
              <w:rPr>
                <w:rFonts w:cs="Arial"/>
                <w:sz w:val="16"/>
                <w:szCs w:val="16"/>
                <w:lang w:eastAsia="fr-FR"/>
              </w:rPr>
              <w:t>utilisation efficace de la propriété intellectuelle au service du développement dans les pays en développement, les PMA et les pays en transition</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36 956 </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32 886 </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39 734 </w:t>
            </w:r>
          </w:p>
        </w:tc>
      </w:tr>
      <w:tr w:rsidR="00C63736" w:rsidRPr="00A32AF4" w:rsidTr="00C63736">
        <w:trPr>
          <w:cantSplit/>
        </w:trPr>
        <w:tc>
          <w:tcPr>
            <w:tcW w:w="593" w:type="dxa"/>
            <w:shd w:val="clear" w:color="auto" w:fill="auto"/>
            <w:noWrap/>
            <w:tcMar>
              <w:top w:w="113" w:type="dxa"/>
              <w:bottom w:w="113" w:type="dxa"/>
            </w:tcMar>
            <w:vAlign w:val="center"/>
            <w:hideMark/>
          </w:tcPr>
          <w:p w:rsidR="00C63736" w:rsidRPr="00A32AF4" w:rsidRDefault="00C63736" w:rsidP="00DC0553">
            <w:pPr>
              <w:rPr>
                <w:rFonts w:cs="Arial"/>
                <w:sz w:val="16"/>
                <w:szCs w:val="16"/>
                <w:lang w:eastAsia="fr-FR"/>
              </w:rPr>
            </w:pPr>
            <w:r w:rsidRPr="00A32AF4">
              <w:rPr>
                <w:rFonts w:cs="Arial"/>
                <w:sz w:val="16"/>
                <w:szCs w:val="16"/>
                <w:lang w:eastAsia="fr-FR"/>
              </w:rPr>
              <w:t>III.3</w:t>
            </w:r>
          </w:p>
        </w:tc>
        <w:tc>
          <w:tcPr>
            <w:tcW w:w="4247" w:type="dxa"/>
            <w:shd w:val="clear" w:color="auto" w:fill="auto"/>
            <w:tcMar>
              <w:top w:w="113" w:type="dxa"/>
              <w:bottom w:w="113" w:type="dxa"/>
            </w:tcMar>
            <w:vAlign w:val="center"/>
            <w:hideMark/>
          </w:tcPr>
          <w:p w:rsidR="00C63736" w:rsidRPr="00A32AF4" w:rsidRDefault="00C63736" w:rsidP="00DC0553">
            <w:pPr>
              <w:rPr>
                <w:rFonts w:cs="Arial"/>
                <w:sz w:val="16"/>
                <w:szCs w:val="16"/>
                <w:lang w:eastAsia="fr-FR"/>
              </w:rPr>
            </w:pPr>
            <w:r w:rsidRPr="00A32AF4">
              <w:rPr>
                <w:rFonts w:cs="Arial"/>
                <w:sz w:val="16"/>
                <w:szCs w:val="16"/>
                <w:lang w:eastAsia="fr-FR"/>
              </w:rPr>
              <w:t>Intégration des recommandations du Plan d</w:t>
            </w:r>
            <w:r w:rsidR="00E2055A" w:rsidRPr="00A32AF4">
              <w:rPr>
                <w:rFonts w:cs="Arial"/>
                <w:sz w:val="16"/>
                <w:szCs w:val="16"/>
                <w:lang w:eastAsia="fr-FR"/>
              </w:rPr>
              <w:t>’</w:t>
            </w:r>
            <w:r w:rsidRPr="00A32AF4">
              <w:rPr>
                <w:rFonts w:cs="Arial"/>
                <w:sz w:val="16"/>
                <w:szCs w:val="16"/>
                <w:lang w:eastAsia="fr-FR"/>
              </w:rPr>
              <w:t>action pour le développement dans les travaux de l</w:t>
            </w:r>
            <w:r w:rsidR="00E2055A" w:rsidRPr="00A32AF4">
              <w:rPr>
                <w:rFonts w:cs="Arial"/>
                <w:sz w:val="16"/>
                <w:szCs w:val="16"/>
                <w:lang w:eastAsia="fr-FR"/>
              </w:rPr>
              <w:t>’</w:t>
            </w:r>
            <w:r w:rsidRPr="00A32AF4">
              <w:rPr>
                <w:rFonts w:cs="Arial"/>
                <w:sz w:val="16"/>
                <w:szCs w:val="16"/>
                <w:lang w:eastAsia="fr-FR"/>
              </w:rPr>
              <w:t>OMPI</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4 199 </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3 517 </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2 492 </w:t>
            </w:r>
          </w:p>
        </w:tc>
      </w:tr>
      <w:tr w:rsidR="00C63736" w:rsidRPr="00A32AF4" w:rsidTr="00C63736">
        <w:trPr>
          <w:cantSplit/>
        </w:trPr>
        <w:tc>
          <w:tcPr>
            <w:tcW w:w="593" w:type="dxa"/>
            <w:shd w:val="clear" w:color="auto" w:fill="auto"/>
            <w:noWrap/>
            <w:tcMar>
              <w:top w:w="113" w:type="dxa"/>
              <w:bottom w:w="113" w:type="dxa"/>
            </w:tcMar>
            <w:vAlign w:val="center"/>
            <w:hideMark/>
          </w:tcPr>
          <w:p w:rsidR="00C63736" w:rsidRPr="00A32AF4" w:rsidRDefault="00C63736" w:rsidP="00DC0553">
            <w:pPr>
              <w:rPr>
                <w:rFonts w:cs="Arial"/>
                <w:sz w:val="16"/>
                <w:szCs w:val="16"/>
                <w:lang w:eastAsia="fr-FR"/>
              </w:rPr>
            </w:pPr>
            <w:r w:rsidRPr="00A32AF4">
              <w:rPr>
                <w:rFonts w:cs="Arial"/>
                <w:sz w:val="16"/>
                <w:szCs w:val="16"/>
                <w:lang w:eastAsia="fr-FR"/>
              </w:rPr>
              <w:t>III.4</w:t>
            </w:r>
          </w:p>
        </w:tc>
        <w:tc>
          <w:tcPr>
            <w:tcW w:w="4247" w:type="dxa"/>
            <w:shd w:val="clear" w:color="auto" w:fill="auto"/>
            <w:tcMar>
              <w:top w:w="113" w:type="dxa"/>
              <w:bottom w:w="113" w:type="dxa"/>
            </w:tcMar>
            <w:vAlign w:val="center"/>
            <w:hideMark/>
          </w:tcPr>
          <w:p w:rsidR="00C63736" w:rsidRPr="00A32AF4" w:rsidRDefault="00C63736" w:rsidP="00DC0553">
            <w:pPr>
              <w:rPr>
                <w:rFonts w:cs="Arial"/>
                <w:sz w:val="16"/>
                <w:szCs w:val="16"/>
                <w:lang w:eastAsia="fr-FR"/>
              </w:rPr>
            </w:pPr>
            <w:r w:rsidRPr="00A32AF4">
              <w:rPr>
                <w:rFonts w:cs="Arial"/>
                <w:sz w:val="16"/>
                <w:szCs w:val="16"/>
                <w:lang w:eastAsia="fr-FR"/>
              </w:rPr>
              <w:t xml:space="preserve">Mécanismes et programmes de coopération renforcés, adaptés </w:t>
            </w:r>
            <w:r w:rsidR="00972832" w:rsidRPr="00A32AF4">
              <w:rPr>
                <w:rFonts w:cs="Arial"/>
                <w:sz w:val="16"/>
                <w:szCs w:val="16"/>
                <w:lang w:eastAsia="fr-FR"/>
              </w:rPr>
              <w:t>aux besoins des pays en développement,</w:t>
            </w:r>
            <w:r w:rsidR="00E2055A" w:rsidRPr="00A32AF4">
              <w:rPr>
                <w:rFonts w:cs="Arial"/>
                <w:sz w:val="16"/>
                <w:szCs w:val="16"/>
                <w:lang w:eastAsia="fr-FR"/>
              </w:rPr>
              <w:t xml:space="preserve"> des PMA</w:t>
            </w:r>
            <w:r w:rsidR="00972832" w:rsidRPr="00A32AF4">
              <w:rPr>
                <w:rFonts w:cs="Arial"/>
                <w:sz w:val="16"/>
                <w:szCs w:val="16"/>
                <w:lang w:eastAsia="fr-FR"/>
              </w:rPr>
              <w:t xml:space="preserve"> et des pays en transition</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5 398 </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5 436 </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6 273 </w:t>
            </w:r>
          </w:p>
        </w:tc>
      </w:tr>
      <w:tr w:rsidR="00C63736" w:rsidRPr="00A32AF4" w:rsidTr="00C63736">
        <w:trPr>
          <w:cantSplit/>
        </w:trPr>
        <w:tc>
          <w:tcPr>
            <w:tcW w:w="593" w:type="dxa"/>
            <w:shd w:val="clear" w:color="auto" w:fill="auto"/>
            <w:noWrap/>
            <w:tcMar>
              <w:top w:w="113" w:type="dxa"/>
              <w:bottom w:w="113" w:type="dxa"/>
            </w:tcMar>
            <w:vAlign w:val="center"/>
            <w:hideMark/>
          </w:tcPr>
          <w:p w:rsidR="00C63736" w:rsidRPr="00A32AF4" w:rsidRDefault="00C63736" w:rsidP="00DC0553">
            <w:pPr>
              <w:rPr>
                <w:rFonts w:cs="Arial"/>
                <w:sz w:val="16"/>
                <w:szCs w:val="16"/>
                <w:lang w:eastAsia="fr-FR"/>
              </w:rPr>
            </w:pPr>
            <w:r w:rsidRPr="00A32AF4">
              <w:rPr>
                <w:rFonts w:cs="Arial"/>
                <w:sz w:val="16"/>
                <w:szCs w:val="16"/>
                <w:lang w:eastAsia="fr-FR"/>
              </w:rPr>
              <w:t>III.5</w:t>
            </w:r>
          </w:p>
        </w:tc>
        <w:tc>
          <w:tcPr>
            <w:tcW w:w="4247" w:type="dxa"/>
            <w:shd w:val="clear" w:color="auto" w:fill="auto"/>
            <w:tcMar>
              <w:top w:w="113" w:type="dxa"/>
              <w:bottom w:w="113" w:type="dxa"/>
            </w:tcMar>
            <w:vAlign w:val="center"/>
            <w:hideMark/>
          </w:tcPr>
          <w:p w:rsidR="00C63736" w:rsidRPr="00A32AF4" w:rsidRDefault="00C63736" w:rsidP="00DC0553">
            <w:pPr>
              <w:rPr>
                <w:rFonts w:cs="Arial"/>
                <w:sz w:val="16"/>
                <w:szCs w:val="16"/>
                <w:lang w:eastAsia="fr-FR"/>
              </w:rPr>
            </w:pPr>
            <w:r w:rsidRPr="00A32AF4">
              <w:rPr>
                <w:rFonts w:cs="Arial"/>
                <w:sz w:val="16"/>
                <w:szCs w:val="16"/>
                <w:lang w:eastAsia="fr-FR"/>
              </w:rPr>
              <w:t>Meilleure connaissance du Plan d</w:t>
            </w:r>
            <w:r w:rsidR="00E2055A" w:rsidRPr="00A32AF4">
              <w:rPr>
                <w:rFonts w:cs="Arial"/>
                <w:sz w:val="16"/>
                <w:szCs w:val="16"/>
                <w:lang w:eastAsia="fr-FR"/>
              </w:rPr>
              <w:t>’</w:t>
            </w:r>
            <w:r w:rsidRPr="00A32AF4">
              <w:rPr>
                <w:rFonts w:cs="Arial"/>
                <w:sz w:val="16"/>
                <w:szCs w:val="16"/>
                <w:lang w:eastAsia="fr-FR"/>
              </w:rPr>
              <w:t>action pour le développement de la part des États membres, des organisations intergouvernementales, de la société civile et d</w:t>
            </w:r>
            <w:r w:rsidR="00E2055A" w:rsidRPr="00A32AF4">
              <w:rPr>
                <w:rFonts w:cs="Arial"/>
                <w:sz w:val="16"/>
                <w:szCs w:val="16"/>
                <w:lang w:eastAsia="fr-FR"/>
              </w:rPr>
              <w:t>’</w:t>
            </w:r>
            <w:r w:rsidRPr="00A32AF4">
              <w:rPr>
                <w:rFonts w:cs="Arial"/>
                <w:sz w:val="16"/>
                <w:szCs w:val="16"/>
                <w:lang w:eastAsia="fr-FR"/>
              </w:rPr>
              <w:t>autres parties prenantes</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509 </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481 </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1 393 </w:t>
            </w:r>
          </w:p>
        </w:tc>
      </w:tr>
      <w:tr w:rsidR="00C63736" w:rsidRPr="00A32AF4" w:rsidTr="00C63736">
        <w:trPr>
          <w:cantSplit/>
        </w:trPr>
        <w:tc>
          <w:tcPr>
            <w:tcW w:w="593" w:type="dxa"/>
            <w:shd w:val="clear" w:color="auto" w:fill="auto"/>
            <w:noWrap/>
            <w:tcMar>
              <w:top w:w="113" w:type="dxa"/>
              <w:bottom w:w="113" w:type="dxa"/>
            </w:tcMar>
            <w:vAlign w:val="center"/>
            <w:hideMark/>
          </w:tcPr>
          <w:p w:rsidR="00C63736" w:rsidRPr="00A32AF4" w:rsidRDefault="00C63736" w:rsidP="00DC0553">
            <w:pPr>
              <w:rPr>
                <w:rFonts w:cs="Arial"/>
                <w:sz w:val="16"/>
                <w:szCs w:val="16"/>
                <w:lang w:eastAsia="fr-FR"/>
              </w:rPr>
            </w:pPr>
            <w:r w:rsidRPr="00A32AF4">
              <w:rPr>
                <w:rFonts w:cs="Arial"/>
                <w:sz w:val="16"/>
                <w:szCs w:val="16"/>
                <w:lang w:eastAsia="fr-FR"/>
              </w:rPr>
              <w:t>III.6</w:t>
            </w:r>
          </w:p>
        </w:tc>
        <w:tc>
          <w:tcPr>
            <w:tcW w:w="4247" w:type="dxa"/>
            <w:shd w:val="clear" w:color="auto" w:fill="auto"/>
            <w:tcMar>
              <w:top w:w="113" w:type="dxa"/>
              <w:bottom w:w="113" w:type="dxa"/>
            </w:tcMar>
            <w:vAlign w:val="center"/>
            <w:hideMark/>
          </w:tcPr>
          <w:p w:rsidR="00C63736" w:rsidRPr="00A32AF4" w:rsidRDefault="00C63736" w:rsidP="00DC0553">
            <w:pPr>
              <w:rPr>
                <w:rFonts w:cs="Arial"/>
                <w:sz w:val="16"/>
                <w:szCs w:val="16"/>
                <w:lang w:eastAsia="fr-FR"/>
              </w:rPr>
            </w:pPr>
            <w:r w:rsidRPr="00A32AF4">
              <w:rPr>
                <w:rFonts w:cs="Arial"/>
                <w:sz w:val="16"/>
                <w:szCs w:val="16"/>
                <w:lang w:eastAsia="fr-FR"/>
              </w:rPr>
              <w:t>Renforcement des capacités des PME s</w:t>
            </w:r>
            <w:r w:rsidR="00E2055A" w:rsidRPr="00A32AF4">
              <w:rPr>
                <w:rFonts w:cs="Arial"/>
                <w:sz w:val="16"/>
                <w:szCs w:val="16"/>
                <w:lang w:eastAsia="fr-FR"/>
              </w:rPr>
              <w:t>’</w:t>
            </w:r>
            <w:r w:rsidRPr="00A32AF4">
              <w:rPr>
                <w:rFonts w:cs="Arial"/>
                <w:sz w:val="16"/>
                <w:szCs w:val="16"/>
                <w:lang w:eastAsia="fr-FR"/>
              </w:rPr>
              <w:t>agissant de mettre la propriété intellectuelle au service de l</w:t>
            </w:r>
            <w:r w:rsidR="00E2055A" w:rsidRPr="00A32AF4">
              <w:rPr>
                <w:rFonts w:cs="Arial"/>
                <w:sz w:val="16"/>
                <w:szCs w:val="16"/>
                <w:lang w:eastAsia="fr-FR"/>
              </w:rPr>
              <w:t>’</w:t>
            </w:r>
            <w:r w:rsidRPr="00A32AF4">
              <w:rPr>
                <w:rFonts w:cs="Arial"/>
                <w:sz w:val="16"/>
                <w:szCs w:val="16"/>
                <w:lang w:eastAsia="fr-FR"/>
              </w:rPr>
              <w:t>innovation</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4 419 </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4 054 </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3 125 </w:t>
            </w:r>
          </w:p>
        </w:tc>
      </w:tr>
      <w:tr w:rsidR="00C63736" w:rsidRPr="00A32AF4" w:rsidTr="00C63736">
        <w:trPr>
          <w:cantSplit/>
        </w:trPr>
        <w:tc>
          <w:tcPr>
            <w:tcW w:w="593" w:type="dxa"/>
            <w:shd w:val="clear" w:color="auto" w:fill="auto"/>
            <w:noWrap/>
            <w:tcMar>
              <w:top w:w="113" w:type="dxa"/>
              <w:bottom w:w="113" w:type="dxa"/>
            </w:tcMar>
            <w:vAlign w:val="center"/>
            <w:hideMark/>
          </w:tcPr>
          <w:p w:rsidR="00C63736" w:rsidRPr="00A32AF4" w:rsidRDefault="00C63736" w:rsidP="00DC0553">
            <w:pPr>
              <w:rPr>
                <w:rFonts w:cs="Arial"/>
                <w:sz w:val="16"/>
                <w:szCs w:val="16"/>
                <w:lang w:eastAsia="fr-FR"/>
              </w:rPr>
            </w:pPr>
            <w:r w:rsidRPr="00A32AF4">
              <w:rPr>
                <w:rFonts w:cs="Arial"/>
                <w:sz w:val="16"/>
                <w:szCs w:val="16"/>
                <w:lang w:eastAsia="fr-FR"/>
              </w:rPr>
              <w:t>IV.1</w:t>
            </w:r>
          </w:p>
        </w:tc>
        <w:tc>
          <w:tcPr>
            <w:tcW w:w="4247" w:type="dxa"/>
            <w:shd w:val="clear" w:color="auto" w:fill="auto"/>
            <w:tcMar>
              <w:top w:w="113" w:type="dxa"/>
              <w:bottom w:w="113" w:type="dxa"/>
            </w:tcMar>
            <w:vAlign w:val="center"/>
            <w:hideMark/>
          </w:tcPr>
          <w:p w:rsidR="00C63736" w:rsidRPr="00A32AF4" w:rsidRDefault="00C63736" w:rsidP="00DC0553">
            <w:pPr>
              <w:rPr>
                <w:rFonts w:cs="Arial"/>
                <w:sz w:val="16"/>
                <w:szCs w:val="16"/>
                <w:lang w:eastAsia="fr-FR"/>
              </w:rPr>
            </w:pPr>
            <w:r w:rsidRPr="00A32AF4">
              <w:rPr>
                <w:rFonts w:cs="Arial"/>
                <w:sz w:val="16"/>
                <w:szCs w:val="16"/>
                <w:lang w:eastAsia="fr-FR"/>
              </w:rPr>
              <w:t>Système actualisé et mondialement accepté des classifications internationales et des normes de l</w:t>
            </w:r>
            <w:r w:rsidR="00E2055A" w:rsidRPr="00A32AF4">
              <w:rPr>
                <w:rFonts w:cs="Arial"/>
                <w:sz w:val="16"/>
                <w:szCs w:val="16"/>
                <w:lang w:eastAsia="fr-FR"/>
              </w:rPr>
              <w:t>’</w:t>
            </w:r>
            <w:r w:rsidRPr="00A32AF4">
              <w:rPr>
                <w:rFonts w:cs="Arial"/>
                <w:sz w:val="16"/>
                <w:szCs w:val="16"/>
                <w:lang w:eastAsia="fr-FR"/>
              </w:rPr>
              <w:t>OMPI pour faciliter l</w:t>
            </w:r>
            <w:r w:rsidR="00E2055A" w:rsidRPr="00A32AF4">
              <w:rPr>
                <w:rFonts w:cs="Arial"/>
                <w:sz w:val="16"/>
                <w:szCs w:val="16"/>
                <w:lang w:eastAsia="fr-FR"/>
              </w:rPr>
              <w:t>’</w:t>
            </w:r>
            <w:r w:rsidRPr="00A32AF4">
              <w:rPr>
                <w:rFonts w:cs="Arial"/>
                <w:sz w:val="16"/>
                <w:szCs w:val="16"/>
                <w:lang w:eastAsia="fr-FR"/>
              </w:rPr>
              <w:t>accès des parties prenantes du monde entier à l</w:t>
            </w:r>
            <w:r w:rsidR="00E2055A" w:rsidRPr="00A32AF4">
              <w:rPr>
                <w:rFonts w:cs="Arial"/>
                <w:sz w:val="16"/>
                <w:szCs w:val="16"/>
                <w:lang w:eastAsia="fr-FR"/>
              </w:rPr>
              <w:t>’</w:t>
            </w:r>
            <w:r w:rsidRPr="00A32AF4">
              <w:rPr>
                <w:rFonts w:cs="Arial"/>
                <w:sz w:val="16"/>
                <w:szCs w:val="16"/>
                <w:lang w:eastAsia="fr-FR"/>
              </w:rPr>
              <w:t>information en matière de propriété intellectuelle, ainsi que son utilisation et sa diffusion</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7 317 </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7 197 </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7 070 </w:t>
            </w:r>
          </w:p>
        </w:tc>
      </w:tr>
      <w:tr w:rsidR="00C63736" w:rsidRPr="00A32AF4" w:rsidTr="00C63736">
        <w:trPr>
          <w:cantSplit/>
        </w:trPr>
        <w:tc>
          <w:tcPr>
            <w:tcW w:w="593" w:type="dxa"/>
            <w:shd w:val="clear" w:color="auto" w:fill="auto"/>
            <w:noWrap/>
            <w:tcMar>
              <w:top w:w="113" w:type="dxa"/>
              <w:bottom w:w="113" w:type="dxa"/>
            </w:tcMar>
            <w:vAlign w:val="center"/>
            <w:hideMark/>
          </w:tcPr>
          <w:p w:rsidR="00C63736" w:rsidRPr="00A32AF4" w:rsidRDefault="00C63736" w:rsidP="00DC0553">
            <w:pPr>
              <w:rPr>
                <w:rFonts w:cs="Arial"/>
                <w:sz w:val="16"/>
                <w:szCs w:val="16"/>
                <w:lang w:eastAsia="fr-FR"/>
              </w:rPr>
            </w:pPr>
            <w:r w:rsidRPr="00A32AF4">
              <w:rPr>
                <w:rFonts w:cs="Arial"/>
                <w:sz w:val="16"/>
                <w:szCs w:val="16"/>
                <w:lang w:eastAsia="fr-FR"/>
              </w:rPr>
              <w:t>IV.2</w:t>
            </w:r>
          </w:p>
        </w:tc>
        <w:tc>
          <w:tcPr>
            <w:tcW w:w="4247" w:type="dxa"/>
            <w:shd w:val="clear" w:color="auto" w:fill="auto"/>
            <w:tcMar>
              <w:top w:w="113" w:type="dxa"/>
              <w:bottom w:w="113" w:type="dxa"/>
            </w:tcMar>
            <w:vAlign w:val="center"/>
            <w:hideMark/>
          </w:tcPr>
          <w:p w:rsidR="00C63736" w:rsidRPr="00A32AF4" w:rsidRDefault="00C63736" w:rsidP="00DC0553">
            <w:pPr>
              <w:rPr>
                <w:rFonts w:cs="Arial"/>
                <w:sz w:val="16"/>
                <w:szCs w:val="16"/>
                <w:lang w:eastAsia="fr-FR"/>
              </w:rPr>
            </w:pPr>
            <w:r w:rsidRPr="00A32AF4">
              <w:rPr>
                <w:rFonts w:cs="Arial"/>
                <w:sz w:val="16"/>
                <w:szCs w:val="16"/>
                <w:lang w:eastAsia="fr-FR"/>
              </w:rPr>
              <w:t>Amélioration de l</w:t>
            </w:r>
            <w:r w:rsidR="00E2055A" w:rsidRPr="00A32AF4">
              <w:rPr>
                <w:rFonts w:cs="Arial"/>
                <w:sz w:val="16"/>
                <w:szCs w:val="16"/>
                <w:lang w:eastAsia="fr-FR"/>
              </w:rPr>
              <w:t>’</w:t>
            </w:r>
            <w:r w:rsidRPr="00A32AF4">
              <w:rPr>
                <w:rFonts w:cs="Arial"/>
                <w:sz w:val="16"/>
                <w:szCs w:val="16"/>
                <w:lang w:eastAsia="fr-FR"/>
              </w:rPr>
              <w:t>accessibilité et de l</w:t>
            </w:r>
            <w:r w:rsidR="00E2055A" w:rsidRPr="00A32AF4">
              <w:rPr>
                <w:rFonts w:cs="Arial"/>
                <w:sz w:val="16"/>
                <w:szCs w:val="16"/>
                <w:lang w:eastAsia="fr-FR"/>
              </w:rPr>
              <w:t>’</w:t>
            </w:r>
            <w:r w:rsidRPr="00A32AF4">
              <w:rPr>
                <w:rFonts w:cs="Arial"/>
                <w:sz w:val="16"/>
                <w:szCs w:val="16"/>
                <w:lang w:eastAsia="fr-FR"/>
              </w:rPr>
              <w:t>utilisation de l</w:t>
            </w:r>
            <w:r w:rsidR="00E2055A" w:rsidRPr="00A32AF4">
              <w:rPr>
                <w:rFonts w:cs="Arial"/>
                <w:sz w:val="16"/>
                <w:szCs w:val="16"/>
                <w:lang w:eastAsia="fr-FR"/>
              </w:rPr>
              <w:t>’</w:t>
            </w:r>
            <w:r w:rsidRPr="00A32AF4">
              <w:rPr>
                <w:rFonts w:cs="Arial"/>
                <w:sz w:val="16"/>
                <w:szCs w:val="16"/>
                <w:lang w:eastAsia="fr-FR"/>
              </w:rPr>
              <w:t>information en matière de propriété intellectuelle par les institutions compétentes et le public afin de promouvoir l</w:t>
            </w:r>
            <w:r w:rsidR="00E2055A" w:rsidRPr="00A32AF4">
              <w:rPr>
                <w:rFonts w:cs="Arial"/>
                <w:sz w:val="16"/>
                <w:szCs w:val="16"/>
                <w:lang w:eastAsia="fr-FR"/>
              </w:rPr>
              <w:t>’</w:t>
            </w:r>
            <w:r w:rsidRPr="00A32AF4">
              <w:rPr>
                <w:rFonts w:cs="Arial"/>
                <w:sz w:val="16"/>
                <w:szCs w:val="16"/>
                <w:lang w:eastAsia="fr-FR"/>
              </w:rPr>
              <w:t>innovation et la créativité</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18 046 </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21 274 </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22 539 </w:t>
            </w:r>
          </w:p>
        </w:tc>
      </w:tr>
      <w:tr w:rsidR="00C63736" w:rsidRPr="00A32AF4" w:rsidTr="00C63736">
        <w:trPr>
          <w:cantSplit/>
        </w:trPr>
        <w:tc>
          <w:tcPr>
            <w:tcW w:w="593" w:type="dxa"/>
            <w:shd w:val="clear" w:color="auto" w:fill="auto"/>
            <w:noWrap/>
            <w:tcMar>
              <w:top w:w="113" w:type="dxa"/>
              <w:bottom w:w="113" w:type="dxa"/>
            </w:tcMar>
            <w:vAlign w:val="center"/>
            <w:hideMark/>
          </w:tcPr>
          <w:p w:rsidR="00C63736" w:rsidRPr="00A32AF4" w:rsidRDefault="00C63736" w:rsidP="00DC0553">
            <w:pPr>
              <w:rPr>
                <w:rFonts w:cs="Arial"/>
                <w:sz w:val="16"/>
                <w:szCs w:val="16"/>
                <w:lang w:eastAsia="fr-FR"/>
              </w:rPr>
            </w:pPr>
            <w:r w:rsidRPr="00A32AF4">
              <w:rPr>
                <w:rFonts w:cs="Arial"/>
                <w:sz w:val="16"/>
                <w:szCs w:val="16"/>
                <w:lang w:eastAsia="fr-FR"/>
              </w:rPr>
              <w:t>IV.3</w:t>
            </w:r>
          </w:p>
        </w:tc>
        <w:tc>
          <w:tcPr>
            <w:tcW w:w="4247" w:type="dxa"/>
            <w:shd w:val="clear" w:color="auto" w:fill="auto"/>
            <w:tcMar>
              <w:top w:w="113" w:type="dxa"/>
              <w:bottom w:w="113" w:type="dxa"/>
            </w:tcMar>
            <w:vAlign w:val="center"/>
            <w:hideMark/>
          </w:tcPr>
          <w:p w:rsidR="00C63736" w:rsidRPr="00A32AF4" w:rsidRDefault="00C63736" w:rsidP="00DC0553">
            <w:pPr>
              <w:rPr>
                <w:rFonts w:cs="Arial"/>
                <w:sz w:val="16"/>
                <w:szCs w:val="16"/>
                <w:lang w:eastAsia="fr-FR"/>
              </w:rPr>
            </w:pPr>
            <w:r w:rsidRPr="00A32AF4">
              <w:rPr>
                <w:rFonts w:cs="Arial"/>
                <w:sz w:val="16"/>
                <w:szCs w:val="16"/>
                <w:lang w:eastAsia="fr-FR"/>
              </w:rPr>
              <w:t>Élargissement de la portée géographique du contenu et de l</w:t>
            </w:r>
            <w:r w:rsidR="00E2055A" w:rsidRPr="00A32AF4">
              <w:rPr>
                <w:rFonts w:cs="Arial"/>
                <w:sz w:val="16"/>
                <w:szCs w:val="16"/>
                <w:lang w:eastAsia="fr-FR"/>
              </w:rPr>
              <w:t>’</w:t>
            </w:r>
            <w:r w:rsidRPr="00A32AF4">
              <w:rPr>
                <w:rFonts w:cs="Arial"/>
                <w:sz w:val="16"/>
                <w:szCs w:val="16"/>
                <w:lang w:eastAsia="fr-FR"/>
              </w:rPr>
              <w:t>utilisation des bases de données mondiales de l</w:t>
            </w:r>
            <w:r w:rsidR="00E2055A" w:rsidRPr="00A32AF4">
              <w:rPr>
                <w:rFonts w:cs="Arial"/>
                <w:sz w:val="16"/>
                <w:szCs w:val="16"/>
                <w:lang w:eastAsia="fr-FR"/>
              </w:rPr>
              <w:t>’</w:t>
            </w:r>
            <w:r w:rsidRPr="00A32AF4">
              <w:rPr>
                <w:rFonts w:cs="Arial"/>
                <w:sz w:val="16"/>
                <w:szCs w:val="16"/>
                <w:lang w:eastAsia="fr-FR"/>
              </w:rPr>
              <w:t>OMPI en matière de propriété intellectuelle</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2 810 </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1 453 </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1 956 </w:t>
            </w:r>
          </w:p>
        </w:tc>
      </w:tr>
      <w:tr w:rsidR="00C63736" w:rsidRPr="00A32AF4" w:rsidTr="00C63736">
        <w:trPr>
          <w:cantSplit/>
        </w:trPr>
        <w:tc>
          <w:tcPr>
            <w:tcW w:w="593" w:type="dxa"/>
            <w:shd w:val="clear" w:color="auto" w:fill="auto"/>
            <w:noWrap/>
            <w:tcMar>
              <w:top w:w="113" w:type="dxa"/>
              <w:bottom w:w="113" w:type="dxa"/>
            </w:tcMar>
            <w:vAlign w:val="center"/>
            <w:hideMark/>
          </w:tcPr>
          <w:p w:rsidR="00C63736" w:rsidRPr="00A32AF4" w:rsidRDefault="00C63736" w:rsidP="00DC0553">
            <w:pPr>
              <w:rPr>
                <w:rFonts w:cs="Arial"/>
                <w:sz w:val="16"/>
                <w:szCs w:val="16"/>
                <w:lang w:eastAsia="fr-FR"/>
              </w:rPr>
            </w:pPr>
            <w:r w:rsidRPr="00A32AF4">
              <w:rPr>
                <w:rFonts w:cs="Arial"/>
                <w:sz w:val="16"/>
                <w:szCs w:val="16"/>
                <w:lang w:eastAsia="fr-FR"/>
              </w:rPr>
              <w:t>IV.4</w:t>
            </w:r>
          </w:p>
        </w:tc>
        <w:tc>
          <w:tcPr>
            <w:tcW w:w="4247" w:type="dxa"/>
            <w:shd w:val="clear" w:color="auto" w:fill="auto"/>
            <w:tcMar>
              <w:top w:w="113" w:type="dxa"/>
              <w:bottom w:w="113" w:type="dxa"/>
            </w:tcMar>
            <w:vAlign w:val="center"/>
            <w:hideMark/>
          </w:tcPr>
          <w:p w:rsidR="00C63736" w:rsidRPr="00A32AF4" w:rsidRDefault="00C63736" w:rsidP="00DC0553">
            <w:pPr>
              <w:rPr>
                <w:rFonts w:cs="Arial"/>
                <w:sz w:val="16"/>
                <w:szCs w:val="16"/>
                <w:lang w:eastAsia="fr-FR"/>
              </w:rPr>
            </w:pPr>
            <w:r w:rsidRPr="00A32AF4">
              <w:rPr>
                <w:rFonts w:cs="Arial"/>
                <w:sz w:val="16"/>
                <w:szCs w:val="16"/>
                <w:lang w:eastAsia="fr-FR"/>
              </w:rPr>
              <w:t>Amélioration de l</w:t>
            </w:r>
            <w:r w:rsidR="00E2055A" w:rsidRPr="00A32AF4">
              <w:rPr>
                <w:rFonts w:cs="Arial"/>
                <w:sz w:val="16"/>
                <w:szCs w:val="16"/>
                <w:lang w:eastAsia="fr-FR"/>
              </w:rPr>
              <w:t>’</w:t>
            </w:r>
            <w:r w:rsidRPr="00A32AF4">
              <w:rPr>
                <w:rFonts w:cs="Arial"/>
                <w:sz w:val="16"/>
                <w:szCs w:val="16"/>
                <w:lang w:eastAsia="fr-FR"/>
              </w:rPr>
              <w:t>infrastructure technique et du savoir pour les offices de propriété intellectuelle et les autres institutions de propriété intellectuelle, leur permettant de fournir à leurs parties prenantes des services améliorés (moins chers, plus rapides, de meilleure qualité) et d</w:t>
            </w:r>
            <w:r w:rsidR="00E2055A" w:rsidRPr="00A32AF4">
              <w:rPr>
                <w:rFonts w:cs="Arial"/>
                <w:sz w:val="16"/>
                <w:szCs w:val="16"/>
                <w:lang w:eastAsia="fr-FR"/>
              </w:rPr>
              <w:t>’</w:t>
            </w:r>
            <w:r w:rsidRPr="00A32AF4">
              <w:rPr>
                <w:rFonts w:cs="Arial"/>
                <w:sz w:val="16"/>
                <w:szCs w:val="16"/>
                <w:lang w:eastAsia="fr-FR"/>
              </w:rPr>
              <w:t>obtenir un meilleur résultat pour ce qui concerne l</w:t>
            </w:r>
            <w:r w:rsidR="00E2055A" w:rsidRPr="00A32AF4">
              <w:rPr>
                <w:rFonts w:cs="Arial"/>
                <w:sz w:val="16"/>
                <w:szCs w:val="16"/>
                <w:lang w:eastAsia="fr-FR"/>
              </w:rPr>
              <w:t>’</w:t>
            </w:r>
            <w:r w:rsidRPr="00A32AF4">
              <w:rPr>
                <w:rFonts w:cs="Arial"/>
                <w:sz w:val="16"/>
                <w:szCs w:val="16"/>
                <w:lang w:eastAsia="fr-FR"/>
              </w:rPr>
              <w:t>administration de la propriété intellectuelle</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17 284 </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18 187 </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15 409 </w:t>
            </w:r>
          </w:p>
        </w:tc>
      </w:tr>
      <w:tr w:rsidR="00C63736" w:rsidRPr="00A32AF4" w:rsidTr="00C63736">
        <w:trPr>
          <w:cantSplit/>
        </w:trPr>
        <w:tc>
          <w:tcPr>
            <w:tcW w:w="593" w:type="dxa"/>
            <w:shd w:val="clear" w:color="auto" w:fill="auto"/>
            <w:noWrap/>
            <w:tcMar>
              <w:top w:w="113" w:type="dxa"/>
              <w:bottom w:w="113" w:type="dxa"/>
            </w:tcMar>
            <w:vAlign w:val="center"/>
            <w:hideMark/>
          </w:tcPr>
          <w:p w:rsidR="00C63736" w:rsidRPr="00A32AF4" w:rsidRDefault="00C63736" w:rsidP="00DC0553">
            <w:pPr>
              <w:rPr>
                <w:rFonts w:cs="Arial"/>
                <w:sz w:val="16"/>
                <w:szCs w:val="16"/>
                <w:lang w:eastAsia="fr-FR"/>
              </w:rPr>
            </w:pPr>
            <w:r w:rsidRPr="00A32AF4">
              <w:rPr>
                <w:rFonts w:cs="Arial"/>
                <w:sz w:val="16"/>
                <w:szCs w:val="16"/>
                <w:lang w:eastAsia="fr-FR"/>
              </w:rPr>
              <w:t>V.1</w:t>
            </w:r>
          </w:p>
        </w:tc>
        <w:tc>
          <w:tcPr>
            <w:tcW w:w="4247" w:type="dxa"/>
            <w:shd w:val="clear" w:color="auto" w:fill="auto"/>
            <w:tcMar>
              <w:top w:w="113" w:type="dxa"/>
              <w:bottom w:w="113" w:type="dxa"/>
            </w:tcMar>
            <w:vAlign w:val="center"/>
            <w:hideMark/>
          </w:tcPr>
          <w:p w:rsidR="00C63736" w:rsidRPr="00A32AF4" w:rsidRDefault="00C63736" w:rsidP="00DC0553">
            <w:pPr>
              <w:rPr>
                <w:rFonts w:cs="Arial"/>
                <w:sz w:val="16"/>
                <w:szCs w:val="16"/>
                <w:lang w:eastAsia="fr-FR"/>
              </w:rPr>
            </w:pPr>
            <w:r w:rsidRPr="00A32AF4">
              <w:rPr>
                <w:rFonts w:cs="Arial"/>
                <w:sz w:val="16"/>
                <w:szCs w:val="16"/>
                <w:lang w:eastAsia="fr-FR"/>
              </w:rPr>
              <w:t>Utilisation élargie et améliorée de l</w:t>
            </w:r>
            <w:r w:rsidR="00E2055A" w:rsidRPr="00A32AF4">
              <w:rPr>
                <w:rFonts w:cs="Arial"/>
                <w:sz w:val="16"/>
                <w:szCs w:val="16"/>
                <w:lang w:eastAsia="fr-FR"/>
              </w:rPr>
              <w:t>’</w:t>
            </w:r>
            <w:r w:rsidRPr="00A32AF4">
              <w:rPr>
                <w:rFonts w:cs="Arial"/>
                <w:sz w:val="16"/>
                <w:szCs w:val="16"/>
                <w:lang w:eastAsia="fr-FR"/>
              </w:rPr>
              <w:t>information statistique de l</w:t>
            </w:r>
            <w:r w:rsidR="00E2055A" w:rsidRPr="00A32AF4">
              <w:rPr>
                <w:rFonts w:cs="Arial"/>
                <w:sz w:val="16"/>
                <w:szCs w:val="16"/>
                <w:lang w:eastAsia="fr-FR"/>
              </w:rPr>
              <w:t>’</w:t>
            </w:r>
            <w:r w:rsidRPr="00A32AF4">
              <w:rPr>
                <w:rFonts w:cs="Arial"/>
                <w:sz w:val="16"/>
                <w:szCs w:val="16"/>
                <w:lang w:eastAsia="fr-FR"/>
              </w:rPr>
              <w:t>OMPI relative à la propriété intellectuelle</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2 141 </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2 182 </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2 677 </w:t>
            </w:r>
          </w:p>
        </w:tc>
      </w:tr>
      <w:tr w:rsidR="00C63736" w:rsidRPr="00A32AF4" w:rsidTr="00C63736">
        <w:trPr>
          <w:cantSplit/>
        </w:trPr>
        <w:tc>
          <w:tcPr>
            <w:tcW w:w="593" w:type="dxa"/>
            <w:shd w:val="clear" w:color="auto" w:fill="auto"/>
            <w:noWrap/>
            <w:tcMar>
              <w:top w:w="113" w:type="dxa"/>
              <w:bottom w:w="113" w:type="dxa"/>
            </w:tcMar>
            <w:vAlign w:val="center"/>
            <w:hideMark/>
          </w:tcPr>
          <w:p w:rsidR="00C63736" w:rsidRPr="00A32AF4" w:rsidRDefault="00C63736" w:rsidP="00DC0553">
            <w:pPr>
              <w:rPr>
                <w:rFonts w:cs="Arial"/>
                <w:sz w:val="16"/>
                <w:szCs w:val="16"/>
                <w:lang w:eastAsia="fr-FR"/>
              </w:rPr>
            </w:pPr>
            <w:r w:rsidRPr="00A32AF4">
              <w:rPr>
                <w:rFonts w:cs="Arial"/>
                <w:sz w:val="16"/>
                <w:szCs w:val="16"/>
                <w:lang w:eastAsia="fr-FR"/>
              </w:rPr>
              <w:t>V.2</w:t>
            </w:r>
          </w:p>
        </w:tc>
        <w:tc>
          <w:tcPr>
            <w:tcW w:w="4247" w:type="dxa"/>
            <w:shd w:val="clear" w:color="auto" w:fill="auto"/>
            <w:tcMar>
              <w:top w:w="113" w:type="dxa"/>
              <w:bottom w:w="113" w:type="dxa"/>
            </w:tcMar>
            <w:vAlign w:val="center"/>
            <w:hideMark/>
          </w:tcPr>
          <w:p w:rsidR="00C63736" w:rsidRPr="00A32AF4" w:rsidRDefault="00C63736" w:rsidP="00DC0553">
            <w:pPr>
              <w:rPr>
                <w:rFonts w:cs="Arial"/>
                <w:sz w:val="16"/>
                <w:szCs w:val="16"/>
                <w:lang w:eastAsia="fr-FR"/>
              </w:rPr>
            </w:pPr>
            <w:r w:rsidRPr="00A32AF4">
              <w:rPr>
                <w:rFonts w:cs="Arial"/>
                <w:sz w:val="16"/>
                <w:szCs w:val="16"/>
                <w:lang w:eastAsia="fr-FR"/>
              </w:rPr>
              <w:t>Utilisation élargie et améliorée des analyses économiques de l</w:t>
            </w:r>
            <w:r w:rsidR="00E2055A" w:rsidRPr="00A32AF4">
              <w:rPr>
                <w:rFonts w:cs="Arial"/>
                <w:sz w:val="16"/>
                <w:szCs w:val="16"/>
                <w:lang w:eastAsia="fr-FR"/>
              </w:rPr>
              <w:t>’</w:t>
            </w:r>
            <w:r w:rsidRPr="00A32AF4">
              <w:rPr>
                <w:rFonts w:cs="Arial"/>
                <w:sz w:val="16"/>
                <w:szCs w:val="16"/>
                <w:lang w:eastAsia="fr-FR"/>
              </w:rPr>
              <w:t>OMPI aux fins de l</w:t>
            </w:r>
            <w:r w:rsidR="00E2055A" w:rsidRPr="00A32AF4">
              <w:rPr>
                <w:rFonts w:cs="Arial"/>
                <w:sz w:val="16"/>
                <w:szCs w:val="16"/>
                <w:lang w:eastAsia="fr-FR"/>
              </w:rPr>
              <w:t>’</w:t>
            </w:r>
            <w:r w:rsidRPr="00A32AF4">
              <w:rPr>
                <w:rFonts w:cs="Arial"/>
                <w:sz w:val="16"/>
                <w:szCs w:val="16"/>
                <w:lang w:eastAsia="fr-FR"/>
              </w:rPr>
              <w:t>élaboration des politiques</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4 261 </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3 729 </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3 395 </w:t>
            </w:r>
          </w:p>
        </w:tc>
      </w:tr>
      <w:tr w:rsidR="00C63736" w:rsidRPr="00A32AF4" w:rsidTr="00C63736">
        <w:trPr>
          <w:cantSplit/>
        </w:trPr>
        <w:tc>
          <w:tcPr>
            <w:tcW w:w="593" w:type="dxa"/>
            <w:shd w:val="clear" w:color="auto" w:fill="auto"/>
            <w:noWrap/>
            <w:tcMar>
              <w:top w:w="113" w:type="dxa"/>
              <w:bottom w:w="113" w:type="dxa"/>
            </w:tcMar>
            <w:vAlign w:val="center"/>
            <w:hideMark/>
          </w:tcPr>
          <w:p w:rsidR="00C63736" w:rsidRPr="00A32AF4" w:rsidRDefault="00C63736" w:rsidP="00DC0553">
            <w:pPr>
              <w:rPr>
                <w:rFonts w:cs="Arial"/>
                <w:sz w:val="16"/>
                <w:szCs w:val="16"/>
                <w:lang w:eastAsia="fr-FR"/>
              </w:rPr>
            </w:pPr>
            <w:r w:rsidRPr="00A32AF4">
              <w:rPr>
                <w:rFonts w:cs="Arial"/>
                <w:sz w:val="16"/>
                <w:szCs w:val="16"/>
                <w:lang w:eastAsia="fr-FR"/>
              </w:rPr>
              <w:t>VI.1</w:t>
            </w:r>
          </w:p>
        </w:tc>
        <w:tc>
          <w:tcPr>
            <w:tcW w:w="4247" w:type="dxa"/>
            <w:shd w:val="clear" w:color="auto" w:fill="auto"/>
            <w:tcMar>
              <w:top w:w="113" w:type="dxa"/>
              <w:bottom w:w="113" w:type="dxa"/>
            </w:tcMar>
            <w:vAlign w:val="center"/>
            <w:hideMark/>
          </w:tcPr>
          <w:p w:rsidR="00C63736" w:rsidRPr="00A32AF4" w:rsidRDefault="00C63736" w:rsidP="00DC0553">
            <w:pPr>
              <w:rPr>
                <w:rFonts w:cs="Arial"/>
                <w:sz w:val="16"/>
                <w:szCs w:val="16"/>
                <w:lang w:eastAsia="fr-FR"/>
              </w:rPr>
            </w:pPr>
            <w:r w:rsidRPr="00A32AF4">
              <w:rPr>
                <w:rFonts w:cs="Arial"/>
                <w:sz w:val="16"/>
                <w:szCs w:val="16"/>
                <w:lang w:eastAsia="fr-FR"/>
              </w:rPr>
              <w:t>Progrès du dialogue international de politique générale entre les États membres de l</w:t>
            </w:r>
            <w:r w:rsidR="00E2055A" w:rsidRPr="00A32AF4">
              <w:rPr>
                <w:rFonts w:cs="Arial"/>
                <w:sz w:val="16"/>
                <w:szCs w:val="16"/>
                <w:lang w:eastAsia="fr-FR"/>
              </w:rPr>
              <w:t>’</w:t>
            </w:r>
            <w:r w:rsidRPr="00A32AF4">
              <w:rPr>
                <w:rFonts w:cs="Arial"/>
                <w:sz w:val="16"/>
                <w:szCs w:val="16"/>
                <w:lang w:eastAsia="fr-FR"/>
              </w:rPr>
              <w:t>OMPI en ce qui concerne la promotion du respect de la propriété intellectuelle, compte tenu de la recommandation n° 45 du Plan d</w:t>
            </w:r>
            <w:r w:rsidR="00E2055A" w:rsidRPr="00A32AF4">
              <w:rPr>
                <w:rFonts w:cs="Arial"/>
                <w:sz w:val="16"/>
                <w:szCs w:val="16"/>
                <w:lang w:eastAsia="fr-FR"/>
              </w:rPr>
              <w:t>’</w:t>
            </w:r>
            <w:r w:rsidRPr="00A32AF4">
              <w:rPr>
                <w:rFonts w:cs="Arial"/>
                <w:sz w:val="16"/>
                <w:szCs w:val="16"/>
                <w:lang w:eastAsia="fr-FR"/>
              </w:rPr>
              <w:t>action pour le développement</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429 </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1 133 </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756 </w:t>
            </w:r>
          </w:p>
        </w:tc>
      </w:tr>
      <w:tr w:rsidR="00C63736" w:rsidRPr="00A32AF4" w:rsidTr="00C63736">
        <w:trPr>
          <w:cantSplit/>
        </w:trPr>
        <w:tc>
          <w:tcPr>
            <w:tcW w:w="593" w:type="dxa"/>
            <w:shd w:val="clear" w:color="auto" w:fill="auto"/>
            <w:noWrap/>
            <w:tcMar>
              <w:top w:w="113" w:type="dxa"/>
              <w:bottom w:w="113" w:type="dxa"/>
            </w:tcMar>
            <w:vAlign w:val="center"/>
            <w:hideMark/>
          </w:tcPr>
          <w:p w:rsidR="00C63736" w:rsidRPr="00A32AF4" w:rsidRDefault="00C63736" w:rsidP="00DC0553">
            <w:pPr>
              <w:rPr>
                <w:rFonts w:cs="Arial"/>
                <w:sz w:val="16"/>
                <w:szCs w:val="16"/>
                <w:lang w:eastAsia="fr-FR"/>
              </w:rPr>
            </w:pPr>
            <w:r w:rsidRPr="00A32AF4">
              <w:rPr>
                <w:rFonts w:cs="Arial"/>
                <w:sz w:val="16"/>
                <w:szCs w:val="16"/>
                <w:lang w:eastAsia="fr-FR"/>
              </w:rPr>
              <w:t>VI.2</w:t>
            </w:r>
          </w:p>
        </w:tc>
        <w:tc>
          <w:tcPr>
            <w:tcW w:w="4247" w:type="dxa"/>
            <w:shd w:val="clear" w:color="auto" w:fill="auto"/>
            <w:tcMar>
              <w:top w:w="113" w:type="dxa"/>
              <w:bottom w:w="113" w:type="dxa"/>
            </w:tcMar>
            <w:vAlign w:val="center"/>
            <w:hideMark/>
          </w:tcPr>
          <w:p w:rsidR="00C63736" w:rsidRPr="00A32AF4" w:rsidRDefault="00C63736" w:rsidP="00DC0553">
            <w:pPr>
              <w:rPr>
                <w:rFonts w:cs="Arial"/>
                <w:sz w:val="16"/>
                <w:szCs w:val="16"/>
                <w:lang w:eastAsia="fr-FR"/>
              </w:rPr>
            </w:pPr>
            <w:r w:rsidRPr="00A32AF4">
              <w:rPr>
                <w:rFonts w:cs="Arial"/>
                <w:sz w:val="16"/>
                <w:szCs w:val="16"/>
                <w:lang w:eastAsia="fr-FR"/>
              </w:rPr>
              <w:t>Coopération et coordination systématiques, efficaces et transparentes entre les travaux de l</w:t>
            </w:r>
            <w:r w:rsidR="00E2055A" w:rsidRPr="00A32AF4">
              <w:rPr>
                <w:rFonts w:cs="Arial"/>
                <w:sz w:val="16"/>
                <w:szCs w:val="16"/>
                <w:lang w:eastAsia="fr-FR"/>
              </w:rPr>
              <w:t>’</w:t>
            </w:r>
            <w:r w:rsidRPr="00A32AF4">
              <w:rPr>
                <w:rFonts w:cs="Arial"/>
                <w:sz w:val="16"/>
                <w:szCs w:val="16"/>
                <w:lang w:eastAsia="fr-FR"/>
              </w:rPr>
              <w:t>OMPI et ceux d</w:t>
            </w:r>
            <w:r w:rsidR="00E2055A" w:rsidRPr="00A32AF4">
              <w:rPr>
                <w:rFonts w:cs="Arial"/>
                <w:sz w:val="16"/>
                <w:szCs w:val="16"/>
                <w:lang w:eastAsia="fr-FR"/>
              </w:rPr>
              <w:t>’</w:t>
            </w:r>
            <w:r w:rsidRPr="00A32AF4">
              <w:rPr>
                <w:rFonts w:cs="Arial"/>
                <w:sz w:val="16"/>
                <w:szCs w:val="16"/>
                <w:lang w:eastAsia="fr-FR"/>
              </w:rPr>
              <w:t>autres organisations internationales dans le domaine de la promotion du respect de la propriété intellectuelle</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1 124 </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739 </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1 308 </w:t>
            </w:r>
          </w:p>
        </w:tc>
      </w:tr>
      <w:tr w:rsidR="00C63736" w:rsidRPr="00A32AF4" w:rsidTr="00C63736">
        <w:trPr>
          <w:cantSplit/>
        </w:trPr>
        <w:tc>
          <w:tcPr>
            <w:tcW w:w="593" w:type="dxa"/>
            <w:shd w:val="clear" w:color="auto" w:fill="auto"/>
            <w:noWrap/>
            <w:tcMar>
              <w:top w:w="113" w:type="dxa"/>
              <w:bottom w:w="113" w:type="dxa"/>
            </w:tcMar>
            <w:vAlign w:val="center"/>
            <w:hideMark/>
          </w:tcPr>
          <w:p w:rsidR="00C63736" w:rsidRPr="00A32AF4" w:rsidRDefault="00C63736" w:rsidP="00DC0553">
            <w:pPr>
              <w:rPr>
                <w:rFonts w:cs="Arial"/>
                <w:sz w:val="16"/>
                <w:szCs w:val="16"/>
                <w:lang w:eastAsia="fr-FR"/>
              </w:rPr>
            </w:pPr>
            <w:r w:rsidRPr="00A32AF4">
              <w:rPr>
                <w:rFonts w:cs="Arial"/>
                <w:sz w:val="16"/>
                <w:szCs w:val="16"/>
                <w:lang w:eastAsia="fr-FR"/>
              </w:rPr>
              <w:t>VII.2</w:t>
            </w:r>
          </w:p>
        </w:tc>
        <w:tc>
          <w:tcPr>
            <w:tcW w:w="4247" w:type="dxa"/>
            <w:shd w:val="clear" w:color="auto" w:fill="auto"/>
            <w:tcMar>
              <w:top w:w="113" w:type="dxa"/>
              <w:bottom w:w="113" w:type="dxa"/>
            </w:tcMar>
            <w:vAlign w:val="center"/>
            <w:hideMark/>
          </w:tcPr>
          <w:p w:rsidR="00C63736" w:rsidRPr="00A32AF4" w:rsidRDefault="00C63736" w:rsidP="00DC0553">
            <w:pPr>
              <w:rPr>
                <w:rFonts w:cs="Arial"/>
                <w:sz w:val="16"/>
                <w:szCs w:val="16"/>
                <w:lang w:eastAsia="fr-FR"/>
              </w:rPr>
            </w:pPr>
            <w:r w:rsidRPr="00A32AF4">
              <w:rPr>
                <w:rFonts w:cs="Arial"/>
                <w:sz w:val="16"/>
                <w:szCs w:val="16"/>
                <w:lang w:eastAsia="fr-FR"/>
              </w:rPr>
              <w:t>Plates</w:t>
            </w:r>
            <w:r w:rsidR="00EB7F54" w:rsidRPr="00A32AF4">
              <w:rPr>
                <w:rFonts w:cs="Arial"/>
                <w:sz w:val="16"/>
                <w:szCs w:val="16"/>
                <w:lang w:eastAsia="fr-FR"/>
              </w:rPr>
              <w:noBreakHyphen/>
            </w:r>
            <w:r w:rsidRPr="00A32AF4">
              <w:rPr>
                <w:rFonts w:cs="Arial"/>
                <w:sz w:val="16"/>
                <w:szCs w:val="16"/>
                <w:lang w:eastAsia="fr-FR"/>
              </w:rPr>
              <w:t>formes et instruments fondés sur la propriété intellectuelle pour le transfert de connaissances et l</w:t>
            </w:r>
            <w:r w:rsidR="00E2055A" w:rsidRPr="00A32AF4">
              <w:rPr>
                <w:rFonts w:cs="Arial"/>
                <w:sz w:val="16"/>
                <w:szCs w:val="16"/>
                <w:lang w:eastAsia="fr-FR"/>
              </w:rPr>
              <w:t>’</w:t>
            </w:r>
            <w:r w:rsidRPr="00A32AF4">
              <w:rPr>
                <w:rFonts w:cs="Arial"/>
                <w:sz w:val="16"/>
                <w:szCs w:val="16"/>
                <w:lang w:eastAsia="fr-FR"/>
              </w:rPr>
              <w:t>adaptation et la diffusion de la technologie entre les pays développés et les pays en développement, notamment</w:t>
            </w:r>
            <w:r w:rsidR="00E2055A" w:rsidRPr="00A32AF4">
              <w:rPr>
                <w:rFonts w:cs="Arial"/>
                <w:sz w:val="16"/>
                <w:szCs w:val="16"/>
                <w:lang w:eastAsia="fr-FR"/>
              </w:rPr>
              <w:t xml:space="preserve"> les PMA</w:t>
            </w:r>
            <w:r w:rsidRPr="00A32AF4">
              <w:rPr>
                <w:rFonts w:cs="Arial"/>
                <w:sz w:val="16"/>
                <w:szCs w:val="16"/>
                <w:lang w:eastAsia="fr-FR"/>
              </w:rPr>
              <w:t>, pour relever des défis mondiaux</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4 401 </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3 497 </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3 950 </w:t>
            </w:r>
          </w:p>
        </w:tc>
      </w:tr>
      <w:tr w:rsidR="00C63736" w:rsidRPr="00A32AF4" w:rsidTr="00C63736">
        <w:trPr>
          <w:cantSplit/>
        </w:trPr>
        <w:tc>
          <w:tcPr>
            <w:tcW w:w="593" w:type="dxa"/>
            <w:shd w:val="clear" w:color="auto" w:fill="auto"/>
            <w:noWrap/>
            <w:tcMar>
              <w:top w:w="113" w:type="dxa"/>
              <w:bottom w:w="113" w:type="dxa"/>
            </w:tcMar>
            <w:vAlign w:val="center"/>
            <w:hideMark/>
          </w:tcPr>
          <w:p w:rsidR="00C63736" w:rsidRPr="00A32AF4" w:rsidRDefault="00C63736" w:rsidP="00DC0553">
            <w:pPr>
              <w:rPr>
                <w:rFonts w:cs="Arial"/>
                <w:sz w:val="16"/>
                <w:szCs w:val="16"/>
                <w:lang w:eastAsia="fr-FR"/>
              </w:rPr>
            </w:pPr>
            <w:r w:rsidRPr="00A32AF4">
              <w:rPr>
                <w:rFonts w:cs="Arial"/>
                <w:sz w:val="16"/>
                <w:szCs w:val="16"/>
                <w:lang w:eastAsia="fr-FR"/>
              </w:rPr>
              <w:t>VII.3</w:t>
            </w:r>
          </w:p>
        </w:tc>
        <w:tc>
          <w:tcPr>
            <w:tcW w:w="4247" w:type="dxa"/>
            <w:shd w:val="clear" w:color="auto" w:fill="auto"/>
            <w:tcMar>
              <w:top w:w="113" w:type="dxa"/>
              <w:bottom w:w="113" w:type="dxa"/>
            </w:tcMar>
            <w:vAlign w:val="center"/>
            <w:hideMark/>
          </w:tcPr>
          <w:p w:rsidR="00C63736" w:rsidRPr="00A32AF4" w:rsidRDefault="00C63736" w:rsidP="00DC0553">
            <w:pPr>
              <w:rPr>
                <w:rFonts w:cs="Arial"/>
                <w:sz w:val="16"/>
                <w:szCs w:val="16"/>
                <w:lang w:eastAsia="fr-FR"/>
              </w:rPr>
            </w:pPr>
            <w:r w:rsidRPr="00A32AF4">
              <w:rPr>
                <w:rFonts w:cs="Arial"/>
                <w:sz w:val="16"/>
                <w:szCs w:val="16"/>
                <w:lang w:eastAsia="fr-FR"/>
              </w:rPr>
              <w:t>Crédibilité croissante de l</w:t>
            </w:r>
            <w:r w:rsidR="00E2055A" w:rsidRPr="00A32AF4">
              <w:rPr>
                <w:rFonts w:cs="Arial"/>
                <w:sz w:val="16"/>
                <w:szCs w:val="16"/>
                <w:lang w:eastAsia="fr-FR"/>
              </w:rPr>
              <w:t>’</w:t>
            </w:r>
            <w:r w:rsidRPr="00A32AF4">
              <w:rPr>
                <w:rFonts w:cs="Arial"/>
                <w:sz w:val="16"/>
                <w:szCs w:val="16"/>
                <w:lang w:eastAsia="fr-FR"/>
              </w:rPr>
              <w:t>OMPI en tant qu</w:t>
            </w:r>
            <w:r w:rsidR="00E2055A" w:rsidRPr="00A32AF4">
              <w:rPr>
                <w:rFonts w:cs="Arial"/>
                <w:sz w:val="16"/>
                <w:szCs w:val="16"/>
                <w:lang w:eastAsia="fr-FR"/>
              </w:rPr>
              <w:t>’</w:t>
            </w:r>
            <w:r w:rsidRPr="00A32AF4">
              <w:rPr>
                <w:rFonts w:cs="Arial"/>
                <w:sz w:val="16"/>
                <w:szCs w:val="16"/>
                <w:lang w:eastAsia="fr-FR"/>
              </w:rPr>
              <w:t>instance d</w:t>
            </w:r>
            <w:r w:rsidR="00E2055A" w:rsidRPr="00A32AF4">
              <w:rPr>
                <w:rFonts w:cs="Arial"/>
                <w:sz w:val="16"/>
                <w:szCs w:val="16"/>
                <w:lang w:eastAsia="fr-FR"/>
              </w:rPr>
              <w:t>’</w:t>
            </w:r>
            <w:r w:rsidRPr="00A32AF4">
              <w:rPr>
                <w:rFonts w:cs="Arial"/>
                <w:sz w:val="16"/>
                <w:szCs w:val="16"/>
                <w:lang w:eastAsia="fr-FR"/>
              </w:rPr>
              <w:t>analyse des questions relatives à la propriété intellectuelle et à la politique en matière de concurrence</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2 032 </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1 813</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w:t>
            </w:r>
          </w:p>
        </w:tc>
      </w:tr>
      <w:tr w:rsidR="00C63736" w:rsidRPr="00A32AF4" w:rsidTr="00C63736">
        <w:trPr>
          <w:cantSplit/>
        </w:trPr>
        <w:tc>
          <w:tcPr>
            <w:tcW w:w="593" w:type="dxa"/>
            <w:shd w:val="clear" w:color="auto" w:fill="auto"/>
            <w:noWrap/>
            <w:tcMar>
              <w:top w:w="113" w:type="dxa"/>
              <w:bottom w:w="113" w:type="dxa"/>
            </w:tcMar>
            <w:vAlign w:val="center"/>
            <w:hideMark/>
          </w:tcPr>
          <w:p w:rsidR="00C63736" w:rsidRPr="00A32AF4" w:rsidRDefault="00C63736" w:rsidP="00DC0553">
            <w:pPr>
              <w:rPr>
                <w:rFonts w:cs="Arial"/>
                <w:sz w:val="16"/>
                <w:szCs w:val="16"/>
                <w:lang w:eastAsia="fr-FR"/>
              </w:rPr>
            </w:pPr>
            <w:r w:rsidRPr="00A32AF4">
              <w:rPr>
                <w:rFonts w:cs="Arial"/>
                <w:sz w:val="16"/>
                <w:szCs w:val="16"/>
                <w:lang w:eastAsia="fr-FR"/>
              </w:rPr>
              <w:t>VIII.1</w:t>
            </w:r>
          </w:p>
        </w:tc>
        <w:tc>
          <w:tcPr>
            <w:tcW w:w="4247" w:type="dxa"/>
            <w:shd w:val="clear" w:color="auto" w:fill="auto"/>
            <w:tcMar>
              <w:top w:w="113" w:type="dxa"/>
              <w:bottom w:w="113" w:type="dxa"/>
            </w:tcMar>
            <w:vAlign w:val="center"/>
            <w:hideMark/>
          </w:tcPr>
          <w:p w:rsidR="00C63736" w:rsidRPr="00A32AF4" w:rsidRDefault="00C63736" w:rsidP="00DC0553">
            <w:pPr>
              <w:rPr>
                <w:rFonts w:cs="Arial"/>
                <w:sz w:val="16"/>
                <w:szCs w:val="16"/>
                <w:lang w:eastAsia="fr-FR"/>
              </w:rPr>
            </w:pPr>
            <w:r w:rsidRPr="00A32AF4">
              <w:rPr>
                <w:rFonts w:cs="Arial"/>
                <w:sz w:val="16"/>
                <w:szCs w:val="16"/>
                <w:lang w:eastAsia="fr-FR"/>
              </w:rPr>
              <w:t>Communication plus efficace avec le grand public concernant la propriété intellectuelle et le rôle de l</w:t>
            </w:r>
            <w:r w:rsidR="00E2055A" w:rsidRPr="00A32AF4">
              <w:rPr>
                <w:rFonts w:cs="Arial"/>
                <w:sz w:val="16"/>
                <w:szCs w:val="16"/>
                <w:lang w:eastAsia="fr-FR"/>
              </w:rPr>
              <w:t>’</w:t>
            </w:r>
            <w:r w:rsidRPr="00A32AF4">
              <w:rPr>
                <w:rFonts w:cs="Arial"/>
                <w:sz w:val="16"/>
                <w:szCs w:val="16"/>
                <w:lang w:eastAsia="fr-FR"/>
              </w:rPr>
              <w:t>OMPI</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12 882 </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13 022 </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12 033 </w:t>
            </w:r>
          </w:p>
        </w:tc>
      </w:tr>
      <w:tr w:rsidR="00C63736" w:rsidRPr="00A32AF4" w:rsidTr="00C63736">
        <w:trPr>
          <w:cantSplit/>
        </w:trPr>
        <w:tc>
          <w:tcPr>
            <w:tcW w:w="593" w:type="dxa"/>
            <w:shd w:val="clear" w:color="auto" w:fill="auto"/>
            <w:noWrap/>
            <w:tcMar>
              <w:top w:w="113" w:type="dxa"/>
              <w:bottom w:w="113" w:type="dxa"/>
            </w:tcMar>
            <w:vAlign w:val="center"/>
            <w:hideMark/>
          </w:tcPr>
          <w:p w:rsidR="00C63736" w:rsidRPr="00A32AF4" w:rsidRDefault="00C63736" w:rsidP="00DC0553">
            <w:pPr>
              <w:rPr>
                <w:rFonts w:cs="Arial"/>
                <w:sz w:val="16"/>
                <w:szCs w:val="16"/>
                <w:lang w:eastAsia="fr-FR"/>
              </w:rPr>
            </w:pPr>
            <w:r w:rsidRPr="00A32AF4">
              <w:rPr>
                <w:rFonts w:cs="Arial"/>
                <w:sz w:val="16"/>
                <w:szCs w:val="16"/>
                <w:lang w:eastAsia="fr-FR"/>
              </w:rPr>
              <w:t>VIII.2</w:t>
            </w:r>
          </w:p>
        </w:tc>
        <w:tc>
          <w:tcPr>
            <w:tcW w:w="4247" w:type="dxa"/>
            <w:shd w:val="clear" w:color="auto" w:fill="auto"/>
            <w:tcMar>
              <w:top w:w="113" w:type="dxa"/>
              <w:bottom w:w="113" w:type="dxa"/>
            </w:tcMar>
            <w:vAlign w:val="center"/>
            <w:hideMark/>
          </w:tcPr>
          <w:p w:rsidR="00C63736" w:rsidRPr="00A32AF4" w:rsidRDefault="00C63736" w:rsidP="00DC0553">
            <w:pPr>
              <w:rPr>
                <w:rFonts w:cs="Arial"/>
                <w:sz w:val="16"/>
                <w:szCs w:val="16"/>
                <w:lang w:eastAsia="fr-FR"/>
              </w:rPr>
            </w:pPr>
            <w:r w:rsidRPr="00A32AF4">
              <w:rPr>
                <w:rFonts w:cs="Arial"/>
                <w:sz w:val="16"/>
                <w:szCs w:val="16"/>
                <w:lang w:eastAsia="fr-FR"/>
              </w:rPr>
              <w:t>Amélioration de l</w:t>
            </w:r>
            <w:r w:rsidR="00E2055A" w:rsidRPr="00A32AF4">
              <w:rPr>
                <w:rFonts w:cs="Arial"/>
                <w:sz w:val="16"/>
                <w:szCs w:val="16"/>
                <w:lang w:eastAsia="fr-FR"/>
              </w:rPr>
              <w:t>’</w:t>
            </w:r>
            <w:r w:rsidRPr="00A32AF4">
              <w:rPr>
                <w:rFonts w:cs="Arial"/>
                <w:sz w:val="16"/>
                <w:szCs w:val="16"/>
                <w:lang w:eastAsia="fr-FR"/>
              </w:rPr>
              <w:t>orientation vers les services et de la réactivité à la demande</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5 536 </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5 739 </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6 219 </w:t>
            </w:r>
          </w:p>
        </w:tc>
      </w:tr>
      <w:tr w:rsidR="00C63736" w:rsidRPr="00A32AF4" w:rsidTr="00C63736">
        <w:trPr>
          <w:cantSplit/>
        </w:trPr>
        <w:tc>
          <w:tcPr>
            <w:tcW w:w="593" w:type="dxa"/>
            <w:shd w:val="clear" w:color="auto" w:fill="auto"/>
            <w:noWrap/>
            <w:tcMar>
              <w:top w:w="113" w:type="dxa"/>
              <w:bottom w:w="113" w:type="dxa"/>
            </w:tcMar>
            <w:vAlign w:val="center"/>
            <w:hideMark/>
          </w:tcPr>
          <w:p w:rsidR="00C63736" w:rsidRPr="00A32AF4" w:rsidRDefault="00C63736" w:rsidP="00DC0553">
            <w:pPr>
              <w:rPr>
                <w:rFonts w:cs="Arial"/>
                <w:sz w:val="16"/>
                <w:szCs w:val="16"/>
                <w:lang w:eastAsia="fr-FR"/>
              </w:rPr>
            </w:pPr>
            <w:r w:rsidRPr="00A32AF4">
              <w:rPr>
                <w:rFonts w:cs="Arial"/>
                <w:sz w:val="16"/>
                <w:szCs w:val="16"/>
                <w:lang w:eastAsia="fr-FR"/>
              </w:rPr>
              <w:t>VIII.3</w:t>
            </w:r>
          </w:p>
        </w:tc>
        <w:tc>
          <w:tcPr>
            <w:tcW w:w="4247" w:type="dxa"/>
            <w:shd w:val="clear" w:color="auto" w:fill="auto"/>
            <w:tcMar>
              <w:top w:w="113" w:type="dxa"/>
              <w:bottom w:w="113" w:type="dxa"/>
            </w:tcMar>
            <w:vAlign w:val="center"/>
            <w:hideMark/>
          </w:tcPr>
          <w:p w:rsidR="00C63736" w:rsidRPr="00A32AF4" w:rsidRDefault="00C63736" w:rsidP="00DC0553">
            <w:pPr>
              <w:rPr>
                <w:rFonts w:cs="Arial"/>
                <w:sz w:val="16"/>
                <w:szCs w:val="16"/>
                <w:lang w:eastAsia="fr-FR"/>
              </w:rPr>
            </w:pPr>
            <w:r w:rsidRPr="00A32AF4">
              <w:rPr>
                <w:rFonts w:cs="Arial"/>
                <w:sz w:val="16"/>
                <w:szCs w:val="16"/>
                <w:lang w:eastAsia="fr-FR"/>
              </w:rPr>
              <w:t>Engagement réel auprès des États membres</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6 747 </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8 207 </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7 099 </w:t>
            </w:r>
          </w:p>
        </w:tc>
      </w:tr>
      <w:tr w:rsidR="00C63736" w:rsidRPr="00A32AF4" w:rsidTr="00C63736">
        <w:trPr>
          <w:cantSplit/>
        </w:trPr>
        <w:tc>
          <w:tcPr>
            <w:tcW w:w="593" w:type="dxa"/>
            <w:shd w:val="clear" w:color="auto" w:fill="auto"/>
            <w:noWrap/>
            <w:tcMar>
              <w:top w:w="113" w:type="dxa"/>
              <w:bottom w:w="113" w:type="dxa"/>
            </w:tcMar>
            <w:vAlign w:val="center"/>
            <w:hideMark/>
          </w:tcPr>
          <w:p w:rsidR="00C63736" w:rsidRPr="00A32AF4" w:rsidRDefault="00C63736" w:rsidP="00DC0553">
            <w:pPr>
              <w:rPr>
                <w:rFonts w:cs="Arial"/>
                <w:sz w:val="16"/>
                <w:szCs w:val="16"/>
                <w:lang w:eastAsia="fr-FR"/>
              </w:rPr>
            </w:pPr>
            <w:r w:rsidRPr="00A32AF4">
              <w:rPr>
                <w:rFonts w:cs="Arial"/>
                <w:sz w:val="16"/>
                <w:szCs w:val="16"/>
                <w:lang w:eastAsia="fr-FR"/>
              </w:rPr>
              <w:t>VIII.4</w:t>
            </w:r>
          </w:p>
        </w:tc>
        <w:tc>
          <w:tcPr>
            <w:tcW w:w="4247" w:type="dxa"/>
            <w:shd w:val="clear" w:color="auto" w:fill="auto"/>
            <w:tcMar>
              <w:top w:w="113" w:type="dxa"/>
              <w:bottom w:w="113" w:type="dxa"/>
            </w:tcMar>
            <w:vAlign w:val="center"/>
            <w:hideMark/>
          </w:tcPr>
          <w:p w:rsidR="00C63736" w:rsidRPr="00A32AF4" w:rsidRDefault="00C63736" w:rsidP="00DC0553">
            <w:pPr>
              <w:rPr>
                <w:rFonts w:cs="Arial"/>
                <w:sz w:val="16"/>
                <w:szCs w:val="16"/>
                <w:lang w:eastAsia="fr-FR"/>
              </w:rPr>
            </w:pPr>
            <w:r w:rsidRPr="00A32AF4">
              <w:rPr>
                <w:rFonts w:cs="Arial"/>
                <w:sz w:val="16"/>
                <w:szCs w:val="16"/>
                <w:lang w:eastAsia="fr-FR"/>
              </w:rPr>
              <w:t>Échanges ouverts, transparents et dynamiques avec les parties prenantes non gouvernementales</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1 771 </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1 225 </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1 128 </w:t>
            </w:r>
          </w:p>
        </w:tc>
      </w:tr>
      <w:tr w:rsidR="00C63736" w:rsidRPr="00A32AF4" w:rsidTr="00C63736">
        <w:trPr>
          <w:cantSplit/>
        </w:trPr>
        <w:tc>
          <w:tcPr>
            <w:tcW w:w="593" w:type="dxa"/>
            <w:shd w:val="clear" w:color="auto" w:fill="auto"/>
            <w:noWrap/>
            <w:tcMar>
              <w:top w:w="113" w:type="dxa"/>
              <w:bottom w:w="113" w:type="dxa"/>
            </w:tcMar>
            <w:vAlign w:val="center"/>
            <w:hideMark/>
          </w:tcPr>
          <w:p w:rsidR="00C63736" w:rsidRPr="00A32AF4" w:rsidRDefault="00C63736" w:rsidP="00DC0553">
            <w:pPr>
              <w:rPr>
                <w:rFonts w:cs="Arial"/>
                <w:sz w:val="16"/>
                <w:szCs w:val="16"/>
                <w:lang w:eastAsia="fr-FR"/>
              </w:rPr>
            </w:pPr>
            <w:r w:rsidRPr="00A32AF4">
              <w:rPr>
                <w:rFonts w:cs="Arial"/>
                <w:sz w:val="16"/>
                <w:szCs w:val="16"/>
                <w:lang w:eastAsia="fr-FR"/>
              </w:rPr>
              <w:t>VIII.5</w:t>
            </w:r>
          </w:p>
        </w:tc>
        <w:tc>
          <w:tcPr>
            <w:tcW w:w="4247" w:type="dxa"/>
            <w:shd w:val="clear" w:color="auto" w:fill="auto"/>
            <w:tcMar>
              <w:top w:w="113" w:type="dxa"/>
              <w:bottom w:w="113" w:type="dxa"/>
            </w:tcMar>
            <w:vAlign w:val="center"/>
            <w:hideMark/>
          </w:tcPr>
          <w:p w:rsidR="00C63736" w:rsidRPr="00A32AF4" w:rsidRDefault="00C63736" w:rsidP="00DC0553">
            <w:pPr>
              <w:rPr>
                <w:rFonts w:cs="Arial"/>
                <w:sz w:val="16"/>
                <w:szCs w:val="16"/>
                <w:lang w:eastAsia="fr-FR"/>
              </w:rPr>
            </w:pPr>
            <w:r w:rsidRPr="00A32AF4">
              <w:rPr>
                <w:rFonts w:cs="Arial"/>
                <w:sz w:val="16"/>
                <w:szCs w:val="16"/>
                <w:lang w:eastAsia="fr-FR"/>
              </w:rPr>
              <w:t>L</w:t>
            </w:r>
            <w:r w:rsidR="00E2055A" w:rsidRPr="00A32AF4">
              <w:rPr>
                <w:rFonts w:cs="Arial"/>
                <w:sz w:val="16"/>
                <w:szCs w:val="16"/>
                <w:lang w:eastAsia="fr-FR"/>
              </w:rPr>
              <w:t>’</w:t>
            </w:r>
            <w:r w:rsidRPr="00A32AF4">
              <w:rPr>
                <w:rFonts w:cs="Arial"/>
                <w:sz w:val="16"/>
                <w:szCs w:val="16"/>
                <w:lang w:eastAsia="fr-FR"/>
              </w:rPr>
              <w:t>OMPI collabore efficacement avec d</w:t>
            </w:r>
            <w:r w:rsidR="00E2055A" w:rsidRPr="00A32AF4">
              <w:rPr>
                <w:rFonts w:cs="Arial"/>
                <w:sz w:val="16"/>
                <w:szCs w:val="16"/>
                <w:lang w:eastAsia="fr-FR"/>
              </w:rPr>
              <w:t>’</w:t>
            </w:r>
            <w:r w:rsidRPr="00A32AF4">
              <w:rPr>
                <w:rFonts w:cs="Arial"/>
                <w:sz w:val="16"/>
                <w:szCs w:val="16"/>
                <w:lang w:eastAsia="fr-FR"/>
              </w:rPr>
              <w:t>autres processus et instances de négociation de l</w:t>
            </w:r>
            <w:r w:rsidR="00E2055A" w:rsidRPr="00A32AF4">
              <w:rPr>
                <w:rFonts w:cs="Arial"/>
                <w:sz w:val="16"/>
                <w:szCs w:val="16"/>
                <w:lang w:eastAsia="fr-FR"/>
              </w:rPr>
              <w:t>’</w:t>
            </w:r>
            <w:r w:rsidRPr="00A32AF4">
              <w:rPr>
                <w:rFonts w:cs="Arial"/>
                <w:sz w:val="16"/>
                <w:szCs w:val="16"/>
                <w:lang w:eastAsia="fr-FR"/>
              </w:rPr>
              <w:t>ONU et d</w:t>
            </w:r>
            <w:r w:rsidR="00E2055A" w:rsidRPr="00A32AF4">
              <w:rPr>
                <w:rFonts w:cs="Arial"/>
                <w:sz w:val="16"/>
                <w:szCs w:val="16"/>
                <w:lang w:eastAsia="fr-FR"/>
              </w:rPr>
              <w:t>’</w:t>
            </w:r>
            <w:r w:rsidRPr="00A32AF4">
              <w:rPr>
                <w:rFonts w:cs="Arial"/>
                <w:sz w:val="16"/>
                <w:szCs w:val="16"/>
                <w:lang w:eastAsia="fr-FR"/>
              </w:rPr>
              <w:t>autres organisations intergouvernementales</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5 949 </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9 156 </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6 196 </w:t>
            </w:r>
          </w:p>
        </w:tc>
      </w:tr>
      <w:tr w:rsidR="00C63736" w:rsidRPr="00A32AF4" w:rsidTr="00C63736">
        <w:trPr>
          <w:cantSplit/>
        </w:trPr>
        <w:tc>
          <w:tcPr>
            <w:tcW w:w="593" w:type="dxa"/>
            <w:shd w:val="clear" w:color="auto" w:fill="auto"/>
            <w:noWrap/>
            <w:tcMar>
              <w:top w:w="113" w:type="dxa"/>
              <w:bottom w:w="113" w:type="dxa"/>
            </w:tcMar>
            <w:vAlign w:val="center"/>
            <w:hideMark/>
          </w:tcPr>
          <w:p w:rsidR="00C63736" w:rsidRPr="00A32AF4" w:rsidRDefault="00C63736" w:rsidP="00DC0553">
            <w:pPr>
              <w:rPr>
                <w:rFonts w:cs="Arial"/>
                <w:sz w:val="16"/>
                <w:szCs w:val="16"/>
                <w:lang w:eastAsia="fr-FR"/>
              </w:rPr>
            </w:pPr>
            <w:r w:rsidRPr="00A32AF4">
              <w:rPr>
                <w:rFonts w:cs="Arial"/>
                <w:sz w:val="16"/>
                <w:szCs w:val="16"/>
                <w:lang w:eastAsia="fr-FR"/>
              </w:rPr>
              <w:t>IX.1</w:t>
            </w:r>
          </w:p>
        </w:tc>
        <w:tc>
          <w:tcPr>
            <w:tcW w:w="4247" w:type="dxa"/>
            <w:shd w:val="clear" w:color="auto" w:fill="auto"/>
            <w:tcMar>
              <w:top w:w="113" w:type="dxa"/>
              <w:bottom w:w="113" w:type="dxa"/>
            </w:tcMar>
            <w:vAlign w:val="center"/>
            <w:hideMark/>
          </w:tcPr>
          <w:p w:rsidR="00C63736" w:rsidRPr="00A32AF4" w:rsidRDefault="00C63736" w:rsidP="00DC0553">
            <w:pPr>
              <w:rPr>
                <w:rFonts w:cs="Arial"/>
                <w:sz w:val="16"/>
                <w:szCs w:val="16"/>
                <w:lang w:eastAsia="fr-FR"/>
              </w:rPr>
            </w:pPr>
            <w:r w:rsidRPr="00A32AF4">
              <w:rPr>
                <w:rFonts w:cs="Arial"/>
                <w:sz w:val="16"/>
                <w:szCs w:val="16"/>
                <w:lang w:eastAsia="fr-FR"/>
              </w:rPr>
              <w:t>Services d</w:t>
            </w:r>
            <w:r w:rsidR="00E2055A" w:rsidRPr="00A32AF4">
              <w:rPr>
                <w:rFonts w:cs="Arial"/>
                <w:sz w:val="16"/>
                <w:szCs w:val="16"/>
                <w:lang w:eastAsia="fr-FR"/>
              </w:rPr>
              <w:t>’</w:t>
            </w:r>
            <w:r w:rsidRPr="00A32AF4">
              <w:rPr>
                <w:rFonts w:cs="Arial"/>
                <w:sz w:val="16"/>
                <w:szCs w:val="16"/>
                <w:lang w:eastAsia="fr-FR"/>
              </w:rPr>
              <w:t>appui efficaces, efficients, de qualité et tournés vers la clientèle, à l</w:t>
            </w:r>
            <w:r w:rsidR="00E2055A" w:rsidRPr="00A32AF4">
              <w:rPr>
                <w:rFonts w:cs="Arial"/>
                <w:sz w:val="16"/>
                <w:szCs w:val="16"/>
                <w:lang w:eastAsia="fr-FR"/>
              </w:rPr>
              <w:t>’</w:t>
            </w:r>
            <w:r w:rsidRPr="00A32AF4">
              <w:rPr>
                <w:rFonts w:cs="Arial"/>
                <w:sz w:val="16"/>
                <w:szCs w:val="16"/>
                <w:lang w:eastAsia="fr-FR"/>
              </w:rPr>
              <w:t>intention à la fois des clients internes et des parties prenantes externes</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150 797 </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151 135 </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165 356 </w:t>
            </w:r>
          </w:p>
        </w:tc>
      </w:tr>
      <w:tr w:rsidR="00C63736" w:rsidRPr="00A32AF4" w:rsidTr="00C63736">
        <w:trPr>
          <w:cantSplit/>
        </w:trPr>
        <w:tc>
          <w:tcPr>
            <w:tcW w:w="593" w:type="dxa"/>
            <w:shd w:val="clear" w:color="auto" w:fill="auto"/>
            <w:noWrap/>
            <w:tcMar>
              <w:top w:w="113" w:type="dxa"/>
              <w:bottom w:w="113" w:type="dxa"/>
            </w:tcMar>
            <w:vAlign w:val="center"/>
            <w:hideMark/>
          </w:tcPr>
          <w:p w:rsidR="00C63736" w:rsidRPr="00A32AF4" w:rsidRDefault="00C63736" w:rsidP="00DC0553">
            <w:pPr>
              <w:rPr>
                <w:rFonts w:cs="Arial"/>
                <w:sz w:val="16"/>
                <w:szCs w:val="16"/>
                <w:lang w:eastAsia="fr-FR"/>
              </w:rPr>
            </w:pPr>
            <w:r w:rsidRPr="00A32AF4">
              <w:rPr>
                <w:rFonts w:cs="Arial"/>
                <w:sz w:val="16"/>
                <w:szCs w:val="16"/>
                <w:lang w:eastAsia="fr-FR"/>
              </w:rPr>
              <w:t>IX.2</w:t>
            </w:r>
          </w:p>
        </w:tc>
        <w:tc>
          <w:tcPr>
            <w:tcW w:w="4247" w:type="dxa"/>
            <w:shd w:val="clear" w:color="auto" w:fill="auto"/>
            <w:tcMar>
              <w:top w:w="113" w:type="dxa"/>
              <w:bottom w:w="113" w:type="dxa"/>
            </w:tcMar>
            <w:vAlign w:val="center"/>
            <w:hideMark/>
          </w:tcPr>
          <w:p w:rsidR="00C63736" w:rsidRPr="00A32AF4" w:rsidRDefault="00C63736" w:rsidP="00DC0553">
            <w:pPr>
              <w:rPr>
                <w:rFonts w:cs="Arial"/>
                <w:sz w:val="16"/>
                <w:szCs w:val="16"/>
                <w:lang w:eastAsia="fr-FR"/>
              </w:rPr>
            </w:pPr>
            <w:r w:rsidRPr="00A32AF4">
              <w:rPr>
                <w:rFonts w:cs="Arial"/>
                <w:sz w:val="16"/>
                <w:szCs w:val="16"/>
                <w:lang w:eastAsia="fr-FR"/>
              </w:rPr>
              <w:t>Un Secrétariat réactif, fonctionnant harmonieusement et doté de ressources humaines bien gérées et compétentes, à même d</w:t>
            </w:r>
            <w:r w:rsidR="00E2055A" w:rsidRPr="00A32AF4">
              <w:rPr>
                <w:rFonts w:cs="Arial"/>
                <w:sz w:val="16"/>
                <w:szCs w:val="16"/>
                <w:lang w:eastAsia="fr-FR"/>
              </w:rPr>
              <w:t>’</w:t>
            </w:r>
            <w:r w:rsidRPr="00A32AF4">
              <w:rPr>
                <w:rFonts w:cs="Arial"/>
                <w:sz w:val="16"/>
                <w:szCs w:val="16"/>
                <w:lang w:eastAsia="fr-FR"/>
              </w:rPr>
              <w:t>obtenir des résultats concrets</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36 603 </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32 756 </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35 257 </w:t>
            </w:r>
          </w:p>
        </w:tc>
      </w:tr>
      <w:tr w:rsidR="00C63736" w:rsidRPr="00A32AF4" w:rsidTr="00C63736">
        <w:trPr>
          <w:cantSplit/>
        </w:trPr>
        <w:tc>
          <w:tcPr>
            <w:tcW w:w="593" w:type="dxa"/>
            <w:shd w:val="clear" w:color="auto" w:fill="auto"/>
            <w:noWrap/>
            <w:tcMar>
              <w:top w:w="113" w:type="dxa"/>
              <w:bottom w:w="113" w:type="dxa"/>
            </w:tcMar>
            <w:vAlign w:val="center"/>
            <w:hideMark/>
          </w:tcPr>
          <w:p w:rsidR="00C63736" w:rsidRPr="00A32AF4" w:rsidRDefault="00C63736" w:rsidP="00DC0553">
            <w:pPr>
              <w:rPr>
                <w:rFonts w:cs="Arial"/>
                <w:sz w:val="16"/>
                <w:szCs w:val="16"/>
                <w:lang w:eastAsia="fr-FR"/>
              </w:rPr>
            </w:pPr>
            <w:r w:rsidRPr="00A32AF4">
              <w:rPr>
                <w:rFonts w:cs="Arial"/>
                <w:sz w:val="16"/>
                <w:szCs w:val="16"/>
                <w:lang w:eastAsia="fr-FR"/>
              </w:rPr>
              <w:t>IX.3</w:t>
            </w:r>
          </w:p>
        </w:tc>
        <w:tc>
          <w:tcPr>
            <w:tcW w:w="4247" w:type="dxa"/>
            <w:shd w:val="clear" w:color="auto" w:fill="auto"/>
            <w:tcMar>
              <w:top w:w="113" w:type="dxa"/>
              <w:bottom w:w="113" w:type="dxa"/>
            </w:tcMar>
            <w:vAlign w:val="center"/>
            <w:hideMark/>
          </w:tcPr>
          <w:p w:rsidR="00C63736" w:rsidRPr="00A32AF4" w:rsidRDefault="00C63736" w:rsidP="00DC0553">
            <w:pPr>
              <w:rPr>
                <w:rFonts w:cs="Arial"/>
                <w:sz w:val="16"/>
                <w:szCs w:val="16"/>
                <w:lang w:eastAsia="fr-FR"/>
              </w:rPr>
            </w:pPr>
            <w:r w:rsidRPr="00A32AF4">
              <w:rPr>
                <w:rFonts w:cs="Arial"/>
                <w:sz w:val="16"/>
                <w:szCs w:val="16"/>
                <w:lang w:eastAsia="fr-FR"/>
              </w:rPr>
              <w:t>Un environnement de travail stimulant étayé par un cadre réglementaire efficace et des voies appropriées pour répondre aux préoccupations du personnel</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2 971 </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2 260 </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2 540 </w:t>
            </w:r>
          </w:p>
        </w:tc>
      </w:tr>
      <w:tr w:rsidR="00C63736" w:rsidRPr="00A32AF4" w:rsidTr="00C63736">
        <w:trPr>
          <w:cantSplit/>
        </w:trPr>
        <w:tc>
          <w:tcPr>
            <w:tcW w:w="593" w:type="dxa"/>
            <w:shd w:val="clear" w:color="auto" w:fill="auto"/>
            <w:noWrap/>
            <w:tcMar>
              <w:top w:w="113" w:type="dxa"/>
              <w:bottom w:w="113" w:type="dxa"/>
            </w:tcMar>
            <w:vAlign w:val="center"/>
            <w:hideMark/>
          </w:tcPr>
          <w:p w:rsidR="00C63736" w:rsidRPr="00A32AF4" w:rsidRDefault="00C63736" w:rsidP="00DC0553">
            <w:pPr>
              <w:rPr>
                <w:rFonts w:cs="Arial"/>
                <w:sz w:val="16"/>
                <w:szCs w:val="16"/>
                <w:lang w:eastAsia="fr-FR"/>
              </w:rPr>
            </w:pPr>
            <w:r w:rsidRPr="00A32AF4">
              <w:rPr>
                <w:rFonts w:cs="Arial"/>
                <w:sz w:val="16"/>
                <w:szCs w:val="16"/>
                <w:lang w:eastAsia="fr-FR"/>
              </w:rPr>
              <w:t>IX.4</w:t>
            </w:r>
          </w:p>
        </w:tc>
        <w:tc>
          <w:tcPr>
            <w:tcW w:w="4247" w:type="dxa"/>
            <w:shd w:val="clear" w:color="auto" w:fill="auto"/>
            <w:tcMar>
              <w:top w:w="113" w:type="dxa"/>
              <w:bottom w:w="113" w:type="dxa"/>
            </w:tcMar>
            <w:vAlign w:val="center"/>
            <w:hideMark/>
          </w:tcPr>
          <w:p w:rsidR="00C63736" w:rsidRPr="00A32AF4" w:rsidRDefault="00C63736" w:rsidP="00DC0553">
            <w:pPr>
              <w:rPr>
                <w:rFonts w:cs="Arial"/>
                <w:sz w:val="16"/>
                <w:szCs w:val="16"/>
                <w:lang w:eastAsia="fr-FR"/>
              </w:rPr>
            </w:pPr>
            <w:r w:rsidRPr="00A32AF4">
              <w:rPr>
                <w:rFonts w:cs="Arial"/>
                <w:sz w:val="16"/>
                <w:szCs w:val="16"/>
                <w:lang w:eastAsia="fr-FR"/>
              </w:rPr>
              <w:t>Une Organisation écologiquement et socialement responsable assurant la sûreté et la sécurité du personnel, des délégués, des visiteurs, de l</w:t>
            </w:r>
            <w:r w:rsidR="00E2055A" w:rsidRPr="00A32AF4">
              <w:rPr>
                <w:rFonts w:cs="Arial"/>
                <w:sz w:val="16"/>
                <w:szCs w:val="16"/>
                <w:lang w:eastAsia="fr-FR"/>
              </w:rPr>
              <w:t>’</w:t>
            </w:r>
            <w:r w:rsidRPr="00A32AF4">
              <w:rPr>
                <w:rFonts w:cs="Arial"/>
                <w:sz w:val="16"/>
                <w:szCs w:val="16"/>
                <w:lang w:eastAsia="fr-FR"/>
              </w:rPr>
              <w:t>information et des biens</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13 992 </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15 818 </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18 403 </w:t>
            </w:r>
          </w:p>
        </w:tc>
      </w:tr>
      <w:tr w:rsidR="00C63736" w:rsidRPr="00A32AF4" w:rsidTr="00C63736">
        <w:trPr>
          <w:cantSplit/>
        </w:trPr>
        <w:tc>
          <w:tcPr>
            <w:tcW w:w="593" w:type="dxa"/>
            <w:shd w:val="clear" w:color="auto" w:fill="auto"/>
            <w:noWrap/>
            <w:tcMar>
              <w:top w:w="113" w:type="dxa"/>
              <w:bottom w:w="113" w:type="dxa"/>
            </w:tcMar>
            <w:vAlign w:val="center"/>
            <w:hideMark/>
          </w:tcPr>
          <w:p w:rsidR="00C63736" w:rsidRPr="00A32AF4" w:rsidRDefault="00C63736" w:rsidP="00DC0553">
            <w:pPr>
              <w:rPr>
                <w:rFonts w:cs="Arial"/>
                <w:sz w:val="16"/>
                <w:szCs w:val="16"/>
                <w:lang w:eastAsia="fr-FR"/>
              </w:rPr>
            </w:pPr>
            <w:r w:rsidRPr="00A32AF4">
              <w:rPr>
                <w:rFonts w:cs="Arial"/>
                <w:sz w:val="16"/>
                <w:szCs w:val="16"/>
                <w:lang w:eastAsia="fr-FR"/>
              </w:rPr>
              <w:t>IX.8</w:t>
            </w:r>
          </w:p>
        </w:tc>
        <w:tc>
          <w:tcPr>
            <w:tcW w:w="4247" w:type="dxa"/>
            <w:shd w:val="clear" w:color="auto" w:fill="auto"/>
            <w:tcMar>
              <w:top w:w="113" w:type="dxa"/>
              <w:bottom w:w="113" w:type="dxa"/>
            </w:tcMar>
            <w:vAlign w:val="center"/>
            <w:hideMark/>
          </w:tcPr>
          <w:p w:rsidR="00C63736" w:rsidRPr="00A32AF4" w:rsidRDefault="00C63736" w:rsidP="00DC0553">
            <w:pPr>
              <w:rPr>
                <w:rFonts w:cs="Arial"/>
                <w:sz w:val="16"/>
                <w:szCs w:val="16"/>
                <w:lang w:eastAsia="fr-FR"/>
              </w:rPr>
            </w:pPr>
            <w:r w:rsidRPr="00A32AF4">
              <w:rPr>
                <w:rFonts w:cs="Arial"/>
                <w:sz w:val="16"/>
                <w:szCs w:val="16"/>
                <w:lang w:eastAsia="fr-FR"/>
              </w:rPr>
              <w:t>Renforcement de l</w:t>
            </w:r>
            <w:r w:rsidR="00E2055A" w:rsidRPr="00A32AF4">
              <w:rPr>
                <w:rFonts w:cs="Arial"/>
                <w:sz w:val="16"/>
                <w:szCs w:val="16"/>
                <w:lang w:eastAsia="fr-FR"/>
              </w:rPr>
              <w:t>’</w:t>
            </w:r>
            <w:r w:rsidRPr="00A32AF4">
              <w:rPr>
                <w:rFonts w:cs="Arial"/>
                <w:sz w:val="16"/>
                <w:szCs w:val="16"/>
                <w:lang w:eastAsia="fr-FR"/>
              </w:rPr>
              <w:t>obligation redditionnelle, de l</w:t>
            </w:r>
            <w:r w:rsidR="00E2055A" w:rsidRPr="00A32AF4">
              <w:rPr>
                <w:rFonts w:cs="Arial"/>
                <w:sz w:val="16"/>
                <w:szCs w:val="16"/>
                <w:lang w:eastAsia="fr-FR"/>
              </w:rPr>
              <w:t>’</w:t>
            </w:r>
            <w:r w:rsidRPr="00A32AF4">
              <w:rPr>
                <w:rFonts w:cs="Arial"/>
                <w:sz w:val="16"/>
                <w:szCs w:val="16"/>
                <w:lang w:eastAsia="fr-FR"/>
              </w:rPr>
              <w:t>apprentissage institutionnel, de l</w:t>
            </w:r>
            <w:r w:rsidR="00E2055A" w:rsidRPr="00A32AF4">
              <w:rPr>
                <w:rFonts w:cs="Arial"/>
                <w:sz w:val="16"/>
                <w:szCs w:val="16"/>
                <w:lang w:eastAsia="fr-FR"/>
              </w:rPr>
              <w:t>’</w:t>
            </w:r>
            <w:r w:rsidRPr="00A32AF4">
              <w:rPr>
                <w:rFonts w:cs="Arial"/>
                <w:sz w:val="16"/>
                <w:szCs w:val="16"/>
                <w:lang w:eastAsia="fr-FR"/>
              </w:rPr>
              <w:t>optimisation des ressources financières, de l</w:t>
            </w:r>
            <w:r w:rsidR="00E2055A" w:rsidRPr="00A32AF4">
              <w:rPr>
                <w:rFonts w:cs="Arial"/>
                <w:sz w:val="16"/>
                <w:szCs w:val="16"/>
                <w:lang w:eastAsia="fr-FR"/>
              </w:rPr>
              <w:t>’</w:t>
            </w:r>
            <w:r w:rsidRPr="00A32AF4">
              <w:rPr>
                <w:rFonts w:cs="Arial"/>
                <w:sz w:val="16"/>
                <w:szCs w:val="16"/>
                <w:lang w:eastAsia="fr-FR"/>
              </w:rPr>
              <w:t>administration, du contrôle interne et de la gestion institutionnelle avec le concours d</w:t>
            </w:r>
            <w:r w:rsidR="00E2055A" w:rsidRPr="00A32AF4">
              <w:rPr>
                <w:rFonts w:cs="Arial"/>
                <w:sz w:val="16"/>
                <w:szCs w:val="16"/>
                <w:lang w:eastAsia="fr-FR"/>
              </w:rPr>
              <w:t>’</w:t>
            </w:r>
            <w:r w:rsidRPr="00A32AF4">
              <w:rPr>
                <w:rFonts w:cs="Arial"/>
                <w:sz w:val="16"/>
                <w:szCs w:val="16"/>
                <w:lang w:eastAsia="fr-FR"/>
              </w:rPr>
              <w:t>une supervision indépendante efficace</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6 641 </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7 676 </w:t>
            </w:r>
          </w:p>
        </w:tc>
        <w:tc>
          <w:tcPr>
            <w:tcW w:w="1520" w:type="dxa"/>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7 035 </w:t>
            </w:r>
          </w:p>
        </w:tc>
      </w:tr>
      <w:tr w:rsidR="00C63736" w:rsidRPr="00A32AF4" w:rsidTr="00C63736">
        <w:trPr>
          <w:cantSplit/>
        </w:trPr>
        <w:tc>
          <w:tcPr>
            <w:tcW w:w="593" w:type="dxa"/>
            <w:tcBorders>
              <w:bottom w:val="single" w:sz="4" w:space="0" w:color="auto"/>
            </w:tcBorders>
            <w:shd w:val="clear" w:color="auto" w:fill="auto"/>
            <w:noWrap/>
            <w:tcMar>
              <w:top w:w="113" w:type="dxa"/>
              <w:bottom w:w="113" w:type="dxa"/>
            </w:tcMar>
            <w:vAlign w:val="center"/>
            <w:hideMark/>
          </w:tcPr>
          <w:p w:rsidR="00C63736" w:rsidRPr="00A32AF4" w:rsidRDefault="00C63736" w:rsidP="00DC0553">
            <w:pPr>
              <w:rPr>
                <w:rFonts w:cs="Arial"/>
                <w:sz w:val="16"/>
                <w:szCs w:val="16"/>
                <w:lang w:eastAsia="fr-FR"/>
              </w:rPr>
            </w:pPr>
            <w:r w:rsidRPr="00A32AF4">
              <w:rPr>
                <w:rFonts w:cs="Arial"/>
                <w:sz w:val="16"/>
                <w:szCs w:val="16"/>
                <w:lang w:eastAsia="fr-FR"/>
              </w:rPr>
              <w:t> </w:t>
            </w:r>
          </w:p>
        </w:tc>
        <w:tc>
          <w:tcPr>
            <w:tcW w:w="4247" w:type="dxa"/>
            <w:tcBorders>
              <w:bottom w:val="single" w:sz="4" w:space="0" w:color="auto"/>
            </w:tcBorders>
            <w:shd w:val="clear" w:color="auto" w:fill="auto"/>
            <w:tcMar>
              <w:top w:w="113" w:type="dxa"/>
              <w:bottom w:w="113" w:type="dxa"/>
            </w:tcMar>
            <w:vAlign w:val="center"/>
            <w:hideMark/>
          </w:tcPr>
          <w:p w:rsidR="00C63736" w:rsidRPr="00A32AF4" w:rsidRDefault="00C63736" w:rsidP="00DC0553">
            <w:pPr>
              <w:rPr>
                <w:rFonts w:cs="Arial"/>
                <w:sz w:val="16"/>
                <w:szCs w:val="16"/>
                <w:lang w:eastAsia="fr-FR"/>
              </w:rPr>
            </w:pPr>
            <w:r w:rsidRPr="00A32AF4">
              <w:rPr>
                <w:rFonts w:cs="Arial"/>
                <w:sz w:val="16"/>
                <w:szCs w:val="16"/>
                <w:lang w:eastAsia="fr-FR"/>
              </w:rPr>
              <w:t>Non affecté</w:t>
            </w:r>
          </w:p>
        </w:tc>
        <w:tc>
          <w:tcPr>
            <w:tcW w:w="1520" w:type="dxa"/>
            <w:tcBorders>
              <w:bottom w:val="single" w:sz="4" w:space="0" w:color="auto"/>
            </w:tcBorders>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4 727 </w:t>
            </w:r>
          </w:p>
        </w:tc>
        <w:tc>
          <w:tcPr>
            <w:tcW w:w="1520" w:type="dxa"/>
            <w:tcBorders>
              <w:bottom w:val="single" w:sz="4" w:space="0" w:color="auto"/>
            </w:tcBorders>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7 422 </w:t>
            </w:r>
          </w:p>
        </w:tc>
        <w:tc>
          <w:tcPr>
            <w:tcW w:w="1520" w:type="dxa"/>
            <w:tcBorders>
              <w:bottom w:val="single" w:sz="4" w:space="0" w:color="auto"/>
            </w:tcBorders>
            <w:shd w:val="clear" w:color="auto" w:fill="auto"/>
            <w:tcMar>
              <w:top w:w="113" w:type="dxa"/>
              <w:bottom w:w="113" w:type="dxa"/>
            </w:tcMar>
            <w:vAlign w:val="center"/>
            <w:hideMark/>
          </w:tcPr>
          <w:p w:rsidR="00C63736" w:rsidRPr="00A32AF4" w:rsidRDefault="00C63736" w:rsidP="00DC0553">
            <w:pPr>
              <w:jc w:val="right"/>
              <w:rPr>
                <w:rFonts w:cs="Arial"/>
                <w:sz w:val="16"/>
                <w:szCs w:val="16"/>
                <w:lang w:eastAsia="fr-FR"/>
              </w:rPr>
            </w:pPr>
            <w:r w:rsidRPr="00A32AF4">
              <w:rPr>
                <w:rFonts w:cs="Arial"/>
                <w:sz w:val="16"/>
                <w:szCs w:val="16"/>
                <w:lang w:eastAsia="fr-FR"/>
              </w:rPr>
              <w:t xml:space="preserve">6 319 </w:t>
            </w:r>
          </w:p>
        </w:tc>
      </w:tr>
      <w:tr w:rsidR="00C63736" w:rsidRPr="00A32AF4" w:rsidTr="00C63736">
        <w:trPr>
          <w:cantSplit/>
        </w:trPr>
        <w:tc>
          <w:tcPr>
            <w:tcW w:w="593" w:type="dxa"/>
            <w:tcBorders>
              <w:top w:val="single" w:sz="4" w:space="0" w:color="auto"/>
              <w:bottom w:val="single" w:sz="4" w:space="0" w:color="auto"/>
            </w:tcBorders>
            <w:shd w:val="clear" w:color="000000" w:fill="C5D9F1"/>
            <w:noWrap/>
            <w:tcMar>
              <w:top w:w="113" w:type="dxa"/>
              <w:bottom w:w="113" w:type="dxa"/>
            </w:tcMar>
            <w:vAlign w:val="bottom"/>
            <w:hideMark/>
          </w:tcPr>
          <w:p w:rsidR="00C63736" w:rsidRPr="00A32AF4" w:rsidRDefault="00C63736" w:rsidP="00DC0553">
            <w:pPr>
              <w:rPr>
                <w:rFonts w:cs="Arial"/>
                <w:sz w:val="16"/>
                <w:szCs w:val="16"/>
                <w:lang w:eastAsia="fr-FR"/>
              </w:rPr>
            </w:pPr>
            <w:r w:rsidRPr="00A32AF4">
              <w:rPr>
                <w:rFonts w:cs="Arial"/>
                <w:sz w:val="16"/>
                <w:szCs w:val="16"/>
                <w:lang w:eastAsia="fr-FR"/>
              </w:rPr>
              <w:t> </w:t>
            </w:r>
          </w:p>
        </w:tc>
        <w:tc>
          <w:tcPr>
            <w:tcW w:w="4247" w:type="dxa"/>
            <w:tcBorders>
              <w:top w:val="single" w:sz="4" w:space="0" w:color="auto"/>
              <w:bottom w:val="single" w:sz="4" w:space="0" w:color="auto"/>
            </w:tcBorders>
            <w:shd w:val="clear" w:color="000000" w:fill="C5D9F1"/>
            <w:tcMar>
              <w:top w:w="113" w:type="dxa"/>
              <w:bottom w:w="113" w:type="dxa"/>
            </w:tcMar>
            <w:vAlign w:val="bottom"/>
            <w:hideMark/>
          </w:tcPr>
          <w:p w:rsidR="00C63736" w:rsidRPr="00A32AF4" w:rsidRDefault="00C63736" w:rsidP="00DC0553">
            <w:pPr>
              <w:rPr>
                <w:rFonts w:cs="Arial"/>
                <w:sz w:val="16"/>
                <w:szCs w:val="16"/>
                <w:lang w:eastAsia="fr-FR"/>
              </w:rPr>
            </w:pPr>
            <w:r w:rsidRPr="00A32AF4">
              <w:rPr>
                <w:rFonts w:cs="Arial"/>
                <w:sz w:val="16"/>
                <w:szCs w:val="16"/>
                <w:lang w:eastAsia="fr-FR"/>
              </w:rPr>
              <w:t> </w:t>
            </w:r>
          </w:p>
        </w:tc>
        <w:tc>
          <w:tcPr>
            <w:tcW w:w="1520" w:type="dxa"/>
            <w:tcBorders>
              <w:top w:val="single" w:sz="4" w:space="0" w:color="auto"/>
              <w:bottom w:val="single" w:sz="4" w:space="0" w:color="auto"/>
            </w:tcBorders>
            <w:shd w:val="clear" w:color="000000" w:fill="C5D9F1"/>
            <w:noWrap/>
            <w:tcMar>
              <w:top w:w="113" w:type="dxa"/>
              <w:bottom w:w="113" w:type="dxa"/>
            </w:tcMar>
            <w:vAlign w:val="bottom"/>
            <w:hideMark/>
          </w:tcPr>
          <w:p w:rsidR="00C63736" w:rsidRPr="00A32AF4" w:rsidRDefault="00C63736" w:rsidP="00DC0553">
            <w:pPr>
              <w:jc w:val="right"/>
              <w:rPr>
                <w:rFonts w:cs="Arial"/>
                <w:b/>
                <w:bCs/>
                <w:sz w:val="16"/>
                <w:szCs w:val="16"/>
                <w:lang w:eastAsia="fr-FR"/>
              </w:rPr>
            </w:pPr>
            <w:r w:rsidRPr="00A32AF4">
              <w:rPr>
                <w:rFonts w:cs="Arial"/>
                <w:b/>
                <w:bCs/>
                <w:sz w:val="16"/>
                <w:szCs w:val="16"/>
                <w:lang w:eastAsia="fr-FR"/>
              </w:rPr>
              <w:t xml:space="preserve">673 993 </w:t>
            </w:r>
          </w:p>
        </w:tc>
        <w:tc>
          <w:tcPr>
            <w:tcW w:w="1520" w:type="dxa"/>
            <w:tcBorders>
              <w:top w:val="single" w:sz="4" w:space="0" w:color="auto"/>
              <w:bottom w:val="single" w:sz="4" w:space="0" w:color="auto"/>
            </w:tcBorders>
            <w:shd w:val="clear" w:color="000000" w:fill="C5D9F1"/>
            <w:noWrap/>
            <w:tcMar>
              <w:top w:w="113" w:type="dxa"/>
              <w:bottom w:w="113" w:type="dxa"/>
            </w:tcMar>
            <w:vAlign w:val="bottom"/>
            <w:hideMark/>
          </w:tcPr>
          <w:p w:rsidR="00C63736" w:rsidRPr="00A32AF4" w:rsidRDefault="00C63736" w:rsidP="00DC0553">
            <w:pPr>
              <w:jc w:val="right"/>
              <w:rPr>
                <w:rFonts w:cs="Arial"/>
                <w:b/>
                <w:bCs/>
                <w:sz w:val="16"/>
                <w:szCs w:val="16"/>
                <w:lang w:eastAsia="fr-FR"/>
              </w:rPr>
            </w:pPr>
            <w:r w:rsidRPr="00A32AF4">
              <w:rPr>
                <w:rFonts w:cs="Arial"/>
                <w:b/>
                <w:bCs/>
                <w:sz w:val="16"/>
                <w:szCs w:val="16"/>
                <w:lang w:eastAsia="fr-FR"/>
              </w:rPr>
              <w:t xml:space="preserve">673 993 </w:t>
            </w:r>
          </w:p>
        </w:tc>
        <w:tc>
          <w:tcPr>
            <w:tcW w:w="1520" w:type="dxa"/>
            <w:tcBorders>
              <w:top w:val="single" w:sz="4" w:space="0" w:color="auto"/>
              <w:bottom w:val="single" w:sz="4" w:space="0" w:color="auto"/>
            </w:tcBorders>
            <w:shd w:val="clear" w:color="000000" w:fill="C5D9F1"/>
            <w:noWrap/>
            <w:tcMar>
              <w:top w:w="113" w:type="dxa"/>
              <w:bottom w:w="113" w:type="dxa"/>
            </w:tcMar>
            <w:vAlign w:val="bottom"/>
            <w:hideMark/>
          </w:tcPr>
          <w:p w:rsidR="00C63736" w:rsidRPr="00A32AF4" w:rsidRDefault="00C63736" w:rsidP="00DC0553">
            <w:pPr>
              <w:jc w:val="right"/>
              <w:rPr>
                <w:rFonts w:cs="Arial"/>
                <w:b/>
                <w:bCs/>
                <w:sz w:val="16"/>
                <w:szCs w:val="16"/>
                <w:lang w:eastAsia="fr-FR"/>
              </w:rPr>
            </w:pPr>
            <w:r w:rsidRPr="00A32AF4">
              <w:rPr>
                <w:rFonts w:cs="Arial"/>
                <w:b/>
                <w:bCs/>
                <w:sz w:val="16"/>
                <w:szCs w:val="16"/>
                <w:lang w:eastAsia="fr-FR"/>
              </w:rPr>
              <w:t xml:space="preserve">707 036 </w:t>
            </w:r>
          </w:p>
        </w:tc>
      </w:tr>
    </w:tbl>
    <w:p w:rsidR="00F93B76" w:rsidRPr="00A32AF4" w:rsidRDefault="00F93B76" w:rsidP="00DC0553"/>
    <w:p w:rsidR="00F93B76" w:rsidRPr="00A32AF4" w:rsidRDefault="00F93B76" w:rsidP="00DC0553"/>
    <w:p w:rsidR="00F93B76" w:rsidRPr="00A32AF4" w:rsidRDefault="00F93B76" w:rsidP="00DC0553"/>
    <w:p w:rsidR="00C63736" w:rsidRPr="00A32AF4" w:rsidRDefault="00C63736" w:rsidP="00FB1F61">
      <w:pPr>
        <w:pStyle w:val="Heading3"/>
        <w:sectPr w:rsidR="00C63736" w:rsidRPr="00A32AF4" w:rsidSect="00C63736">
          <w:pgSz w:w="11907" w:h="16840" w:code="9"/>
          <w:pgMar w:top="624" w:right="1418" w:bottom="1361" w:left="1418" w:header="567" w:footer="851" w:gutter="0"/>
          <w:cols w:space="720"/>
          <w:docGrid w:linePitch="272"/>
        </w:sectPr>
      </w:pPr>
    </w:p>
    <w:p w:rsidR="00F93B76" w:rsidRPr="00A32AF4" w:rsidRDefault="00E216DA" w:rsidP="00FB1F61">
      <w:pPr>
        <w:pStyle w:val="Heading3"/>
      </w:pPr>
      <w:bookmarkStart w:id="98" w:name="_Toc431555486"/>
      <w:r w:rsidRPr="00A32AF4">
        <w:t>Annexe </w:t>
      </w:r>
      <w:r w:rsidR="00C63736" w:rsidRPr="00A32AF4">
        <w:t>XII</w:t>
      </w:r>
      <w:r w:rsidR="00C63736" w:rsidRPr="00A32AF4">
        <w:tab/>
        <w:t>Organigramme de l</w:t>
      </w:r>
      <w:r w:rsidR="00E2055A" w:rsidRPr="00A32AF4">
        <w:t>’</w:t>
      </w:r>
      <w:r w:rsidR="00C63736" w:rsidRPr="00A32AF4">
        <w:t>OMPI</w:t>
      </w:r>
      <w:bookmarkEnd w:id="98"/>
    </w:p>
    <w:p w:rsidR="00F93B76" w:rsidRPr="00A32AF4" w:rsidRDefault="00F93B76" w:rsidP="00DC0553"/>
    <w:p w:rsidR="00F52E38" w:rsidRPr="00A32AF4" w:rsidRDefault="00C21088" w:rsidP="00DC0553">
      <w:r w:rsidRPr="00A32AF4">
        <w:object w:dxaOrig="20484" w:dyaOrig="12320">
          <v:shape id="_x0000_i1044" type="#_x0000_t75" style="width:712.85pt;height:427.5pt" o:ole="">
            <v:imagedata r:id="rId289" o:title=""/>
          </v:shape>
          <o:OLEObject Type="Embed" ProgID="Visio.Drawing.11" ShapeID="_x0000_i1044" DrawAspect="Content" ObjectID="_1509794770" r:id="rId290"/>
        </w:object>
      </w:r>
    </w:p>
    <w:p w:rsidR="00C63736" w:rsidRPr="00A32AF4" w:rsidRDefault="00C63736" w:rsidP="00DC0553">
      <w:pPr>
        <w:sectPr w:rsidR="00C63736" w:rsidRPr="00A32AF4" w:rsidSect="00C63736">
          <w:pgSz w:w="16840" w:h="11907" w:orient="landscape" w:code="9"/>
          <w:pgMar w:top="1418" w:right="624" w:bottom="1418" w:left="1361" w:header="567" w:footer="851" w:gutter="0"/>
          <w:cols w:space="720"/>
          <w:docGrid w:linePitch="272"/>
        </w:sectPr>
      </w:pPr>
    </w:p>
    <w:p w:rsidR="00F93B76" w:rsidRPr="00A32AF4" w:rsidRDefault="00C63736" w:rsidP="00DC0553">
      <w:pPr>
        <w:pStyle w:val="Heading1"/>
      </w:pPr>
      <w:bookmarkStart w:id="99" w:name="_Toc431555487"/>
      <w:r w:rsidRPr="00A32AF4">
        <w:t>IV.</w:t>
      </w:r>
      <w:r w:rsidRPr="00A32AF4">
        <w:tab/>
        <w:t>Appendices</w:t>
      </w:r>
      <w:bookmarkEnd w:id="99"/>
    </w:p>
    <w:p w:rsidR="00F93B76" w:rsidRPr="00A32AF4" w:rsidRDefault="00F93B76" w:rsidP="00DC0553"/>
    <w:p w:rsidR="00F93B76" w:rsidRPr="00A32AF4" w:rsidRDefault="00142569" w:rsidP="00F52E38">
      <w:pPr>
        <w:pStyle w:val="Heading3"/>
        <w:tabs>
          <w:tab w:val="clear" w:pos="2268"/>
        </w:tabs>
        <w:ind w:left="0" w:firstLine="0"/>
      </w:pPr>
      <w:bookmarkStart w:id="100" w:name="_Toc293334851"/>
      <w:bookmarkStart w:id="101" w:name="_Toc298920433"/>
      <w:bookmarkStart w:id="102" w:name="_Toc310950813"/>
      <w:bookmarkStart w:id="103" w:name="_Toc356567799"/>
      <w:bookmarkStart w:id="104" w:name="_Toc359246238"/>
      <w:bookmarkStart w:id="105" w:name="_Toc431555488"/>
      <w:r w:rsidRPr="00A32AF4">
        <w:t xml:space="preserve">Appendice A </w:t>
      </w:r>
      <w:r w:rsidR="00B77998" w:rsidRPr="00A32AF4">
        <w:t xml:space="preserve">  </w:t>
      </w:r>
      <w:r w:rsidRPr="00A32AF4">
        <w:br/>
        <w:t>Contributions</w:t>
      </w:r>
      <w:bookmarkEnd w:id="100"/>
      <w:bookmarkEnd w:id="101"/>
      <w:bookmarkEnd w:id="102"/>
      <w:bookmarkEnd w:id="103"/>
      <w:r w:rsidRPr="00A32AF4">
        <w:t xml:space="preserve"> des États membres</w:t>
      </w:r>
      <w:bookmarkEnd w:id="104"/>
      <w:bookmarkEnd w:id="105"/>
    </w:p>
    <w:p w:rsidR="00F93B76" w:rsidRPr="00A32AF4" w:rsidRDefault="00142569" w:rsidP="00DC0553">
      <w:pPr>
        <w:rPr>
          <w:i/>
        </w:rPr>
      </w:pPr>
      <w:r w:rsidRPr="00A32AF4">
        <w:rPr>
          <w:i/>
        </w:rPr>
        <w:t>(</w:t>
      </w:r>
      <w:proofErr w:type="gramStart"/>
      <w:r w:rsidRPr="00A32AF4">
        <w:rPr>
          <w:i/>
        </w:rPr>
        <w:t>en</w:t>
      </w:r>
      <w:proofErr w:type="gramEnd"/>
      <w:r w:rsidRPr="00A32AF4">
        <w:rPr>
          <w:i/>
        </w:rPr>
        <w:t xml:space="preserve"> francs suisses)</w:t>
      </w:r>
    </w:p>
    <w:p w:rsidR="00F93B76" w:rsidRPr="00A32AF4" w:rsidRDefault="00F93B76" w:rsidP="00DC0553">
      <w:pPr>
        <w:pStyle w:val="NormalArial"/>
      </w:pPr>
    </w:p>
    <w:p w:rsidR="00142569" w:rsidRPr="00A32AF4" w:rsidRDefault="00142569" w:rsidP="00DC0553">
      <w:pPr>
        <w:pStyle w:val="NormalArial"/>
      </w:pPr>
    </w:p>
    <w:tbl>
      <w:tblPr>
        <w:tblW w:w="9460" w:type="dxa"/>
        <w:tblInd w:w="-190" w:type="dxa"/>
        <w:tblLayout w:type="fixed"/>
        <w:tblCellMar>
          <w:left w:w="30" w:type="dxa"/>
          <w:right w:w="30" w:type="dxa"/>
        </w:tblCellMar>
        <w:tblLook w:val="0000" w:firstRow="0" w:lastRow="0" w:firstColumn="0" w:lastColumn="0" w:noHBand="0" w:noVBand="0"/>
      </w:tblPr>
      <w:tblGrid>
        <w:gridCol w:w="2750"/>
        <w:gridCol w:w="1430"/>
        <w:gridCol w:w="1210"/>
        <w:gridCol w:w="1320"/>
        <w:gridCol w:w="1430"/>
        <w:gridCol w:w="1320"/>
      </w:tblGrid>
      <w:tr w:rsidR="00142569" w:rsidRPr="00A32AF4" w:rsidTr="00900C4B">
        <w:trPr>
          <w:cantSplit/>
          <w:tblHeader/>
        </w:trPr>
        <w:tc>
          <w:tcPr>
            <w:tcW w:w="2750" w:type="dxa"/>
            <w:shd w:val="clear" w:color="auto" w:fill="D9D9D9"/>
          </w:tcPr>
          <w:p w:rsidR="00142569" w:rsidRPr="00A32AF4" w:rsidRDefault="00142569" w:rsidP="00DC0553">
            <w:pPr>
              <w:jc w:val="center"/>
              <w:rPr>
                <w:rFonts w:cs="Arial"/>
                <w:b/>
                <w:sz w:val="18"/>
                <w:szCs w:val="18"/>
              </w:rPr>
            </w:pPr>
            <w:r w:rsidRPr="00A32AF4">
              <w:rPr>
                <w:rFonts w:cs="Arial"/>
                <w:b/>
                <w:sz w:val="18"/>
                <w:szCs w:val="18"/>
              </w:rPr>
              <w:t>États membres d</w:t>
            </w:r>
            <w:r w:rsidR="00E2055A" w:rsidRPr="00A32AF4">
              <w:rPr>
                <w:rFonts w:cs="Arial"/>
                <w:b/>
                <w:sz w:val="18"/>
                <w:szCs w:val="18"/>
              </w:rPr>
              <w:t>’</w:t>
            </w:r>
            <w:r w:rsidRPr="00A32AF4">
              <w:rPr>
                <w:rFonts w:cs="Arial"/>
                <w:b/>
                <w:sz w:val="18"/>
                <w:szCs w:val="18"/>
              </w:rPr>
              <w:t xml:space="preserve">une </w:t>
            </w:r>
            <w:r w:rsidRPr="00A32AF4">
              <w:rPr>
                <w:rFonts w:cs="Arial"/>
                <w:b/>
                <w:sz w:val="18"/>
                <w:szCs w:val="18"/>
              </w:rPr>
              <w:br/>
              <w:t>ou de plusieurs unions financées par des contributions</w:t>
            </w:r>
          </w:p>
        </w:tc>
        <w:tc>
          <w:tcPr>
            <w:tcW w:w="1430" w:type="dxa"/>
            <w:shd w:val="clear" w:color="auto" w:fill="D9D9D9"/>
            <w:vAlign w:val="center"/>
          </w:tcPr>
          <w:p w:rsidR="00142569" w:rsidRPr="00A32AF4" w:rsidRDefault="00142569" w:rsidP="00DC0553">
            <w:pPr>
              <w:jc w:val="center"/>
              <w:rPr>
                <w:rFonts w:cs="Arial"/>
                <w:b/>
                <w:sz w:val="18"/>
                <w:szCs w:val="18"/>
              </w:rPr>
            </w:pPr>
            <w:r w:rsidRPr="00A32AF4">
              <w:rPr>
                <w:rFonts w:cs="Arial"/>
                <w:b/>
                <w:sz w:val="18"/>
                <w:szCs w:val="18"/>
              </w:rPr>
              <w:t>Classe de contribution</w:t>
            </w:r>
          </w:p>
        </w:tc>
        <w:tc>
          <w:tcPr>
            <w:tcW w:w="1210" w:type="dxa"/>
            <w:shd w:val="clear" w:color="auto" w:fill="D9D9D9"/>
            <w:vAlign w:val="center"/>
          </w:tcPr>
          <w:p w:rsidR="00F93B76" w:rsidRPr="00A32AF4" w:rsidRDefault="00142569" w:rsidP="00DC0553">
            <w:pPr>
              <w:jc w:val="center"/>
              <w:rPr>
                <w:rFonts w:cs="Arial"/>
                <w:b/>
                <w:sz w:val="18"/>
                <w:szCs w:val="18"/>
              </w:rPr>
            </w:pPr>
            <w:r w:rsidRPr="00A32AF4">
              <w:rPr>
                <w:rFonts w:cs="Arial"/>
                <w:b/>
                <w:sz w:val="18"/>
                <w:szCs w:val="18"/>
              </w:rPr>
              <w:t>Unités de contribution</w:t>
            </w:r>
          </w:p>
          <w:p w:rsidR="00142569" w:rsidRPr="00A32AF4" w:rsidRDefault="00142569" w:rsidP="00DC0553">
            <w:pPr>
              <w:jc w:val="center"/>
              <w:rPr>
                <w:rFonts w:cs="Arial"/>
                <w:b/>
                <w:sz w:val="18"/>
                <w:szCs w:val="18"/>
              </w:rPr>
            </w:pPr>
            <w:r w:rsidRPr="00A32AF4">
              <w:rPr>
                <w:rFonts w:cs="Arial"/>
                <w:b/>
                <w:sz w:val="18"/>
                <w:szCs w:val="18"/>
              </w:rPr>
              <w:t>2016</w:t>
            </w:r>
            <w:r w:rsidR="00EB7F54" w:rsidRPr="00A32AF4">
              <w:rPr>
                <w:rFonts w:cs="Arial"/>
                <w:b/>
                <w:sz w:val="18"/>
                <w:szCs w:val="18"/>
              </w:rPr>
              <w:noBreakHyphen/>
            </w:r>
            <w:r w:rsidRPr="00A32AF4">
              <w:rPr>
                <w:rFonts w:cs="Arial"/>
                <w:b/>
                <w:sz w:val="18"/>
                <w:szCs w:val="18"/>
              </w:rPr>
              <w:t>2017</w:t>
            </w:r>
          </w:p>
        </w:tc>
        <w:tc>
          <w:tcPr>
            <w:tcW w:w="1320" w:type="dxa"/>
            <w:shd w:val="clear" w:color="auto" w:fill="D9D9D9"/>
            <w:vAlign w:val="center"/>
          </w:tcPr>
          <w:p w:rsidR="00F93B76" w:rsidRPr="00A32AF4" w:rsidRDefault="00142569" w:rsidP="00DC0553">
            <w:pPr>
              <w:jc w:val="center"/>
              <w:rPr>
                <w:rFonts w:cs="Arial"/>
                <w:b/>
                <w:sz w:val="18"/>
                <w:szCs w:val="18"/>
              </w:rPr>
            </w:pPr>
            <w:r w:rsidRPr="00A32AF4">
              <w:rPr>
                <w:rFonts w:cs="Arial"/>
                <w:b/>
                <w:sz w:val="18"/>
                <w:szCs w:val="18"/>
              </w:rPr>
              <w:t>Contribution</w:t>
            </w:r>
            <w:r w:rsidRPr="00A32AF4">
              <w:rPr>
                <w:rFonts w:cs="Arial"/>
                <w:b/>
                <w:sz w:val="18"/>
                <w:szCs w:val="18"/>
                <w:vertAlign w:val="superscript"/>
              </w:rPr>
              <w:t>1</w:t>
            </w:r>
          </w:p>
          <w:p w:rsidR="00142569" w:rsidRPr="00A32AF4" w:rsidRDefault="00142569" w:rsidP="00DC0553">
            <w:pPr>
              <w:jc w:val="center"/>
              <w:rPr>
                <w:rFonts w:cs="Arial"/>
                <w:b/>
                <w:sz w:val="18"/>
                <w:szCs w:val="18"/>
              </w:rPr>
            </w:pPr>
            <w:r w:rsidRPr="00A32AF4">
              <w:rPr>
                <w:rFonts w:cs="Arial"/>
                <w:b/>
                <w:sz w:val="18"/>
                <w:szCs w:val="18"/>
              </w:rPr>
              <w:t>2016</w:t>
            </w:r>
          </w:p>
        </w:tc>
        <w:tc>
          <w:tcPr>
            <w:tcW w:w="1430" w:type="dxa"/>
            <w:shd w:val="clear" w:color="auto" w:fill="D9D9D9"/>
            <w:vAlign w:val="center"/>
          </w:tcPr>
          <w:p w:rsidR="00F93B76" w:rsidRPr="00A32AF4" w:rsidRDefault="00142569" w:rsidP="00DC0553">
            <w:pPr>
              <w:jc w:val="center"/>
              <w:rPr>
                <w:rFonts w:cs="Arial"/>
                <w:b/>
                <w:sz w:val="18"/>
                <w:szCs w:val="18"/>
              </w:rPr>
            </w:pPr>
            <w:r w:rsidRPr="00A32AF4">
              <w:rPr>
                <w:rFonts w:cs="Arial"/>
                <w:b/>
                <w:sz w:val="18"/>
                <w:szCs w:val="18"/>
              </w:rPr>
              <w:t>Contribution</w:t>
            </w:r>
            <w:r w:rsidRPr="00A32AF4">
              <w:rPr>
                <w:rFonts w:cs="Arial"/>
                <w:b/>
                <w:sz w:val="18"/>
                <w:szCs w:val="18"/>
                <w:vertAlign w:val="superscript"/>
              </w:rPr>
              <w:t>1</w:t>
            </w:r>
          </w:p>
          <w:p w:rsidR="00142569" w:rsidRPr="00A32AF4" w:rsidRDefault="00142569" w:rsidP="00DC0553">
            <w:pPr>
              <w:jc w:val="center"/>
              <w:rPr>
                <w:rFonts w:cs="Arial"/>
                <w:b/>
                <w:sz w:val="18"/>
                <w:szCs w:val="18"/>
              </w:rPr>
            </w:pPr>
            <w:r w:rsidRPr="00A32AF4">
              <w:rPr>
                <w:rFonts w:cs="Arial"/>
                <w:b/>
                <w:sz w:val="18"/>
                <w:szCs w:val="18"/>
              </w:rPr>
              <w:t>2017</w:t>
            </w:r>
          </w:p>
        </w:tc>
        <w:tc>
          <w:tcPr>
            <w:tcW w:w="1320" w:type="dxa"/>
            <w:shd w:val="clear" w:color="auto" w:fill="D9D9D9"/>
            <w:vAlign w:val="center"/>
          </w:tcPr>
          <w:p w:rsidR="00F93B76" w:rsidRPr="00A32AF4" w:rsidRDefault="00142569" w:rsidP="00DC0553">
            <w:pPr>
              <w:jc w:val="center"/>
              <w:rPr>
                <w:rFonts w:cs="Arial"/>
                <w:b/>
                <w:sz w:val="18"/>
                <w:szCs w:val="18"/>
              </w:rPr>
            </w:pPr>
            <w:r w:rsidRPr="00A32AF4">
              <w:rPr>
                <w:rFonts w:cs="Arial"/>
                <w:b/>
                <w:sz w:val="18"/>
                <w:szCs w:val="18"/>
              </w:rPr>
              <w:t>Contributions</w:t>
            </w:r>
          </w:p>
          <w:p w:rsidR="00142569" w:rsidRPr="00A32AF4" w:rsidRDefault="00142569" w:rsidP="00DC0553">
            <w:pPr>
              <w:jc w:val="center"/>
              <w:rPr>
                <w:rFonts w:cs="Arial"/>
                <w:b/>
                <w:sz w:val="18"/>
                <w:szCs w:val="18"/>
              </w:rPr>
            </w:pPr>
            <w:r w:rsidRPr="00A32AF4">
              <w:rPr>
                <w:rFonts w:cs="Arial"/>
                <w:b/>
                <w:sz w:val="18"/>
                <w:szCs w:val="18"/>
              </w:rPr>
              <w:t>2016</w:t>
            </w:r>
            <w:r w:rsidR="00EB7F54" w:rsidRPr="00A32AF4">
              <w:rPr>
                <w:rFonts w:cs="Arial"/>
                <w:b/>
                <w:sz w:val="18"/>
                <w:szCs w:val="18"/>
              </w:rPr>
              <w:noBreakHyphen/>
            </w:r>
            <w:r w:rsidRPr="00A32AF4">
              <w:rPr>
                <w:rFonts w:cs="Arial"/>
                <w:b/>
                <w:sz w:val="18"/>
                <w:szCs w:val="18"/>
              </w:rPr>
              <w:t>2017</w:t>
            </w:r>
          </w:p>
        </w:tc>
      </w:tr>
      <w:tr w:rsidR="00142569" w:rsidRPr="00A32AF4" w:rsidTr="00900C4B">
        <w:trPr>
          <w:cantSplit/>
          <w:tblHeader/>
        </w:trPr>
        <w:tc>
          <w:tcPr>
            <w:tcW w:w="2750" w:type="dxa"/>
            <w:shd w:val="clear" w:color="auto" w:fill="auto"/>
          </w:tcPr>
          <w:p w:rsidR="00142569" w:rsidRPr="00A32AF4" w:rsidRDefault="00142569" w:rsidP="00DC0553">
            <w:pPr>
              <w:jc w:val="right"/>
              <w:rPr>
                <w:rFonts w:cs="Arial"/>
                <w:snapToGrid w:val="0"/>
                <w:color w:val="000000"/>
                <w:sz w:val="18"/>
                <w:szCs w:val="18"/>
              </w:rPr>
            </w:pPr>
          </w:p>
        </w:tc>
        <w:tc>
          <w:tcPr>
            <w:tcW w:w="1430" w:type="dxa"/>
            <w:shd w:val="clear" w:color="auto" w:fill="auto"/>
          </w:tcPr>
          <w:p w:rsidR="00142569" w:rsidRPr="00A32AF4" w:rsidRDefault="00142569" w:rsidP="00DC0553">
            <w:pPr>
              <w:jc w:val="center"/>
              <w:rPr>
                <w:rFonts w:cs="Arial"/>
                <w:snapToGrid w:val="0"/>
                <w:color w:val="000000"/>
                <w:sz w:val="18"/>
                <w:szCs w:val="18"/>
              </w:rPr>
            </w:pPr>
          </w:p>
        </w:tc>
        <w:tc>
          <w:tcPr>
            <w:tcW w:w="1210" w:type="dxa"/>
            <w:shd w:val="clear" w:color="auto" w:fill="auto"/>
          </w:tcPr>
          <w:p w:rsidR="00142569" w:rsidRPr="00A32AF4" w:rsidRDefault="00142569" w:rsidP="00DC0553">
            <w:pPr>
              <w:jc w:val="right"/>
              <w:rPr>
                <w:rFonts w:cs="Arial"/>
                <w:snapToGrid w:val="0"/>
                <w:color w:val="000000"/>
                <w:sz w:val="18"/>
                <w:szCs w:val="18"/>
              </w:rPr>
            </w:pPr>
          </w:p>
        </w:tc>
        <w:tc>
          <w:tcPr>
            <w:tcW w:w="1320" w:type="dxa"/>
            <w:shd w:val="clear" w:color="auto" w:fill="auto"/>
          </w:tcPr>
          <w:p w:rsidR="00142569" w:rsidRPr="00A32AF4" w:rsidRDefault="00142569" w:rsidP="00DC0553">
            <w:pPr>
              <w:jc w:val="right"/>
              <w:rPr>
                <w:rFonts w:cs="Arial"/>
                <w:snapToGrid w:val="0"/>
                <w:color w:val="000000"/>
                <w:sz w:val="18"/>
                <w:szCs w:val="18"/>
              </w:rPr>
            </w:pPr>
          </w:p>
        </w:tc>
        <w:tc>
          <w:tcPr>
            <w:tcW w:w="1430" w:type="dxa"/>
            <w:shd w:val="clear" w:color="auto" w:fill="auto"/>
          </w:tcPr>
          <w:p w:rsidR="00142569" w:rsidRPr="00A32AF4" w:rsidRDefault="00142569" w:rsidP="00DC0553">
            <w:pPr>
              <w:jc w:val="right"/>
              <w:rPr>
                <w:rFonts w:cs="Arial"/>
                <w:snapToGrid w:val="0"/>
                <w:color w:val="000000"/>
                <w:sz w:val="18"/>
                <w:szCs w:val="18"/>
              </w:rPr>
            </w:pPr>
          </w:p>
        </w:tc>
        <w:tc>
          <w:tcPr>
            <w:tcW w:w="1320" w:type="dxa"/>
            <w:shd w:val="clear" w:color="auto" w:fill="auto"/>
          </w:tcPr>
          <w:p w:rsidR="00142569" w:rsidRPr="00A32AF4" w:rsidRDefault="00142569" w:rsidP="00DC0553">
            <w:pPr>
              <w:jc w:val="right"/>
              <w:rPr>
                <w:rFonts w:cs="Arial"/>
                <w:snapToGrid w:val="0"/>
                <w:color w:val="000000"/>
                <w:sz w:val="18"/>
                <w:szCs w:val="18"/>
              </w:rPr>
            </w:pP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b/>
                <w:snapToGrid w:val="0"/>
                <w:color w:val="000000"/>
                <w:sz w:val="18"/>
                <w:szCs w:val="18"/>
              </w:rPr>
              <w:t>A</w:t>
            </w:r>
            <w:r w:rsidRPr="00A32AF4">
              <w:rPr>
                <w:rFonts w:cs="Arial"/>
                <w:snapToGrid w:val="0"/>
                <w:color w:val="000000"/>
                <w:sz w:val="18"/>
                <w:szCs w:val="18"/>
              </w:rPr>
              <w:t>fghanistan</w:t>
            </w:r>
            <w:r w:rsidRPr="00A32AF4">
              <w:rPr>
                <w:rFonts w:cs="Arial"/>
                <w:snapToGrid w:val="0"/>
                <w:color w:val="000000"/>
                <w:sz w:val="18"/>
                <w:szCs w:val="18"/>
                <w:vertAlign w:val="superscript"/>
              </w:rPr>
              <w:t>2</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i/>
                <w:snapToGrid w:val="0"/>
                <w:color w:val="000000"/>
                <w:sz w:val="18"/>
                <w:szCs w:val="18"/>
              </w:rPr>
              <w:t>Ster</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0,03125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Afrique du Sud</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IV</w:t>
            </w:r>
            <w:r w:rsidRPr="00A32AF4">
              <w:rPr>
                <w:rFonts w:cs="Arial"/>
                <w:i/>
                <w:snapToGrid w:val="0"/>
                <w:color w:val="000000"/>
                <w:sz w:val="18"/>
                <w:szCs w:val="18"/>
              </w:rPr>
              <w:t>bis</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7,5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341 842</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341 842</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683 684</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Albanie</w:t>
            </w:r>
          </w:p>
        </w:tc>
        <w:tc>
          <w:tcPr>
            <w:tcW w:w="1430" w:type="dxa"/>
            <w:shd w:val="clear" w:color="auto" w:fill="auto"/>
          </w:tcPr>
          <w:p w:rsidR="00142569" w:rsidRPr="00A32AF4" w:rsidRDefault="00142569" w:rsidP="00DC0553">
            <w:pPr>
              <w:jc w:val="center"/>
              <w:rPr>
                <w:rFonts w:cs="Arial"/>
                <w:snapToGrid w:val="0"/>
                <w:color w:val="000000"/>
                <w:sz w:val="18"/>
                <w:szCs w:val="18"/>
              </w:rPr>
            </w:pPr>
            <w:r w:rsidRPr="00A32AF4">
              <w:rPr>
                <w:rFonts w:cs="Arial"/>
                <w:snapToGrid w:val="0"/>
                <w:color w:val="000000"/>
                <w:sz w:val="18"/>
                <w:szCs w:val="18"/>
              </w:rPr>
              <w:t>IX</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11 395</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22 790</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Algérie</w:t>
            </w:r>
          </w:p>
        </w:tc>
        <w:tc>
          <w:tcPr>
            <w:tcW w:w="1430" w:type="dxa"/>
            <w:shd w:val="clear" w:color="auto" w:fill="auto"/>
          </w:tcPr>
          <w:p w:rsidR="00142569" w:rsidRPr="00A32AF4" w:rsidRDefault="00142569" w:rsidP="00DC0553">
            <w:pPr>
              <w:jc w:val="center"/>
              <w:rPr>
                <w:rFonts w:cs="Arial"/>
                <w:snapToGrid w:val="0"/>
                <w:color w:val="000000"/>
                <w:sz w:val="18"/>
                <w:szCs w:val="18"/>
              </w:rPr>
            </w:pPr>
            <w:r w:rsidRPr="00A32AF4">
              <w:rPr>
                <w:rFonts w:cs="Arial"/>
                <w:snapToGrid w:val="0"/>
                <w:color w:val="000000"/>
                <w:sz w:val="18"/>
                <w:szCs w:val="18"/>
              </w:rPr>
              <w:t>IX</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11 395</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22 790</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Allemagne</w:t>
            </w:r>
          </w:p>
        </w:tc>
        <w:tc>
          <w:tcPr>
            <w:tcW w:w="1430" w:type="dxa"/>
            <w:shd w:val="clear" w:color="auto" w:fill="auto"/>
          </w:tcPr>
          <w:p w:rsidR="00142569" w:rsidRPr="00A32AF4" w:rsidRDefault="00142569" w:rsidP="00DC0553">
            <w:pPr>
              <w:jc w:val="center"/>
              <w:rPr>
                <w:rFonts w:cs="Arial"/>
                <w:snapToGrid w:val="0"/>
                <w:color w:val="000000"/>
                <w:sz w:val="18"/>
                <w:szCs w:val="18"/>
              </w:rPr>
            </w:pPr>
            <w:r w:rsidRPr="00A32AF4">
              <w:rPr>
                <w:rFonts w:cs="Arial"/>
                <w:snapToGrid w:val="0"/>
                <w:color w:val="000000"/>
                <w:sz w:val="18"/>
                <w:szCs w:val="18"/>
              </w:rPr>
              <w:t>I</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1 139 475</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1 139 475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2 278 950</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vertAlign w:val="superscript"/>
              </w:rPr>
            </w:pPr>
            <w:r w:rsidRPr="00A32AF4">
              <w:rPr>
                <w:rFonts w:cs="Arial"/>
                <w:snapToGrid w:val="0"/>
                <w:color w:val="000000"/>
                <w:sz w:val="18"/>
                <w:szCs w:val="18"/>
              </w:rPr>
              <w:t>Andorre</w:t>
            </w:r>
          </w:p>
        </w:tc>
        <w:tc>
          <w:tcPr>
            <w:tcW w:w="1430" w:type="dxa"/>
            <w:shd w:val="clear" w:color="auto" w:fill="auto"/>
          </w:tcPr>
          <w:p w:rsidR="00142569" w:rsidRPr="00A32AF4" w:rsidRDefault="00142569" w:rsidP="00DC0553">
            <w:pPr>
              <w:jc w:val="center"/>
              <w:rPr>
                <w:rFonts w:cs="Arial"/>
                <w:snapToGrid w:val="0"/>
                <w:color w:val="000000"/>
                <w:sz w:val="18"/>
                <w:szCs w:val="18"/>
              </w:rPr>
            </w:pPr>
            <w:r w:rsidRPr="00A32AF4">
              <w:rPr>
                <w:rFonts w:cs="Arial"/>
                <w:snapToGrid w:val="0"/>
                <w:color w:val="000000"/>
                <w:sz w:val="18"/>
                <w:szCs w:val="18"/>
              </w:rPr>
              <w:t>IX</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11 395</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22 790</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vertAlign w:val="superscript"/>
              </w:rPr>
            </w:pPr>
            <w:r w:rsidRPr="00A32AF4">
              <w:rPr>
                <w:rFonts w:cs="Arial"/>
                <w:snapToGrid w:val="0"/>
                <w:color w:val="000000"/>
                <w:sz w:val="18"/>
                <w:szCs w:val="18"/>
              </w:rPr>
              <w:t xml:space="preserve">Angola </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ter</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0,03125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Antigua</w:t>
            </w:r>
            <w:r w:rsidR="00EB7F54" w:rsidRPr="00A32AF4">
              <w:rPr>
                <w:rFonts w:cs="Arial"/>
                <w:snapToGrid w:val="0"/>
                <w:color w:val="000000"/>
                <w:sz w:val="18"/>
                <w:szCs w:val="18"/>
              </w:rPr>
              <w:noBreakHyphen/>
            </w:r>
            <w:r w:rsidRPr="00A32AF4">
              <w:rPr>
                <w:rFonts w:cs="Arial"/>
                <w:snapToGrid w:val="0"/>
                <w:color w:val="000000"/>
                <w:sz w:val="18"/>
                <w:szCs w:val="18"/>
              </w:rPr>
              <w:t>et</w:t>
            </w:r>
            <w:r w:rsidR="00EB7F54" w:rsidRPr="00A32AF4">
              <w:rPr>
                <w:rFonts w:cs="Arial"/>
                <w:snapToGrid w:val="0"/>
                <w:color w:val="000000"/>
                <w:sz w:val="18"/>
                <w:szCs w:val="18"/>
              </w:rPr>
              <w:noBreakHyphen/>
            </w:r>
            <w:r w:rsidRPr="00A32AF4">
              <w:rPr>
                <w:rFonts w:cs="Arial"/>
                <w:snapToGrid w:val="0"/>
                <w:color w:val="000000"/>
                <w:sz w:val="18"/>
                <w:szCs w:val="18"/>
              </w:rPr>
              <w:t>Barbuda</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bis</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0,0625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2 849</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2 849</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5 698</w:t>
            </w:r>
          </w:p>
        </w:tc>
      </w:tr>
      <w:tr w:rsidR="00142569" w:rsidRPr="00A32AF4" w:rsidTr="00900C4B">
        <w:trPr>
          <w:cantSplit/>
        </w:trPr>
        <w:tc>
          <w:tcPr>
            <w:tcW w:w="2750" w:type="dxa"/>
            <w:shd w:val="clear" w:color="auto" w:fill="auto"/>
          </w:tcPr>
          <w:p w:rsidR="00142569" w:rsidRPr="00A32AF4" w:rsidRDefault="00E2055A" w:rsidP="00DC0553">
            <w:pPr>
              <w:rPr>
                <w:rFonts w:cs="Arial"/>
                <w:snapToGrid w:val="0"/>
                <w:color w:val="000000"/>
                <w:sz w:val="18"/>
                <w:szCs w:val="18"/>
                <w:vertAlign w:val="superscript"/>
              </w:rPr>
            </w:pPr>
            <w:r w:rsidRPr="00A32AF4">
              <w:rPr>
                <w:rFonts w:cs="Arial"/>
                <w:snapToGrid w:val="0"/>
                <w:color w:val="000000"/>
                <w:sz w:val="18"/>
                <w:szCs w:val="18"/>
              </w:rPr>
              <w:t>Arabie saoudite</w:t>
            </w:r>
          </w:p>
        </w:tc>
        <w:tc>
          <w:tcPr>
            <w:tcW w:w="1430" w:type="dxa"/>
            <w:shd w:val="clear" w:color="auto" w:fill="auto"/>
          </w:tcPr>
          <w:p w:rsidR="00142569" w:rsidRPr="00A32AF4" w:rsidRDefault="00142569" w:rsidP="00DC0553">
            <w:pPr>
              <w:jc w:val="center"/>
              <w:rPr>
                <w:rFonts w:cs="Arial"/>
                <w:snapToGrid w:val="0"/>
                <w:color w:val="000000"/>
                <w:sz w:val="18"/>
                <w:szCs w:val="18"/>
              </w:rPr>
            </w:pPr>
            <w:r w:rsidRPr="00A32AF4">
              <w:rPr>
                <w:rFonts w:cs="Arial"/>
                <w:snapToGrid w:val="0"/>
                <w:color w:val="000000"/>
                <w:sz w:val="18"/>
                <w:szCs w:val="18"/>
              </w:rPr>
              <w:t>VII</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45 579</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45 579</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91 158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Argentine</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VI</w:t>
            </w:r>
            <w:r w:rsidRPr="00A32AF4">
              <w:rPr>
                <w:rFonts w:cs="Arial"/>
                <w:i/>
                <w:snapToGrid w:val="0"/>
                <w:color w:val="000000"/>
                <w:sz w:val="18"/>
                <w:szCs w:val="18"/>
              </w:rPr>
              <w:t>bis</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91 158</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91 158</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182 316</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Arménie</w:t>
            </w:r>
          </w:p>
        </w:tc>
        <w:tc>
          <w:tcPr>
            <w:tcW w:w="1430" w:type="dxa"/>
            <w:shd w:val="clear" w:color="auto" w:fill="auto"/>
          </w:tcPr>
          <w:p w:rsidR="00142569" w:rsidRPr="00A32AF4" w:rsidRDefault="00142569" w:rsidP="00DC0553">
            <w:pPr>
              <w:jc w:val="center"/>
              <w:rPr>
                <w:rFonts w:cs="Arial"/>
                <w:snapToGrid w:val="0"/>
                <w:color w:val="000000"/>
                <w:sz w:val="18"/>
                <w:szCs w:val="18"/>
              </w:rPr>
            </w:pPr>
            <w:r w:rsidRPr="00A32AF4">
              <w:rPr>
                <w:rFonts w:cs="Arial"/>
                <w:snapToGrid w:val="0"/>
                <w:color w:val="000000"/>
                <w:sz w:val="18"/>
                <w:szCs w:val="18"/>
              </w:rPr>
              <w:t>IX</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11 395</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22 790</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Australie</w:t>
            </w:r>
          </w:p>
        </w:tc>
        <w:tc>
          <w:tcPr>
            <w:tcW w:w="1430" w:type="dxa"/>
            <w:shd w:val="clear" w:color="auto" w:fill="auto"/>
          </w:tcPr>
          <w:p w:rsidR="00142569" w:rsidRPr="00A32AF4" w:rsidRDefault="00142569" w:rsidP="00DC0553">
            <w:pPr>
              <w:jc w:val="center"/>
              <w:rPr>
                <w:rFonts w:cs="Arial"/>
                <w:snapToGrid w:val="0"/>
                <w:color w:val="000000"/>
                <w:sz w:val="18"/>
                <w:szCs w:val="18"/>
              </w:rPr>
            </w:pPr>
            <w:r w:rsidRPr="00A32AF4">
              <w:rPr>
                <w:rFonts w:cs="Arial"/>
                <w:snapToGrid w:val="0"/>
                <w:color w:val="000000"/>
                <w:sz w:val="18"/>
                <w:szCs w:val="18"/>
              </w:rPr>
              <w:t>III</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683 685</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683 685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1 367 370</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Autriche</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IV</w:t>
            </w:r>
            <w:r w:rsidRPr="00A32AF4">
              <w:rPr>
                <w:rFonts w:cs="Arial"/>
                <w:i/>
                <w:snapToGrid w:val="0"/>
                <w:color w:val="000000"/>
                <w:sz w:val="18"/>
                <w:szCs w:val="18"/>
              </w:rPr>
              <w:t>bis</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7,5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341 842</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341 842</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683 684</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Azerbaïdjan</w:t>
            </w:r>
          </w:p>
        </w:tc>
        <w:tc>
          <w:tcPr>
            <w:tcW w:w="1430" w:type="dxa"/>
            <w:shd w:val="clear" w:color="auto" w:fill="auto"/>
          </w:tcPr>
          <w:p w:rsidR="00142569" w:rsidRPr="00A32AF4" w:rsidRDefault="00142569" w:rsidP="00DC0553">
            <w:pPr>
              <w:jc w:val="center"/>
              <w:rPr>
                <w:rFonts w:cs="Arial"/>
                <w:snapToGrid w:val="0"/>
                <w:color w:val="000000"/>
                <w:sz w:val="18"/>
                <w:szCs w:val="18"/>
              </w:rPr>
            </w:pPr>
            <w:r w:rsidRPr="00A32AF4">
              <w:rPr>
                <w:rFonts w:cs="Arial"/>
                <w:snapToGrid w:val="0"/>
                <w:color w:val="000000"/>
                <w:sz w:val="18"/>
                <w:szCs w:val="18"/>
              </w:rPr>
              <w:t>IX</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11 395</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22 790</w:t>
            </w:r>
          </w:p>
        </w:tc>
      </w:tr>
      <w:tr w:rsidR="00142569" w:rsidRPr="00A32AF4" w:rsidTr="00900C4B">
        <w:trPr>
          <w:cantSplit/>
        </w:trPr>
        <w:tc>
          <w:tcPr>
            <w:tcW w:w="2750" w:type="dxa"/>
            <w:shd w:val="clear" w:color="auto" w:fill="auto"/>
          </w:tcPr>
          <w:p w:rsidR="00142569" w:rsidRPr="00A32AF4" w:rsidRDefault="00142569" w:rsidP="00DC0553">
            <w:pPr>
              <w:rPr>
                <w:rFonts w:cs="Arial"/>
                <w:b/>
                <w:snapToGrid w:val="0"/>
                <w:color w:val="000000"/>
                <w:sz w:val="18"/>
                <w:szCs w:val="18"/>
              </w:rPr>
            </w:pPr>
            <w:r w:rsidRPr="00A32AF4">
              <w:rPr>
                <w:rFonts w:cs="Arial"/>
                <w:b/>
                <w:snapToGrid w:val="0"/>
                <w:color w:val="000000"/>
                <w:sz w:val="18"/>
                <w:szCs w:val="18"/>
              </w:rPr>
              <w:t>B</w:t>
            </w:r>
            <w:r w:rsidRPr="00A32AF4">
              <w:rPr>
                <w:rFonts w:cs="Arial"/>
                <w:snapToGrid w:val="0"/>
                <w:color w:val="000000"/>
                <w:sz w:val="18"/>
                <w:szCs w:val="18"/>
              </w:rPr>
              <w:t>ahamas</w:t>
            </w:r>
            <w:r w:rsidRPr="00A32AF4">
              <w:rPr>
                <w:rFonts w:cs="Arial"/>
                <w:b/>
                <w:snapToGrid w:val="0"/>
                <w:color w:val="000000"/>
                <w:sz w:val="18"/>
                <w:szCs w:val="18"/>
              </w:rPr>
              <w:t xml:space="preserve"> </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bis</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0,0625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2 849</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2 849</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Bahreïn</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0,125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5 697</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5 697</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11 394</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Bangladesh</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ter</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0,03125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Barbade</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bis</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0,0625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2 849</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2 849</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Bélarus</w:t>
            </w:r>
          </w:p>
        </w:tc>
        <w:tc>
          <w:tcPr>
            <w:tcW w:w="1430" w:type="dxa"/>
            <w:shd w:val="clear" w:color="auto" w:fill="auto"/>
          </w:tcPr>
          <w:p w:rsidR="00142569" w:rsidRPr="00A32AF4" w:rsidRDefault="00142569" w:rsidP="00DC0553">
            <w:pPr>
              <w:jc w:val="center"/>
              <w:rPr>
                <w:rFonts w:cs="Arial"/>
                <w:snapToGrid w:val="0"/>
                <w:color w:val="000000"/>
                <w:sz w:val="18"/>
                <w:szCs w:val="18"/>
              </w:rPr>
            </w:pPr>
            <w:r w:rsidRPr="00A32AF4">
              <w:rPr>
                <w:rFonts w:cs="Arial"/>
                <w:snapToGrid w:val="0"/>
                <w:color w:val="000000"/>
                <w:sz w:val="18"/>
                <w:szCs w:val="18"/>
              </w:rPr>
              <w:t>IX</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11 395</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22 790</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Belgique</w:t>
            </w:r>
          </w:p>
        </w:tc>
        <w:tc>
          <w:tcPr>
            <w:tcW w:w="1430" w:type="dxa"/>
            <w:shd w:val="clear" w:color="auto" w:fill="auto"/>
          </w:tcPr>
          <w:p w:rsidR="00142569" w:rsidRPr="00A32AF4" w:rsidRDefault="00142569" w:rsidP="00DC0553">
            <w:pPr>
              <w:jc w:val="center"/>
              <w:rPr>
                <w:rFonts w:cs="Arial"/>
                <w:snapToGrid w:val="0"/>
                <w:color w:val="000000"/>
                <w:sz w:val="18"/>
                <w:szCs w:val="18"/>
              </w:rPr>
            </w:pPr>
            <w:r w:rsidRPr="00A32AF4">
              <w:rPr>
                <w:rFonts w:cs="Arial"/>
                <w:snapToGrid w:val="0"/>
                <w:color w:val="000000"/>
                <w:sz w:val="18"/>
                <w:szCs w:val="18"/>
              </w:rPr>
              <w:t>IV</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10</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455 790</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455 790</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911 580</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Belize</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bis</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0,0625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2 849</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2 849</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Bénin</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ter</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0,03125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 xml:space="preserve">Bhoutan </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ter</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0,03125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 xml:space="preserve">Bolivie </w:t>
            </w:r>
            <w:r w:rsidRPr="00A32AF4">
              <w:rPr>
                <w:rFonts w:cs="Arial"/>
                <w:sz w:val="18"/>
                <w:szCs w:val="18"/>
              </w:rPr>
              <w:t>(État plurinational de)</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bis</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0,0625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2 849</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2 849</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Bosnie</w:t>
            </w:r>
            <w:r w:rsidR="00EB7F54" w:rsidRPr="00A32AF4">
              <w:rPr>
                <w:rFonts w:cs="Arial"/>
                <w:snapToGrid w:val="0"/>
                <w:color w:val="000000"/>
                <w:sz w:val="18"/>
                <w:szCs w:val="18"/>
              </w:rPr>
              <w:noBreakHyphen/>
            </w:r>
            <w:r w:rsidRPr="00A32AF4">
              <w:rPr>
                <w:rFonts w:cs="Arial"/>
                <w:snapToGrid w:val="0"/>
                <w:color w:val="000000"/>
                <w:sz w:val="18"/>
                <w:szCs w:val="18"/>
              </w:rPr>
              <w:t>Herzégovine</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bis</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0,0625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2 849</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2 849</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Botswana</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bis</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0,0625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2 849</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2 849</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Brésil</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VI</w:t>
            </w:r>
            <w:r w:rsidRPr="00A32AF4">
              <w:rPr>
                <w:rFonts w:cs="Arial"/>
                <w:i/>
                <w:snapToGrid w:val="0"/>
                <w:color w:val="000000"/>
                <w:sz w:val="18"/>
                <w:szCs w:val="18"/>
              </w:rPr>
              <w:t>bis</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91 158</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91 158</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182 316</w:t>
            </w:r>
          </w:p>
        </w:tc>
      </w:tr>
      <w:tr w:rsidR="00142569" w:rsidRPr="00A32AF4" w:rsidTr="00900C4B">
        <w:trPr>
          <w:cantSplit/>
        </w:trPr>
        <w:tc>
          <w:tcPr>
            <w:tcW w:w="2750" w:type="dxa"/>
            <w:shd w:val="clear" w:color="auto" w:fill="auto"/>
            <w:vAlign w:val="center"/>
          </w:tcPr>
          <w:p w:rsidR="00142569" w:rsidRPr="00A32AF4" w:rsidRDefault="00142569" w:rsidP="00DC0553">
            <w:pPr>
              <w:rPr>
                <w:rFonts w:cs="Arial"/>
                <w:snapToGrid w:val="0"/>
                <w:color w:val="000000"/>
                <w:sz w:val="18"/>
                <w:szCs w:val="18"/>
                <w:vertAlign w:val="superscript"/>
              </w:rPr>
            </w:pPr>
            <w:r w:rsidRPr="00A32AF4">
              <w:rPr>
                <w:rFonts w:cs="Arial"/>
                <w:snapToGrid w:val="0"/>
                <w:color w:val="000000"/>
                <w:sz w:val="18"/>
                <w:szCs w:val="18"/>
              </w:rPr>
              <w:t xml:space="preserve">Brunéi Darussalam </w:t>
            </w:r>
          </w:p>
        </w:tc>
        <w:tc>
          <w:tcPr>
            <w:tcW w:w="1430" w:type="dxa"/>
            <w:shd w:val="clear" w:color="auto" w:fill="auto"/>
            <w:vAlign w:val="center"/>
          </w:tcPr>
          <w:p w:rsidR="00142569" w:rsidRPr="00A32AF4" w:rsidRDefault="00142569" w:rsidP="00DC0553">
            <w:pPr>
              <w:jc w:val="center"/>
              <w:rPr>
                <w:rFonts w:cs="Arial"/>
                <w:snapToGrid w:val="0"/>
                <w:color w:val="000000"/>
                <w:sz w:val="18"/>
                <w:szCs w:val="18"/>
              </w:rPr>
            </w:pPr>
            <w:r w:rsidRPr="00A32AF4">
              <w:rPr>
                <w:rFonts w:cs="Arial"/>
                <w:snapToGrid w:val="0"/>
                <w:color w:val="000000"/>
                <w:sz w:val="18"/>
                <w:szCs w:val="18"/>
              </w:rPr>
              <w:t>S</w:t>
            </w:r>
          </w:p>
        </w:tc>
        <w:tc>
          <w:tcPr>
            <w:tcW w:w="1210" w:type="dxa"/>
            <w:shd w:val="clear" w:color="auto" w:fill="auto"/>
            <w:vAlign w:val="center"/>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0,125</w:t>
            </w:r>
          </w:p>
        </w:tc>
        <w:tc>
          <w:tcPr>
            <w:tcW w:w="1320" w:type="dxa"/>
            <w:shd w:val="clear" w:color="auto" w:fill="auto"/>
            <w:vAlign w:val="center"/>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5 697</w:t>
            </w:r>
          </w:p>
        </w:tc>
        <w:tc>
          <w:tcPr>
            <w:tcW w:w="1430" w:type="dxa"/>
            <w:shd w:val="clear" w:color="auto" w:fill="auto"/>
            <w:vAlign w:val="center"/>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5 697</w:t>
            </w:r>
          </w:p>
        </w:tc>
        <w:tc>
          <w:tcPr>
            <w:tcW w:w="1320" w:type="dxa"/>
            <w:shd w:val="clear" w:color="auto" w:fill="auto"/>
            <w:vAlign w:val="center"/>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11 394</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Bulgarie</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VI</w:t>
            </w:r>
            <w:r w:rsidRPr="00A32AF4">
              <w:rPr>
                <w:rFonts w:cs="Arial"/>
                <w:i/>
                <w:snapToGrid w:val="0"/>
                <w:color w:val="000000"/>
                <w:sz w:val="18"/>
                <w:szCs w:val="18"/>
              </w:rPr>
              <w:t>bis</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91 158</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91 158</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182 316</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Burkina Faso</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ter</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0,03125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Burundi</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ter</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0,03125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b/>
                <w:snapToGrid w:val="0"/>
                <w:color w:val="000000"/>
                <w:sz w:val="18"/>
                <w:szCs w:val="18"/>
              </w:rPr>
              <w:t>C</w:t>
            </w:r>
            <w:r w:rsidRPr="00A32AF4">
              <w:rPr>
                <w:rFonts w:cs="Arial"/>
                <w:snapToGrid w:val="0"/>
                <w:color w:val="000000"/>
                <w:sz w:val="18"/>
                <w:szCs w:val="18"/>
              </w:rPr>
              <w:t>abo Verde</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bis</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0,0625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2 849</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2 849</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 xml:space="preserve">Cambodge </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ter</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0,03125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Cameroun</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bis</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0,0625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2 849</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2 849</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Canada</w:t>
            </w:r>
          </w:p>
        </w:tc>
        <w:tc>
          <w:tcPr>
            <w:tcW w:w="1430" w:type="dxa"/>
            <w:shd w:val="clear" w:color="auto" w:fill="auto"/>
          </w:tcPr>
          <w:p w:rsidR="00142569" w:rsidRPr="00A32AF4" w:rsidRDefault="00142569" w:rsidP="00DC0553">
            <w:pPr>
              <w:jc w:val="center"/>
              <w:rPr>
                <w:rFonts w:cs="Arial"/>
                <w:snapToGrid w:val="0"/>
                <w:color w:val="000000"/>
                <w:sz w:val="18"/>
                <w:szCs w:val="18"/>
              </w:rPr>
            </w:pPr>
            <w:r w:rsidRPr="00A32AF4">
              <w:rPr>
                <w:rFonts w:cs="Arial"/>
                <w:snapToGrid w:val="0"/>
                <w:color w:val="000000"/>
                <w:sz w:val="18"/>
                <w:szCs w:val="18"/>
              </w:rPr>
              <w:t>IV</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10</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455 790</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455 790</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911 580</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Chili</w:t>
            </w:r>
          </w:p>
        </w:tc>
        <w:tc>
          <w:tcPr>
            <w:tcW w:w="1430" w:type="dxa"/>
            <w:shd w:val="clear" w:color="auto" w:fill="auto"/>
          </w:tcPr>
          <w:p w:rsidR="00142569" w:rsidRPr="00A32AF4" w:rsidRDefault="00142569" w:rsidP="00DC0553">
            <w:pPr>
              <w:jc w:val="center"/>
              <w:rPr>
                <w:rFonts w:cs="Arial"/>
                <w:snapToGrid w:val="0"/>
                <w:color w:val="000000"/>
                <w:sz w:val="18"/>
                <w:szCs w:val="18"/>
              </w:rPr>
            </w:pPr>
            <w:r w:rsidRPr="00A32AF4">
              <w:rPr>
                <w:rFonts w:cs="Arial"/>
                <w:snapToGrid w:val="0"/>
                <w:color w:val="000000"/>
                <w:sz w:val="18"/>
                <w:szCs w:val="18"/>
              </w:rPr>
              <w:t>IX</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11 395</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22 790</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Chine</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IV</w:t>
            </w:r>
            <w:r w:rsidRPr="00A32AF4">
              <w:rPr>
                <w:rFonts w:cs="Arial"/>
                <w:i/>
                <w:snapToGrid w:val="0"/>
                <w:color w:val="000000"/>
                <w:sz w:val="18"/>
                <w:szCs w:val="18"/>
              </w:rPr>
              <w:t>bis</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7,5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341 842</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341 842</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683 684</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Chypre</w:t>
            </w:r>
          </w:p>
        </w:tc>
        <w:tc>
          <w:tcPr>
            <w:tcW w:w="1430" w:type="dxa"/>
            <w:shd w:val="clear" w:color="auto" w:fill="auto"/>
          </w:tcPr>
          <w:p w:rsidR="00142569" w:rsidRPr="00A32AF4" w:rsidRDefault="00142569" w:rsidP="00DC0553">
            <w:pPr>
              <w:jc w:val="center"/>
              <w:rPr>
                <w:rFonts w:cs="Arial"/>
                <w:snapToGrid w:val="0"/>
                <w:color w:val="000000"/>
                <w:sz w:val="18"/>
                <w:szCs w:val="18"/>
              </w:rPr>
            </w:pPr>
            <w:r w:rsidRPr="00A32AF4">
              <w:rPr>
                <w:rFonts w:cs="Arial"/>
                <w:snapToGrid w:val="0"/>
                <w:color w:val="000000"/>
                <w:sz w:val="18"/>
                <w:szCs w:val="18"/>
              </w:rPr>
              <w:t>S</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0,125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5 697</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5 697</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11 394</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Colombie</w:t>
            </w:r>
          </w:p>
        </w:tc>
        <w:tc>
          <w:tcPr>
            <w:tcW w:w="1430" w:type="dxa"/>
            <w:shd w:val="clear" w:color="auto" w:fill="auto"/>
          </w:tcPr>
          <w:p w:rsidR="00142569" w:rsidRPr="00A32AF4" w:rsidRDefault="00142569" w:rsidP="00DC0553">
            <w:pPr>
              <w:jc w:val="center"/>
              <w:rPr>
                <w:rFonts w:cs="Arial"/>
                <w:snapToGrid w:val="0"/>
                <w:color w:val="000000"/>
                <w:sz w:val="18"/>
                <w:szCs w:val="18"/>
              </w:rPr>
            </w:pPr>
            <w:r w:rsidRPr="00A32AF4">
              <w:rPr>
                <w:rFonts w:cs="Arial"/>
                <w:snapToGrid w:val="0"/>
                <w:color w:val="000000"/>
                <w:sz w:val="18"/>
                <w:szCs w:val="18"/>
              </w:rPr>
              <w:t>IX</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11 395</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22 790</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Comores</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ter</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0,03125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 xml:space="preserve">Congo </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bis</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0,0625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2 849</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2 849</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Costa Rica</w:t>
            </w:r>
          </w:p>
        </w:tc>
        <w:tc>
          <w:tcPr>
            <w:tcW w:w="1430" w:type="dxa"/>
            <w:shd w:val="clear" w:color="auto" w:fill="auto"/>
          </w:tcPr>
          <w:p w:rsidR="00142569" w:rsidRPr="00A32AF4" w:rsidRDefault="00142569" w:rsidP="00DC0553">
            <w:pPr>
              <w:jc w:val="center"/>
              <w:rPr>
                <w:rFonts w:cs="Arial"/>
                <w:snapToGrid w:val="0"/>
                <w:color w:val="000000"/>
                <w:sz w:val="18"/>
                <w:szCs w:val="18"/>
              </w:rPr>
            </w:pPr>
            <w:r w:rsidRPr="00A32AF4">
              <w:rPr>
                <w:rFonts w:cs="Arial"/>
                <w:snapToGrid w:val="0"/>
                <w:color w:val="000000"/>
                <w:sz w:val="18"/>
                <w:szCs w:val="18"/>
              </w:rPr>
              <w:t>S</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0,125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5 697</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5 697</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11 394</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Côte d</w:t>
            </w:r>
            <w:r w:rsidR="00E2055A" w:rsidRPr="00A32AF4">
              <w:rPr>
                <w:rFonts w:cs="Arial"/>
                <w:snapToGrid w:val="0"/>
                <w:color w:val="000000"/>
                <w:sz w:val="18"/>
                <w:szCs w:val="18"/>
              </w:rPr>
              <w:t>’</w:t>
            </w:r>
            <w:r w:rsidRPr="00A32AF4">
              <w:rPr>
                <w:rFonts w:cs="Arial"/>
                <w:snapToGrid w:val="0"/>
                <w:color w:val="000000"/>
                <w:sz w:val="18"/>
                <w:szCs w:val="18"/>
              </w:rPr>
              <w:t>Ivoire</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bis</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0,0625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2 849</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2 849</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Croatie</w:t>
            </w:r>
          </w:p>
        </w:tc>
        <w:tc>
          <w:tcPr>
            <w:tcW w:w="1430" w:type="dxa"/>
            <w:shd w:val="clear" w:color="auto" w:fill="auto"/>
          </w:tcPr>
          <w:p w:rsidR="00142569" w:rsidRPr="00A32AF4" w:rsidRDefault="00142569" w:rsidP="00DC0553">
            <w:pPr>
              <w:jc w:val="center"/>
              <w:rPr>
                <w:rFonts w:cs="Arial"/>
                <w:snapToGrid w:val="0"/>
                <w:color w:val="000000"/>
                <w:sz w:val="18"/>
                <w:szCs w:val="18"/>
              </w:rPr>
            </w:pPr>
            <w:r w:rsidRPr="00A32AF4">
              <w:rPr>
                <w:rFonts w:cs="Arial"/>
                <w:snapToGrid w:val="0"/>
                <w:color w:val="000000"/>
                <w:sz w:val="18"/>
                <w:szCs w:val="18"/>
              </w:rPr>
              <w:t>VIII</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22 789</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22 789</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45 578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Cuba</w:t>
            </w:r>
          </w:p>
        </w:tc>
        <w:tc>
          <w:tcPr>
            <w:tcW w:w="1430" w:type="dxa"/>
            <w:shd w:val="clear" w:color="auto" w:fill="auto"/>
          </w:tcPr>
          <w:p w:rsidR="00142569" w:rsidRPr="00A32AF4" w:rsidRDefault="00142569" w:rsidP="00DC0553">
            <w:pPr>
              <w:jc w:val="center"/>
              <w:rPr>
                <w:rFonts w:cs="Arial"/>
                <w:snapToGrid w:val="0"/>
                <w:color w:val="000000"/>
                <w:sz w:val="18"/>
                <w:szCs w:val="18"/>
              </w:rPr>
            </w:pPr>
            <w:r w:rsidRPr="00A32AF4">
              <w:rPr>
                <w:rFonts w:cs="Arial"/>
                <w:snapToGrid w:val="0"/>
                <w:color w:val="000000"/>
                <w:sz w:val="18"/>
                <w:szCs w:val="18"/>
              </w:rPr>
              <w:t>S</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0,125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5 697</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5 697</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11 394</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Danemark</w:t>
            </w:r>
          </w:p>
        </w:tc>
        <w:tc>
          <w:tcPr>
            <w:tcW w:w="1430" w:type="dxa"/>
            <w:shd w:val="clear" w:color="auto" w:fill="auto"/>
          </w:tcPr>
          <w:p w:rsidR="00142569" w:rsidRPr="00A32AF4" w:rsidRDefault="00142569" w:rsidP="00DC0553">
            <w:pPr>
              <w:jc w:val="center"/>
              <w:rPr>
                <w:rFonts w:cs="Arial"/>
                <w:snapToGrid w:val="0"/>
                <w:color w:val="000000"/>
                <w:sz w:val="18"/>
                <w:szCs w:val="18"/>
              </w:rPr>
            </w:pPr>
            <w:r w:rsidRPr="00A32AF4">
              <w:rPr>
                <w:rFonts w:cs="Arial"/>
                <w:snapToGrid w:val="0"/>
                <w:color w:val="000000"/>
                <w:sz w:val="18"/>
                <w:szCs w:val="18"/>
              </w:rPr>
              <w:t>IV</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10</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455 790</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455 790</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911 580</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Djibouti</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ter</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0,03125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 xml:space="preserve">Dominique </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bis</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0,0625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2 849</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2 849</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b/>
                <w:snapToGrid w:val="0"/>
                <w:color w:val="000000"/>
                <w:sz w:val="18"/>
                <w:szCs w:val="18"/>
              </w:rPr>
              <w:t>É</w:t>
            </w:r>
            <w:r w:rsidRPr="00A32AF4">
              <w:rPr>
                <w:rFonts w:cs="Arial"/>
                <w:snapToGrid w:val="0"/>
                <w:color w:val="000000"/>
                <w:sz w:val="18"/>
                <w:szCs w:val="18"/>
              </w:rPr>
              <w:t>gypte</w:t>
            </w:r>
          </w:p>
        </w:tc>
        <w:tc>
          <w:tcPr>
            <w:tcW w:w="1430" w:type="dxa"/>
            <w:shd w:val="clear" w:color="auto" w:fill="auto"/>
          </w:tcPr>
          <w:p w:rsidR="00142569" w:rsidRPr="00A32AF4" w:rsidRDefault="00142569" w:rsidP="00DC0553">
            <w:pPr>
              <w:jc w:val="center"/>
              <w:rPr>
                <w:rFonts w:cs="Arial"/>
                <w:snapToGrid w:val="0"/>
                <w:color w:val="000000"/>
                <w:sz w:val="18"/>
                <w:szCs w:val="18"/>
              </w:rPr>
            </w:pPr>
            <w:r w:rsidRPr="00A32AF4">
              <w:rPr>
                <w:rFonts w:cs="Arial"/>
                <w:snapToGrid w:val="0"/>
                <w:color w:val="000000"/>
                <w:sz w:val="18"/>
                <w:szCs w:val="18"/>
              </w:rPr>
              <w:t>IX</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11 395</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22 790</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El Salvador</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bis</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0,0625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2 849</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2 849</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 xml:space="preserve">Émirats arabes unis </w:t>
            </w:r>
          </w:p>
        </w:tc>
        <w:tc>
          <w:tcPr>
            <w:tcW w:w="1430" w:type="dxa"/>
            <w:shd w:val="clear" w:color="auto" w:fill="auto"/>
          </w:tcPr>
          <w:p w:rsidR="00142569" w:rsidRPr="00A32AF4" w:rsidRDefault="00142569" w:rsidP="00DC0553">
            <w:pPr>
              <w:jc w:val="center"/>
              <w:rPr>
                <w:rFonts w:cs="Arial"/>
                <w:snapToGrid w:val="0"/>
                <w:color w:val="000000"/>
                <w:sz w:val="18"/>
                <w:szCs w:val="18"/>
              </w:rPr>
            </w:pPr>
            <w:r w:rsidRPr="00A32AF4">
              <w:rPr>
                <w:rFonts w:cs="Arial"/>
                <w:snapToGrid w:val="0"/>
                <w:color w:val="000000"/>
                <w:sz w:val="18"/>
                <w:szCs w:val="18"/>
              </w:rPr>
              <w:t>IX</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11 395</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22 790</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Équateur</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0,125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5 697</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5 697</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11 394</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vertAlign w:val="superscript"/>
              </w:rPr>
            </w:pPr>
            <w:r w:rsidRPr="00A32AF4">
              <w:rPr>
                <w:rFonts w:cs="Arial"/>
                <w:snapToGrid w:val="0"/>
                <w:color w:val="000000"/>
                <w:sz w:val="18"/>
                <w:szCs w:val="18"/>
              </w:rPr>
              <w:t xml:space="preserve">Érythrée </w:t>
            </w:r>
            <w:r w:rsidRPr="00A32AF4">
              <w:rPr>
                <w:rFonts w:cs="Arial"/>
                <w:snapToGrid w:val="0"/>
                <w:color w:val="000000"/>
                <w:sz w:val="18"/>
                <w:szCs w:val="18"/>
                <w:vertAlign w:val="superscript"/>
              </w:rPr>
              <w:t>2</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ter</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0,03125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Espagne</w:t>
            </w:r>
          </w:p>
        </w:tc>
        <w:tc>
          <w:tcPr>
            <w:tcW w:w="1430" w:type="dxa"/>
            <w:shd w:val="clear" w:color="auto" w:fill="auto"/>
          </w:tcPr>
          <w:p w:rsidR="00142569" w:rsidRPr="00A32AF4" w:rsidRDefault="00142569" w:rsidP="00DC0553">
            <w:pPr>
              <w:jc w:val="center"/>
              <w:rPr>
                <w:rFonts w:cs="Arial"/>
                <w:snapToGrid w:val="0"/>
                <w:color w:val="000000"/>
                <w:sz w:val="18"/>
                <w:szCs w:val="18"/>
              </w:rPr>
            </w:pPr>
            <w:r w:rsidRPr="00A32AF4">
              <w:rPr>
                <w:rFonts w:cs="Arial"/>
                <w:snapToGrid w:val="0"/>
                <w:color w:val="000000"/>
                <w:sz w:val="18"/>
                <w:szCs w:val="18"/>
              </w:rPr>
              <w:t>IV</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10</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455 790</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455 790</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911 580</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Estonie</w:t>
            </w:r>
          </w:p>
        </w:tc>
        <w:tc>
          <w:tcPr>
            <w:tcW w:w="1430" w:type="dxa"/>
            <w:shd w:val="clear" w:color="auto" w:fill="auto"/>
          </w:tcPr>
          <w:p w:rsidR="00142569" w:rsidRPr="00A32AF4" w:rsidRDefault="00142569" w:rsidP="00DC0553">
            <w:pPr>
              <w:jc w:val="center"/>
              <w:rPr>
                <w:rFonts w:cs="Arial"/>
                <w:snapToGrid w:val="0"/>
                <w:color w:val="000000"/>
                <w:sz w:val="18"/>
                <w:szCs w:val="18"/>
              </w:rPr>
            </w:pPr>
            <w:r w:rsidRPr="00A32AF4">
              <w:rPr>
                <w:rFonts w:cs="Arial"/>
                <w:snapToGrid w:val="0"/>
                <w:color w:val="000000"/>
                <w:sz w:val="18"/>
                <w:szCs w:val="18"/>
              </w:rPr>
              <w:t>IX</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11 395</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22 790</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États</w:t>
            </w:r>
            <w:r w:rsidR="00EB7F54" w:rsidRPr="00A32AF4">
              <w:rPr>
                <w:rFonts w:cs="Arial"/>
                <w:snapToGrid w:val="0"/>
                <w:color w:val="000000"/>
                <w:sz w:val="18"/>
                <w:szCs w:val="18"/>
              </w:rPr>
              <w:noBreakHyphen/>
            </w:r>
            <w:r w:rsidRPr="00A32AF4">
              <w:rPr>
                <w:rFonts w:cs="Arial"/>
                <w:snapToGrid w:val="0"/>
                <w:color w:val="000000"/>
                <w:sz w:val="18"/>
                <w:szCs w:val="18"/>
              </w:rPr>
              <w:t>Unis d</w:t>
            </w:r>
            <w:r w:rsidR="00E2055A" w:rsidRPr="00A32AF4">
              <w:rPr>
                <w:rFonts w:cs="Arial"/>
                <w:snapToGrid w:val="0"/>
                <w:color w:val="000000"/>
                <w:sz w:val="18"/>
                <w:szCs w:val="18"/>
              </w:rPr>
              <w:t>’</w:t>
            </w:r>
            <w:r w:rsidRPr="00A32AF4">
              <w:rPr>
                <w:rFonts w:cs="Arial"/>
                <w:snapToGrid w:val="0"/>
                <w:color w:val="000000"/>
                <w:sz w:val="18"/>
                <w:szCs w:val="18"/>
              </w:rPr>
              <w:t xml:space="preserve">Amérique </w:t>
            </w:r>
          </w:p>
        </w:tc>
        <w:tc>
          <w:tcPr>
            <w:tcW w:w="1430" w:type="dxa"/>
            <w:shd w:val="clear" w:color="auto" w:fill="auto"/>
          </w:tcPr>
          <w:p w:rsidR="00142569" w:rsidRPr="00A32AF4" w:rsidRDefault="00142569" w:rsidP="00DC0553">
            <w:pPr>
              <w:jc w:val="center"/>
              <w:rPr>
                <w:rFonts w:cs="Arial"/>
                <w:snapToGrid w:val="0"/>
                <w:color w:val="000000"/>
                <w:sz w:val="18"/>
                <w:szCs w:val="18"/>
              </w:rPr>
            </w:pPr>
            <w:r w:rsidRPr="00A32AF4">
              <w:rPr>
                <w:rFonts w:cs="Arial"/>
                <w:snapToGrid w:val="0"/>
                <w:color w:val="000000"/>
                <w:sz w:val="18"/>
                <w:szCs w:val="18"/>
              </w:rPr>
              <w:t>I</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1 139 475</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1 139 475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2 278 950</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vertAlign w:val="superscript"/>
              </w:rPr>
            </w:pPr>
            <w:r w:rsidRPr="00A32AF4">
              <w:rPr>
                <w:rFonts w:cs="Arial"/>
                <w:snapToGrid w:val="0"/>
                <w:color w:val="000000"/>
                <w:sz w:val="18"/>
                <w:szCs w:val="18"/>
              </w:rPr>
              <w:t xml:space="preserve">Éthiopie </w:t>
            </w:r>
            <w:r w:rsidRPr="00A32AF4">
              <w:rPr>
                <w:rFonts w:cs="Arial"/>
                <w:snapToGrid w:val="0"/>
                <w:color w:val="000000"/>
                <w:sz w:val="18"/>
                <w:szCs w:val="18"/>
                <w:vertAlign w:val="superscript"/>
              </w:rPr>
              <w:t>2</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ter</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0,03125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Ex</w:t>
            </w:r>
            <w:r w:rsidR="00EB7F54" w:rsidRPr="00A32AF4">
              <w:rPr>
                <w:rFonts w:cs="Arial"/>
                <w:snapToGrid w:val="0"/>
                <w:color w:val="000000"/>
                <w:sz w:val="18"/>
                <w:szCs w:val="18"/>
              </w:rPr>
              <w:noBreakHyphen/>
            </w:r>
            <w:r w:rsidRPr="00A32AF4">
              <w:rPr>
                <w:rFonts w:cs="Arial"/>
                <w:snapToGrid w:val="0"/>
                <w:color w:val="000000"/>
                <w:sz w:val="18"/>
                <w:szCs w:val="18"/>
              </w:rPr>
              <w:t>République yougoslave de Macédoine</w:t>
            </w:r>
          </w:p>
        </w:tc>
        <w:tc>
          <w:tcPr>
            <w:tcW w:w="1430" w:type="dxa"/>
            <w:shd w:val="clear" w:color="auto" w:fill="auto"/>
          </w:tcPr>
          <w:p w:rsidR="00142569" w:rsidRPr="00A32AF4" w:rsidRDefault="00142569" w:rsidP="00DC0553">
            <w:pPr>
              <w:jc w:val="center"/>
              <w:rPr>
                <w:rFonts w:cs="Arial"/>
                <w:snapToGrid w:val="0"/>
                <w:color w:val="000000"/>
                <w:sz w:val="18"/>
                <w:szCs w:val="18"/>
              </w:rPr>
            </w:pPr>
            <w:r w:rsidRPr="00A32AF4">
              <w:rPr>
                <w:rFonts w:cs="Arial"/>
                <w:snapToGrid w:val="0"/>
                <w:color w:val="000000"/>
                <w:sz w:val="18"/>
                <w:szCs w:val="18"/>
              </w:rPr>
              <w:t>VIII</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22 789</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22 789</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45 578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b/>
                <w:snapToGrid w:val="0"/>
                <w:color w:val="000000"/>
                <w:sz w:val="18"/>
                <w:szCs w:val="18"/>
              </w:rPr>
              <w:t>F</w:t>
            </w:r>
            <w:r w:rsidRPr="00A32AF4">
              <w:rPr>
                <w:rFonts w:cs="Arial"/>
                <w:snapToGrid w:val="0"/>
                <w:color w:val="000000"/>
                <w:sz w:val="18"/>
                <w:szCs w:val="18"/>
              </w:rPr>
              <w:t xml:space="preserve">édération de Russie </w:t>
            </w:r>
          </w:p>
        </w:tc>
        <w:tc>
          <w:tcPr>
            <w:tcW w:w="1430" w:type="dxa"/>
            <w:shd w:val="clear" w:color="auto" w:fill="auto"/>
          </w:tcPr>
          <w:p w:rsidR="00142569" w:rsidRPr="00A32AF4" w:rsidRDefault="00142569" w:rsidP="00DC0553">
            <w:pPr>
              <w:jc w:val="center"/>
              <w:rPr>
                <w:rFonts w:cs="Arial"/>
                <w:snapToGrid w:val="0"/>
                <w:color w:val="000000"/>
                <w:sz w:val="18"/>
                <w:szCs w:val="18"/>
              </w:rPr>
            </w:pPr>
            <w:r w:rsidRPr="00A32AF4">
              <w:rPr>
                <w:rFonts w:cs="Arial"/>
                <w:snapToGrid w:val="0"/>
                <w:color w:val="000000"/>
                <w:sz w:val="18"/>
                <w:szCs w:val="18"/>
              </w:rPr>
              <w:t>IV</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10</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455 790</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455 790</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911 580</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Fidji</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bis</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0,0625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2 849</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2 849</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Finlande</w:t>
            </w:r>
          </w:p>
        </w:tc>
        <w:tc>
          <w:tcPr>
            <w:tcW w:w="1430" w:type="dxa"/>
            <w:shd w:val="clear" w:color="auto" w:fill="auto"/>
          </w:tcPr>
          <w:p w:rsidR="00142569" w:rsidRPr="00A32AF4" w:rsidRDefault="00142569" w:rsidP="00DC0553">
            <w:pPr>
              <w:jc w:val="center"/>
              <w:rPr>
                <w:rFonts w:cs="Arial"/>
                <w:snapToGrid w:val="0"/>
                <w:color w:val="000000"/>
                <w:sz w:val="18"/>
                <w:szCs w:val="18"/>
              </w:rPr>
            </w:pPr>
            <w:r w:rsidRPr="00A32AF4">
              <w:rPr>
                <w:rFonts w:cs="Arial"/>
                <w:snapToGrid w:val="0"/>
                <w:color w:val="000000"/>
                <w:sz w:val="18"/>
                <w:szCs w:val="18"/>
              </w:rPr>
              <w:t>IV</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10</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455 790</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455 790</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911 580</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France</w:t>
            </w:r>
          </w:p>
        </w:tc>
        <w:tc>
          <w:tcPr>
            <w:tcW w:w="1430" w:type="dxa"/>
            <w:shd w:val="clear" w:color="auto" w:fill="auto"/>
          </w:tcPr>
          <w:p w:rsidR="00142569" w:rsidRPr="00A32AF4" w:rsidRDefault="00142569" w:rsidP="00DC0553">
            <w:pPr>
              <w:jc w:val="center"/>
              <w:rPr>
                <w:rFonts w:cs="Arial"/>
                <w:snapToGrid w:val="0"/>
                <w:color w:val="000000"/>
                <w:sz w:val="18"/>
                <w:szCs w:val="18"/>
              </w:rPr>
            </w:pPr>
            <w:r w:rsidRPr="00A32AF4">
              <w:rPr>
                <w:rFonts w:cs="Arial"/>
                <w:snapToGrid w:val="0"/>
                <w:color w:val="000000"/>
                <w:sz w:val="18"/>
                <w:szCs w:val="18"/>
              </w:rPr>
              <w:t>I</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1 139 475</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1 139 475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2 278 950</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b/>
                <w:snapToGrid w:val="0"/>
                <w:color w:val="000000"/>
                <w:sz w:val="18"/>
                <w:szCs w:val="18"/>
              </w:rPr>
              <w:t>G</w:t>
            </w:r>
            <w:r w:rsidRPr="00A32AF4">
              <w:rPr>
                <w:rFonts w:cs="Arial"/>
                <w:snapToGrid w:val="0"/>
                <w:color w:val="000000"/>
                <w:sz w:val="18"/>
                <w:szCs w:val="18"/>
              </w:rPr>
              <w:t>abon</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0,125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5 697</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5 697</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11 394</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 xml:space="preserve">Gambie </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ter</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0,03125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Géorgie</w:t>
            </w:r>
          </w:p>
        </w:tc>
        <w:tc>
          <w:tcPr>
            <w:tcW w:w="1430" w:type="dxa"/>
            <w:shd w:val="clear" w:color="auto" w:fill="auto"/>
          </w:tcPr>
          <w:p w:rsidR="00142569" w:rsidRPr="00A32AF4" w:rsidRDefault="00142569" w:rsidP="00DC0553">
            <w:pPr>
              <w:jc w:val="center"/>
              <w:rPr>
                <w:rFonts w:cs="Arial"/>
                <w:snapToGrid w:val="0"/>
                <w:color w:val="000000"/>
                <w:sz w:val="18"/>
                <w:szCs w:val="18"/>
              </w:rPr>
            </w:pPr>
            <w:r w:rsidRPr="00A32AF4">
              <w:rPr>
                <w:rFonts w:cs="Arial"/>
                <w:snapToGrid w:val="0"/>
                <w:color w:val="000000"/>
                <w:sz w:val="18"/>
                <w:szCs w:val="18"/>
              </w:rPr>
              <w:t>IX</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11 395</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22 790</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Ghana</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bis</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0,0625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2 849</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2 849</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Grèce</w:t>
            </w:r>
          </w:p>
        </w:tc>
        <w:tc>
          <w:tcPr>
            <w:tcW w:w="1430" w:type="dxa"/>
            <w:shd w:val="clear" w:color="auto" w:fill="auto"/>
          </w:tcPr>
          <w:p w:rsidR="00142569" w:rsidRPr="00A32AF4" w:rsidRDefault="00142569" w:rsidP="00DC0553">
            <w:pPr>
              <w:jc w:val="center"/>
              <w:rPr>
                <w:rFonts w:cs="Arial"/>
                <w:snapToGrid w:val="0"/>
                <w:color w:val="000000"/>
                <w:sz w:val="18"/>
                <w:szCs w:val="18"/>
              </w:rPr>
            </w:pPr>
            <w:r w:rsidRPr="00A32AF4">
              <w:rPr>
                <w:rFonts w:cs="Arial"/>
                <w:snapToGrid w:val="0"/>
                <w:color w:val="000000"/>
                <w:sz w:val="18"/>
                <w:szCs w:val="18"/>
              </w:rPr>
              <w:t>VI</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3</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136 737</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136 737</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273 474</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Grenade</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bis</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0,0625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2 849</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2 849</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Guatemala</w:t>
            </w:r>
          </w:p>
        </w:tc>
        <w:tc>
          <w:tcPr>
            <w:tcW w:w="1430" w:type="dxa"/>
            <w:shd w:val="clear" w:color="auto" w:fill="auto"/>
          </w:tcPr>
          <w:p w:rsidR="00142569" w:rsidRPr="00A32AF4" w:rsidRDefault="00142569" w:rsidP="00DC0553">
            <w:pPr>
              <w:jc w:val="center"/>
              <w:rPr>
                <w:rFonts w:cs="Arial"/>
                <w:snapToGrid w:val="0"/>
                <w:color w:val="000000"/>
                <w:sz w:val="18"/>
                <w:szCs w:val="18"/>
              </w:rPr>
            </w:pPr>
            <w:r w:rsidRPr="00A32AF4">
              <w:rPr>
                <w:rFonts w:cs="Arial"/>
                <w:snapToGrid w:val="0"/>
                <w:color w:val="000000"/>
                <w:sz w:val="18"/>
                <w:szCs w:val="18"/>
              </w:rPr>
              <w:t>S</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0,125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5 697</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5 697</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11 394</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Guinée</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ter</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0,03125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Guinée</w:t>
            </w:r>
            <w:r w:rsidR="00EB7F54" w:rsidRPr="00A32AF4">
              <w:rPr>
                <w:rFonts w:cs="Arial"/>
                <w:snapToGrid w:val="0"/>
                <w:color w:val="000000"/>
                <w:sz w:val="18"/>
                <w:szCs w:val="18"/>
              </w:rPr>
              <w:noBreakHyphen/>
            </w:r>
            <w:r w:rsidRPr="00A32AF4">
              <w:rPr>
                <w:rFonts w:cs="Arial"/>
                <w:snapToGrid w:val="0"/>
                <w:color w:val="000000"/>
                <w:sz w:val="18"/>
                <w:szCs w:val="18"/>
              </w:rPr>
              <w:t>Bissau</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ter</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0,03125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Guinée équatoriale</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ter</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0,03125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Guyana</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bis</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0,0625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2 849</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2 849</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b/>
                <w:snapToGrid w:val="0"/>
                <w:color w:val="000000"/>
                <w:sz w:val="18"/>
                <w:szCs w:val="18"/>
              </w:rPr>
              <w:t>H</w:t>
            </w:r>
            <w:r w:rsidRPr="00A32AF4">
              <w:rPr>
                <w:rFonts w:cs="Arial"/>
                <w:snapToGrid w:val="0"/>
                <w:color w:val="000000"/>
                <w:sz w:val="18"/>
                <w:szCs w:val="18"/>
              </w:rPr>
              <w:t>aïti</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ter</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0,03125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Honduras</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bis</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0,0625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2 849</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2 849</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Hongrie</w:t>
            </w:r>
          </w:p>
        </w:tc>
        <w:tc>
          <w:tcPr>
            <w:tcW w:w="1430" w:type="dxa"/>
            <w:shd w:val="clear" w:color="auto" w:fill="auto"/>
          </w:tcPr>
          <w:p w:rsidR="00142569" w:rsidRPr="00A32AF4" w:rsidRDefault="00142569" w:rsidP="00DC0553">
            <w:pPr>
              <w:jc w:val="center"/>
              <w:rPr>
                <w:rFonts w:cs="Arial"/>
                <w:snapToGrid w:val="0"/>
                <w:color w:val="000000"/>
                <w:sz w:val="18"/>
                <w:szCs w:val="18"/>
              </w:rPr>
            </w:pPr>
            <w:r w:rsidRPr="00A32AF4">
              <w:rPr>
                <w:rFonts w:cs="Arial"/>
                <w:snapToGrid w:val="0"/>
                <w:color w:val="000000"/>
                <w:sz w:val="18"/>
                <w:szCs w:val="18"/>
              </w:rPr>
              <w:t>VI</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3</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136 737</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136 737</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273 474</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b/>
                <w:snapToGrid w:val="0"/>
                <w:color w:val="000000"/>
                <w:sz w:val="18"/>
                <w:szCs w:val="18"/>
              </w:rPr>
              <w:t>I</w:t>
            </w:r>
            <w:r w:rsidRPr="00A32AF4">
              <w:rPr>
                <w:rFonts w:cs="Arial"/>
                <w:snapToGrid w:val="0"/>
                <w:color w:val="000000"/>
                <w:sz w:val="18"/>
                <w:szCs w:val="18"/>
              </w:rPr>
              <w:t>nde</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VI</w:t>
            </w:r>
            <w:r w:rsidRPr="00A32AF4">
              <w:rPr>
                <w:rFonts w:cs="Arial"/>
                <w:i/>
                <w:snapToGrid w:val="0"/>
                <w:color w:val="000000"/>
                <w:sz w:val="18"/>
                <w:szCs w:val="18"/>
              </w:rPr>
              <w:t>bis</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91 158</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91 158</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182 316</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Indonésie</w:t>
            </w:r>
          </w:p>
        </w:tc>
        <w:tc>
          <w:tcPr>
            <w:tcW w:w="1430" w:type="dxa"/>
            <w:shd w:val="clear" w:color="auto" w:fill="auto"/>
          </w:tcPr>
          <w:p w:rsidR="00142569" w:rsidRPr="00A32AF4" w:rsidRDefault="00142569" w:rsidP="00DC0553">
            <w:pPr>
              <w:jc w:val="center"/>
              <w:rPr>
                <w:rFonts w:cs="Arial"/>
                <w:snapToGrid w:val="0"/>
                <w:color w:val="000000"/>
                <w:sz w:val="18"/>
                <w:szCs w:val="18"/>
              </w:rPr>
            </w:pPr>
            <w:r w:rsidRPr="00A32AF4">
              <w:rPr>
                <w:rFonts w:cs="Arial"/>
                <w:snapToGrid w:val="0"/>
                <w:color w:val="000000"/>
                <w:sz w:val="18"/>
                <w:szCs w:val="18"/>
              </w:rPr>
              <w:t>VII</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45 579</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45 579</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91 158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Iran (République islamique d</w:t>
            </w:r>
            <w:r w:rsidR="00E2055A" w:rsidRPr="00A32AF4">
              <w:rPr>
                <w:rFonts w:cs="Arial"/>
                <w:snapToGrid w:val="0"/>
                <w:color w:val="000000"/>
                <w:sz w:val="18"/>
                <w:szCs w:val="18"/>
              </w:rPr>
              <w:t>’</w:t>
            </w:r>
            <w:r w:rsidRPr="00A32AF4">
              <w:rPr>
                <w:rFonts w:cs="Arial"/>
                <w:snapToGrid w:val="0"/>
                <w:color w:val="000000"/>
                <w:sz w:val="18"/>
                <w:szCs w:val="18"/>
              </w:rPr>
              <w:t>)</w:t>
            </w:r>
          </w:p>
        </w:tc>
        <w:tc>
          <w:tcPr>
            <w:tcW w:w="1430" w:type="dxa"/>
            <w:shd w:val="clear" w:color="auto" w:fill="auto"/>
          </w:tcPr>
          <w:p w:rsidR="00142569" w:rsidRPr="00A32AF4" w:rsidRDefault="00142569" w:rsidP="00DC0553">
            <w:pPr>
              <w:jc w:val="center"/>
              <w:rPr>
                <w:rFonts w:cs="Arial"/>
                <w:snapToGrid w:val="0"/>
                <w:color w:val="000000"/>
                <w:sz w:val="18"/>
                <w:szCs w:val="18"/>
              </w:rPr>
            </w:pPr>
            <w:r w:rsidRPr="00A32AF4">
              <w:rPr>
                <w:rFonts w:cs="Arial"/>
                <w:snapToGrid w:val="0"/>
                <w:color w:val="000000"/>
                <w:sz w:val="18"/>
                <w:szCs w:val="18"/>
              </w:rPr>
              <w:t>VII</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45 579</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45 579</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91 158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Iraq</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0,125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5 697</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5 697</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11 394</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Irlande</w:t>
            </w:r>
          </w:p>
        </w:tc>
        <w:tc>
          <w:tcPr>
            <w:tcW w:w="1430" w:type="dxa"/>
            <w:shd w:val="clear" w:color="auto" w:fill="auto"/>
          </w:tcPr>
          <w:p w:rsidR="00142569" w:rsidRPr="00A32AF4" w:rsidRDefault="00142569" w:rsidP="00DC0553">
            <w:pPr>
              <w:jc w:val="center"/>
              <w:rPr>
                <w:rFonts w:cs="Arial"/>
                <w:snapToGrid w:val="0"/>
                <w:color w:val="000000"/>
                <w:sz w:val="18"/>
                <w:szCs w:val="18"/>
              </w:rPr>
            </w:pPr>
            <w:r w:rsidRPr="00A32AF4">
              <w:rPr>
                <w:rFonts w:cs="Arial"/>
                <w:snapToGrid w:val="0"/>
                <w:color w:val="000000"/>
                <w:sz w:val="18"/>
                <w:szCs w:val="18"/>
              </w:rPr>
              <w:t>IV</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10</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455 790</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455 790</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911 580</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Islande</w:t>
            </w:r>
          </w:p>
        </w:tc>
        <w:tc>
          <w:tcPr>
            <w:tcW w:w="1430" w:type="dxa"/>
            <w:shd w:val="clear" w:color="auto" w:fill="auto"/>
          </w:tcPr>
          <w:p w:rsidR="00142569" w:rsidRPr="00A32AF4" w:rsidRDefault="00142569" w:rsidP="00DC0553">
            <w:pPr>
              <w:jc w:val="center"/>
              <w:rPr>
                <w:rFonts w:cs="Arial"/>
                <w:snapToGrid w:val="0"/>
                <w:color w:val="000000"/>
                <w:sz w:val="18"/>
                <w:szCs w:val="18"/>
              </w:rPr>
            </w:pPr>
            <w:r w:rsidRPr="00A32AF4">
              <w:rPr>
                <w:rFonts w:cs="Arial"/>
                <w:snapToGrid w:val="0"/>
                <w:color w:val="000000"/>
                <w:sz w:val="18"/>
                <w:szCs w:val="18"/>
              </w:rPr>
              <w:t>VIII</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22 789</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22 789</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45 578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Israël</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VI</w:t>
            </w:r>
            <w:r w:rsidRPr="00A32AF4">
              <w:rPr>
                <w:rFonts w:cs="Arial"/>
                <w:i/>
                <w:snapToGrid w:val="0"/>
                <w:color w:val="000000"/>
                <w:sz w:val="18"/>
                <w:szCs w:val="18"/>
              </w:rPr>
              <w:t>bis</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91 158</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91 158</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182 316</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Italie</w:t>
            </w:r>
          </w:p>
        </w:tc>
        <w:tc>
          <w:tcPr>
            <w:tcW w:w="1430" w:type="dxa"/>
            <w:shd w:val="clear" w:color="auto" w:fill="auto"/>
          </w:tcPr>
          <w:p w:rsidR="00142569" w:rsidRPr="00A32AF4" w:rsidRDefault="00142569" w:rsidP="00DC0553">
            <w:pPr>
              <w:jc w:val="center"/>
              <w:rPr>
                <w:rFonts w:cs="Arial"/>
                <w:snapToGrid w:val="0"/>
                <w:color w:val="000000"/>
                <w:sz w:val="18"/>
                <w:szCs w:val="18"/>
              </w:rPr>
            </w:pPr>
            <w:r w:rsidRPr="00A32AF4">
              <w:rPr>
                <w:rFonts w:cs="Arial"/>
                <w:snapToGrid w:val="0"/>
                <w:color w:val="000000"/>
                <w:sz w:val="18"/>
                <w:szCs w:val="18"/>
              </w:rPr>
              <w:t>III</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683 685</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683 685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1 367 370</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b/>
                <w:snapToGrid w:val="0"/>
                <w:color w:val="000000"/>
                <w:sz w:val="18"/>
                <w:szCs w:val="18"/>
              </w:rPr>
              <w:t>J</w:t>
            </w:r>
            <w:r w:rsidRPr="00A32AF4">
              <w:rPr>
                <w:rFonts w:cs="Arial"/>
                <w:snapToGrid w:val="0"/>
                <w:color w:val="000000"/>
                <w:sz w:val="18"/>
                <w:szCs w:val="18"/>
              </w:rPr>
              <w:t>amaïque</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bis</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0,0625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2 849</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2 849</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Japon</w:t>
            </w:r>
          </w:p>
        </w:tc>
        <w:tc>
          <w:tcPr>
            <w:tcW w:w="1430" w:type="dxa"/>
            <w:shd w:val="clear" w:color="auto" w:fill="auto"/>
          </w:tcPr>
          <w:p w:rsidR="00142569" w:rsidRPr="00A32AF4" w:rsidRDefault="00142569" w:rsidP="00DC0553">
            <w:pPr>
              <w:jc w:val="center"/>
              <w:rPr>
                <w:rFonts w:cs="Arial"/>
                <w:snapToGrid w:val="0"/>
                <w:color w:val="000000"/>
                <w:sz w:val="18"/>
                <w:szCs w:val="18"/>
              </w:rPr>
            </w:pPr>
            <w:r w:rsidRPr="00A32AF4">
              <w:rPr>
                <w:rFonts w:cs="Arial"/>
                <w:snapToGrid w:val="0"/>
                <w:color w:val="000000"/>
                <w:sz w:val="18"/>
                <w:szCs w:val="18"/>
              </w:rPr>
              <w:t>I</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1 139 475</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1 139 475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2 278 950</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Jordanie</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0,125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5 697</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5 697</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11 394</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b/>
                <w:snapToGrid w:val="0"/>
                <w:color w:val="000000"/>
                <w:sz w:val="18"/>
                <w:szCs w:val="18"/>
              </w:rPr>
              <w:t>K</w:t>
            </w:r>
            <w:r w:rsidRPr="00A32AF4">
              <w:rPr>
                <w:rFonts w:cs="Arial"/>
                <w:snapToGrid w:val="0"/>
                <w:color w:val="000000"/>
                <w:sz w:val="18"/>
                <w:szCs w:val="18"/>
              </w:rPr>
              <w:t>azakhstan</w:t>
            </w:r>
          </w:p>
        </w:tc>
        <w:tc>
          <w:tcPr>
            <w:tcW w:w="1430" w:type="dxa"/>
            <w:shd w:val="clear" w:color="auto" w:fill="auto"/>
          </w:tcPr>
          <w:p w:rsidR="00142569" w:rsidRPr="00A32AF4" w:rsidRDefault="00142569" w:rsidP="00DC0553">
            <w:pPr>
              <w:jc w:val="center"/>
              <w:rPr>
                <w:rFonts w:cs="Arial"/>
                <w:snapToGrid w:val="0"/>
                <w:color w:val="000000"/>
                <w:sz w:val="18"/>
                <w:szCs w:val="18"/>
              </w:rPr>
            </w:pPr>
            <w:r w:rsidRPr="00A32AF4">
              <w:rPr>
                <w:rFonts w:cs="Arial"/>
                <w:snapToGrid w:val="0"/>
                <w:color w:val="000000"/>
                <w:sz w:val="18"/>
                <w:szCs w:val="18"/>
              </w:rPr>
              <w:t>IX</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11 395</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22 790</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Kenya</w:t>
            </w:r>
          </w:p>
        </w:tc>
        <w:tc>
          <w:tcPr>
            <w:tcW w:w="1430" w:type="dxa"/>
            <w:shd w:val="clear" w:color="auto" w:fill="auto"/>
          </w:tcPr>
          <w:p w:rsidR="00142569" w:rsidRPr="00A32AF4" w:rsidRDefault="00142569" w:rsidP="00DC0553">
            <w:pPr>
              <w:jc w:val="center"/>
              <w:rPr>
                <w:rFonts w:cs="Arial"/>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bis</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0,0625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2 849</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2 849</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Kirghizistan</w:t>
            </w:r>
          </w:p>
        </w:tc>
        <w:tc>
          <w:tcPr>
            <w:tcW w:w="1430" w:type="dxa"/>
            <w:shd w:val="clear" w:color="auto" w:fill="auto"/>
          </w:tcPr>
          <w:p w:rsidR="00142569" w:rsidRPr="00A32AF4" w:rsidRDefault="00142569" w:rsidP="00DC0553">
            <w:pPr>
              <w:jc w:val="center"/>
              <w:rPr>
                <w:rFonts w:cs="Arial"/>
                <w:snapToGrid w:val="0"/>
                <w:color w:val="000000"/>
                <w:sz w:val="18"/>
                <w:szCs w:val="18"/>
              </w:rPr>
            </w:pPr>
            <w:r w:rsidRPr="00A32AF4">
              <w:rPr>
                <w:rFonts w:cs="Arial"/>
                <w:snapToGrid w:val="0"/>
                <w:color w:val="000000"/>
                <w:sz w:val="18"/>
                <w:szCs w:val="18"/>
              </w:rPr>
              <w:t>IX</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11 395</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22 790</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Kiribati</w:t>
            </w:r>
            <w:r w:rsidRPr="00A32AF4">
              <w:rPr>
                <w:rFonts w:cs="Arial"/>
                <w:snapToGrid w:val="0"/>
                <w:color w:val="000000"/>
                <w:sz w:val="18"/>
                <w:szCs w:val="18"/>
                <w:vertAlign w:val="superscript"/>
              </w:rPr>
              <w:t>2</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ter</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0,03125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vertAlign w:val="superscript"/>
              </w:rPr>
            </w:pPr>
            <w:r w:rsidRPr="00A32AF4">
              <w:rPr>
                <w:rFonts w:cs="Arial"/>
                <w:snapToGrid w:val="0"/>
                <w:color w:val="000000"/>
                <w:sz w:val="18"/>
                <w:szCs w:val="18"/>
              </w:rPr>
              <w:t>Koweït</w:t>
            </w:r>
          </w:p>
        </w:tc>
        <w:tc>
          <w:tcPr>
            <w:tcW w:w="1430" w:type="dxa"/>
            <w:shd w:val="clear" w:color="auto" w:fill="auto"/>
          </w:tcPr>
          <w:p w:rsidR="00142569" w:rsidRPr="00A32AF4" w:rsidRDefault="00142569" w:rsidP="00DC0553">
            <w:pPr>
              <w:jc w:val="center"/>
              <w:rPr>
                <w:rFonts w:cs="Arial"/>
                <w:snapToGrid w:val="0"/>
                <w:color w:val="000000"/>
                <w:sz w:val="18"/>
                <w:szCs w:val="18"/>
              </w:rPr>
            </w:pPr>
            <w:r w:rsidRPr="00A32AF4">
              <w:rPr>
                <w:rFonts w:cs="Arial"/>
                <w:snapToGrid w:val="0"/>
                <w:color w:val="000000"/>
                <w:sz w:val="18"/>
                <w:szCs w:val="18"/>
              </w:rPr>
              <w:t>IX</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11 395</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22 790</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b/>
                <w:snapToGrid w:val="0"/>
                <w:color w:val="000000"/>
                <w:sz w:val="18"/>
                <w:szCs w:val="18"/>
              </w:rPr>
              <w:t>L</w:t>
            </w:r>
            <w:r w:rsidRPr="00A32AF4">
              <w:rPr>
                <w:rFonts w:cs="Arial"/>
                <w:snapToGrid w:val="0"/>
                <w:color w:val="000000"/>
                <w:sz w:val="18"/>
                <w:szCs w:val="18"/>
              </w:rPr>
              <w:t>esotho</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ter</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0,03125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Lettonie</w:t>
            </w:r>
          </w:p>
        </w:tc>
        <w:tc>
          <w:tcPr>
            <w:tcW w:w="1430" w:type="dxa"/>
            <w:shd w:val="clear" w:color="auto" w:fill="auto"/>
          </w:tcPr>
          <w:p w:rsidR="00142569" w:rsidRPr="00A32AF4" w:rsidRDefault="00142569" w:rsidP="00DC0553">
            <w:pPr>
              <w:jc w:val="center"/>
              <w:rPr>
                <w:rFonts w:cs="Arial"/>
                <w:snapToGrid w:val="0"/>
                <w:color w:val="000000"/>
                <w:sz w:val="18"/>
                <w:szCs w:val="18"/>
              </w:rPr>
            </w:pPr>
            <w:r w:rsidRPr="00A32AF4">
              <w:rPr>
                <w:rFonts w:cs="Arial"/>
                <w:snapToGrid w:val="0"/>
                <w:color w:val="000000"/>
                <w:sz w:val="18"/>
                <w:szCs w:val="18"/>
              </w:rPr>
              <w:t>IX</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11 395</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22 790</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Liban</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0,125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5 697</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5 697</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11 394</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Libéria</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ter</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0,03125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 xml:space="preserve">Libye </w:t>
            </w:r>
          </w:p>
        </w:tc>
        <w:tc>
          <w:tcPr>
            <w:tcW w:w="1430" w:type="dxa"/>
            <w:shd w:val="clear" w:color="auto" w:fill="auto"/>
          </w:tcPr>
          <w:p w:rsidR="00142569" w:rsidRPr="00A32AF4" w:rsidRDefault="00142569" w:rsidP="00DC0553">
            <w:pPr>
              <w:jc w:val="center"/>
              <w:rPr>
                <w:rFonts w:cs="Arial"/>
                <w:snapToGrid w:val="0"/>
                <w:color w:val="000000"/>
                <w:sz w:val="18"/>
                <w:szCs w:val="18"/>
              </w:rPr>
            </w:pPr>
            <w:r w:rsidRPr="00A32AF4">
              <w:rPr>
                <w:rFonts w:cs="Arial"/>
                <w:snapToGrid w:val="0"/>
                <w:color w:val="000000"/>
                <w:sz w:val="18"/>
                <w:szCs w:val="18"/>
              </w:rPr>
              <w:t>IX</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11 395</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22 790</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Liechtenstein</w:t>
            </w:r>
          </w:p>
        </w:tc>
        <w:tc>
          <w:tcPr>
            <w:tcW w:w="1430" w:type="dxa"/>
            <w:shd w:val="clear" w:color="auto" w:fill="auto"/>
          </w:tcPr>
          <w:p w:rsidR="00142569" w:rsidRPr="00A32AF4" w:rsidRDefault="00142569" w:rsidP="00DC0553">
            <w:pPr>
              <w:jc w:val="center"/>
              <w:rPr>
                <w:rFonts w:cs="Arial"/>
                <w:snapToGrid w:val="0"/>
                <w:color w:val="000000"/>
                <w:sz w:val="18"/>
                <w:szCs w:val="18"/>
              </w:rPr>
            </w:pPr>
            <w:r w:rsidRPr="00A32AF4">
              <w:rPr>
                <w:rFonts w:cs="Arial"/>
                <w:snapToGrid w:val="0"/>
                <w:color w:val="000000"/>
                <w:sz w:val="18"/>
                <w:szCs w:val="18"/>
              </w:rPr>
              <w:t>VIII</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22 789</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22 789</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45 578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Lituanie</w:t>
            </w:r>
          </w:p>
        </w:tc>
        <w:tc>
          <w:tcPr>
            <w:tcW w:w="1430" w:type="dxa"/>
            <w:shd w:val="clear" w:color="auto" w:fill="auto"/>
          </w:tcPr>
          <w:p w:rsidR="00142569" w:rsidRPr="00A32AF4" w:rsidRDefault="00142569" w:rsidP="00DC0553">
            <w:pPr>
              <w:jc w:val="center"/>
              <w:rPr>
                <w:rFonts w:cs="Arial"/>
                <w:snapToGrid w:val="0"/>
                <w:color w:val="000000"/>
                <w:sz w:val="18"/>
                <w:szCs w:val="18"/>
              </w:rPr>
            </w:pPr>
            <w:r w:rsidRPr="00A32AF4">
              <w:rPr>
                <w:rFonts w:cs="Arial"/>
                <w:snapToGrid w:val="0"/>
                <w:color w:val="000000"/>
                <w:sz w:val="18"/>
                <w:szCs w:val="18"/>
              </w:rPr>
              <w:t>IX</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11 395</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22 790</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Luxembourg</w:t>
            </w:r>
          </w:p>
        </w:tc>
        <w:tc>
          <w:tcPr>
            <w:tcW w:w="1430" w:type="dxa"/>
            <w:shd w:val="clear" w:color="auto" w:fill="auto"/>
          </w:tcPr>
          <w:p w:rsidR="00142569" w:rsidRPr="00A32AF4" w:rsidRDefault="00142569" w:rsidP="00DC0553">
            <w:pPr>
              <w:jc w:val="center"/>
              <w:rPr>
                <w:rFonts w:cs="Arial"/>
                <w:snapToGrid w:val="0"/>
                <w:color w:val="000000"/>
                <w:sz w:val="18"/>
                <w:szCs w:val="18"/>
              </w:rPr>
            </w:pPr>
            <w:r w:rsidRPr="00A32AF4">
              <w:rPr>
                <w:rFonts w:cs="Arial"/>
                <w:snapToGrid w:val="0"/>
                <w:color w:val="000000"/>
                <w:sz w:val="18"/>
                <w:szCs w:val="18"/>
              </w:rPr>
              <w:t>VII</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45 579</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45 579</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91 158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b/>
                <w:snapToGrid w:val="0"/>
                <w:color w:val="000000"/>
                <w:sz w:val="18"/>
                <w:szCs w:val="18"/>
              </w:rPr>
              <w:t>M</w:t>
            </w:r>
            <w:r w:rsidRPr="00A32AF4">
              <w:rPr>
                <w:rFonts w:cs="Arial"/>
                <w:snapToGrid w:val="0"/>
                <w:color w:val="000000"/>
                <w:sz w:val="18"/>
                <w:szCs w:val="18"/>
              </w:rPr>
              <w:t>adagascar</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ter</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0,03125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Malaisie</w:t>
            </w:r>
          </w:p>
        </w:tc>
        <w:tc>
          <w:tcPr>
            <w:tcW w:w="1430" w:type="dxa"/>
            <w:shd w:val="clear" w:color="auto" w:fill="auto"/>
          </w:tcPr>
          <w:p w:rsidR="00142569" w:rsidRPr="00A32AF4" w:rsidRDefault="00142569" w:rsidP="00DC0553">
            <w:pPr>
              <w:jc w:val="center"/>
              <w:rPr>
                <w:rFonts w:cs="Arial"/>
                <w:snapToGrid w:val="0"/>
                <w:color w:val="000000"/>
                <w:sz w:val="18"/>
                <w:szCs w:val="18"/>
              </w:rPr>
            </w:pPr>
            <w:r w:rsidRPr="00A32AF4">
              <w:rPr>
                <w:rFonts w:cs="Arial"/>
                <w:snapToGrid w:val="0"/>
                <w:color w:val="000000"/>
                <w:sz w:val="18"/>
                <w:szCs w:val="18"/>
              </w:rPr>
              <w:t>VIII</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22 789</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22 789</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45 578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Malawi</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ter</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0,03125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 xml:space="preserve">Maldives </w:t>
            </w:r>
            <w:r w:rsidRPr="00A32AF4">
              <w:rPr>
                <w:rFonts w:cs="Arial"/>
                <w:snapToGrid w:val="0"/>
                <w:color w:val="000000"/>
                <w:sz w:val="18"/>
                <w:szCs w:val="18"/>
                <w:vertAlign w:val="superscript"/>
              </w:rPr>
              <w:t>2</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bis</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0,0625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2 849</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2 849</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Mali</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ter</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0,03125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Malte</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bis</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0,0625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2 849</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2 849</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Maroc</w:t>
            </w:r>
          </w:p>
        </w:tc>
        <w:tc>
          <w:tcPr>
            <w:tcW w:w="1430" w:type="dxa"/>
            <w:shd w:val="clear" w:color="auto" w:fill="auto"/>
          </w:tcPr>
          <w:p w:rsidR="00142569" w:rsidRPr="00A32AF4" w:rsidRDefault="00142569" w:rsidP="00DC0553">
            <w:pPr>
              <w:jc w:val="center"/>
              <w:rPr>
                <w:rFonts w:cs="Arial"/>
                <w:snapToGrid w:val="0"/>
                <w:color w:val="000000"/>
                <w:sz w:val="18"/>
                <w:szCs w:val="18"/>
              </w:rPr>
            </w:pPr>
            <w:r w:rsidRPr="00A32AF4">
              <w:rPr>
                <w:rFonts w:cs="Arial"/>
                <w:snapToGrid w:val="0"/>
                <w:color w:val="000000"/>
                <w:sz w:val="18"/>
                <w:szCs w:val="18"/>
              </w:rPr>
              <w:t>S</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0,125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5 697</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5 697</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11 394</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Maurice</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bis</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0,0625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2 849</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2 849</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Mauritanie</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ter</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0,03125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Mexique</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IV</w:t>
            </w:r>
            <w:r w:rsidRPr="00A32AF4">
              <w:rPr>
                <w:rFonts w:cs="Arial"/>
                <w:i/>
                <w:snapToGrid w:val="0"/>
                <w:color w:val="000000"/>
                <w:sz w:val="18"/>
                <w:szCs w:val="18"/>
              </w:rPr>
              <w:t>bis</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7,5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341 842</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341 842</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683 684</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Micronésie (États fédérés de)</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bis</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0,0625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2 849</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2 849</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Monaco</w:t>
            </w:r>
          </w:p>
        </w:tc>
        <w:tc>
          <w:tcPr>
            <w:tcW w:w="1430" w:type="dxa"/>
            <w:shd w:val="clear" w:color="auto" w:fill="auto"/>
          </w:tcPr>
          <w:p w:rsidR="00142569" w:rsidRPr="00A32AF4" w:rsidRDefault="00142569" w:rsidP="00DC0553">
            <w:pPr>
              <w:jc w:val="center"/>
              <w:rPr>
                <w:rFonts w:cs="Arial"/>
                <w:snapToGrid w:val="0"/>
                <w:color w:val="000000"/>
                <w:sz w:val="18"/>
                <w:szCs w:val="18"/>
              </w:rPr>
            </w:pPr>
            <w:r w:rsidRPr="00A32AF4">
              <w:rPr>
                <w:rFonts w:cs="Arial"/>
                <w:snapToGrid w:val="0"/>
                <w:color w:val="000000"/>
                <w:sz w:val="18"/>
                <w:szCs w:val="18"/>
              </w:rPr>
              <w:t>VII</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45 579</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45 579</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91 158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Mongolie</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bis</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0,0625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2 849</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2 849</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Monténégro</w:t>
            </w:r>
          </w:p>
        </w:tc>
        <w:tc>
          <w:tcPr>
            <w:tcW w:w="1430" w:type="dxa"/>
            <w:shd w:val="clear" w:color="auto" w:fill="auto"/>
          </w:tcPr>
          <w:p w:rsidR="00142569" w:rsidRPr="00A32AF4" w:rsidRDefault="00142569" w:rsidP="00DC0553">
            <w:pPr>
              <w:jc w:val="center"/>
              <w:rPr>
                <w:rFonts w:cs="Arial"/>
                <w:snapToGrid w:val="0"/>
                <w:color w:val="000000"/>
                <w:sz w:val="18"/>
                <w:szCs w:val="18"/>
              </w:rPr>
            </w:pPr>
            <w:r w:rsidRPr="00A32AF4">
              <w:rPr>
                <w:rFonts w:cs="Arial"/>
                <w:snapToGrid w:val="0"/>
                <w:color w:val="000000"/>
                <w:sz w:val="18"/>
                <w:szCs w:val="18"/>
              </w:rPr>
              <w:t>IX</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11 395</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22 790</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vertAlign w:val="superscript"/>
              </w:rPr>
            </w:pPr>
            <w:r w:rsidRPr="00A32AF4">
              <w:rPr>
                <w:rFonts w:cs="Arial"/>
                <w:snapToGrid w:val="0"/>
                <w:color w:val="000000"/>
                <w:sz w:val="18"/>
                <w:szCs w:val="18"/>
              </w:rPr>
              <w:t>Mozambique</w:t>
            </w:r>
            <w:r w:rsidRPr="00A32AF4">
              <w:rPr>
                <w:rFonts w:cs="Arial"/>
                <w:snapToGrid w:val="0"/>
                <w:color w:val="000000"/>
                <w:sz w:val="18"/>
                <w:szCs w:val="18"/>
                <w:vertAlign w:val="superscript"/>
              </w:rPr>
              <w:t xml:space="preserve"> </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ter</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0,03125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vertAlign w:val="superscript"/>
              </w:rPr>
            </w:pPr>
            <w:r w:rsidRPr="00A32AF4">
              <w:rPr>
                <w:rFonts w:cs="Arial"/>
                <w:snapToGrid w:val="0"/>
                <w:color w:val="000000"/>
                <w:sz w:val="18"/>
                <w:szCs w:val="18"/>
              </w:rPr>
              <w:t xml:space="preserve">Myanmar </w:t>
            </w:r>
            <w:r w:rsidRPr="00A32AF4">
              <w:rPr>
                <w:rFonts w:cs="Arial"/>
                <w:snapToGrid w:val="0"/>
                <w:color w:val="000000"/>
                <w:sz w:val="18"/>
                <w:szCs w:val="18"/>
                <w:vertAlign w:val="superscript"/>
              </w:rPr>
              <w:t>2</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ter</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0,03125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b/>
                <w:snapToGrid w:val="0"/>
                <w:color w:val="000000"/>
                <w:sz w:val="18"/>
                <w:szCs w:val="18"/>
              </w:rPr>
              <w:t>N</w:t>
            </w:r>
            <w:r w:rsidRPr="00A32AF4">
              <w:rPr>
                <w:rFonts w:cs="Arial"/>
                <w:snapToGrid w:val="0"/>
                <w:color w:val="000000"/>
                <w:sz w:val="18"/>
                <w:szCs w:val="18"/>
              </w:rPr>
              <w:t>amibie</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bis</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0,0625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2 849</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2 849</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vertAlign w:val="superscript"/>
              </w:rPr>
            </w:pPr>
            <w:r w:rsidRPr="00A32AF4">
              <w:rPr>
                <w:rFonts w:cs="Arial"/>
                <w:snapToGrid w:val="0"/>
                <w:color w:val="000000"/>
                <w:sz w:val="18"/>
                <w:szCs w:val="18"/>
              </w:rPr>
              <w:t xml:space="preserve">Népal </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ter</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0,03125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Nicaragua</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bis</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0,0625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2 849</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2 849</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 xml:space="preserve">Niger </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ter</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0,03125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Nigéria</w:t>
            </w:r>
          </w:p>
        </w:tc>
        <w:tc>
          <w:tcPr>
            <w:tcW w:w="1430" w:type="dxa"/>
            <w:shd w:val="clear" w:color="auto" w:fill="auto"/>
          </w:tcPr>
          <w:p w:rsidR="00142569" w:rsidRPr="00A32AF4" w:rsidRDefault="00142569" w:rsidP="00DC0553">
            <w:pPr>
              <w:jc w:val="center"/>
              <w:rPr>
                <w:rFonts w:cs="Arial"/>
                <w:snapToGrid w:val="0"/>
                <w:color w:val="000000"/>
                <w:sz w:val="18"/>
                <w:szCs w:val="18"/>
              </w:rPr>
            </w:pPr>
            <w:r w:rsidRPr="00A32AF4">
              <w:rPr>
                <w:rFonts w:cs="Arial"/>
                <w:snapToGrid w:val="0"/>
                <w:color w:val="000000"/>
                <w:sz w:val="18"/>
                <w:szCs w:val="18"/>
              </w:rPr>
              <w:t>S</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0,125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5 697</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5 697</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11 394</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Nioué</w:t>
            </w:r>
            <w:r w:rsidRPr="00A32AF4">
              <w:rPr>
                <w:rFonts w:cs="Arial"/>
                <w:snapToGrid w:val="0"/>
                <w:color w:val="000000"/>
                <w:sz w:val="18"/>
                <w:szCs w:val="18"/>
                <w:vertAlign w:val="superscript"/>
              </w:rPr>
              <w:t>2</w:t>
            </w:r>
          </w:p>
        </w:tc>
        <w:tc>
          <w:tcPr>
            <w:tcW w:w="1430" w:type="dxa"/>
            <w:shd w:val="clear" w:color="auto" w:fill="auto"/>
          </w:tcPr>
          <w:p w:rsidR="00142569" w:rsidRPr="00A32AF4" w:rsidRDefault="00142569" w:rsidP="00DC0553">
            <w:pPr>
              <w:jc w:val="center"/>
              <w:rPr>
                <w:rFonts w:cs="Arial"/>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bis</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0,0625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2 849</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2 849</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Norvège</w:t>
            </w:r>
          </w:p>
        </w:tc>
        <w:tc>
          <w:tcPr>
            <w:tcW w:w="1430" w:type="dxa"/>
            <w:shd w:val="clear" w:color="auto" w:fill="auto"/>
          </w:tcPr>
          <w:p w:rsidR="00142569" w:rsidRPr="00A32AF4" w:rsidRDefault="00142569" w:rsidP="00DC0553">
            <w:pPr>
              <w:jc w:val="center"/>
              <w:rPr>
                <w:rFonts w:cs="Arial"/>
                <w:snapToGrid w:val="0"/>
                <w:color w:val="000000"/>
                <w:sz w:val="18"/>
                <w:szCs w:val="18"/>
              </w:rPr>
            </w:pPr>
            <w:r w:rsidRPr="00A32AF4">
              <w:rPr>
                <w:rFonts w:cs="Arial"/>
                <w:snapToGrid w:val="0"/>
                <w:color w:val="000000"/>
                <w:sz w:val="18"/>
                <w:szCs w:val="18"/>
              </w:rPr>
              <w:t>IV</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10</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455 790</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455 790</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911 580</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Nouvelle</w:t>
            </w:r>
            <w:r w:rsidR="00EB7F54" w:rsidRPr="00A32AF4">
              <w:rPr>
                <w:rFonts w:cs="Arial"/>
                <w:snapToGrid w:val="0"/>
                <w:color w:val="000000"/>
                <w:sz w:val="18"/>
                <w:szCs w:val="18"/>
              </w:rPr>
              <w:noBreakHyphen/>
            </w:r>
            <w:r w:rsidRPr="00A32AF4">
              <w:rPr>
                <w:rFonts w:cs="Arial"/>
                <w:snapToGrid w:val="0"/>
                <w:color w:val="000000"/>
                <w:sz w:val="18"/>
                <w:szCs w:val="18"/>
              </w:rPr>
              <w:t>Zélande</w:t>
            </w:r>
          </w:p>
        </w:tc>
        <w:tc>
          <w:tcPr>
            <w:tcW w:w="1430" w:type="dxa"/>
            <w:shd w:val="clear" w:color="auto" w:fill="auto"/>
          </w:tcPr>
          <w:p w:rsidR="00142569" w:rsidRPr="00A32AF4" w:rsidRDefault="00142569" w:rsidP="00DC0553">
            <w:pPr>
              <w:jc w:val="center"/>
              <w:rPr>
                <w:rFonts w:cs="Arial"/>
                <w:snapToGrid w:val="0"/>
                <w:color w:val="000000"/>
                <w:sz w:val="18"/>
                <w:szCs w:val="18"/>
              </w:rPr>
            </w:pPr>
            <w:r w:rsidRPr="00A32AF4">
              <w:rPr>
                <w:rFonts w:cs="Arial"/>
                <w:snapToGrid w:val="0"/>
                <w:color w:val="000000"/>
                <w:sz w:val="18"/>
                <w:szCs w:val="18"/>
              </w:rPr>
              <w:t>VI</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3</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136 737</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136 737</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273 474</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vertAlign w:val="superscript"/>
              </w:rPr>
            </w:pPr>
            <w:r w:rsidRPr="00A32AF4">
              <w:rPr>
                <w:rFonts w:cs="Arial"/>
                <w:b/>
                <w:snapToGrid w:val="0"/>
                <w:color w:val="000000"/>
                <w:sz w:val="18"/>
                <w:szCs w:val="18"/>
              </w:rPr>
              <w:t>O</w:t>
            </w:r>
            <w:r w:rsidRPr="00A32AF4">
              <w:rPr>
                <w:rFonts w:cs="Arial"/>
                <w:snapToGrid w:val="0"/>
                <w:color w:val="000000"/>
                <w:sz w:val="18"/>
                <w:szCs w:val="18"/>
              </w:rPr>
              <w:t>man</w:t>
            </w:r>
            <w:r w:rsidRPr="00A32AF4">
              <w:rPr>
                <w:rFonts w:cs="Arial"/>
                <w:snapToGrid w:val="0"/>
                <w:color w:val="000000"/>
                <w:sz w:val="18"/>
                <w:szCs w:val="18"/>
                <w:vertAlign w:val="superscript"/>
              </w:rPr>
              <w:t xml:space="preserve"> </w:t>
            </w:r>
          </w:p>
        </w:tc>
        <w:tc>
          <w:tcPr>
            <w:tcW w:w="1430" w:type="dxa"/>
            <w:shd w:val="clear" w:color="auto" w:fill="auto"/>
          </w:tcPr>
          <w:p w:rsidR="00142569" w:rsidRPr="00A32AF4" w:rsidRDefault="00142569" w:rsidP="00DC0553">
            <w:pPr>
              <w:jc w:val="center"/>
              <w:rPr>
                <w:rFonts w:cs="Arial"/>
                <w:snapToGrid w:val="0"/>
                <w:color w:val="000000"/>
                <w:sz w:val="18"/>
                <w:szCs w:val="18"/>
              </w:rPr>
            </w:pPr>
            <w:r w:rsidRPr="00A32AF4">
              <w:rPr>
                <w:rFonts w:cs="Arial"/>
                <w:snapToGrid w:val="0"/>
                <w:color w:val="000000"/>
                <w:sz w:val="18"/>
                <w:szCs w:val="18"/>
              </w:rPr>
              <w:t>IX</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11 395</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22 790</w:t>
            </w:r>
          </w:p>
        </w:tc>
      </w:tr>
      <w:tr w:rsidR="00142569" w:rsidRPr="00A32AF4" w:rsidTr="00900C4B">
        <w:trPr>
          <w:cantSplit/>
        </w:trPr>
        <w:tc>
          <w:tcPr>
            <w:tcW w:w="2750" w:type="dxa"/>
            <w:shd w:val="clear" w:color="auto" w:fill="auto"/>
          </w:tcPr>
          <w:p w:rsidR="00142569" w:rsidRPr="00A32AF4" w:rsidRDefault="00142569" w:rsidP="00DC0553">
            <w:pPr>
              <w:keepNext/>
              <w:rPr>
                <w:rFonts w:cs="Arial"/>
                <w:snapToGrid w:val="0"/>
                <w:color w:val="000000"/>
                <w:sz w:val="18"/>
                <w:szCs w:val="18"/>
              </w:rPr>
            </w:pPr>
            <w:r w:rsidRPr="00A32AF4">
              <w:rPr>
                <w:rFonts w:cs="Arial"/>
                <w:snapToGrid w:val="0"/>
                <w:color w:val="000000"/>
                <w:sz w:val="18"/>
                <w:szCs w:val="18"/>
              </w:rPr>
              <w:t>Ouganda</w:t>
            </w:r>
          </w:p>
        </w:tc>
        <w:tc>
          <w:tcPr>
            <w:tcW w:w="1430" w:type="dxa"/>
            <w:shd w:val="clear" w:color="auto" w:fill="auto"/>
          </w:tcPr>
          <w:p w:rsidR="00142569" w:rsidRPr="00A32AF4" w:rsidRDefault="00142569" w:rsidP="00DC0553">
            <w:pPr>
              <w:keepNext/>
              <w:jc w:val="center"/>
              <w:rPr>
                <w:rFonts w:cs="Arial"/>
                <w:i/>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ter</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0,03125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Ouzbékistan</w:t>
            </w:r>
          </w:p>
        </w:tc>
        <w:tc>
          <w:tcPr>
            <w:tcW w:w="1430" w:type="dxa"/>
            <w:shd w:val="clear" w:color="auto" w:fill="auto"/>
          </w:tcPr>
          <w:p w:rsidR="00142569" w:rsidRPr="00A32AF4" w:rsidRDefault="00142569" w:rsidP="00DC0553">
            <w:pPr>
              <w:jc w:val="center"/>
              <w:rPr>
                <w:rFonts w:cs="Arial"/>
                <w:snapToGrid w:val="0"/>
                <w:color w:val="000000"/>
                <w:sz w:val="18"/>
                <w:szCs w:val="18"/>
              </w:rPr>
            </w:pPr>
            <w:r w:rsidRPr="00A32AF4">
              <w:rPr>
                <w:rFonts w:cs="Arial"/>
                <w:snapToGrid w:val="0"/>
                <w:color w:val="000000"/>
                <w:sz w:val="18"/>
                <w:szCs w:val="18"/>
              </w:rPr>
              <w:t>IX</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11 395</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22 790</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b/>
                <w:snapToGrid w:val="0"/>
                <w:color w:val="000000"/>
                <w:sz w:val="18"/>
                <w:szCs w:val="18"/>
              </w:rPr>
              <w:t>P</w:t>
            </w:r>
            <w:r w:rsidRPr="00A32AF4">
              <w:rPr>
                <w:rFonts w:cs="Arial"/>
                <w:snapToGrid w:val="0"/>
                <w:color w:val="000000"/>
                <w:sz w:val="18"/>
                <w:szCs w:val="18"/>
              </w:rPr>
              <w:t>akistan</w:t>
            </w:r>
          </w:p>
        </w:tc>
        <w:tc>
          <w:tcPr>
            <w:tcW w:w="1430" w:type="dxa"/>
            <w:shd w:val="clear" w:color="auto" w:fill="auto"/>
          </w:tcPr>
          <w:p w:rsidR="00142569" w:rsidRPr="00A32AF4" w:rsidRDefault="00142569" w:rsidP="00DC0553">
            <w:pPr>
              <w:jc w:val="center"/>
              <w:rPr>
                <w:rFonts w:cs="Arial"/>
                <w:snapToGrid w:val="0"/>
                <w:color w:val="000000"/>
                <w:sz w:val="18"/>
                <w:szCs w:val="18"/>
              </w:rPr>
            </w:pPr>
            <w:r w:rsidRPr="00A32AF4">
              <w:rPr>
                <w:rFonts w:cs="Arial"/>
                <w:snapToGrid w:val="0"/>
                <w:color w:val="000000"/>
                <w:sz w:val="18"/>
                <w:szCs w:val="18"/>
              </w:rPr>
              <w:t>S</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0,125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5 697</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5 697</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11 394</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Panama</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0,125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5 697</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5 697</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11 394</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Papouasie</w:t>
            </w:r>
            <w:r w:rsidR="00EB7F54" w:rsidRPr="00A32AF4">
              <w:rPr>
                <w:rFonts w:cs="Arial"/>
                <w:snapToGrid w:val="0"/>
                <w:color w:val="000000"/>
                <w:sz w:val="18"/>
                <w:szCs w:val="18"/>
              </w:rPr>
              <w:noBreakHyphen/>
            </w:r>
            <w:r w:rsidRPr="00A32AF4">
              <w:rPr>
                <w:rFonts w:cs="Arial"/>
                <w:snapToGrid w:val="0"/>
                <w:color w:val="000000"/>
                <w:sz w:val="18"/>
                <w:szCs w:val="18"/>
              </w:rPr>
              <w:t>Nouvelle</w:t>
            </w:r>
            <w:r w:rsidR="00EB7F54" w:rsidRPr="00A32AF4">
              <w:rPr>
                <w:rFonts w:cs="Arial"/>
                <w:snapToGrid w:val="0"/>
                <w:color w:val="000000"/>
                <w:sz w:val="18"/>
                <w:szCs w:val="18"/>
              </w:rPr>
              <w:noBreakHyphen/>
            </w:r>
            <w:r w:rsidRPr="00A32AF4">
              <w:rPr>
                <w:rFonts w:cs="Arial"/>
                <w:snapToGrid w:val="0"/>
                <w:color w:val="000000"/>
                <w:sz w:val="18"/>
                <w:szCs w:val="18"/>
              </w:rPr>
              <w:t xml:space="preserve">Guinée </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bis</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0,0625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2 849</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2 849</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Paraguay</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bis</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0,0625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2 849</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2 849</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Pays</w:t>
            </w:r>
            <w:r w:rsidR="00EB7F54" w:rsidRPr="00A32AF4">
              <w:rPr>
                <w:rFonts w:cs="Arial"/>
                <w:snapToGrid w:val="0"/>
                <w:color w:val="000000"/>
                <w:sz w:val="18"/>
                <w:szCs w:val="18"/>
              </w:rPr>
              <w:noBreakHyphen/>
            </w:r>
            <w:r w:rsidRPr="00A32AF4">
              <w:rPr>
                <w:rFonts w:cs="Arial"/>
                <w:snapToGrid w:val="0"/>
                <w:color w:val="000000"/>
                <w:sz w:val="18"/>
                <w:szCs w:val="18"/>
              </w:rPr>
              <w:t>Bas</w:t>
            </w:r>
          </w:p>
        </w:tc>
        <w:tc>
          <w:tcPr>
            <w:tcW w:w="1430" w:type="dxa"/>
            <w:shd w:val="clear" w:color="auto" w:fill="auto"/>
          </w:tcPr>
          <w:p w:rsidR="00142569" w:rsidRPr="00A32AF4" w:rsidRDefault="00142569" w:rsidP="00DC0553">
            <w:pPr>
              <w:jc w:val="center"/>
              <w:rPr>
                <w:rFonts w:cs="Arial"/>
                <w:snapToGrid w:val="0"/>
                <w:color w:val="000000"/>
                <w:sz w:val="18"/>
                <w:szCs w:val="18"/>
              </w:rPr>
            </w:pPr>
            <w:r w:rsidRPr="00A32AF4">
              <w:rPr>
                <w:rFonts w:cs="Arial"/>
                <w:snapToGrid w:val="0"/>
                <w:color w:val="000000"/>
                <w:sz w:val="18"/>
                <w:szCs w:val="18"/>
              </w:rPr>
              <w:t>III</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683 685</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683 685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1 367 370</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Pérou</w:t>
            </w:r>
          </w:p>
        </w:tc>
        <w:tc>
          <w:tcPr>
            <w:tcW w:w="1430" w:type="dxa"/>
            <w:shd w:val="clear" w:color="auto" w:fill="auto"/>
          </w:tcPr>
          <w:p w:rsidR="00142569" w:rsidRPr="00A32AF4" w:rsidRDefault="00142569" w:rsidP="00DC0553">
            <w:pPr>
              <w:jc w:val="center"/>
              <w:rPr>
                <w:rFonts w:cs="Arial"/>
                <w:snapToGrid w:val="0"/>
                <w:color w:val="000000"/>
                <w:sz w:val="18"/>
                <w:szCs w:val="18"/>
              </w:rPr>
            </w:pPr>
            <w:r w:rsidRPr="00A32AF4">
              <w:rPr>
                <w:rFonts w:cs="Arial"/>
                <w:snapToGrid w:val="0"/>
                <w:color w:val="000000"/>
                <w:sz w:val="18"/>
                <w:szCs w:val="18"/>
              </w:rPr>
              <w:t>IX</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11 395</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22 790</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vertAlign w:val="superscript"/>
              </w:rPr>
            </w:pPr>
            <w:r w:rsidRPr="00A32AF4">
              <w:rPr>
                <w:rFonts w:cs="Arial"/>
                <w:snapToGrid w:val="0"/>
                <w:color w:val="000000"/>
                <w:sz w:val="18"/>
                <w:szCs w:val="18"/>
              </w:rPr>
              <w:t>Philippines</w:t>
            </w:r>
            <w:r w:rsidRPr="00A32AF4">
              <w:rPr>
                <w:rFonts w:cs="Arial"/>
                <w:snapToGrid w:val="0"/>
                <w:color w:val="000000"/>
                <w:sz w:val="18"/>
                <w:szCs w:val="18"/>
                <w:vertAlign w:val="superscript"/>
              </w:rPr>
              <w:t xml:space="preserve"> </w:t>
            </w:r>
          </w:p>
        </w:tc>
        <w:tc>
          <w:tcPr>
            <w:tcW w:w="1430" w:type="dxa"/>
            <w:shd w:val="clear" w:color="auto" w:fill="auto"/>
          </w:tcPr>
          <w:p w:rsidR="00142569" w:rsidRPr="00A32AF4" w:rsidRDefault="00142569" w:rsidP="00DC0553">
            <w:pPr>
              <w:jc w:val="center"/>
              <w:rPr>
                <w:rFonts w:cs="Arial"/>
                <w:snapToGrid w:val="0"/>
                <w:color w:val="000000"/>
                <w:sz w:val="18"/>
                <w:szCs w:val="18"/>
              </w:rPr>
            </w:pPr>
            <w:r w:rsidRPr="00A32AF4">
              <w:rPr>
                <w:rFonts w:cs="Arial"/>
                <w:snapToGrid w:val="0"/>
                <w:color w:val="000000"/>
                <w:sz w:val="18"/>
                <w:szCs w:val="18"/>
              </w:rPr>
              <w:t>IX</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11 395</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22 790</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Pologne</w:t>
            </w:r>
          </w:p>
        </w:tc>
        <w:tc>
          <w:tcPr>
            <w:tcW w:w="1430" w:type="dxa"/>
            <w:shd w:val="clear" w:color="auto" w:fill="auto"/>
          </w:tcPr>
          <w:p w:rsidR="00142569" w:rsidRPr="00A32AF4" w:rsidRDefault="00142569" w:rsidP="00DC0553">
            <w:pPr>
              <w:jc w:val="center"/>
              <w:rPr>
                <w:rFonts w:cs="Arial"/>
                <w:snapToGrid w:val="0"/>
                <w:color w:val="000000"/>
                <w:sz w:val="18"/>
                <w:szCs w:val="18"/>
              </w:rPr>
            </w:pPr>
            <w:r w:rsidRPr="00A32AF4">
              <w:rPr>
                <w:rFonts w:cs="Arial"/>
                <w:snapToGrid w:val="0"/>
                <w:color w:val="000000"/>
                <w:sz w:val="18"/>
                <w:szCs w:val="18"/>
              </w:rPr>
              <w:t>VI</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3</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136 737</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136 737</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273 474</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Portugal</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IV</w:t>
            </w:r>
            <w:r w:rsidRPr="00A32AF4">
              <w:rPr>
                <w:rFonts w:cs="Arial"/>
                <w:i/>
                <w:snapToGrid w:val="0"/>
                <w:color w:val="000000"/>
                <w:sz w:val="18"/>
                <w:szCs w:val="18"/>
              </w:rPr>
              <w:t>bis</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7,5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341 842</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341 842</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683 684</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b/>
                <w:snapToGrid w:val="0"/>
                <w:color w:val="000000"/>
                <w:sz w:val="18"/>
                <w:szCs w:val="18"/>
              </w:rPr>
              <w:t>Q</w:t>
            </w:r>
            <w:r w:rsidRPr="00A32AF4">
              <w:rPr>
                <w:rFonts w:cs="Arial"/>
                <w:snapToGrid w:val="0"/>
                <w:color w:val="000000"/>
                <w:sz w:val="18"/>
                <w:szCs w:val="18"/>
              </w:rPr>
              <w:t xml:space="preserve">atar </w:t>
            </w:r>
          </w:p>
        </w:tc>
        <w:tc>
          <w:tcPr>
            <w:tcW w:w="1430" w:type="dxa"/>
            <w:shd w:val="clear" w:color="auto" w:fill="auto"/>
          </w:tcPr>
          <w:p w:rsidR="00142569" w:rsidRPr="00A32AF4" w:rsidRDefault="00142569" w:rsidP="00DC0553">
            <w:pPr>
              <w:jc w:val="center"/>
              <w:rPr>
                <w:rFonts w:cs="Arial"/>
                <w:snapToGrid w:val="0"/>
                <w:color w:val="000000"/>
                <w:sz w:val="18"/>
                <w:szCs w:val="18"/>
              </w:rPr>
            </w:pPr>
            <w:r w:rsidRPr="00A32AF4">
              <w:rPr>
                <w:rFonts w:cs="Arial"/>
                <w:snapToGrid w:val="0"/>
                <w:color w:val="000000"/>
                <w:sz w:val="18"/>
                <w:szCs w:val="18"/>
              </w:rPr>
              <w:t>IX</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11 395</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22 790</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b/>
                <w:snapToGrid w:val="0"/>
                <w:color w:val="000000"/>
                <w:sz w:val="18"/>
                <w:szCs w:val="18"/>
              </w:rPr>
              <w:t>R</w:t>
            </w:r>
            <w:r w:rsidRPr="00A32AF4">
              <w:rPr>
                <w:rFonts w:cs="Arial"/>
                <w:snapToGrid w:val="0"/>
                <w:color w:val="000000"/>
                <w:sz w:val="18"/>
                <w:szCs w:val="18"/>
              </w:rPr>
              <w:t xml:space="preserve">épublique arabe syrienne </w:t>
            </w:r>
          </w:p>
        </w:tc>
        <w:tc>
          <w:tcPr>
            <w:tcW w:w="1430" w:type="dxa"/>
            <w:shd w:val="clear" w:color="auto" w:fill="auto"/>
          </w:tcPr>
          <w:p w:rsidR="00142569" w:rsidRPr="00A32AF4" w:rsidRDefault="00142569" w:rsidP="00DC0553">
            <w:pPr>
              <w:jc w:val="center"/>
              <w:rPr>
                <w:rFonts w:cs="Arial"/>
                <w:snapToGrid w:val="0"/>
                <w:color w:val="000000"/>
                <w:sz w:val="18"/>
                <w:szCs w:val="18"/>
              </w:rPr>
            </w:pPr>
            <w:r w:rsidRPr="00A32AF4">
              <w:rPr>
                <w:rFonts w:cs="Arial"/>
                <w:snapToGrid w:val="0"/>
                <w:color w:val="000000"/>
                <w:sz w:val="18"/>
                <w:szCs w:val="18"/>
              </w:rPr>
              <w:t>S</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0,125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5 697</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5 697</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11 394</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 xml:space="preserve">République centrafricaine </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ter</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0,03125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 xml:space="preserve">République de Corée </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IV</w:t>
            </w:r>
            <w:r w:rsidRPr="00A32AF4">
              <w:rPr>
                <w:rFonts w:cs="Arial"/>
                <w:i/>
                <w:snapToGrid w:val="0"/>
                <w:color w:val="000000"/>
                <w:sz w:val="18"/>
                <w:szCs w:val="18"/>
              </w:rPr>
              <w:t>bis</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7,5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341 842</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341 842</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683 684</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 xml:space="preserve">République démocratique du Congo </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ter</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0,03125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 xml:space="preserve">République démocratique populaire lao </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ter</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0,03125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 xml:space="preserve">République de Moldova </w:t>
            </w:r>
          </w:p>
        </w:tc>
        <w:tc>
          <w:tcPr>
            <w:tcW w:w="1430" w:type="dxa"/>
            <w:shd w:val="clear" w:color="auto" w:fill="auto"/>
          </w:tcPr>
          <w:p w:rsidR="00142569" w:rsidRPr="00A32AF4" w:rsidRDefault="00142569" w:rsidP="00DC0553">
            <w:pPr>
              <w:jc w:val="center"/>
              <w:rPr>
                <w:rFonts w:cs="Arial"/>
                <w:snapToGrid w:val="0"/>
                <w:color w:val="000000"/>
                <w:sz w:val="18"/>
                <w:szCs w:val="18"/>
              </w:rPr>
            </w:pPr>
            <w:r w:rsidRPr="00A32AF4">
              <w:rPr>
                <w:rFonts w:cs="Arial"/>
                <w:snapToGrid w:val="0"/>
                <w:color w:val="000000"/>
                <w:sz w:val="18"/>
                <w:szCs w:val="18"/>
              </w:rPr>
              <w:t>IX</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11 395</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22 790</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 xml:space="preserve">République dominicaine </w:t>
            </w:r>
          </w:p>
        </w:tc>
        <w:tc>
          <w:tcPr>
            <w:tcW w:w="1430" w:type="dxa"/>
            <w:shd w:val="clear" w:color="auto" w:fill="auto"/>
          </w:tcPr>
          <w:p w:rsidR="00142569" w:rsidRPr="00A32AF4" w:rsidRDefault="00142569" w:rsidP="00DC0553">
            <w:pPr>
              <w:jc w:val="center"/>
              <w:rPr>
                <w:rFonts w:cs="Arial"/>
                <w:snapToGrid w:val="0"/>
                <w:color w:val="000000"/>
                <w:sz w:val="18"/>
                <w:szCs w:val="18"/>
              </w:rPr>
            </w:pPr>
            <w:r w:rsidRPr="00A32AF4">
              <w:rPr>
                <w:rFonts w:cs="Arial"/>
                <w:snapToGrid w:val="0"/>
                <w:color w:val="000000"/>
                <w:sz w:val="18"/>
                <w:szCs w:val="18"/>
              </w:rPr>
              <w:t>S</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0,125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5 697</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5 697</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11 394</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République populaire démocratique de Corée</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bis</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0,0625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2 849</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2 849</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 xml:space="preserve">République tchèque </w:t>
            </w:r>
          </w:p>
        </w:tc>
        <w:tc>
          <w:tcPr>
            <w:tcW w:w="1430" w:type="dxa"/>
            <w:shd w:val="clear" w:color="auto" w:fill="auto"/>
          </w:tcPr>
          <w:p w:rsidR="00142569" w:rsidRPr="00A32AF4" w:rsidRDefault="00142569" w:rsidP="00DC0553">
            <w:pPr>
              <w:jc w:val="center"/>
              <w:rPr>
                <w:rFonts w:cs="Arial"/>
                <w:snapToGrid w:val="0"/>
                <w:color w:val="000000"/>
                <w:sz w:val="18"/>
                <w:szCs w:val="18"/>
              </w:rPr>
            </w:pPr>
            <w:r w:rsidRPr="00A32AF4">
              <w:rPr>
                <w:rFonts w:cs="Arial"/>
                <w:snapToGrid w:val="0"/>
                <w:color w:val="000000"/>
                <w:sz w:val="18"/>
                <w:szCs w:val="18"/>
              </w:rPr>
              <w:t>VI</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3</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136 737</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136 737</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273 474</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République</w:t>
            </w:r>
            <w:r w:rsidR="00EB7F54" w:rsidRPr="00A32AF4">
              <w:rPr>
                <w:rFonts w:cs="Arial"/>
                <w:snapToGrid w:val="0"/>
                <w:color w:val="000000"/>
                <w:sz w:val="18"/>
                <w:szCs w:val="18"/>
              </w:rPr>
              <w:noBreakHyphen/>
            </w:r>
            <w:r w:rsidRPr="00A32AF4">
              <w:rPr>
                <w:rFonts w:cs="Arial"/>
                <w:snapToGrid w:val="0"/>
                <w:color w:val="000000"/>
                <w:sz w:val="18"/>
                <w:szCs w:val="18"/>
              </w:rPr>
              <w:t xml:space="preserve">Unie de Tanzanie </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ter</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0,03125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Roumanie</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VI</w:t>
            </w:r>
            <w:r w:rsidRPr="00A32AF4">
              <w:rPr>
                <w:rFonts w:cs="Arial"/>
                <w:i/>
                <w:snapToGrid w:val="0"/>
                <w:color w:val="000000"/>
                <w:sz w:val="18"/>
                <w:szCs w:val="18"/>
              </w:rPr>
              <w:t>bis</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91 158</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91 158</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182 316</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Royaume</w:t>
            </w:r>
            <w:r w:rsidR="00EB7F54" w:rsidRPr="00A32AF4">
              <w:rPr>
                <w:rFonts w:cs="Arial"/>
                <w:snapToGrid w:val="0"/>
                <w:color w:val="000000"/>
                <w:sz w:val="18"/>
                <w:szCs w:val="18"/>
              </w:rPr>
              <w:noBreakHyphen/>
            </w:r>
            <w:r w:rsidRPr="00A32AF4">
              <w:rPr>
                <w:rFonts w:cs="Arial"/>
                <w:snapToGrid w:val="0"/>
                <w:color w:val="000000"/>
                <w:sz w:val="18"/>
                <w:szCs w:val="18"/>
              </w:rPr>
              <w:t>Uni</w:t>
            </w:r>
          </w:p>
        </w:tc>
        <w:tc>
          <w:tcPr>
            <w:tcW w:w="1430" w:type="dxa"/>
            <w:shd w:val="clear" w:color="auto" w:fill="auto"/>
          </w:tcPr>
          <w:p w:rsidR="00142569" w:rsidRPr="00A32AF4" w:rsidRDefault="00142569" w:rsidP="00DC0553">
            <w:pPr>
              <w:jc w:val="center"/>
              <w:rPr>
                <w:rFonts w:cs="Arial"/>
                <w:snapToGrid w:val="0"/>
                <w:color w:val="000000"/>
                <w:sz w:val="18"/>
                <w:szCs w:val="18"/>
              </w:rPr>
            </w:pPr>
            <w:r w:rsidRPr="00A32AF4">
              <w:rPr>
                <w:rFonts w:cs="Arial"/>
                <w:snapToGrid w:val="0"/>
                <w:color w:val="000000"/>
                <w:sz w:val="18"/>
                <w:szCs w:val="18"/>
              </w:rPr>
              <w:t>I</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1 139 475</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1 139 475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2 278 950</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Rwanda</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ter</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0,03125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b/>
                <w:snapToGrid w:val="0"/>
                <w:color w:val="000000"/>
                <w:sz w:val="18"/>
                <w:szCs w:val="18"/>
              </w:rPr>
              <w:t>S</w:t>
            </w:r>
            <w:r w:rsidRPr="00A32AF4">
              <w:rPr>
                <w:rFonts w:cs="Arial"/>
                <w:snapToGrid w:val="0"/>
                <w:color w:val="000000"/>
                <w:sz w:val="18"/>
                <w:szCs w:val="18"/>
              </w:rPr>
              <w:t>ainte</w:t>
            </w:r>
            <w:r w:rsidR="00EB7F54" w:rsidRPr="00A32AF4">
              <w:rPr>
                <w:rFonts w:cs="Arial"/>
                <w:snapToGrid w:val="0"/>
                <w:color w:val="000000"/>
                <w:sz w:val="18"/>
                <w:szCs w:val="18"/>
              </w:rPr>
              <w:noBreakHyphen/>
            </w:r>
            <w:r w:rsidRPr="00A32AF4">
              <w:rPr>
                <w:rFonts w:cs="Arial"/>
                <w:snapToGrid w:val="0"/>
                <w:color w:val="000000"/>
                <w:sz w:val="18"/>
                <w:szCs w:val="18"/>
              </w:rPr>
              <w:t>Lucie</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bis</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0,0625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2 849</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2 849</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Saint</w:t>
            </w:r>
            <w:r w:rsidR="00EB7F54" w:rsidRPr="00A32AF4">
              <w:rPr>
                <w:rFonts w:cs="Arial"/>
                <w:snapToGrid w:val="0"/>
                <w:color w:val="000000"/>
                <w:sz w:val="18"/>
                <w:szCs w:val="18"/>
              </w:rPr>
              <w:noBreakHyphen/>
            </w:r>
            <w:r w:rsidRPr="00A32AF4">
              <w:rPr>
                <w:rFonts w:cs="Arial"/>
                <w:snapToGrid w:val="0"/>
                <w:color w:val="000000"/>
                <w:sz w:val="18"/>
                <w:szCs w:val="18"/>
              </w:rPr>
              <w:t>Kitts</w:t>
            </w:r>
            <w:r w:rsidR="00EB7F54" w:rsidRPr="00A32AF4">
              <w:rPr>
                <w:rFonts w:cs="Arial"/>
                <w:snapToGrid w:val="0"/>
                <w:color w:val="000000"/>
                <w:sz w:val="18"/>
                <w:szCs w:val="18"/>
              </w:rPr>
              <w:noBreakHyphen/>
            </w:r>
            <w:r w:rsidRPr="00A32AF4">
              <w:rPr>
                <w:rFonts w:cs="Arial"/>
                <w:snapToGrid w:val="0"/>
                <w:color w:val="000000"/>
                <w:sz w:val="18"/>
                <w:szCs w:val="18"/>
              </w:rPr>
              <w:t>et</w:t>
            </w:r>
            <w:r w:rsidR="00EB7F54" w:rsidRPr="00A32AF4">
              <w:rPr>
                <w:rFonts w:cs="Arial"/>
                <w:snapToGrid w:val="0"/>
                <w:color w:val="000000"/>
                <w:sz w:val="18"/>
                <w:szCs w:val="18"/>
              </w:rPr>
              <w:noBreakHyphen/>
            </w:r>
            <w:r w:rsidRPr="00A32AF4">
              <w:rPr>
                <w:rFonts w:cs="Arial"/>
                <w:snapToGrid w:val="0"/>
                <w:color w:val="000000"/>
                <w:sz w:val="18"/>
                <w:szCs w:val="18"/>
              </w:rPr>
              <w:t>Nevis</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bis</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0,0625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2 849</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2 849</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Saint</w:t>
            </w:r>
            <w:r w:rsidR="00EB7F54" w:rsidRPr="00A32AF4">
              <w:rPr>
                <w:rFonts w:cs="Arial"/>
                <w:snapToGrid w:val="0"/>
                <w:color w:val="000000"/>
                <w:sz w:val="18"/>
                <w:szCs w:val="18"/>
              </w:rPr>
              <w:noBreakHyphen/>
            </w:r>
            <w:r w:rsidRPr="00A32AF4">
              <w:rPr>
                <w:rFonts w:cs="Arial"/>
                <w:snapToGrid w:val="0"/>
                <w:color w:val="000000"/>
                <w:sz w:val="18"/>
                <w:szCs w:val="18"/>
              </w:rPr>
              <w:t>Marin</w:t>
            </w:r>
          </w:p>
        </w:tc>
        <w:tc>
          <w:tcPr>
            <w:tcW w:w="1430" w:type="dxa"/>
            <w:shd w:val="clear" w:color="auto" w:fill="auto"/>
          </w:tcPr>
          <w:p w:rsidR="00142569" w:rsidRPr="00A32AF4" w:rsidRDefault="00142569" w:rsidP="00DC0553">
            <w:pPr>
              <w:jc w:val="center"/>
              <w:rPr>
                <w:rFonts w:cs="Arial"/>
                <w:snapToGrid w:val="0"/>
                <w:color w:val="000000"/>
                <w:sz w:val="18"/>
                <w:szCs w:val="18"/>
              </w:rPr>
            </w:pPr>
            <w:r w:rsidRPr="00A32AF4">
              <w:rPr>
                <w:rFonts w:cs="Arial"/>
                <w:snapToGrid w:val="0"/>
                <w:color w:val="000000"/>
                <w:sz w:val="18"/>
                <w:szCs w:val="18"/>
              </w:rPr>
              <w:t>IX</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11 395</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22 790</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Saint</w:t>
            </w:r>
            <w:r w:rsidR="00EB7F54" w:rsidRPr="00A32AF4">
              <w:rPr>
                <w:rFonts w:cs="Arial"/>
                <w:snapToGrid w:val="0"/>
                <w:color w:val="000000"/>
                <w:sz w:val="18"/>
                <w:szCs w:val="18"/>
              </w:rPr>
              <w:noBreakHyphen/>
            </w:r>
            <w:r w:rsidRPr="00A32AF4">
              <w:rPr>
                <w:rFonts w:cs="Arial"/>
                <w:snapToGrid w:val="0"/>
                <w:color w:val="000000"/>
                <w:sz w:val="18"/>
                <w:szCs w:val="18"/>
              </w:rPr>
              <w:t xml:space="preserve">Siège </w:t>
            </w:r>
          </w:p>
        </w:tc>
        <w:tc>
          <w:tcPr>
            <w:tcW w:w="1430" w:type="dxa"/>
            <w:shd w:val="clear" w:color="auto" w:fill="auto"/>
          </w:tcPr>
          <w:p w:rsidR="00142569" w:rsidRPr="00A32AF4" w:rsidRDefault="00142569" w:rsidP="00DC0553">
            <w:pPr>
              <w:jc w:val="center"/>
              <w:rPr>
                <w:rFonts w:cs="Arial"/>
                <w:snapToGrid w:val="0"/>
                <w:color w:val="000000"/>
                <w:sz w:val="18"/>
                <w:szCs w:val="18"/>
              </w:rPr>
            </w:pPr>
            <w:r w:rsidRPr="00A32AF4">
              <w:rPr>
                <w:rFonts w:cs="Arial"/>
                <w:snapToGrid w:val="0"/>
                <w:color w:val="000000"/>
                <w:sz w:val="18"/>
                <w:szCs w:val="18"/>
              </w:rPr>
              <w:t>IX</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11 395</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22 790</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Saint</w:t>
            </w:r>
            <w:r w:rsidR="00EB7F54" w:rsidRPr="00A32AF4">
              <w:rPr>
                <w:rFonts w:cs="Arial"/>
                <w:snapToGrid w:val="0"/>
                <w:color w:val="000000"/>
                <w:sz w:val="18"/>
                <w:szCs w:val="18"/>
              </w:rPr>
              <w:noBreakHyphen/>
            </w:r>
            <w:r w:rsidRPr="00A32AF4">
              <w:rPr>
                <w:rFonts w:cs="Arial"/>
                <w:snapToGrid w:val="0"/>
                <w:color w:val="000000"/>
                <w:sz w:val="18"/>
                <w:szCs w:val="18"/>
              </w:rPr>
              <w:t>Vincent</w:t>
            </w:r>
            <w:r w:rsidR="00EB7F54" w:rsidRPr="00A32AF4">
              <w:rPr>
                <w:rFonts w:cs="Arial"/>
                <w:snapToGrid w:val="0"/>
                <w:color w:val="000000"/>
                <w:sz w:val="18"/>
                <w:szCs w:val="18"/>
              </w:rPr>
              <w:noBreakHyphen/>
            </w:r>
            <w:r w:rsidRPr="00A32AF4">
              <w:rPr>
                <w:rFonts w:cs="Arial"/>
                <w:snapToGrid w:val="0"/>
                <w:color w:val="000000"/>
                <w:sz w:val="18"/>
                <w:szCs w:val="18"/>
              </w:rPr>
              <w:t>et</w:t>
            </w:r>
            <w:r w:rsidR="00EB7F54" w:rsidRPr="00A32AF4">
              <w:rPr>
                <w:rFonts w:cs="Arial"/>
                <w:snapToGrid w:val="0"/>
                <w:color w:val="000000"/>
                <w:sz w:val="18"/>
                <w:szCs w:val="18"/>
              </w:rPr>
              <w:noBreakHyphen/>
            </w:r>
            <w:r w:rsidRPr="00A32AF4">
              <w:rPr>
                <w:rFonts w:cs="Arial"/>
                <w:snapToGrid w:val="0"/>
                <w:color w:val="000000"/>
                <w:sz w:val="18"/>
                <w:szCs w:val="18"/>
              </w:rPr>
              <w:t>les</w:t>
            </w:r>
            <w:r w:rsidR="00EB7F54" w:rsidRPr="00A32AF4">
              <w:rPr>
                <w:rFonts w:cs="Arial"/>
                <w:snapToGrid w:val="0"/>
                <w:color w:val="000000"/>
                <w:sz w:val="18"/>
                <w:szCs w:val="18"/>
              </w:rPr>
              <w:noBreakHyphen/>
            </w:r>
            <w:r w:rsidRPr="00A32AF4">
              <w:rPr>
                <w:rFonts w:cs="Arial"/>
                <w:snapToGrid w:val="0"/>
                <w:color w:val="000000"/>
                <w:sz w:val="18"/>
                <w:szCs w:val="18"/>
              </w:rPr>
              <w:t>Grenadines</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bis</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0,0625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2 849</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2 849</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vertAlign w:val="superscript"/>
              </w:rPr>
            </w:pPr>
            <w:r w:rsidRPr="00A32AF4">
              <w:rPr>
                <w:rFonts w:cs="Arial"/>
                <w:snapToGrid w:val="0"/>
                <w:color w:val="000000"/>
                <w:sz w:val="18"/>
                <w:szCs w:val="18"/>
              </w:rPr>
              <w:t xml:space="preserve">Samoa </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bis</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0,0625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2 849</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2 849</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Sao Tomé</w:t>
            </w:r>
            <w:r w:rsidR="00EB7F54" w:rsidRPr="00A32AF4">
              <w:rPr>
                <w:rFonts w:cs="Arial"/>
                <w:snapToGrid w:val="0"/>
                <w:color w:val="000000"/>
                <w:sz w:val="18"/>
                <w:szCs w:val="18"/>
              </w:rPr>
              <w:noBreakHyphen/>
            </w:r>
            <w:r w:rsidRPr="00A32AF4">
              <w:rPr>
                <w:rFonts w:cs="Arial"/>
                <w:snapToGrid w:val="0"/>
                <w:color w:val="000000"/>
                <w:sz w:val="18"/>
                <w:szCs w:val="18"/>
              </w:rPr>
              <w:t>et</w:t>
            </w:r>
            <w:r w:rsidR="00EB7F54" w:rsidRPr="00A32AF4">
              <w:rPr>
                <w:rFonts w:cs="Arial"/>
                <w:snapToGrid w:val="0"/>
                <w:color w:val="000000"/>
                <w:sz w:val="18"/>
                <w:szCs w:val="18"/>
              </w:rPr>
              <w:noBreakHyphen/>
            </w:r>
            <w:r w:rsidRPr="00A32AF4">
              <w:rPr>
                <w:rFonts w:cs="Arial"/>
                <w:snapToGrid w:val="0"/>
                <w:color w:val="000000"/>
                <w:sz w:val="18"/>
                <w:szCs w:val="18"/>
              </w:rPr>
              <w:t>Principe</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ter</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0,03125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Sénégal</w:t>
            </w:r>
          </w:p>
        </w:tc>
        <w:tc>
          <w:tcPr>
            <w:tcW w:w="1430" w:type="dxa"/>
            <w:shd w:val="clear" w:color="auto" w:fill="auto"/>
          </w:tcPr>
          <w:p w:rsidR="00142569" w:rsidRPr="00A32AF4" w:rsidRDefault="00142569" w:rsidP="00DC0553">
            <w:pPr>
              <w:jc w:val="center"/>
              <w:rPr>
                <w:rFonts w:cs="Arial"/>
                <w:i/>
                <w:iCs/>
                <w:snapToGrid w:val="0"/>
                <w:color w:val="000000"/>
                <w:sz w:val="18"/>
                <w:szCs w:val="18"/>
              </w:rPr>
            </w:pPr>
            <w:r w:rsidRPr="00A32AF4">
              <w:rPr>
                <w:rFonts w:cs="Arial"/>
                <w:i/>
                <w:iCs/>
                <w:snapToGrid w:val="0"/>
                <w:color w:val="000000"/>
                <w:sz w:val="18"/>
                <w:szCs w:val="18"/>
              </w:rPr>
              <w:t>Ster</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0,03125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Serbie</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VIII</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22 789</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22 789</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45 578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vertAlign w:val="superscript"/>
              </w:rPr>
            </w:pPr>
            <w:r w:rsidRPr="00A32AF4">
              <w:rPr>
                <w:rFonts w:cs="Arial"/>
                <w:snapToGrid w:val="0"/>
                <w:color w:val="000000"/>
                <w:sz w:val="18"/>
                <w:szCs w:val="18"/>
              </w:rPr>
              <w:t xml:space="preserve">Seychelles </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bis</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0,0625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2 849</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2 849</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Sierra Leone</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ter</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0,03125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Singapour</w:t>
            </w:r>
          </w:p>
        </w:tc>
        <w:tc>
          <w:tcPr>
            <w:tcW w:w="1430" w:type="dxa"/>
            <w:shd w:val="clear" w:color="auto" w:fill="auto"/>
          </w:tcPr>
          <w:p w:rsidR="00142569" w:rsidRPr="00A32AF4" w:rsidRDefault="00142569" w:rsidP="00DC0553">
            <w:pPr>
              <w:jc w:val="center"/>
              <w:rPr>
                <w:rFonts w:cs="Arial"/>
                <w:snapToGrid w:val="0"/>
                <w:color w:val="000000"/>
                <w:sz w:val="18"/>
                <w:szCs w:val="18"/>
              </w:rPr>
            </w:pPr>
            <w:r w:rsidRPr="00A32AF4">
              <w:rPr>
                <w:rFonts w:cs="Arial"/>
                <w:snapToGrid w:val="0"/>
                <w:color w:val="000000"/>
                <w:sz w:val="18"/>
                <w:szCs w:val="18"/>
              </w:rPr>
              <w:t>IX</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11 395</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22 790</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Slovaquie</w:t>
            </w:r>
          </w:p>
        </w:tc>
        <w:tc>
          <w:tcPr>
            <w:tcW w:w="1430" w:type="dxa"/>
            <w:shd w:val="clear" w:color="auto" w:fill="auto"/>
          </w:tcPr>
          <w:p w:rsidR="00142569" w:rsidRPr="00A32AF4" w:rsidRDefault="00142569" w:rsidP="00DC0553">
            <w:pPr>
              <w:jc w:val="center"/>
              <w:rPr>
                <w:rFonts w:cs="Arial"/>
                <w:snapToGrid w:val="0"/>
                <w:color w:val="000000"/>
                <w:sz w:val="18"/>
                <w:szCs w:val="18"/>
              </w:rPr>
            </w:pPr>
            <w:r w:rsidRPr="00A32AF4">
              <w:rPr>
                <w:rFonts w:cs="Arial"/>
                <w:snapToGrid w:val="0"/>
                <w:color w:val="000000"/>
                <w:sz w:val="18"/>
                <w:szCs w:val="18"/>
              </w:rPr>
              <w:t>VI</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3</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136 737</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136 737</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273 474</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Slovénie</w:t>
            </w:r>
          </w:p>
        </w:tc>
        <w:tc>
          <w:tcPr>
            <w:tcW w:w="1430" w:type="dxa"/>
            <w:shd w:val="clear" w:color="auto" w:fill="auto"/>
          </w:tcPr>
          <w:p w:rsidR="00142569" w:rsidRPr="00A32AF4" w:rsidRDefault="00142569" w:rsidP="00DC0553">
            <w:pPr>
              <w:jc w:val="center"/>
              <w:rPr>
                <w:rFonts w:cs="Arial"/>
                <w:snapToGrid w:val="0"/>
                <w:color w:val="000000"/>
                <w:sz w:val="18"/>
                <w:szCs w:val="18"/>
              </w:rPr>
            </w:pPr>
            <w:r w:rsidRPr="00A32AF4">
              <w:rPr>
                <w:rFonts w:cs="Arial"/>
                <w:snapToGrid w:val="0"/>
                <w:color w:val="000000"/>
                <w:sz w:val="18"/>
                <w:szCs w:val="18"/>
              </w:rPr>
              <w:t>VII</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45 579</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45 579</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91 158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vertAlign w:val="superscript"/>
              </w:rPr>
            </w:pPr>
            <w:r w:rsidRPr="00A32AF4">
              <w:rPr>
                <w:rFonts w:cs="Arial"/>
                <w:snapToGrid w:val="0"/>
                <w:color w:val="000000"/>
                <w:sz w:val="18"/>
                <w:szCs w:val="18"/>
              </w:rPr>
              <w:t xml:space="preserve">Somalie </w:t>
            </w:r>
            <w:r w:rsidRPr="00A32AF4">
              <w:rPr>
                <w:rFonts w:cs="Arial"/>
                <w:snapToGrid w:val="0"/>
                <w:color w:val="000000"/>
                <w:sz w:val="18"/>
                <w:szCs w:val="18"/>
                <w:vertAlign w:val="superscript"/>
              </w:rPr>
              <w:t>2</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ter</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0,03125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 xml:space="preserve">Soudan </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ter</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0,03125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Sri Lanka</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0,125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5 697</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5 697</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11 394</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Suède</w:t>
            </w:r>
          </w:p>
        </w:tc>
        <w:tc>
          <w:tcPr>
            <w:tcW w:w="1430" w:type="dxa"/>
            <w:shd w:val="clear" w:color="auto" w:fill="auto"/>
          </w:tcPr>
          <w:p w:rsidR="00142569" w:rsidRPr="00A32AF4" w:rsidRDefault="00142569" w:rsidP="00DC0553">
            <w:pPr>
              <w:jc w:val="center"/>
              <w:rPr>
                <w:rFonts w:cs="Arial"/>
                <w:snapToGrid w:val="0"/>
                <w:color w:val="000000"/>
                <w:sz w:val="18"/>
                <w:szCs w:val="18"/>
              </w:rPr>
            </w:pPr>
            <w:r w:rsidRPr="00A32AF4">
              <w:rPr>
                <w:rFonts w:cs="Arial"/>
                <w:snapToGrid w:val="0"/>
                <w:color w:val="000000"/>
                <w:sz w:val="18"/>
                <w:szCs w:val="18"/>
              </w:rPr>
              <w:t>III</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683 685</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683 685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1 367 370</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Suisse</w:t>
            </w:r>
          </w:p>
        </w:tc>
        <w:tc>
          <w:tcPr>
            <w:tcW w:w="1430" w:type="dxa"/>
            <w:shd w:val="clear" w:color="auto" w:fill="auto"/>
          </w:tcPr>
          <w:p w:rsidR="00142569" w:rsidRPr="00A32AF4" w:rsidRDefault="00142569" w:rsidP="00DC0553">
            <w:pPr>
              <w:jc w:val="center"/>
              <w:rPr>
                <w:rFonts w:cs="Arial"/>
                <w:snapToGrid w:val="0"/>
                <w:color w:val="000000"/>
                <w:sz w:val="18"/>
                <w:szCs w:val="18"/>
              </w:rPr>
            </w:pPr>
            <w:r w:rsidRPr="00A32AF4">
              <w:rPr>
                <w:rFonts w:cs="Arial"/>
                <w:snapToGrid w:val="0"/>
                <w:color w:val="000000"/>
                <w:sz w:val="18"/>
                <w:szCs w:val="18"/>
              </w:rPr>
              <w:t>III</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683 685</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683 685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1 367 370</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Suriname</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bis</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0,0625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2 849</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2 849</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Swaziland</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bis</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0,0625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2 849</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2 849</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b/>
                <w:snapToGrid w:val="0"/>
                <w:color w:val="000000"/>
                <w:sz w:val="18"/>
                <w:szCs w:val="18"/>
              </w:rPr>
              <w:t>T</w:t>
            </w:r>
            <w:r w:rsidRPr="00A32AF4">
              <w:rPr>
                <w:rFonts w:cs="Arial"/>
                <w:snapToGrid w:val="0"/>
                <w:color w:val="000000"/>
                <w:sz w:val="18"/>
                <w:szCs w:val="18"/>
              </w:rPr>
              <w:t>adjikistan</w:t>
            </w:r>
          </w:p>
        </w:tc>
        <w:tc>
          <w:tcPr>
            <w:tcW w:w="1430" w:type="dxa"/>
            <w:shd w:val="clear" w:color="auto" w:fill="auto"/>
          </w:tcPr>
          <w:p w:rsidR="00142569" w:rsidRPr="00A32AF4" w:rsidRDefault="00142569" w:rsidP="00DC0553">
            <w:pPr>
              <w:jc w:val="center"/>
              <w:rPr>
                <w:rFonts w:cs="Arial"/>
                <w:snapToGrid w:val="0"/>
                <w:color w:val="000000"/>
                <w:sz w:val="18"/>
                <w:szCs w:val="18"/>
              </w:rPr>
            </w:pPr>
            <w:r w:rsidRPr="00A32AF4">
              <w:rPr>
                <w:rFonts w:cs="Arial"/>
                <w:snapToGrid w:val="0"/>
                <w:color w:val="000000"/>
                <w:sz w:val="18"/>
                <w:szCs w:val="18"/>
              </w:rPr>
              <w:t>IX</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11 395</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22 790</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Tchad</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ter</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0,03125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Thaïlande</w:t>
            </w:r>
          </w:p>
        </w:tc>
        <w:tc>
          <w:tcPr>
            <w:tcW w:w="1430" w:type="dxa"/>
            <w:shd w:val="clear" w:color="auto" w:fill="auto"/>
          </w:tcPr>
          <w:p w:rsidR="00142569" w:rsidRPr="00A32AF4" w:rsidRDefault="00142569" w:rsidP="00DC0553">
            <w:pPr>
              <w:jc w:val="center"/>
              <w:rPr>
                <w:rFonts w:cs="Arial"/>
                <w:snapToGrid w:val="0"/>
                <w:color w:val="000000"/>
                <w:sz w:val="18"/>
                <w:szCs w:val="18"/>
              </w:rPr>
            </w:pPr>
            <w:r w:rsidRPr="00A32AF4">
              <w:rPr>
                <w:rFonts w:cs="Arial"/>
                <w:snapToGrid w:val="0"/>
                <w:color w:val="000000"/>
                <w:sz w:val="18"/>
                <w:szCs w:val="18"/>
              </w:rPr>
              <w:t>IX</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11 395</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22 790</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Togo</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ter</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0,03125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Tonga</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bis</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0,0625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2 849</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2 849</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Trinité</w:t>
            </w:r>
            <w:r w:rsidR="00EB7F54" w:rsidRPr="00A32AF4">
              <w:rPr>
                <w:rFonts w:cs="Arial"/>
                <w:snapToGrid w:val="0"/>
                <w:color w:val="000000"/>
                <w:sz w:val="18"/>
                <w:szCs w:val="18"/>
              </w:rPr>
              <w:noBreakHyphen/>
            </w:r>
            <w:r w:rsidRPr="00A32AF4">
              <w:rPr>
                <w:rFonts w:cs="Arial"/>
                <w:snapToGrid w:val="0"/>
                <w:color w:val="000000"/>
                <w:sz w:val="18"/>
                <w:szCs w:val="18"/>
              </w:rPr>
              <w:t>et</w:t>
            </w:r>
            <w:r w:rsidR="00EB7F54" w:rsidRPr="00A32AF4">
              <w:rPr>
                <w:rFonts w:cs="Arial"/>
                <w:snapToGrid w:val="0"/>
                <w:color w:val="000000"/>
                <w:sz w:val="18"/>
                <w:szCs w:val="18"/>
              </w:rPr>
              <w:noBreakHyphen/>
            </w:r>
            <w:r w:rsidRPr="00A32AF4">
              <w:rPr>
                <w:rFonts w:cs="Arial"/>
                <w:snapToGrid w:val="0"/>
                <w:color w:val="000000"/>
                <w:sz w:val="18"/>
                <w:szCs w:val="18"/>
              </w:rPr>
              <w:t>Tobago</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0,125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5 697</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5 697</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11 394</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Tunisie</w:t>
            </w:r>
          </w:p>
        </w:tc>
        <w:tc>
          <w:tcPr>
            <w:tcW w:w="1430" w:type="dxa"/>
            <w:shd w:val="clear" w:color="auto" w:fill="auto"/>
          </w:tcPr>
          <w:p w:rsidR="00142569" w:rsidRPr="00A32AF4" w:rsidRDefault="00142569" w:rsidP="00DC0553">
            <w:pPr>
              <w:jc w:val="center"/>
              <w:rPr>
                <w:rFonts w:cs="Arial"/>
                <w:snapToGrid w:val="0"/>
                <w:color w:val="000000"/>
                <w:sz w:val="18"/>
                <w:szCs w:val="18"/>
              </w:rPr>
            </w:pPr>
            <w:r w:rsidRPr="00A32AF4">
              <w:rPr>
                <w:rFonts w:cs="Arial"/>
                <w:snapToGrid w:val="0"/>
                <w:color w:val="000000"/>
                <w:sz w:val="18"/>
                <w:szCs w:val="18"/>
              </w:rPr>
              <w:t>S</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0,125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5 697</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5 697</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11 394</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Turkménistan</w:t>
            </w:r>
          </w:p>
        </w:tc>
        <w:tc>
          <w:tcPr>
            <w:tcW w:w="1430" w:type="dxa"/>
            <w:shd w:val="clear" w:color="auto" w:fill="auto"/>
          </w:tcPr>
          <w:p w:rsidR="00142569" w:rsidRPr="00A32AF4" w:rsidRDefault="00142569" w:rsidP="00DC0553">
            <w:pPr>
              <w:jc w:val="center"/>
              <w:rPr>
                <w:rFonts w:cs="Arial"/>
                <w:snapToGrid w:val="0"/>
                <w:color w:val="000000"/>
                <w:sz w:val="18"/>
                <w:szCs w:val="18"/>
              </w:rPr>
            </w:pPr>
            <w:r w:rsidRPr="00A32AF4">
              <w:rPr>
                <w:rFonts w:cs="Arial"/>
                <w:snapToGrid w:val="0"/>
                <w:color w:val="000000"/>
                <w:sz w:val="18"/>
                <w:szCs w:val="18"/>
              </w:rPr>
              <w:t>IX</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11 395</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22 790</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Turquie</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VI</w:t>
            </w:r>
            <w:r w:rsidRPr="00A32AF4">
              <w:rPr>
                <w:rFonts w:cs="Arial"/>
                <w:i/>
                <w:snapToGrid w:val="0"/>
                <w:color w:val="000000"/>
                <w:sz w:val="18"/>
                <w:szCs w:val="18"/>
              </w:rPr>
              <w:t>bis</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91 158</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91 158</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182 316</w:t>
            </w:r>
          </w:p>
        </w:tc>
      </w:tr>
      <w:tr w:rsidR="00142569" w:rsidRPr="00A32AF4" w:rsidTr="00900C4B">
        <w:trPr>
          <w:cantSplit/>
        </w:trPr>
        <w:tc>
          <w:tcPr>
            <w:tcW w:w="2750" w:type="dxa"/>
            <w:shd w:val="clear" w:color="auto" w:fill="auto"/>
          </w:tcPr>
          <w:p w:rsidR="00142569" w:rsidRPr="00A32AF4" w:rsidRDefault="00142569" w:rsidP="00DC0553">
            <w:pPr>
              <w:keepNext/>
              <w:rPr>
                <w:rFonts w:cs="Arial"/>
                <w:snapToGrid w:val="0"/>
                <w:color w:val="000000"/>
                <w:sz w:val="18"/>
                <w:szCs w:val="18"/>
              </w:rPr>
            </w:pPr>
            <w:r w:rsidRPr="00A32AF4">
              <w:rPr>
                <w:rFonts w:cs="Arial"/>
                <w:snapToGrid w:val="0"/>
                <w:color w:val="000000"/>
                <w:sz w:val="18"/>
                <w:szCs w:val="18"/>
              </w:rPr>
              <w:t>Tuvalu</w:t>
            </w:r>
            <w:r w:rsidRPr="00A32AF4">
              <w:rPr>
                <w:rFonts w:cs="Arial"/>
                <w:snapToGrid w:val="0"/>
                <w:color w:val="000000"/>
                <w:sz w:val="18"/>
                <w:szCs w:val="18"/>
                <w:vertAlign w:val="superscript"/>
              </w:rPr>
              <w:t>2</w:t>
            </w:r>
          </w:p>
        </w:tc>
        <w:tc>
          <w:tcPr>
            <w:tcW w:w="1430" w:type="dxa"/>
            <w:shd w:val="clear" w:color="auto" w:fill="auto"/>
          </w:tcPr>
          <w:p w:rsidR="00142569" w:rsidRPr="00A32AF4" w:rsidRDefault="00142569" w:rsidP="00DC0553">
            <w:pPr>
              <w:keepNext/>
              <w:jc w:val="center"/>
              <w:rPr>
                <w:rFonts w:cs="Arial"/>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ter</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0,03125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2 848</w:t>
            </w:r>
          </w:p>
        </w:tc>
      </w:tr>
      <w:tr w:rsidR="00142569" w:rsidRPr="00A32AF4" w:rsidTr="00900C4B">
        <w:trPr>
          <w:cantSplit/>
        </w:trPr>
        <w:tc>
          <w:tcPr>
            <w:tcW w:w="2750" w:type="dxa"/>
            <w:shd w:val="clear" w:color="auto" w:fill="auto"/>
          </w:tcPr>
          <w:p w:rsidR="00142569" w:rsidRPr="00A32AF4" w:rsidRDefault="00142569" w:rsidP="00DC0553">
            <w:pPr>
              <w:keepNext/>
              <w:rPr>
                <w:rFonts w:cs="Arial"/>
                <w:snapToGrid w:val="0"/>
                <w:color w:val="000000"/>
                <w:sz w:val="18"/>
                <w:szCs w:val="18"/>
              </w:rPr>
            </w:pPr>
            <w:r w:rsidRPr="00A32AF4">
              <w:rPr>
                <w:rFonts w:cs="Arial"/>
                <w:b/>
                <w:snapToGrid w:val="0"/>
                <w:color w:val="000000"/>
                <w:sz w:val="18"/>
                <w:szCs w:val="18"/>
              </w:rPr>
              <w:t>U</w:t>
            </w:r>
            <w:r w:rsidRPr="00A32AF4">
              <w:rPr>
                <w:rFonts w:cs="Arial"/>
                <w:snapToGrid w:val="0"/>
                <w:color w:val="000000"/>
                <w:sz w:val="18"/>
                <w:szCs w:val="18"/>
              </w:rPr>
              <w:t>kraine</w:t>
            </w:r>
          </w:p>
        </w:tc>
        <w:tc>
          <w:tcPr>
            <w:tcW w:w="1430" w:type="dxa"/>
            <w:shd w:val="clear" w:color="auto" w:fill="auto"/>
          </w:tcPr>
          <w:p w:rsidR="00142569" w:rsidRPr="00A32AF4" w:rsidRDefault="00142569" w:rsidP="00DC0553">
            <w:pPr>
              <w:keepNext/>
              <w:jc w:val="center"/>
              <w:rPr>
                <w:rFonts w:cs="Arial"/>
                <w:snapToGrid w:val="0"/>
                <w:color w:val="000000"/>
                <w:sz w:val="18"/>
                <w:szCs w:val="18"/>
              </w:rPr>
            </w:pPr>
            <w:r w:rsidRPr="00A32AF4">
              <w:rPr>
                <w:rFonts w:cs="Arial"/>
                <w:snapToGrid w:val="0"/>
                <w:color w:val="000000"/>
                <w:sz w:val="18"/>
                <w:szCs w:val="18"/>
              </w:rPr>
              <w:t>IX</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11 395</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22 790</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Uruguay</w:t>
            </w:r>
          </w:p>
        </w:tc>
        <w:tc>
          <w:tcPr>
            <w:tcW w:w="1430" w:type="dxa"/>
            <w:shd w:val="clear" w:color="auto" w:fill="auto"/>
          </w:tcPr>
          <w:p w:rsidR="00142569" w:rsidRPr="00A32AF4" w:rsidRDefault="00142569" w:rsidP="00DC0553">
            <w:pPr>
              <w:jc w:val="center"/>
              <w:rPr>
                <w:rFonts w:cs="Arial"/>
                <w:snapToGrid w:val="0"/>
                <w:color w:val="000000"/>
                <w:sz w:val="18"/>
                <w:szCs w:val="18"/>
              </w:rPr>
            </w:pPr>
            <w:r w:rsidRPr="00A32AF4">
              <w:rPr>
                <w:rFonts w:cs="Arial"/>
                <w:snapToGrid w:val="0"/>
                <w:color w:val="000000"/>
                <w:sz w:val="18"/>
                <w:szCs w:val="18"/>
              </w:rPr>
              <w:t>S</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0,125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5 697</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5 697</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11 394</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b/>
                <w:snapToGrid w:val="0"/>
                <w:color w:val="000000"/>
                <w:sz w:val="18"/>
                <w:szCs w:val="18"/>
              </w:rPr>
              <w:t>V</w:t>
            </w:r>
            <w:r w:rsidRPr="00A32AF4">
              <w:rPr>
                <w:rFonts w:cs="Arial"/>
                <w:snapToGrid w:val="0"/>
                <w:color w:val="000000"/>
                <w:sz w:val="18"/>
                <w:szCs w:val="18"/>
              </w:rPr>
              <w:t>anuatu</w:t>
            </w:r>
          </w:p>
        </w:tc>
        <w:tc>
          <w:tcPr>
            <w:tcW w:w="1430" w:type="dxa"/>
            <w:shd w:val="clear" w:color="auto" w:fill="auto"/>
          </w:tcPr>
          <w:p w:rsidR="00142569" w:rsidRPr="00A32AF4" w:rsidRDefault="00142569" w:rsidP="00DC0553">
            <w:pPr>
              <w:jc w:val="center"/>
              <w:rPr>
                <w:rFonts w:cs="Arial"/>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ter</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0,03125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Venezuela (République bolivarienne du)</w:t>
            </w:r>
          </w:p>
        </w:tc>
        <w:tc>
          <w:tcPr>
            <w:tcW w:w="1430" w:type="dxa"/>
            <w:shd w:val="clear" w:color="auto" w:fill="auto"/>
          </w:tcPr>
          <w:p w:rsidR="00142569" w:rsidRPr="00A32AF4" w:rsidRDefault="00142569" w:rsidP="00DC0553">
            <w:pPr>
              <w:jc w:val="center"/>
              <w:rPr>
                <w:rFonts w:cs="Arial"/>
                <w:snapToGrid w:val="0"/>
                <w:color w:val="000000"/>
                <w:sz w:val="18"/>
                <w:szCs w:val="18"/>
              </w:rPr>
            </w:pPr>
            <w:r w:rsidRPr="00A32AF4">
              <w:rPr>
                <w:rFonts w:cs="Arial"/>
                <w:snapToGrid w:val="0"/>
                <w:color w:val="000000"/>
                <w:sz w:val="18"/>
                <w:szCs w:val="18"/>
              </w:rPr>
              <w:t>IX</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11 395</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22 790</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Viet Nam</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0,125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5 697</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5 697</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11 394</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vertAlign w:val="superscript"/>
              </w:rPr>
            </w:pPr>
            <w:r w:rsidRPr="00A32AF4">
              <w:rPr>
                <w:rFonts w:cs="Arial"/>
                <w:b/>
                <w:snapToGrid w:val="0"/>
                <w:color w:val="000000"/>
                <w:sz w:val="18"/>
                <w:szCs w:val="18"/>
              </w:rPr>
              <w:t>Y</w:t>
            </w:r>
            <w:r w:rsidRPr="00A32AF4">
              <w:rPr>
                <w:rFonts w:cs="Arial"/>
                <w:snapToGrid w:val="0"/>
                <w:color w:val="000000"/>
                <w:sz w:val="18"/>
                <w:szCs w:val="18"/>
              </w:rPr>
              <w:t xml:space="preserve">émen </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ter</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0,03125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b/>
                <w:snapToGrid w:val="0"/>
                <w:color w:val="000000"/>
                <w:sz w:val="18"/>
                <w:szCs w:val="18"/>
              </w:rPr>
              <w:t>Z</w:t>
            </w:r>
            <w:r w:rsidRPr="00A32AF4">
              <w:rPr>
                <w:rFonts w:cs="Arial"/>
                <w:snapToGrid w:val="0"/>
                <w:color w:val="000000"/>
                <w:sz w:val="18"/>
                <w:szCs w:val="18"/>
              </w:rPr>
              <w:t>ambie</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ter</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0,03125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1 424</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2 848</w:t>
            </w:r>
          </w:p>
        </w:tc>
      </w:tr>
      <w:tr w:rsidR="00142569" w:rsidRPr="00A32AF4" w:rsidTr="00900C4B">
        <w:trPr>
          <w:cantSplit/>
        </w:trPr>
        <w:tc>
          <w:tcPr>
            <w:tcW w:w="2750" w:type="dxa"/>
            <w:shd w:val="clear" w:color="auto" w:fill="auto"/>
          </w:tcPr>
          <w:p w:rsidR="00142569" w:rsidRPr="00A32AF4" w:rsidRDefault="00142569" w:rsidP="00DC0553">
            <w:pPr>
              <w:rPr>
                <w:rFonts w:cs="Arial"/>
                <w:snapToGrid w:val="0"/>
                <w:color w:val="000000"/>
                <w:sz w:val="18"/>
                <w:szCs w:val="18"/>
              </w:rPr>
            </w:pPr>
            <w:r w:rsidRPr="00A32AF4">
              <w:rPr>
                <w:rFonts w:cs="Arial"/>
                <w:snapToGrid w:val="0"/>
                <w:color w:val="000000"/>
                <w:sz w:val="18"/>
                <w:szCs w:val="18"/>
              </w:rPr>
              <w:t>Zimbabwe</w:t>
            </w:r>
          </w:p>
        </w:tc>
        <w:tc>
          <w:tcPr>
            <w:tcW w:w="1430" w:type="dxa"/>
            <w:shd w:val="clear" w:color="auto" w:fill="auto"/>
          </w:tcPr>
          <w:p w:rsidR="00142569" w:rsidRPr="00A32AF4" w:rsidRDefault="00142569" w:rsidP="00DC0553">
            <w:pPr>
              <w:jc w:val="center"/>
              <w:rPr>
                <w:rFonts w:cs="Arial"/>
                <w:i/>
                <w:snapToGrid w:val="0"/>
                <w:color w:val="000000"/>
                <w:sz w:val="18"/>
                <w:szCs w:val="18"/>
              </w:rPr>
            </w:pPr>
            <w:r w:rsidRPr="00A32AF4">
              <w:rPr>
                <w:rFonts w:cs="Arial"/>
                <w:snapToGrid w:val="0"/>
                <w:color w:val="000000"/>
                <w:sz w:val="18"/>
                <w:szCs w:val="18"/>
              </w:rPr>
              <w:t>S</w:t>
            </w:r>
            <w:r w:rsidRPr="00A32AF4">
              <w:rPr>
                <w:rFonts w:cs="Arial"/>
                <w:i/>
                <w:snapToGrid w:val="0"/>
                <w:color w:val="000000"/>
                <w:sz w:val="18"/>
                <w:szCs w:val="18"/>
              </w:rPr>
              <w:t>bis</w:t>
            </w:r>
          </w:p>
        </w:tc>
        <w:tc>
          <w:tcPr>
            <w:tcW w:w="121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0,0625</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2 849</w:t>
            </w:r>
          </w:p>
        </w:tc>
        <w:tc>
          <w:tcPr>
            <w:tcW w:w="143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2 849</w:t>
            </w:r>
          </w:p>
        </w:tc>
        <w:tc>
          <w:tcPr>
            <w:tcW w:w="1320" w:type="dxa"/>
            <w:shd w:val="clear" w:color="auto" w:fill="auto"/>
          </w:tcPr>
          <w:p w:rsidR="00142569" w:rsidRPr="00A32AF4" w:rsidRDefault="00142569" w:rsidP="00DC0553">
            <w:pPr>
              <w:jc w:val="right"/>
              <w:rPr>
                <w:rFonts w:cs="Arial"/>
                <w:snapToGrid w:val="0"/>
                <w:color w:val="000000"/>
                <w:sz w:val="18"/>
                <w:szCs w:val="18"/>
              </w:rPr>
            </w:pPr>
            <w:r w:rsidRPr="00A32AF4">
              <w:rPr>
                <w:rFonts w:cs="Arial"/>
                <w:snapToGrid w:val="0"/>
                <w:color w:val="000000"/>
                <w:sz w:val="18"/>
                <w:szCs w:val="18"/>
              </w:rPr>
              <w:t>5 698</w:t>
            </w:r>
          </w:p>
        </w:tc>
      </w:tr>
      <w:tr w:rsidR="00142569" w:rsidRPr="00A32AF4" w:rsidTr="00900C4B">
        <w:trPr>
          <w:cantSplit/>
        </w:trPr>
        <w:tc>
          <w:tcPr>
            <w:tcW w:w="2750" w:type="dxa"/>
            <w:shd w:val="clear" w:color="auto" w:fill="D9D9D9"/>
          </w:tcPr>
          <w:p w:rsidR="00142569" w:rsidRPr="00A32AF4" w:rsidRDefault="00142569" w:rsidP="00DC0553">
            <w:pPr>
              <w:rPr>
                <w:rFonts w:cs="Arial"/>
                <w:b/>
                <w:snapToGrid w:val="0"/>
                <w:sz w:val="18"/>
                <w:szCs w:val="18"/>
                <w:vertAlign w:val="superscript"/>
              </w:rPr>
            </w:pPr>
            <w:r w:rsidRPr="00A32AF4">
              <w:rPr>
                <w:rFonts w:cs="Arial"/>
                <w:b/>
                <w:snapToGrid w:val="0"/>
                <w:sz w:val="18"/>
                <w:szCs w:val="18"/>
              </w:rPr>
              <w:t xml:space="preserve">Total Contributions </w:t>
            </w:r>
          </w:p>
        </w:tc>
        <w:tc>
          <w:tcPr>
            <w:tcW w:w="1430" w:type="dxa"/>
            <w:shd w:val="clear" w:color="auto" w:fill="D9D9D9"/>
          </w:tcPr>
          <w:p w:rsidR="00142569" w:rsidRPr="00A32AF4" w:rsidRDefault="00142569" w:rsidP="00DC0553">
            <w:pPr>
              <w:jc w:val="right"/>
              <w:rPr>
                <w:rFonts w:cs="Arial"/>
                <w:b/>
                <w:snapToGrid w:val="0"/>
                <w:sz w:val="18"/>
                <w:szCs w:val="18"/>
              </w:rPr>
            </w:pPr>
          </w:p>
        </w:tc>
        <w:tc>
          <w:tcPr>
            <w:tcW w:w="1210" w:type="dxa"/>
            <w:shd w:val="clear" w:color="auto" w:fill="D9D9D9"/>
          </w:tcPr>
          <w:p w:rsidR="00142569" w:rsidRPr="00A32AF4" w:rsidRDefault="00142569" w:rsidP="00DC0553">
            <w:pPr>
              <w:jc w:val="right"/>
              <w:rPr>
                <w:rFonts w:cs="Arial"/>
                <w:b/>
                <w:snapToGrid w:val="0"/>
                <w:sz w:val="18"/>
                <w:szCs w:val="18"/>
              </w:rPr>
            </w:pPr>
          </w:p>
        </w:tc>
        <w:tc>
          <w:tcPr>
            <w:tcW w:w="1320" w:type="dxa"/>
            <w:shd w:val="clear" w:color="auto" w:fill="D9D9D9"/>
          </w:tcPr>
          <w:p w:rsidR="00142569" w:rsidRPr="00A32AF4" w:rsidRDefault="00142569" w:rsidP="00DC0553">
            <w:pPr>
              <w:jc w:val="right"/>
              <w:rPr>
                <w:rFonts w:cs="Arial"/>
                <w:b/>
                <w:snapToGrid w:val="0"/>
                <w:sz w:val="18"/>
                <w:szCs w:val="18"/>
              </w:rPr>
            </w:pPr>
            <w:r w:rsidRPr="00A32AF4">
              <w:rPr>
                <w:rFonts w:cs="Arial"/>
                <w:b/>
                <w:snapToGrid w:val="0"/>
                <w:sz w:val="18"/>
                <w:szCs w:val="18"/>
              </w:rPr>
              <w:t>17 361 317</w:t>
            </w:r>
          </w:p>
        </w:tc>
        <w:tc>
          <w:tcPr>
            <w:tcW w:w="1430" w:type="dxa"/>
            <w:shd w:val="clear" w:color="auto" w:fill="D9D9D9"/>
          </w:tcPr>
          <w:p w:rsidR="00142569" w:rsidRPr="00A32AF4" w:rsidRDefault="00142569" w:rsidP="00DC0553">
            <w:pPr>
              <w:jc w:val="right"/>
              <w:rPr>
                <w:rFonts w:cs="Arial"/>
                <w:b/>
                <w:snapToGrid w:val="0"/>
                <w:sz w:val="18"/>
                <w:szCs w:val="18"/>
              </w:rPr>
            </w:pPr>
            <w:r w:rsidRPr="00A32AF4">
              <w:rPr>
                <w:rFonts w:cs="Arial"/>
                <w:b/>
                <w:snapToGrid w:val="0"/>
                <w:sz w:val="18"/>
                <w:szCs w:val="18"/>
              </w:rPr>
              <w:t>17 361 317</w:t>
            </w:r>
          </w:p>
        </w:tc>
        <w:tc>
          <w:tcPr>
            <w:tcW w:w="1320" w:type="dxa"/>
            <w:shd w:val="clear" w:color="auto" w:fill="D9D9D9"/>
          </w:tcPr>
          <w:p w:rsidR="00142569" w:rsidRPr="00A32AF4" w:rsidRDefault="00142569" w:rsidP="00DC0553">
            <w:pPr>
              <w:jc w:val="right"/>
              <w:rPr>
                <w:rFonts w:cs="Arial"/>
                <w:b/>
                <w:snapToGrid w:val="0"/>
                <w:sz w:val="18"/>
                <w:szCs w:val="18"/>
              </w:rPr>
            </w:pPr>
            <w:r w:rsidRPr="00A32AF4">
              <w:rPr>
                <w:rFonts w:cs="Arial"/>
                <w:b/>
                <w:snapToGrid w:val="0"/>
                <w:sz w:val="18"/>
                <w:szCs w:val="18"/>
              </w:rPr>
              <w:t>34 722 634</w:t>
            </w:r>
          </w:p>
        </w:tc>
      </w:tr>
    </w:tbl>
    <w:p w:rsidR="00F93B76" w:rsidRPr="00A32AF4" w:rsidRDefault="00F93B76" w:rsidP="00DC0553">
      <w:pPr>
        <w:tabs>
          <w:tab w:val="left" w:pos="714"/>
        </w:tabs>
        <w:jc w:val="both"/>
        <w:rPr>
          <w:rFonts w:cs="Arial"/>
          <w:snapToGrid w:val="0"/>
          <w:color w:val="000000"/>
          <w:sz w:val="19"/>
          <w:szCs w:val="19"/>
        </w:rPr>
      </w:pPr>
    </w:p>
    <w:p w:rsidR="00F93B76" w:rsidRPr="00A32AF4" w:rsidRDefault="00142569" w:rsidP="00DC0553">
      <w:pPr>
        <w:pStyle w:val="Notes"/>
        <w:rPr>
          <w:snapToGrid w:val="0"/>
        </w:rPr>
      </w:pPr>
      <w:r w:rsidRPr="00A32AF4">
        <w:rPr>
          <w:snapToGrid w:val="0"/>
          <w:vertAlign w:val="superscript"/>
        </w:rPr>
        <w:t>1</w:t>
      </w:r>
      <w:r w:rsidRPr="00A32AF4">
        <w:rPr>
          <w:snapToGrid w:val="0"/>
        </w:rPr>
        <w:tab/>
        <w:t>La valeur d</w:t>
      </w:r>
      <w:r w:rsidR="00E2055A" w:rsidRPr="00A32AF4">
        <w:rPr>
          <w:snapToGrid w:val="0"/>
        </w:rPr>
        <w:t>’</w:t>
      </w:r>
      <w:r w:rsidRPr="00A32AF4">
        <w:rPr>
          <w:snapToGrid w:val="0"/>
        </w:rPr>
        <w:t>une unité demeure inchangée à 45 579 francs suisses pour 2016 et 2017 par rapport à 2014 et 2015.</w:t>
      </w:r>
    </w:p>
    <w:p w:rsidR="00F93B76" w:rsidRPr="00A32AF4" w:rsidRDefault="00142569" w:rsidP="00DC0553">
      <w:pPr>
        <w:pStyle w:val="Notes"/>
      </w:pPr>
      <w:r w:rsidRPr="00A32AF4">
        <w:rPr>
          <w:vertAlign w:val="superscript"/>
        </w:rPr>
        <w:t>2</w:t>
      </w:r>
      <w:r w:rsidRPr="00A32AF4">
        <w:t xml:space="preserve"> </w:t>
      </w:r>
      <w:r w:rsidRPr="00A32AF4">
        <w:tab/>
        <w:t>États membres de l</w:t>
      </w:r>
      <w:r w:rsidR="00E2055A" w:rsidRPr="00A32AF4">
        <w:t>’</w:t>
      </w:r>
      <w:r w:rsidRPr="00A32AF4">
        <w:t>OMPI qui ne sont membres d</w:t>
      </w:r>
      <w:r w:rsidR="00E2055A" w:rsidRPr="00A32AF4">
        <w:t>’</w:t>
      </w:r>
      <w:r w:rsidRPr="00A32AF4">
        <w:t>aucune Union.</w:t>
      </w:r>
    </w:p>
    <w:p w:rsidR="00F93B76" w:rsidRPr="00A32AF4" w:rsidRDefault="00F93B76" w:rsidP="00DC0553"/>
    <w:p w:rsidR="00F93B76" w:rsidRPr="00A32AF4" w:rsidRDefault="00142569" w:rsidP="00F52E38">
      <w:pPr>
        <w:pStyle w:val="Heading3"/>
        <w:tabs>
          <w:tab w:val="clear" w:pos="2268"/>
        </w:tabs>
        <w:ind w:left="0" w:firstLine="0"/>
      </w:pPr>
      <w:bookmarkStart w:id="106" w:name="_Toc293334852"/>
      <w:bookmarkStart w:id="107" w:name="_Toc298920434"/>
      <w:bookmarkStart w:id="108" w:name="_Toc310950814"/>
      <w:bookmarkStart w:id="109" w:name="_Toc356567800"/>
      <w:r w:rsidRPr="00A32AF4">
        <w:br w:type="page"/>
      </w:r>
      <w:bookmarkStart w:id="110" w:name="_Toc359246239"/>
      <w:bookmarkStart w:id="111" w:name="_Toc431555489"/>
      <w:r w:rsidRPr="00A32AF4">
        <w:t xml:space="preserve">Appendice B </w:t>
      </w:r>
      <w:r w:rsidR="00B77998" w:rsidRPr="00A32AF4">
        <w:t xml:space="preserve">  </w:t>
      </w:r>
      <w:r w:rsidRPr="00A32AF4">
        <w:br/>
        <w:t xml:space="preserve">Définition des </w:t>
      </w:r>
      <w:bookmarkEnd w:id="106"/>
      <w:bookmarkEnd w:id="107"/>
      <w:bookmarkEnd w:id="108"/>
      <w:bookmarkEnd w:id="109"/>
      <w:bookmarkEnd w:id="110"/>
      <w:r w:rsidR="005E7C9D" w:rsidRPr="00A32AF4">
        <w:t>catégories de dépenses</w:t>
      </w:r>
      <w:bookmarkEnd w:id="111"/>
    </w:p>
    <w:p w:rsidR="00F93B76" w:rsidRPr="00A32AF4" w:rsidRDefault="00F93B76" w:rsidP="00DC0553">
      <w:pPr>
        <w:jc w:val="both"/>
        <w:rPr>
          <w:b/>
        </w:rPr>
      </w:pPr>
    </w:p>
    <w:p w:rsidR="00F93B76" w:rsidRPr="00A32AF4" w:rsidRDefault="00F93B76" w:rsidP="00DC0553">
      <w:pPr>
        <w:jc w:val="both"/>
        <w:rPr>
          <w:b/>
        </w:rPr>
      </w:pPr>
    </w:p>
    <w:p w:rsidR="00F93B76" w:rsidRPr="00A32AF4" w:rsidRDefault="00142569" w:rsidP="00DC0553">
      <w:pPr>
        <w:jc w:val="both"/>
        <w:rPr>
          <w:b/>
        </w:rPr>
      </w:pPr>
      <w:r w:rsidRPr="00A32AF4">
        <w:rPr>
          <w:b/>
        </w:rPr>
        <w:t>RECETTES, PAR PROVENANCE</w:t>
      </w:r>
    </w:p>
    <w:p w:rsidR="00F93B76" w:rsidRPr="00A32AF4" w:rsidRDefault="00F93B76" w:rsidP="00DC0553">
      <w:pPr>
        <w:jc w:val="both"/>
      </w:pPr>
    </w:p>
    <w:p w:rsidR="00F93B76" w:rsidRPr="00A32AF4" w:rsidRDefault="00142569" w:rsidP="00DC0553">
      <w:pPr>
        <w:ind w:left="567"/>
        <w:jc w:val="both"/>
        <w:rPr>
          <w:color w:val="000000"/>
        </w:rPr>
      </w:pPr>
      <w:r w:rsidRPr="00A32AF4">
        <w:rPr>
          <w:b/>
          <w:bCs/>
          <w:i/>
          <w:iCs/>
          <w:color w:val="000000"/>
        </w:rPr>
        <w:t xml:space="preserve">Contributions : </w:t>
      </w:r>
      <w:r w:rsidRPr="00A32AF4">
        <w:rPr>
          <w:bCs/>
          <w:iCs/>
          <w:color w:val="000000"/>
        </w:rPr>
        <w:t>contributions des États membres à l</w:t>
      </w:r>
      <w:r w:rsidR="00E2055A" w:rsidRPr="00A32AF4">
        <w:rPr>
          <w:bCs/>
          <w:iCs/>
          <w:color w:val="000000"/>
        </w:rPr>
        <w:t>’</w:t>
      </w:r>
      <w:r w:rsidRPr="00A32AF4">
        <w:rPr>
          <w:bCs/>
          <w:iCs/>
          <w:color w:val="000000"/>
        </w:rPr>
        <w:t>Organisation selon le système de contribution unique.</w:t>
      </w:r>
    </w:p>
    <w:p w:rsidR="00F93B76" w:rsidRPr="00A32AF4" w:rsidRDefault="00F93B76" w:rsidP="00DC0553">
      <w:pPr>
        <w:ind w:left="567"/>
        <w:jc w:val="both"/>
      </w:pPr>
    </w:p>
    <w:p w:rsidR="00F93B76" w:rsidRPr="00A32AF4" w:rsidRDefault="00142569" w:rsidP="00DC0553">
      <w:pPr>
        <w:ind w:left="567"/>
        <w:jc w:val="both"/>
        <w:rPr>
          <w:bCs/>
          <w:iCs/>
          <w:color w:val="000000"/>
        </w:rPr>
      </w:pPr>
      <w:r w:rsidRPr="00A32AF4">
        <w:rPr>
          <w:b/>
          <w:bCs/>
          <w:i/>
          <w:iCs/>
          <w:color w:val="000000"/>
        </w:rPr>
        <w:t xml:space="preserve">Taxes : </w:t>
      </w:r>
      <w:r w:rsidRPr="00A32AF4">
        <w:rPr>
          <w:bCs/>
          <w:iCs/>
          <w:color w:val="000000"/>
        </w:rPr>
        <w:t xml:space="preserve">taxes revenant au Bureau international dans le cadre des systèmes du PCT, de Madrid, de </w:t>
      </w:r>
      <w:r w:rsidR="00E2055A" w:rsidRPr="00A32AF4">
        <w:rPr>
          <w:bCs/>
          <w:iCs/>
          <w:color w:val="000000"/>
        </w:rPr>
        <w:t>La Haye</w:t>
      </w:r>
      <w:r w:rsidRPr="00A32AF4">
        <w:rPr>
          <w:bCs/>
          <w:iCs/>
          <w:color w:val="000000"/>
        </w:rPr>
        <w:t xml:space="preserve"> et de Lisbonne</w:t>
      </w:r>
      <w:r w:rsidR="005E7C9D" w:rsidRPr="00A32AF4">
        <w:rPr>
          <w:bCs/>
          <w:iCs/>
          <w:color w:val="000000"/>
        </w:rPr>
        <w:t>,</w:t>
      </w:r>
      <w:r w:rsidR="005E7C9D" w:rsidRPr="00A32AF4">
        <w:rPr>
          <w:rFonts w:cs="Arial"/>
          <w:color w:val="000000"/>
        </w:rPr>
        <w:t xml:space="preserve"> déduction faite des ajustements de change</w:t>
      </w:r>
      <w:r w:rsidRPr="00A32AF4">
        <w:rPr>
          <w:bCs/>
          <w:iCs/>
          <w:color w:val="000000"/>
        </w:rPr>
        <w:t>.</w:t>
      </w:r>
    </w:p>
    <w:p w:rsidR="00F93B76" w:rsidRPr="00A32AF4" w:rsidRDefault="00F93B76" w:rsidP="00DC0553">
      <w:pPr>
        <w:ind w:left="567"/>
        <w:jc w:val="both"/>
        <w:rPr>
          <w:color w:val="000000"/>
        </w:rPr>
      </w:pPr>
    </w:p>
    <w:p w:rsidR="00F93B76" w:rsidRPr="00A32AF4" w:rsidRDefault="00142569" w:rsidP="00DC0553">
      <w:pPr>
        <w:ind w:left="567"/>
        <w:jc w:val="both"/>
        <w:rPr>
          <w:b/>
          <w:bCs/>
          <w:i/>
          <w:iCs/>
          <w:color w:val="000000"/>
        </w:rPr>
      </w:pPr>
      <w:r w:rsidRPr="00A32AF4">
        <w:rPr>
          <w:b/>
          <w:bCs/>
          <w:i/>
          <w:iCs/>
          <w:color w:val="000000"/>
        </w:rPr>
        <w:t xml:space="preserve">Arbitrage : </w:t>
      </w:r>
      <w:r w:rsidRPr="00A32AF4">
        <w:rPr>
          <w:bCs/>
          <w:iCs/>
          <w:color w:val="000000"/>
        </w:rPr>
        <w:t>taxes d</w:t>
      </w:r>
      <w:r w:rsidR="00E2055A" w:rsidRPr="00A32AF4">
        <w:rPr>
          <w:bCs/>
          <w:iCs/>
          <w:color w:val="000000"/>
        </w:rPr>
        <w:t>’</w:t>
      </w:r>
      <w:r w:rsidRPr="00A32AF4">
        <w:rPr>
          <w:bCs/>
          <w:iCs/>
          <w:color w:val="000000"/>
        </w:rPr>
        <w:t>arbitrage concernant les litiges relatifs aux noms de domaine, droits d</w:t>
      </w:r>
      <w:r w:rsidR="00E2055A" w:rsidRPr="00A32AF4">
        <w:rPr>
          <w:bCs/>
          <w:iCs/>
          <w:color w:val="000000"/>
        </w:rPr>
        <w:t>’</w:t>
      </w:r>
      <w:r w:rsidRPr="00A32AF4">
        <w:rPr>
          <w:bCs/>
          <w:iCs/>
          <w:color w:val="000000"/>
        </w:rPr>
        <w:t>inscription aux réunions du Centre d</w:t>
      </w:r>
      <w:r w:rsidR="00E2055A" w:rsidRPr="00A32AF4">
        <w:rPr>
          <w:bCs/>
          <w:iCs/>
          <w:color w:val="000000"/>
        </w:rPr>
        <w:t>’</w:t>
      </w:r>
      <w:r w:rsidRPr="00A32AF4">
        <w:rPr>
          <w:bCs/>
          <w:iCs/>
          <w:color w:val="000000"/>
        </w:rPr>
        <w:t>arbitrage et de médiation de l</w:t>
      </w:r>
      <w:r w:rsidR="00E2055A" w:rsidRPr="00A32AF4">
        <w:rPr>
          <w:bCs/>
          <w:iCs/>
          <w:color w:val="000000"/>
        </w:rPr>
        <w:t>’</w:t>
      </w:r>
      <w:r w:rsidRPr="00A32AF4">
        <w:rPr>
          <w:bCs/>
          <w:iCs/>
          <w:color w:val="000000"/>
        </w:rPr>
        <w:t>OMPI</w:t>
      </w:r>
      <w:r w:rsidR="00842E21" w:rsidRPr="00A32AF4">
        <w:rPr>
          <w:rFonts w:cs="Arial"/>
          <w:color w:val="000000"/>
        </w:rPr>
        <w:t xml:space="preserve">, </w:t>
      </w:r>
      <w:r w:rsidR="005E7C9D" w:rsidRPr="00A32AF4">
        <w:rPr>
          <w:rFonts w:cs="Arial"/>
          <w:color w:val="000000"/>
        </w:rPr>
        <w:t>déduction faite des ajustements de change</w:t>
      </w:r>
      <w:r w:rsidR="00842E21" w:rsidRPr="00A32AF4">
        <w:rPr>
          <w:rFonts w:cs="Arial"/>
          <w:color w:val="000000"/>
        </w:rPr>
        <w:t>.</w:t>
      </w:r>
    </w:p>
    <w:p w:rsidR="00F93B76" w:rsidRPr="00A32AF4" w:rsidRDefault="00F93B76" w:rsidP="00DC0553">
      <w:pPr>
        <w:ind w:left="567"/>
        <w:jc w:val="both"/>
      </w:pPr>
    </w:p>
    <w:p w:rsidR="00F93B76" w:rsidRPr="00A32AF4" w:rsidRDefault="00142569" w:rsidP="00DC0553">
      <w:pPr>
        <w:ind w:left="567"/>
        <w:jc w:val="both"/>
        <w:rPr>
          <w:color w:val="000000"/>
        </w:rPr>
      </w:pPr>
      <w:r w:rsidRPr="00A32AF4">
        <w:rPr>
          <w:b/>
          <w:bCs/>
          <w:i/>
          <w:iCs/>
          <w:color w:val="000000"/>
        </w:rPr>
        <w:t xml:space="preserve">Intérêts : </w:t>
      </w:r>
      <w:r w:rsidRPr="00A32AF4">
        <w:rPr>
          <w:bCs/>
          <w:iCs/>
          <w:color w:val="000000"/>
        </w:rPr>
        <w:t xml:space="preserve">recettes représentant </w:t>
      </w:r>
      <w:r w:rsidR="005E7C9D" w:rsidRPr="00A32AF4">
        <w:rPr>
          <w:bCs/>
          <w:iCs/>
          <w:color w:val="000000"/>
        </w:rPr>
        <w:t xml:space="preserve">le produit des placements, </w:t>
      </w:r>
      <w:r w:rsidR="00E2055A" w:rsidRPr="00A32AF4">
        <w:rPr>
          <w:bCs/>
          <w:iCs/>
          <w:color w:val="000000"/>
        </w:rPr>
        <w:t>y compris</w:t>
      </w:r>
      <w:r w:rsidR="005E7C9D" w:rsidRPr="00A32AF4">
        <w:rPr>
          <w:bCs/>
          <w:iCs/>
          <w:color w:val="000000"/>
        </w:rPr>
        <w:t xml:space="preserve"> </w:t>
      </w:r>
      <w:r w:rsidRPr="00A32AF4">
        <w:rPr>
          <w:bCs/>
          <w:iCs/>
          <w:color w:val="000000"/>
        </w:rPr>
        <w:t>les intérêts sur les dépôts de fonds.</w:t>
      </w:r>
    </w:p>
    <w:p w:rsidR="00F93B76" w:rsidRPr="00A32AF4" w:rsidRDefault="00F93B76" w:rsidP="00DC0553">
      <w:pPr>
        <w:ind w:left="567"/>
        <w:jc w:val="both"/>
      </w:pPr>
    </w:p>
    <w:p w:rsidR="00F93B76" w:rsidRPr="00A32AF4" w:rsidRDefault="00142569" w:rsidP="00DC0553">
      <w:pPr>
        <w:ind w:left="567"/>
        <w:jc w:val="both"/>
        <w:rPr>
          <w:color w:val="000000"/>
        </w:rPr>
      </w:pPr>
      <w:r w:rsidRPr="00A32AF4">
        <w:rPr>
          <w:b/>
          <w:bCs/>
          <w:i/>
          <w:iCs/>
          <w:color w:val="000000"/>
        </w:rPr>
        <w:t xml:space="preserve">Publications : </w:t>
      </w:r>
      <w:r w:rsidRPr="00A32AF4">
        <w:rPr>
          <w:bCs/>
          <w:iCs/>
          <w:color w:val="000000"/>
        </w:rPr>
        <w:t>recettes provenant de la vente des publications et des abonnements aux périodiques publiés par le Secrétariat sur papier, CD</w:t>
      </w:r>
      <w:r w:rsidR="00EB7F54" w:rsidRPr="00A32AF4">
        <w:rPr>
          <w:bCs/>
          <w:iCs/>
          <w:color w:val="000000"/>
        </w:rPr>
        <w:noBreakHyphen/>
      </w:r>
      <w:r w:rsidRPr="00A32AF4">
        <w:rPr>
          <w:bCs/>
          <w:iCs/>
          <w:color w:val="000000"/>
        </w:rPr>
        <w:t>ROM ou tout autre support.</w:t>
      </w:r>
    </w:p>
    <w:p w:rsidR="00F93B76" w:rsidRPr="00A32AF4" w:rsidRDefault="00F93B76" w:rsidP="00DC0553">
      <w:pPr>
        <w:ind w:left="567"/>
        <w:jc w:val="both"/>
      </w:pPr>
    </w:p>
    <w:p w:rsidR="00F93B76" w:rsidRPr="00A32AF4" w:rsidRDefault="00142569" w:rsidP="00DC0553">
      <w:pPr>
        <w:ind w:left="567"/>
        <w:jc w:val="both"/>
        <w:rPr>
          <w:color w:val="000000"/>
        </w:rPr>
      </w:pPr>
      <w:r w:rsidRPr="00A32AF4">
        <w:rPr>
          <w:b/>
          <w:bCs/>
          <w:i/>
          <w:iCs/>
          <w:color w:val="000000"/>
        </w:rPr>
        <w:t xml:space="preserve">Autres recettes : </w:t>
      </w:r>
      <w:r w:rsidRPr="00A32AF4">
        <w:rPr>
          <w:bCs/>
          <w:iCs/>
          <w:color w:val="000000"/>
        </w:rPr>
        <w:t>droits d</w:t>
      </w:r>
      <w:r w:rsidR="00E2055A" w:rsidRPr="00A32AF4">
        <w:rPr>
          <w:bCs/>
          <w:iCs/>
          <w:color w:val="000000"/>
        </w:rPr>
        <w:t>’</w:t>
      </w:r>
      <w:r w:rsidRPr="00A32AF4">
        <w:rPr>
          <w:bCs/>
          <w:iCs/>
          <w:color w:val="000000"/>
        </w:rPr>
        <w:t>inscription à des conférences et cours de formation, recettes provenant des services d</w:t>
      </w:r>
      <w:r w:rsidR="00E2055A" w:rsidRPr="00A32AF4">
        <w:rPr>
          <w:bCs/>
          <w:iCs/>
          <w:color w:val="000000"/>
        </w:rPr>
        <w:t>’</w:t>
      </w:r>
      <w:r w:rsidRPr="00A32AF4">
        <w:rPr>
          <w:bCs/>
          <w:iCs/>
          <w:color w:val="000000"/>
        </w:rPr>
        <w:t>appui fournis en rapport avec des activités extrabudgétaires de l</w:t>
      </w:r>
      <w:r w:rsidR="00E2055A" w:rsidRPr="00A32AF4">
        <w:rPr>
          <w:bCs/>
          <w:iCs/>
          <w:color w:val="000000"/>
        </w:rPr>
        <w:t>’</w:t>
      </w:r>
      <w:r w:rsidRPr="00A32AF4">
        <w:rPr>
          <w:bCs/>
          <w:iCs/>
          <w:color w:val="000000"/>
        </w:rPr>
        <w:t>OMPI financées par le PNUD et par des fonds fiduciaires, ajustements comptables (crédits) relatifs à des années antérieures et ajustements de change, recettes provenant de la location de locaux appartenant à l</w:t>
      </w:r>
      <w:r w:rsidR="00E2055A" w:rsidRPr="00A32AF4">
        <w:rPr>
          <w:bCs/>
          <w:iCs/>
          <w:color w:val="000000"/>
        </w:rPr>
        <w:t>’</w:t>
      </w:r>
      <w:r w:rsidRPr="00A32AF4">
        <w:rPr>
          <w:bCs/>
          <w:iCs/>
          <w:color w:val="000000"/>
        </w:rPr>
        <w:t>OMPI, et remboursements par l</w:t>
      </w:r>
      <w:r w:rsidR="00E2055A" w:rsidRPr="00A32AF4">
        <w:rPr>
          <w:bCs/>
          <w:iCs/>
          <w:color w:val="000000"/>
        </w:rPr>
        <w:t>’</w:t>
      </w:r>
      <w:r w:rsidRPr="00A32AF4">
        <w:rPr>
          <w:bCs/>
          <w:iCs/>
          <w:color w:val="000000"/>
        </w:rPr>
        <w:t>UPOV à l</w:t>
      </w:r>
      <w:r w:rsidR="00E2055A" w:rsidRPr="00A32AF4">
        <w:rPr>
          <w:bCs/>
          <w:iCs/>
          <w:color w:val="000000"/>
        </w:rPr>
        <w:t>’</w:t>
      </w:r>
      <w:r w:rsidRPr="00A32AF4">
        <w:rPr>
          <w:bCs/>
          <w:iCs/>
          <w:color w:val="000000"/>
        </w:rPr>
        <w:t>OMPI de services d</w:t>
      </w:r>
      <w:r w:rsidR="00E2055A" w:rsidRPr="00A32AF4">
        <w:rPr>
          <w:bCs/>
          <w:iCs/>
          <w:color w:val="000000"/>
        </w:rPr>
        <w:t>’</w:t>
      </w:r>
      <w:r w:rsidRPr="00A32AF4">
        <w:rPr>
          <w:bCs/>
          <w:iCs/>
          <w:color w:val="000000"/>
        </w:rPr>
        <w:t>appui administratif.</w:t>
      </w:r>
    </w:p>
    <w:p w:rsidR="00F93B76" w:rsidRPr="00A32AF4" w:rsidRDefault="00F93B76" w:rsidP="00DC0553">
      <w:pPr>
        <w:jc w:val="both"/>
      </w:pPr>
    </w:p>
    <w:p w:rsidR="00F93B76" w:rsidRPr="00A32AF4" w:rsidRDefault="00F93B76" w:rsidP="00DC0553">
      <w:pPr>
        <w:jc w:val="both"/>
      </w:pPr>
    </w:p>
    <w:p w:rsidR="00F93B76" w:rsidRPr="00A32AF4" w:rsidRDefault="00142569" w:rsidP="00DC0553">
      <w:pPr>
        <w:jc w:val="both"/>
        <w:rPr>
          <w:rFonts w:cs="Arial"/>
          <w:b/>
        </w:rPr>
      </w:pPr>
      <w:r w:rsidRPr="00A32AF4">
        <w:rPr>
          <w:rFonts w:cs="Arial"/>
          <w:b/>
        </w:rPr>
        <w:t>OBJETS DE DÉPENSE</w:t>
      </w:r>
    </w:p>
    <w:p w:rsidR="00F93B76" w:rsidRPr="00A32AF4" w:rsidRDefault="00F93B76" w:rsidP="00DC0553">
      <w:pPr>
        <w:jc w:val="both"/>
        <w:rPr>
          <w:rFonts w:cs="Arial"/>
        </w:rPr>
      </w:pPr>
    </w:p>
    <w:p w:rsidR="00F93B76" w:rsidRPr="00A32AF4" w:rsidRDefault="00142569" w:rsidP="00DC0553">
      <w:pPr>
        <w:jc w:val="both"/>
        <w:rPr>
          <w:rFonts w:cs="Arial"/>
          <w:bCs/>
        </w:rPr>
      </w:pPr>
      <w:r w:rsidRPr="00A32AF4">
        <w:rPr>
          <w:rFonts w:cs="Arial"/>
          <w:bCs/>
        </w:rPr>
        <w:t>DÉPENSES DE PERSONNEL</w:t>
      </w:r>
    </w:p>
    <w:p w:rsidR="00F93B76" w:rsidRPr="00A32AF4" w:rsidRDefault="00F93B76" w:rsidP="00DC0553">
      <w:pPr>
        <w:jc w:val="both"/>
        <w:rPr>
          <w:rFonts w:cs="Arial"/>
          <w:b/>
          <w:u w:val="single"/>
        </w:rPr>
      </w:pPr>
    </w:p>
    <w:p w:rsidR="00F93B76" w:rsidRPr="00A32AF4" w:rsidRDefault="00142569" w:rsidP="00DC0553">
      <w:pPr>
        <w:ind w:left="567"/>
        <w:jc w:val="both"/>
      </w:pPr>
      <w:r w:rsidRPr="00A32AF4">
        <w:rPr>
          <w:b/>
          <w:bCs/>
          <w:i/>
          <w:iCs/>
        </w:rPr>
        <w:t xml:space="preserve">Postes : </w:t>
      </w:r>
      <w:r w:rsidRPr="00A32AF4">
        <w:t>rémunération perçue par les fonctionnaires, en particulier les traitements, les indemnités de poste, les allocations familiales, les primes pour connaissances linguistiques, les paiements pour heures supplémentaires, les indemnités de non</w:t>
      </w:r>
      <w:r w:rsidR="00EB7F54" w:rsidRPr="00A32AF4">
        <w:noBreakHyphen/>
      </w:r>
      <w:r w:rsidRPr="00A32AF4">
        <w:t>résident, les primes d</w:t>
      </w:r>
      <w:r w:rsidR="00E2055A" w:rsidRPr="00A32AF4">
        <w:t>’</w:t>
      </w:r>
      <w:r w:rsidRPr="00A32AF4">
        <w:t>affectation et les indemnités de représentation.</w:t>
      </w:r>
    </w:p>
    <w:p w:rsidR="00F93B76" w:rsidRPr="00A32AF4" w:rsidRDefault="00F93B76" w:rsidP="00DC0553">
      <w:pPr>
        <w:ind w:left="567"/>
        <w:jc w:val="both"/>
        <w:rPr>
          <w:i/>
        </w:rPr>
      </w:pPr>
    </w:p>
    <w:p w:rsidR="00F93B76" w:rsidRPr="00A32AF4" w:rsidRDefault="00142569" w:rsidP="00DC0553">
      <w:pPr>
        <w:ind w:left="567"/>
        <w:jc w:val="both"/>
        <w:rPr>
          <w:color w:val="000000"/>
        </w:rPr>
      </w:pPr>
      <w:r w:rsidRPr="00A32AF4">
        <w:rPr>
          <w:b/>
          <w:bCs/>
          <w:i/>
          <w:iCs/>
          <w:color w:val="000000"/>
        </w:rPr>
        <w:t>Agents temporaires </w:t>
      </w:r>
      <w:r w:rsidRPr="00A32AF4">
        <w:rPr>
          <w:b/>
          <w:i/>
          <w:color w:val="000000"/>
        </w:rPr>
        <w:t>:</w:t>
      </w:r>
      <w:r w:rsidRPr="00A32AF4">
        <w:rPr>
          <w:color w:val="000000"/>
        </w:rPr>
        <w:t xml:space="preserve"> rémunération et indemnités versées aux agents temporaires de la catégorie des administrateurs et des services généraux au bénéfice de contrats à court terme.</w:t>
      </w:r>
    </w:p>
    <w:p w:rsidR="00F93B76" w:rsidRPr="00A32AF4" w:rsidRDefault="00F93B76" w:rsidP="00DC0553">
      <w:pPr>
        <w:ind w:left="567"/>
        <w:jc w:val="both"/>
        <w:rPr>
          <w:color w:val="000000"/>
        </w:rPr>
      </w:pPr>
    </w:p>
    <w:p w:rsidR="00F93B76" w:rsidRPr="00A32AF4" w:rsidRDefault="00142569" w:rsidP="00DC0553">
      <w:pPr>
        <w:ind w:left="567"/>
        <w:jc w:val="both"/>
        <w:rPr>
          <w:color w:val="000000"/>
        </w:rPr>
      </w:pPr>
      <w:r w:rsidRPr="00A32AF4">
        <w:rPr>
          <w:b/>
          <w:bCs/>
          <w:i/>
          <w:iCs/>
          <w:color w:val="000000"/>
        </w:rPr>
        <w:t>Autres dépenses de personnel </w:t>
      </w:r>
      <w:r w:rsidRPr="00A32AF4">
        <w:rPr>
          <w:b/>
          <w:i/>
          <w:color w:val="000000"/>
        </w:rPr>
        <w:t>:</w:t>
      </w:r>
      <w:r w:rsidRPr="00A32AF4">
        <w:rPr>
          <w:color w:val="000000"/>
        </w:rPr>
        <w:t xml:space="preserve"> montants pour assurance accidents professionnels, caisse</w:t>
      </w:r>
      <w:r w:rsidR="005E7C9D" w:rsidRPr="00A32AF4">
        <w:rPr>
          <w:color w:val="000000"/>
        </w:rPr>
        <w:t xml:space="preserve"> de retraite fermée,</w:t>
      </w:r>
      <w:r w:rsidRPr="00A32AF4">
        <w:rPr>
          <w:color w:val="000000"/>
        </w:rPr>
        <w:t xml:space="preserve"> frais de justice</w:t>
      </w:r>
      <w:r w:rsidR="005E7C9D" w:rsidRPr="00A32AF4">
        <w:rPr>
          <w:color w:val="000000"/>
        </w:rPr>
        <w:t xml:space="preserve"> et programme de récompenses et de reconnaissance</w:t>
      </w:r>
      <w:r w:rsidRPr="00A32AF4">
        <w:rPr>
          <w:color w:val="000000"/>
        </w:rPr>
        <w:t>.</w:t>
      </w:r>
    </w:p>
    <w:p w:rsidR="00F93B76" w:rsidRPr="00A32AF4" w:rsidRDefault="00F93B76" w:rsidP="00DC0553">
      <w:pPr>
        <w:jc w:val="both"/>
      </w:pPr>
    </w:p>
    <w:p w:rsidR="00F93B76" w:rsidRPr="00A32AF4" w:rsidRDefault="00F93B76" w:rsidP="00DC0553">
      <w:pPr>
        <w:jc w:val="both"/>
      </w:pPr>
    </w:p>
    <w:p w:rsidR="00F93B76" w:rsidRPr="00A32AF4" w:rsidRDefault="00842E21" w:rsidP="00DC0553">
      <w:pPr>
        <w:jc w:val="both"/>
      </w:pPr>
      <w:r w:rsidRPr="00A32AF4">
        <w:t>AUTRES DÉPENSES</w:t>
      </w:r>
    </w:p>
    <w:p w:rsidR="00F93B76" w:rsidRPr="00A32AF4" w:rsidRDefault="00F93B76" w:rsidP="00DC0553">
      <w:pPr>
        <w:jc w:val="both"/>
      </w:pPr>
    </w:p>
    <w:p w:rsidR="00F93B76" w:rsidRPr="00A32AF4" w:rsidRDefault="00142569" w:rsidP="00DC0553">
      <w:pPr>
        <w:jc w:val="both"/>
        <w:rPr>
          <w:b/>
        </w:rPr>
      </w:pPr>
      <w:r w:rsidRPr="00A32AF4">
        <w:rPr>
          <w:b/>
        </w:rPr>
        <w:t>Stages et bourses de l</w:t>
      </w:r>
      <w:r w:rsidR="00E2055A" w:rsidRPr="00A32AF4">
        <w:rPr>
          <w:b/>
        </w:rPr>
        <w:t>’</w:t>
      </w:r>
      <w:r w:rsidRPr="00A32AF4">
        <w:rPr>
          <w:b/>
        </w:rPr>
        <w:t>OMPI</w:t>
      </w:r>
    </w:p>
    <w:p w:rsidR="00F93B76" w:rsidRPr="00A32AF4" w:rsidRDefault="00F93B76" w:rsidP="00DC0553">
      <w:pPr>
        <w:jc w:val="both"/>
      </w:pPr>
    </w:p>
    <w:p w:rsidR="00F93B76" w:rsidRPr="00A32AF4" w:rsidRDefault="00142569" w:rsidP="00DC0553">
      <w:pPr>
        <w:numPr>
          <w:ilvl w:val="0"/>
          <w:numId w:val="48"/>
        </w:numPr>
        <w:jc w:val="both"/>
      </w:pPr>
      <w:r w:rsidRPr="00A32AF4">
        <w:rPr>
          <w:b/>
          <w:bCs/>
          <w:i/>
          <w:iCs/>
        </w:rPr>
        <w:t>Stages </w:t>
      </w:r>
      <w:r w:rsidRPr="00A32AF4">
        <w:rPr>
          <w:b/>
          <w:i/>
        </w:rPr>
        <w:t>:</w:t>
      </w:r>
      <w:r w:rsidRPr="00A32AF4">
        <w:t xml:space="preserve"> rémunération et indemnités versées aux stagiaires.</w:t>
      </w:r>
    </w:p>
    <w:p w:rsidR="00F93B76" w:rsidRPr="00A32AF4" w:rsidRDefault="00F93B76" w:rsidP="00DC0553">
      <w:pPr>
        <w:jc w:val="both"/>
      </w:pPr>
    </w:p>
    <w:p w:rsidR="00F93B76" w:rsidRPr="00A32AF4" w:rsidRDefault="00142569" w:rsidP="00DC0553">
      <w:pPr>
        <w:numPr>
          <w:ilvl w:val="0"/>
          <w:numId w:val="48"/>
        </w:numPr>
        <w:jc w:val="both"/>
      </w:pPr>
      <w:r w:rsidRPr="00A32AF4">
        <w:rPr>
          <w:b/>
          <w:bCs/>
          <w:i/>
          <w:iCs/>
        </w:rPr>
        <w:t>Bourses de l</w:t>
      </w:r>
      <w:r w:rsidR="00E2055A" w:rsidRPr="00A32AF4">
        <w:rPr>
          <w:b/>
          <w:bCs/>
          <w:i/>
          <w:iCs/>
        </w:rPr>
        <w:t>’</w:t>
      </w:r>
      <w:r w:rsidRPr="00A32AF4">
        <w:rPr>
          <w:b/>
          <w:bCs/>
          <w:i/>
          <w:iCs/>
        </w:rPr>
        <w:t xml:space="preserve">OMPI : </w:t>
      </w:r>
      <w:r w:rsidRPr="00A32AF4">
        <w:rPr>
          <w:bCs/>
          <w:iCs/>
        </w:rPr>
        <w:t>dépenses liées à une activité de formation qui octroie un don monétaire à des personnes qualifiées pour remplir des objectifs pédagogiques particuliers.</w:t>
      </w:r>
    </w:p>
    <w:p w:rsidR="00F93B76" w:rsidRPr="00A32AF4" w:rsidRDefault="00F93B76" w:rsidP="00DC0553">
      <w:pPr>
        <w:jc w:val="both"/>
        <w:rPr>
          <w:rFonts w:cs="Arial"/>
          <w:b/>
          <w:bCs/>
        </w:rPr>
      </w:pPr>
    </w:p>
    <w:p w:rsidR="00F93B76" w:rsidRPr="00A32AF4" w:rsidRDefault="00842E21" w:rsidP="00DC0553">
      <w:pPr>
        <w:jc w:val="both"/>
        <w:rPr>
          <w:rFonts w:cs="Arial"/>
          <w:b/>
          <w:bCs/>
        </w:rPr>
      </w:pPr>
      <w:r w:rsidRPr="00A32AF4">
        <w:rPr>
          <w:rFonts w:cs="Arial"/>
          <w:b/>
          <w:bCs/>
        </w:rPr>
        <w:t>Voyages, formations et subventions</w:t>
      </w:r>
    </w:p>
    <w:p w:rsidR="00F93B76" w:rsidRPr="00A32AF4" w:rsidRDefault="00F93B76" w:rsidP="00DC0553">
      <w:pPr>
        <w:jc w:val="both"/>
        <w:rPr>
          <w:rFonts w:cs="Arial"/>
        </w:rPr>
      </w:pPr>
    </w:p>
    <w:p w:rsidR="00F93B76" w:rsidRPr="00A32AF4" w:rsidRDefault="00142569" w:rsidP="00DC0553">
      <w:pPr>
        <w:numPr>
          <w:ilvl w:val="0"/>
          <w:numId w:val="48"/>
        </w:numPr>
        <w:jc w:val="both"/>
        <w:rPr>
          <w:rFonts w:cs="Arial"/>
          <w:color w:val="000000"/>
        </w:rPr>
      </w:pPr>
      <w:r w:rsidRPr="00A32AF4">
        <w:rPr>
          <w:rFonts w:cs="Arial"/>
          <w:b/>
          <w:bCs/>
          <w:i/>
          <w:iCs/>
          <w:color w:val="000000"/>
        </w:rPr>
        <w:t>Missions de fonctionnaires :</w:t>
      </w:r>
      <w:r w:rsidRPr="00A32AF4">
        <w:rPr>
          <w:b/>
          <w:bCs/>
          <w:i/>
          <w:iCs/>
          <w:color w:val="000000"/>
        </w:rPr>
        <w:t xml:space="preserve"> </w:t>
      </w:r>
      <w:r w:rsidRPr="00A32AF4">
        <w:rPr>
          <w:rFonts w:cs="Arial"/>
          <w:bCs/>
          <w:iCs/>
          <w:color w:val="000000"/>
        </w:rPr>
        <w:t>frais de voyage et indemnités journalières de subsistance pour tous les fonctionnaires en voyage officiel</w:t>
      </w:r>
      <w:r w:rsidRPr="00A32AF4">
        <w:rPr>
          <w:rFonts w:cs="Arial"/>
          <w:color w:val="000000"/>
        </w:rPr>
        <w:t>.</w:t>
      </w:r>
    </w:p>
    <w:p w:rsidR="00F93B76" w:rsidRPr="00A32AF4" w:rsidRDefault="00F93B76" w:rsidP="00DC0553">
      <w:pPr>
        <w:jc w:val="both"/>
      </w:pPr>
    </w:p>
    <w:p w:rsidR="00F93B76" w:rsidRPr="00A32AF4" w:rsidRDefault="00142569" w:rsidP="00DC0553">
      <w:pPr>
        <w:numPr>
          <w:ilvl w:val="0"/>
          <w:numId w:val="48"/>
        </w:numPr>
        <w:jc w:val="both"/>
        <w:rPr>
          <w:rFonts w:cs="Arial"/>
          <w:color w:val="000000"/>
        </w:rPr>
      </w:pPr>
      <w:r w:rsidRPr="00A32AF4">
        <w:rPr>
          <w:rFonts w:cs="Arial"/>
          <w:b/>
          <w:bCs/>
          <w:i/>
          <w:iCs/>
          <w:color w:val="000000"/>
        </w:rPr>
        <w:t xml:space="preserve">Voyages des tiers : </w:t>
      </w:r>
      <w:r w:rsidRPr="00A32AF4">
        <w:rPr>
          <w:rFonts w:cs="Arial"/>
          <w:bCs/>
          <w:iCs/>
          <w:color w:val="000000"/>
        </w:rPr>
        <w:t xml:space="preserve">frais de voyage et indemnités journalières de subsistance pour tous les tiers, </w:t>
      </w:r>
      <w:r w:rsidR="00E2055A" w:rsidRPr="00A32AF4">
        <w:rPr>
          <w:rFonts w:cs="Arial"/>
          <w:bCs/>
          <w:iCs/>
          <w:color w:val="000000"/>
        </w:rPr>
        <w:t>y compris</w:t>
      </w:r>
      <w:r w:rsidRPr="00A32AF4">
        <w:rPr>
          <w:rFonts w:cs="Arial"/>
          <w:bCs/>
          <w:iCs/>
          <w:color w:val="000000"/>
        </w:rPr>
        <w:t xml:space="preserve"> les frais de voyage de fonctionnaires nationaux, de participants et de conférenciers se rendant à des réunions organisées sous l</w:t>
      </w:r>
      <w:r w:rsidR="00E2055A" w:rsidRPr="00A32AF4">
        <w:rPr>
          <w:rFonts w:cs="Arial"/>
          <w:bCs/>
          <w:iCs/>
          <w:color w:val="000000"/>
        </w:rPr>
        <w:t>’</w:t>
      </w:r>
      <w:r w:rsidRPr="00A32AF4">
        <w:rPr>
          <w:rFonts w:cs="Arial"/>
          <w:bCs/>
          <w:iCs/>
          <w:color w:val="000000"/>
        </w:rPr>
        <w:t>égide de l</w:t>
      </w:r>
      <w:r w:rsidR="00E2055A" w:rsidRPr="00A32AF4">
        <w:rPr>
          <w:rFonts w:cs="Arial"/>
          <w:bCs/>
          <w:iCs/>
          <w:color w:val="000000"/>
        </w:rPr>
        <w:t>’</w:t>
      </w:r>
      <w:r w:rsidRPr="00A32AF4">
        <w:rPr>
          <w:rFonts w:cs="Arial"/>
          <w:bCs/>
          <w:iCs/>
          <w:color w:val="000000"/>
        </w:rPr>
        <w:t>OMPI</w:t>
      </w:r>
      <w:r w:rsidRPr="00A32AF4">
        <w:rPr>
          <w:rFonts w:cs="Arial"/>
          <w:color w:val="000000"/>
        </w:rPr>
        <w:t>.</w:t>
      </w:r>
    </w:p>
    <w:p w:rsidR="00F93B76" w:rsidRPr="00A32AF4" w:rsidRDefault="00F93B76" w:rsidP="00DC0553">
      <w:pPr>
        <w:jc w:val="both"/>
      </w:pPr>
    </w:p>
    <w:p w:rsidR="00F93B76" w:rsidRPr="00A32AF4" w:rsidRDefault="00842E21" w:rsidP="00DC0553">
      <w:pPr>
        <w:numPr>
          <w:ilvl w:val="0"/>
          <w:numId w:val="48"/>
        </w:numPr>
        <w:jc w:val="both"/>
        <w:rPr>
          <w:rFonts w:cs="Arial"/>
          <w:color w:val="000000"/>
        </w:rPr>
      </w:pPr>
      <w:r w:rsidRPr="00A32AF4">
        <w:rPr>
          <w:rFonts w:cs="Arial"/>
          <w:b/>
          <w:bCs/>
          <w:i/>
          <w:iCs/>
          <w:color w:val="000000"/>
        </w:rPr>
        <w:t>Formations et demandes de paiement des frais de voyage y relatifs </w:t>
      </w:r>
      <w:r w:rsidR="00142569" w:rsidRPr="00A32AF4">
        <w:rPr>
          <w:b/>
          <w:i/>
          <w:color w:val="000000"/>
        </w:rPr>
        <w:t>:</w:t>
      </w:r>
      <w:r w:rsidR="00142569" w:rsidRPr="00A32AF4">
        <w:rPr>
          <w:rFonts w:cs="Arial"/>
          <w:color w:val="000000"/>
        </w:rPr>
        <w:t xml:space="preserve"> </w:t>
      </w:r>
      <w:r w:rsidR="00142569" w:rsidRPr="00A32AF4">
        <w:rPr>
          <w:rFonts w:cs="Arial"/>
          <w:bCs/>
          <w:iCs/>
          <w:color w:val="000000"/>
        </w:rPr>
        <w:t>frais de voyage, indemnités journalières de subsistance, droits d</w:t>
      </w:r>
      <w:r w:rsidR="00E2055A" w:rsidRPr="00A32AF4">
        <w:rPr>
          <w:rFonts w:cs="Arial"/>
          <w:bCs/>
          <w:iCs/>
          <w:color w:val="000000"/>
        </w:rPr>
        <w:t>’</w:t>
      </w:r>
      <w:r w:rsidR="00142569" w:rsidRPr="00A32AF4">
        <w:rPr>
          <w:rFonts w:cs="Arial"/>
          <w:bCs/>
          <w:iCs/>
          <w:color w:val="000000"/>
        </w:rPr>
        <w:t>inscription et autres dépenses afférentes à la participation de stagiaires à des cours, séminaires et stages</w:t>
      </w:r>
      <w:r w:rsidR="00142569" w:rsidRPr="00A32AF4">
        <w:rPr>
          <w:rFonts w:cs="Arial"/>
          <w:color w:val="000000"/>
        </w:rPr>
        <w:t>.</w:t>
      </w:r>
    </w:p>
    <w:p w:rsidR="00F93B76" w:rsidRPr="00A32AF4" w:rsidRDefault="00F93B76" w:rsidP="00DC0553">
      <w:pPr>
        <w:jc w:val="both"/>
      </w:pPr>
    </w:p>
    <w:p w:rsidR="00F93B76" w:rsidRPr="00A32AF4" w:rsidRDefault="00F93B76" w:rsidP="00DC0553">
      <w:pPr>
        <w:jc w:val="both"/>
        <w:rPr>
          <w:bCs/>
        </w:rPr>
      </w:pPr>
      <w:bookmarkStart w:id="112" w:name="RANGE!A11"/>
    </w:p>
    <w:p w:rsidR="00F93B76" w:rsidRPr="00A32AF4" w:rsidRDefault="00142569" w:rsidP="00DC0553">
      <w:pPr>
        <w:jc w:val="both"/>
        <w:rPr>
          <w:b/>
          <w:bCs/>
        </w:rPr>
      </w:pPr>
      <w:r w:rsidRPr="00A32AF4">
        <w:rPr>
          <w:b/>
          <w:bCs/>
        </w:rPr>
        <w:t>Services</w:t>
      </w:r>
      <w:bookmarkEnd w:id="112"/>
      <w:r w:rsidRPr="00A32AF4">
        <w:rPr>
          <w:b/>
          <w:bCs/>
        </w:rPr>
        <w:t xml:space="preserve"> contractuels</w:t>
      </w:r>
    </w:p>
    <w:p w:rsidR="00F93B76" w:rsidRPr="00A32AF4" w:rsidRDefault="00F93B76" w:rsidP="00DC0553">
      <w:pPr>
        <w:jc w:val="both"/>
      </w:pPr>
    </w:p>
    <w:p w:rsidR="00F93B76" w:rsidRPr="00A32AF4" w:rsidRDefault="00142569" w:rsidP="00DC0553">
      <w:pPr>
        <w:numPr>
          <w:ilvl w:val="0"/>
          <w:numId w:val="48"/>
        </w:numPr>
        <w:jc w:val="both"/>
        <w:rPr>
          <w:rFonts w:cs="Arial"/>
          <w:color w:val="000000"/>
        </w:rPr>
      </w:pPr>
      <w:r w:rsidRPr="00A32AF4">
        <w:rPr>
          <w:rFonts w:cs="Arial"/>
          <w:b/>
          <w:bCs/>
          <w:i/>
          <w:iCs/>
          <w:color w:val="000000"/>
        </w:rPr>
        <w:t>Conférences </w:t>
      </w:r>
      <w:r w:rsidRPr="00A32AF4">
        <w:rPr>
          <w:b/>
          <w:i/>
          <w:color w:val="000000"/>
        </w:rPr>
        <w:t>:</w:t>
      </w:r>
      <w:r w:rsidRPr="00A32AF4">
        <w:rPr>
          <w:rFonts w:cs="Arial"/>
          <w:color w:val="000000"/>
        </w:rPr>
        <w:t xml:space="preserve"> </w:t>
      </w:r>
      <w:r w:rsidRPr="00A32AF4">
        <w:rPr>
          <w:rFonts w:cs="Arial"/>
          <w:bCs/>
          <w:iCs/>
          <w:color w:val="000000"/>
        </w:rPr>
        <w:t xml:space="preserve">rémunération, frais de voyage et indemnités journalières de subsistance des </w:t>
      </w:r>
      <w:proofErr w:type="gramStart"/>
      <w:r w:rsidRPr="00A32AF4">
        <w:rPr>
          <w:rFonts w:cs="Arial"/>
          <w:bCs/>
          <w:iCs/>
          <w:color w:val="000000"/>
        </w:rPr>
        <w:t>interprètes;</w:t>
      </w:r>
      <w:proofErr w:type="gramEnd"/>
      <w:r w:rsidR="00087DDF" w:rsidRPr="00A32AF4">
        <w:rPr>
          <w:rFonts w:cs="Arial"/>
          <w:bCs/>
          <w:iCs/>
          <w:color w:val="000000"/>
        </w:rPr>
        <w:t xml:space="preserve">  </w:t>
      </w:r>
      <w:r w:rsidRPr="00A32AF4">
        <w:rPr>
          <w:rFonts w:cs="Arial"/>
          <w:bCs/>
          <w:iCs/>
          <w:color w:val="000000"/>
        </w:rPr>
        <w:t xml:space="preserve">location </w:t>
      </w:r>
      <w:r w:rsidRPr="00A32AF4">
        <w:rPr>
          <w:rFonts w:cs="Arial"/>
          <w:color w:val="000000"/>
        </w:rPr>
        <w:t>de</w:t>
      </w:r>
      <w:r w:rsidRPr="00A32AF4">
        <w:rPr>
          <w:rFonts w:cs="Arial"/>
          <w:bCs/>
          <w:iCs/>
          <w:color w:val="000000"/>
        </w:rPr>
        <w:t xml:space="preserve"> salles de conférence et de matériel d</w:t>
      </w:r>
      <w:r w:rsidR="00E2055A" w:rsidRPr="00A32AF4">
        <w:rPr>
          <w:rFonts w:cs="Arial"/>
          <w:bCs/>
          <w:iCs/>
          <w:color w:val="000000"/>
        </w:rPr>
        <w:t>’</w:t>
      </w:r>
      <w:r w:rsidRPr="00A32AF4">
        <w:rPr>
          <w:rFonts w:cs="Arial"/>
          <w:bCs/>
          <w:iCs/>
          <w:color w:val="000000"/>
        </w:rPr>
        <w:t>interprétation;</w:t>
      </w:r>
      <w:r w:rsidR="00087DDF" w:rsidRPr="00A32AF4">
        <w:rPr>
          <w:rFonts w:cs="Arial"/>
          <w:bCs/>
          <w:iCs/>
          <w:color w:val="000000"/>
        </w:rPr>
        <w:t xml:space="preserve">  </w:t>
      </w:r>
      <w:r w:rsidRPr="00A32AF4">
        <w:rPr>
          <w:rFonts w:cs="Arial"/>
          <w:bCs/>
          <w:iCs/>
          <w:color w:val="000000"/>
        </w:rPr>
        <w:t>rafraîchissements et réceptions;</w:t>
      </w:r>
      <w:r w:rsidR="00087DDF" w:rsidRPr="00A32AF4">
        <w:rPr>
          <w:rFonts w:cs="Arial"/>
          <w:bCs/>
          <w:iCs/>
          <w:color w:val="000000"/>
        </w:rPr>
        <w:t xml:space="preserve">  </w:t>
      </w:r>
      <w:r w:rsidRPr="00A32AF4">
        <w:rPr>
          <w:rFonts w:cs="Arial"/>
          <w:bCs/>
          <w:iCs/>
          <w:color w:val="000000"/>
        </w:rPr>
        <w:t>et frais afférents à tout autre service directement lié à l</w:t>
      </w:r>
      <w:r w:rsidR="00E2055A" w:rsidRPr="00A32AF4">
        <w:rPr>
          <w:rFonts w:cs="Arial"/>
          <w:bCs/>
          <w:iCs/>
          <w:color w:val="000000"/>
        </w:rPr>
        <w:t>’</w:t>
      </w:r>
      <w:r w:rsidRPr="00A32AF4">
        <w:rPr>
          <w:rFonts w:cs="Arial"/>
          <w:bCs/>
          <w:iCs/>
          <w:color w:val="000000"/>
        </w:rPr>
        <w:t>organisation d</w:t>
      </w:r>
      <w:r w:rsidR="00E2055A" w:rsidRPr="00A32AF4">
        <w:rPr>
          <w:rFonts w:cs="Arial"/>
          <w:bCs/>
          <w:iCs/>
          <w:color w:val="000000"/>
        </w:rPr>
        <w:t>’</w:t>
      </w:r>
      <w:r w:rsidRPr="00A32AF4">
        <w:rPr>
          <w:rFonts w:cs="Arial"/>
          <w:bCs/>
          <w:iCs/>
          <w:color w:val="000000"/>
        </w:rPr>
        <w:t>une conférence.</w:t>
      </w:r>
    </w:p>
    <w:p w:rsidR="00F93B76" w:rsidRPr="00A32AF4" w:rsidRDefault="00F93B76" w:rsidP="00DC0553">
      <w:pPr>
        <w:jc w:val="both"/>
      </w:pPr>
    </w:p>
    <w:p w:rsidR="00F93B76" w:rsidRPr="00A32AF4" w:rsidRDefault="00142569" w:rsidP="00DC0553">
      <w:pPr>
        <w:numPr>
          <w:ilvl w:val="0"/>
          <w:numId w:val="48"/>
        </w:numPr>
        <w:jc w:val="both"/>
        <w:rPr>
          <w:rFonts w:cs="Arial"/>
          <w:color w:val="000000"/>
        </w:rPr>
      </w:pPr>
      <w:r w:rsidRPr="00A32AF4">
        <w:rPr>
          <w:rFonts w:cs="Arial"/>
          <w:b/>
          <w:bCs/>
          <w:i/>
          <w:iCs/>
          <w:color w:val="000000"/>
        </w:rPr>
        <w:t>Publication </w:t>
      </w:r>
      <w:r w:rsidRPr="00A32AF4">
        <w:rPr>
          <w:b/>
          <w:i/>
          <w:color w:val="000000"/>
        </w:rPr>
        <w:t>:</w:t>
      </w:r>
      <w:r w:rsidRPr="00A32AF4">
        <w:rPr>
          <w:rFonts w:cs="Arial"/>
          <w:color w:val="000000"/>
        </w:rPr>
        <w:t xml:space="preserve"> </w:t>
      </w:r>
      <w:r w:rsidRPr="00A32AF4">
        <w:rPr>
          <w:rFonts w:cs="Arial"/>
          <w:bCs/>
          <w:iCs/>
          <w:color w:val="000000"/>
        </w:rPr>
        <w:t xml:space="preserve">travaux </w:t>
      </w:r>
      <w:r w:rsidRPr="00A32AF4">
        <w:rPr>
          <w:rFonts w:cs="Arial"/>
          <w:color w:val="000000"/>
        </w:rPr>
        <w:t>d</w:t>
      </w:r>
      <w:r w:rsidR="00E2055A" w:rsidRPr="00A32AF4">
        <w:rPr>
          <w:rFonts w:cs="Arial"/>
          <w:color w:val="000000"/>
        </w:rPr>
        <w:t>’</w:t>
      </w:r>
      <w:r w:rsidRPr="00A32AF4">
        <w:rPr>
          <w:rFonts w:cs="Arial"/>
          <w:color w:val="000000"/>
        </w:rPr>
        <w:t>impression</w:t>
      </w:r>
      <w:r w:rsidRPr="00A32AF4">
        <w:rPr>
          <w:rFonts w:cs="Arial"/>
          <w:bCs/>
          <w:iCs/>
          <w:color w:val="000000"/>
        </w:rPr>
        <w:t xml:space="preserve"> et de reliure faits à l</w:t>
      </w:r>
      <w:r w:rsidR="00E2055A" w:rsidRPr="00A32AF4">
        <w:rPr>
          <w:rFonts w:cs="Arial"/>
          <w:bCs/>
          <w:iCs/>
          <w:color w:val="000000"/>
        </w:rPr>
        <w:t>’</w:t>
      </w:r>
      <w:r w:rsidRPr="00A32AF4">
        <w:rPr>
          <w:rFonts w:cs="Arial"/>
          <w:bCs/>
          <w:iCs/>
          <w:color w:val="000000"/>
        </w:rPr>
        <w:t>extérieur;  revues;</w:t>
      </w:r>
      <w:r w:rsidR="00087DDF" w:rsidRPr="00A32AF4">
        <w:rPr>
          <w:rFonts w:cs="Arial"/>
          <w:bCs/>
          <w:iCs/>
          <w:color w:val="000000"/>
        </w:rPr>
        <w:t xml:space="preserve">  </w:t>
      </w:r>
      <w:r w:rsidRPr="00A32AF4">
        <w:rPr>
          <w:rFonts w:cs="Arial"/>
          <w:bCs/>
          <w:iCs/>
          <w:color w:val="000000"/>
        </w:rPr>
        <w:t>papier et impression;</w:t>
      </w:r>
      <w:r w:rsidR="00087DDF" w:rsidRPr="00A32AF4">
        <w:rPr>
          <w:rFonts w:cs="Arial"/>
          <w:bCs/>
          <w:iCs/>
          <w:color w:val="000000"/>
        </w:rPr>
        <w:t xml:space="preserve">  </w:t>
      </w:r>
      <w:r w:rsidRPr="00A32AF4">
        <w:rPr>
          <w:rFonts w:cs="Arial"/>
          <w:bCs/>
          <w:iCs/>
          <w:color w:val="000000"/>
        </w:rPr>
        <w:t>autres travaux d</w:t>
      </w:r>
      <w:r w:rsidR="00E2055A" w:rsidRPr="00A32AF4">
        <w:rPr>
          <w:rFonts w:cs="Arial"/>
          <w:bCs/>
          <w:iCs/>
          <w:color w:val="000000"/>
        </w:rPr>
        <w:t>’</w:t>
      </w:r>
      <w:r w:rsidRPr="00A32AF4">
        <w:rPr>
          <w:rFonts w:cs="Arial"/>
          <w:bCs/>
          <w:iCs/>
          <w:color w:val="000000"/>
        </w:rPr>
        <w:t>impression : tirages à part d</w:t>
      </w:r>
      <w:r w:rsidR="00E2055A" w:rsidRPr="00A32AF4">
        <w:rPr>
          <w:rFonts w:cs="Arial"/>
          <w:bCs/>
          <w:iCs/>
          <w:color w:val="000000"/>
        </w:rPr>
        <w:t>’</w:t>
      </w:r>
      <w:r w:rsidRPr="00A32AF4">
        <w:rPr>
          <w:rFonts w:cs="Arial"/>
          <w:bCs/>
          <w:iCs/>
          <w:color w:val="000000"/>
        </w:rPr>
        <w:t>articles parus dans les revues;</w:t>
      </w:r>
      <w:r w:rsidR="00087DDF" w:rsidRPr="00A32AF4">
        <w:rPr>
          <w:rFonts w:cs="Arial"/>
          <w:bCs/>
          <w:iCs/>
          <w:color w:val="000000"/>
        </w:rPr>
        <w:t xml:space="preserve">  </w:t>
      </w:r>
      <w:r w:rsidRPr="00A32AF4">
        <w:rPr>
          <w:rFonts w:cs="Arial"/>
          <w:bCs/>
          <w:iCs/>
          <w:color w:val="000000"/>
        </w:rPr>
        <w:t>brochures;</w:t>
      </w:r>
      <w:r w:rsidR="00087DDF" w:rsidRPr="00A32AF4">
        <w:rPr>
          <w:rFonts w:cs="Arial"/>
          <w:bCs/>
          <w:iCs/>
          <w:color w:val="000000"/>
        </w:rPr>
        <w:t xml:space="preserve">  </w:t>
      </w:r>
      <w:r w:rsidRPr="00A32AF4">
        <w:rPr>
          <w:rFonts w:cs="Arial"/>
          <w:bCs/>
          <w:iCs/>
          <w:color w:val="000000"/>
        </w:rPr>
        <w:t>traités;</w:t>
      </w:r>
      <w:r w:rsidR="00087DDF" w:rsidRPr="00A32AF4">
        <w:rPr>
          <w:rFonts w:cs="Arial"/>
          <w:bCs/>
          <w:iCs/>
          <w:color w:val="000000"/>
        </w:rPr>
        <w:t xml:space="preserve">  </w:t>
      </w:r>
      <w:r w:rsidRPr="00A32AF4">
        <w:rPr>
          <w:rFonts w:cs="Arial"/>
          <w:bCs/>
          <w:iCs/>
          <w:color w:val="000000"/>
        </w:rPr>
        <w:t>recueils;</w:t>
      </w:r>
      <w:r w:rsidR="00087DDF" w:rsidRPr="00A32AF4">
        <w:rPr>
          <w:rFonts w:cs="Arial"/>
          <w:bCs/>
          <w:iCs/>
          <w:color w:val="000000"/>
        </w:rPr>
        <w:t xml:space="preserve">  </w:t>
      </w:r>
      <w:r w:rsidRPr="00A32AF4">
        <w:rPr>
          <w:rFonts w:cs="Arial"/>
          <w:bCs/>
          <w:iCs/>
          <w:color w:val="000000"/>
        </w:rPr>
        <w:t>manuels;</w:t>
      </w:r>
      <w:r w:rsidR="00087DDF" w:rsidRPr="00A32AF4">
        <w:rPr>
          <w:rFonts w:cs="Arial"/>
          <w:bCs/>
          <w:iCs/>
          <w:color w:val="000000"/>
        </w:rPr>
        <w:t xml:space="preserve">  </w:t>
      </w:r>
      <w:r w:rsidRPr="00A32AF4">
        <w:rPr>
          <w:rFonts w:cs="Arial"/>
          <w:bCs/>
          <w:iCs/>
          <w:color w:val="000000"/>
        </w:rPr>
        <w:t>formulaires de travail et autres travaux d</w:t>
      </w:r>
      <w:r w:rsidR="00E2055A" w:rsidRPr="00A32AF4">
        <w:rPr>
          <w:rFonts w:cs="Arial"/>
          <w:bCs/>
          <w:iCs/>
          <w:color w:val="000000"/>
        </w:rPr>
        <w:t>’</w:t>
      </w:r>
      <w:r w:rsidRPr="00A32AF4">
        <w:rPr>
          <w:rFonts w:cs="Arial"/>
          <w:bCs/>
          <w:iCs/>
          <w:color w:val="000000"/>
        </w:rPr>
        <w:t>impression divers;</w:t>
      </w:r>
      <w:r w:rsidR="00087DDF" w:rsidRPr="00A32AF4">
        <w:rPr>
          <w:rFonts w:cs="Arial"/>
          <w:bCs/>
          <w:iCs/>
          <w:color w:val="000000"/>
        </w:rPr>
        <w:t xml:space="preserve">  </w:t>
      </w:r>
      <w:r w:rsidRPr="00A32AF4">
        <w:rPr>
          <w:rFonts w:cs="Arial"/>
          <w:bCs/>
          <w:iCs/>
          <w:color w:val="000000"/>
        </w:rPr>
        <w:t>production de CD</w:t>
      </w:r>
      <w:r w:rsidR="00EB7F54" w:rsidRPr="00A32AF4">
        <w:rPr>
          <w:rFonts w:cs="Arial"/>
          <w:bCs/>
          <w:iCs/>
          <w:color w:val="000000"/>
        </w:rPr>
        <w:noBreakHyphen/>
      </w:r>
      <w:r w:rsidRPr="00A32AF4">
        <w:rPr>
          <w:rFonts w:cs="Arial"/>
          <w:bCs/>
          <w:iCs/>
          <w:color w:val="000000"/>
        </w:rPr>
        <w:t xml:space="preserve">ROM, de cassettes </w:t>
      </w:r>
      <w:r w:rsidR="00F1309D" w:rsidRPr="00A32AF4">
        <w:rPr>
          <w:rFonts w:cs="Arial"/>
          <w:bCs/>
          <w:iCs/>
          <w:color w:val="000000"/>
        </w:rPr>
        <w:t>vidéo</w:t>
      </w:r>
      <w:r w:rsidRPr="00A32AF4">
        <w:rPr>
          <w:rFonts w:cs="Arial"/>
          <w:bCs/>
          <w:iCs/>
          <w:color w:val="000000"/>
        </w:rPr>
        <w:t>, de bandes magnétiques et autres formes de publication électronique.</w:t>
      </w:r>
    </w:p>
    <w:p w:rsidR="00F93B76" w:rsidRPr="00A32AF4" w:rsidRDefault="00F93B76" w:rsidP="00DC0553">
      <w:pPr>
        <w:jc w:val="both"/>
      </w:pPr>
    </w:p>
    <w:p w:rsidR="00F93B76" w:rsidRPr="00A32AF4" w:rsidRDefault="00142569" w:rsidP="00DC0553">
      <w:pPr>
        <w:numPr>
          <w:ilvl w:val="0"/>
          <w:numId w:val="48"/>
        </w:numPr>
        <w:jc w:val="both"/>
        <w:rPr>
          <w:rFonts w:cs="Arial"/>
          <w:color w:val="000000"/>
        </w:rPr>
      </w:pPr>
      <w:r w:rsidRPr="00A32AF4">
        <w:rPr>
          <w:rFonts w:cs="Arial"/>
          <w:b/>
          <w:bCs/>
          <w:i/>
          <w:iCs/>
          <w:color w:val="000000"/>
        </w:rPr>
        <w:t>Services contractuels de personnes :</w:t>
      </w:r>
      <w:r w:rsidRPr="00A32AF4">
        <w:rPr>
          <w:rFonts w:cs="Arial"/>
          <w:color w:val="000000"/>
        </w:rPr>
        <w:t xml:space="preserve"> rémunération versée pour des services contractuels de personnes.</w:t>
      </w:r>
    </w:p>
    <w:p w:rsidR="00F93B76" w:rsidRPr="00A32AF4" w:rsidRDefault="00F93B76" w:rsidP="00DC0553">
      <w:pPr>
        <w:jc w:val="both"/>
      </w:pPr>
    </w:p>
    <w:p w:rsidR="00F93B76" w:rsidRPr="00A32AF4" w:rsidRDefault="00142569" w:rsidP="00DC0553">
      <w:pPr>
        <w:numPr>
          <w:ilvl w:val="0"/>
          <w:numId w:val="48"/>
        </w:numPr>
        <w:jc w:val="both"/>
        <w:rPr>
          <w:rFonts w:cs="Arial"/>
          <w:color w:val="000000"/>
        </w:rPr>
      </w:pPr>
      <w:r w:rsidRPr="00A32AF4">
        <w:rPr>
          <w:rFonts w:cs="Arial"/>
          <w:b/>
          <w:bCs/>
          <w:i/>
          <w:iCs/>
          <w:color w:val="000000"/>
        </w:rPr>
        <w:t xml:space="preserve">Autres services contractuels : </w:t>
      </w:r>
      <w:r w:rsidRPr="00A32AF4">
        <w:rPr>
          <w:rFonts w:cs="Arial"/>
          <w:color w:val="000000"/>
        </w:rPr>
        <w:t xml:space="preserve">comprend tous les autres services contractuels conclus avec </w:t>
      </w:r>
      <w:r w:rsidRPr="00A32AF4">
        <w:rPr>
          <w:rFonts w:cs="Arial"/>
          <w:bCs/>
          <w:iCs/>
          <w:color w:val="000000"/>
        </w:rPr>
        <w:t>des prestataires de services commerciaux et non commerciaux</w:t>
      </w:r>
      <w:r w:rsidRPr="00A32AF4">
        <w:rPr>
          <w:rFonts w:cs="Arial"/>
          <w:color w:val="000000"/>
        </w:rPr>
        <w:t>.</w:t>
      </w:r>
    </w:p>
    <w:p w:rsidR="00F93B76" w:rsidRPr="00A32AF4" w:rsidRDefault="00F93B76" w:rsidP="00DC0553">
      <w:pPr>
        <w:jc w:val="both"/>
        <w:rPr>
          <w:rFonts w:cs="Arial"/>
        </w:rPr>
      </w:pPr>
      <w:bookmarkStart w:id="113" w:name="RANGE!A23"/>
    </w:p>
    <w:p w:rsidR="00F93B76" w:rsidRPr="00A32AF4" w:rsidRDefault="00F93B76" w:rsidP="00DC0553">
      <w:pPr>
        <w:jc w:val="both"/>
      </w:pPr>
    </w:p>
    <w:p w:rsidR="00F93B76" w:rsidRPr="00A32AF4" w:rsidRDefault="00842E21" w:rsidP="00DC0553">
      <w:pPr>
        <w:keepNext/>
        <w:keepLines/>
        <w:jc w:val="both"/>
        <w:rPr>
          <w:rFonts w:cs="Arial"/>
          <w:b/>
        </w:rPr>
      </w:pPr>
      <w:r w:rsidRPr="00A32AF4">
        <w:rPr>
          <w:rFonts w:cs="Arial"/>
          <w:b/>
          <w:bCs/>
          <w:iCs/>
        </w:rPr>
        <w:t>Coûts financiers</w:t>
      </w:r>
    </w:p>
    <w:p w:rsidR="00F93B76" w:rsidRPr="00A32AF4" w:rsidRDefault="00F93B76" w:rsidP="00DC0553">
      <w:pPr>
        <w:keepNext/>
        <w:keepLines/>
        <w:jc w:val="both"/>
        <w:rPr>
          <w:rFonts w:cs="Arial"/>
          <w:b/>
        </w:rPr>
      </w:pPr>
    </w:p>
    <w:p w:rsidR="00F93B76" w:rsidRPr="00A32AF4" w:rsidRDefault="00842E21" w:rsidP="00DC0553">
      <w:pPr>
        <w:numPr>
          <w:ilvl w:val="0"/>
          <w:numId w:val="48"/>
        </w:numPr>
        <w:jc w:val="both"/>
        <w:rPr>
          <w:rFonts w:cs="Arial"/>
          <w:b/>
          <w:bCs/>
        </w:rPr>
      </w:pPr>
      <w:r w:rsidRPr="00A32AF4">
        <w:rPr>
          <w:rFonts w:cs="Arial"/>
          <w:b/>
          <w:i/>
        </w:rPr>
        <w:t>Coûts financiers :</w:t>
      </w:r>
      <w:r w:rsidRPr="00A32AF4">
        <w:rPr>
          <w:rFonts w:cs="Arial"/>
        </w:rPr>
        <w:t xml:space="preserve"> </w:t>
      </w:r>
      <w:proofErr w:type="gramStart"/>
      <w:r w:rsidR="005E7C9D" w:rsidRPr="00A32AF4">
        <w:rPr>
          <w:rFonts w:cs="Arial"/>
        </w:rPr>
        <w:t>intérêts</w:t>
      </w:r>
      <w:r w:rsidRPr="00A32AF4">
        <w:rPr>
          <w:rFonts w:cs="Arial"/>
        </w:rPr>
        <w:t>;</w:t>
      </w:r>
      <w:proofErr w:type="gramEnd"/>
      <w:r w:rsidRPr="00A32AF4">
        <w:rPr>
          <w:rFonts w:cs="Arial"/>
        </w:rPr>
        <w:t xml:space="preserve"> </w:t>
      </w:r>
      <w:r w:rsidR="005E7C9D" w:rsidRPr="00A32AF4">
        <w:rPr>
          <w:rFonts w:cs="Arial"/>
        </w:rPr>
        <w:t xml:space="preserve"> frais bancaires</w:t>
      </w:r>
      <w:r w:rsidRPr="00A32AF4">
        <w:rPr>
          <w:rFonts w:cs="Arial"/>
        </w:rPr>
        <w:t>.</w:t>
      </w:r>
    </w:p>
    <w:p w:rsidR="00F93B76" w:rsidRPr="00A32AF4" w:rsidRDefault="00F93B76" w:rsidP="00DC0553">
      <w:pPr>
        <w:keepNext/>
        <w:keepLines/>
        <w:jc w:val="both"/>
        <w:rPr>
          <w:rFonts w:cs="Arial"/>
          <w:b/>
          <w:bCs/>
        </w:rPr>
      </w:pPr>
    </w:p>
    <w:p w:rsidR="00F93B76" w:rsidRPr="00A32AF4" w:rsidRDefault="00142569" w:rsidP="00DC0553">
      <w:pPr>
        <w:jc w:val="both"/>
        <w:rPr>
          <w:b/>
        </w:rPr>
      </w:pPr>
      <w:r w:rsidRPr="00A32AF4">
        <w:rPr>
          <w:b/>
        </w:rPr>
        <w:t>Dépenses de fonctionnement</w:t>
      </w:r>
      <w:bookmarkEnd w:id="113"/>
    </w:p>
    <w:p w:rsidR="00F93B76" w:rsidRPr="00A32AF4" w:rsidRDefault="00F93B76" w:rsidP="00DC0553">
      <w:pPr>
        <w:jc w:val="both"/>
      </w:pPr>
    </w:p>
    <w:p w:rsidR="00F93B76" w:rsidRPr="00A32AF4" w:rsidRDefault="00142569" w:rsidP="00DC0553">
      <w:pPr>
        <w:numPr>
          <w:ilvl w:val="0"/>
          <w:numId w:val="48"/>
        </w:numPr>
        <w:jc w:val="both"/>
        <w:rPr>
          <w:rFonts w:cs="Arial"/>
          <w:color w:val="000000"/>
        </w:rPr>
      </w:pPr>
      <w:r w:rsidRPr="00A32AF4">
        <w:rPr>
          <w:rFonts w:cs="Arial"/>
          <w:b/>
          <w:bCs/>
          <w:i/>
          <w:iCs/>
          <w:color w:val="000000"/>
        </w:rPr>
        <w:t>Locaux et entretien </w:t>
      </w:r>
      <w:r w:rsidRPr="00A32AF4">
        <w:rPr>
          <w:b/>
          <w:i/>
          <w:color w:val="000000"/>
        </w:rPr>
        <w:t>:</w:t>
      </w:r>
      <w:r w:rsidRPr="00A32AF4">
        <w:rPr>
          <w:rFonts w:cs="Arial"/>
          <w:color w:val="000000"/>
        </w:rPr>
        <w:t xml:space="preserve"> acquisition, location, </w:t>
      </w:r>
      <w:r w:rsidRPr="00A32AF4">
        <w:rPr>
          <w:rFonts w:cs="Arial"/>
        </w:rPr>
        <w:t xml:space="preserve">amélioration et entretien des locaux à usage de bureaux et location ou entretien de matériel et de mobilier, </w:t>
      </w:r>
      <w:r w:rsidRPr="00A32AF4">
        <w:rPr>
          <w:rFonts w:cs="Arial"/>
          <w:color w:val="000000"/>
        </w:rPr>
        <w:t>consultants</w:t>
      </w:r>
      <w:r w:rsidRPr="00A32AF4">
        <w:rPr>
          <w:rFonts w:cs="Arial"/>
        </w:rPr>
        <w:t xml:space="preserve"> extérieurs en gestion pour la nouvelle construction</w:t>
      </w:r>
      <w:r w:rsidRPr="00A32AF4">
        <w:rPr>
          <w:rFonts w:cs="Arial"/>
          <w:color w:val="000000"/>
        </w:rPr>
        <w:t>.</w:t>
      </w:r>
    </w:p>
    <w:p w:rsidR="00F93B76" w:rsidRPr="00A32AF4" w:rsidRDefault="00F93B76" w:rsidP="00DC0553">
      <w:pPr>
        <w:jc w:val="both"/>
      </w:pPr>
    </w:p>
    <w:p w:rsidR="00F93B76" w:rsidRPr="00A32AF4" w:rsidRDefault="00142569" w:rsidP="00DC0553">
      <w:pPr>
        <w:numPr>
          <w:ilvl w:val="0"/>
          <w:numId w:val="48"/>
        </w:numPr>
        <w:jc w:val="both"/>
        <w:rPr>
          <w:rFonts w:cs="Arial"/>
        </w:rPr>
      </w:pPr>
      <w:r w:rsidRPr="00A32AF4">
        <w:rPr>
          <w:rFonts w:cs="Arial"/>
          <w:b/>
          <w:bCs/>
          <w:i/>
          <w:iCs/>
        </w:rPr>
        <w:t>Communication </w:t>
      </w:r>
      <w:r w:rsidRPr="00A32AF4">
        <w:rPr>
          <w:b/>
          <w:i/>
        </w:rPr>
        <w:t>:</w:t>
      </w:r>
      <w:r w:rsidRPr="00A32AF4">
        <w:rPr>
          <w:rFonts w:cs="Arial"/>
        </w:rPr>
        <w:t xml:space="preserve"> </w:t>
      </w:r>
      <w:r w:rsidRPr="00A32AF4">
        <w:rPr>
          <w:rFonts w:cs="Arial"/>
          <w:iCs/>
        </w:rPr>
        <w:t>frais de communication comme le téléphone, l</w:t>
      </w:r>
      <w:r w:rsidR="00E2055A" w:rsidRPr="00A32AF4">
        <w:rPr>
          <w:rFonts w:cs="Arial"/>
          <w:iCs/>
        </w:rPr>
        <w:t>’</w:t>
      </w:r>
      <w:r w:rsidRPr="00A32AF4">
        <w:rPr>
          <w:rFonts w:cs="Arial"/>
          <w:iCs/>
        </w:rPr>
        <w:t>Internet, la télécopie et le courrier, les frais de port et de transport de documents</w:t>
      </w:r>
      <w:r w:rsidRPr="00A32AF4">
        <w:rPr>
          <w:rFonts w:cs="Arial"/>
        </w:rPr>
        <w:t>.</w:t>
      </w:r>
    </w:p>
    <w:p w:rsidR="00F93B76" w:rsidRPr="00A32AF4" w:rsidRDefault="00F93B76" w:rsidP="00DC0553">
      <w:pPr>
        <w:jc w:val="both"/>
      </w:pPr>
    </w:p>
    <w:p w:rsidR="00F93B76" w:rsidRPr="00A32AF4" w:rsidRDefault="00323967" w:rsidP="00DC0553">
      <w:pPr>
        <w:numPr>
          <w:ilvl w:val="0"/>
          <w:numId w:val="48"/>
        </w:numPr>
        <w:jc w:val="both"/>
        <w:rPr>
          <w:rFonts w:cs="Arial"/>
        </w:rPr>
      </w:pPr>
      <w:r w:rsidRPr="00A32AF4">
        <w:rPr>
          <w:rFonts w:cs="Arial"/>
          <w:b/>
          <w:bCs/>
          <w:i/>
          <w:iCs/>
        </w:rPr>
        <w:t>Frais de représentation et autres frais de fonctionnement </w:t>
      </w:r>
      <w:r w:rsidR="00142569" w:rsidRPr="00A32AF4">
        <w:rPr>
          <w:b/>
          <w:i/>
        </w:rPr>
        <w:t>:</w:t>
      </w:r>
      <w:r w:rsidR="00142569" w:rsidRPr="00A32AF4">
        <w:rPr>
          <w:rFonts w:cs="Arial"/>
        </w:rPr>
        <w:t xml:space="preserve"> réceptions officielles</w:t>
      </w:r>
      <w:r w:rsidRPr="00A32AF4">
        <w:rPr>
          <w:rFonts w:cs="Arial"/>
        </w:rPr>
        <w:t xml:space="preserve">, </w:t>
      </w:r>
      <w:r w:rsidR="00142569" w:rsidRPr="00A32AF4">
        <w:rPr>
          <w:rFonts w:cs="Arial"/>
        </w:rPr>
        <w:t>contribution de l</w:t>
      </w:r>
      <w:r w:rsidR="00E2055A" w:rsidRPr="00A32AF4">
        <w:rPr>
          <w:rFonts w:cs="Arial"/>
        </w:rPr>
        <w:t>’</w:t>
      </w:r>
      <w:r w:rsidR="00142569" w:rsidRPr="00A32AF4">
        <w:rPr>
          <w:rFonts w:cs="Arial"/>
        </w:rPr>
        <w:t>OMPI à l</w:t>
      </w:r>
      <w:r w:rsidR="00E2055A" w:rsidRPr="00A32AF4">
        <w:rPr>
          <w:rFonts w:cs="Arial"/>
        </w:rPr>
        <w:t>’</w:t>
      </w:r>
      <w:r w:rsidR="00142569" w:rsidRPr="00A32AF4">
        <w:rPr>
          <w:rFonts w:cs="Arial"/>
        </w:rPr>
        <w:t>Association du personnel</w:t>
      </w:r>
      <w:r w:rsidRPr="00A32AF4">
        <w:rPr>
          <w:rFonts w:cs="Arial"/>
        </w:rPr>
        <w:t xml:space="preserve"> </w:t>
      </w:r>
      <w:r w:rsidR="005E7C9D" w:rsidRPr="00A32AF4">
        <w:rPr>
          <w:rFonts w:cs="Arial"/>
        </w:rPr>
        <w:t>et autres frais de fonctionnement</w:t>
      </w:r>
      <w:r w:rsidR="00142569" w:rsidRPr="00A32AF4">
        <w:rPr>
          <w:rFonts w:cs="Arial"/>
        </w:rPr>
        <w:t>.</w:t>
      </w:r>
    </w:p>
    <w:p w:rsidR="00F93B76" w:rsidRPr="00A32AF4" w:rsidRDefault="00F93B76" w:rsidP="00DC0553">
      <w:pPr>
        <w:jc w:val="both"/>
      </w:pPr>
    </w:p>
    <w:p w:rsidR="00F93B76" w:rsidRPr="00A32AF4" w:rsidRDefault="00142569" w:rsidP="00DC0553">
      <w:pPr>
        <w:numPr>
          <w:ilvl w:val="0"/>
          <w:numId w:val="48"/>
        </w:numPr>
        <w:jc w:val="both"/>
        <w:rPr>
          <w:rFonts w:cs="Arial"/>
          <w:color w:val="000000"/>
        </w:rPr>
      </w:pPr>
      <w:r w:rsidRPr="00A32AF4">
        <w:rPr>
          <w:rFonts w:cs="Arial"/>
          <w:b/>
          <w:bCs/>
          <w:i/>
          <w:iCs/>
        </w:rPr>
        <w:t xml:space="preserve">Services communs du système des </w:t>
      </w:r>
      <w:r w:rsidR="00E2055A" w:rsidRPr="00A32AF4">
        <w:rPr>
          <w:rFonts w:cs="Arial"/>
          <w:b/>
          <w:bCs/>
          <w:i/>
          <w:iCs/>
        </w:rPr>
        <w:t>Nations Unies</w:t>
      </w:r>
      <w:r w:rsidRPr="00A32AF4">
        <w:rPr>
          <w:rFonts w:cs="Arial"/>
          <w:b/>
          <w:bCs/>
          <w:i/>
          <w:iCs/>
        </w:rPr>
        <w:t> </w:t>
      </w:r>
      <w:r w:rsidRPr="00A32AF4">
        <w:rPr>
          <w:b/>
          <w:i/>
        </w:rPr>
        <w:t>:</w:t>
      </w:r>
      <w:r w:rsidRPr="00A32AF4">
        <w:rPr>
          <w:rFonts w:cs="Arial"/>
        </w:rPr>
        <w:t xml:space="preserve"> assistance médicale, contributions à des activités administratives communes du système des </w:t>
      </w:r>
      <w:r w:rsidR="00E2055A" w:rsidRPr="00A32AF4">
        <w:rPr>
          <w:rFonts w:cs="Arial"/>
        </w:rPr>
        <w:t>Nations Unies</w:t>
      </w:r>
      <w:r w:rsidRPr="00A32AF4">
        <w:rPr>
          <w:rFonts w:cs="Arial"/>
        </w:rPr>
        <w:t xml:space="preserve">, activités financées en commun par le système des </w:t>
      </w:r>
      <w:r w:rsidR="00E2055A" w:rsidRPr="00A32AF4">
        <w:rPr>
          <w:rFonts w:cs="Arial"/>
        </w:rPr>
        <w:t>Nations Unies</w:t>
      </w:r>
      <w:r w:rsidRPr="00A32AF4">
        <w:rPr>
          <w:rFonts w:cs="Arial"/>
        </w:rPr>
        <w:t>, tribunal administratif.</w:t>
      </w:r>
    </w:p>
    <w:p w:rsidR="00F93B76" w:rsidRPr="00A32AF4" w:rsidRDefault="00F93B76" w:rsidP="00DC0553">
      <w:pPr>
        <w:jc w:val="both"/>
        <w:rPr>
          <w:rFonts w:cs="Arial"/>
          <w:b/>
          <w:bCs/>
        </w:rPr>
      </w:pPr>
    </w:p>
    <w:p w:rsidR="00F93B76" w:rsidRPr="00A32AF4" w:rsidRDefault="00F93B76" w:rsidP="00DC0553">
      <w:pPr>
        <w:jc w:val="both"/>
        <w:rPr>
          <w:rFonts w:cs="Arial"/>
          <w:b/>
          <w:bCs/>
        </w:rPr>
      </w:pPr>
      <w:bookmarkStart w:id="114" w:name="RANGE!A35"/>
    </w:p>
    <w:p w:rsidR="00F93B76" w:rsidRPr="00A32AF4" w:rsidRDefault="00142569" w:rsidP="00DC0553">
      <w:pPr>
        <w:jc w:val="both"/>
        <w:rPr>
          <w:rFonts w:cs="Arial"/>
          <w:b/>
          <w:bCs/>
        </w:rPr>
      </w:pPr>
      <w:r w:rsidRPr="00A32AF4">
        <w:rPr>
          <w:rFonts w:cs="Arial"/>
          <w:b/>
          <w:bCs/>
        </w:rPr>
        <w:t>Matériel et fournitures</w:t>
      </w:r>
      <w:bookmarkEnd w:id="114"/>
    </w:p>
    <w:p w:rsidR="00F93B76" w:rsidRPr="00A32AF4" w:rsidRDefault="00F93B76" w:rsidP="00DC0553">
      <w:pPr>
        <w:jc w:val="both"/>
      </w:pPr>
    </w:p>
    <w:p w:rsidR="00F93B76" w:rsidRPr="00A32AF4" w:rsidRDefault="00142569" w:rsidP="00DC0553">
      <w:pPr>
        <w:numPr>
          <w:ilvl w:val="0"/>
          <w:numId w:val="48"/>
        </w:numPr>
        <w:jc w:val="both"/>
        <w:rPr>
          <w:rFonts w:cs="Arial"/>
          <w:color w:val="000000"/>
        </w:rPr>
      </w:pPr>
      <w:r w:rsidRPr="00A32AF4">
        <w:rPr>
          <w:rFonts w:cs="Arial"/>
          <w:b/>
          <w:bCs/>
          <w:i/>
          <w:iCs/>
        </w:rPr>
        <w:t xml:space="preserve">Mobilier et matériel : </w:t>
      </w:r>
      <w:r w:rsidRPr="00A32AF4">
        <w:rPr>
          <w:rFonts w:cs="Arial"/>
          <w:iCs/>
        </w:rPr>
        <w:t xml:space="preserve">achat de mobilier et machines de bureau, de matériel informatique (ordinateurs personnels, ordinateurs </w:t>
      </w:r>
      <w:r w:rsidRPr="00A32AF4">
        <w:rPr>
          <w:rFonts w:cs="Arial"/>
        </w:rPr>
        <w:t>portables</w:t>
      </w:r>
      <w:r w:rsidRPr="00A32AF4">
        <w:rPr>
          <w:rFonts w:cs="Arial"/>
          <w:iCs/>
        </w:rPr>
        <w:t>, imprimantes, serveurs, etc.), de matériel utilisé pour les conférences, de matériel de reproduction des documents et de matériel de transport</w:t>
      </w:r>
      <w:r w:rsidRPr="00A32AF4">
        <w:rPr>
          <w:rFonts w:cs="Arial"/>
          <w:color w:val="000000"/>
        </w:rPr>
        <w:t>.</w:t>
      </w:r>
    </w:p>
    <w:p w:rsidR="00F93B76" w:rsidRPr="00A32AF4" w:rsidRDefault="00F93B76" w:rsidP="00DC0553">
      <w:pPr>
        <w:jc w:val="both"/>
      </w:pPr>
    </w:p>
    <w:p w:rsidR="00F93B76" w:rsidRPr="00A32AF4" w:rsidRDefault="00142569" w:rsidP="00DC0553">
      <w:pPr>
        <w:numPr>
          <w:ilvl w:val="0"/>
          <w:numId w:val="48"/>
        </w:numPr>
        <w:jc w:val="both"/>
      </w:pPr>
      <w:r w:rsidRPr="00A32AF4">
        <w:rPr>
          <w:rFonts w:cs="Arial"/>
          <w:b/>
          <w:bCs/>
          <w:i/>
          <w:iCs/>
        </w:rPr>
        <w:t>Fournitures :</w:t>
      </w:r>
      <w:r w:rsidRPr="00A32AF4">
        <w:rPr>
          <w:rFonts w:cs="Arial"/>
          <w:bCs/>
          <w:i/>
          <w:iCs/>
        </w:rPr>
        <w:t xml:space="preserve"> </w:t>
      </w:r>
      <w:r w:rsidRPr="00A32AF4">
        <w:rPr>
          <w:rFonts w:cs="Arial"/>
          <w:iCs/>
        </w:rPr>
        <w:t>papier et fournitures de bureau;</w:t>
      </w:r>
      <w:r w:rsidR="000B5CFC" w:rsidRPr="00A32AF4">
        <w:rPr>
          <w:rFonts w:cs="Arial"/>
          <w:iCs/>
        </w:rPr>
        <w:t xml:space="preserve">  </w:t>
      </w:r>
      <w:r w:rsidRPr="00A32AF4">
        <w:rPr>
          <w:rFonts w:cs="Arial"/>
          <w:iCs/>
        </w:rPr>
        <w:t>fournitures de reproduction interne (offset, microfilms, etc.);</w:t>
      </w:r>
      <w:r w:rsidR="00F1309D" w:rsidRPr="00A32AF4">
        <w:rPr>
          <w:rFonts w:cs="Arial"/>
          <w:iCs/>
        </w:rPr>
        <w:t xml:space="preserve">  l</w:t>
      </w:r>
      <w:r w:rsidRPr="00A32AF4">
        <w:rPr>
          <w:rFonts w:cs="Arial"/>
          <w:iCs/>
        </w:rPr>
        <w:t>ivres de bibliothèque et abonnements à des revues et périodiques;</w:t>
      </w:r>
      <w:r w:rsidR="00087DDF" w:rsidRPr="00A32AF4">
        <w:rPr>
          <w:rFonts w:cs="Arial"/>
          <w:iCs/>
        </w:rPr>
        <w:t xml:space="preserve">  </w:t>
      </w:r>
      <w:r w:rsidRPr="00A32AF4">
        <w:rPr>
          <w:rFonts w:cs="Arial"/>
          <w:iCs/>
        </w:rPr>
        <w:t>uniformes;</w:t>
      </w:r>
      <w:r w:rsidR="00087DDF" w:rsidRPr="00A32AF4">
        <w:rPr>
          <w:rFonts w:cs="Arial"/>
          <w:iCs/>
        </w:rPr>
        <w:t xml:space="preserve">  </w:t>
      </w:r>
      <w:r w:rsidRPr="00A32AF4">
        <w:rPr>
          <w:rFonts w:cs="Arial"/>
          <w:iCs/>
        </w:rPr>
        <w:t xml:space="preserve">fournitures de </w:t>
      </w:r>
      <w:r w:rsidRPr="00A32AF4">
        <w:rPr>
          <w:rFonts w:cs="Arial"/>
        </w:rPr>
        <w:t>traitement</w:t>
      </w:r>
      <w:r w:rsidRPr="00A32AF4">
        <w:rPr>
          <w:rFonts w:cs="Arial"/>
          <w:iCs/>
        </w:rPr>
        <w:t xml:space="preserve"> de données;</w:t>
      </w:r>
      <w:r w:rsidR="00087DDF" w:rsidRPr="00A32AF4">
        <w:rPr>
          <w:rFonts w:cs="Arial"/>
          <w:iCs/>
        </w:rPr>
        <w:t xml:space="preserve">  </w:t>
      </w:r>
      <w:r w:rsidRPr="00A32AF4">
        <w:rPr>
          <w:rFonts w:cs="Arial"/>
          <w:iCs/>
        </w:rPr>
        <w:t>logiciels et licences informatiques</w:t>
      </w:r>
      <w:r w:rsidRPr="00A32AF4">
        <w:rPr>
          <w:rFonts w:cs="Arial"/>
          <w:color w:val="000000"/>
        </w:rPr>
        <w:t>.</w:t>
      </w:r>
      <w:r w:rsidRPr="00A32AF4">
        <w:br w:type="page"/>
      </w:r>
      <w:bookmarkStart w:id="115" w:name="_Toc293334853"/>
      <w:bookmarkStart w:id="116" w:name="_Toc298920435"/>
      <w:bookmarkStart w:id="117" w:name="_Toc310950816"/>
      <w:bookmarkStart w:id="118" w:name="_Toc356567802"/>
    </w:p>
    <w:p w:rsidR="000B5CFC" w:rsidRPr="00A32AF4" w:rsidRDefault="000B5CFC" w:rsidP="00F52E38">
      <w:pPr>
        <w:pStyle w:val="Heading3"/>
        <w:tabs>
          <w:tab w:val="clear" w:pos="2268"/>
        </w:tabs>
        <w:ind w:left="0" w:firstLine="0"/>
      </w:pPr>
      <w:bookmarkStart w:id="119" w:name="_Toc367350627"/>
      <w:bookmarkStart w:id="120" w:name="_Toc419283295"/>
      <w:bookmarkStart w:id="121" w:name="_Toc431555490"/>
      <w:r w:rsidRPr="00A32AF4">
        <w:t xml:space="preserve">Appendice C </w:t>
      </w:r>
      <w:r w:rsidR="00B77998" w:rsidRPr="00A32AF4">
        <w:t xml:space="preserve">  </w:t>
      </w:r>
      <w:r w:rsidRPr="00A32AF4">
        <w:br/>
      </w:r>
      <w:bookmarkEnd w:id="119"/>
      <w:bookmarkEnd w:id="120"/>
      <w:r w:rsidRPr="00A32AF4">
        <w:t>calcul des dépenses de personnel</w:t>
      </w:r>
      <w:bookmarkEnd w:id="121"/>
    </w:p>
    <w:p w:rsidR="000B5CFC" w:rsidRPr="00A32AF4" w:rsidRDefault="000B5CFC" w:rsidP="00DC0553">
      <w:pPr>
        <w:pStyle w:val="Header"/>
        <w:rPr>
          <w:rFonts w:cs="Arial"/>
        </w:rPr>
      </w:pPr>
    </w:p>
    <w:p w:rsidR="000B5CFC" w:rsidRPr="00A32AF4" w:rsidRDefault="000B5CFC" w:rsidP="00DC0553">
      <w:pPr>
        <w:pStyle w:val="Header"/>
        <w:rPr>
          <w:rFonts w:cs="Arial"/>
        </w:rPr>
      </w:pPr>
    </w:p>
    <w:p w:rsidR="000B5CFC" w:rsidRPr="00A32AF4" w:rsidRDefault="000B5CFC" w:rsidP="00DC0553">
      <w:pPr>
        <w:pStyle w:val="ListParagraph"/>
        <w:numPr>
          <w:ilvl w:val="0"/>
          <w:numId w:val="68"/>
        </w:numPr>
        <w:tabs>
          <w:tab w:val="left" w:pos="567"/>
        </w:tabs>
        <w:spacing w:after="0" w:line="240" w:lineRule="auto"/>
        <w:ind w:left="0" w:firstLine="0"/>
        <w:rPr>
          <w:rFonts w:ascii="Arial" w:hAnsi="Arial"/>
        </w:rPr>
      </w:pPr>
      <w:proofErr w:type="gramStart"/>
      <w:r w:rsidRPr="00A32AF4">
        <w:rPr>
          <w:rFonts w:ascii="Arial" w:hAnsi="Arial"/>
        </w:rPr>
        <w:t>À la suite du lancement du système EPM de gestion des performances de l</w:t>
      </w:r>
      <w:r w:rsidR="00E2055A" w:rsidRPr="00A32AF4">
        <w:rPr>
          <w:rFonts w:ascii="Arial" w:hAnsi="Arial"/>
        </w:rPr>
        <w:t>’</w:t>
      </w:r>
      <w:r w:rsidRPr="00A32AF4">
        <w:rPr>
          <w:rFonts w:ascii="Arial" w:hAnsi="Arial"/>
        </w:rPr>
        <w:t>Organisation et de la mise en œuvre du système ERP de planification des ressources (système de paie des ressources humaines) et dans le cadre de la poursuite du renforcement de la gestion axée sur les résultats, notamment le renforcement du lien entre le travail accompli et les ressources nécessaires à la mise en œuvre, un changement a été apporté à la méthode utilisée pour le calcul des dépenses de personnel pour 2016</w:t>
      </w:r>
      <w:r w:rsidR="00EB7F54" w:rsidRPr="00A32AF4">
        <w:rPr>
          <w:rFonts w:ascii="Arial" w:hAnsi="Arial"/>
        </w:rPr>
        <w:noBreakHyphen/>
      </w:r>
      <w:r w:rsidRPr="00A32AF4">
        <w:rPr>
          <w:rFonts w:ascii="Arial" w:hAnsi="Arial"/>
        </w:rPr>
        <w:t>2017.</w:t>
      </w:r>
      <w:proofErr w:type="gramEnd"/>
      <w:r w:rsidRPr="00A32AF4">
        <w:rPr>
          <w:rFonts w:ascii="Arial" w:hAnsi="Arial"/>
        </w:rPr>
        <w:t xml:space="preserve">  Dans le présent budget, les dépenses de personnel de l</w:t>
      </w:r>
      <w:r w:rsidR="00E2055A" w:rsidRPr="00A32AF4">
        <w:rPr>
          <w:rFonts w:ascii="Arial" w:hAnsi="Arial"/>
        </w:rPr>
        <w:t>’</w:t>
      </w:r>
      <w:r w:rsidRPr="00A32AF4">
        <w:rPr>
          <w:rFonts w:ascii="Arial" w:hAnsi="Arial"/>
        </w:rPr>
        <w:t>Organisation sont calculées sur la base de montants réels.</w:t>
      </w:r>
    </w:p>
    <w:p w:rsidR="000B5CFC" w:rsidRPr="00A32AF4" w:rsidRDefault="000B5CFC" w:rsidP="00DC0553">
      <w:pPr>
        <w:rPr>
          <w:rFonts w:cs="Arial"/>
        </w:rPr>
      </w:pPr>
    </w:p>
    <w:p w:rsidR="000B5CFC" w:rsidRPr="00A32AF4" w:rsidRDefault="000B5CFC" w:rsidP="00DC0553">
      <w:pPr>
        <w:pStyle w:val="ListParagraph"/>
        <w:numPr>
          <w:ilvl w:val="0"/>
          <w:numId w:val="68"/>
        </w:numPr>
        <w:tabs>
          <w:tab w:val="left" w:pos="567"/>
        </w:tabs>
        <w:spacing w:after="0" w:line="240" w:lineRule="auto"/>
        <w:ind w:left="0" w:firstLine="0"/>
        <w:rPr>
          <w:rFonts w:ascii="Arial" w:hAnsi="Arial"/>
        </w:rPr>
      </w:pPr>
      <w:r w:rsidRPr="00A32AF4">
        <w:rPr>
          <w:rFonts w:ascii="Arial" w:hAnsi="Arial"/>
        </w:rPr>
        <w:t>Le calcul des coûts sur la base de montants réels repose sur les derniers barèmes de l</w:t>
      </w:r>
      <w:r w:rsidR="00E2055A" w:rsidRPr="00A32AF4">
        <w:rPr>
          <w:rFonts w:ascii="Arial" w:hAnsi="Arial"/>
        </w:rPr>
        <w:t>’</w:t>
      </w:r>
      <w:r w:rsidRPr="00A32AF4">
        <w:rPr>
          <w:rFonts w:ascii="Arial" w:hAnsi="Arial"/>
        </w:rPr>
        <w:t xml:space="preserve">Organisation des </w:t>
      </w:r>
      <w:r w:rsidR="00E2055A" w:rsidRPr="00A32AF4">
        <w:rPr>
          <w:rFonts w:ascii="Arial" w:hAnsi="Arial"/>
        </w:rPr>
        <w:t>Nations Unies</w:t>
      </w:r>
      <w:r w:rsidRPr="00A32AF4">
        <w:rPr>
          <w:rFonts w:ascii="Arial" w:hAnsi="Arial"/>
        </w:rPr>
        <w:t xml:space="preserve"> disponibles en matière de traitement et de rémunération considérée aux fins de la pension des administrateurs et fonctionnaires de rang supérieur et des services généraux</w:t>
      </w:r>
      <w:r w:rsidRPr="00A32AF4">
        <w:rPr>
          <w:rFonts w:ascii="Arial" w:hAnsi="Arial"/>
          <w:vertAlign w:val="superscript"/>
        </w:rPr>
        <w:footnoteReference w:id="33"/>
      </w:r>
      <w:r w:rsidRPr="00A32AF4">
        <w:rPr>
          <w:rFonts w:ascii="Arial" w:hAnsi="Arial"/>
        </w:rPr>
        <w:t>, ainsi que sur les données rétrospectives relatives aux charges de famille et sur les politiques et prestations applicables.  La méthode de calcul des coûts utilisée réunit plusieurs éléments de dépenses afin de calculer le montant des dépenses par niveau de poste, montant qui est ensuite utilisé afin d</w:t>
      </w:r>
      <w:r w:rsidR="00E2055A" w:rsidRPr="00A32AF4">
        <w:rPr>
          <w:rFonts w:ascii="Arial" w:hAnsi="Arial"/>
        </w:rPr>
        <w:t>’</w:t>
      </w:r>
      <w:r w:rsidRPr="00A32AF4">
        <w:rPr>
          <w:rFonts w:ascii="Arial" w:hAnsi="Arial"/>
        </w:rPr>
        <w:t>effectuer un calcul global des dépenses de personnel.  Les éléments de dépense compris dans le calcul des coûts sur la base de montants réels et les hypothèses de calcul sont résumés ci</w:t>
      </w:r>
      <w:r w:rsidR="00EB7F54" w:rsidRPr="00A32AF4">
        <w:rPr>
          <w:rFonts w:ascii="Arial" w:hAnsi="Arial"/>
        </w:rPr>
        <w:noBreakHyphen/>
      </w:r>
      <w:r w:rsidRPr="00A32AF4">
        <w:rPr>
          <w:rFonts w:ascii="Arial" w:hAnsi="Arial"/>
        </w:rPr>
        <w:t>après.</w:t>
      </w:r>
    </w:p>
    <w:p w:rsidR="000B5CFC" w:rsidRPr="00A32AF4" w:rsidRDefault="000B5CFC" w:rsidP="00DC0553">
      <w:pPr>
        <w:ind w:left="1134" w:firstLine="567"/>
      </w:pPr>
    </w:p>
    <w:p w:rsidR="000B5CFC" w:rsidRPr="00A32AF4" w:rsidRDefault="000B5CFC" w:rsidP="00DC0553">
      <w:pPr>
        <w:ind w:left="1134" w:firstLine="567"/>
        <w:rPr>
          <w:b/>
        </w:rPr>
      </w:pPr>
      <w:r w:rsidRPr="00A32AF4">
        <w:rPr>
          <w:b/>
        </w:rPr>
        <w:t>Calcul des coûts sur la base de montants réels et hypothèses de calcul</w:t>
      </w:r>
    </w:p>
    <w:p w:rsidR="000B5CFC" w:rsidRPr="00A32AF4" w:rsidRDefault="000B5CFC" w:rsidP="00DC0553">
      <w:pPr>
        <w:jc w:val="cente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8"/>
        <w:gridCol w:w="3870"/>
        <w:gridCol w:w="3870"/>
      </w:tblGrid>
      <w:tr w:rsidR="000B5CFC" w:rsidRPr="00A32AF4" w:rsidTr="000B5CFC">
        <w:trPr>
          <w:cantSplit/>
        </w:trPr>
        <w:tc>
          <w:tcPr>
            <w:tcW w:w="1548" w:type="dxa"/>
            <w:shd w:val="clear" w:color="auto" w:fill="auto"/>
            <w:tcMar>
              <w:top w:w="113" w:type="dxa"/>
              <w:bottom w:w="113" w:type="dxa"/>
            </w:tcMar>
          </w:tcPr>
          <w:p w:rsidR="000B5CFC" w:rsidRPr="00A32AF4" w:rsidRDefault="000B5CFC" w:rsidP="00DC0553">
            <w:pPr>
              <w:spacing w:before="60" w:after="60"/>
              <w:rPr>
                <w:b/>
                <w:sz w:val="18"/>
              </w:rPr>
            </w:pPr>
          </w:p>
        </w:tc>
        <w:tc>
          <w:tcPr>
            <w:tcW w:w="3870" w:type="dxa"/>
            <w:shd w:val="clear" w:color="auto" w:fill="auto"/>
            <w:tcMar>
              <w:top w:w="113" w:type="dxa"/>
              <w:bottom w:w="113" w:type="dxa"/>
            </w:tcMar>
          </w:tcPr>
          <w:p w:rsidR="000B5CFC" w:rsidRPr="00A32AF4" w:rsidRDefault="000B5CFC" w:rsidP="00DC0553">
            <w:pPr>
              <w:spacing w:before="60" w:after="60"/>
              <w:jc w:val="center"/>
              <w:rPr>
                <w:b/>
                <w:sz w:val="18"/>
              </w:rPr>
            </w:pPr>
            <w:r w:rsidRPr="00A32AF4">
              <w:rPr>
                <w:b/>
                <w:sz w:val="18"/>
              </w:rPr>
              <w:t>Poste</w:t>
            </w:r>
          </w:p>
          <w:p w:rsidR="000B5CFC" w:rsidRPr="00A32AF4" w:rsidRDefault="000B5CFC" w:rsidP="00DC0553">
            <w:pPr>
              <w:spacing w:before="60" w:after="60"/>
              <w:jc w:val="center"/>
              <w:rPr>
                <w:bCs/>
                <w:sz w:val="18"/>
              </w:rPr>
            </w:pPr>
            <w:r w:rsidRPr="00A32AF4">
              <w:rPr>
                <w:bCs/>
                <w:sz w:val="18"/>
              </w:rPr>
              <w:t>(a</w:t>
            </w:r>
            <w:r w:rsidRPr="00A32AF4">
              <w:rPr>
                <w:bCs/>
                <w:i/>
                <w:iCs/>
                <w:sz w:val="18"/>
              </w:rPr>
              <w:t>dministrateurs et fonctionnaires de rang supérieur et services généraux</w:t>
            </w:r>
            <w:r w:rsidRPr="00A32AF4">
              <w:rPr>
                <w:bCs/>
                <w:sz w:val="18"/>
              </w:rPr>
              <w:t>)</w:t>
            </w:r>
          </w:p>
        </w:tc>
        <w:tc>
          <w:tcPr>
            <w:tcW w:w="3870" w:type="dxa"/>
            <w:tcMar>
              <w:top w:w="113" w:type="dxa"/>
              <w:bottom w:w="113" w:type="dxa"/>
            </w:tcMar>
          </w:tcPr>
          <w:p w:rsidR="000B5CFC" w:rsidRPr="00A32AF4" w:rsidRDefault="000B5CFC" w:rsidP="00DC0553">
            <w:pPr>
              <w:spacing w:before="60" w:after="60"/>
              <w:jc w:val="center"/>
              <w:rPr>
                <w:b/>
                <w:sz w:val="18"/>
              </w:rPr>
            </w:pPr>
            <w:r w:rsidRPr="00A32AF4">
              <w:rPr>
                <w:b/>
                <w:sz w:val="18"/>
              </w:rPr>
              <w:t>Fonctionnaires temporaires</w:t>
            </w:r>
          </w:p>
          <w:p w:rsidR="000B5CFC" w:rsidRPr="00A32AF4" w:rsidRDefault="000B5CFC" w:rsidP="00DC0553">
            <w:pPr>
              <w:spacing w:before="60" w:after="60"/>
              <w:jc w:val="center"/>
              <w:rPr>
                <w:bCs/>
                <w:sz w:val="18"/>
              </w:rPr>
            </w:pPr>
            <w:r w:rsidRPr="00A32AF4">
              <w:rPr>
                <w:bCs/>
                <w:sz w:val="18"/>
              </w:rPr>
              <w:t>(a</w:t>
            </w:r>
            <w:r w:rsidRPr="00A32AF4">
              <w:rPr>
                <w:bCs/>
                <w:i/>
                <w:iCs/>
                <w:sz w:val="18"/>
              </w:rPr>
              <w:t>dministrateurs et fonctionnaires de rang supérieur et services généraux</w:t>
            </w:r>
            <w:r w:rsidRPr="00A32AF4">
              <w:rPr>
                <w:bCs/>
                <w:sz w:val="18"/>
              </w:rPr>
              <w:t>)</w:t>
            </w:r>
          </w:p>
        </w:tc>
      </w:tr>
      <w:tr w:rsidR="000B5CFC" w:rsidRPr="00A32AF4" w:rsidTr="000B5CFC">
        <w:trPr>
          <w:cantSplit/>
        </w:trPr>
        <w:tc>
          <w:tcPr>
            <w:tcW w:w="1548" w:type="dxa"/>
            <w:tcMar>
              <w:top w:w="113" w:type="dxa"/>
              <w:bottom w:w="113" w:type="dxa"/>
            </w:tcMar>
          </w:tcPr>
          <w:p w:rsidR="000B5CFC" w:rsidRPr="00A32AF4" w:rsidRDefault="000B5CFC" w:rsidP="00DC0553">
            <w:pPr>
              <w:spacing w:before="60"/>
              <w:rPr>
                <w:b/>
                <w:sz w:val="18"/>
              </w:rPr>
            </w:pPr>
            <w:r w:rsidRPr="00A32AF4">
              <w:rPr>
                <w:b/>
                <w:sz w:val="18"/>
              </w:rPr>
              <w:t>Traitement</w:t>
            </w:r>
          </w:p>
        </w:tc>
        <w:tc>
          <w:tcPr>
            <w:tcW w:w="3870" w:type="dxa"/>
            <w:tcMar>
              <w:top w:w="113" w:type="dxa"/>
              <w:bottom w:w="113" w:type="dxa"/>
            </w:tcMar>
          </w:tcPr>
          <w:p w:rsidR="000B5CFC" w:rsidRPr="00A32AF4" w:rsidRDefault="000B5CFC" w:rsidP="00DC0553">
            <w:pPr>
              <w:spacing w:before="60"/>
              <w:rPr>
                <w:sz w:val="16"/>
              </w:rPr>
            </w:pPr>
            <w:r w:rsidRPr="00A32AF4">
              <w:rPr>
                <w:sz w:val="16"/>
              </w:rPr>
              <w:t>L</w:t>
            </w:r>
            <w:r w:rsidR="00E2055A" w:rsidRPr="00A32AF4">
              <w:rPr>
                <w:sz w:val="16"/>
              </w:rPr>
              <w:t>’</w:t>
            </w:r>
            <w:r w:rsidRPr="00A32AF4">
              <w:rPr>
                <w:sz w:val="16"/>
              </w:rPr>
              <w:t>élément traitement pour un poste occupé est calculé par niveau de poste en appliquant le barème avec ou sans charges de famille (CFPI) au grade/échelon projeté.  Pour les postes vacants, il est calculé en appliquant le taux avec charges de famille à l</w:t>
            </w:r>
            <w:r w:rsidR="00E2055A" w:rsidRPr="00A32AF4">
              <w:rPr>
                <w:sz w:val="16"/>
              </w:rPr>
              <w:t>’</w:t>
            </w:r>
            <w:r w:rsidRPr="00A32AF4">
              <w:rPr>
                <w:sz w:val="16"/>
              </w:rPr>
              <w:t>échelon médian par grade.  Le montant calculé en dollars des États</w:t>
            </w:r>
            <w:r w:rsidR="00EB7F54" w:rsidRPr="00A32AF4">
              <w:rPr>
                <w:sz w:val="16"/>
              </w:rPr>
              <w:noBreakHyphen/>
            </w:r>
            <w:r w:rsidRPr="00A32AF4">
              <w:rPr>
                <w:sz w:val="16"/>
              </w:rPr>
              <w:t>Unis d</w:t>
            </w:r>
            <w:r w:rsidR="00E2055A" w:rsidRPr="00A32AF4">
              <w:rPr>
                <w:sz w:val="16"/>
              </w:rPr>
              <w:t>’</w:t>
            </w:r>
            <w:r w:rsidRPr="00A32AF4">
              <w:rPr>
                <w:sz w:val="16"/>
              </w:rPr>
              <w:t>Amérique est ensuite converti en francs suisses, avec l</w:t>
            </w:r>
            <w:r w:rsidR="00E2055A" w:rsidRPr="00A32AF4">
              <w:rPr>
                <w:sz w:val="16"/>
              </w:rPr>
              <w:t>’</w:t>
            </w:r>
            <w:r w:rsidRPr="00A32AF4">
              <w:rPr>
                <w:sz w:val="16"/>
              </w:rPr>
              <w:t>application du coefficient d</w:t>
            </w:r>
            <w:r w:rsidR="00E2055A" w:rsidRPr="00A32AF4">
              <w:rPr>
                <w:sz w:val="16"/>
              </w:rPr>
              <w:t>’</w:t>
            </w:r>
            <w:r w:rsidRPr="00A32AF4">
              <w:rPr>
                <w:sz w:val="16"/>
              </w:rPr>
              <w:t>ajustement de poste, le cas échéant (pour les administrateurs et fonctionnaires de rang supérieur).</w:t>
            </w:r>
          </w:p>
          <w:p w:rsidR="000B5CFC" w:rsidRPr="00A32AF4" w:rsidRDefault="000B5CFC" w:rsidP="00DC0553">
            <w:pPr>
              <w:spacing w:before="60"/>
              <w:rPr>
                <w:sz w:val="16"/>
              </w:rPr>
            </w:pPr>
            <w:r w:rsidRPr="00A32AF4">
              <w:rPr>
                <w:sz w:val="16"/>
              </w:rPr>
              <w:t>La part qui correspond à l</w:t>
            </w:r>
            <w:r w:rsidR="00E2055A" w:rsidRPr="00A32AF4">
              <w:rPr>
                <w:sz w:val="16"/>
              </w:rPr>
              <w:t>’</w:t>
            </w:r>
            <w:r w:rsidRPr="00A32AF4">
              <w:rPr>
                <w:sz w:val="16"/>
              </w:rPr>
              <w:t xml:space="preserve">Organisation de la rémunération considérée aux fins de la pension (CCPPNU) est ajoutée au montant total </w:t>
            </w:r>
          </w:p>
        </w:tc>
        <w:tc>
          <w:tcPr>
            <w:tcW w:w="3870" w:type="dxa"/>
            <w:tcMar>
              <w:top w:w="113" w:type="dxa"/>
              <w:bottom w:w="113" w:type="dxa"/>
            </w:tcMar>
          </w:tcPr>
          <w:p w:rsidR="000B5CFC" w:rsidRPr="00A32AF4" w:rsidRDefault="000B5CFC" w:rsidP="00DC0553">
            <w:pPr>
              <w:spacing w:before="60"/>
              <w:rPr>
                <w:sz w:val="16"/>
              </w:rPr>
            </w:pPr>
            <w:r w:rsidRPr="00A32AF4">
              <w:rPr>
                <w:sz w:val="16"/>
              </w:rPr>
              <w:t>L</w:t>
            </w:r>
            <w:r w:rsidR="00E2055A" w:rsidRPr="00A32AF4">
              <w:rPr>
                <w:sz w:val="16"/>
              </w:rPr>
              <w:t>’</w:t>
            </w:r>
            <w:r w:rsidRPr="00A32AF4">
              <w:rPr>
                <w:sz w:val="16"/>
              </w:rPr>
              <w:t>élément traitement pour un poste occupé est calculé par niveau de poste en appliquant le barème avec ou sans charges de famille (CFPI) au grade/échelon projeté.  Pour les postes vacants, il est calculé en appliquant le taux avec charges de famille à l</w:t>
            </w:r>
            <w:r w:rsidR="00E2055A" w:rsidRPr="00A32AF4">
              <w:rPr>
                <w:sz w:val="16"/>
              </w:rPr>
              <w:t>’</w:t>
            </w:r>
            <w:r w:rsidRPr="00A32AF4">
              <w:rPr>
                <w:sz w:val="16"/>
              </w:rPr>
              <w:t>échelon médian par grade.  Le montant calculé en dollars des États</w:t>
            </w:r>
            <w:r w:rsidR="00EB7F54" w:rsidRPr="00A32AF4">
              <w:rPr>
                <w:sz w:val="16"/>
              </w:rPr>
              <w:noBreakHyphen/>
            </w:r>
            <w:r w:rsidRPr="00A32AF4">
              <w:rPr>
                <w:sz w:val="16"/>
              </w:rPr>
              <w:t>Unis d</w:t>
            </w:r>
            <w:r w:rsidR="00E2055A" w:rsidRPr="00A32AF4">
              <w:rPr>
                <w:sz w:val="16"/>
              </w:rPr>
              <w:t>’</w:t>
            </w:r>
            <w:r w:rsidRPr="00A32AF4">
              <w:rPr>
                <w:sz w:val="16"/>
              </w:rPr>
              <w:t>Amérique est ensuite converti en francs suisses, avec l</w:t>
            </w:r>
            <w:r w:rsidR="00E2055A" w:rsidRPr="00A32AF4">
              <w:rPr>
                <w:sz w:val="16"/>
              </w:rPr>
              <w:t>’</w:t>
            </w:r>
            <w:r w:rsidRPr="00A32AF4">
              <w:rPr>
                <w:sz w:val="16"/>
              </w:rPr>
              <w:t>application du coefficient d</w:t>
            </w:r>
            <w:r w:rsidR="00E2055A" w:rsidRPr="00A32AF4">
              <w:rPr>
                <w:sz w:val="16"/>
              </w:rPr>
              <w:t>’</w:t>
            </w:r>
            <w:r w:rsidRPr="00A32AF4">
              <w:rPr>
                <w:sz w:val="16"/>
              </w:rPr>
              <w:t>ajustement de poste, le cas échéant (pour les administrateurs et fonctionnaires de rang supérieur).</w:t>
            </w:r>
          </w:p>
          <w:p w:rsidR="000B5CFC" w:rsidRPr="00A32AF4" w:rsidRDefault="000B5CFC" w:rsidP="00DC0553">
            <w:pPr>
              <w:spacing w:before="60"/>
              <w:rPr>
                <w:sz w:val="16"/>
              </w:rPr>
            </w:pPr>
            <w:r w:rsidRPr="00A32AF4">
              <w:rPr>
                <w:sz w:val="16"/>
              </w:rPr>
              <w:t>La part qui correspond à l</w:t>
            </w:r>
            <w:r w:rsidR="00E2055A" w:rsidRPr="00A32AF4">
              <w:rPr>
                <w:sz w:val="16"/>
              </w:rPr>
              <w:t>’</w:t>
            </w:r>
            <w:r w:rsidRPr="00A32AF4">
              <w:rPr>
                <w:sz w:val="16"/>
              </w:rPr>
              <w:t>Organisation de la rémunération considérée aux fins de la pension (CCPPNU) est ajoutée au montant total.</w:t>
            </w:r>
          </w:p>
        </w:tc>
      </w:tr>
      <w:tr w:rsidR="000B5CFC" w:rsidRPr="00A32AF4" w:rsidTr="000B5CFC">
        <w:trPr>
          <w:cantSplit/>
        </w:trPr>
        <w:tc>
          <w:tcPr>
            <w:tcW w:w="1548" w:type="dxa"/>
            <w:tcBorders>
              <w:bottom w:val="nil"/>
            </w:tcBorders>
            <w:tcMar>
              <w:top w:w="113" w:type="dxa"/>
              <w:bottom w:w="113" w:type="dxa"/>
            </w:tcMar>
          </w:tcPr>
          <w:p w:rsidR="000B5CFC" w:rsidRPr="00A32AF4" w:rsidRDefault="000B5CFC" w:rsidP="00DC0553">
            <w:pPr>
              <w:spacing w:before="60" w:after="60"/>
              <w:rPr>
                <w:b/>
                <w:sz w:val="18"/>
              </w:rPr>
            </w:pPr>
            <w:r w:rsidRPr="00A32AF4">
              <w:rPr>
                <w:b/>
                <w:sz w:val="18"/>
              </w:rPr>
              <w:t>Dépenses communes de personnel</w:t>
            </w:r>
          </w:p>
        </w:tc>
        <w:tc>
          <w:tcPr>
            <w:tcW w:w="3870" w:type="dxa"/>
            <w:tcBorders>
              <w:bottom w:val="nil"/>
            </w:tcBorders>
            <w:tcMar>
              <w:top w:w="113" w:type="dxa"/>
              <w:bottom w:w="113" w:type="dxa"/>
            </w:tcMar>
          </w:tcPr>
          <w:p w:rsidR="000B5CFC" w:rsidRPr="00A32AF4" w:rsidRDefault="000B5CFC" w:rsidP="00DC0553">
            <w:pPr>
              <w:spacing w:after="120"/>
              <w:rPr>
                <w:sz w:val="16"/>
              </w:rPr>
            </w:pPr>
            <w:r w:rsidRPr="00A32AF4">
              <w:rPr>
                <w:sz w:val="16"/>
              </w:rPr>
              <w:t>Les dépenses communes de personnel comprennent toutes les prestations et tous les avantages autres que le traitement, qui sont prévus par le Statut et Règlement du personnel (allocations familiales, cotisations à l</w:t>
            </w:r>
            <w:r w:rsidR="00E2055A" w:rsidRPr="00A32AF4">
              <w:rPr>
                <w:sz w:val="16"/>
              </w:rPr>
              <w:t>’</w:t>
            </w:r>
            <w:r w:rsidRPr="00A32AF4">
              <w:rPr>
                <w:sz w:val="16"/>
              </w:rPr>
              <w:t>assurance maladie, congé dans les foyers, indemnité pour frais d</w:t>
            </w:r>
            <w:r w:rsidR="00E2055A" w:rsidRPr="00A32AF4">
              <w:rPr>
                <w:sz w:val="16"/>
              </w:rPr>
              <w:t>’</w:t>
            </w:r>
            <w:r w:rsidRPr="00A32AF4">
              <w:rPr>
                <w:sz w:val="16"/>
              </w:rPr>
              <w:t>étude, etc.).  Les dépenses communes de personnel sont appliquées par niveau de poste sur la base d</w:t>
            </w:r>
            <w:r w:rsidR="00E2055A" w:rsidRPr="00A32AF4">
              <w:rPr>
                <w:sz w:val="16"/>
              </w:rPr>
              <w:t>’</w:t>
            </w:r>
            <w:r w:rsidRPr="00A32AF4">
              <w:rPr>
                <w:sz w:val="16"/>
              </w:rPr>
              <w:t>un schéma historique des dépenses et des projections faites.</w:t>
            </w:r>
          </w:p>
          <w:p w:rsidR="000B5CFC" w:rsidRPr="00A32AF4" w:rsidRDefault="000B5CFC" w:rsidP="00DC0553">
            <w:pPr>
              <w:spacing w:after="120"/>
              <w:rPr>
                <w:sz w:val="16"/>
              </w:rPr>
            </w:pPr>
            <w:r w:rsidRPr="00A32AF4">
              <w:rPr>
                <w:sz w:val="16"/>
              </w:rPr>
              <w:t>S</w:t>
            </w:r>
            <w:r w:rsidR="00E2055A" w:rsidRPr="00A32AF4">
              <w:rPr>
                <w:sz w:val="16"/>
              </w:rPr>
              <w:t>’</w:t>
            </w:r>
            <w:r w:rsidRPr="00A32AF4">
              <w:rPr>
                <w:sz w:val="16"/>
              </w:rPr>
              <w:t>agissant des postes vacants, on applique l</w:t>
            </w:r>
            <w:r w:rsidR="00E2055A" w:rsidRPr="00A32AF4">
              <w:rPr>
                <w:sz w:val="16"/>
              </w:rPr>
              <w:t>’</w:t>
            </w:r>
            <w:r w:rsidRPr="00A32AF4">
              <w:rPr>
                <w:sz w:val="16"/>
              </w:rPr>
              <w:t>hypothèse d</w:t>
            </w:r>
            <w:r w:rsidR="00E2055A" w:rsidRPr="00A32AF4">
              <w:rPr>
                <w:sz w:val="16"/>
              </w:rPr>
              <w:t>’</w:t>
            </w:r>
            <w:r w:rsidRPr="00A32AF4">
              <w:rPr>
                <w:sz w:val="16"/>
              </w:rPr>
              <w:t>un conjoint ou d</w:t>
            </w:r>
            <w:r w:rsidR="00E2055A" w:rsidRPr="00A32AF4">
              <w:rPr>
                <w:sz w:val="16"/>
              </w:rPr>
              <w:t>’</w:t>
            </w:r>
            <w:r w:rsidRPr="00A32AF4">
              <w:rPr>
                <w:sz w:val="16"/>
              </w:rPr>
              <w:t>une conjointe et d</w:t>
            </w:r>
            <w:r w:rsidR="00E2055A" w:rsidRPr="00A32AF4">
              <w:rPr>
                <w:sz w:val="16"/>
              </w:rPr>
              <w:t>’</w:t>
            </w:r>
            <w:r w:rsidRPr="00A32AF4">
              <w:rPr>
                <w:sz w:val="16"/>
              </w:rPr>
              <w:t>un enfant à charge afin de calculer les prestations projetées.</w:t>
            </w:r>
          </w:p>
        </w:tc>
        <w:tc>
          <w:tcPr>
            <w:tcW w:w="3870" w:type="dxa"/>
            <w:tcBorders>
              <w:bottom w:val="nil"/>
            </w:tcBorders>
            <w:tcMar>
              <w:top w:w="113" w:type="dxa"/>
              <w:bottom w:w="113" w:type="dxa"/>
            </w:tcMar>
          </w:tcPr>
          <w:p w:rsidR="000B5CFC" w:rsidRPr="00A32AF4" w:rsidRDefault="000B5CFC" w:rsidP="00DC0553">
            <w:pPr>
              <w:spacing w:after="120"/>
              <w:rPr>
                <w:sz w:val="16"/>
              </w:rPr>
            </w:pPr>
            <w:r w:rsidRPr="00A32AF4">
              <w:rPr>
                <w:sz w:val="16"/>
              </w:rPr>
              <w:t>Les dépenses communes de personnel comprennent toutes les prestations et tous les avantages autres que le traitement, qui sont prévus par le Statut et Règlement du personnel (allocations familiales, cotisations à l</w:t>
            </w:r>
            <w:r w:rsidR="00E2055A" w:rsidRPr="00A32AF4">
              <w:rPr>
                <w:sz w:val="16"/>
              </w:rPr>
              <w:t>’</w:t>
            </w:r>
            <w:r w:rsidRPr="00A32AF4">
              <w:rPr>
                <w:sz w:val="16"/>
              </w:rPr>
              <w:t>assurance maladie, etc.).  Les dépenses communes de personnel sont appliquées en fonction du niveau de poste sur la base d</w:t>
            </w:r>
            <w:r w:rsidR="00E2055A" w:rsidRPr="00A32AF4">
              <w:rPr>
                <w:sz w:val="16"/>
              </w:rPr>
              <w:t>’</w:t>
            </w:r>
            <w:r w:rsidRPr="00A32AF4">
              <w:rPr>
                <w:sz w:val="16"/>
              </w:rPr>
              <w:t>un schéma historique des dépenses et des projections faites.</w:t>
            </w:r>
          </w:p>
          <w:p w:rsidR="000B5CFC" w:rsidRPr="00A32AF4" w:rsidRDefault="000B5CFC" w:rsidP="00DC0553">
            <w:pPr>
              <w:rPr>
                <w:sz w:val="16"/>
              </w:rPr>
            </w:pPr>
            <w:r w:rsidRPr="00A32AF4">
              <w:rPr>
                <w:sz w:val="16"/>
              </w:rPr>
              <w:t>S</w:t>
            </w:r>
            <w:r w:rsidR="00E2055A" w:rsidRPr="00A32AF4">
              <w:rPr>
                <w:sz w:val="16"/>
              </w:rPr>
              <w:t>’</w:t>
            </w:r>
            <w:r w:rsidRPr="00A32AF4">
              <w:rPr>
                <w:sz w:val="16"/>
              </w:rPr>
              <w:t>agissant des postes vacants, on adopte l</w:t>
            </w:r>
            <w:r w:rsidR="00E2055A" w:rsidRPr="00A32AF4">
              <w:rPr>
                <w:sz w:val="16"/>
              </w:rPr>
              <w:t>’</w:t>
            </w:r>
            <w:r w:rsidRPr="00A32AF4">
              <w:rPr>
                <w:sz w:val="16"/>
              </w:rPr>
              <w:t>hypothèse d</w:t>
            </w:r>
            <w:r w:rsidR="00E2055A" w:rsidRPr="00A32AF4">
              <w:rPr>
                <w:sz w:val="16"/>
              </w:rPr>
              <w:t>’</w:t>
            </w:r>
            <w:r w:rsidRPr="00A32AF4">
              <w:rPr>
                <w:sz w:val="16"/>
              </w:rPr>
              <w:t>un conjoint ou d</w:t>
            </w:r>
            <w:r w:rsidR="00E2055A" w:rsidRPr="00A32AF4">
              <w:rPr>
                <w:sz w:val="16"/>
              </w:rPr>
              <w:t>’</w:t>
            </w:r>
            <w:r w:rsidRPr="00A32AF4">
              <w:rPr>
                <w:sz w:val="16"/>
              </w:rPr>
              <w:t>une conjointe et d</w:t>
            </w:r>
            <w:r w:rsidR="00E2055A" w:rsidRPr="00A32AF4">
              <w:rPr>
                <w:sz w:val="16"/>
              </w:rPr>
              <w:t>’</w:t>
            </w:r>
            <w:r w:rsidRPr="00A32AF4">
              <w:rPr>
                <w:sz w:val="16"/>
              </w:rPr>
              <w:t>un enfant à charge afin de calculer les prestations projetées.</w:t>
            </w:r>
          </w:p>
        </w:tc>
      </w:tr>
      <w:tr w:rsidR="000B5CFC" w:rsidRPr="00A32AF4" w:rsidTr="000B5CFC">
        <w:trPr>
          <w:cantSplit/>
        </w:trPr>
        <w:tc>
          <w:tcPr>
            <w:tcW w:w="1548" w:type="dxa"/>
            <w:tcBorders>
              <w:top w:val="single" w:sz="6" w:space="0" w:color="auto"/>
              <w:left w:val="single" w:sz="6" w:space="0" w:color="auto"/>
              <w:bottom w:val="single" w:sz="6" w:space="0" w:color="auto"/>
              <w:right w:val="single" w:sz="6" w:space="0" w:color="auto"/>
            </w:tcBorders>
            <w:tcMar>
              <w:top w:w="113" w:type="dxa"/>
              <w:bottom w:w="113" w:type="dxa"/>
            </w:tcMar>
          </w:tcPr>
          <w:p w:rsidR="000B5CFC" w:rsidRPr="00A32AF4" w:rsidRDefault="000B5CFC" w:rsidP="00DC0553">
            <w:pPr>
              <w:spacing w:beforeLines="60" w:before="144"/>
              <w:rPr>
                <w:b/>
                <w:sz w:val="18"/>
              </w:rPr>
            </w:pPr>
            <w:r w:rsidRPr="00A32AF4">
              <w:rPr>
                <w:b/>
                <w:sz w:val="18"/>
              </w:rPr>
              <w:t xml:space="preserve">Ajustement </w:t>
            </w:r>
          </w:p>
        </w:tc>
        <w:tc>
          <w:tcPr>
            <w:tcW w:w="3870" w:type="dxa"/>
            <w:tcBorders>
              <w:top w:val="single" w:sz="6" w:space="0" w:color="auto"/>
              <w:left w:val="single" w:sz="6" w:space="0" w:color="auto"/>
              <w:bottom w:val="single" w:sz="6" w:space="0" w:color="auto"/>
              <w:right w:val="single" w:sz="6" w:space="0" w:color="auto"/>
            </w:tcBorders>
            <w:tcMar>
              <w:top w:w="113" w:type="dxa"/>
              <w:bottom w:w="113" w:type="dxa"/>
            </w:tcMar>
          </w:tcPr>
          <w:p w:rsidR="000B5CFC" w:rsidRPr="00A32AF4" w:rsidRDefault="000B5CFC" w:rsidP="00DC0553">
            <w:pPr>
              <w:ind w:left="34"/>
              <w:rPr>
                <w:sz w:val="16"/>
              </w:rPr>
            </w:pPr>
            <w:r w:rsidRPr="00A32AF4">
              <w:rPr>
                <w:sz w:val="16"/>
              </w:rPr>
              <w:t xml:space="preserve">Le coût de tous les postes est ajusté à la baisse pour tenir compte du taux de vacance de 3%.  </w:t>
            </w:r>
          </w:p>
        </w:tc>
        <w:tc>
          <w:tcPr>
            <w:tcW w:w="3870" w:type="dxa"/>
            <w:tcBorders>
              <w:top w:val="single" w:sz="6" w:space="0" w:color="auto"/>
              <w:left w:val="single" w:sz="6" w:space="0" w:color="auto"/>
              <w:bottom w:val="single" w:sz="6" w:space="0" w:color="auto"/>
              <w:right w:val="single" w:sz="6" w:space="0" w:color="auto"/>
            </w:tcBorders>
            <w:tcMar>
              <w:top w:w="113" w:type="dxa"/>
              <w:bottom w:w="113" w:type="dxa"/>
            </w:tcMar>
          </w:tcPr>
          <w:p w:rsidR="000B5CFC" w:rsidRPr="00A32AF4" w:rsidRDefault="000B5CFC" w:rsidP="00DC0553">
            <w:pPr>
              <w:rPr>
                <w:sz w:val="16"/>
              </w:rPr>
            </w:pPr>
            <w:r w:rsidRPr="00A32AF4">
              <w:rPr>
                <w:sz w:val="16"/>
              </w:rPr>
              <w:t>Aucun taux de vacance n</w:t>
            </w:r>
            <w:r w:rsidR="00E2055A" w:rsidRPr="00A32AF4">
              <w:rPr>
                <w:sz w:val="16"/>
              </w:rPr>
              <w:t>’</w:t>
            </w:r>
            <w:r w:rsidRPr="00A32AF4">
              <w:rPr>
                <w:sz w:val="16"/>
              </w:rPr>
              <w:t xml:space="preserve">est appliqué pour les postes temporaires.  </w:t>
            </w:r>
          </w:p>
        </w:tc>
      </w:tr>
      <w:tr w:rsidR="000B5CFC" w:rsidRPr="00A32AF4" w:rsidTr="000B5CFC">
        <w:trPr>
          <w:cantSplit/>
        </w:trPr>
        <w:tc>
          <w:tcPr>
            <w:tcW w:w="1548" w:type="dxa"/>
            <w:tcBorders>
              <w:top w:val="single" w:sz="6" w:space="0" w:color="auto"/>
              <w:left w:val="single" w:sz="6" w:space="0" w:color="auto"/>
              <w:bottom w:val="single" w:sz="6" w:space="0" w:color="auto"/>
              <w:right w:val="single" w:sz="6" w:space="0" w:color="auto"/>
            </w:tcBorders>
            <w:tcMar>
              <w:top w:w="113" w:type="dxa"/>
              <w:bottom w:w="113" w:type="dxa"/>
            </w:tcMar>
          </w:tcPr>
          <w:p w:rsidR="000B5CFC" w:rsidRPr="00A32AF4" w:rsidRDefault="000B5CFC" w:rsidP="00DC0553">
            <w:pPr>
              <w:spacing w:beforeLines="60" w:before="144"/>
              <w:rPr>
                <w:b/>
                <w:sz w:val="18"/>
              </w:rPr>
            </w:pPr>
            <w:r w:rsidRPr="00A32AF4">
              <w:rPr>
                <w:b/>
                <w:sz w:val="18"/>
              </w:rPr>
              <w:t>Provision au titre de la cessation de service et autres dépenses connexes</w:t>
            </w:r>
          </w:p>
        </w:tc>
        <w:tc>
          <w:tcPr>
            <w:tcW w:w="3870" w:type="dxa"/>
            <w:tcBorders>
              <w:top w:val="single" w:sz="6" w:space="0" w:color="auto"/>
              <w:left w:val="single" w:sz="6" w:space="0" w:color="auto"/>
              <w:bottom w:val="single" w:sz="6" w:space="0" w:color="auto"/>
              <w:right w:val="single" w:sz="6" w:space="0" w:color="auto"/>
            </w:tcBorders>
            <w:tcMar>
              <w:top w:w="113" w:type="dxa"/>
              <w:bottom w:w="113" w:type="dxa"/>
            </w:tcMar>
          </w:tcPr>
          <w:p w:rsidR="000B5CFC" w:rsidRPr="00A32AF4" w:rsidRDefault="000B5CFC" w:rsidP="00DC0553">
            <w:pPr>
              <w:spacing w:before="60" w:after="60"/>
              <w:rPr>
                <w:sz w:val="16"/>
              </w:rPr>
            </w:pPr>
            <w:r w:rsidRPr="00A32AF4">
              <w:rPr>
                <w:sz w:val="16"/>
              </w:rPr>
              <w:t>Une provision de 6% est appliquée au coût total pour financer les dépenses liées à la cessation de service et aux diverses prestations après la cessation de service.</w:t>
            </w:r>
          </w:p>
        </w:tc>
        <w:tc>
          <w:tcPr>
            <w:tcW w:w="3870" w:type="dxa"/>
            <w:tcBorders>
              <w:top w:val="single" w:sz="6" w:space="0" w:color="auto"/>
              <w:left w:val="single" w:sz="6" w:space="0" w:color="auto"/>
              <w:bottom w:val="single" w:sz="6" w:space="0" w:color="auto"/>
              <w:right w:val="single" w:sz="6" w:space="0" w:color="auto"/>
            </w:tcBorders>
            <w:tcMar>
              <w:top w:w="113" w:type="dxa"/>
              <w:bottom w:w="113" w:type="dxa"/>
            </w:tcMar>
          </w:tcPr>
          <w:p w:rsidR="000B5CFC" w:rsidRPr="00A32AF4" w:rsidRDefault="000B5CFC" w:rsidP="00DC0553">
            <w:pPr>
              <w:spacing w:before="60" w:after="60"/>
              <w:rPr>
                <w:sz w:val="16"/>
              </w:rPr>
            </w:pPr>
            <w:r w:rsidRPr="00A32AF4">
              <w:rPr>
                <w:sz w:val="16"/>
              </w:rPr>
              <w:t>Une provision de 2% est appliquée au coût total pour financer les dépenses liées à la cessation de service et aux diverses prestations après la cessation de service.</w:t>
            </w:r>
          </w:p>
        </w:tc>
      </w:tr>
    </w:tbl>
    <w:p w:rsidR="000B5CFC" w:rsidRPr="00A32AF4" w:rsidRDefault="000B5CFC" w:rsidP="00DC0553">
      <w:pPr>
        <w:rPr>
          <w:rFonts w:cs="Arial"/>
        </w:rPr>
      </w:pPr>
    </w:p>
    <w:p w:rsidR="000B5CFC" w:rsidRPr="00A32AF4" w:rsidRDefault="000B5CFC" w:rsidP="00DC0553"/>
    <w:p w:rsidR="00F93B76" w:rsidRPr="00A32AF4" w:rsidRDefault="00142569" w:rsidP="00F52E38">
      <w:pPr>
        <w:pStyle w:val="Heading3"/>
        <w:tabs>
          <w:tab w:val="clear" w:pos="2268"/>
        </w:tabs>
        <w:ind w:left="0" w:firstLine="0"/>
      </w:pPr>
      <w:r w:rsidRPr="00A32AF4">
        <w:br w:type="page"/>
      </w:r>
      <w:bookmarkStart w:id="122" w:name="_Toc359246241"/>
      <w:bookmarkStart w:id="123" w:name="_Toc431555491"/>
      <w:r w:rsidRPr="00A32AF4">
        <w:t xml:space="preserve">Appendice D </w:t>
      </w:r>
      <w:r w:rsidR="00B77998" w:rsidRPr="00A32AF4">
        <w:t xml:space="preserve">  </w:t>
      </w:r>
      <w:r w:rsidRPr="00A32AF4">
        <w:br/>
        <w:t>Formules</w:t>
      </w:r>
      <w:bookmarkEnd w:id="115"/>
      <w:bookmarkEnd w:id="116"/>
      <w:bookmarkEnd w:id="117"/>
      <w:bookmarkEnd w:id="118"/>
      <w:r w:rsidRPr="00A32AF4">
        <w:t xml:space="preserve"> de flexibilité</w:t>
      </w:r>
      <w:bookmarkEnd w:id="122"/>
      <w:bookmarkEnd w:id="123"/>
    </w:p>
    <w:p w:rsidR="00F93B76" w:rsidRPr="00A32AF4" w:rsidRDefault="00F93B76" w:rsidP="00DC0553">
      <w:pPr>
        <w:jc w:val="both"/>
      </w:pPr>
    </w:p>
    <w:p w:rsidR="00F93B76" w:rsidRPr="00A32AF4" w:rsidRDefault="00F93B76" w:rsidP="00DC0553">
      <w:pPr>
        <w:jc w:val="both"/>
      </w:pPr>
    </w:p>
    <w:p w:rsidR="00F93B76" w:rsidRPr="00A32AF4" w:rsidRDefault="00142569" w:rsidP="00DC0553">
      <w:pPr>
        <w:jc w:val="both"/>
      </w:pPr>
      <w:r w:rsidRPr="00A32AF4">
        <w:t>GÉNÉRALITÉS</w:t>
      </w:r>
    </w:p>
    <w:p w:rsidR="00F93B76" w:rsidRPr="00A32AF4" w:rsidRDefault="00F93B76" w:rsidP="00DC0553">
      <w:pPr>
        <w:jc w:val="both"/>
      </w:pPr>
    </w:p>
    <w:p w:rsidR="00F93B76" w:rsidRPr="00A32AF4" w:rsidRDefault="00142569" w:rsidP="00DC0553">
      <w:pPr>
        <w:jc w:val="both"/>
      </w:pPr>
      <w:r w:rsidRPr="00A32AF4">
        <w:t>Les formules de flexibilité constituent un mécanisme qui permet d</w:t>
      </w:r>
      <w:r w:rsidR="00E2055A" w:rsidRPr="00A32AF4">
        <w:t>’</w:t>
      </w:r>
      <w:r w:rsidRPr="00A32AF4">
        <w:t xml:space="preserve">ajuster le niveau des ressources financières allouées aux systèmes mondiaux de protection (PCT, système de Madrid et système de </w:t>
      </w:r>
      <w:r w:rsidR="00E2055A" w:rsidRPr="00A32AF4">
        <w:t>La Haye</w:t>
      </w:r>
      <w:r w:rsidRPr="00A32AF4">
        <w:t>) en fonction de variations non budgétées du nombre total de demandes d</w:t>
      </w:r>
      <w:r w:rsidR="00E2055A" w:rsidRPr="00A32AF4">
        <w:t>’</w:t>
      </w:r>
      <w:r w:rsidRPr="00A32AF4">
        <w:t>enregistrement.</w:t>
      </w:r>
    </w:p>
    <w:p w:rsidR="00F93B76" w:rsidRPr="00A32AF4" w:rsidRDefault="00142569" w:rsidP="00DC0553">
      <w:pPr>
        <w:jc w:val="both"/>
      </w:pPr>
      <w:r w:rsidRPr="00A32AF4">
        <w:t xml:space="preserve">Les formules de flexibilité pour les systèmes du PCT, de Madrid et de </w:t>
      </w:r>
      <w:r w:rsidR="00E2055A" w:rsidRPr="00A32AF4">
        <w:t>La Haye</w:t>
      </w:r>
      <w:r w:rsidRPr="00A32AF4">
        <w:t xml:space="preserve"> ont été révisées et approuvées par leurs assemblées respectives, tenues entre le 24 septembre et le 3 octobre 2007.</w:t>
      </w:r>
    </w:p>
    <w:p w:rsidR="00F93B76" w:rsidRPr="00A32AF4" w:rsidRDefault="00F93B76" w:rsidP="00DC0553">
      <w:pPr>
        <w:jc w:val="both"/>
      </w:pPr>
    </w:p>
    <w:p w:rsidR="00F93B76" w:rsidRPr="00A32AF4" w:rsidRDefault="00142569" w:rsidP="00DC0553">
      <w:pPr>
        <w:jc w:val="both"/>
        <w:rPr>
          <w:rFonts w:cs="Arial"/>
        </w:rPr>
      </w:pPr>
      <w:r w:rsidRPr="00A32AF4">
        <w:rPr>
          <w:rFonts w:cs="Arial"/>
        </w:rPr>
        <w:t>SYSTÈME DU PCT</w:t>
      </w:r>
    </w:p>
    <w:p w:rsidR="00F93B76" w:rsidRPr="00A32AF4" w:rsidRDefault="00F93B76" w:rsidP="00DC0553">
      <w:pPr>
        <w:jc w:val="both"/>
        <w:rPr>
          <w:rFonts w:cs="Arial"/>
        </w:rPr>
      </w:pPr>
    </w:p>
    <w:p w:rsidR="00F93B76" w:rsidRPr="00A32AF4" w:rsidRDefault="00142569" w:rsidP="00DC0553">
      <w:pPr>
        <w:jc w:val="both"/>
        <w:rPr>
          <w:rFonts w:cs="Arial"/>
        </w:rPr>
      </w:pPr>
      <w:r w:rsidRPr="00A32AF4">
        <w:rPr>
          <w:rFonts w:cs="Arial"/>
        </w:rPr>
        <w:t>La formule de flexibilité révisée pour le système du PCT est décrite dans le document PCT/A/36/5 et a été approuvée par l</w:t>
      </w:r>
      <w:r w:rsidR="00E2055A" w:rsidRPr="00A32AF4">
        <w:rPr>
          <w:rFonts w:cs="Arial"/>
        </w:rPr>
        <w:t>’</w:t>
      </w:r>
      <w:r w:rsidRPr="00A32AF4">
        <w:rPr>
          <w:rFonts w:cs="Arial"/>
        </w:rPr>
        <w:t>Assemblée de l</w:t>
      </w:r>
      <w:r w:rsidR="00E2055A" w:rsidRPr="00A32AF4">
        <w:rPr>
          <w:rFonts w:cs="Arial"/>
        </w:rPr>
        <w:t>’</w:t>
      </w:r>
      <w:r w:rsidRPr="00A32AF4">
        <w:rPr>
          <w:rFonts w:cs="Arial"/>
        </w:rPr>
        <w:t>Union du PCT, comme il ressort du document PCT/A/36/13.</w:t>
      </w:r>
      <w:r w:rsidR="00087DDF" w:rsidRPr="00A32AF4">
        <w:rPr>
          <w:rFonts w:cs="Arial"/>
        </w:rPr>
        <w:t xml:space="preserve">  </w:t>
      </w:r>
      <w:r w:rsidRPr="00A32AF4">
        <w:rPr>
          <w:rFonts w:cs="Arial"/>
        </w:rPr>
        <w:t>Comme indiqué dans ces documents, la formule de flexibilité du PCT a été révisée compte tenu d</w:t>
      </w:r>
      <w:r w:rsidR="00E2055A" w:rsidRPr="00A32AF4">
        <w:rPr>
          <w:rFonts w:cs="Arial"/>
        </w:rPr>
        <w:t>’</w:t>
      </w:r>
      <w:r w:rsidRPr="00A32AF4">
        <w:rPr>
          <w:rFonts w:cs="Arial"/>
        </w:rPr>
        <w:t>une variation budgétaire de 341 870 francs suisses pour</w:t>
      </w:r>
      <w:r w:rsidR="00FD43E3" w:rsidRPr="00A32AF4">
        <w:rPr>
          <w:rFonts w:cs="Arial"/>
        </w:rPr>
        <w:t> </w:t>
      </w:r>
      <w:r w:rsidRPr="00A32AF4">
        <w:rPr>
          <w:rFonts w:cs="Arial"/>
        </w:rPr>
        <w:t>1000 demandes internationales selon le PCT non</w:t>
      </w:r>
      <w:r w:rsidR="00F1309D" w:rsidRPr="00A32AF4">
        <w:rPr>
          <w:rFonts w:cs="Arial"/>
        </w:rPr>
        <w:t> </w:t>
      </w:r>
      <w:r w:rsidRPr="00A32AF4">
        <w:rPr>
          <w:rFonts w:cs="Arial"/>
        </w:rPr>
        <w:t>budgétées.</w:t>
      </w:r>
      <w:r w:rsidR="00087DDF" w:rsidRPr="00A32AF4">
        <w:rPr>
          <w:rFonts w:cs="Arial"/>
        </w:rPr>
        <w:t xml:space="preserve">  </w:t>
      </w:r>
      <w:r w:rsidRPr="00A32AF4">
        <w:rPr>
          <w:rFonts w:cs="Arial"/>
        </w:rPr>
        <w:t>La formule révisée ne lie plus, comme dans le passé, les variations du nombre de demandes aux variations du nombre de postes.</w:t>
      </w:r>
      <w:r w:rsidR="00087DDF" w:rsidRPr="00A32AF4">
        <w:rPr>
          <w:rFonts w:cs="Arial"/>
        </w:rPr>
        <w:t xml:space="preserve">  </w:t>
      </w:r>
      <w:proofErr w:type="gramStart"/>
      <w:r w:rsidRPr="00A32AF4">
        <w:rPr>
          <w:rFonts w:cs="Arial"/>
        </w:rPr>
        <w:t>Il est plutôt proposé de faire varier le montant total des ressources allouées aux programmes directement concernés, ce qui permet d</w:t>
      </w:r>
      <w:r w:rsidR="00E2055A" w:rsidRPr="00A32AF4">
        <w:rPr>
          <w:rFonts w:cs="Arial"/>
        </w:rPr>
        <w:t>’</w:t>
      </w:r>
      <w:r w:rsidRPr="00A32AF4">
        <w:rPr>
          <w:rFonts w:cs="Arial"/>
        </w:rPr>
        <w:t>utiliser ces ressources tant pour des dépenses de personnel (par exemple, attribution de postes, recrutement d</w:t>
      </w:r>
      <w:r w:rsidR="00E2055A" w:rsidRPr="00A32AF4">
        <w:rPr>
          <w:rFonts w:cs="Arial"/>
        </w:rPr>
        <w:t>’</w:t>
      </w:r>
      <w:r w:rsidRPr="00A32AF4">
        <w:rPr>
          <w:rFonts w:cs="Arial"/>
        </w:rPr>
        <w:t>agents temporaires ou contrats de louage de services) que pour d</w:t>
      </w:r>
      <w:r w:rsidR="00E2055A" w:rsidRPr="00A32AF4">
        <w:rPr>
          <w:rFonts w:cs="Arial"/>
        </w:rPr>
        <w:t>’</w:t>
      </w:r>
      <w:r w:rsidRPr="00A32AF4">
        <w:rPr>
          <w:rFonts w:cs="Arial"/>
        </w:rPr>
        <w:t>autres dépenses non liées au personnel (par exemple, contrats de sous</w:t>
      </w:r>
      <w:r w:rsidR="00EB7F54" w:rsidRPr="00A32AF4">
        <w:rPr>
          <w:rFonts w:cs="Arial"/>
        </w:rPr>
        <w:noBreakHyphen/>
      </w:r>
      <w:r w:rsidRPr="00A32AF4">
        <w:rPr>
          <w:rFonts w:cs="Arial"/>
        </w:rPr>
        <w:t>traitance).Les ressources résultant des ajustements sont allouées à l</w:t>
      </w:r>
      <w:r w:rsidR="00E2055A" w:rsidRPr="00A32AF4">
        <w:rPr>
          <w:rFonts w:cs="Arial"/>
        </w:rPr>
        <w:t>’</w:t>
      </w:r>
      <w:r w:rsidRPr="00A32AF4">
        <w:rPr>
          <w:rFonts w:cs="Arial"/>
        </w:rPr>
        <w:t>administration du système du PCT et aux services d</w:t>
      </w:r>
      <w:r w:rsidR="00E2055A" w:rsidRPr="00A32AF4">
        <w:rPr>
          <w:rFonts w:cs="Arial"/>
        </w:rPr>
        <w:t>’</w:t>
      </w:r>
      <w:r w:rsidRPr="00A32AF4">
        <w:rPr>
          <w:rFonts w:cs="Arial"/>
        </w:rPr>
        <w:t>appui selon un ratio de 87,5% et 12,5% respectivement.</w:t>
      </w:r>
      <w:proofErr w:type="gramEnd"/>
    </w:p>
    <w:p w:rsidR="00F93B76" w:rsidRPr="00A32AF4" w:rsidRDefault="00F93B76" w:rsidP="00DC0553">
      <w:pPr>
        <w:jc w:val="both"/>
        <w:rPr>
          <w:rFonts w:cs="Arial"/>
        </w:rPr>
      </w:pPr>
    </w:p>
    <w:p w:rsidR="00F93B76" w:rsidRPr="00A32AF4" w:rsidRDefault="00142569" w:rsidP="00DC0553">
      <w:pPr>
        <w:jc w:val="both"/>
      </w:pPr>
      <w:r w:rsidRPr="00A32AF4">
        <w:t>SYSTÈME DE MADRID</w:t>
      </w:r>
    </w:p>
    <w:p w:rsidR="00F93B76" w:rsidRPr="00A32AF4" w:rsidRDefault="00F93B76" w:rsidP="00DC0553">
      <w:pPr>
        <w:jc w:val="both"/>
        <w:rPr>
          <w:rFonts w:cs="Arial"/>
        </w:rPr>
      </w:pPr>
    </w:p>
    <w:p w:rsidR="00F93B76" w:rsidRPr="00A32AF4" w:rsidRDefault="00142569" w:rsidP="00DC0553">
      <w:pPr>
        <w:jc w:val="both"/>
        <w:rPr>
          <w:rFonts w:cs="Arial"/>
        </w:rPr>
      </w:pPr>
      <w:r w:rsidRPr="00A32AF4">
        <w:rPr>
          <w:rFonts w:cs="Arial"/>
        </w:rPr>
        <w:t>La formule de flexibilité révisée pour le système de Madrid est décrite dans le document MM/A/38/5 et a été approuvée par l</w:t>
      </w:r>
      <w:r w:rsidR="00E2055A" w:rsidRPr="00A32AF4">
        <w:rPr>
          <w:rFonts w:cs="Arial"/>
        </w:rPr>
        <w:t>’</w:t>
      </w:r>
      <w:r w:rsidRPr="00A32AF4">
        <w:rPr>
          <w:rFonts w:cs="Arial"/>
        </w:rPr>
        <w:t>Assemblée de l</w:t>
      </w:r>
      <w:r w:rsidR="00E2055A" w:rsidRPr="00A32AF4">
        <w:rPr>
          <w:rFonts w:cs="Arial"/>
        </w:rPr>
        <w:t>’</w:t>
      </w:r>
      <w:r w:rsidRPr="00A32AF4">
        <w:rPr>
          <w:rFonts w:cs="Arial"/>
        </w:rPr>
        <w:t>Union de Madrid, comme il ressort du document MM/A/38/6.</w:t>
      </w:r>
      <w:r w:rsidR="00087DDF" w:rsidRPr="00A32AF4">
        <w:rPr>
          <w:rFonts w:cs="Arial"/>
        </w:rPr>
        <w:t xml:space="preserve">  </w:t>
      </w:r>
      <w:r w:rsidRPr="00A32AF4">
        <w:rPr>
          <w:rFonts w:cs="Arial"/>
        </w:rPr>
        <w:t>La nouvelle formule permet de procéder à l</w:t>
      </w:r>
      <w:r w:rsidR="00E2055A" w:rsidRPr="00A32AF4">
        <w:rPr>
          <w:rFonts w:cs="Arial"/>
        </w:rPr>
        <w:t>’</w:t>
      </w:r>
      <w:r w:rsidRPr="00A32AF4">
        <w:rPr>
          <w:rFonts w:cs="Arial"/>
        </w:rPr>
        <w:t>ajustement du budget de l</w:t>
      </w:r>
      <w:r w:rsidR="00E2055A" w:rsidRPr="00A32AF4">
        <w:rPr>
          <w:rFonts w:cs="Arial"/>
        </w:rPr>
        <w:t>’</w:t>
      </w:r>
      <w:r w:rsidRPr="00A32AF4">
        <w:rPr>
          <w:rFonts w:cs="Arial"/>
        </w:rPr>
        <w:t>Union de Madrid pour un montant de 197 060 francs suisses pour chaque variation de 500 enregistrements ou renouvellements inscrits par rapport aux prévisions initiales approuvées.</w:t>
      </w:r>
      <w:r w:rsidR="00087DDF" w:rsidRPr="00A32AF4">
        <w:rPr>
          <w:rFonts w:cs="Arial"/>
        </w:rPr>
        <w:t xml:space="preserve">  </w:t>
      </w:r>
      <w:r w:rsidRPr="00A32AF4">
        <w:rPr>
          <w:rFonts w:cs="Arial"/>
        </w:rPr>
        <w:t>La formule ne lie plus l</w:t>
      </w:r>
      <w:r w:rsidR="00E2055A" w:rsidRPr="00A32AF4">
        <w:rPr>
          <w:rFonts w:cs="Arial"/>
        </w:rPr>
        <w:t>’</w:t>
      </w:r>
      <w:r w:rsidRPr="00A32AF4">
        <w:rPr>
          <w:rFonts w:cs="Arial"/>
        </w:rPr>
        <w:t>ajustement uniquement au nombre de membres du personnel, mais permet plutôt d</w:t>
      </w:r>
      <w:r w:rsidR="00E2055A" w:rsidRPr="00A32AF4">
        <w:rPr>
          <w:rFonts w:cs="Arial"/>
        </w:rPr>
        <w:t>’</w:t>
      </w:r>
      <w:r w:rsidRPr="00A32AF4">
        <w:rPr>
          <w:rFonts w:cs="Arial"/>
        </w:rPr>
        <w:t>opérer des ajustements dans les ressources financières globales allouées aux programmes directement concernés par le traitement des demandes.</w:t>
      </w:r>
      <w:r w:rsidR="00087DDF" w:rsidRPr="00A32AF4">
        <w:rPr>
          <w:rFonts w:cs="Arial"/>
        </w:rPr>
        <w:t xml:space="preserve">  </w:t>
      </w:r>
      <w:r w:rsidRPr="00A32AF4">
        <w:rPr>
          <w:rFonts w:cs="Arial"/>
        </w:rPr>
        <w:t>Ces ressources peuvent être utilisées soit pour des dépenses de personnel (postes, agents temporaires, etc.) soit pour des dépenses non liées au personnel (par exemple, contrats de sous</w:t>
      </w:r>
      <w:r w:rsidR="00EB7F54" w:rsidRPr="00A32AF4">
        <w:rPr>
          <w:rFonts w:cs="Arial"/>
        </w:rPr>
        <w:noBreakHyphen/>
      </w:r>
      <w:r w:rsidRPr="00A32AF4">
        <w:rPr>
          <w:rFonts w:cs="Arial"/>
        </w:rPr>
        <w:t>traitance).</w:t>
      </w:r>
      <w:r w:rsidR="00087DDF" w:rsidRPr="00A32AF4">
        <w:rPr>
          <w:rFonts w:cs="Arial"/>
        </w:rPr>
        <w:t xml:space="preserve">  </w:t>
      </w:r>
      <w:r w:rsidRPr="00A32AF4">
        <w:rPr>
          <w:rFonts w:cs="Arial"/>
        </w:rPr>
        <w:t>Les ressources résultant des ajustements sont allouées à l</w:t>
      </w:r>
      <w:r w:rsidR="00E2055A" w:rsidRPr="00A32AF4">
        <w:rPr>
          <w:rFonts w:cs="Arial"/>
        </w:rPr>
        <w:t>’</w:t>
      </w:r>
      <w:r w:rsidRPr="00A32AF4">
        <w:rPr>
          <w:rFonts w:cs="Arial"/>
        </w:rPr>
        <w:t>administration du Service d</w:t>
      </w:r>
      <w:r w:rsidR="00E2055A" w:rsidRPr="00A32AF4">
        <w:rPr>
          <w:rFonts w:cs="Arial"/>
        </w:rPr>
        <w:t>’</w:t>
      </w:r>
      <w:r w:rsidRPr="00A32AF4">
        <w:rPr>
          <w:rFonts w:cs="Arial"/>
        </w:rPr>
        <w:t>enregistrement international des marques et aux services d</w:t>
      </w:r>
      <w:r w:rsidR="00E2055A" w:rsidRPr="00A32AF4">
        <w:rPr>
          <w:rFonts w:cs="Arial"/>
        </w:rPr>
        <w:t>’</w:t>
      </w:r>
      <w:r w:rsidRPr="00A32AF4">
        <w:rPr>
          <w:rFonts w:cs="Arial"/>
        </w:rPr>
        <w:t>appui selon un ratio de 87,5% et 12,5% respectivement.</w:t>
      </w:r>
    </w:p>
    <w:p w:rsidR="00F93B76" w:rsidRPr="00A32AF4" w:rsidRDefault="00F93B76" w:rsidP="00DC0553">
      <w:pPr>
        <w:jc w:val="both"/>
        <w:rPr>
          <w:rFonts w:cs="Arial"/>
        </w:rPr>
      </w:pPr>
    </w:p>
    <w:p w:rsidR="00F93B76" w:rsidRPr="00A32AF4" w:rsidRDefault="00142569" w:rsidP="00DC0553">
      <w:pPr>
        <w:jc w:val="both"/>
      </w:pPr>
      <w:r w:rsidRPr="00A32AF4">
        <w:t xml:space="preserve">SYSTÈME DE </w:t>
      </w:r>
      <w:r w:rsidR="00E2055A" w:rsidRPr="00A32AF4">
        <w:t>LA HAYE</w:t>
      </w:r>
    </w:p>
    <w:p w:rsidR="00F93B76" w:rsidRPr="00A32AF4" w:rsidRDefault="00F93B76" w:rsidP="00DC0553">
      <w:pPr>
        <w:jc w:val="both"/>
        <w:rPr>
          <w:rFonts w:cs="Arial"/>
        </w:rPr>
      </w:pPr>
    </w:p>
    <w:p w:rsidR="00F93B76" w:rsidRPr="00A32AF4" w:rsidRDefault="00142569" w:rsidP="00DC0553">
      <w:pPr>
        <w:jc w:val="both"/>
        <w:rPr>
          <w:rFonts w:cs="Arial"/>
        </w:rPr>
      </w:pPr>
      <w:r w:rsidRPr="00A32AF4">
        <w:rPr>
          <w:rFonts w:cs="Arial"/>
        </w:rPr>
        <w:t xml:space="preserve">La formule de flexibilité révisée pour le système de </w:t>
      </w:r>
      <w:r w:rsidR="00E2055A" w:rsidRPr="00A32AF4">
        <w:rPr>
          <w:rFonts w:cs="Arial"/>
        </w:rPr>
        <w:t>La Haye</w:t>
      </w:r>
      <w:r w:rsidRPr="00A32AF4">
        <w:rPr>
          <w:rFonts w:cs="Arial"/>
        </w:rPr>
        <w:t xml:space="preserve"> est décrite dans le document H/A/24/3 et a été approuvée par l</w:t>
      </w:r>
      <w:r w:rsidR="00E2055A" w:rsidRPr="00A32AF4">
        <w:rPr>
          <w:rFonts w:cs="Arial"/>
        </w:rPr>
        <w:t>’</w:t>
      </w:r>
      <w:r w:rsidRPr="00A32AF4">
        <w:rPr>
          <w:rFonts w:cs="Arial"/>
        </w:rPr>
        <w:t>Assemblée de l</w:t>
      </w:r>
      <w:r w:rsidR="00E2055A" w:rsidRPr="00A32AF4">
        <w:rPr>
          <w:rFonts w:cs="Arial"/>
        </w:rPr>
        <w:t>’</w:t>
      </w:r>
      <w:r w:rsidRPr="00A32AF4">
        <w:rPr>
          <w:rFonts w:cs="Arial"/>
        </w:rPr>
        <w:t xml:space="preserve">Union de </w:t>
      </w:r>
      <w:r w:rsidR="00E2055A" w:rsidRPr="00A32AF4">
        <w:rPr>
          <w:rFonts w:cs="Arial"/>
        </w:rPr>
        <w:t>La Haye</w:t>
      </w:r>
      <w:r w:rsidRPr="00A32AF4">
        <w:rPr>
          <w:rFonts w:cs="Arial"/>
        </w:rPr>
        <w:t>, comme il ressort du document H/A/24/4.</w:t>
      </w:r>
      <w:r w:rsidR="00087DDF" w:rsidRPr="00A32AF4">
        <w:rPr>
          <w:rFonts w:cs="Arial"/>
        </w:rPr>
        <w:t xml:space="preserve">  </w:t>
      </w:r>
      <w:r w:rsidRPr="00A32AF4">
        <w:rPr>
          <w:rFonts w:cs="Arial"/>
        </w:rPr>
        <w:t>La nouvelle formule permet de procéder à l</w:t>
      </w:r>
      <w:r w:rsidR="00E2055A" w:rsidRPr="00A32AF4">
        <w:rPr>
          <w:rFonts w:cs="Arial"/>
        </w:rPr>
        <w:t>’</w:t>
      </w:r>
      <w:r w:rsidRPr="00A32AF4">
        <w:rPr>
          <w:rFonts w:cs="Arial"/>
        </w:rPr>
        <w:t>ajustement du budget de l</w:t>
      </w:r>
      <w:r w:rsidR="00E2055A" w:rsidRPr="00A32AF4">
        <w:rPr>
          <w:rFonts w:cs="Arial"/>
        </w:rPr>
        <w:t>’</w:t>
      </w:r>
      <w:r w:rsidRPr="00A32AF4">
        <w:rPr>
          <w:rFonts w:cs="Arial"/>
        </w:rPr>
        <w:t xml:space="preserve">Union de </w:t>
      </w:r>
      <w:r w:rsidR="00E2055A" w:rsidRPr="00A32AF4">
        <w:rPr>
          <w:rFonts w:cs="Arial"/>
        </w:rPr>
        <w:t>La Haye</w:t>
      </w:r>
      <w:r w:rsidRPr="00A32AF4">
        <w:rPr>
          <w:rFonts w:cs="Arial"/>
        </w:rPr>
        <w:t xml:space="preserve"> pour un montant de 99 024 francs suisses pour chaque variation de 300 enregistrements ou renouvellements inscrits par le Service d</w:t>
      </w:r>
      <w:r w:rsidR="00E2055A" w:rsidRPr="00A32AF4">
        <w:rPr>
          <w:rFonts w:cs="Arial"/>
        </w:rPr>
        <w:t>’</w:t>
      </w:r>
      <w:r w:rsidRPr="00A32AF4">
        <w:rPr>
          <w:rFonts w:cs="Arial"/>
        </w:rPr>
        <w:t>enregistrement de l</w:t>
      </w:r>
      <w:r w:rsidR="00E2055A" w:rsidRPr="00A32AF4">
        <w:rPr>
          <w:rFonts w:cs="Arial"/>
        </w:rPr>
        <w:t>’</w:t>
      </w:r>
      <w:r w:rsidRPr="00A32AF4">
        <w:rPr>
          <w:rFonts w:cs="Arial"/>
        </w:rPr>
        <w:t xml:space="preserve">Union de </w:t>
      </w:r>
      <w:r w:rsidR="00E2055A" w:rsidRPr="00A32AF4">
        <w:rPr>
          <w:rFonts w:cs="Arial"/>
        </w:rPr>
        <w:t>La Haye</w:t>
      </w:r>
      <w:r w:rsidRPr="00A32AF4">
        <w:rPr>
          <w:rFonts w:cs="Arial"/>
        </w:rPr>
        <w:t xml:space="preserve"> par rapport aux prévisions initiales approuvées.</w:t>
      </w:r>
      <w:r w:rsidR="00087DDF" w:rsidRPr="00A32AF4">
        <w:rPr>
          <w:rFonts w:cs="Arial"/>
        </w:rPr>
        <w:t xml:space="preserve">  </w:t>
      </w:r>
      <w:r w:rsidRPr="00A32AF4">
        <w:rPr>
          <w:rFonts w:cs="Arial"/>
        </w:rPr>
        <w:t>Les ressources peuvent être utilisées soit pour des dépenses de personnel soit pour des dépenses non liées au personnel, et elles sont allouées à l</w:t>
      </w:r>
      <w:r w:rsidR="00E2055A" w:rsidRPr="00A32AF4">
        <w:rPr>
          <w:rFonts w:cs="Arial"/>
        </w:rPr>
        <w:t>’</w:t>
      </w:r>
      <w:r w:rsidRPr="00A32AF4">
        <w:rPr>
          <w:rFonts w:cs="Arial"/>
        </w:rPr>
        <w:t>administration du Service d</w:t>
      </w:r>
      <w:r w:rsidR="00E2055A" w:rsidRPr="00A32AF4">
        <w:rPr>
          <w:rFonts w:cs="Arial"/>
        </w:rPr>
        <w:t>’</w:t>
      </w:r>
      <w:r w:rsidRPr="00A32AF4">
        <w:rPr>
          <w:rFonts w:cs="Arial"/>
        </w:rPr>
        <w:t>enregistrement de l</w:t>
      </w:r>
      <w:r w:rsidR="00E2055A" w:rsidRPr="00A32AF4">
        <w:rPr>
          <w:rFonts w:cs="Arial"/>
        </w:rPr>
        <w:t>’</w:t>
      </w:r>
      <w:r w:rsidRPr="00A32AF4">
        <w:rPr>
          <w:rFonts w:cs="Arial"/>
        </w:rPr>
        <w:t xml:space="preserve">Union de </w:t>
      </w:r>
      <w:r w:rsidR="00E2055A" w:rsidRPr="00A32AF4">
        <w:rPr>
          <w:rFonts w:cs="Arial"/>
        </w:rPr>
        <w:t>La Haye</w:t>
      </w:r>
      <w:r w:rsidRPr="00A32AF4">
        <w:rPr>
          <w:rFonts w:cs="Arial"/>
        </w:rPr>
        <w:t xml:space="preserve"> et aux services d</w:t>
      </w:r>
      <w:r w:rsidR="00E2055A" w:rsidRPr="00A32AF4">
        <w:rPr>
          <w:rFonts w:cs="Arial"/>
        </w:rPr>
        <w:t>’</w:t>
      </w:r>
      <w:r w:rsidRPr="00A32AF4">
        <w:rPr>
          <w:rFonts w:cs="Arial"/>
        </w:rPr>
        <w:t>appui selon un ratio de 87,5% et 12,5% respectivement.</w:t>
      </w:r>
    </w:p>
    <w:p w:rsidR="00F93B76" w:rsidRPr="00A32AF4" w:rsidRDefault="00F93B76" w:rsidP="00DC0553">
      <w:pPr>
        <w:jc w:val="both"/>
        <w:rPr>
          <w:rFonts w:cs="Arial"/>
        </w:rPr>
      </w:pPr>
    </w:p>
    <w:p w:rsidR="00F93B76" w:rsidRPr="00A32AF4" w:rsidRDefault="00F93B76" w:rsidP="00DC0553">
      <w:pPr>
        <w:jc w:val="both"/>
        <w:rPr>
          <w:rFonts w:cs="Arial"/>
        </w:rPr>
      </w:pPr>
    </w:p>
    <w:p w:rsidR="00F93B76" w:rsidRPr="00A32AF4" w:rsidRDefault="00F93B76" w:rsidP="00DC0553">
      <w:pPr>
        <w:jc w:val="right"/>
        <w:rPr>
          <w:rFonts w:cs="Arial"/>
        </w:rPr>
      </w:pPr>
    </w:p>
    <w:p w:rsidR="00F93B76" w:rsidRPr="00A32AF4" w:rsidRDefault="00142569" w:rsidP="00F52E38">
      <w:pPr>
        <w:pStyle w:val="Heading3"/>
        <w:ind w:left="0" w:firstLine="0"/>
      </w:pPr>
      <w:r w:rsidRPr="00A32AF4">
        <w:br w:type="page"/>
      </w:r>
      <w:bookmarkStart w:id="124" w:name="_Toc293334854"/>
      <w:bookmarkStart w:id="125" w:name="_Toc298920436"/>
      <w:bookmarkStart w:id="126" w:name="_Toc310950817"/>
      <w:bookmarkStart w:id="127" w:name="_Toc356567803"/>
      <w:bookmarkStart w:id="128" w:name="_Toc359246242"/>
      <w:bookmarkStart w:id="129" w:name="_Toc431555492"/>
      <w:r w:rsidRPr="00A32AF4">
        <w:t>Appendice E</w:t>
      </w:r>
      <w:r w:rsidR="00B77998" w:rsidRPr="00A32AF4">
        <w:t xml:space="preserve">  </w:t>
      </w:r>
      <w:r w:rsidRPr="00A32AF4">
        <w:t xml:space="preserve"> </w:t>
      </w:r>
      <w:r w:rsidRPr="00A32AF4">
        <w:br/>
        <w:t>Sigles utilisés dans le présent document</w:t>
      </w:r>
      <w:bookmarkEnd w:id="124"/>
      <w:bookmarkEnd w:id="125"/>
      <w:bookmarkEnd w:id="126"/>
      <w:bookmarkEnd w:id="127"/>
      <w:bookmarkEnd w:id="128"/>
      <w:bookmarkEnd w:id="129"/>
    </w:p>
    <w:p w:rsidR="005A4D83" w:rsidRPr="00A32AF4" w:rsidRDefault="005A4D83" w:rsidP="00DC0553"/>
    <w:tbl>
      <w:tblPr>
        <w:tblW w:w="0" w:type="auto"/>
        <w:tblLook w:val="04A0" w:firstRow="1" w:lastRow="0" w:firstColumn="1" w:lastColumn="0" w:noHBand="0" w:noVBand="1"/>
      </w:tblPr>
      <w:tblGrid>
        <w:gridCol w:w="1384"/>
        <w:gridCol w:w="7827"/>
      </w:tblGrid>
      <w:tr w:rsidR="00142569" w:rsidRPr="00A32AF4" w:rsidTr="00477D27">
        <w:tc>
          <w:tcPr>
            <w:tcW w:w="1384" w:type="dxa"/>
            <w:shd w:val="clear" w:color="auto" w:fill="auto"/>
          </w:tcPr>
          <w:p w:rsidR="00142569" w:rsidRPr="00A32AF4" w:rsidRDefault="00801C81" w:rsidP="00DC0553">
            <w:pPr>
              <w:rPr>
                <w:rFonts w:eastAsia="Batang"/>
                <w:lang w:eastAsia="ko-KR"/>
              </w:rPr>
            </w:pPr>
            <w:r w:rsidRPr="00A32AF4">
              <w:rPr>
                <w:rFonts w:eastAsia="Batang"/>
                <w:b/>
                <w:lang w:eastAsia="ko-KR"/>
              </w:rPr>
              <w:t>A</w:t>
            </w:r>
            <w:r w:rsidRPr="00A32AF4">
              <w:rPr>
                <w:rFonts w:eastAsia="Batang"/>
                <w:lang w:eastAsia="ko-KR"/>
              </w:rPr>
              <w:t>BC</w:t>
            </w:r>
          </w:p>
        </w:tc>
        <w:tc>
          <w:tcPr>
            <w:tcW w:w="7827" w:type="dxa"/>
            <w:shd w:val="clear" w:color="auto" w:fill="auto"/>
          </w:tcPr>
          <w:p w:rsidR="00142569" w:rsidRPr="00A32AF4" w:rsidRDefault="00801C81" w:rsidP="00DC0553">
            <w:pPr>
              <w:rPr>
                <w:rFonts w:eastAsia="Batang"/>
                <w:lang w:eastAsia="ko-KR"/>
              </w:rPr>
            </w:pPr>
            <w:r w:rsidRPr="00A32AF4">
              <w:t>Consortium pour des livres accessibles</w:t>
            </w:r>
          </w:p>
        </w:tc>
      </w:tr>
      <w:tr w:rsidR="00801C81" w:rsidRPr="00A32AF4" w:rsidTr="00477D27">
        <w:tc>
          <w:tcPr>
            <w:tcW w:w="1384" w:type="dxa"/>
            <w:shd w:val="clear" w:color="auto" w:fill="auto"/>
          </w:tcPr>
          <w:p w:rsidR="00801C81" w:rsidRPr="00A32AF4" w:rsidRDefault="00801C81" w:rsidP="005D3E25">
            <w:pPr>
              <w:rPr>
                <w:rFonts w:eastAsia="Batang"/>
                <w:lang w:eastAsia="ko-KR"/>
              </w:rPr>
            </w:pPr>
            <w:r w:rsidRPr="00A32AF4">
              <w:rPr>
                <w:rFonts w:eastAsia="Batang"/>
                <w:lang w:eastAsia="ko-KR"/>
              </w:rPr>
              <w:t xml:space="preserve">ACE </w:t>
            </w:r>
          </w:p>
        </w:tc>
        <w:tc>
          <w:tcPr>
            <w:tcW w:w="7827" w:type="dxa"/>
            <w:shd w:val="clear" w:color="auto" w:fill="auto"/>
          </w:tcPr>
          <w:p w:rsidR="00801C81" w:rsidRPr="00A32AF4" w:rsidRDefault="00801C81" w:rsidP="005D3E25">
            <w:pPr>
              <w:rPr>
                <w:rFonts w:eastAsia="Batang"/>
                <w:lang w:eastAsia="ko-KR"/>
              </w:rPr>
            </w:pPr>
            <w:r w:rsidRPr="00A32AF4">
              <w:rPr>
                <w:rFonts w:eastAsia="Batang"/>
                <w:lang w:eastAsia="ko-KR"/>
              </w:rPr>
              <w:t>Comité consultatif sur l</w:t>
            </w:r>
            <w:r w:rsidR="00E2055A" w:rsidRPr="00A32AF4">
              <w:rPr>
                <w:rFonts w:eastAsia="Batang"/>
                <w:lang w:eastAsia="ko-KR"/>
              </w:rPr>
              <w:t>’</w:t>
            </w:r>
            <w:r w:rsidRPr="00A32AF4">
              <w:rPr>
                <w:rFonts w:eastAsia="Batang"/>
                <w:lang w:eastAsia="ko-KR"/>
              </w:rPr>
              <w:t>application des droits</w:t>
            </w:r>
          </w:p>
        </w:tc>
      </w:tr>
      <w:tr w:rsidR="00801C81" w:rsidRPr="00A32AF4" w:rsidTr="00477D27">
        <w:tc>
          <w:tcPr>
            <w:tcW w:w="1384" w:type="dxa"/>
            <w:shd w:val="clear" w:color="auto" w:fill="auto"/>
          </w:tcPr>
          <w:p w:rsidR="00801C81" w:rsidRPr="00A32AF4" w:rsidRDefault="00801C81" w:rsidP="00DC0553">
            <w:pPr>
              <w:rPr>
                <w:rFonts w:eastAsia="Batang"/>
                <w:lang w:eastAsia="ko-KR"/>
              </w:rPr>
            </w:pPr>
            <w:r w:rsidRPr="00A32AF4">
              <w:rPr>
                <w:rFonts w:eastAsia="Batang"/>
                <w:lang w:eastAsia="ko-KR"/>
              </w:rPr>
              <w:t xml:space="preserve">AGICOA </w:t>
            </w:r>
          </w:p>
        </w:tc>
        <w:tc>
          <w:tcPr>
            <w:tcW w:w="7827" w:type="dxa"/>
            <w:shd w:val="clear" w:color="auto" w:fill="auto"/>
          </w:tcPr>
          <w:p w:rsidR="00801C81" w:rsidRPr="00A32AF4" w:rsidRDefault="00801C81" w:rsidP="00DC0553">
            <w:pPr>
              <w:rPr>
                <w:rFonts w:eastAsia="Batang"/>
                <w:lang w:eastAsia="ko-KR"/>
              </w:rPr>
            </w:pPr>
            <w:r w:rsidRPr="00A32AF4">
              <w:rPr>
                <w:rFonts w:eastAsia="Batang"/>
                <w:lang w:eastAsia="ko-KR"/>
              </w:rPr>
              <w:t>Association de gestion internationale collective des œuvres audiovisuelles</w:t>
            </w:r>
          </w:p>
        </w:tc>
      </w:tr>
      <w:tr w:rsidR="00801C81" w:rsidRPr="00A32AF4" w:rsidTr="00477D27">
        <w:tc>
          <w:tcPr>
            <w:tcW w:w="1384" w:type="dxa"/>
            <w:shd w:val="clear" w:color="auto" w:fill="auto"/>
          </w:tcPr>
          <w:p w:rsidR="00801C81" w:rsidRPr="00A32AF4" w:rsidRDefault="00801C81" w:rsidP="00DC0553">
            <w:pPr>
              <w:rPr>
                <w:rFonts w:eastAsia="Batang"/>
                <w:lang w:eastAsia="ko-KR"/>
              </w:rPr>
            </w:pPr>
            <w:r w:rsidRPr="00A32AF4">
              <w:rPr>
                <w:rFonts w:eastAsia="Batang"/>
                <w:lang w:eastAsia="ko-KR"/>
              </w:rPr>
              <w:t>AIMS</w:t>
            </w:r>
          </w:p>
        </w:tc>
        <w:tc>
          <w:tcPr>
            <w:tcW w:w="7827" w:type="dxa"/>
            <w:shd w:val="clear" w:color="auto" w:fill="auto"/>
          </w:tcPr>
          <w:p w:rsidR="00801C81" w:rsidRPr="00A32AF4" w:rsidRDefault="00801C81" w:rsidP="00DC0553">
            <w:pPr>
              <w:rPr>
                <w:rFonts w:eastAsia="Batang"/>
                <w:lang w:eastAsia="ko-KR"/>
              </w:rPr>
            </w:pPr>
            <w:r w:rsidRPr="00A32AF4">
              <w:rPr>
                <w:rFonts w:eastAsia="Batang"/>
                <w:lang w:eastAsia="ko-KR"/>
              </w:rPr>
              <w:t>système de gestion de l</w:t>
            </w:r>
            <w:r w:rsidR="00E2055A" w:rsidRPr="00A32AF4">
              <w:rPr>
                <w:rFonts w:eastAsia="Batang"/>
                <w:lang w:eastAsia="ko-KR"/>
              </w:rPr>
              <w:t>’</w:t>
            </w:r>
            <w:r w:rsidRPr="00A32AF4">
              <w:rPr>
                <w:rFonts w:eastAsia="Batang"/>
                <w:lang w:eastAsia="ko-KR"/>
              </w:rPr>
              <w:t>information administrative</w:t>
            </w:r>
          </w:p>
        </w:tc>
      </w:tr>
      <w:tr w:rsidR="00C46B83" w:rsidRPr="00A32AF4" w:rsidTr="00477D27">
        <w:tc>
          <w:tcPr>
            <w:tcW w:w="1384" w:type="dxa"/>
            <w:shd w:val="clear" w:color="auto" w:fill="auto"/>
          </w:tcPr>
          <w:p w:rsidR="00C46B83" w:rsidRPr="00A32AF4" w:rsidRDefault="00C46B83" w:rsidP="00DC0553">
            <w:pPr>
              <w:rPr>
                <w:rFonts w:eastAsia="Batang"/>
                <w:lang w:eastAsia="ko-KR"/>
              </w:rPr>
            </w:pPr>
            <w:r w:rsidRPr="00A32AF4">
              <w:rPr>
                <w:rFonts w:eastAsia="Batang"/>
                <w:lang w:eastAsia="ko-KR"/>
              </w:rPr>
              <w:t>AIPMS</w:t>
            </w:r>
          </w:p>
        </w:tc>
        <w:tc>
          <w:tcPr>
            <w:tcW w:w="7827" w:type="dxa"/>
            <w:shd w:val="clear" w:color="auto" w:fill="auto"/>
          </w:tcPr>
          <w:p w:rsidR="00C46B83" w:rsidRPr="00A32AF4" w:rsidRDefault="00C46B83" w:rsidP="00DC0553">
            <w:pPr>
              <w:rPr>
                <w:rFonts w:eastAsia="Batang"/>
                <w:lang w:eastAsia="ko-KR"/>
              </w:rPr>
            </w:pPr>
            <w:r w:rsidRPr="00A32AF4">
              <w:rPr>
                <w:rFonts w:eastAsia="Batang"/>
                <w:lang w:eastAsia="ko-KR"/>
              </w:rPr>
              <w:t>Système automatisé arabe de gestion de la propriété intellectuelle</w:t>
            </w:r>
          </w:p>
        </w:tc>
      </w:tr>
      <w:tr w:rsidR="00C46B83" w:rsidRPr="00A32AF4" w:rsidTr="00477D27">
        <w:tc>
          <w:tcPr>
            <w:tcW w:w="1384" w:type="dxa"/>
            <w:shd w:val="clear" w:color="auto" w:fill="auto"/>
          </w:tcPr>
          <w:p w:rsidR="00C46B83" w:rsidRPr="00A32AF4" w:rsidRDefault="00C46B83" w:rsidP="00DC0553">
            <w:pPr>
              <w:rPr>
                <w:rFonts w:eastAsia="Batang"/>
                <w:lang w:eastAsia="ko-KR"/>
              </w:rPr>
            </w:pPr>
            <w:r w:rsidRPr="00A32AF4">
              <w:rPr>
                <w:rFonts w:eastAsia="Batang"/>
                <w:lang w:eastAsia="ko-KR"/>
              </w:rPr>
              <w:t>aRDi</w:t>
            </w:r>
          </w:p>
        </w:tc>
        <w:tc>
          <w:tcPr>
            <w:tcW w:w="7827" w:type="dxa"/>
            <w:shd w:val="clear" w:color="auto" w:fill="auto"/>
          </w:tcPr>
          <w:p w:rsidR="00C46B83" w:rsidRPr="00A32AF4" w:rsidRDefault="00C46B83" w:rsidP="00DC0553">
            <w:pPr>
              <w:rPr>
                <w:rFonts w:eastAsia="Batang"/>
                <w:lang w:eastAsia="ko-KR"/>
              </w:rPr>
            </w:pPr>
            <w:r w:rsidRPr="00A32AF4">
              <w:rPr>
                <w:rFonts w:eastAsia="Batang"/>
                <w:lang w:eastAsia="ko-KR"/>
              </w:rPr>
              <w:t>Accès à la recherche pour le développement et l</w:t>
            </w:r>
            <w:r w:rsidR="00E2055A" w:rsidRPr="00A32AF4">
              <w:rPr>
                <w:rFonts w:eastAsia="Batang"/>
                <w:lang w:eastAsia="ko-KR"/>
              </w:rPr>
              <w:t>’</w:t>
            </w:r>
            <w:r w:rsidRPr="00A32AF4">
              <w:rPr>
                <w:rFonts w:eastAsia="Batang"/>
                <w:lang w:eastAsia="ko-KR"/>
              </w:rPr>
              <w:t>innovation</w:t>
            </w:r>
          </w:p>
        </w:tc>
      </w:tr>
      <w:tr w:rsidR="00C46B83" w:rsidRPr="00A32AF4" w:rsidTr="00477D27">
        <w:tc>
          <w:tcPr>
            <w:tcW w:w="1384" w:type="dxa"/>
            <w:shd w:val="clear" w:color="auto" w:fill="auto"/>
          </w:tcPr>
          <w:p w:rsidR="00C46B83" w:rsidRPr="00A32AF4" w:rsidRDefault="00C46B83" w:rsidP="00DC0553">
            <w:pPr>
              <w:rPr>
                <w:rFonts w:eastAsia="Batang"/>
                <w:lang w:eastAsia="ko-KR"/>
              </w:rPr>
            </w:pPr>
            <w:r w:rsidRPr="00A32AF4">
              <w:rPr>
                <w:rFonts w:eastAsia="Batang"/>
                <w:lang w:eastAsia="ko-KR"/>
              </w:rPr>
              <w:t>ASEAN</w:t>
            </w:r>
          </w:p>
        </w:tc>
        <w:tc>
          <w:tcPr>
            <w:tcW w:w="7827" w:type="dxa"/>
            <w:shd w:val="clear" w:color="auto" w:fill="auto"/>
          </w:tcPr>
          <w:p w:rsidR="00C46B83" w:rsidRPr="00A32AF4" w:rsidRDefault="00C46B83" w:rsidP="00DC0553">
            <w:pPr>
              <w:rPr>
                <w:rFonts w:eastAsia="Batang"/>
                <w:lang w:eastAsia="ko-KR"/>
              </w:rPr>
            </w:pPr>
            <w:r w:rsidRPr="00A32AF4">
              <w:rPr>
                <w:rFonts w:eastAsia="Batang"/>
                <w:lang w:eastAsia="ko-KR"/>
              </w:rPr>
              <w:t>Association des nations de l</w:t>
            </w:r>
            <w:r w:rsidR="00E2055A" w:rsidRPr="00A32AF4">
              <w:rPr>
                <w:rFonts w:eastAsia="Batang"/>
                <w:lang w:eastAsia="ko-KR"/>
              </w:rPr>
              <w:t>’</w:t>
            </w:r>
            <w:r w:rsidRPr="00A32AF4">
              <w:rPr>
                <w:rFonts w:eastAsia="Batang"/>
                <w:lang w:eastAsia="ko-KR"/>
              </w:rPr>
              <w:t>Asie du Sud</w:t>
            </w:r>
            <w:r w:rsidR="00EB7F54" w:rsidRPr="00A32AF4">
              <w:rPr>
                <w:rFonts w:eastAsia="Batang"/>
                <w:lang w:eastAsia="ko-KR"/>
              </w:rPr>
              <w:noBreakHyphen/>
            </w:r>
            <w:r w:rsidRPr="00A32AF4">
              <w:rPr>
                <w:rFonts w:eastAsia="Batang"/>
                <w:lang w:eastAsia="ko-KR"/>
              </w:rPr>
              <w:t>Est</w:t>
            </w:r>
          </w:p>
        </w:tc>
      </w:tr>
      <w:tr w:rsidR="00C46B83" w:rsidRPr="00A32AF4" w:rsidTr="00477D27">
        <w:tc>
          <w:tcPr>
            <w:tcW w:w="1384" w:type="dxa"/>
            <w:shd w:val="clear" w:color="auto" w:fill="auto"/>
          </w:tcPr>
          <w:p w:rsidR="00C46B83" w:rsidRPr="00A32AF4" w:rsidRDefault="00C46B83" w:rsidP="00DC0553">
            <w:pPr>
              <w:rPr>
                <w:rFonts w:eastAsia="Batang"/>
                <w:lang w:eastAsia="ko-KR"/>
              </w:rPr>
            </w:pPr>
            <w:r w:rsidRPr="00A32AF4">
              <w:rPr>
                <w:rFonts w:eastAsia="Batang"/>
                <w:lang w:eastAsia="ko-KR"/>
              </w:rPr>
              <w:t>ASPI</w:t>
            </w:r>
          </w:p>
        </w:tc>
        <w:tc>
          <w:tcPr>
            <w:tcW w:w="7827" w:type="dxa"/>
            <w:shd w:val="clear" w:color="auto" w:fill="auto"/>
          </w:tcPr>
          <w:p w:rsidR="00C46B83" w:rsidRPr="00A32AF4" w:rsidRDefault="00C46B83" w:rsidP="00DC0553">
            <w:pPr>
              <w:rPr>
                <w:rFonts w:eastAsia="Batang"/>
                <w:lang w:eastAsia="ko-KR"/>
              </w:rPr>
            </w:pPr>
            <w:r w:rsidRPr="00A32AF4">
              <w:rPr>
                <w:rFonts w:eastAsia="Batang"/>
                <w:lang w:eastAsia="ko-KR"/>
              </w:rPr>
              <w:t>Accès au programme d</w:t>
            </w:r>
            <w:r w:rsidR="00E2055A" w:rsidRPr="00A32AF4">
              <w:rPr>
                <w:rFonts w:eastAsia="Batang"/>
                <w:lang w:eastAsia="ko-KR"/>
              </w:rPr>
              <w:t>’</w:t>
            </w:r>
            <w:r w:rsidRPr="00A32AF4">
              <w:rPr>
                <w:rFonts w:eastAsia="Batang"/>
                <w:lang w:eastAsia="ko-KR"/>
              </w:rPr>
              <w:t>information spécialisée en matière de brevets</w:t>
            </w:r>
          </w:p>
        </w:tc>
      </w:tr>
      <w:tr w:rsidR="00C46B83" w:rsidRPr="00A32AF4" w:rsidTr="00477D27">
        <w:tc>
          <w:tcPr>
            <w:tcW w:w="1384" w:type="dxa"/>
            <w:shd w:val="clear" w:color="auto" w:fill="auto"/>
          </w:tcPr>
          <w:p w:rsidR="00C46B83" w:rsidRPr="00A32AF4" w:rsidRDefault="00C46B83" w:rsidP="00DC0553">
            <w:pPr>
              <w:rPr>
                <w:rFonts w:eastAsia="Batang"/>
                <w:lang w:eastAsia="ko-KR"/>
              </w:rPr>
            </w:pPr>
            <w:r w:rsidRPr="00A32AF4">
              <w:rPr>
                <w:rFonts w:eastAsia="Batang"/>
                <w:lang w:eastAsia="ko-KR"/>
              </w:rPr>
              <w:t>AUTM</w:t>
            </w:r>
          </w:p>
        </w:tc>
        <w:tc>
          <w:tcPr>
            <w:tcW w:w="7827" w:type="dxa"/>
            <w:shd w:val="clear" w:color="auto" w:fill="auto"/>
          </w:tcPr>
          <w:p w:rsidR="00C46B83" w:rsidRPr="00A32AF4" w:rsidRDefault="00C46B83" w:rsidP="00DC0553">
            <w:pPr>
              <w:rPr>
                <w:rFonts w:eastAsia="Batang"/>
                <w:lang w:eastAsia="ko-KR"/>
              </w:rPr>
            </w:pPr>
            <w:r w:rsidRPr="00A32AF4">
              <w:rPr>
                <w:rFonts w:eastAsia="Batang"/>
                <w:lang w:eastAsia="ko-KR"/>
              </w:rPr>
              <w:t>Association of University Technology Managers</w:t>
            </w:r>
          </w:p>
        </w:tc>
      </w:tr>
      <w:tr w:rsidR="00C46B83" w:rsidRPr="00A32AF4" w:rsidTr="00477D27">
        <w:tc>
          <w:tcPr>
            <w:tcW w:w="1384" w:type="dxa"/>
            <w:shd w:val="clear" w:color="auto" w:fill="auto"/>
          </w:tcPr>
          <w:p w:rsidR="00C46B83" w:rsidRPr="00A32AF4" w:rsidRDefault="00C46B83" w:rsidP="00DC0553">
            <w:pPr>
              <w:rPr>
                <w:rFonts w:eastAsia="Batang"/>
                <w:lang w:eastAsia="ko-KR"/>
              </w:rPr>
            </w:pPr>
            <w:r w:rsidRPr="00A32AF4">
              <w:rPr>
                <w:rFonts w:eastAsia="Batang"/>
                <w:lang w:eastAsia="ko-KR"/>
              </w:rPr>
              <w:t>AWGIPC</w:t>
            </w:r>
          </w:p>
        </w:tc>
        <w:tc>
          <w:tcPr>
            <w:tcW w:w="7827" w:type="dxa"/>
            <w:shd w:val="clear" w:color="auto" w:fill="auto"/>
          </w:tcPr>
          <w:p w:rsidR="00C46B83" w:rsidRPr="00A32AF4" w:rsidRDefault="00C46B83" w:rsidP="00C46B83">
            <w:pPr>
              <w:rPr>
                <w:rFonts w:eastAsia="Batang"/>
                <w:lang w:eastAsia="ko-KR"/>
              </w:rPr>
            </w:pPr>
            <w:r w:rsidRPr="00A32AF4">
              <w:rPr>
                <w:rFonts w:eastAsia="Batang"/>
                <w:lang w:eastAsia="ko-KR"/>
              </w:rPr>
              <w:t>Groupe de travail de l</w:t>
            </w:r>
            <w:r w:rsidR="00E2055A" w:rsidRPr="00A32AF4">
              <w:rPr>
                <w:rFonts w:eastAsia="Batang"/>
                <w:lang w:eastAsia="ko-KR"/>
              </w:rPr>
              <w:t>’</w:t>
            </w:r>
            <w:r w:rsidRPr="00A32AF4">
              <w:rPr>
                <w:rFonts w:eastAsia="Batang"/>
                <w:lang w:eastAsia="ko-KR"/>
              </w:rPr>
              <w:t>ASEAN sur la coopération dans le domaine de la propriété intellectuelle</w:t>
            </w:r>
          </w:p>
        </w:tc>
      </w:tr>
      <w:tr w:rsidR="00801C81" w:rsidRPr="00A32AF4" w:rsidTr="00477D27">
        <w:tc>
          <w:tcPr>
            <w:tcW w:w="1384" w:type="dxa"/>
            <w:shd w:val="clear" w:color="auto" w:fill="auto"/>
          </w:tcPr>
          <w:p w:rsidR="00801C81" w:rsidRPr="00A32AF4" w:rsidRDefault="00801C81" w:rsidP="00DC0553">
            <w:pPr>
              <w:rPr>
                <w:rFonts w:eastAsia="Batang"/>
                <w:lang w:eastAsia="ko-KR"/>
              </w:rPr>
            </w:pPr>
          </w:p>
        </w:tc>
        <w:tc>
          <w:tcPr>
            <w:tcW w:w="7827" w:type="dxa"/>
            <w:shd w:val="clear" w:color="auto" w:fill="auto"/>
          </w:tcPr>
          <w:p w:rsidR="00801C81" w:rsidRPr="00A32AF4" w:rsidRDefault="00801C81" w:rsidP="00DC0553">
            <w:pPr>
              <w:rPr>
                <w:rFonts w:eastAsia="Batang"/>
                <w:lang w:eastAsia="ko-KR"/>
              </w:rPr>
            </w:pPr>
          </w:p>
        </w:tc>
      </w:tr>
      <w:tr w:rsidR="00801C81" w:rsidRPr="00A32AF4" w:rsidTr="00477D27">
        <w:tc>
          <w:tcPr>
            <w:tcW w:w="1384" w:type="dxa"/>
            <w:shd w:val="clear" w:color="auto" w:fill="auto"/>
          </w:tcPr>
          <w:p w:rsidR="00801C81" w:rsidRPr="00A32AF4" w:rsidRDefault="00801C81" w:rsidP="00DC0553">
            <w:pPr>
              <w:rPr>
                <w:rFonts w:eastAsia="Batang"/>
                <w:lang w:eastAsia="ko-KR"/>
              </w:rPr>
            </w:pPr>
            <w:r w:rsidRPr="00A32AF4">
              <w:rPr>
                <w:rFonts w:eastAsia="Batang"/>
                <w:b/>
                <w:lang w:eastAsia="ko-KR"/>
              </w:rPr>
              <w:t>B</w:t>
            </w:r>
            <w:r w:rsidRPr="00A32AF4">
              <w:rPr>
                <w:rFonts w:eastAsia="Batang"/>
                <w:lang w:eastAsia="ko-KR"/>
              </w:rPr>
              <w:t>OIP</w:t>
            </w:r>
          </w:p>
        </w:tc>
        <w:tc>
          <w:tcPr>
            <w:tcW w:w="7827" w:type="dxa"/>
            <w:shd w:val="clear" w:color="auto" w:fill="auto"/>
          </w:tcPr>
          <w:p w:rsidR="00801C81" w:rsidRPr="00A32AF4" w:rsidRDefault="00801C81" w:rsidP="00DC0553">
            <w:pPr>
              <w:rPr>
                <w:rFonts w:eastAsia="Batang"/>
                <w:lang w:eastAsia="ko-KR"/>
              </w:rPr>
            </w:pPr>
            <w:r w:rsidRPr="00A32AF4">
              <w:rPr>
                <w:rFonts w:eastAsia="Batang"/>
                <w:lang w:eastAsia="ko-KR"/>
              </w:rPr>
              <w:t>Organisation Benelux de la propriété intellectuelle</w:t>
            </w:r>
          </w:p>
        </w:tc>
      </w:tr>
      <w:tr w:rsidR="00801C81" w:rsidRPr="00A32AF4" w:rsidTr="00477D27">
        <w:tc>
          <w:tcPr>
            <w:tcW w:w="1384" w:type="dxa"/>
            <w:shd w:val="clear" w:color="auto" w:fill="auto"/>
          </w:tcPr>
          <w:p w:rsidR="00801C81" w:rsidRPr="00A32AF4" w:rsidRDefault="00801C81" w:rsidP="00DC0553">
            <w:pPr>
              <w:rPr>
                <w:rFonts w:eastAsia="Batang"/>
                <w:lang w:eastAsia="ko-KR"/>
              </w:rPr>
            </w:pPr>
          </w:p>
        </w:tc>
        <w:tc>
          <w:tcPr>
            <w:tcW w:w="7827" w:type="dxa"/>
            <w:shd w:val="clear" w:color="auto" w:fill="auto"/>
          </w:tcPr>
          <w:p w:rsidR="00801C81" w:rsidRPr="00A32AF4" w:rsidRDefault="00801C81" w:rsidP="00DC0553">
            <w:pPr>
              <w:rPr>
                <w:rFonts w:eastAsia="Batang"/>
                <w:lang w:eastAsia="ko-KR"/>
              </w:rPr>
            </w:pPr>
          </w:p>
        </w:tc>
      </w:tr>
      <w:tr w:rsidR="00801C81" w:rsidRPr="00A32AF4" w:rsidTr="00477D27">
        <w:tc>
          <w:tcPr>
            <w:tcW w:w="1384" w:type="dxa"/>
            <w:shd w:val="clear" w:color="auto" w:fill="auto"/>
          </w:tcPr>
          <w:p w:rsidR="00801C81" w:rsidRPr="00A32AF4" w:rsidRDefault="00801C81" w:rsidP="00DC0553">
            <w:pPr>
              <w:rPr>
                <w:rFonts w:eastAsia="Batang"/>
                <w:lang w:eastAsia="ko-KR"/>
              </w:rPr>
            </w:pPr>
            <w:r w:rsidRPr="00A32AF4">
              <w:rPr>
                <w:rFonts w:eastAsia="Batang"/>
                <w:b/>
                <w:bCs/>
                <w:lang w:eastAsia="ko-KR"/>
              </w:rPr>
              <w:t>C</w:t>
            </w:r>
            <w:r w:rsidRPr="00A32AF4">
              <w:rPr>
                <w:rFonts w:eastAsia="Batang"/>
                <w:lang w:eastAsia="ko-KR"/>
              </w:rPr>
              <w:t xml:space="preserve">CNUCC </w:t>
            </w:r>
          </w:p>
        </w:tc>
        <w:tc>
          <w:tcPr>
            <w:tcW w:w="7827" w:type="dxa"/>
            <w:shd w:val="clear" w:color="auto" w:fill="auto"/>
          </w:tcPr>
          <w:p w:rsidR="00801C81" w:rsidRPr="00A32AF4" w:rsidRDefault="00801C81" w:rsidP="00DC0553">
            <w:pPr>
              <w:rPr>
                <w:rFonts w:eastAsia="Batang"/>
                <w:lang w:eastAsia="ko-KR"/>
              </w:rPr>
            </w:pPr>
            <w:r w:rsidRPr="00A32AF4">
              <w:rPr>
                <w:rFonts w:eastAsia="Batang"/>
                <w:lang w:eastAsia="ko-KR"/>
              </w:rPr>
              <w:t>Convention</w:t>
            </w:r>
            <w:r w:rsidR="00EB7F54" w:rsidRPr="00A32AF4">
              <w:rPr>
                <w:rFonts w:eastAsia="Batang"/>
                <w:lang w:eastAsia="ko-KR"/>
              </w:rPr>
              <w:noBreakHyphen/>
            </w:r>
            <w:r w:rsidRPr="00A32AF4">
              <w:rPr>
                <w:rFonts w:eastAsia="Batang"/>
                <w:lang w:eastAsia="ko-KR"/>
              </w:rPr>
              <w:t xml:space="preserve">cadre des </w:t>
            </w:r>
            <w:r w:rsidR="00E2055A" w:rsidRPr="00A32AF4">
              <w:rPr>
                <w:rFonts w:eastAsia="Batang"/>
                <w:lang w:eastAsia="ko-KR"/>
              </w:rPr>
              <w:t>Nations Unies</w:t>
            </w:r>
            <w:r w:rsidRPr="00A32AF4">
              <w:rPr>
                <w:rFonts w:eastAsia="Batang"/>
                <w:lang w:eastAsia="ko-KR"/>
              </w:rPr>
              <w:t xml:space="preserve"> sur les changements climatiques</w:t>
            </w:r>
          </w:p>
        </w:tc>
      </w:tr>
      <w:tr w:rsidR="00801C81" w:rsidRPr="00A32AF4" w:rsidTr="00477D27">
        <w:tc>
          <w:tcPr>
            <w:tcW w:w="1384" w:type="dxa"/>
            <w:shd w:val="clear" w:color="auto" w:fill="auto"/>
          </w:tcPr>
          <w:p w:rsidR="00801C81" w:rsidRPr="00A32AF4" w:rsidRDefault="00801C81" w:rsidP="00DC0553">
            <w:pPr>
              <w:rPr>
                <w:rFonts w:eastAsia="Batang"/>
                <w:lang w:eastAsia="ko-KR"/>
              </w:rPr>
            </w:pPr>
            <w:r w:rsidRPr="00A32AF4">
              <w:rPr>
                <w:rFonts w:eastAsia="Batang"/>
                <w:lang w:eastAsia="ko-KR"/>
              </w:rPr>
              <w:t xml:space="preserve">ccTLD </w:t>
            </w:r>
          </w:p>
        </w:tc>
        <w:tc>
          <w:tcPr>
            <w:tcW w:w="7827" w:type="dxa"/>
            <w:shd w:val="clear" w:color="auto" w:fill="auto"/>
          </w:tcPr>
          <w:p w:rsidR="00801C81" w:rsidRPr="00A32AF4" w:rsidRDefault="00801C81" w:rsidP="00DC0553">
            <w:pPr>
              <w:rPr>
                <w:rFonts w:eastAsia="Batang"/>
                <w:lang w:eastAsia="ko-KR"/>
              </w:rPr>
            </w:pPr>
            <w:r w:rsidRPr="00A32AF4">
              <w:rPr>
                <w:rFonts w:eastAsia="Batang"/>
                <w:lang w:eastAsia="ko-KR"/>
              </w:rPr>
              <w:t>domaines de premier niveau qui sont des codes de pays</w:t>
            </w:r>
          </w:p>
        </w:tc>
      </w:tr>
      <w:tr w:rsidR="00801C81" w:rsidRPr="00A32AF4" w:rsidTr="00477D27">
        <w:tc>
          <w:tcPr>
            <w:tcW w:w="1384" w:type="dxa"/>
            <w:shd w:val="clear" w:color="auto" w:fill="auto"/>
          </w:tcPr>
          <w:p w:rsidR="00801C81" w:rsidRPr="00A32AF4" w:rsidRDefault="00801C81" w:rsidP="00DC0553">
            <w:pPr>
              <w:rPr>
                <w:rFonts w:eastAsia="Batang"/>
                <w:lang w:eastAsia="ko-KR"/>
              </w:rPr>
            </w:pPr>
            <w:r w:rsidRPr="00A32AF4">
              <w:rPr>
                <w:rFonts w:eastAsia="Batang"/>
                <w:lang w:eastAsia="ko-KR"/>
              </w:rPr>
              <w:t xml:space="preserve">CDIP </w:t>
            </w:r>
          </w:p>
        </w:tc>
        <w:tc>
          <w:tcPr>
            <w:tcW w:w="7827" w:type="dxa"/>
            <w:shd w:val="clear" w:color="auto" w:fill="auto"/>
          </w:tcPr>
          <w:p w:rsidR="00801C81" w:rsidRPr="00A32AF4" w:rsidRDefault="00801C81" w:rsidP="00DC0553">
            <w:pPr>
              <w:rPr>
                <w:rFonts w:eastAsia="Batang"/>
                <w:lang w:eastAsia="ko-KR"/>
              </w:rPr>
            </w:pPr>
            <w:r w:rsidRPr="00A32AF4">
              <w:rPr>
                <w:rFonts w:eastAsia="Batang"/>
                <w:lang w:eastAsia="ko-KR"/>
              </w:rPr>
              <w:t>Comité du développement et de la propriété intellectuelle</w:t>
            </w:r>
          </w:p>
        </w:tc>
      </w:tr>
      <w:tr w:rsidR="00801C81" w:rsidRPr="00A32AF4" w:rsidTr="00477D27">
        <w:tc>
          <w:tcPr>
            <w:tcW w:w="1384" w:type="dxa"/>
            <w:shd w:val="clear" w:color="auto" w:fill="auto"/>
          </w:tcPr>
          <w:p w:rsidR="00801C81" w:rsidRPr="00A32AF4" w:rsidRDefault="00801C81" w:rsidP="00DC0553">
            <w:pPr>
              <w:rPr>
                <w:rFonts w:eastAsia="Batang"/>
                <w:lang w:eastAsia="ko-KR"/>
              </w:rPr>
            </w:pPr>
            <w:r w:rsidRPr="00A32AF4">
              <w:rPr>
                <w:rFonts w:eastAsia="Batang"/>
                <w:lang w:eastAsia="ko-KR"/>
              </w:rPr>
              <w:t>CEE</w:t>
            </w:r>
          </w:p>
        </w:tc>
        <w:tc>
          <w:tcPr>
            <w:tcW w:w="7827" w:type="dxa"/>
            <w:shd w:val="clear" w:color="auto" w:fill="auto"/>
          </w:tcPr>
          <w:p w:rsidR="00801C81" w:rsidRPr="00A32AF4" w:rsidRDefault="00801C81" w:rsidP="00DC0553">
            <w:pPr>
              <w:rPr>
                <w:rFonts w:eastAsia="Batang"/>
                <w:lang w:eastAsia="ko-KR"/>
              </w:rPr>
            </w:pPr>
            <w:r w:rsidRPr="00A32AF4">
              <w:rPr>
                <w:rFonts w:eastAsia="Batang"/>
                <w:lang w:eastAsia="ko-KR"/>
              </w:rPr>
              <w:t>Commission économique eurasienne</w:t>
            </w:r>
          </w:p>
        </w:tc>
      </w:tr>
      <w:tr w:rsidR="00801C81" w:rsidRPr="00A32AF4" w:rsidTr="00477D27">
        <w:tc>
          <w:tcPr>
            <w:tcW w:w="1384" w:type="dxa"/>
            <w:shd w:val="clear" w:color="auto" w:fill="auto"/>
          </w:tcPr>
          <w:p w:rsidR="00801C81" w:rsidRPr="00A32AF4" w:rsidRDefault="00801C81" w:rsidP="00DC0553">
            <w:pPr>
              <w:rPr>
                <w:rFonts w:eastAsia="Batang"/>
                <w:lang w:eastAsia="ko-KR"/>
              </w:rPr>
            </w:pPr>
            <w:r w:rsidRPr="00A32AF4">
              <w:rPr>
                <w:rFonts w:eastAsia="Batang"/>
                <w:lang w:eastAsia="ko-KR"/>
              </w:rPr>
              <w:t>CEI</w:t>
            </w:r>
          </w:p>
        </w:tc>
        <w:tc>
          <w:tcPr>
            <w:tcW w:w="7827" w:type="dxa"/>
            <w:shd w:val="clear" w:color="auto" w:fill="auto"/>
          </w:tcPr>
          <w:p w:rsidR="00801C81" w:rsidRPr="00A32AF4" w:rsidRDefault="00801C81" w:rsidP="00DC0553">
            <w:pPr>
              <w:rPr>
                <w:rFonts w:eastAsia="Batang"/>
                <w:lang w:eastAsia="ko-KR"/>
              </w:rPr>
            </w:pPr>
            <w:r w:rsidRPr="00A32AF4">
              <w:rPr>
                <w:rFonts w:eastAsia="Batang"/>
                <w:lang w:eastAsia="ko-KR"/>
              </w:rPr>
              <w:t>Communauté des États indépendants</w:t>
            </w:r>
          </w:p>
        </w:tc>
      </w:tr>
      <w:tr w:rsidR="00801C81" w:rsidRPr="00A32AF4" w:rsidTr="00477D27">
        <w:tc>
          <w:tcPr>
            <w:tcW w:w="1384" w:type="dxa"/>
            <w:shd w:val="clear" w:color="auto" w:fill="auto"/>
          </w:tcPr>
          <w:p w:rsidR="00801C81" w:rsidRPr="00A32AF4" w:rsidRDefault="00801C81" w:rsidP="00DC0553">
            <w:pPr>
              <w:rPr>
                <w:rFonts w:eastAsia="Batang"/>
                <w:lang w:eastAsia="ko-KR"/>
              </w:rPr>
            </w:pPr>
            <w:r w:rsidRPr="00A32AF4">
              <w:rPr>
                <w:rFonts w:eastAsia="Batang"/>
                <w:lang w:eastAsia="ko-KR"/>
              </w:rPr>
              <w:t xml:space="preserve">CFPI </w:t>
            </w:r>
          </w:p>
        </w:tc>
        <w:tc>
          <w:tcPr>
            <w:tcW w:w="7827" w:type="dxa"/>
            <w:shd w:val="clear" w:color="auto" w:fill="auto"/>
          </w:tcPr>
          <w:p w:rsidR="00801C81" w:rsidRPr="00A32AF4" w:rsidRDefault="00801C81" w:rsidP="00DC0553">
            <w:pPr>
              <w:rPr>
                <w:rFonts w:eastAsia="Batang"/>
                <w:lang w:eastAsia="ko-KR"/>
              </w:rPr>
            </w:pPr>
            <w:r w:rsidRPr="00A32AF4">
              <w:rPr>
                <w:rFonts w:eastAsia="Batang"/>
                <w:lang w:eastAsia="ko-KR"/>
              </w:rPr>
              <w:t>Commission de la fonction publique internationale</w:t>
            </w:r>
          </w:p>
        </w:tc>
      </w:tr>
      <w:tr w:rsidR="00801C81" w:rsidRPr="00A32AF4" w:rsidTr="00477D27">
        <w:tc>
          <w:tcPr>
            <w:tcW w:w="1384" w:type="dxa"/>
            <w:shd w:val="clear" w:color="auto" w:fill="auto"/>
          </w:tcPr>
          <w:p w:rsidR="00801C81" w:rsidRPr="00A32AF4" w:rsidRDefault="00801C81" w:rsidP="00DC0553">
            <w:pPr>
              <w:rPr>
                <w:rFonts w:eastAsia="Batang"/>
                <w:lang w:eastAsia="ko-KR"/>
              </w:rPr>
            </w:pPr>
            <w:r w:rsidRPr="00A32AF4">
              <w:rPr>
                <w:rFonts w:eastAsia="Batang"/>
                <w:lang w:eastAsia="ko-KR"/>
              </w:rPr>
              <w:t>CIB</w:t>
            </w:r>
          </w:p>
        </w:tc>
        <w:tc>
          <w:tcPr>
            <w:tcW w:w="7827" w:type="dxa"/>
            <w:shd w:val="clear" w:color="auto" w:fill="auto"/>
          </w:tcPr>
          <w:p w:rsidR="00801C81" w:rsidRPr="00A32AF4" w:rsidRDefault="00801C81" w:rsidP="00DC0553">
            <w:pPr>
              <w:rPr>
                <w:rFonts w:eastAsia="Batang"/>
                <w:lang w:eastAsia="ko-KR"/>
              </w:rPr>
            </w:pPr>
            <w:r w:rsidRPr="00A32AF4">
              <w:rPr>
                <w:rFonts w:eastAsia="Batang"/>
                <w:lang w:eastAsia="ko-KR"/>
              </w:rPr>
              <w:t>classification internationale des brevets</w:t>
            </w:r>
          </w:p>
        </w:tc>
      </w:tr>
      <w:tr w:rsidR="00801C81" w:rsidRPr="00A32AF4" w:rsidTr="00477D27">
        <w:tc>
          <w:tcPr>
            <w:tcW w:w="1384" w:type="dxa"/>
            <w:shd w:val="clear" w:color="auto" w:fill="auto"/>
          </w:tcPr>
          <w:p w:rsidR="00801C81" w:rsidRPr="00A32AF4" w:rsidRDefault="00801C81" w:rsidP="00DC0553">
            <w:pPr>
              <w:rPr>
                <w:rFonts w:eastAsia="Batang"/>
                <w:lang w:eastAsia="ko-KR"/>
              </w:rPr>
            </w:pPr>
            <w:r w:rsidRPr="00A32AF4">
              <w:rPr>
                <w:rFonts w:eastAsia="Batang"/>
                <w:lang w:eastAsia="ko-KR"/>
              </w:rPr>
              <w:t xml:space="preserve">CLEA </w:t>
            </w:r>
          </w:p>
        </w:tc>
        <w:tc>
          <w:tcPr>
            <w:tcW w:w="7827" w:type="dxa"/>
            <w:shd w:val="clear" w:color="auto" w:fill="auto"/>
          </w:tcPr>
          <w:p w:rsidR="00801C81" w:rsidRPr="00A32AF4" w:rsidRDefault="00801C81" w:rsidP="00DC0553">
            <w:pPr>
              <w:rPr>
                <w:rFonts w:eastAsia="Batang"/>
                <w:lang w:eastAsia="ko-KR"/>
              </w:rPr>
            </w:pPr>
            <w:r w:rsidRPr="00A32AF4">
              <w:rPr>
                <w:rFonts w:eastAsia="Batang"/>
                <w:lang w:eastAsia="ko-KR"/>
              </w:rPr>
              <w:t>Collection de lois accessible en ligne</w:t>
            </w:r>
          </w:p>
        </w:tc>
      </w:tr>
      <w:tr w:rsidR="00801C81" w:rsidRPr="00A32AF4" w:rsidTr="00477D27">
        <w:tc>
          <w:tcPr>
            <w:tcW w:w="1384" w:type="dxa"/>
            <w:shd w:val="clear" w:color="auto" w:fill="auto"/>
          </w:tcPr>
          <w:p w:rsidR="00801C81" w:rsidRPr="00A32AF4" w:rsidRDefault="00801C81" w:rsidP="00DC0553">
            <w:pPr>
              <w:rPr>
                <w:rFonts w:eastAsia="Batang"/>
                <w:lang w:eastAsia="ko-KR"/>
              </w:rPr>
            </w:pPr>
            <w:r w:rsidRPr="00A32AF4">
              <w:rPr>
                <w:rFonts w:eastAsia="Batang"/>
                <w:lang w:eastAsia="ko-KR"/>
              </w:rPr>
              <w:t xml:space="preserve">CNUCED </w:t>
            </w:r>
          </w:p>
        </w:tc>
        <w:tc>
          <w:tcPr>
            <w:tcW w:w="7827" w:type="dxa"/>
            <w:shd w:val="clear" w:color="auto" w:fill="auto"/>
          </w:tcPr>
          <w:p w:rsidR="00801C81" w:rsidRPr="00A32AF4" w:rsidRDefault="00801C81" w:rsidP="00DC0553">
            <w:pPr>
              <w:rPr>
                <w:rFonts w:eastAsia="Batang"/>
                <w:lang w:eastAsia="ko-KR"/>
              </w:rPr>
            </w:pPr>
            <w:r w:rsidRPr="00A32AF4">
              <w:rPr>
                <w:rFonts w:eastAsia="Batang"/>
                <w:lang w:eastAsia="ko-KR"/>
              </w:rPr>
              <w:t xml:space="preserve">Conférence des </w:t>
            </w:r>
            <w:r w:rsidR="00E2055A" w:rsidRPr="00A32AF4">
              <w:rPr>
                <w:rFonts w:eastAsia="Batang"/>
                <w:lang w:eastAsia="ko-KR"/>
              </w:rPr>
              <w:t>Nations Unies</w:t>
            </w:r>
            <w:r w:rsidRPr="00A32AF4">
              <w:rPr>
                <w:rFonts w:eastAsia="Batang"/>
                <w:lang w:eastAsia="ko-KR"/>
              </w:rPr>
              <w:t xml:space="preserve"> sur le commerce et le développement</w:t>
            </w:r>
          </w:p>
        </w:tc>
      </w:tr>
      <w:tr w:rsidR="00801C81" w:rsidRPr="00A32AF4" w:rsidTr="00477D27">
        <w:tc>
          <w:tcPr>
            <w:tcW w:w="1384" w:type="dxa"/>
            <w:shd w:val="clear" w:color="auto" w:fill="auto"/>
          </w:tcPr>
          <w:p w:rsidR="00801C81" w:rsidRPr="00A32AF4" w:rsidRDefault="00801C81" w:rsidP="00DC0553">
            <w:pPr>
              <w:rPr>
                <w:rFonts w:eastAsia="Batang"/>
                <w:lang w:eastAsia="ko-KR"/>
              </w:rPr>
            </w:pPr>
            <w:r w:rsidRPr="00A32AF4">
              <w:rPr>
                <w:rFonts w:eastAsia="Batang"/>
                <w:lang w:eastAsia="ko-KR"/>
              </w:rPr>
              <w:t>CCS</w:t>
            </w:r>
          </w:p>
        </w:tc>
        <w:tc>
          <w:tcPr>
            <w:tcW w:w="7827" w:type="dxa"/>
            <w:shd w:val="clear" w:color="auto" w:fill="auto"/>
          </w:tcPr>
          <w:p w:rsidR="00801C81" w:rsidRPr="00A32AF4" w:rsidRDefault="00801C81" w:rsidP="00DC0553">
            <w:pPr>
              <w:rPr>
                <w:rFonts w:eastAsia="Batang"/>
                <w:lang w:eastAsia="ko-KR"/>
              </w:rPr>
            </w:pPr>
            <w:r w:rsidRPr="00A32AF4">
              <w:rPr>
                <w:rFonts w:eastAsia="Batang"/>
                <w:lang w:eastAsia="ko-KR"/>
              </w:rPr>
              <w:t xml:space="preserve">Conseils des chefs de secrétariat des organismes des </w:t>
            </w:r>
            <w:r w:rsidR="00E2055A" w:rsidRPr="00A32AF4">
              <w:rPr>
                <w:rFonts w:eastAsia="Batang"/>
                <w:lang w:eastAsia="ko-KR"/>
              </w:rPr>
              <w:t>Nations Unies</w:t>
            </w:r>
          </w:p>
        </w:tc>
      </w:tr>
      <w:tr w:rsidR="00801C81" w:rsidRPr="00A32AF4" w:rsidTr="00477D27">
        <w:tc>
          <w:tcPr>
            <w:tcW w:w="1384" w:type="dxa"/>
            <w:shd w:val="clear" w:color="auto" w:fill="auto"/>
          </w:tcPr>
          <w:p w:rsidR="00801C81" w:rsidRPr="00A32AF4" w:rsidRDefault="00801C81">
            <w:pPr>
              <w:rPr>
                <w:rFonts w:eastAsia="Batang"/>
                <w:lang w:eastAsia="ko-KR"/>
              </w:rPr>
            </w:pPr>
            <w:r w:rsidRPr="00A32AF4">
              <w:rPr>
                <w:rFonts w:eastAsia="Batang"/>
                <w:lang w:eastAsia="ko-KR"/>
              </w:rPr>
              <w:t>CTCN</w:t>
            </w:r>
            <w:r w:rsidRPr="00A32AF4">
              <w:rPr>
                <w:rFonts w:eastAsia="Batang"/>
                <w:lang w:eastAsia="ko-KR"/>
              </w:rPr>
              <w:tab/>
            </w:r>
          </w:p>
        </w:tc>
        <w:tc>
          <w:tcPr>
            <w:tcW w:w="7827" w:type="dxa"/>
            <w:shd w:val="clear" w:color="auto" w:fill="auto"/>
          </w:tcPr>
          <w:p w:rsidR="00801C81" w:rsidRPr="00A32AF4" w:rsidRDefault="00801C81" w:rsidP="00DC0553">
            <w:pPr>
              <w:rPr>
                <w:rFonts w:eastAsia="Batang"/>
                <w:lang w:eastAsia="ko-KR"/>
              </w:rPr>
            </w:pPr>
            <w:r w:rsidRPr="00A32AF4">
              <w:rPr>
                <w:rFonts w:eastAsia="Batang"/>
                <w:lang w:eastAsia="ko-KR"/>
              </w:rPr>
              <w:t>Centre et Réseau des technologies climatiques</w:t>
            </w:r>
          </w:p>
        </w:tc>
      </w:tr>
      <w:tr w:rsidR="00801C81" w:rsidRPr="00A32AF4" w:rsidTr="00477D27">
        <w:tc>
          <w:tcPr>
            <w:tcW w:w="1384" w:type="dxa"/>
            <w:shd w:val="clear" w:color="auto" w:fill="auto"/>
          </w:tcPr>
          <w:p w:rsidR="00801C81" w:rsidRPr="00A32AF4" w:rsidRDefault="00801C81" w:rsidP="00DC0553">
            <w:pPr>
              <w:rPr>
                <w:rFonts w:eastAsia="Batang"/>
                <w:lang w:eastAsia="ko-KR"/>
              </w:rPr>
            </w:pPr>
          </w:p>
        </w:tc>
        <w:tc>
          <w:tcPr>
            <w:tcW w:w="7827" w:type="dxa"/>
            <w:shd w:val="clear" w:color="auto" w:fill="auto"/>
          </w:tcPr>
          <w:p w:rsidR="00801C81" w:rsidRPr="00A32AF4" w:rsidRDefault="00801C81" w:rsidP="00DC0553">
            <w:pPr>
              <w:rPr>
                <w:rFonts w:eastAsia="Batang"/>
                <w:lang w:eastAsia="ko-KR"/>
              </w:rPr>
            </w:pPr>
          </w:p>
        </w:tc>
      </w:tr>
      <w:tr w:rsidR="00801C81" w:rsidRPr="00A32AF4" w:rsidTr="00477D27">
        <w:tc>
          <w:tcPr>
            <w:tcW w:w="1384" w:type="dxa"/>
            <w:shd w:val="clear" w:color="auto" w:fill="auto"/>
          </w:tcPr>
          <w:p w:rsidR="00801C81" w:rsidRPr="00A32AF4" w:rsidRDefault="00801C81" w:rsidP="00DC0553">
            <w:pPr>
              <w:rPr>
                <w:rFonts w:eastAsia="Batang"/>
                <w:lang w:eastAsia="ko-KR"/>
              </w:rPr>
            </w:pPr>
            <w:r w:rsidRPr="00A32AF4">
              <w:rPr>
                <w:rFonts w:eastAsia="Batang"/>
                <w:b/>
                <w:lang w:eastAsia="ko-KR"/>
              </w:rPr>
              <w:t>D</w:t>
            </w:r>
            <w:r w:rsidRPr="00A32AF4">
              <w:rPr>
                <w:rFonts w:eastAsia="Batang"/>
                <w:lang w:eastAsia="ko-KR"/>
              </w:rPr>
              <w:t>GIPR</w:t>
            </w:r>
          </w:p>
        </w:tc>
        <w:tc>
          <w:tcPr>
            <w:tcW w:w="7827" w:type="dxa"/>
            <w:shd w:val="clear" w:color="auto" w:fill="auto"/>
          </w:tcPr>
          <w:p w:rsidR="00801C81" w:rsidRPr="00A32AF4" w:rsidRDefault="00801C81" w:rsidP="00DC0553">
            <w:pPr>
              <w:rPr>
                <w:rFonts w:eastAsia="Batang"/>
                <w:lang w:eastAsia="ko-KR"/>
              </w:rPr>
            </w:pPr>
            <w:r w:rsidRPr="00A32AF4">
              <w:rPr>
                <w:rFonts w:eastAsia="Batang"/>
                <w:lang w:eastAsia="ko-KR"/>
              </w:rPr>
              <w:t>Direction générale des droits de propriété intellectuelle</w:t>
            </w:r>
          </w:p>
        </w:tc>
      </w:tr>
      <w:tr w:rsidR="00801C81" w:rsidRPr="00A32AF4" w:rsidTr="00477D27">
        <w:tc>
          <w:tcPr>
            <w:tcW w:w="1384" w:type="dxa"/>
            <w:shd w:val="clear" w:color="auto" w:fill="auto"/>
          </w:tcPr>
          <w:p w:rsidR="00801C81" w:rsidRPr="00A32AF4" w:rsidRDefault="00801C81" w:rsidP="00DC0553">
            <w:pPr>
              <w:rPr>
                <w:rFonts w:eastAsia="Batang"/>
                <w:lang w:eastAsia="ko-KR"/>
              </w:rPr>
            </w:pPr>
            <w:r w:rsidRPr="00A32AF4">
              <w:rPr>
                <w:rFonts w:eastAsia="Batang"/>
                <w:lang w:eastAsia="ko-KR"/>
              </w:rPr>
              <w:t xml:space="preserve">DGRH </w:t>
            </w:r>
          </w:p>
        </w:tc>
        <w:tc>
          <w:tcPr>
            <w:tcW w:w="7827" w:type="dxa"/>
            <w:shd w:val="clear" w:color="auto" w:fill="auto"/>
          </w:tcPr>
          <w:p w:rsidR="00801C81" w:rsidRPr="00A32AF4" w:rsidRDefault="00801C81" w:rsidP="00DC0553">
            <w:pPr>
              <w:rPr>
                <w:rFonts w:eastAsia="Batang"/>
                <w:lang w:eastAsia="ko-KR"/>
              </w:rPr>
            </w:pPr>
            <w:r w:rsidRPr="00A32AF4">
              <w:rPr>
                <w:rFonts w:eastAsia="Batang"/>
                <w:lang w:eastAsia="ko-KR"/>
              </w:rPr>
              <w:t>Département de la gestion des ressources humaines</w:t>
            </w:r>
          </w:p>
        </w:tc>
      </w:tr>
      <w:tr w:rsidR="00801C81" w:rsidRPr="00A32AF4" w:rsidTr="00477D27">
        <w:tc>
          <w:tcPr>
            <w:tcW w:w="1384" w:type="dxa"/>
            <w:shd w:val="clear" w:color="auto" w:fill="auto"/>
          </w:tcPr>
          <w:p w:rsidR="00801C81" w:rsidRPr="00A32AF4" w:rsidRDefault="00801C81" w:rsidP="00DC0553">
            <w:pPr>
              <w:rPr>
                <w:rFonts w:eastAsia="Batang"/>
                <w:lang w:eastAsia="ko-KR"/>
              </w:rPr>
            </w:pPr>
            <w:r w:rsidRPr="00A32AF4">
              <w:rPr>
                <w:rFonts w:eastAsia="Batang"/>
                <w:lang w:eastAsia="ko-KR"/>
              </w:rPr>
              <w:t>DAES</w:t>
            </w:r>
          </w:p>
        </w:tc>
        <w:tc>
          <w:tcPr>
            <w:tcW w:w="7827" w:type="dxa"/>
            <w:shd w:val="clear" w:color="auto" w:fill="auto"/>
          </w:tcPr>
          <w:p w:rsidR="00801C81" w:rsidRPr="00A32AF4" w:rsidRDefault="00801C81" w:rsidP="00DC0553">
            <w:pPr>
              <w:rPr>
                <w:rFonts w:eastAsia="Batang"/>
                <w:lang w:eastAsia="ko-KR"/>
              </w:rPr>
            </w:pPr>
            <w:r w:rsidRPr="00A32AF4">
              <w:rPr>
                <w:rFonts w:eastAsia="Batang"/>
                <w:lang w:eastAsia="ko-KR"/>
              </w:rPr>
              <w:t>Département des affaires économiques et sociales de l</w:t>
            </w:r>
            <w:r w:rsidR="00E2055A" w:rsidRPr="00A32AF4">
              <w:rPr>
                <w:rFonts w:eastAsia="Batang"/>
                <w:lang w:eastAsia="ko-KR"/>
              </w:rPr>
              <w:t>’</w:t>
            </w:r>
            <w:r w:rsidRPr="00A32AF4">
              <w:rPr>
                <w:rFonts w:eastAsia="Batang"/>
                <w:lang w:eastAsia="ko-KR"/>
              </w:rPr>
              <w:t>ONU</w:t>
            </w:r>
          </w:p>
        </w:tc>
      </w:tr>
      <w:tr w:rsidR="00801C81" w:rsidRPr="00A32AF4" w:rsidTr="00477D27">
        <w:tc>
          <w:tcPr>
            <w:tcW w:w="1384" w:type="dxa"/>
            <w:shd w:val="clear" w:color="auto" w:fill="auto"/>
          </w:tcPr>
          <w:p w:rsidR="00801C81" w:rsidRPr="00A32AF4" w:rsidRDefault="00801C81" w:rsidP="00DC0553">
            <w:pPr>
              <w:rPr>
                <w:rFonts w:eastAsia="Batang"/>
                <w:lang w:eastAsia="ko-KR"/>
              </w:rPr>
            </w:pPr>
            <w:r w:rsidRPr="00A32AF4">
              <w:rPr>
                <w:rFonts w:eastAsia="Batang"/>
                <w:lang w:eastAsia="ko-KR"/>
              </w:rPr>
              <w:t>DAS</w:t>
            </w:r>
          </w:p>
        </w:tc>
        <w:tc>
          <w:tcPr>
            <w:tcW w:w="7827" w:type="dxa"/>
            <w:shd w:val="clear" w:color="auto" w:fill="auto"/>
          </w:tcPr>
          <w:p w:rsidR="00801C81" w:rsidRPr="00A32AF4" w:rsidRDefault="00801C81" w:rsidP="00DC0553">
            <w:pPr>
              <w:rPr>
                <w:rFonts w:eastAsia="Batang"/>
                <w:lang w:eastAsia="ko-KR"/>
              </w:rPr>
            </w:pPr>
            <w:r w:rsidRPr="00A32AF4">
              <w:rPr>
                <w:rFonts w:eastAsia="Batang"/>
                <w:lang w:eastAsia="ko-KR"/>
              </w:rPr>
              <w:t>Service d</w:t>
            </w:r>
            <w:r w:rsidR="00E2055A" w:rsidRPr="00A32AF4">
              <w:rPr>
                <w:rFonts w:eastAsia="Batang"/>
                <w:lang w:eastAsia="ko-KR"/>
              </w:rPr>
              <w:t>’</w:t>
            </w:r>
            <w:r w:rsidRPr="00A32AF4">
              <w:rPr>
                <w:rFonts w:eastAsia="Batang"/>
                <w:lang w:eastAsia="ko-KR"/>
              </w:rPr>
              <w:t>accès numérique aux documents de priorité</w:t>
            </w:r>
          </w:p>
        </w:tc>
      </w:tr>
      <w:tr w:rsidR="00801C81" w:rsidRPr="00A32AF4" w:rsidTr="00477D27">
        <w:tc>
          <w:tcPr>
            <w:tcW w:w="1384" w:type="dxa"/>
            <w:shd w:val="clear" w:color="auto" w:fill="auto"/>
          </w:tcPr>
          <w:p w:rsidR="00801C81" w:rsidRPr="00A32AF4" w:rsidRDefault="00801C81" w:rsidP="00DC0553">
            <w:pPr>
              <w:rPr>
                <w:rFonts w:eastAsia="Batang"/>
                <w:lang w:eastAsia="ko-KR"/>
              </w:rPr>
            </w:pPr>
            <w:r w:rsidRPr="00A32AF4">
              <w:rPr>
                <w:rFonts w:eastAsia="Batang"/>
                <w:lang w:eastAsia="ko-KR"/>
              </w:rPr>
              <w:t>DSI</w:t>
            </w:r>
          </w:p>
        </w:tc>
        <w:tc>
          <w:tcPr>
            <w:tcW w:w="7827" w:type="dxa"/>
            <w:shd w:val="clear" w:color="auto" w:fill="auto"/>
          </w:tcPr>
          <w:p w:rsidR="00801C81" w:rsidRPr="00A32AF4" w:rsidRDefault="00801C81" w:rsidP="00DC0553">
            <w:pPr>
              <w:rPr>
                <w:rFonts w:eastAsia="Batang"/>
                <w:lang w:eastAsia="ko-KR"/>
              </w:rPr>
            </w:pPr>
            <w:r w:rsidRPr="00A32AF4">
              <w:rPr>
                <w:rFonts w:eastAsia="Batang"/>
                <w:lang w:eastAsia="ko-KR"/>
              </w:rPr>
              <w:t>Division de la supervision interne</w:t>
            </w:r>
          </w:p>
        </w:tc>
      </w:tr>
      <w:tr w:rsidR="00801C81" w:rsidRPr="00A32AF4" w:rsidTr="00477D27">
        <w:tc>
          <w:tcPr>
            <w:tcW w:w="1384" w:type="dxa"/>
            <w:shd w:val="clear" w:color="auto" w:fill="auto"/>
          </w:tcPr>
          <w:p w:rsidR="00801C81" w:rsidRPr="00A32AF4" w:rsidRDefault="00801C81" w:rsidP="00DC0553">
            <w:pPr>
              <w:rPr>
                <w:rFonts w:eastAsia="Batang"/>
                <w:lang w:eastAsia="ko-KR"/>
              </w:rPr>
            </w:pPr>
          </w:p>
        </w:tc>
        <w:tc>
          <w:tcPr>
            <w:tcW w:w="7827" w:type="dxa"/>
            <w:shd w:val="clear" w:color="auto" w:fill="auto"/>
          </w:tcPr>
          <w:p w:rsidR="00801C81" w:rsidRPr="00A32AF4" w:rsidRDefault="00801C81" w:rsidP="00DC0553">
            <w:pPr>
              <w:rPr>
                <w:rFonts w:eastAsia="Batang"/>
                <w:lang w:eastAsia="ko-KR"/>
              </w:rPr>
            </w:pPr>
          </w:p>
        </w:tc>
      </w:tr>
      <w:tr w:rsidR="00801C81" w:rsidRPr="00A32AF4" w:rsidTr="00477D27">
        <w:tc>
          <w:tcPr>
            <w:tcW w:w="1384" w:type="dxa"/>
            <w:shd w:val="clear" w:color="auto" w:fill="auto"/>
          </w:tcPr>
          <w:p w:rsidR="00801C81" w:rsidRPr="00A32AF4" w:rsidRDefault="00801C81" w:rsidP="00DC0553">
            <w:pPr>
              <w:rPr>
                <w:rFonts w:eastAsia="Batang"/>
                <w:lang w:eastAsia="ko-KR"/>
              </w:rPr>
            </w:pPr>
            <w:r w:rsidRPr="00A32AF4">
              <w:rPr>
                <w:rFonts w:eastAsia="Batang"/>
                <w:b/>
                <w:lang w:eastAsia="ko-KR"/>
              </w:rPr>
              <w:t>E</w:t>
            </w:r>
            <w:r w:rsidRPr="00A32AF4">
              <w:rPr>
                <w:rFonts w:eastAsia="Batang"/>
                <w:lang w:eastAsia="ko-KR"/>
              </w:rPr>
              <w:t>ACIN</w:t>
            </w:r>
          </w:p>
        </w:tc>
        <w:tc>
          <w:tcPr>
            <w:tcW w:w="7827" w:type="dxa"/>
            <w:shd w:val="clear" w:color="auto" w:fill="auto"/>
          </w:tcPr>
          <w:p w:rsidR="00801C81" w:rsidRPr="00A32AF4" w:rsidRDefault="00801C81" w:rsidP="00DC0553">
            <w:pPr>
              <w:rPr>
                <w:rFonts w:eastAsia="Batang"/>
                <w:lang w:eastAsia="ko-KR"/>
              </w:rPr>
            </w:pPr>
            <w:r w:rsidRPr="00A32AF4">
              <w:rPr>
                <w:rFonts w:eastAsia="Batang"/>
                <w:lang w:eastAsia="ko-KR"/>
              </w:rPr>
              <w:t>East Africa Climate Innovation Network</w:t>
            </w:r>
          </w:p>
        </w:tc>
      </w:tr>
      <w:tr w:rsidR="00801C81" w:rsidRPr="00A32AF4" w:rsidTr="00477D27">
        <w:tc>
          <w:tcPr>
            <w:tcW w:w="1384" w:type="dxa"/>
            <w:shd w:val="clear" w:color="auto" w:fill="auto"/>
          </w:tcPr>
          <w:p w:rsidR="00801C81" w:rsidRPr="00A32AF4" w:rsidRDefault="00801C81" w:rsidP="00DC0553">
            <w:pPr>
              <w:rPr>
                <w:rFonts w:eastAsia="Batang"/>
                <w:lang w:eastAsia="ko-KR"/>
              </w:rPr>
            </w:pPr>
            <w:r w:rsidRPr="00A32AF4">
              <w:rPr>
                <w:rFonts w:eastAsia="Batang"/>
                <w:bCs/>
                <w:lang w:eastAsia="ko-KR"/>
              </w:rPr>
              <w:t>E</w:t>
            </w:r>
            <w:r w:rsidRPr="00A32AF4">
              <w:rPr>
                <w:rFonts w:eastAsia="Batang"/>
                <w:lang w:eastAsia="ko-KR"/>
              </w:rPr>
              <w:t>CLA</w:t>
            </w:r>
          </w:p>
        </w:tc>
        <w:tc>
          <w:tcPr>
            <w:tcW w:w="7827" w:type="dxa"/>
            <w:shd w:val="clear" w:color="auto" w:fill="auto"/>
          </w:tcPr>
          <w:p w:rsidR="00801C81" w:rsidRPr="00A32AF4" w:rsidRDefault="00801C81" w:rsidP="00DC0553">
            <w:pPr>
              <w:rPr>
                <w:rFonts w:eastAsia="Batang"/>
                <w:lang w:eastAsia="ko-KR"/>
              </w:rPr>
            </w:pPr>
            <w:r w:rsidRPr="00A32AF4">
              <w:rPr>
                <w:rFonts w:eastAsia="Batang"/>
                <w:lang w:eastAsia="ko-KR"/>
              </w:rPr>
              <w:t>classification européenne</w:t>
            </w:r>
          </w:p>
        </w:tc>
      </w:tr>
      <w:tr w:rsidR="00801C81" w:rsidRPr="00A32AF4" w:rsidTr="00477D27">
        <w:tc>
          <w:tcPr>
            <w:tcW w:w="1384" w:type="dxa"/>
            <w:shd w:val="clear" w:color="auto" w:fill="auto"/>
          </w:tcPr>
          <w:p w:rsidR="00801C81" w:rsidRPr="00A32AF4" w:rsidRDefault="00801C81" w:rsidP="00DC0553">
            <w:pPr>
              <w:rPr>
                <w:rFonts w:eastAsia="Batang"/>
                <w:lang w:eastAsia="ko-KR"/>
              </w:rPr>
            </w:pPr>
            <w:r w:rsidRPr="00A32AF4">
              <w:rPr>
                <w:rFonts w:eastAsia="Batang"/>
                <w:lang w:eastAsia="ko-KR"/>
              </w:rPr>
              <w:t>EGEDA</w:t>
            </w:r>
          </w:p>
        </w:tc>
        <w:tc>
          <w:tcPr>
            <w:tcW w:w="7827" w:type="dxa"/>
            <w:shd w:val="clear" w:color="auto" w:fill="auto"/>
          </w:tcPr>
          <w:p w:rsidR="00801C81" w:rsidRPr="00A32AF4" w:rsidRDefault="00801C81" w:rsidP="00DC0553">
            <w:pPr>
              <w:rPr>
                <w:rFonts w:eastAsia="Batang"/>
                <w:iCs/>
                <w:lang w:eastAsia="ko-KR"/>
              </w:rPr>
            </w:pPr>
            <w:r w:rsidRPr="00A32AF4">
              <w:rPr>
                <w:iCs/>
              </w:rPr>
              <w:t>Entidad de Gestión de Derechos de los Productores Audiovisuales</w:t>
            </w:r>
          </w:p>
        </w:tc>
      </w:tr>
      <w:tr w:rsidR="00801C81" w:rsidRPr="00A32AF4" w:rsidTr="00477D27">
        <w:tc>
          <w:tcPr>
            <w:tcW w:w="1384" w:type="dxa"/>
            <w:shd w:val="clear" w:color="auto" w:fill="auto"/>
          </w:tcPr>
          <w:p w:rsidR="00801C81" w:rsidRPr="00A32AF4" w:rsidRDefault="00801C81" w:rsidP="00DC0553">
            <w:pPr>
              <w:rPr>
                <w:rFonts w:eastAsia="Batang"/>
                <w:lang w:eastAsia="ko-KR"/>
              </w:rPr>
            </w:pPr>
            <w:r w:rsidRPr="00A32AF4">
              <w:rPr>
                <w:rFonts w:eastAsia="Batang"/>
                <w:lang w:eastAsia="ko-KR"/>
              </w:rPr>
              <w:t>ERP</w:t>
            </w:r>
          </w:p>
        </w:tc>
        <w:tc>
          <w:tcPr>
            <w:tcW w:w="7827" w:type="dxa"/>
            <w:shd w:val="clear" w:color="auto" w:fill="auto"/>
          </w:tcPr>
          <w:p w:rsidR="00801C81" w:rsidRPr="00A32AF4" w:rsidRDefault="00801C81" w:rsidP="00DC0553">
            <w:pPr>
              <w:rPr>
                <w:rFonts w:eastAsia="Batang"/>
                <w:lang w:eastAsia="ko-KR"/>
              </w:rPr>
            </w:pPr>
            <w:r w:rsidRPr="00A32AF4">
              <w:rPr>
                <w:rFonts w:eastAsia="Batang"/>
                <w:lang w:eastAsia="ko-KR"/>
              </w:rPr>
              <w:t>planification des ressources de l</w:t>
            </w:r>
            <w:r w:rsidR="00E2055A" w:rsidRPr="00A32AF4">
              <w:rPr>
                <w:rFonts w:eastAsia="Batang"/>
                <w:lang w:eastAsia="ko-KR"/>
              </w:rPr>
              <w:t>’</w:t>
            </w:r>
            <w:r w:rsidRPr="00A32AF4">
              <w:rPr>
                <w:rFonts w:eastAsia="Batang"/>
                <w:lang w:eastAsia="ko-KR"/>
              </w:rPr>
              <w:t>Organisation</w:t>
            </w:r>
          </w:p>
        </w:tc>
      </w:tr>
      <w:tr w:rsidR="00801C81" w:rsidRPr="00A32AF4" w:rsidTr="00477D27">
        <w:tc>
          <w:tcPr>
            <w:tcW w:w="1384" w:type="dxa"/>
            <w:shd w:val="clear" w:color="auto" w:fill="auto"/>
          </w:tcPr>
          <w:p w:rsidR="00801C81" w:rsidRPr="00A32AF4" w:rsidRDefault="00801C81" w:rsidP="00DC0553">
            <w:pPr>
              <w:rPr>
                <w:rFonts w:eastAsia="Batang"/>
                <w:lang w:eastAsia="ko-KR"/>
              </w:rPr>
            </w:pPr>
            <w:r w:rsidRPr="00A32AF4">
              <w:rPr>
                <w:rFonts w:eastAsia="Batang"/>
                <w:lang w:eastAsia="ko-KR"/>
              </w:rPr>
              <w:t>ETSI</w:t>
            </w:r>
          </w:p>
        </w:tc>
        <w:tc>
          <w:tcPr>
            <w:tcW w:w="7827" w:type="dxa"/>
            <w:shd w:val="clear" w:color="auto" w:fill="auto"/>
          </w:tcPr>
          <w:p w:rsidR="00801C81" w:rsidRPr="00A32AF4" w:rsidRDefault="00801C81" w:rsidP="00DC0553">
            <w:pPr>
              <w:rPr>
                <w:rFonts w:eastAsia="Batang"/>
                <w:lang w:eastAsia="ko-KR"/>
              </w:rPr>
            </w:pPr>
            <w:r w:rsidRPr="00A32AF4">
              <w:rPr>
                <w:rFonts w:eastAsia="Batang"/>
                <w:lang w:eastAsia="ko-KR"/>
              </w:rPr>
              <w:t>Institut européen des normes de télécommunications</w:t>
            </w:r>
          </w:p>
        </w:tc>
      </w:tr>
      <w:tr w:rsidR="00801C81" w:rsidRPr="00A32AF4" w:rsidTr="00477D27">
        <w:tc>
          <w:tcPr>
            <w:tcW w:w="1384" w:type="dxa"/>
            <w:shd w:val="clear" w:color="auto" w:fill="auto"/>
          </w:tcPr>
          <w:p w:rsidR="00801C81" w:rsidRPr="00A32AF4" w:rsidRDefault="00801C81" w:rsidP="00DC0553">
            <w:pPr>
              <w:rPr>
                <w:rFonts w:eastAsia="Batang"/>
                <w:lang w:eastAsia="ko-KR"/>
              </w:rPr>
            </w:pPr>
          </w:p>
        </w:tc>
        <w:tc>
          <w:tcPr>
            <w:tcW w:w="7827" w:type="dxa"/>
            <w:shd w:val="clear" w:color="auto" w:fill="auto"/>
          </w:tcPr>
          <w:p w:rsidR="00801C81" w:rsidRPr="00A32AF4" w:rsidRDefault="00801C81" w:rsidP="00DC0553">
            <w:pPr>
              <w:rPr>
                <w:rFonts w:eastAsia="Batang"/>
                <w:lang w:eastAsia="ko-KR"/>
              </w:rPr>
            </w:pPr>
          </w:p>
        </w:tc>
      </w:tr>
      <w:tr w:rsidR="00801C81" w:rsidRPr="00A32AF4" w:rsidTr="00477D27">
        <w:tc>
          <w:tcPr>
            <w:tcW w:w="1384" w:type="dxa"/>
            <w:shd w:val="clear" w:color="auto" w:fill="auto"/>
          </w:tcPr>
          <w:p w:rsidR="00801C81" w:rsidRPr="00A32AF4" w:rsidRDefault="00801C81" w:rsidP="00DC0553">
            <w:pPr>
              <w:rPr>
                <w:rFonts w:eastAsia="Batang"/>
                <w:lang w:eastAsia="ko-KR"/>
              </w:rPr>
            </w:pPr>
            <w:r w:rsidRPr="00A32AF4">
              <w:rPr>
                <w:rFonts w:eastAsia="Batang"/>
                <w:b/>
                <w:lang w:eastAsia="ko-KR"/>
              </w:rPr>
              <w:t>F</w:t>
            </w:r>
            <w:r w:rsidRPr="00A32AF4">
              <w:rPr>
                <w:rFonts w:eastAsia="Batang"/>
                <w:lang w:eastAsia="ko-KR"/>
              </w:rPr>
              <w:t xml:space="preserve">AO </w:t>
            </w:r>
          </w:p>
        </w:tc>
        <w:tc>
          <w:tcPr>
            <w:tcW w:w="7827" w:type="dxa"/>
            <w:shd w:val="clear" w:color="auto" w:fill="auto"/>
          </w:tcPr>
          <w:p w:rsidR="00801C81" w:rsidRPr="00A32AF4" w:rsidRDefault="00801C81" w:rsidP="00DC0553">
            <w:pPr>
              <w:rPr>
                <w:rFonts w:eastAsia="Batang"/>
                <w:lang w:eastAsia="ko-KR"/>
              </w:rPr>
            </w:pPr>
            <w:r w:rsidRPr="00A32AF4">
              <w:rPr>
                <w:rFonts w:eastAsia="Batang"/>
                <w:lang w:eastAsia="ko-KR"/>
              </w:rPr>
              <w:t xml:space="preserve">Organisation des </w:t>
            </w:r>
            <w:r w:rsidR="00E2055A" w:rsidRPr="00A32AF4">
              <w:rPr>
                <w:rFonts w:eastAsia="Batang"/>
                <w:lang w:eastAsia="ko-KR"/>
              </w:rPr>
              <w:t>Nations Unies</w:t>
            </w:r>
            <w:r w:rsidRPr="00A32AF4">
              <w:rPr>
                <w:rFonts w:eastAsia="Batang"/>
                <w:lang w:eastAsia="ko-KR"/>
              </w:rPr>
              <w:t xml:space="preserve"> pour l</w:t>
            </w:r>
            <w:r w:rsidR="00E2055A" w:rsidRPr="00A32AF4">
              <w:rPr>
                <w:rFonts w:eastAsia="Batang"/>
                <w:lang w:eastAsia="ko-KR"/>
              </w:rPr>
              <w:t>’</w:t>
            </w:r>
            <w:r w:rsidRPr="00A32AF4">
              <w:rPr>
                <w:rFonts w:eastAsia="Batang"/>
                <w:lang w:eastAsia="ko-KR"/>
              </w:rPr>
              <w:t>alimentation et l</w:t>
            </w:r>
            <w:r w:rsidR="00E2055A" w:rsidRPr="00A32AF4">
              <w:rPr>
                <w:rFonts w:eastAsia="Batang"/>
                <w:lang w:eastAsia="ko-KR"/>
              </w:rPr>
              <w:t>’</w:t>
            </w:r>
            <w:r w:rsidRPr="00A32AF4">
              <w:rPr>
                <w:rFonts w:eastAsia="Batang"/>
                <w:lang w:eastAsia="ko-KR"/>
              </w:rPr>
              <w:t>agriculture</w:t>
            </w:r>
          </w:p>
        </w:tc>
      </w:tr>
      <w:tr w:rsidR="00801C81" w:rsidRPr="00A32AF4" w:rsidTr="00477D27">
        <w:tc>
          <w:tcPr>
            <w:tcW w:w="1384" w:type="dxa"/>
            <w:shd w:val="clear" w:color="auto" w:fill="auto"/>
          </w:tcPr>
          <w:p w:rsidR="00801C81" w:rsidRPr="00A32AF4" w:rsidRDefault="00801C81" w:rsidP="00DC0553">
            <w:pPr>
              <w:rPr>
                <w:rFonts w:eastAsia="Batang"/>
                <w:lang w:eastAsia="ko-KR"/>
              </w:rPr>
            </w:pPr>
          </w:p>
        </w:tc>
        <w:tc>
          <w:tcPr>
            <w:tcW w:w="7827" w:type="dxa"/>
            <w:shd w:val="clear" w:color="auto" w:fill="auto"/>
          </w:tcPr>
          <w:p w:rsidR="00801C81" w:rsidRPr="00A32AF4" w:rsidRDefault="00801C81" w:rsidP="00DC0553">
            <w:pPr>
              <w:rPr>
                <w:rFonts w:eastAsia="Batang"/>
                <w:lang w:eastAsia="ko-KR"/>
              </w:rPr>
            </w:pPr>
          </w:p>
        </w:tc>
      </w:tr>
      <w:tr w:rsidR="00801C81" w:rsidRPr="00A32AF4" w:rsidTr="00477D27">
        <w:tc>
          <w:tcPr>
            <w:tcW w:w="1384" w:type="dxa"/>
            <w:shd w:val="clear" w:color="auto" w:fill="auto"/>
          </w:tcPr>
          <w:p w:rsidR="00801C81" w:rsidRPr="00A32AF4" w:rsidRDefault="00801C81" w:rsidP="00DC0553">
            <w:pPr>
              <w:rPr>
                <w:rFonts w:eastAsia="Batang"/>
                <w:lang w:eastAsia="ko-KR"/>
              </w:rPr>
            </w:pPr>
            <w:r w:rsidRPr="00A32AF4">
              <w:rPr>
                <w:rFonts w:eastAsia="Batang"/>
                <w:b/>
                <w:bCs/>
                <w:lang w:eastAsia="ko-KR"/>
              </w:rPr>
              <w:t>g</w:t>
            </w:r>
            <w:r w:rsidRPr="00A32AF4">
              <w:rPr>
                <w:rFonts w:eastAsia="Batang"/>
                <w:lang w:eastAsia="ko-KR"/>
              </w:rPr>
              <w:t xml:space="preserve">TLD </w:t>
            </w:r>
          </w:p>
        </w:tc>
        <w:tc>
          <w:tcPr>
            <w:tcW w:w="7827" w:type="dxa"/>
            <w:shd w:val="clear" w:color="auto" w:fill="auto"/>
          </w:tcPr>
          <w:p w:rsidR="00801C81" w:rsidRPr="00A32AF4" w:rsidRDefault="00801C81" w:rsidP="00DC0553">
            <w:pPr>
              <w:rPr>
                <w:rFonts w:eastAsia="Batang"/>
                <w:lang w:eastAsia="ko-KR"/>
              </w:rPr>
            </w:pPr>
            <w:r w:rsidRPr="00A32AF4">
              <w:rPr>
                <w:rFonts w:eastAsia="Batang"/>
                <w:lang w:eastAsia="ko-KR"/>
              </w:rPr>
              <w:t>domaine générique de premier niveau</w:t>
            </w:r>
          </w:p>
        </w:tc>
      </w:tr>
      <w:tr w:rsidR="00801C81" w:rsidRPr="00A32AF4" w:rsidTr="00477D27">
        <w:tc>
          <w:tcPr>
            <w:tcW w:w="1384" w:type="dxa"/>
            <w:shd w:val="clear" w:color="auto" w:fill="auto"/>
          </w:tcPr>
          <w:p w:rsidR="00801C81" w:rsidRPr="00A32AF4" w:rsidRDefault="00801C81" w:rsidP="00DC0553">
            <w:r w:rsidRPr="00A32AF4">
              <w:t xml:space="preserve">GNIPA </w:t>
            </w:r>
          </w:p>
        </w:tc>
        <w:tc>
          <w:tcPr>
            <w:tcW w:w="7827" w:type="dxa"/>
            <w:shd w:val="clear" w:color="auto" w:fill="auto"/>
          </w:tcPr>
          <w:p w:rsidR="00801C81" w:rsidRPr="00A32AF4" w:rsidRDefault="00801C81" w:rsidP="00DC0553">
            <w:pPr>
              <w:rPr>
                <w:rFonts w:eastAsia="Batang"/>
                <w:lang w:eastAsia="ko-KR"/>
              </w:rPr>
            </w:pPr>
            <w:r w:rsidRPr="00A32AF4">
              <w:t>Réseau mondial d</w:t>
            </w:r>
            <w:r w:rsidR="00E2055A" w:rsidRPr="00A32AF4">
              <w:t>’</w:t>
            </w:r>
            <w:r w:rsidRPr="00A32AF4">
              <w:t>académies de la propriété intellectuelle</w:t>
            </w:r>
          </w:p>
        </w:tc>
      </w:tr>
      <w:tr w:rsidR="00801C81" w:rsidRPr="00A32AF4" w:rsidTr="00477D27">
        <w:tc>
          <w:tcPr>
            <w:tcW w:w="1384" w:type="dxa"/>
            <w:shd w:val="clear" w:color="auto" w:fill="auto"/>
          </w:tcPr>
          <w:p w:rsidR="00801C81" w:rsidRPr="00A32AF4" w:rsidRDefault="00801C81" w:rsidP="00DC0553">
            <w:pPr>
              <w:rPr>
                <w:rFonts w:eastAsia="Batang"/>
                <w:b/>
                <w:lang w:eastAsia="ko-KR"/>
              </w:rPr>
            </w:pPr>
          </w:p>
        </w:tc>
        <w:tc>
          <w:tcPr>
            <w:tcW w:w="7827" w:type="dxa"/>
            <w:shd w:val="clear" w:color="auto" w:fill="auto"/>
          </w:tcPr>
          <w:p w:rsidR="00801C81" w:rsidRPr="00A32AF4" w:rsidRDefault="00801C81" w:rsidP="00DC0553">
            <w:pPr>
              <w:rPr>
                <w:rFonts w:eastAsia="Batang"/>
                <w:b/>
                <w:lang w:eastAsia="ko-KR"/>
              </w:rPr>
            </w:pPr>
          </w:p>
        </w:tc>
      </w:tr>
      <w:tr w:rsidR="00801C81" w:rsidRPr="00A32AF4" w:rsidTr="00477D27">
        <w:tc>
          <w:tcPr>
            <w:tcW w:w="1384" w:type="dxa"/>
            <w:shd w:val="clear" w:color="auto" w:fill="auto"/>
          </w:tcPr>
          <w:p w:rsidR="00801C81" w:rsidRPr="00A32AF4" w:rsidRDefault="00801C81" w:rsidP="00DC0553">
            <w:pPr>
              <w:rPr>
                <w:rFonts w:eastAsia="Batang"/>
                <w:bCs/>
                <w:lang w:eastAsia="ko-KR"/>
              </w:rPr>
            </w:pPr>
            <w:r w:rsidRPr="00A32AF4">
              <w:rPr>
                <w:rFonts w:eastAsia="Batang"/>
                <w:b/>
                <w:lang w:eastAsia="ko-KR"/>
              </w:rPr>
              <w:t>I</w:t>
            </w:r>
            <w:r w:rsidRPr="00A32AF4">
              <w:rPr>
                <w:rFonts w:eastAsia="Batang"/>
                <w:bCs/>
                <w:lang w:eastAsia="ko-KR"/>
              </w:rPr>
              <w:t>IA</w:t>
            </w:r>
          </w:p>
        </w:tc>
        <w:tc>
          <w:tcPr>
            <w:tcW w:w="7827" w:type="dxa"/>
            <w:shd w:val="clear" w:color="auto" w:fill="auto"/>
          </w:tcPr>
          <w:p w:rsidR="00801C81" w:rsidRPr="00A32AF4" w:rsidRDefault="00801C81" w:rsidP="00DC0553">
            <w:pPr>
              <w:rPr>
                <w:rFonts w:eastAsia="Batang"/>
                <w:bCs/>
                <w:lang w:eastAsia="ko-KR"/>
              </w:rPr>
            </w:pPr>
            <w:r w:rsidRPr="00A32AF4">
              <w:rPr>
                <w:rFonts w:eastAsia="Batang"/>
                <w:bCs/>
                <w:lang w:eastAsia="ko-KR"/>
              </w:rPr>
              <w:t>Institut des auditeurs internes</w:t>
            </w:r>
          </w:p>
        </w:tc>
      </w:tr>
      <w:tr w:rsidR="00801C81" w:rsidRPr="00A32AF4" w:rsidTr="00477D27">
        <w:tc>
          <w:tcPr>
            <w:tcW w:w="1384" w:type="dxa"/>
            <w:shd w:val="clear" w:color="auto" w:fill="auto"/>
          </w:tcPr>
          <w:p w:rsidR="00801C81" w:rsidRPr="00A32AF4" w:rsidRDefault="00801C81" w:rsidP="00DC0553">
            <w:pPr>
              <w:rPr>
                <w:rFonts w:eastAsia="Batang"/>
                <w:lang w:eastAsia="ko-KR"/>
              </w:rPr>
            </w:pPr>
            <w:r w:rsidRPr="00A32AF4">
              <w:rPr>
                <w:rFonts w:eastAsia="Batang"/>
                <w:bCs/>
                <w:lang w:eastAsia="ko-KR"/>
              </w:rPr>
              <w:t>ICANN</w:t>
            </w:r>
            <w:r w:rsidRPr="00A32AF4">
              <w:rPr>
                <w:rFonts w:eastAsia="Batang"/>
                <w:lang w:eastAsia="ko-KR"/>
              </w:rPr>
              <w:t xml:space="preserve"> </w:t>
            </w:r>
          </w:p>
        </w:tc>
        <w:tc>
          <w:tcPr>
            <w:tcW w:w="7827" w:type="dxa"/>
            <w:shd w:val="clear" w:color="auto" w:fill="auto"/>
          </w:tcPr>
          <w:p w:rsidR="00801C81" w:rsidRPr="00A32AF4" w:rsidRDefault="00801C81" w:rsidP="00DC0553">
            <w:pPr>
              <w:rPr>
                <w:rFonts w:eastAsia="Batang"/>
                <w:lang w:eastAsia="ko-KR"/>
              </w:rPr>
            </w:pPr>
            <w:r w:rsidRPr="00A32AF4">
              <w:rPr>
                <w:rFonts w:eastAsia="Batang"/>
                <w:lang w:eastAsia="ko-KR"/>
              </w:rPr>
              <w:t>Internet Corporation for Assigned Names and Numbers</w:t>
            </w:r>
          </w:p>
        </w:tc>
      </w:tr>
      <w:tr w:rsidR="00801C81" w:rsidRPr="00A32AF4" w:rsidTr="00477D27">
        <w:tc>
          <w:tcPr>
            <w:tcW w:w="1384" w:type="dxa"/>
            <w:shd w:val="clear" w:color="auto" w:fill="auto"/>
          </w:tcPr>
          <w:p w:rsidR="00801C81" w:rsidRPr="00A32AF4" w:rsidRDefault="00801C81" w:rsidP="00DC0553">
            <w:pPr>
              <w:rPr>
                <w:rFonts w:eastAsia="Batang"/>
                <w:bCs/>
                <w:lang w:eastAsia="ko-KR"/>
              </w:rPr>
            </w:pPr>
            <w:r w:rsidRPr="00A32AF4">
              <w:rPr>
                <w:rFonts w:eastAsia="Batang"/>
                <w:bCs/>
                <w:lang w:eastAsia="ko-KR"/>
              </w:rPr>
              <w:t>ICOM</w:t>
            </w:r>
          </w:p>
        </w:tc>
        <w:tc>
          <w:tcPr>
            <w:tcW w:w="7827" w:type="dxa"/>
            <w:shd w:val="clear" w:color="auto" w:fill="auto"/>
          </w:tcPr>
          <w:p w:rsidR="00801C81" w:rsidRPr="00A32AF4" w:rsidRDefault="00801C81" w:rsidP="00DC0553">
            <w:pPr>
              <w:rPr>
                <w:rFonts w:eastAsia="Batang"/>
                <w:lang w:eastAsia="ko-KR"/>
              </w:rPr>
            </w:pPr>
            <w:r w:rsidRPr="00A32AF4">
              <w:rPr>
                <w:rFonts w:eastAsia="Batang"/>
                <w:lang w:eastAsia="ko-KR"/>
              </w:rPr>
              <w:t>Conseil international des musées</w:t>
            </w:r>
          </w:p>
        </w:tc>
      </w:tr>
      <w:tr w:rsidR="00801C81" w:rsidRPr="00A32AF4" w:rsidTr="00477D27">
        <w:tc>
          <w:tcPr>
            <w:tcW w:w="1384" w:type="dxa"/>
            <w:shd w:val="clear" w:color="auto" w:fill="auto"/>
          </w:tcPr>
          <w:p w:rsidR="00801C81" w:rsidRPr="00A32AF4" w:rsidRDefault="00801C81" w:rsidP="00DC0553">
            <w:pPr>
              <w:rPr>
                <w:rFonts w:eastAsia="Batang"/>
                <w:lang w:eastAsia="ko-KR"/>
              </w:rPr>
            </w:pPr>
            <w:r w:rsidRPr="00A32AF4">
              <w:rPr>
                <w:rFonts w:eastAsia="Batang"/>
                <w:lang w:eastAsia="ko-KR"/>
              </w:rPr>
              <w:t xml:space="preserve">ICSEI </w:t>
            </w:r>
          </w:p>
        </w:tc>
        <w:tc>
          <w:tcPr>
            <w:tcW w:w="7827" w:type="dxa"/>
            <w:shd w:val="clear" w:color="auto" w:fill="auto"/>
          </w:tcPr>
          <w:p w:rsidR="00801C81" w:rsidRPr="00A32AF4" w:rsidRDefault="00801C81" w:rsidP="00DC0553">
            <w:pPr>
              <w:rPr>
                <w:rFonts w:eastAsia="Batang"/>
                <w:lang w:eastAsia="ko-KR"/>
              </w:rPr>
            </w:pPr>
            <w:r w:rsidRPr="00A32AF4">
              <w:rPr>
                <w:rFonts w:eastAsia="Batang"/>
                <w:lang w:eastAsia="ko-KR"/>
              </w:rPr>
              <w:t>Coopération internationale pour la recherche et l</w:t>
            </w:r>
            <w:r w:rsidR="00E2055A" w:rsidRPr="00A32AF4">
              <w:rPr>
                <w:rFonts w:eastAsia="Batang"/>
                <w:lang w:eastAsia="ko-KR"/>
              </w:rPr>
              <w:t>’</w:t>
            </w:r>
            <w:r w:rsidRPr="00A32AF4">
              <w:rPr>
                <w:rFonts w:eastAsia="Batang"/>
                <w:lang w:eastAsia="ko-KR"/>
              </w:rPr>
              <w:t>examen des inventions</w:t>
            </w:r>
          </w:p>
        </w:tc>
      </w:tr>
      <w:tr w:rsidR="00801C81" w:rsidRPr="00A32AF4" w:rsidTr="00477D27">
        <w:tc>
          <w:tcPr>
            <w:tcW w:w="1384" w:type="dxa"/>
            <w:shd w:val="clear" w:color="auto" w:fill="auto"/>
          </w:tcPr>
          <w:p w:rsidR="00801C81" w:rsidRPr="00A32AF4" w:rsidRDefault="00801C81" w:rsidP="00DC0553">
            <w:pPr>
              <w:rPr>
                <w:rFonts w:eastAsia="Batang"/>
                <w:lang w:eastAsia="ko-KR"/>
              </w:rPr>
            </w:pPr>
            <w:r w:rsidRPr="00A32AF4">
              <w:rPr>
                <w:rFonts w:eastAsia="Batang"/>
                <w:lang w:eastAsia="ko-KR"/>
              </w:rPr>
              <w:t xml:space="preserve">IGC </w:t>
            </w:r>
          </w:p>
        </w:tc>
        <w:tc>
          <w:tcPr>
            <w:tcW w:w="7827" w:type="dxa"/>
            <w:shd w:val="clear" w:color="auto" w:fill="auto"/>
          </w:tcPr>
          <w:p w:rsidR="00801C81" w:rsidRPr="00A32AF4" w:rsidRDefault="00801C81" w:rsidP="00DC0553">
            <w:pPr>
              <w:rPr>
                <w:rFonts w:eastAsia="Batang"/>
                <w:lang w:eastAsia="ko-KR"/>
              </w:rPr>
            </w:pPr>
            <w:r w:rsidRPr="00A32AF4">
              <w:rPr>
                <w:rFonts w:eastAsia="Batang"/>
                <w:lang w:eastAsia="ko-KR"/>
              </w:rPr>
              <w:t>Comité intergouvernemental de la propriété intellectuelle relative aux ressources génétiques, aux savoirs traditionnels et au folklore</w:t>
            </w:r>
          </w:p>
        </w:tc>
      </w:tr>
      <w:tr w:rsidR="00801C81" w:rsidRPr="00A32AF4" w:rsidTr="00477D27">
        <w:tc>
          <w:tcPr>
            <w:tcW w:w="1384" w:type="dxa"/>
            <w:shd w:val="clear" w:color="auto" w:fill="auto"/>
          </w:tcPr>
          <w:p w:rsidR="00801C81" w:rsidRPr="00A32AF4" w:rsidRDefault="00801C81" w:rsidP="00DC0553">
            <w:pPr>
              <w:rPr>
                <w:rFonts w:eastAsia="Batang"/>
                <w:lang w:eastAsia="ko-KR"/>
              </w:rPr>
            </w:pPr>
            <w:r w:rsidRPr="00A32AF4">
              <w:rPr>
                <w:rFonts w:eastAsia="Batang"/>
                <w:lang w:eastAsia="ko-KR"/>
              </w:rPr>
              <w:t>IMPI</w:t>
            </w:r>
          </w:p>
        </w:tc>
        <w:tc>
          <w:tcPr>
            <w:tcW w:w="7827" w:type="dxa"/>
            <w:shd w:val="clear" w:color="auto" w:fill="auto"/>
          </w:tcPr>
          <w:p w:rsidR="00801C81" w:rsidRPr="00A32AF4" w:rsidRDefault="00801C81" w:rsidP="00DC0553">
            <w:pPr>
              <w:rPr>
                <w:rFonts w:eastAsia="Batang"/>
                <w:lang w:eastAsia="ko-KR"/>
              </w:rPr>
            </w:pPr>
            <w:r w:rsidRPr="00A32AF4">
              <w:rPr>
                <w:rFonts w:eastAsia="Batang"/>
                <w:lang w:eastAsia="ko-KR"/>
              </w:rPr>
              <w:t>Institut mexicain de la propriété industrielle</w:t>
            </w:r>
          </w:p>
        </w:tc>
      </w:tr>
      <w:tr w:rsidR="00801C81" w:rsidRPr="00A32AF4" w:rsidTr="00477D27">
        <w:tc>
          <w:tcPr>
            <w:tcW w:w="1384" w:type="dxa"/>
            <w:shd w:val="clear" w:color="auto" w:fill="auto"/>
          </w:tcPr>
          <w:p w:rsidR="00801C81" w:rsidRPr="00A32AF4" w:rsidRDefault="00801C81" w:rsidP="00DC0553">
            <w:pPr>
              <w:rPr>
                <w:rFonts w:eastAsia="Batang"/>
                <w:lang w:eastAsia="ko-KR"/>
              </w:rPr>
            </w:pPr>
            <w:r w:rsidRPr="00A32AF4">
              <w:rPr>
                <w:rFonts w:eastAsia="Batang"/>
                <w:lang w:eastAsia="ko-KR"/>
              </w:rPr>
              <w:t>INP</w:t>
            </w:r>
            <w:r w:rsidR="00EB7F54" w:rsidRPr="00A32AF4">
              <w:rPr>
                <w:rFonts w:eastAsia="Batang"/>
                <w:lang w:eastAsia="ko-KR"/>
              </w:rPr>
              <w:noBreakHyphen/>
            </w:r>
            <w:r w:rsidRPr="00A32AF4">
              <w:rPr>
                <w:rFonts w:eastAsia="Batang"/>
                <w:lang w:eastAsia="ko-KR"/>
              </w:rPr>
              <w:t>BR</w:t>
            </w:r>
          </w:p>
        </w:tc>
        <w:tc>
          <w:tcPr>
            <w:tcW w:w="7827" w:type="dxa"/>
            <w:shd w:val="clear" w:color="auto" w:fill="auto"/>
          </w:tcPr>
          <w:p w:rsidR="00801C81" w:rsidRPr="00A32AF4" w:rsidRDefault="00801C81" w:rsidP="00DC0553">
            <w:pPr>
              <w:rPr>
                <w:rFonts w:eastAsia="Batang"/>
                <w:lang w:eastAsia="ko-KR"/>
              </w:rPr>
            </w:pPr>
            <w:r w:rsidRPr="00A32AF4">
              <w:rPr>
                <w:rFonts w:eastAsia="Batang"/>
                <w:lang w:eastAsia="ko-KR"/>
              </w:rPr>
              <w:t>Institut brésilien de la propriété intellectuelle</w:t>
            </w:r>
          </w:p>
        </w:tc>
      </w:tr>
      <w:tr w:rsidR="00801C81" w:rsidRPr="00A32AF4" w:rsidTr="00477D27">
        <w:tc>
          <w:tcPr>
            <w:tcW w:w="1384" w:type="dxa"/>
            <w:shd w:val="clear" w:color="auto" w:fill="auto"/>
          </w:tcPr>
          <w:p w:rsidR="00801C81" w:rsidRPr="00A32AF4" w:rsidRDefault="00801C81" w:rsidP="00DC0553">
            <w:pPr>
              <w:rPr>
                <w:rFonts w:eastAsia="Batang"/>
                <w:lang w:eastAsia="ko-KR"/>
              </w:rPr>
            </w:pPr>
            <w:r w:rsidRPr="00A32AF4">
              <w:rPr>
                <w:rFonts w:eastAsia="Batang"/>
                <w:lang w:eastAsia="ko-KR"/>
              </w:rPr>
              <w:t xml:space="preserve">IPACIS </w:t>
            </w:r>
          </w:p>
        </w:tc>
        <w:tc>
          <w:tcPr>
            <w:tcW w:w="7827" w:type="dxa"/>
            <w:shd w:val="clear" w:color="auto" w:fill="auto"/>
          </w:tcPr>
          <w:p w:rsidR="00801C81" w:rsidRPr="00A32AF4" w:rsidRDefault="00801C81" w:rsidP="00DC0553">
            <w:pPr>
              <w:rPr>
                <w:rFonts w:eastAsia="Batang"/>
                <w:lang w:eastAsia="ko-KR"/>
              </w:rPr>
            </w:pPr>
            <w:r w:rsidRPr="00A32AF4">
              <w:rPr>
                <w:rFonts w:eastAsia="Batang"/>
                <w:lang w:eastAsia="ko-KR"/>
              </w:rPr>
              <w:t>Assemblée interparlementaire des États membres de la CEI</w:t>
            </w:r>
          </w:p>
        </w:tc>
      </w:tr>
      <w:tr w:rsidR="00801C81" w:rsidRPr="00A32AF4" w:rsidTr="00477D27">
        <w:tc>
          <w:tcPr>
            <w:tcW w:w="1384" w:type="dxa"/>
            <w:shd w:val="clear" w:color="auto" w:fill="auto"/>
          </w:tcPr>
          <w:p w:rsidR="00801C81" w:rsidRPr="00A32AF4" w:rsidRDefault="00801C81" w:rsidP="00DC0553">
            <w:pPr>
              <w:rPr>
                <w:rFonts w:eastAsia="Batang"/>
                <w:lang w:eastAsia="ko-KR"/>
              </w:rPr>
            </w:pPr>
            <w:r w:rsidRPr="00A32AF4">
              <w:rPr>
                <w:rFonts w:eastAsia="Batang"/>
                <w:lang w:eastAsia="ko-KR"/>
              </w:rPr>
              <w:t>IPAG</w:t>
            </w:r>
          </w:p>
        </w:tc>
        <w:tc>
          <w:tcPr>
            <w:tcW w:w="7827" w:type="dxa"/>
            <w:shd w:val="clear" w:color="auto" w:fill="auto"/>
          </w:tcPr>
          <w:p w:rsidR="00801C81" w:rsidRPr="00A32AF4" w:rsidRDefault="00801C81" w:rsidP="00DC0553">
            <w:pPr>
              <w:rPr>
                <w:rFonts w:eastAsia="Batang"/>
                <w:lang w:eastAsia="ko-KR"/>
              </w:rPr>
            </w:pPr>
            <w:r w:rsidRPr="00A32AF4">
              <w:rPr>
                <w:rFonts w:eastAsia="Batang"/>
                <w:lang w:eastAsia="ko-KR"/>
              </w:rPr>
              <w:t>Intellectual Property Agreement Guide</w:t>
            </w:r>
          </w:p>
        </w:tc>
      </w:tr>
      <w:tr w:rsidR="00801C81" w:rsidRPr="00A32AF4" w:rsidTr="00477D27">
        <w:tc>
          <w:tcPr>
            <w:tcW w:w="1384" w:type="dxa"/>
            <w:shd w:val="clear" w:color="auto" w:fill="auto"/>
          </w:tcPr>
          <w:p w:rsidR="00801C81" w:rsidRPr="00A32AF4" w:rsidRDefault="00801C81">
            <w:pPr>
              <w:rPr>
                <w:rFonts w:eastAsia="Batang"/>
                <w:lang w:eastAsia="ko-KR"/>
              </w:rPr>
            </w:pPr>
            <w:r w:rsidRPr="00A32AF4">
              <w:rPr>
                <w:rFonts w:cs="Arial"/>
              </w:rPr>
              <w:t>IP</w:t>
            </w:r>
            <w:r w:rsidR="00EB7F54" w:rsidRPr="00A32AF4">
              <w:rPr>
                <w:rFonts w:cs="Arial"/>
              </w:rPr>
              <w:noBreakHyphen/>
            </w:r>
            <w:r w:rsidRPr="00A32AF4">
              <w:rPr>
                <w:rFonts w:cs="Arial"/>
              </w:rPr>
              <w:t>DMD</w:t>
            </w:r>
          </w:p>
        </w:tc>
        <w:tc>
          <w:tcPr>
            <w:tcW w:w="7827" w:type="dxa"/>
            <w:shd w:val="clear" w:color="auto" w:fill="auto"/>
          </w:tcPr>
          <w:p w:rsidR="00801C81" w:rsidRPr="00A32AF4" w:rsidRDefault="00801C81" w:rsidP="00DC0553">
            <w:pPr>
              <w:rPr>
                <w:rFonts w:eastAsia="Batang"/>
                <w:lang w:eastAsia="ko-KR"/>
              </w:rPr>
            </w:pPr>
            <w:r w:rsidRPr="00A32AF4">
              <w:rPr>
                <w:rStyle w:val="st"/>
                <w:rFonts w:cs="Arial"/>
              </w:rPr>
              <w:t>base de données de mise en parallèle des besoins de développement liés à la propriété intellectuelle</w:t>
            </w:r>
          </w:p>
        </w:tc>
      </w:tr>
      <w:tr w:rsidR="00801C81" w:rsidRPr="00A32AF4" w:rsidTr="00477D27">
        <w:tc>
          <w:tcPr>
            <w:tcW w:w="1384" w:type="dxa"/>
            <w:shd w:val="clear" w:color="auto" w:fill="auto"/>
          </w:tcPr>
          <w:p w:rsidR="00801C81" w:rsidRPr="00A32AF4" w:rsidRDefault="00801C81" w:rsidP="00DC0553">
            <w:r w:rsidRPr="00A32AF4">
              <w:t xml:space="preserve">IPoA </w:t>
            </w:r>
          </w:p>
        </w:tc>
        <w:tc>
          <w:tcPr>
            <w:tcW w:w="7827" w:type="dxa"/>
            <w:shd w:val="clear" w:color="auto" w:fill="auto"/>
          </w:tcPr>
          <w:p w:rsidR="00801C81" w:rsidRPr="00A32AF4" w:rsidRDefault="00801C81" w:rsidP="00DC0553">
            <w:pPr>
              <w:rPr>
                <w:rFonts w:eastAsia="Batang"/>
                <w:lang w:eastAsia="ko-KR"/>
              </w:rPr>
            </w:pPr>
            <w:r w:rsidRPr="00A32AF4">
              <w:t>Programme d</w:t>
            </w:r>
            <w:r w:rsidR="00E2055A" w:rsidRPr="00A32AF4">
              <w:t>’</w:t>
            </w:r>
            <w:r w:rsidRPr="00A32AF4">
              <w:t>action d</w:t>
            </w:r>
            <w:r w:rsidR="00E2055A" w:rsidRPr="00A32AF4">
              <w:t>’</w:t>
            </w:r>
            <w:r w:rsidRPr="00A32AF4">
              <w:t>Istanbul</w:t>
            </w:r>
          </w:p>
        </w:tc>
      </w:tr>
      <w:tr w:rsidR="00801C81" w:rsidRPr="00A32AF4" w:rsidTr="00477D27">
        <w:tc>
          <w:tcPr>
            <w:tcW w:w="1384" w:type="dxa"/>
            <w:shd w:val="clear" w:color="auto" w:fill="auto"/>
          </w:tcPr>
          <w:p w:rsidR="00801C81" w:rsidRPr="00A32AF4" w:rsidRDefault="00801C81" w:rsidP="00DC0553">
            <w:r w:rsidRPr="00A32AF4">
              <w:t>IPOPHL</w:t>
            </w:r>
          </w:p>
        </w:tc>
        <w:tc>
          <w:tcPr>
            <w:tcW w:w="7827" w:type="dxa"/>
            <w:shd w:val="clear" w:color="auto" w:fill="auto"/>
          </w:tcPr>
          <w:p w:rsidR="00801C81" w:rsidRPr="00A32AF4" w:rsidRDefault="00801C81" w:rsidP="00DC0553">
            <w:r w:rsidRPr="00A32AF4">
              <w:t>Office philippin de la propriété intellectuelle</w:t>
            </w:r>
          </w:p>
        </w:tc>
      </w:tr>
      <w:tr w:rsidR="00801C81" w:rsidRPr="00A32AF4" w:rsidTr="00477D27">
        <w:tc>
          <w:tcPr>
            <w:tcW w:w="1384" w:type="dxa"/>
            <w:shd w:val="clear" w:color="auto" w:fill="auto"/>
          </w:tcPr>
          <w:p w:rsidR="00801C81" w:rsidRPr="00A32AF4" w:rsidRDefault="00801C81">
            <w:r w:rsidRPr="00A32AF4">
              <w:t>IP</w:t>
            </w:r>
            <w:r w:rsidR="00EB7F54" w:rsidRPr="00A32AF4">
              <w:noBreakHyphen/>
            </w:r>
            <w:r w:rsidRPr="00A32AF4">
              <w:t>ROC</w:t>
            </w:r>
          </w:p>
        </w:tc>
        <w:tc>
          <w:tcPr>
            <w:tcW w:w="7827" w:type="dxa"/>
            <w:shd w:val="clear" w:color="auto" w:fill="auto"/>
          </w:tcPr>
          <w:p w:rsidR="00801C81" w:rsidRPr="00A32AF4" w:rsidRDefault="00801C81">
            <w:r w:rsidRPr="00A32AF4">
              <w:t>liste des consultants en matière de propriété intellectuelle</w:t>
            </w:r>
          </w:p>
        </w:tc>
      </w:tr>
      <w:tr w:rsidR="00801C81" w:rsidRPr="00A32AF4" w:rsidTr="00477D27">
        <w:tc>
          <w:tcPr>
            <w:tcW w:w="1384" w:type="dxa"/>
            <w:shd w:val="clear" w:color="auto" w:fill="auto"/>
          </w:tcPr>
          <w:p w:rsidR="00801C81" w:rsidRPr="00A32AF4" w:rsidRDefault="00801C81" w:rsidP="00DC0553">
            <w:pPr>
              <w:rPr>
                <w:rFonts w:eastAsia="Batang"/>
                <w:lang w:eastAsia="ko-KR"/>
              </w:rPr>
            </w:pPr>
            <w:r w:rsidRPr="00A32AF4">
              <w:rPr>
                <w:rFonts w:eastAsia="Batang"/>
                <w:lang w:eastAsia="ko-KR"/>
              </w:rPr>
              <w:t xml:space="preserve">IPSAS </w:t>
            </w:r>
          </w:p>
        </w:tc>
        <w:tc>
          <w:tcPr>
            <w:tcW w:w="7827" w:type="dxa"/>
            <w:shd w:val="clear" w:color="auto" w:fill="auto"/>
          </w:tcPr>
          <w:p w:rsidR="00801C81" w:rsidRPr="00A32AF4" w:rsidRDefault="00801C81" w:rsidP="00DC0553">
            <w:pPr>
              <w:rPr>
                <w:rFonts w:eastAsia="Batang"/>
                <w:lang w:eastAsia="ko-KR"/>
              </w:rPr>
            </w:pPr>
            <w:r w:rsidRPr="00A32AF4">
              <w:rPr>
                <w:rFonts w:eastAsia="Batang"/>
                <w:lang w:eastAsia="ko-KR"/>
              </w:rPr>
              <w:t>Normes comptables internationales pour le secteur public</w:t>
            </w:r>
          </w:p>
        </w:tc>
      </w:tr>
      <w:tr w:rsidR="00801C81" w:rsidRPr="00A32AF4" w:rsidTr="00477D27">
        <w:tc>
          <w:tcPr>
            <w:tcW w:w="1384" w:type="dxa"/>
            <w:shd w:val="clear" w:color="auto" w:fill="auto"/>
          </w:tcPr>
          <w:p w:rsidR="00801C81" w:rsidRPr="00A32AF4" w:rsidRDefault="00801C81">
            <w:pPr>
              <w:rPr>
                <w:rFonts w:eastAsia="Batang"/>
                <w:lang w:eastAsia="ko-KR"/>
              </w:rPr>
            </w:pPr>
            <w:r w:rsidRPr="00A32AF4">
              <w:rPr>
                <w:rFonts w:eastAsia="Batang"/>
                <w:lang w:eastAsia="ko-KR"/>
              </w:rPr>
              <w:t>IP</w:t>
            </w:r>
            <w:r w:rsidR="00EB7F54" w:rsidRPr="00A32AF4">
              <w:rPr>
                <w:rFonts w:eastAsia="Batang"/>
                <w:lang w:eastAsia="ko-KR"/>
              </w:rPr>
              <w:noBreakHyphen/>
            </w:r>
            <w:r w:rsidRPr="00A32AF4">
              <w:rPr>
                <w:rFonts w:eastAsia="Batang"/>
                <w:lang w:eastAsia="ko-KR"/>
              </w:rPr>
              <w:t>TAD</w:t>
            </w:r>
          </w:p>
        </w:tc>
        <w:tc>
          <w:tcPr>
            <w:tcW w:w="7827" w:type="dxa"/>
            <w:shd w:val="clear" w:color="auto" w:fill="auto"/>
          </w:tcPr>
          <w:p w:rsidR="00801C81" w:rsidRPr="00A32AF4" w:rsidRDefault="00801C81" w:rsidP="00DC0553">
            <w:pPr>
              <w:rPr>
                <w:rFonts w:eastAsia="Batang"/>
                <w:lang w:eastAsia="ko-KR"/>
              </w:rPr>
            </w:pPr>
            <w:r w:rsidRPr="00A32AF4">
              <w:rPr>
                <w:rFonts w:eastAsia="Batang"/>
                <w:lang w:eastAsia="ko-KR"/>
              </w:rPr>
              <w:t>base de données de l</w:t>
            </w:r>
            <w:r w:rsidR="00E2055A" w:rsidRPr="00A32AF4">
              <w:rPr>
                <w:rFonts w:eastAsia="Batang"/>
                <w:lang w:eastAsia="ko-KR"/>
              </w:rPr>
              <w:t>’</w:t>
            </w:r>
            <w:r w:rsidRPr="00A32AF4">
              <w:rPr>
                <w:rFonts w:eastAsia="Batang"/>
                <w:lang w:eastAsia="ko-KR"/>
              </w:rPr>
              <w:t>assistance technique</w:t>
            </w:r>
          </w:p>
        </w:tc>
      </w:tr>
      <w:tr w:rsidR="00801C81" w:rsidRPr="00A32AF4" w:rsidTr="00477D27">
        <w:tc>
          <w:tcPr>
            <w:tcW w:w="1384" w:type="dxa"/>
            <w:shd w:val="clear" w:color="auto" w:fill="auto"/>
          </w:tcPr>
          <w:p w:rsidR="00801C81" w:rsidRPr="00A32AF4" w:rsidRDefault="00801C81">
            <w:pPr>
              <w:rPr>
                <w:rFonts w:eastAsia="Batang"/>
                <w:lang w:eastAsia="ko-KR"/>
              </w:rPr>
            </w:pPr>
            <w:r w:rsidRPr="00A32AF4">
              <w:rPr>
                <w:rFonts w:eastAsia="Batang"/>
                <w:lang w:eastAsia="ko-KR"/>
              </w:rPr>
              <w:t>ISO</w:t>
            </w:r>
          </w:p>
        </w:tc>
        <w:tc>
          <w:tcPr>
            <w:tcW w:w="7827" w:type="dxa"/>
            <w:shd w:val="clear" w:color="auto" w:fill="auto"/>
          </w:tcPr>
          <w:p w:rsidR="00801C81" w:rsidRPr="00A32AF4" w:rsidRDefault="00801C81">
            <w:pPr>
              <w:rPr>
                <w:rFonts w:eastAsia="Batang"/>
                <w:lang w:eastAsia="ko-KR"/>
              </w:rPr>
            </w:pPr>
            <w:r w:rsidRPr="00A32AF4">
              <w:rPr>
                <w:rFonts w:eastAsia="Batang"/>
                <w:lang w:eastAsia="ko-KR"/>
              </w:rPr>
              <w:t xml:space="preserve">Organisation </w:t>
            </w:r>
            <w:r w:rsidR="00F1309D" w:rsidRPr="00A32AF4">
              <w:rPr>
                <w:rFonts w:eastAsia="Batang"/>
                <w:lang w:eastAsia="ko-KR"/>
              </w:rPr>
              <w:t>internationale</w:t>
            </w:r>
            <w:r w:rsidRPr="00A32AF4">
              <w:rPr>
                <w:rFonts w:eastAsia="Batang"/>
                <w:lang w:eastAsia="ko-KR"/>
              </w:rPr>
              <w:t xml:space="preserve"> de normalisation</w:t>
            </w:r>
          </w:p>
        </w:tc>
      </w:tr>
      <w:tr w:rsidR="00801C81" w:rsidRPr="00A32AF4" w:rsidTr="00477D27">
        <w:tc>
          <w:tcPr>
            <w:tcW w:w="1384" w:type="dxa"/>
            <w:shd w:val="clear" w:color="auto" w:fill="auto"/>
          </w:tcPr>
          <w:p w:rsidR="00801C81" w:rsidRPr="00A32AF4" w:rsidRDefault="00801C81" w:rsidP="00DC0553">
            <w:pPr>
              <w:rPr>
                <w:rFonts w:eastAsia="Batang"/>
                <w:lang w:eastAsia="ko-KR"/>
              </w:rPr>
            </w:pPr>
          </w:p>
        </w:tc>
        <w:tc>
          <w:tcPr>
            <w:tcW w:w="7827" w:type="dxa"/>
            <w:shd w:val="clear" w:color="auto" w:fill="auto"/>
          </w:tcPr>
          <w:p w:rsidR="00801C81" w:rsidRPr="00A32AF4" w:rsidRDefault="00801C81" w:rsidP="00DC0553">
            <w:pPr>
              <w:rPr>
                <w:rFonts w:eastAsia="Batang"/>
                <w:lang w:eastAsia="ko-KR"/>
              </w:rPr>
            </w:pPr>
          </w:p>
        </w:tc>
      </w:tr>
      <w:tr w:rsidR="00801C81" w:rsidRPr="00A32AF4" w:rsidTr="00477D27">
        <w:tc>
          <w:tcPr>
            <w:tcW w:w="1384" w:type="dxa"/>
            <w:shd w:val="clear" w:color="auto" w:fill="auto"/>
          </w:tcPr>
          <w:p w:rsidR="00801C81" w:rsidRPr="00A32AF4" w:rsidRDefault="00801C81" w:rsidP="00DC0553">
            <w:pPr>
              <w:rPr>
                <w:rFonts w:eastAsia="Batang"/>
                <w:lang w:eastAsia="ko-KR"/>
              </w:rPr>
            </w:pPr>
            <w:r w:rsidRPr="00A32AF4">
              <w:rPr>
                <w:rFonts w:eastAsia="Batang"/>
                <w:b/>
                <w:lang w:eastAsia="ko-KR"/>
              </w:rPr>
              <w:t>K</w:t>
            </w:r>
            <w:r w:rsidRPr="00A32AF4">
              <w:rPr>
                <w:rFonts w:eastAsia="Batang"/>
                <w:lang w:eastAsia="ko-KR"/>
              </w:rPr>
              <w:t>OTEC</w:t>
            </w:r>
          </w:p>
        </w:tc>
        <w:tc>
          <w:tcPr>
            <w:tcW w:w="7827" w:type="dxa"/>
            <w:shd w:val="clear" w:color="auto" w:fill="auto"/>
          </w:tcPr>
          <w:p w:rsidR="00801C81" w:rsidRPr="00A32AF4" w:rsidRDefault="00801C81" w:rsidP="00DC0553">
            <w:pPr>
              <w:rPr>
                <w:rFonts w:eastAsia="Batang"/>
                <w:lang w:eastAsia="ko-KR"/>
              </w:rPr>
            </w:pPr>
            <w:r w:rsidRPr="00A32AF4">
              <w:rPr>
                <w:rFonts w:eastAsia="Batang"/>
                <w:lang w:eastAsia="ko-KR"/>
              </w:rPr>
              <w:t>Korea Technology Finance Corporation</w:t>
            </w:r>
          </w:p>
        </w:tc>
      </w:tr>
      <w:tr w:rsidR="00801C81" w:rsidRPr="00A32AF4" w:rsidTr="00477D27">
        <w:tc>
          <w:tcPr>
            <w:tcW w:w="1384" w:type="dxa"/>
            <w:shd w:val="clear" w:color="auto" w:fill="auto"/>
          </w:tcPr>
          <w:p w:rsidR="00801C81" w:rsidRPr="00A32AF4" w:rsidRDefault="00801C81" w:rsidP="00DC0553">
            <w:pPr>
              <w:rPr>
                <w:rFonts w:eastAsia="Batang"/>
                <w:lang w:eastAsia="ko-KR"/>
              </w:rPr>
            </w:pPr>
          </w:p>
        </w:tc>
        <w:tc>
          <w:tcPr>
            <w:tcW w:w="7827" w:type="dxa"/>
            <w:shd w:val="clear" w:color="auto" w:fill="auto"/>
          </w:tcPr>
          <w:p w:rsidR="00801C81" w:rsidRPr="00A32AF4" w:rsidRDefault="00801C81" w:rsidP="00DC0553">
            <w:pPr>
              <w:rPr>
                <w:rFonts w:eastAsia="Batang"/>
                <w:lang w:eastAsia="ko-KR"/>
              </w:rPr>
            </w:pPr>
          </w:p>
        </w:tc>
      </w:tr>
      <w:tr w:rsidR="00801C81" w:rsidRPr="00A32AF4" w:rsidTr="00477D27">
        <w:tc>
          <w:tcPr>
            <w:tcW w:w="1384" w:type="dxa"/>
            <w:shd w:val="clear" w:color="auto" w:fill="auto"/>
          </w:tcPr>
          <w:p w:rsidR="00801C81" w:rsidRPr="00A32AF4" w:rsidRDefault="00801C81" w:rsidP="00DC0553">
            <w:r w:rsidRPr="00A32AF4">
              <w:rPr>
                <w:b/>
              </w:rPr>
              <w:t>M</w:t>
            </w:r>
            <w:r w:rsidRPr="00A32AF4">
              <w:t xml:space="preserve">GS </w:t>
            </w:r>
          </w:p>
        </w:tc>
        <w:tc>
          <w:tcPr>
            <w:tcW w:w="7827" w:type="dxa"/>
            <w:shd w:val="clear" w:color="auto" w:fill="auto"/>
          </w:tcPr>
          <w:p w:rsidR="00801C81" w:rsidRPr="00A32AF4" w:rsidRDefault="00801C81" w:rsidP="00DC0553">
            <w:pPr>
              <w:rPr>
                <w:rFonts w:eastAsia="Batang"/>
                <w:lang w:eastAsia="ko-KR"/>
              </w:rPr>
            </w:pPr>
            <w:r w:rsidRPr="00A32AF4">
              <w:t>Gestionnaire de produits et services de Madrid</w:t>
            </w:r>
          </w:p>
        </w:tc>
      </w:tr>
      <w:tr w:rsidR="00801C81" w:rsidRPr="00A32AF4" w:rsidTr="00477D27">
        <w:tc>
          <w:tcPr>
            <w:tcW w:w="1384" w:type="dxa"/>
            <w:shd w:val="clear" w:color="auto" w:fill="auto"/>
          </w:tcPr>
          <w:p w:rsidR="00801C81" w:rsidRPr="00A32AF4" w:rsidRDefault="00801C81" w:rsidP="00DC0553">
            <w:pPr>
              <w:rPr>
                <w:rFonts w:eastAsia="Batang"/>
                <w:lang w:eastAsia="ko-KR"/>
              </w:rPr>
            </w:pPr>
          </w:p>
        </w:tc>
        <w:tc>
          <w:tcPr>
            <w:tcW w:w="7827" w:type="dxa"/>
            <w:shd w:val="clear" w:color="auto" w:fill="auto"/>
          </w:tcPr>
          <w:p w:rsidR="00801C81" w:rsidRPr="00A32AF4" w:rsidRDefault="00801C81" w:rsidP="00DC0553">
            <w:pPr>
              <w:rPr>
                <w:rFonts w:eastAsia="Batang"/>
                <w:lang w:eastAsia="ko-KR"/>
              </w:rPr>
            </w:pPr>
          </w:p>
        </w:tc>
      </w:tr>
      <w:tr w:rsidR="00801C81" w:rsidRPr="00A32AF4" w:rsidTr="00477D27">
        <w:tc>
          <w:tcPr>
            <w:tcW w:w="1384" w:type="dxa"/>
            <w:shd w:val="clear" w:color="auto" w:fill="auto"/>
          </w:tcPr>
          <w:p w:rsidR="00801C81" w:rsidRPr="00A32AF4" w:rsidRDefault="00801C81" w:rsidP="00B77998">
            <w:pPr>
              <w:keepNext/>
              <w:keepLines/>
              <w:rPr>
                <w:rFonts w:eastAsia="Batang"/>
                <w:lang w:eastAsia="ko-KR"/>
              </w:rPr>
            </w:pPr>
            <w:r w:rsidRPr="00A32AF4">
              <w:rPr>
                <w:rFonts w:eastAsia="Batang"/>
                <w:b/>
                <w:lang w:eastAsia="ko-KR"/>
              </w:rPr>
              <w:t>O</w:t>
            </w:r>
            <w:r w:rsidRPr="00A32AF4">
              <w:rPr>
                <w:rFonts w:eastAsia="Batang"/>
                <w:lang w:eastAsia="ko-KR"/>
              </w:rPr>
              <w:t>CIS</w:t>
            </w:r>
          </w:p>
        </w:tc>
        <w:tc>
          <w:tcPr>
            <w:tcW w:w="7827" w:type="dxa"/>
            <w:shd w:val="clear" w:color="auto" w:fill="auto"/>
          </w:tcPr>
          <w:p w:rsidR="00801C81" w:rsidRPr="00A32AF4" w:rsidRDefault="00801C81" w:rsidP="00B77998">
            <w:pPr>
              <w:keepNext/>
              <w:keepLines/>
              <w:rPr>
                <w:rFonts w:eastAsia="Batang"/>
                <w:lang w:eastAsia="ko-KR"/>
              </w:rPr>
            </w:pPr>
            <w:r w:rsidRPr="00A32AF4">
              <w:rPr>
                <w:rFonts w:eastAsia="Batang"/>
                <w:lang w:eastAsia="ko-KR"/>
              </w:rPr>
              <w:t>Organe consultatif indépendant de surveillance de l</w:t>
            </w:r>
            <w:r w:rsidR="00E2055A" w:rsidRPr="00A32AF4">
              <w:rPr>
                <w:rFonts w:eastAsia="Batang"/>
                <w:lang w:eastAsia="ko-KR"/>
              </w:rPr>
              <w:t>’</w:t>
            </w:r>
            <w:r w:rsidRPr="00A32AF4">
              <w:rPr>
                <w:rFonts w:eastAsia="Batang"/>
                <w:lang w:eastAsia="ko-KR"/>
              </w:rPr>
              <w:t>OMPI</w:t>
            </w:r>
          </w:p>
        </w:tc>
      </w:tr>
      <w:tr w:rsidR="00801C81" w:rsidRPr="00A32AF4" w:rsidTr="00477D27">
        <w:tc>
          <w:tcPr>
            <w:tcW w:w="1384" w:type="dxa"/>
            <w:shd w:val="clear" w:color="auto" w:fill="auto"/>
          </w:tcPr>
          <w:p w:rsidR="00801C81" w:rsidRPr="00A32AF4" w:rsidRDefault="00801C81" w:rsidP="00B77998">
            <w:pPr>
              <w:keepNext/>
              <w:keepLines/>
              <w:rPr>
                <w:rFonts w:eastAsia="Batang"/>
                <w:lang w:eastAsia="ko-KR"/>
              </w:rPr>
            </w:pPr>
            <w:r w:rsidRPr="00A32AF4">
              <w:rPr>
                <w:rFonts w:eastAsia="Batang"/>
                <w:lang w:eastAsia="ko-KR"/>
              </w:rPr>
              <w:t xml:space="preserve">OEB </w:t>
            </w:r>
          </w:p>
        </w:tc>
        <w:tc>
          <w:tcPr>
            <w:tcW w:w="7827" w:type="dxa"/>
            <w:shd w:val="clear" w:color="auto" w:fill="auto"/>
          </w:tcPr>
          <w:p w:rsidR="00801C81" w:rsidRPr="00A32AF4" w:rsidRDefault="00801C81" w:rsidP="00B77998">
            <w:pPr>
              <w:keepNext/>
              <w:keepLines/>
              <w:rPr>
                <w:rFonts w:eastAsia="Batang"/>
                <w:lang w:eastAsia="ko-KR"/>
              </w:rPr>
            </w:pPr>
            <w:r w:rsidRPr="00A32AF4">
              <w:rPr>
                <w:rFonts w:eastAsia="Batang"/>
                <w:lang w:eastAsia="ko-KR"/>
              </w:rPr>
              <w:t>Office européen des brevets</w:t>
            </w:r>
          </w:p>
        </w:tc>
      </w:tr>
      <w:tr w:rsidR="00801C81" w:rsidRPr="00A32AF4" w:rsidTr="00477D27">
        <w:tc>
          <w:tcPr>
            <w:tcW w:w="1384" w:type="dxa"/>
            <w:shd w:val="clear" w:color="auto" w:fill="auto"/>
          </w:tcPr>
          <w:p w:rsidR="00801C81" w:rsidRPr="00A32AF4" w:rsidRDefault="00801C81" w:rsidP="00DC0553">
            <w:pPr>
              <w:rPr>
                <w:rFonts w:eastAsia="Batang"/>
                <w:lang w:eastAsia="ko-KR"/>
              </w:rPr>
            </w:pPr>
            <w:r w:rsidRPr="00A32AF4">
              <w:rPr>
                <w:rFonts w:eastAsia="Batang"/>
                <w:lang w:eastAsia="ko-KR"/>
              </w:rPr>
              <w:t>OHMI</w:t>
            </w:r>
          </w:p>
        </w:tc>
        <w:tc>
          <w:tcPr>
            <w:tcW w:w="7827" w:type="dxa"/>
            <w:shd w:val="clear" w:color="auto" w:fill="auto"/>
          </w:tcPr>
          <w:p w:rsidR="00801C81" w:rsidRPr="00A32AF4" w:rsidRDefault="00801C81" w:rsidP="00DC0553">
            <w:pPr>
              <w:rPr>
                <w:rFonts w:eastAsia="Batang"/>
                <w:lang w:eastAsia="ko-KR"/>
              </w:rPr>
            </w:pPr>
            <w:r w:rsidRPr="00A32AF4">
              <w:rPr>
                <w:rFonts w:eastAsia="Batang"/>
                <w:lang w:eastAsia="ko-KR"/>
              </w:rPr>
              <w:t>Office de l</w:t>
            </w:r>
            <w:r w:rsidR="00E2055A" w:rsidRPr="00A32AF4">
              <w:rPr>
                <w:rFonts w:eastAsia="Batang"/>
                <w:lang w:eastAsia="ko-KR"/>
              </w:rPr>
              <w:t>’</w:t>
            </w:r>
            <w:r w:rsidRPr="00A32AF4">
              <w:rPr>
                <w:rFonts w:eastAsia="Batang"/>
                <w:lang w:eastAsia="ko-KR"/>
              </w:rPr>
              <w:t>harmonisation dans le marché intérieur</w:t>
            </w:r>
          </w:p>
        </w:tc>
      </w:tr>
      <w:tr w:rsidR="00801C81" w:rsidRPr="00A32AF4" w:rsidTr="00477D27">
        <w:tc>
          <w:tcPr>
            <w:tcW w:w="1384" w:type="dxa"/>
            <w:shd w:val="clear" w:color="auto" w:fill="auto"/>
          </w:tcPr>
          <w:p w:rsidR="00801C81" w:rsidRPr="00A32AF4" w:rsidRDefault="00801C81" w:rsidP="00DC0553">
            <w:pPr>
              <w:rPr>
                <w:rFonts w:eastAsia="Batang"/>
                <w:lang w:eastAsia="ko-KR"/>
              </w:rPr>
            </w:pPr>
            <w:r w:rsidRPr="00A32AF4">
              <w:rPr>
                <w:rFonts w:eastAsia="Batang"/>
                <w:lang w:eastAsia="ko-KR"/>
              </w:rPr>
              <w:t xml:space="preserve">OMC </w:t>
            </w:r>
          </w:p>
        </w:tc>
        <w:tc>
          <w:tcPr>
            <w:tcW w:w="7827" w:type="dxa"/>
            <w:shd w:val="clear" w:color="auto" w:fill="auto"/>
          </w:tcPr>
          <w:p w:rsidR="00801C81" w:rsidRPr="00A32AF4" w:rsidRDefault="00801C81" w:rsidP="00DC0553">
            <w:pPr>
              <w:rPr>
                <w:rFonts w:eastAsia="Batang"/>
                <w:lang w:eastAsia="ko-KR"/>
              </w:rPr>
            </w:pPr>
            <w:r w:rsidRPr="00A32AF4">
              <w:rPr>
                <w:rFonts w:eastAsia="Batang"/>
                <w:lang w:eastAsia="ko-KR"/>
              </w:rPr>
              <w:t>Organisation mondiale du commerce</w:t>
            </w:r>
          </w:p>
        </w:tc>
      </w:tr>
      <w:tr w:rsidR="00801C81" w:rsidRPr="00A32AF4" w:rsidTr="00477D27">
        <w:tc>
          <w:tcPr>
            <w:tcW w:w="1384" w:type="dxa"/>
            <w:shd w:val="clear" w:color="auto" w:fill="auto"/>
          </w:tcPr>
          <w:p w:rsidR="00801C81" w:rsidRPr="00A32AF4" w:rsidRDefault="00801C81" w:rsidP="00DC0553">
            <w:pPr>
              <w:rPr>
                <w:rFonts w:eastAsia="Batang"/>
                <w:lang w:eastAsia="ko-KR"/>
              </w:rPr>
            </w:pPr>
            <w:r w:rsidRPr="00A32AF4">
              <w:rPr>
                <w:rFonts w:eastAsia="Batang"/>
                <w:lang w:eastAsia="ko-KR"/>
              </w:rPr>
              <w:t xml:space="preserve">OMD </w:t>
            </w:r>
          </w:p>
        </w:tc>
        <w:tc>
          <w:tcPr>
            <w:tcW w:w="7827" w:type="dxa"/>
            <w:shd w:val="clear" w:color="auto" w:fill="auto"/>
          </w:tcPr>
          <w:p w:rsidR="00801C81" w:rsidRPr="00A32AF4" w:rsidRDefault="00801C81" w:rsidP="00DC0553">
            <w:pPr>
              <w:rPr>
                <w:rFonts w:eastAsia="Batang"/>
                <w:lang w:eastAsia="ko-KR"/>
              </w:rPr>
            </w:pPr>
            <w:r w:rsidRPr="00A32AF4">
              <w:rPr>
                <w:rFonts w:eastAsia="Batang"/>
                <w:lang w:eastAsia="ko-KR"/>
              </w:rPr>
              <w:t>Organisation mondiale des douanes</w:t>
            </w:r>
          </w:p>
        </w:tc>
      </w:tr>
      <w:tr w:rsidR="00801C81" w:rsidRPr="00A32AF4" w:rsidTr="00477D27">
        <w:tc>
          <w:tcPr>
            <w:tcW w:w="1384" w:type="dxa"/>
            <w:shd w:val="clear" w:color="auto" w:fill="auto"/>
          </w:tcPr>
          <w:p w:rsidR="00801C81" w:rsidRPr="00A32AF4" w:rsidRDefault="00801C81" w:rsidP="00DC0553">
            <w:pPr>
              <w:rPr>
                <w:rFonts w:eastAsia="Batang"/>
                <w:lang w:eastAsia="ko-KR"/>
              </w:rPr>
            </w:pPr>
            <w:r w:rsidRPr="00A32AF4">
              <w:rPr>
                <w:rFonts w:eastAsia="Batang"/>
                <w:lang w:eastAsia="ko-KR"/>
              </w:rPr>
              <w:t xml:space="preserve">OMS </w:t>
            </w:r>
          </w:p>
        </w:tc>
        <w:tc>
          <w:tcPr>
            <w:tcW w:w="7827" w:type="dxa"/>
            <w:shd w:val="clear" w:color="auto" w:fill="auto"/>
          </w:tcPr>
          <w:p w:rsidR="00801C81" w:rsidRPr="00A32AF4" w:rsidRDefault="00801C81" w:rsidP="00DC0553">
            <w:pPr>
              <w:rPr>
                <w:rFonts w:eastAsia="Batang"/>
                <w:lang w:eastAsia="ko-KR"/>
              </w:rPr>
            </w:pPr>
            <w:r w:rsidRPr="00A32AF4">
              <w:rPr>
                <w:rFonts w:eastAsia="Batang"/>
                <w:lang w:eastAsia="ko-KR"/>
              </w:rPr>
              <w:t>Organisation mondiale de la santé</w:t>
            </w:r>
          </w:p>
        </w:tc>
      </w:tr>
      <w:tr w:rsidR="00801C81" w:rsidRPr="00A32AF4" w:rsidTr="00477D27">
        <w:tc>
          <w:tcPr>
            <w:tcW w:w="1384" w:type="dxa"/>
            <w:shd w:val="clear" w:color="auto" w:fill="auto"/>
          </w:tcPr>
          <w:p w:rsidR="00801C81" w:rsidRPr="00A32AF4" w:rsidRDefault="00801C81" w:rsidP="00DC0553">
            <w:pPr>
              <w:rPr>
                <w:rFonts w:eastAsia="Batang"/>
                <w:lang w:eastAsia="ko-KR"/>
              </w:rPr>
            </w:pPr>
            <w:r w:rsidRPr="00A32AF4">
              <w:rPr>
                <w:rFonts w:eastAsia="Batang"/>
                <w:lang w:eastAsia="ko-KR"/>
              </w:rPr>
              <w:t>ONG</w:t>
            </w:r>
          </w:p>
        </w:tc>
        <w:tc>
          <w:tcPr>
            <w:tcW w:w="7827" w:type="dxa"/>
            <w:shd w:val="clear" w:color="auto" w:fill="auto"/>
          </w:tcPr>
          <w:p w:rsidR="00801C81" w:rsidRPr="00A32AF4" w:rsidRDefault="00801C81" w:rsidP="00DC0553">
            <w:pPr>
              <w:rPr>
                <w:rFonts w:eastAsia="Batang"/>
                <w:lang w:eastAsia="ko-KR"/>
              </w:rPr>
            </w:pPr>
            <w:r w:rsidRPr="00A32AF4">
              <w:rPr>
                <w:rFonts w:eastAsia="Batang"/>
                <w:lang w:eastAsia="ko-KR"/>
              </w:rPr>
              <w:t>organisation non gouvernementale</w:t>
            </w:r>
          </w:p>
        </w:tc>
      </w:tr>
      <w:tr w:rsidR="00801C81" w:rsidRPr="00A32AF4" w:rsidTr="00477D27">
        <w:tc>
          <w:tcPr>
            <w:tcW w:w="1384" w:type="dxa"/>
            <w:shd w:val="clear" w:color="auto" w:fill="auto"/>
          </w:tcPr>
          <w:p w:rsidR="00801C81" w:rsidRPr="00A32AF4" w:rsidRDefault="00801C81" w:rsidP="00DC0553">
            <w:pPr>
              <w:rPr>
                <w:rFonts w:eastAsia="Batang"/>
                <w:lang w:eastAsia="ko-KR"/>
              </w:rPr>
            </w:pPr>
            <w:r w:rsidRPr="00A32AF4">
              <w:rPr>
                <w:rFonts w:eastAsia="Batang"/>
                <w:lang w:eastAsia="ko-KR"/>
              </w:rPr>
              <w:t xml:space="preserve">ONUDI </w:t>
            </w:r>
          </w:p>
        </w:tc>
        <w:tc>
          <w:tcPr>
            <w:tcW w:w="7827" w:type="dxa"/>
            <w:shd w:val="clear" w:color="auto" w:fill="auto"/>
          </w:tcPr>
          <w:p w:rsidR="00801C81" w:rsidRPr="00A32AF4" w:rsidRDefault="00801C81" w:rsidP="00DC0553">
            <w:pPr>
              <w:rPr>
                <w:rFonts w:eastAsia="Batang"/>
                <w:lang w:eastAsia="ko-KR"/>
              </w:rPr>
            </w:pPr>
            <w:r w:rsidRPr="00A32AF4">
              <w:rPr>
                <w:rFonts w:eastAsia="Batang"/>
                <w:lang w:eastAsia="ko-KR"/>
              </w:rPr>
              <w:t xml:space="preserve">Organisation des </w:t>
            </w:r>
            <w:r w:rsidR="00E2055A" w:rsidRPr="00A32AF4">
              <w:rPr>
                <w:rFonts w:eastAsia="Batang"/>
                <w:lang w:eastAsia="ko-KR"/>
              </w:rPr>
              <w:t>Nations Unies</w:t>
            </w:r>
            <w:r w:rsidRPr="00A32AF4">
              <w:rPr>
                <w:rFonts w:eastAsia="Batang"/>
                <w:lang w:eastAsia="ko-KR"/>
              </w:rPr>
              <w:t xml:space="preserve"> pour le développement industriel</w:t>
            </w:r>
          </w:p>
        </w:tc>
      </w:tr>
      <w:tr w:rsidR="00801C81" w:rsidRPr="00A32AF4" w:rsidTr="00477D27">
        <w:tc>
          <w:tcPr>
            <w:tcW w:w="1384" w:type="dxa"/>
            <w:shd w:val="clear" w:color="auto" w:fill="auto"/>
          </w:tcPr>
          <w:p w:rsidR="00801C81" w:rsidRPr="00A32AF4" w:rsidRDefault="00801C81" w:rsidP="00DC0553">
            <w:pPr>
              <w:rPr>
                <w:rFonts w:eastAsia="Batang"/>
                <w:lang w:eastAsia="ko-KR"/>
              </w:rPr>
            </w:pPr>
          </w:p>
        </w:tc>
        <w:tc>
          <w:tcPr>
            <w:tcW w:w="7827" w:type="dxa"/>
            <w:shd w:val="clear" w:color="auto" w:fill="auto"/>
          </w:tcPr>
          <w:p w:rsidR="00801C81" w:rsidRPr="00A32AF4" w:rsidRDefault="00801C81" w:rsidP="00DC0553">
            <w:pPr>
              <w:rPr>
                <w:rFonts w:eastAsia="Batang"/>
                <w:lang w:eastAsia="ko-KR"/>
              </w:rPr>
            </w:pPr>
          </w:p>
        </w:tc>
      </w:tr>
      <w:tr w:rsidR="00801C81" w:rsidRPr="00A32AF4" w:rsidTr="00477D27">
        <w:tc>
          <w:tcPr>
            <w:tcW w:w="1384" w:type="dxa"/>
            <w:shd w:val="clear" w:color="auto" w:fill="auto"/>
          </w:tcPr>
          <w:p w:rsidR="00801C81" w:rsidRPr="00A32AF4" w:rsidRDefault="00801C81" w:rsidP="00DC0553">
            <w:pPr>
              <w:rPr>
                <w:rFonts w:eastAsia="Batang"/>
                <w:lang w:eastAsia="ko-KR"/>
              </w:rPr>
            </w:pPr>
            <w:r w:rsidRPr="00A32AF4">
              <w:rPr>
                <w:rFonts w:eastAsia="Batang"/>
                <w:b/>
                <w:bCs/>
                <w:lang w:eastAsia="ko-KR"/>
              </w:rPr>
              <w:t>P</w:t>
            </w:r>
            <w:r w:rsidRPr="00A32AF4">
              <w:rPr>
                <w:rFonts w:eastAsia="Batang"/>
                <w:lang w:eastAsia="ko-KR"/>
              </w:rPr>
              <w:t xml:space="preserve">CT </w:t>
            </w:r>
          </w:p>
        </w:tc>
        <w:tc>
          <w:tcPr>
            <w:tcW w:w="7827" w:type="dxa"/>
            <w:shd w:val="clear" w:color="auto" w:fill="auto"/>
          </w:tcPr>
          <w:p w:rsidR="00801C81" w:rsidRPr="00A32AF4" w:rsidRDefault="00801C81" w:rsidP="00DC0553">
            <w:pPr>
              <w:rPr>
                <w:rFonts w:eastAsia="Batang"/>
                <w:lang w:eastAsia="ko-KR"/>
              </w:rPr>
            </w:pPr>
            <w:r w:rsidRPr="00A32AF4">
              <w:rPr>
                <w:rFonts w:eastAsia="Batang"/>
                <w:lang w:eastAsia="ko-KR"/>
              </w:rPr>
              <w:t>Traité de coopération en matière de brevets</w:t>
            </w:r>
          </w:p>
        </w:tc>
      </w:tr>
      <w:tr w:rsidR="00801C81" w:rsidRPr="00A32AF4" w:rsidTr="00477D27">
        <w:tc>
          <w:tcPr>
            <w:tcW w:w="1384" w:type="dxa"/>
            <w:shd w:val="clear" w:color="auto" w:fill="auto"/>
          </w:tcPr>
          <w:p w:rsidR="00801C81" w:rsidRPr="00A32AF4" w:rsidRDefault="00801C81" w:rsidP="00DC0553">
            <w:pPr>
              <w:rPr>
                <w:rFonts w:eastAsia="Batang"/>
                <w:lang w:eastAsia="ko-KR"/>
              </w:rPr>
            </w:pPr>
            <w:r w:rsidRPr="00A32AF4">
              <w:rPr>
                <w:rFonts w:eastAsia="Batang"/>
                <w:lang w:eastAsia="ko-KR"/>
              </w:rPr>
              <w:t xml:space="preserve">PLT </w:t>
            </w:r>
          </w:p>
        </w:tc>
        <w:tc>
          <w:tcPr>
            <w:tcW w:w="7827" w:type="dxa"/>
            <w:shd w:val="clear" w:color="auto" w:fill="auto"/>
          </w:tcPr>
          <w:p w:rsidR="00801C81" w:rsidRPr="00A32AF4" w:rsidRDefault="00801C81" w:rsidP="00DC0553">
            <w:pPr>
              <w:rPr>
                <w:rFonts w:eastAsia="Batang"/>
                <w:lang w:eastAsia="ko-KR"/>
              </w:rPr>
            </w:pPr>
            <w:r w:rsidRPr="00A32AF4">
              <w:rPr>
                <w:rFonts w:eastAsia="Batang"/>
                <w:lang w:eastAsia="ko-KR"/>
              </w:rPr>
              <w:t>Traité sur le droit des brevets</w:t>
            </w:r>
          </w:p>
        </w:tc>
      </w:tr>
      <w:tr w:rsidR="00801C81" w:rsidRPr="00A32AF4" w:rsidTr="00477D27">
        <w:tc>
          <w:tcPr>
            <w:tcW w:w="1384" w:type="dxa"/>
            <w:shd w:val="clear" w:color="auto" w:fill="auto"/>
          </w:tcPr>
          <w:p w:rsidR="00801C81" w:rsidRPr="00A32AF4" w:rsidRDefault="00801C81" w:rsidP="00DC0553">
            <w:pPr>
              <w:rPr>
                <w:rFonts w:eastAsia="Batang"/>
                <w:lang w:eastAsia="ko-KR"/>
              </w:rPr>
            </w:pPr>
            <w:r w:rsidRPr="00A32AF4">
              <w:rPr>
                <w:rFonts w:eastAsia="Batang"/>
                <w:lang w:eastAsia="ko-KR"/>
              </w:rPr>
              <w:t xml:space="preserve">PMA </w:t>
            </w:r>
          </w:p>
        </w:tc>
        <w:tc>
          <w:tcPr>
            <w:tcW w:w="7827" w:type="dxa"/>
            <w:shd w:val="clear" w:color="auto" w:fill="auto"/>
          </w:tcPr>
          <w:p w:rsidR="00801C81" w:rsidRPr="00A32AF4" w:rsidRDefault="00801C81" w:rsidP="00DC0553">
            <w:pPr>
              <w:rPr>
                <w:rFonts w:eastAsia="Batang"/>
                <w:lang w:eastAsia="ko-KR"/>
              </w:rPr>
            </w:pPr>
            <w:r w:rsidRPr="00A32AF4">
              <w:rPr>
                <w:rFonts w:eastAsia="Batang"/>
                <w:lang w:eastAsia="ko-KR"/>
              </w:rPr>
              <w:t>pays les moins avancés</w:t>
            </w:r>
          </w:p>
        </w:tc>
      </w:tr>
      <w:tr w:rsidR="00801C81" w:rsidRPr="00A32AF4" w:rsidTr="00477D27">
        <w:tc>
          <w:tcPr>
            <w:tcW w:w="1384" w:type="dxa"/>
            <w:shd w:val="clear" w:color="auto" w:fill="auto"/>
          </w:tcPr>
          <w:p w:rsidR="00801C81" w:rsidRPr="00A32AF4" w:rsidRDefault="00801C81" w:rsidP="00DC0553">
            <w:pPr>
              <w:rPr>
                <w:rFonts w:eastAsia="Batang"/>
                <w:lang w:eastAsia="ko-KR"/>
              </w:rPr>
            </w:pPr>
            <w:r w:rsidRPr="00A32AF4">
              <w:rPr>
                <w:rFonts w:eastAsia="Batang"/>
                <w:lang w:eastAsia="ko-KR"/>
              </w:rPr>
              <w:t>PME</w:t>
            </w:r>
          </w:p>
        </w:tc>
        <w:tc>
          <w:tcPr>
            <w:tcW w:w="7827" w:type="dxa"/>
            <w:shd w:val="clear" w:color="auto" w:fill="auto"/>
          </w:tcPr>
          <w:p w:rsidR="00801C81" w:rsidRPr="00A32AF4" w:rsidRDefault="00801C81" w:rsidP="00DC0553">
            <w:pPr>
              <w:rPr>
                <w:rFonts w:eastAsia="Batang"/>
                <w:lang w:eastAsia="ko-KR"/>
              </w:rPr>
            </w:pPr>
            <w:r w:rsidRPr="00A32AF4">
              <w:rPr>
                <w:rFonts w:eastAsia="Batang"/>
                <w:lang w:eastAsia="ko-KR"/>
              </w:rPr>
              <w:t>petites et moyennes entreprises</w:t>
            </w:r>
          </w:p>
        </w:tc>
      </w:tr>
      <w:tr w:rsidR="00801C81" w:rsidRPr="00A32AF4" w:rsidTr="00477D27">
        <w:tc>
          <w:tcPr>
            <w:tcW w:w="1384" w:type="dxa"/>
            <w:shd w:val="clear" w:color="auto" w:fill="auto"/>
          </w:tcPr>
          <w:p w:rsidR="00801C81" w:rsidRPr="00A32AF4" w:rsidRDefault="00801C81" w:rsidP="00DC0553">
            <w:pPr>
              <w:rPr>
                <w:rFonts w:eastAsia="Batang"/>
                <w:lang w:eastAsia="ko-KR"/>
              </w:rPr>
            </w:pPr>
            <w:r w:rsidRPr="00A32AF4">
              <w:rPr>
                <w:rFonts w:eastAsia="Batang"/>
                <w:lang w:eastAsia="ko-KR"/>
              </w:rPr>
              <w:t xml:space="preserve">PMSDS </w:t>
            </w:r>
          </w:p>
        </w:tc>
        <w:tc>
          <w:tcPr>
            <w:tcW w:w="7827" w:type="dxa"/>
            <w:shd w:val="clear" w:color="auto" w:fill="auto"/>
          </w:tcPr>
          <w:p w:rsidR="00801C81" w:rsidRPr="00A32AF4" w:rsidRDefault="00801C81" w:rsidP="00DC0553">
            <w:pPr>
              <w:rPr>
                <w:rFonts w:eastAsia="Batang"/>
                <w:lang w:eastAsia="ko-KR"/>
              </w:rPr>
            </w:pPr>
            <w:r w:rsidRPr="00A32AF4">
              <w:rPr>
                <w:rFonts w:eastAsia="Batang"/>
                <w:lang w:eastAsia="ko-KR"/>
              </w:rPr>
              <w:t>Système de gestion des performances et de perfectionnement du personnel</w:t>
            </w:r>
          </w:p>
        </w:tc>
      </w:tr>
      <w:tr w:rsidR="00801C81" w:rsidRPr="00A32AF4" w:rsidTr="00477D27">
        <w:tc>
          <w:tcPr>
            <w:tcW w:w="1384" w:type="dxa"/>
            <w:shd w:val="clear" w:color="auto" w:fill="auto"/>
          </w:tcPr>
          <w:p w:rsidR="00801C81" w:rsidRPr="00A32AF4" w:rsidRDefault="00801C81" w:rsidP="00DC0553">
            <w:pPr>
              <w:rPr>
                <w:rFonts w:eastAsia="Batang"/>
                <w:lang w:eastAsia="ko-KR"/>
              </w:rPr>
            </w:pPr>
            <w:r w:rsidRPr="00A32AF4">
              <w:rPr>
                <w:rFonts w:eastAsia="Batang"/>
                <w:lang w:eastAsia="ko-KR"/>
              </w:rPr>
              <w:t xml:space="preserve">PNUE </w:t>
            </w:r>
          </w:p>
        </w:tc>
        <w:tc>
          <w:tcPr>
            <w:tcW w:w="7827" w:type="dxa"/>
            <w:shd w:val="clear" w:color="auto" w:fill="auto"/>
          </w:tcPr>
          <w:p w:rsidR="00801C81" w:rsidRPr="00A32AF4" w:rsidRDefault="00801C81" w:rsidP="00DC0553">
            <w:pPr>
              <w:rPr>
                <w:rFonts w:eastAsia="Batang"/>
                <w:lang w:eastAsia="ko-KR"/>
              </w:rPr>
            </w:pPr>
            <w:r w:rsidRPr="00A32AF4">
              <w:rPr>
                <w:rFonts w:eastAsia="Batang"/>
                <w:lang w:eastAsia="ko-KR"/>
              </w:rPr>
              <w:t xml:space="preserve">Programme des </w:t>
            </w:r>
            <w:r w:rsidR="00E2055A" w:rsidRPr="00A32AF4">
              <w:rPr>
                <w:rFonts w:eastAsia="Batang"/>
                <w:lang w:eastAsia="ko-KR"/>
              </w:rPr>
              <w:t>Nations Unies</w:t>
            </w:r>
            <w:r w:rsidRPr="00A32AF4">
              <w:rPr>
                <w:rFonts w:eastAsia="Batang"/>
                <w:lang w:eastAsia="ko-KR"/>
              </w:rPr>
              <w:t xml:space="preserve"> pour l</w:t>
            </w:r>
            <w:r w:rsidR="00E2055A" w:rsidRPr="00A32AF4">
              <w:rPr>
                <w:rFonts w:eastAsia="Batang"/>
                <w:lang w:eastAsia="ko-KR"/>
              </w:rPr>
              <w:t>’</w:t>
            </w:r>
            <w:r w:rsidRPr="00A32AF4">
              <w:rPr>
                <w:rFonts w:eastAsia="Batang"/>
                <w:lang w:eastAsia="ko-KR"/>
              </w:rPr>
              <w:t>environnement</w:t>
            </w:r>
          </w:p>
        </w:tc>
      </w:tr>
      <w:tr w:rsidR="00801C81" w:rsidRPr="00A32AF4" w:rsidTr="00477D27">
        <w:tc>
          <w:tcPr>
            <w:tcW w:w="1384" w:type="dxa"/>
            <w:shd w:val="clear" w:color="auto" w:fill="auto"/>
          </w:tcPr>
          <w:p w:rsidR="00801C81" w:rsidRPr="00A32AF4" w:rsidRDefault="00801C81" w:rsidP="00DC0553">
            <w:pPr>
              <w:rPr>
                <w:rFonts w:eastAsia="Batang"/>
                <w:lang w:eastAsia="ko-KR"/>
              </w:rPr>
            </w:pPr>
            <w:r w:rsidRPr="00A32AF4">
              <w:rPr>
                <w:rFonts w:eastAsia="Batang"/>
                <w:lang w:eastAsia="ko-KR"/>
              </w:rPr>
              <w:t>PRS</w:t>
            </w:r>
          </w:p>
        </w:tc>
        <w:tc>
          <w:tcPr>
            <w:tcW w:w="7827" w:type="dxa"/>
            <w:shd w:val="clear" w:color="auto" w:fill="auto"/>
          </w:tcPr>
          <w:p w:rsidR="00801C81" w:rsidRPr="00A32AF4" w:rsidRDefault="00801C81" w:rsidP="00DC0553">
            <w:pPr>
              <w:rPr>
                <w:rFonts w:eastAsia="Batang"/>
                <w:lang w:eastAsia="ko-KR"/>
              </w:rPr>
            </w:pPr>
            <w:r w:rsidRPr="00A32AF4">
              <w:rPr>
                <w:rFonts w:eastAsia="Batang"/>
                <w:lang w:eastAsia="ko-KR"/>
              </w:rPr>
              <w:t>programme de réorientation stratégique</w:t>
            </w:r>
          </w:p>
        </w:tc>
      </w:tr>
      <w:tr w:rsidR="00801C81" w:rsidRPr="00A32AF4" w:rsidTr="00477D27">
        <w:tc>
          <w:tcPr>
            <w:tcW w:w="1384" w:type="dxa"/>
            <w:shd w:val="clear" w:color="auto" w:fill="auto"/>
          </w:tcPr>
          <w:p w:rsidR="00801C81" w:rsidRPr="00A32AF4" w:rsidRDefault="00801C81" w:rsidP="00DC0553">
            <w:pPr>
              <w:rPr>
                <w:rFonts w:eastAsia="Batang"/>
                <w:lang w:eastAsia="ko-KR"/>
              </w:rPr>
            </w:pPr>
            <w:r w:rsidRPr="00A32AF4">
              <w:rPr>
                <w:rFonts w:eastAsia="Batang"/>
                <w:lang w:eastAsia="ko-KR"/>
              </w:rPr>
              <w:t>PSMT</w:t>
            </w:r>
          </w:p>
        </w:tc>
        <w:tc>
          <w:tcPr>
            <w:tcW w:w="7827" w:type="dxa"/>
            <w:shd w:val="clear" w:color="auto" w:fill="auto"/>
          </w:tcPr>
          <w:p w:rsidR="00801C81" w:rsidRPr="00A32AF4" w:rsidRDefault="00801C81" w:rsidP="00DC0553">
            <w:pPr>
              <w:rPr>
                <w:rFonts w:eastAsia="Batang"/>
                <w:lang w:eastAsia="ko-KR"/>
              </w:rPr>
            </w:pPr>
            <w:r w:rsidRPr="00A32AF4">
              <w:rPr>
                <w:rFonts w:eastAsia="Batang"/>
                <w:lang w:eastAsia="ko-KR"/>
              </w:rPr>
              <w:t>Plan stratégique à moyen terme</w:t>
            </w:r>
          </w:p>
        </w:tc>
      </w:tr>
      <w:tr w:rsidR="00801C81" w:rsidRPr="00A32AF4" w:rsidTr="00477D27">
        <w:tc>
          <w:tcPr>
            <w:tcW w:w="1384" w:type="dxa"/>
            <w:shd w:val="clear" w:color="auto" w:fill="auto"/>
          </w:tcPr>
          <w:p w:rsidR="00801C81" w:rsidRPr="00A32AF4" w:rsidRDefault="00801C81" w:rsidP="00DC0553">
            <w:pPr>
              <w:rPr>
                <w:rFonts w:eastAsia="Batang"/>
                <w:b/>
                <w:bCs/>
                <w:lang w:eastAsia="ko-KR"/>
              </w:rPr>
            </w:pPr>
          </w:p>
        </w:tc>
        <w:tc>
          <w:tcPr>
            <w:tcW w:w="7827" w:type="dxa"/>
            <w:shd w:val="clear" w:color="auto" w:fill="auto"/>
          </w:tcPr>
          <w:p w:rsidR="00801C81" w:rsidRPr="00A32AF4" w:rsidRDefault="00801C81" w:rsidP="00DC0553">
            <w:pPr>
              <w:rPr>
                <w:rFonts w:eastAsia="Batang"/>
                <w:b/>
                <w:bCs/>
                <w:lang w:eastAsia="ko-KR"/>
              </w:rPr>
            </w:pPr>
          </w:p>
        </w:tc>
      </w:tr>
      <w:tr w:rsidR="00801C81" w:rsidRPr="00A32AF4" w:rsidTr="00477D27">
        <w:tc>
          <w:tcPr>
            <w:tcW w:w="1384" w:type="dxa"/>
            <w:shd w:val="clear" w:color="auto" w:fill="auto"/>
          </w:tcPr>
          <w:p w:rsidR="00801C81" w:rsidRPr="00A32AF4" w:rsidRDefault="00801C81" w:rsidP="00DC0553">
            <w:pPr>
              <w:rPr>
                <w:rFonts w:eastAsia="Batang"/>
                <w:color w:val="000000"/>
                <w:lang w:eastAsia="ko-KR"/>
              </w:rPr>
            </w:pPr>
            <w:r w:rsidRPr="00A32AF4">
              <w:rPr>
                <w:rFonts w:eastAsia="Batang"/>
                <w:b/>
                <w:bCs/>
                <w:lang w:eastAsia="ko-KR"/>
              </w:rPr>
              <w:t>R</w:t>
            </w:r>
            <w:r w:rsidR="00EB7F54" w:rsidRPr="00A32AF4">
              <w:rPr>
                <w:rFonts w:eastAsia="Batang"/>
                <w:color w:val="000000"/>
                <w:lang w:eastAsia="ko-KR"/>
              </w:rPr>
              <w:noBreakHyphen/>
            </w:r>
            <w:r w:rsidRPr="00A32AF4">
              <w:rPr>
                <w:rFonts w:eastAsia="Batang"/>
                <w:color w:val="000000"/>
                <w:lang w:eastAsia="ko-KR"/>
              </w:rPr>
              <w:t>D</w:t>
            </w:r>
          </w:p>
        </w:tc>
        <w:tc>
          <w:tcPr>
            <w:tcW w:w="7827" w:type="dxa"/>
            <w:shd w:val="clear" w:color="auto" w:fill="auto"/>
          </w:tcPr>
          <w:p w:rsidR="00801C81" w:rsidRPr="00A32AF4" w:rsidRDefault="00801C81" w:rsidP="00DC0553">
            <w:pPr>
              <w:rPr>
                <w:rFonts w:eastAsia="Batang"/>
                <w:color w:val="000000"/>
                <w:lang w:eastAsia="ko-KR"/>
              </w:rPr>
            </w:pPr>
            <w:r w:rsidRPr="00A32AF4">
              <w:rPr>
                <w:rFonts w:eastAsia="Batang"/>
                <w:color w:val="000000"/>
                <w:lang w:eastAsia="ko-KR"/>
              </w:rPr>
              <w:t>recherche</w:t>
            </w:r>
            <w:r w:rsidR="00EB7F54" w:rsidRPr="00A32AF4">
              <w:rPr>
                <w:rFonts w:eastAsia="Batang"/>
                <w:color w:val="000000"/>
                <w:lang w:eastAsia="ko-KR"/>
              </w:rPr>
              <w:noBreakHyphen/>
            </w:r>
            <w:r w:rsidRPr="00A32AF4">
              <w:rPr>
                <w:rFonts w:eastAsia="Batang"/>
                <w:color w:val="000000"/>
                <w:lang w:eastAsia="ko-KR"/>
              </w:rPr>
              <w:t>développement</w:t>
            </w:r>
          </w:p>
        </w:tc>
      </w:tr>
      <w:tr w:rsidR="00801C81" w:rsidRPr="00A32AF4" w:rsidTr="00477D27">
        <w:tc>
          <w:tcPr>
            <w:tcW w:w="1384" w:type="dxa"/>
            <w:shd w:val="clear" w:color="auto" w:fill="auto"/>
          </w:tcPr>
          <w:p w:rsidR="00801C81" w:rsidRPr="00A32AF4" w:rsidRDefault="00801C81" w:rsidP="00DC0553">
            <w:pPr>
              <w:rPr>
                <w:rFonts w:eastAsia="Batang"/>
                <w:lang w:eastAsia="ko-KR"/>
              </w:rPr>
            </w:pPr>
          </w:p>
        </w:tc>
        <w:tc>
          <w:tcPr>
            <w:tcW w:w="7827" w:type="dxa"/>
            <w:shd w:val="clear" w:color="auto" w:fill="auto"/>
          </w:tcPr>
          <w:p w:rsidR="00801C81" w:rsidRPr="00A32AF4" w:rsidRDefault="00801C81" w:rsidP="00DC0553">
            <w:pPr>
              <w:rPr>
                <w:rFonts w:eastAsia="Batang"/>
                <w:lang w:eastAsia="ko-KR"/>
              </w:rPr>
            </w:pPr>
          </w:p>
        </w:tc>
      </w:tr>
      <w:tr w:rsidR="00801C81" w:rsidRPr="00A32AF4" w:rsidTr="00477D27">
        <w:tc>
          <w:tcPr>
            <w:tcW w:w="1384" w:type="dxa"/>
            <w:shd w:val="clear" w:color="auto" w:fill="auto"/>
          </w:tcPr>
          <w:p w:rsidR="00801C81" w:rsidRPr="00A32AF4" w:rsidRDefault="00801C81" w:rsidP="00DC0553">
            <w:pPr>
              <w:rPr>
                <w:rFonts w:eastAsia="Batang"/>
                <w:lang w:eastAsia="ko-KR"/>
              </w:rPr>
            </w:pPr>
            <w:r w:rsidRPr="00A32AF4">
              <w:rPr>
                <w:rFonts w:eastAsia="Batang"/>
                <w:b/>
                <w:lang w:eastAsia="ko-KR"/>
              </w:rPr>
              <w:t>S</w:t>
            </w:r>
            <w:r w:rsidRPr="00A32AF4">
              <w:rPr>
                <w:rFonts w:eastAsia="Batang"/>
                <w:lang w:eastAsia="ko-KR"/>
              </w:rPr>
              <w:t xml:space="preserve">CCR </w:t>
            </w:r>
          </w:p>
        </w:tc>
        <w:tc>
          <w:tcPr>
            <w:tcW w:w="7827" w:type="dxa"/>
            <w:shd w:val="clear" w:color="auto" w:fill="auto"/>
          </w:tcPr>
          <w:p w:rsidR="00801C81" w:rsidRPr="00A32AF4" w:rsidRDefault="00801C81" w:rsidP="00DC0553">
            <w:pPr>
              <w:rPr>
                <w:rFonts w:eastAsia="Batang"/>
                <w:lang w:eastAsia="ko-KR"/>
              </w:rPr>
            </w:pPr>
            <w:r w:rsidRPr="00A32AF4">
              <w:rPr>
                <w:rFonts w:eastAsia="Batang"/>
                <w:lang w:eastAsia="ko-KR"/>
              </w:rPr>
              <w:t>Comité permanent du droit d</w:t>
            </w:r>
            <w:r w:rsidR="00E2055A" w:rsidRPr="00A32AF4">
              <w:rPr>
                <w:rFonts w:eastAsia="Batang"/>
                <w:lang w:eastAsia="ko-KR"/>
              </w:rPr>
              <w:t>’</w:t>
            </w:r>
            <w:r w:rsidRPr="00A32AF4">
              <w:rPr>
                <w:rFonts w:eastAsia="Batang"/>
                <w:lang w:eastAsia="ko-KR"/>
              </w:rPr>
              <w:t>auteur et des droits connexes</w:t>
            </w:r>
          </w:p>
        </w:tc>
      </w:tr>
      <w:tr w:rsidR="00801C81" w:rsidRPr="00A32AF4" w:rsidTr="00477D27">
        <w:tc>
          <w:tcPr>
            <w:tcW w:w="1384" w:type="dxa"/>
            <w:shd w:val="clear" w:color="auto" w:fill="auto"/>
          </w:tcPr>
          <w:p w:rsidR="00801C81" w:rsidRPr="00A32AF4" w:rsidRDefault="00801C81" w:rsidP="00DC0553">
            <w:pPr>
              <w:rPr>
                <w:rFonts w:eastAsia="Batang"/>
                <w:lang w:eastAsia="ko-KR"/>
              </w:rPr>
            </w:pPr>
            <w:r w:rsidRPr="00A32AF4">
              <w:rPr>
                <w:rFonts w:eastAsia="Batang"/>
                <w:lang w:eastAsia="ko-KR"/>
              </w:rPr>
              <w:t xml:space="preserve">SCP </w:t>
            </w:r>
          </w:p>
        </w:tc>
        <w:tc>
          <w:tcPr>
            <w:tcW w:w="7827" w:type="dxa"/>
            <w:shd w:val="clear" w:color="auto" w:fill="auto"/>
          </w:tcPr>
          <w:p w:rsidR="00801C81" w:rsidRPr="00A32AF4" w:rsidRDefault="00801C81" w:rsidP="00DC0553">
            <w:pPr>
              <w:rPr>
                <w:rFonts w:eastAsia="Batang"/>
                <w:lang w:eastAsia="ko-KR"/>
              </w:rPr>
            </w:pPr>
            <w:r w:rsidRPr="00A32AF4">
              <w:rPr>
                <w:rFonts w:eastAsia="Batang"/>
                <w:lang w:eastAsia="ko-KR"/>
              </w:rPr>
              <w:t>Comité permanent du droit des brevets</w:t>
            </w:r>
          </w:p>
        </w:tc>
      </w:tr>
      <w:tr w:rsidR="00801C81" w:rsidRPr="00A32AF4" w:rsidTr="00477D27">
        <w:tc>
          <w:tcPr>
            <w:tcW w:w="1384" w:type="dxa"/>
            <w:shd w:val="clear" w:color="auto" w:fill="auto"/>
          </w:tcPr>
          <w:p w:rsidR="00801C81" w:rsidRPr="00A32AF4" w:rsidRDefault="00801C81">
            <w:pPr>
              <w:rPr>
                <w:rFonts w:eastAsia="Batang"/>
                <w:lang w:eastAsia="ko-KR"/>
              </w:rPr>
            </w:pPr>
            <w:r w:rsidRPr="00A32AF4">
              <w:rPr>
                <w:rFonts w:eastAsia="Batang"/>
                <w:lang w:eastAsia="ko-KR"/>
              </w:rPr>
              <w:t>SCT</w:t>
            </w:r>
          </w:p>
        </w:tc>
        <w:tc>
          <w:tcPr>
            <w:tcW w:w="7827" w:type="dxa"/>
            <w:shd w:val="clear" w:color="auto" w:fill="auto"/>
          </w:tcPr>
          <w:p w:rsidR="00801C81" w:rsidRPr="00A32AF4" w:rsidRDefault="00801C81" w:rsidP="00DC0553">
            <w:pPr>
              <w:rPr>
                <w:rFonts w:eastAsia="Batang"/>
                <w:lang w:eastAsia="ko-KR"/>
              </w:rPr>
            </w:pPr>
            <w:r w:rsidRPr="00A32AF4">
              <w:rPr>
                <w:rFonts w:eastAsia="Batang"/>
                <w:lang w:eastAsia="ko-KR"/>
              </w:rPr>
              <w:t>Comité permanent du droit des marques, des dessins et modèles industriels et des indications géographiques</w:t>
            </w:r>
          </w:p>
        </w:tc>
      </w:tr>
      <w:tr w:rsidR="00801C81" w:rsidRPr="00A32AF4" w:rsidTr="00477D27">
        <w:tc>
          <w:tcPr>
            <w:tcW w:w="1384" w:type="dxa"/>
            <w:shd w:val="clear" w:color="auto" w:fill="auto"/>
          </w:tcPr>
          <w:p w:rsidR="00801C81" w:rsidRPr="00A32AF4" w:rsidRDefault="00801C81">
            <w:pPr>
              <w:rPr>
                <w:rFonts w:eastAsia="Batang"/>
                <w:lang w:eastAsia="ko-KR"/>
              </w:rPr>
            </w:pPr>
            <w:r w:rsidRPr="00A32AF4">
              <w:rPr>
                <w:rFonts w:eastAsia="Batang"/>
                <w:lang w:eastAsia="ko-KR"/>
              </w:rPr>
              <w:t>SDG</w:t>
            </w:r>
          </w:p>
        </w:tc>
        <w:tc>
          <w:tcPr>
            <w:tcW w:w="7827" w:type="dxa"/>
            <w:shd w:val="clear" w:color="auto" w:fill="auto"/>
          </w:tcPr>
          <w:p w:rsidR="00801C81" w:rsidRPr="00A32AF4" w:rsidRDefault="00801C81" w:rsidP="00DC0553">
            <w:pPr>
              <w:rPr>
                <w:rFonts w:eastAsia="Batang"/>
                <w:lang w:eastAsia="ko-KR"/>
              </w:rPr>
            </w:pPr>
            <w:r w:rsidRPr="00A32AF4">
              <w:rPr>
                <w:rFonts w:eastAsia="Batang"/>
                <w:lang w:eastAsia="ko-KR"/>
              </w:rPr>
              <w:t>objectifs de développement durable</w:t>
            </w:r>
          </w:p>
        </w:tc>
      </w:tr>
      <w:tr w:rsidR="00801C81" w:rsidRPr="00A32AF4" w:rsidTr="00477D27">
        <w:tc>
          <w:tcPr>
            <w:tcW w:w="1384" w:type="dxa"/>
            <w:shd w:val="clear" w:color="auto" w:fill="auto"/>
          </w:tcPr>
          <w:p w:rsidR="00801C81" w:rsidRPr="00A32AF4" w:rsidRDefault="00801C81" w:rsidP="00DC0553">
            <w:pPr>
              <w:rPr>
                <w:rFonts w:eastAsia="Batang"/>
                <w:lang w:eastAsia="ko-KR"/>
              </w:rPr>
            </w:pPr>
            <w:r w:rsidRPr="00A32AF4">
              <w:rPr>
                <w:rFonts w:eastAsia="Batang"/>
                <w:lang w:eastAsia="ko-KR"/>
              </w:rPr>
              <w:t xml:space="preserve">SGED </w:t>
            </w:r>
          </w:p>
        </w:tc>
        <w:tc>
          <w:tcPr>
            <w:tcW w:w="7827" w:type="dxa"/>
            <w:shd w:val="clear" w:color="auto" w:fill="auto"/>
          </w:tcPr>
          <w:p w:rsidR="00801C81" w:rsidRPr="00A32AF4" w:rsidRDefault="00801C81" w:rsidP="00DC0553">
            <w:pPr>
              <w:rPr>
                <w:rFonts w:eastAsia="Batang"/>
                <w:lang w:eastAsia="ko-KR"/>
              </w:rPr>
            </w:pPr>
            <w:r w:rsidRPr="00A32AF4">
              <w:rPr>
                <w:rFonts w:eastAsia="Batang"/>
                <w:lang w:eastAsia="ko-KR"/>
              </w:rPr>
              <w:t>système de gestion électronique des documents</w:t>
            </w:r>
          </w:p>
        </w:tc>
      </w:tr>
      <w:tr w:rsidR="00801C81" w:rsidRPr="00A32AF4" w:rsidTr="00477D27">
        <w:tc>
          <w:tcPr>
            <w:tcW w:w="1384" w:type="dxa"/>
            <w:shd w:val="clear" w:color="auto" w:fill="auto"/>
          </w:tcPr>
          <w:p w:rsidR="00801C81" w:rsidRPr="00A32AF4" w:rsidRDefault="00801C81">
            <w:pPr>
              <w:rPr>
                <w:rFonts w:eastAsia="Batang"/>
                <w:lang w:eastAsia="ko-KR"/>
              </w:rPr>
            </w:pPr>
            <w:r w:rsidRPr="00A32AF4">
              <w:rPr>
                <w:rFonts w:eastAsia="Batang"/>
                <w:lang w:eastAsia="ko-KR"/>
              </w:rPr>
              <w:t>SRR</w:t>
            </w:r>
          </w:p>
        </w:tc>
        <w:tc>
          <w:tcPr>
            <w:tcW w:w="7827" w:type="dxa"/>
            <w:shd w:val="clear" w:color="auto" w:fill="auto"/>
          </w:tcPr>
          <w:p w:rsidR="00801C81" w:rsidRPr="00A32AF4" w:rsidRDefault="00801C81" w:rsidP="00DC0553">
            <w:pPr>
              <w:rPr>
                <w:rFonts w:eastAsia="Batang"/>
                <w:lang w:eastAsia="ko-KR"/>
              </w:rPr>
            </w:pPr>
            <w:r w:rsidRPr="00A32AF4">
              <w:rPr>
                <w:rFonts w:eastAsia="Batang"/>
                <w:lang w:eastAsia="ko-KR"/>
              </w:rPr>
              <w:t>Statut et règlement du personnel</w:t>
            </w:r>
          </w:p>
        </w:tc>
      </w:tr>
      <w:tr w:rsidR="00801C81" w:rsidRPr="00A32AF4" w:rsidTr="00477D27">
        <w:tc>
          <w:tcPr>
            <w:tcW w:w="1384" w:type="dxa"/>
            <w:shd w:val="clear" w:color="auto" w:fill="auto"/>
          </w:tcPr>
          <w:p w:rsidR="00801C81" w:rsidRPr="00A32AF4" w:rsidRDefault="00801C81" w:rsidP="00DC0553">
            <w:pPr>
              <w:rPr>
                <w:rFonts w:eastAsia="Batang"/>
                <w:lang w:eastAsia="ko-KR"/>
              </w:rPr>
            </w:pPr>
          </w:p>
        </w:tc>
        <w:tc>
          <w:tcPr>
            <w:tcW w:w="7827" w:type="dxa"/>
            <w:shd w:val="clear" w:color="auto" w:fill="auto"/>
          </w:tcPr>
          <w:p w:rsidR="00801C81" w:rsidRPr="00A32AF4" w:rsidRDefault="00801C81" w:rsidP="00DC0553">
            <w:pPr>
              <w:rPr>
                <w:rFonts w:eastAsia="Batang"/>
                <w:lang w:eastAsia="ko-KR"/>
              </w:rPr>
            </w:pPr>
          </w:p>
        </w:tc>
      </w:tr>
      <w:tr w:rsidR="00A27B8A" w:rsidRPr="00A32AF4" w:rsidTr="00477D27">
        <w:tc>
          <w:tcPr>
            <w:tcW w:w="1384" w:type="dxa"/>
            <w:shd w:val="clear" w:color="auto" w:fill="auto"/>
          </w:tcPr>
          <w:p w:rsidR="00A27B8A" w:rsidRPr="00A32AF4" w:rsidRDefault="00A27B8A" w:rsidP="00DC0553">
            <w:pPr>
              <w:rPr>
                <w:rFonts w:eastAsia="Batang"/>
                <w:b/>
                <w:lang w:eastAsia="ko-KR"/>
              </w:rPr>
            </w:pPr>
            <w:r w:rsidRPr="00A32AF4">
              <w:rPr>
                <w:rFonts w:eastAsia="Batang"/>
                <w:b/>
                <w:lang w:eastAsia="ko-KR"/>
              </w:rPr>
              <w:t>T</w:t>
            </w:r>
            <w:r w:rsidRPr="00A32AF4">
              <w:rPr>
                <w:rFonts w:eastAsia="Batang"/>
                <w:lang w:eastAsia="ko-KR"/>
              </w:rPr>
              <w:t>AG</w:t>
            </w:r>
          </w:p>
        </w:tc>
        <w:tc>
          <w:tcPr>
            <w:tcW w:w="7827" w:type="dxa"/>
            <w:shd w:val="clear" w:color="auto" w:fill="auto"/>
          </w:tcPr>
          <w:p w:rsidR="00A27B8A" w:rsidRPr="00A32AF4" w:rsidRDefault="00A27B8A" w:rsidP="00DC0553">
            <w:pPr>
              <w:rPr>
                <w:rFonts w:eastAsia="Batang"/>
                <w:b/>
                <w:lang w:eastAsia="ko-KR"/>
              </w:rPr>
            </w:pPr>
            <w:r w:rsidRPr="00A32AF4">
              <w:rPr>
                <w:rFonts w:cs="Arial"/>
              </w:rPr>
              <w:t>Norme internationale d</w:t>
            </w:r>
            <w:r w:rsidR="00E2055A" w:rsidRPr="00A32AF4">
              <w:rPr>
                <w:rFonts w:cs="Arial"/>
              </w:rPr>
              <w:t>’</w:t>
            </w:r>
            <w:r w:rsidRPr="00A32AF4">
              <w:rPr>
                <w:rFonts w:cs="Arial"/>
              </w:rPr>
              <w:t>assurance qualité en matière de transparence, de responsabilité et de gouvernance</w:t>
            </w:r>
          </w:p>
        </w:tc>
      </w:tr>
      <w:tr w:rsidR="00801C81" w:rsidRPr="00A32AF4" w:rsidTr="00477D27">
        <w:tc>
          <w:tcPr>
            <w:tcW w:w="1384" w:type="dxa"/>
            <w:shd w:val="clear" w:color="auto" w:fill="auto"/>
          </w:tcPr>
          <w:p w:rsidR="00801C81" w:rsidRPr="00A32AF4" w:rsidRDefault="00801C81" w:rsidP="00DC0553">
            <w:pPr>
              <w:rPr>
                <w:rFonts w:eastAsia="Batang"/>
                <w:lang w:eastAsia="ko-KR"/>
              </w:rPr>
            </w:pPr>
            <w:r w:rsidRPr="00A32AF4">
              <w:rPr>
                <w:rFonts w:eastAsia="Batang"/>
                <w:lang w:eastAsia="ko-KR"/>
              </w:rPr>
              <w:t xml:space="preserve">TIC </w:t>
            </w:r>
          </w:p>
        </w:tc>
        <w:tc>
          <w:tcPr>
            <w:tcW w:w="7827" w:type="dxa"/>
            <w:shd w:val="clear" w:color="auto" w:fill="auto"/>
          </w:tcPr>
          <w:p w:rsidR="00801C81" w:rsidRPr="00A32AF4" w:rsidRDefault="00801C81" w:rsidP="00DC0553">
            <w:pPr>
              <w:rPr>
                <w:rFonts w:eastAsia="Batang"/>
                <w:lang w:eastAsia="ko-KR"/>
              </w:rPr>
            </w:pPr>
            <w:r w:rsidRPr="00A32AF4">
              <w:rPr>
                <w:rFonts w:eastAsia="Batang"/>
                <w:lang w:eastAsia="ko-KR"/>
              </w:rPr>
              <w:t>technologies de l</w:t>
            </w:r>
            <w:r w:rsidR="00E2055A" w:rsidRPr="00A32AF4">
              <w:rPr>
                <w:rFonts w:eastAsia="Batang"/>
                <w:lang w:eastAsia="ko-KR"/>
              </w:rPr>
              <w:t>’</w:t>
            </w:r>
            <w:r w:rsidRPr="00A32AF4">
              <w:rPr>
                <w:rFonts w:eastAsia="Batang"/>
                <w:lang w:eastAsia="ko-KR"/>
              </w:rPr>
              <w:t>information et des communications</w:t>
            </w:r>
          </w:p>
        </w:tc>
      </w:tr>
      <w:tr w:rsidR="00801C81" w:rsidRPr="00A32AF4" w:rsidTr="00477D27">
        <w:tc>
          <w:tcPr>
            <w:tcW w:w="1384" w:type="dxa"/>
            <w:shd w:val="clear" w:color="auto" w:fill="auto"/>
          </w:tcPr>
          <w:p w:rsidR="00801C81" w:rsidRPr="00A32AF4" w:rsidRDefault="00801C81" w:rsidP="00DC0553">
            <w:pPr>
              <w:rPr>
                <w:rFonts w:eastAsia="Batang"/>
                <w:lang w:eastAsia="ko-KR"/>
              </w:rPr>
            </w:pPr>
            <w:r w:rsidRPr="00A32AF4">
              <w:rPr>
                <w:rFonts w:eastAsia="Batang"/>
                <w:lang w:eastAsia="ko-KR"/>
              </w:rPr>
              <w:t>TIGAR</w:t>
            </w:r>
          </w:p>
        </w:tc>
        <w:tc>
          <w:tcPr>
            <w:tcW w:w="7827" w:type="dxa"/>
            <w:shd w:val="clear" w:color="auto" w:fill="auto"/>
          </w:tcPr>
          <w:p w:rsidR="00801C81" w:rsidRPr="00A32AF4" w:rsidRDefault="00801C81" w:rsidP="00DC0553">
            <w:pPr>
              <w:rPr>
                <w:rFonts w:eastAsia="Batang"/>
                <w:lang w:eastAsia="ko-KR"/>
              </w:rPr>
            </w:pPr>
            <w:r w:rsidRPr="00A32AF4">
              <w:t>Trusted Intermediary Global Accessible Resources</w:t>
            </w:r>
          </w:p>
        </w:tc>
      </w:tr>
      <w:tr w:rsidR="00801C81" w:rsidRPr="00A32AF4" w:rsidTr="00477D27">
        <w:tc>
          <w:tcPr>
            <w:tcW w:w="1384" w:type="dxa"/>
            <w:shd w:val="clear" w:color="auto" w:fill="auto"/>
          </w:tcPr>
          <w:p w:rsidR="00801C81" w:rsidRPr="00A32AF4" w:rsidRDefault="00801C81" w:rsidP="00DC0553">
            <w:pPr>
              <w:rPr>
                <w:rFonts w:eastAsia="Batang"/>
                <w:lang w:eastAsia="ko-KR"/>
              </w:rPr>
            </w:pPr>
          </w:p>
        </w:tc>
        <w:tc>
          <w:tcPr>
            <w:tcW w:w="7827" w:type="dxa"/>
            <w:shd w:val="clear" w:color="auto" w:fill="auto"/>
          </w:tcPr>
          <w:p w:rsidR="00801C81" w:rsidRPr="00A32AF4" w:rsidRDefault="00801C81" w:rsidP="00DC0553">
            <w:pPr>
              <w:rPr>
                <w:rFonts w:eastAsia="Batang"/>
                <w:lang w:eastAsia="ko-KR"/>
              </w:rPr>
            </w:pPr>
          </w:p>
        </w:tc>
      </w:tr>
      <w:tr w:rsidR="00801C81" w:rsidRPr="00A32AF4" w:rsidTr="00477D27">
        <w:tc>
          <w:tcPr>
            <w:tcW w:w="1384" w:type="dxa"/>
            <w:shd w:val="clear" w:color="auto" w:fill="auto"/>
          </w:tcPr>
          <w:p w:rsidR="00801C81" w:rsidRPr="00A32AF4" w:rsidRDefault="00801C81" w:rsidP="00DC0553">
            <w:pPr>
              <w:rPr>
                <w:rFonts w:eastAsia="Batang"/>
                <w:lang w:eastAsia="ko-KR"/>
              </w:rPr>
            </w:pPr>
            <w:r w:rsidRPr="00A32AF4">
              <w:rPr>
                <w:rFonts w:eastAsia="Batang"/>
                <w:b/>
                <w:lang w:eastAsia="ko-KR"/>
              </w:rPr>
              <w:t>U</w:t>
            </w:r>
            <w:r w:rsidRPr="00A32AF4">
              <w:rPr>
                <w:rFonts w:eastAsia="Batang"/>
                <w:lang w:eastAsia="ko-KR"/>
              </w:rPr>
              <w:t xml:space="preserve">DRP </w:t>
            </w:r>
          </w:p>
        </w:tc>
        <w:tc>
          <w:tcPr>
            <w:tcW w:w="7827" w:type="dxa"/>
            <w:shd w:val="clear" w:color="auto" w:fill="auto"/>
          </w:tcPr>
          <w:p w:rsidR="00801C81" w:rsidRPr="00A32AF4" w:rsidRDefault="00801C81" w:rsidP="00DC0553">
            <w:pPr>
              <w:rPr>
                <w:rFonts w:eastAsia="Batang"/>
                <w:lang w:eastAsia="ko-KR"/>
              </w:rPr>
            </w:pPr>
            <w:r w:rsidRPr="00A32AF4">
              <w:rPr>
                <w:rFonts w:eastAsia="Batang"/>
                <w:lang w:eastAsia="ko-KR"/>
              </w:rPr>
              <w:t>principes directeurs concernant le règlement uniforme des litiges relatifs aux noms de domaine</w:t>
            </w:r>
          </w:p>
        </w:tc>
      </w:tr>
      <w:tr w:rsidR="00801C81" w:rsidRPr="00A32AF4" w:rsidTr="00477D27">
        <w:tc>
          <w:tcPr>
            <w:tcW w:w="1384" w:type="dxa"/>
            <w:shd w:val="clear" w:color="auto" w:fill="auto"/>
          </w:tcPr>
          <w:p w:rsidR="00801C81" w:rsidRPr="00A32AF4" w:rsidRDefault="00801C81" w:rsidP="00DC0553">
            <w:pPr>
              <w:rPr>
                <w:rFonts w:eastAsia="Batang"/>
                <w:lang w:eastAsia="ko-KR"/>
              </w:rPr>
            </w:pPr>
            <w:r w:rsidRPr="00A32AF4">
              <w:rPr>
                <w:rFonts w:eastAsia="Batang"/>
                <w:lang w:eastAsia="ko-KR"/>
              </w:rPr>
              <w:t xml:space="preserve">UIT </w:t>
            </w:r>
          </w:p>
        </w:tc>
        <w:tc>
          <w:tcPr>
            <w:tcW w:w="7827" w:type="dxa"/>
            <w:shd w:val="clear" w:color="auto" w:fill="auto"/>
          </w:tcPr>
          <w:p w:rsidR="00801C81" w:rsidRPr="00A32AF4" w:rsidRDefault="00801C81" w:rsidP="00DC0553">
            <w:pPr>
              <w:rPr>
                <w:rFonts w:eastAsia="Batang"/>
                <w:lang w:eastAsia="ko-KR"/>
              </w:rPr>
            </w:pPr>
            <w:r w:rsidRPr="00A32AF4">
              <w:rPr>
                <w:rFonts w:eastAsia="Batang"/>
                <w:lang w:eastAsia="ko-KR"/>
              </w:rPr>
              <w:t>Union internationale des télécommunications</w:t>
            </w:r>
          </w:p>
        </w:tc>
      </w:tr>
      <w:tr w:rsidR="00801C81" w:rsidRPr="00A32AF4" w:rsidTr="00477D27">
        <w:tc>
          <w:tcPr>
            <w:tcW w:w="1384" w:type="dxa"/>
            <w:shd w:val="clear" w:color="auto" w:fill="auto"/>
          </w:tcPr>
          <w:p w:rsidR="00801C81" w:rsidRPr="00A32AF4" w:rsidRDefault="00801C81" w:rsidP="00DC0553">
            <w:pPr>
              <w:rPr>
                <w:rFonts w:eastAsia="Batang"/>
                <w:lang w:eastAsia="ko-KR"/>
              </w:rPr>
            </w:pPr>
            <w:r w:rsidRPr="00A32AF4">
              <w:rPr>
                <w:rFonts w:eastAsia="Batang"/>
                <w:lang w:eastAsia="ko-KR"/>
              </w:rPr>
              <w:t xml:space="preserve">UNESCO </w:t>
            </w:r>
          </w:p>
        </w:tc>
        <w:tc>
          <w:tcPr>
            <w:tcW w:w="7827" w:type="dxa"/>
            <w:shd w:val="clear" w:color="auto" w:fill="auto"/>
          </w:tcPr>
          <w:p w:rsidR="00801C81" w:rsidRPr="00A32AF4" w:rsidRDefault="00801C81" w:rsidP="00DC0553">
            <w:pPr>
              <w:rPr>
                <w:rFonts w:eastAsia="Batang"/>
                <w:lang w:eastAsia="ko-KR"/>
              </w:rPr>
            </w:pPr>
            <w:r w:rsidRPr="00A32AF4">
              <w:rPr>
                <w:rFonts w:eastAsia="Batang"/>
                <w:lang w:eastAsia="ko-KR"/>
              </w:rPr>
              <w:t xml:space="preserve">Organisation des </w:t>
            </w:r>
            <w:r w:rsidR="00E2055A" w:rsidRPr="00A32AF4">
              <w:rPr>
                <w:rFonts w:eastAsia="Batang"/>
                <w:lang w:eastAsia="ko-KR"/>
              </w:rPr>
              <w:t>Nations Unies</w:t>
            </w:r>
            <w:r w:rsidRPr="00A32AF4">
              <w:rPr>
                <w:rFonts w:eastAsia="Batang"/>
                <w:lang w:eastAsia="ko-KR"/>
              </w:rPr>
              <w:t xml:space="preserve"> pour l</w:t>
            </w:r>
            <w:r w:rsidR="00E2055A" w:rsidRPr="00A32AF4">
              <w:rPr>
                <w:rFonts w:eastAsia="Batang"/>
                <w:lang w:eastAsia="ko-KR"/>
              </w:rPr>
              <w:t>’</w:t>
            </w:r>
            <w:r w:rsidRPr="00A32AF4">
              <w:rPr>
                <w:rFonts w:eastAsia="Batang"/>
                <w:lang w:eastAsia="ko-KR"/>
              </w:rPr>
              <w:t>éducation, la science et la culture</w:t>
            </w:r>
          </w:p>
        </w:tc>
      </w:tr>
      <w:tr w:rsidR="00801C81" w:rsidRPr="00A32AF4" w:rsidTr="00477D27">
        <w:tc>
          <w:tcPr>
            <w:tcW w:w="1384" w:type="dxa"/>
            <w:shd w:val="clear" w:color="auto" w:fill="auto"/>
          </w:tcPr>
          <w:p w:rsidR="00801C81" w:rsidRPr="00A32AF4" w:rsidRDefault="00801C81" w:rsidP="006D5B84">
            <w:pPr>
              <w:rPr>
                <w:rFonts w:eastAsia="Batang"/>
                <w:lang w:eastAsia="ko-KR"/>
              </w:rPr>
            </w:pPr>
            <w:r w:rsidRPr="00A32AF4">
              <w:rPr>
                <w:rFonts w:eastAsia="Batang"/>
                <w:lang w:eastAsia="ko-KR"/>
              </w:rPr>
              <w:t>UN</w:t>
            </w:r>
            <w:r w:rsidR="006D5B84" w:rsidRPr="00A32AF4">
              <w:rPr>
                <w:rFonts w:eastAsia="Batang"/>
                <w:lang w:eastAsia="ko-KR"/>
              </w:rPr>
              <w:t> </w:t>
            </w:r>
            <w:r w:rsidRPr="00A32AF4">
              <w:rPr>
                <w:rFonts w:eastAsia="Batang"/>
                <w:lang w:eastAsia="ko-KR"/>
              </w:rPr>
              <w:t>H</w:t>
            </w:r>
            <w:r w:rsidR="00EB7F54" w:rsidRPr="00A32AF4">
              <w:rPr>
                <w:rFonts w:eastAsia="Batang"/>
                <w:lang w:eastAsia="ko-KR"/>
              </w:rPr>
              <w:noBreakHyphen/>
            </w:r>
            <w:r w:rsidRPr="00A32AF4">
              <w:rPr>
                <w:rFonts w:eastAsia="Batang"/>
                <w:lang w:eastAsia="ko-KR"/>
              </w:rPr>
              <w:t xml:space="preserve">MOSS </w:t>
            </w:r>
          </w:p>
        </w:tc>
        <w:tc>
          <w:tcPr>
            <w:tcW w:w="7827" w:type="dxa"/>
            <w:shd w:val="clear" w:color="auto" w:fill="auto"/>
          </w:tcPr>
          <w:p w:rsidR="00801C81" w:rsidRPr="00A32AF4" w:rsidRDefault="00801C81" w:rsidP="00DC0553">
            <w:pPr>
              <w:rPr>
                <w:rFonts w:eastAsia="Batang"/>
                <w:lang w:eastAsia="ko-KR"/>
              </w:rPr>
            </w:pPr>
            <w:r w:rsidRPr="00A32AF4">
              <w:rPr>
                <w:rFonts w:eastAsia="Batang"/>
                <w:lang w:eastAsia="ko-KR"/>
              </w:rPr>
              <w:t xml:space="preserve">Normes minimales de sécurité opérationnelle recommandées par le siège des </w:t>
            </w:r>
            <w:r w:rsidR="00E2055A" w:rsidRPr="00A32AF4">
              <w:rPr>
                <w:rFonts w:eastAsia="Batang"/>
                <w:lang w:eastAsia="ko-KR"/>
              </w:rPr>
              <w:t>Nations Unies</w:t>
            </w:r>
          </w:p>
        </w:tc>
      </w:tr>
      <w:tr w:rsidR="00801C81" w:rsidRPr="00A32AF4" w:rsidTr="00477D27">
        <w:tc>
          <w:tcPr>
            <w:tcW w:w="1384" w:type="dxa"/>
            <w:shd w:val="clear" w:color="auto" w:fill="auto"/>
          </w:tcPr>
          <w:p w:rsidR="00801C81" w:rsidRPr="00A32AF4" w:rsidRDefault="00801C81" w:rsidP="00DC0553">
            <w:pPr>
              <w:rPr>
                <w:rFonts w:eastAsia="Batang"/>
                <w:lang w:eastAsia="ko-KR"/>
              </w:rPr>
            </w:pPr>
            <w:r w:rsidRPr="00A32AF4">
              <w:rPr>
                <w:rFonts w:eastAsia="Batang"/>
                <w:lang w:eastAsia="ko-KR"/>
              </w:rPr>
              <w:t xml:space="preserve">UNICC </w:t>
            </w:r>
          </w:p>
        </w:tc>
        <w:tc>
          <w:tcPr>
            <w:tcW w:w="7827" w:type="dxa"/>
            <w:shd w:val="clear" w:color="auto" w:fill="auto"/>
          </w:tcPr>
          <w:p w:rsidR="00801C81" w:rsidRPr="00A32AF4" w:rsidRDefault="00801C81" w:rsidP="00DC0553">
            <w:pPr>
              <w:rPr>
                <w:rFonts w:eastAsia="Batang"/>
                <w:lang w:eastAsia="ko-KR"/>
              </w:rPr>
            </w:pPr>
            <w:r w:rsidRPr="00A32AF4">
              <w:rPr>
                <w:rFonts w:eastAsia="Batang"/>
                <w:lang w:eastAsia="ko-KR"/>
              </w:rPr>
              <w:t xml:space="preserve">Centre international de calcul des </w:t>
            </w:r>
            <w:r w:rsidR="00E2055A" w:rsidRPr="00A32AF4">
              <w:rPr>
                <w:rFonts w:eastAsia="Batang"/>
                <w:lang w:eastAsia="ko-KR"/>
              </w:rPr>
              <w:t>Nations Unies</w:t>
            </w:r>
          </w:p>
        </w:tc>
      </w:tr>
      <w:tr w:rsidR="00801C81" w:rsidRPr="00A32AF4" w:rsidTr="00477D27">
        <w:tc>
          <w:tcPr>
            <w:tcW w:w="1384" w:type="dxa"/>
            <w:shd w:val="clear" w:color="auto" w:fill="auto"/>
          </w:tcPr>
          <w:p w:rsidR="00801C81" w:rsidRPr="00A32AF4" w:rsidRDefault="00801C81" w:rsidP="00DC0553">
            <w:pPr>
              <w:rPr>
                <w:rFonts w:eastAsia="Batang"/>
                <w:lang w:eastAsia="ko-KR"/>
              </w:rPr>
            </w:pPr>
            <w:r w:rsidRPr="00A32AF4">
              <w:rPr>
                <w:rFonts w:eastAsia="Batang"/>
                <w:lang w:eastAsia="ko-KR"/>
              </w:rPr>
              <w:t>UNOSSC</w:t>
            </w:r>
          </w:p>
        </w:tc>
        <w:tc>
          <w:tcPr>
            <w:tcW w:w="7827" w:type="dxa"/>
            <w:shd w:val="clear" w:color="auto" w:fill="auto"/>
          </w:tcPr>
          <w:p w:rsidR="00801C81" w:rsidRPr="00A32AF4" w:rsidRDefault="00801C81" w:rsidP="00087DDF">
            <w:pPr>
              <w:rPr>
                <w:rFonts w:eastAsia="Batang"/>
                <w:lang w:eastAsia="ko-KR"/>
              </w:rPr>
            </w:pPr>
            <w:r w:rsidRPr="00A32AF4">
              <w:rPr>
                <w:rFonts w:eastAsia="Batang"/>
                <w:lang w:eastAsia="ko-KR"/>
              </w:rPr>
              <w:t xml:space="preserve">Bureau des </w:t>
            </w:r>
            <w:r w:rsidR="00E2055A" w:rsidRPr="00A32AF4">
              <w:rPr>
                <w:rFonts w:eastAsia="Batang"/>
                <w:lang w:eastAsia="ko-KR"/>
              </w:rPr>
              <w:t>Nations Unies</w:t>
            </w:r>
            <w:r w:rsidRPr="00A32AF4">
              <w:rPr>
                <w:rFonts w:eastAsia="Batang"/>
                <w:lang w:eastAsia="ko-KR"/>
              </w:rPr>
              <w:t xml:space="preserve"> pour la coopération Sud</w:t>
            </w:r>
            <w:r w:rsidR="00087DDF" w:rsidRPr="00A32AF4">
              <w:rPr>
                <w:rFonts w:eastAsia="Batang"/>
                <w:lang w:eastAsia="ko-KR"/>
              </w:rPr>
              <w:t>-</w:t>
            </w:r>
            <w:r w:rsidRPr="00A32AF4">
              <w:rPr>
                <w:rFonts w:eastAsia="Batang"/>
                <w:lang w:eastAsia="ko-KR"/>
              </w:rPr>
              <w:t>Sud</w:t>
            </w:r>
          </w:p>
        </w:tc>
      </w:tr>
      <w:tr w:rsidR="00801C81" w:rsidRPr="00A32AF4" w:rsidTr="00477D27">
        <w:tc>
          <w:tcPr>
            <w:tcW w:w="1384" w:type="dxa"/>
            <w:shd w:val="clear" w:color="auto" w:fill="auto"/>
          </w:tcPr>
          <w:p w:rsidR="00801C81" w:rsidRPr="00A32AF4" w:rsidRDefault="00801C81" w:rsidP="00DC0553">
            <w:pPr>
              <w:rPr>
                <w:rFonts w:eastAsia="Batang"/>
                <w:lang w:eastAsia="ko-KR"/>
              </w:rPr>
            </w:pPr>
            <w:r w:rsidRPr="00A32AF4">
              <w:rPr>
                <w:rFonts w:eastAsia="Batang"/>
                <w:lang w:eastAsia="ko-KR"/>
              </w:rPr>
              <w:t>UNSAS</w:t>
            </w:r>
          </w:p>
        </w:tc>
        <w:tc>
          <w:tcPr>
            <w:tcW w:w="7827" w:type="dxa"/>
            <w:shd w:val="clear" w:color="auto" w:fill="auto"/>
          </w:tcPr>
          <w:p w:rsidR="00801C81" w:rsidRPr="00A32AF4" w:rsidRDefault="00801C81" w:rsidP="00DC0553">
            <w:pPr>
              <w:rPr>
                <w:rFonts w:eastAsia="Batang"/>
                <w:lang w:eastAsia="ko-KR"/>
              </w:rPr>
            </w:pPr>
            <w:r w:rsidRPr="00A32AF4">
              <w:rPr>
                <w:rFonts w:eastAsia="Batang"/>
                <w:lang w:eastAsia="ko-KR"/>
              </w:rPr>
              <w:t xml:space="preserve">Normes comptables du système des </w:t>
            </w:r>
            <w:r w:rsidR="00E2055A" w:rsidRPr="00A32AF4">
              <w:rPr>
                <w:rFonts w:eastAsia="Batang"/>
                <w:lang w:eastAsia="ko-KR"/>
              </w:rPr>
              <w:t>Nations Unies</w:t>
            </w:r>
          </w:p>
        </w:tc>
      </w:tr>
      <w:tr w:rsidR="00801C81" w:rsidRPr="00A32AF4" w:rsidTr="00477D27">
        <w:tc>
          <w:tcPr>
            <w:tcW w:w="1384" w:type="dxa"/>
            <w:shd w:val="clear" w:color="auto" w:fill="auto"/>
          </w:tcPr>
          <w:p w:rsidR="00801C81" w:rsidRPr="00A32AF4" w:rsidRDefault="00801C81" w:rsidP="00DC0553">
            <w:pPr>
              <w:rPr>
                <w:rFonts w:eastAsia="Batang"/>
                <w:lang w:eastAsia="ko-KR"/>
              </w:rPr>
            </w:pPr>
            <w:r w:rsidRPr="00A32AF4">
              <w:rPr>
                <w:rFonts w:eastAsia="Batang"/>
                <w:lang w:eastAsia="ko-KR"/>
              </w:rPr>
              <w:t xml:space="preserve">UPOV </w:t>
            </w:r>
          </w:p>
        </w:tc>
        <w:tc>
          <w:tcPr>
            <w:tcW w:w="7827" w:type="dxa"/>
            <w:shd w:val="clear" w:color="auto" w:fill="auto"/>
          </w:tcPr>
          <w:p w:rsidR="00801C81" w:rsidRPr="00A32AF4" w:rsidRDefault="00801C81" w:rsidP="00DC0553">
            <w:pPr>
              <w:rPr>
                <w:rFonts w:eastAsia="Batang"/>
                <w:lang w:eastAsia="ko-KR"/>
              </w:rPr>
            </w:pPr>
            <w:r w:rsidRPr="00A32AF4">
              <w:rPr>
                <w:rFonts w:eastAsia="Batang"/>
                <w:lang w:eastAsia="ko-KR"/>
              </w:rPr>
              <w:t>Union internationale pour la protection des obtentions végétales</w:t>
            </w:r>
          </w:p>
        </w:tc>
      </w:tr>
      <w:tr w:rsidR="00801C81" w:rsidRPr="00A32AF4" w:rsidTr="00477D27">
        <w:tc>
          <w:tcPr>
            <w:tcW w:w="1384" w:type="dxa"/>
            <w:shd w:val="clear" w:color="auto" w:fill="auto"/>
          </w:tcPr>
          <w:p w:rsidR="00801C81" w:rsidRPr="00A32AF4" w:rsidRDefault="00801C81" w:rsidP="00DC0553">
            <w:pPr>
              <w:rPr>
                <w:rFonts w:eastAsia="Batang"/>
                <w:lang w:eastAsia="ko-KR"/>
              </w:rPr>
            </w:pPr>
            <w:r w:rsidRPr="00A32AF4">
              <w:rPr>
                <w:rFonts w:eastAsia="Batang"/>
                <w:lang w:eastAsia="ko-KR"/>
              </w:rPr>
              <w:t>USPTO</w:t>
            </w:r>
          </w:p>
        </w:tc>
        <w:tc>
          <w:tcPr>
            <w:tcW w:w="7827" w:type="dxa"/>
            <w:shd w:val="clear" w:color="auto" w:fill="auto"/>
          </w:tcPr>
          <w:p w:rsidR="00801C81" w:rsidRPr="00A32AF4" w:rsidRDefault="00801C81" w:rsidP="00DC0553">
            <w:pPr>
              <w:rPr>
                <w:rFonts w:eastAsia="Batang"/>
                <w:lang w:eastAsia="ko-KR"/>
              </w:rPr>
            </w:pPr>
            <w:r w:rsidRPr="00A32AF4">
              <w:rPr>
                <w:rFonts w:eastAsia="Batang"/>
                <w:lang w:eastAsia="ko-KR"/>
              </w:rPr>
              <w:t>Office des brevets et des marques des États</w:t>
            </w:r>
            <w:r w:rsidR="00EB7F54" w:rsidRPr="00A32AF4">
              <w:rPr>
                <w:rFonts w:eastAsia="Batang"/>
                <w:lang w:eastAsia="ko-KR"/>
              </w:rPr>
              <w:noBreakHyphen/>
            </w:r>
            <w:r w:rsidRPr="00A32AF4">
              <w:rPr>
                <w:rFonts w:eastAsia="Batang"/>
                <w:lang w:eastAsia="ko-KR"/>
              </w:rPr>
              <w:t>Unis d</w:t>
            </w:r>
            <w:r w:rsidR="00E2055A" w:rsidRPr="00A32AF4">
              <w:rPr>
                <w:rFonts w:eastAsia="Batang"/>
                <w:lang w:eastAsia="ko-KR"/>
              </w:rPr>
              <w:t>’</w:t>
            </w:r>
            <w:r w:rsidRPr="00A32AF4">
              <w:rPr>
                <w:rFonts w:eastAsia="Batang"/>
                <w:lang w:eastAsia="ko-KR"/>
              </w:rPr>
              <w:t>Amérique</w:t>
            </w:r>
          </w:p>
        </w:tc>
      </w:tr>
      <w:tr w:rsidR="00801C81" w:rsidRPr="00A32AF4" w:rsidTr="00477D27">
        <w:tc>
          <w:tcPr>
            <w:tcW w:w="1384" w:type="dxa"/>
            <w:shd w:val="clear" w:color="auto" w:fill="auto"/>
          </w:tcPr>
          <w:p w:rsidR="00801C81" w:rsidRPr="00A32AF4" w:rsidRDefault="00801C81" w:rsidP="00DC0553">
            <w:pPr>
              <w:rPr>
                <w:rFonts w:eastAsia="Batang"/>
                <w:lang w:eastAsia="ko-KR"/>
              </w:rPr>
            </w:pPr>
          </w:p>
        </w:tc>
        <w:tc>
          <w:tcPr>
            <w:tcW w:w="7827" w:type="dxa"/>
            <w:shd w:val="clear" w:color="auto" w:fill="auto"/>
          </w:tcPr>
          <w:p w:rsidR="00801C81" w:rsidRPr="00A32AF4" w:rsidRDefault="00801C81" w:rsidP="00DC0553">
            <w:pPr>
              <w:rPr>
                <w:rFonts w:eastAsia="Batang"/>
                <w:lang w:eastAsia="ko-KR"/>
              </w:rPr>
            </w:pPr>
          </w:p>
        </w:tc>
      </w:tr>
      <w:tr w:rsidR="00801C81" w:rsidRPr="00A32AF4" w:rsidTr="00477D27">
        <w:tc>
          <w:tcPr>
            <w:tcW w:w="1384" w:type="dxa"/>
            <w:shd w:val="clear" w:color="auto" w:fill="auto"/>
          </w:tcPr>
          <w:p w:rsidR="00801C81" w:rsidRPr="00A32AF4" w:rsidRDefault="00801C81" w:rsidP="00DC0553">
            <w:pPr>
              <w:rPr>
                <w:rFonts w:eastAsia="Batang"/>
                <w:lang w:eastAsia="ko-KR"/>
              </w:rPr>
            </w:pPr>
            <w:r w:rsidRPr="00A32AF4">
              <w:rPr>
                <w:rFonts w:eastAsia="Batang"/>
                <w:b/>
                <w:lang w:eastAsia="ko-KR"/>
              </w:rPr>
              <w:t>W</w:t>
            </w:r>
            <w:r w:rsidRPr="00A32AF4">
              <w:rPr>
                <w:rFonts w:eastAsia="Batang"/>
                <w:lang w:eastAsia="ko-KR"/>
              </w:rPr>
              <w:t>BO</w:t>
            </w:r>
          </w:p>
        </w:tc>
        <w:tc>
          <w:tcPr>
            <w:tcW w:w="7827" w:type="dxa"/>
            <w:shd w:val="clear" w:color="auto" w:fill="auto"/>
          </w:tcPr>
          <w:p w:rsidR="00801C81" w:rsidRPr="00A32AF4" w:rsidRDefault="00801C81" w:rsidP="00DC0553">
            <w:pPr>
              <w:rPr>
                <w:rFonts w:eastAsia="Batang"/>
                <w:lang w:eastAsia="ko-KR"/>
              </w:rPr>
            </w:pPr>
            <w:r w:rsidRPr="00A32AF4">
              <w:rPr>
                <w:rFonts w:eastAsia="Batang"/>
                <w:lang w:eastAsia="ko-KR"/>
              </w:rPr>
              <w:t>Bureau de l</w:t>
            </w:r>
            <w:r w:rsidR="00E2055A" w:rsidRPr="00A32AF4">
              <w:rPr>
                <w:rFonts w:eastAsia="Batang"/>
                <w:lang w:eastAsia="ko-KR"/>
              </w:rPr>
              <w:t>’</w:t>
            </w:r>
            <w:r w:rsidRPr="00A32AF4">
              <w:rPr>
                <w:rFonts w:eastAsia="Batang"/>
                <w:lang w:eastAsia="ko-KR"/>
              </w:rPr>
              <w:t>OMPI au Brésil</w:t>
            </w:r>
          </w:p>
        </w:tc>
      </w:tr>
      <w:tr w:rsidR="00801C81" w:rsidRPr="00A32AF4" w:rsidTr="00477D27">
        <w:tc>
          <w:tcPr>
            <w:tcW w:w="1384" w:type="dxa"/>
            <w:shd w:val="clear" w:color="auto" w:fill="auto"/>
          </w:tcPr>
          <w:p w:rsidR="00801C81" w:rsidRPr="00A32AF4" w:rsidRDefault="00801C81" w:rsidP="00DC0553">
            <w:pPr>
              <w:rPr>
                <w:rFonts w:eastAsia="Batang"/>
                <w:lang w:eastAsia="ko-KR"/>
              </w:rPr>
            </w:pPr>
            <w:r w:rsidRPr="00A32AF4">
              <w:rPr>
                <w:rFonts w:eastAsia="Batang"/>
                <w:lang w:eastAsia="ko-KR"/>
              </w:rPr>
              <w:t>WCC</w:t>
            </w:r>
          </w:p>
        </w:tc>
        <w:tc>
          <w:tcPr>
            <w:tcW w:w="7827" w:type="dxa"/>
            <w:shd w:val="clear" w:color="auto" w:fill="auto"/>
          </w:tcPr>
          <w:p w:rsidR="00801C81" w:rsidRPr="00A32AF4" w:rsidRDefault="00801C81" w:rsidP="00DC0553">
            <w:pPr>
              <w:rPr>
                <w:rFonts w:eastAsia="Batang"/>
                <w:lang w:eastAsia="ko-KR"/>
              </w:rPr>
            </w:pPr>
            <w:r w:rsidRPr="00A32AF4">
              <w:rPr>
                <w:rFonts w:eastAsia="Batang"/>
                <w:lang w:eastAsia="ko-KR"/>
              </w:rPr>
              <w:t>Réseau du droit d</w:t>
            </w:r>
            <w:r w:rsidR="00E2055A" w:rsidRPr="00A32AF4">
              <w:rPr>
                <w:rFonts w:eastAsia="Batang"/>
                <w:lang w:eastAsia="ko-KR"/>
              </w:rPr>
              <w:t>’</w:t>
            </w:r>
            <w:r w:rsidRPr="00A32AF4">
              <w:rPr>
                <w:rFonts w:eastAsia="Batang"/>
                <w:lang w:eastAsia="ko-KR"/>
              </w:rPr>
              <w:t>auteur de l</w:t>
            </w:r>
            <w:r w:rsidR="00E2055A" w:rsidRPr="00A32AF4">
              <w:rPr>
                <w:rFonts w:eastAsia="Batang"/>
                <w:lang w:eastAsia="ko-KR"/>
              </w:rPr>
              <w:t>’</w:t>
            </w:r>
            <w:r w:rsidRPr="00A32AF4">
              <w:rPr>
                <w:rFonts w:eastAsia="Batang"/>
                <w:lang w:eastAsia="ko-KR"/>
              </w:rPr>
              <w:t>OMPI</w:t>
            </w:r>
          </w:p>
        </w:tc>
      </w:tr>
      <w:tr w:rsidR="00801C81" w:rsidRPr="00A32AF4" w:rsidTr="00477D27">
        <w:tc>
          <w:tcPr>
            <w:tcW w:w="1384" w:type="dxa"/>
            <w:shd w:val="clear" w:color="auto" w:fill="auto"/>
          </w:tcPr>
          <w:p w:rsidR="00801C81" w:rsidRPr="00A32AF4" w:rsidRDefault="005544E6" w:rsidP="00DC0553">
            <w:pPr>
              <w:rPr>
                <w:rFonts w:eastAsia="Batang"/>
                <w:lang w:eastAsia="ko-KR"/>
              </w:rPr>
            </w:pPr>
            <w:r w:rsidRPr="00A32AF4">
              <w:rPr>
                <w:rFonts w:eastAsia="Batang"/>
                <w:lang w:eastAsia="ko-KR"/>
              </w:rPr>
              <w:t>WOC</w:t>
            </w:r>
          </w:p>
        </w:tc>
        <w:tc>
          <w:tcPr>
            <w:tcW w:w="7827" w:type="dxa"/>
            <w:shd w:val="clear" w:color="auto" w:fill="auto"/>
          </w:tcPr>
          <w:p w:rsidR="00801C81" w:rsidRPr="00A32AF4" w:rsidRDefault="00801C81" w:rsidP="00DC0553">
            <w:pPr>
              <w:rPr>
                <w:rFonts w:eastAsia="Batang"/>
                <w:lang w:eastAsia="ko-KR"/>
              </w:rPr>
            </w:pPr>
            <w:r w:rsidRPr="00A32AF4">
              <w:rPr>
                <w:rFonts w:eastAsia="Batang"/>
                <w:lang w:eastAsia="ko-KR"/>
              </w:rPr>
              <w:t>Bureau de l</w:t>
            </w:r>
            <w:r w:rsidR="00E2055A" w:rsidRPr="00A32AF4">
              <w:rPr>
                <w:rFonts w:eastAsia="Batang"/>
                <w:lang w:eastAsia="ko-KR"/>
              </w:rPr>
              <w:t>’</w:t>
            </w:r>
            <w:r w:rsidRPr="00A32AF4">
              <w:rPr>
                <w:rFonts w:eastAsia="Batang"/>
                <w:lang w:eastAsia="ko-KR"/>
              </w:rPr>
              <w:t>OMPI en Chine</w:t>
            </w:r>
          </w:p>
        </w:tc>
      </w:tr>
      <w:tr w:rsidR="00801C81" w:rsidRPr="00A32AF4" w:rsidTr="00477D27">
        <w:tc>
          <w:tcPr>
            <w:tcW w:w="1384" w:type="dxa"/>
            <w:shd w:val="clear" w:color="auto" w:fill="auto"/>
          </w:tcPr>
          <w:p w:rsidR="00801C81" w:rsidRPr="00A32AF4" w:rsidRDefault="00801C81" w:rsidP="00DC0553">
            <w:pPr>
              <w:rPr>
                <w:rFonts w:eastAsia="Batang"/>
                <w:lang w:eastAsia="ko-KR"/>
              </w:rPr>
            </w:pPr>
            <w:r w:rsidRPr="00A32AF4">
              <w:rPr>
                <w:rFonts w:eastAsia="Batang"/>
                <w:lang w:eastAsia="ko-KR"/>
              </w:rPr>
              <w:t xml:space="preserve">WCT </w:t>
            </w:r>
          </w:p>
        </w:tc>
        <w:tc>
          <w:tcPr>
            <w:tcW w:w="7827" w:type="dxa"/>
            <w:shd w:val="clear" w:color="auto" w:fill="auto"/>
          </w:tcPr>
          <w:p w:rsidR="00801C81" w:rsidRPr="00A32AF4" w:rsidRDefault="00801C81" w:rsidP="00DC0553">
            <w:pPr>
              <w:rPr>
                <w:rFonts w:eastAsia="Batang"/>
                <w:lang w:eastAsia="ko-KR"/>
              </w:rPr>
            </w:pPr>
            <w:r w:rsidRPr="00A32AF4">
              <w:rPr>
                <w:rFonts w:eastAsia="Batang"/>
                <w:lang w:eastAsia="ko-KR"/>
              </w:rPr>
              <w:t>Traité de l</w:t>
            </w:r>
            <w:r w:rsidR="00E2055A" w:rsidRPr="00A32AF4">
              <w:rPr>
                <w:rFonts w:eastAsia="Batang"/>
                <w:lang w:eastAsia="ko-KR"/>
              </w:rPr>
              <w:t>’</w:t>
            </w:r>
            <w:r w:rsidRPr="00A32AF4">
              <w:rPr>
                <w:rFonts w:eastAsia="Batang"/>
                <w:lang w:eastAsia="ko-KR"/>
              </w:rPr>
              <w:t>OMPI sur le droit d</w:t>
            </w:r>
            <w:r w:rsidR="00E2055A" w:rsidRPr="00A32AF4">
              <w:rPr>
                <w:rFonts w:eastAsia="Batang"/>
                <w:lang w:eastAsia="ko-KR"/>
              </w:rPr>
              <w:t>’</w:t>
            </w:r>
            <w:r w:rsidRPr="00A32AF4">
              <w:rPr>
                <w:rFonts w:eastAsia="Batang"/>
                <w:lang w:eastAsia="ko-KR"/>
              </w:rPr>
              <w:t>auteur</w:t>
            </w:r>
          </w:p>
        </w:tc>
      </w:tr>
      <w:tr w:rsidR="00801C81" w:rsidRPr="00A32AF4" w:rsidTr="00477D27">
        <w:tc>
          <w:tcPr>
            <w:tcW w:w="1384" w:type="dxa"/>
            <w:shd w:val="clear" w:color="auto" w:fill="auto"/>
          </w:tcPr>
          <w:p w:rsidR="00801C81" w:rsidRPr="00A32AF4" w:rsidRDefault="00801C81" w:rsidP="00DC0553">
            <w:pPr>
              <w:rPr>
                <w:rFonts w:eastAsia="Batang"/>
                <w:b/>
                <w:lang w:eastAsia="ko-KR"/>
              </w:rPr>
            </w:pPr>
            <w:r w:rsidRPr="00A32AF4">
              <w:rPr>
                <w:rFonts w:eastAsia="Batang"/>
                <w:lang w:eastAsia="ko-KR"/>
              </w:rPr>
              <w:t>WIPO CASE</w:t>
            </w:r>
          </w:p>
        </w:tc>
        <w:tc>
          <w:tcPr>
            <w:tcW w:w="7827" w:type="dxa"/>
            <w:shd w:val="clear" w:color="auto" w:fill="auto"/>
          </w:tcPr>
          <w:p w:rsidR="00801C81" w:rsidRPr="00A32AF4" w:rsidRDefault="00801C81" w:rsidP="00DC0553">
            <w:pPr>
              <w:rPr>
                <w:rFonts w:eastAsia="Batang"/>
                <w:lang w:eastAsia="ko-KR"/>
              </w:rPr>
            </w:pPr>
            <w:r w:rsidRPr="00A32AF4">
              <w:rPr>
                <w:rFonts w:eastAsia="Batang"/>
                <w:lang w:eastAsia="ko-KR"/>
              </w:rPr>
              <w:t>Accès centralisé aux résultats de la recherche et de l</w:t>
            </w:r>
            <w:r w:rsidR="00E2055A" w:rsidRPr="00A32AF4">
              <w:rPr>
                <w:rFonts w:eastAsia="Batang"/>
                <w:lang w:eastAsia="ko-KR"/>
              </w:rPr>
              <w:t>’</w:t>
            </w:r>
            <w:r w:rsidRPr="00A32AF4">
              <w:rPr>
                <w:rFonts w:eastAsia="Batang"/>
                <w:lang w:eastAsia="ko-KR"/>
              </w:rPr>
              <w:t>examen</w:t>
            </w:r>
          </w:p>
        </w:tc>
      </w:tr>
      <w:tr w:rsidR="00801C81" w:rsidRPr="00A32AF4" w:rsidTr="00477D27">
        <w:tc>
          <w:tcPr>
            <w:tcW w:w="1384" w:type="dxa"/>
            <w:shd w:val="clear" w:color="auto" w:fill="auto"/>
          </w:tcPr>
          <w:p w:rsidR="00801C81" w:rsidRPr="00A32AF4" w:rsidRDefault="00801C81" w:rsidP="00DC0553">
            <w:pPr>
              <w:rPr>
                <w:rFonts w:eastAsia="Batang"/>
                <w:lang w:eastAsia="ko-KR"/>
              </w:rPr>
            </w:pPr>
            <w:r w:rsidRPr="00A32AF4">
              <w:rPr>
                <w:rFonts w:eastAsia="Batang"/>
                <w:lang w:eastAsia="ko-KR"/>
              </w:rPr>
              <w:t>WJO</w:t>
            </w:r>
          </w:p>
        </w:tc>
        <w:tc>
          <w:tcPr>
            <w:tcW w:w="7827" w:type="dxa"/>
            <w:shd w:val="clear" w:color="auto" w:fill="auto"/>
          </w:tcPr>
          <w:p w:rsidR="00801C81" w:rsidRPr="00A32AF4" w:rsidRDefault="00801C81" w:rsidP="00DC0553">
            <w:pPr>
              <w:rPr>
                <w:rFonts w:eastAsia="Batang"/>
                <w:lang w:eastAsia="ko-KR"/>
              </w:rPr>
            </w:pPr>
            <w:r w:rsidRPr="00A32AF4">
              <w:rPr>
                <w:rFonts w:eastAsia="Batang"/>
                <w:lang w:eastAsia="ko-KR"/>
              </w:rPr>
              <w:t>Bureau de l</w:t>
            </w:r>
            <w:r w:rsidR="00E2055A" w:rsidRPr="00A32AF4">
              <w:rPr>
                <w:rFonts w:eastAsia="Batang"/>
                <w:lang w:eastAsia="ko-KR"/>
              </w:rPr>
              <w:t>’</w:t>
            </w:r>
            <w:r w:rsidRPr="00A32AF4">
              <w:rPr>
                <w:rFonts w:eastAsia="Batang"/>
                <w:lang w:eastAsia="ko-KR"/>
              </w:rPr>
              <w:t>OMPI au Japon</w:t>
            </w:r>
          </w:p>
        </w:tc>
      </w:tr>
      <w:tr w:rsidR="00801C81" w:rsidRPr="00A32AF4" w:rsidTr="00477D27">
        <w:tc>
          <w:tcPr>
            <w:tcW w:w="1384" w:type="dxa"/>
            <w:shd w:val="clear" w:color="auto" w:fill="auto"/>
          </w:tcPr>
          <w:p w:rsidR="00801C81" w:rsidRPr="00A32AF4" w:rsidRDefault="00801C81" w:rsidP="00DC0553">
            <w:pPr>
              <w:rPr>
                <w:rFonts w:eastAsia="Batang"/>
                <w:lang w:eastAsia="ko-KR"/>
              </w:rPr>
            </w:pPr>
            <w:r w:rsidRPr="00A32AF4">
              <w:rPr>
                <w:rFonts w:eastAsia="Batang"/>
                <w:lang w:eastAsia="ko-KR"/>
              </w:rPr>
              <w:t xml:space="preserve">WPPT </w:t>
            </w:r>
          </w:p>
        </w:tc>
        <w:tc>
          <w:tcPr>
            <w:tcW w:w="7827" w:type="dxa"/>
            <w:shd w:val="clear" w:color="auto" w:fill="auto"/>
          </w:tcPr>
          <w:p w:rsidR="00801C81" w:rsidRPr="00A32AF4" w:rsidRDefault="00801C81" w:rsidP="00DC0553">
            <w:pPr>
              <w:rPr>
                <w:rFonts w:eastAsia="Batang"/>
                <w:lang w:eastAsia="ko-KR"/>
              </w:rPr>
            </w:pPr>
            <w:r w:rsidRPr="00A32AF4">
              <w:rPr>
                <w:rFonts w:eastAsia="Batang"/>
                <w:lang w:eastAsia="ko-KR"/>
              </w:rPr>
              <w:t>Traité de l</w:t>
            </w:r>
            <w:r w:rsidR="00E2055A" w:rsidRPr="00A32AF4">
              <w:rPr>
                <w:rFonts w:eastAsia="Batang"/>
                <w:lang w:eastAsia="ko-KR"/>
              </w:rPr>
              <w:t>’</w:t>
            </w:r>
            <w:r w:rsidRPr="00A32AF4">
              <w:rPr>
                <w:rFonts w:eastAsia="Batang"/>
                <w:lang w:eastAsia="ko-KR"/>
              </w:rPr>
              <w:t>OMPI sur les interprétations et exécutions et les phonogrammes</w:t>
            </w:r>
          </w:p>
        </w:tc>
      </w:tr>
    </w:tbl>
    <w:p w:rsidR="00F52E38" w:rsidRPr="00A32AF4" w:rsidRDefault="00F52E38" w:rsidP="00DC0553">
      <w:pPr>
        <w:pStyle w:val="Endofdocument"/>
        <w:rPr>
          <w:rFonts w:cs="Arial"/>
        </w:rPr>
      </w:pPr>
    </w:p>
    <w:p w:rsidR="00F93B76" w:rsidRPr="001A00FE" w:rsidRDefault="00142569" w:rsidP="00DC0553">
      <w:pPr>
        <w:pStyle w:val="Endofdocument"/>
        <w:rPr>
          <w:rFonts w:cs="Arial"/>
        </w:rPr>
      </w:pPr>
      <w:r w:rsidRPr="00A32AF4">
        <w:rPr>
          <w:rFonts w:cs="Arial"/>
        </w:rPr>
        <w:t>[Fin du document]</w:t>
      </w:r>
    </w:p>
    <w:sectPr w:rsidR="00F93B76" w:rsidRPr="001A00FE" w:rsidSect="00C63736">
      <w:pgSz w:w="11907" w:h="16840" w:code="9"/>
      <w:pgMar w:top="624" w:right="1418" w:bottom="1361" w:left="1418" w:header="567" w:footer="851"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1ED1" w:rsidRDefault="002C1ED1" w:rsidP="00414988">
      <w:r>
        <w:separator/>
      </w:r>
    </w:p>
  </w:endnote>
  <w:endnote w:type="continuationSeparator" w:id="0">
    <w:p w:rsidR="002C1ED1" w:rsidRDefault="002C1ED1" w:rsidP="00414988">
      <w:r>
        <w:continuationSeparator/>
      </w:r>
    </w:p>
  </w:endnote>
  <w:endnote w:type="continuationNotice" w:id="1">
    <w:p w:rsidR="002C1ED1" w:rsidRDefault="002C1E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MS Mincho"/>
    <w:charset w:val="80"/>
    <w:family w:val="auto"/>
    <w:pitch w:val="variable"/>
    <w:sig w:usb0="00000001" w:usb1="00000000" w:usb2="01000407" w:usb3="00000000" w:csb0="00020000" w:csb1="00000000"/>
  </w:font>
  <w:font w:name="Angsana New">
    <w:panose1 w:val="02020603050405020304"/>
    <w:charset w:val="00"/>
    <w:family w:val="roman"/>
    <w:pitch w:val="variable"/>
    <w:sig w:usb0="81000003" w:usb1="00000000" w:usb2="00000000" w:usb3="00000000" w:csb0="00010001" w:csb1="00000000"/>
  </w:font>
  <w:font w:name="Arial Black">
    <w:panose1 w:val="020B0A04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Lucida Grande">
    <w:altName w:val="Arial"/>
    <w:charset w:val="00"/>
    <w:family w:val="auto"/>
    <w:pitch w:val="variable"/>
    <w:sig w:usb0="E1000AEF"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7161331"/>
      <w:docPartObj>
        <w:docPartGallery w:val="Page Numbers (Bottom of Page)"/>
        <w:docPartUnique/>
      </w:docPartObj>
    </w:sdtPr>
    <w:sdtEndPr>
      <w:rPr>
        <w:rFonts w:cs="Arial"/>
        <w:noProof/>
      </w:rPr>
    </w:sdtEndPr>
    <w:sdtContent>
      <w:p w:rsidR="002C1ED1" w:rsidRPr="00ED73D1" w:rsidRDefault="002C1ED1" w:rsidP="00DB48D6">
        <w:pPr>
          <w:pStyle w:val="Footer"/>
          <w:jc w:val="center"/>
          <w:rPr>
            <w:rFonts w:cs="Arial"/>
          </w:rPr>
        </w:pPr>
        <w:r w:rsidRPr="00BF43CC">
          <w:rPr>
            <w:rFonts w:cs="Arial"/>
          </w:rPr>
          <w:fldChar w:fldCharType="begin"/>
        </w:r>
        <w:r w:rsidRPr="00BF43CC">
          <w:rPr>
            <w:rFonts w:cs="Arial"/>
          </w:rPr>
          <w:instrText xml:space="preserve"> PAGE   \* MERGEFORMAT </w:instrText>
        </w:r>
        <w:r w:rsidRPr="00BF43CC">
          <w:rPr>
            <w:rFonts w:cs="Arial"/>
          </w:rPr>
          <w:fldChar w:fldCharType="separate"/>
        </w:r>
        <w:r w:rsidR="00293C7B">
          <w:rPr>
            <w:rFonts w:cs="Arial"/>
            <w:noProof/>
          </w:rPr>
          <w:t>2</w:t>
        </w:r>
        <w:r w:rsidRPr="00BF43CC">
          <w:rPr>
            <w:rFonts w:cs="Arial"/>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86207994"/>
      <w:docPartObj>
        <w:docPartGallery w:val="Page Numbers (Bottom of Page)"/>
        <w:docPartUnique/>
      </w:docPartObj>
    </w:sdtPr>
    <w:sdtEndPr>
      <w:rPr>
        <w:rFonts w:cs="Arial"/>
        <w:noProof/>
      </w:rPr>
    </w:sdtEndPr>
    <w:sdtContent>
      <w:p w:rsidR="002C1ED1" w:rsidRPr="00ED73D1" w:rsidRDefault="002C1ED1" w:rsidP="00FF5067">
        <w:pPr>
          <w:pStyle w:val="Footer"/>
          <w:jc w:val="center"/>
          <w:rPr>
            <w:rFonts w:cs="Arial"/>
          </w:rPr>
        </w:pPr>
        <w:r w:rsidRPr="00BF43CC">
          <w:rPr>
            <w:rFonts w:cs="Arial"/>
          </w:rPr>
          <w:fldChar w:fldCharType="begin"/>
        </w:r>
        <w:r w:rsidRPr="00BF43CC">
          <w:rPr>
            <w:rFonts w:cs="Arial"/>
          </w:rPr>
          <w:instrText xml:space="preserve"> PAGE   \* MERGEFORMAT </w:instrText>
        </w:r>
        <w:r w:rsidRPr="00BF43CC">
          <w:rPr>
            <w:rFonts w:cs="Arial"/>
          </w:rPr>
          <w:fldChar w:fldCharType="separate"/>
        </w:r>
        <w:r w:rsidR="00293C7B">
          <w:rPr>
            <w:rFonts w:cs="Arial"/>
            <w:noProof/>
          </w:rPr>
          <w:t>2</w:t>
        </w:r>
        <w:r w:rsidRPr="00BF43CC">
          <w:rPr>
            <w:rFonts w:cs="Arial"/>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8693816"/>
      <w:docPartObj>
        <w:docPartGallery w:val="Page Numbers (Bottom of Page)"/>
        <w:docPartUnique/>
      </w:docPartObj>
    </w:sdtPr>
    <w:sdtEndPr>
      <w:rPr>
        <w:rFonts w:cs="Arial"/>
        <w:noProof/>
      </w:rPr>
    </w:sdtEndPr>
    <w:sdtContent>
      <w:p w:rsidR="002C1ED1" w:rsidRPr="00ED73D1" w:rsidRDefault="002C1ED1" w:rsidP="00CB705E">
        <w:pPr>
          <w:pStyle w:val="Footer"/>
          <w:jc w:val="center"/>
          <w:rPr>
            <w:rFonts w:cs="Arial"/>
          </w:rPr>
        </w:pPr>
        <w:r w:rsidRPr="00BF43CC">
          <w:rPr>
            <w:rFonts w:cs="Arial"/>
          </w:rPr>
          <w:fldChar w:fldCharType="begin"/>
        </w:r>
        <w:r w:rsidRPr="00BF43CC">
          <w:rPr>
            <w:rFonts w:cs="Arial"/>
          </w:rPr>
          <w:instrText xml:space="preserve"> PAGE   \* MERGEFORMAT </w:instrText>
        </w:r>
        <w:r w:rsidRPr="00BF43CC">
          <w:rPr>
            <w:rFonts w:cs="Arial"/>
          </w:rPr>
          <w:fldChar w:fldCharType="separate"/>
        </w:r>
        <w:r w:rsidR="00293C7B">
          <w:rPr>
            <w:rFonts w:cs="Arial"/>
            <w:noProof/>
          </w:rPr>
          <w:t>238</w:t>
        </w:r>
        <w:r w:rsidRPr="00BF43CC">
          <w:rPr>
            <w:rFonts w:cs="Arial"/>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1433148"/>
      <w:docPartObj>
        <w:docPartGallery w:val="Page Numbers (Bottom of Page)"/>
        <w:docPartUnique/>
      </w:docPartObj>
    </w:sdtPr>
    <w:sdtEndPr>
      <w:rPr>
        <w:rFonts w:cs="Arial"/>
        <w:noProof/>
      </w:rPr>
    </w:sdtEndPr>
    <w:sdtContent>
      <w:p w:rsidR="002C1ED1" w:rsidRPr="00ED73D1" w:rsidRDefault="002C1ED1" w:rsidP="00CB705E">
        <w:pPr>
          <w:pStyle w:val="Footer"/>
          <w:jc w:val="center"/>
          <w:rPr>
            <w:rFonts w:cs="Arial"/>
          </w:rPr>
        </w:pPr>
        <w:r w:rsidRPr="00BF43CC">
          <w:rPr>
            <w:rFonts w:cs="Arial"/>
          </w:rPr>
          <w:fldChar w:fldCharType="begin"/>
        </w:r>
        <w:r w:rsidRPr="00BF43CC">
          <w:rPr>
            <w:rFonts w:cs="Arial"/>
          </w:rPr>
          <w:instrText xml:space="preserve"> PAGE   \* MERGEFORMAT </w:instrText>
        </w:r>
        <w:r w:rsidRPr="00BF43CC">
          <w:rPr>
            <w:rFonts w:cs="Arial"/>
          </w:rPr>
          <w:fldChar w:fldCharType="separate"/>
        </w:r>
        <w:r w:rsidR="00293C7B">
          <w:rPr>
            <w:rFonts w:cs="Arial"/>
            <w:noProof/>
          </w:rPr>
          <w:t>3</w:t>
        </w:r>
        <w:r w:rsidRPr="00BF43CC">
          <w:rPr>
            <w:rFonts w:cs="Arial"/>
            <w:noProof/>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4664880"/>
      <w:docPartObj>
        <w:docPartGallery w:val="Page Numbers (Bottom of Page)"/>
        <w:docPartUnique/>
      </w:docPartObj>
    </w:sdtPr>
    <w:sdtEndPr>
      <w:rPr>
        <w:rFonts w:cs="Arial"/>
        <w:noProof/>
      </w:rPr>
    </w:sdtEndPr>
    <w:sdtContent>
      <w:p w:rsidR="002C1ED1" w:rsidRPr="00ED73D1" w:rsidRDefault="002C1ED1" w:rsidP="00C63736">
        <w:pPr>
          <w:pStyle w:val="Footer"/>
          <w:jc w:val="center"/>
          <w:rPr>
            <w:rFonts w:cs="Arial"/>
          </w:rPr>
        </w:pPr>
        <w:r w:rsidRPr="00BF43CC">
          <w:rPr>
            <w:rFonts w:cs="Arial"/>
          </w:rPr>
          <w:fldChar w:fldCharType="begin"/>
        </w:r>
        <w:r w:rsidRPr="00BF43CC">
          <w:rPr>
            <w:rFonts w:cs="Arial"/>
          </w:rPr>
          <w:instrText xml:space="preserve"> PAGE   \* MERGEFORMAT </w:instrText>
        </w:r>
        <w:r w:rsidRPr="00BF43CC">
          <w:rPr>
            <w:rFonts w:cs="Arial"/>
          </w:rPr>
          <w:fldChar w:fldCharType="separate"/>
        </w:r>
        <w:r w:rsidR="00293C7B">
          <w:rPr>
            <w:rFonts w:cs="Arial"/>
            <w:noProof/>
          </w:rPr>
          <w:t>239</w:t>
        </w:r>
        <w:r w:rsidRPr="00BF43CC">
          <w:rPr>
            <w:rFonts w:cs="Arial"/>
            <w:noProof/>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1ED1" w:rsidRDefault="002C1ED1" w:rsidP="00C63736">
    <w:pPr>
      <w:pStyle w:val="Footer"/>
      <w:tabs>
        <w:tab w:val="right" w:pos="8504"/>
      </w:tabs>
      <w:rPr>
        <w:sz w:val="16"/>
      </w:rPr>
    </w:pPr>
    <w:r>
      <w:rPr>
        <w:sz w:val="16"/>
      </w:rPr>
      <w:fldChar w:fldCharType="begin"/>
    </w:r>
    <w:r>
      <w:rPr>
        <w:sz w:val="16"/>
      </w:rPr>
      <w:instrText xml:space="preserve"> FILENAME \* Lower\p  \* MERGEFORMAT </w:instrText>
    </w:r>
    <w:r>
      <w:rPr>
        <w:sz w:val="16"/>
      </w:rPr>
      <w:fldChar w:fldCharType="separate"/>
    </w:r>
    <w:r>
      <w:rPr>
        <w:noProof/>
        <w:sz w:val="16"/>
      </w:rPr>
      <w:t>n:\orglan\aem\pool\37859\a_55_5_rev_37859_fr.docx</w:t>
    </w:r>
    <w:r>
      <w:rPr>
        <w:sz w:val="16"/>
      </w:rPr>
      <w:fldChar w:fldCharType="end"/>
    </w:r>
    <w:r>
      <w:rPr>
        <w:sz w:val="16"/>
      </w:rPr>
      <w:t xml:space="preserve"> </w:t>
    </w:r>
    <w:r>
      <w:rPr>
        <w:sz w:val="16"/>
      </w:rPr>
      <w:tab/>
      <w:t>(NGR/mhf/</w:t>
    </w:r>
    <w:r>
      <w:rPr>
        <w:sz w:val="16"/>
      </w:rPr>
      <w:fldChar w:fldCharType="begin"/>
    </w:r>
    <w:r>
      <w:rPr>
        <w:sz w:val="16"/>
      </w:rPr>
      <w:instrText xml:space="preserve"> DATE \@ "d-MMM-yy" </w:instrText>
    </w:r>
    <w:r>
      <w:rPr>
        <w:sz w:val="16"/>
      </w:rPr>
      <w:fldChar w:fldCharType="separate"/>
    </w:r>
    <w:r w:rsidR="00130644">
      <w:rPr>
        <w:noProof/>
        <w:sz w:val="16"/>
      </w:rPr>
      <w:t>23-nov.-15</w:t>
    </w:r>
    <w:r>
      <w:rPr>
        <w:sz w:val="16"/>
      </w:rPr>
      <w:fldChar w:fldCharType="end"/>
    </w:r>
    <w:r>
      <w:rPr>
        <w:sz w:val="16"/>
      </w:rPr>
      <w:t>/</w:t>
    </w:r>
    <w:r>
      <w:rPr>
        <w:sz w:val="16"/>
      </w:rPr>
      <w:fldChar w:fldCharType="begin"/>
    </w:r>
    <w:r>
      <w:rPr>
        <w:sz w:val="16"/>
      </w:rPr>
      <w:instrText xml:space="preserve"> DATE \@ "h:mm" </w:instrText>
    </w:r>
    <w:r>
      <w:rPr>
        <w:sz w:val="16"/>
      </w:rPr>
      <w:fldChar w:fldCharType="separate"/>
    </w:r>
    <w:r w:rsidR="00130644">
      <w:rPr>
        <w:noProof/>
        <w:sz w:val="16"/>
      </w:rPr>
      <w:t>2:21</w:t>
    </w:r>
    <w:r>
      <w:rPr>
        <w:sz w:val="16"/>
      </w:rPr>
      <w:fldChar w:fldCharType="end"/>
    </w:r>
    <w:r>
      <w:rPr>
        <w:sz w:val="16"/>
      </w:rPr>
      <w:t>)</w:t>
    </w:r>
  </w:p>
  <w:p w:rsidR="002C1ED1" w:rsidRPr="00957E49" w:rsidRDefault="002C1ED1" w:rsidP="00C63736">
    <w:pPr>
      <w:pStyle w:val="Footer"/>
      <w:tabs>
        <w:tab w:val="right" w:pos="8504"/>
      </w:tabs>
      <w:jc w:val="center"/>
      <w:rPr>
        <w:b/>
      </w:rPr>
    </w:pPr>
    <w:r>
      <w:rPr>
        <w:rFonts w:ascii="Wingdings" w:hAnsi="Wingdings"/>
        <w:b/>
      </w:rPr>
      <w:t></w:t>
    </w:r>
    <w:r>
      <w:rPr>
        <w:b/>
      </w:rPr>
      <w:t xml:space="preserve"> TO BE RENAMED BEFORE PRINTING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1ED1" w:rsidRDefault="002C1ED1" w:rsidP="00414988">
      <w:r>
        <w:separator/>
      </w:r>
    </w:p>
  </w:footnote>
  <w:footnote w:type="continuationSeparator" w:id="0">
    <w:p w:rsidR="002C1ED1" w:rsidRDefault="002C1ED1" w:rsidP="00414988">
      <w:r>
        <w:continuationSeparator/>
      </w:r>
    </w:p>
  </w:footnote>
  <w:footnote w:type="continuationNotice" w:id="1">
    <w:p w:rsidR="002C1ED1" w:rsidRDefault="002C1ED1"/>
  </w:footnote>
  <w:footnote w:id="2">
    <w:p w:rsidR="002C1ED1" w:rsidRPr="00B15677" w:rsidRDefault="002C1ED1" w:rsidP="00231697">
      <w:pPr>
        <w:pStyle w:val="FootnoteText"/>
        <w:rPr>
          <w:sz w:val="18"/>
          <w:szCs w:val="18"/>
          <w:lang w:val="fr-CH"/>
        </w:rPr>
      </w:pPr>
      <w:r w:rsidRPr="00B15677">
        <w:rPr>
          <w:rStyle w:val="FootnoteReference"/>
          <w:sz w:val="18"/>
          <w:szCs w:val="18"/>
        </w:rPr>
        <w:footnoteRef/>
      </w:r>
      <w:r w:rsidRPr="00B15677">
        <w:rPr>
          <w:sz w:val="18"/>
          <w:szCs w:val="18"/>
        </w:rPr>
        <w:t xml:space="preserve"> </w:t>
      </w:r>
      <w:r w:rsidRPr="00B15677">
        <w:rPr>
          <w:sz w:val="18"/>
          <w:szCs w:val="18"/>
          <w:lang w:val="fr-CH"/>
        </w:rPr>
        <w:tab/>
      </w:r>
      <w:r w:rsidRPr="00B15677">
        <w:rPr>
          <w:color w:val="000000"/>
          <w:sz w:val="18"/>
          <w:szCs w:val="18"/>
          <w:lang w:val="fr-CH"/>
        </w:rPr>
        <w:t>Les prévisions détaillées figurent à l’annexe IV.</w:t>
      </w:r>
    </w:p>
  </w:footnote>
  <w:footnote w:id="3">
    <w:p w:rsidR="002C1ED1" w:rsidRPr="00B15677" w:rsidRDefault="002C1ED1" w:rsidP="00231697">
      <w:pPr>
        <w:pStyle w:val="FootnoteText"/>
        <w:rPr>
          <w:sz w:val="18"/>
          <w:szCs w:val="18"/>
          <w:lang w:val="fr-CH"/>
        </w:rPr>
      </w:pPr>
      <w:r w:rsidRPr="00B15677">
        <w:rPr>
          <w:rStyle w:val="FootnoteReference"/>
          <w:sz w:val="18"/>
          <w:szCs w:val="18"/>
        </w:rPr>
        <w:footnoteRef/>
      </w:r>
      <w:r w:rsidRPr="00B15677">
        <w:rPr>
          <w:sz w:val="18"/>
          <w:szCs w:val="18"/>
        </w:rPr>
        <w:t xml:space="preserve"> </w:t>
      </w:r>
      <w:r w:rsidRPr="00B15677">
        <w:rPr>
          <w:sz w:val="18"/>
          <w:szCs w:val="18"/>
          <w:lang w:val="fr-CH"/>
        </w:rPr>
        <w:tab/>
        <w:t>En avril 2015.</w:t>
      </w:r>
    </w:p>
  </w:footnote>
  <w:footnote w:id="4">
    <w:p w:rsidR="002C1ED1" w:rsidRPr="00B15677" w:rsidRDefault="002C1ED1" w:rsidP="00231697">
      <w:pPr>
        <w:pStyle w:val="FootnoteText"/>
        <w:rPr>
          <w:sz w:val="18"/>
          <w:szCs w:val="18"/>
          <w:lang w:val="fr-CH"/>
        </w:rPr>
      </w:pPr>
      <w:r w:rsidRPr="00B15677">
        <w:rPr>
          <w:rStyle w:val="FootnoteReference"/>
          <w:sz w:val="18"/>
          <w:szCs w:val="18"/>
        </w:rPr>
        <w:footnoteRef/>
      </w:r>
      <w:r w:rsidRPr="00B15677">
        <w:rPr>
          <w:sz w:val="18"/>
          <w:szCs w:val="18"/>
        </w:rPr>
        <w:t xml:space="preserve"> </w:t>
      </w:r>
      <w:r w:rsidRPr="00B15677">
        <w:rPr>
          <w:sz w:val="18"/>
          <w:szCs w:val="18"/>
          <w:lang w:val="fr-CH"/>
        </w:rPr>
        <w:tab/>
        <w:t xml:space="preserve">Des informations détaillées sur les contributions des États membres figurent à l’appendice A. </w:t>
      </w:r>
    </w:p>
  </w:footnote>
  <w:footnote w:id="5">
    <w:p w:rsidR="002C1ED1" w:rsidRPr="00B15677" w:rsidRDefault="002C1ED1" w:rsidP="00231697">
      <w:pPr>
        <w:pStyle w:val="FootnoteText"/>
        <w:rPr>
          <w:sz w:val="18"/>
          <w:szCs w:val="18"/>
          <w:lang w:val="fr-CH"/>
        </w:rPr>
      </w:pPr>
      <w:r w:rsidRPr="00B15677">
        <w:rPr>
          <w:rStyle w:val="FootnoteReference"/>
          <w:sz w:val="18"/>
          <w:szCs w:val="18"/>
        </w:rPr>
        <w:footnoteRef/>
      </w:r>
      <w:r w:rsidRPr="00B15677">
        <w:rPr>
          <w:sz w:val="18"/>
          <w:szCs w:val="18"/>
        </w:rPr>
        <w:t xml:space="preserve"> </w:t>
      </w:r>
      <w:r w:rsidRPr="00B15677">
        <w:rPr>
          <w:sz w:val="18"/>
          <w:szCs w:val="18"/>
          <w:lang w:val="fr-CH"/>
        </w:rPr>
        <w:tab/>
      </w:r>
      <w:r w:rsidRPr="00B15677">
        <w:rPr>
          <w:color w:val="000000"/>
          <w:sz w:val="18"/>
          <w:szCs w:val="18"/>
          <w:lang w:val="fr-CH"/>
        </w:rPr>
        <w:t>Les définitions des sources de revenus figurent à l’appendice B.</w:t>
      </w:r>
    </w:p>
  </w:footnote>
  <w:footnote w:id="6">
    <w:p w:rsidR="002C1ED1" w:rsidRPr="00B15677" w:rsidRDefault="002C1ED1" w:rsidP="00231697">
      <w:pPr>
        <w:pStyle w:val="FootnoteText"/>
        <w:rPr>
          <w:sz w:val="18"/>
          <w:szCs w:val="18"/>
          <w:lang w:val="fr-CH"/>
        </w:rPr>
      </w:pPr>
      <w:r w:rsidRPr="00B15677">
        <w:rPr>
          <w:rStyle w:val="FootnoteReference"/>
          <w:sz w:val="18"/>
          <w:szCs w:val="18"/>
        </w:rPr>
        <w:footnoteRef/>
      </w:r>
      <w:r w:rsidRPr="00B15677">
        <w:rPr>
          <w:sz w:val="18"/>
          <w:szCs w:val="18"/>
        </w:rPr>
        <w:t xml:space="preserve"> </w:t>
      </w:r>
      <w:r w:rsidRPr="00B15677">
        <w:rPr>
          <w:sz w:val="18"/>
          <w:szCs w:val="18"/>
          <w:lang w:val="fr-CH"/>
        </w:rPr>
        <w:tab/>
        <w:t>Depuis 2010, les états financiers de l’OMPI sont présentés conformément aux normes IPSAS sur la base d’une comptabilité d’exercice intégrale.</w:t>
      </w:r>
    </w:p>
  </w:footnote>
  <w:footnote w:id="7">
    <w:p w:rsidR="002C1ED1" w:rsidRPr="00B15677" w:rsidRDefault="002C1ED1" w:rsidP="00231697">
      <w:pPr>
        <w:pStyle w:val="FootnoteText"/>
        <w:rPr>
          <w:sz w:val="18"/>
          <w:szCs w:val="18"/>
          <w:lang w:val="fr-CH"/>
        </w:rPr>
      </w:pPr>
      <w:r w:rsidRPr="00B15677">
        <w:rPr>
          <w:rStyle w:val="FootnoteReference"/>
          <w:sz w:val="18"/>
          <w:szCs w:val="18"/>
        </w:rPr>
        <w:footnoteRef/>
      </w:r>
      <w:r w:rsidRPr="00B15677">
        <w:rPr>
          <w:sz w:val="18"/>
          <w:szCs w:val="18"/>
        </w:rPr>
        <w:t xml:space="preserve"> </w:t>
      </w:r>
      <w:r w:rsidRPr="00B15677">
        <w:rPr>
          <w:sz w:val="18"/>
          <w:szCs w:val="18"/>
          <w:lang w:val="fr-CH"/>
        </w:rPr>
        <w:tab/>
        <w:t>Voir le tableau 6.</w:t>
      </w:r>
    </w:p>
  </w:footnote>
  <w:footnote w:id="8">
    <w:p w:rsidR="002C1ED1" w:rsidRPr="00B15677" w:rsidRDefault="002C1ED1" w:rsidP="00231697">
      <w:pPr>
        <w:pStyle w:val="FootnoteText"/>
        <w:jc w:val="both"/>
        <w:rPr>
          <w:sz w:val="18"/>
          <w:szCs w:val="18"/>
          <w:lang w:val="fr-CH"/>
        </w:rPr>
      </w:pPr>
      <w:r w:rsidRPr="00B15677">
        <w:rPr>
          <w:rStyle w:val="FootnoteReference"/>
          <w:sz w:val="18"/>
          <w:szCs w:val="18"/>
        </w:rPr>
        <w:footnoteRef/>
      </w:r>
      <w:r w:rsidRPr="00B15677">
        <w:rPr>
          <w:sz w:val="18"/>
          <w:szCs w:val="18"/>
        </w:rPr>
        <w:t xml:space="preserve"> </w:t>
      </w:r>
      <w:r w:rsidRPr="00B15677">
        <w:rPr>
          <w:sz w:val="18"/>
          <w:szCs w:val="18"/>
          <w:lang w:val="fr-CH"/>
        </w:rPr>
        <w:tab/>
        <w:t>Examen de la procédure budgétaire appliquée aux projets proposés par le Comité du développement et de la propriété intellectuelle (CDIP) pour la mise en œuvre des recommandations relatives au Plan d’action pour le développement (document A/48/5 Rev.).</w:t>
      </w:r>
    </w:p>
  </w:footnote>
  <w:footnote w:id="9">
    <w:p w:rsidR="002C1ED1" w:rsidRPr="00B15677" w:rsidRDefault="002C1ED1" w:rsidP="00231697">
      <w:pPr>
        <w:pStyle w:val="FootnoteText"/>
        <w:rPr>
          <w:sz w:val="18"/>
          <w:szCs w:val="18"/>
          <w:lang w:val="fr-CH"/>
        </w:rPr>
      </w:pPr>
      <w:r w:rsidRPr="00B15677">
        <w:rPr>
          <w:rStyle w:val="FootnoteReference"/>
          <w:sz w:val="18"/>
          <w:szCs w:val="18"/>
        </w:rPr>
        <w:footnoteRef/>
      </w:r>
      <w:r w:rsidRPr="00B15677">
        <w:rPr>
          <w:sz w:val="18"/>
          <w:szCs w:val="18"/>
        </w:rPr>
        <w:t xml:space="preserve"> </w:t>
      </w:r>
      <w:r w:rsidRPr="00B15677">
        <w:rPr>
          <w:sz w:val="18"/>
          <w:szCs w:val="18"/>
          <w:lang w:val="fr-CH"/>
        </w:rPr>
        <w:tab/>
        <w:t>Sous réserve de l’approbation du Comité du développement et de la propriété intellectuelle (CDIP).</w:t>
      </w:r>
    </w:p>
  </w:footnote>
  <w:footnote w:id="10">
    <w:p w:rsidR="002C1ED1" w:rsidRPr="00B15677" w:rsidRDefault="002C1ED1" w:rsidP="00231697">
      <w:pPr>
        <w:pStyle w:val="FootnoteText"/>
        <w:rPr>
          <w:sz w:val="18"/>
          <w:szCs w:val="18"/>
          <w:lang w:val="fr-CH"/>
        </w:rPr>
      </w:pPr>
      <w:r w:rsidRPr="00B15677">
        <w:rPr>
          <w:rStyle w:val="FootnoteReference"/>
          <w:sz w:val="18"/>
          <w:szCs w:val="18"/>
        </w:rPr>
        <w:footnoteRef/>
      </w:r>
      <w:r w:rsidRPr="00B15677">
        <w:rPr>
          <w:sz w:val="18"/>
          <w:szCs w:val="18"/>
        </w:rPr>
        <w:t xml:space="preserve"> </w:t>
      </w:r>
      <w:r w:rsidRPr="00B15677">
        <w:rPr>
          <w:sz w:val="18"/>
          <w:szCs w:val="18"/>
          <w:lang w:val="fr-CH"/>
        </w:rPr>
        <w:tab/>
        <w:t>Voir le tableau 7.</w:t>
      </w:r>
    </w:p>
  </w:footnote>
  <w:footnote w:id="11">
    <w:p w:rsidR="002C1ED1" w:rsidRPr="00B15677" w:rsidRDefault="002C1ED1" w:rsidP="00231697">
      <w:pPr>
        <w:pStyle w:val="FootnoteText"/>
        <w:rPr>
          <w:sz w:val="18"/>
          <w:szCs w:val="18"/>
          <w:lang w:val="fr-CH"/>
        </w:rPr>
      </w:pPr>
      <w:r w:rsidRPr="00B15677">
        <w:rPr>
          <w:rStyle w:val="FootnoteReference"/>
          <w:sz w:val="18"/>
          <w:szCs w:val="18"/>
        </w:rPr>
        <w:footnoteRef/>
      </w:r>
      <w:r w:rsidRPr="00B15677">
        <w:rPr>
          <w:sz w:val="18"/>
          <w:szCs w:val="18"/>
        </w:rPr>
        <w:t xml:space="preserve"> </w:t>
      </w:r>
      <w:r w:rsidRPr="00B15677">
        <w:rPr>
          <w:sz w:val="18"/>
          <w:szCs w:val="18"/>
          <w:lang w:val="fr-CH"/>
        </w:rPr>
        <w:tab/>
      </w:r>
      <w:r w:rsidRPr="00B15677">
        <w:rPr>
          <w:color w:val="000000"/>
          <w:sz w:val="18"/>
          <w:szCs w:val="18"/>
          <w:lang w:val="fr-CH"/>
        </w:rPr>
        <w:t>Le programme et budget pour 2014 et le rapport sur l’exécution du programme en 2014 étant établis en parallèle, il sera remédié aux divergences éventuelles entre les deux documents lors de la mise à jour des niveaux de référence.</w:t>
      </w:r>
      <w:r w:rsidRPr="00B15677">
        <w:rPr>
          <w:sz w:val="18"/>
          <w:szCs w:val="18"/>
          <w:lang w:val="fr-CH"/>
        </w:rPr>
        <w:t xml:space="preserve"> </w:t>
      </w:r>
    </w:p>
  </w:footnote>
  <w:footnote w:id="12">
    <w:p w:rsidR="002C1ED1" w:rsidRPr="00B15677" w:rsidRDefault="002C1ED1" w:rsidP="00231697">
      <w:pPr>
        <w:pStyle w:val="FootnoteText"/>
        <w:rPr>
          <w:sz w:val="18"/>
          <w:szCs w:val="18"/>
          <w:lang w:val="fr-CH"/>
        </w:rPr>
      </w:pPr>
      <w:r w:rsidRPr="00B15677">
        <w:rPr>
          <w:rStyle w:val="FootnoteReference"/>
          <w:sz w:val="18"/>
          <w:szCs w:val="18"/>
        </w:rPr>
        <w:footnoteRef/>
      </w:r>
      <w:r w:rsidRPr="00B15677">
        <w:rPr>
          <w:sz w:val="18"/>
          <w:szCs w:val="18"/>
        </w:rPr>
        <w:t xml:space="preserve"> </w:t>
      </w:r>
      <w:r w:rsidRPr="00B15677">
        <w:rPr>
          <w:sz w:val="18"/>
          <w:szCs w:val="18"/>
          <w:lang w:val="fr-CH"/>
        </w:rPr>
        <w:tab/>
      </w:r>
      <w:r w:rsidRPr="00B15677">
        <w:rPr>
          <w:color w:val="000000"/>
          <w:sz w:val="18"/>
          <w:szCs w:val="18"/>
          <w:lang w:val="fr-CH"/>
        </w:rPr>
        <w:t>Le montant total du budget 2012</w:t>
      </w:r>
      <w:r w:rsidRPr="00B15677">
        <w:rPr>
          <w:color w:val="000000"/>
          <w:sz w:val="18"/>
          <w:szCs w:val="18"/>
          <w:lang w:val="fr-CH"/>
        </w:rPr>
        <w:noBreakHyphen/>
        <w:t>2013 hors dépenses de personnel approuvé s’élevait à 238,8 millions de francs suisses.</w:t>
      </w:r>
      <w:r w:rsidRPr="00B15677">
        <w:rPr>
          <w:sz w:val="18"/>
          <w:szCs w:val="18"/>
          <w:lang w:val="fr-CH"/>
        </w:rPr>
        <w:t xml:space="preserve"> </w:t>
      </w:r>
    </w:p>
  </w:footnote>
  <w:footnote w:id="13">
    <w:p w:rsidR="002C1ED1" w:rsidRPr="00B15677" w:rsidRDefault="002C1ED1" w:rsidP="00231697">
      <w:pPr>
        <w:pStyle w:val="FootnoteText"/>
        <w:rPr>
          <w:sz w:val="18"/>
          <w:szCs w:val="18"/>
          <w:lang w:val="fr-CH"/>
        </w:rPr>
      </w:pPr>
      <w:r w:rsidRPr="00B15677">
        <w:rPr>
          <w:rStyle w:val="FootnoteReference"/>
          <w:sz w:val="18"/>
          <w:szCs w:val="18"/>
        </w:rPr>
        <w:footnoteRef/>
      </w:r>
      <w:r w:rsidRPr="00B15677">
        <w:rPr>
          <w:sz w:val="18"/>
          <w:szCs w:val="18"/>
        </w:rPr>
        <w:t xml:space="preserve"> </w:t>
      </w:r>
      <w:r w:rsidRPr="00B15677">
        <w:rPr>
          <w:sz w:val="18"/>
          <w:szCs w:val="18"/>
          <w:lang w:val="fr-CH"/>
        </w:rPr>
        <w:tab/>
        <w:t>Une description détaillée des catégories de dépenses figure à l’appendice B.</w:t>
      </w:r>
    </w:p>
  </w:footnote>
  <w:footnote w:id="14">
    <w:p w:rsidR="002C1ED1" w:rsidRPr="00B15677" w:rsidRDefault="002C1ED1" w:rsidP="00231697">
      <w:pPr>
        <w:pStyle w:val="FootnoteText"/>
        <w:rPr>
          <w:sz w:val="18"/>
          <w:szCs w:val="18"/>
          <w:lang w:val="fr-CH"/>
        </w:rPr>
      </w:pPr>
      <w:r w:rsidRPr="00B15677">
        <w:rPr>
          <w:rStyle w:val="FootnoteReference"/>
          <w:sz w:val="18"/>
          <w:szCs w:val="18"/>
        </w:rPr>
        <w:footnoteRef/>
      </w:r>
      <w:r w:rsidRPr="00B15677">
        <w:rPr>
          <w:sz w:val="18"/>
          <w:szCs w:val="18"/>
        </w:rPr>
        <w:t xml:space="preserve"> </w:t>
      </w:r>
      <w:r w:rsidRPr="00B15677">
        <w:rPr>
          <w:sz w:val="18"/>
          <w:szCs w:val="18"/>
          <w:lang w:val="fr-CH"/>
        </w:rPr>
        <w:tab/>
      </w:r>
      <w:r w:rsidRPr="00B15677">
        <w:rPr>
          <w:b/>
          <w:color w:val="000000"/>
          <w:sz w:val="18"/>
          <w:szCs w:val="18"/>
          <w:lang w:val="fr-CH"/>
        </w:rPr>
        <w:t>Postes</w:t>
      </w:r>
      <w:r w:rsidRPr="00B15677">
        <w:rPr>
          <w:color w:val="000000"/>
          <w:sz w:val="18"/>
          <w:szCs w:val="18"/>
          <w:lang w:val="fr-CH"/>
        </w:rPr>
        <w:t xml:space="preserve"> – cette catégorie comprend les fonctionnaires titulaires d’un engagement de durée déterminée, d’un engagement continu ou d’un engagement permanent par rapport aux postes approuvés dans la catégorie des administrateurs et celle des services généraux.</w:t>
      </w:r>
    </w:p>
  </w:footnote>
  <w:footnote w:id="15">
    <w:p w:rsidR="002C1ED1" w:rsidRPr="00B15677" w:rsidRDefault="002C1ED1" w:rsidP="00231697">
      <w:pPr>
        <w:pStyle w:val="FootnoteText"/>
        <w:rPr>
          <w:sz w:val="18"/>
          <w:szCs w:val="18"/>
          <w:lang w:val="fr-CH"/>
        </w:rPr>
      </w:pPr>
      <w:r w:rsidRPr="00B15677">
        <w:rPr>
          <w:rStyle w:val="FootnoteReference"/>
          <w:sz w:val="18"/>
          <w:szCs w:val="18"/>
        </w:rPr>
        <w:footnoteRef/>
      </w:r>
      <w:r w:rsidRPr="00B15677">
        <w:rPr>
          <w:sz w:val="18"/>
          <w:szCs w:val="18"/>
        </w:rPr>
        <w:t xml:space="preserve"> </w:t>
      </w:r>
      <w:r w:rsidRPr="00B15677">
        <w:rPr>
          <w:sz w:val="18"/>
          <w:szCs w:val="18"/>
          <w:lang w:val="fr-CH"/>
        </w:rPr>
        <w:tab/>
      </w:r>
      <w:r w:rsidRPr="00B15677">
        <w:rPr>
          <w:b/>
          <w:color w:val="000000"/>
          <w:sz w:val="18"/>
          <w:szCs w:val="18"/>
          <w:lang w:val="fr-CH"/>
        </w:rPr>
        <w:t xml:space="preserve">Fonctionnaires temporaires </w:t>
      </w:r>
      <w:r w:rsidRPr="00B15677">
        <w:rPr>
          <w:color w:val="000000"/>
          <w:sz w:val="18"/>
          <w:szCs w:val="18"/>
          <w:lang w:val="fr-CH"/>
        </w:rPr>
        <w:t>– cette catégorie comprend les fonctionnaires titulaires d’engagements temporaires.</w:t>
      </w:r>
    </w:p>
  </w:footnote>
  <w:footnote w:id="16">
    <w:p w:rsidR="002C1ED1" w:rsidRPr="00B15677" w:rsidRDefault="002C1ED1" w:rsidP="00231697">
      <w:pPr>
        <w:pStyle w:val="FootnoteText"/>
        <w:jc w:val="both"/>
        <w:rPr>
          <w:sz w:val="18"/>
          <w:szCs w:val="18"/>
          <w:lang w:val="fr-CH"/>
        </w:rPr>
      </w:pPr>
      <w:r w:rsidRPr="00B15677">
        <w:rPr>
          <w:rStyle w:val="FootnoteReference"/>
          <w:sz w:val="18"/>
          <w:szCs w:val="18"/>
        </w:rPr>
        <w:footnoteRef/>
      </w:r>
      <w:r w:rsidRPr="00B15677">
        <w:rPr>
          <w:sz w:val="18"/>
          <w:szCs w:val="18"/>
        </w:rPr>
        <w:t xml:space="preserve"> </w:t>
      </w:r>
      <w:r w:rsidRPr="00B15677">
        <w:rPr>
          <w:sz w:val="18"/>
          <w:szCs w:val="18"/>
        </w:rPr>
        <w:tab/>
        <w:t>Conformément à la pratique établie, les pays en transition sont pris en considération aux fins du programme et budget.</w:t>
      </w:r>
    </w:p>
  </w:footnote>
  <w:footnote w:id="17">
    <w:p w:rsidR="002C1ED1" w:rsidRDefault="002C1ED1" w:rsidP="00231697">
      <w:pPr>
        <w:pStyle w:val="FootnoteText"/>
      </w:pPr>
      <w:r w:rsidRPr="002C1ED1">
        <w:rPr>
          <w:rStyle w:val="FootnoteReference"/>
          <w:rFonts w:cs="Arial"/>
          <w:sz w:val="16"/>
          <w:szCs w:val="16"/>
        </w:rPr>
        <w:footnoteRef/>
      </w:r>
      <w:r w:rsidRPr="002C1ED1">
        <w:rPr>
          <w:rFonts w:cs="Arial"/>
          <w:sz w:val="16"/>
          <w:szCs w:val="16"/>
        </w:rPr>
        <w:t xml:space="preserve"> </w:t>
      </w:r>
      <w:r w:rsidRPr="002C1ED1">
        <w:rPr>
          <w:rFonts w:cs="Arial"/>
          <w:sz w:val="16"/>
          <w:szCs w:val="16"/>
        </w:rPr>
        <w:tab/>
      </w:r>
      <w:r w:rsidRPr="00550742">
        <w:rPr>
          <w:rFonts w:cs="Arial"/>
          <w:sz w:val="16"/>
          <w:szCs w:val="16"/>
        </w:rPr>
        <w:t>Il est entendu que l’accréditation éventuelle des organismes de gestion collective ne devrait pas commencer avant le second semestre de 2017</w:t>
      </w:r>
      <w:r w:rsidRPr="00550742">
        <w:t>.</w:t>
      </w:r>
    </w:p>
  </w:footnote>
  <w:footnote w:id="18">
    <w:p w:rsidR="002C1ED1" w:rsidRPr="007F6CD1" w:rsidRDefault="002C1ED1" w:rsidP="00231697">
      <w:pPr>
        <w:pStyle w:val="FootnoteText"/>
        <w:rPr>
          <w:sz w:val="18"/>
          <w:szCs w:val="18"/>
          <w:lang w:val="fr-CH"/>
        </w:rPr>
      </w:pPr>
      <w:r w:rsidRPr="00B15677">
        <w:rPr>
          <w:rStyle w:val="FootnoteReference"/>
          <w:rFonts w:cs="Arial"/>
          <w:sz w:val="18"/>
          <w:szCs w:val="18"/>
        </w:rPr>
        <w:footnoteRef/>
      </w:r>
      <w:r w:rsidRPr="007F6CD1">
        <w:rPr>
          <w:sz w:val="18"/>
          <w:szCs w:val="18"/>
          <w:lang w:val="fr-CH"/>
        </w:rPr>
        <w:t xml:space="preserve"> </w:t>
      </w:r>
      <w:r w:rsidRPr="00B15677">
        <w:rPr>
          <w:sz w:val="18"/>
          <w:szCs w:val="18"/>
          <w:lang w:val="fr-CH"/>
        </w:rPr>
        <w:tab/>
      </w:r>
      <w:r w:rsidRPr="007F6CD1">
        <w:rPr>
          <w:rFonts w:cs="Arial"/>
          <w:sz w:val="18"/>
          <w:szCs w:val="18"/>
          <w:lang w:val="fr-CH"/>
        </w:rPr>
        <w:t>Les nouvelles acad</w:t>
      </w:r>
      <w:r w:rsidRPr="007F6CD1">
        <w:rPr>
          <w:rFonts w:cs="Arial" w:hint="eastAsia"/>
          <w:sz w:val="18"/>
          <w:szCs w:val="18"/>
          <w:lang w:val="fr-CH"/>
        </w:rPr>
        <w:t>é</w:t>
      </w:r>
      <w:r w:rsidRPr="007F6CD1">
        <w:rPr>
          <w:rFonts w:cs="Arial"/>
          <w:sz w:val="18"/>
          <w:szCs w:val="18"/>
          <w:lang w:val="fr-CH"/>
        </w:rPr>
        <w:t>mies nationales viables sont des institutions autonomes sur les plans financier et technique, auxquelles l</w:t>
      </w:r>
      <w:r w:rsidRPr="00B15677">
        <w:rPr>
          <w:rFonts w:cs="Arial"/>
          <w:sz w:val="18"/>
          <w:szCs w:val="18"/>
          <w:lang w:val="fr-CH"/>
        </w:rPr>
        <w:t>’</w:t>
      </w:r>
      <w:r w:rsidRPr="007F6CD1">
        <w:rPr>
          <w:rFonts w:cs="Arial"/>
          <w:sz w:val="18"/>
          <w:szCs w:val="18"/>
          <w:lang w:val="fr-CH"/>
        </w:rPr>
        <w:t>OMPI donne des conseils sur demande.</w:t>
      </w:r>
    </w:p>
  </w:footnote>
  <w:footnote w:id="19">
    <w:p w:rsidR="002C1ED1" w:rsidRPr="007F6CD1" w:rsidRDefault="002C1ED1" w:rsidP="00231697">
      <w:pPr>
        <w:rPr>
          <w:sz w:val="18"/>
          <w:szCs w:val="18"/>
          <w:lang w:val="fr-CH"/>
        </w:rPr>
      </w:pPr>
      <w:r w:rsidRPr="00B15677">
        <w:rPr>
          <w:rStyle w:val="FootnoteReference"/>
          <w:rFonts w:cs="Arial"/>
          <w:sz w:val="18"/>
          <w:szCs w:val="18"/>
        </w:rPr>
        <w:footnoteRef/>
      </w:r>
      <w:r w:rsidRPr="007F6CD1">
        <w:rPr>
          <w:sz w:val="18"/>
          <w:szCs w:val="18"/>
          <w:lang w:val="fr-CH"/>
        </w:rPr>
        <w:t xml:space="preserve"> </w:t>
      </w:r>
      <w:r w:rsidRPr="00B15677">
        <w:rPr>
          <w:sz w:val="18"/>
          <w:szCs w:val="18"/>
          <w:lang w:val="fr-CH"/>
        </w:rPr>
        <w:tab/>
      </w:r>
      <w:r w:rsidRPr="00B15677">
        <w:rPr>
          <w:rFonts w:cs="Arial"/>
          <w:sz w:val="18"/>
          <w:szCs w:val="18"/>
          <w:lang w:val="fr-CH"/>
        </w:rPr>
        <w:t>Les centres d’appui à la technologie et à l’innovation (CATI) durables sont des institutions autonomes sur les plans financier et technique, auxquelles l</w:t>
      </w:r>
      <w:r>
        <w:rPr>
          <w:rFonts w:cs="Arial"/>
          <w:sz w:val="18"/>
          <w:szCs w:val="18"/>
          <w:lang w:val="fr-CH"/>
        </w:rPr>
        <w:t>’</w:t>
      </w:r>
      <w:r w:rsidRPr="00B15677">
        <w:rPr>
          <w:rFonts w:cs="Arial"/>
          <w:sz w:val="18"/>
          <w:szCs w:val="18"/>
          <w:lang w:val="fr-CH"/>
        </w:rPr>
        <w:t>OMPI donne des conseils sur demande.</w:t>
      </w:r>
    </w:p>
  </w:footnote>
  <w:footnote w:id="20">
    <w:p w:rsidR="002C1ED1" w:rsidRPr="007F6CD1" w:rsidRDefault="002C1ED1" w:rsidP="00231697">
      <w:pPr>
        <w:pStyle w:val="FootnoteText"/>
        <w:rPr>
          <w:sz w:val="18"/>
          <w:szCs w:val="18"/>
          <w:lang w:val="fr-CH"/>
        </w:rPr>
      </w:pPr>
      <w:r w:rsidRPr="00B15677">
        <w:rPr>
          <w:rStyle w:val="FootnoteReference"/>
          <w:rFonts w:cs="Arial"/>
          <w:sz w:val="18"/>
          <w:szCs w:val="18"/>
        </w:rPr>
        <w:footnoteRef/>
      </w:r>
      <w:r w:rsidRPr="007F6CD1">
        <w:rPr>
          <w:sz w:val="18"/>
          <w:szCs w:val="18"/>
          <w:lang w:val="fr-CH"/>
        </w:rPr>
        <w:t xml:space="preserve"> </w:t>
      </w:r>
      <w:r w:rsidRPr="00B15677">
        <w:rPr>
          <w:sz w:val="18"/>
          <w:szCs w:val="18"/>
          <w:lang w:val="fr-CH"/>
        </w:rPr>
        <w:tab/>
      </w:r>
      <w:r w:rsidRPr="00B15677">
        <w:rPr>
          <w:rFonts w:cs="Arial"/>
          <w:sz w:val="18"/>
          <w:szCs w:val="18"/>
          <w:lang w:val="fr-CH"/>
        </w:rPr>
        <w:t>Les nouvelles acad</w:t>
      </w:r>
      <w:r w:rsidRPr="00B15677">
        <w:rPr>
          <w:rFonts w:cs="Arial" w:hint="eastAsia"/>
          <w:sz w:val="18"/>
          <w:szCs w:val="18"/>
          <w:lang w:val="fr-CH"/>
        </w:rPr>
        <w:t>é</w:t>
      </w:r>
      <w:r w:rsidRPr="00B15677">
        <w:rPr>
          <w:rFonts w:cs="Arial"/>
          <w:sz w:val="18"/>
          <w:szCs w:val="18"/>
          <w:lang w:val="fr-CH"/>
        </w:rPr>
        <w:t>mies nationales viables sont des institutions autonomes sur les plans financier et technique, auxquelles l'OMPI donne des conseils sur demande.</w:t>
      </w:r>
    </w:p>
  </w:footnote>
  <w:footnote w:id="21">
    <w:p w:rsidR="002C1ED1" w:rsidRPr="00B15677" w:rsidRDefault="002C1ED1" w:rsidP="00231697">
      <w:pPr>
        <w:rPr>
          <w:sz w:val="18"/>
          <w:szCs w:val="18"/>
          <w:lang w:val="fr-CH"/>
        </w:rPr>
      </w:pPr>
      <w:r w:rsidRPr="00B15677">
        <w:rPr>
          <w:rStyle w:val="FootnoteReference"/>
          <w:sz w:val="18"/>
          <w:szCs w:val="18"/>
        </w:rPr>
        <w:footnoteRef/>
      </w:r>
      <w:r w:rsidRPr="00B15677">
        <w:rPr>
          <w:sz w:val="18"/>
          <w:szCs w:val="18"/>
        </w:rPr>
        <w:t xml:space="preserve"> </w:t>
      </w:r>
      <w:r w:rsidRPr="00B15677">
        <w:rPr>
          <w:sz w:val="18"/>
          <w:szCs w:val="18"/>
        </w:rPr>
        <w:tab/>
      </w:r>
      <w:r w:rsidRPr="00B15677">
        <w:rPr>
          <w:rFonts w:cs="Arial"/>
          <w:sz w:val="18"/>
          <w:szCs w:val="18"/>
          <w:lang w:val="fr-CH"/>
        </w:rPr>
        <w:t>Les centres d’appui à la technologie et à l’innovation (CATI) durables sont des institutions autonomes sur les plans financier et technique, auxquelles l’OMPI donne des conseils sur demande.</w:t>
      </w:r>
    </w:p>
  </w:footnote>
  <w:footnote w:id="22">
    <w:p w:rsidR="002C1ED1" w:rsidRPr="00B15677" w:rsidRDefault="002C1ED1" w:rsidP="00231697">
      <w:pPr>
        <w:pStyle w:val="FootnoteText"/>
        <w:rPr>
          <w:sz w:val="18"/>
          <w:szCs w:val="18"/>
        </w:rPr>
      </w:pPr>
      <w:r w:rsidRPr="00B15677">
        <w:rPr>
          <w:rStyle w:val="FootnoteReference"/>
          <w:sz w:val="18"/>
          <w:szCs w:val="18"/>
        </w:rPr>
        <w:footnoteRef/>
      </w:r>
      <w:r w:rsidRPr="00B15677">
        <w:rPr>
          <w:sz w:val="18"/>
          <w:szCs w:val="18"/>
        </w:rPr>
        <w:t xml:space="preserve"> </w:t>
      </w:r>
      <w:r w:rsidRPr="00B15677">
        <w:rPr>
          <w:sz w:val="18"/>
          <w:szCs w:val="18"/>
        </w:rPr>
        <w:tab/>
      </w:r>
      <w:r w:rsidRPr="00B15677">
        <w:rPr>
          <w:rFonts w:cs="Arial"/>
          <w:sz w:val="18"/>
          <w:szCs w:val="18"/>
          <w:lang w:val="fr-CH"/>
        </w:rPr>
        <w:t>Les centres d’appui à la technologie et à l’innovation (CATI) durables sont des institutions autonomes sur les plans financier et technique, auxquelles l’OMPI donne des conseils sur demande.</w:t>
      </w:r>
    </w:p>
  </w:footnote>
  <w:footnote w:id="23">
    <w:p w:rsidR="002C1ED1" w:rsidRPr="00B15677" w:rsidRDefault="002C1ED1" w:rsidP="00231697">
      <w:pPr>
        <w:pStyle w:val="FootnoteText"/>
        <w:rPr>
          <w:rFonts w:cs="Arial"/>
          <w:sz w:val="18"/>
          <w:szCs w:val="18"/>
        </w:rPr>
      </w:pPr>
      <w:r w:rsidRPr="00B15677">
        <w:rPr>
          <w:rStyle w:val="FootnoteReference"/>
          <w:rFonts w:cs="Arial"/>
          <w:sz w:val="18"/>
          <w:szCs w:val="18"/>
        </w:rPr>
        <w:footnoteRef/>
      </w:r>
      <w:r w:rsidRPr="00B15677">
        <w:rPr>
          <w:rFonts w:cs="Arial"/>
          <w:sz w:val="18"/>
          <w:szCs w:val="18"/>
        </w:rPr>
        <w:t xml:space="preserve"> </w:t>
      </w:r>
      <w:r w:rsidRPr="00B15677">
        <w:rPr>
          <w:rFonts w:cs="Arial"/>
          <w:sz w:val="18"/>
          <w:szCs w:val="18"/>
        </w:rPr>
        <w:tab/>
      </w:r>
      <w:r w:rsidRPr="00B15677">
        <w:rPr>
          <w:rFonts w:cs="Arial"/>
          <w:color w:val="000000"/>
          <w:sz w:val="18"/>
          <w:szCs w:val="18"/>
        </w:rPr>
        <w:t>Les niveaux de référence et les objectifs visés seront déterminés à la fin 2015, lorsque les nouveaux instruments et méthodes de suivi statistique fondé sur le Web auront été testés et confirmés.</w:t>
      </w:r>
    </w:p>
  </w:footnote>
  <w:footnote w:id="24">
    <w:p w:rsidR="002C1ED1" w:rsidRPr="004A2342" w:rsidRDefault="002C1ED1" w:rsidP="00231697">
      <w:pPr>
        <w:pStyle w:val="FootnoteText"/>
        <w:rPr>
          <w:rFonts w:cs="Arial"/>
          <w:sz w:val="16"/>
          <w:szCs w:val="16"/>
        </w:rPr>
      </w:pPr>
      <w:r w:rsidRPr="002C1ED1">
        <w:rPr>
          <w:rStyle w:val="FootnoteReference"/>
          <w:rFonts w:cs="Arial"/>
          <w:sz w:val="18"/>
          <w:szCs w:val="18"/>
        </w:rPr>
        <w:footnoteRef/>
      </w:r>
      <w:r w:rsidRPr="002C1ED1">
        <w:rPr>
          <w:rFonts w:cs="Arial"/>
          <w:sz w:val="16"/>
          <w:szCs w:val="16"/>
        </w:rPr>
        <w:tab/>
      </w:r>
      <w:r w:rsidRPr="00F95410">
        <w:rPr>
          <w:rFonts w:cs="Arial"/>
          <w:sz w:val="16"/>
          <w:szCs w:val="16"/>
        </w:rPr>
        <w:t xml:space="preserve">En ce qui concerne le budget proposé pour le programme 20 </w:t>
      </w:r>
      <w:r>
        <w:rPr>
          <w:rFonts w:cs="Arial"/>
          <w:sz w:val="16"/>
          <w:szCs w:val="16"/>
        </w:rPr>
        <w:t>pour</w:t>
      </w:r>
      <w:r w:rsidRPr="00F95410">
        <w:rPr>
          <w:rFonts w:cs="Arial"/>
          <w:sz w:val="16"/>
          <w:szCs w:val="16"/>
        </w:rPr>
        <w:t xml:space="preserve"> l’exercice biennal 2016-2017, prière de se reporter à l’explication qui figure au paragraphe 20.22.</w:t>
      </w:r>
    </w:p>
  </w:footnote>
  <w:footnote w:id="25">
    <w:p w:rsidR="002C1ED1" w:rsidRPr="00B15677" w:rsidRDefault="002C1ED1" w:rsidP="00231697">
      <w:pPr>
        <w:pStyle w:val="FootnoteText"/>
        <w:jc w:val="both"/>
        <w:rPr>
          <w:rFonts w:cs="Arial"/>
          <w:sz w:val="18"/>
          <w:szCs w:val="18"/>
          <w:lang w:val="fr-CH"/>
        </w:rPr>
      </w:pPr>
      <w:r w:rsidRPr="00B15677">
        <w:rPr>
          <w:rStyle w:val="FootnoteReference"/>
          <w:rFonts w:eastAsiaTheme="majorEastAsia" w:cs="Arial"/>
          <w:sz w:val="18"/>
          <w:szCs w:val="18"/>
        </w:rPr>
        <w:footnoteRef/>
      </w:r>
      <w:r w:rsidRPr="00B15677">
        <w:rPr>
          <w:rFonts w:cs="Arial"/>
          <w:sz w:val="18"/>
          <w:szCs w:val="18"/>
          <w:lang w:val="fr-CH"/>
        </w:rPr>
        <w:t xml:space="preserve"> </w:t>
      </w:r>
      <w:r w:rsidRPr="00B15677">
        <w:rPr>
          <w:rFonts w:cs="Arial"/>
          <w:sz w:val="18"/>
          <w:szCs w:val="18"/>
          <w:lang w:val="fr-CH"/>
        </w:rPr>
        <w:tab/>
        <w:t>Toutes les statistiques reposent sur la date de dépôt des demandes selon le PCT ou les demandes d’examen préliminaire international selon le chapitre II.</w:t>
      </w:r>
    </w:p>
  </w:footnote>
  <w:footnote w:id="26">
    <w:p w:rsidR="002C1ED1" w:rsidRPr="00B15677" w:rsidRDefault="002C1ED1" w:rsidP="00231697">
      <w:pPr>
        <w:pStyle w:val="FootnoteText"/>
        <w:jc w:val="both"/>
        <w:rPr>
          <w:sz w:val="18"/>
          <w:szCs w:val="18"/>
        </w:rPr>
      </w:pPr>
      <w:r w:rsidRPr="00B15677">
        <w:rPr>
          <w:rStyle w:val="FootnoteReference"/>
          <w:sz w:val="18"/>
          <w:szCs w:val="18"/>
        </w:rPr>
        <w:footnoteRef/>
      </w:r>
      <w:r w:rsidRPr="00B15677">
        <w:rPr>
          <w:sz w:val="18"/>
          <w:szCs w:val="18"/>
        </w:rPr>
        <w:t xml:space="preserve"> </w:t>
      </w:r>
      <w:r w:rsidRPr="00B15677">
        <w:rPr>
          <w:sz w:val="18"/>
          <w:szCs w:val="18"/>
        </w:rPr>
        <w:tab/>
        <w:t>Un exemplaire original est une demande selon le PCT transmise au Bureau international (IB) par un office récepteur après son dépôt auprès de cet office et son traitement par cet office.  Étant donné que les exemplaires originaux ne sont reçus par le Bureau international qu’à l’issue de leur traitement par un office récepteur, les chiffres sont fortement influencés par les délais de traitement dans ces offices.  Pour cette raison, les tendances observées dans la réception d’exemplaires originaux donnent des indications utiles sur la charge de travail du Bureau international mais ne constituent pas toujours des indicateurs exacts du nombre de dépôts de demandes selon le PCT.</w:t>
      </w:r>
    </w:p>
  </w:footnote>
  <w:footnote w:id="27">
    <w:p w:rsidR="002C1ED1" w:rsidRPr="00B15677" w:rsidRDefault="002C1ED1" w:rsidP="00231697">
      <w:pPr>
        <w:pStyle w:val="FootnoteText"/>
        <w:jc w:val="both"/>
        <w:rPr>
          <w:sz w:val="18"/>
          <w:szCs w:val="18"/>
        </w:rPr>
      </w:pPr>
      <w:r w:rsidRPr="00B15677">
        <w:rPr>
          <w:rStyle w:val="FootnoteReference"/>
          <w:sz w:val="18"/>
          <w:szCs w:val="18"/>
        </w:rPr>
        <w:footnoteRef/>
      </w:r>
      <w:r w:rsidRPr="00B15677">
        <w:rPr>
          <w:sz w:val="18"/>
          <w:szCs w:val="18"/>
        </w:rPr>
        <w:t xml:space="preserve"> </w:t>
      </w:r>
      <w:r w:rsidRPr="00B15677">
        <w:rPr>
          <w:sz w:val="18"/>
          <w:szCs w:val="18"/>
        </w:rPr>
        <w:tab/>
        <w:t>D’après une étude indépendante des indicateurs d’exécution des systèmes informatiques du PCT, la définition est légèrement différente de celle qui figure dans le programme et budget pour l’exercice biennal 2014</w:t>
      </w:r>
      <w:r w:rsidRPr="00B15677">
        <w:rPr>
          <w:sz w:val="18"/>
          <w:szCs w:val="18"/>
        </w:rPr>
        <w:noBreakHyphen/>
        <w:t>2015.</w:t>
      </w:r>
    </w:p>
  </w:footnote>
  <w:footnote w:id="28">
    <w:p w:rsidR="002C1ED1" w:rsidRPr="00B15677" w:rsidRDefault="002C1ED1" w:rsidP="00231697">
      <w:pPr>
        <w:pStyle w:val="FootnoteText"/>
        <w:jc w:val="both"/>
        <w:rPr>
          <w:sz w:val="18"/>
          <w:szCs w:val="18"/>
        </w:rPr>
      </w:pPr>
      <w:r w:rsidRPr="00B15677">
        <w:rPr>
          <w:rStyle w:val="FootnoteReference"/>
          <w:rFonts w:cs="Arial"/>
          <w:sz w:val="18"/>
          <w:szCs w:val="18"/>
        </w:rPr>
        <w:footnoteRef/>
      </w:r>
      <w:r w:rsidRPr="00B15677">
        <w:rPr>
          <w:rFonts w:cs="Arial"/>
          <w:sz w:val="18"/>
          <w:szCs w:val="18"/>
        </w:rPr>
        <w:t xml:space="preserve"> </w:t>
      </w:r>
      <w:r w:rsidRPr="00B15677">
        <w:rPr>
          <w:rFonts w:cs="Arial"/>
          <w:sz w:val="18"/>
          <w:szCs w:val="18"/>
        </w:rPr>
        <w:tab/>
        <w:t>Voir “Charge de travail globale” ci</w:t>
      </w:r>
      <w:r w:rsidRPr="00B15677">
        <w:rPr>
          <w:rFonts w:cs="Arial"/>
          <w:sz w:val="18"/>
          <w:szCs w:val="18"/>
        </w:rPr>
        <w:noBreakHyphen/>
        <w:t>dessus.</w:t>
      </w:r>
    </w:p>
  </w:footnote>
  <w:footnote w:id="29">
    <w:p w:rsidR="002C1ED1" w:rsidRPr="00B15677" w:rsidRDefault="002C1ED1" w:rsidP="00231697">
      <w:pPr>
        <w:pStyle w:val="FootnoteText"/>
        <w:jc w:val="both"/>
        <w:rPr>
          <w:rFonts w:cs="Arial"/>
          <w:sz w:val="18"/>
          <w:szCs w:val="18"/>
        </w:rPr>
      </w:pPr>
      <w:r w:rsidRPr="00B15677">
        <w:rPr>
          <w:rStyle w:val="FootnoteReference"/>
          <w:rFonts w:cs="Arial"/>
          <w:sz w:val="18"/>
          <w:szCs w:val="18"/>
        </w:rPr>
        <w:footnoteRef/>
      </w:r>
      <w:r w:rsidRPr="00B15677">
        <w:rPr>
          <w:rFonts w:cs="Arial"/>
          <w:sz w:val="18"/>
          <w:szCs w:val="18"/>
        </w:rPr>
        <w:t xml:space="preserve"> </w:t>
      </w:r>
      <w:r w:rsidRPr="00B15677">
        <w:rPr>
          <w:rFonts w:cs="Arial"/>
          <w:sz w:val="18"/>
          <w:szCs w:val="18"/>
        </w:rPr>
        <w:tab/>
      </w:r>
      <w:r w:rsidRPr="00B15677">
        <w:rPr>
          <w:rFonts w:cs="Arial"/>
          <w:color w:val="000000"/>
          <w:sz w:val="18"/>
          <w:szCs w:val="18"/>
        </w:rPr>
        <w:t>Voir “Charge de travail globale” ci</w:t>
      </w:r>
      <w:r w:rsidRPr="00B15677">
        <w:rPr>
          <w:rFonts w:cs="Arial"/>
          <w:color w:val="000000"/>
          <w:sz w:val="18"/>
          <w:szCs w:val="18"/>
        </w:rPr>
        <w:noBreakHyphen/>
        <w:t>dessus.</w:t>
      </w:r>
    </w:p>
  </w:footnote>
  <w:footnote w:id="30">
    <w:p w:rsidR="002C1ED1" w:rsidRPr="00B15677" w:rsidRDefault="002C1ED1" w:rsidP="00231697">
      <w:pPr>
        <w:pStyle w:val="FootnoteText"/>
        <w:tabs>
          <w:tab w:val="left" w:pos="567"/>
        </w:tabs>
        <w:rPr>
          <w:rFonts w:cs="Arial"/>
          <w:sz w:val="18"/>
          <w:szCs w:val="18"/>
        </w:rPr>
      </w:pPr>
      <w:r w:rsidRPr="00B15677">
        <w:rPr>
          <w:rStyle w:val="FootnoteReference"/>
          <w:rFonts w:cs="Arial"/>
          <w:sz w:val="18"/>
          <w:szCs w:val="18"/>
        </w:rPr>
        <w:footnoteRef/>
      </w:r>
      <w:r w:rsidRPr="00B15677">
        <w:rPr>
          <w:rFonts w:cs="Arial"/>
          <w:sz w:val="18"/>
          <w:szCs w:val="18"/>
        </w:rPr>
        <w:t xml:space="preserve"> </w:t>
      </w:r>
      <w:r w:rsidRPr="00B15677">
        <w:rPr>
          <w:rFonts w:cs="Arial"/>
          <w:sz w:val="18"/>
          <w:szCs w:val="18"/>
        </w:rPr>
        <w:tab/>
        <w:t xml:space="preserve">Le système de Madrid fournit un appui au système de La Haye, notamment le cadre des activités de traduction et dans le domaine informatique.  Il n’a pas été tenu compte de ces coûts dans la présente méthode.  </w:t>
      </w:r>
    </w:p>
  </w:footnote>
  <w:footnote w:id="31">
    <w:p w:rsidR="002C1ED1" w:rsidRPr="00B15677" w:rsidRDefault="002C1ED1" w:rsidP="00231697">
      <w:pPr>
        <w:pStyle w:val="FootnoteText"/>
        <w:tabs>
          <w:tab w:val="left" w:pos="567"/>
        </w:tabs>
        <w:rPr>
          <w:rFonts w:cs="Arial"/>
          <w:sz w:val="18"/>
          <w:szCs w:val="18"/>
        </w:rPr>
      </w:pPr>
      <w:r w:rsidRPr="00B15677">
        <w:rPr>
          <w:rStyle w:val="FootnoteReference"/>
          <w:rFonts w:cs="Arial"/>
          <w:sz w:val="18"/>
          <w:szCs w:val="18"/>
        </w:rPr>
        <w:footnoteRef/>
      </w:r>
      <w:r w:rsidRPr="00B15677">
        <w:rPr>
          <w:rFonts w:cs="Arial"/>
          <w:sz w:val="18"/>
          <w:szCs w:val="18"/>
        </w:rPr>
        <w:t xml:space="preserve"> </w:t>
      </w:r>
      <w:r w:rsidRPr="00B15677">
        <w:rPr>
          <w:rFonts w:cs="Arial"/>
          <w:sz w:val="18"/>
          <w:szCs w:val="18"/>
        </w:rPr>
        <w:tab/>
        <w:t>Voir plus haut la partie intitulée “Charge de travail totale”</w:t>
      </w:r>
    </w:p>
  </w:footnote>
  <w:footnote w:id="32">
    <w:p w:rsidR="002C1ED1" w:rsidRPr="00B15677" w:rsidRDefault="002C1ED1" w:rsidP="00231697">
      <w:pPr>
        <w:pStyle w:val="FootnoteText"/>
        <w:tabs>
          <w:tab w:val="left" w:pos="567"/>
        </w:tabs>
        <w:rPr>
          <w:rFonts w:cs="Arial"/>
          <w:sz w:val="18"/>
          <w:szCs w:val="18"/>
        </w:rPr>
      </w:pPr>
      <w:r w:rsidRPr="00B15677">
        <w:rPr>
          <w:rStyle w:val="FootnoteReference"/>
          <w:rFonts w:cs="Arial"/>
          <w:sz w:val="18"/>
          <w:szCs w:val="18"/>
        </w:rPr>
        <w:footnoteRef/>
      </w:r>
      <w:r w:rsidRPr="00B15677">
        <w:rPr>
          <w:rFonts w:cs="Arial"/>
          <w:sz w:val="18"/>
          <w:szCs w:val="18"/>
        </w:rPr>
        <w:t xml:space="preserve"> </w:t>
      </w:r>
      <w:r w:rsidRPr="00B15677">
        <w:rPr>
          <w:rFonts w:cs="Arial"/>
          <w:sz w:val="18"/>
          <w:szCs w:val="18"/>
        </w:rPr>
        <w:tab/>
        <w:t xml:space="preserve">Voir les taux concernant les demandes et les renouvellements dans la partie intitulée “Charge de travail totale”.  </w:t>
      </w:r>
    </w:p>
  </w:footnote>
  <w:footnote w:id="33">
    <w:p w:rsidR="002C1ED1" w:rsidRPr="00B15677" w:rsidRDefault="002C1ED1" w:rsidP="00231697">
      <w:pPr>
        <w:pStyle w:val="FootnoteText"/>
        <w:rPr>
          <w:i/>
          <w:sz w:val="18"/>
          <w:szCs w:val="18"/>
        </w:rPr>
      </w:pPr>
      <w:r w:rsidRPr="00B15677">
        <w:rPr>
          <w:rStyle w:val="FootnoteReference"/>
          <w:rFonts w:cs="Arial"/>
          <w:sz w:val="18"/>
          <w:szCs w:val="18"/>
        </w:rPr>
        <w:footnoteRef/>
      </w:r>
      <w:r w:rsidRPr="00B15677">
        <w:rPr>
          <w:rFonts w:cs="Arial"/>
          <w:sz w:val="18"/>
          <w:szCs w:val="18"/>
        </w:rPr>
        <w:t xml:space="preserve"> </w:t>
      </w:r>
      <w:r w:rsidRPr="00B15677">
        <w:rPr>
          <w:rFonts w:cs="Arial"/>
          <w:sz w:val="18"/>
          <w:szCs w:val="18"/>
        </w:rPr>
        <w:tab/>
      </w:r>
      <w:r w:rsidRPr="00B15677">
        <w:rPr>
          <w:rFonts w:eastAsiaTheme="minorHAnsi" w:cs="Arial"/>
          <w:bCs/>
          <w:i/>
          <w:sz w:val="18"/>
          <w:szCs w:val="18"/>
        </w:rPr>
        <w:t>Barème des traitements des administrateurs et des fonctionnaires de rang supérieur à compter du 1</w:t>
      </w:r>
      <w:r w:rsidRPr="00B15677">
        <w:rPr>
          <w:rFonts w:eastAsiaTheme="minorHAnsi" w:cs="Arial"/>
          <w:bCs/>
          <w:i/>
          <w:sz w:val="18"/>
          <w:szCs w:val="18"/>
          <w:vertAlign w:val="superscript"/>
        </w:rPr>
        <w:t>er</w:t>
      </w:r>
      <w:r w:rsidRPr="00B15677">
        <w:rPr>
          <w:rFonts w:eastAsiaTheme="minorHAnsi" w:cs="Arial"/>
          <w:bCs/>
          <w:i/>
          <w:sz w:val="18"/>
          <w:szCs w:val="18"/>
        </w:rPr>
        <w:t> janvier </w:t>
      </w:r>
      <w:proofErr w:type="gramStart"/>
      <w:r w:rsidRPr="00B15677">
        <w:rPr>
          <w:rFonts w:eastAsiaTheme="minorHAnsi" w:cs="Arial"/>
          <w:bCs/>
          <w:i/>
          <w:sz w:val="18"/>
          <w:szCs w:val="18"/>
        </w:rPr>
        <w:t>2015;</w:t>
      </w:r>
      <w:proofErr w:type="gramEnd"/>
      <w:r w:rsidRPr="00B15677">
        <w:rPr>
          <w:rFonts w:eastAsiaTheme="minorHAnsi" w:cs="Arial"/>
          <w:bCs/>
          <w:i/>
          <w:sz w:val="18"/>
          <w:szCs w:val="18"/>
        </w:rPr>
        <w:t xml:space="preserve">  Barème de la rémunération considérée aux fins de la pension à compter de février 2013;  Traitement annuel et indemnités des fonctionnaires de la catégorie des services généraux à compter du 1</w:t>
      </w:r>
      <w:r w:rsidRPr="00B15677">
        <w:rPr>
          <w:rFonts w:eastAsiaTheme="minorHAnsi" w:cs="Arial"/>
          <w:bCs/>
          <w:i/>
          <w:sz w:val="18"/>
          <w:szCs w:val="18"/>
          <w:vertAlign w:val="superscript"/>
        </w:rPr>
        <w:t>er</w:t>
      </w:r>
      <w:r w:rsidRPr="00B15677">
        <w:rPr>
          <w:rFonts w:eastAsiaTheme="minorHAnsi" w:cs="Arial"/>
          <w:bCs/>
          <w:i/>
          <w:sz w:val="18"/>
          <w:szCs w:val="18"/>
        </w:rPr>
        <w:t> avril 2011.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1ED1" w:rsidRPr="00841682" w:rsidRDefault="002C1ED1" w:rsidP="0084168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1ED1" w:rsidRPr="00C64120" w:rsidRDefault="002C1ED1" w:rsidP="00C6412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1ED1" w:rsidRPr="00C64120" w:rsidRDefault="002C1ED1" w:rsidP="00C64120">
    <w:pPr>
      <w:rPr>
        <w:b/>
        <w:sz w:val="18"/>
      </w:rPr>
    </w:pPr>
    <w:r>
      <w:rPr>
        <w:b/>
        <w:sz w:val="18"/>
      </w:rPr>
      <w:t>P</w:t>
    </w:r>
    <w:r w:rsidRPr="00C64120">
      <w:rPr>
        <w:b/>
        <w:sz w:val="18"/>
      </w:rPr>
      <w:t>rogramme et budget proposé pour 2016-2017</w:t>
    </w:r>
  </w:p>
  <w:p w:rsidR="002C1ED1" w:rsidRPr="00C64120" w:rsidRDefault="002C1ED1" w:rsidP="00C64120">
    <w:pPr>
      <w:rPr>
        <w:b/>
        <w:sz w:val="18"/>
      </w:rPr>
    </w:pPr>
  </w:p>
  <w:p w:rsidR="002C1ED1" w:rsidRPr="00C64120" w:rsidRDefault="002C1ED1" w:rsidP="00C64120">
    <w:pPr>
      <w:rPr>
        <w:b/>
        <w:sz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1ED1" w:rsidRPr="00C64120" w:rsidRDefault="002C1ED1" w:rsidP="00C64120">
    <w:pPr>
      <w:jc w:val="right"/>
      <w:rPr>
        <w:b/>
        <w:sz w:val="18"/>
      </w:rPr>
    </w:pPr>
    <w:r>
      <w:rPr>
        <w:b/>
        <w:sz w:val="18"/>
      </w:rPr>
      <w:t>P</w:t>
    </w:r>
    <w:r w:rsidRPr="00C64120">
      <w:rPr>
        <w:b/>
        <w:sz w:val="18"/>
      </w:rPr>
      <w:t>rogramme et budget proposé pour 2016-2017</w:t>
    </w:r>
  </w:p>
  <w:p w:rsidR="002C1ED1" w:rsidRPr="00C64120" w:rsidRDefault="002C1ED1" w:rsidP="00C64120">
    <w:pPr>
      <w:jc w:val="right"/>
      <w:rPr>
        <w:b/>
        <w:sz w:val="18"/>
      </w:rPr>
    </w:pPr>
  </w:p>
  <w:p w:rsidR="002C1ED1" w:rsidRPr="00C64120" w:rsidRDefault="002C1ED1" w:rsidP="00C64120">
    <w:pPr>
      <w:jc w:val="right"/>
      <w:rPr>
        <w:b/>
        <w:sz w:val="1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1ED1" w:rsidRDefault="002C1ED1" w:rsidP="00C63736">
    <w:pPr>
      <w:pStyle w:val="Header"/>
      <w:jc w:val="right"/>
    </w:pPr>
    <w:r w:rsidRPr="00E7276A">
      <w:rPr>
        <w:rFonts w:cs="Arial"/>
        <w:b/>
        <w:color w:val="000000"/>
        <w:sz w:val="18"/>
      </w:rPr>
      <w:t>Projet de pro</w:t>
    </w:r>
    <w:r>
      <w:rPr>
        <w:rFonts w:cs="Arial"/>
        <w:b/>
        <w:color w:val="000000"/>
        <w:sz w:val="18"/>
      </w:rPr>
      <w:t>gramme et budget proposé pour l’</w:t>
    </w:r>
    <w:r w:rsidRPr="00E7276A">
      <w:rPr>
        <w:rFonts w:cs="Arial"/>
        <w:b/>
        <w:color w:val="000000"/>
        <w:sz w:val="18"/>
      </w:rPr>
      <w:t xml:space="preserve">exercice biennal </w:t>
    </w:r>
    <w:r w:rsidRPr="009B1005">
      <w:rPr>
        <w:rFonts w:cs="Arial"/>
        <w:b/>
        <w:sz w:val="18"/>
      </w:rPr>
      <w:t>2016</w:t>
    </w:r>
    <w:r w:rsidRPr="009B1005">
      <w:rPr>
        <w:rFonts w:cs="Arial"/>
        <w:b/>
        <w:sz w:val="18"/>
      </w:rPr>
      <w:noBreakHyphen/>
      <w:t>2017</w:t>
    </w:r>
  </w:p>
  <w:p w:rsidR="002C1ED1" w:rsidRDefault="002C1ED1" w:rsidP="00C63736">
    <w:pPr>
      <w:pStyle w:val="Header"/>
      <w:jc w:val="right"/>
    </w:pPr>
  </w:p>
  <w:p w:rsidR="002C1ED1" w:rsidRDefault="002C1ED1" w:rsidP="00C63736">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660D476"/>
    <w:lvl w:ilvl="0">
      <w:start w:val="1"/>
      <w:numFmt w:val="decimal"/>
      <w:lvlText w:val="%1."/>
      <w:lvlJc w:val="left"/>
      <w:pPr>
        <w:tabs>
          <w:tab w:val="num" w:pos="1492"/>
        </w:tabs>
        <w:ind w:left="1492" w:hanging="360"/>
      </w:pPr>
    </w:lvl>
  </w:abstractNum>
  <w:abstractNum w:abstractNumId="1">
    <w:nsid w:val="FFFFFF7D"/>
    <w:multiLevelType w:val="singleLevel"/>
    <w:tmpl w:val="BDFA961E"/>
    <w:lvl w:ilvl="0">
      <w:start w:val="1"/>
      <w:numFmt w:val="decimal"/>
      <w:lvlText w:val="%1."/>
      <w:lvlJc w:val="left"/>
      <w:pPr>
        <w:tabs>
          <w:tab w:val="num" w:pos="1209"/>
        </w:tabs>
        <w:ind w:left="1209" w:hanging="360"/>
      </w:pPr>
    </w:lvl>
  </w:abstractNum>
  <w:abstractNum w:abstractNumId="2">
    <w:nsid w:val="FFFFFF7E"/>
    <w:multiLevelType w:val="singleLevel"/>
    <w:tmpl w:val="7ACC53A2"/>
    <w:lvl w:ilvl="0">
      <w:start w:val="1"/>
      <w:numFmt w:val="decimal"/>
      <w:lvlText w:val="%1."/>
      <w:lvlJc w:val="left"/>
      <w:pPr>
        <w:tabs>
          <w:tab w:val="num" w:pos="926"/>
        </w:tabs>
        <w:ind w:left="926" w:hanging="360"/>
      </w:pPr>
    </w:lvl>
  </w:abstractNum>
  <w:abstractNum w:abstractNumId="3">
    <w:nsid w:val="FFFFFF7F"/>
    <w:multiLevelType w:val="singleLevel"/>
    <w:tmpl w:val="E70C7BCA"/>
    <w:lvl w:ilvl="0">
      <w:start w:val="1"/>
      <w:numFmt w:val="decimal"/>
      <w:lvlText w:val="%1."/>
      <w:lvlJc w:val="left"/>
      <w:pPr>
        <w:tabs>
          <w:tab w:val="num" w:pos="643"/>
        </w:tabs>
        <w:ind w:left="643" w:hanging="360"/>
      </w:pPr>
    </w:lvl>
  </w:abstractNum>
  <w:abstractNum w:abstractNumId="4">
    <w:nsid w:val="FFFFFF80"/>
    <w:multiLevelType w:val="singleLevel"/>
    <w:tmpl w:val="BAF612A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796C6D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98A96E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68413F2"/>
    <w:lvl w:ilvl="0">
      <w:start w:val="1"/>
      <w:numFmt w:val="bullet"/>
      <w:lvlText w:val=""/>
      <w:lvlJc w:val="left"/>
      <w:pPr>
        <w:tabs>
          <w:tab w:val="num" w:pos="643"/>
        </w:tabs>
        <w:ind w:left="643" w:hanging="360"/>
      </w:pPr>
      <w:rPr>
        <w:rFonts w:ascii="Symbol" w:hAnsi="Symbol" w:hint="default"/>
      </w:rPr>
    </w:lvl>
  </w:abstractNum>
  <w:abstractNum w:abstractNumId="8">
    <w:nsid w:val="FFFFFF89"/>
    <w:multiLevelType w:val="singleLevel"/>
    <w:tmpl w:val="A49442D4"/>
    <w:lvl w:ilvl="0">
      <w:start w:val="1"/>
      <w:numFmt w:val="bullet"/>
      <w:lvlText w:val=""/>
      <w:lvlJc w:val="left"/>
      <w:pPr>
        <w:tabs>
          <w:tab w:val="num" w:pos="360"/>
        </w:tabs>
        <w:ind w:left="360" w:hanging="360"/>
      </w:pPr>
      <w:rPr>
        <w:rFonts w:ascii="Symbol" w:hAnsi="Symbol" w:hint="default"/>
      </w:rPr>
    </w:lvl>
  </w:abstractNum>
  <w:abstractNum w:abstractNumId="9">
    <w:nsid w:val="00000005"/>
    <w:multiLevelType w:val="multilevel"/>
    <w:tmpl w:val="89981690"/>
    <w:name w:val="WW8Num10"/>
    <w:lvl w:ilvl="0">
      <w:start w:val="1"/>
      <w:numFmt w:val="decimal"/>
      <w:lvlText w:val="15.%1."/>
      <w:lvlJc w:val="left"/>
      <w:pPr>
        <w:tabs>
          <w:tab w:val="num" w:pos="0"/>
        </w:tabs>
        <w:ind w:left="360" w:hanging="360"/>
      </w:pPr>
      <w:rPr>
        <w:rFonts w:hint="default"/>
        <w:color w:val="000000"/>
        <w:sz w:val="20"/>
        <w:szCs w:val="20"/>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0">
    <w:nsid w:val="00000006"/>
    <w:multiLevelType w:val="singleLevel"/>
    <w:tmpl w:val="00000006"/>
    <w:name w:val="WW8Num15"/>
    <w:lvl w:ilvl="0">
      <w:start w:val="1"/>
      <w:numFmt w:val="bullet"/>
      <w:lvlText w:val=""/>
      <w:lvlJc w:val="left"/>
      <w:pPr>
        <w:tabs>
          <w:tab w:val="num" w:pos="0"/>
        </w:tabs>
        <w:ind w:left="720" w:hanging="360"/>
      </w:pPr>
      <w:rPr>
        <w:rFonts w:ascii="Symbol" w:hAnsi="Symbol" w:cs="Symbol" w:hint="default"/>
      </w:rPr>
    </w:lvl>
  </w:abstractNum>
  <w:abstractNum w:abstractNumId="11">
    <w:nsid w:val="05B068E2"/>
    <w:multiLevelType w:val="hybridMultilevel"/>
    <w:tmpl w:val="44549FEC"/>
    <w:lvl w:ilvl="0" w:tplc="F676B65C">
      <w:start w:val="1"/>
      <w:numFmt w:val="bullet"/>
      <w:lvlText w:val="-"/>
      <w:lvlJc w:val="left"/>
      <w:pPr>
        <w:ind w:left="720" w:hanging="360"/>
      </w:pPr>
      <w:rPr>
        <w:rFonts w:ascii="Arial" w:eastAsiaTheme="minorEastAsia" w:hAnsi="Arial" w:cs="Arial" w:hint="default"/>
      </w:rPr>
    </w:lvl>
    <w:lvl w:ilvl="1" w:tplc="C8088452">
      <w:start w:val="1"/>
      <w:numFmt w:val="bullet"/>
      <w:lvlText w:val="−"/>
      <w:lvlJc w:val="left"/>
      <w:pPr>
        <w:ind w:left="1440" w:hanging="360"/>
      </w:pPr>
      <w:rPr>
        <w:rFonts w:ascii="Arial" w:eastAsiaTheme="minorEastAsia"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79B6BCD"/>
    <w:multiLevelType w:val="hybridMultilevel"/>
    <w:tmpl w:val="E32E15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9BB7A06"/>
    <w:multiLevelType w:val="hybridMultilevel"/>
    <w:tmpl w:val="339EACD6"/>
    <w:lvl w:ilvl="0" w:tplc="04090001">
      <w:start w:val="1"/>
      <w:numFmt w:val="bullet"/>
      <w:lvlText w:val=""/>
      <w:lvlJc w:val="left"/>
      <w:pPr>
        <w:ind w:left="910" w:hanging="360"/>
      </w:pPr>
      <w:rPr>
        <w:rFonts w:ascii="Symbol" w:hAnsi="Symbol" w:hint="default"/>
      </w:rPr>
    </w:lvl>
    <w:lvl w:ilvl="1" w:tplc="04090003" w:tentative="1">
      <w:start w:val="1"/>
      <w:numFmt w:val="bullet"/>
      <w:lvlText w:val="o"/>
      <w:lvlJc w:val="left"/>
      <w:pPr>
        <w:ind w:left="1630" w:hanging="360"/>
      </w:pPr>
      <w:rPr>
        <w:rFonts w:ascii="Courier New" w:hAnsi="Courier New" w:cs="Courier New" w:hint="default"/>
      </w:rPr>
    </w:lvl>
    <w:lvl w:ilvl="2" w:tplc="04090005" w:tentative="1">
      <w:start w:val="1"/>
      <w:numFmt w:val="bullet"/>
      <w:lvlText w:val=""/>
      <w:lvlJc w:val="left"/>
      <w:pPr>
        <w:ind w:left="2350" w:hanging="360"/>
      </w:pPr>
      <w:rPr>
        <w:rFonts w:ascii="Wingdings" w:hAnsi="Wingdings" w:hint="default"/>
      </w:rPr>
    </w:lvl>
    <w:lvl w:ilvl="3" w:tplc="04090001" w:tentative="1">
      <w:start w:val="1"/>
      <w:numFmt w:val="bullet"/>
      <w:lvlText w:val=""/>
      <w:lvlJc w:val="left"/>
      <w:pPr>
        <w:ind w:left="3070" w:hanging="360"/>
      </w:pPr>
      <w:rPr>
        <w:rFonts w:ascii="Symbol" w:hAnsi="Symbol" w:hint="default"/>
      </w:rPr>
    </w:lvl>
    <w:lvl w:ilvl="4" w:tplc="04090003" w:tentative="1">
      <w:start w:val="1"/>
      <w:numFmt w:val="bullet"/>
      <w:lvlText w:val="o"/>
      <w:lvlJc w:val="left"/>
      <w:pPr>
        <w:ind w:left="3790" w:hanging="360"/>
      </w:pPr>
      <w:rPr>
        <w:rFonts w:ascii="Courier New" w:hAnsi="Courier New" w:cs="Courier New" w:hint="default"/>
      </w:rPr>
    </w:lvl>
    <w:lvl w:ilvl="5" w:tplc="04090005" w:tentative="1">
      <w:start w:val="1"/>
      <w:numFmt w:val="bullet"/>
      <w:lvlText w:val=""/>
      <w:lvlJc w:val="left"/>
      <w:pPr>
        <w:ind w:left="4510" w:hanging="360"/>
      </w:pPr>
      <w:rPr>
        <w:rFonts w:ascii="Wingdings" w:hAnsi="Wingdings" w:hint="default"/>
      </w:rPr>
    </w:lvl>
    <w:lvl w:ilvl="6" w:tplc="04090001" w:tentative="1">
      <w:start w:val="1"/>
      <w:numFmt w:val="bullet"/>
      <w:lvlText w:val=""/>
      <w:lvlJc w:val="left"/>
      <w:pPr>
        <w:ind w:left="5230" w:hanging="360"/>
      </w:pPr>
      <w:rPr>
        <w:rFonts w:ascii="Symbol" w:hAnsi="Symbol" w:hint="default"/>
      </w:rPr>
    </w:lvl>
    <w:lvl w:ilvl="7" w:tplc="04090003" w:tentative="1">
      <w:start w:val="1"/>
      <w:numFmt w:val="bullet"/>
      <w:lvlText w:val="o"/>
      <w:lvlJc w:val="left"/>
      <w:pPr>
        <w:ind w:left="5950" w:hanging="360"/>
      </w:pPr>
      <w:rPr>
        <w:rFonts w:ascii="Courier New" w:hAnsi="Courier New" w:cs="Courier New" w:hint="default"/>
      </w:rPr>
    </w:lvl>
    <w:lvl w:ilvl="8" w:tplc="04090005" w:tentative="1">
      <w:start w:val="1"/>
      <w:numFmt w:val="bullet"/>
      <w:lvlText w:val=""/>
      <w:lvlJc w:val="left"/>
      <w:pPr>
        <w:ind w:left="6670" w:hanging="360"/>
      </w:pPr>
      <w:rPr>
        <w:rFonts w:ascii="Wingdings" w:hAnsi="Wingdings" w:hint="default"/>
      </w:rPr>
    </w:lvl>
  </w:abstractNum>
  <w:abstractNum w:abstractNumId="14">
    <w:nsid w:val="09F65EB6"/>
    <w:multiLevelType w:val="hybridMultilevel"/>
    <w:tmpl w:val="2FE6E0EA"/>
    <w:lvl w:ilvl="0" w:tplc="C8143936">
      <w:start w:val="1"/>
      <w:numFmt w:val="decimal"/>
      <w:lvlText w:val="2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CDF6A28"/>
    <w:multiLevelType w:val="hybridMultilevel"/>
    <w:tmpl w:val="93443F26"/>
    <w:lvl w:ilvl="0" w:tplc="E7FE915A">
      <w:start w:val="1"/>
      <w:numFmt w:val="decimal"/>
      <w:lvlText w:val="2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CE97CFA"/>
    <w:multiLevelType w:val="hybridMultilevel"/>
    <w:tmpl w:val="10DAED5A"/>
    <w:lvl w:ilvl="0" w:tplc="91DAF5BE">
      <w:start w:val="1"/>
      <w:numFmt w:val="lowerRoman"/>
      <w:lvlText w:val="“%1)"/>
      <w:lvlJc w:val="left"/>
      <w:pPr>
        <w:ind w:left="1080" w:hanging="720"/>
      </w:pPr>
      <w:rPr>
        <w:rFonts w:hint="default"/>
      </w:rPr>
    </w:lvl>
    <w:lvl w:ilvl="1" w:tplc="6F16067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E03326C"/>
    <w:multiLevelType w:val="hybridMultilevel"/>
    <w:tmpl w:val="3C0877DC"/>
    <w:lvl w:ilvl="0" w:tplc="CBE48860">
      <w:start w:val="315"/>
      <w:numFmt w:val="bullet"/>
      <w:lvlText w:val=""/>
      <w:lvlJc w:val="left"/>
      <w:pPr>
        <w:ind w:left="1080" w:hanging="360"/>
      </w:pPr>
      <w:rPr>
        <w:rFonts w:ascii="Symbol" w:eastAsia="Times New Roman" w:hAnsi="Symbol" w:cs="Times New Roman" w:hint="default"/>
        <w:color w:val="000000"/>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F097619"/>
    <w:multiLevelType w:val="hybridMultilevel"/>
    <w:tmpl w:val="0D6A08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F2B244F"/>
    <w:multiLevelType w:val="hybridMultilevel"/>
    <w:tmpl w:val="097E91E2"/>
    <w:lvl w:ilvl="0" w:tplc="0C1A8E8A">
      <w:start w:val="1"/>
      <w:numFmt w:val="decimal"/>
      <w:lvlText w:val="%1."/>
      <w:lvlJc w:val="left"/>
      <w:pPr>
        <w:tabs>
          <w:tab w:val="num" w:pos="567"/>
        </w:tabs>
        <w:ind w:left="0" w:firstLine="0"/>
      </w:pPr>
      <w:rPr>
        <w:rFonts w:ascii="Arial" w:hAnsi="Arial" w:cs="Arial" w:hint="default"/>
        <w:b w:val="0"/>
        <w:bCs w:val="0"/>
        <w:i w:val="0"/>
        <w:iCs w:val="0"/>
        <w:sz w:val="20"/>
        <w:szCs w:val="24"/>
      </w:rPr>
    </w:lvl>
    <w:lvl w:ilvl="1" w:tplc="BBB49450">
      <w:numFmt w:val="none"/>
      <w:lvlText w:val=""/>
      <w:lvlJc w:val="left"/>
      <w:pPr>
        <w:tabs>
          <w:tab w:val="num" w:pos="360"/>
        </w:tabs>
      </w:pPr>
    </w:lvl>
    <w:lvl w:ilvl="2" w:tplc="3072D582">
      <w:numFmt w:val="none"/>
      <w:lvlText w:val=""/>
      <w:lvlJc w:val="left"/>
      <w:pPr>
        <w:tabs>
          <w:tab w:val="num" w:pos="360"/>
        </w:tabs>
      </w:pPr>
    </w:lvl>
    <w:lvl w:ilvl="3" w:tplc="7E24C4FC">
      <w:numFmt w:val="none"/>
      <w:lvlText w:val=""/>
      <w:lvlJc w:val="left"/>
      <w:pPr>
        <w:tabs>
          <w:tab w:val="num" w:pos="360"/>
        </w:tabs>
      </w:pPr>
    </w:lvl>
    <w:lvl w:ilvl="4" w:tplc="B4745B60">
      <w:numFmt w:val="none"/>
      <w:lvlText w:val=""/>
      <w:lvlJc w:val="left"/>
      <w:pPr>
        <w:tabs>
          <w:tab w:val="num" w:pos="360"/>
        </w:tabs>
      </w:pPr>
    </w:lvl>
    <w:lvl w:ilvl="5" w:tplc="0B98436E">
      <w:numFmt w:val="none"/>
      <w:lvlText w:val=""/>
      <w:lvlJc w:val="left"/>
      <w:pPr>
        <w:tabs>
          <w:tab w:val="num" w:pos="360"/>
        </w:tabs>
      </w:pPr>
    </w:lvl>
    <w:lvl w:ilvl="6" w:tplc="2D44E926">
      <w:numFmt w:val="none"/>
      <w:lvlText w:val=""/>
      <w:lvlJc w:val="left"/>
      <w:pPr>
        <w:tabs>
          <w:tab w:val="num" w:pos="360"/>
        </w:tabs>
      </w:pPr>
    </w:lvl>
    <w:lvl w:ilvl="7" w:tplc="16A41804">
      <w:numFmt w:val="none"/>
      <w:lvlText w:val=""/>
      <w:lvlJc w:val="left"/>
      <w:pPr>
        <w:tabs>
          <w:tab w:val="num" w:pos="360"/>
        </w:tabs>
      </w:pPr>
    </w:lvl>
    <w:lvl w:ilvl="8" w:tplc="B82CFB2E">
      <w:numFmt w:val="none"/>
      <w:lvlText w:val=""/>
      <w:lvlJc w:val="left"/>
      <w:pPr>
        <w:tabs>
          <w:tab w:val="num" w:pos="360"/>
        </w:tabs>
      </w:pPr>
    </w:lvl>
  </w:abstractNum>
  <w:abstractNum w:abstractNumId="20">
    <w:nsid w:val="0F4D369D"/>
    <w:multiLevelType w:val="hybridMultilevel"/>
    <w:tmpl w:val="EA7E6B9A"/>
    <w:lvl w:ilvl="0" w:tplc="990AAEA2">
      <w:start w:val="1"/>
      <w:numFmt w:val="decimal"/>
      <w:lvlRestart w:val="0"/>
      <w:pStyle w:val="ListNumber"/>
      <w:lvlText w:val="2.%1."/>
      <w:lvlJc w:val="left"/>
      <w:pPr>
        <w:tabs>
          <w:tab w:val="num" w:pos="567"/>
        </w:tabs>
        <w:ind w:left="0" w:firstLine="0"/>
      </w:pPr>
      <w:rPr>
        <w:rFonts w:ascii="Arial" w:hAnsi="Arial" w:hint="default"/>
        <w:b w:val="0"/>
        <w:bCs/>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0FD92605"/>
    <w:multiLevelType w:val="hybridMultilevel"/>
    <w:tmpl w:val="99AABF1C"/>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10122768"/>
    <w:multiLevelType w:val="hybridMultilevel"/>
    <w:tmpl w:val="422AAD12"/>
    <w:lvl w:ilvl="0" w:tplc="3502E3B6">
      <w:start w:val="1"/>
      <w:numFmt w:val="decimal"/>
      <w:lvlText w:val="25.%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1547780"/>
    <w:multiLevelType w:val="hybridMultilevel"/>
    <w:tmpl w:val="5B2E7606"/>
    <w:lvl w:ilvl="0" w:tplc="A3C68D84">
      <w:start w:val="1"/>
      <w:numFmt w:val="decimal"/>
      <w:lvlRestart w:val="0"/>
      <w:lvlText w:val="21.%1."/>
      <w:lvlJc w:val="left"/>
      <w:pPr>
        <w:tabs>
          <w:tab w:val="num" w:pos="680"/>
        </w:tabs>
        <w:ind w:left="0" w:firstLine="0"/>
      </w:pPr>
      <w:rPr>
        <w:rFonts w:ascii="Arial" w:hAnsi="Arial" w:hint="default"/>
        <w:sz w:val="20"/>
        <w:szCs w:val="20"/>
      </w:rPr>
    </w:lvl>
    <w:lvl w:ilvl="1" w:tplc="43AC91DC">
      <w:start w:val="1"/>
      <w:numFmt w:val="lowerRoman"/>
      <w:lvlText w:val="%2)"/>
      <w:lvlJc w:val="left"/>
      <w:pPr>
        <w:tabs>
          <w:tab w:val="num" w:pos="1250"/>
        </w:tabs>
        <w:ind w:left="1080" w:firstLine="0"/>
      </w:pPr>
      <w:rPr>
        <w:rFonts w:hint="default"/>
        <w:sz w:val="20"/>
        <w:szCs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122B2A50"/>
    <w:multiLevelType w:val="hybridMultilevel"/>
    <w:tmpl w:val="19C26916"/>
    <w:lvl w:ilvl="0" w:tplc="88408418">
      <w:start w:val="1"/>
      <w:numFmt w:val="decimal"/>
      <w:lvlText w:val="%1."/>
      <w:lvlJc w:val="left"/>
      <w:pPr>
        <w:tabs>
          <w:tab w:val="num" w:pos="567"/>
        </w:tabs>
        <w:ind w:left="0" w:firstLine="0"/>
      </w:pPr>
      <w:rPr>
        <w:rFonts w:hint="default"/>
        <w:b w:val="0"/>
        <w:bCs/>
      </w:rPr>
    </w:lvl>
    <w:lvl w:ilvl="1" w:tplc="58C0532C"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13794905"/>
    <w:multiLevelType w:val="hybridMultilevel"/>
    <w:tmpl w:val="1EFACF80"/>
    <w:lvl w:ilvl="0" w:tplc="C65EA48A">
      <w:start w:val="315"/>
      <w:numFmt w:val="bullet"/>
      <w:lvlText w:val=""/>
      <w:lvlJc w:val="left"/>
      <w:pPr>
        <w:tabs>
          <w:tab w:val="num" w:pos="1174"/>
        </w:tabs>
        <w:ind w:left="1174" w:hanging="454"/>
      </w:pPr>
      <w:rPr>
        <w:rFonts w:ascii="Symbol" w:eastAsia="Times New Roman" w:hAnsi="Symbol" w:cs="Times New Roman" w:hint="default"/>
        <w:sz w:val="22"/>
      </w:rPr>
    </w:lvl>
    <w:lvl w:ilvl="1" w:tplc="04090003" w:tentative="1">
      <w:start w:val="1"/>
      <w:numFmt w:val="bullet"/>
      <w:lvlText w:val="o"/>
      <w:lvlJc w:val="left"/>
      <w:pPr>
        <w:tabs>
          <w:tab w:val="num" w:pos="1840"/>
        </w:tabs>
        <w:ind w:left="1840" w:hanging="360"/>
      </w:pPr>
      <w:rPr>
        <w:rFonts w:ascii="Courier New" w:hAnsi="Courier New" w:cs="Courier New" w:hint="default"/>
      </w:rPr>
    </w:lvl>
    <w:lvl w:ilvl="2" w:tplc="04090005" w:tentative="1">
      <w:start w:val="1"/>
      <w:numFmt w:val="bullet"/>
      <w:lvlText w:val=""/>
      <w:lvlJc w:val="left"/>
      <w:pPr>
        <w:tabs>
          <w:tab w:val="num" w:pos="2560"/>
        </w:tabs>
        <w:ind w:left="2560" w:hanging="360"/>
      </w:pPr>
      <w:rPr>
        <w:rFonts w:ascii="Wingdings" w:hAnsi="Wingdings" w:hint="default"/>
      </w:rPr>
    </w:lvl>
    <w:lvl w:ilvl="3" w:tplc="04090001" w:tentative="1">
      <w:start w:val="1"/>
      <w:numFmt w:val="bullet"/>
      <w:lvlText w:val=""/>
      <w:lvlJc w:val="left"/>
      <w:pPr>
        <w:tabs>
          <w:tab w:val="num" w:pos="3280"/>
        </w:tabs>
        <w:ind w:left="3280" w:hanging="360"/>
      </w:pPr>
      <w:rPr>
        <w:rFonts w:ascii="Symbol" w:hAnsi="Symbol" w:hint="default"/>
      </w:rPr>
    </w:lvl>
    <w:lvl w:ilvl="4" w:tplc="04090003" w:tentative="1">
      <w:start w:val="1"/>
      <w:numFmt w:val="bullet"/>
      <w:lvlText w:val="o"/>
      <w:lvlJc w:val="left"/>
      <w:pPr>
        <w:tabs>
          <w:tab w:val="num" w:pos="4000"/>
        </w:tabs>
        <w:ind w:left="4000" w:hanging="360"/>
      </w:pPr>
      <w:rPr>
        <w:rFonts w:ascii="Courier New" w:hAnsi="Courier New" w:cs="Courier New" w:hint="default"/>
      </w:rPr>
    </w:lvl>
    <w:lvl w:ilvl="5" w:tplc="04090005" w:tentative="1">
      <w:start w:val="1"/>
      <w:numFmt w:val="bullet"/>
      <w:lvlText w:val=""/>
      <w:lvlJc w:val="left"/>
      <w:pPr>
        <w:tabs>
          <w:tab w:val="num" w:pos="4720"/>
        </w:tabs>
        <w:ind w:left="4720" w:hanging="360"/>
      </w:pPr>
      <w:rPr>
        <w:rFonts w:ascii="Wingdings" w:hAnsi="Wingdings" w:hint="default"/>
      </w:rPr>
    </w:lvl>
    <w:lvl w:ilvl="6" w:tplc="04090001" w:tentative="1">
      <w:start w:val="1"/>
      <w:numFmt w:val="bullet"/>
      <w:lvlText w:val=""/>
      <w:lvlJc w:val="left"/>
      <w:pPr>
        <w:tabs>
          <w:tab w:val="num" w:pos="5440"/>
        </w:tabs>
        <w:ind w:left="5440" w:hanging="360"/>
      </w:pPr>
      <w:rPr>
        <w:rFonts w:ascii="Symbol" w:hAnsi="Symbol" w:hint="default"/>
      </w:rPr>
    </w:lvl>
    <w:lvl w:ilvl="7" w:tplc="04090003" w:tentative="1">
      <w:start w:val="1"/>
      <w:numFmt w:val="bullet"/>
      <w:lvlText w:val="o"/>
      <w:lvlJc w:val="left"/>
      <w:pPr>
        <w:tabs>
          <w:tab w:val="num" w:pos="6160"/>
        </w:tabs>
        <w:ind w:left="6160" w:hanging="360"/>
      </w:pPr>
      <w:rPr>
        <w:rFonts w:ascii="Courier New" w:hAnsi="Courier New" w:cs="Courier New" w:hint="default"/>
      </w:rPr>
    </w:lvl>
    <w:lvl w:ilvl="8" w:tplc="04090005" w:tentative="1">
      <w:start w:val="1"/>
      <w:numFmt w:val="bullet"/>
      <w:lvlText w:val=""/>
      <w:lvlJc w:val="left"/>
      <w:pPr>
        <w:tabs>
          <w:tab w:val="num" w:pos="6880"/>
        </w:tabs>
        <w:ind w:left="6880" w:hanging="360"/>
      </w:pPr>
      <w:rPr>
        <w:rFonts w:ascii="Wingdings" w:hAnsi="Wingdings" w:hint="default"/>
      </w:rPr>
    </w:lvl>
  </w:abstractNum>
  <w:abstractNum w:abstractNumId="26">
    <w:nsid w:val="178B5A9C"/>
    <w:multiLevelType w:val="multilevel"/>
    <w:tmpl w:val="700CECE2"/>
    <w:lvl w:ilvl="0">
      <w:start w:val="1"/>
      <w:numFmt w:val="decimal"/>
      <w:lvlRestart w:val="0"/>
      <w:pStyle w:val="ONUME"/>
      <w:lvlText w:val="%1."/>
      <w:lvlJc w:val="left"/>
      <w:pPr>
        <w:tabs>
          <w:tab w:val="num" w:pos="709"/>
        </w:tabs>
        <w:ind w:left="142" w:firstLine="0"/>
      </w:pPr>
      <w:rPr>
        <w:rFonts w:hint="default"/>
        <w:b w:val="0"/>
        <w:bCs/>
        <w:sz w:val="22"/>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b w:val="0"/>
        <w:bCs/>
        <w:i w:val="0"/>
        <w:iCs/>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7">
    <w:nsid w:val="1B605764"/>
    <w:multiLevelType w:val="hybridMultilevel"/>
    <w:tmpl w:val="5C1E54E8"/>
    <w:lvl w:ilvl="0" w:tplc="5B683A3A">
      <w:start w:val="1"/>
      <w:numFmt w:val="upperRoman"/>
      <w:lvlText w:val="%1."/>
      <w:lvlJc w:val="left"/>
      <w:pPr>
        <w:ind w:left="1080" w:hanging="720"/>
      </w:pPr>
      <w:rPr>
        <w:rFonts w:hint="default"/>
      </w:rPr>
    </w:lvl>
    <w:lvl w:ilvl="1" w:tplc="A2369E28">
      <w:start w:val="1"/>
      <w:numFmt w:val="lowerLetter"/>
      <w:lvlText w:val="(%2)"/>
      <w:lvlJc w:val="left"/>
      <w:pPr>
        <w:ind w:left="1440" w:hanging="360"/>
      </w:pPr>
      <w:rPr>
        <w:rFonts w:hint="default"/>
        <w:i/>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ED221A1"/>
    <w:multiLevelType w:val="hybridMultilevel"/>
    <w:tmpl w:val="967A47AA"/>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1FFB19A2"/>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0">
    <w:nsid w:val="21207CBF"/>
    <w:multiLevelType w:val="hybridMultilevel"/>
    <w:tmpl w:val="E5D4A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2DD2783"/>
    <w:multiLevelType w:val="hybridMultilevel"/>
    <w:tmpl w:val="1EBA25D8"/>
    <w:lvl w:ilvl="0" w:tplc="D166BB9E">
      <w:start w:val="1"/>
      <w:numFmt w:val="decimal"/>
      <w:lvlText w:val="10.%1."/>
      <w:lvlJc w:val="left"/>
      <w:pPr>
        <w:ind w:left="723" w:hanging="360"/>
      </w:pPr>
      <w:rPr>
        <w:rFonts w:hint="default"/>
      </w:rPr>
    </w:lvl>
    <w:lvl w:ilvl="1" w:tplc="04090019" w:tentative="1">
      <w:start w:val="1"/>
      <w:numFmt w:val="lowerLetter"/>
      <w:lvlText w:val="%2."/>
      <w:lvlJc w:val="left"/>
      <w:pPr>
        <w:ind w:left="1443" w:hanging="360"/>
      </w:pPr>
    </w:lvl>
    <w:lvl w:ilvl="2" w:tplc="0409001B" w:tentative="1">
      <w:start w:val="1"/>
      <w:numFmt w:val="lowerRoman"/>
      <w:lvlText w:val="%3."/>
      <w:lvlJc w:val="right"/>
      <w:pPr>
        <w:ind w:left="2163" w:hanging="180"/>
      </w:pPr>
    </w:lvl>
    <w:lvl w:ilvl="3" w:tplc="0409000F" w:tentative="1">
      <w:start w:val="1"/>
      <w:numFmt w:val="decimal"/>
      <w:lvlText w:val="%4."/>
      <w:lvlJc w:val="left"/>
      <w:pPr>
        <w:ind w:left="2883" w:hanging="360"/>
      </w:pPr>
    </w:lvl>
    <w:lvl w:ilvl="4" w:tplc="04090019" w:tentative="1">
      <w:start w:val="1"/>
      <w:numFmt w:val="lowerLetter"/>
      <w:lvlText w:val="%5."/>
      <w:lvlJc w:val="left"/>
      <w:pPr>
        <w:ind w:left="3603" w:hanging="360"/>
      </w:pPr>
    </w:lvl>
    <w:lvl w:ilvl="5" w:tplc="0409001B" w:tentative="1">
      <w:start w:val="1"/>
      <w:numFmt w:val="lowerRoman"/>
      <w:lvlText w:val="%6."/>
      <w:lvlJc w:val="right"/>
      <w:pPr>
        <w:ind w:left="4323" w:hanging="180"/>
      </w:pPr>
    </w:lvl>
    <w:lvl w:ilvl="6" w:tplc="0409000F" w:tentative="1">
      <w:start w:val="1"/>
      <w:numFmt w:val="decimal"/>
      <w:lvlText w:val="%7."/>
      <w:lvlJc w:val="left"/>
      <w:pPr>
        <w:ind w:left="5043" w:hanging="360"/>
      </w:pPr>
    </w:lvl>
    <w:lvl w:ilvl="7" w:tplc="04090019" w:tentative="1">
      <w:start w:val="1"/>
      <w:numFmt w:val="lowerLetter"/>
      <w:lvlText w:val="%8."/>
      <w:lvlJc w:val="left"/>
      <w:pPr>
        <w:ind w:left="5763" w:hanging="360"/>
      </w:pPr>
    </w:lvl>
    <w:lvl w:ilvl="8" w:tplc="0409001B" w:tentative="1">
      <w:start w:val="1"/>
      <w:numFmt w:val="lowerRoman"/>
      <w:lvlText w:val="%9."/>
      <w:lvlJc w:val="right"/>
      <w:pPr>
        <w:ind w:left="6483" w:hanging="180"/>
      </w:pPr>
    </w:lvl>
  </w:abstractNum>
  <w:abstractNum w:abstractNumId="32">
    <w:nsid w:val="230E7B33"/>
    <w:multiLevelType w:val="hybridMultilevel"/>
    <w:tmpl w:val="3A927374"/>
    <w:lvl w:ilvl="0" w:tplc="ADA8ABFE">
      <w:start w:val="1"/>
      <w:numFmt w:val="decimal"/>
      <w:lvlText w:val="32.%1"/>
      <w:lvlJc w:val="left"/>
      <w:pPr>
        <w:ind w:left="720" w:hanging="360"/>
      </w:pPr>
      <w:rPr>
        <w:rFonts w:hint="default"/>
        <w:sz w:val="20"/>
        <w:szCs w:val="2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246747EC"/>
    <w:multiLevelType w:val="hybridMultilevel"/>
    <w:tmpl w:val="024670B0"/>
    <w:lvl w:ilvl="0" w:tplc="0409000F">
      <w:start w:val="1"/>
      <w:numFmt w:val="decimal"/>
      <w:lvlRestart w:val="0"/>
      <w:lvlText w:val="14.%1."/>
      <w:lvlJc w:val="left"/>
      <w:pPr>
        <w:tabs>
          <w:tab w:val="num" w:pos="683"/>
        </w:tabs>
        <w:ind w:left="0" w:firstLine="0"/>
      </w:pPr>
      <w:rPr>
        <w:rFonts w:ascii="Arial" w:hAnsi="Arial" w:hint="default"/>
        <w:sz w:val="20"/>
        <w:szCs w:val="20"/>
      </w:rPr>
    </w:lvl>
    <w:lvl w:ilvl="1" w:tplc="04090019">
      <w:start w:val="1"/>
      <w:numFmt w:val="lowerRoman"/>
      <w:lvlText w:val="(%2)"/>
      <w:lvlJc w:val="left"/>
      <w:pPr>
        <w:tabs>
          <w:tab w:val="num" w:pos="1250"/>
        </w:tabs>
        <w:ind w:left="1080" w:firstLine="0"/>
      </w:pPr>
      <w:rPr>
        <w:rFonts w:hint="default"/>
        <w:sz w:val="20"/>
        <w:szCs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24742D0B"/>
    <w:multiLevelType w:val="hybridMultilevel"/>
    <w:tmpl w:val="1BD0795C"/>
    <w:lvl w:ilvl="0" w:tplc="79A8C800">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25085BCC"/>
    <w:multiLevelType w:val="hybridMultilevel"/>
    <w:tmpl w:val="EAE88D90"/>
    <w:lvl w:ilvl="0" w:tplc="085862A0">
      <w:start w:val="1"/>
      <w:numFmt w:val="bullet"/>
      <w:lvlText w:val=""/>
      <w:lvlJc w:val="left"/>
      <w:pPr>
        <w:tabs>
          <w:tab w:val="num" w:pos="1134"/>
        </w:tabs>
        <w:ind w:left="1134" w:hanging="567"/>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26D44243"/>
    <w:multiLevelType w:val="hybridMultilevel"/>
    <w:tmpl w:val="2E9459EA"/>
    <w:lvl w:ilvl="0" w:tplc="035C5FD4">
      <w:start w:val="1"/>
      <w:numFmt w:val="decimal"/>
      <w:lvlText w:val="13.%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276A3D44"/>
    <w:multiLevelType w:val="hybridMultilevel"/>
    <w:tmpl w:val="9E909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2ADE3087"/>
    <w:multiLevelType w:val="multilevel"/>
    <w:tmpl w:val="B1C8FA3C"/>
    <w:lvl w:ilvl="0">
      <w:start w:val="1"/>
      <w:numFmt w:val="bullet"/>
      <w:lvlText w:val=""/>
      <w:lvlJc w:val="left"/>
      <w:pPr>
        <w:tabs>
          <w:tab w:val="num" w:pos="720"/>
        </w:tabs>
        <w:ind w:left="1134" w:hanging="567"/>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nsid w:val="2B0F0EBA"/>
    <w:multiLevelType w:val="hybridMultilevel"/>
    <w:tmpl w:val="8C087E52"/>
    <w:lvl w:ilvl="0" w:tplc="5EAED6BA">
      <w:start w:val="1"/>
      <w:numFmt w:val="decimal"/>
      <w:lvlText w:val="%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2B423B8D"/>
    <w:multiLevelType w:val="hybridMultilevel"/>
    <w:tmpl w:val="1004DDCE"/>
    <w:lvl w:ilvl="0" w:tplc="2A1252A8">
      <w:start w:val="1"/>
      <w:numFmt w:val="decimal"/>
      <w:lvlText w:val="%1."/>
      <w:lvlJc w:val="left"/>
      <w:pPr>
        <w:tabs>
          <w:tab w:val="num" w:pos="567"/>
        </w:tabs>
        <w:ind w:left="0" w:firstLine="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2F5B64AE"/>
    <w:multiLevelType w:val="hybridMultilevel"/>
    <w:tmpl w:val="41886E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31136CF2"/>
    <w:multiLevelType w:val="hybridMultilevel"/>
    <w:tmpl w:val="F9828D0E"/>
    <w:lvl w:ilvl="0" w:tplc="7A84B2F6">
      <w:start w:val="1"/>
      <w:numFmt w:val="decimal"/>
      <w:lvlRestart w:val="0"/>
      <w:lvlText w:val="22.%1."/>
      <w:lvlJc w:val="left"/>
      <w:pPr>
        <w:tabs>
          <w:tab w:val="num" w:pos="692"/>
        </w:tabs>
        <w:ind w:left="6"/>
      </w:pPr>
      <w:rPr>
        <w:rFonts w:ascii="Arial" w:hAnsi="Arial" w:cs="Times New Roman" w:hint="default"/>
        <w:b w:val="0"/>
        <w:bCs/>
        <w:i w:val="0"/>
        <w:iCs/>
        <w:sz w:val="20"/>
        <w:szCs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3">
    <w:nsid w:val="359C70C3"/>
    <w:multiLevelType w:val="hybridMultilevel"/>
    <w:tmpl w:val="6BA8A470"/>
    <w:lvl w:ilvl="0" w:tplc="BAAC1246">
      <w:start w:val="26"/>
      <w:numFmt w:val="bullet"/>
      <w:lvlText w:val="-"/>
      <w:lvlJc w:val="left"/>
      <w:pPr>
        <w:ind w:left="2138" w:hanging="360"/>
      </w:pPr>
      <w:rPr>
        <w:rFonts w:ascii="Arial" w:eastAsia="SimSun" w:hAnsi="Arial" w:cs="Aria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44">
    <w:nsid w:val="35D26F74"/>
    <w:multiLevelType w:val="hybridMultilevel"/>
    <w:tmpl w:val="A3404602"/>
    <w:lvl w:ilvl="0" w:tplc="04090001">
      <w:start w:val="1"/>
      <w:numFmt w:val="bullet"/>
      <w:lvlText w:val=""/>
      <w:lvlJc w:val="left"/>
      <w:pPr>
        <w:tabs>
          <w:tab w:val="num" w:pos="720"/>
        </w:tabs>
        <w:ind w:left="72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382B066F"/>
    <w:multiLevelType w:val="hybridMultilevel"/>
    <w:tmpl w:val="CBD66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38DD3D4B"/>
    <w:multiLevelType w:val="multilevel"/>
    <w:tmpl w:val="769CC524"/>
    <w:lvl w:ilvl="0">
      <w:start w:val="8"/>
      <w:numFmt w:val="decimal"/>
      <w:lvlText w:val="%1."/>
      <w:lvlJc w:val="left"/>
      <w:pPr>
        <w:ind w:left="360"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38F41C59"/>
    <w:multiLevelType w:val="hybridMultilevel"/>
    <w:tmpl w:val="A0C2C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3B0736D2"/>
    <w:multiLevelType w:val="multilevel"/>
    <w:tmpl w:val="A7CCEC24"/>
    <w:lvl w:ilvl="0">
      <w:start w:val="7"/>
      <w:numFmt w:val="decimal"/>
      <w:lvlText w:val="%1"/>
      <w:lvlJc w:val="left"/>
      <w:pPr>
        <w:ind w:hanging="692"/>
      </w:pPr>
      <w:rPr>
        <w:rFonts w:hint="default"/>
      </w:rPr>
    </w:lvl>
    <w:lvl w:ilvl="1">
      <w:start w:val="1"/>
      <w:numFmt w:val="decimal"/>
      <w:lvlText w:val="%1.%2."/>
      <w:lvlJc w:val="left"/>
      <w:pPr>
        <w:ind w:hanging="692"/>
        <w:jc w:val="right"/>
      </w:pPr>
      <w:rPr>
        <w:rFonts w:ascii="Arial" w:eastAsia="Arial" w:hAnsi="Arial" w:hint="default"/>
        <w:w w:val="100"/>
        <w:position w:val="0"/>
        <w:sz w:val="20"/>
        <w:szCs w:val="20"/>
      </w:rPr>
    </w:lvl>
    <w:lvl w:ilvl="2">
      <w:start w:val="1"/>
      <w:numFmt w:val="lowerRoman"/>
      <w:lvlText w:val="%3)"/>
      <w:lvlJc w:val="left"/>
      <w:pPr>
        <w:ind w:hanging="562"/>
      </w:pPr>
      <w:rPr>
        <w:rFonts w:hint="default"/>
        <w:w w:val="103"/>
        <w:sz w:val="20"/>
        <w:szCs w:val="20"/>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49">
    <w:nsid w:val="3B9C7EF3"/>
    <w:multiLevelType w:val="hybridMultilevel"/>
    <w:tmpl w:val="BE263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3C821317"/>
    <w:multiLevelType w:val="hybridMultilevel"/>
    <w:tmpl w:val="8F5EA48C"/>
    <w:lvl w:ilvl="0" w:tplc="198A427E">
      <w:start w:val="1"/>
      <w:numFmt w:val="decimal"/>
      <w:lvlRestart w:val="0"/>
      <w:lvlText w:val="18.%1."/>
      <w:lvlJc w:val="left"/>
      <w:pPr>
        <w:tabs>
          <w:tab w:val="num" w:pos="683"/>
        </w:tabs>
        <w:ind w:left="0" w:firstLine="0"/>
      </w:pPr>
      <w:rPr>
        <w:rFonts w:ascii="Arial" w:hAnsi="Arial" w:hint="default"/>
        <w:i w:val="0"/>
        <w:iCs/>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nsid w:val="3D03526B"/>
    <w:multiLevelType w:val="hybridMultilevel"/>
    <w:tmpl w:val="7E726122"/>
    <w:lvl w:ilvl="0" w:tplc="83246E14">
      <w:start w:val="1"/>
      <w:numFmt w:val="decimal"/>
      <w:lvlText w:val="2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3E8703BF"/>
    <w:multiLevelType w:val="hybridMultilevel"/>
    <w:tmpl w:val="DF60092C"/>
    <w:lvl w:ilvl="0" w:tplc="5144F034">
      <w:start w:val="1"/>
      <w:numFmt w:val="decimal"/>
      <w:lvlRestart w:val="0"/>
      <w:lvlText w:val="5.%1."/>
      <w:lvlJc w:val="left"/>
      <w:pPr>
        <w:tabs>
          <w:tab w:val="num" w:pos="680"/>
        </w:tabs>
        <w:ind w:left="0" w:firstLine="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nsid w:val="3EAF0971"/>
    <w:multiLevelType w:val="hybridMultilevel"/>
    <w:tmpl w:val="FD4E56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3FA85A25"/>
    <w:multiLevelType w:val="hybridMultilevel"/>
    <w:tmpl w:val="EB3E49EE"/>
    <w:lvl w:ilvl="0" w:tplc="1AA0ABC2">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5">
    <w:nsid w:val="3FB71A0F"/>
    <w:multiLevelType w:val="hybridMultilevel"/>
    <w:tmpl w:val="EC283824"/>
    <w:lvl w:ilvl="0" w:tplc="C53C0112">
      <w:start w:val="1"/>
      <w:numFmt w:val="decimal"/>
      <w:lvlRestart w:val="0"/>
      <w:lvlText w:val="16.%1."/>
      <w:lvlJc w:val="left"/>
      <w:pPr>
        <w:tabs>
          <w:tab w:val="num" w:pos="683"/>
        </w:tabs>
        <w:ind w:left="0" w:firstLine="0"/>
      </w:pPr>
      <w:rPr>
        <w:rFonts w:ascii="Arial" w:hAnsi="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nsid w:val="410F0D6F"/>
    <w:multiLevelType w:val="hybridMultilevel"/>
    <w:tmpl w:val="B15A7E4E"/>
    <w:lvl w:ilvl="0" w:tplc="43AC91D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44DE445F"/>
    <w:multiLevelType w:val="hybridMultilevel"/>
    <w:tmpl w:val="2E92E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456276BB"/>
    <w:multiLevelType w:val="multilevel"/>
    <w:tmpl w:val="8F6C9D52"/>
    <w:lvl w:ilvl="0">
      <w:start w:val="1"/>
      <w:numFmt w:val="decimal"/>
      <w:lvlText w:val="9.%1."/>
      <w:lvlJc w:val="left"/>
      <w:pPr>
        <w:ind w:left="0" w:firstLine="0"/>
      </w:pPr>
      <w:rPr>
        <w:rFonts w:hint="default"/>
        <w:b w:val="0"/>
        <w:sz w:val="20"/>
      </w:rPr>
    </w:lvl>
    <w:lvl w:ilvl="1">
      <w:start w:val="1"/>
      <w:numFmt w:val="none"/>
      <w:lvlText w:val=""/>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nsid w:val="49005B30"/>
    <w:multiLevelType w:val="hybridMultilevel"/>
    <w:tmpl w:val="695A2CCC"/>
    <w:lvl w:ilvl="0" w:tplc="00867520">
      <w:start w:val="1"/>
      <w:numFmt w:val="decimal"/>
      <w:lvlText w:val="30.%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49A91F7F"/>
    <w:multiLevelType w:val="hybridMultilevel"/>
    <w:tmpl w:val="F3E09890"/>
    <w:lvl w:ilvl="0" w:tplc="55366768">
      <w:start w:val="1"/>
      <w:numFmt w:val="decimal"/>
      <w:lvlRestart w:val="0"/>
      <w:lvlText w:val="3.%1."/>
      <w:lvlJc w:val="left"/>
      <w:pPr>
        <w:tabs>
          <w:tab w:val="num" w:pos="680"/>
        </w:tabs>
        <w:ind w:left="0" w:firstLine="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nsid w:val="4A4034CD"/>
    <w:multiLevelType w:val="hybridMultilevel"/>
    <w:tmpl w:val="C61E1F84"/>
    <w:lvl w:ilvl="0" w:tplc="2E60A370">
      <w:start w:val="1"/>
      <w:numFmt w:val="decimal"/>
      <w:lvlRestart w:val="0"/>
      <w:lvlText w:val="2.%1."/>
      <w:lvlJc w:val="left"/>
      <w:pPr>
        <w:tabs>
          <w:tab w:val="num" w:pos="680"/>
        </w:tabs>
        <w:ind w:left="0" w:firstLine="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nsid w:val="4A4579BD"/>
    <w:multiLevelType w:val="hybridMultilevel"/>
    <w:tmpl w:val="11123082"/>
    <w:lvl w:ilvl="0" w:tplc="BDB20DE6">
      <w:start w:val="1"/>
      <w:numFmt w:val="decimal"/>
      <w:lvlRestart w:val="0"/>
      <w:lvlText w:val="4.%1."/>
      <w:lvlJc w:val="left"/>
      <w:pPr>
        <w:tabs>
          <w:tab w:val="num" w:pos="680"/>
        </w:tabs>
        <w:ind w:left="0" w:firstLine="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nsid w:val="4C5F1D14"/>
    <w:multiLevelType w:val="hybridMultilevel"/>
    <w:tmpl w:val="64B4A4B8"/>
    <w:lvl w:ilvl="0" w:tplc="386031BA">
      <w:start w:val="1"/>
      <w:numFmt w:val="decimal"/>
      <w:lvlRestart w:val="0"/>
      <w:lvlText w:val="31.%1."/>
      <w:lvlJc w:val="left"/>
      <w:pPr>
        <w:tabs>
          <w:tab w:val="num" w:pos="680"/>
        </w:tabs>
        <w:ind w:left="0" w:firstLine="0"/>
      </w:pPr>
      <w:rPr>
        <w:rFonts w:ascii="Arial" w:hAnsi="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nsid w:val="558F28AB"/>
    <w:multiLevelType w:val="hybridMultilevel"/>
    <w:tmpl w:val="AF026174"/>
    <w:lvl w:ilvl="0" w:tplc="8B12C386">
      <w:start w:val="1"/>
      <w:numFmt w:val="decimal"/>
      <w:pStyle w:val="ONUMFS"/>
      <w:lvlText w:val="%1."/>
      <w:lvlJc w:val="left"/>
      <w:pPr>
        <w:ind w:left="720" w:hanging="360"/>
      </w:pPr>
      <w:rPr>
        <w:rFonts w:hint="default"/>
      </w:rPr>
    </w:lvl>
    <w:lvl w:ilvl="1" w:tplc="E17AC034">
      <w:start w:val="1"/>
      <w:numFmt w:val="lowerLetter"/>
      <w:lvlText w:val="%2)"/>
      <w:lvlJc w:val="left"/>
      <w:pPr>
        <w:tabs>
          <w:tab w:val="num" w:pos="1134"/>
        </w:tabs>
        <w:ind w:left="1134" w:hanging="567"/>
      </w:pPr>
      <w:rPr>
        <w:rFonts w:hint="default"/>
      </w:rPr>
    </w:lvl>
    <w:lvl w:ilvl="2" w:tplc="749E6C20">
      <w:start w:val="1"/>
      <w:numFmt w:val="lowerRoman"/>
      <w:lvlText w:val="%3)"/>
      <w:lvlJc w:val="left"/>
      <w:pPr>
        <w:tabs>
          <w:tab w:val="num" w:pos="1701"/>
        </w:tabs>
        <w:ind w:left="1701" w:hanging="567"/>
      </w:pPr>
      <w:rPr>
        <w:rFonts w:hint="default"/>
      </w:rPr>
    </w:lvl>
    <w:lvl w:ilvl="3" w:tplc="6F3E17A6">
      <w:start w:val="1"/>
      <w:numFmt w:val="decimal"/>
      <w:lvlText w:val="%4)"/>
      <w:lvlJc w:val="left"/>
      <w:pPr>
        <w:tabs>
          <w:tab w:val="num" w:pos="2268"/>
        </w:tabs>
        <w:ind w:left="2268" w:hanging="567"/>
      </w:pPr>
      <w:rPr>
        <w:rFonts w:hint="default"/>
      </w:r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5">
    <w:nsid w:val="567C110A"/>
    <w:multiLevelType w:val="hybridMultilevel"/>
    <w:tmpl w:val="619C2F36"/>
    <w:lvl w:ilvl="0" w:tplc="198A427E">
      <w:start w:val="1"/>
      <w:numFmt w:val="decimal"/>
      <w:lvlRestart w:val="0"/>
      <w:lvlText w:val="18.%1."/>
      <w:lvlJc w:val="left"/>
      <w:pPr>
        <w:tabs>
          <w:tab w:val="num" w:pos="683"/>
        </w:tabs>
        <w:ind w:left="0" w:firstLine="0"/>
      </w:pPr>
      <w:rPr>
        <w:rFonts w:ascii="Arial" w:hAnsi="Arial" w:hint="default"/>
        <w:i w:val="0"/>
        <w:iCs/>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6">
    <w:nsid w:val="56F411C0"/>
    <w:multiLevelType w:val="hybridMultilevel"/>
    <w:tmpl w:val="F0322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5A232C8B"/>
    <w:multiLevelType w:val="hybridMultilevel"/>
    <w:tmpl w:val="0276A39C"/>
    <w:lvl w:ilvl="0" w:tplc="75FA653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5D3D3D0D"/>
    <w:multiLevelType w:val="hybridMultilevel"/>
    <w:tmpl w:val="7A4297A0"/>
    <w:lvl w:ilvl="0" w:tplc="51185FBE">
      <w:start w:val="1"/>
      <w:numFmt w:val="decimal"/>
      <w:lvlRestart w:val="0"/>
      <w:lvlText w:val="19.%1."/>
      <w:lvlJc w:val="left"/>
      <w:pPr>
        <w:tabs>
          <w:tab w:val="num" w:pos="680"/>
        </w:tabs>
        <w:ind w:left="0" w:firstLine="0"/>
      </w:pPr>
      <w:rPr>
        <w:rFonts w:ascii="Arial" w:hAnsi="Arial" w:hint="default"/>
        <w:color w:val="auto"/>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9">
    <w:nsid w:val="5E342860"/>
    <w:multiLevelType w:val="hybridMultilevel"/>
    <w:tmpl w:val="98F464D2"/>
    <w:lvl w:ilvl="0" w:tplc="51185FBE">
      <w:start w:val="1"/>
      <w:numFmt w:val="decimal"/>
      <w:lvlRestart w:val="0"/>
      <w:lvlText w:val="1.%1."/>
      <w:lvlJc w:val="left"/>
      <w:pPr>
        <w:tabs>
          <w:tab w:val="num" w:pos="567"/>
        </w:tabs>
        <w:ind w:left="0" w:firstLine="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0">
    <w:nsid w:val="5EFA5F3F"/>
    <w:multiLevelType w:val="hybridMultilevel"/>
    <w:tmpl w:val="9B9066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ahom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ahom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nsid w:val="62563674"/>
    <w:multiLevelType w:val="hybridMultilevel"/>
    <w:tmpl w:val="50449E1C"/>
    <w:lvl w:ilvl="0" w:tplc="9F8EB1FA">
      <w:start w:val="1"/>
      <w:numFmt w:val="decimal"/>
      <w:lvlText w:val="2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64055856"/>
    <w:multiLevelType w:val="hybridMultilevel"/>
    <w:tmpl w:val="DB529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64B65F3B"/>
    <w:multiLevelType w:val="hybridMultilevel"/>
    <w:tmpl w:val="8564EF2A"/>
    <w:lvl w:ilvl="0" w:tplc="ADA8ABFE">
      <w:start w:val="1"/>
      <w:numFmt w:val="decimal"/>
      <w:lvlText w:val="32.%1"/>
      <w:lvlJc w:val="left"/>
      <w:pPr>
        <w:tabs>
          <w:tab w:val="num" w:pos="680"/>
        </w:tabs>
        <w:ind w:left="0" w:firstLine="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4">
    <w:nsid w:val="667A16AF"/>
    <w:multiLevelType w:val="hybridMultilevel"/>
    <w:tmpl w:val="72D277D2"/>
    <w:lvl w:ilvl="0" w:tplc="5EAED6BA">
      <w:start w:val="1"/>
      <w:numFmt w:val="decimal"/>
      <w:lvlRestart w:val="0"/>
      <w:lvlText w:val="17.%1."/>
      <w:lvlJc w:val="left"/>
      <w:pPr>
        <w:tabs>
          <w:tab w:val="num" w:pos="680"/>
        </w:tabs>
        <w:ind w:left="0" w:firstLine="0"/>
      </w:pPr>
      <w:rPr>
        <w:rFonts w:ascii="Arial" w:hAnsi="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5">
    <w:nsid w:val="6A005E3D"/>
    <w:multiLevelType w:val="hybridMultilevel"/>
    <w:tmpl w:val="4822A6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6">
    <w:nsid w:val="6D2A2112"/>
    <w:multiLevelType w:val="hybridMultilevel"/>
    <w:tmpl w:val="1F708E66"/>
    <w:lvl w:ilvl="0" w:tplc="7BBAFA02">
      <w:start w:val="1"/>
      <w:numFmt w:val="decimal"/>
      <w:lvlText w:val="%1."/>
      <w:lvlJc w:val="left"/>
      <w:pPr>
        <w:ind w:left="360" w:hanging="360"/>
      </w:pPr>
      <w:rPr>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6F514886"/>
    <w:multiLevelType w:val="hybridMultilevel"/>
    <w:tmpl w:val="39A839DA"/>
    <w:lvl w:ilvl="0" w:tplc="8214C132">
      <w:start w:val="1"/>
      <w:numFmt w:val="decimal"/>
      <w:lvlText w:val="11.%1."/>
      <w:lvlJc w:val="left"/>
      <w:pPr>
        <w:ind w:left="4188" w:hanging="360"/>
      </w:pPr>
      <w:rPr>
        <w:rFonts w:hint="default"/>
      </w:rPr>
    </w:lvl>
    <w:lvl w:ilvl="1" w:tplc="04090019" w:tentative="1">
      <w:start w:val="1"/>
      <w:numFmt w:val="lowerLetter"/>
      <w:lvlText w:val="%2."/>
      <w:lvlJc w:val="left"/>
      <w:pPr>
        <w:ind w:left="4908" w:hanging="360"/>
      </w:pPr>
    </w:lvl>
    <w:lvl w:ilvl="2" w:tplc="0409001B" w:tentative="1">
      <w:start w:val="1"/>
      <w:numFmt w:val="lowerRoman"/>
      <w:lvlText w:val="%3."/>
      <w:lvlJc w:val="right"/>
      <w:pPr>
        <w:ind w:left="5628" w:hanging="180"/>
      </w:pPr>
    </w:lvl>
    <w:lvl w:ilvl="3" w:tplc="0409000F" w:tentative="1">
      <w:start w:val="1"/>
      <w:numFmt w:val="decimal"/>
      <w:lvlText w:val="%4."/>
      <w:lvlJc w:val="left"/>
      <w:pPr>
        <w:ind w:left="6348" w:hanging="360"/>
      </w:pPr>
    </w:lvl>
    <w:lvl w:ilvl="4" w:tplc="04090019" w:tentative="1">
      <w:start w:val="1"/>
      <w:numFmt w:val="lowerLetter"/>
      <w:lvlText w:val="%5."/>
      <w:lvlJc w:val="left"/>
      <w:pPr>
        <w:ind w:left="7068" w:hanging="360"/>
      </w:pPr>
    </w:lvl>
    <w:lvl w:ilvl="5" w:tplc="0409001B" w:tentative="1">
      <w:start w:val="1"/>
      <w:numFmt w:val="lowerRoman"/>
      <w:lvlText w:val="%6."/>
      <w:lvlJc w:val="right"/>
      <w:pPr>
        <w:ind w:left="7788" w:hanging="180"/>
      </w:pPr>
    </w:lvl>
    <w:lvl w:ilvl="6" w:tplc="0409000F" w:tentative="1">
      <w:start w:val="1"/>
      <w:numFmt w:val="decimal"/>
      <w:lvlText w:val="%7."/>
      <w:lvlJc w:val="left"/>
      <w:pPr>
        <w:ind w:left="8508" w:hanging="360"/>
      </w:pPr>
    </w:lvl>
    <w:lvl w:ilvl="7" w:tplc="04090019" w:tentative="1">
      <w:start w:val="1"/>
      <w:numFmt w:val="lowerLetter"/>
      <w:lvlText w:val="%8."/>
      <w:lvlJc w:val="left"/>
      <w:pPr>
        <w:ind w:left="9228" w:hanging="360"/>
      </w:pPr>
    </w:lvl>
    <w:lvl w:ilvl="8" w:tplc="0409001B" w:tentative="1">
      <w:start w:val="1"/>
      <w:numFmt w:val="lowerRoman"/>
      <w:lvlText w:val="%9."/>
      <w:lvlJc w:val="right"/>
      <w:pPr>
        <w:ind w:left="9948" w:hanging="180"/>
      </w:pPr>
    </w:lvl>
  </w:abstractNum>
  <w:abstractNum w:abstractNumId="78">
    <w:nsid w:val="71146A48"/>
    <w:multiLevelType w:val="hybridMultilevel"/>
    <w:tmpl w:val="32DC7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35A0CB6"/>
    <w:multiLevelType w:val="hybridMultilevel"/>
    <w:tmpl w:val="053655DC"/>
    <w:lvl w:ilvl="0" w:tplc="04090001">
      <w:start w:val="1"/>
      <w:numFmt w:val="bullet"/>
      <w:lvlText w:val=""/>
      <w:lvlJc w:val="left"/>
      <w:pPr>
        <w:ind w:left="1800" w:hanging="360"/>
      </w:pPr>
      <w:rPr>
        <w:rFonts w:ascii="Symbol" w:hAnsi="Symbol" w:hint="default"/>
        <w:color w:val="000000"/>
        <w:sz w:val="2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0">
    <w:nsid w:val="73EF6FCB"/>
    <w:multiLevelType w:val="hybridMultilevel"/>
    <w:tmpl w:val="D94E0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45E1086"/>
    <w:multiLevelType w:val="hybridMultilevel"/>
    <w:tmpl w:val="1D86F986"/>
    <w:lvl w:ilvl="0" w:tplc="83EC8574">
      <w:start w:val="1"/>
      <w:numFmt w:val="decimal"/>
      <w:lvlText w:val="1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77850D78"/>
    <w:multiLevelType w:val="hybridMultilevel"/>
    <w:tmpl w:val="87B0E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7E73C2A"/>
    <w:multiLevelType w:val="hybridMultilevel"/>
    <w:tmpl w:val="37426470"/>
    <w:lvl w:ilvl="0" w:tplc="E788FC56">
      <w:start w:val="1"/>
      <w:numFmt w:val="decimal"/>
      <w:lvlText w:val="23.%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4">
    <w:nsid w:val="79DE1A8F"/>
    <w:multiLevelType w:val="hybridMultilevel"/>
    <w:tmpl w:val="C9460A80"/>
    <w:lvl w:ilvl="0" w:tplc="2892CBB2">
      <w:start w:val="1"/>
      <w:numFmt w:val="decimal"/>
      <w:lvlRestart w:val="0"/>
      <w:lvlText w:val="20.%1."/>
      <w:lvlJc w:val="left"/>
      <w:pPr>
        <w:tabs>
          <w:tab w:val="num" w:pos="680"/>
        </w:tabs>
        <w:ind w:left="0" w:firstLine="0"/>
      </w:pPr>
      <w:rPr>
        <w:rFonts w:ascii="Arial" w:hAnsi="Arial" w:hint="default"/>
        <w:b w:val="0"/>
        <w:bCs/>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5">
    <w:nsid w:val="7BEA236F"/>
    <w:multiLevelType w:val="hybridMultilevel"/>
    <w:tmpl w:val="B7DC0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7FC21B01"/>
    <w:multiLevelType w:val="hybridMultilevel"/>
    <w:tmpl w:val="82E29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26"/>
  </w:num>
  <w:num w:numId="3">
    <w:abstractNumId w:val="64"/>
  </w:num>
  <w:num w:numId="4">
    <w:abstractNumId w:val="69"/>
  </w:num>
  <w:num w:numId="5">
    <w:abstractNumId w:val="61"/>
  </w:num>
  <w:num w:numId="6">
    <w:abstractNumId w:val="62"/>
  </w:num>
  <w:num w:numId="7">
    <w:abstractNumId w:val="60"/>
  </w:num>
  <w:num w:numId="8">
    <w:abstractNumId w:val="52"/>
  </w:num>
  <w:num w:numId="9">
    <w:abstractNumId w:val="33"/>
  </w:num>
  <w:num w:numId="10">
    <w:abstractNumId w:val="76"/>
  </w:num>
  <w:num w:numId="11">
    <w:abstractNumId w:val="38"/>
  </w:num>
  <w:num w:numId="12">
    <w:abstractNumId w:val="79"/>
  </w:num>
  <w:num w:numId="13">
    <w:abstractNumId w:val="43"/>
  </w:num>
  <w:num w:numId="14">
    <w:abstractNumId w:val="53"/>
  </w:num>
  <w:num w:numId="15">
    <w:abstractNumId w:val="11"/>
  </w:num>
  <w:num w:numId="16">
    <w:abstractNumId w:val="17"/>
  </w:num>
  <w:num w:numId="17">
    <w:abstractNumId w:val="34"/>
  </w:num>
  <w:num w:numId="18">
    <w:abstractNumId w:val="48"/>
  </w:num>
  <w:num w:numId="19">
    <w:abstractNumId w:val="46"/>
  </w:num>
  <w:num w:numId="20">
    <w:abstractNumId w:val="58"/>
  </w:num>
  <w:num w:numId="21">
    <w:abstractNumId w:val="31"/>
  </w:num>
  <w:num w:numId="22">
    <w:abstractNumId w:val="56"/>
  </w:num>
  <w:num w:numId="23">
    <w:abstractNumId w:val="77"/>
  </w:num>
  <w:num w:numId="24">
    <w:abstractNumId w:val="81"/>
  </w:num>
  <w:num w:numId="25">
    <w:abstractNumId w:val="36"/>
  </w:num>
  <w:num w:numId="26">
    <w:abstractNumId w:val="9"/>
  </w:num>
  <w:num w:numId="27">
    <w:abstractNumId w:val="10"/>
  </w:num>
  <w:num w:numId="28">
    <w:abstractNumId w:val="74"/>
  </w:num>
  <w:num w:numId="29">
    <w:abstractNumId w:val="65"/>
  </w:num>
  <w:num w:numId="30">
    <w:abstractNumId w:val="50"/>
  </w:num>
  <w:num w:numId="31">
    <w:abstractNumId w:val="23"/>
  </w:num>
  <w:num w:numId="32">
    <w:abstractNumId w:val="14"/>
  </w:num>
  <w:num w:numId="33">
    <w:abstractNumId w:val="19"/>
  </w:num>
  <w:num w:numId="34">
    <w:abstractNumId w:val="39"/>
  </w:num>
  <w:num w:numId="35">
    <w:abstractNumId w:val="44"/>
  </w:num>
  <w:num w:numId="36">
    <w:abstractNumId w:val="70"/>
  </w:num>
  <w:num w:numId="37">
    <w:abstractNumId w:val="24"/>
  </w:num>
  <w:num w:numId="38">
    <w:abstractNumId w:val="75"/>
  </w:num>
  <w:num w:numId="39">
    <w:abstractNumId w:val="13"/>
  </w:num>
  <w:num w:numId="40">
    <w:abstractNumId w:val="27"/>
  </w:num>
  <w:num w:numId="41">
    <w:abstractNumId w:val="41"/>
  </w:num>
  <w:num w:numId="42">
    <w:abstractNumId w:val="78"/>
  </w:num>
  <w:num w:numId="43">
    <w:abstractNumId w:val="47"/>
  </w:num>
  <w:num w:numId="44">
    <w:abstractNumId w:val="45"/>
  </w:num>
  <w:num w:numId="45">
    <w:abstractNumId w:val="80"/>
  </w:num>
  <w:num w:numId="46">
    <w:abstractNumId w:val="86"/>
  </w:num>
  <w:num w:numId="47">
    <w:abstractNumId w:val="67"/>
  </w:num>
  <w:num w:numId="48">
    <w:abstractNumId w:val="35"/>
  </w:num>
  <w:num w:numId="49">
    <w:abstractNumId w:val="42"/>
  </w:num>
  <w:num w:numId="50">
    <w:abstractNumId w:val="85"/>
  </w:num>
  <w:num w:numId="51">
    <w:abstractNumId w:val="37"/>
  </w:num>
  <w:num w:numId="52">
    <w:abstractNumId w:val="49"/>
  </w:num>
  <w:num w:numId="53">
    <w:abstractNumId w:val="72"/>
  </w:num>
  <w:num w:numId="54">
    <w:abstractNumId w:val="66"/>
  </w:num>
  <w:num w:numId="55">
    <w:abstractNumId w:val="82"/>
  </w:num>
  <w:num w:numId="56">
    <w:abstractNumId w:val="57"/>
  </w:num>
  <w:num w:numId="57">
    <w:abstractNumId w:val="30"/>
  </w:num>
  <w:num w:numId="58">
    <w:abstractNumId w:val="12"/>
  </w:num>
  <w:num w:numId="59">
    <w:abstractNumId w:val="71"/>
  </w:num>
  <w:num w:numId="60">
    <w:abstractNumId w:val="68"/>
  </w:num>
  <w:num w:numId="61">
    <w:abstractNumId w:val="84"/>
  </w:num>
  <w:num w:numId="62">
    <w:abstractNumId w:val="25"/>
  </w:num>
  <w:num w:numId="63">
    <w:abstractNumId w:val="83"/>
  </w:num>
  <w:num w:numId="64">
    <w:abstractNumId w:val="59"/>
  </w:num>
  <w:num w:numId="65">
    <w:abstractNumId w:val="55"/>
  </w:num>
  <w:num w:numId="66">
    <w:abstractNumId w:val="51"/>
  </w:num>
  <w:num w:numId="67">
    <w:abstractNumId w:val="15"/>
  </w:num>
  <w:num w:numId="68">
    <w:abstractNumId w:val="18"/>
  </w:num>
  <w:num w:numId="69">
    <w:abstractNumId w:val="22"/>
  </w:num>
  <w:num w:numId="70">
    <w:abstractNumId w:val="40"/>
  </w:num>
  <w:num w:numId="71">
    <w:abstractNumId w:val="63"/>
  </w:num>
  <w:num w:numId="72">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79"/>
  </w:num>
  <w:num w:numId="7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3"/>
  </w:num>
  <w:num w:numId="76">
    <w:abstractNumId w:val="38"/>
  </w:num>
  <w:num w:numId="77">
    <w:abstractNumId w:val="16"/>
  </w:num>
  <w:num w:numId="78">
    <w:abstractNumId w:val="54"/>
  </w:num>
  <w:num w:numId="79">
    <w:abstractNumId w:val="21"/>
  </w:num>
  <w:num w:numId="80">
    <w:abstractNumId w:val="28"/>
  </w:num>
  <w:num w:numId="81">
    <w:abstractNumId w:val="0"/>
  </w:num>
  <w:num w:numId="82">
    <w:abstractNumId w:val="1"/>
  </w:num>
  <w:num w:numId="83">
    <w:abstractNumId w:val="2"/>
  </w:num>
  <w:num w:numId="84">
    <w:abstractNumId w:val="3"/>
  </w:num>
  <w:num w:numId="85">
    <w:abstractNumId w:val="5"/>
  </w:num>
  <w:num w:numId="86">
    <w:abstractNumId w:val="4"/>
  </w:num>
  <w:num w:numId="87">
    <w:abstractNumId w:val="6"/>
  </w:num>
  <w:num w:numId="88">
    <w:abstractNumId w:val="7"/>
  </w:num>
  <w:num w:numId="89">
    <w:abstractNumId w:val="8"/>
  </w:num>
  <w:num w:numId="90">
    <w:abstractNumId w:val="29"/>
  </w:num>
  <w:num w:numId="91">
    <w:abstractNumId w:val="32"/>
  </w:num>
  <w:num w:numId="92">
    <w:abstractNumId w:val="73"/>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1"/>
  <w:hideSpellingErrors/>
  <w:activeWritingStyle w:appName="MSWord" w:lang="fr-FR" w:vendorID="64" w:dllVersion="131078" w:nlCheck="1" w:checkStyle="0"/>
  <w:activeWritingStyle w:appName="MSWord" w:lang="en-US" w:vendorID="64" w:dllVersion="131078" w:nlCheck="1" w:checkStyle="1"/>
  <w:activeWritingStyle w:appName="MSWord" w:lang="fr-CH" w:vendorID="64" w:dllVersion="131078" w:nlCheck="1" w:checkStyle="1"/>
  <w:activeWritingStyle w:appName="MSWord" w:lang="en-CA" w:vendorID="64" w:dllVersion="131078" w:nlCheck="1" w:checkStyle="1"/>
  <w:activeWritingStyle w:appName="MSWord" w:lang="en-GB" w:vendorID="64" w:dllVersion="131078" w:nlCheck="1" w:checkStyle="1"/>
  <w:activeWritingStyle w:appName="MSWord" w:lang="en-SG" w:vendorID="64" w:dllVersion="131078" w:nlCheck="1" w:checkStyle="1"/>
  <w:activeWritingStyle w:appName="MSWord" w:lang="fr-BE" w:vendorID="64" w:dllVersion="131078" w:nlCheck="1" w:checkStyle="1"/>
  <w:proofState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567"/>
  <w:hyphenationZone w:val="425"/>
  <w:evenAndOddHeaders/>
  <w:displayHorizontalDrawingGridEvery w:val="0"/>
  <w:displayVerticalDrawingGridEvery w:val="0"/>
  <w:doNotUseMarginsForDrawingGridOrigin/>
  <w:noPunctuationKerning/>
  <w:characterSpacingControl w:val="doNotCompress"/>
  <w:hdrShapeDefaults>
    <o:shapedefaults v:ext="edit" spidmax="11980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JCHTerm2|WIPONew"/>
    <w:docVar w:name="TermBaseURL" w:val="empty"/>
    <w:docVar w:name="TextBases" w:val="WorkspaceFTS\EN-FR\ACE|WorkspaceFTS\EN-FR\Administratif|WorkspaceFTS\EN-FR\AMC|WorkspaceFTS\EN-FR\Assemblées|WorkspaceFTS\EN-FR\Budapest|WorkspaceFTS\EN-FR\CDIP|WorkspaceFTS\EN-FR\CWS|WorkspaceFTS\EN-FR\Divers|WorkspaceFTS\EN-FR\GRTKF|WorkspaceFTS\EN-FR\Hague|WorkspaceFTS\EN-FR\IPC|WorkspaceFTS\EN-FR\Lisbonne|WorkspaceFTS\EN-FR\Madrid|WorkspaceFTS\EN-FR\MP|WorkspaceFTS\EN-FR\PCT|WorkspaceFTS\EN-FR\PLT|WorkspaceFTS\EN-FR\SCCR|WorkspaceFTS\EN-FR\SCP|WorkspaceFTS\EN-FR\SCT|WorkspaceFTS\EN-FR\UPOV|WorkspaceFTS\EN-FR\WO_CC|WorkspaceFTS\EN-FR\WO_GA|WorkspaceFTS\EN-FR\WO_PBC|Treaties\Model Laws|Treaties\Other Laws and Agreements|Treaties\WIPO-administered|Glossaries\EN-FR|Trademarks\Meetings|Trademarks\Other|Trademarks\Publications|Patents\Meetings|Patents\Other|Patents\Publications|Administrative\Meetings|Administrative\Other|Administrative\Publications|Budget and Finance\Meetings|Budget and Finance\Other|Budget and Finance\Publications|Copyright\Meetings|Copyright\Other|Copyright\Publications|IP in General\Academy|IP in General\Arbitration and Mediation|IP in General\Meetings|IP in General\Other|IP in General\Press Room|IP in General\Publications|IP in General\SpeechDG2014"/>
    <w:docVar w:name="TextBaseURL" w:val="empty"/>
    <w:docVar w:name="UILng" w:val="en"/>
  </w:docVars>
  <w:rsids>
    <w:rsidRoot w:val="006A177D"/>
    <w:rsid w:val="00000A76"/>
    <w:rsid w:val="00001A1A"/>
    <w:rsid w:val="00003D13"/>
    <w:rsid w:val="00004024"/>
    <w:rsid w:val="000043F0"/>
    <w:rsid w:val="000043F8"/>
    <w:rsid w:val="000045F4"/>
    <w:rsid w:val="00005D74"/>
    <w:rsid w:val="00005EA8"/>
    <w:rsid w:val="0000695C"/>
    <w:rsid w:val="00007B2D"/>
    <w:rsid w:val="00007FC0"/>
    <w:rsid w:val="00010097"/>
    <w:rsid w:val="0001062B"/>
    <w:rsid w:val="0001084C"/>
    <w:rsid w:val="00010F8E"/>
    <w:rsid w:val="00011432"/>
    <w:rsid w:val="00013037"/>
    <w:rsid w:val="0001343B"/>
    <w:rsid w:val="0001373C"/>
    <w:rsid w:val="00013D5E"/>
    <w:rsid w:val="000146E7"/>
    <w:rsid w:val="000155EE"/>
    <w:rsid w:val="00017471"/>
    <w:rsid w:val="00020581"/>
    <w:rsid w:val="0002091D"/>
    <w:rsid w:val="00020ECF"/>
    <w:rsid w:val="00020FDD"/>
    <w:rsid w:val="000218B4"/>
    <w:rsid w:val="000220B0"/>
    <w:rsid w:val="00022DE0"/>
    <w:rsid w:val="000239C0"/>
    <w:rsid w:val="00025041"/>
    <w:rsid w:val="000250BD"/>
    <w:rsid w:val="000258F0"/>
    <w:rsid w:val="00025A7D"/>
    <w:rsid w:val="00025F2F"/>
    <w:rsid w:val="000260FD"/>
    <w:rsid w:val="00026146"/>
    <w:rsid w:val="000274B9"/>
    <w:rsid w:val="00027D3E"/>
    <w:rsid w:val="000314FA"/>
    <w:rsid w:val="00031DCB"/>
    <w:rsid w:val="0003207A"/>
    <w:rsid w:val="0003216A"/>
    <w:rsid w:val="00032A2A"/>
    <w:rsid w:val="00032D5D"/>
    <w:rsid w:val="000338B5"/>
    <w:rsid w:val="0003488E"/>
    <w:rsid w:val="0003569D"/>
    <w:rsid w:val="00036518"/>
    <w:rsid w:val="000365F1"/>
    <w:rsid w:val="000366DE"/>
    <w:rsid w:val="00036D35"/>
    <w:rsid w:val="00036E4E"/>
    <w:rsid w:val="00037728"/>
    <w:rsid w:val="00037C85"/>
    <w:rsid w:val="0004107D"/>
    <w:rsid w:val="00041C1A"/>
    <w:rsid w:val="0004221C"/>
    <w:rsid w:val="0004269B"/>
    <w:rsid w:val="00044654"/>
    <w:rsid w:val="00047A1F"/>
    <w:rsid w:val="00050840"/>
    <w:rsid w:val="00050945"/>
    <w:rsid w:val="0005098A"/>
    <w:rsid w:val="00050A8A"/>
    <w:rsid w:val="00050AAD"/>
    <w:rsid w:val="00050E08"/>
    <w:rsid w:val="00051A50"/>
    <w:rsid w:val="00052A7C"/>
    <w:rsid w:val="00052B11"/>
    <w:rsid w:val="00052D5E"/>
    <w:rsid w:val="0005319E"/>
    <w:rsid w:val="00053214"/>
    <w:rsid w:val="0005341B"/>
    <w:rsid w:val="00054708"/>
    <w:rsid w:val="000547A6"/>
    <w:rsid w:val="000559F1"/>
    <w:rsid w:val="0006010B"/>
    <w:rsid w:val="0006218C"/>
    <w:rsid w:val="00062850"/>
    <w:rsid w:val="00063269"/>
    <w:rsid w:val="000632AE"/>
    <w:rsid w:val="000632AF"/>
    <w:rsid w:val="00064D20"/>
    <w:rsid w:val="0006507D"/>
    <w:rsid w:val="00065B14"/>
    <w:rsid w:val="00066771"/>
    <w:rsid w:val="0006760A"/>
    <w:rsid w:val="000676C3"/>
    <w:rsid w:val="00070BAA"/>
    <w:rsid w:val="00071120"/>
    <w:rsid w:val="00071F96"/>
    <w:rsid w:val="00072183"/>
    <w:rsid w:val="00072A2D"/>
    <w:rsid w:val="00072DBC"/>
    <w:rsid w:val="0007324B"/>
    <w:rsid w:val="00073391"/>
    <w:rsid w:val="00073432"/>
    <w:rsid w:val="000737E1"/>
    <w:rsid w:val="0007381A"/>
    <w:rsid w:val="00073F7E"/>
    <w:rsid w:val="00075314"/>
    <w:rsid w:val="00075B7E"/>
    <w:rsid w:val="00075CA2"/>
    <w:rsid w:val="00075D09"/>
    <w:rsid w:val="00076A55"/>
    <w:rsid w:val="0007734A"/>
    <w:rsid w:val="0007789B"/>
    <w:rsid w:val="00077CED"/>
    <w:rsid w:val="00077FA6"/>
    <w:rsid w:val="00080603"/>
    <w:rsid w:val="000814B8"/>
    <w:rsid w:val="00082399"/>
    <w:rsid w:val="000826D9"/>
    <w:rsid w:val="00083BE4"/>
    <w:rsid w:val="00083D0D"/>
    <w:rsid w:val="00084A21"/>
    <w:rsid w:val="00084BFE"/>
    <w:rsid w:val="00085999"/>
    <w:rsid w:val="00085AB7"/>
    <w:rsid w:val="00085BCD"/>
    <w:rsid w:val="00086534"/>
    <w:rsid w:val="000865B5"/>
    <w:rsid w:val="00086EFD"/>
    <w:rsid w:val="000877E0"/>
    <w:rsid w:val="00087DDF"/>
    <w:rsid w:val="0009081B"/>
    <w:rsid w:val="00090B1D"/>
    <w:rsid w:val="0009232D"/>
    <w:rsid w:val="00093E9C"/>
    <w:rsid w:val="00094963"/>
    <w:rsid w:val="00094CA4"/>
    <w:rsid w:val="00095B11"/>
    <w:rsid w:val="00095F03"/>
    <w:rsid w:val="00097232"/>
    <w:rsid w:val="000A10F1"/>
    <w:rsid w:val="000A1744"/>
    <w:rsid w:val="000A1AA5"/>
    <w:rsid w:val="000A2558"/>
    <w:rsid w:val="000A2794"/>
    <w:rsid w:val="000A2E4A"/>
    <w:rsid w:val="000A3099"/>
    <w:rsid w:val="000A31E6"/>
    <w:rsid w:val="000A3AE8"/>
    <w:rsid w:val="000A3E59"/>
    <w:rsid w:val="000A4A21"/>
    <w:rsid w:val="000A57C8"/>
    <w:rsid w:val="000A6BD4"/>
    <w:rsid w:val="000A6DA4"/>
    <w:rsid w:val="000A6E60"/>
    <w:rsid w:val="000A6F67"/>
    <w:rsid w:val="000B0A01"/>
    <w:rsid w:val="000B2030"/>
    <w:rsid w:val="000B32DF"/>
    <w:rsid w:val="000B43C6"/>
    <w:rsid w:val="000B43D6"/>
    <w:rsid w:val="000B4C21"/>
    <w:rsid w:val="000B5CFC"/>
    <w:rsid w:val="000B6BD7"/>
    <w:rsid w:val="000B7B9F"/>
    <w:rsid w:val="000B7C6D"/>
    <w:rsid w:val="000C0070"/>
    <w:rsid w:val="000C1958"/>
    <w:rsid w:val="000C258A"/>
    <w:rsid w:val="000C526F"/>
    <w:rsid w:val="000C5924"/>
    <w:rsid w:val="000C5E6B"/>
    <w:rsid w:val="000C6422"/>
    <w:rsid w:val="000D02BD"/>
    <w:rsid w:val="000D0333"/>
    <w:rsid w:val="000D09B3"/>
    <w:rsid w:val="000D0EE9"/>
    <w:rsid w:val="000D111D"/>
    <w:rsid w:val="000D13C7"/>
    <w:rsid w:val="000D1716"/>
    <w:rsid w:val="000D19A3"/>
    <w:rsid w:val="000D1C32"/>
    <w:rsid w:val="000D256A"/>
    <w:rsid w:val="000D2FF6"/>
    <w:rsid w:val="000D3C93"/>
    <w:rsid w:val="000D5338"/>
    <w:rsid w:val="000D5BF7"/>
    <w:rsid w:val="000D5E3D"/>
    <w:rsid w:val="000D5FD7"/>
    <w:rsid w:val="000D6AA6"/>
    <w:rsid w:val="000D6DD9"/>
    <w:rsid w:val="000E03B2"/>
    <w:rsid w:val="000E03DF"/>
    <w:rsid w:val="000E0C0C"/>
    <w:rsid w:val="000E12E5"/>
    <w:rsid w:val="000E1351"/>
    <w:rsid w:val="000E1A4F"/>
    <w:rsid w:val="000E29ED"/>
    <w:rsid w:val="000E3C8A"/>
    <w:rsid w:val="000E3F50"/>
    <w:rsid w:val="000E4D55"/>
    <w:rsid w:val="000E5177"/>
    <w:rsid w:val="000E5DBA"/>
    <w:rsid w:val="000E6445"/>
    <w:rsid w:val="000E654E"/>
    <w:rsid w:val="000E684E"/>
    <w:rsid w:val="000E697D"/>
    <w:rsid w:val="000E6FF1"/>
    <w:rsid w:val="000F0185"/>
    <w:rsid w:val="000F1A52"/>
    <w:rsid w:val="000F1B81"/>
    <w:rsid w:val="000F2480"/>
    <w:rsid w:val="000F2513"/>
    <w:rsid w:val="000F4110"/>
    <w:rsid w:val="000F45B2"/>
    <w:rsid w:val="000F4B92"/>
    <w:rsid w:val="000F5E56"/>
    <w:rsid w:val="000F5F82"/>
    <w:rsid w:val="000F5FF8"/>
    <w:rsid w:val="000F60BC"/>
    <w:rsid w:val="000F713E"/>
    <w:rsid w:val="000F7CA0"/>
    <w:rsid w:val="000F7FD4"/>
    <w:rsid w:val="000F7FDD"/>
    <w:rsid w:val="00100880"/>
    <w:rsid w:val="00101834"/>
    <w:rsid w:val="00101C85"/>
    <w:rsid w:val="00103363"/>
    <w:rsid w:val="00103495"/>
    <w:rsid w:val="00103717"/>
    <w:rsid w:val="001038DA"/>
    <w:rsid w:val="00104BEA"/>
    <w:rsid w:val="00105D5E"/>
    <w:rsid w:val="001060B8"/>
    <w:rsid w:val="00106BD5"/>
    <w:rsid w:val="00107542"/>
    <w:rsid w:val="001100E3"/>
    <w:rsid w:val="001105B2"/>
    <w:rsid w:val="00111286"/>
    <w:rsid w:val="00111DB7"/>
    <w:rsid w:val="00111E1B"/>
    <w:rsid w:val="0011287A"/>
    <w:rsid w:val="00113DE3"/>
    <w:rsid w:val="00114BFD"/>
    <w:rsid w:val="00115F7D"/>
    <w:rsid w:val="00116131"/>
    <w:rsid w:val="00116156"/>
    <w:rsid w:val="001174CB"/>
    <w:rsid w:val="0012098E"/>
    <w:rsid w:val="001209C8"/>
    <w:rsid w:val="0012137A"/>
    <w:rsid w:val="001232A7"/>
    <w:rsid w:val="001232D0"/>
    <w:rsid w:val="0012347A"/>
    <w:rsid w:val="001240E7"/>
    <w:rsid w:val="00124A5F"/>
    <w:rsid w:val="00124CF0"/>
    <w:rsid w:val="00124F11"/>
    <w:rsid w:val="001252DD"/>
    <w:rsid w:val="00126343"/>
    <w:rsid w:val="00126745"/>
    <w:rsid w:val="001300D9"/>
    <w:rsid w:val="0013026B"/>
    <w:rsid w:val="00130644"/>
    <w:rsid w:val="00130F03"/>
    <w:rsid w:val="00131A92"/>
    <w:rsid w:val="00131C54"/>
    <w:rsid w:val="00131E55"/>
    <w:rsid w:val="001349CB"/>
    <w:rsid w:val="00134D20"/>
    <w:rsid w:val="001368F0"/>
    <w:rsid w:val="00140C9A"/>
    <w:rsid w:val="00140D15"/>
    <w:rsid w:val="001411D8"/>
    <w:rsid w:val="00141C9C"/>
    <w:rsid w:val="00142071"/>
    <w:rsid w:val="00142569"/>
    <w:rsid w:val="001427C7"/>
    <w:rsid w:val="00142982"/>
    <w:rsid w:val="00145008"/>
    <w:rsid w:val="00145305"/>
    <w:rsid w:val="001453BE"/>
    <w:rsid w:val="00145CDC"/>
    <w:rsid w:val="00145DE7"/>
    <w:rsid w:val="00146F33"/>
    <w:rsid w:val="00147395"/>
    <w:rsid w:val="001474DF"/>
    <w:rsid w:val="00151A2A"/>
    <w:rsid w:val="00151B40"/>
    <w:rsid w:val="00153D26"/>
    <w:rsid w:val="001542C6"/>
    <w:rsid w:val="00154EC2"/>
    <w:rsid w:val="001552A2"/>
    <w:rsid w:val="001559D6"/>
    <w:rsid w:val="00155ADB"/>
    <w:rsid w:val="00156F35"/>
    <w:rsid w:val="00161695"/>
    <w:rsid w:val="00161DCF"/>
    <w:rsid w:val="0016289A"/>
    <w:rsid w:val="00162F8B"/>
    <w:rsid w:val="001643B7"/>
    <w:rsid w:val="00165539"/>
    <w:rsid w:val="001657BE"/>
    <w:rsid w:val="001658AF"/>
    <w:rsid w:val="00165B31"/>
    <w:rsid w:val="00166035"/>
    <w:rsid w:val="0016613D"/>
    <w:rsid w:val="00170C37"/>
    <w:rsid w:val="00170E41"/>
    <w:rsid w:val="00170F98"/>
    <w:rsid w:val="00172EB5"/>
    <w:rsid w:val="00173781"/>
    <w:rsid w:val="00174180"/>
    <w:rsid w:val="001748E8"/>
    <w:rsid w:val="00175B18"/>
    <w:rsid w:val="00175F13"/>
    <w:rsid w:val="00176A6B"/>
    <w:rsid w:val="00176D98"/>
    <w:rsid w:val="00177478"/>
    <w:rsid w:val="00177484"/>
    <w:rsid w:val="00177B2C"/>
    <w:rsid w:val="00180273"/>
    <w:rsid w:val="00180A8F"/>
    <w:rsid w:val="001824F2"/>
    <w:rsid w:val="00182D5B"/>
    <w:rsid w:val="001830AA"/>
    <w:rsid w:val="00183A7A"/>
    <w:rsid w:val="001857E6"/>
    <w:rsid w:val="00185CAF"/>
    <w:rsid w:val="00185D1D"/>
    <w:rsid w:val="00190E55"/>
    <w:rsid w:val="0019128D"/>
    <w:rsid w:val="00191298"/>
    <w:rsid w:val="00191583"/>
    <w:rsid w:val="00191830"/>
    <w:rsid w:val="00191F23"/>
    <w:rsid w:val="00191F67"/>
    <w:rsid w:val="001920E5"/>
    <w:rsid w:val="0019255D"/>
    <w:rsid w:val="00192D95"/>
    <w:rsid w:val="00193197"/>
    <w:rsid w:val="001932B8"/>
    <w:rsid w:val="00196B3C"/>
    <w:rsid w:val="00196FA9"/>
    <w:rsid w:val="0019715C"/>
    <w:rsid w:val="001A00FE"/>
    <w:rsid w:val="001A163D"/>
    <w:rsid w:val="001A520C"/>
    <w:rsid w:val="001A553C"/>
    <w:rsid w:val="001A586C"/>
    <w:rsid w:val="001A6177"/>
    <w:rsid w:val="001A698A"/>
    <w:rsid w:val="001A6BD0"/>
    <w:rsid w:val="001A72B3"/>
    <w:rsid w:val="001B004D"/>
    <w:rsid w:val="001B0D44"/>
    <w:rsid w:val="001B10FD"/>
    <w:rsid w:val="001B4D9D"/>
    <w:rsid w:val="001B6500"/>
    <w:rsid w:val="001B750C"/>
    <w:rsid w:val="001C00EE"/>
    <w:rsid w:val="001C017F"/>
    <w:rsid w:val="001C0D2E"/>
    <w:rsid w:val="001C0D92"/>
    <w:rsid w:val="001C0F2E"/>
    <w:rsid w:val="001C15F8"/>
    <w:rsid w:val="001C25BE"/>
    <w:rsid w:val="001C260A"/>
    <w:rsid w:val="001C26A8"/>
    <w:rsid w:val="001C31A2"/>
    <w:rsid w:val="001C31F0"/>
    <w:rsid w:val="001C39EB"/>
    <w:rsid w:val="001C3CA9"/>
    <w:rsid w:val="001C4483"/>
    <w:rsid w:val="001C5CCA"/>
    <w:rsid w:val="001C61AF"/>
    <w:rsid w:val="001C61E6"/>
    <w:rsid w:val="001C7D13"/>
    <w:rsid w:val="001C7D5C"/>
    <w:rsid w:val="001D0BBE"/>
    <w:rsid w:val="001D114E"/>
    <w:rsid w:val="001D13F3"/>
    <w:rsid w:val="001D376A"/>
    <w:rsid w:val="001D3B67"/>
    <w:rsid w:val="001D5421"/>
    <w:rsid w:val="001D5BF3"/>
    <w:rsid w:val="001D7071"/>
    <w:rsid w:val="001D718E"/>
    <w:rsid w:val="001E0462"/>
    <w:rsid w:val="001E0464"/>
    <w:rsid w:val="001E09FC"/>
    <w:rsid w:val="001E0A12"/>
    <w:rsid w:val="001E11B4"/>
    <w:rsid w:val="001E11B7"/>
    <w:rsid w:val="001E1508"/>
    <w:rsid w:val="001E16E2"/>
    <w:rsid w:val="001E1925"/>
    <w:rsid w:val="001E2C14"/>
    <w:rsid w:val="001E3A21"/>
    <w:rsid w:val="001E4D7D"/>
    <w:rsid w:val="001E50C5"/>
    <w:rsid w:val="001E5166"/>
    <w:rsid w:val="001E573E"/>
    <w:rsid w:val="001E6026"/>
    <w:rsid w:val="001E6B72"/>
    <w:rsid w:val="001E739E"/>
    <w:rsid w:val="001E749E"/>
    <w:rsid w:val="001F04FB"/>
    <w:rsid w:val="001F1A47"/>
    <w:rsid w:val="001F2090"/>
    <w:rsid w:val="001F24E6"/>
    <w:rsid w:val="001F34CE"/>
    <w:rsid w:val="001F37D6"/>
    <w:rsid w:val="001F5E4E"/>
    <w:rsid w:val="001F6DD9"/>
    <w:rsid w:val="001F6E11"/>
    <w:rsid w:val="00200597"/>
    <w:rsid w:val="00200EC4"/>
    <w:rsid w:val="00201B14"/>
    <w:rsid w:val="00202C6F"/>
    <w:rsid w:val="00203353"/>
    <w:rsid w:val="002039CA"/>
    <w:rsid w:val="002040B6"/>
    <w:rsid w:val="00204F66"/>
    <w:rsid w:val="00205606"/>
    <w:rsid w:val="00206A4F"/>
    <w:rsid w:val="00206B0C"/>
    <w:rsid w:val="00206B97"/>
    <w:rsid w:val="00210724"/>
    <w:rsid w:val="00211225"/>
    <w:rsid w:val="00212A84"/>
    <w:rsid w:val="002133B3"/>
    <w:rsid w:val="0021464F"/>
    <w:rsid w:val="0021566E"/>
    <w:rsid w:val="00215806"/>
    <w:rsid w:val="0021779D"/>
    <w:rsid w:val="00217D26"/>
    <w:rsid w:val="0022037F"/>
    <w:rsid w:val="002205DC"/>
    <w:rsid w:val="00220DEC"/>
    <w:rsid w:val="002214F6"/>
    <w:rsid w:val="00222C22"/>
    <w:rsid w:val="0022362D"/>
    <w:rsid w:val="00223A71"/>
    <w:rsid w:val="00224618"/>
    <w:rsid w:val="00224765"/>
    <w:rsid w:val="00224E4A"/>
    <w:rsid w:val="0022507F"/>
    <w:rsid w:val="0022528E"/>
    <w:rsid w:val="002254CF"/>
    <w:rsid w:val="00227FDA"/>
    <w:rsid w:val="00230240"/>
    <w:rsid w:val="002313B8"/>
    <w:rsid w:val="002314DB"/>
    <w:rsid w:val="00231697"/>
    <w:rsid w:val="0023181B"/>
    <w:rsid w:val="002323BF"/>
    <w:rsid w:val="00232FF0"/>
    <w:rsid w:val="00233AAC"/>
    <w:rsid w:val="0023507C"/>
    <w:rsid w:val="002358DC"/>
    <w:rsid w:val="002367B1"/>
    <w:rsid w:val="0023745E"/>
    <w:rsid w:val="00237E14"/>
    <w:rsid w:val="0024073B"/>
    <w:rsid w:val="00240B92"/>
    <w:rsid w:val="00242053"/>
    <w:rsid w:val="00242115"/>
    <w:rsid w:val="00243D95"/>
    <w:rsid w:val="00245EA7"/>
    <w:rsid w:val="00247418"/>
    <w:rsid w:val="00247707"/>
    <w:rsid w:val="002478D2"/>
    <w:rsid w:val="00247AC9"/>
    <w:rsid w:val="00247B4A"/>
    <w:rsid w:val="002512E5"/>
    <w:rsid w:val="00252290"/>
    <w:rsid w:val="0025291B"/>
    <w:rsid w:val="00252B1C"/>
    <w:rsid w:val="00253FB8"/>
    <w:rsid w:val="00260EC8"/>
    <w:rsid w:val="00261ABA"/>
    <w:rsid w:val="00263CAC"/>
    <w:rsid w:val="00263DF9"/>
    <w:rsid w:val="00264E66"/>
    <w:rsid w:val="002656C6"/>
    <w:rsid w:val="00265B2A"/>
    <w:rsid w:val="0026641D"/>
    <w:rsid w:val="00266B20"/>
    <w:rsid w:val="002674AC"/>
    <w:rsid w:val="00267EB5"/>
    <w:rsid w:val="00271EB5"/>
    <w:rsid w:val="002739EB"/>
    <w:rsid w:val="002747B4"/>
    <w:rsid w:val="00274B5F"/>
    <w:rsid w:val="00275872"/>
    <w:rsid w:val="00276F6E"/>
    <w:rsid w:val="00277021"/>
    <w:rsid w:val="00277244"/>
    <w:rsid w:val="00277AC9"/>
    <w:rsid w:val="0028134B"/>
    <w:rsid w:val="002841E4"/>
    <w:rsid w:val="0028422C"/>
    <w:rsid w:val="002842C3"/>
    <w:rsid w:val="00285536"/>
    <w:rsid w:val="00285C29"/>
    <w:rsid w:val="0028621E"/>
    <w:rsid w:val="00286E30"/>
    <w:rsid w:val="002873ED"/>
    <w:rsid w:val="00287707"/>
    <w:rsid w:val="00287A93"/>
    <w:rsid w:val="0029023E"/>
    <w:rsid w:val="002913E7"/>
    <w:rsid w:val="00293C7B"/>
    <w:rsid w:val="00294E8A"/>
    <w:rsid w:val="00295219"/>
    <w:rsid w:val="00295564"/>
    <w:rsid w:val="00295763"/>
    <w:rsid w:val="002965A7"/>
    <w:rsid w:val="00297814"/>
    <w:rsid w:val="002A0049"/>
    <w:rsid w:val="002A0544"/>
    <w:rsid w:val="002A1814"/>
    <w:rsid w:val="002A2236"/>
    <w:rsid w:val="002A2646"/>
    <w:rsid w:val="002A2FFA"/>
    <w:rsid w:val="002A3DEE"/>
    <w:rsid w:val="002A47BC"/>
    <w:rsid w:val="002A4DAD"/>
    <w:rsid w:val="002A4E86"/>
    <w:rsid w:val="002A5811"/>
    <w:rsid w:val="002A586D"/>
    <w:rsid w:val="002A5E19"/>
    <w:rsid w:val="002A71C2"/>
    <w:rsid w:val="002A7C23"/>
    <w:rsid w:val="002B0A34"/>
    <w:rsid w:val="002B0FF8"/>
    <w:rsid w:val="002B1C85"/>
    <w:rsid w:val="002B2186"/>
    <w:rsid w:val="002B24A8"/>
    <w:rsid w:val="002B26E1"/>
    <w:rsid w:val="002B373B"/>
    <w:rsid w:val="002B3AEC"/>
    <w:rsid w:val="002B4322"/>
    <w:rsid w:val="002B4653"/>
    <w:rsid w:val="002B4B39"/>
    <w:rsid w:val="002B4CA7"/>
    <w:rsid w:val="002B5042"/>
    <w:rsid w:val="002B51A2"/>
    <w:rsid w:val="002B57C6"/>
    <w:rsid w:val="002B601A"/>
    <w:rsid w:val="002B6400"/>
    <w:rsid w:val="002C0142"/>
    <w:rsid w:val="002C0D41"/>
    <w:rsid w:val="002C0ED0"/>
    <w:rsid w:val="002C1CF4"/>
    <w:rsid w:val="002C1ED1"/>
    <w:rsid w:val="002C2674"/>
    <w:rsid w:val="002C27B3"/>
    <w:rsid w:val="002C2CFD"/>
    <w:rsid w:val="002C2E11"/>
    <w:rsid w:val="002C3249"/>
    <w:rsid w:val="002C43BF"/>
    <w:rsid w:val="002C58DE"/>
    <w:rsid w:val="002C68EF"/>
    <w:rsid w:val="002C6EDE"/>
    <w:rsid w:val="002C735C"/>
    <w:rsid w:val="002C7A75"/>
    <w:rsid w:val="002D03EC"/>
    <w:rsid w:val="002D05E7"/>
    <w:rsid w:val="002D1A52"/>
    <w:rsid w:val="002D2C1C"/>
    <w:rsid w:val="002D3A6A"/>
    <w:rsid w:val="002D4BE4"/>
    <w:rsid w:val="002D69DF"/>
    <w:rsid w:val="002D71E5"/>
    <w:rsid w:val="002D7819"/>
    <w:rsid w:val="002E0440"/>
    <w:rsid w:val="002E0570"/>
    <w:rsid w:val="002E0E55"/>
    <w:rsid w:val="002E1CB9"/>
    <w:rsid w:val="002E1FA7"/>
    <w:rsid w:val="002E3C69"/>
    <w:rsid w:val="002E4236"/>
    <w:rsid w:val="002E53D2"/>
    <w:rsid w:val="002E73ED"/>
    <w:rsid w:val="002E7A48"/>
    <w:rsid w:val="002E7E13"/>
    <w:rsid w:val="002F02A1"/>
    <w:rsid w:val="002F1922"/>
    <w:rsid w:val="002F1B6E"/>
    <w:rsid w:val="002F24FA"/>
    <w:rsid w:val="002F31C6"/>
    <w:rsid w:val="002F34FC"/>
    <w:rsid w:val="002F35E0"/>
    <w:rsid w:val="002F3C11"/>
    <w:rsid w:val="002F4104"/>
    <w:rsid w:val="002F558E"/>
    <w:rsid w:val="002F5969"/>
    <w:rsid w:val="002F5E7B"/>
    <w:rsid w:val="002F6156"/>
    <w:rsid w:val="002F6ADF"/>
    <w:rsid w:val="002F6EF5"/>
    <w:rsid w:val="002F6FCA"/>
    <w:rsid w:val="00301701"/>
    <w:rsid w:val="003024BE"/>
    <w:rsid w:val="00302789"/>
    <w:rsid w:val="003029E9"/>
    <w:rsid w:val="00302D15"/>
    <w:rsid w:val="00302FA7"/>
    <w:rsid w:val="00303688"/>
    <w:rsid w:val="00303924"/>
    <w:rsid w:val="00304EAB"/>
    <w:rsid w:val="00305B47"/>
    <w:rsid w:val="0030641D"/>
    <w:rsid w:val="003068C2"/>
    <w:rsid w:val="00306E73"/>
    <w:rsid w:val="003103F9"/>
    <w:rsid w:val="00311B7E"/>
    <w:rsid w:val="00314F12"/>
    <w:rsid w:val="003151BA"/>
    <w:rsid w:val="003156B7"/>
    <w:rsid w:val="0031586E"/>
    <w:rsid w:val="00315D19"/>
    <w:rsid w:val="00315FE2"/>
    <w:rsid w:val="00316CED"/>
    <w:rsid w:val="00320812"/>
    <w:rsid w:val="00320F8B"/>
    <w:rsid w:val="00321C23"/>
    <w:rsid w:val="00321E64"/>
    <w:rsid w:val="0032211D"/>
    <w:rsid w:val="00322EA6"/>
    <w:rsid w:val="00323040"/>
    <w:rsid w:val="00323967"/>
    <w:rsid w:val="003251C6"/>
    <w:rsid w:val="00325CD9"/>
    <w:rsid w:val="003266E0"/>
    <w:rsid w:val="00326D22"/>
    <w:rsid w:val="003305B2"/>
    <w:rsid w:val="0033094F"/>
    <w:rsid w:val="00331DE1"/>
    <w:rsid w:val="00332250"/>
    <w:rsid w:val="003341D1"/>
    <w:rsid w:val="003343C4"/>
    <w:rsid w:val="003345DF"/>
    <w:rsid w:val="003348DB"/>
    <w:rsid w:val="00334AF6"/>
    <w:rsid w:val="00334C9D"/>
    <w:rsid w:val="00334F38"/>
    <w:rsid w:val="0033506B"/>
    <w:rsid w:val="003350C3"/>
    <w:rsid w:val="003355E1"/>
    <w:rsid w:val="00335858"/>
    <w:rsid w:val="003358FE"/>
    <w:rsid w:val="0033592F"/>
    <w:rsid w:val="003409E7"/>
    <w:rsid w:val="00340CDB"/>
    <w:rsid w:val="00341407"/>
    <w:rsid w:val="0034144F"/>
    <w:rsid w:val="00344234"/>
    <w:rsid w:val="00344580"/>
    <w:rsid w:val="0034628E"/>
    <w:rsid w:val="003463A9"/>
    <w:rsid w:val="003475ED"/>
    <w:rsid w:val="00347CF0"/>
    <w:rsid w:val="003504BB"/>
    <w:rsid w:val="003507F6"/>
    <w:rsid w:val="0035092C"/>
    <w:rsid w:val="00350C57"/>
    <w:rsid w:val="00350C73"/>
    <w:rsid w:val="003511F4"/>
    <w:rsid w:val="003514B0"/>
    <w:rsid w:val="003518EB"/>
    <w:rsid w:val="003526F6"/>
    <w:rsid w:val="00352E1A"/>
    <w:rsid w:val="003533C4"/>
    <w:rsid w:val="00353EC5"/>
    <w:rsid w:val="00355081"/>
    <w:rsid w:val="003550DE"/>
    <w:rsid w:val="00355624"/>
    <w:rsid w:val="003600FA"/>
    <w:rsid w:val="0036121C"/>
    <w:rsid w:val="00361B03"/>
    <w:rsid w:val="00362454"/>
    <w:rsid w:val="003625A8"/>
    <w:rsid w:val="00362882"/>
    <w:rsid w:val="003628E3"/>
    <w:rsid w:val="00362A8C"/>
    <w:rsid w:val="00362EFE"/>
    <w:rsid w:val="00362F9E"/>
    <w:rsid w:val="003632CA"/>
    <w:rsid w:val="00363DF8"/>
    <w:rsid w:val="00365611"/>
    <w:rsid w:val="0036669E"/>
    <w:rsid w:val="003700C2"/>
    <w:rsid w:val="00370AFD"/>
    <w:rsid w:val="003712F8"/>
    <w:rsid w:val="00371A9A"/>
    <w:rsid w:val="00371D4B"/>
    <w:rsid w:val="0037426F"/>
    <w:rsid w:val="00375568"/>
    <w:rsid w:val="00375898"/>
    <w:rsid w:val="003769D3"/>
    <w:rsid w:val="0037745D"/>
    <w:rsid w:val="003777B4"/>
    <w:rsid w:val="00380966"/>
    <w:rsid w:val="00380E05"/>
    <w:rsid w:val="00381573"/>
    <w:rsid w:val="003826C8"/>
    <w:rsid w:val="00382817"/>
    <w:rsid w:val="0038294E"/>
    <w:rsid w:val="0038345F"/>
    <w:rsid w:val="00384131"/>
    <w:rsid w:val="0038431E"/>
    <w:rsid w:val="0038458F"/>
    <w:rsid w:val="00386128"/>
    <w:rsid w:val="00387646"/>
    <w:rsid w:val="0039187D"/>
    <w:rsid w:val="003921F6"/>
    <w:rsid w:val="00393032"/>
    <w:rsid w:val="003931D8"/>
    <w:rsid w:val="00395198"/>
    <w:rsid w:val="003956FB"/>
    <w:rsid w:val="0039611C"/>
    <w:rsid w:val="00396173"/>
    <w:rsid w:val="0039643E"/>
    <w:rsid w:val="00396884"/>
    <w:rsid w:val="00396B33"/>
    <w:rsid w:val="00397E56"/>
    <w:rsid w:val="003A005E"/>
    <w:rsid w:val="003A0187"/>
    <w:rsid w:val="003A059D"/>
    <w:rsid w:val="003A1AC5"/>
    <w:rsid w:val="003A20B3"/>
    <w:rsid w:val="003A3ADC"/>
    <w:rsid w:val="003A4CCC"/>
    <w:rsid w:val="003A53A2"/>
    <w:rsid w:val="003A55AC"/>
    <w:rsid w:val="003A5B95"/>
    <w:rsid w:val="003A6F80"/>
    <w:rsid w:val="003A7C8C"/>
    <w:rsid w:val="003B051A"/>
    <w:rsid w:val="003B0792"/>
    <w:rsid w:val="003B1A0C"/>
    <w:rsid w:val="003B284D"/>
    <w:rsid w:val="003B32CC"/>
    <w:rsid w:val="003B34D7"/>
    <w:rsid w:val="003B36F4"/>
    <w:rsid w:val="003B62A8"/>
    <w:rsid w:val="003B709F"/>
    <w:rsid w:val="003B79CD"/>
    <w:rsid w:val="003B7A3C"/>
    <w:rsid w:val="003B7CFF"/>
    <w:rsid w:val="003C05B4"/>
    <w:rsid w:val="003C1E55"/>
    <w:rsid w:val="003C26E9"/>
    <w:rsid w:val="003C2DDC"/>
    <w:rsid w:val="003C37AC"/>
    <w:rsid w:val="003C38F0"/>
    <w:rsid w:val="003C568A"/>
    <w:rsid w:val="003C7619"/>
    <w:rsid w:val="003C773E"/>
    <w:rsid w:val="003D09B6"/>
    <w:rsid w:val="003D0BFE"/>
    <w:rsid w:val="003D13D2"/>
    <w:rsid w:val="003D1EC8"/>
    <w:rsid w:val="003D313D"/>
    <w:rsid w:val="003D3170"/>
    <w:rsid w:val="003D4486"/>
    <w:rsid w:val="003D4D4A"/>
    <w:rsid w:val="003D59FC"/>
    <w:rsid w:val="003D5E1B"/>
    <w:rsid w:val="003D63AC"/>
    <w:rsid w:val="003D72F8"/>
    <w:rsid w:val="003D7DD0"/>
    <w:rsid w:val="003D7F8B"/>
    <w:rsid w:val="003E0B81"/>
    <w:rsid w:val="003E2892"/>
    <w:rsid w:val="003E2FD0"/>
    <w:rsid w:val="003E59EB"/>
    <w:rsid w:val="003E5AF5"/>
    <w:rsid w:val="003E6598"/>
    <w:rsid w:val="003E6F1F"/>
    <w:rsid w:val="003E6F72"/>
    <w:rsid w:val="003E7155"/>
    <w:rsid w:val="003E7546"/>
    <w:rsid w:val="003F117D"/>
    <w:rsid w:val="003F1963"/>
    <w:rsid w:val="003F1C4F"/>
    <w:rsid w:val="003F2AC6"/>
    <w:rsid w:val="003F38AA"/>
    <w:rsid w:val="003F3AAB"/>
    <w:rsid w:val="003F3B5C"/>
    <w:rsid w:val="003F584A"/>
    <w:rsid w:val="003F5972"/>
    <w:rsid w:val="003F6FA3"/>
    <w:rsid w:val="003F7831"/>
    <w:rsid w:val="003F79A1"/>
    <w:rsid w:val="00401459"/>
    <w:rsid w:val="00401D66"/>
    <w:rsid w:val="004022DF"/>
    <w:rsid w:val="00402456"/>
    <w:rsid w:val="00402A47"/>
    <w:rsid w:val="00403D0F"/>
    <w:rsid w:val="004042CC"/>
    <w:rsid w:val="004042DF"/>
    <w:rsid w:val="00404C37"/>
    <w:rsid w:val="00405D4D"/>
    <w:rsid w:val="0040619A"/>
    <w:rsid w:val="004065CC"/>
    <w:rsid w:val="00406D41"/>
    <w:rsid w:val="00407F24"/>
    <w:rsid w:val="004115D5"/>
    <w:rsid w:val="00411DB7"/>
    <w:rsid w:val="00411E38"/>
    <w:rsid w:val="00412D52"/>
    <w:rsid w:val="00414988"/>
    <w:rsid w:val="00415893"/>
    <w:rsid w:val="00415B14"/>
    <w:rsid w:val="004164ED"/>
    <w:rsid w:val="00416D2C"/>
    <w:rsid w:val="00420AC0"/>
    <w:rsid w:val="00420ED3"/>
    <w:rsid w:val="00421856"/>
    <w:rsid w:val="0042211E"/>
    <w:rsid w:val="004223DC"/>
    <w:rsid w:val="00422CC3"/>
    <w:rsid w:val="00423411"/>
    <w:rsid w:val="00424900"/>
    <w:rsid w:val="00425C82"/>
    <w:rsid w:val="00430784"/>
    <w:rsid w:val="0043137D"/>
    <w:rsid w:val="004330CC"/>
    <w:rsid w:val="004331C7"/>
    <w:rsid w:val="00433C41"/>
    <w:rsid w:val="00434942"/>
    <w:rsid w:val="004349CF"/>
    <w:rsid w:val="004354B8"/>
    <w:rsid w:val="004355E9"/>
    <w:rsid w:val="00435D23"/>
    <w:rsid w:val="004408A0"/>
    <w:rsid w:val="00442CEC"/>
    <w:rsid w:val="00442DDA"/>
    <w:rsid w:val="0044400E"/>
    <w:rsid w:val="0044449D"/>
    <w:rsid w:val="00450A91"/>
    <w:rsid w:val="00450AB3"/>
    <w:rsid w:val="00451DF0"/>
    <w:rsid w:val="0045209B"/>
    <w:rsid w:val="00453D67"/>
    <w:rsid w:val="00454000"/>
    <w:rsid w:val="00454DDB"/>
    <w:rsid w:val="00456DFF"/>
    <w:rsid w:val="004579C9"/>
    <w:rsid w:val="00460681"/>
    <w:rsid w:val="00460CD3"/>
    <w:rsid w:val="00461607"/>
    <w:rsid w:val="0046203A"/>
    <w:rsid w:val="00462AF8"/>
    <w:rsid w:val="00463532"/>
    <w:rsid w:val="00464052"/>
    <w:rsid w:val="00465F68"/>
    <w:rsid w:val="0046629D"/>
    <w:rsid w:val="00466DC3"/>
    <w:rsid w:val="00467751"/>
    <w:rsid w:val="004679ED"/>
    <w:rsid w:val="00467DE6"/>
    <w:rsid w:val="00467FC9"/>
    <w:rsid w:val="00467FD3"/>
    <w:rsid w:val="00470E88"/>
    <w:rsid w:val="0047179B"/>
    <w:rsid w:val="0047185D"/>
    <w:rsid w:val="00471BA8"/>
    <w:rsid w:val="00473830"/>
    <w:rsid w:val="004744F0"/>
    <w:rsid w:val="00477D27"/>
    <w:rsid w:val="0048032D"/>
    <w:rsid w:val="004808A4"/>
    <w:rsid w:val="004818CF"/>
    <w:rsid w:val="0048192F"/>
    <w:rsid w:val="00481FE0"/>
    <w:rsid w:val="004834D9"/>
    <w:rsid w:val="00483848"/>
    <w:rsid w:val="0048450C"/>
    <w:rsid w:val="004845D2"/>
    <w:rsid w:val="004848EA"/>
    <w:rsid w:val="004849DD"/>
    <w:rsid w:val="0048564C"/>
    <w:rsid w:val="0048611A"/>
    <w:rsid w:val="0048612E"/>
    <w:rsid w:val="00486722"/>
    <w:rsid w:val="00486B72"/>
    <w:rsid w:val="00486D5E"/>
    <w:rsid w:val="00486E2D"/>
    <w:rsid w:val="00487E79"/>
    <w:rsid w:val="00491A60"/>
    <w:rsid w:val="004926D3"/>
    <w:rsid w:val="00492B25"/>
    <w:rsid w:val="00494EA1"/>
    <w:rsid w:val="004950A7"/>
    <w:rsid w:val="0049534D"/>
    <w:rsid w:val="00495B9A"/>
    <w:rsid w:val="0049713A"/>
    <w:rsid w:val="00497461"/>
    <w:rsid w:val="004A0847"/>
    <w:rsid w:val="004A0C63"/>
    <w:rsid w:val="004A1133"/>
    <w:rsid w:val="004A1510"/>
    <w:rsid w:val="004A1803"/>
    <w:rsid w:val="004A2BB5"/>
    <w:rsid w:val="004A2D34"/>
    <w:rsid w:val="004A32FC"/>
    <w:rsid w:val="004A3B81"/>
    <w:rsid w:val="004A4B6B"/>
    <w:rsid w:val="004A4C5C"/>
    <w:rsid w:val="004A5A8C"/>
    <w:rsid w:val="004A5CDC"/>
    <w:rsid w:val="004A68DD"/>
    <w:rsid w:val="004A75A2"/>
    <w:rsid w:val="004A7AE4"/>
    <w:rsid w:val="004B150C"/>
    <w:rsid w:val="004B1A70"/>
    <w:rsid w:val="004B1B56"/>
    <w:rsid w:val="004B2DEF"/>
    <w:rsid w:val="004B31C9"/>
    <w:rsid w:val="004B35B9"/>
    <w:rsid w:val="004B3794"/>
    <w:rsid w:val="004B3FA5"/>
    <w:rsid w:val="004B4146"/>
    <w:rsid w:val="004B476F"/>
    <w:rsid w:val="004B5723"/>
    <w:rsid w:val="004B5B87"/>
    <w:rsid w:val="004B629E"/>
    <w:rsid w:val="004B7536"/>
    <w:rsid w:val="004B7EED"/>
    <w:rsid w:val="004C0551"/>
    <w:rsid w:val="004C2DE6"/>
    <w:rsid w:val="004C301E"/>
    <w:rsid w:val="004C3DCF"/>
    <w:rsid w:val="004C4C3B"/>
    <w:rsid w:val="004C6800"/>
    <w:rsid w:val="004C6A89"/>
    <w:rsid w:val="004C72AB"/>
    <w:rsid w:val="004C77AB"/>
    <w:rsid w:val="004C79CA"/>
    <w:rsid w:val="004D0F56"/>
    <w:rsid w:val="004D13A2"/>
    <w:rsid w:val="004D336B"/>
    <w:rsid w:val="004D348E"/>
    <w:rsid w:val="004D43BE"/>
    <w:rsid w:val="004D43EC"/>
    <w:rsid w:val="004D44BF"/>
    <w:rsid w:val="004D49FC"/>
    <w:rsid w:val="004D52AA"/>
    <w:rsid w:val="004D5D09"/>
    <w:rsid w:val="004D60C7"/>
    <w:rsid w:val="004D6570"/>
    <w:rsid w:val="004D73D4"/>
    <w:rsid w:val="004D7E9B"/>
    <w:rsid w:val="004E08F6"/>
    <w:rsid w:val="004E0B80"/>
    <w:rsid w:val="004E162F"/>
    <w:rsid w:val="004E179F"/>
    <w:rsid w:val="004E191E"/>
    <w:rsid w:val="004E1AE6"/>
    <w:rsid w:val="004E1B48"/>
    <w:rsid w:val="004E2CB2"/>
    <w:rsid w:val="004E2E48"/>
    <w:rsid w:val="004E42EA"/>
    <w:rsid w:val="004E5C65"/>
    <w:rsid w:val="004E6E2D"/>
    <w:rsid w:val="004E7654"/>
    <w:rsid w:val="004F098B"/>
    <w:rsid w:val="004F0D4D"/>
    <w:rsid w:val="004F1ABA"/>
    <w:rsid w:val="004F2936"/>
    <w:rsid w:val="004F29DB"/>
    <w:rsid w:val="004F2FC0"/>
    <w:rsid w:val="004F327D"/>
    <w:rsid w:val="004F4ADB"/>
    <w:rsid w:val="004F4D03"/>
    <w:rsid w:val="004F4DD0"/>
    <w:rsid w:val="004F5380"/>
    <w:rsid w:val="004F5DFD"/>
    <w:rsid w:val="004F5F18"/>
    <w:rsid w:val="004F6685"/>
    <w:rsid w:val="004F67CD"/>
    <w:rsid w:val="004F71CC"/>
    <w:rsid w:val="004F7497"/>
    <w:rsid w:val="004F750A"/>
    <w:rsid w:val="005002CD"/>
    <w:rsid w:val="005005F8"/>
    <w:rsid w:val="0050184D"/>
    <w:rsid w:val="005027EC"/>
    <w:rsid w:val="00502C28"/>
    <w:rsid w:val="00503685"/>
    <w:rsid w:val="00504248"/>
    <w:rsid w:val="00505995"/>
    <w:rsid w:val="00505D9D"/>
    <w:rsid w:val="00506DC4"/>
    <w:rsid w:val="00507815"/>
    <w:rsid w:val="00507BB8"/>
    <w:rsid w:val="005101CC"/>
    <w:rsid w:val="00510510"/>
    <w:rsid w:val="005108E9"/>
    <w:rsid w:val="00511EF8"/>
    <w:rsid w:val="0051310C"/>
    <w:rsid w:val="005131EE"/>
    <w:rsid w:val="0051381A"/>
    <w:rsid w:val="00513C26"/>
    <w:rsid w:val="00513E5B"/>
    <w:rsid w:val="00515291"/>
    <w:rsid w:val="00515778"/>
    <w:rsid w:val="00515C73"/>
    <w:rsid w:val="00515EDF"/>
    <w:rsid w:val="00516173"/>
    <w:rsid w:val="00516F99"/>
    <w:rsid w:val="005171EF"/>
    <w:rsid w:val="0052000D"/>
    <w:rsid w:val="005204DB"/>
    <w:rsid w:val="00520B49"/>
    <w:rsid w:val="00520BB9"/>
    <w:rsid w:val="00523B0E"/>
    <w:rsid w:val="005240BB"/>
    <w:rsid w:val="005249BC"/>
    <w:rsid w:val="00524D60"/>
    <w:rsid w:val="00524DAB"/>
    <w:rsid w:val="005252A5"/>
    <w:rsid w:val="00525F07"/>
    <w:rsid w:val="00527B80"/>
    <w:rsid w:val="00527F36"/>
    <w:rsid w:val="0053085A"/>
    <w:rsid w:val="005309A5"/>
    <w:rsid w:val="00531956"/>
    <w:rsid w:val="005322BD"/>
    <w:rsid w:val="005331F9"/>
    <w:rsid w:val="005337A7"/>
    <w:rsid w:val="00534586"/>
    <w:rsid w:val="00534901"/>
    <w:rsid w:val="0053521C"/>
    <w:rsid w:val="0053596F"/>
    <w:rsid w:val="00535E56"/>
    <w:rsid w:val="005365FC"/>
    <w:rsid w:val="00536745"/>
    <w:rsid w:val="00536803"/>
    <w:rsid w:val="00536977"/>
    <w:rsid w:val="00536F7C"/>
    <w:rsid w:val="005374E1"/>
    <w:rsid w:val="005377A1"/>
    <w:rsid w:val="005377E3"/>
    <w:rsid w:val="005379B6"/>
    <w:rsid w:val="00537E48"/>
    <w:rsid w:val="00541947"/>
    <w:rsid w:val="0054325C"/>
    <w:rsid w:val="00543D14"/>
    <w:rsid w:val="00543DEC"/>
    <w:rsid w:val="005444AC"/>
    <w:rsid w:val="005444F3"/>
    <w:rsid w:val="00545E3F"/>
    <w:rsid w:val="0054639C"/>
    <w:rsid w:val="005468F9"/>
    <w:rsid w:val="00547C30"/>
    <w:rsid w:val="00547D53"/>
    <w:rsid w:val="00550BF0"/>
    <w:rsid w:val="00550D42"/>
    <w:rsid w:val="0055143F"/>
    <w:rsid w:val="0055378B"/>
    <w:rsid w:val="00553F92"/>
    <w:rsid w:val="00554423"/>
    <w:rsid w:val="005544AC"/>
    <w:rsid w:val="005544E6"/>
    <w:rsid w:val="00554509"/>
    <w:rsid w:val="0055655D"/>
    <w:rsid w:val="005569F9"/>
    <w:rsid w:val="00556A73"/>
    <w:rsid w:val="005629AF"/>
    <w:rsid w:val="00563391"/>
    <w:rsid w:val="005633C9"/>
    <w:rsid w:val="005638CB"/>
    <w:rsid w:val="00563B92"/>
    <w:rsid w:val="00563C3D"/>
    <w:rsid w:val="00563E68"/>
    <w:rsid w:val="00563F55"/>
    <w:rsid w:val="00564A9A"/>
    <w:rsid w:val="00564D72"/>
    <w:rsid w:val="00565681"/>
    <w:rsid w:val="00565763"/>
    <w:rsid w:val="00567415"/>
    <w:rsid w:val="005701CB"/>
    <w:rsid w:val="00570B45"/>
    <w:rsid w:val="00570B48"/>
    <w:rsid w:val="0057114E"/>
    <w:rsid w:val="00573F16"/>
    <w:rsid w:val="005749F2"/>
    <w:rsid w:val="00575725"/>
    <w:rsid w:val="00576949"/>
    <w:rsid w:val="00576A5A"/>
    <w:rsid w:val="00576C57"/>
    <w:rsid w:val="00577E24"/>
    <w:rsid w:val="005808EF"/>
    <w:rsid w:val="00580EE2"/>
    <w:rsid w:val="00581BFA"/>
    <w:rsid w:val="0058234B"/>
    <w:rsid w:val="00582A34"/>
    <w:rsid w:val="005833ED"/>
    <w:rsid w:val="00583DFB"/>
    <w:rsid w:val="00585965"/>
    <w:rsid w:val="005863D0"/>
    <w:rsid w:val="0058691D"/>
    <w:rsid w:val="00587C57"/>
    <w:rsid w:val="005907F2"/>
    <w:rsid w:val="0059184B"/>
    <w:rsid w:val="0059188F"/>
    <w:rsid w:val="005922EB"/>
    <w:rsid w:val="00592536"/>
    <w:rsid w:val="00592B1F"/>
    <w:rsid w:val="005933BE"/>
    <w:rsid w:val="00594DB8"/>
    <w:rsid w:val="00595151"/>
    <w:rsid w:val="005953A4"/>
    <w:rsid w:val="005957A2"/>
    <w:rsid w:val="005957A5"/>
    <w:rsid w:val="0059618A"/>
    <w:rsid w:val="00596B18"/>
    <w:rsid w:val="005979C3"/>
    <w:rsid w:val="005A1059"/>
    <w:rsid w:val="005A1114"/>
    <w:rsid w:val="005A238C"/>
    <w:rsid w:val="005A24FD"/>
    <w:rsid w:val="005A25DA"/>
    <w:rsid w:val="005A2930"/>
    <w:rsid w:val="005A3810"/>
    <w:rsid w:val="005A38F0"/>
    <w:rsid w:val="005A3D93"/>
    <w:rsid w:val="005A43C0"/>
    <w:rsid w:val="005A4D83"/>
    <w:rsid w:val="005A6762"/>
    <w:rsid w:val="005A67C4"/>
    <w:rsid w:val="005A7AFC"/>
    <w:rsid w:val="005A7BD0"/>
    <w:rsid w:val="005B0504"/>
    <w:rsid w:val="005B1C9E"/>
    <w:rsid w:val="005B257B"/>
    <w:rsid w:val="005B29F3"/>
    <w:rsid w:val="005B41B2"/>
    <w:rsid w:val="005B53BA"/>
    <w:rsid w:val="005B6B6C"/>
    <w:rsid w:val="005C0275"/>
    <w:rsid w:val="005C1625"/>
    <w:rsid w:val="005C184E"/>
    <w:rsid w:val="005C18B3"/>
    <w:rsid w:val="005C25EE"/>
    <w:rsid w:val="005C30A6"/>
    <w:rsid w:val="005C314E"/>
    <w:rsid w:val="005C3954"/>
    <w:rsid w:val="005C46CF"/>
    <w:rsid w:val="005C478E"/>
    <w:rsid w:val="005C4994"/>
    <w:rsid w:val="005C5074"/>
    <w:rsid w:val="005C60F1"/>
    <w:rsid w:val="005C6D89"/>
    <w:rsid w:val="005C7BB7"/>
    <w:rsid w:val="005D0E0C"/>
    <w:rsid w:val="005D147C"/>
    <w:rsid w:val="005D220F"/>
    <w:rsid w:val="005D29C4"/>
    <w:rsid w:val="005D38DB"/>
    <w:rsid w:val="005D3C8B"/>
    <w:rsid w:val="005D3E25"/>
    <w:rsid w:val="005D446E"/>
    <w:rsid w:val="005D59DC"/>
    <w:rsid w:val="005D5A46"/>
    <w:rsid w:val="005D6438"/>
    <w:rsid w:val="005D680D"/>
    <w:rsid w:val="005E1A1A"/>
    <w:rsid w:val="005E2CB5"/>
    <w:rsid w:val="005E3B50"/>
    <w:rsid w:val="005E4C3A"/>
    <w:rsid w:val="005E4C97"/>
    <w:rsid w:val="005E5583"/>
    <w:rsid w:val="005E6013"/>
    <w:rsid w:val="005E6A62"/>
    <w:rsid w:val="005E6DBD"/>
    <w:rsid w:val="005E6FED"/>
    <w:rsid w:val="005E7A8C"/>
    <w:rsid w:val="005E7C9D"/>
    <w:rsid w:val="005E7D93"/>
    <w:rsid w:val="005F0B4A"/>
    <w:rsid w:val="005F159E"/>
    <w:rsid w:val="005F1F60"/>
    <w:rsid w:val="005F202D"/>
    <w:rsid w:val="005F4886"/>
    <w:rsid w:val="005F4EAF"/>
    <w:rsid w:val="005F5866"/>
    <w:rsid w:val="005F6740"/>
    <w:rsid w:val="005F7791"/>
    <w:rsid w:val="00600053"/>
    <w:rsid w:val="00600A56"/>
    <w:rsid w:val="00600A78"/>
    <w:rsid w:val="006016DF"/>
    <w:rsid w:val="00601A72"/>
    <w:rsid w:val="0060327F"/>
    <w:rsid w:val="0060509A"/>
    <w:rsid w:val="00605A31"/>
    <w:rsid w:val="0060607E"/>
    <w:rsid w:val="006060C6"/>
    <w:rsid w:val="006066C5"/>
    <w:rsid w:val="00607667"/>
    <w:rsid w:val="00607A0A"/>
    <w:rsid w:val="00611A44"/>
    <w:rsid w:val="00613717"/>
    <w:rsid w:val="006146AD"/>
    <w:rsid w:val="00614A2D"/>
    <w:rsid w:val="00615A8B"/>
    <w:rsid w:val="00615F41"/>
    <w:rsid w:val="0061616B"/>
    <w:rsid w:val="0062079E"/>
    <w:rsid w:val="00622617"/>
    <w:rsid w:val="00622F4D"/>
    <w:rsid w:val="00623711"/>
    <w:rsid w:val="0062447A"/>
    <w:rsid w:val="0062448E"/>
    <w:rsid w:val="0062451A"/>
    <w:rsid w:val="00624644"/>
    <w:rsid w:val="006248B5"/>
    <w:rsid w:val="0062498E"/>
    <w:rsid w:val="00624B92"/>
    <w:rsid w:val="00624C53"/>
    <w:rsid w:val="006253AC"/>
    <w:rsid w:val="006262DD"/>
    <w:rsid w:val="00626390"/>
    <w:rsid w:val="00626896"/>
    <w:rsid w:val="00626947"/>
    <w:rsid w:val="00626DA2"/>
    <w:rsid w:val="00626E25"/>
    <w:rsid w:val="00630D13"/>
    <w:rsid w:val="00632AF0"/>
    <w:rsid w:val="006333A1"/>
    <w:rsid w:val="00633C99"/>
    <w:rsid w:val="00634319"/>
    <w:rsid w:val="00636873"/>
    <w:rsid w:val="0063784B"/>
    <w:rsid w:val="00637FC4"/>
    <w:rsid w:val="0064145F"/>
    <w:rsid w:val="00641CF2"/>
    <w:rsid w:val="00641DCB"/>
    <w:rsid w:val="0064209B"/>
    <w:rsid w:val="00642A26"/>
    <w:rsid w:val="006445BA"/>
    <w:rsid w:val="0064545E"/>
    <w:rsid w:val="00650F49"/>
    <w:rsid w:val="00651D73"/>
    <w:rsid w:val="006528C5"/>
    <w:rsid w:val="00653A13"/>
    <w:rsid w:val="006547B7"/>
    <w:rsid w:val="00654972"/>
    <w:rsid w:val="00655B82"/>
    <w:rsid w:val="00655BAF"/>
    <w:rsid w:val="00656708"/>
    <w:rsid w:val="00660725"/>
    <w:rsid w:val="0066104E"/>
    <w:rsid w:val="00662A3A"/>
    <w:rsid w:val="00662C76"/>
    <w:rsid w:val="006634D3"/>
    <w:rsid w:val="00663B05"/>
    <w:rsid w:val="00663F74"/>
    <w:rsid w:val="00665398"/>
    <w:rsid w:val="0066606C"/>
    <w:rsid w:val="006665FE"/>
    <w:rsid w:val="00667BB4"/>
    <w:rsid w:val="00670664"/>
    <w:rsid w:val="006708B4"/>
    <w:rsid w:val="00670BF1"/>
    <w:rsid w:val="00671888"/>
    <w:rsid w:val="00672734"/>
    <w:rsid w:val="00672D35"/>
    <w:rsid w:val="00673351"/>
    <w:rsid w:val="00674855"/>
    <w:rsid w:val="00675921"/>
    <w:rsid w:val="006766ED"/>
    <w:rsid w:val="0068042A"/>
    <w:rsid w:val="00680A69"/>
    <w:rsid w:val="006816F9"/>
    <w:rsid w:val="00681810"/>
    <w:rsid w:val="00681D69"/>
    <w:rsid w:val="00684A27"/>
    <w:rsid w:val="006850AC"/>
    <w:rsid w:val="00685790"/>
    <w:rsid w:val="00685880"/>
    <w:rsid w:val="006858AA"/>
    <w:rsid w:val="00686B4F"/>
    <w:rsid w:val="00690388"/>
    <w:rsid w:val="00690727"/>
    <w:rsid w:val="0069088E"/>
    <w:rsid w:val="00692163"/>
    <w:rsid w:val="00692C17"/>
    <w:rsid w:val="00692D8D"/>
    <w:rsid w:val="0069367E"/>
    <w:rsid w:val="00693A5B"/>
    <w:rsid w:val="00694C80"/>
    <w:rsid w:val="00695149"/>
    <w:rsid w:val="0069571C"/>
    <w:rsid w:val="00695A99"/>
    <w:rsid w:val="00697FC5"/>
    <w:rsid w:val="006A02EC"/>
    <w:rsid w:val="006A0BD4"/>
    <w:rsid w:val="006A1453"/>
    <w:rsid w:val="006A177D"/>
    <w:rsid w:val="006A1A35"/>
    <w:rsid w:val="006A2F22"/>
    <w:rsid w:val="006A2F27"/>
    <w:rsid w:val="006A3066"/>
    <w:rsid w:val="006A5842"/>
    <w:rsid w:val="006A5BBE"/>
    <w:rsid w:val="006A61A1"/>
    <w:rsid w:val="006A6F31"/>
    <w:rsid w:val="006A7BAE"/>
    <w:rsid w:val="006B09CD"/>
    <w:rsid w:val="006B23F8"/>
    <w:rsid w:val="006B240D"/>
    <w:rsid w:val="006B3249"/>
    <w:rsid w:val="006B3957"/>
    <w:rsid w:val="006B4680"/>
    <w:rsid w:val="006B4A11"/>
    <w:rsid w:val="006B5983"/>
    <w:rsid w:val="006C054F"/>
    <w:rsid w:val="006C1A45"/>
    <w:rsid w:val="006C2860"/>
    <w:rsid w:val="006C2DDF"/>
    <w:rsid w:val="006C34F8"/>
    <w:rsid w:val="006C4C6A"/>
    <w:rsid w:val="006C5FB1"/>
    <w:rsid w:val="006C7573"/>
    <w:rsid w:val="006C7ACF"/>
    <w:rsid w:val="006D0119"/>
    <w:rsid w:val="006D04A6"/>
    <w:rsid w:val="006D23F3"/>
    <w:rsid w:val="006D24EE"/>
    <w:rsid w:val="006D3577"/>
    <w:rsid w:val="006D5B84"/>
    <w:rsid w:val="006D5E37"/>
    <w:rsid w:val="006D77B1"/>
    <w:rsid w:val="006D7D6D"/>
    <w:rsid w:val="006E08F9"/>
    <w:rsid w:val="006E13D5"/>
    <w:rsid w:val="006E19FA"/>
    <w:rsid w:val="006E28D3"/>
    <w:rsid w:val="006E2FC6"/>
    <w:rsid w:val="006E3133"/>
    <w:rsid w:val="006E31C4"/>
    <w:rsid w:val="006E3424"/>
    <w:rsid w:val="006E3886"/>
    <w:rsid w:val="006E3FB4"/>
    <w:rsid w:val="006E40AF"/>
    <w:rsid w:val="006E49AC"/>
    <w:rsid w:val="006E51B6"/>
    <w:rsid w:val="006E591F"/>
    <w:rsid w:val="006E712D"/>
    <w:rsid w:val="006E76F0"/>
    <w:rsid w:val="006E7E4C"/>
    <w:rsid w:val="006F0942"/>
    <w:rsid w:val="006F1495"/>
    <w:rsid w:val="006F14A6"/>
    <w:rsid w:val="006F1A2E"/>
    <w:rsid w:val="006F2B1E"/>
    <w:rsid w:val="006F3A78"/>
    <w:rsid w:val="006F3BFC"/>
    <w:rsid w:val="006F4257"/>
    <w:rsid w:val="006F5E81"/>
    <w:rsid w:val="006F6192"/>
    <w:rsid w:val="006F63BB"/>
    <w:rsid w:val="006F6604"/>
    <w:rsid w:val="006F6765"/>
    <w:rsid w:val="006F70E6"/>
    <w:rsid w:val="006F7356"/>
    <w:rsid w:val="00700B6D"/>
    <w:rsid w:val="00702B3C"/>
    <w:rsid w:val="00702CE5"/>
    <w:rsid w:val="0070387B"/>
    <w:rsid w:val="00703FAF"/>
    <w:rsid w:val="00707FDD"/>
    <w:rsid w:val="00710180"/>
    <w:rsid w:val="00711D3D"/>
    <w:rsid w:val="00712284"/>
    <w:rsid w:val="007131C1"/>
    <w:rsid w:val="00713900"/>
    <w:rsid w:val="00714790"/>
    <w:rsid w:val="00716629"/>
    <w:rsid w:val="00716669"/>
    <w:rsid w:val="007170A6"/>
    <w:rsid w:val="00717F61"/>
    <w:rsid w:val="00720A52"/>
    <w:rsid w:val="00720AE0"/>
    <w:rsid w:val="0072123A"/>
    <w:rsid w:val="00721DD2"/>
    <w:rsid w:val="00722B69"/>
    <w:rsid w:val="00723976"/>
    <w:rsid w:val="00723C89"/>
    <w:rsid w:val="007254A2"/>
    <w:rsid w:val="00725D8C"/>
    <w:rsid w:val="00726691"/>
    <w:rsid w:val="0073095C"/>
    <w:rsid w:val="00732340"/>
    <w:rsid w:val="007326CC"/>
    <w:rsid w:val="007326D5"/>
    <w:rsid w:val="007335CC"/>
    <w:rsid w:val="00733BE8"/>
    <w:rsid w:val="007343F6"/>
    <w:rsid w:val="00734641"/>
    <w:rsid w:val="007354C4"/>
    <w:rsid w:val="007355C8"/>
    <w:rsid w:val="00736A53"/>
    <w:rsid w:val="00737FF9"/>
    <w:rsid w:val="00740392"/>
    <w:rsid w:val="0074120D"/>
    <w:rsid w:val="007412F5"/>
    <w:rsid w:val="00741830"/>
    <w:rsid w:val="007418DB"/>
    <w:rsid w:val="0074225F"/>
    <w:rsid w:val="00743946"/>
    <w:rsid w:val="007452A7"/>
    <w:rsid w:val="007455A4"/>
    <w:rsid w:val="00745D79"/>
    <w:rsid w:val="00745DDD"/>
    <w:rsid w:val="00746C27"/>
    <w:rsid w:val="00747269"/>
    <w:rsid w:val="0074797A"/>
    <w:rsid w:val="00752A62"/>
    <w:rsid w:val="0075409C"/>
    <w:rsid w:val="00754A45"/>
    <w:rsid w:val="007557D9"/>
    <w:rsid w:val="00756813"/>
    <w:rsid w:val="007571FE"/>
    <w:rsid w:val="007575E1"/>
    <w:rsid w:val="0075773C"/>
    <w:rsid w:val="00762163"/>
    <w:rsid w:val="00763109"/>
    <w:rsid w:val="007635C4"/>
    <w:rsid w:val="007636D3"/>
    <w:rsid w:val="00764599"/>
    <w:rsid w:val="00765B53"/>
    <w:rsid w:val="0076601F"/>
    <w:rsid w:val="0076713C"/>
    <w:rsid w:val="007671B5"/>
    <w:rsid w:val="00770907"/>
    <w:rsid w:val="007713E2"/>
    <w:rsid w:val="0077169D"/>
    <w:rsid w:val="0077337E"/>
    <w:rsid w:val="007744BC"/>
    <w:rsid w:val="007749C8"/>
    <w:rsid w:val="00774BA7"/>
    <w:rsid w:val="00775CC8"/>
    <w:rsid w:val="0077622A"/>
    <w:rsid w:val="00777716"/>
    <w:rsid w:val="00780242"/>
    <w:rsid w:val="007804C9"/>
    <w:rsid w:val="007806A5"/>
    <w:rsid w:val="00781065"/>
    <w:rsid w:val="00781F2B"/>
    <w:rsid w:val="00782B0D"/>
    <w:rsid w:val="00782DDD"/>
    <w:rsid w:val="00783124"/>
    <w:rsid w:val="0078359F"/>
    <w:rsid w:val="007835BD"/>
    <w:rsid w:val="007850A4"/>
    <w:rsid w:val="007850FD"/>
    <w:rsid w:val="00785AA4"/>
    <w:rsid w:val="00785E5D"/>
    <w:rsid w:val="00786835"/>
    <w:rsid w:val="00786917"/>
    <w:rsid w:val="00786EBC"/>
    <w:rsid w:val="00787BD0"/>
    <w:rsid w:val="00787D70"/>
    <w:rsid w:val="007902B3"/>
    <w:rsid w:val="00790986"/>
    <w:rsid w:val="00790ABF"/>
    <w:rsid w:val="00791F98"/>
    <w:rsid w:val="00792502"/>
    <w:rsid w:val="0079300D"/>
    <w:rsid w:val="00793803"/>
    <w:rsid w:val="00793D10"/>
    <w:rsid w:val="00794422"/>
    <w:rsid w:val="0079472F"/>
    <w:rsid w:val="007950E0"/>
    <w:rsid w:val="00795F4C"/>
    <w:rsid w:val="00795F5D"/>
    <w:rsid w:val="00796D2F"/>
    <w:rsid w:val="007A0382"/>
    <w:rsid w:val="007A0462"/>
    <w:rsid w:val="007A0EB9"/>
    <w:rsid w:val="007A1906"/>
    <w:rsid w:val="007A1C79"/>
    <w:rsid w:val="007A1DCC"/>
    <w:rsid w:val="007A2BCB"/>
    <w:rsid w:val="007A49F2"/>
    <w:rsid w:val="007A4F65"/>
    <w:rsid w:val="007A5973"/>
    <w:rsid w:val="007A599E"/>
    <w:rsid w:val="007A71A8"/>
    <w:rsid w:val="007A7F0D"/>
    <w:rsid w:val="007B2C4D"/>
    <w:rsid w:val="007B4452"/>
    <w:rsid w:val="007B484B"/>
    <w:rsid w:val="007B63DA"/>
    <w:rsid w:val="007B7239"/>
    <w:rsid w:val="007B79C3"/>
    <w:rsid w:val="007B7C34"/>
    <w:rsid w:val="007C002A"/>
    <w:rsid w:val="007C1DD9"/>
    <w:rsid w:val="007C2881"/>
    <w:rsid w:val="007C3D93"/>
    <w:rsid w:val="007C4812"/>
    <w:rsid w:val="007C4EC7"/>
    <w:rsid w:val="007C4F24"/>
    <w:rsid w:val="007C79A0"/>
    <w:rsid w:val="007D0CE7"/>
    <w:rsid w:val="007D0F96"/>
    <w:rsid w:val="007D1736"/>
    <w:rsid w:val="007D32CC"/>
    <w:rsid w:val="007D54D1"/>
    <w:rsid w:val="007D5785"/>
    <w:rsid w:val="007D60EA"/>
    <w:rsid w:val="007D692F"/>
    <w:rsid w:val="007D6D09"/>
    <w:rsid w:val="007D7BB8"/>
    <w:rsid w:val="007E09F6"/>
    <w:rsid w:val="007E0CE2"/>
    <w:rsid w:val="007E138E"/>
    <w:rsid w:val="007E139A"/>
    <w:rsid w:val="007E1DFE"/>
    <w:rsid w:val="007E29B3"/>
    <w:rsid w:val="007E3EEB"/>
    <w:rsid w:val="007E46D4"/>
    <w:rsid w:val="007E64B3"/>
    <w:rsid w:val="007E7CC7"/>
    <w:rsid w:val="007F027C"/>
    <w:rsid w:val="007F0645"/>
    <w:rsid w:val="007F248F"/>
    <w:rsid w:val="007F3E06"/>
    <w:rsid w:val="007F3E96"/>
    <w:rsid w:val="007F408C"/>
    <w:rsid w:val="007F47CA"/>
    <w:rsid w:val="007F4B1E"/>
    <w:rsid w:val="007F4C0F"/>
    <w:rsid w:val="007F5B79"/>
    <w:rsid w:val="007F5C42"/>
    <w:rsid w:val="007F5E88"/>
    <w:rsid w:val="007F65E7"/>
    <w:rsid w:val="007F6CD1"/>
    <w:rsid w:val="007F7D8F"/>
    <w:rsid w:val="0080078B"/>
    <w:rsid w:val="00800BF0"/>
    <w:rsid w:val="00800ED1"/>
    <w:rsid w:val="0080116F"/>
    <w:rsid w:val="00801C81"/>
    <w:rsid w:val="00801D73"/>
    <w:rsid w:val="0080423E"/>
    <w:rsid w:val="008043CB"/>
    <w:rsid w:val="008043FF"/>
    <w:rsid w:val="008065A4"/>
    <w:rsid w:val="00806BA7"/>
    <w:rsid w:val="00806F66"/>
    <w:rsid w:val="0080726C"/>
    <w:rsid w:val="008114FC"/>
    <w:rsid w:val="00811F58"/>
    <w:rsid w:val="008122F8"/>
    <w:rsid w:val="00814EE2"/>
    <w:rsid w:val="0081561A"/>
    <w:rsid w:val="00815EF9"/>
    <w:rsid w:val="00816D09"/>
    <w:rsid w:val="00817B52"/>
    <w:rsid w:val="0082078F"/>
    <w:rsid w:val="008210D4"/>
    <w:rsid w:val="0082134E"/>
    <w:rsid w:val="00821AAB"/>
    <w:rsid w:val="008223E0"/>
    <w:rsid w:val="0082258A"/>
    <w:rsid w:val="00823ACF"/>
    <w:rsid w:val="00824AF2"/>
    <w:rsid w:val="00824E1D"/>
    <w:rsid w:val="00825547"/>
    <w:rsid w:val="00825C1D"/>
    <w:rsid w:val="00827742"/>
    <w:rsid w:val="00827EE0"/>
    <w:rsid w:val="00832CA9"/>
    <w:rsid w:val="00833414"/>
    <w:rsid w:val="00834735"/>
    <w:rsid w:val="00834E1C"/>
    <w:rsid w:val="0083571B"/>
    <w:rsid w:val="008375EE"/>
    <w:rsid w:val="00837AEF"/>
    <w:rsid w:val="0084027B"/>
    <w:rsid w:val="00841682"/>
    <w:rsid w:val="00841D5B"/>
    <w:rsid w:val="00842E21"/>
    <w:rsid w:val="0084345E"/>
    <w:rsid w:val="00843688"/>
    <w:rsid w:val="008438B8"/>
    <w:rsid w:val="00844478"/>
    <w:rsid w:val="00846B73"/>
    <w:rsid w:val="008503FD"/>
    <w:rsid w:val="008505AD"/>
    <w:rsid w:val="00850CF4"/>
    <w:rsid w:val="00850EB4"/>
    <w:rsid w:val="00851651"/>
    <w:rsid w:val="0085216F"/>
    <w:rsid w:val="0085270D"/>
    <w:rsid w:val="00852D61"/>
    <w:rsid w:val="00853C53"/>
    <w:rsid w:val="00853C59"/>
    <w:rsid w:val="0085483D"/>
    <w:rsid w:val="00855C4B"/>
    <w:rsid w:val="008570EF"/>
    <w:rsid w:val="008575A0"/>
    <w:rsid w:val="00857DFF"/>
    <w:rsid w:val="008601BC"/>
    <w:rsid w:val="00861547"/>
    <w:rsid w:val="00861C56"/>
    <w:rsid w:val="0086234D"/>
    <w:rsid w:val="00863C2E"/>
    <w:rsid w:val="00864841"/>
    <w:rsid w:val="00864C37"/>
    <w:rsid w:val="008653D7"/>
    <w:rsid w:val="008663F3"/>
    <w:rsid w:val="008667A4"/>
    <w:rsid w:val="0086761F"/>
    <w:rsid w:val="008676F8"/>
    <w:rsid w:val="00867813"/>
    <w:rsid w:val="00867A48"/>
    <w:rsid w:val="00870158"/>
    <w:rsid w:val="00870375"/>
    <w:rsid w:val="00870499"/>
    <w:rsid w:val="008726BD"/>
    <w:rsid w:val="00872734"/>
    <w:rsid w:val="00873EA4"/>
    <w:rsid w:val="00875400"/>
    <w:rsid w:val="00875628"/>
    <w:rsid w:val="008761F4"/>
    <w:rsid w:val="00876F72"/>
    <w:rsid w:val="008771ED"/>
    <w:rsid w:val="00877216"/>
    <w:rsid w:val="0087798E"/>
    <w:rsid w:val="00877B63"/>
    <w:rsid w:val="00877ED2"/>
    <w:rsid w:val="008807B6"/>
    <w:rsid w:val="00880D8B"/>
    <w:rsid w:val="00881E3B"/>
    <w:rsid w:val="0088408F"/>
    <w:rsid w:val="0088452A"/>
    <w:rsid w:val="0088461B"/>
    <w:rsid w:val="0088488D"/>
    <w:rsid w:val="00884A76"/>
    <w:rsid w:val="0088511D"/>
    <w:rsid w:val="008872B0"/>
    <w:rsid w:val="00891494"/>
    <w:rsid w:val="00891C8E"/>
    <w:rsid w:val="00893295"/>
    <w:rsid w:val="00893554"/>
    <w:rsid w:val="00893BAC"/>
    <w:rsid w:val="00894828"/>
    <w:rsid w:val="00894C42"/>
    <w:rsid w:val="008953BB"/>
    <w:rsid w:val="00895E10"/>
    <w:rsid w:val="0089773D"/>
    <w:rsid w:val="008A085F"/>
    <w:rsid w:val="008A13D7"/>
    <w:rsid w:val="008A1F50"/>
    <w:rsid w:val="008A20BF"/>
    <w:rsid w:val="008A2148"/>
    <w:rsid w:val="008A2267"/>
    <w:rsid w:val="008A2845"/>
    <w:rsid w:val="008A2EEF"/>
    <w:rsid w:val="008A43D0"/>
    <w:rsid w:val="008A464A"/>
    <w:rsid w:val="008A4F52"/>
    <w:rsid w:val="008A4FC1"/>
    <w:rsid w:val="008A51A4"/>
    <w:rsid w:val="008A52D8"/>
    <w:rsid w:val="008A549E"/>
    <w:rsid w:val="008A5F7D"/>
    <w:rsid w:val="008A7259"/>
    <w:rsid w:val="008B08E4"/>
    <w:rsid w:val="008B0AE1"/>
    <w:rsid w:val="008B1547"/>
    <w:rsid w:val="008B1B30"/>
    <w:rsid w:val="008B2951"/>
    <w:rsid w:val="008B3CE5"/>
    <w:rsid w:val="008B4261"/>
    <w:rsid w:val="008B47E3"/>
    <w:rsid w:val="008B5AF1"/>
    <w:rsid w:val="008B617E"/>
    <w:rsid w:val="008B6274"/>
    <w:rsid w:val="008C0302"/>
    <w:rsid w:val="008C0D53"/>
    <w:rsid w:val="008C0FDC"/>
    <w:rsid w:val="008C1ADA"/>
    <w:rsid w:val="008C2839"/>
    <w:rsid w:val="008C36A5"/>
    <w:rsid w:val="008C38CD"/>
    <w:rsid w:val="008C3A88"/>
    <w:rsid w:val="008C4589"/>
    <w:rsid w:val="008C501C"/>
    <w:rsid w:val="008C5EF2"/>
    <w:rsid w:val="008C62C6"/>
    <w:rsid w:val="008C64C2"/>
    <w:rsid w:val="008C68FE"/>
    <w:rsid w:val="008C6DE3"/>
    <w:rsid w:val="008D1844"/>
    <w:rsid w:val="008D2C95"/>
    <w:rsid w:val="008D2E8D"/>
    <w:rsid w:val="008D2ED5"/>
    <w:rsid w:val="008D378C"/>
    <w:rsid w:val="008D38C7"/>
    <w:rsid w:val="008D44A5"/>
    <w:rsid w:val="008D59FB"/>
    <w:rsid w:val="008D5A27"/>
    <w:rsid w:val="008D680C"/>
    <w:rsid w:val="008D7983"/>
    <w:rsid w:val="008D7E78"/>
    <w:rsid w:val="008E0590"/>
    <w:rsid w:val="008E08ED"/>
    <w:rsid w:val="008E169B"/>
    <w:rsid w:val="008E1D05"/>
    <w:rsid w:val="008E1D54"/>
    <w:rsid w:val="008E23EE"/>
    <w:rsid w:val="008E2446"/>
    <w:rsid w:val="008E2946"/>
    <w:rsid w:val="008E2954"/>
    <w:rsid w:val="008E36FA"/>
    <w:rsid w:val="008E3A8C"/>
    <w:rsid w:val="008E3CFC"/>
    <w:rsid w:val="008E4B4B"/>
    <w:rsid w:val="008E5369"/>
    <w:rsid w:val="008E54DB"/>
    <w:rsid w:val="008E55C3"/>
    <w:rsid w:val="008F0DFD"/>
    <w:rsid w:val="008F130E"/>
    <w:rsid w:val="008F168D"/>
    <w:rsid w:val="008F17E5"/>
    <w:rsid w:val="008F1994"/>
    <w:rsid w:val="008F2281"/>
    <w:rsid w:val="008F27CD"/>
    <w:rsid w:val="008F310E"/>
    <w:rsid w:val="008F36B0"/>
    <w:rsid w:val="008F3AE9"/>
    <w:rsid w:val="008F3E1E"/>
    <w:rsid w:val="008F46B8"/>
    <w:rsid w:val="008F5B32"/>
    <w:rsid w:val="008F6432"/>
    <w:rsid w:val="008F6E9C"/>
    <w:rsid w:val="009002E0"/>
    <w:rsid w:val="0090096B"/>
    <w:rsid w:val="00900ADD"/>
    <w:rsid w:val="00900C00"/>
    <w:rsid w:val="00900C4B"/>
    <w:rsid w:val="009016FF"/>
    <w:rsid w:val="00901A88"/>
    <w:rsid w:val="00901F97"/>
    <w:rsid w:val="00902157"/>
    <w:rsid w:val="00902692"/>
    <w:rsid w:val="00902777"/>
    <w:rsid w:val="009057CE"/>
    <w:rsid w:val="009062E3"/>
    <w:rsid w:val="00906594"/>
    <w:rsid w:val="0090685C"/>
    <w:rsid w:val="00906B4D"/>
    <w:rsid w:val="009073B3"/>
    <w:rsid w:val="00907719"/>
    <w:rsid w:val="0091033E"/>
    <w:rsid w:val="0091192D"/>
    <w:rsid w:val="009124A9"/>
    <w:rsid w:val="0091259C"/>
    <w:rsid w:val="00913287"/>
    <w:rsid w:val="00913ADE"/>
    <w:rsid w:val="0091572F"/>
    <w:rsid w:val="00917707"/>
    <w:rsid w:val="00920E61"/>
    <w:rsid w:val="00920F44"/>
    <w:rsid w:val="00921176"/>
    <w:rsid w:val="00922A9D"/>
    <w:rsid w:val="00922E58"/>
    <w:rsid w:val="00922E74"/>
    <w:rsid w:val="00923869"/>
    <w:rsid w:val="00924367"/>
    <w:rsid w:val="00925DC3"/>
    <w:rsid w:val="0092746A"/>
    <w:rsid w:val="00930947"/>
    <w:rsid w:val="00930B65"/>
    <w:rsid w:val="00930EC3"/>
    <w:rsid w:val="009312A0"/>
    <w:rsid w:val="009318DB"/>
    <w:rsid w:val="00931FA6"/>
    <w:rsid w:val="009327D8"/>
    <w:rsid w:val="009329A6"/>
    <w:rsid w:val="0093349F"/>
    <w:rsid w:val="00933ECE"/>
    <w:rsid w:val="0093433F"/>
    <w:rsid w:val="00936788"/>
    <w:rsid w:val="00936D35"/>
    <w:rsid w:val="00940110"/>
    <w:rsid w:val="00942944"/>
    <w:rsid w:val="009429C4"/>
    <w:rsid w:val="00942FB6"/>
    <w:rsid w:val="009430B5"/>
    <w:rsid w:val="009446CB"/>
    <w:rsid w:val="00944F41"/>
    <w:rsid w:val="00945A82"/>
    <w:rsid w:val="009461CF"/>
    <w:rsid w:val="00946795"/>
    <w:rsid w:val="00947188"/>
    <w:rsid w:val="009517FB"/>
    <w:rsid w:val="00951BB8"/>
    <w:rsid w:val="00951CC2"/>
    <w:rsid w:val="00952216"/>
    <w:rsid w:val="00953230"/>
    <w:rsid w:val="0095328B"/>
    <w:rsid w:val="00953A2B"/>
    <w:rsid w:val="00953D44"/>
    <w:rsid w:val="00953F6C"/>
    <w:rsid w:val="009545A4"/>
    <w:rsid w:val="0095467C"/>
    <w:rsid w:val="009548FE"/>
    <w:rsid w:val="0095510D"/>
    <w:rsid w:val="009553D2"/>
    <w:rsid w:val="00955BF4"/>
    <w:rsid w:val="00956F27"/>
    <w:rsid w:val="00957137"/>
    <w:rsid w:val="00957871"/>
    <w:rsid w:val="00957F10"/>
    <w:rsid w:val="009600B2"/>
    <w:rsid w:val="009607CD"/>
    <w:rsid w:val="009610BD"/>
    <w:rsid w:val="009615B0"/>
    <w:rsid w:val="0096249B"/>
    <w:rsid w:val="00962B0D"/>
    <w:rsid w:val="009631D4"/>
    <w:rsid w:val="009634C5"/>
    <w:rsid w:val="009641C9"/>
    <w:rsid w:val="0096440E"/>
    <w:rsid w:val="00965262"/>
    <w:rsid w:val="0096541B"/>
    <w:rsid w:val="0096543D"/>
    <w:rsid w:val="009654D9"/>
    <w:rsid w:val="0096673D"/>
    <w:rsid w:val="00967B3D"/>
    <w:rsid w:val="00967EA3"/>
    <w:rsid w:val="0097011A"/>
    <w:rsid w:val="00970F2A"/>
    <w:rsid w:val="00971736"/>
    <w:rsid w:val="00972832"/>
    <w:rsid w:val="00972E81"/>
    <w:rsid w:val="00973250"/>
    <w:rsid w:val="00973903"/>
    <w:rsid w:val="009739D2"/>
    <w:rsid w:val="00973B51"/>
    <w:rsid w:val="00973FAB"/>
    <w:rsid w:val="00975790"/>
    <w:rsid w:val="00976CAA"/>
    <w:rsid w:val="009774E7"/>
    <w:rsid w:val="00977B98"/>
    <w:rsid w:val="00977EAD"/>
    <w:rsid w:val="009800D4"/>
    <w:rsid w:val="009813C6"/>
    <w:rsid w:val="009825DD"/>
    <w:rsid w:val="0098377A"/>
    <w:rsid w:val="00984B33"/>
    <w:rsid w:val="009859A8"/>
    <w:rsid w:val="00985BBB"/>
    <w:rsid w:val="009862B4"/>
    <w:rsid w:val="00986BEF"/>
    <w:rsid w:val="009877B9"/>
    <w:rsid w:val="00990F22"/>
    <w:rsid w:val="00990FA0"/>
    <w:rsid w:val="00990FB4"/>
    <w:rsid w:val="00991C51"/>
    <w:rsid w:val="00994073"/>
    <w:rsid w:val="00995058"/>
    <w:rsid w:val="009971C7"/>
    <w:rsid w:val="009972F6"/>
    <w:rsid w:val="009977DB"/>
    <w:rsid w:val="00997979"/>
    <w:rsid w:val="00997A30"/>
    <w:rsid w:val="00997D5C"/>
    <w:rsid w:val="009A052E"/>
    <w:rsid w:val="009A177A"/>
    <w:rsid w:val="009A24BE"/>
    <w:rsid w:val="009A2765"/>
    <w:rsid w:val="009A2F45"/>
    <w:rsid w:val="009A32E9"/>
    <w:rsid w:val="009A3903"/>
    <w:rsid w:val="009A51A9"/>
    <w:rsid w:val="009A5230"/>
    <w:rsid w:val="009A5B73"/>
    <w:rsid w:val="009A6386"/>
    <w:rsid w:val="009A6B38"/>
    <w:rsid w:val="009A747C"/>
    <w:rsid w:val="009A7BF8"/>
    <w:rsid w:val="009A7E2C"/>
    <w:rsid w:val="009B07B4"/>
    <w:rsid w:val="009B0A4E"/>
    <w:rsid w:val="009B1343"/>
    <w:rsid w:val="009B1892"/>
    <w:rsid w:val="009B2521"/>
    <w:rsid w:val="009B2DCD"/>
    <w:rsid w:val="009B3637"/>
    <w:rsid w:val="009B3929"/>
    <w:rsid w:val="009B41D3"/>
    <w:rsid w:val="009B4677"/>
    <w:rsid w:val="009B47CF"/>
    <w:rsid w:val="009B4FF5"/>
    <w:rsid w:val="009B5B6D"/>
    <w:rsid w:val="009B6013"/>
    <w:rsid w:val="009B6E11"/>
    <w:rsid w:val="009B7922"/>
    <w:rsid w:val="009C0AA6"/>
    <w:rsid w:val="009C0F1C"/>
    <w:rsid w:val="009C312B"/>
    <w:rsid w:val="009C380F"/>
    <w:rsid w:val="009C3AD3"/>
    <w:rsid w:val="009C58E6"/>
    <w:rsid w:val="009C7410"/>
    <w:rsid w:val="009C78C2"/>
    <w:rsid w:val="009D0518"/>
    <w:rsid w:val="009D068F"/>
    <w:rsid w:val="009D07BD"/>
    <w:rsid w:val="009D0D64"/>
    <w:rsid w:val="009D1BF4"/>
    <w:rsid w:val="009D228E"/>
    <w:rsid w:val="009D25CC"/>
    <w:rsid w:val="009D2848"/>
    <w:rsid w:val="009D2A1D"/>
    <w:rsid w:val="009D2BE0"/>
    <w:rsid w:val="009D39E7"/>
    <w:rsid w:val="009D3B99"/>
    <w:rsid w:val="009D4C79"/>
    <w:rsid w:val="009D5A72"/>
    <w:rsid w:val="009D69EA"/>
    <w:rsid w:val="009D70FF"/>
    <w:rsid w:val="009D767D"/>
    <w:rsid w:val="009D78C8"/>
    <w:rsid w:val="009E1B79"/>
    <w:rsid w:val="009E1EF2"/>
    <w:rsid w:val="009E1FAF"/>
    <w:rsid w:val="009E2395"/>
    <w:rsid w:val="009E2B79"/>
    <w:rsid w:val="009E3D29"/>
    <w:rsid w:val="009E3DDB"/>
    <w:rsid w:val="009E4B48"/>
    <w:rsid w:val="009E5A78"/>
    <w:rsid w:val="009E60E4"/>
    <w:rsid w:val="009E69E4"/>
    <w:rsid w:val="009E7834"/>
    <w:rsid w:val="009E793B"/>
    <w:rsid w:val="009F0179"/>
    <w:rsid w:val="009F055B"/>
    <w:rsid w:val="009F0B72"/>
    <w:rsid w:val="009F137D"/>
    <w:rsid w:val="009F1DB9"/>
    <w:rsid w:val="009F35FA"/>
    <w:rsid w:val="009F3CE4"/>
    <w:rsid w:val="009F5E42"/>
    <w:rsid w:val="009F5EBF"/>
    <w:rsid w:val="009F5F6F"/>
    <w:rsid w:val="009F600C"/>
    <w:rsid w:val="009F6F5C"/>
    <w:rsid w:val="009F72A6"/>
    <w:rsid w:val="009F7BAD"/>
    <w:rsid w:val="009F7E01"/>
    <w:rsid w:val="009F7FE3"/>
    <w:rsid w:val="00A01135"/>
    <w:rsid w:val="00A01906"/>
    <w:rsid w:val="00A02EB5"/>
    <w:rsid w:val="00A02FC0"/>
    <w:rsid w:val="00A03B90"/>
    <w:rsid w:val="00A03CD8"/>
    <w:rsid w:val="00A065DD"/>
    <w:rsid w:val="00A06D69"/>
    <w:rsid w:val="00A06FF0"/>
    <w:rsid w:val="00A07D43"/>
    <w:rsid w:val="00A10703"/>
    <w:rsid w:val="00A10CA1"/>
    <w:rsid w:val="00A10FDA"/>
    <w:rsid w:val="00A119B8"/>
    <w:rsid w:val="00A11DB0"/>
    <w:rsid w:val="00A123FB"/>
    <w:rsid w:val="00A12734"/>
    <w:rsid w:val="00A1292A"/>
    <w:rsid w:val="00A14A92"/>
    <w:rsid w:val="00A15785"/>
    <w:rsid w:val="00A173EF"/>
    <w:rsid w:val="00A17819"/>
    <w:rsid w:val="00A17A9D"/>
    <w:rsid w:val="00A17C16"/>
    <w:rsid w:val="00A21325"/>
    <w:rsid w:val="00A214A2"/>
    <w:rsid w:val="00A225C4"/>
    <w:rsid w:val="00A22E89"/>
    <w:rsid w:val="00A25BA7"/>
    <w:rsid w:val="00A2712D"/>
    <w:rsid w:val="00A27B8A"/>
    <w:rsid w:val="00A27FE2"/>
    <w:rsid w:val="00A308D4"/>
    <w:rsid w:val="00A311B3"/>
    <w:rsid w:val="00A31A52"/>
    <w:rsid w:val="00A31D54"/>
    <w:rsid w:val="00A321E7"/>
    <w:rsid w:val="00A32681"/>
    <w:rsid w:val="00A32AF4"/>
    <w:rsid w:val="00A32CDD"/>
    <w:rsid w:val="00A337D7"/>
    <w:rsid w:val="00A34609"/>
    <w:rsid w:val="00A34A72"/>
    <w:rsid w:val="00A34BEA"/>
    <w:rsid w:val="00A3666B"/>
    <w:rsid w:val="00A371B0"/>
    <w:rsid w:val="00A3778B"/>
    <w:rsid w:val="00A40DC0"/>
    <w:rsid w:val="00A418AB"/>
    <w:rsid w:val="00A4309E"/>
    <w:rsid w:val="00A43633"/>
    <w:rsid w:val="00A446D6"/>
    <w:rsid w:val="00A449B8"/>
    <w:rsid w:val="00A44C4C"/>
    <w:rsid w:val="00A45318"/>
    <w:rsid w:val="00A45AD3"/>
    <w:rsid w:val="00A46C92"/>
    <w:rsid w:val="00A522FE"/>
    <w:rsid w:val="00A52E89"/>
    <w:rsid w:val="00A53006"/>
    <w:rsid w:val="00A53352"/>
    <w:rsid w:val="00A55298"/>
    <w:rsid w:val="00A554BB"/>
    <w:rsid w:val="00A56F99"/>
    <w:rsid w:val="00A6164C"/>
    <w:rsid w:val="00A61B08"/>
    <w:rsid w:val="00A61F9C"/>
    <w:rsid w:val="00A62254"/>
    <w:rsid w:val="00A62724"/>
    <w:rsid w:val="00A6294B"/>
    <w:rsid w:val="00A62A1E"/>
    <w:rsid w:val="00A62AF7"/>
    <w:rsid w:val="00A63691"/>
    <w:rsid w:val="00A6397F"/>
    <w:rsid w:val="00A64980"/>
    <w:rsid w:val="00A64C87"/>
    <w:rsid w:val="00A6564E"/>
    <w:rsid w:val="00A66AD4"/>
    <w:rsid w:val="00A66C80"/>
    <w:rsid w:val="00A6723E"/>
    <w:rsid w:val="00A67893"/>
    <w:rsid w:val="00A67D82"/>
    <w:rsid w:val="00A701BA"/>
    <w:rsid w:val="00A701FB"/>
    <w:rsid w:val="00A703A1"/>
    <w:rsid w:val="00A71123"/>
    <w:rsid w:val="00A72A85"/>
    <w:rsid w:val="00A72E6B"/>
    <w:rsid w:val="00A730E6"/>
    <w:rsid w:val="00A741EA"/>
    <w:rsid w:val="00A74326"/>
    <w:rsid w:val="00A744A3"/>
    <w:rsid w:val="00A75B18"/>
    <w:rsid w:val="00A75DB7"/>
    <w:rsid w:val="00A7645E"/>
    <w:rsid w:val="00A765A0"/>
    <w:rsid w:val="00A77517"/>
    <w:rsid w:val="00A80679"/>
    <w:rsid w:val="00A80B3F"/>
    <w:rsid w:val="00A81B47"/>
    <w:rsid w:val="00A81BC6"/>
    <w:rsid w:val="00A821CE"/>
    <w:rsid w:val="00A823E2"/>
    <w:rsid w:val="00A8315C"/>
    <w:rsid w:val="00A840F0"/>
    <w:rsid w:val="00A8481B"/>
    <w:rsid w:val="00A848D9"/>
    <w:rsid w:val="00A84E9D"/>
    <w:rsid w:val="00A8585D"/>
    <w:rsid w:val="00A858F1"/>
    <w:rsid w:val="00A85E9E"/>
    <w:rsid w:val="00A879BA"/>
    <w:rsid w:val="00A87BEA"/>
    <w:rsid w:val="00A87C46"/>
    <w:rsid w:val="00A87E06"/>
    <w:rsid w:val="00A91A41"/>
    <w:rsid w:val="00A93954"/>
    <w:rsid w:val="00A94B93"/>
    <w:rsid w:val="00A951B9"/>
    <w:rsid w:val="00A966D0"/>
    <w:rsid w:val="00A9691C"/>
    <w:rsid w:val="00A97683"/>
    <w:rsid w:val="00A977C7"/>
    <w:rsid w:val="00AA19B7"/>
    <w:rsid w:val="00AA1A15"/>
    <w:rsid w:val="00AA1DF4"/>
    <w:rsid w:val="00AA2536"/>
    <w:rsid w:val="00AA299D"/>
    <w:rsid w:val="00AA2B61"/>
    <w:rsid w:val="00AA3DC4"/>
    <w:rsid w:val="00AA54FF"/>
    <w:rsid w:val="00AA596D"/>
    <w:rsid w:val="00AA5D14"/>
    <w:rsid w:val="00AA61EB"/>
    <w:rsid w:val="00AA66D4"/>
    <w:rsid w:val="00AA6CFA"/>
    <w:rsid w:val="00AB0D6C"/>
    <w:rsid w:val="00AB1DB9"/>
    <w:rsid w:val="00AB2117"/>
    <w:rsid w:val="00AB2C07"/>
    <w:rsid w:val="00AB2FE4"/>
    <w:rsid w:val="00AB33AC"/>
    <w:rsid w:val="00AB3E8D"/>
    <w:rsid w:val="00AB41EE"/>
    <w:rsid w:val="00AB437F"/>
    <w:rsid w:val="00AB457B"/>
    <w:rsid w:val="00AB4B01"/>
    <w:rsid w:val="00AB56E9"/>
    <w:rsid w:val="00AB6A19"/>
    <w:rsid w:val="00AB6BC6"/>
    <w:rsid w:val="00AB7081"/>
    <w:rsid w:val="00AB7115"/>
    <w:rsid w:val="00AB7495"/>
    <w:rsid w:val="00AC0363"/>
    <w:rsid w:val="00AC0A51"/>
    <w:rsid w:val="00AC0AF8"/>
    <w:rsid w:val="00AC11C1"/>
    <w:rsid w:val="00AC2D2C"/>
    <w:rsid w:val="00AC425E"/>
    <w:rsid w:val="00AC471E"/>
    <w:rsid w:val="00AC4E50"/>
    <w:rsid w:val="00AC60A1"/>
    <w:rsid w:val="00AC7B86"/>
    <w:rsid w:val="00AD028F"/>
    <w:rsid w:val="00AD080B"/>
    <w:rsid w:val="00AD091F"/>
    <w:rsid w:val="00AD1F5E"/>
    <w:rsid w:val="00AD27E6"/>
    <w:rsid w:val="00AD3964"/>
    <w:rsid w:val="00AD4239"/>
    <w:rsid w:val="00AD546B"/>
    <w:rsid w:val="00AD55DC"/>
    <w:rsid w:val="00AD597A"/>
    <w:rsid w:val="00AD5FCE"/>
    <w:rsid w:val="00AD663E"/>
    <w:rsid w:val="00AD6AC7"/>
    <w:rsid w:val="00AD6E21"/>
    <w:rsid w:val="00AD7C83"/>
    <w:rsid w:val="00AD7E53"/>
    <w:rsid w:val="00AE0470"/>
    <w:rsid w:val="00AE1409"/>
    <w:rsid w:val="00AE191F"/>
    <w:rsid w:val="00AE25BB"/>
    <w:rsid w:val="00AE2755"/>
    <w:rsid w:val="00AE39B8"/>
    <w:rsid w:val="00AE43FE"/>
    <w:rsid w:val="00AE4DA8"/>
    <w:rsid w:val="00AE4FD0"/>
    <w:rsid w:val="00AE5378"/>
    <w:rsid w:val="00AE5BB6"/>
    <w:rsid w:val="00AE5D13"/>
    <w:rsid w:val="00AE5ED9"/>
    <w:rsid w:val="00AE5F3F"/>
    <w:rsid w:val="00AE6591"/>
    <w:rsid w:val="00AE6D8A"/>
    <w:rsid w:val="00AF0415"/>
    <w:rsid w:val="00AF16B3"/>
    <w:rsid w:val="00AF21D0"/>
    <w:rsid w:val="00AF23BE"/>
    <w:rsid w:val="00AF2943"/>
    <w:rsid w:val="00AF2E82"/>
    <w:rsid w:val="00AF396F"/>
    <w:rsid w:val="00AF39D5"/>
    <w:rsid w:val="00AF3AFB"/>
    <w:rsid w:val="00AF3D1B"/>
    <w:rsid w:val="00AF4096"/>
    <w:rsid w:val="00AF40C1"/>
    <w:rsid w:val="00AF4653"/>
    <w:rsid w:val="00AF4A7D"/>
    <w:rsid w:val="00AF4B9F"/>
    <w:rsid w:val="00AF5071"/>
    <w:rsid w:val="00AF5157"/>
    <w:rsid w:val="00AF5F65"/>
    <w:rsid w:val="00AF72AC"/>
    <w:rsid w:val="00AF72F8"/>
    <w:rsid w:val="00AF7B7C"/>
    <w:rsid w:val="00B0005F"/>
    <w:rsid w:val="00B01A8D"/>
    <w:rsid w:val="00B024C9"/>
    <w:rsid w:val="00B031DE"/>
    <w:rsid w:val="00B036B9"/>
    <w:rsid w:val="00B03B77"/>
    <w:rsid w:val="00B0459C"/>
    <w:rsid w:val="00B047BC"/>
    <w:rsid w:val="00B04C8B"/>
    <w:rsid w:val="00B05F53"/>
    <w:rsid w:val="00B06C81"/>
    <w:rsid w:val="00B06F81"/>
    <w:rsid w:val="00B07233"/>
    <w:rsid w:val="00B072BF"/>
    <w:rsid w:val="00B0739F"/>
    <w:rsid w:val="00B07844"/>
    <w:rsid w:val="00B10C6A"/>
    <w:rsid w:val="00B1280F"/>
    <w:rsid w:val="00B12A29"/>
    <w:rsid w:val="00B12D25"/>
    <w:rsid w:val="00B14E1D"/>
    <w:rsid w:val="00B15359"/>
    <w:rsid w:val="00B15677"/>
    <w:rsid w:val="00B16A9E"/>
    <w:rsid w:val="00B17DD7"/>
    <w:rsid w:val="00B17F6E"/>
    <w:rsid w:val="00B22330"/>
    <w:rsid w:val="00B22688"/>
    <w:rsid w:val="00B2285C"/>
    <w:rsid w:val="00B23142"/>
    <w:rsid w:val="00B23A9D"/>
    <w:rsid w:val="00B24D77"/>
    <w:rsid w:val="00B25CFC"/>
    <w:rsid w:val="00B26C01"/>
    <w:rsid w:val="00B2713C"/>
    <w:rsid w:val="00B27FC3"/>
    <w:rsid w:val="00B305E4"/>
    <w:rsid w:val="00B30F9F"/>
    <w:rsid w:val="00B31A7E"/>
    <w:rsid w:val="00B31F8C"/>
    <w:rsid w:val="00B32125"/>
    <w:rsid w:val="00B32785"/>
    <w:rsid w:val="00B32801"/>
    <w:rsid w:val="00B32A94"/>
    <w:rsid w:val="00B32B22"/>
    <w:rsid w:val="00B33149"/>
    <w:rsid w:val="00B336A0"/>
    <w:rsid w:val="00B33BDD"/>
    <w:rsid w:val="00B36660"/>
    <w:rsid w:val="00B3676F"/>
    <w:rsid w:val="00B368D5"/>
    <w:rsid w:val="00B3704A"/>
    <w:rsid w:val="00B4023E"/>
    <w:rsid w:val="00B4250E"/>
    <w:rsid w:val="00B43061"/>
    <w:rsid w:val="00B432BF"/>
    <w:rsid w:val="00B43962"/>
    <w:rsid w:val="00B44032"/>
    <w:rsid w:val="00B45969"/>
    <w:rsid w:val="00B461A8"/>
    <w:rsid w:val="00B47376"/>
    <w:rsid w:val="00B50462"/>
    <w:rsid w:val="00B50C70"/>
    <w:rsid w:val="00B51070"/>
    <w:rsid w:val="00B5178E"/>
    <w:rsid w:val="00B51BDA"/>
    <w:rsid w:val="00B523D9"/>
    <w:rsid w:val="00B52EB0"/>
    <w:rsid w:val="00B5322D"/>
    <w:rsid w:val="00B533F1"/>
    <w:rsid w:val="00B53790"/>
    <w:rsid w:val="00B5415E"/>
    <w:rsid w:val="00B54C10"/>
    <w:rsid w:val="00B55AFE"/>
    <w:rsid w:val="00B56621"/>
    <w:rsid w:val="00B56BF6"/>
    <w:rsid w:val="00B57F80"/>
    <w:rsid w:val="00B609A1"/>
    <w:rsid w:val="00B60C0C"/>
    <w:rsid w:val="00B60DDE"/>
    <w:rsid w:val="00B612DF"/>
    <w:rsid w:val="00B620D6"/>
    <w:rsid w:val="00B62A4D"/>
    <w:rsid w:val="00B62FFF"/>
    <w:rsid w:val="00B63A23"/>
    <w:rsid w:val="00B63C9F"/>
    <w:rsid w:val="00B6758D"/>
    <w:rsid w:val="00B677A2"/>
    <w:rsid w:val="00B70087"/>
    <w:rsid w:val="00B7064F"/>
    <w:rsid w:val="00B70F5E"/>
    <w:rsid w:val="00B71515"/>
    <w:rsid w:val="00B716AA"/>
    <w:rsid w:val="00B71A8C"/>
    <w:rsid w:val="00B7250A"/>
    <w:rsid w:val="00B72B73"/>
    <w:rsid w:val="00B73968"/>
    <w:rsid w:val="00B73FAF"/>
    <w:rsid w:val="00B75132"/>
    <w:rsid w:val="00B7617C"/>
    <w:rsid w:val="00B778F0"/>
    <w:rsid w:val="00B77998"/>
    <w:rsid w:val="00B80329"/>
    <w:rsid w:val="00B8045D"/>
    <w:rsid w:val="00B81920"/>
    <w:rsid w:val="00B82CAA"/>
    <w:rsid w:val="00B842AB"/>
    <w:rsid w:val="00B8497C"/>
    <w:rsid w:val="00B8508E"/>
    <w:rsid w:val="00B86688"/>
    <w:rsid w:val="00B86A0F"/>
    <w:rsid w:val="00B86C28"/>
    <w:rsid w:val="00B871F2"/>
    <w:rsid w:val="00B87FB5"/>
    <w:rsid w:val="00B92394"/>
    <w:rsid w:val="00B92667"/>
    <w:rsid w:val="00B92CFA"/>
    <w:rsid w:val="00B92E0B"/>
    <w:rsid w:val="00B933A2"/>
    <w:rsid w:val="00B9341E"/>
    <w:rsid w:val="00B93533"/>
    <w:rsid w:val="00B94D2A"/>
    <w:rsid w:val="00B95EE4"/>
    <w:rsid w:val="00B972F1"/>
    <w:rsid w:val="00B97534"/>
    <w:rsid w:val="00BA08FB"/>
    <w:rsid w:val="00BA092F"/>
    <w:rsid w:val="00BA0BFA"/>
    <w:rsid w:val="00BA1294"/>
    <w:rsid w:val="00BA16E4"/>
    <w:rsid w:val="00BA4609"/>
    <w:rsid w:val="00BA55BD"/>
    <w:rsid w:val="00BA5D8B"/>
    <w:rsid w:val="00BA6EFF"/>
    <w:rsid w:val="00BA70D0"/>
    <w:rsid w:val="00BA7A47"/>
    <w:rsid w:val="00BA7FB9"/>
    <w:rsid w:val="00BB0763"/>
    <w:rsid w:val="00BB10C4"/>
    <w:rsid w:val="00BB11EF"/>
    <w:rsid w:val="00BB12F2"/>
    <w:rsid w:val="00BB13B7"/>
    <w:rsid w:val="00BB2BC0"/>
    <w:rsid w:val="00BB3366"/>
    <w:rsid w:val="00BB36D3"/>
    <w:rsid w:val="00BB3831"/>
    <w:rsid w:val="00BB3976"/>
    <w:rsid w:val="00BB3BD2"/>
    <w:rsid w:val="00BB40A7"/>
    <w:rsid w:val="00BB46AF"/>
    <w:rsid w:val="00BB4A9D"/>
    <w:rsid w:val="00BB5256"/>
    <w:rsid w:val="00BB5A0F"/>
    <w:rsid w:val="00BB6B91"/>
    <w:rsid w:val="00BB7F96"/>
    <w:rsid w:val="00BC0F47"/>
    <w:rsid w:val="00BC1C94"/>
    <w:rsid w:val="00BC4088"/>
    <w:rsid w:val="00BC419E"/>
    <w:rsid w:val="00BC4C1D"/>
    <w:rsid w:val="00BC5095"/>
    <w:rsid w:val="00BC5C78"/>
    <w:rsid w:val="00BC5D48"/>
    <w:rsid w:val="00BC700A"/>
    <w:rsid w:val="00BC73F1"/>
    <w:rsid w:val="00BD08C9"/>
    <w:rsid w:val="00BD1FD4"/>
    <w:rsid w:val="00BD32A9"/>
    <w:rsid w:val="00BD368B"/>
    <w:rsid w:val="00BD462B"/>
    <w:rsid w:val="00BD4731"/>
    <w:rsid w:val="00BD4CF8"/>
    <w:rsid w:val="00BD6109"/>
    <w:rsid w:val="00BE20B1"/>
    <w:rsid w:val="00BE2E03"/>
    <w:rsid w:val="00BE37B2"/>
    <w:rsid w:val="00BE4AD5"/>
    <w:rsid w:val="00BE62C2"/>
    <w:rsid w:val="00BF0D86"/>
    <w:rsid w:val="00BF1B42"/>
    <w:rsid w:val="00BF27B1"/>
    <w:rsid w:val="00BF28BA"/>
    <w:rsid w:val="00BF2D0D"/>
    <w:rsid w:val="00BF5296"/>
    <w:rsid w:val="00BF56E8"/>
    <w:rsid w:val="00BF5F33"/>
    <w:rsid w:val="00BF6478"/>
    <w:rsid w:val="00BF6C1B"/>
    <w:rsid w:val="00BF73AE"/>
    <w:rsid w:val="00C00629"/>
    <w:rsid w:val="00C013B0"/>
    <w:rsid w:val="00C01A48"/>
    <w:rsid w:val="00C026F0"/>
    <w:rsid w:val="00C05F1C"/>
    <w:rsid w:val="00C0624D"/>
    <w:rsid w:val="00C0639C"/>
    <w:rsid w:val="00C06B2A"/>
    <w:rsid w:val="00C06FD1"/>
    <w:rsid w:val="00C07CDA"/>
    <w:rsid w:val="00C100D2"/>
    <w:rsid w:val="00C116C4"/>
    <w:rsid w:val="00C13633"/>
    <w:rsid w:val="00C13B9D"/>
    <w:rsid w:val="00C13DCE"/>
    <w:rsid w:val="00C1447F"/>
    <w:rsid w:val="00C14715"/>
    <w:rsid w:val="00C153E1"/>
    <w:rsid w:val="00C15A21"/>
    <w:rsid w:val="00C17906"/>
    <w:rsid w:val="00C20880"/>
    <w:rsid w:val="00C21088"/>
    <w:rsid w:val="00C21BB2"/>
    <w:rsid w:val="00C21E51"/>
    <w:rsid w:val="00C225EA"/>
    <w:rsid w:val="00C234F4"/>
    <w:rsid w:val="00C23837"/>
    <w:rsid w:val="00C23DE1"/>
    <w:rsid w:val="00C23E05"/>
    <w:rsid w:val="00C24236"/>
    <w:rsid w:val="00C24736"/>
    <w:rsid w:val="00C24AF6"/>
    <w:rsid w:val="00C26179"/>
    <w:rsid w:val="00C26CB9"/>
    <w:rsid w:val="00C276E7"/>
    <w:rsid w:val="00C27F6B"/>
    <w:rsid w:val="00C30F1C"/>
    <w:rsid w:val="00C310A5"/>
    <w:rsid w:val="00C311E1"/>
    <w:rsid w:val="00C313DD"/>
    <w:rsid w:val="00C314FE"/>
    <w:rsid w:val="00C31537"/>
    <w:rsid w:val="00C324E1"/>
    <w:rsid w:val="00C32732"/>
    <w:rsid w:val="00C32AD0"/>
    <w:rsid w:val="00C346BC"/>
    <w:rsid w:val="00C353F5"/>
    <w:rsid w:val="00C35809"/>
    <w:rsid w:val="00C3655A"/>
    <w:rsid w:val="00C37040"/>
    <w:rsid w:val="00C41AB2"/>
    <w:rsid w:val="00C42326"/>
    <w:rsid w:val="00C42B14"/>
    <w:rsid w:val="00C43243"/>
    <w:rsid w:val="00C435F6"/>
    <w:rsid w:val="00C44E26"/>
    <w:rsid w:val="00C464B2"/>
    <w:rsid w:val="00C46B83"/>
    <w:rsid w:val="00C46CDF"/>
    <w:rsid w:val="00C46ED8"/>
    <w:rsid w:val="00C470FB"/>
    <w:rsid w:val="00C47729"/>
    <w:rsid w:val="00C51666"/>
    <w:rsid w:val="00C516C5"/>
    <w:rsid w:val="00C51CF6"/>
    <w:rsid w:val="00C55025"/>
    <w:rsid w:val="00C55AD3"/>
    <w:rsid w:val="00C55E6D"/>
    <w:rsid w:val="00C57525"/>
    <w:rsid w:val="00C576F4"/>
    <w:rsid w:val="00C604B9"/>
    <w:rsid w:val="00C62361"/>
    <w:rsid w:val="00C63736"/>
    <w:rsid w:val="00C64120"/>
    <w:rsid w:val="00C65C17"/>
    <w:rsid w:val="00C67305"/>
    <w:rsid w:val="00C67436"/>
    <w:rsid w:val="00C67717"/>
    <w:rsid w:val="00C70579"/>
    <w:rsid w:val="00C716F2"/>
    <w:rsid w:val="00C71CE2"/>
    <w:rsid w:val="00C73070"/>
    <w:rsid w:val="00C7346C"/>
    <w:rsid w:val="00C73EDE"/>
    <w:rsid w:val="00C73EE1"/>
    <w:rsid w:val="00C740D3"/>
    <w:rsid w:val="00C742AB"/>
    <w:rsid w:val="00C742AF"/>
    <w:rsid w:val="00C742C6"/>
    <w:rsid w:val="00C75040"/>
    <w:rsid w:val="00C756AB"/>
    <w:rsid w:val="00C76B82"/>
    <w:rsid w:val="00C76D59"/>
    <w:rsid w:val="00C77296"/>
    <w:rsid w:val="00C77472"/>
    <w:rsid w:val="00C77506"/>
    <w:rsid w:val="00C77846"/>
    <w:rsid w:val="00C77CEF"/>
    <w:rsid w:val="00C80D05"/>
    <w:rsid w:val="00C82260"/>
    <w:rsid w:val="00C827E4"/>
    <w:rsid w:val="00C836BC"/>
    <w:rsid w:val="00C839CF"/>
    <w:rsid w:val="00C86632"/>
    <w:rsid w:val="00C86C71"/>
    <w:rsid w:val="00C86C75"/>
    <w:rsid w:val="00C87022"/>
    <w:rsid w:val="00C87930"/>
    <w:rsid w:val="00C879A2"/>
    <w:rsid w:val="00C90CDE"/>
    <w:rsid w:val="00C922DC"/>
    <w:rsid w:val="00C925DE"/>
    <w:rsid w:val="00C9350D"/>
    <w:rsid w:val="00C9396E"/>
    <w:rsid w:val="00C94A57"/>
    <w:rsid w:val="00C94A67"/>
    <w:rsid w:val="00C95E3C"/>
    <w:rsid w:val="00C9734E"/>
    <w:rsid w:val="00CA0348"/>
    <w:rsid w:val="00CA0DC0"/>
    <w:rsid w:val="00CA0EEB"/>
    <w:rsid w:val="00CA1AB2"/>
    <w:rsid w:val="00CA23FC"/>
    <w:rsid w:val="00CA272D"/>
    <w:rsid w:val="00CA2DDC"/>
    <w:rsid w:val="00CA3256"/>
    <w:rsid w:val="00CA430B"/>
    <w:rsid w:val="00CA447D"/>
    <w:rsid w:val="00CA452A"/>
    <w:rsid w:val="00CA4A87"/>
    <w:rsid w:val="00CA565E"/>
    <w:rsid w:val="00CA673E"/>
    <w:rsid w:val="00CA6CC6"/>
    <w:rsid w:val="00CA72B3"/>
    <w:rsid w:val="00CA7787"/>
    <w:rsid w:val="00CA77C5"/>
    <w:rsid w:val="00CB05F4"/>
    <w:rsid w:val="00CB0D05"/>
    <w:rsid w:val="00CB15AE"/>
    <w:rsid w:val="00CB1F47"/>
    <w:rsid w:val="00CB3D1D"/>
    <w:rsid w:val="00CB3F2E"/>
    <w:rsid w:val="00CB4AD4"/>
    <w:rsid w:val="00CB4C6A"/>
    <w:rsid w:val="00CB51AB"/>
    <w:rsid w:val="00CB5D49"/>
    <w:rsid w:val="00CB705E"/>
    <w:rsid w:val="00CB7079"/>
    <w:rsid w:val="00CB77DA"/>
    <w:rsid w:val="00CC15E2"/>
    <w:rsid w:val="00CC1B23"/>
    <w:rsid w:val="00CC1E7F"/>
    <w:rsid w:val="00CC22B3"/>
    <w:rsid w:val="00CC293F"/>
    <w:rsid w:val="00CC2EA3"/>
    <w:rsid w:val="00CC3211"/>
    <w:rsid w:val="00CC3A3F"/>
    <w:rsid w:val="00CC4173"/>
    <w:rsid w:val="00CC4248"/>
    <w:rsid w:val="00CC4509"/>
    <w:rsid w:val="00CC7BDC"/>
    <w:rsid w:val="00CD0B57"/>
    <w:rsid w:val="00CD1430"/>
    <w:rsid w:val="00CD25CA"/>
    <w:rsid w:val="00CD3558"/>
    <w:rsid w:val="00CD3577"/>
    <w:rsid w:val="00CD3D6A"/>
    <w:rsid w:val="00CD4E15"/>
    <w:rsid w:val="00CD52B5"/>
    <w:rsid w:val="00CD54D0"/>
    <w:rsid w:val="00CE05CF"/>
    <w:rsid w:val="00CE09D3"/>
    <w:rsid w:val="00CE2DD2"/>
    <w:rsid w:val="00CE303A"/>
    <w:rsid w:val="00CE384C"/>
    <w:rsid w:val="00CE4DF3"/>
    <w:rsid w:val="00CE71C1"/>
    <w:rsid w:val="00CE799C"/>
    <w:rsid w:val="00CE7D09"/>
    <w:rsid w:val="00CF0018"/>
    <w:rsid w:val="00CF1CDA"/>
    <w:rsid w:val="00CF238E"/>
    <w:rsid w:val="00CF3AA8"/>
    <w:rsid w:val="00CF75DB"/>
    <w:rsid w:val="00CF7E96"/>
    <w:rsid w:val="00D0042F"/>
    <w:rsid w:val="00D00855"/>
    <w:rsid w:val="00D01609"/>
    <w:rsid w:val="00D01F02"/>
    <w:rsid w:val="00D022BD"/>
    <w:rsid w:val="00D02554"/>
    <w:rsid w:val="00D02C9C"/>
    <w:rsid w:val="00D039D4"/>
    <w:rsid w:val="00D03AF8"/>
    <w:rsid w:val="00D03BD5"/>
    <w:rsid w:val="00D0467D"/>
    <w:rsid w:val="00D04B27"/>
    <w:rsid w:val="00D0689A"/>
    <w:rsid w:val="00D07031"/>
    <w:rsid w:val="00D07197"/>
    <w:rsid w:val="00D102AD"/>
    <w:rsid w:val="00D10478"/>
    <w:rsid w:val="00D11EB1"/>
    <w:rsid w:val="00D12195"/>
    <w:rsid w:val="00D157B6"/>
    <w:rsid w:val="00D17B1A"/>
    <w:rsid w:val="00D17D6B"/>
    <w:rsid w:val="00D20772"/>
    <w:rsid w:val="00D21583"/>
    <w:rsid w:val="00D21EED"/>
    <w:rsid w:val="00D22400"/>
    <w:rsid w:val="00D22625"/>
    <w:rsid w:val="00D22C8D"/>
    <w:rsid w:val="00D239CA"/>
    <w:rsid w:val="00D239DC"/>
    <w:rsid w:val="00D245CE"/>
    <w:rsid w:val="00D2545A"/>
    <w:rsid w:val="00D25DF0"/>
    <w:rsid w:val="00D26290"/>
    <w:rsid w:val="00D2653D"/>
    <w:rsid w:val="00D274AD"/>
    <w:rsid w:val="00D274F5"/>
    <w:rsid w:val="00D2786D"/>
    <w:rsid w:val="00D27E4C"/>
    <w:rsid w:val="00D3090C"/>
    <w:rsid w:val="00D3272C"/>
    <w:rsid w:val="00D33054"/>
    <w:rsid w:val="00D35014"/>
    <w:rsid w:val="00D351DF"/>
    <w:rsid w:val="00D3660F"/>
    <w:rsid w:val="00D40A16"/>
    <w:rsid w:val="00D41160"/>
    <w:rsid w:val="00D42B04"/>
    <w:rsid w:val="00D42F65"/>
    <w:rsid w:val="00D431F5"/>
    <w:rsid w:val="00D44067"/>
    <w:rsid w:val="00D461DB"/>
    <w:rsid w:val="00D47303"/>
    <w:rsid w:val="00D473F0"/>
    <w:rsid w:val="00D50121"/>
    <w:rsid w:val="00D50599"/>
    <w:rsid w:val="00D5156C"/>
    <w:rsid w:val="00D51A82"/>
    <w:rsid w:val="00D5218F"/>
    <w:rsid w:val="00D52B4E"/>
    <w:rsid w:val="00D52EFC"/>
    <w:rsid w:val="00D53C5B"/>
    <w:rsid w:val="00D5544C"/>
    <w:rsid w:val="00D554CF"/>
    <w:rsid w:val="00D55598"/>
    <w:rsid w:val="00D56548"/>
    <w:rsid w:val="00D567C7"/>
    <w:rsid w:val="00D56A29"/>
    <w:rsid w:val="00D57326"/>
    <w:rsid w:val="00D5740A"/>
    <w:rsid w:val="00D57D6F"/>
    <w:rsid w:val="00D60B9A"/>
    <w:rsid w:val="00D60CFE"/>
    <w:rsid w:val="00D612AE"/>
    <w:rsid w:val="00D61495"/>
    <w:rsid w:val="00D6188E"/>
    <w:rsid w:val="00D61B24"/>
    <w:rsid w:val="00D62536"/>
    <w:rsid w:val="00D63BB4"/>
    <w:rsid w:val="00D659C6"/>
    <w:rsid w:val="00D65A6D"/>
    <w:rsid w:val="00D65EDA"/>
    <w:rsid w:val="00D67D37"/>
    <w:rsid w:val="00D70931"/>
    <w:rsid w:val="00D71AF7"/>
    <w:rsid w:val="00D71FF0"/>
    <w:rsid w:val="00D732EE"/>
    <w:rsid w:val="00D73667"/>
    <w:rsid w:val="00D74B6E"/>
    <w:rsid w:val="00D751A0"/>
    <w:rsid w:val="00D76354"/>
    <w:rsid w:val="00D76974"/>
    <w:rsid w:val="00D77548"/>
    <w:rsid w:val="00D775F0"/>
    <w:rsid w:val="00D8041C"/>
    <w:rsid w:val="00D80D25"/>
    <w:rsid w:val="00D814AF"/>
    <w:rsid w:val="00D81947"/>
    <w:rsid w:val="00D81A8D"/>
    <w:rsid w:val="00D81D86"/>
    <w:rsid w:val="00D827C3"/>
    <w:rsid w:val="00D82990"/>
    <w:rsid w:val="00D82FF2"/>
    <w:rsid w:val="00D83219"/>
    <w:rsid w:val="00D832EB"/>
    <w:rsid w:val="00D83610"/>
    <w:rsid w:val="00D83799"/>
    <w:rsid w:val="00D83A72"/>
    <w:rsid w:val="00D848D1"/>
    <w:rsid w:val="00D85417"/>
    <w:rsid w:val="00D85685"/>
    <w:rsid w:val="00D8574A"/>
    <w:rsid w:val="00D865E9"/>
    <w:rsid w:val="00D8694C"/>
    <w:rsid w:val="00D90601"/>
    <w:rsid w:val="00D90B9A"/>
    <w:rsid w:val="00D91041"/>
    <w:rsid w:val="00D9189C"/>
    <w:rsid w:val="00D92354"/>
    <w:rsid w:val="00D9260D"/>
    <w:rsid w:val="00D92D55"/>
    <w:rsid w:val="00D93888"/>
    <w:rsid w:val="00D95494"/>
    <w:rsid w:val="00D9560F"/>
    <w:rsid w:val="00D96A60"/>
    <w:rsid w:val="00D97329"/>
    <w:rsid w:val="00D97CA5"/>
    <w:rsid w:val="00DA273B"/>
    <w:rsid w:val="00DA32EC"/>
    <w:rsid w:val="00DA4686"/>
    <w:rsid w:val="00DA77FA"/>
    <w:rsid w:val="00DA7A73"/>
    <w:rsid w:val="00DB1CFC"/>
    <w:rsid w:val="00DB23EC"/>
    <w:rsid w:val="00DB322D"/>
    <w:rsid w:val="00DB35C1"/>
    <w:rsid w:val="00DB395E"/>
    <w:rsid w:val="00DB3AE7"/>
    <w:rsid w:val="00DB3B94"/>
    <w:rsid w:val="00DB4071"/>
    <w:rsid w:val="00DB48D6"/>
    <w:rsid w:val="00DB5120"/>
    <w:rsid w:val="00DB58E7"/>
    <w:rsid w:val="00DB5D83"/>
    <w:rsid w:val="00DB6931"/>
    <w:rsid w:val="00DB6B7A"/>
    <w:rsid w:val="00DB6FF9"/>
    <w:rsid w:val="00DB7674"/>
    <w:rsid w:val="00DB7EF4"/>
    <w:rsid w:val="00DC0553"/>
    <w:rsid w:val="00DC0674"/>
    <w:rsid w:val="00DC1ADD"/>
    <w:rsid w:val="00DC24B5"/>
    <w:rsid w:val="00DC2776"/>
    <w:rsid w:val="00DC2AF7"/>
    <w:rsid w:val="00DC403D"/>
    <w:rsid w:val="00DC49A6"/>
    <w:rsid w:val="00DC66BF"/>
    <w:rsid w:val="00DC6D04"/>
    <w:rsid w:val="00DC7DC2"/>
    <w:rsid w:val="00DD0666"/>
    <w:rsid w:val="00DD1A31"/>
    <w:rsid w:val="00DD2CD3"/>
    <w:rsid w:val="00DD37B4"/>
    <w:rsid w:val="00DD3DAD"/>
    <w:rsid w:val="00DD40BF"/>
    <w:rsid w:val="00DD4FC5"/>
    <w:rsid w:val="00DD50B3"/>
    <w:rsid w:val="00DD60AD"/>
    <w:rsid w:val="00DD7483"/>
    <w:rsid w:val="00DD7F29"/>
    <w:rsid w:val="00DE0DE6"/>
    <w:rsid w:val="00DE0EB8"/>
    <w:rsid w:val="00DE2A06"/>
    <w:rsid w:val="00DE2A1C"/>
    <w:rsid w:val="00DE2C20"/>
    <w:rsid w:val="00DE2CC3"/>
    <w:rsid w:val="00DE33D0"/>
    <w:rsid w:val="00DE3BB1"/>
    <w:rsid w:val="00DE4CCF"/>
    <w:rsid w:val="00DE4E7B"/>
    <w:rsid w:val="00DE583E"/>
    <w:rsid w:val="00DE5A83"/>
    <w:rsid w:val="00DE63AE"/>
    <w:rsid w:val="00DF0028"/>
    <w:rsid w:val="00DF0A4A"/>
    <w:rsid w:val="00DF0C4B"/>
    <w:rsid w:val="00DF0CA8"/>
    <w:rsid w:val="00DF0E4C"/>
    <w:rsid w:val="00DF1260"/>
    <w:rsid w:val="00DF13A1"/>
    <w:rsid w:val="00DF2AF6"/>
    <w:rsid w:val="00DF2DE6"/>
    <w:rsid w:val="00DF3D26"/>
    <w:rsid w:val="00DF3E49"/>
    <w:rsid w:val="00DF3F4C"/>
    <w:rsid w:val="00DF4DDA"/>
    <w:rsid w:val="00DF6779"/>
    <w:rsid w:val="00DF692B"/>
    <w:rsid w:val="00DF75F1"/>
    <w:rsid w:val="00E00BEB"/>
    <w:rsid w:val="00E00CB5"/>
    <w:rsid w:val="00E01F3A"/>
    <w:rsid w:val="00E039D3"/>
    <w:rsid w:val="00E048DF"/>
    <w:rsid w:val="00E04E5A"/>
    <w:rsid w:val="00E056E4"/>
    <w:rsid w:val="00E0586B"/>
    <w:rsid w:val="00E05BC2"/>
    <w:rsid w:val="00E07AE2"/>
    <w:rsid w:val="00E07FD4"/>
    <w:rsid w:val="00E1089C"/>
    <w:rsid w:val="00E13A09"/>
    <w:rsid w:val="00E149BA"/>
    <w:rsid w:val="00E1554D"/>
    <w:rsid w:val="00E15BCD"/>
    <w:rsid w:val="00E15FF6"/>
    <w:rsid w:val="00E16024"/>
    <w:rsid w:val="00E162FF"/>
    <w:rsid w:val="00E179E5"/>
    <w:rsid w:val="00E200F5"/>
    <w:rsid w:val="00E20326"/>
    <w:rsid w:val="00E203C6"/>
    <w:rsid w:val="00E2055A"/>
    <w:rsid w:val="00E209C8"/>
    <w:rsid w:val="00E21098"/>
    <w:rsid w:val="00E216DA"/>
    <w:rsid w:val="00E2211B"/>
    <w:rsid w:val="00E22D96"/>
    <w:rsid w:val="00E23D75"/>
    <w:rsid w:val="00E24586"/>
    <w:rsid w:val="00E24A10"/>
    <w:rsid w:val="00E25127"/>
    <w:rsid w:val="00E2544C"/>
    <w:rsid w:val="00E25577"/>
    <w:rsid w:val="00E26975"/>
    <w:rsid w:val="00E26CFF"/>
    <w:rsid w:val="00E27533"/>
    <w:rsid w:val="00E30BEB"/>
    <w:rsid w:val="00E31418"/>
    <w:rsid w:val="00E318F7"/>
    <w:rsid w:val="00E32243"/>
    <w:rsid w:val="00E325C7"/>
    <w:rsid w:val="00E3464A"/>
    <w:rsid w:val="00E349CF"/>
    <w:rsid w:val="00E34BB6"/>
    <w:rsid w:val="00E364F5"/>
    <w:rsid w:val="00E37356"/>
    <w:rsid w:val="00E37A37"/>
    <w:rsid w:val="00E4166F"/>
    <w:rsid w:val="00E42026"/>
    <w:rsid w:val="00E424E7"/>
    <w:rsid w:val="00E425FA"/>
    <w:rsid w:val="00E42897"/>
    <w:rsid w:val="00E44E90"/>
    <w:rsid w:val="00E464F9"/>
    <w:rsid w:val="00E468F1"/>
    <w:rsid w:val="00E47BE8"/>
    <w:rsid w:val="00E47DF3"/>
    <w:rsid w:val="00E5051D"/>
    <w:rsid w:val="00E52B76"/>
    <w:rsid w:val="00E52D10"/>
    <w:rsid w:val="00E532D1"/>
    <w:rsid w:val="00E549B1"/>
    <w:rsid w:val="00E55F42"/>
    <w:rsid w:val="00E57733"/>
    <w:rsid w:val="00E57948"/>
    <w:rsid w:val="00E57A5C"/>
    <w:rsid w:val="00E6349F"/>
    <w:rsid w:val="00E64166"/>
    <w:rsid w:val="00E64696"/>
    <w:rsid w:val="00E64BFA"/>
    <w:rsid w:val="00E64CB4"/>
    <w:rsid w:val="00E66389"/>
    <w:rsid w:val="00E670B4"/>
    <w:rsid w:val="00E67206"/>
    <w:rsid w:val="00E67B2E"/>
    <w:rsid w:val="00E708B2"/>
    <w:rsid w:val="00E70916"/>
    <w:rsid w:val="00E70E8C"/>
    <w:rsid w:val="00E71539"/>
    <w:rsid w:val="00E7155A"/>
    <w:rsid w:val="00E71942"/>
    <w:rsid w:val="00E72D75"/>
    <w:rsid w:val="00E72D9F"/>
    <w:rsid w:val="00E73BB8"/>
    <w:rsid w:val="00E74264"/>
    <w:rsid w:val="00E74714"/>
    <w:rsid w:val="00E74CD4"/>
    <w:rsid w:val="00E756B7"/>
    <w:rsid w:val="00E75B07"/>
    <w:rsid w:val="00E770C3"/>
    <w:rsid w:val="00E8073E"/>
    <w:rsid w:val="00E807A9"/>
    <w:rsid w:val="00E815A7"/>
    <w:rsid w:val="00E81C6E"/>
    <w:rsid w:val="00E81D88"/>
    <w:rsid w:val="00E81DA3"/>
    <w:rsid w:val="00E81DCF"/>
    <w:rsid w:val="00E8484E"/>
    <w:rsid w:val="00E85FB7"/>
    <w:rsid w:val="00E86C1C"/>
    <w:rsid w:val="00E87034"/>
    <w:rsid w:val="00E87240"/>
    <w:rsid w:val="00E87D0B"/>
    <w:rsid w:val="00E87E59"/>
    <w:rsid w:val="00E91336"/>
    <w:rsid w:val="00E917C7"/>
    <w:rsid w:val="00E91FB4"/>
    <w:rsid w:val="00E92388"/>
    <w:rsid w:val="00E92AAF"/>
    <w:rsid w:val="00E93F24"/>
    <w:rsid w:val="00E947C9"/>
    <w:rsid w:val="00E96218"/>
    <w:rsid w:val="00E964D0"/>
    <w:rsid w:val="00E967A7"/>
    <w:rsid w:val="00E977A3"/>
    <w:rsid w:val="00E978A6"/>
    <w:rsid w:val="00E97F5C"/>
    <w:rsid w:val="00EA0971"/>
    <w:rsid w:val="00EA1529"/>
    <w:rsid w:val="00EA1B26"/>
    <w:rsid w:val="00EA25D8"/>
    <w:rsid w:val="00EA29CF"/>
    <w:rsid w:val="00EA2AD5"/>
    <w:rsid w:val="00EA41D2"/>
    <w:rsid w:val="00EA6682"/>
    <w:rsid w:val="00EA7565"/>
    <w:rsid w:val="00EA78CE"/>
    <w:rsid w:val="00EB0331"/>
    <w:rsid w:val="00EB0C9D"/>
    <w:rsid w:val="00EB1C82"/>
    <w:rsid w:val="00EB1F9E"/>
    <w:rsid w:val="00EB1FEA"/>
    <w:rsid w:val="00EB20F6"/>
    <w:rsid w:val="00EB3DBA"/>
    <w:rsid w:val="00EB4381"/>
    <w:rsid w:val="00EB63BB"/>
    <w:rsid w:val="00EB6412"/>
    <w:rsid w:val="00EB68D3"/>
    <w:rsid w:val="00EB7BCC"/>
    <w:rsid w:val="00EB7BE5"/>
    <w:rsid w:val="00EB7F54"/>
    <w:rsid w:val="00EC018D"/>
    <w:rsid w:val="00EC0D04"/>
    <w:rsid w:val="00EC0FE5"/>
    <w:rsid w:val="00EC1FAC"/>
    <w:rsid w:val="00EC20BB"/>
    <w:rsid w:val="00EC3D91"/>
    <w:rsid w:val="00EC428D"/>
    <w:rsid w:val="00EC4830"/>
    <w:rsid w:val="00EC4D87"/>
    <w:rsid w:val="00EC543F"/>
    <w:rsid w:val="00EC5CFA"/>
    <w:rsid w:val="00EC6D53"/>
    <w:rsid w:val="00EC6D63"/>
    <w:rsid w:val="00EC781A"/>
    <w:rsid w:val="00ED0DE8"/>
    <w:rsid w:val="00ED1466"/>
    <w:rsid w:val="00ED15A1"/>
    <w:rsid w:val="00ED1C99"/>
    <w:rsid w:val="00ED20D7"/>
    <w:rsid w:val="00ED24AA"/>
    <w:rsid w:val="00ED35FF"/>
    <w:rsid w:val="00ED3FA7"/>
    <w:rsid w:val="00ED432C"/>
    <w:rsid w:val="00ED44BF"/>
    <w:rsid w:val="00ED4662"/>
    <w:rsid w:val="00ED6877"/>
    <w:rsid w:val="00ED6DE5"/>
    <w:rsid w:val="00ED7248"/>
    <w:rsid w:val="00ED74DA"/>
    <w:rsid w:val="00ED7CFC"/>
    <w:rsid w:val="00EE3934"/>
    <w:rsid w:val="00EE5069"/>
    <w:rsid w:val="00EE5776"/>
    <w:rsid w:val="00EE58A2"/>
    <w:rsid w:val="00EE5E3F"/>
    <w:rsid w:val="00EE6491"/>
    <w:rsid w:val="00EE75BC"/>
    <w:rsid w:val="00EE7C3D"/>
    <w:rsid w:val="00EF0840"/>
    <w:rsid w:val="00EF0FED"/>
    <w:rsid w:val="00EF149E"/>
    <w:rsid w:val="00EF20ED"/>
    <w:rsid w:val="00EF242B"/>
    <w:rsid w:val="00EF2560"/>
    <w:rsid w:val="00EF4BFC"/>
    <w:rsid w:val="00EF51E0"/>
    <w:rsid w:val="00EF5D3E"/>
    <w:rsid w:val="00EF7037"/>
    <w:rsid w:val="00EF7102"/>
    <w:rsid w:val="00EF726D"/>
    <w:rsid w:val="00EF7899"/>
    <w:rsid w:val="00F003D4"/>
    <w:rsid w:val="00F00B41"/>
    <w:rsid w:val="00F00BFF"/>
    <w:rsid w:val="00F01155"/>
    <w:rsid w:val="00F01B3F"/>
    <w:rsid w:val="00F0209D"/>
    <w:rsid w:val="00F048E5"/>
    <w:rsid w:val="00F04CFC"/>
    <w:rsid w:val="00F05584"/>
    <w:rsid w:val="00F05895"/>
    <w:rsid w:val="00F061DE"/>
    <w:rsid w:val="00F06508"/>
    <w:rsid w:val="00F077AE"/>
    <w:rsid w:val="00F106D5"/>
    <w:rsid w:val="00F10AB9"/>
    <w:rsid w:val="00F10C59"/>
    <w:rsid w:val="00F10F94"/>
    <w:rsid w:val="00F11FFA"/>
    <w:rsid w:val="00F1309D"/>
    <w:rsid w:val="00F14E9D"/>
    <w:rsid w:val="00F15BA9"/>
    <w:rsid w:val="00F170E0"/>
    <w:rsid w:val="00F177C5"/>
    <w:rsid w:val="00F17D41"/>
    <w:rsid w:val="00F21F7C"/>
    <w:rsid w:val="00F2358A"/>
    <w:rsid w:val="00F236D4"/>
    <w:rsid w:val="00F254C3"/>
    <w:rsid w:val="00F25655"/>
    <w:rsid w:val="00F25D6F"/>
    <w:rsid w:val="00F26A41"/>
    <w:rsid w:val="00F2775F"/>
    <w:rsid w:val="00F27E12"/>
    <w:rsid w:val="00F30325"/>
    <w:rsid w:val="00F3066E"/>
    <w:rsid w:val="00F31848"/>
    <w:rsid w:val="00F338C8"/>
    <w:rsid w:val="00F34098"/>
    <w:rsid w:val="00F343E9"/>
    <w:rsid w:val="00F36289"/>
    <w:rsid w:val="00F36397"/>
    <w:rsid w:val="00F3726C"/>
    <w:rsid w:val="00F37DC9"/>
    <w:rsid w:val="00F37E05"/>
    <w:rsid w:val="00F40016"/>
    <w:rsid w:val="00F400C9"/>
    <w:rsid w:val="00F40289"/>
    <w:rsid w:val="00F40894"/>
    <w:rsid w:val="00F41502"/>
    <w:rsid w:val="00F418C8"/>
    <w:rsid w:val="00F41B19"/>
    <w:rsid w:val="00F42524"/>
    <w:rsid w:val="00F42681"/>
    <w:rsid w:val="00F43217"/>
    <w:rsid w:val="00F43F2F"/>
    <w:rsid w:val="00F4496B"/>
    <w:rsid w:val="00F44C2F"/>
    <w:rsid w:val="00F4573D"/>
    <w:rsid w:val="00F45E5E"/>
    <w:rsid w:val="00F46438"/>
    <w:rsid w:val="00F47E2D"/>
    <w:rsid w:val="00F50477"/>
    <w:rsid w:val="00F50978"/>
    <w:rsid w:val="00F50AE1"/>
    <w:rsid w:val="00F51D5D"/>
    <w:rsid w:val="00F524B8"/>
    <w:rsid w:val="00F528D7"/>
    <w:rsid w:val="00F52E38"/>
    <w:rsid w:val="00F53F7D"/>
    <w:rsid w:val="00F54C52"/>
    <w:rsid w:val="00F5562E"/>
    <w:rsid w:val="00F55F88"/>
    <w:rsid w:val="00F5652F"/>
    <w:rsid w:val="00F568F7"/>
    <w:rsid w:val="00F56D7F"/>
    <w:rsid w:val="00F57040"/>
    <w:rsid w:val="00F57D3A"/>
    <w:rsid w:val="00F57FCD"/>
    <w:rsid w:val="00F60A47"/>
    <w:rsid w:val="00F617AD"/>
    <w:rsid w:val="00F619D2"/>
    <w:rsid w:val="00F621A4"/>
    <w:rsid w:val="00F62675"/>
    <w:rsid w:val="00F63A91"/>
    <w:rsid w:val="00F64B38"/>
    <w:rsid w:val="00F64CC2"/>
    <w:rsid w:val="00F65F09"/>
    <w:rsid w:val="00F66279"/>
    <w:rsid w:val="00F66986"/>
    <w:rsid w:val="00F678D2"/>
    <w:rsid w:val="00F67ADF"/>
    <w:rsid w:val="00F7061F"/>
    <w:rsid w:val="00F70CA0"/>
    <w:rsid w:val="00F70ECD"/>
    <w:rsid w:val="00F72746"/>
    <w:rsid w:val="00F728D1"/>
    <w:rsid w:val="00F735D5"/>
    <w:rsid w:val="00F73983"/>
    <w:rsid w:val="00F74044"/>
    <w:rsid w:val="00F7664C"/>
    <w:rsid w:val="00F777D6"/>
    <w:rsid w:val="00F8036F"/>
    <w:rsid w:val="00F81817"/>
    <w:rsid w:val="00F8220C"/>
    <w:rsid w:val="00F824DE"/>
    <w:rsid w:val="00F83184"/>
    <w:rsid w:val="00F83D9D"/>
    <w:rsid w:val="00F84D0F"/>
    <w:rsid w:val="00F85328"/>
    <w:rsid w:val="00F856A0"/>
    <w:rsid w:val="00F87292"/>
    <w:rsid w:val="00F875F7"/>
    <w:rsid w:val="00F92172"/>
    <w:rsid w:val="00F92E50"/>
    <w:rsid w:val="00F93A0E"/>
    <w:rsid w:val="00F93B76"/>
    <w:rsid w:val="00F93BBE"/>
    <w:rsid w:val="00F93FF7"/>
    <w:rsid w:val="00F94156"/>
    <w:rsid w:val="00F94D4D"/>
    <w:rsid w:val="00F962FC"/>
    <w:rsid w:val="00FA0D7A"/>
    <w:rsid w:val="00FA1C0B"/>
    <w:rsid w:val="00FA336F"/>
    <w:rsid w:val="00FA4267"/>
    <w:rsid w:val="00FA4479"/>
    <w:rsid w:val="00FA4E39"/>
    <w:rsid w:val="00FA52C2"/>
    <w:rsid w:val="00FA5E0B"/>
    <w:rsid w:val="00FA61FA"/>
    <w:rsid w:val="00FA6A0A"/>
    <w:rsid w:val="00FA6CAA"/>
    <w:rsid w:val="00FA7BF1"/>
    <w:rsid w:val="00FB0781"/>
    <w:rsid w:val="00FB0D14"/>
    <w:rsid w:val="00FB17DC"/>
    <w:rsid w:val="00FB1F61"/>
    <w:rsid w:val="00FB1F9F"/>
    <w:rsid w:val="00FB2088"/>
    <w:rsid w:val="00FB3DD8"/>
    <w:rsid w:val="00FB3DFC"/>
    <w:rsid w:val="00FB42D0"/>
    <w:rsid w:val="00FB5450"/>
    <w:rsid w:val="00FB54A3"/>
    <w:rsid w:val="00FB55CD"/>
    <w:rsid w:val="00FB6DF1"/>
    <w:rsid w:val="00FB6FAB"/>
    <w:rsid w:val="00FB709D"/>
    <w:rsid w:val="00FB77DD"/>
    <w:rsid w:val="00FC00DC"/>
    <w:rsid w:val="00FC014E"/>
    <w:rsid w:val="00FC11E3"/>
    <w:rsid w:val="00FC1EAB"/>
    <w:rsid w:val="00FC2083"/>
    <w:rsid w:val="00FC27C0"/>
    <w:rsid w:val="00FC7DB3"/>
    <w:rsid w:val="00FC7EF0"/>
    <w:rsid w:val="00FD05C6"/>
    <w:rsid w:val="00FD0CF7"/>
    <w:rsid w:val="00FD1ECE"/>
    <w:rsid w:val="00FD27C8"/>
    <w:rsid w:val="00FD3E7B"/>
    <w:rsid w:val="00FD430C"/>
    <w:rsid w:val="00FD43E3"/>
    <w:rsid w:val="00FD4A7E"/>
    <w:rsid w:val="00FD56C3"/>
    <w:rsid w:val="00FD5C60"/>
    <w:rsid w:val="00FD6152"/>
    <w:rsid w:val="00FD6F54"/>
    <w:rsid w:val="00FD744F"/>
    <w:rsid w:val="00FE0132"/>
    <w:rsid w:val="00FE03FF"/>
    <w:rsid w:val="00FE0876"/>
    <w:rsid w:val="00FE0A0A"/>
    <w:rsid w:val="00FE0A78"/>
    <w:rsid w:val="00FE3280"/>
    <w:rsid w:val="00FE3997"/>
    <w:rsid w:val="00FE3EFF"/>
    <w:rsid w:val="00FE496F"/>
    <w:rsid w:val="00FE6AB8"/>
    <w:rsid w:val="00FE6D6C"/>
    <w:rsid w:val="00FE6DAE"/>
    <w:rsid w:val="00FE7D99"/>
    <w:rsid w:val="00FF0AD3"/>
    <w:rsid w:val="00FF10DD"/>
    <w:rsid w:val="00FF1219"/>
    <w:rsid w:val="00FF1769"/>
    <w:rsid w:val="00FF17A3"/>
    <w:rsid w:val="00FF1936"/>
    <w:rsid w:val="00FF2DD4"/>
    <w:rsid w:val="00FF3B36"/>
    <w:rsid w:val="00FF3B37"/>
    <w:rsid w:val="00FF3C16"/>
    <w:rsid w:val="00FF48D6"/>
    <w:rsid w:val="00FF4F62"/>
    <w:rsid w:val="00FF5067"/>
    <w:rsid w:val="00FF5A01"/>
    <w:rsid w:val="00FF6CE0"/>
    <w:rsid w:val="00FF6CF6"/>
    <w:rsid w:val="00FF748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98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Default Paragraph Font" w:uiPriority="1"/>
    <w:lsdException w:name="Body Text" w:qFormat="1"/>
    <w:lsdException w:name="Subtitle" w:qFormat="1"/>
    <w:lsdException w:name="Hyperlink" w:uiPriority="99"/>
    <w:lsdException w:name="Strong" w:qFormat="1"/>
    <w:lsdException w:name="Emphasis" w:uiPriority="20"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15677"/>
    <w:rPr>
      <w:rFonts w:ascii="Arial" w:hAnsi="Arial"/>
      <w:lang w:eastAsia="en-US"/>
    </w:rPr>
  </w:style>
  <w:style w:type="paragraph" w:styleId="Heading1">
    <w:name w:val="heading 1"/>
    <w:basedOn w:val="Normal"/>
    <w:next w:val="Normal"/>
    <w:link w:val="Heading1Char"/>
    <w:uiPriority w:val="9"/>
    <w:qFormat/>
    <w:rsid w:val="002E3C69"/>
    <w:pPr>
      <w:keepNext/>
      <w:pageBreakBefore/>
      <w:tabs>
        <w:tab w:val="num" w:pos="567"/>
      </w:tabs>
      <w:spacing w:before="240" w:after="60"/>
      <w:outlineLvl w:val="0"/>
    </w:pPr>
    <w:rPr>
      <w:rFonts w:ascii="Arial Bold" w:hAnsi="Arial Bold" w:cs="Arial"/>
      <w:b/>
      <w:bCs/>
      <w:caps/>
      <w:kern w:val="32"/>
      <w:sz w:val="22"/>
      <w:szCs w:val="32"/>
      <w:lang w:eastAsia="da-DK"/>
    </w:rPr>
  </w:style>
  <w:style w:type="paragraph" w:styleId="Heading2">
    <w:name w:val="heading 2"/>
    <w:basedOn w:val="StyleHeading3ComplexItalic"/>
    <w:next w:val="Normal"/>
    <w:link w:val="Heading2Char"/>
    <w:qFormat/>
    <w:rsid w:val="002E3C69"/>
    <w:pPr>
      <w:tabs>
        <w:tab w:val="clear" w:pos="1985"/>
      </w:tabs>
      <w:ind w:left="3686" w:hanging="3686"/>
      <w:outlineLvl w:val="1"/>
    </w:pPr>
    <w:rPr>
      <w:rFonts w:eastAsia="SimSun"/>
    </w:rPr>
  </w:style>
  <w:style w:type="paragraph" w:styleId="Heading3">
    <w:name w:val="heading 3"/>
    <w:basedOn w:val="Normal"/>
    <w:next w:val="Normal"/>
    <w:link w:val="Heading3Char"/>
    <w:uiPriority w:val="9"/>
    <w:qFormat/>
    <w:rsid w:val="00FB1F61"/>
    <w:pPr>
      <w:keepNext/>
      <w:tabs>
        <w:tab w:val="left" w:pos="2268"/>
      </w:tabs>
      <w:ind w:left="2268" w:hanging="2268"/>
      <w:outlineLvl w:val="2"/>
    </w:pPr>
    <w:rPr>
      <w:rFonts w:ascii="Arial Bold" w:hAnsi="Arial Bold" w:cs="Arial"/>
      <w:b/>
      <w:caps/>
      <w:sz w:val="22"/>
      <w:szCs w:val="22"/>
    </w:rPr>
  </w:style>
  <w:style w:type="paragraph" w:styleId="Heading4">
    <w:name w:val="heading 4"/>
    <w:basedOn w:val="Heading3"/>
    <w:next w:val="Normal"/>
    <w:link w:val="Heading4Char"/>
    <w:qFormat/>
    <w:rsid w:val="00684A27"/>
    <w:pPr>
      <w:tabs>
        <w:tab w:val="num" w:pos="864"/>
      </w:tabs>
      <w:outlineLvl w:val="3"/>
    </w:pPr>
    <w:rPr>
      <w:bCs/>
      <w:caps w:val="0"/>
      <w:szCs w:val="26"/>
      <w:u w:val="single"/>
      <w:lang w:eastAsia="da-DK"/>
    </w:rPr>
  </w:style>
  <w:style w:type="paragraph" w:styleId="Heading5">
    <w:name w:val="heading 5"/>
    <w:basedOn w:val="Heading3"/>
    <w:next w:val="Normal"/>
    <w:link w:val="Heading5Char"/>
    <w:qFormat/>
    <w:rsid w:val="007C2881"/>
    <w:pPr>
      <w:outlineLvl w:val="4"/>
    </w:pPr>
    <w:rPr>
      <w:b w:val="0"/>
    </w:rPr>
  </w:style>
  <w:style w:type="paragraph" w:styleId="Heading6">
    <w:name w:val="heading 6"/>
    <w:basedOn w:val="Normal"/>
    <w:next w:val="Normal"/>
    <w:link w:val="Heading6Char"/>
    <w:qFormat/>
    <w:rsid w:val="00986BEF"/>
    <w:pPr>
      <w:keepNext/>
      <w:tabs>
        <w:tab w:val="num" w:pos="1152"/>
      </w:tabs>
      <w:spacing w:before="100"/>
      <w:jc w:val="center"/>
      <w:outlineLvl w:val="5"/>
    </w:pPr>
    <w:rPr>
      <w:sz w:val="18"/>
    </w:rPr>
  </w:style>
  <w:style w:type="paragraph" w:styleId="Heading7">
    <w:name w:val="heading 7"/>
    <w:basedOn w:val="Heading6"/>
    <w:next w:val="Normal"/>
    <w:link w:val="Heading7Char"/>
    <w:qFormat/>
    <w:rsid w:val="001060B8"/>
    <w:pPr>
      <w:tabs>
        <w:tab w:val="clear" w:pos="1152"/>
        <w:tab w:val="num" w:pos="1296"/>
      </w:tabs>
      <w:ind w:left="1296" w:hanging="1296"/>
      <w:outlineLvl w:val="6"/>
    </w:pPr>
  </w:style>
  <w:style w:type="paragraph" w:styleId="Heading8">
    <w:name w:val="heading 8"/>
    <w:basedOn w:val="Heading7"/>
    <w:next w:val="Normal"/>
    <w:link w:val="Heading8Char"/>
    <w:qFormat/>
    <w:rsid w:val="001060B8"/>
    <w:pPr>
      <w:tabs>
        <w:tab w:val="clear" w:pos="1296"/>
        <w:tab w:val="num" w:pos="1440"/>
      </w:tabs>
      <w:ind w:left="1440" w:hanging="1440"/>
      <w:outlineLvl w:val="7"/>
    </w:pPr>
  </w:style>
  <w:style w:type="paragraph" w:styleId="Heading9">
    <w:name w:val="heading 9"/>
    <w:basedOn w:val="Heading8"/>
    <w:next w:val="Normal"/>
    <w:link w:val="Heading9Char"/>
    <w:qFormat/>
    <w:rsid w:val="001060B8"/>
    <w:pPr>
      <w:tabs>
        <w:tab w:val="clear" w:pos="1440"/>
        <w:tab w:val="num" w:pos="1584"/>
      </w:tabs>
      <w:ind w:left="1584" w:hanging="1584"/>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2E3C69"/>
    <w:rPr>
      <w:rFonts w:ascii="Arial Bold" w:eastAsia="SimSun" w:hAnsi="Arial Bold" w:cs="Arial"/>
      <w:iCs/>
      <w:caps/>
      <w:sz w:val="22"/>
      <w:szCs w:val="22"/>
      <w:lang w:eastAsia="en-US"/>
    </w:rPr>
  </w:style>
  <w:style w:type="character" w:customStyle="1" w:styleId="Heading3Char">
    <w:name w:val="Heading 3 Char"/>
    <w:link w:val="Heading3"/>
    <w:uiPriority w:val="9"/>
    <w:rsid w:val="00FB1F61"/>
    <w:rPr>
      <w:rFonts w:ascii="Arial Bold" w:hAnsi="Arial Bold" w:cs="Arial"/>
      <w:b/>
      <w:caps/>
      <w:sz w:val="22"/>
      <w:szCs w:val="22"/>
      <w:lang w:eastAsia="en-US"/>
    </w:rPr>
  </w:style>
  <w:style w:type="paragraph" w:customStyle="1" w:styleId="CharCharCharChar">
    <w:name w:val="Char Char Char Char"/>
    <w:basedOn w:val="Normal"/>
    <w:rsid w:val="00702B3C"/>
    <w:pPr>
      <w:spacing w:after="160" w:line="240" w:lineRule="exact"/>
    </w:pPr>
    <w:rPr>
      <w:rFonts w:ascii="Verdana" w:hAnsi="Verdana"/>
      <w:lang w:val="en-GB"/>
    </w:rPr>
  </w:style>
  <w:style w:type="paragraph" w:styleId="Header">
    <w:name w:val="header"/>
    <w:basedOn w:val="Normal"/>
    <w:link w:val="HeaderChar"/>
    <w:pPr>
      <w:tabs>
        <w:tab w:val="center" w:pos="4536"/>
        <w:tab w:val="right" w:pos="9072"/>
      </w:tabs>
    </w:pPr>
  </w:style>
  <w:style w:type="paragraph" w:styleId="BalloonText">
    <w:name w:val="Balloon Text"/>
    <w:basedOn w:val="Normal"/>
    <w:link w:val="BalloonTextChar"/>
    <w:semiHidden/>
    <w:rsid w:val="00520B49"/>
    <w:rPr>
      <w:rFonts w:ascii="Tahoma" w:hAnsi="Tahoma" w:cs="Tahoma"/>
      <w:sz w:val="16"/>
      <w:szCs w:val="16"/>
    </w:rPr>
  </w:style>
  <w:style w:type="table" w:styleId="TableGrid">
    <w:name w:val="Table Grid"/>
    <w:basedOn w:val="TableNormal"/>
    <w:rsid w:val="00702B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702B3C"/>
    <w:pPr>
      <w:ind w:left="567"/>
    </w:pPr>
  </w:style>
  <w:style w:type="character" w:customStyle="1" w:styleId="hps">
    <w:name w:val="hps"/>
    <w:basedOn w:val="DefaultParagraphFont"/>
    <w:rsid w:val="00702B3C"/>
  </w:style>
  <w:style w:type="paragraph" w:styleId="ListParagraph">
    <w:name w:val="List Paragraph"/>
    <w:basedOn w:val="Normal"/>
    <w:uiPriority w:val="34"/>
    <w:qFormat/>
    <w:rsid w:val="00582A34"/>
    <w:pPr>
      <w:spacing w:after="200" w:line="276" w:lineRule="auto"/>
      <w:ind w:left="720"/>
      <w:contextualSpacing/>
    </w:pPr>
    <w:rPr>
      <w:rFonts w:ascii="Calibri" w:hAnsi="Calibri"/>
      <w:szCs w:val="22"/>
    </w:rPr>
  </w:style>
  <w:style w:type="paragraph" w:styleId="FootnoteText">
    <w:name w:val="footnote text"/>
    <w:basedOn w:val="Normal"/>
    <w:link w:val="FootnoteTextChar"/>
    <w:rsid w:val="00211225"/>
  </w:style>
  <w:style w:type="character" w:styleId="FootnoteReference">
    <w:name w:val="footnote reference"/>
    <w:aliases w:val="Footnote"/>
    <w:rsid w:val="00211225"/>
    <w:rPr>
      <w:vertAlign w:val="superscript"/>
    </w:rPr>
  </w:style>
  <w:style w:type="paragraph" w:styleId="Footer">
    <w:name w:val="footer"/>
    <w:basedOn w:val="Normal"/>
    <w:link w:val="FooterChar"/>
    <w:rsid w:val="005D29C4"/>
    <w:pPr>
      <w:tabs>
        <w:tab w:val="center" w:pos="4320"/>
        <w:tab w:val="right" w:pos="8640"/>
      </w:tabs>
    </w:pPr>
  </w:style>
  <w:style w:type="character" w:styleId="PageNumber">
    <w:name w:val="page number"/>
    <w:basedOn w:val="DefaultParagraphFont"/>
    <w:rsid w:val="005D29C4"/>
  </w:style>
  <w:style w:type="paragraph" w:customStyle="1" w:styleId="1">
    <w:name w:val="1"/>
    <w:basedOn w:val="Normal"/>
    <w:rsid w:val="00A34BEA"/>
    <w:pPr>
      <w:spacing w:after="160" w:line="240" w:lineRule="exact"/>
    </w:pPr>
    <w:rPr>
      <w:rFonts w:ascii="Verdana" w:hAnsi="Verdana"/>
      <w:lang w:val="en-GB"/>
    </w:rPr>
  </w:style>
  <w:style w:type="paragraph" w:styleId="TOC2">
    <w:name w:val="toc 2"/>
    <w:basedOn w:val="Normal"/>
    <w:next w:val="Normal"/>
    <w:autoRedefine/>
    <w:uiPriority w:val="39"/>
    <w:rsid w:val="000C1958"/>
    <w:pPr>
      <w:tabs>
        <w:tab w:val="left" w:pos="3969"/>
        <w:tab w:val="right" w:leader="dot" w:pos="9072"/>
      </w:tabs>
      <w:spacing w:before="120" w:after="120"/>
      <w:ind w:left="3969" w:right="567" w:hanging="3402"/>
    </w:pPr>
    <w:rPr>
      <w:b/>
      <w:caps/>
      <w:noProof/>
    </w:rPr>
  </w:style>
  <w:style w:type="character" w:styleId="Hyperlink">
    <w:name w:val="Hyperlink"/>
    <w:uiPriority w:val="99"/>
    <w:rsid w:val="002C2CFD"/>
    <w:rPr>
      <w:color w:val="0000FF"/>
      <w:u w:val="single"/>
    </w:rPr>
  </w:style>
  <w:style w:type="paragraph" w:customStyle="1" w:styleId="StyleHeading3ComplexItalic">
    <w:name w:val="Style Heading 3 + (Complex) Italic"/>
    <w:basedOn w:val="Heading3"/>
    <w:link w:val="StyleHeading3ComplexItalicChar"/>
    <w:rsid w:val="00450A91"/>
    <w:pPr>
      <w:tabs>
        <w:tab w:val="left" w:pos="1985"/>
      </w:tabs>
    </w:pPr>
    <w:rPr>
      <w:b w:val="0"/>
      <w:iCs/>
    </w:rPr>
  </w:style>
  <w:style w:type="character" w:customStyle="1" w:styleId="StyleHeading3ComplexItalicChar">
    <w:name w:val="Style Heading 3 + (Complex) Italic Char"/>
    <w:link w:val="StyleHeading3ComplexItalic"/>
    <w:rsid w:val="00450A91"/>
    <w:rPr>
      <w:rFonts w:ascii="Arial" w:hAnsi="Arial" w:cs="Arial"/>
      <w:b/>
      <w:iCs/>
      <w:caps/>
      <w:sz w:val="22"/>
      <w:szCs w:val="22"/>
      <w:lang w:val="en-US" w:eastAsia="en-US" w:bidi="ar-SA"/>
    </w:rPr>
  </w:style>
  <w:style w:type="paragraph" w:styleId="TOC3">
    <w:name w:val="toc 3"/>
    <w:basedOn w:val="Normal"/>
    <w:next w:val="Normal"/>
    <w:autoRedefine/>
    <w:uiPriority w:val="39"/>
    <w:rsid w:val="00C21BB2"/>
    <w:pPr>
      <w:tabs>
        <w:tab w:val="left" w:pos="2552"/>
        <w:tab w:val="right" w:leader="dot" w:pos="9072"/>
      </w:tabs>
      <w:spacing w:after="60"/>
      <w:ind w:left="2552" w:right="567" w:hanging="1985"/>
    </w:pPr>
    <w:rPr>
      <w:caps/>
      <w:noProof/>
    </w:rPr>
  </w:style>
  <w:style w:type="paragraph" w:customStyle="1" w:styleId="StyleHeading214ptAuto">
    <w:name w:val="Style Heading 2 + 14 pt Auto"/>
    <w:basedOn w:val="Heading2"/>
    <w:rsid w:val="00F54C52"/>
    <w:pPr>
      <w:jc w:val="center"/>
    </w:pPr>
  </w:style>
  <w:style w:type="paragraph" w:styleId="NormalWeb">
    <w:name w:val="Normal (Web)"/>
    <w:basedOn w:val="Normal"/>
    <w:uiPriority w:val="99"/>
    <w:rsid w:val="00A522FE"/>
    <w:pPr>
      <w:spacing w:before="100" w:beforeAutospacing="1" w:after="100" w:afterAutospacing="1"/>
    </w:pPr>
    <w:rPr>
      <w:rFonts w:cs="Arial"/>
      <w:sz w:val="18"/>
      <w:szCs w:val="18"/>
    </w:rPr>
  </w:style>
  <w:style w:type="paragraph" w:styleId="TOC1">
    <w:name w:val="toc 1"/>
    <w:basedOn w:val="Normal"/>
    <w:next w:val="Normal"/>
    <w:autoRedefine/>
    <w:uiPriority w:val="39"/>
    <w:rsid w:val="00BF2D0D"/>
    <w:pPr>
      <w:tabs>
        <w:tab w:val="left" w:pos="567"/>
        <w:tab w:val="right" w:leader="dot" w:pos="9072"/>
      </w:tabs>
      <w:spacing w:before="120" w:after="120"/>
      <w:ind w:right="567"/>
    </w:pPr>
    <w:rPr>
      <w:b/>
      <w:caps/>
      <w:noProof/>
    </w:rPr>
  </w:style>
  <w:style w:type="paragraph" w:customStyle="1" w:styleId="NormalArial">
    <w:name w:val="Normal + Arial"/>
    <w:aliases w:val="10 pt"/>
    <w:basedOn w:val="ListParagraph"/>
    <w:rsid w:val="000C258A"/>
    <w:pPr>
      <w:spacing w:after="0" w:line="240" w:lineRule="auto"/>
      <w:ind w:left="-28"/>
      <w:contextualSpacing w:val="0"/>
    </w:pPr>
    <w:rPr>
      <w:rFonts w:ascii="Arial" w:eastAsia="MS Mincho" w:hAnsi="Arial" w:cs="Arial"/>
      <w:bCs/>
      <w:szCs w:val="20"/>
      <w:lang w:eastAsia="ja-JP"/>
    </w:rPr>
  </w:style>
  <w:style w:type="paragraph" w:customStyle="1" w:styleId="Default">
    <w:name w:val="Default"/>
    <w:rsid w:val="00AF21D0"/>
    <w:pPr>
      <w:autoSpaceDE w:val="0"/>
      <w:autoSpaceDN w:val="0"/>
      <w:adjustRightInd w:val="0"/>
    </w:pPr>
    <w:rPr>
      <w:rFonts w:ascii="Arial" w:hAnsi="Arial" w:cs="Arial"/>
      <w:color w:val="000000"/>
      <w:sz w:val="24"/>
      <w:szCs w:val="24"/>
      <w:lang w:val="en-US" w:eastAsia="en-US"/>
    </w:rPr>
  </w:style>
  <w:style w:type="paragraph" w:customStyle="1" w:styleId="Normal6">
    <w:name w:val="Normal+6"/>
    <w:basedOn w:val="Normal"/>
    <w:next w:val="Normal"/>
    <w:rsid w:val="000365F1"/>
    <w:pPr>
      <w:autoSpaceDE w:val="0"/>
      <w:autoSpaceDN w:val="0"/>
      <w:adjustRightInd w:val="0"/>
    </w:pPr>
    <w:rPr>
      <w:szCs w:val="24"/>
    </w:rPr>
  </w:style>
  <w:style w:type="character" w:styleId="CommentReference">
    <w:name w:val="annotation reference"/>
    <w:rsid w:val="000365F1"/>
    <w:rPr>
      <w:sz w:val="16"/>
      <w:szCs w:val="16"/>
    </w:rPr>
  </w:style>
  <w:style w:type="paragraph" w:styleId="CommentText">
    <w:name w:val="annotation text"/>
    <w:basedOn w:val="Normal"/>
    <w:link w:val="CommentTextChar"/>
    <w:rsid w:val="000365F1"/>
  </w:style>
  <w:style w:type="character" w:customStyle="1" w:styleId="CommentTextChar">
    <w:name w:val="Comment Text Char"/>
    <w:link w:val="CommentText"/>
    <w:locked/>
    <w:rsid w:val="00674855"/>
    <w:rPr>
      <w:lang w:val="en-US" w:eastAsia="en-US" w:bidi="ar-SA"/>
    </w:rPr>
  </w:style>
  <w:style w:type="paragraph" w:customStyle="1" w:styleId="StyleStyleHeading3ComplexItalicLatin12pt">
    <w:name w:val="Style Style Heading 3 + (Complex) Italic + (Latin) 12 pt"/>
    <w:basedOn w:val="StyleHeading3ComplexItalic"/>
    <w:link w:val="StyleStyleHeading3ComplexItalicLatin12ptChar"/>
    <w:rsid w:val="00456DFF"/>
  </w:style>
  <w:style w:type="character" w:customStyle="1" w:styleId="StyleStyleHeading3ComplexItalicLatin12ptChar">
    <w:name w:val="Style Style Heading 3 + (Complex) Italic + (Latin) 12 pt Char"/>
    <w:basedOn w:val="StyleHeading3ComplexItalicChar"/>
    <w:link w:val="StyleStyleHeading3ComplexItalicLatin12pt"/>
    <w:rsid w:val="00456DFF"/>
    <w:rPr>
      <w:rFonts w:ascii="Arial" w:hAnsi="Arial" w:cs="Arial"/>
      <w:b/>
      <w:iCs/>
      <w:caps/>
      <w:sz w:val="22"/>
      <w:szCs w:val="22"/>
      <w:lang w:val="en-US" w:eastAsia="en-US" w:bidi="ar-SA"/>
    </w:rPr>
  </w:style>
  <w:style w:type="character" w:customStyle="1" w:styleId="paracolourtext1">
    <w:name w:val="paracolourtext1"/>
    <w:rsid w:val="001C26A8"/>
    <w:rPr>
      <w:b w:val="0"/>
      <w:bCs w:val="0"/>
      <w:i w:val="0"/>
      <w:iCs w:val="0"/>
      <w:color w:val="800000"/>
      <w:sz w:val="20"/>
      <w:szCs w:val="20"/>
    </w:rPr>
  </w:style>
  <w:style w:type="paragraph" w:styleId="BodyText">
    <w:name w:val="Body Text"/>
    <w:basedOn w:val="Normal"/>
    <w:link w:val="BodyTextChar"/>
    <w:qFormat/>
    <w:rsid w:val="00B73968"/>
    <w:pPr>
      <w:spacing w:after="120"/>
    </w:pPr>
  </w:style>
  <w:style w:type="paragraph" w:customStyle="1" w:styleId="Body">
    <w:name w:val="Body"/>
    <w:rsid w:val="0062447A"/>
    <w:rPr>
      <w:rFonts w:ascii="Helvetica" w:eastAsia="ヒラギノ角ゴ Pro W3" w:hAnsi="Helvetica" w:cs="Angsana New"/>
      <w:color w:val="000000"/>
      <w:sz w:val="24"/>
      <w:lang w:val="en-US" w:bidi="th-TH"/>
    </w:rPr>
  </w:style>
  <w:style w:type="paragraph" w:customStyle="1" w:styleId="tes1">
    <w:name w:val="tes1"/>
    <w:basedOn w:val="Normal"/>
    <w:rsid w:val="00B4023E"/>
    <w:pPr>
      <w:suppressAutoHyphens/>
      <w:ind w:left="1134" w:right="2195"/>
      <w:jc w:val="both"/>
    </w:pPr>
    <w:rPr>
      <w:b/>
      <w:spacing w:val="4"/>
      <w:w w:val="103"/>
      <w:kern w:val="14"/>
      <w:lang w:val="en-GB"/>
    </w:rPr>
  </w:style>
  <w:style w:type="paragraph" w:customStyle="1" w:styleId="Style10">
    <w:name w:val="Style10"/>
    <w:basedOn w:val="Normal"/>
    <w:autoRedefine/>
    <w:rsid w:val="00B4023E"/>
    <w:pPr>
      <w:tabs>
        <w:tab w:val="left" w:pos="340"/>
        <w:tab w:val="left" w:pos="680"/>
        <w:tab w:val="left" w:pos="1021"/>
        <w:tab w:val="left" w:pos="1361"/>
      </w:tabs>
      <w:suppressAutoHyphens/>
      <w:jc w:val="both"/>
    </w:pPr>
    <w:rPr>
      <w:snapToGrid w:val="0"/>
    </w:rPr>
  </w:style>
  <w:style w:type="paragraph" w:customStyle="1" w:styleId="Style11">
    <w:name w:val="Style11"/>
    <w:basedOn w:val="FootnoteText"/>
    <w:autoRedefine/>
    <w:rsid w:val="00B4023E"/>
    <w:pPr>
      <w:suppressAutoHyphens/>
      <w:ind w:firstLine="340"/>
      <w:jc w:val="both"/>
    </w:pPr>
    <w:rPr>
      <w:snapToGrid w:val="0"/>
      <w:sz w:val="16"/>
    </w:rPr>
  </w:style>
  <w:style w:type="paragraph" w:styleId="Title">
    <w:name w:val="Title"/>
    <w:basedOn w:val="Normal"/>
    <w:link w:val="TitleChar"/>
    <w:qFormat/>
    <w:rsid w:val="00B4023E"/>
    <w:pPr>
      <w:jc w:val="center"/>
    </w:pPr>
    <w:rPr>
      <w:b/>
    </w:rPr>
  </w:style>
  <w:style w:type="paragraph" w:styleId="Subtitle">
    <w:name w:val="Subtitle"/>
    <w:basedOn w:val="Normal"/>
    <w:link w:val="SubtitleChar"/>
    <w:qFormat/>
    <w:rsid w:val="00B4023E"/>
    <w:pPr>
      <w:jc w:val="center"/>
    </w:pPr>
    <w:rPr>
      <w:b/>
      <w:caps/>
      <w:color w:val="0000FF"/>
      <w:sz w:val="28"/>
    </w:rPr>
  </w:style>
  <w:style w:type="paragraph" w:customStyle="1" w:styleId="Endofdocument">
    <w:name w:val="End of document"/>
    <w:basedOn w:val="Normal"/>
    <w:rsid w:val="00B4023E"/>
    <w:pPr>
      <w:ind w:left="4536"/>
      <w:jc w:val="center"/>
    </w:pPr>
  </w:style>
  <w:style w:type="paragraph" w:styleId="BodyTextIndent2">
    <w:name w:val="Body Text Indent 2"/>
    <w:basedOn w:val="Normal"/>
    <w:link w:val="BodyTextIndent2Char"/>
    <w:rsid w:val="00B4023E"/>
    <w:pPr>
      <w:tabs>
        <w:tab w:val="left" w:pos="714"/>
      </w:tabs>
      <w:spacing w:after="100"/>
      <w:ind w:hanging="6"/>
      <w:jc w:val="both"/>
    </w:pPr>
    <w:rPr>
      <w:snapToGrid w:val="0"/>
      <w:color w:val="000000"/>
    </w:rPr>
  </w:style>
  <w:style w:type="paragraph" w:customStyle="1" w:styleId="3029-Titrechapitre">
    <w:name w:val="3029-Titre chapitre"/>
    <w:basedOn w:val="Heading1"/>
    <w:rsid w:val="00B4023E"/>
    <w:pPr>
      <w:pageBreakBefore w:val="0"/>
      <w:tabs>
        <w:tab w:val="clear" w:pos="567"/>
      </w:tabs>
    </w:pPr>
    <w:rPr>
      <w:rFonts w:ascii="Arial Black" w:eastAsia="Times" w:hAnsi="Arial Black" w:cs="Times New Roman"/>
      <w:b w:val="0"/>
      <w:bCs w:val="0"/>
      <w:color w:val="000080"/>
      <w:kern w:val="0"/>
      <w:sz w:val="30"/>
      <w:szCs w:val="20"/>
      <w:lang w:eastAsia="en-US"/>
    </w:rPr>
  </w:style>
  <w:style w:type="character" w:customStyle="1" w:styleId="underline">
    <w:name w:val="underline"/>
    <w:rsid w:val="00B4023E"/>
    <w:rPr>
      <w:u w:val="single"/>
    </w:rPr>
  </w:style>
  <w:style w:type="paragraph" w:customStyle="1" w:styleId="zanxhead">
    <w:name w:val="zanxhead"/>
    <w:basedOn w:val="Normal"/>
    <w:rsid w:val="00B4023E"/>
    <w:pPr>
      <w:spacing w:before="200"/>
    </w:pPr>
    <w:rPr>
      <w:b/>
      <w:color w:val="0000FF"/>
    </w:rPr>
  </w:style>
  <w:style w:type="paragraph" w:customStyle="1" w:styleId="zanxtext">
    <w:name w:val="zanxtext"/>
    <w:basedOn w:val="Normal"/>
    <w:rsid w:val="00B4023E"/>
    <w:pPr>
      <w:spacing w:before="120"/>
    </w:pPr>
  </w:style>
  <w:style w:type="paragraph" w:styleId="BodyText2">
    <w:name w:val="Body Text 2"/>
    <w:basedOn w:val="Normal"/>
    <w:link w:val="BodyText2Char"/>
    <w:rsid w:val="00B4023E"/>
    <w:pPr>
      <w:keepNext/>
      <w:jc w:val="both"/>
    </w:pPr>
  </w:style>
  <w:style w:type="paragraph" w:styleId="BlockText">
    <w:name w:val="Block Text"/>
    <w:basedOn w:val="Normal"/>
    <w:rsid w:val="00B4023E"/>
    <w:pPr>
      <w:tabs>
        <w:tab w:val="left" w:pos="2127"/>
      </w:tabs>
      <w:spacing w:after="40"/>
      <w:ind w:left="2127" w:right="896" w:hanging="2127"/>
    </w:pPr>
  </w:style>
  <w:style w:type="character" w:styleId="Emphasis">
    <w:name w:val="Emphasis"/>
    <w:uiPriority w:val="20"/>
    <w:qFormat/>
    <w:rsid w:val="00C77472"/>
    <w:rPr>
      <w:i/>
      <w:iCs/>
    </w:rPr>
  </w:style>
  <w:style w:type="character" w:styleId="Strong">
    <w:name w:val="Strong"/>
    <w:qFormat/>
    <w:rsid w:val="00C77472"/>
    <w:rPr>
      <w:b/>
      <w:bCs/>
    </w:rPr>
  </w:style>
  <w:style w:type="paragraph" w:customStyle="1" w:styleId="preparedby">
    <w:name w:val="prepared by"/>
    <w:basedOn w:val="Normal"/>
    <w:next w:val="Normal"/>
    <w:rsid w:val="00723976"/>
    <w:pPr>
      <w:spacing w:before="120" w:after="480" w:line="260" w:lineRule="atLeast"/>
      <w:ind w:left="1021"/>
      <w:contextualSpacing/>
    </w:pPr>
    <w:rPr>
      <w:i/>
    </w:rPr>
  </w:style>
  <w:style w:type="paragraph" w:customStyle="1" w:styleId="Documenttitle">
    <w:name w:val="Document title"/>
    <w:basedOn w:val="Normal"/>
    <w:next w:val="preparedby"/>
    <w:rsid w:val="00723976"/>
    <w:pPr>
      <w:spacing w:before="840" w:line="336" w:lineRule="exact"/>
      <w:ind w:left="1021"/>
      <w:contextualSpacing/>
    </w:pPr>
  </w:style>
  <w:style w:type="paragraph" w:customStyle="1" w:styleId="MeetinglanguageDate">
    <w:name w:val="Meeting language &amp; Date"/>
    <w:basedOn w:val="Normal"/>
    <w:next w:val="Meetingtitle"/>
    <w:rsid w:val="00723976"/>
    <w:pPr>
      <w:spacing w:after="1680" w:line="160" w:lineRule="exact"/>
      <w:ind w:left="1021"/>
      <w:contextualSpacing/>
      <w:jc w:val="right"/>
    </w:pPr>
    <w:rPr>
      <w:rFonts w:ascii="Arial Black" w:hAnsi="Arial Black"/>
      <w:b/>
      <w:caps/>
      <w:sz w:val="15"/>
    </w:rPr>
  </w:style>
  <w:style w:type="paragraph" w:customStyle="1" w:styleId="Meetingtitle">
    <w:name w:val="Meeting title"/>
    <w:basedOn w:val="Normal"/>
    <w:next w:val="Sessiontitle"/>
    <w:rsid w:val="00723976"/>
    <w:pPr>
      <w:spacing w:line="336" w:lineRule="exact"/>
      <w:ind w:left="1021"/>
    </w:pPr>
    <w:rPr>
      <w:b/>
      <w:sz w:val="28"/>
    </w:rPr>
  </w:style>
  <w:style w:type="paragraph" w:customStyle="1" w:styleId="Sessiontitle">
    <w:name w:val="Session title"/>
    <w:basedOn w:val="Meetingtitle"/>
    <w:next w:val="Meetingplacedate"/>
    <w:rsid w:val="00723976"/>
    <w:pPr>
      <w:spacing w:before="480"/>
      <w:contextualSpacing/>
    </w:pPr>
    <w:rPr>
      <w:sz w:val="24"/>
    </w:rPr>
  </w:style>
  <w:style w:type="paragraph" w:customStyle="1" w:styleId="Meetingplacedate">
    <w:name w:val="Meeting place &amp; date"/>
    <w:basedOn w:val="Sessiontitle"/>
    <w:next w:val="Documenttitle"/>
    <w:rsid w:val="00723976"/>
    <w:pPr>
      <w:spacing w:before="0"/>
      <w:contextualSpacing w:val="0"/>
    </w:pPr>
  </w:style>
  <w:style w:type="paragraph" w:customStyle="1" w:styleId="Language">
    <w:name w:val="Language"/>
    <w:basedOn w:val="Normal"/>
    <w:next w:val="Normal"/>
    <w:rsid w:val="00723976"/>
    <w:pPr>
      <w:spacing w:after="120" w:line="340" w:lineRule="atLeast"/>
      <w:ind w:left="1021"/>
      <w:contextualSpacing/>
      <w:jc w:val="right"/>
    </w:pPr>
    <w:rPr>
      <w:b/>
      <w:caps/>
      <w:sz w:val="40"/>
    </w:rPr>
  </w:style>
  <w:style w:type="paragraph" w:customStyle="1" w:styleId="MeetingCode">
    <w:name w:val="Meeting Code"/>
    <w:basedOn w:val="MeetinglanguageDate"/>
    <w:rsid w:val="00723976"/>
    <w:pPr>
      <w:spacing w:before="1800" w:after="0"/>
    </w:pPr>
  </w:style>
  <w:style w:type="paragraph" w:customStyle="1" w:styleId="CarCarCar">
    <w:name w:val="Car Car Car"/>
    <w:basedOn w:val="Normal"/>
    <w:rsid w:val="00723976"/>
    <w:pPr>
      <w:spacing w:after="160" w:line="240" w:lineRule="exact"/>
    </w:pPr>
    <w:rPr>
      <w:rFonts w:ascii="Verdana" w:eastAsia="PMingLiU" w:hAnsi="Verdana"/>
    </w:rPr>
  </w:style>
  <w:style w:type="paragraph" w:customStyle="1" w:styleId="Paragraphedeliste">
    <w:name w:val="Paragraphe de liste"/>
    <w:autoRedefine/>
    <w:rsid w:val="002F6156"/>
    <w:pPr>
      <w:spacing w:after="200" w:line="276" w:lineRule="auto"/>
      <w:ind w:left="720"/>
    </w:pPr>
    <w:rPr>
      <w:rFonts w:ascii="Lucida Grande" w:eastAsia="ヒラギノ角ゴ Pro W3" w:hAnsi="Lucida Grande"/>
      <w:color w:val="000000"/>
      <w:sz w:val="22"/>
      <w:lang w:val="en-GB"/>
    </w:rPr>
  </w:style>
  <w:style w:type="paragraph" w:customStyle="1" w:styleId="ONUME">
    <w:name w:val="ONUM E"/>
    <w:basedOn w:val="Normal"/>
    <w:link w:val="ONUMEChar"/>
    <w:rsid w:val="00A6294B"/>
    <w:pPr>
      <w:numPr>
        <w:numId w:val="2"/>
      </w:numPr>
    </w:pPr>
  </w:style>
  <w:style w:type="character" w:styleId="FollowedHyperlink">
    <w:name w:val="FollowedHyperlink"/>
    <w:rsid w:val="0009232D"/>
    <w:rPr>
      <w:color w:val="606420"/>
      <w:u w:val="single"/>
    </w:rPr>
  </w:style>
  <w:style w:type="paragraph" w:customStyle="1" w:styleId="Body1">
    <w:name w:val="Body 1"/>
    <w:rsid w:val="00674855"/>
    <w:rPr>
      <w:rFonts w:ascii="Helvetica" w:eastAsia="Arial Unicode MS" w:hAnsi="Helvetica"/>
      <w:color w:val="000000"/>
      <w:sz w:val="24"/>
    </w:rPr>
  </w:style>
  <w:style w:type="paragraph" w:styleId="PlainText">
    <w:name w:val="Plain Text"/>
    <w:basedOn w:val="Normal"/>
    <w:link w:val="PlainTextChar"/>
    <w:uiPriority w:val="99"/>
    <w:rsid w:val="00206B0C"/>
    <w:rPr>
      <w:rFonts w:ascii="Courier New" w:eastAsia="MS Mincho" w:hAnsi="Courier New"/>
      <w:lang w:eastAsia="zh-CN" w:bidi="th-TH"/>
    </w:rPr>
  </w:style>
  <w:style w:type="paragraph" w:customStyle="1" w:styleId="ONUMFS">
    <w:name w:val="ONUM FS"/>
    <w:basedOn w:val="Normal"/>
    <w:rsid w:val="00D612AE"/>
    <w:pPr>
      <w:numPr>
        <w:numId w:val="3"/>
      </w:numPr>
      <w:spacing w:after="200"/>
      <w:ind w:left="0" w:firstLine="0"/>
      <w:jc w:val="both"/>
    </w:pPr>
  </w:style>
  <w:style w:type="paragraph" w:styleId="Salutation">
    <w:name w:val="Salutation"/>
    <w:basedOn w:val="Normal"/>
    <w:next w:val="Normal"/>
    <w:link w:val="SalutationChar"/>
    <w:semiHidden/>
    <w:rsid w:val="00B73FAF"/>
  </w:style>
  <w:style w:type="paragraph" w:styleId="Signature">
    <w:name w:val="Signature"/>
    <w:basedOn w:val="Normal"/>
    <w:link w:val="SignatureChar"/>
    <w:semiHidden/>
    <w:rsid w:val="00B73FAF"/>
    <w:pPr>
      <w:ind w:left="5250"/>
    </w:pPr>
  </w:style>
  <w:style w:type="paragraph" w:styleId="EndnoteText">
    <w:name w:val="endnote text"/>
    <w:basedOn w:val="Normal"/>
    <w:link w:val="EndnoteTextChar"/>
    <w:semiHidden/>
    <w:rsid w:val="00B73FAF"/>
    <w:rPr>
      <w:sz w:val="18"/>
    </w:rPr>
  </w:style>
  <w:style w:type="paragraph" w:styleId="Caption">
    <w:name w:val="caption"/>
    <w:basedOn w:val="Normal"/>
    <w:next w:val="Normal"/>
    <w:qFormat/>
    <w:rsid w:val="00B73FAF"/>
    <w:rPr>
      <w:b/>
      <w:bCs/>
      <w:sz w:val="18"/>
    </w:rPr>
  </w:style>
  <w:style w:type="paragraph" w:styleId="ListNumber">
    <w:name w:val="List Number"/>
    <w:basedOn w:val="Normal"/>
    <w:semiHidden/>
    <w:rsid w:val="00B73FAF"/>
    <w:pPr>
      <w:numPr>
        <w:numId w:val="1"/>
      </w:numPr>
    </w:pPr>
  </w:style>
  <w:style w:type="character" w:customStyle="1" w:styleId="Bona">
    <w:name w:val="Bona"/>
    <w:semiHidden/>
    <w:rsid w:val="004E08F6"/>
    <w:rPr>
      <w:rFonts w:ascii="Arial" w:hAnsi="Arial" w:cs="Arial"/>
      <w:color w:val="000080"/>
      <w:sz w:val="20"/>
      <w:szCs w:val="20"/>
    </w:rPr>
  </w:style>
  <w:style w:type="paragraph" w:customStyle="1" w:styleId="Notes">
    <w:name w:val="Notes"/>
    <w:basedOn w:val="Normal"/>
    <w:qFormat/>
    <w:rsid w:val="001C7D13"/>
    <w:pPr>
      <w:jc w:val="both"/>
    </w:pPr>
    <w:rPr>
      <w:sz w:val="16"/>
    </w:rPr>
  </w:style>
  <w:style w:type="character" w:customStyle="1" w:styleId="Heading1Char">
    <w:name w:val="Heading 1 Char"/>
    <w:link w:val="Heading1"/>
    <w:uiPriority w:val="9"/>
    <w:rsid w:val="002E3C69"/>
    <w:rPr>
      <w:rFonts w:ascii="Arial Bold" w:hAnsi="Arial Bold" w:cs="Arial"/>
      <w:b/>
      <w:bCs/>
      <w:caps/>
      <w:kern w:val="32"/>
      <w:sz w:val="22"/>
      <w:szCs w:val="32"/>
      <w:lang w:eastAsia="da-DK"/>
    </w:rPr>
  </w:style>
  <w:style w:type="character" w:customStyle="1" w:styleId="FootnoteTextChar">
    <w:name w:val="Footnote Text Char"/>
    <w:link w:val="FootnoteText"/>
    <w:rsid w:val="009A51A9"/>
    <w:rPr>
      <w:rFonts w:ascii="Arial" w:hAnsi="Arial"/>
      <w:lang w:eastAsia="en-US"/>
    </w:rPr>
  </w:style>
  <w:style w:type="character" w:customStyle="1" w:styleId="Heading4Char">
    <w:name w:val="Heading 4 Char"/>
    <w:link w:val="Heading4"/>
    <w:rsid w:val="00054708"/>
    <w:rPr>
      <w:rFonts w:ascii="Arial" w:hAnsi="Arial" w:cs="Arial"/>
      <w:bCs/>
      <w:sz w:val="22"/>
      <w:szCs w:val="26"/>
      <w:u w:val="single"/>
      <w:lang w:eastAsia="da-DK"/>
    </w:rPr>
  </w:style>
  <w:style w:type="character" w:customStyle="1" w:styleId="Heading5Char">
    <w:name w:val="Heading 5 Char"/>
    <w:link w:val="Heading5"/>
    <w:rsid w:val="007C2881"/>
    <w:rPr>
      <w:rFonts w:ascii="Arial" w:hAnsi="Arial" w:cs="Arial"/>
      <w:b/>
      <w:caps/>
      <w:sz w:val="22"/>
      <w:szCs w:val="22"/>
      <w:lang w:eastAsia="en-US"/>
    </w:rPr>
  </w:style>
  <w:style w:type="character" w:customStyle="1" w:styleId="Heading6Char">
    <w:name w:val="Heading 6 Char"/>
    <w:link w:val="Heading6"/>
    <w:rsid w:val="00054708"/>
    <w:rPr>
      <w:rFonts w:ascii="Arial" w:hAnsi="Arial"/>
      <w:sz w:val="18"/>
      <w:lang w:eastAsia="en-US"/>
    </w:rPr>
  </w:style>
  <w:style w:type="character" w:customStyle="1" w:styleId="Heading7Char">
    <w:name w:val="Heading 7 Char"/>
    <w:link w:val="Heading7"/>
    <w:rsid w:val="00054708"/>
    <w:rPr>
      <w:rFonts w:ascii="Arial" w:hAnsi="Arial"/>
      <w:sz w:val="18"/>
      <w:lang w:eastAsia="en-US"/>
    </w:rPr>
  </w:style>
  <w:style w:type="character" w:customStyle="1" w:styleId="Heading8Char">
    <w:name w:val="Heading 8 Char"/>
    <w:link w:val="Heading8"/>
    <w:rsid w:val="00054708"/>
    <w:rPr>
      <w:rFonts w:ascii="Arial" w:hAnsi="Arial"/>
      <w:sz w:val="18"/>
      <w:lang w:eastAsia="en-US"/>
    </w:rPr>
  </w:style>
  <w:style w:type="character" w:customStyle="1" w:styleId="Heading9Char">
    <w:name w:val="Heading 9 Char"/>
    <w:link w:val="Heading9"/>
    <w:rsid w:val="00054708"/>
    <w:rPr>
      <w:rFonts w:ascii="Arial" w:hAnsi="Arial"/>
      <w:sz w:val="18"/>
      <w:lang w:eastAsia="en-US"/>
    </w:rPr>
  </w:style>
  <w:style w:type="character" w:customStyle="1" w:styleId="HeaderChar">
    <w:name w:val="Header Char"/>
    <w:link w:val="Header"/>
    <w:rsid w:val="00054708"/>
    <w:rPr>
      <w:rFonts w:ascii="Arial" w:hAnsi="Arial"/>
      <w:lang w:eastAsia="en-US"/>
    </w:rPr>
  </w:style>
  <w:style w:type="character" w:customStyle="1" w:styleId="BalloonTextChar">
    <w:name w:val="Balloon Text Char"/>
    <w:link w:val="BalloonText"/>
    <w:semiHidden/>
    <w:rsid w:val="00054708"/>
    <w:rPr>
      <w:rFonts w:ascii="Tahoma" w:hAnsi="Tahoma" w:cs="Tahoma"/>
      <w:sz w:val="16"/>
      <w:szCs w:val="16"/>
      <w:lang w:eastAsia="en-US"/>
    </w:rPr>
  </w:style>
  <w:style w:type="character" w:customStyle="1" w:styleId="BodyTextIndentChar">
    <w:name w:val="Body Text Indent Char"/>
    <w:link w:val="BodyTextIndent"/>
    <w:rsid w:val="00054708"/>
    <w:rPr>
      <w:rFonts w:ascii="Arial" w:hAnsi="Arial"/>
      <w:lang w:eastAsia="en-US"/>
    </w:rPr>
  </w:style>
  <w:style w:type="character" w:customStyle="1" w:styleId="FooterChar">
    <w:name w:val="Footer Char"/>
    <w:link w:val="Footer"/>
    <w:rsid w:val="00054708"/>
    <w:rPr>
      <w:rFonts w:ascii="Arial" w:hAnsi="Arial"/>
      <w:lang w:eastAsia="en-US"/>
    </w:rPr>
  </w:style>
  <w:style w:type="character" w:customStyle="1" w:styleId="BodyTextChar">
    <w:name w:val="Body Text Char"/>
    <w:link w:val="BodyText"/>
    <w:rsid w:val="00054708"/>
    <w:rPr>
      <w:rFonts w:ascii="Arial" w:hAnsi="Arial"/>
      <w:lang w:eastAsia="en-US"/>
    </w:rPr>
  </w:style>
  <w:style w:type="character" w:customStyle="1" w:styleId="TitleChar">
    <w:name w:val="Title Char"/>
    <w:link w:val="Title"/>
    <w:rsid w:val="00054708"/>
    <w:rPr>
      <w:rFonts w:ascii="Arial" w:hAnsi="Arial"/>
      <w:b/>
      <w:lang w:eastAsia="en-US"/>
    </w:rPr>
  </w:style>
  <w:style w:type="character" w:customStyle="1" w:styleId="SubtitleChar">
    <w:name w:val="Subtitle Char"/>
    <w:link w:val="Subtitle"/>
    <w:rsid w:val="00054708"/>
    <w:rPr>
      <w:rFonts w:ascii="Arial" w:hAnsi="Arial"/>
      <w:b/>
      <w:caps/>
      <w:color w:val="0000FF"/>
      <w:sz w:val="28"/>
      <w:lang w:eastAsia="en-US"/>
    </w:rPr>
  </w:style>
  <w:style w:type="character" w:customStyle="1" w:styleId="BodyTextIndent2Char">
    <w:name w:val="Body Text Indent 2 Char"/>
    <w:link w:val="BodyTextIndent2"/>
    <w:rsid w:val="00054708"/>
    <w:rPr>
      <w:rFonts w:ascii="Arial" w:hAnsi="Arial"/>
      <w:snapToGrid w:val="0"/>
      <w:color w:val="000000"/>
      <w:lang w:eastAsia="en-US"/>
    </w:rPr>
  </w:style>
  <w:style w:type="character" w:customStyle="1" w:styleId="BodyText2Char">
    <w:name w:val="Body Text 2 Char"/>
    <w:link w:val="BodyText2"/>
    <w:rsid w:val="00054708"/>
    <w:rPr>
      <w:rFonts w:ascii="Arial" w:hAnsi="Arial"/>
      <w:lang w:eastAsia="en-US"/>
    </w:rPr>
  </w:style>
  <w:style w:type="character" w:customStyle="1" w:styleId="PlainTextChar">
    <w:name w:val="Plain Text Char"/>
    <w:link w:val="PlainText"/>
    <w:uiPriority w:val="99"/>
    <w:rsid w:val="00054708"/>
    <w:rPr>
      <w:rFonts w:ascii="Courier New" w:eastAsia="MS Mincho" w:hAnsi="Courier New"/>
      <w:lang w:eastAsia="zh-CN" w:bidi="th-TH"/>
    </w:rPr>
  </w:style>
  <w:style w:type="character" w:customStyle="1" w:styleId="SalutationChar">
    <w:name w:val="Salutation Char"/>
    <w:link w:val="Salutation"/>
    <w:semiHidden/>
    <w:rsid w:val="00054708"/>
    <w:rPr>
      <w:rFonts w:ascii="Arial" w:hAnsi="Arial"/>
      <w:lang w:eastAsia="en-US"/>
    </w:rPr>
  </w:style>
  <w:style w:type="character" w:customStyle="1" w:styleId="SignatureChar">
    <w:name w:val="Signature Char"/>
    <w:link w:val="Signature"/>
    <w:semiHidden/>
    <w:rsid w:val="00054708"/>
    <w:rPr>
      <w:rFonts w:ascii="Arial" w:hAnsi="Arial"/>
      <w:lang w:eastAsia="en-US"/>
    </w:rPr>
  </w:style>
  <w:style w:type="character" w:customStyle="1" w:styleId="EndnoteTextChar">
    <w:name w:val="Endnote Text Char"/>
    <w:link w:val="EndnoteText"/>
    <w:semiHidden/>
    <w:rsid w:val="00054708"/>
    <w:rPr>
      <w:rFonts w:ascii="Arial" w:hAnsi="Arial"/>
      <w:sz w:val="18"/>
      <w:lang w:eastAsia="en-US"/>
    </w:rPr>
  </w:style>
  <w:style w:type="paragraph" w:customStyle="1" w:styleId="Paragraphedeliste1">
    <w:name w:val="Paragraphe de liste1"/>
    <w:autoRedefine/>
    <w:rsid w:val="00B75132"/>
    <w:pPr>
      <w:spacing w:after="200" w:line="276" w:lineRule="auto"/>
      <w:ind w:left="720"/>
    </w:pPr>
    <w:rPr>
      <w:rFonts w:ascii="Lucida Grande" w:eastAsia="ヒラギノ角ゴ Pro W3" w:hAnsi="Lucida Grande"/>
      <w:color w:val="000000"/>
      <w:sz w:val="22"/>
      <w:lang w:val="en-GB"/>
    </w:rPr>
  </w:style>
  <w:style w:type="paragraph" w:styleId="TOC4">
    <w:name w:val="toc 4"/>
    <w:basedOn w:val="Normal"/>
    <w:next w:val="Normal"/>
    <w:autoRedefine/>
    <w:rsid w:val="00B75132"/>
    <w:pPr>
      <w:ind w:left="600"/>
    </w:pPr>
  </w:style>
  <w:style w:type="paragraph" w:customStyle="1" w:styleId="std">
    <w:name w:val="std"/>
    <w:basedOn w:val="Normal"/>
    <w:rsid w:val="004E1B48"/>
    <w:rPr>
      <w:rFonts w:ascii="Times New Roman" w:hAnsi="Times New Roman"/>
      <w:sz w:val="24"/>
      <w:szCs w:val="24"/>
      <w:lang w:eastAsia="fr-FR"/>
    </w:rPr>
  </w:style>
  <w:style w:type="character" w:customStyle="1" w:styleId="apple-converted-space">
    <w:name w:val="apple-converted-space"/>
    <w:basedOn w:val="DefaultParagraphFont"/>
    <w:rsid w:val="004E1B48"/>
  </w:style>
  <w:style w:type="paragraph" w:customStyle="1" w:styleId="CharCharCharChar0">
    <w:name w:val="Char Char Char Char"/>
    <w:basedOn w:val="Normal"/>
    <w:rsid w:val="00880D8B"/>
    <w:pPr>
      <w:spacing w:after="160" w:line="240" w:lineRule="exact"/>
    </w:pPr>
    <w:rPr>
      <w:rFonts w:ascii="Verdana" w:hAnsi="Verdana"/>
    </w:rPr>
  </w:style>
  <w:style w:type="paragraph" w:customStyle="1" w:styleId="CarCarCar0">
    <w:name w:val="Car Car Car"/>
    <w:basedOn w:val="Normal"/>
    <w:rsid w:val="00880D8B"/>
    <w:pPr>
      <w:spacing w:after="160" w:line="240" w:lineRule="exact"/>
    </w:pPr>
    <w:rPr>
      <w:rFonts w:ascii="Verdana" w:eastAsia="PMingLiU" w:hAnsi="Verdana"/>
      <w:lang w:val="en-US"/>
    </w:rPr>
  </w:style>
  <w:style w:type="paragraph" w:styleId="CommentSubject">
    <w:name w:val="annotation subject"/>
    <w:basedOn w:val="CommentText"/>
    <w:next w:val="CommentText"/>
    <w:link w:val="CommentSubjectChar"/>
    <w:rsid w:val="00880D8B"/>
    <w:rPr>
      <w:rFonts w:ascii="Times New Roman" w:hAnsi="Times New Roman"/>
      <w:b/>
      <w:bCs/>
      <w:lang w:val="en-US"/>
    </w:rPr>
  </w:style>
  <w:style w:type="character" w:customStyle="1" w:styleId="CommentSubjectChar">
    <w:name w:val="Comment Subject Char"/>
    <w:link w:val="CommentSubject"/>
    <w:rsid w:val="00880D8B"/>
    <w:rPr>
      <w:b/>
      <w:bCs/>
      <w:lang w:val="en-US" w:eastAsia="en-US" w:bidi="ar-SA"/>
    </w:rPr>
  </w:style>
  <w:style w:type="paragraph" w:customStyle="1" w:styleId="p1">
    <w:name w:val="p1"/>
    <w:basedOn w:val="Normal"/>
    <w:rsid w:val="00CD1430"/>
    <w:rPr>
      <w:rFonts w:eastAsia="Calibri" w:cs="Arial"/>
      <w:sz w:val="24"/>
      <w:szCs w:val="24"/>
      <w:lang w:val="en-US"/>
    </w:rPr>
  </w:style>
  <w:style w:type="paragraph" w:customStyle="1" w:styleId="p2">
    <w:name w:val="p2"/>
    <w:basedOn w:val="Normal"/>
    <w:rsid w:val="00CD1430"/>
    <w:rPr>
      <w:rFonts w:eastAsia="Calibri" w:cs="Arial"/>
      <w:sz w:val="24"/>
      <w:szCs w:val="24"/>
      <w:lang w:val="en-US"/>
    </w:rPr>
  </w:style>
  <w:style w:type="paragraph" w:customStyle="1" w:styleId="CharCharCharChar1">
    <w:name w:val="Char Char Char Char"/>
    <w:basedOn w:val="Normal"/>
    <w:rsid w:val="00142569"/>
    <w:pPr>
      <w:spacing w:after="160" w:line="240" w:lineRule="exact"/>
    </w:pPr>
    <w:rPr>
      <w:rFonts w:ascii="Verdana" w:hAnsi="Verdana"/>
      <w:lang w:val="en-GB"/>
    </w:rPr>
  </w:style>
  <w:style w:type="paragraph" w:customStyle="1" w:styleId="CarCarCar1">
    <w:name w:val="Car Car Car"/>
    <w:basedOn w:val="Normal"/>
    <w:rsid w:val="00142569"/>
    <w:pPr>
      <w:spacing w:after="160" w:line="240" w:lineRule="exact"/>
    </w:pPr>
    <w:rPr>
      <w:rFonts w:ascii="Verdana" w:eastAsia="PMingLiU" w:hAnsi="Verdana"/>
    </w:rPr>
  </w:style>
  <w:style w:type="paragraph" w:styleId="TOCHeading">
    <w:name w:val="TOC Heading"/>
    <w:basedOn w:val="Heading1"/>
    <w:next w:val="Normal"/>
    <w:uiPriority w:val="39"/>
    <w:semiHidden/>
    <w:unhideWhenUsed/>
    <w:qFormat/>
    <w:rsid w:val="00877B63"/>
    <w:pPr>
      <w:keepLines/>
      <w:pageBreakBefore w:val="0"/>
      <w:tabs>
        <w:tab w:val="clear" w:pos="567"/>
      </w:tabs>
      <w:spacing w:before="480" w:after="0" w:line="276" w:lineRule="auto"/>
      <w:outlineLvl w:val="9"/>
    </w:pPr>
    <w:rPr>
      <w:rFonts w:asciiTheme="majorHAnsi" w:eastAsiaTheme="majorEastAsia" w:hAnsiTheme="majorHAnsi" w:cstheme="majorBidi"/>
      <w:caps w:val="0"/>
      <w:color w:val="365F91" w:themeColor="accent1" w:themeShade="BF"/>
      <w:kern w:val="0"/>
      <w:sz w:val="28"/>
      <w:szCs w:val="28"/>
      <w:lang w:val="en-US" w:eastAsia="ja-JP"/>
    </w:rPr>
  </w:style>
  <w:style w:type="paragraph" w:styleId="Revision">
    <w:name w:val="Revision"/>
    <w:hidden/>
    <w:uiPriority w:val="99"/>
    <w:semiHidden/>
    <w:rsid w:val="00877B63"/>
    <w:rPr>
      <w:rFonts w:asciiTheme="minorHAnsi" w:eastAsiaTheme="minorEastAsia" w:hAnsiTheme="minorHAnsi" w:cstheme="minorBidi"/>
      <w:sz w:val="22"/>
      <w:szCs w:val="22"/>
      <w:lang w:val="en-US" w:eastAsia="ja-JP"/>
    </w:rPr>
  </w:style>
  <w:style w:type="character" w:customStyle="1" w:styleId="ONUMEChar">
    <w:name w:val="ONUM E Char"/>
    <w:link w:val="ONUME"/>
    <w:rsid w:val="00877B63"/>
    <w:rPr>
      <w:rFonts w:ascii="Arial" w:hAnsi="Arial"/>
      <w:lang w:eastAsia="en-US"/>
    </w:rPr>
  </w:style>
  <w:style w:type="character" w:customStyle="1" w:styleId="st">
    <w:name w:val="st"/>
    <w:basedOn w:val="DefaultParagraphFont"/>
    <w:rsid w:val="00877B63"/>
  </w:style>
  <w:style w:type="paragraph" w:customStyle="1" w:styleId="Endofdocument-Annex">
    <w:name w:val="[End of document - Annex]"/>
    <w:basedOn w:val="Normal"/>
    <w:rsid w:val="00877B63"/>
    <w:pPr>
      <w:ind w:left="5534"/>
    </w:pPr>
    <w:rPr>
      <w:rFonts w:eastAsia="SimSun" w:cs="Arial"/>
      <w:lang w:val="en-US" w:eastAsia="zh-CN"/>
    </w:rPr>
  </w:style>
  <w:style w:type="paragraph" w:customStyle="1" w:styleId="StyleONUMFSGreen">
    <w:name w:val="Style ONUM FS + Green"/>
    <w:basedOn w:val="ONUMFS"/>
    <w:rsid w:val="002E3C69"/>
    <w:rPr>
      <w:color w:val="008000"/>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Default Paragraph Font" w:uiPriority="1"/>
    <w:lsdException w:name="Body Text" w:qFormat="1"/>
    <w:lsdException w:name="Subtitle" w:qFormat="1"/>
    <w:lsdException w:name="Hyperlink" w:uiPriority="99"/>
    <w:lsdException w:name="Strong" w:qFormat="1"/>
    <w:lsdException w:name="Emphasis" w:uiPriority="20"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15677"/>
    <w:rPr>
      <w:rFonts w:ascii="Arial" w:hAnsi="Arial"/>
      <w:lang w:eastAsia="en-US"/>
    </w:rPr>
  </w:style>
  <w:style w:type="paragraph" w:styleId="Heading1">
    <w:name w:val="heading 1"/>
    <w:basedOn w:val="Normal"/>
    <w:next w:val="Normal"/>
    <w:link w:val="Heading1Char"/>
    <w:uiPriority w:val="9"/>
    <w:qFormat/>
    <w:rsid w:val="002E3C69"/>
    <w:pPr>
      <w:keepNext/>
      <w:pageBreakBefore/>
      <w:tabs>
        <w:tab w:val="num" w:pos="567"/>
      </w:tabs>
      <w:spacing w:before="240" w:after="60"/>
      <w:outlineLvl w:val="0"/>
    </w:pPr>
    <w:rPr>
      <w:rFonts w:ascii="Arial Bold" w:hAnsi="Arial Bold" w:cs="Arial"/>
      <w:b/>
      <w:bCs/>
      <w:caps/>
      <w:kern w:val="32"/>
      <w:sz w:val="22"/>
      <w:szCs w:val="32"/>
      <w:lang w:eastAsia="da-DK"/>
    </w:rPr>
  </w:style>
  <w:style w:type="paragraph" w:styleId="Heading2">
    <w:name w:val="heading 2"/>
    <w:basedOn w:val="StyleHeading3ComplexItalic"/>
    <w:next w:val="Normal"/>
    <w:link w:val="Heading2Char"/>
    <w:qFormat/>
    <w:rsid w:val="002E3C69"/>
    <w:pPr>
      <w:tabs>
        <w:tab w:val="clear" w:pos="1985"/>
      </w:tabs>
      <w:ind w:left="3686" w:hanging="3686"/>
      <w:outlineLvl w:val="1"/>
    </w:pPr>
    <w:rPr>
      <w:rFonts w:eastAsia="SimSun"/>
    </w:rPr>
  </w:style>
  <w:style w:type="paragraph" w:styleId="Heading3">
    <w:name w:val="heading 3"/>
    <w:basedOn w:val="Normal"/>
    <w:next w:val="Normal"/>
    <w:link w:val="Heading3Char"/>
    <w:uiPriority w:val="9"/>
    <w:qFormat/>
    <w:rsid w:val="00FB1F61"/>
    <w:pPr>
      <w:keepNext/>
      <w:tabs>
        <w:tab w:val="left" w:pos="2268"/>
      </w:tabs>
      <w:ind w:left="2268" w:hanging="2268"/>
      <w:outlineLvl w:val="2"/>
    </w:pPr>
    <w:rPr>
      <w:rFonts w:ascii="Arial Bold" w:hAnsi="Arial Bold" w:cs="Arial"/>
      <w:b/>
      <w:caps/>
      <w:sz w:val="22"/>
      <w:szCs w:val="22"/>
    </w:rPr>
  </w:style>
  <w:style w:type="paragraph" w:styleId="Heading4">
    <w:name w:val="heading 4"/>
    <w:basedOn w:val="Heading3"/>
    <w:next w:val="Normal"/>
    <w:link w:val="Heading4Char"/>
    <w:qFormat/>
    <w:rsid w:val="00684A27"/>
    <w:pPr>
      <w:tabs>
        <w:tab w:val="num" w:pos="864"/>
      </w:tabs>
      <w:outlineLvl w:val="3"/>
    </w:pPr>
    <w:rPr>
      <w:bCs/>
      <w:caps w:val="0"/>
      <w:szCs w:val="26"/>
      <w:u w:val="single"/>
      <w:lang w:eastAsia="da-DK"/>
    </w:rPr>
  </w:style>
  <w:style w:type="paragraph" w:styleId="Heading5">
    <w:name w:val="heading 5"/>
    <w:basedOn w:val="Heading3"/>
    <w:next w:val="Normal"/>
    <w:link w:val="Heading5Char"/>
    <w:qFormat/>
    <w:rsid w:val="007C2881"/>
    <w:pPr>
      <w:outlineLvl w:val="4"/>
    </w:pPr>
    <w:rPr>
      <w:b w:val="0"/>
    </w:rPr>
  </w:style>
  <w:style w:type="paragraph" w:styleId="Heading6">
    <w:name w:val="heading 6"/>
    <w:basedOn w:val="Normal"/>
    <w:next w:val="Normal"/>
    <w:link w:val="Heading6Char"/>
    <w:qFormat/>
    <w:rsid w:val="00986BEF"/>
    <w:pPr>
      <w:keepNext/>
      <w:tabs>
        <w:tab w:val="num" w:pos="1152"/>
      </w:tabs>
      <w:spacing w:before="100"/>
      <w:jc w:val="center"/>
      <w:outlineLvl w:val="5"/>
    </w:pPr>
    <w:rPr>
      <w:sz w:val="18"/>
    </w:rPr>
  </w:style>
  <w:style w:type="paragraph" w:styleId="Heading7">
    <w:name w:val="heading 7"/>
    <w:basedOn w:val="Heading6"/>
    <w:next w:val="Normal"/>
    <w:link w:val="Heading7Char"/>
    <w:qFormat/>
    <w:rsid w:val="001060B8"/>
    <w:pPr>
      <w:tabs>
        <w:tab w:val="clear" w:pos="1152"/>
        <w:tab w:val="num" w:pos="1296"/>
      </w:tabs>
      <w:ind w:left="1296" w:hanging="1296"/>
      <w:outlineLvl w:val="6"/>
    </w:pPr>
  </w:style>
  <w:style w:type="paragraph" w:styleId="Heading8">
    <w:name w:val="heading 8"/>
    <w:basedOn w:val="Heading7"/>
    <w:next w:val="Normal"/>
    <w:link w:val="Heading8Char"/>
    <w:qFormat/>
    <w:rsid w:val="001060B8"/>
    <w:pPr>
      <w:tabs>
        <w:tab w:val="clear" w:pos="1296"/>
        <w:tab w:val="num" w:pos="1440"/>
      </w:tabs>
      <w:ind w:left="1440" w:hanging="1440"/>
      <w:outlineLvl w:val="7"/>
    </w:pPr>
  </w:style>
  <w:style w:type="paragraph" w:styleId="Heading9">
    <w:name w:val="heading 9"/>
    <w:basedOn w:val="Heading8"/>
    <w:next w:val="Normal"/>
    <w:link w:val="Heading9Char"/>
    <w:qFormat/>
    <w:rsid w:val="001060B8"/>
    <w:pPr>
      <w:tabs>
        <w:tab w:val="clear" w:pos="1440"/>
        <w:tab w:val="num" w:pos="1584"/>
      </w:tabs>
      <w:ind w:left="1584" w:hanging="1584"/>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2E3C69"/>
    <w:rPr>
      <w:rFonts w:ascii="Arial Bold" w:eastAsia="SimSun" w:hAnsi="Arial Bold" w:cs="Arial"/>
      <w:iCs/>
      <w:caps/>
      <w:sz w:val="22"/>
      <w:szCs w:val="22"/>
      <w:lang w:eastAsia="en-US"/>
    </w:rPr>
  </w:style>
  <w:style w:type="character" w:customStyle="1" w:styleId="Heading3Char">
    <w:name w:val="Heading 3 Char"/>
    <w:link w:val="Heading3"/>
    <w:uiPriority w:val="9"/>
    <w:rsid w:val="00FB1F61"/>
    <w:rPr>
      <w:rFonts w:ascii="Arial Bold" w:hAnsi="Arial Bold" w:cs="Arial"/>
      <w:b/>
      <w:caps/>
      <w:sz w:val="22"/>
      <w:szCs w:val="22"/>
      <w:lang w:eastAsia="en-US"/>
    </w:rPr>
  </w:style>
  <w:style w:type="paragraph" w:customStyle="1" w:styleId="CharCharCharChar">
    <w:name w:val="Char Char Char Char"/>
    <w:basedOn w:val="Normal"/>
    <w:rsid w:val="00702B3C"/>
    <w:pPr>
      <w:spacing w:after="160" w:line="240" w:lineRule="exact"/>
    </w:pPr>
    <w:rPr>
      <w:rFonts w:ascii="Verdana" w:hAnsi="Verdana"/>
      <w:lang w:val="en-GB"/>
    </w:rPr>
  </w:style>
  <w:style w:type="paragraph" w:styleId="Header">
    <w:name w:val="header"/>
    <w:basedOn w:val="Normal"/>
    <w:link w:val="HeaderChar"/>
    <w:pPr>
      <w:tabs>
        <w:tab w:val="center" w:pos="4536"/>
        <w:tab w:val="right" w:pos="9072"/>
      </w:tabs>
    </w:pPr>
  </w:style>
  <w:style w:type="paragraph" w:styleId="BalloonText">
    <w:name w:val="Balloon Text"/>
    <w:basedOn w:val="Normal"/>
    <w:link w:val="BalloonTextChar"/>
    <w:semiHidden/>
    <w:rsid w:val="00520B49"/>
    <w:rPr>
      <w:rFonts w:ascii="Tahoma" w:hAnsi="Tahoma" w:cs="Tahoma"/>
      <w:sz w:val="16"/>
      <w:szCs w:val="16"/>
    </w:rPr>
  </w:style>
  <w:style w:type="table" w:styleId="TableGrid">
    <w:name w:val="Table Grid"/>
    <w:basedOn w:val="TableNormal"/>
    <w:rsid w:val="00702B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702B3C"/>
    <w:pPr>
      <w:ind w:left="567"/>
    </w:pPr>
  </w:style>
  <w:style w:type="character" w:customStyle="1" w:styleId="hps">
    <w:name w:val="hps"/>
    <w:basedOn w:val="DefaultParagraphFont"/>
    <w:rsid w:val="00702B3C"/>
  </w:style>
  <w:style w:type="paragraph" w:styleId="ListParagraph">
    <w:name w:val="List Paragraph"/>
    <w:basedOn w:val="Normal"/>
    <w:uiPriority w:val="34"/>
    <w:qFormat/>
    <w:rsid w:val="00582A34"/>
    <w:pPr>
      <w:spacing w:after="200" w:line="276" w:lineRule="auto"/>
      <w:ind w:left="720"/>
      <w:contextualSpacing/>
    </w:pPr>
    <w:rPr>
      <w:rFonts w:ascii="Calibri" w:hAnsi="Calibri"/>
      <w:szCs w:val="22"/>
    </w:rPr>
  </w:style>
  <w:style w:type="paragraph" w:styleId="FootnoteText">
    <w:name w:val="footnote text"/>
    <w:basedOn w:val="Normal"/>
    <w:link w:val="FootnoteTextChar"/>
    <w:rsid w:val="00211225"/>
  </w:style>
  <w:style w:type="character" w:styleId="FootnoteReference">
    <w:name w:val="footnote reference"/>
    <w:aliases w:val="Footnote"/>
    <w:rsid w:val="00211225"/>
    <w:rPr>
      <w:vertAlign w:val="superscript"/>
    </w:rPr>
  </w:style>
  <w:style w:type="paragraph" w:styleId="Footer">
    <w:name w:val="footer"/>
    <w:basedOn w:val="Normal"/>
    <w:link w:val="FooterChar"/>
    <w:rsid w:val="005D29C4"/>
    <w:pPr>
      <w:tabs>
        <w:tab w:val="center" w:pos="4320"/>
        <w:tab w:val="right" w:pos="8640"/>
      </w:tabs>
    </w:pPr>
  </w:style>
  <w:style w:type="character" w:styleId="PageNumber">
    <w:name w:val="page number"/>
    <w:basedOn w:val="DefaultParagraphFont"/>
    <w:rsid w:val="005D29C4"/>
  </w:style>
  <w:style w:type="paragraph" w:customStyle="1" w:styleId="1">
    <w:name w:val="1"/>
    <w:basedOn w:val="Normal"/>
    <w:rsid w:val="00A34BEA"/>
    <w:pPr>
      <w:spacing w:after="160" w:line="240" w:lineRule="exact"/>
    </w:pPr>
    <w:rPr>
      <w:rFonts w:ascii="Verdana" w:hAnsi="Verdana"/>
      <w:lang w:val="en-GB"/>
    </w:rPr>
  </w:style>
  <w:style w:type="paragraph" w:styleId="TOC2">
    <w:name w:val="toc 2"/>
    <w:basedOn w:val="Normal"/>
    <w:next w:val="Normal"/>
    <w:autoRedefine/>
    <w:uiPriority w:val="39"/>
    <w:rsid w:val="000C1958"/>
    <w:pPr>
      <w:tabs>
        <w:tab w:val="left" w:pos="3969"/>
        <w:tab w:val="right" w:leader="dot" w:pos="9072"/>
      </w:tabs>
      <w:spacing w:before="120" w:after="120"/>
      <w:ind w:left="3969" w:right="567" w:hanging="3402"/>
    </w:pPr>
    <w:rPr>
      <w:b/>
      <w:caps/>
      <w:noProof/>
    </w:rPr>
  </w:style>
  <w:style w:type="character" w:styleId="Hyperlink">
    <w:name w:val="Hyperlink"/>
    <w:uiPriority w:val="99"/>
    <w:rsid w:val="002C2CFD"/>
    <w:rPr>
      <w:color w:val="0000FF"/>
      <w:u w:val="single"/>
    </w:rPr>
  </w:style>
  <w:style w:type="paragraph" w:customStyle="1" w:styleId="StyleHeading3ComplexItalic">
    <w:name w:val="Style Heading 3 + (Complex) Italic"/>
    <w:basedOn w:val="Heading3"/>
    <w:link w:val="StyleHeading3ComplexItalicChar"/>
    <w:rsid w:val="00450A91"/>
    <w:pPr>
      <w:tabs>
        <w:tab w:val="left" w:pos="1985"/>
      </w:tabs>
    </w:pPr>
    <w:rPr>
      <w:b w:val="0"/>
      <w:iCs/>
    </w:rPr>
  </w:style>
  <w:style w:type="character" w:customStyle="1" w:styleId="StyleHeading3ComplexItalicChar">
    <w:name w:val="Style Heading 3 + (Complex) Italic Char"/>
    <w:link w:val="StyleHeading3ComplexItalic"/>
    <w:rsid w:val="00450A91"/>
    <w:rPr>
      <w:rFonts w:ascii="Arial" w:hAnsi="Arial" w:cs="Arial"/>
      <w:b/>
      <w:iCs/>
      <w:caps/>
      <w:sz w:val="22"/>
      <w:szCs w:val="22"/>
      <w:lang w:val="en-US" w:eastAsia="en-US" w:bidi="ar-SA"/>
    </w:rPr>
  </w:style>
  <w:style w:type="paragraph" w:styleId="TOC3">
    <w:name w:val="toc 3"/>
    <w:basedOn w:val="Normal"/>
    <w:next w:val="Normal"/>
    <w:autoRedefine/>
    <w:uiPriority w:val="39"/>
    <w:rsid w:val="00C21BB2"/>
    <w:pPr>
      <w:tabs>
        <w:tab w:val="left" w:pos="2552"/>
        <w:tab w:val="right" w:leader="dot" w:pos="9072"/>
      </w:tabs>
      <w:spacing w:after="60"/>
      <w:ind w:left="2552" w:right="567" w:hanging="1985"/>
    </w:pPr>
    <w:rPr>
      <w:caps/>
      <w:noProof/>
    </w:rPr>
  </w:style>
  <w:style w:type="paragraph" w:customStyle="1" w:styleId="StyleHeading214ptAuto">
    <w:name w:val="Style Heading 2 + 14 pt Auto"/>
    <w:basedOn w:val="Heading2"/>
    <w:rsid w:val="00F54C52"/>
    <w:pPr>
      <w:jc w:val="center"/>
    </w:pPr>
  </w:style>
  <w:style w:type="paragraph" w:styleId="NormalWeb">
    <w:name w:val="Normal (Web)"/>
    <w:basedOn w:val="Normal"/>
    <w:uiPriority w:val="99"/>
    <w:rsid w:val="00A522FE"/>
    <w:pPr>
      <w:spacing w:before="100" w:beforeAutospacing="1" w:after="100" w:afterAutospacing="1"/>
    </w:pPr>
    <w:rPr>
      <w:rFonts w:cs="Arial"/>
      <w:sz w:val="18"/>
      <w:szCs w:val="18"/>
    </w:rPr>
  </w:style>
  <w:style w:type="paragraph" w:styleId="TOC1">
    <w:name w:val="toc 1"/>
    <w:basedOn w:val="Normal"/>
    <w:next w:val="Normal"/>
    <w:autoRedefine/>
    <w:uiPriority w:val="39"/>
    <w:rsid w:val="00BF2D0D"/>
    <w:pPr>
      <w:tabs>
        <w:tab w:val="left" w:pos="567"/>
        <w:tab w:val="right" w:leader="dot" w:pos="9072"/>
      </w:tabs>
      <w:spacing w:before="120" w:after="120"/>
      <w:ind w:right="567"/>
    </w:pPr>
    <w:rPr>
      <w:b/>
      <w:caps/>
      <w:noProof/>
    </w:rPr>
  </w:style>
  <w:style w:type="paragraph" w:customStyle="1" w:styleId="NormalArial">
    <w:name w:val="Normal + Arial"/>
    <w:aliases w:val="10 pt"/>
    <w:basedOn w:val="ListParagraph"/>
    <w:rsid w:val="000C258A"/>
    <w:pPr>
      <w:spacing w:after="0" w:line="240" w:lineRule="auto"/>
      <w:ind w:left="-28"/>
      <w:contextualSpacing w:val="0"/>
    </w:pPr>
    <w:rPr>
      <w:rFonts w:ascii="Arial" w:eastAsia="MS Mincho" w:hAnsi="Arial" w:cs="Arial"/>
      <w:bCs/>
      <w:szCs w:val="20"/>
      <w:lang w:eastAsia="ja-JP"/>
    </w:rPr>
  </w:style>
  <w:style w:type="paragraph" w:customStyle="1" w:styleId="Default">
    <w:name w:val="Default"/>
    <w:rsid w:val="00AF21D0"/>
    <w:pPr>
      <w:autoSpaceDE w:val="0"/>
      <w:autoSpaceDN w:val="0"/>
      <w:adjustRightInd w:val="0"/>
    </w:pPr>
    <w:rPr>
      <w:rFonts w:ascii="Arial" w:hAnsi="Arial" w:cs="Arial"/>
      <w:color w:val="000000"/>
      <w:sz w:val="24"/>
      <w:szCs w:val="24"/>
      <w:lang w:val="en-US" w:eastAsia="en-US"/>
    </w:rPr>
  </w:style>
  <w:style w:type="paragraph" w:customStyle="1" w:styleId="Normal6">
    <w:name w:val="Normal+6"/>
    <w:basedOn w:val="Normal"/>
    <w:next w:val="Normal"/>
    <w:rsid w:val="000365F1"/>
    <w:pPr>
      <w:autoSpaceDE w:val="0"/>
      <w:autoSpaceDN w:val="0"/>
      <w:adjustRightInd w:val="0"/>
    </w:pPr>
    <w:rPr>
      <w:szCs w:val="24"/>
    </w:rPr>
  </w:style>
  <w:style w:type="character" w:styleId="CommentReference">
    <w:name w:val="annotation reference"/>
    <w:rsid w:val="000365F1"/>
    <w:rPr>
      <w:sz w:val="16"/>
      <w:szCs w:val="16"/>
    </w:rPr>
  </w:style>
  <w:style w:type="paragraph" w:styleId="CommentText">
    <w:name w:val="annotation text"/>
    <w:basedOn w:val="Normal"/>
    <w:link w:val="CommentTextChar"/>
    <w:rsid w:val="000365F1"/>
  </w:style>
  <w:style w:type="character" w:customStyle="1" w:styleId="CommentTextChar">
    <w:name w:val="Comment Text Char"/>
    <w:link w:val="CommentText"/>
    <w:locked/>
    <w:rsid w:val="00674855"/>
    <w:rPr>
      <w:lang w:val="en-US" w:eastAsia="en-US" w:bidi="ar-SA"/>
    </w:rPr>
  </w:style>
  <w:style w:type="paragraph" w:customStyle="1" w:styleId="StyleStyleHeading3ComplexItalicLatin12pt">
    <w:name w:val="Style Style Heading 3 + (Complex) Italic + (Latin) 12 pt"/>
    <w:basedOn w:val="StyleHeading3ComplexItalic"/>
    <w:link w:val="StyleStyleHeading3ComplexItalicLatin12ptChar"/>
    <w:rsid w:val="00456DFF"/>
  </w:style>
  <w:style w:type="character" w:customStyle="1" w:styleId="StyleStyleHeading3ComplexItalicLatin12ptChar">
    <w:name w:val="Style Style Heading 3 + (Complex) Italic + (Latin) 12 pt Char"/>
    <w:basedOn w:val="StyleHeading3ComplexItalicChar"/>
    <w:link w:val="StyleStyleHeading3ComplexItalicLatin12pt"/>
    <w:rsid w:val="00456DFF"/>
    <w:rPr>
      <w:rFonts w:ascii="Arial" w:hAnsi="Arial" w:cs="Arial"/>
      <w:b/>
      <w:iCs/>
      <w:caps/>
      <w:sz w:val="22"/>
      <w:szCs w:val="22"/>
      <w:lang w:val="en-US" w:eastAsia="en-US" w:bidi="ar-SA"/>
    </w:rPr>
  </w:style>
  <w:style w:type="character" w:customStyle="1" w:styleId="paracolourtext1">
    <w:name w:val="paracolourtext1"/>
    <w:rsid w:val="001C26A8"/>
    <w:rPr>
      <w:b w:val="0"/>
      <w:bCs w:val="0"/>
      <w:i w:val="0"/>
      <w:iCs w:val="0"/>
      <w:color w:val="800000"/>
      <w:sz w:val="20"/>
      <w:szCs w:val="20"/>
    </w:rPr>
  </w:style>
  <w:style w:type="paragraph" w:styleId="BodyText">
    <w:name w:val="Body Text"/>
    <w:basedOn w:val="Normal"/>
    <w:link w:val="BodyTextChar"/>
    <w:qFormat/>
    <w:rsid w:val="00B73968"/>
    <w:pPr>
      <w:spacing w:after="120"/>
    </w:pPr>
  </w:style>
  <w:style w:type="paragraph" w:customStyle="1" w:styleId="Body">
    <w:name w:val="Body"/>
    <w:rsid w:val="0062447A"/>
    <w:rPr>
      <w:rFonts w:ascii="Helvetica" w:eastAsia="ヒラギノ角ゴ Pro W3" w:hAnsi="Helvetica" w:cs="Angsana New"/>
      <w:color w:val="000000"/>
      <w:sz w:val="24"/>
      <w:lang w:val="en-US" w:bidi="th-TH"/>
    </w:rPr>
  </w:style>
  <w:style w:type="paragraph" w:customStyle="1" w:styleId="tes1">
    <w:name w:val="tes1"/>
    <w:basedOn w:val="Normal"/>
    <w:rsid w:val="00B4023E"/>
    <w:pPr>
      <w:suppressAutoHyphens/>
      <w:ind w:left="1134" w:right="2195"/>
      <w:jc w:val="both"/>
    </w:pPr>
    <w:rPr>
      <w:b/>
      <w:spacing w:val="4"/>
      <w:w w:val="103"/>
      <w:kern w:val="14"/>
      <w:lang w:val="en-GB"/>
    </w:rPr>
  </w:style>
  <w:style w:type="paragraph" w:customStyle="1" w:styleId="Style10">
    <w:name w:val="Style10"/>
    <w:basedOn w:val="Normal"/>
    <w:autoRedefine/>
    <w:rsid w:val="00B4023E"/>
    <w:pPr>
      <w:tabs>
        <w:tab w:val="left" w:pos="340"/>
        <w:tab w:val="left" w:pos="680"/>
        <w:tab w:val="left" w:pos="1021"/>
        <w:tab w:val="left" w:pos="1361"/>
      </w:tabs>
      <w:suppressAutoHyphens/>
      <w:jc w:val="both"/>
    </w:pPr>
    <w:rPr>
      <w:snapToGrid w:val="0"/>
    </w:rPr>
  </w:style>
  <w:style w:type="paragraph" w:customStyle="1" w:styleId="Style11">
    <w:name w:val="Style11"/>
    <w:basedOn w:val="FootnoteText"/>
    <w:autoRedefine/>
    <w:rsid w:val="00B4023E"/>
    <w:pPr>
      <w:suppressAutoHyphens/>
      <w:ind w:firstLine="340"/>
      <w:jc w:val="both"/>
    </w:pPr>
    <w:rPr>
      <w:snapToGrid w:val="0"/>
      <w:sz w:val="16"/>
    </w:rPr>
  </w:style>
  <w:style w:type="paragraph" w:styleId="Title">
    <w:name w:val="Title"/>
    <w:basedOn w:val="Normal"/>
    <w:link w:val="TitleChar"/>
    <w:qFormat/>
    <w:rsid w:val="00B4023E"/>
    <w:pPr>
      <w:jc w:val="center"/>
    </w:pPr>
    <w:rPr>
      <w:b/>
    </w:rPr>
  </w:style>
  <w:style w:type="paragraph" w:styleId="Subtitle">
    <w:name w:val="Subtitle"/>
    <w:basedOn w:val="Normal"/>
    <w:link w:val="SubtitleChar"/>
    <w:qFormat/>
    <w:rsid w:val="00B4023E"/>
    <w:pPr>
      <w:jc w:val="center"/>
    </w:pPr>
    <w:rPr>
      <w:b/>
      <w:caps/>
      <w:color w:val="0000FF"/>
      <w:sz w:val="28"/>
    </w:rPr>
  </w:style>
  <w:style w:type="paragraph" w:customStyle="1" w:styleId="Endofdocument">
    <w:name w:val="End of document"/>
    <w:basedOn w:val="Normal"/>
    <w:rsid w:val="00B4023E"/>
    <w:pPr>
      <w:ind w:left="4536"/>
      <w:jc w:val="center"/>
    </w:pPr>
  </w:style>
  <w:style w:type="paragraph" w:styleId="BodyTextIndent2">
    <w:name w:val="Body Text Indent 2"/>
    <w:basedOn w:val="Normal"/>
    <w:link w:val="BodyTextIndent2Char"/>
    <w:rsid w:val="00B4023E"/>
    <w:pPr>
      <w:tabs>
        <w:tab w:val="left" w:pos="714"/>
      </w:tabs>
      <w:spacing w:after="100"/>
      <w:ind w:hanging="6"/>
      <w:jc w:val="both"/>
    </w:pPr>
    <w:rPr>
      <w:snapToGrid w:val="0"/>
      <w:color w:val="000000"/>
    </w:rPr>
  </w:style>
  <w:style w:type="paragraph" w:customStyle="1" w:styleId="3029-Titrechapitre">
    <w:name w:val="3029-Titre chapitre"/>
    <w:basedOn w:val="Heading1"/>
    <w:rsid w:val="00B4023E"/>
    <w:pPr>
      <w:pageBreakBefore w:val="0"/>
      <w:tabs>
        <w:tab w:val="clear" w:pos="567"/>
      </w:tabs>
    </w:pPr>
    <w:rPr>
      <w:rFonts w:ascii="Arial Black" w:eastAsia="Times" w:hAnsi="Arial Black" w:cs="Times New Roman"/>
      <w:b w:val="0"/>
      <w:bCs w:val="0"/>
      <w:color w:val="000080"/>
      <w:kern w:val="0"/>
      <w:sz w:val="30"/>
      <w:szCs w:val="20"/>
      <w:lang w:eastAsia="en-US"/>
    </w:rPr>
  </w:style>
  <w:style w:type="character" w:customStyle="1" w:styleId="underline">
    <w:name w:val="underline"/>
    <w:rsid w:val="00B4023E"/>
    <w:rPr>
      <w:u w:val="single"/>
    </w:rPr>
  </w:style>
  <w:style w:type="paragraph" w:customStyle="1" w:styleId="zanxhead">
    <w:name w:val="zanxhead"/>
    <w:basedOn w:val="Normal"/>
    <w:rsid w:val="00B4023E"/>
    <w:pPr>
      <w:spacing w:before="200"/>
    </w:pPr>
    <w:rPr>
      <w:b/>
      <w:color w:val="0000FF"/>
    </w:rPr>
  </w:style>
  <w:style w:type="paragraph" w:customStyle="1" w:styleId="zanxtext">
    <w:name w:val="zanxtext"/>
    <w:basedOn w:val="Normal"/>
    <w:rsid w:val="00B4023E"/>
    <w:pPr>
      <w:spacing w:before="120"/>
    </w:pPr>
  </w:style>
  <w:style w:type="paragraph" w:styleId="BodyText2">
    <w:name w:val="Body Text 2"/>
    <w:basedOn w:val="Normal"/>
    <w:link w:val="BodyText2Char"/>
    <w:rsid w:val="00B4023E"/>
    <w:pPr>
      <w:keepNext/>
      <w:jc w:val="both"/>
    </w:pPr>
  </w:style>
  <w:style w:type="paragraph" w:styleId="BlockText">
    <w:name w:val="Block Text"/>
    <w:basedOn w:val="Normal"/>
    <w:rsid w:val="00B4023E"/>
    <w:pPr>
      <w:tabs>
        <w:tab w:val="left" w:pos="2127"/>
      </w:tabs>
      <w:spacing w:after="40"/>
      <w:ind w:left="2127" w:right="896" w:hanging="2127"/>
    </w:pPr>
  </w:style>
  <w:style w:type="character" w:styleId="Emphasis">
    <w:name w:val="Emphasis"/>
    <w:uiPriority w:val="20"/>
    <w:qFormat/>
    <w:rsid w:val="00C77472"/>
    <w:rPr>
      <w:i/>
      <w:iCs/>
    </w:rPr>
  </w:style>
  <w:style w:type="character" w:styleId="Strong">
    <w:name w:val="Strong"/>
    <w:qFormat/>
    <w:rsid w:val="00C77472"/>
    <w:rPr>
      <w:b/>
      <w:bCs/>
    </w:rPr>
  </w:style>
  <w:style w:type="paragraph" w:customStyle="1" w:styleId="preparedby">
    <w:name w:val="prepared by"/>
    <w:basedOn w:val="Normal"/>
    <w:next w:val="Normal"/>
    <w:rsid w:val="00723976"/>
    <w:pPr>
      <w:spacing w:before="120" w:after="480" w:line="260" w:lineRule="atLeast"/>
      <w:ind w:left="1021"/>
      <w:contextualSpacing/>
    </w:pPr>
    <w:rPr>
      <w:i/>
    </w:rPr>
  </w:style>
  <w:style w:type="paragraph" w:customStyle="1" w:styleId="Documenttitle">
    <w:name w:val="Document title"/>
    <w:basedOn w:val="Normal"/>
    <w:next w:val="preparedby"/>
    <w:rsid w:val="00723976"/>
    <w:pPr>
      <w:spacing w:before="840" w:line="336" w:lineRule="exact"/>
      <w:ind w:left="1021"/>
      <w:contextualSpacing/>
    </w:pPr>
  </w:style>
  <w:style w:type="paragraph" w:customStyle="1" w:styleId="MeetinglanguageDate">
    <w:name w:val="Meeting language &amp; Date"/>
    <w:basedOn w:val="Normal"/>
    <w:next w:val="Meetingtitle"/>
    <w:rsid w:val="00723976"/>
    <w:pPr>
      <w:spacing w:after="1680" w:line="160" w:lineRule="exact"/>
      <w:ind w:left="1021"/>
      <w:contextualSpacing/>
      <w:jc w:val="right"/>
    </w:pPr>
    <w:rPr>
      <w:rFonts w:ascii="Arial Black" w:hAnsi="Arial Black"/>
      <w:b/>
      <w:caps/>
      <w:sz w:val="15"/>
    </w:rPr>
  </w:style>
  <w:style w:type="paragraph" w:customStyle="1" w:styleId="Meetingtitle">
    <w:name w:val="Meeting title"/>
    <w:basedOn w:val="Normal"/>
    <w:next w:val="Sessiontitle"/>
    <w:rsid w:val="00723976"/>
    <w:pPr>
      <w:spacing w:line="336" w:lineRule="exact"/>
      <w:ind w:left="1021"/>
    </w:pPr>
    <w:rPr>
      <w:b/>
      <w:sz w:val="28"/>
    </w:rPr>
  </w:style>
  <w:style w:type="paragraph" w:customStyle="1" w:styleId="Sessiontitle">
    <w:name w:val="Session title"/>
    <w:basedOn w:val="Meetingtitle"/>
    <w:next w:val="Meetingplacedate"/>
    <w:rsid w:val="00723976"/>
    <w:pPr>
      <w:spacing w:before="480"/>
      <w:contextualSpacing/>
    </w:pPr>
    <w:rPr>
      <w:sz w:val="24"/>
    </w:rPr>
  </w:style>
  <w:style w:type="paragraph" w:customStyle="1" w:styleId="Meetingplacedate">
    <w:name w:val="Meeting place &amp; date"/>
    <w:basedOn w:val="Sessiontitle"/>
    <w:next w:val="Documenttitle"/>
    <w:rsid w:val="00723976"/>
    <w:pPr>
      <w:spacing w:before="0"/>
      <w:contextualSpacing w:val="0"/>
    </w:pPr>
  </w:style>
  <w:style w:type="paragraph" w:customStyle="1" w:styleId="Language">
    <w:name w:val="Language"/>
    <w:basedOn w:val="Normal"/>
    <w:next w:val="Normal"/>
    <w:rsid w:val="00723976"/>
    <w:pPr>
      <w:spacing w:after="120" w:line="340" w:lineRule="atLeast"/>
      <w:ind w:left="1021"/>
      <w:contextualSpacing/>
      <w:jc w:val="right"/>
    </w:pPr>
    <w:rPr>
      <w:b/>
      <w:caps/>
      <w:sz w:val="40"/>
    </w:rPr>
  </w:style>
  <w:style w:type="paragraph" w:customStyle="1" w:styleId="MeetingCode">
    <w:name w:val="Meeting Code"/>
    <w:basedOn w:val="MeetinglanguageDate"/>
    <w:rsid w:val="00723976"/>
    <w:pPr>
      <w:spacing w:before="1800" w:after="0"/>
    </w:pPr>
  </w:style>
  <w:style w:type="paragraph" w:customStyle="1" w:styleId="CarCarCar">
    <w:name w:val="Car Car Car"/>
    <w:basedOn w:val="Normal"/>
    <w:rsid w:val="00723976"/>
    <w:pPr>
      <w:spacing w:after="160" w:line="240" w:lineRule="exact"/>
    </w:pPr>
    <w:rPr>
      <w:rFonts w:ascii="Verdana" w:eastAsia="PMingLiU" w:hAnsi="Verdana"/>
    </w:rPr>
  </w:style>
  <w:style w:type="paragraph" w:customStyle="1" w:styleId="Paragraphedeliste">
    <w:name w:val="Paragraphe de liste"/>
    <w:autoRedefine/>
    <w:rsid w:val="002F6156"/>
    <w:pPr>
      <w:spacing w:after="200" w:line="276" w:lineRule="auto"/>
      <w:ind w:left="720"/>
    </w:pPr>
    <w:rPr>
      <w:rFonts w:ascii="Lucida Grande" w:eastAsia="ヒラギノ角ゴ Pro W3" w:hAnsi="Lucida Grande"/>
      <w:color w:val="000000"/>
      <w:sz w:val="22"/>
      <w:lang w:val="en-GB"/>
    </w:rPr>
  </w:style>
  <w:style w:type="paragraph" w:customStyle="1" w:styleId="ONUME">
    <w:name w:val="ONUM E"/>
    <w:basedOn w:val="Normal"/>
    <w:link w:val="ONUMEChar"/>
    <w:rsid w:val="00A6294B"/>
    <w:pPr>
      <w:numPr>
        <w:numId w:val="2"/>
      </w:numPr>
    </w:pPr>
  </w:style>
  <w:style w:type="character" w:styleId="FollowedHyperlink">
    <w:name w:val="FollowedHyperlink"/>
    <w:rsid w:val="0009232D"/>
    <w:rPr>
      <w:color w:val="606420"/>
      <w:u w:val="single"/>
    </w:rPr>
  </w:style>
  <w:style w:type="paragraph" w:customStyle="1" w:styleId="Body1">
    <w:name w:val="Body 1"/>
    <w:rsid w:val="00674855"/>
    <w:rPr>
      <w:rFonts w:ascii="Helvetica" w:eastAsia="Arial Unicode MS" w:hAnsi="Helvetica"/>
      <w:color w:val="000000"/>
      <w:sz w:val="24"/>
    </w:rPr>
  </w:style>
  <w:style w:type="paragraph" w:styleId="PlainText">
    <w:name w:val="Plain Text"/>
    <w:basedOn w:val="Normal"/>
    <w:link w:val="PlainTextChar"/>
    <w:uiPriority w:val="99"/>
    <w:rsid w:val="00206B0C"/>
    <w:rPr>
      <w:rFonts w:ascii="Courier New" w:eastAsia="MS Mincho" w:hAnsi="Courier New"/>
      <w:lang w:eastAsia="zh-CN" w:bidi="th-TH"/>
    </w:rPr>
  </w:style>
  <w:style w:type="paragraph" w:customStyle="1" w:styleId="ONUMFS">
    <w:name w:val="ONUM FS"/>
    <w:basedOn w:val="Normal"/>
    <w:rsid w:val="00D612AE"/>
    <w:pPr>
      <w:numPr>
        <w:numId w:val="3"/>
      </w:numPr>
      <w:spacing w:after="200"/>
      <w:ind w:left="0" w:firstLine="0"/>
      <w:jc w:val="both"/>
    </w:pPr>
  </w:style>
  <w:style w:type="paragraph" w:styleId="Salutation">
    <w:name w:val="Salutation"/>
    <w:basedOn w:val="Normal"/>
    <w:next w:val="Normal"/>
    <w:link w:val="SalutationChar"/>
    <w:semiHidden/>
    <w:rsid w:val="00B73FAF"/>
  </w:style>
  <w:style w:type="paragraph" w:styleId="Signature">
    <w:name w:val="Signature"/>
    <w:basedOn w:val="Normal"/>
    <w:link w:val="SignatureChar"/>
    <w:semiHidden/>
    <w:rsid w:val="00B73FAF"/>
    <w:pPr>
      <w:ind w:left="5250"/>
    </w:pPr>
  </w:style>
  <w:style w:type="paragraph" w:styleId="EndnoteText">
    <w:name w:val="endnote text"/>
    <w:basedOn w:val="Normal"/>
    <w:link w:val="EndnoteTextChar"/>
    <w:semiHidden/>
    <w:rsid w:val="00B73FAF"/>
    <w:rPr>
      <w:sz w:val="18"/>
    </w:rPr>
  </w:style>
  <w:style w:type="paragraph" w:styleId="Caption">
    <w:name w:val="caption"/>
    <w:basedOn w:val="Normal"/>
    <w:next w:val="Normal"/>
    <w:qFormat/>
    <w:rsid w:val="00B73FAF"/>
    <w:rPr>
      <w:b/>
      <w:bCs/>
      <w:sz w:val="18"/>
    </w:rPr>
  </w:style>
  <w:style w:type="paragraph" w:styleId="ListNumber">
    <w:name w:val="List Number"/>
    <w:basedOn w:val="Normal"/>
    <w:semiHidden/>
    <w:rsid w:val="00B73FAF"/>
    <w:pPr>
      <w:numPr>
        <w:numId w:val="1"/>
      </w:numPr>
    </w:pPr>
  </w:style>
  <w:style w:type="character" w:customStyle="1" w:styleId="Bona">
    <w:name w:val="Bona"/>
    <w:semiHidden/>
    <w:rsid w:val="004E08F6"/>
    <w:rPr>
      <w:rFonts w:ascii="Arial" w:hAnsi="Arial" w:cs="Arial"/>
      <w:color w:val="000080"/>
      <w:sz w:val="20"/>
      <w:szCs w:val="20"/>
    </w:rPr>
  </w:style>
  <w:style w:type="paragraph" w:customStyle="1" w:styleId="Notes">
    <w:name w:val="Notes"/>
    <w:basedOn w:val="Normal"/>
    <w:qFormat/>
    <w:rsid w:val="001C7D13"/>
    <w:pPr>
      <w:jc w:val="both"/>
    </w:pPr>
    <w:rPr>
      <w:sz w:val="16"/>
    </w:rPr>
  </w:style>
  <w:style w:type="character" w:customStyle="1" w:styleId="Heading1Char">
    <w:name w:val="Heading 1 Char"/>
    <w:link w:val="Heading1"/>
    <w:uiPriority w:val="9"/>
    <w:rsid w:val="002E3C69"/>
    <w:rPr>
      <w:rFonts w:ascii="Arial Bold" w:hAnsi="Arial Bold" w:cs="Arial"/>
      <w:b/>
      <w:bCs/>
      <w:caps/>
      <w:kern w:val="32"/>
      <w:sz w:val="22"/>
      <w:szCs w:val="32"/>
      <w:lang w:eastAsia="da-DK"/>
    </w:rPr>
  </w:style>
  <w:style w:type="character" w:customStyle="1" w:styleId="FootnoteTextChar">
    <w:name w:val="Footnote Text Char"/>
    <w:link w:val="FootnoteText"/>
    <w:rsid w:val="009A51A9"/>
    <w:rPr>
      <w:rFonts w:ascii="Arial" w:hAnsi="Arial"/>
      <w:lang w:eastAsia="en-US"/>
    </w:rPr>
  </w:style>
  <w:style w:type="character" w:customStyle="1" w:styleId="Heading4Char">
    <w:name w:val="Heading 4 Char"/>
    <w:link w:val="Heading4"/>
    <w:rsid w:val="00054708"/>
    <w:rPr>
      <w:rFonts w:ascii="Arial" w:hAnsi="Arial" w:cs="Arial"/>
      <w:bCs/>
      <w:sz w:val="22"/>
      <w:szCs w:val="26"/>
      <w:u w:val="single"/>
      <w:lang w:eastAsia="da-DK"/>
    </w:rPr>
  </w:style>
  <w:style w:type="character" w:customStyle="1" w:styleId="Heading5Char">
    <w:name w:val="Heading 5 Char"/>
    <w:link w:val="Heading5"/>
    <w:rsid w:val="007C2881"/>
    <w:rPr>
      <w:rFonts w:ascii="Arial" w:hAnsi="Arial" w:cs="Arial"/>
      <w:b/>
      <w:caps/>
      <w:sz w:val="22"/>
      <w:szCs w:val="22"/>
      <w:lang w:eastAsia="en-US"/>
    </w:rPr>
  </w:style>
  <w:style w:type="character" w:customStyle="1" w:styleId="Heading6Char">
    <w:name w:val="Heading 6 Char"/>
    <w:link w:val="Heading6"/>
    <w:rsid w:val="00054708"/>
    <w:rPr>
      <w:rFonts w:ascii="Arial" w:hAnsi="Arial"/>
      <w:sz w:val="18"/>
      <w:lang w:eastAsia="en-US"/>
    </w:rPr>
  </w:style>
  <w:style w:type="character" w:customStyle="1" w:styleId="Heading7Char">
    <w:name w:val="Heading 7 Char"/>
    <w:link w:val="Heading7"/>
    <w:rsid w:val="00054708"/>
    <w:rPr>
      <w:rFonts w:ascii="Arial" w:hAnsi="Arial"/>
      <w:sz w:val="18"/>
      <w:lang w:eastAsia="en-US"/>
    </w:rPr>
  </w:style>
  <w:style w:type="character" w:customStyle="1" w:styleId="Heading8Char">
    <w:name w:val="Heading 8 Char"/>
    <w:link w:val="Heading8"/>
    <w:rsid w:val="00054708"/>
    <w:rPr>
      <w:rFonts w:ascii="Arial" w:hAnsi="Arial"/>
      <w:sz w:val="18"/>
      <w:lang w:eastAsia="en-US"/>
    </w:rPr>
  </w:style>
  <w:style w:type="character" w:customStyle="1" w:styleId="Heading9Char">
    <w:name w:val="Heading 9 Char"/>
    <w:link w:val="Heading9"/>
    <w:rsid w:val="00054708"/>
    <w:rPr>
      <w:rFonts w:ascii="Arial" w:hAnsi="Arial"/>
      <w:sz w:val="18"/>
      <w:lang w:eastAsia="en-US"/>
    </w:rPr>
  </w:style>
  <w:style w:type="character" w:customStyle="1" w:styleId="HeaderChar">
    <w:name w:val="Header Char"/>
    <w:link w:val="Header"/>
    <w:rsid w:val="00054708"/>
    <w:rPr>
      <w:rFonts w:ascii="Arial" w:hAnsi="Arial"/>
      <w:lang w:eastAsia="en-US"/>
    </w:rPr>
  </w:style>
  <w:style w:type="character" w:customStyle="1" w:styleId="BalloonTextChar">
    <w:name w:val="Balloon Text Char"/>
    <w:link w:val="BalloonText"/>
    <w:semiHidden/>
    <w:rsid w:val="00054708"/>
    <w:rPr>
      <w:rFonts w:ascii="Tahoma" w:hAnsi="Tahoma" w:cs="Tahoma"/>
      <w:sz w:val="16"/>
      <w:szCs w:val="16"/>
      <w:lang w:eastAsia="en-US"/>
    </w:rPr>
  </w:style>
  <w:style w:type="character" w:customStyle="1" w:styleId="BodyTextIndentChar">
    <w:name w:val="Body Text Indent Char"/>
    <w:link w:val="BodyTextIndent"/>
    <w:rsid w:val="00054708"/>
    <w:rPr>
      <w:rFonts w:ascii="Arial" w:hAnsi="Arial"/>
      <w:lang w:eastAsia="en-US"/>
    </w:rPr>
  </w:style>
  <w:style w:type="character" w:customStyle="1" w:styleId="FooterChar">
    <w:name w:val="Footer Char"/>
    <w:link w:val="Footer"/>
    <w:rsid w:val="00054708"/>
    <w:rPr>
      <w:rFonts w:ascii="Arial" w:hAnsi="Arial"/>
      <w:lang w:eastAsia="en-US"/>
    </w:rPr>
  </w:style>
  <w:style w:type="character" w:customStyle="1" w:styleId="BodyTextChar">
    <w:name w:val="Body Text Char"/>
    <w:link w:val="BodyText"/>
    <w:rsid w:val="00054708"/>
    <w:rPr>
      <w:rFonts w:ascii="Arial" w:hAnsi="Arial"/>
      <w:lang w:eastAsia="en-US"/>
    </w:rPr>
  </w:style>
  <w:style w:type="character" w:customStyle="1" w:styleId="TitleChar">
    <w:name w:val="Title Char"/>
    <w:link w:val="Title"/>
    <w:rsid w:val="00054708"/>
    <w:rPr>
      <w:rFonts w:ascii="Arial" w:hAnsi="Arial"/>
      <w:b/>
      <w:lang w:eastAsia="en-US"/>
    </w:rPr>
  </w:style>
  <w:style w:type="character" w:customStyle="1" w:styleId="SubtitleChar">
    <w:name w:val="Subtitle Char"/>
    <w:link w:val="Subtitle"/>
    <w:rsid w:val="00054708"/>
    <w:rPr>
      <w:rFonts w:ascii="Arial" w:hAnsi="Arial"/>
      <w:b/>
      <w:caps/>
      <w:color w:val="0000FF"/>
      <w:sz w:val="28"/>
      <w:lang w:eastAsia="en-US"/>
    </w:rPr>
  </w:style>
  <w:style w:type="character" w:customStyle="1" w:styleId="BodyTextIndent2Char">
    <w:name w:val="Body Text Indent 2 Char"/>
    <w:link w:val="BodyTextIndent2"/>
    <w:rsid w:val="00054708"/>
    <w:rPr>
      <w:rFonts w:ascii="Arial" w:hAnsi="Arial"/>
      <w:snapToGrid w:val="0"/>
      <w:color w:val="000000"/>
      <w:lang w:eastAsia="en-US"/>
    </w:rPr>
  </w:style>
  <w:style w:type="character" w:customStyle="1" w:styleId="BodyText2Char">
    <w:name w:val="Body Text 2 Char"/>
    <w:link w:val="BodyText2"/>
    <w:rsid w:val="00054708"/>
    <w:rPr>
      <w:rFonts w:ascii="Arial" w:hAnsi="Arial"/>
      <w:lang w:eastAsia="en-US"/>
    </w:rPr>
  </w:style>
  <w:style w:type="character" w:customStyle="1" w:styleId="PlainTextChar">
    <w:name w:val="Plain Text Char"/>
    <w:link w:val="PlainText"/>
    <w:uiPriority w:val="99"/>
    <w:rsid w:val="00054708"/>
    <w:rPr>
      <w:rFonts w:ascii="Courier New" w:eastAsia="MS Mincho" w:hAnsi="Courier New"/>
      <w:lang w:eastAsia="zh-CN" w:bidi="th-TH"/>
    </w:rPr>
  </w:style>
  <w:style w:type="character" w:customStyle="1" w:styleId="SalutationChar">
    <w:name w:val="Salutation Char"/>
    <w:link w:val="Salutation"/>
    <w:semiHidden/>
    <w:rsid w:val="00054708"/>
    <w:rPr>
      <w:rFonts w:ascii="Arial" w:hAnsi="Arial"/>
      <w:lang w:eastAsia="en-US"/>
    </w:rPr>
  </w:style>
  <w:style w:type="character" w:customStyle="1" w:styleId="SignatureChar">
    <w:name w:val="Signature Char"/>
    <w:link w:val="Signature"/>
    <w:semiHidden/>
    <w:rsid w:val="00054708"/>
    <w:rPr>
      <w:rFonts w:ascii="Arial" w:hAnsi="Arial"/>
      <w:lang w:eastAsia="en-US"/>
    </w:rPr>
  </w:style>
  <w:style w:type="character" w:customStyle="1" w:styleId="EndnoteTextChar">
    <w:name w:val="Endnote Text Char"/>
    <w:link w:val="EndnoteText"/>
    <w:semiHidden/>
    <w:rsid w:val="00054708"/>
    <w:rPr>
      <w:rFonts w:ascii="Arial" w:hAnsi="Arial"/>
      <w:sz w:val="18"/>
      <w:lang w:eastAsia="en-US"/>
    </w:rPr>
  </w:style>
  <w:style w:type="paragraph" w:customStyle="1" w:styleId="Paragraphedeliste1">
    <w:name w:val="Paragraphe de liste1"/>
    <w:autoRedefine/>
    <w:rsid w:val="00B75132"/>
    <w:pPr>
      <w:spacing w:after="200" w:line="276" w:lineRule="auto"/>
      <w:ind w:left="720"/>
    </w:pPr>
    <w:rPr>
      <w:rFonts w:ascii="Lucida Grande" w:eastAsia="ヒラギノ角ゴ Pro W3" w:hAnsi="Lucida Grande"/>
      <w:color w:val="000000"/>
      <w:sz w:val="22"/>
      <w:lang w:val="en-GB"/>
    </w:rPr>
  </w:style>
  <w:style w:type="paragraph" w:styleId="TOC4">
    <w:name w:val="toc 4"/>
    <w:basedOn w:val="Normal"/>
    <w:next w:val="Normal"/>
    <w:autoRedefine/>
    <w:rsid w:val="00B75132"/>
    <w:pPr>
      <w:ind w:left="600"/>
    </w:pPr>
  </w:style>
  <w:style w:type="paragraph" w:customStyle="1" w:styleId="std">
    <w:name w:val="std"/>
    <w:basedOn w:val="Normal"/>
    <w:rsid w:val="004E1B48"/>
    <w:rPr>
      <w:rFonts w:ascii="Times New Roman" w:hAnsi="Times New Roman"/>
      <w:sz w:val="24"/>
      <w:szCs w:val="24"/>
      <w:lang w:eastAsia="fr-FR"/>
    </w:rPr>
  </w:style>
  <w:style w:type="character" w:customStyle="1" w:styleId="apple-converted-space">
    <w:name w:val="apple-converted-space"/>
    <w:basedOn w:val="DefaultParagraphFont"/>
    <w:rsid w:val="004E1B48"/>
  </w:style>
  <w:style w:type="paragraph" w:customStyle="1" w:styleId="CharCharCharChar0">
    <w:name w:val="Char Char Char Char"/>
    <w:basedOn w:val="Normal"/>
    <w:rsid w:val="00880D8B"/>
    <w:pPr>
      <w:spacing w:after="160" w:line="240" w:lineRule="exact"/>
    </w:pPr>
    <w:rPr>
      <w:rFonts w:ascii="Verdana" w:hAnsi="Verdana"/>
    </w:rPr>
  </w:style>
  <w:style w:type="paragraph" w:customStyle="1" w:styleId="CarCarCar0">
    <w:name w:val="Car Car Car"/>
    <w:basedOn w:val="Normal"/>
    <w:rsid w:val="00880D8B"/>
    <w:pPr>
      <w:spacing w:after="160" w:line="240" w:lineRule="exact"/>
    </w:pPr>
    <w:rPr>
      <w:rFonts w:ascii="Verdana" w:eastAsia="PMingLiU" w:hAnsi="Verdana"/>
      <w:lang w:val="en-US"/>
    </w:rPr>
  </w:style>
  <w:style w:type="paragraph" w:styleId="CommentSubject">
    <w:name w:val="annotation subject"/>
    <w:basedOn w:val="CommentText"/>
    <w:next w:val="CommentText"/>
    <w:link w:val="CommentSubjectChar"/>
    <w:rsid w:val="00880D8B"/>
    <w:rPr>
      <w:rFonts w:ascii="Times New Roman" w:hAnsi="Times New Roman"/>
      <w:b/>
      <w:bCs/>
      <w:lang w:val="en-US"/>
    </w:rPr>
  </w:style>
  <w:style w:type="character" w:customStyle="1" w:styleId="CommentSubjectChar">
    <w:name w:val="Comment Subject Char"/>
    <w:link w:val="CommentSubject"/>
    <w:rsid w:val="00880D8B"/>
    <w:rPr>
      <w:b/>
      <w:bCs/>
      <w:lang w:val="en-US" w:eastAsia="en-US" w:bidi="ar-SA"/>
    </w:rPr>
  </w:style>
  <w:style w:type="paragraph" w:customStyle="1" w:styleId="p1">
    <w:name w:val="p1"/>
    <w:basedOn w:val="Normal"/>
    <w:rsid w:val="00CD1430"/>
    <w:rPr>
      <w:rFonts w:eastAsia="Calibri" w:cs="Arial"/>
      <w:sz w:val="24"/>
      <w:szCs w:val="24"/>
      <w:lang w:val="en-US"/>
    </w:rPr>
  </w:style>
  <w:style w:type="paragraph" w:customStyle="1" w:styleId="p2">
    <w:name w:val="p2"/>
    <w:basedOn w:val="Normal"/>
    <w:rsid w:val="00CD1430"/>
    <w:rPr>
      <w:rFonts w:eastAsia="Calibri" w:cs="Arial"/>
      <w:sz w:val="24"/>
      <w:szCs w:val="24"/>
      <w:lang w:val="en-US"/>
    </w:rPr>
  </w:style>
  <w:style w:type="paragraph" w:customStyle="1" w:styleId="CharCharCharChar1">
    <w:name w:val="Char Char Char Char"/>
    <w:basedOn w:val="Normal"/>
    <w:rsid w:val="00142569"/>
    <w:pPr>
      <w:spacing w:after="160" w:line="240" w:lineRule="exact"/>
    </w:pPr>
    <w:rPr>
      <w:rFonts w:ascii="Verdana" w:hAnsi="Verdana"/>
      <w:lang w:val="en-GB"/>
    </w:rPr>
  </w:style>
  <w:style w:type="paragraph" w:customStyle="1" w:styleId="CarCarCar1">
    <w:name w:val="Car Car Car"/>
    <w:basedOn w:val="Normal"/>
    <w:rsid w:val="00142569"/>
    <w:pPr>
      <w:spacing w:after="160" w:line="240" w:lineRule="exact"/>
    </w:pPr>
    <w:rPr>
      <w:rFonts w:ascii="Verdana" w:eastAsia="PMingLiU" w:hAnsi="Verdana"/>
    </w:rPr>
  </w:style>
  <w:style w:type="paragraph" w:styleId="TOCHeading">
    <w:name w:val="TOC Heading"/>
    <w:basedOn w:val="Heading1"/>
    <w:next w:val="Normal"/>
    <w:uiPriority w:val="39"/>
    <w:semiHidden/>
    <w:unhideWhenUsed/>
    <w:qFormat/>
    <w:rsid w:val="00877B63"/>
    <w:pPr>
      <w:keepLines/>
      <w:pageBreakBefore w:val="0"/>
      <w:tabs>
        <w:tab w:val="clear" w:pos="567"/>
      </w:tabs>
      <w:spacing w:before="480" w:after="0" w:line="276" w:lineRule="auto"/>
      <w:outlineLvl w:val="9"/>
    </w:pPr>
    <w:rPr>
      <w:rFonts w:asciiTheme="majorHAnsi" w:eastAsiaTheme="majorEastAsia" w:hAnsiTheme="majorHAnsi" w:cstheme="majorBidi"/>
      <w:caps w:val="0"/>
      <w:color w:val="365F91" w:themeColor="accent1" w:themeShade="BF"/>
      <w:kern w:val="0"/>
      <w:sz w:val="28"/>
      <w:szCs w:val="28"/>
      <w:lang w:val="en-US" w:eastAsia="ja-JP"/>
    </w:rPr>
  </w:style>
  <w:style w:type="paragraph" w:styleId="Revision">
    <w:name w:val="Revision"/>
    <w:hidden/>
    <w:uiPriority w:val="99"/>
    <w:semiHidden/>
    <w:rsid w:val="00877B63"/>
    <w:rPr>
      <w:rFonts w:asciiTheme="minorHAnsi" w:eastAsiaTheme="minorEastAsia" w:hAnsiTheme="minorHAnsi" w:cstheme="minorBidi"/>
      <w:sz w:val="22"/>
      <w:szCs w:val="22"/>
      <w:lang w:val="en-US" w:eastAsia="ja-JP"/>
    </w:rPr>
  </w:style>
  <w:style w:type="character" w:customStyle="1" w:styleId="ONUMEChar">
    <w:name w:val="ONUM E Char"/>
    <w:link w:val="ONUME"/>
    <w:rsid w:val="00877B63"/>
    <w:rPr>
      <w:rFonts w:ascii="Arial" w:hAnsi="Arial"/>
      <w:lang w:eastAsia="en-US"/>
    </w:rPr>
  </w:style>
  <w:style w:type="character" w:customStyle="1" w:styleId="st">
    <w:name w:val="st"/>
    <w:basedOn w:val="DefaultParagraphFont"/>
    <w:rsid w:val="00877B63"/>
  </w:style>
  <w:style w:type="paragraph" w:customStyle="1" w:styleId="Endofdocument-Annex">
    <w:name w:val="[End of document - Annex]"/>
    <w:basedOn w:val="Normal"/>
    <w:rsid w:val="00877B63"/>
    <w:pPr>
      <w:ind w:left="5534"/>
    </w:pPr>
    <w:rPr>
      <w:rFonts w:eastAsia="SimSun" w:cs="Arial"/>
      <w:lang w:val="en-US" w:eastAsia="zh-CN"/>
    </w:rPr>
  </w:style>
  <w:style w:type="paragraph" w:customStyle="1" w:styleId="StyleONUMFSGreen">
    <w:name w:val="Style ONUM FS + Green"/>
    <w:basedOn w:val="ONUMFS"/>
    <w:rsid w:val="002E3C69"/>
    <w:rPr>
      <w:color w:val="008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027723">
      <w:bodyDiv w:val="1"/>
      <w:marLeft w:val="0"/>
      <w:marRight w:val="0"/>
      <w:marTop w:val="0"/>
      <w:marBottom w:val="0"/>
      <w:divBdr>
        <w:top w:val="none" w:sz="0" w:space="0" w:color="auto"/>
        <w:left w:val="none" w:sz="0" w:space="0" w:color="auto"/>
        <w:bottom w:val="none" w:sz="0" w:space="0" w:color="auto"/>
        <w:right w:val="none" w:sz="0" w:space="0" w:color="auto"/>
      </w:divBdr>
    </w:div>
    <w:div w:id="100493463">
      <w:bodyDiv w:val="1"/>
      <w:marLeft w:val="0"/>
      <w:marRight w:val="0"/>
      <w:marTop w:val="0"/>
      <w:marBottom w:val="0"/>
      <w:divBdr>
        <w:top w:val="none" w:sz="0" w:space="0" w:color="auto"/>
        <w:left w:val="none" w:sz="0" w:space="0" w:color="auto"/>
        <w:bottom w:val="none" w:sz="0" w:space="0" w:color="auto"/>
        <w:right w:val="none" w:sz="0" w:space="0" w:color="auto"/>
      </w:divBdr>
    </w:div>
    <w:div w:id="135538198">
      <w:bodyDiv w:val="1"/>
      <w:marLeft w:val="0"/>
      <w:marRight w:val="0"/>
      <w:marTop w:val="0"/>
      <w:marBottom w:val="0"/>
      <w:divBdr>
        <w:top w:val="none" w:sz="0" w:space="0" w:color="auto"/>
        <w:left w:val="none" w:sz="0" w:space="0" w:color="auto"/>
        <w:bottom w:val="none" w:sz="0" w:space="0" w:color="auto"/>
        <w:right w:val="none" w:sz="0" w:space="0" w:color="auto"/>
      </w:divBdr>
    </w:div>
    <w:div w:id="242839221">
      <w:bodyDiv w:val="1"/>
      <w:marLeft w:val="0"/>
      <w:marRight w:val="0"/>
      <w:marTop w:val="0"/>
      <w:marBottom w:val="0"/>
      <w:divBdr>
        <w:top w:val="none" w:sz="0" w:space="0" w:color="auto"/>
        <w:left w:val="none" w:sz="0" w:space="0" w:color="auto"/>
        <w:bottom w:val="none" w:sz="0" w:space="0" w:color="auto"/>
        <w:right w:val="none" w:sz="0" w:space="0" w:color="auto"/>
      </w:divBdr>
    </w:div>
    <w:div w:id="266736564">
      <w:bodyDiv w:val="1"/>
      <w:marLeft w:val="0"/>
      <w:marRight w:val="0"/>
      <w:marTop w:val="0"/>
      <w:marBottom w:val="0"/>
      <w:divBdr>
        <w:top w:val="none" w:sz="0" w:space="0" w:color="auto"/>
        <w:left w:val="none" w:sz="0" w:space="0" w:color="auto"/>
        <w:bottom w:val="none" w:sz="0" w:space="0" w:color="auto"/>
        <w:right w:val="none" w:sz="0" w:space="0" w:color="auto"/>
      </w:divBdr>
    </w:div>
    <w:div w:id="296645231">
      <w:bodyDiv w:val="1"/>
      <w:marLeft w:val="0"/>
      <w:marRight w:val="0"/>
      <w:marTop w:val="0"/>
      <w:marBottom w:val="0"/>
      <w:divBdr>
        <w:top w:val="none" w:sz="0" w:space="0" w:color="auto"/>
        <w:left w:val="none" w:sz="0" w:space="0" w:color="auto"/>
        <w:bottom w:val="none" w:sz="0" w:space="0" w:color="auto"/>
        <w:right w:val="none" w:sz="0" w:space="0" w:color="auto"/>
      </w:divBdr>
    </w:div>
    <w:div w:id="312300271">
      <w:bodyDiv w:val="1"/>
      <w:marLeft w:val="0"/>
      <w:marRight w:val="0"/>
      <w:marTop w:val="0"/>
      <w:marBottom w:val="0"/>
      <w:divBdr>
        <w:top w:val="none" w:sz="0" w:space="0" w:color="auto"/>
        <w:left w:val="none" w:sz="0" w:space="0" w:color="auto"/>
        <w:bottom w:val="none" w:sz="0" w:space="0" w:color="auto"/>
        <w:right w:val="none" w:sz="0" w:space="0" w:color="auto"/>
      </w:divBdr>
    </w:div>
    <w:div w:id="368527107">
      <w:bodyDiv w:val="1"/>
      <w:marLeft w:val="0"/>
      <w:marRight w:val="0"/>
      <w:marTop w:val="0"/>
      <w:marBottom w:val="0"/>
      <w:divBdr>
        <w:top w:val="none" w:sz="0" w:space="0" w:color="auto"/>
        <w:left w:val="none" w:sz="0" w:space="0" w:color="auto"/>
        <w:bottom w:val="none" w:sz="0" w:space="0" w:color="auto"/>
        <w:right w:val="none" w:sz="0" w:space="0" w:color="auto"/>
      </w:divBdr>
    </w:div>
    <w:div w:id="374623488">
      <w:bodyDiv w:val="1"/>
      <w:marLeft w:val="0"/>
      <w:marRight w:val="0"/>
      <w:marTop w:val="0"/>
      <w:marBottom w:val="0"/>
      <w:divBdr>
        <w:top w:val="none" w:sz="0" w:space="0" w:color="auto"/>
        <w:left w:val="none" w:sz="0" w:space="0" w:color="auto"/>
        <w:bottom w:val="none" w:sz="0" w:space="0" w:color="auto"/>
        <w:right w:val="none" w:sz="0" w:space="0" w:color="auto"/>
      </w:divBdr>
    </w:div>
    <w:div w:id="441608004">
      <w:bodyDiv w:val="1"/>
      <w:marLeft w:val="0"/>
      <w:marRight w:val="0"/>
      <w:marTop w:val="0"/>
      <w:marBottom w:val="0"/>
      <w:divBdr>
        <w:top w:val="none" w:sz="0" w:space="0" w:color="auto"/>
        <w:left w:val="none" w:sz="0" w:space="0" w:color="auto"/>
        <w:bottom w:val="none" w:sz="0" w:space="0" w:color="auto"/>
        <w:right w:val="none" w:sz="0" w:space="0" w:color="auto"/>
      </w:divBdr>
    </w:div>
    <w:div w:id="449512300">
      <w:bodyDiv w:val="1"/>
      <w:marLeft w:val="0"/>
      <w:marRight w:val="0"/>
      <w:marTop w:val="0"/>
      <w:marBottom w:val="0"/>
      <w:divBdr>
        <w:top w:val="none" w:sz="0" w:space="0" w:color="auto"/>
        <w:left w:val="none" w:sz="0" w:space="0" w:color="auto"/>
        <w:bottom w:val="none" w:sz="0" w:space="0" w:color="auto"/>
        <w:right w:val="none" w:sz="0" w:space="0" w:color="auto"/>
      </w:divBdr>
    </w:div>
    <w:div w:id="507519674">
      <w:bodyDiv w:val="1"/>
      <w:marLeft w:val="0"/>
      <w:marRight w:val="0"/>
      <w:marTop w:val="0"/>
      <w:marBottom w:val="0"/>
      <w:divBdr>
        <w:top w:val="none" w:sz="0" w:space="0" w:color="auto"/>
        <w:left w:val="none" w:sz="0" w:space="0" w:color="auto"/>
        <w:bottom w:val="none" w:sz="0" w:space="0" w:color="auto"/>
        <w:right w:val="none" w:sz="0" w:space="0" w:color="auto"/>
      </w:divBdr>
    </w:div>
    <w:div w:id="516846611">
      <w:bodyDiv w:val="1"/>
      <w:marLeft w:val="0"/>
      <w:marRight w:val="0"/>
      <w:marTop w:val="0"/>
      <w:marBottom w:val="0"/>
      <w:divBdr>
        <w:top w:val="none" w:sz="0" w:space="0" w:color="auto"/>
        <w:left w:val="none" w:sz="0" w:space="0" w:color="auto"/>
        <w:bottom w:val="none" w:sz="0" w:space="0" w:color="auto"/>
        <w:right w:val="none" w:sz="0" w:space="0" w:color="auto"/>
      </w:divBdr>
    </w:div>
    <w:div w:id="538591938">
      <w:bodyDiv w:val="1"/>
      <w:marLeft w:val="0"/>
      <w:marRight w:val="0"/>
      <w:marTop w:val="0"/>
      <w:marBottom w:val="0"/>
      <w:divBdr>
        <w:top w:val="none" w:sz="0" w:space="0" w:color="auto"/>
        <w:left w:val="none" w:sz="0" w:space="0" w:color="auto"/>
        <w:bottom w:val="none" w:sz="0" w:space="0" w:color="auto"/>
        <w:right w:val="none" w:sz="0" w:space="0" w:color="auto"/>
      </w:divBdr>
    </w:div>
    <w:div w:id="541090865">
      <w:bodyDiv w:val="1"/>
      <w:marLeft w:val="0"/>
      <w:marRight w:val="0"/>
      <w:marTop w:val="0"/>
      <w:marBottom w:val="0"/>
      <w:divBdr>
        <w:top w:val="none" w:sz="0" w:space="0" w:color="auto"/>
        <w:left w:val="none" w:sz="0" w:space="0" w:color="auto"/>
        <w:bottom w:val="none" w:sz="0" w:space="0" w:color="auto"/>
        <w:right w:val="none" w:sz="0" w:space="0" w:color="auto"/>
      </w:divBdr>
    </w:div>
    <w:div w:id="552352474">
      <w:bodyDiv w:val="1"/>
      <w:marLeft w:val="0"/>
      <w:marRight w:val="0"/>
      <w:marTop w:val="0"/>
      <w:marBottom w:val="0"/>
      <w:divBdr>
        <w:top w:val="none" w:sz="0" w:space="0" w:color="auto"/>
        <w:left w:val="none" w:sz="0" w:space="0" w:color="auto"/>
        <w:bottom w:val="none" w:sz="0" w:space="0" w:color="auto"/>
        <w:right w:val="none" w:sz="0" w:space="0" w:color="auto"/>
      </w:divBdr>
    </w:div>
    <w:div w:id="588464517">
      <w:bodyDiv w:val="1"/>
      <w:marLeft w:val="0"/>
      <w:marRight w:val="0"/>
      <w:marTop w:val="0"/>
      <w:marBottom w:val="0"/>
      <w:divBdr>
        <w:top w:val="none" w:sz="0" w:space="0" w:color="auto"/>
        <w:left w:val="none" w:sz="0" w:space="0" w:color="auto"/>
        <w:bottom w:val="none" w:sz="0" w:space="0" w:color="auto"/>
        <w:right w:val="none" w:sz="0" w:space="0" w:color="auto"/>
      </w:divBdr>
    </w:div>
    <w:div w:id="601717599">
      <w:bodyDiv w:val="1"/>
      <w:marLeft w:val="0"/>
      <w:marRight w:val="0"/>
      <w:marTop w:val="0"/>
      <w:marBottom w:val="0"/>
      <w:divBdr>
        <w:top w:val="none" w:sz="0" w:space="0" w:color="auto"/>
        <w:left w:val="none" w:sz="0" w:space="0" w:color="auto"/>
        <w:bottom w:val="none" w:sz="0" w:space="0" w:color="auto"/>
        <w:right w:val="none" w:sz="0" w:space="0" w:color="auto"/>
      </w:divBdr>
    </w:div>
    <w:div w:id="612711439">
      <w:bodyDiv w:val="1"/>
      <w:marLeft w:val="0"/>
      <w:marRight w:val="0"/>
      <w:marTop w:val="0"/>
      <w:marBottom w:val="0"/>
      <w:divBdr>
        <w:top w:val="none" w:sz="0" w:space="0" w:color="auto"/>
        <w:left w:val="none" w:sz="0" w:space="0" w:color="auto"/>
        <w:bottom w:val="none" w:sz="0" w:space="0" w:color="auto"/>
        <w:right w:val="none" w:sz="0" w:space="0" w:color="auto"/>
      </w:divBdr>
    </w:div>
    <w:div w:id="675890651">
      <w:bodyDiv w:val="1"/>
      <w:marLeft w:val="0"/>
      <w:marRight w:val="0"/>
      <w:marTop w:val="0"/>
      <w:marBottom w:val="0"/>
      <w:divBdr>
        <w:top w:val="none" w:sz="0" w:space="0" w:color="auto"/>
        <w:left w:val="none" w:sz="0" w:space="0" w:color="auto"/>
        <w:bottom w:val="none" w:sz="0" w:space="0" w:color="auto"/>
        <w:right w:val="none" w:sz="0" w:space="0" w:color="auto"/>
      </w:divBdr>
    </w:div>
    <w:div w:id="714740374">
      <w:bodyDiv w:val="1"/>
      <w:marLeft w:val="0"/>
      <w:marRight w:val="0"/>
      <w:marTop w:val="0"/>
      <w:marBottom w:val="0"/>
      <w:divBdr>
        <w:top w:val="none" w:sz="0" w:space="0" w:color="auto"/>
        <w:left w:val="none" w:sz="0" w:space="0" w:color="auto"/>
        <w:bottom w:val="none" w:sz="0" w:space="0" w:color="auto"/>
        <w:right w:val="none" w:sz="0" w:space="0" w:color="auto"/>
      </w:divBdr>
    </w:div>
    <w:div w:id="723455679">
      <w:bodyDiv w:val="1"/>
      <w:marLeft w:val="0"/>
      <w:marRight w:val="0"/>
      <w:marTop w:val="0"/>
      <w:marBottom w:val="0"/>
      <w:divBdr>
        <w:top w:val="none" w:sz="0" w:space="0" w:color="auto"/>
        <w:left w:val="none" w:sz="0" w:space="0" w:color="auto"/>
        <w:bottom w:val="none" w:sz="0" w:space="0" w:color="auto"/>
        <w:right w:val="none" w:sz="0" w:space="0" w:color="auto"/>
      </w:divBdr>
    </w:div>
    <w:div w:id="779380120">
      <w:bodyDiv w:val="1"/>
      <w:marLeft w:val="0"/>
      <w:marRight w:val="0"/>
      <w:marTop w:val="0"/>
      <w:marBottom w:val="0"/>
      <w:divBdr>
        <w:top w:val="none" w:sz="0" w:space="0" w:color="auto"/>
        <w:left w:val="none" w:sz="0" w:space="0" w:color="auto"/>
        <w:bottom w:val="none" w:sz="0" w:space="0" w:color="auto"/>
        <w:right w:val="none" w:sz="0" w:space="0" w:color="auto"/>
      </w:divBdr>
    </w:div>
    <w:div w:id="796333488">
      <w:bodyDiv w:val="1"/>
      <w:marLeft w:val="0"/>
      <w:marRight w:val="0"/>
      <w:marTop w:val="0"/>
      <w:marBottom w:val="0"/>
      <w:divBdr>
        <w:top w:val="none" w:sz="0" w:space="0" w:color="auto"/>
        <w:left w:val="none" w:sz="0" w:space="0" w:color="auto"/>
        <w:bottom w:val="none" w:sz="0" w:space="0" w:color="auto"/>
        <w:right w:val="none" w:sz="0" w:space="0" w:color="auto"/>
      </w:divBdr>
    </w:div>
    <w:div w:id="904756189">
      <w:bodyDiv w:val="1"/>
      <w:marLeft w:val="0"/>
      <w:marRight w:val="0"/>
      <w:marTop w:val="0"/>
      <w:marBottom w:val="0"/>
      <w:divBdr>
        <w:top w:val="none" w:sz="0" w:space="0" w:color="auto"/>
        <w:left w:val="none" w:sz="0" w:space="0" w:color="auto"/>
        <w:bottom w:val="none" w:sz="0" w:space="0" w:color="auto"/>
        <w:right w:val="none" w:sz="0" w:space="0" w:color="auto"/>
      </w:divBdr>
    </w:div>
    <w:div w:id="949311673">
      <w:bodyDiv w:val="1"/>
      <w:marLeft w:val="0"/>
      <w:marRight w:val="0"/>
      <w:marTop w:val="0"/>
      <w:marBottom w:val="0"/>
      <w:divBdr>
        <w:top w:val="none" w:sz="0" w:space="0" w:color="auto"/>
        <w:left w:val="none" w:sz="0" w:space="0" w:color="auto"/>
        <w:bottom w:val="none" w:sz="0" w:space="0" w:color="auto"/>
        <w:right w:val="none" w:sz="0" w:space="0" w:color="auto"/>
      </w:divBdr>
    </w:div>
    <w:div w:id="1007178108">
      <w:bodyDiv w:val="1"/>
      <w:marLeft w:val="0"/>
      <w:marRight w:val="0"/>
      <w:marTop w:val="0"/>
      <w:marBottom w:val="0"/>
      <w:divBdr>
        <w:top w:val="none" w:sz="0" w:space="0" w:color="auto"/>
        <w:left w:val="none" w:sz="0" w:space="0" w:color="auto"/>
        <w:bottom w:val="none" w:sz="0" w:space="0" w:color="auto"/>
        <w:right w:val="none" w:sz="0" w:space="0" w:color="auto"/>
      </w:divBdr>
    </w:div>
    <w:div w:id="1038967559">
      <w:bodyDiv w:val="1"/>
      <w:marLeft w:val="0"/>
      <w:marRight w:val="0"/>
      <w:marTop w:val="0"/>
      <w:marBottom w:val="0"/>
      <w:divBdr>
        <w:top w:val="none" w:sz="0" w:space="0" w:color="auto"/>
        <w:left w:val="none" w:sz="0" w:space="0" w:color="auto"/>
        <w:bottom w:val="none" w:sz="0" w:space="0" w:color="auto"/>
        <w:right w:val="none" w:sz="0" w:space="0" w:color="auto"/>
      </w:divBdr>
    </w:div>
    <w:div w:id="1094857465">
      <w:bodyDiv w:val="1"/>
      <w:marLeft w:val="0"/>
      <w:marRight w:val="0"/>
      <w:marTop w:val="0"/>
      <w:marBottom w:val="0"/>
      <w:divBdr>
        <w:top w:val="none" w:sz="0" w:space="0" w:color="auto"/>
        <w:left w:val="none" w:sz="0" w:space="0" w:color="auto"/>
        <w:bottom w:val="none" w:sz="0" w:space="0" w:color="auto"/>
        <w:right w:val="none" w:sz="0" w:space="0" w:color="auto"/>
      </w:divBdr>
    </w:div>
    <w:div w:id="1139572304">
      <w:bodyDiv w:val="1"/>
      <w:marLeft w:val="0"/>
      <w:marRight w:val="0"/>
      <w:marTop w:val="0"/>
      <w:marBottom w:val="0"/>
      <w:divBdr>
        <w:top w:val="none" w:sz="0" w:space="0" w:color="auto"/>
        <w:left w:val="none" w:sz="0" w:space="0" w:color="auto"/>
        <w:bottom w:val="none" w:sz="0" w:space="0" w:color="auto"/>
        <w:right w:val="none" w:sz="0" w:space="0" w:color="auto"/>
      </w:divBdr>
    </w:div>
    <w:div w:id="1197237890">
      <w:bodyDiv w:val="1"/>
      <w:marLeft w:val="0"/>
      <w:marRight w:val="0"/>
      <w:marTop w:val="0"/>
      <w:marBottom w:val="0"/>
      <w:divBdr>
        <w:top w:val="none" w:sz="0" w:space="0" w:color="auto"/>
        <w:left w:val="none" w:sz="0" w:space="0" w:color="auto"/>
        <w:bottom w:val="none" w:sz="0" w:space="0" w:color="auto"/>
        <w:right w:val="none" w:sz="0" w:space="0" w:color="auto"/>
      </w:divBdr>
    </w:div>
    <w:div w:id="1198273616">
      <w:bodyDiv w:val="1"/>
      <w:marLeft w:val="0"/>
      <w:marRight w:val="0"/>
      <w:marTop w:val="0"/>
      <w:marBottom w:val="0"/>
      <w:divBdr>
        <w:top w:val="none" w:sz="0" w:space="0" w:color="auto"/>
        <w:left w:val="none" w:sz="0" w:space="0" w:color="auto"/>
        <w:bottom w:val="none" w:sz="0" w:space="0" w:color="auto"/>
        <w:right w:val="none" w:sz="0" w:space="0" w:color="auto"/>
      </w:divBdr>
    </w:div>
    <w:div w:id="1217356506">
      <w:bodyDiv w:val="1"/>
      <w:marLeft w:val="0"/>
      <w:marRight w:val="0"/>
      <w:marTop w:val="0"/>
      <w:marBottom w:val="0"/>
      <w:divBdr>
        <w:top w:val="none" w:sz="0" w:space="0" w:color="auto"/>
        <w:left w:val="none" w:sz="0" w:space="0" w:color="auto"/>
        <w:bottom w:val="none" w:sz="0" w:space="0" w:color="auto"/>
        <w:right w:val="none" w:sz="0" w:space="0" w:color="auto"/>
      </w:divBdr>
    </w:div>
    <w:div w:id="1304893479">
      <w:bodyDiv w:val="1"/>
      <w:marLeft w:val="0"/>
      <w:marRight w:val="0"/>
      <w:marTop w:val="0"/>
      <w:marBottom w:val="0"/>
      <w:divBdr>
        <w:top w:val="none" w:sz="0" w:space="0" w:color="auto"/>
        <w:left w:val="none" w:sz="0" w:space="0" w:color="auto"/>
        <w:bottom w:val="none" w:sz="0" w:space="0" w:color="auto"/>
        <w:right w:val="none" w:sz="0" w:space="0" w:color="auto"/>
      </w:divBdr>
    </w:div>
    <w:div w:id="1381172857">
      <w:bodyDiv w:val="1"/>
      <w:marLeft w:val="0"/>
      <w:marRight w:val="0"/>
      <w:marTop w:val="0"/>
      <w:marBottom w:val="0"/>
      <w:divBdr>
        <w:top w:val="none" w:sz="0" w:space="0" w:color="auto"/>
        <w:left w:val="none" w:sz="0" w:space="0" w:color="auto"/>
        <w:bottom w:val="none" w:sz="0" w:space="0" w:color="auto"/>
        <w:right w:val="none" w:sz="0" w:space="0" w:color="auto"/>
      </w:divBdr>
    </w:div>
    <w:div w:id="1381638168">
      <w:bodyDiv w:val="1"/>
      <w:marLeft w:val="0"/>
      <w:marRight w:val="0"/>
      <w:marTop w:val="0"/>
      <w:marBottom w:val="0"/>
      <w:divBdr>
        <w:top w:val="none" w:sz="0" w:space="0" w:color="auto"/>
        <w:left w:val="none" w:sz="0" w:space="0" w:color="auto"/>
        <w:bottom w:val="none" w:sz="0" w:space="0" w:color="auto"/>
        <w:right w:val="none" w:sz="0" w:space="0" w:color="auto"/>
      </w:divBdr>
    </w:div>
    <w:div w:id="1398942764">
      <w:bodyDiv w:val="1"/>
      <w:marLeft w:val="0"/>
      <w:marRight w:val="0"/>
      <w:marTop w:val="0"/>
      <w:marBottom w:val="0"/>
      <w:divBdr>
        <w:top w:val="none" w:sz="0" w:space="0" w:color="auto"/>
        <w:left w:val="none" w:sz="0" w:space="0" w:color="auto"/>
        <w:bottom w:val="none" w:sz="0" w:space="0" w:color="auto"/>
        <w:right w:val="none" w:sz="0" w:space="0" w:color="auto"/>
      </w:divBdr>
    </w:div>
    <w:div w:id="1460034045">
      <w:bodyDiv w:val="1"/>
      <w:marLeft w:val="0"/>
      <w:marRight w:val="0"/>
      <w:marTop w:val="0"/>
      <w:marBottom w:val="0"/>
      <w:divBdr>
        <w:top w:val="none" w:sz="0" w:space="0" w:color="auto"/>
        <w:left w:val="none" w:sz="0" w:space="0" w:color="auto"/>
        <w:bottom w:val="none" w:sz="0" w:space="0" w:color="auto"/>
        <w:right w:val="none" w:sz="0" w:space="0" w:color="auto"/>
      </w:divBdr>
    </w:div>
    <w:div w:id="1460610249">
      <w:bodyDiv w:val="1"/>
      <w:marLeft w:val="0"/>
      <w:marRight w:val="0"/>
      <w:marTop w:val="0"/>
      <w:marBottom w:val="0"/>
      <w:divBdr>
        <w:top w:val="none" w:sz="0" w:space="0" w:color="auto"/>
        <w:left w:val="none" w:sz="0" w:space="0" w:color="auto"/>
        <w:bottom w:val="none" w:sz="0" w:space="0" w:color="auto"/>
        <w:right w:val="none" w:sz="0" w:space="0" w:color="auto"/>
      </w:divBdr>
    </w:div>
    <w:div w:id="1486698091">
      <w:bodyDiv w:val="1"/>
      <w:marLeft w:val="0"/>
      <w:marRight w:val="0"/>
      <w:marTop w:val="0"/>
      <w:marBottom w:val="0"/>
      <w:divBdr>
        <w:top w:val="none" w:sz="0" w:space="0" w:color="auto"/>
        <w:left w:val="none" w:sz="0" w:space="0" w:color="auto"/>
        <w:bottom w:val="none" w:sz="0" w:space="0" w:color="auto"/>
        <w:right w:val="none" w:sz="0" w:space="0" w:color="auto"/>
      </w:divBdr>
    </w:div>
    <w:div w:id="1492601991">
      <w:bodyDiv w:val="1"/>
      <w:marLeft w:val="0"/>
      <w:marRight w:val="0"/>
      <w:marTop w:val="0"/>
      <w:marBottom w:val="0"/>
      <w:divBdr>
        <w:top w:val="none" w:sz="0" w:space="0" w:color="auto"/>
        <w:left w:val="none" w:sz="0" w:space="0" w:color="auto"/>
        <w:bottom w:val="none" w:sz="0" w:space="0" w:color="auto"/>
        <w:right w:val="none" w:sz="0" w:space="0" w:color="auto"/>
      </w:divBdr>
    </w:div>
    <w:div w:id="1500002974">
      <w:bodyDiv w:val="1"/>
      <w:marLeft w:val="0"/>
      <w:marRight w:val="0"/>
      <w:marTop w:val="0"/>
      <w:marBottom w:val="0"/>
      <w:divBdr>
        <w:top w:val="none" w:sz="0" w:space="0" w:color="auto"/>
        <w:left w:val="none" w:sz="0" w:space="0" w:color="auto"/>
        <w:bottom w:val="none" w:sz="0" w:space="0" w:color="auto"/>
        <w:right w:val="none" w:sz="0" w:space="0" w:color="auto"/>
      </w:divBdr>
    </w:div>
    <w:div w:id="1582639872">
      <w:bodyDiv w:val="1"/>
      <w:marLeft w:val="0"/>
      <w:marRight w:val="0"/>
      <w:marTop w:val="0"/>
      <w:marBottom w:val="0"/>
      <w:divBdr>
        <w:top w:val="none" w:sz="0" w:space="0" w:color="auto"/>
        <w:left w:val="none" w:sz="0" w:space="0" w:color="auto"/>
        <w:bottom w:val="none" w:sz="0" w:space="0" w:color="auto"/>
        <w:right w:val="none" w:sz="0" w:space="0" w:color="auto"/>
      </w:divBdr>
    </w:div>
    <w:div w:id="1623686187">
      <w:bodyDiv w:val="1"/>
      <w:marLeft w:val="0"/>
      <w:marRight w:val="0"/>
      <w:marTop w:val="0"/>
      <w:marBottom w:val="0"/>
      <w:divBdr>
        <w:top w:val="none" w:sz="0" w:space="0" w:color="auto"/>
        <w:left w:val="none" w:sz="0" w:space="0" w:color="auto"/>
        <w:bottom w:val="none" w:sz="0" w:space="0" w:color="auto"/>
        <w:right w:val="none" w:sz="0" w:space="0" w:color="auto"/>
      </w:divBdr>
    </w:div>
    <w:div w:id="1627395247">
      <w:bodyDiv w:val="1"/>
      <w:marLeft w:val="0"/>
      <w:marRight w:val="0"/>
      <w:marTop w:val="0"/>
      <w:marBottom w:val="0"/>
      <w:divBdr>
        <w:top w:val="none" w:sz="0" w:space="0" w:color="auto"/>
        <w:left w:val="none" w:sz="0" w:space="0" w:color="auto"/>
        <w:bottom w:val="none" w:sz="0" w:space="0" w:color="auto"/>
        <w:right w:val="none" w:sz="0" w:space="0" w:color="auto"/>
      </w:divBdr>
    </w:div>
    <w:div w:id="1698963397">
      <w:bodyDiv w:val="1"/>
      <w:marLeft w:val="0"/>
      <w:marRight w:val="0"/>
      <w:marTop w:val="0"/>
      <w:marBottom w:val="0"/>
      <w:divBdr>
        <w:top w:val="none" w:sz="0" w:space="0" w:color="auto"/>
        <w:left w:val="none" w:sz="0" w:space="0" w:color="auto"/>
        <w:bottom w:val="none" w:sz="0" w:space="0" w:color="auto"/>
        <w:right w:val="none" w:sz="0" w:space="0" w:color="auto"/>
      </w:divBdr>
    </w:div>
    <w:div w:id="1706246572">
      <w:bodyDiv w:val="1"/>
      <w:marLeft w:val="0"/>
      <w:marRight w:val="0"/>
      <w:marTop w:val="0"/>
      <w:marBottom w:val="0"/>
      <w:divBdr>
        <w:top w:val="none" w:sz="0" w:space="0" w:color="auto"/>
        <w:left w:val="none" w:sz="0" w:space="0" w:color="auto"/>
        <w:bottom w:val="none" w:sz="0" w:space="0" w:color="auto"/>
        <w:right w:val="none" w:sz="0" w:space="0" w:color="auto"/>
      </w:divBdr>
    </w:div>
    <w:div w:id="1717197058">
      <w:bodyDiv w:val="1"/>
      <w:marLeft w:val="0"/>
      <w:marRight w:val="0"/>
      <w:marTop w:val="0"/>
      <w:marBottom w:val="0"/>
      <w:divBdr>
        <w:top w:val="none" w:sz="0" w:space="0" w:color="auto"/>
        <w:left w:val="none" w:sz="0" w:space="0" w:color="auto"/>
        <w:bottom w:val="none" w:sz="0" w:space="0" w:color="auto"/>
        <w:right w:val="none" w:sz="0" w:space="0" w:color="auto"/>
      </w:divBdr>
    </w:div>
    <w:div w:id="1745368734">
      <w:bodyDiv w:val="1"/>
      <w:marLeft w:val="0"/>
      <w:marRight w:val="0"/>
      <w:marTop w:val="0"/>
      <w:marBottom w:val="0"/>
      <w:divBdr>
        <w:top w:val="none" w:sz="0" w:space="0" w:color="auto"/>
        <w:left w:val="none" w:sz="0" w:space="0" w:color="auto"/>
        <w:bottom w:val="none" w:sz="0" w:space="0" w:color="auto"/>
        <w:right w:val="none" w:sz="0" w:space="0" w:color="auto"/>
      </w:divBdr>
    </w:div>
    <w:div w:id="1754205880">
      <w:bodyDiv w:val="1"/>
      <w:marLeft w:val="0"/>
      <w:marRight w:val="0"/>
      <w:marTop w:val="0"/>
      <w:marBottom w:val="0"/>
      <w:divBdr>
        <w:top w:val="none" w:sz="0" w:space="0" w:color="auto"/>
        <w:left w:val="none" w:sz="0" w:space="0" w:color="auto"/>
        <w:bottom w:val="none" w:sz="0" w:space="0" w:color="auto"/>
        <w:right w:val="none" w:sz="0" w:space="0" w:color="auto"/>
      </w:divBdr>
    </w:div>
    <w:div w:id="1801221553">
      <w:bodyDiv w:val="1"/>
      <w:marLeft w:val="0"/>
      <w:marRight w:val="0"/>
      <w:marTop w:val="0"/>
      <w:marBottom w:val="0"/>
      <w:divBdr>
        <w:top w:val="none" w:sz="0" w:space="0" w:color="auto"/>
        <w:left w:val="none" w:sz="0" w:space="0" w:color="auto"/>
        <w:bottom w:val="none" w:sz="0" w:space="0" w:color="auto"/>
        <w:right w:val="none" w:sz="0" w:space="0" w:color="auto"/>
      </w:divBdr>
    </w:div>
    <w:div w:id="1828353997">
      <w:bodyDiv w:val="1"/>
      <w:marLeft w:val="0"/>
      <w:marRight w:val="0"/>
      <w:marTop w:val="0"/>
      <w:marBottom w:val="0"/>
      <w:divBdr>
        <w:top w:val="none" w:sz="0" w:space="0" w:color="auto"/>
        <w:left w:val="none" w:sz="0" w:space="0" w:color="auto"/>
        <w:bottom w:val="none" w:sz="0" w:space="0" w:color="auto"/>
        <w:right w:val="none" w:sz="0" w:space="0" w:color="auto"/>
      </w:divBdr>
    </w:div>
    <w:div w:id="1879925871">
      <w:bodyDiv w:val="1"/>
      <w:marLeft w:val="0"/>
      <w:marRight w:val="0"/>
      <w:marTop w:val="0"/>
      <w:marBottom w:val="0"/>
      <w:divBdr>
        <w:top w:val="none" w:sz="0" w:space="0" w:color="auto"/>
        <w:left w:val="none" w:sz="0" w:space="0" w:color="auto"/>
        <w:bottom w:val="none" w:sz="0" w:space="0" w:color="auto"/>
        <w:right w:val="none" w:sz="0" w:space="0" w:color="auto"/>
      </w:divBdr>
    </w:div>
    <w:div w:id="1886328921">
      <w:bodyDiv w:val="1"/>
      <w:marLeft w:val="0"/>
      <w:marRight w:val="0"/>
      <w:marTop w:val="0"/>
      <w:marBottom w:val="0"/>
      <w:divBdr>
        <w:top w:val="none" w:sz="0" w:space="0" w:color="auto"/>
        <w:left w:val="none" w:sz="0" w:space="0" w:color="auto"/>
        <w:bottom w:val="none" w:sz="0" w:space="0" w:color="auto"/>
        <w:right w:val="none" w:sz="0" w:space="0" w:color="auto"/>
      </w:divBdr>
    </w:div>
    <w:div w:id="1967268913">
      <w:bodyDiv w:val="1"/>
      <w:marLeft w:val="0"/>
      <w:marRight w:val="0"/>
      <w:marTop w:val="0"/>
      <w:marBottom w:val="0"/>
      <w:divBdr>
        <w:top w:val="none" w:sz="0" w:space="0" w:color="auto"/>
        <w:left w:val="none" w:sz="0" w:space="0" w:color="auto"/>
        <w:bottom w:val="none" w:sz="0" w:space="0" w:color="auto"/>
        <w:right w:val="none" w:sz="0" w:space="0" w:color="auto"/>
      </w:divBdr>
    </w:div>
    <w:div w:id="2017339155">
      <w:bodyDiv w:val="1"/>
      <w:marLeft w:val="0"/>
      <w:marRight w:val="0"/>
      <w:marTop w:val="0"/>
      <w:marBottom w:val="0"/>
      <w:divBdr>
        <w:top w:val="none" w:sz="0" w:space="0" w:color="auto"/>
        <w:left w:val="none" w:sz="0" w:space="0" w:color="auto"/>
        <w:bottom w:val="none" w:sz="0" w:space="0" w:color="auto"/>
        <w:right w:val="none" w:sz="0" w:space="0" w:color="auto"/>
      </w:divBdr>
    </w:div>
    <w:div w:id="2022706135">
      <w:bodyDiv w:val="1"/>
      <w:marLeft w:val="0"/>
      <w:marRight w:val="0"/>
      <w:marTop w:val="0"/>
      <w:marBottom w:val="0"/>
      <w:divBdr>
        <w:top w:val="none" w:sz="0" w:space="0" w:color="auto"/>
        <w:left w:val="none" w:sz="0" w:space="0" w:color="auto"/>
        <w:bottom w:val="none" w:sz="0" w:space="0" w:color="auto"/>
        <w:right w:val="none" w:sz="0" w:space="0" w:color="auto"/>
      </w:divBdr>
    </w:div>
    <w:div w:id="2028292626">
      <w:bodyDiv w:val="1"/>
      <w:marLeft w:val="0"/>
      <w:marRight w:val="0"/>
      <w:marTop w:val="0"/>
      <w:marBottom w:val="0"/>
      <w:divBdr>
        <w:top w:val="none" w:sz="0" w:space="0" w:color="auto"/>
        <w:left w:val="none" w:sz="0" w:space="0" w:color="auto"/>
        <w:bottom w:val="none" w:sz="0" w:space="0" w:color="auto"/>
        <w:right w:val="none" w:sz="0" w:space="0" w:color="auto"/>
      </w:divBdr>
    </w:div>
    <w:div w:id="2032803598">
      <w:bodyDiv w:val="1"/>
      <w:marLeft w:val="0"/>
      <w:marRight w:val="0"/>
      <w:marTop w:val="0"/>
      <w:marBottom w:val="0"/>
      <w:divBdr>
        <w:top w:val="none" w:sz="0" w:space="0" w:color="auto"/>
        <w:left w:val="none" w:sz="0" w:space="0" w:color="auto"/>
        <w:bottom w:val="none" w:sz="0" w:space="0" w:color="auto"/>
        <w:right w:val="none" w:sz="0" w:space="0" w:color="auto"/>
      </w:divBdr>
    </w:div>
    <w:div w:id="2056076612">
      <w:bodyDiv w:val="1"/>
      <w:marLeft w:val="0"/>
      <w:marRight w:val="0"/>
      <w:marTop w:val="0"/>
      <w:marBottom w:val="0"/>
      <w:divBdr>
        <w:top w:val="none" w:sz="0" w:space="0" w:color="auto"/>
        <w:left w:val="none" w:sz="0" w:space="0" w:color="auto"/>
        <w:bottom w:val="none" w:sz="0" w:space="0" w:color="auto"/>
        <w:right w:val="none" w:sz="0" w:space="0" w:color="auto"/>
      </w:divBdr>
    </w:div>
    <w:div w:id="2099788930">
      <w:bodyDiv w:val="1"/>
      <w:marLeft w:val="0"/>
      <w:marRight w:val="0"/>
      <w:marTop w:val="0"/>
      <w:marBottom w:val="0"/>
      <w:divBdr>
        <w:top w:val="none" w:sz="0" w:space="0" w:color="auto"/>
        <w:left w:val="none" w:sz="0" w:space="0" w:color="auto"/>
        <w:bottom w:val="none" w:sz="0" w:space="0" w:color="auto"/>
        <w:right w:val="none" w:sz="0" w:space="0" w:color="auto"/>
      </w:divBdr>
    </w:div>
    <w:div w:id="21430324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image" Target="media/image31.emf"/><Relationship Id="rId21" Type="http://schemas.openxmlformats.org/officeDocument/2006/relationships/header" Target="header3.xml"/><Relationship Id="rId42" Type="http://schemas.openxmlformats.org/officeDocument/2006/relationships/diagramData" Target="diagrams/data3.xml"/><Relationship Id="rId63" Type="http://schemas.openxmlformats.org/officeDocument/2006/relationships/diagramQuickStyle" Target="diagrams/quickStyle6.xml"/><Relationship Id="rId84" Type="http://schemas.openxmlformats.org/officeDocument/2006/relationships/image" Target="media/image23.emf"/><Relationship Id="rId138" Type="http://schemas.openxmlformats.org/officeDocument/2006/relationships/diagramLayout" Target="diagrams/layout18.xml"/><Relationship Id="rId159" Type="http://schemas.openxmlformats.org/officeDocument/2006/relationships/diagramQuickStyle" Target="diagrams/quickStyle21.xml"/><Relationship Id="rId170" Type="http://schemas.openxmlformats.org/officeDocument/2006/relationships/image" Target="media/image49.emf"/><Relationship Id="rId191" Type="http://schemas.openxmlformats.org/officeDocument/2006/relationships/image" Target="media/image63.emf"/><Relationship Id="rId205" Type="http://schemas.openxmlformats.org/officeDocument/2006/relationships/image" Target="media/image77.emf"/><Relationship Id="rId226" Type="http://schemas.openxmlformats.org/officeDocument/2006/relationships/image" Target="media/image98.emf"/><Relationship Id="rId247" Type="http://schemas.openxmlformats.org/officeDocument/2006/relationships/image" Target="media/image119.emf"/><Relationship Id="rId107" Type="http://schemas.openxmlformats.org/officeDocument/2006/relationships/diagramLayout" Target="diagrams/layout13.xml"/><Relationship Id="rId268" Type="http://schemas.openxmlformats.org/officeDocument/2006/relationships/image" Target="media/image140.emf"/><Relationship Id="rId289" Type="http://schemas.openxmlformats.org/officeDocument/2006/relationships/image" Target="media/image161.emf"/><Relationship Id="rId11" Type="http://schemas.openxmlformats.org/officeDocument/2006/relationships/header" Target="header1.xml"/><Relationship Id="rId32" Type="http://schemas.openxmlformats.org/officeDocument/2006/relationships/diagramQuickStyle" Target="diagrams/quickStyle1.xml"/><Relationship Id="rId53" Type="http://schemas.microsoft.com/office/2007/relationships/diagramDrawing" Target="diagrams/drawing4.xml"/><Relationship Id="rId74" Type="http://schemas.openxmlformats.org/officeDocument/2006/relationships/diagramLayout" Target="diagrams/layout8.xml"/><Relationship Id="rId128" Type="http://schemas.microsoft.com/office/2007/relationships/diagramDrawing" Target="diagrams/drawing16.xml"/><Relationship Id="rId149" Type="http://schemas.openxmlformats.org/officeDocument/2006/relationships/image" Target="media/image38.emf"/><Relationship Id="rId5" Type="http://schemas.openxmlformats.org/officeDocument/2006/relationships/settings" Target="settings.xml"/><Relationship Id="rId95" Type="http://schemas.openxmlformats.org/officeDocument/2006/relationships/diagramQuickStyle" Target="diagrams/quickStyle11.xml"/><Relationship Id="rId160" Type="http://schemas.openxmlformats.org/officeDocument/2006/relationships/diagramColors" Target="diagrams/colors21.xml"/><Relationship Id="rId181" Type="http://schemas.openxmlformats.org/officeDocument/2006/relationships/image" Target="media/image57.emf"/><Relationship Id="rId216" Type="http://schemas.openxmlformats.org/officeDocument/2006/relationships/image" Target="media/image88.emf"/><Relationship Id="rId237" Type="http://schemas.openxmlformats.org/officeDocument/2006/relationships/image" Target="media/image109.emf"/><Relationship Id="rId258" Type="http://schemas.openxmlformats.org/officeDocument/2006/relationships/image" Target="media/image130.emf"/><Relationship Id="rId279" Type="http://schemas.openxmlformats.org/officeDocument/2006/relationships/image" Target="media/image151.emf"/><Relationship Id="rId22" Type="http://schemas.openxmlformats.org/officeDocument/2006/relationships/header" Target="header4.xml"/><Relationship Id="rId43" Type="http://schemas.openxmlformats.org/officeDocument/2006/relationships/diagramLayout" Target="diagrams/layout3.xml"/><Relationship Id="rId64" Type="http://schemas.openxmlformats.org/officeDocument/2006/relationships/diagramColors" Target="diagrams/colors6.xml"/><Relationship Id="rId118" Type="http://schemas.openxmlformats.org/officeDocument/2006/relationships/diagramData" Target="diagrams/data15.xml"/><Relationship Id="rId139" Type="http://schemas.openxmlformats.org/officeDocument/2006/relationships/diagramQuickStyle" Target="diagrams/quickStyle18.xml"/><Relationship Id="rId290" Type="http://schemas.openxmlformats.org/officeDocument/2006/relationships/oleObject" Target="embeddings/oleObject1.bin"/><Relationship Id="rId85" Type="http://schemas.openxmlformats.org/officeDocument/2006/relationships/image" Target="media/image24.emf"/><Relationship Id="rId150" Type="http://schemas.openxmlformats.org/officeDocument/2006/relationships/diagramData" Target="diagrams/data20.xml"/><Relationship Id="rId171" Type="http://schemas.openxmlformats.org/officeDocument/2006/relationships/image" Target="media/image50.emf"/><Relationship Id="rId192" Type="http://schemas.openxmlformats.org/officeDocument/2006/relationships/image" Target="media/image64.emf"/><Relationship Id="rId206" Type="http://schemas.openxmlformats.org/officeDocument/2006/relationships/image" Target="media/image78.emf"/><Relationship Id="rId227" Type="http://schemas.openxmlformats.org/officeDocument/2006/relationships/image" Target="media/image99.emf"/><Relationship Id="rId248" Type="http://schemas.openxmlformats.org/officeDocument/2006/relationships/image" Target="media/image120.emf"/><Relationship Id="rId269" Type="http://schemas.openxmlformats.org/officeDocument/2006/relationships/image" Target="media/image141.emf"/><Relationship Id="rId12" Type="http://schemas.openxmlformats.org/officeDocument/2006/relationships/header" Target="header2.xml"/><Relationship Id="rId33" Type="http://schemas.openxmlformats.org/officeDocument/2006/relationships/diagramColors" Target="diagrams/colors1.xml"/><Relationship Id="rId108" Type="http://schemas.openxmlformats.org/officeDocument/2006/relationships/diagramQuickStyle" Target="diagrams/quickStyle13.xml"/><Relationship Id="rId129" Type="http://schemas.openxmlformats.org/officeDocument/2006/relationships/image" Target="media/image33.emf"/><Relationship Id="rId280" Type="http://schemas.openxmlformats.org/officeDocument/2006/relationships/image" Target="media/image152.emf"/><Relationship Id="rId54" Type="http://schemas.openxmlformats.org/officeDocument/2006/relationships/image" Target="media/image18.emf"/><Relationship Id="rId75" Type="http://schemas.openxmlformats.org/officeDocument/2006/relationships/diagramQuickStyle" Target="diagrams/quickStyle8.xml"/><Relationship Id="rId96" Type="http://schemas.openxmlformats.org/officeDocument/2006/relationships/diagramColors" Target="diagrams/colors11.xml"/><Relationship Id="rId140" Type="http://schemas.openxmlformats.org/officeDocument/2006/relationships/diagramColors" Target="diagrams/colors18.xml"/><Relationship Id="rId161" Type="http://schemas.microsoft.com/office/2007/relationships/diagramDrawing" Target="diagrams/drawing21.xml"/><Relationship Id="rId182" Type="http://schemas.openxmlformats.org/officeDocument/2006/relationships/chart" Target="charts/chart1.xml"/><Relationship Id="rId217" Type="http://schemas.openxmlformats.org/officeDocument/2006/relationships/image" Target="media/image89.emf"/><Relationship Id="rId6" Type="http://schemas.openxmlformats.org/officeDocument/2006/relationships/webSettings" Target="webSettings.xml"/><Relationship Id="rId238" Type="http://schemas.openxmlformats.org/officeDocument/2006/relationships/image" Target="media/image110.emf"/><Relationship Id="rId259" Type="http://schemas.openxmlformats.org/officeDocument/2006/relationships/image" Target="media/image131.emf"/><Relationship Id="rId23" Type="http://schemas.openxmlformats.org/officeDocument/2006/relationships/footer" Target="footer3.xml"/><Relationship Id="rId119" Type="http://schemas.openxmlformats.org/officeDocument/2006/relationships/diagramLayout" Target="diagrams/layout15.xml"/><Relationship Id="rId270" Type="http://schemas.openxmlformats.org/officeDocument/2006/relationships/image" Target="media/image142.emf"/><Relationship Id="rId291" Type="http://schemas.openxmlformats.org/officeDocument/2006/relationships/fontTable" Target="fontTable.xml"/><Relationship Id="rId44" Type="http://schemas.openxmlformats.org/officeDocument/2006/relationships/diagramQuickStyle" Target="diagrams/quickStyle3.xml"/><Relationship Id="rId65" Type="http://schemas.microsoft.com/office/2007/relationships/diagramDrawing" Target="diagrams/drawing6.xml"/><Relationship Id="rId86" Type="http://schemas.openxmlformats.org/officeDocument/2006/relationships/diagramData" Target="diagrams/data10.xml"/><Relationship Id="rId130" Type="http://schemas.openxmlformats.org/officeDocument/2006/relationships/image" Target="media/image34.emf"/><Relationship Id="rId151" Type="http://schemas.openxmlformats.org/officeDocument/2006/relationships/diagramLayout" Target="diagrams/layout20.xml"/><Relationship Id="rId172" Type="http://schemas.openxmlformats.org/officeDocument/2006/relationships/image" Target="media/image51.emf"/><Relationship Id="rId193" Type="http://schemas.openxmlformats.org/officeDocument/2006/relationships/image" Target="media/image65.emf"/><Relationship Id="rId207" Type="http://schemas.openxmlformats.org/officeDocument/2006/relationships/image" Target="media/image79.emf"/><Relationship Id="rId228" Type="http://schemas.openxmlformats.org/officeDocument/2006/relationships/image" Target="media/image100.emf"/><Relationship Id="rId249" Type="http://schemas.openxmlformats.org/officeDocument/2006/relationships/image" Target="media/image121.emf"/><Relationship Id="rId13" Type="http://schemas.openxmlformats.org/officeDocument/2006/relationships/footer" Target="footer2.xml"/><Relationship Id="rId109" Type="http://schemas.openxmlformats.org/officeDocument/2006/relationships/diagramColors" Target="diagrams/colors13.xml"/><Relationship Id="rId260" Type="http://schemas.openxmlformats.org/officeDocument/2006/relationships/image" Target="media/image132.emf"/><Relationship Id="rId281" Type="http://schemas.openxmlformats.org/officeDocument/2006/relationships/image" Target="media/image153.emf"/><Relationship Id="rId34" Type="http://schemas.microsoft.com/office/2007/relationships/diagramDrawing" Target="diagrams/drawing1.xml"/><Relationship Id="rId50" Type="http://schemas.openxmlformats.org/officeDocument/2006/relationships/diagramLayout" Target="diagrams/layout4.xml"/><Relationship Id="rId55" Type="http://schemas.openxmlformats.org/officeDocument/2006/relationships/diagramData" Target="diagrams/data5.xml"/><Relationship Id="rId76" Type="http://schemas.openxmlformats.org/officeDocument/2006/relationships/diagramColors" Target="diagrams/colors8.xml"/><Relationship Id="rId97" Type="http://schemas.microsoft.com/office/2007/relationships/diagramDrawing" Target="diagrams/drawing11.xml"/><Relationship Id="rId104" Type="http://schemas.openxmlformats.org/officeDocument/2006/relationships/image" Target="media/image28.emf"/><Relationship Id="rId120" Type="http://schemas.openxmlformats.org/officeDocument/2006/relationships/diagramQuickStyle" Target="diagrams/quickStyle15.xml"/><Relationship Id="rId125" Type="http://schemas.openxmlformats.org/officeDocument/2006/relationships/diagramLayout" Target="diagrams/layout16.xml"/><Relationship Id="rId141" Type="http://schemas.microsoft.com/office/2007/relationships/diagramDrawing" Target="diagrams/drawing18.xml"/><Relationship Id="rId146" Type="http://schemas.openxmlformats.org/officeDocument/2006/relationships/diagramColors" Target="diagrams/colors19.xml"/><Relationship Id="rId167" Type="http://schemas.openxmlformats.org/officeDocument/2006/relationships/image" Target="media/image46.emf"/><Relationship Id="rId188" Type="http://schemas.openxmlformats.org/officeDocument/2006/relationships/image" Target="media/image61.emf"/><Relationship Id="rId7" Type="http://schemas.openxmlformats.org/officeDocument/2006/relationships/footnotes" Target="footnotes.xml"/><Relationship Id="rId71" Type="http://schemas.microsoft.com/office/2007/relationships/diagramDrawing" Target="diagrams/drawing7.xml"/><Relationship Id="rId92" Type="http://schemas.openxmlformats.org/officeDocument/2006/relationships/image" Target="media/image26.emf"/><Relationship Id="rId162" Type="http://schemas.openxmlformats.org/officeDocument/2006/relationships/image" Target="media/image41.emf"/><Relationship Id="rId183" Type="http://schemas.openxmlformats.org/officeDocument/2006/relationships/image" Target="media/image58.emf"/><Relationship Id="rId213" Type="http://schemas.openxmlformats.org/officeDocument/2006/relationships/image" Target="media/image85.emf"/><Relationship Id="rId218" Type="http://schemas.openxmlformats.org/officeDocument/2006/relationships/image" Target="media/image90.emf"/><Relationship Id="rId234" Type="http://schemas.openxmlformats.org/officeDocument/2006/relationships/image" Target="media/image106.emf"/><Relationship Id="rId239" Type="http://schemas.openxmlformats.org/officeDocument/2006/relationships/image" Target="media/image111.emf"/><Relationship Id="rId2" Type="http://schemas.openxmlformats.org/officeDocument/2006/relationships/numbering" Target="numbering.xml"/><Relationship Id="rId29" Type="http://schemas.openxmlformats.org/officeDocument/2006/relationships/image" Target="media/image13.emf"/><Relationship Id="rId250" Type="http://schemas.openxmlformats.org/officeDocument/2006/relationships/image" Target="media/image122.emf"/><Relationship Id="rId255" Type="http://schemas.openxmlformats.org/officeDocument/2006/relationships/image" Target="media/image127.emf"/><Relationship Id="rId271" Type="http://schemas.openxmlformats.org/officeDocument/2006/relationships/image" Target="media/image143.emf"/><Relationship Id="rId276" Type="http://schemas.openxmlformats.org/officeDocument/2006/relationships/image" Target="media/image148.emf"/><Relationship Id="rId292" Type="http://schemas.openxmlformats.org/officeDocument/2006/relationships/theme" Target="theme/theme1.xml"/><Relationship Id="rId24" Type="http://schemas.openxmlformats.org/officeDocument/2006/relationships/footer" Target="footer4.xml"/><Relationship Id="rId40" Type="http://schemas.microsoft.com/office/2007/relationships/diagramDrawing" Target="diagrams/drawing2.xml"/><Relationship Id="rId45" Type="http://schemas.openxmlformats.org/officeDocument/2006/relationships/diagramColors" Target="diagrams/colors3.xml"/><Relationship Id="rId66" Type="http://schemas.openxmlformats.org/officeDocument/2006/relationships/image" Target="media/image20.emf"/><Relationship Id="rId87" Type="http://schemas.openxmlformats.org/officeDocument/2006/relationships/diagramLayout" Target="diagrams/layout10.xml"/><Relationship Id="rId110" Type="http://schemas.microsoft.com/office/2007/relationships/diagramDrawing" Target="diagrams/drawing13.xml"/><Relationship Id="rId115" Type="http://schemas.openxmlformats.org/officeDocument/2006/relationships/diagramColors" Target="diagrams/colors14.xml"/><Relationship Id="rId131" Type="http://schemas.openxmlformats.org/officeDocument/2006/relationships/diagramData" Target="diagrams/data17.xml"/><Relationship Id="rId136" Type="http://schemas.openxmlformats.org/officeDocument/2006/relationships/image" Target="media/image35.emf"/><Relationship Id="rId157" Type="http://schemas.openxmlformats.org/officeDocument/2006/relationships/diagramData" Target="diagrams/data21.xml"/><Relationship Id="rId178" Type="http://schemas.openxmlformats.org/officeDocument/2006/relationships/footer" Target="footer5.xml"/><Relationship Id="rId61" Type="http://schemas.openxmlformats.org/officeDocument/2006/relationships/diagramData" Target="diagrams/data6.xml"/><Relationship Id="rId82" Type="http://schemas.openxmlformats.org/officeDocument/2006/relationships/diagramColors" Target="diagrams/colors9.xml"/><Relationship Id="rId152" Type="http://schemas.openxmlformats.org/officeDocument/2006/relationships/diagramQuickStyle" Target="diagrams/quickStyle20.xml"/><Relationship Id="rId173" Type="http://schemas.openxmlformats.org/officeDocument/2006/relationships/image" Target="media/image52.emf"/><Relationship Id="rId194" Type="http://schemas.openxmlformats.org/officeDocument/2006/relationships/image" Target="media/image66.emf"/><Relationship Id="rId199" Type="http://schemas.openxmlformats.org/officeDocument/2006/relationships/image" Target="media/image71.emf"/><Relationship Id="rId203" Type="http://schemas.openxmlformats.org/officeDocument/2006/relationships/image" Target="media/image75.emf"/><Relationship Id="rId208" Type="http://schemas.openxmlformats.org/officeDocument/2006/relationships/image" Target="media/image80.emf"/><Relationship Id="rId229" Type="http://schemas.openxmlformats.org/officeDocument/2006/relationships/image" Target="media/image101.emf"/><Relationship Id="rId19" Type="http://schemas.openxmlformats.org/officeDocument/2006/relationships/image" Target="media/image7.emf"/><Relationship Id="rId224" Type="http://schemas.openxmlformats.org/officeDocument/2006/relationships/image" Target="media/image96.emf"/><Relationship Id="rId240" Type="http://schemas.openxmlformats.org/officeDocument/2006/relationships/image" Target="media/image112.emf"/><Relationship Id="rId245" Type="http://schemas.openxmlformats.org/officeDocument/2006/relationships/image" Target="media/image117.emf"/><Relationship Id="rId261" Type="http://schemas.openxmlformats.org/officeDocument/2006/relationships/image" Target="media/image133.emf"/><Relationship Id="rId266" Type="http://schemas.openxmlformats.org/officeDocument/2006/relationships/image" Target="media/image138.emf"/><Relationship Id="rId287" Type="http://schemas.openxmlformats.org/officeDocument/2006/relationships/image" Target="media/image159.emf"/><Relationship Id="rId14" Type="http://schemas.openxmlformats.org/officeDocument/2006/relationships/image" Target="media/image2.emf"/><Relationship Id="rId30" Type="http://schemas.openxmlformats.org/officeDocument/2006/relationships/diagramData" Target="diagrams/data1.xml"/><Relationship Id="rId35" Type="http://schemas.openxmlformats.org/officeDocument/2006/relationships/image" Target="media/image14.emf"/><Relationship Id="rId56" Type="http://schemas.openxmlformats.org/officeDocument/2006/relationships/diagramLayout" Target="diagrams/layout5.xml"/><Relationship Id="rId77" Type="http://schemas.microsoft.com/office/2007/relationships/diagramDrawing" Target="diagrams/drawing8.xml"/><Relationship Id="rId100" Type="http://schemas.openxmlformats.org/officeDocument/2006/relationships/diagramLayout" Target="diagrams/layout12.xml"/><Relationship Id="rId105" Type="http://schemas.openxmlformats.org/officeDocument/2006/relationships/image" Target="media/image29.emf"/><Relationship Id="rId126" Type="http://schemas.openxmlformats.org/officeDocument/2006/relationships/diagramQuickStyle" Target="diagrams/quickStyle16.xml"/><Relationship Id="rId147" Type="http://schemas.microsoft.com/office/2007/relationships/diagramDrawing" Target="diagrams/drawing19.xml"/><Relationship Id="rId168" Type="http://schemas.openxmlformats.org/officeDocument/2006/relationships/image" Target="media/image47.emf"/><Relationship Id="rId282" Type="http://schemas.openxmlformats.org/officeDocument/2006/relationships/image" Target="media/image154.emf"/><Relationship Id="rId8" Type="http://schemas.openxmlformats.org/officeDocument/2006/relationships/endnotes" Target="endnotes.xml"/><Relationship Id="rId51" Type="http://schemas.openxmlformats.org/officeDocument/2006/relationships/diagramQuickStyle" Target="diagrams/quickStyle4.xml"/><Relationship Id="rId72" Type="http://schemas.openxmlformats.org/officeDocument/2006/relationships/image" Target="media/image21.emf"/><Relationship Id="rId93" Type="http://schemas.openxmlformats.org/officeDocument/2006/relationships/diagramData" Target="diagrams/data11.xml"/><Relationship Id="rId98" Type="http://schemas.openxmlformats.org/officeDocument/2006/relationships/image" Target="media/image27.emf"/><Relationship Id="rId121" Type="http://schemas.openxmlformats.org/officeDocument/2006/relationships/diagramColors" Target="diagrams/colors15.xml"/><Relationship Id="rId142" Type="http://schemas.openxmlformats.org/officeDocument/2006/relationships/image" Target="media/image36.emf"/><Relationship Id="rId163" Type="http://schemas.openxmlformats.org/officeDocument/2006/relationships/image" Target="media/image42.emf"/><Relationship Id="rId184" Type="http://schemas.openxmlformats.org/officeDocument/2006/relationships/image" Target="media/image59.emf"/><Relationship Id="rId189" Type="http://schemas.openxmlformats.org/officeDocument/2006/relationships/chart" Target="charts/chart4.xml"/><Relationship Id="rId219" Type="http://schemas.openxmlformats.org/officeDocument/2006/relationships/image" Target="media/image91.emf"/><Relationship Id="rId3" Type="http://schemas.openxmlformats.org/officeDocument/2006/relationships/styles" Target="styles.xml"/><Relationship Id="rId214" Type="http://schemas.openxmlformats.org/officeDocument/2006/relationships/image" Target="media/image86.emf"/><Relationship Id="rId230" Type="http://schemas.openxmlformats.org/officeDocument/2006/relationships/image" Target="media/image102.emf"/><Relationship Id="rId235" Type="http://schemas.openxmlformats.org/officeDocument/2006/relationships/image" Target="media/image107.emf"/><Relationship Id="rId251" Type="http://schemas.openxmlformats.org/officeDocument/2006/relationships/image" Target="media/image123.emf"/><Relationship Id="rId256" Type="http://schemas.openxmlformats.org/officeDocument/2006/relationships/image" Target="media/image128.emf"/><Relationship Id="rId277" Type="http://schemas.openxmlformats.org/officeDocument/2006/relationships/image" Target="media/image149.emf"/><Relationship Id="rId25" Type="http://schemas.openxmlformats.org/officeDocument/2006/relationships/image" Target="media/image9.emf"/><Relationship Id="rId46" Type="http://schemas.microsoft.com/office/2007/relationships/diagramDrawing" Target="diagrams/drawing3.xml"/><Relationship Id="rId67" Type="http://schemas.openxmlformats.org/officeDocument/2006/relationships/diagramData" Target="diagrams/data7.xml"/><Relationship Id="rId116" Type="http://schemas.microsoft.com/office/2007/relationships/diagramDrawing" Target="diagrams/drawing14.xml"/><Relationship Id="rId137" Type="http://schemas.openxmlformats.org/officeDocument/2006/relationships/diagramData" Target="diagrams/data18.xml"/><Relationship Id="rId158" Type="http://schemas.openxmlformats.org/officeDocument/2006/relationships/diagramLayout" Target="diagrams/layout21.xml"/><Relationship Id="rId272" Type="http://schemas.openxmlformats.org/officeDocument/2006/relationships/image" Target="media/image144.emf"/><Relationship Id="rId20" Type="http://schemas.openxmlformats.org/officeDocument/2006/relationships/image" Target="media/image8.emf"/><Relationship Id="rId41" Type="http://schemas.openxmlformats.org/officeDocument/2006/relationships/image" Target="media/image15.emf"/><Relationship Id="rId62" Type="http://schemas.openxmlformats.org/officeDocument/2006/relationships/diagramLayout" Target="diagrams/layout6.xml"/><Relationship Id="rId83" Type="http://schemas.microsoft.com/office/2007/relationships/diagramDrawing" Target="diagrams/drawing9.xml"/><Relationship Id="rId88" Type="http://schemas.openxmlformats.org/officeDocument/2006/relationships/diagramQuickStyle" Target="diagrams/quickStyle10.xml"/><Relationship Id="rId111" Type="http://schemas.openxmlformats.org/officeDocument/2006/relationships/image" Target="media/image30.emf"/><Relationship Id="rId132" Type="http://schemas.openxmlformats.org/officeDocument/2006/relationships/diagramLayout" Target="diagrams/layout17.xml"/><Relationship Id="rId153" Type="http://schemas.openxmlformats.org/officeDocument/2006/relationships/diagramColors" Target="diagrams/colors20.xml"/><Relationship Id="rId174" Type="http://schemas.openxmlformats.org/officeDocument/2006/relationships/image" Target="media/image53.emf"/><Relationship Id="rId179" Type="http://schemas.openxmlformats.org/officeDocument/2006/relationships/header" Target="header5.xml"/><Relationship Id="rId195" Type="http://schemas.openxmlformats.org/officeDocument/2006/relationships/image" Target="media/image67.emf"/><Relationship Id="rId209" Type="http://schemas.openxmlformats.org/officeDocument/2006/relationships/image" Target="media/image81.emf"/><Relationship Id="rId190" Type="http://schemas.openxmlformats.org/officeDocument/2006/relationships/image" Target="media/image62.emf"/><Relationship Id="rId204" Type="http://schemas.openxmlformats.org/officeDocument/2006/relationships/image" Target="media/image76.emf"/><Relationship Id="rId220" Type="http://schemas.openxmlformats.org/officeDocument/2006/relationships/image" Target="media/image92.emf"/><Relationship Id="rId225" Type="http://schemas.openxmlformats.org/officeDocument/2006/relationships/image" Target="media/image97.emf"/><Relationship Id="rId241" Type="http://schemas.openxmlformats.org/officeDocument/2006/relationships/image" Target="media/image113.emf"/><Relationship Id="rId246" Type="http://schemas.openxmlformats.org/officeDocument/2006/relationships/image" Target="media/image118.emf"/><Relationship Id="rId267" Type="http://schemas.openxmlformats.org/officeDocument/2006/relationships/image" Target="media/image139.emf"/><Relationship Id="rId288" Type="http://schemas.openxmlformats.org/officeDocument/2006/relationships/image" Target="media/image160.emf"/><Relationship Id="rId15" Type="http://schemas.openxmlformats.org/officeDocument/2006/relationships/image" Target="media/image3.emf"/><Relationship Id="rId36" Type="http://schemas.openxmlformats.org/officeDocument/2006/relationships/diagramData" Target="diagrams/data2.xml"/><Relationship Id="rId57" Type="http://schemas.openxmlformats.org/officeDocument/2006/relationships/diagramQuickStyle" Target="diagrams/quickStyle5.xml"/><Relationship Id="rId106" Type="http://schemas.openxmlformats.org/officeDocument/2006/relationships/diagramData" Target="diagrams/data13.xml"/><Relationship Id="rId127" Type="http://schemas.openxmlformats.org/officeDocument/2006/relationships/diagramColors" Target="diagrams/colors16.xml"/><Relationship Id="rId262" Type="http://schemas.openxmlformats.org/officeDocument/2006/relationships/image" Target="media/image134.emf"/><Relationship Id="rId283" Type="http://schemas.openxmlformats.org/officeDocument/2006/relationships/image" Target="media/image155.emf"/><Relationship Id="rId10" Type="http://schemas.openxmlformats.org/officeDocument/2006/relationships/footer" Target="footer1.xml"/><Relationship Id="rId31" Type="http://schemas.openxmlformats.org/officeDocument/2006/relationships/diagramLayout" Target="diagrams/layout1.xml"/><Relationship Id="rId52" Type="http://schemas.openxmlformats.org/officeDocument/2006/relationships/diagramColors" Target="diagrams/colors4.xml"/><Relationship Id="rId73" Type="http://schemas.openxmlformats.org/officeDocument/2006/relationships/diagramData" Target="diagrams/data8.xml"/><Relationship Id="rId78" Type="http://schemas.openxmlformats.org/officeDocument/2006/relationships/image" Target="media/image22.emf"/><Relationship Id="rId94" Type="http://schemas.openxmlformats.org/officeDocument/2006/relationships/diagramLayout" Target="diagrams/layout11.xml"/><Relationship Id="rId99" Type="http://schemas.openxmlformats.org/officeDocument/2006/relationships/diagramData" Target="diagrams/data12.xml"/><Relationship Id="rId101" Type="http://schemas.openxmlformats.org/officeDocument/2006/relationships/diagramQuickStyle" Target="diagrams/quickStyle12.xml"/><Relationship Id="rId122" Type="http://schemas.microsoft.com/office/2007/relationships/diagramDrawing" Target="diagrams/drawing15.xml"/><Relationship Id="rId143" Type="http://schemas.openxmlformats.org/officeDocument/2006/relationships/diagramData" Target="diagrams/data19.xml"/><Relationship Id="rId148" Type="http://schemas.openxmlformats.org/officeDocument/2006/relationships/image" Target="media/image37.emf"/><Relationship Id="rId164" Type="http://schemas.openxmlformats.org/officeDocument/2006/relationships/image" Target="media/image43.emf"/><Relationship Id="rId169" Type="http://schemas.openxmlformats.org/officeDocument/2006/relationships/image" Target="media/image48.emf"/><Relationship Id="rId185"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image" Target="media/image1.jpeg"/><Relationship Id="rId180" Type="http://schemas.openxmlformats.org/officeDocument/2006/relationships/footer" Target="footer6.xml"/><Relationship Id="rId210" Type="http://schemas.openxmlformats.org/officeDocument/2006/relationships/image" Target="media/image82.emf"/><Relationship Id="rId215" Type="http://schemas.openxmlformats.org/officeDocument/2006/relationships/image" Target="media/image87.emf"/><Relationship Id="rId236" Type="http://schemas.openxmlformats.org/officeDocument/2006/relationships/image" Target="media/image108.emf"/><Relationship Id="rId257" Type="http://schemas.openxmlformats.org/officeDocument/2006/relationships/image" Target="media/image129.emf"/><Relationship Id="rId278" Type="http://schemas.openxmlformats.org/officeDocument/2006/relationships/image" Target="media/image150.emf"/><Relationship Id="rId26" Type="http://schemas.openxmlformats.org/officeDocument/2006/relationships/image" Target="media/image10.emf"/><Relationship Id="rId231" Type="http://schemas.openxmlformats.org/officeDocument/2006/relationships/image" Target="media/image103.emf"/><Relationship Id="rId252" Type="http://schemas.openxmlformats.org/officeDocument/2006/relationships/image" Target="media/image124.emf"/><Relationship Id="rId273" Type="http://schemas.openxmlformats.org/officeDocument/2006/relationships/image" Target="media/image145.emf"/><Relationship Id="rId47" Type="http://schemas.openxmlformats.org/officeDocument/2006/relationships/image" Target="media/image16.emf"/><Relationship Id="rId68" Type="http://schemas.openxmlformats.org/officeDocument/2006/relationships/diagramLayout" Target="diagrams/layout7.xml"/><Relationship Id="rId89" Type="http://schemas.openxmlformats.org/officeDocument/2006/relationships/diagramColors" Target="diagrams/colors10.xml"/><Relationship Id="rId112" Type="http://schemas.openxmlformats.org/officeDocument/2006/relationships/diagramData" Target="diagrams/data14.xml"/><Relationship Id="rId133" Type="http://schemas.openxmlformats.org/officeDocument/2006/relationships/diagramQuickStyle" Target="diagrams/quickStyle17.xml"/><Relationship Id="rId154" Type="http://schemas.microsoft.com/office/2007/relationships/diagramDrawing" Target="diagrams/drawing20.xml"/><Relationship Id="rId175" Type="http://schemas.openxmlformats.org/officeDocument/2006/relationships/image" Target="media/image54.emf"/><Relationship Id="rId196" Type="http://schemas.openxmlformats.org/officeDocument/2006/relationships/image" Target="media/image68.emf"/><Relationship Id="rId200" Type="http://schemas.openxmlformats.org/officeDocument/2006/relationships/image" Target="media/image72.emf"/><Relationship Id="rId16" Type="http://schemas.openxmlformats.org/officeDocument/2006/relationships/image" Target="media/image4.emf"/><Relationship Id="rId221" Type="http://schemas.openxmlformats.org/officeDocument/2006/relationships/image" Target="media/image93.emf"/><Relationship Id="rId242" Type="http://schemas.openxmlformats.org/officeDocument/2006/relationships/image" Target="media/image114.emf"/><Relationship Id="rId263" Type="http://schemas.openxmlformats.org/officeDocument/2006/relationships/image" Target="media/image135.emf"/><Relationship Id="rId284" Type="http://schemas.openxmlformats.org/officeDocument/2006/relationships/image" Target="media/image156.emf"/><Relationship Id="rId37" Type="http://schemas.openxmlformats.org/officeDocument/2006/relationships/diagramLayout" Target="diagrams/layout2.xml"/><Relationship Id="rId58" Type="http://schemas.openxmlformats.org/officeDocument/2006/relationships/diagramColors" Target="diagrams/colors5.xml"/><Relationship Id="rId79" Type="http://schemas.openxmlformats.org/officeDocument/2006/relationships/diagramData" Target="diagrams/data9.xml"/><Relationship Id="rId102" Type="http://schemas.openxmlformats.org/officeDocument/2006/relationships/diagramColors" Target="diagrams/colors12.xml"/><Relationship Id="rId123" Type="http://schemas.openxmlformats.org/officeDocument/2006/relationships/image" Target="media/image32.emf"/><Relationship Id="rId144" Type="http://schemas.openxmlformats.org/officeDocument/2006/relationships/diagramLayout" Target="diagrams/layout19.xml"/><Relationship Id="rId90" Type="http://schemas.microsoft.com/office/2007/relationships/diagramDrawing" Target="diagrams/drawing10.xml"/><Relationship Id="rId165" Type="http://schemas.openxmlformats.org/officeDocument/2006/relationships/image" Target="media/image44.emf"/><Relationship Id="rId186" Type="http://schemas.openxmlformats.org/officeDocument/2006/relationships/image" Target="media/image60.emf"/><Relationship Id="rId211" Type="http://schemas.openxmlformats.org/officeDocument/2006/relationships/image" Target="media/image83.emf"/><Relationship Id="rId232" Type="http://schemas.openxmlformats.org/officeDocument/2006/relationships/image" Target="media/image104.emf"/><Relationship Id="rId253" Type="http://schemas.openxmlformats.org/officeDocument/2006/relationships/image" Target="media/image125.emf"/><Relationship Id="rId274" Type="http://schemas.openxmlformats.org/officeDocument/2006/relationships/image" Target="media/image146.emf"/><Relationship Id="rId27" Type="http://schemas.openxmlformats.org/officeDocument/2006/relationships/image" Target="media/image11.emf"/><Relationship Id="rId48" Type="http://schemas.openxmlformats.org/officeDocument/2006/relationships/image" Target="media/image17.emf"/><Relationship Id="rId69" Type="http://schemas.openxmlformats.org/officeDocument/2006/relationships/diagramQuickStyle" Target="diagrams/quickStyle7.xml"/><Relationship Id="rId113" Type="http://schemas.openxmlformats.org/officeDocument/2006/relationships/diagramLayout" Target="diagrams/layout14.xml"/><Relationship Id="rId134" Type="http://schemas.openxmlformats.org/officeDocument/2006/relationships/diagramColors" Target="diagrams/colors17.xml"/><Relationship Id="rId80" Type="http://schemas.openxmlformats.org/officeDocument/2006/relationships/diagramLayout" Target="diagrams/layout9.xml"/><Relationship Id="rId155" Type="http://schemas.openxmlformats.org/officeDocument/2006/relationships/image" Target="media/image39.emf"/><Relationship Id="rId176" Type="http://schemas.openxmlformats.org/officeDocument/2006/relationships/image" Target="media/image55.emf"/><Relationship Id="rId197" Type="http://schemas.openxmlformats.org/officeDocument/2006/relationships/image" Target="media/image69.emf"/><Relationship Id="rId201" Type="http://schemas.openxmlformats.org/officeDocument/2006/relationships/image" Target="media/image73.emf"/><Relationship Id="rId222" Type="http://schemas.openxmlformats.org/officeDocument/2006/relationships/image" Target="media/image94.emf"/><Relationship Id="rId243" Type="http://schemas.openxmlformats.org/officeDocument/2006/relationships/image" Target="media/image115.emf"/><Relationship Id="rId264" Type="http://schemas.openxmlformats.org/officeDocument/2006/relationships/image" Target="media/image136.emf"/><Relationship Id="rId285" Type="http://schemas.openxmlformats.org/officeDocument/2006/relationships/image" Target="media/image157.emf"/><Relationship Id="rId17" Type="http://schemas.openxmlformats.org/officeDocument/2006/relationships/image" Target="media/image5.emf"/><Relationship Id="rId38" Type="http://schemas.openxmlformats.org/officeDocument/2006/relationships/diagramQuickStyle" Target="diagrams/quickStyle2.xml"/><Relationship Id="rId59" Type="http://schemas.microsoft.com/office/2007/relationships/diagramDrawing" Target="diagrams/drawing5.xml"/><Relationship Id="rId103" Type="http://schemas.microsoft.com/office/2007/relationships/diagramDrawing" Target="diagrams/drawing12.xml"/><Relationship Id="rId124" Type="http://schemas.openxmlformats.org/officeDocument/2006/relationships/diagramData" Target="diagrams/data16.xml"/><Relationship Id="rId70" Type="http://schemas.openxmlformats.org/officeDocument/2006/relationships/diagramColors" Target="diagrams/colors7.xml"/><Relationship Id="rId91" Type="http://schemas.openxmlformats.org/officeDocument/2006/relationships/image" Target="media/image25.emf"/><Relationship Id="rId145" Type="http://schemas.openxmlformats.org/officeDocument/2006/relationships/diagramQuickStyle" Target="diagrams/quickStyle19.xml"/><Relationship Id="rId166" Type="http://schemas.openxmlformats.org/officeDocument/2006/relationships/image" Target="media/image45.emf"/><Relationship Id="rId187" Type="http://schemas.openxmlformats.org/officeDocument/2006/relationships/chart" Target="charts/chart3.xml"/><Relationship Id="rId1" Type="http://schemas.openxmlformats.org/officeDocument/2006/relationships/customXml" Target="../customXml/item1.xml"/><Relationship Id="rId212" Type="http://schemas.openxmlformats.org/officeDocument/2006/relationships/image" Target="media/image84.emf"/><Relationship Id="rId233" Type="http://schemas.openxmlformats.org/officeDocument/2006/relationships/image" Target="media/image105.emf"/><Relationship Id="rId254" Type="http://schemas.openxmlformats.org/officeDocument/2006/relationships/image" Target="media/image126.emf"/><Relationship Id="rId28" Type="http://schemas.openxmlformats.org/officeDocument/2006/relationships/image" Target="media/image12.emf"/><Relationship Id="rId49" Type="http://schemas.openxmlformats.org/officeDocument/2006/relationships/diagramData" Target="diagrams/data4.xml"/><Relationship Id="rId114" Type="http://schemas.openxmlformats.org/officeDocument/2006/relationships/diagramQuickStyle" Target="diagrams/quickStyle14.xml"/><Relationship Id="rId275" Type="http://schemas.openxmlformats.org/officeDocument/2006/relationships/image" Target="media/image147.emf"/><Relationship Id="rId60" Type="http://schemas.openxmlformats.org/officeDocument/2006/relationships/image" Target="media/image19.emf"/><Relationship Id="rId81" Type="http://schemas.openxmlformats.org/officeDocument/2006/relationships/diagramQuickStyle" Target="diagrams/quickStyle9.xml"/><Relationship Id="rId135" Type="http://schemas.microsoft.com/office/2007/relationships/diagramDrawing" Target="diagrams/drawing17.xml"/><Relationship Id="rId156" Type="http://schemas.openxmlformats.org/officeDocument/2006/relationships/image" Target="media/image40.emf"/><Relationship Id="rId177" Type="http://schemas.openxmlformats.org/officeDocument/2006/relationships/image" Target="media/image56.emf"/><Relationship Id="rId198" Type="http://schemas.openxmlformats.org/officeDocument/2006/relationships/image" Target="media/image70.emf"/><Relationship Id="rId202" Type="http://schemas.openxmlformats.org/officeDocument/2006/relationships/image" Target="media/image74.emf"/><Relationship Id="rId223" Type="http://schemas.openxmlformats.org/officeDocument/2006/relationships/image" Target="media/image95.emf"/><Relationship Id="rId244" Type="http://schemas.openxmlformats.org/officeDocument/2006/relationships/image" Target="media/image116.emf"/><Relationship Id="rId18" Type="http://schemas.openxmlformats.org/officeDocument/2006/relationships/image" Target="media/image6.emf"/><Relationship Id="rId39" Type="http://schemas.openxmlformats.org/officeDocument/2006/relationships/diagramColors" Target="diagrams/colors2.xml"/><Relationship Id="rId265" Type="http://schemas.openxmlformats.org/officeDocument/2006/relationships/image" Target="media/image137.emf"/><Relationship Id="rId286" Type="http://schemas.openxmlformats.org/officeDocument/2006/relationships/image" Target="media/image158.emf"/></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000000"/>
                </a:solidFill>
                <a:latin typeface="Arial"/>
                <a:ea typeface="Arial"/>
                <a:cs typeface="Arial"/>
              </a:defRPr>
            </a:pPr>
            <a:r>
              <a:rPr lang="en-US"/>
              <a:t>Prévision</a:t>
            </a:r>
            <a:r>
              <a:rPr lang="en-US" baseline="0"/>
              <a:t> des demandes selon le PCT</a:t>
            </a:r>
            <a:endParaRPr lang="en-US"/>
          </a:p>
        </c:rich>
      </c:tx>
      <c:layout>
        <c:manualLayout>
          <c:xMode val="edge"/>
          <c:yMode val="edge"/>
          <c:x val="0.35763943569553802"/>
          <c:y val="3.3742331288343558E-2"/>
        </c:manualLayout>
      </c:layout>
      <c:overlay val="0"/>
      <c:spPr>
        <a:noFill/>
        <a:ln w="25400">
          <a:noFill/>
        </a:ln>
      </c:spPr>
    </c:title>
    <c:autoTitleDeleted val="0"/>
    <c:plotArea>
      <c:layout>
        <c:manualLayout>
          <c:layoutTarget val="inner"/>
          <c:xMode val="edge"/>
          <c:yMode val="edge"/>
          <c:x val="0.11111129949154237"/>
          <c:y val="0.20858895705521471"/>
          <c:w val="0.86111257105945338"/>
          <c:h val="0.64110429447852757"/>
        </c:manualLayout>
      </c:layout>
      <c:barChart>
        <c:barDir val="col"/>
        <c:grouping val="clustered"/>
        <c:varyColors val="0"/>
        <c:ser>
          <c:idx val="1"/>
          <c:order val="1"/>
          <c:tx>
            <c:v>Croissance</c:v>
          </c:tx>
          <c:spPr>
            <a:solidFill>
              <a:srgbClr val="969696"/>
            </a:solidFill>
            <a:ln w="25400">
              <a:noFill/>
            </a:ln>
          </c:spPr>
          <c:invertIfNegative val="0"/>
          <c:dLbls>
            <c:spPr>
              <a:noFill/>
              <a:ln w="25400">
                <a:noFill/>
              </a:ln>
            </c:spPr>
            <c:txPr>
              <a:bodyPr/>
              <a:lstStyle/>
              <a:p>
                <a:pPr>
                  <a:defRPr sz="800" b="0" i="0" u="none" strike="noStrike" baseline="0">
                    <a:solidFill>
                      <a:srgbClr val="000000"/>
                    </a:solidFill>
                    <a:latin typeface="Arial"/>
                    <a:ea typeface="Arial"/>
                    <a:cs typeface="Arial"/>
                  </a:defRPr>
                </a:pPr>
                <a:endParaRPr lang="fr-FR"/>
              </a:p>
            </c:txPr>
            <c:showLegendKey val="0"/>
            <c:showVal val="1"/>
            <c:showCatName val="0"/>
            <c:showSerName val="0"/>
            <c:showPercent val="0"/>
            <c:showBubbleSize val="0"/>
            <c:showLeaderLines val="0"/>
          </c:dLbls>
          <c:cat>
            <c:numRef>
              <c:f>graphs!$H$5:$H$10</c:f>
              <c:numCache>
                <c:formatCode>General</c:formatCode>
                <c:ptCount val="6"/>
                <c:pt idx="0">
                  <c:v>2012</c:v>
                </c:pt>
                <c:pt idx="1">
                  <c:v>2013</c:v>
                </c:pt>
                <c:pt idx="2">
                  <c:v>2014</c:v>
                </c:pt>
                <c:pt idx="3">
                  <c:v>2015</c:v>
                </c:pt>
                <c:pt idx="4">
                  <c:v>2016</c:v>
                </c:pt>
                <c:pt idx="5">
                  <c:v>2017</c:v>
                </c:pt>
              </c:numCache>
            </c:numRef>
          </c:cat>
          <c:val>
            <c:numRef>
              <c:f>graphs!$J$5:$J$10</c:f>
              <c:numCache>
                <c:formatCode>0.0%</c:formatCode>
                <c:ptCount val="6"/>
                <c:pt idx="0">
                  <c:v>7.0692896725992993E-2</c:v>
                </c:pt>
                <c:pt idx="1">
                  <c:v>5.0856481718492441E-2</c:v>
                </c:pt>
                <c:pt idx="2">
                  <c:v>4.3026677319406792E-2</c:v>
                </c:pt>
                <c:pt idx="3">
                  <c:v>9.3414292386735376E-3</c:v>
                </c:pt>
                <c:pt idx="4">
                  <c:v>3.1004164738547058E-2</c:v>
                </c:pt>
                <c:pt idx="5">
                  <c:v>2.6929982046678624E-2</c:v>
                </c:pt>
              </c:numCache>
            </c:numRef>
          </c:val>
        </c:ser>
        <c:dLbls>
          <c:showLegendKey val="0"/>
          <c:showVal val="0"/>
          <c:showCatName val="0"/>
          <c:showSerName val="0"/>
          <c:showPercent val="0"/>
          <c:showBubbleSize val="0"/>
        </c:dLbls>
        <c:gapWidth val="280"/>
        <c:axId val="374427648"/>
        <c:axId val="374429184"/>
      </c:barChart>
      <c:lineChart>
        <c:grouping val="standard"/>
        <c:varyColors val="0"/>
        <c:ser>
          <c:idx val="0"/>
          <c:order val="0"/>
          <c:tx>
            <c:v>Demandes</c:v>
          </c:tx>
          <c:spPr>
            <a:ln w="28575">
              <a:noFill/>
            </a:ln>
          </c:spPr>
          <c:marker>
            <c:symbol val="diamond"/>
            <c:size val="6"/>
            <c:spPr>
              <a:solidFill>
                <a:srgbClr val="000000"/>
              </a:solidFill>
              <a:ln>
                <a:solidFill>
                  <a:srgbClr val="000000"/>
                </a:solidFill>
                <a:prstDash val="solid"/>
              </a:ln>
            </c:spPr>
          </c:marker>
          <c:errBars>
            <c:errDir val="y"/>
            <c:errBarType val="both"/>
            <c:errValType val="cust"/>
            <c:noEndCap val="0"/>
            <c:plus>
              <c:numRef>
                <c:f>graphs!$L$5:$L$10</c:f>
                <c:numCache>
                  <c:formatCode>General</c:formatCode>
                  <c:ptCount val="6"/>
                  <c:pt idx="2">
                    <c:v>4700</c:v>
                  </c:pt>
                  <c:pt idx="3">
                    <c:v>11800</c:v>
                  </c:pt>
                  <c:pt idx="4">
                    <c:v>13000</c:v>
                  </c:pt>
                  <c:pt idx="5">
                    <c:v>14300</c:v>
                  </c:pt>
                </c:numCache>
              </c:numRef>
            </c:plus>
            <c:minus>
              <c:numRef>
                <c:f>graphs!$N$5:$N$10</c:f>
                <c:numCache>
                  <c:formatCode>General</c:formatCode>
                  <c:ptCount val="6"/>
                  <c:pt idx="1">
                    <c:v>0</c:v>
                  </c:pt>
                  <c:pt idx="2">
                    <c:v>5500</c:v>
                  </c:pt>
                  <c:pt idx="3">
                    <c:v>14000</c:v>
                  </c:pt>
                  <c:pt idx="4">
                    <c:v>15200</c:v>
                  </c:pt>
                  <c:pt idx="5">
                    <c:v>16500</c:v>
                  </c:pt>
                </c:numCache>
              </c:numRef>
            </c:minus>
            <c:spPr>
              <a:ln w="12700">
                <a:solidFill>
                  <a:srgbClr val="000000"/>
                </a:solidFill>
                <a:prstDash val="solid"/>
              </a:ln>
            </c:spPr>
          </c:errBars>
          <c:cat>
            <c:numRef>
              <c:f>graphs!$H$5:$H$10</c:f>
              <c:numCache>
                <c:formatCode>General</c:formatCode>
                <c:ptCount val="6"/>
                <c:pt idx="0">
                  <c:v>2012</c:v>
                </c:pt>
                <c:pt idx="1">
                  <c:v>2013</c:v>
                </c:pt>
                <c:pt idx="2">
                  <c:v>2014</c:v>
                </c:pt>
                <c:pt idx="3">
                  <c:v>2015</c:v>
                </c:pt>
                <c:pt idx="4">
                  <c:v>2016</c:v>
                </c:pt>
                <c:pt idx="5">
                  <c:v>2017</c:v>
                </c:pt>
              </c:numCache>
            </c:numRef>
          </c:cat>
          <c:val>
            <c:numRef>
              <c:f>graphs!$I$5:$I$10</c:f>
              <c:numCache>
                <c:formatCode>#,##0</c:formatCode>
                <c:ptCount val="6"/>
                <c:pt idx="0">
                  <c:v>195334</c:v>
                </c:pt>
                <c:pt idx="1">
                  <c:v>205268</c:v>
                </c:pt>
                <c:pt idx="2">
                  <c:v>214100</c:v>
                </c:pt>
                <c:pt idx="3">
                  <c:v>216100</c:v>
                </c:pt>
                <c:pt idx="4">
                  <c:v>222800</c:v>
                </c:pt>
                <c:pt idx="5">
                  <c:v>228800</c:v>
                </c:pt>
              </c:numCache>
            </c:numRef>
          </c:val>
          <c:smooth val="0"/>
        </c:ser>
        <c:ser>
          <c:idx val="2"/>
          <c:order val="2"/>
          <c:spPr>
            <a:ln w="12700">
              <a:solidFill>
                <a:srgbClr val="000000"/>
              </a:solidFill>
              <a:prstDash val="solid"/>
            </a:ln>
          </c:spPr>
          <c:marker>
            <c:symbol val="none"/>
          </c:marker>
          <c:trendline>
            <c:spPr>
              <a:ln w="12700">
                <a:solidFill>
                  <a:srgbClr val="000000"/>
                </a:solidFill>
                <a:prstDash val="solid"/>
              </a:ln>
            </c:spPr>
            <c:trendlineType val="linear"/>
            <c:forward val="0.5"/>
            <c:backward val="0.5"/>
            <c:dispRSqr val="0"/>
            <c:dispEq val="0"/>
          </c:trendline>
          <c:cat>
            <c:numRef>
              <c:f>graphs!$H$5:$H$10</c:f>
              <c:numCache>
                <c:formatCode>General</c:formatCode>
                <c:ptCount val="6"/>
                <c:pt idx="0">
                  <c:v>2012</c:v>
                </c:pt>
                <c:pt idx="1">
                  <c:v>2013</c:v>
                </c:pt>
                <c:pt idx="2">
                  <c:v>2014</c:v>
                </c:pt>
                <c:pt idx="3">
                  <c:v>2015</c:v>
                </c:pt>
                <c:pt idx="4">
                  <c:v>2016</c:v>
                </c:pt>
                <c:pt idx="5">
                  <c:v>2017</c:v>
                </c:pt>
              </c:numCache>
            </c:numRef>
          </c:cat>
          <c:val>
            <c:numRef>
              <c:f>graphs!$M$5:$M$10</c:f>
              <c:numCache>
                <c:formatCode>General</c:formatCode>
                <c:ptCount val="6"/>
                <c:pt idx="0">
                  <c:v>156000</c:v>
                </c:pt>
                <c:pt idx="1">
                  <c:v>156000</c:v>
                </c:pt>
                <c:pt idx="2">
                  <c:v>156000</c:v>
                </c:pt>
                <c:pt idx="3">
                  <c:v>156000</c:v>
                </c:pt>
                <c:pt idx="4">
                  <c:v>156000</c:v>
                </c:pt>
                <c:pt idx="5">
                  <c:v>156000</c:v>
                </c:pt>
              </c:numCache>
            </c:numRef>
          </c:val>
          <c:smooth val="0"/>
        </c:ser>
        <c:dLbls>
          <c:showLegendKey val="0"/>
          <c:showVal val="0"/>
          <c:showCatName val="0"/>
          <c:showSerName val="0"/>
          <c:showPercent val="0"/>
          <c:showBubbleSize val="0"/>
        </c:dLbls>
        <c:marker val="1"/>
        <c:smooth val="0"/>
        <c:axId val="374424320"/>
        <c:axId val="374425856"/>
      </c:lineChart>
      <c:catAx>
        <c:axId val="374424320"/>
        <c:scaling>
          <c:orientation val="minMax"/>
        </c:scaling>
        <c:delete val="0"/>
        <c:axPos val="b"/>
        <c:numFmt formatCode="General" sourceLinked="1"/>
        <c:majorTickMark val="out"/>
        <c:minorTickMark val="none"/>
        <c:tickLblPos val="nextTo"/>
        <c:spPr>
          <a:ln w="9525">
            <a:noFill/>
          </a:ln>
        </c:spPr>
        <c:txPr>
          <a:bodyPr rot="0" vert="horz"/>
          <a:lstStyle/>
          <a:p>
            <a:pPr>
              <a:defRPr sz="800" b="0" i="0" u="none" strike="noStrike" baseline="0">
                <a:solidFill>
                  <a:srgbClr val="000000"/>
                </a:solidFill>
                <a:latin typeface="Arial"/>
                <a:ea typeface="Arial"/>
                <a:cs typeface="Arial"/>
              </a:defRPr>
            </a:pPr>
            <a:endParaRPr lang="fr-FR"/>
          </a:p>
        </c:txPr>
        <c:crossAx val="374425856"/>
        <c:crosses val="autoZero"/>
        <c:auto val="1"/>
        <c:lblAlgn val="ctr"/>
        <c:lblOffset val="100"/>
        <c:tickLblSkip val="1"/>
        <c:tickMarkSkip val="1"/>
        <c:noMultiLvlLbl val="0"/>
      </c:catAx>
      <c:valAx>
        <c:axId val="374425856"/>
        <c:scaling>
          <c:orientation val="minMax"/>
          <c:max val="260000"/>
          <c:min val="130000"/>
        </c:scaling>
        <c:delete val="0"/>
        <c:axPos val="l"/>
        <c:numFmt formatCode="#,##0"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fr-FR"/>
          </a:p>
        </c:txPr>
        <c:crossAx val="374424320"/>
        <c:crosses val="autoZero"/>
        <c:crossBetween val="between"/>
      </c:valAx>
      <c:catAx>
        <c:axId val="374427648"/>
        <c:scaling>
          <c:orientation val="minMax"/>
        </c:scaling>
        <c:delete val="1"/>
        <c:axPos val="b"/>
        <c:numFmt formatCode="General" sourceLinked="1"/>
        <c:majorTickMark val="out"/>
        <c:minorTickMark val="none"/>
        <c:tickLblPos val="nextTo"/>
        <c:crossAx val="374429184"/>
        <c:crosses val="autoZero"/>
        <c:auto val="1"/>
        <c:lblAlgn val="ctr"/>
        <c:lblOffset val="100"/>
        <c:noMultiLvlLbl val="0"/>
      </c:catAx>
      <c:valAx>
        <c:axId val="374429184"/>
        <c:scaling>
          <c:orientation val="minMax"/>
          <c:max val="0.4"/>
          <c:min val="-0.1"/>
        </c:scaling>
        <c:delete val="0"/>
        <c:axPos val="r"/>
        <c:numFmt formatCode="0.0%" sourceLinked="1"/>
        <c:majorTickMark val="none"/>
        <c:minorTickMark val="none"/>
        <c:tickLblPos val="none"/>
        <c:spPr>
          <a:ln w="9525">
            <a:noFill/>
          </a:ln>
        </c:spPr>
        <c:crossAx val="374427648"/>
        <c:crosses val="max"/>
        <c:crossBetween val="between"/>
        <c:majorUnit val="0.1"/>
      </c:valAx>
      <c:spPr>
        <a:solidFill>
          <a:srgbClr val="FFFFFF"/>
        </a:solidFill>
        <a:ln w="25400">
          <a:noFill/>
        </a:ln>
      </c:spPr>
    </c:plotArea>
    <c:legend>
      <c:legendPos val="r"/>
      <c:legendEntry>
        <c:idx val="2"/>
        <c:delete val="1"/>
      </c:legendEntry>
      <c:legendEntry>
        <c:idx val="3"/>
        <c:delete val="1"/>
      </c:legendEntry>
      <c:layout>
        <c:manualLayout>
          <c:xMode val="edge"/>
          <c:yMode val="edge"/>
          <c:x val="0.41666739574219885"/>
          <c:y val="0.12883435582822086"/>
          <c:w val="0.24826425342665498"/>
          <c:h val="6.4417177914110418E-2"/>
        </c:manualLayout>
      </c:layout>
      <c:overlay val="0"/>
      <c:spPr>
        <a:solidFill>
          <a:srgbClr val="FFFFFF"/>
        </a:solidFill>
        <a:ln w="25400">
          <a:noFill/>
        </a:ln>
      </c:spPr>
      <c:txPr>
        <a:bodyPr/>
        <a:lstStyle/>
        <a:p>
          <a:pPr>
            <a:defRPr sz="575" b="0" i="0" u="none" strike="noStrike" baseline="0">
              <a:solidFill>
                <a:srgbClr val="000000"/>
              </a:solidFill>
              <a:latin typeface="Arial"/>
              <a:ea typeface="Arial"/>
              <a:cs typeface="Arial"/>
            </a:defRPr>
          </a:pPr>
          <a:endParaRPr lang="fr-FR"/>
        </a:p>
      </c:txPr>
    </c:legend>
    <c:plotVisOnly val="1"/>
    <c:dispBlanksAs val="gap"/>
    <c:showDLblsOverMax val="0"/>
  </c:chart>
  <c:spPr>
    <a:solidFill>
      <a:srgbClr val="FFFFFF"/>
    </a:solidFill>
    <a:ln w="9525">
      <a:noFill/>
    </a:ln>
  </c:spPr>
  <c:txPr>
    <a:bodyPr/>
    <a:lstStyle/>
    <a:p>
      <a:pPr>
        <a:defRPr sz="900" b="0" i="0" u="none" strike="noStrike" baseline="0">
          <a:solidFill>
            <a:srgbClr val="000000"/>
          </a:solidFill>
          <a:latin typeface="Arial"/>
          <a:ea typeface="Arial"/>
          <a:cs typeface="Arial"/>
        </a:defRPr>
      </a:pPr>
      <a:endParaRPr lang="fr-FR"/>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975" b="1" i="0" u="none" strike="noStrike" baseline="0">
                <a:solidFill>
                  <a:srgbClr val="000000"/>
                </a:solidFill>
                <a:latin typeface="Arial"/>
                <a:ea typeface="Arial"/>
                <a:cs typeface="Arial"/>
              </a:defRPr>
            </a:pPr>
            <a:r>
              <a:rPr lang="en-US" b="0"/>
              <a:t>Répartition</a:t>
            </a:r>
            <a:r>
              <a:rPr lang="en-US" b="0" baseline="0"/>
              <a:t> probabiliste du nombre de dépôts</a:t>
            </a:r>
            <a:endParaRPr lang="en-US" b="0"/>
          </a:p>
        </c:rich>
      </c:tx>
      <c:layout>
        <c:manualLayout>
          <c:xMode val="edge"/>
          <c:yMode val="edge"/>
          <c:x val="0.27902964469129399"/>
          <c:y val="3.3846153846153845E-2"/>
        </c:manualLayout>
      </c:layout>
      <c:overlay val="0"/>
      <c:spPr>
        <a:noFill/>
        <a:ln w="25400">
          <a:noFill/>
        </a:ln>
      </c:spPr>
    </c:title>
    <c:autoTitleDeleted val="0"/>
    <c:plotArea>
      <c:layout>
        <c:manualLayout>
          <c:layoutTarget val="inner"/>
          <c:xMode val="edge"/>
          <c:yMode val="edge"/>
          <c:x val="0.11091863805804374"/>
          <c:y val="0.21846186667948719"/>
          <c:w val="0.86481875610880976"/>
          <c:h val="0.6461548169393283"/>
        </c:manualLayout>
      </c:layout>
      <c:lineChart>
        <c:grouping val="standard"/>
        <c:varyColors val="0"/>
        <c:ser>
          <c:idx val="0"/>
          <c:order val="0"/>
          <c:spPr>
            <a:ln w="12700">
              <a:solidFill>
                <a:srgbClr val="000000"/>
              </a:solidFill>
              <a:prstDash val="solid"/>
            </a:ln>
          </c:spPr>
          <c:marker>
            <c:symbol val="dash"/>
            <c:size val="3"/>
            <c:spPr>
              <a:noFill/>
              <a:ln>
                <a:solidFill>
                  <a:srgbClr val="000000"/>
                </a:solidFill>
                <a:prstDash val="solid"/>
              </a:ln>
            </c:spPr>
          </c:marker>
          <c:cat>
            <c:numRef>
              <c:f>graphs!$O$5:$O$8</c:f>
              <c:numCache>
                <c:formatCode>General</c:formatCode>
                <c:ptCount val="4"/>
                <c:pt idx="0">
                  <c:v>2014</c:v>
                </c:pt>
                <c:pt idx="1">
                  <c:v>2015</c:v>
                </c:pt>
                <c:pt idx="2">
                  <c:v>2016</c:v>
                </c:pt>
                <c:pt idx="3">
                  <c:v>2017</c:v>
                </c:pt>
              </c:numCache>
            </c:numRef>
          </c:cat>
          <c:val>
            <c:numRef>
              <c:f>graphs!$Q$5:$Q$8</c:f>
              <c:numCache>
                <c:formatCode>#,##0</c:formatCode>
                <c:ptCount val="4"/>
                <c:pt idx="0">
                  <c:v>208600</c:v>
                </c:pt>
                <c:pt idx="1">
                  <c:v>202100</c:v>
                </c:pt>
                <c:pt idx="2">
                  <c:v>207600</c:v>
                </c:pt>
                <c:pt idx="3">
                  <c:v>212300</c:v>
                </c:pt>
              </c:numCache>
            </c:numRef>
          </c:val>
          <c:smooth val="0"/>
        </c:ser>
        <c:ser>
          <c:idx val="1"/>
          <c:order val="1"/>
          <c:tx>
            <c:v>Prévisions</c:v>
          </c:tx>
          <c:spPr>
            <a:ln w="12700">
              <a:solidFill>
                <a:srgbClr val="000000"/>
              </a:solidFill>
              <a:prstDash val="solid"/>
            </a:ln>
          </c:spPr>
          <c:marker>
            <c:symbol val="circle"/>
            <c:size val="7"/>
            <c:spPr>
              <a:solidFill>
                <a:srgbClr val="FFFFFF"/>
              </a:solidFill>
              <a:ln>
                <a:solidFill>
                  <a:srgbClr val="000000"/>
                </a:solidFill>
                <a:prstDash val="solid"/>
              </a:ln>
            </c:spPr>
          </c:marker>
          <c:cat>
            <c:numRef>
              <c:f>graphs!$O$5:$O$8</c:f>
              <c:numCache>
                <c:formatCode>General</c:formatCode>
                <c:ptCount val="4"/>
                <c:pt idx="0">
                  <c:v>2014</c:v>
                </c:pt>
                <c:pt idx="1">
                  <c:v>2015</c:v>
                </c:pt>
                <c:pt idx="2">
                  <c:v>2016</c:v>
                </c:pt>
                <c:pt idx="3">
                  <c:v>2017</c:v>
                </c:pt>
              </c:numCache>
            </c:numRef>
          </c:cat>
          <c:val>
            <c:numRef>
              <c:f>graphs!$R$5:$R$8</c:f>
              <c:numCache>
                <c:formatCode>#,##0</c:formatCode>
                <c:ptCount val="4"/>
                <c:pt idx="0">
                  <c:v>214100</c:v>
                </c:pt>
                <c:pt idx="1">
                  <c:v>216100</c:v>
                </c:pt>
                <c:pt idx="2">
                  <c:v>222800</c:v>
                </c:pt>
                <c:pt idx="3">
                  <c:v>228800</c:v>
                </c:pt>
              </c:numCache>
            </c:numRef>
          </c:val>
          <c:smooth val="0"/>
        </c:ser>
        <c:ser>
          <c:idx val="2"/>
          <c:order val="2"/>
          <c:tx>
            <c:v>Limites 80%</c:v>
          </c:tx>
          <c:spPr>
            <a:ln w="12700">
              <a:solidFill>
                <a:srgbClr val="000000"/>
              </a:solidFill>
              <a:prstDash val="solid"/>
            </a:ln>
          </c:spPr>
          <c:marker>
            <c:symbol val="dash"/>
            <c:size val="3"/>
            <c:spPr>
              <a:noFill/>
              <a:ln>
                <a:solidFill>
                  <a:srgbClr val="000000"/>
                </a:solidFill>
                <a:prstDash val="solid"/>
              </a:ln>
            </c:spPr>
          </c:marker>
          <c:cat>
            <c:numRef>
              <c:f>graphs!$O$5:$O$8</c:f>
              <c:numCache>
                <c:formatCode>General</c:formatCode>
                <c:ptCount val="4"/>
                <c:pt idx="0">
                  <c:v>2014</c:v>
                </c:pt>
                <c:pt idx="1">
                  <c:v>2015</c:v>
                </c:pt>
                <c:pt idx="2">
                  <c:v>2016</c:v>
                </c:pt>
                <c:pt idx="3">
                  <c:v>2017</c:v>
                </c:pt>
              </c:numCache>
            </c:numRef>
          </c:cat>
          <c:val>
            <c:numRef>
              <c:f>graphs!$S$5:$S$8</c:f>
              <c:numCache>
                <c:formatCode>#,##0</c:formatCode>
                <c:ptCount val="4"/>
                <c:pt idx="0">
                  <c:v>218800</c:v>
                </c:pt>
                <c:pt idx="1">
                  <c:v>227900</c:v>
                </c:pt>
                <c:pt idx="2">
                  <c:v>235800</c:v>
                </c:pt>
                <c:pt idx="3">
                  <c:v>243100</c:v>
                </c:pt>
              </c:numCache>
            </c:numRef>
          </c:val>
          <c:smooth val="0"/>
        </c:ser>
        <c:ser>
          <c:idx val="3"/>
          <c:order val="3"/>
          <c:spPr>
            <a:ln w="12700">
              <a:solidFill>
                <a:srgbClr val="808080"/>
              </a:solidFill>
              <a:prstDash val="solid"/>
            </a:ln>
          </c:spPr>
          <c:marker>
            <c:symbol val="dash"/>
            <c:size val="3"/>
            <c:spPr>
              <a:noFill/>
              <a:ln>
                <a:solidFill>
                  <a:srgbClr val="000000"/>
                </a:solidFill>
                <a:prstDash val="solid"/>
              </a:ln>
            </c:spPr>
          </c:marker>
          <c:cat>
            <c:numRef>
              <c:f>graphs!$O$5:$O$8</c:f>
              <c:numCache>
                <c:formatCode>General</c:formatCode>
                <c:ptCount val="4"/>
                <c:pt idx="0">
                  <c:v>2014</c:v>
                </c:pt>
                <c:pt idx="1">
                  <c:v>2015</c:v>
                </c:pt>
                <c:pt idx="2">
                  <c:v>2016</c:v>
                </c:pt>
                <c:pt idx="3">
                  <c:v>2017</c:v>
                </c:pt>
              </c:numCache>
            </c:numRef>
          </c:cat>
          <c:val>
            <c:numRef>
              <c:f>graphs!$Q$10:$Q$13</c:f>
              <c:numCache>
                <c:formatCode>#,##0</c:formatCode>
                <c:ptCount val="4"/>
                <c:pt idx="0">
                  <c:v>209500</c:v>
                </c:pt>
                <c:pt idx="1">
                  <c:v>204500</c:v>
                </c:pt>
                <c:pt idx="2">
                  <c:v>210200</c:v>
                </c:pt>
                <c:pt idx="3">
                  <c:v>215200</c:v>
                </c:pt>
              </c:numCache>
            </c:numRef>
          </c:val>
          <c:smooth val="0"/>
        </c:ser>
        <c:ser>
          <c:idx val="4"/>
          <c:order val="4"/>
          <c:tx>
            <c:v>Limites 70%</c:v>
          </c:tx>
          <c:spPr>
            <a:ln w="12700">
              <a:solidFill>
                <a:srgbClr val="808080"/>
              </a:solidFill>
              <a:prstDash val="solid"/>
            </a:ln>
          </c:spPr>
          <c:marker>
            <c:symbol val="dash"/>
            <c:size val="3"/>
            <c:spPr>
              <a:noFill/>
              <a:ln>
                <a:solidFill>
                  <a:srgbClr val="000000"/>
                </a:solidFill>
                <a:prstDash val="solid"/>
              </a:ln>
            </c:spPr>
          </c:marker>
          <c:cat>
            <c:numRef>
              <c:f>graphs!$O$5:$O$8</c:f>
              <c:numCache>
                <c:formatCode>General</c:formatCode>
                <c:ptCount val="4"/>
                <c:pt idx="0">
                  <c:v>2014</c:v>
                </c:pt>
                <c:pt idx="1">
                  <c:v>2015</c:v>
                </c:pt>
                <c:pt idx="2">
                  <c:v>2016</c:v>
                </c:pt>
                <c:pt idx="3">
                  <c:v>2017</c:v>
                </c:pt>
              </c:numCache>
            </c:numRef>
          </c:cat>
          <c:val>
            <c:numRef>
              <c:f>graphs!$S$10:$S$13</c:f>
              <c:numCache>
                <c:formatCode>#,##0</c:formatCode>
                <c:ptCount val="4"/>
                <c:pt idx="0">
                  <c:v>218000</c:v>
                </c:pt>
                <c:pt idx="1">
                  <c:v>225700</c:v>
                </c:pt>
                <c:pt idx="2">
                  <c:v>233300</c:v>
                </c:pt>
                <c:pt idx="3">
                  <c:v>240300</c:v>
                </c:pt>
              </c:numCache>
            </c:numRef>
          </c:val>
          <c:smooth val="0"/>
        </c:ser>
        <c:ser>
          <c:idx val="5"/>
          <c:order val="5"/>
          <c:spPr>
            <a:ln w="12700">
              <a:solidFill>
                <a:srgbClr val="969696"/>
              </a:solidFill>
              <a:prstDash val="solid"/>
            </a:ln>
          </c:spPr>
          <c:marker>
            <c:symbol val="dash"/>
            <c:size val="3"/>
            <c:spPr>
              <a:noFill/>
              <a:ln>
                <a:solidFill>
                  <a:srgbClr val="000000"/>
                </a:solidFill>
                <a:prstDash val="solid"/>
              </a:ln>
            </c:spPr>
          </c:marker>
          <c:cat>
            <c:numRef>
              <c:f>graphs!$O$5:$O$8</c:f>
              <c:numCache>
                <c:formatCode>General</c:formatCode>
                <c:ptCount val="4"/>
                <c:pt idx="0">
                  <c:v>2014</c:v>
                </c:pt>
                <c:pt idx="1">
                  <c:v>2015</c:v>
                </c:pt>
                <c:pt idx="2">
                  <c:v>2016</c:v>
                </c:pt>
                <c:pt idx="3">
                  <c:v>2017</c:v>
                </c:pt>
              </c:numCache>
            </c:numRef>
          </c:cat>
          <c:val>
            <c:numRef>
              <c:f>graphs!$Q$15:$Q$18</c:f>
              <c:numCache>
                <c:formatCode>#,##0</c:formatCode>
                <c:ptCount val="4"/>
                <c:pt idx="0">
                  <c:v>210300</c:v>
                </c:pt>
                <c:pt idx="1">
                  <c:v>206400</c:v>
                </c:pt>
                <c:pt idx="2">
                  <c:v>212300</c:v>
                </c:pt>
                <c:pt idx="3">
                  <c:v>217500</c:v>
                </c:pt>
              </c:numCache>
            </c:numRef>
          </c:val>
          <c:smooth val="0"/>
        </c:ser>
        <c:ser>
          <c:idx val="6"/>
          <c:order val="6"/>
          <c:tx>
            <c:v>Limites 60%</c:v>
          </c:tx>
          <c:spPr>
            <a:ln w="12700">
              <a:solidFill>
                <a:srgbClr val="969696"/>
              </a:solidFill>
              <a:prstDash val="solid"/>
            </a:ln>
          </c:spPr>
          <c:marker>
            <c:symbol val="dash"/>
            <c:size val="3"/>
            <c:spPr>
              <a:noFill/>
              <a:ln>
                <a:solidFill>
                  <a:srgbClr val="000000"/>
                </a:solidFill>
                <a:prstDash val="solid"/>
              </a:ln>
            </c:spPr>
          </c:marker>
          <c:cat>
            <c:numRef>
              <c:f>graphs!$O$5:$O$8</c:f>
              <c:numCache>
                <c:formatCode>General</c:formatCode>
                <c:ptCount val="4"/>
                <c:pt idx="0">
                  <c:v>2014</c:v>
                </c:pt>
                <c:pt idx="1">
                  <c:v>2015</c:v>
                </c:pt>
                <c:pt idx="2">
                  <c:v>2016</c:v>
                </c:pt>
                <c:pt idx="3">
                  <c:v>2017</c:v>
                </c:pt>
              </c:numCache>
            </c:numRef>
          </c:cat>
          <c:val>
            <c:numRef>
              <c:f>graphs!$S$15:$S$18</c:f>
              <c:numCache>
                <c:formatCode>#,##0</c:formatCode>
                <c:ptCount val="4"/>
                <c:pt idx="0">
                  <c:v>217300</c:v>
                </c:pt>
                <c:pt idx="1">
                  <c:v>224100</c:v>
                </c:pt>
                <c:pt idx="2">
                  <c:v>231500</c:v>
                </c:pt>
                <c:pt idx="3">
                  <c:v>238200</c:v>
                </c:pt>
              </c:numCache>
            </c:numRef>
          </c:val>
          <c:smooth val="0"/>
        </c:ser>
        <c:ser>
          <c:idx val="7"/>
          <c:order val="7"/>
          <c:spPr>
            <a:ln w="12700">
              <a:solidFill>
                <a:srgbClr val="C0C0C0"/>
              </a:solidFill>
              <a:prstDash val="solid"/>
            </a:ln>
          </c:spPr>
          <c:marker>
            <c:symbol val="dash"/>
            <c:size val="3"/>
            <c:spPr>
              <a:noFill/>
              <a:ln>
                <a:solidFill>
                  <a:srgbClr val="000000"/>
                </a:solidFill>
                <a:prstDash val="solid"/>
              </a:ln>
            </c:spPr>
          </c:marker>
          <c:cat>
            <c:numRef>
              <c:f>graphs!$O$5:$O$8</c:f>
              <c:numCache>
                <c:formatCode>General</c:formatCode>
                <c:ptCount val="4"/>
                <c:pt idx="0">
                  <c:v>2014</c:v>
                </c:pt>
                <c:pt idx="1">
                  <c:v>2015</c:v>
                </c:pt>
                <c:pt idx="2">
                  <c:v>2016</c:v>
                </c:pt>
                <c:pt idx="3">
                  <c:v>2017</c:v>
                </c:pt>
              </c:numCache>
            </c:numRef>
          </c:cat>
          <c:val>
            <c:numRef>
              <c:f>graphs!$Q$20:$Q$23</c:f>
              <c:numCache>
                <c:formatCode>#,##0</c:formatCode>
                <c:ptCount val="4"/>
                <c:pt idx="0">
                  <c:v>211000</c:v>
                </c:pt>
                <c:pt idx="1">
                  <c:v>208200</c:v>
                </c:pt>
                <c:pt idx="2">
                  <c:v>214300</c:v>
                </c:pt>
                <c:pt idx="3">
                  <c:v>219800</c:v>
                </c:pt>
              </c:numCache>
            </c:numRef>
          </c:val>
          <c:smooth val="0"/>
        </c:ser>
        <c:ser>
          <c:idx val="8"/>
          <c:order val="8"/>
          <c:tx>
            <c:v>Limites 50%</c:v>
          </c:tx>
          <c:spPr>
            <a:ln w="12700">
              <a:solidFill>
                <a:srgbClr val="C0C0C0"/>
              </a:solidFill>
              <a:prstDash val="solid"/>
            </a:ln>
          </c:spPr>
          <c:marker>
            <c:symbol val="dash"/>
            <c:size val="3"/>
            <c:spPr>
              <a:noFill/>
              <a:ln>
                <a:solidFill>
                  <a:srgbClr val="000000"/>
                </a:solidFill>
                <a:prstDash val="solid"/>
              </a:ln>
            </c:spPr>
          </c:marker>
          <c:cat>
            <c:numRef>
              <c:f>graphs!$O$5:$O$8</c:f>
              <c:numCache>
                <c:formatCode>General</c:formatCode>
                <c:ptCount val="4"/>
                <c:pt idx="0">
                  <c:v>2014</c:v>
                </c:pt>
                <c:pt idx="1">
                  <c:v>2015</c:v>
                </c:pt>
                <c:pt idx="2">
                  <c:v>2016</c:v>
                </c:pt>
                <c:pt idx="3">
                  <c:v>2017</c:v>
                </c:pt>
              </c:numCache>
            </c:numRef>
          </c:cat>
          <c:val>
            <c:numRef>
              <c:f>graphs!$S$20:$S$23</c:f>
              <c:numCache>
                <c:formatCode>#,##0</c:formatCode>
                <c:ptCount val="4"/>
                <c:pt idx="0">
                  <c:v>216800</c:v>
                </c:pt>
                <c:pt idx="1">
                  <c:v>222700</c:v>
                </c:pt>
                <c:pt idx="2">
                  <c:v>229900</c:v>
                </c:pt>
                <c:pt idx="3">
                  <c:v>236300</c:v>
                </c:pt>
              </c:numCache>
            </c:numRef>
          </c:val>
          <c:smooth val="0"/>
        </c:ser>
        <c:ser>
          <c:idx val="9"/>
          <c:order val="9"/>
          <c:spPr>
            <a:ln w="12700">
              <a:solidFill>
                <a:srgbClr val="CCFFFF"/>
              </a:solidFill>
              <a:prstDash val="solid"/>
            </a:ln>
          </c:spPr>
          <c:marker>
            <c:symbol val="none"/>
          </c:marker>
          <c:cat>
            <c:numRef>
              <c:f>graphs!$O$5:$O$8</c:f>
              <c:numCache>
                <c:formatCode>General</c:formatCode>
                <c:ptCount val="4"/>
                <c:pt idx="0">
                  <c:v>2014</c:v>
                </c:pt>
                <c:pt idx="1">
                  <c:v>2015</c:v>
                </c:pt>
                <c:pt idx="2">
                  <c:v>2016</c:v>
                </c:pt>
                <c:pt idx="3">
                  <c:v>2017</c:v>
                </c:pt>
              </c:numCache>
            </c:numRef>
          </c:cat>
          <c:val>
            <c:numRef>
              <c:f>graphs!$J$52:$J$55</c:f>
              <c:numCache>
                <c:formatCode>General</c:formatCode>
                <c:ptCount val="4"/>
              </c:numCache>
            </c:numRef>
          </c:val>
          <c:smooth val="0"/>
        </c:ser>
        <c:ser>
          <c:idx val="10"/>
          <c:order val="10"/>
          <c:spPr>
            <a:ln w="12700">
              <a:solidFill>
                <a:srgbClr val="CCFFCC"/>
              </a:solidFill>
              <a:prstDash val="solid"/>
            </a:ln>
          </c:spPr>
          <c:marker>
            <c:symbol val="none"/>
          </c:marker>
          <c:cat>
            <c:numRef>
              <c:f>graphs!$O$5:$O$8</c:f>
              <c:numCache>
                <c:formatCode>General</c:formatCode>
                <c:ptCount val="4"/>
                <c:pt idx="0">
                  <c:v>2014</c:v>
                </c:pt>
                <c:pt idx="1">
                  <c:v>2015</c:v>
                </c:pt>
                <c:pt idx="2">
                  <c:v>2016</c:v>
                </c:pt>
                <c:pt idx="3">
                  <c:v>2017</c:v>
                </c:pt>
              </c:numCache>
            </c:numRef>
          </c:cat>
          <c:val>
            <c:numRef>
              <c:f>graphs!$L$52:$L$55</c:f>
              <c:numCache>
                <c:formatCode>General</c:formatCode>
                <c:ptCount val="4"/>
              </c:numCache>
            </c:numRef>
          </c:val>
          <c:smooth val="0"/>
        </c:ser>
        <c:dLbls>
          <c:showLegendKey val="0"/>
          <c:showVal val="0"/>
          <c:showCatName val="0"/>
          <c:showSerName val="0"/>
          <c:showPercent val="0"/>
          <c:showBubbleSize val="0"/>
        </c:dLbls>
        <c:marker val="1"/>
        <c:smooth val="0"/>
        <c:axId val="376507392"/>
        <c:axId val="376512896"/>
      </c:lineChart>
      <c:catAx>
        <c:axId val="376507392"/>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925" b="0" i="0" u="none" strike="noStrike" baseline="0">
                <a:solidFill>
                  <a:srgbClr val="000000"/>
                </a:solidFill>
                <a:latin typeface="Arial"/>
                <a:ea typeface="Arial"/>
                <a:cs typeface="Arial"/>
              </a:defRPr>
            </a:pPr>
            <a:endParaRPr lang="fr-FR"/>
          </a:p>
        </c:txPr>
        <c:crossAx val="376512896"/>
        <c:crosses val="autoZero"/>
        <c:auto val="1"/>
        <c:lblAlgn val="ctr"/>
        <c:lblOffset val="100"/>
        <c:tickLblSkip val="1"/>
        <c:tickMarkSkip val="1"/>
        <c:noMultiLvlLbl val="0"/>
      </c:catAx>
      <c:valAx>
        <c:axId val="376512896"/>
        <c:scaling>
          <c:orientation val="minMax"/>
          <c:min val="190000"/>
        </c:scaling>
        <c:delete val="0"/>
        <c:axPos val="l"/>
        <c:numFmt formatCode="#,##0"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fr-FR"/>
          </a:p>
        </c:txPr>
        <c:crossAx val="376507392"/>
        <c:crosses val="autoZero"/>
        <c:crossBetween val="between"/>
      </c:valAx>
      <c:spPr>
        <a:solidFill>
          <a:srgbClr val="FFFFFF"/>
        </a:solidFill>
        <a:ln w="25400">
          <a:noFill/>
        </a:ln>
      </c:spPr>
    </c:plotArea>
    <c:legend>
      <c:legendPos val="t"/>
      <c:legendEntry>
        <c:idx val="0"/>
        <c:delete val="1"/>
      </c:legendEntry>
      <c:legendEntry>
        <c:idx val="3"/>
        <c:delete val="1"/>
      </c:legendEntry>
      <c:legendEntry>
        <c:idx val="5"/>
        <c:delete val="1"/>
      </c:legendEntry>
      <c:legendEntry>
        <c:idx val="7"/>
        <c:delete val="1"/>
      </c:legendEntry>
      <c:legendEntry>
        <c:idx val="9"/>
        <c:delete val="1"/>
      </c:legendEntry>
      <c:legendEntry>
        <c:idx val="10"/>
        <c:delete val="1"/>
      </c:legendEntry>
      <c:layout/>
      <c:overlay val="0"/>
      <c:spPr>
        <a:solidFill>
          <a:srgbClr val="FFFFFF"/>
        </a:solidFill>
        <a:ln w="25400">
          <a:noFill/>
        </a:ln>
      </c:spPr>
      <c:txPr>
        <a:bodyPr/>
        <a:lstStyle/>
        <a:p>
          <a:pPr>
            <a:defRPr sz="575" b="0" i="0" u="none" strike="noStrike" baseline="0">
              <a:solidFill>
                <a:srgbClr val="000000"/>
              </a:solidFill>
              <a:latin typeface="Arial"/>
              <a:ea typeface="Arial"/>
              <a:cs typeface="Arial"/>
            </a:defRPr>
          </a:pPr>
          <a:endParaRPr lang="fr-FR"/>
        </a:p>
      </c:txPr>
    </c:legend>
    <c:plotVisOnly val="1"/>
    <c:dispBlanksAs val="gap"/>
    <c:showDLblsOverMax val="0"/>
  </c:chart>
  <c:spPr>
    <a:solidFill>
      <a:srgbClr val="FFFFFF"/>
    </a:solidFill>
    <a:ln w="9525">
      <a:noFill/>
    </a:ln>
  </c:spPr>
  <c:txPr>
    <a:bodyPr/>
    <a:lstStyle/>
    <a:p>
      <a:pPr>
        <a:defRPr sz="875" b="0" i="0" u="none" strike="noStrike" baseline="0">
          <a:solidFill>
            <a:srgbClr val="000000"/>
          </a:solidFill>
          <a:latin typeface="Arial"/>
          <a:ea typeface="Arial"/>
          <a:cs typeface="Arial"/>
        </a:defRPr>
      </a:pPr>
      <a:endParaRPr lang="fr-FR"/>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percentStacked"/>
        <c:varyColors val="0"/>
        <c:ser>
          <c:idx val="0"/>
          <c:order val="0"/>
          <c:tx>
            <c:strRef>
              <c:f>graphs!$B$26</c:f>
              <c:strCache>
                <c:ptCount val="1"/>
                <c:pt idx="0">
                  <c:v>Papier</c:v>
                </c:pt>
              </c:strCache>
            </c:strRef>
          </c:tx>
          <c:spPr>
            <a:solidFill>
              <a:schemeClr val="tx1">
                <a:lumMod val="85000"/>
                <a:lumOff val="15000"/>
              </a:schemeClr>
            </a:solidFill>
            <a:ln>
              <a:noFill/>
            </a:ln>
          </c:spPr>
          <c:invertIfNegative val="0"/>
          <c:cat>
            <c:numRef>
              <c:f>graphs!$A$27:$A$30</c:f>
              <c:numCache>
                <c:formatCode>General</c:formatCode>
                <c:ptCount val="4"/>
                <c:pt idx="0">
                  <c:v>2014</c:v>
                </c:pt>
                <c:pt idx="1">
                  <c:v>2015</c:v>
                </c:pt>
                <c:pt idx="2">
                  <c:v>2016</c:v>
                </c:pt>
                <c:pt idx="3">
                  <c:v>2017</c:v>
                </c:pt>
              </c:numCache>
            </c:numRef>
          </c:cat>
          <c:val>
            <c:numRef>
              <c:f>graphs!$B$27:$B$30</c:f>
              <c:numCache>
                <c:formatCode>0.0%</c:formatCode>
                <c:ptCount val="4"/>
                <c:pt idx="0">
                  <c:v>6.349999999999989E-2</c:v>
                </c:pt>
                <c:pt idx="1">
                  <c:v>5.5999999999999939E-2</c:v>
                </c:pt>
                <c:pt idx="2">
                  <c:v>4.8999999999999932E-2</c:v>
                </c:pt>
                <c:pt idx="3">
                  <c:v>4.0999999999999925E-2</c:v>
                </c:pt>
              </c:numCache>
            </c:numRef>
          </c:val>
        </c:ser>
        <c:ser>
          <c:idx val="1"/>
          <c:order val="1"/>
          <c:tx>
            <c:strRef>
              <c:f>graphs!$C$26</c:f>
              <c:strCache>
                <c:ptCount val="1"/>
                <c:pt idx="0">
                  <c:v>Easy</c:v>
                </c:pt>
              </c:strCache>
            </c:strRef>
          </c:tx>
          <c:spPr>
            <a:solidFill>
              <a:schemeClr val="tx1">
                <a:lumMod val="65000"/>
                <a:lumOff val="35000"/>
              </a:schemeClr>
            </a:solidFill>
            <a:ln>
              <a:noFill/>
            </a:ln>
          </c:spPr>
          <c:invertIfNegative val="0"/>
          <c:cat>
            <c:numRef>
              <c:f>graphs!$A$27:$A$30</c:f>
              <c:numCache>
                <c:formatCode>General</c:formatCode>
                <c:ptCount val="4"/>
                <c:pt idx="0">
                  <c:v>2014</c:v>
                </c:pt>
                <c:pt idx="1">
                  <c:v>2015</c:v>
                </c:pt>
                <c:pt idx="2">
                  <c:v>2016</c:v>
                </c:pt>
                <c:pt idx="3">
                  <c:v>2017</c:v>
                </c:pt>
              </c:numCache>
            </c:numRef>
          </c:cat>
          <c:val>
            <c:numRef>
              <c:f>graphs!$C$27:$C$30</c:f>
              <c:numCache>
                <c:formatCode>0.0%</c:formatCode>
                <c:ptCount val="4"/>
                <c:pt idx="0">
                  <c:v>2.18E-2</c:v>
                </c:pt>
                <c:pt idx="1">
                  <c:v>1.9E-2</c:v>
                </c:pt>
                <c:pt idx="2">
                  <c:v>1.6E-2</c:v>
                </c:pt>
                <c:pt idx="3">
                  <c:v>1.4E-2</c:v>
                </c:pt>
              </c:numCache>
            </c:numRef>
          </c:val>
        </c:ser>
        <c:ser>
          <c:idx val="2"/>
          <c:order val="2"/>
          <c:tx>
            <c:strRef>
              <c:f>graphs!$D$26</c:f>
              <c:strCache>
                <c:ptCount val="1"/>
                <c:pt idx="0">
                  <c:v>PDF</c:v>
                </c:pt>
              </c:strCache>
            </c:strRef>
          </c:tx>
          <c:spPr>
            <a:solidFill>
              <a:schemeClr val="bg1">
                <a:lumMod val="50000"/>
              </a:schemeClr>
            </a:solidFill>
            <a:ln>
              <a:noFill/>
            </a:ln>
          </c:spPr>
          <c:invertIfNegative val="0"/>
          <c:cat>
            <c:numRef>
              <c:f>graphs!$A$27:$A$30</c:f>
              <c:numCache>
                <c:formatCode>General</c:formatCode>
                <c:ptCount val="4"/>
                <c:pt idx="0">
                  <c:v>2014</c:v>
                </c:pt>
                <c:pt idx="1">
                  <c:v>2015</c:v>
                </c:pt>
                <c:pt idx="2">
                  <c:v>2016</c:v>
                </c:pt>
                <c:pt idx="3">
                  <c:v>2017</c:v>
                </c:pt>
              </c:numCache>
            </c:numRef>
          </c:cat>
          <c:val>
            <c:numRef>
              <c:f>graphs!$D$27:$D$30</c:f>
              <c:numCache>
                <c:formatCode>0.0%</c:formatCode>
                <c:ptCount val="4"/>
                <c:pt idx="0">
                  <c:v>0.65029999999999999</c:v>
                </c:pt>
                <c:pt idx="1">
                  <c:v>0.65500000000000003</c:v>
                </c:pt>
                <c:pt idx="2">
                  <c:v>0.66</c:v>
                </c:pt>
                <c:pt idx="3">
                  <c:v>0.66500000000000004</c:v>
                </c:pt>
              </c:numCache>
            </c:numRef>
          </c:val>
        </c:ser>
        <c:ser>
          <c:idx val="3"/>
          <c:order val="3"/>
          <c:tx>
            <c:strRef>
              <c:f>graphs!$E$26</c:f>
              <c:strCache>
                <c:ptCount val="1"/>
                <c:pt idx="0">
                  <c:v>XML</c:v>
                </c:pt>
              </c:strCache>
            </c:strRef>
          </c:tx>
          <c:spPr>
            <a:solidFill>
              <a:schemeClr val="bg1">
                <a:lumMod val="75000"/>
              </a:schemeClr>
            </a:solidFill>
            <a:ln>
              <a:noFill/>
            </a:ln>
          </c:spPr>
          <c:invertIfNegative val="0"/>
          <c:cat>
            <c:numRef>
              <c:f>graphs!$A$27:$A$30</c:f>
              <c:numCache>
                <c:formatCode>General</c:formatCode>
                <c:ptCount val="4"/>
                <c:pt idx="0">
                  <c:v>2014</c:v>
                </c:pt>
                <c:pt idx="1">
                  <c:v>2015</c:v>
                </c:pt>
                <c:pt idx="2">
                  <c:v>2016</c:v>
                </c:pt>
                <c:pt idx="3">
                  <c:v>2017</c:v>
                </c:pt>
              </c:numCache>
            </c:numRef>
          </c:cat>
          <c:val>
            <c:numRef>
              <c:f>graphs!$E$27:$E$30</c:f>
              <c:numCache>
                <c:formatCode>0.0%</c:formatCode>
                <c:ptCount val="4"/>
                <c:pt idx="0">
                  <c:v>0.26440000000000002</c:v>
                </c:pt>
                <c:pt idx="1">
                  <c:v>0.27</c:v>
                </c:pt>
                <c:pt idx="2">
                  <c:v>0.27500000000000002</c:v>
                </c:pt>
                <c:pt idx="3">
                  <c:v>0.28000000000000003</c:v>
                </c:pt>
              </c:numCache>
            </c:numRef>
          </c:val>
        </c:ser>
        <c:dLbls>
          <c:showLegendKey val="0"/>
          <c:showVal val="0"/>
          <c:showCatName val="0"/>
          <c:showSerName val="0"/>
          <c:showPercent val="0"/>
          <c:showBubbleSize val="0"/>
        </c:dLbls>
        <c:gapWidth val="150"/>
        <c:overlap val="100"/>
        <c:axId val="388768896"/>
        <c:axId val="388770432"/>
      </c:barChart>
      <c:catAx>
        <c:axId val="388768896"/>
        <c:scaling>
          <c:orientation val="minMax"/>
        </c:scaling>
        <c:delete val="0"/>
        <c:axPos val="b"/>
        <c:numFmt formatCode="General" sourceLinked="1"/>
        <c:majorTickMark val="out"/>
        <c:minorTickMark val="none"/>
        <c:tickLblPos val="nextTo"/>
        <c:crossAx val="388770432"/>
        <c:crosses val="autoZero"/>
        <c:auto val="1"/>
        <c:lblAlgn val="ctr"/>
        <c:lblOffset val="100"/>
        <c:noMultiLvlLbl val="0"/>
      </c:catAx>
      <c:valAx>
        <c:axId val="388770432"/>
        <c:scaling>
          <c:orientation val="minMax"/>
        </c:scaling>
        <c:delete val="0"/>
        <c:axPos val="l"/>
        <c:majorGridlines/>
        <c:numFmt formatCode="0%" sourceLinked="1"/>
        <c:majorTickMark val="out"/>
        <c:minorTickMark val="none"/>
        <c:tickLblPos val="nextTo"/>
        <c:crossAx val="388768896"/>
        <c:crosses val="autoZero"/>
        <c:crossBetween val="between"/>
      </c:valAx>
    </c:plotArea>
    <c:legend>
      <c:legendPos val="r"/>
      <c:layout/>
      <c:overlay val="0"/>
    </c:legend>
    <c:plotVisOnly val="1"/>
    <c:dispBlanksAs val="gap"/>
    <c:showDLblsOverMax val="0"/>
  </c:chart>
  <c:spPr>
    <a:ln>
      <a:noFill/>
    </a:ln>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000000"/>
                </a:solidFill>
                <a:latin typeface="Arial"/>
                <a:ea typeface="Arial"/>
                <a:cs typeface="Arial"/>
              </a:defRPr>
            </a:pPr>
            <a:r>
              <a:rPr lang="en-US"/>
              <a:t>Recettes</a:t>
            </a:r>
            <a:r>
              <a:rPr lang="en-US" baseline="0"/>
              <a:t> hypothétiques du PCT</a:t>
            </a:r>
            <a:endParaRPr lang="en-US"/>
          </a:p>
        </c:rich>
      </c:tx>
      <c:layout>
        <c:manualLayout>
          <c:xMode val="edge"/>
          <c:yMode val="edge"/>
          <c:x val="0.30729221347331581"/>
          <c:y val="3.3742331288343558E-2"/>
        </c:manualLayout>
      </c:layout>
      <c:overlay val="0"/>
      <c:spPr>
        <a:noFill/>
        <a:ln w="25400">
          <a:noFill/>
        </a:ln>
      </c:spPr>
    </c:title>
    <c:autoTitleDeleted val="0"/>
    <c:plotArea>
      <c:layout>
        <c:manualLayout>
          <c:layoutTarget val="inner"/>
          <c:xMode val="edge"/>
          <c:yMode val="edge"/>
          <c:x val="7.4652904345880039E-2"/>
          <c:y val="0.21165644171779141"/>
          <c:w val="0.90104319431422653"/>
          <c:h val="0.64417177914110424"/>
        </c:manualLayout>
      </c:layout>
      <c:barChart>
        <c:barDir val="col"/>
        <c:grouping val="clustered"/>
        <c:varyColors val="0"/>
        <c:ser>
          <c:idx val="1"/>
          <c:order val="1"/>
          <c:tx>
            <c:strRef>
              <c:f>graphs!$AD$4</c:f>
              <c:strCache>
                <c:ptCount val="1"/>
                <c:pt idx="0">
                  <c:v>Croissance</c:v>
                </c:pt>
              </c:strCache>
            </c:strRef>
          </c:tx>
          <c:spPr>
            <a:solidFill>
              <a:srgbClr val="969696"/>
            </a:solidFill>
            <a:ln w="25400">
              <a:noFill/>
            </a:ln>
          </c:spPr>
          <c:invertIfNegative val="0"/>
          <c:dLbls>
            <c:spPr>
              <a:noFill/>
              <a:ln w="25400">
                <a:noFill/>
              </a:ln>
            </c:spPr>
            <c:txPr>
              <a:bodyPr/>
              <a:lstStyle/>
              <a:p>
                <a:pPr>
                  <a:defRPr sz="800" b="0" i="0" u="none" strike="noStrike" baseline="0">
                    <a:solidFill>
                      <a:srgbClr val="000000"/>
                    </a:solidFill>
                    <a:latin typeface="Arial"/>
                    <a:ea typeface="Arial"/>
                    <a:cs typeface="Arial"/>
                  </a:defRPr>
                </a:pPr>
                <a:endParaRPr lang="fr-FR"/>
              </a:p>
            </c:txPr>
            <c:showLegendKey val="0"/>
            <c:showVal val="1"/>
            <c:showCatName val="0"/>
            <c:showSerName val="0"/>
            <c:showPercent val="0"/>
            <c:showBubbleSize val="0"/>
            <c:showLeaderLines val="0"/>
          </c:dLbls>
          <c:cat>
            <c:numRef>
              <c:f>graphs!$V$5:$V$10</c:f>
              <c:numCache>
                <c:formatCode>General</c:formatCode>
                <c:ptCount val="6"/>
                <c:pt idx="0">
                  <c:v>2012</c:v>
                </c:pt>
                <c:pt idx="1">
                  <c:v>2013</c:v>
                </c:pt>
                <c:pt idx="2">
                  <c:v>2014</c:v>
                </c:pt>
                <c:pt idx="3">
                  <c:v>2015</c:v>
                </c:pt>
                <c:pt idx="4">
                  <c:v>2016</c:v>
                </c:pt>
                <c:pt idx="5">
                  <c:v>2017</c:v>
                </c:pt>
              </c:numCache>
            </c:numRef>
          </c:cat>
          <c:val>
            <c:numRef>
              <c:f>graphs!$AD$5:$AD$10</c:f>
              <c:numCache>
                <c:formatCode>0.0%</c:formatCode>
                <c:ptCount val="6"/>
                <c:pt idx="0">
                  <c:v>6.1970391781762224E-2</c:v>
                </c:pt>
                <c:pt idx="1">
                  <c:v>4.4412000517938033E-2</c:v>
                </c:pt>
                <c:pt idx="2">
                  <c:v>4.0805641823363992E-2</c:v>
                </c:pt>
                <c:pt idx="3">
                  <c:v>-4.3382886294174305E-3</c:v>
                </c:pt>
                <c:pt idx="4">
                  <c:v>2.6870881276360059E-2</c:v>
                </c:pt>
                <c:pt idx="5">
                  <c:v>2.4227015828482745E-2</c:v>
                </c:pt>
              </c:numCache>
            </c:numRef>
          </c:val>
        </c:ser>
        <c:dLbls>
          <c:showLegendKey val="0"/>
          <c:showVal val="0"/>
          <c:showCatName val="0"/>
          <c:showSerName val="0"/>
          <c:showPercent val="0"/>
          <c:showBubbleSize val="0"/>
        </c:dLbls>
        <c:gapWidth val="280"/>
        <c:axId val="388826624"/>
        <c:axId val="388828160"/>
      </c:barChart>
      <c:lineChart>
        <c:grouping val="standard"/>
        <c:varyColors val="0"/>
        <c:ser>
          <c:idx val="0"/>
          <c:order val="0"/>
          <c:tx>
            <c:strRef>
              <c:f>graphs!$AC$4</c:f>
              <c:strCache>
                <c:ptCount val="1"/>
                <c:pt idx="0">
                  <c:v>Recette</c:v>
                </c:pt>
              </c:strCache>
            </c:strRef>
          </c:tx>
          <c:spPr>
            <a:ln w="28575">
              <a:noFill/>
            </a:ln>
          </c:spPr>
          <c:marker>
            <c:symbol val="diamond"/>
            <c:size val="6"/>
            <c:spPr>
              <a:solidFill>
                <a:srgbClr val="000000"/>
              </a:solidFill>
              <a:ln>
                <a:solidFill>
                  <a:srgbClr val="000000"/>
                </a:solidFill>
                <a:prstDash val="solid"/>
              </a:ln>
            </c:spPr>
          </c:marker>
          <c:errBars>
            <c:errDir val="y"/>
            <c:errBarType val="both"/>
            <c:errValType val="cust"/>
            <c:noEndCap val="0"/>
            <c:plus>
              <c:numRef>
                <c:f>graphs!$AF$5:$AF$10</c:f>
                <c:numCache>
                  <c:formatCode>General</c:formatCode>
                  <c:ptCount val="6"/>
                  <c:pt idx="2">
                    <c:v>6.3198127537346522</c:v>
                  </c:pt>
                  <c:pt idx="3">
                    <c:v>15.567037517615574</c:v>
                  </c:pt>
                  <c:pt idx="4">
                    <c:v>17.060152649925385</c:v>
                  </c:pt>
                  <c:pt idx="5">
                    <c:v>18.62291920453589</c:v>
                  </c:pt>
                </c:numCache>
              </c:numRef>
            </c:plus>
            <c:minus>
              <c:numRef>
                <c:f>graphs!$AH$5:$AH$10</c:f>
                <c:numCache>
                  <c:formatCode>General</c:formatCode>
                  <c:ptCount val="6"/>
                  <c:pt idx="1">
                    <c:v>0</c:v>
                  </c:pt>
                  <c:pt idx="2">
                    <c:v>7.2988037452651611</c:v>
                  </c:pt>
                  <c:pt idx="3">
                    <c:v>18.562904601272351</c:v>
                  </c:pt>
                  <c:pt idx="4">
                    <c:v>20.383640845696732</c:v>
                  </c:pt>
                  <c:pt idx="5">
                    <c:v>22.123128820406805</c:v>
                  </c:pt>
                </c:numCache>
              </c:numRef>
            </c:minus>
            <c:spPr>
              <a:ln w="12700">
                <a:solidFill>
                  <a:srgbClr val="000000"/>
                </a:solidFill>
                <a:prstDash val="solid"/>
              </a:ln>
            </c:spPr>
          </c:errBars>
          <c:cat>
            <c:numRef>
              <c:f>graphs!$H$5:$H$10</c:f>
              <c:numCache>
                <c:formatCode>General</c:formatCode>
                <c:ptCount val="6"/>
                <c:pt idx="0">
                  <c:v>2012</c:v>
                </c:pt>
                <c:pt idx="1">
                  <c:v>2013</c:v>
                </c:pt>
                <c:pt idx="2">
                  <c:v>2014</c:v>
                </c:pt>
                <c:pt idx="3">
                  <c:v>2015</c:v>
                </c:pt>
                <c:pt idx="4">
                  <c:v>2016</c:v>
                </c:pt>
                <c:pt idx="5">
                  <c:v>2017</c:v>
                </c:pt>
              </c:numCache>
            </c:numRef>
          </c:cat>
          <c:val>
            <c:numRef>
              <c:f>graphs!$AC$5:$AC$10</c:f>
              <c:numCache>
                <c:formatCode>#,##0.000</c:formatCode>
                <c:ptCount val="6"/>
                <c:pt idx="0">
                  <c:v>257.08470304322771</c:v>
                </c:pt>
                <c:pt idx="1">
                  <c:v>268.50234900793737</c:v>
                </c:pt>
                <c:pt idx="2">
                  <c:v>279.45875969028714</c:v>
                </c:pt>
                <c:pt idx="3">
                  <c:v>278.24638693073149</c:v>
                </c:pt>
                <c:pt idx="4">
                  <c:v>285.72311255952349</c:v>
                </c:pt>
                <c:pt idx="5">
                  <c:v>292.64533093006645</c:v>
                </c:pt>
              </c:numCache>
            </c:numRef>
          </c:val>
          <c:smooth val="0"/>
        </c:ser>
        <c:ser>
          <c:idx val="2"/>
          <c:order val="2"/>
          <c:spPr>
            <a:ln w="12700">
              <a:solidFill>
                <a:srgbClr val="000000"/>
              </a:solidFill>
              <a:prstDash val="solid"/>
            </a:ln>
          </c:spPr>
          <c:marker>
            <c:symbol val="none"/>
          </c:marker>
          <c:trendline>
            <c:spPr>
              <a:ln w="12700">
                <a:solidFill>
                  <a:srgbClr val="000000"/>
                </a:solidFill>
                <a:prstDash val="solid"/>
              </a:ln>
            </c:spPr>
            <c:trendlineType val="linear"/>
            <c:forward val="0.5"/>
            <c:backward val="0.5"/>
            <c:dispRSqr val="0"/>
            <c:dispEq val="0"/>
          </c:trendline>
          <c:cat>
            <c:numRef>
              <c:f>graphs!$H$5:$H$10</c:f>
              <c:numCache>
                <c:formatCode>General</c:formatCode>
                <c:ptCount val="6"/>
                <c:pt idx="0">
                  <c:v>2012</c:v>
                </c:pt>
                <c:pt idx="1">
                  <c:v>2013</c:v>
                </c:pt>
                <c:pt idx="2">
                  <c:v>2014</c:v>
                </c:pt>
                <c:pt idx="3">
                  <c:v>2015</c:v>
                </c:pt>
                <c:pt idx="4">
                  <c:v>2016</c:v>
                </c:pt>
                <c:pt idx="5">
                  <c:v>2017</c:v>
                </c:pt>
              </c:numCache>
            </c:numRef>
          </c:cat>
          <c:val>
            <c:numRef>
              <c:f>graphs!$AG$5:$AG$10</c:f>
              <c:numCache>
                <c:formatCode>General</c:formatCode>
                <c:ptCount val="6"/>
                <c:pt idx="0">
                  <c:v>234</c:v>
                </c:pt>
                <c:pt idx="1">
                  <c:v>234</c:v>
                </c:pt>
                <c:pt idx="2">
                  <c:v>234</c:v>
                </c:pt>
                <c:pt idx="3">
                  <c:v>234</c:v>
                </c:pt>
                <c:pt idx="4">
                  <c:v>234</c:v>
                </c:pt>
                <c:pt idx="5">
                  <c:v>234</c:v>
                </c:pt>
              </c:numCache>
            </c:numRef>
          </c:val>
          <c:smooth val="0"/>
        </c:ser>
        <c:dLbls>
          <c:showLegendKey val="0"/>
          <c:showVal val="0"/>
          <c:showCatName val="0"/>
          <c:showSerName val="0"/>
          <c:showPercent val="0"/>
          <c:showBubbleSize val="0"/>
        </c:dLbls>
        <c:marker val="1"/>
        <c:smooth val="0"/>
        <c:axId val="388950272"/>
        <c:axId val="388825088"/>
      </c:lineChart>
      <c:catAx>
        <c:axId val="388950272"/>
        <c:scaling>
          <c:orientation val="minMax"/>
        </c:scaling>
        <c:delete val="0"/>
        <c:axPos val="b"/>
        <c:numFmt formatCode="General" sourceLinked="1"/>
        <c:majorTickMark val="out"/>
        <c:minorTickMark val="none"/>
        <c:tickLblPos val="nextTo"/>
        <c:spPr>
          <a:ln w="9525">
            <a:noFill/>
          </a:ln>
        </c:spPr>
        <c:txPr>
          <a:bodyPr rot="0" vert="horz"/>
          <a:lstStyle/>
          <a:p>
            <a:pPr>
              <a:defRPr sz="800" b="0" i="0" u="none" strike="noStrike" baseline="0">
                <a:solidFill>
                  <a:srgbClr val="000000"/>
                </a:solidFill>
                <a:latin typeface="Arial"/>
                <a:ea typeface="Arial"/>
                <a:cs typeface="Arial"/>
              </a:defRPr>
            </a:pPr>
            <a:endParaRPr lang="fr-FR"/>
          </a:p>
        </c:txPr>
        <c:crossAx val="388825088"/>
        <c:crosses val="autoZero"/>
        <c:auto val="1"/>
        <c:lblAlgn val="ctr"/>
        <c:lblOffset val="100"/>
        <c:tickLblSkip val="1"/>
        <c:tickMarkSkip val="1"/>
        <c:noMultiLvlLbl val="0"/>
      </c:catAx>
      <c:valAx>
        <c:axId val="388825088"/>
        <c:scaling>
          <c:orientation val="minMax"/>
          <c:max val="320"/>
          <c:min val="220"/>
        </c:scaling>
        <c:delete val="0"/>
        <c:axPos val="l"/>
        <c:numFmt formatCode="#,##0" sourceLinked="0"/>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Arial"/>
                <a:ea typeface="Arial"/>
                <a:cs typeface="Arial"/>
              </a:defRPr>
            </a:pPr>
            <a:endParaRPr lang="fr-FR"/>
          </a:p>
        </c:txPr>
        <c:crossAx val="388950272"/>
        <c:crosses val="autoZero"/>
        <c:crossBetween val="between"/>
      </c:valAx>
      <c:catAx>
        <c:axId val="388826624"/>
        <c:scaling>
          <c:orientation val="minMax"/>
        </c:scaling>
        <c:delete val="1"/>
        <c:axPos val="b"/>
        <c:numFmt formatCode="General" sourceLinked="1"/>
        <c:majorTickMark val="out"/>
        <c:minorTickMark val="none"/>
        <c:tickLblPos val="nextTo"/>
        <c:crossAx val="388828160"/>
        <c:crosses val="autoZero"/>
        <c:auto val="1"/>
        <c:lblAlgn val="ctr"/>
        <c:lblOffset val="100"/>
        <c:noMultiLvlLbl val="0"/>
      </c:catAx>
      <c:valAx>
        <c:axId val="388828160"/>
        <c:scaling>
          <c:orientation val="minMax"/>
          <c:max val="0.6"/>
          <c:min val="-0.1"/>
        </c:scaling>
        <c:delete val="0"/>
        <c:axPos val="r"/>
        <c:numFmt formatCode="0.0%" sourceLinked="1"/>
        <c:majorTickMark val="none"/>
        <c:minorTickMark val="none"/>
        <c:tickLblPos val="none"/>
        <c:spPr>
          <a:ln w="9525">
            <a:noFill/>
          </a:ln>
        </c:spPr>
        <c:crossAx val="388826624"/>
        <c:crosses val="max"/>
        <c:crossBetween val="between"/>
        <c:majorUnit val="0.1"/>
      </c:valAx>
      <c:spPr>
        <a:solidFill>
          <a:srgbClr val="FFFFFF"/>
        </a:solidFill>
        <a:ln w="25400">
          <a:noFill/>
        </a:ln>
      </c:spPr>
    </c:plotArea>
    <c:legend>
      <c:legendPos val="t"/>
      <c:legendEntry>
        <c:idx val="2"/>
        <c:delete val="1"/>
      </c:legendEntry>
      <c:legendEntry>
        <c:idx val="3"/>
        <c:delete val="1"/>
      </c:legendEntry>
      <c:layout>
        <c:manualLayout>
          <c:xMode val="edge"/>
          <c:yMode val="edge"/>
          <c:x val="0.42187572907553217"/>
          <c:y val="0.11349693251533742"/>
          <c:w val="0.20312536453776608"/>
          <c:h val="6.4417177914110432E-2"/>
        </c:manualLayout>
      </c:layout>
      <c:overlay val="0"/>
      <c:spPr>
        <a:solidFill>
          <a:srgbClr val="FFFFFF"/>
        </a:solidFill>
        <a:ln w="25400">
          <a:noFill/>
        </a:ln>
      </c:spPr>
      <c:txPr>
        <a:bodyPr/>
        <a:lstStyle/>
        <a:p>
          <a:pPr>
            <a:defRPr sz="575" b="0" i="0" u="none" strike="noStrike" baseline="0">
              <a:solidFill>
                <a:srgbClr val="000000"/>
              </a:solidFill>
              <a:latin typeface="Arial"/>
              <a:ea typeface="Arial"/>
              <a:cs typeface="Arial"/>
            </a:defRPr>
          </a:pPr>
          <a:endParaRPr lang="fr-FR"/>
        </a:p>
      </c:txPr>
    </c:legend>
    <c:plotVisOnly val="1"/>
    <c:dispBlanksAs val="gap"/>
    <c:showDLblsOverMax val="0"/>
  </c:chart>
  <c:spPr>
    <a:solidFill>
      <a:srgbClr val="FFFFFF"/>
    </a:solidFill>
    <a:ln w="9525">
      <a:noFill/>
    </a:ln>
  </c:spPr>
  <c:txPr>
    <a:bodyPr/>
    <a:lstStyle/>
    <a:p>
      <a:pPr>
        <a:defRPr sz="900" b="0" i="0" u="none" strike="noStrike" baseline="0">
          <a:solidFill>
            <a:srgbClr val="000000"/>
          </a:solidFill>
          <a:latin typeface="Arial"/>
          <a:ea typeface="Arial"/>
          <a:cs typeface="Arial"/>
        </a:defRPr>
      </a:pPr>
      <a:endParaRPr lang="fr-FR"/>
    </a:p>
  </c:txPr>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6.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7.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8.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9.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0.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D2E3765-25B6-48F8-B902-5C026C284173}"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615A8A4C-3386-41CB-B004-75AA2E0C8E7E}">
      <dgm:prSet phldrT="[Text]" custT="1"/>
      <dgm:spPr>
        <a:xfrm>
          <a:off x="2435300" y="805713"/>
          <a:ext cx="1030037" cy="479432"/>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gm:spPr>
      <dgm:t>
        <a:bodyPr/>
        <a:lstStyle/>
        <a:p>
          <a:r>
            <a:rPr lang="en-US"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 </a:t>
          </a:r>
        </a:p>
      </dgm:t>
    </dgm:pt>
    <dgm:pt modelId="{E2BD043E-B694-4760-8FC3-4BE59593050C}" type="parTrans" cxnId="{E55333C4-687C-4186-B8C3-1AC5CE56517A}">
      <dgm:prSet/>
      <dgm:spPr/>
      <dgm:t>
        <a:bodyPr/>
        <a:lstStyle/>
        <a:p>
          <a:endParaRPr lang="en-US"/>
        </a:p>
      </dgm:t>
    </dgm:pt>
    <dgm:pt modelId="{A7B35DF3-2893-4CFA-8C75-4D2DB5615E44}" type="sibTrans" cxnId="{E55333C4-687C-4186-B8C3-1AC5CE56517A}">
      <dgm:prSet/>
      <dgm:spPr/>
      <dgm:t>
        <a:bodyPr/>
        <a:lstStyle/>
        <a:p>
          <a:endParaRPr lang="en-US"/>
        </a:p>
      </dgm:t>
    </dgm:pt>
    <dgm:pt modelId="{C1693A50-4E68-4912-9A70-0C97C87B3D7E}">
      <dgm:prSet phldrT="[Text]" custT="1"/>
      <dgm:spPr>
        <a:xfrm>
          <a:off x="2492451" y="-9592"/>
          <a:ext cx="915735" cy="479432"/>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5</a:t>
          </a: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Système du PCT </a:t>
          </a:r>
        </a:p>
      </dgm:t>
    </dgm:pt>
    <dgm:pt modelId="{CF74A6F9-BA34-45B8-91B4-D30611FDBA60}" type="parTrans" cxnId="{9A60E343-BDF2-491A-A7D5-5299DFF2BE0A}">
      <dgm:prSet/>
      <dgm:spPr>
        <a:xfrm rot="16200000">
          <a:off x="2782382" y="630516"/>
          <a:ext cx="335872" cy="14519"/>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4B485C48-2801-485C-A89E-B43F912DB680}" type="sibTrans" cxnId="{9A60E343-BDF2-491A-A7D5-5299DFF2BE0A}">
      <dgm:prSet/>
      <dgm:spPr/>
      <dgm:t>
        <a:bodyPr/>
        <a:lstStyle/>
        <a:p>
          <a:endParaRPr lang="en-US"/>
        </a:p>
      </dgm:t>
    </dgm:pt>
    <dgm:pt modelId="{FB911F09-22D9-48A7-A087-AEF5110B6682}">
      <dgm:prSet phldrT="[Text]" custT="1"/>
      <dgm:spPr>
        <a:xfrm>
          <a:off x="3343565" y="308015"/>
          <a:ext cx="896241" cy="498389"/>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8 </a:t>
          </a:r>
        </a:p>
        <a:p>
          <a:r>
            <a:rPr lang="fr-FR"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Coordination du Plan d’action pour le développement</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0E1FEA62-81EE-4117-997B-69ED8651A7D0}" type="parTrans" cxnId="{1763FEA0-AAF8-4DB3-8B21-253B8F239228}">
      <dgm:prSet/>
      <dgm:spPr>
        <a:xfrm rot="19792485">
          <a:off x="3256246" y="790522"/>
          <a:ext cx="241706" cy="14519"/>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98ACE05E-CC42-4FE0-BC36-110025A6B590}" type="sibTrans" cxnId="{1763FEA0-AAF8-4DB3-8B21-253B8F239228}">
      <dgm:prSet/>
      <dgm:spPr/>
      <dgm:t>
        <a:bodyPr/>
        <a:lstStyle/>
        <a:p>
          <a:endParaRPr lang="en-US"/>
        </a:p>
      </dgm:t>
    </dgm:pt>
    <dgm:pt modelId="{447D5D1D-0860-4B1B-A10A-5D7EC9B637D8}">
      <dgm:prSet phldrT="[Text]" custT="1"/>
      <dgm:spPr>
        <a:xfrm>
          <a:off x="4465461" y="776964"/>
          <a:ext cx="1136236" cy="536945"/>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9</a:t>
          </a: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Bureaux régionaux</a:t>
          </a:r>
        </a:p>
      </dgm:t>
    </dgm:pt>
    <dgm:pt modelId="{069AD1A8-1718-4E51-AEE7-85B69D54F950}" type="parTrans" cxnId="{4B8455E7-4B99-4C1B-A85F-368F4A08E0BE}">
      <dgm:prSet/>
      <dgm:spPr>
        <a:xfrm rot="13">
          <a:off x="3465337" y="1038173"/>
          <a:ext cx="1000123" cy="14519"/>
        </a:xfrm>
      </dgm:spPr>
      <dgm:t>
        <a:bodyPr/>
        <a:lstStyle/>
        <a:p>
          <a:endParaRPr lang="en-US"/>
        </a:p>
      </dgm:t>
    </dgm:pt>
    <dgm:pt modelId="{855AF909-31D3-4065-ABB3-82005C9FEF4C}" type="sibTrans" cxnId="{4B8455E7-4B99-4C1B-A85F-368F4A08E0BE}">
      <dgm:prSet/>
      <dgm:spPr/>
      <dgm:t>
        <a:bodyPr/>
        <a:lstStyle/>
        <a:p>
          <a:endParaRPr lang="en-US"/>
        </a:p>
      </dgm:t>
    </dgm:pt>
    <dgm:pt modelId="{DAF30ECC-CB4B-483A-93C7-47A100649D5D}">
      <dgm:prSet phldrT="[Text]" custT="1"/>
      <dgm:spPr>
        <a:xfrm>
          <a:off x="3437543" y="1288304"/>
          <a:ext cx="1045407" cy="490689"/>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10</a:t>
          </a:r>
        </a:p>
        <a:p>
          <a:r>
            <a:rPr lang="fr-FR"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Pays </a:t>
          </a:r>
          <a:r>
            <a:rPr lang="fr-CH"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en transition et pays développés</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F0719816-4AC2-4964-8797-61135BEDA83D}" type="parTrans" cxnId="{4E68C5E6-4E50-45B6-9E23-A7A97C86ED5E}">
      <dgm:prSet/>
      <dgm:spPr>
        <a:xfrm rot="1548005">
          <a:off x="3291555" y="1280610"/>
          <a:ext cx="320548" cy="14519"/>
        </a:xfrm>
      </dgm:spPr>
      <dgm:t>
        <a:bodyPr/>
        <a:lstStyle/>
        <a:p>
          <a:endParaRPr lang="en-US"/>
        </a:p>
      </dgm:t>
    </dgm:pt>
    <dgm:pt modelId="{939B8447-5FC4-4D01-8936-0F63CFB1E3F9}" type="sibTrans" cxnId="{4E68C5E6-4E50-45B6-9E23-A7A97C86ED5E}">
      <dgm:prSet/>
      <dgm:spPr/>
      <dgm:t>
        <a:bodyPr/>
        <a:lstStyle/>
        <a:p>
          <a:endParaRPr lang="en-US"/>
        </a:p>
      </dgm:t>
    </dgm:pt>
    <dgm:pt modelId="{17173E60-1AB7-4219-9E5D-2EB707D4762A}">
      <dgm:prSet phldrT="[Text]" custT="1"/>
      <dgm:spPr>
        <a:xfrm>
          <a:off x="1493142" y="284089"/>
          <a:ext cx="1103188" cy="562297"/>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20 </a:t>
          </a: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Relations extérieures</a:t>
          </a:r>
        </a:p>
      </dgm:t>
    </dgm:pt>
    <dgm:pt modelId="{6FBFA200-28B9-441C-9603-B958FB3D45CE}" type="parTrans" cxnId="{427458F4-2128-4535-BC60-2C807BAEAB78}">
      <dgm:prSet/>
      <dgm:spPr>
        <a:xfrm rot="12476106">
          <a:off x="2414883" y="809342"/>
          <a:ext cx="207789" cy="14519"/>
        </a:xfrm>
      </dgm:spPr>
      <dgm:t>
        <a:bodyPr/>
        <a:lstStyle/>
        <a:p>
          <a:endParaRPr lang="en-US"/>
        </a:p>
      </dgm:t>
    </dgm:pt>
    <dgm:pt modelId="{4E9757A6-6A62-4D49-A0CB-E147D06AE7B1}" type="sibTrans" cxnId="{427458F4-2128-4535-BC60-2C807BAEAB78}">
      <dgm:prSet/>
      <dgm:spPr/>
      <dgm:t>
        <a:bodyPr/>
        <a:lstStyle/>
        <a:p>
          <a:endParaRPr lang="en-US"/>
        </a:p>
      </dgm:t>
    </dgm:pt>
    <dgm:pt modelId="{06E8F230-0A46-4973-959C-5518A0F634E1}">
      <dgm:prSet phldrT="[Text]" custT="1"/>
      <dgm:spPr>
        <a:xfrm>
          <a:off x="2424012" y="1586590"/>
          <a:ext cx="1052613" cy="548288"/>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11</a:t>
          </a:r>
        </a:p>
        <a:p>
          <a:r>
            <a:rPr lang="fr-FR"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Académie de l’OMPI</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4DA931F6-88AF-4B28-AA68-7BB47161ABA9}" type="parTrans" cxnId="{070AEFE9-55EF-4F5A-B707-AF0518F7B8C6}">
      <dgm:prSet/>
      <dgm:spPr>
        <a:xfrm rot="5400000">
          <a:off x="2799596" y="1428608"/>
          <a:ext cx="301444" cy="14519"/>
        </a:xfrm>
      </dgm:spPr>
      <dgm:t>
        <a:bodyPr/>
        <a:lstStyle/>
        <a:p>
          <a:endParaRPr lang="en-US"/>
        </a:p>
      </dgm:t>
    </dgm:pt>
    <dgm:pt modelId="{05D557FB-EE62-41BD-A184-12A99A228BF1}" type="sibTrans" cxnId="{070AEFE9-55EF-4F5A-B707-AF0518F7B8C6}">
      <dgm:prSet/>
      <dgm:spPr/>
      <dgm:t>
        <a:bodyPr/>
        <a:lstStyle/>
        <a:p>
          <a:endParaRPr lang="en-US"/>
        </a:p>
      </dgm:t>
    </dgm:pt>
    <dgm:pt modelId="{CFBCC7A9-248E-440C-A926-28CC42C6B860}">
      <dgm:prSet phldrT="[Text]" custT="1"/>
      <dgm:spPr>
        <a:xfrm>
          <a:off x="1314449" y="1209674"/>
          <a:ext cx="1139903" cy="583738"/>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16</a:t>
          </a: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Économie et statistiques</a:t>
          </a:r>
        </a:p>
      </dgm:t>
    </dgm:pt>
    <dgm:pt modelId="{FEDE4186-485A-46BD-B210-B0BD4480CB16}" type="parTrans" cxnId="{1AA9EDCB-7AF6-406C-9BE6-B90918B1AE07}">
      <dgm:prSet/>
      <dgm:spPr>
        <a:xfrm rot="9410013">
          <a:off x="2310824" y="1253771"/>
          <a:ext cx="271289" cy="14519"/>
        </a:xfrm>
      </dgm:spPr>
      <dgm:t>
        <a:bodyPr/>
        <a:lstStyle/>
        <a:p>
          <a:endParaRPr lang="en-US"/>
        </a:p>
      </dgm:t>
    </dgm:pt>
    <dgm:pt modelId="{85FBEBF4-A458-477D-AE50-1E5F0800CC74}" type="sibTrans" cxnId="{1AA9EDCB-7AF6-406C-9BE6-B90918B1AE07}">
      <dgm:prSet/>
      <dgm:spPr/>
      <dgm:t>
        <a:bodyPr/>
        <a:lstStyle/>
        <a:p>
          <a:endParaRPr lang="en-US"/>
        </a:p>
      </dgm:t>
    </dgm:pt>
    <dgm:pt modelId="{C8838BF5-4657-4DB6-B70A-DBA4AB5B97EE}">
      <dgm:prSet phldrT="[Text]" custT="1"/>
      <dgm:spPr>
        <a:xfrm>
          <a:off x="300990" y="811288"/>
          <a:ext cx="1050312" cy="468281"/>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18</a:t>
          </a: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Propriété intellectuelle et défis mondiaux</a:t>
          </a:r>
        </a:p>
      </dgm:t>
    </dgm:pt>
    <dgm:pt modelId="{BD2843B5-7E3E-4680-8A25-01BA23D8CE69}" type="parTrans" cxnId="{64EB48A2-0615-4134-85EB-A4DAE785AB7D}">
      <dgm:prSet/>
      <dgm:spPr>
        <a:xfrm rot="10800000">
          <a:off x="1351302" y="1038169"/>
          <a:ext cx="1083997" cy="14519"/>
        </a:xfrm>
      </dgm:spPr>
      <dgm:t>
        <a:bodyPr/>
        <a:lstStyle/>
        <a:p>
          <a:endParaRPr lang="en-US"/>
        </a:p>
      </dgm:t>
    </dgm:pt>
    <dgm:pt modelId="{899C251D-3EE6-4D89-8EC9-77FF6FC72E05}" type="sibTrans" cxnId="{64EB48A2-0615-4134-85EB-A4DAE785AB7D}">
      <dgm:prSet/>
      <dgm:spPr/>
      <dgm:t>
        <a:bodyPr/>
        <a:lstStyle/>
        <a:p>
          <a:endParaRPr lang="en-US"/>
        </a:p>
      </dgm:t>
    </dgm:pt>
    <dgm:pt modelId="{4B42C994-9F34-48FA-B0E9-245578FAC1C6}" type="pres">
      <dgm:prSet presAssocID="{DD2E3765-25B6-48F8-B902-5C026C284173}" presName="cycle" presStyleCnt="0">
        <dgm:presLayoutVars>
          <dgm:chMax val="1"/>
          <dgm:dir/>
          <dgm:animLvl val="ctr"/>
          <dgm:resizeHandles val="exact"/>
        </dgm:presLayoutVars>
      </dgm:prSet>
      <dgm:spPr/>
      <dgm:t>
        <a:bodyPr/>
        <a:lstStyle/>
        <a:p>
          <a:endParaRPr lang="en-US"/>
        </a:p>
      </dgm:t>
    </dgm:pt>
    <dgm:pt modelId="{262D173F-A40A-406A-BA41-067F590F5B00}" type="pres">
      <dgm:prSet presAssocID="{615A8A4C-3386-41CB-B004-75AA2E0C8E7E}" presName="centerShape" presStyleLbl="node0" presStyleIdx="0" presStyleCnt="1" custScaleX="285360" custScaleY="98779"/>
      <dgm:spPr>
        <a:prstGeom prst="ellipse">
          <a:avLst/>
        </a:prstGeom>
      </dgm:spPr>
      <dgm:t>
        <a:bodyPr/>
        <a:lstStyle/>
        <a:p>
          <a:endParaRPr lang="en-US"/>
        </a:p>
      </dgm:t>
    </dgm:pt>
    <dgm:pt modelId="{2E00D982-49D5-455F-888E-68E4C81A2365}" type="pres">
      <dgm:prSet presAssocID="{CF74A6F9-BA34-45B8-91B4-D30611FDBA60}" presName="Name9" presStyleLbl="parChTrans1D2" presStyleIdx="0" presStyleCnt="8"/>
      <dgm:spPr>
        <a:custGeom>
          <a:avLst/>
          <a:gdLst/>
          <a:ahLst/>
          <a:cxnLst/>
          <a:rect l="0" t="0" r="0" b="0"/>
          <a:pathLst>
            <a:path>
              <a:moveTo>
                <a:pt x="0" y="7259"/>
              </a:moveTo>
              <a:lnTo>
                <a:pt x="355250" y="7259"/>
              </a:lnTo>
            </a:path>
          </a:pathLst>
        </a:custGeom>
      </dgm:spPr>
      <dgm:t>
        <a:bodyPr/>
        <a:lstStyle/>
        <a:p>
          <a:endParaRPr lang="en-US"/>
        </a:p>
      </dgm:t>
    </dgm:pt>
    <dgm:pt modelId="{B7B7A49F-5E78-4AC5-B18E-2DC80AECCF08}" type="pres">
      <dgm:prSet presAssocID="{CF74A6F9-BA34-45B8-91B4-D30611FDBA60}" presName="connTx" presStyleLbl="parChTrans1D2" presStyleIdx="0" presStyleCnt="8"/>
      <dgm:spPr/>
      <dgm:t>
        <a:bodyPr/>
        <a:lstStyle/>
        <a:p>
          <a:endParaRPr lang="en-US"/>
        </a:p>
      </dgm:t>
    </dgm:pt>
    <dgm:pt modelId="{44473C27-A9A3-4167-AEAF-A01C156E33F0}" type="pres">
      <dgm:prSet presAssocID="{C1693A50-4E68-4912-9A70-0C97C87B3D7E}" presName="node" presStyleLbl="node1" presStyleIdx="0" presStyleCnt="8" custScaleX="209114" custRadScaleRad="87739" custRadScaleInc="22503">
        <dgm:presLayoutVars>
          <dgm:bulletEnabled val="1"/>
        </dgm:presLayoutVars>
      </dgm:prSet>
      <dgm:spPr>
        <a:prstGeom prst="ellipse">
          <a:avLst/>
        </a:prstGeom>
      </dgm:spPr>
      <dgm:t>
        <a:bodyPr/>
        <a:lstStyle/>
        <a:p>
          <a:endParaRPr lang="en-US"/>
        </a:p>
      </dgm:t>
    </dgm:pt>
    <dgm:pt modelId="{3FE6E2C5-0D84-4EA6-8A7C-D44D396A169E}" type="pres">
      <dgm:prSet presAssocID="{0E1FEA62-81EE-4117-997B-69ED8651A7D0}" presName="Name9" presStyleLbl="parChTrans1D2" presStyleIdx="1" presStyleCnt="8"/>
      <dgm:spPr>
        <a:custGeom>
          <a:avLst/>
          <a:gdLst/>
          <a:ahLst/>
          <a:cxnLst/>
          <a:rect l="0" t="0" r="0" b="0"/>
          <a:pathLst>
            <a:path>
              <a:moveTo>
                <a:pt x="0" y="7259"/>
              </a:moveTo>
              <a:lnTo>
                <a:pt x="255651" y="7259"/>
              </a:lnTo>
            </a:path>
          </a:pathLst>
        </a:custGeom>
      </dgm:spPr>
      <dgm:t>
        <a:bodyPr/>
        <a:lstStyle/>
        <a:p>
          <a:endParaRPr lang="en-US"/>
        </a:p>
      </dgm:t>
    </dgm:pt>
    <dgm:pt modelId="{C8361934-9E8A-4B07-8048-7D48F9D9FCA9}" type="pres">
      <dgm:prSet presAssocID="{0E1FEA62-81EE-4117-997B-69ED8651A7D0}" presName="connTx" presStyleLbl="parChTrans1D2" presStyleIdx="1" presStyleCnt="8"/>
      <dgm:spPr/>
      <dgm:t>
        <a:bodyPr/>
        <a:lstStyle/>
        <a:p>
          <a:endParaRPr lang="en-US"/>
        </a:p>
      </dgm:t>
    </dgm:pt>
    <dgm:pt modelId="{5F1C34CD-B8DF-45F7-A431-2126D61FFACC}" type="pres">
      <dgm:prSet presAssocID="{FB911F09-22D9-48A7-A087-AEF5110B6682}" presName="node" presStyleLbl="node1" presStyleIdx="1" presStyleCnt="8" custScaleX="217508" custScaleY="98427" custRadScaleRad="142640" custRadScaleInc="108574">
        <dgm:presLayoutVars>
          <dgm:bulletEnabled val="1"/>
        </dgm:presLayoutVars>
      </dgm:prSet>
      <dgm:spPr>
        <a:prstGeom prst="ellipse">
          <a:avLst/>
        </a:prstGeom>
      </dgm:spPr>
      <dgm:t>
        <a:bodyPr/>
        <a:lstStyle/>
        <a:p>
          <a:endParaRPr lang="en-US"/>
        </a:p>
      </dgm:t>
    </dgm:pt>
    <dgm:pt modelId="{93B3BE9E-D237-4DD9-937C-973455BC3658}" type="pres">
      <dgm:prSet presAssocID="{069AD1A8-1718-4E51-AEE7-85B69D54F950}" presName="Name9" presStyleLbl="parChTrans1D2" presStyleIdx="2" presStyleCnt="8"/>
      <dgm:spPr/>
      <dgm:t>
        <a:bodyPr/>
        <a:lstStyle/>
        <a:p>
          <a:endParaRPr lang="en-US"/>
        </a:p>
      </dgm:t>
    </dgm:pt>
    <dgm:pt modelId="{E7C370CD-4B70-470B-B819-7260C176B479}" type="pres">
      <dgm:prSet presAssocID="{069AD1A8-1718-4E51-AEE7-85B69D54F950}" presName="connTx" presStyleLbl="parChTrans1D2" presStyleIdx="2" presStyleCnt="8"/>
      <dgm:spPr/>
      <dgm:t>
        <a:bodyPr/>
        <a:lstStyle/>
        <a:p>
          <a:endParaRPr lang="en-US"/>
        </a:p>
      </dgm:t>
    </dgm:pt>
    <dgm:pt modelId="{3A26272E-8DBD-422F-ABA2-A3DA0C9B3C69}" type="pres">
      <dgm:prSet presAssocID="{447D5D1D-0860-4B1B-A10A-5D7EC9B637D8}" presName="node" presStyleLbl="node1" presStyleIdx="2" presStyleCnt="8" custScaleX="208334" custScaleY="71457" custRadScaleRad="212170" custRadScaleInc="16276">
        <dgm:presLayoutVars>
          <dgm:bulletEnabled val="1"/>
        </dgm:presLayoutVars>
      </dgm:prSet>
      <dgm:spPr>
        <a:prstGeom prst="ellipse">
          <a:avLst/>
        </a:prstGeom>
      </dgm:spPr>
      <dgm:t>
        <a:bodyPr/>
        <a:lstStyle/>
        <a:p>
          <a:endParaRPr lang="en-US"/>
        </a:p>
      </dgm:t>
    </dgm:pt>
    <dgm:pt modelId="{7F30A5E4-3531-49F3-AC3C-8F1D2236451A}" type="pres">
      <dgm:prSet presAssocID="{F0719816-4AC2-4964-8797-61135BEDA83D}" presName="Name9" presStyleLbl="parChTrans1D2" presStyleIdx="3" presStyleCnt="8"/>
      <dgm:spPr/>
      <dgm:t>
        <a:bodyPr/>
        <a:lstStyle/>
        <a:p>
          <a:endParaRPr lang="en-US"/>
        </a:p>
      </dgm:t>
    </dgm:pt>
    <dgm:pt modelId="{93F2ABB5-3A44-45ED-A792-C294D6962C8F}" type="pres">
      <dgm:prSet presAssocID="{F0719816-4AC2-4964-8797-61135BEDA83D}" presName="connTx" presStyleLbl="parChTrans1D2" presStyleIdx="3" presStyleCnt="8"/>
      <dgm:spPr/>
      <dgm:t>
        <a:bodyPr/>
        <a:lstStyle/>
        <a:p>
          <a:endParaRPr lang="en-US"/>
        </a:p>
      </dgm:t>
    </dgm:pt>
    <dgm:pt modelId="{E01DCF12-19AC-4734-9210-5F881573D3F5}" type="pres">
      <dgm:prSet presAssocID="{DAF30ECC-CB4B-483A-93C7-47A100649D5D}" presName="node" presStyleLbl="node1" presStyleIdx="3" presStyleCnt="8" custScaleX="208286" custScaleY="96418" custRadScaleRad="145170" custRadScaleInc="-55445">
        <dgm:presLayoutVars>
          <dgm:bulletEnabled val="1"/>
        </dgm:presLayoutVars>
      </dgm:prSet>
      <dgm:spPr>
        <a:prstGeom prst="ellipse">
          <a:avLst/>
        </a:prstGeom>
      </dgm:spPr>
      <dgm:t>
        <a:bodyPr/>
        <a:lstStyle/>
        <a:p>
          <a:endParaRPr lang="en-US"/>
        </a:p>
      </dgm:t>
    </dgm:pt>
    <dgm:pt modelId="{9350C245-A165-4791-BD7A-BFCED0BB0361}" type="pres">
      <dgm:prSet presAssocID="{4DA931F6-88AF-4B28-AA68-7BB47161ABA9}" presName="Name9" presStyleLbl="parChTrans1D2" presStyleIdx="4" presStyleCnt="8"/>
      <dgm:spPr/>
      <dgm:t>
        <a:bodyPr/>
        <a:lstStyle/>
        <a:p>
          <a:endParaRPr lang="en-US"/>
        </a:p>
      </dgm:t>
    </dgm:pt>
    <dgm:pt modelId="{E19A1787-F640-4D8D-A88F-51D710E321CA}" type="pres">
      <dgm:prSet presAssocID="{4DA931F6-88AF-4B28-AA68-7BB47161ABA9}" presName="connTx" presStyleLbl="parChTrans1D2" presStyleIdx="4" presStyleCnt="8"/>
      <dgm:spPr/>
      <dgm:t>
        <a:bodyPr/>
        <a:lstStyle/>
        <a:p>
          <a:endParaRPr lang="en-US"/>
        </a:p>
      </dgm:t>
    </dgm:pt>
    <dgm:pt modelId="{C7416AF2-49A6-451C-80C3-A5143C86D045}" type="pres">
      <dgm:prSet presAssocID="{06E8F230-0A46-4973-959C-5518A0F634E1}" presName="node" presStyleLbl="node1" presStyleIdx="4" presStyleCnt="8" custScaleX="195344" custScaleY="87397" custRadScaleRad="94594" custRadScaleInc="29515">
        <dgm:presLayoutVars>
          <dgm:bulletEnabled val="1"/>
        </dgm:presLayoutVars>
      </dgm:prSet>
      <dgm:spPr>
        <a:prstGeom prst="ellipse">
          <a:avLst/>
        </a:prstGeom>
      </dgm:spPr>
      <dgm:t>
        <a:bodyPr/>
        <a:lstStyle/>
        <a:p>
          <a:endParaRPr lang="en-US"/>
        </a:p>
      </dgm:t>
    </dgm:pt>
    <dgm:pt modelId="{2A6DC4FF-B426-4171-A201-27B83DA94370}" type="pres">
      <dgm:prSet presAssocID="{FEDE4186-485A-46BD-B210-B0BD4480CB16}" presName="Name9" presStyleLbl="parChTrans1D2" presStyleIdx="5" presStyleCnt="8"/>
      <dgm:spPr/>
      <dgm:t>
        <a:bodyPr/>
        <a:lstStyle/>
        <a:p>
          <a:endParaRPr lang="en-US"/>
        </a:p>
      </dgm:t>
    </dgm:pt>
    <dgm:pt modelId="{CB1335D7-B771-475A-BE82-89C2F00DAF8B}" type="pres">
      <dgm:prSet presAssocID="{FEDE4186-485A-46BD-B210-B0BD4480CB16}" presName="connTx" presStyleLbl="parChTrans1D2" presStyleIdx="5" presStyleCnt="8"/>
      <dgm:spPr/>
      <dgm:t>
        <a:bodyPr/>
        <a:lstStyle/>
        <a:p>
          <a:endParaRPr lang="en-US"/>
        </a:p>
      </dgm:t>
    </dgm:pt>
    <dgm:pt modelId="{353BAFE4-0977-4589-9534-7471241857D7}" type="pres">
      <dgm:prSet presAssocID="{CFBCC7A9-248E-440C-A926-28CC42C6B860}" presName="node" presStyleLbl="node1" presStyleIdx="5" presStyleCnt="8" custScaleX="195139" custScaleY="85981" custRadScaleRad="154077" custRadScaleInc="76041">
        <dgm:presLayoutVars>
          <dgm:bulletEnabled val="1"/>
        </dgm:presLayoutVars>
      </dgm:prSet>
      <dgm:spPr>
        <a:prstGeom prst="ellipse">
          <a:avLst/>
        </a:prstGeom>
      </dgm:spPr>
      <dgm:t>
        <a:bodyPr/>
        <a:lstStyle/>
        <a:p>
          <a:endParaRPr lang="en-US"/>
        </a:p>
      </dgm:t>
    </dgm:pt>
    <dgm:pt modelId="{D3C62D02-BD66-40AA-8598-E6F03FA4330E}" type="pres">
      <dgm:prSet presAssocID="{BD2843B5-7E3E-4680-8A25-01BA23D8CE69}" presName="Name9" presStyleLbl="parChTrans1D2" presStyleIdx="6" presStyleCnt="8"/>
      <dgm:spPr/>
      <dgm:t>
        <a:bodyPr/>
        <a:lstStyle/>
        <a:p>
          <a:endParaRPr lang="en-US"/>
        </a:p>
      </dgm:t>
    </dgm:pt>
    <dgm:pt modelId="{37A775CB-7592-434E-A233-9CA00876798D}" type="pres">
      <dgm:prSet presAssocID="{BD2843B5-7E3E-4680-8A25-01BA23D8CE69}" presName="connTx" presStyleLbl="parChTrans1D2" presStyleIdx="6" presStyleCnt="8"/>
      <dgm:spPr/>
      <dgm:t>
        <a:bodyPr/>
        <a:lstStyle/>
        <a:p>
          <a:endParaRPr lang="en-US"/>
        </a:p>
      </dgm:t>
    </dgm:pt>
    <dgm:pt modelId="{694C81C6-3E54-45BC-9ED9-5944CBD672A7}" type="pres">
      <dgm:prSet presAssocID="{C8838BF5-4657-4DB6-B70A-DBA4AB5B97EE}" presName="node" presStyleLbl="node1" presStyleIdx="6" presStyleCnt="8" custScaleX="219074" custScaleY="95793" custRadScaleRad="260537">
        <dgm:presLayoutVars>
          <dgm:bulletEnabled val="1"/>
        </dgm:presLayoutVars>
      </dgm:prSet>
      <dgm:spPr>
        <a:prstGeom prst="ellipse">
          <a:avLst/>
        </a:prstGeom>
      </dgm:spPr>
      <dgm:t>
        <a:bodyPr/>
        <a:lstStyle/>
        <a:p>
          <a:endParaRPr lang="en-US"/>
        </a:p>
      </dgm:t>
    </dgm:pt>
    <dgm:pt modelId="{98E66AFE-BCED-48F2-B78A-230BF42B9FFC}" type="pres">
      <dgm:prSet presAssocID="{6FBFA200-28B9-441C-9603-B958FB3D45CE}" presName="Name9" presStyleLbl="parChTrans1D2" presStyleIdx="7" presStyleCnt="8"/>
      <dgm:spPr/>
      <dgm:t>
        <a:bodyPr/>
        <a:lstStyle/>
        <a:p>
          <a:endParaRPr lang="en-US"/>
        </a:p>
      </dgm:t>
    </dgm:pt>
    <dgm:pt modelId="{7244ABB3-7BCC-4145-8C19-8C33F0A4C35F}" type="pres">
      <dgm:prSet presAssocID="{6FBFA200-28B9-441C-9603-B958FB3D45CE}" presName="connTx" presStyleLbl="parChTrans1D2" presStyleIdx="7" presStyleCnt="8"/>
      <dgm:spPr/>
      <dgm:t>
        <a:bodyPr/>
        <a:lstStyle/>
        <a:p>
          <a:endParaRPr lang="en-US"/>
        </a:p>
      </dgm:t>
    </dgm:pt>
    <dgm:pt modelId="{A8CAB3F2-A4A1-434C-9CB4-641DE8526482}" type="pres">
      <dgm:prSet presAssocID="{17173E60-1AB7-4219-9E5D-2EB707D4762A}" presName="node" presStyleLbl="node1" presStyleIdx="7" presStyleCnt="8" custScaleX="212096" custScaleY="94431" custRadScaleRad="139389" custRadScaleInc="-73564">
        <dgm:presLayoutVars>
          <dgm:bulletEnabled val="1"/>
        </dgm:presLayoutVars>
      </dgm:prSet>
      <dgm:spPr>
        <a:prstGeom prst="ellipse">
          <a:avLst/>
        </a:prstGeom>
      </dgm:spPr>
      <dgm:t>
        <a:bodyPr/>
        <a:lstStyle/>
        <a:p>
          <a:endParaRPr lang="en-US"/>
        </a:p>
      </dgm:t>
    </dgm:pt>
  </dgm:ptLst>
  <dgm:cxnLst>
    <dgm:cxn modelId="{CDD8A4DD-610F-43B1-A3EB-1AAD612B04F7}" type="presOf" srcId="{4DA931F6-88AF-4B28-AA68-7BB47161ABA9}" destId="{9350C245-A165-4791-BD7A-BFCED0BB0361}" srcOrd="0" destOrd="0" presId="urn:microsoft.com/office/officeart/2005/8/layout/radial1"/>
    <dgm:cxn modelId="{1763FEA0-AAF8-4DB3-8B21-253B8F239228}" srcId="{615A8A4C-3386-41CB-B004-75AA2E0C8E7E}" destId="{FB911F09-22D9-48A7-A087-AEF5110B6682}" srcOrd="1" destOrd="0" parTransId="{0E1FEA62-81EE-4117-997B-69ED8651A7D0}" sibTransId="{98ACE05E-CC42-4FE0-BC36-110025A6B590}"/>
    <dgm:cxn modelId="{041494A5-4CD1-4608-9B77-8942BD358D0F}" type="presOf" srcId="{0E1FEA62-81EE-4117-997B-69ED8651A7D0}" destId="{C8361934-9E8A-4B07-8048-7D48F9D9FCA9}" srcOrd="1" destOrd="0" presId="urn:microsoft.com/office/officeart/2005/8/layout/radial1"/>
    <dgm:cxn modelId="{F098F249-FA8B-4FC3-94E7-7F2C78EF37B4}" type="presOf" srcId="{C1693A50-4E68-4912-9A70-0C97C87B3D7E}" destId="{44473C27-A9A3-4167-AEAF-A01C156E33F0}" srcOrd="0" destOrd="0" presId="urn:microsoft.com/office/officeart/2005/8/layout/radial1"/>
    <dgm:cxn modelId="{EBFC68B3-8945-47F4-B3BC-48BDC6813258}" type="presOf" srcId="{447D5D1D-0860-4B1B-A10A-5D7EC9B637D8}" destId="{3A26272E-8DBD-422F-ABA2-A3DA0C9B3C69}" srcOrd="0" destOrd="0" presId="urn:microsoft.com/office/officeart/2005/8/layout/radial1"/>
    <dgm:cxn modelId="{070AEFE9-55EF-4F5A-B707-AF0518F7B8C6}" srcId="{615A8A4C-3386-41CB-B004-75AA2E0C8E7E}" destId="{06E8F230-0A46-4973-959C-5518A0F634E1}" srcOrd="4" destOrd="0" parTransId="{4DA931F6-88AF-4B28-AA68-7BB47161ABA9}" sibTransId="{05D557FB-EE62-41BD-A184-12A99A228BF1}"/>
    <dgm:cxn modelId="{EC52DF85-F081-4194-9546-FD270CFC2077}" type="presOf" srcId="{06E8F230-0A46-4973-959C-5518A0F634E1}" destId="{C7416AF2-49A6-451C-80C3-A5143C86D045}" srcOrd="0" destOrd="0" presId="urn:microsoft.com/office/officeart/2005/8/layout/radial1"/>
    <dgm:cxn modelId="{480AFA6E-FD4F-46FA-AD44-1EC113FF72D8}" type="presOf" srcId="{069AD1A8-1718-4E51-AEE7-85B69D54F950}" destId="{93B3BE9E-D237-4DD9-937C-973455BC3658}" srcOrd="0" destOrd="0" presId="urn:microsoft.com/office/officeart/2005/8/layout/radial1"/>
    <dgm:cxn modelId="{F223BFEE-0F9F-40A2-B2FF-512D77BEE8D5}" type="presOf" srcId="{FB911F09-22D9-48A7-A087-AEF5110B6682}" destId="{5F1C34CD-B8DF-45F7-A431-2126D61FFACC}" srcOrd="0" destOrd="0" presId="urn:microsoft.com/office/officeart/2005/8/layout/radial1"/>
    <dgm:cxn modelId="{E55333C4-687C-4186-B8C3-1AC5CE56517A}" srcId="{DD2E3765-25B6-48F8-B902-5C026C284173}" destId="{615A8A4C-3386-41CB-B004-75AA2E0C8E7E}" srcOrd="0" destOrd="0" parTransId="{E2BD043E-B694-4760-8FC3-4BE59593050C}" sibTransId="{A7B35DF3-2893-4CFA-8C75-4D2DB5615E44}"/>
    <dgm:cxn modelId="{9A60E343-BDF2-491A-A7D5-5299DFF2BE0A}" srcId="{615A8A4C-3386-41CB-B004-75AA2E0C8E7E}" destId="{C1693A50-4E68-4912-9A70-0C97C87B3D7E}" srcOrd="0" destOrd="0" parTransId="{CF74A6F9-BA34-45B8-91B4-D30611FDBA60}" sibTransId="{4B485C48-2801-485C-A89E-B43F912DB680}"/>
    <dgm:cxn modelId="{BAA06D2C-D70A-4EFB-BDAD-4FB50243C87C}" type="presOf" srcId="{069AD1A8-1718-4E51-AEE7-85B69D54F950}" destId="{E7C370CD-4B70-470B-B819-7260C176B479}" srcOrd="1" destOrd="0" presId="urn:microsoft.com/office/officeart/2005/8/layout/radial1"/>
    <dgm:cxn modelId="{8C9907A6-C217-4C95-9B5D-29F1954151AD}" type="presOf" srcId="{BD2843B5-7E3E-4680-8A25-01BA23D8CE69}" destId="{D3C62D02-BD66-40AA-8598-E6F03FA4330E}" srcOrd="0" destOrd="0" presId="urn:microsoft.com/office/officeart/2005/8/layout/radial1"/>
    <dgm:cxn modelId="{B0DF61F8-6031-44D1-A59F-3D679864AFBF}" type="presOf" srcId="{6FBFA200-28B9-441C-9603-B958FB3D45CE}" destId="{98E66AFE-BCED-48F2-B78A-230BF42B9FFC}" srcOrd="0" destOrd="0" presId="urn:microsoft.com/office/officeart/2005/8/layout/radial1"/>
    <dgm:cxn modelId="{08959ED0-B23C-40FF-BCE3-455416F37637}" type="presOf" srcId="{FEDE4186-485A-46BD-B210-B0BD4480CB16}" destId="{2A6DC4FF-B426-4171-A201-27B83DA94370}" srcOrd="0" destOrd="0" presId="urn:microsoft.com/office/officeart/2005/8/layout/radial1"/>
    <dgm:cxn modelId="{C64EBEA9-B471-4635-8E81-E3476A6D8F5E}" type="presOf" srcId="{CFBCC7A9-248E-440C-A926-28CC42C6B860}" destId="{353BAFE4-0977-4589-9534-7471241857D7}" srcOrd="0" destOrd="0" presId="urn:microsoft.com/office/officeart/2005/8/layout/radial1"/>
    <dgm:cxn modelId="{A69011B2-99EC-4B30-A665-57A80CF36880}" type="presOf" srcId="{0E1FEA62-81EE-4117-997B-69ED8651A7D0}" destId="{3FE6E2C5-0D84-4EA6-8A7C-D44D396A169E}" srcOrd="0" destOrd="0" presId="urn:microsoft.com/office/officeart/2005/8/layout/radial1"/>
    <dgm:cxn modelId="{64EB48A2-0615-4134-85EB-A4DAE785AB7D}" srcId="{615A8A4C-3386-41CB-B004-75AA2E0C8E7E}" destId="{C8838BF5-4657-4DB6-B70A-DBA4AB5B97EE}" srcOrd="6" destOrd="0" parTransId="{BD2843B5-7E3E-4680-8A25-01BA23D8CE69}" sibTransId="{899C251D-3EE6-4D89-8EC9-77FF6FC72E05}"/>
    <dgm:cxn modelId="{427458F4-2128-4535-BC60-2C807BAEAB78}" srcId="{615A8A4C-3386-41CB-B004-75AA2E0C8E7E}" destId="{17173E60-1AB7-4219-9E5D-2EB707D4762A}" srcOrd="7" destOrd="0" parTransId="{6FBFA200-28B9-441C-9603-B958FB3D45CE}" sibTransId="{4E9757A6-6A62-4D49-A0CB-E147D06AE7B1}"/>
    <dgm:cxn modelId="{19D2A36D-3FFB-456A-8A89-4CAA32B29AC5}" type="presOf" srcId="{CF74A6F9-BA34-45B8-91B4-D30611FDBA60}" destId="{2E00D982-49D5-455F-888E-68E4C81A2365}" srcOrd="0" destOrd="0" presId="urn:microsoft.com/office/officeart/2005/8/layout/radial1"/>
    <dgm:cxn modelId="{D2A05271-7E15-406E-88B3-12C28B3FAA56}" type="presOf" srcId="{4DA931F6-88AF-4B28-AA68-7BB47161ABA9}" destId="{E19A1787-F640-4D8D-A88F-51D710E321CA}" srcOrd="1" destOrd="0" presId="urn:microsoft.com/office/officeart/2005/8/layout/radial1"/>
    <dgm:cxn modelId="{4B8455E7-4B99-4C1B-A85F-368F4A08E0BE}" srcId="{615A8A4C-3386-41CB-B004-75AA2E0C8E7E}" destId="{447D5D1D-0860-4B1B-A10A-5D7EC9B637D8}" srcOrd="2" destOrd="0" parTransId="{069AD1A8-1718-4E51-AEE7-85B69D54F950}" sibTransId="{855AF909-31D3-4065-ABB3-82005C9FEF4C}"/>
    <dgm:cxn modelId="{A5078D50-F889-4D0A-B2F0-ACB41058B501}" type="presOf" srcId="{6FBFA200-28B9-441C-9603-B958FB3D45CE}" destId="{7244ABB3-7BCC-4145-8C19-8C33F0A4C35F}" srcOrd="1" destOrd="0" presId="urn:microsoft.com/office/officeart/2005/8/layout/radial1"/>
    <dgm:cxn modelId="{6CA4407A-9C11-42F2-B177-182D89CE1461}" type="presOf" srcId="{FEDE4186-485A-46BD-B210-B0BD4480CB16}" destId="{CB1335D7-B771-475A-BE82-89C2F00DAF8B}" srcOrd="1" destOrd="0" presId="urn:microsoft.com/office/officeart/2005/8/layout/radial1"/>
    <dgm:cxn modelId="{4E68C5E6-4E50-45B6-9E23-A7A97C86ED5E}" srcId="{615A8A4C-3386-41CB-B004-75AA2E0C8E7E}" destId="{DAF30ECC-CB4B-483A-93C7-47A100649D5D}" srcOrd="3" destOrd="0" parTransId="{F0719816-4AC2-4964-8797-61135BEDA83D}" sibTransId="{939B8447-5FC4-4D01-8936-0F63CFB1E3F9}"/>
    <dgm:cxn modelId="{DA0B5220-359B-4E49-B9CA-C24CE0DA64D6}" type="presOf" srcId="{F0719816-4AC2-4964-8797-61135BEDA83D}" destId="{7F30A5E4-3531-49F3-AC3C-8F1D2236451A}" srcOrd="0" destOrd="0" presId="urn:microsoft.com/office/officeart/2005/8/layout/radial1"/>
    <dgm:cxn modelId="{44C3053F-E0B7-45BB-84B7-60272354507A}" type="presOf" srcId="{C8838BF5-4657-4DB6-B70A-DBA4AB5B97EE}" destId="{694C81C6-3E54-45BC-9ED9-5944CBD672A7}" srcOrd="0" destOrd="0" presId="urn:microsoft.com/office/officeart/2005/8/layout/radial1"/>
    <dgm:cxn modelId="{EE1ECC6B-396F-44C4-92B7-9FD2E1BE654E}" type="presOf" srcId="{CF74A6F9-BA34-45B8-91B4-D30611FDBA60}" destId="{B7B7A49F-5E78-4AC5-B18E-2DC80AECCF08}" srcOrd="1" destOrd="0" presId="urn:microsoft.com/office/officeart/2005/8/layout/radial1"/>
    <dgm:cxn modelId="{1AA9EDCB-7AF6-406C-9BE6-B90918B1AE07}" srcId="{615A8A4C-3386-41CB-B004-75AA2E0C8E7E}" destId="{CFBCC7A9-248E-440C-A926-28CC42C6B860}" srcOrd="5" destOrd="0" parTransId="{FEDE4186-485A-46BD-B210-B0BD4480CB16}" sibTransId="{85FBEBF4-A458-477D-AE50-1E5F0800CC74}"/>
    <dgm:cxn modelId="{8055C5ED-751D-4BA6-B662-127AF2F9BA15}" type="presOf" srcId="{BD2843B5-7E3E-4680-8A25-01BA23D8CE69}" destId="{37A775CB-7592-434E-A233-9CA00876798D}" srcOrd="1" destOrd="0" presId="urn:microsoft.com/office/officeart/2005/8/layout/radial1"/>
    <dgm:cxn modelId="{3936218E-6BA9-40A6-AC35-8446EDBAE4CD}" type="presOf" srcId="{DAF30ECC-CB4B-483A-93C7-47A100649D5D}" destId="{E01DCF12-19AC-4734-9210-5F881573D3F5}" srcOrd="0" destOrd="0" presId="urn:microsoft.com/office/officeart/2005/8/layout/radial1"/>
    <dgm:cxn modelId="{DC662FEE-374C-4FFB-ADCB-16BF2452DD38}" type="presOf" srcId="{F0719816-4AC2-4964-8797-61135BEDA83D}" destId="{93F2ABB5-3A44-45ED-A792-C294D6962C8F}" srcOrd="1" destOrd="0" presId="urn:microsoft.com/office/officeart/2005/8/layout/radial1"/>
    <dgm:cxn modelId="{B38C5749-1252-458D-B501-F7187763DE6C}" type="presOf" srcId="{615A8A4C-3386-41CB-B004-75AA2E0C8E7E}" destId="{262D173F-A40A-406A-BA41-067F590F5B00}" srcOrd="0" destOrd="0" presId="urn:microsoft.com/office/officeart/2005/8/layout/radial1"/>
    <dgm:cxn modelId="{FD96645E-CF0D-48D8-BE66-498077027327}" type="presOf" srcId="{17173E60-1AB7-4219-9E5D-2EB707D4762A}" destId="{A8CAB3F2-A4A1-434C-9CB4-641DE8526482}" srcOrd="0" destOrd="0" presId="urn:microsoft.com/office/officeart/2005/8/layout/radial1"/>
    <dgm:cxn modelId="{38C76E50-C14A-400F-8687-E75253BF2C57}" type="presOf" srcId="{DD2E3765-25B6-48F8-B902-5C026C284173}" destId="{4B42C994-9F34-48FA-B0E9-245578FAC1C6}" srcOrd="0" destOrd="0" presId="urn:microsoft.com/office/officeart/2005/8/layout/radial1"/>
    <dgm:cxn modelId="{B996E6C5-DC82-4A19-BCCC-F63183A708A0}" type="presParOf" srcId="{4B42C994-9F34-48FA-B0E9-245578FAC1C6}" destId="{262D173F-A40A-406A-BA41-067F590F5B00}" srcOrd="0" destOrd="0" presId="urn:microsoft.com/office/officeart/2005/8/layout/radial1"/>
    <dgm:cxn modelId="{88C71022-3DE8-4083-802B-6EF21700D136}" type="presParOf" srcId="{4B42C994-9F34-48FA-B0E9-245578FAC1C6}" destId="{2E00D982-49D5-455F-888E-68E4C81A2365}" srcOrd="1" destOrd="0" presId="urn:microsoft.com/office/officeart/2005/8/layout/radial1"/>
    <dgm:cxn modelId="{E306B115-66C9-4770-ADB2-1AC6871CB766}" type="presParOf" srcId="{2E00D982-49D5-455F-888E-68E4C81A2365}" destId="{B7B7A49F-5E78-4AC5-B18E-2DC80AECCF08}" srcOrd="0" destOrd="0" presId="urn:microsoft.com/office/officeart/2005/8/layout/radial1"/>
    <dgm:cxn modelId="{209C6BDA-9E68-481E-B5C5-73BC554CFA88}" type="presParOf" srcId="{4B42C994-9F34-48FA-B0E9-245578FAC1C6}" destId="{44473C27-A9A3-4167-AEAF-A01C156E33F0}" srcOrd="2" destOrd="0" presId="urn:microsoft.com/office/officeart/2005/8/layout/radial1"/>
    <dgm:cxn modelId="{570C5042-76F4-4F8E-B98D-7BD1B21D1FA0}" type="presParOf" srcId="{4B42C994-9F34-48FA-B0E9-245578FAC1C6}" destId="{3FE6E2C5-0D84-4EA6-8A7C-D44D396A169E}" srcOrd="3" destOrd="0" presId="urn:microsoft.com/office/officeart/2005/8/layout/radial1"/>
    <dgm:cxn modelId="{435AD3D3-544E-4EF9-9953-EBDEFC03E626}" type="presParOf" srcId="{3FE6E2C5-0D84-4EA6-8A7C-D44D396A169E}" destId="{C8361934-9E8A-4B07-8048-7D48F9D9FCA9}" srcOrd="0" destOrd="0" presId="urn:microsoft.com/office/officeart/2005/8/layout/radial1"/>
    <dgm:cxn modelId="{DFD8EB28-A314-43CD-9D86-334CFFF4D36B}" type="presParOf" srcId="{4B42C994-9F34-48FA-B0E9-245578FAC1C6}" destId="{5F1C34CD-B8DF-45F7-A431-2126D61FFACC}" srcOrd="4" destOrd="0" presId="urn:microsoft.com/office/officeart/2005/8/layout/radial1"/>
    <dgm:cxn modelId="{CBAC4D10-8272-40D9-87A9-535E0FD132B0}" type="presParOf" srcId="{4B42C994-9F34-48FA-B0E9-245578FAC1C6}" destId="{93B3BE9E-D237-4DD9-937C-973455BC3658}" srcOrd="5" destOrd="0" presId="urn:microsoft.com/office/officeart/2005/8/layout/radial1"/>
    <dgm:cxn modelId="{6C4086C4-F029-47C8-A87E-036CAFDF24A7}" type="presParOf" srcId="{93B3BE9E-D237-4DD9-937C-973455BC3658}" destId="{E7C370CD-4B70-470B-B819-7260C176B479}" srcOrd="0" destOrd="0" presId="urn:microsoft.com/office/officeart/2005/8/layout/radial1"/>
    <dgm:cxn modelId="{FDB0C32F-CEBC-404B-B565-6D920CAA0B85}" type="presParOf" srcId="{4B42C994-9F34-48FA-B0E9-245578FAC1C6}" destId="{3A26272E-8DBD-422F-ABA2-A3DA0C9B3C69}" srcOrd="6" destOrd="0" presId="urn:microsoft.com/office/officeart/2005/8/layout/radial1"/>
    <dgm:cxn modelId="{458063A3-CD34-401E-8736-76EA1C90EDB7}" type="presParOf" srcId="{4B42C994-9F34-48FA-B0E9-245578FAC1C6}" destId="{7F30A5E4-3531-49F3-AC3C-8F1D2236451A}" srcOrd="7" destOrd="0" presId="urn:microsoft.com/office/officeart/2005/8/layout/radial1"/>
    <dgm:cxn modelId="{3CFB7713-11FF-4C42-A16A-C05590ADA1FA}" type="presParOf" srcId="{7F30A5E4-3531-49F3-AC3C-8F1D2236451A}" destId="{93F2ABB5-3A44-45ED-A792-C294D6962C8F}" srcOrd="0" destOrd="0" presId="urn:microsoft.com/office/officeart/2005/8/layout/radial1"/>
    <dgm:cxn modelId="{59BEA316-2CE5-4B61-822B-6884235223E3}" type="presParOf" srcId="{4B42C994-9F34-48FA-B0E9-245578FAC1C6}" destId="{E01DCF12-19AC-4734-9210-5F881573D3F5}" srcOrd="8" destOrd="0" presId="urn:microsoft.com/office/officeart/2005/8/layout/radial1"/>
    <dgm:cxn modelId="{8DC5E2DE-124E-4893-9DF1-55117440CD66}" type="presParOf" srcId="{4B42C994-9F34-48FA-B0E9-245578FAC1C6}" destId="{9350C245-A165-4791-BD7A-BFCED0BB0361}" srcOrd="9" destOrd="0" presId="urn:microsoft.com/office/officeart/2005/8/layout/radial1"/>
    <dgm:cxn modelId="{49780D23-7998-46F5-842B-6B0F41DE03A9}" type="presParOf" srcId="{9350C245-A165-4791-BD7A-BFCED0BB0361}" destId="{E19A1787-F640-4D8D-A88F-51D710E321CA}" srcOrd="0" destOrd="0" presId="urn:microsoft.com/office/officeart/2005/8/layout/radial1"/>
    <dgm:cxn modelId="{1A2A9B0B-B586-4019-AAA0-B4B772F9E54B}" type="presParOf" srcId="{4B42C994-9F34-48FA-B0E9-245578FAC1C6}" destId="{C7416AF2-49A6-451C-80C3-A5143C86D045}" srcOrd="10" destOrd="0" presId="urn:microsoft.com/office/officeart/2005/8/layout/radial1"/>
    <dgm:cxn modelId="{187DFFE8-035E-4C34-A58E-52E3A53DA282}" type="presParOf" srcId="{4B42C994-9F34-48FA-B0E9-245578FAC1C6}" destId="{2A6DC4FF-B426-4171-A201-27B83DA94370}" srcOrd="11" destOrd="0" presId="urn:microsoft.com/office/officeart/2005/8/layout/radial1"/>
    <dgm:cxn modelId="{D0E481EC-BA67-48C2-A0C6-27BFF6D1AFA9}" type="presParOf" srcId="{2A6DC4FF-B426-4171-A201-27B83DA94370}" destId="{CB1335D7-B771-475A-BE82-89C2F00DAF8B}" srcOrd="0" destOrd="0" presId="urn:microsoft.com/office/officeart/2005/8/layout/radial1"/>
    <dgm:cxn modelId="{A7F9AC0D-A5CA-491D-9AA0-3102EDDE06E2}" type="presParOf" srcId="{4B42C994-9F34-48FA-B0E9-245578FAC1C6}" destId="{353BAFE4-0977-4589-9534-7471241857D7}" srcOrd="12" destOrd="0" presId="urn:microsoft.com/office/officeart/2005/8/layout/radial1"/>
    <dgm:cxn modelId="{E82E0689-22B3-432D-B5F1-A24FB805F7B3}" type="presParOf" srcId="{4B42C994-9F34-48FA-B0E9-245578FAC1C6}" destId="{D3C62D02-BD66-40AA-8598-E6F03FA4330E}" srcOrd="13" destOrd="0" presId="urn:microsoft.com/office/officeart/2005/8/layout/radial1"/>
    <dgm:cxn modelId="{10E2E247-184F-4C5B-9D4E-47D22B69CC05}" type="presParOf" srcId="{D3C62D02-BD66-40AA-8598-E6F03FA4330E}" destId="{37A775CB-7592-434E-A233-9CA00876798D}" srcOrd="0" destOrd="0" presId="urn:microsoft.com/office/officeart/2005/8/layout/radial1"/>
    <dgm:cxn modelId="{41A16405-0526-4486-90F1-EE7B0A4479F6}" type="presParOf" srcId="{4B42C994-9F34-48FA-B0E9-245578FAC1C6}" destId="{694C81C6-3E54-45BC-9ED9-5944CBD672A7}" srcOrd="14" destOrd="0" presId="urn:microsoft.com/office/officeart/2005/8/layout/radial1"/>
    <dgm:cxn modelId="{BF2E9D5D-243D-49F2-B027-148ED295F48E}" type="presParOf" srcId="{4B42C994-9F34-48FA-B0E9-245578FAC1C6}" destId="{98E66AFE-BCED-48F2-B78A-230BF42B9FFC}" srcOrd="15" destOrd="0" presId="urn:microsoft.com/office/officeart/2005/8/layout/radial1"/>
    <dgm:cxn modelId="{6E99B2CF-E7F9-4A94-9A1D-9FF4B8A4A901}" type="presParOf" srcId="{98E66AFE-BCED-48F2-B78A-230BF42B9FFC}" destId="{7244ABB3-7BCC-4145-8C19-8C33F0A4C35F}" srcOrd="0" destOrd="0" presId="urn:microsoft.com/office/officeart/2005/8/layout/radial1"/>
    <dgm:cxn modelId="{982FA5E4-90C5-43E2-8130-E3BF964194FE}" type="presParOf" srcId="{4B42C994-9F34-48FA-B0E9-245578FAC1C6}" destId="{A8CAB3F2-A4A1-434C-9CB4-641DE8526482}" srcOrd="16" destOrd="0" presId="urn:microsoft.com/office/officeart/2005/8/layout/radial1"/>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D981426F-5B7B-4AA5-957A-6E8C9E1A2487}"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A7516A72-1FC0-46ED-AAC4-AF0F7063F737}">
      <dgm:prSet phldrT="[Text]" custT="1"/>
      <dgm:spPr>
        <a:xfrm>
          <a:off x="2424604" y="1110260"/>
          <a:ext cx="1089376" cy="485191"/>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gm:spPr>
      <dgm:t>
        <a:bodyPr/>
        <a:lstStyle/>
        <a:p>
          <a:r>
            <a:rPr lang="en-US" sz="105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9 </a:t>
          </a:r>
        </a:p>
      </dgm:t>
    </dgm:pt>
    <dgm:pt modelId="{6B1EB84D-437E-47A1-87CB-9027EE716AD0}" type="sibTrans" cxnId="{996B9653-906A-49F8-9E4B-3836F7905D4E}">
      <dgm:prSet/>
      <dgm:spPr/>
      <dgm:t>
        <a:bodyPr/>
        <a:lstStyle/>
        <a:p>
          <a:endParaRPr lang="en-US"/>
        </a:p>
      </dgm:t>
    </dgm:pt>
    <dgm:pt modelId="{D9E0AFEB-65B5-4280-ADD0-766B3ADA6CFD}" type="parTrans" cxnId="{996B9653-906A-49F8-9E4B-3836F7905D4E}">
      <dgm:prSet/>
      <dgm:spPr/>
      <dgm:t>
        <a:bodyPr/>
        <a:lstStyle/>
        <a:p>
          <a:endParaRPr lang="en-US"/>
        </a:p>
      </dgm:t>
    </dgm:pt>
    <dgm:pt modelId="{D460D018-736B-4CE5-A14B-061F8EFE829B}">
      <dgm:prSet phldrT="[Text]" custT="1"/>
      <dgm:spPr>
        <a:xfrm>
          <a:off x="618380" y="569323"/>
          <a:ext cx="1095135" cy="593893"/>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17 </a:t>
          </a:r>
        </a:p>
        <a:p>
          <a:r>
            <a:rPr lang="en-US" sz="7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Promouvoir le respect de la propriété intellectuelle</a:t>
          </a:r>
        </a:p>
      </dgm:t>
    </dgm:pt>
    <dgm:pt modelId="{13E4242D-C1FF-4F31-B2EF-0F857644C218}" type="sibTrans" cxnId="{333E8F20-31E9-4D6F-9F31-24FBF63076E9}">
      <dgm:prSet/>
      <dgm:spPr/>
      <dgm:t>
        <a:bodyPr/>
        <a:lstStyle/>
        <a:p>
          <a:endParaRPr lang="en-US"/>
        </a:p>
      </dgm:t>
    </dgm:pt>
    <dgm:pt modelId="{B4A5C031-92B2-438E-80BC-EAA05F5C7CF7}" type="parTrans" cxnId="{333E8F20-31E9-4D6F-9F31-24FBF63076E9}">
      <dgm:prSet/>
      <dgm:spPr>
        <a:xfrm rot="11706012">
          <a:off x="1641036" y="1105504"/>
          <a:ext cx="877541" cy="14693"/>
        </a:xfrm>
      </dgm:spPr>
      <dgm:t>
        <a:bodyPr/>
        <a:lstStyle/>
        <a:p>
          <a:endParaRPr lang="en-US"/>
        </a:p>
      </dgm:t>
    </dgm:pt>
    <dgm:pt modelId="{44FBC2E2-D754-42C1-BEE4-690296442511}">
      <dgm:prSet phldrT="[Text]" custT="1"/>
      <dgm:spPr>
        <a:xfrm>
          <a:off x="165937" y="1238481"/>
          <a:ext cx="1161441" cy="669583"/>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15 </a:t>
          </a:r>
        </a:p>
        <a:p>
          <a:r>
            <a:rPr lang="en-US" sz="7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Solutions opérationnelles pour les offices de propriété intellectuelle </a:t>
          </a:r>
        </a:p>
      </dgm:t>
    </dgm:pt>
    <dgm:pt modelId="{A8D506B7-E9B0-4378-B011-FCC599FE960D}" type="sibTrans" cxnId="{A1357B0A-C240-4A91-89D8-A39634308683}">
      <dgm:prSet/>
      <dgm:spPr/>
      <dgm:t>
        <a:bodyPr/>
        <a:lstStyle/>
        <a:p>
          <a:endParaRPr lang="en-US"/>
        </a:p>
      </dgm:t>
    </dgm:pt>
    <dgm:pt modelId="{2F72DDEE-62D3-48A5-836A-4C87596541F0}" type="parTrans" cxnId="{A1357B0A-C240-4A91-89D8-A39634308683}">
      <dgm:prSet/>
      <dgm:spPr>
        <a:xfrm rot="10460193">
          <a:off x="1316230" y="1453702"/>
          <a:ext cx="1124137" cy="14693"/>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2628F477-2289-4CEE-9618-96DDAFCD4291}">
      <dgm:prSet phldrT="[Text]" custT="1"/>
      <dgm:spPr>
        <a:xfrm>
          <a:off x="1162895" y="1763848"/>
          <a:ext cx="1148618" cy="529969"/>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14 </a:t>
          </a:r>
        </a:p>
        <a:p>
          <a:r>
            <a:rPr lang="en-US" sz="7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Services d’accès à l’information et aux savoirs </a:t>
          </a:r>
        </a:p>
      </dgm:t>
    </dgm:pt>
    <dgm:pt modelId="{6D6ABE48-6FEB-4EAA-849C-585AC08FCF5B}" type="sibTrans" cxnId="{E5DD3C3F-F401-46C8-9D1F-CEE8478EFA81}">
      <dgm:prSet/>
      <dgm:spPr/>
      <dgm:t>
        <a:bodyPr/>
        <a:lstStyle/>
        <a:p>
          <a:endParaRPr lang="en-US"/>
        </a:p>
      </dgm:t>
    </dgm:pt>
    <dgm:pt modelId="{DEF73824-C893-4963-9504-7E97D2FF5253}" type="parTrans" cxnId="{E5DD3C3F-F401-46C8-9D1F-CEE8478EFA81}">
      <dgm:prSet/>
      <dgm:spPr>
        <a:xfrm rot="9074936">
          <a:off x="2070347" y="1676270"/>
          <a:ext cx="592150" cy="14693"/>
        </a:xfrm>
      </dgm:spPr>
      <dgm:t>
        <a:bodyPr/>
        <a:lstStyle/>
        <a:p>
          <a:endParaRPr lang="en-US"/>
        </a:p>
      </dgm:t>
    </dgm:pt>
    <dgm:pt modelId="{7C1FA040-4399-40F0-866F-845B7914F68D}">
      <dgm:prSet phldrT="[Text]" custT="1"/>
      <dgm:spPr>
        <a:xfrm>
          <a:off x="2383477" y="1933817"/>
          <a:ext cx="1173891" cy="454294"/>
        </a:xfrm>
        <a:solidFill>
          <a:schemeClr val="accent1">
            <a:lumMod val="40000"/>
            <a:lumOff val="60000"/>
          </a:scheme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11 </a:t>
          </a:r>
        </a:p>
        <a:p>
          <a:r>
            <a:rPr lang="en-US" sz="7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Académie de l’OMPI </a:t>
          </a:r>
        </a:p>
      </dgm:t>
    </dgm:pt>
    <dgm:pt modelId="{82A7CC90-6A4C-422A-B221-BA4CF5B4D442}" type="sibTrans" cxnId="{345C13DF-1D3F-4982-AF23-DC2641540559}">
      <dgm:prSet/>
      <dgm:spPr/>
      <dgm:t>
        <a:bodyPr/>
        <a:lstStyle/>
        <a:p>
          <a:endParaRPr lang="en-US"/>
        </a:p>
      </dgm:t>
    </dgm:pt>
    <dgm:pt modelId="{98585C11-761C-43C4-979D-FB1B8BABF102}" type="parTrans" cxnId="{345C13DF-1D3F-4982-AF23-DC2641540559}">
      <dgm:prSet/>
      <dgm:spPr>
        <a:xfrm rot="5395189">
          <a:off x="2800686" y="1757288"/>
          <a:ext cx="338365" cy="14693"/>
        </a:xfrm>
      </dgm:spPr>
      <dgm:t>
        <a:bodyPr/>
        <a:lstStyle/>
        <a:p>
          <a:endParaRPr lang="en-US"/>
        </a:p>
      </dgm:t>
    </dgm:pt>
    <dgm:pt modelId="{14602118-D739-48CC-85E0-791974AFA995}">
      <dgm:prSet phldrT="[Text]" custT="1"/>
      <dgm:spPr>
        <a:xfrm>
          <a:off x="3560344" y="1761133"/>
          <a:ext cx="1214080" cy="544705"/>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6</a:t>
          </a:r>
        </a:p>
        <a:p>
          <a:r>
            <a:rPr lang="en-US" sz="7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Système de Madrid</a:t>
          </a:r>
        </a:p>
      </dgm:t>
    </dgm:pt>
    <dgm:pt modelId="{85730AA2-ED16-41DB-9898-B2A63ECD874D}" type="sibTrans" cxnId="{3138FD81-FCE3-4020-9313-BAD8BCAF820B}">
      <dgm:prSet/>
      <dgm:spPr/>
      <dgm:t>
        <a:bodyPr/>
        <a:lstStyle/>
        <a:p>
          <a:endParaRPr lang="en-US"/>
        </a:p>
      </dgm:t>
    </dgm:pt>
    <dgm:pt modelId="{3F89048A-3F9F-4897-8631-4599F4976029}" type="parTrans" cxnId="{3138FD81-FCE3-4020-9313-BAD8BCAF820B}">
      <dgm:prSet/>
      <dgm:spPr>
        <a:xfrm rot="1776040">
          <a:off x="3268898" y="1674414"/>
          <a:ext cx="558712" cy="14693"/>
        </a:xfrm>
      </dgm:spPr>
      <dgm:t>
        <a:bodyPr/>
        <a:lstStyle/>
        <a:p>
          <a:endParaRPr lang="en-US"/>
        </a:p>
      </dgm:t>
    </dgm:pt>
    <dgm:pt modelId="{DB0D84B1-C440-4746-9EEF-F1ED71D64DD2}">
      <dgm:prSet phldrT="[Text]" custT="1"/>
      <dgm:spPr>
        <a:xfrm>
          <a:off x="4544412" y="1407409"/>
          <a:ext cx="1014428" cy="485191"/>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5</a:t>
          </a: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r>
            <a:rPr lang="en-US" sz="7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Système du PCT</a:t>
          </a:r>
        </a:p>
      </dgm:t>
    </dgm:pt>
    <dgm:pt modelId="{99C4878C-8523-40E3-93C5-8DC55D31DB77}" type="sibTrans" cxnId="{C7DD68AE-99B2-4937-A127-D654A2E99784}">
      <dgm:prSet/>
      <dgm:spPr/>
      <dgm:t>
        <a:bodyPr/>
        <a:lstStyle/>
        <a:p>
          <a:endParaRPr lang="en-US"/>
        </a:p>
      </dgm:t>
    </dgm:pt>
    <dgm:pt modelId="{9E510621-404D-46D6-8EB3-39712C8626D4}" type="parTrans" cxnId="{C7DD68AE-99B2-4937-A127-D654A2E99784}">
      <dgm:prSet/>
      <dgm:spPr>
        <a:xfrm rot="487276">
          <a:off x="3482549" y="1496415"/>
          <a:ext cx="1088493" cy="14693"/>
        </a:xfrm>
      </dgm:spPr>
      <dgm:t>
        <a:bodyPr/>
        <a:lstStyle/>
        <a:p>
          <a:endParaRPr lang="en-US"/>
        </a:p>
      </dgm:t>
    </dgm:pt>
    <dgm:pt modelId="{6DAE892F-3F2D-42A5-BB1C-58D0E6BD9A47}">
      <dgm:prSet phldrT="[Text]" custT="1"/>
      <dgm:spPr>
        <a:xfrm>
          <a:off x="4557028" y="809859"/>
          <a:ext cx="1171470" cy="518422"/>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4 </a:t>
          </a:r>
        </a:p>
        <a:p>
          <a:r>
            <a:rPr lang="en-US" sz="7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Savoirs traditionnels, expressions culturelles traditionnelles et ressources génétiques</a:t>
          </a:r>
        </a:p>
      </dgm:t>
    </dgm:pt>
    <dgm:pt modelId="{28BD2EB6-8814-456D-B684-C7C0E2C0705F}" type="sibTrans" cxnId="{FE1169E0-24DF-4FBB-A1C9-8F332C85663A}">
      <dgm:prSet/>
      <dgm:spPr/>
      <dgm:t>
        <a:bodyPr/>
        <a:lstStyle/>
        <a:p>
          <a:endParaRPr lang="en-US"/>
        </a:p>
      </dgm:t>
    </dgm:pt>
    <dgm:pt modelId="{D22DE764-173E-47DF-9480-722F8D8EA62C}" type="parTrans" cxnId="{FE1169E0-24DF-4FBB-A1C9-8F332C85663A}">
      <dgm:prSet/>
      <dgm:spPr>
        <a:xfrm rot="21153665">
          <a:off x="3487361" y="1206169"/>
          <a:ext cx="1098230" cy="14693"/>
        </a:xfrm>
      </dgm:spPr>
      <dgm:t>
        <a:bodyPr/>
        <a:lstStyle/>
        <a:p>
          <a:endParaRPr lang="en-US"/>
        </a:p>
      </dgm:t>
    </dgm:pt>
    <dgm:pt modelId="{F0FE4372-65E6-4D92-B9B0-D2B79F26FB27}">
      <dgm:prSet phldrT="[Text]" custT="1"/>
      <dgm:spPr>
        <a:xfrm>
          <a:off x="4327497" y="288445"/>
          <a:ext cx="895076" cy="485191"/>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3</a:t>
          </a: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r>
            <a:rPr lang="en-US" sz="7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Droit d’auteur et droits connexes</a:t>
          </a:r>
        </a:p>
      </dgm:t>
    </dgm:pt>
    <dgm:pt modelId="{E2B06661-55BE-4022-AD18-067DB2509F93}" type="sibTrans" cxnId="{1229807D-6A59-498C-A707-9DD6CEEA0C8D}">
      <dgm:prSet/>
      <dgm:spPr/>
      <dgm:t>
        <a:bodyPr/>
        <a:lstStyle/>
        <a:p>
          <a:endParaRPr lang="en-US"/>
        </a:p>
      </dgm:t>
    </dgm:pt>
    <dgm:pt modelId="{D94B5549-C2D2-4629-ACDF-33C6E334FA3A}" type="parTrans" cxnId="{1229807D-6A59-498C-A707-9DD6CEEA0C8D}">
      <dgm:prSet/>
      <dgm:spPr>
        <a:xfrm rot="20131750">
          <a:off x="3296868" y="925905"/>
          <a:ext cx="1188808" cy="14693"/>
        </a:xfrm>
      </dgm:spPr>
      <dgm:t>
        <a:bodyPr/>
        <a:lstStyle/>
        <a:p>
          <a:endParaRPr lang="en-US"/>
        </a:p>
      </dgm:t>
    </dgm:pt>
    <dgm:pt modelId="{898446A3-EA8C-4C13-8A65-DF8A110D0838}">
      <dgm:prSet phldrT="[Text]" custT="1"/>
      <dgm:spPr>
        <a:xfrm>
          <a:off x="3453200" y="78832"/>
          <a:ext cx="872762" cy="485191"/>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2 </a:t>
          </a:r>
        </a:p>
        <a:p>
          <a:r>
            <a:rPr lang="en-US" sz="7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Marques, dessins et modèles industriels et indications géographiques</a:t>
          </a:r>
        </a:p>
      </dgm:t>
    </dgm:pt>
    <dgm:pt modelId="{E56928EA-8406-4998-BE40-3F4796EA5932}" type="sibTrans" cxnId="{A93C1B4A-74B5-4343-AF12-0C2C4D914189}">
      <dgm:prSet/>
      <dgm:spPr/>
      <dgm:t>
        <a:bodyPr/>
        <a:lstStyle/>
        <a:p>
          <a:endParaRPr lang="en-US"/>
        </a:p>
      </dgm:t>
    </dgm:pt>
    <dgm:pt modelId="{DB9FEC62-86A7-454A-89B3-F32F1907C71A}" type="parTrans" cxnId="{A93C1B4A-74B5-4343-AF12-0C2C4D914189}">
      <dgm:prSet/>
      <dgm:spPr>
        <a:xfrm rot="18704451">
          <a:off x="3038605" y="825736"/>
          <a:ext cx="788906" cy="14693"/>
        </a:xfrm>
      </dgm:spPr>
      <dgm:t>
        <a:bodyPr/>
        <a:lstStyle/>
        <a:p>
          <a:endParaRPr lang="en-US"/>
        </a:p>
      </dgm:t>
    </dgm:pt>
    <dgm:pt modelId="{68A5766F-115C-487E-B7CB-4ADE150678D1}">
      <dgm:prSet phldrT="[Text]" custT="1"/>
      <dgm:spPr>
        <a:xfrm>
          <a:off x="2496088" y="0"/>
          <a:ext cx="927361" cy="457666"/>
        </a:xfrm>
        <a:solidFill>
          <a:schemeClr val="accent1">
            <a:lumMod val="40000"/>
            <a:lumOff val="60000"/>
          </a:scheme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 </a:t>
          </a:r>
        </a:p>
        <a:p>
          <a:r>
            <a:rPr lang="en-US" sz="7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Droit des brevets</a:t>
          </a:r>
        </a:p>
      </dgm:t>
    </dgm:pt>
    <dgm:pt modelId="{BA9B1909-6561-415A-8EF0-B53DE88FCEBA}" type="sibTrans" cxnId="{84826536-FF9D-47C5-902D-DB146A527C2A}">
      <dgm:prSet/>
      <dgm:spPr/>
      <dgm:t>
        <a:bodyPr/>
        <a:lstStyle/>
        <a:p>
          <a:endParaRPr lang="en-US"/>
        </a:p>
      </dgm:t>
    </dgm:pt>
    <dgm:pt modelId="{BA28F4A6-AD16-499D-88C1-DBE004B28175}" type="parTrans" cxnId="{84826536-FF9D-47C5-902D-DB146A527C2A}">
      <dgm:prSet/>
      <dgm:spPr>
        <a:xfrm rot="16170873">
          <a:off x="2638162" y="776616"/>
          <a:ext cx="652621" cy="14693"/>
        </a:xfrm>
      </dgm:spPr>
      <dgm:t>
        <a:bodyPr/>
        <a:lstStyle/>
        <a:p>
          <a:endParaRPr lang="en-US"/>
        </a:p>
      </dgm:t>
    </dgm:pt>
    <dgm:pt modelId="{D65A13E9-3C79-4155-B943-C33E81DAC317}">
      <dgm:prSet phldrT="[Text]" custT="1"/>
      <dgm:spPr>
        <a:xfrm>
          <a:off x="1456578" y="111590"/>
          <a:ext cx="1032424" cy="577644"/>
        </a:xfrm>
        <a:solidFill>
          <a:schemeClr val="accent1">
            <a:lumMod val="40000"/>
            <a:lumOff val="60000"/>
          </a:scheme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20 </a:t>
          </a:r>
        </a:p>
        <a:p>
          <a:r>
            <a:rPr lang="en-US" sz="7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Relations extérieures</a:t>
          </a:r>
        </a:p>
      </dgm:t>
    </dgm:pt>
    <dgm:pt modelId="{98B9F8AD-7347-45A5-BC2B-65EB3DDF63CC}" type="parTrans" cxnId="{DF9EB478-C224-42F7-822E-5C2EA98D82E9}">
      <dgm:prSet/>
      <dgm:spPr>
        <a:xfrm rot="13422299">
          <a:off x="2136668" y="883969"/>
          <a:ext cx="699467" cy="14693"/>
        </a:xfrm>
      </dgm:spPr>
      <dgm:t>
        <a:bodyPr/>
        <a:lstStyle/>
        <a:p>
          <a:endParaRPr lang="en-US"/>
        </a:p>
      </dgm:t>
    </dgm:pt>
    <dgm:pt modelId="{65C76345-3C56-4B13-AF62-A1F968209579}" type="sibTrans" cxnId="{DF9EB478-C224-42F7-822E-5C2EA98D82E9}">
      <dgm:prSet/>
      <dgm:spPr/>
      <dgm:t>
        <a:bodyPr/>
        <a:lstStyle/>
        <a:p>
          <a:endParaRPr lang="en-US"/>
        </a:p>
      </dgm:t>
    </dgm:pt>
    <dgm:pt modelId="{00DA2DEA-7B17-44EE-B8F3-4B2A83FBF579}">
      <dgm:prSet phldrT="[Text]" custT="1"/>
      <dgm:spPr>
        <a:xfrm>
          <a:off x="1456578" y="111590"/>
          <a:ext cx="1032424" cy="577644"/>
        </a:xfrm>
        <a:solidFill>
          <a:schemeClr val="accent1">
            <a:lumMod val="40000"/>
            <a:lumOff val="60000"/>
          </a:scheme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30</a:t>
          </a:r>
        </a:p>
        <a:p>
          <a:r>
            <a:rPr lang="fr-FR" sz="700">
              <a:latin typeface="Arial" panose="020B0604020202020204" pitchFamily="34" charset="0"/>
              <a:cs typeface="Arial" panose="020B0604020202020204" pitchFamily="34" charset="0"/>
            </a:rPr>
            <a:t>Appui PME et à la création d’entreprises</a:t>
          </a:r>
          <a:endParaRPr lang="en-US" sz="7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AF2F2798-D6F2-48C6-8603-284B4B1E72C7}" type="parTrans" cxnId="{C0F034D4-503F-4DA9-A5CB-C7BF0627B07B}">
      <dgm:prSet/>
      <dgm:spPr/>
      <dgm:t>
        <a:bodyPr/>
        <a:lstStyle/>
        <a:p>
          <a:endParaRPr lang="fr-FR"/>
        </a:p>
      </dgm:t>
    </dgm:pt>
    <dgm:pt modelId="{CCCEA437-9672-4AFA-BE4D-04D5D8601E71}" type="sibTrans" cxnId="{C0F034D4-503F-4DA9-A5CB-C7BF0627B07B}">
      <dgm:prSet/>
      <dgm:spPr/>
      <dgm:t>
        <a:bodyPr/>
        <a:lstStyle/>
        <a:p>
          <a:endParaRPr lang="fr-FR"/>
        </a:p>
      </dgm:t>
    </dgm:pt>
    <dgm:pt modelId="{8717D03D-6327-45C7-856C-73F244E498C0}">
      <dgm:prSet phldrT="[Text]" custT="1"/>
      <dgm:spPr>
        <a:xfrm>
          <a:off x="1456578" y="111590"/>
          <a:ext cx="1032424" cy="577644"/>
        </a:xfrm>
        <a:solidFill>
          <a:schemeClr val="accent1">
            <a:lumMod val="40000"/>
            <a:lumOff val="60000"/>
          </a:scheme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32</a:t>
          </a:r>
        </a:p>
        <a:p>
          <a:r>
            <a:rPr lang="fr-FR" sz="700">
              <a:latin typeface="Arial" panose="020B0604020202020204" pitchFamily="34" charset="0"/>
              <a:cs typeface="Arial" panose="020B0604020202020204" pitchFamily="34" charset="0"/>
            </a:rPr>
            <a:t>Système de Lisbonne</a:t>
          </a:r>
          <a:endParaRPr lang="en-US" sz="7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84EDB25F-D388-464E-BF3A-D8A2BD367A5F}" type="parTrans" cxnId="{DC64950E-008D-45CB-853B-33FEC8CDC68A}">
      <dgm:prSet/>
      <dgm:spPr/>
      <dgm:t>
        <a:bodyPr/>
        <a:lstStyle/>
        <a:p>
          <a:endParaRPr lang="fr-FR"/>
        </a:p>
      </dgm:t>
    </dgm:pt>
    <dgm:pt modelId="{DAE41B58-D5C0-4A41-A26A-FC8D7CC2F394}" type="sibTrans" cxnId="{DC64950E-008D-45CB-853B-33FEC8CDC68A}">
      <dgm:prSet/>
      <dgm:spPr/>
      <dgm:t>
        <a:bodyPr/>
        <a:lstStyle/>
        <a:p>
          <a:endParaRPr lang="fr-FR"/>
        </a:p>
      </dgm:t>
    </dgm:pt>
    <dgm:pt modelId="{9D8B49BD-1DF7-4888-9A7E-2CFD4320CC2B}" type="pres">
      <dgm:prSet presAssocID="{D981426F-5B7B-4AA5-957A-6E8C9E1A2487}" presName="cycle" presStyleCnt="0">
        <dgm:presLayoutVars>
          <dgm:chMax val="1"/>
          <dgm:dir/>
          <dgm:animLvl val="ctr"/>
          <dgm:resizeHandles val="exact"/>
        </dgm:presLayoutVars>
      </dgm:prSet>
      <dgm:spPr/>
      <dgm:t>
        <a:bodyPr/>
        <a:lstStyle/>
        <a:p>
          <a:endParaRPr lang="en-US"/>
        </a:p>
      </dgm:t>
    </dgm:pt>
    <dgm:pt modelId="{493DA7EC-5D69-41B7-92E4-ED7ED9F48883}" type="pres">
      <dgm:prSet presAssocID="{A7516A72-1FC0-46ED-AAC4-AF0F7063F737}" presName="centerShape" presStyleLbl="node0" presStyleIdx="0" presStyleCnt="1" custScaleX="291972" custLinFactNeighborX="4737" custLinFactNeighborY="1623"/>
      <dgm:spPr>
        <a:prstGeom prst="ellipse">
          <a:avLst/>
        </a:prstGeom>
      </dgm:spPr>
      <dgm:t>
        <a:bodyPr/>
        <a:lstStyle/>
        <a:p>
          <a:endParaRPr lang="en-US"/>
        </a:p>
      </dgm:t>
    </dgm:pt>
    <dgm:pt modelId="{E6ACA703-0949-41B3-BE6B-C702E5C7275F}" type="pres">
      <dgm:prSet presAssocID="{BA28F4A6-AD16-499D-88C1-DBE004B28175}" presName="Name9" presStyleLbl="parChTrans1D2" presStyleIdx="0" presStyleCnt="13"/>
      <dgm:spPr/>
      <dgm:t>
        <a:bodyPr/>
        <a:lstStyle/>
        <a:p>
          <a:endParaRPr lang="en-US"/>
        </a:p>
      </dgm:t>
    </dgm:pt>
    <dgm:pt modelId="{B06AADB2-5D51-41DC-8677-C0CC2357518B}" type="pres">
      <dgm:prSet presAssocID="{BA28F4A6-AD16-499D-88C1-DBE004B28175}" presName="connTx" presStyleLbl="parChTrans1D2" presStyleIdx="0" presStyleCnt="13"/>
      <dgm:spPr/>
      <dgm:t>
        <a:bodyPr/>
        <a:lstStyle/>
        <a:p>
          <a:endParaRPr lang="en-US"/>
        </a:p>
      </dgm:t>
    </dgm:pt>
    <dgm:pt modelId="{AFD0CC05-9AD4-4A51-8739-4FB4CA1E4ACE}" type="pres">
      <dgm:prSet presAssocID="{68A5766F-115C-487E-B7CB-4ADE150678D1}" presName="node" presStyleLbl="node1" presStyleIdx="0" presStyleCnt="13" custScaleX="244246" custScaleY="75353" custRadScaleRad="96533" custRadScaleInc="-18148">
        <dgm:presLayoutVars>
          <dgm:bulletEnabled val="1"/>
        </dgm:presLayoutVars>
      </dgm:prSet>
      <dgm:spPr>
        <a:prstGeom prst="ellipse">
          <a:avLst/>
        </a:prstGeom>
      </dgm:spPr>
      <dgm:t>
        <a:bodyPr/>
        <a:lstStyle/>
        <a:p>
          <a:endParaRPr lang="en-US"/>
        </a:p>
      </dgm:t>
    </dgm:pt>
    <dgm:pt modelId="{34515D96-C834-4D67-AF5C-3B293601CBC3}" type="pres">
      <dgm:prSet presAssocID="{DB9FEC62-86A7-454A-89B3-F32F1907C71A}" presName="Name9" presStyleLbl="parChTrans1D2" presStyleIdx="1" presStyleCnt="13"/>
      <dgm:spPr/>
      <dgm:t>
        <a:bodyPr/>
        <a:lstStyle/>
        <a:p>
          <a:endParaRPr lang="en-US"/>
        </a:p>
      </dgm:t>
    </dgm:pt>
    <dgm:pt modelId="{A8CF68B1-7D91-429E-8C8D-53007288E1DC}" type="pres">
      <dgm:prSet presAssocID="{DB9FEC62-86A7-454A-89B3-F32F1907C71A}" presName="connTx" presStyleLbl="parChTrans1D2" presStyleIdx="1" presStyleCnt="13"/>
      <dgm:spPr/>
      <dgm:t>
        <a:bodyPr/>
        <a:lstStyle/>
        <a:p>
          <a:endParaRPr lang="en-US"/>
        </a:p>
      </dgm:t>
    </dgm:pt>
    <dgm:pt modelId="{D9366F31-B7D7-4B43-830C-AD5E2193A794}" type="pres">
      <dgm:prSet presAssocID="{898446A3-EA8C-4C13-8A65-DF8A110D0838}" presName="node" presStyleLbl="node1" presStyleIdx="1" presStyleCnt="13" custScaleX="210790" custScaleY="129074" custRadScaleRad="124454" custRadScaleInc="105429">
        <dgm:presLayoutVars>
          <dgm:bulletEnabled val="1"/>
        </dgm:presLayoutVars>
      </dgm:prSet>
      <dgm:spPr>
        <a:prstGeom prst="ellipse">
          <a:avLst/>
        </a:prstGeom>
      </dgm:spPr>
      <dgm:t>
        <a:bodyPr/>
        <a:lstStyle/>
        <a:p>
          <a:endParaRPr lang="en-US"/>
        </a:p>
      </dgm:t>
    </dgm:pt>
    <dgm:pt modelId="{3F0F15B6-4D5A-493B-B03E-AE8141DC3DCE}" type="pres">
      <dgm:prSet presAssocID="{D94B5549-C2D2-4629-ACDF-33C6E334FA3A}" presName="Name9" presStyleLbl="parChTrans1D2" presStyleIdx="2" presStyleCnt="13"/>
      <dgm:spPr/>
      <dgm:t>
        <a:bodyPr/>
        <a:lstStyle/>
        <a:p>
          <a:endParaRPr lang="en-US"/>
        </a:p>
      </dgm:t>
    </dgm:pt>
    <dgm:pt modelId="{905DF954-A0B6-4A5F-9CE2-F1C3ADBDD0C1}" type="pres">
      <dgm:prSet presAssocID="{D94B5549-C2D2-4629-ACDF-33C6E334FA3A}" presName="connTx" presStyleLbl="parChTrans1D2" presStyleIdx="2" presStyleCnt="13"/>
      <dgm:spPr/>
      <dgm:t>
        <a:bodyPr/>
        <a:lstStyle/>
        <a:p>
          <a:endParaRPr lang="en-US"/>
        </a:p>
      </dgm:t>
    </dgm:pt>
    <dgm:pt modelId="{ECD2D13D-466C-468B-BD6C-1B646D8E5B8E}" type="pres">
      <dgm:prSet presAssocID="{F0FE4372-65E6-4D92-B9B0-D2B79F26FB27}" presName="node" presStyleLbl="node1" presStyleIdx="2" presStyleCnt="13" custScaleX="191794" custScaleY="98465" custRadScaleRad="169992" custRadScaleInc="65345">
        <dgm:presLayoutVars>
          <dgm:bulletEnabled val="1"/>
        </dgm:presLayoutVars>
      </dgm:prSet>
      <dgm:spPr>
        <a:prstGeom prst="ellipse">
          <a:avLst/>
        </a:prstGeom>
      </dgm:spPr>
      <dgm:t>
        <a:bodyPr/>
        <a:lstStyle/>
        <a:p>
          <a:endParaRPr lang="en-US"/>
        </a:p>
      </dgm:t>
    </dgm:pt>
    <dgm:pt modelId="{5CF8296B-0142-429D-A71A-20799D2EB74B}" type="pres">
      <dgm:prSet presAssocID="{D22DE764-173E-47DF-9480-722F8D8EA62C}" presName="Name9" presStyleLbl="parChTrans1D2" presStyleIdx="3" presStyleCnt="13"/>
      <dgm:spPr/>
      <dgm:t>
        <a:bodyPr/>
        <a:lstStyle/>
        <a:p>
          <a:endParaRPr lang="en-US"/>
        </a:p>
      </dgm:t>
    </dgm:pt>
    <dgm:pt modelId="{48797E66-4F8B-4B79-BCA7-6F88E85CF835}" type="pres">
      <dgm:prSet presAssocID="{D22DE764-173E-47DF-9480-722F8D8EA62C}" presName="connTx" presStyleLbl="parChTrans1D2" presStyleIdx="3" presStyleCnt="13"/>
      <dgm:spPr/>
      <dgm:t>
        <a:bodyPr/>
        <a:lstStyle/>
        <a:p>
          <a:endParaRPr lang="en-US"/>
        </a:p>
      </dgm:t>
    </dgm:pt>
    <dgm:pt modelId="{7E7DDE23-6C04-407D-AAB6-669511EA704E}" type="pres">
      <dgm:prSet presAssocID="{6DAE892F-3F2D-42A5-BB1C-58D0E6BD9A47}" presName="node" presStyleLbl="node1" presStyleIdx="3" presStyleCnt="13" custScaleX="254363" custScaleY="124346" custRadScaleRad="164172" custRadScaleInc="-21082">
        <dgm:presLayoutVars>
          <dgm:bulletEnabled val="1"/>
        </dgm:presLayoutVars>
      </dgm:prSet>
      <dgm:spPr>
        <a:prstGeom prst="ellipse">
          <a:avLst/>
        </a:prstGeom>
      </dgm:spPr>
      <dgm:t>
        <a:bodyPr/>
        <a:lstStyle/>
        <a:p>
          <a:endParaRPr lang="en-US"/>
        </a:p>
      </dgm:t>
    </dgm:pt>
    <dgm:pt modelId="{DC281168-2DBC-4CFB-B21D-C54E9628B383}" type="pres">
      <dgm:prSet presAssocID="{9E510621-404D-46D6-8EB3-39712C8626D4}" presName="Name9" presStyleLbl="parChTrans1D2" presStyleIdx="4" presStyleCnt="13"/>
      <dgm:spPr/>
      <dgm:t>
        <a:bodyPr/>
        <a:lstStyle/>
        <a:p>
          <a:endParaRPr lang="en-US"/>
        </a:p>
      </dgm:t>
    </dgm:pt>
    <dgm:pt modelId="{0D3BFC0A-5ED4-4CCF-A336-A529B3363890}" type="pres">
      <dgm:prSet presAssocID="{9E510621-404D-46D6-8EB3-39712C8626D4}" presName="connTx" presStyleLbl="parChTrans1D2" presStyleIdx="4" presStyleCnt="13"/>
      <dgm:spPr/>
      <dgm:t>
        <a:bodyPr/>
        <a:lstStyle/>
        <a:p>
          <a:endParaRPr lang="en-US"/>
        </a:p>
      </dgm:t>
    </dgm:pt>
    <dgm:pt modelId="{66DADE40-99AE-41BE-B997-129EED231064}" type="pres">
      <dgm:prSet presAssocID="{DB0D84B1-C440-4746-9EEF-F1ED71D64DD2}" presName="node" presStyleLbl="node1" presStyleIdx="4" presStyleCnt="13" custScaleX="272101" custRadScaleRad="174007" custRadScaleInc="-111364">
        <dgm:presLayoutVars>
          <dgm:bulletEnabled val="1"/>
        </dgm:presLayoutVars>
      </dgm:prSet>
      <dgm:spPr>
        <a:prstGeom prst="ellipse">
          <a:avLst/>
        </a:prstGeom>
      </dgm:spPr>
      <dgm:t>
        <a:bodyPr/>
        <a:lstStyle/>
        <a:p>
          <a:endParaRPr lang="en-US"/>
        </a:p>
      </dgm:t>
    </dgm:pt>
    <dgm:pt modelId="{4DF1B0BE-A63A-4BEA-9EE5-4168481CC99E}" type="pres">
      <dgm:prSet presAssocID="{3F89048A-3F9F-4897-8631-4599F4976029}" presName="Name9" presStyleLbl="parChTrans1D2" presStyleIdx="5" presStyleCnt="13"/>
      <dgm:spPr/>
      <dgm:t>
        <a:bodyPr/>
        <a:lstStyle/>
        <a:p>
          <a:endParaRPr lang="en-US"/>
        </a:p>
      </dgm:t>
    </dgm:pt>
    <dgm:pt modelId="{32B4D7AF-BD29-4AC4-BA11-37F2AE9561F4}" type="pres">
      <dgm:prSet presAssocID="{3F89048A-3F9F-4897-8631-4599F4976029}" presName="connTx" presStyleLbl="parChTrans1D2" presStyleIdx="5" presStyleCnt="13"/>
      <dgm:spPr/>
      <dgm:t>
        <a:bodyPr/>
        <a:lstStyle/>
        <a:p>
          <a:endParaRPr lang="en-US"/>
        </a:p>
      </dgm:t>
    </dgm:pt>
    <dgm:pt modelId="{DB594876-4070-4577-942D-67F5CD4D6A19}" type="pres">
      <dgm:prSet presAssocID="{14602118-D739-48CC-85E0-791974AFA995}" presName="node" presStyleLbl="node1" presStyleIdx="5" presStyleCnt="13" custScaleX="192189" custScaleY="102206" custRadScaleRad="159188" custRadScaleInc="-183297">
        <dgm:presLayoutVars>
          <dgm:bulletEnabled val="1"/>
        </dgm:presLayoutVars>
      </dgm:prSet>
      <dgm:spPr>
        <a:prstGeom prst="ellipse">
          <a:avLst/>
        </a:prstGeom>
      </dgm:spPr>
      <dgm:t>
        <a:bodyPr/>
        <a:lstStyle/>
        <a:p>
          <a:endParaRPr lang="en-US"/>
        </a:p>
      </dgm:t>
    </dgm:pt>
    <dgm:pt modelId="{E49C447F-3477-4311-B10B-FFFA7DE7209F}" type="pres">
      <dgm:prSet presAssocID="{98585C11-761C-43C4-979D-FB1B8BABF102}" presName="Name9" presStyleLbl="parChTrans1D2" presStyleIdx="6" presStyleCnt="13"/>
      <dgm:spPr/>
      <dgm:t>
        <a:bodyPr/>
        <a:lstStyle/>
        <a:p>
          <a:endParaRPr lang="en-US"/>
        </a:p>
      </dgm:t>
    </dgm:pt>
    <dgm:pt modelId="{B930024E-8665-4782-9C41-36517A71FCD4}" type="pres">
      <dgm:prSet presAssocID="{98585C11-761C-43C4-979D-FB1B8BABF102}" presName="connTx" presStyleLbl="parChTrans1D2" presStyleIdx="6" presStyleCnt="13"/>
      <dgm:spPr/>
      <dgm:t>
        <a:bodyPr/>
        <a:lstStyle/>
        <a:p>
          <a:endParaRPr lang="en-US"/>
        </a:p>
      </dgm:t>
    </dgm:pt>
    <dgm:pt modelId="{69F18085-0AC3-4BAE-9B16-F8478FFBD61E}" type="pres">
      <dgm:prSet presAssocID="{7C1FA040-4399-40F0-866F-845B7914F68D}" presName="node" presStyleLbl="node1" presStyleIdx="6" presStyleCnt="13" custScaleX="228514" custScaleY="88133" custRadScaleRad="120253" custRadScaleInc="-190238">
        <dgm:presLayoutVars>
          <dgm:bulletEnabled val="1"/>
        </dgm:presLayoutVars>
      </dgm:prSet>
      <dgm:spPr>
        <a:prstGeom prst="ellipse">
          <a:avLst/>
        </a:prstGeom>
      </dgm:spPr>
      <dgm:t>
        <a:bodyPr/>
        <a:lstStyle/>
        <a:p>
          <a:endParaRPr lang="en-US"/>
        </a:p>
      </dgm:t>
    </dgm:pt>
    <dgm:pt modelId="{FCC14444-D5E7-4E9C-B980-A27CD799E442}" type="pres">
      <dgm:prSet presAssocID="{DEF73824-C893-4963-9504-7E97D2FF5253}" presName="Name9" presStyleLbl="parChTrans1D2" presStyleIdx="7" presStyleCnt="13"/>
      <dgm:spPr/>
      <dgm:t>
        <a:bodyPr/>
        <a:lstStyle/>
        <a:p>
          <a:endParaRPr lang="en-US"/>
        </a:p>
      </dgm:t>
    </dgm:pt>
    <dgm:pt modelId="{3EA6B60F-F2E8-4D48-9EC1-CAAE09243949}" type="pres">
      <dgm:prSet presAssocID="{DEF73824-C893-4963-9504-7E97D2FF5253}" presName="connTx" presStyleLbl="parChTrans1D2" presStyleIdx="7" presStyleCnt="13"/>
      <dgm:spPr/>
      <dgm:t>
        <a:bodyPr/>
        <a:lstStyle/>
        <a:p>
          <a:endParaRPr lang="en-US"/>
        </a:p>
      </dgm:t>
    </dgm:pt>
    <dgm:pt modelId="{49C45DFA-0A15-4DAA-80DC-CAE4ABCC6B43}" type="pres">
      <dgm:prSet presAssocID="{2628F477-2289-4CEE-9618-96DDAFCD4291}" presName="node" presStyleLbl="node1" presStyleIdx="7" presStyleCnt="13" custScaleX="210285" custScaleY="109229" custRadScaleRad="99504" custRadScaleInc="-81553">
        <dgm:presLayoutVars>
          <dgm:bulletEnabled val="1"/>
        </dgm:presLayoutVars>
      </dgm:prSet>
      <dgm:spPr>
        <a:prstGeom prst="ellipse">
          <a:avLst/>
        </a:prstGeom>
      </dgm:spPr>
      <dgm:t>
        <a:bodyPr/>
        <a:lstStyle/>
        <a:p>
          <a:endParaRPr lang="en-US"/>
        </a:p>
      </dgm:t>
    </dgm:pt>
    <dgm:pt modelId="{7B59CB2C-C82F-41EE-B3CF-ADD4878ADBA6}" type="pres">
      <dgm:prSet presAssocID="{2F72DDEE-62D3-48A5-836A-4C87596541F0}" presName="Name9" presStyleLbl="parChTrans1D2" presStyleIdx="8" presStyleCnt="13"/>
      <dgm:spPr>
        <a:custGeom>
          <a:avLst/>
          <a:gdLst/>
          <a:ahLst/>
          <a:cxnLst/>
          <a:rect l="0" t="0" r="0" b="0"/>
          <a:pathLst>
            <a:path>
              <a:moveTo>
                <a:pt x="0" y="7346"/>
              </a:moveTo>
              <a:lnTo>
                <a:pt x="1124137" y="7346"/>
              </a:lnTo>
            </a:path>
          </a:pathLst>
        </a:custGeom>
      </dgm:spPr>
      <dgm:t>
        <a:bodyPr/>
        <a:lstStyle/>
        <a:p>
          <a:endParaRPr lang="en-US"/>
        </a:p>
      </dgm:t>
    </dgm:pt>
    <dgm:pt modelId="{280B3AB5-4999-4B99-8BE9-E09C9DF5D482}" type="pres">
      <dgm:prSet presAssocID="{2F72DDEE-62D3-48A5-836A-4C87596541F0}" presName="connTx" presStyleLbl="parChTrans1D2" presStyleIdx="8" presStyleCnt="13"/>
      <dgm:spPr/>
      <dgm:t>
        <a:bodyPr/>
        <a:lstStyle/>
        <a:p>
          <a:endParaRPr lang="en-US"/>
        </a:p>
      </dgm:t>
    </dgm:pt>
    <dgm:pt modelId="{402B25BB-F397-46B5-AAB7-C38C2276BF82}" type="pres">
      <dgm:prSet presAssocID="{44FBC2E2-D754-42C1-BEE4-690296442511}" presName="node" presStyleLbl="node1" presStyleIdx="8" presStyleCnt="13" custScaleX="239378" custScaleY="122059" custRadScaleRad="156703" custRadScaleInc="-29867">
        <dgm:presLayoutVars>
          <dgm:bulletEnabled val="1"/>
        </dgm:presLayoutVars>
      </dgm:prSet>
      <dgm:spPr>
        <a:prstGeom prst="ellipse">
          <a:avLst/>
        </a:prstGeom>
      </dgm:spPr>
      <dgm:t>
        <a:bodyPr/>
        <a:lstStyle/>
        <a:p>
          <a:endParaRPr lang="en-US"/>
        </a:p>
      </dgm:t>
    </dgm:pt>
    <dgm:pt modelId="{EFB9CB5A-411C-454B-96B1-9ED988829CBE}" type="pres">
      <dgm:prSet presAssocID="{B4A5C031-92B2-438E-80BC-EAA05F5C7CF7}" presName="Name9" presStyleLbl="parChTrans1D2" presStyleIdx="9" presStyleCnt="13"/>
      <dgm:spPr/>
      <dgm:t>
        <a:bodyPr/>
        <a:lstStyle/>
        <a:p>
          <a:endParaRPr lang="en-US"/>
        </a:p>
      </dgm:t>
    </dgm:pt>
    <dgm:pt modelId="{A140118B-14B1-45A7-9CF9-17E4D006F84D}" type="pres">
      <dgm:prSet presAssocID="{B4A5C031-92B2-438E-80BC-EAA05F5C7CF7}" presName="connTx" presStyleLbl="parChTrans1D2" presStyleIdx="9" presStyleCnt="13"/>
      <dgm:spPr/>
      <dgm:t>
        <a:bodyPr/>
        <a:lstStyle/>
        <a:p>
          <a:endParaRPr lang="en-US"/>
        </a:p>
      </dgm:t>
    </dgm:pt>
    <dgm:pt modelId="{5AF8D9AC-0C15-4D1B-BCD3-7FFCFF0A581D}" type="pres">
      <dgm:prSet presAssocID="{D460D018-736B-4CE5-A14B-061F8EFE829B}" presName="node" presStyleLbl="node1" presStyleIdx="9" presStyleCnt="13" custScaleX="242589" custScaleY="112385" custRadScaleRad="161523" custRadScaleInc="10174">
        <dgm:presLayoutVars>
          <dgm:bulletEnabled val="1"/>
        </dgm:presLayoutVars>
      </dgm:prSet>
      <dgm:spPr>
        <a:prstGeom prst="ellipse">
          <a:avLst/>
        </a:prstGeom>
      </dgm:spPr>
      <dgm:t>
        <a:bodyPr/>
        <a:lstStyle/>
        <a:p>
          <a:endParaRPr lang="en-US"/>
        </a:p>
      </dgm:t>
    </dgm:pt>
    <dgm:pt modelId="{701CC827-3AE5-4421-983B-6398C783C82F}" type="pres">
      <dgm:prSet presAssocID="{98B9F8AD-7347-45A5-BC2B-65EB3DDF63CC}" presName="Name9" presStyleLbl="parChTrans1D2" presStyleIdx="10" presStyleCnt="13"/>
      <dgm:spPr/>
      <dgm:t>
        <a:bodyPr/>
        <a:lstStyle/>
        <a:p>
          <a:endParaRPr lang="en-US"/>
        </a:p>
      </dgm:t>
    </dgm:pt>
    <dgm:pt modelId="{282CA825-226C-4E92-9F37-4F68B159DB24}" type="pres">
      <dgm:prSet presAssocID="{98B9F8AD-7347-45A5-BC2B-65EB3DDF63CC}" presName="connTx" presStyleLbl="parChTrans1D2" presStyleIdx="10" presStyleCnt="13"/>
      <dgm:spPr/>
      <dgm:t>
        <a:bodyPr/>
        <a:lstStyle/>
        <a:p>
          <a:endParaRPr lang="en-US"/>
        </a:p>
      </dgm:t>
    </dgm:pt>
    <dgm:pt modelId="{A86195D8-E78B-4F8B-B1C4-EFBBA8999B88}" type="pres">
      <dgm:prSet presAssocID="{D65A13E9-3C79-4155-B943-C33E81DAC317}" presName="node" presStyleLbl="node1" presStyleIdx="10" presStyleCnt="13" custScaleX="212787" custScaleY="95286" custRadScaleRad="155912" custRadScaleInc="-59542">
        <dgm:presLayoutVars>
          <dgm:bulletEnabled val="1"/>
        </dgm:presLayoutVars>
      </dgm:prSet>
      <dgm:spPr>
        <a:prstGeom prst="ellipse">
          <a:avLst/>
        </a:prstGeom>
      </dgm:spPr>
      <dgm:t>
        <a:bodyPr/>
        <a:lstStyle/>
        <a:p>
          <a:endParaRPr lang="en-US"/>
        </a:p>
      </dgm:t>
    </dgm:pt>
    <dgm:pt modelId="{56DC3FB7-FEB4-4CA1-911E-111FB1915BB0}" type="pres">
      <dgm:prSet presAssocID="{AF2F2798-D6F2-48C6-8603-284B4B1E72C7}" presName="Name9" presStyleLbl="parChTrans1D2" presStyleIdx="11" presStyleCnt="13"/>
      <dgm:spPr/>
      <dgm:t>
        <a:bodyPr/>
        <a:lstStyle/>
        <a:p>
          <a:endParaRPr lang="fr-FR"/>
        </a:p>
      </dgm:t>
    </dgm:pt>
    <dgm:pt modelId="{DB5645BA-09A6-4B91-9EFD-525E1F03D549}" type="pres">
      <dgm:prSet presAssocID="{AF2F2798-D6F2-48C6-8603-284B4B1E72C7}" presName="connTx" presStyleLbl="parChTrans1D2" presStyleIdx="11" presStyleCnt="13"/>
      <dgm:spPr/>
      <dgm:t>
        <a:bodyPr/>
        <a:lstStyle/>
        <a:p>
          <a:endParaRPr lang="fr-FR"/>
        </a:p>
      </dgm:t>
    </dgm:pt>
    <dgm:pt modelId="{FC1864C6-ECFC-4BED-8858-5C4B46AA1DB9}" type="pres">
      <dgm:prSet presAssocID="{00DA2DEA-7B17-44EE-B8F3-4B2A83FBF579}" presName="node" presStyleLbl="node1" presStyleIdx="11" presStyleCnt="13" custScaleX="217862" custRadScaleRad="143853" custRadScaleInc="-119250">
        <dgm:presLayoutVars>
          <dgm:bulletEnabled val="1"/>
        </dgm:presLayoutVars>
      </dgm:prSet>
      <dgm:spPr/>
      <dgm:t>
        <a:bodyPr/>
        <a:lstStyle/>
        <a:p>
          <a:endParaRPr lang="fr-FR"/>
        </a:p>
      </dgm:t>
    </dgm:pt>
    <dgm:pt modelId="{33C54B8E-FDEC-49F3-89CC-AF34C88AB1DB}" type="pres">
      <dgm:prSet presAssocID="{84EDB25F-D388-464E-BF3A-D8A2BD367A5F}" presName="Name9" presStyleLbl="parChTrans1D2" presStyleIdx="12" presStyleCnt="13"/>
      <dgm:spPr/>
      <dgm:t>
        <a:bodyPr/>
        <a:lstStyle/>
        <a:p>
          <a:endParaRPr lang="fr-FR"/>
        </a:p>
      </dgm:t>
    </dgm:pt>
    <dgm:pt modelId="{106D9E3C-12C9-4543-AEE2-80708AF35501}" type="pres">
      <dgm:prSet presAssocID="{84EDB25F-D388-464E-BF3A-D8A2BD367A5F}" presName="connTx" presStyleLbl="parChTrans1D2" presStyleIdx="12" presStyleCnt="13"/>
      <dgm:spPr/>
      <dgm:t>
        <a:bodyPr/>
        <a:lstStyle/>
        <a:p>
          <a:endParaRPr lang="fr-FR"/>
        </a:p>
      </dgm:t>
    </dgm:pt>
    <dgm:pt modelId="{9037AE07-77DD-4B23-9BF3-64D76F4B2837}" type="pres">
      <dgm:prSet presAssocID="{8717D03D-6327-45C7-856C-73F244E498C0}" presName="node" presStyleLbl="node1" presStyleIdx="12" presStyleCnt="13" custScaleX="217862" custRadScaleRad="109776" custRadScaleInc="-132600">
        <dgm:presLayoutVars>
          <dgm:bulletEnabled val="1"/>
        </dgm:presLayoutVars>
      </dgm:prSet>
      <dgm:spPr/>
      <dgm:t>
        <a:bodyPr/>
        <a:lstStyle/>
        <a:p>
          <a:endParaRPr lang="fr-FR"/>
        </a:p>
      </dgm:t>
    </dgm:pt>
  </dgm:ptLst>
  <dgm:cxnLst>
    <dgm:cxn modelId="{FE1169E0-24DF-4FBB-A1C9-8F332C85663A}" srcId="{A7516A72-1FC0-46ED-AAC4-AF0F7063F737}" destId="{6DAE892F-3F2D-42A5-BB1C-58D0E6BD9A47}" srcOrd="3" destOrd="0" parTransId="{D22DE764-173E-47DF-9480-722F8D8EA62C}" sibTransId="{28BD2EB6-8814-456D-B684-C7C0E2C0705F}"/>
    <dgm:cxn modelId="{A30A65A1-D69F-4032-9593-C8B2FC731B38}" type="presOf" srcId="{9E510621-404D-46D6-8EB3-39712C8626D4}" destId="{DC281168-2DBC-4CFB-B21D-C54E9628B383}" srcOrd="0" destOrd="0" presId="urn:microsoft.com/office/officeart/2005/8/layout/radial1"/>
    <dgm:cxn modelId="{18D3C44D-F587-400C-A7D0-09C0B38C8625}" type="presOf" srcId="{B4A5C031-92B2-438E-80BC-EAA05F5C7CF7}" destId="{EFB9CB5A-411C-454B-96B1-9ED988829CBE}" srcOrd="0" destOrd="0" presId="urn:microsoft.com/office/officeart/2005/8/layout/radial1"/>
    <dgm:cxn modelId="{E3798E80-8810-4EBC-955F-CAFC12889BF2}" type="presOf" srcId="{3F89048A-3F9F-4897-8631-4599F4976029}" destId="{32B4D7AF-BD29-4AC4-BA11-37F2AE9561F4}" srcOrd="1" destOrd="0" presId="urn:microsoft.com/office/officeart/2005/8/layout/radial1"/>
    <dgm:cxn modelId="{3E967124-DD47-4EC7-9239-E5DF9F3DC69F}" type="presOf" srcId="{D94B5549-C2D2-4629-ACDF-33C6E334FA3A}" destId="{905DF954-A0B6-4A5F-9CE2-F1C3ADBDD0C1}" srcOrd="1" destOrd="0" presId="urn:microsoft.com/office/officeart/2005/8/layout/radial1"/>
    <dgm:cxn modelId="{D9F93438-6E45-46EE-8362-307255390703}" type="presOf" srcId="{98585C11-761C-43C4-979D-FB1B8BABF102}" destId="{B930024E-8665-4782-9C41-36517A71FCD4}" srcOrd="1" destOrd="0" presId="urn:microsoft.com/office/officeart/2005/8/layout/radial1"/>
    <dgm:cxn modelId="{098DC32E-6E56-41CE-9DAF-778716F29C09}" type="presOf" srcId="{BA28F4A6-AD16-499D-88C1-DBE004B28175}" destId="{E6ACA703-0949-41B3-BE6B-C702E5C7275F}" srcOrd="0" destOrd="0" presId="urn:microsoft.com/office/officeart/2005/8/layout/radial1"/>
    <dgm:cxn modelId="{CFE13C13-E3A1-4D17-B711-EFBAC45B1459}" type="presOf" srcId="{7C1FA040-4399-40F0-866F-845B7914F68D}" destId="{69F18085-0AC3-4BAE-9B16-F8478FFBD61E}" srcOrd="0" destOrd="0" presId="urn:microsoft.com/office/officeart/2005/8/layout/radial1"/>
    <dgm:cxn modelId="{CFAAE905-0002-4D9B-9C47-4B2A66CC3C90}" type="presOf" srcId="{898446A3-EA8C-4C13-8A65-DF8A110D0838}" destId="{D9366F31-B7D7-4B43-830C-AD5E2193A794}" srcOrd="0" destOrd="0" presId="urn:microsoft.com/office/officeart/2005/8/layout/radial1"/>
    <dgm:cxn modelId="{AACA1276-7848-4D2C-964F-3FCD6689A008}" type="presOf" srcId="{D460D018-736B-4CE5-A14B-061F8EFE829B}" destId="{5AF8D9AC-0C15-4D1B-BCD3-7FFCFF0A581D}" srcOrd="0" destOrd="0" presId="urn:microsoft.com/office/officeart/2005/8/layout/radial1"/>
    <dgm:cxn modelId="{DF9EB478-C224-42F7-822E-5C2EA98D82E9}" srcId="{A7516A72-1FC0-46ED-AAC4-AF0F7063F737}" destId="{D65A13E9-3C79-4155-B943-C33E81DAC317}" srcOrd="10" destOrd="0" parTransId="{98B9F8AD-7347-45A5-BC2B-65EB3DDF63CC}" sibTransId="{65C76345-3C56-4B13-AF62-A1F968209579}"/>
    <dgm:cxn modelId="{897F61E8-2564-4339-979D-785B7B05CD1D}" type="presOf" srcId="{DEF73824-C893-4963-9504-7E97D2FF5253}" destId="{FCC14444-D5E7-4E9C-B980-A27CD799E442}" srcOrd="0" destOrd="0" presId="urn:microsoft.com/office/officeart/2005/8/layout/radial1"/>
    <dgm:cxn modelId="{1155CC64-B5CB-4520-A6F2-0B6B3697C253}" type="presOf" srcId="{BA28F4A6-AD16-499D-88C1-DBE004B28175}" destId="{B06AADB2-5D51-41DC-8677-C0CC2357518B}" srcOrd="1" destOrd="0" presId="urn:microsoft.com/office/officeart/2005/8/layout/radial1"/>
    <dgm:cxn modelId="{E3D5FD7B-974D-4FA4-A8B9-1CD076F96F49}" type="presOf" srcId="{98B9F8AD-7347-45A5-BC2B-65EB3DDF63CC}" destId="{701CC827-3AE5-4421-983B-6398C783C82F}" srcOrd="0" destOrd="0" presId="urn:microsoft.com/office/officeart/2005/8/layout/radial1"/>
    <dgm:cxn modelId="{A1357B0A-C240-4A91-89D8-A39634308683}" srcId="{A7516A72-1FC0-46ED-AAC4-AF0F7063F737}" destId="{44FBC2E2-D754-42C1-BEE4-690296442511}" srcOrd="8" destOrd="0" parTransId="{2F72DDEE-62D3-48A5-836A-4C87596541F0}" sibTransId="{A8D506B7-E9B0-4378-B011-FCC599FE960D}"/>
    <dgm:cxn modelId="{F801A436-6745-47DD-96FD-613A3DE3EEA6}" type="presOf" srcId="{AF2F2798-D6F2-48C6-8603-284B4B1E72C7}" destId="{56DC3FB7-FEB4-4CA1-911E-111FB1915BB0}" srcOrd="0" destOrd="0" presId="urn:microsoft.com/office/officeart/2005/8/layout/radial1"/>
    <dgm:cxn modelId="{C26DE476-232C-40C5-8201-AE1B6A661F87}" type="presOf" srcId="{F0FE4372-65E6-4D92-B9B0-D2B79F26FB27}" destId="{ECD2D13D-466C-468B-BD6C-1B646D8E5B8E}" srcOrd="0" destOrd="0" presId="urn:microsoft.com/office/officeart/2005/8/layout/radial1"/>
    <dgm:cxn modelId="{8B11503A-4B3C-4A87-846A-A3B7F60BA08F}" type="presOf" srcId="{98B9F8AD-7347-45A5-BC2B-65EB3DDF63CC}" destId="{282CA825-226C-4E92-9F37-4F68B159DB24}" srcOrd="1" destOrd="0" presId="urn:microsoft.com/office/officeart/2005/8/layout/radial1"/>
    <dgm:cxn modelId="{5196CBA2-BE90-45EF-8531-CAA9E0533800}" type="presOf" srcId="{2F72DDEE-62D3-48A5-836A-4C87596541F0}" destId="{280B3AB5-4999-4B99-8BE9-E09C9DF5D482}" srcOrd="1" destOrd="0" presId="urn:microsoft.com/office/officeart/2005/8/layout/radial1"/>
    <dgm:cxn modelId="{A03F8480-BE64-4B14-9DE1-3215F5E2D04E}" type="presOf" srcId="{68A5766F-115C-487E-B7CB-4ADE150678D1}" destId="{AFD0CC05-9AD4-4A51-8739-4FB4CA1E4ACE}" srcOrd="0" destOrd="0" presId="urn:microsoft.com/office/officeart/2005/8/layout/radial1"/>
    <dgm:cxn modelId="{2EF198BA-2613-47F2-BAE4-7DD190E16A99}" type="presOf" srcId="{3F89048A-3F9F-4897-8631-4599F4976029}" destId="{4DF1B0BE-A63A-4BEA-9EE5-4168481CC99E}" srcOrd="0" destOrd="0" presId="urn:microsoft.com/office/officeart/2005/8/layout/radial1"/>
    <dgm:cxn modelId="{D323ECD9-FA44-4BF5-943B-93F9DC4BC102}" type="presOf" srcId="{8717D03D-6327-45C7-856C-73F244E498C0}" destId="{9037AE07-77DD-4B23-9BF3-64D76F4B2837}" srcOrd="0" destOrd="0" presId="urn:microsoft.com/office/officeart/2005/8/layout/radial1"/>
    <dgm:cxn modelId="{9913C351-F4FE-4438-8299-F1D6321C9740}" type="presOf" srcId="{2F72DDEE-62D3-48A5-836A-4C87596541F0}" destId="{7B59CB2C-C82F-41EE-B3CF-ADD4878ADBA6}" srcOrd="0" destOrd="0" presId="urn:microsoft.com/office/officeart/2005/8/layout/radial1"/>
    <dgm:cxn modelId="{CB201F86-FCD4-4E86-8690-E171DDD33C0A}" type="presOf" srcId="{D22DE764-173E-47DF-9480-722F8D8EA62C}" destId="{5CF8296B-0142-429D-A71A-20799D2EB74B}" srcOrd="0" destOrd="0" presId="urn:microsoft.com/office/officeart/2005/8/layout/radial1"/>
    <dgm:cxn modelId="{9C4CCDCF-5550-43DE-BA52-9D35296E5701}" type="presOf" srcId="{DEF73824-C893-4963-9504-7E97D2FF5253}" destId="{3EA6B60F-F2E8-4D48-9EC1-CAAE09243949}" srcOrd="1" destOrd="0" presId="urn:microsoft.com/office/officeart/2005/8/layout/radial1"/>
    <dgm:cxn modelId="{3AE3E096-1EC1-4759-9B50-DBF94FA4B6E9}" type="presOf" srcId="{DB0D84B1-C440-4746-9EEF-F1ED71D64DD2}" destId="{66DADE40-99AE-41BE-B997-129EED231064}" srcOrd="0" destOrd="0" presId="urn:microsoft.com/office/officeart/2005/8/layout/radial1"/>
    <dgm:cxn modelId="{49ECB913-8ADA-41A7-BD1A-10B59DEA71A9}" type="presOf" srcId="{AF2F2798-D6F2-48C6-8603-284B4B1E72C7}" destId="{DB5645BA-09A6-4B91-9EFD-525E1F03D549}" srcOrd="1" destOrd="0" presId="urn:microsoft.com/office/officeart/2005/8/layout/radial1"/>
    <dgm:cxn modelId="{0C5C7E98-D3BD-48DF-9E05-A45667C3A05F}" type="presOf" srcId="{D981426F-5B7B-4AA5-957A-6E8C9E1A2487}" destId="{9D8B49BD-1DF7-4888-9A7E-2CFD4320CC2B}" srcOrd="0" destOrd="0" presId="urn:microsoft.com/office/officeart/2005/8/layout/radial1"/>
    <dgm:cxn modelId="{333E8F20-31E9-4D6F-9F31-24FBF63076E9}" srcId="{A7516A72-1FC0-46ED-AAC4-AF0F7063F737}" destId="{D460D018-736B-4CE5-A14B-061F8EFE829B}" srcOrd="9" destOrd="0" parTransId="{B4A5C031-92B2-438E-80BC-EAA05F5C7CF7}" sibTransId="{13E4242D-C1FF-4F31-B2EF-0F857644C218}"/>
    <dgm:cxn modelId="{996B9653-906A-49F8-9E4B-3836F7905D4E}" srcId="{D981426F-5B7B-4AA5-957A-6E8C9E1A2487}" destId="{A7516A72-1FC0-46ED-AAC4-AF0F7063F737}" srcOrd="0" destOrd="0" parTransId="{D9E0AFEB-65B5-4280-ADD0-766B3ADA6CFD}" sibTransId="{6B1EB84D-437E-47A1-87CB-9027EE716AD0}"/>
    <dgm:cxn modelId="{56E99A3B-80ED-4B26-9A4E-26B486CFD254}" type="presOf" srcId="{D94B5549-C2D2-4629-ACDF-33C6E334FA3A}" destId="{3F0F15B6-4D5A-493B-B03E-AE8141DC3DCE}" srcOrd="0" destOrd="0" presId="urn:microsoft.com/office/officeart/2005/8/layout/radial1"/>
    <dgm:cxn modelId="{12C149BB-E311-430C-BD50-E1DB3827C1E4}" type="presOf" srcId="{6DAE892F-3F2D-42A5-BB1C-58D0E6BD9A47}" destId="{7E7DDE23-6C04-407D-AAB6-669511EA704E}" srcOrd="0" destOrd="0" presId="urn:microsoft.com/office/officeart/2005/8/layout/radial1"/>
    <dgm:cxn modelId="{240AE42F-2614-481E-8035-64DAFAD84039}" type="presOf" srcId="{B4A5C031-92B2-438E-80BC-EAA05F5C7CF7}" destId="{A140118B-14B1-45A7-9CF9-17E4D006F84D}" srcOrd="1" destOrd="0" presId="urn:microsoft.com/office/officeart/2005/8/layout/radial1"/>
    <dgm:cxn modelId="{84826536-FF9D-47C5-902D-DB146A527C2A}" srcId="{A7516A72-1FC0-46ED-AAC4-AF0F7063F737}" destId="{68A5766F-115C-487E-B7CB-4ADE150678D1}" srcOrd="0" destOrd="0" parTransId="{BA28F4A6-AD16-499D-88C1-DBE004B28175}" sibTransId="{BA9B1909-6561-415A-8EF0-B53DE88FCEBA}"/>
    <dgm:cxn modelId="{1639636B-E6A2-4C4A-92A4-BDD0C2CA1784}" type="presOf" srcId="{84EDB25F-D388-464E-BF3A-D8A2BD367A5F}" destId="{33C54B8E-FDEC-49F3-89CC-AF34C88AB1DB}" srcOrd="0" destOrd="0" presId="urn:microsoft.com/office/officeart/2005/8/layout/radial1"/>
    <dgm:cxn modelId="{345C13DF-1D3F-4982-AF23-DC2641540559}" srcId="{A7516A72-1FC0-46ED-AAC4-AF0F7063F737}" destId="{7C1FA040-4399-40F0-866F-845B7914F68D}" srcOrd="6" destOrd="0" parTransId="{98585C11-761C-43C4-979D-FB1B8BABF102}" sibTransId="{82A7CC90-6A4C-422A-B221-BA4CF5B4D442}"/>
    <dgm:cxn modelId="{073EFB0D-BCBB-49F1-9C48-71B070CFE296}" type="presOf" srcId="{44FBC2E2-D754-42C1-BEE4-690296442511}" destId="{402B25BB-F397-46B5-AAB7-C38C2276BF82}" srcOrd="0" destOrd="0" presId="urn:microsoft.com/office/officeart/2005/8/layout/radial1"/>
    <dgm:cxn modelId="{FD53B303-55B1-45AA-B68E-3B253DC84072}" type="presOf" srcId="{98585C11-761C-43C4-979D-FB1B8BABF102}" destId="{E49C447F-3477-4311-B10B-FFFA7DE7209F}" srcOrd="0" destOrd="0" presId="urn:microsoft.com/office/officeart/2005/8/layout/radial1"/>
    <dgm:cxn modelId="{C7DD68AE-99B2-4937-A127-D654A2E99784}" srcId="{A7516A72-1FC0-46ED-AAC4-AF0F7063F737}" destId="{DB0D84B1-C440-4746-9EEF-F1ED71D64DD2}" srcOrd="4" destOrd="0" parTransId="{9E510621-404D-46D6-8EB3-39712C8626D4}" sibTransId="{99C4878C-8523-40E3-93C5-8DC55D31DB77}"/>
    <dgm:cxn modelId="{DC64950E-008D-45CB-853B-33FEC8CDC68A}" srcId="{A7516A72-1FC0-46ED-AAC4-AF0F7063F737}" destId="{8717D03D-6327-45C7-856C-73F244E498C0}" srcOrd="12" destOrd="0" parTransId="{84EDB25F-D388-464E-BF3A-D8A2BD367A5F}" sibTransId="{DAE41B58-D5C0-4A41-A26A-FC8D7CC2F394}"/>
    <dgm:cxn modelId="{E5DD3C3F-F401-46C8-9D1F-CEE8478EFA81}" srcId="{A7516A72-1FC0-46ED-AAC4-AF0F7063F737}" destId="{2628F477-2289-4CEE-9618-96DDAFCD4291}" srcOrd="7" destOrd="0" parTransId="{DEF73824-C893-4963-9504-7E97D2FF5253}" sibTransId="{6D6ABE48-6FEB-4EAA-849C-585AC08FCF5B}"/>
    <dgm:cxn modelId="{1229807D-6A59-498C-A707-9DD6CEEA0C8D}" srcId="{A7516A72-1FC0-46ED-AAC4-AF0F7063F737}" destId="{F0FE4372-65E6-4D92-B9B0-D2B79F26FB27}" srcOrd="2" destOrd="0" parTransId="{D94B5549-C2D2-4629-ACDF-33C6E334FA3A}" sibTransId="{E2B06661-55BE-4022-AD18-067DB2509F93}"/>
    <dgm:cxn modelId="{17F42B59-3597-4754-9F0B-BB23EBA7DD3E}" type="presOf" srcId="{D22DE764-173E-47DF-9480-722F8D8EA62C}" destId="{48797E66-4F8B-4B79-BCA7-6F88E85CF835}" srcOrd="1" destOrd="0" presId="urn:microsoft.com/office/officeart/2005/8/layout/radial1"/>
    <dgm:cxn modelId="{94C0061A-E2AF-4CE5-84D4-F1677451673F}" type="presOf" srcId="{A7516A72-1FC0-46ED-AAC4-AF0F7063F737}" destId="{493DA7EC-5D69-41B7-92E4-ED7ED9F48883}" srcOrd="0" destOrd="0" presId="urn:microsoft.com/office/officeart/2005/8/layout/radial1"/>
    <dgm:cxn modelId="{0E6227E0-3F3F-4C65-A124-8B128F27420C}" type="presOf" srcId="{9E510621-404D-46D6-8EB3-39712C8626D4}" destId="{0D3BFC0A-5ED4-4CCF-A336-A529B3363890}" srcOrd="1" destOrd="0" presId="urn:microsoft.com/office/officeart/2005/8/layout/radial1"/>
    <dgm:cxn modelId="{3138FD81-FCE3-4020-9313-BAD8BCAF820B}" srcId="{A7516A72-1FC0-46ED-AAC4-AF0F7063F737}" destId="{14602118-D739-48CC-85E0-791974AFA995}" srcOrd="5" destOrd="0" parTransId="{3F89048A-3F9F-4897-8631-4599F4976029}" sibTransId="{85730AA2-ED16-41DB-9898-B2A63ECD874D}"/>
    <dgm:cxn modelId="{FDF0F646-6331-4651-9378-4A1209BE5A4E}" type="presOf" srcId="{DB9FEC62-86A7-454A-89B3-F32F1907C71A}" destId="{34515D96-C834-4D67-AF5C-3B293601CBC3}" srcOrd="0" destOrd="0" presId="urn:microsoft.com/office/officeart/2005/8/layout/radial1"/>
    <dgm:cxn modelId="{99AABA90-A4C3-4D62-823F-9CCB4CD9598D}" type="presOf" srcId="{D65A13E9-3C79-4155-B943-C33E81DAC317}" destId="{A86195D8-E78B-4F8B-B1C4-EFBBA8999B88}" srcOrd="0" destOrd="0" presId="urn:microsoft.com/office/officeart/2005/8/layout/radial1"/>
    <dgm:cxn modelId="{45CA9E94-8EE3-4B8F-8404-02B1CEBEAB9E}" type="presOf" srcId="{84EDB25F-D388-464E-BF3A-D8A2BD367A5F}" destId="{106D9E3C-12C9-4543-AEE2-80708AF35501}" srcOrd="1" destOrd="0" presId="urn:microsoft.com/office/officeart/2005/8/layout/radial1"/>
    <dgm:cxn modelId="{A93C1B4A-74B5-4343-AF12-0C2C4D914189}" srcId="{A7516A72-1FC0-46ED-AAC4-AF0F7063F737}" destId="{898446A3-EA8C-4C13-8A65-DF8A110D0838}" srcOrd="1" destOrd="0" parTransId="{DB9FEC62-86A7-454A-89B3-F32F1907C71A}" sibTransId="{E56928EA-8406-4998-BE40-3F4796EA5932}"/>
    <dgm:cxn modelId="{9E9BD505-460A-4209-A212-A849376A4B82}" type="presOf" srcId="{DB9FEC62-86A7-454A-89B3-F32F1907C71A}" destId="{A8CF68B1-7D91-429E-8C8D-53007288E1DC}" srcOrd="1" destOrd="0" presId="urn:microsoft.com/office/officeart/2005/8/layout/radial1"/>
    <dgm:cxn modelId="{6E3FC126-EC62-4122-A5CE-E026317C4C93}" type="presOf" srcId="{14602118-D739-48CC-85E0-791974AFA995}" destId="{DB594876-4070-4577-942D-67F5CD4D6A19}" srcOrd="0" destOrd="0" presId="urn:microsoft.com/office/officeart/2005/8/layout/radial1"/>
    <dgm:cxn modelId="{30E4CEA7-9B68-4726-95B3-BA62B659A427}" type="presOf" srcId="{00DA2DEA-7B17-44EE-B8F3-4B2A83FBF579}" destId="{FC1864C6-ECFC-4BED-8858-5C4B46AA1DB9}" srcOrd="0" destOrd="0" presId="urn:microsoft.com/office/officeart/2005/8/layout/radial1"/>
    <dgm:cxn modelId="{42DD1EB1-BC1A-4BD1-B247-EF280EA10732}" type="presOf" srcId="{2628F477-2289-4CEE-9618-96DDAFCD4291}" destId="{49C45DFA-0A15-4DAA-80DC-CAE4ABCC6B43}" srcOrd="0" destOrd="0" presId="urn:microsoft.com/office/officeart/2005/8/layout/radial1"/>
    <dgm:cxn modelId="{C0F034D4-503F-4DA9-A5CB-C7BF0627B07B}" srcId="{A7516A72-1FC0-46ED-AAC4-AF0F7063F737}" destId="{00DA2DEA-7B17-44EE-B8F3-4B2A83FBF579}" srcOrd="11" destOrd="0" parTransId="{AF2F2798-D6F2-48C6-8603-284B4B1E72C7}" sibTransId="{CCCEA437-9672-4AFA-BE4D-04D5D8601E71}"/>
    <dgm:cxn modelId="{5C366ECD-8479-4546-B7D1-67CBF750184B}" type="presParOf" srcId="{9D8B49BD-1DF7-4888-9A7E-2CFD4320CC2B}" destId="{493DA7EC-5D69-41B7-92E4-ED7ED9F48883}" srcOrd="0" destOrd="0" presId="urn:microsoft.com/office/officeart/2005/8/layout/radial1"/>
    <dgm:cxn modelId="{069D5D87-B801-4C7F-839F-4A908A4B4A80}" type="presParOf" srcId="{9D8B49BD-1DF7-4888-9A7E-2CFD4320CC2B}" destId="{E6ACA703-0949-41B3-BE6B-C702E5C7275F}" srcOrd="1" destOrd="0" presId="urn:microsoft.com/office/officeart/2005/8/layout/radial1"/>
    <dgm:cxn modelId="{50F19DD8-DC48-43BE-8A55-283EE650A0B2}" type="presParOf" srcId="{E6ACA703-0949-41B3-BE6B-C702E5C7275F}" destId="{B06AADB2-5D51-41DC-8677-C0CC2357518B}" srcOrd="0" destOrd="0" presId="urn:microsoft.com/office/officeart/2005/8/layout/radial1"/>
    <dgm:cxn modelId="{42AC6C99-B6B5-42E7-AA1F-8235A0664DB3}" type="presParOf" srcId="{9D8B49BD-1DF7-4888-9A7E-2CFD4320CC2B}" destId="{AFD0CC05-9AD4-4A51-8739-4FB4CA1E4ACE}" srcOrd="2" destOrd="0" presId="urn:microsoft.com/office/officeart/2005/8/layout/radial1"/>
    <dgm:cxn modelId="{08CC4BC9-0879-422F-B892-06F3F4FAD00C}" type="presParOf" srcId="{9D8B49BD-1DF7-4888-9A7E-2CFD4320CC2B}" destId="{34515D96-C834-4D67-AF5C-3B293601CBC3}" srcOrd="3" destOrd="0" presId="urn:microsoft.com/office/officeart/2005/8/layout/radial1"/>
    <dgm:cxn modelId="{1318B728-87D6-434F-91DE-7DB4154F3EE0}" type="presParOf" srcId="{34515D96-C834-4D67-AF5C-3B293601CBC3}" destId="{A8CF68B1-7D91-429E-8C8D-53007288E1DC}" srcOrd="0" destOrd="0" presId="urn:microsoft.com/office/officeart/2005/8/layout/radial1"/>
    <dgm:cxn modelId="{F1191EEA-859D-498C-96D4-6239FDB7D412}" type="presParOf" srcId="{9D8B49BD-1DF7-4888-9A7E-2CFD4320CC2B}" destId="{D9366F31-B7D7-4B43-830C-AD5E2193A794}" srcOrd="4" destOrd="0" presId="urn:microsoft.com/office/officeart/2005/8/layout/radial1"/>
    <dgm:cxn modelId="{79B56DAF-7DD3-4C1C-8F5A-42DA4E73FCC1}" type="presParOf" srcId="{9D8B49BD-1DF7-4888-9A7E-2CFD4320CC2B}" destId="{3F0F15B6-4D5A-493B-B03E-AE8141DC3DCE}" srcOrd="5" destOrd="0" presId="urn:microsoft.com/office/officeart/2005/8/layout/radial1"/>
    <dgm:cxn modelId="{0A54260B-91BF-4883-8149-0B817FEA54EF}" type="presParOf" srcId="{3F0F15B6-4D5A-493B-B03E-AE8141DC3DCE}" destId="{905DF954-A0B6-4A5F-9CE2-F1C3ADBDD0C1}" srcOrd="0" destOrd="0" presId="urn:microsoft.com/office/officeart/2005/8/layout/radial1"/>
    <dgm:cxn modelId="{D5BD1AF1-97CC-4C6C-928B-AFA2322BF882}" type="presParOf" srcId="{9D8B49BD-1DF7-4888-9A7E-2CFD4320CC2B}" destId="{ECD2D13D-466C-468B-BD6C-1B646D8E5B8E}" srcOrd="6" destOrd="0" presId="urn:microsoft.com/office/officeart/2005/8/layout/radial1"/>
    <dgm:cxn modelId="{9F509D9A-10EF-40B5-B240-119B0E1EB78C}" type="presParOf" srcId="{9D8B49BD-1DF7-4888-9A7E-2CFD4320CC2B}" destId="{5CF8296B-0142-429D-A71A-20799D2EB74B}" srcOrd="7" destOrd="0" presId="urn:microsoft.com/office/officeart/2005/8/layout/radial1"/>
    <dgm:cxn modelId="{51DBA41F-0B65-40B3-B364-E4D34D58F9C6}" type="presParOf" srcId="{5CF8296B-0142-429D-A71A-20799D2EB74B}" destId="{48797E66-4F8B-4B79-BCA7-6F88E85CF835}" srcOrd="0" destOrd="0" presId="urn:microsoft.com/office/officeart/2005/8/layout/radial1"/>
    <dgm:cxn modelId="{CEFAE2B2-CDCA-4203-8821-C8A96F2AE0C1}" type="presParOf" srcId="{9D8B49BD-1DF7-4888-9A7E-2CFD4320CC2B}" destId="{7E7DDE23-6C04-407D-AAB6-669511EA704E}" srcOrd="8" destOrd="0" presId="urn:microsoft.com/office/officeart/2005/8/layout/radial1"/>
    <dgm:cxn modelId="{A57D1C08-4F12-4E5C-974B-2360A6A5229D}" type="presParOf" srcId="{9D8B49BD-1DF7-4888-9A7E-2CFD4320CC2B}" destId="{DC281168-2DBC-4CFB-B21D-C54E9628B383}" srcOrd="9" destOrd="0" presId="urn:microsoft.com/office/officeart/2005/8/layout/radial1"/>
    <dgm:cxn modelId="{19C01ED9-2098-40ED-B3C6-3CD0244635C8}" type="presParOf" srcId="{DC281168-2DBC-4CFB-B21D-C54E9628B383}" destId="{0D3BFC0A-5ED4-4CCF-A336-A529B3363890}" srcOrd="0" destOrd="0" presId="urn:microsoft.com/office/officeart/2005/8/layout/radial1"/>
    <dgm:cxn modelId="{5D2B5C90-020A-4C05-89A6-C04AB4A4C1B6}" type="presParOf" srcId="{9D8B49BD-1DF7-4888-9A7E-2CFD4320CC2B}" destId="{66DADE40-99AE-41BE-B997-129EED231064}" srcOrd="10" destOrd="0" presId="urn:microsoft.com/office/officeart/2005/8/layout/radial1"/>
    <dgm:cxn modelId="{A6CC3AEA-A73B-4CD6-81C2-E5D2289F2690}" type="presParOf" srcId="{9D8B49BD-1DF7-4888-9A7E-2CFD4320CC2B}" destId="{4DF1B0BE-A63A-4BEA-9EE5-4168481CC99E}" srcOrd="11" destOrd="0" presId="urn:microsoft.com/office/officeart/2005/8/layout/radial1"/>
    <dgm:cxn modelId="{422E0EB1-1134-4061-96A1-AC490F74D078}" type="presParOf" srcId="{4DF1B0BE-A63A-4BEA-9EE5-4168481CC99E}" destId="{32B4D7AF-BD29-4AC4-BA11-37F2AE9561F4}" srcOrd="0" destOrd="0" presId="urn:microsoft.com/office/officeart/2005/8/layout/radial1"/>
    <dgm:cxn modelId="{6ED5CBDF-5DE2-473E-B569-30CD6F007B7F}" type="presParOf" srcId="{9D8B49BD-1DF7-4888-9A7E-2CFD4320CC2B}" destId="{DB594876-4070-4577-942D-67F5CD4D6A19}" srcOrd="12" destOrd="0" presId="urn:microsoft.com/office/officeart/2005/8/layout/radial1"/>
    <dgm:cxn modelId="{7638DD92-0EDA-425A-8213-DBF59DC4F30B}" type="presParOf" srcId="{9D8B49BD-1DF7-4888-9A7E-2CFD4320CC2B}" destId="{E49C447F-3477-4311-B10B-FFFA7DE7209F}" srcOrd="13" destOrd="0" presId="urn:microsoft.com/office/officeart/2005/8/layout/radial1"/>
    <dgm:cxn modelId="{CED3C69A-EE45-4BD9-9251-B7DFA0344E54}" type="presParOf" srcId="{E49C447F-3477-4311-B10B-FFFA7DE7209F}" destId="{B930024E-8665-4782-9C41-36517A71FCD4}" srcOrd="0" destOrd="0" presId="urn:microsoft.com/office/officeart/2005/8/layout/radial1"/>
    <dgm:cxn modelId="{C4901A81-BE1C-4041-B3E8-E41C66A2DAA6}" type="presParOf" srcId="{9D8B49BD-1DF7-4888-9A7E-2CFD4320CC2B}" destId="{69F18085-0AC3-4BAE-9B16-F8478FFBD61E}" srcOrd="14" destOrd="0" presId="urn:microsoft.com/office/officeart/2005/8/layout/radial1"/>
    <dgm:cxn modelId="{489B4863-0D4A-45B8-AEAB-A7C9252A774B}" type="presParOf" srcId="{9D8B49BD-1DF7-4888-9A7E-2CFD4320CC2B}" destId="{FCC14444-D5E7-4E9C-B980-A27CD799E442}" srcOrd="15" destOrd="0" presId="urn:microsoft.com/office/officeart/2005/8/layout/radial1"/>
    <dgm:cxn modelId="{7C97C410-A419-4008-8277-35EF0F102171}" type="presParOf" srcId="{FCC14444-D5E7-4E9C-B980-A27CD799E442}" destId="{3EA6B60F-F2E8-4D48-9EC1-CAAE09243949}" srcOrd="0" destOrd="0" presId="urn:microsoft.com/office/officeart/2005/8/layout/radial1"/>
    <dgm:cxn modelId="{9D1AFE68-96ED-4B15-A555-9A5B895D93FA}" type="presParOf" srcId="{9D8B49BD-1DF7-4888-9A7E-2CFD4320CC2B}" destId="{49C45DFA-0A15-4DAA-80DC-CAE4ABCC6B43}" srcOrd="16" destOrd="0" presId="urn:microsoft.com/office/officeart/2005/8/layout/radial1"/>
    <dgm:cxn modelId="{F488E6FA-5EFB-4710-A7AB-E4B6D02D249F}" type="presParOf" srcId="{9D8B49BD-1DF7-4888-9A7E-2CFD4320CC2B}" destId="{7B59CB2C-C82F-41EE-B3CF-ADD4878ADBA6}" srcOrd="17" destOrd="0" presId="urn:microsoft.com/office/officeart/2005/8/layout/radial1"/>
    <dgm:cxn modelId="{DFF7F86D-5E04-48A0-9815-CF87E82EA88C}" type="presParOf" srcId="{7B59CB2C-C82F-41EE-B3CF-ADD4878ADBA6}" destId="{280B3AB5-4999-4B99-8BE9-E09C9DF5D482}" srcOrd="0" destOrd="0" presId="urn:microsoft.com/office/officeart/2005/8/layout/radial1"/>
    <dgm:cxn modelId="{95F4156C-288D-43D3-BFCF-3F996D32C4DA}" type="presParOf" srcId="{9D8B49BD-1DF7-4888-9A7E-2CFD4320CC2B}" destId="{402B25BB-F397-46B5-AAB7-C38C2276BF82}" srcOrd="18" destOrd="0" presId="urn:microsoft.com/office/officeart/2005/8/layout/radial1"/>
    <dgm:cxn modelId="{DA3100C5-BF23-404A-9D08-CD6FE6089428}" type="presParOf" srcId="{9D8B49BD-1DF7-4888-9A7E-2CFD4320CC2B}" destId="{EFB9CB5A-411C-454B-96B1-9ED988829CBE}" srcOrd="19" destOrd="0" presId="urn:microsoft.com/office/officeart/2005/8/layout/radial1"/>
    <dgm:cxn modelId="{E809F4DA-B35A-406F-A4C6-D8028ACFA6B7}" type="presParOf" srcId="{EFB9CB5A-411C-454B-96B1-9ED988829CBE}" destId="{A140118B-14B1-45A7-9CF9-17E4D006F84D}" srcOrd="0" destOrd="0" presId="urn:microsoft.com/office/officeart/2005/8/layout/radial1"/>
    <dgm:cxn modelId="{D41C7AD5-790F-46AD-ABCC-60395B228C95}" type="presParOf" srcId="{9D8B49BD-1DF7-4888-9A7E-2CFD4320CC2B}" destId="{5AF8D9AC-0C15-4D1B-BCD3-7FFCFF0A581D}" srcOrd="20" destOrd="0" presId="urn:microsoft.com/office/officeart/2005/8/layout/radial1"/>
    <dgm:cxn modelId="{7705FF17-CE25-4C70-815A-8259B177C165}" type="presParOf" srcId="{9D8B49BD-1DF7-4888-9A7E-2CFD4320CC2B}" destId="{701CC827-3AE5-4421-983B-6398C783C82F}" srcOrd="21" destOrd="0" presId="urn:microsoft.com/office/officeart/2005/8/layout/radial1"/>
    <dgm:cxn modelId="{D69BDA4E-03AE-4BED-A064-E339010EEB99}" type="presParOf" srcId="{701CC827-3AE5-4421-983B-6398C783C82F}" destId="{282CA825-226C-4E92-9F37-4F68B159DB24}" srcOrd="0" destOrd="0" presId="urn:microsoft.com/office/officeart/2005/8/layout/radial1"/>
    <dgm:cxn modelId="{87DF5E9E-DB17-4EAF-8A1C-E8812485178C}" type="presParOf" srcId="{9D8B49BD-1DF7-4888-9A7E-2CFD4320CC2B}" destId="{A86195D8-E78B-4F8B-B1C4-EFBBA8999B88}" srcOrd="22" destOrd="0" presId="urn:microsoft.com/office/officeart/2005/8/layout/radial1"/>
    <dgm:cxn modelId="{80A18254-DF93-45E0-A962-B53F18560027}" type="presParOf" srcId="{9D8B49BD-1DF7-4888-9A7E-2CFD4320CC2B}" destId="{56DC3FB7-FEB4-4CA1-911E-111FB1915BB0}" srcOrd="23" destOrd="0" presId="urn:microsoft.com/office/officeart/2005/8/layout/radial1"/>
    <dgm:cxn modelId="{A5A02C4C-15DE-47FD-B8A9-9A043F642E1B}" type="presParOf" srcId="{56DC3FB7-FEB4-4CA1-911E-111FB1915BB0}" destId="{DB5645BA-09A6-4B91-9EFD-525E1F03D549}" srcOrd="0" destOrd="0" presId="urn:microsoft.com/office/officeart/2005/8/layout/radial1"/>
    <dgm:cxn modelId="{74BAC1B3-5316-4906-A58B-F093618AB27A}" type="presParOf" srcId="{9D8B49BD-1DF7-4888-9A7E-2CFD4320CC2B}" destId="{FC1864C6-ECFC-4BED-8858-5C4B46AA1DB9}" srcOrd="24" destOrd="0" presId="urn:microsoft.com/office/officeart/2005/8/layout/radial1"/>
    <dgm:cxn modelId="{8F9806B0-D4B9-42B3-8F9C-9CAD4CB88BDA}" type="presParOf" srcId="{9D8B49BD-1DF7-4888-9A7E-2CFD4320CC2B}" destId="{33C54B8E-FDEC-49F3-89CC-AF34C88AB1DB}" srcOrd="25" destOrd="0" presId="urn:microsoft.com/office/officeart/2005/8/layout/radial1"/>
    <dgm:cxn modelId="{BAB171C8-E8D5-4B1A-9053-E5DE9D255A7A}" type="presParOf" srcId="{33C54B8E-FDEC-49F3-89CC-AF34C88AB1DB}" destId="{106D9E3C-12C9-4543-AEE2-80708AF35501}" srcOrd="0" destOrd="0" presId="urn:microsoft.com/office/officeart/2005/8/layout/radial1"/>
    <dgm:cxn modelId="{951931FF-4D28-4260-990A-56C1309CD479}" type="presParOf" srcId="{9D8B49BD-1DF7-4888-9A7E-2CFD4320CC2B}" destId="{9037AE07-77DD-4B23-9BF3-64D76F4B2837}" srcOrd="26" destOrd="0" presId="urn:microsoft.com/office/officeart/2005/8/layout/radial1"/>
  </dgm:cxnLst>
  <dgm:bg>
    <a:noFill/>
  </dgm:bg>
  <dgm:whole/>
  <dgm:extLst>
    <a:ext uri="http://schemas.microsoft.com/office/drawing/2008/diagram">
      <dsp:dataModelExt xmlns:dsp="http://schemas.microsoft.com/office/drawing/2008/diagram" relId="rId90"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D981426F-5B7B-4AA5-957A-6E8C9E1A2487}"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A7516A72-1FC0-46ED-AAC4-AF0F7063F737}">
      <dgm:prSet phldrT="[Text]" custT="1"/>
      <dgm:spPr>
        <a:xfrm>
          <a:off x="2424604" y="1110260"/>
          <a:ext cx="1089376" cy="485191"/>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gm:spPr>
      <dgm:t>
        <a:bodyPr/>
        <a:lstStyle/>
        <a:p>
          <a:r>
            <a:rPr lang="en-US" sz="105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10 </a:t>
          </a:r>
        </a:p>
      </dgm:t>
    </dgm:pt>
    <dgm:pt modelId="{6B1EB84D-437E-47A1-87CB-9027EE716AD0}" type="sibTrans" cxnId="{996B9653-906A-49F8-9E4B-3836F7905D4E}">
      <dgm:prSet/>
      <dgm:spPr/>
      <dgm:t>
        <a:bodyPr/>
        <a:lstStyle/>
        <a:p>
          <a:endParaRPr lang="en-US"/>
        </a:p>
      </dgm:t>
    </dgm:pt>
    <dgm:pt modelId="{D9E0AFEB-65B5-4280-ADD0-766B3ADA6CFD}" type="parTrans" cxnId="{996B9653-906A-49F8-9E4B-3836F7905D4E}">
      <dgm:prSet/>
      <dgm:spPr/>
      <dgm:t>
        <a:bodyPr/>
        <a:lstStyle/>
        <a:p>
          <a:endParaRPr lang="en-US"/>
        </a:p>
      </dgm:t>
    </dgm:pt>
    <dgm:pt modelId="{D460D018-736B-4CE5-A14B-061F8EFE829B}">
      <dgm:prSet phldrT="[Text]" custT="1"/>
      <dgm:spPr>
        <a:xfrm>
          <a:off x="618380" y="569323"/>
          <a:ext cx="1095135" cy="593893"/>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17 </a:t>
          </a:r>
        </a:p>
        <a:p>
          <a:r>
            <a:rPr lang="en-US" sz="7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Promouvoir le respect de la propriété intellectuelle</a:t>
          </a:r>
        </a:p>
      </dgm:t>
    </dgm:pt>
    <dgm:pt modelId="{13E4242D-C1FF-4F31-B2EF-0F857644C218}" type="sibTrans" cxnId="{333E8F20-31E9-4D6F-9F31-24FBF63076E9}">
      <dgm:prSet/>
      <dgm:spPr/>
      <dgm:t>
        <a:bodyPr/>
        <a:lstStyle/>
        <a:p>
          <a:endParaRPr lang="en-US"/>
        </a:p>
      </dgm:t>
    </dgm:pt>
    <dgm:pt modelId="{B4A5C031-92B2-438E-80BC-EAA05F5C7CF7}" type="parTrans" cxnId="{333E8F20-31E9-4D6F-9F31-24FBF63076E9}">
      <dgm:prSet/>
      <dgm:spPr>
        <a:xfrm rot="11706012">
          <a:off x="1641036" y="1105504"/>
          <a:ext cx="877541" cy="14693"/>
        </a:xfrm>
      </dgm:spPr>
      <dgm:t>
        <a:bodyPr/>
        <a:lstStyle/>
        <a:p>
          <a:endParaRPr lang="en-US"/>
        </a:p>
      </dgm:t>
    </dgm:pt>
    <dgm:pt modelId="{44FBC2E2-D754-42C1-BEE4-690296442511}">
      <dgm:prSet phldrT="[Text]" custT="1"/>
      <dgm:spPr>
        <a:xfrm>
          <a:off x="165937" y="1238481"/>
          <a:ext cx="1161441" cy="669583"/>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15 </a:t>
          </a:r>
        </a:p>
        <a:p>
          <a:r>
            <a:rPr lang="en-US" sz="7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Solutions opérationnelles pour les offices de propriété intellectuelle </a:t>
          </a:r>
        </a:p>
      </dgm:t>
    </dgm:pt>
    <dgm:pt modelId="{A8D506B7-E9B0-4378-B011-FCC599FE960D}" type="sibTrans" cxnId="{A1357B0A-C240-4A91-89D8-A39634308683}">
      <dgm:prSet/>
      <dgm:spPr/>
      <dgm:t>
        <a:bodyPr/>
        <a:lstStyle/>
        <a:p>
          <a:endParaRPr lang="en-US"/>
        </a:p>
      </dgm:t>
    </dgm:pt>
    <dgm:pt modelId="{2F72DDEE-62D3-48A5-836A-4C87596541F0}" type="parTrans" cxnId="{A1357B0A-C240-4A91-89D8-A39634308683}">
      <dgm:prSet/>
      <dgm:spPr>
        <a:xfrm rot="10460193">
          <a:off x="1316230" y="1453702"/>
          <a:ext cx="1124137" cy="14693"/>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2628F477-2289-4CEE-9618-96DDAFCD4291}">
      <dgm:prSet phldrT="[Text]" custT="1"/>
      <dgm:spPr>
        <a:xfrm>
          <a:off x="1162895" y="1763848"/>
          <a:ext cx="1148618" cy="529969"/>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14 </a:t>
          </a:r>
        </a:p>
        <a:p>
          <a:r>
            <a:rPr lang="en-US" sz="7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Services d’accès à l’information et aux savoirs </a:t>
          </a:r>
        </a:p>
      </dgm:t>
    </dgm:pt>
    <dgm:pt modelId="{6D6ABE48-6FEB-4EAA-849C-585AC08FCF5B}" type="sibTrans" cxnId="{E5DD3C3F-F401-46C8-9D1F-CEE8478EFA81}">
      <dgm:prSet/>
      <dgm:spPr/>
      <dgm:t>
        <a:bodyPr/>
        <a:lstStyle/>
        <a:p>
          <a:endParaRPr lang="en-US"/>
        </a:p>
      </dgm:t>
    </dgm:pt>
    <dgm:pt modelId="{DEF73824-C893-4963-9504-7E97D2FF5253}" type="parTrans" cxnId="{E5DD3C3F-F401-46C8-9D1F-CEE8478EFA81}">
      <dgm:prSet/>
      <dgm:spPr>
        <a:xfrm rot="9074936">
          <a:off x="2070347" y="1676270"/>
          <a:ext cx="592150" cy="14693"/>
        </a:xfrm>
      </dgm:spPr>
      <dgm:t>
        <a:bodyPr/>
        <a:lstStyle/>
        <a:p>
          <a:endParaRPr lang="en-US"/>
        </a:p>
      </dgm:t>
    </dgm:pt>
    <dgm:pt modelId="{7C1FA040-4399-40F0-866F-845B7914F68D}">
      <dgm:prSet phldrT="[Text]" custT="1"/>
      <dgm:spPr>
        <a:xfrm>
          <a:off x="2383477" y="1933817"/>
          <a:ext cx="1173891" cy="454294"/>
        </a:xfrm>
        <a:solidFill>
          <a:schemeClr val="accent1">
            <a:lumMod val="40000"/>
            <a:lumOff val="60000"/>
          </a:scheme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11 </a:t>
          </a:r>
        </a:p>
        <a:p>
          <a:r>
            <a:rPr lang="en-US" sz="7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Académie de l’OMPI </a:t>
          </a:r>
        </a:p>
      </dgm:t>
    </dgm:pt>
    <dgm:pt modelId="{82A7CC90-6A4C-422A-B221-BA4CF5B4D442}" type="sibTrans" cxnId="{345C13DF-1D3F-4982-AF23-DC2641540559}">
      <dgm:prSet/>
      <dgm:spPr/>
      <dgm:t>
        <a:bodyPr/>
        <a:lstStyle/>
        <a:p>
          <a:endParaRPr lang="en-US"/>
        </a:p>
      </dgm:t>
    </dgm:pt>
    <dgm:pt modelId="{98585C11-761C-43C4-979D-FB1B8BABF102}" type="parTrans" cxnId="{345C13DF-1D3F-4982-AF23-DC2641540559}">
      <dgm:prSet/>
      <dgm:spPr>
        <a:xfrm rot="5395189">
          <a:off x="2800686" y="1757288"/>
          <a:ext cx="338365" cy="14693"/>
        </a:xfrm>
      </dgm:spPr>
      <dgm:t>
        <a:bodyPr/>
        <a:lstStyle/>
        <a:p>
          <a:endParaRPr lang="en-US"/>
        </a:p>
      </dgm:t>
    </dgm:pt>
    <dgm:pt modelId="{14602118-D739-48CC-85E0-791974AFA995}">
      <dgm:prSet phldrT="[Text]" custT="1"/>
      <dgm:spPr>
        <a:xfrm>
          <a:off x="3560344" y="1761133"/>
          <a:ext cx="1214080" cy="544705"/>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6</a:t>
          </a:r>
        </a:p>
        <a:p>
          <a:r>
            <a:rPr lang="en-US" sz="7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Système de Madrid</a:t>
          </a:r>
        </a:p>
      </dgm:t>
    </dgm:pt>
    <dgm:pt modelId="{85730AA2-ED16-41DB-9898-B2A63ECD874D}" type="sibTrans" cxnId="{3138FD81-FCE3-4020-9313-BAD8BCAF820B}">
      <dgm:prSet/>
      <dgm:spPr/>
      <dgm:t>
        <a:bodyPr/>
        <a:lstStyle/>
        <a:p>
          <a:endParaRPr lang="en-US"/>
        </a:p>
      </dgm:t>
    </dgm:pt>
    <dgm:pt modelId="{3F89048A-3F9F-4897-8631-4599F4976029}" type="parTrans" cxnId="{3138FD81-FCE3-4020-9313-BAD8BCAF820B}">
      <dgm:prSet/>
      <dgm:spPr>
        <a:xfrm rot="1776040">
          <a:off x="3268898" y="1674414"/>
          <a:ext cx="558712" cy="14693"/>
        </a:xfrm>
      </dgm:spPr>
      <dgm:t>
        <a:bodyPr/>
        <a:lstStyle/>
        <a:p>
          <a:endParaRPr lang="en-US"/>
        </a:p>
      </dgm:t>
    </dgm:pt>
    <dgm:pt modelId="{DB0D84B1-C440-4746-9EEF-F1ED71D64DD2}">
      <dgm:prSet phldrT="[Text]" custT="1"/>
      <dgm:spPr>
        <a:xfrm>
          <a:off x="4544412" y="1407409"/>
          <a:ext cx="1014428" cy="485191"/>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5</a:t>
          </a: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r>
            <a:rPr lang="en-US" sz="7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Système du PCT</a:t>
          </a:r>
        </a:p>
      </dgm:t>
    </dgm:pt>
    <dgm:pt modelId="{99C4878C-8523-40E3-93C5-8DC55D31DB77}" type="sibTrans" cxnId="{C7DD68AE-99B2-4937-A127-D654A2E99784}">
      <dgm:prSet/>
      <dgm:spPr/>
      <dgm:t>
        <a:bodyPr/>
        <a:lstStyle/>
        <a:p>
          <a:endParaRPr lang="en-US"/>
        </a:p>
      </dgm:t>
    </dgm:pt>
    <dgm:pt modelId="{9E510621-404D-46D6-8EB3-39712C8626D4}" type="parTrans" cxnId="{C7DD68AE-99B2-4937-A127-D654A2E99784}">
      <dgm:prSet/>
      <dgm:spPr>
        <a:xfrm rot="487276">
          <a:off x="3482549" y="1496415"/>
          <a:ext cx="1088493" cy="14693"/>
        </a:xfrm>
      </dgm:spPr>
      <dgm:t>
        <a:bodyPr/>
        <a:lstStyle/>
        <a:p>
          <a:endParaRPr lang="en-US"/>
        </a:p>
      </dgm:t>
    </dgm:pt>
    <dgm:pt modelId="{6DAE892F-3F2D-42A5-BB1C-58D0E6BD9A47}">
      <dgm:prSet phldrT="[Text]" custT="1"/>
      <dgm:spPr>
        <a:xfrm>
          <a:off x="4557028" y="809859"/>
          <a:ext cx="1171470" cy="518422"/>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4 </a:t>
          </a:r>
        </a:p>
        <a:p>
          <a:r>
            <a:rPr lang="en-US" sz="7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Savoirs traditionnels, expressions culturelles traditionnelles et ressources génétiques</a:t>
          </a:r>
        </a:p>
      </dgm:t>
    </dgm:pt>
    <dgm:pt modelId="{28BD2EB6-8814-456D-B684-C7C0E2C0705F}" type="sibTrans" cxnId="{FE1169E0-24DF-4FBB-A1C9-8F332C85663A}">
      <dgm:prSet/>
      <dgm:spPr/>
      <dgm:t>
        <a:bodyPr/>
        <a:lstStyle/>
        <a:p>
          <a:endParaRPr lang="en-US"/>
        </a:p>
      </dgm:t>
    </dgm:pt>
    <dgm:pt modelId="{D22DE764-173E-47DF-9480-722F8D8EA62C}" type="parTrans" cxnId="{FE1169E0-24DF-4FBB-A1C9-8F332C85663A}">
      <dgm:prSet/>
      <dgm:spPr>
        <a:xfrm rot="21153665">
          <a:off x="3487361" y="1206169"/>
          <a:ext cx="1098230" cy="14693"/>
        </a:xfrm>
      </dgm:spPr>
      <dgm:t>
        <a:bodyPr/>
        <a:lstStyle/>
        <a:p>
          <a:endParaRPr lang="en-US"/>
        </a:p>
      </dgm:t>
    </dgm:pt>
    <dgm:pt modelId="{F0FE4372-65E6-4D92-B9B0-D2B79F26FB27}">
      <dgm:prSet phldrT="[Text]" custT="1"/>
      <dgm:spPr>
        <a:xfrm>
          <a:off x="4327497" y="288445"/>
          <a:ext cx="895076" cy="485191"/>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3</a:t>
          </a: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r>
            <a:rPr lang="en-US" sz="7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Droit d’auteur et droits connexes</a:t>
          </a:r>
        </a:p>
      </dgm:t>
    </dgm:pt>
    <dgm:pt modelId="{E2B06661-55BE-4022-AD18-067DB2509F93}" type="sibTrans" cxnId="{1229807D-6A59-498C-A707-9DD6CEEA0C8D}">
      <dgm:prSet/>
      <dgm:spPr/>
      <dgm:t>
        <a:bodyPr/>
        <a:lstStyle/>
        <a:p>
          <a:endParaRPr lang="en-US"/>
        </a:p>
      </dgm:t>
    </dgm:pt>
    <dgm:pt modelId="{D94B5549-C2D2-4629-ACDF-33C6E334FA3A}" type="parTrans" cxnId="{1229807D-6A59-498C-A707-9DD6CEEA0C8D}">
      <dgm:prSet/>
      <dgm:spPr>
        <a:xfrm rot="20131750">
          <a:off x="3296868" y="925905"/>
          <a:ext cx="1188808" cy="14693"/>
        </a:xfrm>
      </dgm:spPr>
      <dgm:t>
        <a:bodyPr/>
        <a:lstStyle/>
        <a:p>
          <a:endParaRPr lang="en-US"/>
        </a:p>
      </dgm:t>
    </dgm:pt>
    <dgm:pt modelId="{898446A3-EA8C-4C13-8A65-DF8A110D0838}">
      <dgm:prSet phldrT="[Text]" custT="1"/>
      <dgm:spPr>
        <a:xfrm>
          <a:off x="3453200" y="78832"/>
          <a:ext cx="872762" cy="485191"/>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2 </a:t>
          </a:r>
        </a:p>
        <a:p>
          <a:r>
            <a:rPr lang="en-US" sz="7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Marques, dessins et modèles industriels et indications géographiques</a:t>
          </a:r>
        </a:p>
      </dgm:t>
    </dgm:pt>
    <dgm:pt modelId="{E56928EA-8406-4998-BE40-3F4796EA5932}" type="sibTrans" cxnId="{A93C1B4A-74B5-4343-AF12-0C2C4D914189}">
      <dgm:prSet/>
      <dgm:spPr/>
      <dgm:t>
        <a:bodyPr/>
        <a:lstStyle/>
        <a:p>
          <a:endParaRPr lang="en-US"/>
        </a:p>
      </dgm:t>
    </dgm:pt>
    <dgm:pt modelId="{DB9FEC62-86A7-454A-89B3-F32F1907C71A}" type="parTrans" cxnId="{A93C1B4A-74B5-4343-AF12-0C2C4D914189}">
      <dgm:prSet/>
      <dgm:spPr>
        <a:xfrm rot="18704451">
          <a:off x="3038605" y="825736"/>
          <a:ext cx="788906" cy="14693"/>
        </a:xfrm>
      </dgm:spPr>
      <dgm:t>
        <a:bodyPr/>
        <a:lstStyle/>
        <a:p>
          <a:endParaRPr lang="en-US"/>
        </a:p>
      </dgm:t>
    </dgm:pt>
    <dgm:pt modelId="{68A5766F-115C-487E-B7CB-4ADE150678D1}">
      <dgm:prSet phldrT="[Text]" custT="1"/>
      <dgm:spPr>
        <a:xfrm>
          <a:off x="2496088" y="0"/>
          <a:ext cx="927361" cy="457666"/>
        </a:xfrm>
        <a:solidFill>
          <a:schemeClr val="accent1">
            <a:lumMod val="40000"/>
            <a:lumOff val="60000"/>
          </a:scheme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 </a:t>
          </a:r>
        </a:p>
        <a:p>
          <a:r>
            <a:rPr lang="en-US" sz="7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Droit des brevets</a:t>
          </a:r>
        </a:p>
      </dgm:t>
    </dgm:pt>
    <dgm:pt modelId="{BA9B1909-6561-415A-8EF0-B53DE88FCEBA}" type="sibTrans" cxnId="{84826536-FF9D-47C5-902D-DB146A527C2A}">
      <dgm:prSet/>
      <dgm:spPr/>
      <dgm:t>
        <a:bodyPr/>
        <a:lstStyle/>
        <a:p>
          <a:endParaRPr lang="en-US"/>
        </a:p>
      </dgm:t>
    </dgm:pt>
    <dgm:pt modelId="{BA28F4A6-AD16-499D-88C1-DBE004B28175}" type="parTrans" cxnId="{84826536-FF9D-47C5-902D-DB146A527C2A}">
      <dgm:prSet/>
      <dgm:spPr>
        <a:xfrm rot="16170873">
          <a:off x="2638162" y="776616"/>
          <a:ext cx="652621" cy="14693"/>
        </a:xfrm>
      </dgm:spPr>
      <dgm:t>
        <a:bodyPr/>
        <a:lstStyle/>
        <a:p>
          <a:endParaRPr lang="en-US"/>
        </a:p>
      </dgm:t>
    </dgm:pt>
    <dgm:pt modelId="{D65A13E9-3C79-4155-B943-C33E81DAC317}">
      <dgm:prSet phldrT="[Text]" custT="1"/>
      <dgm:spPr>
        <a:xfrm>
          <a:off x="1456578" y="111590"/>
          <a:ext cx="1032424" cy="577644"/>
        </a:xfrm>
        <a:solidFill>
          <a:schemeClr val="accent1">
            <a:lumMod val="40000"/>
            <a:lumOff val="60000"/>
          </a:scheme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20 </a:t>
          </a:r>
        </a:p>
        <a:p>
          <a:r>
            <a:rPr lang="en-US" sz="7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Relations extérieures</a:t>
          </a:r>
        </a:p>
      </dgm:t>
    </dgm:pt>
    <dgm:pt modelId="{98B9F8AD-7347-45A5-BC2B-65EB3DDF63CC}" type="parTrans" cxnId="{DF9EB478-C224-42F7-822E-5C2EA98D82E9}">
      <dgm:prSet/>
      <dgm:spPr>
        <a:xfrm rot="13422299">
          <a:off x="2136668" y="883969"/>
          <a:ext cx="699467" cy="14693"/>
        </a:xfrm>
      </dgm:spPr>
      <dgm:t>
        <a:bodyPr/>
        <a:lstStyle/>
        <a:p>
          <a:endParaRPr lang="en-US"/>
        </a:p>
      </dgm:t>
    </dgm:pt>
    <dgm:pt modelId="{65C76345-3C56-4B13-AF62-A1F968209579}" type="sibTrans" cxnId="{DF9EB478-C224-42F7-822E-5C2EA98D82E9}">
      <dgm:prSet/>
      <dgm:spPr/>
      <dgm:t>
        <a:bodyPr/>
        <a:lstStyle/>
        <a:p>
          <a:endParaRPr lang="en-US"/>
        </a:p>
      </dgm:t>
    </dgm:pt>
    <dgm:pt modelId="{00DA2DEA-7B17-44EE-B8F3-4B2A83FBF579}">
      <dgm:prSet phldrT="[Text]" custT="1"/>
      <dgm:spPr>
        <a:xfrm>
          <a:off x="1456578" y="111590"/>
          <a:ext cx="1032424" cy="577644"/>
        </a:xfrm>
        <a:solidFill>
          <a:schemeClr val="accent1">
            <a:lumMod val="40000"/>
            <a:lumOff val="60000"/>
          </a:scheme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30</a:t>
          </a:r>
        </a:p>
        <a:p>
          <a:r>
            <a:rPr lang="fr-FR" sz="700">
              <a:latin typeface="Arial" panose="020B0604020202020204" pitchFamily="34" charset="0"/>
              <a:cs typeface="Arial" panose="020B0604020202020204" pitchFamily="34" charset="0"/>
            </a:rPr>
            <a:t>Appui PME et à la création d’entreprises</a:t>
          </a:r>
          <a:endParaRPr lang="en-US" sz="7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AF2F2798-D6F2-48C6-8603-284B4B1E72C7}" type="parTrans" cxnId="{C0F034D4-503F-4DA9-A5CB-C7BF0627B07B}">
      <dgm:prSet/>
      <dgm:spPr/>
      <dgm:t>
        <a:bodyPr/>
        <a:lstStyle/>
        <a:p>
          <a:endParaRPr lang="fr-FR"/>
        </a:p>
      </dgm:t>
    </dgm:pt>
    <dgm:pt modelId="{CCCEA437-9672-4AFA-BE4D-04D5D8601E71}" type="sibTrans" cxnId="{C0F034D4-503F-4DA9-A5CB-C7BF0627B07B}">
      <dgm:prSet/>
      <dgm:spPr/>
      <dgm:t>
        <a:bodyPr/>
        <a:lstStyle/>
        <a:p>
          <a:endParaRPr lang="fr-FR"/>
        </a:p>
      </dgm:t>
    </dgm:pt>
    <dgm:pt modelId="{8717D03D-6327-45C7-856C-73F244E498C0}">
      <dgm:prSet phldrT="[Text]" custT="1"/>
      <dgm:spPr>
        <a:xfrm>
          <a:off x="1456578" y="111590"/>
          <a:ext cx="1032424" cy="577644"/>
        </a:xfrm>
        <a:solidFill>
          <a:schemeClr val="accent1">
            <a:lumMod val="40000"/>
            <a:lumOff val="60000"/>
          </a:scheme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32</a:t>
          </a:r>
        </a:p>
        <a:p>
          <a:r>
            <a:rPr lang="fr-FR" sz="700">
              <a:latin typeface="Arial" panose="020B0604020202020204" pitchFamily="34" charset="0"/>
              <a:cs typeface="Arial" panose="020B0604020202020204" pitchFamily="34" charset="0"/>
            </a:rPr>
            <a:t>Système de Lisbonne</a:t>
          </a:r>
          <a:endParaRPr lang="en-US" sz="7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84EDB25F-D388-464E-BF3A-D8A2BD367A5F}" type="parTrans" cxnId="{DC64950E-008D-45CB-853B-33FEC8CDC68A}">
      <dgm:prSet/>
      <dgm:spPr/>
      <dgm:t>
        <a:bodyPr/>
        <a:lstStyle/>
        <a:p>
          <a:endParaRPr lang="fr-FR"/>
        </a:p>
      </dgm:t>
    </dgm:pt>
    <dgm:pt modelId="{DAE41B58-D5C0-4A41-A26A-FC8D7CC2F394}" type="sibTrans" cxnId="{DC64950E-008D-45CB-853B-33FEC8CDC68A}">
      <dgm:prSet/>
      <dgm:spPr/>
      <dgm:t>
        <a:bodyPr/>
        <a:lstStyle/>
        <a:p>
          <a:endParaRPr lang="fr-FR"/>
        </a:p>
      </dgm:t>
    </dgm:pt>
    <dgm:pt modelId="{9D8B49BD-1DF7-4888-9A7E-2CFD4320CC2B}" type="pres">
      <dgm:prSet presAssocID="{D981426F-5B7B-4AA5-957A-6E8C9E1A2487}" presName="cycle" presStyleCnt="0">
        <dgm:presLayoutVars>
          <dgm:chMax val="1"/>
          <dgm:dir/>
          <dgm:animLvl val="ctr"/>
          <dgm:resizeHandles val="exact"/>
        </dgm:presLayoutVars>
      </dgm:prSet>
      <dgm:spPr/>
      <dgm:t>
        <a:bodyPr/>
        <a:lstStyle/>
        <a:p>
          <a:endParaRPr lang="en-US"/>
        </a:p>
      </dgm:t>
    </dgm:pt>
    <dgm:pt modelId="{493DA7EC-5D69-41B7-92E4-ED7ED9F48883}" type="pres">
      <dgm:prSet presAssocID="{A7516A72-1FC0-46ED-AAC4-AF0F7063F737}" presName="centerShape" presStyleLbl="node0" presStyleIdx="0" presStyleCnt="1" custScaleX="291972" custLinFactNeighborX="4737" custLinFactNeighborY="1623"/>
      <dgm:spPr>
        <a:prstGeom prst="ellipse">
          <a:avLst/>
        </a:prstGeom>
      </dgm:spPr>
      <dgm:t>
        <a:bodyPr/>
        <a:lstStyle/>
        <a:p>
          <a:endParaRPr lang="en-US"/>
        </a:p>
      </dgm:t>
    </dgm:pt>
    <dgm:pt modelId="{E6ACA703-0949-41B3-BE6B-C702E5C7275F}" type="pres">
      <dgm:prSet presAssocID="{BA28F4A6-AD16-499D-88C1-DBE004B28175}" presName="Name9" presStyleLbl="parChTrans1D2" presStyleIdx="0" presStyleCnt="13"/>
      <dgm:spPr/>
      <dgm:t>
        <a:bodyPr/>
        <a:lstStyle/>
        <a:p>
          <a:endParaRPr lang="en-US"/>
        </a:p>
      </dgm:t>
    </dgm:pt>
    <dgm:pt modelId="{B06AADB2-5D51-41DC-8677-C0CC2357518B}" type="pres">
      <dgm:prSet presAssocID="{BA28F4A6-AD16-499D-88C1-DBE004B28175}" presName="connTx" presStyleLbl="parChTrans1D2" presStyleIdx="0" presStyleCnt="13"/>
      <dgm:spPr/>
      <dgm:t>
        <a:bodyPr/>
        <a:lstStyle/>
        <a:p>
          <a:endParaRPr lang="en-US"/>
        </a:p>
      </dgm:t>
    </dgm:pt>
    <dgm:pt modelId="{AFD0CC05-9AD4-4A51-8739-4FB4CA1E4ACE}" type="pres">
      <dgm:prSet presAssocID="{68A5766F-115C-487E-B7CB-4ADE150678D1}" presName="node" presStyleLbl="node1" presStyleIdx="0" presStyleCnt="13" custScaleX="244246" custScaleY="75353" custRadScaleRad="96533" custRadScaleInc="-18148">
        <dgm:presLayoutVars>
          <dgm:bulletEnabled val="1"/>
        </dgm:presLayoutVars>
      </dgm:prSet>
      <dgm:spPr>
        <a:prstGeom prst="ellipse">
          <a:avLst/>
        </a:prstGeom>
      </dgm:spPr>
      <dgm:t>
        <a:bodyPr/>
        <a:lstStyle/>
        <a:p>
          <a:endParaRPr lang="en-US"/>
        </a:p>
      </dgm:t>
    </dgm:pt>
    <dgm:pt modelId="{34515D96-C834-4D67-AF5C-3B293601CBC3}" type="pres">
      <dgm:prSet presAssocID="{DB9FEC62-86A7-454A-89B3-F32F1907C71A}" presName="Name9" presStyleLbl="parChTrans1D2" presStyleIdx="1" presStyleCnt="13"/>
      <dgm:spPr/>
      <dgm:t>
        <a:bodyPr/>
        <a:lstStyle/>
        <a:p>
          <a:endParaRPr lang="en-US"/>
        </a:p>
      </dgm:t>
    </dgm:pt>
    <dgm:pt modelId="{A8CF68B1-7D91-429E-8C8D-53007288E1DC}" type="pres">
      <dgm:prSet presAssocID="{DB9FEC62-86A7-454A-89B3-F32F1907C71A}" presName="connTx" presStyleLbl="parChTrans1D2" presStyleIdx="1" presStyleCnt="13"/>
      <dgm:spPr/>
      <dgm:t>
        <a:bodyPr/>
        <a:lstStyle/>
        <a:p>
          <a:endParaRPr lang="en-US"/>
        </a:p>
      </dgm:t>
    </dgm:pt>
    <dgm:pt modelId="{D9366F31-B7D7-4B43-830C-AD5E2193A794}" type="pres">
      <dgm:prSet presAssocID="{898446A3-EA8C-4C13-8A65-DF8A110D0838}" presName="node" presStyleLbl="node1" presStyleIdx="1" presStyleCnt="13" custScaleX="210790" custScaleY="129074" custRadScaleRad="124454" custRadScaleInc="105429">
        <dgm:presLayoutVars>
          <dgm:bulletEnabled val="1"/>
        </dgm:presLayoutVars>
      </dgm:prSet>
      <dgm:spPr>
        <a:prstGeom prst="ellipse">
          <a:avLst/>
        </a:prstGeom>
      </dgm:spPr>
      <dgm:t>
        <a:bodyPr/>
        <a:lstStyle/>
        <a:p>
          <a:endParaRPr lang="en-US"/>
        </a:p>
      </dgm:t>
    </dgm:pt>
    <dgm:pt modelId="{3F0F15B6-4D5A-493B-B03E-AE8141DC3DCE}" type="pres">
      <dgm:prSet presAssocID="{D94B5549-C2D2-4629-ACDF-33C6E334FA3A}" presName="Name9" presStyleLbl="parChTrans1D2" presStyleIdx="2" presStyleCnt="13"/>
      <dgm:spPr/>
      <dgm:t>
        <a:bodyPr/>
        <a:lstStyle/>
        <a:p>
          <a:endParaRPr lang="en-US"/>
        </a:p>
      </dgm:t>
    </dgm:pt>
    <dgm:pt modelId="{905DF954-A0B6-4A5F-9CE2-F1C3ADBDD0C1}" type="pres">
      <dgm:prSet presAssocID="{D94B5549-C2D2-4629-ACDF-33C6E334FA3A}" presName="connTx" presStyleLbl="parChTrans1D2" presStyleIdx="2" presStyleCnt="13"/>
      <dgm:spPr/>
      <dgm:t>
        <a:bodyPr/>
        <a:lstStyle/>
        <a:p>
          <a:endParaRPr lang="en-US"/>
        </a:p>
      </dgm:t>
    </dgm:pt>
    <dgm:pt modelId="{ECD2D13D-466C-468B-BD6C-1B646D8E5B8E}" type="pres">
      <dgm:prSet presAssocID="{F0FE4372-65E6-4D92-B9B0-D2B79F26FB27}" presName="node" presStyleLbl="node1" presStyleIdx="2" presStyleCnt="13" custScaleX="191794" custScaleY="98465" custRadScaleRad="169992" custRadScaleInc="65345">
        <dgm:presLayoutVars>
          <dgm:bulletEnabled val="1"/>
        </dgm:presLayoutVars>
      </dgm:prSet>
      <dgm:spPr>
        <a:prstGeom prst="ellipse">
          <a:avLst/>
        </a:prstGeom>
      </dgm:spPr>
      <dgm:t>
        <a:bodyPr/>
        <a:lstStyle/>
        <a:p>
          <a:endParaRPr lang="en-US"/>
        </a:p>
      </dgm:t>
    </dgm:pt>
    <dgm:pt modelId="{5CF8296B-0142-429D-A71A-20799D2EB74B}" type="pres">
      <dgm:prSet presAssocID="{D22DE764-173E-47DF-9480-722F8D8EA62C}" presName="Name9" presStyleLbl="parChTrans1D2" presStyleIdx="3" presStyleCnt="13"/>
      <dgm:spPr/>
      <dgm:t>
        <a:bodyPr/>
        <a:lstStyle/>
        <a:p>
          <a:endParaRPr lang="en-US"/>
        </a:p>
      </dgm:t>
    </dgm:pt>
    <dgm:pt modelId="{48797E66-4F8B-4B79-BCA7-6F88E85CF835}" type="pres">
      <dgm:prSet presAssocID="{D22DE764-173E-47DF-9480-722F8D8EA62C}" presName="connTx" presStyleLbl="parChTrans1D2" presStyleIdx="3" presStyleCnt="13"/>
      <dgm:spPr/>
      <dgm:t>
        <a:bodyPr/>
        <a:lstStyle/>
        <a:p>
          <a:endParaRPr lang="en-US"/>
        </a:p>
      </dgm:t>
    </dgm:pt>
    <dgm:pt modelId="{7E7DDE23-6C04-407D-AAB6-669511EA704E}" type="pres">
      <dgm:prSet presAssocID="{6DAE892F-3F2D-42A5-BB1C-58D0E6BD9A47}" presName="node" presStyleLbl="node1" presStyleIdx="3" presStyleCnt="13" custScaleX="290776" custScaleY="124346" custRadScaleRad="164172" custRadScaleInc="-21082">
        <dgm:presLayoutVars>
          <dgm:bulletEnabled val="1"/>
        </dgm:presLayoutVars>
      </dgm:prSet>
      <dgm:spPr>
        <a:prstGeom prst="ellipse">
          <a:avLst/>
        </a:prstGeom>
      </dgm:spPr>
      <dgm:t>
        <a:bodyPr/>
        <a:lstStyle/>
        <a:p>
          <a:endParaRPr lang="en-US"/>
        </a:p>
      </dgm:t>
    </dgm:pt>
    <dgm:pt modelId="{DC281168-2DBC-4CFB-B21D-C54E9628B383}" type="pres">
      <dgm:prSet presAssocID="{9E510621-404D-46D6-8EB3-39712C8626D4}" presName="Name9" presStyleLbl="parChTrans1D2" presStyleIdx="4" presStyleCnt="13"/>
      <dgm:spPr/>
      <dgm:t>
        <a:bodyPr/>
        <a:lstStyle/>
        <a:p>
          <a:endParaRPr lang="en-US"/>
        </a:p>
      </dgm:t>
    </dgm:pt>
    <dgm:pt modelId="{0D3BFC0A-5ED4-4CCF-A336-A529B3363890}" type="pres">
      <dgm:prSet presAssocID="{9E510621-404D-46D6-8EB3-39712C8626D4}" presName="connTx" presStyleLbl="parChTrans1D2" presStyleIdx="4" presStyleCnt="13"/>
      <dgm:spPr/>
      <dgm:t>
        <a:bodyPr/>
        <a:lstStyle/>
        <a:p>
          <a:endParaRPr lang="en-US"/>
        </a:p>
      </dgm:t>
    </dgm:pt>
    <dgm:pt modelId="{66DADE40-99AE-41BE-B997-129EED231064}" type="pres">
      <dgm:prSet presAssocID="{DB0D84B1-C440-4746-9EEF-F1ED71D64DD2}" presName="node" presStyleLbl="node1" presStyleIdx="4" presStyleCnt="13" custScaleX="272101" custRadScaleRad="174007" custRadScaleInc="-111364">
        <dgm:presLayoutVars>
          <dgm:bulletEnabled val="1"/>
        </dgm:presLayoutVars>
      </dgm:prSet>
      <dgm:spPr>
        <a:prstGeom prst="ellipse">
          <a:avLst/>
        </a:prstGeom>
      </dgm:spPr>
      <dgm:t>
        <a:bodyPr/>
        <a:lstStyle/>
        <a:p>
          <a:endParaRPr lang="en-US"/>
        </a:p>
      </dgm:t>
    </dgm:pt>
    <dgm:pt modelId="{4DF1B0BE-A63A-4BEA-9EE5-4168481CC99E}" type="pres">
      <dgm:prSet presAssocID="{3F89048A-3F9F-4897-8631-4599F4976029}" presName="Name9" presStyleLbl="parChTrans1D2" presStyleIdx="5" presStyleCnt="13"/>
      <dgm:spPr/>
      <dgm:t>
        <a:bodyPr/>
        <a:lstStyle/>
        <a:p>
          <a:endParaRPr lang="en-US"/>
        </a:p>
      </dgm:t>
    </dgm:pt>
    <dgm:pt modelId="{32B4D7AF-BD29-4AC4-BA11-37F2AE9561F4}" type="pres">
      <dgm:prSet presAssocID="{3F89048A-3F9F-4897-8631-4599F4976029}" presName="connTx" presStyleLbl="parChTrans1D2" presStyleIdx="5" presStyleCnt="13"/>
      <dgm:spPr/>
      <dgm:t>
        <a:bodyPr/>
        <a:lstStyle/>
        <a:p>
          <a:endParaRPr lang="en-US"/>
        </a:p>
      </dgm:t>
    </dgm:pt>
    <dgm:pt modelId="{DB594876-4070-4577-942D-67F5CD4D6A19}" type="pres">
      <dgm:prSet presAssocID="{14602118-D739-48CC-85E0-791974AFA995}" presName="node" presStyleLbl="node1" presStyleIdx="5" presStyleCnt="13" custScaleX="226454" custScaleY="102206" custRadScaleRad="159188" custRadScaleInc="-183297">
        <dgm:presLayoutVars>
          <dgm:bulletEnabled val="1"/>
        </dgm:presLayoutVars>
      </dgm:prSet>
      <dgm:spPr>
        <a:prstGeom prst="ellipse">
          <a:avLst/>
        </a:prstGeom>
      </dgm:spPr>
      <dgm:t>
        <a:bodyPr/>
        <a:lstStyle/>
        <a:p>
          <a:endParaRPr lang="en-US"/>
        </a:p>
      </dgm:t>
    </dgm:pt>
    <dgm:pt modelId="{E49C447F-3477-4311-B10B-FFFA7DE7209F}" type="pres">
      <dgm:prSet presAssocID="{98585C11-761C-43C4-979D-FB1B8BABF102}" presName="Name9" presStyleLbl="parChTrans1D2" presStyleIdx="6" presStyleCnt="13"/>
      <dgm:spPr/>
      <dgm:t>
        <a:bodyPr/>
        <a:lstStyle/>
        <a:p>
          <a:endParaRPr lang="en-US"/>
        </a:p>
      </dgm:t>
    </dgm:pt>
    <dgm:pt modelId="{B930024E-8665-4782-9C41-36517A71FCD4}" type="pres">
      <dgm:prSet presAssocID="{98585C11-761C-43C4-979D-FB1B8BABF102}" presName="connTx" presStyleLbl="parChTrans1D2" presStyleIdx="6" presStyleCnt="13"/>
      <dgm:spPr/>
      <dgm:t>
        <a:bodyPr/>
        <a:lstStyle/>
        <a:p>
          <a:endParaRPr lang="en-US"/>
        </a:p>
      </dgm:t>
    </dgm:pt>
    <dgm:pt modelId="{69F18085-0AC3-4BAE-9B16-F8478FFBD61E}" type="pres">
      <dgm:prSet presAssocID="{7C1FA040-4399-40F0-866F-845B7914F68D}" presName="node" presStyleLbl="node1" presStyleIdx="6" presStyleCnt="13" custScaleX="228514" custScaleY="88133" custRadScaleRad="130318" custRadScaleInc="-214282">
        <dgm:presLayoutVars>
          <dgm:bulletEnabled val="1"/>
        </dgm:presLayoutVars>
      </dgm:prSet>
      <dgm:spPr>
        <a:prstGeom prst="ellipse">
          <a:avLst/>
        </a:prstGeom>
      </dgm:spPr>
      <dgm:t>
        <a:bodyPr/>
        <a:lstStyle/>
        <a:p>
          <a:endParaRPr lang="en-US"/>
        </a:p>
      </dgm:t>
    </dgm:pt>
    <dgm:pt modelId="{FCC14444-D5E7-4E9C-B980-A27CD799E442}" type="pres">
      <dgm:prSet presAssocID="{DEF73824-C893-4963-9504-7E97D2FF5253}" presName="Name9" presStyleLbl="parChTrans1D2" presStyleIdx="7" presStyleCnt="13"/>
      <dgm:spPr/>
      <dgm:t>
        <a:bodyPr/>
        <a:lstStyle/>
        <a:p>
          <a:endParaRPr lang="en-US"/>
        </a:p>
      </dgm:t>
    </dgm:pt>
    <dgm:pt modelId="{3EA6B60F-F2E8-4D48-9EC1-CAAE09243949}" type="pres">
      <dgm:prSet presAssocID="{DEF73824-C893-4963-9504-7E97D2FF5253}" presName="connTx" presStyleLbl="parChTrans1D2" presStyleIdx="7" presStyleCnt="13"/>
      <dgm:spPr/>
      <dgm:t>
        <a:bodyPr/>
        <a:lstStyle/>
        <a:p>
          <a:endParaRPr lang="en-US"/>
        </a:p>
      </dgm:t>
    </dgm:pt>
    <dgm:pt modelId="{49C45DFA-0A15-4DAA-80DC-CAE4ABCC6B43}" type="pres">
      <dgm:prSet presAssocID="{2628F477-2289-4CEE-9618-96DDAFCD4291}" presName="node" presStyleLbl="node1" presStyleIdx="7" presStyleCnt="13" custScaleX="243377" custScaleY="109229" custRadScaleRad="99466" custRadScaleInc="-114479">
        <dgm:presLayoutVars>
          <dgm:bulletEnabled val="1"/>
        </dgm:presLayoutVars>
      </dgm:prSet>
      <dgm:spPr>
        <a:prstGeom prst="ellipse">
          <a:avLst/>
        </a:prstGeom>
      </dgm:spPr>
      <dgm:t>
        <a:bodyPr/>
        <a:lstStyle/>
        <a:p>
          <a:endParaRPr lang="en-US"/>
        </a:p>
      </dgm:t>
    </dgm:pt>
    <dgm:pt modelId="{7B59CB2C-C82F-41EE-B3CF-ADD4878ADBA6}" type="pres">
      <dgm:prSet presAssocID="{2F72DDEE-62D3-48A5-836A-4C87596541F0}" presName="Name9" presStyleLbl="parChTrans1D2" presStyleIdx="8" presStyleCnt="13"/>
      <dgm:spPr>
        <a:custGeom>
          <a:avLst/>
          <a:gdLst/>
          <a:ahLst/>
          <a:cxnLst/>
          <a:rect l="0" t="0" r="0" b="0"/>
          <a:pathLst>
            <a:path>
              <a:moveTo>
                <a:pt x="0" y="7346"/>
              </a:moveTo>
              <a:lnTo>
                <a:pt x="1124137" y="7346"/>
              </a:lnTo>
            </a:path>
          </a:pathLst>
        </a:custGeom>
      </dgm:spPr>
      <dgm:t>
        <a:bodyPr/>
        <a:lstStyle/>
        <a:p>
          <a:endParaRPr lang="en-US"/>
        </a:p>
      </dgm:t>
    </dgm:pt>
    <dgm:pt modelId="{280B3AB5-4999-4B99-8BE9-E09C9DF5D482}" type="pres">
      <dgm:prSet presAssocID="{2F72DDEE-62D3-48A5-836A-4C87596541F0}" presName="connTx" presStyleLbl="parChTrans1D2" presStyleIdx="8" presStyleCnt="13"/>
      <dgm:spPr/>
      <dgm:t>
        <a:bodyPr/>
        <a:lstStyle/>
        <a:p>
          <a:endParaRPr lang="en-US"/>
        </a:p>
      </dgm:t>
    </dgm:pt>
    <dgm:pt modelId="{402B25BB-F397-46B5-AAB7-C38C2276BF82}" type="pres">
      <dgm:prSet presAssocID="{44FBC2E2-D754-42C1-BEE4-690296442511}" presName="node" presStyleLbl="node1" presStyleIdx="8" presStyleCnt="13" custScaleX="286117" custScaleY="122059" custRadScaleRad="156703" custRadScaleInc="-29867">
        <dgm:presLayoutVars>
          <dgm:bulletEnabled val="1"/>
        </dgm:presLayoutVars>
      </dgm:prSet>
      <dgm:spPr>
        <a:prstGeom prst="ellipse">
          <a:avLst/>
        </a:prstGeom>
      </dgm:spPr>
      <dgm:t>
        <a:bodyPr/>
        <a:lstStyle/>
        <a:p>
          <a:endParaRPr lang="en-US"/>
        </a:p>
      </dgm:t>
    </dgm:pt>
    <dgm:pt modelId="{EFB9CB5A-411C-454B-96B1-9ED988829CBE}" type="pres">
      <dgm:prSet presAssocID="{B4A5C031-92B2-438E-80BC-EAA05F5C7CF7}" presName="Name9" presStyleLbl="parChTrans1D2" presStyleIdx="9" presStyleCnt="13"/>
      <dgm:spPr/>
      <dgm:t>
        <a:bodyPr/>
        <a:lstStyle/>
        <a:p>
          <a:endParaRPr lang="en-US"/>
        </a:p>
      </dgm:t>
    </dgm:pt>
    <dgm:pt modelId="{A140118B-14B1-45A7-9CF9-17E4D006F84D}" type="pres">
      <dgm:prSet presAssocID="{B4A5C031-92B2-438E-80BC-EAA05F5C7CF7}" presName="connTx" presStyleLbl="parChTrans1D2" presStyleIdx="9" presStyleCnt="13"/>
      <dgm:spPr/>
      <dgm:t>
        <a:bodyPr/>
        <a:lstStyle/>
        <a:p>
          <a:endParaRPr lang="en-US"/>
        </a:p>
      </dgm:t>
    </dgm:pt>
    <dgm:pt modelId="{5AF8D9AC-0C15-4D1B-BCD3-7FFCFF0A581D}" type="pres">
      <dgm:prSet presAssocID="{D460D018-736B-4CE5-A14B-061F8EFE829B}" presName="node" presStyleLbl="node1" presStyleIdx="9" presStyleCnt="13" custScaleX="242589" custScaleY="112385" custRadScaleRad="161523" custRadScaleInc="10174">
        <dgm:presLayoutVars>
          <dgm:bulletEnabled val="1"/>
        </dgm:presLayoutVars>
      </dgm:prSet>
      <dgm:spPr>
        <a:prstGeom prst="ellipse">
          <a:avLst/>
        </a:prstGeom>
      </dgm:spPr>
      <dgm:t>
        <a:bodyPr/>
        <a:lstStyle/>
        <a:p>
          <a:endParaRPr lang="en-US"/>
        </a:p>
      </dgm:t>
    </dgm:pt>
    <dgm:pt modelId="{701CC827-3AE5-4421-983B-6398C783C82F}" type="pres">
      <dgm:prSet presAssocID="{98B9F8AD-7347-45A5-BC2B-65EB3DDF63CC}" presName="Name9" presStyleLbl="parChTrans1D2" presStyleIdx="10" presStyleCnt="13"/>
      <dgm:spPr/>
      <dgm:t>
        <a:bodyPr/>
        <a:lstStyle/>
        <a:p>
          <a:endParaRPr lang="en-US"/>
        </a:p>
      </dgm:t>
    </dgm:pt>
    <dgm:pt modelId="{282CA825-226C-4E92-9F37-4F68B159DB24}" type="pres">
      <dgm:prSet presAssocID="{98B9F8AD-7347-45A5-BC2B-65EB3DDF63CC}" presName="connTx" presStyleLbl="parChTrans1D2" presStyleIdx="10" presStyleCnt="13"/>
      <dgm:spPr/>
      <dgm:t>
        <a:bodyPr/>
        <a:lstStyle/>
        <a:p>
          <a:endParaRPr lang="en-US"/>
        </a:p>
      </dgm:t>
    </dgm:pt>
    <dgm:pt modelId="{A86195D8-E78B-4F8B-B1C4-EFBBA8999B88}" type="pres">
      <dgm:prSet presAssocID="{D65A13E9-3C79-4155-B943-C33E81DAC317}" presName="node" presStyleLbl="node1" presStyleIdx="10" presStyleCnt="13" custScaleX="212787" custScaleY="95286" custRadScaleRad="155912" custRadScaleInc="-59542">
        <dgm:presLayoutVars>
          <dgm:bulletEnabled val="1"/>
        </dgm:presLayoutVars>
      </dgm:prSet>
      <dgm:spPr>
        <a:prstGeom prst="ellipse">
          <a:avLst/>
        </a:prstGeom>
      </dgm:spPr>
      <dgm:t>
        <a:bodyPr/>
        <a:lstStyle/>
        <a:p>
          <a:endParaRPr lang="en-US"/>
        </a:p>
      </dgm:t>
    </dgm:pt>
    <dgm:pt modelId="{56DC3FB7-FEB4-4CA1-911E-111FB1915BB0}" type="pres">
      <dgm:prSet presAssocID="{AF2F2798-D6F2-48C6-8603-284B4B1E72C7}" presName="Name9" presStyleLbl="parChTrans1D2" presStyleIdx="11" presStyleCnt="13"/>
      <dgm:spPr/>
      <dgm:t>
        <a:bodyPr/>
        <a:lstStyle/>
        <a:p>
          <a:endParaRPr lang="fr-FR"/>
        </a:p>
      </dgm:t>
    </dgm:pt>
    <dgm:pt modelId="{DB5645BA-09A6-4B91-9EFD-525E1F03D549}" type="pres">
      <dgm:prSet presAssocID="{AF2F2798-D6F2-48C6-8603-284B4B1E72C7}" presName="connTx" presStyleLbl="parChTrans1D2" presStyleIdx="11" presStyleCnt="13"/>
      <dgm:spPr/>
      <dgm:t>
        <a:bodyPr/>
        <a:lstStyle/>
        <a:p>
          <a:endParaRPr lang="fr-FR"/>
        </a:p>
      </dgm:t>
    </dgm:pt>
    <dgm:pt modelId="{FC1864C6-ECFC-4BED-8858-5C4B46AA1DB9}" type="pres">
      <dgm:prSet presAssocID="{00DA2DEA-7B17-44EE-B8F3-4B2A83FBF579}" presName="node" presStyleLbl="node1" presStyleIdx="11" presStyleCnt="13" custScaleX="217862" custRadScaleRad="143853" custRadScaleInc="-119250">
        <dgm:presLayoutVars>
          <dgm:bulletEnabled val="1"/>
        </dgm:presLayoutVars>
      </dgm:prSet>
      <dgm:spPr/>
      <dgm:t>
        <a:bodyPr/>
        <a:lstStyle/>
        <a:p>
          <a:endParaRPr lang="fr-FR"/>
        </a:p>
      </dgm:t>
    </dgm:pt>
    <dgm:pt modelId="{33C54B8E-FDEC-49F3-89CC-AF34C88AB1DB}" type="pres">
      <dgm:prSet presAssocID="{84EDB25F-D388-464E-BF3A-D8A2BD367A5F}" presName="Name9" presStyleLbl="parChTrans1D2" presStyleIdx="12" presStyleCnt="13"/>
      <dgm:spPr/>
      <dgm:t>
        <a:bodyPr/>
        <a:lstStyle/>
        <a:p>
          <a:endParaRPr lang="fr-FR"/>
        </a:p>
      </dgm:t>
    </dgm:pt>
    <dgm:pt modelId="{106D9E3C-12C9-4543-AEE2-80708AF35501}" type="pres">
      <dgm:prSet presAssocID="{84EDB25F-D388-464E-BF3A-D8A2BD367A5F}" presName="connTx" presStyleLbl="parChTrans1D2" presStyleIdx="12" presStyleCnt="13"/>
      <dgm:spPr/>
      <dgm:t>
        <a:bodyPr/>
        <a:lstStyle/>
        <a:p>
          <a:endParaRPr lang="fr-FR"/>
        </a:p>
      </dgm:t>
    </dgm:pt>
    <dgm:pt modelId="{9037AE07-77DD-4B23-9BF3-64D76F4B2837}" type="pres">
      <dgm:prSet presAssocID="{8717D03D-6327-45C7-856C-73F244E498C0}" presName="node" presStyleLbl="node1" presStyleIdx="12" presStyleCnt="13" custScaleX="217862" custRadScaleRad="109776" custRadScaleInc="-132600">
        <dgm:presLayoutVars>
          <dgm:bulletEnabled val="1"/>
        </dgm:presLayoutVars>
      </dgm:prSet>
      <dgm:spPr/>
      <dgm:t>
        <a:bodyPr/>
        <a:lstStyle/>
        <a:p>
          <a:endParaRPr lang="fr-FR"/>
        </a:p>
      </dgm:t>
    </dgm:pt>
  </dgm:ptLst>
  <dgm:cxnLst>
    <dgm:cxn modelId="{DE52658E-7388-41F5-B1C8-FDEB3743D056}" type="presOf" srcId="{D65A13E9-3C79-4155-B943-C33E81DAC317}" destId="{A86195D8-E78B-4F8B-B1C4-EFBBA8999B88}" srcOrd="0" destOrd="0" presId="urn:microsoft.com/office/officeart/2005/8/layout/radial1"/>
    <dgm:cxn modelId="{7D559833-BB2F-463D-8F08-4EFA57C96EC9}" type="presOf" srcId="{D460D018-736B-4CE5-A14B-061F8EFE829B}" destId="{5AF8D9AC-0C15-4D1B-BCD3-7FFCFF0A581D}" srcOrd="0" destOrd="0" presId="urn:microsoft.com/office/officeart/2005/8/layout/radial1"/>
    <dgm:cxn modelId="{2591E8CB-B60D-4A0E-845D-7DFCF23D5A14}" type="presOf" srcId="{84EDB25F-D388-464E-BF3A-D8A2BD367A5F}" destId="{106D9E3C-12C9-4543-AEE2-80708AF35501}" srcOrd="1" destOrd="0" presId="urn:microsoft.com/office/officeart/2005/8/layout/radial1"/>
    <dgm:cxn modelId="{996B9653-906A-49F8-9E4B-3836F7905D4E}" srcId="{D981426F-5B7B-4AA5-957A-6E8C9E1A2487}" destId="{A7516A72-1FC0-46ED-AAC4-AF0F7063F737}" srcOrd="0" destOrd="0" parTransId="{D9E0AFEB-65B5-4280-ADD0-766B3ADA6CFD}" sibTransId="{6B1EB84D-437E-47A1-87CB-9027EE716AD0}"/>
    <dgm:cxn modelId="{6190DB92-4360-4C61-8EB5-22F6680EEA65}" type="presOf" srcId="{3F89048A-3F9F-4897-8631-4599F4976029}" destId="{4DF1B0BE-A63A-4BEA-9EE5-4168481CC99E}" srcOrd="0" destOrd="0" presId="urn:microsoft.com/office/officeart/2005/8/layout/radial1"/>
    <dgm:cxn modelId="{A93C1B4A-74B5-4343-AF12-0C2C4D914189}" srcId="{A7516A72-1FC0-46ED-AAC4-AF0F7063F737}" destId="{898446A3-EA8C-4C13-8A65-DF8A110D0838}" srcOrd="1" destOrd="0" parTransId="{DB9FEC62-86A7-454A-89B3-F32F1907C71A}" sibTransId="{E56928EA-8406-4998-BE40-3F4796EA5932}"/>
    <dgm:cxn modelId="{C7DD68AE-99B2-4937-A127-D654A2E99784}" srcId="{A7516A72-1FC0-46ED-AAC4-AF0F7063F737}" destId="{DB0D84B1-C440-4746-9EEF-F1ED71D64DD2}" srcOrd="4" destOrd="0" parTransId="{9E510621-404D-46D6-8EB3-39712C8626D4}" sibTransId="{99C4878C-8523-40E3-93C5-8DC55D31DB77}"/>
    <dgm:cxn modelId="{F1C9CB1A-3916-4930-9F7E-AB534B8E78A5}" type="presOf" srcId="{D981426F-5B7B-4AA5-957A-6E8C9E1A2487}" destId="{9D8B49BD-1DF7-4888-9A7E-2CFD4320CC2B}" srcOrd="0" destOrd="0" presId="urn:microsoft.com/office/officeart/2005/8/layout/radial1"/>
    <dgm:cxn modelId="{747FA089-B486-407D-B205-766D0BC4DC9B}" type="presOf" srcId="{BA28F4A6-AD16-499D-88C1-DBE004B28175}" destId="{E6ACA703-0949-41B3-BE6B-C702E5C7275F}" srcOrd="0" destOrd="0" presId="urn:microsoft.com/office/officeart/2005/8/layout/radial1"/>
    <dgm:cxn modelId="{DF9EB478-C224-42F7-822E-5C2EA98D82E9}" srcId="{A7516A72-1FC0-46ED-AAC4-AF0F7063F737}" destId="{D65A13E9-3C79-4155-B943-C33E81DAC317}" srcOrd="10" destOrd="0" parTransId="{98B9F8AD-7347-45A5-BC2B-65EB3DDF63CC}" sibTransId="{65C76345-3C56-4B13-AF62-A1F968209579}"/>
    <dgm:cxn modelId="{BA40D38F-071D-415F-B3F8-B441E3AFFDA2}" type="presOf" srcId="{DEF73824-C893-4963-9504-7E97D2FF5253}" destId="{3EA6B60F-F2E8-4D48-9EC1-CAAE09243949}" srcOrd="1" destOrd="0" presId="urn:microsoft.com/office/officeart/2005/8/layout/radial1"/>
    <dgm:cxn modelId="{A1357B0A-C240-4A91-89D8-A39634308683}" srcId="{A7516A72-1FC0-46ED-AAC4-AF0F7063F737}" destId="{44FBC2E2-D754-42C1-BEE4-690296442511}" srcOrd="8" destOrd="0" parTransId="{2F72DDEE-62D3-48A5-836A-4C87596541F0}" sibTransId="{A8D506B7-E9B0-4378-B011-FCC599FE960D}"/>
    <dgm:cxn modelId="{D6F1B844-D609-4318-90D8-6017DF29D04E}" type="presOf" srcId="{98B9F8AD-7347-45A5-BC2B-65EB3DDF63CC}" destId="{282CA825-226C-4E92-9F37-4F68B159DB24}" srcOrd="1" destOrd="0" presId="urn:microsoft.com/office/officeart/2005/8/layout/radial1"/>
    <dgm:cxn modelId="{7E105BE2-EC16-4E2B-960E-725929F6A719}" type="presOf" srcId="{2628F477-2289-4CEE-9618-96DDAFCD4291}" destId="{49C45DFA-0A15-4DAA-80DC-CAE4ABCC6B43}" srcOrd="0" destOrd="0" presId="urn:microsoft.com/office/officeart/2005/8/layout/radial1"/>
    <dgm:cxn modelId="{345C13DF-1D3F-4982-AF23-DC2641540559}" srcId="{A7516A72-1FC0-46ED-AAC4-AF0F7063F737}" destId="{7C1FA040-4399-40F0-866F-845B7914F68D}" srcOrd="6" destOrd="0" parTransId="{98585C11-761C-43C4-979D-FB1B8BABF102}" sibTransId="{82A7CC90-6A4C-422A-B221-BA4CF5B4D442}"/>
    <dgm:cxn modelId="{CB24AE44-6CFE-41F5-A007-DA6FFFBB7E8E}" type="presOf" srcId="{DB9FEC62-86A7-454A-89B3-F32F1907C71A}" destId="{34515D96-C834-4D67-AF5C-3B293601CBC3}" srcOrd="0" destOrd="0" presId="urn:microsoft.com/office/officeart/2005/8/layout/radial1"/>
    <dgm:cxn modelId="{6894B31E-E761-4430-BFF3-9B9451CE65E1}" type="presOf" srcId="{7C1FA040-4399-40F0-866F-845B7914F68D}" destId="{69F18085-0AC3-4BAE-9B16-F8478FFBD61E}" srcOrd="0" destOrd="0" presId="urn:microsoft.com/office/officeart/2005/8/layout/radial1"/>
    <dgm:cxn modelId="{6BA9547C-AE17-45FC-8DA0-7AA0F6E6F095}" type="presOf" srcId="{8717D03D-6327-45C7-856C-73F244E498C0}" destId="{9037AE07-77DD-4B23-9BF3-64D76F4B2837}" srcOrd="0" destOrd="0" presId="urn:microsoft.com/office/officeart/2005/8/layout/radial1"/>
    <dgm:cxn modelId="{9F56A823-368D-4DE1-B005-A7811A45EB76}" type="presOf" srcId="{2F72DDEE-62D3-48A5-836A-4C87596541F0}" destId="{7B59CB2C-C82F-41EE-B3CF-ADD4878ADBA6}" srcOrd="0" destOrd="0" presId="urn:microsoft.com/office/officeart/2005/8/layout/radial1"/>
    <dgm:cxn modelId="{E330E4DD-13F4-43F2-9E38-52ECA9806C72}" type="presOf" srcId="{D94B5549-C2D2-4629-ACDF-33C6E334FA3A}" destId="{3F0F15B6-4D5A-493B-B03E-AE8141DC3DCE}" srcOrd="0" destOrd="0" presId="urn:microsoft.com/office/officeart/2005/8/layout/radial1"/>
    <dgm:cxn modelId="{435BE606-9F61-4D35-B03B-6925C397CD39}" type="presOf" srcId="{84EDB25F-D388-464E-BF3A-D8A2BD367A5F}" destId="{33C54B8E-FDEC-49F3-89CC-AF34C88AB1DB}" srcOrd="0" destOrd="0" presId="urn:microsoft.com/office/officeart/2005/8/layout/radial1"/>
    <dgm:cxn modelId="{71AEFCFC-BB73-4C71-8C7F-66941BDAA587}" type="presOf" srcId="{98585C11-761C-43C4-979D-FB1B8BABF102}" destId="{B930024E-8665-4782-9C41-36517A71FCD4}" srcOrd="1" destOrd="0" presId="urn:microsoft.com/office/officeart/2005/8/layout/radial1"/>
    <dgm:cxn modelId="{642C1DE9-F717-49B3-B3DE-9D8E3A04ECC5}" type="presOf" srcId="{6DAE892F-3F2D-42A5-BB1C-58D0E6BD9A47}" destId="{7E7DDE23-6C04-407D-AAB6-669511EA704E}" srcOrd="0" destOrd="0" presId="urn:microsoft.com/office/officeart/2005/8/layout/radial1"/>
    <dgm:cxn modelId="{333E8F20-31E9-4D6F-9F31-24FBF63076E9}" srcId="{A7516A72-1FC0-46ED-AAC4-AF0F7063F737}" destId="{D460D018-736B-4CE5-A14B-061F8EFE829B}" srcOrd="9" destOrd="0" parTransId="{B4A5C031-92B2-438E-80BC-EAA05F5C7CF7}" sibTransId="{13E4242D-C1FF-4F31-B2EF-0F857644C218}"/>
    <dgm:cxn modelId="{1229807D-6A59-498C-A707-9DD6CEEA0C8D}" srcId="{A7516A72-1FC0-46ED-AAC4-AF0F7063F737}" destId="{F0FE4372-65E6-4D92-B9B0-D2B79F26FB27}" srcOrd="2" destOrd="0" parTransId="{D94B5549-C2D2-4629-ACDF-33C6E334FA3A}" sibTransId="{E2B06661-55BE-4022-AD18-067DB2509F93}"/>
    <dgm:cxn modelId="{35A762CD-C827-48E2-92FA-6458EEF88D32}" type="presOf" srcId="{AF2F2798-D6F2-48C6-8603-284B4B1E72C7}" destId="{DB5645BA-09A6-4B91-9EFD-525E1F03D549}" srcOrd="1" destOrd="0" presId="urn:microsoft.com/office/officeart/2005/8/layout/radial1"/>
    <dgm:cxn modelId="{FE015183-3B41-4187-9114-81D46F29A774}" type="presOf" srcId="{2F72DDEE-62D3-48A5-836A-4C87596541F0}" destId="{280B3AB5-4999-4B99-8BE9-E09C9DF5D482}" srcOrd="1" destOrd="0" presId="urn:microsoft.com/office/officeart/2005/8/layout/radial1"/>
    <dgm:cxn modelId="{4D284B68-D057-48C5-9E3A-5117263CF19C}" type="presOf" srcId="{D94B5549-C2D2-4629-ACDF-33C6E334FA3A}" destId="{905DF954-A0B6-4A5F-9CE2-F1C3ADBDD0C1}" srcOrd="1" destOrd="0" presId="urn:microsoft.com/office/officeart/2005/8/layout/radial1"/>
    <dgm:cxn modelId="{DDADFA01-F6A4-4C84-B47D-A486AAE1C1C7}" type="presOf" srcId="{68A5766F-115C-487E-B7CB-4ADE150678D1}" destId="{AFD0CC05-9AD4-4A51-8739-4FB4CA1E4ACE}" srcOrd="0" destOrd="0" presId="urn:microsoft.com/office/officeart/2005/8/layout/radial1"/>
    <dgm:cxn modelId="{E5DD3C3F-F401-46C8-9D1F-CEE8478EFA81}" srcId="{A7516A72-1FC0-46ED-AAC4-AF0F7063F737}" destId="{2628F477-2289-4CEE-9618-96DDAFCD4291}" srcOrd="7" destOrd="0" parTransId="{DEF73824-C893-4963-9504-7E97D2FF5253}" sibTransId="{6D6ABE48-6FEB-4EAA-849C-585AC08FCF5B}"/>
    <dgm:cxn modelId="{4C08E098-0D0C-4B29-8DA2-984ED6473A70}" type="presOf" srcId="{00DA2DEA-7B17-44EE-B8F3-4B2A83FBF579}" destId="{FC1864C6-ECFC-4BED-8858-5C4B46AA1DB9}" srcOrd="0" destOrd="0" presId="urn:microsoft.com/office/officeart/2005/8/layout/radial1"/>
    <dgm:cxn modelId="{3468B2AA-93FC-403D-831B-965985FEF1E5}" type="presOf" srcId="{98B9F8AD-7347-45A5-BC2B-65EB3DDF63CC}" destId="{701CC827-3AE5-4421-983B-6398C783C82F}" srcOrd="0" destOrd="0" presId="urn:microsoft.com/office/officeart/2005/8/layout/radial1"/>
    <dgm:cxn modelId="{A9375D1F-CE59-4A3C-B367-84245C9B1DF7}" type="presOf" srcId="{898446A3-EA8C-4C13-8A65-DF8A110D0838}" destId="{D9366F31-B7D7-4B43-830C-AD5E2193A794}" srcOrd="0" destOrd="0" presId="urn:microsoft.com/office/officeart/2005/8/layout/radial1"/>
    <dgm:cxn modelId="{E60906DF-F90C-49B5-9465-7E4E4CADC993}" type="presOf" srcId="{B4A5C031-92B2-438E-80BC-EAA05F5C7CF7}" destId="{EFB9CB5A-411C-454B-96B1-9ED988829CBE}" srcOrd="0" destOrd="0" presId="urn:microsoft.com/office/officeart/2005/8/layout/radial1"/>
    <dgm:cxn modelId="{8F06B02E-ABE2-458C-AAF3-CA047BC7D89F}" type="presOf" srcId="{F0FE4372-65E6-4D92-B9B0-D2B79F26FB27}" destId="{ECD2D13D-466C-468B-BD6C-1B646D8E5B8E}" srcOrd="0" destOrd="0" presId="urn:microsoft.com/office/officeart/2005/8/layout/radial1"/>
    <dgm:cxn modelId="{3138FD81-FCE3-4020-9313-BAD8BCAF820B}" srcId="{A7516A72-1FC0-46ED-AAC4-AF0F7063F737}" destId="{14602118-D739-48CC-85E0-791974AFA995}" srcOrd="5" destOrd="0" parTransId="{3F89048A-3F9F-4897-8631-4599F4976029}" sibTransId="{85730AA2-ED16-41DB-9898-B2A63ECD874D}"/>
    <dgm:cxn modelId="{B2871C88-ED36-49FA-A6F1-3D45C507CAEF}" type="presOf" srcId="{B4A5C031-92B2-438E-80BC-EAA05F5C7CF7}" destId="{A140118B-14B1-45A7-9CF9-17E4D006F84D}" srcOrd="1" destOrd="0" presId="urn:microsoft.com/office/officeart/2005/8/layout/radial1"/>
    <dgm:cxn modelId="{E142F688-B501-4A4F-97A4-DA993B1536CB}" type="presOf" srcId="{DEF73824-C893-4963-9504-7E97D2FF5253}" destId="{FCC14444-D5E7-4E9C-B980-A27CD799E442}" srcOrd="0" destOrd="0" presId="urn:microsoft.com/office/officeart/2005/8/layout/radial1"/>
    <dgm:cxn modelId="{C0F034D4-503F-4DA9-A5CB-C7BF0627B07B}" srcId="{A7516A72-1FC0-46ED-AAC4-AF0F7063F737}" destId="{00DA2DEA-7B17-44EE-B8F3-4B2A83FBF579}" srcOrd="11" destOrd="0" parTransId="{AF2F2798-D6F2-48C6-8603-284B4B1E72C7}" sibTransId="{CCCEA437-9672-4AFA-BE4D-04D5D8601E71}"/>
    <dgm:cxn modelId="{D1BB5842-958A-4F76-9EAC-BB336AB105C3}" type="presOf" srcId="{D22DE764-173E-47DF-9480-722F8D8EA62C}" destId="{5CF8296B-0142-429D-A71A-20799D2EB74B}" srcOrd="0" destOrd="0" presId="urn:microsoft.com/office/officeart/2005/8/layout/radial1"/>
    <dgm:cxn modelId="{3A223AC9-D340-4556-98BF-40F518B991D5}" type="presOf" srcId="{AF2F2798-D6F2-48C6-8603-284B4B1E72C7}" destId="{56DC3FB7-FEB4-4CA1-911E-111FB1915BB0}" srcOrd="0" destOrd="0" presId="urn:microsoft.com/office/officeart/2005/8/layout/radial1"/>
    <dgm:cxn modelId="{4116B235-29F7-42E0-BC7F-0E3DD2BD623D}" type="presOf" srcId="{D22DE764-173E-47DF-9480-722F8D8EA62C}" destId="{48797E66-4F8B-4B79-BCA7-6F88E85CF835}" srcOrd="1" destOrd="0" presId="urn:microsoft.com/office/officeart/2005/8/layout/radial1"/>
    <dgm:cxn modelId="{CF0F7083-50E2-45B5-9D9D-DE39DB0687AE}" type="presOf" srcId="{DB0D84B1-C440-4746-9EEF-F1ED71D64DD2}" destId="{66DADE40-99AE-41BE-B997-129EED231064}" srcOrd="0" destOrd="0" presId="urn:microsoft.com/office/officeart/2005/8/layout/radial1"/>
    <dgm:cxn modelId="{1C5E9898-3C29-414D-8018-9BA8748572EA}" type="presOf" srcId="{98585C11-761C-43C4-979D-FB1B8BABF102}" destId="{E49C447F-3477-4311-B10B-FFFA7DE7209F}" srcOrd="0" destOrd="0" presId="urn:microsoft.com/office/officeart/2005/8/layout/radial1"/>
    <dgm:cxn modelId="{84826536-FF9D-47C5-902D-DB146A527C2A}" srcId="{A7516A72-1FC0-46ED-AAC4-AF0F7063F737}" destId="{68A5766F-115C-487E-B7CB-4ADE150678D1}" srcOrd="0" destOrd="0" parTransId="{BA28F4A6-AD16-499D-88C1-DBE004B28175}" sibTransId="{BA9B1909-6561-415A-8EF0-B53DE88FCEBA}"/>
    <dgm:cxn modelId="{4F4053DD-AB70-4D31-A79C-49A614368CC7}" type="presOf" srcId="{3F89048A-3F9F-4897-8631-4599F4976029}" destId="{32B4D7AF-BD29-4AC4-BA11-37F2AE9561F4}" srcOrd="1" destOrd="0" presId="urn:microsoft.com/office/officeart/2005/8/layout/radial1"/>
    <dgm:cxn modelId="{F331663C-8978-4D82-A6F0-F4821C014CF8}" type="presOf" srcId="{9E510621-404D-46D6-8EB3-39712C8626D4}" destId="{DC281168-2DBC-4CFB-B21D-C54E9628B383}" srcOrd="0" destOrd="0" presId="urn:microsoft.com/office/officeart/2005/8/layout/radial1"/>
    <dgm:cxn modelId="{B1E7BACE-E352-4887-B3E8-4C95B7F5D867}" type="presOf" srcId="{9E510621-404D-46D6-8EB3-39712C8626D4}" destId="{0D3BFC0A-5ED4-4CCF-A336-A529B3363890}" srcOrd="1" destOrd="0" presId="urn:microsoft.com/office/officeart/2005/8/layout/radial1"/>
    <dgm:cxn modelId="{95155FD0-B21A-482D-A9BC-3CB653DAE843}" type="presOf" srcId="{14602118-D739-48CC-85E0-791974AFA995}" destId="{DB594876-4070-4577-942D-67F5CD4D6A19}" srcOrd="0" destOrd="0" presId="urn:microsoft.com/office/officeart/2005/8/layout/radial1"/>
    <dgm:cxn modelId="{D7400BDC-4AEB-4DE2-9A6E-D7783FB0E4A6}" type="presOf" srcId="{DB9FEC62-86A7-454A-89B3-F32F1907C71A}" destId="{A8CF68B1-7D91-429E-8C8D-53007288E1DC}" srcOrd="1" destOrd="0" presId="urn:microsoft.com/office/officeart/2005/8/layout/radial1"/>
    <dgm:cxn modelId="{FE1169E0-24DF-4FBB-A1C9-8F332C85663A}" srcId="{A7516A72-1FC0-46ED-AAC4-AF0F7063F737}" destId="{6DAE892F-3F2D-42A5-BB1C-58D0E6BD9A47}" srcOrd="3" destOrd="0" parTransId="{D22DE764-173E-47DF-9480-722F8D8EA62C}" sibTransId="{28BD2EB6-8814-456D-B684-C7C0E2C0705F}"/>
    <dgm:cxn modelId="{DAB60AD7-17BE-45A5-BF4E-EC3F9A22CB11}" type="presOf" srcId="{A7516A72-1FC0-46ED-AAC4-AF0F7063F737}" destId="{493DA7EC-5D69-41B7-92E4-ED7ED9F48883}" srcOrd="0" destOrd="0" presId="urn:microsoft.com/office/officeart/2005/8/layout/radial1"/>
    <dgm:cxn modelId="{B3E27018-631C-41AF-836C-BC6F93DC596E}" type="presOf" srcId="{BA28F4A6-AD16-499D-88C1-DBE004B28175}" destId="{B06AADB2-5D51-41DC-8677-C0CC2357518B}" srcOrd="1" destOrd="0" presId="urn:microsoft.com/office/officeart/2005/8/layout/radial1"/>
    <dgm:cxn modelId="{DC64950E-008D-45CB-853B-33FEC8CDC68A}" srcId="{A7516A72-1FC0-46ED-AAC4-AF0F7063F737}" destId="{8717D03D-6327-45C7-856C-73F244E498C0}" srcOrd="12" destOrd="0" parTransId="{84EDB25F-D388-464E-BF3A-D8A2BD367A5F}" sibTransId="{DAE41B58-D5C0-4A41-A26A-FC8D7CC2F394}"/>
    <dgm:cxn modelId="{8873548B-CF87-47DE-A9D4-CAFC86AA8B5B}" type="presOf" srcId="{44FBC2E2-D754-42C1-BEE4-690296442511}" destId="{402B25BB-F397-46B5-AAB7-C38C2276BF82}" srcOrd="0" destOrd="0" presId="urn:microsoft.com/office/officeart/2005/8/layout/radial1"/>
    <dgm:cxn modelId="{169B742D-01B6-4606-8EC4-E2D7D0FBD104}" type="presParOf" srcId="{9D8B49BD-1DF7-4888-9A7E-2CFD4320CC2B}" destId="{493DA7EC-5D69-41B7-92E4-ED7ED9F48883}" srcOrd="0" destOrd="0" presId="urn:microsoft.com/office/officeart/2005/8/layout/radial1"/>
    <dgm:cxn modelId="{2F89E680-05AF-43DF-B1E1-078B7497437D}" type="presParOf" srcId="{9D8B49BD-1DF7-4888-9A7E-2CFD4320CC2B}" destId="{E6ACA703-0949-41B3-BE6B-C702E5C7275F}" srcOrd="1" destOrd="0" presId="urn:microsoft.com/office/officeart/2005/8/layout/radial1"/>
    <dgm:cxn modelId="{F8428328-803B-4509-AACD-750931635481}" type="presParOf" srcId="{E6ACA703-0949-41B3-BE6B-C702E5C7275F}" destId="{B06AADB2-5D51-41DC-8677-C0CC2357518B}" srcOrd="0" destOrd="0" presId="urn:microsoft.com/office/officeart/2005/8/layout/radial1"/>
    <dgm:cxn modelId="{F397869D-27A7-49DD-8059-86C8B9740044}" type="presParOf" srcId="{9D8B49BD-1DF7-4888-9A7E-2CFD4320CC2B}" destId="{AFD0CC05-9AD4-4A51-8739-4FB4CA1E4ACE}" srcOrd="2" destOrd="0" presId="urn:microsoft.com/office/officeart/2005/8/layout/radial1"/>
    <dgm:cxn modelId="{82420E07-3484-4F21-A7A3-502F0C54202B}" type="presParOf" srcId="{9D8B49BD-1DF7-4888-9A7E-2CFD4320CC2B}" destId="{34515D96-C834-4D67-AF5C-3B293601CBC3}" srcOrd="3" destOrd="0" presId="urn:microsoft.com/office/officeart/2005/8/layout/radial1"/>
    <dgm:cxn modelId="{F5171D08-1407-4071-9660-345DC3E59FE8}" type="presParOf" srcId="{34515D96-C834-4D67-AF5C-3B293601CBC3}" destId="{A8CF68B1-7D91-429E-8C8D-53007288E1DC}" srcOrd="0" destOrd="0" presId="urn:microsoft.com/office/officeart/2005/8/layout/radial1"/>
    <dgm:cxn modelId="{4D99C2B5-9B80-4B39-9A51-E6C231DAC141}" type="presParOf" srcId="{9D8B49BD-1DF7-4888-9A7E-2CFD4320CC2B}" destId="{D9366F31-B7D7-4B43-830C-AD5E2193A794}" srcOrd="4" destOrd="0" presId="urn:microsoft.com/office/officeart/2005/8/layout/radial1"/>
    <dgm:cxn modelId="{A504B21C-8BD6-4054-B19A-8ED58083BAC5}" type="presParOf" srcId="{9D8B49BD-1DF7-4888-9A7E-2CFD4320CC2B}" destId="{3F0F15B6-4D5A-493B-B03E-AE8141DC3DCE}" srcOrd="5" destOrd="0" presId="urn:microsoft.com/office/officeart/2005/8/layout/radial1"/>
    <dgm:cxn modelId="{2D529EC3-A479-4468-BD94-F7518EDBFEC7}" type="presParOf" srcId="{3F0F15B6-4D5A-493B-B03E-AE8141DC3DCE}" destId="{905DF954-A0B6-4A5F-9CE2-F1C3ADBDD0C1}" srcOrd="0" destOrd="0" presId="urn:microsoft.com/office/officeart/2005/8/layout/radial1"/>
    <dgm:cxn modelId="{1BCC0B99-6D57-43A3-B6A2-110A92061375}" type="presParOf" srcId="{9D8B49BD-1DF7-4888-9A7E-2CFD4320CC2B}" destId="{ECD2D13D-466C-468B-BD6C-1B646D8E5B8E}" srcOrd="6" destOrd="0" presId="urn:microsoft.com/office/officeart/2005/8/layout/radial1"/>
    <dgm:cxn modelId="{A5BDD1FC-19D2-4714-9A5D-EF0822CF9BF8}" type="presParOf" srcId="{9D8B49BD-1DF7-4888-9A7E-2CFD4320CC2B}" destId="{5CF8296B-0142-429D-A71A-20799D2EB74B}" srcOrd="7" destOrd="0" presId="urn:microsoft.com/office/officeart/2005/8/layout/radial1"/>
    <dgm:cxn modelId="{D96C6E6D-D82B-4988-AEF6-B6F0127694E8}" type="presParOf" srcId="{5CF8296B-0142-429D-A71A-20799D2EB74B}" destId="{48797E66-4F8B-4B79-BCA7-6F88E85CF835}" srcOrd="0" destOrd="0" presId="urn:microsoft.com/office/officeart/2005/8/layout/radial1"/>
    <dgm:cxn modelId="{D46211A1-B3A1-402C-89D2-8C824B0C9CC7}" type="presParOf" srcId="{9D8B49BD-1DF7-4888-9A7E-2CFD4320CC2B}" destId="{7E7DDE23-6C04-407D-AAB6-669511EA704E}" srcOrd="8" destOrd="0" presId="urn:microsoft.com/office/officeart/2005/8/layout/radial1"/>
    <dgm:cxn modelId="{53754163-F179-44A6-AE92-33C2B53FE762}" type="presParOf" srcId="{9D8B49BD-1DF7-4888-9A7E-2CFD4320CC2B}" destId="{DC281168-2DBC-4CFB-B21D-C54E9628B383}" srcOrd="9" destOrd="0" presId="urn:microsoft.com/office/officeart/2005/8/layout/radial1"/>
    <dgm:cxn modelId="{FA065915-5267-4BF8-B68A-37A081B53ECC}" type="presParOf" srcId="{DC281168-2DBC-4CFB-B21D-C54E9628B383}" destId="{0D3BFC0A-5ED4-4CCF-A336-A529B3363890}" srcOrd="0" destOrd="0" presId="urn:microsoft.com/office/officeart/2005/8/layout/radial1"/>
    <dgm:cxn modelId="{68647A90-A950-43FF-AB94-B40E6FFC75C5}" type="presParOf" srcId="{9D8B49BD-1DF7-4888-9A7E-2CFD4320CC2B}" destId="{66DADE40-99AE-41BE-B997-129EED231064}" srcOrd="10" destOrd="0" presId="urn:microsoft.com/office/officeart/2005/8/layout/radial1"/>
    <dgm:cxn modelId="{8D7ADBA0-D818-433E-8A5A-5995EA00B6FA}" type="presParOf" srcId="{9D8B49BD-1DF7-4888-9A7E-2CFD4320CC2B}" destId="{4DF1B0BE-A63A-4BEA-9EE5-4168481CC99E}" srcOrd="11" destOrd="0" presId="urn:microsoft.com/office/officeart/2005/8/layout/radial1"/>
    <dgm:cxn modelId="{C5D3AEFC-19DC-48DE-ACA8-6CF6A2B83DBF}" type="presParOf" srcId="{4DF1B0BE-A63A-4BEA-9EE5-4168481CC99E}" destId="{32B4D7AF-BD29-4AC4-BA11-37F2AE9561F4}" srcOrd="0" destOrd="0" presId="urn:microsoft.com/office/officeart/2005/8/layout/radial1"/>
    <dgm:cxn modelId="{7FCFB749-9705-4B41-B695-E51ADA4F21B8}" type="presParOf" srcId="{9D8B49BD-1DF7-4888-9A7E-2CFD4320CC2B}" destId="{DB594876-4070-4577-942D-67F5CD4D6A19}" srcOrd="12" destOrd="0" presId="urn:microsoft.com/office/officeart/2005/8/layout/radial1"/>
    <dgm:cxn modelId="{3FB7F265-FFFD-48BC-98C1-AC739C7D64E7}" type="presParOf" srcId="{9D8B49BD-1DF7-4888-9A7E-2CFD4320CC2B}" destId="{E49C447F-3477-4311-B10B-FFFA7DE7209F}" srcOrd="13" destOrd="0" presId="urn:microsoft.com/office/officeart/2005/8/layout/radial1"/>
    <dgm:cxn modelId="{9B96ED96-3D7E-471A-B07E-F847E8B6AE7B}" type="presParOf" srcId="{E49C447F-3477-4311-B10B-FFFA7DE7209F}" destId="{B930024E-8665-4782-9C41-36517A71FCD4}" srcOrd="0" destOrd="0" presId="urn:microsoft.com/office/officeart/2005/8/layout/radial1"/>
    <dgm:cxn modelId="{2ACC8996-ABAD-4174-9FA9-40E8ACA63FBE}" type="presParOf" srcId="{9D8B49BD-1DF7-4888-9A7E-2CFD4320CC2B}" destId="{69F18085-0AC3-4BAE-9B16-F8478FFBD61E}" srcOrd="14" destOrd="0" presId="urn:microsoft.com/office/officeart/2005/8/layout/radial1"/>
    <dgm:cxn modelId="{9002012C-5F29-4F49-8F1C-F6A6AD2CBA36}" type="presParOf" srcId="{9D8B49BD-1DF7-4888-9A7E-2CFD4320CC2B}" destId="{FCC14444-D5E7-4E9C-B980-A27CD799E442}" srcOrd="15" destOrd="0" presId="urn:microsoft.com/office/officeart/2005/8/layout/radial1"/>
    <dgm:cxn modelId="{25D1A925-0A53-4821-9EC3-C70168721FB7}" type="presParOf" srcId="{FCC14444-D5E7-4E9C-B980-A27CD799E442}" destId="{3EA6B60F-F2E8-4D48-9EC1-CAAE09243949}" srcOrd="0" destOrd="0" presId="urn:microsoft.com/office/officeart/2005/8/layout/radial1"/>
    <dgm:cxn modelId="{D98CD481-81E2-40B2-825A-EFC5788CED63}" type="presParOf" srcId="{9D8B49BD-1DF7-4888-9A7E-2CFD4320CC2B}" destId="{49C45DFA-0A15-4DAA-80DC-CAE4ABCC6B43}" srcOrd="16" destOrd="0" presId="urn:microsoft.com/office/officeart/2005/8/layout/radial1"/>
    <dgm:cxn modelId="{532D675E-C349-4D3F-A6EF-F7963E2EE8FD}" type="presParOf" srcId="{9D8B49BD-1DF7-4888-9A7E-2CFD4320CC2B}" destId="{7B59CB2C-C82F-41EE-B3CF-ADD4878ADBA6}" srcOrd="17" destOrd="0" presId="urn:microsoft.com/office/officeart/2005/8/layout/radial1"/>
    <dgm:cxn modelId="{CAB53D66-E0F4-4D65-B4BE-BA03AFB610EB}" type="presParOf" srcId="{7B59CB2C-C82F-41EE-B3CF-ADD4878ADBA6}" destId="{280B3AB5-4999-4B99-8BE9-E09C9DF5D482}" srcOrd="0" destOrd="0" presId="urn:microsoft.com/office/officeart/2005/8/layout/radial1"/>
    <dgm:cxn modelId="{01572265-C4B0-4851-87D3-8BFE63EBC796}" type="presParOf" srcId="{9D8B49BD-1DF7-4888-9A7E-2CFD4320CC2B}" destId="{402B25BB-F397-46B5-AAB7-C38C2276BF82}" srcOrd="18" destOrd="0" presId="urn:microsoft.com/office/officeart/2005/8/layout/radial1"/>
    <dgm:cxn modelId="{5B45B4E5-299B-4B79-A474-2C07A9714077}" type="presParOf" srcId="{9D8B49BD-1DF7-4888-9A7E-2CFD4320CC2B}" destId="{EFB9CB5A-411C-454B-96B1-9ED988829CBE}" srcOrd="19" destOrd="0" presId="urn:microsoft.com/office/officeart/2005/8/layout/radial1"/>
    <dgm:cxn modelId="{BD6DB0EC-B9B0-4844-8ECB-7DCE986D4962}" type="presParOf" srcId="{EFB9CB5A-411C-454B-96B1-9ED988829CBE}" destId="{A140118B-14B1-45A7-9CF9-17E4D006F84D}" srcOrd="0" destOrd="0" presId="urn:microsoft.com/office/officeart/2005/8/layout/radial1"/>
    <dgm:cxn modelId="{05B7CA4B-7107-43CF-AE83-16860C75A24D}" type="presParOf" srcId="{9D8B49BD-1DF7-4888-9A7E-2CFD4320CC2B}" destId="{5AF8D9AC-0C15-4D1B-BCD3-7FFCFF0A581D}" srcOrd="20" destOrd="0" presId="urn:microsoft.com/office/officeart/2005/8/layout/radial1"/>
    <dgm:cxn modelId="{7B04DD9D-DC0C-47EE-A743-E74BE7DD8A22}" type="presParOf" srcId="{9D8B49BD-1DF7-4888-9A7E-2CFD4320CC2B}" destId="{701CC827-3AE5-4421-983B-6398C783C82F}" srcOrd="21" destOrd="0" presId="urn:microsoft.com/office/officeart/2005/8/layout/radial1"/>
    <dgm:cxn modelId="{46758274-ACC5-4BC4-B6B5-364645F072BD}" type="presParOf" srcId="{701CC827-3AE5-4421-983B-6398C783C82F}" destId="{282CA825-226C-4E92-9F37-4F68B159DB24}" srcOrd="0" destOrd="0" presId="urn:microsoft.com/office/officeart/2005/8/layout/radial1"/>
    <dgm:cxn modelId="{16DC0C69-55B7-452F-B83F-38A5A8CD90E7}" type="presParOf" srcId="{9D8B49BD-1DF7-4888-9A7E-2CFD4320CC2B}" destId="{A86195D8-E78B-4F8B-B1C4-EFBBA8999B88}" srcOrd="22" destOrd="0" presId="urn:microsoft.com/office/officeart/2005/8/layout/radial1"/>
    <dgm:cxn modelId="{0FE7C1A8-8B58-4C20-92EB-363CDDEB384B}" type="presParOf" srcId="{9D8B49BD-1DF7-4888-9A7E-2CFD4320CC2B}" destId="{56DC3FB7-FEB4-4CA1-911E-111FB1915BB0}" srcOrd="23" destOrd="0" presId="urn:microsoft.com/office/officeart/2005/8/layout/radial1"/>
    <dgm:cxn modelId="{AF7CC2E3-E727-4D90-8A52-D62C31580764}" type="presParOf" srcId="{56DC3FB7-FEB4-4CA1-911E-111FB1915BB0}" destId="{DB5645BA-09A6-4B91-9EFD-525E1F03D549}" srcOrd="0" destOrd="0" presId="urn:microsoft.com/office/officeart/2005/8/layout/radial1"/>
    <dgm:cxn modelId="{4B2B1594-6439-4231-9BBA-EDC6A722B1D0}" type="presParOf" srcId="{9D8B49BD-1DF7-4888-9A7E-2CFD4320CC2B}" destId="{FC1864C6-ECFC-4BED-8858-5C4B46AA1DB9}" srcOrd="24" destOrd="0" presId="urn:microsoft.com/office/officeart/2005/8/layout/radial1"/>
    <dgm:cxn modelId="{B9D27C07-8975-4DB7-A5E7-6F4D12F0D9D5}" type="presParOf" srcId="{9D8B49BD-1DF7-4888-9A7E-2CFD4320CC2B}" destId="{33C54B8E-FDEC-49F3-89CC-AF34C88AB1DB}" srcOrd="25" destOrd="0" presId="urn:microsoft.com/office/officeart/2005/8/layout/radial1"/>
    <dgm:cxn modelId="{865C1D06-027B-4ED4-8BAB-17747B80660E}" type="presParOf" srcId="{33C54B8E-FDEC-49F3-89CC-AF34C88AB1DB}" destId="{106D9E3C-12C9-4543-AEE2-80708AF35501}" srcOrd="0" destOrd="0" presId="urn:microsoft.com/office/officeart/2005/8/layout/radial1"/>
    <dgm:cxn modelId="{4BDD0AA3-D1C4-48A4-96E7-A3C97FBC5700}" type="presParOf" srcId="{9D8B49BD-1DF7-4888-9A7E-2CFD4320CC2B}" destId="{9037AE07-77DD-4B23-9BF3-64D76F4B2837}" srcOrd="26" destOrd="0" presId="urn:microsoft.com/office/officeart/2005/8/layout/radial1"/>
  </dgm:cxnLst>
  <dgm:bg>
    <a:noFill/>
  </dgm:bg>
  <dgm:whole/>
  <dgm:extLst>
    <a:ext uri="http://schemas.microsoft.com/office/drawing/2008/diagram">
      <dsp:dataModelExt xmlns:dsp="http://schemas.microsoft.com/office/drawing/2008/diagram" relId="rId97"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34E6C8D5-8D4F-4714-8A12-8F4599A8E760}"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DE541715-C648-404D-8124-F14F463E9202}">
      <dgm:prSet phldrT="[Text]" custT="1"/>
      <dgm:spPr>
        <a:xfrm>
          <a:off x="2392477" y="768034"/>
          <a:ext cx="1209701" cy="496709"/>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gm:spPr>
      <dgm:t>
        <a:bodyPr/>
        <a:lstStyle/>
        <a:p>
          <a:pPr algn="ctr"/>
          <a:r>
            <a:rPr lang="en-US"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11</a:t>
          </a:r>
        </a:p>
      </dgm:t>
    </dgm:pt>
    <dgm:pt modelId="{7CA7849B-681D-4C0D-A708-F47E97871BB2}" type="sibTrans" cxnId="{22CFBE58-87EC-4B70-B1CC-D1D1DB4968C7}">
      <dgm:prSet/>
      <dgm:spPr/>
      <dgm:t>
        <a:bodyPr/>
        <a:lstStyle/>
        <a:p>
          <a:endParaRPr lang="en-US"/>
        </a:p>
      </dgm:t>
    </dgm:pt>
    <dgm:pt modelId="{D7DB3476-9C56-4274-B046-F742EA8694F1}" type="parTrans" cxnId="{22CFBE58-87EC-4B70-B1CC-D1D1DB4968C7}">
      <dgm:prSet/>
      <dgm:spPr/>
      <dgm:t>
        <a:bodyPr/>
        <a:lstStyle/>
        <a:p>
          <a:endParaRPr lang="en-US"/>
        </a:p>
      </dgm:t>
    </dgm:pt>
    <dgm:pt modelId="{4F895710-9C0A-4357-A62A-B00C2B1BB2A2}">
      <dgm:prSet phldrT="[Text]"/>
      <dgm:spPr/>
      <dgm:t>
        <a:bodyPr/>
        <a:lstStyle/>
        <a:p>
          <a:endParaRPr lang="en-US"/>
        </a:p>
      </dgm:t>
    </dgm:pt>
    <dgm:pt modelId="{A0A859C5-79E5-4C97-AF72-54A6D166EEA1}" type="sibTrans" cxnId="{DA740704-6E02-4402-8325-D0302449434E}">
      <dgm:prSet/>
      <dgm:spPr/>
      <dgm:t>
        <a:bodyPr/>
        <a:lstStyle/>
        <a:p>
          <a:endParaRPr lang="en-US"/>
        </a:p>
      </dgm:t>
    </dgm:pt>
    <dgm:pt modelId="{4492527F-B2BC-4423-9ACC-2816666249A0}" type="parTrans" cxnId="{DA740704-6E02-4402-8325-D0302449434E}">
      <dgm:prSet/>
      <dgm:spPr/>
      <dgm:t>
        <a:bodyPr/>
        <a:lstStyle/>
        <a:p>
          <a:endParaRPr lang="en-US"/>
        </a:p>
      </dgm:t>
    </dgm:pt>
    <dgm:pt modelId="{C06C39C9-71B8-489C-9C45-3DD37A424E39}">
      <dgm:prSet phldrT="[Text]" custT="1"/>
      <dgm:spPr>
        <a:xfrm>
          <a:off x="514738" y="689702"/>
          <a:ext cx="1606452" cy="651672"/>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20 </a:t>
          </a: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Relations extérieures</a:t>
          </a:r>
          <a:endPar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DCD34884-F96E-475A-9010-14DE66A403A6}" type="sibTrans" cxnId="{248698A6-055B-40E3-B808-D624056EF2B0}">
      <dgm:prSet/>
      <dgm:spPr/>
      <dgm:t>
        <a:bodyPr/>
        <a:lstStyle/>
        <a:p>
          <a:endParaRPr lang="en-US"/>
        </a:p>
      </dgm:t>
    </dgm:pt>
    <dgm:pt modelId="{0FABC453-0A5C-4CAE-813B-F0494A34E025}" type="parTrans" cxnId="{248698A6-055B-40E3-B808-D624056EF2B0}">
      <dgm:prSet/>
      <dgm:spPr>
        <a:xfrm rot="10801741">
          <a:off x="2121191" y="1008492"/>
          <a:ext cx="271287" cy="15042"/>
        </a:xfrm>
      </dgm:spPr>
      <dgm:t>
        <a:bodyPr/>
        <a:lstStyle/>
        <a:p>
          <a:endParaRPr lang="en-US"/>
        </a:p>
      </dgm:t>
    </dgm:pt>
    <dgm:pt modelId="{4631C2C5-1554-4289-90B0-F2D55D1595B6}">
      <dgm:prSet phldrT="[Text]" custT="1"/>
      <dgm:spPr>
        <a:xfrm>
          <a:off x="3969749" y="673535"/>
          <a:ext cx="1504339" cy="682160"/>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10</a:t>
          </a: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Pays en transition et pays développés</a:t>
          </a:r>
        </a:p>
      </dgm:t>
    </dgm:pt>
    <dgm:pt modelId="{9B3CB24D-A47A-4081-B256-B868D89D5387}" type="sibTrans" cxnId="{BF65F824-D4F4-4A84-83B4-6B1944B62AAD}">
      <dgm:prSet/>
      <dgm:spPr/>
      <dgm:t>
        <a:bodyPr/>
        <a:lstStyle/>
        <a:p>
          <a:endParaRPr lang="en-US"/>
        </a:p>
      </dgm:t>
    </dgm:pt>
    <dgm:pt modelId="{4693CA52-075F-4BD8-ABEA-5368BE377DDA}" type="parTrans" cxnId="{BF65F824-D4F4-4A84-83B4-6B1944B62AAD}">
      <dgm:prSet/>
      <dgm:spPr>
        <a:xfrm rot="21596465">
          <a:off x="3602177" y="1008056"/>
          <a:ext cx="367574" cy="15042"/>
        </a:xfrm>
      </dgm:spPr>
      <dgm:t>
        <a:bodyPr/>
        <a:lstStyle/>
        <a:p>
          <a:endParaRPr lang="en-US"/>
        </a:p>
      </dgm:t>
    </dgm:pt>
    <dgm:pt modelId="{960C5593-E0FF-4AA5-AA0B-E8BDFFBC5E53}">
      <dgm:prSet phldrT="[Text]" custT="1"/>
      <dgm:spPr>
        <a:xfrm>
          <a:off x="2280745" y="24727"/>
          <a:ext cx="1463485" cy="574966"/>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b="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a:t>
          </a:r>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9</a:t>
          </a: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Bureaux régionaux</a:t>
          </a:r>
        </a:p>
      </dgm:t>
    </dgm:pt>
    <dgm:pt modelId="{88F12DF7-015F-4F26-950A-DAE493699644}" type="sibTrans" cxnId="{529D05ED-97D5-4116-BE13-DE3D93351F7F}">
      <dgm:prSet/>
      <dgm:spPr/>
      <dgm:t>
        <a:bodyPr/>
        <a:lstStyle/>
        <a:p>
          <a:endParaRPr lang="en-US"/>
        </a:p>
      </dgm:t>
    </dgm:pt>
    <dgm:pt modelId="{7AF774ED-547E-4C04-8670-B0C1D08C5EE9}" type="parTrans" cxnId="{529D05ED-97D5-4116-BE13-DE3D93351F7F}">
      <dgm:prSet/>
      <dgm:spPr>
        <a:xfrm rot="16273998">
          <a:off x="2920287" y="676342"/>
          <a:ext cx="168399" cy="15042"/>
        </a:xfrm>
      </dgm:spPr>
      <dgm:t>
        <a:bodyPr/>
        <a:lstStyle/>
        <a:p>
          <a:endParaRPr lang="en-US"/>
        </a:p>
      </dgm:t>
    </dgm:pt>
    <dgm:pt modelId="{E8B72980-4234-42F0-8A76-7022BE1A23D4}">
      <dgm:prSet phldrT="[Text]" custT="1"/>
      <dgm:spPr>
        <a:xfrm>
          <a:off x="2280745" y="24727"/>
          <a:ext cx="1463485" cy="574966"/>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3</a:t>
          </a: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Droit d’auteur et droits connexes </a:t>
          </a:r>
        </a:p>
      </dgm:t>
    </dgm:pt>
    <dgm:pt modelId="{6A15E0A4-5C3C-46EC-813C-B512B6A8F114}" type="parTrans" cxnId="{2D0162FD-7690-42FF-BBB8-1147EFF1D173}">
      <dgm:prSet/>
      <dgm:spPr/>
      <dgm:t>
        <a:bodyPr/>
        <a:lstStyle/>
        <a:p>
          <a:endParaRPr lang="en-US"/>
        </a:p>
      </dgm:t>
    </dgm:pt>
    <dgm:pt modelId="{67FC8A0D-2667-483F-B383-42D270B4AFFA}" type="sibTrans" cxnId="{2D0162FD-7690-42FF-BBB8-1147EFF1D173}">
      <dgm:prSet/>
      <dgm:spPr/>
      <dgm:t>
        <a:bodyPr/>
        <a:lstStyle/>
        <a:p>
          <a:endParaRPr lang="en-US"/>
        </a:p>
      </dgm:t>
    </dgm:pt>
    <dgm:pt modelId="{08F189A1-AB47-41D1-8058-7A6DA66B3F52}" type="pres">
      <dgm:prSet presAssocID="{34E6C8D5-8D4F-4714-8A12-8F4599A8E760}" presName="cycle" presStyleCnt="0">
        <dgm:presLayoutVars>
          <dgm:chMax val="1"/>
          <dgm:dir/>
          <dgm:animLvl val="ctr"/>
          <dgm:resizeHandles val="exact"/>
        </dgm:presLayoutVars>
      </dgm:prSet>
      <dgm:spPr/>
      <dgm:t>
        <a:bodyPr/>
        <a:lstStyle/>
        <a:p>
          <a:endParaRPr lang="en-US"/>
        </a:p>
      </dgm:t>
    </dgm:pt>
    <dgm:pt modelId="{062AF917-2F47-4639-8A23-58AD52EC0F32}" type="pres">
      <dgm:prSet presAssocID="{DE541715-C648-404D-8124-F14F463E9202}" presName="centerShape" presStyleLbl="node0" presStyleIdx="0" presStyleCnt="1" custScaleX="370314" custScaleY="93936" custLinFactNeighborX="4528" custLinFactNeighborY="-432"/>
      <dgm:spPr>
        <a:prstGeom prst="ellipse">
          <a:avLst/>
        </a:prstGeom>
      </dgm:spPr>
      <dgm:t>
        <a:bodyPr/>
        <a:lstStyle/>
        <a:p>
          <a:endParaRPr lang="en-US"/>
        </a:p>
      </dgm:t>
    </dgm:pt>
    <dgm:pt modelId="{4344ACFB-6B44-4AAF-B1DB-49AB3ED02AF7}" type="pres">
      <dgm:prSet presAssocID="{6A15E0A4-5C3C-46EC-813C-B512B6A8F114}" presName="Name9" presStyleLbl="parChTrans1D2" presStyleIdx="0" presStyleCnt="4"/>
      <dgm:spPr/>
      <dgm:t>
        <a:bodyPr/>
        <a:lstStyle/>
        <a:p>
          <a:endParaRPr lang="en-US"/>
        </a:p>
      </dgm:t>
    </dgm:pt>
    <dgm:pt modelId="{2E49232F-4FB2-4DC8-A6DD-3902EF154437}" type="pres">
      <dgm:prSet presAssocID="{6A15E0A4-5C3C-46EC-813C-B512B6A8F114}" presName="connTx" presStyleLbl="parChTrans1D2" presStyleIdx="0" presStyleCnt="4"/>
      <dgm:spPr/>
      <dgm:t>
        <a:bodyPr/>
        <a:lstStyle/>
        <a:p>
          <a:endParaRPr lang="en-US"/>
        </a:p>
      </dgm:t>
    </dgm:pt>
    <dgm:pt modelId="{19ACA16F-4F02-4741-A973-0858AA9E727D}" type="pres">
      <dgm:prSet presAssocID="{E8B72980-4234-42F0-8A76-7022BE1A23D4}" presName="node" presStyleLbl="node1" presStyleIdx="0" presStyleCnt="4" custScaleX="420481" custScaleY="124937" custRadScaleRad="102451" custRadScaleInc="13735">
        <dgm:presLayoutVars>
          <dgm:bulletEnabled val="1"/>
        </dgm:presLayoutVars>
      </dgm:prSet>
      <dgm:spPr/>
      <dgm:t>
        <a:bodyPr/>
        <a:lstStyle/>
        <a:p>
          <a:endParaRPr lang="en-US"/>
        </a:p>
      </dgm:t>
    </dgm:pt>
    <dgm:pt modelId="{5337AE63-3722-42CC-AF72-36670EB7C5E1}" type="pres">
      <dgm:prSet presAssocID="{7AF774ED-547E-4C04-8670-B0C1D08C5EE9}" presName="Name9" presStyleLbl="parChTrans1D2" presStyleIdx="1" presStyleCnt="4"/>
      <dgm:spPr/>
      <dgm:t>
        <a:bodyPr/>
        <a:lstStyle/>
        <a:p>
          <a:endParaRPr lang="en-US"/>
        </a:p>
      </dgm:t>
    </dgm:pt>
    <dgm:pt modelId="{326412CE-9911-4799-A459-B56F02EB4473}" type="pres">
      <dgm:prSet presAssocID="{7AF774ED-547E-4C04-8670-B0C1D08C5EE9}" presName="connTx" presStyleLbl="parChTrans1D2" presStyleIdx="1" presStyleCnt="4"/>
      <dgm:spPr/>
      <dgm:t>
        <a:bodyPr/>
        <a:lstStyle/>
        <a:p>
          <a:endParaRPr lang="en-US"/>
        </a:p>
      </dgm:t>
    </dgm:pt>
    <dgm:pt modelId="{CED9197C-8322-406B-917C-172FA36E7B76}" type="pres">
      <dgm:prSet presAssocID="{960C5593-E0FF-4AA5-AA0B-E8BDFFBC5E53}" presName="node" presStyleLbl="node1" presStyleIdx="1" presStyleCnt="4" custScaleX="280667" custScaleY="105096" custRadScaleRad="409260" custRadScaleInc="-1245">
        <dgm:presLayoutVars>
          <dgm:bulletEnabled val="1"/>
        </dgm:presLayoutVars>
      </dgm:prSet>
      <dgm:spPr>
        <a:prstGeom prst="ellipse">
          <a:avLst/>
        </a:prstGeom>
      </dgm:spPr>
      <dgm:t>
        <a:bodyPr/>
        <a:lstStyle/>
        <a:p>
          <a:endParaRPr lang="en-US"/>
        </a:p>
      </dgm:t>
    </dgm:pt>
    <dgm:pt modelId="{4AC11394-3179-4EC5-A97F-D1A1B521CE2F}" type="pres">
      <dgm:prSet presAssocID="{4693CA52-075F-4BD8-ABEA-5368BE377DDA}" presName="Name9" presStyleLbl="parChTrans1D2" presStyleIdx="2" presStyleCnt="4"/>
      <dgm:spPr/>
      <dgm:t>
        <a:bodyPr/>
        <a:lstStyle/>
        <a:p>
          <a:endParaRPr lang="en-US"/>
        </a:p>
      </dgm:t>
    </dgm:pt>
    <dgm:pt modelId="{62A1F741-432F-46BE-AE07-15F0B6D5EA89}" type="pres">
      <dgm:prSet presAssocID="{4693CA52-075F-4BD8-ABEA-5368BE377DDA}" presName="connTx" presStyleLbl="parChTrans1D2" presStyleIdx="2" presStyleCnt="4"/>
      <dgm:spPr/>
      <dgm:t>
        <a:bodyPr/>
        <a:lstStyle/>
        <a:p>
          <a:endParaRPr lang="en-US"/>
        </a:p>
      </dgm:t>
    </dgm:pt>
    <dgm:pt modelId="{035B4C9A-0916-4FCC-A1CF-85DB358A289A}" type="pres">
      <dgm:prSet presAssocID="{4631C2C5-1554-4289-90B0-F2D55D1595B6}" presName="node" presStyleLbl="node1" presStyleIdx="2" presStyleCnt="4" custScaleX="415646" custScaleY="132202" custRadScaleRad="97351" custRadScaleInc="-22377">
        <dgm:presLayoutVars>
          <dgm:bulletEnabled val="1"/>
        </dgm:presLayoutVars>
      </dgm:prSet>
      <dgm:spPr>
        <a:prstGeom prst="ellipse">
          <a:avLst/>
        </a:prstGeom>
      </dgm:spPr>
      <dgm:t>
        <a:bodyPr/>
        <a:lstStyle/>
        <a:p>
          <a:endParaRPr lang="en-US"/>
        </a:p>
      </dgm:t>
    </dgm:pt>
    <dgm:pt modelId="{ADF94B70-0D7F-4A27-8DF9-17BCD27F4A7A}" type="pres">
      <dgm:prSet presAssocID="{0FABC453-0A5C-4CAE-813B-F0494A34E025}" presName="Name9" presStyleLbl="parChTrans1D2" presStyleIdx="3" presStyleCnt="4"/>
      <dgm:spPr/>
      <dgm:t>
        <a:bodyPr/>
        <a:lstStyle/>
        <a:p>
          <a:endParaRPr lang="en-US"/>
        </a:p>
      </dgm:t>
    </dgm:pt>
    <dgm:pt modelId="{EA4144E0-C5B2-4FC0-BDB2-550B61DB7DFD}" type="pres">
      <dgm:prSet presAssocID="{0FABC453-0A5C-4CAE-813B-F0494A34E025}" presName="connTx" presStyleLbl="parChTrans1D2" presStyleIdx="3" presStyleCnt="4"/>
      <dgm:spPr/>
      <dgm:t>
        <a:bodyPr/>
        <a:lstStyle/>
        <a:p>
          <a:endParaRPr lang="en-US"/>
        </a:p>
      </dgm:t>
    </dgm:pt>
    <dgm:pt modelId="{0FAF3FA1-8E6C-455E-B189-A468B3F4D8BC}" type="pres">
      <dgm:prSet presAssocID="{C06C39C9-71B8-489C-9C45-3DD37A424E39}" presName="node" presStyleLbl="node1" presStyleIdx="3" presStyleCnt="4" custScaleX="329255" custScaleY="95041" custRadScaleRad="416028" custRadScaleInc="35">
        <dgm:presLayoutVars>
          <dgm:bulletEnabled val="1"/>
        </dgm:presLayoutVars>
      </dgm:prSet>
      <dgm:spPr>
        <a:prstGeom prst="ellipse">
          <a:avLst/>
        </a:prstGeom>
      </dgm:spPr>
      <dgm:t>
        <a:bodyPr/>
        <a:lstStyle/>
        <a:p>
          <a:endParaRPr lang="en-US"/>
        </a:p>
      </dgm:t>
    </dgm:pt>
  </dgm:ptLst>
  <dgm:cxnLst>
    <dgm:cxn modelId="{22CFBE58-87EC-4B70-B1CC-D1D1DB4968C7}" srcId="{34E6C8D5-8D4F-4714-8A12-8F4599A8E760}" destId="{DE541715-C648-404D-8124-F14F463E9202}" srcOrd="0" destOrd="0" parTransId="{D7DB3476-9C56-4274-B046-F742EA8694F1}" sibTransId="{7CA7849B-681D-4C0D-A708-F47E97871BB2}"/>
    <dgm:cxn modelId="{9AE7A64E-853E-4B32-A879-AE1EA279A282}" type="presOf" srcId="{C06C39C9-71B8-489C-9C45-3DD37A424E39}" destId="{0FAF3FA1-8E6C-455E-B189-A468B3F4D8BC}" srcOrd="0" destOrd="0" presId="urn:microsoft.com/office/officeart/2005/8/layout/radial1"/>
    <dgm:cxn modelId="{7EC209E0-96A5-465A-B42C-8C44D64E3A30}" type="presOf" srcId="{4693CA52-075F-4BD8-ABEA-5368BE377DDA}" destId="{4AC11394-3179-4EC5-A97F-D1A1B521CE2F}" srcOrd="0" destOrd="0" presId="urn:microsoft.com/office/officeart/2005/8/layout/radial1"/>
    <dgm:cxn modelId="{85174325-F171-4308-AF3A-551FD3D75FCD}" type="presOf" srcId="{4693CA52-075F-4BD8-ABEA-5368BE377DDA}" destId="{62A1F741-432F-46BE-AE07-15F0B6D5EA89}" srcOrd="1" destOrd="0" presId="urn:microsoft.com/office/officeart/2005/8/layout/radial1"/>
    <dgm:cxn modelId="{37985CDF-9766-4E78-86B4-28B809B8722B}" type="presOf" srcId="{6A15E0A4-5C3C-46EC-813C-B512B6A8F114}" destId="{2E49232F-4FB2-4DC8-A6DD-3902EF154437}" srcOrd="1" destOrd="0" presId="urn:microsoft.com/office/officeart/2005/8/layout/radial1"/>
    <dgm:cxn modelId="{B7189EF8-3387-4A60-8A32-CFCAD41EFFC9}" type="presOf" srcId="{960C5593-E0FF-4AA5-AA0B-E8BDFFBC5E53}" destId="{CED9197C-8322-406B-917C-172FA36E7B76}" srcOrd="0" destOrd="0" presId="urn:microsoft.com/office/officeart/2005/8/layout/radial1"/>
    <dgm:cxn modelId="{658925F2-5F29-4097-9A05-4DBC092F72B1}" type="presOf" srcId="{4631C2C5-1554-4289-90B0-F2D55D1595B6}" destId="{035B4C9A-0916-4FCC-A1CF-85DB358A289A}" srcOrd="0" destOrd="0" presId="urn:microsoft.com/office/officeart/2005/8/layout/radial1"/>
    <dgm:cxn modelId="{ABFEF10C-7E5B-4F2B-B0CA-40F7E20A3706}" type="presOf" srcId="{0FABC453-0A5C-4CAE-813B-F0494A34E025}" destId="{ADF94B70-0D7F-4A27-8DF9-17BCD27F4A7A}" srcOrd="0" destOrd="0" presId="urn:microsoft.com/office/officeart/2005/8/layout/radial1"/>
    <dgm:cxn modelId="{7B61802C-9585-4EA4-B996-22D81681E805}" type="presOf" srcId="{34E6C8D5-8D4F-4714-8A12-8F4599A8E760}" destId="{08F189A1-AB47-41D1-8058-7A6DA66B3F52}" srcOrd="0" destOrd="0" presId="urn:microsoft.com/office/officeart/2005/8/layout/radial1"/>
    <dgm:cxn modelId="{DA740704-6E02-4402-8325-D0302449434E}" srcId="{34E6C8D5-8D4F-4714-8A12-8F4599A8E760}" destId="{4F895710-9C0A-4357-A62A-B00C2B1BB2A2}" srcOrd="1" destOrd="0" parTransId="{4492527F-B2BC-4423-9ACC-2816666249A0}" sibTransId="{A0A859C5-79E5-4C97-AF72-54A6D166EEA1}"/>
    <dgm:cxn modelId="{B2C8BEF4-C477-4B81-B1FC-35282FCC1EBE}" type="presOf" srcId="{6A15E0A4-5C3C-46EC-813C-B512B6A8F114}" destId="{4344ACFB-6B44-4AAF-B1DB-49AB3ED02AF7}" srcOrd="0" destOrd="0" presId="urn:microsoft.com/office/officeart/2005/8/layout/radial1"/>
    <dgm:cxn modelId="{529D05ED-97D5-4116-BE13-DE3D93351F7F}" srcId="{DE541715-C648-404D-8124-F14F463E9202}" destId="{960C5593-E0FF-4AA5-AA0B-E8BDFFBC5E53}" srcOrd="1" destOrd="0" parTransId="{7AF774ED-547E-4C04-8670-B0C1D08C5EE9}" sibTransId="{88F12DF7-015F-4F26-950A-DAE493699644}"/>
    <dgm:cxn modelId="{2D0162FD-7690-42FF-BBB8-1147EFF1D173}" srcId="{DE541715-C648-404D-8124-F14F463E9202}" destId="{E8B72980-4234-42F0-8A76-7022BE1A23D4}" srcOrd="0" destOrd="0" parTransId="{6A15E0A4-5C3C-46EC-813C-B512B6A8F114}" sibTransId="{67FC8A0D-2667-483F-B383-42D270B4AFFA}"/>
    <dgm:cxn modelId="{78F2C9BE-832F-41A8-B594-6955AB7759D6}" type="presOf" srcId="{7AF774ED-547E-4C04-8670-B0C1D08C5EE9}" destId="{5337AE63-3722-42CC-AF72-36670EB7C5E1}" srcOrd="0" destOrd="0" presId="urn:microsoft.com/office/officeart/2005/8/layout/radial1"/>
    <dgm:cxn modelId="{AFBB6AD6-C936-48D6-B7E3-4F8375EA15CB}" type="presOf" srcId="{0FABC453-0A5C-4CAE-813B-F0494A34E025}" destId="{EA4144E0-C5B2-4FC0-BDB2-550B61DB7DFD}" srcOrd="1" destOrd="0" presId="urn:microsoft.com/office/officeart/2005/8/layout/radial1"/>
    <dgm:cxn modelId="{BF65F824-D4F4-4A84-83B4-6B1944B62AAD}" srcId="{DE541715-C648-404D-8124-F14F463E9202}" destId="{4631C2C5-1554-4289-90B0-F2D55D1595B6}" srcOrd="2" destOrd="0" parTransId="{4693CA52-075F-4BD8-ABEA-5368BE377DDA}" sibTransId="{9B3CB24D-A47A-4081-B256-B868D89D5387}"/>
    <dgm:cxn modelId="{403FC188-F0C9-4ED0-93E3-C4548F02042F}" type="presOf" srcId="{7AF774ED-547E-4C04-8670-B0C1D08C5EE9}" destId="{326412CE-9911-4799-A459-B56F02EB4473}" srcOrd="1" destOrd="0" presId="urn:microsoft.com/office/officeart/2005/8/layout/radial1"/>
    <dgm:cxn modelId="{8F504C49-1C65-4EB6-B399-3DD4E29C3550}" type="presOf" srcId="{E8B72980-4234-42F0-8A76-7022BE1A23D4}" destId="{19ACA16F-4F02-4741-A973-0858AA9E727D}" srcOrd="0" destOrd="0" presId="urn:microsoft.com/office/officeart/2005/8/layout/radial1"/>
    <dgm:cxn modelId="{248698A6-055B-40E3-B808-D624056EF2B0}" srcId="{DE541715-C648-404D-8124-F14F463E9202}" destId="{C06C39C9-71B8-489C-9C45-3DD37A424E39}" srcOrd="3" destOrd="0" parTransId="{0FABC453-0A5C-4CAE-813B-F0494A34E025}" sibTransId="{DCD34884-F96E-475A-9010-14DE66A403A6}"/>
    <dgm:cxn modelId="{3D5E4853-27DD-4BCD-B989-B94704A3D96A}" type="presOf" srcId="{DE541715-C648-404D-8124-F14F463E9202}" destId="{062AF917-2F47-4639-8A23-58AD52EC0F32}" srcOrd="0" destOrd="0" presId="urn:microsoft.com/office/officeart/2005/8/layout/radial1"/>
    <dgm:cxn modelId="{5E0E173F-0917-4483-92FE-9315EC6EBA52}" type="presParOf" srcId="{08F189A1-AB47-41D1-8058-7A6DA66B3F52}" destId="{062AF917-2F47-4639-8A23-58AD52EC0F32}" srcOrd="0" destOrd="0" presId="urn:microsoft.com/office/officeart/2005/8/layout/radial1"/>
    <dgm:cxn modelId="{63190950-5928-4C9F-8CBB-CB62559D2506}" type="presParOf" srcId="{08F189A1-AB47-41D1-8058-7A6DA66B3F52}" destId="{4344ACFB-6B44-4AAF-B1DB-49AB3ED02AF7}" srcOrd="1" destOrd="0" presId="urn:microsoft.com/office/officeart/2005/8/layout/radial1"/>
    <dgm:cxn modelId="{87174D1B-24E3-424C-9590-6F5FCA0101A9}" type="presParOf" srcId="{4344ACFB-6B44-4AAF-B1DB-49AB3ED02AF7}" destId="{2E49232F-4FB2-4DC8-A6DD-3902EF154437}" srcOrd="0" destOrd="0" presId="urn:microsoft.com/office/officeart/2005/8/layout/radial1"/>
    <dgm:cxn modelId="{A9B35F42-991F-4539-924F-FB6AB1FABEBB}" type="presParOf" srcId="{08F189A1-AB47-41D1-8058-7A6DA66B3F52}" destId="{19ACA16F-4F02-4741-A973-0858AA9E727D}" srcOrd="2" destOrd="0" presId="urn:microsoft.com/office/officeart/2005/8/layout/radial1"/>
    <dgm:cxn modelId="{C791D7B9-3534-4EC2-A20B-1DAB6DDBC292}" type="presParOf" srcId="{08F189A1-AB47-41D1-8058-7A6DA66B3F52}" destId="{5337AE63-3722-42CC-AF72-36670EB7C5E1}" srcOrd="3" destOrd="0" presId="urn:microsoft.com/office/officeart/2005/8/layout/radial1"/>
    <dgm:cxn modelId="{04D21BD0-F36A-41BB-88AD-939A755C35EE}" type="presParOf" srcId="{5337AE63-3722-42CC-AF72-36670EB7C5E1}" destId="{326412CE-9911-4799-A459-B56F02EB4473}" srcOrd="0" destOrd="0" presId="urn:microsoft.com/office/officeart/2005/8/layout/radial1"/>
    <dgm:cxn modelId="{1FAE2EB3-42CA-40A8-9340-147255197C8D}" type="presParOf" srcId="{08F189A1-AB47-41D1-8058-7A6DA66B3F52}" destId="{CED9197C-8322-406B-917C-172FA36E7B76}" srcOrd="4" destOrd="0" presId="urn:microsoft.com/office/officeart/2005/8/layout/radial1"/>
    <dgm:cxn modelId="{940033C3-8A82-4281-AC12-AAD8F307B67A}" type="presParOf" srcId="{08F189A1-AB47-41D1-8058-7A6DA66B3F52}" destId="{4AC11394-3179-4EC5-A97F-D1A1B521CE2F}" srcOrd="5" destOrd="0" presId="urn:microsoft.com/office/officeart/2005/8/layout/radial1"/>
    <dgm:cxn modelId="{14D066D7-6F7D-46F1-8A63-D21DA449BC14}" type="presParOf" srcId="{4AC11394-3179-4EC5-A97F-D1A1B521CE2F}" destId="{62A1F741-432F-46BE-AE07-15F0B6D5EA89}" srcOrd="0" destOrd="0" presId="urn:microsoft.com/office/officeart/2005/8/layout/radial1"/>
    <dgm:cxn modelId="{00AF9346-127F-499F-9904-8EBC4B59D444}" type="presParOf" srcId="{08F189A1-AB47-41D1-8058-7A6DA66B3F52}" destId="{035B4C9A-0916-4FCC-A1CF-85DB358A289A}" srcOrd="6" destOrd="0" presId="urn:microsoft.com/office/officeart/2005/8/layout/radial1"/>
    <dgm:cxn modelId="{C5B5A1CF-2DDC-49CF-929E-6737F9BA78C5}" type="presParOf" srcId="{08F189A1-AB47-41D1-8058-7A6DA66B3F52}" destId="{ADF94B70-0D7F-4A27-8DF9-17BCD27F4A7A}" srcOrd="7" destOrd="0" presId="urn:microsoft.com/office/officeart/2005/8/layout/radial1"/>
    <dgm:cxn modelId="{FE3648E1-C34F-4FD4-9E6A-2BFEDFBC87A8}" type="presParOf" srcId="{ADF94B70-0D7F-4A27-8DF9-17BCD27F4A7A}" destId="{EA4144E0-C5B2-4FC0-BDB2-550B61DB7DFD}" srcOrd="0" destOrd="0" presId="urn:microsoft.com/office/officeart/2005/8/layout/radial1"/>
    <dgm:cxn modelId="{7465BCB3-4E03-40EB-86C6-6DEE6B182603}" type="presParOf" srcId="{08F189A1-AB47-41D1-8058-7A6DA66B3F52}" destId="{0FAF3FA1-8E6C-455E-B189-A468B3F4D8BC}" srcOrd="8" destOrd="0" presId="urn:microsoft.com/office/officeart/2005/8/layout/radial1"/>
  </dgm:cxnLst>
  <dgm:bg/>
  <dgm:whole/>
  <dgm:extLst>
    <a:ext uri="http://schemas.microsoft.com/office/drawing/2008/diagram">
      <dsp:dataModelExt xmlns:dsp="http://schemas.microsoft.com/office/drawing/2008/diagram" relId="rId103" minVer="http://schemas.openxmlformats.org/drawingml/2006/diagram"/>
    </a:ext>
    <a:ext uri="{C62137D5-CB1D-491B-B009-E17868A290BF}">
      <dgm14:recolorImg xmlns:dgm14="http://schemas.microsoft.com/office/drawing/2010/diagram" val="1"/>
    </a:ext>
  </dgm:extLst>
</dgm:dataModel>
</file>

<file path=word/diagrams/data13.xml><?xml version="1.0" encoding="utf-8"?>
<dgm:dataModel xmlns:dgm="http://schemas.openxmlformats.org/drawingml/2006/diagram" xmlns:a="http://schemas.openxmlformats.org/drawingml/2006/main">
  <dgm:ptLst>
    <dgm:pt modelId="{34E6C8D5-8D4F-4714-8A12-8F4599A8E760}"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DE541715-C648-404D-8124-F14F463E9202}">
      <dgm:prSet phldrT="[Text]" custT="1"/>
      <dgm:spPr>
        <a:xfrm>
          <a:off x="2452588" y="668343"/>
          <a:ext cx="1260722" cy="517659"/>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gm:spPr>
      <dgm:t>
        <a:bodyPr/>
        <a:lstStyle/>
        <a:p>
          <a:pPr algn="ctr"/>
          <a:r>
            <a:rPr lang="en-US"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30</a:t>
          </a:r>
        </a:p>
      </dgm:t>
    </dgm:pt>
    <dgm:pt modelId="{7CA7849B-681D-4C0D-A708-F47E97871BB2}" type="sibTrans" cxnId="{22CFBE58-87EC-4B70-B1CC-D1D1DB4968C7}">
      <dgm:prSet/>
      <dgm:spPr/>
      <dgm:t>
        <a:bodyPr/>
        <a:lstStyle/>
        <a:p>
          <a:pPr algn="ctr"/>
          <a:endParaRPr lang="en-US"/>
        </a:p>
      </dgm:t>
    </dgm:pt>
    <dgm:pt modelId="{D7DB3476-9C56-4274-B046-F742EA8694F1}" type="parTrans" cxnId="{22CFBE58-87EC-4B70-B1CC-D1D1DB4968C7}">
      <dgm:prSet/>
      <dgm:spPr/>
      <dgm:t>
        <a:bodyPr/>
        <a:lstStyle/>
        <a:p>
          <a:pPr algn="ctr"/>
          <a:endParaRPr lang="en-US"/>
        </a:p>
      </dgm:t>
    </dgm:pt>
    <dgm:pt modelId="{4F895710-9C0A-4357-A62A-B00C2B1BB2A2}">
      <dgm:prSet phldrT="[Text]"/>
      <dgm:spPr/>
      <dgm:t>
        <a:bodyPr/>
        <a:lstStyle/>
        <a:p>
          <a:pPr algn="ctr"/>
          <a:endParaRPr lang="en-US" sz="1600"/>
        </a:p>
      </dgm:t>
    </dgm:pt>
    <dgm:pt modelId="{A0A859C5-79E5-4C97-AF72-54A6D166EEA1}" type="sibTrans" cxnId="{DA740704-6E02-4402-8325-D0302449434E}">
      <dgm:prSet/>
      <dgm:spPr/>
      <dgm:t>
        <a:bodyPr/>
        <a:lstStyle/>
        <a:p>
          <a:pPr algn="ctr"/>
          <a:endParaRPr lang="en-US"/>
        </a:p>
      </dgm:t>
    </dgm:pt>
    <dgm:pt modelId="{4492527F-B2BC-4423-9ACC-2816666249A0}" type="parTrans" cxnId="{DA740704-6E02-4402-8325-D0302449434E}">
      <dgm:prSet/>
      <dgm:spPr/>
      <dgm:t>
        <a:bodyPr/>
        <a:lstStyle/>
        <a:p>
          <a:pPr algn="ctr"/>
          <a:endParaRPr lang="en-US"/>
        </a:p>
      </dgm:t>
    </dgm:pt>
    <dgm:pt modelId="{C06C39C9-71B8-489C-9C45-3DD37A424E39}">
      <dgm:prSet phldrT="[Text]" custT="1"/>
      <dgm:spPr>
        <a:xfrm>
          <a:off x="524557" y="663886"/>
          <a:ext cx="1254593" cy="529529"/>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algn="ctr"/>
          <a:endParaRPr lang="en-US" sz="105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algn="ctr"/>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11</a:t>
          </a:r>
        </a:p>
        <a:p>
          <a:pPr algn="ctr"/>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Académie de l’OMPI</a:t>
          </a:r>
        </a:p>
        <a:p>
          <a:pPr algn="ctr"/>
          <a:endPar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DCD34884-F96E-475A-9010-14DE66A403A6}" type="sibTrans" cxnId="{248698A6-055B-40E3-B808-D624056EF2B0}">
      <dgm:prSet/>
      <dgm:spPr/>
      <dgm:t>
        <a:bodyPr/>
        <a:lstStyle/>
        <a:p>
          <a:pPr algn="ctr"/>
          <a:endParaRPr lang="en-US"/>
        </a:p>
      </dgm:t>
    </dgm:pt>
    <dgm:pt modelId="{0FABC453-0A5C-4CAE-813B-F0494A34E025}" type="parTrans" cxnId="{248698A6-055B-40E3-B808-D624056EF2B0}">
      <dgm:prSet custT="1"/>
      <dgm:spPr>
        <a:xfrm rot="10797369">
          <a:off x="1779149" y="920376"/>
          <a:ext cx="673440" cy="15073"/>
        </a:xfrm>
      </dgm:spPr>
      <dgm:t>
        <a:bodyPr/>
        <a:lstStyle/>
        <a:p>
          <a:pPr algn="ctr"/>
          <a:endParaRPr lang="en-US" sz="400"/>
        </a:p>
      </dgm:t>
    </dgm:pt>
    <dgm:pt modelId="{4631C2C5-1554-4289-90B0-F2D55D1595B6}">
      <dgm:prSet phldrT="[Text]" custT="1"/>
      <dgm:spPr>
        <a:xfrm>
          <a:off x="4299215" y="666184"/>
          <a:ext cx="1286243" cy="509599"/>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algn="ctr"/>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9</a:t>
          </a:r>
        </a:p>
        <a:p>
          <a:pPr algn="ctr"/>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Bureaux régionaux</a:t>
          </a:r>
        </a:p>
      </dgm:t>
    </dgm:pt>
    <dgm:pt modelId="{9B3CB24D-A47A-4081-B256-B868D89D5387}" type="sibTrans" cxnId="{BF65F824-D4F4-4A84-83B4-6B1944B62AAD}">
      <dgm:prSet/>
      <dgm:spPr/>
      <dgm:t>
        <a:bodyPr/>
        <a:lstStyle/>
        <a:p>
          <a:pPr algn="ctr"/>
          <a:endParaRPr lang="en-US"/>
        </a:p>
      </dgm:t>
    </dgm:pt>
    <dgm:pt modelId="{4693CA52-075F-4BD8-ABEA-5368BE377DDA}" type="parTrans" cxnId="{BF65F824-D4F4-4A84-83B4-6B1944B62AAD}">
      <dgm:prSet custT="1"/>
      <dgm:spPr>
        <a:xfrm rot="21588558">
          <a:off x="3713289" y="916563"/>
          <a:ext cx="585950" cy="15073"/>
        </a:xfrm>
      </dgm:spPr>
      <dgm:t>
        <a:bodyPr/>
        <a:lstStyle/>
        <a:p>
          <a:pPr algn="ctr"/>
          <a:endParaRPr lang="en-US" sz="400"/>
        </a:p>
      </dgm:t>
    </dgm:pt>
    <dgm:pt modelId="{5C260341-F1C3-4458-A657-957289015FC3}">
      <dgm:prSet phldrT="[Text]" custT="1"/>
      <dgm:spPr>
        <a:xfrm>
          <a:off x="2412268" y="1327152"/>
          <a:ext cx="1341363" cy="539747"/>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algn="ctr"/>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10</a:t>
          </a:r>
        </a:p>
        <a:p>
          <a:pPr algn="ctr"/>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Pays en transition et pays développés</a:t>
          </a:r>
        </a:p>
      </dgm:t>
    </dgm:pt>
    <dgm:pt modelId="{45A6C23B-D452-4078-BA3A-466D0894B9EB}" type="parTrans" cxnId="{0266A1D0-CEC9-45F3-8B31-A21772E8AA19}">
      <dgm:prSet custT="1"/>
      <dgm:spPr>
        <a:xfrm rot="5400000">
          <a:off x="3012375" y="1249040"/>
          <a:ext cx="141149" cy="15073"/>
        </a:xfrm>
      </dgm:spPr>
      <dgm:t>
        <a:bodyPr/>
        <a:lstStyle/>
        <a:p>
          <a:pPr algn="ctr"/>
          <a:endParaRPr lang="en-US" sz="400"/>
        </a:p>
      </dgm:t>
    </dgm:pt>
    <dgm:pt modelId="{89B7C331-6FB9-4771-84B2-9F75AB1415C9}" type="sibTrans" cxnId="{0266A1D0-CEC9-45F3-8B31-A21772E8AA19}">
      <dgm:prSet/>
      <dgm:spPr/>
      <dgm:t>
        <a:bodyPr/>
        <a:lstStyle/>
        <a:p>
          <a:pPr algn="ctr"/>
          <a:endParaRPr lang="en-US"/>
        </a:p>
      </dgm:t>
    </dgm:pt>
    <dgm:pt modelId="{08F189A1-AB47-41D1-8058-7A6DA66B3F52}" type="pres">
      <dgm:prSet presAssocID="{34E6C8D5-8D4F-4714-8A12-8F4599A8E760}" presName="cycle" presStyleCnt="0">
        <dgm:presLayoutVars>
          <dgm:chMax val="1"/>
          <dgm:dir/>
          <dgm:animLvl val="ctr"/>
          <dgm:resizeHandles val="exact"/>
        </dgm:presLayoutVars>
      </dgm:prSet>
      <dgm:spPr/>
      <dgm:t>
        <a:bodyPr/>
        <a:lstStyle/>
        <a:p>
          <a:endParaRPr lang="en-US"/>
        </a:p>
      </dgm:t>
    </dgm:pt>
    <dgm:pt modelId="{062AF917-2F47-4639-8A23-58AD52EC0F32}" type="pres">
      <dgm:prSet presAssocID="{DE541715-C648-404D-8124-F14F463E9202}" presName="centerShape" presStyleLbl="node0" presStyleIdx="0" presStyleCnt="1" custScaleX="243543" custLinFactNeighborX="0" custLinFactNeighborY="386"/>
      <dgm:spPr>
        <a:prstGeom prst="ellipse">
          <a:avLst/>
        </a:prstGeom>
      </dgm:spPr>
      <dgm:t>
        <a:bodyPr/>
        <a:lstStyle/>
        <a:p>
          <a:endParaRPr lang="en-US"/>
        </a:p>
      </dgm:t>
    </dgm:pt>
    <dgm:pt modelId="{4AC11394-3179-4EC5-A97F-D1A1B521CE2F}" type="pres">
      <dgm:prSet presAssocID="{4693CA52-075F-4BD8-ABEA-5368BE377DDA}" presName="Name9" presStyleLbl="parChTrans1D2" presStyleIdx="0" presStyleCnt="3"/>
      <dgm:spPr/>
      <dgm:t>
        <a:bodyPr/>
        <a:lstStyle/>
        <a:p>
          <a:endParaRPr lang="en-US"/>
        </a:p>
      </dgm:t>
    </dgm:pt>
    <dgm:pt modelId="{62A1F741-432F-46BE-AE07-15F0B6D5EA89}" type="pres">
      <dgm:prSet presAssocID="{4693CA52-075F-4BD8-ABEA-5368BE377DDA}" presName="connTx" presStyleLbl="parChTrans1D2" presStyleIdx="0" presStyleCnt="3"/>
      <dgm:spPr/>
      <dgm:t>
        <a:bodyPr/>
        <a:lstStyle/>
        <a:p>
          <a:endParaRPr lang="en-US"/>
        </a:p>
      </dgm:t>
    </dgm:pt>
    <dgm:pt modelId="{035B4C9A-0916-4FCC-A1CF-85DB358A289A}" type="pres">
      <dgm:prSet presAssocID="{4631C2C5-1554-4289-90B0-F2D55D1595B6}" presName="node" presStyleLbl="node1" presStyleIdx="0" presStyleCnt="3" custScaleX="271646" custScaleY="103589" custRadScaleRad="276287" custRadScaleInc="-68">
        <dgm:presLayoutVars>
          <dgm:bulletEnabled val="1"/>
        </dgm:presLayoutVars>
      </dgm:prSet>
      <dgm:spPr>
        <a:prstGeom prst="ellipse">
          <a:avLst/>
        </a:prstGeom>
      </dgm:spPr>
      <dgm:t>
        <a:bodyPr/>
        <a:lstStyle/>
        <a:p>
          <a:endParaRPr lang="en-US"/>
        </a:p>
      </dgm:t>
    </dgm:pt>
    <dgm:pt modelId="{64248C57-3CE0-4657-BC67-6279BA0257B1}" type="pres">
      <dgm:prSet presAssocID="{45A6C23B-D452-4078-BA3A-466D0894B9EB}" presName="Name9" presStyleLbl="parChTrans1D2" presStyleIdx="1" presStyleCnt="3"/>
      <dgm:spPr/>
      <dgm:t>
        <a:bodyPr/>
        <a:lstStyle/>
        <a:p>
          <a:endParaRPr lang="en-US"/>
        </a:p>
      </dgm:t>
    </dgm:pt>
    <dgm:pt modelId="{C7C9B7EB-2DEF-4B99-8D38-AC2E9641BEB5}" type="pres">
      <dgm:prSet presAssocID="{45A6C23B-D452-4078-BA3A-466D0894B9EB}" presName="connTx" presStyleLbl="parChTrans1D2" presStyleIdx="1" presStyleCnt="3"/>
      <dgm:spPr/>
      <dgm:t>
        <a:bodyPr/>
        <a:lstStyle/>
        <a:p>
          <a:endParaRPr lang="en-US"/>
        </a:p>
      </dgm:t>
    </dgm:pt>
    <dgm:pt modelId="{976BA53C-17D4-4F7C-9078-1272C469C9E5}" type="pres">
      <dgm:prSet presAssocID="{5C260341-F1C3-4458-A657-957289015FC3}" presName="node" presStyleLbl="node1" presStyleIdx="1" presStyleCnt="3" custScaleX="255606" custScaleY="104267" custRadScaleRad="255715" custRadScaleInc="-49632">
        <dgm:presLayoutVars>
          <dgm:bulletEnabled val="1"/>
        </dgm:presLayoutVars>
      </dgm:prSet>
      <dgm:spPr>
        <a:prstGeom prst="ellipse">
          <a:avLst/>
        </a:prstGeom>
      </dgm:spPr>
      <dgm:t>
        <a:bodyPr/>
        <a:lstStyle/>
        <a:p>
          <a:endParaRPr lang="en-US"/>
        </a:p>
      </dgm:t>
    </dgm:pt>
    <dgm:pt modelId="{ADF94B70-0D7F-4A27-8DF9-17BCD27F4A7A}" type="pres">
      <dgm:prSet presAssocID="{0FABC453-0A5C-4CAE-813B-F0494A34E025}" presName="Name9" presStyleLbl="parChTrans1D2" presStyleIdx="2" presStyleCnt="3"/>
      <dgm:spPr/>
      <dgm:t>
        <a:bodyPr/>
        <a:lstStyle/>
        <a:p>
          <a:endParaRPr lang="en-US"/>
        </a:p>
      </dgm:t>
    </dgm:pt>
    <dgm:pt modelId="{EA4144E0-C5B2-4FC0-BDB2-550B61DB7DFD}" type="pres">
      <dgm:prSet presAssocID="{0FABC453-0A5C-4CAE-813B-F0494A34E025}" presName="connTx" presStyleLbl="parChTrans1D2" presStyleIdx="2" presStyleCnt="3"/>
      <dgm:spPr/>
      <dgm:t>
        <a:bodyPr/>
        <a:lstStyle/>
        <a:p>
          <a:endParaRPr lang="en-US"/>
        </a:p>
      </dgm:t>
    </dgm:pt>
    <dgm:pt modelId="{0FAF3FA1-8E6C-455E-B189-A468B3F4D8BC}" type="pres">
      <dgm:prSet presAssocID="{C06C39C9-71B8-489C-9C45-3DD37A424E39}" presName="node" presStyleLbl="node1" presStyleIdx="2" presStyleCnt="3" custScaleX="257679" custScaleY="106613" custRadScaleRad="255723" custRadScaleInc="49480">
        <dgm:presLayoutVars>
          <dgm:bulletEnabled val="1"/>
        </dgm:presLayoutVars>
      </dgm:prSet>
      <dgm:spPr>
        <a:prstGeom prst="ellipse">
          <a:avLst/>
        </a:prstGeom>
      </dgm:spPr>
      <dgm:t>
        <a:bodyPr/>
        <a:lstStyle/>
        <a:p>
          <a:endParaRPr lang="en-US"/>
        </a:p>
      </dgm:t>
    </dgm:pt>
  </dgm:ptLst>
  <dgm:cxnLst>
    <dgm:cxn modelId="{DA740704-6E02-4402-8325-D0302449434E}" srcId="{34E6C8D5-8D4F-4714-8A12-8F4599A8E760}" destId="{4F895710-9C0A-4357-A62A-B00C2B1BB2A2}" srcOrd="1" destOrd="0" parTransId="{4492527F-B2BC-4423-9ACC-2816666249A0}" sibTransId="{A0A859C5-79E5-4C97-AF72-54A6D166EEA1}"/>
    <dgm:cxn modelId="{03FFD420-9A91-46FE-AF98-7108720716BE}" type="presOf" srcId="{C06C39C9-71B8-489C-9C45-3DD37A424E39}" destId="{0FAF3FA1-8E6C-455E-B189-A468B3F4D8BC}" srcOrd="0" destOrd="0" presId="urn:microsoft.com/office/officeart/2005/8/layout/radial1"/>
    <dgm:cxn modelId="{05B8C706-0187-4AD4-8E77-E1D0E8B22674}" type="presOf" srcId="{4693CA52-075F-4BD8-ABEA-5368BE377DDA}" destId="{62A1F741-432F-46BE-AE07-15F0B6D5EA89}" srcOrd="1" destOrd="0" presId="urn:microsoft.com/office/officeart/2005/8/layout/radial1"/>
    <dgm:cxn modelId="{22CFBE58-87EC-4B70-B1CC-D1D1DB4968C7}" srcId="{34E6C8D5-8D4F-4714-8A12-8F4599A8E760}" destId="{DE541715-C648-404D-8124-F14F463E9202}" srcOrd="0" destOrd="0" parTransId="{D7DB3476-9C56-4274-B046-F742EA8694F1}" sibTransId="{7CA7849B-681D-4C0D-A708-F47E97871BB2}"/>
    <dgm:cxn modelId="{69174953-FE37-4C84-856E-0FAEFE7A45BD}" type="presOf" srcId="{5C260341-F1C3-4458-A657-957289015FC3}" destId="{976BA53C-17D4-4F7C-9078-1272C469C9E5}" srcOrd="0" destOrd="0" presId="urn:microsoft.com/office/officeart/2005/8/layout/radial1"/>
    <dgm:cxn modelId="{BF65F824-D4F4-4A84-83B4-6B1944B62AAD}" srcId="{DE541715-C648-404D-8124-F14F463E9202}" destId="{4631C2C5-1554-4289-90B0-F2D55D1595B6}" srcOrd="0" destOrd="0" parTransId="{4693CA52-075F-4BD8-ABEA-5368BE377DDA}" sibTransId="{9B3CB24D-A47A-4081-B256-B868D89D5387}"/>
    <dgm:cxn modelId="{77B583C6-3723-47AC-9E86-3014FCBF3681}" type="presOf" srcId="{34E6C8D5-8D4F-4714-8A12-8F4599A8E760}" destId="{08F189A1-AB47-41D1-8058-7A6DA66B3F52}" srcOrd="0" destOrd="0" presId="urn:microsoft.com/office/officeart/2005/8/layout/radial1"/>
    <dgm:cxn modelId="{E654F098-89E8-49D0-9CFF-E93AA421481C}" type="presOf" srcId="{0FABC453-0A5C-4CAE-813B-F0494A34E025}" destId="{EA4144E0-C5B2-4FC0-BDB2-550B61DB7DFD}" srcOrd="1" destOrd="0" presId="urn:microsoft.com/office/officeart/2005/8/layout/radial1"/>
    <dgm:cxn modelId="{819CDEE2-33AF-4517-9380-96AA81F4A83B}" type="presOf" srcId="{DE541715-C648-404D-8124-F14F463E9202}" destId="{062AF917-2F47-4639-8A23-58AD52EC0F32}" srcOrd="0" destOrd="0" presId="urn:microsoft.com/office/officeart/2005/8/layout/radial1"/>
    <dgm:cxn modelId="{0266A1D0-CEC9-45F3-8B31-A21772E8AA19}" srcId="{DE541715-C648-404D-8124-F14F463E9202}" destId="{5C260341-F1C3-4458-A657-957289015FC3}" srcOrd="1" destOrd="0" parTransId="{45A6C23B-D452-4078-BA3A-466D0894B9EB}" sibTransId="{89B7C331-6FB9-4771-84B2-9F75AB1415C9}"/>
    <dgm:cxn modelId="{248698A6-055B-40E3-B808-D624056EF2B0}" srcId="{DE541715-C648-404D-8124-F14F463E9202}" destId="{C06C39C9-71B8-489C-9C45-3DD37A424E39}" srcOrd="2" destOrd="0" parTransId="{0FABC453-0A5C-4CAE-813B-F0494A34E025}" sibTransId="{DCD34884-F96E-475A-9010-14DE66A403A6}"/>
    <dgm:cxn modelId="{3F915477-7845-4760-AA2C-11454502F9C3}" type="presOf" srcId="{4693CA52-075F-4BD8-ABEA-5368BE377DDA}" destId="{4AC11394-3179-4EC5-A97F-D1A1B521CE2F}" srcOrd="0" destOrd="0" presId="urn:microsoft.com/office/officeart/2005/8/layout/radial1"/>
    <dgm:cxn modelId="{3597449F-F252-4932-9FFD-53D64CB0E25A}" type="presOf" srcId="{45A6C23B-D452-4078-BA3A-466D0894B9EB}" destId="{C7C9B7EB-2DEF-4B99-8D38-AC2E9641BEB5}" srcOrd="1" destOrd="0" presId="urn:microsoft.com/office/officeart/2005/8/layout/radial1"/>
    <dgm:cxn modelId="{FBEFADB7-46C1-4C1F-BDFB-008ED2F25495}" type="presOf" srcId="{0FABC453-0A5C-4CAE-813B-F0494A34E025}" destId="{ADF94B70-0D7F-4A27-8DF9-17BCD27F4A7A}" srcOrd="0" destOrd="0" presId="urn:microsoft.com/office/officeart/2005/8/layout/radial1"/>
    <dgm:cxn modelId="{1F9F0D3C-4EE8-40C6-9E94-EB55447043B6}" type="presOf" srcId="{4631C2C5-1554-4289-90B0-F2D55D1595B6}" destId="{035B4C9A-0916-4FCC-A1CF-85DB358A289A}" srcOrd="0" destOrd="0" presId="urn:microsoft.com/office/officeart/2005/8/layout/radial1"/>
    <dgm:cxn modelId="{050528E1-166A-40C4-B378-8EF5923F288B}" type="presOf" srcId="{45A6C23B-D452-4078-BA3A-466D0894B9EB}" destId="{64248C57-3CE0-4657-BC67-6279BA0257B1}" srcOrd="0" destOrd="0" presId="urn:microsoft.com/office/officeart/2005/8/layout/radial1"/>
    <dgm:cxn modelId="{D501854E-DF40-41A4-922D-C2D92322DABA}" type="presParOf" srcId="{08F189A1-AB47-41D1-8058-7A6DA66B3F52}" destId="{062AF917-2F47-4639-8A23-58AD52EC0F32}" srcOrd="0" destOrd="0" presId="urn:microsoft.com/office/officeart/2005/8/layout/radial1"/>
    <dgm:cxn modelId="{42ABD753-AEBF-40F9-9BF1-CCA660A2AECB}" type="presParOf" srcId="{08F189A1-AB47-41D1-8058-7A6DA66B3F52}" destId="{4AC11394-3179-4EC5-A97F-D1A1B521CE2F}" srcOrd="1" destOrd="0" presId="urn:microsoft.com/office/officeart/2005/8/layout/radial1"/>
    <dgm:cxn modelId="{F9E8AAA7-9F8C-4805-8D7D-29D115CDD0A2}" type="presParOf" srcId="{4AC11394-3179-4EC5-A97F-D1A1B521CE2F}" destId="{62A1F741-432F-46BE-AE07-15F0B6D5EA89}" srcOrd="0" destOrd="0" presId="urn:microsoft.com/office/officeart/2005/8/layout/radial1"/>
    <dgm:cxn modelId="{E2C4A1C2-7009-4942-B3FC-2BC386A75A1B}" type="presParOf" srcId="{08F189A1-AB47-41D1-8058-7A6DA66B3F52}" destId="{035B4C9A-0916-4FCC-A1CF-85DB358A289A}" srcOrd="2" destOrd="0" presId="urn:microsoft.com/office/officeart/2005/8/layout/radial1"/>
    <dgm:cxn modelId="{FC462707-AF17-4804-AA18-AD8FFA1EA7B8}" type="presParOf" srcId="{08F189A1-AB47-41D1-8058-7A6DA66B3F52}" destId="{64248C57-3CE0-4657-BC67-6279BA0257B1}" srcOrd="3" destOrd="0" presId="urn:microsoft.com/office/officeart/2005/8/layout/radial1"/>
    <dgm:cxn modelId="{EA75C2B9-A614-4E7A-9F10-D4A9E9A8B9C1}" type="presParOf" srcId="{64248C57-3CE0-4657-BC67-6279BA0257B1}" destId="{C7C9B7EB-2DEF-4B99-8D38-AC2E9641BEB5}" srcOrd="0" destOrd="0" presId="urn:microsoft.com/office/officeart/2005/8/layout/radial1"/>
    <dgm:cxn modelId="{ACFB6C7A-534E-4DE6-BFC8-30201D33C145}" type="presParOf" srcId="{08F189A1-AB47-41D1-8058-7A6DA66B3F52}" destId="{976BA53C-17D4-4F7C-9078-1272C469C9E5}" srcOrd="4" destOrd="0" presId="urn:microsoft.com/office/officeart/2005/8/layout/radial1"/>
    <dgm:cxn modelId="{9FB6A052-E6F0-4A6D-864F-3294848E5CAF}" type="presParOf" srcId="{08F189A1-AB47-41D1-8058-7A6DA66B3F52}" destId="{ADF94B70-0D7F-4A27-8DF9-17BCD27F4A7A}" srcOrd="5" destOrd="0" presId="urn:microsoft.com/office/officeart/2005/8/layout/radial1"/>
    <dgm:cxn modelId="{6CC8B78A-7DB1-4D33-A47C-2F59A2FE1722}" type="presParOf" srcId="{ADF94B70-0D7F-4A27-8DF9-17BCD27F4A7A}" destId="{EA4144E0-C5B2-4FC0-BDB2-550B61DB7DFD}" srcOrd="0" destOrd="0" presId="urn:microsoft.com/office/officeart/2005/8/layout/radial1"/>
    <dgm:cxn modelId="{D9CCE9B3-71AA-4590-84C8-2AE9D312DC24}" type="presParOf" srcId="{08F189A1-AB47-41D1-8058-7A6DA66B3F52}" destId="{0FAF3FA1-8E6C-455E-B189-A468B3F4D8BC}" srcOrd="6" destOrd="0" presId="urn:microsoft.com/office/officeart/2005/8/layout/radial1"/>
  </dgm:cxnLst>
  <dgm:bg/>
  <dgm:whole/>
  <dgm:extLst>
    <a:ext uri="http://schemas.microsoft.com/office/drawing/2008/diagram">
      <dsp:dataModelExt xmlns:dsp="http://schemas.microsoft.com/office/drawing/2008/diagram" relId="rId110" minVer="http://schemas.openxmlformats.org/drawingml/2006/diagram"/>
    </a:ext>
    <a:ext uri="{C62137D5-CB1D-491B-B009-E17868A290BF}">
      <dgm14:recolorImg xmlns:dgm14="http://schemas.microsoft.com/office/drawing/2010/diagram" val="1"/>
    </a:ext>
  </dgm:extLst>
</dgm:dataModel>
</file>

<file path=word/diagrams/data14.xml><?xml version="1.0" encoding="utf-8"?>
<dgm:dataModel xmlns:dgm="http://schemas.openxmlformats.org/drawingml/2006/diagram" xmlns:a="http://schemas.openxmlformats.org/drawingml/2006/main">
  <dgm:ptLst>
    <dgm:pt modelId="{34E6C8D5-8D4F-4714-8A12-8F4599A8E760}"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4F895710-9C0A-4357-A62A-B00C2B1BB2A2}">
      <dgm:prSet phldrT="[Text]"/>
      <dgm:spPr/>
      <dgm:t>
        <a:bodyPr/>
        <a:lstStyle/>
        <a:p>
          <a:endParaRPr lang="en-US" sz="1600"/>
        </a:p>
      </dgm:t>
    </dgm:pt>
    <dgm:pt modelId="{4631C2C5-1554-4289-90B0-F2D55D1595B6}">
      <dgm:prSet phldrT="[Text]" custT="1"/>
      <dgm:spPr>
        <a:xfrm>
          <a:off x="4535348" y="521400"/>
          <a:ext cx="1408251" cy="607943"/>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6</a:t>
          </a: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Système de Madrid et de Lisbonne </a:t>
          </a:r>
        </a:p>
      </dgm:t>
    </dgm:pt>
    <dgm:pt modelId="{960C5593-E0FF-4AA5-AA0B-E8BDFFBC5E53}">
      <dgm:prSet phldrT="[Text]" custT="1"/>
      <dgm:spPr>
        <a:xfrm>
          <a:off x="2225035" y="12800"/>
          <a:ext cx="1231485" cy="473739"/>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5</a:t>
          </a: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Système du PCT</a:t>
          </a:r>
          <a:r>
            <a:rPr lang="en-US" sz="6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endParaRPr lang="en-US" sz="7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DE541715-C648-404D-8124-F14F463E9202}">
      <dgm:prSet phldrT="[Text]" custT="1"/>
      <dgm:spPr>
        <a:xfrm>
          <a:off x="2122013" y="645022"/>
          <a:ext cx="1402238" cy="412253"/>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gm:spPr>
      <dgm:t>
        <a:bodyPr/>
        <a:lstStyle/>
        <a:p>
          <a:pPr algn="ctr"/>
          <a:r>
            <a:rPr lang="en-US"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12</a:t>
          </a:r>
        </a:p>
      </dgm:t>
    </dgm:pt>
    <dgm:pt modelId="{7CA7849B-681D-4C0D-A708-F47E97871BB2}" type="sibTrans" cxnId="{22CFBE58-87EC-4B70-B1CC-D1D1DB4968C7}">
      <dgm:prSet/>
      <dgm:spPr/>
      <dgm:t>
        <a:bodyPr/>
        <a:lstStyle/>
        <a:p>
          <a:endParaRPr lang="en-US"/>
        </a:p>
      </dgm:t>
    </dgm:pt>
    <dgm:pt modelId="{D7DB3476-9C56-4274-B046-F742EA8694F1}" type="parTrans" cxnId="{22CFBE58-87EC-4B70-B1CC-D1D1DB4968C7}">
      <dgm:prSet/>
      <dgm:spPr/>
      <dgm:t>
        <a:bodyPr/>
        <a:lstStyle/>
        <a:p>
          <a:endParaRPr lang="en-US"/>
        </a:p>
      </dgm:t>
    </dgm:pt>
    <dgm:pt modelId="{A0A859C5-79E5-4C97-AF72-54A6D166EEA1}" type="sibTrans" cxnId="{DA740704-6E02-4402-8325-D0302449434E}">
      <dgm:prSet/>
      <dgm:spPr/>
      <dgm:t>
        <a:bodyPr/>
        <a:lstStyle/>
        <a:p>
          <a:endParaRPr lang="en-US"/>
        </a:p>
      </dgm:t>
    </dgm:pt>
    <dgm:pt modelId="{4492527F-B2BC-4423-9ACC-2816666249A0}" type="parTrans" cxnId="{DA740704-6E02-4402-8325-D0302449434E}">
      <dgm:prSet/>
      <dgm:spPr/>
      <dgm:t>
        <a:bodyPr/>
        <a:lstStyle/>
        <a:p>
          <a:endParaRPr lang="en-US"/>
        </a:p>
      </dgm:t>
    </dgm:pt>
    <dgm:pt modelId="{9B3CB24D-A47A-4081-B256-B868D89D5387}" type="sibTrans" cxnId="{BF65F824-D4F4-4A84-83B4-6B1944B62AAD}">
      <dgm:prSet/>
      <dgm:spPr/>
      <dgm:t>
        <a:bodyPr/>
        <a:lstStyle/>
        <a:p>
          <a:endParaRPr lang="en-US"/>
        </a:p>
      </dgm:t>
    </dgm:pt>
    <dgm:pt modelId="{4693CA52-075F-4BD8-ABEA-5368BE377DDA}" type="parTrans" cxnId="{BF65F824-D4F4-4A84-83B4-6B1944B62AAD}">
      <dgm:prSet custT="1"/>
      <dgm:spPr>
        <a:xfrm rot="21563328">
          <a:off x="3523761" y="831280"/>
          <a:ext cx="1011830" cy="13996"/>
        </a:xfrm>
        <a:noFill/>
        <a:ln w="9525" cap="flat" cmpd="sng" algn="ctr">
          <a:solidFill>
            <a:srgbClr val="4F81BD">
              <a:shade val="60000"/>
              <a:hueOff val="0"/>
              <a:satOff val="0"/>
              <a:lumOff val="0"/>
              <a:alphaOff val="0"/>
            </a:srgbClr>
          </a:solidFill>
          <a:prstDash val="solid"/>
        </a:ln>
        <a:effectLst/>
      </dgm:spPr>
      <dgm:t>
        <a:bodyPr/>
        <a:lstStyle/>
        <a:p>
          <a:endParaRPr lang="en-US" sz="400">
            <a:solidFill>
              <a:sysClr val="windowText" lastClr="000000">
                <a:hueOff val="0"/>
                <a:satOff val="0"/>
                <a:lumOff val="0"/>
                <a:alphaOff val="0"/>
              </a:sysClr>
            </a:solidFill>
            <a:latin typeface="Calibri"/>
            <a:ea typeface="+mn-ea"/>
            <a:cs typeface="+mn-cs"/>
          </a:endParaRPr>
        </a:p>
      </dgm:t>
    </dgm:pt>
    <dgm:pt modelId="{88F12DF7-015F-4F26-950A-DAE493699644}" type="sibTrans" cxnId="{529D05ED-97D5-4116-BE13-DE3D93351F7F}">
      <dgm:prSet/>
      <dgm:spPr/>
      <dgm:t>
        <a:bodyPr/>
        <a:lstStyle/>
        <a:p>
          <a:endParaRPr lang="en-US"/>
        </a:p>
      </dgm:t>
    </dgm:pt>
    <dgm:pt modelId="{7AF774ED-547E-4C04-8670-B0C1D08C5EE9}" type="parTrans" cxnId="{529D05ED-97D5-4116-BE13-DE3D93351F7F}">
      <dgm:prSet custT="1"/>
      <dgm:spPr>
        <a:xfrm rot="16300827">
          <a:off x="2752218" y="558779"/>
          <a:ext cx="158573" cy="13996"/>
        </a:xfrm>
        <a:noFill/>
        <a:ln w="9525" cap="flat" cmpd="sng" algn="ctr">
          <a:solidFill>
            <a:srgbClr val="4F81BD">
              <a:shade val="60000"/>
              <a:hueOff val="0"/>
              <a:satOff val="0"/>
              <a:lumOff val="0"/>
              <a:alphaOff val="0"/>
            </a:srgbClr>
          </a:solidFill>
          <a:prstDash val="solid"/>
        </a:ln>
        <a:effectLst/>
      </dgm:spPr>
      <dgm:t>
        <a:bodyPr/>
        <a:lstStyle/>
        <a:p>
          <a:endParaRPr lang="en-US" sz="400">
            <a:solidFill>
              <a:sysClr val="windowText" lastClr="000000">
                <a:hueOff val="0"/>
                <a:satOff val="0"/>
                <a:lumOff val="0"/>
                <a:alphaOff val="0"/>
              </a:sysClr>
            </a:solidFill>
            <a:latin typeface="Calibri"/>
            <a:ea typeface="+mn-ea"/>
            <a:cs typeface="+mn-cs"/>
          </a:endParaRPr>
        </a:p>
      </dgm:t>
    </dgm:pt>
    <dgm:pt modelId="{C06C39C9-71B8-489C-9C45-3DD37A424E39}">
      <dgm:prSet phldrT="[Text]" custT="1"/>
      <dgm:spPr>
        <a:xfrm>
          <a:off x="1367171" y="1614853"/>
          <a:ext cx="922600" cy="958776"/>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gm:spPr>
      <dgm:t>
        <a:bodyPr/>
        <a:lstStyle/>
        <a:p>
          <a:endParaRPr lang="en-US" sz="1600"/>
        </a:p>
      </dgm:t>
    </dgm:pt>
    <dgm:pt modelId="{DCD34884-F96E-475A-9010-14DE66A403A6}" type="sibTrans" cxnId="{248698A6-055B-40E3-B808-D624056EF2B0}">
      <dgm:prSet/>
      <dgm:spPr/>
      <dgm:t>
        <a:bodyPr/>
        <a:lstStyle/>
        <a:p>
          <a:endParaRPr lang="en-US"/>
        </a:p>
      </dgm:t>
    </dgm:pt>
    <dgm:pt modelId="{0FABC453-0A5C-4CAE-813B-F0494A34E025}" type="parTrans" cxnId="{248698A6-055B-40E3-B808-D624056EF2B0}">
      <dgm:prSet/>
      <dgm:spPr>
        <a:xfrm rot="9216993">
          <a:off x="2225986" y="1794494"/>
          <a:ext cx="360806" cy="26147"/>
        </a:xfrm>
        <a:custGeom>
          <a:avLst/>
          <a:gdLst/>
          <a:ahLst/>
          <a:cxnLst/>
          <a:rect l="0" t="0" r="0" b="0"/>
          <a:pathLst>
            <a:path>
              <a:moveTo>
                <a:pt x="0" y="12971"/>
              </a:moveTo>
              <a:lnTo>
                <a:pt x="378246" y="12971"/>
              </a:lnTo>
            </a:path>
          </a:pathLst>
        </a:custGeo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1D0CE537-45F5-4C46-960F-D6A82B00F3DE}">
      <dgm:prSet phldrT="[Text]" custT="1"/>
      <dgm:spPr>
        <a:xfrm>
          <a:off x="0" y="586671"/>
          <a:ext cx="1234693" cy="565854"/>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10</a:t>
          </a: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Pays en transition et pays développés </a:t>
          </a:r>
        </a:p>
      </dgm:t>
    </dgm:pt>
    <dgm:pt modelId="{3D1DE322-E296-4167-BF53-8B5CE5EC28D8}" type="parTrans" cxnId="{E0E640E9-CB57-4A88-8E14-E556A0185FE5}">
      <dgm:prSet custT="1"/>
      <dgm:spPr>
        <a:xfrm rot="10771247">
          <a:off x="1234575" y="853725"/>
          <a:ext cx="887737" cy="13996"/>
        </a:xfrm>
        <a:noFill/>
        <a:ln w="9525" cap="flat" cmpd="sng" algn="ctr">
          <a:solidFill>
            <a:srgbClr val="4F81BD">
              <a:shade val="60000"/>
              <a:hueOff val="0"/>
              <a:satOff val="0"/>
              <a:lumOff val="0"/>
              <a:alphaOff val="0"/>
            </a:srgbClr>
          </a:solidFill>
          <a:prstDash val="solid"/>
        </a:ln>
        <a:effectLst/>
      </dgm:spPr>
      <dgm:t>
        <a:bodyPr/>
        <a:lstStyle/>
        <a:p>
          <a:endParaRPr lang="en-US" sz="400">
            <a:solidFill>
              <a:sysClr val="windowText" lastClr="000000">
                <a:hueOff val="0"/>
                <a:satOff val="0"/>
                <a:lumOff val="0"/>
                <a:alphaOff val="0"/>
              </a:sysClr>
            </a:solidFill>
            <a:latin typeface="Calibri"/>
            <a:ea typeface="+mn-ea"/>
            <a:cs typeface="+mn-cs"/>
          </a:endParaRPr>
        </a:p>
      </dgm:t>
    </dgm:pt>
    <dgm:pt modelId="{96979818-0E55-4CAF-81D6-7E33DA768B1C}" type="sibTrans" cxnId="{E0E640E9-CB57-4A88-8E14-E556A0185FE5}">
      <dgm:prSet/>
      <dgm:spPr/>
      <dgm:t>
        <a:bodyPr/>
        <a:lstStyle/>
        <a:p>
          <a:endParaRPr lang="en-US"/>
        </a:p>
      </dgm:t>
    </dgm:pt>
    <dgm:pt modelId="{261B861F-8791-4E33-9941-A33DE5A2A768}">
      <dgm:prSet phldrT="[Text]" custT="1"/>
      <dgm:spPr>
        <a:xfrm>
          <a:off x="2107352" y="1206642"/>
          <a:ext cx="1453945" cy="460235"/>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9</a:t>
          </a: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Bureaux régionaux </a:t>
          </a:r>
        </a:p>
      </dgm:t>
    </dgm:pt>
    <dgm:pt modelId="{A5C3F0DB-E0F1-41F2-9F0F-D8D34C792173}" type="parTrans" cxnId="{8F24CB25-C32E-457C-ADA9-0EEDE78E6073}">
      <dgm:prSet custT="1"/>
      <dgm:spPr>
        <a:xfrm rot="5334304">
          <a:off x="2753798" y="1124961"/>
          <a:ext cx="149401" cy="13996"/>
        </a:xfrm>
        <a:noFill/>
        <a:ln w="9525" cap="flat" cmpd="sng" algn="ctr">
          <a:solidFill>
            <a:srgbClr val="4F81BD">
              <a:shade val="60000"/>
              <a:hueOff val="0"/>
              <a:satOff val="0"/>
              <a:lumOff val="0"/>
              <a:alphaOff val="0"/>
            </a:srgbClr>
          </a:solidFill>
          <a:prstDash val="solid"/>
        </a:ln>
        <a:effectLst/>
      </dgm:spPr>
      <dgm:t>
        <a:bodyPr/>
        <a:lstStyle/>
        <a:p>
          <a:endParaRPr lang="en-US" sz="400">
            <a:solidFill>
              <a:sysClr val="windowText" lastClr="000000">
                <a:hueOff val="0"/>
                <a:satOff val="0"/>
                <a:lumOff val="0"/>
                <a:alphaOff val="0"/>
              </a:sysClr>
            </a:solidFill>
            <a:latin typeface="Calibri"/>
            <a:ea typeface="+mn-ea"/>
            <a:cs typeface="+mn-cs"/>
          </a:endParaRPr>
        </a:p>
      </dgm:t>
    </dgm:pt>
    <dgm:pt modelId="{5D4991A9-47A2-4376-80F0-AA0E581C042E}" type="sibTrans" cxnId="{8F24CB25-C32E-457C-ADA9-0EEDE78E6073}">
      <dgm:prSet/>
      <dgm:spPr/>
      <dgm:t>
        <a:bodyPr/>
        <a:lstStyle/>
        <a:p>
          <a:endParaRPr lang="en-US"/>
        </a:p>
      </dgm:t>
    </dgm:pt>
    <dgm:pt modelId="{08F189A1-AB47-41D1-8058-7A6DA66B3F52}" type="pres">
      <dgm:prSet presAssocID="{34E6C8D5-8D4F-4714-8A12-8F4599A8E760}" presName="cycle" presStyleCnt="0">
        <dgm:presLayoutVars>
          <dgm:chMax val="1"/>
          <dgm:dir/>
          <dgm:animLvl val="ctr"/>
          <dgm:resizeHandles val="exact"/>
        </dgm:presLayoutVars>
      </dgm:prSet>
      <dgm:spPr/>
      <dgm:t>
        <a:bodyPr/>
        <a:lstStyle/>
        <a:p>
          <a:endParaRPr lang="en-US"/>
        </a:p>
      </dgm:t>
    </dgm:pt>
    <dgm:pt modelId="{062AF917-2F47-4639-8A23-58AD52EC0F32}" type="pres">
      <dgm:prSet presAssocID="{DE541715-C648-404D-8124-F14F463E9202}" presName="centerShape" presStyleLbl="node0" presStyleIdx="0" presStyleCnt="1" custScaleX="332039" custScaleY="89200" custLinFactNeighborX="-8761" custLinFactNeighborY="1193"/>
      <dgm:spPr>
        <a:prstGeom prst="ellipse">
          <a:avLst/>
        </a:prstGeom>
      </dgm:spPr>
      <dgm:t>
        <a:bodyPr/>
        <a:lstStyle/>
        <a:p>
          <a:endParaRPr lang="en-US"/>
        </a:p>
      </dgm:t>
    </dgm:pt>
    <dgm:pt modelId="{5337AE63-3722-42CC-AF72-36670EB7C5E1}" type="pres">
      <dgm:prSet presAssocID="{7AF774ED-547E-4C04-8670-B0C1D08C5EE9}" presName="Name9" presStyleLbl="parChTrans1D2" presStyleIdx="0" presStyleCnt="4"/>
      <dgm:spPr>
        <a:custGeom>
          <a:avLst/>
          <a:gdLst/>
          <a:ahLst/>
          <a:cxnLst/>
          <a:rect l="0" t="0" r="0" b="0"/>
          <a:pathLst>
            <a:path>
              <a:moveTo>
                <a:pt x="0" y="6998"/>
              </a:moveTo>
              <a:lnTo>
                <a:pt x="158573" y="6998"/>
              </a:lnTo>
            </a:path>
          </a:pathLst>
        </a:custGeom>
      </dgm:spPr>
      <dgm:t>
        <a:bodyPr/>
        <a:lstStyle/>
        <a:p>
          <a:endParaRPr lang="en-US"/>
        </a:p>
      </dgm:t>
    </dgm:pt>
    <dgm:pt modelId="{326412CE-9911-4799-A459-B56F02EB4473}" type="pres">
      <dgm:prSet presAssocID="{7AF774ED-547E-4C04-8670-B0C1D08C5EE9}" presName="connTx" presStyleLbl="parChTrans1D2" presStyleIdx="0" presStyleCnt="4"/>
      <dgm:spPr/>
      <dgm:t>
        <a:bodyPr/>
        <a:lstStyle/>
        <a:p>
          <a:endParaRPr lang="en-US"/>
        </a:p>
      </dgm:t>
    </dgm:pt>
    <dgm:pt modelId="{CED9197C-8322-406B-917C-172FA36E7B76}" type="pres">
      <dgm:prSet presAssocID="{960C5593-E0FF-4AA5-AA0B-E8BDFFBC5E53}" presName="node" presStyleLbl="node1" presStyleIdx="0" presStyleCnt="4" custScaleX="335301" custScaleY="102504" custRadScaleRad="101292" custRadScaleInc="-21496">
        <dgm:presLayoutVars>
          <dgm:bulletEnabled val="1"/>
        </dgm:presLayoutVars>
      </dgm:prSet>
      <dgm:spPr>
        <a:prstGeom prst="ellipse">
          <a:avLst/>
        </a:prstGeom>
      </dgm:spPr>
      <dgm:t>
        <a:bodyPr/>
        <a:lstStyle/>
        <a:p>
          <a:endParaRPr lang="en-US"/>
        </a:p>
      </dgm:t>
    </dgm:pt>
    <dgm:pt modelId="{4AC11394-3179-4EC5-A97F-D1A1B521CE2F}" type="pres">
      <dgm:prSet presAssocID="{4693CA52-075F-4BD8-ABEA-5368BE377DDA}" presName="Name9" presStyleLbl="parChTrans1D2" presStyleIdx="1" presStyleCnt="4"/>
      <dgm:spPr>
        <a:custGeom>
          <a:avLst/>
          <a:gdLst/>
          <a:ahLst/>
          <a:cxnLst/>
          <a:rect l="0" t="0" r="0" b="0"/>
          <a:pathLst>
            <a:path>
              <a:moveTo>
                <a:pt x="0" y="6998"/>
              </a:moveTo>
              <a:lnTo>
                <a:pt x="1011830" y="6998"/>
              </a:lnTo>
            </a:path>
          </a:pathLst>
        </a:custGeom>
      </dgm:spPr>
      <dgm:t>
        <a:bodyPr/>
        <a:lstStyle/>
        <a:p>
          <a:endParaRPr lang="en-US"/>
        </a:p>
      </dgm:t>
    </dgm:pt>
    <dgm:pt modelId="{62A1F741-432F-46BE-AE07-15F0B6D5EA89}" type="pres">
      <dgm:prSet presAssocID="{4693CA52-075F-4BD8-ABEA-5368BE377DDA}" presName="connTx" presStyleLbl="parChTrans1D2" presStyleIdx="1" presStyleCnt="4"/>
      <dgm:spPr/>
      <dgm:t>
        <a:bodyPr/>
        <a:lstStyle/>
        <a:p>
          <a:endParaRPr lang="en-US"/>
        </a:p>
      </dgm:t>
    </dgm:pt>
    <dgm:pt modelId="{035B4C9A-0916-4FCC-A1CF-85DB358A289A}" type="pres">
      <dgm:prSet presAssocID="{4631C2C5-1554-4289-90B0-F2D55D1595B6}" presName="node" presStyleLbl="node1" presStyleIdx="1" presStyleCnt="4" custScaleX="304706" custScaleY="161077" custRadScaleRad="419465" custRadScaleInc="-578">
        <dgm:presLayoutVars>
          <dgm:bulletEnabled val="1"/>
        </dgm:presLayoutVars>
      </dgm:prSet>
      <dgm:spPr>
        <a:prstGeom prst="ellipse">
          <a:avLst/>
        </a:prstGeom>
      </dgm:spPr>
      <dgm:t>
        <a:bodyPr/>
        <a:lstStyle/>
        <a:p>
          <a:endParaRPr lang="en-US"/>
        </a:p>
      </dgm:t>
    </dgm:pt>
    <dgm:pt modelId="{1281FAF2-438A-4E06-A630-42C5CD6DB1D1}" type="pres">
      <dgm:prSet presAssocID="{A5C3F0DB-E0F1-41F2-9F0F-D8D34C792173}" presName="Name9" presStyleLbl="parChTrans1D2" presStyleIdx="2" presStyleCnt="4"/>
      <dgm:spPr>
        <a:custGeom>
          <a:avLst/>
          <a:gdLst/>
          <a:ahLst/>
          <a:cxnLst/>
          <a:rect l="0" t="0" r="0" b="0"/>
          <a:pathLst>
            <a:path>
              <a:moveTo>
                <a:pt x="0" y="6998"/>
              </a:moveTo>
              <a:lnTo>
                <a:pt x="149401" y="6998"/>
              </a:lnTo>
            </a:path>
          </a:pathLst>
        </a:custGeom>
      </dgm:spPr>
      <dgm:t>
        <a:bodyPr/>
        <a:lstStyle/>
        <a:p>
          <a:endParaRPr lang="en-US"/>
        </a:p>
      </dgm:t>
    </dgm:pt>
    <dgm:pt modelId="{2F4F44BF-1E04-4136-A0FB-1DED4AC75151}" type="pres">
      <dgm:prSet presAssocID="{A5C3F0DB-E0F1-41F2-9F0F-D8D34C792173}" presName="connTx" presStyleLbl="parChTrans1D2" presStyleIdx="2" presStyleCnt="4"/>
      <dgm:spPr/>
      <dgm:t>
        <a:bodyPr/>
        <a:lstStyle/>
        <a:p>
          <a:endParaRPr lang="en-US"/>
        </a:p>
      </dgm:t>
    </dgm:pt>
    <dgm:pt modelId="{9D8804DD-C1C3-4668-9E8F-40BB54189D15}" type="pres">
      <dgm:prSet presAssocID="{261B861F-8791-4E33-9941-A33DE5A2A768}" presName="node" presStyleLbl="node1" presStyleIdx="2" presStyleCnt="4" custScaleX="363937" custScaleY="99582" custRadScaleRad="101268" custRadScaleInc="21318">
        <dgm:presLayoutVars>
          <dgm:bulletEnabled val="1"/>
        </dgm:presLayoutVars>
      </dgm:prSet>
      <dgm:spPr>
        <a:prstGeom prst="ellipse">
          <a:avLst/>
        </a:prstGeom>
      </dgm:spPr>
      <dgm:t>
        <a:bodyPr/>
        <a:lstStyle/>
        <a:p>
          <a:endParaRPr lang="en-US"/>
        </a:p>
      </dgm:t>
    </dgm:pt>
    <dgm:pt modelId="{D0E3F8D6-DE9C-4394-8B02-9C131280903E}" type="pres">
      <dgm:prSet presAssocID="{3D1DE322-E296-4167-BF53-8B5CE5EC28D8}" presName="Name9" presStyleLbl="parChTrans1D2" presStyleIdx="3" presStyleCnt="4"/>
      <dgm:spPr>
        <a:custGeom>
          <a:avLst/>
          <a:gdLst/>
          <a:ahLst/>
          <a:cxnLst/>
          <a:rect l="0" t="0" r="0" b="0"/>
          <a:pathLst>
            <a:path>
              <a:moveTo>
                <a:pt x="0" y="6998"/>
              </a:moveTo>
              <a:lnTo>
                <a:pt x="887737" y="6998"/>
              </a:lnTo>
            </a:path>
          </a:pathLst>
        </a:custGeom>
      </dgm:spPr>
      <dgm:t>
        <a:bodyPr/>
        <a:lstStyle/>
        <a:p>
          <a:endParaRPr lang="en-US"/>
        </a:p>
      </dgm:t>
    </dgm:pt>
    <dgm:pt modelId="{D9125633-39F7-4B37-B444-5ECC3B34BA4C}" type="pres">
      <dgm:prSet presAssocID="{3D1DE322-E296-4167-BF53-8B5CE5EC28D8}" presName="connTx" presStyleLbl="parChTrans1D2" presStyleIdx="3" presStyleCnt="4"/>
      <dgm:spPr/>
      <dgm:t>
        <a:bodyPr/>
        <a:lstStyle/>
        <a:p>
          <a:endParaRPr lang="en-US"/>
        </a:p>
      </dgm:t>
    </dgm:pt>
    <dgm:pt modelId="{F1CADBCB-761B-4EBD-8811-73EECDD73DC5}" type="pres">
      <dgm:prSet presAssocID="{1D0CE537-45F5-4C46-960F-D6A82B00F3DE}" presName="node" presStyleLbl="node1" presStyleIdx="3" presStyleCnt="4" custScaleX="322711" custScaleY="154175" custRadScaleRad="426769" custRadScaleInc="-1628">
        <dgm:presLayoutVars>
          <dgm:bulletEnabled val="1"/>
        </dgm:presLayoutVars>
      </dgm:prSet>
      <dgm:spPr>
        <a:prstGeom prst="ellipse">
          <a:avLst/>
        </a:prstGeom>
      </dgm:spPr>
      <dgm:t>
        <a:bodyPr/>
        <a:lstStyle/>
        <a:p>
          <a:endParaRPr lang="en-US"/>
        </a:p>
      </dgm:t>
    </dgm:pt>
  </dgm:ptLst>
  <dgm:cxnLst>
    <dgm:cxn modelId="{3540929F-0F34-491C-8E1A-359393A06B3D}" type="presOf" srcId="{3D1DE322-E296-4167-BF53-8B5CE5EC28D8}" destId="{D9125633-39F7-4B37-B444-5ECC3B34BA4C}" srcOrd="1" destOrd="0" presId="urn:microsoft.com/office/officeart/2005/8/layout/radial1"/>
    <dgm:cxn modelId="{DA740704-6E02-4402-8325-D0302449434E}" srcId="{34E6C8D5-8D4F-4714-8A12-8F4599A8E760}" destId="{4F895710-9C0A-4357-A62A-B00C2B1BB2A2}" srcOrd="2" destOrd="0" parTransId="{4492527F-B2BC-4423-9ACC-2816666249A0}" sibTransId="{A0A859C5-79E5-4C97-AF72-54A6D166EEA1}"/>
    <dgm:cxn modelId="{3657C12A-BEEA-4F7B-AB45-F1D2B12304F8}" type="presOf" srcId="{261B861F-8791-4E33-9941-A33DE5A2A768}" destId="{9D8804DD-C1C3-4668-9E8F-40BB54189D15}" srcOrd="0" destOrd="0" presId="urn:microsoft.com/office/officeart/2005/8/layout/radial1"/>
    <dgm:cxn modelId="{22CFBE58-87EC-4B70-B1CC-D1D1DB4968C7}" srcId="{34E6C8D5-8D4F-4714-8A12-8F4599A8E760}" destId="{DE541715-C648-404D-8124-F14F463E9202}" srcOrd="0" destOrd="0" parTransId="{D7DB3476-9C56-4274-B046-F742EA8694F1}" sibTransId="{7CA7849B-681D-4C0D-A708-F47E97871BB2}"/>
    <dgm:cxn modelId="{BF65F824-D4F4-4A84-83B4-6B1944B62AAD}" srcId="{DE541715-C648-404D-8124-F14F463E9202}" destId="{4631C2C5-1554-4289-90B0-F2D55D1595B6}" srcOrd="1" destOrd="0" parTransId="{4693CA52-075F-4BD8-ABEA-5368BE377DDA}" sibTransId="{9B3CB24D-A47A-4081-B256-B868D89D5387}"/>
    <dgm:cxn modelId="{8F24CB25-C32E-457C-ADA9-0EEDE78E6073}" srcId="{DE541715-C648-404D-8124-F14F463E9202}" destId="{261B861F-8791-4E33-9941-A33DE5A2A768}" srcOrd="2" destOrd="0" parTransId="{A5C3F0DB-E0F1-41F2-9F0F-D8D34C792173}" sibTransId="{5D4991A9-47A2-4376-80F0-AA0E581C042E}"/>
    <dgm:cxn modelId="{E0E640E9-CB57-4A88-8E14-E556A0185FE5}" srcId="{DE541715-C648-404D-8124-F14F463E9202}" destId="{1D0CE537-45F5-4C46-960F-D6A82B00F3DE}" srcOrd="3" destOrd="0" parTransId="{3D1DE322-E296-4167-BF53-8B5CE5EC28D8}" sibTransId="{96979818-0E55-4CAF-81D6-7E33DA768B1C}"/>
    <dgm:cxn modelId="{B7D89101-8000-401D-9399-B61080A49097}" type="presOf" srcId="{960C5593-E0FF-4AA5-AA0B-E8BDFFBC5E53}" destId="{CED9197C-8322-406B-917C-172FA36E7B76}" srcOrd="0" destOrd="0" presId="urn:microsoft.com/office/officeart/2005/8/layout/radial1"/>
    <dgm:cxn modelId="{122FD968-6443-4307-AA2E-B3B5D1A97152}" type="presOf" srcId="{A5C3F0DB-E0F1-41F2-9F0F-D8D34C792173}" destId="{1281FAF2-438A-4E06-A630-42C5CD6DB1D1}" srcOrd="0" destOrd="0" presId="urn:microsoft.com/office/officeart/2005/8/layout/radial1"/>
    <dgm:cxn modelId="{595BBADD-9787-4E08-BED1-623E60258422}" type="presOf" srcId="{4693CA52-075F-4BD8-ABEA-5368BE377DDA}" destId="{62A1F741-432F-46BE-AE07-15F0B6D5EA89}" srcOrd="1" destOrd="0" presId="urn:microsoft.com/office/officeart/2005/8/layout/radial1"/>
    <dgm:cxn modelId="{F6744CFF-044A-4993-A686-956330095147}" type="presOf" srcId="{7AF774ED-547E-4C04-8670-B0C1D08C5EE9}" destId="{5337AE63-3722-42CC-AF72-36670EB7C5E1}" srcOrd="0" destOrd="0" presId="urn:microsoft.com/office/officeart/2005/8/layout/radial1"/>
    <dgm:cxn modelId="{68C303FD-C34F-4601-8FFE-A4B4EF5DA191}" type="presOf" srcId="{7AF774ED-547E-4C04-8670-B0C1D08C5EE9}" destId="{326412CE-9911-4799-A459-B56F02EB4473}" srcOrd="1" destOrd="0" presId="urn:microsoft.com/office/officeart/2005/8/layout/radial1"/>
    <dgm:cxn modelId="{B36B8FC4-A273-4C2D-B1E2-3735B624F598}" type="presOf" srcId="{4693CA52-075F-4BD8-ABEA-5368BE377DDA}" destId="{4AC11394-3179-4EC5-A97F-D1A1B521CE2F}" srcOrd="0" destOrd="0" presId="urn:microsoft.com/office/officeart/2005/8/layout/radial1"/>
    <dgm:cxn modelId="{248698A6-055B-40E3-B808-D624056EF2B0}" srcId="{34E6C8D5-8D4F-4714-8A12-8F4599A8E760}" destId="{C06C39C9-71B8-489C-9C45-3DD37A424E39}" srcOrd="1" destOrd="0" parTransId="{0FABC453-0A5C-4CAE-813B-F0494A34E025}" sibTransId="{DCD34884-F96E-475A-9010-14DE66A403A6}"/>
    <dgm:cxn modelId="{EE6A5D10-5B2B-4DDD-AF3B-DEBF9A1A5EEE}" type="presOf" srcId="{34E6C8D5-8D4F-4714-8A12-8F4599A8E760}" destId="{08F189A1-AB47-41D1-8058-7A6DA66B3F52}" srcOrd="0" destOrd="0" presId="urn:microsoft.com/office/officeart/2005/8/layout/radial1"/>
    <dgm:cxn modelId="{529D05ED-97D5-4116-BE13-DE3D93351F7F}" srcId="{DE541715-C648-404D-8124-F14F463E9202}" destId="{960C5593-E0FF-4AA5-AA0B-E8BDFFBC5E53}" srcOrd="0" destOrd="0" parTransId="{7AF774ED-547E-4C04-8670-B0C1D08C5EE9}" sibTransId="{88F12DF7-015F-4F26-950A-DAE493699644}"/>
    <dgm:cxn modelId="{A5DE8ADE-AE26-4AA9-8BA2-14ADBEA5D621}" type="presOf" srcId="{1D0CE537-45F5-4C46-960F-D6A82B00F3DE}" destId="{F1CADBCB-761B-4EBD-8811-73EECDD73DC5}" srcOrd="0" destOrd="0" presId="urn:microsoft.com/office/officeart/2005/8/layout/radial1"/>
    <dgm:cxn modelId="{3D860CB5-0585-442F-A91C-030045FEE21B}" type="presOf" srcId="{DE541715-C648-404D-8124-F14F463E9202}" destId="{062AF917-2F47-4639-8A23-58AD52EC0F32}" srcOrd="0" destOrd="0" presId="urn:microsoft.com/office/officeart/2005/8/layout/radial1"/>
    <dgm:cxn modelId="{EA190868-1A0D-4F7D-AFCA-C1A43629DBCB}" type="presOf" srcId="{A5C3F0DB-E0F1-41F2-9F0F-D8D34C792173}" destId="{2F4F44BF-1E04-4136-A0FB-1DED4AC75151}" srcOrd="1" destOrd="0" presId="urn:microsoft.com/office/officeart/2005/8/layout/radial1"/>
    <dgm:cxn modelId="{550B6C48-56A3-480D-A842-907E40A2C097}" type="presOf" srcId="{3D1DE322-E296-4167-BF53-8B5CE5EC28D8}" destId="{D0E3F8D6-DE9C-4394-8B02-9C131280903E}" srcOrd="0" destOrd="0" presId="urn:microsoft.com/office/officeart/2005/8/layout/radial1"/>
    <dgm:cxn modelId="{B7598073-1A78-4456-BD19-BB503AA7F702}" type="presOf" srcId="{4631C2C5-1554-4289-90B0-F2D55D1595B6}" destId="{035B4C9A-0916-4FCC-A1CF-85DB358A289A}" srcOrd="0" destOrd="0" presId="urn:microsoft.com/office/officeart/2005/8/layout/radial1"/>
    <dgm:cxn modelId="{58E12F89-3384-41AE-BF23-1FA3DE615A09}" type="presParOf" srcId="{08F189A1-AB47-41D1-8058-7A6DA66B3F52}" destId="{062AF917-2F47-4639-8A23-58AD52EC0F32}" srcOrd="0" destOrd="0" presId="urn:microsoft.com/office/officeart/2005/8/layout/radial1"/>
    <dgm:cxn modelId="{08A700C7-9102-4B84-B3EB-249DA54B8EF0}" type="presParOf" srcId="{08F189A1-AB47-41D1-8058-7A6DA66B3F52}" destId="{5337AE63-3722-42CC-AF72-36670EB7C5E1}" srcOrd="1" destOrd="0" presId="urn:microsoft.com/office/officeart/2005/8/layout/radial1"/>
    <dgm:cxn modelId="{06DA3587-AA49-494D-8C2F-59C6CD020DD8}" type="presParOf" srcId="{5337AE63-3722-42CC-AF72-36670EB7C5E1}" destId="{326412CE-9911-4799-A459-B56F02EB4473}" srcOrd="0" destOrd="0" presId="urn:microsoft.com/office/officeart/2005/8/layout/radial1"/>
    <dgm:cxn modelId="{96F42517-2D57-4D9D-8297-7E4E369429B4}" type="presParOf" srcId="{08F189A1-AB47-41D1-8058-7A6DA66B3F52}" destId="{CED9197C-8322-406B-917C-172FA36E7B76}" srcOrd="2" destOrd="0" presId="urn:microsoft.com/office/officeart/2005/8/layout/radial1"/>
    <dgm:cxn modelId="{9ADC02A4-5691-4E44-ABCE-798882BFEC39}" type="presParOf" srcId="{08F189A1-AB47-41D1-8058-7A6DA66B3F52}" destId="{4AC11394-3179-4EC5-A97F-D1A1B521CE2F}" srcOrd="3" destOrd="0" presId="urn:microsoft.com/office/officeart/2005/8/layout/radial1"/>
    <dgm:cxn modelId="{9DC140ED-8B98-4A3F-9F87-95195BDC0D23}" type="presParOf" srcId="{4AC11394-3179-4EC5-A97F-D1A1B521CE2F}" destId="{62A1F741-432F-46BE-AE07-15F0B6D5EA89}" srcOrd="0" destOrd="0" presId="urn:microsoft.com/office/officeart/2005/8/layout/radial1"/>
    <dgm:cxn modelId="{6DE24C98-0FC2-48D8-B284-00CF77789D96}" type="presParOf" srcId="{08F189A1-AB47-41D1-8058-7A6DA66B3F52}" destId="{035B4C9A-0916-4FCC-A1CF-85DB358A289A}" srcOrd="4" destOrd="0" presId="urn:microsoft.com/office/officeart/2005/8/layout/radial1"/>
    <dgm:cxn modelId="{958D940D-B80C-48A6-B9BC-323600B73864}" type="presParOf" srcId="{08F189A1-AB47-41D1-8058-7A6DA66B3F52}" destId="{1281FAF2-438A-4E06-A630-42C5CD6DB1D1}" srcOrd="5" destOrd="0" presId="urn:microsoft.com/office/officeart/2005/8/layout/radial1"/>
    <dgm:cxn modelId="{01D8CFB0-C0EB-4518-8829-7763A88B756C}" type="presParOf" srcId="{1281FAF2-438A-4E06-A630-42C5CD6DB1D1}" destId="{2F4F44BF-1E04-4136-A0FB-1DED4AC75151}" srcOrd="0" destOrd="0" presId="urn:microsoft.com/office/officeart/2005/8/layout/radial1"/>
    <dgm:cxn modelId="{477EEE4B-F321-4869-BAD3-CE9AD00D027F}" type="presParOf" srcId="{08F189A1-AB47-41D1-8058-7A6DA66B3F52}" destId="{9D8804DD-C1C3-4668-9E8F-40BB54189D15}" srcOrd="6" destOrd="0" presId="urn:microsoft.com/office/officeart/2005/8/layout/radial1"/>
    <dgm:cxn modelId="{5590D9E6-24E3-4ED3-87E7-989071F96FF7}" type="presParOf" srcId="{08F189A1-AB47-41D1-8058-7A6DA66B3F52}" destId="{D0E3F8D6-DE9C-4394-8B02-9C131280903E}" srcOrd="7" destOrd="0" presId="urn:microsoft.com/office/officeart/2005/8/layout/radial1"/>
    <dgm:cxn modelId="{F2AB7E66-3E92-43B8-9F6F-01713B029692}" type="presParOf" srcId="{D0E3F8D6-DE9C-4394-8B02-9C131280903E}" destId="{D9125633-39F7-4B37-B444-5ECC3B34BA4C}" srcOrd="0" destOrd="0" presId="urn:microsoft.com/office/officeart/2005/8/layout/radial1"/>
    <dgm:cxn modelId="{3BC05B0F-8CD9-48A8-956E-206C2D44D51C}" type="presParOf" srcId="{08F189A1-AB47-41D1-8058-7A6DA66B3F52}" destId="{F1CADBCB-761B-4EBD-8811-73EECDD73DC5}" srcOrd="8" destOrd="0" presId="urn:microsoft.com/office/officeart/2005/8/layout/radial1"/>
  </dgm:cxnLst>
  <dgm:bg/>
  <dgm:whole/>
  <dgm:extLst>
    <a:ext uri="http://schemas.microsoft.com/office/drawing/2008/diagram">
      <dsp:dataModelExt xmlns:dsp="http://schemas.microsoft.com/office/drawing/2008/diagram" relId="rId116" minVer="http://schemas.openxmlformats.org/drawingml/2006/diagram"/>
    </a:ext>
    <a:ext uri="{C62137D5-CB1D-491B-B009-E17868A290BF}">
      <dgm14:recolorImg xmlns:dgm14="http://schemas.microsoft.com/office/drawing/2010/diagram" val="1"/>
    </a:ext>
  </dgm:extLst>
</dgm:dataModel>
</file>

<file path=word/diagrams/data15.xml><?xml version="1.0" encoding="utf-8"?>
<dgm:dataModel xmlns:dgm="http://schemas.openxmlformats.org/drawingml/2006/diagram" xmlns:a="http://schemas.openxmlformats.org/drawingml/2006/main">
  <dgm:ptLst>
    <dgm:pt modelId="{34E6C8D5-8D4F-4714-8A12-8F4599A8E760}"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DE541715-C648-404D-8124-F14F463E9202}">
      <dgm:prSet phldrT="[Text]" custT="1"/>
      <dgm:spPr>
        <a:xfrm>
          <a:off x="2561767" y="706361"/>
          <a:ext cx="1207026" cy="372332"/>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gm:spPr>
      <dgm:t>
        <a:bodyPr/>
        <a:lstStyle/>
        <a:p>
          <a:pPr algn="ctr"/>
          <a:r>
            <a:rPr lang="en-US"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13</a:t>
          </a:r>
        </a:p>
      </dgm:t>
    </dgm:pt>
    <dgm:pt modelId="{7CA7849B-681D-4C0D-A708-F47E97871BB2}" type="sibTrans" cxnId="{22CFBE58-87EC-4B70-B1CC-D1D1DB4968C7}">
      <dgm:prSet/>
      <dgm:spPr/>
      <dgm:t>
        <a:bodyPr/>
        <a:lstStyle/>
        <a:p>
          <a:endParaRPr lang="en-US"/>
        </a:p>
      </dgm:t>
    </dgm:pt>
    <dgm:pt modelId="{D7DB3476-9C56-4274-B046-F742EA8694F1}" type="parTrans" cxnId="{22CFBE58-87EC-4B70-B1CC-D1D1DB4968C7}">
      <dgm:prSet/>
      <dgm:spPr/>
      <dgm:t>
        <a:bodyPr/>
        <a:lstStyle/>
        <a:p>
          <a:endParaRPr lang="en-US"/>
        </a:p>
      </dgm:t>
    </dgm:pt>
    <dgm:pt modelId="{C06C39C9-71B8-489C-9C45-3DD37A424E39}">
      <dgm:prSet phldrT="[Text]" custT="1"/>
      <dgm:spPr>
        <a:xfrm>
          <a:off x="784467" y="942977"/>
          <a:ext cx="1315515" cy="530105"/>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15 </a:t>
          </a: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Solutions opérationnelles pour les offices de propriété intellectuelle</a:t>
          </a:r>
          <a:endPar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DCD34884-F96E-475A-9010-14DE66A403A6}" type="sibTrans" cxnId="{248698A6-055B-40E3-B808-D624056EF2B0}">
      <dgm:prSet/>
      <dgm:spPr/>
      <dgm:t>
        <a:bodyPr/>
        <a:lstStyle/>
        <a:p>
          <a:endParaRPr lang="en-US"/>
        </a:p>
      </dgm:t>
    </dgm:pt>
    <dgm:pt modelId="{0FABC453-0A5C-4CAE-813B-F0494A34E025}" type="parTrans" cxnId="{248698A6-055B-40E3-B808-D624056EF2B0}">
      <dgm:prSet custT="1"/>
      <dgm:spPr>
        <a:xfrm rot="10177423">
          <a:off x="2036028" y="1035914"/>
          <a:ext cx="615314" cy="14105"/>
        </a:xfrm>
        <a:noFill/>
        <a:ln w="9525" cap="flat" cmpd="sng" algn="ctr">
          <a:solidFill>
            <a:srgbClr val="4F81BD">
              <a:shade val="60000"/>
              <a:hueOff val="0"/>
              <a:satOff val="0"/>
              <a:lumOff val="0"/>
              <a:alphaOff val="0"/>
            </a:srgbClr>
          </a:solidFill>
          <a:prstDash val="solid"/>
        </a:ln>
        <a:effectLst/>
      </dgm:spPr>
      <dgm:t>
        <a:bodyPr/>
        <a:lstStyle/>
        <a:p>
          <a:endParaRPr lang="en-US" sz="400">
            <a:solidFill>
              <a:sysClr val="windowText" lastClr="000000">
                <a:hueOff val="0"/>
                <a:satOff val="0"/>
                <a:lumOff val="0"/>
                <a:alphaOff val="0"/>
              </a:sysClr>
            </a:solidFill>
            <a:latin typeface="Calibri"/>
            <a:ea typeface="+mn-ea"/>
            <a:cs typeface="+mn-cs"/>
          </a:endParaRPr>
        </a:p>
      </dgm:t>
    </dgm:pt>
    <dgm:pt modelId="{960C5593-E0FF-4AA5-AA0B-E8BDFFBC5E53}">
      <dgm:prSet phldrT="[Text]" custT="1"/>
      <dgm:spPr>
        <a:xfrm>
          <a:off x="4236591" y="962026"/>
          <a:ext cx="1307853" cy="516986"/>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12</a:t>
          </a: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Classification internationale et normes</a:t>
          </a:r>
        </a:p>
      </dgm:t>
    </dgm:pt>
    <dgm:pt modelId="{88F12DF7-015F-4F26-950A-DAE493699644}" type="sibTrans" cxnId="{529D05ED-97D5-4116-BE13-DE3D93351F7F}">
      <dgm:prSet/>
      <dgm:spPr/>
      <dgm:t>
        <a:bodyPr/>
        <a:lstStyle/>
        <a:p>
          <a:endParaRPr lang="en-US"/>
        </a:p>
      </dgm:t>
    </dgm:pt>
    <dgm:pt modelId="{7AF774ED-547E-4C04-8670-B0C1D08C5EE9}" type="parTrans" cxnId="{529D05ED-97D5-4116-BE13-DE3D93351F7F}">
      <dgm:prSet custT="1"/>
      <dgm:spPr>
        <a:xfrm rot="645857">
          <a:off x="3673483" y="1042290"/>
          <a:ext cx="633292" cy="14105"/>
        </a:xfrm>
        <a:noFill/>
        <a:ln w="9525" cap="flat" cmpd="sng" algn="ctr">
          <a:solidFill>
            <a:srgbClr val="4F81BD">
              <a:shade val="60000"/>
              <a:hueOff val="0"/>
              <a:satOff val="0"/>
              <a:lumOff val="0"/>
              <a:alphaOff val="0"/>
            </a:srgbClr>
          </a:solidFill>
          <a:prstDash val="solid"/>
        </a:ln>
        <a:effectLst/>
      </dgm:spPr>
      <dgm:t>
        <a:bodyPr/>
        <a:lstStyle/>
        <a:p>
          <a:endParaRPr lang="en-US" sz="400">
            <a:solidFill>
              <a:sysClr val="windowText" lastClr="000000">
                <a:hueOff val="0"/>
                <a:satOff val="0"/>
                <a:lumOff val="0"/>
                <a:alphaOff val="0"/>
              </a:sysClr>
            </a:solidFill>
            <a:latin typeface="Calibri"/>
            <a:ea typeface="+mn-ea"/>
            <a:cs typeface="+mn-cs"/>
          </a:endParaRPr>
        </a:p>
      </dgm:t>
    </dgm:pt>
    <dgm:pt modelId="{70EC699C-58C9-413E-92A6-88F3FF9B1DC9}">
      <dgm:prSet phldrT="[Text]" custT="1"/>
      <dgm:spPr>
        <a:xfrm>
          <a:off x="2596760" y="3708"/>
          <a:ext cx="1137041" cy="505082"/>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5</a:t>
          </a: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Système du PCT</a:t>
          </a:r>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dgm:t>
    </dgm:pt>
    <dgm:pt modelId="{E2FC291C-D685-4C64-9B85-7318D8496566}" type="parTrans" cxnId="{3597F8D4-E0D8-45F4-BB48-7FD22AAE79C7}">
      <dgm:prSet custT="1"/>
      <dgm:spPr>
        <a:xfrm rot="16200000">
          <a:off x="3066496" y="600523"/>
          <a:ext cx="197570" cy="14105"/>
        </a:xfrm>
        <a:noFill/>
        <a:ln w="9525" cap="flat" cmpd="sng" algn="ctr">
          <a:solidFill>
            <a:srgbClr val="4F81BD">
              <a:shade val="60000"/>
              <a:hueOff val="0"/>
              <a:satOff val="0"/>
              <a:lumOff val="0"/>
              <a:alphaOff val="0"/>
            </a:srgbClr>
          </a:solidFill>
          <a:prstDash val="solid"/>
        </a:ln>
        <a:effectLst/>
      </dgm:spPr>
      <dgm:t>
        <a:bodyPr/>
        <a:lstStyle/>
        <a:p>
          <a:endParaRPr lang="en-US" sz="400">
            <a:solidFill>
              <a:sysClr val="windowText" lastClr="000000">
                <a:hueOff val="0"/>
                <a:satOff val="0"/>
                <a:lumOff val="0"/>
                <a:alphaOff val="0"/>
              </a:sysClr>
            </a:solidFill>
            <a:latin typeface="Calibri"/>
            <a:ea typeface="+mn-ea"/>
            <a:cs typeface="+mn-cs"/>
          </a:endParaRPr>
        </a:p>
      </dgm:t>
    </dgm:pt>
    <dgm:pt modelId="{18BDC942-54AA-48C8-9849-2287B2AEC32C}" type="sibTrans" cxnId="{3597F8D4-E0D8-45F4-BB48-7FD22AAE79C7}">
      <dgm:prSet/>
      <dgm:spPr/>
      <dgm:t>
        <a:bodyPr/>
        <a:lstStyle/>
        <a:p>
          <a:endParaRPr lang="en-US"/>
        </a:p>
      </dgm:t>
    </dgm:pt>
    <dgm:pt modelId="{8D95C031-B53C-42FF-A312-F15FA4C9B96F}">
      <dgm:prSet phldrT="[Text]" custT="1"/>
      <dgm:spPr>
        <a:xfrm>
          <a:off x="4233189" y="189047"/>
          <a:ext cx="1295879" cy="509354"/>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6 </a:t>
          </a: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Système de Madrid</a:t>
          </a:r>
        </a:p>
      </dgm:t>
    </dgm:pt>
    <dgm:pt modelId="{8350B580-CEC5-40B7-8EB5-A172D5915A6B}" type="parTrans" cxnId="{DB613666-54CF-4D7E-982B-E399CC961051}">
      <dgm:prSet custT="1"/>
      <dgm:spPr>
        <a:xfrm rot="20720515">
          <a:off x="3613544" y="671419"/>
          <a:ext cx="740212" cy="14105"/>
        </a:xfrm>
        <a:noFill/>
        <a:ln w="9525" cap="flat" cmpd="sng" algn="ctr">
          <a:solidFill>
            <a:srgbClr val="4F81BD">
              <a:shade val="60000"/>
              <a:hueOff val="0"/>
              <a:satOff val="0"/>
              <a:lumOff val="0"/>
              <a:alphaOff val="0"/>
            </a:srgbClr>
          </a:solidFill>
          <a:prstDash val="solid"/>
        </a:ln>
        <a:effectLst/>
      </dgm:spPr>
      <dgm:t>
        <a:bodyPr/>
        <a:lstStyle/>
        <a:p>
          <a:endParaRPr lang="en-US" sz="400">
            <a:solidFill>
              <a:sysClr val="windowText" lastClr="000000">
                <a:hueOff val="0"/>
                <a:satOff val="0"/>
                <a:lumOff val="0"/>
                <a:alphaOff val="0"/>
              </a:sysClr>
            </a:solidFill>
            <a:latin typeface="Calibri"/>
            <a:ea typeface="+mn-ea"/>
            <a:cs typeface="+mn-cs"/>
          </a:endParaRPr>
        </a:p>
      </dgm:t>
    </dgm:pt>
    <dgm:pt modelId="{F52C44D8-90AA-45A0-B521-998C42893448}" type="sibTrans" cxnId="{DB613666-54CF-4D7E-982B-E399CC961051}">
      <dgm:prSet/>
      <dgm:spPr/>
      <dgm:t>
        <a:bodyPr/>
        <a:lstStyle/>
        <a:p>
          <a:endParaRPr lang="en-US"/>
        </a:p>
      </dgm:t>
    </dgm:pt>
    <dgm:pt modelId="{0BE60BA9-2025-462F-AA1B-F34616BD63F6}">
      <dgm:prSet phldrT="[Text]" custT="1"/>
      <dgm:spPr>
        <a:xfrm>
          <a:off x="889243" y="200027"/>
          <a:ext cx="1319778" cy="510127"/>
        </a:xfrm>
        <a:solidFill>
          <a:srgbClr val="4F81BD">
            <a:lumMod val="40000"/>
            <a:lumOff val="60000"/>
          </a:srgbClr>
        </a:solidFill>
        <a:ln>
          <a:noFill/>
        </a:ln>
        <a:effectLst>
          <a:outerShdw blurRad="40000" dist="23000" dir="5400000" rotWithShape="0">
            <a:srgbClr val="000000">
              <a:alpha val="35000"/>
            </a:srgbClr>
          </a:outerShdw>
        </a:effectLst>
      </dgm:spPr>
      <dgm:t>
        <a:bodyPr/>
        <a:lstStyle/>
        <a:p>
          <a:endPar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31</a:t>
          </a: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Système de La Haye</a:t>
          </a:r>
          <a:endPar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E6BC16BB-F93A-4745-8B71-07703A9D0891}" type="parTrans" cxnId="{AD2EB3D2-1381-46CB-80E7-BA9A804B7DD3}">
      <dgm:prSet custT="1"/>
      <dgm:spPr>
        <a:xfrm rot="11708708">
          <a:off x="2078479" y="678516"/>
          <a:ext cx="644351" cy="14105"/>
        </a:xfrm>
        <a:noFill/>
        <a:ln w="9525" cap="flat" cmpd="sng" algn="ctr">
          <a:solidFill>
            <a:srgbClr val="4F81BD">
              <a:shade val="60000"/>
              <a:hueOff val="0"/>
              <a:satOff val="0"/>
              <a:lumOff val="0"/>
              <a:alphaOff val="0"/>
            </a:srgbClr>
          </a:solidFill>
          <a:prstDash val="solid"/>
        </a:ln>
        <a:effectLst/>
      </dgm:spPr>
      <dgm:t>
        <a:bodyPr/>
        <a:lstStyle/>
        <a:p>
          <a:endParaRPr lang="en-US" sz="400">
            <a:solidFill>
              <a:sysClr val="windowText" lastClr="000000">
                <a:hueOff val="0"/>
                <a:satOff val="0"/>
                <a:lumOff val="0"/>
                <a:alphaOff val="0"/>
              </a:sysClr>
            </a:solidFill>
            <a:latin typeface="Calibri"/>
            <a:ea typeface="+mn-ea"/>
            <a:cs typeface="+mn-cs"/>
          </a:endParaRPr>
        </a:p>
      </dgm:t>
    </dgm:pt>
    <dgm:pt modelId="{C8DD518E-881E-4111-9EDE-7F061DEDE6FF}" type="sibTrans" cxnId="{AD2EB3D2-1381-46CB-80E7-BA9A804B7DD3}">
      <dgm:prSet/>
      <dgm:spPr/>
      <dgm:t>
        <a:bodyPr/>
        <a:lstStyle/>
        <a:p>
          <a:endParaRPr lang="en-US"/>
        </a:p>
      </dgm:t>
    </dgm:pt>
    <dgm:pt modelId="{30073B76-9DF5-4BFB-A9B9-BD3E3F3E11F0}">
      <dgm:prSet phldrT="[Text]" custT="1"/>
      <dgm:spPr>
        <a:xfrm>
          <a:off x="889243" y="200027"/>
          <a:ext cx="1319778" cy="510127"/>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32</a:t>
          </a: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Système de Lisbonne</a:t>
          </a:r>
          <a:endPar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F5FEBDE2-D009-4353-A711-A501C297EE06}" type="parTrans" cxnId="{B5C2FB44-BBBF-497A-A4B9-A4FA0C05E4FE}">
      <dgm:prSet/>
      <dgm:spPr/>
      <dgm:t>
        <a:bodyPr/>
        <a:lstStyle/>
        <a:p>
          <a:endParaRPr lang="fr-FR"/>
        </a:p>
      </dgm:t>
    </dgm:pt>
    <dgm:pt modelId="{4C46EA17-4E21-4513-AFE8-3D06CCE4FB74}" type="sibTrans" cxnId="{B5C2FB44-BBBF-497A-A4B9-A4FA0C05E4FE}">
      <dgm:prSet/>
      <dgm:spPr/>
      <dgm:t>
        <a:bodyPr/>
        <a:lstStyle/>
        <a:p>
          <a:endParaRPr lang="fr-FR"/>
        </a:p>
      </dgm:t>
    </dgm:pt>
    <dgm:pt modelId="{D6D9FA0C-EAFE-4123-8DF5-45CB96116746}">
      <dgm:prSet phldrT="[Text]" custT="1"/>
      <dgm:spPr>
        <a:xfrm>
          <a:off x="2496492" y="1301045"/>
          <a:ext cx="1323034" cy="499179"/>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14</a:t>
          </a: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Services d’accès à l’information et aux savoirs</a:t>
          </a:r>
        </a:p>
      </dgm:t>
    </dgm:pt>
    <dgm:pt modelId="{B8DFF96A-99F4-4B8A-BC72-6CBEE68F7D71}" type="parTrans" cxnId="{1C3C556D-D36F-4485-87B4-9771D813B86E}">
      <dgm:prSet/>
      <dgm:spPr/>
      <dgm:t>
        <a:bodyPr/>
        <a:lstStyle/>
        <a:p>
          <a:endParaRPr lang="fr-FR"/>
        </a:p>
      </dgm:t>
    </dgm:pt>
    <dgm:pt modelId="{DE67A7D4-F439-49A8-9C48-EC11C1E1FFFB}" type="sibTrans" cxnId="{1C3C556D-D36F-4485-87B4-9771D813B86E}">
      <dgm:prSet/>
      <dgm:spPr/>
      <dgm:t>
        <a:bodyPr/>
        <a:lstStyle/>
        <a:p>
          <a:endParaRPr lang="fr-FR"/>
        </a:p>
      </dgm:t>
    </dgm:pt>
    <dgm:pt modelId="{08F189A1-AB47-41D1-8058-7A6DA66B3F52}" type="pres">
      <dgm:prSet presAssocID="{34E6C8D5-8D4F-4714-8A12-8F4599A8E760}" presName="cycle" presStyleCnt="0">
        <dgm:presLayoutVars>
          <dgm:chMax val="1"/>
          <dgm:dir/>
          <dgm:animLvl val="ctr"/>
          <dgm:resizeHandles val="exact"/>
        </dgm:presLayoutVars>
      </dgm:prSet>
      <dgm:spPr/>
      <dgm:t>
        <a:bodyPr/>
        <a:lstStyle/>
        <a:p>
          <a:endParaRPr lang="en-US"/>
        </a:p>
      </dgm:t>
    </dgm:pt>
    <dgm:pt modelId="{062AF917-2F47-4639-8A23-58AD52EC0F32}" type="pres">
      <dgm:prSet presAssocID="{DE541715-C648-404D-8124-F14F463E9202}" presName="centerShape" presStyleLbl="node0" presStyleIdx="0" presStyleCnt="1" custScaleX="343350" custScaleY="75126" custLinFactNeighborY="-702"/>
      <dgm:spPr>
        <a:prstGeom prst="ellipse">
          <a:avLst/>
        </a:prstGeom>
      </dgm:spPr>
      <dgm:t>
        <a:bodyPr/>
        <a:lstStyle/>
        <a:p>
          <a:endParaRPr lang="en-US"/>
        </a:p>
      </dgm:t>
    </dgm:pt>
    <dgm:pt modelId="{743B4520-8441-42A0-AFCB-45C212516FFF}" type="pres">
      <dgm:prSet presAssocID="{E2FC291C-D685-4C64-9B85-7318D8496566}" presName="Name9" presStyleLbl="parChTrans1D2" presStyleIdx="0" presStyleCnt="7"/>
      <dgm:spPr>
        <a:custGeom>
          <a:avLst/>
          <a:gdLst/>
          <a:ahLst/>
          <a:cxnLst/>
          <a:rect l="0" t="0" r="0" b="0"/>
          <a:pathLst>
            <a:path>
              <a:moveTo>
                <a:pt x="0" y="7052"/>
              </a:moveTo>
              <a:lnTo>
                <a:pt x="197570" y="7052"/>
              </a:lnTo>
            </a:path>
          </a:pathLst>
        </a:custGeom>
      </dgm:spPr>
      <dgm:t>
        <a:bodyPr/>
        <a:lstStyle/>
        <a:p>
          <a:endParaRPr lang="en-US"/>
        </a:p>
      </dgm:t>
    </dgm:pt>
    <dgm:pt modelId="{AB25BD6D-C05F-49D2-AE4A-144CA3C0FC88}" type="pres">
      <dgm:prSet presAssocID="{E2FC291C-D685-4C64-9B85-7318D8496566}" presName="connTx" presStyleLbl="parChTrans1D2" presStyleIdx="0" presStyleCnt="7"/>
      <dgm:spPr/>
      <dgm:t>
        <a:bodyPr/>
        <a:lstStyle/>
        <a:p>
          <a:endParaRPr lang="en-US"/>
        </a:p>
      </dgm:t>
    </dgm:pt>
    <dgm:pt modelId="{825B4589-2D50-4097-AF2B-6D3BD9DDE0B2}" type="pres">
      <dgm:prSet presAssocID="{70EC699C-58C9-413E-92A6-88F3FF9B1DC9}" presName="node" presStyleLbl="node1" presStyleIdx="0" presStyleCnt="7" custScaleX="229422" custScaleY="101911" custRadScaleRad="91627" custRadScaleInc="-13884">
        <dgm:presLayoutVars>
          <dgm:bulletEnabled val="1"/>
        </dgm:presLayoutVars>
      </dgm:prSet>
      <dgm:spPr>
        <a:prstGeom prst="ellipse">
          <a:avLst/>
        </a:prstGeom>
      </dgm:spPr>
      <dgm:t>
        <a:bodyPr/>
        <a:lstStyle/>
        <a:p>
          <a:endParaRPr lang="en-US"/>
        </a:p>
      </dgm:t>
    </dgm:pt>
    <dgm:pt modelId="{7A96B68C-E15D-4E1B-A46C-7E5DE405A90C}" type="pres">
      <dgm:prSet presAssocID="{8350B580-CEC5-40B7-8EB5-A172D5915A6B}" presName="Name9" presStyleLbl="parChTrans1D2" presStyleIdx="1" presStyleCnt="7"/>
      <dgm:spPr>
        <a:custGeom>
          <a:avLst/>
          <a:gdLst/>
          <a:ahLst/>
          <a:cxnLst/>
          <a:rect l="0" t="0" r="0" b="0"/>
          <a:pathLst>
            <a:path>
              <a:moveTo>
                <a:pt x="0" y="7052"/>
              </a:moveTo>
              <a:lnTo>
                <a:pt x="740212" y="7052"/>
              </a:lnTo>
            </a:path>
          </a:pathLst>
        </a:custGeom>
      </dgm:spPr>
      <dgm:t>
        <a:bodyPr/>
        <a:lstStyle/>
        <a:p>
          <a:endParaRPr lang="en-US"/>
        </a:p>
      </dgm:t>
    </dgm:pt>
    <dgm:pt modelId="{55614E8E-7D68-4791-82B7-FD152FE54268}" type="pres">
      <dgm:prSet presAssocID="{8350B580-CEC5-40B7-8EB5-A172D5915A6B}" presName="connTx" presStyleLbl="parChTrans1D2" presStyleIdx="1" presStyleCnt="7"/>
      <dgm:spPr/>
      <dgm:t>
        <a:bodyPr/>
        <a:lstStyle/>
        <a:p>
          <a:endParaRPr lang="en-US"/>
        </a:p>
      </dgm:t>
    </dgm:pt>
    <dgm:pt modelId="{9DCD972B-1513-465A-AD2B-AD5E9EEB7291}" type="pres">
      <dgm:prSet presAssocID="{8D95C031-B53C-42FF-A312-F15FA4C9B96F}" presName="node" presStyleLbl="node1" presStyleIdx="1" presStyleCnt="7" custScaleX="227737" custScaleY="102773" custRadScaleRad="195113" custRadScaleInc="56993">
        <dgm:presLayoutVars>
          <dgm:bulletEnabled val="1"/>
        </dgm:presLayoutVars>
      </dgm:prSet>
      <dgm:spPr>
        <a:prstGeom prst="ellipse">
          <a:avLst/>
        </a:prstGeom>
      </dgm:spPr>
      <dgm:t>
        <a:bodyPr/>
        <a:lstStyle/>
        <a:p>
          <a:endParaRPr lang="en-US"/>
        </a:p>
      </dgm:t>
    </dgm:pt>
    <dgm:pt modelId="{5337AE63-3722-42CC-AF72-36670EB7C5E1}" type="pres">
      <dgm:prSet presAssocID="{7AF774ED-547E-4C04-8670-B0C1D08C5EE9}" presName="Name9" presStyleLbl="parChTrans1D2" presStyleIdx="2" presStyleCnt="7"/>
      <dgm:spPr>
        <a:custGeom>
          <a:avLst/>
          <a:gdLst/>
          <a:ahLst/>
          <a:cxnLst/>
          <a:rect l="0" t="0" r="0" b="0"/>
          <a:pathLst>
            <a:path>
              <a:moveTo>
                <a:pt x="0" y="7052"/>
              </a:moveTo>
              <a:lnTo>
                <a:pt x="633292" y="7052"/>
              </a:lnTo>
            </a:path>
          </a:pathLst>
        </a:custGeom>
      </dgm:spPr>
      <dgm:t>
        <a:bodyPr/>
        <a:lstStyle/>
        <a:p>
          <a:endParaRPr lang="en-US"/>
        </a:p>
      </dgm:t>
    </dgm:pt>
    <dgm:pt modelId="{326412CE-9911-4799-A459-B56F02EB4473}" type="pres">
      <dgm:prSet presAssocID="{7AF774ED-547E-4C04-8670-B0C1D08C5EE9}" presName="connTx" presStyleLbl="parChTrans1D2" presStyleIdx="2" presStyleCnt="7"/>
      <dgm:spPr/>
      <dgm:t>
        <a:bodyPr/>
        <a:lstStyle/>
        <a:p>
          <a:endParaRPr lang="en-US"/>
        </a:p>
      </dgm:t>
    </dgm:pt>
    <dgm:pt modelId="{CED9197C-8322-406B-917C-172FA36E7B76}" type="pres">
      <dgm:prSet presAssocID="{960C5593-E0FF-4AA5-AA0B-E8BDFFBC5E53}" presName="node" presStyleLbl="node1" presStyleIdx="2" presStyleCnt="7" custScaleX="227510" custScaleY="127982" custRadScaleRad="251767" custRadScaleInc="-49552">
        <dgm:presLayoutVars>
          <dgm:bulletEnabled val="1"/>
        </dgm:presLayoutVars>
      </dgm:prSet>
      <dgm:spPr>
        <a:prstGeom prst="ellipse">
          <a:avLst/>
        </a:prstGeom>
      </dgm:spPr>
      <dgm:t>
        <a:bodyPr/>
        <a:lstStyle/>
        <a:p>
          <a:endParaRPr lang="en-US"/>
        </a:p>
      </dgm:t>
    </dgm:pt>
    <dgm:pt modelId="{138B7E76-7222-442E-A1D9-728356EF662A}" type="pres">
      <dgm:prSet presAssocID="{B8DFF96A-99F4-4B8A-BC72-6CBEE68F7D71}" presName="Name9" presStyleLbl="parChTrans1D2" presStyleIdx="3" presStyleCnt="7"/>
      <dgm:spPr/>
      <dgm:t>
        <a:bodyPr/>
        <a:lstStyle/>
        <a:p>
          <a:endParaRPr lang="fr-FR"/>
        </a:p>
      </dgm:t>
    </dgm:pt>
    <dgm:pt modelId="{D42FD1F7-1C10-4C3B-A73C-E64961FFF240}" type="pres">
      <dgm:prSet presAssocID="{B8DFF96A-99F4-4B8A-BC72-6CBEE68F7D71}" presName="connTx" presStyleLbl="parChTrans1D2" presStyleIdx="3" presStyleCnt="7"/>
      <dgm:spPr/>
      <dgm:t>
        <a:bodyPr/>
        <a:lstStyle/>
        <a:p>
          <a:endParaRPr lang="fr-FR"/>
        </a:p>
      </dgm:t>
    </dgm:pt>
    <dgm:pt modelId="{FCA505AC-08A1-4D80-A4C4-10D8C6CB29B8}" type="pres">
      <dgm:prSet presAssocID="{D6D9FA0C-EAFE-4123-8DF5-45CB96116746}" presName="node" presStyleLbl="node1" presStyleIdx="3" presStyleCnt="7" custScaleX="234059" custScaleY="100720" custRadScaleRad="174873" custRadScaleInc="-125623">
        <dgm:presLayoutVars>
          <dgm:bulletEnabled val="1"/>
        </dgm:presLayoutVars>
      </dgm:prSet>
      <dgm:spPr>
        <a:prstGeom prst="ellipse">
          <a:avLst/>
        </a:prstGeom>
      </dgm:spPr>
      <dgm:t>
        <a:bodyPr/>
        <a:lstStyle/>
        <a:p>
          <a:endParaRPr lang="fr-FR"/>
        </a:p>
      </dgm:t>
    </dgm:pt>
    <dgm:pt modelId="{ADF94B70-0D7F-4A27-8DF9-17BCD27F4A7A}" type="pres">
      <dgm:prSet presAssocID="{0FABC453-0A5C-4CAE-813B-F0494A34E025}" presName="Name9" presStyleLbl="parChTrans1D2" presStyleIdx="4" presStyleCnt="7"/>
      <dgm:spPr>
        <a:custGeom>
          <a:avLst/>
          <a:gdLst/>
          <a:ahLst/>
          <a:cxnLst/>
          <a:rect l="0" t="0" r="0" b="0"/>
          <a:pathLst>
            <a:path>
              <a:moveTo>
                <a:pt x="0" y="7052"/>
              </a:moveTo>
              <a:lnTo>
                <a:pt x="615314" y="7052"/>
              </a:lnTo>
            </a:path>
          </a:pathLst>
        </a:custGeom>
      </dgm:spPr>
      <dgm:t>
        <a:bodyPr/>
        <a:lstStyle/>
        <a:p>
          <a:endParaRPr lang="en-US"/>
        </a:p>
      </dgm:t>
    </dgm:pt>
    <dgm:pt modelId="{EA4144E0-C5B2-4FC0-BDB2-550B61DB7DFD}" type="pres">
      <dgm:prSet presAssocID="{0FABC453-0A5C-4CAE-813B-F0494A34E025}" presName="connTx" presStyleLbl="parChTrans1D2" presStyleIdx="4" presStyleCnt="7"/>
      <dgm:spPr/>
      <dgm:t>
        <a:bodyPr/>
        <a:lstStyle/>
        <a:p>
          <a:endParaRPr lang="en-US"/>
        </a:p>
      </dgm:t>
    </dgm:pt>
    <dgm:pt modelId="{0FAF3FA1-8E6C-455E-B189-A468B3F4D8BC}" type="pres">
      <dgm:prSet presAssocID="{C06C39C9-71B8-489C-9C45-3DD37A424E39}" presName="node" presStyleLbl="node1" presStyleIdx="4" presStyleCnt="7" custScaleX="265433" custScaleY="144713" custRadScaleRad="123396" custRadScaleInc="88174">
        <dgm:presLayoutVars>
          <dgm:bulletEnabled val="1"/>
        </dgm:presLayoutVars>
      </dgm:prSet>
      <dgm:spPr>
        <a:prstGeom prst="ellipse">
          <a:avLst/>
        </a:prstGeom>
      </dgm:spPr>
      <dgm:t>
        <a:bodyPr/>
        <a:lstStyle/>
        <a:p>
          <a:endParaRPr lang="en-US"/>
        </a:p>
      </dgm:t>
    </dgm:pt>
    <dgm:pt modelId="{4C755D63-E57A-4826-AD35-228CF0B8702F}" type="pres">
      <dgm:prSet presAssocID="{E6BC16BB-F93A-4745-8B71-07703A9D0891}" presName="Name9" presStyleLbl="parChTrans1D2" presStyleIdx="5" presStyleCnt="7"/>
      <dgm:spPr>
        <a:custGeom>
          <a:avLst/>
          <a:gdLst/>
          <a:ahLst/>
          <a:cxnLst/>
          <a:rect l="0" t="0" r="0" b="0"/>
          <a:pathLst>
            <a:path>
              <a:moveTo>
                <a:pt x="0" y="7052"/>
              </a:moveTo>
              <a:lnTo>
                <a:pt x="644351" y="7052"/>
              </a:lnTo>
            </a:path>
          </a:pathLst>
        </a:custGeom>
      </dgm:spPr>
      <dgm:t>
        <a:bodyPr/>
        <a:lstStyle/>
        <a:p>
          <a:endParaRPr lang="en-US"/>
        </a:p>
      </dgm:t>
    </dgm:pt>
    <dgm:pt modelId="{7ABA132F-4D21-4791-9A9A-84D258152BDE}" type="pres">
      <dgm:prSet presAssocID="{E6BC16BB-F93A-4745-8B71-07703A9D0891}" presName="connTx" presStyleLbl="parChTrans1D2" presStyleIdx="5" presStyleCnt="7"/>
      <dgm:spPr/>
      <dgm:t>
        <a:bodyPr/>
        <a:lstStyle/>
        <a:p>
          <a:endParaRPr lang="en-US"/>
        </a:p>
      </dgm:t>
    </dgm:pt>
    <dgm:pt modelId="{24E3E7DC-0BA5-48AF-955A-AA52F4F430B1}" type="pres">
      <dgm:prSet presAssocID="{0BE60BA9-2025-462F-AA1B-F34616BD63F6}" presName="node" presStyleLbl="node1" presStyleIdx="5" presStyleCnt="7" custScaleX="210422" custScaleY="102929" custRadScaleRad="239633" custRadScaleInc="48993">
        <dgm:presLayoutVars>
          <dgm:bulletEnabled val="1"/>
        </dgm:presLayoutVars>
      </dgm:prSet>
      <dgm:spPr>
        <a:prstGeom prst="ellipse">
          <a:avLst/>
        </a:prstGeom>
      </dgm:spPr>
      <dgm:t>
        <a:bodyPr/>
        <a:lstStyle/>
        <a:p>
          <a:endParaRPr lang="en-US"/>
        </a:p>
      </dgm:t>
    </dgm:pt>
    <dgm:pt modelId="{08F06F3E-5CCF-489C-90BA-4D42681B4A07}" type="pres">
      <dgm:prSet presAssocID="{F5FEBDE2-D009-4353-A711-A501C297EE06}" presName="Name9" presStyleLbl="parChTrans1D2" presStyleIdx="6" presStyleCnt="7"/>
      <dgm:spPr/>
      <dgm:t>
        <a:bodyPr/>
        <a:lstStyle/>
        <a:p>
          <a:endParaRPr lang="fr-FR"/>
        </a:p>
      </dgm:t>
    </dgm:pt>
    <dgm:pt modelId="{76FDFD1B-489F-475B-A36E-9F5AB80DE696}" type="pres">
      <dgm:prSet presAssocID="{F5FEBDE2-D009-4353-A711-A501C297EE06}" presName="connTx" presStyleLbl="parChTrans1D2" presStyleIdx="6" presStyleCnt="7"/>
      <dgm:spPr/>
      <dgm:t>
        <a:bodyPr/>
        <a:lstStyle/>
        <a:p>
          <a:endParaRPr lang="fr-FR"/>
        </a:p>
      </dgm:t>
    </dgm:pt>
    <dgm:pt modelId="{EAE297CC-CD88-4D38-B807-44C2D9CFE954}" type="pres">
      <dgm:prSet presAssocID="{30073B76-9DF5-4BFB-A9B9-BD3E3F3E11F0}" presName="node" presStyleLbl="node1" presStyleIdx="6" presStyleCnt="7" custScaleX="251735" custRadScaleRad="196686" custRadScaleInc="-68630">
        <dgm:presLayoutVars>
          <dgm:bulletEnabled val="1"/>
        </dgm:presLayoutVars>
      </dgm:prSet>
      <dgm:spPr/>
      <dgm:t>
        <a:bodyPr/>
        <a:lstStyle/>
        <a:p>
          <a:endParaRPr lang="fr-FR"/>
        </a:p>
      </dgm:t>
    </dgm:pt>
  </dgm:ptLst>
  <dgm:cxnLst>
    <dgm:cxn modelId="{7CEC3F29-C370-4DDD-99F8-854856E2A3D9}" type="presOf" srcId="{F5FEBDE2-D009-4353-A711-A501C297EE06}" destId="{08F06F3E-5CCF-489C-90BA-4D42681B4A07}" srcOrd="0" destOrd="0" presId="urn:microsoft.com/office/officeart/2005/8/layout/radial1"/>
    <dgm:cxn modelId="{3621A952-2B4A-464A-B89F-9757D9713BE7}" type="presOf" srcId="{8D95C031-B53C-42FF-A312-F15FA4C9B96F}" destId="{9DCD972B-1513-465A-AD2B-AD5E9EEB7291}" srcOrd="0" destOrd="0" presId="urn:microsoft.com/office/officeart/2005/8/layout/radial1"/>
    <dgm:cxn modelId="{B5C2FB44-BBBF-497A-A4B9-A4FA0C05E4FE}" srcId="{DE541715-C648-404D-8124-F14F463E9202}" destId="{30073B76-9DF5-4BFB-A9B9-BD3E3F3E11F0}" srcOrd="6" destOrd="0" parTransId="{F5FEBDE2-D009-4353-A711-A501C297EE06}" sibTransId="{4C46EA17-4E21-4513-AFE8-3D06CCE4FB74}"/>
    <dgm:cxn modelId="{DB613666-54CF-4D7E-982B-E399CC961051}" srcId="{DE541715-C648-404D-8124-F14F463E9202}" destId="{8D95C031-B53C-42FF-A312-F15FA4C9B96F}" srcOrd="1" destOrd="0" parTransId="{8350B580-CEC5-40B7-8EB5-A172D5915A6B}" sibTransId="{F52C44D8-90AA-45A0-B521-998C42893448}"/>
    <dgm:cxn modelId="{C6943E2B-3D49-42B4-BFAD-313C560BD82E}" type="presOf" srcId="{8350B580-CEC5-40B7-8EB5-A172D5915A6B}" destId="{7A96B68C-E15D-4E1B-A46C-7E5DE405A90C}" srcOrd="0" destOrd="0" presId="urn:microsoft.com/office/officeart/2005/8/layout/radial1"/>
    <dgm:cxn modelId="{CE29E185-ACB4-46DB-A552-DEB854018629}" type="presOf" srcId="{30073B76-9DF5-4BFB-A9B9-BD3E3F3E11F0}" destId="{EAE297CC-CD88-4D38-B807-44C2D9CFE954}" srcOrd="0" destOrd="0" presId="urn:microsoft.com/office/officeart/2005/8/layout/radial1"/>
    <dgm:cxn modelId="{D56B67E8-3AD3-4429-913D-C8D7AFE70381}" type="presOf" srcId="{0FABC453-0A5C-4CAE-813B-F0494A34E025}" destId="{EA4144E0-C5B2-4FC0-BDB2-550B61DB7DFD}" srcOrd="1" destOrd="0" presId="urn:microsoft.com/office/officeart/2005/8/layout/radial1"/>
    <dgm:cxn modelId="{B0A06DBB-96D2-45CE-961C-6D79DEFA6BBF}" type="presOf" srcId="{E6BC16BB-F93A-4745-8B71-07703A9D0891}" destId="{7ABA132F-4D21-4791-9A9A-84D258152BDE}" srcOrd="1" destOrd="0" presId="urn:microsoft.com/office/officeart/2005/8/layout/radial1"/>
    <dgm:cxn modelId="{3AFBAF0F-53F1-498A-AB83-794549B3DF9A}" type="presOf" srcId="{E6BC16BB-F93A-4745-8B71-07703A9D0891}" destId="{4C755D63-E57A-4826-AD35-228CF0B8702F}" srcOrd="0" destOrd="0" presId="urn:microsoft.com/office/officeart/2005/8/layout/radial1"/>
    <dgm:cxn modelId="{270396F0-EB99-4468-9AC9-3340113FD05B}" type="presOf" srcId="{B8DFF96A-99F4-4B8A-BC72-6CBEE68F7D71}" destId="{D42FD1F7-1C10-4C3B-A73C-E64961FFF240}" srcOrd="1" destOrd="0" presId="urn:microsoft.com/office/officeart/2005/8/layout/radial1"/>
    <dgm:cxn modelId="{C68EB53E-3A19-40DE-9864-7B304737A645}" type="presOf" srcId="{E2FC291C-D685-4C64-9B85-7318D8496566}" destId="{743B4520-8441-42A0-AFCB-45C212516FFF}" srcOrd="0" destOrd="0" presId="urn:microsoft.com/office/officeart/2005/8/layout/radial1"/>
    <dgm:cxn modelId="{68A2686B-D970-4F29-83ED-7D0810501957}" type="presOf" srcId="{0FABC453-0A5C-4CAE-813B-F0494A34E025}" destId="{ADF94B70-0D7F-4A27-8DF9-17BCD27F4A7A}" srcOrd="0" destOrd="0" presId="urn:microsoft.com/office/officeart/2005/8/layout/radial1"/>
    <dgm:cxn modelId="{1C3C556D-D36F-4485-87B4-9771D813B86E}" srcId="{DE541715-C648-404D-8124-F14F463E9202}" destId="{D6D9FA0C-EAFE-4123-8DF5-45CB96116746}" srcOrd="3" destOrd="0" parTransId="{B8DFF96A-99F4-4B8A-BC72-6CBEE68F7D71}" sibTransId="{DE67A7D4-F439-49A8-9C48-EC11C1E1FFFB}"/>
    <dgm:cxn modelId="{7427766F-32DC-4B2F-B2F5-C27807D6F724}" type="presOf" srcId="{960C5593-E0FF-4AA5-AA0B-E8BDFFBC5E53}" destId="{CED9197C-8322-406B-917C-172FA36E7B76}" srcOrd="0" destOrd="0" presId="urn:microsoft.com/office/officeart/2005/8/layout/radial1"/>
    <dgm:cxn modelId="{226F2952-E8D7-497B-81C4-A15E52766DEE}" type="presOf" srcId="{DE541715-C648-404D-8124-F14F463E9202}" destId="{062AF917-2F47-4639-8A23-58AD52EC0F32}" srcOrd="0" destOrd="0" presId="urn:microsoft.com/office/officeart/2005/8/layout/radial1"/>
    <dgm:cxn modelId="{248698A6-055B-40E3-B808-D624056EF2B0}" srcId="{DE541715-C648-404D-8124-F14F463E9202}" destId="{C06C39C9-71B8-489C-9C45-3DD37A424E39}" srcOrd="4" destOrd="0" parTransId="{0FABC453-0A5C-4CAE-813B-F0494A34E025}" sibTransId="{DCD34884-F96E-475A-9010-14DE66A403A6}"/>
    <dgm:cxn modelId="{2260A225-51D3-4181-BAC0-17566BB067A0}" type="presOf" srcId="{F5FEBDE2-D009-4353-A711-A501C297EE06}" destId="{76FDFD1B-489F-475B-A36E-9F5AB80DE696}" srcOrd="1" destOrd="0" presId="urn:microsoft.com/office/officeart/2005/8/layout/radial1"/>
    <dgm:cxn modelId="{BFADC396-DD68-4F3D-A60B-703846B2C48E}" type="presOf" srcId="{C06C39C9-71B8-489C-9C45-3DD37A424E39}" destId="{0FAF3FA1-8E6C-455E-B189-A468B3F4D8BC}" srcOrd="0" destOrd="0" presId="urn:microsoft.com/office/officeart/2005/8/layout/radial1"/>
    <dgm:cxn modelId="{8C1CFCA9-5602-4AF3-8B85-8171E3D018B0}" type="presOf" srcId="{7AF774ED-547E-4C04-8670-B0C1D08C5EE9}" destId="{326412CE-9911-4799-A459-B56F02EB4473}" srcOrd="1" destOrd="0" presId="urn:microsoft.com/office/officeart/2005/8/layout/radial1"/>
    <dgm:cxn modelId="{AD2EB3D2-1381-46CB-80E7-BA9A804B7DD3}" srcId="{DE541715-C648-404D-8124-F14F463E9202}" destId="{0BE60BA9-2025-462F-AA1B-F34616BD63F6}" srcOrd="5" destOrd="0" parTransId="{E6BC16BB-F93A-4745-8B71-07703A9D0891}" sibTransId="{C8DD518E-881E-4111-9EDE-7F061DEDE6FF}"/>
    <dgm:cxn modelId="{00FA179A-8EB9-4315-9073-DE4C86E802A4}" type="presOf" srcId="{7AF774ED-547E-4C04-8670-B0C1D08C5EE9}" destId="{5337AE63-3722-42CC-AF72-36670EB7C5E1}" srcOrd="0" destOrd="0" presId="urn:microsoft.com/office/officeart/2005/8/layout/radial1"/>
    <dgm:cxn modelId="{2797721C-A37A-481D-A75F-1879C7AAF88F}" type="presOf" srcId="{8350B580-CEC5-40B7-8EB5-A172D5915A6B}" destId="{55614E8E-7D68-4791-82B7-FD152FE54268}" srcOrd="1" destOrd="0" presId="urn:microsoft.com/office/officeart/2005/8/layout/radial1"/>
    <dgm:cxn modelId="{36110581-6B64-4E94-9FDD-8A1B9B67F82A}" type="presOf" srcId="{E2FC291C-D685-4C64-9B85-7318D8496566}" destId="{AB25BD6D-C05F-49D2-AE4A-144CA3C0FC88}" srcOrd="1" destOrd="0" presId="urn:microsoft.com/office/officeart/2005/8/layout/radial1"/>
    <dgm:cxn modelId="{65B71461-A54F-4709-ACB8-C0CB734F95DB}" type="presOf" srcId="{B8DFF96A-99F4-4B8A-BC72-6CBEE68F7D71}" destId="{138B7E76-7222-442E-A1D9-728356EF662A}" srcOrd="0" destOrd="0" presId="urn:microsoft.com/office/officeart/2005/8/layout/radial1"/>
    <dgm:cxn modelId="{3689AD09-B2B8-41CB-88A2-BFECE829E687}" type="presOf" srcId="{70EC699C-58C9-413E-92A6-88F3FF9B1DC9}" destId="{825B4589-2D50-4097-AF2B-6D3BD9DDE0B2}" srcOrd="0" destOrd="0" presId="urn:microsoft.com/office/officeart/2005/8/layout/radial1"/>
    <dgm:cxn modelId="{22CFBE58-87EC-4B70-B1CC-D1D1DB4968C7}" srcId="{34E6C8D5-8D4F-4714-8A12-8F4599A8E760}" destId="{DE541715-C648-404D-8124-F14F463E9202}" srcOrd="0" destOrd="0" parTransId="{D7DB3476-9C56-4274-B046-F742EA8694F1}" sibTransId="{7CA7849B-681D-4C0D-A708-F47E97871BB2}"/>
    <dgm:cxn modelId="{E7A3A3B4-FC6B-49D8-9D2E-963114860876}" type="presOf" srcId="{D6D9FA0C-EAFE-4123-8DF5-45CB96116746}" destId="{FCA505AC-08A1-4D80-A4C4-10D8C6CB29B8}" srcOrd="0" destOrd="0" presId="urn:microsoft.com/office/officeart/2005/8/layout/radial1"/>
    <dgm:cxn modelId="{CD665BD3-AE94-48CD-BB2B-52ADCE6E6BE2}" type="presOf" srcId="{0BE60BA9-2025-462F-AA1B-F34616BD63F6}" destId="{24E3E7DC-0BA5-48AF-955A-AA52F4F430B1}" srcOrd="0" destOrd="0" presId="urn:microsoft.com/office/officeart/2005/8/layout/radial1"/>
    <dgm:cxn modelId="{3597F8D4-E0D8-45F4-BB48-7FD22AAE79C7}" srcId="{DE541715-C648-404D-8124-F14F463E9202}" destId="{70EC699C-58C9-413E-92A6-88F3FF9B1DC9}" srcOrd="0" destOrd="0" parTransId="{E2FC291C-D685-4C64-9B85-7318D8496566}" sibTransId="{18BDC942-54AA-48C8-9849-2287B2AEC32C}"/>
    <dgm:cxn modelId="{EDD49CCE-E73F-4ED0-BB9B-F43DCD4668DC}" type="presOf" srcId="{34E6C8D5-8D4F-4714-8A12-8F4599A8E760}" destId="{08F189A1-AB47-41D1-8058-7A6DA66B3F52}" srcOrd="0" destOrd="0" presId="urn:microsoft.com/office/officeart/2005/8/layout/radial1"/>
    <dgm:cxn modelId="{529D05ED-97D5-4116-BE13-DE3D93351F7F}" srcId="{DE541715-C648-404D-8124-F14F463E9202}" destId="{960C5593-E0FF-4AA5-AA0B-E8BDFFBC5E53}" srcOrd="2" destOrd="0" parTransId="{7AF774ED-547E-4C04-8670-B0C1D08C5EE9}" sibTransId="{88F12DF7-015F-4F26-950A-DAE493699644}"/>
    <dgm:cxn modelId="{DA865950-C590-4D16-88A7-3CF8569572D9}" type="presParOf" srcId="{08F189A1-AB47-41D1-8058-7A6DA66B3F52}" destId="{062AF917-2F47-4639-8A23-58AD52EC0F32}" srcOrd="0" destOrd="0" presId="urn:microsoft.com/office/officeart/2005/8/layout/radial1"/>
    <dgm:cxn modelId="{FC095843-B2FB-43C3-956B-2B143B8CA27F}" type="presParOf" srcId="{08F189A1-AB47-41D1-8058-7A6DA66B3F52}" destId="{743B4520-8441-42A0-AFCB-45C212516FFF}" srcOrd="1" destOrd="0" presId="urn:microsoft.com/office/officeart/2005/8/layout/radial1"/>
    <dgm:cxn modelId="{9C59087F-AA37-4B3F-90A8-4E8DB05D329B}" type="presParOf" srcId="{743B4520-8441-42A0-AFCB-45C212516FFF}" destId="{AB25BD6D-C05F-49D2-AE4A-144CA3C0FC88}" srcOrd="0" destOrd="0" presId="urn:microsoft.com/office/officeart/2005/8/layout/radial1"/>
    <dgm:cxn modelId="{E2C0AF3C-8EDE-4C64-A6C6-519EEE5E75A0}" type="presParOf" srcId="{08F189A1-AB47-41D1-8058-7A6DA66B3F52}" destId="{825B4589-2D50-4097-AF2B-6D3BD9DDE0B2}" srcOrd="2" destOrd="0" presId="urn:microsoft.com/office/officeart/2005/8/layout/radial1"/>
    <dgm:cxn modelId="{C0F773FA-A34B-41B6-ACB6-C731015DD958}" type="presParOf" srcId="{08F189A1-AB47-41D1-8058-7A6DA66B3F52}" destId="{7A96B68C-E15D-4E1B-A46C-7E5DE405A90C}" srcOrd="3" destOrd="0" presId="urn:microsoft.com/office/officeart/2005/8/layout/radial1"/>
    <dgm:cxn modelId="{4C9DF1DA-B53A-4F44-A42A-A381D71DDA05}" type="presParOf" srcId="{7A96B68C-E15D-4E1B-A46C-7E5DE405A90C}" destId="{55614E8E-7D68-4791-82B7-FD152FE54268}" srcOrd="0" destOrd="0" presId="urn:microsoft.com/office/officeart/2005/8/layout/radial1"/>
    <dgm:cxn modelId="{9B8CB19C-0754-4466-A339-14C12A750C1C}" type="presParOf" srcId="{08F189A1-AB47-41D1-8058-7A6DA66B3F52}" destId="{9DCD972B-1513-465A-AD2B-AD5E9EEB7291}" srcOrd="4" destOrd="0" presId="urn:microsoft.com/office/officeart/2005/8/layout/radial1"/>
    <dgm:cxn modelId="{68A9A5E2-CAD2-4098-8FB7-B7638B908EC6}" type="presParOf" srcId="{08F189A1-AB47-41D1-8058-7A6DA66B3F52}" destId="{5337AE63-3722-42CC-AF72-36670EB7C5E1}" srcOrd="5" destOrd="0" presId="urn:microsoft.com/office/officeart/2005/8/layout/radial1"/>
    <dgm:cxn modelId="{BBED4F72-C610-45DE-A626-1C172C4E231C}" type="presParOf" srcId="{5337AE63-3722-42CC-AF72-36670EB7C5E1}" destId="{326412CE-9911-4799-A459-B56F02EB4473}" srcOrd="0" destOrd="0" presId="urn:microsoft.com/office/officeart/2005/8/layout/radial1"/>
    <dgm:cxn modelId="{CDF6FC05-108C-4FAC-BB88-9CE5EC438626}" type="presParOf" srcId="{08F189A1-AB47-41D1-8058-7A6DA66B3F52}" destId="{CED9197C-8322-406B-917C-172FA36E7B76}" srcOrd="6" destOrd="0" presId="urn:microsoft.com/office/officeart/2005/8/layout/radial1"/>
    <dgm:cxn modelId="{E8F6D491-8D69-4183-A9DE-CEBA1D0564C1}" type="presParOf" srcId="{08F189A1-AB47-41D1-8058-7A6DA66B3F52}" destId="{138B7E76-7222-442E-A1D9-728356EF662A}" srcOrd="7" destOrd="0" presId="urn:microsoft.com/office/officeart/2005/8/layout/radial1"/>
    <dgm:cxn modelId="{998A9E3C-E0A2-43F4-B2C7-F3F5B4E6067B}" type="presParOf" srcId="{138B7E76-7222-442E-A1D9-728356EF662A}" destId="{D42FD1F7-1C10-4C3B-A73C-E64961FFF240}" srcOrd="0" destOrd="0" presId="urn:microsoft.com/office/officeart/2005/8/layout/radial1"/>
    <dgm:cxn modelId="{54046CE2-E863-4103-8DE0-08DBD6D6F051}" type="presParOf" srcId="{08F189A1-AB47-41D1-8058-7A6DA66B3F52}" destId="{FCA505AC-08A1-4D80-A4C4-10D8C6CB29B8}" srcOrd="8" destOrd="0" presId="urn:microsoft.com/office/officeart/2005/8/layout/radial1"/>
    <dgm:cxn modelId="{5437AE70-0090-49C2-A015-7D872D79EA86}" type="presParOf" srcId="{08F189A1-AB47-41D1-8058-7A6DA66B3F52}" destId="{ADF94B70-0D7F-4A27-8DF9-17BCD27F4A7A}" srcOrd="9" destOrd="0" presId="urn:microsoft.com/office/officeart/2005/8/layout/radial1"/>
    <dgm:cxn modelId="{04C32AC8-844E-4C2E-854E-FB3E5EB18C68}" type="presParOf" srcId="{ADF94B70-0D7F-4A27-8DF9-17BCD27F4A7A}" destId="{EA4144E0-C5B2-4FC0-BDB2-550B61DB7DFD}" srcOrd="0" destOrd="0" presId="urn:microsoft.com/office/officeart/2005/8/layout/radial1"/>
    <dgm:cxn modelId="{9761ADDA-171A-418C-BE71-74DB7F3F7FB3}" type="presParOf" srcId="{08F189A1-AB47-41D1-8058-7A6DA66B3F52}" destId="{0FAF3FA1-8E6C-455E-B189-A468B3F4D8BC}" srcOrd="10" destOrd="0" presId="urn:microsoft.com/office/officeart/2005/8/layout/radial1"/>
    <dgm:cxn modelId="{3D05C51C-8934-4521-9E53-937860AD6A7D}" type="presParOf" srcId="{08F189A1-AB47-41D1-8058-7A6DA66B3F52}" destId="{4C755D63-E57A-4826-AD35-228CF0B8702F}" srcOrd="11" destOrd="0" presId="urn:microsoft.com/office/officeart/2005/8/layout/radial1"/>
    <dgm:cxn modelId="{0B2709DE-2FB8-4358-9D44-573BCC5B14BA}" type="presParOf" srcId="{4C755D63-E57A-4826-AD35-228CF0B8702F}" destId="{7ABA132F-4D21-4791-9A9A-84D258152BDE}" srcOrd="0" destOrd="0" presId="urn:microsoft.com/office/officeart/2005/8/layout/radial1"/>
    <dgm:cxn modelId="{62062E12-8EFF-4A78-B508-2D8A50025D53}" type="presParOf" srcId="{08F189A1-AB47-41D1-8058-7A6DA66B3F52}" destId="{24E3E7DC-0BA5-48AF-955A-AA52F4F430B1}" srcOrd="12" destOrd="0" presId="urn:microsoft.com/office/officeart/2005/8/layout/radial1"/>
    <dgm:cxn modelId="{5285EAFA-EC35-46C4-B98A-D862BB259ABD}" type="presParOf" srcId="{08F189A1-AB47-41D1-8058-7A6DA66B3F52}" destId="{08F06F3E-5CCF-489C-90BA-4D42681B4A07}" srcOrd="13" destOrd="0" presId="urn:microsoft.com/office/officeart/2005/8/layout/radial1"/>
    <dgm:cxn modelId="{1311FA3D-CB8E-4948-ACA0-ADD030661908}" type="presParOf" srcId="{08F06F3E-5CCF-489C-90BA-4D42681B4A07}" destId="{76FDFD1B-489F-475B-A36E-9F5AB80DE696}" srcOrd="0" destOrd="0" presId="urn:microsoft.com/office/officeart/2005/8/layout/radial1"/>
    <dgm:cxn modelId="{A27B8FC9-D646-493A-98D6-07C9DC9C8061}" type="presParOf" srcId="{08F189A1-AB47-41D1-8058-7A6DA66B3F52}" destId="{EAE297CC-CD88-4D38-B807-44C2D9CFE954}" srcOrd="14" destOrd="0" presId="urn:microsoft.com/office/officeart/2005/8/layout/radial1"/>
  </dgm:cxnLst>
  <dgm:bg/>
  <dgm:whole/>
  <dgm:extLst>
    <a:ext uri="http://schemas.microsoft.com/office/drawing/2008/diagram">
      <dsp:dataModelExt xmlns:dsp="http://schemas.microsoft.com/office/drawing/2008/diagram" relId="rId122" minVer="http://schemas.openxmlformats.org/drawingml/2006/diagram"/>
    </a:ext>
    <a:ext uri="{C62137D5-CB1D-491B-B009-E17868A290BF}">
      <dgm14:recolorImg xmlns:dgm14="http://schemas.microsoft.com/office/drawing/2010/diagram" val="1"/>
    </a:ext>
  </dgm:extLst>
</dgm:dataModel>
</file>

<file path=word/diagrams/data16.xml><?xml version="1.0" encoding="utf-8"?>
<dgm:dataModel xmlns:dgm="http://schemas.openxmlformats.org/drawingml/2006/diagram" xmlns:a="http://schemas.openxmlformats.org/drawingml/2006/main">
  <dgm:ptLst>
    <dgm:pt modelId="{3E4183EF-B989-4620-A02C-D54686D6628F}"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60F584FC-F7FF-4FD7-86E3-8773293C0460}">
      <dgm:prSet phldrT="[Text]" custT="1"/>
      <dgm:spPr>
        <a:xfrm>
          <a:off x="2436956" y="928028"/>
          <a:ext cx="1163496" cy="486144"/>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gm:spPr>
      <dgm:t>
        <a:bodyPr/>
        <a:lstStyle/>
        <a:p>
          <a:r>
            <a:rPr lang="en-US"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14</a:t>
          </a:r>
        </a:p>
      </dgm:t>
    </dgm:pt>
    <dgm:pt modelId="{474A81AD-BFE3-4D32-9342-2C25E06E5B46}" type="parTrans" cxnId="{0872B5C3-971C-4397-94C1-FDC0412A9ADC}">
      <dgm:prSet/>
      <dgm:spPr/>
      <dgm:t>
        <a:bodyPr/>
        <a:lstStyle/>
        <a:p>
          <a:endParaRPr lang="en-US"/>
        </a:p>
      </dgm:t>
    </dgm:pt>
    <dgm:pt modelId="{28FB44EF-A1AD-4FBB-B0D1-E98EB36FC510}" type="sibTrans" cxnId="{0872B5C3-971C-4397-94C1-FDC0412A9ADC}">
      <dgm:prSet/>
      <dgm:spPr/>
      <dgm:t>
        <a:bodyPr/>
        <a:lstStyle/>
        <a:p>
          <a:endParaRPr lang="en-US"/>
        </a:p>
      </dgm:t>
    </dgm:pt>
    <dgm:pt modelId="{2EF75B39-F486-43BE-8B27-294595126005}">
      <dgm:prSet phldrT="[Text]" custT="1"/>
      <dgm:spPr>
        <a:xfrm>
          <a:off x="2461162" y="10017"/>
          <a:ext cx="1126909" cy="533024"/>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9</a:t>
          </a: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Bureaux régionaux</a:t>
          </a:r>
        </a:p>
      </dgm:t>
    </dgm:pt>
    <dgm:pt modelId="{66F0DCEC-2B26-4038-AF1F-D0A98A0F7930}" type="parTrans" cxnId="{D0987D88-807B-4994-94E2-80A6C1D9AE52}">
      <dgm:prSet custT="1"/>
      <dgm:spPr>
        <a:xfrm rot="16222721">
          <a:off x="2829084" y="727032"/>
          <a:ext cx="384996" cy="17004"/>
        </a:xfrm>
        <a:noFill/>
        <a:ln w="9525" cap="flat" cmpd="sng" algn="ctr">
          <a:solidFill>
            <a:srgbClr val="4F81BD">
              <a:shade val="60000"/>
              <a:hueOff val="0"/>
              <a:satOff val="0"/>
              <a:lumOff val="0"/>
              <a:alphaOff val="0"/>
            </a:srgbClr>
          </a:solidFill>
          <a:prstDash val="solid"/>
        </a:ln>
        <a:effectLst/>
      </dgm:spPr>
      <dgm:t>
        <a:bodyPr/>
        <a:lstStyle/>
        <a:p>
          <a:endParaRPr lang="en-US" sz="400">
            <a:solidFill>
              <a:sysClr val="windowText" lastClr="000000">
                <a:hueOff val="0"/>
                <a:satOff val="0"/>
                <a:lumOff val="0"/>
                <a:alphaOff val="0"/>
              </a:sysClr>
            </a:solidFill>
            <a:latin typeface="Calibri"/>
            <a:ea typeface="+mn-ea"/>
            <a:cs typeface="+mn-cs"/>
          </a:endParaRPr>
        </a:p>
      </dgm:t>
    </dgm:pt>
    <dgm:pt modelId="{A29EC13D-3B1F-4904-8025-5B38BEEF3183}" type="sibTrans" cxnId="{D0987D88-807B-4994-94E2-80A6C1D9AE52}">
      <dgm:prSet/>
      <dgm:spPr/>
      <dgm:t>
        <a:bodyPr/>
        <a:lstStyle/>
        <a:p>
          <a:endParaRPr lang="en-US"/>
        </a:p>
      </dgm:t>
    </dgm:pt>
    <dgm:pt modelId="{4761FE57-664D-44AD-8EF1-E6096D64297F}">
      <dgm:prSet phldrT="[Text]" custT="1"/>
      <dgm:spPr>
        <a:xfrm>
          <a:off x="3842803" y="396965"/>
          <a:ext cx="1095195" cy="483836"/>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10</a:t>
          </a: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Pays en transition et pays développés</a:t>
          </a:r>
        </a:p>
      </dgm:t>
    </dgm:pt>
    <dgm:pt modelId="{F6DE2413-45CD-453B-A258-F22A53BBB241}" type="parTrans" cxnId="{A5666C79-BF01-4153-AB0A-BB16CAE1F135}">
      <dgm:prSet custT="1"/>
      <dgm:spPr>
        <a:xfrm rot="20327628">
          <a:off x="3425607" y="893608"/>
          <a:ext cx="572741" cy="17004"/>
        </a:xfrm>
        <a:noFill/>
        <a:ln w="9525" cap="flat" cmpd="sng" algn="ctr">
          <a:solidFill>
            <a:srgbClr val="4F81BD">
              <a:shade val="60000"/>
              <a:hueOff val="0"/>
              <a:satOff val="0"/>
              <a:lumOff val="0"/>
              <a:alphaOff val="0"/>
            </a:srgbClr>
          </a:solidFill>
          <a:prstDash val="solid"/>
        </a:ln>
        <a:effectLst/>
      </dgm:spPr>
      <dgm:t>
        <a:bodyPr/>
        <a:lstStyle/>
        <a:p>
          <a:endParaRPr lang="en-US" sz="400">
            <a:solidFill>
              <a:sysClr val="windowText" lastClr="000000">
                <a:hueOff val="0"/>
                <a:satOff val="0"/>
                <a:lumOff val="0"/>
                <a:alphaOff val="0"/>
              </a:sysClr>
            </a:solidFill>
            <a:latin typeface="Calibri"/>
            <a:ea typeface="+mn-ea"/>
            <a:cs typeface="+mn-cs"/>
          </a:endParaRPr>
        </a:p>
      </dgm:t>
    </dgm:pt>
    <dgm:pt modelId="{288511AC-ECAB-47A8-A0B0-D7AAFEE02A39}" type="sibTrans" cxnId="{A5666C79-BF01-4153-AB0A-BB16CAE1F135}">
      <dgm:prSet/>
      <dgm:spPr/>
      <dgm:t>
        <a:bodyPr/>
        <a:lstStyle/>
        <a:p>
          <a:endParaRPr lang="en-US"/>
        </a:p>
      </dgm:t>
    </dgm:pt>
    <dgm:pt modelId="{576E161B-59E2-4177-8320-584EBC426979}">
      <dgm:prSet phldrT="[Text]" custT="1"/>
      <dgm:spPr>
        <a:xfrm>
          <a:off x="86786" y="886842"/>
          <a:ext cx="1157634" cy="586562"/>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13</a:t>
          </a: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Service des bases de données mondiales</a:t>
          </a:r>
        </a:p>
      </dgm:t>
    </dgm:pt>
    <dgm:pt modelId="{52A69187-F965-4704-9C1A-29B2281F912F}" type="parTrans" cxnId="{BA0B21AC-350F-4DDA-A443-58447D95EEF1}">
      <dgm:prSet custT="1"/>
      <dgm:spPr>
        <a:xfrm rot="10786818">
          <a:off x="1244400" y="1167115"/>
          <a:ext cx="1192585" cy="17004"/>
        </a:xfrm>
        <a:noFill/>
        <a:ln w="9525" cap="flat" cmpd="sng" algn="ctr">
          <a:solidFill>
            <a:srgbClr val="4F81BD">
              <a:shade val="60000"/>
              <a:hueOff val="0"/>
              <a:satOff val="0"/>
              <a:lumOff val="0"/>
              <a:alphaOff val="0"/>
            </a:srgbClr>
          </a:solidFill>
          <a:prstDash val="solid"/>
        </a:ln>
        <a:effectLst/>
      </dgm:spPr>
      <dgm:t>
        <a:bodyPr/>
        <a:lstStyle/>
        <a:p>
          <a:endParaRPr lang="en-US" sz="400">
            <a:solidFill>
              <a:sysClr val="windowText" lastClr="000000">
                <a:hueOff val="0"/>
                <a:satOff val="0"/>
                <a:lumOff val="0"/>
                <a:alphaOff val="0"/>
              </a:sysClr>
            </a:solidFill>
            <a:latin typeface="Calibri"/>
            <a:ea typeface="+mn-ea"/>
            <a:cs typeface="+mn-cs"/>
          </a:endParaRPr>
        </a:p>
      </dgm:t>
    </dgm:pt>
    <dgm:pt modelId="{E9F92651-5262-450E-9258-F1F8976476A8}" type="sibTrans" cxnId="{BA0B21AC-350F-4DDA-A443-58447D95EEF1}">
      <dgm:prSet/>
      <dgm:spPr/>
      <dgm:t>
        <a:bodyPr/>
        <a:lstStyle/>
        <a:p>
          <a:endParaRPr lang="en-US"/>
        </a:p>
      </dgm:t>
    </dgm:pt>
    <dgm:pt modelId="{CEEBDBB9-7602-49B1-BBEB-80C6D1238598}">
      <dgm:prSet phldrT="[Text]" custT="1"/>
      <dgm:spPr>
        <a:xfrm>
          <a:off x="971210" y="327875"/>
          <a:ext cx="1299827" cy="511715"/>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15 </a:t>
          </a: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Solutions opérationnelles pour les offices de propriété intellectuelle</a:t>
          </a:r>
        </a:p>
      </dgm:t>
    </dgm:pt>
    <dgm:pt modelId="{D6278D4F-93AB-42D0-B837-2B99BC1EE808}" type="parTrans" cxnId="{D4C1BC69-C745-405B-9248-C6E8862DD509}">
      <dgm:prSet custT="1"/>
      <dgm:spPr>
        <a:xfrm rot="12167746">
          <a:off x="2042422" y="876090"/>
          <a:ext cx="589133" cy="17004"/>
        </a:xfrm>
        <a:noFill/>
        <a:ln w="9525" cap="flat" cmpd="sng" algn="ctr">
          <a:solidFill>
            <a:srgbClr val="4F81BD">
              <a:shade val="60000"/>
              <a:hueOff val="0"/>
              <a:satOff val="0"/>
              <a:lumOff val="0"/>
              <a:alphaOff val="0"/>
            </a:srgbClr>
          </a:solidFill>
          <a:prstDash val="solid"/>
        </a:ln>
        <a:effectLst/>
      </dgm:spPr>
      <dgm:t>
        <a:bodyPr/>
        <a:lstStyle/>
        <a:p>
          <a:endParaRPr lang="en-US" sz="400">
            <a:solidFill>
              <a:sysClr val="windowText" lastClr="000000">
                <a:hueOff val="0"/>
                <a:satOff val="0"/>
                <a:lumOff val="0"/>
                <a:alphaOff val="0"/>
              </a:sysClr>
            </a:solidFill>
            <a:latin typeface="Calibri"/>
            <a:ea typeface="+mn-ea"/>
            <a:cs typeface="+mn-cs"/>
          </a:endParaRPr>
        </a:p>
      </dgm:t>
    </dgm:pt>
    <dgm:pt modelId="{3F7B98CE-94D6-4D7D-8314-AFA01590058A}" type="sibTrans" cxnId="{D4C1BC69-C745-405B-9248-C6E8862DD509}">
      <dgm:prSet/>
      <dgm:spPr/>
      <dgm:t>
        <a:bodyPr/>
        <a:lstStyle/>
        <a:p>
          <a:endParaRPr lang="en-US"/>
        </a:p>
      </dgm:t>
    </dgm:pt>
    <dgm:pt modelId="{21293A80-0F61-406E-BFCA-C5725BC3581F}">
      <dgm:prSet phldrT="[Text]" custT="1"/>
      <dgm:spPr>
        <a:xfrm>
          <a:off x="4699105" y="911064"/>
          <a:ext cx="1244492" cy="509924"/>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11</a:t>
          </a: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Académie de l’OMPI</a:t>
          </a:r>
        </a:p>
      </dgm:t>
    </dgm:pt>
    <dgm:pt modelId="{93D773F4-8F00-40EC-A451-C5A5ADE485BC}" type="parTrans" cxnId="{BD8D6ADE-EC44-459F-BA83-8828A6DCC5C3}">
      <dgm:prSet custT="1"/>
      <dgm:spPr>
        <a:xfrm rot="21592425">
          <a:off x="3600443" y="1160105"/>
          <a:ext cx="1098672" cy="17004"/>
        </a:xfrm>
        <a:noFill/>
        <a:ln w="9525" cap="flat" cmpd="sng" algn="ctr">
          <a:solidFill>
            <a:srgbClr val="4F81BD">
              <a:shade val="60000"/>
              <a:hueOff val="0"/>
              <a:satOff val="0"/>
              <a:lumOff val="0"/>
              <a:alphaOff val="0"/>
            </a:srgbClr>
          </a:solidFill>
          <a:prstDash val="solid"/>
        </a:ln>
        <a:effectLst/>
      </dgm:spPr>
      <dgm:t>
        <a:bodyPr/>
        <a:lstStyle/>
        <a:p>
          <a:endParaRPr lang="en-US" sz="400">
            <a:solidFill>
              <a:sysClr val="windowText" lastClr="000000">
                <a:hueOff val="0"/>
                <a:satOff val="0"/>
                <a:lumOff val="0"/>
                <a:alphaOff val="0"/>
              </a:sysClr>
            </a:solidFill>
            <a:latin typeface="Calibri"/>
            <a:ea typeface="+mn-ea"/>
            <a:cs typeface="+mn-cs"/>
          </a:endParaRPr>
        </a:p>
      </dgm:t>
    </dgm:pt>
    <dgm:pt modelId="{257D66A3-5C96-41AD-A09B-F6DC2C7DFB10}" type="sibTrans" cxnId="{BD8D6ADE-EC44-459F-BA83-8828A6DCC5C3}">
      <dgm:prSet/>
      <dgm:spPr/>
      <dgm:t>
        <a:bodyPr/>
        <a:lstStyle/>
        <a:p>
          <a:endParaRPr lang="en-US"/>
        </a:p>
      </dgm:t>
    </dgm:pt>
    <dgm:pt modelId="{4FC73BDC-CE2C-45F4-85CD-F387963DA006}" type="pres">
      <dgm:prSet presAssocID="{3E4183EF-B989-4620-A02C-D54686D6628F}" presName="cycle" presStyleCnt="0">
        <dgm:presLayoutVars>
          <dgm:chMax val="1"/>
          <dgm:dir/>
          <dgm:animLvl val="ctr"/>
          <dgm:resizeHandles val="exact"/>
        </dgm:presLayoutVars>
      </dgm:prSet>
      <dgm:spPr/>
      <dgm:t>
        <a:bodyPr/>
        <a:lstStyle/>
        <a:p>
          <a:endParaRPr lang="en-US"/>
        </a:p>
      </dgm:t>
    </dgm:pt>
    <dgm:pt modelId="{3C7CADF7-0742-432E-9EEF-EA9C347A7661}" type="pres">
      <dgm:prSet presAssocID="{60F584FC-F7FF-4FD7-86E3-8773293C0460}" presName="centerShape" presStyleLbl="node0" presStyleIdx="0" presStyleCnt="1" custScaleX="275477" custScaleY="86580" custLinFactNeighborX="-291" custLinFactNeighborY="11301"/>
      <dgm:spPr>
        <a:prstGeom prst="ellipse">
          <a:avLst/>
        </a:prstGeom>
      </dgm:spPr>
      <dgm:t>
        <a:bodyPr/>
        <a:lstStyle/>
        <a:p>
          <a:endParaRPr lang="en-US"/>
        </a:p>
      </dgm:t>
    </dgm:pt>
    <dgm:pt modelId="{650854B0-9FE7-4FFD-96B2-18F6452E0859}" type="pres">
      <dgm:prSet presAssocID="{66F0DCEC-2B26-4038-AF1F-D0A98A0F7930}" presName="Name9" presStyleLbl="parChTrans1D2" presStyleIdx="0" presStyleCnt="5"/>
      <dgm:spPr>
        <a:custGeom>
          <a:avLst/>
          <a:gdLst/>
          <a:ahLst/>
          <a:cxnLst/>
          <a:rect l="0" t="0" r="0" b="0"/>
          <a:pathLst>
            <a:path>
              <a:moveTo>
                <a:pt x="0" y="8502"/>
              </a:moveTo>
              <a:lnTo>
                <a:pt x="401655" y="8502"/>
              </a:lnTo>
            </a:path>
          </a:pathLst>
        </a:custGeom>
      </dgm:spPr>
      <dgm:t>
        <a:bodyPr/>
        <a:lstStyle/>
        <a:p>
          <a:endParaRPr lang="en-US"/>
        </a:p>
      </dgm:t>
    </dgm:pt>
    <dgm:pt modelId="{7FE108B5-F558-4942-A9EC-465F3C2E5813}" type="pres">
      <dgm:prSet presAssocID="{66F0DCEC-2B26-4038-AF1F-D0A98A0F7930}" presName="connTx" presStyleLbl="parChTrans1D2" presStyleIdx="0" presStyleCnt="5"/>
      <dgm:spPr/>
      <dgm:t>
        <a:bodyPr/>
        <a:lstStyle/>
        <a:p>
          <a:endParaRPr lang="en-US"/>
        </a:p>
      </dgm:t>
    </dgm:pt>
    <dgm:pt modelId="{6394B413-6D12-4C4F-9A8D-E0508CAE8617}" type="pres">
      <dgm:prSet presAssocID="{2EF75B39-F486-43BE-8B27-294595126005}" presName="node" presStyleLbl="node1" presStyleIdx="0" presStyleCnt="5" custScaleX="200697" custScaleY="122211" custRadScaleRad="78128" custRadScaleInc="-1545">
        <dgm:presLayoutVars>
          <dgm:bulletEnabled val="1"/>
        </dgm:presLayoutVars>
      </dgm:prSet>
      <dgm:spPr>
        <a:prstGeom prst="ellipse">
          <a:avLst/>
        </a:prstGeom>
      </dgm:spPr>
      <dgm:t>
        <a:bodyPr/>
        <a:lstStyle/>
        <a:p>
          <a:endParaRPr lang="en-US"/>
        </a:p>
      </dgm:t>
    </dgm:pt>
    <dgm:pt modelId="{DEF09AAB-E09E-4486-8914-E37D47E60824}" type="pres">
      <dgm:prSet presAssocID="{F6DE2413-45CD-453B-A258-F22A53BBB241}" presName="Name9" presStyleLbl="parChTrans1D2" presStyleIdx="1" presStyleCnt="5"/>
      <dgm:spPr>
        <a:custGeom>
          <a:avLst/>
          <a:gdLst/>
          <a:ahLst/>
          <a:cxnLst/>
          <a:rect l="0" t="0" r="0" b="0"/>
          <a:pathLst>
            <a:path>
              <a:moveTo>
                <a:pt x="0" y="8502"/>
              </a:moveTo>
              <a:lnTo>
                <a:pt x="611519" y="8502"/>
              </a:lnTo>
            </a:path>
          </a:pathLst>
        </a:custGeom>
      </dgm:spPr>
      <dgm:t>
        <a:bodyPr/>
        <a:lstStyle/>
        <a:p>
          <a:endParaRPr lang="en-US"/>
        </a:p>
      </dgm:t>
    </dgm:pt>
    <dgm:pt modelId="{B0514361-30D3-4311-BC21-0743B7F01673}" type="pres">
      <dgm:prSet presAssocID="{F6DE2413-45CD-453B-A258-F22A53BBB241}" presName="connTx" presStyleLbl="parChTrans1D2" presStyleIdx="1" presStyleCnt="5"/>
      <dgm:spPr/>
      <dgm:t>
        <a:bodyPr/>
        <a:lstStyle/>
        <a:p>
          <a:endParaRPr lang="en-US"/>
        </a:p>
      </dgm:t>
    </dgm:pt>
    <dgm:pt modelId="{2ED32773-10C9-4671-A0BF-4C0DAB40AE25}" type="pres">
      <dgm:prSet presAssocID="{4761FE57-664D-44AD-8EF1-E6096D64297F}" presName="node" presStyleLbl="node1" presStyleIdx="1" presStyleCnt="5" custScaleX="215014" custScaleY="168497" custRadScaleRad="193731" custRadScaleInc="8265">
        <dgm:presLayoutVars>
          <dgm:bulletEnabled val="1"/>
        </dgm:presLayoutVars>
      </dgm:prSet>
      <dgm:spPr>
        <a:prstGeom prst="ellipse">
          <a:avLst/>
        </a:prstGeom>
      </dgm:spPr>
      <dgm:t>
        <a:bodyPr/>
        <a:lstStyle/>
        <a:p>
          <a:endParaRPr lang="en-US"/>
        </a:p>
      </dgm:t>
    </dgm:pt>
    <dgm:pt modelId="{6A5F15CA-77E2-4C48-8498-A7C7D3C4428C}" type="pres">
      <dgm:prSet presAssocID="{93D773F4-8F00-40EC-A451-C5A5ADE485BC}" presName="Name9" presStyleLbl="parChTrans1D2" presStyleIdx="2" presStyleCnt="5"/>
      <dgm:spPr>
        <a:custGeom>
          <a:avLst/>
          <a:gdLst/>
          <a:ahLst/>
          <a:cxnLst/>
          <a:rect l="0" t="0" r="0" b="0"/>
          <a:pathLst>
            <a:path>
              <a:moveTo>
                <a:pt x="0" y="8502"/>
              </a:moveTo>
              <a:lnTo>
                <a:pt x="1178174" y="8502"/>
              </a:lnTo>
            </a:path>
          </a:pathLst>
        </a:custGeom>
      </dgm:spPr>
      <dgm:t>
        <a:bodyPr/>
        <a:lstStyle/>
        <a:p>
          <a:endParaRPr lang="en-US"/>
        </a:p>
      </dgm:t>
    </dgm:pt>
    <dgm:pt modelId="{F87499B4-AA7B-416D-9B28-377D046017EC}" type="pres">
      <dgm:prSet presAssocID="{93D773F4-8F00-40EC-A451-C5A5ADE485BC}" presName="connTx" presStyleLbl="parChTrans1D2" presStyleIdx="2" presStyleCnt="5"/>
      <dgm:spPr/>
      <dgm:t>
        <a:bodyPr/>
        <a:lstStyle/>
        <a:p>
          <a:endParaRPr lang="en-US"/>
        </a:p>
      </dgm:t>
    </dgm:pt>
    <dgm:pt modelId="{638FE4E5-2063-40D0-A44F-91C88716CF8C}" type="pres">
      <dgm:prSet presAssocID="{21293A80-0F61-406E-BFCA-C5725BC3581F}" presName="node" presStyleLbl="node1" presStyleIdx="2" presStyleCnt="5" custScaleX="231892" custScaleY="150255" custRadScaleRad="317559" custRadScaleInc="-128086">
        <dgm:presLayoutVars>
          <dgm:bulletEnabled val="1"/>
        </dgm:presLayoutVars>
      </dgm:prSet>
      <dgm:spPr>
        <a:prstGeom prst="ellipse">
          <a:avLst/>
        </a:prstGeom>
      </dgm:spPr>
      <dgm:t>
        <a:bodyPr/>
        <a:lstStyle/>
        <a:p>
          <a:endParaRPr lang="en-US"/>
        </a:p>
      </dgm:t>
    </dgm:pt>
    <dgm:pt modelId="{EAF47FDD-7D57-4FF6-9F6B-6E604D2CC0DE}" type="pres">
      <dgm:prSet presAssocID="{52A69187-F965-4704-9C1A-29B2281F912F}" presName="Name9" presStyleLbl="parChTrans1D2" presStyleIdx="3" presStyleCnt="5"/>
      <dgm:spPr>
        <a:custGeom>
          <a:avLst/>
          <a:gdLst/>
          <a:ahLst/>
          <a:cxnLst/>
          <a:rect l="0" t="0" r="0" b="0"/>
          <a:pathLst>
            <a:path>
              <a:moveTo>
                <a:pt x="0" y="8502"/>
              </a:moveTo>
              <a:lnTo>
                <a:pt x="1276148" y="8502"/>
              </a:lnTo>
            </a:path>
          </a:pathLst>
        </a:custGeom>
      </dgm:spPr>
      <dgm:t>
        <a:bodyPr/>
        <a:lstStyle/>
        <a:p>
          <a:endParaRPr lang="en-US"/>
        </a:p>
      </dgm:t>
    </dgm:pt>
    <dgm:pt modelId="{E01163DA-75CF-4C32-B81E-41BBCCC937B3}" type="pres">
      <dgm:prSet presAssocID="{52A69187-F965-4704-9C1A-29B2281F912F}" presName="connTx" presStyleLbl="parChTrans1D2" presStyleIdx="3" presStyleCnt="5"/>
      <dgm:spPr/>
      <dgm:t>
        <a:bodyPr/>
        <a:lstStyle/>
        <a:p>
          <a:endParaRPr lang="en-US"/>
        </a:p>
      </dgm:t>
    </dgm:pt>
    <dgm:pt modelId="{F74F2681-A109-4B75-8C08-B2B26769CF03}" type="pres">
      <dgm:prSet presAssocID="{576E161B-59E2-4177-8320-584EBC426979}" presName="node" presStyleLbl="node1" presStyleIdx="3" presStyleCnt="5" custScaleX="239466" custScaleY="155590" custRadScaleRad="323713" custRadScaleInc="124608">
        <dgm:presLayoutVars>
          <dgm:bulletEnabled val="1"/>
        </dgm:presLayoutVars>
      </dgm:prSet>
      <dgm:spPr>
        <a:prstGeom prst="ellipse">
          <a:avLst/>
        </a:prstGeom>
      </dgm:spPr>
      <dgm:t>
        <a:bodyPr/>
        <a:lstStyle/>
        <a:p>
          <a:endParaRPr lang="en-US"/>
        </a:p>
      </dgm:t>
    </dgm:pt>
    <dgm:pt modelId="{AC7E3352-64BC-4978-9AB6-2DD833483239}" type="pres">
      <dgm:prSet presAssocID="{D6278D4F-93AB-42D0-B837-2B99BC1EE808}" presName="Name9" presStyleLbl="parChTrans1D2" presStyleIdx="4" presStyleCnt="5"/>
      <dgm:spPr>
        <a:custGeom>
          <a:avLst/>
          <a:gdLst/>
          <a:ahLst/>
          <a:cxnLst/>
          <a:rect l="0" t="0" r="0" b="0"/>
          <a:pathLst>
            <a:path>
              <a:moveTo>
                <a:pt x="0" y="8502"/>
              </a:moveTo>
              <a:lnTo>
                <a:pt x="766822" y="8502"/>
              </a:lnTo>
            </a:path>
          </a:pathLst>
        </a:custGeom>
      </dgm:spPr>
      <dgm:t>
        <a:bodyPr/>
        <a:lstStyle/>
        <a:p>
          <a:endParaRPr lang="en-US"/>
        </a:p>
      </dgm:t>
    </dgm:pt>
    <dgm:pt modelId="{C620A703-6BE9-4C0F-B737-266F7434DAB4}" type="pres">
      <dgm:prSet presAssocID="{D6278D4F-93AB-42D0-B837-2B99BC1EE808}" presName="connTx" presStyleLbl="parChTrans1D2" presStyleIdx="4" presStyleCnt="5"/>
      <dgm:spPr/>
      <dgm:t>
        <a:bodyPr/>
        <a:lstStyle/>
        <a:p>
          <a:endParaRPr lang="en-US"/>
        </a:p>
      </dgm:t>
    </dgm:pt>
    <dgm:pt modelId="{05C48364-E63B-4056-87CF-0BE50D74190B}" type="pres">
      <dgm:prSet presAssocID="{CEEBDBB9-7602-49B1-BBEB-80C6D1238598}" presName="node" presStyleLbl="node1" presStyleIdx="4" presStyleCnt="5" custScaleX="244215" custScaleY="175384" custRadScaleRad="200324" custRadScaleInc="-3443">
        <dgm:presLayoutVars>
          <dgm:bulletEnabled val="1"/>
        </dgm:presLayoutVars>
      </dgm:prSet>
      <dgm:spPr>
        <a:prstGeom prst="ellipse">
          <a:avLst/>
        </a:prstGeom>
      </dgm:spPr>
      <dgm:t>
        <a:bodyPr/>
        <a:lstStyle/>
        <a:p>
          <a:endParaRPr lang="en-US"/>
        </a:p>
      </dgm:t>
    </dgm:pt>
  </dgm:ptLst>
  <dgm:cxnLst>
    <dgm:cxn modelId="{BD8D6ADE-EC44-459F-BA83-8828A6DCC5C3}" srcId="{60F584FC-F7FF-4FD7-86E3-8773293C0460}" destId="{21293A80-0F61-406E-BFCA-C5725BC3581F}" srcOrd="2" destOrd="0" parTransId="{93D773F4-8F00-40EC-A451-C5A5ADE485BC}" sibTransId="{257D66A3-5C96-41AD-A09B-F6DC2C7DFB10}"/>
    <dgm:cxn modelId="{70FE2CD7-5093-428F-B203-E7E01874911A}" type="presOf" srcId="{52A69187-F965-4704-9C1A-29B2281F912F}" destId="{EAF47FDD-7D57-4FF6-9F6B-6E604D2CC0DE}" srcOrd="0" destOrd="0" presId="urn:microsoft.com/office/officeart/2005/8/layout/radial1"/>
    <dgm:cxn modelId="{0B2DFFAF-784E-488F-9E93-8840674B8E26}" type="presOf" srcId="{D6278D4F-93AB-42D0-B837-2B99BC1EE808}" destId="{AC7E3352-64BC-4978-9AB6-2DD833483239}" srcOrd="0" destOrd="0" presId="urn:microsoft.com/office/officeart/2005/8/layout/radial1"/>
    <dgm:cxn modelId="{8D7739D8-B28F-43D8-BCEF-1A80B9E89CE6}" type="presOf" srcId="{66F0DCEC-2B26-4038-AF1F-D0A98A0F7930}" destId="{7FE108B5-F558-4942-A9EC-465F3C2E5813}" srcOrd="1" destOrd="0" presId="urn:microsoft.com/office/officeart/2005/8/layout/radial1"/>
    <dgm:cxn modelId="{0A3C1DE6-FA8D-41BF-BEE5-275A30746B18}" type="presOf" srcId="{F6DE2413-45CD-453B-A258-F22A53BBB241}" destId="{DEF09AAB-E09E-4486-8914-E37D47E60824}" srcOrd="0" destOrd="0" presId="urn:microsoft.com/office/officeart/2005/8/layout/radial1"/>
    <dgm:cxn modelId="{7055267D-5744-4D47-9DEC-28A631A17193}" type="presOf" srcId="{52A69187-F965-4704-9C1A-29B2281F912F}" destId="{E01163DA-75CF-4C32-B81E-41BBCCC937B3}" srcOrd="1" destOrd="0" presId="urn:microsoft.com/office/officeart/2005/8/layout/radial1"/>
    <dgm:cxn modelId="{A5666C79-BF01-4153-AB0A-BB16CAE1F135}" srcId="{60F584FC-F7FF-4FD7-86E3-8773293C0460}" destId="{4761FE57-664D-44AD-8EF1-E6096D64297F}" srcOrd="1" destOrd="0" parTransId="{F6DE2413-45CD-453B-A258-F22A53BBB241}" sibTransId="{288511AC-ECAB-47A8-A0B0-D7AAFEE02A39}"/>
    <dgm:cxn modelId="{55329783-D269-4402-9AC8-46CC7CFD5AB1}" type="presOf" srcId="{3E4183EF-B989-4620-A02C-D54686D6628F}" destId="{4FC73BDC-CE2C-45F4-85CD-F387963DA006}" srcOrd="0" destOrd="0" presId="urn:microsoft.com/office/officeart/2005/8/layout/radial1"/>
    <dgm:cxn modelId="{BA0B21AC-350F-4DDA-A443-58447D95EEF1}" srcId="{60F584FC-F7FF-4FD7-86E3-8773293C0460}" destId="{576E161B-59E2-4177-8320-584EBC426979}" srcOrd="3" destOrd="0" parTransId="{52A69187-F965-4704-9C1A-29B2281F912F}" sibTransId="{E9F92651-5262-450E-9258-F1F8976476A8}"/>
    <dgm:cxn modelId="{6D42864D-A6FD-403C-9BF4-CBDC45ACDF8E}" type="presOf" srcId="{2EF75B39-F486-43BE-8B27-294595126005}" destId="{6394B413-6D12-4C4F-9A8D-E0508CAE8617}" srcOrd="0" destOrd="0" presId="urn:microsoft.com/office/officeart/2005/8/layout/radial1"/>
    <dgm:cxn modelId="{D0987D88-807B-4994-94E2-80A6C1D9AE52}" srcId="{60F584FC-F7FF-4FD7-86E3-8773293C0460}" destId="{2EF75B39-F486-43BE-8B27-294595126005}" srcOrd="0" destOrd="0" parTransId="{66F0DCEC-2B26-4038-AF1F-D0A98A0F7930}" sibTransId="{A29EC13D-3B1F-4904-8025-5B38BEEF3183}"/>
    <dgm:cxn modelId="{0872B5C3-971C-4397-94C1-FDC0412A9ADC}" srcId="{3E4183EF-B989-4620-A02C-D54686D6628F}" destId="{60F584FC-F7FF-4FD7-86E3-8773293C0460}" srcOrd="0" destOrd="0" parTransId="{474A81AD-BFE3-4D32-9342-2C25E06E5B46}" sibTransId="{28FB44EF-A1AD-4FBB-B0D1-E98EB36FC510}"/>
    <dgm:cxn modelId="{9D625D0C-866C-4046-AEA4-B60B4127CAA3}" type="presOf" srcId="{93D773F4-8F00-40EC-A451-C5A5ADE485BC}" destId="{6A5F15CA-77E2-4C48-8498-A7C7D3C4428C}" srcOrd="0" destOrd="0" presId="urn:microsoft.com/office/officeart/2005/8/layout/radial1"/>
    <dgm:cxn modelId="{66EAE8CE-FE8B-4858-A03E-6B250F4115BB}" type="presOf" srcId="{60F584FC-F7FF-4FD7-86E3-8773293C0460}" destId="{3C7CADF7-0742-432E-9EEF-EA9C347A7661}" srcOrd="0" destOrd="0" presId="urn:microsoft.com/office/officeart/2005/8/layout/radial1"/>
    <dgm:cxn modelId="{6923500B-9FA3-499B-A762-5297315FB8E8}" type="presOf" srcId="{4761FE57-664D-44AD-8EF1-E6096D64297F}" destId="{2ED32773-10C9-4671-A0BF-4C0DAB40AE25}" srcOrd="0" destOrd="0" presId="urn:microsoft.com/office/officeart/2005/8/layout/radial1"/>
    <dgm:cxn modelId="{7375D7DC-67A8-4C9C-8673-10B74813A2B1}" type="presOf" srcId="{F6DE2413-45CD-453B-A258-F22A53BBB241}" destId="{B0514361-30D3-4311-BC21-0743B7F01673}" srcOrd="1" destOrd="0" presId="urn:microsoft.com/office/officeart/2005/8/layout/radial1"/>
    <dgm:cxn modelId="{E58C7B53-7275-496D-8DCA-98AB74BA2AC8}" type="presOf" srcId="{21293A80-0F61-406E-BFCA-C5725BC3581F}" destId="{638FE4E5-2063-40D0-A44F-91C88716CF8C}" srcOrd="0" destOrd="0" presId="urn:microsoft.com/office/officeart/2005/8/layout/radial1"/>
    <dgm:cxn modelId="{57C1D2DC-9205-4C2D-9057-46FA7A5DD015}" type="presOf" srcId="{66F0DCEC-2B26-4038-AF1F-D0A98A0F7930}" destId="{650854B0-9FE7-4FFD-96B2-18F6452E0859}" srcOrd="0" destOrd="0" presId="urn:microsoft.com/office/officeart/2005/8/layout/radial1"/>
    <dgm:cxn modelId="{64236E5C-7443-4D31-A152-881E6257CA51}" type="presOf" srcId="{576E161B-59E2-4177-8320-584EBC426979}" destId="{F74F2681-A109-4B75-8C08-B2B26769CF03}" srcOrd="0" destOrd="0" presId="urn:microsoft.com/office/officeart/2005/8/layout/radial1"/>
    <dgm:cxn modelId="{03D97FAF-9B20-4251-881A-F01B6C4CC1CF}" type="presOf" srcId="{D6278D4F-93AB-42D0-B837-2B99BC1EE808}" destId="{C620A703-6BE9-4C0F-B737-266F7434DAB4}" srcOrd="1" destOrd="0" presId="urn:microsoft.com/office/officeart/2005/8/layout/radial1"/>
    <dgm:cxn modelId="{EB1B02D4-5211-429C-A9D9-5566C010C552}" type="presOf" srcId="{93D773F4-8F00-40EC-A451-C5A5ADE485BC}" destId="{F87499B4-AA7B-416D-9B28-377D046017EC}" srcOrd="1" destOrd="0" presId="urn:microsoft.com/office/officeart/2005/8/layout/radial1"/>
    <dgm:cxn modelId="{D4C1BC69-C745-405B-9248-C6E8862DD509}" srcId="{60F584FC-F7FF-4FD7-86E3-8773293C0460}" destId="{CEEBDBB9-7602-49B1-BBEB-80C6D1238598}" srcOrd="4" destOrd="0" parTransId="{D6278D4F-93AB-42D0-B837-2B99BC1EE808}" sibTransId="{3F7B98CE-94D6-4D7D-8314-AFA01590058A}"/>
    <dgm:cxn modelId="{6251A261-64C8-4953-B1A2-EE0010777A04}" type="presOf" srcId="{CEEBDBB9-7602-49B1-BBEB-80C6D1238598}" destId="{05C48364-E63B-4056-87CF-0BE50D74190B}" srcOrd="0" destOrd="0" presId="urn:microsoft.com/office/officeart/2005/8/layout/radial1"/>
    <dgm:cxn modelId="{77124CDE-7260-47B8-9345-8D9A927E472B}" type="presParOf" srcId="{4FC73BDC-CE2C-45F4-85CD-F387963DA006}" destId="{3C7CADF7-0742-432E-9EEF-EA9C347A7661}" srcOrd="0" destOrd="0" presId="urn:microsoft.com/office/officeart/2005/8/layout/radial1"/>
    <dgm:cxn modelId="{CD5E1174-386C-439C-8603-7CCBDB1D7DBC}" type="presParOf" srcId="{4FC73BDC-CE2C-45F4-85CD-F387963DA006}" destId="{650854B0-9FE7-4FFD-96B2-18F6452E0859}" srcOrd="1" destOrd="0" presId="urn:microsoft.com/office/officeart/2005/8/layout/radial1"/>
    <dgm:cxn modelId="{38FA198E-2644-4093-8783-B3B908E8234C}" type="presParOf" srcId="{650854B0-9FE7-4FFD-96B2-18F6452E0859}" destId="{7FE108B5-F558-4942-A9EC-465F3C2E5813}" srcOrd="0" destOrd="0" presId="urn:microsoft.com/office/officeart/2005/8/layout/radial1"/>
    <dgm:cxn modelId="{AC77D619-04D7-490B-9D6E-0DB40919A8CD}" type="presParOf" srcId="{4FC73BDC-CE2C-45F4-85CD-F387963DA006}" destId="{6394B413-6D12-4C4F-9A8D-E0508CAE8617}" srcOrd="2" destOrd="0" presId="urn:microsoft.com/office/officeart/2005/8/layout/radial1"/>
    <dgm:cxn modelId="{34451B37-68B6-4B9C-93FE-D08F138C5AF3}" type="presParOf" srcId="{4FC73BDC-CE2C-45F4-85CD-F387963DA006}" destId="{DEF09AAB-E09E-4486-8914-E37D47E60824}" srcOrd="3" destOrd="0" presId="urn:microsoft.com/office/officeart/2005/8/layout/radial1"/>
    <dgm:cxn modelId="{1CA9D509-0C65-43E2-9B21-B1217AEE7FC1}" type="presParOf" srcId="{DEF09AAB-E09E-4486-8914-E37D47E60824}" destId="{B0514361-30D3-4311-BC21-0743B7F01673}" srcOrd="0" destOrd="0" presId="urn:microsoft.com/office/officeart/2005/8/layout/radial1"/>
    <dgm:cxn modelId="{9C05CA2B-E6FD-4F6F-A75E-D19B58B51149}" type="presParOf" srcId="{4FC73BDC-CE2C-45F4-85CD-F387963DA006}" destId="{2ED32773-10C9-4671-A0BF-4C0DAB40AE25}" srcOrd="4" destOrd="0" presId="urn:microsoft.com/office/officeart/2005/8/layout/radial1"/>
    <dgm:cxn modelId="{DC4F91C3-F0AE-4B77-A6CD-34EF5B15CD0B}" type="presParOf" srcId="{4FC73BDC-CE2C-45F4-85CD-F387963DA006}" destId="{6A5F15CA-77E2-4C48-8498-A7C7D3C4428C}" srcOrd="5" destOrd="0" presId="urn:microsoft.com/office/officeart/2005/8/layout/radial1"/>
    <dgm:cxn modelId="{8215DE50-6E33-4675-B47B-036B91606575}" type="presParOf" srcId="{6A5F15CA-77E2-4C48-8498-A7C7D3C4428C}" destId="{F87499B4-AA7B-416D-9B28-377D046017EC}" srcOrd="0" destOrd="0" presId="urn:microsoft.com/office/officeart/2005/8/layout/radial1"/>
    <dgm:cxn modelId="{4B709D9C-F27F-48F5-81DC-4B82DD1392AF}" type="presParOf" srcId="{4FC73BDC-CE2C-45F4-85CD-F387963DA006}" destId="{638FE4E5-2063-40D0-A44F-91C88716CF8C}" srcOrd="6" destOrd="0" presId="urn:microsoft.com/office/officeart/2005/8/layout/radial1"/>
    <dgm:cxn modelId="{5383DD66-5221-4657-BAE0-C173221FD0ED}" type="presParOf" srcId="{4FC73BDC-CE2C-45F4-85CD-F387963DA006}" destId="{EAF47FDD-7D57-4FF6-9F6B-6E604D2CC0DE}" srcOrd="7" destOrd="0" presId="urn:microsoft.com/office/officeart/2005/8/layout/radial1"/>
    <dgm:cxn modelId="{DE8CB0C4-0747-4A02-ABFD-EBD2431B7864}" type="presParOf" srcId="{EAF47FDD-7D57-4FF6-9F6B-6E604D2CC0DE}" destId="{E01163DA-75CF-4C32-B81E-41BBCCC937B3}" srcOrd="0" destOrd="0" presId="urn:microsoft.com/office/officeart/2005/8/layout/radial1"/>
    <dgm:cxn modelId="{DD20EB08-F1B8-4AE5-9F06-28A1C2E5A614}" type="presParOf" srcId="{4FC73BDC-CE2C-45F4-85CD-F387963DA006}" destId="{F74F2681-A109-4B75-8C08-B2B26769CF03}" srcOrd="8" destOrd="0" presId="urn:microsoft.com/office/officeart/2005/8/layout/radial1"/>
    <dgm:cxn modelId="{C8ED391F-328E-419B-89AE-EA23C2C10F97}" type="presParOf" srcId="{4FC73BDC-CE2C-45F4-85CD-F387963DA006}" destId="{AC7E3352-64BC-4978-9AB6-2DD833483239}" srcOrd="9" destOrd="0" presId="urn:microsoft.com/office/officeart/2005/8/layout/radial1"/>
    <dgm:cxn modelId="{5554DF1A-5197-402B-A972-2A4E0AB92AB8}" type="presParOf" srcId="{AC7E3352-64BC-4978-9AB6-2DD833483239}" destId="{C620A703-6BE9-4C0F-B737-266F7434DAB4}" srcOrd="0" destOrd="0" presId="urn:microsoft.com/office/officeart/2005/8/layout/radial1"/>
    <dgm:cxn modelId="{85FD3D61-5812-4873-8DA4-7C374672B1CA}" type="presParOf" srcId="{4FC73BDC-CE2C-45F4-85CD-F387963DA006}" destId="{05C48364-E63B-4056-87CF-0BE50D74190B}" srcOrd="10" destOrd="0" presId="urn:microsoft.com/office/officeart/2005/8/layout/radial1"/>
  </dgm:cxnLst>
  <dgm:bg/>
  <dgm:whole/>
  <dgm:extLst>
    <a:ext uri="http://schemas.microsoft.com/office/drawing/2008/diagram">
      <dsp:dataModelExt xmlns:dsp="http://schemas.microsoft.com/office/drawing/2008/diagram" relId="rId128" minVer="http://schemas.openxmlformats.org/drawingml/2006/diagram"/>
    </a:ext>
  </dgm:extLst>
</dgm:dataModel>
</file>

<file path=word/diagrams/data17.xml><?xml version="1.0" encoding="utf-8"?>
<dgm:dataModel xmlns:dgm="http://schemas.openxmlformats.org/drawingml/2006/diagram" xmlns:a="http://schemas.openxmlformats.org/drawingml/2006/main">
  <dgm:ptLst>
    <dgm:pt modelId="{3E4183EF-B989-4620-A02C-D54686D6628F}"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60F584FC-F7FF-4FD7-86E3-8773293C0460}">
      <dgm:prSet phldrT="[Text]" custT="1"/>
      <dgm:spPr>
        <a:xfrm>
          <a:off x="2280006" y="676165"/>
          <a:ext cx="1197503" cy="449222"/>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gm:spPr>
      <dgm:t>
        <a:bodyPr/>
        <a:lstStyle/>
        <a:p>
          <a:r>
            <a:rPr lang="en-US"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15</a:t>
          </a:r>
        </a:p>
      </dgm:t>
    </dgm:pt>
    <dgm:pt modelId="{474A81AD-BFE3-4D32-9342-2C25E06E5B46}" type="parTrans" cxnId="{0872B5C3-971C-4397-94C1-FDC0412A9ADC}">
      <dgm:prSet/>
      <dgm:spPr/>
      <dgm:t>
        <a:bodyPr/>
        <a:lstStyle/>
        <a:p>
          <a:endParaRPr lang="en-US"/>
        </a:p>
      </dgm:t>
    </dgm:pt>
    <dgm:pt modelId="{28FB44EF-A1AD-4FBB-B0D1-E98EB36FC510}" type="sibTrans" cxnId="{0872B5C3-971C-4397-94C1-FDC0412A9ADC}">
      <dgm:prSet/>
      <dgm:spPr/>
      <dgm:t>
        <a:bodyPr/>
        <a:lstStyle/>
        <a:p>
          <a:endParaRPr lang="en-US"/>
        </a:p>
      </dgm:t>
    </dgm:pt>
    <dgm:pt modelId="{94B19768-91E8-4E7A-A857-C8521D65AF24}">
      <dgm:prSet phldrT="[Text]" custT="1"/>
      <dgm:spPr>
        <a:xfrm>
          <a:off x="2377322" y="58667"/>
          <a:ext cx="1007929" cy="504753"/>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3</a:t>
          </a: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Droit d’auteur et droits connexes</a:t>
          </a:r>
        </a:p>
      </dgm:t>
    </dgm:pt>
    <dgm:pt modelId="{1F889DAC-CE52-4F0F-B94D-85598619AB82}" type="parTrans" cxnId="{E719C6E7-4776-4FC2-9ECD-F0D273135B37}">
      <dgm:prSet/>
      <dgm:spPr>
        <a:xfrm rot="16214742">
          <a:off x="2823589" y="612015"/>
          <a:ext cx="112746" cy="15556"/>
        </a:xfrm>
      </dgm:spPr>
      <dgm:t>
        <a:bodyPr/>
        <a:lstStyle/>
        <a:p>
          <a:endParaRPr lang="en-US"/>
        </a:p>
      </dgm:t>
    </dgm:pt>
    <dgm:pt modelId="{174FD7F3-8467-46EB-ACD9-4B0EA7D3C4BA}" type="sibTrans" cxnId="{E719C6E7-4776-4FC2-9ECD-F0D273135B37}">
      <dgm:prSet/>
      <dgm:spPr/>
      <dgm:t>
        <a:bodyPr/>
        <a:lstStyle/>
        <a:p>
          <a:endParaRPr lang="en-US"/>
        </a:p>
      </dgm:t>
    </dgm:pt>
    <dgm:pt modelId="{584F0456-7C88-4E15-A6D5-3DF2BDDC45F2}">
      <dgm:prSet phldrT="[Text]" custT="1"/>
      <dgm:spPr>
        <a:xfrm>
          <a:off x="3499843" y="278257"/>
          <a:ext cx="1111588" cy="442030"/>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5</a:t>
          </a: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Système du PCT</a:t>
          </a:r>
        </a:p>
      </dgm:t>
    </dgm:pt>
    <dgm:pt modelId="{5BE92476-635C-4AE2-AD14-BF50BB0972EC}" type="parTrans" cxnId="{44EB880B-7660-4CF0-97E5-4E577ACA821D}">
      <dgm:prSet/>
      <dgm:spPr>
        <a:xfrm rot="20469744">
          <a:off x="3312890" y="688641"/>
          <a:ext cx="329751" cy="15556"/>
        </a:xfrm>
      </dgm:spPr>
      <dgm:t>
        <a:bodyPr/>
        <a:lstStyle/>
        <a:p>
          <a:endParaRPr lang="en-US"/>
        </a:p>
      </dgm:t>
    </dgm:pt>
    <dgm:pt modelId="{3EF0F88F-A3C1-4CFC-8CDA-621CE91394E1}" type="sibTrans" cxnId="{44EB880B-7660-4CF0-97E5-4E577ACA821D}">
      <dgm:prSet/>
      <dgm:spPr/>
      <dgm:t>
        <a:bodyPr/>
        <a:lstStyle/>
        <a:p>
          <a:endParaRPr lang="en-US"/>
        </a:p>
      </dgm:t>
    </dgm:pt>
    <dgm:pt modelId="{2EF75B39-F486-43BE-8B27-294595126005}">
      <dgm:prSet phldrT="[Text]" custT="1"/>
      <dgm:spPr>
        <a:xfrm>
          <a:off x="3892329" y="936890"/>
          <a:ext cx="1238703" cy="495888"/>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6</a:t>
          </a: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Système de Madrid</a:t>
          </a:r>
        </a:p>
      </dgm:t>
    </dgm:pt>
    <dgm:pt modelId="{66F0DCEC-2B26-4038-AF1F-D0A98A0F7930}" type="parTrans" cxnId="{D0987D88-807B-4994-94E2-80A6C1D9AE52}">
      <dgm:prSet/>
      <dgm:spPr>
        <a:xfrm rot="592092">
          <a:off x="3418031" y="1032866"/>
          <a:ext cx="529526" cy="15556"/>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A29EC13D-3B1F-4904-8025-5B38BEEF3183}" type="sibTrans" cxnId="{D0987D88-807B-4994-94E2-80A6C1D9AE52}">
      <dgm:prSet/>
      <dgm:spPr/>
      <dgm:t>
        <a:bodyPr/>
        <a:lstStyle/>
        <a:p>
          <a:endParaRPr lang="en-US"/>
        </a:p>
      </dgm:t>
    </dgm:pt>
    <dgm:pt modelId="{576E161B-59E2-4177-8320-584EBC426979}">
      <dgm:prSet phldrT="[Text]" custT="1"/>
      <dgm:spPr>
        <a:xfrm>
          <a:off x="695950" y="957721"/>
          <a:ext cx="1154436" cy="532304"/>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10</a:t>
          </a: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Pays en transition et pays développés</a:t>
          </a:r>
        </a:p>
      </dgm:t>
    </dgm:pt>
    <dgm:pt modelId="{52A69187-F965-4704-9C1A-29B2281F912F}" type="parTrans" cxnId="{BA0B21AC-350F-4DDA-A443-58447D95EEF1}">
      <dgm:prSet/>
      <dgm:spPr>
        <a:xfrm rot="10117332">
          <a:off x="1796698" y="1054406"/>
          <a:ext cx="559931" cy="15556"/>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E9F92651-5262-450E-9258-F1F8976476A8}" type="sibTrans" cxnId="{BA0B21AC-350F-4DDA-A443-58447D95EEF1}">
      <dgm:prSet/>
      <dgm:spPr/>
      <dgm:t>
        <a:bodyPr/>
        <a:lstStyle/>
        <a:p>
          <a:endParaRPr lang="en-US"/>
        </a:p>
      </dgm:t>
    </dgm:pt>
    <dgm:pt modelId="{CEEBDBB9-7602-49B1-BBEB-80C6D1238598}">
      <dgm:prSet phldrT="[Text]" custT="1"/>
      <dgm:spPr>
        <a:xfrm>
          <a:off x="1071148" y="211517"/>
          <a:ext cx="1234835" cy="486077"/>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14</a:t>
          </a:r>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Service d’accès à l’information et aux savoirs</a:t>
          </a:r>
        </a:p>
      </dgm:t>
    </dgm:pt>
    <dgm:pt modelId="{D6278D4F-93AB-42D0-B837-2B99BC1EE808}" type="parTrans" cxnId="{D4C1BC69-C745-405B-9248-C6E8862DD509}">
      <dgm:prSet/>
      <dgm:spPr>
        <a:xfrm rot="12033108">
          <a:off x="2124787" y="674308"/>
          <a:ext cx="341328" cy="15556"/>
        </a:xfrm>
      </dgm:spPr>
      <dgm:t>
        <a:bodyPr/>
        <a:lstStyle/>
        <a:p>
          <a:endParaRPr lang="en-US"/>
        </a:p>
      </dgm:t>
    </dgm:pt>
    <dgm:pt modelId="{3F7B98CE-94D6-4D7D-8314-AFA01590058A}" type="sibTrans" cxnId="{D4C1BC69-C745-405B-9248-C6E8862DD509}">
      <dgm:prSet/>
      <dgm:spPr/>
      <dgm:t>
        <a:bodyPr/>
        <a:lstStyle/>
        <a:p>
          <a:endParaRPr lang="en-US"/>
        </a:p>
      </dgm:t>
    </dgm:pt>
    <dgm:pt modelId="{21293A80-0F61-406E-BFCA-C5725BC3581F}">
      <dgm:prSet phldrT="[Text]" custT="1"/>
      <dgm:spPr>
        <a:xfrm>
          <a:off x="2213689" y="1254483"/>
          <a:ext cx="1356105" cy="491498"/>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9</a:t>
          </a: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Bureaux régionaux</a:t>
          </a:r>
        </a:p>
      </dgm:t>
    </dgm:pt>
    <dgm:pt modelId="{93D773F4-8F00-40EC-A451-C5A5ADE485BC}" type="parTrans" cxnId="{BD8D6ADE-EC44-459F-BA83-8828A6DCC5C3}">
      <dgm:prSet/>
      <dgm:spPr>
        <a:xfrm rot="5325552">
          <a:off x="2820451" y="1182158"/>
          <a:ext cx="129140" cy="15556"/>
        </a:xfrm>
      </dgm:spPr>
      <dgm:t>
        <a:bodyPr/>
        <a:lstStyle/>
        <a:p>
          <a:endParaRPr lang="en-US"/>
        </a:p>
      </dgm:t>
    </dgm:pt>
    <dgm:pt modelId="{257D66A3-5C96-41AD-A09B-F6DC2C7DFB10}" type="sibTrans" cxnId="{BD8D6ADE-EC44-459F-BA83-8828A6DCC5C3}">
      <dgm:prSet/>
      <dgm:spPr/>
      <dgm:t>
        <a:bodyPr/>
        <a:lstStyle/>
        <a:p>
          <a:endParaRPr lang="en-US"/>
        </a:p>
      </dgm:t>
    </dgm:pt>
    <dgm:pt modelId="{4FC73BDC-CE2C-45F4-85CD-F387963DA006}" type="pres">
      <dgm:prSet presAssocID="{3E4183EF-B989-4620-A02C-D54686D6628F}" presName="cycle" presStyleCnt="0">
        <dgm:presLayoutVars>
          <dgm:chMax val="1"/>
          <dgm:dir/>
          <dgm:animLvl val="ctr"/>
          <dgm:resizeHandles val="exact"/>
        </dgm:presLayoutVars>
      </dgm:prSet>
      <dgm:spPr/>
      <dgm:t>
        <a:bodyPr/>
        <a:lstStyle/>
        <a:p>
          <a:endParaRPr lang="en-US"/>
        </a:p>
      </dgm:t>
    </dgm:pt>
    <dgm:pt modelId="{3C7CADF7-0742-432E-9EEF-EA9C347A7661}" type="pres">
      <dgm:prSet presAssocID="{60F584FC-F7FF-4FD7-86E3-8773293C0460}" presName="centerShape" presStyleLbl="node0" presStyleIdx="0" presStyleCnt="1" custScaleX="271582" custScaleY="74132"/>
      <dgm:spPr>
        <a:prstGeom prst="ellipse">
          <a:avLst/>
        </a:prstGeom>
      </dgm:spPr>
      <dgm:t>
        <a:bodyPr/>
        <a:lstStyle/>
        <a:p>
          <a:endParaRPr lang="en-US"/>
        </a:p>
      </dgm:t>
    </dgm:pt>
    <dgm:pt modelId="{72463A3F-A956-4917-8722-9FD79FB3E09A}" type="pres">
      <dgm:prSet presAssocID="{1F889DAC-CE52-4F0F-B94D-85598619AB82}" presName="Name9" presStyleLbl="parChTrans1D2" presStyleIdx="0" presStyleCnt="6"/>
      <dgm:spPr/>
      <dgm:t>
        <a:bodyPr/>
        <a:lstStyle/>
        <a:p>
          <a:endParaRPr lang="en-US"/>
        </a:p>
      </dgm:t>
    </dgm:pt>
    <dgm:pt modelId="{E5E0F749-58A7-4B5D-B40F-552D5369ABEE}" type="pres">
      <dgm:prSet presAssocID="{1F889DAC-CE52-4F0F-B94D-85598619AB82}" presName="connTx" presStyleLbl="parChTrans1D2" presStyleIdx="0" presStyleCnt="6"/>
      <dgm:spPr/>
      <dgm:t>
        <a:bodyPr/>
        <a:lstStyle/>
        <a:p>
          <a:endParaRPr lang="en-US"/>
        </a:p>
      </dgm:t>
    </dgm:pt>
    <dgm:pt modelId="{A030EF9D-9337-4706-B87A-64BDE162520A}" type="pres">
      <dgm:prSet presAssocID="{94B19768-91E8-4E7A-A857-C8521D65AF24}" presName="node" presStyleLbl="node1" presStyleIdx="0" presStyleCnt="6" custScaleX="219306" custScaleY="85270" custRadScaleRad="96798" custRadScaleInc="-17736">
        <dgm:presLayoutVars>
          <dgm:bulletEnabled val="1"/>
        </dgm:presLayoutVars>
      </dgm:prSet>
      <dgm:spPr>
        <a:prstGeom prst="ellipse">
          <a:avLst/>
        </a:prstGeom>
      </dgm:spPr>
      <dgm:t>
        <a:bodyPr/>
        <a:lstStyle/>
        <a:p>
          <a:endParaRPr lang="en-US"/>
        </a:p>
      </dgm:t>
    </dgm:pt>
    <dgm:pt modelId="{00112A8F-12E8-45AC-B551-DFB66BE45059}" type="pres">
      <dgm:prSet presAssocID="{5BE92476-635C-4AE2-AD14-BF50BB0972EC}" presName="Name9" presStyleLbl="parChTrans1D2" presStyleIdx="1" presStyleCnt="6"/>
      <dgm:spPr/>
      <dgm:t>
        <a:bodyPr/>
        <a:lstStyle/>
        <a:p>
          <a:endParaRPr lang="en-US"/>
        </a:p>
      </dgm:t>
    </dgm:pt>
    <dgm:pt modelId="{48B32C5A-7076-4480-B5CB-D9EFDA8D8FDB}" type="pres">
      <dgm:prSet presAssocID="{5BE92476-635C-4AE2-AD14-BF50BB0972EC}" presName="connTx" presStyleLbl="parChTrans1D2" presStyleIdx="1" presStyleCnt="6"/>
      <dgm:spPr/>
      <dgm:t>
        <a:bodyPr/>
        <a:lstStyle/>
        <a:p>
          <a:endParaRPr lang="en-US"/>
        </a:p>
      </dgm:t>
    </dgm:pt>
    <dgm:pt modelId="{423B6D89-2000-40C7-8429-BD38C7402395}" type="pres">
      <dgm:prSet presAssocID="{584F0456-7C88-4E15-A6D5-3DF2BDDC45F2}" presName="node" presStyleLbl="node1" presStyleIdx="1" presStyleCnt="6" custScaleX="223316" custScaleY="123123" custRadScaleRad="192115" custRadScaleInc="37208">
        <dgm:presLayoutVars>
          <dgm:bulletEnabled val="1"/>
        </dgm:presLayoutVars>
      </dgm:prSet>
      <dgm:spPr>
        <a:prstGeom prst="ellipse">
          <a:avLst/>
        </a:prstGeom>
      </dgm:spPr>
      <dgm:t>
        <a:bodyPr/>
        <a:lstStyle/>
        <a:p>
          <a:endParaRPr lang="en-US"/>
        </a:p>
      </dgm:t>
    </dgm:pt>
    <dgm:pt modelId="{650854B0-9FE7-4FFD-96B2-18F6452E0859}" type="pres">
      <dgm:prSet presAssocID="{66F0DCEC-2B26-4038-AF1F-D0A98A0F7930}" presName="Name9" presStyleLbl="parChTrans1D2" presStyleIdx="2" presStyleCnt="6"/>
      <dgm:spPr>
        <a:custGeom>
          <a:avLst/>
          <a:gdLst/>
          <a:ahLst/>
          <a:cxnLst/>
          <a:rect l="0" t="0" r="0" b="0"/>
          <a:pathLst>
            <a:path>
              <a:moveTo>
                <a:pt x="0" y="7778"/>
              </a:moveTo>
              <a:lnTo>
                <a:pt x="1060081" y="7778"/>
              </a:lnTo>
            </a:path>
          </a:pathLst>
        </a:custGeom>
      </dgm:spPr>
      <dgm:t>
        <a:bodyPr/>
        <a:lstStyle/>
        <a:p>
          <a:endParaRPr lang="en-US"/>
        </a:p>
      </dgm:t>
    </dgm:pt>
    <dgm:pt modelId="{7FE108B5-F558-4942-A9EC-465F3C2E5813}" type="pres">
      <dgm:prSet presAssocID="{66F0DCEC-2B26-4038-AF1F-D0A98A0F7930}" presName="connTx" presStyleLbl="parChTrans1D2" presStyleIdx="2" presStyleCnt="6"/>
      <dgm:spPr/>
      <dgm:t>
        <a:bodyPr/>
        <a:lstStyle/>
        <a:p>
          <a:endParaRPr lang="en-US"/>
        </a:p>
      </dgm:t>
    </dgm:pt>
    <dgm:pt modelId="{6394B413-6D12-4C4F-9A8D-E0508CAE8617}" type="pres">
      <dgm:prSet presAssocID="{2EF75B39-F486-43BE-8B27-294595126005}" presName="node" presStyleLbl="node1" presStyleIdx="2" presStyleCnt="6" custScaleX="253866" custScaleY="101616" custRadScaleRad="256071" custRadScaleInc="-67106">
        <dgm:presLayoutVars>
          <dgm:bulletEnabled val="1"/>
        </dgm:presLayoutVars>
      </dgm:prSet>
      <dgm:spPr>
        <a:prstGeom prst="ellipse">
          <a:avLst/>
        </a:prstGeom>
      </dgm:spPr>
      <dgm:t>
        <a:bodyPr/>
        <a:lstStyle/>
        <a:p>
          <a:endParaRPr lang="en-US"/>
        </a:p>
      </dgm:t>
    </dgm:pt>
    <dgm:pt modelId="{6A5F15CA-77E2-4C48-8498-A7C7D3C4428C}" type="pres">
      <dgm:prSet presAssocID="{93D773F4-8F00-40EC-A451-C5A5ADE485BC}" presName="Name9" presStyleLbl="parChTrans1D2" presStyleIdx="3" presStyleCnt="6"/>
      <dgm:spPr/>
      <dgm:t>
        <a:bodyPr/>
        <a:lstStyle/>
        <a:p>
          <a:endParaRPr lang="en-US"/>
        </a:p>
      </dgm:t>
    </dgm:pt>
    <dgm:pt modelId="{F87499B4-AA7B-416D-9B28-377D046017EC}" type="pres">
      <dgm:prSet presAssocID="{93D773F4-8F00-40EC-A451-C5A5ADE485BC}" presName="connTx" presStyleLbl="parChTrans1D2" presStyleIdx="3" presStyleCnt="6"/>
      <dgm:spPr/>
      <dgm:t>
        <a:bodyPr/>
        <a:lstStyle/>
        <a:p>
          <a:endParaRPr lang="en-US"/>
        </a:p>
      </dgm:t>
    </dgm:pt>
    <dgm:pt modelId="{638FE4E5-2063-40D0-A44F-91C88716CF8C}" type="pres">
      <dgm:prSet presAssocID="{21293A80-0F61-406E-BFCA-C5725BC3581F}" presName="node" presStyleLbl="node1" presStyleIdx="3" presStyleCnt="6" custScaleX="222414" custScaleY="90261" custRadScaleRad="90504" custRadScaleInc="1233">
        <dgm:presLayoutVars>
          <dgm:bulletEnabled val="1"/>
        </dgm:presLayoutVars>
      </dgm:prSet>
      <dgm:spPr>
        <a:prstGeom prst="ellipse">
          <a:avLst/>
        </a:prstGeom>
      </dgm:spPr>
      <dgm:t>
        <a:bodyPr/>
        <a:lstStyle/>
        <a:p>
          <a:endParaRPr lang="en-US"/>
        </a:p>
      </dgm:t>
    </dgm:pt>
    <dgm:pt modelId="{EAF47FDD-7D57-4FF6-9F6B-6E604D2CC0DE}" type="pres">
      <dgm:prSet presAssocID="{52A69187-F965-4704-9C1A-29B2281F912F}" presName="Name9" presStyleLbl="parChTrans1D2" presStyleIdx="4" presStyleCnt="6"/>
      <dgm:spPr>
        <a:custGeom>
          <a:avLst/>
          <a:gdLst/>
          <a:ahLst/>
          <a:cxnLst/>
          <a:rect l="0" t="0" r="0" b="0"/>
          <a:pathLst>
            <a:path>
              <a:moveTo>
                <a:pt x="0" y="7778"/>
              </a:moveTo>
              <a:lnTo>
                <a:pt x="942251" y="7778"/>
              </a:lnTo>
            </a:path>
          </a:pathLst>
        </a:custGeom>
      </dgm:spPr>
      <dgm:t>
        <a:bodyPr/>
        <a:lstStyle/>
        <a:p>
          <a:endParaRPr lang="en-US"/>
        </a:p>
      </dgm:t>
    </dgm:pt>
    <dgm:pt modelId="{E01163DA-75CF-4C32-B81E-41BBCCC937B3}" type="pres">
      <dgm:prSet presAssocID="{52A69187-F965-4704-9C1A-29B2281F912F}" presName="connTx" presStyleLbl="parChTrans1D2" presStyleIdx="4" presStyleCnt="6"/>
      <dgm:spPr/>
      <dgm:t>
        <a:bodyPr/>
        <a:lstStyle/>
        <a:p>
          <a:endParaRPr lang="en-US"/>
        </a:p>
      </dgm:t>
    </dgm:pt>
    <dgm:pt modelId="{F74F2681-A109-4B75-8C08-B2B26769CF03}" type="pres">
      <dgm:prSet presAssocID="{576E161B-59E2-4177-8320-584EBC426979}" presName="node" presStyleLbl="node1" presStyleIdx="4" presStyleCnt="6" custScaleX="254587" custScaleY="131967" custRadScaleRad="253032" custRadScaleInc="62074">
        <dgm:presLayoutVars>
          <dgm:bulletEnabled val="1"/>
        </dgm:presLayoutVars>
      </dgm:prSet>
      <dgm:spPr>
        <a:prstGeom prst="ellipse">
          <a:avLst/>
        </a:prstGeom>
      </dgm:spPr>
      <dgm:t>
        <a:bodyPr/>
        <a:lstStyle/>
        <a:p>
          <a:endParaRPr lang="en-US"/>
        </a:p>
      </dgm:t>
    </dgm:pt>
    <dgm:pt modelId="{AC7E3352-64BC-4978-9AB6-2DD833483239}" type="pres">
      <dgm:prSet presAssocID="{D6278D4F-93AB-42D0-B837-2B99BC1EE808}" presName="Name9" presStyleLbl="parChTrans1D2" presStyleIdx="5" presStyleCnt="6"/>
      <dgm:spPr/>
      <dgm:t>
        <a:bodyPr/>
        <a:lstStyle/>
        <a:p>
          <a:endParaRPr lang="en-US"/>
        </a:p>
      </dgm:t>
    </dgm:pt>
    <dgm:pt modelId="{C620A703-6BE9-4C0F-B737-266F7434DAB4}" type="pres">
      <dgm:prSet presAssocID="{D6278D4F-93AB-42D0-B837-2B99BC1EE808}" presName="connTx" presStyleLbl="parChTrans1D2" presStyleIdx="5" presStyleCnt="6"/>
      <dgm:spPr/>
      <dgm:t>
        <a:bodyPr/>
        <a:lstStyle/>
        <a:p>
          <a:endParaRPr lang="en-US"/>
        </a:p>
      </dgm:t>
    </dgm:pt>
    <dgm:pt modelId="{05C48364-E63B-4056-87CF-0BE50D74190B}" type="pres">
      <dgm:prSet presAssocID="{CEEBDBB9-7602-49B1-BBEB-80C6D1238598}" presName="node" presStyleLbl="node1" presStyleIdx="5" presStyleCnt="6" custScaleX="254346" custScaleY="114815" custRadScaleRad="216346" custRadScaleInc="-37188">
        <dgm:presLayoutVars>
          <dgm:bulletEnabled val="1"/>
        </dgm:presLayoutVars>
      </dgm:prSet>
      <dgm:spPr>
        <a:prstGeom prst="ellipse">
          <a:avLst/>
        </a:prstGeom>
      </dgm:spPr>
      <dgm:t>
        <a:bodyPr/>
        <a:lstStyle/>
        <a:p>
          <a:endParaRPr lang="en-US"/>
        </a:p>
      </dgm:t>
    </dgm:pt>
  </dgm:ptLst>
  <dgm:cxnLst>
    <dgm:cxn modelId="{B9B9285B-F6F5-4A33-AC2B-C2413A8C4041}" type="presOf" srcId="{1F889DAC-CE52-4F0F-B94D-85598619AB82}" destId="{72463A3F-A956-4917-8722-9FD79FB3E09A}" srcOrd="0" destOrd="0" presId="urn:microsoft.com/office/officeart/2005/8/layout/radial1"/>
    <dgm:cxn modelId="{08BFEFD5-FBBD-4520-A3A5-8C136DFA0B9A}" type="presOf" srcId="{60F584FC-F7FF-4FD7-86E3-8773293C0460}" destId="{3C7CADF7-0742-432E-9EEF-EA9C347A7661}" srcOrd="0" destOrd="0" presId="urn:microsoft.com/office/officeart/2005/8/layout/radial1"/>
    <dgm:cxn modelId="{44EB880B-7660-4CF0-97E5-4E577ACA821D}" srcId="{60F584FC-F7FF-4FD7-86E3-8773293C0460}" destId="{584F0456-7C88-4E15-A6D5-3DF2BDDC45F2}" srcOrd="1" destOrd="0" parTransId="{5BE92476-635C-4AE2-AD14-BF50BB0972EC}" sibTransId="{3EF0F88F-A3C1-4CFC-8CDA-621CE91394E1}"/>
    <dgm:cxn modelId="{B5B44BF0-0F70-47A8-8824-7D541791C7A1}" type="presOf" srcId="{D6278D4F-93AB-42D0-B837-2B99BC1EE808}" destId="{C620A703-6BE9-4C0F-B737-266F7434DAB4}" srcOrd="1" destOrd="0" presId="urn:microsoft.com/office/officeart/2005/8/layout/radial1"/>
    <dgm:cxn modelId="{BD8D6ADE-EC44-459F-BA83-8828A6DCC5C3}" srcId="{60F584FC-F7FF-4FD7-86E3-8773293C0460}" destId="{21293A80-0F61-406E-BFCA-C5725BC3581F}" srcOrd="3" destOrd="0" parTransId="{93D773F4-8F00-40EC-A451-C5A5ADE485BC}" sibTransId="{257D66A3-5C96-41AD-A09B-F6DC2C7DFB10}"/>
    <dgm:cxn modelId="{D4C1BC69-C745-405B-9248-C6E8862DD509}" srcId="{60F584FC-F7FF-4FD7-86E3-8773293C0460}" destId="{CEEBDBB9-7602-49B1-BBEB-80C6D1238598}" srcOrd="5" destOrd="0" parTransId="{D6278D4F-93AB-42D0-B837-2B99BC1EE808}" sibTransId="{3F7B98CE-94D6-4D7D-8314-AFA01590058A}"/>
    <dgm:cxn modelId="{0872B5C3-971C-4397-94C1-FDC0412A9ADC}" srcId="{3E4183EF-B989-4620-A02C-D54686D6628F}" destId="{60F584FC-F7FF-4FD7-86E3-8773293C0460}" srcOrd="0" destOrd="0" parTransId="{474A81AD-BFE3-4D32-9342-2C25E06E5B46}" sibTransId="{28FB44EF-A1AD-4FBB-B0D1-E98EB36FC510}"/>
    <dgm:cxn modelId="{58D9B14A-C79F-456E-8828-46FDE49D7A85}" type="presOf" srcId="{584F0456-7C88-4E15-A6D5-3DF2BDDC45F2}" destId="{423B6D89-2000-40C7-8429-BD38C7402395}" srcOrd="0" destOrd="0" presId="urn:microsoft.com/office/officeart/2005/8/layout/radial1"/>
    <dgm:cxn modelId="{58F906FD-AD5A-4894-8681-03BD78E03CA7}" type="presOf" srcId="{3E4183EF-B989-4620-A02C-D54686D6628F}" destId="{4FC73BDC-CE2C-45F4-85CD-F387963DA006}" srcOrd="0" destOrd="0" presId="urn:microsoft.com/office/officeart/2005/8/layout/radial1"/>
    <dgm:cxn modelId="{44D854A8-D49E-4A7F-B2AE-F266A792BD12}" type="presOf" srcId="{D6278D4F-93AB-42D0-B837-2B99BC1EE808}" destId="{AC7E3352-64BC-4978-9AB6-2DD833483239}" srcOrd="0" destOrd="0" presId="urn:microsoft.com/office/officeart/2005/8/layout/radial1"/>
    <dgm:cxn modelId="{E719C6E7-4776-4FC2-9ECD-F0D273135B37}" srcId="{60F584FC-F7FF-4FD7-86E3-8773293C0460}" destId="{94B19768-91E8-4E7A-A857-C8521D65AF24}" srcOrd="0" destOrd="0" parTransId="{1F889DAC-CE52-4F0F-B94D-85598619AB82}" sibTransId="{174FD7F3-8467-46EB-ACD9-4B0EA7D3C4BA}"/>
    <dgm:cxn modelId="{92454CA4-06A3-4403-9D8D-7856D4537909}" type="presOf" srcId="{CEEBDBB9-7602-49B1-BBEB-80C6D1238598}" destId="{05C48364-E63B-4056-87CF-0BE50D74190B}" srcOrd="0" destOrd="0" presId="urn:microsoft.com/office/officeart/2005/8/layout/radial1"/>
    <dgm:cxn modelId="{B6DC1BB4-D72D-46E4-BEFC-CEF1084A85C3}" type="presOf" srcId="{5BE92476-635C-4AE2-AD14-BF50BB0972EC}" destId="{00112A8F-12E8-45AC-B551-DFB66BE45059}" srcOrd="0" destOrd="0" presId="urn:microsoft.com/office/officeart/2005/8/layout/radial1"/>
    <dgm:cxn modelId="{F2CEAB94-E003-4917-B73B-BDB69F752756}" type="presOf" srcId="{93D773F4-8F00-40EC-A451-C5A5ADE485BC}" destId="{6A5F15CA-77E2-4C48-8498-A7C7D3C4428C}" srcOrd="0" destOrd="0" presId="urn:microsoft.com/office/officeart/2005/8/layout/radial1"/>
    <dgm:cxn modelId="{C9A6ABEF-9F50-4C06-810F-FB96DABAB98A}" type="presOf" srcId="{21293A80-0F61-406E-BFCA-C5725BC3581F}" destId="{638FE4E5-2063-40D0-A44F-91C88716CF8C}" srcOrd="0" destOrd="0" presId="urn:microsoft.com/office/officeart/2005/8/layout/radial1"/>
    <dgm:cxn modelId="{9C1293D0-5C24-494C-973C-44CF154EF46F}" type="presOf" srcId="{52A69187-F965-4704-9C1A-29B2281F912F}" destId="{E01163DA-75CF-4C32-B81E-41BBCCC937B3}" srcOrd="1" destOrd="0" presId="urn:microsoft.com/office/officeart/2005/8/layout/radial1"/>
    <dgm:cxn modelId="{05643474-4273-4345-876D-046F0915354E}" type="presOf" srcId="{66F0DCEC-2B26-4038-AF1F-D0A98A0F7930}" destId="{7FE108B5-F558-4942-A9EC-465F3C2E5813}" srcOrd="1" destOrd="0" presId="urn:microsoft.com/office/officeart/2005/8/layout/radial1"/>
    <dgm:cxn modelId="{70BE0685-CFC3-4116-9B27-20CD5CADA171}" type="presOf" srcId="{5BE92476-635C-4AE2-AD14-BF50BB0972EC}" destId="{48B32C5A-7076-4480-B5CB-D9EFDA8D8FDB}" srcOrd="1" destOrd="0" presId="urn:microsoft.com/office/officeart/2005/8/layout/radial1"/>
    <dgm:cxn modelId="{A05836CF-D3E8-45A4-A49F-E88B86A1019B}" type="presOf" srcId="{93D773F4-8F00-40EC-A451-C5A5ADE485BC}" destId="{F87499B4-AA7B-416D-9B28-377D046017EC}" srcOrd="1" destOrd="0" presId="urn:microsoft.com/office/officeart/2005/8/layout/radial1"/>
    <dgm:cxn modelId="{8E7C5D2A-5991-47EB-8452-09C6173251AE}" type="presOf" srcId="{94B19768-91E8-4E7A-A857-C8521D65AF24}" destId="{A030EF9D-9337-4706-B87A-64BDE162520A}" srcOrd="0" destOrd="0" presId="urn:microsoft.com/office/officeart/2005/8/layout/radial1"/>
    <dgm:cxn modelId="{D0987D88-807B-4994-94E2-80A6C1D9AE52}" srcId="{60F584FC-F7FF-4FD7-86E3-8773293C0460}" destId="{2EF75B39-F486-43BE-8B27-294595126005}" srcOrd="2" destOrd="0" parTransId="{66F0DCEC-2B26-4038-AF1F-D0A98A0F7930}" sibTransId="{A29EC13D-3B1F-4904-8025-5B38BEEF3183}"/>
    <dgm:cxn modelId="{EF78E9FF-C328-4160-914F-20539530EAD4}" type="presOf" srcId="{52A69187-F965-4704-9C1A-29B2281F912F}" destId="{EAF47FDD-7D57-4FF6-9F6B-6E604D2CC0DE}" srcOrd="0" destOrd="0" presId="urn:microsoft.com/office/officeart/2005/8/layout/radial1"/>
    <dgm:cxn modelId="{BA0B21AC-350F-4DDA-A443-58447D95EEF1}" srcId="{60F584FC-F7FF-4FD7-86E3-8773293C0460}" destId="{576E161B-59E2-4177-8320-584EBC426979}" srcOrd="4" destOrd="0" parTransId="{52A69187-F965-4704-9C1A-29B2281F912F}" sibTransId="{E9F92651-5262-450E-9258-F1F8976476A8}"/>
    <dgm:cxn modelId="{6A182EED-DD87-4587-9954-10C512869B54}" type="presOf" srcId="{1F889DAC-CE52-4F0F-B94D-85598619AB82}" destId="{E5E0F749-58A7-4B5D-B40F-552D5369ABEE}" srcOrd="1" destOrd="0" presId="urn:microsoft.com/office/officeart/2005/8/layout/radial1"/>
    <dgm:cxn modelId="{36D67B77-478F-4694-A393-7D1E6064F416}" type="presOf" srcId="{576E161B-59E2-4177-8320-584EBC426979}" destId="{F74F2681-A109-4B75-8C08-B2B26769CF03}" srcOrd="0" destOrd="0" presId="urn:microsoft.com/office/officeart/2005/8/layout/radial1"/>
    <dgm:cxn modelId="{936923B2-0661-44C4-8235-9B2FCA3874B7}" type="presOf" srcId="{66F0DCEC-2B26-4038-AF1F-D0A98A0F7930}" destId="{650854B0-9FE7-4FFD-96B2-18F6452E0859}" srcOrd="0" destOrd="0" presId="urn:microsoft.com/office/officeart/2005/8/layout/radial1"/>
    <dgm:cxn modelId="{92BDECEE-8037-4333-9ED3-CB82973F98CE}" type="presOf" srcId="{2EF75B39-F486-43BE-8B27-294595126005}" destId="{6394B413-6D12-4C4F-9A8D-E0508CAE8617}" srcOrd="0" destOrd="0" presId="urn:microsoft.com/office/officeart/2005/8/layout/radial1"/>
    <dgm:cxn modelId="{A60F9A16-3402-485B-BF6E-7921F04630D4}" type="presParOf" srcId="{4FC73BDC-CE2C-45F4-85CD-F387963DA006}" destId="{3C7CADF7-0742-432E-9EEF-EA9C347A7661}" srcOrd="0" destOrd="0" presId="urn:microsoft.com/office/officeart/2005/8/layout/radial1"/>
    <dgm:cxn modelId="{A3DB116E-106B-40CA-AC3C-9B530E1CF6A1}" type="presParOf" srcId="{4FC73BDC-CE2C-45F4-85CD-F387963DA006}" destId="{72463A3F-A956-4917-8722-9FD79FB3E09A}" srcOrd="1" destOrd="0" presId="urn:microsoft.com/office/officeart/2005/8/layout/radial1"/>
    <dgm:cxn modelId="{ACFB1D8F-9D14-4162-B04A-CAD8717E230F}" type="presParOf" srcId="{72463A3F-A956-4917-8722-9FD79FB3E09A}" destId="{E5E0F749-58A7-4B5D-B40F-552D5369ABEE}" srcOrd="0" destOrd="0" presId="urn:microsoft.com/office/officeart/2005/8/layout/radial1"/>
    <dgm:cxn modelId="{F009C722-AC86-4E4C-924F-B260FABA75C0}" type="presParOf" srcId="{4FC73BDC-CE2C-45F4-85CD-F387963DA006}" destId="{A030EF9D-9337-4706-B87A-64BDE162520A}" srcOrd="2" destOrd="0" presId="urn:microsoft.com/office/officeart/2005/8/layout/radial1"/>
    <dgm:cxn modelId="{222B3794-9A27-470A-A328-44DFBEAE6479}" type="presParOf" srcId="{4FC73BDC-CE2C-45F4-85CD-F387963DA006}" destId="{00112A8F-12E8-45AC-B551-DFB66BE45059}" srcOrd="3" destOrd="0" presId="urn:microsoft.com/office/officeart/2005/8/layout/radial1"/>
    <dgm:cxn modelId="{14465F32-69D0-4C8C-ABC3-F91673F83257}" type="presParOf" srcId="{00112A8F-12E8-45AC-B551-DFB66BE45059}" destId="{48B32C5A-7076-4480-B5CB-D9EFDA8D8FDB}" srcOrd="0" destOrd="0" presId="urn:microsoft.com/office/officeart/2005/8/layout/radial1"/>
    <dgm:cxn modelId="{368B58A7-59AF-4BAE-AE0D-550DB413924B}" type="presParOf" srcId="{4FC73BDC-CE2C-45F4-85CD-F387963DA006}" destId="{423B6D89-2000-40C7-8429-BD38C7402395}" srcOrd="4" destOrd="0" presId="urn:microsoft.com/office/officeart/2005/8/layout/radial1"/>
    <dgm:cxn modelId="{79D6AF3C-CFEE-4A2C-A47A-5CBE0E044E25}" type="presParOf" srcId="{4FC73BDC-CE2C-45F4-85CD-F387963DA006}" destId="{650854B0-9FE7-4FFD-96B2-18F6452E0859}" srcOrd="5" destOrd="0" presId="urn:microsoft.com/office/officeart/2005/8/layout/radial1"/>
    <dgm:cxn modelId="{B639370A-D670-449D-A48C-B7DB0CE7DC88}" type="presParOf" srcId="{650854B0-9FE7-4FFD-96B2-18F6452E0859}" destId="{7FE108B5-F558-4942-A9EC-465F3C2E5813}" srcOrd="0" destOrd="0" presId="urn:microsoft.com/office/officeart/2005/8/layout/radial1"/>
    <dgm:cxn modelId="{2F0A2577-F087-42D1-9C4E-3B6BCAE027EA}" type="presParOf" srcId="{4FC73BDC-CE2C-45F4-85CD-F387963DA006}" destId="{6394B413-6D12-4C4F-9A8D-E0508CAE8617}" srcOrd="6" destOrd="0" presId="urn:microsoft.com/office/officeart/2005/8/layout/radial1"/>
    <dgm:cxn modelId="{F7A2A9A1-10C3-4ADA-819A-E1B78E7749D1}" type="presParOf" srcId="{4FC73BDC-CE2C-45F4-85CD-F387963DA006}" destId="{6A5F15CA-77E2-4C48-8498-A7C7D3C4428C}" srcOrd="7" destOrd="0" presId="urn:microsoft.com/office/officeart/2005/8/layout/radial1"/>
    <dgm:cxn modelId="{66AB7271-6579-4ADD-BF1B-D0DA699A0DE6}" type="presParOf" srcId="{6A5F15CA-77E2-4C48-8498-A7C7D3C4428C}" destId="{F87499B4-AA7B-416D-9B28-377D046017EC}" srcOrd="0" destOrd="0" presId="urn:microsoft.com/office/officeart/2005/8/layout/radial1"/>
    <dgm:cxn modelId="{BD0ED26F-49E4-41F5-97FD-875D9C85717D}" type="presParOf" srcId="{4FC73BDC-CE2C-45F4-85CD-F387963DA006}" destId="{638FE4E5-2063-40D0-A44F-91C88716CF8C}" srcOrd="8" destOrd="0" presId="urn:microsoft.com/office/officeart/2005/8/layout/radial1"/>
    <dgm:cxn modelId="{F4453579-E181-4403-9243-93B23309B92E}" type="presParOf" srcId="{4FC73BDC-CE2C-45F4-85CD-F387963DA006}" destId="{EAF47FDD-7D57-4FF6-9F6B-6E604D2CC0DE}" srcOrd="9" destOrd="0" presId="urn:microsoft.com/office/officeart/2005/8/layout/radial1"/>
    <dgm:cxn modelId="{12B6A00D-859B-461A-9578-944191174859}" type="presParOf" srcId="{EAF47FDD-7D57-4FF6-9F6B-6E604D2CC0DE}" destId="{E01163DA-75CF-4C32-B81E-41BBCCC937B3}" srcOrd="0" destOrd="0" presId="urn:microsoft.com/office/officeart/2005/8/layout/radial1"/>
    <dgm:cxn modelId="{D4E4C837-371E-4D7A-9CA3-2DBE356326A0}" type="presParOf" srcId="{4FC73BDC-CE2C-45F4-85CD-F387963DA006}" destId="{F74F2681-A109-4B75-8C08-B2B26769CF03}" srcOrd="10" destOrd="0" presId="urn:microsoft.com/office/officeart/2005/8/layout/radial1"/>
    <dgm:cxn modelId="{1A9F0557-B6AB-4835-8186-E56572E6B5F0}" type="presParOf" srcId="{4FC73BDC-CE2C-45F4-85CD-F387963DA006}" destId="{AC7E3352-64BC-4978-9AB6-2DD833483239}" srcOrd="11" destOrd="0" presId="urn:microsoft.com/office/officeart/2005/8/layout/radial1"/>
    <dgm:cxn modelId="{F231FAD7-5D38-43DE-BF5A-44AAA4991769}" type="presParOf" srcId="{AC7E3352-64BC-4978-9AB6-2DD833483239}" destId="{C620A703-6BE9-4C0F-B737-266F7434DAB4}" srcOrd="0" destOrd="0" presId="urn:microsoft.com/office/officeart/2005/8/layout/radial1"/>
    <dgm:cxn modelId="{08077911-6794-4229-851C-924B2849FC77}" type="presParOf" srcId="{4FC73BDC-CE2C-45F4-85CD-F387963DA006}" destId="{05C48364-E63B-4056-87CF-0BE50D74190B}" srcOrd="12" destOrd="0" presId="urn:microsoft.com/office/officeart/2005/8/layout/radial1"/>
  </dgm:cxnLst>
  <dgm:bg/>
  <dgm:whole/>
  <dgm:extLst>
    <a:ext uri="http://schemas.microsoft.com/office/drawing/2008/diagram">
      <dsp:dataModelExt xmlns:dsp="http://schemas.microsoft.com/office/drawing/2008/diagram" relId="rId135" minVer="http://schemas.openxmlformats.org/drawingml/2006/diagram"/>
    </a:ext>
  </dgm:extLst>
</dgm:dataModel>
</file>

<file path=word/diagrams/data18.xml><?xml version="1.0" encoding="utf-8"?>
<dgm:dataModel xmlns:dgm="http://schemas.openxmlformats.org/drawingml/2006/diagram" xmlns:a="http://schemas.openxmlformats.org/drawingml/2006/main">
  <dgm:ptLst>
    <dgm:pt modelId="{3E4183EF-B989-4620-A02C-D54686D6628F}"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60F584FC-F7FF-4FD7-86E3-8773293C0460}">
      <dgm:prSet phldrT="[Text]" custT="1"/>
      <dgm:spPr>
        <a:xfrm>
          <a:off x="2348506" y="1028053"/>
          <a:ext cx="1208818" cy="360702"/>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gm:spPr>
      <dgm:t>
        <a:bodyPr/>
        <a:lstStyle/>
        <a:p>
          <a:r>
            <a:rPr lang="en-US"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16</a:t>
          </a:r>
        </a:p>
      </dgm:t>
    </dgm:pt>
    <dgm:pt modelId="{474A81AD-BFE3-4D32-9342-2C25E06E5B46}" type="parTrans" cxnId="{0872B5C3-971C-4397-94C1-FDC0412A9ADC}">
      <dgm:prSet/>
      <dgm:spPr/>
      <dgm:t>
        <a:bodyPr/>
        <a:lstStyle/>
        <a:p>
          <a:endParaRPr lang="en-US"/>
        </a:p>
      </dgm:t>
    </dgm:pt>
    <dgm:pt modelId="{28FB44EF-A1AD-4FBB-B0D1-E98EB36FC510}" type="sibTrans" cxnId="{0872B5C3-971C-4397-94C1-FDC0412A9ADC}">
      <dgm:prSet/>
      <dgm:spPr/>
      <dgm:t>
        <a:bodyPr/>
        <a:lstStyle/>
        <a:p>
          <a:endParaRPr lang="en-US"/>
        </a:p>
      </dgm:t>
    </dgm:pt>
    <dgm:pt modelId="{9A4BDCAE-D9CA-400C-8B2D-68AB68A08E2A}">
      <dgm:prSet phldrT="[Text]" custT="1"/>
      <dgm:spPr>
        <a:xfrm>
          <a:off x="2477943" y="104069"/>
          <a:ext cx="950689" cy="454342"/>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5</a:t>
          </a: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Système du  PCT</a:t>
          </a:r>
        </a:p>
      </dgm:t>
    </dgm:pt>
    <dgm:pt modelId="{E9A3E352-4E95-497B-A994-2D750C2A9509}" type="parTrans" cxnId="{A0D7B160-B2D6-4FF0-B898-61A69264BA8C}">
      <dgm:prSet custT="1"/>
      <dgm:spPr>
        <a:xfrm rot="16201461">
          <a:off x="2718271" y="785718"/>
          <a:ext cx="469641" cy="15029"/>
        </a:xfrm>
        <a:noFill/>
        <a:ln w="9525" cap="flat" cmpd="sng" algn="ctr">
          <a:solidFill>
            <a:srgbClr val="4F81BD">
              <a:shade val="60000"/>
              <a:hueOff val="0"/>
              <a:satOff val="0"/>
              <a:lumOff val="0"/>
              <a:alphaOff val="0"/>
            </a:srgbClr>
          </a:solidFill>
          <a:prstDash val="solid"/>
        </a:ln>
        <a:effectLst/>
      </dgm:spPr>
      <dgm:t>
        <a:bodyPr/>
        <a:lstStyle/>
        <a:p>
          <a:endParaRPr lang="en-US" sz="400">
            <a:solidFill>
              <a:sysClr val="windowText" lastClr="000000">
                <a:hueOff val="0"/>
                <a:satOff val="0"/>
                <a:lumOff val="0"/>
                <a:alphaOff val="0"/>
              </a:sysClr>
            </a:solidFill>
            <a:latin typeface="Calibri"/>
            <a:ea typeface="+mn-ea"/>
            <a:cs typeface="+mn-cs"/>
          </a:endParaRPr>
        </a:p>
      </dgm:t>
    </dgm:pt>
    <dgm:pt modelId="{D8ADEECF-D7D2-4E14-BB97-4FB081DAC71A}" type="sibTrans" cxnId="{A0D7B160-B2D6-4FF0-B898-61A69264BA8C}">
      <dgm:prSet/>
      <dgm:spPr/>
      <dgm:t>
        <a:bodyPr/>
        <a:lstStyle/>
        <a:p>
          <a:endParaRPr lang="en-US"/>
        </a:p>
      </dgm:t>
    </dgm:pt>
    <dgm:pt modelId="{94B19768-91E8-4E7A-A857-C8521D65AF24}">
      <dgm:prSet phldrT="[Text]" custT="1"/>
      <dgm:spPr>
        <a:xfrm>
          <a:off x="3527819" y="148075"/>
          <a:ext cx="1229666" cy="522663"/>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6</a:t>
          </a: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Système de Madrid</a:t>
          </a:r>
        </a:p>
      </dgm:t>
    </dgm:pt>
    <dgm:pt modelId="{1F889DAC-CE52-4F0F-B94D-85598619AB82}" type="parTrans" cxnId="{E719C6E7-4776-4FC2-9ECD-F0D273135B37}">
      <dgm:prSet custT="1"/>
      <dgm:spPr>
        <a:xfrm rot="19566942">
          <a:off x="3135369" y="829394"/>
          <a:ext cx="741432" cy="15029"/>
        </a:xfrm>
        <a:noFill/>
        <a:ln w="9525" cap="flat" cmpd="sng" algn="ctr">
          <a:solidFill>
            <a:srgbClr val="4F81BD">
              <a:shade val="60000"/>
              <a:hueOff val="0"/>
              <a:satOff val="0"/>
              <a:lumOff val="0"/>
              <a:alphaOff val="0"/>
            </a:srgbClr>
          </a:solidFill>
          <a:prstDash val="solid"/>
        </a:ln>
        <a:effectLst/>
      </dgm:spPr>
      <dgm:t>
        <a:bodyPr/>
        <a:lstStyle/>
        <a:p>
          <a:endParaRPr lang="en-US" sz="400">
            <a:solidFill>
              <a:sysClr val="windowText" lastClr="000000">
                <a:hueOff val="0"/>
                <a:satOff val="0"/>
                <a:lumOff val="0"/>
                <a:alphaOff val="0"/>
              </a:sysClr>
            </a:solidFill>
            <a:latin typeface="Calibri"/>
            <a:ea typeface="+mn-ea"/>
            <a:cs typeface="+mn-cs"/>
          </a:endParaRPr>
        </a:p>
      </dgm:t>
    </dgm:pt>
    <dgm:pt modelId="{174FD7F3-8467-46EB-ACD9-4B0EA7D3C4BA}" type="sibTrans" cxnId="{E719C6E7-4776-4FC2-9ECD-F0D273135B37}">
      <dgm:prSet/>
      <dgm:spPr/>
      <dgm:t>
        <a:bodyPr/>
        <a:lstStyle/>
        <a:p>
          <a:endParaRPr lang="en-US"/>
        </a:p>
      </dgm:t>
    </dgm:pt>
    <dgm:pt modelId="{584F0456-7C88-4E15-A6D5-3DF2BDDC45F2}">
      <dgm:prSet phldrT="[Text]" custT="1"/>
      <dgm:spPr>
        <a:xfrm>
          <a:off x="4512130" y="647338"/>
          <a:ext cx="940669" cy="443921"/>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8</a:t>
          </a: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Coordination du Plan d'action pour le développement</a:t>
          </a:r>
        </a:p>
      </dgm:t>
    </dgm:pt>
    <dgm:pt modelId="{5BE92476-635C-4AE2-AD14-BF50BB0972EC}" type="parTrans" cxnId="{44EB880B-7660-4CF0-97E5-4E577ACA821D}">
      <dgm:prSet custT="1"/>
      <dgm:spPr>
        <a:xfrm rot="21030864">
          <a:off x="3472938" y="1024320"/>
          <a:ext cx="1073498" cy="15029"/>
        </a:xfrm>
        <a:noFill/>
        <a:ln w="9525" cap="flat" cmpd="sng" algn="ctr">
          <a:solidFill>
            <a:srgbClr val="4F81BD">
              <a:shade val="60000"/>
              <a:hueOff val="0"/>
              <a:satOff val="0"/>
              <a:lumOff val="0"/>
              <a:alphaOff val="0"/>
            </a:srgbClr>
          </a:solidFill>
          <a:prstDash val="solid"/>
        </a:ln>
        <a:effectLst/>
      </dgm:spPr>
      <dgm:t>
        <a:bodyPr/>
        <a:lstStyle/>
        <a:p>
          <a:endParaRPr lang="en-US" sz="400">
            <a:solidFill>
              <a:sysClr val="windowText" lastClr="000000">
                <a:hueOff val="0"/>
                <a:satOff val="0"/>
                <a:lumOff val="0"/>
                <a:alphaOff val="0"/>
              </a:sysClr>
            </a:solidFill>
            <a:latin typeface="Calibri"/>
            <a:ea typeface="+mn-ea"/>
            <a:cs typeface="+mn-cs"/>
          </a:endParaRPr>
        </a:p>
      </dgm:t>
    </dgm:pt>
    <dgm:pt modelId="{3EF0F88F-A3C1-4CFC-8CDA-621CE91394E1}" type="sibTrans" cxnId="{44EB880B-7660-4CF0-97E5-4E577ACA821D}">
      <dgm:prSet/>
      <dgm:spPr/>
      <dgm:t>
        <a:bodyPr/>
        <a:lstStyle/>
        <a:p>
          <a:endParaRPr lang="en-US"/>
        </a:p>
      </dgm:t>
    </dgm:pt>
    <dgm:pt modelId="{2EF75B39-F486-43BE-8B27-294595126005}">
      <dgm:prSet phldrT="[Text]" custT="1"/>
      <dgm:spPr>
        <a:xfrm>
          <a:off x="4260806" y="1250044"/>
          <a:ext cx="1336596" cy="510445"/>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9</a:t>
          </a: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Bureaux régionaux </a:t>
          </a:r>
          <a:endParaRPr lang="en-US" sz="7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66F0DCEC-2B26-4038-AF1F-D0A98A0F7930}" type="parTrans" cxnId="{D0987D88-807B-4994-94E2-80A6C1D9AE52}">
      <dgm:prSet custT="1"/>
      <dgm:spPr>
        <a:xfrm rot="512584">
          <a:off x="3488203" y="1343157"/>
          <a:ext cx="823554" cy="15029"/>
        </a:xfrm>
        <a:noFill/>
        <a:ln w="9525" cap="flat" cmpd="sng" algn="ctr">
          <a:solidFill>
            <a:srgbClr val="4F81BD">
              <a:shade val="60000"/>
              <a:hueOff val="0"/>
              <a:satOff val="0"/>
              <a:lumOff val="0"/>
              <a:alphaOff val="0"/>
            </a:srgbClr>
          </a:solidFill>
          <a:prstDash val="solid"/>
        </a:ln>
        <a:effectLst/>
      </dgm:spPr>
      <dgm:t>
        <a:bodyPr/>
        <a:lstStyle/>
        <a:p>
          <a:endParaRPr lang="en-US" sz="400">
            <a:solidFill>
              <a:sysClr val="windowText" lastClr="000000">
                <a:hueOff val="0"/>
                <a:satOff val="0"/>
                <a:lumOff val="0"/>
                <a:alphaOff val="0"/>
              </a:sysClr>
            </a:solidFill>
            <a:latin typeface="Calibri"/>
            <a:ea typeface="+mn-ea"/>
            <a:cs typeface="+mn-cs"/>
          </a:endParaRPr>
        </a:p>
      </dgm:t>
    </dgm:pt>
    <dgm:pt modelId="{A29EC13D-3B1F-4904-8025-5B38BEEF3183}" type="sibTrans" cxnId="{D0987D88-807B-4994-94E2-80A6C1D9AE52}">
      <dgm:prSet/>
      <dgm:spPr/>
      <dgm:t>
        <a:bodyPr/>
        <a:lstStyle/>
        <a:p>
          <a:endParaRPr lang="en-US"/>
        </a:p>
      </dgm:t>
    </dgm:pt>
    <dgm:pt modelId="{4761FE57-664D-44AD-8EF1-E6096D64297F}">
      <dgm:prSet phldrT="[Text]" custT="1"/>
      <dgm:spPr>
        <a:xfrm>
          <a:off x="3755225" y="1818795"/>
          <a:ext cx="1030826" cy="433693"/>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10</a:t>
          </a: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Pays en transition et pays développés</a:t>
          </a:r>
        </a:p>
      </dgm:t>
    </dgm:pt>
    <dgm:pt modelId="{F6DE2413-45CD-453B-A258-F22A53BBB241}" type="parTrans" cxnId="{A5666C79-BF01-4153-AB0A-BB16CAE1F135}">
      <dgm:prSet custT="1"/>
      <dgm:spPr>
        <a:xfrm rot="1927179">
          <a:off x="3142684" y="1605884"/>
          <a:ext cx="910711" cy="15029"/>
        </a:xfrm>
        <a:noFill/>
        <a:ln w="9525" cap="flat" cmpd="sng" algn="ctr">
          <a:solidFill>
            <a:srgbClr val="4F81BD">
              <a:shade val="60000"/>
              <a:hueOff val="0"/>
              <a:satOff val="0"/>
              <a:lumOff val="0"/>
              <a:alphaOff val="0"/>
            </a:srgbClr>
          </a:solidFill>
          <a:prstDash val="solid"/>
        </a:ln>
        <a:effectLst/>
      </dgm:spPr>
      <dgm:t>
        <a:bodyPr/>
        <a:lstStyle/>
        <a:p>
          <a:endParaRPr lang="en-US" sz="400">
            <a:solidFill>
              <a:sysClr val="windowText" lastClr="000000">
                <a:hueOff val="0"/>
                <a:satOff val="0"/>
                <a:lumOff val="0"/>
                <a:alphaOff val="0"/>
              </a:sysClr>
            </a:solidFill>
            <a:latin typeface="Calibri"/>
            <a:ea typeface="+mn-ea"/>
            <a:cs typeface="+mn-cs"/>
          </a:endParaRPr>
        </a:p>
      </dgm:t>
    </dgm:pt>
    <dgm:pt modelId="{288511AC-ECAB-47A8-A0B0-D7AAFEE02A39}" type="sibTrans" cxnId="{A5666C79-BF01-4153-AB0A-BB16CAE1F135}">
      <dgm:prSet/>
      <dgm:spPr/>
      <dgm:t>
        <a:bodyPr/>
        <a:lstStyle/>
        <a:p>
          <a:endParaRPr lang="en-US"/>
        </a:p>
      </dgm:t>
    </dgm:pt>
    <dgm:pt modelId="{576E161B-59E2-4177-8320-584EBC426979}">
      <dgm:prSet phldrT="[Text]" custT="1"/>
      <dgm:spPr>
        <a:xfrm>
          <a:off x="2315104" y="2004458"/>
          <a:ext cx="1265928" cy="473255"/>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11</a:t>
          </a:r>
        </a:p>
        <a:p>
          <a:r>
            <a:rPr lang="en-US" sz="7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Académie de l'OMPI</a:t>
          </a:r>
        </a:p>
      </dgm:t>
    </dgm:pt>
    <dgm:pt modelId="{52A69187-F965-4704-9C1A-29B2281F912F}" type="parTrans" cxnId="{BA0B21AC-350F-4DDA-A443-58447D95EEF1}">
      <dgm:prSet custT="1"/>
      <dgm:spPr>
        <a:xfrm rot="5416133">
          <a:off x="2642768" y="1689092"/>
          <a:ext cx="615710" cy="15029"/>
        </a:xfrm>
        <a:noFill/>
        <a:ln w="9525" cap="flat" cmpd="sng" algn="ctr">
          <a:solidFill>
            <a:srgbClr val="4F81BD">
              <a:shade val="60000"/>
              <a:hueOff val="0"/>
              <a:satOff val="0"/>
              <a:lumOff val="0"/>
              <a:alphaOff val="0"/>
            </a:srgbClr>
          </a:solidFill>
          <a:prstDash val="solid"/>
        </a:ln>
        <a:effectLst/>
      </dgm:spPr>
      <dgm:t>
        <a:bodyPr/>
        <a:lstStyle/>
        <a:p>
          <a:endParaRPr lang="en-US" sz="400">
            <a:solidFill>
              <a:sysClr val="windowText" lastClr="000000">
                <a:hueOff val="0"/>
                <a:satOff val="0"/>
                <a:lumOff val="0"/>
                <a:alphaOff val="0"/>
              </a:sysClr>
            </a:solidFill>
            <a:latin typeface="Calibri"/>
            <a:ea typeface="+mn-ea"/>
            <a:cs typeface="+mn-cs"/>
          </a:endParaRPr>
        </a:p>
      </dgm:t>
    </dgm:pt>
    <dgm:pt modelId="{E9F92651-5262-450E-9258-F1F8976476A8}" type="sibTrans" cxnId="{BA0B21AC-350F-4DDA-A443-58447D95EEF1}">
      <dgm:prSet/>
      <dgm:spPr/>
      <dgm:t>
        <a:bodyPr/>
        <a:lstStyle/>
        <a:p>
          <a:endParaRPr lang="en-US"/>
        </a:p>
      </dgm:t>
    </dgm:pt>
    <dgm:pt modelId="{CEEBDBB9-7602-49B1-BBEB-80C6D1238598}">
      <dgm:prSet phldrT="[Text]" custT="1"/>
      <dgm:spPr>
        <a:xfrm>
          <a:off x="894205" y="1817199"/>
          <a:ext cx="1262940" cy="463861"/>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19 </a:t>
          </a: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Communications</a:t>
          </a:r>
          <a:endParaRPr lang="en-US" sz="7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D6278D4F-93AB-42D0-B837-2B99BC1EE808}" type="parTrans" cxnId="{D4C1BC69-C745-405B-9248-C6E8862DD509}">
      <dgm:prSet custT="1"/>
      <dgm:spPr>
        <a:xfrm rot="8969968">
          <a:off x="1793936" y="1603292"/>
          <a:ext cx="951698" cy="15029"/>
        </a:xfrm>
        <a:noFill/>
        <a:ln w="9525" cap="flat" cmpd="sng" algn="ctr">
          <a:solidFill>
            <a:srgbClr val="4F81BD">
              <a:shade val="60000"/>
              <a:hueOff val="0"/>
              <a:satOff val="0"/>
              <a:lumOff val="0"/>
              <a:alphaOff val="0"/>
            </a:srgbClr>
          </a:solidFill>
          <a:prstDash val="solid"/>
        </a:ln>
        <a:effectLst/>
      </dgm:spPr>
      <dgm:t>
        <a:bodyPr/>
        <a:lstStyle/>
        <a:p>
          <a:endParaRPr lang="en-US" sz="400">
            <a:solidFill>
              <a:sysClr val="windowText" lastClr="000000">
                <a:hueOff val="0"/>
                <a:satOff val="0"/>
                <a:lumOff val="0"/>
                <a:alphaOff val="0"/>
              </a:sysClr>
            </a:solidFill>
            <a:latin typeface="Calibri"/>
            <a:ea typeface="+mn-ea"/>
            <a:cs typeface="+mn-cs"/>
          </a:endParaRPr>
        </a:p>
      </dgm:t>
    </dgm:pt>
    <dgm:pt modelId="{3F7B98CE-94D6-4D7D-8314-AFA01590058A}" type="sibTrans" cxnId="{D4C1BC69-C745-405B-9248-C6E8862DD509}">
      <dgm:prSet/>
      <dgm:spPr/>
      <dgm:t>
        <a:bodyPr/>
        <a:lstStyle/>
        <a:p>
          <a:endParaRPr lang="en-US"/>
        </a:p>
      </dgm:t>
    </dgm:pt>
    <dgm:pt modelId="{61905482-A221-41E9-B64F-E0DDCF7406CB}">
      <dgm:prSet phldrT="[Text]" custT="1"/>
      <dgm:spPr>
        <a:xfrm>
          <a:off x="158067" y="1301921"/>
          <a:ext cx="1198351" cy="488992"/>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21</a:t>
          </a: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Direction générale</a:t>
          </a:r>
        </a:p>
      </dgm:t>
    </dgm:pt>
    <dgm:pt modelId="{19A5BFAE-AE0D-4BC3-821E-ACDBC402E1F3}" type="parTrans" cxnId="{7A10D267-5114-47D3-9B72-BCDF70FFAB8C}">
      <dgm:prSet custT="1"/>
      <dgm:spPr>
        <a:xfrm rot="10274898">
          <a:off x="1311383" y="1368089"/>
          <a:ext cx="1110861" cy="15029"/>
        </a:xfrm>
        <a:noFill/>
        <a:ln w="9525" cap="flat" cmpd="sng" algn="ctr">
          <a:solidFill>
            <a:srgbClr val="4F81BD">
              <a:shade val="60000"/>
              <a:hueOff val="0"/>
              <a:satOff val="0"/>
              <a:lumOff val="0"/>
              <a:alphaOff val="0"/>
            </a:srgbClr>
          </a:solidFill>
          <a:prstDash val="solid"/>
        </a:ln>
        <a:effectLst/>
      </dgm:spPr>
      <dgm:t>
        <a:bodyPr/>
        <a:lstStyle/>
        <a:p>
          <a:endParaRPr lang="en-US" sz="400">
            <a:solidFill>
              <a:sysClr val="windowText" lastClr="000000">
                <a:hueOff val="0"/>
                <a:satOff val="0"/>
                <a:lumOff val="0"/>
                <a:alphaOff val="0"/>
              </a:sysClr>
            </a:solidFill>
            <a:latin typeface="Calibri"/>
            <a:ea typeface="+mn-ea"/>
            <a:cs typeface="+mn-cs"/>
          </a:endParaRPr>
        </a:p>
      </dgm:t>
    </dgm:pt>
    <dgm:pt modelId="{41B3C576-1467-4E2A-8F61-40CA47AE2A73}" type="sibTrans" cxnId="{7A10D267-5114-47D3-9B72-BCDF70FFAB8C}">
      <dgm:prSet/>
      <dgm:spPr/>
      <dgm:t>
        <a:bodyPr/>
        <a:lstStyle/>
        <a:p>
          <a:endParaRPr lang="en-US"/>
        </a:p>
      </dgm:t>
    </dgm:pt>
    <dgm:pt modelId="{39DF5EDE-47C5-44AA-84A0-610EE4D8EEAF}">
      <dgm:prSet phldrT="[Text]" custT="1"/>
      <dgm:spPr>
        <a:xfrm>
          <a:off x="1257301" y="171450"/>
          <a:ext cx="1137261" cy="498088"/>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31</a:t>
          </a: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Système de La Haye</a:t>
          </a:r>
        </a:p>
      </dgm:t>
    </dgm:pt>
    <dgm:pt modelId="{2C8D74EC-0F5E-4E72-B00E-305D37408E09}" type="parTrans" cxnId="{12DD7879-5DAB-453E-8626-CC034CCD481D}">
      <dgm:prSet custT="1"/>
      <dgm:spPr>
        <a:xfrm rot="12897517">
          <a:off x="2063098" y="829523"/>
          <a:ext cx="717268" cy="15029"/>
        </a:xfrm>
        <a:noFill/>
        <a:ln w="9525" cap="flat" cmpd="sng" algn="ctr">
          <a:solidFill>
            <a:srgbClr val="4F81BD">
              <a:shade val="60000"/>
              <a:hueOff val="0"/>
              <a:satOff val="0"/>
              <a:lumOff val="0"/>
              <a:alphaOff val="0"/>
            </a:srgbClr>
          </a:solidFill>
          <a:prstDash val="solid"/>
        </a:ln>
        <a:effectLst/>
      </dgm:spPr>
      <dgm:t>
        <a:bodyPr/>
        <a:lstStyle/>
        <a:p>
          <a:endParaRPr lang="en-US" sz="400">
            <a:solidFill>
              <a:sysClr val="windowText" lastClr="000000">
                <a:hueOff val="0"/>
                <a:satOff val="0"/>
                <a:lumOff val="0"/>
                <a:alphaOff val="0"/>
              </a:sysClr>
            </a:solidFill>
            <a:latin typeface="Calibri"/>
            <a:ea typeface="+mn-ea"/>
            <a:cs typeface="+mn-cs"/>
          </a:endParaRPr>
        </a:p>
      </dgm:t>
    </dgm:pt>
    <dgm:pt modelId="{7B460AF1-5C69-4760-9FBE-539FD0921E3A}" type="sibTrans" cxnId="{12DD7879-5DAB-453E-8626-CC034CCD481D}">
      <dgm:prSet/>
      <dgm:spPr/>
      <dgm:t>
        <a:bodyPr/>
        <a:lstStyle/>
        <a:p>
          <a:endParaRPr lang="en-US"/>
        </a:p>
      </dgm:t>
    </dgm:pt>
    <dgm:pt modelId="{8EC353A6-4F6A-4502-96F3-6C0A4C1DAA96}">
      <dgm:prSet phldrT="[Text]" custT="1"/>
      <dgm:spPr>
        <a:xfrm>
          <a:off x="271200" y="623711"/>
          <a:ext cx="1247273" cy="546812"/>
        </a:xfrm>
        <a:solidFill>
          <a:srgbClr val="4F81BD">
            <a:lumMod val="40000"/>
            <a:lumOff val="60000"/>
          </a:srgbClr>
        </a:solidFill>
        <a:ln>
          <a:noFill/>
        </a:ln>
        <a:effectLst>
          <a:outerShdw blurRad="40000" dist="23000" dir="5400000" rotWithShape="0">
            <a:srgbClr val="000000">
              <a:alpha val="35000"/>
            </a:srgbClr>
          </a:outerShdw>
        </a:effectLst>
      </dgm:spPr>
      <dgm:t>
        <a:bodyPr/>
        <a:lstStyle/>
        <a:p>
          <a:endPar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22</a:t>
          </a: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Gestion du programme et des ressources </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dgm:t>
    </dgm:pt>
    <dgm:pt modelId="{B96F5D54-1A60-4750-86C5-C7C55223704E}" type="parTrans" cxnId="{5DAFA89F-4C50-49EC-868E-81320326A617}">
      <dgm:prSet custT="1"/>
      <dgm:spPr>
        <a:xfrm rot="11316053">
          <a:off x="1479089" y="1049060"/>
          <a:ext cx="940004" cy="15029"/>
        </a:xfrm>
        <a:noFill/>
        <a:ln w="9525" cap="flat" cmpd="sng" algn="ctr">
          <a:solidFill>
            <a:srgbClr val="4F81BD">
              <a:shade val="60000"/>
              <a:hueOff val="0"/>
              <a:satOff val="0"/>
              <a:lumOff val="0"/>
              <a:alphaOff val="0"/>
            </a:srgbClr>
          </a:solidFill>
          <a:prstDash val="solid"/>
        </a:ln>
        <a:effectLst/>
      </dgm:spPr>
      <dgm:t>
        <a:bodyPr/>
        <a:lstStyle/>
        <a:p>
          <a:endParaRPr lang="en-US" sz="400">
            <a:solidFill>
              <a:sysClr val="windowText" lastClr="000000">
                <a:hueOff val="0"/>
                <a:satOff val="0"/>
                <a:lumOff val="0"/>
                <a:alphaOff val="0"/>
              </a:sysClr>
            </a:solidFill>
            <a:latin typeface="Calibri"/>
            <a:ea typeface="+mn-ea"/>
            <a:cs typeface="+mn-cs"/>
          </a:endParaRPr>
        </a:p>
      </dgm:t>
    </dgm:pt>
    <dgm:pt modelId="{1F43BDEE-CFCB-4DD6-B860-72E17A3E4431}" type="sibTrans" cxnId="{5DAFA89F-4C50-49EC-868E-81320326A617}">
      <dgm:prSet/>
      <dgm:spPr/>
      <dgm:t>
        <a:bodyPr/>
        <a:lstStyle/>
        <a:p>
          <a:endParaRPr lang="en-US"/>
        </a:p>
      </dgm:t>
    </dgm:pt>
    <dgm:pt modelId="{9913A4FF-E77C-4AB2-B77F-6CF266B77C64}">
      <dgm:prSet phldrT="[Text]" custT="1"/>
      <dgm:spPr>
        <a:xfrm>
          <a:off x="2477943" y="104069"/>
          <a:ext cx="950689" cy="454342"/>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3</a:t>
          </a: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Droits d'auteur et droits connexes</a:t>
          </a:r>
        </a:p>
      </dgm:t>
    </dgm:pt>
    <dgm:pt modelId="{7691E2DA-2219-4FC9-B876-18340FCBF51D}" type="parTrans" cxnId="{8A6B96E6-8A66-46BA-96DD-DA08B53474AB}">
      <dgm:prSet/>
      <dgm:spPr/>
      <dgm:t>
        <a:bodyPr/>
        <a:lstStyle/>
        <a:p>
          <a:endParaRPr lang="en-US"/>
        </a:p>
      </dgm:t>
    </dgm:pt>
    <dgm:pt modelId="{47B96F12-BABF-4C08-9C09-0E73D2707667}" type="sibTrans" cxnId="{8A6B96E6-8A66-46BA-96DD-DA08B53474AB}">
      <dgm:prSet/>
      <dgm:spPr/>
      <dgm:t>
        <a:bodyPr/>
        <a:lstStyle/>
        <a:p>
          <a:endParaRPr lang="en-US"/>
        </a:p>
      </dgm:t>
    </dgm:pt>
    <dgm:pt modelId="{4FC73BDC-CE2C-45F4-85CD-F387963DA006}" type="pres">
      <dgm:prSet presAssocID="{3E4183EF-B989-4620-A02C-D54686D6628F}" presName="cycle" presStyleCnt="0">
        <dgm:presLayoutVars>
          <dgm:chMax val="1"/>
          <dgm:dir/>
          <dgm:animLvl val="ctr"/>
          <dgm:resizeHandles val="exact"/>
        </dgm:presLayoutVars>
      </dgm:prSet>
      <dgm:spPr/>
      <dgm:t>
        <a:bodyPr/>
        <a:lstStyle/>
        <a:p>
          <a:endParaRPr lang="en-US"/>
        </a:p>
      </dgm:t>
    </dgm:pt>
    <dgm:pt modelId="{3C7CADF7-0742-432E-9EEF-EA9C347A7661}" type="pres">
      <dgm:prSet presAssocID="{60F584FC-F7FF-4FD7-86E3-8773293C0460}" presName="centerShape" presStyleLbl="node0" presStyleIdx="0" presStyleCnt="1" custScaleX="305554" custScaleY="72683" custLinFactNeighborX="165" custLinFactNeighborY="-3939"/>
      <dgm:spPr>
        <a:prstGeom prst="ellipse">
          <a:avLst/>
        </a:prstGeom>
      </dgm:spPr>
      <dgm:t>
        <a:bodyPr/>
        <a:lstStyle/>
        <a:p>
          <a:endParaRPr lang="en-US"/>
        </a:p>
      </dgm:t>
    </dgm:pt>
    <dgm:pt modelId="{24BDC8D2-35C4-49D8-9B7B-32C17CE20E32}" type="pres">
      <dgm:prSet presAssocID="{7691E2DA-2219-4FC9-B876-18340FCBF51D}" presName="Name9" presStyleLbl="parChTrans1D2" presStyleIdx="0" presStyleCnt="11"/>
      <dgm:spPr/>
      <dgm:t>
        <a:bodyPr/>
        <a:lstStyle/>
        <a:p>
          <a:endParaRPr lang="en-US"/>
        </a:p>
      </dgm:t>
    </dgm:pt>
    <dgm:pt modelId="{2D66806E-EEB0-4E1E-8E15-4AD05BCDB286}" type="pres">
      <dgm:prSet presAssocID="{7691E2DA-2219-4FC9-B876-18340FCBF51D}" presName="connTx" presStyleLbl="parChTrans1D2" presStyleIdx="0" presStyleCnt="11"/>
      <dgm:spPr/>
      <dgm:t>
        <a:bodyPr/>
        <a:lstStyle/>
        <a:p>
          <a:endParaRPr lang="en-US"/>
        </a:p>
      </dgm:t>
    </dgm:pt>
    <dgm:pt modelId="{89363C58-92D8-41E4-A3BE-502C8FBA2B6E}" type="pres">
      <dgm:prSet presAssocID="{9913A4FF-E77C-4AB2-B77F-6CF266B77C64}" presName="node" presStyleLbl="node1" presStyleIdx="0" presStyleCnt="11" custScaleX="218864" custScaleY="139024" custRadScaleRad="87794" custRadScaleInc="-2078">
        <dgm:presLayoutVars>
          <dgm:bulletEnabled val="1"/>
        </dgm:presLayoutVars>
      </dgm:prSet>
      <dgm:spPr>
        <a:prstGeom prst="ellipse">
          <a:avLst/>
        </a:prstGeom>
      </dgm:spPr>
      <dgm:t>
        <a:bodyPr/>
        <a:lstStyle/>
        <a:p>
          <a:endParaRPr lang="en-US"/>
        </a:p>
      </dgm:t>
    </dgm:pt>
    <dgm:pt modelId="{E887F142-3B93-49E1-A09D-1DCD207D21D1}" type="pres">
      <dgm:prSet presAssocID="{E9A3E352-4E95-497B-A994-2D750C2A9509}" presName="Name9" presStyleLbl="parChTrans1D2" presStyleIdx="1" presStyleCnt="11"/>
      <dgm:spPr>
        <a:custGeom>
          <a:avLst/>
          <a:gdLst/>
          <a:ahLst/>
          <a:cxnLst/>
          <a:rect l="0" t="0" r="0" b="0"/>
          <a:pathLst>
            <a:path>
              <a:moveTo>
                <a:pt x="0" y="7514"/>
              </a:moveTo>
              <a:lnTo>
                <a:pt x="469641" y="7514"/>
              </a:lnTo>
            </a:path>
          </a:pathLst>
        </a:custGeom>
      </dgm:spPr>
      <dgm:t>
        <a:bodyPr/>
        <a:lstStyle/>
        <a:p>
          <a:endParaRPr lang="en-US"/>
        </a:p>
      </dgm:t>
    </dgm:pt>
    <dgm:pt modelId="{0C3245EA-B4A2-4A29-A94D-6F5271E8D13D}" type="pres">
      <dgm:prSet presAssocID="{E9A3E352-4E95-497B-A994-2D750C2A9509}" presName="connTx" presStyleLbl="parChTrans1D2" presStyleIdx="1" presStyleCnt="11"/>
      <dgm:spPr/>
      <dgm:t>
        <a:bodyPr/>
        <a:lstStyle/>
        <a:p>
          <a:endParaRPr lang="en-US"/>
        </a:p>
      </dgm:t>
    </dgm:pt>
    <dgm:pt modelId="{3EA08C86-6A87-4381-A9A9-F10D993E2D53}" type="pres">
      <dgm:prSet presAssocID="{9A4BDCAE-D9CA-400C-8B2D-68AB68A08E2A}" presName="node" presStyleLbl="node1" presStyleIdx="1" presStyleCnt="11" custScaleX="218864" custScaleY="109694" custRadScaleRad="121971" custRadScaleInc="111174">
        <dgm:presLayoutVars>
          <dgm:bulletEnabled val="1"/>
        </dgm:presLayoutVars>
      </dgm:prSet>
      <dgm:spPr>
        <a:prstGeom prst="ellipse">
          <a:avLst/>
        </a:prstGeom>
      </dgm:spPr>
      <dgm:t>
        <a:bodyPr/>
        <a:lstStyle/>
        <a:p>
          <a:endParaRPr lang="en-US"/>
        </a:p>
      </dgm:t>
    </dgm:pt>
    <dgm:pt modelId="{72463A3F-A956-4917-8722-9FD79FB3E09A}" type="pres">
      <dgm:prSet presAssocID="{1F889DAC-CE52-4F0F-B94D-85598619AB82}" presName="Name9" presStyleLbl="parChTrans1D2" presStyleIdx="2" presStyleCnt="11"/>
      <dgm:spPr>
        <a:custGeom>
          <a:avLst/>
          <a:gdLst/>
          <a:ahLst/>
          <a:cxnLst/>
          <a:rect l="0" t="0" r="0" b="0"/>
          <a:pathLst>
            <a:path>
              <a:moveTo>
                <a:pt x="0" y="7514"/>
              </a:moveTo>
              <a:lnTo>
                <a:pt x="741432" y="7514"/>
              </a:lnTo>
            </a:path>
          </a:pathLst>
        </a:custGeom>
      </dgm:spPr>
      <dgm:t>
        <a:bodyPr/>
        <a:lstStyle/>
        <a:p>
          <a:endParaRPr lang="en-US"/>
        </a:p>
      </dgm:t>
    </dgm:pt>
    <dgm:pt modelId="{E5E0F749-58A7-4B5D-B40F-552D5369ABEE}" type="pres">
      <dgm:prSet presAssocID="{1F889DAC-CE52-4F0F-B94D-85598619AB82}" presName="connTx" presStyleLbl="parChTrans1D2" presStyleIdx="2" presStyleCnt="11"/>
      <dgm:spPr/>
      <dgm:t>
        <a:bodyPr/>
        <a:lstStyle/>
        <a:p>
          <a:endParaRPr lang="en-US"/>
        </a:p>
      </dgm:t>
    </dgm:pt>
    <dgm:pt modelId="{A030EF9D-9337-4706-B87A-64BDE162520A}" type="pres">
      <dgm:prSet presAssocID="{94B19768-91E8-4E7A-A857-C8521D65AF24}" presName="node" presStyleLbl="node1" presStyleIdx="2" presStyleCnt="11" custScaleX="247783" custScaleY="129833" custRadScaleRad="169285" custRadScaleInc="72633">
        <dgm:presLayoutVars>
          <dgm:bulletEnabled val="1"/>
        </dgm:presLayoutVars>
      </dgm:prSet>
      <dgm:spPr>
        <a:prstGeom prst="ellipse">
          <a:avLst/>
        </a:prstGeom>
      </dgm:spPr>
      <dgm:t>
        <a:bodyPr/>
        <a:lstStyle/>
        <a:p>
          <a:endParaRPr lang="en-US"/>
        </a:p>
      </dgm:t>
    </dgm:pt>
    <dgm:pt modelId="{00112A8F-12E8-45AC-B551-DFB66BE45059}" type="pres">
      <dgm:prSet presAssocID="{5BE92476-635C-4AE2-AD14-BF50BB0972EC}" presName="Name9" presStyleLbl="parChTrans1D2" presStyleIdx="3" presStyleCnt="11"/>
      <dgm:spPr>
        <a:custGeom>
          <a:avLst/>
          <a:gdLst/>
          <a:ahLst/>
          <a:cxnLst/>
          <a:rect l="0" t="0" r="0" b="0"/>
          <a:pathLst>
            <a:path>
              <a:moveTo>
                <a:pt x="0" y="7514"/>
              </a:moveTo>
              <a:lnTo>
                <a:pt x="1073498" y="7514"/>
              </a:lnTo>
            </a:path>
          </a:pathLst>
        </a:custGeom>
      </dgm:spPr>
      <dgm:t>
        <a:bodyPr/>
        <a:lstStyle/>
        <a:p>
          <a:endParaRPr lang="en-US"/>
        </a:p>
      </dgm:t>
    </dgm:pt>
    <dgm:pt modelId="{48B32C5A-7076-4480-B5CB-D9EFDA8D8FDB}" type="pres">
      <dgm:prSet presAssocID="{5BE92476-635C-4AE2-AD14-BF50BB0972EC}" presName="connTx" presStyleLbl="parChTrans1D2" presStyleIdx="3" presStyleCnt="11"/>
      <dgm:spPr/>
      <dgm:t>
        <a:bodyPr/>
        <a:lstStyle/>
        <a:p>
          <a:endParaRPr lang="en-US"/>
        </a:p>
      </dgm:t>
    </dgm:pt>
    <dgm:pt modelId="{423B6D89-2000-40C7-8429-BD38C7402395}" type="pres">
      <dgm:prSet presAssocID="{584F0456-7C88-4E15-A6D5-3DF2BDDC45F2}" presName="node" presStyleLbl="node1" presStyleIdx="3" presStyleCnt="11" custScaleX="246579" custScaleY="138511" custRadScaleRad="188618" custRadScaleInc="-4334">
        <dgm:presLayoutVars>
          <dgm:bulletEnabled val="1"/>
        </dgm:presLayoutVars>
      </dgm:prSet>
      <dgm:spPr>
        <a:prstGeom prst="ellipse">
          <a:avLst/>
        </a:prstGeom>
      </dgm:spPr>
      <dgm:t>
        <a:bodyPr/>
        <a:lstStyle/>
        <a:p>
          <a:endParaRPr lang="en-US"/>
        </a:p>
      </dgm:t>
    </dgm:pt>
    <dgm:pt modelId="{650854B0-9FE7-4FFD-96B2-18F6452E0859}" type="pres">
      <dgm:prSet presAssocID="{66F0DCEC-2B26-4038-AF1F-D0A98A0F7930}" presName="Name9" presStyleLbl="parChTrans1D2" presStyleIdx="4" presStyleCnt="11"/>
      <dgm:spPr>
        <a:custGeom>
          <a:avLst/>
          <a:gdLst/>
          <a:ahLst/>
          <a:cxnLst/>
          <a:rect l="0" t="0" r="0" b="0"/>
          <a:pathLst>
            <a:path>
              <a:moveTo>
                <a:pt x="0" y="7514"/>
              </a:moveTo>
              <a:lnTo>
                <a:pt x="823554" y="7514"/>
              </a:lnTo>
            </a:path>
          </a:pathLst>
        </a:custGeom>
      </dgm:spPr>
      <dgm:t>
        <a:bodyPr/>
        <a:lstStyle/>
        <a:p>
          <a:endParaRPr lang="en-US"/>
        </a:p>
      </dgm:t>
    </dgm:pt>
    <dgm:pt modelId="{7FE108B5-F558-4942-A9EC-465F3C2E5813}" type="pres">
      <dgm:prSet presAssocID="{66F0DCEC-2B26-4038-AF1F-D0A98A0F7930}" presName="connTx" presStyleLbl="parChTrans1D2" presStyleIdx="4" presStyleCnt="11"/>
      <dgm:spPr/>
      <dgm:t>
        <a:bodyPr/>
        <a:lstStyle/>
        <a:p>
          <a:endParaRPr lang="en-US"/>
        </a:p>
      </dgm:t>
    </dgm:pt>
    <dgm:pt modelId="{6394B413-6D12-4C4F-9A8D-E0508CAE8617}" type="pres">
      <dgm:prSet presAssocID="{2EF75B39-F486-43BE-8B27-294595126005}" presName="node" presStyleLbl="node1" presStyleIdx="4" presStyleCnt="11" custScaleX="211193" custScaleY="102857" custRadScaleRad="126112" custRadScaleInc="-78814">
        <dgm:presLayoutVars>
          <dgm:bulletEnabled val="1"/>
        </dgm:presLayoutVars>
      </dgm:prSet>
      <dgm:spPr>
        <a:prstGeom prst="ellipse">
          <a:avLst/>
        </a:prstGeom>
      </dgm:spPr>
      <dgm:t>
        <a:bodyPr/>
        <a:lstStyle/>
        <a:p>
          <a:endParaRPr lang="en-US"/>
        </a:p>
      </dgm:t>
    </dgm:pt>
    <dgm:pt modelId="{DEF09AAB-E09E-4486-8914-E37D47E60824}" type="pres">
      <dgm:prSet presAssocID="{F6DE2413-45CD-453B-A258-F22A53BBB241}" presName="Name9" presStyleLbl="parChTrans1D2" presStyleIdx="5" presStyleCnt="11"/>
      <dgm:spPr>
        <a:custGeom>
          <a:avLst/>
          <a:gdLst/>
          <a:ahLst/>
          <a:cxnLst/>
          <a:rect l="0" t="0" r="0" b="0"/>
          <a:pathLst>
            <a:path>
              <a:moveTo>
                <a:pt x="0" y="7514"/>
              </a:moveTo>
              <a:lnTo>
                <a:pt x="910711" y="7514"/>
              </a:lnTo>
            </a:path>
          </a:pathLst>
        </a:custGeom>
      </dgm:spPr>
      <dgm:t>
        <a:bodyPr/>
        <a:lstStyle/>
        <a:p>
          <a:endParaRPr lang="en-US"/>
        </a:p>
      </dgm:t>
    </dgm:pt>
    <dgm:pt modelId="{B0514361-30D3-4311-BC21-0743B7F01673}" type="pres">
      <dgm:prSet presAssocID="{F6DE2413-45CD-453B-A258-F22A53BBB241}" presName="connTx" presStyleLbl="parChTrans1D2" presStyleIdx="5" presStyleCnt="11"/>
      <dgm:spPr/>
      <dgm:t>
        <a:bodyPr/>
        <a:lstStyle/>
        <a:p>
          <a:endParaRPr lang="en-US"/>
        </a:p>
      </dgm:t>
    </dgm:pt>
    <dgm:pt modelId="{2ED32773-10C9-4671-A0BF-4C0DAB40AE25}" type="pres">
      <dgm:prSet presAssocID="{4761FE57-664D-44AD-8EF1-E6096D64297F}" presName="node" presStyleLbl="node1" presStyleIdx="5" presStyleCnt="11" custScaleX="231988" custScaleY="146507" custRadScaleRad="101109" custRadScaleInc="-25645">
        <dgm:presLayoutVars>
          <dgm:bulletEnabled val="1"/>
        </dgm:presLayoutVars>
      </dgm:prSet>
      <dgm:spPr>
        <a:prstGeom prst="ellipse">
          <a:avLst/>
        </a:prstGeom>
      </dgm:spPr>
      <dgm:t>
        <a:bodyPr/>
        <a:lstStyle/>
        <a:p>
          <a:endParaRPr lang="en-US"/>
        </a:p>
      </dgm:t>
    </dgm:pt>
    <dgm:pt modelId="{EAF47FDD-7D57-4FF6-9F6B-6E604D2CC0DE}" type="pres">
      <dgm:prSet presAssocID="{52A69187-F965-4704-9C1A-29B2281F912F}" presName="Name9" presStyleLbl="parChTrans1D2" presStyleIdx="6" presStyleCnt="11"/>
      <dgm:spPr>
        <a:custGeom>
          <a:avLst/>
          <a:gdLst/>
          <a:ahLst/>
          <a:cxnLst/>
          <a:rect l="0" t="0" r="0" b="0"/>
          <a:pathLst>
            <a:path>
              <a:moveTo>
                <a:pt x="0" y="7514"/>
              </a:moveTo>
              <a:lnTo>
                <a:pt x="615710" y="7514"/>
              </a:lnTo>
            </a:path>
          </a:pathLst>
        </a:custGeom>
      </dgm:spPr>
      <dgm:t>
        <a:bodyPr/>
        <a:lstStyle/>
        <a:p>
          <a:endParaRPr lang="en-US"/>
        </a:p>
      </dgm:t>
    </dgm:pt>
    <dgm:pt modelId="{E01163DA-75CF-4C32-B81E-41BBCCC937B3}" type="pres">
      <dgm:prSet presAssocID="{52A69187-F965-4704-9C1A-29B2281F912F}" presName="connTx" presStyleLbl="parChTrans1D2" presStyleIdx="6" presStyleCnt="11"/>
      <dgm:spPr/>
      <dgm:t>
        <a:bodyPr/>
        <a:lstStyle/>
        <a:p>
          <a:endParaRPr lang="en-US"/>
        </a:p>
      </dgm:t>
    </dgm:pt>
    <dgm:pt modelId="{F74F2681-A109-4B75-8C08-B2B26769CF03}" type="pres">
      <dgm:prSet presAssocID="{576E161B-59E2-4177-8320-584EBC426979}" presName="node" presStyleLbl="node1" presStyleIdx="6" presStyleCnt="11" custScaleX="255090" custScaleY="115571" custRadScaleRad="100542" custRadScaleInc="166976">
        <dgm:presLayoutVars>
          <dgm:bulletEnabled val="1"/>
        </dgm:presLayoutVars>
      </dgm:prSet>
      <dgm:spPr>
        <a:prstGeom prst="ellipse">
          <a:avLst/>
        </a:prstGeom>
      </dgm:spPr>
      <dgm:t>
        <a:bodyPr/>
        <a:lstStyle/>
        <a:p>
          <a:endParaRPr lang="en-US"/>
        </a:p>
      </dgm:t>
    </dgm:pt>
    <dgm:pt modelId="{AC7E3352-64BC-4978-9AB6-2DD833483239}" type="pres">
      <dgm:prSet presAssocID="{D6278D4F-93AB-42D0-B837-2B99BC1EE808}" presName="Name9" presStyleLbl="parChTrans1D2" presStyleIdx="7" presStyleCnt="11"/>
      <dgm:spPr>
        <a:custGeom>
          <a:avLst/>
          <a:gdLst/>
          <a:ahLst/>
          <a:cxnLst/>
          <a:rect l="0" t="0" r="0" b="0"/>
          <a:pathLst>
            <a:path>
              <a:moveTo>
                <a:pt x="0" y="7514"/>
              </a:moveTo>
              <a:lnTo>
                <a:pt x="951698" y="7514"/>
              </a:lnTo>
            </a:path>
          </a:pathLst>
        </a:custGeom>
      </dgm:spPr>
      <dgm:t>
        <a:bodyPr/>
        <a:lstStyle/>
        <a:p>
          <a:endParaRPr lang="en-US"/>
        </a:p>
      </dgm:t>
    </dgm:pt>
    <dgm:pt modelId="{C620A703-6BE9-4C0F-B737-266F7434DAB4}" type="pres">
      <dgm:prSet presAssocID="{D6278D4F-93AB-42D0-B837-2B99BC1EE808}" presName="connTx" presStyleLbl="parChTrans1D2" presStyleIdx="7" presStyleCnt="11"/>
      <dgm:spPr/>
      <dgm:t>
        <a:bodyPr/>
        <a:lstStyle/>
        <a:p>
          <a:endParaRPr lang="en-US"/>
        </a:p>
      </dgm:t>
    </dgm:pt>
    <dgm:pt modelId="{05C48364-E63B-4056-87CF-0BE50D74190B}" type="pres">
      <dgm:prSet presAssocID="{CEEBDBB9-7602-49B1-BBEB-80C6D1238598}" presName="node" presStyleLbl="node1" presStyleIdx="7" presStyleCnt="11" custScaleX="232918" custScaleY="93470" custRadScaleRad="156118" custRadScaleInc="157803">
        <dgm:presLayoutVars>
          <dgm:bulletEnabled val="1"/>
        </dgm:presLayoutVars>
      </dgm:prSet>
      <dgm:spPr>
        <a:prstGeom prst="ellipse">
          <a:avLst/>
        </a:prstGeom>
      </dgm:spPr>
      <dgm:t>
        <a:bodyPr/>
        <a:lstStyle/>
        <a:p>
          <a:endParaRPr lang="en-US"/>
        </a:p>
      </dgm:t>
    </dgm:pt>
    <dgm:pt modelId="{06FD983D-3F71-4BCE-AD7F-6DD1041A2F23}" type="pres">
      <dgm:prSet presAssocID="{19A5BFAE-AE0D-4BC3-821E-ACDBC402E1F3}" presName="Name9" presStyleLbl="parChTrans1D2" presStyleIdx="8" presStyleCnt="11"/>
      <dgm:spPr>
        <a:custGeom>
          <a:avLst/>
          <a:gdLst/>
          <a:ahLst/>
          <a:cxnLst/>
          <a:rect l="0" t="0" r="0" b="0"/>
          <a:pathLst>
            <a:path>
              <a:moveTo>
                <a:pt x="0" y="7514"/>
              </a:moveTo>
              <a:lnTo>
                <a:pt x="1110861" y="7514"/>
              </a:lnTo>
            </a:path>
          </a:pathLst>
        </a:custGeom>
      </dgm:spPr>
      <dgm:t>
        <a:bodyPr/>
        <a:lstStyle/>
        <a:p>
          <a:endParaRPr lang="en-US"/>
        </a:p>
      </dgm:t>
    </dgm:pt>
    <dgm:pt modelId="{2261EECA-A4AA-4C81-9B4D-3893A28ED758}" type="pres">
      <dgm:prSet presAssocID="{19A5BFAE-AE0D-4BC3-821E-ACDBC402E1F3}" presName="connTx" presStyleLbl="parChTrans1D2" presStyleIdx="8" presStyleCnt="11"/>
      <dgm:spPr/>
      <dgm:t>
        <a:bodyPr/>
        <a:lstStyle/>
        <a:p>
          <a:endParaRPr lang="en-US"/>
        </a:p>
      </dgm:t>
    </dgm:pt>
    <dgm:pt modelId="{CFBB929F-8BEB-442D-8D00-28EE1C02C39C}" type="pres">
      <dgm:prSet presAssocID="{61905482-A221-41E9-B64F-E0DDCF7406CB}" presName="node" presStyleLbl="node1" presStyleIdx="8" presStyleCnt="11" custScaleX="241473" custScaleY="114615" custRadScaleRad="208461" custRadScaleInc="55285">
        <dgm:presLayoutVars>
          <dgm:bulletEnabled val="1"/>
        </dgm:presLayoutVars>
      </dgm:prSet>
      <dgm:spPr>
        <a:prstGeom prst="ellipse">
          <a:avLst/>
        </a:prstGeom>
      </dgm:spPr>
      <dgm:t>
        <a:bodyPr/>
        <a:lstStyle/>
        <a:p>
          <a:endParaRPr lang="en-US"/>
        </a:p>
      </dgm:t>
    </dgm:pt>
    <dgm:pt modelId="{C494819C-C98E-47AA-9AF0-D23BA2FEB24F}" type="pres">
      <dgm:prSet presAssocID="{B96F5D54-1A60-4750-86C5-C7C55223704E}" presName="Name9" presStyleLbl="parChTrans1D2" presStyleIdx="9" presStyleCnt="11"/>
      <dgm:spPr>
        <a:custGeom>
          <a:avLst/>
          <a:gdLst/>
          <a:ahLst/>
          <a:cxnLst/>
          <a:rect l="0" t="0" r="0" b="0"/>
          <a:pathLst>
            <a:path>
              <a:moveTo>
                <a:pt x="0" y="7514"/>
              </a:moveTo>
              <a:lnTo>
                <a:pt x="940004" y="7514"/>
              </a:lnTo>
            </a:path>
          </a:pathLst>
        </a:custGeom>
      </dgm:spPr>
      <dgm:t>
        <a:bodyPr/>
        <a:lstStyle/>
        <a:p>
          <a:endParaRPr lang="en-US"/>
        </a:p>
      </dgm:t>
    </dgm:pt>
    <dgm:pt modelId="{0DC7814B-4209-4BC4-A177-2102084D3CE1}" type="pres">
      <dgm:prSet presAssocID="{B96F5D54-1A60-4750-86C5-C7C55223704E}" presName="connTx" presStyleLbl="parChTrans1D2" presStyleIdx="9" presStyleCnt="11"/>
      <dgm:spPr/>
      <dgm:t>
        <a:bodyPr/>
        <a:lstStyle/>
        <a:p>
          <a:endParaRPr lang="en-US"/>
        </a:p>
      </dgm:t>
    </dgm:pt>
    <dgm:pt modelId="{77FEFA40-E907-476F-8675-3DC698720930}" type="pres">
      <dgm:prSet presAssocID="{8EC353A6-4F6A-4502-96F3-6C0A4C1DAA96}" presName="node" presStyleLbl="node1" presStyleIdx="9" presStyleCnt="11" custScaleX="251331" custScaleY="144532" custRadScaleRad="200331" custRadScaleInc="-39759">
        <dgm:presLayoutVars>
          <dgm:bulletEnabled val="1"/>
        </dgm:presLayoutVars>
      </dgm:prSet>
      <dgm:spPr>
        <a:prstGeom prst="ellipse">
          <a:avLst/>
        </a:prstGeom>
      </dgm:spPr>
      <dgm:t>
        <a:bodyPr/>
        <a:lstStyle/>
        <a:p>
          <a:endParaRPr lang="en-US"/>
        </a:p>
      </dgm:t>
    </dgm:pt>
    <dgm:pt modelId="{EF98737B-1136-4CD3-A0AC-E4FF8E58DD83}" type="pres">
      <dgm:prSet presAssocID="{2C8D74EC-0F5E-4E72-B00E-305D37408E09}" presName="Name9" presStyleLbl="parChTrans1D2" presStyleIdx="10" presStyleCnt="11"/>
      <dgm:spPr>
        <a:custGeom>
          <a:avLst/>
          <a:gdLst/>
          <a:ahLst/>
          <a:cxnLst/>
          <a:rect l="0" t="0" r="0" b="0"/>
          <a:pathLst>
            <a:path>
              <a:moveTo>
                <a:pt x="0" y="7514"/>
              </a:moveTo>
              <a:lnTo>
                <a:pt x="717268" y="7514"/>
              </a:lnTo>
            </a:path>
          </a:pathLst>
        </a:custGeom>
      </dgm:spPr>
      <dgm:t>
        <a:bodyPr/>
        <a:lstStyle/>
        <a:p>
          <a:endParaRPr lang="en-US"/>
        </a:p>
      </dgm:t>
    </dgm:pt>
    <dgm:pt modelId="{4E2AD2D6-918F-4857-8567-9FCA82A4E2B0}" type="pres">
      <dgm:prSet presAssocID="{2C8D74EC-0F5E-4E72-B00E-305D37408E09}" presName="connTx" presStyleLbl="parChTrans1D2" presStyleIdx="10" presStyleCnt="11"/>
      <dgm:spPr/>
      <dgm:t>
        <a:bodyPr/>
        <a:lstStyle/>
        <a:p>
          <a:endParaRPr lang="en-US"/>
        </a:p>
      </dgm:t>
    </dgm:pt>
    <dgm:pt modelId="{C8187693-0532-46C7-A6F3-C4A32348C87B}" type="pres">
      <dgm:prSet presAssocID="{39DF5EDE-47C5-44AA-84A0-610EE4D8EEAF}" presName="node" presStyleLbl="node1" presStyleIdx="10" presStyleCnt="11" custScaleX="231007" custScaleY="108300" custRadScaleRad="136087" custRadScaleInc="-90235">
        <dgm:presLayoutVars>
          <dgm:bulletEnabled val="1"/>
        </dgm:presLayoutVars>
      </dgm:prSet>
      <dgm:spPr>
        <a:prstGeom prst="ellipse">
          <a:avLst/>
        </a:prstGeom>
      </dgm:spPr>
      <dgm:t>
        <a:bodyPr/>
        <a:lstStyle/>
        <a:p>
          <a:endParaRPr lang="en-US"/>
        </a:p>
      </dgm:t>
    </dgm:pt>
  </dgm:ptLst>
  <dgm:cxnLst>
    <dgm:cxn modelId="{2B532E63-BF99-407A-BC11-F3A44CFFDDEA}" type="presOf" srcId="{52A69187-F965-4704-9C1A-29B2281F912F}" destId="{EAF47FDD-7D57-4FF6-9F6B-6E604D2CC0DE}" srcOrd="0" destOrd="0" presId="urn:microsoft.com/office/officeart/2005/8/layout/radial1"/>
    <dgm:cxn modelId="{E719C6E7-4776-4FC2-9ECD-F0D273135B37}" srcId="{60F584FC-F7FF-4FD7-86E3-8773293C0460}" destId="{94B19768-91E8-4E7A-A857-C8521D65AF24}" srcOrd="2" destOrd="0" parTransId="{1F889DAC-CE52-4F0F-B94D-85598619AB82}" sibTransId="{174FD7F3-8467-46EB-ACD9-4B0EA7D3C4BA}"/>
    <dgm:cxn modelId="{12DD7879-5DAB-453E-8626-CC034CCD481D}" srcId="{60F584FC-F7FF-4FD7-86E3-8773293C0460}" destId="{39DF5EDE-47C5-44AA-84A0-610EE4D8EEAF}" srcOrd="10" destOrd="0" parTransId="{2C8D74EC-0F5E-4E72-B00E-305D37408E09}" sibTransId="{7B460AF1-5C69-4760-9FBE-539FD0921E3A}"/>
    <dgm:cxn modelId="{C3EC00E7-3ECD-4ECE-8F40-7CD28C19BCE2}" type="presOf" srcId="{2C8D74EC-0F5E-4E72-B00E-305D37408E09}" destId="{4E2AD2D6-918F-4857-8567-9FCA82A4E2B0}" srcOrd="1" destOrd="0" presId="urn:microsoft.com/office/officeart/2005/8/layout/radial1"/>
    <dgm:cxn modelId="{6B99E482-CADB-463E-96CA-F6DDD29330A0}" type="presOf" srcId="{E9A3E352-4E95-497B-A994-2D750C2A9509}" destId="{E887F142-3B93-49E1-A09D-1DCD207D21D1}" srcOrd="0" destOrd="0" presId="urn:microsoft.com/office/officeart/2005/8/layout/radial1"/>
    <dgm:cxn modelId="{0FA4DCC6-CF84-43EE-A80D-10B2E7B24195}" type="presOf" srcId="{7691E2DA-2219-4FC9-B876-18340FCBF51D}" destId="{24BDC8D2-35C4-49D8-9B7B-32C17CE20E32}" srcOrd="0" destOrd="0" presId="urn:microsoft.com/office/officeart/2005/8/layout/radial1"/>
    <dgm:cxn modelId="{7923B083-A6D4-4230-8C05-0EEC03C3B009}" type="presOf" srcId="{B96F5D54-1A60-4750-86C5-C7C55223704E}" destId="{0DC7814B-4209-4BC4-A177-2102084D3CE1}" srcOrd="1" destOrd="0" presId="urn:microsoft.com/office/officeart/2005/8/layout/radial1"/>
    <dgm:cxn modelId="{9781D838-8C44-4FFB-8A6A-4C48B3B34679}" type="presOf" srcId="{2EF75B39-F486-43BE-8B27-294595126005}" destId="{6394B413-6D12-4C4F-9A8D-E0508CAE8617}" srcOrd="0" destOrd="0" presId="urn:microsoft.com/office/officeart/2005/8/layout/radial1"/>
    <dgm:cxn modelId="{66A0AE0B-2C08-4B22-A980-4238705ECB9C}" type="presOf" srcId="{60F584FC-F7FF-4FD7-86E3-8773293C0460}" destId="{3C7CADF7-0742-432E-9EEF-EA9C347A7661}" srcOrd="0" destOrd="0" presId="urn:microsoft.com/office/officeart/2005/8/layout/radial1"/>
    <dgm:cxn modelId="{1AE75566-D1C6-46DF-AF13-0BAECBBACF6E}" type="presOf" srcId="{D6278D4F-93AB-42D0-B837-2B99BC1EE808}" destId="{AC7E3352-64BC-4978-9AB6-2DD833483239}" srcOrd="0" destOrd="0" presId="urn:microsoft.com/office/officeart/2005/8/layout/radial1"/>
    <dgm:cxn modelId="{E7DC205B-2EEC-4648-99DD-3897D656240F}" type="presOf" srcId="{7691E2DA-2219-4FC9-B876-18340FCBF51D}" destId="{2D66806E-EEB0-4E1E-8E15-4AD05BCDB286}" srcOrd="1" destOrd="0" presId="urn:microsoft.com/office/officeart/2005/8/layout/radial1"/>
    <dgm:cxn modelId="{53C7CB55-625F-4486-8CF6-4CAB7B6CBA27}" type="presOf" srcId="{8EC353A6-4F6A-4502-96F3-6C0A4C1DAA96}" destId="{77FEFA40-E907-476F-8675-3DC698720930}" srcOrd="0" destOrd="0" presId="urn:microsoft.com/office/officeart/2005/8/layout/radial1"/>
    <dgm:cxn modelId="{48C17DC7-DC5D-4530-B020-97A03AD46998}" type="presOf" srcId="{3E4183EF-B989-4620-A02C-D54686D6628F}" destId="{4FC73BDC-CE2C-45F4-85CD-F387963DA006}" srcOrd="0" destOrd="0" presId="urn:microsoft.com/office/officeart/2005/8/layout/radial1"/>
    <dgm:cxn modelId="{31A8D5CF-1FBB-49D3-9D93-119B40F7ABFF}" type="presOf" srcId="{4761FE57-664D-44AD-8EF1-E6096D64297F}" destId="{2ED32773-10C9-4671-A0BF-4C0DAB40AE25}" srcOrd="0" destOrd="0" presId="urn:microsoft.com/office/officeart/2005/8/layout/radial1"/>
    <dgm:cxn modelId="{7A10D267-5114-47D3-9B72-BCDF70FFAB8C}" srcId="{60F584FC-F7FF-4FD7-86E3-8773293C0460}" destId="{61905482-A221-41E9-B64F-E0DDCF7406CB}" srcOrd="8" destOrd="0" parTransId="{19A5BFAE-AE0D-4BC3-821E-ACDBC402E1F3}" sibTransId="{41B3C576-1467-4E2A-8F61-40CA47AE2A73}"/>
    <dgm:cxn modelId="{3C98E4FA-5685-467A-8C9D-23409A30143F}" type="presOf" srcId="{CEEBDBB9-7602-49B1-BBEB-80C6D1238598}" destId="{05C48364-E63B-4056-87CF-0BE50D74190B}" srcOrd="0" destOrd="0" presId="urn:microsoft.com/office/officeart/2005/8/layout/radial1"/>
    <dgm:cxn modelId="{BA0B21AC-350F-4DDA-A443-58447D95EEF1}" srcId="{60F584FC-F7FF-4FD7-86E3-8773293C0460}" destId="{576E161B-59E2-4177-8320-584EBC426979}" srcOrd="6" destOrd="0" parTransId="{52A69187-F965-4704-9C1A-29B2281F912F}" sibTransId="{E9F92651-5262-450E-9258-F1F8976476A8}"/>
    <dgm:cxn modelId="{E826D0CA-A27E-49F4-A270-73694DDC6EEB}" type="presOf" srcId="{E9A3E352-4E95-497B-A994-2D750C2A9509}" destId="{0C3245EA-B4A2-4A29-A94D-6F5271E8D13D}" srcOrd="1" destOrd="0" presId="urn:microsoft.com/office/officeart/2005/8/layout/radial1"/>
    <dgm:cxn modelId="{0F3E1E25-2344-40AD-A3D8-83FDD208C50D}" type="presOf" srcId="{5BE92476-635C-4AE2-AD14-BF50BB0972EC}" destId="{00112A8F-12E8-45AC-B551-DFB66BE45059}" srcOrd="0" destOrd="0" presId="urn:microsoft.com/office/officeart/2005/8/layout/radial1"/>
    <dgm:cxn modelId="{5AB49607-ECEF-4EF6-85E3-1B6C097581EA}" type="presOf" srcId="{61905482-A221-41E9-B64F-E0DDCF7406CB}" destId="{CFBB929F-8BEB-442D-8D00-28EE1C02C39C}" srcOrd="0" destOrd="0" presId="urn:microsoft.com/office/officeart/2005/8/layout/radial1"/>
    <dgm:cxn modelId="{57365DCF-6A21-47AF-8C1B-4C6BF8A1D697}" type="presOf" srcId="{2C8D74EC-0F5E-4E72-B00E-305D37408E09}" destId="{EF98737B-1136-4CD3-A0AC-E4FF8E58DD83}" srcOrd="0" destOrd="0" presId="urn:microsoft.com/office/officeart/2005/8/layout/radial1"/>
    <dgm:cxn modelId="{5DB82CA6-8543-4F14-9D21-D7699C32CAAA}" type="presOf" srcId="{1F889DAC-CE52-4F0F-B94D-85598619AB82}" destId="{E5E0F749-58A7-4B5D-B40F-552D5369ABEE}" srcOrd="1" destOrd="0" presId="urn:microsoft.com/office/officeart/2005/8/layout/radial1"/>
    <dgm:cxn modelId="{D3620AE9-B28C-4F4E-A11E-26EB4EC6A2E5}" type="presOf" srcId="{5BE92476-635C-4AE2-AD14-BF50BB0972EC}" destId="{48B32C5A-7076-4480-B5CB-D9EFDA8D8FDB}" srcOrd="1" destOrd="0" presId="urn:microsoft.com/office/officeart/2005/8/layout/radial1"/>
    <dgm:cxn modelId="{58C9195C-4848-4080-BBB7-306194EE90DD}" type="presOf" srcId="{D6278D4F-93AB-42D0-B837-2B99BC1EE808}" destId="{C620A703-6BE9-4C0F-B737-266F7434DAB4}" srcOrd="1" destOrd="0" presId="urn:microsoft.com/office/officeart/2005/8/layout/radial1"/>
    <dgm:cxn modelId="{0872B5C3-971C-4397-94C1-FDC0412A9ADC}" srcId="{3E4183EF-B989-4620-A02C-D54686D6628F}" destId="{60F584FC-F7FF-4FD7-86E3-8773293C0460}" srcOrd="0" destOrd="0" parTransId="{474A81AD-BFE3-4D32-9342-2C25E06E5B46}" sibTransId="{28FB44EF-A1AD-4FBB-B0D1-E98EB36FC510}"/>
    <dgm:cxn modelId="{71058F3A-BBEC-4ED9-B618-A8984B68586A}" type="presOf" srcId="{9A4BDCAE-D9CA-400C-8B2D-68AB68A08E2A}" destId="{3EA08C86-6A87-4381-A9A9-F10D993E2D53}" srcOrd="0" destOrd="0" presId="urn:microsoft.com/office/officeart/2005/8/layout/radial1"/>
    <dgm:cxn modelId="{C3B56702-C5C0-4B66-A963-31DF07B76337}" type="presOf" srcId="{B96F5D54-1A60-4750-86C5-C7C55223704E}" destId="{C494819C-C98E-47AA-9AF0-D23BA2FEB24F}" srcOrd="0" destOrd="0" presId="urn:microsoft.com/office/officeart/2005/8/layout/radial1"/>
    <dgm:cxn modelId="{4B43BA16-FA72-4848-BABE-B865ECBA8513}" type="presOf" srcId="{F6DE2413-45CD-453B-A258-F22A53BBB241}" destId="{B0514361-30D3-4311-BC21-0743B7F01673}" srcOrd="1" destOrd="0" presId="urn:microsoft.com/office/officeart/2005/8/layout/radial1"/>
    <dgm:cxn modelId="{F3A8A5F5-4353-4ED1-A4EA-3EFF52953B90}" type="presOf" srcId="{1F889DAC-CE52-4F0F-B94D-85598619AB82}" destId="{72463A3F-A956-4917-8722-9FD79FB3E09A}" srcOrd="0" destOrd="0" presId="urn:microsoft.com/office/officeart/2005/8/layout/radial1"/>
    <dgm:cxn modelId="{44EB880B-7660-4CF0-97E5-4E577ACA821D}" srcId="{60F584FC-F7FF-4FD7-86E3-8773293C0460}" destId="{584F0456-7C88-4E15-A6D5-3DF2BDDC45F2}" srcOrd="3" destOrd="0" parTransId="{5BE92476-635C-4AE2-AD14-BF50BB0972EC}" sibTransId="{3EF0F88F-A3C1-4CFC-8CDA-621CE91394E1}"/>
    <dgm:cxn modelId="{62C6C3AA-EFEA-4FF1-AB6D-0AD2A983B974}" type="presOf" srcId="{19A5BFAE-AE0D-4BC3-821E-ACDBC402E1F3}" destId="{06FD983D-3F71-4BCE-AD7F-6DD1041A2F23}" srcOrd="0" destOrd="0" presId="urn:microsoft.com/office/officeart/2005/8/layout/radial1"/>
    <dgm:cxn modelId="{A0D7B160-B2D6-4FF0-B898-61A69264BA8C}" srcId="{60F584FC-F7FF-4FD7-86E3-8773293C0460}" destId="{9A4BDCAE-D9CA-400C-8B2D-68AB68A08E2A}" srcOrd="1" destOrd="0" parTransId="{E9A3E352-4E95-497B-A994-2D750C2A9509}" sibTransId="{D8ADEECF-D7D2-4E14-BB97-4FB081DAC71A}"/>
    <dgm:cxn modelId="{B3C06149-6BAE-4A7A-B94E-309F1FD2E8BF}" type="presOf" srcId="{F6DE2413-45CD-453B-A258-F22A53BBB241}" destId="{DEF09AAB-E09E-4486-8914-E37D47E60824}" srcOrd="0" destOrd="0" presId="urn:microsoft.com/office/officeart/2005/8/layout/radial1"/>
    <dgm:cxn modelId="{4775DA0A-2CEA-4D2D-8BFE-F38EBD503A89}" type="presOf" srcId="{576E161B-59E2-4177-8320-584EBC426979}" destId="{F74F2681-A109-4B75-8C08-B2B26769CF03}" srcOrd="0" destOrd="0" presId="urn:microsoft.com/office/officeart/2005/8/layout/radial1"/>
    <dgm:cxn modelId="{9F5E166D-9976-480F-97B6-55838A7C1344}" type="presOf" srcId="{39DF5EDE-47C5-44AA-84A0-610EE4D8EEAF}" destId="{C8187693-0532-46C7-A6F3-C4A32348C87B}" srcOrd="0" destOrd="0" presId="urn:microsoft.com/office/officeart/2005/8/layout/radial1"/>
    <dgm:cxn modelId="{5DAFA89F-4C50-49EC-868E-81320326A617}" srcId="{60F584FC-F7FF-4FD7-86E3-8773293C0460}" destId="{8EC353A6-4F6A-4502-96F3-6C0A4C1DAA96}" srcOrd="9" destOrd="0" parTransId="{B96F5D54-1A60-4750-86C5-C7C55223704E}" sibTransId="{1F43BDEE-CFCB-4DD6-B860-72E17A3E4431}"/>
    <dgm:cxn modelId="{D0987D88-807B-4994-94E2-80A6C1D9AE52}" srcId="{60F584FC-F7FF-4FD7-86E3-8773293C0460}" destId="{2EF75B39-F486-43BE-8B27-294595126005}" srcOrd="4" destOrd="0" parTransId="{66F0DCEC-2B26-4038-AF1F-D0A98A0F7930}" sibTransId="{A29EC13D-3B1F-4904-8025-5B38BEEF3183}"/>
    <dgm:cxn modelId="{D4C1BC69-C745-405B-9248-C6E8862DD509}" srcId="{60F584FC-F7FF-4FD7-86E3-8773293C0460}" destId="{CEEBDBB9-7602-49B1-BBEB-80C6D1238598}" srcOrd="7" destOrd="0" parTransId="{D6278D4F-93AB-42D0-B837-2B99BC1EE808}" sibTransId="{3F7B98CE-94D6-4D7D-8314-AFA01590058A}"/>
    <dgm:cxn modelId="{8A6B96E6-8A66-46BA-96DD-DA08B53474AB}" srcId="{60F584FC-F7FF-4FD7-86E3-8773293C0460}" destId="{9913A4FF-E77C-4AB2-B77F-6CF266B77C64}" srcOrd="0" destOrd="0" parTransId="{7691E2DA-2219-4FC9-B876-18340FCBF51D}" sibTransId="{47B96F12-BABF-4C08-9C09-0E73D2707667}"/>
    <dgm:cxn modelId="{A45AE25F-12F9-40C8-86B0-BE32AD75265D}" type="presOf" srcId="{66F0DCEC-2B26-4038-AF1F-D0A98A0F7930}" destId="{7FE108B5-F558-4942-A9EC-465F3C2E5813}" srcOrd="1" destOrd="0" presId="urn:microsoft.com/office/officeart/2005/8/layout/radial1"/>
    <dgm:cxn modelId="{26C0CE6A-FACC-4CDC-BABC-353ACBA81DFE}" type="presOf" srcId="{584F0456-7C88-4E15-A6D5-3DF2BDDC45F2}" destId="{423B6D89-2000-40C7-8429-BD38C7402395}" srcOrd="0" destOrd="0" presId="urn:microsoft.com/office/officeart/2005/8/layout/radial1"/>
    <dgm:cxn modelId="{A7A5B208-0E44-47B9-9983-E82794B95AC8}" type="presOf" srcId="{52A69187-F965-4704-9C1A-29B2281F912F}" destId="{E01163DA-75CF-4C32-B81E-41BBCCC937B3}" srcOrd="1" destOrd="0" presId="urn:microsoft.com/office/officeart/2005/8/layout/radial1"/>
    <dgm:cxn modelId="{0F769AC5-13EB-418A-B973-A8A53F170754}" type="presOf" srcId="{19A5BFAE-AE0D-4BC3-821E-ACDBC402E1F3}" destId="{2261EECA-A4AA-4C81-9B4D-3893A28ED758}" srcOrd="1" destOrd="0" presId="urn:microsoft.com/office/officeart/2005/8/layout/radial1"/>
    <dgm:cxn modelId="{565C8324-45BB-4315-A3D2-048E1F266D6D}" type="presOf" srcId="{66F0DCEC-2B26-4038-AF1F-D0A98A0F7930}" destId="{650854B0-9FE7-4FFD-96B2-18F6452E0859}" srcOrd="0" destOrd="0" presId="urn:microsoft.com/office/officeart/2005/8/layout/radial1"/>
    <dgm:cxn modelId="{2CBBBFCF-FA74-48F4-8B99-CB6E1C551372}" type="presOf" srcId="{9913A4FF-E77C-4AB2-B77F-6CF266B77C64}" destId="{89363C58-92D8-41E4-A3BE-502C8FBA2B6E}" srcOrd="0" destOrd="0" presId="urn:microsoft.com/office/officeart/2005/8/layout/radial1"/>
    <dgm:cxn modelId="{2721069C-068F-4166-97B2-0D738563E4EE}" type="presOf" srcId="{94B19768-91E8-4E7A-A857-C8521D65AF24}" destId="{A030EF9D-9337-4706-B87A-64BDE162520A}" srcOrd="0" destOrd="0" presId="urn:microsoft.com/office/officeart/2005/8/layout/radial1"/>
    <dgm:cxn modelId="{A5666C79-BF01-4153-AB0A-BB16CAE1F135}" srcId="{60F584FC-F7FF-4FD7-86E3-8773293C0460}" destId="{4761FE57-664D-44AD-8EF1-E6096D64297F}" srcOrd="5" destOrd="0" parTransId="{F6DE2413-45CD-453B-A258-F22A53BBB241}" sibTransId="{288511AC-ECAB-47A8-A0B0-D7AAFEE02A39}"/>
    <dgm:cxn modelId="{6B9D6235-BD58-43EF-9A39-204626F7BA71}" type="presParOf" srcId="{4FC73BDC-CE2C-45F4-85CD-F387963DA006}" destId="{3C7CADF7-0742-432E-9EEF-EA9C347A7661}" srcOrd="0" destOrd="0" presId="urn:microsoft.com/office/officeart/2005/8/layout/radial1"/>
    <dgm:cxn modelId="{6F435DA2-A31C-45FE-B353-79121C47EB6C}" type="presParOf" srcId="{4FC73BDC-CE2C-45F4-85CD-F387963DA006}" destId="{24BDC8D2-35C4-49D8-9B7B-32C17CE20E32}" srcOrd="1" destOrd="0" presId="urn:microsoft.com/office/officeart/2005/8/layout/radial1"/>
    <dgm:cxn modelId="{1B12A6C1-17A2-4CA8-AAAC-3D7C54F1B967}" type="presParOf" srcId="{24BDC8D2-35C4-49D8-9B7B-32C17CE20E32}" destId="{2D66806E-EEB0-4E1E-8E15-4AD05BCDB286}" srcOrd="0" destOrd="0" presId="urn:microsoft.com/office/officeart/2005/8/layout/radial1"/>
    <dgm:cxn modelId="{CE82D3E9-48D0-43E9-AFEA-B42C1A99898F}" type="presParOf" srcId="{4FC73BDC-CE2C-45F4-85CD-F387963DA006}" destId="{89363C58-92D8-41E4-A3BE-502C8FBA2B6E}" srcOrd="2" destOrd="0" presId="urn:microsoft.com/office/officeart/2005/8/layout/radial1"/>
    <dgm:cxn modelId="{C5BEB80C-E100-4F95-AA45-3A92F7A1CD3D}" type="presParOf" srcId="{4FC73BDC-CE2C-45F4-85CD-F387963DA006}" destId="{E887F142-3B93-49E1-A09D-1DCD207D21D1}" srcOrd="3" destOrd="0" presId="urn:microsoft.com/office/officeart/2005/8/layout/radial1"/>
    <dgm:cxn modelId="{94FB3C05-20A4-4D12-A788-DB316FFAB698}" type="presParOf" srcId="{E887F142-3B93-49E1-A09D-1DCD207D21D1}" destId="{0C3245EA-B4A2-4A29-A94D-6F5271E8D13D}" srcOrd="0" destOrd="0" presId="urn:microsoft.com/office/officeart/2005/8/layout/radial1"/>
    <dgm:cxn modelId="{6D76465D-DF40-4C52-AA73-17D4D38368BE}" type="presParOf" srcId="{4FC73BDC-CE2C-45F4-85CD-F387963DA006}" destId="{3EA08C86-6A87-4381-A9A9-F10D993E2D53}" srcOrd="4" destOrd="0" presId="urn:microsoft.com/office/officeart/2005/8/layout/radial1"/>
    <dgm:cxn modelId="{FE2F753F-0123-4BBA-B2C9-E3DDD0306F37}" type="presParOf" srcId="{4FC73BDC-CE2C-45F4-85CD-F387963DA006}" destId="{72463A3F-A956-4917-8722-9FD79FB3E09A}" srcOrd="5" destOrd="0" presId="urn:microsoft.com/office/officeart/2005/8/layout/radial1"/>
    <dgm:cxn modelId="{EC5C7EBE-7DE4-41B4-8623-B9C4D08085E9}" type="presParOf" srcId="{72463A3F-A956-4917-8722-9FD79FB3E09A}" destId="{E5E0F749-58A7-4B5D-B40F-552D5369ABEE}" srcOrd="0" destOrd="0" presId="urn:microsoft.com/office/officeart/2005/8/layout/radial1"/>
    <dgm:cxn modelId="{E286B7FF-C56E-4AF1-A0B3-7A193AD02B08}" type="presParOf" srcId="{4FC73BDC-CE2C-45F4-85CD-F387963DA006}" destId="{A030EF9D-9337-4706-B87A-64BDE162520A}" srcOrd="6" destOrd="0" presId="urn:microsoft.com/office/officeart/2005/8/layout/radial1"/>
    <dgm:cxn modelId="{93892EEF-A250-430C-9408-EA191DB2569A}" type="presParOf" srcId="{4FC73BDC-CE2C-45F4-85CD-F387963DA006}" destId="{00112A8F-12E8-45AC-B551-DFB66BE45059}" srcOrd="7" destOrd="0" presId="urn:microsoft.com/office/officeart/2005/8/layout/radial1"/>
    <dgm:cxn modelId="{FA332487-2DF9-40B7-9456-7F4C132B556C}" type="presParOf" srcId="{00112A8F-12E8-45AC-B551-DFB66BE45059}" destId="{48B32C5A-7076-4480-B5CB-D9EFDA8D8FDB}" srcOrd="0" destOrd="0" presId="urn:microsoft.com/office/officeart/2005/8/layout/radial1"/>
    <dgm:cxn modelId="{AFE0FEDE-FD46-48AB-B4F7-0821F3256D56}" type="presParOf" srcId="{4FC73BDC-CE2C-45F4-85CD-F387963DA006}" destId="{423B6D89-2000-40C7-8429-BD38C7402395}" srcOrd="8" destOrd="0" presId="urn:microsoft.com/office/officeart/2005/8/layout/radial1"/>
    <dgm:cxn modelId="{0CAA89EF-5311-4A3A-A123-8B5AB36EBA6C}" type="presParOf" srcId="{4FC73BDC-CE2C-45F4-85CD-F387963DA006}" destId="{650854B0-9FE7-4FFD-96B2-18F6452E0859}" srcOrd="9" destOrd="0" presId="urn:microsoft.com/office/officeart/2005/8/layout/radial1"/>
    <dgm:cxn modelId="{98A4955F-3A0B-437E-B189-E7DDE1BA55D3}" type="presParOf" srcId="{650854B0-9FE7-4FFD-96B2-18F6452E0859}" destId="{7FE108B5-F558-4942-A9EC-465F3C2E5813}" srcOrd="0" destOrd="0" presId="urn:microsoft.com/office/officeart/2005/8/layout/radial1"/>
    <dgm:cxn modelId="{A0264276-1E7D-4A53-8D46-14BF6133D9FB}" type="presParOf" srcId="{4FC73BDC-CE2C-45F4-85CD-F387963DA006}" destId="{6394B413-6D12-4C4F-9A8D-E0508CAE8617}" srcOrd="10" destOrd="0" presId="urn:microsoft.com/office/officeart/2005/8/layout/radial1"/>
    <dgm:cxn modelId="{FAA368F6-975C-4E7C-89E1-514CD65A9682}" type="presParOf" srcId="{4FC73BDC-CE2C-45F4-85CD-F387963DA006}" destId="{DEF09AAB-E09E-4486-8914-E37D47E60824}" srcOrd="11" destOrd="0" presId="urn:microsoft.com/office/officeart/2005/8/layout/radial1"/>
    <dgm:cxn modelId="{8E4A0DD5-5558-488D-B78D-9DB8EC0F5160}" type="presParOf" srcId="{DEF09AAB-E09E-4486-8914-E37D47E60824}" destId="{B0514361-30D3-4311-BC21-0743B7F01673}" srcOrd="0" destOrd="0" presId="urn:microsoft.com/office/officeart/2005/8/layout/radial1"/>
    <dgm:cxn modelId="{07CB641B-6DF5-4C2F-BBBB-803968DB9FE8}" type="presParOf" srcId="{4FC73BDC-CE2C-45F4-85CD-F387963DA006}" destId="{2ED32773-10C9-4671-A0BF-4C0DAB40AE25}" srcOrd="12" destOrd="0" presId="urn:microsoft.com/office/officeart/2005/8/layout/radial1"/>
    <dgm:cxn modelId="{9C4EF811-6790-49CF-ADC8-CABC6530FFB4}" type="presParOf" srcId="{4FC73BDC-CE2C-45F4-85CD-F387963DA006}" destId="{EAF47FDD-7D57-4FF6-9F6B-6E604D2CC0DE}" srcOrd="13" destOrd="0" presId="urn:microsoft.com/office/officeart/2005/8/layout/radial1"/>
    <dgm:cxn modelId="{B9170F82-03E5-4338-91AC-FE377D24093D}" type="presParOf" srcId="{EAF47FDD-7D57-4FF6-9F6B-6E604D2CC0DE}" destId="{E01163DA-75CF-4C32-B81E-41BBCCC937B3}" srcOrd="0" destOrd="0" presId="urn:microsoft.com/office/officeart/2005/8/layout/radial1"/>
    <dgm:cxn modelId="{B5256515-74B6-4E7B-910B-AEE4D8919EA4}" type="presParOf" srcId="{4FC73BDC-CE2C-45F4-85CD-F387963DA006}" destId="{F74F2681-A109-4B75-8C08-B2B26769CF03}" srcOrd="14" destOrd="0" presId="urn:microsoft.com/office/officeart/2005/8/layout/radial1"/>
    <dgm:cxn modelId="{560B2677-ADE1-428D-9F18-A9D0ED485C2C}" type="presParOf" srcId="{4FC73BDC-CE2C-45F4-85CD-F387963DA006}" destId="{AC7E3352-64BC-4978-9AB6-2DD833483239}" srcOrd="15" destOrd="0" presId="urn:microsoft.com/office/officeart/2005/8/layout/radial1"/>
    <dgm:cxn modelId="{89D9F2F9-4AC2-4D5E-812E-06AC3F40D403}" type="presParOf" srcId="{AC7E3352-64BC-4978-9AB6-2DD833483239}" destId="{C620A703-6BE9-4C0F-B737-266F7434DAB4}" srcOrd="0" destOrd="0" presId="urn:microsoft.com/office/officeart/2005/8/layout/radial1"/>
    <dgm:cxn modelId="{D99EE480-C3E9-478E-9F67-77CA63D937F0}" type="presParOf" srcId="{4FC73BDC-CE2C-45F4-85CD-F387963DA006}" destId="{05C48364-E63B-4056-87CF-0BE50D74190B}" srcOrd="16" destOrd="0" presId="urn:microsoft.com/office/officeart/2005/8/layout/radial1"/>
    <dgm:cxn modelId="{31E4B9ED-621C-4E8E-A87E-514E7BD43432}" type="presParOf" srcId="{4FC73BDC-CE2C-45F4-85CD-F387963DA006}" destId="{06FD983D-3F71-4BCE-AD7F-6DD1041A2F23}" srcOrd="17" destOrd="0" presId="urn:microsoft.com/office/officeart/2005/8/layout/radial1"/>
    <dgm:cxn modelId="{7AD3E062-B090-40D7-9DC0-82A38ADFA4FB}" type="presParOf" srcId="{06FD983D-3F71-4BCE-AD7F-6DD1041A2F23}" destId="{2261EECA-A4AA-4C81-9B4D-3893A28ED758}" srcOrd="0" destOrd="0" presId="urn:microsoft.com/office/officeart/2005/8/layout/radial1"/>
    <dgm:cxn modelId="{CB905895-DD57-446E-A39D-4C0B45D2CE00}" type="presParOf" srcId="{4FC73BDC-CE2C-45F4-85CD-F387963DA006}" destId="{CFBB929F-8BEB-442D-8D00-28EE1C02C39C}" srcOrd="18" destOrd="0" presId="urn:microsoft.com/office/officeart/2005/8/layout/radial1"/>
    <dgm:cxn modelId="{8C561991-4D7F-464C-8CD2-90816B7CA26F}" type="presParOf" srcId="{4FC73BDC-CE2C-45F4-85CD-F387963DA006}" destId="{C494819C-C98E-47AA-9AF0-D23BA2FEB24F}" srcOrd="19" destOrd="0" presId="urn:microsoft.com/office/officeart/2005/8/layout/radial1"/>
    <dgm:cxn modelId="{6F5751AD-0BFD-48B5-9FC6-EA082BA8762B}" type="presParOf" srcId="{C494819C-C98E-47AA-9AF0-D23BA2FEB24F}" destId="{0DC7814B-4209-4BC4-A177-2102084D3CE1}" srcOrd="0" destOrd="0" presId="urn:microsoft.com/office/officeart/2005/8/layout/radial1"/>
    <dgm:cxn modelId="{B050CC8A-8858-4BBE-874D-95F7A9C49C50}" type="presParOf" srcId="{4FC73BDC-CE2C-45F4-85CD-F387963DA006}" destId="{77FEFA40-E907-476F-8675-3DC698720930}" srcOrd="20" destOrd="0" presId="urn:microsoft.com/office/officeart/2005/8/layout/radial1"/>
    <dgm:cxn modelId="{5E72CA7E-252E-4003-B3B1-0DB08C72DCDC}" type="presParOf" srcId="{4FC73BDC-CE2C-45F4-85CD-F387963DA006}" destId="{EF98737B-1136-4CD3-A0AC-E4FF8E58DD83}" srcOrd="21" destOrd="0" presId="urn:microsoft.com/office/officeart/2005/8/layout/radial1"/>
    <dgm:cxn modelId="{824B8CE1-60DA-424D-8081-BD9B33F0F13F}" type="presParOf" srcId="{EF98737B-1136-4CD3-A0AC-E4FF8E58DD83}" destId="{4E2AD2D6-918F-4857-8567-9FCA82A4E2B0}" srcOrd="0" destOrd="0" presId="urn:microsoft.com/office/officeart/2005/8/layout/radial1"/>
    <dgm:cxn modelId="{2284AC9F-1604-4EF3-A933-B9514CCBB908}" type="presParOf" srcId="{4FC73BDC-CE2C-45F4-85CD-F387963DA006}" destId="{C8187693-0532-46C7-A6F3-C4A32348C87B}" srcOrd="22" destOrd="0" presId="urn:microsoft.com/office/officeart/2005/8/layout/radial1"/>
  </dgm:cxnLst>
  <dgm:bg/>
  <dgm:whole/>
  <dgm:extLst>
    <a:ext uri="http://schemas.microsoft.com/office/drawing/2008/diagram">
      <dsp:dataModelExt xmlns:dsp="http://schemas.microsoft.com/office/drawing/2008/diagram" relId="rId141" minVer="http://schemas.openxmlformats.org/drawingml/2006/diagram"/>
    </a:ext>
  </dgm:extLst>
</dgm:dataModel>
</file>

<file path=word/diagrams/data19.xml><?xml version="1.0" encoding="utf-8"?>
<dgm:dataModel xmlns:dgm="http://schemas.openxmlformats.org/drawingml/2006/diagram" xmlns:a="http://schemas.openxmlformats.org/drawingml/2006/main">
  <dgm:ptLst>
    <dgm:pt modelId="{34E6C8D5-8D4F-4714-8A12-8F4599A8E760}"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DE541715-C648-404D-8124-F14F463E9202}">
      <dgm:prSet phldrT="[Text]" custT="1"/>
      <dgm:spPr>
        <a:xfrm>
          <a:off x="2349885" y="702403"/>
          <a:ext cx="1196229" cy="404350"/>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gm:spPr>
      <dgm:t>
        <a:bodyPr/>
        <a:lstStyle/>
        <a:p>
          <a:pPr algn="ctr"/>
          <a:r>
            <a:rPr lang="en-US"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17</a:t>
          </a:r>
        </a:p>
      </dgm:t>
    </dgm:pt>
    <dgm:pt modelId="{7CA7849B-681D-4C0D-A708-F47E97871BB2}" type="sibTrans" cxnId="{22CFBE58-87EC-4B70-B1CC-D1D1DB4968C7}">
      <dgm:prSet/>
      <dgm:spPr/>
      <dgm:t>
        <a:bodyPr/>
        <a:lstStyle/>
        <a:p>
          <a:endParaRPr lang="en-US"/>
        </a:p>
      </dgm:t>
    </dgm:pt>
    <dgm:pt modelId="{D7DB3476-9C56-4274-B046-F742EA8694F1}" type="parTrans" cxnId="{22CFBE58-87EC-4B70-B1CC-D1D1DB4968C7}">
      <dgm:prSet/>
      <dgm:spPr/>
      <dgm:t>
        <a:bodyPr/>
        <a:lstStyle/>
        <a:p>
          <a:endParaRPr lang="en-US"/>
        </a:p>
      </dgm:t>
    </dgm:pt>
    <dgm:pt modelId="{4F895710-9C0A-4357-A62A-B00C2B1BB2A2}">
      <dgm:prSet phldrT="[Text]"/>
      <dgm:spPr/>
      <dgm:t>
        <a:bodyPr/>
        <a:lstStyle/>
        <a:p>
          <a:endParaRPr lang="en-US"/>
        </a:p>
      </dgm:t>
    </dgm:pt>
    <dgm:pt modelId="{A0A859C5-79E5-4C97-AF72-54A6D166EEA1}" type="sibTrans" cxnId="{DA740704-6E02-4402-8325-D0302449434E}">
      <dgm:prSet/>
      <dgm:spPr/>
      <dgm:t>
        <a:bodyPr/>
        <a:lstStyle/>
        <a:p>
          <a:endParaRPr lang="en-US"/>
        </a:p>
      </dgm:t>
    </dgm:pt>
    <dgm:pt modelId="{4492527F-B2BC-4423-9ACC-2816666249A0}" type="parTrans" cxnId="{DA740704-6E02-4402-8325-D0302449434E}">
      <dgm:prSet/>
      <dgm:spPr/>
      <dgm:t>
        <a:bodyPr/>
        <a:lstStyle/>
        <a:p>
          <a:endParaRPr lang="en-US"/>
        </a:p>
      </dgm:t>
    </dgm:pt>
    <dgm:pt modelId="{C06C39C9-71B8-489C-9C45-3DD37A424E39}">
      <dgm:prSet phldrT="[Text]" custT="1"/>
      <dgm:spPr>
        <a:xfrm>
          <a:off x="21896" y="625000"/>
          <a:ext cx="1237424" cy="555330"/>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19</a:t>
          </a: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Communications</a:t>
          </a:r>
        </a:p>
      </dgm:t>
    </dgm:pt>
    <dgm:pt modelId="{DCD34884-F96E-475A-9010-14DE66A403A6}" type="sibTrans" cxnId="{248698A6-055B-40E3-B808-D624056EF2B0}">
      <dgm:prSet/>
      <dgm:spPr/>
      <dgm:t>
        <a:bodyPr/>
        <a:lstStyle/>
        <a:p>
          <a:endParaRPr lang="en-US"/>
        </a:p>
      </dgm:t>
    </dgm:pt>
    <dgm:pt modelId="{0FABC453-0A5C-4CAE-813B-F0494A34E025}" type="parTrans" cxnId="{248698A6-055B-40E3-B808-D624056EF2B0}">
      <dgm:prSet/>
      <dgm:spPr>
        <a:xfrm rot="10802850">
          <a:off x="1259320" y="897504"/>
          <a:ext cx="1090567" cy="12252"/>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4631C2C5-1554-4289-90B0-F2D55D1595B6}">
      <dgm:prSet phldrT="[Text]" custT="1"/>
      <dgm:spPr>
        <a:xfrm>
          <a:off x="3665066" y="1041246"/>
          <a:ext cx="1140307" cy="530086"/>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10</a:t>
          </a: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Pays en transition et pays développés</a:t>
          </a:r>
        </a:p>
      </dgm:t>
    </dgm:pt>
    <dgm:pt modelId="{9B3CB24D-A47A-4081-B256-B868D89D5387}" type="sibTrans" cxnId="{BF65F824-D4F4-4A84-83B4-6B1944B62AAD}">
      <dgm:prSet/>
      <dgm:spPr/>
      <dgm:t>
        <a:bodyPr/>
        <a:lstStyle/>
        <a:p>
          <a:endParaRPr lang="en-US"/>
        </a:p>
      </dgm:t>
    </dgm:pt>
    <dgm:pt modelId="{4693CA52-075F-4BD8-ABEA-5368BE377DDA}" type="parTrans" cxnId="{BF65F824-D4F4-4A84-83B4-6B1944B62AAD}">
      <dgm:prSet/>
      <dgm:spPr>
        <a:xfrm rot="1039915">
          <a:off x="3378556" y="1094015"/>
          <a:ext cx="392192" cy="12252"/>
        </a:xfrm>
      </dgm:spPr>
      <dgm:t>
        <a:bodyPr/>
        <a:lstStyle/>
        <a:p>
          <a:endParaRPr lang="en-US"/>
        </a:p>
      </dgm:t>
    </dgm:pt>
    <dgm:pt modelId="{960C5593-E0FF-4AA5-AA0B-E8BDFFBC5E53}">
      <dgm:prSet phldrT="[Text]" custT="1"/>
      <dgm:spPr>
        <a:xfrm>
          <a:off x="4614152" y="626660"/>
          <a:ext cx="1326272" cy="557299"/>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9</a:t>
          </a: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Bureaux régionaux</a:t>
          </a:r>
        </a:p>
      </dgm:t>
    </dgm:pt>
    <dgm:pt modelId="{88F12DF7-015F-4F26-950A-DAE493699644}" type="sibTrans" cxnId="{529D05ED-97D5-4116-BE13-DE3D93351F7F}">
      <dgm:prSet/>
      <dgm:spPr/>
      <dgm:t>
        <a:bodyPr/>
        <a:lstStyle/>
        <a:p>
          <a:endParaRPr lang="en-US"/>
        </a:p>
      </dgm:t>
    </dgm:pt>
    <dgm:pt modelId="{7AF774ED-547E-4C04-8670-B0C1D08C5EE9}" type="parTrans" cxnId="{529D05ED-97D5-4116-BE13-DE3D93351F7F}">
      <dgm:prSet/>
      <dgm:spPr>
        <a:xfrm rot="1080">
          <a:off x="3546115" y="898808"/>
          <a:ext cx="1068037" cy="12252"/>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5C260341-F1C3-4458-A657-957289015FC3}">
      <dgm:prSet phldrT="[Text]" custT="1"/>
      <dgm:spPr>
        <a:xfrm>
          <a:off x="2354231" y="1245968"/>
          <a:ext cx="1191506" cy="459042"/>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11</a:t>
          </a: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Académie de l’OMPI</a:t>
          </a:r>
        </a:p>
      </dgm:t>
    </dgm:pt>
    <dgm:pt modelId="{45A6C23B-D452-4078-BA3A-466D0894B9EB}" type="parTrans" cxnId="{0266A1D0-CEC9-45F3-8B31-A21772E8AA19}">
      <dgm:prSet/>
      <dgm:spPr>
        <a:xfrm rot="5388050">
          <a:off x="2879337" y="1170235"/>
          <a:ext cx="139216" cy="12252"/>
        </a:xfrm>
      </dgm:spPr>
      <dgm:t>
        <a:bodyPr/>
        <a:lstStyle/>
        <a:p>
          <a:endParaRPr lang="en-US"/>
        </a:p>
      </dgm:t>
    </dgm:pt>
    <dgm:pt modelId="{89B7C331-6FB9-4771-84B2-9F75AB1415C9}" type="sibTrans" cxnId="{0266A1D0-CEC9-45F3-8B31-A21772E8AA19}">
      <dgm:prSet/>
      <dgm:spPr/>
      <dgm:t>
        <a:bodyPr/>
        <a:lstStyle/>
        <a:p>
          <a:endParaRPr lang="en-US"/>
        </a:p>
      </dgm:t>
    </dgm:pt>
    <dgm:pt modelId="{880B408D-A44E-4E41-A0D3-775A9D2AA162}">
      <dgm:prSet phldrT="[Text]" custT="1"/>
      <dgm:spPr>
        <a:xfrm>
          <a:off x="2426605" y="-22710"/>
          <a:ext cx="1042790" cy="468059"/>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2</a:t>
          </a: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Marques, dessins et modèles industriels et indications géographiques</a:t>
          </a:r>
        </a:p>
      </dgm:t>
    </dgm:pt>
    <dgm:pt modelId="{E848F776-8237-42C9-A1C0-B5B0EB7FE51B}" type="parTrans" cxnId="{C4CE955B-C7EA-442D-BA54-FCED6F4F9301}">
      <dgm:prSet/>
      <dgm:spPr>
        <a:xfrm rot="16200000">
          <a:off x="2819473" y="567750"/>
          <a:ext cx="257054" cy="12252"/>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C6C0D1BD-440F-496E-8208-41C1352C17C4}" type="sibTrans" cxnId="{C4CE955B-C7EA-442D-BA54-FCED6F4F9301}">
      <dgm:prSet/>
      <dgm:spPr/>
      <dgm:t>
        <a:bodyPr/>
        <a:lstStyle/>
        <a:p>
          <a:endParaRPr lang="en-US"/>
        </a:p>
      </dgm:t>
    </dgm:pt>
    <dgm:pt modelId="{7E91AD2C-2762-4D69-BFD6-4095380ECAB8}">
      <dgm:prSet phldrT="[Text]" custT="1"/>
      <dgm:spPr>
        <a:xfrm>
          <a:off x="3688878" y="283122"/>
          <a:ext cx="1149312" cy="460841"/>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3 </a:t>
          </a: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Droit d’auteur et droits connexes</a:t>
          </a:r>
        </a:p>
      </dgm:t>
    </dgm:pt>
    <dgm:pt modelId="{8D28B5B3-293B-4D04-9ABB-EE16A5C97D16}" type="parTrans" cxnId="{19C1565A-DB23-4F9C-ABEF-4480DF7D14CE}">
      <dgm:prSet/>
      <dgm:spPr>
        <a:xfrm rot="20606743">
          <a:off x="3388403" y="704791"/>
          <a:ext cx="422238" cy="12252"/>
        </a:xfrm>
      </dgm:spPr>
      <dgm:t>
        <a:bodyPr/>
        <a:lstStyle/>
        <a:p>
          <a:endParaRPr lang="en-US"/>
        </a:p>
      </dgm:t>
    </dgm:pt>
    <dgm:pt modelId="{26336DBA-E790-4546-ABCA-DDAC89AEDA30}" type="sibTrans" cxnId="{19C1565A-DB23-4F9C-ABEF-4480DF7D14CE}">
      <dgm:prSet/>
      <dgm:spPr/>
      <dgm:t>
        <a:bodyPr/>
        <a:lstStyle/>
        <a:p>
          <a:endParaRPr lang="en-US"/>
        </a:p>
      </dgm:t>
    </dgm:pt>
    <dgm:pt modelId="{F87686C8-F658-4DC2-BC5F-AB0B4E40ED1C}">
      <dgm:prSet phldrT="[Text]" custT="1"/>
      <dgm:spPr>
        <a:xfrm>
          <a:off x="1074180" y="1076125"/>
          <a:ext cx="1231674" cy="543001"/>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16</a:t>
          </a: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Économie et statistiques  </a:t>
          </a:r>
        </a:p>
      </dgm:t>
    </dgm:pt>
    <dgm:pt modelId="{42DDAC3B-802E-470C-B26C-35741B306D27}" type="parTrans" cxnId="{0C88C0B3-8AAC-4FA9-BE4C-2222B2B4A1BE}">
      <dgm:prSet/>
      <dgm:spPr>
        <a:xfrm rot="9635897">
          <a:off x="2160256" y="1108179"/>
          <a:ext cx="384499" cy="12252"/>
        </a:xfrm>
      </dgm:spPr>
      <dgm:t>
        <a:bodyPr/>
        <a:lstStyle/>
        <a:p>
          <a:endParaRPr lang="en-US"/>
        </a:p>
      </dgm:t>
    </dgm:pt>
    <dgm:pt modelId="{FE7B45A4-A643-4A31-AD3B-09FF641A16EC}" type="sibTrans" cxnId="{0C88C0B3-8AAC-4FA9-BE4C-2222B2B4A1BE}">
      <dgm:prSet/>
      <dgm:spPr/>
      <dgm:t>
        <a:bodyPr/>
        <a:lstStyle/>
        <a:p>
          <a:endParaRPr lang="en-US"/>
        </a:p>
      </dgm:t>
    </dgm:pt>
    <dgm:pt modelId="{11C12EEB-5340-467D-991C-E6C3B5DBDAEA}">
      <dgm:prSet phldrT="[Text]" custT="1"/>
      <dgm:spPr>
        <a:xfrm>
          <a:off x="1065230" y="225908"/>
          <a:ext cx="1363893" cy="468880"/>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20 </a:t>
          </a: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Relations extérieures</a:t>
          </a:r>
        </a:p>
      </dgm:t>
    </dgm:pt>
    <dgm:pt modelId="{24258538-4C68-461F-9E82-62C8DF009C0A}" type="parTrans" cxnId="{AFEA8542-2500-4D00-B2F1-3B6B93AA3E37}">
      <dgm:prSet/>
      <dgm:spPr>
        <a:xfrm rot="12018079">
          <a:off x="2200369" y="687578"/>
          <a:ext cx="355209" cy="12252"/>
        </a:xfrm>
      </dgm:spPr>
      <dgm:t>
        <a:bodyPr/>
        <a:lstStyle/>
        <a:p>
          <a:endParaRPr lang="en-US"/>
        </a:p>
      </dgm:t>
    </dgm:pt>
    <dgm:pt modelId="{79B0886E-99F7-4F88-AD18-3A305D812CB8}" type="sibTrans" cxnId="{AFEA8542-2500-4D00-B2F1-3B6B93AA3E37}">
      <dgm:prSet/>
      <dgm:spPr/>
      <dgm:t>
        <a:bodyPr/>
        <a:lstStyle/>
        <a:p>
          <a:endParaRPr lang="en-US"/>
        </a:p>
      </dgm:t>
    </dgm:pt>
    <dgm:pt modelId="{08F189A1-AB47-41D1-8058-7A6DA66B3F52}" type="pres">
      <dgm:prSet presAssocID="{34E6C8D5-8D4F-4714-8A12-8F4599A8E760}" presName="cycle" presStyleCnt="0">
        <dgm:presLayoutVars>
          <dgm:chMax val="1"/>
          <dgm:dir/>
          <dgm:animLvl val="ctr"/>
          <dgm:resizeHandles val="exact"/>
        </dgm:presLayoutVars>
      </dgm:prSet>
      <dgm:spPr/>
      <dgm:t>
        <a:bodyPr/>
        <a:lstStyle/>
        <a:p>
          <a:endParaRPr lang="en-US"/>
        </a:p>
      </dgm:t>
    </dgm:pt>
    <dgm:pt modelId="{062AF917-2F47-4639-8A23-58AD52EC0F32}" type="pres">
      <dgm:prSet presAssocID="{DE541715-C648-404D-8124-F14F463E9202}" presName="centerShape" presStyleLbl="node0" presStyleIdx="0" presStyleCnt="1" custScaleX="295840" custLinFactNeighborX="0" custLinFactNeighborY="386"/>
      <dgm:spPr>
        <a:prstGeom prst="ellipse">
          <a:avLst/>
        </a:prstGeom>
      </dgm:spPr>
      <dgm:t>
        <a:bodyPr/>
        <a:lstStyle/>
        <a:p>
          <a:endParaRPr lang="en-US"/>
        </a:p>
      </dgm:t>
    </dgm:pt>
    <dgm:pt modelId="{DB73B42A-BE4F-46BC-B512-015EB15734E7}" type="pres">
      <dgm:prSet presAssocID="{E848F776-8237-42C9-A1C0-B5B0EB7FE51B}" presName="Name9" presStyleLbl="parChTrans1D2" presStyleIdx="0" presStyleCnt="8"/>
      <dgm:spPr>
        <a:custGeom>
          <a:avLst/>
          <a:gdLst/>
          <a:ahLst/>
          <a:cxnLst/>
          <a:rect l="0" t="0" r="0" b="0"/>
          <a:pathLst>
            <a:path>
              <a:moveTo>
                <a:pt x="0" y="6126"/>
              </a:moveTo>
              <a:lnTo>
                <a:pt x="257054" y="6126"/>
              </a:lnTo>
            </a:path>
          </a:pathLst>
        </a:custGeom>
      </dgm:spPr>
      <dgm:t>
        <a:bodyPr/>
        <a:lstStyle/>
        <a:p>
          <a:endParaRPr lang="en-US"/>
        </a:p>
      </dgm:t>
    </dgm:pt>
    <dgm:pt modelId="{498B4397-C22F-4D1E-9B41-E3ABFC4C6934}" type="pres">
      <dgm:prSet presAssocID="{E848F776-8237-42C9-A1C0-B5B0EB7FE51B}" presName="connTx" presStyleLbl="parChTrans1D2" presStyleIdx="0" presStyleCnt="8"/>
      <dgm:spPr/>
      <dgm:t>
        <a:bodyPr/>
        <a:lstStyle/>
        <a:p>
          <a:endParaRPr lang="en-US"/>
        </a:p>
      </dgm:t>
    </dgm:pt>
    <dgm:pt modelId="{8C16842D-5717-4E53-9353-18DF877708CF}" type="pres">
      <dgm:prSet presAssocID="{880B408D-A44E-4E41-A0D3-775A9D2AA162}" presName="node" presStyleLbl="node1" presStyleIdx="0" presStyleCnt="8" custScaleX="257893" custScaleY="115756" custRadScaleRad="88326" custRadScaleInc="-6063">
        <dgm:presLayoutVars>
          <dgm:bulletEnabled val="1"/>
        </dgm:presLayoutVars>
      </dgm:prSet>
      <dgm:spPr>
        <a:prstGeom prst="ellipse">
          <a:avLst/>
        </a:prstGeom>
      </dgm:spPr>
      <dgm:t>
        <a:bodyPr/>
        <a:lstStyle/>
        <a:p>
          <a:endParaRPr lang="en-US"/>
        </a:p>
      </dgm:t>
    </dgm:pt>
    <dgm:pt modelId="{F32845D8-3F89-45CE-82D0-5F6D6B81E25D}" type="pres">
      <dgm:prSet presAssocID="{8D28B5B3-293B-4D04-9ABB-EE16A5C97D16}" presName="Name9" presStyleLbl="parChTrans1D2" presStyleIdx="1" presStyleCnt="8"/>
      <dgm:spPr/>
      <dgm:t>
        <a:bodyPr/>
        <a:lstStyle/>
        <a:p>
          <a:endParaRPr lang="en-US"/>
        </a:p>
      </dgm:t>
    </dgm:pt>
    <dgm:pt modelId="{22743AED-C443-4F2B-8D4D-266AC58BB10F}" type="pres">
      <dgm:prSet presAssocID="{8D28B5B3-293B-4D04-9ABB-EE16A5C97D16}" presName="connTx" presStyleLbl="parChTrans1D2" presStyleIdx="1" presStyleCnt="8"/>
      <dgm:spPr/>
      <dgm:t>
        <a:bodyPr/>
        <a:lstStyle/>
        <a:p>
          <a:endParaRPr lang="en-US"/>
        </a:p>
      </dgm:t>
    </dgm:pt>
    <dgm:pt modelId="{56946440-4960-4194-9471-9ABCF62950BA}" type="pres">
      <dgm:prSet presAssocID="{7E91AD2C-2762-4D69-BFD6-4095380ECAB8}" presName="node" presStyleLbl="node1" presStyleIdx="1" presStyleCnt="8" custScaleX="284237" custScaleY="113971" custRadScaleRad="186501" custRadScaleInc="73292">
        <dgm:presLayoutVars>
          <dgm:bulletEnabled val="1"/>
        </dgm:presLayoutVars>
      </dgm:prSet>
      <dgm:spPr>
        <a:prstGeom prst="ellipse">
          <a:avLst/>
        </a:prstGeom>
      </dgm:spPr>
      <dgm:t>
        <a:bodyPr/>
        <a:lstStyle/>
        <a:p>
          <a:endParaRPr lang="en-US"/>
        </a:p>
      </dgm:t>
    </dgm:pt>
    <dgm:pt modelId="{5337AE63-3722-42CC-AF72-36670EB7C5E1}" type="pres">
      <dgm:prSet presAssocID="{7AF774ED-547E-4C04-8670-B0C1D08C5EE9}" presName="Name9" presStyleLbl="parChTrans1D2" presStyleIdx="2" presStyleCnt="8"/>
      <dgm:spPr>
        <a:custGeom>
          <a:avLst/>
          <a:gdLst/>
          <a:ahLst/>
          <a:cxnLst/>
          <a:rect l="0" t="0" r="0" b="0"/>
          <a:pathLst>
            <a:path>
              <a:moveTo>
                <a:pt x="0" y="6126"/>
              </a:moveTo>
              <a:lnTo>
                <a:pt x="1068037" y="6126"/>
              </a:lnTo>
            </a:path>
          </a:pathLst>
        </a:custGeom>
      </dgm:spPr>
      <dgm:t>
        <a:bodyPr/>
        <a:lstStyle/>
        <a:p>
          <a:endParaRPr lang="en-US"/>
        </a:p>
      </dgm:t>
    </dgm:pt>
    <dgm:pt modelId="{326412CE-9911-4799-A459-B56F02EB4473}" type="pres">
      <dgm:prSet presAssocID="{7AF774ED-547E-4C04-8670-B0C1D08C5EE9}" presName="connTx" presStyleLbl="parChTrans1D2" presStyleIdx="2" presStyleCnt="8"/>
      <dgm:spPr/>
      <dgm:t>
        <a:bodyPr/>
        <a:lstStyle/>
        <a:p>
          <a:endParaRPr lang="en-US"/>
        </a:p>
      </dgm:t>
    </dgm:pt>
    <dgm:pt modelId="{CED9197C-8322-406B-917C-172FA36E7B76}" type="pres">
      <dgm:prSet presAssocID="{960C5593-E0FF-4AA5-AA0B-E8BDFFBC5E53}" presName="node" presStyleLbl="node1" presStyleIdx="2" presStyleCnt="8" custScaleX="267836" custScaleY="137826" custRadScaleRad="203150" custRadScaleInc="-17366">
        <dgm:presLayoutVars>
          <dgm:bulletEnabled val="1"/>
        </dgm:presLayoutVars>
      </dgm:prSet>
      <dgm:spPr>
        <a:prstGeom prst="ellipse">
          <a:avLst/>
        </a:prstGeom>
      </dgm:spPr>
      <dgm:t>
        <a:bodyPr/>
        <a:lstStyle/>
        <a:p>
          <a:endParaRPr lang="en-US"/>
        </a:p>
      </dgm:t>
    </dgm:pt>
    <dgm:pt modelId="{4AC11394-3179-4EC5-A97F-D1A1B521CE2F}" type="pres">
      <dgm:prSet presAssocID="{4693CA52-075F-4BD8-ABEA-5368BE377DDA}" presName="Name9" presStyleLbl="parChTrans1D2" presStyleIdx="3" presStyleCnt="8"/>
      <dgm:spPr/>
      <dgm:t>
        <a:bodyPr/>
        <a:lstStyle/>
        <a:p>
          <a:endParaRPr lang="en-US"/>
        </a:p>
      </dgm:t>
    </dgm:pt>
    <dgm:pt modelId="{62A1F741-432F-46BE-AE07-15F0B6D5EA89}" type="pres">
      <dgm:prSet presAssocID="{4693CA52-075F-4BD8-ABEA-5368BE377DDA}" presName="connTx" presStyleLbl="parChTrans1D2" presStyleIdx="3" presStyleCnt="8"/>
      <dgm:spPr/>
      <dgm:t>
        <a:bodyPr/>
        <a:lstStyle/>
        <a:p>
          <a:endParaRPr lang="en-US"/>
        </a:p>
      </dgm:t>
    </dgm:pt>
    <dgm:pt modelId="{035B4C9A-0916-4FCC-A1CF-85DB358A289A}" type="pres">
      <dgm:prSet presAssocID="{4631C2C5-1554-4289-90B0-F2D55D1595B6}" presName="node" presStyleLbl="node1" presStyleIdx="3" presStyleCnt="8" custScaleX="233478" custScaleY="131096" custRadScaleRad="177716" custRadScaleInc="-94118">
        <dgm:presLayoutVars>
          <dgm:bulletEnabled val="1"/>
        </dgm:presLayoutVars>
      </dgm:prSet>
      <dgm:spPr>
        <a:prstGeom prst="ellipse">
          <a:avLst/>
        </a:prstGeom>
      </dgm:spPr>
      <dgm:t>
        <a:bodyPr/>
        <a:lstStyle/>
        <a:p>
          <a:endParaRPr lang="en-US"/>
        </a:p>
      </dgm:t>
    </dgm:pt>
    <dgm:pt modelId="{64248C57-3CE0-4657-BC67-6279BA0257B1}" type="pres">
      <dgm:prSet presAssocID="{45A6C23B-D452-4078-BA3A-466D0894B9EB}" presName="Name9" presStyleLbl="parChTrans1D2" presStyleIdx="4" presStyleCnt="8"/>
      <dgm:spPr/>
      <dgm:t>
        <a:bodyPr/>
        <a:lstStyle/>
        <a:p>
          <a:endParaRPr lang="en-US"/>
        </a:p>
      </dgm:t>
    </dgm:pt>
    <dgm:pt modelId="{C7C9B7EB-2DEF-4B99-8D38-AC2E9641BEB5}" type="pres">
      <dgm:prSet presAssocID="{45A6C23B-D452-4078-BA3A-466D0894B9EB}" presName="connTx" presStyleLbl="parChTrans1D2" presStyleIdx="4" presStyleCnt="8"/>
      <dgm:spPr/>
      <dgm:t>
        <a:bodyPr/>
        <a:lstStyle/>
        <a:p>
          <a:endParaRPr lang="en-US"/>
        </a:p>
      </dgm:t>
    </dgm:pt>
    <dgm:pt modelId="{976BA53C-17D4-4F7C-9078-1272C469C9E5}" type="pres">
      <dgm:prSet presAssocID="{5C260341-F1C3-4458-A657-957289015FC3}" presName="node" presStyleLbl="node1" presStyleIdx="4" presStyleCnt="8" custScaleX="275215" custScaleY="113526" custRadScaleRad="83760" custRadScaleInc="-877">
        <dgm:presLayoutVars>
          <dgm:bulletEnabled val="1"/>
        </dgm:presLayoutVars>
      </dgm:prSet>
      <dgm:spPr>
        <a:prstGeom prst="ellipse">
          <a:avLst/>
        </a:prstGeom>
      </dgm:spPr>
      <dgm:t>
        <a:bodyPr/>
        <a:lstStyle/>
        <a:p>
          <a:endParaRPr lang="en-US"/>
        </a:p>
      </dgm:t>
    </dgm:pt>
    <dgm:pt modelId="{73944B9B-8143-474E-A2B5-719E57EA1FE0}" type="pres">
      <dgm:prSet presAssocID="{42DDAC3B-802E-470C-B26C-35741B306D27}" presName="Name9" presStyleLbl="parChTrans1D2" presStyleIdx="5" presStyleCnt="8"/>
      <dgm:spPr/>
      <dgm:t>
        <a:bodyPr/>
        <a:lstStyle/>
        <a:p>
          <a:endParaRPr lang="en-US"/>
        </a:p>
      </dgm:t>
    </dgm:pt>
    <dgm:pt modelId="{F5AD7B03-58D4-4480-B85C-FFEEB047B4AA}" type="pres">
      <dgm:prSet presAssocID="{42DDAC3B-802E-470C-B26C-35741B306D27}" presName="connTx" presStyleLbl="parChTrans1D2" presStyleIdx="5" presStyleCnt="8"/>
      <dgm:spPr/>
      <dgm:t>
        <a:bodyPr/>
        <a:lstStyle/>
        <a:p>
          <a:endParaRPr lang="en-US"/>
        </a:p>
      </dgm:t>
    </dgm:pt>
    <dgm:pt modelId="{2BDBEDDB-6DE8-44DC-8FC2-1ED793273BD1}" type="pres">
      <dgm:prSet presAssocID="{F87686C8-F658-4DC2-BC5F-AB0B4E40ED1C}" presName="node" presStyleLbl="node1" presStyleIdx="5" presStyleCnt="8" custScaleX="241498" custScaleY="134290" custRadScaleRad="176272" custRadScaleInc="93672">
        <dgm:presLayoutVars>
          <dgm:bulletEnabled val="1"/>
        </dgm:presLayoutVars>
      </dgm:prSet>
      <dgm:spPr>
        <a:prstGeom prst="ellipse">
          <a:avLst/>
        </a:prstGeom>
      </dgm:spPr>
      <dgm:t>
        <a:bodyPr/>
        <a:lstStyle/>
        <a:p>
          <a:endParaRPr lang="en-US"/>
        </a:p>
      </dgm:t>
    </dgm:pt>
    <dgm:pt modelId="{ADF94B70-0D7F-4A27-8DF9-17BCD27F4A7A}" type="pres">
      <dgm:prSet presAssocID="{0FABC453-0A5C-4CAE-813B-F0494A34E025}" presName="Name9" presStyleLbl="parChTrans1D2" presStyleIdx="6" presStyleCnt="8"/>
      <dgm:spPr>
        <a:custGeom>
          <a:avLst/>
          <a:gdLst/>
          <a:ahLst/>
          <a:cxnLst/>
          <a:rect l="0" t="0" r="0" b="0"/>
          <a:pathLst>
            <a:path>
              <a:moveTo>
                <a:pt x="0" y="6126"/>
              </a:moveTo>
              <a:lnTo>
                <a:pt x="1090567" y="6126"/>
              </a:lnTo>
            </a:path>
          </a:pathLst>
        </a:custGeom>
      </dgm:spPr>
      <dgm:t>
        <a:bodyPr/>
        <a:lstStyle/>
        <a:p>
          <a:endParaRPr lang="en-US"/>
        </a:p>
      </dgm:t>
    </dgm:pt>
    <dgm:pt modelId="{EA4144E0-C5B2-4FC0-BDB2-550B61DB7DFD}" type="pres">
      <dgm:prSet presAssocID="{0FABC453-0A5C-4CAE-813B-F0494A34E025}" presName="connTx" presStyleLbl="parChTrans1D2" presStyleIdx="6" presStyleCnt="8"/>
      <dgm:spPr/>
      <dgm:t>
        <a:bodyPr/>
        <a:lstStyle/>
        <a:p>
          <a:endParaRPr lang="en-US"/>
        </a:p>
      </dgm:t>
    </dgm:pt>
    <dgm:pt modelId="{0FAF3FA1-8E6C-455E-B189-A468B3F4D8BC}" type="pres">
      <dgm:prSet presAssocID="{C06C39C9-71B8-489C-9C45-3DD37A424E39}" presName="node" presStyleLbl="node1" presStyleIdx="6" presStyleCnt="8" custScaleX="235509" custScaleY="137339" custRadScaleRad="207610" custRadScaleInc="10576">
        <dgm:presLayoutVars>
          <dgm:bulletEnabled val="1"/>
        </dgm:presLayoutVars>
      </dgm:prSet>
      <dgm:spPr>
        <a:prstGeom prst="ellipse">
          <a:avLst/>
        </a:prstGeom>
      </dgm:spPr>
      <dgm:t>
        <a:bodyPr/>
        <a:lstStyle/>
        <a:p>
          <a:endParaRPr lang="en-US"/>
        </a:p>
      </dgm:t>
    </dgm:pt>
    <dgm:pt modelId="{7DF391B8-9498-4F55-ACE3-A6D0DB9A80F6}" type="pres">
      <dgm:prSet presAssocID="{24258538-4C68-461F-9E82-62C8DF009C0A}" presName="Name9" presStyleLbl="parChTrans1D2" presStyleIdx="7" presStyleCnt="8"/>
      <dgm:spPr/>
      <dgm:t>
        <a:bodyPr/>
        <a:lstStyle/>
        <a:p>
          <a:endParaRPr lang="en-US"/>
        </a:p>
      </dgm:t>
    </dgm:pt>
    <dgm:pt modelId="{9D0B803B-5ADE-4578-AB67-EBE1C99F7C08}" type="pres">
      <dgm:prSet presAssocID="{24258538-4C68-461F-9E82-62C8DF009C0A}" presName="connTx" presStyleLbl="parChTrans1D2" presStyleIdx="7" presStyleCnt="8"/>
      <dgm:spPr/>
      <dgm:t>
        <a:bodyPr/>
        <a:lstStyle/>
        <a:p>
          <a:endParaRPr lang="en-US"/>
        </a:p>
      </dgm:t>
    </dgm:pt>
    <dgm:pt modelId="{E3F75BBA-60EC-4D9A-B0CC-E18ADA53928C}" type="pres">
      <dgm:prSet presAssocID="{11C12EEB-5340-467D-991C-E6C3B5DBDAEA}" presName="node" presStyleLbl="node1" presStyleIdx="7" presStyleCnt="8" custScaleX="271003" custScaleY="115959" custRadScaleRad="186240" custRadScaleInc="-78492">
        <dgm:presLayoutVars>
          <dgm:bulletEnabled val="1"/>
        </dgm:presLayoutVars>
      </dgm:prSet>
      <dgm:spPr>
        <a:prstGeom prst="ellipse">
          <a:avLst/>
        </a:prstGeom>
      </dgm:spPr>
      <dgm:t>
        <a:bodyPr/>
        <a:lstStyle/>
        <a:p>
          <a:endParaRPr lang="en-US"/>
        </a:p>
      </dgm:t>
    </dgm:pt>
  </dgm:ptLst>
  <dgm:cxnLst>
    <dgm:cxn modelId="{826D4B37-02AD-402A-94CE-5055804640BE}" type="presOf" srcId="{4693CA52-075F-4BD8-ABEA-5368BE377DDA}" destId="{62A1F741-432F-46BE-AE07-15F0B6D5EA89}" srcOrd="1" destOrd="0" presId="urn:microsoft.com/office/officeart/2005/8/layout/radial1"/>
    <dgm:cxn modelId="{BF65F824-D4F4-4A84-83B4-6B1944B62AAD}" srcId="{DE541715-C648-404D-8124-F14F463E9202}" destId="{4631C2C5-1554-4289-90B0-F2D55D1595B6}" srcOrd="3" destOrd="0" parTransId="{4693CA52-075F-4BD8-ABEA-5368BE377DDA}" sibTransId="{9B3CB24D-A47A-4081-B256-B868D89D5387}"/>
    <dgm:cxn modelId="{99D5B020-239A-4247-8F80-435A59FA702D}" type="presOf" srcId="{C06C39C9-71B8-489C-9C45-3DD37A424E39}" destId="{0FAF3FA1-8E6C-455E-B189-A468B3F4D8BC}" srcOrd="0" destOrd="0" presId="urn:microsoft.com/office/officeart/2005/8/layout/radial1"/>
    <dgm:cxn modelId="{A5DEA898-FB92-4B23-83D3-1C0017DD95CA}" type="presOf" srcId="{7AF774ED-547E-4C04-8670-B0C1D08C5EE9}" destId="{5337AE63-3722-42CC-AF72-36670EB7C5E1}" srcOrd="0" destOrd="0" presId="urn:microsoft.com/office/officeart/2005/8/layout/radial1"/>
    <dgm:cxn modelId="{47AA3E5F-E09F-4709-90D2-E5E12A4F9D7D}" type="presOf" srcId="{45A6C23B-D452-4078-BA3A-466D0894B9EB}" destId="{C7C9B7EB-2DEF-4B99-8D38-AC2E9641BEB5}" srcOrd="1" destOrd="0" presId="urn:microsoft.com/office/officeart/2005/8/layout/radial1"/>
    <dgm:cxn modelId="{D545CD03-A666-4B76-8D6F-36C59B105B53}" type="presOf" srcId="{8D28B5B3-293B-4D04-9ABB-EE16A5C97D16}" destId="{F32845D8-3F89-45CE-82D0-5F6D6B81E25D}" srcOrd="0" destOrd="0" presId="urn:microsoft.com/office/officeart/2005/8/layout/radial1"/>
    <dgm:cxn modelId="{78E16D2A-0203-4580-9C41-9A7860BD407A}" type="presOf" srcId="{24258538-4C68-461F-9E82-62C8DF009C0A}" destId="{7DF391B8-9498-4F55-ACE3-A6D0DB9A80F6}" srcOrd="0" destOrd="0" presId="urn:microsoft.com/office/officeart/2005/8/layout/radial1"/>
    <dgm:cxn modelId="{74B9D90A-C81C-418A-A708-8E6DE3996164}" type="presOf" srcId="{DE541715-C648-404D-8124-F14F463E9202}" destId="{062AF917-2F47-4639-8A23-58AD52EC0F32}" srcOrd="0" destOrd="0" presId="urn:microsoft.com/office/officeart/2005/8/layout/radial1"/>
    <dgm:cxn modelId="{40C2CCDE-D9C3-48CE-94FA-D9578FFE4B63}" type="presOf" srcId="{34E6C8D5-8D4F-4714-8A12-8F4599A8E760}" destId="{08F189A1-AB47-41D1-8058-7A6DA66B3F52}" srcOrd="0" destOrd="0" presId="urn:microsoft.com/office/officeart/2005/8/layout/radial1"/>
    <dgm:cxn modelId="{34887DE9-DD19-4DE3-8B13-89731F98AB5D}" type="presOf" srcId="{960C5593-E0FF-4AA5-AA0B-E8BDFFBC5E53}" destId="{CED9197C-8322-406B-917C-172FA36E7B76}" srcOrd="0" destOrd="0" presId="urn:microsoft.com/office/officeart/2005/8/layout/radial1"/>
    <dgm:cxn modelId="{3CE92B19-E637-49B5-A04C-D7A87A42FEE0}" type="presOf" srcId="{7AF774ED-547E-4C04-8670-B0C1D08C5EE9}" destId="{326412CE-9911-4799-A459-B56F02EB4473}" srcOrd="1" destOrd="0" presId="urn:microsoft.com/office/officeart/2005/8/layout/radial1"/>
    <dgm:cxn modelId="{74840586-A013-4343-BC9B-1C7EB915A7F1}" type="presOf" srcId="{880B408D-A44E-4E41-A0D3-775A9D2AA162}" destId="{8C16842D-5717-4E53-9353-18DF877708CF}" srcOrd="0" destOrd="0" presId="urn:microsoft.com/office/officeart/2005/8/layout/radial1"/>
    <dgm:cxn modelId="{C4B29F18-F3A1-4B8E-A1CB-8A4D9B32CBA1}" type="presOf" srcId="{42DDAC3B-802E-470C-B26C-35741B306D27}" destId="{73944B9B-8143-474E-A2B5-719E57EA1FE0}" srcOrd="0" destOrd="0" presId="urn:microsoft.com/office/officeart/2005/8/layout/radial1"/>
    <dgm:cxn modelId="{DA740704-6E02-4402-8325-D0302449434E}" srcId="{34E6C8D5-8D4F-4714-8A12-8F4599A8E760}" destId="{4F895710-9C0A-4357-A62A-B00C2B1BB2A2}" srcOrd="1" destOrd="0" parTransId="{4492527F-B2BC-4423-9ACC-2816666249A0}" sibTransId="{A0A859C5-79E5-4C97-AF72-54A6D166EEA1}"/>
    <dgm:cxn modelId="{7B9F1FA5-7D19-4769-A4CE-2C06F7091ABF}" type="presOf" srcId="{8D28B5B3-293B-4D04-9ABB-EE16A5C97D16}" destId="{22743AED-C443-4F2B-8D4D-266AC58BB10F}" srcOrd="1" destOrd="0" presId="urn:microsoft.com/office/officeart/2005/8/layout/radial1"/>
    <dgm:cxn modelId="{AFEA8542-2500-4D00-B2F1-3B6B93AA3E37}" srcId="{DE541715-C648-404D-8124-F14F463E9202}" destId="{11C12EEB-5340-467D-991C-E6C3B5DBDAEA}" srcOrd="7" destOrd="0" parTransId="{24258538-4C68-461F-9E82-62C8DF009C0A}" sibTransId="{79B0886E-99F7-4F88-AD18-3A305D812CB8}"/>
    <dgm:cxn modelId="{C4CE955B-C7EA-442D-BA54-FCED6F4F9301}" srcId="{DE541715-C648-404D-8124-F14F463E9202}" destId="{880B408D-A44E-4E41-A0D3-775A9D2AA162}" srcOrd="0" destOrd="0" parTransId="{E848F776-8237-42C9-A1C0-B5B0EB7FE51B}" sibTransId="{C6C0D1BD-440F-496E-8208-41C1352C17C4}"/>
    <dgm:cxn modelId="{0C88C0B3-8AAC-4FA9-BE4C-2222B2B4A1BE}" srcId="{DE541715-C648-404D-8124-F14F463E9202}" destId="{F87686C8-F658-4DC2-BC5F-AB0B4E40ED1C}" srcOrd="5" destOrd="0" parTransId="{42DDAC3B-802E-470C-B26C-35741B306D27}" sibTransId="{FE7B45A4-A643-4A31-AD3B-09FF641A16EC}"/>
    <dgm:cxn modelId="{0266A1D0-CEC9-45F3-8B31-A21772E8AA19}" srcId="{DE541715-C648-404D-8124-F14F463E9202}" destId="{5C260341-F1C3-4458-A657-957289015FC3}" srcOrd="4" destOrd="0" parTransId="{45A6C23B-D452-4078-BA3A-466D0894B9EB}" sibTransId="{89B7C331-6FB9-4771-84B2-9F75AB1415C9}"/>
    <dgm:cxn modelId="{248698A6-055B-40E3-B808-D624056EF2B0}" srcId="{DE541715-C648-404D-8124-F14F463E9202}" destId="{C06C39C9-71B8-489C-9C45-3DD37A424E39}" srcOrd="6" destOrd="0" parTransId="{0FABC453-0A5C-4CAE-813B-F0494A34E025}" sibTransId="{DCD34884-F96E-475A-9010-14DE66A403A6}"/>
    <dgm:cxn modelId="{FEF14BF0-0B46-43F4-96DD-E94AAC97FDD9}" type="presOf" srcId="{0FABC453-0A5C-4CAE-813B-F0494A34E025}" destId="{ADF94B70-0D7F-4A27-8DF9-17BCD27F4A7A}" srcOrd="0" destOrd="0" presId="urn:microsoft.com/office/officeart/2005/8/layout/radial1"/>
    <dgm:cxn modelId="{32140CB6-ABB8-4B9E-A26F-DD5D39B96E29}" type="presOf" srcId="{0FABC453-0A5C-4CAE-813B-F0494A34E025}" destId="{EA4144E0-C5B2-4FC0-BDB2-550B61DB7DFD}" srcOrd="1" destOrd="0" presId="urn:microsoft.com/office/officeart/2005/8/layout/radial1"/>
    <dgm:cxn modelId="{743A36B9-B351-414F-8DBA-85F4167A6E81}" type="presOf" srcId="{4631C2C5-1554-4289-90B0-F2D55D1595B6}" destId="{035B4C9A-0916-4FCC-A1CF-85DB358A289A}" srcOrd="0" destOrd="0" presId="urn:microsoft.com/office/officeart/2005/8/layout/radial1"/>
    <dgm:cxn modelId="{AB06B599-550D-4F11-B893-43E53B545229}" type="presOf" srcId="{42DDAC3B-802E-470C-B26C-35741B306D27}" destId="{F5AD7B03-58D4-4480-B85C-FFEEB047B4AA}" srcOrd="1" destOrd="0" presId="urn:microsoft.com/office/officeart/2005/8/layout/radial1"/>
    <dgm:cxn modelId="{C2330DE5-06F4-41E2-93C3-A5C9A1210932}" type="presOf" srcId="{45A6C23B-D452-4078-BA3A-466D0894B9EB}" destId="{64248C57-3CE0-4657-BC67-6279BA0257B1}" srcOrd="0" destOrd="0" presId="urn:microsoft.com/office/officeart/2005/8/layout/radial1"/>
    <dgm:cxn modelId="{98AADA1A-A5C9-4966-A94B-AD3683DDBAA5}" type="presOf" srcId="{F87686C8-F658-4DC2-BC5F-AB0B4E40ED1C}" destId="{2BDBEDDB-6DE8-44DC-8FC2-1ED793273BD1}" srcOrd="0" destOrd="0" presId="urn:microsoft.com/office/officeart/2005/8/layout/radial1"/>
    <dgm:cxn modelId="{013B32E0-A3DD-47CF-AC66-4F837038F8A5}" type="presOf" srcId="{5C260341-F1C3-4458-A657-957289015FC3}" destId="{976BA53C-17D4-4F7C-9078-1272C469C9E5}" srcOrd="0" destOrd="0" presId="urn:microsoft.com/office/officeart/2005/8/layout/radial1"/>
    <dgm:cxn modelId="{C4E7BEC9-B90B-4180-8E9A-D451DB52AF7F}" type="presOf" srcId="{11C12EEB-5340-467D-991C-E6C3B5DBDAEA}" destId="{E3F75BBA-60EC-4D9A-B0CC-E18ADA53928C}" srcOrd="0" destOrd="0" presId="urn:microsoft.com/office/officeart/2005/8/layout/radial1"/>
    <dgm:cxn modelId="{22CFBE58-87EC-4B70-B1CC-D1D1DB4968C7}" srcId="{34E6C8D5-8D4F-4714-8A12-8F4599A8E760}" destId="{DE541715-C648-404D-8124-F14F463E9202}" srcOrd="0" destOrd="0" parTransId="{D7DB3476-9C56-4274-B046-F742EA8694F1}" sibTransId="{7CA7849B-681D-4C0D-A708-F47E97871BB2}"/>
    <dgm:cxn modelId="{A2C53E74-1EB4-4AC1-AF60-76DBAA8F5472}" type="presOf" srcId="{7E91AD2C-2762-4D69-BFD6-4095380ECAB8}" destId="{56946440-4960-4194-9471-9ABCF62950BA}" srcOrd="0" destOrd="0" presId="urn:microsoft.com/office/officeart/2005/8/layout/radial1"/>
    <dgm:cxn modelId="{1DAB7F04-60A4-4548-A859-28CA2711A19F}" type="presOf" srcId="{E848F776-8237-42C9-A1C0-B5B0EB7FE51B}" destId="{DB73B42A-BE4F-46BC-B512-015EB15734E7}" srcOrd="0" destOrd="0" presId="urn:microsoft.com/office/officeart/2005/8/layout/radial1"/>
    <dgm:cxn modelId="{35F27F22-ADD7-4764-B2C9-50B67AEE317C}" type="presOf" srcId="{24258538-4C68-461F-9E82-62C8DF009C0A}" destId="{9D0B803B-5ADE-4578-AB67-EBE1C99F7C08}" srcOrd="1" destOrd="0" presId="urn:microsoft.com/office/officeart/2005/8/layout/radial1"/>
    <dgm:cxn modelId="{47C6CC48-10EB-40DB-B066-997BC3313EA6}" type="presOf" srcId="{E848F776-8237-42C9-A1C0-B5B0EB7FE51B}" destId="{498B4397-C22F-4D1E-9B41-E3ABFC4C6934}" srcOrd="1" destOrd="0" presId="urn:microsoft.com/office/officeart/2005/8/layout/radial1"/>
    <dgm:cxn modelId="{19C1565A-DB23-4F9C-ABEF-4480DF7D14CE}" srcId="{DE541715-C648-404D-8124-F14F463E9202}" destId="{7E91AD2C-2762-4D69-BFD6-4095380ECAB8}" srcOrd="1" destOrd="0" parTransId="{8D28B5B3-293B-4D04-9ABB-EE16A5C97D16}" sibTransId="{26336DBA-E790-4546-ABCA-DDAC89AEDA30}"/>
    <dgm:cxn modelId="{7A36424B-0E25-4145-A235-6C57ED35AEED}" type="presOf" srcId="{4693CA52-075F-4BD8-ABEA-5368BE377DDA}" destId="{4AC11394-3179-4EC5-A97F-D1A1B521CE2F}" srcOrd="0" destOrd="0" presId="urn:microsoft.com/office/officeart/2005/8/layout/radial1"/>
    <dgm:cxn modelId="{529D05ED-97D5-4116-BE13-DE3D93351F7F}" srcId="{DE541715-C648-404D-8124-F14F463E9202}" destId="{960C5593-E0FF-4AA5-AA0B-E8BDFFBC5E53}" srcOrd="2" destOrd="0" parTransId="{7AF774ED-547E-4C04-8670-B0C1D08C5EE9}" sibTransId="{88F12DF7-015F-4F26-950A-DAE493699644}"/>
    <dgm:cxn modelId="{A75854E9-BADD-4431-B5F9-51763E10D3A9}" type="presParOf" srcId="{08F189A1-AB47-41D1-8058-7A6DA66B3F52}" destId="{062AF917-2F47-4639-8A23-58AD52EC0F32}" srcOrd="0" destOrd="0" presId="urn:microsoft.com/office/officeart/2005/8/layout/radial1"/>
    <dgm:cxn modelId="{001AFA66-72B6-41D5-92FA-DD68B6ABCEEB}" type="presParOf" srcId="{08F189A1-AB47-41D1-8058-7A6DA66B3F52}" destId="{DB73B42A-BE4F-46BC-B512-015EB15734E7}" srcOrd="1" destOrd="0" presId="urn:microsoft.com/office/officeart/2005/8/layout/radial1"/>
    <dgm:cxn modelId="{B843598B-DC11-4190-8DAB-E19F9A1B1EF9}" type="presParOf" srcId="{DB73B42A-BE4F-46BC-B512-015EB15734E7}" destId="{498B4397-C22F-4D1E-9B41-E3ABFC4C6934}" srcOrd="0" destOrd="0" presId="urn:microsoft.com/office/officeart/2005/8/layout/radial1"/>
    <dgm:cxn modelId="{9B8DB517-A02C-495D-AB9B-E49AB1BD6CC4}" type="presParOf" srcId="{08F189A1-AB47-41D1-8058-7A6DA66B3F52}" destId="{8C16842D-5717-4E53-9353-18DF877708CF}" srcOrd="2" destOrd="0" presId="urn:microsoft.com/office/officeart/2005/8/layout/radial1"/>
    <dgm:cxn modelId="{52FD5822-5110-416C-9471-0F2DAAD11B36}" type="presParOf" srcId="{08F189A1-AB47-41D1-8058-7A6DA66B3F52}" destId="{F32845D8-3F89-45CE-82D0-5F6D6B81E25D}" srcOrd="3" destOrd="0" presId="urn:microsoft.com/office/officeart/2005/8/layout/radial1"/>
    <dgm:cxn modelId="{ED03ACDB-2D40-4DBD-9E62-A9E0F068BD46}" type="presParOf" srcId="{F32845D8-3F89-45CE-82D0-5F6D6B81E25D}" destId="{22743AED-C443-4F2B-8D4D-266AC58BB10F}" srcOrd="0" destOrd="0" presId="urn:microsoft.com/office/officeart/2005/8/layout/radial1"/>
    <dgm:cxn modelId="{B66A787B-4067-418E-805B-56DF394C9E12}" type="presParOf" srcId="{08F189A1-AB47-41D1-8058-7A6DA66B3F52}" destId="{56946440-4960-4194-9471-9ABCF62950BA}" srcOrd="4" destOrd="0" presId="urn:microsoft.com/office/officeart/2005/8/layout/radial1"/>
    <dgm:cxn modelId="{14984C77-F4DE-4F05-8701-65AF2FAC5B1D}" type="presParOf" srcId="{08F189A1-AB47-41D1-8058-7A6DA66B3F52}" destId="{5337AE63-3722-42CC-AF72-36670EB7C5E1}" srcOrd="5" destOrd="0" presId="urn:microsoft.com/office/officeart/2005/8/layout/radial1"/>
    <dgm:cxn modelId="{1211B4CD-1160-46F1-8465-715DA8F49AE1}" type="presParOf" srcId="{5337AE63-3722-42CC-AF72-36670EB7C5E1}" destId="{326412CE-9911-4799-A459-B56F02EB4473}" srcOrd="0" destOrd="0" presId="urn:microsoft.com/office/officeart/2005/8/layout/radial1"/>
    <dgm:cxn modelId="{9EA6F9D2-D690-41DE-ABE9-BD9F3FCB29AE}" type="presParOf" srcId="{08F189A1-AB47-41D1-8058-7A6DA66B3F52}" destId="{CED9197C-8322-406B-917C-172FA36E7B76}" srcOrd="6" destOrd="0" presId="urn:microsoft.com/office/officeart/2005/8/layout/radial1"/>
    <dgm:cxn modelId="{C3B1D632-B415-4745-B52E-2ED607CE53F9}" type="presParOf" srcId="{08F189A1-AB47-41D1-8058-7A6DA66B3F52}" destId="{4AC11394-3179-4EC5-A97F-D1A1B521CE2F}" srcOrd="7" destOrd="0" presId="urn:microsoft.com/office/officeart/2005/8/layout/radial1"/>
    <dgm:cxn modelId="{68E8B931-4385-4C88-A60A-F766C7564A4B}" type="presParOf" srcId="{4AC11394-3179-4EC5-A97F-D1A1B521CE2F}" destId="{62A1F741-432F-46BE-AE07-15F0B6D5EA89}" srcOrd="0" destOrd="0" presId="urn:microsoft.com/office/officeart/2005/8/layout/radial1"/>
    <dgm:cxn modelId="{0D1BD1BF-39D0-41A4-993F-CCA077CD9B03}" type="presParOf" srcId="{08F189A1-AB47-41D1-8058-7A6DA66B3F52}" destId="{035B4C9A-0916-4FCC-A1CF-85DB358A289A}" srcOrd="8" destOrd="0" presId="urn:microsoft.com/office/officeart/2005/8/layout/radial1"/>
    <dgm:cxn modelId="{DF0E272B-ED3F-43A4-B65D-5EA1E9D947D0}" type="presParOf" srcId="{08F189A1-AB47-41D1-8058-7A6DA66B3F52}" destId="{64248C57-3CE0-4657-BC67-6279BA0257B1}" srcOrd="9" destOrd="0" presId="urn:microsoft.com/office/officeart/2005/8/layout/radial1"/>
    <dgm:cxn modelId="{11403EFD-4227-4D25-BF79-9FA51441F015}" type="presParOf" srcId="{64248C57-3CE0-4657-BC67-6279BA0257B1}" destId="{C7C9B7EB-2DEF-4B99-8D38-AC2E9641BEB5}" srcOrd="0" destOrd="0" presId="urn:microsoft.com/office/officeart/2005/8/layout/radial1"/>
    <dgm:cxn modelId="{1041ABCD-FDE7-477C-B0BF-819918B20743}" type="presParOf" srcId="{08F189A1-AB47-41D1-8058-7A6DA66B3F52}" destId="{976BA53C-17D4-4F7C-9078-1272C469C9E5}" srcOrd="10" destOrd="0" presId="urn:microsoft.com/office/officeart/2005/8/layout/radial1"/>
    <dgm:cxn modelId="{63C69FEE-BE96-4495-BB09-A3ECDC3F2036}" type="presParOf" srcId="{08F189A1-AB47-41D1-8058-7A6DA66B3F52}" destId="{73944B9B-8143-474E-A2B5-719E57EA1FE0}" srcOrd="11" destOrd="0" presId="urn:microsoft.com/office/officeart/2005/8/layout/radial1"/>
    <dgm:cxn modelId="{8E119B47-2804-4269-8211-F741293C1171}" type="presParOf" srcId="{73944B9B-8143-474E-A2B5-719E57EA1FE0}" destId="{F5AD7B03-58D4-4480-B85C-FFEEB047B4AA}" srcOrd="0" destOrd="0" presId="urn:microsoft.com/office/officeart/2005/8/layout/radial1"/>
    <dgm:cxn modelId="{35747468-D624-4B17-8184-61D587A6FE3D}" type="presParOf" srcId="{08F189A1-AB47-41D1-8058-7A6DA66B3F52}" destId="{2BDBEDDB-6DE8-44DC-8FC2-1ED793273BD1}" srcOrd="12" destOrd="0" presId="urn:microsoft.com/office/officeart/2005/8/layout/radial1"/>
    <dgm:cxn modelId="{57A359EE-6C9C-47B2-BDAF-A14321CDE7F1}" type="presParOf" srcId="{08F189A1-AB47-41D1-8058-7A6DA66B3F52}" destId="{ADF94B70-0D7F-4A27-8DF9-17BCD27F4A7A}" srcOrd="13" destOrd="0" presId="urn:microsoft.com/office/officeart/2005/8/layout/radial1"/>
    <dgm:cxn modelId="{48B4911A-D836-4C16-A2E3-00DDABDC1D90}" type="presParOf" srcId="{ADF94B70-0D7F-4A27-8DF9-17BCD27F4A7A}" destId="{EA4144E0-C5B2-4FC0-BDB2-550B61DB7DFD}" srcOrd="0" destOrd="0" presId="urn:microsoft.com/office/officeart/2005/8/layout/radial1"/>
    <dgm:cxn modelId="{68BD09B3-994F-48B3-8102-5F1B897C6691}" type="presParOf" srcId="{08F189A1-AB47-41D1-8058-7A6DA66B3F52}" destId="{0FAF3FA1-8E6C-455E-B189-A468B3F4D8BC}" srcOrd="14" destOrd="0" presId="urn:microsoft.com/office/officeart/2005/8/layout/radial1"/>
    <dgm:cxn modelId="{2F1293CB-7DC9-429F-9134-31A9BAF3F5FC}" type="presParOf" srcId="{08F189A1-AB47-41D1-8058-7A6DA66B3F52}" destId="{7DF391B8-9498-4F55-ACE3-A6D0DB9A80F6}" srcOrd="15" destOrd="0" presId="urn:microsoft.com/office/officeart/2005/8/layout/radial1"/>
    <dgm:cxn modelId="{6FBA4BB7-701E-4AE4-B36D-11A320D312E9}" type="presParOf" srcId="{7DF391B8-9498-4F55-ACE3-A6D0DB9A80F6}" destId="{9D0B803B-5ADE-4578-AB67-EBE1C99F7C08}" srcOrd="0" destOrd="0" presId="urn:microsoft.com/office/officeart/2005/8/layout/radial1"/>
    <dgm:cxn modelId="{316C6E70-7FD8-4EC9-BEBD-218FE0EA8484}" type="presParOf" srcId="{08F189A1-AB47-41D1-8058-7A6DA66B3F52}" destId="{E3F75BBA-60EC-4D9A-B0CC-E18ADA53928C}" srcOrd="16" destOrd="0" presId="urn:microsoft.com/office/officeart/2005/8/layout/radial1"/>
  </dgm:cxnLst>
  <dgm:bg/>
  <dgm:whole/>
  <dgm:extLst>
    <a:ext uri="http://schemas.microsoft.com/office/drawing/2008/diagram">
      <dsp:dataModelExt xmlns:dsp="http://schemas.microsoft.com/office/drawing/2008/diagram" relId="rId147"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34E6C8D5-8D4F-4714-8A12-8F4599A8E760}"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4F895710-9C0A-4357-A62A-B00C2B1BB2A2}">
      <dgm:prSet phldrT="[Text]"/>
      <dgm:spPr/>
      <dgm:t>
        <a:bodyPr/>
        <a:lstStyle/>
        <a:p>
          <a:endParaRPr lang="en-US"/>
        </a:p>
      </dgm:t>
    </dgm:pt>
    <dgm:pt modelId="{C06C39C9-71B8-489C-9C45-3DD37A424E39}">
      <dgm:prSet phldrT="[Text]" custT="1"/>
      <dgm:spPr>
        <a:xfrm>
          <a:off x="466725" y="515049"/>
          <a:ext cx="1261513" cy="454207"/>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10  </a:t>
          </a: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Pays en transition et pays développés </a:t>
          </a:r>
        </a:p>
      </dgm:t>
    </dgm:pt>
    <dgm:pt modelId="{4631C2C5-1554-4289-90B0-F2D55D1595B6}">
      <dgm:prSet phldrT="[Text]" custT="1"/>
      <dgm:spPr>
        <a:xfrm>
          <a:off x="4188545" y="516645"/>
          <a:ext cx="1459781" cy="453704"/>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9</a:t>
          </a: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Bureaux régionaux</a:t>
          </a:r>
        </a:p>
      </dgm:t>
    </dgm:pt>
    <dgm:pt modelId="{DE541715-C648-404D-8124-F14F463E9202}">
      <dgm:prSet phldrT="[Text]" custT="1"/>
      <dgm:spPr>
        <a:xfrm>
          <a:off x="2333625" y="538314"/>
          <a:ext cx="1085848" cy="409019"/>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gm:spPr>
      <dgm:t>
        <a:bodyPr/>
        <a:lstStyle/>
        <a:p>
          <a:pPr algn="ctr"/>
          <a:r>
            <a:rPr lang="en-US"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2</a:t>
          </a:r>
        </a:p>
      </dgm:t>
    </dgm:pt>
    <dgm:pt modelId="{7CA7849B-681D-4C0D-A708-F47E97871BB2}" type="sibTrans" cxnId="{22CFBE58-87EC-4B70-B1CC-D1D1DB4968C7}">
      <dgm:prSet/>
      <dgm:spPr/>
      <dgm:t>
        <a:bodyPr/>
        <a:lstStyle/>
        <a:p>
          <a:endParaRPr lang="en-US"/>
        </a:p>
      </dgm:t>
    </dgm:pt>
    <dgm:pt modelId="{D7DB3476-9C56-4274-B046-F742EA8694F1}" type="parTrans" cxnId="{22CFBE58-87EC-4B70-B1CC-D1D1DB4968C7}">
      <dgm:prSet/>
      <dgm:spPr/>
      <dgm:t>
        <a:bodyPr/>
        <a:lstStyle/>
        <a:p>
          <a:endParaRPr lang="en-US"/>
        </a:p>
      </dgm:t>
    </dgm:pt>
    <dgm:pt modelId="{A0A859C5-79E5-4C97-AF72-54A6D166EEA1}" type="sibTrans" cxnId="{DA740704-6E02-4402-8325-D0302449434E}">
      <dgm:prSet/>
      <dgm:spPr/>
      <dgm:t>
        <a:bodyPr/>
        <a:lstStyle/>
        <a:p>
          <a:endParaRPr lang="en-US"/>
        </a:p>
      </dgm:t>
    </dgm:pt>
    <dgm:pt modelId="{4492527F-B2BC-4423-9ACC-2816666249A0}" type="parTrans" cxnId="{DA740704-6E02-4402-8325-D0302449434E}">
      <dgm:prSet/>
      <dgm:spPr/>
      <dgm:t>
        <a:bodyPr/>
        <a:lstStyle/>
        <a:p>
          <a:endParaRPr lang="en-US"/>
        </a:p>
      </dgm:t>
    </dgm:pt>
    <dgm:pt modelId="{DCD34884-F96E-475A-9010-14DE66A403A6}" type="sibTrans" cxnId="{248698A6-055B-40E3-B808-D624056EF2B0}">
      <dgm:prSet/>
      <dgm:spPr/>
      <dgm:t>
        <a:bodyPr/>
        <a:lstStyle/>
        <a:p>
          <a:endParaRPr lang="en-US"/>
        </a:p>
      </dgm:t>
    </dgm:pt>
    <dgm:pt modelId="{0FABC453-0A5C-4CAE-813B-F0494A34E025}" type="parTrans" cxnId="{248698A6-055B-40E3-B808-D624056EF2B0}">
      <dgm:prSet/>
      <dgm:spPr>
        <a:xfrm rot="10801296">
          <a:off x="1728239" y="736106"/>
          <a:ext cx="605386" cy="12797"/>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9B3CB24D-A47A-4081-B256-B868D89D5387}" type="sibTrans" cxnId="{BF65F824-D4F4-4A84-83B4-6B1944B62AAD}">
      <dgm:prSet/>
      <dgm:spPr/>
      <dgm:t>
        <a:bodyPr/>
        <a:lstStyle/>
        <a:p>
          <a:endParaRPr lang="en-US"/>
        </a:p>
      </dgm:t>
    </dgm:pt>
    <dgm:pt modelId="{4693CA52-075F-4BD8-ABEA-5368BE377DDA}" type="parTrans" cxnId="{BF65F824-D4F4-4A84-83B4-6B1944B62AAD}">
      <dgm:prSet/>
      <dgm:spPr>
        <a:xfrm rot="1134">
          <a:off x="3419473" y="736731"/>
          <a:ext cx="769072" cy="12797"/>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08F189A1-AB47-41D1-8058-7A6DA66B3F52}" type="pres">
      <dgm:prSet presAssocID="{34E6C8D5-8D4F-4714-8A12-8F4599A8E760}" presName="cycle" presStyleCnt="0">
        <dgm:presLayoutVars>
          <dgm:chMax val="1"/>
          <dgm:dir/>
          <dgm:animLvl val="ctr"/>
          <dgm:resizeHandles val="exact"/>
        </dgm:presLayoutVars>
      </dgm:prSet>
      <dgm:spPr/>
      <dgm:t>
        <a:bodyPr/>
        <a:lstStyle/>
        <a:p>
          <a:endParaRPr lang="en-US"/>
        </a:p>
      </dgm:t>
    </dgm:pt>
    <dgm:pt modelId="{062AF917-2F47-4639-8A23-58AD52EC0F32}" type="pres">
      <dgm:prSet presAssocID="{DE541715-C648-404D-8124-F14F463E9202}" presName="centerShape" presStyleLbl="node0" presStyleIdx="0" presStyleCnt="1" custScaleX="334155"/>
      <dgm:spPr>
        <a:prstGeom prst="ellipse">
          <a:avLst/>
        </a:prstGeom>
      </dgm:spPr>
      <dgm:t>
        <a:bodyPr/>
        <a:lstStyle/>
        <a:p>
          <a:endParaRPr lang="en-US"/>
        </a:p>
      </dgm:t>
    </dgm:pt>
    <dgm:pt modelId="{4AC11394-3179-4EC5-A97F-D1A1B521CE2F}" type="pres">
      <dgm:prSet presAssocID="{4693CA52-075F-4BD8-ABEA-5368BE377DDA}" presName="Name9" presStyleLbl="parChTrans1D2" presStyleIdx="0" presStyleCnt="2"/>
      <dgm:spPr>
        <a:custGeom>
          <a:avLst/>
          <a:gdLst/>
          <a:ahLst/>
          <a:cxnLst/>
          <a:rect l="0" t="0" r="0" b="0"/>
          <a:pathLst>
            <a:path>
              <a:moveTo>
                <a:pt x="0" y="6398"/>
              </a:moveTo>
              <a:lnTo>
                <a:pt x="769072" y="6398"/>
              </a:lnTo>
            </a:path>
          </a:pathLst>
        </a:custGeom>
      </dgm:spPr>
      <dgm:t>
        <a:bodyPr/>
        <a:lstStyle/>
        <a:p>
          <a:endParaRPr lang="en-US"/>
        </a:p>
      </dgm:t>
    </dgm:pt>
    <dgm:pt modelId="{62A1F741-432F-46BE-AE07-15F0B6D5EA89}" type="pres">
      <dgm:prSet presAssocID="{4693CA52-075F-4BD8-ABEA-5368BE377DDA}" presName="connTx" presStyleLbl="parChTrans1D2" presStyleIdx="0" presStyleCnt="2"/>
      <dgm:spPr/>
      <dgm:t>
        <a:bodyPr/>
        <a:lstStyle/>
        <a:p>
          <a:endParaRPr lang="en-US"/>
        </a:p>
      </dgm:t>
    </dgm:pt>
    <dgm:pt modelId="{035B4C9A-0916-4FCC-A1CF-85DB358A289A}" type="pres">
      <dgm:prSet presAssocID="{4631C2C5-1554-4289-90B0-F2D55D1595B6}" presName="node" presStyleLbl="node1" presStyleIdx="0" presStyleCnt="2" custScaleX="310991" custScaleY="143294" custRadScaleRad="383284" custRadScaleInc="100021">
        <dgm:presLayoutVars>
          <dgm:bulletEnabled val="1"/>
        </dgm:presLayoutVars>
      </dgm:prSet>
      <dgm:spPr>
        <a:prstGeom prst="ellipse">
          <a:avLst/>
        </a:prstGeom>
      </dgm:spPr>
      <dgm:t>
        <a:bodyPr/>
        <a:lstStyle/>
        <a:p>
          <a:endParaRPr lang="en-US"/>
        </a:p>
      </dgm:t>
    </dgm:pt>
    <dgm:pt modelId="{ADF94B70-0D7F-4A27-8DF9-17BCD27F4A7A}" type="pres">
      <dgm:prSet presAssocID="{0FABC453-0A5C-4CAE-813B-F0494A34E025}" presName="Name9" presStyleLbl="parChTrans1D2" presStyleIdx="1" presStyleCnt="2"/>
      <dgm:spPr>
        <a:custGeom>
          <a:avLst/>
          <a:gdLst/>
          <a:ahLst/>
          <a:cxnLst/>
          <a:rect l="0" t="0" r="0" b="0"/>
          <a:pathLst>
            <a:path>
              <a:moveTo>
                <a:pt x="0" y="6398"/>
              </a:moveTo>
              <a:lnTo>
                <a:pt x="605386" y="6398"/>
              </a:lnTo>
            </a:path>
          </a:pathLst>
        </a:custGeom>
      </dgm:spPr>
      <dgm:t>
        <a:bodyPr/>
        <a:lstStyle/>
        <a:p>
          <a:endParaRPr lang="en-US"/>
        </a:p>
      </dgm:t>
    </dgm:pt>
    <dgm:pt modelId="{EA4144E0-C5B2-4FC0-BDB2-550B61DB7DFD}" type="pres">
      <dgm:prSet presAssocID="{0FABC453-0A5C-4CAE-813B-F0494A34E025}" presName="connTx" presStyleLbl="parChTrans1D2" presStyleIdx="1" presStyleCnt="2"/>
      <dgm:spPr/>
      <dgm:t>
        <a:bodyPr/>
        <a:lstStyle/>
        <a:p>
          <a:endParaRPr lang="en-US"/>
        </a:p>
      </dgm:t>
    </dgm:pt>
    <dgm:pt modelId="{0FAF3FA1-8E6C-455E-B189-A468B3F4D8BC}" type="pres">
      <dgm:prSet presAssocID="{C06C39C9-71B8-489C-9C45-3DD37A424E39}" presName="node" presStyleLbl="node1" presStyleIdx="1" presStyleCnt="2" custScaleX="334534" custScaleY="140246" custRadScaleRad="333950" custRadScaleInc="100024">
        <dgm:presLayoutVars>
          <dgm:bulletEnabled val="1"/>
        </dgm:presLayoutVars>
      </dgm:prSet>
      <dgm:spPr>
        <a:prstGeom prst="ellipse">
          <a:avLst/>
        </a:prstGeom>
      </dgm:spPr>
      <dgm:t>
        <a:bodyPr/>
        <a:lstStyle/>
        <a:p>
          <a:endParaRPr lang="en-US"/>
        </a:p>
      </dgm:t>
    </dgm:pt>
  </dgm:ptLst>
  <dgm:cxnLst>
    <dgm:cxn modelId="{DA740704-6E02-4402-8325-D0302449434E}" srcId="{34E6C8D5-8D4F-4714-8A12-8F4599A8E760}" destId="{4F895710-9C0A-4357-A62A-B00C2B1BB2A2}" srcOrd="1" destOrd="0" parTransId="{4492527F-B2BC-4423-9ACC-2816666249A0}" sibTransId="{A0A859C5-79E5-4C97-AF72-54A6D166EEA1}"/>
    <dgm:cxn modelId="{9F087FA2-E66E-4096-9410-E35D411C2073}" type="presOf" srcId="{0FABC453-0A5C-4CAE-813B-F0494A34E025}" destId="{EA4144E0-C5B2-4FC0-BDB2-550B61DB7DFD}" srcOrd="1" destOrd="0" presId="urn:microsoft.com/office/officeart/2005/8/layout/radial1"/>
    <dgm:cxn modelId="{8CCA344B-1DDA-4DF1-922A-C4B3463EC1A9}" type="presOf" srcId="{C06C39C9-71B8-489C-9C45-3DD37A424E39}" destId="{0FAF3FA1-8E6C-455E-B189-A468B3F4D8BC}" srcOrd="0" destOrd="0" presId="urn:microsoft.com/office/officeart/2005/8/layout/radial1"/>
    <dgm:cxn modelId="{22CFBE58-87EC-4B70-B1CC-D1D1DB4968C7}" srcId="{34E6C8D5-8D4F-4714-8A12-8F4599A8E760}" destId="{DE541715-C648-404D-8124-F14F463E9202}" srcOrd="0" destOrd="0" parTransId="{D7DB3476-9C56-4274-B046-F742EA8694F1}" sibTransId="{7CA7849B-681D-4C0D-A708-F47E97871BB2}"/>
    <dgm:cxn modelId="{BF65F824-D4F4-4A84-83B4-6B1944B62AAD}" srcId="{DE541715-C648-404D-8124-F14F463E9202}" destId="{4631C2C5-1554-4289-90B0-F2D55D1595B6}" srcOrd="0" destOrd="0" parTransId="{4693CA52-075F-4BD8-ABEA-5368BE377DDA}" sibTransId="{9B3CB24D-A47A-4081-B256-B868D89D5387}"/>
    <dgm:cxn modelId="{BB14D126-9EB6-4672-B239-89799F57990A}" type="presOf" srcId="{0FABC453-0A5C-4CAE-813B-F0494A34E025}" destId="{ADF94B70-0D7F-4A27-8DF9-17BCD27F4A7A}" srcOrd="0" destOrd="0" presId="urn:microsoft.com/office/officeart/2005/8/layout/radial1"/>
    <dgm:cxn modelId="{C96CFD94-63FE-4A58-ABF3-3F53AAFB7655}" type="presOf" srcId="{4693CA52-075F-4BD8-ABEA-5368BE377DDA}" destId="{62A1F741-432F-46BE-AE07-15F0B6D5EA89}" srcOrd="1" destOrd="0" presId="urn:microsoft.com/office/officeart/2005/8/layout/radial1"/>
    <dgm:cxn modelId="{D3AC74AC-6282-4636-AC72-780456D8D50A}" type="presOf" srcId="{4693CA52-075F-4BD8-ABEA-5368BE377DDA}" destId="{4AC11394-3179-4EC5-A97F-D1A1B521CE2F}" srcOrd="0" destOrd="0" presId="urn:microsoft.com/office/officeart/2005/8/layout/radial1"/>
    <dgm:cxn modelId="{F434C78C-10EF-4A2F-AFC1-15403433F1F9}" type="presOf" srcId="{DE541715-C648-404D-8124-F14F463E9202}" destId="{062AF917-2F47-4639-8A23-58AD52EC0F32}" srcOrd="0" destOrd="0" presId="urn:microsoft.com/office/officeart/2005/8/layout/radial1"/>
    <dgm:cxn modelId="{33A9FF05-86D3-47DF-BF6E-B6B7AB1AC892}" type="presOf" srcId="{34E6C8D5-8D4F-4714-8A12-8F4599A8E760}" destId="{08F189A1-AB47-41D1-8058-7A6DA66B3F52}" srcOrd="0" destOrd="0" presId="urn:microsoft.com/office/officeart/2005/8/layout/radial1"/>
    <dgm:cxn modelId="{248698A6-055B-40E3-B808-D624056EF2B0}" srcId="{DE541715-C648-404D-8124-F14F463E9202}" destId="{C06C39C9-71B8-489C-9C45-3DD37A424E39}" srcOrd="1" destOrd="0" parTransId="{0FABC453-0A5C-4CAE-813B-F0494A34E025}" sibTransId="{DCD34884-F96E-475A-9010-14DE66A403A6}"/>
    <dgm:cxn modelId="{F7F469D1-B045-4EA5-B4BF-2B0765B5F947}" type="presOf" srcId="{4631C2C5-1554-4289-90B0-F2D55D1595B6}" destId="{035B4C9A-0916-4FCC-A1CF-85DB358A289A}" srcOrd="0" destOrd="0" presId="urn:microsoft.com/office/officeart/2005/8/layout/radial1"/>
    <dgm:cxn modelId="{0D5C53A1-1C4C-42D8-ABE3-BF68DD078D26}" type="presParOf" srcId="{08F189A1-AB47-41D1-8058-7A6DA66B3F52}" destId="{062AF917-2F47-4639-8A23-58AD52EC0F32}" srcOrd="0" destOrd="0" presId="urn:microsoft.com/office/officeart/2005/8/layout/radial1"/>
    <dgm:cxn modelId="{DAA5A2B2-A136-498E-95D3-33CA68203175}" type="presParOf" srcId="{08F189A1-AB47-41D1-8058-7A6DA66B3F52}" destId="{4AC11394-3179-4EC5-A97F-D1A1B521CE2F}" srcOrd="1" destOrd="0" presId="urn:microsoft.com/office/officeart/2005/8/layout/radial1"/>
    <dgm:cxn modelId="{B140F498-787D-41C6-969C-2A54DB64931B}" type="presParOf" srcId="{4AC11394-3179-4EC5-A97F-D1A1B521CE2F}" destId="{62A1F741-432F-46BE-AE07-15F0B6D5EA89}" srcOrd="0" destOrd="0" presId="urn:microsoft.com/office/officeart/2005/8/layout/radial1"/>
    <dgm:cxn modelId="{7FDFA269-3254-4620-97AF-44BDE07CCB2A}" type="presParOf" srcId="{08F189A1-AB47-41D1-8058-7A6DA66B3F52}" destId="{035B4C9A-0916-4FCC-A1CF-85DB358A289A}" srcOrd="2" destOrd="0" presId="urn:microsoft.com/office/officeart/2005/8/layout/radial1"/>
    <dgm:cxn modelId="{A7F89B90-0E4B-43B0-822C-474F49D99785}" type="presParOf" srcId="{08F189A1-AB47-41D1-8058-7A6DA66B3F52}" destId="{ADF94B70-0D7F-4A27-8DF9-17BCD27F4A7A}" srcOrd="3" destOrd="0" presId="urn:microsoft.com/office/officeart/2005/8/layout/radial1"/>
    <dgm:cxn modelId="{0C257B75-1CAE-42A5-B8DA-6DE1DD62CDEA}" type="presParOf" srcId="{ADF94B70-0D7F-4A27-8DF9-17BCD27F4A7A}" destId="{EA4144E0-C5B2-4FC0-BDB2-550B61DB7DFD}" srcOrd="0" destOrd="0" presId="urn:microsoft.com/office/officeart/2005/8/layout/radial1"/>
    <dgm:cxn modelId="{F79AB2EB-D4BD-46A7-99F7-C7B50C0B79F4}" type="presParOf" srcId="{08F189A1-AB47-41D1-8058-7A6DA66B3F52}" destId="{0FAF3FA1-8E6C-455E-B189-A468B3F4D8BC}" srcOrd="4" destOrd="0" presId="urn:microsoft.com/office/officeart/2005/8/layout/radial1"/>
  </dgm:cxnLst>
  <dgm:bg/>
  <dgm:whole/>
  <dgm:extLst>
    <a:ext uri="http://schemas.microsoft.com/office/drawing/2008/diagram">
      <dsp:dataModelExt xmlns:dsp="http://schemas.microsoft.com/office/drawing/2008/diagram" relId="rId40" minVer="http://schemas.openxmlformats.org/drawingml/2006/diagram"/>
    </a:ext>
    <a:ext uri="{C62137D5-CB1D-491B-B009-E17868A290BF}">
      <dgm14:recolorImg xmlns:dgm14="http://schemas.microsoft.com/office/drawing/2010/diagram" val="1"/>
    </a:ext>
  </dgm:extLst>
</dgm:dataModel>
</file>

<file path=word/diagrams/data20.xml><?xml version="1.0" encoding="utf-8"?>
<dgm:dataModel xmlns:dgm="http://schemas.openxmlformats.org/drawingml/2006/diagram" xmlns:a="http://schemas.openxmlformats.org/drawingml/2006/main">
  <dgm:ptLst>
    <dgm:pt modelId="{3E4183EF-B989-4620-A02C-D54686D6628F}"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60F584FC-F7FF-4FD7-86E3-8773293C0460}">
      <dgm:prSet phldrT="[Text]" custT="1"/>
      <dgm:spPr>
        <a:xfrm>
          <a:off x="2663065" y="833696"/>
          <a:ext cx="1185081" cy="383065"/>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gm:spPr>
      <dgm:t>
        <a:bodyPr/>
        <a:lstStyle/>
        <a:p>
          <a:pPr algn="ctr"/>
          <a:r>
            <a:rPr lang="en-US"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18</a:t>
          </a:r>
        </a:p>
      </dgm:t>
    </dgm:pt>
    <dgm:pt modelId="{474A81AD-BFE3-4D32-9342-2C25E06E5B46}" type="parTrans" cxnId="{0872B5C3-971C-4397-94C1-FDC0412A9ADC}">
      <dgm:prSet/>
      <dgm:spPr/>
      <dgm:t>
        <a:bodyPr/>
        <a:lstStyle/>
        <a:p>
          <a:pPr algn="ctr"/>
          <a:endParaRPr lang="en-US"/>
        </a:p>
      </dgm:t>
    </dgm:pt>
    <dgm:pt modelId="{28FB44EF-A1AD-4FBB-B0D1-E98EB36FC510}" type="sibTrans" cxnId="{0872B5C3-971C-4397-94C1-FDC0412A9ADC}">
      <dgm:prSet/>
      <dgm:spPr/>
      <dgm:t>
        <a:bodyPr/>
        <a:lstStyle/>
        <a:p>
          <a:pPr algn="ctr"/>
          <a:endParaRPr lang="en-US"/>
        </a:p>
      </dgm:t>
    </dgm:pt>
    <dgm:pt modelId="{9A4BDCAE-D9CA-400C-8B2D-68AB68A08E2A}">
      <dgm:prSet phldrT="[Text]" custT="1"/>
      <dgm:spPr>
        <a:xfrm>
          <a:off x="2710462" y="104713"/>
          <a:ext cx="1080487" cy="445865"/>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algn="ctr"/>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a:t>
          </a:r>
        </a:p>
        <a:p>
          <a:pPr algn="ctr"/>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Droit des brevets</a:t>
          </a:r>
          <a:endParaRPr lang="en-US" sz="105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E9A3E352-4E95-497B-A994-2D750C2A9509}" type="parTrans" cxnId="{A0D7B160-B2D6-4FF0-B898-61A69264BA8C}">
      <dgm:prSet custT="1"/>
      <dgm:spPr>
        <a:xfrm rot="16175855">
          <a:off x="3111703" y="685815"/>
          <a:ext cx="283126" cy="12644"/>
        </a:xfrm>
        <a:noFill/>
        <a:ln w="9525" cap="flat" cmpd="sng" algn="ctr">
          <a:solidFill>
            <a:srgbClr val="4F81BD">
              <a:shade val="60000"/>
              <a:hueOff val="0"/>
              <a:satOff val="0"/>
              <a:lumOff val="0"/>
              <a:alphaOff val="0"/>
            </a:srgbClr>
          </a:solidFill>
          <a:prstDash val="solid"/>
        </a:ln>
        <a:effectLst/>
      </dgm:spPr>
      <dgm:t>
        <a:bodyPr/>
        <a:lstStyle/>
        <a:p>
          <a:endParaRPr lang="en-US" sz="400">
            <a:solidFill>
              <a:sysClr val="windowText" lastClr="000000">
                <a:hueOff val="0"/>
                <a:satOff val="0"/>
                <a:lumOff val="0"/>
                <a:alphaOff val="0"/>
              </a:sysClr>
            </a:solidFill>
            <a:latin typeface="Calibri"/>
            <a:ea typeface="+mn-ea"/>
            <a:cs typeface="+mn-cs"/>
          </a:endParaRPr>
        </a:p>
      </dgm:t>
    </dgm:pt>
    <dgm:pt modelId="{D8ADEECF-D7D2-4E14-BB97-4FB081DAC71A}" type="sibTrans" cxnId="{A0D7B160-B2D6-4FF0-B898-61A69264BA8C}">
      <dgm:prSet/>
      <dgm:spPr/>
      <dgm:t>
        <a:bodyPr/>
        <a:lstStyle/>
        <a:p>
          <a:pPr algn="ctr"/>
          <a:endParaRPr lang="en-US"/>
        </a:p>
      </dgm:t>
    </dgm:pt>
    <dgm:pt modelId="{584F0456-7C88-4E15-A6D5-3DF2BDDC45F2}">
      <dgm:prSet phldrT="[Text]" custT="1"/>
      <dgm:spPr>
        <a:xfrm>
          <a:off x="4126469" y="161929"/>
          <a:ext cx="1307093" cy="541426"/>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algn="ctr"/>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9</a:t>
          </a:r>
        </a:p>
        <a:p>
          <a:pPr algn="ctr"/>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Bureaux régionaux</a:t>
          </a:r>
        </a:p>
      </dgm:t>
    </dgm:pt>
    <dgm:pt modelId="{5BE92476-635C-4AE2-AD14-BF50BB0972EC}" type="parTrans" cxnId="{44EB880B-7660-4CF0-97E5-4E577ACA821D}">
      <dgm:prSet custT="1"/>
      <dgm:spPr>
        <a:xfrm rot="20325438">
          <a:off x="3610069" y="741604"/>
          <a:ext cx="717773" cy="12644"/>
        </a:xfrm>
        <a:noFill/>
        <a:ln w="9525" cap="flat" cmpd="sng" algn="ctr">
          <a:solidFill>
            <a:srgbClr val="4F81BD">
              <a:shade val="60000"/>
              <a:hueOff val="0"/>
              <a:satOff val="0"/>
              <a:lumOff val="0"/>
              <a:alphaOff val="0"/>
            </a:srgbClr>
          </a:solidFill>
          <a:prstDash val="solid"/>
        </a:ln>
        <a:effectLst/>
      </dgm:spPr>
      <dgm:t>
        <a:bodyPr/>
        <a:lstStyle/>
        <a:p>
          <a:endParaRPr lang="en-US" sz="400">
            <a:solidFill>
              <a:sysClr val="windowText" lastClr="000000">
                <a:hueOff val="0"/>
                <a:satOff val="0"/>
                <a:lumOff val="0"/>
                <a:alphaOff val="0"/>
              </a:sysClr>
            </a:solidFill>
            <a:latin typeface="Calibri"/>
            <a:ea typeface="+mn-ea"/>
            <a:cs typeface="+mn-cs"/>
          </a:endParaRPr>
        </a:p>
      </dgm:t>
    </dgm:pt>
    <dgm:pt modelId="{3EF0F88F-A3C1-4CFC-8CDA-621CE91394E1}" type="sibTrans" cxnId="{44EB880B-7660-4CF0-97E5-4E577ACA821D}">
      <dgm:prSet/>
      <dgm:spPr/>
      <dgm:t>
        <a:bodyPr/>
        <a:lstStyle/>
        <a:p>
          <a:pPr algn="ctr"/>
          <a:endParaRPr lang="en-US"/>
        </a:p>
      </dgm:t>
    </dgm:pt>
    <dgm:pt modelId="{2EF75B39-F486-43BE-8B27-294595126005}">
      <dgm:prSet phldrT="[Text]" custT="1"/>
      <dgm:spPr>
        <a:xfrm>
          <a:off x="5191175" y="771614"/>
          <a:ext cx="1131445" cy="509021"/>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algn="ctr"/>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10</a:t>
          </a:r>
        </a:p>
        <a:p>
          <a:pPr algn="ctr"/>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Pays en transition et pays développés</a:t>
          </a:r>
        </a:p>
      </dgm:t>
    </dgm:pt>
    <dgm:pt modelId="{66F0DCEC-2B26-4038-AF1F-D0A98A0F7930}" type="parTrans" cxnId="{D0987D88-807B-4994-94E2-80A6C1D9AE52}">
      <dgm:prSet custT="1"/>
      <dgm:spPr>
        <a:xfrm rot="1232">
          <a:off x="3848146" y="1019360"/>
          <a:ext cx="1343028" cy="12644"/>
        </a:xfrm>
        <a:noFill/>
        <a:ln w="9525" cap="flat" cmpd="sng" algn="ctr">
          <a:solidFill>
            <a:srgbClr val="4F81BD">
              <a:shade val="60000"/>
              <a:hueOff val="0"/>
              <a:satOff val="0"/>
              <a:lumOff val="0"/>
              <a:alphaOff val="0"/>
            </a:srgbClr>
          </a:solidFill>
          <a:prstDash val="solid"/>
        </a:ln>
        <a:effectLst/>
      </dgm:spPr>
      <dgm:t>
        <a:bodyPr/>
        <a:lstStyle/>
        <a:p>
          <a:endParaRPr lang="en-US" sz="400">
            <a:solidFill>
              <a:sysClr val="windowText" lastClr="000000">
                <a:hueOff val="0"/>
                <a:satOff val="0"/>
                <a:lumOff val="0"/>
                <a:alphaOff val="0"/>
              </a:sysClr>
            </a:solidFill>
            <a:latin typeface="Calibri"/>
            <a:ea typeface="+mn-ea"/>
            <a:cs typeface="+mn-cs"/>
          </a:endParaRPr>
        </a:p>
      </dgm:t>
    </dgm:pt>
    <dgm:pt modelId="{A29EC13D-3B1F-4904-8025-5B38BEEF3183}" type="sibTrans" cxnId="{D0987D88-807B-4994-94E2-80A6C1D9AE52}">
      <dgm:prSet/>
      <dgm:spPr/>
      <dgm:t>
        <a:bodyPr/>
        <a:lstStyle/>
        <a:p>
          <a:pPr algn="ctr"/>
          <a:endParaRPr lang="en-US"/>
        </a:p>
      </dgm:t>
    </dgm:pt>
    <dgm:pt modelId="{4761FE57-664D-44AD-8EF1-E6096D64297F}">
      <dgm:prSet phldrT="[Text]" custT="1"/>
      <dgm:spPr>
        <a:xfrm>
          <a:off x="304732" y="756443"/>
          <a:ext cx="1244234" cy="531334"/>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algn="ctr"/>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11</a:t>
          </a:r>
        </a:p>
        <a:p>
          <a:pPr algn="ctr"/>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Académie de l’OMPI</a:t>
          </a:r>
        </a:p>
      </dgm:t>
    </dgm:pt>
    <dgm:pt modelId="{F6DE2413-45CD-453B-A258-F22A53BBB241}" type="parTrans" cxnId="{A5666C79-BF01-4153-AB0A-BB16CAE1F135}">
      <dgm:prSet custT="1"/>
      <dgm:spPr>
        <a:xfrm rot="10804604">
          <a:off x="1548963" y="1017367"/>
          <a:ext cx="1114107" cy="12644"/>
        </a:xfrm>
        <a:noFill/>
        <a:ln w="9525" cap="flat" cmpd="sng" algn="ctr">
          <a:solidFill>
            <a:srgbClr val="4F81BD">
              <a:shade val="60000"/>
              <a:hueOff val="0"/>
              <a:satOff val="0"/>
              <a:lumOff val="0"/>
              <a:alphaOff val="0"/>
            </a:srgbClr>
          </a:solidFill>
          <a:prstDash val="solid"/>
        </a:ln>
        <a:effectLst/>
      </dgm:spPr>
      <dgm:t>
        <a:bodyPr/>
        <a:lstStyle/>
        <a:p>
          <a:endParaRPr lang="en-US" sz="400">
            <a:solidFill>
              <a:sysClr val="windowText" lastClr="000000">
                <a:hueOff val="0"/>
                <a:satOff val="0"/>
                <a:lumOff val="0"/>
                <a:alphaOff val="0"/>
              </a:sysClr>
            </a:solidFill>
            <a:latin typeface="Calibri"/>
            <a:ea typeface="+mn-ea"/>
            <a:cs typeface="+mn-cs"/>
          </a:endParaRPr>
        </a:p>
      </dgm:t>
    </dgm:pt>
    <dgm:pt modelId="{288511AC-ECAB-47A8-A0B0-D7AAFEE02A39}" type="sibTrans" cxnId="{A5666C79-BF01-4153-AB0A-BB16CAE1F135}">
      <dgm:prSet/>
      <dgm:spPr/>
      <dgm:t>
        <a:bodyPr/>
        <a:lstStyle/>
        <a:p>
          <a:pPr algn="ctr"/>
          <a:endParaRPr lang="en-US"/>
        </a:p>
      </dgm:t>
    </dgm:pt>
    <dgm:pt modelId="{61905482-A221-41E9-B64F-E0DDCF7406CB}">
      <dgm:prSet phldrT="[Text]" custT="1"/>
      <dgm:spPr>
        <a:xfrm>
          <a:off x="1121477" y="161925"/>
          <a:ext cx="1470776" cy="558146"/>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algn="ctr"/>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20</a:t>
          </a:r>
        </a:p>
        <a:p>
          <a:pPr algn="ctr"/>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Relations extérieures</a:t>
          </a:r>
        </a:p>
      </dgm:t>
    </dgm:pt>
    <dgm:pt modelId="{19A5BFAE-AE0D-4BC3-821E-ACDBC402E1F3}" type="parTrans" cxnId="{7A10D267-5114-47D3-9B72-BCDF70FFAB8C}">
      <dgm:prSet custT="1"/>
      <dgm:spPr>
        <a:xfrm rot="12160169">
          <a:off x="2328712" y="754331"/>
          <a:ext cx="586918" cy="12644"/>
        </a:xfrm>
        <a:noFill/>
        <a:ln w="9525" cap="flat" cmpd="sng" algn="ctr">
          <a:solidFill>
            <a:srgbClr val="4F81BD">
              <a:shade val="60000"/>
              <a:hueOff val="0"/>
              <a:satOff val="0"/>
              <a:lumOff val="0"/>
              <a:alphaOff val="0"/>
            </a:srgbClr>
          </a:solidFill>
          <a:prstDash val="solid"/>
        </a:ln>
        <a:effectLst/>
      </dgm:spPr>
      <dgm:t>
        <a:bodyPr/>
        <a:lstStyle/>
        <a:p>
          <a:endParaRPr lang="en-US" sz="400">
            <a:solidFill>
              <a:sysClr val="windowText" lastClr="000000">
                <a:hueOff val="0"/>
                <a:satOff val="0"/>
                <a:lumOff val="0"/>
                <a:alphaOff val="0"/>
              </a:sysClr>
            </a:solidFill>
            <a:latin typeface="Calibri"/>
            <a:ea typeface="+mn-ea"/>
            <a:cs typeface="+mn-cs"/>
          </a:endParaRPr>
        </a:p>
      </dgm:t>
    </dgm:pt>
    <dgm:pt modelId="{41B3C576-1467-4E2A-8F61-40CA47AE2A73}" type="sibTrans" cxnId="{7A10D267-5114-47D3-9B72-BCDF70FFAB8C}">
      <dgm:prSet/>
      <dgm:spPr/>
      <dgm:t>
        <a:bodyPr/>
        <a:lstStyle/>
        <a:p>
          <a:pPr algn="ctr"/>
          <a:endParaRPr lang="en-US"/>
        </a:p>
      </dgm:t>
    </dgm:pt>
    <dgm:pt modelId="{4FC73BDC-CE2C-45F4-85CD-F387963DA006}" type="pres">
      <dgm:prSet presAssocID="{3E4183EF-B989-4620-A02C-D54686D6628F}" presName="cycle" presStyleCnt="0">
        <dgm:presLayoutVars>
          <dgm:chMax val="1"/>
          <dgm:dir/>
          <dgm:animLvl val="ctr"/>
          <dgm:resizeHandles val="exact"/>
        </dgm:presLayoutVars>
      </dgm:prSet>
      <dgm:spPr/>
      <dgm:t>
        <a:bodyPr/>
        <a:lstStyle/>
        <a:p>
          <a:endParaRPr lang="en-US"/>
        </a:p>
      </dgm:t>
    </dgm:pt>
    <dgm:pt modelId="{3C7CADF7-0742-432E-9EEF-EA9C347A7661}" type="pres">
      <dgm:prSet presAssocID="{60F584FC-F7FF-4FD7-86E3-8773293C0460}" presName="centerShape" presStyleLbl="node0" presStyleIdx="0" presStyleCnt="1" custScaleX="346489" custScaleY="97556" custLinFactNeighborX="812" custLinFactNeighborY="19492"/>
      <dgm:spPr>
        <a:prstGeom prst="ellipse">
          <a:avLst/>
        </a:prstGeom>
      </dgm:spPr>
      <dgm:t>
        <a:bodyPr/>
        <a:lstStyle/>
        <a:p>
          <a:endParaRPr lang="en-US"/>
        </a:p>
      </dgm:t>
    </dgm:pt>
    <dgm:pt modelId="{E887F142-3B93-49E1-A09D-1DCD207D21D1}" type="pres">
      <dgm:prSet presAssocID="{E9A3E352-4E95-497B-A994-2D750C2A9509}" presName="Name9" presStyleLbl="parChTrans1D2" presStyleIdx="0" presStyleCnt="5"/>
      <dgm:spPr>
        <a:custGeom>
          <a:avLst/>
          <a:gdLst/>
          <a:ahLst/>
          <a:cxnLst/>
          <a:rect l="0" t="0" r="0" b="0"/>
          <a:pathLst>
            <a:path>
              <a:moveTo>
                <a:pt x="0" y="6322"/>
              </a:moveTo>
              <a:lnTo>
                <a:pt x="283126" y="6322"/>
              </a:lnTo>
            </a:path>
          </a:pathLst>
        </a:custGeom>
      </dgm:spPr>
      <dgm:t>
        <a:bodyPr/>
        <a:lstStyle/>
        <a:p>
          <a:endParaRPr lang="en-US"/>
        </a:p>
      </dgm:t>
    </dgm:pt>
    <dgm:pt modelId="{0C3245EA-B4A2-4A29-A94D-6F5271E8D13D}" type="pres">
      <dgm:prSet presAssocID="{E9A3E352-4E95-497B-A994-2D750C2A9509}" presName="connTx" presStyleLbl="parChTrans1D2" presStyleIdx="0" presStyleCnt="5"/>
      <dgm:spPr/>
      <dgm:t>
        <a:bodyPr/>
        <a:lstStyle/>
        <a:p>
          <a:endParaRPr lang="en-US"/>
        </a:p>
      </dgm:t>
    </dgm:pt>
    <dgm:pt modelId="{3EA08C86-6A87-4381-A9A9-F10D993E2D53}" type="pres">
      <dgm:prSet presAssocID="{9A4BDCAE-D9CA-400C-8B2D-68AB68A08E2A}" presName="node" presStyleLbl="node1" presStyleIdx="0" presStyleCnt="5" custScaleX="270615" custScaleY="118876" custRadScaleRad="85235" custRadScaleInc="38486">
        <dgm:presLayoutVars>
          <dgm:bulletEnabled val="1"/>
        </dgm:presLayoutVars>
      </dgm:prSet>
      <dgm:spPr>
        <a:prstGeom prst="ellipse">
          <a:avLst/>
        </a:prstGeom>
      </dgm:spPr>
      <dgm:t>
        <a:bodyPr/>
        <a:lstStyle/>
        <a:p>
          <a:endParaRPr lang="en-US"/>
        </a:p>
      </dgm:t>
    </dgm:pt>
    <dgm:pt modelId="{00112A8F-12E8-45AC-B551-DFB66BE45059}" type="pres">
      <dgm:prSet presAssocID="{5BE92476-635C-4AE2-AD14-BF50BB0972EC}" presName="Name9" presStyleLbl="parChTrans1D2" presStyleIdx="1" presStyleCnt="5"/>
      <dgm:spPr>
        <a:custGeom>
          <a:avLst/>
          <a:gdLst/>
          <a:ahLst/>
          <a:cxnLst/>
          <a:rect l="0" t="0" r="0" b="0"/>
          <a:pathLst>
            <a:path>
              <a:moveTo>
                <a:pt x="0" y="6322"/>
              </a:moveTo>
              <a:lnTo>
                <a:pt x="717773" y="6322"/>
              </a:lnTo>
            </a:path>
          </a:pathLst>
        </a:custGeom>
      </dgm:spPr>
      <dgm:t>
        <a:bodyPr/>
        <a:lstStyle/>
        <a:p>
          <a:endParaRPr lang="en-US"/>
        </a:p>
      </dgm:t>
    </dgm:pt>
    <dgm:pt modelId="{48B32C5A-7076-4480-B5CB-D9EFDA8D8FDB}" type="pres">
      <dgm:prSet presAssocID="{5BE92476-635C-4AE2-AD14-BF50BB0972EC}" presName="connTx" presStyleLbl="parChTrans1D2" presStyleIdx="1" presStyleCnt="5"/>
      <dgm:spPr/>
      <dgm:t>
        <a:bodyPr/>
        <a:lstStyle/>
        <a:p>
          <a:endParaRPr lang="en-US"/>
        </a:p>
      </dgm:t>
    </dgm:pt>
    <dgm:pt modelId="{423B6D89-2000-40C7-8429-BD38C7402395}" type="pres">
      <dgm:prSet presAssocID="{584F0456-7C88-4E15-A6D5-3DF2BDDC45F2}" presName="node" presStyleLbl="node1" presStyleIdx="1" presStyleCnt="5" custScaleX="277146" custScaleY="120234" custRadScaleRad="251198" custRadScaleInc="9505">
        <dgm:presLayoutVars>
          <dgm:bulletEnabled val="1"/>
        </dgm:presLayoutVars>
      </dgm:prSet>
      <dgm:spPr>
        <a:prstGeom prst="ellipse">
          <a:avLst/>
        </a:prstGeom>
      </dgm:spPr>
      <dgm:t>
        <a:bodyPr/>
        <a:lstStyle/>
        <a:p>
          <a:endParaRPr lang="en-US"/>
        </a:p>
      </dgm:t>
    </dgm:pt>
    <dgm:pt modelId="{650854B0-9FE7-4FFD-96B2-18F6452E0859}" type="pres">
      <dgm:prSet presAssocID="{66F0DCEC-2B26-4038-AF1F-D0A98A0F7930}" presName="Name9" presStyleLbl="parChTrans1D2" presStyleIdx="2" presStyleCnt="5"/>
      <dgm:spPr>
        <a:custGeom>
          <a:avLst/>
          <a:gdLst/>
          <a:ahLst/>
          <a:cxnLst/>
          <a:rect l="0" t="0" r="0" b="0"/>
          <a:pathLst>
            <a:path>
              <a:moveTo>
                <a:pt x="0" y="6322"/>
              </a:moveTo>
              <a:lnTo>
                <a:pt x="1343028" y="6322"/>
              </a:lnTo>
            </a:path>
          </a:pathLst>
        </a:custGeom>
      </dgm:spPr>
      <dgm:t>
        <a:bodyPr/>
        <a:lstStyle/>
        <a:p>
          <a:endParaRPr lang="en-US"/>
        </a:p>
      </dgm:t>
    </dgm:pt>
    <dgm:pt modelId="{7FE108B5-F558-4942-A9EC-465F3C2E5813}" type="pres">
      <dgm:prSet presAssocID="{66F0DCEC-2B26-4038-AF1F-D0A98A0F7930}" presName="connTx" presStyleLbl="parChTrans1D2" presStyleIdx="2" presStyleCnt="5"/>
      <dgm:spPr/>
      <dgm:t>
        <a:bodyPr/>
        <a:lstStyle/>
        <a:p>
          <a:endParaRPr lang="en-US"/>
        </a:p>
      </dgm:t>
    </dgm:pt>
    <dgm:pt modelId="{6394B413-6D12-4C4F-9A8D-E0508CAE8617}" type="pres">
      <dgm:prSet presAssocID="{2EF75B39-F486-43BE-8B27-294595126005}" presName="node" presStyleLbl="node1" presStyleIdx="2" presStyleCnt="5" custScaleX="266290" custScaleY="176351" custRadScaleRad="429962" custRadScaleInc="-135493">
        <dgm:presLayoutVars>
          <dgm:bulletEnabled val="1"/>
        </dgm:presLayoutVars>
      </dgm:prSet>
      <dgm:spPr>
        <a:prstGeom prst="ellipse">
          <a:avLst/>
        </a:prstGeom>
      </dgm:spPr>
      <dgm:t>
        <a:bodyPr/>
        <a:lstStyle/>
        <a:p>
          <a:endParaRPr lang="en-US"/>
        </a:p>
      </dgm:t>
    </dgm:pt>
    <dgm:pt modelId="{DEF09AAB-E09E-4486-8914-E37D47E60824}" type="pres">
      <dgm:prSet presAssocID="{F6DE2413-45CD-453B-A258-F22A53BBB241}" presName="Name9" presStyleLbl="parChTrans1D2" presStyleIdx="3" presStyleCnt="5"/>
      <dgm:spPr>
        <a:custGeom>
          <a:avLst/>
          <a:gdLst/>
          <a:ahLst/>
          <a:cxnLst/>
          <a:rect l="0" t="0" r="0" b="0"/>
          <a:pathLst>
            <a:path>
              <a:moveTo>
                <a:pt x="0" y="6322"/>
              </a:moveTo>
              <a:lnTo>
                <a:pt x="1114107" y="6322"/>
              </a:lnTo>
            </a:path>
          </a:pathLst>
        </a:custGeom>
      </dgm:spPr>
      <dgm:t>
        <a:bodyPr/>
        <a:lstStyle/>
        <a:p>
          <a:endParaRPr lang="en-US"/>
        </a:p>
      </dgm:t>
    </dgm:pt>
    <dgm:pt modelId="{B0514361-30D3-4311-BC21-0743B7F01673}" type="pres">
      <dgm:prSet presAssocID="{F6DE2413-45CD-453B-A258-F22A53BBB241}" presName="connTx" presStyleLbl="parChTrans1D2" presStyleIdx="3" presStyleCnt="5"/>
      <dgm:spPr/>
      <dgm:t>
        <a:bodyPr/>
        <a:lstStyle/>
        <a:p>
          <a:endParaRPr lang="en-US"/>
        </a:p>
      </dgm:t>
    </dgm:pt>
    <dgm:pt modelId="{2ED32773-10C9-4671-A0BF-4C0DAB40AE25}" type="pres">
      <dgm:prSet presAssocID="{4761FE57-664D-44AD-8EF1-E6096D64297F}" presName="node" presStyleLbl="node1" presStyleIdx="3" presStyleCnt="5" custScaleX="272064" custScaleY="175895" custRadScaleRad="397371" custRadScaleInc="134575">
        <dgm:presLayoutVars>
          <dgm:bulletEnabled val="1"/>
        </dgm:presLayoutVars>
      </dgm:prSet>
      <dgm:spPr>
        <a:prstGeom prst="ellipse">
          <a:avLst/>
        </a:prstGeom>
      </dgm:spPr>
      <dgm:t>
        <a:bodyPr/>
        <a:lstStyle/>
        <a:p>
          <a:endParaRPr lang="en-US"/>
        </a:p>
      </dgm:t>
    </dgm:pt>
    <dgm:pt modelId="{06FD983D-3F71-4BCE-AD7F-6DD1041A2F23}" type="pres">
      <dgm:prSet presAssocID="{19A5BFAE-AE0D-4BC3-821E-ACDBC402E1F3}" presName="Name9" presStyleLbl="parChTrans1D2" presStyleIdx="4" presStyleCnt="5"/>
      <dgm:spPr>
        <a:custGeom>
          <a:avLst/>
          <a:gdLst/>
          <a:ahLst/>
          <a:cxnLst/>
          <a:rect l="0" t="0" r="0" b="0"/>
          <a:pathLst>
            <a:path>
              <a:moveTo>
                <a:pt x="0" y="6322"/>
              </a:moveTo>
              <a:lnTo>
                <a:pt x="586918" y="6322"/>
              </a:lnTo>
            </a:path>
          </a:pathLst>
        </a:custGeom>
      </dgm:spPr>
      <dgm:t>
        <a:bodyPr/>
        <a:lstStyle/>
        <a:p>
          <a:endParaRPr lang="en-US"/>
        </a:p>
      </dgm:t>
    </dgm:pt>
    <dgm:pt modelId="{2261EECA-A4AA-4C81-9B4D-3893A28ED758}" type="pres">
      <dgm:prSet presAssocID="{19A5BFAE-AE0D-4BC3-821E-ACDBC402E1F3}" presName="connTx" presStyleLbl="parChTrans1D2" presStyleIdx="4" presStyleCnt="5"/>
      <dgm:spPr/>
      <dgm:t>
        <a:bodyPr/>
        <a:lstStyle/>
        <a:p>
          <a:endParaRPr lang="en-US"/>
        </a:p>
      </dgm:t>
    </dgm:pt>
    <dgm:pt modelId="{CFBB929F-8BEB-442D-8D00-28EE1C02C39C}" type="pres">
      <dgm:prSet presAssocID="{61905482-A221-41E9-B64F-E0DDCF7406CB}" presName="node" presStyleLbl="node1" presStyleIdx="4" presStyleCnt="5" custScaleX="340468" custScaleY="176436" custRadScaleRad="222608" custRadScaleInc="-6085">
        <dgm:presLayoutVars>
          <dgm:bulletEnabled val="1"/>
        </dgm:presLayoutVars>
      </dgm:prSet>
      <dgm:spPr>
        <a:prstGeom prst="ellipse">
          <a:avLst/>
        </a:prstGeom>
      </dgm:spPr>
      <dgm:t>
        <a:bodyPr/>
        <a:lstStyle/>
        <a:p>
          <a:endParaRPr lang="en-US"/>
        </a:p>
      </dgm:t>
    </dgm:pt>
  </dgm:ptLst>
  <dgm:cxnLst>
    <dgm:cxn modelId="{BBD18FD7-F50E-4C63-9662-67DAF1931D09}" type="presOf" srcId="{9A4BDCAE-D9CA-400C-8B2D-68AB68A08E2A}" destId="{3EA08C86-6A87-4381-A9A9-F10D993E2D53}" srcOrd="0" destOrd="0" presId="urn:microsoft.com/office/officeart/2005/8/layout/radial1"/>
    <dgm:cxn modelId="{0872B5C3-971C-4397-94C1-FDC0412A9ADC}" srcId="{3E4183EF-B989-4620-A02C-D54686D6628F}" destId="{60F584FC-F7FF-4FD7-86E3-8773293C0460}" srcOrd="0" destOrd="0" parTransId="{474A81AD-BFE3-4D32-9342-2C25E06E5B46}" sibTransId="{28FB44EF-A1AD-4FBB-B0D1-E98EB36FC510}"/>
    <dgm:cxn modelId="{B3B680CB-DDAE-4E0E-838E-A4134948A0B8}" type="presOf" srcId="{60F584FC-F7FF-4FD7-86E3-8773293C0460}" destId="{3C7CADF7-0742-432E-9EEF-EA9C347A7661}" srcOrd="0" destOrd="0" presId="urn:microsoft.com/office/officeart/2005/8/layout/radial1"/>
    <dgm:cxn modelId="{A5666C79-BF01-4153-AB0A-BB16CAE1F135}" srcId="{60F584FC-F7FF-4FD7-86E3-8773293C0460}" destId="{4761FE57-664D-44AD-8EF1-E6096D64297F}" srcOrd="3" destOrd="0" parTransId="{F6DE2413-45CD-453B-A258-F22A53BBB241}" sibTransId="{288511AC-ECAB-47A8-A0B0-D7AAFEE02A39}"/>
    <dgm:cxn modelId="{36B7E331-34BF-487F-8AE7-1A1D05AAF6BA}" type="presOf" srcId="{66F0DCEC-2B26-4038-AF1F-D0A98A0F7930}" destId="{7FE108B5-F558-4942-A9EC-465F3C2E5813}" srcOrd="1" destOrd="0" presId="urn:microsoft.com/office/officeart/2005/8/layout/radial1"/>
    <dgm:cxn modelId="{D0DB0E9F-D6E1-4AE9-9EDC-A4E86D370F70}" type="presOf" srcId="{5BE92476-635C-4AE2-AD14-BF50BB0972EC}" destId="{00112A8F-12E8-45AC-B551-DFB66BE45059}" srcOrd="0" destOrd="0" presId="urn:microsoft.com/office/officeart/2005/8/layout/radial1"/>
    <dgm:cxn modelId="{18EC037E-24D4-4CB9-B043-5FA8823D12FF}" type="presOf" srcId="{19A5BFAE-AE0D-4BC3-821E-ACDBC402E1F3}" destId="{06FD983D-3F71-4BCE-AD7F-6DD1041A2F23}" srcOrd="0" destOrd="0" presId="urn:microsoft.com/office/officeart/2005/8/layout/radial1"/>
    <dgm:cxn modelId="{249A4B39-2815-4D50-A382-DCE3C7873CE2}" type="presOf" srcId="{4761FE57-664D-44AD-8EF1-E6096D64297F}" destId="{2ED32773-10C9-4671-A0BF-4C0DAB40AE25}" srcOrd="0" destOrd="0" presId="urn:microsoft.com/office/officeart/2005/8/layout/radial1"/>
    <dgm:cxn modelId="{CFFDF7A1-3B7A-4BAA-9A56-82D75E24ABA9}" type="presOf" srcId="{584F0456-7C88-4E15-A6D5-3DF2BDDC45F2}" destId="{423B6D89-2000-40C7-8429-BD38C7402395}" srcOrd="0" destOrd="0" presId="urn:microsoft.com/office/officeart/2005/8/layout/radial1"/>
    <dgm:cxn modelId="{A0D7B160-B2D6-4FF0-B898-61A69264BA8C}" srcId="{60F584FC-F7FF-4FD7-86E3-8773293C0460}" destId="{9A4BDCAE-D9CA-400C-8B2D-68AB68A08E2A}" srcOrd="0" destOrd="0" parTransId="{E9A3E352-4E95-497B-A994-2D750C2A9509}" sibTransId="{D8ADEECF-D7D2-4E14-BB97-4FB081DAC71A}"/>
    <dgm:cxn modelId="{9FF49EBB-4FCD-451A-A3E2-FFCD8382A25F}" type="presOf" srcId="{3E4183EF-B989-4620-A02C-D54686D6628F}" destId="{4FC73BDC-CE2C-45F4-85CD-F387963DA006}" srcOrd="0" destOrd="0" presId="urn:microsoft.com/office/officeart/2005/8/layout/radial1"/>
    <dgm:cxn modelId="{F179EAE6-EB51-4640-9F4E-270C4D79EE2D}" type="presOf" srcId="{E9A3E352-4E95-497B-A994-2D750C2A9509}" destId="{E887F142-3B93-49E1-A09D-1DCD207D21D1}" srcOrd="0" destOrd="0" presId="urn:microsoft.com/office/officeart/2005/8/layout/radial1"/>
    <dgm:cxn modelId="{7A10D267-5114-47D3-9B72-BCDF70FFAB8C}" srcId="{60F584FC-F7FF-4FD7-86E3-8773293C0460}" destId="{61905482-A221-41E9-B64F-E0DDCF7406CB}" srcOrd="4" destOrd="0" parTransId="{19A5BFAE-AE0D-4BC3-821E-ACDBC402E1F3}" sibTransId="{41B3C576-1467-4E2A-8F61-40CA47AE2A73}"/>
    <dgm:cxn modelId="{0C20949C-95F9-49F4-B302-04D94113C97D}" type="presOf" srcId="{61905482-A221-41E9-B64F-E0DDCF7406CB}" destId="{CFBB929F-8BEB-442D-8D00-28EE1C02C39C}" srcOrd="0" destOrd="0" presId="urn:microsoft.com/office/officeart/2005/8/layout/radial1"/>
    <dgm:cxn modelId="{D0987D88-807B-4994-94E2-80A6C1D9AE52}" srcId="{60F584FC-F7FF-4FD7-86E3-8773293C0460}" destId="{2EF75B39-F486-43BE-8B27-294595126005}" srcOrd="2" destOrd="0" parTransId="{66F0DCEC-2B26-4038-AF1F-D0A98A0F7930}" sibTransId="{A29EC13D-3B1F-4904-8025-5B38BEEF3183}"/>
    <dgm:cxn modelId="{F08897C0-3D0F-4B62-9D00-1BCB94096F14}" type="presOf" srcId="{19A5BFAE-AE0D-4BC3-821E-ACDBC402E1F3}" destId="{2261EECA-A4AA-4C81-9B4D-3893A28ED758}" srcOrd="1" destOrd="0" presId="urn:microsoft.com/office/officeart/2005/8/layout/radial1"/>
    <dgm:cxn modelId="{B21CCD6E-A072-4F6E-B2E1-59745350B4B4}" type="presOf" srcId="{2EF75B39-F486-43BE-8B27-294595126005}" destId="{6394B413-6D12-4C4F-9A8D-E0508CAE8617}" srcOrd="0" destOrd="0" presId="urn:microsoft.com/office/officeart/2005/8/layout/radial1"/>
    <dgm:cxn modelId="{F8CFDA56-D591-44FB-AC45-9A97524522EF}" type="presOf" srcId="{E9A3E352-4E95-497B-A994-2D750C2A9509}" destId="{0C3245EA-B4A2-4A29-A94D-6F5271E8D13D}" srcOrd="1" destOrd="0" presId="urn:microsoft.com/office/officeart/2005/8/layout/radial1"/>
    <dgm:cxn modelId="{C05225FA-D1DA-4404-883B-DE7C8F54A01C}" type="presOf" srcId="{5BE92476-635C-4AE2-AD14-BF50BB0972EC}" destId="{48B32C5A-7076-4480-B5CB-D9EFDA8D8FDB}" srcOrd="1" destOrd="0" presId="urn:microsoft.com/office/officeart/2005/8/layout/radial1"/>
    <dgm:cxn modelId="{BE037199-4654-4F2A-AC6F-1B083E3B2D43}" type="presOf" srcId="{F6DE2413-45CD-453B-A258-F22A53BBB241}" destId="{B0514361-30D3-4311-BC21-0743B7F01673}" srcOrd="1" destOrd="0" presId="urn:microsoft.com/office/officeart/2005/8/layout/radial1"/>
    <dgm:cxn modelId="{44EB880B-7660-4CF0-97E5-4E577ACA821D}" srcId="{60F584FC-F7FF-4FD7-86E3-8773293C0460}" destId="{584F0456-7C88-4E15-A6D5-3DF2BDDC45F2}" srcOrd="1" destOrd="0" parTransId="{5BE92476-635C-4AE2-AD14-BF50BB0972EC}" sibTransId="{3EF0F88F-A3C1-4CFC-8CDA-621CE91394E1}"/>
    <dgm:cxn modelId="{924C9DC2-0D5B-4578-90C6-A3721F42101B}" type="presOf" srcId="{F6DE2413-45CD-453B-A258-F22A53BBB241}" destId="{DEF09AAB-E09E-4486-8914-E37D47E60824}" srcOrd="0" destOrd="0" presId="urn:microsoft.com/office/officeart/2005/8/layout/radial1"/>
    <dgm:cxn modelId="{6260B217-DAE1-4172-BC8E-43F8DB5E4B4E}" type="presOf" srcId="{66F0DCEC-2B26-4038-AF1F-D0A98A0F7930}" destId="{650854B0-9FE7-4FFD-96B2-18F6452E0859}" srcOrd="0" destOrd="0" presId="urn:microsoft.com/office/officeart/2005/8/layout/radial1"/>
    <dgm:cxn modelId="{EF577C98-3632-4ABC-98F6-9BF57E087D72}" type="presParOf" srcId="{4FC73BDC-CE2C-45F4-85CD-F387963DA006}" destId="{3C7CADF7-0742-432E-9EEF-EA9C347A7661}" srcOrd="0" destOrd="0" presId="urn:microsoft.com/office/officeart/2005/8/layout/radial1"/>
    <dgm:cxn modelId="{230F18BF-38A7-408B-A410-7AF789581537}" type="presParOf" srcId="{4FC73BDC-CE2C-45F4-85CD-F387963DA006}" destId="{E887F142-3B93-49E1-A09D-1DCD207D21D1}" srcOrd="1" destOrd="0" presId="urn:microsoft.com/office/officeart/2005/8/layout/radial1"/>
    <dgm:cxn modelId="{BAA529EE-3D62-4A79-9E44-45D3D507E520}" type="presParOf" srcId="{E887F142-3B93-49E1-A09D-1DCD207D21D1}" destId="{0C3245EA-B4A2-4A29-A94D-6F5271E8D13D}" srcOrd="0" destOrd="0" presId="urn:microsoft.com/office/officeart/2005/8/layout/radial1"/>
    <dgm:cxn modelId="{7F880EDC-DB02-455A-ADFD-A07E97C657C4}" type="presParOf" srcId="{4FC73BDC-CE2C-45F4-85CD-F387963DA006}" destId="{3EA08C86-6A87-4381-A9A9-F10D993E2D53}" srcOrd="2" destOrd="0" presId="urn:microsoft.com/office/officeart/2005/8/layout/radial1"/>
    <dgm:cxn modelId="{BDE2FB2E-168C-400B-AA1C-F45810A2A0F6}" type="presParOf" srcId="{4FC73BDC-CE2C-45F4-85CD-F387963DA006}" destId="{00112A8F-12E8-45AC-B551-DFB66BE45059}" srcOrd="3" destOrd="0" presId="urn:microsoft.com/office/officeart/2005/8/layout/radial1"/>
    <dgm:cxn modelId="{DDAEA1D0-9710-4A45-9296-27075579EA2F}" type="presParOf" srcId="{00112A8F-12E8-45AC-B551-DFB66BE45059}" destId="{48B32C5A-7076-4480-B5CB-D9EFDA8D8FDB}" srcOrd="0" destOrd="0" presId="urn:microsoft.com/office/officeart/2005/8/layout/radial1"/>
    <dgm:cxn modelId="{CC5771DD-8A6D-46BF-856B-693F2DD099C9}" type="presParOf" srcId="{4FC73BDC-CE2C-45F4-85CD-F387963DA006}" destId="{423B6D89-2000-40C7-8429-BD38C7402395}" srcOrd="4" destOrd="0" presId="urn:microsoft.com/office/officeart/2005/8/layout/radial1"/>
    <dgm:cxn modelId="{E880A20B-B660-4C30-B280-FB041AB6A656}" type="presParOf" srcId="{4FC73BDC-CE2C-45F4-85CD-F387963DA006}" destId="{650854B0-9FE7-4FFD-96B2-18F6452E0859}" srcOrd="5" destOrd="0" presId="urn:microsoft.com/office/officeart/2005/8/layout/radial1"/>
    <dgm:cxn modelId="{4D5B249B-E0D6-4E48-897E-8842CBA59F7E}" type="presParOf" srcId="{650854B0-9FE7-4FFD-96B2-18F6452E0859}" destId="{7FE108B5-F558-4942-A9EC-465F3C2E5813}" srcOrd="0" destOrd="0" presId="urn:microsoft.com/office/officeart/2005/8/layout/radial1"/>
    <dgm:cxn modelId="{2E1E7DD4-A075-4816-906C-3F4359D3FEB8}" type="presParOf" srcId="{4FC73BDC-CE2C-45F4-85CD-F387963DA006}" destId="{6394B413-6D12-4C4F-9A8D-E0508CAE8617}" srcOrd="6" destOrd="0" presId="urn:microsoft.com/office/officeart/2005/8/layout/radial1"/>
    <dgm:cxn modelId="{860F014B-3DB2-42D2-9DEE-73DA4CF02868}" type="presParOf" srcId="{4FC73BDC-CE2C-45F4-85CD-F387963DA006}" destId="{DEF09AAB-E09E-4486-8914-E37D47E60824}" srcOrd="7" destOrd="0" presId="urn:microsoft.com/office/officeart/2005/8/layout/radial1"/>
    <dgm:cxn modelId="{65B170B9-95F1-4291-98E3-63234FF94040}" type="presParOf" srcId="{DEF09AAB-E09E-4486-8914-E37D47E60824}" destId="{B0514361-30D3-4311-BC21-0743B7F01673}" srcOrd="0" destOrd="0" presId="urn:microsoft.com/office/officeart/2005/8/layout/radial1"/>
    <dgm:cxn modelId="{97DBE2EF-95BE-4D66-B8D0-7C06BE7EE241}" type="presParOf" srcId="{4FC73BDC-CE2C-45F4-85CD-F387963DA006}" destId="{2ED32773-10C9-4671-A0BF-4C0DAB40AE25}" srcOrd="8" destOrd="0" presId="urn:microsoft.com/office/officeart/2005/8/layout/radial1"/>
    <dgm:cxn modelId="{656DB22B-07C8-463C-AFE5-C92F08A5B3F5}" type="presParOf" srcId="{4FC73BDC-CE2C-45F4-85CD-F387963DA006}" destId="{06FD983D-3F71-4BCE-AD7F-6DD1041A2F23}" srcOrd="9" destOrd="0" presId="urn:microsoft.com/office/officeart/2005/8/layout/radial1"/>
    <dgm:cxn modelId="{B0B5727B-A736-426A-AAD4-98D2760CB211}" type="presParOf" srcId="{06FD983D-3F71-4BCE-AD7F-6DD1041A2F23}" destId="{2261EECA-A4AA-4C81-9B4D-3893A28ED758}" srcOrd="0" destOrd="0" presId="urn:microsoft.com/office/officeart/2005/8/layout/radial1"/>
    <dgm:cxn modelId="{BCD9FCD3-7E4B-45BB-8672-BD11EA403591}" type="presParOf" srcId="{4FC73BDC-CE2C-45F4-85CD-F387963DA006}" destId="{CFBB929F-8BEB-442D-8D00-28EE1C02C39C}" srcOrd="10" destOrd="0" presId="urn:microsoft.com/office/officeart/2005/8/layout/radial1"/>
  </dgm:cxnLst>
  <dgm:bg/>
  <dgm:whole/>
  <dgm:extLst>
    <a:ext uri="http://schemas.microsoft.com/office/drawing/2008/diagram">
      <dsp:dataModelExt xmlns:dsp="http://schemas.microsoft.com/office/drawing/2008/diagram" relId="rId154" minVer="http://schemas.openxmlformats.org/drawingml/2006/diagram"/>
    </a:ext>
  </dgm:extLst>
</dgm:dataModel>
</file>

<file path=word/diagrams/data21.xml><?xml version="1.0" encoding="utf-8"?>
<dgm:dataModel xmlns:dgm="http://schemas.openxmlformats.org/drawingml/2006/diagram" xmlns:a="http://schemas.openxmlformats.org/drawingml/2006/main">
  <dgm:ptLst>
    <dgm:pt modelId="{D981426F-5B7B-4AA5-957A-6E8C9E1A2487}"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A7516A72-1FC0-46ED-AAC4-AF0F7063F737}">
      <dgm:prSet phldrT="[Text]" custT="1"/>
      <dgm:spPr>
        <a:xfrm>
          <a:off x="2420526" y="1093081"/>
          <a:ext cx="1151350" cy="518033"/>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gm:spPr>
      <dgm:t>
        <a:bodyPr/>
        <a:lstStyle/>
        <a:p>
          <a:r>
            <a:rPr lang="en-US"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20 </a:t>
          </a:r>
        </a:p>
      </dgm:t>
    </dgm:pt>
    <dgm:pt modelId="{6B1EB84D-437E-47A1-87CB-9027EE716AD0}" type="sibTrans" cxnId="{996B9653-906A-49F8-9E4B-3836F7905D4E}">
      <dgm:prSet/>
      <dgm:spPr/>
      <dgm:t>
        <a:bodyPr/>
        <a:lstStyle/>
        <a:p>
          <a:endParaRPr lang="en-US"/>
        </a:p>
      </dgm:t>
    </dgm:pt>
    <dgm:pt modelId="{D9E0AFEB-65B5-4280-ADD0-766B3ADA6CFD}" type="parTrans" cxnId="{996B9653-906A-49F8-9E4B-3836F7905D4E}">
      <dgm:prSet/>
      <dgm:spPr/>
      <dgm:t>
        <a:bodyPr/>
        <a:lstStyle/>
        <a:p>
          <a:endParaRPr lang="en-US"/>
        </a:p>
      </dgm:t>
    </dgm:pt>
    <dgm:pt modelId="{D460D018-736B-4CE5-A14B-061F8EFE829B}">
      <dgm:prSet phldrT="[Text]" custT="1"/>
      <dgm:spPr>
        <a:xfrm>
          <a:off x="1445996" y="131454"/>
          <a:ext cx="1086818" cy="546395"/>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17 </a:t>
          </a:r>
        </a:p>
        <a:p>
          <a:r>
            <a:rPr lang="fr-FR"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Promouvoir le respect de la propriété intellectuelle</a:t>
          </a:r>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dgm:t>
    </dgm:pt>
    <dgm:pt modelId="{13E4242D-C1FF-4F31-B2EF-0F857644C218}" type="sibTrans" cxnId="{333E8F20-31E9-4D6F-9F31-24FBF63076E9}">
      <dgm:prSet/>
      <dgm:spPr/>
      <dgm:t>
        <a:bodyPr/>
        <a:lstStyle/>
        <a:p>
          <a:endParaRPr lang="en-US"/>
        </a:p>
      </dgm:t>
    </dgm:pt>
    <dgm:pt modelId="{B4A5C031-92B2-438E-80BC-EAA05F5C7CF7}" type="parTrans" cxnId="{333E8F20-31E9-4D6F-9F31-24FBF63076E9}">
      <dgm:prSet/>
      <dgm:spPr>
        <a:xfrm rot="13395629">
          <a:off x="2151725" y="874173"/>
          <a:ext cx="689899" cy="15688"/>
        </a:xfrm>
      </dgm:spPr>
      <dgm:t>
        <a:bodyPr/>
        <a:lstStyle/>
        <a:p>
          <a:endParaRPr lang="en-US"/>
        </a:p>
      </dgm:t>
    </dgm:pt>
    <dgm:pt modelId="{44FBC2E2-D754-42C1-BEE4-690296442511}">
      <dgm:prSet phldrT="[Text]" custT="1"/>
      <dgm:spPr>
        <a:xfrm>
          <a:off x="394362" y="394362"/>
          <a:ext cx="1121236" cy="547064"/>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15 </a:t>
          </a:r>
        </a:p>
        <a:p>
          <a:r>
            <a:rPr lang="fr-FR"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Solutions opérationnelles pour les offices de propriété intellectuelle</a:t>
          </a:r>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dgm:t>
    </dgm:pt>
    <dgm:pt modelId="{A8D506B7-E9B0-4378-B011-FCC599FE960D}" type="sibTrans" cxnId="{A1357B0A-C240-4A91-89D8-A39634308683}">
      <dgm:prSet/>
      <dgm:spPr/>
      <dgm:t>
        <a:bodyPr/>
        <a:lstStyle/>
        <a:p>
          <a:endParaRPr lang="en-US"/>
        </a:p>
      </dgm:t>
    </dgm:pt>
    <dgm:pt modelId="{2F72DDEE-62D3-48A5-836A-4C87596541F0}" type="parTrans" cxnId="{A1357B0A-C240-4A91-89D8-A39634308683}">
      <dgm:prSet/>
      <dgm:spPr>
        <a:xfrm rot="11911849">
          <a:off x="1386509" y="1002224"/>
          <a:ext cx="1178596" cy="15688"/>
        </a:xfrm>
      </dgm:spPr>
      <dgm:t>
        <a:bodyPr/>
        <a:lstStyle/>
        <a:p>
          <a:endParaRPr lang="en-US"/>
        </a:p>
      </dgm:t>
    </dgm:pt>
    <dgm:pt modelId="{2628F477-2289-4CEE-9618-96DDAFCD4291}">
      <dgm:prSet phldrT="[Text]" custT="1"/>
      <dgm:spPr>
        <a:xfrm>
          <a:off x="125838" y="1077331"/>
          <a:ext cx="1226366" cy="565842"/>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14</a:t>
          </a:r>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a:p>
          <a:r>
            <a:rPr lang="fr-FR"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Service d'accès à l'information et aux savoirs</a:t>
          </a:r>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dgm:t>
    </dgm:pt>
    <dgm:pt modelId="{6D6ABE48-6FEB-4EAA-849C-585AC08FCF5B}" type="sibTrans" cxnId="{E5DD3C3F-F401-46C8-9D1F-CEE8478EFA81}">
      <dgm:prSet/>
      <dgm:spPr/>
      <dgm:t>
        <a:bodyPr/>
        <a:lstStyle/>
        <a:p>
          <a:endParaRPr lang="en-US"/>
        </a:p>
      </dgm:t>
    </dgm:pt>
    <dgm:pt modelId="{DEF73824-C893-4963-9504-7E97D2FF5253}" type="parTrans" cxnId="{E5DD3C3F-F401-46C8-9D1F-CEE8478EFA81}">
      <dgm:prSet/>
      <dgm:spPr>
        <a:xfrm rot="10787580">
          <a:off x="1352182" y="1348263"/>
          <a:ext cx="1068366" cy="15688"/>
        </a:xfrm>
      </dgm:spPr>
      <dgm:t>
        <a:bodyPr/>
        <a:lstStyle/>
        <a:p>
          <a:endParaRPr lang="en-US"/>
        </a:p>
      </dgm:t>
    </dgm:pt>
    <dgm:pt modelId="{7C1FA040-4399-40F0-866F-845B7914F68D}">
      <dgm:prSet phldrT="[Text]" custT="1"/>
      <dgm:spPr>
        <a:xfrm>
          <a:off x="1161917" y="1599226"/>
          <a:ext cx="1185478" cy="518033"/>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11</a:t>
          </a:r>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Académie de l'OMPI</a:t>
          </a:r>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dgm:t>
    </dgm:pt>
    <dgm:pt modelId="{82A7CC90-6A4C-422A-B221-BA4CF5B4D442}" type="sibTrans" cxnId="{345C13DF-1D3F-4982-AF23-DC2641540559}">
      <dgm:prSet/>
      <dgm:spPr/>
      <dgm:t>
        <a:bodyPr/>
        <a:lstStyle/>
        <a:p>
          <a:endParaRPr lang="en-US"/>
        </a:p>
      </dgm:t>
    </dgm:pt>
    <dgm:pt modelId="{98585C11-761C-43C4-979D-FB1B8BABF102}" type="parTrans" cxnId="{345C13DF-1D3F-4982-AF23-DC2641540559}">
      <dgm:prSet/>
      <dgm:spPr>
        <a:xfrm rot="9469235">
          <a:off x="2172826" y="1595939"/>
          <a:ext cx="412013" cy="15688"/>
        </a:xfrm>
      </dgm:spPr>
      <dgm:t>
        <a:bodyPr/>
        <a:lstStyle/>
        <a:p>
          <a:endParaRPr lang="en-US"/>
        </a:p>
      </dgm:t>
    </dgm:pt>
    <dgm:pt modelId="{14602118-D739-48CC-85E0-791974AFA995}">
      <dgm:prSet phldrT="[Text]" custT="1"/>
      <dgm:spPr>
        <a:xfrm>
          <a:off x="2431900" y="1816765"/>
          <a:ext cx="1166160" cy="518033"/>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6</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r>
            <a:rPr lang="fr-FR"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Système de Madrid</a:t>
          </a:r>
          <a:endPar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85730AA2-ED16-41DB-9898-B2A63ECD874D}" type="sibTrans" cxnId="{3138FD81-FCE3-4020-9313-BAD8BCAF820B}">
      <dgm:prSet/>
      <dgm:spPr/>
      <dgm:t>
        <a:bodyPr/>
        <a:lstStyle/>
        <a:p>
          <a:endParaRPr lang="en-US"/>
        </a:p>
      </dgm:t>
    </dgm:pt>
    <dgm:pt modelId="{3F89048A-3F9F-4897-8631-4599F4976029}" type="parTrans" cxnId="{3138FD81-FCE3-4020-9313-BAD8BCAF820B}">
      <dgm:prSet/>
      <dgm:spPr>
        <a:xfrm rot="5310814">
          <a:off x="2902714" y="1706095"/>
          <a:ext cx="205754" cy="15688"/>
        </a:xfrm>
      </dgm:spPr>
      <dgm:t>
        <a:bodyPr/>
        <a:lstStyle/>
        <a:p>
          <a:endParaRPr lang="en-US"/>
        </a:p>
      </dgm:t>
    </dgm:pt>
    <dgm:pt modelId="{DB0D84B1-C440-4746-9EEF-F1ED71D64DD2}">
      <dgm:prSet phldrT="[Text]" custT="1"/>
      <dgm:spPr>
        <a:xfrm>
          <a:off x="3686814" y="1599228"/>
          <a:ext cx="1083094" cy="518033"/>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5</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Système du PCT</a:t>
          </a:r>
          <a:endPar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99C4878C-8523-40E3-93C5-8DC55D31DB77}" type="sibTrans" cxnId="{C7DD68AE-99B2-4937-A127-D654A2E99784}">
      <dgm:prSet/>
      <dgm:spPr/>
      <dgm:t>
        <a:bodyPr/>
        <a:lstStyle/>
        <a:p>
          <a:endParaRPr lang="en-US"/>
        </a:p>
      </dgm:t>
    </dgm:pt>
    <dgm:pt modelId="{9E510621-404D-46D6-8EB3-39712C8626D4}" type="parTrans" cxnId="{C7DD68AE-99B2-4937-A127-D654A2E99784}">
      <dgm:prSet/>
      <dgm:spPr>
        <a:xfrm rot="1339913">
          <a:off x="3405281" y="1600267"/>
          <a:ext cx="428315" cy="15688"/>
        </a:xfrm>
      </dgm:spPr>
      <dgm:t>
        <a:bodyPr/>
        <a:lstStyle/>
        <a:p>
          <a:endParaRPr lang="en-US"/>
        </a:p>
      </dgm:t>
    </dgm:pt>
    <dgm:pt modelId="{6DAE892F-3F2D-42A5-BB1C-58D0E6BD9A47}">
      <dgm:prSet phldrT="[Text]" custT="1"/>
      <dgm:spPr>
        <a:xfrm>
          <a:off x="4623265" y="1091842"/>
          <a:ext cx="1128758" cy="518033"/>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4</a:t>
          </a:r>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a:p>
          <a:r>
            <a:rPr lang="fr-FR"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Savoirs traditionnels, expressions culturelles traditionnelles et ressources génétiques</a:t>
          </a:r>
          <a:endParaRPr lang="en-US" sz="7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28BD2EB6-8814-456D-B684-C7C0E2C0705F}" type="sibTrans" cxnId="{FE1169E0-24DF-4FBB-A1C9-8F332C85663A}">
      <dgm:prSet/>
      <dgm:spPr/>
      <dgm:t>
        <a:bodyPr/>
        <a:lstStyle/>
        <a:p>
          <a:endParaRPr lang="en-US"/>
        </a:p>
      </dgm:t>
    </dgm:pt>
    <dgm:pt modelId="{D22DE764-173E-47DF-9480-722F8D8EA62C}" type="parTrans" cxnId="{FE1169E0-24DF-4FBB-A1C9-8F332C85663A}">
      <dgm:prSet/>
      <dgm:spPr>
        <a:xfrm rot="21598056">
          <a:off x="3571876" y="1343631"/>
          <a:ext cx="1051389" cy="15688"/>
        </a:xfrm>
      </dgm:spPr>
      <dgm:t>
        <a:bodyPr/>
        <a:lstStyle/>
        <a:p>
          <a:endParaRPr lang="en-US"/>
        </a:p>
      </dgm:t>
    </dgm:pt>
    <dgm:pt modelId="{F0FE4372-65E6-4D92-B9B0-D2B79F26FB27}">
      <dgm:prSet phldrT="[Text]" custT="1"/>
      <dgm:spPr>
        <a:xfrm>
          <a:off x="4493860" y="399485"/>
          <a:ext cx="955663" cy="518033"/>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3</a:t>
          </a:r>
        </a:p>
        <a:p>
          <a:r>
            <a:rPr lang="fr-FR"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Droit d’auteur et droits connexes</a:t>
          </a:r>
          <a:endParaRPr lang="en-US" sz="7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E2B06661-55BE-4022-AD18-067DB2509F93}" type="sibTrans" cxnId="{1229807D-6A59-498C-A707-9DD6CEEA0C8D}">
      <dgm:prSet/>
      <dgm:spPr/>
      <dgm:t>
        <a:bodyPr/>
        <a:lstStyle/>
        <a:p>
          <a:endParaRPr lang="en-US"/>
        </a:p>
      </dgm:t>
    </dgm:pt>
    <dgm:pt modelId="{D94B5549-C2D2-4629-ACDF-33C6E334FA3A}" type="parTrans" cxnId="{1229807D-6A59-498C-A707-9DD6CEEA0C8D}">
      <dgm:prSet/>
      <dgm:spPr>
        <a:xfrm rot="20439227">
          <a:off x="3416518" y="988188"/>
          <a:ext cx="1187650" cy="15688"/>
        </a:xfrm>
      </dgm:spPr>
      <dgm:t>
        <a:bodyPr/>
        <a:lstStyle/>
        <a:p>
          <a:endParaRPr lang="en-US"/>
        </a:p>
      </dgm:t>
    </dgm:pt>
    <dgm:pt modelId="{898446A3-EA8C-4C13-8A65-DF8A110D0838}">
      <dgm:prSet phldrT="[Text]" custT="1"/>
      <dgm:spPr>
        <a:xfrm>
          <a:off x="3565254" y="108069"/>
          <a:ext cx="931838" cy="518033"/>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2</a:t>
          </a:r>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a:p>
          <a:r>
            <a:rPr lang="fr-FR"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Marques, dessins et modèles industriels et indications géographiques</a:t>
          </a:r>
          <a:endParaRPr lang="en-US" sz="7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E56928EA-8406-4998-BE40-3F4796EA5932}" type="sibTrans" cxnId="{A93C1B4A-74B5-4343-AF12-0C2C4D914189}">
      <dgm:prSet/>
      <dgm:spPr/>
      <dgm:t>
        <a:bodyPr/>
        <a:lstStyle/>
        <a:p>
          <a:endParaRPr lang="en-US"/>
        </a:p>
      </dgm:t>
    </dgm:pt>
    <dgm:pt modelId="{DB9FEC62-86A7-454A-89B3-F32F1907C71A}" type="parTrans" cxnId="{A93C1B4A-74B5-4343-AF12-0C2C4D914189}">
      <dgm:prSet/>
      <dgm:spPr>
        <a:xfrm rot="18985007">
          <a:off x="3136860" y="846492"/>
          <a:ext cx="764698" cy="15688"/>
        </a:xfrm>
      </dgm:spPr>
      <dgm:t>
        <a:bodyPr/>
        <a:lstStyle/>
        <a:p>
          <a:endParaRPr lang="en-US"/>
        </a:p>
      </dgm:t>
    </dgm:pt>
    <dgm:pt modelId="{68A5766F-115C-487E-B7CB-4ADE150678D1}">
      <dgm:prSet phldrT="[Text]" custT="1"/>
      <dgm:spPr>
        <a:xfrm>
          <a:off x="2544575" y="3207"/>
          <a:ext cx="903253" cy="518033"/>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a:t>
          </a:r>
          <a:r>
            <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Droit des brevets</a:t>
          </a:r>
        </a:p>
      </dgm:t>
    </dgm:pt>
    <dgm:pt modelId="{BA9B1909-6561-415A-8EF0-B53DE88FCEBA}" type="sibTrans" cxnId="{84826536-FF9D-47C5-902D-DB146A527C2A}">
      <dgm:prSet/>
      <dgm:spPr/>
      <dgm:t>
        <a:bodyPr/>
        <a:lstStyle/>
        <a:p>
          <a:endParaRPr lang="en-US"/>
        </a:p>
      </dgm:t>
    </dgm:pt>
    <dgm:pt modelId="{BA28F4A6-AD16-499D-88C1-DBE004B28175}" type="parTrans" cxnId="{84826536-FF9D-47C5-902D-DB146A527C2A}">
      <dgm:prSet/>
      <dgm:spPr>
        <a:xfrm rot="16200000">
          <a:off x="2710281" y="799317"/>
          <a:ext cx="571840" cy="15688"/>
        </a:xfrm>
      </dgm:spPr>
      <dgm:t>
        <a:bodyPr/>
        <a:lstStyle/>
        <a:p>
          <a:endParaRPr lang="en-US"/>
        </a:p>
      </dgm:t>
    </dgm:pt>
    <dgm:pt modelId="{30FB17EC-C15B-4BC5-A5F8-93316C76A7D4}">
      <dgm:prSet phldrT="[Text]" custT="1"/>
      <dgm:spPr>
        <a:xfrm>
          <a:off x="1445996" y="131454"/>
          <a:ext cx="1086818" cy="546395"/>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18</a:t>
          </a:r>
        </a:p>
        <a:p>
          <a:r>
            <a:rPr lang="fr-FR"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Propriété intellectuelle et défis mondiaux</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0B9D3332-6506-49A3-B313-03598D7AB1F1}" type="parTrans" cxnId="{D234319B-4C2D-4168-B829-6322CF3AD3F4}">
      <dgm:prSet/>
      <dgm:spPr/>
      <dgm:t>
        <a:bodyPr/>
        <a:lstStyle/>
        <a:p>
          <a:endParaRPr lang="en-US"/>
        </a:p>
      </dgm:t>
    </dgm:pt>
    <dgm:pt modelId="{CBA5F467-8B69-4E2F-97AD-8C76474C75DA}" type="sibTrans" cxnId="{D234319B-4C2D-4168-B829-6322CF3AD3F4}">
      <dgm:prSet/>
      <dgm:spPr/>
      <dgm:t>
        <a:bodyPr/>
        <a:lstStyle/>
        <a:p>
          <a:endParaRPr lang="en-US"/>
        </a:p>
      </dgm:t>
    </dgm:pt>
    <dgm:pt modelId="{9D8B49BD-1DF7-4888-9A7E-2CFD4320CC2B}" type="pres">
      <dgm:prSet presAssocID="{D981426F-5B7B-4AA5-957A-6E8C9E1A2487}" presName="cycle" presStyleCnt="0">
        <dgm:presLayoutVars>
          <dgm:chMax val="1"/>
          <dgm:dir/>
          <dgm:animLvl val="ctr"/>
          <dgm:resizeHandles val="exact"/>
        </dgm:presLayoutVars>
      </dgm:prSet>
      <dgm:spPr/>
      <dgm:t>
        <a:bodyPr/>
        <a:lstStyle/>
        <a:p>
          <a:endParaRPr lang="en-US"/>
        </a:p>
      </dgm:t>
    </dgm:pt>
    <dgm:pt modelId="{493DA7EC-5D69-41B7-92E4-ED7ED9F48883}" type="pres">
      <dgm:prSet presAssocID="{A7516A72-1FC0-46ED-AAC4-AF0F7063F737}" presName="centerShape" presStyleLbl="node0" presStyleIdx="0" presStyleCnt="1" custScaleX="287053" custScaleY="80160"/>
      <dgm:spPr>
        <a:prstGeom prst="ellipse">
          <a:avLst/>
        </a:prstGeom>
      </dgm:spPr>
      <dgm:t>
        <a:bodyPr/>
        <a:lstStyle/>
        <a:p>
          <a:endParaRPr lang="en-US"/>
        </a:p>
      </dgm:t>
    </dgm:pt>
    <dgm:pt modelId="{E6ACA703-0949-41B3-BE6B-C702E5C7275F}" type="pres">
      <dgm:prSet presAssocID="{BA28F4A6-AD16-499D-88C1-DBE004B28175}" presName="Name9" presStyleLbl="parChTrans1D2" presStyleIdx="0" presStyleCnt="11"/>
      <dgm:spPr/>
      <dgm:t>
        <a:bodyPr/>
        <a:lstStyle/>
        <a:p>
          <a:endParaRPr lang="en-US"/>
        </a:p>
      </dgm:t>
    </dgm:pt>
    <dgm:pt modelId="{B06AADB2-5D51-41DC-8677-C0CC2357518B}" type="pres">
      <dgm:prSet presAssocID="{BA28F4A6-AD16-499D-88C1-DBE004B28175}" presName="connTx" presStyleLbl="parChTrans1D2" presStyleIdx="0" presStyleCnt="11"/>
      <dgm:spPr/>
      <dgm:t>
        <a:bodyPr/>
        <a:lstStyle/>
        <a:p>
          <a:endParaRPr lang="en-US"/>
        </a:p>
      </dgm:t>
    </dgm:pt>
    <dgm:pt modelId="{AFD0CC05-9AD4-4A51-8739-4FB4CA1E4ACE}" type="pres">
      <dgm:prSet presAssocID="{68A5766F-115C-487E-B7CB-4ADE150678D1}" presName="node" presStyleLbl="node1" presStyleIdx="0" presStyleCnt="11" custScaleX="212598" custScaleY="105091" custRadScaleRad="100093" custRadScaleInc="-10245">
        <dgm:presLayoutVars>
          <dgm:bulletEnabled val="1"/>
        </dgm:presLayoutVars>
      </dgm:prSet>
      <dgm:spPr>
        <a:prstGeom prst="ellipse">
          <a:avLst/>
        </a:prstGeom>
      </dgm:spPr>
      <dgm:t>
        <a:bodyPr/>
        <a:lstStyle/>
        <a:p>
          <a:endParaRPr lang="en-US"/>
        </a:p>
      </dgm:t>
    </dgm:pt>
    <dgm:pt modelId="{34515D96-C834-4D67-AF5C-3B293601CBC3}" type="pres">
      <dgm:prSet presAssocID="{DB9FEC62-86A7-454A-89B3-F32F1907C71A}" presName="Name9" presStyleLbl="parChTrans1D2" presStyleIdx="1" presStyleCnt="11"/>
      <dgm:spPr/>
      <dgm:t>
        <a:bodyPr/>
        <a:lstStyle/>
        <a:p>
          <a:endParaRPr lang="en-US"/>
        </a:p>
      </dgm:t>
    </dgm:pt>
    <dgm:pt modelId="{A8CF68B1-7D91-429E-8C8D-53007288E1DC}" type="pres">
      <dgm:prSet presAssocID="{DB9FEC62-86A7-454A-89B3-F32F1907C71A}" presName="connTx" presStyleLbl="parChTrans1D2" presStyleIdx="1" presStyleCnt="11"/>
      <dgm:spPr/>
      <dgm:t>
        <a:bodyPr/>
        <a:lstStyle/>
        <a:p>
          <a:endParaRPr lang="en-US"/>
        </a:p>
      </dgm:t>
    </dgm:pt>
    <dgm:pt modelId="{D9366F31-B7D7-4B43-830C-AD5E2193A794}" type="pres">
      <dgm:prSet presAssocID="{898446A3-EA8C-4C13-8A65-DF8A110D0838}" presName="node" presStyleLbl="node1" presStyleIdx="1" presStyleCnt="11" custScaleX="271227" custScaleY="132810" custRadScaleRad="132648" custRadScaleInc="98289">
        <dgm:presLayoutVars>
          <dgm:bulletEnabled val="1"/>
        </dgm:presLayoutVars>
      </dgm:prSet>
      <dgm:spPr>
        <a:prstGeom prst="ellipse">
          <a:avLst/>
        </a:prstGeom>
      </dgm:spPr>
      <dgm:t>
        <a:bodyPr/>
        <a:lstStyle/>
        <a:p>
          <a:endParaRPr lang="en-US"/>
        </a:p>
      </dgm:t>
    </dgm:pt>
    <dgm:pt modelId="{3F0F15B6-4D5A-493B-B03E-AE8141DC3DCE}" type="pres">
      <dgm:prSet presAssocID="{D94B5549-C2D2-4629-ACDF-33C6E334FA3A}" presName="Name9" presStyleLbl="parChTrans1D2" presStyleIdx="2" presStyleCnt="11"/>
      <dgm:spPr/>
      <dgm:t>
        <a:bodyPr/>
        <a:lstStyle/>
        <a:p>
          <a:endParaRPr lang="en-US"/>
        </a:p>
      </dgm:t>
    </dgm:pt>
    <dgm:pt modelId="{905DF954-A0B6-4A5F-9CE2-F1C3ADBDD0C1}" type="pres">
      <dgm:prSet presAssocID="{D94B5549-C2D2-4629-ACDF-33C6E334FA3A}" presName="connTx" presStyleLbl="parChTrans1D2" presStyleIdx="2" presStyleCnt="11"/>
      <dgm:spPr/>
      <dgm:t>
        <a:bodyPr/>
        <a:lstStyle/>
        <a:p>
          <a:endParaRPr lang="en-US"/>
        </a:p>
      </dgm:t>
    </dgm:pt>
    <dgm:pt modelId="{ECD2D13D-466C-468B-BD6C-1B646D8E5B8E}" type="pres">
      <dgm:prSet presAssocID="{F0FE4372-65E6-4D92-B9B0-D2B79F26FB27}" presName="node" presStyleLbl="node1" presStyleIdx="2" presStyleCnt="11" custScaleX="209729" custScaleY="94335" custRadScaleRad="189299" custRadScaleInc="48415">
        <dgm:presLayoutVars>
          <dgm:bulletEnabled val="1"/>
        </dgm:presLayoutVars>
      </dgm:prSet>
      <dgm:spPr>
        <a:prstGeom prst="ellipse">
          <a:avLst/>
        </a:prstGeom>
      </dgm:spPr>
      <dgm:t>
        <a:bodyPr/>
        <a:lstStyle/>
        <a:p>
          <a:endParaRPr lang="en-US"/>
        </a:p>
      </dgm:t>
    </dgm:pt>
    <dgm:pt modelId="{5CF8296B-0142-429D-A71A-20799D2EB74B}" type="pres">
      <dgm:prSet presAssocID="{D22DE764-173E-47DF-9480-722F8D8EA62C}" presName="Name9" presStyleLbl="parChTrans1D2" presStyleIdx="3" presStyleCnt="11"/>
      <dgm:spPr/>
      <dgm:t>
        <a:bodyPr/>
        <a:lstStyle/>
        <a:p>
          <a:endParaRPr lang="en-US"/>
        </a:p>
      </dgm:t>
    </dgm:pt>
    <dgm:pt modelId="{48797E66-4F8B-4B79-BCA7-6F88E85CF835}" type="pres">
      <dgm:prSet presAssocID="{D22DE764-173E-47DF-9480-722F8D8EA62C}" presName="connTx" presStyleLbl="parChTrans1D2" presStyleIdx="3" presStyleCnt="11"/>
      <dgm:spPr/>
      <dgm:t>
        <a:bodyPr/>
        <a:lstStyle/>
        <a:p>
          <a:endParaRPr lang="en-US"/>
        </a:p>
      </dgm:t>
    </dgm:pt>
    <dgm:pt modelId="{7E7DDE23-6C04-407D-AAB6-669511EA704E}" type="pres">
      <dgm:prSet presAssocID="{6DAE892F-3F2D-42A5-BB1C-58D0E6BD9A47}" presName="node" presStyleLbl="node1" presStyleIdx="3" presStyleCnt="11" custScaleX="291369" custScaleY="138305" custRadScaleRad="183616" custRadScaleInc="-53783">
        <dgm:presLayoutVars>
          <dgm:bulletEnabled val="1"/>
        </dgm:presLayoutVars>
      </dgm:prSet>
      <dgm:spPr>
        <a:prstGeom prst="ellipse">
          <a:avLst/>
        </a:prstGeom>
      </dgm:spPr>
      <dgm:t>
        <a:bodyPr/>
        <a:lstStyle/>
        <a:p>
          <a:endParaRPr lang="en-US"/>
        </a:p>
      </dgm:t>
    </dgm:pt>
    <dgm:pt modelId="{DC281168-2DBC-4CFB-B21D-C54E9628B383}" type="pres">
      <dgm:prSet presAssocID="{9E510621-404D-46D6-8EB3-39712C8626D4}" presName="Name9" presStyleLbl="parChTrans1D2" presStyleIdx="4" presStyleCnt="11"/>
      <dgm:spPr/>
      <dgm:t>
        <a:bodyPr/>
        <a:lstStyle/>
        <a:p>
          <a:endParaRPr lang="en-US"/>
        </a:p>
      </dgm:t>
    </dgm:pt>
    <dgm:pt modelId="{0D3BFC0A-5ED4-4CCF-A336-A529B3363890}" type="pres">
      <dgm:prSet presAssocID="{9E510621-404D-46D6-8EB3-39712C8626D4}" presName="connTx" presStyleLbl="parChTrans1D2" presStyleIdx="4" presStyleCnt="11"/>
      <dgm:spPr/>
      <dgm:t>
        <a:bodyPr/>
        <a:lstStyle/>
        <a:p>
          <a:endParaRPr lang="en-US"/>
        </a:p>
      </dgm:t>
    </dgm:pt>
    <dgm:pt modelId="{66DADE40-99AE-41BE-B997-129EED231064}" type="pres">
      <dgm:prSet presAssocID="{DB0D84B1-C440-4746-9EEF-F1ED71D64DD2}" presName="node" presStyleLbl="node1" presStyleIdx="4" presStyleCnt="11" custScaleX="217497" custScaleY="100332" custRadScaleRad="174999" custRadScaleInc="-140017">
        <dgm:presLayoutVars>
          <dgm:bulletEnabled val="1"/>
        </dgm:presLayoutVars>
      </dgm:prSet>
      <dgm:spPr>
        <a:prstGeom prst="ellipse">
          <a:avLst/>
        </a:prstGeom>
      </dgm:spPr>
      <dgm:t>
        <a:bodyPr/>
        <a:lstStyle/>
        <a:p>
          <a:endParaRPr lang="en-US"/>
        </a:p>
      </dgm:t>
    </dgm:pt>
    <dgm:pt modelId="{4DF1B0BE-A63A-4BEA-9EE5-4168481CC99E}" type="pres">
      <dgm:prSet presAssocID="{3F89048A-3F9F-4897-8631-4599F4976029}" presName="Name9" presStyleLbl="parChTrans1D2" presStyleIdx="5" presStyleCnt="11"/>
      <dgm:spPr/>
      <dgm:t>
        <a:bodyPr/>
        <a:lstStyle/>
        <a:p>
          <a:endParaRPr lang="en-US"/>
        </a:p>
      </dgm:t>
    </dgm:pt>
    <dgm:pt modelId="{32B4D7AF-BD29-4AC4-BA11-37F2AE9561F4}" type="pres">
      <dgm:prSet presAssocID="{3F89048A-3F9F-4897-8631-4599F4976029}" presName="connTx" presStyleLbl="parChTrans1D2" presStyleIdx="5" presStyleCnt="11"/>
      <dgm:spPr/>
      <dgm:t>
        <a:bodyPr/>
        <a:lstStyle/>
        <a:p>
          <a:endParaRPr lang="en-US"/>
        </a:p>
      </dgm:t>
    </dgm:pt>
    <dgm:pt modelId="{DB594876-4070-4577-942D-67F5CD4D6A19}" type="pres">
      <dgm:prSet presAssocID="{14602118-D739-48CC-85E0-791974AFA995}" presName="node" presStyleLbl="node1" presStyleIdx="5" presStyleCnt="11" custScaleX="250523" custScaleY="116291" custRadScaleRad="106753" custRadScaleInc="-167648">
        <dgm:presLayoutVars>
          <dgm:bulletEnabled val="1"/>
        </dgm:presLayoutVars>
      </dgm:prSet>
      <dgm:spPr>
        <a:prstGeom prst="ellipse">
          <a:avLst/>
        </a:prstGeom>
      </dgm:spPr>
      <dgm:t>
        <a:bodyPr/>
        <a:lstStyle/>
        <a:p>
          <a:endParaRPr lang="en-US"/>
        </a:p>
      </dgm:t>
    </dgm:pt>
    <dgm:pt modelId="{E49C447F-3477-4311-B10B-FFFA7DE7209F}" type="pres">
      <dgm:prSet presAssocID="{98585C11-761C-43C4-979D-FB1B8BABF102}" presName="Name9" presStyleLbl="parChTrans1D2" presStyleIdx="6" presStyleCnt="11"/>
      <dgm:spPr/>
      <dgm:t>
        <a:bodyPr/>
        <a:lstStyle/>
        <a:p>
          <a:endParaRPr lang="en-US"/>
        </a:p>
      </dgm:t>
    </dgm:pt>
    <dgm:pt modelId="{B930024E-8665-4782-9C41-36517A71FCD4}" type="pres">
      <dgm:prSet presAssocID="{98585C11-761C-43C4-979D-FB1B8BABF102}" presName="connTx" presStyleLbl="parChTrans1D2" presStyleIdx="6" presStyleCnt="11"/>
      <dgm:spPr/>
      <dgm:t>
        <a:bodyPr/>
        <a:lstStyle/>
        <a:p>
          <a:endParaRPr lang="en-US"/>
        </a:p>
      </dgm:t>
    </dgm:pt>
    <dgm:pt modelId="{69F18085-0AC3-4BAE-9B16-F8478FFBD61E}" type="pres">
      <dgm:prSet presAssocID="{7C1FA040-4399-40F0-866F-845B7914F68D}" presName="node" presStyleLbl="node1" presStyleIdx="6" presStyleCnt="11" custScaleX="248902" custScaleY="105725" custRadScaleRad="87787" custRadScaleInc="50658">
        <dgm:presLayoutVars>
          <dgm:bulletEnabled val="1"/>
        </dgm:presLayoutVars>
      </dgm:prSet>
      <dgm:spPr>
        <a:prstGeom prst="ellipse">
          <a:avLst/>
        </a:prstGeom>
      </dgm:spPr>
      <dgm:t>
        <a:bodyPr/>
        <a:lstStyle/>
        <a:p>
          <a:endParaRPr lang="en-US"/>
        </a:p>
      </dgm:t>
    </dgm:pt>
    <dgm:pt modelId="{FCC14444-D5E7-4E9C-B980-A27CD799E442}" type="pres">
      <dgm:prSet presAssocID="{DEF73824-C893-4963-9504-7E97D2FF5253}" presName="Name9" presStyleLbl="parChTrans1D2" presStyleIdx="7" presStyleCnt="11"/>
      <dgm:spPr/>
      <dgm:t>
        <a:bodyPr/>
        <a:lstStyle/>
        <a:p>
          <a:endParaRPr lang="en-US"/>
        </a:p>
      </dgm:t>
    </dgm:pt>
    <dgm:pt modelId="{3EA6B60F-F2E8-4D48-9EC1-CAAE09243949}" type="pres">
      <dgm:prSet presAssocID="{DEF73824-C893-4963-9504-7E97D2FF5253}" presName="connTx" presStyleLbl="parChTrans1D2" presStyleIdx="7" presStyleCnt="11"/>
      <dgm:spPr/>
      <dgm:t>
        <a:bodyPr/>
        <a:lstStyle/>
        <a:p>
          <a:endParaRPr lang="en-US"/>
        </a:p>
      </dgm:t>
    </dgm:pt>
    <dgm:pt modelId="{49C45DFA-0A15-4DAA-80DC-CAE4ABCC6B43}" type="pres">
      <dgm:prSet presAssocID="{2628F477-2289-4CEE-9618-96DDAFCD4291}" presName="node" presStyleLbl="node1" presStyleIdx="7" presStyleCnt="11" custScaleX="241414" custScaleY="116266" custRadScaleRad="161887" custRadScaleInc="83625">
        <dgm:presLayoutVars>
          <dgm:bulletEnabled val="1"/>
        </dgm:presLayoutVars>
      </dgm:prSet>
      <dgm:spPr>
        <a:prstGeom prst="ellipse">
          <a:avLst/>
        </a:prstGeom>
      </dgm:spPr>
      <dgm:t>
        <a:bodyPr/>
        <a:lstStyle/>
        <a:p>
          <a:endParaRPr lang="en-US"/>
        </a:p>
      </dgm:t>
    </dgm:pt>
    <dgm:pt modelId="{7B59CB2C-C82F-41EE-B3CF-ADD4878ADBA6}" type="pres">
      <dgm:prSet presAssocID="{2F72DDEE-62D3-48A5-836A-4C87596541F0}" presName="Name9" presStyleLbl="parChTrans1D2" presStyleIdx="8" presStyleCnt="11"/>
      <dgm:spPr/>
      <dgm:t>
        <a:bodyPr/>
        <a:lstStyle/>
        <a:p>
          <a:endParaRPr lang="en-US"/>
        </a:p>
      </dgm:t>
    </dgm:pt>
    <dgm:pt modelId="{280B3AB5-4999-4B99-8BE9-E09C9DF5D482}" type="pres">
      <dgm:prSet presAssocID="{2F72DDEE-62D3-48A5-836A-4C87596541F0}" presName="connTx" presStyleLbl="parChTrans1D2" presStyleIdx="8" presStyleCnt="11"/>
      <dgm:spPr/>
      <dgm:t>
        <a:bodyPr/>
        <a:lstStyle/>
        <a:p>
          <a:endParaRPr lang="en-US"/>
        </a:p>
      </dgm:t>
    </dgm:pt>
    <dgm:pt modelId="{402B25BB-F397-46B5-AAB7-C38C2276BF82}" type="pres">
      <dgm:prSet presAssocID="{44FBC2E2-D754-42C1-BEE4-690296442511}" presName="node" presStyleLbl="node1" presStyleIdx="8" presStyleCnt="11" custScaleX="291889" custScaleY="128832" custRadScaleRad="181030" custRadScaleInc="9513">
        <dgm:presLayoutVars>
          <dgm:bulletEnabled val="1"/>
        </dgm:presLayoutVars>
      </dgm:prSet>
      <dgm:spPr>
        <a:prstGeom prst="ellipse">
          <a:avLst/>
        </a:prstGeom>
      </dgm:spPr>
      <dgm:t>
        <a:bodyPr/>
        <a:lstStyle/>
        <a:p>
          <a:endParaRPr lang="en-US"/>
        </a:p>
      </dgm:t>
    </dgm:pt>
    <dgm:pt modelId="{EFB9CB5A-411C-454B-96B1-9ED988829CBE}" type="pres">
      <dgm:prSet presAssocID="{B4A5C031-92B2-438E-80BC-EAA05F5C7CF7}" presName="Name9" presStyleLbl="parChTrans1D2" presStyleIdx="9" presStyleCnt="11"/>
      <dgm:spPr/>
      <dgm:t>
        <a:bodyPr/>
        <a:lstStyle/>
        <a:p>
          <a:endParaRPr lang="en-US"/>
        </a:p>
      </dgm:t>
    </dgm:pt>
    <dgm:pt modelId="{A140118B-14B1-45A7-9CF9-17E4D006F84D}" type="pres">
      <dgm:prSet presAssocID="{B4A5C031-92B2-438E-80BC-EAA05F5C7CF7}" presName="connTx" presStyleLbl="parChTrans1D2" presStyleIdx="9" presStyleCnt="11"/>
      <dgm:spPr/>
      <dgm:t>
        <a:bodyPr/>
        <a:lstStyle/>
        <a:p>
          <a:endParaRPr lang="en-US"/>
        </a:p>
      </dgm:t>
    </dgm:pt>
    <dgm:pt modelId="{5AF8D9AC-0C15-4D1B-BCD3-7FFCFF0A581D}" type="pres">
      <dgm:prSet presAssocID="{D460D018-736B-4CE5-A14B-061F8EFE829B}" presName="node" presStyleLbl="node1" presStyleIdx="9" presStyleCnt="11" custScaleX="277883" custScaleY="132989" custRadScaleRad="173814" custRadScaleInc="-70766">
        <dgm:presLayoutVars>
          <dgm:bulletEnabled val="1"/>
        </dgm:presLayoutVars>
      </dgm:prSet>
      <dgm:spPr>
        <a:prstGeom prst="ellipse">
          <a:avLst/>
        </a:prstGeom>
      </dgm:spPr>
      <dgm:t>
        <a:bodyPr/>
        <a:lstStyle/>
        <a:p>
          <a:endParaRPr lang="en-US"/>
        </a:p>
      </dgm:t>
    </dgm:pt>
    <dgm:pt modelId="{EA581F84-B016-4CDB-99D6-9E3DD9F505FC}" type="pres">
      <dgm:prSet presAssocID="{0B9D3332-6506-49A3-B313-03598D7AB1F1}" presName="Name9" presStyleLbl="parChTrans1D2" presStyleIdx="10" presStyleCnt="11"/>
      <dgm:spPr/>
      <dgm:t>
        <a:bodyPr/>
        <a:lstStyle/>
        <a:p>
          <a:endParaRPr lang="en-US"/>
        </a:p>
      </dgm:t>
    </dgm:pt>
    <dgm:pt modelId="{5EA7C01D-B441-4CF8-BC42-1137E519F776}" type="pres">
      <dgm:prSet presAssocID="{0B9D3332-6506-49A3-B313-03598D7AB1F1}" presName="connTx" presStyleLbl="parChTrans1D2" presStyleIdx="10" presStyleCnt="11"/>
      <dgm:spPr/>
      <dgm:t>
        <a:bodyPr/>
        <a:lstStyle/>
        <a:p>
          <a:endParaRPr lang="en-US"/>
        </a:p>
      </dgm:t>
    </dgm:pt>
    <dgm:pt modelId="{0BAA02DA-E841-4BF5-8708-178825E9BEE2}" type="pres">
      <dgm:prSet presAssocID="{30FB17EC-C15B-4BC5-A5F8-93316C76A7D4}" presName="node" presStyleLbl="node1" presStyleIdx="10" presStyleCnt="11" custScaleX="231029" custScaleY="123462" custRadScaleRad="129298" custRadScaleInc="-100470">
        <dgm:presLayoutVars>
          <dgm:bulletEnabled val="1"/>
        </dgm:presLayoutVars>
      </dgm:prSet>
      <dgm:spPr/>
      <dgm:t>
        <a:bodyPr/>
        <a:lstStyle/>
        <a:p>
          <a:endParaRPr lang="en-US"/>
        </a:p>
      </dgm:t>
    </dgm:pt>
  </dgm:ptLst>
  <dgm:cxnLst>
    <dgm:cxn modelId="{FE1169E0-24DF-4FBB-A1C9-8F332C85663A}" srcId="{A7516A72-1FC0-46ED-AAC4-AF0F7063F737}" destId="{6DAE892F-3F2D-42A5-BB1C-58D0E6BD9A47}" srcOrd="3" destOrd="0" parTransId="{D22DE764-173E-47DF-9480-722F8D8EA62C}" sibTransId="{28BD2EB6-8814-456D-B684-C7C0E2C0705F}"/>
    <dgm:cxn modelId="{1D64EE75-06BE-4E9D-AE03-771DD3C9283D}" type="presOf" srcId="{30FB17EC-C15B-4BC5-A5F8-93316C76A7D4}" destId="{0BAA02DA-E841-4BF5-8708-178825E9BEE2}" srcOrd="0" destOrd="0" presId="urn:microsoft.com/office/officeart/2005/8/layout/radial1"/>
    <dgm:cxn modelId="{386CD20F-50DE-40B0-AD89-1146A3513D00}" type="presOf" srcId="{BA28F4A6-AD16-499D-88C1-DBE004B28175}" destId="{B06AADB2-5D51-41DC-8677-C0CC2357518B}" srcOrd="1" destOrd="0" presId="urn:microsoft.com/office/officeart/2005/8/layout/radial1"/>
    <dgm:cxn modelId="{FFC702C3-77D6-4A72-B371-F80E9084F179}" type="presOf" srcId="{BA28F4A6-AD16-499D-88C1-DBE004B28175}" destId="{E6ACA703-0949-41B3-BE6B-C702E5C7275F}" srcOrd="0" destOrd="0" presId="urn:microsoft.com/office/officeart/2005/8/layout/radial1"/>
    <dgm:cxn modelId="{3B358C83-6462-4DE0-958D-CF5FA64EC556}" type="presOf" srcId="{7C1FA040-4399-40F0-866F-845B7914F68D}" destId="{69F18085-0AC3-4BAE-9B16-F8478FFBD61E}" srcOrd="0" destOrd="0" presId="urn:microsoft.com/office/officeart/2005/8/layout/radial1"/>
    <dgm:cxn modelId="{657295C0-24FA-4745-BBB6-E03BD2D92639}" type="presOf" srcId="{DB9FEC62-86A7-454A-89B3-F32F1907C71A}" destId="{A8CF68B1-7D91-429E-8C8D-53007288E1DC}" srcOrd="1" destOrd="0" presId="urn:microsoft.com/office/officeart/2005/8/layout/radial1"/>
    <dgm:cxn modelId="{4B697ECD-6133-4316-92BC-21EB373C3B12}" type="presOf" srcId="{44FBC2E2-D754-42C1-BEE4-690296442511}" destId="{402B25BB-F397-46B5-AAB7-C38C2276BF82}" srcOrd="0" destOrd="0" presId="urn:microsoft.com/office/officeart/2005/8/layout/radial1"/>
    <dgm:cxn modelId="{215F0D99-D868-498E-B7D1-F9CFAB4846E1}" type="presOf" srcId="{2628F477-2289-4CEE-9618-96DDAFCD4291}" destId="{49C45DFA-0A15-4DAA-80DC-CAE4ABCC6B43}" srcOrd="0" destOrd="0" presId="urn:microsoft.com/office/officeart/2005/8/layout/radial1"/>
    <dgm:cxn modelId="{D234319B-4C2D-4168-B829-6322CF3AD3F4}" srcId="{A7516A72-1FC0-46ED-AAC4-AF0F7063F737}" destId="{30FB17EC-C15B-4BC5-A5F8-93316C76A7D4}" srcOrd="10" destOrd="0" parTransId="{0B9D3332-6506-49A3-B313-03598D7AB1F1}" sibTransId="{CBA5F467-8B69-4E2F-97AD-8C76474C75DA}"/>
    <dgm:cxn modelId="{7F0457D6-B091-4910-BDAA-238794334334}" type="presOf" srcId="{0B9D3332-6506-49A3-B313-03598D7AB1F1}" destId="{5EA7C01D-B441-4CF8-BC42-1137E519F776}" srcOrd="1" destOrd="0" presId="urn:microsoft.com/office/officeart/2005/8/layout/radial1"/>
    <dgm:cxn modelId="{A1357B0A-C240-4A91-89D8-A39634308683}" srcId="{A7516A72-1FC0-46ED-AAC4-AF0F7063F737}" destId="{44FBC2E2-D754-42C1-BEE4-690296442511}" srcOrd="8" destOrd="0" parTransId="{2F72DDEE-62D3-48A5-836A-4C87596541F0}" sibTransId="{A8D506B7-E9B0-4378-B011-FCC599FE960D}"/>
    <dgm:cxn modelId="{B3A47DD7-FDC7-47CF-BC03-B8677064D1D6}" type="presOf" srcId="{D22DE764-173E-47DF-9480-722F8D8EA62C}" destId="{5CF8296B-0142-429D-A71A-20799D2EB74B}" srcOrd="0" destOrd="0" presId="urn:microsoft.com/office/officeart/2005/8/layout/radial1"/>
    <dgm:cxn modelId="{7DEE5717-7986-4A55-9A14-88534BCD3FEC}" type="presOf" srcId="{DB0D84B1-C440-4746-9EEF-F1ED71D64DD2}" destId="{66DADE40-99AE-41BE-B997-129EED231064}" srcOrd="0" destOrd="0" presId="urn:microsoft.com/office/officeart/2005/8/layout/radial1"/>
    <dgm:cxn modelId="{9C086481-2A6E-4A47-9B62-1EA932A4AD29}" type="presOf" srcId="{DEF73824-C893-4963-9504-7E97D2FF5253}" destId="{FCC14444-D5E7-4E9C-B980-A27CD799E442}" srcOrd="0" destOrd="0" presId="urn:microsoft.com/office/officeart/2005/8/layout/radial1"/>
    <dgm:cxn modelId="{08E9372B-5641-4503-819A-60CF8DF92717}" type="presOf" srcId="{9E510621-404D-46D6-8EB3-39712C8626D4}" destId="{DC281168-2DBC-4CFB-B21D-C54E9628B383}" srcOrd="0" destOrd="0" presId="urn:microsoft.com/office/officeart/2005/8/layout/radial1"/>
    <dgm:cxn modelId="{DED650C3-A6E1-445E-AB39-5871FA96A2D2}" type="presOf" srcId="{B4A5C031-92B2-438E-80BC-EAA05F5C7CF7}" destId="{A140118B-14B1-45A7-9CF9-17E4D006F84D}" srcOrd="1" destOrd="0" presId="urn:microsoft.com/office/officeart/2005/8/layout/radial1"/>
    <dgm:cxn modelId="{333E8F20-31E9-4D6F-9F31-24FBF63076E9}" srcId="{A7516A72-1FC0-46ED-AAC4-AF0F7063F737}" destId="{D460D018-736B-4CE5-A14B-061F8EFE829B}" srcOrd="9" destOrd="0" parTransId="{B4A5C031-92B2-438E-80BC-EAA05F5C7CF7}" sibTransId="{13E4242D-C1FF-4F31-B2EF-0F857644C218}"/>
    <dgm:cxn modelId="{A7EDDB4E-F324-4482-B380-AFE249B184FF}" type="presOf" srcId="{D981426F-5B7B-4AA5-957A-6E8C9E1A2487}" destId="{9D8B49BD-1DF7-4888-9A7E-2CFD4320CC2B}" srcOrd="0" destOrd="0" presId="urn:microsoft.com/office/officeart/2005/8/layout/radial1"/>
    <dgm:cxn modelId="{BDF56220-43F3-4C65-9763-5E0403BFAB4A}" type="presOf" srcId="{3F89048A-3F9F-4897-8631-4599F4976029}" destId="{32B4D7AF-BD29-4AC4-BA11-37F2AE9561F4}" srcOrd="1" destOrd="0" presId="urn:microsoft.com/office/officeart/2005/8/layout/radial1"/>
    <dgm:cxn modelId="{996B9653-906A-49F8-9E4B-3836F7905D4E}" srcId="{D981426F-5B7B-4AA5-957A-6E8C9E1A2487}" destId="{A7516A72-1FC0-46ED-AAC4-AF0F7063F737}" srcOrd="0" destOrd="0" parTransId="{D9E0AFEB-65B5-4280-ADD0-766B3ADA6CFD}" sibTransId="{6B1EB84D-437E-47A1-87CB-9027EE716AD0}"/>
    <dgm:cxn modelId="{52FAD693-70D2-41CA-9979-DE723F45490B}" type="presOf" srcId="{98585C11-761C-43C4-979D-FB1B8BABF102}" destId="{B930024E-8665-4782-9C41-36517A71FCD4}" srcOrd="1" destOrd="0" presId="urn:microsoft.com/office/officeart/2005/8/layout/radial1"/>
    <dgm:cxn modelId="{84826536-FF9D-47C5-902D-DB146A527C2A}" srcId="{A7516A72-1FC0-46ED-AAC4-AF0F7063F737}" destId="{68A5766F-115C-487E-B7CB-4ADE150678D1}" srcOrd="0" destOrd="0" parTransId="{BA28F4A6-AD16-499D-88C1-DBE004B28175}" sibTransId="{BA9B1909-6561-415A-8EF0-B53DE88FCEBA}"/>
    <dgm:cxn modelId="{A77DA8F0-0296-4297-B55A-30A9828EA8B0}" type="presOf" srcId="{D94B5549-C2D2-4629-ACDF-33C6E334FA3A}" destId="{905DF954-A0B6-4A5F-9CE2-F1C3ADBDD0C1}" srcOrd="1" destOrd="0" presId="urn:microsoft.com/office/officeart/2005/8/layout/radial1"/>
    <dgm:cxn modelId="{B044EEBE-D64D-4121-A4E1-C909CCA75C75}" type="presOf" srcId="{98585C11-761C-43C4-979D-FB1B8BABF102}" destId="{E49C447F-3477-4311-B10B-FFFA7DE7209F}" srcOrd="0" destOrd="0" presId="urn:microsoft.com/office/officeart/2005/8/layout/radial1"/>
    <dgm:cxn modelId="{345C13DF-1D3F-4982-AF23-DC2641540559}" srcId="{A7516A72-1FC0-46ED-AAC4-AF0F7063F737}" destId="{7C1FA040-4399-40F0-866F-845B7914F68D}" srcOrd="6" destOrd="0" parTransId="{98585C11-761C-43C4-979D-FB1B8BABF102}" sibTransId="{82A7CC90-6A4C-422A-B221-BA4CF5B4D442}"/>
    <dgm:cxn modelId="{5CD44E12-A4C3-4CD8-9510-FB32A2347241}" type="presOf" srcId="{3F89048A-3F9F-4897-8631-4599F4976029}" destId="{4DF1B0BE-A63A-4BEA-9EE5-4168481CC99E}" srcOrd="0" destOrd="0" presId="urn:microsoft.com/office/officeart/2005/8/layout/radial1"/>
    <dgm:cxn modelId="{DE7752FB-F813-4ACD-B50A-870B7D645D80}" type="presOf" srcId="{68A5766F-115C-487E-B7CB-4ADE150678D1}" destId="{AFD0CC05-9AD4-4A51-8739-4FB4CA1E4ACE}" srcOrd="0" destOrd="0" presId="urn:microsoft.com/office/officeart/2005/8/layout/radial1"/>
    <dgm:cxn modelId="{0F98362F-688C-4286-A6C2-70460615CB61}" type="presOf" srcId="{14602118-D739-48CC-85E0-791974AFA995}" destId="{DB594876-4070-4577-942D-67F5CD4D6A19}" srcOrd="0" destOrd="0" presId="urn:microsoft.com/office/officeart/2005/8/layout/radial1"/>
    <dgm:cxn modelId="{C7DD68AE-99B2-4937-A127-D654A2E99784}" srcId="{A7516A72-1FC0-46ED-AAC4-AF0F7063F737}" destId="{DB0D84B1-C440-4746-9EEF-F1ED71D64DD2}" srcOrd="4" destOrd="0" parTransId="{9E510621-404D-46D6-8EB3-39712C8626D4}" sibTransId="{99C4878C-8523-40E3-93C5-8DC55D31DB77}"/>
    <dgm:cxn modelId="{6C613525-6043-457A-9D65-D30748BBC681}" type="presOf" srcId="{2F72DDEE-62D3-48A5-836A-4C87596541F0}" destId="{7B59CB2C-C82F-41EE-B3CF-ADD4878ADBA6}" srcOrd="0" destOrd="0" presId="urn:microsoft.com/office/officeart/2005/8/layout/radial1"/>
    <dgm:cxn modelId="{E5DD3C3F-F401-46C8-9D1F-CEE8478EFA81}" srcId="{A7516A72-1FC0-46ED-AAC4-AF0F7063F737}" destId="{2628F477-2289-4CEE-9618-96DDAFCD4291}" srcOrd="7" destOrd="0" parTransId="{DEF73824-C893-4963-9504-7E97D2FF5253}" sibTransId="{6D6ABE48-6FEB-4EAA-849C-585AC08FCF5B}"/>
    <dgm:cxn modelId="{1229807D-6A59-498C-A707-9DD6CEEA0C8D}" srcId="{A7516A72-1FC0-46ED-AAC4-AF0F7063F737}" destId="{F0FE4372-65E6-4D92-B9B0-D2B79F26FB27}" srcOrd="2" destOrd="0" parTransId="{D94B5549-C2D2-4629-ACDF-33C6E334FA3A}" sibTransId="{E2B06661-55BE-4022-AD18-067DB2509F93}"/>
    <dgm:cxn modelId="{97F76D59-3FD0-4C38-9277-A8E46CA1DC2D}" type="presOf" srcId="{DEF73824-C893-4963-9504-7E97D2FF5253}" destId="{3EA6B60F-F2E8-4D48-9EC1-CAAE09243949}" srcOrd="1" destOrd="0" presId="urn:microsoft.com/office/officeart/2005/8/layout/radial1"/>
    <dgm:cxn modelId="{824439C8-1A7B-4FDA-9287-7EBE864B3956}" type="presOf" srcId="{A7516A72-1FC0-46ED-AAC4-AF0F7063F737}" destId="{493DA7EC-5D69-41B7-92E4-ED7ED9F48883}" srcOrd="0" destOrd="0" presId="urn:microsoft.com/office/officeart/2005/8/layout/radial1"/>
    <dgm:cxn modelId="{E58F1A5E-A875-4874-8DBD-EEE973142BA1}" type="presOf" srcId="{0B9D3332-6506-49A3-B313-03598D7AB1F1}" destId="{EA581F84-B016-4CDB-99D6-9E3DD9F505FC}" srcOrd="0" destOrd="0" presId="urn:microsoft.com/office/officeart/2005/8/layout/radial1"/>
    <dgm:cxn modelId="{581664AE-E1A4-4FEA-9D63-BE92DFD4CF12}" type="presOf" srcId="{DB9FEC62-86A7-454A-89B3-F32F1907C71A}" destId="{34515D96-C834-4D67-AF5C-3B293601CBC3}" srcOrd="0" destOrd="0" presId="urn:microsoft.com/office/officeart/2005/8/layout/radial1"/>
    <dgm:cxn modelId="{6AB6A8C0-95C9-4035-8D2D-3EC3726D3736}" type="presOf" srcId="{D460D018-736B-4CE5-A14B-061F8EFE829B}" destId="{5AF8D9AC-0C15-4D1B-BCD3-7FFCFF0A581D}" srcOrd="0" destOrd="0" presId="urn:microsoft.com/office/officeart/2005/8/layout/radial1"/>
    <dgm:cxn modelId="{6C735F15-75CC-4AB9-A601-44261CEED4AD}" type="presOf" srcId="{2F72DDEE-62D3-48A5-836A-4C87596541F0}" destId="{280B3AB5-4999-4B99-8BE9-E09C9DF5D482}" srcOrd="1" destOrd="0" presId="urn:microsoft.com/office/officeart/2005/8/layout/radial1"/>
    <dgm:cxn modelId="{038A6E23-A568-4F71-961E-E2823F7A50AB}" type="presOf" srcId="{6DAE892F-3F2D-42A5-BB1C-58D0E6BD9A47}" destId="{7E7DDE23-6C04-407D-AAB6-669511EA704E}" srcOrd="0" destOrd="0" presId="urn:microsoft.com/office/officeart/2005/8/layout/radial1"/>
    <dgm:cxn modelId="{B3626422-F3B8-4CD2-8F62-8CD4E406E134}" type="presOf" srcId="{898446A3-EA8C-4C13-8A65-DF8A110D0838}" destId="{D9366F31-B7D7-4B43-830C-AD5E2193A794}" srcOrd="0" destOrd="0" presId="urn:microsoft.com/office/officeart/2005/8/layout/radial1"/>
    <dgm:cxn modelId="{3138FD81-FCE3-4020-9313-BAD8BCAF820B}" srcId="{A7516A72-1FC0-46ED-AAC4-AF0F7063F737}" destId="{14602118-D739-48CC-85E0-791974AFA995}" srcOrd="5" destOrd="0" parTransId="{3F89048A-3F9F-4897-8631-4599F4976029}" sibTransId="{85730AA2-ED16-41DB-9898-B2A63ECD874D}"/>
    <dgm:cxn modelId="{C1ADD773-D003-4E63-AED0-6B2F0F9EB7C8}" type="presOf" srcId="{D22DE764-173E-47DF-9480-722F8D8EA62C}" destId="{48797E66-4F8B-4B79-BCA7-6F88E85CF835}" srcOrd="1" destOrd="0" presId="urn:microsoft.com/office/officeart/2005/8/layout/radial1"/>
    <dgm:cxn modelId="{49A5181F-0D59-4194-A480-803CB5C78D0A}" type="presOf" srcId="{D94B5549-C2D2-4629-ACDF-33C6E334FA3A}" destId="{3F0F15B6-4D5A-493B-B03E-AE8141DC3DCE}" srcOrd="0" destOrd="0" presId="urn:microsoft.com/office/officeart/2005/8/layout/radial1"/>
    <dgm:cxn modelId="{A93C1B4A-74B5-4343-AF12-0C2C4D914189}" srcId="{A7516A72-1FC0-46ED-AAC4-AF0F7063F737}" destId="{898446A3-EA8C-4C13-8A65-DF8A110D0838}" srcOrd="1" destOrd="0" parTransId="{DB9FEC62-86A7-454A-89B3-F32F1907C71A}" sibTransId="{E56928EA-8406-4998-BE40-3F4796EA5932}"/>
    <dgm:cxn modelId="{DC2D5C36-CA3E-4C4E-ABAD-1BD8D67B912A}" type="presOf" srcId="{B4A5C031-92B2-438E-80BC-EAA05F5C7CF7}" destId="{EFB9CB5A-411C-454B-96B1-9ED988829CBE}" srcOrd="0" destOrd="0" presId="urn:microsoft.com/office/officeart/2005/8/layout/radial1"/>
    <dgm:cxn modelId="{20FF6A89-93E1-4290-BFA4-7B6355ED4D34}" type="presOf" srcId="{F0FE4372-65E6-4D92-B9B0-D2B79F26FB27}" destId="{ECD2D13D-466C-468B-BD6C-1B646D8E5B8E}" srcOrd="0" destOrd="0" presId="urn:microsoft.com/office/officeart/2005/8/layout/radial1"/>
    <dgm:cxn modelId="{FA6EFB15-5767-4599-AAEE-AEB0C298DE42}" type="presOf" srcId="{9E510621-404D-46D6-8EB3-39712C8626D4}" destId="{0D3BFC0A-5ED4-4CCF-A336-A529B3363890}" srcOrd="1" destOrd="0" presId="urn:microsoft.com/office/officeart/2005/8/layout/radial1"/>
    <dgm:cxn modelId="{F2E7AE79-9D32-4973-963F-45211F3097A8}" type="presParOf" srcId="{9D8B49BD-1DF7-4888-9A7E-2CFD4320CC2B}" destId="{493DA7EC-5D69-41B7-92E4-ED7ED9F48883}" srcOrd="0" destOrd="0" presId="urn:microsoft.com/office/officeart/2005/8/layout/radial1"/>
    <dgm:cxn modelId="{6148B689-0BBB-4A23-AE3F-7588A43C3098}" type="presParOf" srcId="{9D8B49BD-1DF7-4888-9A7E-2CFD4320CC2B}" destId="{E6ACA703-0949-41B3-BE6B-C702E5C7275F}" srcOrd="1" destOrd="0" presId="urn:microsoft.com/office/officeart/2005/8/layout/radial1"/>
    <dgm:cxn modelId="{261B0B80-5E41-4E56-8FCC-EDA23DFAD9B5}" type="presParOf" srcId="{E6ACA703-0949-41B3-BE6B-C702E5C7275F}" destId="{B06AADB2-5D51-41DC-8677-C0CC2357518B}" srcOrd="0" destOrd="0" presId="urn:microsoft.com/office/officeart/2005/8/layout/radial1"/>
    <dgm:cxn modelId="{590BEDC9-6233-4DD4-A631-857A9745ECD6}" type="presParOf" srcId="{9D8B49BD-1DF7-4888-9A7E-2CFD4320CC2B}" destId="{AFD0CC05-9AD4-4A51-8739-4FB4CA1E4ACE}" srcOrd="2" destOrd="0" presId="urn:microsoft.com/office/officeart/2005/8/layout/radial1"/>
    <dgm:cxn modelId="{17009BF2-08D6-46BA-BA52-8681D92FC74D}" type="presParOf" srcId="{9D8B49BD-1DF7-4888-9A7E-2CFD4320CC2B}" destId="{34515D96-C834-4D67-AF5C-3B293601CBC3}" srcOrd="3" destOrd="0" presId="urn:microsoft.com/office/officeart/2005/8/layout/radial1"/>
    <dgm:cxn modelId="{74A48D83-D144-4C08-9A56-02328CB3EF08}" type="presParOf" srcId="{34515D96-C834-4D67-AF5C-3B293601CBC3}" destId="{A8CF68B1-7D91-429E-8C8D-53007288E1DC}" srcOrd="0" destOrd="0" presId="urn:microsoft.com/office/officeart/2005/8/layout/radial1"/>
    <dgm:cxn modelId="{D9703C7C-0F39-4994-BB3D-93AC7A0AB4CF}" type="presParOf" srcId="{9D8B49BD-1DF7-4888-9A7E-2CFD4320CC2B}" destId="{D9366F31-B7D7-4B43-830C-AD5E2193A794}" srcOrd="4" destOrd="0" presId="urn:microsoft.com/office/officeart/2005/8/layout/radial1"/>
    <dgm:cxn modelId="{E4316E29-1526-46A2-BC75-7DE1E77B5C92}" type="presParOf" srcId="{9D8B49BD-1DF7-4888-9A7E-2CFD4320CC2B}" destId="{3F0F15B6-4D5A-493B-B03E-AE8141DC3DCE}" srcOrd="5" destOrd="0" presId="urn:microsoft.com/office/officeart/2005/8/layout/radial1"/>
    <dgm:cxn modelId="{D0C94A6E-7B38-40D8-8B3E-D0525CD8EB4D}" type="presParOf" srcId="{3F0F15B6-4D5A-493B-B03E-AE8141DC3DCE}" destId="{905DF954-A0B6-4A5F-9CE2-F1C3ADBDD0C1}" srcOrd="0" destOrd="0" presId="urn:microsoft.com/office/officeart/2005/8/layout/radial1"/>
    <dgm:cxn modelId="{556805C9-695D-4469-8571-D152C513F76E}" type="presParOf" srcId="{9D8B49BD-1DF7-4888-9A7E-2CFD4320CC2B}" destId="{ECD2D13D-466C-468B-BD6C-1B646D8E5B8E}" srcOrd="6" destOrd="0" presId="urn:microsoft.com/office/officeart/2005/8/layout/radial1"/>
    <dgm:cxn modelId="{0B07C327-D6E2-4DF4-8CD1-E2098CAFF3B6}" type="presParOf" srcId="{9D8B49BD-1DF7-4888-9A7E-2CFD4320CC2B}" destId="{5CF8296B-0142-429D-A71A-20799D2EB74B}" srcOrd="7" destOrd="0" presId="urn:microsoft.com/office/officeart/2005/8/layout/radial1"/>
    <dgm:cxn modelId="{AD191C42-B41D-45B1-83D7-685D04D3719C}" type="presParOf" srcId="{5CF8296B-0142-429D-A71A-20799D2EB74B}" destId="{48797E66-4F8B-4B79-BCA7-6F88E85CF835}" srcOrd="0" destOrd="0" presId="urn:microsoft.com/office/officeart/2005/8/layout/radial1"/>
    <dgm:cxn modelId="{91CC9FE1-63F8-4572-83CA-29E31FEA6429}" type="presParOf" srcId="{9D8B49BD-1DF7-4888-9A7E-2CFD4320CC2B}" destId="{7E7DDE23-6C04-407D-AAB6-669511EA704E}" srcOrd="8" destOrd="0" presId="urn:microsoft.com/office/officeart/2005/8/layout/radial1"/>
    <dgm:cxn modelId="{10E0A5FC-C933-40E0-9CD0-3C2F28E1586E}" type="presParOf" srcId="{9D8B49BD-1DF7-4888-9A7E-2CFD4320CC2B}" destId="{DC281168-2DBC-4CFB-B21D-C54E9628B383}" srcOrd="9" destOrd="0" presId="urn:microsoft.com/office/officeart/2005/8/layout/radial1"/>
    <dgm:cxn modelId="{5CD92CE0-8D98-416B-ACDD-171188E7FD34}" type="presParOf" srcId="{DC281168-2DBC-4CFB-B21D-C54E9628B383}" destId="{0D3BFC0A-5ED4-4CCF-A336-A529B3363890}" srcOrd="0" destOrd="0" presId="urn:microsoft.com/office/officeart/2005/8/layout/radial1"/>
    <dgm:cxn modelId="{4D8D0B1C-FBCC-4F93-A82D-0017E8C2496E}" type="presParOf" srcId="{9D8B49BD-1DF7-4888-9A7E-2CFD4320CC2B}" destId="{66DADE40-99AE-41BE-B997-129EED231064}" srcOrd="10" destOrd="0" presId="urn:microsoft.com/office/officeart/2005/8/layout/radial1"/>
    <dgm:cxn modelId="{E84A84CA-EC24-4F4C-A0B7-AF892995A645}" type="presParOf" srcId="{9D8B49BD-1DF7-4888-9A7E-2CFD4320CC2B}" destId="{4DF1B0BE-A63A-4BEA-9EE5-4168481CC99E}" srcOrd="11" destOrd="0" presId="urn:microsoft.com/office/officeart/2005/8/layout/radial1"/>
    <dgm:cxn modelId="{49FBA41E-BD3D-4B7C-8852-40CE0A7406FB}" type="presParOf" srcId="{4DF1B0BE-A63A-4BEA-9EE5-4168481CC99E}" destId="{32B4D7AF-BD29-4AC4-BA11-37F2AE9561F4}" srcOrd="0" destOrd="0" presId="urn:microsoft.com/office/officeart/2005/8/layout/radial1"/>
    <dgm:cxn modelId="{2B82748E-E3F1-4EAE-827D-4758223FB30D}" type="presParOf" srcId="{9D8B49BD-1DF7-4888-9A7E-2CFD4320CC2B}" destId="{DB594876-4070-4577-942D-67F5CD4D6A19}" srcOrd="12" destOrd="0" presId="urn:microsoft.com/office/officeart/2005/8/layout/radial1"/>
    <dgm:cxn modelId="{7D60062E-D028-4496-8CEF-53AB7831F993}" type="presParOf" srcId="{9D8B49BD-1DF7-4888-9A7E-2CFD4320CC2B}" destId="{E49C447F-3477-4311-B10B-FFFA7DE7209F}" srcOrd="13" destOrd="0" presId="urn:microsoft.com/office/officeart/2005/8/layout/radial1"/>
    <dgm:cxn modelId="{973C59B5-58ED-471E-A92D-A9FCAE997EE2}" type="presParOf" srcId="{E49C447F-3477-4311-B10B-FFFA7DE7209F}" destId="{B930024E-8665-4782-9C41-36517A71FCD4}" srcOrd="0" destOrd="0" presId="urn:microsoft.com/office/officeart/2005/8/layout/radial1"/>
    <dgm:cxn modelId="{FBB4439F-948D-4AD3-8E7A-C483F840ABD2}" type="presParOf" srcId="{9D8B49BD-1DF7-4888-9A7E-2CFD4320CC2B}" destId="{69F18085-0AC3-4BAE-9B16-F8478FFBD61E}" srcOrd="14" destOrd="0" presId="urn:microsoft.com/office/officeart/2005/8/layout/radial1"/>
    <dgm:cxn modelId="{58F1AB40-09B2-4DC5-BEEE-68A6CF9E731B}" type="presParOf" srcId="{9D8B49BD-1DF7-4888-9A7E-2CFD4320CC2B}" destId="{FCC14444-D5E7-4E9C-B980-A27CD799E442}" srcOrd="15" destOrd="0" presId="urn:microsoft.com/office/officeart/2005/8/layout/radial1"/>
    <dgm:cxn modelId="{8C0FBE16-67BF-438F-8927-DDD0C2CD3CDC}" type="presParOf" srcId="{FCC14444-D5E7-4E9C-B980-A27CD799E442}" destId="{3EA6B60F-F2E8-4D48-9EC1-CAAE09243949}" srcOrd="0" destOrd="0" presId="urn:microsoft.com/office/officeart/2005/8/layout/radial1"/>
    <dgm:cxn modelId="{DB746100-3D8D-4F83-B149-6F1E658122D1}" type="presParOf" srcId="{9D8B49BD-1DF7-4888-9A7E-2CFD4320CC2B}" destId="{49C45DFA-0A15-4DAA-80DC-CAE4ABCC6B43}" srcOrd="16" destOrd="0" presId="urn:microsoft.com/office/officeart/2005/8/layout/radial1"/>
    <dgm:cxn modelId="{48313E42-DE3A-4C43-852E-BD49137B6B2A}" type="presParOf" srcId="{9D8B49BD-1DF7-4888-9A7E-2CFD4320CC2B}" destId="{7B59CB2C-C82F-41EE-B3CF-ADD4878ADBA6}" srcOrd="17" destOrd="0" presId="urn:microsoft.com/office/officeart/2005/8/layout/radial1"/>
    <dgm:cxn modelId="{FF8F777F-D964-4C1D-B1FA-F15ADBE2E8D0}" type="presParOf" srcId="{7B59CB2C-C82F-41EE-B3CF-ADD4878ADBA6}" destId="{280B3AB5-4999-4B99-8BE9-E09C9DF5D482}" srcOrd="0" destOrd="0" presId="urn:microsoft.com/office/officeart/2005/8/layout/radial1"/>
    <dgm:cxn modelId="{A5EC772E-947C-4954-A8B9-DE8DB2028182}" type="presParOf" srcId="{9D8B49BD-1DF7-4888-9A7E-2CFD4320CC2B}" destId="{402B25BB-F397-46B5-AAB7-C38C2276BF82}" srcOrd="18" destOrd="0" presId="urn:microsoft.com/office/officeart/2005/8/layout/radial1"/>
    <dgm:cxn modelId="{1414EC86-C131-483D-AB91-0AD6007C83E5}" type="presParOf" srcId="{9D8B49BD-1DF7-4888-9A7E-2CFD4320CC2B}" destId="{EFB9CB5A-411C-454B-96B1-9ED988829CBE}" srcOrd="19" destOrd="0" presId="urn:microsoft.com/office/officeart/2005/8/layout/radial1"/>
    <dgm:cxn modelId="{DB65DE50-36E9-4F9F-9A11-18E14BC18F65}" type="presParOf" srcId="{EFB9CB5A-411C-454B-96B1-9ED988829CBE}" destId="{A140118B-14B1-45A7-9CF9-17E4D006F84D}" srcOrd="0" destOrd="0" presId="urn:microsoft.com/office/officeart/2005/8/layout/radial1"/>
    <dgm:cxn modelId="{9CE7DE5A-5C9D-4058-8F35-F14E6AF8172F}" type="presParOf" srcId="{9D8B49BD-1DF7-4888-9A7E-2CFD4320CC2B}" destId="{5AF8D9AC-0C15-4D1B-BCD3-7FFCFF0A581D}" srcOrd="20" destOrd="0" presId="urn:microsoft.com/office/officeart/2005/8/layout/radial1"/>
    <dgm:cxn modelId="{65080371-35F7-4DFE-9419-1DB69A496A21}" type="presParOf" srcId="{9D8B49BD-1DF7-4888-9A7E-2CFD4320CC2B}" destId="{EA581F84-B016-4CDB-99D6-9E3DD9F505FC}" srcOrd="21" destOrd="0" presId="urn:microsoft.com/office/officeart/2005/8/layout/radial1"/>
    <dgm:cxn modelId="{54E8600F-6AEB-4FE5-A3DF-52C5DFEA33B3}" type="presParOf" srcId="{EA581F84-B016-4CDB-99D6-9E3DD9F505FC}" destId="{5EA7C01D-B441-4CF8-BC42-1137E519F776}" srcOrd="0" destOrd="0" presId="urn:microsoft.com/office/officeart/2005/8/layout/radial1"/>
    <dgm:cxn modelId="{B73259D2-9A3C-46B4-9E20-FA2FED33776C}" type="presParOf" srcId="{9D8B49BD-1DF7-4888-9A7E-2CFD4320CC2B}" destId="{0BAA02DA-E841-4BF5-8708-178825E9BEE2}" srcOrd="22" destOrd="0" presId="urn:microsoft.com/office/officeart/2005/8/layout/radial1"/>
  </dgm:cxnLst>
  <dgm:bg>
    <a:noFill/>
  </dgm:bg>
  <dgm:whole/>
  <dgm:extLst>
    <a:ext uri="http://schemas.microsoft.com/office/drawing/2008/diagram">
      <dsp:dataModelExt xmlns:dsp="http://schemas.microsoft.com/office/drawing/2008/diagram" relId="rId16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4E6C8D5-8D4F-4714-8A12-8F4599A8E760}"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DE541715-C648-404D-8124-F14F463E9202}">
      <dgm:prSet phldrT="[Text]" custT="1"/>
      <dgm:spPr>
        <a:xfrm>
          <a:off x="2420915" y="725701"/>
          <a:ext cx="1208867" cy="407445"/>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gm:spPr>
      <dgm:t>
        <a:bodyPr/>
        <a:lstStyle/>
        <a:p>
          <a:pPr algn="ctr"/>
          <a:r>
            <a:rPr lang="en-US"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3</a:t>
          </a:r>
        </a:p>
      </dgm:t>
    </dgm:pt>
    <dgm:pt modelId="{7CA7849B-681D-4C0D-A708-F47E97871BB2}" type="sibTrans" cxnId="{22CFBE58-87EC-4B70-B1CC-D1D1DB4968C7}">
      <dgm:prSet/>
      <dgm:spPr/>
      <dgm:t>
        <a:bodyPr/>
        <a:lstStyle/>
        <a:p>
          <a:endParaRPr lang="en-US"/>
        </a:p>
      </dgm:t>
    </dgm:pt>
    <dgm:pt modelId="{D7DB3476-9C56-4274-B046-F742EA8694F1}" type="parTrans" cxnId="{22CFBE58-87EC-4B70-B1CC-D1D1DB4968C7}">
      <dgm:prSet/>
      <dgm:spPr/>
      <dgm:t>
        <a:bodyPr/>
        <a:lstStyle/>
        <a:p>
          <a:endParaRPr lang="en-US"/>
        </a:p>
      </dgm:t>
    </dgm:pt>
    <dgm:pt modelId="{4F895710-9C0A-4357-A62A-B00C2B1BB2A2}">
      <dgm:prSet phldrT="[Text]" custScaleX="338687" custScaleY="145957" custRadScaleRad="252121" custRadScaleInc="119806"/>
      <dgm:spPr>
        <a:xfrm>
          <a:off x="920148" y="954757"/>
          <a:ext cx="1169855" cy="504148"/>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gm:spPr>
      <dgm:t>
        <a:bodyPr/>
        <a:lstStyle/>
        <a:p>
          <a:endParaRPr lang="en-US"/>
        </a:p>
      </dgm:t>
    </dgm:pt>
    <dgm:pt modelId="{A0A859C5-79E5-4C97-AF72-54A6D166EEA1}" type="sibTrans" cxnId="{DA740704-6E02-4402-8325-D0302449434E}">
      <dgm:prSet/>
      <dgm:spPr/>
      <dgm:t>
        <a:bodyPr/>
        <a:lstStyle/>
        <a:p>
          <a:endParaRPr lang="en-US"/>
        </a:p>
      </dgm:t>
    </dgm:pt>
    <dgm:pt modelId="{4492527F-B2BC-4423-9ACC-2816666249A0}" type="parTrans" cxnId="{DA740704-6E02-4402-8325-D0302449434E}">
      <dgm:prSet/>
      <dgm:spPr/>
      <dgm:t>
        <a:bodyPr/>
        <a:lstStyle/>
        <a:p>
          <a:endParaRPr lang="en-US"/>
        </a:p>
      </dgm:t>
    </dgm:pt>
    <dgm:pt modelId="{C06C39C9-71B8-489C-9C45-3DD37A424E39}">
      <dgm:prSet phldrT="[Text]" custT="1"/>
      <dgm:spPr>
        <a:xfrm>
          <a:off x="4778753" y="685486"/>
          <a:ext cx="1164846" cy="503268"/>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10</a:t>
          </a:r>
        </a:p>
        <a:p>
          <a:r>
            <a:rPr lang="en-US" sz="105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Pays en transition et pays développés</a:t>
          </a:r>
        </a:p>
      </dgm:t>
    </dgm:pt>
    <dgm:pt modelId="{DCD34884-F96E-475A-9010-14DE66A403A6}" type="sibTrans" cxnId="{248698A6-055B-40E3-B808-D624056EF2B0}">
      <dgm:prSet/>
      <dgm:spPr/>
      <dgm:t>
        <a:bodyPr/>
        <a:lstStyle/>
        <a:p>
          <a:endParaRPr lang="en-US"/>
        </a:p>
      </dgm:t>
    </dgm:pt>
    <dgm:pt modelId="{0FABC453-0A5C-4CAE-813B-F0494A34E025}" type="parTrans" cxnId="{248698A6-055B-40E3-B808-D624056EF2B0}">
      <dgm:prSet/>
      <dgm:spPr>
        <a:xfrm rot="11328">
          <a:off x="3629750" y="927139"/>
          <a:ext cx="1149022" cy="12339"/>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4631C2C5-1554-4289-90B0-F2D55D1595B6}">
      <dgm:prSet phldrT="[Text]" custT="1"/>
      <dgm:spPr>
        <a:xfrm>
          <a:off x="3669477" y="132311"/>
          <a:ext cx="1408898" cy="474776"/>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9</a:t>
          </a: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Bureaux régionaux</a:t>
          </a:r>
        </a:p>
      </dgm:t>
    </dgm:pt>
    <dgm:pt modelId="{9B3CB24D-A47A-4081-B256-B868D89D5387}" type="sibTrans" cxnId="{BF65F824-D4F4-4A84-83B4-6B1944B62AAD}">
      <dgm:prSet/>
      <dgm:spPr/>
      <dgm:t>
        <a:bodyPr/>
        <a:lstStyle/>
        <a:p>
          <a:endParaRPr lang="en-US"/>
        </a:p>
      </dgm:t>
    </dgm:pt>
    <dgm:pt modelId="{4693CA52-075F-4BD8-ABEA-5368BE377DDA}" type="parTrans" cxnId="{BF65F824-D4F4-4A84-83B4-6B1944B62AAD}">
      <dgm:prSet/>
      <dgm:spPr>
        <a:xfrm rot="20247553">
          <a:off x="3384727" y="656466"/>
          <a:ext cx="566821" cy="12339"/>
        </a:xfrm>
      </dgm:spPr>
      <dgm:t>
        <a:bodyPr/>
        <a:lstStyle/>
        <a:p>
          <a:endParaRPr lang="en-US"/>
        </a:p>
      </dgm:t>
    </dgm:pt>
    <dgm:pt modelId="{960C5593-E0FF-4AA5-AA0B-E8BDFFBC5E53}">
      <dgm:prSet phldrT="[Text]" custT="1"/>
      <dgm:spPr>
        <a:xfrm>
          <a:off x="2506465" y="41060"/>
          <a:ext cx="1050044" cy="445696"/>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8</a:t>
          </a: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Coordination du Plan d’action pour le développement</a:t>
          </a:r>
        </a:p>
      </dgm:t>
    </dgm:pt>
    <dgm:pt modelId="{88F12DF7-015F-4F26-950A-DAE493699644}" type="sibTrans" cxnId="{529D05ED-97D5-4116-BE13-DE3D93351F7F}">
      <dgm:prSet/>
      <dgm:spPr/>
      <dgm:t>
        <a:bodyPr/>
        <a:lstStyle/>
        <a:p>
          <a:endParaRPr lang="en-US"/>
        </a:p>
      </dgm:t>
    </dgm:pt>
    <dgm:pt modelId="{7AF774ED-547E-4C04-8670-B0C1D08C5EE9}" type="parTrans" cxnId="{529D05ED-97D5-4116-BE13-DE3D93351F7F}">
      <dgm:prSet/>
      <dgm:spPr>
        <a:xfrm rot="16231713">
          <a:off x="2908851" y="600059"/>
          <a:ext cx="238957" cy="12339"/>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7088B3AC-9EBC-4ABD-B45F-EC2EC96E416C}">
      <dgm:prSet phldrT="[Text]" custT="1"/>
      <dgm:spPr>
        <a:xfrm>
          <a:off x="3463043" y="1078222"/>
          <a:ext cx="1328028" cy="534902"/>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11</a:t>
          </a: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Académie de l’OMPI</a:t>
          </a:r>
        </a:p>
      </dgm:t>
    </dgm:pt>
    <dgm:pt modelId="{BB888D51-F36E-4A1A-AD65-530BDC7DD332}" type="parTrans" cxnId="{30B1AEB8-2F43-40DB-908B-C80EAFA6DFC6}">
      <dgm:prSet/>
      <dgm:spPr>
        <a:xfrm rot="1241859">
          <a:off x="3420297" y="1115902"/>
          <a:ext cx="229885" cy="12339"/>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94ABB19A-0DAA-4029-A8CB-922DC7035BE3}" type="sibTrans" cxnId="{30B1AEB8-2F43-40DB-908B-C80EAFA6DFC6}">
      <dgm:prSet/>
      <dgm:spPr/>
      <dgm:t>
        <a:bodyPr/>
        <a:lstStyle/>
        <a:p>
          <a:endParaRPr lang="en-US"/>
        </a:p>
      </dgm:t>
    </dgm:pt>
    <dgm:pt modelId="{1ED1F83B-CD97-4E51-9FD1-4E2191C87DD9}">
      <dgm:prSet phldrT="[Text]" custT="1"/>
      <dgm:spPr>
        <a:xfrm>
          <a:off x="1215754" y="1071444"/>
          <a:ext cx="1397086" cy="548458"/>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15</a:t>
          </a: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Solutions opérationnelles pour les offices de propriété intellectuelle </a:t>
          </a:r>
        </a:p>
      </dgm:t>
    </dgm:pt>
    <dgm:pt modelId="{AE014B54-4FFC-4271-A6FD-00D3C5F85913}" type="parTrans" cxnId="{1CDC68B5-EB25-4F4F-9CBB-8563203CE59F}">
      <dgm:prSet/>
      <dgm:spPr>
        <a:xfrm rot="9567707">
          <a:off x="2412810" y="1112442"/>
          <a:ext cx="215118" cy="12339"/>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CB5AF736-2B95-46CE-82BA-DD5FB8A9AAE3}" type="sibTrans" cxnId="{1CDC68B5-EB25-4F4F-9CBB-8563203CE59F}">
      <dgm:prSet/>
      <dgm:spPr/>
      <dgm:t>
        <a:bodyPr/>
        <a:lstStyle/>
        <a:p>
          <a:endParaRPr lang="en-US"/>
        </a:p>
      </dgm:t>
    </dgm:pt>
    <dgm:pt modelId="{A94E6E4E-9ABC-4D91-9437-4DC447452660}">
      <dgm:prSet phldrT="[Text]" custT="1"/>
      <dgm:spPr>
        <a:xfrm>
          <a:off x="3435" y="652563"/>
          <a:ext cx="1387112" cy="557112"/>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20</a:t>
          </a: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Relations extérieures</a:t>
          </a:r>
          <a:endPar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E936BDD9-A5D4-4D21-8A3B-A9B992679F1F}" type="parTrans" cxnId="{7E89E051-CD5C-4130-A5D7-C99408C8CCA0}">
      <dgm:prSet/>
      <dgm:spPr>
        <a:xfrm rot="10797497">
          <a:off x="1390546" y="924069"/>
          <a:ext cx="1030370" cy="12339"/>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8B40EA14-C029-4AFD-8980-3E0592BA1C58}" type="sibTrans" cxnId="{7E89E051-CD5C-4130-A5D7-C99408C8CCA0}">
      <dgm:prSet/>
      <dgm:spPr/>
      <dgm:t>
        <a:bodyPr/>
        <a:lstStyle/>
        <a:p>
          <a:endParaRPr lang="en-US"/>
        </a:p>
      </dgm:t>
    </dgm:pt>
    <dgm:pt modelId="{47774346-E18D-4F76-8BAA-0550FDAF03CE}">
      <dgm:prSet phldrT="[Text]" custT="1"/>
      <dgm:spPr>
        <a:xfrm>
          <a:off x="1151397" y="142875"/>
          <a:ext cx="1324789" cy="501793"/>
        </a:xfrm>
        <a:solidFill>
          <a:srgbClr val="4F81BD">
            <a:lumMod val="40000"/>
            <a:lumOff val="60000"/>
          </a:srgbClr>
        </a:solidFill>
        <a:ln>
          <a:noFill/>
        </a:ln>
        <a:effectLst>
          <a:outerShdw blurRad="40000" dist="23000" dir="5400000" rotWithShape="0">
            <a:srgbClr val="000000">
              <a:alpha val="35000"/>
            </a:srgbClr>
          </a:outerShdw>
        </a:effectLst>
      </dgm:spPr>
      <dgm:t>
        <a:bodyPr/>
        <a:lstStyle/>
        <a:p>
          <a:endPar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21</a:t>
          </a: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Direction générale </a:t>
          </a:r>
        </a:p>
        <a:p>
          <a:endPar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D748ED0F-9025-4150-81AF-C1AEFFEE2246}" type="parTrans" cxnId="{7A2F3881-9A85-4A8C-9C4B-5CC9408F5855}">
      <dgm:prSet/>
      <dgm:spPr>
        <a:xfrm rot="12231066">
          <a:off x="2225415" y="669689"/>
          <a:ext cx="452821" cy="12339"/>
        </a:xfrm>
      </dgm:spPr>
      <dgm:t>
        <a:bodyPr/>
        <a:lstStyle/>
        <a:p>
          <a:endParaRPr lang="en-US"/>
        </a:p>
      </dgm:t>
    </dgm:pt>
    <dgm:pt modelId="{1B5C7858-3354-40C7-A720-7E7DAAC6B51B}" type="sibTrans" cxnId="{7A2F3881-9A85-4A8C-9C4B-5CC9408F5855}">
      <dgm:prSet/>
      <dgm:spPr/>
      <dgm:t>
        <a:bodyPr/>
        <a:lstStyle/>
        <a:p>
          <a:endParaRPr lang="en-US"/>
        </a:p>
      </dgm:t>
    </dgm:pt>
    <dgm:pt modelId="{92CB3438-B9E9-47C6-A192-F39066BEDF2E}">
      <dgm:prSet phldrT="[Text]" custScaleX="338687" custScaleY="145957" custRadScaleRad="252121" custRadScaleInc="119806"/>
      <dgm:spPr>
        <a:xfrm>
          <a:off x="920148" y="954757"/>
          <a:ext cx="1169855" cy="504148"/>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gm:spPr>
      <dgm:t>
        <a:bodyPr/>
        <a:lstStyle/>
        <a:p>
          <a:endParaRPr lang="en-US"/>
        </a:p>
      </dgm:t>
    </dgm:pt>
    <dgm:pt modelId="{180C0B20-2536-4DCE-BC67-7CC0C88AFC36}" type="parTrans" cxnId="{3CFA329D-E6DE-4DAE-8716-3F72A6CC9558}">
      <dgm:prSet/>
      <dgm:spPr/>
      <dgm:t>
        <a:bodyPr/>
        <a:lstStyle/>
        <a:p>
          <a:endParaRPr lang="en-US"/>
        </a:p>
      </dgm:t>
    </dgm:pt>
    <dgm:pt modelId="{DF2F4DED-CB79-4B67-8A99-8F3EACC4B96E}" type="sibTrans" cxnId="{3CFA329D-E6DE-4DAE-8716-3F72A6CC9558}">
      <dgm:prSet/>
      <dgm:spPr/>
      <dgm:t>
        <a:bodyPr/>
        <a:lstStyle/>
        <a:p>
          <a:endParaRPr lang="en-US"/>
        </a:p>
      </dgm:t>
    </dgm:pt>
    <dgm:pt modelId="{D580A2ED-2D6D-49B7-9309-54F6559A7AE5}">
      <dgm:prSet phldrT="[Text]" custT="1"/>
      <dgm:spPr>
        <a:xfrm>
          <a:off x="1215754" y="1071444"/>
          <a:ext cx="1397086" cy="548458"/>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16</a:t>
          </a: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Économie et statistiques</a:t>
          </a:r>
        </a:p>
      </dgm:t>
    </dgm:pt>
    <dgm:pt modelId="{15BD232A-6B53-4FB5-AFDE-7DE2EA3DC6DF}" type="parTrans" cxnId="{3F2D7D7E-C94B-4CFD-84C8-C2FB7B00D5A6}">
      <dgm:prSet/>
      <dgm:spPr/>
      <dgm:t>
        <a:bodyPr/>
        <a:lstStyle/>
        <a:p>
          <a:endParaRPr lang="en-US"/>
        </a:p>
      </dgm:t>
    </dgm:pt>
    <dgm:pt modelId="{878FF1A1-D2A8-4883-89B1-596AC72B26A9}" type="sibTrans" cxnId="{3F2D7D7E-C94B-4CFD-84C8-C2FB7B00D5A6}">
      <dgm:prSet/>
      <dgm:spPr/>
      <dgm:t>
        <a:bodyPr/>
        <a:lstStyle/>
        <a:p>
          <a:endParaRPr lang="en-US"/>
        </a:p>
      </dgm:t>
    </dgm:pt>
    <dgm:pt modelId="{08F189A1-AB47-41D1-8058-7A6DA66B3F52}" type="pres">
      <dgm:prSet presAssocID="{34E6C8D5-8D4F-4714-8A12-8F4599A8E760}" presName="cycle" presStyleCnt="0">
        <dgm:presLayoutVars>
          <dgm:chMax val="1"/>
          <dgm:dir/>
          <dgm:animLvl val="ctr"/>
          <dgm:resizeHandles val="exact"/>
        </dgm:presLayoutVars>
      </dgm:prSet>
      <dgm:spPr/>
      <dgm:t>
        <a:bodyPr/>
        <a:lstStyle/>
        <a:p>
          <a:endParaRPr lang="en-US"/>
        </a:p>
      </dgm:t>
    </dgm:pt>
    <dgm:pt modelId="{062AF917-2F47-4639-8A23-58AD52EC0F32}" type="pres">
      <dgm:prSet presAssocID="{DE541715-C648-404D-8124-F14F463E9202}" presName="centerShape" presStyleLbl="node0" presStyleIdx="0" presStyleCnt="1" custScaleX="296694" custLinFactNeighborX="7014" custLinFactNeighborY="5727"/>
      <dgm:spPr>
        <a:prstGeom prst="ellipse">
          <a:avLst/>
        </a:prstGeom>
      </dgm:spPr>
      <dgm:t>
        <a:bodyPr/>
        <a:lstStyle/>
        <a:p>
          <a:endParaRPr lang="en-US"/>
        </a:p>
      </dgm:t>
    </dgm:pt>
    <dgm:pt modelId="{5337AE63-3722-42CC-AF72-36670EB7C5E1}" type="pres">
      <dgm:prSet presAssocID="{7AF774ED-547E-4C04-8670-B0C1D08C5EE9}" presName="Name9" presStyleLbl="parChTrans1D2" presStyleIdx="0" presStyleCnt="8"/>
      <dgm:spPr>
        <a:custGeom>
          <a:avLst/>
          <a:gdLst/>
          <a:ahLst/>
          <a:cxnLst/>
          <a:rect l="0" t="0" r="0" b="0"/>
          <a:pathLst>
            <a:path>
              <a:moveTo>
                <a:pt x="0" y="6169"/>
              </a:moveTo>
              <a:lnTo>
                <a:pt x="238957" y="6169"/>
              </a:lnTo>
            </a:path>
          </a:pathLst>
        </a:custGeom>
      </dgm:spPr>
      <dgm:t>
        <a:bodyPr/>
        <a:lstStyle/>
        <a:p>
          <a:endParaRPr lang="en-US"/>
        </a:p>
      </dgm:t>
    </dgm:pt>
    <dgm:pt modelId="{326412CE-9911-4799-A459-B56F02EB4473}" type="pres">
      <dgm:prSet presAssocID="{7AF774ED-547E-4C04-8670-B0C1D08C5EE9}" presName="connTx" presStyleLbl="parChTrans1D2" presStyleIdx="0" presStyleCnt="8"/>
      <dgm:spPr/>
      <dgm:t>
        <a:bodyPr/>
        <a:lstStyle/>
        <a:p>
          <a:endParaRPr lang="en-US"/>
        </a:p>
      </dgm:t>
    </dgm:pt>
    <dgm:pt modelId="{CED9197C-8322-406B-917C-172FA36E7B76}" type="pres">
      <dgm:prSet presAssocID="{960C5593-E0FF-4AA5-AA0B-E8BDFFBC5E53}" presName="node" presStyleLbl="node1" presStyleIdx="0" presStyleCnt="8" custScaleX="234822" custScaleY="109388" custRadScaleRad="76657" custRadScaleInc="51986">
        <dgm:presLayoutVars>
          <dgm:bulletEnabled val="1"/>
        </dgm:presLayoutVars>
      </dgm:prSet>
      <dgm:spPr>
        <a:prstGeom prst="ellipse">
          <a:avLst/>
        </a:prstGeom>
      </dgm:spPr>
      <dgm:t>
        <a:bodyPr/>
        <a:lstStyle/>
        <a:p>
          <a:endParaRPr lang="en-US"/>
        </a:p>
      </dgm:t>
    </dgm:pt>
    <dgm:pt modelId="{4AC11394-3179-4EC5-A97F-D1A1B521CE2F}" type="pres">
      <dgm:prSet presAssocID="{4693CA52-075F-4BD8-ABEA-5368BE377DDA}" presName="Name9" presStyleLbl="parChTrans1D2" presStyleIdx="1" presStyleCnt="8"/>
      <dgm:spPr/>
      <dgm:t>
        <a:bodyPr/>
        <a:lstStyle/>
        <a:p>
          <a:endParaRPr lang="en-US"/>
        </a:p>
      </dgm:t>
    </dgm:pt>
    <dgm:pt modelId="{62A1F741-432F-46BE-AE07-15F0B6D5EA89}" type="pres">
      <dgm:prSet presAssocID="{4693CA52-075F-4BD8-ABEA-5368BE377DDA}" presName="connTx" presStyleLbl="parChTrans1D2" presStyleIdx="1" presStyleCnt="8"/>
      <dgm:spPr/>
      <dgm:t>
        <a:bodyPr/>
        <a:lstStyle/>
        <a:p>
          <a:endParaRPr lang="en-US"/>
        </a:p>
      </dgm:t>
    </dgm:pt>
    <dgm:pt modelId="{035B4C9A-0916-4FCC-A1CF-85DB358A289A}" type="pres">
      <dgm:prSet presAssocID="{4631C2C5-1554-4289-90B0-F2D55D1595B6}" presName="node" presStyleLbl="node1" presStyleIdx="1" presStyleCnt="8" custScaleX="212683" custScaleY="107146" custRadScaleRad="192141" custRadScaleInc="67995">
        <dgm:presLayoutVars>
          <dgm:bulletEnabled val="1"/>
        </dgm:presLayoutVars>
      </dgm:prSet>
      <dgm:spPr>
        <a:prstGeom prst="ellipse">
          <a:avLst/>
        </a:prstGeom>
      </dgm:spPr>
      <dgm:t>
        <a:bodyPr/>
        <a:lstStyle/>
        <a:p>
          <a:endParaRPr lang="en-US"/>
        </a:p>
      </dgm:t>
    </dgm:pt>
    <dgm:pt modelId="{ADF94B70-0D7F-4A27-8DF9-17BCD27F4A7A}" type="pres">
      <dgm:prSet presAssocID="{0FABC453-0A5C-4CAE-813B-F0494A34E025}" presName="Name9" presStyleLbl="parChTrans1D2" presStyleIdx="2" presStyleCnt="8"/>
      <dgm:spPr>
        <a:custGeom>
          <a:avLst/>
          <a:gdLst/>
          <a:ahLst/>
          <a:cxnLst/>
          <a:rect l="0" t="0" r="0" b="0"/>
          <a:pathLst>
            <a:path>
              <a:moveTo>
                <a:pt x="0" y="6169"/>
              </a:moveTo>
              <a:lnTo>
                <a:pt x="1149022" y="6169"/>
              </a:lnTo>
            </a:path>
          </a:pathLst>
        </a:custGeom>
      </dgm:spPr>
      <dgm:t>
        <a:bodyPr/>
        <a:lstStyle/>
        <a:p>
          <a:endParaRPr lang="en-US"/>
        </a:p>
      </dgm:t>
    </dgm:pt>
    <dgm:pt modelId="{EA4144E0-C5B2-4FC0-BDB2-550B61DB7DFD}" type="pres">
      <dgm:prSet presAssocID="{0FABC453-0A5C-4CAE-813B-F0494A34E025}" presName="connTx" presStyleLbl="parChTrans1D2" presStyleIdx="2" presStyleCnt="8"/>
      <dgm:spPr/>
      <dgm:t>
        <a:bodyPr/>
        <a:lstStyle/>
        <a:p>
          <a:endParaRPr lang="en-US"/>
        </a:p>
      </dgm:t>
    </dgm:pt>
    <dgm:pt modelId="{0FAF3FA1-8E6C-455E-B189-A468B3F4D8BC}" type="pres">
      <dgm:prSet presAssocID="{C06C39C9-71B8-489C-9C45-3DD37A424E39}" presName="node" presStyleLbl="node1" presStyleIdx="2" presStyleCnt="8" custScaleX="234117" custScaleY="121289" custRadScaleRad="215978" custRadScaleInc="-5192">
        <dgm:presLayoutVars>
          <dgm:bulletEnabled val="1"/>
        </dgm:presLayoutVars>
      </dgm:prSet>
      <dgm:spPr>
        <a:prstGeom prst="ellipse">
          <a:avLst/>
        </a:prstGeom>
      </dgm:spPr>
      <dgm:t>
        <a:bodyPr/>
        <a:lstStyle/>
        <a:p>
          <a:endParaRPr lang="en-US"/>
        </a:p>
      </dgm:t>
    </dgm:pt>
    <dgm:pt modelId="{447FEE0B-EFE1-4BAD-80EF-66C3DD36014A}" type="pres">
      <dgm:prSet presAssocID="{BB888D51-F36E-4A1A-AD65-530BDC7DD332}" presName="Name9" presStyleLbl="parChTrans1D2" presStyleIdx="3" presStyleCnt="8"/>
      <dgm:spPr>
        <a:custGeom>
          <a:avLst/>
          <a:gdLst/>
          <a:ahLst/>
          <a:cxnLst/>
          <a:rect l="0" t="0" r="0" b="0"/>
          <a:pathLst>
            <a:path>
              <a:moveTo>
                <a:pt x="0" y="6169"/>
              </a:moveTo>
              <a:lnTo>
                <a:pt x="229885" y="6169"/>
              </a:lnTo>
            </a:path>
          </a:pathLst>
        </a:custGeom>
      </dgm:spPr>
      <dgm:t>
        <a:bodyPr/>
        <a:lstStyle/>
        <a:p>
          <a:endParaRPr lang="en-US"/>
        </a:p>
      </dgm:t>
    </dgm:pt>
    <dgm:pt modelId="{0AC78349-4F42-425B-8A1A-4393D65C2051}" type="pres">
      <dgm:prSet presAssocID="{BB888D51-F36E-4A1A-AD65-530BDC7DD332}" presName="connTx" presStyleLbl="parChTrans1D2" presStyleIdx="3" presStyleCnt="8"/>
      <dgm:spPr/>
      <dgm:t>
        <a:bodyPr/>
        <a:lstStyle/>
        <a:p>
          <a:endParaRPr lang="en-US"/>
        </a:p>
      </dgm:t>
    </dgm:pt>
    <dgm:pt modelId="{3F1A2A14-E080-4448-96C3-A8E6002E7EE2}" type="pres">
      <dgm:prSet presAssocID="{7088B3AC-9EBC-4ABD-B45F-EC2EC96E416C}" presName="node" presStyleLbl="node1" presStyleIdx="3" presStyleCnt="8" custScaleX="209940" custScaleY="94575" custRadScaleRad="132776" custRadScaleInc="-42660">
        <dgm:presLayoutVars>
          <dgm:bulletEnabled val="1"/>
        </dgm:presLayoutVars>
      </dgm:prSet>
      <dgm:spPr>
        <a:prstGeom prst="ellipse">
          <a:avLst/>
        </a:prstGeom>
      </dgm:spPr>
      <dgm:t>
        <a:bodyPr/>
        <a:lstStyle/>
        <a:p>
          <a:endParaRPr lang="en-US"/>
        </a:p>
      </dgm:t>
    </dgm:pt>
    <dgm:pt modelId="{E64AB50F-BCCF-45E7-A4E4-85ABC4F0C76B}" type="pres">
      <dgm:prSet presAssocID="{AE014B54-4FFC-4271-A6FD-00D3C5F85913}" presName="Name9" presStyleLbl="parChTrans1D2" presStyleIdx="4" presStyleCnt="8"/>
      <dgm:spPr>
        <a:custGeom>
          <a:avLst/>
          <a:gdLst/>
          <a:ahLst/>
          <a:cxnLst/>
          <a:rect l="0" t="0" r="0" b="0"/>
          <a:pathLst>
            <a:path>
              <a:moveTo>
                <a:pt x="0" y="6169"/>
              </a:moveTo>
              <a:lnTo>
                <a:pt x="215118" y="6169"/>
              </a:lnTo>
            </a:path>
          </a:pathLst>
        </a:custGeom>
      </dgm:spPr>
      <dgm:t>
        <a:bodyPr/>
        <a:lstStyle/>
        <a:p>
          <a:endParaRPr lang="en-US"/>
        </a:p>
      </dgm:t>
    </dgm:pt>
    <dgm:pt modelId="{073D7962-B31D-49BD-AB47-082CE21EAD80}" type="pres">
      <dgm:prSet presAssocID="{AE014B54-4FFC-4271-A6FD-00D3C5F85913}" presName="connTx" presStyleLbl="parChTrans1D2" presStyleIdx="4" presStyleCnt="8"/>
      <dgm:spPr/>
      <dgm:t>
        <a:bodyPr/>
        <a:lstStyle/>
        <a:p>
          <a:endParaRPr lang="en-US"/>
        </a:p>
      </dgm:t>
    </dgm:pt>
    <dgm:pt modelId="{97004BB0-64D3-4A92-A1C1-813788F5650F}" type="pres">
      <dgm:prSet presAssocID="{1ED1F83B-CD97-4E51-9FD1-4E2191C87DD9}" presName="node" presStyleLbl="node1" presStyleIdx="4" presStyleCnt="8" custScaleX="212637" custScaleY="147260" custRadScaleRad="107135" custRadScaleInc="82892">
        <dgm:presLayoutVars>
          <dgm:bulletEnabled val="1"/>
        </dgm:presLayoutVars>
      </dgm:prSet>
      <dgm:spPr>
        <a:prstGeom prst="ellipse">
          <a:avLst/>
        </a:prstGeom>
      </dgm:spPr>
      <dgm:t>
        <a:bodyPr/>
        <a:lstStyle/>
        <a:p>
          <a:endParaRPr lang="en-US"/>
        </a:p>
      </dgm:t>
    </dgm:pt>
    <dgm:pt modelId="{5514B31A-797C-4F49-82C0-203D59D29598}" type="pres">
      <dgm:prSet presAssocID="{15BD232A-6B53-4FB5-AFDE-7DE2EA3DC6DF}" presName="Name9" presStyleLbl="parChTrans1D2" presStyleIdx="5" presStyleCnt="8"/>
      <dgm:spPr/>
      <dgm:t>
        <a:bodyPr/>
        <a:lstStyle/>
        <a:p>
          <a:endParaRPr lang="en-US"/>
        </a:p>
      </dgm:t>
    </dgm:pt>
    <dgm:pt modelId="{CB3681D8-9E1C-4AD0-83FC-4BCAEA5A8E3C}" type="pres">
      <dgm:prSet presAssocID="{15BD232A-6B53-4FB5-AFDE-7DE2EA3DC6DF}" presName="connTx" presStyleLbl="parChTrans1D2" presStyleIdx="5" presStyleCnt="8"/>
      <dgm:spPr/>
      <dgm:t>
        <a:bodyPr/>
        <a:lstStyle/>
        <a:p>
          <a:endParaRPr lang="en-US"/>
        </a:p>
      </dgm:t>
    </dgm:pt>
    <dgm:pt modelId="{FC7280E4-CE96-452F-A4BC-3E3F14683ABC}" type="pres">
      <dgm:prSet presAssocID="{D580A2ED-2D6D-49B7-9309-54F6559A7AE5}" presName="node" presStyleLbl="node1" presStyleIdx="5" presStyleCnt="8" custScaleX="216921" custRadScaleRad="187269" custRadScaleInc="125062">
        <dgm:presLayoutVars>
          <dgm:bulletEnabled val="1"/>
        </dgm:presLayoutVars>
      </dgm:prSet>
      <dgm:spPr/>
      <dgm:t>
        <a:bodyPr/>
        <a:lstStyle/>
        <a:p>
          <a:endParaRPr lang="en-US"/>
        </a:p>
      </dgm:t>
    </dgm:pt>
    <dgm:pt modelId="{D74286FF-AAFA-441A-87F1-98384D680093}" type="pres">
      <dgm:prSet presAssocID="{E936BDD9-A5D4-4D21-8A3B-A9B992679F1F}" presName="Name9" presStyleLbl="parChTrans1D2" presStyleIdx="6" presStyleCnt="8"/>
      <dgm:spPr>
        <a:custGeom>
          <a:avLst/>
          <a:gdLst/>
          <a:ahLst/>
          <a:cxnLst/>
          <a:rect l="0" t="0" r="0" b="0"/>
          <a:pathLst>
            <a:path>
              <a:moveTo>
                <a:pt x="0" y="6169"/>
              </a:moveTo>
              <a:lnTo>
                <a:pt x="1030370" y="6169"/>
              </a:lnTo>
            </a:path>
          </a:pathLst>
        </a:custGeom>
      </dgm:spPr>
      <dgm:t>
        <a:bodyPr/>
        <a:lstStyle/>
        <a:p>
          <a:endParaRPr lang="en-US"/>
        </a:p>
      </dgm:t>
    </dgm:pt>
    <dgm:pt modelId="{4733965B-CB9A-4F14-BD3E-CB16D7A3032B}" type="pres">
      <dgm:prSet presAssocID="{E936BDD9-A5D4-4D21-8A3B-A9B992679F1F}" presName="connTx" presStyleLbl="parChTrans1D2" presStyleIdx="6" presStyleCnt="8"/>
      <dgm:spPr/>
      <dgm:t>
        <a:bodyPr/>
        <a:lstStyle/>
        <a:p>
          <a:endParaRPr lang="en-US"/>
        </a:p>
      </dgm:t>
    </dgm:pt>
    <dgm:pt modelId="{755CFD49-3313-42A9-A1A9-D99CF689F3D7}" type="pres">
      <dgm:prSet presAssocID="{A94E6E4E-9ABC-4D91-9437-4DC447452660}" presName="node" presStyleLbl="node1" presStyleIdx="6" presStyleCnt="8" custScaleX="220682" custScaleY="105366" custRadScaleRad="212006" custRadScaleInc="20323">
        <dgm:presLayoutVars>
          <dgm:bulletEnabled val="1"/>
        </dgm:presLayoutVars>
      </dgm:prSet>
      <dgm:spPr>
        <a:prstGeom prst="ellipse">
          <a:avLst/>
        </a:prstGeom>
      </dgm:spPr>
      <dgm:t>
        <a:bodyPr/>
        <a:lstStyle/>
        <a:p>
          <a:endParaRPr lang="en-US"/>
        </a:p>
      </dgm:t>
    </dgm:pt>
    <dgm:pt modelId="{6674A0B6-35AA-4763-B890-1E2177289BCF}" type="pres">
      <dgm:prSet presAssocID="{D748ED0F-9025-4150-81AF-C1AEFFEE2246}" presName="Name9" presStyleLbl="parChTrans1D2" presStyleIdx="7" presStyleCnt="8"/>
      <dgm:spPr/>
      <dgm:t>
        <a:bodyPr/>
        <a:lstStyle/>
        <a:p>
          <a:endParaRPr lang="en-US"/>
        </a:p>
      </dgm:t>
    </dgm:pt>
    <dgm:pt modelId="{A608A501-C2D4-466C-80D2-8354150DE79D}" type="pres">
      <dgm:prSet presAssocID="{D748ED0F-9025-4150-81AF-C1AEFFEE2246}" presName="connTx" presStyleLbl="parChTrans1D2" presStyleIdx="7" presStyleCnt="8"/>
      <dgm:spPr/>
      <dgm:t>
        <a:bodyPr/>
        <a:lstStyle/>
        <a:p>
          <a:endParaRPr lang="en-US"/>
        </a:p>
      </dgm:t>
    </dgm:pt>
    <dgm:pt modelId="{16FD236C-1C35-46D3-A6E9-C486F23997B9}" type="pres">
      <dgm:prSet presAssocID="{47774346-E18D-4F76-8BAA-0550FDAF03CE}" presName="node" presStyleLbl="node1" presStyleIdx="7" presStyleCnt="8" custScaleX="207629" custScaleY="123156" custRadScaleRad="153466" custRadScaleInc="-53698">
        <dgm:presLayoutVars>
          <dgm:bulletEnabled val="1"/>
        </dgm:presLayoutVars>
      </dgm:prSet>
      <dgm:spPr>
        <a:prstGeom prst="ellipse">
          <a:avLst/>
        </a:prstGeom>
      </dgm:spPr>
      <dgm:t>
        <a:bodyPr/>
        <a:lstStyle/>
        <a:p>
          <a:endParaRPr lang="en-US"/>
        </a:p>
      </dgm:t>
    </dgm:pt>
  </dgm:ptLst>
  <dgm:cxnLst>
    <dgm:cxn modelId="{BF65F824-D4F4-4A84-83B4-6B1944B62AAD}" srcId="{DE541715-C648-404D-8124-F14F463E9202}" destId="{4631C2C5-1554-4289-90B0-F2D55D1595B6}" srcOrd="1" destOrd="0" parTransId="{4693CA52-075F-4BD8-ABEA-5368BE377DDA}" sibTransId="{9B3CB24D-A47A-4081-B256-B868D89D5387}"/>
    <dgm:cxn modelId="{87D565FC-A27B-46FC-AFB4-497589D10DD0}" type="presOf" srcId="{AE014B54-4FFC-4271-A6FD-00D3C5F85913}" destId="{073D7962-B31D-49BD-AB47-082CE21EAD80}" srcOrd="1" destOrd="0" presId="urn:microsoft.com/office/officeart/2005/8/layout/radial1"/>
    <dgm:cxn modelId="{8562D05A-AC97-4F62-B672-802C08F0915C}" type="presOf" srcId="{BB888D51-F36E-4A1A-AD65-530BDC7DD332}" destId="{0AC78349-4F42-425B-8A1A-4393D65C2051}" srcOrd="1" destOrd="0" presId="urn:microsoft.com/office/officeart/2005/8/layout/radial1"/>
    <dgm:cxn modelId="{3CFA329D-E6DE-4DAE-8716-3F72A6CC9558}" srcId="{34E6C8D5-8D4F-4714-8A12-8F4599A8E760}" destId="{92CB3438-B9E9-47C6-A192-F39066BEDF2E}" srcOrd="2" destOrd="0" parTransId="{180C0B20-2536-4DCE-BC67-7CC0C88AFC36}" sibTransId="{DF2F4DED-CB79-4B67-8A99-8F3EACC4B96E}"/>
    <dgm:cxn modelId="{D004308C-CB1C-46E1-99C9-FDB390DC73F5}" type="presOf" srcId="{D748ED0F-9025-4150-81AF-C1AEFFEE2246}" destId="{A608A501-C2D4-466C-80D2-8354150DE79D}" srcOrd="1" destOrd="0" presId="urn:microsoft.com/office/officeart/2005/8/layout/radial1"/>
    <dgm:cxn modelId="{837E69A2-4D9A-4E84-B94F-4FD28CAF0B42}" type="presOf" srcId="{4631C2C5-1554-4289-90B0-F2D55D1595B6}" destId="{035B4C9A-0916-4FCC-A1CF-85DB358A289A}" srcOrd="0" destOrd="0" presId="urn:microsoft.com/office/officeart/2005/8/layout/radial1"/>
    <dgm:cxn modelId="{DA740704-6E02-4402-8325-D0302449434E}" srcId="{34E6C8D5-8D4F-4714-8A12-8F4599A8E760}" destId="{4F895710-9C0A-4357-A62A-B00C2B1BB2A2}" srcOrd="1" destOrd="0" parTransId="{4492527F-B2BC-4423-9ACC-2816666249A0}" sibTransId="{A0A859C5-79E5-4C97-AF72-54A6D166EEA1}"/>
    <dgm:cxn modelId="{1AF420F2-913B-4BA9-AF02-04C6B2109B5D}" type="presOf" srcId="{1ED1F83B-CD97-4E51-9FD1-4E2191C87DD9}" destId="{97004BB0-64D3-4A92-A1C1-813788F5650F}" srcOrd="0" destOrd="0" presId="urn:microsoft.com/office/officeart/2005/8/layout/radial1"/>
    <dgm:cxn modelId="{7A2F3881-9A85-4A8C-9C4B-5CC9408F5855}" srcId="{DE541715-C648-404D-8124-F14F463E9202}" destId="{47774346-E18D-4F76-8BAA-0550FDAF03CE}" srcOrd="7" destOrd="0" parTransId="{D748ED0F-9025-4150-81AF-C1AEFFEE2246}" sibTransId="{1B5C7858-3354-40C7-A720-7E7DAAC6B51B}"/>
    <dgm:cxn modelId="{4CBB6AE3-0B1C-4CA0-A05E-54BD0303F26B}" type="presOf" srcId="{BB888D51-F36E-4A1A-AD65-530BDC7DD332}" destId="{447FEE0B-EFE1-4BAD-80EF-66C3DD36014A}" srcOrd="0" destOrd="0" presId="urn:microsoft.com/office/officeart/2005/8/layout/radial1"/>
    <dgm:cxn modelId="{111AE197-F2A3-4EBF-9F71-B8373C091C96}" type="presOf" srcId="{34E6C8D5-8D4F-4714-8A12-8F4599A8E760}" destId="{08F189A1-AB47-41D1-8058-7A6DA66B3F52}" srcOrd="0" destOrd="0" presId="urn:microsoft.com/office/officeart/2005/8/layout/radial1"/>
    <dgm:cxn modelId="{5874E736-9503-4CC3-86B4-0AE3402E1F4C}" type="presOf" srcId="{15BD232A-6B53-4FB5-AFDE-7DE2EA3DC6DF}" destId="{5514B31A-797C-4F49-82C0-203D59D29598}" srcOrd="0" destOrd="0" presId="urn:microsoft.com/office/officeart/2005/8/layout/radial1"/>
    <dgm:cxn modelId="{AAFE9F28-E685-47CD-B15B-9E7927859D39}" type="presOf" srcId="{E936BDD9-A5D4-4D21-8A3B-A9B992679F1F}" destId="{D74286FF-AAFA-441A-87F1-98384D680093}" srcOrd="0" destOrd="0" presId="urn:microsoft.com/office/officeart/2005/8/layout/radial1"/>
    <dgm:cxn modelId="{248698A6-055B-40E3-B808-D624056EF2B0}" srcId="{DE541715-C648-404D-8124-F14F463E9202}" destId="{C06C39C9-71B8-489C-9C45-3DD37A424E39}" srcOrd="2" destOrd="0" parTransId="{0FABC453-0A5C-4CAE-813B-F0494A34E025}" sibTransId="{DCD34884-F96E-475A-9010-14DE66A403A6}"/>
    <dgm:cxn modelId="{C0EBA88D-8F83-4E63-897E-F37D78D12345}" type="presOf" srcId="{A94E6E4E-9ABC-4D91-9437-4DC447452660}" destId="{755CFD49-3313-42A9-A1A9-D99CF689F3D7}" srcOrd="0" destOrd="0" presId="urn:microsoft.com/office/officeart/2005/8/layout/radial1"/>
    <dgm:cxn modelId="{68E458BB-6056-4300-8135-BEEF684E4EC6}" type="presOf" srcId="{4693CA52-075F-4BD8-ABEA-5368BE377DDA}" destId="{4AC11394-3179-4EC5-A97F-D1A1B521CE2F}" srcOrd="0" destOrd="0" presId="urn:microsoft.com/office/officeart/2005/8/layout/radial1"/>
    <dgm:cxn modelId="{7E89E051-CD5C-4130-A5D7-C99408C8CCA0}" srcId="{DE541715-C648-404D-8124-F14F463E9202}" destId="{A94E6E4E-9ABC-4D91-9437-4DC447452660}" srcOrd="6" destOrd="0" parTransId="{E936BDD9-A5D4-4D21-8A3B-A9B992679F1F}" sibTransId="{8B40EA14-C029-4AFD-8980-3E0592BA1C58}"/>
    <dgm:cxn modelId="{2C5F00FE-1766-48D4-ABD6-581D0D0B9403}" type="presOf" srcId="{4693CA52-075F-4BD8-ABEA-5368BE377DDA}" destId="{62A1F741-432F-46BE-AE07-15F0B6D5EA89}" srcOrd="1" destOrd="0" presId="urn:microsoft.com/office/officeart/2005/8/layout/radial1"/>
    <dgm:cxn modelId="{E7B85B8B-C3C0-4BF7-A1BE-8F1162EC34B3}" type="presOf" srcId="{D580A2ED-2D6D-49B7-9309-54F6559A7AE5}" destId="{FC7280E4-CE96-452F-A4BC-3E3F14683ABC}" srcOrd="0" destOrd="0" presId="urn:microsoft.com/office/officeart/2005/8/layout/radial1"/>
    <dgm:cxn modelId="{89501908-E010-4BF7-BE4F-811FDE605A80}" type="presOf" srcId="{DE541715-C648-404D-8124-F14F463E9202}" destId="{062AF917-2F47-4639-8A23-58AD52EC0F32}" srcOrd="0" destOrd="0" presId="urn:microsoft.com/office/officeart/2005/8/layout/radial1"/>
    <dgm:cxn modelId="{B45119D2-64CD-4931-A27A-3AA4A20EC329}" type="presOf" srcId="{15BD232A-6B53-4FB5-AFDE-7DE2EA3DC6DF}" destId="{CB3681D8-9E1C-4AD0-83FC-4BCAEA5A8E3C}" srcOrd="1" destOrd="0" presId="urn:microsoft.com/office/officeart/2005/8/layout/radial1"/>
    <dgm:cxn modelId="{30B1AEB8-2F43-40DB-908B-C80EAFA6DFC6}" srcId="{DE541715-C648-404D-8124-F14F463E9202}" destId="{7088B3AC-9EBC-4ABD-B45F-EC2EC96E416C}" srcOrd="3" destOrd="0" parTransId="{BB888D51-F36E-4A1A-AD65-530BDC7DD332}" sibTransId="{94ABB19A-0DAA-4029-A8CB-922DC7035BE3}"/>
    <dgm:cxn modelId="{9B5E37C6-9B16-4B10-AD27-AE0E59DB383B}" type="presOf" srcId="{0FABC453-0A5C-4CAE-813B-F0494A34E025}" destId="{ADF94B70-0D7F-4A27-8DF9-17BCD27F4A7A}" srcOrd="0" destOrd="0" presId="urn:microsoft.com/office/officeart/2005/8/layout/radial1"/>
    <dgm:cxn modelId="{0BCA9DDC-9221-444C-8249-68CED433AC35}" type="presOf" srcId="{7AF774ED-547E-4C04-8670-B0C1D08C5EE9}" destId="{5337AE63-3722-42CC-AF72-36670EB7C5E1}" srcOrd="0" destOrd="0" presId="urn:microsoft.com/office/officeart/2005/8/layout/radial1"/>
    <dgm:cxn modelId="{1CDC68B5-EB25-4F4F-9CBB-8563203CE59F}" srcId="{DE541715-C648-404D-8124-F14F463E9202}" destId="{1ED1F83B-CD97-4E51-9FD1-4E2191C87DD9}" srcOrd="4" destOrd="0" parTransId="{AE014B54-4FFC-4271-A6FD-00D3C5F85913}" sibTransId="{CB5AF736-2B95-46CE-82BA-DD5FB8A9AAE3}"/>
    <dgm:cxn modelId="{1D8FD9FD-0EC8-4C72-B708-73931C8FCABE}" type="presOf" srcId="{D748ED0F-9025-4150-81AF-C1AEFFEE2246}" destId="{6674A0B6-35AA-4763-B890-1E2177289BCF}" srcOrd="0" destOrd="0" presId="urn:microsoft.com/office/officeart/2005/8/layout/radial1"/>
    <dgm:cxn modelId="{D5FB19D5-5095-4EBF-8F21-8DC2085BFDBD}" type="presOf" srcId="{AE014B54-4FFC-4271-A6FD-00D3C5F85913}" destId="{E64AB50F-BCCF-45E7-A4E4-85ABC4F0C76B}" srcOrd="0" destOrd="0" presId="urn:microsoft.com/office/officeart/2005/8/layout/radial1"/>
    <dgm:cxn modelId="{C96EFFB0-8C8A-4BCD-B4A6-736FD742EC06}" type="presOf" srcId="{7AF774ED-547E-4C04-8670-B0C1D08C5EE9}" destId="{326412CE-9911-4799-A459-B56F02EB4473}" srcOrd="1" destOrd="0" presId="urn:microsoft.com/office/officeart/2005/8/layout/radial1"/>
    <dgm:cxn modelId="{7D46CE8A-A00D-4677-8D0A-3684CB24CD57}" type="presOf" srcId="{47774346-E18D-4F76-8BAA-0550FDAF03CE}" destId="{16FD236C-1C35-46D3-A6E9-C486F23997B9}" srcOrd="0" destOrd="0" presId="urn:microsoft.com/office/officeart/2005/8/layout/radial1"/>
    <dgm:cxn modelId="{F7E2BCBB-6BE2-4D1E-B86F-23BDAEC5BCF5}" type="presOf" srcId="{0FABC453-0A5C-4CAE-813B-F0494A34E025}" destId="{EA4144E0-C5B2-4FC0-BDB2-550B61DB7DFD}" srcOrd="1" destOrd="0" presId="urn:microsoft.com/office/officeart/2005/8/layout/radial1"/>
    <dgm:cxn modelId="{22CFBE58-87EC-4B70-B1CC-D1D1DB4968C7}" srcId="{34E6C8D5-8D4F-4714-8A12-8F4599A8E760}" destId="{DE541715-C648-404D-8124-F14F463E9202}" srcOrd="0" destOrd="0" parTransId="{D7DB3476-9C56-4274-B046-F742EA8694F1}" sibTransId="{7CA7849B-681D-4C0D-A708-F47E97871BB2}"/>
    <dgm:cxn modelId="{B9DD9C87-967A-4F1A-98BF-C5E7B16E1392}" type="presOf" srcId="{7088B3AC-9EBC-4ABD-B45F-EC2EC96E416C}" destId="{3F1A2A14-E080-4448-96C3-A8E6002E7EE2}" srcOrd="0" destOrd="0" presId="urn:microsoft.com/office/officeart/2005/8/layout/radial1"/>
    <dgm:cxn modelId="{3F2D7D7E-C94B-4CFD-84C8-C2FB7B00D5A6}" srcId="{DE541715-C648-404D-8124-F14F463E9202}" destId="{D580A2ED-2D6D-49B7-9309-54F6559A7AE5}" srcOrd="5" destOrd="0" parTransId="{15BD232A-6B53-4FB5-AFDE-7DE2EA3DC6DF}" sibTransId="{878FF1A1-D2A8-4883-89B1-596AC72B26A9}"/>
    <dgm:cxn modelId="{41ADC28F-D6FF-408B-88FA-30A9BD04C390}" type="presOf" srcId="{960C5593-E0FF-4AA5-AA0B-E8BDFFBC5E53}" destId="{CED9197C-8322-406B-917C-172FA36E7B76}" srcOrd="0" destOrd="0" presId="urn:microsoft.com/office/officeart/2005/8/layout/radial1"/>
    <dgm:cxn modelId="{6BDC01BA-E3E4-4480-A267-3A69EDFCE23C}" type="presOf" srcId="{C06C39C9-71B8-489C-9C45-3DD37A424E39}" destId="{0FAF3FA1-8E6C-455E-B189-A468B3F4D8BC}" srcOrd="0" destOrd="0" presId="urn:microsoft.com/office/officeart/2005/8/layout/radial1"/>
    <dgm:cxn modelId="{3F2D228F-D916-47D0-8C49-0FFB7DCC6A1D}" type="presOf" srcId="{E936BDD9-A5D4-4D21-8A3B-A9B992679F1F}" destId="{4733965B-CB9A-4F14-BD3E-CB16D7A3032B}" srcOrd="1" destOrd="0" presId="urn:microsoft.com/office/officeart/2005/8/layout/radial1"/>
    <dgm:cxn modelId="{529D05ED-97D5-4116-BE13-DE3D93351F7F}" srcId="{DE541715-C648-404D-8124-F14F463E9202}" destId="{960C5593-E0FF-4AA5-AA0B-E8BDFFBC5E53}" srcOrd="0" destOrd="0" parTransId="{7AF774ED-547E-4C04-8670-B0C1D08C5EE9}" sibTransId="{88F12DF7-015F-4F26-950A-DAE493699644}"/>
    <dgm:cxn modelId="{D9709DCB-5940-4AB7-8507-6A9196EDAB8B}" type="presParOf" srcId="{08F189A1-AB47-41D1-8058-7A6DA66B3F52}" destId="{062AF917-2F47-4639-8A23-58AD52EC0F32}" srcOrd="0" destOrd="0" presId="urn:microsoft.com/office/officeart/2005/8/layout/radial1"/>
    <dgm:cxn modelId="{38FD451F-D26E-4C1B-A8E7-1269A7A01E79}" type="presParOf" srcId="{08F189A1-AB47-41D1-8058-7A6DA66B3F52}" destId="{5337AE63-3722-42CC-AF72-36670EB7C5E1}" srcOrd="1" destOrd="0" presId="urn:microsoft.com/office/officeart/2005/8/layout/radial1"/>
    <dgm:cxn modelId="{E911E277-676F-4BD2-9B40-7BC54BEF90B2}" type="presParOf" srcId="{5337AE63-3722-42CC-AF72-36670EB7C5E1}" destId="{326412CE-9911-4799-A459-B56F02EB4473}" srcOrd="0" destOrd="0" presId="urn:microsoft.com/office/officeart/2005/8/layout/radial1"/>
    <dgm:cxn modelId="{A578D0B8-159A-4AD8-8123-5B0A97F70142}" type="presParOf" srcId="{08F189A1-AB47-41D1-8058-7A6DA66B3F52}" destId="{CED9197C-8322-406B-917C-172FA36E7B76}" srcOrd="2" destOrd="0" presId="urn:microsoft.com/office/officeart/2005/8/layout/radial1"/>
    <dgm:cxn modelId="{66E4EB9D-D5BE-4D81-9A71-7233EB26D8E3}" type="presParOf" srcId="{08F189A1-AB47-41D1-8058-7A6DA66B3F52}" destId="{4AC11394-3179-4EC5-A97F-D1A1B521CE2F}" srcOrd="3" destOrd="0" presId="urn:microsoft.com/office/officeart/2005/8/layout/radial1"/>
    <dgm:cxn modelId="{9E385D63-BDA0-4C8E-8875-C412F0E7E007}" type="presParOf" srcId="{4AC11394-3179-4EC5-A97F-D1A1B521CE2F}" destId="{62A1F741-432F-46BE-AE07-15F0B6D5EA89}" srcOrd="0" destOrd="0" presId="urn:microsoft.com/office/officeart/2005/8/layout/radial1"/>
    <dgm:cxn modelId="{A93EEAA2-8C8E-4AF5-9A91-8A3E14715374}" type="presParOf" srcId="{08F189A1-AB47-41D1-8058-7A6DA66B3F52}" destId="{035B4C9A-0916-4FCC-A1CF-85DB358A289A}" srcOrd="4" destOrd="0" presId="urn:microsoft.com/office/officeart/2005/8/layout/radial1"/>
    <dgm:cxn modelId="{BCE42C55-1D62-4D7F-960F-FAC33B67E02C}" type="presParOf" srcId="{08F189A1-AB47-41D1-8058-7A6DA66B3F52}" destId="{ADF94B70-0D7F-4A27-8DF9-17BCD27F4A7A}" srcOrd="5" destOrd="0" presId="urn:microsoft.com/office/officeart/2005/8/layout/radial1"/>
    <dgm:cxn modelId="{52E56DFF-2048-48C9-9EE5-08865B3E1ED8}" type="presParOf" srcId="{ADF94B70-0D7F-4A27-8DF9-17BCD27F4A7A}" destId="{EA4144E0-C5B2-4FC0-BDB2-550B61DB7DFD}" srcOrd="0" destOrd="0" presId="urn:microsoft.com/office/officeart/2005/8/layout/radial1"/>
    <dgm:cxn modelId="{B0F58780-5516-4C44-BA72-71D422F279BD}" type="presParOf" srcId="{08F189A1-AB47-41D1-8058-7A6DA66B3F52}" destId="{0FAF3FA1-8E6C-455E-B189-A468B3F4D8BC}" srcOrd="6" destOrd="0" presId="urn:microsoft.com/office/officeart/2005/8/layout/radial1"/>
    <dgm:cxn modelId="{B826E27E-316A-4A4B-BDB3-E7689A3F2C00}" type="presParOf" srcId="{08F189A1-AB47-41D1-8058-7A6DA66B3F52}" destId="{447FEE0B-EFE1-4BAD-80EF-66C3DD36014A}" srcOrd="7" destOrd="0" presId="urn:microsoft.com/office/officeart/2005/8/layout/radial1"/>
    <dgm:cxn modelId="{7E085513-EE6B-47B9-B49D-1577FC1A7B10}" type="presParOf" srcId="{447FEE0B-EFE1-4BAD-80EF-66C3DD36014A}" destId="{0AC78349-4F42-425B-8A1A-4393D65C2051}" srcOrd="0" destOrd="0" presId="urn:microsoft.com/office/officeart/2005/8/layout/radial1"/>
    <dgm:cxn modelId="{4C594820-3C7F-414E-9B12-34D753085341}" type="presParOf" srcId="{08F189A1-AB47-41D1-8058-7A6DA66B3F52}" destId="{3F1A2A14-E080-4448-96C3-A8E6002E7EE2}" srcOrd="8" destOrd="0" presId="urn:microsoft.com/office/officeart/2005/8/layout/radial1"/>
    <dgm:cxn modelId="{CA6DCFC6-763F-432D-9794-03504DC1D7A5}" type="presParOf" srcId="{08F189A1-AB47-41D1-8058-7A6DA66B3F52}" destId="{E64AB50F-BCCF-45E7-A4E4-85ABC4F0C76B}" srcOrd="9" destOrd="0" presId="urn:microsoft.com/office/officeart/2005/8/layout/radial1"/>
    <dgm:cxn modelId="{2EFAF5C2-9C79-4252-95E6-E710BB3657C6}" type="presParOf" srcId="{E64AB50F-BCCF-45E7-A4E4-85ABC4F0C76B}" destId="{073D7962-B31D-49BD-AB47-082CE21EAD80}" srcOrd="0" destOrd="0" presId="urn:microsoft.com/office/officeart/2005/8/layout/radial1"/>
    <dgm:cxn modelId="{49852E58-CAA5-4145-9CB2-7134307D18A2}" type="presParOf" srcId="{08F189A1-AB47-41D1-8058-7A6DA66B3F52}" destId="{97004BB0-64D3-4A92-A1C1-813788F5650F}" srcOrd="10" destOrd="0" presId="urn:microsoft.com/office/officeart/2005/8/layout/radial1"/>
    <dgm:cxn modelId="{F993C773-10D3-4E46-967C-3504F495D186}" type="presParOf" srcId="{08F189A1-AB47-41D1-8058-7A6DA66B3F52}" destId="{5514B31A-797C-4F49-82C0-203D59D29598}" srcOrd="11" destOrd="0" presId="urn:microsoft.com/office/officeart/2005/8/layout/radial1"/>
    <dgm:cxn modelId="{0CD377EA-7E29-4E09-B585-BBF7D44A004E}" type="presParOf" srcId="{5514B31A-797C-4F49-82C0-203D59D29598}" destId="{CB3681D8-9E1C-4AD0-83FC-4BCAEA5A8E3C}" srcOrd="0" destOrd="0" presId="urn:microsoft.com/office/officeart/2005/8/layout/radial1"/>
    <dgm:cxn modelId="{0E21F246-BFF6-41D3-BFE3-81335B29E1D8}" type="presParOf" srcId="{08F189A1-AB47-41D1-8058-7A6DA66B3F52}" destId="{FC7280E4-CE96-452F-A4BC-3E3F14683ABC}" srcOrd="12" destOrd="0" presId="urn:microsoft.com/office/officeart/2005/8/layout/radial1"/>
    <dgm:cxn modelId="{F7460740-E7A4-4FEC-968A-A981B6A486C6}" type="presParOf" srcId="{08F189A1-AB47-41D1-8058-7A6DA66B3F52}" destId="{D74286FF-AAFA-441A-87F1-98384D680093}" srcOrd="13" destOrd="0" presId="urn:microsoft.com/office/officeart/2005/8/layout/radial1"/>
    <dgm:cxn modelId="{3F5C4480-87DB-4134-8D83-3C310D31A5F8}" type="presParOf" srcId="{D74286FF-AAFA-441A-87F1-98384D680093}" destId="{4733965B-CB9A-4F14-BD3E-CB16D7A3032B}" srcOrd="0" destOrd="0" presId="urn:microsoft.com/office/officeart/2005/8/layout/radial1"/>
    <dgm:cxn modelId="{1B2A2D8E-0783-4165-8FDF-81A597A8D97D}" type="presParOf" srcId="{08F189A1-AB47-41D1-8058-7A6DA66B3F52}" destId="{755CFD49-3313-42A9-A1A9-D99CF689F3D7}" srcOrd="14" destOrd="0" presId="urn:microsoft.com/office/officeart/2005/8/layout/radial1"/>
    <dgm:cxn modelId="{A57934F0-9266-4284-8D05-C2465373FFD9}" type="presParOf" srcId="{08F189A1-AB47-41D1-8058-7A6DA66B3F52}" destId="{6674A0B6-35AA-4763-B890-1E2177289BCF}" srcOrd="15" destOrd="0" presId="urn:microsoft.com/office/officeart/2005/8/layout/radial1"/>
    <dgm:cxn modelId="{4531FBDB-B4C4-433C-853D-5C42222B69FB}" type="presParOf" srcId="{6674A0B6-35AA-4763-B890-1E2177289BCF}" destId="{A608A501-C2D4-466C-80D2-8354150DE79D}" srcOrd="0" destOrd="0" presId="urn:microsoft.com/office/officeart/2005/8/layout/radial1"/>
    <dgm:cxn modelId="{BDDDD31C-FA0A-4416-B6AE-7C5B76AD8E77}" type="presParOf" srcId="{08F189A1-AB47-41D1-8058-7A6DA66B3F52}" destId="{16FD236C-1C35-46D3-A6E9-C486F23997B9}" srcOrd="16" destOrd="0" presId="urn:microsoft.com/office/officeart/2005/8/layout/radial1"/>
  </dgm:cxnLst>
  <dgm:bg/>
  <dgm:whole/>
  <dgm:extLst>
    <a:ext uri="http://schemas.microsoft.com/office/drawing/2008/diagram">
      <dsp:dataModelExt xmlns:dsp="http://schemas.microsoft.com/office/drawing/2008/diagram" relId="rId46" minVer="http://schemas.openxmlformats.org/drawingml/2006/diagram"/>
    </a:ext>
    <a:ext uri="{C62137D5-CB1D-491B-B009-E17868A290BF}">
      <dgm14:recolorImg xmlns:dgm14="http://schemas.microsoft.com/office/drawing/2010/diagram" val="1"/>
    </a:ext>
  </dgm:extLst>
</dgm:dataModel>
</file>

<file path=word/diagrams/data4.xml><?xml version="1.0" encoding="utf-8"?>
<dgm:dataModel xmlns:dgm="http://schemas.openxmlformats.org/drawingml/2006/diagram" xmlns:a="http://schemas.openxmlformats.org/drawingml/2006/main">
  <dgm:ptLst>
    <dgm:pt modelId="{34E6C8D5-8D4F-4714-8A12-8F4599A8E760}"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4F895710-9C0A-4357-A62A-B00C2B1BB2A2}">
      <dgm:prSet phldrT="[Text]"/>
      <dgm:spPr/>
      <dgm:t>
        <a:bodyPr/>
        <a:lstStyle/>
        <a:p>
          <a:pPr algn="ctr"/>
          <a:endParaRPr lang="en-US"/>
        </a:p>
      </dgm:t>
    </dgm:pt>
    <dgm:pt modelId="{DE541715-C648-404D-8124-F14F463E9202}">
      <dgm:prSet phldrT="[Text]" custT="1"/>
      <dgm:spPr>
        <a:xfrm>
          <a:off x="2437613" y="1408990"/>
          <a:ext cx="1068372" cy="930070"/>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gm:spPr>
      <dgm:t>
        <a:bodyPr/>
        <a:lstStyle/>
        <a:p>
          <a:pPr algn="ctr"/>
          <a:r>
            <a:rPr lang="en-US"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4</a:t>
          </a:r>
        </a:p>
      </dgm:t>
    </dgm:pt>
    <dgm:pt modelId="{7CA7849B-681D-4C0D-A708-F47E97871BB2}" type="sibTrans" cxnId="{22CFBE58-87EC-4B70-B1CC-D1D1DB4968C7}">
      <dgm:prSet/>
      <dgm:spPr/>
      <dgm:t>
        <a:bodyPr/>
        <a:lstStyle/>
        <a:p>
          <a:pPr algn="ctr"/>
          <a:endParaRPr lang="en-US"/>
        </a:p>
      </dgm:t>
    </dgm:pt>
    <dgm:pt modelId="{D7DB3476-9C56-4274-B046-F742EA8694F1}" type="parTrans" cxnId="{22CFBE58-87EC-4B70-B1CC-D1D1DB4968C7}">
      <dgm:prSet/>
      <dgm:spPr/>
      <dgm:t>
        <a:bodyPr/>
        <a:lstStyle/>
        <a:p>
          <a:pPr algn="ctr"/>
          <a:endParaRPr lang="en-US"/>
        </a:p>
      </dgm:t>
    </dgm:pt>
    <dgm:pt modelId="{A0A859C5-79E5-4C97-AF72-54A6D166EEA1}" type="sibTrans" cxnId="{DA740704-6E02-4402-8325-D0302449434E}">
      <dgm:prSet/>
      <dgm:spPr/>
      <dgm:t>
        <a:bodyPr/>
        <a:lstStyle/>
        <a:p>
          <a:pPr algn="ctr"/>
          <a:endParaRPr lang="en-US"/>
        </a:p>
      </dgm:t>
    </dgm:pt>
    <dgm:pt modelId="{4492527F-B2BC-4423-9ACC-2816666249A0}" type="parTrans" cxnId="{DA740704-6E02-4402-8325-D0302449434E}">
      <dgm:prSet/>
      <dgm:spPr/>
      <dgm:t>
        <a:bodyPr/>
        <a:lstStyle/>
        <a:p>
          <a:pPr algn="ctr"/>
          <a:endParaRPr lang="en-US"/>
        </a:p>
      </dgm:t>
    </dgm:pt>
    <dgm:pt modelId="{45870664-60BD-4390-952C-AB2EEF07F4DD}">
      <dgm:prSet phldrT="[Text]" custT="1"/>
      <dgm:spPr>
        <a:xfrm>
          <a:off x="2506764" y="14129"/>
          <a:ext cx="930070" cy="930070"/>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algn="ctr"/>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a:t>
          </a:r>
        </a:p>
        <a:p>
          <a:pPr algn="ctr"/>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Droit des brevets</a:t>
          </a:r>
          <a:endParaRPr lang="en-US" sz="7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CB6E0A53-B07E-4B2B-89E7-D1FB86B27272}" type="parTrans" cxnId="{C80DF295-9AAD-4C0B-B8AF-3EDA956AFFF7}">
      <dgm:prSet/>
      <dgm:spPr>
        <a:xfrm rot="16200000">
          <a:off x="2739404" y="1162511"/>
          <a:ext cx="464790" cy="28166"/>
        </a:xfrm>
        <a:noFill/>
        <a:ln w="9525" cap="flat" cmpd="sng" algn="ctr">
          <a:solidFill>
            <a:srgbClr val="4F81BD">
              <a:shade val="60000"/>
              <a:hueOff val="0"/>
              <a:satOff val="0"/>
              <a:lumOff val="0"/>
              <a:alphaOff val="0"/>
            </a:srgbClr>
          </a:solidFill>
          <a:prstDash val="solid"/>
        </a:ln>
        <a:effectLst/>
      </dgm:spPr>
      <dgm:t>
        <a:bodyPr/>
        <a:lstStyle/>
        <a:p>
          <a:pPr algn="ctr"/>
          <a:endParaRPr lang="en-US">
            <a:solidFill>
              <a:sysClr val="windowText" lastClr="000000">
                <a:hueOff val="0"/>
                <a:satOff val="0"/>
                <a:lumOff val="0"/>
                <a:alphaOff val="0"/>
              </a:sysClr>
            </a:solidFill>
            <a:latin typeface="Calibri"/>
            <a:ea typeface="+mn-ea"/>
            <a:cs typeface="+mn-cs"/>
          </a:endParaRPr>
        </a:p>
      </dgm:t>
    </dgm:pt>
    <dgm:pt modelId="{E74149DA-41AA-4BE0-B8E7-7965A33DC1B0}" type="sibTrans" cxnId="{C80DF295-9AAD-4C0B-B8AF-3EDA956AFFF7}">
      <dgm:prSet/>
      <dgm:spPr/>
      <dgm:t>
        <a:bodyPr/>
        <a:lstStyle/>
        <a:p>
          <a:pPr algn="ctr"/>
          <a:endParaRPr lang="en-US"/>
        </a:p>
      </dgm:t>
    </dgm:pt>
    <dgm:pt modelId="{3BD68AEB-F6E8-461F-8590-A67172B04D7C}">
      <dgm:prSet phldrT="[Text]" custT="1"/>
      <dgm:spPr>
        <a:xfrm>
          <a:off x="3597311" y="539308"/>
          <a:ext cx="930070" cy="930070"/>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algn="ctr"/>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3</a:t>
          </a:r>
        </a:p>
        <a:p>
          <a:pPr algn="ctr"/>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Droit d’auteur et droits connexes</a:t>
          </a:r>
        </a:p>
      </dgm:t>
    </dgm:pt>
    <dgm:pt modelId="{31D2845E-7763-4EAF-A91C-F687BE68CFA9}" type="parTrans" cxnId="{8219E8C0-11D9-4ECE-9E9E-751EEF5551F9}">
      <dgm:prSet/>
      <dgm:spPr>
        <a:xfrm rot="19285714">
          <a:off x="3319225" y="1413012"/>
          <a:ext cx="426012" cy="28166"/>
        </a:xfrm>
      </dgm:spPr>
      <dgm:t>
        <a:bodyPr/>
        <a:lstStyle/>
        <a:p>
          <a:pPr algn="ctr"/>
          <a:endParaRPr lang="en-US"/>
        </a:p>
      </dgm:t>
    </dgm:pt>
    <dgm:pt modelId="{93E661BA-0293-4FF1-B933-6256D0B2E24D}" type="sibTrans" cxnId="{8219E8C0-11D9-4ECE-9E9E-751EEF5551F9}">
      <dgm:prSet/>
      <dgm:spPr/>
      <dgm:t>
        <a:bodyPr/>
        <a:lstStyle/>
        <a:p>
          <a:pPr algn="ctr"/>
          <a:endParaRPr lang="en-US"/>
        </a:p>
      </dgm:t>
    </dgm:pt>
    <dgm:pt modelId="{CDE3C2D2-2338-40D3-9864-33A39CCB5CF4}">
      <dgm:prSet phldrT="[Text]" custT="1"/>
      <dgm:spPr>
        <a:xfrm>
          <a:off x="3866653" y="1719376"/>
          <a:ext cx="930070" cy="930070"/>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algn="ctr"/>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7</a:t>
          </a:r>
        </a:p>
        <a:p>
          <a:pPr algn="ctr"/>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Centre d’arbitrage et de médiation de l’OMPI</a:t>
          </a:r>
        </a:p>
      </dgm:t>
    </dgm:pt>
    <dgm:pt modelId="{00297025-FE49-44ED-8151-9AC4B35C0885}" type="parTrans" cxnId="{60C424C7-CC54-4027-B080-4425E7B5050C}">
      <dgm:prSet/>
      <dgm:spPr>
        <a:xfrm rot="771429">
          <a:off x="3483509" y="2022364"/>
          <a:ext cx="399815" cy="28166"/>
        </a:xfrm>
      </dgm:spPr>
      <dgm:t>
        <a:bodyPr/>
        <a:lstStyle/>
        <a:p>
          <a:pPr algn="ctr"/>
          <a:endParaRPr lang="en-US"/>
        </a:p>
      </dgm:t>
    </dgm:pt>
    <dgm:pt modelId="{59703DE8-812C-459A-A996-B99B877A6FDC}" type="sibTrans" cxnId="{60C424C7-CC54-4027-B080-4425E7B5050C}">
      <dgm:prSet/>
      <dgm:spPr/>
      <dgm:t>
        <a:bodyPr/>
        <a:lstStyle/>
        <a:p>
          <a:pPr algn="ctr"/>
          <a:endParaRPr lang="en-US"/>
        </a:p>
      </dgm:t>
    </dgm:pt>
    <dgm:pt modelId="{115F3686-56C2-4580-9E8B-FA213D3DA5F6}">
      <dgm:prSet phldrT="[Text]" custT="1"/>
      <dgm:spPr>
        <a:xfrm>
          <a:off x="3111972" y="2665716"/>
          <a:ext cx="930070" cy="930070"/>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algn="ctr"/>
          <a:endPar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algn="ctr"/>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8</a:t>
          </a:r>
        </a:p>
        <a:p>
          <a:pPr algn="ctr"/>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Coordination du Plan d’action pour le développement</a:t>
          </a:r>
          <a:endParaRPr lang="en-US" sz="7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algn="ctr"/>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endPar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0740ED97-4265-4052-8B1C-8A14B3879E4E}" type="parTrans" cxnId="{FF862692-6FE1-4C1B-8C29-4A220C00E54C}">
      <dgm:prSet/>
      <dgm:spPr>
        <a:xfrm rot="3857143">
          <a:off x="3049877" y="2493250"/>
          <a:ext cx="453814" cy="28166"/>
        </a:xfrm>
        <a:noFill/>
        <a:ln w="9525" cap="flat" cmpd="sng" algn="ctr">
          <a:solidFill>
            <a:srgbClr val="4F81BD">
              <a:shade val="60000"/>
              <a:hueOff val="0"/>
              <a:satOff val="0"/>
              <a:lumOff val="0"/>
              <a:alphaOff val="0"/>
            </a:srgbClr>
          </a:solidFill>
          <a:prstDash val="solid"/>
        </a:ln>
        <a:effectLst/>
      </dgm:spPr>
      <dgm:t>
        <a:bodyPr/>
        <a:lstStyle/>
        <a:p>
          <a:pPr algn="ctr"/>
          <a:endParaRPr lang="en-US">
            <a:solidFill>
              <a:sysClr val="windowText" lastClr="000000">
                <a:hueOff val="0"/>
                <a:satOff val="0"/>
                <a:lumOff val="0"/>
                <a:alphaOff val="0"/>
              </a:sysClr>
            </a:solidFill>
            <a:latin typeface="Calibri"/>
            <a:ea typeface="+mn-ea"/>
            <a:cs typeface="+mn-cs"/>
          </a:endParaRPr>
        </a:p>
      </dgm:t>
    </dgm:pt>
    <dgm:pt modelId="{E9E35A43-605C-4C5A-B200-2A3B564FFAF5}" type="sibTrans" cxnId="{FF862692-6FE1-4C1B-8C29-4A220C00E54C}">
      <dgm:prSet/>
      <dgm:spPr/>
      <dgm:t>
        <a:bodyPr/>
        <a:lstStyle/>
        <a:p>
          <a:pPr algn="ctr"/>
          <a:endParaRPr lang="en-US"/>
        </a:p>
      </dgm:t>
    </dgm:pt>
    <dgm:pt modelId="{4E654411-73AD-4DF6-AD3B-E400E531439B}">
      <dgm:prSet phldrT="[Text]" custT="1"/>
      <dgm:spPr>
        <a:xfrm>
          <a:off x="1901557" y="2665716"/>
          <a:ext cx="930070" cy="930070"/>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algn="ctr"/>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9 </a:t>
          </a:r>
        </a:p>
        <a:p>
          <a:pPr algn="ctr"/>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Bureaux régionaux</a:t>
          </a:r>
        </a:p>
      </dgm:t>
    </dgm:pt>
    <dgm:pt modelId="{7DB15392-F5F7-49E2-8294-51A0B1B620AB}" type="parTrans" cxnId="{A12C036A-14E7-451C-80B8-9B5BE762C5B4}">
      <dgm:prSet/>
      <dgm:spPr>
        <a:xfrm rot="6942857">
          <a:off x="2439907" y="2493250"/>
          <a:ext cx="453814" cy="28166"/>
        </a:xfrm>
      </dgm:spPr>
      <dgm:t>
        <a:bodyPr/>
        <a:lstStyle/>
        <a:p>
          <a:pPr algn="ctr"/>
          <a:endParaRPr lang="en-US"/>
        </a:p>
      </dgm:t>
    </dgm:pt>
    <dgm:pt modelId="{2B759E48-7284-455B-851A-DFF88118946F}" type="sibTrans" cxnId="{A12C036A-14E7-451C-80B8-9B5BE762C5B4}">
      <dgm:prSet/>
      <dgm:spPr/>
      <dgm:t>
        <a:bodyPr/>
        <a:lstStyle/>
        <a:p>
          <a:pPr algn="ctr"/>
          <a:endParaRPr lang="en-US"/>
        </a:p>
      </dgm:t>
    </dgm:pt>
    <dgm:pt modelId="{C45608E5-C683-4F82-AC41-6429A24EED40}">
      <dgm:prSet phldrT="[Text]" custT="1"/>
      <dgm:spPr>
        <a:xfrm>
          <a:off x="1146875" y="1719376"/>
          <a:ext cx="930070" cy="930070"/>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algn="ctr"/>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10</a:t>
          </a:r>
        </a:p>
        <a:p>
          <a:pPr algn="ctr"/>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Pays en transition et pays développés</a:t>
          </a:r>
        </a:p>
      </dgm:t>
    </dgm:pt>
    <dgm:pt modelId="{D9BD11F2-6636-4646-B3CF-323669445FAB}" type="parTrans" cxnId="{E0594360-5C4F-4C47-B047-3E60D22AD80D}">
      <dgm:prSet/>
      <dgm:spPr>
        <a:xfrm rot="10028571">
          <a:off x="2060274" y="2022364"/>
          <a:ext cx="399815" cy="28166"/>
        </a:xfrm>
      </dgm:spPr>
      <dgm:t>
        <a:bodyPr/>
        <a:lstStyle/>
        <a:p>
          <a:pPr algn="ctr"/>
          <a:endParaRPr lang="en-US"/>
        </a:p>
      </dgm:t>
    </dgm:pt>
    <dgm:pt modelId="{2C17D791-E651-44AA-801E-D486EB358D8A}" type="sibTrans" cxnId="{E0594360-5C4F-4C47-B047-3E60D22AD80D}">
      <dgm:prSet/>
      <dgm:spPr/>
      <dgm:t>
        <a:bodyPr/>
        <a:lstStyle/>
        <a:p>
          <a:pPr algn="ctr"/>
          <a:endParaRPr lang="en-US"/>
        </a:p>
      </dgm:t>
    </dgm:pt>
    <dgm:pt modelId="{B343370C-8FB3-481F-B4DA-6C9C41B047BC}">
      <dgm:prSet phldrT="[Text]" custT="1"/>
      <dgm:spPr>
        <a:xfrm>
          <a:off x="1416218" y="539308"/>
          <a:ext cx="930070" cy="930070"/>
        </a:xfrm>
        <a:solidFill>
          <a:srgbClr val="4F81BD">
            <a:lumMod val="40000"/>
            <a:lumOff val="60000"/>
          </a:srgbClr>
        </a:solidFill>
        <a:ln>
          <a:noFill/>
        </a:ln>
        <a:effectLst>
          <a:outerShdw blurRad="40000" dist="23000" dir="5400000" rotWithShape="0">
            <a:srgbClr val="000000">
              <a:alpha val="35000"/>
            </a:srgbClr>
          </a:outerShdw>
        </a:effectLst>
      </dgm:spPr>
      <dgm:t>
        <a:bodyPr/>
        <a:lstStyle/>
        <a:p>
          <a:pPr algn="ctr"/>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14</a:t>
          </a:r>
        </a:p>
        <a:p>
          <a:pPr algn="ctr"/>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Service d’accès à l’information et aux savoirs </a:t>
          </a:r>
        </a:p>
      </dgm:t>
    </dgm:pt>
    <dgm:pt modelId="{7A68E894-33D2-492F-8570-E4DDFD311B12}" type="parTrans" cxnId="{CDEFB2A3-4EA9-489B-9721-56871D483AB2}">
      <dgm:prSet/>
      <dgm:spPr>
        <a:xfrm rot="13114286">
          <a:off x="2198361" y="1413012"/>
          <a:ext cx="426012" cy="28166"/>
        </a:xfrm>
      </dgm:spPr>
      <dgm:t>
        <a:bodyPr/>
        <a:lstStyle/>
        <a:p>
          <a:pPr algn="ctr"/>
          <a:endParaRPr lang="en-US"/>
        </a:p>
      </dgm:t>
    </dgm:pt>
    <dgm:pt modelId="{7DC850A5-77C3-4602-A065-D0A45018AC8D}" type="sibTrans" cxnId="{CDEFB2A3-4EA9-489B-9721-56871D483AB2}">
      <dgm:prSet/>
      <dgm:spPr/>
      <dgm:t>
        <a:bodyPr/>
        <a:lstStyle/>
        <a:p>
          <a:pPr algn="ctr"/>
          <a:endParaRPr lang="en-US"/>
        </a:p>
      </dgm:t>
    </dgm:pt>
    <dgm:pt modelId="{08F189A1-AB47-41D1-8058-7A6DA66B3F52}" type="pres">
      <dgm:prSet presAssocID="{34E6C8D5-8D4F-4714-8A12-8F4599A8E760}" presName="cycle" presStyleCnt="0">
        <dgm:presLayoutVars>
          <dgm:chMax val="1"/>
          <dgm:dir/>
          <dgm:animLvl val="ctr"/>
          <dgm:resizeHandles val="exact"/>
        </dgm:presLayoutVars>
      </dgm:prSet>
      <dgm:spPr/>
      <dgm:t>
        <a:bodyPr/>
        <a:lstStyle/>
        <a:p>
          <a:endParaRPr lang="en-US"/>
        </a:p>
      </dgm:t>
    </dgm:pt>
    <dgm:pt modelId="{062AF917-2F47-4639-8A23-58AD52EC0F32}" type="pres">
      <dgm:prSet presAssocID="{DE541715-C648-404D-8124-F14F463E9202}" presName="centerShape" presStyleLbl="node0" presStyleIdx="0" presStyleCnt="1" custScaleX="244970" custLinFactNeighborX="-6628"/>
      <dgm:spPr>
        <a:prstGeom prst="ellipse">
          <a:avLst/>
        </a:prstGeom>
      </dgm:spPr>
      <dgm:t>
        <a:bodyPr/>
        <a:lstStyle/>
        <a:p>
          <a:endParaRPr lang="en-US"/>
        </a:p>
      </dgm:t>
    </dgm:pt>
    <dgm:pt modelId="{27C08CD6-CB73-4E0E-BA37-473C15E9C926}" type="pres">
      <dgm:prSet presAssocID="{CB6E0A53-B07E-4B2B-89E7-D1FB86B27272}" presName="Name9" presStyleLbl="parChTrans1D2" presStyleIdx="0" presStyleCnt="7"/>
      <dgm:spPr>
        <a:custGeom>
          <a:avLst/>
          <a:gdLst/>
          <a:ahLst/>
          <a:cxnLst/>
          <a:rect l="0" t="0" r="0" b="0"/>
          <a:pathLst>
            <a:path>
              <a:moveTo>
                <a:pt x="0" y="14194"/>
              </a:moveTo>
              <a:lnTo>
                <a:pt x="487996" y="14194"/>
              </a:lnTo>
            </a:path>
          </a:pathLst>
        </a:custGeom>
      </dgm:spPr>
      <dgm:t>
        <a:bodyPr/>
        <a:lstStyle/>
        <a:p>
          <a:endParaRPr lang="en-US"/>
        </a:p>
      </dgm:t>
    </dgm:pt>
    <dgm:pt modelId="{04068EB3-8728-47DB-8B53-1F3F6EA0E656}" type="pres">
      <dgm:prSet presAssocID="{CB6E0A53-B07E-4B2B-89E7-D1FB86B27272}" presName="connTx" presStyleLbl="parChTrans1D2" presStyleIdx="0" presStyleCnt="7"/>
      <dgm:spPr/>
      <dgm:t>
        <a:bodyPr/>
        <a:lstStyle/>
        <a:p>
          <a:endParaRPr lang="en-US"/>
        </a:p>
      </dgm:t>
    </dgm:pt>
    <dgm:pt modelId="{8441BECF-C9FE-4C31-BFA4-B45EB6B3D1F0}" type="pres">
      <dgm:prSet presAssocID="{45870664-60BD-4390-952C-AB2EEF07F4DD}" presName="node" presStyleLbl="node1" presStyleIdx="0" presStyleCnt="7" custScaleX="200711" custScaleY="135851" custRadScaleRad="89001" custRadScaleInc="65073">
        <dgm:presLayoutVars>
          <dgm:bulletEnabled val="1"/>
        </dgm:presLayoutVars>
      </dgm:prSet>
      <dgm:spPr>
        <a:prstGeom prst="ellipse">
          <a:avLst/>
        </a:prstGeom>
      </dgm:spPr>
      <dgm:t>
        <a:bodyPr/>
        <a:lstStyle/>
        <a:p>
          <a:endParaRPr lang="en-US"/>
        </a:p>
      </dgm:t>
    </dgm:pt>
    <dgm:pt modelId="{27678B34-738D-4B59-81F4-6EB54DA6F256}" type="pres">
      <dgm:prSet presAssocID="{31D2845E-7763-4EAF-A91C-F687BE68CFA9}" presName="Name9" presStyleLbl="parChTrans1D2" presStyleIdx="1" presStyleCnt="7"/>
      <dgm:spPr/>
      <dgm:t>
        <a:bodyPr/>
        <a:lstStyle/>
        <a:p>
          <a:endParaRPr lang="en-US"/>
        </a:p>
      </dgm:t>
    </dgm:pt>
    <dgm:pt modelId="{0D67A745-92A7-4C43-8F28-25B89678FC62}" type="pres">
      <dgm:prSet presAssocID="{31D2845E-7763-4EAF-A91C-F687BE68CFA9}" presName="connTx" presStyleLbl="parChTrans1D2" presStyleIdx="1" presStyleCnt="7"/>
      <dgm:spPr/>
      <dgm:t>
        <a:bodyPr/>
        <a:lstStyle/>
        <a:p>
          <a:endParaRPr lang="en-US"/>
        </a:p>
      </dgm:t>
    </dgm:pt>
    <dgm:pt modelId="{77E0AE60-7058-4D43-911F-C57FA8C6CA9F}" type="pres">
      <dgm:prSet presAssocID="{3BD68AEB-F6E8-461F-8590-A67172B04D7C}" presName="node" presStyleLbl="node1" presStyleIdx="1" presStyleCnt="7" custScaleX="193839" custScaleY="151011" custRadScaleRad="177522" custRadScaleInc="58079">
        <dgm:presLayoutVars>
          <dgm:bulletEnabled val="1"/>
        </dgm:presLayoutVars>
      </dgm:prSet>
      <dgm:spPr>
        <a:prstGeom prst="ellipse">
          <a:avLst/>
        </a:prstGeom>
      </dgm:spPr>
      <dgm:t>
        <a:bodyPr/>
        <a:lstStyle/>
        <a:p>
          <a:endParaRPr lang="en-US"/>
        </a:p>
      </dgm:t>
    </dgm:pt>
    <dgm:pt modelId="{EED79A7F-2696-484A-8083-D28DF0387AD5}" type="pres">
      <dgm:prSet presAssocID="{00297025-FE49-44ED-8151-9AC4B35C0885}" presName="Name9" presStyleLbl="parChTrans1D2" presStyleIdx="2" presStyleCnt="7"/>
      <dgm:spPr/>
      <dgm:t>
        <a:bodyPr/>
        <a:lstStyle/>
        <a:p>
          <a:endParaRPr lang="en-US"/>
        </a:p>
      </dgm:t>
    </dgm:pt>
    <dgm:pt modelId="{BEAB3A6A-1AD1-41B3-BDFE-B268898D2300}" type="pres">
      <dgm:prSet presAssocID="{00297025-FE49-44ED-8151-9AC4B35C0885}" presName="connTx" presStyleLbl="parChTrans1D2" presStyleIdx="2" presStyleCnt="7"/>
      <dgm:spPr/>
      <dgm:t>
        <a:bodyPr/>
        <a:lstStyle/>
        <a:p>
          <a:endParaRPr lang="en-US"/>
        </a:p>
      </dgm:t>
    </dgm:pt>
    <dgm:pt modelId="{05994623-F04A-4AAC-82E3-2D63726DAA8A}" type="pres">
      <dgm:prSet presAssocID="{CDE3C2D2-2338-40D3-9864-33A39CCB5CF4}" presName="node" presStyleLbl="node1" presStyleIdx="2" presStyleCnt="7" custScaleX="191752" custScaleY="180341" custRadScaleRad="249272" custRadScaleInc="-35300">
        <dgm:presLayoutVars>
          <dgm:bulletEnabled val="1"/>
        </dgm:presLayoutVars>
      </dgm:prSet>
      <dgm:spPr>
        <a:prstGeom prst="ellipse">
          <a:avLst/>
        </a:prstGeom>
      </dgm:spPr>
      <dgm:t>
        <a:bodyPr/>
        <a:lstStyle/>
        <a:p>
          <a:endParaRPr lang="en-US"/>
        </a:p>
      </dgm:t>
    </dgm:pt>
    <dgm:pt modelId="{B654B038-4242-46EF-A10B-FF9B1A085532}" type="pres">
      <dgm:prSet presAssocID="{0740ED97-4265-4052-8B1C-8A14B3879E4E}" presName="Name9" presStyleLbl="parChTrans1D2" presStyleIdx="3" presStyleCnt="7"/>
      <dgm:spPr>
        <a:custGeom>
          <a:avLst/>
          <a:gdLst/>
          <a:ahLst/>
          <a:cxnLst/>
          <a:rect l="0" t="0" r="0" b="0"/>
          <a:pathLst>
            <a:path>
              <a:moveTo>
                <a:pt x="0" y="14194"/>
              </a:moveTo>
              <a:lnTo>
                <a:pt x="476437" y="14194"/>
              </a:lnTo>
            </a:path>
          </a:pathLst>
        </a:custGeom>
      </dgm:spPr>
      <dgm:t>
        <a:bodyPr/>
        <a:lstStyle/>
        <a:p>
          <a:endParaRPr lang="en-US"/>
        </a:p>
      </dgm:t>
    </dgm:pt>
    <dgm:pt modelId="{BA4F9CC8-82E2-4BE5-8120-3D5D089F9CF4}" type="pres">
      <dgm:prSet presAssocID="{0740ED97-4265-4052-8B1C-8A14B3879E4E}" presName="connTx" presStyleLbl="parChTrans1D2" presStyleIdx="3" presStyleCnt="7"/>
      <dgm:spPr/>
      <dgm:t>
        <a:bodyPr/>
        <a:lstStyle/>
        <a:p>
          <a:endParaRPr lang="en-US"/>
        </a:p>
      </dgm:t>
    </dgm:pt>
    <dgm:pt modelId="{3DB28723-07CF-4EFC-8E24-18E41E76D4AF}" type="pres">
      <dgm:prSet presAssocID="{115F3686-56C2-4580-9E8B-FA213D3DA5F6}" presName="node" presStyleLbl="node1" presStyleIdx="3" presStyleCnt="7" custScaleX="214312" custScaleY="159310" custRadScaleRad="126452" custRadScaleInc="-114344">
        <dgm:presLayoutVars>
          <dgm:bulletEnabled val="1"/>
        </dgm:presLayoutVars>
      </dgm:prSet>
      <dgm:spPr>
        <a:prstGeom prst="ellipse">
          <a:avLst/>
        </a:prstGeom>
      </dgm:spPr>
      <dgm:t>
        <a:bodyPr/>
        <a:lstStyle/>
        <a:p>
          <a:endParaRPr lang="en-US"/>
        </a:p>
      </dgm:t>
    </dgm:pt>
    <dgm:pt modelId="{AD2F0D4B-AECA-4B10-81AC-261AA8BE8E98}" type="pres">
      <dgm:prSet presAssocID="{7DB15392-F5F7-49E2-8294-51A0B1B620AB}" presName="Name9" presStyleLbl="parChTrans1D2" presStyleIdx="4" presStyleCnt="7"/>
      <dgm:spPr/>
      <dgm:t>
        <a:bodyPr/>
        <a:lstStyle/>
        <a:p>
          <a:endParaRPr lang="en-US"/>
        </a:p>
      </dgm:t>
    </dgm:pt>
    <dgm:pt modelId="{E48FCD09-4C54-4A10-9BB3-1920483E872B}" type="pres">
      <dgm:prSet presAssocID="{7DB15392-F5F7-49E2-8294-51A0B1B620AB}" presName="connTx" presStyleLbl="parChTrans1D2" presStyleIdx="4" presStyleCnt="7"/>
      <dgm:spPr/>
      <dgm:t>
        <a:bodyPr/>
        <a:lstStyle/>
        <a:p>
          <a:endParaRPr lang="en-US"/>
        </a:p>
      </dgm:t>
    </dgm:pt>
    <dgm:pt modelId="{2BEED572-A282-4C32-95EB-3B1996D142B1}" type="pres">
      <dgm:prSet presAssocID="{4E654411-73AD-4DF6-AD3B-E400E531439B}" presName="node" presStyleLbl="node1" presStyleIdx="4" presStyleCnt="7" custScaleX="191612" custScaleY="135223" custRadScaleRad="137614" custRadScaleInc="135517">
        <dgm:presLayoutVars>
          <dgm:bulletEnabled val="1"/>
        </dgm:presLayoutVars>
      </dgm:prSet>
      <dgm:spPr>
        <a:prstGeom prst="ellipse">
          <a:avLst/>
        </a:prstGeom>
      </dgm:spPr>
      <dgm:t>
        <a:bodyPr/>
        <a:lstStyle/>
        <a:p>
          <a:endParaRPr lang="en-US"/>
        </a:p>
      </dgm:t>
    </dgm:pt>
    <dgm:pt modelId="{C58C2EC9-2FE7-4521-9408-887873CF9CD6}" type="pres">
      <dgm:prSet presAssocID="{D9BD11F2-6636-4646-B3CF-323669445FAB}" presName="Name9" presStyleLbl="parChTrans1D2" presStyleIdx="5" presStyleCnt="7"/>
      <dgm:spPr/>
      <dgm:t>
        <a:bodyPr/>
        <a:lstStyle/>
        <a:p>
          <a:endParaRPr lang="en-US"/>
        </a:p>
      </dgm:t>
    </dgm:pt>
    <dgm:pt modelId="{5F2F4C57-6D86-42F3-B46C-09D84EF99051}" type="pres">
      <dgm:prSet presAssocID="{D9BD11F2-6636-4646-B3CF-323669445FAB}" presName="connTx" presStyleLbl="parChTrans1D2" presStyleIdx="5" presStyleCnt="7"/>
      <dgm:spPr/>
      <dgm:t>
        <a:bodyPr/>
        <a:lstStyle/>
        <a:p>
          <a:endParaRPr lang="en-US"/>
        </a:p>
      </dgm:t>
    </dgm:pt>
    <dgm:pt modelId="{53F278CD-DAFE-4670-A5E7-7708D74F671E}" type="pres">
      <dgm:prSet presAssocID="{C45608E5-C683-4F82-AC41-6429A24EED40}" presName="node" presStyleLbl="node1" presStyleIdx="5" presStyleCnt="7" custScaleX="184592" custScaleY="179285" custRadScaleRad="289541" custRadScaleInc="52921">
        <dgm:presLayoutVars>
          <dgm:bulletEnabled val="1"/>
        </dgm:presLayoutVars>
      </dgm:prSet>
      <dgm:spPr>
        <a:prstGeom prst="ellipse">
          <a:avLst/>
        </a:prstGeom>
      </dgm:spPr>
      <dgm:t>
        <a:bodyPr/>
        <a:lstStyle/>
        <a:p>
          <a:endParaRPr lang="en-US"/>
        </a:p>
      </dgm:t>
    </dgm:pt>
    <dgm:pt modelId="{9D7A60DE-15BF-4701-8167-A6BE55521FB0}" type="pres">
      <dgm:prSet presAssocID="{7A68E894-33D2-492F-8570-E4DDFD311B12}" presName="Name9" presStyleLbl="parChTrans1D2" presStyleIdx="6" presStyleCnt="7"/>
      <dgm:spPr/>
      <dgm:t>
        <a:bodyPr/>
        <a:lstStyle/>
        <a:p>
          <a:endParaRPr lang="en-US"/>
        </a:p>
      </dgm:t>
    </dgm:pt>
    <dgm:pt modelId="{DA6728FC-5C85-4235-8ABB-D0CDA49DEB12}" type="pres">
      <dgm:prSet presAssocID="{7A68E894-33D2-492F-8570-E4DDFD311B12}" presName="connTx" presStyleLbl="parChTrans1D2" presStyleIdx="6" presStyleCnt="7"/>
      <dgm:spPr/>
      <dgm:t>
        <a:bodyPr/>
        <a:lstStyle/>
        <a:p>
          <a:endParaRPr lang="en-US"/>
        </a:p>
      </dgm:t>
    </dgm:pt>
    <dgm:pt modelId="{0FDECDAE-6064-4D03-98A4-386BBAAFB761}" type="pres">
      <dgm:prSet presAssocID="{B343370C-8FB3-481F-B4DA-6C9C41B047BC}" presName="node" presStyleLbl="node1" presStyleIdx="6" presStyleCnt="7" custScaleX="213483" custScaleY="147922" custRadScaleRad="146298" custRadScaleInc="-47072">
        <dgm:presLayoutVars>
          <dgm:bulletEnabled val="1"/>
        </dgm:presLayoutVars>
      </dgm:prSet>
      <dgm:spPr>
        <a:prstGeom prst="ellipse">
          <a:avLst/>
        </a:prstGeom>
      </dgm:spPr>
      <dgm:t>
        <a:bodyPr/>
        <a:lstStyle/>
        <a:p>
          <a:endParaRPr lang="en-US"/>
        </a:p>
      </dgm:t>
    </dgm:pt>
  </dgm:ptLst>
  <dgm:cxnLst>
    <dgm:cxn modelId="{C80DF295-9AAD-4C0B-B8AF-3EDA956AFFF7}" srcId="{DE541715-C648-404D-8124-F14F463E9202}" destId="{45870664-60BD-4390-952C-AB2EEF07F4DD}" srcOrd="0" destOrd="0" parTransId="{CB6E0A53-B07E-4B2B-89E7-D1FB86B27272}" sibTransId="{E74149DA-41AA-4BE0-B8E7-7965A33DC1B0}"/>
    <dgm:cxn modelId="{BEFA0E50-1423-4BFC-9012-B18C1581734E}" type="presOf" srcId="{00297025-FE49-44ED-8151-9AC4B35C0885}" destId="{EED79A7F-2696-484A-8083-D28DF0387AD5}" srcOrd="0" destOrd="0" presId="urn:microsoft.com/office/officeart/2005/8/layout/radial1"/>
    <dgm:cxn modelId="{FF862692-6FE1-4C1B-8C29-4A220C00E54C}" srcId="{DE541715-C648-404D-8124-F14F463E9202}" destId="{115F3686-56C2-4580-9E8B-FA213D3DA5F6}" srcOrd="3" destOrd="0" parTransId="{0740ED97-4265-4052-8B1C-8A14B3879E4E}" sibTransId="{E9E35A43-605C-4C5A-B200-2A3B564FFAF5}"/>
    <dgm:cxn modelId="{DA740704-6E02-4402-8325-D0302449434E}" srcId="{34E6C8D5-8D4F-4714-8A12-8F4599A8E760}" destId="{4F895710-9C0A-4357-A62A-B00C2B1BB2A2}" srcOrd="1" destOrd="0" parTransId="{4492527F-B2BC-4423-9ACC-2816666249A0}" sibTransId="{A0A859C5-79E5-4C97-AF72-54A6D166EEA1}"/>
    <dgm:cxn modelId="{19823DE6-E393-4727-8258-82B222BFBCC3}" type="presOf" srcId="{7A68E894-33D2-492F-8570-E4DDFD311B12}" destId="{9D7A60DE-15BF-4701-8167-A6BE55521FB0}" srcOrd="0" destOrd="0" presId="urn:microsoft.com/office/officeart/2005/8/layout/radial1"/>
    <dgm:cxn modelId="{E05084CF-26C8-4E17-9FED-830585E7C87E}" type="presOf" srcId="{34E6C8D5-8D4F-4714-8A12-8F4599A8E760}" destId="{08F189A1-AB47-41D1-8058-7A6DA66B3F52}" srcOrd="0" destOrd="0" presId="urn:microsoft.com/office/officeart/2005/8/layout/radial1"/>
    <dgm:cxn modelId="{F6764D0B-7EDB-4B33-91E4-6D904ECB56F1}" type="presOf" srcId="{31D2845E-7763-4EAF-A91C-F687BE68CFA9}" destId="{27678B34-738D-4B59-81F4-6EB54DA6F256}" srcOrd="0" destOrd="0" presId="urn:microsoft.com/office/officeart/2005/8/layout/radial1"/>
    <dgm:cxn modelId="{E0594360-5C4F-4C47-B047-3E60D22AD80D}" srcId="{DE541715-C648-404D-8124-F14F463E9202}" destId="{C45608E5-C683-4F82-AC41-6429A24EED40}" srcOrd="5" destOrd="0" parTransId="{D9BD11F2-6636-4646-B3CF-323669445FAB}" sibTransId="{2C17D791-E651-44AA-801E-D486EB358D8A}"/>
    <dgm:cxn modelId="{8219E8C0-11D9-4ECE-9E9E-751EEF5551F9}" srcId="{DE541715-C648-404D-8124-F14F463E9202}" destId="{3BD68AEB-F6E8-461F-8590-A67172B04D7C}" srcOrd="1" destOrd="0" parTransId="{31D2845E-7763-4EAF-A91C-F687BE68CFA9}" sibTransId="{93E661BA-0293-4FF1-B933-6256D0B2E24D}"/>
    <dgm:cxn modelId="{8F2937FD-9AB3-4B52-AE93-28B65E819025}" type="presOf" srcId="{00297025-FE49-44ED-8151-9AC4B35C0885}" destId="{BEAB3A6A-1AD1-41B3-BDFE-B268898D2300}" srcOrd="1" destOrd="0" presId="urn:microsoft.com/office/officeart/2005/8/layout/radial1"/>
    <dgm:cxn modelId="{B8193F85-A59A-41A9-8EAA-3B0CDE09E135}" type="presOf" srcId="{D9BD11F2-6636-4646-B3CF-323669445FAB}" destId="{C58C2EC9-2FE7-4521-9408-887873CF9CD6}" srcOrd="0" destOrd="0" presId="urn:microsoft.com/office/officeart/2005/8/layout/radial1"/>
    <dgm:cxn modelId="{795C9672-E9A9-480C-91A4-83F2494B36CD}" type="presOf" srcId="{31D2845E-7763-4EAF-A91C-F687BE68CFA9}" destId="{0D67A745-92A7-4C43-8F28-25B89678FC62}" srcOrd="1" destOrd="0" presId="urn:microsoft.com/office/officeart/2005/8/layout/radial1"/>
    <dgm:cxn modelId="{4A7D5A3C-EC09-4D4D-BF54-EF54321DEB57}" type="presOf" srcId="{CB6E0A53-B07E-4B2B-89E7-D1FB86B27272}" destId="{27C08CD6-CB73-4E0E-BA37-473C15E9C926}" srcOrd="0" destOrd="0" presId="urn:microsoft.com/office/officeart/2005/8/layout/radial1"/>
    <dgm:cxn modelId="{7883C3B1-8BD3-4A70-AEF2-F04F780C250C}" type="presOf" srcId="{0740ED97-4265-4052-8B1C-8A14B3879E4E}" destId="{BA4F9CC8-82E2-4BE5-8120-3D5D089F9CF4}" srcOrd="1" destOrd="0" presId="urn:microsoft.com/office/officeart/2005/8/layout/radial1"/>
    <dgm:cxn modelId="{C64578BF-2D22-487A-AA18-03816834F56C}" type="presOf" srcId="{CB6E0A53-B07E-4B2B-89E7-D1FB86B27272}" destId="{04068EB3-8728-47DB-8B53-1F3F6EA0E656}" srcOrd="1" destOrd="0" presId="urn:microsoft.com/office/officeart/2005/8/layout/radial1"/>
    <dgm:cxn modelId="{1A40C026-5FC7-4751-8BB9-F8386E2F1E82}" type="presOf" srcId="{CDE3C2D2-2338-40D3-9864-33A39CCB5CF4}" destId="{05994623-F04A-4AAC-82E3-2D63726DAA8A}" srcOrd="0" destOrd="0" presId="urn:microsoft.com/office/officeart/2005/8/layout/radial1"/>
    <dgm:cxn modelId="{B75C0F98-CC86-462B-9916-D20216AADCCA}" type="presOf" srcId="{0740ED97-4265-4052-8B1C-8A14B3879E4E}" destId="{B654B038-4242-46EF-A10B-FF9B1A085532}" srcOrd="0" destOrd="0" presId="urn:microsoft.com/office/officeart/2005/8/layout/radial1"/>
    <dgm:cxn modelId="{8CEF8AEE-7382-4E7E-88E9-0A08C3FD712C}" type="presOf" srcId="{7DB15392-F5F7-49E2-8294-51A0B1B620AB}" destId="{AD2F0D4B-AECA-4B10-81AC-261AA8BE8E98}" srcOrd="0" destOrd="0" presId="urn:microsoft.com/office/officeart/2005/8/layout/radial1"/>
    <dgm:cxn modelId="{28A8D6C4-BC47-4D52-B9BF-AFFFC22E91B3}" type="presOf" srcId="{3BD68AEB-F6E8-461F-8590-A67172B04D7C}" destId="{77E0AE60-7058-4D43-911F-C57FA8C6CA9F}" srcOrd="0" destOrd="0" presId="urn:microsoft.com/office/officeart/2005/8/layout/radial1"/>
    <dgm:cxn modelId="{53A42DA1-7F51-4CDC-85DE-2005AAF645F9}" type="presOf" srcId="{DE541715-C648-404D-8124-F14F463E9202}" destId="{062AF917-2F47-4639-8A23-58AD52EC0F32}" srcOrd="0" destOrd="0" presId="urn:microsoft.com/office/officeart/2005/8/layout/radial1"/>
    <dgm:cxn modelId="{65F515E3-CDA3-4E54-87F7-917453F93E65}" type="presOf" srcId="{D9BD11F2-6636-4646-B3CF-323669445FAB}" destId="{5F2F4C57-6D86-42F3-B46C-09D84EF99051}" srcOrd="1" destOrd="0" presId="urn:microsoft.com/office/officeart/2005/8/layout/radial1"/>
    <dgm:cxn modelId="{A12C036A-14E7-451C-80B8-9B5BE762C5B4}" srcId="{DE541715-C648-404D-8124-F14F463E9202}" destId="{4E654411-73AD-4DF6-AD3B-E400E531439B}" srcOrd="4" destOrd="0" parTransId="{7DB15392-F5F7-49E2-8294-51A0B1B620AB}" sibTransId="{2B759E48-7284-455B-851A-DFF88118946F}"/>
    <dgm:cxn modelId="{CDEFB2A3-4EA9-489B-9721-56871D483AB2}" srcId="{DE541715-C648-404D-8124-F14F463E9202}" destId="{B343370C-8FB3-481F-B4DA-6C9C41B047BC}" srcOrd="6" destOrd="0" parTransId="{7A68E894-33D2-492F-8570-E4DDFD311B12}" sibTransId="{7DC850A5-77C3-4602-A065-D0A45018AC8D}"/>
    <dgm:cxn modelId="{22CFBE58-87EC-4B70-B1CC-D1D1DB4968C7}" srcId="{34E6C8D5-8D4F-4714-8A12-8F4599A8E760}" destId="{DE541715-C648-404D-8124-F14F463E9202}" srcOrd="0" destOrd="0" parTransId="{D7DB3476-9C56-4274-B046-F742EA8694F1}" sibTransId="{7CA7849B-681D-4C0D-A708-F47E97871BB2}"/>
    <dgm:cxn modelId="{D446AA7A-7066-413D-929B-B1E6C9DD8CC6}" type="presOf" srcId="{45870664-60BD-4390-952C-AB2EEF07F4DD}" destId="{8441BECF-C9FE-4C31-BFA4-B45EB6B3D1F0}" srcOrd="0" destOrd="0" presId="urn:microsoft.com/office/officeart/2005/8/layout/radial1"/>
    <dgm:cxn modelId="{7BB4A793-FFC8-4BBC-8D4F-AB645931B431}" type="presOf" srcId="{C45608E5-C683-4F82-AC41-6429A24EED40}" destId="{53F278CD-DAFE-4670-A5E7-7708D74F671E}" srcOrd="0" destOrd="0" presId="urn:microsoft.com/office/officeart/2005/8/layout/radial1"/>
    <dgm:cxn modelId="{151E6291-C392-4486-94EE-C012554B44BA}" type="presOf" srcId="{4E654411-73AD-4DF6-AD3B-E400E531439B}" destId="{2BEED572-A282-4C32-95EB-3B1996D142B1}" srcOrd="0" destOrd="0" presId="urn:microsoft.com/office/officeart/2005/8/layout/radial1"/>
    <dgm:cxn modelId="{8EFE53B5-682C-48BC-96DF-FD09C150792C}" type="presOf" srcId="{7A68E894-33D2-492F-8570-E4DDFD311B12}" destId="{DA6728FC-5C85-4235-8ABB-D0CDA49DEB12}" srcOrd="1" destOrd="0" presId="urn:microsoft.com/office/officeart/2005/8/layout/radial1"/>
    <dgm:cxn modelId="{60C424C7-CC54-4027-B080-4425E7B5050C}" srcId="{DE541715-C648-404D-8124-F14F463E9202}" destId="{CDE3C2D2-2338-40D3-9864-33A39CCB5CF4}" srcOrd="2" destOrd="0" parTransId="{00297025-FE49-44ED-8151-9AC4B35C0885}" sibTransId="{59703DE8-812C-459A-A996-B99B877A6FDC}"/>
    <dgm:cxn modelId="{626FA47A-02E6-450C-801C-BF9836493921}" type="presOf" srcId="{7DB15392-F5F7-49E2-8294-51A0B1B620AB}" destId="{E48FCD09-4C54-4A10-9BB3-1920483E872B}" srcOrd="1" destOrd="0" presId="urn:microsoft.com/office/officeart/2005/8/layout/radial1"/>
    <dgm:cxn modelId="{D0081782-3AA4-4ADB-8B2B-34D632472E7D}" type="presOf" srcId="{115F3686-56C2-4580-9E8B-FA213D3DA5F6}" destId="{3DB28723-07CF-4EFC-8E24-18E41E76D4AF}" srcOrd="0" destOrd="0" presId="urn:microsoft.com/office/officeart/2005/8/layout/radial1"/>
    <dgm:cxn modelId="{8D5C4280-09B0-40AF-B789-E47FF133B76E}" type="presOf" srcId="{B343370C-8FB3-481F-B4DA-6C9C41B047BC}" destId="{0FDECDAE-6064-4D03-98A4-386BBAAFB761}" srcOrd="0" destOrd="0" presId="urn:microsoft.com/office/officeart/2005/8/layout/radial1"/>
    <dgm:cxn modelId="{20E708AE-3C77-4FE4-84D8-AA91BD8B9DEA}" type="presParOf" srcId="{08F189A1-AB47-41D1-8058-7A6DA66B3F52}" destId="{062AF917-2F47-4639-8A23-58AD52EC0F32}" srcOrd="0" destOrd="0" presId="urn:microsoft.com/office/officeart/2005/8/layout/radial1"/>
    <dgm:cxn modelId="{BEDE4C9F-D1B9-46D8-8E13-727AFD4E6750}" type="presParOf" srcId="{08F189A1-AB47-41D1-8058-7A6DA66B3F52}" destId="{27C08CD6-CB73-4E0E-BA37-473C15E9C926}" srcOrd="1" destOrd="0" presId="urn:microsoft.com/office/officeart/2005/8/layout/radial1"/>
    <dgm:cxn modelId="{15FA9A63-6616-4580-83EE-0874C07A25E9}" type="presParOf" srcId="{27C08CD6-CB73-4E0E-BA37-473C15E9C926}" destId="{04068EB3-8728-47DB-8B53-1F3F6EA0E656}" srcOrd="0" destOrd="0" presId="urn:microsoft.com/office/officeart/2005/8/layout/radial1"/>
    <dgm:cxn modelId="{19548F7B-A737-4BF8-9EE2-4F8392F8176F}" type="presParOf" srcId="{08F189A1-AB47-41D1-8058-7A6DA66B3F52}" destId="{8441BECF-C9FE-4C31-BFA4-B45EB6B3D1F0}" srcOrd="2" destOrd="0" presId="urn:microsoft.com/office/officeart/2005/8/layout/radial1"/>
    <dgm:cxn modelId="{E65B8180-4F01-413B-A14D-C5F57B56F452}" type="presParOf" srcId="{08F189A1-AB47-41D1-8058-7A6DA66B3F52}" destId="{27678B34-738D-4B59-81F4-6EB54DA6F256}" srcOrd="3" destOrd="0" presId="urn:microsoft.com/office/officeart/2005/8/layout/radial1"/>
    <dgm:cxn modelId="{6BAB5037-59A8-4276-89B7-7B41EE6DD850}" type="presParOf" srcId="{27678B34-738D-4B59-81F4-6EB54DA6F256}" destId="{0D67A745-92A7-4C43-8F28-25B89678FC62}" srcOrd="0" destOrd="0" presId="urn:microsoft.com/office/officeart/2005/8/layout/radial1"/>
    <dgm:cxn modelId="{A0BC7939-34EE-4841-A9E1-40800D4271D2}" type="presParOf" srcId="{08F189A1-AB47-41D1-8058-7A6DA66B3F52}" destId="{77E0AE60-7058-4D43-911F-C57FA8C6CA9F}" srcOrd="4" destOrd="0" presId="urn:microsoft.com/office/officeart/2005/8/layout/radial1"/>
    <dgm:cxn modelId="{3FF0DDF6-1D2E-4526-92E3-8371723E33AE}" type="presParOf" srcId="{08F189A1-AB47-41D1-8058-7A6DA66B3F52}" destId="{EED79A7F-2696-484A-8083-D28DF0387AD5}" srcOrd="5" destOrd="0" presId="urn:microsoft.com/office/officeart/2005/8/layout/radial1"/>
    <dgm:cxn modelId="{5C94BD5E-283B-47C3-9BBE-8D4234FD61E1}" type="presParOf" srcId="{EED79A7F-2696-484A-8083-D28DF0387AD5}" destId="{BEAB3A6A-1AD1-41B3-BDFE-B268898D2300}" srcOrd="0" destOrd="0" presId="urn:microsoft.com/office/officeart/2005/8/layout/radial1"/>
    <dgm:cxn modelId="{1D22894C-6B93-4FA6-A9F9-6DC6F58A6DF9}" type="presParOf" srcId="{08F189A1-AB47-41D1-8058-7A6DA66B3F52}" destId="{05994623-F04A-4AAC-82E3-2D63726DAA8A}" srcOrd="6" destOrd="0" presId="urn:microsoft.com/office/officeart/2005/8/layout/radial1"/>
    <dgm:cxn modelId="{98928DE9-4978-4CEB-8980-6FA44AAF899E}" type="presParOf" srcId="{08F189A1-AB47-41D1-8058-7A6DA66B3F52}" destId="{B654B038-4242-46EF-A10B-FF9B1A085532}" srcOrd="7" destOrd="0" presId="urn:microsoft.com/office/officeart/2005/8/layout/radial1"/>
    <dgm:cxn modelId="{68AE4A4C-0BB5-492C-822F-19399620D212}" type="presParOf" srcId="{B654B038-4242-46EF-A10B-FF9B1A085532}" destId="{BA4F9CC8-82E2-4BE5-8120-3D5D089F9CF4}" srcOrd="0" destOrd="0" presId="urn:microsoft.com/office/officeart/2005/8/layout/radial1"/>
    <dgm:cxn modelId="{5EDCBDC7-85F6-4524-A45C-1F19E6B3EB70}" type="presParOf" srcId="{08F189A1-AB47-41D1-8058-7A6DA66B3F52}" destId="{3DB28723-07CF-4EFC-8E24-18E41E76D4AF}" srcOrd="8" destOrd="0" presId="urn:microsoft.com/office/officeart/2005/8/layout/radial1"/>
    <dgm:cxn modelId="{200AE2B8-E5A1-4F07-B7EA-98C6D16FA397}" type="presParOf" srcId="{08F189A1-AB47-41D1-8058-7A6DA66B3F52}" destId="{AD2F0D4B-AECA-4B10-81AC-261AA8BE8E98}" srcOrd="9" destOrd="0" presId="urn:microsoft.com/office/officeart/2005/8/layout/radial1"/>
    <dgm:cxn modelId="{F7F7E097-2DE7-4D6B-8CEF-47FF1C793246}" type="presParOf" srcId="{AD2F0D4B-AECA-4B10-81AC-261AA8BE8E98}" destId="{E48FCD09-4C54-4A10-9BB3-1920483E872B}" srcOrd="0" destOrd="0" presId="urn:microsoft.com/office/officeart/2005/8/layout/radial1"/>
    <dgm:cxn modelId="{AA9ABA4A-3E41-4DDF-B202-097679C834BC}" type="presParOf" srcId="{08F189A1-AB47-41D1-8058-7A6DA66B3F52}" destId="{2BEED572-A282-4C32-95EB-3B1996D142B1}" srcOrd="10" destOrd="0" presId="urn:microsoft.com/office/officeart/2005/8/layout/radial1"/>
    <dgm:cxn modelId="{6721FDC0-DA23-4C14-8A0E-004463CE93D5}" type="presParOf" srcId="{08F189A1-AB47-41D1-8058-7A6DA66B3F52}" destId="{C58C2EC9-2FE7-4521-9408-887873CF9CD6}" srcOrd="11" destOrd="0" presId="urn:microsoft.com/office/officeart/2005/8/layout/radial1"/>
    <dgm:cxn modelId="{813D0455-4F62-4382-AB16-AE76B1D6E12A}" type="presParOf" srcId="{C58C2EC9-2FE7-4521-9408-887873CF9CD6}" destId="{5F2F4C57-6D86-42F3-B46C-09D84EF99051}" srcOrd="0" destOrd="0" presId="urn:microsoft.com/office/officeart/2005/8/layout/radial1"/>
    <dgm:cxn modelId="{D537044D-0C02-40A8-BE07-3D4A1D3BEFD5}" type="presParOf" srcId="{08F189A1-AB47-41D1-8058-7A6DA66B3F52}" destId="{53F278CD-DAFE-4670-A5E7-7708D74F671E}" srcOrd="12" destOrd="0" presId="urn:microsoft.com/office/officeart/2005/8/layout/radial1"/>
    <dgm:cxn modelId="{8D465A8A-9185-45DB-8857-778B45795217}" type="presParOf" srcId="{08F189A1-AB47-41D1-8058-7A6DA66B3F52}" destId="{9D7A60DE-15BF-4701-8167-A6BE55521FB0}" srcOrd="13" destOrd="0" presId="urn:microsoft.com/office/officeart/2005/8/layout/radial1"/>
    <dgm:cxn modelId="{96EBB8E2-2522-426D-BDFF-4277D1F63237}" type="presParOf" srcId="{9D7A60DE-15BF-4701-8167-A6BE55521FB0}" destId="{DA6728FC-5C85-4235-8ABB-D0CDA49DEB12}" srcOrd="0" destOrd="0" presId="urn:microsoft.com/office/officeart/2005/8/layout/radial1"/>
    <dgm:cxn modelId="{65E969DF-3710-4672-A46C-7804F332F08A}" type="presParOf" srcId="{08F189A1-AB47-41D1-8058-7A6DA66B3F52}" destId="{0FDECDAE-6064-4D03-98A4-386BBAAFB761}" srcOrd="14" destOrd="0" presId="urn:microsoft.com/office/officeart/2005/8/layout/radial1"/>
  </dgm:cxnLst>
  <dgm:bg/>
  <dgm:whole/>
  <dgm:extLst>
    <a:ext uri="http://schemas.microsoft.com/office/drawing/2008/diagram">
      <dsp:dataModelExt xmlns:dsp="http://schemas.microsoft.com/office/drawing/2008/diagram" relId="rId53" minVer="http://schemas.openxmlformats.org/drawingml/2006/diagram"/>
    </a:ext>
    <a:ext uri="{C62137D5-CB1D-491B-B009-E17868A290BF}">
      <dgm14:recolorImg xmlns:dgm14="http://schemas.microsoft.com/office/drawing/2010/diagram" val="1"/>
    </a:ext>
  </dgm:extLst>
</dgm:dataModel>
</file>

<file path=word/diagrams/data5.xml><?xml version="1.0" encoding="utf-8"?>
<dgm:dataModel xmlns:dgm="http://schemas.openxmlformats.org/drawingml/2006/diagram" xmlns:a="http://schemas.openxmlformats.org/drawingml/2006/main">
  <dgm:ptLst>
    <dgm:pt modelId="{34E6C8D5-8D4F-4714-8A12-8F4599A8E760}"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4F895710-9C0A-4357-A62A-B00C2B1BB2A2}">
      <dgm:prSet phldrT="[Text]"/>
      <dgm:spPr/>
      <dgm:t>
        <a:bodyPr/>
        <a:lstStyle/>
        <a:p>
          <a:endParaRPr lang="en-US"/>
        </a:p>
      </dgm:t>
    </dgm:pt>
    <dgm:pt modelId="{DE541715-C648-404D-8124-F14F463E9202}">
      <dgm:prSet phldrT="[Text]" custT="1"/>
      <dgm:spPr>
        <a:xfrm>
          <a:off x="2636790" y="937096"/>
          <a:ext cx="1044697" cy="712787"/>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gm:spPr>
      <dgm:t>
        <a:bodyPr/>
        <a:lstStyle/>
        <a:p>
          <a:pPr algn="ctr"/>
          <a:r>
            <a:rPr lang="en-US" sz="105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5</a:t>
          </a:r>
        </a:p>
      </dgm:t>
    </dgm:pt>
    <dgm:pt modelId="{7CA7849B-681D-4C0D-A708-F47E97871BB2}" type="sibTrans" cxnId="{22CFBE58-87EC-4B70-B1CC-D1D1DB4968C7}">
      <dgm:prSet/>
      <dgm:spPr/>
      <dgm:t>
        <a:bodyPr/>
        <a:lstStyle/>
        <a:p>
          <a:endParaRPr lang="en-US"/>
        </a:p>
      </dgm:t>
    </dgm:pt>
    <dgm:pt modelId="{D7DB3476-9C56-4274-B046-F742EA8694F1}" type="parTrans" cxnId="{22CFBE58-87EC-4B70-B1CC-D1D1DB4968C7}">
      <dgm:prSet/>
      <dgm:spPr/>
      <dgm:t>
        <a:bodyPr/>
        <a:lstStyle/>
        <a:p>
          <a:endParaRPr lang="en-US"/>
        </a:p>
      </dgm:t>
    </dgm:pt>
    <dgm:pt modelId="{A0A859C5-79E5-4C97-AF72-54A6D166EEA1}" type="sibTrans" cxnId="{DA740704-6E02-4402-8325-D0302449434E}">
      <dgm:prSet/>
      <dgm:spPr/>
      <dgm:t>
        <a:bodyPr/>
        <a:lstStyle/>
        <a:p>
          <a:endParaRPr lang="en-US"/>
        </a:p>
      </dgm:t>
    </dgm:pt>
    <dgm:pt modelId="{4492527F-B2BC-4423-9ACC-2816666249A0}" type="parTrans" cxnId="{DA740704-6E02-4402-8325-D0302449434E}">
      <dgm:prSet/>
      <dgm:spPr/>
      <dgm:t>
        <a:bodyPr/>
        <a:lstStyle/>
        <a:p>
          <a:endParaRPr lang="en-US"/>
        </a:p>
      </dgm:t>
    </dgm:pt>
    <dgm:pt modelId="{45870664-60BD-4390-952C-AB2EEF07F4DD}">
      <dgm:prSet phldrT="[Text]" custT="1"/>
      <dgm:spPr>
        <a:xfrm>
          <a:off x="2676525" y="9493"/>
          <a:ext cx="965228" cy="712787"/>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9</a:t>
          </a: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Bureaux régionaux</a:t>
          </a:r>
        </a:p>
      </dgm:t>
    </dgm:pt>
    <dgm:pt modelId="{CB6E0A53-B07E-4B2B-89E7-D1FB86B27272}" type="parTrans" cxnId="{C80DF295-9AAD-4C0B-B8AF-3EDA956AFFF7}">
      <dgm:prSet/>
      <dgm:spPr>
        <a:xfrm rot="16200000">
          <a:off x="3051731" y="819453"/>
          <a:ext cx="214815" cy="20471"/>
        </a:xfrm>
      </dgm:spPr>
      <dgm:t>
        <a:bodyPr/>
        <a:lstStyle/>
        <a:p>
          <a:endParaRPr lang="en-US"/>
        </a:p>
      </dgm:t>
    </dgm:pt>
    <dgm:pt modelId="{E74149DA-41AA-4BE0-B8E7-7965A33DC1B0}" type="sibTrans" cxnId="{C80DF295-9AAD-4C0B-B8AF-3EDA956AFFF7}">
      <dgm:prSet/>
      <dgm:spPr/>
      <dgm:t>
        <a:bodyPr/>
        <a:lstStyle/>
        <a:p>
          <a:endParaRPr lang="en-US"/>
        </a:p>
      </dgm:t>
    </dgm:pt>
    <dgm:pt modelId="{3BD68AEB-F6E8-461F-8590-A67172B04D7C}">
      <dgm:prSet phldrT="[Text]" custT="1"/>
      <dgm:spPr>
        <a:xfrm>
          <a:off x="3737226" y="312872"/>
          <a:ext cx="1061733" cy="712787"/>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10</a:t>
          </a: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Pays en transition et pays développés</a:t>
          </a:r>
        </a:p>
      </dgm:t>
    </dgm:pt>
    <dgm:pt modelId="{31D2845E-7763-4EAF-A91C-F687BE68CFA9}" type="parTrans" cxnId="{8219E8C0-11D9-4ECE-9E9E-751EEF5551F9}">
      <dgm:prSet/>
      <dgm:spPr>
        <a:xfrm rot="19837505">
          <a:off x="3539989" y="972232"/>
          <a:ext cx="343383" cy="20471"/>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93E661BA-0293-4FF1-B933-6256D0B2E24D}" type="sibTrans" cxnId="{8219E8C0-11D9-4ECE-9E9E-751EEF5551F9}">
      <dgm:prSet/>
      <dgm:spPr/>
      <dgm:t>
        <a:bodyPr/>
        <a:lstStyle/>
        <a:p>
          <a:endParaRPr lang="en-US"/>
        </a:p>
      </dgm:t>
    </dgm:pt>
    <dgm:pt modelId="{CDE3C2D2-2338-40D3-9864-33A39CCB5CF4}">
      <dgm:prSet phldrT="[Text]" custT="1"/>
      <dgm:spPr>
        <a:xfrm>
          <a:off x="4864205" y="947008"/>
          <a:ext cx="1096809" cy="712787"/>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12</a:t>
          </a: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Classifications internationales et normes</a:t>
          </a:r>
        </a:p>
      </dgm:t>
    </dgm:pt>
    <dgm:pt modelId="{00297025-FE49-44ED-8151-9AC4B35C0885}" type="parTrans" cxnId="{60C424C7-CC54-4027-B080-4425E7B5050C}">
      <dgm:prSet/>
      <dgm:spPr>
        <a:xfrm rot="15120">
          <a:off x="3681471" y="1288153"/>
          <a:ext cx="1182752" cy="20471"/>
        </a:xfrm>
      </dgm:spPr>
      <dgm:t>
        <a:bodyPr/>
        <a:lstStyle/>
        <a:p>
          <a:endParaRPr lang="en-US"/>
        </a:p>
      </dgm:t>
    </dgm:pt>
    <dgm:pt modelId="{59703DE8-812C-459A-A996-B99B877A6FDC}" type="sibTrans" cxnId="{60C424C7-CC54-4027-B080-4425E7B5050C}">
      <dgm:prSet/>
      <dgm:spPr/>
      <dgm:t>
        <a:bodyPr/>
        <a:lstStyle/>
        <a:p>
          <a:endParaRPr lang="en-US"/>
        </a:p>
      </dgm:t>
    </dgm:pt>
    <dgm:pt modelId="{115F3686-56C2-4580-9E8B-FA213D3DA5F6}">
      <dgm:prSet phldrT="[Text]" custT="1"/>
      <dgm:spPr>
        <a:xfrm>
          <a:off x="380999" y="938359"/>
          <a:ext cx="1039814" cy="712787"/>
        </a:xfrm>
        <a:solidFill>
          <a:srgbClr val="4F81BD">
            <a:lumMod val="40000"/>
            <a:lumOff val="60000"/>
          </a:srgbClr>
        </a:solidFill>
        <a:ln>
          <a:noFill/>
        </a:ln>
        <a:effectLst>
          <a:outerShdw blurRad="40000" dist="23000" dir="5400000" rotWithShape="0">
            <a:srgbClr val="000000">
              <a:alpha val="35000"/>
            </a:srgbClr>
          </a:outerShdw>
        </a:effectLst>
      </dgm:spPr>
      <dgm:t>
        <a:bodyPr/>
        <a:lstStyle/>
        <a:p>
          <a:endParaRPr lang="en-US" sz="900" b="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r>
            <a:rPr lang="en-US" sz="900" b="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13</a:t>
          </a:r>
        </a:p>
        <a:p>
          <a:r>
            <a:rPr lang="en-US" sz="800" b="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Service des bases de données mondiales</a:t>
          </a:r>
        </a:p>
        <a:p>
          <a:endParaRPr lang="en-US" sz="900" b="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0740ED97-4265-4052-8B1C-8A14B3879E4E}" type="parTrans" cxnId="{FF862692-6FE1-4C1B-8C29-4A220C00E54C}">
      <dgm:prSet/>
      <dgm:spPr>
        <a:xfrm rot="10798078">
          <a:off x="1420814" y="1283887"/>
          <a:ext cx="1215976" cy="20471"/>
        </a:xfrm>
      </dgm:spPr>
      <dgm:t>
        <a:bodyPr/>
        <a:lstStyle/>
        <a:p>
          <a:endParaRPr lang="en-US"/>
        </a:p>
      </dgm:t>
    </dgm:pt>
    <dgm:pt modelId="{E9E35A43-605C-4C5A-B200-2A3B564FFAF5}" type="sibTrans" cxnId="{FF862692-6FE1-4C1B-8C29-4A220C00E54C}">
      <dgm:prSet/>
      <dgm:spPr/>
      <dgm:t>
        <a:bodyPr/>
        <a:lstStyle/>
        <a:p>
          <a:endParaRPr lang="en-US"/>
        </a:p>
      </dgm:t>
    </dgm:pt>
    <dgm:pt modelId="{4E654411-73AD-4DF6-AD3B-E400E531439B}">
      <dgm:prSet phldrT="[Text]" custT="1"/>
      <dgm:spPr>
        <a:xfrm>
          <a:off x="1477987" y="343345"/>
          <a:ext cx="1163390" cy="712787"/>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b="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14</a:t>
          </a:r>
        </a:p>
        <a:p>
          <a:r>
            <a:rPr lang="en-US" sz="800" b="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Services d’accès à l’information et aux savoirs</a:t>
          </a:r>
        </a:p>
      </dgm:t>
    </dgm:pt>
    <dgm:pt modelId="{7DB15392-F5F7-49E2-8294-51A0B1B620AB}" type="parTrans" cxnId="{A12C036A-14E7-451C-80B8-9B5BE762C5B4}">
      <dgm:prSet/>
      <dgm:spPr>
        <a:xfrm rot="12502253">
          <a:off x="2478756" y="993615"/>
          <a:ext cx="288109" cy="20471"/>
        </a:xfrm>
      </dgm:spPr>
      <dgm:t>
        <a:bodyPr/>
        <a:lstStyle/>
        <a:p>
          <a:endParaRPr lang="en-US"/>
        </a:p>
      </dgm:t>
    </dgm:pt>
    <dgm:pt modelId="{2B759E48-7284-455B-851A-DFF88118946F}" type="sibTrans" cxnId="{A12C036A-14E7-451C-80B8-9B5BE762C5B4}">
      <dgm:prSet/>
      <dgm:spPr/>
      <dgm:t>
        <a:bodyPr/>
        <a:lstStyle/>
        <a:p>
          <a:endParaRPr lang="en-US"/>
        </a:p>
      </dgm:t>
    </dgm:pt>
    <dgm:pt modelId="{647FFB6E-72F1-4D84-ACCC-263208E6C367}">
      <dgm:prSet phldrT="[Text]" custT="1"/>
      <dgm:spPr>
        <a:xfrm>
          <a:off x="1477987" y="343345"/>
          <a:ext cx="1163390" cy="712787"/>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b="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7</a:t>
          </a:r>
        </a:p>
        <a:p>
          <a:r>
            <a:rPr lang="en-US" sz="800" b="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Centre d’arbitrage et de médiation de l’OMPI</a:t>
          </a:r>
        </a:p>
      </dgm:t>
    </dgm:pt>
    <dgm:pt modelId="{4C10E756-B40C-415D-9E24-67A08FADD8AE}" type="parTrans" cxnId="{C5EC00A2-4BBE-4807-B78E-78A0007E3222}">
      <dgm:prSet/>
      <dgm:spPr/>
      <dgm:t>
        <a:bodyPr/>
        <a:lstStyle/>
        <a:p>
          <a:endParaRPr lang="fr-FR"/>
        </a:p>
      </dgm:t>
    </dgm:pt>
    <dgm:pt modelId="{12FD2ED0-2BB9-4B66-8B6C-07D731392A7B}" type="sibTrans" cxnId="{C5EC00A2-4BBE-4807-B78E-78A0007E3222}">
      <dgm:prSet/>
      <dgm:spPr/>
      <dgm:t>
        <a:bodyPr/>
        <a:lstStyle/>
        <a:p>
          <a:endParaRPr lang="fr-FR"/>
        </a:p>
      </dgm:t>
    </dgm:pt>
    <dgm:pt modelId="{6142F222-7BAE-4232-8F09-F9374A707F43}">
      <dgm:prSet phldrT="[Text]" custT="1"/>
      <dgm:spPr>
        <a:xfrm>
          <a:off x="1477987" y="343345"/>
          <a:ext cx="1163390" cy="712787"/>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b="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a:t>
          </a:r>
        </a:p>
        <a:p>
          <a:r>
            <a:rPr lang="en-US" sz="800" b="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Droit des brevets</a:t>
          </a:r>
        </a:p>
      </dgm:t>
    </dgm:pt>
    <dgm:pt modelId="{DD34B87C-A720-40C8-B555-0E6F2C185DA2}" type="parTrans" cxnId="{4EC366B6-B55B-4C00-8AF1-99D75E81CBF1}">
      <dgm:prSet/>
      <dgm:spPr/>
      <dgm:t>
        <a:bodyPr/>
        <a:lstStyle/>
        <a:p>
          <a:endParaRPr lang="fr-FR"/>
        </a:p>
      </dgm:t>
    </dgm:pt>
    <dgm:pt modelId="{F4BBBED7-F149-4C50-8572-4AB702278976}" type="sibTrans" cxnId="{4EC366B6-B55B-4C00-8AF1-99D75E81CBF1}">
      <dgm:prSet/>
      <dgm:spPr/>
      <dgm:t>
        <a:bodyPr/>
        <a:lstStyle/>
        <a:p>
          <a:endParaRPr lang="fr-FR"/>
        </a:p>
      </dgm:t>
    </dgm:pt>
    <dgm:pt modelId="{08F189A1-AB47-41D1-8058-7A6DA66B3F52}" type="pres">
      <dgm:prSet presAssocID="{34E6C8D5-8D4F-4714-8A12-8F4599A8E760}" presName="cycle" presStyleCnt="0">
        <dgm:presLayoutVars>
          <dgm:chMax val="1"/>
          <dgm:dir/>
          <dgm:animLvl val="ctr"/>
          <dgm:resizeHandles val="exact"/>
        </dgm:presLayoutVars>
      </dgm:prSet>
      <dgm:spPr/>
      <dgm:t>
        <a:bodyPr/>
        <a:lstStyle/>
        <a:p>
          <a:endParaRPr lang="en-US"/>
        </a:p>
      </dgm:t>
    </dgm:pt>
    <dgm:pt modelId="{062AF917-2F47-4639-8A23-58AD52EC0F32}" type="pres">
      <dgm:prSet presAssocID="{DE541715-C648-404D-8124-F14F463E9202}" presName="centerShape" presStyleLbl="node0" presStyleIdx="0" presStyleCnt="1" custScaleX="219894" custLinFactNeighborX="1297" custLinFactNeighborY="7242"/>
      <dgm:spPr>
        <a:prstGeom prst="ellipse">
          <a:avLst/>
        </a:prstGeom>
      </dgm:spPr>
      <dgm:t>
        <a:bodyPr/>
        <a:lstStyle/>
        <a:p>
          <a:endParaRPr lang="en-US"/>
        </a:p>
      </dgm:t>
    </dgm:pt>
    <dgm:pt modelId="{27C08CD6-CB73-4E0E-BA37-473C15E9C926}" type="pres">
      <dgm:prSet presAssocID="{CB6E0A53-B07E-4B2B-89E7-D1FB86B27272}" presName="Name9" presStyleLbl="parChTrans1D2" presStyleIdx="0" presStyleCnt="7"/>
      <dgm:spPr/>
      <dgm:t>
        <a:bodyPr/>
        <a:lstStyle/>
        <a:p>
          <a:endParaRPr lang="en-US"/>
        </a:p>
      </dgm:t>
    </dgm:pt>
    <dgm:pt modelId="{04068EB3-8728-47DB-8B53-1F3F6EA0E656}" type="pres">
      <dgm:prSet presAssocID="{CB6E0A53-B07E-4B2B-89E7-D1FB86B27272}" presName="connTx" presStyleLbl="parChTrans1D2" presStyleIdx="0" presStyleCnt="7"/>
      <dgm:spPr/>
      <dgm:t>
        <a:bodyPr/>
        <a:lstStyle/>
        <a:p>
          <a:endParaRPr lang="en-US"/>
        </a:p>
      </dgm:t>
    </dgm:pt>
    <dgm:pt modelId="{8441BECF-C9FE-4C31-BFA4-B45EB6B3D1F0}" type="pres">
      <dgm:prSet presAssocID="{45870664-60BD-4390-952C-AB2EEF07F4DD}" presName="node" presStyleLbl="node1" presStyleIdx="0" presStyleCnt="7" custScaleX="207837" custScaleY="136347" custRadScaleRad="284282" custRadScaleInc="353029">
        <dgm:presLayoutVars>
          <dgm:bulletEnabled val="1"/>
        </dgm:presLayoutVars>
      </dgm:prSet>
      <dgm:spPr>
        <a:prstGeom prst="ellipse">
          <a:avLst/>
        </a:prstGeom>
      </dgm:spPr>
      <dgm:t>
        <a:bodyPr/>
        <a:lstStyle/>
        <a:p>
          <a:endParaRPr lang="en-US"/>
        </a:p>
      </dgm:t>
    </dgm:pt>
    <dgm:pt modelId="{27678B34-738D-4B59-81F4-6EB54DA6F256}" type="pres">
      <dgm:prSet presAssocID="{31D2845E-7763-4EAF-A91C-F687BE68CFA9}" presName="Name9" presStyleLbl="parChTrans1D2" presStyleIdx="1" presStyleCnt="7"/>
      <dgm:spPr>
        <a:custGeom>
          <a:avLst/>
          <a:gdLst/>
          <a:ahLst/>
          <a:cxnLst/>
          <a:rect l="0" t="0" r="0" b="0"/>
          <a:pathLst>
            <a:path>
              <a:moveTo>
                <a:pt x="0" y="14194"/>
              </a:moveTo>
              <a:lnTo>
                <a:pt x="447159" y="14194"/>
              </a:lnTo>
            </a:path>
          </a:pathLst>
        </a:custGeom>
      </dgm:spPr>
      <dgm:t>
        <a:bodyPr/>
        <a:lstStyle/>
        <a:p>
          <a:endParaRPr lang="en-US"/>
        </a:p>
      </dgm:t>
    </dgm:pt>
    <dgm:pt modelId="{0D67A745-92A7-4C43-8F28-25B89678FC62}" type="pres">
      <dgm:prSet presAssocID="{31D2845E-7763-4EAF-A91C-F687BE68CFA9}" presName="connTx" presStyleLbl="parChTrans1D2" presStyleIdx="1" presStyleCnt="7"/>
      <dgm:spPr/>
      <dgm:t>
        <a:bodyPr/>
        <a:lstStyle/>
        <a:p>
          <a:endParaRPr lang="en-US"/>
        </a:p>
      </dgm:t>
    </dgm:pt>
    <dgm:pt modelId="{77E0AE60-7058-4D43-911F-C57FA8C6CA9F}" type="pres">
      <dgm:prSet presAssocID="{3BD68AEB-F6E8-461F-8590-A67172B04D7C}" presName="node" presStyleLbl="node1" presStyleIdx="1" presStyleCnt="7" custScaleX="217374" custScaleY="132787" custRadScaleRad="167362" custRadScaleInc="256151">
        <dgm:presLayoutVars>
          <dgm:bulletEnabled val="1"/>
        </dgm:presLayoutVars>
      </dgm:prSet>
      <dgm:spPr>
        <a:prstGeom prst="ellipse">
          <a:avLst/>
        </a:prstGeom>
      </dgm:spPr>
      <dgm:t>
        <a:bodyPr/>
        <a:lstStyle/>
        <a:p>
          <a:endParaRPr lang="en-US"/>
        </a:p>
      </dgm:t>
    </dgm:pt>
    <dgm:pt modelId="{EED79A7F-2696-484A-8083-D28DF0387AD5}" type="pres">
      <dgm:prSet presAssocID="{00297025-FE49-44ED-8151-9AC4B35C0885}" presName="Name9" presStyleLbl="parChTrans1D2" presStyleIdx="2" presStyleCnt="7"/>
      <dgm:spPr/>
      <dgm:t>
        <a:bodyPr/>
        <a:lstStyle/>
        <a:p>
          <a:endParaRPr lang="en-US"/>
        </a:p>
      </dgm:t>
    </dgm:pt>
    <dgm:pt modelId="{BEAB3A6A-1AD1-41B3-BDFE-B268898D2300}" type="pres">
      <dgm:prSet presAssocID="{00297025-FE49-44ED-8151-9AC4B35C0885}" presName="connTx" presStyleLbl="parChTrans1D2" presStyleIdx="2" presStyleCnt="7"/>
      <dgm:spPr/>
      <dgm:t>
        <a:bodyPr/>
        <a:lstStyle/>
        <a:p>
          <a:endParaRPr lang="en-US"/>
        </a:p>
      </dgm:t>
    </dgm:pt>
    <dgm:pt modelId="{05994623-F04A-4AAC-82E3-2D63726DAA8A}" type="pres">
      <dgm:prSet presAssocID="{CDE3C2D2-2338-40D3-9864-33A39CCB5CF4}" presName="node" presStyleLbl="node1" presStyleIdx="2" presStyleCnt="7" custScaleX="216574" custScaleY="111477" custRadScaleRad="172953" custRadScaleInc="535179">
        <dgm:presLayoutVars>
          <dgm:bulletEnabled val="1"/>
        </dgm:presLayoutVars>
      </dgm:prSet>
      <dgm:spPr>
        <a:prstGeom prst="ellipse">
          <a:avLst/>
        </a:prstGeom>
      </dgm:spPr>
      <dgm:t>
        <a:bodyPr/>
        <a:lstStyle/>
        <a:p>
          <a:endParaRPr lang="en-US"/>
        </a:p>
      </dgm:t>
    </dgm:pt>
    <dgm:pt modelId="{B654B038-4242-46EF-A10B-FF9B1A085532}" type="pres">
      <dgm:prSet presAssocID="{0740ED97-4265-4052-8B1C-8A14B3879E4E}" presName="Name9" presStyleLbl="parChTrans1D2" presStyleIdx="3" presStyleCnt="7"/>
      <dgm:spPr/>
      <dgm:t>
        <a:bodyPr/>
        <a:lstStyle/>
        <a:p>
          <a:endParaRPr lang="en-US"/>
        </a:p>
      </dgm:t>
    </dgm:pt>
    <dgm:pt modelId="{BA4F9CC8-82E2-4BE5-8120-3D5D089F9CF4}" type="pres">
      <dgm:prSet presAssocID="{0740ED97-4265-4052-8B1C-8A14B3879E4E}" presName="connTx" presStyleLbl="parChTrans1D2" presStyleIdx="3" presStyleCnt="7"/>
      <dgm:spPr/>
      <dgm:t>
        <a:bodyPr/>
        <a:lstStyle/>
        <a:p>
          <a:endParaRPr lang="en-US"/>
        </a:p>
      </dgm:t>
    </dgm:pt>
    <dgm:pt modelId="{3DB28723-07CF-4EFC-8E24-18E41E76D4AF}" type="pres">
      <dgm:prSet presAssocID="{115F3686-56C2-4580-9E8B-FA213D3DA5F6}" presName="node" presStyleLbl="node1" presStyleIdx="3" presStyleCnt="7" custScaleX="222436" custScaleY="134919" custRadScaleRad="286774" custRadScaleInc="432043">
        <dgm:presLayoutVars>
          <dgm:bulletEnabled val="1"/>
        </dgm:presLayoutVars>
      </dgm:prSet>
      <dgm:spPr>
        <a:prstGeom prst="ellipse">
          <a:avLst/>
        </a:prstGeom>
      </dgm:spPr>
      <dgm:t>
        <a:bodyPr/>
        <a:lstStyle/>
        <a:p>
          <a:endParaRPr lang="en-US"/>
        </a:p>
      </dgm:t>
    </dgm:pt>
    <dgm:pt modelId="{AD2F0D4B-AECA-4B10-81AC-261AA8BE8E98}" type="pres">
      <dgm:prSet presAssocID="{7DB15392-F5F7-49E2-8294-51A0B1B620AB}" presName="Name9" presStyleLbl="parChTrans1D2" presStyleIdx="4" presStyleCnt="7"/>
      <dgm:spPr/>
      <dgm:t>
        <a:bodyPr/>
        <a:lstStyle/>
        <a:p>
          <a:endParaRPr lang="en-US"/>
        </a:p>
      </dgm:t>
    </dgm:pt>
    <dgm:pt modelId="{E48FCD09-4C54-4A10-9BB3-1920483E872B}" type="pres">
      <dgm:prSet presAssocID="{7DB15392-F5F7-49E2-8294-51A0B1B620AB}" presName="connTx" presStyleLbl="parChTrans1D2" presStyleIdx="4" presStyleCnt="7"/>
      <dgm:spPr/>
      <dgm:t>
        <a:bodyPr/>
        <a:lstStyle/>
        <a:p>
          <a:endParaRPr lang="en-US"/>
        </a:p>
      </dgm:t>
    </dgm:pt>
    <dgm:pt modelId="{2BEED572-A282-4C32-95EB-3B1996D142B1}" type="pres">
      <dgm:prSet presAssocID="{4E654411-73AD-4DF6-AD3B-E400E531439B}" presName="node" presStyleLbl="node1" presStyleIdx="4" presStyleCnt="7" custScaleX="211935" custScaleY="143334" custRadScaleRad="189565" custRadScaleInc="311459">
        <dgm:presLayoutVars>
          <dgm:bulletEnabled val="1"/>
        </dgm:presLayoutVars>
      </dgm:prSet>
      <dgm:spPr>
        <a:prstGeom prst="ellipse">
          <a:avLst/>
        </a:prstGeom>
      </dgm:spPr>
      <dgm:t>
        <a:bodyPr/>
        <a:lstStyle/>
        <a:p>
          <a:endParaRPr lang="en-US"/>
        </a:p>
      </dgm:t>
    </dgm:pt>
    <dgm:pt modelId="{FABECC81-38C5-4FF9-B1D2-7878F31B9FA7}" type="pres">
      <dgm:prSet presAssocID="{4C10E756-B40C-415D-9E24-67A08FADD8AE}" presName="Name9" presStyleLbl="parChTrans1D2" presStyleIdx="5" presStyleCnt="7"/>
      <dgm:spPr/>
      <dgm:t>
        <a:bodyPr/>
        <a:lstStyle/>
        <a:p>
          <a:endParaRPr lang="fr-FR"/>
        </a:p>
      </dgm:t>
    </dgm:pt>
    <dgm:pt modelId="{7DB4FD46-47CC-418B-AF38-F1B54B133B47}" type="pres">
      <dgm:prSet presAssocID="{4C10E756-B40C-415D-9E24-67A08FADD8AE}" presName="connTx" presStyleLbl="parChTrans1D2" presStyleIdx="5" presStyleCnt="7"/>
      <dgm:spPr/>
      <dgm:t>
        <a:bodyPr/>
        <a:lstStyle/>
        <a:p>
          <a:endParaRPr lang="fr-FR"/>
        </a:p>
      </dgm:t>
    </dgm:pt>
    <dgm:pt modelId="{ED2662C3-B3A0-4166-82DE-4C76CC9EAF7B}" type="pres">
      <dgm:prSet presAssocID="{647FFB6E-72F1-4D84-ACCC-263208E6C367}" presName="node" presStyleLbl="node1" presStyleIdx="5" presStyleCnt="7" custScaleX="225819" custScaleY="112549" custRadScaleRad="186152" custRadScaleInc="655849">
        <dgm:presLayoutVars>
          <dgm:bulletEnabled val="1"/>
        </dgm:presLayoutVars>
      </dgm:prSet>
      <dgm:spPr/>
      <dgm:t>
        <a:bodyPr/>
        <a:lstStyle/>
        <a:p>
          <a:endParaRPr lang="fr-FR"/>
        </a:p>
      </dgm:t>
    </dgm:pt>
    <dgm:pt modelId="{9363EF65-1A1C-442B-A69E-1F35A96E1F68}" type="pres">
      <dgm:prSet presAssocID="{DD34B87C-A720-40C8-B555-0E6F2C185DA2}" presName="Name9" presStyleLbl="parChTrans1D2" presStyleIdx="6" presStyleCnt="7"/>
      <dgm:spPr/>
      <dgm:t>
        <a:bodyPr/>
        <a:lstStyle/>
        <a:p>
          <a:endParaRPr lang="fr-FR"/>
        </a:p>
      </dgm:t>
    </dgm:pt>
    <dgm:pt modelId="{92DCF517-8679-4D3F-9436-9BD7160B3FFD}" type="pres">
      <dgm:prSet presAssocID="{DD34B87C-A720-40C8-B555-0E6F2C185DA2}" presName="connTx" presStyleLbl="parChTrans1D2" presStyleIdx="6" presStyleCnt="7"/>
      <dgm:spPr/>
      <dgm:t>
        <a:bodyPr/>
        <a:lstStyle/>
        <a:p>
          <a:endParaRPr lang="fr-FR"/>
        </a:p>
      </dgm:t>
    </dgm:pt>
    <dgm:pt modelId="{AAC27E8F-05E9-4286-A32B-E8FDB9908A7F}" type="pres">
      <dgm:prSet presAssocID="{6142F222-7BAE-4232-8F09-F9374A707F43}" presName="node" presStyleLbl="node1" presStyleIdx="6" presStyleCnt="7" custScaleX="204240" custRadScaleRad="90177" custRadScaleInc="210461">
        <dgm:presLayoutVars>
          <dgm:bulletEnabled val="1"/>
        </dgm:presLayoutVars>
      </dgm:prSet>
      <dgm:spPr/>
      <dgm:t>
        <a:bodyPr/>
        <a:lstStyle/>
        <a:p>
          <a:endParaRPr lang="fr-FR"/>
        </a:p>
      </dgm:t>
    </dgm:pt>
  </dgm:ptLst>
  <dgm:cxnLst>
    <dgm:cxn modelId="{0F4A578A-3EEC-4D99-AD09-C0BFD74AA9BF}" type="presOf" srcId="{7DB15392-F5F7-49E2-8294-51A0B1B620AB}" destId="{AD2F0D4B-AECA-4B10-81AC-261AA8BE8E98}" srcOrd="0" destOrd="0" presId="urn:microsoft.com/office/officeart/2005/8/layout/radial1"/>
    <dgm:cxn modelId="{47919E10-0A99-4925-9ABA-FFFEFE6FF7C6}" type="presOf" srcId="{00297025-FE49-44ED-8151-9AC4B35C0885}" destId="{BEAB3A6A-1AD1-41B3-BDFE-B268898D2300}" srcOrd="1" destOrd="0" presId="urn:microsoft.com/office/officeart/2005/8/layout/radial1"/>
    <dgm:cxn modelId="{FF862692-6FE1-4C1B-8C29-4A220C00E54C}" srcId="{DE541715-C648-404D-8124-F14F463E9202}" destId="{115F3686-56C2-4580-9E8B-FA213D3DA5F6}" srcOrd="3" destOrd="0" parTransId="{0740ED97-4265-4052-8B1C-8A14B3879E4E}" sibTransId="{E9E35A43-605C-4C5A-B200-2A3B564FFAF5}"/>
    <dgm:cxn modelId="{CB7D13AE-E1CC-432D-9613-C68BA0887BDC}" type="presOf" srcId="{CB6E0A53-B07E-4B2B-89E7-D1FB86B27272}" destId="{27C08CD6-CB73-4E0E-BA37-473C15E9C926}" srcOrd="0" destOrd="0" presId="urn:microsoft.com/office/officeart/2005/8/layout/radial1"/>
    <dgm:cxn modelId="{5751E7C3-67C6-41FA-BE83-722538B7FC57}" type="presOf" srcId="{4C10E756-B40C-415D-9E24-67A08FADD8AE}" destId="{7DB4FD46-47CC-418B-AF38-F1B54B133B47}" srcOrd="1" destOrd="0" presId="urn:microsoft.com/office/officeart/2005/8/layout/radial1"/>
    <dgm:cxn modelId="{40EBBE84-865D-4061-83B0-FEC1C145803C}" type="presOf" srcId="{34E6C8D5-8D4F-4714-8A12-8F4599A8E760}" destId="{08F189A1-AB47-41D1-8058-7A6DA66B3F52}" srcOrd="0" destOrd="0" presId="urn:microsoft.com/office/officeart/2005/8/layout/radial1"/>
    <dgm:cxn modelId="{1093676B-A416-4A8D-A9D5-DC713CE7BAE6}" type="presOf" srcId="{31D2845E-7763-4EAF-A91C-F687BE68CFA9}" destId="{27678B34-738D-4B59-81F4-6EB54DA6F256}" srcOrd="0" destOrd="0" presId="urn:microsoft.com/office/officeart/2005/8/layout/radial1"/>
    <dgm:cxn modelId="{C5EC00A2-4BBE-4807-B78E-78A0007E3222}" srcId="{DE541715-C648-404D-8124-F14F463E9202}" destId="{647FFB6E-72F1-4D84-ACCC-263208E6C367}" srcOrd="5" destOrd="0" parTransId="{4C10E756-B40C-415D-9E24-67A08FADD8AE}" sibTransId="{12FD2ED0-2BB9-4B66-8B6C-07D731392A7B}"/>
    <dgm:cxn modelId="{DA740704-6E02-4402-8325-D0302449434E}" srcId="{34E6C8D5-8D4F-4714-8A12-8F4599A8E760}" destId="{4F895710-9C0A-4357-A62A-B00C2B1BB2A2}" srcOrd="1" destOrd="0" parTransId="{4492527F-B2BC-4423-9ACC-2816666249A0}" sibTransId="{A0A859C5-79E5-4C97-AF72-54A6D166EEA1}"/>
    <dgm:cxn modelId="{4EC366B6-B55B-4C00-8AF1-99D75E81CBF1}" srcId="{DE541715-C648-404D-8124-F14F463E9202}" destId="{6142F222-7BAE-4232-8F09-F9374A707F43}" srcOrd="6" destOrd="0" parTransId="{DD34B87C-A720-40C8-B555-0E6F2C185DA2}" sibTransId="{F4BBBED7-F149-4C50-8572-4AB702278976}"/>
    <dgm:cxn modelId="{DC16CFA3-485D-4BCC-AA77-C67F78819196}" type="presOf" srcId="{CB6E0A53-B07E-4B2B-89E7-D1FB86B27272}" destId="{04068EB3-8728-47DB-8B53-1F3F6EA0E656}" srcOrd="1" destOrd="0" presId="urn:microsoft.com/office/officeart/2005/8/layout/radial1"/>
    <dgm:cxn modelId="{60C424C7-CC54-4027-B080-4425E7B5050C}" srcId="{DE541715-C648-404D-8124-F14F463E9202}" destId="{CDE3C2D2-2338-40D3-9864-33A39CCB5CF4}" srcOrd="2" destOrd="0" parTransId="{00297025-FE49-44ED-8151-9AC4B35C0885}" sibTransId="{59703DE8-812C-459A-A996-B99B877A6FDC}"/>
    <dgm:cxn modelId="{57C7FF65-479F-4467-8943-A10C2D09AD10}" type="presOf" srcId="{0740ED97-4265-4052-8B1C-8A14B3879E4E}" destId="{B654B038-4242-46EF-A10B-FF9B1A085532}" srcOrd="0" destOrd="0" presId="urn:microsoft.com/office/officeart/2005/8/layout/radial1"/>
    <dgm:cxn modelId="{18F9FEF2-2CA7-4739-A2D0-6DF588257379}" type="presOf" srcId="{DE541715-C648-404D-8124-F14F463E9202}" destId="{062AF917-2F47-4639-8A23-58AD52EC0F32}" srcOrd="0" destOrd="0" presId="urn:microsoft.com/office/officeart/2005/8/layout/radial1"/>
    <dgm:cxn modelId="{41C2E680-E631-4518-8D8A-07B126303957}" type="presOf" srcId="{DD34B87C-A720-40C8-B555-0E6F2C185DA2}" destId="{92DCF517-8679-4D3F-9436-9BD7160B3FFD}" srcOrd="1" destOrd="0" presId="urn:microsoft.com/office/officeart/2005/8/layout/radial1"/>
    <dgm:cxn modelId="{DF530EE8-6C7A-4E30-B265-97F66C77544E}" type="presOf" srcId="{45870664-60BD-4390-952C-AB2EEF07F4DD}" destId="{8441BECF-C9FE-4C31-BFA4-B45EB6B3D1F0}" srcOrd="0" destOrd="0" presId="urn:microsoft.com/office/officeart/2005/8/layout/radial1"/>
    <dgm:cxn modelId="{BD1552F8-680B-4289-8847-D41891C48C8A}" type="presOf" srcId="{4E654411-73AD-4DF6-AD3B-E400E531439B}" destId="{2BEED572-A282-4C32-95EB-3B1996D142B1}" srcOrd="0" destOrd="0" presId="urn:microsoft.com/office/officeart/2005/8/layout/radial1"/>
    <dgm:cxn modelId="{C9662A24-D75D-4E54-B99C-258C56A43E2D}" type="presOf" srcId="{7DB15392-F5F7-49E2-8294-51A0B1B620AB}" destId="{E48FCD09-4C54-4A10-9BB3-1920483E872B}" srcOrd="1" destOrd="0" presId="urn:microsoft.com/office/officeart/2005/8/layout/radial1"/>
    <dgm:cxn modelId="{8219E8C0-11D9-4ECE-9E9E-751EEF5551F9}" srcId="{DE541715-C648-404D-8124-F14F463E9202}" destId="{3BD68AEB-F6E8-461F-8590-A67172B04D7C}" srcOrd="1" destOrd="0" parTransId="{31D2845E-7763-4EAF-A91C-F687BE68CFA9}" sibTransId="{93E661BA-0293-4FF1-B933-6256D0B2E24D}"/>
    <dgm:cxn modelId="{C6343C0E-F83D-4611-99DE-BA211E4569B4}" type="presOf" srcId="{4C10E756-B40C-415D-9E24-67A08FADD8AE}" destId="{FABECC81-38C5-4FF9-B1D2-7878F31B9FA7}" srcOrd="0" destOrd="0" presId="urn:microsoft.com/office/officeart/2005/8/layout/radial1"/>
    <dgm:cxn modelId="{D6A1B705-14BD-4719-A272-D91E08642851}" type="presOf" srcId="{31D2845E-7763-4EAF-A91C-F687BE68CFA9}" destId="{0D67A745-92A7-4C43-8F28-25B89678FC62}" srcOrd="1" destOrd="0" presId="urn:microsoft.com/office/officeart/2005/8/layout/radial1"/>
    <dgm:cxn modelId="{C80DF295-9AAD-4C0B-B8AF-3EDA956AFFF7}" srcId="{DE541715-C648-404D-8124-F14F463E9202}" destId="{45870664-60BD-4390-952C-AB2EEF07F4DD}" srcOrd="0" destOrd="0" parTransId="{CB6E0A53-B07E-4B2B-89E7-D1FB86B27272}" sibTransId="{E74149DA-41AA-4BE0-B8E7-7965A33DC1B0}"/>
    <dgm:cxn modelId="{95120317-F542-4D67-936A-3C0656142EE6}" type="presOf" srcId="{00297025-FE49-44ED-8151-9AC4B35C0885}" destId="{EED79A7F-2696-484A-8083-D28DF0387AD5}" srcOrd="0" destOrd="0" presId="urn:microsoft.com/office/officeart/2005/8/layout/radial1"/>
    <dgm:cxn modelId="{9367B52A-C4B7-4140-B5CB-C1EA4F738A8B}" type="presOf" srcId="{6142F222-7BAE-4232-8F09-F9374A707F43}" destId="{AAC27E8F-05E9-4286-A32B-E8FDB9908A7F}" srcOrd="0" destOrd="0" presId="urn:microsoft.com/office/officeart/2005/8/layout/radial1"/>
    <dgm:cxn modelId="{A12C036A-14E7-451C-80B8-9B5BE762C5B4}" srcId="{DE541715-C648-404D-8124-F14F463E9202}" destId="{4E654411-73AD-4DF6-AD3B-E400E531439B}" srcOrd="4" destOrd="0" parTransId="{7DB15392-F5F7-49E2-8294-51A0B1B620AB}" sibTransId="{2B759E48-7284-455B-851A-DFF88118946F}"/>
    <dgm:cxn modelId="{35FA185D-21D8-41E8-9DEA-0899128C131E}" type="presOf" srcId="{115F3686-56C2-4580-9E8B-FA213D3DA5F6}" destId="{3DB28723-07CF-4EFC-8E24-18E41E76D4AF}" srcOrd="0" destOrd="0" presId="urn:microsoft.com/office/officeart/2005/8/layout/radial1"/>
    <dgm:cxn modelId="{682C8FEA-35B0-452F-A9D8-7EF9DBAC42F3}" type="presOf" srcId="{CDE3C2D2-2338-40D3-9864-33A39CCB5CF4}" destId="{05994623-F04A-4AAC-82E3-2D63726DAA8A}" srcOrd="0" destOrd="0" presId="urn:microsoft.com/office/officeart/2005/8/layout/radial1"/>
    <dgm:cxn modelId="{E025E8BF-10F6-4612-BBAD-D1232FDFCB00}" type="presOf" srcId="{DD34B87C-A720-40C8-B555-0E6F2C185DA2}" destId="{9363EF65-1A1C-442B-A69E-1F35A96E1F68}" srcOrd="0" destOrd="0" presId="urn:microsoft.com/office/officeart/2005/8/layout/radial1"/>
    <dgm:cxn modelId="{5A137BD1-ADA3-4D2C-BD71-95E542C3B72B}" type="presOf" srcId="{3BD68AEB-F6E8-461F-8590-A67172B04D7C}" destId="{77E0AE60-7058-4D43-911F-C57FA8C6CA9F}" srcOrd="0" destOrd="0" presId="urn:microsoft.com/office/officeart/2005/8/layout/radial1"/>
    <dgm:cxn modelId="{22CFBE58-87EC-4B70-B1CC-D1D1DB4968C7}" srcId="{34E6C8D5-8D4F-4714-8A12-8F4599A8E760}" destId="{DE541715-C648-404D-8124-F14F463E9202}" srcOrd="0" destOrd="0" parTransId="{D7DB3476-9C56-4274-B046-F742EA8694F1}" sibTransId="{7CA7849B-681D-4C0D-A708-F47E97871BB2}"/>
    <dgm:cxn modelId="{3040DEB2-A747-4059-8AED-27F7F358E3D7}" type="presOf" srcId="{0740ED97-4265-4052-8B1C-8A14B3879E4E}" destId="{BA4F9CC8-82E2-4BE5-8120-3D5D089F9CF4}" srcOrd="1" destOrd="0" presId="urn:microsoft.com/office/officeart/2005/8/layout/radial1"/>
    <dgm:cxn modelId="{B7CAC9E2-0583-4011-BDEC-838319BF9762}" type="presOf" srcId="{647FFB6E-72F1-4D84-ACCC-263208E6C367}" destId="{ED2662C3-B3A0-4166-82DE-4C76CC9EAF7B}" srcOrd="0" destOrd="0" presId="urn:microsoft.com/office/officeart/2005/8/layout/radial1"/>
    <dgm:cxn modelId="{CA6B9A59-F9FE-4C25-9703-1D3251A5079E}" type="presParOf" srcId="{08F189A1-AB47-41D1-8058-7A6DA66B3F52}" destId="{062AF917-2F47-4639-8A23-58AD52EC0F32}" srcOrd="0" destOrd="0" presId="urn:microsoft.com/office/officeart/2005/8/layout/radial1"/>
    <dgm:cxn modelId="{3D8835E6-FF39-44D8-B18D-E89AD41B1A36}" type="presParOf" srcId="{08F189A1-AB47-41D1-8058-7A6DA66B3F52}" destId="{27C08CD6-CB73-4E0E-BA37-473C15E9C926}" srcOrd="1" destOrd="0" presId="urn:microsoft.com/office/officeart/2005/8/layout/radial1"/>
    <dgm:cxn modelId="{0AE6E6BF-A6FA-4BB0-AD2D-FCACD43F81CD}" type="presParOf" srcId="{27C08CD6-CB73-4E0E-BA37-473C15E9C926}" destId="{04068EB3-8728-47DB-8B53-1F3F6EA0E656}" srcOrd="0" destOrd="0" presId="urn:microsoft.com/office/officeart/2005/8/layout/radial1"/>
    <dgm:cxn modelId="{910E6C52-F34A-4DD0-B356-F12923FA6D2F}" type="presParOf" srcId="{08F189A1-AB47-41D1-8058-7A6DA66B3F52}" destId="{8441BECF-C9FE-4C31-BFA4-B45EB6B3D1F0}" srcOrd="2" destOrd="0" presId="urn:microsoft.com/office/officeart/2005/8/layout/radial1"/>
    <dgm:cxn modelId="{164D5B6E-8BE4-48B2-91DF-014B9F15D786}" type="presParOf" srcId="{08F189A1-AB47-41D1-8058-7A6DA66B3F52}" destId="{27678B34-738D-4B59-81F4-6EB54DA6F256}" srcOrd="3" destOrd="0" presId="urn:microsoft.com/office/officeart/2005/8/layout/radial1"/>
    <dgm:cxn modelId="{07C08F82-D30D-4A01-BFE2-68495F386322}" type="presParOf" srcId="{27678B34-738D-4B59-81F4-6EB54DA6F256}" destId="{0D67A745-92A7-4C43-8F28-25B89678FC62}" srcOrd="0" destOrd="0" presId="urn:microsoft.com/office/officeart/2005/8/layout/radial1"/>
    <dgm:cxn modelId="{FB6AEEFF-243D-434C-A8BA-3493BC0E26AC}" type="presParOf" srcId="{08F189A1-AB47-41D1-8058-7A6DA66B3F52}" destId="{77E0AE60-7058-4D43-911F-C57FA8C6CA9F}" srcOrd="4" destOrd="0" presId="urn:microsoft.com/office/officeart/2005/8/layout/radial1"/>
    <dgm:cxn modelId="{19E7D0C0-D541-41CA-AB29-91A77556ED50}" type="presParOf" srcId="{08F189A1-AB47-41D1-8058-7A6DA66B3F52}" destId="{EED79A7F-2696-484A-8083-D28DF0387AD5}" srcOrd="5" destOrd="0" presId="urn:microsoft.com/office/officeart/2005/8/layout/radial1"/>
    <dgm:cxn modelId="{A9007305-4B56-460F-BF78-6FB2733B6062}" type="presParOf" srcId="{EED79A7F-2696-484A-8083-D28DF0387AD5}" destId="{BEAB3A6A-1AD1-41B3-BDFE-B268898D2300}" srcOrd="0" destOrd="0" presId="urn:microsoft.com/office/officeart/2005/8/layout/radial1"/>
    <dgm:cxn modelId="{036C74DA-F26B-4A6A-9C8A-89D185A2C563}" type="presParOf" srcId="{08F189A1-AB47-41D1-8058-7A6DA66B3F52}" destId="{05994623-F04A-4AAC-82E3-2D63726DAA8A}" srcOrd="6" destOrd="0" presId="urn:microsoft.com/office/officeart/2005/8/layout/radial1"/>
    <dgm:cxn modelId="{E3FB363D-5CA8-45F5-B260-7599541C4781}" type="presParOf" srcId="{08F189A1-AB47-41D1-8058-7A6DA66B3F52}" destId="{B654B038-4242-46EF-A10B-FF9B1A085532}" srcOrd="7" destOrd="0" presId="urn:microsoft.com/office/officeart/2005/8/layout/radial1"/>
    <dgm:cxn modelId="{FB664290-B62A-41FF-BDD5-30A70922F32F}" type="presParOf" srcId="{B654B038-4242-46EF-A10B-FF9B1A085532}" destId="{BA4F9CC8-82E2-4BE5-8120-3D5D089F9CF4}" srcOrd="0" destOrd="0" presId="urn:microsoft.com/office/officeart/2005/8/layout/radial1"/>
    <dgm:cxn modelId="{3643CED8-B363-4389-8BC8-9DE7E49D16C1}" type="presParOf" srcId="{08F189A1-AB47-41D1-8058-7A6DA66B3F52}" destId="{3DB28723-07CF-4EFC-8E24-18E41E76D4AF}" srcOrd="8" destOrd="0" presId="urn:microsoft.com/office/officeart/2005/8/layout/radial1"/>
    <dgm:cxn modelId="{13D3FA4B-8A85-4D40-936F-FC337EAA3C0D}" type="presParOf" srcId="{08F189A1-AB47-41D1-8058-7A6DA66B3F52}" destId="{AD2F0D4B-AECA-4B10-81AC-261AA8BE8E98}" srcOrd="9" destOrd="0" presId="urn:microsoft.com/office/officeart/2005/8/layout/radial1"/>
    <dgm:cxn modelId="{1C2D5CFD-6330-47B4-B6F1-3016F76B8B5C}" type="presParOf" srcId="{AD2F0D4B-AECA-4B10-81AC-261AA8BE8E98}" destId="{E48FCD09-4C54-4A10-9BB3-1920483E872B}" srcOrd="0" destOrd="0" presId="urn:microsoft.com/office/officeart/2005/8/layout/radial1"/>
    <dgm:cxn modelId="{A6BE2AF3-CF6B-4CC7-9A68-40AFB4BE21D6}" type="presParOf" srcId="{08F189A1-AB47-41D1-8058-7A6DA66B3F52}" destId="{2BEED572-A282-4C32-95EB-3B1996D142B1}" srcOrd="10" destOrd="0" presId="urn:microsoft.com/office/officeart/2005/8/layout/radial1"/>
    <dgm:cxn modelId="{F42B1811-53C3-4355-9AB2-4DBEAEF24036}" type="presParOf" srcId="{08F189A1-AB47-41D1-8058-7A6DA66B3F52}" destId="{FABECC81-38C5-4FF9-B1D2-7878F31B9FA7}" srcOrd="11" destOrd="0" presId="urn:microsoft.com/office/officeart/2005/8/layout/radial1"/>
    <dgm:cxn modelId="{FC391CFD-D97A-4CDF-8382-28DF673A0B3F}" type="presParOf" srcId="{FABECC81-38C5-4FF9-B1D2-7878F31B9FA7}" destId="{7DB4FD46-47CC-418B-AF38-F1B54B133B47}" srcOrd="0" destOrd="0" presId="urn:microsoft.com/office/officeart/2005/8/layout/radial1"/>
    <dgm:cxn modelId="{DACC4A1C-CBDB-48D0-B579-D650CB631449}" type="presParOf" srcId="{08F189A1-AB47-41D1-8058-7A6DA66B3F52}" destId="{ED2662C3-B3A0-4166-82DE-4C76CC9EAF7B}" srcOrd="12" destOrd="0" presId="urn:microsoft.com/office/officeart/2005/8/layout/radial1"/>
    <dgm:cxn modelId="{B0CD6296-A203-4679-8084-A45082C2F2E6}" type="presParOf" srcId="{08F189A1-AB47-41D1-8058-7A6DA66B3F52}" destId="{9363EF65-1A1C-442B-A69E-1F35A96E1F68}" srcOrd="13" destOrd="0" presId="urn:microsoft.com/office/officeart/2005/8/layout/radial1"/>
    <dgm:cxn modelId="{4A54C36C-40E5-4C16-8916-BABB2261C370}" type="presParOf" srcId="{9363EF65-1A1C-442B-A69E-1F35A96E1F68}" destId="{92DCF517-8679-4D3F-9436-9BD7160B3FFD}" srcOrd="0" destOrd="0" presId="urn:microsoft.com/office/officeart/2005/8/layout/radial1"/>
    <dgm:cxn modelId="{31D41BAD-37D4-4A09-8311-2232FA154D6D}" type="presParOf" srcId="{08F189A1-AB47-41D1-8058-7A6DA66B3F52}" destId="{AAC27E8F-05E9-4286-A32B-E8FDB9908A7F}" srcOrd="14" destOrd="0" presId="urn:microsoft.com/office/officeart/2005/8/layout/radial1"/>
  </dgm:cxnLst>
  <dgm:bg/>
  <dgm:whole/>
  <dgm:extLst>
    <a:ext uri="http://schemas.microsoft.com/office/drawing/2008/diagram">
      <dsp:dataModelExt xmlns:dsp="http://schemas.microsoft.com/office/drawing/2008/diagram" relId="rId59" minVer="http://schemas.openxmlformats.org/drawingml/2006/diagram"/>
    </a:ext>
    <a:ext uri="{C62137D5-CB1D-491B-B009-E17868A290BF}">
      <dgm14:recolorImg xmlns:dgm14="http://schemas.microsoft.com/office/drawing/2010/diagram" val="1"/>
    </a:ext>
  </dgm:extLst>
</dgm:dataModel>
</file>

<file path=word/diagrams/data6.xml><?xml version="1.0" encoding="utf-8"?>
<dgm:dataModel xmlns:dgm="http://schemas.openxmlformats.org/drawingml/2006/diagram" xmlns:a="http://schemas.openxmlformats.org/drawingml/2006/main">
  <dgm:ptLst>
    <dgm:pt modelId="{34E6C8D5-8D4F-4714-8A12-8F4599A8E760}"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DE541715-C648-404D-8124-F14F463E9202}">
      <dgm:prSet phldrT="[Text]" custT="1"/>
      <dgm:spPr>
        <a:xfrm>
          <a:off x="2370529" y="785584"/>
          <a:ext cx="1209701" cy="496709"/>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gm:spPr>
      <dgm:t>
        <a:bodyPr/>
        <a:lstStyle/>
        <a:p>
          <a:pPr algn="ctr"/>
          <a:r>
            <a:rPr lang="en-US" sz="105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6</a:t>
          </a:r>
        </a:p>
      </dgm:t>
    </dgm:pt>
    <dgm:pt modelId="{7CA7849B-681D-4C0D-A708-F47E97871BB2}" type="sibTrans" cxnId="{22CFBE58-87EC-4B70-B1CC-D1D1DB4968C7}">
      <dgm:prSet/>
      <dgm:spPr/>
      <dgm:t>
        <a:bodyPr/>
        <a:lstStyle/>
        <a:p>
          <a:endParaRPr lang="en-US"/>
        </a:p>
      </dgm:t>
    </dgm:pt>
    <dgm:pt modelId="{D7DB3476-9C56-4274-B046-F742EA8694F1}" type="parTrans" cxnId="{22CFBE58-87EC-4B70-B1CC-D1D1DB4968C7}">
      <dgm:prSet/>
      <dgm:spPr/>
      <dgm:t>
        <a:bodyPr/>
        <a:lstStyle/>
        <a:p>
          <a:endParaRPr lang="en-US"/>
        </a:p>
      </dgm:t>
    </dgm:pt>
    <dgm:pt modelId="{4F895710-9C0A-4357-A62A-B00C2B1BB2A2}">
      <dgm:prSet phldrT="[Text]"/>
      <dgm:spPr/>
      <dgm:t>
        <a:bodyPr/>
        <a:lstStyle/>
        <a:p>
          <a:endParaRPr lang="en-US"/>
        </a:p>
      </dgm:t>
    </dgm:pt>
    <dgm:pt modelId="{A0A859C5-79E5-4C97-AF72-54A6D166EEA1}" type="sibTrans" cxnId="{DA740704-6E02-4402-8325-D0302449434E}">
      <dgm:prSet/>
      <dgm:spPr/>
      <dgm:t>
        <a:bodyPr/>
        <a:lstStyle/>
        <a:p>
          <a:endParaRPr lang="en-US"/>
        </a:p>
      </dgm:t>
    </dgm:pt>
    <dgm:pt modelId="{4492527F-B2BC-4423-9ACC-2816666249A0}" type="parTrans" cxnId="{DA740704-6E02-4402-8325-D0302449434E}">
      <dgm:prSet/>
      <dgm:spPr/>
      <dgm:t>
        <a:bodyPr/>
        <a:lstStyle/>
        <a:p>
          <a:endParaRPr lang="en-US"/>
        </a:p>
      </dgm:t>
    </dgm:pt>
    <dgm:pt modelId="{C06C39C9-71B8-489C-9C45-3DD37A424E39}">
      <dgm:prSet phldrT="[Text]" custT="1"/>
      <dgm:spPr>
        <a:xfrm>
          <a:off x="678204" y="775418"/>
          <a:ext cx="1236856" cy="515341"/>
        </a:xfrm>
        <a:solidFill>
          <a:srgbClr val="4F81BD">
            <a:lumMod val="40000"/>
            <a:lumOff val="60000"/>
          </a:srgbClr>
        </a:solidFill>
        <a:ln>
          <a:noFill/>
        </a:ln>
        <a:effectLst>
          <a:outerShdw blurRad="40000" dist="23000" dir="5400000" rotWithShape="0">
            <a:srgbClr val="000000">
              <a:alpha val="35000"/>
            </a:srgbClr>
          </a:outerShdw>
        </a:effectLst>
      </dgm:spPr>
      <dgm:t>
        <a:bodyPr/>
        <a:lstStyle/>
        <a:p>
          <a:endParaRPr lang="en-US"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31</a:t>
          </a:r>
        </a:p>
        <a:p>
          <a:r>
            <a:rPr lang="en-US"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Système de La Haye</a:t>
          </a:r>
        </a:p>
        <a:p>
          <a:endParaRPr lang="en-US"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DCD34884-F96E-475A-9010-14DE66A403A6}" type="sibTrans" cxnId="{248698A6-055B-40E3-B808-D624056EF2B0}">
      <dgm:prSet/>
      <dgm:spPr/>
      <dgm:t>
        <a:bodyPr/>
        <a:lstStyle/>
        <a:p>
          <a:endParaRPr lang="en-US"/>
        </a:p>
      </dgm:t>
    </dgm:pt>
    <dgm:pt modelId="{0FABC453-0A5C-4CAE-813B-F0494A34E025}" type="parTrans" cxnId="{248698A6-055B-40E3-B808-D624056EF2B0}">
      <dgm:prSet/>
      <dgm:spPr>
        <a:xfrm rot="10801741">
          <a:off x="1915059" y="1025996"/>
          <a:ext cx="455470" cy="15042"/>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4631C2C5-1554-4289-90B0-F2D55D1595B6}">
      <dgm:prSet phldrT="[Text]" custT="1"/>
      <dgm:spPr>
        <a:xfrm>
          <a:off x="4088070" y="782090"/>
          <a:ext cx="1222536" cy="500151"/>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10</a:t>
          </a: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Pays en transition et pays développés</a:t>
          </a:r>
        </a:p>
      </dgm:t>
    </dgm:pt>
    <dgm:pt modelId="{9B3CB24D-A47A-4081-B256-B868D89D5387}" type="sibTrans" cxnId="{BF65F824-D4F4-4A84-83B4-6B1944B62AAD}">
      <dgm:prSet/>
      <dgm:spPr/>
      <dgm:t>
        <a:bodyPr/>
        <a:lstStyle/>
        <a:p>
          <a:endParaRPr lang="en-US"/>
        </a:p>
      </dgm:t>
    </dgm:pt>
    <dgm:pt modelId="{4693CA52-075F-4BD8-ABEA-5368BE377DDA}" type="parTrans" cxnId="{BF65F824-D4F4-4A84-83B4-6B1944B62AAD}">
      <dgm:prSet/>
      <dgm:spPr>
        <a:xfrm rot="21596465">
          <a:off x="3580228" y="1025534"/>
          <a:ext cx="507844" cy="15042"/>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960C5593-E0FF-4AA5-AA0B-E8BDFFBC5E53}">
      <dgm:prSet phldrT="[Text]" custT="1"/>
      <dgm:spPr>
        <a:xfrm>
          <a:off x="2325435" y="90112"/>
          <a:ext cx="1330197" cy="479811"/>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9</a:t>
          </a:r>
        </a:p>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Bureaux régionaux</a:t>
          </a:r>
        </a:p>
      </dgm:t>
    </dgm:pt>
    <dgm:pt modelId="{88F12DF7-015F-4F26-950A-DAE493699644}" type="sibTrans" cxnId="{529D05ED-97D5-4116-BE13-DE3D93351F7F}">
      <dgm:prSet/>
      <dgm:spPr/>
      <dgm:t>
        <a:bodyPr/>
        <a:lstStyle/>
        <a:p>
          <a:endParaRPr lang="en-US"/>
        </a:p>
      </dgm:t>
    </dgm:pt>
    <dgm:pt modelId="{7AF774ED-547E-4C04-8670-B0C1D08C5EE9}" type="parTrans" cxnId="{529D05ED-97D5-4116-BE13-DE3D93351F7F}">
      <dgm:prSet/>
      <dgm:spPr>
        <a:xfrm rot="16273998">
          <a:off x="2875184" y="670234"/>
          <a:ext cx="215727" cy="15042"/>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B28A0626-F900-4ED0-A7EE-333751E36228}">
      <dgm:prSet phldrT="[Text]" custT="1"/>
      <dgm:spPr>
        <a:xfrm>
          <a:off x="4088070" y="782090"/>
          <a:ext cx="1222536" cy="500151"/>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32</a:t>
          </a:r>
          <a:b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br>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r>
          <a:b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br>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Système de Lisbonne</a:t>
          </a:r>
        </a:p>
      </dgm:t>
    </dgm:pt>
    <dgm:pt modelId="{3CC77A7B-E5CC-462C-BCCB-3FC725A49E50}" type="parTrans" cxnId="{0A0ECBB7-7D7E-4EC3-9379-4983CF9DCEF6}">
      <dgm:prSet/>
      <dgm:spPr/>
      <dgm:t>
        <a:bodyPr/>
        <a:lstStyle/>
        <a:p>
          <a:endParaRPr lang="fr-FR"/>
        </a:p>
      </dgm:t>
    </dgm:pt>
    <dgm:pt modelId="{E78DC914-9FDD-467D-AC5C-ED0E1E16DCFB}" type="sibTrans" cxnId="{0A0ECBB7-7D7E-4EC3-9379-4983CF9DCEF6}">
      <dgm:prSet/>
      <dgm:spPr/>
      <dgm:t>
        <a:bodyPr/>
        <a:lstStyle/>
        <a:p>
          <a:endParaRPr lang="fr-FR"/>
        </a:p>
      </dgm:t>
    </dgm:pt>
    <dgm:pt modelId="{08F189A1-AB47-41D1-8058-7A6DA66B3F52}" type="pres">
      <dgm:prSet presAssocID="{34E6C8D5-8D4F-4714-8A12-8F4599A8E760}" presName="cycle" presStyleCnt="0">
        <dgm:presLayoutVars>
          <dgm:chMax val="1"/>
          <dgm:dir/>
          <dgm:animLvl val="ctr"/>
          <dgm:resizeHandles val="exact"/>
        </dgm:presLayoutVars>
      </dgm:prSet>
      <dgm:spPr/>
      <dgm:t>
        <a:bodyPr/>
        <a:lstStyle/>
        <a:p>
          <a:endParaRPr lang="en-US"/>
        </a:p>
      </dgm:t>
    </dgm:pt>
    <dgm:pt modelId="{062AF917-2F47-4639-8A23-58AD52EC0F32}" type="pres">
      <dgm:prSet presAssocID="{DE541715-C648-404D-8124-F14F463E9202}" presName="centerShape" presStyleLbl="node0" presStyleIdx="0" presStyleCnt="1" custScaleX="276970" custScaleY="81629" custLinFactNeighborY="5772"/>
      <dgm:spPr>
        <a:prstGeom prst="ellipse">
          <a:avLst/>
        </a:prstGeom>
      </dgm:spPr>
      <dgm:t>
        <a:bodyPr/>
        <a:lstStyle/>
        <a:p>
          <a:endParaRPr lang="en-US"/>
        </a:p>
      </dgm:t>
    </dgm:pt>
    <dgm:pt modelId="{5337AE63-3722-42CC-AF72-36670EB7C5E1}" type="pres">
      <dgm:prSet presAssocID="{7AF774ED-547E-4C04-8670-B0C1D08C5EE9}" presName="Name9" presStyleLbl="parChTrans1D2" presStyleIdx="0" presStyleCnt="4"/>
      <dgm:spPr>
        <a:custGeom>
          <a:avLst/>
          <a:gdLst/>
          <a:ahLst/>
          <a:cxnLst/>
          <a:rect l="0" t="0" r="0" b="0"/>
          <a:pathLst>
            <a:path>
              <a:moveTo>
                <a:pt x="0" y="7815"/>
              </a:moveTo>
              <a:lnTo>
                <a:pt x="150618" y="7815"/>
              </a:lnTo>
            </a:path>
          </a:pathLst>
        </a:custGeom>
      </dgm:spPr>
      <dgm:t>
        <a:bodyPr/>
        <a:lstStyle/>
        <a:p>
          <a:endParaRPr lang="en-US"/>
        </a:p>
      </dgm:t>
    </dgm:pt>
    <dgm:pt modelId="{326412CE-9911-4799-A459-B56F02EB4473}" type="pres">
      <dgm:prSet presAssocID="{7AF774ED-547E-4C04-8670-B0C1D08C5EE9}" presName="connTx" presStyleLbl="parChTrans1D2" presStyleIdx="0" presStyleCnt="4"/>
      <dgm:spPr/>
      <dgm:t>
        <a:bodyPr/>
        <a:lstStyle/>
        <a:p>
          <a:endParaRPr lang="en-US"/>
        </a:p>
      </dgm:t>
    </dgm:pt>
    <dgm:pt modelId="{CED9197C-8322-406B-917C-172FA36E7B76}" type="pres">
      <dgm:prSet presAssocID="{960C5593-E0FF-4AA5-AA0B-E8BDFFBC5E53}" presName="node" presStyleLbl="node1" presStyleIdx="0" presStyleCnt="4" custScaleX="267802" custScaleY="87085" custRadScaleRad="74901" custRadScaleInc="-3235">
        <dgm:presLayoutVars>
          <dgm:bulletEnabled val="1"/>
        </dgm:presLayoutVars>
      </dgm:prSet>
      <dgm:spPr>
        <a:prstGeom prst="ellipse">
          <a:avLst/>
        </a:prstGeom>
      </dgm:spPr>
      <dgm:t>
        <a:bodyPr/>
        <a:lstStyle/>
        <a:p>
          <a:endParaRPr lang="en-US"/>
        </a:p>
      </dgm:t>
    </dgm:pt>
    <dgm:pt modelId="{4AC11394-3179-4EC5-A97F-D1A1B521CE2F}" type="pres">
      <dgm:prSet presAssocID="{4693CA52-075F-4BD8-ABEA-5368BE377DDA}" presName="Name9" presStyleLbl="parChTrans1D2" presStyleIdx="1" presStyleCnt="4"/>
      <dgm:spPr>
        <a:custGeom>
          <a:avLst/>
          <a:gdLst/>
          <a:ahLst/>
          <a:cxnLst/>
          <a:rect l="0" t="0" r="0" b="0"/>
          <a:pathLst>
            <a:path>
              <a:moveTo>
                <a:pt x="0" y="7815"/>
              </a:moveTo>
              <a:lnTo>
                <a:pt x="468343" y="7815"/>
              </a:lnTo>
            </a:path>
          </a:pathLst>
        </a:custGeom>
      </dgm:spPr>
      <dgm:t>
        <a:bodyPr/>
        <a:lstStyle/>
        <a:p>
          <a:endParaRPr lang="en-US"/>
        </a:p>
      </dgm:t>
    </dgm:pt>
    <dgm:pt modelId="{62A1F741-432F-46BE-AE07-15F0B6D5EA89}" type="pres">
      <dgm:prSet presAssocID="{4693CA52-075F-4BD8-ABEA-5368BE377DDA}" presName="connTx" presStyleLbl="parChTrans1D2" presStyleIdx="1" presStyleCnt="4"/>
      <dgm:spPr/>
      <dgm:t>
        <a:bodyPr/>
        <a:lstStyle/>
        <a:p>
          <a:endParaRPr lang="en-US"/>
        </a:p>
      </dgm:t>
    </dgm:pt>
    <dgm:pt modelId="{035B4C9A-0916-4FCC-A1CF-85DB358A289A}" type="pres">
      <dgm:prSet presAssocID="{4631C2C5-1554-4289-90B0-F2D55D1595B6}" presName="node" presStyleLbl="node1" presStyleIdx="1" presStyleCnt="4" custScaleX="246127" custScaleY="97358" custRadScaleRad="260471" custRadScaleInc="5248">
        <dgm:presLayoutVars>
          <dgm:bulletEnabled val="1"/>
        </dgm:presLayoutVars>
      </dgm:prSet>
      <dgm:spPr>
        <a:prstGeom prst="ellipse">
          <a:avLst/>
        </a:prstGeom>
      </dgm:spPr>
      <dgm:t>
        <a:bodyPr/>
        <a:lstStyle/>
        <a:p>
          <a:endParaRPr lang="en-US"/>
        </a:p>
      </dgm:t>
    </dgm:pt>
    <dgm:pt modelId="{DABD9CAB-9D40-462A-9A56-AB1C78A63D40}" type="pres">
      <dgm:prSet presAssocID="{3CC77A7B-E5CC-462C-BCCB-3FC725A49E50}" presName="Name9" presStyleLbl="parChTrans1D2" presStyleIdx="2" presStyleCnt="4"/>
      <dgm:spPr/>
      <dgm:t>
        <a:bodyPr/>
        <a:lstStyle/>
        <a:p>
          <a:endParaRPr lang="fr-FR"/>
        </a:p>
      </dgm:t>
    </dgm:pt>
    <dgm:pt modelId="{E20EFA66-253D-479A-800B-B1589CF8CCF9}" type="pres">
      <dgm:prSet presAssocID="{3CC77A7B-E5CC-462C-BCCB-3FC725A49E50}" presName="connTx" presStyleLbl="parChTrans1D2" presStyleIdx="2" presStyleCnt="4"/>
      <dgm:spPr/>
      <dgm:t>
        <a:bodyPr/>
        <a:lstStyle/>
        <a:p>
          <a:endParaRPr lang="fr-FR"/>
        </a:p>
      </dgm:t>
    </dgm:pt>
    <dgm:pt modelId="{105924F0-B002-4AF6-ACA0-894D668A7824}" type="pres">
      <dgm:prSet presAssocID="{B28A0626-F900-4ED0-A7EE-333751E36228}" presName="node" presStyleLbl="node1" presStyleIdx="2" presStyleCnt="4" custScaleX="308292" custRadScaleRad="271698" custRadScaleInc="194044">
        <dgm:presLayoutVars>
          <dgm:bulletEnabled val="1"/>
        </dgm:presLayoutVars>
      </dgm:prSet>
      <dgm:spPr/>
      <dgm:t>
        <a:bodyPr/>
        <a:lstStyle/>
        <a:p>
          <a:endParaRPr lang="fr-FR"/>
        </a:p>
      </dgm:t>
    </dgm:pt>
    <dgm:pt modelId="{ADF94B70-0D7F-4A27-8DF9-17BCD27F4A7A}" type="pres">
      <dgm:prSet presAssocID="{0FABC453-0A5C-4CAE-813B-F0494A34E025}" presName="Name9" presStyleLbl="parChTrans1D2" presStyleIdx="3" presStyleCnt="4"/>
      <dgm:spPr>
        <a:custGeom>
          <a:avLst/>
          <a:gdLst/>
          <a:ahLst/>
          <a:cxnLst/>
          <a:rect l="0" t="0" r="0" b="0"/>
          <a:pathLst>
            <a:path>
              <a:moveTo>
                <a:pt x="0" y="7815"/>
              </a:moveTo>
              <a:lnTo>
                <a:pt x="439465" y="7815"/>
              </a:lnTo>
            </a:path>
          </a:pathLst>
        </a:custGeom>
      </dgm:spPr>
      <dgm:t>
        <a:bodyPr/>
        <a:lstStyle/>
        <a:p>
          <a:endParaRPr lang="en-US"/>
        </a:p>
      </dgm:t>
    </dgm:pt>
    <dgm:pt modelId="{EA4144E0-C5B2-4FC0-BDB2-550B61DB7DFD}" type="pres">
      <dgm:prSet presAssocID="{0FABC453-0A5C-4CAE-813B-F0494A34E025}" presName="connTx" presStyleLbl="parChTrans1D2" presStyleIdx="3" presStyleCnt="4"/>
      <dgm:spPr/>
      <dgm:t>
        <a:bodyPr/>
        <a:lstStyle/>
        <a:p>
          <a:endParaRPr lang="en-US"/>
        </a:p>
      </dgm:t>
    </dgm:pt>
    <dgm:pt modelId="{0FAF3FA1-8E6C-455E-B189-A468B3F4D8BC}" type="pres">
      <dgm:prSet presAssocID="{C06C39C9-71B8-489C-9C45-3DD37A424E39}" presName="node" presStyleLbl="node1" presStyleIdx="3" presStyleCnt="4" custScaleX="260255" custScaleY="98692" custRadScaleRad="104090" custRadScaleInc="-200029">
        <dgm:presLayoutVars>
          <dgm:bulletEnabled val="1"/>
        </dgm:presLayoutVars>
      </dgm:prSet>
      <dgm:spPr>
        <a:prstGeom prst="ellipse">
          <a:avLst/>
        </a:prstGeom>
      </dgm:spPr>
      <dgm:t>
        <a:bodyPr/>
        <a:lstStyle/>
        <a:p>
          <a:endParaRPr lang="en-US"/>
        </a:p>
      </dgm:t>
    </dgm:pt>
  </dgm:ptLst>
  <dgm:cxnLst>
    <dgm:cxn modelId="{E6246B68-11F1-4FBA-9670-004ACB9ACB7B}" type="presOf" srcId="{0FABC453-0A5C-4CAE-813B-F0494A34E025}" destId="{ADF94B70-0D7F-4A27-8DF9-17BCD27F4A7A}" srcOrd="0" destOrd="0" presId="urn:microsoft.com/office/officeart/2005/8/layout/radial1"/>
    <dgm:cxn modelId="{DA740704-6E02-4402-8325-D0302449434E}" srcId="{34E6C8D5-8D4F-4714-8A12-8F4599A8E760}" destId="{4F895710-9C0A-4357-A62A-B00C2B1BB2A2}" srcOrd="1" destOrd="0" parTransId="{4492527F-B2BC-4423-9ACC-2816666249A0}" sibTransId="{A0A859C5-79E5-4C97-AF72-54A6D166EEA1}"/>
    <dgm:cxn modelId="{22CFBE58-87EC-4B70-B1CC-D1D1DB4968C7}" srcId="{34E6C8D5-8D4F-4714-8A12-8F4599A8E760}" destId="{DE541715-C648-404D-8124-F14F463E9202}" srcOrd="0" destOrd="0" parTransId="{D7DB3476-9C56-4274-B046-F742EA8694F1}" sibTransId="{7CA7849B-681D-4C0D-A708-F47E97871BB2}"/>
    <dgm:cxn modelId="{4B549A14-B9FC-423E-956E-854C88C06585}" type="presOf" srcId="{C06C39C9-71B8-489C-9C45-3DD37A424E39}" destId="{0FAF3FA1-8E6C-455E-B189-A468B3F4D8BC}" srcOrd="0" destOrd="0" presId="urn:microsoft.com/office/officeart/2005/8/layout/radial1"/>
    <dgm:cxn modelId="{BF65F824-D4F4-4A84-83B4-6B1944B62AAD}" srcId="{DE541715-C648-404D-8124-F14F463E9202}" destId="{4631C2C5-1554-4289-90B0-F2D55D1595B6}" srcOrd="1" destOrd="0" parTransId="{4693CA52-075F-4BD8-ABEA-5368BE377DDA}" sibTransId="{9B3CB24D-A47A-4081-B256-B868D89D5387}"/>
    <dgm:cxn modelId="{927D83CE-71F6-4883-B7AD-2AB7716E7761}" type="presOf" srcId="{DE541715-C648-404D-8124-F14F463E9202}" destId="{062AF917-2F47-4639-8A23-58AD52EC0F32}" srcOrd="0" destOrd="0" presId="urn:microsoft.com/office/officeart/2005/8/layout/radial1"/>
    <dgm:cxn modelId="{77960EAE-3C49-4EA6-AD19-C78708D3044A}" type="presOf" srcId="{7AF774ED-547E-4C04-8670-B0C1D08C5EE9}" destId="{326412CE-9911-4799-A459-B56F02EB4473}" srcOrd="1" destOrd="0" presId="urn:microsoft.com/office/officeart/2005/8/layout/radial1"/>
    <dgm:cxn modelId="{0A0ECBB7-7D7E-4EC3-9379-4983CF9DCEF6}" srcId="{DE541715-C648-404D-8124-F14F463E9202}" destId="{B28A0626-F900-4ED0-A7EE-333751E36228}" srcOrd="2" destOrd="0" parTransId="{3CC77A7B-E5CC-462C-BCCB-3FC725A49E50}" sibTransId="{E78DC914-9FDD-467D-AC5C-ED0E1E16DCFB}"/>
    <dgm:cxn modelId="{154941BE-DE41-4645-8618-3781A51DEBC1}" type="presOf" srcId="{B28A0626-F900-4ED0-A7EE-333751E36228}" destId="{105924F0-B002-4AF6-ACA0-894D668A7824}" srcOrd="0" destOrd="0" presId="urn:microsoft.com/office/officeart/2005/8/layout/radial1"/>
    <dgm:cxn modelId="{7C8696AB-8F24-4D2D-8A00-11A7BEC0E60F}" type="presOf" srcId="{4693CA52-075F-4BD8-ABEA-5368BE377DDA}" destId="{4AC11394-3179-4EC5-A97F-D1A1B521CE2F}" srcOrd="0" destOrd="0" presId="urn:microsoft.com/office/officeart/2005/8/layout/radial1"/>
    <dgm:cxn modelId="{A07FCC27-E5CB-4D6D-A5DF-3BA9D6B62C71}" type="presOf" srcId="{4693CA52-075F-4BD8-ABEA-5368BE377DDA}" destId="{62A1F741-432F-46BE-AE07-15F0B6D5EA89}" srcOrd="1" destOrd="0" presId="urn:microsoft.com/office/officeart/2005/8/layout/radial1"/>
    <dgm:cxn modelId="{683A9DF6-CBA5-4D0D-A181-32927052DB86}" type="presOf" srcId="{7AF774ED-547E-4C04-8670-B0C1D08C5EE9}" destId="{5337AE63-3722-42CC-AF72-36670EB7C5E1}" srcOrd="0" destOrd="0" presId="urn:microsoft.com/office/officeart/2005/8/layout/radial1"/>
    <dgm:cxn modelId="{763FD79B-4E65-496E-A675-FA1AA88E5072}" type="presOf" srcId="{0FABC453-0A5C-4CAE-813B-F0494A34E025}" destId="{EA4144E0-C5B2-4FC0-BDB2-550B61DB7DFD}" srcOrd="1" destOrd="0" presId="urn:microsoft.com/office/officeart/2005/8/layout/radial1"/>
    <dgm:cxn modelId="{248698A6-055B-40E3-B808-D624056EF2B0}" srcId="{DE541715-C648-404D-8124-F14F463E9202}" destId="{C06C39C9-71B8-489C-9C45-3DD37A424E39}" srcOrd="3" destOrd="0" parTransId="{0FABC453-0A5C-4CAE-813B-F0494A34E025}" sibTransId="{DCD34884-F96E-475A-9010-14DE66A403A6}"/>
    <dgm:cxn modelId="{7DCBF464-EC00-40D4-AF7F-3D7520F43AA1}" type="presOf" srcId="{3CC77A7B-E5CC-462C-BCCB-3FC725A49E50}" destId="{E20EFA66-253D-479A-800B-B1589CF8CCF9}" srcOrd="1" destOrd="0" presId="urn:microsoft.com/office/officeart/2005/8/layout/radial1"/>
    <dgm:cxn modelId="{529D05ED-97D5-4116-BE13-DE3D93351F7F}" srcId="{DE541715-C648-404D-8124-F14F463E9202}" destId="{960C5593-E0FF-4AA5-AA0B-E8BDFFBC5E53}" srcOrd="0" destOrd="0" parTransId="{7AF774ED-547E-4C04-8670-B0C1D08C5EE9}" sibTransId="{88F12DF7-015F-4F26-950A-DAE493699644}"/>
    <dgm:cxn modelId="{03E93806-06E9-409C-8D8E-454B276BBE00}" type="presOf" srcId="{3CC77A7B-E5CC-462C-BCCB-3FC725A49E50}" destId="{DABD9CAB-9D40-462A-9A56-AB1C78A63D40}" srcOrd="0" destOrd="0" presId="urn:microsoft.com/office/officeart/2005/8/layout/radial1"/>
    <dgm:cxn modelId="{B42A8ACB-D842-49C5-BE57-D585B83A41D4}" type="presOf" srcId="{4631C2C5-1554-4289-90B0-F2D55D1595B6}" destId="{035B4C9A-0916-4FCC-A1CF-85DB358A289A}" srcOrd="0" destOrd="0" presId="urn:microsoft.com/office/officeart/2005/8/layout/radial1"/>
    <dgm:cxn modelId="{80F90444-D939-48FB-95A5-1A0BE07A3ABD}" type="presOf" srcId="{34E6C8D5-8D4F-4714-8A12-8F4599A8E760}" destId="{08F189A1-AB47-41D1-8058-7A6DA66B3F52}" srcOrd="0" destOrd="0" presId="urn:microsoft.com/office/officeart/2005/8/layout/radial1"/>
    <dgm:cxn modelId="{61A6B9DF-FD79-4A6A-8FDD-6470D009DE8A}" type="presOf" srcId="{960C5593-E0FF-4AA5-AA0B-E8BDFFBC5E53}" destId="{CED9197C-8322-406B-917C-172FA36E7B76}" srcOrd="0" destOrd="0" presId="urn:microsoft.com/office/officeart/2005/8/layout/radial1"/>
    <dgm:cxn modelId="{CB4BB04C-44C6-4603-A454-DE340F6AFD7B}" type="presParOf" srcId="{08F189A1-AB47-41D1-8058-7A6DA66B3F52}" destId="{062AF917-2F47-4639-8A23-58AD52EC0F32}" srcOrd="0" destOrd="0" presId="urn:microsoft.com/office/officeart/2005/8/layout/radial1"/>
    <dgm:cxn modelId="{C7E91304-9F2A-49EE-AC60-E376EBCFD9AF}" type="presParOf" srcId="{08F189A1-AB47-41D1-8058-7A6DA66B3F52}" destId="{5337AE63-3722-42CC-AF72-36670EB7C5E1}" srcOrd="1" destOrd="0" presId="urn:microsoft.com/office/officeart/2005/8/layout/radial1"/>
    <dgm:cxn modelId="{80BE10A8-B717-4EF2-9160-B91D84729F7F}" type="presParOf" srcId="{5337AE63-3722-42CC-AF72-36670EB7C5E1}" destId="{326412CE-9911-4799-A459-B56F02EB4473}" srcOrd="0" destOrd="0" presId="urn:microsoft.com/office/officeart/2005/8/layout/radial1"/>
    <dgm:cxn modelId="{E998CD08-2359-4E3A-9CA4-CEEE1FD12C0E}" type="presParOf" srcId="{08F189A1-AB47-41D1-8058-7A6DA66B3F52}" destId="{CED9197C-8322-406B-917C-172FA36E7B76}" srcOrd="2" destOrd="0" presId="urn:microsoft.com/office/officeart/2005/8/layout/radial1"/>
    <dgm:cxn modelId="{E43BB65C-D358-472C-A1AD-B0F70440438C}" type="presParOf" srcId="{08F189A1-AB47-41D1-8058-7A6DA66B3F52}" destId="{4AC11394-3179-4EC5-A97F-D1A1B521CE2F}" srcOrd="3" destOrd="0" presId="urn:microsoft.com/office/officeart/2005/8/layout/radial1"/>
    <dgm:cxn modelId="{21B6C488-5060-4492-99EA-BA9F6E482CE8}" type="presParOf" srcId="{4AC11394-3179-4EC5-A97F-D1A1B521CE2F}" destId="{62A1F741-432F-46BE-AE07-15F0B6D5EA89}" srcOrd="0" destOrd="0" presId="urn:microsoft.com/office/officeart/2005/8/layout/radial1"/>
    <dgm:cxn modelId="{47AE19BF-1333-4228-90FB-6BC1878895BE}" type="presParOf" srcId="{08F189A1-AB47-41D1-8058-7A6DA66B3F52}" destId="{035B4C9A-0916-4FCC-A1CF-85DB358A289A}" srcOrd="4" destOrd="0" presId="urn:microsoft.com/office/officeart/2005/8/layout/radial1"/>
    <dgm:cxn modelId="{0DE83D3C-358D-406E-9CD8-1689D5F4F36E}" type="presParOf" srcId="{08F189A1-AB47-41D1-8058-7A6DA66B3F52}" destId="{DABD9CAB-9D40-462A-9A56-AB1C78A63D40}" srcOrd="5" destOrd="0" presId="urn:microsoft.com/office/officeart/2005/8/layout/radial1"/>
    <dgm:cxn modelId="{6303321A-DA03-48CB-8BE0-5D34D1F20070}" type="presParOf" srcId="{DABD9CAB-9D40-462A-9A56-AB1C78A63D40}" destId="{E20EFA66-253D-479A-800B-B1589CF8CCF9}" srcOrd="0" destOrd="0" presId="urn:microsoft.com/office/officeart/2005/8/layout/radial1"/>
    <dgm:cxn modelId="{F516B1FC-B561-4452-A478-5649BFA7F5F2}" type="presParOf" srcId="{08F189A1-AB47-41D1-8058-7A6DA66B3F52}" destId="{105924F0-B002-4AF6-ACA0-894D668A7824}" srcOrd="6" destOrd="0" presId="urn:microsoft.com/office/officeart/2005/8/layout/radial1"/>
    <dgm:cxn modelId="{B02872A9-78A8-431F-9EB1-BD6D3567433D}" type="presParOf" srcId="{08F189A1-AB47-41D1-8058-7A6DA66B3F52}" destId="{ADF94B70-0D7F-4A27-8DF9-17BCD27F4A7A}" srcOrd="7" destOrd="0" presId="urn:microsoft.com/office/officeart/2005/8/layout/radial1"/>
    <dgm:cxn modelId="{231457AC-E19B-4C2A-9D05-B0AB4170A407}" type="presParOf" srcId="{ADF94B70-0D7F-4A27-8DF9-17BCD27F4A7A}" destId="{EA4144E0-C5B2-4FC0-BDB2-550B61DB7DFD}" srcOrd="0" destOrd="0" presId="urn:microsoft.com/office/officeart/2005/8/layout/radial1"/>
    <dgm:cxn modelId="{9C35AEE1-133F-4854-92AB-61943185EF54}" type="presParOf" srcId="{08F189A1-AB47-41D1-8058-7A6DA66B3F52}" destId="{0FAF3FA1-8E6C-455E-B189-A468B3F4D8BC}" srcOrd="8" destOrd="0" presId="urn:microsoft.com/office/officeart/2005/8/layout/radial1"/>
  </dgm:cxnLst>
  <dgm:bg/>
  <dgm:whole/>
  <dgm:extLst>
    <a:ext uri="http://schemas.microsoft.com/office/drawing/2008/diagram">
      <dsp:dataModelExt xmlns:dsp="http://schemas.microsoft.com/office/drawing/2008/diagram" relId="rId65" minVer="http://schemas.openxmlformats.org/drawingml/2006/diagram"/>
    </a:ext>
    <a:ext uri="{C62137D5-CB1D-491B-B009-E17868A290BF}">
      <dgm14:recolorImg xmlns:dgm14="http://schemas.microsoft.com/office/drawing/2010/diagram" val="1"/>
    </a:ext>
  </dgm:extLst>
</dgm:dataModel>
</file>

<file path=word/diagrams/data7.xml><?xml version="1.0" encoding="utf-8"?>
<dgm:dataModel xmlns:dgm="http://schemas.openxmlformats.org/drawingml/2006/diagram" xmlns:a="http://schemas.openxmlformats.org/drawingml/2006/main">
  <dgm:ptLst>
    <dgm:pt modelId="{34E6C8D5-8D4F-4714-8A12-8F4599A8E760}"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DE541715-C648-404D-8124-F14F463E9202}">
      <dgm:prSet phldrT="[Text]" custT="1"/>
      <dgm:spPr>
        <a:xfrm>
          <a:off x="2047009" y="751101"/>
          <a:ext cx="1356160" cy="556846"/>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gm:spPr>
      <dgm:t>
        <a:bodyPr/>
        <a:lstStyle/>
        <a:p>
          <a:pPr algn="ctr"/>
          <a:r>
            <a:rPr lang="en-US"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31</a:t>
          </a:r>
        </a:p>
      </dgm:t>
    </dgm:pt>
    <dgm:pt modelId="{7CA7849B-681D-4C0D-A708-F47E97871BB2}" type="sibTrans" cxnId="{22CFBE58-87EC-4B70-B1CC-D1D1DB4968C7}">
      <dgm:prSet/>
      <dgm:spPr/>
      <dgm:t>
        <a:bodyPr/>
        <a:lstStyle/>
        <a:p>
          <a:endParaRPr lang="en-US"/>
        </a:p>
      </dgm:t>
    </dgm:pt>
    <dgm:pt modelId="{D7DB3476-9C56-4274-B046-F742EA8694F1}" type="parTrans" cxnId="{22CFBE58-87EC-4B70-B1CC-D1D1DB4968C7}">
      <dgm:prSet/>
      <dgm:spPr/>
      <dgm:t>
        <a:bodyPr/>
        <a:lstStyle/>
        <a:p>
          <a:endParaRPr lang="en-US"/>
        </a:p>
      </dgm:t>
    </dgm:pt>
    <dgm:pt modelId="{4F895710-9C0A-4357-A62A-B00C2B1BB2A2}">
      <dgm:prSet phldrT="[Text]"/>
      <dgm:spPr/>
      <dgm:t>
        <a:bodyPr/>
        <a:lstStyle/>
        <a:p>
          <a:endParaRPr lang="en-US"/>
        </a:p>
      </dgm:t>
    </dgm:pt>
    <dgm:pt modelId="{A0A859C5-79E5-4C97-AF72-54A6D166EEA1}" type="sibTrans" cxnId="{DA740704-6E02-4402-8325-D0302449434E}">
      <dgm:prSet/>
      <dgm:spPr/>
      <dgm:t>
        <a:bodyPr/>
        <a:lstStyle/>
        <a:p>
          <a:endParaRPr lang="en-US"/>
        </a:p>
      </dgm:t>
    </dgm:pt>
    <dgm:pt modelId="{4492527F-B2BC-4423-9ACC-2816666249A0}" type="parTrans" cxnId="{DA740704-6E02-4402-8325-D0302449434E}">
      <dgm:prSet/>
      <dgm:spPr/>
      <dgm:t>
        <a:bodyPr/>
        <a:lstStyle/>
        <a:p>
          <a:endParaRPr lang="en-US"/>
        </a:p>
      </dgm:t>
    </dgm:pt>
    <dgm:pt modelId="{C06C39C9-71B8-489C-9C45-3DD37A424E39}">
      <dgm:prSet phldrT="[Text]" custT="1"/>
      <dgm:spPr>
        <a:xfrm>
          <a:off x="154299" y="782942"/>
          <a:ext cx="1434875" cy="502158"/>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10</a:t>
          </a:r>
        </a:p>
        <a:p>
          <a:r>
            <a:rPr lang="fr-FR"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Pays en transition et pays développés</a:t>
          </a:r>
          <a:endParaRPr lang="en-US" sz="5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DCD34884-F96E-475A-9010-14DE66A403A6}" type="sibTrans" cxnId="{248698A6-055B-40E3-B808-D624056EF2B0}">
      <dgm:prSet/>
      <dgm:spPr/>
      <dgm:t>
        <a:bodyPr/>
        <a:lstStyle/>
        <a:p>
          <a:endParaRPr lang="en-US"/>
        </a:p>
      </dgm:t>
    </dgm:pt>
    <dgm:pt modelId="{0FABC453-0A5C-4CAE-813B-F0494A34E025}" type="parTrans" cxnId="{248698A6-055B-40E3-B808-D624056EF2B0}">
      <dgm:prSet/>
      <dgm:spPr>
        <a:xfrm rot="10791658">
          <a:off x="1589157" y="1022591"/>
          <a:ext cx="457865" cy="18269"/>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4631C2C5-1554-4289-90B0-F2D55D1595B6}">
      <dgm:prSet phldrT="[Text]" custT="1"/>
      <dgm:spPr>
        <a:xfrm>
          <a:off x="1967338" y="0"/>
          <a:ext cx="1512650" cy="576831"/>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6</a:t>
          </a: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Système de Madrid</a:t>
          </a:r>
        </a:p>
      </dgm:t>
    </dgm:pt>
    <dgm:pt modelId="{9B3CB24D-A47A-4081-B256-B868D89D5387}" type="sibTrans" cxnId="{BF65F824-D4F4-4A84-83B4-6B1944B62AAD}">
      <dgm:prSet/>
      <dgm:spPr/>
      <dgm:t>
        <a:bodyPr/>
        <a:lstStyle/>
        <a:p>
          <a:endParaRPr lang="en-US"/>
        </a:p>
      </dgm:t>
    </dgm:pt>
    <dgm:pt modelId="{4693CA52-075F-4BD8-ABEA-5368BE377DDA}" type="parTrans" cxnId="{BF65F824-D4F4-4A84-83B4-6B1944B62AAD}">
      <dgm:prSet/>
      <dgm:spPr>
        <a:xfrm rot="16193386">
          <a:off x="2637251" y="654832"/>
          <a:ext cx="174270" cy="18269"/>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5C260341-F1C3-4458-A657-957289015FC3}">
      <dgm:prSet phldrT="[Text]" custT="1"/>
      <dgm:spPr>
        <a:xfrm>
          <a:off x="3824740" y="770785"/>
          <a:ext cx="1507315" cy="520573"/>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9</a:t>
          </a:r>
        </a:p>
        <a:p>
          <a:r>
            <a:rPr lang="fr-FR"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Bureaux régionaux</a:t>
          </a:r>
          <a:endParaRPr lang="en-US" sz="7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45A6C23B-D452-4078-BA3A-466D0894B9EB}" type="parTrans" cxnId="{0266A1D0-CEC9-45F3-8B31-A21772E8AA19}">
      <dgm:prSet/>
      <dgm:spPr>
        <a:xfrm rot="2869">
          <a:off x="3403168" y="1021132"/>
          <a:ext cx="421574" cy="18269"/>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89B7C331-6FB9-4771-84B2-9F75AB1415C9}" type="sibTrans" cxnId="{0266A1D0-CEC9-45F3-8B31-A21772E8AA19}">
      <dgm:prSet/>
      <dgm:spPr/>
      <dgm:t>
        <a:bodyPr/>
        <a:lstStyle/>
        <a:p>
          <a:endParaRPr lang="en-US"/>
        </a:p>
      </dgm:t>
    </dgm:pt>
    <dgm:pt modelId="{08F189A1-AB47-41D1-8058-7A6DA66B3F52}" type="pres">
      <dgm:prSet presAssocID="{34E6C8D5-8D4F-4714-8A12-8F4599A8E760}" presName="cycle" presStyleCnt="0">
        <dgm:presLayoutVars>
          <dgm:chMax val="1"/>
          <dgm:dir/>
          <dgm:animLvl val="ctr"/>
          <dgm:resizeHandles val="exact"/>
        </dgm:presLayoutVars>
      </dgm:prSet>
      <dgm:spPr/>
      <dgm:t>
        <a:bodyPr/>
        <a:lstStyle/>
        <a:p>
          <a:endParaRPr lang="en-US"/>
        </a:p>
      </dgm:t>
    </dgm:pt>
    <dgm:pt modelId="{062AF917-2F47-4639-8A23-58AD52EC0F32}" type="pres">
      <dgm:prSet presAssocID="{DE541715-C648-404D-8124-F14F463E9202}" presName="centerShape" presStyleLbl="node0" presStyleIdx="0" presStyleCnt="1" custScaleX="243543" custLinFactNeighborX="0" custLinFactNeighborY="386"/>
      <dgm:spPr>
        <a:prstGeom prst="ellipse">
          <a:avLst/>
        </a:prstGeom>
      </dgm:spPr>
      <dgm:t>
        <a:bodyPr/>
        <a:lstStyle/>
        <a:p>
          <a:endParaRPr lang="en-US"/>
        </a:p>
      </dgm:t>
    </dgm:pt>
    <dgm:pt modelId="{4AC11394-3179-4EC5-A97F-D1A1B521CE2F}" type="pres">
      <dgm:prSet presAssocID="{4693CA52-075F-4BD8-ABEA-5368BE377DDA}" presName="Name9" presStyleLbl="parChTrans1D2" presStyleIdx="0" presStyleCnt="3"/>
      <dgm:spPr>
        <a:custGeom>
          <a:avLst/>
          <a:gdLst/>
          <a:ahLst/>
          <a:cxnLst/>
          <a:rect l="0" t="0" r="0" b="0"/>
          <a:pathLst>
            <a:path>
              <a:moveTo>
                <a:pt x="0" y="9134"/>
              </a:moveTo>
              <a:lnTo>
                <a:pt x="163517" y="9134"/>
              </a:lnTo>
            </a:path>
          </a:pathLst>
        </a:custGeom>
      </dgm:spPr>
      <dgm:t>
        <a:bodyPr/>
        <a:lstStyle/>
        <a:p>
          <a:endParaRPr lang="en-US"/>
        </a:p>
      </dgm:t>
    </dgm:pt>
    <dgm:pt modelId="{62A1F741-432F-46BE-AE07-15F0B6D5EA89}" type="pres">
      <dgm:prSet presAssocID="{4693CA52-075F-4BD8-ABEA-5368BE377DDA}" presName="connTx" presStyleLbl="parChTrans1D2" presStyleIdx="0" presStyleCnt="3"/>
      <dgm:spPr/>
      <dgm:t>
        <a:bodyPr/>
        <a:lstStyle/>
        <a:p>
          <a:endParaRPr lang="en-US"/>
        </a:p>
      </dgm:t>
    </dgm:pt>
    <dgm:pt modelId="{035B4C9A-0916-4FCC-A1CF-85DB358A289A}" type="pres">
      <dgm:prSet presAssocID="{4631C2C5-1554-4289-90B0-F2D55D1595B6}" presName="node" presStyleLbl="node1" presStyleIdx="0" presStyleCnt="3" custScaleX="271646" custScaleY="103589" custRadScaleRad="100387" custRadScaleInc="-187">
        <dgm:presLayoutVars>
          <dgm:bulletEnabled val="1"/>
        </dgm:presLayoutVars>
      </dgm:prSet>
      <dgm:spPr>
        <a:prstGeom prst="ellipse">
          <a:avLst/>
        </a:prstGeom>
      </dgm:spPr>
      <dgm:t>
        <a:bodyPr/>
        <a:lstStyle/>
        <a:p>
          <a:endParaRPr lang="en-US"/>
        </a:p>
      </dgm:t>
    </dgm:pt>
    <dgm:pt modelId="{64248C57-3CE0-4657-BC67-6279BA0257B1}" type="pres">
      <dgm:prSet presAssocID="{45A6C23B-D452-4078-BA3A-466D0894B9EB}" presName="Name9" presStyleLbl="parChTrans1D2" presStyleIdx="1" presStyleCnt="3"/>
      <dgm:spPr>
        <a:custGeom>
          <a:avLst/>
          <a:gdLst/>
          <a:ahLst/>
          <a:cxnLst/>
          <a:rect l="0" t="0" r="0" b="0"/>
          <a:pathLst>
            <a:path>
              <a:moveTo>
                <a:pt x="0" y="9134"/>
              </a:moveTo>
              <a:lnTo>
                <a:pt x="463565" y="9134"/>
              </a:lnTo>
            </a:path>
          </a:pathLst>
        </a:custGeom>
      </dgm:spPr>
      <dgm:t>
        <a:bodyPr/>
        <a:lstStyle/>
        <a:p>
          <a:endParaRPr lang="en-US"/>
        </a:p>
      </dgm:t>
    </dgm:pt>
    <dgm:pt modelId="{C7C9B7EB-2DEF-4B99-8D38-AC2E9641BEB5}" type="pres">
      <dgm:prSet presAssocID="{45A6C23B-D452-4078-BA3A-466D0894B9EB}" presName="connTx" presStyleLbl="parChTrans1D2" presStyleIdx="1" presStyleCnt="3"/>
      <dgm:spPr/>
      <dgm:t>
        <a:bodyPr/>
        <a:lstStyle/>
        <a:p>
          <a:endParaRPr lang="en-US"/>
        </a:p>
      </dgm:t>
    </dgm:pt>
    <dgm:pt modelId="{976BA53C-17D4-4F7C-9078-1272C469C9E5}" type="pres">
      <dgm:prSet presAssocID="{5C260341-F1C3-4458-A657-957289015FC3}" presName="node" presStyleLbl="node1" presStyleIdx="1" presStyleCnt="3" custScaleX="263028" custScaleY="126007" custRadScaleRad="255715" custRadScaleInc="-49632">
        <dgm:presLayoutVars>
          <dgm:bulletEnabled val="1"/>
        </dgm:presLayoutVars>
      </dgm:prSet>
      <dgm:spPr>
        <a:prstGeom prst="ellipse">
          <a:avLst/>
        </a:prstGeom>
      </dgm:spPr>
      <dgm:t>
        <a:bodyPr/>
        <a:lstStyle/>
        <a:p>
          <a:endParaRPr lang="en-US"/>
        </a:p>
      </dgm:t>
    </dgm:pt>
    <dgm:pt modelId="{ADF94B70-0D7F-4A27-8DF9-17BCD27F4A7A}" type="pres">
      <dgm:prSet presAssocID="{0FABC453-0A5C-4CAE-813B-F0494A34E025}" presName="Name9" presStyleLbl="parChTrans1D2" presStyleIdx="2" presStyleCnt="3"/>
      <dgm:spPr>
        <a:custGeom>
          <a:avLst/>
          <a:gdLst/>
          <a:ahLst/>
          <a:cxnLst/>
          <a:rect l="0" t="0" r="0" b="0"/>
          <a:pathLst>
            <a:path>
              <a:moveTo>
                <a:pt x="0" y="9134"/>
              </a:moveTo>
              <a:lnTo>
                <a:pt x="457860" y="9134"/>
              </a:lnTo>
            </a:path>
          </a:pathLst>
        </a:custGeom>
      </dgm:spPr>
      <dgm:t>
        <a:bodyPr/>
        <a:lstStyle/>
        <a:p>
          <a:endParaRPr lang="en-US"/>
        </a:p>
      </dgm:t>
    </dgm:pt>
    <dgm:pt modelId="{EA4144E0-C5B2-4FC0-BDB2-550B61DB7DFD}" type="pres">
      <dgm:prSet presAssocID="{0FABC453-0A5C-4CAE-813B-F0494A34E025}" presName="connTx" presStyleLbl="parChTrans1D2" presStyleIdx="2" presStyleCnt="3"/>
      <dgm:spPr/>
      <dgm:t>
        <a:bodyPr/>
        <a:lstStyle/>
        <a:p>
          <a:endParaRPr lang="en-US"/>
        </a:p>
      </dgm:t>
    </dgm:pt>
    <dgm:pt modelId="{0FAF3FA1-8E6C-455E-B189-A468B3F4D8BC}" type="pres">
      <dgm:prSet presAssocID="{C06C39C9-71B8-489C-9C45-3DD37A424E39}" presName="node" presStyleLbl="node1" presStyleIdx="2" presStyleCnt="3" custScaleX="260036" custScaleY="117017" custRadScaleRad="255723" custRadScaleInc="49480">
        <dgm:presLayoutVars>
          <dgm:bulletEnabled val="1"/>
        </dgm:presLayoutVars>
      </dgm:prSet>
      <dgm:spPr>
        <a:prstGeom prst="ellipse">
          <a:avLst/>
        </a:prstGeom>
      </dgm:spPr>
      <dgm:t>
        <a:bodyPr/>
        <a:lstStyle/>
        <a:p>
          <a:endParaRPr lang="en-US"/>
        </a:p>
      </dgm:t>
    </dgm:pt>
  </dgm:ptLst>
  <dgm:cxnLst>
    <dgm:cxn modelId="{DA740704-6E02-4402-8325-D0302449434E}" srcId="{34E6C8D5-8D4F-4714-8A12-8F4599A8E760}" destId="{4F895710-9C0A-4357-A62A-B00C2B1BB2A2}" srcOrd="1" destOrd="0" parTransId="{4492527F-B2BC-4423-9ACC-2816666249A0}" sibTransId="{A0A859C5-79E5-4C97-AF72-54A6D166EEA1}"/>
    <dgm:cxn modelId="{22CFBE58-87EC-4B70-B1CC-D1D1DB4968C7}" srcId="{34E6C8D5-8D4F-4714-8A12-8F4599A8E760}" destId="{DE541715-C648-404D-8124-F14F463E9202}" srcOrd="0" destOrd="0" parTransId="{D7DB3476-9C56-4274-B046-F742EA8694F1}" sibTransId="{7CA7849B-681D-4C0D-A708-F47E97871BB2}"/>
    <dgm:cxn modelId="{BF65F824-D4F4-4A84-83B4-6B1944B62AAD}" srcId="{DE541715-C648-404D-8124-F14F463E9202}" destId="{4631C2C5-1554-4289-90B0-F2D55D1595B6}" srcOrd="0" destOrd="0" parTransId="{4693CA52-075F-4BD8-ABEA-5368BE377DDA}" sibTransId="{9B3CB24D-A47A-4081-B256-B868D89D5387}"/>
    <dgm:cxn modelId="{56413FAE-C5B5-44B1-AD54-D4B489338481}" type="presOf" srcId="{4631C2C5-1554-4289-90B0-F2D55D1595B6}" destId="{035B4C9A-0916-4FCC-A1CF-85DB358A289A}" srcOrd="0" destOrd="0" presId="urn:microsoft.com/office/officeart/2005/8/layout/radial1"/>
    <dgm:cxn modelId="{40C10EFC-8DBE-4EF0-8121-01ED3ACAC38E}" type="presOf" srcId="{5C260341-F1C3-4458-A657-957289015FC3}" destId="{976BA53C-17D4-4F7C-9078-1272C469C9E5}" srcOrd="0" destOrd="0" presId="urn:microsoft.com/office/officeart/2005/8/layout/radial1"/>
    <dgm:cxn modelId="{30395DE1-32D7-47D5-8506-F3D4F913BFD2}" type="presOf" srcId="{DE541715-C648-404D-8124-F14F463E9202}" destId="{062AF917-2F47-4639-8A23-58AD52EC0F32}" srcOrd="0" destOrd="0" presId="urn:microsoft.com/office/officeart/2005/8/layout/radial1"/>
    <dgm:cxn modelId="{EEFE4EC6-2873-4815-89A1-7AE03E3CCC5C}" type="presOf" srcId="{45A6C23B-D452-4078-BA3A-466D0894B9EB}" destId="{64248C57-3CE0-4657-BC67-6279BA0257B1}" srcOrd="0" destOrd="0" presId="urn:microsoft.com/office/officeart/2005/8/layout/radial1"/>
    <dgm:cxn modelId="{0266A1D0-CEC9-45F3-8B31-A21772E8AA19}" srcId="{DE541715-C648-404D-8124-F14F463E9202}" destId="{5C260341-F1C3-4458-A657-957289015FC3}" srcOrd="1" destOrd="0" parTransId="{45A6C23B-D452-4078-BA3A-466D0894B9EB}" sibTransId="{89B7C331-6FB9-4771-84B2-9F75AB1415C9}"/>
    <dgm:cxn modelId="{A806828C-9D49-4B99-B12D-01DFEEF65010}" type="presOf" srcId="{4693CA52-075F-4BD8-ABEA-5368BE377DDA}" destId="{4AC11394-3179-4EC5-A97F-D1A1B521CE2F}" srcOrd="0" destOrd="0" presId="urn:microsoft.com/office/officeart/2005/8/layout/radial1"/>
    <dgm:cxn modelId="{ED7D0AEA-89AA-4282-87C3-60431178F636}" type="presOf" srcId="{0FABC453-0A5C-4CAE-813B-F0494A34E025}" destId="{ADF94B70-0D7F-4A27-8DF9-17BCD27F4A7A}" srcOrd="0" destOrd="0" presId="urn:microsoft.com/office/officeart/2005/8/layout/radial1"/>
    <dgm:cxn modelId="{ED2463D2-9ACF-4761-834A-55F2BAE7B77F}" type="presOf" srcId="{C06C39C9-71B8-489C-9C45-3DD37A424E39}" destId="{0FAF3FA1-8E6C-455E-B189-A468B3F4D8BC}" srcOrd="0" destOrd="0" presId="urn:microsoft.com/office/officeart/2005/8/layout/radial1"/>
    <dgm:cxn modelId="{79CD1FBF-380A-4962-90F0-0EDD21F697E7}" type="presOf" srcId="{34E6C8D5-8D4F-4714-8A12-8F4599A8E760}" destId="{08F189A1-AB47-41D1-8058-7A6DA66B3F52}" srcOrd="0" destOrd="0" presId="urn:microsoft.com/office/officeart/2005/8/layout/radial1"/>
    <dgm:cxn modelId="{248698A6-055B-40E3-B808-D624056EF2B0}" srcId="{DE541715-C648-404D-8124-F14F463E9202}" destId="{C06C39C9-71B8-489C-9C45-3DD37A424E39}" srcOrd="2" destOrd="0" parTransId="{0FABC453-0A5C-4CAE-813B-F0494A34E025}" sibTransId="{DCD34884-F96E-475A-9010-14DE66A403A6}"/>
    <dgm:cxn modelId="{188CC100-80D1-481E-BEF3-4636D1C2D42C}" type="presOf" srcId="{4693CA52-075F-4BD8-ABEA-5368BE377DDA}" destId="{62A1F741-432F-46BE-AE07-15F0B6D5EA89}" srcOrd="1" destOrd="0" presId="urn:microsoft.com/office/officeart/2005/8/layout/radial1"/>
    <dgm:cxn modelId="{177B2997-14BD-4ADC-91DD-0071DF078F40}" type="presOf" srcId="{45A6C23B-D452-4078-BA3A-466D0894B9EB}" destId="{C7C9B7EB-2DEF-4B99-8D38-AC2E9641BEB5}" srcOrd="1" destOrd="0" presId="urn:microsoft.com/office/officeart/2005/8/layout/radial1"/>
    <dgm:cxn modelId="{7F0FBEFB-7253-4D88-8AAE-5A766D819DFF}" type="presOf" srcId="{0FABC453-0A5C-4CAE-813B-F0494A34E025}" destId="{EA4144E0-C5B2-4FC0-BDB2-550B61DB7DFD}" srcOrd="1" destOrd="0" presId="urn:microsoft.com/office/officeart/2005/8/layout/radial1"/>
    <dgm:cxn modelId="{0367A4F4-0EC6-4C90-87E1-FAA6B62442FC}" type="presParOf" srcId="{08F189A1-AB47-41D1-8058-7A6DA66B3F52}" destId="{062AF917-2F47-4639-8A23-58AD52EC0F32}" srcOrd="0" destOrd="0" presId="urn:microsoft.com/office/officeart/2005/8/layout/radial1"/>
    <dgm:cxn modelId="{889934D1-87C6-4CB2-B30F-029E1D29A114}" type="presParOf" srcId="{08F189A1-AB47-41D1-8058-7A6DA66B3F52}" destId="{4AC11394-3179-4EC5-A97F-D1A1B521CE2F}" srcOrd="1" destOrd="0" presId="urn:microsoft.com/office/officeart/2005/8/layout/radial1"/>
    <dgm:cxn modelId="{1BDADFF6-3082-4512-8D74-D8ABE3F78267}" type="presParOf" srcId="{4AC11394-3179-4EC5-A97F-D1A1B521CE2F}" destId="{62A1F741-432F-46BE-AE07-15F0B6D5EA89}" srcOrd="0" destOrd="0" presId="urn:microsoft.com/office/officeart/2005/8/layout/radial1"/>
    <dgm:cxn modelId="{4493328D-2526-4D00-BAE5-98265132C36D}" type="presParOf" srcId="{08F189A1-AB47-41D1-8058-7A6DA66B3F52}" destId="{035B4C9A-0916-4FCC-A1CF-85DB358A289A}" srcOrd="2" destOrd="0" presId="urn:microsoft.com/office/officeart/2005/8/layout/radial1"/>
    <dgm:cxn modelId="{2A658E4B-9CC4-4375-94FC-3BF0F33D9183}" type="presParOf" srcId="{08F189A1-AB47-41D1-8058-7A6DA66B3F52}" destId="{64248C57-3CE0-4657-BC67-6279BA0257B1}" srcOrd="3" destOrd="0" presId="urn:microsoft.com/office/officeart/2005/8/layout/radial1"/>
    <dgm:cxn modelId="{C8F6F7F7-E31B-43F8-8482-D55060195C62}" type="presParOf" srcId="{64248C57-3CE0-4657-BC67-6279BA0257B1}" destId="{C7C9B7EB-2DEF-4B99-8D38-AC2E9641BEB5}" srcOrd="0" destOrd="0" presId="urn:microsoft.com/office/officeart/2005/8/layout/radial1"/>
    <dgm:cxn modelId="{FD60CE22-2FDB-4BF5-894A-72969DD097EA}" type="presParOf" srcId="{08F189A1-AB47-41D1-8058-7A6DA66B3F52}" destId="{976BA53C-17D4-4F7C-9078-1272C469C9E5}" srcOrd="4" destOrd="0" presId="urn:microsoft.com/office/officeart/2005/8/layout/radial1"/>
    <dgm:cxn modelId="{C7439F86-2F28-4958-BE12-CA7F25B69F4D}" type="presParOf" srcId="{08F189A1-AB47-41D1-8058-7A6DA66B3F52}" destId="{ADF94B70-0D7F-4A27-8DF9-17BCD27F4A7A}" srcOrd="5" destOrd="0" presId="urn:microsoft.com/office/officeart/2005/8/layout/radial1"/>
    <dgm:cxn modelId="{2C5EB0C9-ABFA-465E-B541-24FFBA95E43D}" type="presParOf" srcId="{ADF94B70-0D7F-4A27-8DF9-17BCD27F4A7A}" destId="{EA4144E0-C5B2-4FC0-BDB2-550B61DB7DFD}" srcOrd="0" destOrd="0" presId="urn:microsoft.com/office/officeart/2005/8/layout/radial1"/>
    <dgm:cxn modelId="{82FE55E4-09D7-45FB-8909-33F7035F661C}" type="presParOf" srcId="{08F189A1-AB47-41D1-8058-7A6DA66B3F52}" destId="{0FAF3FA1-8E6C-455E-B189-A468B3F4D8BC}" srcOrd="6" destOrd="0" presId="urn:microsoft.com/office/officeart/2005/8/layout/radial1"/>
  </dgm:cxnLst>
  <dgm:bg/>
  <dgm:whole/>
  <dgm:extLst>
    <a:ext uri="http://schemas.microsoft.com/office/drawing/2008/diagram">
      <dsp:dataModelExt xmlns:dsp="http://schemas.microsoft.com/office/drawing/2008/diagram" relId="rId71" minVer="http://schemas.openxmlformats.org/drawingml/2006/diagram"/>
    </a:ext>
    <a:ext uri="{C62137D5-CB1D-491B-B009-E17868A290BF}">
      <dgm14:recolorImg xmlns:dgm14="http://schemas.microsoft.com/office/drawing/2010/diagram" val="1"/>
    </a:ext>
  </dgm:extLst>
</dgm:dataModel>
</file>

<file path=word/diagrams/data8.xml><?xml version="1.0" encoding="utf-8"?>
<dgm:dataModel xmlns:dgm="http://schemas.openxmlformats.org/drawingml/2006/diagram" xmlns:a="http://schemas.openxmlformats.org/drawingml/2006/main">
  <dgm:ptLst>
    <dgm:pt modelId="{34E6C8D5-8D4F-4714-8A12-8F4599A8E760}"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DE541715-C648-404D-8124-F14F463E9202}">
      <dgm:prSet phldrT="[Text]" custT="1"/>
      <dgm:spPr>
        <a:xfrm>
          <a:off x="2047009" y="751101"/>
          <a:ext cx="1356160" cy="556846"/>
        </a:xfr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gm:spPr>
      <dgm:t>
        <a:bodyPr/>
        <a:lstStyle/>
        <a:p>
          <a:pPr algn="ctr"/>
          <a:r>
            <a:rPr lang="en-US" sz="11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32</a:t>
          </a:r>
        </a:p>
      </dgm:t>
    </dgm:pt>
    <dgm:pt modelId="{7CA7849B-681D-4C0D-A708-F47E97871BB2}" type="sibTrans" cxnId="{22CFBE58-87EC-4B70-B1CC-D1D1DB4968C7}">
      <dgm:prSet/>
      <dgm:spPr/>
      <dgm:t>
        <a:bodyPr/>
        <a:lstStyle/>
        <a:p>
          <a:endParaRPr lang="en-US"/>
        </a:p>
      </dgm:t>
    </dgm:pt>
    <dgm:pt modelId="{D7DB3476-9C56-4274-B046-F742EA8694F1}" type="parTrans" cxnId="{22CFBE58-87EC-4B70-B1CC-D1D1DB4968C7}">
      <dgm:prSet/>
      <dgm:spPr/>
      <dgm:t>
        <a:bodyPr/>
        <a:lstStyle/>
        <a:p>
          <a:endParaRPr lang="en-US"/>
        </a:p>
      </dgm:t>
    </dgm:pt>
    <dgm:pt modelId="{4F895710-9C0A-4357-A62A-B00C2B1BB2A2}">
      <dgm:prSet phldrT="[Text]"/>
      <dgm:spPr/>
      <dgm:t>
        <a:bodyPr/>
        <a:lstStyle/>
        <a:p>
          <a:endParaRPr lang="en-US"/>
        </a:p>
      </dgm:t>
    </dgm:pt>
    <dgm:pt modelId="{A0A859C5-79E5-4C97-AF72-54A6D166EEA1}" type="sibTrans" cxnId="{DA740704-6E02-4402-8325-D0302449434E}">
      <dgm:prSet/>
      <dgm:spPr/>
      <dgm:t>
        <a:bodyPr/>
        <a:lstStyle/>
        <a:p>
          <a:endParaRPr lang="en-US"/>
        </a:p>
      </dgm:t>
    </dgm:pt>
    <dgm:pt modelId="{4492527F-B2BC-4423-9ACC-2816666249A0}" type="parTrans" cxnId="{DA740704-6E02-4402-8325-D0302449434E}">
      <dgm:prSet/>
      <dgm:spPr/>
      <dgm:t>
        <a:bodyPr/>
        <a:lstStyle/>
        <a:p>
          <a:endParaRPr lang="en-US"/>
        </a:p>
      </dgm:t>
    </dgm:pt>
    <dgm:pt modelId="{C06C39C9-71B8-489C-9C45-3DD37A424E39}">
      <dgm:prSet phldrT="[Text]" custT="1"/>
      <dgm:spPr>
        <a:xfrm>
          <a:off x="154299" y="782942"/>
          <a:ext cx="1434875" cy="502158"/>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10</a:t>
          </a:r>
        </a:p>
        <a:p>
          <a:r>
            <a:rPr lang="fr-FR"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Pays en transition et pays développés</a:t>
          </a:r>
          <a:endParaRPr lang="en-US" sz="5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DCD34884-F96E-475A-9010-14DE66A403A6}" type="sibTrans" cxnId="{248698A6-055B-40E3-B808-D624056EF2B0}">
      <dgm:prSet/>
      <dgm:spPr/>
      <dgm:t>
        <a:bodyPr/>
        <a:lstStyle/>
        <a:p>
          <a:endParaRPr lang="en-US"/>
        </a:p>
      </dgm:t>
    </dgm:pt>
    <dgm:pt modelId="{0FABC453-0A5C-4CAE-813B-F0494A34E025}" type="parTrans" cxnId="{248698A6-055B-40E3-B808-D624056EF2B0}">
      <dgm:prSet/>
      <dgm:spPr>
        <a:xfrm rot="10791658">
          <a:off x="1589157" y="1022591"/>
          <a:ext cx="457865" cy="18269"/>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4631C2C5-1554-4289-90B0-F2D55D1595B6}">
      <dgm:prSet phldrT="[Text]" custT="1"/>
      <dgm:spPr>
        <a:xfrm>
          <a:off x="1967338" y="0"/>
          <a:ext cx="1512650" cy="576831"/>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6</a:t>
          </a:r>
        </a:p>
        <a:p>
          <a:r>
            <a:rPr lang="en-US"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Système de Madrid</a:t>
          </a:r>
        </a:p>
      </dgm:t>
    </dgm:pt>
    <dgm:pt modelId="{9B3CB24D-A47A-4081-B256-B868D89D5387}" type="sibTrans" cxnId="{BF65F824-D4F4-4A84-83B4-6B1944B62AAD}">
      <dgm:prSet/>
      <dgm:spPr/>
      <dgm:t>
        <a:bodyPr/>
        <a:lstStyle/>
        <a:p>
          <a:endParaRPr lang="en-US"/>
        </a:p>
      </dgm:t>
    </dgm:pt>
    <dgm:pt modelId="{4693CA52-075F-4BD8-ABEA-5368BE377DDA}" type="parTrans" cxnId="{BF65F824-D4F4-4A84-83B4-6B1944B62AAD}">
      <dgm:prSet/>
      <dgm:spPr>
        <a:xfrm rot="16193386">
          <a:off x="2637251" y="654832"/>
          <a:ext cx="174270" cy="18269"/>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5C260341-F1C3-4458-A657-957289015FC3}">
      <dgm:prSet phldrT="[Text]" custT="1"/>
      <dgm:spPr>
        <a:xfrm>
          <a:off x="3824740" y="770785"/>
          <a:ext cx="1507315" cy="520573"/>
        </a:xfrm>
        <a:solidFill>
          <a:srgbClr val="4F81BD">
            <a:lumMod val="40000"/>
            <a:lumOff val="60000"/>
          </a:srgbClr>
        </a:solidFill>
        <a:ln>
          <a:noFill/>
        </a:ln>
        <a:effectLst>
          <a:outerShdw blurRad="40000" dist="23000" dir="5400000" rotWithShape="0">
            <a:srgbClr val="000000">
              <a:alpha val="35000"/>
            </a:srgbClr>
          </a:outerShdw>
        </a:effectLst>
      </dgm:spPr>
      <dgm:t>
        <a:bodyPr/>
        <a:lstStyle/>
        <a:p>
          <a:r>
            <a:rPr lang="en-US" sz="9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9</a:t>
          </a:r>
        </a:p>
        <a:p>
          <a:r>
            <a:rPr lang="fr-FR" sz="8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Bureaux régionaux</a:t>
          </a:r>
          <a:endParaRPr lang="en-US" sz="7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gm:t>
    </dgm:pt>
    <dgm:pt modelId="{45A6C23B-D452-4078-BA3A-466D0894B9EB}" type="parTrans" cxnId="{0266A1D0-CEC9-45F3-8B31-A21772E8AA19}">
      <dgm:prSet/>
      <dgm:spPr>
        <a:xfrm rot="2869">
          <a:off x="3403168" y="1021132"/>
          <a:ext cx="421574" cy="18269"/>
        </a:xfrm>
        <a:noFill/>
        <a:ln w="9525" cap="flat" cmpd="sng" algn="ctr">
          <a:solidFill>
            <a:srgbClr val="4F81BD">
              <a:shade val="60000"/>
              <a:hueOff val="0"/>
              <a:satOff val="0"/>
              <a:lumOff val="0"/>
              <a:alphaOff val="0"/>
            </a:srgb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89B7C331-6FB9-4771-84B2-9F75AB1415C9}" type="sibTrans" cxnId="{0266A1D0-CEC9-45F3-8B31-A21772E8AA19}">
      <dgm:prSet/>
      <dgm:spPr/>
      <dgm:t>
        <a:bodyPr/>
        <a:lstStyle/>
        <a:p>
          <a:endParaRPr lang="en-US"/>
        </a:p>
      </dgm:t>
    </dgm:pt>
    <dgm:pt modelId="{08F189A1-AB47-41D1-8058-7A6DA66B3F52}" type="pres">
      <dgm:prSet presAssocID="{34E6C8D5-8D4F-4714-8A12-8F4599A8E760}" presName="cycle" presStyleCnt="0">
        <dgm:presLayoutVars>
          <dgm:chMax val="1"/>
          <dgm:dir/>
          <dgm:animLvl val="ctr"/>
          <dgm:resizeHandles val="exact"/>
        </dgm:presLayoutVars>
      </dgm:prSet>
      <dgm:spPr/>
      <dgm:t>
        <a:bodyPr/>
        <a:lstStyle/>
        <a:p>
          <a:endParaRPr lang="en-US"/>
        </a:p>
      </dgm:t>
    </dgm:pt>
    <dgm:pt modelId="{062AF917-2F47-4639-8A23-58AD52EC0F32}" type="pres">
      <dgm:prSet presAssocID="{DE541715-C648-404D-8124-F14F463E9202}" presName="centerShape" presStyleLbl="node0" presStyleIdx="0" presStyleCnt="1" custScaleX="243543" custLinFactNeighborX="0" custLinFactNeighborY="386"/>
      <dgm:spPr>
        <a:prstGeom prst="ellipse">
          <a:avLst/>
        </a:prstGeom>
      </dgm:spPr>
      <dgm:t>
        <a:bodyPr/>
        <a:lstStyle/>
        <a:p>
          <a:endParaRPr lang="en-US"/>
        </a:p>
      </dgm:t>
    </dgm:pt>
    <dgm:pt modelId="{4AC11394-3179-4EC5-A97F-D1A1B521CE2F}" type="pres">
      <dgm:prSet presAssocID="{4693CA52-075F-4BD8-ABEA-5368BE377DDA}" presName="Name9" presStyleLbl="parChTrans1D2" presStyleIdx="0" presStyleCnt="3"/>
      <dgm:spPr>
        <a:custGeom>
          <a:avLst/>
          <a:gdLst/>
          <a:ahLst/>
          <a:cxnLst/>
          <a:rect l="0" t="0" r="0" b="0"/>
          <a:pathLst>
            <a:path>
              <a:moveTo>
                <a:pt x="0" y="9134"/>
              </a:moveTo>
              <a:lnTo>
                <a:pt x="163517" y="9134"/>
              </a:lnTo>
            </a:path>
          </a:pathLst>
        </a:custGeom>
      </dgm:spPr>
      <dgm:t>
        <a:bodyPr/>
        <a:lstStyle/>
        <a:p>
          <a:endParaRPr lang="en-US"/>
        </a:p>
      </dgm:t>
    </dgm:pt>
    <dgm:pt modelId="{62A1F741-432F-46BE-AE07-15F0B6D5EA89}" type="pres">
      <dgm:prSet presAssocID="{4693CA52-075F-4BD8-ABEA-5368BE377DDA}" presName="connTx" presStyleLbl="parChTrans1D2" presStyleIdx="0" presStyleCnt="3"/>
      <dgm:spPr/>
      <dgm:t>
        <a:bodyPr/>
        <a:lstStyle/>
        <a:p>
          <a:endParaRPr lang="en-US"/>
        </a:p>
      </dgm:t>
    </dgm:pt>
    <dgm:pt modelId="{035B4C9A-0916-4FCC-A1CF-85DB358A289A}" type="pres">
      <dgm:prSet presAssocID="{4631C2C5-1554-4289-90B0-F2D55D1595B6}" presName="node" presStyleLbl="node1" presStyleIdx="0" presStyleCnt="3" custScaleX="271646" custScaleY="103589" custRadScaleRad="100387" custRadScaleInc="-187">
        <dgm:presLayoutVars>
          <dgm:bulletEnabled val="1"/>
        </dgm:presLayoutVars>
      </dgm:prSet>
      <dgm:spPr>
        <a:prstGeom prst="ellipse">
          <a:avLst/>
        </a:prstGeom>
      </dgm:spPr>
      <dgm:t>
        <a:bodyPr/>
        <a:lstStyle/>
        <a:p>
          <a:endParaRPr lang="en-US"/>
        </a:p>
      </dgm:t>
    </dgm:pt>
    <dgm:pt modelId="{64248C57-3CE0-4657-BC67-6279BA0257B1}" type="pres">
      <dgm:prSet presAssocID="{45A6C23B-D452-4078-BA3A-466D0894B9EB}" presName="Name9" presStyleLbl="parChTrans1D2" presStyleIdx="1" presStyleCnt="3"/>
      <dgm:spPr>
        <a:custGeom>
          <a:avLst/>
          <a:gdLst/>
          <a:ahLst/>
          <a:cxnLst/>
          <a:rect l="0" t="0" r="0" b="0"/>
          <a:pathLst>
            <a:path>
              <a:moveTo>
                <a:pt x="0" y="9134"/>
              </a:moveTo>
              <a:lnTo>
                <a:pt x="463565" y="9134"/>
              </a:lnTo>
            </a:path>
          </a:pathLst>
        </a:custGeom>
      </dgm:spPr>
      <dgm:t>
        <a:bodyPr/>
        <a:lstStyle/>
        <a:p>
          <a:endParaRPr lang="en-US"/>
        </a:p>
      </dgm:t>
    </dgm:pt>
    <dgm:pt modelId="{C7C9B7EB-2DEF-4B99-8D38-AC2E9641BEB5}" type="pres">
      <dgm:prSet presAssocID="{45A6C23B-D452-4078-BA3A-466D0894B9EB}" presName="connTx" presStyleLbl="parChTrans1D2" presStyleIdx="1" presStyleCnt="3"/>
      <dgm:spPr/>
      <dgm:t>
        <a:bodyPr/>
        <a:lstStyle/>
        <a:p>
          <a:endParaRPr lang="en-US"/>
        </a:p>
      </dgm:t>
    </dgm:pt>
    <dgm:pt modelId="{976BA53C-17D4-4F7C-9078-1272C469C9E5}" type="pres">
      <dgm:prSet presAssocID="{5C260341-F1C3-4458-A657-957289015FC3}" presName="node" presStyleLbl="node1" presStyleIdx="1" presStyleCnt="3" custScaleX="263028" custScaleY="126007" custRadScaleRad="255715" custRadScaleInc="-49632">
        <dgm:presLayoutVars>
          <dgm:bulletEnabled val="1"/>
        </dgm:presLayoutVars>
      </dgm:prSet>
      <dgm:spPr>
        <a:prstGeom prst="ellipse">
          <a:avLst/>
        </a:prstGeom>
      </dgm:spPr>
      <dgm:t>
        <a:bodyPr/>
        <a:lstStyle/>
        <a:p>
          <a:endParaRPr lang="en-US"/>
        </a:p>
      </dgm:t>
    </dgm:pt>
    <dgm:pt modelId="{ADF94B70-0D7F-4A27-8DF9-17BCD27F4A7A}" type="pres">
      <dgm:prSet presAssocID="{0FABC453-0A5C-4CAE-813B-F0494A34E025}" presName="Name9" presStyleLbl="parChTrans1D2" presStyleIdx="2" presStyleCnt="3"/>
      <dgm:spPr>
        <a:custGeom>
          <a:avLst/>
          <a:gdLst/>
          <a:ahLst/>
          <a:cxnLst/>
          <a:rect l="0" t="0" r="0" b="0"/>
          <a:pathLst>
            <a:path>
              <a:moveTo>
                <a:pt x="0" y="9134"/>
              </a:moveTo>
              <a:lnTo>
                <a:pt x="457860" y="9134"/>
              </a:lnTo>
            </a:path>
          </a:pathLst>
        </a:custGeom>
      </dgm:spPr>
      <dgm:t>
        <a:bodyPr/>
        <a:lstStyle/>
        <a:p>
          <a:endParaRPr lang="en-US"/>
        </a:p>
      </dgm:t>
    </dgm:pt>
    <dgm:pt modelId="{EA4144E0-C5B2-4FC0-BDB2-550B61DB7DFD}" type="pres">
      <dgm:prSet presAssocID="{0FABC453-0A5C-4CAE-813B-F0494A34E025}" presName="connTx" presStyleLbl="parChTrans1D2" presStyleIdx="2" presStyleCnt="3"/>
      <dgm:spPr/>
      <dgm:t>
        <a:bodyPr/>
        <a:lstStyle/>
        <a:p>
          <a:endParaRPr lang="en-US"/>
        </a:p>
      </dgm:t>
    </dgm:pt>
    <dgm:pt modelId="{0FAF3FA1-8E6C-455E-B189-A468B3F4D8BC}" type="pres">
      <dgm:prSet presAssocID="{C06C39C9-71B8-489C-9C45-3DD37A424E39}" presName="node" presStyleLbl="node1" presStyleIdx="2" presStyleCnt="3" custScaleX="260036" custScaleY="117017" custRadScaleRad="255723" custRadScaleInc="49480">
        <dgm:presLayoutVars>
          <dgm:bulletEnabled val="1"/>
        </dgm:presLayoutVars>
      </dgm:prSet>
      <dgm:spPr>
        <a:prstGeom prst="ellipse">
          <a:avLst/>
        </a:prstGeom>
      </dgm:spPr>
      <dgm:t>
        <a:bodyPr/>
        <a:lstStyle/>
        <a:p>
          <a:endParaRPr lang="en-US"/>
        </a:p>
      </dgm:t>
    </dgm:pt>
  </dgm:ptLst>
  <dgm:cxnLst>
    <dgm:cxn modelId="{DA740704-6E02-4402-8325-D0302449434E}" srcId="{34E6C8D5-8D4F-4714-8A12-8F4599A8E760}" destId="{4F895710-9C0A-4357-A62A-B00C2B1BB2A2}" srcOrd="1" destOrd="0" parTransId="{4492527F-B2BC-4423-9ACC-2816666249A0}" sibTransId="{A0A859C5-79E5-4C97-AF72-54A6D166EEA1}"/>
    <dgm:cxn modelId="{ABC54E5B-6AE1-4470-8A52-DF986C840F4E}" type="presOf" srcId="{4693CA52-075F-4BD8-ABEA-5368BE377DDA}" destId="{4AC11394-3179-4EC5-A97F-D1A1B521CE2F}" srcOrd="0" destOrd="0" presId="urn:microsoft.com/office/officeart/2005/8/layout/radial1"/>
    <dgm:cxn modelId="{F32DC5E1-7567-4155-8BBA-D74E640E0AE3}" type="presOf" srcId="{34E6C8D5-8D4F-4714-8A12-8F4599A8E760}" destId="{08F189A1-AB47-41D1-8058-7A6DA66B3F52}" srcOrd="0" destOrd="0" presId="urn:microsoft.com/office/officeart/2005/8/layout/radial1"/>
    <dgm:cxn modelId="{22CFBE58-87EC-4B70-B1CC-D1D1DB4968C7}" srcId="{34E6C8D5-8D4F-4714-8A12-8F4599A8E760}" destId="{DE541715-C648-404D-8124-F14F463E9202}" srcOrd="0" destOrd="0" parTransId="{D7DB3476-9C56-4274-B046-F742EA8694F1}" sibTransId="{7CA7849B-681D-4C0D-A708-F47E97871BB2}"/>
    <dgm:cxn modelId="{BF65F824-D4F4-4A84-83B4-6B1944B62AAD}" srcId="{DE541715-C648-404D-8124-F14F463E9202}" destId="{4631C2C5-1554-4289-90B0-F2D55D1595B6}" srcOrd="0" destOrd="0" parTransId="{4693CA52-075F-4BD8-ABEA-5368BE377DDA}" sibTransId="{9B3CB24D-A47A-4081-B256-B868D89D5387}"/>
    <dgm:cxn modelId="{7E8E6DF2-B676-44CF-8809-80D966FA2B28}" type="presOf" srcId="{5C260341-F1C3-4458-A657-957289015FC3}" destId="{976BA53C-17D4-4F7C-9078-1272C469C9E5}" srcOrd="0" destOrd="0" presId="urn:microsoft.com/office/officeart/2005/8/layout/radial1"/>
    <dgm:cxn modelId="{6E325E70-0403-4A9D-96D8-6A7AFA79844F}" type="presOf" srcId="{DE541715-C648-404D-8124-F14F463E9202}" destId="{062AF917-2F47-4639-8A23-58AD52EC0F32}" srcOrd="0" destOrd="0" presId="urn:microsoft.com/office/officeart/2005/8/layout/radial1"/>
    <dgm:cxn modelId="{DBF72884-4908-4A79-AA43-9555F64527D1}" type="presOf" srcId="{C06C39C9-71B8-489C-9C45-3DD37A424E39}" destId="{0FAF3FA1-8E6C-455E-B189-A468B3F4D8BC}" srcOrd="0" destOrd="0" presId="urn:microsoft.com/office/officeart/2005/8/layout/radial1"/>
    <dgm:cxn modelId="{47C69EF0-A146-4EDE-A7DB-8D6285366A34}" type="presOf" srcId="{0FABC453-0A5C-4CAE-813B-F0494A34E025}" destId="{EA4144E0-C5B2-4FC0-BDB2-550B61DB7DFD}" srcOrd="1" destOrd="0" presId="urn:microsoft.com/office/officeart/2005/8/layout/radial1"/>
    <dgm:cxn modelId="{0266A1D0-CEC9-45F3-8B31-A21772E8AA19}" srcId="{DE541715-C648-404D-8124-F14F463E9202}" destId="{5C260341-F1C3-4458-A657-957289015FC3}" srcOrd="1" destOrd="0" parTransId="{45A6C23B-D452-4078-BA3A-466D0894B9EB}" sibTransId="{89B7C331-6FB9-4771-84B2-9F75AB1415C9}"/>
    <dgm:cxn modelId="{A4E7E7B8-EA20-4E29-BFF8-616A9900E0B5}" type="presOf" srcId="{4693CA52-075F-4BD8-ABEA-5368BE377DDA}" destId="{62A1F741-432F-46BE-AE07-15F0B6D5EA89}" srcOrd="1" destOrd="0" presId="urn:microsoft.com/office/officeart/2005/8/layout/radial1"/>
    <dgm:cxn modelId="{248698A6-055B-40E3-B808-D624056EF2B0}" srcId="{DE541715-C648-404D-8124-F14F463E9202}" destId="{C06C39C9-71B8-489C-9C45-3DD37A424E39}" srcOrd="2" destOrd="0" parTransId="{0FABC453-0A5C-4CAE-813B-F0494A34E025}" sibTransId="{DCD34884-F96E-475A-9010-14DE66A403A6}"/>
    <dgm:cxn modelId="{17419FB8-9FE0-4D1B-A08D-29E1ABD92BA8}" type="presOf" srcId="{45A6C23B-D452-4078-BA3A-466D0894B9EB}" destId="{64248C57-3CE0-4657-BC67-6279BA0257B1}" srcOrd="0" destOrd="0" presId="urn:microsoft.com/office/officeart/2005/8/layout/radial1"/>
    <dgm:cxn modelId="{94B570F1-3F6C-4250-A062-191CEDD5FA1E}" type="presOf" srcId="{0FABC453-0A5C-4CAE-813B-F0494A34E025}" destId="{ADF94B70-0D7F-4A27-8DF9-17BCD27F4A7A}" srcOrd="0" destOrd="0" presId="urn:microsoft.com/office/officeart/2005/8/layout/radial1"/>
    <dgm:cxn modelId="{A104757C-0217-44B0-8C31-5D43D9ADF8BD}" type="presOf" srcId="{45A6C23B-D452-4078-BA3A-466D0894B9EB}" destId="{C7C9B7EB-2DEF-4B99-8D38-AC2E9641BEB5}" srcOrd="1" destOrd="0" presId="urn:microsoft.com/office/officeart/2005/8/layout/radial1"/>
    <dgm:cxn modelId="{45B010B1-095D-4773-BBC8-73F44648037E}" type="presOf" srcId="{4631C2C5-1554-4289-90B0-F2D55D1595B6}" destId="{035B4C9A-0916-4FCC-A1CF-85DB358A289A}" srcOrd="0" destOrd="0" presId="urn:microsoft.com/office/officeart/2005/8/layout/radial1"/>
    <dgm:cxn modelId="{CBFDE028-F17C-4BA3-8B82-82D9E22D39C1}" type="presParOf" srcId="{08F189A1-AB47-41D1-8058-7A6DA66B3F52}" destId="{062AF917-2F47-4639-8A23-58AD52EC0F32}" srcOrd="0" destOrd="0" presId="urn:microsoft.com/office/officeart/2005/8/layout/radial1"/>
    <dgm:cxn modelId="{E89ED778-2A1E-4AC8-A92A-7D4BCDB91E6E}" type="presParOf" srcId="{08F189A1-AB47-41D1-8058-7A6DA66B3F52}" destId="{4AC11394-3179-4EC5-A97F-D1A1B521CE2F}" srcOrd="1" destOrd="0" presId="urn:microsoft.com/office/officeart/2005/8/layout/radial1"/>
    <dgm:cxn modelId="{1BA83A81-E261-422B-9C7F-FF02FA704BBE}" type="presParOf" srcId="{4AC11394-3179-4EC5-A97F-D1A1B521CE2F}" destId="{62A1F741-432F-46BE-AE07-15F0B6D5EA89}" srcOrd="0" destOrd="0" presId="urn:microsoft.com/office/officeart/2005/8/layout/radial1"/>
    <dgm:cxn modelId="{777BBDE8-1663-46CD-AFA0-FB8BC0B399C8}" type="presParOf" srcId="{08F189A1-AB47-41D1-8058-7A6DA66B3F52}" destId="{035B4C9A-0916-4FCC-A1CF-85DB358A289A}" srcOrd="2" destOrd="0" presId="urn:microsoft.com/office/officeart/2005/8/layout/radial1"/>
    <dgm:cxn modelId="{11737E5C-EBAD-49DD-A236-10F8D52A6AD7}" type="presParOf" srcId="{08F189A1-AB47-41D1-8058-7A6DA66B3F52}" destId="{64248C57-3CE0-4657-BC67-6279BA0257B1}" srcOrd="3" destOrd="0" presId="urn:microsoft.com/office/officeart/2005/8/layout/radial1"/>
    <dgm:cxn modelId="{6A52EFA7-20CA-45EB-98CF-A8CBAF92A2F3}" type="presParOf" srcId="{64248C57-3CE0-4657-BC67-6279BA0257B1}" destId="{C7C9B7EB-2DEF-4B99-8D38-AC2E9641BEB5}" srcOrd="0" destOrd="0" presId="urn:microsoft.com/office/officeart/2005/8/layout/radial1"/>
    <dgm:cxn modelId="{035776DC-B5F1-4224-856A-4C339B2C8E45}" type="presParOf" srcId="{08F189A1-AB47-41D1-8058-7A6DA66B3F52}" destId="{976BA53C-17D4-4F7C-9078-1272C469C9E5}" srcOrd="4" destOrd="0" presId="urn:microsoft.com/office/officeart/2005/8/layout/radial1"/>
    <dgm:cxn modelId="{0316D13E-1599-49E6-9773-95F09814181E}" type="presParOf" srcId="{08F189A1-AB47-41D1-8058-7A6DA66B3F52}" destId="{ADF94B70-0D7F-4A27-8DF9-17BCD27F4A7A}" srcOrd="5" destOrd="0" presId="urn:microsoft.com/office/officeart/2005/8/layout/radial1"/>
    <dgm:cxn modelId="{ADC87389-E15D-4230-AE17-8D32D077DE15}" type="presParOf" srcId="{ADF94B70-0D7F-4A27-8DF9-17BCD27F4A7A}" destId="{EA4144E0-C5B2-4FC0-BDB2-550B61DB7DFD}" srcOrd="0" destOrd="0" presId="urn:microsoft.com/office/officeart/2005/8/layout/radial1"/>
    <dgm:cxn modelId="{15E94255-A5FF-4C38-BF77-0CF27C29D884}" type="presParOf" srcId="{08F189A1-AB47-41D1-8058-7A6DA66B3F52}" destId="{0FAF3FA1-8E6C-455E-B189-A468B3F4D8BC}" srcOrd="6" destOrd="0" presId="urn:microsoft.com/office/officeart/2005/8/layout/radial1"/>
  </dgm:cxnLst>
  <dgm:bg/>
  <dgm:whole/>
  <dgm:extLst>
    <a:ext uri="http://schemas.microsoft.com/office/drawing/2008/diagram">
      <dsp:dataModelExt xmlns:dsp="http://schemas.microsoft.com/office/drawing/2008/diagram" relId="rId77" minVer="http://schemas.openxmlformats.org/drawingml/2006/diagram"/>
    </a:ext>
    <a:ext uri="{C62137D5-CB1D-491B-B009-E17868A290BF}">
      <dgm14:recolorImg xmlns:dgm14="http://schemas.microsoft.com/office/drawing/2010/diagram" val="1"/>
    </a:ext>
  </dgm:extLst>
</dgm:dataModel>
</file>

<file path=word/diagrams/data9.xml><?xml version="1.0" encoding="utf-8"?>
<dgm:dataModel xmlns:dgm="http://schemas.openxmlformats.org/drawingml/2006/diagram" xmlns:a="http://schemas.openxmlformats.org/drawingml/2006/main">
  <dgm:ptLst>
    <dgm:pt modelId="{D981426F-5B7B-4AA5-957A-6E8C9E1A2487}" type="doc">
      <dgm:prSet loTypeId="urn:microsoft.com/office/officeart/2005/8/layout/radial1" loCatId="relationship" qsTypeId="urn:microsoft.com/office/officeart/2005/8/quickstyle/simple4" qsCatId="simple" csTypeId="urn:microsoft.com/office/officeart/2005/8/colors/accent1_1" csCatId="accent1" phldr="1"/>
      <dgm:spPr/>
      <dgm:t>
        <a:bodyPr/>
        <a:lstStyle/>
        <a:p>
          <a:endParaRPr lang="en-US"/>
        </a:p>
      </dgm:t>
    </dgm:pt>
    <dgm:pt modelId="{A7516A72-1FC0-46ED-AAC4-AF0F7063F737}">
      <dgm:prSet phldrT="[Text]" custT="1"/>
      <dgm:spPr/>
      <dgm:t>
        <a:bodyPr/>
        <a:lstStyle/>
        <a:p>
          <a:r>
            <a:rPr lang="en-US" sz="1100">
              <a:latin typeface="Arial" panose="020B0604020202020204" pitchFamily="34" charset="0"/>
              <a:cs typeface="Arial" panose="020B0604020202020204" pitchFamily="34" charset="0"/>
            </a:rPr>
            <a:t>Programme 7 </a:t>
          </a:r>
        </a:p>
      </dgm:t>
    </dgm:pt>
    <dgm:pt modelId="{6B1EB84D-437E-47A1-87CB-9027EE716AD0}" type="sibTrans" cxnId="{996B9653-906A-49F8-9E4B-3836F7905D4E}">
      <dgm:prSet/>
      <dgm:spPr/>
      <dgm:t>
        <a:bodyPr/>
        <a:lstStyle/>
        <a:p>
          <a:endParaRPr lang="en-US"/>
        </a:p>
      </dgm:t>
    </dgm:pt>
    <dgm:pt modelId="{D9E0AFEB-65B5-4280-ADD0-766B3ADA6CFD}" type="parTrans" cxnId="{996B9653-906A-49F8-9E4B-3836F7905D4E}">
      <dgm:prSet/>
      <dgm:spPr/>
      <dgm:t>
        <a:bodyPr/>
        <a:lstStyle/>
        <a:p>
          <a:endParaRPr lang="en-US"/>
        </a:p>
      </dgm:t>
    </dgm:pt>
    <dgm:pt modelId="{D460D018-736B-4CE5-A14B-061F8EFE829B}">
      <dgm:prSet phldrT="[Text]" custT="1"/>
      <dgm:spPr>
        <a:solidFill>
          <a:schemeClr val="accent1">
            <a:lumMod val="40000"/>
            <a:lumOff val="60000"/>
          </a:schemeClr>
        </a:solidFill>
      </dgm:spPr>
      <dgm:t>
        <a:bodyPr/>
        <a:lstStyle/>
        <a:p>
          <a:r>
            <a:rPr lang="en-US" sz="900">
              <a:latin typeface="Arial" panose="020B0604020202020204" pitchFamily="34" charset="0"/>
              <a:cs typeface="Arial" panose="020B0604020202020204" pitchFamily="34" charset="0"/>
            </a:rPr>
            <a:t>Programme 20 </a:t>
          </a:r>
        </a:p>
        <a:p>
          <a:r>
            <a:rPr lang="en-US" sz="800">
              <a:latin typeface="Arial" panose="020B0604020202020204" pitchFamily="34" charset="0"/>
              <a:cs typeface="Arial" panose="020B0604020202020204" pitchFamily="34" charset="0"/>
            </a:rPr>
            <a:t>R</a:t>
          </a:r>
          <a:r>
            <a:rPr lang="en-US" sz="800" b="0">
              <a:latin typeface="Arial" panose="020B0604020202020204" pitchFamily="34" charset="0"/>
              <a:cs typeface="Arial" panose="020B0604020202020204" pitchFamily="34" charset="0"/>
            </a:rPr>
            <a:t>elations extérieures</a:t>
          </a:r>
          <a:endParaRPr lang="en-US" sz="800">
            <a:latin typeface="Arial" panose="020B0604020202020204" pitchFamily="34" charset="0"/>
            <a:cs typeface="Arial" panose="020B0604020202020204" pitchFamily="34" charset="0"/>
          </a:endParaRPr>
        </a:p>
      </dgm:t>
    </dgm:pt>
    <dgm:pt modelId="{13E4242D-C1FF-4F31-B2EF-0F857644C218}" type="sibTrans" cxnId="{333E8F20-31E9-4D6F-9F31-24FBF63076E9}">
      <dgm:prSet/>
      <dgm:spPr/>
      <dgm:t>
        <a:bodyPr/>
        <a:lstStyle/>
        <a:p>
          <a:endParaRPr lang="en-US"/>
        </a:p>
      </dgm:t>
    </dgm:pt>
    <dgm:pt modelId="{B4A5C031-92B2-438E-80BC-EAA05F5C7CF7}" type="parTrans" cxnId="{333E8F20-31E9-4D6F-9F31-24FBF63076E9}">
      <dgm:prSet/>
      <dgm:spPr/>
      <dgm:t>
        <a:bodyPr/>
        <a:lstStyle/>
        <a:p>
          <a:endParaRPr lang="en-US"/>
        </a:p>
      </dgm:t>
    </dgm:pt>
    <dgm:pt modelId="{44FBC2E2-D754-42C1-BEE4-690296442511}">
      <dgm:prSet phldrT="[Text]" custT="1"/>
      <dgm:spPr>
        <a:solidFill>
          <a:schemeClr val="accent1">
            <a:lumMod val="40000"/>
            <a:lumOff val="60000"/>
          </a:schemeClr>
        </a:solidFill>
      </dgm:spPr>
      <dgm:t>
        <a:bodyPr/>
        <a:lstStyle/>
        <a:p>
          <a:r>
            <a:rPr lang="en-US" sz="900">
              <a:latin typeface="Arial" panose="020B0604020202020204" pitchFamily="34" charset="0"/>
              <a:cs typeface="Arial" panose="020B0604020202020204" pitchFamily="34" charset="0"/>
            </a:rPr>
            <a:t>Programme 18 </a:t>
          </a:r>
        </a:p>
        <a:p>
          <a:r>
            <a:rPr lang="en-US" sz="800">
              <a:latin typeface="Arial" panose="020B0604020202020204" pitchFamily="34" charset="0"/>
              <a:cs typeface="Arial" panose="020B0604020202020204" pitchFamily="34" charset="0"/>
            </a:rPr>
            <a:t>Propriété intellectuelle et défis mondiaux</a:t>
          </a:r>
        </a:p>
      </dgm:t>
    </dgm:pt>
    <dgm:pt modelId="{A8D506B7-E9B0-4378-B011-FCC599FE960D}" type="sibTrans" cxnId="{A1357B0A-C240-4A91-89D8-A39634308683}">
      <dgm:prSet/>
      <dgm:spPr/>
      <dgm:t>
        <a:bodyPr/>
        <a:lstStyle/>
        <a:p>
          <a:endParaRPr lang="en-US"/>
        </a:p>
      </dgm:t>
    </dgm:pt>
    <dgm:pt modelId="{2F72DDEE-62D3-48A5-836A-4C87596541F0}" type="parTrans" cxnId="{A1357B0A-C240-4A91-89D8-A39634308683}">
      <dgm:prSet/>
      <dgm:spPr/>
      <dgm:t>
        <a:bodyPr/>
        <a:lstStyle/>
        <a:p>
          <a:endParaRPr lang="en-US"/>
        </a:p>
      </dgm:t>
    </dgm:pt>
    <dgm:pt modelId="{2628F477-2289-4CEE-9618-96DDAFCD4291}">
      <dgm:prSet phldrT="[Text]" custT="1"/>
      <dgm:spPr>
        <a:solidFill>
          <a:schemeClr val="accent1">
            <a:lumMod val="40000"/>
            <a:lumOff val="60000"/>
          </a:schemeClr>
        </a:solidFill>
      </dgm:spPr>
      <dgm:t>
        <a:bodyPr/>
        <a:lstStyle/>
        <a:p>
          <a:r>
            <a:rPr lang="en-US" sz="900">
              <a:latin typeface="Arial" panose="020B0604020202020204" pitchFamily="34" charset="0"/>
              <a:cs typeface="Arial" panose="020B0604020202020204" pitchFamily="34" charset="0"/>
            </a:rPr>
            <a:t>Programme 17 </a:t>
          </a:r>
        </a:p>
        <a:p>
          <a:r>
            <a:rPr lang="en-US" sz="800">
              <a:latin typeface="Arial" panose="020B0604020202020204" pitchFamily="34" charset="0"/>
              <a:cs typeface="Arial" panose="020B0604020202020204" pitchFamily="34" charset="0"/>
            </a:rPr>
            <a:t>Promouvoir le respect de la propriété intellectuelle </a:t>
          </a:r>
        </a:p>
      </dgm:t>
    </dgm:pt>
    <dgm:pt modelId="{6D6ABE48-6FEB-4EAA-849C-585AC08FCF5B}" type="sibTrans" cxnId="{E5DD3C3F-F401-46C8-9D1F-CEE8478EFA81}">
      <dgm:prSet/>
      <dgm:spPr/>
      <dgm:t>
        <a:bodyPr/>
        <a:lstStyle/>
        <a:p>
          <a:endParaRPr lang="en-US"/>
        </a:p>
      </dgm:t>
    </dgm:pt>
    <dgm:pt modelId="{DEF73824-C893-4963-9504-7E97D2FF5253}" type="parTrans" cxnId="{E5DD3C3F-F401-46C8-9D1F-CEE8478EFA81}">
      <dgm:prSet/>
      <dgm:spPr/>
      <dgm:t>
        <a:bodyPr/>
        <a:lstStyle/>
        <a:p>
          <a:endParaRPr lang="en-US"/>
        </a:p>
      </dgm:t>
    </dgm:pt>
    <dgm:pt modelId="{7C1FA040-4399-40F0-866F-845B7914F68D}">
      <dgm:prSet phldrT="[Text]" custT="1"/>
      <dgm:spPr>
        <a:solidFill>
          <a:schemeClr val="accent1">
            <a:lumMod val="40000"/>
            <a:lumOff val="60000"/>
          </a:schemeClr>
        </a:solidFill>
      </dgm:spPr>
      <dgm:t>
        <a:bodyPr/>
        <a:lstStyle/>
        <a:p>
          <a:r>
            <a:rPr lang="en-US" sz="900">
              <a:latin typeface="Arial" panose="020B0604020202020204" pitchFamily="34" charset="0"/>
              <a:cs typeface="Arial" panose="020B0604020202020204" pitchFamily="34" charset="0"/>
            </a:rPr>
            <a:t>Programme 10 </a:t>
          </a:r>
        </a:p>
        <a:p>
          <a:r>
            <a:rPr lang="en-US" sz="800">
              <a:latin typeface="Arial" panose="020B0604020202020204" pitchFamily="34" charset="0"/>
              <a:cs typeface="Arial" panose="020B0604020202020204" pitchFamily="34" charset="0"/>
            </a:rPr>
            <a:t>Pays en transition et pays développés</a:t>
          </a:r>
        </a:p>
      </dgm:t>
    </dgm:pt>
    <dgm:pt modelId="{82A7CC90-6A4C-422A-B221-BA4CF5B4D442}" type="sibTrans" cxnId="{345C13DF-1D3F-4982-AF23-DC2641540559}">
      <dgm:prSet/>
      <dgm:spPr/>
      <dgm:t>
        <a:bodyPr/>
        <a:lstStyle/>
        <a:p>
          <a:endParaRPr lang="en-US"/>
        </a:p>
      </dgm:t>
    </dgm:pt>
    <dgm:pt modelId="{98585C11-761C-43C4-979D-FB1B8BABF102}" type="parTrans" cxnId="{345C13DF-1D3F-4982-AF23-DC2641540559}">
      <dgm:prSet/>
      <dgm:spPr/>
      <dgm:t>
        <a:bodyPr/>
        <a:lstStyle/>
        <a:p>
          <a:endParaRPr lang="en-US"/>
        </a:p>
      </dgm:t>
    </dgm:pt>
    <dgm:pt modelId="{14602118-D739-48CC-85E0-791974AFA995}">
      <dgm:prSet phldrT="[Text]" custT="1"/>
      <dgm:spPr>
        <a:solidFill>
          <a:schemeClr val="accent1">
            <a:lumMod val="40000"/>
            <a:lumOff val="60000"/>
          </a:schemeClr>
        </a:solidFill>
      </dgm:spPr>
      <dgm:t>
        <a:bodyPr/>
        <a:lstStyle/>
        <a:p>
          <a:r>
            <a:rPr lang="en-US" sz="900">
              <a:latin typeface="Arial" panose="020B0604020202020204" pitchFamily="34" charset="0"/>
              <a:cs typeface="Arial" panose="020B0604020202020204" pitchFamily="34" charset="0"/>
            </a:rPr>
            <a:t>Programme 9</a:t>
          </a:r>
        </a:p>
        <a:p>
          <a:r>
            <a:rPr lang="en-US" sz="800">
              <a:latin typeface="Arial" panose="020B0604020202020204" pitchFamily="34" charset="0"/>
              <a:cs typeface="Arial" panose="020B0604020202020204" pitchFamily="34" charset="0"/>
            </a:rPr>
            <a:t> Bureaux régionaux </a:t>
          </a:r>
        </a:p>
      </dgm:t>
    </dgm:pt>
    <dgm:pt modelId="{85730AA2-ED16-41DB-9898-B2A63ECD874D}" type="sibTrans" cxnId="{3138FD81-FCE3-4020-9313-BAD8BCAF820B}">
      <dgm:prSet/>
      <dgm:spPr/>
      <dgm:t>
        <a:bodyPr/>
        <a:lstStyle/>
        <a:p>
          <a:endParaRPr lang="en-US"/>
        </a:p>
      </dgm:t>
    </dgm:pt>
    <dgm:pt modelId="{3F89048A-3F9F-4897-8631-4599F4976029}" type="parTrans" cxnId="{3138FD81-FCE3-4020-9313-BAD8BCAF820B}">
      <dgm:prSet/>
      <dgm:spPr/>
      <dgm:t>
        <a:bodyPr/>
        <a:lstStyle/>
        <a:p>
          <a:endParaRPr lang="en-US"/>
        </a:p>
      </dgm:t>
    </dgm:pt>
    <dgm:pt modelId="{DB0D84B1-C440-4746-9EEF-F1ED71D64DD2}">
      <dgm:prSet phldrT="[Text]" custT="1"/>
      <dgm:spPr>
        <a:solidFill>
          <a:schemeClr val="accent1">
            <a:lumMod val="40000"/>
            <a:lumOff val="60000"/>
          </a:schemeClr>
        </a:solidFill>
      </dgm:spPr>
      <dgm:t>
        <a:bodyPr/>
        <a:lstStyle/>
        <a:p>
          <a:r>
            <a:rPr lang="en-US" sz="900">
              <a:latin typeface="Arial" panose="020B0604020202020204" pitchFamily="34" charset="0"/>
              <a:cs typeface="Arial" panose="020B0604020202020204" pitchFamily="34" charset="0"/>
            </a:rPr>
            <a:t>Programme 6</a:t>
          </a:r>
        </a:p>
        <a:p>
          <a:r>
            <a:rPr lang="en-US" sz="800">
              <a:latin typeface="Arial" panose="020B0604020202020204" pitchFamily="34" charset="0"/>
              <a:cs typeface="Arial" panose="020B0604020202020204" pitchFamily="34" charset="0"/>
            </a:rPr>
            <a:t>Système de Madrid</a:t>
          </a:r>
        </a:p>
      </dgm:t>
    </dgm:pt>
    <dgm:pt modelId="{99C4878C-8523-40E3-93C5-8DC55D31DB77}" type="sibTrans" cxnId="{C7DD68AE-99B2-4937-A127-D654A2E99784}">
      <dgm:prSet/>
      <dgm:spPr/>
      <dgm:t>
        <a:bodyPr/>
        <a:lstStyle/>
        <a:p>
          <a:endParaRPr lang="en-US"/>
        </a:p>
      </dgm:t>
    </dgm:pt>
    <dgm:pt modelId="{9E510621-404D-46D6-8EB3-39712C8626D4}" type="parTrans" cxnId="{C7DD68AE-99B2-4937-A127-D654A2E99784}">
      <dgm:prSet/>
      <dgm:spPr/>
      <dgm:t>
        <a:bodyPr/>
        <a:lstStyle/>
        <a:p>
          <a:endParaRPr lang="en-US"/>
        </a:p>
      </dgm:t>
    </dgm:pt>
    <dgm:pt modelId="{6DAE892F-3F2D-42A5-BB1C-58D0E6BD9A47}">
      <dgm:prSet phldrT="[Text]" custT="1"/>
      <dgm:spPr>
        <a:solidFill>
          <a:schemeClr val="accent1">
            <a:lumMod val="40000"/>
            <a:lumOff val="60000"/>
          </a:schemeClr>
        </a:solidFill>
      </dgm:spPr>
      <dgm:t>
        <a:bodyPr/>
        <a:lstStyle/>
        <a:p>
          <a:r>
            <a:rPr lang="en-US" sz="900">
              <a:latin typeface="Arial" panose="020B0604020202020204" pitchFamily="34" charset="0"/>
              <a:cs typeface="Arial" panose="020B0604020202020204" pitchFamily="34" charset="0"/>
            </a:rPr>
            <a:t>Programme 5 </a:t>
          </a:r>
        </a:p>
        <a:p>
          <a:r>
            <a:rPr lang="en-US" sz="800">
              <a:latin typeface="Arial" panose="020B0604020202020204" pitchFamily="34" charset="0"/>
              <a:cs typeface="Arial" panose="020B0604020202020204" pitchFamily="34" charset="0"/>
            </a:rPr>
            <a:t>Système du PCT</a:t>
          </a:r>
        </a:p>
      </dgm:t>
    </dgm:pt>
    <dgm:pt modelId="{28BD2EB6-8814-456D-B684-C7C0E2C0705F}" type="sibTrans" cxnId="{FE1169E0-24DF-4FBB-A1C9-8F332C85663A}">
      <dgm:prSet/>
      <dgm:spPr/>
      <dgm:t>
        <a:bodyPr/>
        <a:lstStyle/>
        <a:p>
          <a:endParaRPr lang="en-US"/>
        </a:p>
      </dgm:t>
    </dgm:pt>
    <dgm:pt modelId="{D22DE764-173E-47DF-9480-722F8D8EA62C}" type="parTrans" cxnId="{FE1169E0-24DF-4FBB-A1C9-8F332C85663A}">
      <dgm:prSet/>
      <dgm:spPr/>
      <dgm:t>
        <a:bodyPr/>
        <a:lstStyle/>
        <a:p>
          <a:endParaRPr lang="en-US"/>
        </a:p>
      </dgm:t>
    </dgm:pt>
    <dgm:pt modelId="{898446A3-EA8C-4C13-8A65-DF8A110D0838}">
      <dgm:prSet phldrT="[Text]" custT="1"/>
      <dgm:spPr>
        <a:solidFill>
          <a:schemeClr val="accent1">
            <a:lumMod val="40000"/>
            <a:lumOff val="60000"/>
          </a:schemeClr>
        </a:solidFill>
      </dgm:spPr>
      <dgm:t>
        <a:bodyPr/>
        <a:lstStyle/>
        <a:p>
          <a:r>
            <a:rPr lang="en-US" sz="900">
              <a:latin typeface="Arial" panose="020B0604020202020204" pitchFamily="34" charset="0"/>
              <a:cs typeface="Arial" panose="020B0604020202020204" pitchFamily="34" charset="0"/>
            </a:rPr>
            <a:t>Programme 3 </a:t>
          </a:r>
        </a:p>
        <a:p>
          <a:r>
            <a:rPr lang="en-US" sz="800">
              <a:latin typeface="Arial" panose="020B0604020202020204" pitchFamily="34" charset="0"/>
              <a:cs typeface="Arial" panose="020B0604020202020204" pitchFamily="34" charset="0"/>
            </a:rPr>
            <a:t>Droit d'auteur et droits connexes</a:t>
          </a:r>
        </a:p>
      </dgm:t>
    </dgm:pt>
    <dgm:pt modelId="{E56928EA-8406-4998-BE40-3F4796EA5932}" type="sibTrans" cxnId="{A93C1B4A-74B5-4343-AF12-0C2C4D914189}">
      <dgm:prSet/>
      <dgm:spPr/>
      <dgm:t>
        <a:bodyPr/>
        <a:lstStyle/>
        <a:p>
          <a:endParaRPr lang="en-US"/>
        </a:p>
      </dgm:t>
    </dgm:pt>
    <dgm:pt modelId="{DB9FEC62-86A7-454A-89B3-F32F1907C71A}" type="parTrans" cxnId="{A93C1B4A-74B5-4343-AF12-0C2C4D914189}">
      <dgm:prSet/>
      <dgm:spPr/>
      <dgm:t>
        <a:bodyPr/>
        <a:lstStyle/>
        <a:p>
          <a:endParaRPr lang="en-US"/>
        </a:p>
      </dgm:t>
    </dgm:pt>
    <dgm:pt modelId="{68A5766F-115C-487E-B7CB-4ADE150678D1}">
      <dgm:prSet phldrT="[Text]" custT="1"/>
      <dgm:spPr>
        <a:solidFill>
          <a:schemeClr val="accent1">
            <a:lumMod val="40000"/>
            <a:lumOff val="60000"/>
          </a:schemeClr>
        </a:solidFill>
      </dgm:spPr>
      <dgm:t>
        <a:bodyPr/>
        <a:lstStyle/>
        <a:p>
          <a:r>
            <a:rPr lang="en-US" sz="900">
              <a:latin typeface="Arial" panose="020B0604020202020204" pitchFamily="34" charset="0"/>
              <a:cs typeface="Arial" panose="020B0604020202020204" pitchFamily="34" charset="0"/>
            </a:rPr>
            <a:t>Programme 2 </a:t>
          </a:r>
        </a:p>
        <a:p>
          <a:r>
            <a:rPr lang="en-US" sz="800">
              <a:latin typeface="Arial" panose="020B0604020202020204" pitchFamily="34" charset="0"/>
              <a:cs typeface="Arial" panose="020B0604020202020204" pitchFamily="34" charset="0"/>
            </a:rPr>
            <a:t>Marques, dessins et modèles industriels et indications géographiques</a:t>
          </a:r>
        </a:p>
      </dgm:t>
    </dgm:pt>
    <dgm:pt modelId="{BA9B1909-6561-415A-8EF0-B53DE88FCEBA}" type="sibTrans" cxnId="{84826536-FF9D-47C5-902D-DB146A527C2A}">
      <dgm:prSet/>
      <dgm:spPr/>
      <dgm:t>
        <a:bodyPr/>
        <a:lstStyle/>
        <a:p>
          <a:endParaRPr lang="en-US"/>
        </a:p>
      </dgm:t>
    </dgm:pt>
    <dgm:pt modelId="{BA28F4A6-AD16-499D-88C1-DBE004B28175}" type="parTrans" cxnId="{84826536-FF9D-47C5-902D-DB146A527C2A}">
      <dgm:prSet/>
      <dgm:spPr/>
      <dgm:t>
        <a:bodyPr/>
        <a:lstStyle/>
        <a:p>
          <a:endParaRPr lang="en-US"/>
        </a:p>
      </dgm:t>
    </dgm:pt>
    <dgm:pt modelId="{3869496C-0E19-4CE4-AC4D-8E2619BF9D68}">
      <dgm:prSet phldrT="[Text]" custT="1"/>
      <dgm:spPr>
        <a:solidFill>
          <a:schemeClr val="accent1">
            <a:lumMod val="40000"/>
            <a:lumOff val="60000"/>
          </a:schemeClr>
        </a:solidFill>
      </dgm:spPr>
      <dgm:t>
        <a:bodyPr/>
        <a:lstStyle/>
        <a:p>
          <a:r>
            <a:rPr lang="en-US" sz="900">
              <a:latin typeface="Arial" panose="020B0604020202020204" pitchFamily="34" charset="0"/>
              <a:cs typeface="Arial" panose="020B0604020202020204" pitchFamily="34" charset="0"/>
            </a:rPr>
            <a:t>Programme 31 </a:t>
          </a:r>
        </a:p>
        <a:p>
          <a:r>
            <a:rPr lang="en-US" sz="800">
              <a:latin typeface="Arial" panose="020B0604020202020204" pitchFamily="34" charset="0"/>
              <a:cs typeface="Arial" panose="020B0604020202020204" pitchFamily="34" charset="0"/>
            </a:rPr>
            <a:t>Système de La Haye  </a:t>
          </a:r>
        </a:p>
      </dgm:t>
    </dgm:pt>
    <dgm:pt modelId="{AD80D2A2-2CDC-439E-8A80-49FDDE50F566}" type="parTrans" cxnId="{A5794848-FA88-45E4-9420-D1C7392B5B45}">
      <dgm:prSet/>
      <dgm:spPr/>
      <dgm:t>
        <a:bodyPr/>
        <a:lstStyle/>
        <a:p>
          <a:endParaRPr lang="en-US"/>
        </a:p>
      </dgm:t>
    </dgm:pt>
    <dgm:pt modelId="{3C80BB14-F31D-405F-A95F-B4434486AD2E}" type="sibTrans" cxnId="{A5794848-FA88-45E4-9420-D1C7392B5B45}">
      <dgm:prSet/>
      <dgm:spPr/>
      <dgm:t>
        <a:bodyPr/>
        <a:lstStyle/>
        <a:p>
          <a:endParaRPr lang="en-US"/>
        </a:p>
      </dgm:t>
    </dgm:pt>
    <dgm:pt modelId="{9D8B49BD-1DF7-4888-9A7E-2CFD4320CC2B}" type="pres">
      <dgm:prSet presAssocID="{D981426F-5B7B-4AA5-957A-6E8C9E1A2487}" presName="cycle" presStyleCnt="0">
        <dgm:presLayoutVars>
          <dgm:chMax val="1"/>
          <dgm:dir/>
          <dgm:animLvl val="ctr"/>
          <dgm:resizeHandles val="exact"/>
        </dgm:presLayoutVars>
      </dgm:prSet>
      <dgm:spPr/>
      <dgm:t>
        <a:bodyPr/>
        <a:lstStyle/>
        <a:p>
          <a:endParaRPr lang="en-US"/>
        </a:p>
      </dgm:t>
    </dgm:pt>
    <dgm:pt modelId="{493DA7EC-5D69-41B7-92E4-ED7ED9F48883}" type="pres">
      <dgm:prSet presAssocID="{A7516A72-1FC0-46ED-AAC4-AF0F7063F737}" presName="centerShape" presStyleLbl="node0" presStyleIdx="0" presStyleCnt="1" custScaleX="260695" custLinFactNeighborX="-2458" custLinFactNeighborY="-7236"/>
      <dgm:spPr/>
      <dgm:t>
        <a:bodyPr/>
        <a:lstStyle/>
        <a:p>
          <a:endParaRPr lang="en-US"/>
        </a:p>
      </dgm:t>
    </dgm:pt>
    <dgm:pt modelId="{E6ACA703-0949-41B3-BE6B-C702E5C7275F}" type="pres">
      <dgm:prSet presAssocID="{BA28F4A6-AD16-499D-88C1-DBE004B28175}" presName="Name9" presStyleLbl="parChTrans1D2" presStyleIdx="0" presStyleCnt="10"/>
      <dgm:spPr/>
      <dgm:t>
        <a:bodyPr/>
        <a:lstStyle/>
        <a:p>
          <a:endParaRPr lang="en-US"/>
        </a:p>
      </dgm:t>
    </dgm:pt>
    <dgm:pt modelId="{B06AADB2-5D51-41DC-8677-C0CC2357518B}" type="pres">
      <dgm:prSet presAssocID="{BA28F4A6-AD16-499D-88C1-DBE004B28175}" presName="connTx" presStyleLbl="parChTrans1D2" presStyleIdx="0" presStyleCnt="10"/>
      <dgm:spPr/>
      <dgm:t>
        <a:bodyPr/>
        <a:lstStyle/>
        <a:p>
          <a:endParaRPr lang="en-US"/>
        </a:p>
      </dgm:t>
    </dgm:pt>
    <dgm:pt modelId="{AFD0CC05-9AD4-4A51-8739-4FB4CA1E4ACE}" type="pres">
      <dgm:prSet presAssocID="{68A5766F-115C-487E-B7CB-4ADE150678D1}" presName="node" presStyleLbl="node1" presStyleIdx="0" presStyleCnt="10" custScaleX="316086" custScaleY="145380" custRadScaleRad="86779" custRadScaleInc="36274">
        <dgm:presLayoutVars>
          <dgm:bulletEnabled val="1"/>
        </dgm:presLayoutVars>
      </dgm:prSet>
      <dgm:spPr/>
      <dgm:t>
        <a:bodyPr/>
        <a:lstStyle/>
        <a:p>
          <a:endParaRPr lang="en-US"/>
        </a:p>
      </dgm:t>
    </dgm:pt>
    <dgm:pt modelId="{34515D96-C834-4D67-AF5C-3B293601CBC3}" type="pres">
      <dgm:prSet presAssocID="{DB9FEC62-86A7-454A-89B3-F32F1907C71A}" presName="Name9" presStyleLbl="parChTrans1D2" presStyleIdx="1" presStyleCnt="10"/>
      <dgm:spPr/>
      <dgm:t>
        <a:bodyPr/>
        <a:lstStyle/>
        <a:p>
          <a:endParaRPr lang="en-US"/>
        </a:p>
      </dgm:t>
    </dgm:pt>
    <dgm:pt modelId="{A8CF68B1-7D91-429E-8C8D-53007288E1DC}" type="pres">
      <dgm:prSet presAssocID="{DB9FEC62-86A7-454A-89B3-F32F1907C71A}" presName="connTx" presStyleLbl="parChTrans1D2" presStyleIdx="1" presStyleCnt="10"/>
      <dgm:spPr/>
      <dgm:t>
        <a:bodyPr/>
        <a:lstStyle/>
        <a:p>
          <a:endParaRPr lang="en-US"/>
        </a:p>
      </dgm:t>
    </dgm:pt>
    <dgm:pt modelId="{D9366F31-B7D7-4B43-830C-AD5E2193A794}" type="pres">
      <dgm:prSet presAssocID="{898446A3-EA8C-4C13-8A65-DF8A110D0838}" presName="node" presStyleLbl="node1" presStyleIdx="1" presStyleCnt="10" custScaleX="214888" custScaleY="121051" custRadScaleRad="183371" custRadScaleInc="125946">
        <dgm:presLayoutVars>
          <dgm:bulletEnabled val="1"/>
        </dgm:presLayoutVars>
      </dgm:prSet>
      <dgm:spPr/>
      <dgm:t>
        <a:bodyPr/>
        <a:lstStyle/>
        <a:p>
          <a:endParaRPr lang="en-US"/>
        </a:p>
      </dgm:t>
    </dgm:pt>
    <dgm:pt modelId="{5CF8296B-0142-429D-A71A-20799D2EB74B}" type="pres">
      <dgm:prSet presAssocID="{D22DE764-173E-47DF-9480-722F8D8EA62C}" presName="Name9" presStyleLbl="parChTrans1D2" presStyleIdx="2" presStyleCnt="10"/>
      <dgm:spPr/>
      <dgm:t>
        <a:bodyPr/>
        <a:lstStyle/>
        <a:p>
          <a:endParaRPr lang="en-US"/>
        </a:p>
      </dgm:t>
    </dgm:pt>
    <dgm:pt modelId="{48797E66-4F8B-4B79-BCA7-6F88E85CF835}" type="pres">
      <dgm:prSet presAssocID="{D22DE764-173E-47DF-9480-722F8D8EA62C}" presName="connTx" presStyleLbl="parChTrans1D2" presStyleIdx="2" presStyleCnt="10"/>
      <dgm:spPr/>
      <dgm:t>
        <a:bodyPr/>
        <a:lstStyle/>
        <a:p>
          <a:endParaRPr lang="en-US"/>
        </a:p>
      </dgm:t>
    </dgm:pt>
    <dgm:pt modelId="{7E7DDE23-6C04-407D-AAB6-669511EA704E}" type="pres">
      <dgm:prSet presAssocID="{6DAE892F-3F2D-42A5-BB1C-58D0E6BD9A47}" presName="node" presStyleLbl="node1" presStyleIdx="2" presStyleCnt="10" custScaleX="217893" custRadScaleRad="192407" custRadScaleInc="43835">
        <dgm:presLayoutVars>
          <dgm:bulletEnabled val="1"/>
        </dgm:presLayoutVars>
      </dgm:prSet>
      <dgm:spPr/>
      <dgm:t>
        <a:bodyPr/>
        <a:lstStyle/>
        <a:p>
          <a:endParaRPr lang="en-US"/>
        </a:p>
      </dgm:t>
    </dgm:pt>
    <dgm:pt modelId="{DC281168-2DBC-4CFB-B21D-C54E9628B383}" type="pres">
      <dgm:prSet presAssocID="{9E510621-404D-46D6-8EB3-39712C8626D4}" presName="Name9" presStyleLbl="parChTrans1D2" presStyleIdx="3" presStyleCnt="10"/>
      <dgm:spPr/>
      <dgm:t>
        <a:bodyPr/>
        <a:lstStyle/>
        <a:p>
          <a:endParaRPr lang="en-US"/>
        </a:p>
      </dgm:t>
    </dgm:pt>
    <dgm:pt modelId="{0D3BFC0A-5ED4-4CCF-A336-A529B3363890}" type="pres">
      <dgm:prSet presAssocID="{9E510621-404D-46D6-8EB3-39712C8626D4}" presName="connTx" presStyleLbl="parChTrans1D2" presStyleIdx="3" presStyleCnt="10"/>
      <dgm:spPr/>
      <dgm:t>
        <a:bodyPr/>
        <a:lstStyle/>
        <a:p>
          <a:endParaRPr lang="en-US"/>
        </a:p>
      </dgm:t>
    </dgm:pt>
    <dgm:pt modelId="{66DADE40-99AE-41BE-B997-129EED231064}" type="pres">
      <dgm:prSet presAssocID="{DB0D84B1-C440-4746-9EEF-F1ED71D64DD2}" presName="node" presStyleLbl="node1" presStyleIdx="3" presStyleCnt="10" custScaleX="263276" custScaleY="123414" custRadScaleRad="176993" custRadScaleInc="-57460">
        <dgm:presLayoutVars>
          <dgm:bulletEnabled val="1"/>
        </dgm:presLayoutVars>
      </dgm:prSet>
      <dgm:spPr/>
      <dgm:t>
        <a:bodyPr/>
        <a:lstStyle/>
        <a:p>
          <a:endParaRPr lang="en-US"/>
        </a:p>
      </dgm:t>
    </dgm:pt>
    <dgm:pt modelId="{4DF1B0BE-A63A-4BEA-9EE5-4168481CC99E}" type="pres">
      <dgm:prSet presAssocID="{3F89048A-3F9F-4897-8631-4599F4976029}" presName="Name9" presStyleLbl="parChTrans1D2" presStyleIdx="4" presStyleCnt="10"/>
      <dgm:spPr/>
      <dgm:t>
        <a:bodyPr/>
        <a:lstStyle/>
        <a:p>
          <a:endParaRPr lang="en-US"/>
        </a:p>
      </dgm:t>
    </dgm:pt>
    <dgm:pt modelId="{32B4D7AF-BD29-4AC4-BA11-37F2AE9561F4}" type="pres">
      <dgm:prSet presAssocID="{3F89048A-3F9F-4897-8631-4599F4976029}" presName="connTx" presStyleLbl="parChTrans1D2" presStyleIdx="4" presStyleCnt="10"/>
      <dgm:spPr/>
      <dgm:t>
        <a:bodyPr/>
        <a:lstStyle/>
        <a:p>
          <a:endParaRPr lang="en-US"/>
        </a:p>
      </dgm:t>
    </dgm:pt>
    <dgm:pt modelId="{DB594876-4070-4577-942D-67F5CD4D6A19}" type="pres">
      <dgm:prSet presAssocID="{14602118-D739-48CC-85E0-791974AFA995}" presName="node" presStyleLbl="node1" presStyleIdx="4" presStyleCnt="10" custScaleX="225113" custScaleY="127520" custRadScaleRad="184403" custRadScaleInc="-143205">
        <dgm:presLayoutVars>
          <dgm:bulletEnabled val="1"/>
        </dgm:presLayoutVars>
      </dgm:prSet>
      <dgm:spPr/>
      <dgm:t>
        <a:bodyPr/>
        <a:lstStyle/>
        <a:p>
          <a:endParaRPr lang="en-US"/>
        </a:p>
      </dgm:t>
    </dgm:pt>
    <dgm:pt modelId="{E49C447F-3477-4311-B10B-FFFA7DE7209F}" type="pres">
      <dgm:prSet presAssocID="{98585C11-761C-43C4-979D-FB1B8BABF102}" presName="Name9" presStyleLbl="parChTrans1D2" presStyleIdx="5" presStyleCnt="10"/>
      <dgm:spPr/>
      <dgm:t>
        <a:bodyPr/>
        <a:lstStyle/>
        <a:p>
          <a:endParaRPr lang="en-US"/>
        </a:p>
      </dgm:t>
    </dgm:pt>
    <dgm:pt modelId="{B930024E-8665-4782-9C41-36517A71FCD4}" type="pres">
      <dgm:prSet presAssocID="{98585C11-761C-43C4-979D-FB1B8BABF102}" presName="connTx" presStyleLbl="parChTrans1D2" presStyleIdx="5" presStyleCnt="10"/>
      <dgm:spPr/>
      <dgm:t>
        <a:bodyPr/>
        <a:lstStyle/>
        <a:p>
          <a:endParaRPr lang="en-US"/>
        </a:p>
      </dgm:t>
    </dgm:pt>
    <dgm:pt modelId="{69F18085-0AC3-4BAE-9B16-F8478FFBD61E}" type="pres">
      <dgm:prSet presAssocID="{7C1FA040-4399-40F0-866F-845B7914F68D}" presName="node" presStyleLbl="node1" presStyleIdx="5" presStyleCnt="10" custScaleX="233122" custScaleY="179651" custRadScaleRad="93742" custRadScaleInc="-163065">
        <dgm:presLayoutVars>
          <dgm:bulletEnabled val="1"/>
        </dgm:presLayoutVars>
      </dgm:prSet>
      <dgm:spPr/>
      <dgm:t>
        <a:bodyPr/>
        <a:lstStyle/>
        <a:p>
          <a:endParaRPr lang="en-US"/>
        </a:p>
      </dgm:t>
    </dgm:pt>
    <dgm:pt modelId="{FCC14444-D5E7-4E9C-B980-A27CD799E442}" type="pres">
      <dgm:prSet presAssocID="{DEF73824-C893-4963-9504-7E97D2FF5253}" presName="Name9" presStyleLbl="parChTrans1D2" presStyleIdx="6" presStyleCnt="10"/>
      <dgm:spPr/>
      <dgm:t>
        <a:bodyPr/>
        <a:lstStyle/>
        <a:p>
          <a:endParaRPr lang="en-US"/>
        </a:p>
      </dgm:t>
    </dgm:pt>
    <dgm:pt modelId="{3EA6B60F-F2E8-4D48-9EC1-CAAE09243949}" type="pres">
      <dgm:prSet presAssocID="{DEF73824-C893-4963-9504-7E97D2FF5253}" presName="connTx" presStyleLbl="parChTrans1D2" presStyleIdx="6" presStyleCnt="10"/>
      <dgm:spPr/>
      <dgm:t>
        <a:bodyPr/>
        <a:lstStyle/>
        <a:p>
          <a:endParaRPr lang="en-US"/>
        </a:p>
      </dgm:t>
    </dgm:pt>
    <dgm:pt modelId="{49C45DFA-0A15-4DAA-80DC-CAE4ABCC6B43}" type="pres">
      <dgm:prSet presAssocID="{2628F477-2289-4CEE-9618-96DDAFCD4291}" presName="node" presStyleLbl="node1" presStyleIdx="6" presStyleCnt="10" custScaleX="236735" custScaleY="157002" custRadScaleRad="103103" custRadScaleInc="38677">
        <dgm:presLayoutVars>
          <dgm:bulletEnabled val="1"/>
        </dgm:presLayoutVars>
      </dgm:prSet>
      <dgm:spPr/>
      <dgm:t>
        <a:bodyPr/>
        <a:lstStyle/>
        <a:p>
          <a:endParaRPr lang="en-US"/>
        </a:p>
      </dgm:t>
    </dgm:pt>
    <dgm:pt modelId="{7B59CB2C-C82F-41EE-B3CF-ADD4878ADBA6}" type="pres">
      <dgm:prSet presAssocID="{2F72DDEE-62D3-48A5-836A-4C87596541F0}" presName="Name9" presStyleLbl="parChTrans1D2" presStyleIdx="7" presStyleCnt="10"/>
      <dgm:spPr/>
      <dgm:t>
        <a:bodyPr/>
        <a:lstStyle/>
        <a:p>
          <a:endParaRPr lang="en-US"/>
        </a:p>
      </dgm:t>
    </dgm:pt>
    <dgm:pt modelId="{280B3AB5-4999-4B99-8BE9-E09C9DF5D482}" type="pres">
      <dgm:prSet presAssocID="{2F72DDEE-62D3-48A5-836A-4C87596541F0}" presName="connTx" presStyleLbl="parChTrans1D2" presStyleIdx="7" presStyleCnt="10"/>
      <dgm:spPr/>
      <dgm:t>
        <a:bodyPr/>
        <a:lstStyle/>
        <a:p>
          <a:endParaRPr lang="en-US"/>
        </a:p>
      </dgm:t>
    </dgm:pt>
    <dgm:pt modelId="{402B25BB-F397-46B5-AAB7-C38C2276BF82}" type="pres">
      <dgm:prSet presAssocID="{44FBC2E2-D754-42C1-BEE4-690296442511}" presName="node" presStyleLbl="node1" presStyleIdx="7" presStyleCnt="10" custScaleX="233222" custScaleY="138752" custRadScaleRad="198422" custRadScaleInc="-20335">
        <dgm:presLayoutVars>
          <dgm:bulletEnabled val="1"/>
        </dgm:presLayoutVars>
      </dgm:prSet>
      <dgm:spPr/>
      <dgm:t>
        <a:bodyPr/>
        <a:lstStyle/>
        <a:p>
          <a:endParaRPr lang="en-US"/>
        </a:p>
      </dgm:t>
    </dgm:pt>
    <dgm:pt modelId="{EFB9CB5A-411C-454B-96B1-9ED988829CBE}" type="pres">
      <dgm:prSet presAssocID="{B4A5C031-92B2-438E-80BC-EAA05F5C7CF7}" presName="Name9" presStyleLbl="parChTrans1D2" presStyleIdx="8" presStyleCnt="10"/>
      <dgm:spPr/>
      <dgm:t>
        <a:bodyPr/>
        <a:lstStyle/>
        <a:p>
          <a:endParaRPr lang="en-US"/>
        </a:p>
      </dgm:t>
    </dgm:pt>
    <dgm:pt modelId="{A140118B-14B1-45A7-9CF9-17E4D006F84D}" type="pres">
      <dgm:prSet presAssocID="{B4A5C031-92B2-438E-80BC-EAA05F5C7CF7}" presName="connTx" presStyleLbl="parChTrans1D2" presStyleIdx="8" presStyleCnt="10"/>
      <dgm:spPr/>
      <dgm:t>
        <a:bodyPr/>
        <a:lstStyle/>
        <a:p>
          <a:endParaRPr lang="en-US"/>
        </a:p>
      </dgm:t>
    </dgm:pt>
    <dgm:pt modelId="{5AF8D9AC-0C15-4D1B-BCD3-7FFCFF0A581D}" type="pres">
      <dgm:prSet presAssocID="{D460D018-736B-4CE5-A14B-061F8EFE829B}" presName="node" presStyleLbl="node1" presStyleIdx="8" presStyleCnt="10" custScaleX="239217" custScaleY="106831" custRadScaleRad="179799" custRadScaleInc="-86418">
        <dgm:presLayoutVars>
          <dgm:bulletEnabled val="1"/>
        </dgm:presLayoutVars>
      </dgm:prSet>
      <dgm:spPr/>
      <dgm:t>
        <a:bodyPr/>
        <a:lstStyle/>
        <a:p>
          <a:endParaRPr lang="en-US"/>
        </a:p>
      </dgm:t>
    </dgm:pt>
    <dgm:pt modelId="{5DC5D51E-945B-4CCC-B580-737CA66D42E3}" type="pres">
      <dgm:prSet presAssocID="{AD80D2A2-2CDC-439E-8A80-49FDDE50F566}" presName="Name9" presStyleLbl="parChTrans1D2" presStyleIdx="9" presStyleCnt="10"/>
      <dgm:spPr/>
      <dgm:t>
        <a:bodyPr/>
        <a:lstStyle/>
        <a:p>
          <a:endParaRPr lang="en-US"/>
        </a:p>
      </dgm:t>
    </dgm:pt>
    <dgm:pt modelId="{653D05C2-436A-4268-A4B1-DA090CACDDFB}" type="pres">
      <dgm:prSet presAssocID="{AD80D2A2-2CDC-439E-8A80-49FDDE50F566}" presName="connTx" presStyleLbl="parChTrans1D2" presStyleIdx="9" presStyleCnt="10"/>
      <dgm:spPr/>
      <dgm:t>
        <a:bodyPr/>
        <a:lstStyle/>
        <a:p>
          <a:endParaRPr lang="en-US"/>
        </a:p>
      </dgm:t>
    </dgm:pt>
    <dgm:pt modelId="{26661F75-1D9F-48E2-8FB0-82462D91AB89}" type="pres">
      <dgm:prSet presAssocID="{3869496C-0E19-4CE4-AC4D-8E2619BF9D68}" presName="node" presStyleLbl="node1" presStyleIdx="9" presStyleCnt="10" custScaleX="242886" custScaleY="139022" custRadScaleRad="160844" custRadScaleInc="-117009">
        <dgm:presLayoutVars>
          <dgm:bulletEnabled val="1"/>
        </dgm:presLayoutVars>
      </dgm:prSet>
      <dgm:spPr/>
      <dgm:t>
        <a:bodyPr/>
        <a:lstStyle/>
        <a:p>
          <a:endParaRPr lang="en-US"/>
        </a:p>
      </dgm:t>
    </dgm:pt>
  </dgm:ptLst>
  <dgm:cxnLst>
    <dgm:cxn modelId="{0D0EFC65-4870-40DB-BD68-B07908FC05CC}" type="presOf" srcId="{D460D018-736B-4CE5-A14B-061F8EFE829B}" destId="{5AF8D9AC-0C15-4D1B-BCD3-7FFCFF0A581D}" srcOrd="0" destOrd="0" presId="urn:microsoft.com/office/officeart/2005/8/layout/radial1"/>
    <dgm:cxn modelId="{EF99396B-984C-42B4-A7E1-5E20BBCC4913}" type="presOf" srcId="{DEF73824-C893-4963-9504-7E97D2FF5253}" destId="{3EA6B60F-F2E8-4D48-9EC1-CAAE09243949}" srcOrd="1" destOrd="0" presId="urn:microsoft.com/office/officeart/2005/8/layout/radial1"/>
    <dgm:cxn modelId="{FE1169E0-24DF-4FBB-A1C9-8F332C85663A}" srcId="{A7516A72-1FC0-46ED-AAC4-AF0F7063F737}" destId="{6DAE892F-3F2D-42A5-BB1C-58D0E6BD9A47}" srcOrd="2" destOrd="0" parTransId="{D22DE764-173E-47DF-9480-722F8D8EA62C}" sibTransId="{28BD2EB6-8814-456D-B684-C7C0E2C0705F}"/>
    <dgm:cxn modelId="{AFA3447C-5B53-44B9-A724-25487A22D82F}" type="presOf" srcId="{AD80D2A2-2CDC-439E-8A80-49FDDE50F566}" destId="{5DC5D51E-945B-4CCC-B580-737CA66D42E3}" srcOrd="0" destOrd="0" presId="urn:microsoft.com/office/officeart/2005/8/layout/radial1"/>
    <dgm:cxn modelId="{8352C716-D4DA-4017-8978-528BF9CCE40E}" type="presOf" srcId="{2628F477-2289-4CEE-9618-96DDAFCD4291}" destId="{49C45DFA-0A15-4DAA-80DC-CAE4ABCC6B43}" srcOrd="0" destOrd="0" presId="urn:microsoft.com/office/officeart/2005/8/layout/radial1"/>
    <dgm:cxn modelId="{69F12C33-4E16-4155-A96C-A047B68DC987}" type="presOf" srcId="{2F72DDEE-62D3-48A5-836A-4C87596541F0}" destId="{280B3AB5-4999-4B99-8BE9-E09C9DF5D482}" srcOrd="1" destOrd="0" presId="urn:microsoft.com/office/officeart/2005/8/layout/radial1"/>
    <dgm:cxn modelId="{546EA6CB-38F4-4E9C-AB8D-BBA1ACF6B380}" type="presOf" srcId="{DB9FEC62-86A7-454A-89B3-F32F1907C71A}" destId="{34515D96-C834-4D67-AF5C-3B293601CBC3}" srcOrd="0" destOrd="0" presId="urn:microsoft.com/office/officeart/2005/8/layout/radial1"/>
    <dgm:cxn modelId="{28806AC2-E8F4-473C-84B0-2E8C09978E64}" type="presOf" srcId="{A7516A72-1FC0-46ED-AAC4-AF0F7063F737}" destId="{493DA7EC-5D69-41B7-92E4-ED7ED9F48883}" srcOrd="0" destOrd="0" presId="urn:microsoft.com/office/officeart/2005/8/layout/radial1"/>
    <dgm:cxn modelId="{2D5C47DB-D6BF-4026-887E-C373DA2D772D}" type="presOf" srcId="{898446A3-EA8C-4C13-8A65-DF8A110D0838}" destId="{D9366F31-B7D7-4B43-830C-AD5E2193A794}" srcOrd="0" destOrd="0" presId="urn:microsoft.com/office/officeart/2005/8/layout/radial1"/>
    <dgm:cxn modelId="{604EAE9D-CD47-4F93-9F74-FFED098B811D}" type="presOf" srcId="{DEF73824-C893-4963-9504-7E97D2FF5253}" destId="{FCC14444-D5E7-4E9C-B980-A27CD799E442}" srcOrd="0" destOrd="0" presId="urn:microsoft.com/office/officeart/2005/8/layout/radial1"/>
    <dgm:cxn modelId="{C363CE6F-431D-48A7-B1DC-54BB90EB9747}" type="presOf" srcId="{98585C11-761C-43C4-979D-FB1B8BABF102}" destId="{B930024E-8665-4782-9C41-36517A71FCD4}" srcOrd="1" destOrd="0" presId="urn:microsoft.com/office/officeart/2005/8/layout/radial1"/>
    <dgm:cxn modelId="{621A7F9C-07C8-4336-9D99-24C7C5F68151}" type="presOf" srcId="{9E510621-404D-46D6-8EB3-39712C8626D4}" destId="{DC281168-2DBC-4CFB-B21D-C54E9628B383}" srcOrd="0" destOrd="0" presId="urn:microsoft.com/office/officeart/2005/8/layout/radial1"/>
    <dgm:cxn modelId="{28F09045-B7C5-4035-907C-FA3B009C7167}" type="presOf" srcId="{2F72DDEE-62D3-48A5-836A-4C87596541F0}" destId="{7B59CB2C-C82F-41EE-B3CF-ADD4878ADBA6}" srcOrd="0" destOrd="0" presId="urn:microsoft.com/office/officeart/2005/8/layout/radial1"/>
    <dgm:cxn modelId="{0BB4D11B-4C7B-47A6-90C1-31702E1DF199}" type="presOf" srcId="{98585C11-761C-43C4-979D-FB1B8BABF102}" destId="{E49C447F-3477-4311-B10B-FFFA7DE7209F}" srcOrd="0" destOrd="0" presId="urn:microsoft.com/office/officeart/2005/8/layout/radial1"/>
    <dgm:cxn modelId="{349DEC69-7D1E-49CB-BC9E-B0CC8FF40A1A}" type="presOf" srcId="{3F89048A-3F9F-4897-8631-4599F4976029}" destId="{32B4D7AF-BD29-4AC4-BA11-37F2AE9561F4}" srcOrd="1" destOrd="0" presId="urn:microsoft.com/office/officeart/2005/8/layout/radial1"/>
    <dgm:cxn modelId="{0E431E82-21DC-4CD8-81A5-ADFEEC48484A}" type="presOf" srcId="{D981426F-5B7B-4AA5-957A-6E8C9E1A2487}" destId="{9D8B49BD-1DF7-4888-9A7E-2CFD4320CC2B}" srcOrd="0" destOrd="0" presId="urn:microsoft.com/office/officeart/2005/8/layout/radial1"/>
    <dgm:cxn modelId="{A1357B0A-C240-4A91-89D8-A39634308683}" srcId="{A7516A72-1FC0-46ED-AAC4-AF0F7063F737}" destId="{44FBC2E2-D754-42C1-BEE4-690296442511}" srcOrd="7" destOrd="0" parTransId="{2F72DDEE-62D3-48A5-836A-4C87596541F0}" sibTransId="{A8D506B7-E9B0-4378-B011-FCC599FE960D}"/>
    <dgm:cxn modelId="{B0421B24-4CE5-4D9F-AB4B-16C12ECCE78A}" type="presOf" srcId="{D22DE764-173E-47DF-9480-722F8D8EA62C}" destId="{48797E66-4F8B-4B79-BCA7-6F88E85CF835}" srcOrd="1" destOrd="0" presId="urn:microsoft.com/office/officeart/2005/8/layout/radial1"/>
    <dgm:cxn modelId="{3C40A19A-2341-4C24-8DBA-28E9FA2E2059}" type="presOf" srcId="{B4A5C031-92B2-438E-80BC-EAA05F5C7CF7}" destId="{EFB9CB5A-411C-454B-96B1-9ED988829CBE}" srcOrd="0" destOrd="0" presId="urn:microsoft.com/office/officeart/2005/8/layout/radial1"/>
    <dgm:cxn modelId="{1D8C1805-87D1-404C-86FD-94534563A0F0}" type="presOf" srcId="{DB0D84B1-C440-4746-9EEF-F1ED71D64DD2}" destId="{66DADE40-99AE-41BE-B997-129EED231064}" srcOrd="0" destOrd="0" presId="urn:microsoft.com/office/officeart/2005/8/layout/radial1"/>
    <dgm:cxn modelId="{0FD269D6-D654-4F7B-A9A4-04B6A756A7A8}" type="presOf" srcId="{DB9FEC62-86A7-454A-89B3-F32F1907C71A}" destId="{A8CF68B1-7D91-429E-8C8D-53007288E1DC}" srcOrd="1" destOrd="0" presId="urn:microsoft.com/office/officeart/2005/8/layout/radial1"/>
    <dgm:cxn modelId="{6FAE4C31-F44E-4B13-9102-3050309D1C56}" type="presOf" srcId="{D22DE764-173E-47DF-9480-722F8D8EA62C}" destId="{5CF8296B-0142-429D-A71A-20799D2EB74B}" srcOrd="0" destOrd="0" presId="urn:microsoft.com/office/officeart/2005/8/layout/radial1"/>
    <dgm:cxn modelId="{333E8F20-31E9-4D6F-9F31-24FBF63076E9}" srcId="{A7516A72-1FC0-46ED-AAC4-AF0F7063F737}" destId="{D460D018-736B-4CE5-A14B-061F8EFE829B}" srcOrd="8" destOrd="0" parTransId="{B4A5C031-92B2-438E-80BC-EAA05F5C7CF7}" sibTransId="{13E4242D-C1FF-4F31-B2EF-0F857644C218}"/>
    <dgm:cxn modelId="{66B9B90A-7F30-41F3-8FCD-6FCAA96C0584}" type="presOf" srcId="{44FBC2E2-D754-42C1-BEE4-690296442511}" destId="{402B25BB-F397-46B5-AAB7-C38C2276BF82}" srcOrd="0" destOrd="0" presId="urn:microsoft.com/office/officeart/2005/8/layout/radial1"/>
    <dgm:cxn modelId="{74C7E9B5-132D-4A9C-9A31-382EEE43A6A5}" type="presOf" srcId="{3869496C-0E19-4CE4-AC4D-8E2619BF9D68}" destId="{26661F75-1D9F-48E2-8FB0-82462D91AB89}" srcOrd="0" destOrd="0" presId="urn:microsoft.com/office/officeart/2005/8/layout/radial1"/>
    <dgm:cxn modelId="{996B9653-906A-49F8-9E4B-3836F7905D4E}" srcId="{D981426F-5B7B-4AA5-957A-6E8C9E1A2487}" destId="{A7516A72-1FC0-46ED-AAC4-AF0F7063F737}" srcOrd="0" destOrd="0" parTransId="{D9E0AFEB-65B5-4280-ADD0-766B3ADA6CFD}" sibTransId="{6B1EB84D-437E-47A1-87CB-9027EE716AD0}"/>
    <dgm:cxn modelId="{B81E479E-8117-4728-A11B-1B210BEB2588}" type="presOf" srcId="{7C1FA040-4399-40F0-866F-845B7914F68D}" destId="{69F18085-0AC3-4BAE-9B16-F8478FFBD61E}" srcOrd="0" destOrd="0" presId="urn:microsoft.com/office/officeart/2005/8/layout/radial1"/>
    <dgm:cxn modelId="{A169A2BD-6A73-4180-AC75-D1A457A37F8C}" type="presOf" srcId="{BA28F4A6-AD16-499D-88C1-DBE004B28175}" destId="{E6ACA703-0949-41B3-BE6B-C702E5C7275F}" srcOrd="0" destOrd="0" presId="urn:microsoft.com/office/officeart/2005/8/layout/radial1"/>
    <dgm:cxn modelId="{A5794848-FA88-45E4-9420-D1C7392B5B45}" srcId="{A7516A72-1FC0-46ED-AAC4-AF0F7063F737}" destId="{3869496C-0E19-4CE4-AC4D-8E2619BF9D68}" srcOrd="9" destOrd="0" parTransId="{AD80D2A2-2CDC-439E-8A80-49FDDE50F566}" sibTransId="{3C80BB14-F31D-405F-A95F-B4434486AD2E}"/>
    <dgm:cxn modelId="{84826536-FF9D-47C5-902D-DB146A527C2A}" srcId="{A7516A72-1FC0-46ED-AAC4-AF0F7063F737}" destId="{68A5766F-115C-487E-B7CB-4ADE150678D1}" srcOrd="0" destOrd="0" parTransId="{BA28F4A6-AD16-499D-88C1-DBE004B28175}" sibTransId="{BA9B1909-6561-415A-8EF0-B53DE88FCEBA}"/>
    <dgm:cxn modelId="{345C13DF-1D3F-4982-AF23-DC2641540559}" srcId="{A7516A72-1FC0-46ED-AAC4-AF0F7063F737}" destId="{7C1FA040-4399-40F0-866F-845B7914F68D}" srcOrd="5" destOrd="0" parTransId="{98585C11-761C-43C4-979D-FB1B8BABF102}" sibTransId="{82A7CC90-6A4C-422A-B221-BA4CF5B4D442}"/>
    <dgm:cxn modelId="{35072566-AC73-4A60-B335-8FC1907E5273}" type="presOf" srcId="{6DAE892F-3F2D-42A5-BB1C-58D0E6BD9A47}" destId="{7E7DDE23-6C04-407D-AAB6-669511EA704E}" srcOrd="0" destOrd="0" presId="urn:microsoft.com/office/officeart/2005/8/layout/radial1"/>
    <dgm:cxn modelId="{C7DD68AE-99B2-4937-A127-D654A2E99784}" srcId="{A7516A72-1FC0-46ED-AAC4-AF0F7063F737}" destId="{DB0D84B1-C440-4746-9EEF-F1ED71D64DD2}" srcOrd="3" destOrd="0" parTransId="{9E510621-404D-46D6-8EB3-39712C8626D4}" sibTransId="{99C4878C-8523-40E3-93C5-8DC55D31DB77}"/>
    <dgm:cxn modelId="{E5DD3C3F-F401-46C8-9D1F-CEE8478EFA81}" srcId="{A7516A72-1FC0-46ED-AAC4-AF0F7063F737}" destId="{2628F477-2289-4CEE-9618-96DDAFCD4291}" srcOrd="6" destOrd="0" parTransId="{DEF73824-C893-4963-9504-7E97D2FF5253}" sibTransId="{6D6ABE48-6FEB-4EAA-849C-585AC08FCF5B}"/>
    <dgm:cxn modelId="{75B83601-2468-4D15-9410-865999539AB3}" type="presOf" srcId="{BA28F4A6-AD16-499D-88C1-DBE004B28175}" destId="{B06AADB2-5D51-41DC-8677-C0CC2357518B}" srcOrd="1" destOrd="0" presId="urn:microsoft.com/office/officeart/2005/8/layout/radial1"/>
    <dgm:cxn modelId="{8ECFD655-793B-4A7B-A792-AF4B5167D835}" type="presOf" srcId="{AD80D2A2-2CDC-439E-8A80-49FDDE50F566}" destId="{653D05C2-436A-4268-A4B1-DA090CACDDFB}" srcOrd="1" destOrd="0" presId="urn:microsoft.com/office/officeart/2005/8/layout/radial1"/>
    <dgm:cxn modelId="{3138FD81-FCE3-4020-9313-BAD8BCAF820B}" srcId="{A7516A72-1FC0-46ED-AAC4-AF0F7063F737}" destId="{14602118-D739-48CC-85E0-791974AFA995}" srcOrd="4" destOrd="0" parTransId="{3F89048A-3F9F-4897-8631-4599F4976029}" sibTransId="{85730AA2-ED16-41DB-9898-B2A63ECD874D}"/>
    <dgm:cxn modelId="{A6931E2E-9FA4-43A0-B459-E7D888DF6612}" type="presOf" srcId="{14602118-D739-48CC-85E0-791974AFA995}" destId="{DB594876-4070-4577-942D-67F5CD4D6A19}" srcOrd="0" destOrd="0" presId="urn:microsoft.com/office/officeart/2005/8/layout/radial1"/>
    <dgm:cxn modelId="{51C6E31F-C070-49C8-AE18-24B78E961944}" type="presOf" srcId="{68A5766F-115C-487E-B7CB-4ADE150678D1}" destId="{AFD0CC05-9AD4-4A51-8739-4FB4CA1E4ACE}" srcOrd="0" destOrd="0" presId="urn:microsoft.com/office/officeart/2005/8/layout/radial1"/>
    <dgm:cxn modelId="{FFE9F547-9397-421C-A094-1A27EA9AFCDB}" type="presOf" srcId="{3F89048A-3F9F-4897-8631-4599F4976029}" destId="{4DF1B0BE-A63A-4BEA-9EE5-4168481CC99E}" srcOrd="0" destOrd="0" presId="urn:microsoft.com/office/officeart/2005/8/layout/radial1"/>
    <dgm:cxn modelId="{5F0BD637-76FF-43DD-B5C8-299C1C37BABD}" type="presOf" srcId="{B4A5C031-92B2-438E-80BC-EAA05F5C7CF7}" destId="{A140118B-14B1-45A7-9CF9-17E4D006F84D}" srcOrd="1" destOrd="0" presId="urn:microsoft.com/office/officeart/2005/8/layout/radial1"/>
    <dgm:cxn modelId="{A93C1B4A-74B5-4343-AF12-0C2C4D914189}" srcId="{A7516A72-1FC0-46ED-AAC4-AF0F7063F737}" destId="{898446A3-EA8C-4C13-8A65-DF8A110D0838}" srcOrd="1" destOrd="0" parTransId="{DB9FEC62-86A7-454A-89B3-F32F1907C71A}" sibTransId="{E56928EA-8406-4998-BE40-3F4796EA5932}"/>
    <dgm:cxn modelId="{46203702-42F1-4918-951F-C528435379CB}" type="presOf" srcId="{9E510621-404D-46D6-8EB3-39712C8626D4}" destId="{0D3BFC0A-5ED4-4CCF-A336-A529B3363890}" srcOrd="1" destOrd="0" presId="urn:microsoft.com/office/officeart/2005/8/layout/radial1"/>
    <dgm:cxn modelId="{BE9E002A-F36B-41AE-9BF6-A0733BFC4D4A}" type="presParOf" srcId="{9D8B49BD-1DF7-4888-9A7E-2CFD4320CC2B}" destId="{493DA7EC-5D69-41B7-92E4-ED7ED9F48883}" srcOrd="0" destOrd="0" presId="urn:microsoft.com/office/officeart/2005/8/layout/radial1"/>
    <dgm:cxn modelId="{EC8A036D-17D4-418A-8275-F052604F3E5F}" type="presParOf" srcId="{9D8B49BD-1DF7-4888-9A7E-2CFD4320CC2B}" destId="{E6ACA703-0949-41B3-BE6B-C702E5C7275F}" srcOrd="1" destOrd="0" presId="urn:microsoft.com/office/officeart/2005/8/layout/radial1"/>
    <dgm:cxn modelId="{DAD44C8D-7762-4D26-8D21-F269DFE260EE}" type="presParOf" srcId="{E6ACA703-0949-41B3-BE6B-C702E5C7275F}" destId="{B06AADB2-5D51-41DC-8677-C0CC2357518B}" srcOrd="0" destOrd="0" presId="urn:microsoft.com/office/officeart/2005/8/layout/radial1"/>
    <dgm:cxn modelId="{E8BA429D-1DB9-44FF-AB18-5A7F84F9E7C1}" type="presParOf" srcId="{9D8B49BD-1DF7-4888-9A7E-2CFD4320CC2B}" destId="{AFD0CC05-9AD4-4A51-8739-4FB4CA1E4ACE}" srcOrd="2" destOrd="0" presId="urn:microsoft.com/office/officeart/2005/8/layout/radial1"/>
    <dgm:cxn modelId="{DA4DA0A9-87EC-42C7-8A17-2542EB2FFEAE}" type="presParOf" srcId="{9D8B49BD-1DF7-4888-9A7E-2CFD4320CC2B}" destId="{34515D96-C834-4D67-AF5C-3B293601CBC3}" srcOrd="3" destOrd="0" presId="urn:microsoft.com/office/officeart/2005/8/layout/radial1"/>
    <dgm:cxn modelId="{5E5EB426-3F34-4949-B4ED-048B464E491B}" type="presParOf" srcId="{34515D96-C834-4D67-AF5C-3B293601CBC3}" destId="{A8CF68B1-7D91-429E-8C8D-53007288E1DC}" srcOrd="0" destOrd="0" presId="urn:microsoft.com/office/officeart/2005/8/layout/radial1"/>
    <dgm:cxn modelId="{8F2F1A0F-DECB-4179-B2A7-13D53BA28208}" type="presParOf" srcId="{9D8B49BD-1DF7-4888-9A7E-2CFD4320CC2B}" destId="{D9366F31-B7D7-4B43-830C-AD5E2193A794}" srcOrd="4" destOrd="0" presId="urn:microsoft.com/office/officeart/2005/8/layout/radial1"/>
    <dgm:cxn modelId="{A3C489CA-2BFE-4ED8-96C0-8DA68BAA7C84}" type="presParOf" srcId="{9D8B49BD-1DF7-4888-9A7E-2CFD4320CC2B}" destId="{5CF8296B-0142-429D-A71A-20799D2EB74B}" srcOrd="5" destOrd="0" presId="urn:microsoft.com/office/officeart/2005/8/layout/radial1"/>
    <dgm:cxn modelId="{1DDF0C9C-DC23-4CF9-BAFE-5101ED9F89E7}" type="presParOf" srcId="{5CF8296B-0142-429D-A71A-20799D2EB74B}" destId="{48797E66-4F8B-4B79-BCA7-6F88E85CF835}" srcOrd="0" destOrd="0" presId="urn:microsoft.com/office/officeart/2005/8/layout/radial1"/>
    <dgm:cxn modelId="{68B94C00-5E90-4631-9656-703C44A45E9C}" type="presParOf" srcId="{9D8B49BD-1DF7-4888-9A7E-2CFD4320CC2B}" destId="{7E7DDE23-6C04-407D-AAB6-669511EA704E}" srcOrd="6" destOrd="0" presId="urn:microsoft.com/office/officeart/2005/8/layout/radial1"/>
    <dgm:cxn modelId="{F5D90CFA-EDCF-41EE-92CA-8D5EB7C4C9AF}" type="presParOf" srcId="{9D8B49BD-1DF7-4888-9A7E-2CFD4320CC2B}" destId="{DC281168-2DBC-4CFB-B21D-C54E9628B383}" srcOrd="7" destOrd="0" presId="urn:microsoft.com/office/officeart/2005/8/layout/radial1"/>
    <dgm:cxn modelId="{7703D4EB-1155-412B-AC64-7FAB90F079F9}" type="presParOf" srcId="{DC281168-2DBC-4CFB-B21D-C54E9628B383}" destId="{0D3BFC0A-5ED4-4CCF-A336-A529B3363890}" srcOrd="0" destOrd="0" presId="urn:microsoft.com/office/officeart/2005/8/layout/radial1"/>
    <dgm:cxn modelId="{7A900A39-B104-4011-8F55-893E13540218}" type="presParOf" srcId="{9D8B49BD-1DF7-4888-9A7E-2CFD4320CC2B}" destId="{66DADE40-99AE-41BE-B997-129EED231064}" srcOrd="8" destOrd="0" presId="urn:microsoft.com/office/officeart/2005/8/layout/radial1"/>
    <dgm:cxn modelId="{50E30403-B447-4C80-ADA8-73F6D52BCAE0}" type="presParOf" srcId="{9D8B49BD-1DF7-4888-9A7E-2CFD4320CC2B}" destId="{4DF1B0BE-A63A-4BEA-9EE5-4168481CC99E}" srcOrd="9" destOrd="0" presId="urn:microsoft.com/office/officeart/2005/8/layout/radial1"/>
    <dgm:cxn modelId="{931FA818-3C21-43DF-A9D1-98E5BBB4DFDC}" type="presParOf" srcId="{4DF1B0BE-A63A-4BEA-9EE5-4168481CC99E}" destId="{32B4D7AF-BD29-4AC4-BA11-37F2AE9561F4}" srcOrd="0" destOrd="0" presId="urn:microsoft.com/office/officeart/2005/8/layout/radial1"/>
    <dgm:cxn modelId="{8FE8C79E-EAEE-471F-9B34-22134B46DF8B}" type="presParOf" srcId="{9D8B49BD-1DF7-4888-9A7E-2CFD4320CC2B}" destId="{DB594876-4070-4577-942D-67F5CD4D6A19}" srcOrd="10" destOrd="0" presId="urn:microsoft.com/office/officeart/2005/8/layout/radial1"/>
    <dgm:cxn modelId="{2866B8DD-FB02-4640-B70B-EC675F985985}" type="presParOf" srcId="{9D8B49BD-1DF7-4888-9A7E-2CFD4320CC2B}" destId="{E49C447F-3477-4311-B10B-FFFA7DE7209F}" srcOrd="11" destOrd="0" presId="urn:microsoft.com/office/officeart/2005/8/layout/radial1"/>
    <dgm:cxn modelId="{D56AFF2A-9ACD-46D9-B029-30959B7A2AD6}" type="presParOf" srcId="{E49C447F-3477-4311-B10B-FFFA7DE7209F}" destId="{B930024E-8665-4782-9C41-36517A71FCD4}" srcOrd="0" destOrd="0" presId="urn:microsoft.com/office/officeart/2005/8/layout/radial1"/>
    <dgm:cxn modelId="{FCD4CCFE-5459-42EE-9093-562DCA179A27}" type="presParOf" srcId="{9D8B49BD-1DF7-4888-9A7E-2CFD4320CC2B}" destId="{69F18085-0AC3-4BAE-9B16-F8478FFBD61E}" srcOrd="12" destOrd="0" presId="urn:microsoft.com/office/officeart/2005/8/layout/radial1"/>
    <dgm:cxn modelId="{97B76434-C153-45D4-9544-F4D61DAAE73C}" type="presParOf" srcId="{9D8B49BD-1DF7-4888-9A7E-2CFD4320CC2B}" destId="{FCC14444-D5E7-4E9C-B980-A27CD799E442}" srcOrd="13" destOrd="0" presId="urn:microsoft.com/office/officeart/2005/8/layout/radial1"/>
    <dgm:cxn modelId="{FF605EDC-1918-475E-80C5-8C201CDCC9BB}" type="presParOf" srcId="{FCC14444-D5E7-4E9C-B980-A27CD799E442}" destId="{3EA6B60F-F2E8-4D48-9EC1-CAAE09243949}" srcOrd="0" destOrd="0" presId="urn:microsoft.com/office/officeart/2005/8/layout/radial1"/>
    <dgm:cxn modelId="{73474DE8-59E4-473C-8151-2CC01FC10EB0}" type="presParOf" srcId="{9D8B49BD-1DF7-4888-9A7E-2CFD4320CC2B}" destId="{49C45DFA-0A15-4DAA-80DC-CAE4ABCC6B43}" srcOrd="14" destOrd="0" presId="urn:microsoft.com/office/officeart/2005/8/layout/radial1"/>
    <dgm:cxn modelId="{CB32E1AA-E02C-40A4-8F13-909E758C3F50}" type="presParOf" srcId="{9D8B49BD-1DF7-4888-9A7E-2CFD4320CC2B}" destId="{7B59CB2C-C82F-41EE-B3CF-ADD4878ADBA6}" srcOrd="15" destOrd="0" presId="urn:microsoft.com/office/officeart/2005/8/layout/radial1"/>
    <dgm:cxn modelId="{0C77EE56-D56A-4659-8305-6A0CC8F27BD2}" type="presParOf" srcId="{7B59CB2C-C82F-41EE-B3CF-ADD4878ADBA6}" destId="{280B3AB5-4999-4B99-8BE9-E09C9DF5D482}" srcOrd="0" destOrd="0" presId="urn:microsoft.com/office/officeart/2005/8/layout/radial1"/>
    <dgm:cxn modelId="{D9281D27-5AB8-4F60-8A12-CB4AE2CB0C23}" type="presParOf" srcId="{9D8B49BD-1DF7-4888-9A7E-2CFD4320CC2B}" destId="{402B25BB-F397-46B5-AAB7-C38C2276BF82}" srcOrd="16" destOrd="0" presId="urn:microsoft.com/office/officeart/2005/8/layout/radial1"/>
    <dgm:cxn modelId="{C9AEDF17-ADE5-4972-A914-AE7350197DFB}" type="presParOf" srcId="{9D8B49BD-1DF7-4888-9A7E-2CFD4320CC2B}" destId="{EFB9CB5A-411C-454B-96B1-9ED988829CBE}" srcOrd="17" destOrd="0" presId="urn:microsoft.com/office/officeart/2005/8/layout/radial1"/>
    <dgm:cxn modelId="{AF7AB7C9-2B2C-49A2-9737-18ADE60D2A98}" type="presParOf" srcId="{EFB9CB5A-411C-454B-96B1-9ED988829CBE}" destId="{A140118B-14B1-45A7-9CF9-17E4D006F84D}" srcOrd="0" destOrd="0" presId="urn:microsoft.com/office/officeart/2005/8/layout/radial1"/>
    <dgm:cxn modelId="{E9DF3C66-A31F-4FDF-BDF4-8EEAD98850EA}" type="presParOf" srcId="{9D8B49BD-1DF7-4888-9A7E-2CFD4320CC2B}" destId="{5AF8D9AC-0C15-4D1B-BCD3-7FFCFF0A581D}" srcOrd="18" destOrd="0" presId="urn:microsoft.com/office/officeart/2005/8/layout/radial1"/>
    <dgm:cxn modelId="{64165F4F-7080-4143-83E5-279D26F6C4BE}" type="presParOf" srcId="{9D8B49BD-1DF7-4888-9A7E-2CFD4320CC2B}" destId="{5DC5D51E-945B-4CCC-B580-737CA66D42E3}" srcOrd="19" destOrd="0" presId="urn:microsoft.com/office/officeart/2005/8/layout/radial1"/>
    <dgm:cxn modelId="{D90E062D-2529-45E0-A4FB-93AAD36319AE}" type="presParOf" srcId="{5DC5D51E-945B-4CCC-B580-737CA66D42E3}" destId="{653D05C2-436A-4268-A4B1-DA090CACDDFB}" srcOrd="0" destOrd="0" presId="urn:microsoft.com/office/officeart/2005/8/layout/radial1"/>
    <dgm:cxn modelId="{981B77F1-E060-4EE6-8F80-AC267753B06B}" type="presParOf" srcId="{9D8B49BD-1DF7-4888-9A7E-2CFD4320CC2B}" destId="{26661F75-1D9F-48E2-8FB0-82462D91AB89}" srcOrd="20" destOrd="0" presId="urn:microsoft.com/office/officeart/2005/8/layout/radial1"/>
  </dgm:cxnLst>
  <dgm:bg/>
  <dgm:whole/>
  <dgm:extLst>
    <a:ext uri="http://schemas.microsoft.com/office/drawing/2008/diagram">
      <dsp:dataModelExt xmlns:dsp="http://schemas.microsoft.com/office/drawing/2008/diagram" relId="rId8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62D173F-A40A-406A-BA41-067F590F5B00}">
      <dsp:nvSpPr>
        <dsp:cNvPr id="0" name=""/>
        <dsp:cNvSpPr/>
      </dsp:nvSpPr>
      <dsp:spPr>
        <a:xfrm>
          <a:off x="2212363" y="1065054"/>
          <a:ext cx="1731155" cy="599249"/>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 </a:t>
          </a:r>
        </a:p>
      </dsp:txBody>
      <dsp:txXfrm>
        <a:off x="2465885" y="1152812"/>
        <a:ext cx="1224111" cy="423733"/>
      </dsp:txXfrm>
    </dsp:sp>
    <dsp:sp modelId="{2E00D982-49D5-455F-888E-68E4C81A2365}">
      <dsp:nvSpPr>
        <dsp:cNvPr id="0" name=""/>
        <dsp:cNvSpPr/>
      </dsp:nvSpPr>
      <dsp:spPr>
        <a:xfrm rot="16503791">
          <a:off x="2967317" y="906431"/>
          <a:ext cx="300868" cy="17833"/>
        </a:xfrm>
        <a:custGeom>
          <a:avLst/>
          <a:gdLst/>
          <a:ahLst/>
          <a:cxnLst/>
          <a:rect l="0" t="0" r="0" b="0"/>
          <a:pathLst>
            <a:path>
              <a:moveTo>
                <a:pt x="0" y="7259"/>
              </a:moveTo>
              <a:lnTo>
                <a:pt x="355250" y="7259"/>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110230" y="907826"/>
        <a:ext cx="15043" cy="15043"/>
      </dsp:txXfrm>
    </dsp:sp>
    <dsp:sp modelId="{44473C27-A9A3-4167-AEAF-A01C156E33F0}">
      <dsp:nvSpPr>
        <dsp:cNvPr id="0" name=""/>
        <dsp:cNvSpPr/>
      </dsp:nvSpPr>
      <dsp:spPr>
        <a:xfrm>
          <a:off x="2523577" y="159115"/>
          <a:ext cx="1268604" cy="606656"/>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5</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Système du PCT </a:t>
          </a:r>
        </a:p>
      </dsp:txBody>
      <dsp:txXfrm>
        <a:off x="2709360" y="247958"/>
        <a:ext cx="897038" cy="428970"/>
      </dsp:txXfrm>
    </dsp:sp>
    <dsp:sp modelId="{3FE6E2C5-0D84-4EA6-8A7C-D44D396A169E}">
      <dsp:nvSpPr>
        <dsp:cNvPr id="0" name=""/>
        <dsp:cNvSpPr/>
      </dsp:nvSpPr>
      <dsp:spPr>
        <a:xfrm rot="20365749">
          <a:off x="3655128" y="1082235"/>
          <a:ext cx="303287" cy="17833"/>
        </a:xfrm>
        <a:custGeom>
          <a:avLst/>
          <a:gdLst/>
          <a:ahLst/>
          <a:cxnLst/>
          <a:rect l="0" t="0" r="0" b="0"/>
          <a:pathLst>
            <a:path>
              <a:moveTo>
                <a:pt x="0" y="7259"/>
              </a:moveTo>
              <a:lnTo>
                <a:pt x="255651" y="7259"/>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799190" y="1083570"/>
        <a:ext cx="15164" cy="15164"/>
      </dsp:txXfrm>
    </dsp:sp>
    <dsp:sp modelId="{5F1C34CD-B8DF-45F7-A431-2126D61FFACC}">
      <dsp:nvSpPr>
        <dsp:cNvPr id="0" name=""/>
        <dsp:cNvSpPr/>
      </dsp:nvSpPr>
      <dsp:spPr>
        <a:xfrm>
          <a:off x="3796824" y="548723"/>
          <a:ext cx="1319526" cy="597113"/>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8 </a:t>
          </a:r>
        </a:p>
        <a:p>
          <a:pPr lvl="0" algn="ctr" defTabSz="400050">
            <a:lnSpc>
              <a:spcPct val="90000"/>
            </a:lnSpc>
            <a:spcBef>
              <a:spcPct val="0"/>
            </a:spcBef>
            <a:spcAft>
              <a:spcPct val="35000"/>
            </a:spcAft>
          </a:pPr>
          <a:r>
            <a:rPr lang="fr-FR"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Coordination du Plan d’action pour le développement</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3990064" y="636168"/>
        <a:ext cx="933046" cy="422223"/>
      </dsp:txXfrm>
    </dsp:sp>
    <dsp:sp modelId="{93B3BE9E-D237-4DD9-937C-973455BC3658}">
      <dsp:nvSpPr>
        <dsp:cNvPr id="0" name=""/>
        <dsp:cNvSpPr/>
      </dsp:nvSpPr>
      <dsp:spPr>
        <a:xfrm rot="219726">
          <a:off x="3928362" y="1433071"/>
          <a:ext cx="714950" cy="17833"/>
        </a:xfrm>
        <a:custGeom>
          <a:avLst/>
          <a:gdLst/>
          <a:ahLst/>
          <a:cxnLst/>
          <a:rect l="0" t="0" r="0" b="0"/>
          <a:pathLst>
            <a:path>
              <a:moveTo>
                <a:pt x="0" y="8916"/>
              </a:moveTo>
              <a:lnTo>
                <a:pt x="714950" y="8916"/>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4267963" y="1424114"/>
        <a:ext cx="35747" cy="35747"/>
      </dsp:txXfrm>
    </dsp:sp>
    <dsp:sp modelId="{3A26272E-8DBD-422F-ABA2-A3DA0C9B3C69}">
      <dsp:nvSpPr>
        <dsp:cNvPr id="0" name=""/>
        <dsp:cNvSpPr/>
      </dsp:nvSpPr>
      <dsp:spPr>
        <a:xfrm>
          <a:off x="4631860" y="1287830"/>
          <a:ext cx="1263872" cy="433498"/>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9</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Bureaux régionaux</a:t>
          </a:r>
        </a:p>
      </dsp:txBody>
      <dsp:txXfrm>
        <a:off x="4816950" y="1351314"/>
        <a:ext cx="893692" cy="306530"/>
      </dsp:txXfrm>
    </dsp:sp>
    <dsp:sp modelId="{7F30A5E4-3531-49F3-AC3C-8F1D2236451A}">
      <dsp:nvSpPr>
        <dsp:cNvPr id="0" name=""/>
        <dsp:cNvSpPr/>
      </dsp:nvSpPr>
      <dsp:spPr>
        <a:xfrm rot="1951493">
          <a:off x="3446290" y="1771976"/>
          <a:ext cx="568700" cy="17833"/>
        </a:xfrm>
        <a:custGeom>
          <a:avLst/>
          <a:gdLst/>
          <a:ahLst/>
          <a:cxnLst/>
          <a:rect l="0" t="0" r="0" b="0"/>
          <a:pathLst>
            <a:path>
              <a:moveTo>
                <a:pt x="0" y="8916"/>
              </a:moveTo>
              <a:lnTo>
                <a:pt x="568700" y="8916"/>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716423" y="1766675"/>
        <a:ext cx="28435" cy="28435"/>
      </dsp:txXfrm>
    </dsp:sp>
    <dsp:sp modelId="{E01DCF12-19AC-4734-9210-5F881573D3F5}">
      <dsp:nvSpPr>
        <dsp:cNvPr id="0" name=""/>
        <dsp:cNvSpPr/>
      </dsp:nvSpPr>
      <dsp:spPr>
        <a:xfrm>
          <a:off x="3709754" y="1877992"/>
          <a:ext cx="1263580" cy="584926"/>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10</a:t>
          </a:r>
        </a:p>
        <a:p>
          <a:pPr lvl="0" algn="ctr" defTabSz="400050">
            <a:lnSpc>
              <a:spcPct val="90000"/>
            </a:lnSpc>
            <a:spcBef>
              <a:spcPct val="0"/>
            </a:spcBef>
            <a:spcAft>
              <a:spcPct val="35000"/>
            </a:spcAft>
          </a:pPr>
          <a:r>
            <a:rPr lang="fr-FR"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Pays </a:t>
          </a:r>
          <a:r>
            <a:rPr lang="fr-CH"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en transition et pays développés</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3894801" y="1963652"/>
        <a:ext cx="893486" cy="413606"/>
      </dsp:txXfrm>
    </dsp:sp>
    <dsp:sp modelId="{9350C245-A165-4791-BD7A-BFCED0BB0361}">
      <dsp:nvSpPr>
        <dsp:cNvPr id="0" name=""/>
        <dsp:cNvSpPr/>
      </dsp:nvSpPr>
      <dsp:spPr>
        <a:xfrm rot="5798453">
          <a:off x="2815156" y="1858075"/>
          <a:ext cx="408603" cy="17833"/>
        </a:xfrm>
        <a:custGeom>
          <a:avLst/>
          <a:gdLst/>
          <a:ahLst/>
          <a:cxnLst/>
          <a:rect l="0" t="0" r="0" b="0"/>
          <a:pathLst>
            <a:path>
              <a:moveTo>
                <a:pt x="0" y="8916"/>
              </a:moveTo>
              <a:lnTo>
                <a:pt x="408603" y="8916"/>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3009243" y="1856776"/>
        <a:ext cx="20430" cy="20430"/>
      </dsp:txXfrm>
    </dsp:sp>
    <dsp:sp modelId="{C7416AF2-49A6-451C-80C3-A5143C86D045}">
      <dsp:nvSpPr>
        <dsp:cNvPr id="0" name=""/>
        <dsp:cNvSpPr/>
      </dsp:nvSpPr>
      <dsp:spPr>
        <a:xfrm>
          <a:off x="2372475" y="2069564"/>
          <a:ext cx="1185067" cy="530199"/>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11</a:t>
          </a:r>
        </a:p>
        <a:p>
          <a:pPr lvl="0" algn="ctr" defTabSz="400050">
            <a:lnSpc>
              <a:spcPct val="90000"/>
            </a:lnSpc>
            <a:spcBef>
              <a:spcPct val="0"/>
            </a:spcBef>
            <a:spcAft>
              <a:spcPct val="35000"/>
            </a:spcAft>
          </a:pPr>
          <a:r>
            <a:rPr lang="fr-FR"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Académie de l’OMPI</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2546024" y="2147210"/>
        <a:ext cx="837969" cy="374907"/>
      </dsp:txXfrm>
    </dsp:sp>
    <dsp:sp modelId="{2A6DC4FF-B426-4171-A201-27B83DA94370}">
      <dsp:nvSpPr>
        <dsp:cNvPr id="0" name=""/>
        <dsp:cNvSpPr/>
      </dsp:nvSpPr>
      <dsp:spPr>
        <a:xfrm rot="9126553">
          <a:off x="2014444" y="1752954"/>
          <a:ext cx="626079" cy="17833"/>
        </a:xfrm>
        <a:custGeom>
          <a:avLst/>
          <a:gdLst/>
          <a:ahLst/>
          <a:cxnLst/>
          <a:rect l="0" t="0" r="0" b="0"/>
          <a:pathLst>
            <a:path>
              <a:moveTo>
                <a:pt x="0" y="8916"/>
              </a:moveTo>
              <a:lnTo>
                <a:pt x="626079" y="8916"/>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311831" y="1746219"/>
        <a:ext cx="31303" cy="31303"/>
      </dsp:txXfrm>
    </dsp:sp>
    <dsp:sp modelId="{353BAFE4-0977-4589-9534-7471241857D7}">
      <dsp:nvSpPr>
        <dsp:cNvPr id="0" name=""/>
        <dsp:cNvSpPr/>
      </dsp:nvSpPr>
      <dsp:spPr>
        <a:xfrm>
          <a:off x="1080185" y="1847940"/>
          <a:ext cx="1183823" cy="521609"/>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16</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Économie et statistiques</a:t>
          </a:r>
        </a:p>
      </dsp:txBody>
      <dsp:txXfrm>
        <a:off x="1253552" y="1924328"/>
        <a:ext cx="837089" cy="368833"/>
      </dsp:txXfrm>
    </dsp:sp>
    <dsp:sp modelId="{D3C62D02-BD66-40AA-8598-E6F03FA4330E}">
      <dsp:nvSpPr>
        <dsp:cNvPr id="0" name=""/>
        <dsp:cNvSpPr/>
      </dsp:nvSpPr>
      <dsp:spPr>
        <a:xfrm rot="10800000">
          <a:off x="1329027" y="1355762"/>
          <a:ext cx="883336" cy="17833"/>
        </a:xfrm>
        <a:custGeom>
          <a:avLst/>
          <a:gdLst/>
          <a:ahLst/>
          <a:cxnLst/>
          <a:rect l="0" t="0" r="0" b="0"/>
          <a:pathLst>
            <a:path>
              <a:moveTo>
                <a:pt x="0" y="8916"/>
              </a:moveTo>
              <a:lnTo>
                <a:pt x="883336" y="8916"/>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1748611" y="1342595"/>
        <a:ext cx="44166" cy="44166"/>
      </dsp:txXfrm>
    </dsp:sp>
    <dsp:sp modelId="{694C81C6-3E54-45BC-9ED9-5944CBD672A7}">
      <dsp:nvSpPr>
        <dsp:cNvPr id="0" name=""/>
        <dsp:cNvSpPr/>
      </dsp:nvSpPr>
      <dsp:spPr>
        <a:xfrm>
          <a:off x="0" y="1074111"/>
          <a:ext cx="1329027" cy="581134"/>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18</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Propriété intellectuelle et défis mondiaux</a:t>
          </a:r>
        </a:p>
      </dsp:txBody>
      <dsp:txXfrm>
        <a:off x="194631" y="1159216"/>
        <a:ext cx="939765" cy="410924"/>
      </dsp:txXfrm>
    </dsp:sp>
    <dsp:sp modelId="{98E66AFE-BCED-48F2-B78A-230BF42B9FFC}">
      <dsp:nvSpPr>
        <dsp:cNvPr id="0" name=""/>
        <dsp:cNvSpPr/>
      </dsp:nvSpPr>
      <dsp:spPr>
        <a:xfrm rot="12506886">
          <a:off x="2194355" y="997430"/>
          <a:ext cx="444381" cy="17833"/>
        </a:xfrm>
        <a:custGeom>
          <a:avLst/>
          <a:gdLst/>
          <a:ahLst/>
          <a:cxnLst/>
          <a:rect l="0" t="0" r="0" b="0"/>
          <a:pathLst>
            <a:path>
              <a:moveTo>
                <a:pt x="0" y="8916"/>
              </a:moveTo>
              <a:lnTo>
                <a:pt x="444381" y="8916"/>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405437" y="995237"/>
        <a:ext cx="22219" cy="22219"/>
      </dsp:txXfrm>
    </dsp:sp>
    <dsp:sp modelId="{A8CAB3F2-A4A1-434C-9CB4-641DE8526482}">
      <dsp:nvSpPr>
        <dsp:cNvPr id="0" name=""/>
        <dsp:cNvSpPr/>
      </dsp:nvSpPr>
      <dsp:spPr>
        <a:xfrm>
          <a:off x="1169375" y="392768"/>
          <a:ext cx="1286694" cy="572871"/>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20 </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Relations extérieures</a:t>
          </a:r>
        </a:p>
      </dsp:txBody>
      <dsp:txXfrm>
        <a:off x="1357807" y="476663"/>
        <a:ext cx="909830" cy="405081"/>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93DA7EC-5D69-41B7-92E4-ED7ED9F48883}">
      <dsp:nvSpPr>
        <dsp:cNvPr id="0" name=""/>
        <dsp:cNvSpPr/>
      </dsp:nvSpPr>
      <dsp:spPr>
        <a:xfrm>
          <a:off x="2277625" y="1426038"/>
          <a:ext cx="1515509" cy="519059"/>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en-US" sz="105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9 </a:t>
          </a:r>
        </a:p>
      </dsp:txBody>
      <dsp:txXfrm>
        <a:off x="2499566" y="1502052"/>
        <a:ext cx="1071627" cy="367031"/>
      </dsp:txXfrm>
    </dsp:sp>
    <dsp:sp modelId="{E6ACA703-0949-41B3-BE6B-C702E5C7275F}">
      <dsp:nvSpPr>
        <dsp:cNvPr id="0" name=""/>
        <dsp:cNvSpPr/>
      </dsp:nvSpPr>
      <dsp:spPr>
        <a:xfrm rot="15730276">
          <a:off x="2453523" y="942172"/>
          <a:ext cx="961462" cy="15805"/>
        </a:xfrm>
        <a:custGeom>
          <a:avLst/>
          <a:gdLst/>
          <a:ahLst/>
          <a:cxnLst/>
          <a:rect l="0" t="0" r="0" b="0"/>
          <a:pathLst>
            <a:path>
              <a:moveTo>
                <a:pt x="0" y="7902"/>
              </a:moveTo>
              <a:lnTo>
                <a:pt x="961462" y="7902"/>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910217" y="926038"/>
        <a:ext cx="48073" cy="48073"/>
      </dsp:txXfrm>
    </dsp:sp>
    <dsp:sp modelId="{AFD0CC05-9AD4-4A51-8739-4FB4CA1E4ACE}">
      <dsp:nvSpPr>
        <dsp:cNvPr id="0" name=""/>
        <dsp:cNvSpPr/>
      </dsp:nvSpPr>
      <dsp:spPr>
        <a:xfrm>
          <a:off x="2208016" y="82873"/>
          <a:ext cx="1267783" cy="391127"/>
        </a:xfrm>
        <a:prstGeom prst="ellipse">
          <a:avLst/>
        </a:prstGeom>
        <a:solidFill>
          <a:schemeClr val="accent1">
            <a:lumMod val="40000"/>
            <a:lumOff val="60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 </a:t>
          </a:r>
        </a:p>
        <a:p>
          <a:pPr lvl="0" algn="ctr" defTabSz="400050">
            <a:lnSpc>
              <a:spcPct val="90000"/>
            </a:lnSpc>
            <a:spcBef>
              <a:spcPct val="0"/>
            </a:spcBef>
            <a:spcAft>
              <a:spcPct val="35000"/>
            </a:spcAft>
          </a:pPr>
          <a:r>
            <a:rPr lang="en-US" sz="7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Droit des brevets</a:t>
          </a:r>
        </a:p>
      </dsp:txBody>
      <dsp:txXfrm>
        <a:off x="2393679" y="140152"/>
        <a:ext cx="896457" cy="276569"/>
      </dsp:txXfrm>
    </dsp:sp>
    <dsp:sp modelId="{34515D96-C834-4D67-AF5C-3B293601CBC3}">
      <dsp:nvSpPr>
        <dsp:cNvPr id="0" name=""/>
        <dsp:cNvSpPr/>
      </dsp:nvSpPr>
      <dsp:spPr>
        <a:xfrm rot="18475620">
          <a:off x="3037253" y="1030772"/>
          <a:ext cx="1004418" cy="15805"/>
        </a:xfrm>
        <a:custGeom>
          <a:avLst/>
          <a:gdLst/>
          <a:ahLst/>
          <a:cxnLst/>
          <a:rect l="0" t="0" r="0" b="0"/>
          <a:pathLst>
            <a:path>
              <a:moveTo>
                <a:pt x="0" y="7902"/>
              </a:moveTo>
              <a:lnTo>
                <a:pt x="1004418" y="7902"/>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514352" y="1013565"/>
        <a:ext cx="50220" cy="50220"/>
      </dsp:txXfrm>
    </dsp:sp>
    <dsp:sp modelId="{D9366F31-B7D7-4B43-830C-AD5E2193A794}">
      <dsp:nvSpPr>
        <dsp:cNvPr id="0" name=""/>
        <dsp:cNvSpPr/>
      </dsp:nvSpPr>
      <dsp:spPr>
        <a:xfrm>
          <a:off x="3536674" y="5217"/>
          <a:ext cx="1094126" cy="669971"/>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2 </a:t>
          </a:r>
        </a:p>
        <a:p>
          <a:pPr lvl="0" algn="ctr" defTabSz="400050">
            <a:lnSpc>
              <a:spcPct val="90000"/>
            </a:lnSpc>
            <a:spcBef>
              <a:spcPct val="0"/>
            </a:spcBef>
            <a:spcAft>
              <a:spcPct val="35000"/>
            </a:spcAft>
          </a:pPr>
          <a:r>
            <a:rPr lang="en-US" sz="7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Marques, dessins et modèles industriels et indications géographiques</a:t>
          </a:r>
        </a:p>
      </dsp:txBody>
      <dsp:txXfrm>
        <a:off x="3696905" y="103332"/>
        <a:ext cx="773664" cy="473741"/>
      </dsp:txXfrm>
    </dsp:sp>
    <dsp:sp modelId="{3F0F15B6-4D5A-493B-B03E-AE8141DC3DCE}">
      <dsp:nvSpPr>
        <dsp:cNvPr id="0" name=""/>
        <dsp:cNvSpPr/>
      </dsp:nvSpPr>
      <dsp:spPr>
        <a:xfrm rot="19917906">
          <a:off x="3360520" y="1119809"/>
          <a:ext cx="1444990" cy="15805"/>
        </a:xfrm>
        <a:custGeom>
          <a:avLst/>
          <a:gdLst/>
          <a:ahLst/>
          <a:cxnLst/>
          <a:rect l="0" t="0" r="0" b="0"/>
          <a:pathLst>
            <a:path>
              <a:moveTo>
                <a:pt x="0" y="7902"/>
              </a:moveTo>
              <a:lnTo>
                <a:pt x="1444990" y="7902"/>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4046890" y="1091587"/>
        <a:ext cx="72249" cy="72249"/>
      </dsp:txXfrm>
    </dsp:sp>
    <dsp:sp modelId="{ECD2D13D-466C-468B-BD6C-1B646D8E5B8E}">
      <dsp:nvSpPr>
        <dsp:cNvPr id="0" name=""/>
        <dsp:cNvSpPr/>
      </dsp:nvSpPr>
      <dsp:spPr>
        <a:xfrm>
          <a:off x="4568456" y="348618"/>
          <a:ext cx="995525" cy="511092"/>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3</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r>
            <a:rPr lang="en-US" sz="7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Droit d’auteur et droits connexes</a:t>
          </a:r>
        </a:p>
      </dsp:txBody>
      <dsp:txXfrm>
        <a:off x="4714247" y="423466"/>
        <a:ext cx="703943" cy="361396"/>
      </dsp:txXfrm>
    </dsp:sp>
    <dsp:sp modelId="{5CF8296B-0142-429D-A71A-20799D2EB74B}">
      <dsp:nvSpPr>
        <dsp:cNvPr id="0" name=""/>
        <dsp:cNvSpPr/>
      </dsp:nvSpPr>
      <dsp:spPr>
        <a:xfrm rot="20902926">
          <a:off x="3675746" y="1452464"/>
          <a:ext cx="909985" cy="15805"/>
        </a:xfrm>
        <a:custGeom>
          <a:avLst/>
          <a:gdLst/>
          <a:ahLst/>
          <a:cxnLst/>
          <a:rect l="0" t="0" r="0" b="0"/>
          <a:pathLst>
            <a:path>
              <a:moveTo>
                <a:pt x="0" y="7902"/>
              </a:moveTo>
              <a:lnTo>
                <a:pt x="909985" y="7902"/>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4107989" y="1437617"/>
        <a:ext cx="45499" cy="45499"/>
      </dsp:txXfrm>
    </dsp:sp>
    <dsp:sp modelId="{7E7DDE23-6C04-407D-AAB6-669511EA704E}">
      <dsp:nvSpPr>
        <dsp:cNvPr id="0" name=""/>
        <dsp:cNvSpPr/>
      </dsp:nvSpPr>
      <dsp:spPr>
        <a:xfrm>
          <a:off x="4524783" y="920914"/>
          <a:ext cx="1320296" cy="645430"/>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4 </a:t>
          </a:r>
        </a:p>
        <a:p>
          <a:pPr lvl="0" algn="ctr" defTabSz="400050">
            <a:lnSpc>
              <a:spcPct val="90000"/>
            </a:lnSpc>
            <a:spcBef>
              <a:spcPct val="0"/>
            </a:spcBef>
            <a:spcAft>
              <a:spcPct val="35000"/>
            </a:spcAft>
          </a:pPr>
          <a:r>
            <a:rPr lang="en-US" sz="7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Savoirs traditionnels, expressions culturelles traditionnelles et ressources génétiques</a:t>
          </a:r>
        </a:p>
      </dsp:txBody>
      <dsp:txXfrm>
        <a:off x="4718136" y="1015435"/>
        <a:ext cx="933590" cy="456388"/>
      </dsp:txXfrm>
    </dsp:sp>
    <dsp:sp modelId="{DC281168-2DBC-4CFB-B21D-C54E9628B383}">
      <dsp:nvSpPr>
        <dsp:cNvPr id="0" name=""/>
        <dsp:cNvSpPr/>
      </dsp:nvSpPr>
      <dsp:spPr>
        <a:xfrm rot="289558">
          <a:off x="3769784" y="1771260"/>
          <a:ext cx="748303" cy="15805"/>
        </a:xfrm>
        <a:custGeom>
          <a:avLst/>
          <a:gdLst/>
          <a:ahLst/>
          <a:cxnLst/>
          <a:rect l="0" t="0" r="0" b="0"/>
          <a:pathLst>
            <a:path>
              <a:moveTo>
                <a:pt x="0" y="7902"/>
              </a:moveTo>
              <a:lnTo>
                <a:pt x="748303" y="7902"/>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4125228" y="1760455"/>
        <a:ext cx="37415" cy="37415"/>
      </dsp:txXfrm>
    </dsp:sp>
    <dsp:sp modelId="{66DADE40-99AE-41BE-B997-129EED231064}">
      <dsp:nvSpPr>
        <dsp:cNvPr id="0" name=""/>
        <dsp:cNvSpPr/>
      </dsp:nvSpPr>
      <dsp:spPr>
        <a:xfrm>
          <a:off x="4498832" y="1609218"/>
          <a:ext cx="1412367" cy="519059"/>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5</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r>
            <a:rPr lang="en-US" sz="7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Système du PCT</a:t>
          </a:r>
        </a:p>
      </dsp:txBody>
      <dsp:txXfrm>
        <a:off x="4705668" y="1685232"/>
        <a:ext cx="998695" cy="367031"/>
      </dsp:txXfrm>
    </dsp:sp>
    <dsp:sp modelId="{4DF1B0BE-A63A-4BEA-9EE5-4168481CC99E}">
      <dsp:nvSpPr>
        <dsp:cNvPr id="0" name=""/>
        <dsp:cNvSpPr/>
      </dsp:nvSpPr>
      <dsp:spPr>
        <a:xfrm rot="1401694">
          <a:off x="3458161" y="2113290"/>
          <a:ext cx="1171488" cy="15805"/>
        </a:xfrm>
        <a:custGeom>
          <a:avLst/>
          <a:gdLst/>
          <a:ahLst/>
          <a:cxnLst/>
          <a:rect l="0" t="0" r="0" b="0"/>
          <a:pathLst>
            <a:path>
              <a:moveTo>
                <a:pt x="0" y="7902"/>
              </a:moveTo>
              <a:lnTo>
                <a:pt x="1171488" y="7902"/>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4014618" y="2091906"/>
        <a:ext cx="58574" cy="58574"/>
      </dsp:txXfrm>
    </dsp:sp>
    <dsp:sp modelId="{DB594876-4070-4577-942D-67F5CD4D6A19}">
      <dsp:nvSpPr>
        <dsp:cNvPr id="0" name=""/>
        <dsp:cNvSpPr/>
      </dsp:nvSpPr>
      <dsp:spPr>
        <a:xfrm>
          <a:off x="4470011" y="2255439"/>
          <a:ext cx="997576" cy="530510"/>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6</a:t>
          </a:r>
        </a:p>
        <a:p>
          <a:pPr lvl="0" algn="ctr" defTabSz="400050">
            <a:lnSpc>
              <a:spcPct val="90000"/>
            </a:lnSpc>
            <a:spcBef>
              <a:spcPct val="0"/>
            </a:spcBef>
            <a:spcAft>
              <a:spcPct val="35000"/>
            </a:spcAft>
          </a:pPr>
          <a:r>
            <a:rPr lang="en-US" sz="7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Système de Madrid</a:t>
          </a:r>
        </a:p>
      </dsp:txBody>
      <dsp:txXfrm>
        <a:off x="4616103" y="2333130"/>
        <a:ext cx="705392" cy="375128"/>
      </dsp:txXfrm>
    </dsp:sp>
    <dsp:sp modelId="{E49C447F-3477-4311-B10B-FFFA7DE7209F}">
      <dsp:nvSpPr>
        <dsp:cNvPr id="0" name=""/>
        <dsp:cNvSpPr/>
      </dsp:nvSpPr>
      <dsp:spPr>
        <a:xfrm rot="3147022">
          <a:off x="3036027" y="2318973"/>
          <a:ext cx="984656" cy="15805"/>
        </a:xfrm>
        <a:custGeom>
          <a:avLst/>
          <a:gdLst/>
          <a:ahLst/>
          <a:cxnLst/>
          <a:rect l="0" t="0" r="0" b="0"/>
          <a:pathLst>
            <a:path>
              <a:moveTo>
                <a:pt x="0" y="7902"/>
              </a:moveTo>
              <a:lnTo>
                <a:pt x="984656" y="7902"/>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503739" y="2302260"/>
        <a:ext cx="49232" cy="49232"/>
      </dsp:txXfrm>
    </dsp:sp>
    <dsp:sp modelId="{69F18085-0AC3-4BAE-9B16-F8478FFBD61E}">
      <dsp:nvSpPr>
        <dsp:cNvPr id="0" name=""/>
        <dsp:cNvSpPr/>
      </dsp:nvSpPr>
      <dsp:spPr>
        <a:xfrm>
          <a:off x="3403916" y="2707772"/>
          <a:ext cx="1186124" cy="457463"/>
        </a:xfrm>
        <a:prstGeom prst="ellipse">
          <a:avLst/>
        </a:prstGeom>
        <a:solidFill>
          <a:schemeClr val="accent1">
            <a:lumMod val="40000"/>
            <a:lumOff val="60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11 </a:t>
          </a:r>
        </a:p>
        <a:p>
          <a:pPr lvl="0" algn="ctr" defTabSz="400050">
            <a:lnSpc>
              <a:spcPct val="90000"/>
            </a:lnSpc>
            <a:spcBef>
              <a:spcPct val="0"/>
            </a:spcBef>
            <a:spcAft>
              <a:spcPct val="35000"/>
            </a:spcAft>
          </a:pPr>
          <a:r>
            <a:rPr lang="en-US" sz="7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Académie de l’OMPI </a:t>
          </a:r>
        </a:p>
      </dsp:txBody>
      <dsp:txXfrm>
        <a:off x="3577620" y="2774766"/>
        <a:ext cx="838716" cy="323475"/>
      </dsp:txXfrm>
    </dsp:sp>
    <dsp:sp modelId="{FCC14444-D5E7-4E9C-B980-A27CD799E442}">
      <dsp:nvSpPr>
        <dsp:cNvPr id="0" name=""/>
        <dsp:cNvSpPr/>
      </dsp:nvSpPr>
      <dsp:spPr>
        <a:xfrm rot="5893807">
          <a:off x="2526948" y="2344602"/>
          <a:ext cx="823933" cy="15805"/>
        </a:xfrm>
        <a:custGeom>
          <a:avLst/>
          <a:gdLst/>
          <a:ahLst/>
          <a:cxnLst/>
          <a:rect l="0" t="0" r="0" b="0"/>
          <a:pathLst>
            <a:path>
              <a:moveTo>
                <a:pt x="0" y="7902"/>
              </a:moveTo>
              <a:lnTo>
                <a:pt x="823933" y="7902"/>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918317" y="2331906"/>
        <a:ext cx="41196" cy="41196"/>
      </dsp:txXfrm>
    </dsp:sp>
    <dsp:sp modelId="{49C45DFA-0A15-4DAA-80DC-CAE4ABCC6B43}">
      <dsp:nvSpPr>
        <dsp:cNvPr id="0" name=""/>
        <dsp:cNvSpPr/>
      </dsp:nvSpPr>
      <dsp:spPr>
        <a:xfrm>
          <a:off x="2293302" y="2759432"/>
          <a:ext cx="1091505" cy="566963"/>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14 </a:t>
          </a:r>
        </a:p>
        <a:p>
          <a:pPr lvl="0" algn="ctr" defTabSz="400050">
            <a:lnSpc>
              <a:spcPct val="90000"/>
            </a:lnSpc>
            <a:spcBef>
              <a:spcPct val="0"/>
            </a:spcBef>
            <a:spcAft>
              <a:spcPct val="35000"/>
            </a:spcAft>
          </a:pPr>
          <a:r>
            <a:rPr lang="en-US" sz="7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Services d’accès à l’information et aux savoirs </a:t>
          </a:r>
        </a:p>
      </dsp:txBody>
      <dsp:txXfrm>
        <a:off x="2453149" y="2842462"/>
        <a:ext cx="771811" cy="400903"/>
      </dsp:txXfrm>
    </dsp:sp>
    <dsp:sp modelId="{7B59CB2C-C82F-41EE-B3CF-ADD4878ADBA6}">
      <dsp:nvSpPr>
        <dsp:cNvPr id="0" name=""/>
        <dsp:cNvSpPr/>
      </dsp:nvSpPr>
      <dsp:spPr>
        <a:xfrm rot="8287893">
          <a:off x="1711054" y="2323238"/>
          <a:ext cx="1208052" cy="15805"/>
        </a:xfrm>
        <a:custGeom>
          <a:avLst/>
          <a:gdLst/>
          <a:ahLst/>
          <a:cxnLst/>
          <a:rect l="0" t="0" r="0" b="0"/>
          <a:pathLst>
            <a:path>
              <a:moveTo>
                <a:pt x="0" y="7346"/>
              </a:moveTo>
              <a:lnTo>
                <a:pt x="1124137" y="7346"/>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284879" y="2300939"/>
        <a:ext cx="60402" cy="60402"/>
      </dsp:txXfrm>
    </dsp:sp>
    <dsp:sp modelId="{402B25BB-F397-46B5-AAB7-C38C2276BF82}">
      <dsp:nvSpPr>
        <dsp:cNvPr id="0" name=""/>
        <dsp:cNvSpPr/>
      </dsp:nvSpPr>
      <dsp:spPr>
        <a:xfrm>
          <a:off x="936807" y="2692840"/>
          <a:ext cx="1242515" cy="633559"/>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15 </a:t>
          </a:r>
        </a:p>
        <a:p>
          <a:pPr lvl="0" algn="ctr" defTabSz="400050">
            <a:lnSpc>
              <a:spcPct val="90000"/>
            </a:lnSpc>
            <a:spcBef>
              <a:spcPct val="0"/>
            </a:spcBef>
            <a:spcAft>
              <a:spcPct val="35000"/>
            </a:spcAft>
          </a:pPr>
          <a:r>
            <a:rPr lang="en-US" sz="7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Solutions opérationnelles pour les offices de propriété intellectuelle </a:t>
          </a:r>
        </a:p>
      </dsp:txBody>
      <dsp:txXfrm>
        <a:off x="1118769" y="2785623"/>
        <a:ext cx="878591" cy="447993"/>
      </dsp:txXfrm>
    </dsp:sp>
    <dsp:sp modelId="{EFB9CB5A-411C-454B-96B1-9ED988829CBE}">
      <dsp:nvSpPr>
        <dsp:cNvPr id="0" name=""/>
        <dsp:cNvSpPr/>
      </dsp:nvSpPr>
      <dsp:spPr>
        <a:xfrm rot="9764209">
          <a:off x="1245114" y="2038634"/>
          <a:ext cx="1257403" cy="15805"/>
        </a:xfrm>
        <a:custGeom>
          <a:avLst/>
          <a:gdLst/>
          <a:ahLst/>
          <a:cxnLst/>
          <a:rect l="0" t="0" r="0" b="0"/>
          <a:pathLst>
            <a:path>
              <a:moveTo>
                <a:pt x="0" y="7902"/>
              </a:moveTo>
              <a:lnTo>
                <a:pt x="1257403" y="7902"/>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1842381" y="2015101"/>
        <a:ext cx="62870" cy="62870"/>
      </dsp:txXfrm>
    </dsp:sp>
    <dsp:sp modelId="{5AF8D9AC-0C15-4D1B-BCD3-7FFCFF0A581D}">
      <dsp:nvSpPr>
        <dsp:cNvPr id="0" name=""/>
        <dsp:cNvSpPr/>
      </dsp:nvSpPr>
      <dsp:spPr>
        <a:xfrm>
          <a:off x="120992" y="2103921"/>
          <a:ext cx="1259182" cy="583345"/>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17 </a:t>
          </a:r>
        </a:p>
        <a:p>
          <a:pPr lvl="0" algn="ctr" defTabSz="400050">
            <a:lnSpc>
              <a:spcPct val="90000"/>
            </a:lnSpc>
            <a:spcBef>
              <a:spcPct val="0"/>
            </a:spcBef>
            <a:spcAft>
              <a:spcPct val="35000"/>
            </a:spcAft>
          </a:pPr>
          <a:r>
            <a:rPr lang="en-US" sz="7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Promouvoir le respect de la propriété intellectuelle</a:t>
          </a:r>
        </a:p>
      </dsp:txBody>
      <dsp:txXfrm>
        <a:off x="305395" y="2189350"/>
        <a:ext cx="890376" cy="412487"/>
      </dsp:txXfrm>
    </dsp:sp>
    <dsp:sp modelId="{701CC827-3AE5-4421-983B-6398C783C82F}">
      <dsp:nvSpPr>
        <dsp:cNvPr id="0" name=""/>
        <dsp:cNvSpPr/>
      </dsp:nvSpPr>
      <dsp:spPr>
        <a:xfrm rot="10792746">
          <a:off x="1253678" y="1680345"/>
          <a:ext cx="1023962" cy="15805"/>
        </a:xfrm>
        <a:custGeom>
          <a:avLst/>
          <a:gdLst/>
          <a:ahLst/>
          <a:cxnLst/>
          <a:rect l="0" t="0" r="0" b="0"/>
          <a:pathLst>
            <a:path>
              <a:moveTo>
                <a:pt x="0" y="7902"/>
              </a:moveTo>
              <a:lnTo>
                <a:pt x="1023962" y="7902"/>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1740060" y="1662649"/>
        <a:ext cx="51198" cy="51198"/>
      </dsp:txXfrm>
    </dsp:sp>
    <dsp:sp modelId="{A86195D8-E78B-4F8B-B1C4-EFBBA8999B88}">
      <dsp:nvSpPr>
        <dsp:cNvPr id="0" name=""/>
        <dsp:cNvSpPr/>
      </dsp:nvSpPr>
      <dsp:spPr>
        <a:xfrm>
          <a:off x="149194" y="1443198"/>
          <a:ext cx="1104491" cy="494591"/>
        </a:xfrm>
        <a:prstGeom prst="ellipse">
          <a:avLst/>
        </a:prstGeom>
        <a:solidFill>
          <a:schemeClr val="accent1">
            <a:lumMod val="40000"/>
            <a:lumOff val="60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20 </a:t>
          </a:r>
        </a:p>
        <a:p>
          <a:pPr lvl="0" algn="ctr" defTabSz="400050">
            <a:lnSpc>
              <a:spcPct val="90000"/>
            </a:lnSpc>
            <a:spcBef>
              <a:spcPct val="0"/>
            </a:spcBef>
            <a:spcAft>
              <a:spcPct val="35000"/>
            </a:spcAft>
          </a:pPr>
          <a:r>
            <a:rPr lang="en-US" sz="7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Relations extérieures</a:t>
          </a:r>
        </a:p>
      </dsp:txBody>
      <dsp:txXfrm>
        <a:off x="310943" y="1515629"/>
        <a:ext cx="780993" cy="349729"/>
      </dsp:txXfrm>
    </dsp:sp>
    <dsp:sp modelId="{56DC3FB7-FEB4-4CA1-911E-111FB1915BB0}">
      <dsp:nvSpPr>
        <dsp:cNvPr id="0" name=""/>
        <dsp:cNvSpPr/>
      </dsp:nvSpPr>
      <dsp:spPr>
        <a:xfrm rot="11889389">
          <a:off x="1403982" y="1324958"/>
          <a:ext cx="1111757" cy="15805"/>
        </a:xfrm>
        <a:custGeom>
          <a:avLst/>
          <a:gdLst/>
          <a:ahLst/>
          <a:cxnLst/>
          <a:rect l="0" t="0" r="0" b="0"/>
          <a:pathLst>
            <a:path>
              <a:moveTo>
                <a:pt x="0" y="7902"/>
              </a:moveTo>
              <a:lnTo>
                <a:pt x="1111757" y="7902"/>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fr-FR" sz="500" kern="1200"/>
        </a:p>
      </dsp:txBody>
      <dsp:txXfrm rot="10800000">
        <a:off x="1932066" y="1305067"/>
        <a:ext cx="55587" cy="55587"/>
      </dsp:txXfrm>
    </dsp:sp>
    <dsp:sp modelId="{FC1864C6-ECFC-4BED-8858-5C4B46AA1DB9}">
      <dsp:nvSpPr>
        <dsp:cNvPr id="0" name=""/>
        <dsp:cNvSpPr/>
      </dsp:nvSpPr>
      <dsp:spPr>
        <a:xfrm>
          <a:off x="406181" y="749238"/>
          <a:ext cx="1130834" cy="519059"/>
        </a:xfrm>
        <a:prstGeom prst="ellipse">
          <a:avLst/>
        </a:prstGeom>
        <a:solidFill>
          <a:schemeClr val="accent1">
            <a:lumMod val="40000"/>
            <a:lumOff val="60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30</a:t>
          </a:r>
        </a:p>
        <a:p>
          <a:pPr lvl="0" algn="ctr" defTabSz="400050">
            <a:lnSpc>
              <a:spcPct val="90000"/>
            </a:lnSpc>
            <a:spcBef>
              <a:spcPct val="0"/>
            </a:spcBef>
            <a:spcAft>
              <a:spcPct val="35000"/>
            </a:spcAft>
          </a:pPr>
          <a:r>
            <a:rPr lang="fr-FR" sz="700" kern="1200">
              <a:latin typeface="Arial" panose="020B0604020202020204" pitchFamily="34" charset="0"/>
              <a:cs typeface="Arial" panose="020B0604020202020204" pitchFamily="34" charset="0"/>
            </a:rPr>
            <a:t>Appui PME et à la création d’entreprises</a:t>
          </a:r>
          <a:endParaRPr lang="en-US" sz="7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571788" y="825252"/>
        <a:ext cx="799620" cy="367031"/>
      </dsp:txXfrm>
    </dsp:sp>
    <dsp:sp modelId="{33C54B8E-FDEC-49F3-89CC-AF34C88AB1DB}">
      <dsp:nvSpPr>
        <dsp:cNvPr id="0" name=""/>
        <dsp:cNvSpPr/>
      </dsp:nvSpPr>
      <dsp:spPr>
        <a:xfrm rot="13314331">
          <a:off x="1919476" y="1111353"/>
          <a:ext cx="969721" cy="15805"/>
        </a:xfrm>
        <a:custGeom>
          <a:avLst/>
          <a:gdLst/>
          <a:ahLst/>
          <a:cxnLst/>
          <a:rect l="0" t="0" r="0" b="0"/>
          <a:pathLst>
            <a:path>
              <a:moveTo>
                <a:pt x="0" y="7902"/>
              </a:moveTo>
              <a:lnTo>
                <a:pt x="969721" y="7902"/>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fr-FR" sz="500" kern="1200"/>
        </a:p>
      </dsp:txBody>
      <dsp:txXfrm rot="10800000">
        <a:off x="2380094" y="1095013"/>
        <a:ext cx="48486" cy="48486"/>
      </dsp:txXfrm>
    </dsp:sp>
    <dsp:sp modelId="{9037AE07-77DD-4B23-9BF3-64D76F4B2837}">
      <dsp:nvSpPr>
        <dsp:cNvPr id="0" name=""/>
        <dsp:cNvSpPr/>
      </dsp:nvSpPr>
      <dsp:spPr>
        <a:xfrm>
          <a:off x="1220592" y="304825"/>
          <a:ext cx="1130834" cy="519059"/>
        </a:xfrm>
        <a:prstGeom prst="ellipse">
          <a:avLst/>
        </a:prstGeom>
        <a:solidFill>
          <a:schemeClr val="accent1">
            <a:lumMod val="40000"/>
            <a:lumOff val="60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32</a:t>
          </a:r>
        </a:p>
        <a:p>
          <a:pPr lvl="0" algn="ctr" defTabSz="400050">
            <a:lnSpc>
              <a:spcPct val="90000"/>
            </a:lnSpc>
            <a:spcBef>
              <a:spcPct val="0"/>
            </a:spcBef>
            <a:spcAft>
              <a:spcPct val="35000"/>
            </a:spcAft>
          </a:pPr>
          <a:r>
            <a:rPr lang="fr-FR" sz="700" kern="1200">
              <a:latin typeface="Arial" panose="020B0604020202020204" pitchFamily="34" charset="0"/>
              <a:cs typeface="Arial" panose="020B0604020202020204" pitchFamily="34" charset="0"/>
            </a:rPr>
            <a:t>Système de Lisbonne</a:t>
          </a:r>
          <a:endParaRPr lang="en-US" sz="7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1386199" y="380839"/>
        <a:ext cx="799620" cy="367031"/>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93DA7EC-5D69-41B7-92E4-ED7ED9F48883}">
      <dsp:nvSpPr>
        <dsp:cNvPr id="0" name=""/>
        <dsp:cNvSpPr/>
      </dsp:nvSpPr>
      <dsp:spPr>
        <a:xfrm>
          <a:off x="2173359" y="1389623"/>
          <a:ext cx="1476766" cy="505790"/>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en-US" sz="105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10 </a:t>
          </a:r>
        </a:p>
      </dsp:txBody>
      <dsp:txXfrm>
        <a:off x="2389626" y="1463694"/>
        <a:ext cx="1044232" cy="357648"/>
      </dsp:txXfrm>
    </dsp:sp>
    <dsp:sp modelId="{E6ACA703-0949-41B3-BE6B-C702E5C7275F}">
      <dsp:nvSpPr>
        <dsp:cNvPr id="0" name=""/>
        <dsp:cNvSpPr/>
      </dsp:nvSpPr>
      <dsp:spPr>
        <a:xfrm rot="15730276">
          <a:off x="2344741" y="917908"/>
          <a:ext cx="936916" cy="15805"/>
        </a:xfrm>
        <a:custGeom>
          <a:avLst/>
          <a:gdLst/>
          <a:ahLst/>
          <a:cxnLst/>
          <a:rect l="0" t="0" r="0" b="0"/>
          <a:pathLst>
            <a:path>
              <a:moveTo>
                <a:pt x="0" y="7902"/>
              </a:moveTo>
              <a:lnTo>
                <a:pt x="936916" y="7902"/>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789777" y="902388"/>
        <a:ext cx="46845" cy="46845"/>
      </dsp:txXfrm>
    </dsp:sp>
    <dsp:sp modelId="{AFD0CC05-9AD4-4A51-8739-4FB4CA1E4ACE}">
      <dsp:nvSpPr>
        <dsp:cNvPr id="0" name=""/>
        <dsp:cNvSpPr/>
      </dsp:nvSpPr>
      <dsp:spPr>
        <a:xfrm>
          <a:off x="2105525" y="80762"/>
          <a:ext cx="1235373" cy="381128"/>
        </a:xfrm>
        <a:prstGeom prst="ellipse">
          <a:avLst/>
        </a:prstGeom>
        <a:solidFill>
          <a:schemeClr val="accent1">
            <a:lumMod val="40000"/>
            <a:lumOff val="60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 </a:t>
          </a:r>
        </a:p>
        <a:p>
          <a:pPr lvl="0" algn="ctr" defTabSz="400050">
            <a:lnSpc>
              <a:spcPct val="90000"/>
            </a:lnSpc>
            <a:spcBef>
              <a:spcPct val="0"/>
            </a:spcBef>
            <a:spcAft>
              <a:spcPct val="35000"/>
            </a:spcAft>
          </a:pPr>
          <a:r>
            <a:rPr lang="en-US" sz="7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Droit des brevets</a:t>
          </a:r>
        </a:p>
      </dsp:txBody>
      <dsp:txXfrm>
        <a:off x="2286441" y="136577"/>
        <a:ext cx="873541" cy="269498"/>
      </dsp:txXfrm>
    </dsp:sp>
    <dsp:sp modelId="{34515D96-C834-4D67-AF5C-3B293601CBC3}">
      <dsp:nvSpPr>
        <dsp:cNvPr id="0" name=""/>
        <dsp:cNvSpPr/>
      </dsp:nvSpPr>
      <dsp:spPr>
        <a:xfrm rot="18475620">
          <a:off x="2913560" y="1004244"/>
          <a:ext cx="978780" cy="15805"/>
        </a:xfrm>
        <a:custGeom>
          <a:avLst/>
          <a:gdLst/>
          <a:ahLst/>
          <a:cxnLst/>
          <a:rect l="0" t="0" r="0" b="0"/>
          <a:pathLst>
            <a:path>
              <a:moveTo>
                <a:pt x="0" y="7902"/>
              </a:moveTo>
              <a:lnTo>
                <a:pt x="978780" y="7902"/>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378481" y="987677"/>
        <a:ext cx="48939" cy="48939"/>
      </dsp:txXfrm>
    </dsp:sp>
    <dsp:sp modelId="{D9366F31-B7D7-4B43-830C-AD5E2193A794}">
      <dsp:nvSpPr>
        <dsp:cNvPr id="0" name=""/>
        <dsp:cNvSpPr/>
      </dsp:nvSpPr>
      <dsp:spPr>
        <a:xfrm>
          <a:off x="3400245" y="5093"/>
          <a:ext cx="1066155" cy="652844"/>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2 </a:t>
          </a:r>
        </a:p>
        <a:p>
          <a:pPr lvl="0" algn="ctr" defTabSz="400050">
            <a:lnSpc>
              <a:spcPct val="90000"/>
            </a:lnSpc>
            <a:spcBef>
              <a:spcPct val="0"/>
            </a:spcBef>
            <a:spcAft>
              <a:spcPct val="35000"/>
            </a:spcAft>
          </a:pPr>
          <a:r>
            <a:rPr lang="en-US" sz="7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Marques, dessins et modèles industriels et indications géographiques</a:t>
          </a:r>
        </a:p>
      </dsp:txBody>
      <dsp:txXfrm>
        <a:off x="3556380" y="100700"/>
        <a:ext cx="753885" cy="461630"/>
      </dsp:txXfrm>
    </dsp:sp>
    <dsp:sp modelId="{3F0F15B6-4D5A-493B-B03E-AE8141DC3DCE}">
      <dsp:nvSpPr>
        <dsp:cNvPr id="0" name=""/>
        <dsp:cNvSpPr/>
      </dsp:nvSpPr>
      <dsp:spPr>
        <a:xfrm rot="19917906">
          <a:off x="3228567" y="1091007"/>
          <a:ext cx="1408103" cy="15805"/>
        </a:xfrm>
        <a:custGeom>
          <a:avLst/>
          <a:gdLst/>
          <a:ahLst/>
          <a:cxnLst/>
          <a:rect l="0" t="0" r="0" b="0"/>
          <a:pathLst>
            <a:path>
              <a:moveTo>
                <a:pt x="0" y="7902"/>
              </a:moveTo>
              <a:lnTo>
                <a:pt x="1408103" y="7902"/>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897416" y="1063708"/>
        <a:ext cx="70405" cy="70405"/>
      </dsp:txXfrm>
    </dsp:sp>
    <dsp:sp modelId="{ECD2D13D-466C-468B-BD6C-1B646D8E5B8E}">
      <dsp:nvSpPr>
        <dsp:cNvPr id="0" name=""/>
        <dsp:cNvSpPr/>
      </dsp:nvSpPr>
      <dsp:spPr>
        <a:xfrm>
          <a:off x="4405674" y="339721"/>
          <a:ext cx="970075" cy="498026"/>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3</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r>
            <a:rPr lang="en-US" sz="7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Droit d’auteur et droits connexes</a:t>
          </a:r>
        </a:p>
      </dsp:txBody>
      <dsp:txXfrm>
        <a:off x="4547738" y="412655"/>
        <a:ext cx="685947" cy="352158"/>
      </dsp:txXfrm>
    </dsp:sp>
    <dsp:sp modelId="{5CF8296B-0142-429D-A71A-20799D2EB74B}">
      <dsp:nvSpPr>
        <dsp:cNvPr id="0" name=""/>
        <dsp:cNvSpPr/>
      </dsp:nvSpPr>
      <dsp:spPr>
        <a:xfrm rot="20902926">
          <a:off x="3536468" y="1422338"/>
          <a:ext cx="815536" cy="15805"/>
        </a:xfrm>
        <a:custGeom>
          <a:avLst/>
          <a:gdLst/>
          <a:ahLst/>
          <a:cxnLst/>
          <a:rect l="0" t="0" r="0" b="0"/>
          <a:pathLst>
            <a:path>
              <a:moveTo>
                <a:pt x="0" y="7902"/>
              </a:moveTo>
              <a:lnTo>
                <a:pt x="815536" y="7902"/>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923847" y="1409853"/>
        <a:ext cx="40776" cy="40776"/>
      </dsp:txXfrm>
    </dsp:sp>
    <dsp:sp modelId="{7E7DDE23-6C04-407D-AAB6-669511EA704E}">
      <dsp:nvSpPr>
        <dsp:cNvPr id="0" name=""/>
        <dsp:cNvSpPr/>
      </dsp:nvSpPr>
      <dsp:spPr>
        <a:xfrm>
          <a:off x="4271033" y="897401"/>
          <a:ext cx="1470717" cy="628930"/>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4 </a:t>
          </a:r>
        </a:p>
        <a:p>
          <a:pPr lvl="0" algn="ctr" defTabSz="400050">
            <a:lnSpc>
              <a:spcPct val="90000"/>
            </a:lnSpc>
            <a:spcBef>
              <a:spcPct val="0"/>
            </a:spcBef>
            <a:spcAft>
              <a:spcPct val="35000"/>
            </a:spcAft>
          </a:pPr>
          <a:r>
            <a:rPr lang="en-US" sz="7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Savoirs traditionnels, expressions culturelles traditionnelles et ressources génétiques</a:t>
          </a:r>
        </a:p>
      </dsp:txBody>
      <dsp:txXfrm>
        <a:off x="4486415" y="989506"/>
        <a:ext cx="1039953" cy="444720"/>
      </dsp:txXfrm>
    </dsp:sp>
    <dsp:sp modelId="{DC281168-2DBC-4CFB-B21D-C54E9628B383}">
      <dsp:nvSpPr>
        <dsp:cNvPr id="0" name=""/>
        <dsp:cNvSpPr/>
      </dsp:nvSpPr>
      <dsp:spPr>
        <a:xfrm rot="283422">
          <a:off x="3628217" y="1725784"/>
          <a:ext cx="773680" cy="15805"/>
        </a:xfrm>
        <a:custGeom>
          <a:avLst/>
          <a:gdLst/>
          <a:ahLst/>
          <a:cxnLst/>
          <a:rect l="0" t="0" r="0" b="0"/>
          <a:pathLst>
            <a:path>
              <a:moveTo>
                <a:pt x="0" y="7902"/>
              </a:moveTo>
              <a:lnTo>
                <a:pt x="773680" y="7902"/>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995716" y="1714344"/>
        <a:ext cx="38684" cy="38684"/>
      </dsp:txXfrm>
    </dsp:sp>
    <dsp:sp modelId="{66DADE40-99AE-41BE-B997-129EED231064}">
      <dsp:nvSpPr>
        <dsp:cNvPr id="0" name=""/>
        <dsp:cNvSpPr/>
      </dsp:nvSpPr>
      <dsp:spPr>
        <a:xfrm>
          <a:off x="4383823" y="1568124"/>
          <a:ext cx="1376261" cy="505790"/>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5</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r>
            <a:rPr lang="en-US" sz="7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Système du PCT</a:t>
          </a:r>
        </a:p>
      </dsp:txBody>
      <dsp:txXfrm>
        <a:off x="4585372" y="1642195"/>
        <a:ext cx="973163" cy="357648"/>
      </dsp:txXfrm>
    </dsp:sp>
    <dsp:sp modelId="{4DF1B0BE-A63A-4BEA-9EE5-4168481CC99E}">
      <dsp:nvSpPr>
        <dsp:cNvPr id="0" name=""/>
        <dsp:cNvSpPr/>
      </dsp:nvSpPr>
      <dsp:spPr>
        <a:xfrm rot="1401694">
          <a:off x="3325342" y="2051236"/>
          <a:ext cx="1101857" cy="15805"/>
        </a:xfrm>
        <a:custGeom>
          <a:avLst/>
          <a:gdLst/>
          <a:ahLst/>
          <a:cxnLst/>
          <a:rect l="0" t="0" r="0" b="0"/>
          <a:pathLst>
            <a:path>
              <a:moveTo>
                <a:pt x="0" y="7902"/>
              </a:moveTo>
              <a:lnTo>
                <a:pt x="1101857" y="7902"/>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848725" y="2031592"/>
        <a:ext cx="55092" cy="55092"/>
      </dsp:txXfrm>
    </dsp:sp>
    <dsp:sp modelId="{DB594876-4070-4577-942D-67F5CD4D6A19}">
      <dsp:nvSpPr>
        <dsp:cNvPr id="0" name=""/>
        <dsp:cNvSpPr/>
      </dsp:nvSpPr>
      <dsp:spPr>
        <a:xfrm>
          <a:off x="4223088" y="2197839"/>
          <a:ext cx="1145382" cy="516948"/>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6</a:t>
          </a:r>
        </a:p>
        <a:p>
          <a:pPr lvl="0" algn="ctr" defTabSz="400050">
            <a:lnSpc>
              <a:spcPct val="90000"/>
            </a:lnSpc>
            <a:spcBef>
              <a:spcPct val="0"/>
            </a:spcBef>
            <a:spcAft>
              <a:spcPct val="35000"/>
            </a:spcAft>
          </a:pPr>
          <a:r>
            <a:rPr lang="en-US" sz="7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Système de Madrid</a:t>
          </a:r>
        </a:p>
      </dsp:txBody>
      <dsp:txXfrm>
        <a:off x="4390825" y="2273544"/>
        <a:ext cx="809908" cy="365538"/>
      </dsp:txXfrm>
    </dsp:sp>
    <dsp:sp modelId="{E49C447F-3477-4311-B10B-FFFA7DE7209F}">
      <dsp:nvSpPr>
        <dsp:cNvPr id="0" name=""/>
        <dsp:cNvSpPr/>
      </dsp:nvSpPr>
      <dsp:spPr>
        <a:xfrm rot="2920195">
          <a:off x="2943338" y="2277786"/>
          <a:ext cx="1068085" cy="15805"/>
        </a:xfrm>
        <a:custGeom>
          <a:avLst/>
          <a:gdLst/>
          <a:ahLst/>
          <a:cxnLst/>
          <a:rect l="0" t="0" r="0" b="0"/>
          <a:pathLst>
            <a:path>
              <a:moveTo>
                <a:pt x="0" y="7902"/>
              </a:moveTo>
              <a:lnTo>
                <a:pt x="1068085" y="7902"/>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450678" y="2258987"/>
        <a:ext cx="53404" cy="53404"/>
      </dsp:txXfrm>
    </dsp:sp>
    <dsp:sp modelId="{69F18085-0AC3-4BAE-9B16-F8478FFBD61E}">
      <dsp:nvSpPr>
        <dsp:cNvPr id="0" name=""/>
        <dsp:cNvSpPr/>
      </dsp:nvSpPr>
      <dsp:spPr>
        <a:xfrm>
          <a:off x="3437788" y="2674900"/>
          <a:ext cx="1155802" cy="445768"/>
        </a:xfrm>
        <a:prstGeom prst="ellipse">
          <a:avLst/>
        </a:prstGeom>
        <a:solidFill>
          <a:schemeClr val="accent1">
            <a:lumMod val="40000"/>
            <a:lumOff val="60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11 </a:t>
          </a:r>
        </a:p>
        <a:p>
          <a:pPr lvl="0" algn="ctr" defTabSz="400050">
            <a:lnSpc>
              <a:spcPct val="90000"/>
            </a:lnSpc>
            <a:spcBef>
              <a:spcPct val="0"/>
            </a:spcBef>
            <a:spcAft>
              <a:spcPct val="35000"/>
            </a:spcAft>
          </a:pPr>
          <a:r>
            <a:rPr lang="en-US" sz="7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Académie de l’OMPI </a:t>
          </a:r>
        </a:p>
      </dsp:txBody>
      <dsp:txXfrm>
        <a:off x="3607051" y="2740181"/>
        <a:ext cx="817276" cy="315206"/>
      </dsp:txXfrm>
    </dsp:sp>
    <dsp:sp modelId="{FCC14444-D5E7-4E9C-B980-A27CD799E442}">
      <dsp:nvSpPr>
        <dsp:cNvPr id="0" name=""/>
        <dsp:cNvSpPr/>
      </dsp:nvSpPr>
      <dsp:spPr>
        <a:xfrm rot="5614026">
          <a:off x="2473615" y="2284309"/>
          <a:ext cx="795253" cy="15805"/>
        </a:xfrm>
        <a:custGeom>
          <a:avLst/>
          <a:gdLst/>
          <a:ahLst/>
          <a:cxnLst/>
          <a:rect l="0" t="0" r="0" b="0"/>
          <a:pathLst>
            <a:path>
              <a:moveTo>
                <a:pt x="0" y="7902"/>
              </a:moveTo>
              <a:lnTo>
                <a:pt x="795253" y="7902"/>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851360" y="2272331"/>
        <a:ext cx="39762" cy="39762"/>
      </dsp:txXfrm>
    </dsp:sp>
    <dsp:sp modelId="{49C45DFA-0A15-4DAA-80DC-CAE4ABCC6B43}">
      <dsp:nvSpPr>
        <dsp:cNvPr id="0" name=""/>
        <dsp:cNvSpPr/>
      </dsp:nvSpPr>
      <dsp:spPr>
        <a:xfrm>
          <a:off x="2213800" y="2688960"/>
          <a:ext cx="1230977" cy="552469"/>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14 </a:t>
          </a:r>
        </a:p>
        <a:p>
          <a:pPr lvl="0" algn="ctr" defTabSz="400050">
            <a:lnSpc>
              <a:spcPct val="90000"/>
            </a:lnSpc>
            <a:spcBef>
              <a:spcPct val="0"/>
            </a:spcBef>
            <a:spcAft>
              <a:spcPct val="35000"/>
            </a:spcAft>
          </a:pPr>
          <a:r>
            <a:rPr lang="en-US" sz="7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Services d’accès à l’information et aux savoirs </a:t>
          </a:r>
        </a:p>
      </dsp:txBody>
      <dsp:txXfrm>
        <a:off x="2394072" y="2769867"/>
        <a:ext cx="870433" cy="390655"/>
      </dsp:txXfrm>
    </dsp:sp>
    <dsp:sp modelId="{7B59CB2C-C82F-41EE-B3CF-ADD4878ADBA6}">
      <dsp:nvSpPr>
        <dsp:cNvPr id="0" name=""/>
        <dsp:cNvSpPr/>
      </dsp:nvSpPr>
      <dsp:spPr>
        <a:xfrm rot="8287884">
          <a:off x="1634847" y="2258493"/>
          <a:ext cx="1161610" cy="15805"/>
        </a:xfrm>
        <a:custGeom>
          <a:avLst/>
          <a:gdLst/>
          <a:ahLst/>
          <a:cxnLst/>
          <a:rect l="0" t="0" r="0" b="0"/>
          <a:pathLst>
            <a:path>
              <a:moveTo>
                <a:pt x="0" y="7346"/>
              </a:moveTo>
              <a:lnTo>
                <a:pt x="1124137" y="7346"/>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186612" y="2237355"/>
        <a:ext cx="58080" cy="58080"/>
      </dsp:txXfrm>
    </dsp:sp>
    <dsp:sp modelId="{402B25BB-F397-46B5-AAB7-C38C2276BF82}">
      <dsp:nvSpPr>
        <dsp:cNvPr id="0" name=""/>
        <dsp:cNvSpPr/>
      </dsp:nvSpPr>
      <dsp:spPr>
        <a:xfrm>
          <a:off x="748583" y="2624077"/>
          <a:ext cx="1447152" cy="617362"/>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15 </a:t>
          </a:r>
        </a:p>
        <a:p>
          <a:pPr lvl="0" algn="ctr" defTabSz="400050">
            <a:lnSpc>
              <a:spcPct val="90000"/>
            </a:lnSpc>
            <a:spcBef>
              <a:spcPct val="0"/>
            </a:spcBef>
            <a:spcAft>
              <a:spcPct val="35000"/>
            </a:spcAft>
          </a:pPr>
          <a:r>
            <a:rPr lang="en-US" sz="7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Solutions opérationnelles pour les offices de propriété intellectuelle </a:t>
          </a:r>
        </a:p>
      </dsp:txBody>
      <dsp:txXfrm>
        <a:off x="960514" y="2714488"/>
        <a:ext cx="1023290" cy="436540"/>
      </dsp:txXfrm>
    </dsp:sp>
    <dsp:sp modelId="{EFB9CB5A-411C-454B-96B1-9ED988829CBE}">
      <dsp:nvSpPr>
        <dsp:cNvPr id="0" name=""/>
        <dsp:cNvSpPr/>
      </dsp:nvSpPr>
      <dsp:spPr>
        <a:xfrm rot="9764209">
          <a:off x="1167190" y="1986364"/>
          <a:ext cx="1225314" cy="15805"/>
        </a:xfrm>
        <a:custGeom>
          <a:avLst/>
          <a:gdLst/>
          <a:ahLst/>
          <a:cxnLst/>
          <a:rect l="0" t="0" r="0" b="0"/>
          <a:pathLst>
            <a:path>
              <a:moveTo>
                <a:pt x="0" y="7902"/>
              </a:moveTo>
              <a:lnTo>
                <a:pt x="1225314" y="7902"/>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1749214" y="1963634"/>
        <a:ext cx="61265" cy="61265"/>
      </dsp:txXfrm>
    </dsp:sp>
    <dsp:sp modelId="{5AF8D9AC-0C15-4D1B-BCD3-7FFCFF0A581D}">
      <dsp:nvSpPr>
        <dsp:cNvPr id="0" name=""/>
        <dsp:cNvSpPr/>
      </dsp:nvSpPr>
      <dsp:spPr>
        <a:xfrm>
          <a:off x="71806" y="2050192"/>
          <a:ext cx="1226992" cy="568432"/>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17 </a:t>
          </a:r>
        </a:p>
        <a:p>
          <a:pPr lvl="0" algn="ctr" defTabSz="400050">
            <a:lnSpc>
              <a:spcPct val="90000"/>
            </a:lnSpc>
            <a:spcBef>
              <a:spcPct val="0"/>
            </a:spcBef>
            <a:spcAft>
              <a:spcPct val="35000"/>
            </a:spcAft>
          </a:pPr>
          <a:r>
            <a:rPr lang="en-US" sz="7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Promouvoir le respect de la propriété intellectuelle</a:t>
          </a:r>
        </a:p>
      </dsp:txBody>
      <dsp:txXfrm>
        <a:off x="251495" y="2133437"/>
        <a:ext cx="867614" cy="401942"/>
      </dsp:txXfrm>
    </dsp:sp>
    <dsp:sp modelId="{701CC827-3AE5-4421-983B-6398C783C82F}">
      <dsp:nvSpPr>
        <dsp:cNvPr id="0" name=""/>
        <dsp:cNvSpPr/>
      </dsp:nvSpPr>
      <dsp:spPr>
        <a:xfrm rot="10792746">
          <a:off x="1175535" y="1637226"/>
          <a:ext cx="997839" cy="15805"/>
        </a:xfrm>
        <a:custGeom>
          <a:avLst/>
          <a:gdLst/>
          <a:ahLst/>
          <a:cxnLst/>
          <a:rect l="0" t="0" r="0" b="0"/>
          <a:pathLst>
            <a:path>
              <a:moveTo>
                <a:pt x="0" y="7902"/>
              </a:moveTo>
              <a:lnTo>
                <a:pt x="997839" y="7902"/>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1649509" y="1620183"/>
        <a:ext cx="49891" cy="49891"/>
      </dsp:txXfrm>
    </dsp:sp>
    <dsp:sp modelId="{A86195D8-E78B-4F8B-B1C4-EFBBA8999B88}">
      <dsp:nvSpPr>
        <dsp:cNvPr id="0" name=""/>
        <dsp:cNvSpPr/>
      </dsp:nvSpPr>
      <dsp:spPr>
        <a:xfrm>
          <a:off x="99286" y="1406343"/>
          <a:ext cx="1076256" cy="481947"/>
        </a:xfrm>
        <a:prstGeom prst="ellipse">
          <a:avLst/>
        </a:prstGeom>
        <a:solidFill>
          <a:schemeClr val="accent1">
            <a:lumMod val="40000"/>
            <a:lumOff val="60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20 </a:t>
          </a:r>
        </a:p>
        <a:p>
          <a:pPr lvl="0" algn="ctr" defTabSz="400050">
            <a:lnSpc>
              <a:spcPct val="90000"/>
            </a:lnSpc>
            <a:spcBef>
              <a:spcPct val="0"/>
            </a:spcBef>
            <a:spcAft>
              <a:spcPct val="35000"/>
            </a:spcAft>
          </a:pPr>
          <a:r>
            <a:rPr lang="en-US" sz="7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Relations extérieures</a:t>
          </a:r>
        </a:p>
      </dsp:txBody>
      <dsp:txXfrm>
        <a:off x="256900" y="1476923"/>
        <a:ext cx="761028" cy="340787"/>
      </dsp:txXfrm>
    </dsp:sp>
    <dsp:sp modelId="{56DC3FB7-FEB4-4CA1-911E-111FB1915BB0}">
      <dsp:nvSpPr>
        <dsp:cNvPr id="0" name=""/>
        <dsp:cNvSpPr/>
      </dsp:nvSpPr>
      <dsp:spPr>
        <a:xfrm rot="11889389">
          <a:off x="1322001" y="1290916"/>
          <a:ext cx="1083386" cy="15805"/>
        </a:xfrm>
        <a:custGeom>
          <a:avLst/>
          <a:gdLst/>
          <a:ahLst/>
          <a:cxnLst/>
          <a:rect l="0" t="0" r="0" b="0"/>
          <a:pathLst>
            <a:path>
              <a:moveTo>
                <a:pt x="0" y="7902"/>
              </a:moveTo>
              <a:lnTo>
                <a:pt x="1083386" y="7902"/>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fr-FR" sz="500" kern="1200"/>
        </a:p>
      </dsp:txBody>
      <dsp:txXfrm rot="10800000">
        <a:off x="1836609" y="1271734"/>
        <a:ext cx="54169" cy="54169"/>
      </dsp:txXfrm>
    </dsp:sp>
    <dsp:sp modelId="{FC1864C6-ECFC-4BED-8858-5C4B46AA1DB9}">
      <dsp:nvSpPr>
        <dsp:cNvPr id="0" name=""/>
        <dsp:cNvSpPr/>
      </dsp:nvSpPr>
      <dsp:spPr>
        <a:xfrm>
          <a:off x="349710" y="730109"/>
          <a:ext cx="1101925" cy="505790"/>
        </a:xfrm>
        <a:prstGeom prst="ellipse">
          <a:avLst/>
        </a:prstGeom>
        <a:solidFill>
          <a:schemeClr val="accent1">
            <a:lumMod val="40000"/>
            <a:lumOff val="60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30</a:t>
          </a:r>
        </a:p>
        <a:p>
          <a:pPr lvl="0" algn="ctr" defTabSz="400050">
            <a:lnSpc>
              <a:spcPct val="90000"/>
            </a:lnSpc>
            <a:spcBef>
              <a:spcPct val="0"/>
            </a:spcBef>
            <a:spcAft>
              <a:spcPct val="35000"/>
            </a:spcAft>
          </a:pPr>
          <a:r>
            <a:rPr lang="fr-FR" sz="700" kern="1200">
              <a:latin typeface="Arial" panose="020B0604020202020204" pitchFamily="34" charset="0"/>
              <a:cs typeface="Arial" panose="020B0604020202020204" pitchFamily="34" charset="0"/>
            </a:rPr>
            <a:t>Appui PME et à la création d’entreprises</a:t>
          </a:r>
          <a:endParaRPr lang="en-US" sz="7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511083" y="804180"/>
        <a:ext cx="779179" cy="357648"/>
      </dsp:txXfrm>
    </dsp:sp>
    <dsp:sp modelId="{33C54B8E-FDEC-49F3-89CC-AF34C88AB1DB}">
      <dsp:nvSpPr>
        <dsp:cNvPr id="0" name=""/>
        <dsp:cNvSpPr/>
      </dsp:nvSpPr>
      <dsp:spPr>
        <a:xfrm rot="13314331">
          <a:off x="1824332" y="1082768"/>
          <a:ext cx="944970" cy="15805"/>
        </a:xfrm>
        <a:custGeom>
          <a:avLst/>
          <a:gdLst/>
          <a:ahLst/>
          <a:cxnLst/>
          <a:rect l="0" t="0" r="0" b="0"/>
          <a:pathLst>
            <a:path>
              <a:moveTo>
                <a:pt x="0" y="7902"/>
              </a:moveTo>
              <a:lnTo>
                <a:pt x="944970" y="7902"/>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fr-FR" sz="500" kern="1200"/>
        </a:p>
      </dsp:txBody>
      <dsp:txXfrm rot="10800000">
        <a:off x="2273193" y="1067046"/>
        <a:ext cx="47248" cy="47248"/>
      </dsp:txXfrm>
    </dsp:sp>
    <dsp:sp modelId="{9037AE07-77DD-4B23-9BF3-64D76F4B2837}">
      <dsp:nvSpPr>
        <dsp:cNvPr id="0" name=""/>
        <dsp:cNvSpPr/>
      </dsp:nvSpPr>
      <dsp:spPr>
        <a:xfrm>
          <a:off x="1143319" y="297047"/>
          <a:ext cx="1101925" cy="505790"/>
        </a:xfrm>
        <a:prstGeom prst="ellipse">
          <a:avLst/>
        </a:prstGeom>
        <a:solidFill>
          <a:schemeClr val="accent1">
            <a:lumMod val="40000"/>
            <a:lumOff val="60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32</a:t>
          </a:r>
        </a:p>
        <a:p>
          <a:pPr lvl="0" algn="ctr" defTabSz="400050">
            <a:lnSpc>
              <a:spcPct val="90000"/>
            </a:lnSpc>
            <a:spcBef>
              <a:spcPct val="0"/>
            </a:spcBef>
            <a:spcAft>
              <a:spcPct val="35000"/>
            </a:spcAft>
          </a:pPr>
          <a:r>
            <a:rPr lang="fr-FR" sz="700" kern="1200">
              <a:latin typeface="Arial" panose="020B0604020202020204" pitchFamily="34" charset="0"/>
              <a:cs typeface="Arial" panose="020B0604020202020204" pitchFamily="34" charset="0"/>
            </a:rPr>
            <a:t>Système de Lisbonne</a:t>
          </a:r>
          <a:endParaRPr lang="en-US" sz="7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1304692" y="371118"/>
        <a:ext cx="779179" cy="357648"/>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2AF917-2F47-4639-8A23-58AD52EC0F32}">
      <dsp:nvSpPr>
        <dsp:cNvPr id="0" name=""/>
        <dsp:cNvSpPr/>
      </dsp:nvSpPr>
      <dsp:spPr>
        <a:xfrm>
          <a:off x="2186059" y="604626"/>
          <a:ext cx="1701220" cy="431541"/>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11</a:t>
          </a:r>
        </a:p>
      </dsp:txBody>
      <dsp:txXfrm>
        <a:off x="2435197" y="667824"/>
        <a:ext cx="1202944" cy="305145"/>
      </dsp:txXfrm>
    </dsp:sp>
    <dsp:sp modelId="{4344ACFB-6B44-4AAF-B1DB-49AB3ED02AF7}">
      <dsp:nvSpPr>
        <dsp:cNvPr id="0" name=""/>
        <dsp:cNvSpPr/>
      </dsp:nvSpPr>
      <dsp:spPr>
        <a:xfrm rot="16268458">
          <a:off x="2996874" y="552586"/>
          <a:ext cx="89977" cy="14127"/>
        </a:xfrm>
        <a:custGeom>
          <a:avLst/>
          <a:gdLst/>
          <a:ahLst/>
          <a:cxnLst/>
          <a:rect l="0" t="0" r="0" b="0"/>
          <a:pathLst>
            <a:path>
              <a:moveTo>
                <a:pt x="0" y="7063"/>
              </a:moveTo>
              <a:lnTo>
                <a:pt x="89977" y="7063"/>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039613" y="557400"/>
        <a:ext cx="4498" cy="4498"/>
      </dsp:txXfrm>
    </dsp:sp>
    <dsp:sp modelId="{19ACA16F-4F02-4741-A973-0858AA9E727D}">
      <dsp:nvSpPr>
        <dsp:cNvPr id="0" name=""/>
        <dsp:cNvSpPr/>
      </dsp:nvSpPr>
      <dsp:spPr>
        <a:xfrm>
          <a:off x="2082630" y="-59284"/>
          <a:ext cx="1931687" cy="573960"/>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3</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Droit d’auteur et droits connexes </a:t>
          </a:r>
        </a:p>
      </dsp:txBody>
      <dsp:txXfrm>
        <a:off x="2365519" y="24770"/>
        <a:ext cx="1365909" cy="405852"/>
      </dsp:txXfrm>
    </dsp:sp>
    <dsp:sp modelId="{5337AE63-3722-42CC-AF72-36670EB7C5E1}">
      <dsp:nvSpPr>
        <dsp:cNvPr id="0" name=""/>
        <dsp:cNvSpPr/>
      </dsp:nvSpPr>
      <dsp:spPr>
        <a:xfrm rot="21570310">
          <a:off x="3886775" y="803066"/>
          <a:ext cx="677473" cy="14127"/>
        </a:xfrm>
        <a:custGeom>
          <a:avLst/>
          <a:gdLst/>
          <a:ahLst/>
          <a:cxnLst/>
          <a:rect l="0" t="0" r="0" b="0"/>
          <a:pathLst>
            <a:path>
              <a:moveTo>
                <a:pt x="0" y="7063"/>
              </a:moveTo>
              <a:lnTo>
                <a:pt x="677473" y="7063"/>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4208575" y="793193"/>
        <a:ext cx="33873" cy="33873"/>
      </dsp:txXfrm>
    </dsp:sp>
    <dsp:sp modelId="{CED9197C-8322-406B-917C-172FA36E7B76}">
      <dsp:nvSpPr>
        <dsp:cNvPr id="0" name=""/>
        <dsp:cNvSpPr/>
      </dsp:nvSpPr>
      <dsp:spPr>
        <a:xfrm>
          <a:off x="4564065" y="560232"/>
          <a:ext cx="1289382" cy="482810"/>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b="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a:t>
          </a: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9</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Bureaux régionaux</a:t>
          </a:r>
        </a:p>
      </dsp:txBody>
      <dsp:txXfrm>
        <a:off x="4752891" y="630938"/>
        <a:ext cx="911730" cy="341398"/>
      </dsp:txXfrm>
    </dsp:sp>
    <dsp:sp modelId="{4AC11394-3179-4EC5-A97F-D1A1B521CE2F}">
      <dsp:nvSpPr>
        <dsp:cNvPr id="0" name=""/>
        <dsp:cNvSpPr/>
      </dsp:nvSpPr>
      <dsp:spPr>
        <a:xfrm rot="5117509">
          <a:off x="3027292" y="1058529"/>
          <a:ext cx="59142" cy="14127"/>
        </a:xfrm>
        <a:custGeom>
          <a:avLst/>
          <a:gdLst/>
          <a:ahLst/>
          <a:cxnLst/>
          <a:rect l="0" t="0" r="0" b="0"/>
          <a:pathLst>
            <a:path>
              <a:moveTo>
                <a:pt x="0" y="7063"/>
              </a:moveTo>
              <a:lnTo>
                <a:pt x="59142" y="7063"/>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055385" y="1064114"/>
        <a:ext cx="2957" cy="2957"/>
      </dsp:txXfrm>
    </dsp:sp>
    <dsp:sp modelId="{035B4C9A-0916-4FCC-A1CF-85DB358A289A}">
      <dsp:nvSpPr>
        <dsp:cNvPr id="0" name=""/>
        <dsp:cNvSpPr/>
      </dsp:nvSpPr>
      <dsp:spPr>
        <a:xfrm>
          <a:off x="2129554" y="1094960"/>
          <a:ext cx="1909475" cy="607335"/>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10</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Pays en transition et pays développés</a:t>
          </a:r>
        </a:p>
      </dsp:txBody>
      <dsp:txXfrm>
        <a:off x="2409190" y="1183902"/>
        <a:ext cx="1350203" cy="429451"/>
      </dsp:txXfrm>
    </dsp:sp>
    <dsp:sp modelId="{ADF94B70-0D7F-4A27-8DF9-17BCD27F4A7A}">
      <dsp:nvSpPr>
        <dsp:cNvPr id="0" name=""/>
        <dsp:cNvSpPr/>
      </dsp:nvSpPr>
      <dsp:spPr>
        <a:xfrm rot="10793243">
          <a:off x="1512577" y="815667"/>
          <a:ext cx="673508" cy="14127"/>
        </a:xfrm>
        <a:custGeom>
          <a:avLst/>
          <a:gdLst/>
          <a:ahLst/>
          <a:cxnLst/>
          <a:rect l="0" t="0" r="0" b="0"/>
          <a:pathLst>
            <a:path>
              <a:moveTo>
                <a:pt x="0" y="7063"/>
              </a:moveTo>
              <a:lnTo>
                <a:pt x="673508" y="7063"/>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1832494" y="805893"/>
        <a:ext cx="33675" cy="33675"/>
      </dsp:txXfrm>
    </dsp:sp>
    <dsp:sp modelId="{0FAF3FA1-8E6C-455E-B189-A468B3F4D8BC}">
      <dsp:nvSpPr>
        <dsp:cNvPr id="0" name=""/>
        <dsp:cNvSpPr/>
      </dsp:nvSpPr>
      <dsp:spPr>
        <a:xfrm>
          <a:off x="0" y="606570"/>
          <a:ext cx="1512596" cy="436617"/>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20 </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Relations extérieures</a:t>
          </a:r>
          <a:endPar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221515" y="670511"/>
        <a:ext cx="1069566" cy="308735"/>
      </dsp:txXfrm>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2AF917-2F47-4639-8A23-58AD52EC0F32}">
      <dsp:nvSpPr>
        <dsp:cNvPr id="0" name=""/>
        <dsp:cNvSpPr/>
      </dsp:nvSpPr>
      <dsp:spPr>
        <a:xfrm>
          <a:off x="2068005" y="732827"/>
          <a:ext cx="1356160" cy="556846"/>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30</a:t>
          </a:r>
        </a:p>
      </dsp:txBody>
      <dsp:txXfrm>
        <a:off x="2266610" y="814375"/>
        <a:ext cx="958950" cy="393750"/>
      </dsp:txXfrm>
    </dsp:sp>
    <dsp:sp modelId="{4AC11394-3179-4EC5-A97F-D1A1B521CE2F}">
      <dsp:nvSpPr>
        <dsp:cNvPr id="0" name=""/>
        <dsp:cNvSpPr/>
      </dsp:nvSpPr>
      <dsp:spPr>
        <a:xfrm rot="16193288">
          <a:off x="2663623" y="641934"/>
          <a:ext cx="163517" cy="18269"/>
        </a:xfrm>
        <a:custGeom>
          <a:avLst/>
          <a:gdLst/>
          <a:ahLst/>
          <a:cxnLst/>
          <a:rect l="0" t="0" r="0" b="0"/>
          <a:pathLst>
            <a:path>
              <a:moveTo>
                <a:pt x="0" y="9134"/>
              </a:moveTo>
              <a:lnTo>
                <a:pt x="163517" y="9134"/>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p>
      </dsp:txBody>
      <dsp:txXfrm rot="10800000">
        <a:off x="2741294" y="646980"/>
        <a:ext cx="8175" cy="8175"/>
      </dsp:txXfrm>
    </dsp:sp>
    <dsp:sp modelId="{035B4C9A-0916-4FCC-A1CF-85DB358A289A}">
      <dsp:nvSpPr>
        <dsp:cNvPr id="0" name=""/>
        <dsp:cNvSpPr/>
      </dsp:nvSpPr>
      <dsp:spPr>
        <a:xfrm>
          <a:off x="1988334" y="-7521"/>
          <a:ext cx="1512650" cy="576831"/>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9</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Bureaux régionaux</a:t>
          </a:r>
        </a:p>
      </dsp:txBody>
      <dsp:txXfrm>
        <a:off x="2209856" y="76954"/>
        <a:ext cx="1069606" cy="407881"/>
      </dsp:txXfrm>
    </dsp:sp>
    <dsp:sp modelId="{64248C57-3CE0-4657-BC67-6279BA0257B1}">
      <dsp:nvSpPr>
        <dsp:cNvPr id="0" name=""/>
        <dsp:cNvSpPr/>
      </dsp:nvSpPr>
      <dsp:spPr>
        <a:xfrm rot="2869">
          <a:off x="3424164" y="1002875"/>
          <a:ext cx="463565" cy="18269"/>
        </a:xfrm>
        <a:custGeom>
          <a:avLst/>
          <a:gdLst/>
          <a:ahLst/>
          <a:cxnLst/>
          <a:rect l="0" t="0" r="0" b="0"/>
          <a:pathLst>
            <a:path>
              <a:moveTo>
                <a:pt x="0" y="9134"/>
              </a:moveTo>
              <a:lnTo>
                <a:pt x="463565" y="9134"/>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p>
      </dsp:txBody>
      <dsp:txXfrm>
        <a:off x="3644357" y="1000420"/>
        <a:ext cx="23178" cy="23178"/>
      </dsp:txXfrm>
    </dsp:sp>
    <dsp:sp modelId="{976BA53C-17D4-4F7C-9078-1272C469C9E5}">
      <dsp:nvSpPr>
        <dsp:cNvPr id="0" name=""/>
        <dsp:cNvSpPr/>
      </dsp:nvSpPr>
      <dsp:spPr>
        <a:xfrm>
          <a:off x="3887727" y="722494"/>
          <a:ext cx="1423332" cy="580606"/>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10</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Pays en transition et pays développés</a:t>
          </a:r>
        </a:p>
      </dsp:txBody>
      <dsp:txXfrm>
        <a:off x="4096169" y="807522"/>
        <a:ext cx="1006448" cy="410550"/>
      </dsp:txXfrm>
    </dsp:sp>
    <dsp:sp modelId="{ADF94B70-0D7F-4A27-8DF9-17BCD27F4A7A}">
      <dsp:nvSpPr>
        <dsp:cNvPr id="0" name=""/>
        <dsp:cNvSpPr/>
      </dsp:nvSpPr>
      <dsp:spPr>
        <a:xfrm rot="10791658">
          <a:off x="1610158" y="1004316"/>
          <a:ext cx="457860" cy="18269"/>
        </a:xfrm>
        <a:custGeom>
          <a:avLst/>
          <a:gdLst/>
          <a:ahLst/>
          <a:cxnLst/>
          <a:rect l="0" t="0" r="0" b="0"/>
          <a:pathLst>
            <a:path>
              <a:moveTo>
                <a:pt x="0" y="9134"/>
              </a:moveTo>
              <a:lnTo>
                <a:pt x="457860" y="9134"/>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p>
      </dsp:txBody>
      <dsp:txXfrm rot="10800000">
        <a:off x="1827641" y="1002004"/>
        <a:ext cx="22893" cy="22893"/>
      </dsp:txXfrm>
    </dsp:sp>
    <dsp:sp modelId="{0FAF3FA1-8E6C-455E-B189-A468B3F4D8BC}">
      <dsp:nvSpPr>
        <dsp:cNvPr id="0" name=""/>
        <dsp:cNvSpPr/>
      </dsp:nvSpPr>
      <dsp:spPr>
        <a:xfrm>
          <a:off x="175295" y="718912"/>
          <a:ext cx="1434875" cy="593670"/>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endParaRPr lang="en-US" sz="105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466725">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11</a:t>
          </a:r>
        </a:p>
        <a:p>
          <a:pPr lvl="0" algn="ctr" defTabSz="466725">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Académie de l’OMPI</a:t>
          </a:r>
        </a:p>
        <a:p>
          <a:pPr lvl="0" algn="ctr" defTabSz="466725">
            <a:lnSpc>
              <a:spcPct val="90000"/>
            </a:lnSpc>
            <a:spcBef>
              <a:spcPct val="0"/>
            </a:spcBef>
            <a:spcAft>
              <a:spcPct val="35000"/>
            </a:spcAft>
          </a:pPr>
          <a:endPar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385428" y="805853"/>
        <a:ext cx="1014609" cy="419788"/>
      </dsp:txXfrm>
    </dsp:sp>
  </dsp:spTree>
</dsp:drawing>
</file>

<file path=word/diagrams/drawing1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2AF917-2F47-4639-8A23-58AD52EC0F32}">
      <dsp:nvSpPr>
        <dsp:cNvPr id="0" name=""/>
        <dsp:cNvSpPr/>
      </dsp:nvSpPr>
      <dsp:spPr>
        <a:xfrm>
          <a:off x="2060865" y="626254"/>
          <a:ext cx="1475574" cy="396403"/>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12</a:t>
          </a:r>
        </a:p>
      </dsp:txBody>
      <dsp:txXfrm>
        <a:off x="2276958" y="684306"/>
        <a:ext cx="1043388" cy="280299"/>
      </dsp:txXfrm>
    </dsp:sp>
    <dsp:sp modelId="{5337AE63-3722-42CC-AF72-36670EB7C5E1}">
      <dsp:nvSpPr>
        <dsp:cNvPr id="0" name=""/>
        <dsp:cNvSpPr/>
      </dsp:nvSpPr>
      <dsp:spPr>
        <a:xfrm rot="16216882">
          <a:off x="2717208" y="536487"/>
          <a:ext cx="165649" cy="13887"/>
        </a:xfrm>
        <a:custGeom>
          <a:avLst/>
          <a:gdLst/>
          <a:ahLst/>
          <a:cxnLst/>
          <a:rect l="0" t="0" r="0" b="0"/>
          <a:pathLst>
            <a:path>
              <a:moveTo>
                <a:pt x="0" y="6998"/>
              </a:moveTo>
              <a:lnTo>
                <a:pt x="158573" y="6998"/>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solidFill>
              <a:sysClr val="windowText" lastClr="000000">
                <a:hueOff val="0"/>
                <a:satOff val="0"/>
                <a:lumOff val="0"/>
                <a:alphaOff val="0"/>
              </a:sysClr>
            </a:solidFill>
            <a:latin typeface="Calibri"/>
            <a:ea typeface="+mn-ea"/>
            <a:cs typeface="+mn-cs"/>
          </a:endParaRPr>
        </a:p>
      </dsp:txBody>
      <dsp:txXfrm>
        <a:off x="2795891" y="539289"/>
        <a:ext cx="8282" cy="8282"/>
      </dsp:txXfrm>
    </dsp:sp>
    <dsp:sp modelId="{CED9197C-8322-406B-917C-172FA36E7B76}">
      <dsp:nvSpPr>
        <dsp:cNvPr id="0" name=""/>
        <dsp:cNvSpPr/>
      </dsp:nvSpPr>
      <dsp:spPr>
        <a:xfrm>
          <a:off x="2056522" y="5081"/>
          <a:ext cx="1490071" cy="455525"/>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5</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Système du PCT</a:t>
          </a:r>
          <a:r>
            <a:rPr lang="en-US" sz="6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endParaRPr lang="en-US" sz="7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2274738" y="71791"/>
        <a:ext cx="1053639" cy="322105"/>
      </dsp:txXfrm>
    </dsp:sp>
    <dsp:sp modelId="{4AC11394-3179-4EC5-A97F-D1A1B521CE2F}">
      <dsp:nvSpPr>
        <dsp:cNvPr id="0" name=""/>
        <dsp:cNvSpPr/>
      </dsp:nvSpPr>
      <dsp:spPr>
        <a:xfrm rot="21562641">
          <a:off x="3535811" y="804771"/>
          <a:ext cx="870334" cy="13887"/>
        </a:xfrm>
        <a:custGeom>
          <a:avLst/>
          <a:gdLst/>
          <a:ahLst/>
          <a:cxnLst/>
          <a:rect l="0" t="0" r="0" b="0"/>
          <a:pathLst>
            <a:path>
              <a:moveTo>
                <a:pt x="0" y="6998"/>
              </a:moveTo>
              <a:lnTo>
                <a:pt x="1011830" y="6998"/>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solidFill>
              <a:sysClr val="windowText" lastClr="000000">
                <a:hueOff val="0"/>
                <a:satOff val="0"/>
                <a:lumOff val="0"/>
                <a:alphaOff val="0"/>
              </a:sysClr>
            </a:solidFill>
            <a:latin typeface="Calibri"/>
            <a:ea typeface="+mn-ea"/>
            <a:cs typeface="+mn-cs"/>
          </a:endParaRPr>
        </a:p>
      </dsp:txBody>
      <dsp:txXfrm>
        <a:off x="3949220" y="789956"/>
        <a:ext cx="43516" cy="43516"/>
      </dsp:txXfrm>
    </dsp:sp>
    <dsp:sp modelId="{035B4C9A-0916-4FCC-A1CF-85DB358A289A}">
      <dsp:nvSpPr>
        <dsp:cNvPr id="0" name=""/>
        <dsp:cNvSpPr/>
      </dsp:nvSpPr>
      <dsp:spPr>
        <a:xfrm>
          <a:off x="4405977" y="441718"/>
          <a:ext cx="1354107" cy="715823"/>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6</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Système de Madrid et de Lisbonne </a:t>
          </a:r>
        </a:p>
      </dsp:txBody>
      <dsp:txXfrm>
        <a:off x="4604281" y="546548"/>
        <a:ext cx="957499" cy="506163"/>
      </dsp:txXfrm>
    </dsp:sp>
    <dsp:sp modelId="{1281FAF2-438A-4E06-A630-42C5CD6DB1D1}">
      <dsp:nvSpPr>
        <dsp:cNvPr id="0" name=""/>
        <dsp:cNvSpPr/>
      </dsp:nvSpPr>
      <dsp:spPr>
        <a:xfrm rot="5377226">
          <a:off x="2728179" y="1087976"/>
          <a:ext cx="144529" cy="13887"/>
        </a:xfrm>
        <a:custGeom>
          <a:avLst/>
          <a:gdLst/>
          <a:ahLst/>
          <a:cxnLst/>
          <a:rect l="0" t="0" r="0" b="0"/>
          <a:pathLst>
            <a:path>
              <a:moveTo>
                <a:pt x="0" y="6998"/>
              </a:moveTo>
              <a:lnTo>
                <a:pt x="149401" y="6998"/>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solidFill>
              <a:sysClr val="windowText" lastClr="000000">
                <a:hueOff val="0"/>
                <a:satOff val="0"/>
                <a:lumOff val="0"/>
                <a:alphaOff val="0"/>
              </a:sysClr>
            </a:solidFill>
            <a:latin typeface="Calibri"/>
            <a:ea typeface="+mn-ea"/>
            <a:cs typeface="+mn-cs"/>
          </a:endParaRPr>
        </a:p>
      </dsp:txBody>
      <dsp:txXfrm>
        <a:off x="2796831" y="1091306"/>
        <a:ext cx="7226" cy="7226"/>
      </dsp:txXfrm>
    </dsp:sp>
    <dsp:sp modelId="{9D8804DD-C1C3-4668-9E8F-40BB54189D15}">
      <dsp:nvSpPr>
        <dsp:cNvPr id="0" name=""/>
        <dsp:cNvSpPr/>
      </dsp:nvSpPr>
      <dsp:spPr>
        <a:xfrm>
          <a:off x="1993724" y="1167183"/>
          <a:ext cx="1617328" cy="442540"/>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9</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Bureaux régionaux </a:t>
          </a:r>
        </a:p>
      </dsp:txBody>
      <dsp:txXfrm>
        <a:off x="2230576" y="1231991"/>
        <a:ext cx="1143624" cy="312924"/>
      </dsp:txXfrm>
    </dsp:sp>
    <dsp:sp modelId="{D0E3F8D6-DE9C-4394-8B02-9C131280903E}">
      <dsp:nvSpPr>
        <dsp:cNvPr id="0" name=""/>
        <dsp:cNvSpPr/>
      </dsp:nvSpPr>
      <dsp:spPr>
        <a:xfrm rot="10770656">
          <a:off x="1433995" y="826483"/>
          <a:ext cx="627253" cy="13887"/>
        </a:xfrm>
        <a:custGeom>
          <a:avLst/>
          <a:gdLst/>
          <a:ahLst/>
          <a:cxnLst/>
          <a:rect l="0" t="0" r="0" b="0"/>
          <a:pathLst>
            <a:path>
              <a:moveTo>
                <a:pt x="0" y="6998"/>
              </a:moveTo>
              <a:lnTo>
                <a:pt x="887737" y="6998"/>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solidFill>
              <a:sysClr val="windowText" lastClr="000000">
                <a:hueOff val="0"/>
                <a:satOff val="0"/>
                <a:lumOff val="0"/>
                <a:alphaOff val="0"/>
              </a:sysClr>
            </a:solidFill>
            <a:latin typeface="Calibri"/>
            <a:ea typeface="+mn-ea"/>
            <a:cs typeface="+mn-cs"/>
          </a:endParaRPr>
        </a:p>
      </dsp:txBody>
      <dsp:txXfrm rot="10800000">
        <a:off x="1731940" y="817746"/>
        <a:ext cx="31362" cy="31362"/>
      </dsp:txXfrm>
    </dsp:sp>
    <dsp:sp modelId="{F1CADBCB-761B-4EBD-8811-73EECDD73DC5}">
      <dsp:nvSpPr>
        <dsp:cNvPr id="0" name=""/>
        <dsp:cNvSpPr/>
      </dsp:nvSpPr>
      <dsp:spPr>
        <a:xfrm>
          <a:off x="0" y="499648"/>
          <a:ext cx="1434121" cy="685150"/>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10</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Pays en transition et pays développés </a:t>
          </a:r>
        </a:p>
      </dsp:txBody>
      <dsp:txXfrm>
        <a:off x="210022" y="599986"/>
        <a:ext cx="1014077" cy="484474"/>
      </dsp:txXfrm>
    </dsp:sp>
  </dsp:spTree>
</dsp:drawing>
</file>

<file path=word/diagrams/drawing1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2AF917-2F47-4639-8A23-58AD52EC0F32}">
      <dsp:nvSpPr>
        <dsp:cNvPr id="0" name=""/>
        <dsp:cNvSpPr/>
      </dsp:nvSpPr>
      <dsp:spPr>
        <a:xfrm>
          <a:off x="1900573" y="897146"/>
          <a:ext cx="2037745" cy="445864"/>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13</a:t>
          </a:r>
        </a:p>
      </dsp:txBody>
      <dsp:txXfrm>
        <a:off x="2198994" y="962441"/>
        <a:ext cx="1440903" cy="315274"/>
      </dsp:txXfrm>
    </dsp:sp>
    <dsp:sp modelId="{743B4520-8441-42A0-AFCB-45C212516FFF}">
      <dsp:nvSpPr>
        <dsp:cNvPr id="0" name=""/>
        <dsp:cNvSpPr/>
      </dsp:nvSpPr>
      <dsp:spPr>
        <a:xfrm rot="15982459">
          <a:off x="2758040" y="749854"/>
          <a:ext cx="277041" cy="18138"/>
        </a:xfrm>
        <a:custGeom>
          <a:avLst/>
          <a:gdLst/>
          <a:ahLst/>
          <a:cxnLst/>
          <a:rect l="0" t="0" r="0" b="0"/>
          <a:pathLst>
            <a:path>
              <a:moveTo>
                <a:pt x="0" y="7052"/>
              </a:moveTo>
              <a:lnTo>
                <a:pt x="197570" y="7052"/>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solidFill>
              <a:sysClr val="windowText" lastClr="000000">
                <a:hueOff val="0"/>
                <a:satOff val="0"/>
                <a:lumOff val="0"/>
                <a:alphaOff val="0"/>
              </a:sysClr>
            </a:solidFill>
            <a:latin typeface="Calibri"/>
            <a:ea typeface="+mn-ea"/>
            <a:cs typeface="+mn-cs"/>
          </a:endParaRPr>
        </a:p>
      </dsp:txBody>
      <dsp:txXfrm rot="10800000">
        <a:off x="2889635" y="751997"/>
        <a:ext cx="13852" cy="13852"/>
      </dsp:txXfrm>
    </dsp:sp>
    <dsp:sp modelId="{825B4589-2D50-4097-AF2B-6D3BD9DDE0B2}">
      <dsp:nvSpPr>
        <dsp:cNvPr id="0" name=""/>
        <dsp:cNvSpPr/>
      </dsp:nvSpPr>
      <dsp:spPr>
        <a:xfrm>
          <a:off x="2187849" y="15969"/>
          <a:ext cx="1361595" cy="604830"/>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5</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Système du PCT</a:t>
          </a: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dsp:txBody>
      <dsp:txXfrm>
        <a:off x="2387250" y="104544"/>
        <a:ext cx="962793" cy="427680"/>
      </dsp:txXfrm>
    </dsp:sp>
    <dsp:sp modelId="{7A96B68C-E15D-4E1B-A46C-7E5DE405A90C}">
      <dsp:nvSpPr>
        <dsp:cNvPr id="0" name=""/>
        <dsp:cNvSpPr/>
      </dsp:nvSpPr>
      <dsp:spPr>
        <a:xfrm rot="20187714">
          <a:off x="3347530" y="771438"/>
          <a:ext cx="702915" cy="18138"/>
        </a:xfrm>
        <a:custGeom>
          <a:avLst/>
          <a:gdLst/>
          <a:ahLst/>
          <a:cxnLst/>
          <a:rect l="0" t="0" r="0" b="0"/>
          <a:pathLst>
            <a:path>
              <a:moveTo>
                <a:pt x="0" y="7052"/>
              </a:moveTo>
              <a:lnTo>
                <a:pt x="740212" y="7052"/>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solidFill>
              <a:sysClr val="windowText" lastClr="000000">
                <a:hueOff val="0"/>
                <a:satOff val="0"/>
                <a:lumOff val="0"/>
                <a:alphaOff val="0"/>
              </a:sysClr>
            </a:solidFill>
            <a:latin typeface="Calibri"/>
            <a:ea typeface="+mn-ea"/>
            <a:cs typeface="+mn-cs"/>
          </a:endParaRPr>
        </a:p>
      </dsp:txBody>
      <dsp:txXfrm>
        <a:off x="3681415" y="762934"/>
        <a:ext cx="35145" cy="35145"/>
      </dsp:txXfrm>
    </dsp:sp>
    <dsp:sp modelId="{9DCD972B-1513-465A-AD2B-AD5E9EEB7291}">
      <dsp:nvSpPr>
        <dsp:cNvPr id="0" name=""/>
        <dsp:cNvSpPr/>
      </dsp:nvSpPr>
      <dsp:spPr>
        <a:xfrm>
          <a:off x="3831636" y="123372"/>
          <a:ext cx="1351594" cy="609946"/>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6 </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Système de Madrid</a:t>
          </a:r>
        </a:p>
      </dsp:txBody>
      <dsp:txXfrm>
        <a:off x="4029572" y="212697"/>
        <a:ext cx="955722" cy="431296"/>
      </dsp:txXfrm>
    </dsp:sp>
    <dsp:sp modelId="{5337AE63-3722-42CC-AF72-36670EB7C5E1}">
      <dsp:nvSpPr>
        <dsp:cNvPr id="0" name=""/>
        <dsp:cNvSpPr/>
      </dsp:nvSpPr>
      <dsp:spPr>
        <a:xfrm rot="26082">
          <a:off x="3937699" y="1120814"/>
          <a:ext cx="548230" cy="18138"/>
        </a:xfrm>
        <a:custGeom>
          <a:avLst/>
          <a:gdLst/>
          <a:ahLst/>
          <a:cxnLst/>
          <a:rect l="0" t="0" r="0" b="0"/>
          <a:pathLst>
            <a:path>
              <a:moveTo>
                <a:pt x="0" y="7052"/>
              </a:moveTo>
              <a:lnTo>
                <a:pt x="633292" y="7052"/>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solidFill>
              <a:sysClr val="windowText" lastClr="000000">
                <a:hueOff val="0"/>
                <a:satOff val="0"/>
                <a:lumOff val="0"/>
                <a:alphaOff val="0"/>
              </a:sysClr>
            </a:solidFill>
            <a:latin typeface="Calibri"/>
            <a:ea typeface="+mn-ea"/>
            <a:cs typeface="+mn-cs"/>
          </a:endParaRPr>
        </a:p>
      </dsp:txBody>
      <dsp:txXfrm>
        <a:off x="4198108" y="1116178"/>
        <a:ext cx="27411" cy="27411"/>
      </dsp:txXfrm>
    </dsp:sp>
    <dsp:sp modelId="{CED9197C-8322-406B-917C-172FA36E7B76}">
      <dsp:nvSpPr>
        <dsp:cNvPr id="0" name=""/>
        <dsp:cNvSpPr/>
      </dsp:nvSpPr>
      <dsp:spPr>
        <a:xfrm>
          <a:off x="4485860" y="757305"/>
          <a:ext cx="1350247" cy="759559"/>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12</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Classification internationale et normes</a:t>
          </a:r>
        </a:p>
      </dsp:txBody>
      <dsp:txXfrm>
        <a:off x="4683599" y="868540"/>
        <a:ext cx="954769" cy="537089"/>
      </dsp:txXfrm>
    </dsp:sp>
    <dsp:sp modelId="{138B7E76-7222-442E-A1D9-728356EF662A}">
      <dsp:nvSpPr>
        <dsp:cNvPr id="0" name=""/>
        <dsp:cNvSpPr/>
      </dsp:nvSpPr>
      <dsp:spPr>
        <a:xfrm rot="1942271">
          <a:off x="3196854" y="1511307"/>
          <a:ext cx="708124" cy="18138"/>
        </a:xfrm>
        <a:custGeom>
          <a:avLst/>
          <a:gdLst/>
          <a:ahLst/>
          <a:cxnLst/>
          <a:rect l="0" t="0" r="0" b="0"/>
          <a:pathLst>
            <a:path>
              <a:moveTo>
                <a:pt x="0" y="9069"/>
              </a:moveTo>
              <a:lnTo>
                <a:pt x="708124" y="9069"/>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fr-FR" sz="500" kern="1200"/>
        </a:p>
      </dsp:txBody>
      <dsp:txXfrm>
        <a:off x="3533213" y="1502673"/>
        <a:ext cx="35406" cy="35406"/>
      </dsp:txXfrm>
    </dsp:sp>
    <dsp:sp modelId="{FCA505AC-08A1-4D80-A4C4-10D8C6CB29B8}">
      <dsp:nvSpPr>
        <dsp:cNvPr id="0" name=""/>
        <dsp:cNvSpPr/>
      </dsp:nvSpPr>
      <dsp:spPr>
        <a:xfrm>
          <a:off x="3545495" y="1658348"/>
          <a:ext cx="1389115" cy="597762"/>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14</a:t>
          </a:r>
        </a:p>
        <a:p>
          <a:pPr lvl="0" algn="ctr" defTabSz="35560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Services d’accès à l’information et aux savoirs</a:t>
          </a:r>
        </a:p>
      </dsp:txBody>
      <dsp:txXfrm>
        <a:off x="3748926" y="1745888"/>
        <a:ext cx="982253" cy="422682"/>
      </dsp:txXfrm>
    </dsp:sp>
    <dsp:sp modelId="{ADF94B70-0D7F-4A27-8DF9-17BCD27F4A7A}">
      <dsp:nvSpPr>
        <dsp:cNvPr id="0" name=""/>
        <dsp:cNvSpPr/>
      </dsp:nvSpPr>
      <dsp:spPr>
        <a:xfrm rot="8274232">
          <a:off x="2474664" y="1406550"/>
          <a:ext cx="235309" cy="18138"/>
        </a:xfrm>
        <a:custGeom>
          <a:avLst/>
          <a:gdLst/>
          <a:ahLst/>
          <a:cxnLst/>
          <a:rect l="0" t="0" r="0" b="0"/>
          <a:pathLst>
            <a:path>
              <a:moveTo>
                <a:pt x="0" y="7052"/>
              </a:moveTo>
              <a:lnTo>
                <a:pt x="615314" y="7052"/>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solidFill>
              <a:sysClr val="windowText" lastClr="000000">
                <a:hueOff val="0"/>
                <a:satOff val="0"/>
                <a:lumOff val="0"/>
                <a:alphaOff val="0"/>
              </a:sysClr>
            </a:solidFill>
            <a:latin typeface="Calibri"/>
            <a:ea typeface="+mn-ea"/>
            <a:cs typeface="+mn-cs"/>
          </a:endParaRPr>
        </a:p>
      </dsp:txBody>
      <dsp:txXfrm rot="10800000">
        <a:off x="2586436" y="1409737"/>
        <a:ext cx="11765" cy="11765"/>
      </dsp:txXfrm>
    </dsp:sp>
    <dsp:sp modelId="{0FAF3FA1-8E6C-455E-B189-A468B3F4D8BC}">
      <dsp:nvSpPr>
        <dsp:cNvPr id="0" name=""/>
        <dsp:cNvSpPr/>
      </dsp:nvSpPr>
      <dsp:spPr>
        <a:xfrm>
          <a:off x="1310396" y="1432733"/>
          <a:ext cx="1575316" cy="858856"/>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15 </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Solutions opérationnelles pour les offices de propriété intellectuelle</a:t>
          </a:r>
          <a:endPar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1541096" y="1558510"/>
        <a:ext cx="1113916" cy="607302"/>
      </dsp:txXfrm>
    </dsp:sp>
    <dsp:sp modelId="{4C755D63-E57A-4826-AD35-228CF0B8702F}">
      <dsp:nvSpPr>
        <dsp:cNvPr id="0" name=""/>
        <dsp:cNvSpPr/>
      </dsp:nvSpPr>
      <dsp:spPr>
        <a:xfrm rot="10764323">
          <a:off x="1410219" y="1124122"/>
          <a:ext cx="491510" cy="18138"/>
        </a:xfrm>
        <a:custGeom>
          <a:avLst/>
          <a:gdLst/>
          <a:ahLst/>
          <a:cxnLst/>
          <a:rect l="0" t="0" r="0" b="0"/>
          <a:pathLst>
            <a:path>
              <a:moveTo>
                <a:pt x="0" y="7052"/>
              </a:moveTo>
              <a:lnTo>
                <a:pt x="644351" y="7052"/>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solidFill>
              <a:sysClr val="windowText" lastClr="000000">
                <a:hueOff val="0"/>
                <a:satOff val="0"/>
                <a:lumOff val="0"/>
                <a:alphaOff val="0"/>
              </a:sysClr>
            </a:solidFill>
            <a:latin typeface="Calibri"/>
            <a:ea typeface="+mn-ea"/>
            <a:cs typeface="+mn-cs"/>
          </a:endParaRPr>
        </a:p>
      </dsp:txBody>
      <dsp:txXfrm rot="10800000">
        <a:off x="1643687" y="1120903"/>
        <a:ext cx="24575" cy="24575"/>
      </dsp:txXfrm>
    </dsp:sp>
    <dsp:sp modelId="{24E3E7DC-0BA5-48AF-955A-AA52F4F430B1}">
      <dsp:nvSpPr>
        <dsp:cNvPr id="0" name=""/>
        <dsp:cNvSpPr/>
      </dsp:nvSpPr>
      <dsp:spPr>
        <a:xfrm>
          <a:off x="161541" y="836784"/>
          <a:ext cx="1248832" cy="610872"/>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endPar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31</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Système de La Haye</a:t>
          </a:r>
          <a:endPar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344428" y="926244"/>
        <a:ext cx="883058" cy="431952"/>
      </dsp:txXfrm>
    </dsp:sp>
    <dsp:sp modelId="{08F06F3E-5CCF-489C-90BA-4D42681B4A07}">
      <dsp:nvSpPr>
        <dsp:cNvPr id="0" name=""/>
        <dsp:cNvSpPr/>
      </dsp:nvSpPr>
      <dsp:spPr>
        <a:xfrm rot="12032443">
          <a:off x="1807555" y="810121"/>
          <a:ext cx="617742" cy="18138"/>
        </a:xfrm>
        <a:custGeom>
          <a:avLst/>
          <a:gdLst/>
          <a:ahLst/>
          <a:cxnLst/>
          <a:rect l="0" t="0" r="0" b="0"/>
          <a:pathLst>
            <a:path>
              <a:moveTo>
                <a:pt x="0" y="9069"/>
              </a:moveTo>
              <a:lnTo>
                <a:pt x="617742" y="9069"/>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fr-FR" sz="500" kern="1200"/>
        </a:p>
      </dsp:txBody>
      <dsp:txXfrm rot="10800000">
        <a:off x="2100983" y="803747"/>
        <a:ext cx="30887" cy="30887"/>
      </dsp:txXfrm>
    </dsp:sp>
    <dsp:sp modelId="{EAE297CC-CD88-4D38-B807-44C2D9CFE954}">
      <dsp:nvSpPr>
        <dsp:cNvPr id="0" name=""/>
        <dsp:cNvSpPr/>
      </dsp:nvSpPr>
      <dsp:spPr>
        <a:xfrm>
          <a:off x="536769" y="210457"/>
          <a:ext cx="1494020" cy="593489"/>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32</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Système de Lisbonne</a:t>
          </a:r>
          <a:endPar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755563" y="297371"/>
        <a:ext cx="1056432" cy="419661"/>
      </dsp:txXfrm>
    </dsp:sp>
  </dsp:spTree>
</dsp:drawing>
</file>

<file path=word/diagrams/drawing1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C7CADF7-0742-432E-9EEF-EA9C347A7661}">
      <dsp:nvSpPr>
        <dsp:cNvPr id="0" name=""/>
        <dsp:cNvSpPr/>
      </dsp:nvSpPr>
      <dsp:spPr>
        <a:xfrm>
          <a:off x="2235139" y="894320"/>
          <a:ext cx="1546797" cy="486144"/>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14</a:t>
          </a:r>
        </a:p>
      </dsp:txBody>
      <dsp:txXfrm>
        <a:off x="2461662" y="965514"/>
        <a:ext cx="1093751" cy="343756"/>
      </dsp:txXfrm>
    </dsp:sp>
    <dsp:sp modelId="{650854B0-9FE7-4FFD-96B2-18F6452E0859}">
      <dsp:nvSpPr>
        <dsp:cNvPr id="0" name=""/>
        <dsp:cNvSpPr/>
      </dsp:nvSpPr>
      <dsp:spPr>
        <a:xfrm rot="16193979">
          <a:off x="2933074" y="810911"/>
          <a:ext cx="149813" cy="17004"/>
        </a:xfrm>
        <a:custGeom>
          <a:avLst/>
          <a:gdLst/>
          <a:ahLst/>
          <a:cxnLst/>
          <a:rect l="0" t="0" r="0" b="0"/>
          <a:pathLst>
            <a:path>
              <a:moveTo>
                <a:pt x="0" y="8502"/>
              </a:moveTo>
              <a:lnTo>
                <a:pt x="401655" y="8502"/>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solidFill>
              <a:sysClr val="windowText" lastClr="000000">
                <a:hueOff val="0"/>
                <a:satOff val="0"/>
                <a:lumOff val="0"/>
                <a:alphaOff val="0"/>
              </a:sysClr>
            </a:solidFill>
            <a:latin typeface="Calibri"/>
            <a:ea typeface="+mn-ea"/>
            <a:cs typeface="+mn-cs"/>
          </a:endParaRPr>
        </a:p>
      </dsp:txBody>
      <dsp:txXfrm rot="10800000">
        <a:off x="3004235" y="815668"/>
        <a:ext cx="7490" cy="7490"/>
      </dsp:txXfrm>
    </dsp:sp>
    <dsp:sp modelId="{6394B413-6D12-4C4F-9A8D-E0508CAE8617}">
      <dsp:nvSpPr>
        <dsp:cNvPr id="0" name=""/>
        <dsp:cNvSpPr/>
      </dsp:nvSpPr>
      <dsp:spPr>
        <a:xfrm>
          <a:off x="2443794" y="58295"/>
          <a:ext cx="1126909" cy="686211"/>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9</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Bureaux régionaux</a:t>
          </a:r>
        </a:p>
      </dsp:txBody>
      <dsp:txXfrm>
        <a:off x="2608826" y="158788"/>
        <a:ext cx="796845" cy="485225"/>
      </dsp:txXfrm>
    </dsp:sp>
    <dsp:sp modelId="{DEF09AAB-E09E-4486-8914-E37D47E60824}">
      <dsp:nvSpPr>
        <dsp:cNvPr id="0" name=""/>
        <dsp:cNvSpPr/>
      </dsp:nvSpPr>
      <dsp:spPr>
        <a:xfrm rot="20327628">
          <a:off x="3482863" y="873343"/>
          <a:ext cx="368603" cy="17004"/>
        </a:xfrm>
        <a:custGeom>
          <a:avLst/>
          <a:gdLst/>
          <a:ahLst/>
          <a:cxnLst/>
          <a:rect l="0" t="0" r="0" b="0"/>
          <a:pathLst>
            <a:path>
              <a:moveTo>
                <a:pt x="0" y="8502"/>
              </a:moveTo>
              <a:lnTo>
                <a:pt x="611519" y="8502"/>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solidFill>
              <a:sysClr val="windowText" lastClr="000000">
                <a:hueOff val="0"/>
                <a:satOff val="0"/>
                <a:lumOff val="0"/>
                <a:alphaOff val="0"/>
              </a:sysClr>
            </a:solidFill>
            <a:latin typeface="Calibri"/>
            <a:ea typeface="+mn-ea"/>
            <a:cs typeface="+mn-cs"/>
          </a:endParaRPr>
        </a:p>
      </dsp:txBody>
      <dsp:txXfrm>
        <a:off x="3657949" y="872631"/>
        <a:ext cx="18430" cy="18430"/>
      </dsp:txXfrm>
    </dsp:sp>
    <dsp:sp modelId="{2ED32773-10C9-4671-A0BF-4C0DAB40AE25}">
      <dsp:nvSpPr>
        <dsp:cNvPr id="0" name=""/>
        <dsp:cNvSpPr/>
      </dsp:nvSpPr>
      <dsp:spPr>
        <a:xfrm>
          <a:off x="3776310" y="132228"/>
          <a:ext cx="1207298" cy="946106"/>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10</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Pays en transition et pays développés</a:t>
          </a:r>
        </a:p>
      </dsp:txBody>
      <dsp:txXfrm>
        <a:off x="3953115" y="270782"/>
        <a:ext cx="853688" cy="668998"/>
      </dsp:txXfrm>
    </dsp:sp>
    <dsp:sp modelId="{6A5F15CA-77E2-4C48-8498-A7C7D3C4428C}">
      <dsp:nvSpPr>
        <dsp:cNvPr id="0" name=""/>
        <dsp:cNvSpPr/>
      </dsp:nvSpPr>
      <dsp:spPr>
        <a:xfrm rot="230436">
          <a:off x="3763885" y="1209206"/>
          <a:ext cx="882103" cy="17004"/>
        </a:xfrm>
        <a:custGeom>
          <a:avLst/>
          <a:gdLst/>
          <a:ahLst/>
          <a:cxnLst/>
          <a:rect l="0" t="0" r="0" b="0"/>
          <a:pathLst>
            <a:path>
              <a:moveTo>
                <a:pt x="0" y="8502"/>
              </a:moveTo>
              <a:lnTo>
                <a:pt x="1178174" y="8502"/>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solidFill>
              <a:sysClr val="windowText" lastClr="000000">
                <a:hueOff val="0"/>
                <a:satOff val="0"/>
                <a:lumOff val="0"/>
                <a:alphaOff val="0"/>
              </a:sysClr>
            </a:solidFill>
            <a:latin typeface="Calibri"/>
            <a:ea typeface="+mn-ea"/>
            <a:cs typeface="+mn-cs"/>
          </a:endParaRPr>
        </a:p>
      </dsp:txBody>
      <dsp:txXfrm>
        <a:off x="4182884" y="1195656"/>
        <a:ext cx="44105" cy="44105"/>
      </dsp:txXfrm>
    </dsp:sp>
    <dsp:sp modelId="{638FE4E5-2063-40D0-A44F-91C88716CF8C}">
      <dsp:nvSpPr>
        <dsp:cNvPr id="0" name=""/>
        <dsp:cNvSpPr/>
      </dsp:nvSpPr>
      <dsp:spPr>
        <a:xfrm>
          <a:off x="4641531" y="868884"/>
          <a:ext cx="1302068" cy="843678"/>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11</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Académie de l’OMPI</a:t>
          </a:r>
        </a:p>
      </dsp:txBody>
      <dsp:txXfrm>
        <a:off x="4832214" y="992438"/>
        <a:ext cx="920702" cy="596570"/>
      </dsp:txXfrm>
    </dsp:sp>
    <dsp:sp modelId="{EAF47FDD-7D57-4FF6-9F6B-6E604D2CC0DE}">
      <dsp:nvSpPr>
        <dsp:cNvPr id="0" name=""/>
        <dsp:cNvSpPr/>
      </dsp:nvSpPr>
      <dsp:spPr>
        <a:xfrm rot="10490222">
          <a:off x="1341524" y="1237697"/>
          <a:ext cx="925600" cy="17004"/>
        </a:xfrm>
        <a:custGeom>
          <a:avLst/>
          <a:gdLst/>
          <a:ahLst/>
          <a:cxnLst/>
          <a:rect l="0" t="0" r="0" b="0"/>
          <a:pathLst>
            <a:path>
              <a:moveTo>
                <a:pt x="0" y="8502"/>
              </a:moveTo>
              <a:lnTo>
                <a:pt x="1276148" y="8502"/>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solidFill>
              <a:sysClr val="windowText" lastClr="000000">
                <a:hueOff val="0"/>
                <a:satOff val="0"/>
                <a:lumOff val="0"/>
                <a:alphaOff val="0"/>
              </a:sysClr>
            </a:solidFill>
            <a:latin typeface="Calibri"/>
            <a:ea typeface="+mn-ea"/>
            <a:cs typeface="+mn-cs"/>
          </a:endParaRPr>
        </a:p>
      </dsp:txBody>
      <dsp:txXfrm rot="10800000">
        <a:off x="1781184" y="1223060"/>
        <a:ext cx="46280" cy="46280"/>
      </dsp:txXfrm>
    </dsp:sp>
    <dsp:sp modelId="{F74F2681-A109-4B75-8C08-B2B26769CF03}">
      <dsp:nvSpPr>
        <dsp:cNvPr id="0" name=""/>
        <dsp:cNvSpPr/>
      </dsp:nvSpPr>
      <dsp:spPr>
        <a:xfrm>
          <a:off x="5213" y="911196"/>
          <a:ext cx="1344596" cy="873634"/>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13</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Service des bases de données mondiales</a:t>
          </a:r>
        </a:p>
      </dsp:txBody>
      <dsp:txXfrm>
        <a:off x="202125" y="1039137"/>
        <a:ext cx="950772" cy="617752"/>
      </dsp:txXfrm>
    </dsp:sp>
    <dsp:sp modelId="{AC7E3352-64BC-4978-9AB6-2DD833483239}">
      <dsp:nvSpPr>
        <dsp:cNvPr id="0" name=""/>
        <dsp:cNvSpPr/>
      </dsp:nvSpPr>
      <dsp:spPr>
        <a:xfrm rot="12167746">
          <a:off x="2188481" y="862283"/>
          <a:ext cx="371384" cy="17004"/>
        </a:xfrm>
        <a:custGeom>
          <a:avLst/>
          <a:gdLst/>
          <a:ahLst/>
          <a:cxnLst/>
          <a:rect l="0" t="0" r="0" b="0"/>
          <a:pathLst>
            <a:path>
              <a:moveTo>
                <a:pt x="0" y="8502"/>
              </a:moveTo>
              <a:lnTo>
                <a:pt x="766822" y="8502"/>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solidFill>
              <a:sysClr val="windowText" lastClr="000000">
                <a:hueOff val="0"/>
                <a:satOff val="0"/>
                <a:lumOff val="0"/>
                <a:alphaOff val="0"/>
              </a:sysClr>
            </a:solidFill>
            <a:latin typeface="Calibri"/>
            <a:ea typeface="+mn-ea"/>
            <a:cs typeface="+mn-cs"/>
          </a:endParaRPr>
        </a:p>
      </dsp:txBody>
      <dsp:txXfrm rot="10800000">
        <a:off x="2364889" y="861501"/>
        <a:ext cx="18569" cy="18569"/>
      </dsp:txXfrm>
    </dsp:sp>
    <dsp:sp modelId="{05C48364-E63B-4056-87CF-0BE50D74190B}">
      <dsp:nvSpPr>
        <dsp:cNvPr id="0" name=""/>
        <dsp:cNvSpPr/>
      </dsp:nvSpPr>
      <dsp:spPr>
        <a:xfrm>
          <a:off x="925606" y="57754"/>
          <a:ext cx="1371261" cy="984777"/>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15 </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Solutions opérationnelles pour les offices de propriété intellectuelle</a:t>
          </a:r>
        </a:p>
      </dsp:txBody>
      <dsp:txXfrm>
        <a:off x="1126423" y="201971"/>
        <a:ext cx="969627" cy="696343"/>
      </dsp:txXfrm>
    </dsp:sp>
  </dsp:spTree>
</dsp:drawing>
</file>

<file path=word/diagrams/drawing1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C7CADF7-0742-432E-9EEF-EA9C347A7661}">
      <dsp:nvSpPr>
        <dsp:cNvPr id="0" name=""/>
        <dsp:cNvSpPr/>
      </dsp:nvSpPr>
      <dsp:spPr>
        <a:xfrm>
          <a:off x="2143079" y="820297"/>
          <a:ext cx="1556000" cy="424731"/>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15</a:t>
          </a:r>
        </a:p>
      </dsp:txBody>
      <dsp:txXfrm>
        <a:off x="2370950" y="882497"/>
        <a:ext cx="1100258" cy="300331"/>
      </dsp:txXfrm>
    </dsp:sp>
    <dsp:sp modelId="{72463A3F-A956-4917-8722-9FD79FB3E09A}">
      <dsp:nvSpPr>
        <dsp:cNvPr id="0" name=""/>
        <dsp:cNvSpPr/>
      </dsp:nvSpPr>
      <dsp:spPr>
        <a:xfrm rot="15880752">
          <a:off x="2757328" y="680343"/>
          <a:ext cx="263523" cy="17658"/>
        </a:xfrm>
        <a:custGeom>
          <a:avLst/>
          <a:gdLst/>
          <a:ahLst/>
          <a:cxnLst/>
          <a:rect l="0" t="0" r="0" b="0"/>
          <a:pathLst>
            <a:path>
              <a:moveTo>
                <a:pt x="0" y="8829"/>
              </a:moveTo>
              <a:lnTo>
                <a:pt x="263523" y="8829"/>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882501" y="682584"/>
        <a:ext cx="13176" cy="13176"/>
      </dsp:txXfrm>
    </dsp:sp>
    <dsp:sp modelId="{A030EF9D-9337-4706-B87A-64BDE162520A}">
      <dsp:nvSpPr>
        <dsp:cNvPr id="0" name=""/>
        <dsp:cNvSpPr/>
      </dsp:nvSpPr>
      <dsp:spPr>
        <a:xfrm>
          <a:off x="2225890" y="69593"/>
          <a:ext cx="1256490" cy="488545"/>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3</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Droit d’auteur et droits connexes</a:t>
          </a:r>
        </a:p>
      </dsp:txBody>
      <dsp:txXfrm>
        <a:off x="2409899" y="141139"/>
        <a:ext cx="888472" cy="345453"/>
      </dsp:txXfrm>
    </dsp:sp>
    <dsp:sp modelId="{00112A8F-12E8-45AC-B551-DFB66BE45059}">
      <dsp:nvSpPr>
        <dsp:cNvPr id="0" name=""/>
        <dsp:cNvSpPr/>
      </dsp:nvSpPr>
      <dsp:spPr>
        <a:xfrm rot="20469744">
          <a:off x="3397907" y="802408"/>
          <a:ext cx="344418" cy="17658"/>
        </a:xfrm>
        <a:custGeom>
          <a:avLst/>
          <a:gdLst/>
          <a:ahLst/>
          <a:cxnLst/>
          <a:rect l="0" t="0" r="0" b="0"/>
          <a:pathLst>
            <a:path>
              <a:moveTo>
                <a:pt x="0" y="8829"/>
              </a:moveTo>
              <a:lnTo>
                <a:pt x="344418" y="8829"/>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561506" y="802627"/>
        <a:ext cx="17220" cy="17220"/>
      </dsp:txXfrm>
    </dsp:sp>
    <dsp:sp modelId="{423B6D89-2000-40C7-8429-BD38C7402395}">
      <dsp:nvSpPr>
        <dsp:cNvPr id="0" name=""/>
        <dsp:cNvSpPr/>
      </dsp:nvSpPr>
      <dsp:spPr>
        <a:xfrm>
          <a:off x="3637375" y="217330"/>
          <a:ext cx="1279465" cy="705420"/>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5</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Système du PCT</a:t>
          </a:r>
        </a:p>
      </dsp:txBody>
      <dsp:txXfrm>
        <a:off x="3824748" y="320636"/>
        <a:ext cx="904719" cy="498808"/>
      </dsp:txXfrm>
    </dsp:sp>
    <dsp:sp modelId="{650854B0-9FE7-4FFD-96B2-18F6452E0859}">
      <dsp:nvSpPr>
        <dsp:cNvPr id="0" name=""/>
        <dsp:cNvSpPr/>
      </dsp:nvSpPr>
      <dsp:spPr>
        <a:xfrm rot="592092">
          <a:off x="3572981" y="1186535"/>
          <a:ext cx="566798" cy="17658"/>
        </a:xfrm>
        <a:custGeom>
          <a:avLst/>
          <a:gdLst/>
          <a:ahLst/>
          <a:cxnLst/>
          <a:rect l="0" t="0" r="0" b="0"/>
          <a:pathLst>
            <a:path>
              <a:moveTo>
                <a:pt x="0" y="7778"/>
              </a:moveTo>
              <a:lnTo>
                <a:pt x="1060081" y="7778"/>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842210" y="1181194"/>
        <a:ext cx="28339" cy="28339"/>
      </dsp:txXfrm>
    </dsp:sp>
    <dsp:sp modelId="{6394B413-6D12-4C4F-9A8D-E0508CAE8617}">
      <dsp:nvSpPr>
        <dsp:cNvPr id="0" name=""/>
        <dsp:cNvSpPr/>
      </dsp:nvSpPr>
      <dsp:spPr>
        <a:xfrm>
          <a:off x="4075322" y="1068861"/>
          <a:ext cx="1454498" cy="582198"/>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6</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Système de Madrid</a:t>
          </a:r>
        </a:p>
      </dsp:txBody>
      <dsp:txXfrm>
        <a:off x="4288328" y="1154122"/>
        <a:ext cx="1028486" cy="411676"/>
      </dsp:txXfrm>
    </dsp:sp>
    <dsp:sp modelId="{6A5F15CA-77E2-4C48-8498-A7C7D3C4428C}">
      <dsp:nvSpPr>
        <dsp:cNvPr id="0" name=""/>
        <dsp:cNvSpPr/>
      </dsp:nvSpPr>
      <dsp:spPr>
        <a:xfrm rot="5422194">
          <a:off x="2817038" y="1338209"/>
          <a:ext cx="204023" cy="17658"/>
        </a:xfrm>
        <a:custGeom>
          <a:avLst/>
          <a:gdLst/>
          <a:ahLst/>
          <a:cxnLst/>
          <a:rect l="0" t="0" r="0" b="0"/>
          <a:pathLst>
            <a:path>
              <a:moveTo>
                <a:pt x="0" y="8829"/>
              </a:moveTo>
              <a:lnTo>
                <a:pt x="204023" y="8829"/>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913950" y="1341938"/>
        <a:ext cx="10201" cy="10201"/>
      </dsp:txXfrm>
    </dsp:sp>
    <dsp:sp modelId="{638FE4E5-2063-40D0-A44F-91C88716CF8C}">
      <dsp:nvSpPr>
        <dsp:cNvPr id="0" name=""/>
        <dsp:cNvSpPr/>
      </dsp:nvSpPr>
      <dsp:spPr>
        <a:xfrm>
          <a:off x="2279573" y="1449047"/>
          <a:ext cx="1274297" cy="517140"/>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9</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Bureaux régionaux</a:t>
          </a:r>
        </a:p>
      </dsp:txBody>
      <dsp:txXfrm>
        <a:off x="2466189" y="1524780"/>
        <a:ext cx="901065" cy="365674"/>
      </dsp:txXfrm>
    </dsp:sp>
    <dsp:sp modelId="{EAF47FDD-7D57-4FF6-9F6B-6E604D2CC0DE}">
      <dsp:nvSpPr>
        <dsp:cNvPr id="0" name=""/>
        <dsp:cNvSpPr/>
      </dsp:nvSpPr>
      <dsp:spPr>
        <a:xfrm rot="10117332">
          <a:off x="1745511" y="1204574"/>
          <a:ext cx="554797" cy="17658"/>
        </a:xfrm>
        <a:custGeom>
          <a:avLst/>
          <a:gdLst/>
          <a:ahLst/>
          <a:cxnLst/>
          <a:rect l="0" t="0" r="0" b="0"/>
          <a:pathLst>
            <a:path>
              <a:moveTo>
                <a:pt x="0" y="7778"/>
              </a:moveTo>
              <a:lnTo>
                <a:pt x="942251" y="7778"/>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009040" y="1199534"/>
        <a:ext cx="27739" cy="27739"/>
      </dsp:txXfrm>
    </dsp:sp>
    <dsp:sp modelId="{F74F2681-A109-4B75-8C08-B2B26769CF03}">
      <dsp:nvSpPr>
        <dsp:cNvPr id="0" name=""/>
        <dsp:cNvSpPr/>
      </dsp:nvSpPr>
      <dsp:spPr>
        <a:xfrm>
          <a:off x="341768" y="1026897"/>
          <a:ext cx="1458629" cy="756091"/>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10</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Pays en transition et pays développés</a:t>
          </a:r>
        </a:p>
      </dsp:txBody>
      <dsp:txXfrm>
        <a:off x="555379" y="1137624"/>
        <a:ext cx="1031407" cy="534637"/>
      </dsp:txXfrm>
    </dsp:sp>
    <dsp:sp modelId="{AC7E3352-64BC-4978-9AB6-2DD833483239}">
      <dsp:nvSpPr>
        <dsp:cNvPr id="0" name=""/>
        <dsp:cNvSpPr/>
      </dsp:nvSpPr>
      <dsp:spPr>
        <a:xfrm rot="11930616">
          <a:off x="1962268" y="779524"/>
          <a:ext cx="485882" cy="17658"/>
        </a:xfrm>
        <a:custGeom>
          <a:avLst/>
          <a:gdLst/>
          <a:ahLst/>
          <a:cxnLst/>
          <a:rect l="0" t="0" r="0" b="0"/>
          <a:pathLst>
            <a:path>
              <a:moveTo>
                <a:pt x="0" y="8829"/>
              </a:moveTo>
              <a:lnTo>
                <a:pt x="485882" y="8829"/>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193062" y="776206"/>
        <a:ext cx="24294" cy="24294"/>
      </dsp:txXfrm>
    </dsp:sp>
    <dsp:sp modelId="{05C48364-E63B-4056-87CF-0BE50D74190B}">
      <dsp:nvSpPr>
        <dsp:cNvPr id="0" name=""/>
        <dsp:cNvSpPr/>
      </dsp:nvSpPr>
      <dsp:spPr>
        <a:xfrm>
          <a:off x="665449" y="182621"/>
          <a:ext cx="1457248" cy="657820"/>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14</a:t>
          </a: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Service d’accès à l’information et aux savoirs</a:t>
          </a:r>
        </a:p>
      </dsp:txBody>
      <dsp:txXfrm>
        <a:off x="878858" y="278957"/>
        <a:ext cx="1030430" cy="465148"/>
      </dsp:txXfrm>
    </dsp:sp>
  </dsp:spTree>
</dsp:drawing>
</file>

<file path=word/diagrams/drawing1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C7CADF7-0742-432E-9EEF-EA9C347A7661}">
      <dsp:nvSpPr>
        <dsp:cNvPr id="0" name=""/>
        <dsp:cNvSpPr/>
      </dsp:nvSpPr>
      <dsp:spPr>
        <a:xfrm>
          <a:off x="2198243" y="1176984"/>
          <a:ext cx="1586849" cy="377468"/>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16</a:t>
          </a:r>
        </a:p>
      </dsp:txBody>
      <dsp:txXfrm>
        <a:off x="2430632" y="1232263"/>
        <a:ext cx="1122071" cy="266910"/>
      </dsp:txXfrm>
    </dsp:sp>
    <dsp:sp modelId="{24BDC8D2-35C4-49D8-9B7B-32C17CE20E32}">
      <dsp:nvSpPr>
        <dsp:cNvPr id="0" name=""/>
        <dsp:cNvSpPr/>
      </dsp:nvSpPr>
      <dsp:spPr>
        <a:xfrm rot="16163392">
          <a:off x="2782931" y="964643"/>
          <a:ext cx="409097" cy="15609"/>
        </a:xfrm>
        <a:custGeom>
          <a:avLst/>
          <a:gdLst/>
          <a:ahLst/>
          <a:cxnLst/>
          <a:rect l="0" t="0" r="0" b="0"/>
          <a:pathLst>
            <a:path>
              <a:moveTo>
                <a:pt x="0" y="7804"/>
              </a:moveTo>
              <a:lnTo>
                <a:pt x="409097" y="7804"/>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977252" y="962221"/>
        <a:ext cx="20454" cy="20454"/>
      </dsp:txXfrm>
    </dsp:sp>
    <dsp:sp modelId="{89363C58-92D8-41E4-A3BE-502C8FBA2B6E}">
      <dsp:nvSpPr>
        <dsp:cNvPr id="0" name=""/>
        <dsp:cNvSpPr/>
      </dsp:nvSpPr>
      <dsp:spPr>
        <a:xfrm>
          <a:off x="2413138" y="45919"/>
          <a:ext cx="1136637" cy="722000"/>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3</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Droits d'auteur et droits connexes</a:t>
          </a:r>
        </a:p>
      </dsp:txBody>
      <dsp:txXfrm>
        <a:off x="2579595" y="151653"/>
        <a:ext cx="803723" cy="510532"/>
      </dsp:txXfrm>
    </dsp:sp>
    <dsp:sp modelId="{E887F142-3B93-49E1-A09D-1DCD207D21D1}">
      <dsp:nvSpPr>
        <dsp:cNvPr id="0" name=""/>
        <dsp:cNvSpPr/>
      </dsp:nvSpPr>
      <dsp:spPr>
        <a:xfrm rot="19428961">
          <a:off x="3169487" y="971649"/>
          <a:ext cx="700507" cy="15609"/>
        </a:xfrm>
        <a:custGeom>
          <a:avLst/>
          <a:gdLst/>
          <a:ahLst/>
          <a:cxnLst/>
          <a:rect l="0" t="0" r="0" b="0"/>
          <a:pathLst>
            <a:path>
              <a:moveTo>
                <a:pt x="0" y="7514"/>
              </a:moveTo>
              <a:lnTo>
                <a:pt x="469641" y="751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solidFill>
              <a:sysClr val="windowText" lastClr="000000">
                <a:hueOff val="0"/>
                <a:satOff val="0"/>
                <a:lumOff val="0"/>
                <a:alphaOff val="0"/>
              </a:sysClr>
            </a:solidFill>
            <a:latin typeface="Calibri"/>
            <a:ea typeface="+mn-ea"/>
            <a:cs typeface="+mn-cs"/>
          </a:endParaRPr>
        </a:p>
      </dsp:txBody>
      <dsp:txXfrm>
        <a:off x="3502228" y="961941"/>
        <a:ext cx="35025" cy="35025"/>
      </dsp:txXfrm>
    </dsp:sp>
    <dsp:sp modelId="{3EA08C86-6A87-4381-A9A9-F10D993E2D53}">
      <dsp:nvSpPr>
        <dsp:cNvPr id="0" name=""/>
        <dsp:cNvSpPr/>
      </dsp:nvSpPr>
      <dsp:spPr>
        <a:xfrm>
          <a:off x="3555357" y="252860"/>
          <a:ext cx="1136637" cy="569679"/>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5</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Système du  PCT</a:t>
          </a:r>
        </a:p>
      </dsp:txBody>
      <dsp:txXfrm>
        <a:off x="3721814" y="336288"/>
        <a:ext cx="803723" cy="402823"/>
      </dsp:txXfrm>
    </dsp:sp>
    <dsp:sp modelId="{72463A3F-A956-4917-8722-9FD79FB3E09A}">
      <dsp:nvSpPr>
        <dsp:cNvPr id="0" name=""/>
        <dsp:cNvSpPr/>
      </dsp:nvSpPr>
      <dsp:spPr>
        <a:xfrm rot="20996807">
          <a:off x="3622134" y="1180238"/>
          <a:ext cx="743481" cy="15609"/>
        </a:xfrm>
        <a:custGeom>
          <a:avLst/>
          <a:gdLst/>
          <a:ahLst/>
          <a:cxnLst/>
          <a:rect l="0" t="0" r="0" b="0"/>
          <a:pathLst>
            <a:path>
              <a:moveTo>
                <a:pt x="0" y="7514"/>
              </a:moveTo>
              <a:lnTo>
                <a:pt x="741432" y="751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solidFill>
              <a:sysClr val="windowText" lastClr="000000">
                <a:hueOff val="0"/>
                <a:satOff val="0"/>
                <a:lumOff val="0"/>
                <a:alphaOff val="0"/>
              </a:sysClr>
            </a:solidFill>
            <a:latin typeface="Calibri"/>
            <a:ea typeface="+mn-ea"/>
            <a:cs typeface="+mn-cs"/>
          </a:endParaRPr>
        </a:p>
      </dsp:txBody>
      <dsp:txXfrm>
        <a:off x="3975288" y="1169455"/>
        <a:ext cx="37174" cy="37174"/>
      </dsp:txXfrm>
    </dsp:sp>
    <dsp:sp modelId="{A030EF9D-9337-4706-B87A-64BDE162520A}">
      <dsp:nvSpPr>
        <dsp:cNvPr id="0" name=""/>
        <dsp:cNvSpPr/>
      </dsp:nvSpPr>
      <dsp:spPr>
        <a:xfrm>
          <a:off x="4325968" y="677966"/>
          <a:ext cx="1286824" cy="674268"/>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6</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Système de Madrid</a:t>
          </a:r>
        </a:p>
      </dsp:txBody>
      <dsp:txXfrm>
        <a:off x="4514419" y="776710"/>
        <a:ext cx="909922" cy="476780"/>
      </dsp:txXfrm>
    </dsp:sp>
    <dsp:sp modelId="{00112A8F-12E8-45AC-B551-DFB66BE45059}">
      <dsp:nvSpPr>
        <dsp:cNvPr id="0" name=""/>
        <dsp:cNvSpPr/>
      </dsp:nvSpPr>
      <dsp:spPr>
        <a:xfrm rot="590895">
          <a:off x="3625188" y="1554859"/>
          <a:ext cx="1001949" cy="15609"/>
        </a:xfrm>
        <a:custGeom>
          <a:avLst/>
          <a:gdLst/>
          <a:ahLst/>
          <a:cxnLst/>
          <a:rect l="0" t="0" r="0" b="0"/>
          <a:pathLst>
            <a:path>
              <a:moveTo>
                <a:pt x="0" y="7514"/>
              </a:moveTo>
              <a:lnTo>
                <a:pt x="1073498" y="751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solidFill>
              <a:sysClr val="windowText" lastClr="000000">
                <a:hueOff val="0"/>
                <a:satOff val="0"/>
                <a:lumOff val="0"/>
                <a:alphaOff val="0"/>
              </a:sysClr>
            </a:solidFill>
            <a:latin typeface="Calibri"/>
            <a:ea typeface="+mn-ea"/>
            <a:cs typeface="+mn-cs"/>
          </a:endParaRPr>
        </a:p>
      </dsp:txBody>
      <dsp:txXfrm>
        <a:off x="4101114" y="1537615"/>
        <a:ext cx="50097" cy="50097"/>
      </dsp:txXfrm>
    </dsp:sp>
    <dsp:sp modelId="{423B6D89-2000-40C7-8429-BD38C7402395}">
      <dsp:nvSpPr>
        <dsp:cNvPr id="0" name=""/>
        <dsp:cNvSpPr/>
      </dsp:nvSpPr>
      <dsp:spPr>
        <a:xfrm>
          <a:off x="4591208" y="1394878"/>
          <a:ext cx="1280571" cy="719336"/>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8</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Coordination du Plan d'action pour le développement</a:t>
          </a:r>
        </a:p>
      </dsp:txBody>
      <dsp:txXfrm>
        <a:off x="4778743" y="1500222"/>
        <a:ext cx="905501" cy="508648"/>
      </dsp:txXfrm>
    </dsp:sp>
    <dsp:sp modelId="{650854B0-9FE7-4FFD-96B2-18F6452E0859}">
      <dsp:nvSpPr>
        <dsp:cNvPr id="0" name=""/>
        <dsp:cNvSpPr/>
      </dsp:nvSpPr>
      <dsp:spPr>
        <a:xfrm rot="1869262">
          <a:off x="3223428" y="1744308"/>
          <a:ext cx="814800" cy="15609"/>
        </a:xfrm>
        <a:custGeom>
          <a:avLst/>
          <a:gdLst/>
          <a:ahLst/>
          <a:cxnLst/>
          <a:rect l="0" t="0" r="0" b="0"/>
          <a:pathLst>
            <a:path>
              <a:moveTo>
                <a:pt x="0" y="7514"/>
              </a:moveTo>
              <a:lnTo>
                <a:pt x="823554" y="751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solidFill>
              <a:sysClr val="windowText" lastClr="000000">
                <a:hueOff val="0"/>
                <a:satOff val="0"/>
                <a:lumOff val="0"/>
                <a:alphaOff val="0"/>
              </a:sysClr>
            </a:solidFill>
            <a:latin typeface="Calibri"/>
            <a:ea typeface="+mn-ea"/>
            <a:cs typeface="+mn-cs"/>
          </a:endParaRPr>
        </a:p>
      </dsp:txBody>
      <dsp:txXfrm>
        <a:off x="3610458" y="1731742"/>
        <a:ext cx="40740" cy="40740"/>
      </dsp:txXfrm>
    </dsp:sp>
    <dsp:sp modelId="{6394B413-6D12-4C4F-9A8D-E0508CAE8617}">
      <dsp:nvSpPr>
        <dsp:cNvPr id="0" name=""/>
        <dsp:cNvSpPr/>
      </dsp:nvSpPr>
      <dsp:spPr>
        <a:xfrm>
          <a:off x="3775117" y="1903780"/>
          <a:ext cx="1096799" cy="534172"/>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9</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Bureaux régionaux </a:t>
          </a:r>
          <a:endParaRPr lang="en-US" sz="7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3935739" y="1982008"/>
        <a:ext cx="775555" cy="377716"/>
      </dsp:txXfrm>
    </dsp:sp>
    <dsp:sp modelId="{DEF09AAB-E09E-4486-8914-E37D47E60824}">
      <dsp:nvSpPr>
        <dsp:cNvPr id="0" name=""/>
        <dsp:cNvSpPr/>
      </dsp:nvSpPr>
      <dsp:spPr>
        <a:xfrm rot="4263936">
          <a:off x="2816804" y="1881234"/>
          <a:ext cx="708774" cy="15609"/>
        </a:xfrm>
        <a:custGeom>
          <a:avLst/>
          <a:gdLst/>
          <a:ahLst/>
          <a:cxnLst/>
          <a:rect l="0" t="0" r="0" b="0"/>
          <a:pathLst>
            <a:path>
              <a:moveTo>
                <a:pt x="0" y="7514"/>
              </a:moveTo>
              <a:lnTo>
                <a:pt x="910711" y="751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solidFill>
              <a:sysClr val="windowText" lastClr="000000">
                <a:hueOff val="0"/>
                <a:satOff val="0"/>
                <a:lumOff val="0"/>
                <a:alphaOff val="0"/>
              </a:sysClr>
            </a:solidFill>
            <a:latin typeface="Calibri"/>
            <a:ea typeface="+mn-ea"/>
            <a:cs typeface="+mn-cs"/>
          </a:endParaRPr>
        </a:p>
      </dsp:txBody>
      <dsp:txXfrm>
        <a:off x="3153472" y="1871320"/>
        <a:ext cx="35438" cy="35438"/>
      </dsp:txXfrm>
    </dsp:sp>
    <dsp:sp modelId="{2ED32773-10C9-4671-A0BF-4C0DAB40AE25}">
      <dsp:nvSpPr>
        <dsp:cNvPr id="0" name=""/>
        <dsp:cNvSpPr/>
      </dsp:nvSpPr>
      <dsp:spPr>
        <a:xfrm>
          <a:off x="2811334" y="2215626"/>
          <a:ext cx="1204795" cy="760862"/>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10</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Pays en transition et pays développés</a:t>
          </a:r>
        </a:p>
      </dsp:txBody>
      <dsp:txXfrm>
        <a:off x="2987772" y="2327052"/>
        <a:ext cx="851919" cy="538010"/>
      </dsp:txXfrm>
    </dsp:sp>
    <dsp:sp modelId="{EAF47FDD-7D57-4FF6-9F6B-6E604D2CC0DE}">
      <dsp:nvSpPr>
        <dsp:cNvPr id="0" name=""/>
        <dsp:cNvSpPr/>
      </dsp:nvSpPr>
      <dsp:spPr>
        <a:xfrm rot="7853356">
          <a:off x="2281598" y="1794061"/>
          <a:ext cx="664819" cy="15609"/>
        </a:xfrm>
        <a:custGeom>
          <a:avLst/>
          <a:gdLst/>
          <a:ahLst/>
          <a:cxnLst/>
          <a:rect l="0" t="0" r="0" b="0"/>
          <a:pathLst>
            <a:path>
              <a:moveTo>
                <a:pt x="0" y="7514"/>
              </a:moveTo>
              <a:lnTo>
                <a:pt x="615710" y="751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solidFill>
              <a:sysClr val="windowText" lastClr="000000">
                <a:hueOff val="0"/>
                <a:satOff val="0"/>
                <a:lumOff val="0"/>
                <a:alphaOff val="0"/>
              </a:sysClr>
            </a:solidFill>
            <a:latin typeface="Calibri"/>
            <a:ea typeface="+mn-ea"/>
            <a:cs typeface="+mn-cs"/>
          </a:endParaRPr>
        </a:p>
      </dsp:txBody>
      <dsp:txXfrm rot="10800000">
        <a:off x="2597387" y="1785245"/>
        <a:ext cx="33240" cy="33240"/>
      </dsp:txXfrm>
    </dsp:sp>
    <dsp:sp modelId="{F74F2681-A109-4B75-8C08-B2B26769CF03}">
      <dsp:nvSpPr>
        <dsp:cNvPr id="0" name=""/>
        <dsp:cNvSpPr/>
      </dsp:nvSpPr>
      <dsp:spPr>
        <a:xfrm>
          <a:off x="1492119" y="2032431"/>
          <a:ext cx="1324771" cy="600200"/>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11</a:t>
          </a:r>
        </a:p>
        <a:p>
          <a:pPr lvl="0" algn="ctr" defTabSz="400050">
            <a:lnSpc>
              <a:spcPct val="90000"/>
            </a:lnSpc>
            <a:spcBef>
              <a:spcPct val="0"/>
            </a:spcBef>
            <a:spcAft>
              <a:spcPct val="35000"/>
            </a:spcAft>
          </a:pPr>
          <a:r>
            <a:rPr lang="en-US" sz="7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Académie de l'OMPI</a:t>
          </a:r>
        </a:p>
      </dsp:txBody>
      <dsp:txXfrm>
        <a:off x="1686127" y="2120328"/>
        <a:ext cx="936755" cy="424406"/>
      </dsp:txXfrm>
    </dsp:sp>
    <dsp:sp modelId="{AC7E3352-64BC-4978-9AB6-2DD833483239}">
      <dsp:nvSpPr>
        <dsp:cNvPr id="0" name=""/>
        <dsp:cNvSpPr/>
      </dsp:nvSpPr>
      <dsp:spPr>
        <a:xfrm rot="9731786">
          <a:off x="1629589" y="1648943"/>
          <a:ext cx="911644" cy="15609"/>
        </a:xfrm>
        <a:custGeom>
          <a:avLst/>
          <a:gdLst/>
          <a:ahLst/>
          <a:cxnLst/>
          <a:rect l="0" t="0" r="0" b="0"/>
          <a:pathLst>
            <a:path>
              <a:moveTo>
                <a:pt x="0" y="7514"/>
              </a:moveTo>
              <a:lnTo>
                <a:pt x="951698" y="751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solidFill>
              <a:sysClr val="windowText" lastClr="000000">
                <a:hueOff val="0"/>
                <a:satOff val="0"/>
                <a:lumOff val="0"/>
                <a:alphaOff val="0"/>
              </a:sysClr>
            </a:solidFill>
            <a:latin typeface="Calibri"/>
            <a:ea typeface="+mn-ea"/>
            <a:cs typeface="+mn-cs"/>
          </a:endParaRPr>
        </a:p>
      </dsp:txBody>
      <dsp:txXfrm rot="10800000">
        <a:off x="2062620" y="1633957"/>
        <a:ext cx="45582" cy="45582"/>
      </dsp:txXfrm>
    </dsp:sp>
    <dsp:sp modelId="{05C48364-E63B-4056-87CF-0BE50D74190B}">
      <dsp:nvSpPr>
        <dsp:cNvPr id="0" name=""/>
        <dsp:cNvSpPr/>
      </dsp:nvSpPr>
      <dsp:spPr>
        <a:xfrm>
          <a:off x="574380" y="1705054"/>
          <a:ext cx="1209624" cy="485422"/>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19 </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Communications</a:t>
          </a:r>
          <a:endParaRPr lang="en-US" sz="7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751525" y="1776142"/>
        <a:ext cx="855334" cy="343246"/>
      </dsp:txXfrm>
    </dsp:sp>
    <dsp:sp modelId="{06FD983D-3F71-4BCE-AD7F-6DD1041A2F23}">
      <dsp:nvSpPr>
        <dsp:cNvPr id="0" name=""/>
        <dsp:cNvSpPr/>
      </dsp:nvSpPr>
      <dsp:spPr>
        <a:xfrm rot="10717484">
          <a:off x="1253116" y="1388257"/>
          <a:ext cx="949273" cy="15609"/>
        </a:xfrm>
        <a:custGeom>
          <a:avLst/>
          <a:gdLst/>
          <a:ahLst/>
          <a:cxnLst/>
          <a:rect l="0" t="0" r="0" b="0"/>
          <a:pathLst>
            <a:path>
              <a:moveTo>
                <a:pt x="0" y="7514"/>
              </a:moveTo>
              <a:lnTo>
                <a:pt x="1110861" y="751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solidFill>
              <a:sysClr val="windowText" lastClr="000000">
                <a:hueOff val="0"/>
                <a:satOff val="0"/>
                <a:lumOff val="0"/>
                <a:alphaOff val="0"/>
              </a:sysClr>
            </a:solidFill>
            <a:latin typeface="Calibri"/>
            <a:ea typeface="+mn-ea"/>
            <a:cs typeface="+mn-cs"/>
          </a:endParaRPr>
        </a:p>
      </dsp:txBody>
      <dsp:txXfrm rot="10800000">
        <a:off x="1704021" y="1372330"/>
        <a:ext cx="47463" cy="47463"/>
      </dsp:txXfrm>
    </dsp:sp>
    <dsp:sp modelId="{CFBB929F-8BEB-442D-8D00-28EE1C02C39C}">
      <dsp:nvSpPr>
        <dsp:cNvPr id="0" name=""/>
        <dsp:cNvSpPr/>
      </dsp:nvSpPr>
      <dsp:spPr>
        <a:xfrm>
          <a:off x="0" y="1124870"/>
          <a:ext cx="1254053" cy="595235"/>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21</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Direction générale</a:t>
          </a:r>
        </a:p>
      </dsp:txBody>
      <dsp:txXfrm>
        <a:off x="183652" y="1212040"/>
        <a:ext cx="886749" cy="420895"/>
      </dsp:txXfrm>
    </dsp:sp>
    <dsp:sp modelId="{C494819C-C98E-47AA-9AF0-D23BA2FEB24F}">
      <dsp:nvSpPr>
        <dsp:cNvPr id="0" name=""/>
        <dsp:cNvSpPr/>
      </dsp:nvSpPr>
      <dsp:spPr>
        <a:xfrm rot="11750736">
          <a:off x="1263955" y="1043747"/>
          <a:ext cx="1241663" cy="15609"/>
        </a:xfrm>
        <a:custGeom>
          <a:avLst/>
          <a:gdLst/>
          <a:ahLst/>
          <a:cxnLst/>
          <a:rect l="0" t="0" r="0" b="0"/>
          <a:pathLst>
            <a:path>
              <a:moveTo>
                <a:pt x="0" y="7514"/>
              </a:moveTo>
              <a:lnTo>
                <a:pt x="940004" y="751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solidFill>
              <a:sysClr val="windowText" lastClr="000000">
                <a:hueOff val="0"/>
                <a:satOff val="0"/>
                <a:lumOff val="0"/>
                <a:alphaOff val="0"/>
              </a:sysClr>
            </a:solidFill>
            <a:latin typeface="Calibri"/>
            <a:ea typeface="+mn-ea"/>
            <a:cs typeface="+mn-cs"/>
          </a:endParaRPr>
        </a:p>
      </dsp:txBody>
      <dsp:txXfrm rot="10800000">
        <a:off x="1853746" y="1020510"/>
        <a:ext cx="62083" cy="62083"/>
      </dsp:txXfrm>
    </dsp:sp>
    <dsp:sp modelId="{77FEFA40-E907-476F-8675-3DC698720930}">
      <dsp:nvSpPr>
        <dsp:cNvPr id="0" name=""/>
        <dsp:cNvSpPr/>
      </dsp:nvSpPr>
      <dsp:spPr>
        <a:xfrm>
          <a:off x="49697" y="340628"/>
          <a:ext cx="1305250" cy="750605"/>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endPar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22</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Gestion du programme et des ressources </a:t>
          </a:r>
        </a:p>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dsp:txBody>
      <dsp:txXfrm>
        <a:off x="240846" y="450552"/>
        <a:ext cx="922952" cy="530757"/>
      </dsp:txXfrm>
    </dsp:sp>
    <dsp:sp modelId="{EF98737B-1136-4CD3-A0AC-E4FF8E58DD83}">
      <dsp:nvSpPr>
        <dsp:cNvPr id="0" name=""/>
        <dsp:cNvSpPr/>
      </dsp:nvSpPr>
      <dsp:spPr>
        <a:xfrm rot="13192283">
          <a:off x="1972113" y="885424"/>
          <a:ext cx="907777" cy="15609"/>
        </a:xfrm>
        <a:custGeom>
          <a:avLst/>
          <a:gdLst/>
          <a:ahLst/>
          <a:cxnLst/>
          <a:rect l="0" t="0" r="0" b="0"/>
          <a:pathLst>
            <a:path>
              <a:moveTo>
                <a:pt x="0" y="7514"/>
              </a:moveTo>
              <a:lnTo>
                <a:pt x="717268" y="751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solidFill>
              <a:sysClr val="windowText" lastClr="000000">
                <a:hueOff val="0"/>
                <a:satOff val="0"/>
                <a:lumOff val="0"/>
                <a:alphaOff val="0"/>
              </a:sysClr>
            </a:solidFill>
            <a:latin typeface="Calibri"/>
            <a:ea typeface="+mn-ea"/>
            <a:cs typeface="+mn-cs"/>
          </a:endParaRPr>
        </a:p>
      </dsp:txBody>
      <dsp:txXfrm rot="10800000">
        <a:off x="2403308" y="870534"/>
        <a:ext cx="45388" cy="45388"/>
      </dsp:txXfrm>
    </dsp:sp>
    <dsp:sp modelId="{C8187693-0532-46C7-A6F3-C4A32348C87B}">
      <dsp:nvSpPr>
        <dsp:cNvPr id="0" name=""/>
        <dsp:cNvSpPr/>
      </dsp:nvSpPr>
      <dsp:spPr>
        <a:xfrm>
          <a:off x="1184205" y="75802"/>
          <a:ext cx="1199700" cy="562439"/>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31</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Système de La Haye</a:t>
          </a:r>
        </a:p>
      </dsp:txBody>
      <dsp:txXfrm>
        <a:off x="1359897" y="158169"/>
        <a:ext cx="848316" cy="397705"/>
      </dsp:txXfrm>
    </dsp:sp>
  </dsp:spTree>
</dsp:drawing>
</file>

<file path=word/diagrams/drawing1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2AF917-2F47-4639-8A23-58AD52EC0F32}">
      <dsp:nvSpPr>
        <dsp:cNvPr id="0" name=""/>
        <dsp:cNvSpPr/>
      </dsp:nvSpPr>
      <dsp:spPr>
        <a:xfrm>
          <a:off x="2031949" y="1048686"/>
          <a:ext cx="1785736" cy="603615"/>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17</a:t>
          </a:r>
        </a:p>
      </dsp:txBody>
      <dsp:txXfrm>
        <a:off x="2293464" y="1137083"/>
        <a:ext cx="1262706" cy="426821"/>
      </dsp:txXfrm>
    </dsp:sp>
    <dsp:sp modelId="{DB73B42A-BE4F-46BC-B512-015EB15734E7}">
      <dsp:nvSpPr>
        <dsp:cNvPr id="0" name=""/>
        <dsp:cNvSpPr/>
      </dsp:nvSpPr>
      <dsp:spPr>
        <a:xfrm rot="16118859">
          <a:off x="2782695" y="907713"/>
          <a:ext cx="263768" cy="18269"/>
        </a:xfrm>
        <a:custGeom>
          <a:avLst/>
          <a:gdLst/>
          <a:ahLst/>
          <a:cxnLst/>
          <a:rect l="0" t="0" r="0" b="0"/>
          <a:pathLst>
            <a:path>
              <a:moveTo>
                <a:pt x="0" y="6126"/>
              </a:moveTo>
              <a:lnTo>
                <a:pt x="257054" y="6126"/>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907985" y="910254"/>
        <a:ext cx="13188" cy="13188"/>
      </dsp:txXfrm>
    </dsp:sp>
    <dsp:sp modelId="{8C16842D-5717-4E53-9353-18DF877708CF}">
      <dsp:nvSpPr>
        <dsp:cNvPr id="0" name=""/>
        <dsp:cNvSpPr/>
      </dsp:nvSpPr>
      <dsp:spPr>
        <a:xfrm>
          <a:off x="2124879" y="86299"/>
          <a:ext cx="1556682" cy="698721"/>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2</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Marques, dessins et modèles industriels et indications géographiques</a:t>
          </a:r>
        </a:p>
      </dsp:txBody>
      <dsp:txXfrm>
        <a:off x="2352850" y="188624"/>
        <a:ext cx="1100740" cy="494071"/>
      </dsp:txXfrm>
    </dsp:sp>
    <dsp:sp modelId="{F32845D8-3F89-45CE-82D0-5F6D6B81E25D}">
      <dsp:nvSpPr>
        <dsp:cNvPr id="0" name=""/>
        <dsp:cNvSpPr/>
      </dsp:nvSpPr>
      <dsp:spPr>
        <a:xfrm rot="19876962">
          <a:off x="3344007" y="890624"/>
          <a:ext cx="807009" cy="18269"/>
        </a:xfrm>
        <a:custGeom>
          <a:avLst/>
          <a:gdLst/>
          <a:ahLst/>
          <a:cxnLst/>
          <a:rect l="0" t="0" r="0" b="0"/>
          <a:pathLst>
            <a:path>
              <a:moveTo>
                <a:pt x="0" y="9134"/>
              </a:moveTo>
              <a:lnTo>
                <a:pt x="807009" y="9134"/>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727336" y="879583"/>
        <a:ext cx="40350" cy="40350"/>
      </dsp:txXfrm>
    </dsp:sp>
    <dsp:sp modelId="{56946440-4960-4194-9471-9ABCF62950BA}">
      <dsp:nvSpPr>
        <dsp:cNvPr id="0" name=""/>
        <dsp:cNvSpPr/>
      </dsp:nvSpPr>
      <dsp:spPr>
        <a:xfrm>
          <a:off x="3750176" y="84330"/>
          <a:ext cx="1715698" cy="687946"/>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3 </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Droit d’auteur et droits connexes</a:t>
          </a:r>
        </a:p>
      </dsp:txBody>
      <dsp:txXfrm>
        <a:off x="4001434" y="185077"/>
        <a:ext cx="1213182" cy="486452"/>
      </dsp:txXfrm>
    </dsp:sp>
    <dsp:sp modelId="{5337AE63-3722-42CC-AF72-36670EB7C5E1}">
      <dsp:nvSpPr>
        <dsp:cNvPr id="0" name=""/>
        <dsp:cNvSpPr/>
      </dsp:nvSpPr>
      <dsp:spPr>
        <a:xfrm rot="21352529">
          <a:off x="3797506" y="1263684"/>
          <a:ext cx="408938" cy="18269"/>
        </a:xfrm>
        <a:custGeom>
          <a:avLst/>
          <a:gdLst/>
          <a:ahLst/>
          <a:cxnLst/>
          <a:rect l="0" t="0" r="0" b="0"/>
          <a:pathLst>
            <a:path>
              <a:moveTo>
                <a:pt x="0" y="6126"/>
              </a:moveTo>
              <a:lnTo>
                <a:pt x="1068037" y="6126"/>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991751" y="1262595"/>
        <a:ext cx="20446" cy="20446"/>
      </dsp:txXfrm>
    </dsp:sp>
    <dsp:sp modelId="{CED9197C-8322-406B-917C-172FA36E7B76}">
      <dsp:nvSpPr>
        <dsp:cNvPr id="0" name=""/>
        <dsp:cNvSpPr/>
      </dsp:nvSpPr>
      <dsp:spPr>
        <a:xfrm>
          <a:off x="4198093" y="784416"/>
          <a:ext cx="1616699" cy="831939"/>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9</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Bureaux régionaux</a:t>
          </a:r>
        </a:p>
      </dsp:txBody>
      <dsp:txXfrm>
        <a:off x="4434853" y="906251"/>
        <a:ext cx="1143179" cy="588269"/>
      </dsp:txXfrm>
    </dsp:sp>
    <dsp:sp modelId="{4AC11394-3179-4EC5-A97F-D1A1B521CE2F}">
      <dsp:nvSpPr>
        <dsp:cNvPr id="0" name=""/>
        <dsp:cNvSpPr/>
      </dsp:nvSpPr>
      <dsp:spPr>
        <a:xfrm rot="1415722">
          <a:off x="3445394" y="1703896"/>
          <a:ext cx="618838" cy="18269"/>
        </a:xfrm>
        <a:custGeom>
          <a:avLst/>
          <a:gdLst/>
          <a:ahLst/>
          <a:cxnLst/>
          <a:rect l="0" t="0" r="0" b="0"/>
          <a:pathLst>
            <a:path>
              <a:moveTo>
                <a:pt x="0" y="9134"/>
              </a:moveTo>
              <a:lnTo>
                <a:pt x="618838" y="9134"/>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739343" y="1697559"/>
        <a:ext cx="30941" cy="30941"/>
      </dsp:txXfrm>
    </dsp:sp>
    <dsp:sp modelId="{035B4C9A-0916-4FCC-A1CF-85DB358A289A}">
      <dsp:nvSpPr>
        <dsp:cNvPr id="0" name=""/>
        <dsp:cNvSpPr/>
      </dsp:nvSpPr>
      <dsp:spPr>
        <a:xfrm>
          <a:off x="3889893" y="1684162"/>
          <a:ext cx="1409309" cy="791315"/>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10</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Pays en transition et pays développés</a:t>
          </a:r>
        </a:p>
      </dsp:txBody>
      <dsp:txXfrm>
        <a:off x="4096282" y="1800047"/>
        <a:ext cx="996531" cy="559545"/>
      </dsp:txXfrm>
    </dsp:sp>
    <dsp:sp modelId="{64248C57-3CE0-4657-BC67-6279BA0257B1}">
      <dsp:nvSpPr>
        <dsp:cNvPr id="0" name=""/>
        <dsp:cNvSpPr/>
      </dsp:nvSpPr>
      <dsp:spPr>
        <a:xfrm rot="5388050">
          <a:off x="2822279" y="1747114"/>
          <a:ext cx="207896" cy="18269"/>
        </a:xfrm>
        <a:custGeom>
          <a:avLst/>
          <a:gdLst/>
          <a:ahLst/>
          <a:cxnLst/>
          <a:rect l="0" t="0" r="0" b="0"/>
          <a:pathLst>
            <a:path>
              <a:moveTo>
                <a:pt x="0" y="9134"/>
              </a:moveTo>
              <a:lnTo>
                <a:pt x="207896" y="9134"/>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921030" y="1751051"/>
        <a:ext cx="10394" cy="10394"/>
      </dsp:txXfrm>
    </dsp:sp>
    <dsp:sp modelId="{976BA53C-17D4-4F7C-9078-1272C469C9E5}">
      <dsp:nvSpPr>
        <dsp:cNvPr id="0" name=""/>
        <dsp:cNvSpPr/>
      </dsp:nvSpPr>
      <dsp:spPr>
        <a:xfrm>
          <a:off x="2097159" y="1860196"/>
          <a:ext cx="1661240" cy="685260"/>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11</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Académie de l’OMPI</a:t>
          </a:r>
        </a:p>
      </dsp:txBody>
      <dsp:txXfrm>
        <a:off x="2340442" y="1960550"/>
        <a:ext cx="1174674" cy="484552"/>
      </dsp:txXfrm>
    </dsp:sp>
    <dsp:sp modelId="{73944B9B-8143-474E-A2B5-719E57EA1FE0}">
      <dsp:nvSpPr>
        <dsp:cNvPr id="0" name=""/>
        <dsp:cNvSpPr/>
      </dsp:nvSpPr>
      <dsp:spPr>
        <a:xfrm rot="9378359">
          <a:off x="1817327" y="1698486"/>
          <a:ext cx="587402" cy="18269"/>
        </a:xfrm>
        <a:custGeom>
          <a:avLst/>
          <a:gdLst/>
          <a:ahLst/>
          <a:cxnLst/>
          <a:rect l="0" t="0" r="0" b="0"/>
          <a:pathLst>
            <a:path>
              <a:moveTo>
                <a:pt x="0" y="9134"/>
              </a:moveTo>
              <a:lnTo>
                <a:pt x="587402" y="9134"/>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096344" y="1692935"/>
        <a:ext cx="29370" cy="29370"/>
      </dsp:txXfrm>
    </dsp:sp>
    <dsp:sp modelId="{2BDBEDDB-6DE8-44DC-8FC2-1ED793273BD1}">
      <dsp:nvSpPr>
        <dsp:cNvPr id="0" name=""/>
        <dsp:cNvSpPr/>
      </dsp:nvSpPr>
      <dsp:spPr>
        <a:xfrm>
          <a:off x="541077" y="1671432"/>
          <a:ext cx="1457719" cy="810595"/>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16</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Économie et statistiques  </a:t>
          </a:r>
        </a:p>
      </dsp:txBody>
      <dsp:txXfrm>
        <a:off x="754555" y="1790141"/>
        <a:ext cx="1030763" cy="573177"/>
      </dsp:txXfrm>
    </dsp:sp>
    <dsp:sp modelId="{ADF94B70-0D7F-4A27-8DF9-17BCD27F4A7A}">
      <dsp:nvSpPr>
        <dsp:cNvPr id="0" name=""/>
        <dsp:cNvSpPr/>
      </dsp:nvSpPr>
      <dsp:spPr>
        <a:xfrm rot="10955546">
          <a:off x="1502750" y="1289137"/>
          <a:ext cx="537377" cy="18269"/>
        </a:xfrm>
        <a:custGeom>
          <a:avLst/>
          <a:gdLst/>
          <a:ahLst/>
          <a:cxnLst/>
          <a:rect l="0" t="0" r="0" b="0"/>
          <a:pathLst>
            <a:path>
              <a:moveTo>
                <a:pt x="0" y="6126"/>
              </a:moveTo>
              <a:lnTo>
                <a:pt x="1090567" y="6126"/>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1758004" y="1284837"/>
        <a:ext cx="26868" cy="26868"/>
      </dsp:txXfrm>
    </dsp:sp>
    <dsp:sp modelId="{0FAF3FA1-8E6C-455E-B189-A468B3F4D8BC}">
      <dsp:nvSpPr>
        <dsp:cNvPr id="0" name=""/>
        <dsp:cNvSpPr/>
      </dsp:nvSpPr>
      <dsp:spPr>
        <a:xfrm>
          <a:off x="83589" y="839533"/>
          <a:ext cx="1421568" cy="828999"/>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19</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Communications</a:t>
          </a:r>
        </a:p>
      </dsp:txBody>
      <dsp:txXfrm>
        <a:off x="291773" y="960937"/>
        <a:ext cx="1005200" cy="586191"/>
      </dsp:txXfrm>
    </dsp:sp>
    <dsp:sp modelId="{7DF391B8-9498-4F55-ACE3-A6D0DB9A80F6}">
      <dsp:nvSpPr>
        <dsp:cNvPr id="0" name=""/>
        <dsp:cNvSpPr/>
      </dsp:nvSpPr>
      <dsp:spPr>
        <a:xfrm rot="12452992">
          <a:off x="1699937" y="906814"/>
          <a:ext cx="783792" cy="18269"/>
        </a:xfrm>
        <a:custGeom>
          <a:avLst/>
          <a:gdLst/>
          <a:ahLst/>
          <a:cxnLst/>
          <a:rect l="0" t="0" r="0" b="0"/>
          <a:pathLst>
            <a:path>
              <a:moveTo>
                <a:pt x="0" y="9134"/>
              </a:moveTo>
              <a:lnTo>
                <a:pt x="783792" y="9134"/>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072239" y="896353"/>
        <a:ext cx="39189" cy="39189"/>
      </dsp:txXfrm>
    </dsp:sp>
    <dsp:sp modelId="{E3F75BBA-60EC-4D9A-B0CC-E18ADA53928C}">
      <dsp:nvSpPr>
        <dsp:cNvPr id="0" name=""/>
        <dsp:cNvSpPr/>
      </dsp:nvSpPr>
      <dsp:spPr>
        <a:xfrm>
          <a:off x="407764" y="114121"/>
          <a:ext cx="1635816" cy="699946"/>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20 </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Relations extérieures</a:t>
          </a:r>
        </a:p>
      </dsp:txBody>
      <dsp:txXfrm>
        <a:off x="647324" y="216626"/>
        <a:ext cx="1156696" cy="49493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2AF917-2F47-4639-8A23-58AD52EC0F32}">
      <dsp:nvSpPr>
        <dsp:cNvPr id="0" name=""/>
        <dsp:cNvSpPr/>
      </dsp:nvSpPr>
      <dsp:spPr>
        <a:xfrm>
          <a:off x="2193170" y="541557"/>
          <a:ext cx="1366758" cy="409019"/>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2</a:t>
          </a:r>
        </a:p>
      </dsp:txBody>
      <dsp:txXfrm>
        <a:off x="2393327" y="601456"/>
        <a:ext cx="966444" cy="289221"/>
      </dsp:txXfrm>
    </dsp:sp>
    <dsp:sp modelId="{4AC11394-3179-4EC5-A97F-D1A1B521CE2F}">
      <dsp:nvSpPr>
        <dsp:cNvPr id="0" name=""/>
        <dsp:cNvSpPr/>
      </dsp:nvSpPr>
      <dsp:spPr>
        <a:xfrm rot="1134">
          <a:off x="3559928" y="740012"/>
          <a:ext cx="722501" cy="12797"/>
        </a:xfrm>
        <a:custGeom>
          <a:avLst/>
          <a:gdLst/>
          <a:ahLst/>
          <a:cxnLst/>
          <a:rect l="0" t="0" r="0" b="0"/>
          <a:pathLst>
            <a:path>
              <a:moveTo>
                <a:pt x="0" y="6398"/>
              </a:moveTo>
              <a:lnTo>
                <a:pt x="769072" y="6398"/>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903116" y="728348"/>
        <a:ext cx="36125" cy="36125"/>
      </dsp:txXfrm>
    </dsp:sp>
    <dsp:sp modelId="{035B4C9A-0916-4FCC-A1CF-85DB358A289A}">
      <dsp:nvSpPr>
        <dsp:cNvPr id="0" name=""/>
        <dsp:cNvSpPr/>
      </dsp:nvSpPr>
      <dsp:spPr>
        <a:xfrm>
          <a:off x="4282429" y="453690"/>
          <a:ext cx="1272013" cy="586100"/>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9</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Bureaux régionaux</a:t>
          </a:r>
        </a:p>
      </dsp:txBody>
      <dsp:txXfrm>
        <a:off x="4468711" y="539522"/>
        <a:ext cx="899449" cy="414436"/>
      </dsp:txXfrm>
    </dsp:sp>
    <dsp:sp modelId="{ADF94B70-0D7F-4A27-8DF9-17BCD27F4A7A}">
      <dsp:nvSpPr>
        <dsp:cNvPr id="0" name=""/>
        <dsp:cNvSpPr/>
      </dsp:nvSpPr>
      <dsp:spPr>
        <a:xfrm rot="10801296">
          <a:off x="1781636" y="739332"/>
          <a:ext cx="411534" cy="12797"/>
        </a:xfrm>
        <a:custGeom>
          <a:avLst/>
          <a:gdLst/>
          <a:ahLst/>
          <a:cxnLst/>
          <a:rect l="0" t="0" r="0" b="0"/>
          <a:pathLst>
            <a:path>
              <a:moveTo>
                <a:pt x="0" y="6398"/>
              </a:moveTo>
              <a:lnTo>
                <a:pt x="605386" y="6398"/>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1977115" y="735443"/>
        <a:ext cx="20576" cy="20576"/>
      </dsp:txXfrm>
    </dsp:sp>
    <dsp:sp modelId="{0FAF3FA1-8E6C-455E-B189-A468B3F4D8BC}">
      <dsp:nvSpPr>
        <dsp:cNvPr id="0" name=""/>
        <dsp:cNvSpPr/>
      </dsp:nvSpPr>
      <dsp:spPr>
        <a:xfrm>
          <a:off x="413328" y="458579"/>
          <a:ext cx="1368308" cy="573633"/>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10  </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Pays en transition et pays développés </a:t>
          </a:r>
        </a:p>
      </dsp:txBody>
      <dsp:txXfrm>
        <a:off x="613712" y="542586"/>
        <a:ext cx="967540" cy="405619"/>
      </dsp:txXfrm>
    </dsp:sp>
  </dsp:spTree>
</dsp:drawing>
</file>

<file path=word/diagrams/drawing2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C7CADF7-0742-432E-9EEF-EA9C347A7661}">
      <dsp:nvSpPr>
        <dsp:cNvPr id="0" name=""/>
        <dsp:cNvSpPr/>
      </dsp:nvSpPr>
      <dsp:spPr>
        <a:xfrm>
          <a:off x="2247707" y="810141"/>
          <a:ext cx="1659694" cy="467296"/>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18</a:t>
          </a:r>
        </a:p>
      </dsp:txBody>
      <dsp:txXfrm>
        <a:off x="2490764" y="878575"/>
        <a:ext cx="1173580" cy="330428"/>
      </dsp:txXfrm>
    </dsp:sp>
    <dsp:sp modelId="{E887F142-3B93-49E1-A09D-1DCD207D21D1}">
      <dsp:nvSpPr>
        <dsp:cNvPr id="0" name=""/>
        <dsp:cNvSpPr/>
      </dsp:nvSpPr>
      <dsp:spPr>
        <a:xfrm rot="16726361">
          <a:off x="3009994" y="682362"/>
          <a:ext cx="244447" cy="14410"/>
        </a:xfrm>
        <a:custGeom>
          <a:avLst/>
          <a:gdLst/>
          <a:ahLst/>
          <a:cxnLst/>
          <a:rect l="0" t="0" r="0" b="0"/>
          <a:pathLst>
            <a:path>
              <a:moveTo>
                <a:pt x="0" y="6322"/>
              </a:moveTo>
              <a:lnTo>
                <a:pt x="283126" y="6322"/>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solidFill>
              <a:sysClr val="windowText" lastClr="000000">
                <a:hueOff val="0"/>
                <a:satOff val="0"/>
                <a:lumOff val="0"/>
                <a:alphaOff val="0"/>
              </a:sysClr>
            </a:solidFill>
            <a:latin typeface="Calibri"/>
            <a:ea typeface="+mn-ea"/>
            <a:cs typeface="+mn-cs"/>
          </a:endParaRPr>
        </a:p>
      </dsp:txBody>
      <dsp:txXfrm>
        <a:off x="3126107" y="683456"/>
        <a:ext cx="12222" cy="12222"/>
      </dsp:txXfrm>
    </dsp:sp>
    <dsp:sp modelId="{3EA08C86-6A87-4381-A9A9-F10D993E2D53}">
      <dsp:nvSpPr>
        <dsp:cNvPr id="0" name=""/>
        <dsp:cNvSpPr/>
      </dsp:nvSpPr>
      <dsp:spPr>
        <a:xfrm>
          <a:off x="2546567" y="5"/>
          <a:ext cx="1296255" cy="569420"/>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Droit des brevets</a:t>
          </a:r>
          <a:endParaRPr lang="en-US" sz="105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2736399" y="83395"/>
        <a:ext cx="916591" cy="402640"/>
      </dsp:txXfrm>
    </dsp:sp>
    <dsp:sp modelId="{00112A8F-12E8-45AC-B551-DFB66BE45059}">
      <dsp:nvSpPr>
        <dsp:cNvPr id="0" name=""/>
        <dsp:cNvSpPr/>
      </dsp:nvSpPr>
      <dsp:spPr>
        <a:xfrm rot="20223550">
          <a:off x="3512655" y="721207"/>
          <a:ext cx="620040" cy="14410"/>
        </a:xfrm>
        <a:custGeom>
          <a:avLst/>
          <a:gdLst/>
          <a:ahLst/>
          <a:cxnLst/>
          <a:rect l="0" t="0" r="0" b="0"/>
          <a:pathLst>
            <a:path>
              <a:moveTo>
                <a:pt x="0" y="6322"/>
              </a:moveTo>
              <a:lnTo>
                <a:pt x="717773" y="6322"/>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solidFill>
              <a:sysClr val="windowText" lastClr="000000">
                <a:hueOff val="0"/>
                <a:satOff val="0"/>
                <a:lumOff val="0"/>
                <a:alphaOff val="0"/>
              </a:sysClr>
            </a:solidFill>
            <a:latin typeface="Calibri"/>
            <a:ea typeface="+mn-ea"/>
            <a:cs typeface="+mn-cs"/>
          </a:endParaRPr>
        </a:p>
      </dsp:txBody>
      <dsp:txXfrm>
        <a:off x="3807174" y="712911"/>
        <a:ext cx="31002" cy="31002"/>
      </dsp:txXfrm>
    </dsp:sp>
    <dsp:sp modelId="{423B6D89-2000-40C7-8429-BD38C7402395}">
      <dsp:nvSpPr>
        <dsp:cNvPr id="0" name=""/>
        <dsp:cNvSpPr/>
      </dsp:nvSpPr>
      <dsp:spPr>
        <a:xfrm>
          <a:off x="3919516" y="118516"/>
          <a:ext cx="1327539" cy="575925"/>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9</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Bureaux régionaux</a:t>
          </a:r>
        </a:p>
      </dsp:txBody>
      <dsp:txXfrm>
        <a:off x="4113930" y="202858"/>
        <a:ext cx="938711" cy="407241"/>
      </dsp:txXfrm>
    </dsp:sp>
    <dsp:sp modelId="{650854B0-9FE7-4FFD-96B2-18F6452E0859}">
      <dsp:nvSpPr>
        <dsp:cNvPr id="0" name=""/>
        <dsp:cNvSpPr/>
      </dsp:nvSpPr>
      <dsp:spPr>
        <a:xfrm rot="1445">
          <a:off x="3907401" y="1037101"/>
          <a:ext cx="800260" cy="14410"/>
        </a:xfrm>
        <a:custGeom>
          <a:avLst/>
          <a:gdLst/>
          <a:ahLst/>
          <a:cxnLst/>
          <a:rect l="0" t="0" r="0" b="0"/>
          <a:pathLst>
            <a:path>
              <a:moveTo>
                <a:pt x="0" y="6322"/>
              </a:moveTo>
              <a:lnTo>
                <a:pt x="1343028" y="6322"/>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solidFill>
              <a:sysClr val="windowText" lastClr="000000">
                <a:hueOff val="0"/>
                <a:satOff val="0"/>
                <a:lumOff val="0"/>
                <a:alphaOff val="0"/>
              </a:sysClr>
            </a:solidFill>
            <a:latin typeface="Calibri"/>
            <a:ea typeface="+mn-ea"/>
            <a:cs typeface="+mn-cs"/>
          </a:endParaRPr>
        </a:p>
      </dsp:txBody>
      <dsp:txXfrm>
        <a:off x="4287524" y="1024300"/>
        <a:ext cx="40013" cy="40013"/>
      </dsp:txXfrm>
    </dsp:sp>
    <dsp:sp modelId="{6394B413-6D12-4C4F-9A8D-E0508CAE8617}">
      <dsp:nvSpPr>
        <dsp:cNvPr id="0" name=""/>
        <dsp:cNvSpPr/>
      </dsp:nvSpPr>
      <dsp:spPr>
        <a:xfrm>
          <a:off x="4707661" y="622379"/>
          <a:ext cx="1275538" cy="844727"/>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10</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Pays en transition et pays développés</a:t>
          </a:r>
        </a:p>
      </dsp:txBody>
      <dsp:txXfrm>
        <a:off x="4894459" y="746086"/>
        <a:ext cx="901942" cy="597313"/>
      </dsp:txXfrm>
    </dsp:sp>
    <dsp:sp modelId="{DEF09AAB-E09E-4486-8914-E37D47E60824}">
      <dsp:nvSpPr>
        <dsp:cNvPr id="0" name=""/>
        <dsp:cNvSpPr/>
      </dsp:nvSpPr>
      <dsp:spPr>
        <a:xfrm rot="10804699">
          <a:off x="1303194" y="1034804"/>
          <a:ext cx="944523" cy="14410"/>
        </a:xfrm>
        <a:custGeom>
          <a:avLst/>
          <a:gdLst/>
          <a:ahLst/>
          <a:cxnLst/>
          <a:rect l="0" t="0" r="0" b="0"/>
          <a:pathLst>
            <a:path>
              <a:moveTo>
                <a:pt x="0" y="6322"/>
              </a:moveTo>
              <a:lnTo>
                <a:pt x="1114107" y="6322"/>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solidFill>
              <a:sysClr val="windowText" lastClr="000000">
                <a:hueOff val="0"/>
                <a:satOff val="0"/>
                <a:lumOff val="0"/>
                <a:alphaOff val="0"/>
              </a:sysClr>
            </a:solidFill>
            <a:latin typeface="Calibri"/>
            <a:ea typeface="+mn-ea"/>
            <a:cs typeface="+mn-cs"/>
          </a:endParaRPr>
        </a:p>
      </dsp:txBody>
      <dsp:txXfrm rot="10800000">
        <a:off x="1751842" y="1018396"/>
        <a:ext cx="47226" cy="47226"/>
      </dsp:txXfrm>
    </dsp:sp>
    <dsp:sp modelId="{2ED32773-10C9-4671-A0BF-4C0DAB40AE25}">
      <dsp:nvSpPr>
        <dsp:cNvPr id="0" name=""/>
        <dsp:cNvSpPr/>
      </dsp:nvSpPr>
      <dsp:spPr>
        <a:xfrm>
          <a:off x="0" y="619202"/>
          <a:ext cx="1303196" cy="842543"/>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11</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Académie de l’OMPI</a:t>
          </a:r>
        </a:p>
      </dsp:txBody>
      <dsp:txXfrm>
        <a:off x="190849" y="742590"/>
        <a:ext cx="921498" cy="595767"/>
      </dsp:txXfrm>
    </dsp:sp>
    <dsp:sp modelId="{06FD983D-3F71-4BCE-AD7F-6DD1041A2F23}">
      <dsp:nvSpPr>
        <dsp:cNvPr id="0" name=""/>
        <dsp:cNvSpPr/>
      </dsp:nvSpPr>
      <dsp:spPr>
        <a:xfrm rot="12286841">
          <a:off x="2325327" y="766777"/>
          <a:ext cx="335588" cy="14410"/>
        </a:xfrm>
        <a:custGeom>
          <a:avLst/>
          <a:gdLst/>
          <a:ahLst/>
          <a:cxnLst/>
          <a:rect l="0" t="0" r="0" b="0"/>
          <a:pathLst>
            <a:path>
              <a:moveTo>
                <a:pt x="0" y="6322"/>
              </a:moveTo>
              <a:lnTo>
                <a:pt x="586918" y="6322"/>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177800">
            <a:lnSpc>
              <a:spcPct val="90000"/>
            </a:lnSpc>
            <a:spcBef>
              <a:spcPct val="0"/>
            </a:spcBef>
            <a:spcAft>
              <a:spcPct val="35000"/>
            </a:spcAft>
          </a:pPr>
          <a:endParaRPr lang="en-US" sz="400" kern="1200">
            <a:solidFill>
              <a:sysClr val="windowText" lastClr="000000">
                <a:hueOff val="0"/>
                <a:satOff val="0"/>
                <a:lumOff val="0"/>
                <a:alphaOff val="0"/>
              </a:sysClr>
            </a:solidFill>
            <a:latin typeface="Calibri"/>
            <a:ea typeface="+mn-ea"/>
            <a:cs typeface="+mn-cs"/>
          </a:endParaRPr>
        </a:p>
      </dsp:txBody>
      <dsp:txXfrm rot="10800000">
        <a:off x="2484731" y="765592"/>
        <a:ext cx="16779" cy="16779"/>
      </dsp:txXfrm>
    </dsp:sp>
    <dsp:sp modelId="{CFBB929F-8BEB-442D-8D00-28EE1C02C39C}">
      <dsp:nvSpPr>
        <dsp:cNvPr id="0" name=""/>
        <dsp:cNvSpPr/>
      </dsp:nvSpPr>
      <dsp:spPr>
        <a:xfrm>
          <a:off x="916488" y="0"/>
          <a:ext cx="1630854" cy="845134"/>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20</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Relations extérieures</a:t>
          </a:r>
        </a:p>
      </dsp:txBody>
      <dsp:txXfrm>
        <a:off x="1155321" y="123767"/>
        <a:ext cx="1153188" cy="597600"/>
      </dsp:txXfrm>
    </dsp:sp>
  </dsp:spTree>
</dsp:drawing>
</file>

<file path=word/diagrams/drawing2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93DA7EC-5D69-41B7-92E4-ED7ED9F48883}">
      <dsp:nvSpPr>
        <dsp:cNvPr id="0" name=""/>
        <dsp:cNvSpPr/>
      </dsp:nvSpPr>
      <dsp:spPr>
        <a:xfrm>
          <a:off x="2157098" y="1247489"/>
          <a:ext cx="1488511" cy="415669"/>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20 </a:t>
          </a:r>
        </a:p>
      </dsp:txBody>
      <dsp:txXfrm>
        <a:off x="2375085" y="1308362"/>
        <a:ext cx="1052537" cy="293923"/>
      </dsp:txXfrm>
    </dsp:sp>
    <dsp:sp modelId="{E6ACA703-0949-41B3-BE6B-C702E5C7275F}">
      <dsp:nvSpPr>
        <dsp:cNvPr id="0" name=""/>
        <dsp:cNvSpPr/>
      </dsp:nvSpPr>
      <dsp:spPr>
        <a:xfrm rot="16099362">
          <a:off x="2525695" y="880542"/>
          <a:ext cx="718125" cy="16089"/>
        </a:xfrm>
        <a:custGeom>
          <a:avLst/>
          <a:gdLst/>
          <a:ahLst/>
          <a:cxnLst/>
          <a:rect l="0" t="0" r="0" b="0"/>
          <a:pathLst>
            <a:path>
              <a:moveTo>
                <a:pt x="0" y="8044"/>
              </a:moveTo>
              <a:lnTo>
                <a:pt x="718125" y="8044"/>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866805" y="870633"/>
        <a:ext cx="35906" cy="35906"/>
      </dsp:txXfrm>
    </dsp:sp>
    <dsp:sp modelId="{AFD0CC05-9AD4-4A51-8739-4FB4CA1E4ACE}">
      <dsp:nvSpPr>
        <dsp:cNvPr id="0" name=""/>
        <dsp:cNvSpPr/>
      </dsp:nvSpPr>
      <dsp:spPr>
        <a:xfrm>
          <a:off x="2315058" y="-15242"/>
          <a:ext cx="1102425" cy="544948"/>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a:t>
          </a: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Droit des brevets</a:t>
          </a:r>
        </a:p>
      </dsp:txBody>
      <dsp:txXfrm>
        <a:off x="2476504" y="64564"/>
        <a:ext cx="779533" cy="385336"/>
      </dsp:txXfrm>
    </dsp:sp>
    <dsp:sp modelId="{34515D96-C834-4D67-AF5C-3B293601CBC3}">
      <dsp:nvSpPr>
        <dsp:cNvPr id="0" name=""/>
        <dsp:cNvSpPr/>
      </dsp:nvSpPr>
      <dsp:spPr>
        <a:xfrm rot="19128656">
          <a:off x="3024634" y="975234"/>
          <a:ext cx="832279" cy="16089"/>
        </a:xfrm>
        <a:custGeom>
          <a:avLst/>
          <a:gdLst/>
          <a:ahLst/>
          <a:cxnLst/>
          <a:rect l="0" t="0" r="0" b="0"/>
          <a:pathLst>
            <a:path>
              <a:moveTo>
                <a:pt x="0" y="8044"/>
              </a:moveTo>
              <a:lnTo>
                <a:pt x="832279" y="8044"/>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419967" y="962471"/>
        <a:ext cx="41613" cy="41613"/>
      </dsp:txXfrm>
    </dsp:sp>
    <dsp:sp modelId="{D9366F31-B7D7-4B43-830C-AD5E2193A794}">
      <dsp:nvSpPr>
        <dsp:cNvPr id="0" name=""/>
        <dsp:cNvSpPr/>
      </dsp:nvSpPr>
      <dsp:spPr>
        <a:xfrm>
          <a:off x="3394102" y="64390"/>
          <a:ext cx="1406445" cy="688685"/>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2</a:t>
          </a: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a:p>
          <a:pPr lvl="0" algn="ctr" defTabSz="400050">
            <a:lnSpc>
              <a:spcPct val="90000"/>
            </a:lnSpc>
            <a:spcBef>
              <a:spcPct val="0"/>
            </a:spcBef>
            <a:spcAft>
              <a:spcPct val="35000"/>
            </a:spcAft>
          </a:pPr>
          <a:r>
            <a:rPr lang="fr-FR"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Marques, dessins et modèles industriels et indications géographiques</a:t>
          </a:r>
          <a:endParaRPr lang="en-US" sz="7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3600071" y="165246"/>
        <a:ext cx="994507" cy="486973"/>
      </dsp:txXfrm>
    </dsp:sp>
    <dsp:sp modelId="{3F0F15B6-4D5A-493B-B03E-AE8141DC3DCE}">
      <dsp:nvSpPr>
        <dsp:cNvPr id="0" name=""/>
        <dsp:cNvSpPr/>
      </dsp:nvSpPr>
      <dsp:spPr>
        <a:xfrm rot="20602620">
          <a:off x="3383336" y="1114613"/>
          <a:ext cx="1264576" cy="16089"/>
        </a:xfrm>
        <a:custGeom>
          <a:avLst/>
          <a:gdLst/>
          <a:ahLst/>
          <a:cxnLst/>
          <a:rect l="0" t="0" r="0" b="0"/>
          <a:pathLst>
            <a:path>
              <a:moveTo>
                <a:pt x="0" y="8044"/>
              </a:moveTo>
              <a:lnTo>
                <a:pt x="1264576" y="8044"/>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984010" y="1091043"/>
        <a:ext cx="63228" cy="63228"/>
      </dsp:txXfrm>
    </dsp:sp>
    <dsp:sp modelId="{ECD2D13D-466C-468B-BD6C-1B646D8E5B8E}">
      <dsp:nvSpPr>
        <dsp:cNvPr id="0" name=""/>
        <dsp:cNvSpPr/>
      </dsp:nvSpPr>
      <dsp:spPr>
        <a:xfrm>
          <a:off x="4530771" y="561930"/>
          <a:ext cx="1087548" cy="489173"/>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3</a:t>
          </a:r>
        </a:p>
        <a:p>
          <a:pPr lvl="0" algn="ctr" defTabSz="400050">
            <a:lnSpc>
              <a:spcPct val="90000"/>
            </a:lnSpc>
            <a:spcBef>
              <a:spcPct val="0"/>
            </a:spcBef>
            <a:spcAft>
              <a:spcPct val="35000"/>
            </a:spcAft>
          </a:pPr>
          <a:r>
            <a:rPr lang="fr-FR"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Droit d’auteur et droits connexes</a:t>
          </a:r>
          <a:endParaRPr lang="en-US" sz="7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4690039" y="633568"/>
        <a:ext cx="769012" cy="345897"/>
      </dsp:txXfrm>
    </dsp:sp>
    <dsp:sp modelId="{5CF8296B-0142-429D-A71A-20799D2EB74B}">
      <dsp:nvSpPr>
        <dsp:cNvPr id="0" name=""/>
        <dsp:cNvSpPr/>
      </dsp:nvSpPr>
      <dsp:spPr>
        <a:xfrm rot="21561902">
          <a:off x="3645004" y="1435459"/>
          <a:ext cx="645689" cy="16089"/>
        </a:xfrm>
        <a:custGeom>
          <a:avLst/>
          <a:gdLst/>
          <a:ahLst/>
          <a:cxnLst/>
          <a:rect l="0" t="0" r="0" b="0"/>
          <a:pathLst>
            <a:path>
              <a:moveTo>
                <a:pt x="0" y="8044"/>
              </a:moveTo>
              <a:lnTo>
                <a:pt x="645689" y="8044"/>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951706" y="1427361"/>
        <a:ext cx="32284" cy="32284"/>
      </dsp:txXfrm>
    </dsp:sp>
    <dsp:sp modelId="{7E7DDE23-6C04-407D-AAB6-669511EA704E}">
      <dsp:nvSpPr>
        <dsp:cNvPr id="0" name=""/>
        <dsp:cNvSpPr/>
      </dsp:nvSpPr>
      <dsp:spPr>
        <a:xfrm>
          <a:off x="4290468" y="1072966"/>
          <a:ext cx="1510891" cy="717179"/>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4</a:t>
          </a: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a:p>
          <a:pPr lvl="0" algn="ctr" defTabSz="400050">
            <a:lnSpc>
              <a:spcPct val="90000"/>
            </a:lnSpc>
            <a:spcBef>
              <a:spcPct val="0"/>
            </a:spcBef>
            <a:spcAft>
              <a:spcPct val="35000"/>
            </a:spcAft>
          </a:pPr>
          <a:r>
            <a:rPr lang="fr-FR"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Savoirs traditionnels, expressions culturelles traditionnelles et ressources génétiques</a:t>
          </a:r>
          <a:endParaRPr lang="en-US" sz="7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4511733" y="1177994"/>
        <a:ext cx="1068361" cy="507123"/>
      </dsp:txXfrm>
    </dsp:sp>
    <dsp:sp modelId="{DC281168-2DBC-4CFB-B21D-C54E9628B383}">
      <dsp:nvSpPr>
        <dsp:cNvPr id="0" name=""/>
        <dsp:cNvSpPr/>
      </dsp:nvSpPr>
      <dsp:spPr>
        <a:xfrm rot="1079833">
          <a:off x="3359551" y="1775094"/>
          <a:ext cx="1101761" cy="16089"/>
        </a:xfrm>
        <a:custGeom>
          <a:avLst/>
          <a:gdLst/>
          <a:ahLst/>
          <a:cxnLst/>
          <a:rect l="0" t="0" r="0" b="0"/>
          <a:pathLst>
            <a:path>
              <a:moveTo>
                <a:pt x="0" y="8044"/>
              </a:moveTo>
              <a:lnTo>
                <a:pt x="1101761" y="8044"/>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882887" y="1755594"/>
        <a:ext cx="55088" cy="55088"/>
      </dsp:txXfrm>
    </dsp:sp>
    <dsp:sp modelId="{66DADE40-99AE-41BE-B997-129EED231064}">
      <dsp:nvSpPr>
        <dsp:cNvPr id="0" name=""/>
        <dsp:cNvSpPr/>
      </dsp:nvSpPr>
      <dsp:spPr>
        <a:xfrm>
          <a:off x="4331502" y="1842991"/>
          <a:ext cx="1127828" cy="520270"/>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5</a:t>
          </a:r>
        </a:p>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Système du PCT</a:t>
          </a:r>
          <a:endPar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4496669" y="1919183"/>
        <a:ext cx="797494" cy="367886"/>
      </dsp:txXfrm>
    </dsp:sp>
    <dsp:sp modelId="{4DF1B0BE-A63A-4BEA-9EE5-4168481CC99E}">
      <dsp:nvSpPr>
        <dsp:cNvPr id="0" name=""/>
        <dsp:cNvSpPr/>
      </dsp:nvSpPr>
      <dsp:spPr>
        <a:xfrm rot="2772183">
          <a:off x="2998528" y="1871519"/>
          <a:ext cx="619226" cy="16089"/>
        </a:xfrm>
        <a:custGeom>
          <a:avLst/>
          <a:gdLst/>
          <a:ahLst/>
          <a:cxnLst/>
          <a:rect l="0" t="0" r="0" b="0"/>
          <a:pathLst>
            <a:path>
              <a:moveTo>
                <a:pt x="0" y="8044"/>
              </a:moveTo>
              <a:lnTo>
                <a:pt x="619226" y="8044"/>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292661" y="1864083"/>
        <a:ext cx="30961" cy="30961"/>
      </dsp:txXfrm>
    </dsp:sp>
    <dsp:sp modelId="{DB594876-4070-4577-942D-67F5CD4D6A19}">
      <dsp:nvSpPr>
        <dsp:cNvPr id="0" name=""/>
        <dsp:cNvSpPr/>
      </dsp:nvSpPr>
      <dsp:spPr>
        <a:xfrm>
          <a:off x="3137012" y="2076988"/>
          <a:ext cx="1299085" cy="603026"/>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6</a:t>
          </a:r>
        </a:p>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r>
            <a:rPr lang="fr-FR"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Système de Madrid</a:t>
          </a:r>
          <a:endPar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3327259" y="2165299"/>
        <a:ext cx="918591" cy="426404"/>
      </dsp:txXfrm>
    </dsp:sp>
    <dsp:sp modelId="{E49C447F-3477-4311-B10B-FFFA7DE7209F}">
      <dsp:nvSpPr>
        <dsp:cNvPr id="0" name=""/>
        <dsp:cNvSpPr/>
      </dsp:nvSpPr>
      <dsp:spPr>
        <a:xfrm rot="6879188">
          <a:off x="2431976" y="1893776"/>
          <a:ext cx="528908" cy="16089"/>
        </a:xfrm>
        <a:custGeom>
          <a:avLst/>
          <a:gdLst/>
          <a:ahLst/>
          <a:cxnLst/>
          <a:rect l="0" t="0" r="0" b="0"/>
          <a:pathLst>
            <a:path>
              <a:moveTo>
                <a:pt x="0" y="8044"/>
              </a:moveTo>
              <a:lnTo>
                <a:pt x="528908" y="8044"/>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683207" y="1888598"/>
        <a:ext cx="26445" cy="26445"/>
      </dsp:txXfrm>
    </dsp:sp>
    <dsp:sp modelId="{69F18085-0AC3-4BAE-9B16-F8478FFBD61E}">
      <dsp:nvSpPr>
        <dsp:cNvPr id="0" name=""/>
        <dsp:cNvSpPr/>
      </dsp:nvSpPr>
      <dsp:spPr>
        <a:xfrm>
          <a:off x="1817296" y="2137105"/>
          <a:ext cx="1290679" cy="548236"/>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11</a:t>
          </a: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Académie de l'OMPI</a:t>
          </a: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dsp:txBody>
      <dsp:txXfrm>
        <a:off x="2006312" y="2217392"/>
        <a:ext cx="912647" cy="387662"/>
      </dsp:txXfrm>
    </dsp:sp>
    <dsp:sp modelId="{FCC14444-D5E7-4E9C-B980-A27CD799E442}">
      <dsp:nvSpPr>
        <dsp:cNvPr id="0" name=""/>
        <dsp:cNvSpPr/>
      </dsp:nvSpPr>
      <dsp:spPr>
        <a:xfrm rot="9166500">
          <a:off x="1545751" y="1872233"/>
          <a:ext cx="1059235" cy="16089"/>
        </a:xfrm>
        <a:custGeom>
          <a:avLst/>
          <a:gdLst/>
          <a:ahLst/>
          <a:cxnLst/>
          <a:rect l="0" t="0" r="0" b="0"/>
          <a:pathLst>
            <a:path>
              <a:moveTo>
                <a:pt x="0" y="8044"/>
              </a:moveTo>
              <a:lnTo>
                <a:pt x="1059235" y="8044"/>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048887" y="1853797"/>
        <a:ext cx="52961" cy="52961"/>
      </dsp:txXfrm>
    </dsp:sp>
    <dsp:sp modelId="{49C45DFA-0A15-4DAA-80DC-CAE4ABCC6B43}">
      <dsp:nvSpPr>
        <dsp:cNvPr id="0" name=""/>
        <dsp:cNvSpPr/>
      </dsp:nvSpPr>
      <dsp:spPr>
        <a:xfrm>
          <a:off x="550744" y="2041194"/>
          <a:ext cx="1251850" cy="602896"/>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14</a:t>
          </a:r>
          <a:r>
            <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a:p>
          <a:pPr lvl="0" algn="ctr" defTabSz="400050">
            <a:lnSpc>
              <a:spcPct val="90000"/>
            </a:lnSpc>
            <a:spcBef>
              <a:spcPct val="0"/>
            </a:spcBef>
            <a:spcAft>
              <a:spcPct val="35000"/>
            </a:spcAft>
          </a:pPr>
          <a:r>
            <a:rPr lang="fr-FR"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Service d'accès à l'information et aux savoirs</a:t>
          </a: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dsp:txBody>
      <dsp:txXfrm>
        <a:off x="734073" y="2129486"/>
        <a:ext cx="885192" cy="426312"/>
      </dsp:txXfrm>
    </dsp:sp>
    <dsp:sp modelId="{7B59CB2C-C82F-41EE-B3CF-ADD4878ADBA6}">
      <dsp:nvSpPr>
        <dsp:cNvPr id="0" name=""/>
        <dsp:cNvSpPr/>
      </dsp:nvSpPr>
      <dsp:spPr>
        <a:xfrm rot="10400680">
          <a:off x="1485989" y="1569773"/>
          <a:ext cx="731109" cy="16089"/>
        </a:xfrm>
        <a:custGeom>
          <a:avLst/>
          <a:gdLst/>
          <a:ahLst/>
          <a:cxnLst/>
          <a:rect l="0" t="0" r="0" b="0"/>
          <a:pathLst>
            <a:path>
              <a:moveTo>
                <a:pt x="0" y="8044"/>
              </a:moveTo>
              <a:lnTo>
                <a:pt x="731109" y="8044"/>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1833266" y="1559540"/>
        <a:ext cx="36555" cy="36555"/>
      </dsp:txXfrm>
    </dsp:sp>
    <dsp:sp modelId="{402B25BB-F397-46B5-AAB7-C38C2276BF82}">
      <dsp:nvSpPr>
        <dsp:cNvPr id="0" name=""/>
        <dsp:cNvSpPr/>
      </dsp:nvSpPr>
      <dsp:spPr>
        <a:xfrm>
          <a:off x="0" y="1371528"/>
          <a:ext cx="1513588" cy="668057"/>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15 </a:t>
          </a:r>
        </a:p>
        <a:p>
          <a:pPr lvl="0" algn="ctr" defTabSz="400050">
            <a:lnSpc>
              <a:spcPct val="90000"/>
            </a:lnSpc>
            <a:spcBef>
              <a:spcPct val="0"/>
            </a:spcBef>
            <a:spcAft>
              <a:spcPct val="35000"/>
            </a:spcAft>
          </a:pPr>
          <a:r>
            <a:rPr lang="fr-FR"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Solutions opérationnelles pour les offices de propriété intellectuelle</a:t>
          </a: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dsp:txBody>
      <dsp:txXfrm>
        <a:off x="221660" y="1469363"/>
        <a:ext cx="1070268" cy="472387"/>
      </dsp:txXfrm>
    </dsp:sp>
    <dsp:sp modelId="{EFB9CB5A-411C-454B-96B1-9ED988829CBE}">
      <dsp:nvSpPr>
        <dsp:cNvPr id="0" name=""/>
        <dsp:cNvSpPr/>
      </dsp:nvSpPr>
      <dsp:spPr>
        <a:xfrm rot="11577934">
          <a:off x="1510709" y="1222298"/>
          <a:ext cx="826938" cy="16089"/>
        </a:xfrm>
        <a:custGeom>
          <a:avLst/>
          <a:gdLst/>
          <a:ahLst/>
          <a:cxnLst/>
          <a:rect l="0" t="0" r="0" b="0"/>
          <a:pathLst>
            <a:path>
              <a:moveTo>
                <a:pt x="0" y="8044"/>
              </a:moveTo>
              <a:lnTo>
                <a:pt x="826938" y="8044"/>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1903505" y="1209669"/>
        <a:ext cx="41346" cy="41346"/>
      </dsp:txXfrm>
    </dsp:sp>
    <dsp:sp modelId="{5AF8D9AC-0C15-4D1B-BCD3-7FFCFF0A581D}">
      <dsp:nvSpPr>
        <dsp:cNvPr id="0" name=""/>
        <dsp:cNvSpPr/>
      </dsp:nvSpPr>
      <dsp:spPr>
        <a:xfrm>
          <a:off x="151515" y="643287"/>
          <a:ext cx="1440960" cy="689613"/>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17 </a:t>
          </a:r>
        </a:p>
        <a:p>
          <a:pPr lvl="0" algn="ctr" defTabSz="400050">
            <a:lnSpc>
              <a:spcPct val="90000"/>
            </a:lnSpc>
            <a:spcBef>
              <a:spcPct val="0"/>
            </a:spcBef>
            <a:spcAft>
              <a:spcPct val="35000"/>
            </a:spcAft>
          </a:pPr>
          <a:r>
            <a:rPr lang="fr-FR"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Promouvoir le respect de la propriété intellectuelle</a:t>
          </a: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p>
      </dsp:txBody>
      <dsp:txXfrm>
        <a:off x="362539" y="744278"/>
        <a:ext cx="1018912" cy="487631"/>
      </dsp:txXfrm>
    </dsp:sp>
    <dsp:sp modelId="{EA581F84-B016-4CDB-99D6-9E3DD9F505FC}">
      <dsp:nvSpPr>
        <dsp:cNvPr id="0" name=""/>
        <dsp:cNvSpPr/>
      </dsp:nvSpPr>
      <dsp:spPr>
        <a:xfrm rot="13249931">
          <a:off x="1943274" y="978084"/>
          <a:ext cx="830257" cy="16089"/>
        </a:xfrm>
        <a:custGeom>
          <a:avLst/>
          <a:gdLst/>
          <a:ahLst/>
          <a:cxnLst/>
          <a:rect l="0" t="0" r="0" b="0"/>
          <a:pathLst>
            <a:path>
              <a:moveTo>
                <a:pt x="0" y="8044"/>
              </a:moveTo>
              <a:lnTo>
                <a:pt x="830257" y="8044"/>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337646" y="965372"/>
        <a:ext cx="41512" cy="41512"/>
      </dsp:txXfrm>
    </dsp:sp>
    <dsp:sp modelId="{0BAA02DA-E841-4BF5-8708-178825E9BEE2}">
      <dsp:nvSpPr>
        <dsp:cNvPr id="0" name=""/>
        <dsp:cNvSpPr/>
      </dsp:nvSpPr>
      <dsp:spPr>
        <a:xfrm>
          <a:off x="1130255" y="122340"/>
          <a:ext cx="1197999" cy="640211"/>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18</a:t>
          </a:r>
        </a:p>
        <a:p>
          <a:pPr lvl="0" algn="ctr" defTabSz="400050">
            <a:lnSpc>
              <a:spcPct val="90000"/>
            </a:lnSpc>
            <a:spcBef>
              <a:spcPct val="0"/>
            </a:spcBef>
            <a:spcAft>
              <a:spcPct val="35000"/>
            </a:spcAft>
          </a:pPr>
          <a:r>
            <a:rPr lang="fr-FR"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Propriété intellectuelle et défis mondiaux</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1305698" y="216097"/>
        <a:ext cx="847113" cy="45269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2AF917-2F47-4639-8A23-58AD52EC0F32}">
      <dsp:nvSpPr>
        <dsp:cNvPr id="0" name=""/>
        <dsp:cNvSpPr/>
      </dsp:nvSpPr>
      <dsp:spPr>
        <a:xfrm>
          <a:off x="2114822" y="1089110"/>
          <a:ext cx="1775915" cy="598568"/>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3</a:t>
          </a:r>
        </a:p>
      </dsp:txBody>
      <dsp:txXfrm>
        <a:off x="2374899" y="1176768"/>
        <a:ext cx="1255761" cy="423252"/>
      </dsp:txXfrm>
    </dsp:sp>
    <dsp:sp modelId="{5337AE63-3722-42CC-AF72-36670EB7C5E1}">
      <dsp:nvSpPr>
        <dsp:cNvPr id="0" name=""/>
        <dsp:cNvSpPr/>
      </dsp:nvSpPr>
      <dsp:spPr>
        <a:xfrm rot="16260109">
          <a:off x="2882916" y="952458"/>
          <a:ext cx="254648" cy="18705"/>
        </a:xfrm>
        <a:custGeom>
          <a:avLst/>
          <a:gdLst/>
          <a:ahLst/>
          <a:cxnLst/>
          <a:rect l="0" t="0" r="0" b="0"/>
          <a:pathLst>
            <a:path>
              <a:moveTo>
                <a:pt x="0" y="6169"/>
              </a:moveTo>
              <a:lnTo>
                <a:pt x="238957" y="6169"/>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003873" y="955444"/>
        <a:ext cx="12732" cy="12732"/>
      </dsp:txXfrm>
    </dsp:sp>
    <dsp:sp modelId="{CED9197C-8322-406B-917C-172FA36E7B76}">
      <dsp:nvSpPr>
        <dsp:cNvPr id="0" name=""/>
        <dsp:cNvSpPr/>
      </dsp:nvSpPr>
      <dsp:spPr>
        <a:xfrm>
          <a:off x="2315406" y="179755"/>
          <a:ext cx="1405569" cy="654761"/>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8</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Coordination du Plan d’action pour le développement</a:t>
          </a:r>
        </a:p>
      </dsp:txBody>
      <dsp:txXfrm>
        <a:off x="2521247" y="275643"/>
        <a:ext cx="993887" cy="462985"/>
      </dsp:txXfrm>
    </dsp:sp>
    <dsp:sp modelId="{4AC11394-3179-4EC5-A97F-D1A1B521CE2F}">
      <dsp:nvSpPr>
        <dsp:cNvPr id="0" name=""/>
        <dsp:cNvSpPr/>
      </dsp:nvSpPr>
      <dsp:spPr>
        <a:xfrm rot="19533650">
          <a:off x="3310685" y="840096"/>
          <a:ext cx="956104" cy="18705"/>
        </a:xfrm>
        <a:custGeom>
          <a:avLst/>
          <a:gdLst/>
          <a:ahLst/>
          <a:cxnLst/>
          <a:rect l="0" t="0" r="0" b="0"/>
          <a:pathLst>
            <a:path>
              <a:moveTo>
                <a:pt x="0" y="9352"/>
              </a:moveTo>
              <a:lnTo>
                <a:pt x="956104" y="9352"/>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764835" y="825546"/>
        <a:ext cx="47805" cy="47805"/>
      </dsp:txXfrm>
    </dsp:sp>
    <dsp:sp modelId="{035B4C9A-0916-4FCC-A1CF-85DB358A289A}">
      <dsp:nvSpPr>
        <dsp:cNvPr id="0" name=""/>
        <dsp:cNvSpPr/>
      </dsp:nvSpPr>
      <dsp:spPr>
        <a:xfrm>
          <a:off x="3923341" y="0"/>
          <a:ext cx="1273052" cy="641341"/>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9</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Bureaux régionaux</a:t>
          </a:r>
        </a:p>
      </dsp:txBody>
      <dsp:txXfrm>
        <a:off x="4109775" y="93922"/>
        <a:ext cx="900184" cy="453497"/>
      </dsp:txXfrm>
    </dsp:sp>
    <dsp:sp modelId="{ADF94B70-0D7F-4A27-8DF9-17BCD27F4A7A}">
      <dsp:nvSpPr>
        <dsp:cNvPr id="0" name=""/>
        <dsp:cNvSpPr/>
      </dsp:nvSpPr>
      <dsp:spPr>
        <a:xfrm rot="21330559">
          <a:off x="3866802" y="1291527"/>
          <a:ext cx="500531" cy="18705"/>
        </a:xfrm>
        <a:custGeom>
          <a:avLst/>
          <a:gdLst/>
          <a:ahLst/>
          <a:cxnLst/>
          <a:rect l="0" t="0" r="0" b="0"/>
          <a:pathLst>
            <a:path>
              <a:moveTo>
                <a:pt x="0" y="6169"/>
              </a:moveTo>
              <a:lnTo>
                <a:pt x="1149022" y="6169"/>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4104554" y="1288367"/>
        <a:ext cx="25026" cy="25026"/>
      </dsp:txXfrm>
    </dsp:sp>
    <dsp:sp modelId="{0FAF3FA1-8E6C-455E-B189-A468B3F4D8BC}">
      <dsp:nvSpPr>
        <dsp:cNvPr id="0" name=""/>
        <dsp:cNvSpPr/>
      </dsp:nvSpPr>
      <dsp:spPr>
        <a:xfrm>
          <a:off x="4358650" y="863878"/>
          <a:ext cx="1401349" cy="725997"/>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10</a:t>
          </a:r>
        </a:p>
        <a:p>
          <a:pPr lvl="0" algn="ctr" defTabSz="400050">
            <a:lnSpc>
              <a:spcPct val="90000"/>
            </a:lnSpc>
            <a:spcBef>
              <a:spcPct val="0"/>
            </a:spcBef>
            <a:spcAft>
              <a:spcPct val="35000"/>
            </a:spcAft>
          </a:pPr>
          <a:r>
            <a:rPr lang="en-US" sz="105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Pays en transition et pays développés</a:t>
          </a:r>
        </a:p>
      </dsp:txBody>
      <dsp:txXfrm>
        <a:off x="4563873" y="970198"/>
        <a:ext cx="990903" cy="513357"/>
      </dsp:txXfrm>
    </dsp:sp>
    <dsp:sp modelId="{447FEE0B-EFE1-4BAD-80EF-66C3DD36014A}">
      <dsp:nvSpPr>
        <dsp:cNvPr id="0" name=""/>
        <dsp:cNvSpPr/>
      </dsp:nvSpPr>
      <dsp:spPr>
        <a:xfrm rot="2087832">
          <a:off x="3365202" y="1728324"/>
          <a:ext cx="280363" cy="18705"/>
        </a:xfrm>
        <a:custGeom>
          <a:avLst/>
          <a:gdLst/>
          <a:ahLst/>
          <a:cxnLst/>
          <a:rect l="0" t="0" r="0" b="0"/>
          <a:pathLst>
            <a:path>
              <a:moveTo>
                <a:pt x="0" y="6169"/>
              </a:moveTo>
              <a:lnTo>
                <a:pt x="229885" y="6169"/>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498374" y="1730667"/>
        <a:ext cx="14018" cy="14018"/>
      </dsp:txXfrm>
    </dsp:sp>
    <dsp:sp modelId="{3F1A2A14-E080-4448-96C3-A8E6002E7EE2}">
      <dsp:nvSpPr>
        <dsp:cNvPr id="0" name=""/>
        <dsp:cNvSpPr/>
      </dsp:nvSpPr>
      <dsp:spPr>
        <a:xfrm>
          <a:off x="3333950" y="1772138"/>
          <a:ext cx="1256633" cy="566095"/>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11</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Académie de l’OMPI</a:t>
          </a:r>
        </a:p>
      </dsp:txBody>
      <dsp:txXfrm>
        <a:off x="3517980" y="1855041"/>
        <a:ext cx="888573" cy="400289"/>
      </dsp:txXfrm>
    </dsp:sp>
    <dsp:sp modelId="{E64AB50F-BCCF-45E7-A4E4-85ABC4F0C76B}">
      <dsp:nvSpPr>
        <dsp:cNvPr id="0" name=""/>
        <dsp:cNvSpPr/>
      </dsp:nvSpPr>
      <dsp:spPr>
        <a:xfrm rot="7116380">
          <a:off x="2677811" y="1771020"/>
          <a:ext cx="222399" cy="18705"/>
        </a:xfrm>
        <a:custGeom>
          <a:avLst/>
          <a:gdLst/>
          <a:ahLst/>
          <a:cxnLst/>
          <a:rect l="0" t="0" r="0" b="0"/>
          <a:pathLst>
            <a:path>
              <a:moveTo>
                <a:pt x="0" y="6169"/>
              </a:moveTo>
              <a:lnTo>
                <a:pt x="215118" y="6169"/>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783450" y="1774813"/>
        <a:ext cx="11119" cy="11119"/>
      </dsp:txXfrm>
    </dsp:sp>
    <dsp:sp modelId="{97004BB0-64D3-4A92-A1C1-813788F5650F}">
      <dsp:nvSpPr>
        <dsp:cNvPr id="0" name=""/>
        <dsp:cNvSpPr/>
      </dsp:nvSpPr>
      <dsp:spPr>
        <a:xfrm>
          <a:off x="1874529" y="1849572"/>
          <a:ext cx="1272777" cy="881451"/>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15</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Solutions opérationnelles pour les offices de propriété intellectuelle </a:t>
          </a:r>
        </a:p>
      </dsp:txBody>
      <dsp:txXfrm>
        <a:off x="2060923" y="1978658"/>
        <a:ext cx="899989" cy="623279"/>
      </dsp:txXfrm>
    </dsp:sp>
    <dsp:sp modelId="{5514B31A-797C-4F49-82C0-203D59D29598}">
      <dsp:nvSpPr>
        <dsp:cNvPr id="0" name=""/>
        <dsp:cNvSpPr/>
      </dsp:nvSpPr>
      <dsp:spPr>
        <a:xfrm rot="10049627">
          <a:off x="1611647" y="1614722"/>
          <a:ext cx="657181" cy="18705"/>
        </a:xfrm>
        <a:custGeom>
          <a:avLst/>
          <a:gdLst/>
          <a:ahLst/>
          <a:cxnLst/>
          <a:rect l="0" t="0" r="0" b="0"/>
          <a:pathLst>
            <a:path>
              <a:moveTo>
                <a:pt x="0" y="9352"/>
              </a:moveTo>
              <a:lnTo>
                <a:pt x="657181" y="9352"/>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1923809" y="1607645"/>
        <a:ext cx="32859" cy="32859"/>
      </dsp:txXfrm>
    </dsp:sp>
    <dsp:sp modelId="{FC7280E4-CE96-452F-A4BC-3E3F14683ABC}">
      <dsp:nvSpPr>
        <dsp:cNvPr id="0" name=""/>
        <dsp:cNvSpPr/>
      </dsp:nvSpPr>
      <dsp:spPr>
        <a:xfrm>
          <a:off x="385219" y="1525707"/>
          <a:ext cx="1298419" cy="598568"/>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16</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Économie et statistiques</a:t>
          </a:r>
        </a:p>
      </dsp:txBody>
      <dsp:txXfrm>
        <a:off x="575368" y="1613365"/>
        <a:ext cx="918121" cy="423252"/>
      </dsp:txXfrm>
    </dsp:sp>
    <dsp:sp modelId="{D74286FF-AAFA-441A-87F1-98384D680093}">
      <dsp:nvSpPr>
        <dsp:cNvPr id="0" name=""/>
        <dsp:cNvSpPr/>
      </dsp:nvSpPr>
      <dsp:spPr>
        <a:xfrm rot="11230294">
          <a:off x="1342747" y="1222473"/>
          <a:ext cx="831404" cy="18705"/>
        </a:xfrm>
        <a:custGeom>
          <a:avLst/>
          <a:gdLst/>
          <a:ahLst/>
          <a:cxnLst/>
          <a:rect l="0" t="0" r="0" b="0"/>
          <a:pathLst>
            <a:path>
              <a:moveTo>
                <a:pt x="0" y="6169"/>
              </a:moveTo>
              <a:lnTo>
                <a:pt x="1030370" y="6169"/>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1737664" y="1211041"/>
        <a:ext cx="41570" cy="41570"/>
      </dsp:txXfrm>
    </dsp:sp>
    <dsp:sp modelId="{755CFD49-3313-42A9-A1A9-D99CF689F3D7}">
      <dsp:nvSpPr>
        <dsp:cNvPr id="0" name=""/>
        <dsp:cNvSpPr/>
      </dsp:nvSpPr>
      <dsp:spPr>
        <a:xfrm>
          <a:off x="46872" y="784226"/>
          <a:ext cx="1320932" cy="630687"/>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20</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Relations extérieures</a:t>
          </a:r>
          <a:endPar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240318" y="876588"/>
        <a:ext cx="934040" cy="445963"/>
      </dsp:txXfrm>
    </dsp:sp>
    <dsp:sp modelId="{6674A0B6-35AA-4763-B890-1E2177289BCF}">
      <dsp:nvSpPr>
        <dsp:cNvPr id="0" name=""/>
        <dsp:cNvSpPr/>
      </dsp:nvSpPr>
      <dsp:spPr>
        <a:xfrm rot="12815007">
          <a:off x="1897652" y="899972"/>
          <a:ext cx="767237" cy="18705"/>
        </a:xfrm>
        <a:custGeom>
          <a:avLst/>
          <a:gdLst/>
          <a:ahLst/>
          <a:cxnLst/>
          <a:rect l="0" t="0" r="0" b="0"/>
          <a:pathLst>
            <a:path>
              <a:moveTo>
                <a:pt x="0" y="9352"/>
              </a:moveTo>
              <a:lnTo>
                <a:pt x="767237" y="9352"/>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262090" y="890144"/>
        <a:ext cx="38361" cy="38361"/>
      </dsp:txXfrm>
    </dsp:sp>
    <dsp:sp modelId="{16FD236C-1C35-46D3-A6E9-C486F23997B9}">
      <dsp:nvSpPr>
        <dsp:cNvPr id="0" name=""/>
        <dsp:cNvSpPr/>
      </dsp:nvSpPr>
      <dsp:spPr>
        <a:xfrm>
          <a:off x="926301" y="53662"/>
          <a:ext cx="1242800" cy="737172"/>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endPar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21</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Direction générale </a:t>
          </a:r>
        </a:p>
        <a:p>
          <a:pPr lvl="0" algn="ctr" defTabSz="400050">
            <a:lnSpc>
              <a:spcPct val="90000"/>
            </a:lnSpc>
            <a:spcBef>
              <a:spcPct val="0"/>
            </a:spcBef>
            <a:spcAft>
              <a:spcPct val="35000"/>
            </a:spcAft>
          </a:pPr>
          <a:endPar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1108305" y="161618"/>
        <a:ext cx="878792" cy="52126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2AF917-2F47-4639-8A23-58AD52EC0F32}">
      <dsp:nvSpPr>
        <dsp:cNvPr id="0" name=""/>
        <dsp:cNvSpPr/>
      </dsp:nvSpPr>
      <dsp:spPr>
        <a:xfrm>
          <a:off x="2126806" y="910550"/>
          <a:ext cx="1530681" cy="624844"/>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4</a:t>
          </a:r>
        </a:p>
      </dsp:txBody>
      <dsp:txXfrm>
        <a:off x="2350969" y="1002056"/>
        <a:ext cx="1082355" cy="441832"/>
      </dsp:txXfrm>
    </dsp:sp>
    <dsp:sp modelId="{27C08CD6-CB73-4E0E-BA37-473C15E9C926}">
      <dsp:nvSpPr>
        <dsp:cNvPr id="0" name=""/>
        <dsp:cNvSpPr/>
      </dsp:nvSpPr>
      <dsp:spPr>
        <a:xfrm rot="17671266">
          <a:off x="3004503" y="863379"/>
          <a:ext cx="94886" cy="18574"/>
        </a:xfrm>
        <a:custGeom>
          <a:avLst/>
          <a:gdLst/>
          <a:ahLst/>
          <a:cxnLst/>
          <a:rect l="0" t="0" r="0" b="0"/>
          <a:pathLst>
            <a:path>
              <a:moveTo>
                <a:pt x="0" y="14194"/>
              </a:moveTo>
              <a:lnTo>
                <a:pt x="487996" y="1419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049574" y="870294"/>
        <a:ext cx="4744" cy="4744"/>
      </dsp:txXfrm>
    </dsp:sp>
    <dsp:sp modelId="{8441BECF-C9FE-4C31-BFA4-B45EB6B3D1F0}">
      <dsp:nvSpPr>
        <dsp:cNvPr id="0" name=""/>
        <dsp:cNvSpPr/>
      </dsp:nvSpPr>
      <dsp:spPr>
        <a:xfrm>
          <a:off x="2629566" y="-464"/>
          <a:ext cx="1254131" cy="848857"/>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a:t>
          </a:r>
        </a:p>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Droit des brevets</a:t>
          </a:r>
          <a:endParaRPr lang="en-US" sz="7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2813229" y="123848"/>
        <a:ext cx="886805" cy="600233"/>
      </dsp:txXfrm>
    </dsp:sp>
    <dsp:sp modelId="{27678B34-738D-4B59-81F4-6EB54DA6F256}">
      <dsp:nvSpPr>
        <dsp:cNvPr id="0" name=""/>
        <dsp:cNvSpPr/>
      </dsp:nvSpPr>
      <dsp:spPr>
        <a:xfrm rot="20278098">
          <a:off x="3413311" y="878833"/>
          <a:ext cx="612612" cy="18574"/>
        </a:xfrm>
        <a:custGeom>
          <a:avLst/>
          <a:gdLst/>
          <a:ahLst/>
          <a:cxnLst/>
          <a:rect l="0" t="0" r="0" b="0"/>
          <a:pathLst>
            <a:path>
              <a:moveTo>
                <a:pt x="0" y="9287"/>
              </a:moveTo>
              <a:lnTo>
                <a:pt x="612612" y="9287"/>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704302" y="872805"/>
        <a:ext cx="30630" cy="30630"/>
      </dsp:txXfrm>
    </dsp:sp>
    <dsp:sp modelId="{77E0AE60-7058-4D43-911F-C57FA8C6CA9F}">
      <dsp:nvSpPr>
        <dsp:cNvPr id="0" name=""/>
        <dsp:cNvSpPr/>
      </dsp:nvSpPr>
      <dsp:spPr>
        <a:xfrm>
          <a:off x="3935378" y="83949"/>
          <a:ext cx="1211192" cy="943583"/>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3</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Droit d’auteur et droits connexes</a:t>
          </a:r>
        </a:p>
      </dsp:txBody>
      <dsp:txXfrm>
        <a:off x="4112753" y="222134"/>
        <a:ext cx="856442" cy="667213"/>
      </dsp:txXfrm>
    </dsp:sp>
    <dsp:sp modelId="{EED79A7F-2696-484A-8083-D28DF0387AD5}">
      <dsp:nvSpPr>
        <dsp:cNvPr id="0" name=""/>
        <dsp:cNvSpPr/>
      </dsp:nvSpPr>
      <dsp:spPr>
        <a:xfrm rot="215355">
          <a:off x="3647526" y="1295690"/>
          <a:ext cx="1103933" cy="18574"/>
        </a:xfrm>
        <a:custGeom>
          <a:avLst/>
          <a:gdLst/>
          <a:ahLst/>
          <a:cxnLst/>
          <a:rect l="0" t="0" r="0" b="0"/>
          <a:pathLst>
            <a:path>
              <a:moveTo>
                <a:pt x="0" y="9287"/>
              </a:moveTo>
              <a:lnTo>
                <a:pt x="1103933" y="9287"/>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4171895" y="1277379"/>
        <a:ext cx="55196" cy="55196"/>
      </dsp:txXfrm>
    </dsp:sp>
    <dsp:sp modelId="{05994623-F04A-4AAC-82E3-2D63726DAA8A}">
      <dsp:nvSpPr>
        <dsp:cNvPr id="0" name=""/>
        <dsp:cNvSpPr/>
      </dsp:nvSpPr>
      <dsp:spPr>
        <a:xfrm>
          <a:off x="4749049" y="813601"/>
          <a:ext cx="1198151" cy="1126850"/>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7</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Centre d’arbitrage et de médiation de l’OMPI</a:t>
          </a:r>
        </a:p>
      </dsp:txBody>
      <dsp:txXfrm>
        <a:off x="4924514" y="978624"/>
        <a:ext cx="847221" cy="796804"/>
      </dsp:txXfrm>
    </dsp:sp>
    <dsp:sp modelId="{B654B038-4242-46EF-A10B-FF9B1A085532}">
      <dsp:nvSpPr>
        <dsp:cNvPr id="0" name=""/>
        <dsp:cNvSpPr/>
      </dsp:nvSpPr>
      <dsp:spPr>
        <a:xfrm rot="1903389">
          <a:off x="3299823" y="1523891"/>
          <a:ext cx="188273" cy="18574"/>
        </a:xfrm>
        <a:custGeom>
          <a:avLst/>
          <a:gdLst/>
          <a:ahLst/>
          <a:cxnLst/>
          <a:rect l="0" t="0" r="0" b="0"/>
          <a:pathLst>
            <a:path>
              <a:moveTo>
                <a:pt x="0" y="14194"/>
              </a:moveTo>
              <a:lnTo>
                <a:pt x="476437" y="1419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389253" y="1528472"/>
        <a:ext cx="9413" cy="9413"/>
      </dsp:txXfrm>
    </dsp:sp>
    <dsp:sp modelId="{3DB28723-07CF-4EFC-8E24-18E41E76D4AF}">
      <dsp:nvSpPr>
        <dsp:cNvPr id="0" name=""/>
        <dsp:cNvSpPr/>
      </dsp:nvSpPr>
      <dsp:spPr>
        <a:xfrm>
          <a:off x="3319283" y="1403197"/>
          <a:ext cx="1339116" cy="995439"/>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endPar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8</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Coordination du Plan d’action pour le développement</a:t>
          </a:r>
          <a:endParaRPr lang="en-US" sz="7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endPar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3515392" y="1548976"/>
        <a:ext cx="946898" cy="703881"/>
      </dsp:txXfrm>
    </dsp:sp>
    <dsp:sp modelId="{AD2F0D4B-AECA-4B10-81AC-261AA8BE8E98}">
      <dsp:nvSpPr>
        <dsp:cNvPr id="0" name=""/>
        <dsp:cNvSpPr/>
      </dsp:nvSpPr>
      <dsp:spPr>
        <a:xfrm rot="8856189">
          <a:off x="2325173" y="1520849"/>
          <a:ext cx="165802" cy="18574"/>
        </a:xfrm>
        <a:custGeom>
          <a:avLst/>
          <a:gdLst/>
          <a:ahLst/>
          <a:cxnLst/>
          <a:rect l="0" t="0" r="0" b="0"/>
          <a:pathLst>
            <a:path>
              <a:moveTo>
                <a:pt x="0" y="9287"/>
              </a:moveTo>
              <a:lnTo>
                <a:pt x="165802" y="9287"/>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403929" y="1525992"/>
        <a:ext cx="8290" cy="8290"/>
      </dsp:txXfrm>
    </dsp:sp>
    <dsp:sp modelId="{2BEED572-A282-4C32-95EB-3B1996D142B1}">
      <dsp:nvSpPr>
        <dsp:cNvPr id="0" name=""/>
        <dsp:cNvSpPr/>
      </dsp:nvSpPr>
      <dsp:spPr>
        <a:xfrm>
          <a:off x="1294285" y="1434555"/>
          <a:ext cx="1197276" cy="844933"/>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9 </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Bureaux régionaux</a:t>
          </a:r>
        </a:p>
      </dsp:txBody>
      <dsp:txXfrm>
        <a:off x="1469622" y="1558293"/>
        <a:ext cx="846602" cy="597457"/>
      </dsp:txXfrm>
    </dsp:sp>
    <dsp:sp modelId="{C58C2EC9-2FE7-4521-9408-887873CF9CD6}">
      <dsp:nvSpPr>
        <dsp:cNvPr id="0" name=""/>
        <dsp:cNvSpPr/>
      </dsp:nvSpPr>
      <dsp:spPr>
        <a:xfrm rot="10852824">
          <a:off x="1153283" y="1194448"/>
          <a:ext cx="974122" cy="18574"/>
        </a:xfrm>
        <a:custGeom>
          <a:avLst/>
          <a:gdLst/>
          <a:ahLst/>
          <a:cxnLst/>
          <a:rect l="0" t="0" r="0" b="0"/>
          <a:pathLst>
            <a:path>
              <a:moveTo>
                <a:pt x="0" y="9287"/>
              </a:moveTo>
              <a:lnTo>
                <a:pt x="974122" y="9287"/>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1615991" y="1179382"/>
        <a:ext cx="48706" cy="48706"/>
      </dsp:txXfrm>
    </dsp:sp>
    <dsp:sp modelId="{53F278CD-DAFE-4670-A5E7-7708D74F671E}">
      <dsp:nvSpPr>
        <dsp:cNvPr id="0" name=""/>
        <dsp:cNvSpPr/>
      </dsp:nvSpPr>
      <dsp:spPr>
        <a:xfrm>
          <a:off x="0" y="627264"/>
          <a:ext cx="1153412" cy="1120252"/>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10</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Pays en transition et pays développés</a:t>
          </a:r>
        </a:p>
      </dsp:txBody>
      <dsp:txXfrm>
        <a:off x="168913" y="791321"/>
        <a:ext cx="815586" cy="792138"/>
      </dsp:txXfrm>
    </dsp:sp>
    <dsp:sp modelId="{9D7A60DE-15BF-4701-8167-A6BE55521FB0}">
      <dsp:nvSpPr>
        <dsp:cNvPr id="0" name=""/>
        <dsp:cNvSpPr/>
      </dsp:nvSpPr>
      <dsp:spPr>
        <a:xfrm rot="12539017">
          <a:off x="2300451" y="926598"/>
          <a:ext cx="146856" cy="18574"/>
        </a:xfrm>
        <a:custGeom>
          <a:avLst/>
          <a:gdLst/>
          <a:ahLst/>
          <a:cxnLst/>
          <a:rect l="0" t="0" r="0" b="0"/>
          <a:pathLst>
            <a:path>
              <a:moveTo>
                <a:pt x="0" y="9287"/>
              </a:moveTo>
              <a:lnTo>
                <a:pt x="146856" y="9287"/>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370208" y="932214"/>
        <a:ext cx="7342" cy="7342"/>
      </dsp:txXfrm>
    </dsp:sp>
    <dsp:sp modelId="{0FDECDAE-6064-4D03-98A4-386BBAAFB761}">
      <dsp:nvSpPr>
        <dsp:cNvPr id="0" name=""/>
        <dsp:cNvSpPr/>
      </dsp:nvSpPr>
      <dsp:spPr>
        <a:xfrm>
          <a:off x="1121724" y="149588"/>
          <a:ext cx="1333936" cy="924282"/>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14</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Service d’accès à l’information et aux savoirs </a:t>
          </a:r>
        </a:p>
      </dsp:txBody>
      <dsp:txXfrm>
        <a:off x="1317074" y="284946"/>
        <a:ext cx="943236" cy="653566"/>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2AF917-2F47-4639-8A23-58AD52EC0F32}">
      <dsp:nvSpPr>
        <dsp:cNvPr id="0" name=""/>
        <dsp:cNvSpPr/>
      </dsp:nvSpPr>
      <dsp:spPr>
        <a:xfrm>
          <a:off x="2393763" y="955253"/>
          <a:ext cx="1225202" cy="557178"/>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en-US" sz="105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5</a:t>
          </a:r>
        </a:p>
      </dsp:txBody>
      <dsp:txXfrm>
        <a:off x="2573190" y="1036850"/>
        <a:ext cx="866348" cy="393984"/>
      </dsp:txXfrm>
    </dsp:sp>
    <dsp:sp modelId="{27C08CD6-CB73-4E0E-BA37-473C15E9C926}">
      <dsp:nvSpPr>
        <dsp:cNvPr id="0" name=""/>
        <dsp:cNvSpPr/>
      </dsp:nvSpPr>
      <dsp:spPr>
        <a:xfrm rot="21470447">
          <a:off x="3616456" y="1180402"/>
          <a:ext cx="1167057" cy="16873"/>
        </a:xfrm>
        <a:custGeom>
          <a:avLst/>
          <a:gdLst/>
          <a:ahLst/>
          <a:cxnLst/>
          <a:rect l="0" t="0" r="0" b="0"/>
          <a:pathLst>
            <a:path>
              <a:moveTo>
                <a:pt x="0" y="8436"/>
              </a:moveTo>
              <a:lnTo>
                <a:pt x="1167057" y="8436"/>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4170808" y="1159663"/>
        <a:ext cx="58352" cy="58352"/>
      </dsp:txXfrm>
    </dsp:sp>
    <dsp:sp modelId="{8441BECF-C9FE-4C31-BFA4-B45EB6B3D1F0}">
      <dsp:nvSpPr>
        <dsp:cNvPr id="0" name=""/>
        <dsp:cNvSpPr/>
      </dsp:nvSpPr>
      <dsp:spPr>
        <a:xfrm>
          <a:off x="4782145" y="765211"/>
          <a:ext cx="1158023" cy="759696"/>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9</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Bureaux régionaux</a:t>
          </a:r>
        </a:p>
      </dsp:txBody>
      <dsp:txXfrm>
        <a:off x="4951734" y="876466"/>
        <a:ext cx="818845" cy="537186"/>
      </dsp:txXfrm>
    </dsp:sp>
    <dsp:sp modelId="{27678B34-738D-4B59-81F4-6EB54DA6F256}">
      <dsp:nvSpPr>
        <dsp:cNvPr id="0" name=""/>
        <dsp:cNvSpPr/>
      </dsp:nvSpPr>
      <dsp:spPr>
        <a:xfrm rot="1384714">
          <a:off x="3441309" y="1475111"/>
          <a:ext cx="302175" cy="16873"/>
        </a:xfrm>
        <a:custGeom>
          <a:avLst/>
          <a:gdLst/>
          <a:ahLst/>
          <a:cxnLst/>
          <a:rect l="0" t="0" r="0" b="0"/>
          <a:pathLst>
            <a:path>
              <a:moveTo>
                <a:pt x="0" y="14194"/>
              </a:moveTo>
              <a:lnTo>
                <a:pt x="447159" y="1419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584842" y="1475993"/>
        <a:ext cx="15108" cy="15108"/>
      </dsp:txXfrm>
    </dsp:sp>
    <dsp:sp modelId="{77E0AE60-7058-4D43-911F-C57FA8C6CA9F}">
      <dsp:nvSpPr>
        <dsp:cNvPr id="0" name=""/>
        <dsp:cNvSpPr/>
      </dsp:nvSpPr>
      <dsp:spPr>
        <a:xfrm>
          <a:off x="3622500" y="1384479"/>
          <a:ext cx="1211161" cy="739860"/>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10</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Pays en transition et pays développés</a:t>
          </a:r>
        </a:p>
      </dsp:txBody>
      <dsp:txXfrm>
        <a:off x="3799870" y="1492829"/>
        <a:ext cx="856421" cy="523160"/>
      </dsp:txXfrm>
    </dsp:sp>
    <dsp:sp modelId="{EED79A7F-2696-484A-8083-D28DF0387AD5}">
      <dsp:nvSpPr>
        <dsp:cNvPr id="0" name=""/>
        <dsp:cNvSpPr/>
      </dsp:nvSpPr>
      <dsp:spPr>
        <a:xfrm rot="9311763">
          <a:off x="2155063" y="1516694"/>
          <a:ext cx="442017" cy="16873"/>
        </a:xfrm>
        <a:custGeom>
          <a:avLst/>
          <a:gdLst/>
          <a:ahLst/>
          <a:cxnLst/>
          <a:rect l="0" t="0" r="0" b="0"/>
          <a:pathLst>
            <a:path>
              <a:moveTo>
                <a:pt x="0" y="8436"/>
              </a:moveTo>
              <a:lnTo>
                <a:pt x="442017" y="8436"/>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365021" y="1514081"/>
        <a:ext cx="22100" cy="22100"/>
      </dsp:txXfrm>
    </dsp:sp>
    <dsp:sp modelId="{05994623-F04A-4AAC-82E3-2D63726DAA8A}">
      <dsp:nvSpPr>
        <dsp:cNvPr id="0" name=""/>
        <dsp:cNvSpPr/>
      </dsp:nvSpPr>
      <dsp:spPr>
        <a:xfrm>
          <a:off x="1123151" y="1514765"/>
          <a:ext cx="1206703" cy="621125"/>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12</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Classifications internationales et normes</a:t>
          </a:r>
        </a:p>
      </dsp:txBody>
      <dsp:txXfrm>
        <a:off x="1299869" y="1605727"/>
        <a:ext cx="853267" cy="439201"/>
      </dsp:txXfrm>
    </dsp:sp>
    <dsp:sp modelId="{B654B038-4242-46EF-A10B-FF9B1A085532}">
      <dsp:nvSpPr>
        <dsp:cNvPr id="0" name=""/>
        <dsp:cNvSpPr/>
      </dsp:nvSpPr>
      <dsp:spPr>
        <a:xfrm rot="10696441">
          <a:off x="1238339" y="1261250"/>
          <a:ext cx="1157026" cy="16873"/>
        </a:xfrm>
        <a:custGeom>
          <a:avLst/>
          <a:gdLst/>
          <a:ahLst/>
          <a:cxnLst/>
          <a:rect l="0" t="0" r="0" b="0"/>
          <a:pathLst>
            <a:path>
              <a:moveTo>
                <a:pt x="0" y="8436"/>
              </a:moveTo>
              <a:lnTo>
                <a:pt x="1157026" y="8436"/>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1787927" y="1240761"/>
        <a:ext cx="57851" cy="57851"/>
      </dsp:txXfrm>
    </dsp:sp>
    <dsp:sp modelId="{3DB28723-07CF-4EFC-8E24-18E41E76D4AF}">
      <dsp:nvSpPr>
        <dsp:cNvPr id="0" name=""/>
        <dsp:cNvSpPr/>
      </dsp:nvSpPr>
      <dsp:spPr>
        <a:xfrm>
          <a:off x="0" y="929892"/>
          <a:ext cx="1239365" cy="751739"/>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endParaRPr lang="en-US" sz="900" b="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400050">
            <a:lnSpc>
              <a:spcPct val="90000"/>
            </a:lnSpc>
            <a:spcBef>
              <a:spcPct val="0"/>
            </a:spcBef>
            <a:spcAft>
              <a:spcPct val="35000"/>
            </a:spcAft>
          </a:pPr>
          <a:r>
            <a:rPr lang="en-US" sz="900" b="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13</a:t>
          </a:r>
        </a:p>
        <a:p>
          <a:pPr lvl="0" algn="ctr" defTabSz="400050">
            <a:lnSpc>
              <a:spcPct val="90000"/>
            </a:lnSpc>
            <a:spcBef>
              <a:spcPct val="0"/>
            </a:spcBef>
            <a:spcAft>
              <a:spcPct val="35000"/>
            </a:spcAft>
          </a:pPr>
          <a:r>
            <a:rPr lang="en-US" sz="800" b="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Service des bases de données mondiales</a:t>
          </a:r>
        </a:p>
        <a:p>
          <a:pPr lvl="0" algn="ctr" defTabSz="400050">
            <a:lnSpc>
              <a:spcPct val="90000"/>
            </a:lnSpc>
            <a:spcBef>
              <a:spcPct val="0"/>
            </a:spcBef>
            <a:spcAft>
              <a:spcPct val="35000"/>
            </a:spcAft>
          </a:pPr>
          <a:endParaRPr lang="en-US" sz="900" b="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181501" y="1039982"/>
        <a:ext cx="876363" cy="531559"/>
      </dsp:txXfrm>
    </dsp:sp>
    <dsp:sp modelId="{AD2F0D4B-AECA-4B10-81AC-261AA8BE8E98}">
      <dsp:nvSpPr>
        <dsp:cNvPr id="0" name=""/>
        <dsp:cNvSpPr/>
      </dsp:nvSpPr>
      <dsp:spPr>
        <a:xfrm rot="11979915">
          <a:off x="1964969" y="956262"/>
          <a:ext cx="576536" cy="16873"/>
        </a:xfrm>
        <a:custGeom>
          <a:avLst/>
          <a:gdLst/>
          <a:ahLst/>
          <a:cxnLst/>
          <a:rect l="0" t="0" r="0" b="0"/>
          <a:pathLst>
            <a:path>
              <a:moveTo>
                <a:pt x="0" y="8436"/>
              </a:moveTo>
              <a:lnTo>
                <a:pt x="576536" y="8436"/>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238824" y="950286"/>
        <a:ext cx="28826" cy="28826"/>
      </dsp:txXfrm>
    </dsp:sp>
    <dsp:sp modelId="{2BEED572-A282-4C32-95EB-3B1996D142B1}">
      <dsp:nvSpPr>
        <dsp:cNvPr id="0" name=""/>
        <dsp:cNvSpPr/>
      </dsp:nvSpPr>
      <dsp:spPr>
        <a:xfrm>
          <a:off x="869324" y="281820"/>
          <a:ext cx="1180856" cy="798626"/>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b="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14</a:t>
          </a:r>
        </a:p>
        <a:p>
          <a:pPr lvl="0" algn="ctr" defTabSz="400050">
            <a:lnSpc>
              <a:spcPct val="90000"/>
            </a:lnSpc>
            <a:spcBef>
              <a:spcPct val="0"/>
            </a:spcBef>
            <a:spcAft>
              <a:spcPct val="35000"/>
            </a:spcAft>
          </a:pPr>
          <a:r>
            <a:rPr lang="en-US" sz="800" b="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Services d’accès à l’information et aux savoirs</a:t>
          </a:r>
        </a:p>
      </dsp:txBody>
      <dsp:txXfrm>
        <a:off x="1042256" y="398776"/>
        <a:ext cx="834992" cy="564714"/>
      </dsp:txXfrm>
    </dsp:sp>
    <dsp:sp modelId="{FABECC81-38C5-4FF9-B1D2-7878F31B9FA7}">
      <dsp:nvSpPr>
        <dsp:cNvPr id="0" name=""/>
        <dsp:cNvSpPr/>
      </dsp:nvSpPr>
      <dsp:spPr>
        <a:xfrm rot="19889235">
          <a:off x="3359619" y="854464"/>
          <a:ext cx="659144" cy="16873"/>
        </a:xfrm>
        <a:custGeom>
          <a:avLst/>
          <a:gdLst/>
          <a:ahLst/>
          <a:cxnLst/>
          <a:rect l="0" t="0" r="0" b="0"/>
          <a:pathLst>
            <a:path>
              <a:moveTo>
                <a:pt x="0" y="8436"/>
              </a:moveTo>
              <a:lnTo>
                <a:pt x="659144" y="8436"/>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fr-FR" sz="500" kern="1200"/>
        </a:p>
      </dsp:txBody>
      <dsp:txXfrm>
        <a:off x="3672713" y="846422"/>
        <a:ext cx="32957" cy="32957"/>
      </dsp:txXfrm>
    </dsp:sp>
    <dsp:sp modelId="{ED2662C3-B3A0-4166-82DE-4C76CC9EAF7B}">
      <dsp:nvSpPr>
        <dsp:cNvPr id="0" name=""/>
        <dsp:cNvSpPr/>
      </dsp:nvSpPr>
      <dsp:spPr>
        <a:xfrm>
          <a:off x="3774986" y="160986"/>
          <a:ext cx="1258214" cy="627098"/>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b="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7</a:t>
          </a:r>
        </a:p>
        <a:p>
          <a:pPr lvl="0" algn="ctr" defTabSz="400050">
            <a:lnSpc>
              <a:spcPct val="90000"/>
            </a:lnSpc>
            <a:spcBef>
              <a:spcPct val="0"/>
            </a:spcBef>
            <a:spcAft>
              <a:spcPct val="35000"/>
            </a:spcAft>
          </a:pPr>
          <a:r>
            <a:rPr lang="en-US" sz="800" b="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Centre d’arbitrage et de médiation de l’OMPI</a:t>
          </a:r>
        </a:p>
      </dsp:txBody>
      <dsp:txXfrm>
        <a:off x="3959247" y="252822"/>
        <a:ext cx="889692" cy="443426"/>
      </dsp:txXfrm>
    </dsp:sp>
    <dsp:sp modelId="{9363EF65-1A1C-442B-A69E-1F35A96E1F68}">
      <dsp:nvSpPr>
        <dsp:cNvPr id="0" name=""/>
        <dsp:cNvSpPr/>
      </dsp:nvSpPr>
      <dsp:spPr>
        <a:xfrm rot="16253854">
          <a:off x="2854688" y="788319"/>
          <a:ext cx="317048" cy="16873"/>
        </a:xfrm>
        <a:custGeom>
          <a:avLst/>
          <a:gdLst/>
          <a:ahLst/>
          <a:cxnLst/>
          <a:rect l="0" t="0" r="0" b="0"/>
          <a:pathLst>
            <a:path>
              <a:moveTo>
                <a:pt x="0" y="8436"/>
              </a:moveTo>
              <a:lnTo>
                <a:pt x="317048" y="8436"/>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fr-FR" sz="500" kern="1200"/>
        </a:p>
      </dsp:txBody>
      <dsp:txXfrm>
        <a:off x="3005286" y="788830"/>
        <a:ext cx="15852" cy="15852"/>
      </dsp:txXfrm>
    </dsp:sp>
    <dsp:sp modelId="{AAC27E8F-05E9-4286-A32B-E8FDB9908A7F}">
      <dsp:nvSpPr>
        <dsp:cNvPr id="0" name=""/>
        <dsp:cNvSpPr/>
      </dsp:nvSpPr>
      <dsp:spPr>
        <a:xfrm>
          <a:off x="2451069" y="81081"/>
          <a:ext cx="1137981" cy="557178"/>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b="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a:t>
          </a:r>
        </a:p>
        <a:p>
          <a:pPr lvl="0" algn="ctr" defTabSz="400050">
            <a:lnSpc>
              <a:spcPct val="90000"/>
            </a:lnSpc>
            <a:spcBef>
              <a:spcPct val="0"/>
            </a:spcBef>
            <a:spcAft>
              <a:spcPct val="35000"/>
            </a:spcAft>
          </a:pPr>
          <a:r>
            <a:rPr lang="en-US" sz="800" b="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Droit des brevets</a:t>
          </a:r>
        </a:p>
      </dsp:txBody>
      <dsp:txXfrm>
        <a:off x="2617722" y="162678"/>
        <a:ext cx="804675" cy="393984"/>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2AF917-2F47-4639-8A23-58AD52EC0F32}">
      <dsp:nvSpPr>
        <dsp:cNvPr id="0" name=""/>
        <dsp:cNvSpPr/>
      </dsp:nvSpPr>
      <dsp:spPr>
        <a:xfrm>
          <a:off x="2224548" y="847481"/>
          <a:ext cx="1538455" cy="453415"/>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en-US" sz="105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6</a:t>
          </a:r>
        </a:p>
      </dsp:txBody>
      <dsp:txXfrm>
        <a:off x="2449850" y="913882"/>
        <a:ext cx="1087851" cy="320613"/>
      </dsp:txXfrm>
    </dsp:sp>
    <dsp:sp modelId="{5337AE63-3722-42CC-AF72-36670EB7C5E1}">
      <dsp:nvSpPr>
        <dsp:cNvPr id="0" name=""/>
        <dsp:cNvSpPr/>
      </dsp:nvSpPr>
      <dsp:spPr>
        <a:xfrm rot="16124318">
          <a:off x="2908939" y="760976"/>
          <a:ext cx="156250" cy="16808"/>
        </a:xfrm>
        <a:custGeom>
          <a:avLst/>
          <a:gdLst/>
          <a:ahLst/>
          <a:cxnLst/>
          <a:rect l="0" t="0" r="0" b="0"/>
          <a:pathLst>
            <a:path>
              <a:moveTo>
                <a:pt x="0" y="7815"/>
              </a:moveTo>
              <a:lnTo>
                <a:pt x="150618" y="7815"/>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983158" y="765474"/>
        <a:ext cx="7812" cy="7812"/>
      </dsp:txXfrm>
    </dsp:sp>
    <dsp:sp modelId="{CED9197C-8322-406B-917C-172FA36E7B76}">
      <dsp:nvSpPr>
        <dsp:cNvPr id="0" name=""/>
        <dsp:cNvSpPr/>
      </dsp:nvSpPr>
      <dsp:spPr>
        <a:xfrm>
          <a:off x="2236254" y="207558"/>
          <a:ext cx="1487530" cy="483721"/>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9</a:t>
          </a:r>
        </a:p>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Bureaux régionaux</a:t>
          </a:r>
        </a:p>
      </dsp:txBody>
      <dsp:txXfrm>
        <a:off x="2454098" y="278397"/>
        <a:ext cx="1051842" cy="342043"/>
      </dsp:txXfrm>
    </dsp:sp>
    <dsp:sp modelId="{4AC11394-3179-4EC5-A97F-D1A1B521CE2F}">
      <dsp:nvSpPr>
        <dsp:cNvPr id="0" name=""/>
        <dsp:cNvSpPr/>
      </dsp:nvSpPr>
      <dsp:spPr>
        <a:xfrm rot="21589287">
          <a:off x="3762959" y="1062720"/>
          <a:ext cx="428718" cy="16808"/>
        </a:xfrm>
        <a:custGeom>
          <a:avLst/>
          <a:gdLst/>
          <a:ahLst/>
          <a:cxnLst/>
          <a:rect l="0" t="0" r="0" b="0"/>
          <a:pathLst>
            <a:path>
              <a:moveTo>
                <a:pt x="0" y="7815"/>
              </a:moveTo>
              <a:lnTo>
                <a:pt x="468343" y="7815"/>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966600" y="1060406"/>
        <a:ext cx="21435" cy="21435"/>
      </dsp:txXfrm>
    </dsp:sp>
    <dsp:sp modelId="{035B4C9A-0916-4FCC-A1CF-85DB358A289A}">
      <dsp:nvSpPr>
        <dsp:cNvPr id="0" name=""/>
        <dsp:cNvSpPr/>
      </dsp:nvSpPr>
      <dsp:spPr>
        <a:xfrm>
          <a:off x="4191655" y="797934"/>
          <a:ext cx="1367134" cy="540783"/>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10</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Pays en transition et pays développés</a:t>
          </a:r>
        </a:p>
      </dsp:txBody>
      <dsp:txXfrm>
        <a:off x="4391867" y="877130"/>
        <a:ext cx="966710" cy="382391"/>
      </dsp:txXfrm>
    </dsp:sp>
    <dsp:sp modelId="{DABD9CAB-9D40-462A-9A56-AB1C78A63D40}">
      <dsp:nvSpPr>
        <dsp:cNvPr id="0" name=""/>
        <dsp:cNvSpPr/>
      </dsp:nvSpPr>
      <dsp:spPr>
        <a:xfrm rot="10785295">
          <a:off x="1887855" y="1069795"/>
          <a:ext cx="336775" cy="16808"/>
        </a:xfrm>
        <a:custGeom>
          <a:avLst/>
          <a:gdLst/>
          <a:ahLst/>
          <a:cxnLst/>
          <a:rect l="0" t="0" r="0" b="0"/>
          <a:pathLst>
            <a:path>
              <a:moveTo>
                <a:pt x="0" y="8404"/>
              </a:moveTo>
              <a:lnTo>
                <a:pt x="336775" y="8404"/>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fr-FR" sz="500" kern="1200"/>
        </a:p>
      </dsp:txBody>
      <dsp:txXfrm rot="10800000">
        <a:off x="2047823" y="1069780"/>
        <a:ext cx="16838" cy="16838"/>
      </dsp:txXfrm>
    </dsp:sp>
    <dsp:sp modelId="{105924F0-B002-4AF6-ACA0-894D668A7824}">
      <dsp:nvSpPr>
        <dsp:cNvPr id="0" name=""/>
        <dsp:cNvSpPr/>
      </dsp:nvSpPr>
      <dsp:spPr>
        <a:xfrm>
          <a:off x="175495" y="804853"/>
          <a:ext cx="1712435" cy="555459"/>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32</a:t>
          </a:r>
          <a:b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b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r>
          <a:b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b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Système de Lisbonne</a:t>
          </a:r>
        </a:p>
      </dsp:txBody>
      <dsp:txXfrm>
        <a:off x="426275" y="886198"/>
        <a:ext cx="1210875" cy="392769"/>
      </dsp:txXfrm>
    </dsp:sp>
    <dsp:sp modelId="{ADF94B70-0D7F-4A27-8DF9-17BCD27F4A7A}">
      <dsp:nvSpPr>
        <dsp:cNvPr id="0" name=""/>
        <dsp:cNvSpPr/>
      </dsp:nvSpPr>
      <dsp:spPr>
        <a:xfrm rot="5399119">
          <a:off x="2909733" y="1376615"/>
          <a:ext cx="168244" cy="16808"/>
        </a:xfrm>
        <a:custGeom>
          <a:avLst/>
          <a:gdLst/>
          <a:ahLst/>
          <a:cxnLst/>
          <a:rect l="0" t="0" r="0" b="0"/>
          <a:pathLst>
            <a:path>
              <a:moveTo>
                <a:pt x="0" y="7815"/>
              </a:moveTo>
              <a:lnTo>
                <a:pt x="439465" y="7815"/>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989649" y="1380813"/>
        <a:ext cx="8412" cy="8412"/>
      </dsp:txXfrm>
    </dsp:sp>
    <dsp:sp modelId="{0FAF3FA1-8E6C-455E-B189-A468B3F4D8BC}">
      <dsp:nvSpPr>
        <dsp:cNvPr id="0" name=""/>
        <dsp:cNvSpPr/>
      </dsp:nvSpPr>
      <dsp:spPr>
        <a:xfrm>
          <a:off x="2271142" y="1469142"/>
          <a:ext cx="1445610" cy="548193"/>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endParaRPr lang="en-US"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a:p>
          <a:pPr lvl="0" algn="ctr" defTabSz="4889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31</a:t>
          </a:r>
        </a:p>
        <a:p>
          <a:pPr lvl="0" algn="ctr" defTabSz="488950">
            <a:lnSpc>
              <a:spcPct val="90000"/>
            </a:lnSpc>
            <a:spcBef>
              <a:spcPct val="0"/>
            </a:spcBef>
            <a:spcAft>
              <a:spcPct val="35000"/>
            </a:spcAft>
          </a:pPr>
          <a:r>
            <a:rPr lang="en-US"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 </a:t>
          </a: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Système de La Haye</a:t>
          </a:r>
        </a:p>
        <a:p>
          <a:pPr lvl="0" algn="ctr" defTabSz="488950">
            <a:lnSpc>
              <a:spcPct val="90000"/>
            </a:lnSpc>
            <a:spcBef>
              <a:spcPct val="0"/>
            </a:spcBef>
            <a:spcAft>
              <a:spcPct val="35000"/>
            </a:spcAft>
          </a:pPr>
          <a:endParaRPr lang="en-US"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2482847" y="1549423"/>
        <a:ext cx="1022200" cy="387631"/>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2AF917-2F47-4639-8A23-58AD52EC0F32}">
      <dsp:nvSpPr>
        <dsp:cNvPr id="0" name=""/>
        <dsp:cNvSpPr/>
      </dsp:nvSpPr>
      <dsp:spPr>
        <a:xfrm>
          <a:off x="2060954" y="705828"/>
          <a:ext cx="1356160" cy="556846"/>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31</a:t>
          </a:r>
        </a:p>
      </dsp:txBody>
      <dsp:txXfrm>
        <a:off x="2259559" y="787376"/>
        <a:ext cx="958950" cy="393750"/>
      </dsp:txXfrm>
    </dsp:sp>
    <dsp:sp modelId="{4AC11394-3179-4EC5-A97F-D1A1B521CE2F}">
      <dsp:nvSpPr>
        <dsp:cNvPr id="0" name=""/>
        <dsp:cNvSpPr/>
      </dsp:nvSpPr>
      <dsp:spPr>
        <a:xfrm rot="16193294">
          <a:off x="2656573" y="614935"/>
          <a:ext cx="163517" cy="18269"/>
        </a:xfrm>
        <a:custGeom>
          <a:avLst/>
          <a:gdLst/>
          <a:ahLst/>
          <a:cxnLst/>
          <a:rect l="0" t="0" r="0" b="0"/>
          <a:pathLst>
            <a:path>
              <a:moveTo>
                <a:pt x="0" y="9134"/>
              </a:moveTo>
              <a:lnTo>
                <a:pt x="163517" y="913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734244" y="619982"/>
        <a:ext cx="8175" cy="8175"/>
      </dsp:txXfrm>
    </dsp:sp>
    <dsp:sp modelId="{035B4C9A-0916-4FCC-A1CF-85DB358A289A}">
      <dsp:nvSpPr>
        <dsp:cNvPr id="0" name=""/>
        <dsp:cNvSpPr/>
      </dsp:nvSpPr>
      <dsp:spPr>
        <a:xfrm>
          <a:off x="1981284" y="-34519"/>
          <a:ext cx="1512650" cy="576831"/>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6</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Système de Madrid</a:t>
          </a:r>
        </a:p>
      </dsp:txBody>
      <dsp:txXfrm>
        <a:off x="2202806" y="49956"/>
        <a:ext cx="1069606" cy="407881"/>
      </dsp:txXfrm>
    </dsp:sp>
    <dsp:sp modelId="{64248C57-3CE0-4657-BC67-6279BA0257B1}">
      <dsp:nvSpPr>
        <dsp:cNvPr id="0" name=""/>
        <dsp:cNvSpPr/>
      </dsp:nvSpPr>
      <dsp:spPr>
        <a:xfrm rot="2869">
          <a:off x="3417113" y="975868"/>
          <a:ext cx="442900" cy="18269"/>
        </a:xfrm>
        <a:custGeom>
          <a:avLst/>
          <a:gdLst/>
          <a:ahLst/>
          <a:cxnLst/>
          <a:rect l="0" t="0" r="0" b="0"/>
          <a:pathLst>
            <a:path>
              <a:moveTo>
                <a:pt x="0" y="9134"/>
              </a:moveTo>
              <a:lnTo>
                <a:pt x="463565" y="913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627490" y="973930"/>
        <a:ext cx="22145" cy="22145"/>
      </dsp:txXfrm>
    </dsp:sp>
    <dsp:sp modelId="{976BA53C-17D4-4F7C-9078-1272C469C9E5}">
      <dsp:nvSpPr>
        <dsp:cNvPr id="0" name=""/>
        <dsp:cNvSpPr/>
      </dsp:nvSpPr>
      <dsp:spPr>
        <a:xfrm>
          <a:off x="3860012" y="634966"/>
          <a:ext cx="1464661" cy="701665"/>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9</a:t>
          </a:r>
        </a:p>
        <a:p>
          <a:pPr lvl="0" algn="ctr" defTabSz="400050">
            <a:lnSpc>
              <a:spcPct val="90000"/>
            </a:lnSpc>
            <a:spcBef>
              <a:spcPct val="0"/>
            </a:spcBef>
            <a:spcAft>
              <a:spcPct val="35000"/>
            </a:spcAft>
          </a:pPr>
          <a:r>
            <a:rPr lang="fr-FR"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Bureaux régionaux</a:t>
          </a:r>
          <a:endParaRPr lang="en-US" sz="7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4074507" y="737722"/>
        <a:ext cx="1035671" cy="496153"/>
      </dsp:txXfrm>
    </dsp:sp>
    <dsp:sp modelId="{ADF94B70-0D7F-4A27-8DF9-17BCD27F4A7A}">
      <dsp:nvSpPr>
        <dsp:cNvPr id="0" name=""/>
        <dsp:cNvSpPr/>
      </dsp:nvSpPr>
      <dsp:spPr>
        <a:xfrm rot="10791658">
          <a:off x="1609671" y="977310"/>
          <a:ext cx="451295" cy="18269"/>
        </a:xfrm>
        <a:custGeom>
          <a:avLst/>
          <a:gdLst/>
          <a:ahLst/>
          <a:cxnLst/>
          <a:rect l="0" t="0" r="0" b="0"/>
          <a:pathLst>
            <a:path>
              <a:moveTo>
                <a:pt x="0" y="9134"/>
              </a:moveTo>
              <a:lnTo>
                <a:pt x="457860" y="913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1824036" y="975162"/>
        <a:ext cx="22564" cy="22564"/>
      </dsp:txXfrm>
    </dsp:sp>
    <dsp:sp modelId="{0FAF3FA1-8E6C-455E-B189-A468B3F4D8BC}">
      <dsp:nvSpPr>
        <dsp:cNvPr id="0" name=""/>
        <dsp:cNvSpPr/>
      </dsp:nvSpPr>
      <dsp:spPr>
        <a:xfrm>
          <a:off x="161681" y="662946"/>
          <a:ext cx="1448000" cy="651604"/>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10</a:t>
          </a:r>
        </a:p>
        <a:p>
          <a:pPr lvl="0" algn="ctr" defTabSz="400050">
            <a:lnSpc>
              <a:spcPct val="90000"/>
            </a:lnSpc>
            <a:spcBef>
              <a:spcPct val="0"/>
            </a:spcBef>
            <a:spcAft>
              <a:spcPct val="35000"/>
            </a:spcAft>
          </a:pPr>
          <a:r>
            <a:rPr lang="fr-FR"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Pays en transition et pays développés</a:t>
          </a:r>
          <a:endParaRPr lang="en-US" sz="5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373736" y="758371"/>
        <a:ext cx="1023890" cy="460754"/>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62AF917-2F47-4639-8A23-58AD52EC0F32}">
      <dsp:nvSpPr>
        <dsp:cNvPr id="0" name=""/>
        <dsp:cNvSpPr/>
      </dsp:nvSpPr>
      <dsp:spPr>
        <a:xfrm>
          <a:off x="2060954" y="705828"/>
          <a:ext cx="1356160" cy="556846"/>
        </a:xfrm>
        <a:prstGeom prst="ellipse">
          <a:avLst/>
        </a:prstGeom>
        <a:gradFill rotWithShape="0">
          <a:gsLst>
            <a:gs pos="0">
              <a:sysClr val="window" lastClr="FFFFFF">
                <a:hueOff val="0"/>
                <a:satOff val="0"/>
                <a:lumOff val="0"/>
                <a:alphaOff val="0"/>
                <a:shade val="51000"/>
                <a:satMod val="130000"/>
              </a:sysClr>
            </a:gs>
            <a:gs pos="80000">
              <a:sysClr val="window" lastClr="FFFFFF">
                <a:hueOff val="0"/>
                <a:satOff val="0"/>
                <a:lumOff val="0"/>
                <a:alphaOff val="0"/>
                <a:shade val="93000"/>
                <a:satMod val="130000"/>
              </a:sysClr>
            </a:gs>
            <a:gs pos="100000">
              <a:sysClr val="window" lastClr="FFFFFF">
                <a:hueOff val="0"/>
                <a:satOff val="0"/>
                <a:lumOff val="0"/>
                <a:alphaOff val="0"/>
                <a:shade val="94000"/>
                <a:satMod val="135000"/>
              </a:sys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32</a:t>
          </a:r>
        </a:p>
      </dsp:txBody>
      <dsp:txXfrm>
        <a:off x="2259559" y="787376"/>
        <a:ext cx="958950" cy="393750"/>
      </dsp:txXfrm>
    </dsp:sp>
    <dsp:sp modelId="{4AC11394-3179-4EC5-A97F-D1A1B521CE2F}">
      <dsp:nvSpPr>
        <dsp:cNvPr id="0" name=""/>
        <dsp:cNvSpPr/>
      </dsp:nvSpPr>
      <dsp:spPr>
        <a:xfrm rot="16193294">
          <a:off x="2656573" y="614935"/>
          <a:ext cx="163517" cy="18269"/>
        </a:xfrm>
        <a:custGeom>
          <a:avLst/>
          <a:gdLst/>
          <a:ahLst/>
          <a:cxnLst/>
          <a:rect l="0" t="0" r="0" b="0"/>
          <a:pathLst>
            <a:path>
              <a:moveTo>
                <a:pt x="0" y="9134"/>
              </a:moveTo>
              <a:lnTo>
                <a:pt x="163517" y="913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2734244" y="619982"/>
        <a:ext cx="8175" cy="8175"/>
      </dsp:txXfrm>
    </dsp:sp>
    <dsp:sp modelId="{035B4C9A-0916-4FCC-A1CF-85DB358A289A}">
      <dsp:nvSpPr>
        <dsp:cNvPr id="0" name=""/>
        <dsp:cNvSpPr/>
      </dsp:nvSpPr>
      <dsp:spPr>
        <a:xfrm>
          <a:off x="1981284" y="-34519"/>
          <a:ext cx="1512650" cy="576831"/>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6</a:t>
          </a:r>
        </a:p>
        <a:p>
          <a:pPr lvl="0" algn="ctr" defTabSz="400050">
            <a:lnSpc>
              <a:spcPct val="90000"/>
            </a:lnSpc>
            <a:spcBef>
              <a:spcPct val="0"/>
            </a:spcBef>
            <a:spcAft>
              <a:spcPct val="35000"/>
            </a:spcAft>
          </a:pPr>
          <a:r>
            <a:rPr lang="en-US"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Système de Madrid</a:t>
          </a:r>
        </a:p>
      </dsp:txBody>
      <dsp:txXfrm>
        <a:off x="2202806" y="49956"/>
        <a:ext cx="1069606" cy="407881"/>
      </dsp:txXfrm>
    </dsp:sp>
    <dsp:sp modelId="{64248C57-3CE0-4657-BC67-6279BA0257B1}">
      <dsp:nvSpPr>
        <dsp:cNvPr id="0" name=""/>
        <dsp:cNvSpPr/>
      </dsp:nvSpPr>
      <dsp:spPr>
        <a:xfrm rot="2869">
          <a:off x="3417113" y="975868"/>
          <a:ext cx="442900" cy="18269"/>
        </a:xfrm>
        <a:custGeom>
          <a:avLst/>
          <a:gdLst/>
          <a:ahLst/>
          <a:cxnLst/>
          <a:rect l="0" t="0" r="0" b="0"/>
          <a:pathLst>
            <a:path>
              <a:moveTo>
                <a:pt x="0" y="9134"/>
              </a:moveTo>
              <a:lnTo>
                <a:pt x="463565" y="913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627490" y="973930"/>
        <a:ext cx="22145" cy="22145"/>
      </dsp:txXfrm>
    </dsp:sp>
    <dsp:sp modelId="{976BA53C-17D4-4F7C-9078-1272C469C9E5}">
      <dsp:nvSpPr>
        <dsp:cNvPr id="0" name=""/>
        <dsp:cNvSpPr/>
      </dsp:nvSpPr>
      <dsp:spPr>
        <a:xfrm>
          <a:off x="3860012" y="634966"/>
          <a:ext cx="1464661" cy="701665"/>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9</a:t>
          </a:r>
        </a:p>
        <a:p>
          <a:pPr lvl="0" algn="ctr" defTabSz="400050">
            <a:lnSpc>
              <a:spcPct val="90000"/>
            </a:lnSpc>
            <a:spcBef>
              <a:spcPct val="0"/>
            </a:spcBef>
            <a:spcAft>
              <a:spcPct val="35000"/>
            </a:spcAft>
          </a:pPr>
          <a:r>
            <a:rPr lang="fr-FR"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Bureaux régionaux</a:t>
          </a:r>
          <a:endParaRPr lang="en-US" sz="7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4074507" y="737722"/>
        <a:ext cx="1035671" cy="496153"/>
      </dsp:txXfrm>
    </dsp:sp>
    <dsp:sp modelId="{ADF94B70-0D7F-4A27-8DF9-17BCD27F4A7A}">
      <dsp:nvSpPr>
        <dsp:cNvPr id="0" name=""/>
        <dsp:cNvSpPr/>
      </dsp:nvSpPr>
      <dsp:spPr>
        <a:xfrm rot="10791658">
          <a:off x="1609671" y="977310"/>
          <a:ext cx="451295" cy="18269"/>
        </a:xfrm>
        <a:custGeom>
          <a:avLst/>
          <a:gdLst/>
          <a:ahLst/>
          <a:cxnLst/>
          <a:rect l="0" t="0" r="0" b="0"/>
          <a:pathLst>
            <a:path>
              <a:moveTo>
                <a:pt x="0" y="9134"/>
              </a:moveTo>
              <a:lnTo>
                <a:pt x="457860" y="9134"/>
              </a:lnTo>
            </a:path>
          </a:pathLst>
        </a:custGeom>
        <a:noFill/>
        <a:ln w="9525" cap="flat" cmpd="sng" algn="ctr">
          <a:solidFill>
            <a:srgbClr val="4F81BD">
              <a:shade val="60000"/>
              <a:hueOff val="0"/>
              <a:satOff val="0"/>
              <a:lumOff val="0"/>
              <a:alphaOff val="0"/>
            </a:srgb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rot="10800000">
        <a:off x="1824036" y="975162"/>
        <a:ext cx="22564" cy="22564"/>
      </dsp:txXfrm>
    </dsp:sp>
    <dsp:sp modelId="{0FAF3FA1-8E6C-455E-B189-A468B3F4D8BC}">
      <dsp:nvSpPr>
        <dsp:cNvPr id="0" name=""/>
        <dsp:cNvSpPr/>
      </dsp:nvSpPr>
      <dsp:spPr>
        <a:xfrm>
          <a:off x="161681" y="662946"/>
          <a:ext cx="1448000" cy="651604"/>
        </a:xfrm>
        <a:prstGeom prst="ellipse">
          <a:avLst/>
        </a:prstGeom>
        <a:solidFill>
          <a:srgbClr val="4F81BD">
            <a:lumMod val="40000"/>
            <a:lumOff val="60000"/>
          </a:srgb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Programme 10</a:t>
          </a:r>
        </a:p>
        <a:p>
          <a:pPr lvl="0" algn="ctr" defTabSz="400050">
            <a:lnSpc>
              <a:spcPct val="90000"/>
            </a:lnSpc>
            <a:spcBef>
              <a:spcPct val="0"/>
            </a:spcBef>
            <a:spcAft>
              <a:spcPct val="35000"/>
            </a:spcAft>
          </a:pPr>
          <a:r>
            <a:rPr lang="fr-FR" sz="8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Pays en transition et pays développés</a:t>
          </a:r>
          <a:endParaRPr lang="en-US" sz="5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endParaRPr>
        </a:p>
      </dsp:txBody>
      <dsp:txXfrm>
        <a:off x="373736" y="758371"/>
        <a:ext cx="1023890" cy="460754"/>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93DA7EC-5D69-41B7-92E4-ED7ED9F48883}">
      <dsp:nvSpPr>
        <dsp:cNvPr id="0" name=""/>
        <dsp:cNvSpPr/>
      </dsp:nvSpPr>
      <dsp:spPr>
        <a:xfrm>
          <a:off x="2147624" y="983205"/>
          <a:ext cx="1473976" cy="565402"/>
        </a:xfrm>
        <a:prstGeom prst="ellipse">
          <a:avLst/>
        </a:prstGeom>
        <a:gradFill rotWithShape="0">
          <a:gsLst>
            <a:gs pos="0">
              <a:schemeClr val="lt1">
                <a:hueOff val="0"/>
                <a:satOff val="0"/>
                <a:lumOff val="0"/>
                <a:alphaOff val="0"/>
                <a:shade val="51000"/>
                <a:satMod val="130000"/>
              </a:schemeClr>
            </a:gs>
            <a:gs pos="80000">
              <a:schemeClr val="lt1">
                <a:hueOff val="0"/>
                <a:satOff val="0"/>
                <a:lumOff val="0"/>
                <a:alphaOff val="0"/>
                <a:shade val="93000"/>
                <a:satMod val="130000"/>
              </a:schemeClr>
            </a:gs>
            <a:gs pos="100000">
              <a:schemeClr val="l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kern="1200">
              <a:latin typeface="Arial" panose="020B0604020202020204" pitchFamily="34" charset="0"/>
              <a:cs typeface="Arial" panose="020B0604020202020204" pitchFamily="34" charset="0"/>
            </a:rPr>
            <a:t>Programme 7 </a:t>
          </a:r>
        </a:p>
      </dsp:txBody>
      <dsp:txXfrm>
        <a:off x="2363483" y="1066006"/>
        <a:ext cx="1042258" cy="399800"/>
      </dsp:txXfrm>
    </dsp:sp>
    <dsp:sp modelId="{E6ACA703-0949-41B3-BE6B-C702E5C7275F}">
      <dsp:nvSpPr>
        <dsp:cNvPr id="0" name=""/>
        <dsp:cNvSpPr/>
      </dsp:nvSpPr>
      <dsp:spPr>
        <a:xfrm rot="16898612">
          <a:off x="2875887" y="893572"/>
          <a:ext cx="167377" cy="17091"/>
        </a:xfrm>
        <a:custGeom>
          <a:avLst/>
          <a:gdLst/>
          <a:ahLst/>
          <a:cxnLst/>
          <a:rect l="0" t="0" r="0" b="0"/>
          <a:pathLst>
            <a:path>
              <a:moveTo>
                <a:pt x="0" y="8545"/>
              </a:moveTo>
              <a:lnTo>
                <a:pt x="167377" y="8545"/>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955391" y="897933"/>
        <a:ext cx="8368" cy="8368"/>
      </dsp:txXfrm>
    </dsp:sp>
    <dsp:sp modelId="{AFD0CC05-9AD4-4A51-8739-4FB4CA1E4ACE}">
      <dsp:nvSpPr>
        <dsp:cNvPr id="0" name=""/>
        <dsp:cNvSpPr/>
      </dsp:nvSpPr>
      <dsp:spPr>
        <a:xfrm>
          <a:off x="2167198" y="2"/>
          <a:ext cx="1787158" cy="821982"/>
        </a:xfrm>
        <a:prstGeom prst="ellipse">
          <a:avLst/>
        </a:prstGeom>
        <a:solidFill>
          <a:schemeClr val="accent1">
            <a:lumMod val="40000"/>
            <a:lumOff val="60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latin typeface="Arial" panose="020B0604020202020204" pitchFamily="34" charset="0"/>
              <a:cs typeface="Arial" panose="020B0604020202020204" pitchFamily="34" charset="0"/>
            </a:rPr>
            <a:t>Programme 2 </a:t>
          </a:r>
        </a:p>
        <a:p>
          <a:pPr lvl="0" algn="ctr" defTabSz="400050">
            <a:lnSpc>
              <a:spcPct val="90000"/>
            </a:lnSpc>
            <a:spcBef>
              <a:spcPct val="0"/>
            </a:spcBef>
            <a:spcAft>
              <a:spcPct val="35000"/>
            </a:spcAft>
          </a:pPr>
          <a:r>
            <a:rPr lang="en-US" sz="800" kern="1200">
              <a:latin typeface="Arial" panose="020B0604020202020204" pitchFamily="34" charset="0"/>
              <a:cs typeface="Arial" panose="020B0604020202020204" pitchFamily="34" charset="0"/>
            </a:rPr>
            <a:t>Marques, dessins et modèles industriels et indications géographiques</a:t>
          </a:r>
        </a:p>
      </dsp:txBody>
      <dsp:txXfrm>
        <a:off x="2428921" y="120378"/>
        <a:ext cx="1263712" cy="581230"/>
      </dsp:txXfrm>
    </dsp:sp>
    <dsp:sp modelId="{34515D96-C834-4D67-AF5C-3B293601CBC3}">
      <dsp:nvSpPr>
        <dsp:cNvPr id="0" name=""/>
        <dsp:cNvSpPr/>
      </dsp:nvSpPr>
      <dsp:spPr>
        <a:xfrm rot="20062017">
          <a:off x="3290094" y="796058"/>
          <a:ext cx="1111812" cy="17091"/>
        </a:xfrm>
        <a:custGeom>
          <a:avLst/>
          <a:gdLst/>
          <a:ahLst/>
          <a:cxnLst/>
          <a:rect l="0" t="0" r="0" b="0"/>
          <a:pathLst>
            <a:path>
              <a:moveTo>
                <a:pt x="0" y="8545"/>
              </a:moveTo>
              <a:lnTo>
                <a:pt x="1111812" y="8545"/>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818205" y="776809"/>
        <a:ext cx="55590" cy="55590"/>
      </dsp:txXfrm>
    </dsp:sp>
    <dsp:sp modelId="{D9366F31-B7D7-4B43-830C-AD5E2193A794}">
      <dsp:nvSpPr>
        <dsp:cNvPr id="0" name=""/>
        <dsp:cNvSpPr/>
      </dsp:nvSpPr>
      <dsp:spPr>
        <a:xfrm>
          <a:off x="4202169" y="0"/>
          <a:ext cx="1214982" cy="684425"/>
        </a:xfrm>
        <a:prstGeom prst="ellipse">
          <a:avLst/>
        </a:prstGeom>
        <a:solidFill>
          <a:schemeClr val="accent1">
            <a:lumMod val="40000"/>
            <a:lumOff val="60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latin typeface="Arial" panose="020B0604020202020204" pitchFamily="34" charset="0"/>
              <a:cs typeface="Arial" panose="020B0604020202020204" pitchFamily="34" charset="0"/>
            </a:rPr>
            <a:t>Programme 3 </a:t>
          </a:r>
        </a:p>
        <a:p>
          <a:pPr lvl="0" algn="ctr" defTabSz="400050">
            <a:lnSpc>
              <a:spcPct val="90000"/>
            </a:lnSpc>
            <a:spcBef>
              <a:spcPct val="0"/>
            </a:spcBef>
            <a:spcAft>
              <a:spcPct val="35000"/>
            </a:spcAft>
          </a:pPr>
          <a:r>
            <a:rPr lang="en-US" sz="800" kern="1200">
              <a:latin typeface="Arial" panose="020B0604020202020204" pitchFamily="34" charset="0"/>
              <a:cs typeface="Arial" panose="020B0604020202020204" pitchFamily="34" charset="0"/>
            </a:rPr>
            <a:t>Droit d'auteur et droits connexes</a:t>
          </a:r>
        </a:p>
      </dsp:txBody>
      <dsp:txXfrm>
        <a:off x="4380099" y="100232"/>
        <a:ext cx="859122" cy="483961"/>
      </dsp:txXfrm>
    </dsp:sp>
    <dsp:sp modelId="{5CF8296B-0142-429D-A71A-20799D2EB74B}">
      <dsp:nvSpPr>
        <dsp:cNvPr id="0" name=""/>
        <dsp:cNvSpPr/>
      </dsp:nvSpPr>
      <dsp:spPr>
        <a:xfrm rot="21259671">
          <a:off x="3595611" y="1136826"/>
          <a:ext cx="1005144" cy="17091"/>
        </a:xfrm>
        <a:custGeom>
          <a:avLst/>
          <a:gdLst/>
          <a:ahLst/>
          <a:cxnLst/>
          <a:rect l="0" t="0" r="0" b="0"/>
          <a:pathLst>
            <a:path>
              <a:moveTo>
                <a:pt x="0" y="8545"/>
              </a:moveTo>
              <a:lnTo>
                <a:pt x="1005144" y="8545"/>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4073055" y="1120243"/>
        <a:ext cx="50257" cy="50257"/>
      </dsp:txXfrm>
    </dsp:sp>
    <dsp:sp modelId="{7E7DDE23-6C04-407D-AAB6-669511EA704E}">
      <dsp:nvSpPr>
        <dsp:cNvPr id="0" name=""/>
        <dsp:cNvSpPr/>
      </dsp:nvSpPr>
      <dsp:spPr>
        <a:xfrm>
          <a:off x="4584357" y="753202"/>
          <a:ext cx="1231972" cy="565402"/>
        </a:xfrm>
        <a:prstGeom prst="ellipse">
          <a:avLst/>
        </a:prstGeom>
        <a:solidFill>
          <a:schemeClr val="accent1">
            <a:lumMod val="40000"/>
            <a:lumOff val="60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latin typeface="Arial" panose="020B0604020202020204" pitchFamily="34" charset="0"/>
              <a:cs typeface="Arial" panose="020B0604020202020204" pitchFamily="34" charset="0"/>
            </a:rPr>
            <a:t>Programme 5 </a:t>
          </a:r>
        </a:p>
        <a:p>
          <a:pPr lvl="0" algn="ctr" defTabSz="400050">
            <a:lnSpc>
              <a:spcPct val="90000"/>
            </a:lnSpc>
            <a:spcBef>
              <a:spcPct val="0"/>
            </a:spcBef>
            <a:spcAft>
              <a:spcPct val="35000"/>
            </a:spcAft>
          </a:pPr>
          <a:r>
            <a:rPr lang="en-US" sz="800" kern="1200">
              <a:latin typeface="Arial" panose="020B0604020202020204" pitchFamily="34" charset="0"/>
              <a:cs typeface="Arial" panose="020B0604020202020204" pitchFamily="34" charset="0"/>
            </a:rPr>
            <a:t>Système du PCT</a:t>
          </a:r>
        </a:p>
      </dsp:txBody>
      <dsp:txXfrm>
        <a:off x="4764775" y="836003"/>
        <a:ext cx="871136" cy="399800"/>
      </dsp:txXfrm>
    </dsp:sp>
    <dsp:sp modelId="{DC281168-2DBC-4CFB-B21D-C54E9628B383}">
      <dsp:nvSpPr>
        <dsp:cNvPr id="0" name=""/>
        <dsp:cNvSpPr/>
      </dsp:nvSpPr>
      <dsp:spPr>
        <a:xfrm rot="714984">
          <a:off x="3521253" y="1480621"/>
          <a:ext cx="842604" cy="17091"/>
        </a:xfrm>
        <a:custGeom>
          <a:avLst/>
          <a:gdLst/>
          <a:ahLst/>
          <a:cxnLst/>
          <a:rect l="0" t="0" r="0" b="0"/>
          <a:pathLst>
            <a:path>
              <a:moveTo>
                <a:pt x="0" y="8545"/>
              </a:moveTo>
              <a:lnTo>
                <a:pt x="842604" y="8545"/>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921490" y="1468102"/>
        <a:ext cx="42130" cy="42130"/>
      </dsp:txXfrm>
    </dsp:sp>
    <dsp:sp modelId="{66DADE40-99AE-41BE-B997-129EED231064}">
      <dsp:nvSpPr>
        <dsp:cNvPr id="0" name=""/>
        <dsp:cNvSpPr/>
      </dsp:nvSpPr>
      <dsp:spPr>
        <a:xfrm>
          <a:off x="4289175" y="1370490"/>
          <a:ext cx="1488569" cy="697786"/>
        </a:xfrm>
        <a:prstGeom prst="ellipse">
          <a:avLst/>
        </a:prstGeom>
        <a:solidFill>
          <a:schemeClr val="accent1">
            <a:lumMod val="40000"/>
            <a:lumOff val="60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latin typeface="Arial" panose="020B0604020202020204" pitchFamily="34" charset="0"/>
              <a:cs typeface="Arial" panose="020B0604020202020204" pitchFamily="34" charset="0"/>
            </a:rPr>
            <a:t>Programme 6</a:t>
          </a:r>
        </a:p>
        <a:p>
          <a:pPr lvl="0" algn="ctr" defTabSz="400050">
            <a:lnSpc>
              <a:spcPct val="90000"/>
            </a:lnSpc>
            <a:spcBef>
              <a:spcPct val="0"/>
            </a:spcBef>
            <a:spcAft>
              <a:spcPct val="35000"/>
            </a:spcAft>
          </a:pPr>
          <a:r>
            <a:rPr lang="en-US" sz="800" kern="1200">
              <a:latin typeface="Arial" panose="020B0604020202020204" pitchFamily="34" charset="0"/>
              <a:cs typeface="Arial" panose="020B0604020202020204" pitchFamily="34" charset="0"/>
            </a:rPr>
            <a:t>Système de Madrid</a:t>
          </a:r>
        </a:p>
      </dsp:txBody>
      <dsp:txXfrm>
        <a:off x="4507171" y="1472678"/>
        <a:ext cx="1052577" cy="493410"/>
      </dsp:txXfrm>
    </dsp:sp>
    <dsp:sp modelId="{4DF1B0BE-A63A-4BEA-9EE5-4168481CC99E}">
      <dsp:nvSpPr>
        <dsp:cNvPr id="0" name=""/>
        <dsp:cNvSpPr/>
      </dsp:nvSpPr>
      <dsp:spPr>
        <a:xfrm rot="1876485">
          <a:off x="3178915" y="1850854"/>
          <a:ext cx="1365584" cy="17091"/>
        </a:xfrm>
        <a:custGeom>
          <a:avLst/>
          <a:gdLst/>
          <a:ahLst/>
          <a:cxnLst/>
          <a:rect l="0" t="0" r="0" b="0"/>
          <a:pathLst>
            <a:path>
              <a:moveTo>
                <a:pt x="0" y="8545"/>
              </a:moveTo>
              <a:lnTo>
                <a:pt x="1365584" y="8545"/>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827567" y="1825261"/>
        <a:ext cx="68279" cy="68279"/>
      </dsp:txXfrm>
    </dsp:sp>
    <dsp:sp modelId="{DB594876-4070-4577-942D-67F5CD4D6A19}">
      <dsp:nvSpPr>
        <dsp:cNvPr id="0" name=""/>
        <dsp:cNvSpPr/>
      </dsp:nvSpPr>
      <dsp:spPr>
        <a:xfrm>
          <a:off x="4242928" y="2117008"/>
          <a:ext cx="1272794" cy="721001"/>
        </a:xfrm>
        <a:prstGeom prst="ellipse">
          <a:avLst/>
        </a:prstGeom>
        <a:solidFill>
          <a:schemeClr val="accent1">
            <a:lumMod val="40000"/>
            <a:lumOff val="60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latin typeface="Arial" panose="020B0604020202020204" pitchFamily="34" charset="0"/>
              <a:cs typeface="Arial" panose="020B0604020202020204" pitchFamily="34" charset="0"/>
            </a:rPr>
            <a:t>Programme 9</a:t>
          </a:r>
        </a:p>
        <a:p>
          <a:pPr lvl="0" algn="ctr" defTabSz="400050">
            <a:lnSpc>
              <a:spcPct val="90000"/>
            </a:lnSpc>
            <a:spcBef>
              <a:spcPct val="0"/>
            </a:spcBef>
            <a:spcAft>
              <a:spcPct val="35000"/>
            </a:spcAft>
          </a:pPr>
          <a:r>
            <a:rPr lang="en-US" sz="800" kern="1200">
              <a:latin typeface="Arial" panose="020B0604020202020204" pitchFamily="34" charset="0"/>
              <a:cs typeface="Arial" panose="020B0604020202020204" pitchFamily="34" charset="0"/>
            </a:rPr>
            <a:t> Bureaux régionaux </a:t>
          </a:r>
        </a:p>
      </dsp:txBody>
      <dsp:txXfrm>
        <a:off x="4429324" y="2222596"/>
        <a:ext cx="900002" cy="509825"/>
      </dsp:txXfrm>
    </dsp:sp>
    <dsp:sp modelId="{E49C447F-3477-4311-B10B-FFFA7DE7209F}">
      <dsp:nvSpPr>
        <dsp:cNvPr id="0" name=""/>
        <dsp:cNvSpPr/>
      </dsp:nvSpPr>
      <dsp:spPr>
        <a:xfrm rot="3727656">
          <a:off x="2911045" y="1733780"/>
          <a:ext cx="451047" cy="17091"/>
        </a:xfrm>
        <a:custGeom>
          <a:avLst/>
          <a:gdLst/>
          <a:ahLst/>
          <a:cxnLst/>
          <a:rect l="0" t="0" r="0" b="0"/>
          <a:pathLst>
            <a:path>
              <a:moveTo>
                <a:pt x="0" y="8545"/>
              </a:moveTo>
              <a:lnTo>
                <a:pt x="451047" y="8545"/>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125293" y="1731049"/>
        <a:ext cx="22552" cy="22552"/>
      </dsp:txXfrm>
    </dsp:sp>
    <dsp:sp modelId="{69F18085-0AC3-4BAE-9B16-F8478FFBD61E}">
      <dsp:nvSpPr>
        <dsp:cNvPr id="0" name=""/>
        <dsp:cNvSpPr/>
      </dsp:nvSpPr>
      <dsp:spPr>
        <a:xfrm>
          <a:off x="2831693" y="1904127"/>
          <a:ext cx="1318078" cy="1015751"/>
        </a:xfrm>
        <a:prstGeom prst="ellipse">
          <a:avLst/>
        </a:prstGeom>
        <a:solidFill>
          <a:schemeClr val="accent1">
            <a:lumMod val="40000"/>
            <a:lumOff val="60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latin typeface="Arial" panose="020B0604020202020204" pitchFamily="34" charset="0"/>
              <a:cs typeface="Arial" panose="020B0604020202020204" pitchFamily="34" charset="0"/>
            </a:rPr>
            <a:t>Programme 10 </a:t>
          </a:r>
        </a:p>
        <a:p>
          <a:pPr lvl="0" algn="ctr" defTabSz="400050">
            <a:lnSpc>
              <a:spcPct val="90000"/>
            </a:lnSpc>
            <a:spcBef>
              <a:spcPct val="0"/>
            </a:spcBef>
            <a:spcAft>
              <a:spcPct val="35000"/>
            </a:spcAft>
          </a:pPr>
          <a:r>
            <a:rPr lang="en-US" sz="800" kern="1200">
              <a:latin typeface="Arial" panose="020B0604020202020204" pitchFamily="34" charset="0"/>
              <a:cs typeface="Arial" panose="020B0604020202020204" pitchFamily="34" charset="0"/>
            </a:rPr>
            <a:t>Pays en transition et pays développés</a:t>
          </a:r>
        </a:p>
      </dsp:txBody>
      <dsp:txXfrm>
        <a:off x="3024721" y="2052880"/>
        <a:ext cx="932022" cy="718245"/>
      </dsp:txXfrm>
    </dsp:sp>
    <dsp:sp modelId="{FCC14444-D5E7-4E9C-B980-A27CD799E442}">
      <dsp:nvSpPr>
        <dsp:cNvPr id="0" name=""/>
        <dsp:cNvSpPr/>
      </dsp:nvSpPr>
      <dsp:spPr>
        <a:xfrm rot="7560415">
          <a:off x="2294727" y="1729375"/>
          <a:ext cx="493719" cy="17091"/>
        </a:xfrm>
        <a:custGeom>
          <a:avLst/>
          <a:gdLst/>
          <a:ahLst/>
          <a:cxnLst/>
          <a:rect l="0" t="0" r="0" b="0"/>
          <a:pathLst>
            <a:path>
              <a:moveTo>
                <a:pt x="0" y="8545"/>
              </a:moveTo>
              <a:lnTo>
                <a:pt x="493719" y="8545"/>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529243" y="1725578"/>
        <a:ext cx="24685" cy="24685"/>
      </dsp:txXfrm>
    </dsp:sp>
    <dsp:sp modelId="{49C45DFA-0A15-4DAA-80DC-CAE4ABCC6B43}">
      <dsp:nvSpPr>
        <dsp:cNvPr id="0" name=""/>
        <dsp:cNvSpPr/>
      </dsp:nvSpPr>
      <dsp:spPr>
        <a:xfrm>
          <a:off x="1436641" y="1893602"/>
          <a:ext cx="1338506" cy="887693"/>
        </a:xfrm>
        <a:prstGeom prst="ellipse">
          <a:avLst/>
        </a:prstGeom>
        <a:solidFill>
          <a:schemeClr val="accent1">
            <a:lumMod val="40000"/>
            <a:lumOff val="60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latin typeface="Arial" panose="020B0604020202020204" pitchFamily="34" charset="0"/>
              <a:cs typeface="Arial" panose="020B0604020202020204" pitchFamily="34" charset="0"/>
            </a:rPr>
            <a:t>Programme 17 </a:t>
          </a:r>
        </a:p>
        <a:p>
          <a:pPr lvl="0" algn="ctr" defTabSz="400050">
            <a:lnSpc>
              <a:spcPct val="90000"/>
            </a:lnSpc>
            <a:spcBef>
              <a:spcPct val="0"/>
            </a:spcBef>
            <a:spcAft>
              <a:spcPct val="35000"/>
            </a:spcAft>
          </a:pPr>
          <a:r>
            <a:rPr lang="en-US" sz="800" kern="1200">
              <a:latin typeface="Arial" panose="020B0604020202020204" pitchFamily="34" charset="0"/>
              <a:cs typeface="Arial" panose="020B0604020202020204" pitchFamily="34" charset="0"/>
            </a:rPr>
            <a:t>Promouvoir le respect de la propriété intellectuelle </a:t>
          </a:r>
        </a:p>
      </dsp:txBody>
      <dsp:txXfrm>
        <a:off x="1632661" y="2023602"/>
        <a:ext cx="946466" cy="627693"/>
      </dsp:txXfrm>
    </dsp:sp>
    <dsp:sp modelId="{7B59CB2C-C82F-41EE-B3CF-ADD4878ADBA6}">
      <dsp:nvSpPr>
        <dsp:cNvPr id="0" name=""/>
        <dsp:cNvSpPr/>
      </dsp:nvSpPr>
      <dsp:spPr>
        <a:xfrm rot="9237456">
          <a:off x="1188866" y="1766647"/>
          <a:ext cx="1307026" cy="17091"/>
        </a:xfrm>
        <a:custGeom>
          <a:avLst/>
          <a:gdLst/>
          <a:ahLst/>
          <a:cxnLst/>
          <a:rect l="0" t="0" r="0" b="0"/>
          <a:pathLst>
            <a:path>
              <a:moveTo>
                <a:pt x="0" y="8545"/>
              </a:moveTo>
              <a:lnTo>
                <a:pt x="1307026" y="8545"/>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1809703" y="1742517"/>
        <a:ext cx="65351" cy="65351"/>
      </dsp:txXfrm>
    </dsp:sp>
    <dsp:sp modelId="{402B25BB-F397-46B5-AAB7-C38C2276BF82}">
      <dsp:nvSpPr>
        <dsp:cNvPr id="0" name=""/>
        <dsp:cNvSpPr/>
      </dsp:nvSpPr>
      <dsp:spPr>
        <a:xfrm>
          <a:off x="86400" y="1918820"/>
          <a:ext cx="1318643" cy="784507"/>
        </a:xfrm>
        <a:prstGeom prst="ellipse">
          <a:avLst/>
        </a:prstGeom>
        <a:solidFill>
          <a:schemeClr val="accent1">
            <a:lumMod val="40000"/>
            <a:lumOff val="60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latin typeface="Arial" panose="020B0604020202020204" pitchFamily="34" charset="0"/>
              <a:cs typeface="Arial" panose="020B0604020202020204" pitchFamily="34" charset="0"/>
            </a:rPr>
            <a:t>Programme 18 </a:t>
          </a:r>
        </a:p>
        <a:p>
          <a:pPr lvl="0" algn="ctr" defTabSz="400050">
            <a:lnSpc>
              <a:spcPct val="90000"/>
            </a:lnSpc>
            <a:spcBef>
              <a:spcPct val="0"/>
            </a:spcBef>
            <a:spcAft>
              <a:spcPct val="35000"/>
            </a:spcAft>
          </a:pPr>
          <a:r>
            <a:rPr lang="en-US" sz="800" kern="1200">
              <a:latin typeface="Arial" panose="020B0604020202020204" pitchFamily="34" charset="0"/>
              <a:cs typeface="Arial" panose="020B0604020202020204" pitchFamily="34" charset="0"/>
            </a:rPr>
            <a:t>Propriété intellectuelle et défis mondiaux</a:t>
          </a:r>
        </a:p>
      </dsp:txBody>
      <dsp:txXfrm>
        <a:off x="279511" y="2033708"/>
        <a:ext cx="932421" cy="554731"/>
      </dsp:txXfrm>
    </dsp:sp>
    <dsp:sp modelId="{EFB9CB5A-411C-454B-96B1-9ED988829CBE}">
      <dsp:nvSpPr>
        <dsp:cNvPr id="0" name=""/>
        <dsp:cNvSpPr/>
      </dsp:nvSpPr>
      <dsp:spPr>
        <a:xfrm rot="10666223">
          <a:off x="1476089" y="1299049"/>
          <a:ext cx="675557" cy="17091"/>
        </a:xfrm>
        <a:custGeom>
          <a:avLst/>
          <a:gdLst/>
          <a:ahLst/>
          <a:cxnLst/>
          <a:rect l="0" t="0" r="0" b="0"/>
          <a:pathLst>
            <a:path>
              <a:moveTo>
                <a:pt x="0" y="8545"/>
              </a:moveTo>
              <a:lnTo>
                <a:pt x="675557" y="8545"/>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1796979" y="1290706"/>
        <a:ext cx="33777" cy="33777"/>
      </dsp:txXfrm>
    </dsp:sp>
    <dsp:sp modelId="{5AF8D9AC-0C15-4D1B-BCD3-7FFCFF0A581D}">
      <dsp:nvSpPr>
        <dsp:cNvPr id="0" name=""/>
        <dsp:cNvSpPr/>
      </dsp:nvSpPr>
      <dsp:spPr>
        <a:xfrm>
          <a:off x="126361" y="1044953"/>
          <a:ext cx="1352539" cy="604025"/>
        </a:xfrm>
        <a:prstGeom prst="ellipse">
          <a:avLst/>
        </a:prstGeom>
        <a:solidFill>
          <a:schemeClr val="accent1">
            <a:lumMod val="40000"/>
            <a:lumOff val="60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latin typeface="Arial" panose="020B0604020202020204" pitchFamily="34" charset="0"/>
              <a:cs typeface="Arial" panose="020B0604020202020204" pitchFamily="34" charset="0"/>
            </a:rPr>
            <a:t>Programme 20 </a:t>
          </a:r>
        </a:p>
        <a:p>
          <a:pPr lvl="0" algn="ctr" defTabSz="400050">
            <a:lnSpc>
              <a:spcPct val="90000"/>
            </a:lnSpc>
            <a:spcBef>
              <a:spcPct val="0"/>
            </a:spcBef>
            <a:spcAft>
              <a:spcPct val="35000"/>
            </a:spcAft>
          </a:pPr>
          <a:r>
            <a:rPr lang="en-US" sz="800" kern="1200">
              <a:latin typeface="Arial" panose="020B0604020202020204" pitchFamily="34" charset="0"/>
              <a:cs typeface="Arial" panose="020B0604020202020204" pitchFamily="34" charset="0"/>
            </a:rPr>
            <a:t>R</a:t>
          </a:r>
          <a:r>
            <a:rPr lang="en-US" sz="800" b="0" kern="1200">
              <a:latin typeface="Arial" panose="020B0604020202020204" pitchFamily="34" charset="0"/>
              <a:cs typeface="Arial" panose="020B0604020202020204" pitchFamily="34" charset="0"/>
            </a:rPr>
            <a:t>elations extérieures</a:t>
          </a:r>
          <a:endParaRPr lang="en-US" sz="800" kern="1200">
            <a:latin typeface="Arial" panose="020B0604020202020204" pitchFamily="34" charset="0"/>
            <a:cs typeface="Arial" panose="020B0604020202020204" pitchFamily="34" charset="0"/>
          </a:endParaRPr>
        </a:p>
      </dsp:txBody>
      <dsp:txXfrm>
        <a:off x="324436" y="1133410"/>
        <a:ext cx="956389" cy="427111"/>
      </dsp:txXfrm>
    </dsp:sp>
    <dsp:sp modelId="{5DC5D51E-945B-4CCC-B580-737CA66D42E3}">
      <dsp:nvSpPr>
        <dsp:cNvPr id="0" name=""/>
        <dsp:cNvSpPr/>
      </dsp:nvSpPr>
      <dsp:spPr>
        <a:xfrm rot="12557821">
          <a:off x="1777768" y="843387"/>
          <a:ext cx="738123" cy="17091"/>
        </a:xfrm>
        <a:custGeom>
          <a:avLst/>
          <a:gdLst/>
          <a:ahLst/>
          <a:cxnLst/>
          <a:rect l="0" t="0" r="0" b="0"/>
          <a:pathLst>
            <a:path>
              <a:moveTo>
                <a:pt x="0" y="8545"/>
              </a:moveTo>
              <a:lnTo>
                <a:pt x="738123" y="8545"/>
              </a:lnTo>
            </a:path>
          </a:pathLst>
        </a:custGeom>
        <a:noFill/>
        <a:ln w="9525" cap="flat" cmpd="sng" algn="ctr">
          <a:solidFill>
            <a:schemeClr val="accent1">
              <a:shade val="60000"/>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2128376" y="833480"/>
        <a:ext cx="36906" cy="36906"/>
      </dsp:txXfrm>
    </dsp:sp>
    <dsp:sp modelId="{26661F75-1D9F-48E2-8FB0-82462D91AB89}">
      <dsp:nvSpPr>
        <dsp:cNvPr id="0" name=""/>
        <dsp:cNvSpPr/>
      </dsp:nvSpPr>
      <dsp:spPr>
        <a:xfrm>
          <a:off x="647998" y="3192"/>
          <a:ext cx="1373283" cy="786034"/>
        </a:xfrm>
        <a:prstGeom prst="ellipse">
          <a:avLst/>
        </a:prstGeom>
        <a:solidFill>
          <a:schemeClr val="accent1">
            <a:lumMod val="40000"/>
            <a:lumOff val="60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kern="1200">
              <a:latin typeface="Arial" panose="020B0604020202020204" pitchFamily="34" charset="0"/>
              <a:cs typeface="Arial" panose="020B0604020202020204" pitchFamily="34" charset="0"/>
            </a:rPr>
            <a:t>Programme 31 </a:t>
          </a:r>
        </a:p>
        <a:p>
          <a:pPr lvl="0" algn="ctr" defTabSz="400050">
            <a:lnSpc>
              <a:spcPct val="90000"/>
            </a:lnSpc>
            <a:spcBef>
              <a:spcPct val="0"/>
            </a:spcBef>
            <a:spcAft>
              <a:spcPct val="35000"/>
            </a:spcAft>
          </a:pPr>
          <a:r>
            <a:rPr lang="en-US" sz="800" kern="1200">
              <a:latin typeface="Arial" panose="020B0604020202020204" pitchFamily="34" charset="0"/>
              <a:cs typeface="Arial" panose="020B0604020202020204" pitchFamily="34" charset="0"/>
            </a:rPr>
            <a:t>Système de La Haye  </a:t>
          </a:r>
        </a:p>
      </dsp:txBody>
      <dsp:txXfrm>
        <a:off x="849111" y="118304"/>
        <a:ext cx="971057" cy="555810"/>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13.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14.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15.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16.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17.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18.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19.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20.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2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5.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6.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7.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8.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9.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0.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CBBC75-2655-4DF9-B97F-CE5D7C6A1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294</Pages>
  <Words>91804</Words>
  <Characters>528621</Characters>
  <Application>Microsoft Office Word</Application>
  <DocSecurity>0</DocSecurity>
  <Lines>75517</Lines>
  <Paragraphs>22158</Paragraphs>
  <ScaleCrop>false</ScaleCrop>
  <HeadingPairs>
    <vt:vector size="2" baseType="variant">
      <vt:variant>
        <vt:lpstr>Title</vt:lpstr>
      </vt:variant>
      <vt:variant>
        <vt:i4>1</vt:i4>
      </vt:variant>
    </vt:vector>
  </HeadingPairs>
  <TitlesOfParts>
    <vt:vector size="1" baseType="lpstr">
      <vt:lpstr>Draft Program Narrative</vt:lpstr>
    </vt:vector>
  </TitlesOfParts>
  <Company>WIPO</Company>
  <LinksUpToDate>false</LinksUpToDate>
  <CharactersWithSpaces>598267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Program Narrative</dc:title>
  <dc:creator>Lemine</dc:creator>
  <cp:lastModifiedBy>COUTURE Sébastien</cp:lastModifiedBy>
  <cp:revision>3</cp:revision>
  <cp:lastPrinted>2015-10-02T12:24:00Z</cp:lastPrinted>
  <dcterms:created xsi:type="dcterms:W3CDTF">2015-11-23T13:35:00Z</dcterms:created>
  <dcterms:modified xsi:type="dcterms:W3CDTF">2015-11-23T13:39:00Z</dcterms:modified>
</cp:coreProperties>
</file>